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801F1" w14:textId="77777777" w:rsidR="00366AF3" w:rsidRPr="001D3520" w:rsidRDefault="00366AF3" w:rsidP="00AA6728">
      <w:pPr>
        <w:suppressLineNumbers/>
        <w:tabs>
          <w:tab w:val="left" w:pos="720"/>
        </w:tabs>
        <w:rPr>
          <w:rFonts w:ascii="Verdana" w:hAnsi="Verdana"/>
          <w:b/>
          <w:sz w:val="20"/>
          <w:szCs w:val="20"/>
        </w:rPr>
      </w:pPr>
    </w:p>
    <w:p w14:paraId="53AF7535" w14:textId="77777777" w:rsidR="00366AF3" w:rsidRPr="001D3520" w:rsidRDefault="00366AF3" w:rsidP="002F701E">
      <w:pPr>
        <w:suppressLineNumbers/>
        <w:tabs>
          <w:tab w:val="left" w:pos="720"/>
        </w:tabs>
        <w:jc w:val="center"/>
        <w:rPr>
          <w:rFonts w:ascii="Verdana" w:hAnsi="Verdana"/>
          <w:b/>
          <w:sz w:val="20"/>
          <w:szCs w:val="20"/>
        </w:rPr>
      </w:pPr>
    </w:p>
    <w:p w14:paraId="0D30595C" w14:textId="77777777" w:rsidR="00366AF3" w:rsidRPr="001D3520" w:rsidRDefault="00366AF3" w:rsidP="002F701E">
      <w:pPr>
        <w:suppressLineNumbers/>
        <w:tabs>
          <w:tab w:val="left" w:pos="720"/>
        </w:tabs>
        <w:jc w:val="center"/>
        <w:rPr>
          <w:rFonts w:ascii="Verdana" w:hAnsi="Verdana"/>
          <w:b/>
          <w:sz w:val="20"/>
          <w:szCs w:val="20"/>
        </w:rPr>
      </w:pPr>
    </w:p>
    <w:p w14:paraId="12E0CF81" w14:textId="77777777" w:rsidR="00557680" w:rsidRPr="001D3520" w:rsidRDefault="00557680" w:rsidP="002F701E">
      <w:pPr>
        <w:suppressLineNumbers/>
        <w:tabs>
          <w:tab w:val="left" w:pos="720"/>
        </w:tabs>
        <w:jc w:val="center"/>
        <w:rPr>
          <w:rFonts w:ascii="Verdana" w:hAnsi="Verdana"/>
          <w:b/>
          <w:sz w:val="20"/>
          <w:szCs w:val="20"/>
        </w:rPr>
      </w:pPr>
    </w:p>
    <w:p w14:paraId="55853A5D" w14:textId="21779171" w:rsidR="00CD785B" w:rsidRPr="001D3520" w:rsidRDefault="00CD785B" w:rsidP="002F701E">
      <w:pPr>
        <w:suppressLineNumbers/>
        <w:tabs>
          <w:tab w:val="left" w:pos="720"/>
        </w:tabs>
        <w:jc w:val="center"/>
        <w:rPr>
          <w:rFonts w:ascii="Verdana" w:hAnsi="Verdana"/>
          <w:b/>
          <w:sz w:val="20"/>
          <w:szCs w:val="20"/>
        </w:rPr>
      </w:pPr>
      <w:r w:rsidRPr="001D3520">
        <w:rPr>
          <w:rFonts w:ascii="Verdana" w:hAnsi="Verdana"/>
          <w:b/>
          <w:sz w:val="20"/>
          <w:szCs w:val="20"/>
        </w:rPr>
        <w:t xml:space="preserve">RESOLUCIÓN DE LA </w:t>
      </w:r>
    </w:p>
    <w:p w14:paraId="731CEBF5" w14:textId="77777777" w:rsidR="00CD785B" w:rsidRPr="001D3520" w:rsidRDefault="00CD785B" w:rsidP="002F701E">
      <w:pPr>
        <w:suppressLineNumbers/>
        <w:tabs>
          <w:tab w:val="left" w:pos="720"/>
        </w:tabs>
        <w:jc w:val="center"/>
        <w:rPr>
          <w:rFonts w:ascii="Verdana" w:hAnsi="Verdana"/>
          <w:b/>
          <w:sz w:val="20"/>
          <w:szCs w:val="20"/>
        </w:rPr>
      </w:pPr>
      <w:r w:rsidRPr="001D3520">
        <w:rPr>
          <w:rFonts w:ascii="Verdana" w:hAnsi="Verdana"/>
          <w:b/>
          <w:sz w:val="20"/>
          <w:szCs w:val="20"/>
        </w:rPr>
        <w:t>CORTE INTERAMERICANA DE DERECHOS HUMANOS</w:t>
      </w:r>
    </w:p>
    <w:p w14:paraId="3794FE9B" w14:textId="77777777" w:rsidR="00CD785B" w:rsidRPr="001D3520" w:rsidRDefault="00CD785B" w:rsidP="002F701E">
      <w:pPr>
        <w:suppressLineNumbers/>
        <w:tabs>
          <w:tab w:val="left" w:pos="720"/>
        </w:tabs>
        <w:jc w:val="center"/>
        <w:rPr>
          <w:rFonts w:ascii="Verdana" w:hAnsi="Verdana"/>
          <w:b/>
          <w:sz w:val="20"/>
          <w:szCs w:val="20"/>
        </w:rPr>
      </w:pPr>
    </w:p>
    <w:p w14:paraId="69F849A9" w14:textId="104777A3" w:rsidR="00CD785B" w:rsidRPr="001D3520" w:rsidRDefault="00DA7132" w:rsidP="002F701E">
      <w:pPr>
        <w:suppressLineNumbers/>
        <w:tabs>
          <w:tab w:val="left" w:pos="720"/>
        </w:tabs>
        <w:jc w:val="center"/>
        <w:rPr>
          <w:rFonts w:ascii="Verdana" w:hAnsi="Verdana"/>
          <w:b/>
          <w:sz w:val="20"/>
          <w:szCs w:val="20"/>
        </w:rPr>
      </w:pPr>
      <w:r w:rsidRPr="001D3520">
        <w:rPr>
          <w:rFonts w:ascii="Verdana" w:hAnsi="Verdana"/>
          <w:b/>
          <w:sz w:val="20"/>
          <w:szCs w:val="20"/>
        </w:rPr>
        <w:t xml:space="preserve">DE </w:t>
      </w:r>
      <w:r w:rsidR="001C3EF0">
        <w:rPr>
          <w:rFonts w:ascii="Verdana" w:hAnsi="Verdana"/>
          <w:b/>
          <w:sz w:val="20"/>
          <w:szCs w:val="20"/>
        </w:rPr>
        <w:t>2</w:t>
      </w:r>
      <w:r w:rsidR="00BA6DAB" w:rsidRPr="001D3520">
        <w:rPr>
          <w:rFonts w:ascii="Verdana" w:hAnsi="Verdana"/>
          <w:b/>
          <w:sz w:val="20"/>
          <w:szCs w:val="20"/>
        </w:rPr>
        <w:t xml:space="preserve"> </w:t>
      </w:r>
      <w:r w:rsidR="00CD785B" w:rsidRPr="001D3520">
        <w:rPr>
          <w:rFonts w:ascii="Verdana" w:hAnsi="Verdana"/>
          <w:b/>
          <w:sz w:val="20"/>
          <w:szCs w:val="20"/>
        </w:rPr>
        <w:t xml:space="preserve">DE </w:t>
      </w:r>
      <w:r w:rsidR="00C46A3F">
        <w:rPr>
          <w:rFonts w:ascii="Verdana" w:hAnsi="Verdana"/>
          <w:b/>
          <w:sz w:val="20"/>
          <w:szCs w:val="20"/>
        </w:rPr>
        <w:t>SEPTIEMBRE</w:t>
      </w:r>
      <w:r w:rsidR="00CD785B" w:rsidRPr="001D3520">
        <w:rPr>
          <w:rFonts w:ascii="Verdana" w:hAnsi="Verdana"/>
          <w:b/>
          <w:sz w:val="20"/>
          <w:szCs w:val="20"/>
        </w:rPr>
        <w:t xml:space="preserve"> DE 2020</w:t>
      </w:r>
    </w:p>
    <w:p w14:paraId="752ED1ED" w14:textId="77777777" w:rsidR="00CD785B" w:rsidRPr="001D3520" w:rsidRDefault="00CD785B" w:rsidP="002F701E">
      <w:pPr>
        <w:suppressLineNumbers/>
        <w:tabs>
          <w:tab w:val="left" w:pos="720"/>
        </w:tabs>
        <w:jc w:val="center"/>
        <w:rPr>
          <w:rFonts w:ascii="Verdana" w:hAnsi="Verdana"/>
          <w:b/>
          <w:sz w:val="20"/>
          <w:szCs w:val="20"/>
        </w:rPr>
      </w:pPr>
    </w:p>
    <w:p w14:paraId="11A0BF14" w14:textId="77777777" w:rsidR="001002C6" w:rsidRPr="001D3520" w:rsidRDefault="001002C6" w:rsidP="002F701E">
      <w:pPr>
        <w:suppressLineNumbers/>
        <w:jc w:val="center"/>
        <w:rPr>
          <w:rFonts w:ascii="Verdana" w:hAnsi="Verdana"/>
          <w:b/>
          <w:sz w:val="20"/>
          <w:szCs w:val="20"/>
        </w:rPr>
      </w:pPr>
      <w:r w:rsidRPr="001D3520">
        <w:rPr>
          <w:rFonts w:ascii="Verdana" w:hAnsi="Verdana"/>
          <w:b/>
          <w:sz w:val="20"/>
          <w:szCs w:val="20"/>
        </w:rPr>
        <w:t>MEDIDAS PROVISIONALES</w:t>
      </w:r>
    </w:p>
    <w:p w14:paraId="203862C4" w14:textId="4E71097F" w:rsidR="00CD785B" w:rsidRPr="001D3520" w:rsidRDefault="001002C6" w:rsidP="002F701E">
      <w:pPr>
        <w:suppressLineNumbers/>
        <w:jc w:val="center"/>
        <w:rPr>
          <w:rFonts w:ascii="Verdana" w:hAnsi="Verdana"/>
          <w:b/>
          <w:sz w:val="20"/>
          <w:szCs w:val="20"/>
        </w:rPr>
      </w:pPr>
      <w:r w:rsidRPr="001D3520">
        <w:rPr>
          <w:rFonts w:ascii="Verdana" w:hAnsi="Verdana"/>
          <w:b/>
          <w:sz w:val="20"/>
          <w:szCs w:val="20"/>
        </w:rPr>
        <w:t>RESPECTO DE HONDURAS</w:t>
      </w:r>
      <w:r w:rsidR="00CD785B" w:rsidRPr="001D3520">
        <w:rPr>
          <w:rFonts w:ascii="Verdana" w:hAnsi="Verdana"/>
          <w:b/>
          <w:sz w:val="20"/>
          <w:szCs w:val="20"/>
        </w:rPr>
        <w:t xml:space="preserve"> </w:t>
      </w:r>
    </w:p>
    <w:p w14:paraId="2E31C1CF" w14:textId="77777777" w:rsidR="00CD785B" w:rsidRPr="001D3520" w:rsidRDefault="00CD785B" w:rsidP="002F701E">
      <w:pPr>
        <w:suppressLineNumbers/>
        <w:tabs>
          <w:tab w:val="left" w:pos="720"/>
        </w:tabs>
        <w:jc w:val="center"/>
        <w:rPr>
          <w:rFonts w:ascii="Verdana" w:hAnsi="Verdana"/>
          <w:b/>
          <w:sz w:val="20"/>
          <w:szCs w:val="20"/>
          <w:u w:val="single"/>
        </w:rPr>
      </w:pPr>
    </w:p>
    <w:p w14:paraId="45E4FC6A" w14:textId="77777777" w:rsidR="00CD785B" w:rsidRPr="001D3520" w:rsidRDefault="00CD785B" w:rsidP="002F701E">
      <w:pPr>
        <w:suppressLineNumbers/>
        <w:tabs>
          <w:tab w:val="left" w:pos="720"/>
        </w:tabs>
        <w:jc w:val="center"/>
        <w:rPr>
          <w:rFonts w:ascii="Verdana" w:hAnsi="Verdana"/>
          <w:b/>
          <w:sz w:val="20"/>
          <w:szCs w:val="20"/>
        </w:rPr>
      </w:pPr>
    </w:p>
    <w:p w14:paraId="7CB43CA8" w14:textId="43D85FA6" w:rsidR="00CD785B" w:rsidRPr="001D3520" w:rsidRDefault="00CD785B" w:rsidP="002F701E">
      <w:pPr>
        <w:suppressLineNumbers/>
        <w:tabs>
          <w:tab w:val="left" w:pos="720"/>
        </w:tabs>
        <w:jc w:val="center"/>
        <w:rPr>
          <w:rFonts w:ascii="Verdana" w:hAnsi="Verdana"/>
          <w:b/>
          <w:sz w:val="20"/>
          <w:szCs w:val="20"/>
        </w:rPr>
      </w:pPr>
      <w:r w:rsidRPr="001D3520">
        <w:rPr>
          <w:rFonts w:ascii="Verdana" w:hAnsi="Verdana"/>
          <w:b/>
          <w:i/>
          <w:sz w:val="20"/>
          <w:szCs w:val="20"/>
        </w:rPr>
        <w:t xml:space="preserve">CASO </w:t>
      </w:r>
      <w:r w:rsidR="00DA7132" w:rsidRPr="001D3520">
        <w:rPr>
          <w:rFonts w:ascii="Verdana" w:hAnsi="Verdana"/>
          <w:b/>
          <w:i/>
          <w:sz w:val="20"/>
          <w:szCs w:val="20"/>
        </w:rPr>
        <w:t>COMUNIDADES GARÍFUNAS DE TRIUNFO DE LA CRUZ Y PUNTA PIEDRA</w:t>
      </w:r>
      <w:r w:rsidRPr="001D3520">
        <w:rPr>
          <w:rFonts w:ascii="Verdana" w:hAnsi="Verdana"/>
          <w:b/>
          <w:i/>
          <w:sz w:val="20"/>
          <w:szCs w:val="20"/>
        </w:rPr>
        <w:t xml:space="preserve"> </w:t>
      </w:r>
    </w:p>
    <w:p w14:paraId="2987E42E" w14:textId="77777777" w:rsidR="00476CE6" w:rsidRPr="001D3520" w:rsidRDefault="00476CE6" w:rsidP="002F701E">
      <w:pPr>
        <w:suppressLineNumbers/>
      </w:pPr>
    </w:p>
    <w:p w14:paraId="5D4988F5" w14:textId="77777777" w:rsidR="00CD785B" w:rsidRPr="001D3520" w:rsidRDefault="00CD785B" w:rsidP="002F701E">
      <w:pPr>
        <w:suppressLineNumbers/>
        <w:jc w:val="both"/>
        <w:rPr>
          <w:rFonts w:ascii="Verdana" w:hAnsi="Verdana"/>
          <w:b/>
          <w:smallCaps/>
          <w:sz w:val="20"/>
          <w:szCs w:val="20"/>
        </w:rPr>
      </w:pPr>
      <w:r w:rsidRPr="001D3520">
        <w:rPr>
          <w:rFonts w:ascii="Verdana" w:hAnsi="Verdana"/>
          <w:b/>
          <w:caps/>
          <w:sz w:val="20"/>
          <w:szCs w:val="20"/>
        </w:rPr>
        <w:t>Visto</w:t>
      </w:r>
      <w:r w:rsidRPr="001D3520">
        <w:rPr>
          <w:rFonts w:ascii="Verdana" w:hAnsi="Verdana"/>
          <w:b/>
          <w:smallCaps/>
          <w:sz w:val="20"/>
          <w:szCs w:val="20"/>
        </w:rPr>
        <w:t xml:space="preserve">: </w:t>
      </w:r>
    </w:p>
    <w:p w14:paraId="69180D72" w14:textId="77777777" w:rsidR="00CD785B" w:rsidRPr="001D3520" w:rsidRDefault="00CD785B" w:rsidP="002F701E">
      <w:pPr>
        <w:suppressLineNumbers/>
        <w:jc w:val="both"/>
        <w:rPr>
          <w:rFonts w:ascii="Verdana" w:hAnsi="Verdana"/>
          <w:b/>
          <w:smallCaps/>
          <w:sz w:val="20"/>
          <w:szCs w:val="20"/>
        </w:rPr>
      </w:pPr>
    </w:p>
    <w:p w14:paraId="5AC8C493" w14:textId="77777777" w:rsidR="00CD785B" w:rsidRPr="001D3520" w:rsidRDefault="00CD785B" w:rsidP="0021703A">
      <w:pPr>
        <w:pStyle w:val="Prrafodelista"/>
        <w:numPr>
          <w:ilvl w:val="0"/>
          <w:numId w:val="1"/>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La Sentencia de excepciones preliminares, fondo, reparaciones y costas </w:t>
      </w:r>
      <w:r w:rsidR="00897F6A" w:rsidRPr="001D3520">
        <w:rPr>
          <w:rFonts w:ascii="Verdana" w:hAnsi="Verdana"/>
          <w:sz w:val="20"/>
          <w:szCs w:val="20"/>
          <w:lang w:val="es-ES_tradnl"/>
        </w:rPr>
        <w:t>d</w:t>
      </w:r>
      <w:r w:rsidR="008F3C79" w:rsidRPr="001D3520">
        <w:rPr>
          <w:rFonts w:ascii="Verdana" w:hAnsi="Verdana"/>
          <w:sz w:val="20"/>
          <w:szCs w:val="20"/>
          <w:lang w:val="es-ES_tradnl"/>
        </w:rPr>
        <w:t>el caso Comunidad Garífuna de Punta Piedra y sus miembros</w:t>
      </w:r>
      <w:r w:rsidR="0056652D" w:rsidRPr="001D3520">
        <w:rPr>
          <w:rStyle w:val="Refdenotaalpie"/>
          <w:szCs w:val="20"/>
          <w:lang w:val="es-ES_tradnl"/>
        </w:rPr>
        <w:footnoteReference w:id="1"/>
      </w:r>
      <w:r w:rsidR="008F3C79" w:rsidRPr="001D3520">
        <w:rPr>
          <w:rFonts w:ascii="Verdana" w:hAnsi="Verdana"/>
          <w:sz w:val="20"/>
          <w:szCs w:val="20"/>
          <w:lang w:val="es-ES_tradnl"/>
        </w:rPr>
        <w:t xml:space="preserve"> y la Sentencia de fondo, reparaciones y costas </w:t>
      </w:r>
      <w:r w:rsidR="00897F6A" w:rsidRPr="001D3520">
        <w:rPr>
          <w:rFonts w:ascii="Verdana" w:hAnsi="Verdana"/>
          <w:sz w:val="20"/>
          <w:szCs w:val="20"/>
          <w:lang w:val="es-ES_tradnl"/>
        </w:rPr>
        <w:t>del caso Comunidad Garífuna Triunfo de la Cruz y sus miembros</w:t>
      </w:r>
      <w:r w:rsidR="00DE5901" w:rsidRPr="001D3520">
        <w:rPr>
          <w:rStyle w:val="Refdenotaalpie"/>
          <w:szCs w:val="20"/>
          <w:lang w:val="es-ES_tradnl"/>
        </w:rPr>
        <w:footnoteReference w:id="2"/>
      </w:r>
      <w:r w:rsidR="00897F6A" w:rsidRPr="001D3520">
        <w:rPr>
          <w:rFonts w:ascii="Verdana" w:hAnsi="Verdana"/>
          <w:sz w:val="20"/>
          <w:szCs w:val="20"/>
          <w:lang w:val="es-ES_tradnl"/>
        </w:rPr>
        <w:t xml:space="preserve">, ambas </w:t>
      </w:r>
      <w:r w:rsidRPr="001D3520">
        <w:rPr>
          <w:rFonts w:ascii="Verdana" w:hAnsi="Verdana"/>
          <w:sz w:val="20"/>
          <w:szCs w:val="20"/>
          <w:lang w:val="es-ES_tradnl"/>
        </w:rPr>
        <w:t>dictada</w:t>
      </w:r>
      <w:r w:rsidR="00897F6A" w:rsidRPr="001D3520">
        <w:rPr>
          <w:rFonts w:ascii="Verdana" w:hAnsi="Verdana"/>
          <w:sz w:val="20"/>
          <w:szCs w:val="20"/>
          <w:lang w:val="es-ES_tradnl"/>
        </w:rPr>
        <w:t>s</w:t>
      </w:r>
      <w:r w:rsidRPr="001D3520">
        <w:rPr>
          <w:rFonts w:ascii="Verdana" w:hAnsi="Verdana"/>
          <w:sz w:val="20"/>
          <w:szCs w:val="20"/>
          <w:lang w:val="es-ES_tradnl"/>
        </w:rPr>
        <w:t xml:space="preserve"> por la Corte Interamericana de Derechos Humanos (en adelante “la Corte Interamericana”, “la Corte” o “el Tribunal”)</w:t>
      </w:r>
      <w:r w:rsidR="00897F6A" w:rsidRPr="001D3520">
        <w:rPr>
          <w:rFonts w:ascii="Verdana" w:hAnsi="Verdana"/>
          <w:sz w:val="20"/>
          <w:szCs w:val="20"/>
          <w:lang w:val="es-ES_tradnl"/>
        </w:rPr>
        <w:t xml:space="preserve"> el 8 de octubre de 2015</w:t>
      </w:r>
      <w:r w:rsidR="00AD6B11" w:rsidRPr="001D3520">
        <w:rPr>
          <w:rFonts w:ascii="Verdana" w:hAnsi="Verdana"/>
          <w:sz w:val="20"/>
          <w:szCs w:val="20"/>
          <w:lang w:val="es-ES_tradnl"/>
        </w:rPr>
        <w:t xml:space="preserve"> en contra de</w:t>
      </w:r>
      <w:r w:rsidR="002367C3" w:rsidRPr="001D3520">
        <w:rPr>
          <w:rFonts w:ascii="Verdana" w:hAnsi="Verdana"/>
          <w:sz w:val="20"/>
          <w:szCs w:val="20"/>
          <w:lang w:val="es-ES_tradnl"/>
        </w:rPr>
        <w:t xml:space="preserve"> </w:t>
      </w:r>
      <w:r w:rsidR="00AD6B11" w:rsidRPr="001D3520">
        <w:rPr>
          <w:rFonts w:ascii="Verdana" w:hAnsi="Verdana"/>
          <w:sz w:val="20"/>
          <w:szCs w:val="20"/>
          <w:lang w:val="es-ES_tradnl"/>
        </w:rPr>
        <w:t>l</w:t>
      </w:r>
      <w:r w:rsidR="002367C3" w:rsidRPr="001D3520">
        <w:rPr>
          <w:rFonts w:ascii="Verdana" w:hAnsi="Verdana"/>
          <w:sz w:val="20"/>
          <w:szCs w:val="20"/>
          <w:lang w:val="es-ES_tradnl"/>
        </w:rPr>
        <w:t>a República</w:t>
      </w:r>
      <w:r w:rsidR="00AD6B11" w:rsidRPr="001D3520">
        <w:rPr>
          <w:rFonts w:ascii="Verdana" w:hAnsi="Verdana"/>
          <w:sz w:val="20"/>
          <w:szCs w:val="20"/>
          <w:lang w:val="es-ES_tradnl"/>
        </w:rPr>
        <w:t xml:space="preserve"> de Honduras</w:t>
      </w:r>
      <w:r w:rsidR="0056652D" w:rsidRPr="001D3520">
        <w:rPr>
          <w:rFonts w:ascii="Verdana" w:hAnsi="Verdana"/>
          <w:sz w:val="20"/>
          <w:szCs w:val="20"/>
          <w:lang w:val="es-ES_tradnl"/>
        </w:rPr>
        <w:t xml:space="preserve"> (en adelante “el Estado” u “Honduras”)</w:t>
      </w:r>
      <w:r w:rsidRPr="001D3520">
        <w:rPr>
          <w:rStyle w:val="Refdenotaalpie"/>
          <w:sz w:val="20"/>
          <w:szCs w:val="20"/>
          <w:lang w:val="es-ES_tradnl"/>
        </w:rPr>
        <w:footnoteReference w:id="3"/>
      </w:r>
      <w:r w:rsidRPr="001D3520">
        <w:rPr>
          <w:rFonts w:ascii="Verdana" w:hAnsi="Verdana"/>
          <w:sz w:val="20"/>
          <w:szCs w:val="20"/>
          <w:lang w:val="es-ES_tradnl"/>
        </w:rPr>
        <w:t xml:space="preserve">. </w:t>
      </w:r>
    </w:p>
    <w:p w14:paraId="632A2666" w14:textId="77777777" w:rsidR="00F2409E" w:rsidRPr="001D3520" w:rsidRDefault="00F2409E" w:rsidP="00F2409E">
      <w:pPr>
        <w:suppressLineNumbers/>
        <w:jc w:val="both"/>
        <w:rPr>
          <w:rFonts w:ascii="Verdana" w:hAnsi="Verdana"/>
          <w:sz w:val="20"/>
          <w:szCs w:val="20"/>
        </w:rPr>
      </w:pPr>
    </w:p>
    <w:p w14:paraId="630FFF94" w14:textId="1DFEF1E1" w:rsidR="00F2409E" w:rsidRPr="001D3520" w:rsidRDefault="00F2409E" w:rsidP="0021703A">
      <w:pPr>
        <w:pStyle w:val="Prrafodelista"/>
        <w:numPr>
          <w:ilvl w:val="0"/>
          <w:numId w:val="1"/>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Las resoluciones de supervisión de cumplimiento de Sentencia emitidas el 14 de mayo de 2019</w:t>
      </w:r>
      <w:r w:rsidRPr="001D3520">
        <w:rPr>
          <w:rStyle w:val="Refdenotaalpie"/>
          <w:sz w:val="20"/>
          <w:szCs w:val="20"/>
          <w:lang w:val="es-ES_tradnl"/>
        </w:rPr>
        <w:footnoteReference w:id="4"/>
      </w:r>
      <w:r w:rsidRPr="001D3520">
        <w:rPr>
          <w:rFonts w:ascii="Verdana" w:hAnsi="Verdana"/>
          <w:sz w:val="20"/>
          <w:szCs w:val="20"/>
          <w:lang w:val="es-ES_tradnl"/>
        </w:rPr>
        <w:t>.</w:t>
      </w:r>
    </w:p>
    <w:p w14:paraId="2DC81A44" w14:textId="77777777" w:rsidR="00B929AD" w:rsidRPr="001D3520" w:rsidRDefault="00B929AD" w:rsidP="00B929AD">
      <w:pPr>
        <w:pStyle w:val="Prrafodelista"/>
        <w:rPr>
          <w:rFonts w:ascii="Verdana" w:hAnsi="Verdana"/>
          <w:sz w:val="20"/>
          <w:szCs w:val="20"/>
          <w:lang w:val="es-ES_tradnl"/>
        </w:rPr>
      </w:pPr>
    </w:p>
    <w:p w14:paraId="58920EB1" w14:textId="26E597DB" w:rsidR="00B929AD" w:rsidRPr="001D3520" w:rsidRDefault="00B929AD" w:rsidP="0021703A">
      <w:pPr>
        <w:pStyle w:val="Prrafodelista"/>
        <w:numPr>
          <w:ilvl w:val="0"/>
          <w:numId w:val="1"/>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La Resolución de Medidas Urgentes </w:t>
      </w:r>
      <w:r w:rsidR="00D874F4">
        <w:rPr>
          <w:rFonts w:ascii="Verdana" w:hAnsi="Verdana"/>
          <w:sz w:val="20"/>
          <w:szCs w:val="20"/>
          <w:lang w:val="es-ES_tradnl"/>
        </w:rPr>
        <w:t>adoptada por</w:t>
      </w:r>
      <w:r w:rsidR="00D874F4" w:rsidRPr="001D3520">
        <w:rPr>
          <w:rFonts w:ascii="Verdana" w:hAnsi="Verdana"/>
          <w:sz w:val="20"/>
          <w:szCs w:val="20"/>
          <w:lang w:val="es-ES_tradnl"/>
        </w:rPr>
        <w:t xml:space="preserve"> </w:t>
      </w:r>
      <w:r w:rsidRPr="001D3520">
        <w:rPr>
          <w:rFonts w:ascii="Verdana" w:hAnsi="Verdana"/>
          <w:sz w:val="20"/>
          <w:szCs w:val="20"/>
          <w:lang w:val="es-ES_tradnl"/>
        </w:rPr>
        <w:t xml:space="preserve">la Presidenta de la Corte </w:t>
      </w:r>
      <w:r w:rsidR="00D874F4">
        <w:rPr>
          <w:rFonts w:ascii="Verdana" w:hAnsi="Verdana"/>
          <w:sz w:val="20"/>
          <w:szCs w:val="20"/>
          <w:lang w:val="es-ES_tradnl"/>
        </w:rPr>
        <w:t>el</w:t>
      </w:r>
      <w:r w:rsidR="00D874F4" w:rsidRPr="001D3520">
        <w:rPr>
          <w:rFonts w:ascii="Verdana" w:hAnsi="Verdana"/>
          <w:sz w:val="20"/>
          <w:szCs w:val="20"/>
          <w:lang w:val="es-ES_tradnl"/>
        </w:rPr>
        <w:t xml:space="preserve"> </w:t>
      </w:r>
      <w:r w:rsidRPr="001D3520">
        <w:rPr>
          <w:rFonts w:ascii="Verdana" w:hAnsi="Verdana"/>
          <w:sz w:val="20"/>
          <w:szCs w:val="20"/>
          <w:lang w:val="es-ES_tradnl"/>
        </w:rPr>
        <w:t>6 de agosto de 2020</w:t>
      </w:r>
      <w:r w:rsidR="00D874F4">
        <w:rPr>
          <w:rFonts w:ascii="Verdana" w:hAnsi="Verdana"/>
          <w:sz w:val="20"/>
          <w:szCs w:val="20"/>
          <w:lang w:val="es-ES_tradnl"/>
        </w:rPr>
        <w:t>,</w:t>
      </w:r>
      <w:r w:rsidR="00E33674" w:rsidRPr="001D3520">
        <w:rPr>
          <w:rFonts w:ascii="Verdana" w:hAnsi="Verdana"/>
          <w:sz w:val="20"/>
          <w:szCs w:val="20"/>
          <w:lang w:val="es-ES_tradnl"/>
        </w:rPr>
        <w:t xml:space="preserve"> mediante la cual se requirió al Estado de Honduras que adopte a) todas las medidas necesarias y adecuadas para determinar el paradero de Milton Joel Martínez Álvarez, </w:t>
      </w:r>
      <w:proofErr w:type="spellStart"/>
      <w:r w:rsidR="00E33674" w:rsidRPr="001D3520">
        <w:rPr>
          <w:rFonts w:ascii="Verdana" w:hAnsi="Verdana"/>
          <w:sz w:val="20"/>
          <w:szCs w:val="20"/>
          <w:lang w:val="es-ES_tradnl"/>
        </w:rPr>
        <w:t>Suami</w:t>
      </w:r>
      <w:proofErr w:type="spellEnd"/>
      <w:r w:rsidR="00E33674" w:rsidRPr="001D3520">
        <w:rPr>
          <w:rFonts w:ascii="Verdana" w:hAnsi="Verdana"/>
          <w:sz w:val="20"/>
          <w:szCs w:val="20"/>
          <w:lang w:val="es-ES_tradnl"/>
        </w:rPr>
        <w:t xml:space="preserve"> Aparicio Mejía García, </w:t>
      </w:r>
      <w:r w:rsidR="00E33674" w:rsidRPr="001D3520">
        <w:rPr>
          <w:rFonts w:ascii="Verdana" w:hAnsi="Verdana"/>
          <w:sz w:val="20"/>
          <w:lang w:val="es-ES_tradnl"/>
        </w:rPr>
        <w:t>Gerardo Misael Trochez Calix</w:t>
      </w:r>
      <w:r w:rsidR="00E33674" w:rsidRPr="001D3520">
        <w:rPr>
          <w:rFonts w:ascii="Verdana" w:hAnsi="Verdana"/>
          <w:sz w:val="20"/>
          <w:szCs w:val="20"/>
          <w:lang w:val="es-ES_tradnl"/>
        </w:rPr>
        <w:t xml:space="preserve"> y Albert </w:t>
      </w:r>
      <w:proofErr w:type="spellStart"/>
      <w:r w:rsidR="00E33674" w:rsidRPr="001D3520">
        <w:rPr>
          <w:rFonts w:ascii="Verdana" w:hAnsi="Verdana"/>
          <w:sz w:val="20"/>
          <w:szCs w:val="20"/>
          <w:lang w:val="es-ES_tradnl"/>
        </w:rPr>
        <w:t>Snaider</w:t>
      </w:r>
      <w:proofErr w:type="spellEnd"/>
      <w:r w:rsidR="00E33674" w:rsidRPr="001D3520">
        <w:rPr>
          <w:rFonts w:ascii="Verdana" w:hAnsi="Verdana"/>
          <w:sz w:val="20"/>
          <w:szCs w:val="20"/>
          <w:lang w:val="es-ES_tradnl"/>
        </w:rPr>
        <w:t xml:space="preserve"> Centeno Thomas que se encuentran desaparecidos desde el 18 de julio de 2020, y b) todas las medidas adecuadas para proteger efectivamente los derechos a la vida, e integridad personal de lo</w:t>
      </w:r>
      <w:r w:rsidR="00D874F4">
        <w:rPr>
          <w:rFonts w:ascii="Verdana" w:hAnsi="Verdana"/>
          <w:sz w:val="20"/>
          <w:szCs w:val="20"/>
          <w:lang w:val="es-ES_tradnl"/>
        </w:rPr>
        <w:t>s</w:t>
      </w:r>
      <w:r w:rsidR="00E33674" w:rsidRPr="001D3520">
        <w:rPr>
          <w:rFonts w:ascii="Verdana" w:hAnsi="Verdana"/>
          <w:sz w:val="20"/>
          <w:szCs w:val="20"/>
          <w:lang w:val="es-ES_tradnl"/>
        </w:rPr>
        <w:t xml:space="preserve"> integrantes de las Comunidades Garífuna de Triunfo de la Cruz y de Punta Piedra que desarrollan colectivamente acciones de defensa de los derechos del pueblo Garífuna</w:t>
      </w:r>
      <w:r w:rsidR="00E33674" w:rsidRPr="001D3520">
        <w:rPr>
          <w:rStyle w:val="Refdenotaalpie"/>
          <w:szCs w:val="20"/>
          <w:lang w:val="es-ES_tradnl"/>
        </w:rPr>
        <w:footnoteReference w:id="5"/>
      </w:r>
      <w:r w:rsidR="00E33674" w:rsidRPr="001D3520">
        <w:rPr>
          <w:rFonts w:ascii="Verdana" w:hAnsi="Verdana"/>
          <w:sz w:val="20"/>
          <w:szCs w:val="20"/>
          <w:lang w:val="es-ES_tradnl"/>
        </w:rPr>
        <w:t>.</w:t>
      </w:r>
    </w:p>
    <w:p w14:paraId="0677D958" w14:textId="77777777" w:rsidR="00E33674" w:rsidRPr="001D3520" w:rsidRDefault="00E33674" w:rsidP="00E33674">
      <w:pPr>
        <w:pStyle w:val="Prrafodelista"/>
        <w:rPr>
          <w:rFonts w:ascii="Verdana" w:hAnsi="Verdana"/>
          <w:sz w:val="20"/>
          <w:szCs w:val="20"/>
          <w:lang w:val="es-ES_tradnl"/>
        </w:rPr>
      </w:pPr>
    </w:p>
    <w:p w14:paraId="03F5D440" w14:textId="7D100BBA" w:rsidR="007056C3" w:rsidRPr="001D3520" w:rsidRDefault="001002C6" w:rsidP="0021703A">
      <w:pPr>
        <w:pStyle w:val="Prrafodelista"/>
        <w:numPr>
          <w:ilvl w:val="0"/>
          <w:numId w:val="1"/>
        </w:numPr>
        <w:suppressLineNumber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Los</w:t>
      </w:r>
      <w:r w:rsidR="00E96612" w:rsidRPr="001D3520">
        <w:rPr>
          <w:rFonts w:ascii="Verdana" w:hAnsi="Verdana"/>
          <w:sz w:val="20"/>
          <w:szCs w:val="20"/>
          <w:lang w:val="es-ES_tradnl"/>
        </w:rPr>
        <w:t xml:space="preserve"> escrito</w:t>
      </w:r>
      <w:r w:rsidRPr="001D3520">
        <w:rPr>
          <w:rFonts w:ascii="Verdana" w:hAnsi="Verdana"/>
          <w:sz w:val="20"/>
          <w:szCs w:val="20"/>
          <w:lang w:val="es-ES_tradnl"/>
        </w:rPr>
        <w:t>s</w:t>
      </w:r>
      <w:r w:rsidR="00E96612" w:rsidRPr="001D3520">
        <w:rPr>
          <w:rFonts w:ascii="Verdana" w:hAnsi="Verdana"/>
          <w:sz w:val="20"/>
          <w:szCs w:val="20"/>
          <w:lang w:val="es-ES_tradnl"/>
        </w:rPr>
        <w:t xml:space="preserve"> presentado</w:t>
      </w:r>
      <w:r w:rsidR="00E7649A" w:rsidRPr="001D3520">
        <w:rPr>
          <w:rFonts w:ascii="Verdana" w:hAnsi="Verdana"/>
          <w:sz w:val="20"/>
          <w:szCs w:val="20"/>
          <w:lang w:val="es-ES_tradnl"/>
        </w:rPr>
        <w:t>s</w:t>
      </w:r>
      <w:r w:rsidR="00E96612" w:rsidRPr="001D3520">
        <w:rPr>
          <w:rFonts w:ascii="Verdana" w:hAnsi="Verdana"/>
          <w:sz w:val="20"/>
          <w:szCs w:val="20"/>
          <w:lang w:val="es-ES_tradnl"/>
        </w:rPr>
        <w:t xml:space="preserve"> por lo</w:t>
      </w:r>
      <w:r w:rsidR="007056C3" w:rsidRPr="001D3520">
        <w:rPr>
          <w:rFonts w:ascii="Verdana" w:hAnsi="Verdana"/>
          <w:sz w:val="20"/>
          <w:szCs w:val="20"/>
          <w:lang w:val="es-ES_tradnl"/>
        </w:rPr>
        <w:t>s representantes de la</w:t>
      </w:r>
      <w:r w:rsidR="00E96612" w:rsidRPr="001D3520">
        <w:rPr>
          <w:rFonts w:ascii="Verdana" w:hAnsi="Verdana"/>
          <w:sz w:val="20"/>
          <w:szCs w:val="20"/>
          <w:lang w:val="es-ES_tradnl"/>
        </w:rPr>
        <w:t>s</w:t>
      </w:r>
      <w:r w:rsidR="007056C3" w:rsidRPr="001D3520">
        <w:rPr>
          <w:rFonts w:ascii="Verdana" w:hAnsi="Verdana"/>
          <w:sz w:val="20"/>
          <w:szCs w:val="20"/>
          <w:lang w:val="es-ES_tradnl"/>
        </w:rPr>
        <w:t xml:space="preserve"> víctima</w:t>
      </w:r>
      <w:r w:rsidR="00E96612" w:rsidRPr="001D3520">
        <w:rPr>
          <w:rFonts w:ascii="Verdana" w:hAnsi="Verdana"/>
          <w:sz w:val="20"/>
          <w:szCs w:val="20"/>
          <w:lang w:val="es-ES_tradnl"/>
        </w:rPr>
        <w:t>s</w:t>
      </w:r>
      <w:r w:rsidR="007056C3" w:rsidRPr="001D3520">
        <w:rPr>
          <w:rFonts w:ascii="Verdana" w:eastAsia="Calibri" w:hAnsi="Verdana" w:cs="Verdana"/>
          <w:color w:val="000000"/>
          <w:sz w:val="20"/>
          <w:szCs w:val="20"/>
          <w:lang w:val="es-ES_tradnl"/>
        </w:rPr>
        <w:t xml:space="preserve"> </w:t>
      </w:r>
      <w:r w:rsidR="007056C3" w:rsidRPr="001D3520">
        <w:rPr>
          <w:rFonts w:ascii="Verdana" w:hAnsi="Verdana"/>
          <w:color w:val="000000"/>
          <w:sz w:val="20"/>
          <w:szCs w:val="20"/>
          <w:shd w:val="clear" w:color="auto" w:fill="FFFFFF"/>
          <w:lang w:val="es-ES_tradnl"/>
        </w:rPr>
        <w:t>(en adelante “l</w:t>
      </w:r>
      <w:r w:rsidR="0056652D" w:rsidRPr="001D3520">
        <w:rPr>
          <w:rFonts w:ascii="Verdana" w:hAnsi="Verdana"/>
          <w:color w:val="000000"/>
          <w:sz w:val="20"/>
          <w:szCs w:val="20"/>
          <w:shd w:val="clear" w:color="auto" w:fill="FFFFFF"/>
          <w:lang w:val="es-ES_tradnl"/>
        </w:rPr>
        <w:t>o</w:t>
      </w:r>
      <w:r w:rsidR="007056C3" w:rsidRPr="001D3520">
        <w:rPr>
          <w:rFonts w:ascii="Verdana" w:hAnsi="Verdana"/>
          <w:color w:val="000000"/>
          <w:sz w:val="20"/>
          <w:szCs w:val="20"/>
          <w:shd w:val="clear" w:color="auto" w:fill="FFFFFF"/>
          <w:lang w:val="es-ES_tradnl"/>
        </w:rPr>
        <w:t>s representantes”)</w:t>
      </w:r>
      <w:r w:rsidR="007056C3" w:rsidRPr="001D3520">
        <w:rPr>
          <w:rStyle w:val="Refdenotaalpie"/>
          <w:sz w:val="20"/>
          <w:szCs w:val="20"/>
          <w:lang w:val="es-ES_tradnl"/>
        </w:rPr>
        <w:footnoteReference w:id="6"/>
      </w:r>
      <w:r w:rsidR="007056C3" w:rsidRPr="001D3520">
        <w:rPr>
          <w:rFonts w:ascii="Verdana" w:eastAsia="Calibri" w:hAnsi="Verdana" w:cs="Verdana"/>
          <w:color w:val="000000"/>
          <w:sz w:val="20"/>
          <w:szCs w:val="20"/>
          <w:lang w:val="es-ES_tradnl"/>
        </w:rPr>
        <w:t xml:space="preserve"> el </w:t>
      </w:r>
      <w:r w:rsidRPr="001D3520">
        <w:rPr>
          <w:rFonts w:ascii="Verdana" w:eastAsia="Calibri" w:hAnsi="Verdana" w:cs="Verdana"/>
          <w:color w:val="000000"/>
          <w:sz w:val="20"/>
          <w:szCs w:val="20"/>
          <w:lang w:val="es-ES_tradnl"/>
        </w:rPr>
        <w:t>18 de agosto</w:t>
      </w:r>
      <w:r w:rsidR="007056C3" w:rsidRPr="001D3520">
        <w:rPr>
          <w:rFonts w:ascii="Verdana" w:hAnsi="Verdana"/>
          <w:sz w:val="20"/>
          <w:szCs w:val="20"/>
          <w:lang w:val="es-ES_tradnl"/>
        </w:rPr>
        <w:t xml:space="preserve"> de 2020, </w:t>
      </w:r>
      <w:r w:rsidR="00A43A40" w:rsidRPr="001D3520">
        <w:rPr>
          <w:rFonts w:ascii="Verdana" w:hAnsi="Verdana"/>
          <w:sz w:val="20"/>
          <w:szCs w:val="20"/>
          <w:lang w:val="es-ES_tradnl"/>
        </w:rPr>
        <w:t>mediante los cuales informaron a la Corte los nombres de los pobladores de las dos comunidades que serán beneficiarios</w:t>
      </w:r>
      <w:r w:rsidR="00A43A40" w:rsidRPr="001D3520">
        <w:rPr>
          <w:rFonts w:ascii="Verdana" w:hAnsi="Verdana"/>
          <w:sz w:val="20"/>
          <w:lang w:val="es-ES_tradnl"/>
        </w:rPr>
        <w:t>,</w:t>
      </w:r>
      <w:r w:rsidR="00A43A40" w:rsidRPr="001D3520">
        <w:rPr>
          <w:rFonts w:ascii="Verdana" w:eastAsia="Times" w:hAnsi="Verdana" w:cs="Times New Roman"/>
          <w:sz w:val="18"/>
          <w:szCs w:val="18"/>
          <w:lang w:val="es-ES_tradnl"/>
        </w:rPr>
        <w:t xml:space="preserve"> </w:t>
      </w:r>
      <w:r w:rsidR="00A43A40" w:rsidRPr="001D3520">
        <w:rPr>
          <w:rFonts w:ascii="Verdana" w:hAnsi="Verdana"/>
          <w:sz w:val="20"/>
          <w:lang w:val="es-ES_tradnl"/>
        </w:rPr>
        <w:t xml:space="preserve">en cumplimiento de lo dispuesto en el punto resolutivo 3 de la Resolución de la </w:t>
      </w:r>
      <w:proofErr w:type="gramStart"/>
      <w:r w:rsidR="00A43A40" w:rsidRPr="001D3520">
        <w:rPr>
          <w:rFonts w:ascii="Verdana" w:hAnsi="Verdana"/>
          <w:sz w:val="20"/>
          <w:lang w:val="es-ES_tradnl"/>
        </w:rPr>
        <w:t>Presidenta</w:t>
      </w:r>
      <w:proofErr w:type="gramEnd"/>
      <w:r w:rsidR="00A43A40" w:rsidRPr="001D3520">
        <w:rPr>
          <w:rFonts w:ascii="Verdana" w:hAnsi="Verdana"/>
          <w:sz w:val="20"/>
          <w:lang w:val="es-ES_tradnl"/>
        </w:rPr>
        <w:t xml:space="preserve"> de 6 de agosto de 2020. </w:t>
      </w:r>
      <w:r w:rsidR="00366E64" w:rsidRPr="001D3520">
        <w:rPr>
          <w:rFonts w:ascii="Verdana" w:hAnsi="Verdana"/>
          <w:sz w:val="20"/>
          <w:lang w:val="es-ES_tradnl"/>
        </w:rPr>
        <w:t xml:space="preserve"> </w:t>
      </w:r>
    </w:p>
    <w:p w14:paraId="08DC3FE5" w14:textId="77777777" w:rsidR="007056C3" w:rsidRPr="001D3520" w:rsidRDefault="007056C3" w:rsidP="002F701E">
      <w:pPr>
        <w:pStyle w:val="Prrafodelista"/>
        <w:suppressLineNumbers/>
        <w:spacing w:after="0" w:line="240" w:lineRule="auto"/>
        <w:ind w:left="0"/>
        <w:jc w:val="both"/>
        <w:rPr>
          <w:rFonts w:ascii="Verdana" w:eastAsia="Calibri" w:hAnsi="Verdana" w:cs="Verdana"/>
          <w:color w:val="000000"/>
          <w:sz w:val="20"/>
          <w:szCs w:val="20"/>
          <w:lang w:val="es-ES_tradnl"/>
        </w:rPr>
      </w:pPr>
    </w:p>
    <w:p w14:paraId="048BE0DA" w14:textId="6BD19FB2" w:rsidR="007056C3" w:rsidRPr="001D3520" w:rsidRDefault="007056C3" w:rsidP="002F701E">
      <w:pPr>
        <w:pStyle w:val="Prrafodelista"/>
        <w:numPr>
          <w:ilvl w:val="0"/>
          <w:numId w:val="1"/>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La nota de la Secretaría de la Corte de </w:t>
      </w:r>
      <w:r w:rsidR="00A43A40" w:rsidRPr="001D3520">
        <w:rPr>
          <w:rFonts w:ascii="Verdana" w:hAnsi="Verdana"/>
          <w:sz w:val="20"/>
          <w:szCs w:val="20"/>
          <w:lang w:val="es-ES_tradnl"/>
        </w:rPr>
        <w:t>1</w:t>
      </w:r>
      <w:r w:rsidR="00A82E42" w:rsidRPr="001D3520">
        <w:rPr>
          <w:rFonts w:ascii="Verdana" w:hAnsi="Verdana"/>
          <w:sz w:val="20"/>
          <w:szCs w:val="20"/>
          <w:lang w:val="es-ES_tradnl"/>
        </w:rPr>
        <w:t>8</w:t>
      </w:r>
      <w:r w:rsidR="00A43A40" w:rsidRPr="001D3520">
        <w:rPr>
          <w:rFonts w:ascii="Verdana" w:hAnsi="Verdana"/>
          <w:sz w:val="20"/>
          <w:szCs w:val="20"/>
          <w:lang w:val="es-ES_tradnl"/>
        </w:rPr>
        <w:t xml:space="preserve"> de agosto</w:t>
      </w:r>
      <w:r w:rsidRPr="001D3520">
        <w:rPr>
          <w:rFonts w:ascii="Verdana" w:hAnsi="Verdana"/>
          <w:sz w:val="20"/>
          <w:szCs w:val="20"/>
          <w:lang w:val="es-ES_tradnl"/>
        </w:rPr>
        <w:t xml:space="preserve"> de 2020, mediante la cual, </w:t>
      </w:r>
      <w:r w:rsidR="00A43A40" w:rsidRPr="001D3520">
        <w:rPr>
          <w:rFonts w:ascii="Verdana" w:hAnsi="Verdana"/>
          <w:sz w:val="20"/>
          <w:szCs w:val="20"/>
          <w:lang w:val="es-ES_tradnl"/>
        </w:rPr>
        <w:t>se remitió al Estado la información presentada por los representantes el 18 de agosto y se le solicitó que tomara nota de la misma a efectos de cumplir con lo dispuesto en la Resolución de 6 de agosto de 2020</w:t>
      </w:r>
      <w:r w:rsidRPr="001D3520">
        <w:rPr>
          <w:rFonts w:ascii="Verdana" w:hAnsi="Verdana"/>
          <w:sz w:val="20"/>
          <w:szCs w:val="20"/>
          <w:lang w:val="es-ES_tradnl"/>
        </w:rPr>
        <w:t>.</w:t>
      </w:r>
    </w:p>
    <w:p w14:paraId="053DC891" w14:textId="77777777" w:rsidR="007056C3" w:rsidRPr="001D3520" w:rsidRDefault="007056C3" w:rsidP="002F701E">
      <w:pPr>
        <w:pStyle w:val="Prrafodelista"/>
        <w:suppressLineNumbers/>
        <w:rPr>
          <w:rFonts w:ascii="Verdana" w:hAnsi="Verdana"/>
          <w:sz w:val="20"/>
          <w:szCs w:val="20"/>
          <w:lang w:val="es-ES_tradnl"/>
        </w:rPr>
      </w:pPr>
    </w:p>
    <w:p w14:paraId="2E440D16" w14:textId="50FF86B2" w:rsidR="007056C3" w:rsidRPr="001D3520" w:rsidRDefault="00403A0C" w:rsidP="002F701E">
      <w:pPr>
        <w:pStyle w:val="Prrafodelista"/>
        <w:numPr>
          <w:ilvl w:val="0"/>
          <w:numId w:val="1"/>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Los</w:t>
      </w:r>
      <w:r w:rsidR="00EE311A" w:rsidRPr="001D3520">
        <w:rPr>
          <w:rFonts w:ascii="Verdana" w:hAnsi="Verdana"/>
          <w:sz w:val="20"/>
          <w:szCs w:val="20"/>
          <w:lang w:val="es-ES_tradnl"/>
        </w:rPr>
        <w:t xml:space="preserve"> escrito</w:t>
      </w:r>
      <w:r w:rsidRPr="001D3520">
        <w:rPr>
          <w:rFonts w:ascii="Verdana" w:hAnsi="Verdana"/>
          <w:sz w:val="20"/>
          <w:szCs w:val="20"/>
          <w:lang w:val="es-ES_tradnl"/>
        </w:rPr>
        <w:t>s</w:t>
      </w:r>
      <w:r w:rsidR="00EE311A" w:rsidRPr="001D3520">
        <w:rPr>
          <w:rFonts w:ascii="Verdana" w:hAnsi="Verdana"/>
          <w:sz w:val="20"/>
          <w:szCs w:val="20"/>
          <w:lang w:val="es-ES_tradnl"/>
        </w:rPr>
        <w:t xml:space="preserve"> </w:t>
      </w:r>
      <w:r w:rsidR="00683830" w:rsidRPr="001D3520">
        <w:rPr>
          <w:rFonts w:ascii="Verdana" w:hAnsi="Verdana"/>
          <w:sz w:val="20"/>
          <w:szCs w:val="20"/>
          <w:lang w:val="es-ES_tradnl"/>
        </w:rPr>
        <w:t>presentado</w:t>
      </w:r>
      <w:r w:rsidRPr="001D3520">
        <w:rPr>
          <w:rFonts w:ascii="Verdana" w:hAnsi="Verdana"/>
          <w:sz w:val="20"/>
          <w:szCs w:val="20"/>
          <w:lang w:val="es-ES_tradnl"/>
        </w:rPr>
        <w:t>s</w:t>
      </w:r>
      <w:r w:rsidR="00683830" w:rsidRPr="001D3520">
        <w:rPr>
          <w:rFonts w:ascii="Verdana" w:hAnsi="Verdana"/>
          <w:sz w:val="20"/>
          <w:szCs w:val="20"/>
          <w:lang w:val="es-ES_tradnl"/>
        </w:rPr>
        <w:t xml:space="preserve"> por el Estado el 24</w:t>
      </w:r>
      <w:r w:rsidR="00E33674" w:rsidRPr="001D3520">
        <w:rPr>
          <w:rFonts w:ascii="Verdana" w:hAnsi="Verdana"/>
          <w:sz w:val="20"/>
          <w:szCs w:val="20"/>
          <w:lang w:val="es-ES_tradnl"/>
        </w:rPr>
        <w:t>,</w:t>
      </w:r>
      <w:r w:rsidRPr="001D3520">
        <w:rPr>
          <w:rFonts w:ascii="Verdana" w:hAnsi="Verdana"/>
          <w:sz w:val="20"/>
          <w:szCs w:val="20"/>
          <w:lang w:val="es-ES_tradnl"/>
        </w:rPr>
        <w:t xml:space="preserve"> 25</w:t>
      </w:r>
      <w:r w:rsidR="00E33674" w:rsidRPr="001D3520">
        <w:rPr>
          <w:rFonts w:ascii="Verdana" w:hAnsi="Verdana"/>
          <w:sz w:val="20"/>
          <w:szCs w:val="20"/>
          <w:lang w:val="es-ES_tradnl"/>
        </w:rPr>
        <w:t xml:space="preserve"> y 31</w:t>
      </w:r>
      <w:r w:rsidRPr="001D3520">
        <w:rPr>
          <w:rFonts w:ascii="Verdana" w:hAnsi="Verdana"/>
          <w:sz w:val="20"/>
          <w:szCs w:val="20"/>
          <w:lang w:val="es-ES_tradnl"/>
        </w:rPr>
        <w:t xml:space="preserve"> </w:t>
      </w:r>
      <w:r w:rsidR="00683830" w:rsidRPr="001D3520">
        <w:rPr>
          <w:rFonts w:ascii="Verdana" w:hAnsi="Verdana"/>
          <w:sz w:val="20"/>
          <w:szCs w:val="20"/>
          <w:lang w:val="es-ES_tradnl"/>
        </w:rPr>
        <w:t>de agosto</w:t>
      </w:r>
      <w:r w:rsidRPr="001D3520">
        <w:rPr>
          <w:rFonts w:ascii="Verdana" w:hAnsi="Verdana"/>
          <w:sz w:val="20"/>
          <w:szCs w:val="20"/>
          <w:lang w:val="es-ES_tradnl"/>
        </w:rPr>
        <w:t xml:space="preserve"> de 2020, mediante </w:t>
      </w:r>
      <w:r w:rsidR="007056C3" w:rsidRPr="001D3520">
        <w:rPr>
          <w:rFonts w:ascii="Verdana" w:hAnsi="Verdana"/>
          <w:sz w:val="20"/>
          <w:szCs w:val="20"/>
          <w:lang w:val="es-ES_tradnl"/>
        </w:rPr>
        <w:t>l</w:t>
      </w:r>
      <w:r w:rsidRPr="001D3520">
        <w:rPr>
          <w:rFonts w:ascii="Verdana" w:hAnsi="Verdana"/>
          <w:sz w:val="20"/>
          <w:szCs w:val="20"/>
          <w:lang w:val="es-ES_tradnl"/>
        </w:rPr>
        <w:t>os</w:t>
      </w:r>
      <w:r w:rsidR="007056C3" w:rsidRPr="001D3520">
        <w:rPr>
          <w:rFonts w:ascii="Verdana" w:hAnsi="Verdana"/>
          <w:sz w:val="20"/>
          <w:szCs w:val="20"/>
          <w:lang w:val="es-ES_tradnl"/>
        </w:rPr>
        <w:t xml:space="preserve"> cual</w:t>
      </w:r>
      <w:r w:rsidRPr="001D3520">
        <w:rPr>
          <w:rFonts w:ascii="Verdana" w:hAnsi="Verdana"/>
          <w:sz w:val="20"/>
          <w:szCs w:val="20"/>
          <w:lang w:val="es-ES_tradnl"/>
        </w:rPr>
        <w:t>es</w:t>
      </w:r>
      <w:r w:rsidR="007056C3" w:rsidRPr="001D3520">
        <w:rPr>
          <w:rFonts w:ascii="Verdana" w:hAnsi="Verdana"/>
          <w:sz w:val="20"/>
          <w:szCs w:val="20"/>
          <w:lang w:val="es-ES_tradnl"/>
        </w:rPr>
        <w:t xml:space="preserve"> </w:t>
      </w:r>
      <w:r w:rsidR="00683830" w:rsidRPr="001D3520">
        <w:rPr>
          <w:rFonts w:ascii="Verdana" w:hAnsi="Verdana"/>
          <w:sz w:val="20"/>
          <w:szCs w:val="20"/>
          <w:lang w:val="es-ES_tradnl"/>
        </w:rPr>
        <w:t xml:space="preserve">presentó información sobre la </w:t>
      </w:r>
      <w:r w:rsidR="00B053F4">
        <w:rPr>
          <w:rFonts w:ascii="Verdana" w:hAnsi="Verdana"/>
          <w:sz w:val="20"/>
          <w:szCs w:val="20"/>
          <w:lang w:val="es-ES_tradnl"/>
        </w:rPr>
        <w:t>implementación</w:t>
      </w:r>
      <w:r w:rsidR="00B053F4" w:rsidRPr="001D3520">
        <w:rPr>
          <w:rFonts w:ascii="Verdana" w:hAnsi="Verdana"/>
          <w:sz w:val="20"/>
          <w:szCs w:val="20"/>
          <w:lang w:val="es-ES_tradnl"/>
        </w:rPr>
        <w:t xml:space="preserve"> </w:t>
      </w:r>
      <w:r w:rsidR="00683830" w:rsidRPr="001D3520">
        <w:rPr>
          <w:rFonts w:ascii="Verdana" w:hAnsi="Verdana"/>
          <w:sz w:val="20"/>
          <w:szCs w:val="20"/>
          <w:lang w:val="es-ES_tradnl"/>
        </w:rPr>
        <w:t>de</w:t>
      </w:r>
      <w:r w:rsidR="00A43A40" w:rsidRPr="001D3520">
        <w:rPr>
          <w:rFonts w:ascii="Verdana" w:hAnsi="Verdana"/>
          <w:sz w:val="20"/>
          <w:szCs w:val="20"/>
          <w:lang w:val="es-ES_tradnl"/>
        </w:rPr>
        <w:t xml:space="preserve"> </w:t>
      </w:r>
      <w:r w:rsidR="00B053F4">
        <w:rPr>
          <w:rFonts w:ascii="Verdana" w:hAnsi="Verdana"/>
          <w:sz w:val="20"/>
          <w:szCs w:val="20"/>
          <w:lang w:val="es-ES_tradnl"/>
        </w:rPr>
        <w:t xml:space="preserve">las </w:t>
      </w:r>
      <w:r w:rsidR="00683830" w:rsidRPr="001D3520">
        <w:rPr>
          <w:rFonts w:ascii="Verdana" w:hAnsi="Verdana"/>
          <w:sz w:val="20"/>
          <w:szCs w:val="20"/>
          <w:lang w:val="es-ES_tradnl"/>
        </w:rPr>
        <w:t>medidas urgent</w:t>
      </w:r>
      <w:r w:rsidR="007056C3" w:rsidRPr="001D3520">
        <w:rPr>
          <w:rFonts w:ascii="Verdana" w:hAnsi="Verdana"/>
          <w:sz w:val="20"/>
          <w:szCs w:val="20"/>
          <w:lang w:val="es-ES_tradnl"/>
        </w:rPr>
        <w:t>es.</w:t>
      </w:r>
    </w:p>
    <w:p w14:paraId="03B6D77E" w14:textId="77777777" w:rsidR="007056C3" w:rsidRPr="001D3520" w:rsidRDefault="007056C3" w:rsidP="002F701E">
      <w:pPr>
        <w:pStyle w:val="Prrafodelista"/>
        <w:suppressLineNumbers/>
        <w:spacing w:after="0" w:line="240" w:lineRule="auto"/>
        <w:ind w:left="0"/>
        <w:rPr>
          <w:rFonts w:ascii="Verdana" w:hAnsi="Verdana"/>
          <w:i/>
          <w:sz w:val="20"/>
          <w:szCs w:val="20"/>
          <w:lang w:val="es-ES_tradnl"/>
        </w:rPr>
      </w:pPr>
    </w:p>
    <w:p w14:paraId="1875AFBA" w14:textId="77777777" w:rsidR="007056C3" w:rsidRPr="001D3520" w:rsidRDefault="007056C3" w:rsidP="002F701E">
      <w:pPr>
        <w:suppressLineNumbers/>
        <w:jc w:val="both"/>
        <w:rPr>
          <w:rFonts w:ascii="Verdana" w:eastAsia="Verdana" w:hAnsi="Verdana" w:cs="Verdana"/>
          <w:sz w:val="20"/>
          <w:szCs w:val="20"/>
        </w:rPr>
      </w:pPr>
      <w:r w:rsidRPr="001D3520">
        <w:rPr>
          <w:rFonts w:ascii="Verdana" w:eastAsia="Verdana" w:hAnsi="Verdana" w:cs="Verdana"/>
          <w:b/>
          <w:bCs/>
          <w:sz w:val="20"/>
          <w:szCs w:val="20"/>
        </w:rPr>
        <w:t>CONSIDERANDO QUE:</w:t>
      </w:r>
    </w:p>
    <w:p w14:paraId="75E339D3" w14:textId="77777777" w:rsidR="007056C3" w:rsidRPr="001D3520" w:rsidRDefault="007056C3" w:rsidP="002F701E">
      <w:pPr>
        <w:suppressLineNumbers/>
        <w:rPr>
          <w:rFonts w:ascii="Verdana" w:hAnsi="Verdana"/>
          <w:sz w:val="20"/>
          <w:szCs w:val="20"/>
        </w:rPr>
      </w:pPr>
    </w:p>
    <w:p w14:paraId="292E49E4" w14:textId="77777777" w:rsidR="007056C3" w:rsidRPr="001D3520" w:rsidRDefault="007056C3" w:rsidP="002F701E">
      <w:pPr>
        <w:numPr>
          <w:ilvl w:val="0"/>
          <w:numId w:val="2"/>
        </w:numPr>
        <w:suppressLineNumbers/>
        <w:ind w:left="0" w:firstLine="0"/>
        <w:jc w:val="both"/>
        <w:rPr>
          <w:rFonts w:ascii="Verdana" w:hAnsi="Verdana"/>
          <w:sz w:val="20"/>
          <w:szCs w:val="20"/>
        </w:rPr>
      </w:pPr>
      <w:r w:rsidRPr="001D3520">
        <w:rPr>
          <w:rFonts w:ascii="Verdana" w:hAnsi="Verdana"/>
          <w:sz w:val="20"/>
          <w:szCs w:val="20"/>
        </w:rPr>
        <w:t>El artículo 63.2 de la Convención Americana sobre Derechos Humanos (en adelante “la Convención Americana” o “la Convención”) dispone, en lo relevante, que “[e]n casos de extrema gravedad y urgencia, y cuando se haga necesario evitar daños irreparables a las personas, la Corte, en los asuntos que esté conociendo, podrá tomar las medidas provisionales que considere pertinentes”.</w:t>
      </w:r>
    </w:p>
    <w:p w14:paraId="6FD57B94" w14:textId="77777777" w:rsidR="007056C3" w:rsidRPr="001D3520" w:rsidRDefault="007056C3" w:rsidP="002F701E">
      <w:pPr>
        <w:suppressLineNumbers/>
        <w:jc w:val="both"/>
        <w:rPr>
          <w:rFonts w:ascii="Verdana" w:hAnsi="Verdana"/>
          <w:sz w:val="20"/>
          <w:szCs w:val="20"/>
        </w:rPr>
      </w:pPr>
    </w:p>
    <w:p w14:paraId="6BF2CF1B" w14:textId="4D0B3D36" w:rsidR="007056C3" w:rsidRPr="001D3520" w:rsidRDefault="007056C3" w:rsidP="002F701E">
      <w:pPr>
        <w:numPr>
          <w:ilvl w:val="0"/>
          <w:numId w:val="2"/>
        </w:numPr>
        <w:suppressLineNumbers/>
        <w:ind w:left="0" w:firstLine="0"/>
        <w:jc w:val="both"/>
        <w:rPr>
          <w:rFonts w:ascii="Verdana" w:hAnsi="Verdana"/>
          <w:sz w:val="20"/>
          <w:szCs w:val="20"/>
        </w:rPr>
      </w:pPr>
      <w:r w:rsidRPr="001D3520">
        <w:rPr>
          <w:rFonts w:ascii="Verdana" w:hAnsi="Verdana"/>
          <w:sz w:val="20"/>
          <w:szCs w:val="20"/>
        </w:rPr>
        <w:t xml:space="preserve">Asimismo, el artículo 27.3 del Reglamento del Tribunal (en adelante “el Reglamento”)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w:t>
      </w:r>
    </w:p>
    <w:p w14:paraId="5D001FD7" w14:textId="77777777" w:rsidR="007056C3" w:rsidRPr="001D3520" w:rsidRDefault="007056C3" w:rsidP="002F701E">
      <w:pPr>
        <w:pStyle w:val="Prrafodelista"/>
        <w:suppressLineNumbers/>
        <w:spacing w:after="0" w:line="240" w:lineRule="auto"/>
        <w:ind w:left="0"/>
        <w:jc w:val="both"/>
        <w:rPr>
          <w:rFonts w:ascii="Verdana" w:hAnsi="Verdana"/>
          <w:sz w:val="24"/>
          <w:szCs w:val="20"/>
          <w:lang w:val="es-ES_tradnl"/>
        </w:rPr>
      </w:pPr>
    </w:p>
    <w:p w14:paraId="68D25DA2" w14:textId="4944534B" w:rsidR="007056C3" w:rsidRPr="001D3520" w:rsidRDefault="007056C3" w:rsidP="00747622">
      <w:pPr>
        <w:numPr>
          <w:ilvl w:val="0"/>
          <w:numId w:val="2"/>
        </w:numPr>
        <w:suppressLineNumbers/>
        <w:ind w:left="0" w:firstLine="0"/>
        <w:jc w:val="both"/>
        <w:rPr>
          <w:rFonts w:ascii="Verdana" w:hAnsi="Verdana"/>
          <w:sz w:val="20"/>
          <w:szCs w:val="20"/>
        </w:rPr>
      </w:pPr>
      <w:r w:rsidRPr="001D3520">
        <w:rPr>
          <w:rFonts w:ascii="Verdana" w:hAnsi="Verdana"/>
          <w:sz w:val="20"/>
          <w:szCs w:val="20"/>
        </w:rPr>
        <w:t xml:space="preserve">La solicitud de medidas provisionales fue presentada </w:t>
      </w:r>
      <w:r w:rsidR="00A66525">
        <w:rPr>
          <w:rFonts w:ascii="Verdana" w:hAnsi="Verdana"/>
          <w:sz w:val="20"/>
          <w:szCs w:val="20"/>
        </w:rPr>
        <w:t xml:space="preserve">por los representantes acreditados </w:t>
      </w:r>
      <w:r w:rsidR="00206142" w:rsidRPr="001D3520">
        <w:rPr>
          <w:rFonts w:ascii="Verdana" w:hAnsi="Verdana"/>
          <w:sz w:val="20"/>
          <w:szCs w:val="20"/>
        </w:rPr>
        <w:t xml:space="preserve">en relación con </w:t>
      </w:r>
      <w:r w:rsidR="0050140B" w:rsidRPr="001D3520">
        <w:rPr>
          <w:rFonts w:ascii="Verdana" w:hAnsi="Verdana"/>
          <w:sz w:val="20"/>
          <w:szCs w:val="20"/>
        </w:rPr>
        <w:t xml:space="preserve">algunos miembros de las Comunidades Garífunas Triunfo de la Cruz y Punta Piedra, comunidades que fueron </w:t>
      </w:r>
      <w:r w:rsidRPr="001D3520">
        <w:rPr>
          <w:rFonts w:ascii="Verdana" w:hAnsi="Verdana"/>
          <w:sz w:val="20"/>
          <w:szCs w:val="20"/>
        </w:rPr>
        <w:t>víctima</w:t>
      </w:r>
      <w:r w:rsidR="00206142" w:rsidRPr="001D3520">
        <w:rPr>
          <w:rFonts w:ascii="Verdana" w:hAnsi="Verdana"/>
          <w:sz w:val="20"/>
          <w:szCs w:val="20"/>
        </w:rPr>
        <w:t>s</w:t>
      </w:r>
      <w:r w:rsidRPr="001D3520">
        <w:rPr>
          <w:rFonts w:ascii="Verdana" w:hAnsi="Verdana"/>
          <w:sz w:val="20"/>
          <w:szCs w:val="20"/>
        </w:rPr>
        <w:t xml:space="preserve"> de</w:t>
      </w:r>
      <w:r w:rsidR="00206142" w:rsidRPr="001D3520">
        <w:rPr>
          <w:rFonts w:ascii="Verdana" w:hAnsi="Verdana"/>
          <w:sz w:val="20"/>
          <w:szCs w:val="20"/>
        </w:rPr>
        <w:t xml:space="preserve"> </w:t>
      </w:r>
      <w:r w:rsidRPr="001D3520">
        <w:rPr>
          <w:rFonts w:ascii="Verdana" w:hAnsi="Verdana"/>
          <w:sz w:val="20"/>
          <w:szCs w:val="20"/>
        </w:rPr>
        <w:t>l</w:t>
      </w:r>
      <w:r w:rsidR="00206142" w:rsidRPr="001D3520">
        <w:rPr>
          <w:rFonts w:ascii="Verdana" w:hAnsi="Verdana"/>
          <w:sz w:val="20"/>
          <w:szCs w:val="20"/>
        </w:rPr>
        <w:t>os</w:t>
      </w:r>
      <w:r w:rsidRPr="001D3520">
        <w:rPr>
          <w:rFonts w:ascii="Verdana" w:hAnsi="Verdana"/>
          <w:sz w:val="20"/>
          <w:szCs w:val="20"/>
        </w:rPr>
        <w:t xml:space="preserve"> </w:t>
      </w:r>
      <w:r w:rsidRPr="001D3520">
        <w:rPr>
          <w:rFonts w:ascii="Verdana" w:hAnsi="Verdana"/>
          <w:i/>
          <w:sz w:val="20"/>
          <w:szCs w:val="20"/>
        </w:rPr>
        <w:t>caso</w:t>
      </w:r>
      <w:r w:rsidR="00206142" w:rsidRPr="001D3520">
        <w:rPr>
          <w:rFonts w:ascii="Verdana" w:hAnsi="Verdana"/>
          <w:i/>
          <w:sz w:val="20"/>
          <w:szCs w:val="20"/>
        </w:rPr>
        <w:t>s</w:t>
      </w:r>
      <w:r w:rsidRPr="001D3520">
        <w:rPr>
          <w:rFonts w:ascii="Verdana" w:hAnsi="Verdana"/>
          <w:i/>
          <w:sz w:val="20"/>
          <w:szCs w:val="20"/>
        </w:rPr>
        <w:t xml:space="preserve"> </w:t>
      </w:r>
      <w:r w:rsidR="00206142" w:rsidRPr="001D3520">
        <w:rPr>
          <w:rFonts w:ascii="Verdana" w:hAnsi="Verdana"/>
          <w:i/>
          <w:sz w:val="20"/>
          <w:szCs w:val="20"/>
        </w:rPr>
        <w:t>Comunidad Garífuna de Punta Piedra y sus miembros y Comunidad Garífuna Triunfo de la Cruz y sus miembros</w:t>
      </w:r>
      <w:r w:rsidR="0050140B" w:rsidRPr="001D3520">
        <w:rPr>
          <w:rFonts w:ascii="Verdana" w:hAnsi="Verdana"/>
          <w:sz w:val="20"/>
          <w:szCs w:val="20"/>
        </w:rPr>
        <w:t>. Esos casos</w:t>
      </w:r>
      <w:r w:rsidR="00E16416" w:rsidRPr="001D3520">
        <w:rPr>
          <w:rFonts w:ascii="Verdana" w:hAnsi="Verdana"/>
          <w:sz w:val="20"/>
          <w:szCs w:val="20"/>
        </w:rPr>
        <w:t xml:space="preserve"> </w:t>
      </w:r>
      <w:r w:rsidRPr="001D3520">
        <w:rPr>
          <w:rFonts w:ascii="Verdana" w:hAnsi="Verdana"/>
          <w:sz w:val="20"/>
          <w:szCs w:val="20"/>
        </w:rPr>
        <w:t>se encuentra</w:t>
      </w:r>
      <w:r w:rsidR="00206142" w:rsidRPr="001D3520">
        <w:rPr>
          <w:rFonts w:ascii="Verdana" w:hAnsi="Verdana"/>
          <w:sz w:val="20"/>
          <w:szCs w:val="20"/>
        </w:rPr>
        <w:t>n</w:t>
      </w:r>
      <w:r w:rsidRPr="001D3520">
        <w:rPr>
          <w:rFonts w:ascii="Verdana" w:hAnsi="Verdana"/>
          <w:sz w:val="20"/>
          <w:szCs w:val="20"/>
        </w:rPr>
        <w:t xml:space="preserve"> actualmente en etapa de </w:t>
      </w:r>
      <w:r w:rsidR="00E16416" w:rsidRPr="001D3520">
        <w:rPr>
          <w:rFonts w:ascii="Verdana" w:hAnsi="Verdana"/>
          <w:sz w:val="20"/>
          <w:szCs w:val="20"/>
        </w:rPr>
        <w:t>supervisión de cumplimiento de S</w:t>
      </w:r>
      <w:r w:rsidRPr="001D3520">
        <w:rPr>
          <w:rFonts w:ascii="Verdana" w:hAnsi="Verdana"/>
          <w:sz w:val="20"/>
          <w:szCs w:val="20"/>
        </w:rPr>
        <w:t xml:space="preserve">entencia, con lo cual se </w:t>
      </w:r>
      <w:r w:rsidR="00206142" w:rsidRPr="001D3520">
        <w:rPr>
          <w:rFonts w:ascii="Verdana" w:hAnsi="Verdana"/>
          <w:sz w:val="20"/>
          <w:szCs w:val="20"/>
        </w:rPr>
        <w:t>cumple con lo requerido en el</w:t>
      </w:r>
      <w:r w:rsidRPr="001D3520">
        <w:rPr>
          <w:rFonts w:ascii="Verdana" w:hAnsi="Verdana"/>
          <w:sz w:val="20"/>
          <w:szCs w:val="20"/>
        </w:rPr>
        <w:t xml:space="preserve"> artículo 27.3 en lo que respecta a la legitimación para presentar la solici</w:t>
      </w:r>
      <w:r w:rsidR="00B929AD" w:rsidRPr="001D3520">
        <w:rPr>
          <w:rFonts w:ascii="Verdana" w:hAnsi="Verdana"/>
          <w:sz w:val="20"/>
          <w:szCs w:val="20"/>
        </w:rPr>
        <w:t>tud.</w:t>
      </w:r>
    </w:p>
    <w:p w14:paraId="027F9467" w14:textId="77777777" w:rsidR="00730729" w:rsidRPr="001D3520" w:rsidRDefault="00730729" w:rsidP="00730729">
      <w:pPr>
        <w:suppressLineNumbers/>
        <w:jc w:val="both"/>
        <w:rPr>
          <w:rFonts w:ascii="Verdana" w:hAnsi="Verdana"/>
          <w:sz w:val="20"/>
          <w:szCs w:val="20"/>
        </w:rPr>
      </w:pPr>
    </w:p>
    <w:p w14:paraId="3450B9B8" w14:textId="186BD944" w:rsidR="00B929AD" w:rsidRPr="001D3520" w:rsidRDefault="00B929AD" w:rsidP="00747622">
      <w:pPr>
        <w:numPr>
          <w:ilvl w:val="0"/>
          <w:numId w:val="2"/>
        </w:numPr>
        <w:suppressLineNumbers/>
        <w:ind w:left="0" w:firstLine="0"/>
        <w:jc w:val="both"/>
        <w:rPr>
          <w:rFonts w:ascii="Verdana" w:hAnsi="Verdana"/>
          <w:sz w:val="20"/>
          <w:szCs w:val="20"/>
        </w:rPr>
      </w:pPr>
      <w:r w:rsidRPr="001D3520">
        <w:rPr>
          <w:rFonts w:ascii="Verdana" w:hAnsi="Verdana"/>
          <w:sz w:val="20"/>
          <w:szCs w:val="20"/>
        </w:rPr>
        <w:t>Las medidas urgentes ordenadas por la Presidenta en virtud de la resolución de 6 de agosto de 2020 (</w:t>
      </w:r>
      <w:r w:rsidRPr="001D3520">
        <w:rPr>
          <w:rFonts w:ascii="Verdana" w:hAnsi="Verdana"/>
          <w:i/>
          <w:iCs/>
          <w:sz w:val="20"/>
          <w:szCs w:val="20"/>
        </w:rPr>
        <w:t>supra</w:t>
      </w:r>
      <w:r w:rsidRPr="001D3520">
        <w:rPr>
          <w:rFonts w:ascii="Verdana" w:hAnsi="Verdana"/>
          <w:sz w:val="20"/>
          <w:szCs w:val="20"/>
        </w:rPr>
        <w:t xml:space="preserve"> </w:t>
      </w:r>
      <w:r w:rsidR="00262A16" w:rsidRPr="001D3520">
        <w:rPr>
          <w:rFonts w:ascii="Verdana" w:hAnsi="Verdana"/>
          <w:sz w:val="20"/>
          <w:szCs w:val="20"/>
        </w:rPr>
        <w:t>Visto</w:t>
      </w:r>
      <w:r w:rsidRPr="001D3520">
        <w:rPr>
          <w:rFonts w:ascii="Verdana" w:hAnsi="Verdana"/>
          <w:sz w:val="20"/>
          <w:szCs w:val="20"/>
        </w:rPr>
        <w:t xml:space="preserve"> 3) tienen como objetivo proteger efectivamente los derechos a la vida, e integridad personal de </w:t>
      </w:r>
      <w:r w:rsidR="0088376F">
        <w:rPr>
          <w:rFonts w:ascii="Verdana" w:hAnsi="Verdana"/>
          <w:sz w:val="20"/>
          <w:szCs w:val="20"/>
        </w:rPr>
        <w:t>56</w:t>
      </w:r>
      <w:r w:rsidRPr="001D3520">
        <w:rPr>
          <w:rFonts w:ascii="Verdana" w:hAnsi="Verdana"/>
          <w:sz w:val="20"/>
          <w:szCs w:val="20"/>
        </w:rPr>
        <w:t xml:space="preserve"> integrantes de las Comunidades Garífunas de Triunfo de la Cruz y de </w:t>
      </w:r>
      <w:r w:rsidR="0088376F">
        <w:rPr>
          <w:rFonts w:ascii="Verdana" w:hAnsi="Verdana"/>
          <w:sz w:val="20"/>
          <w:szCs w:val="20"/>
        </w:rPr>
        <w:t xml:space="preserve">50 integrantes de la Comunidad de </w:t>
      </w:r>
      <w:r w:rsidRPr="001D3520">
        <w:rPr>
          <w:rFonts w:ascii="Verdana" w:hAnsi="Verdana"/>
          <w:sz w:val="20"/>
          <w:szCs w:val="20"/>
        </w:rPr>
        <w:t xml:space="preserve">Punta Piedra que desarrollan colectivamente acciones de defensa de los derechos del pueblo </w:t>
      </w:r>
      <w:r w:rsidRPr="001D3520">
        <w:rPr>
          <w:rFonts w:ascii="Verdana" w:hAnsi="Verdana"/>
          <w:sz w:val="20"/>
          <w:szCs w:val="20"/>
        </w:rPr>
        <w:lastRenderedPageBreak/>
        <w:t xml:space="preserve">Garífuna, así como adoptar las medidas necesarias y adecuadas para determinar el paradero de Milton Joel Martínez Álvarez, </w:t>
      </w:r>
      <w:proofErr w:type="spellStart"/>
      <w:r w:rsidRPr="001D3520">
        <w:rPr>
          <w:rFonts w:ascii="Verdana" w:hAnsi="Verdana"/>
          <w:sz w:val="20"/>
          <w:szCs w:val="20"/>
        </w:rPr>
        <w:t>Suami</w:t>
      </w:r>
      <w:proofErr w:type="spellEnd"/>
      <w:r w:rsidRPr="001D3520">
        <w:rPr>
          <w:rFonts w:ascii="Verdana" w:hAnsi="Verdana"/>
          <w:sz w:val="20"/>
          <w:szCs w:val="20"/>
        </w:rPr>
        <w:t xml:space="preserve"> Aparicio Mejía García, Gerardo Misael Trochez Calix y Albert </w:t>
      </w:r>
      <w:proofErr w:type="spellStart"/>
      <w:r w:rsidRPr="001D3520">
        <w:rPr>
          <w:rFonts w:ascii="Verdana" w:hAnsi="Verdana"/>
          <w:sz w:val="20"/>
          <w:szCs w:val="20"/>
        </w:rPr>
        <w:t>Snaider</w:t>
      </w:r>
      <w:proofErr w:type="spellEnd"/>
      <w:r w:rsidRPr="001D3520">
        <w:rPr>
          <w:rFonts w:ascii="Verdana" w:hAnsi="Verdana"/>
          <w:sz w:val="20"/>
          <w:szCs w:val="20"/>
        </w:rPr>
        <w:t xml:space="preserve"> Centeno Thomas.</w:t>
      </w:r>
    </w:p>
    <w:p w14:paraId="695F0A95" w14:textId="77777777" w:rsidR="007056C3" w:rsidRPr="001D3520" w:rsidRDefault="007056C3" w:rsidP="002F701E">
      <w:pPr>
        <w:pStyle w:val="Prrafodelista"/>
        <w:suppressLineNumbers/>
        <w:spacing w:after="0" w:line="240" w:lineRule="auto"/>
        <w:ind w:left="0"/>
        <w:jc w:val="both"/>
        <w:rPr>
          <w:rFonts w:ascii="Verdana" w:hAnsi="Verdana"/>
          <w:sz w:val="24"/>
          <w:szCs w:val="20"/>
          <w:lang w:val="es-ES_tradnl"/>
        </w:rPr>
      </w:pPr>
    </w:p>
    <w:p w14:paraId="7E25E432" w14:textId="6E73555B" w:rsidR="00AD51AA" w:rsidRPr="001D3520" w:rsidRDefault="00B929AD" w:rsidP="002F701E">
      <w:pPr>
        <w:pStyle w:val="Prrafodelista"/>
        <w:numPr>
          <w:ilvl w:val="0"/>
          <w:numId w:val="2"/>
        </w:numPr>
        <w:suppressLineNumbers/>
        <w:spacing w:after="0" w:line="240" w:lineRule="auto"/>
        <w:ind w:left="0" w:firstLine="0"/>
        <w:jc w:val="both"/>
        <w:rPr>
          <w:lang w:val="es-ES_tradnl"/>
        </w:rPr>
      </w:pPr>
      <w:r w:rsidRPr="001D3520">
        <w:rPr>
          <w:rFonts w:ascii="Verdana" w:hAnsi="Verdana" w:cs="Verdana"/>
          <w:sz w:val="20"/>
          <w:szCs w:val="20"/>
          <w:lang w:val="es-ES_tradnl"/>
        </w:rPr>
        <w:t>A</w:t>
      </w:r>
      <w:r w:rsidR="00AD51AA" w:rsidRPr="001D3520">
        <w:rPr>
          <w:rFonts w:ascii="Verdana" w:hAnsi="Verdana" w:cs="Verdana"/>
          <w:sz w:val="20"/>
          <w:szCs w:val="20"/>
          <w:lang w:val="es-ES_tradnl"/>
        </w:rPr>
        <w:t xml:space="preserve"> </w:t>
      </w:r>
      <w:r w:rsidRPr="001D3520">
        <w:rPr>
          <w:rFonts w:ascii="Verdana" w:hAnsi="Verdana" w:cs="Verdana"/>
          <w:sz w:val="20"/>
          <w:szCs w:val="20"/>
          <w:lang w:val="es-ES_tradnl"/>
        </w:rPr>
        <w:t xml:space="preserve">efectos de determinar la necesidad de ratificar las presentes medidas, la Corte analizará </w:t>
      </w:r>
      <w:r w:rsidR="008F77F3" w:rsidRPr="008F77F3">
        <w:rPr>
          <w:rFonts w:ascii="Verdana" w:hAnsi="Verdana" w:cs="Verdana"/>
          <w:sz w:val="20"/>
          <w:szCs w:val="20"/>
          <w:lang w:val="es-ES_tradnl"/>
        </w:rPr>
        <w:t xml:space="preserve">los demás requisitos convencionales y reglamentarios para la adopción de medidas provisionales por este Tribunal en virtud de </w:t>
      </w:r>
      <w:r w:rsidRPr="001D3520">
        <w:rPr>
          <w:rFonts w:ascii="Verdana" w:hAnsi="Verdana" w:cs="Verdana"/>
          <w:sz w:val="20"/>
          <w:szCs w:val="20"/>
          <w:lang w:val="es-ES_tradnl"/>
        </w:rPr>
        <w:t>la información presentada por el Estado y los representantes sobre la situación de riesgo de estos</w:t>
      </w:r>
      <w:r w:rsidR="00AD51AA" w:rsidRPr="001D3520">
        <w:rPr>
          <w:rFonts w:ascii="Verdana" w:hAnsi="Verdana" w:cs="Verdana"/>
          <w:sz w:val="20"/>
          <w:szCs w:val="20"/>
          <w:lang w:val="es-ES_tradnl"/>
        </w:rPr>
        <w:t xml:space="preserve">. </w:t>
      </w:r>
    </w:p>
    <w:p w14:paraId="54E1891E" w14:textId="221C1FEF" w:rsidR="008F77F3" w:rsidRPr="001D3520" w:rsidRDefault="008F77F3" w:rsidP="00A82E42">
      <w:pPr>
        <w:suppressLineNumbers/>
        <w:rPr>
          <w:rFonts w:ascii="Verdana" w:hAnsi="Verdana"/>
          <w:sz w:val="20"/>
          <w:szCs w:val="20"/>
        </w:rPr>
      </w:pPr>
    </w:p>
    <w:p w14:paraId="1C5A9D13" w14:textId="69DCAF0F" w:rsidR="00AD51AA" w:rsidRPr="001D3520" w:rsidRDefault="00B53172" w:rsidP="002F701E">
      <w:pPr>
        <w:numPr>
          <w:ilvl w:val="0"/>
          <w:numId w:val="4"/>
        </w:numPr>
        <w:suppressLineNumbers/>
        <w:ind w:left="851" w:hanging="284"/>
        <w:jc w:val="both"/>
        <w:rPr>
          <w:rFonts w:ascii="Verdana" w:hAnsi="Verdana" w:cs="Verdana"/>
          <w:b/>
          <w:i/>
          <w:sz w:val="20"/>
          <w:szCs w:val="20"/>
        </w:rPr>
      </w:pPr>
      <w:r w:rsidRPr="001D3520">
        <w:rPr>
          <w:rFonts w:ascii="Verdana" w:hAnsi="Verdana" w:cs="Verdana"/>
          <w:b/>
          <w:i/>
          <w:sz w:val="20"/>
          <w:szCs w:val="20"/>
        </w:rPr>
        <w:t xml:space="preserve"> Solicitud </w:t>
      </w:r>
      <w:r w:rsidR="0050056C" w:rsidRPr="001D3520">
        <w:rPr>
          <w:rFonts w:ascii="Verdana" w:hAnsi="Verdana" w:cs="Verdana"/>
          <w:b/>
          <w:i/>
          <w:sz w:val="20"/>
          <w:szCs w:val="20"/>
        </w:rPr>
        <w:t>de adopción de medidas provisionales</w:t>
      </w:r>
      <w:r w:rsidR="00A87946">
        <w:rPr>
          <w:rFonts w:ascii="Verdana" w:hAnsi="Verdana" w:cs="Verdana"/>
          <w:b/>
          <w:i/>
          <w:sz w:val="20"/>
          <w:szCs w:val="20"/>
        </w:rPr>
        <w:t xml:space="preserve"> y observaciones del Estado</w:t>
      </w:r>
    </w:p>
    <w:p w14:paraId="5B48A231" w14:textId="77777777" w:rsidR="00AD51AA" w:rsidRPr="001D3520" w:rsidRDefault="00AD51AA" w:rsidP="002F701E">
      <w:pPr>
        <w:suppressLineNumbers/>
        <w:jc w:val="both"/>
        <w:rPr>
          <w:rFonts w:ascii="Verdana" w:hAnsi="Verdana"/>
          <w:sz w:val="20"/>
          <w:szCs w:val="20"/>
        </w:rPr>
      </w:pPr>
    </w:p>
    <w:p w14:paraId="0C8305CD" w14:textId="11E20887" w:rsidR="00C243DD" w:rsidRPr="001D3520" w:rsidRDefault="0050056C" w:rsidP="0021703A">
      <w:pPr>
        <w:pStyle w:val="Prrafodelista"/>
        <w:numPr>
          <w:ilvl w:val="0"/>
          <w:numId w:val="2"/>
        </w:numPr>
        <w:suppressLineNumbers/>
        <w:spacing w:line="240" w:lineRule="auto"/>
        <w:ind w:left="0" w:firstLine="0"/>
        <w:jc w:val="both"/>
        <w:rPr>
          <w:rFonts w:ascii="Verdana" w:hAnsi="Verdana" w:cs="Verdana"/>
          <w:color w:val="000000"/>
          <w:sz w:val="20"/>
          <w:szCs w:val="20"/>
          <w:lang w:val="es-ES_tradnl"/>
        </w:rPr>
      </w:pPr>
      <w:r w:rsidRPr="001D3520">
        <w:rPr>
          <w:rFonts w:ascii="Verdana" w:hAnsi="Verdana" w:cs="Verdana"/>
          <w:color w:val="000000"/>
          <w:sz w:val="20"/>
          <w:szCs w:val="20"/>
          <w:lang w:val="es-ES_tradnl"/>
        </w:rPr>
        <w:t>Se recuerda que el 27 de julio de 2020, l</w:t>
      </w:r>
      <w:r w:rsidR="0067701B" w:rsidRPr="001D3520">
        <w:rPr>
          <w:rFonts w:ascii="Verdana" w:hAnsi="Verdana" w:cs="Verdana"/>
          <w:color w:val="000000"/>
          <w:sz w:val="20"/>
          <w:szCs w:val="20"/>
          <w:lang w:val="es-ES_tradnl"/>
        </w:rPr>
        <w:t>o</w:t>
      </w:r>
      <w:r w:rsidR="00AD51AA" w:rsidRPr="001D3520">
        <w:rPr>
          <w:rFonts w:ascii="Verdana" w:hAnsi="Verdana" w:cs="Verdana"/>
          <w:color w:val="000000"/>
          <w:sz w:val="20"/>
          <w:szCs w:val="20"/>
          <w:lang w:val="es-ES_tradnl"/>
        </w:rPr>
        <w:t xml:space="preserve">s representantes </w:t>
      </w:r>
      <w:r w:rsidR="00C243DD" w:rsidRPr="001D3520">
        <w:rPr>
          <w:rFonts w:ascii="Verdana" w:hAnsi="Verdana" w:cs="Verdana"/>
          <w:color w:val="000000"/>
          <w:sz w:val="20"/>
          <w:szCs w:val="20"/>
          <w:lang w:val="es-ES_tradnl"/>
        </w:rPr>
        <w:t>presentaron una solicitud de medidas provisional</w:t>
      </w:r>
      <w:r w:rsidR="0087057E" w:rsidRPr="001D3520">
        <w:rPr>
          <w:rFonts w:ascii="Verdana" w:hAnsi="Verdana" w:cs="Verdana"/>
          <w:color w:val="000000"/>
          <w:sz w:val="20"/>
          <w:szCs w:val="20"/>
          <w:lang w:val="es-ES_tradnl"/>
        </w:rPr>
        <w:t>es</w:t>
      </w:r>
      <w:r w:rsidR="00C243DD" w:rsidRPr="001D3520">
        <w:rPr>
          <w:rFonts w:ascii="Verdana" w:hAnsi="Verdana" w:cs="Verdana"/>
          <w:color w:val="000000"/>
          <w:sz w:val="20"/>
          <w:szCs w:val="20"/>
          <w:lang w:val="es-ES_tradnl"/>
        </w:rPr>
        <w:t xml:space="preserve"> en favor de: a) cuatro integrantes de la Comunidad Garífuna de Triunfo de la Cruz que </w:t>
      </w:r>
      <w:r w:rsidR="005E7472">
        <w:rPr>
          <w:rFonts w:ascii="Verdana" w:hAnsi="Verdana" w:cs="Verdana"/>
          <w:color w:val="000000"/>
          <w:sz w:val="20"/>
          <w:szCs w:val="20"/>
          <w:lang w:val="es-ES_tradnl"/>
        </w:rPr>
        <w:t xml:space="preserve">se encuentran </w:t>
      </w:r>
      <w:r w:rsidR="00C243DD" w:rsidRPr="001D3520">
        <w:rPr>
          <w:rFonts w:ascii="Verdana" w:hAnsi="Verdana" w:cs="Verdana"/>
          <w:color w:val="000000"/>
          <w:sz w:val="20"/>
          <w:szCs w:val="20"/>
          <w:lang w:val="es-ES_tradnl"/>
        </w:rPr>
        <w:t>desapareci</w:t>
      </w:r>
      <w:r w:rsidR="005E7472">
        <w:rPr>
          <w:rFonts w:ascii="Verdana" w:hAnsi="Verdana" w:cs="Verdana"/>
          <w:color w:val="000000"/>
          <w:sz w:val="20"/>
          <w:szCs w:val="20"/>
          <w:lang w:val="es-ES_tradnl"/>
        </w:rPr>
        <w:t>dos</w:t>
      </w:r>
      <w:r w:rsidR="00C243DD" w:rsidRPr="001D3520">
        <w:rPr>
          <w:rFonts w:ascii="Verdana" w:hAnsi="Verdana" w:cs="Verdana"/>
          <w:color w:val="000000"/>
          <w:sz w:val="20"/>
          <w:szCs w:val="20"/>
          <w:lang w:val="es-ES_tradnl"/>
        </w:rPr>
        <w:t xml:space="preserve"> desde el 18 de julio de 2020; b) los pobladores de la Comunidad Garífuna de Triunfo de la Cruz, que desarrollan colectivamente acciones de defensa de los derechos del pueblo Garífuna, y c) los pobladores de la Comunidad Garífuna de Punta Piedra, que desarrollan colectivamente acciones de defensa de los derechos del pueblo Garífuna.</w:t>
      </w:r>
    </w:p>
    <w:p w14:paraId="19822E57" w14:textId="77777777" w:rsidR="00C243DD" w:rsidRPr="001D3520" w:rsidRDefault="00C243DD" w:rsidP="008D017C">
      <w:pPr>
        <w:pStyle w:val="Prrafodelista"/>
        <w:suppressLineNumbers/>
        <w:spacing w:line="240" w:lineRule="auto"/>
        <w:ind w:left="0"/>
        <w:jc w:val="both"/>
        <w:rPr>
          <w:rFonts w:ascii="Verdana" w:hAnsi="Verdana" w:cs="Verdana"/>
          <w:color w:val="000000"/>
          <w:sz w:val="20"/>
          <w:szCs w:val="20"/>
          <w:lang w:val="es-ES_tradnl"/>
        </w:rPr>
      </w:pPr>
    </w:p>
    <w:p w14:paraId="3238812B" w14:textId="7D682E7A" w:rsidR="0067701B" w:rsidRPr="001D3520" w:rsidRDefault="00915D83" w:rsidP="0021703A">
      <w:pPr>
        <w:pStyle w:val="Prrafodelista"/>
        <w:numPr>
          <w:ilvl w:val="0"/>
          <w:numId w:val="2"/>
        </w:numPr>
        <w:suppressLineNumbers/>
        <w:spacing w:line="240" w:lineRule="auto"/>
        <w:ind w:left="0" w:firstLine="0"/>
        <w:jc w:val="both"/>
        <w:rPr>
          <w:rFonts w:ascii="Verdana" w:hAnsi="Verdana" w:cs="Verdana"/>
          <w:color w:val="000000"/>
          <w:sz w:val="20"/>
          <w:szCs w:val="20"/>
          <w:lang w:val="es-ES_tradnl"/>
        </w:rPr>
      </w:pPr>
      <w:r w:rsidRPr="001D3520">
        <w:rPr>
          <w:rFonts w:ascii="Verdana" w:hAnsi="Verdana" w:cs="Verdana"/>
          <w:color w:val="000000"/>
          <w:sz w:val="20"/>
          <w:szCs w:val="20"/>
          <w:lang w:val="es-ES_tradnl"/>
        </w:rPr>
        <w:t>En esa ocasión, informaron sobre</w:t>
      </w:r>
      <w:r w:rsidR="00C243DD" w:rsidRPr="001D3520">
        <w:rPr>
          <w:rFonts w:ascii="Verdana" w:hAnsi="Verdana" w:cs="Verdana"/>
          <w:color w:val="000000"/>
          <w:sz w:val="20"/>
          <w:szCs w:val="20"/>
          <w:lang w:val="es-ES_tradnl"/>
        </w:rPr>
        <w:t xml:space="preserve"> hechos que conllevaron a la desaparición de cuatro miembros de la Comunidad Garífuna de Triunfo de la Cruz,</w:t>
      </w:r>
      <w:r w:rsidRPr="001D3520">
        <w:rPr>
          <w:rFonts w:ascii="Verdana" w:hAnsi="Verdana" w:cs="Verdana"/>
          <w:color w:val="000000"/>
          <w:sz w:val="20"/>
          <w:szCs w:val="20"/>
          <w:lang w:val="es-ES_tradnl"/>
        </w:rPr>
        <w:t xml:space="preserve"> </w:t>
      </w:r>
      <w:r w:rsidR="00AD51AA" w:rsidRPr="001D3520">
        <w:rPr>
          <w:rFonts w:ascii="Verdana" w:hAnsi="Verdana" w:cs="Verdana"/>
          <w:color w:val="000000"/>
          <w:sz w:val="20"/>
          <w:szCs w:val="20"/>
          <w:lang w:val="es-ES_tradnl"/>
        </w:rPr>
        <w:t>un contexto</w:t>
      </w:r>
      <w:r w:rsidR="0067701B" w:rsidRPr="001D3520">
        <w:rPr>
          <w:rFonts w:ascii="Verdana" w:hAnsi="Verdana" w:cs="Verdana"/>
          <w:color w:val="000000"/>
          <w:sz w:val="20"/>
          <w:szCs w:val="20"/>
          <w:lang w:val="es-ES_tradnl"/>
        </w:rPr>
        <w:t xml:space="preserve"> de</w:t>
      </w:r>
      <w:r w:rsidR="00AD51AA" w:rsidRPr="001D3520">
        <w:rPr>
          <w:rFonts w:ascii="Verdana" w:hAnsi="Verdana" w:cs="Verdana"/>
          <w:color w:val="000000"/>
          <w:sz w:val="20"/>
          <w:szCs w:val="20"/>
          <w:lang w:val="es-ES_tradnl"/>
        </w:rPr>
        <w:t xml:space="preserve"> </w:t>
      </w:r>
      <w:r w:rsidR="0067701B" w:rsidRPr="001D3520">
        <w:rPr>
          <w:rFonts w:ascii="Verdana" w:hAnsi="Verdana" w:cs="Verdana"/>
          <w:color w:val="000000"/>
          <w:sz w:val="20"/>
          <w:szCs w:val="20"/>
          <w:lang w:val="es-ES_tradnl"/>
        </w:rPr>
        <w:t>inseguridad sobre la posesión y uso de la tierra</w:t>
      </w:r>
      <w:r w:rsidR="00C243DD" w:rsidRPr="001D3520">
        <w:rPr>
          <w:rFonts w:ascii="Verdana" w:hAnsi="Verdana" w:cs="Verdana"/>
          <w:color w:val="000000"/>
          <w:sz w:val="20"/>
          <w:szCs w:val="20"/>
          <w:lang w:val="es-ES_tradnl"/>
        </w:rPr>
        <w:t xml:space="preserve">, </w:t>
      </w:r>
      <w:r w:rsidRPr="001D3520">
        <w:rPr>
          <w:rFonts w:ascii="Verdana" w:hAnsi="Verdana" w:cs="Verdana"/>
          <w:color w:val="000000"/>
          <w:sz w:val="20"/>
          <w:szCs w:val="20"/>
          <w:lang w:val="es-ES_tradnl"/>
        </w:rPr>
        <w:t xml:space="preserve">y </w:t>
      </w:r>
      <w:r w:rsidR="008870C0" w:rsidRPr="001D3520">
        <w:rPr>
          <w:rFonts w:ascii="Verdana" w:hAnsi="Verdana" w:cs="Verdana"/>
          <w:color w:val="000000"/>
          <w:sz w:val="20"/>
          <w:szCs w:val="20"/>
          <w:lang w:val="es-ES_tradnl"/>
        </w:rPr>
        <w:t xml:space="preserve">la </w:t>
      </w:r>
      <w:r w:rsidR="00C243DD" w:rsidRPr="001D3520">
        <w:rPr>
          <w:rFonts w:ascii="Verdana" w:hAnsi="Verdana" w:cs="Verdana"/>
          <w:color w:val="000000"/>
          <w:sz w:val="20"/>
          <w:szCs w:val="20"/>
          <w:lang w:val="es-ES_tradnl"/>
        </w:rPr>
        <w:t xml:space="preserve">falta de investigación por los hechos de violencia </w:t>
      </w:r>
      <w:r w:rsidR="008870C0" w:rsidRPr="001D3520">
        <w:rPr>
          <w:rFonts w:ascii="Verdana" w:hAnsi="Verdana" w:cs="Verdana"/>
          <w:color w:val="000000"/>
          <w:sz w:val="20"/>
          <w:szCs w:val="20"/>
          <w:lang w:val="es-ES_tradnl"/>
        </w:rPr>
        <w:t>en contra de varios miembros de esas comunidades los cuales fueron analizados en las Sentencias de la Corte.</w:t>
      </w:r>
    </w:p>
    <w:p w14:paraId="3CC025FD" w14:textId="77777777" w:rsidR="0067701B" w:rsidRPr="001D3520" w:rsidRDefault="0067701B" w:rsidP="0067701B">
      <w:pPr>
        <w:pStyle w:val="Prrafodelista"/>
        <w:suppressLineNumbers/>
        <w:ind w:left="0"/>
        <w:jc w:val="both"/>
        <w:rPr>
          <w:rFonts w:ascii="Verdana" w:hAnsi="Verdana" w:cs="Verdana"/>
          <w:color w:val="000000"/>
          <w:sz w:val="20"/>
          <w:szCs w:val="20"/>
          <w:lang w:val="es-ES_tradnl"/>
        </w:rPr>
      </w:pPr>
    </w:p>
    <w:p w14:paraId="327E2CCF" w14:textId="7CE3E7A4" w:rsidR="00AD51AA" w:rsidRPr="001D3520" w:rsidRDefault="00AD51AA" w:rsidP="0021703A">
      <w:pPr>
        <w:pStyle w:val="Prrafodelista"/>
        <w:numPr>
          <w:ilvl w:val="0"/>
          <w:numId w:val="2"/>
        </w:numPr>
        <w:suppressLineNumbers/>
        <w:autoSpaceDE w:val="0"/>
        <w:autoSpaceDN w:val="0"/>
        <w:adjustRightInd w:val="0"/>
        <w:spacing w:after="0" w:line="240" w:lineRule="auto"/>
        <w:ind w:left="0" w:firstLine="0"/>
        <w:jc w:val="both"/>
        <w:rPr>
          <w:rFonts w:ascii="Verdana" w:hAnsi="Verdana" w:cs="Verdana"/>
          <w:color w:val="000000"/>
          <w:sz w:val="20"/>
          <w:szCs w:val="20"/>
          <w:lang w:val="es-ES_tradnl"/>
        </w:rPr>
      </w:pPr>
      <w:r w:rsidRPr="001D3520">
        <w:rPr>
          <w:rFonts w:ascii="Verdana" w:hAnsi="Verdana" w:cs="Verdana"/>
          <w:color w:val="000000"/>
          <w:sz w:val="20"/>
          <w:szCs w:val="20"/>
          <w:lang w:val="es-ES_tradnl"/>
        </w:rPr>
        <w:t xml:space="preserve">Respecto </w:t>
      </w:r>
      <w:r w:rsidR="008A0357" w:rsidRPr="001D3520">
        <w:rPr>
          <w:rFonts w:ascii="Verdana" w:hAnsi="Verdana" w:cs="Verdana"/>
          <w:color w:val="000000"/>
          <w:sz w:val="20"/>
          <w:szCs w:val="20"/>
          <w:lang w:val="es-ES_tradnl"/>
        </w:rPr>
        <w:t xml:space="preserve">a los hechos </w:t>
      </w:r>
      <w:r w:rsidR="008870C0" w:rsidRPr="001D3520">
        <w:rPr>
          <w:rFonts w:ascii="Verdana" w:hAnsi="Verdana" w:cs="Verdana"/>
          <w:color w:val="000000"/>
          <w:sz w:val="20"/>
          <w:szCs w:val="20"/>
          <w:lang w:val="es-ES_tradnl"/>
        </w:rPr>
        <w:t xml:space="preserve">concretos </w:t>
      </w:r>
      <w:r w:rsidR="00915D83" w:rsidRPr="001D3520">
        <w:rPr>
          <w:rFonts w:ascii="Verdana" w:hAnsi="Verdana" w:cs="Verdana"/>
          <w:color w:val="000000"/>
          <w:sz w:val="20"/>
          <w:szCs w:val="20"/>
          <w:lang w:val="es-ES_tradnl"/>
        </w:rPr>
        <w:t xml:space="preserve">en </w:t>
      </w:r>
      <w:r w:rsidR="008870C0" w:rsidRPr="001D3520">
        <w:rPr>
          <w:rFonts w:ascii="Verdana" w:hAnsi="Verdana" w:cs="Verdana"/>
          <w:color w:val="000000"/>
          <w:sz w:val="20"/>
          <w:szCs w:val="20"/>
          <w:lang w:val="es-ES_tradnl"/>
        </w:rPr>
        <w:t>que fundamenta</w:t>
      </w:r>
      <w:r w:rsidR="00915D83" w:rsidRPr="001D3520">
        <w:rPr>
          <w:rFonts w:ascii="Verdana" w:hAnsi="Verdana" w:cs="Verdana"/>
          <w:color w:val="000000"/>
          <w:sz w:val="20"/>
          <w:szCs w:val="20"/>
          <w:lang w:val="es-ES_tradnl"/>
        </w:rPr>
        <w:t>ro</w:t>
      </w:r>
      <w:r w:rsidR="008870C0" w:rsidRPr="001D3520">
        <w:rPr>
          <w:rFonts w:ascii="Verdana" w:hAnsi="Verdana" w:cs="Verdana"/>
          <w:color w:val="000000"/>
          <w:sz w:val="20"/>
          <w:szCs w:val="20"/>
          <w:lang w:val="es-ES_tradnl"/>
        </w:rPr>
        <w:t>n la solicitud de medidas provisionales</w:t>
      </w:r>
      <w:r w:rsidR="008A0357" w:rsidRPr="001D3520">
        <w:rPr>
          <w:rFonts w:ascii="Verdana" w:hAnsi="Verdana" w:cs="Verdana"/>
          <w:color w:val="000000"/>
          <w:sz w:val="20"/>
          <w:szCs w:val="20"/>
          <w:lang w:val="es-ES_tradnl"/>
        </w:rPr>
        <w:t>, lo</w:t>
      </w:r>
      <w:r w:rsidRPr="001D3520">
        <w:rPr>
          <w:rFonts w:ascii="Verdana" w:hAnsi="Verdana" w:cs="Verdana"/>
          <w:color w:val="000000"/>
          <w:sz w:val="20"/>
          <w:szCs w:val="20"/>
          <w:lang w:val="es-ES_tradnl"/>
        </w:rPr>
        <w:t>s representantes señalaron lo</w:t>
      </w:r>
      <w:r w:rsidR="008A0357" w:rsidRPr="001D3520">
        <w:rPr>
          <w:rFonts w:ascii="Verdana" w:hAnsi="Verdana" w:cs="Verdana"/>
          <w:color w:val="000000"/>
          <w:sz w:val="20"/>
          <w:szCs w:val="20"/>
          <w:lang w:val="es-ES_tradnl"/>
        </w:rPr>
        <w:t>s</w:t>
      </w:r>
      <w:r w:rsidRPr="001D3520">
        <w:rPr>
          <w:rFonts w:ascii="Verdana" w:hAnsi="Verdana" w:cs="Verdana"/>
          <w:color w:val="000000"/>
          <w:sz w:val="20"/>
          <w:szCs w:val="20"/>
          <w:lang w:val="es-ES_tradnl"/>
        </w:rPr>
        <w:t xml:space="preserve"> siguiente</w:t>
      </w:r>
      <w:r w:rsidR="008A0357" w:rsidRPr="001D3520">
        <w:rPr>
          <w:rFonts w:ascii="Verdana" w:hAnsi="Verdana" w:cs="Verdana"/>
          <w:color w:val="000000"/>
          <w:sz w:val="20"/>
          <w:szCs w:val="20"/>
          <w:lang w:val="es-ES_tradnl"/>
        </w:rPr>
        <w:t>s</w:t>
      </w:r>
      <w:r w:rsidRPr="001D3520">
        <w:rPr>
          <w:rFonts w:ascii="Verdana" w:hAnsi="Verdana" w:cs="Verdana"/>
          <w:color w:val="000000"/>
          <w:sz w:val="20"/>
          <w:szCs w:val="20"/>
          <w:lang w:val="es-ES_tradnl"/>
        </w:rPr>
        <w:t xml:space="preserve">: </w:t>
      </w:r>
    </w:p>
    <w:p w14:paraId="2D89C922" w14:textId="77777777" w:rsidR="00AD51AA" w:rsidRPr="001D3520" w:rsidRDefault="00AD51AA" w:rsidP="002F701E">
      <w:pPr>
        <w:suppressLineNumbers/>
        <w:autoSpaceDE w:val="0"/>
        <w:autoSpaceDN w:val="0"/>
        <w:adjustRightInd w:val="0"/>
        <w:jc w:val="both"/>
        <w:rPr>
          <w:rFonts w:ascii="Verdana" w:hAnsi="Verdana"/>
          <w:sz w:val="20"/>
          <w:szCs w:val="20"/>
        </w:rPr>
      </w:pPr>
    </w:p>
    <w:p w14:paraId="19F5DF37" w14:textId="60E6DDB8" w:rsidR="00AD51AA" w:rsidRPr="001D3520" w:rsidRDefault="008870C0" w:rsidP="008B402B">
      <w:pPr>
        <w:pStyle w:val="Default"/>
        <w:numPr>
          <w:ilvl w:val="0"/>
          <w:numId w:val="5"/>
        </w:numPr>
        <w:suppressLineNumbers/>
        <w:jc w:val="both"/>
        <w:rPr>
          <w:rFonts w:ascii="Verdana" w:hAnsi="Verdana"/>
          <w:sz w:val="18"/>
          <w:szCs w:val="20"/>
          <w:lang w:val="es-ES_tradnl"/>
        </w:rPr>
      </w:pPr>
      <w:r w:rsidRPr="001D3520">
        <w:rPr>
          <w:rFonts w:ascii="Verdana" w:hAnsi="Verdana"/>
          <w:sz w:val="18"/>
          <w:szCs w:val="20"/>
          <w:lang w:val="es-ES_tradnl"/>
        </w:rPr>
        <w:t>En lo que concierne la Comunidad Garífuna de Triunfo de la Cruz, indicaron que e</w:t>
      </w:r>
      <w:r w:rsidR="008A0357" w:rsidRPr="001D3520">
        <w:rPr>
          <w:rFonts w:ascii="Verdana" w:hAnsi="Verdana"/>
          <w:sz w:val="18"/>
          <w:szCs w:val="20"/>
          <w:lang w:val="es-ES_tradnl"/>
        </w:rPr>
        <w:t>l sábado 18 d</w:t>
      </w:r>
      <w:r w:rsidR="00E16416" w:rsidRPr="001D3520">
        <w:rPr>
          <w:rFonts w:ascii="Verdana" w:hAnsi="Verdana"/>
          <w:sz w:val="18"/>
          <w:szCs w:val="20"/>
          <w:lang w:val="es-ES_tradnl"/>
        </w:rPr>
        <w:t>e julio del 2020 a las 5:30 am</w:t>
      </w:r>
      <w:r w:rsidR="008A0357" w:rsidRPr="001D3520">
        <w:rPr>
          <w:rFonts w:ascii="Verdana" w:hAnsi="Verdana"/>
          <w:sz w:val="18"/>
          <w:szCs w:val="20"/>
          <w:lang w:val="es-ES_tradnl"/>
        </w:rPr>
        <w:t xml:space="preserve"> aproximadamente, hombres fuertemente armados y con chalecos blindados que portaban las siglas de la Dirección Policial de Investigaciones (DPI) entraron por la fuerza a las casas de </w:t>
      </w:r>
      <w:r w:rsidR="008E5AEC" w:rsidRPr="001D3520">
        <w:rPr>
          <w:rFonts w:ascii="Verdana" w:hAnsi="Verdana"/>
          <w:sz w:val="18"/>
          <w:szCs w:val="20"/>
          <w:lang w:val="es-ES_tradnl"/>
        </w:rPr>
        <w:t xml:space="preserve">cuatro personas de </w:t>
      </w:r>
      <w:r w:rsidRPr="001D3520">
        <w:rPr>
          <w:rFonts w:ascii="Verdana" w:hAnsi="Verdana"/>
          <w:sz w:val="18"/>
          <w:szCs w:val="20"/>
          <w:lang w:val="es-ES_tradnl"/>
        </w:rPr>
        <w:t xml:space="preserve">esa Comunidad, </w:t>
      </w:r>
      <w:r w:rsidR="00A74E51" w:rsidRPr="001D3520">
        <w:rPr>
          <w:rFonts w:ascii="Verdana" w:hAnsi="Verdana"/>
          <w:sz w:val="18"/>
          <w:szCs w:val="20"/>
          <w:lang w:val="es-ES_tradnl"/>
        </w:rPr>
        <w:t>quienes</w:t>
      </w:r>
      <w:r w:rsidR="008E5AEC" w:rsidRPr="001D3520">
        <w:rPr>
          <w:rFonts w:ascii="Verdana" w:hAnsi="Verdana"/>
          <w:sz w:val="18"/>
          <w:szCs w:val="20"/>
          <w:lang w:val="es-ES_tradnl"/>
        </w:rPr>
        <w:t xml:space="preserve"> fueron sustra</w:t>
      </w:r>
      <w:r w:rsidR="001D6B6D" w:rsidRPr="001D3520">
        <w:rPr>
          <w:rFonts w:ascii="Verdana" w:hAnsi="Verdana"/>
          <w:sz w:val="18"/>
          <w:szCs w:val="20"/>
          <w:lang w:val="es-ES_tradnl"/>
        </w:rPr>
        <w:t>í</w:t>
      </w:r>
      <w:r w:rsidR="008E5AEC" w:rsidRPr="001D3520">
        <w:rPr>
          <w:rFonts w:ascii="Verdana" w:hAnsi="Verdana"/>
          <w:sz w:val="18"/>
          <w:szCs w:val="20"/>
          <w:lang w:val="es-ES_tradnl"/>
        </w:rPr>
        <w:t xml:space="preserve">dos de sus domicilios. Esas personas son Milton Joel Martínez Álvarez, </w:t>
      </w:r>
      <w:proofErr w:type="spellStart"/>
      <w:r w:rsidR="008E5AEC" w:rsidRPr="001D3520">
        <w:rPr>
          <w:rFonts w:ascii="Verdana" w:hAnsi="Verdana"/>
          <w:sz w:val="18"/>
          <w:szCs w:val="20"/>
          <w:lang w:val="es-ES_tradnl"/>
        </w:rPr>
        <w:t>Suami</w:t>
      </w:r>
      <w:proofErr w:type="spellEnd"/>
      <w:r w:rsidR="008E5AEC" w:rsidRPr="001D3520">
        <w:rPr>
          <w:rFonts w:ascii="Verdana" w:hAnsi="Verdana"/>
          <w:sz w:val="18"/>
          <w:szCs w:val="20"/>
          <w:lang w:val="es-ES_tradnl"/>
        </w:rPr>
        <w:t xml:space="preserve"> Aparicio Mejía García, Gerardo Misael Trochez Calix</w:t>
      </w:r>
      <w:r w:rsidR="008A0357" w:rsidRPr="001D3520">
        <w:rPr>
          <w:rFonts w:ascii="Verdana" w:hAnsi="Verdana"/>
          <w:sz w:val="18"/>
          <w:szCs w:val="20"/>
          <w:lang w:val="es-ES_tradnl"/>
        </w:rPr>
        <w:t xml:space="preserve">, </w:t>
      </w:r>
      <w:r w:rsidR="008E5AEC" w:rsidRPr="001D3520">
        <w:rPr>
          <w:rFonts w:ascii="Verdana" w:hAnsi="Verdana"/>
          <w:sz w:val="18"/>
          <w:szCs w:val="20"/>
          <w:lang w:val="es-ES_tradnl"/>
        </w:rPr>
        <w:t xml:space="preserve">y Alberth </w:t>
      </w:r>
      <w:proofErr w:type="spellStart"/>
      <w:r w:rsidR="008E5AEC" w:rsidRPr="001D3520">
        <w:rPr>
          <w:rFonts w:ascii="Verdana" w:hAnsi="Verdana"/>
          <w:sz w:val="18"/>
          <w:szCs w:val="20"/>
          <w:lang w:val="es-ES_tradnl"/>
        </w:rPr>
        <w:t>Sneider</w:t>
      </w:r>
      <w:proofErr w:type="spellEnd"/>
      <w:r w:rsidR="008E5AEC" w:rsidRPr="001D3520">
        <w:rPr>
          <w:rFonts w:ascii="Verdana" w:hAnsi="Verdana"/>
          <w:sz w:val="18"/>
          <w:szCs w:val="20"/>
          <w:lang w:val="es-ES_tradnl"/>
        </w:rPr>
        <w:t xml:space="preserve"> Centeno, quien es </w:t>
      </w:r>
      <w:r w:rsidR="008A0357" w:rsidRPr="001D3520">
        <w:rPr>
          <w:rFonts w:ascii="Verdana" w:hAnsi="Verdana"/>
          <w:sz w:val="18"/>
          <w:szCs w:val="20"/>
          <w:lang w:val="es-ES_tradnl"/>
        </w:rPr>
        <w:t>presidente del Patronato de dicha comunidad</w:t>
      </w:r>
      <w:r w:rsidR="008E5AEC" w:rsidRPr="001D3520">
        <w:rPr>
          <w:rFonts w:ascii="Verdana" w:hAnsi="Verdana"/>
          <w:sz w:val="18"/>
          <w:szCs w:val="20"/>
          <w:lang w:val="es-ES_tradnl"/>
        </w:rPr>
        <w:t xml:space="preserve"> y</w:t>
      </w:r>
      <w:r w:rsidR="008A0357" w:rsidRPr="001D3520">
        <w:rPr>
          <w:rFonts w:ascii="Verdana" w:hAnsi="Verdana"/>
          <w:sz w:val="18"/>
          <w:szCs w:val="20"/>
          <w:lang w:val="es-ES_tradnl"/>
        </w:rPr>
        <w:t xml:space="preserve"> ha participado en las actividades que la Organización Fraternal Negra Hondureña (OFRANEH) </w:t>
      </w:r>
      <w:r w:rsidR="008E5AEC" w:rsidRPr="001D3520">
        <w:rPr>
          <w:rFonts w:ascii="Verdana" w:hAnsi="Verdana"/>
          <w:sz w:val="18"/>
          <w:szCs w:val="20"/>
          <w:lang w:val="es-ES_tradnl"/>
        </w:rPr>
        <w:t>desempeña</w:t>
      </w:r>
      <w:r w:rsidR="008A0357" w:rsidRPr="001D3520">
        <w:rPr>
          <w:rFonts w:ascii="Verdana" w:hAnsi="Verdana"/>
          <w:sz w:val="18"/>
          <w:szCs w:val="20"/>
          <w:lang w:val="es-ES_tradnl"/>
        </w:rPr>
        <w:t xml:space="preserve"> en defensa del territorio Garífuna y de su población</w:t>
      </w:r>
      <w:r w:rsidR="008E5AEC" w:rsidRPr="001D3520">
        <w:rPr>
          <w:rFonts w:ascii="Verdana" w:hAnsi="Verdana"/>
          <w:sz w:val="18"/>
          <w:szCs w:val="20"/>
          <w:lang w:val="es-ES_tradnl"/>
        </w:rPr>
        <w:t xml:space="preserve"> y para el cumplimiento de la sentencia de la Corte Interamericana en el presente caso. </w:t>
      </w:r>
      <w:r w:rsidR="008B402B" w:rsidRPr="001D3520">
        <w:rPr>
          <w:rFonts w:ascii="Verdana" w:hAnsi="Verdana"/>
          <w:sz w:val="18"/>
          <w:szCs w:val="20"/>
          <w:lang w:val="es-ES_tradnl"/>
        </w:rPr>
        <w:t>En el marco de esos hechos, ingresaron vehículos con personas fuertemente armadas a dicha comunidad</w:t>
      </w:r>
      <w:r w:rsidR="00A74E51" w:rsidRPr="001D3520">
        <w:rPr>
          <w:rFonts w:ascii="Verdana" w:hAnsi="Verdana"/>
          <w:sz w:val="18"/>
          <w:szCs w:val="20"/>
          <w:lang w:val="es-ES_tradnl"/>
        </w:rPr>
        <w:t>,</w:t>
      </w:r>
      <w:r w:rsidR="008B402B" w:rsidRPr="001D3520">
        <w:rPr>
          <w:rFonts w:ascii="Verdana" w:hAnsi="Verdana"/>
          <w:sz w:val="18"/>
          <w:szCs w:val="20"/>
          <w:lang w:val="es-ES_tradnl"/>
        </w:rPr>
        <w:t xml:space="preserve"> a pesar de las restricciones de movilización existentes, ante la pandemia imperante, y en un día donde no está permitida la circulación. Actualmente se desconoce su paradero y las autoridades no han brindado información alguna que haya permitido localizarles.</w:t>
      </w:r>
    </w:p>
    <w:p w14:paraId="08810DDC" w14:textId="5234B102" w:rsidR="00195BB0" w:rsidRDefault="008870C0" w:rsidP="00CA1233">
      <w:pPr>
        <w:pStyle w:val="Default"/>
        <w:numPr>
          <w:ilvl w:val="0"/>
          <w:numId w:val="5"/>
        </w:numPr>
        <w:suppressLineNumbers/>
        <w:jc w:val="both"/>
        <w:rPr>
          <w:rFonts w:ascii="Verdana" w:hAnsi="Verdana"/>
          <w:sz w:val="18"/>
          <w:szCs w:val="20"/>
          <w:lang w:val="es-ES_tradnl"/>
        </w:rPr>
      </w:pPr>
      <w:r w:rsidRPr="001D3520">
        <w:rPr>
          <w:rFonts w:ascii="Verdana" w:hAnsi="Verdana"/>
          <w:sz w:val="18"/>
          <w:szCs w:val="20"/>
          <w:lang w:val="es-ES_tradnl"/>
        </w:rPr>
        <w:t>En lo que respecta la Comunidad Garífuna de Punta Piedra, informaron que u</w:t>
      </w:r>
      <w:r w:rsidR="008B402B" w:rsidRPr="001D3520">
        <w:rPr>
          <w:rFonts w:ascii="Verdana" w:hAnsi="Verdana"/>
          <w:sz w:val="18"/>
          <w:szCs w:val="20"/>
          <w:lang w:val="es-ES_tradnl"/>
        </w:rPr>
        <w:t xml:space="preserve">n mes antes, ocurrió </w:t>
      </w:r>
      <w:r w:rsidR="00CA1233" w:rsidRPr="001D3520">
        <w:rPr>
          <w:rFonts w:ascii="Verdana" w:hAnsi="Verdana"/>
          <w:sz w:val="18"/>
          <w:szCs w:val="20"/>
          <w:lang w:val="es-ES_tradnl"/>
        </w:rPr>
        <w:t>el asesinato de otro líder comunal, el señor Antonio Bernárdez, relacionado directamente al caso de Punta Piedra</w:t>
      </w:r>
      <w:r w:rsidRPr="001D3520">
        <w:rPr>
          <w:rFonts w:ascii="Verdana" w:hAnsi="Verdana"/>
          <w:sz w:val="18"/>
          <w:szCs w:val="20"/>
          <w:lang w:val="es-ES_tradnl"/>
        </w:rPr>
        <w:t>. Sostuvieron que su homicidio podría</w:t>
      </w:r>
      <w:r w:rsidR="00CA1233" w:rsidRPr="001D3520">
        <w:rPr>
          <w:rFonts w:ascii="Verdana" w:hAnsi="Verdana"/>
          <w:sz w:val="18"/>
          <w:szCs w:val="20"/>
          <w:lang w:val="es-ES_tradnl"/>
        </w:rPr>
        <w:t xml:space="preserve"> estar directamente relacionad</w:t>
      </w:r>
      <w:r w:rsidR="001D6B6D" w:rsidRPr="001D3520">
        <w:rPr>
          <w:rFonts w:ascii="Verdana" w:hAnsi="Verdana"/>
          <w:sz w:val="18"/>
          <w:szCs w:val="20"/>
          <w:lang w:val="es-ES_tradnl"/>
        </w:rPr>
        <w:t>o</w:t>
      </w:r>
      <w:r w:rsidR="00CA1233" w:rsidRPr="001D3520">
        <w:rPr>
          <w:rFonts w:ascii="Verdana" w:hAnsi="Verdana"/>
          <w:sz w:val="18"/>
          <w:szCs w:val="20"/>
          <w:lang w:val="es-ES_tradnl"/>
        </w:rPr>
        <w:t xml:space="preserve"> con su trabajo para exigir el cumplimiento de las sentencias ordenadas por esta Corte.</w:t>
      </w:r>
      <w:r w:rsidR="00195BB0" w:rsidRPr="001D3520">
        <w:rPr>
          <w:rFonts w:ascii="Verdana" w:hAnsi="Verdana"/>
          <w:sz w:val="18"/>
          <w:szCs w:val="20"/>
          <w:lang w:val="es-ES_tradnl"/>
        </w:rPr>
        <w:t xml:space="preserve"> </w:t>
      </w:r>
    </w:p>
    <w:p w14:paraId="59FD7255" w14:textId="77777777" w:rsidR="00195BB0" w:rsidRPr="001D3520" w:rsidRDefault="00195BB0" w:rsidP="002F701E">
      <w:pPr>
        <w:suppressLineNumbers/>
        <w:tabs>
          <w:tab w:val="left" w:pos="720"/>
        </w:tabs>
        <w:jc w:val="both"/>
        <w:rPr>
          <w:rFonts w:ascii="Verdana" w:eastAsiaTheme="minorHAnsi" w:hAnsi="Verdana" w:cs="Verdana"/>
          <w:color w:val="000000"/>
          <w:sz w:val="20"/>
          <w:szCs w:val="20"/>
        </w:rPr>
      </w:pPr>
    </w:p>
    <w:p w14:paraId="6D201C39" w14:textId="276DCC7B" w:rsidR="00A87946" w:rsidRPr="008B402B" w:rsidRDefault="00A87946" w:rsidP="00A87946">
      <w:pPr>
        <w:pStyle w:val="Prrafodelista"/>
        <w:numPr>
          <w:ilvl w:val="0"/>
          <w:numId w:val="2"/>
        </w:numPr>
        <w:suppressLineNumbers/>
        <w:tabs>
          <w:tab w:val="left" w:pos="0"/>
        </w:tabs>
        <w:spacing w:line="240" w:lineRule="auto"/>
        <w:ind w:left="0" w:firstLine="0"/>
        <w:jc w:val="both"/>
        <w:rPr>
          <w:rFonts w:ascii="Verdana" w:hAnsi="Verdana" w:cs="Arial"/>
          <w:color w:val="000000"/>
          <w:sz w:val="20"/>
          <w:szCs w:val="20"/>
          <w:lang w:val="es-CR"/>
        </w:rPr>
      </w:pPr>
      <w:r>
        <w:rPr>
          <w:rFonts w:ascii="Verdana" w:hAnsi="Verdana" w:cs="Verdana"/>
          <w:color w:val="000000"/>
          <w:sz w:val="20"/>
          <w:szCs w:val="20"/>
          <w:lang w:val="es-CR"/>
        </w:rPr>
        <w:t>Finalmente, lo</w:t>
      </w:r>
      <w:r w:rsidRPr="00CA1233">
        <w:rPr>
          <w:rFonts w:ascii="Verdana" w:hAnsi="Verdana" w:cs="Verdana"/>
          <w:color w:val="000000"/>
          <w:sz w:val="20"/>
          <w:szCs w:val="20"/>
          <w:lang w:val="es-CR"/>
        </w:rPr>
        <w:t xml:space="preserve">s representantes </w:t>
      </w:r>
      <w:r>
        <w:rPr>
          <w:rFonts w:ascii="Verdana" w:hAnsi="Verdana" w:cs="Verdana"/>
          <w:color w:val="000000"/>
          <w:sz w:val="20"/>
          <w:szCs w:val="20"/>
          <w:lang w:val="es-CR"/>
        </w:rPr>
        <w:t xml:space="preserve">señalaron que los hechos descritos demuestran </w:t>
      </w:r>
      <w:r w:rsidRPr="00CA1233">
        <w:rPr>
          <w:rFonts w:ascii="Verdana" w:hAnsi="Verdana" w:cs="Verdana"/>
          <w:color w:val="000000"/>
          <w:sz w:val="20"/>
          <w:szCs w:val="20"/>
          <w:lang w:val="es-CR"/>
        </w:rPr>
        <w:t>una situación de</w:t>
      </w:r>
      <w:r>
        <w:rPr>
          <w:rFonts w:ascii="Verdana" w:hAnsi="Verdana" w:cs="Verdana"/>
          <w:color w:val="000000"/>
          <w:sz w:val="20"/>
          <w:szCs w:val="20"/>
          <w:lang w:val="es-CR"/>
        </w:rPr>
        <w:t xml:space="preserve"> </w:t>
      </w:r>
      <w:r w:rsidRPr="00CA1233">
        <w:rPr>
          <w:rFonts w:ascii="Verdana" w:hAnsi="Verdana" w:cs="Verdana"/>
          <w:color w:val="000000"/>
          <w:sz w:val="20"/>
          <w:szCs w:val="20"/>
          <w:lang w:val="es-CR"/>
        </w:rPr>
        <w:t xml:space="preserve">“extrema gravedad y urgencia” relacionada con la </w:t>
      </w:r>
      <w:r w:rsidRPr="008B402B">
        <w:rPr>
          <w:rFonts w:ascii="Verdana" w:hAnsi="Verdana" w:cs="Arial"/>
          <w:color w:val="000000"/>
          <w:sz w:val="20"/>
          <w:szCs w:val="20"/>
          <w:lang w:val="es-CR"/>
        </w:rPr>
        <w:t>posibilidad de “daños irreparables” y solicita</w:t>
      </w:r>
      <w:r>
        <w:rPr>
          <w:rFonts w:ascii="Verdana" w:hAnsi="Verdana" w:cs="Arial"/>
          <w:color w:val="000000"/>
          <w:sz w:val="20"/>
          <w:szCs w:val="20"/>
          <w:lang w:val="es-CR"/>
        </w:rPr>
        <w:t>ro</w:t>
      </w:r>
      <w:r w:rsidRPr="008B402B">
        <w:rPr>
          <w:rFonts w:ascii="Verdana" w:hAnsi="Verdana" w:cs="Arial"/>
          <w:color w:val="000000"/>
          <w:sz w:val="20"/>
          <w:szCs w:val="20"/>
          <w:lang w:val="es-CR"/>
        </w:rPr>
        <w:t>n que se orden</w:t>
      </w:r>
      <w:r w:rsidR="00400411">
        <w:rPr>
          <w:rFonts w:ascii="Verdana" w:hAnsi="Verdana" w:cs="Arial"/>
          <w:color w:val="000000"/>
          <w:sz w:val="20"/>
          <w:szCs w:val="20"/>
          <w:lang w:val="es-CR"/>
        </w:rPr>
        <w:t>ara</w:t>
      </w:r>
      <w:r w:rsidRPr="008B402B">
        <w:rPr>
          <w:rFonts w:ascii="Verdana" w:hAnsi="Verdana" w:cs="Arial"/>
          <w:color w:val="000000"/>
          <w:sz w:val="20"/>
          <w:szCs w:val="20"/>
          <w:lang w:val="es-CR"/>
        </w:rPr>
        <w:t xml:space="preserve"> al Estado lo siguiente:</w:t>
      </w:r>
    </w:p>
    <w:p w14:paraId="03E7B6C3" w14:textId="77777777" w:rsidR="00A87946" w:rsidRPr="00A87946" w:rsidRDefault="00A87946" w:rsidP="00A87946">
      <w:pPr>
        <w:pStyle w:val="Default"/>
        <w:numPr>
          <w:ilvl w:val="0"/>
          <w:numId w:val="22"/>
        </w:numPr>
        <w:suppressLineNumbers/>
        <w:jc w:val="both"/>
        <w:rPr>
          <w:rFonts w:ascii="Verdana" w:hAnsi="Verdana"/>
          <w:sz w:val="18"/>
          <w:szCs w:val="20"/>
          <w:lang w:val="es-ES_tradnl"/>
        </w:rPr>
      </w:pPr>
      <w:r w:rsidRPr="00A87946">
        <w:rPr>
          <w:rFonts w:ascii="Verdana" w:hAnsi="Verdana"/>
          <w:sz w:val="18"/>
          <w:szCs w:val="20"/>
          <w:lang w:val="es-ES_tradnl"/>
        </w:rPr>
        <w:t xml:space="preserve">Adopción “de medidas provisionales, a favor de Milton Joel Martínez Álvarez; </w:t>
      </w:r>
      <w:proofErr w:type="spellStart"/>
      <w:r w:rsidRPr="00A87946">
        <w:rPr>
          <w:rFonts w:ascii="Verdana" w:hAnsi="Verdana"/>
          <w:sz w:val="18"/>
          <w:szCs w:val="20"/>
          <w:lang w:val="es-ES_tradnl"/>
        </w:rPr>
        <w:t>Suami</w:t>
      </w:r>
      <w:proofErr w:type="spellEnd"/>
      <w:r w:rsidRPr="00A87946">
        <w:rPr>
          <w:rFonts w:ascii="Verdana" w:hAnsi="Verdana"/>
          <w:sz w:val="18"/>
          <w:szCs w:val="20"/>
          <w:lang w:val="es-ES_tradnl"/>
        </w:rPr>
        <w:t xml:space="preserve"> Aparicio Mejía García, Albert </w:t>
      </w:r>
      <w:proofErr w:type="spellStart"/>
      <w:r w:rsidRPr="00A87946">
        <w:rPr>
          <w:rFonts w:ascii="Verdana" w:hAnsi="Verdana"/>
          <w:sz w:val="18"/>
          <w:szCs w:val="20"/>
          <w:lang w:val="es-ES_tradnl"/>
        </w:rPr>
        <w:t>Snaider</w:t>
      </w:r>
      <w:proofErr w:type="spellEnd"/>
      <w:r w:rsidRPr="00A87946">
        <w:rPr>
          <w:rFonts w:ascii="Verdana" w:hAnsi="Verdana"/>
          <w:sz w:val="18"/>
          <w:szCs w:val="20"/>
          <w:lang w:val="es-ES_tradnl"/>
        </w:rPr>
        <w:t xml:space="preserve"> Centeno Thomas, conocido también como </w:t>
      </w:r>
      <w:proofErr w:type="spellStart"/>
      <w:r w:rsidRPr="00A87946">
        <w:rPr>
          <w:rFonts w:ascii="Verdana" w:hAnsi="Verdana"/>
          <w:sz w:val="18"/>
          <w:szCs w:val="20"/>
          <w:lang w:val="es-ES_tradnl"/>
        </w:rPr>
        <w:t>Sneider</w:t>
      </w:r>
      <w:proofErr w:type="spellEnd"/>
      <w:r w:rsidRPr="00A87946">
        <w:rPr>
          <w:rFonts w:ascii="Verdana" w:hAnsi="Verdana"/>
          <w:sz w:val="18"/>
          <w:szCs w:val="20"/>
          <w:lang w:val="es-ES_tradnl"/>
        </w:rPr>
        <w:t xml:space="preserve"> Centeno, Gerardo Misael Trochez Calix, [así como a favor] del resto de los pobladores de Triunfo de la Cruz y los pobladores de la comunidad de Punta Piedra, quienes </w:t>
      </w:r>
      <w:r w:rsidRPr="00A87946">
        <w:rPr>
          <w:rFonts w:ascii="Verdana" w:hAnsi="Verdana"/>
          <w:sz w:val="18"/>
          <w:szCs w:val="20"/>
          <w:lang w:val="es-ES_tradnl"/>
        </w:rPr>
        <w:lastRenderedPageBreak/>
        <w:t xml:space="preserve">desarrollan colectivamente acciones de defensa de los derechos del pueblo Garífuna y, específicamente, sobre sus territorios”. </w:t>
      </w:r>
    </w:p>
    <w:p w14:paraId="6B5B1AA6" w14:textId="77777777" w:rsidR="00A87946" w:rsidRPr="00A87946" w:rsidRDefault="00A87946" w:rsidP="00A87946">
      <w:pPr>
        <w:pStyle w:val="Default"/>
        <w:numPr>
          <w:ilvl w:val="0"/>
          <w:numId w:val="22"/>
        </w:numPr>
        <w:suppressLineNumbers/>
        <w:jc w:val="both"/>
        <w:rPr>
          <w:rFonts w:ascii="Verdana" w:hAnsi="Verdana"/>
          <w:sz w:val="18"/>
          <w:szCs w:val="20"/>
          <w:lang w:val="es-ES_tradnl"/>
        </w:rPr>
      </w:pPr>
      <w:r w:rsidRPr="00A87946">
        <w:rPr>
          <w:rFonts w:ascii="Verdana" w:hAnsi="Verdana"/>
          <w:sz w:val="18"/>
          <w:szCs w:val="20"/>
          <w:lang w:val="es-ES_tradnl"/>
        </w:rPr>
        <w:t>Que el Estado Hondureño libere a las personas mencionadas que fueron sustraídas.</w:t>
      </w:r>
    </w:p>
    <w:p w14:paraId="211A3AE8" w14:textId="77777777" w:rsidR="00A87946" w:rsidRPr="00A87946" w:rsidRDefault="00A87946" w:rsidP="00A87946">
      <w:pPr>
        <w:pStyle w:val="Default"/>
        <w:numPr>
          <w:ilvl w:val="0"/>
          <w:numId w:val="22"/>
        </w:numPr>
        <w:suppressLineNumbers/>
        <w:jc w:val="both"/>
        <w:rPr>
          <w:rFonts w:ascii="Verdana" w:hAnsi="Verdana"/>
          <w:sz w:val="18"/>
          <w:szCs w:val="20"/>
          <w:lang w:val="es-ES_tradnl"/>
        </w:rPr>
      </w:pPr>
      <w:r w:rsidRPr="00A87946">
        <w:rPr>
          <w:rFonts w:ascii="Verdana" w:hAnsi="Verdana"/>
          <w:sz w:val="18"/>
          <w:szCs w:val="20"/>
          <w:lang w:val="es-ES_tradnl"/>
        </w:rPr>
        <w:t xml:space="preserve">Que el Estado tome las medidas necesarias para el cumplimiento de los puntos resolutivos pendientes de cumplimiento de las Sentencias emitidas en el presente caso. </w:t>
      </w:r>
    </w:p>
    <w:p w14:paraId="5148B3A2" w14:textId="77777777" w:rsidR="00A87946" w:rsidRPr="00A87946" w:rsidRDefault="00A87946" w:rsidP="00A87946">
      <w:pPr>
        <w:pStyle w:val="Prrafodelista"/>
        <w:suppressLineNumbers/>
        <w:tabs>
          <w:tab w:val="left" w:pos="0"/>
        </w:tabs>
        <w:spacing w:line="240" w:lineRule="auto"/>
        <w:ind w:left="0"/>
        <w:jc w:val="both"/>
        <w:rPr>
          <w:rFonts w:ascii="Verdana" w:hAnsi="Verdana" w:cs="Arial"/>
          <w:color w:val="000000"/>
          <w:sz w:val="20"/>
          <w:szCs w:val="20"/>
          <w:lang w:val="es-ES_tradnl"/>
        </w:rPr>
      </w:pPr>
    </w:p>
    <w:p w14:paraId="7C4FF2C5" w14:textId="77777777" w:rsidR="00A87946" w:rsidRPr="008D017C" w:rsidRDefault="00A87946" w:rsidP="00A87946">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8870C0">
        <w:rPr>
          <w:rFonts w:ascii="Verdana" w:hAnsi="Verdana" w:cs="Verdana"/>
          <w:color w:val="000000"/>
          <w:sz w:val="20"/>
          <w:szCs w:val="20"/>
          <w:lang w:val="es-CR"/>
        </w:rPr>
        <w:t>En su escrito de observaciones de 31 de juli</w:t>
      </w:r>
      <w:r w:rsidRPr="003543EF">
        <w:rPr>
          <w:rFonts w:ascii="Verdana" w:hAnsi="Verdana" w:cs="Verdana"/>
          <w:color w:val="000000"/>
          <w:sz w:val="20"/>
          <w:szCs w:val="20"/>
          <w:lang w:val="es-CR"/>
        </w:rPr>
        <w:t xml:space="preserve">o de 2020, el Estado </w:t>
      </w:r>
      <w:r w:rsidRPr="002033CF">
        <w:rPr>
          <w:rFonts w:ascii="Verdana" w:hAnsi="Verdana" w:cs="Verdana"/>
          <w:color w:val="000000"/>
          <w:sz w:val="20"/>
          <w:szCs w:val="20"/>
          <w:lang w:val="es-CR"/>
        </w:rPr>
        <w:t>señaló con res</w:t>
      </w:r>
      <w:r w:rsidRPr="00A65F63">
        <w:rPr>
          <w:rFonts w:ascii="Verdana" w:hAnsi="Verdana" w:cs="Verdana"/>
          <w:color w:val="000000"/>
          <w:sz w:val="20"/>
          <w:szCs w:val="20"/>
          <w:lang w:val="es-CR"/>
        </w:rPr>
        <w:t xml:space="preserve">pecto a la Comunidad Garífuna de Punta Piedra </w:t>
      </w:r>
      <w:r w:rsidRPr="008D017C">
        <w:rPr>
          <w:rFonts w:ascii="Verdana" w:hAnsi="Verdana" w:cs="Verdana"/>
          <w:color w:val="000000"/>
          <w:sz w:val="20"/>
          <w:szCs w:val="20"/>
          <w:lang w:val="es-CR"/>
        </w:rPr>
        <w:t>que se encuentra efectuando la investigación para determinar los responsables del homicidio del señor Antonio Bernárdez. A su vez, el Estado hizo mención a las acciones de protección que fueron implementadas a través de mecanismos internos frente a otros hechos de amenazas e intimidaciones contra miembros de la Comunidad de Punta Piedra, los cuales ya habían sido mencionados en el marco de la supervisión de cumplimiento de la Sentencia de la Corte en ese caso</w:t>
      </w:r>
      <w:r w:rsidRPr="008D017C">
        <w:rPr>
          <w:rStyle w:val="Refdenotaalpie"/>
          <w:rFonts w:cs="Verdana"/>
          <w:color w:val="000000"/>
          <w:sz w:val="20"/>
          <w:szCs w:val="20"/>
          <w:lang w:val="es-CR"/>
        </w:rPr>
        <w:footnoteReference w:id="7"/>
      </w:r>
      <w:r w:rsidRPr="008870C0">
        <w:rPr>
          <w:rFonts w:ascii="Verdana" w:hAnsi="Verdana" w:cs="Verdana"/>
          <w:color w:val="000000"/>
          <w:sz w:val="20"/>
          <w:szCs w:val="20"/>
          <w:lang w:val="es-CR"/>
        </w:rPr>
        <w:t xml:space="preserve">. </w:t>
      </w:r>
      <w:r w:rsidRPr="003543EF">
        <w:rPr>
          <w:rFonts w:ascii="Verdana" w:hAnsi="Verdana" w:cs="Verdana"/>
          <w:color w:val="000000"/>
          <w:sz w:val="20"/>
          <w:szCs w:val="20"/>
          <w:lang w:val="es-CR"/>
        </w:rPr>
        <w:t xml:space="preserve">Afirmó que no se continuó con la aplicación de esas medidas de protección </w:t>
      </w:r>
      <w:r w:rsidRPr="00A65F63">
        <w:rPr>
          <w:rFonts w:ascii="Verdana" w:hAnsi="Verdana" w:cs="Verdana"/>
          <w:color w:val="000000"/>
          <w:sz w:val="20"/>
          <w:szCs w:val="20"/>
          <w:lang w:val="es-CR"/>
        </w:rPr>
        <w:t>al manifestar los beneficiarios de las medidas que no aceptarían su</w:t>
      </w:r>
      <w:r w:rsidRPr="008D017C">
        <w:rPr>
          <w:rFonts w:ascii="Verdana" w:hAnsi="Verdana" w:cs="Verdana"/>
          <w:color w:val="000000"/>
          <w:sz w:val="20"/>
          <w:szCs w:val="20"/>
          <w:lang w:val="es-CR"/>
        </w:rPr>
        <w:t xml:space="preserve"> implementación, hasta que no se cumpla la sentencia.</w:t>
      </w:r>
    </w:p>
    <w:p w14:paraId="2221613C" w14:textId="77777777" w:rsidR="00A87946" w:rsidRDefault="00A87946" w:rsidP="00A87946">
      <w:pPr>
        <w:pStyle w:val="Prrafodelista"/>
        <w:suppressLineNumbers/>
        <w:tabs>
          <w:tab w:val="left" w:pos="0"/>
        </w:tabs>
        <w:spacing w:line="240" w:lineRule="auto"/>
        <w:ind w:left="0"/>
        <w:jc w:val="both"/>
        <w:rPr>
          <w:rFonts w:ascii="Verdana" w:hAnsi="Verdana" w:cs="Verdana"/>
          <w:color w:val="000000"/>
          <w:sz w:val="20"/>
          <w:szCs w:val="20"/>
          <w:lang w:val="es-CR"/>
        </w:rPr>
      </w:pPr>
    </w:p>
    <w:p w14:paraId="759C0366" w14:textId="4E3EADE2" w:rsidR="00A87946" w:rsidRPr="00210282" w:rsidRDefault="00A87946" w:rsidP="00A87946">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cs="Verdana"/>
          <w:color w:val="000000"/>
          <w:sz w:val="20"/>
          <w:szCs w:val="20"/>
          <w:lang w:val="es-CR"/>
        </w:rPr>
        <w:t>En segundo lugar, con respecto a la Comunidad Garífuna Triunfo de la Cruz, el Estado indicó en relación con las cuatro personas que habrían sido sustraídas de sus domicilios el 18 de julio de 2020, que esos hechos se encuentran aún en etapa de investigación</w:t>
      </w:r>
      <w:r w:rsidRPr="008D017C">
        <w:rPr>
          <w:rStyle w:val="Refdenotaalpie"/>
          <w:rFonts w:cs="Verdana"/>
          <w:color w:val="000000"/>
          <w:sz w:val="20"/>
          <w:szCs w:val="20"/>
          <w:lang w:val="es-CR"/>
        </w:rPr>
        <w:footnoteReference w:id="8"/>
      </w:r>
      <w:r>
        <w:rPr>
          <w:rFonts w:ascii="Verdana" w:hAnsi="Verdana" w:cs="Verdana"/>
          <w:color w:val="000000"/>
          <w:sz w:val="20"/>
          <w:szCs w:val="20"/>
          <w:lang w:val="es-CR"/>
        </w:rPr>
        <w:t xml:space="preserve"> y que</w:t>
      </w:r>
      <w:r w:rsidR="003A1CE8">
        <w:rPr>
          <w:rFonts w:ascii="Verdana" w:hAnsi="Verdana" w:cs="Verdana"/>
          <w:color w:val="000000"/>
          <w:sz w:val="20"/>
          <w:szCs w:val="20"/>
          <w:lang w:val="es-CR"/>
        </w:rPr>
        <w:t>,</w:t>
      </w:r>
      <w:r>
        <w:rPr>
          <w:rFonts w:ascii="Verdana" w:hAnsi="Verdana" w:cs="Verdana"/>
          <w:color w:val="000000"/>
          <w:sz w:val="20"/>
          <w:szCs w:val="20"/>
          <w:lang w:val="es-CR"/>
        </w:rPr>
        <w:t xml:space="preserve"> por el momento</w:t>
      </w:r>
      <w:r w:rsidR="003A1CE8">
        <w:rPr>
          <w:rFonts w:ascii="Verdana" w:hAnsi="Verdana" w:cs="Verdana"/>
          <w:color w:val="000000"/>
          <w:sz w:val="20"/>
          <w:szCs w:val="20"/>
          <w:lang w:val="es-CR"/>
        </w:rPr>
        <w:t>,</w:t>
      </w:r>
      <w:r>
        <w:rPr>
          <w:rFonts w:ascii="Verdana" w:hAnsi="Verdana" w:cs="Verdana"/>
          <w:color w:val="000000"/>
          <w:sz w:val="20"/>
          <w:szCs w:val="20"/>
          <w:lang w:val="es-CR"/>
        </w:rPr>
        <w:t xml:space="preserve"> </w:t>
      </w:r>
      <w:r w:rsidRPr="00FD34DA">
        <w:rPr>
          <w:rFonts w:ascii="Verdana" w:hAnsi="Verdana" w:cs="Verdana"/>
          <w:color w:val="000000"/>
          <w:sz w:val="20"/>
          <w:szCs w:val="20"/>
          <w:lang w:val="es-CR"/>
        </w:rPr>
        <w:t xml:space="preserve">no puede computarse como una intervención directa por parte de agentes estatales o </w:t>
      </w:r>
      <w:r>
        <w:rPr>
          <w:rFonts w:ascii="Verdana" w:hAnsi="Verdana" w:cs="Verdana"/>
          <w:color w:val="000000"/>
          <w:sz w:val="20"/>
          <w:szCs w:val="20"/>
          <w:lang w:val="es-CR"/>
        </w:rPr>
        <w:t>con su</w:t>
      </w:r>
      <w:r w:rsidRPr="00FD34DA">
        <w:rPr>
          <w:rFonts w:ascii="Verdana" w:hAnsi="Verdana" w:cs="Verdana"/>
          <w:color w:val="000000"/>
          <w:sz w:val="20"/>
          <w:szCs w:val="20"/>
          <w:lang w:val="es-CR"/>
        </w:rPr>
        <w:t xml:space="preserve"> aquiescencia</w:t>
      </w:r>
      <w:r>
        <w:rPr>
          <w:rFonts w:ascii="Verdana" w:hAnsi="Verdana" w:cs="Verdana"/>
          <w:color w:val="000000"/>
          <w:sz w:val="20"/>
          <w:szCs w:val="20"/>
          <w:lang w:val="es-CR"/>
        </w:rPr>
        <w:t xml:space="preserve"> y, por tanto, como una desaparición forzada. En cuanto</w:t>
      </w:r>
      <w:r w:rsidR="009005F5">
        <w:rPr>
          <w:rFonts w:ascii="Verdana" w:hAnsi="Verdana" w:cs="Verdana"/>
          <w:color w:val="000000"/>
          <w:sz w:val="20"/>
          <w:szCs w:val="20"/>
          <w:lang w:val="es-CR"/>
        </w:rPr>
        <w:t xml:space="preserve"> a</w:t>
      </w:r>
      <w:r>
        <w:rPr>
          <w:rFonts w:ascii="Verdana" w:hAnsi="Verdana" w:cs="Verdana"/>
          <w:color w:val="000000"/>
          <w:sz w:val="20"/>
          <w:szCs w:val="20"/>
          <w:lang w:val="es-CR"/>
        </w:rPr>
        <w:t xml:space="preserve"> la indumentaria de</w:t>
      </w:r>
      <w:r w:rsidRPr="00FD34DA">
        <w:rPr>
          <w:rFonts w:ascii="Verdana" w:hAnsi="Verdana" w:cs="Verdana"/>
          <w:color w:val="000000"/>
          <w:sz w:val="20"/>
          <w:szCs w:val="20"/>
          <w:lang w:val="es-CR"/>
        </w:rPr>
        <w:t xml:space="preserve"> </w:t>
      </w:r>
      <w:r>
        <w:rPr>
          <w:rFonts w:ascii="Verdana" w:hAnsi="Verdana" w:cs="Verdana"/>
          <w:color w:val="000000"/>
          <w:sz w:val="20"/>
          <w:szCs w:val="20"/>
          <w:lang w:val="es-CR"/>
        </w:rPr>
        <w:t xml:space="preserve">las personas que ingresaron a la Comunidad, la cual sería </w:t>
      </w:r>
      <w:r w:rsidRPr="00FD34DA">
        <w:rPr>
          <w:rFonts w:ascii="Verdana" w:hAnsi="Verdana" w:cs="Verdana"/>
          <w:color w:val="000000"/>
          <w:sz w:val="20"/>
          <w:szCs w:val="20"/>
          <w:lang w:val="es-CR"/>
        </w:rPr>
        <w:t>similar a la utilizada por la Dirección Policial de Investigación</w:t>
      </w:r>
      <w:r>
        <w:rPr>
          <w:rFonts w:ascii="Verdana" w:hAnsi="Verdana" w:cs="Verdana"/>
          <w:color w:val="000000"/>
          <w:sz w:val="20"/>
          <w:szCs w:val="20"/>
          <w:lang w:val="es-CR"/>
        </w:rPr>
        <w:t xml:space="preserve">, observó que </w:t>
      </w:r>
      <w:r w:rsidRPr="00FD34DA">
        <w:rPr>
          <w:rFonts w:ascii="Verdana" w:hAnsi="Verdana" w:cs="Verdana"/>
          <w:color w:val="000000"/>
          <w:sz w:val="20"/>
          <w:szCs w:val="20"/>
          <w:lang w:val="es-CR"/>
        </w:rPr>
        <w:t xml:space="preserve">actuaciones relacionadas con el uso de indumentaria policial o militar </w:t>
      </w:r>
      <w:r>
        <w:rPr>
          <w:rFonts w:ascii="Verdana" w:hAnsi="Verdana" w:cs="Verdana"/>
          <w:color w:val="000000"/>
          <w:sz w:val="20"/>
          <w:szCs w:val="20"/>
          <w:lang w:val="es-CR"/>
        </w:rPr>
        <w:t xml:space="preserve">ya han </w:t>
      </w:r>
      <w:r w:rsidRPr="00FD34DA">
        <w:rPr>
          <w:rFonts w:ascii="Verdana" w:hAnsi="Verdana" w:cs="Verdana"/>
          <w:color w:val="000000"/>
          <w:sz w:val="20"/>
          <w:szCs w:val="20"/>
          <w:lang w:val="es-CR"/>
        </w:rPr>
        <w:t>ocurrido en</w:t>
      </w:r>
      <w:r>
        <w:rPr>
          <w:rFonts w:ascii="Verdana" w:hAnsi="Verdana" w:cs="Verdana"/>
          <w:color w:val="000000"/>
          <w:sz w:val="20"/>
          <w:szCs w:val="20"/>
          <w:lang w:val="es-CR"/>
        </w:rPr>
        <w:t xml:space="preserve"> Honduras</w:t>
      </w:r>
      <w:r w:rsidRPr="00FD34DA">
        <w:rPr>
          <w:rFonts w:ascii="Verdana" w:hAnsi="Verdana" w:cs="Verdana"/>
          <w:color w:val="000000"/>
          <w:sz w:val="20"/>
          <w:szCs w:val="20"/>
          <w:lang w:val="es-CR"/>
        </w:rPr>
        <w:t>, donde el crimen organizado o personas en conflicto con la ley han hecho uso de los mismos</w:t>
      </w:r>
      <w:r>
        <w:rPr>
          <w:rFonts w:ascii="Verdana" w:hAnsi="Verdana" w:cs="Verdana"/>
          <w:color w:val="000000"/>
          <w:sz w:val="20"/>
          <w:szCs w:val="20"/>
          <w:lang w:val="es-CR"/>
        </w:rPr>
        <w:t xml:space="preserve">. </w:t>
      </w:r>
      <w:r w:rsidRPr="00210282">
        <w:rPr>
          <w:rFonts w:ascii="Verdana" w:hAnsi="Verdana" w:cs="Verdana"/>
          <w:color w:val="000000"/>
          <w:sz w:val="20"/>
          <w:szCs w:val="20"/>
          <w:lang w:val="es-CR"/>
        </w:rPr>
        <w:t xml:space="preserve"> </w:t>
      </w:r>
    </w:p>
    <w:p w14:paraId="7D3B60A1" w14:textId="77777777" w:rsidR="00A87946" w:rsidRPr="00FD34DA" w:rsidRDefault="00A87946" w:rsidP="00A87946">
      <w:pPr>
        <w:pStyle w:val="Prrafodelista"/>
        <w:rPr>
          <w:rFonts w:ascii="Verdana" w:hAnsi="Verdana" w:cs="Verdana"/>
          <w:color w:val="000000"/>
          <w:sz w:val="20"/>
          <w:szCs w:val="20"/>
          <w:lang w:val="es-CR"/>
        </w:rPr>
      </w:pPr>
    </w:p>
    <w:p w14:paraId="69F6F500" w14:textId="3A4A4F52" w:rsidR="00A87946" w:rsidRDefault="00A87946" w:rsidP="00A87946">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Pr>
          <w:rFonts w:ascii="Verdana" w:hAnsi="Verdana" w:cs="Verdana"/>
          <w:color w:val="000000"/>
          <w:sz w:val="20"/>
          <w:szCs w:val="20"/>
          <w:lang w:val="es-CR"/>
        </w:rPr>
        <w:t>E</w:t>
      </w:r>
      <w:r w:rsidRPr="00FD34DA">
        <w:rPr>
          <w:rFonts w:ascii="Verdana" w:hAnsi="Verdana" w:cs="Verdana"/>
          <w:color w:val="000000"/>
          <w:sz w:val="20"/>
          <w:szCs w:val="20"/>
          <w:lang w:val="es-CR"/>
        </w:rPr>
        <w:t>n cuanto a la solicitud de los peticionarios de ordenar la liberación</w:t>
      </w:r>
      <w:r>
        <w:rPr>
          <w:rFonts w:ascii="Verdana" w:hAnsi="Verdana" w:cs="Verdana"/>
          <w:color w:val="000000"/>
          <w:sz w:val="20"/>
          <w:szCs w:val="20"/>
          <w:lang w:val="es-CR"/>
        </w:rPr>
        <w:t xml:space="preserve"> de esas cuatro personas, el Estado reiteró que </w:t>
      </w:r>
      <w:r w:rsidR="000763F8">
        <w:rPr>
          <w:rFonts w:ascii="Verdana" w:hAnsi="Verdana" w:cs="Verdana"/>
          <w:color w:val="000000"/>
          <w:sz w:val="20"/>
          <w:szCs w:val="20"/>
          <w:lang w:val="es-CR"/>
        </w:rPr>
        <w:t>los hechos se encuentran</w:t>
      </w:r>
      <w:r w:rsidR="000763F8" w:rsidRPr="00FD34DA">
        <w:rPr>
          <w:rFonts w:ascii="Verdana" w:hAnsi="Verdana" w:cs="Verdana"/>
          <w:color w:val="000000"/>
          <w:sz w:val="20"/>
          <w:szCs w:val="20"/>
          <w:lang w:val="es-CR"/>
        </w:rPr>
        <w:t xml:space="preserve"> </w:t>
      </w:r>
      <w:r w:rsidRPr="00FD34DA">
        <w:rPr>
          <w:rFonts w:ascii="Verdana" w:hAnsi="Verdana" w:cs="Verdana"/>
          <w:color w:val="000000"/>
          <w:sz w:val="20"/>
          <w:szCs w:val="20"/>
          <w:lang w:val="es-CR"/>
        </w:rPr>
        <w:t xml:space="preserve">en etapa investigativa y </w:t>
      </w:r>
      <w:r>
        <w:rPr>
          <w:rFonts w:ascii="Verdana" w:hAnsi="Verdana" w:cs="Verdana"/>
          <w:color w:val="000000"/>
          <w:sz w:val="20"/>
          <w:szCs w:val="20"/>
          <w:lang w:val="es-CR"/>
        </w:rPr>
        <w:t xml:space="preserve">que no se trata de </w:t>
      </w:r>
      <w:r w:rsidRPr="00FD34DA">
        <w:rPr>
          <w:rFonts w:ascii="Verdana" w:hAnsi="Verdana" w:cs="Verdana"/>
          <w:color w:val="000000"/>
          <w:sz w:val="20"/>
          <w:szCs w:val="20"/>
          <w:lang w:val="es-CR"/>
        </w:rPr>
        <w:t xml:space="preserve">una detención por no haberse notificado mediante mandato judicial, ni existe información comprobada que se deba a una actuación estatal; siendo que el Estado desconoce el paradero de éstos. </w:t>
      </w:r>
    </w:p>
    <w:p w14:paraId="4221EC39" w14:textId="77777777" w:rsidR="00A87946" w:rsidRPr="00210282" w:rsidRDefault="00A87946" w:rsidP="00A87946">
      <w:pPr>
        <w:pStyle w:val="Prrafodelista"/>
        <w:suppressLineNumbers/>
        <w:tabs>
          <w:tab w:val="left" w:pos="0"/>
        </w:tabs>
        <w:spacing w:line="240" w:lineRule="auto"/>
        <w:ind w:left="0"/>
        <w:jc w:val="both"/>
        <w:rPr>
          <w:rFonts w:ascii="Verdana" w:hAnsi="Verdana" w:cs="Verdana"/>
          <w:color w:val="000000"/>
          <w:sz w:val="20"/>
          <w:szCs w:val="20"/>
          <w:lang w:val="es-CR"/>
        </w:rPr>
      </w:pPr>
    </w:p>
    <w:p w14:paraId="2A701DC6" w14:textId="76D03CFA" w:rsidR="00A87946" w:rsidRDefault="00A87946" w:rsidP="00A87946">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CR"/>
        </w:rPr>
      </w:pPr>
      <w:r w:rsidRPr="002033CF">
        <w:rPr>
          <w:rFonts w:ascii="Verdana" w:hAnsi="Verdana" w:cs="Verdana"/>
          <w:color w:val="000000"/>
          <w:sz w:val="20"/>
          <w:szCs w:val="20"/>
          <w:lang w:val="es-CR"/>
        </w:rPr>
        <w:t xml:space="preserve">A su vez, el Estado </w:t>
      </w:r>
      <w:r w:rsidRPr="008D017C">
        <w:rPr>
          <w:rFonts w:ascii="Verdana" w:hAnsi="Verdana" w:cs="Verdana"/>
          <w:color w:val="000000"/>
          <w:sz w:val="20"/>
          <w:szCs w:val="20"/>
          <w:lang w:val="es-CR"/>
        </w:rPr>
        <w:t>informó sobre una solicitud de medidas de protección a favor del señor</w:t>
      </w:r>
      <w:r w:rsidRPr="002033CF">
        <w:rPr>
          <w:rFonts w:ascii="Verdana" w:hAnsi="Verdana" w:cs="Verdana"/>
          <w:color w:val="000000"/>
          <w:sz w:val="20"/>
          <w:szCs w:val="20"/>
          <w:lang w:val="es-CR"/>
        </w:rPr>
        <w:t xml:space="preserve"> </w:t>
      </w:r>
      <w:r w:rsidRPr="008D017C">
        <w:rPr>
          <w:rFonts w:ascii="Verdana" w:hAnsi="Verdana"/>
          <w:sz w:val="20"/>
          <w:szCs w:val="20"/>
          <w:lang w:val="es-CR"/>
        </w:rPr>
        <w:t xml:space="preserve">Alberth </w:t>
      </w:r>
      <w:proofErr w:type="spellStart"/>
      <w:r w:rsidRPr="008D017C">
        <w:rPr>
          <w:rFonts w:ascii="Verdana" w:hAnsi="Verdana"/>
          <w:sz w:val="20"/>
          <w:szCs w:val="20"/>
          <w:lang w:val="es-CR"/>
        </w:rPr>
        <w:t>Sneider</w:t>
      </w:r>
      <w:proofErr w:type="spellEnd"/>
      <w:r w:rsidRPr="008D017C">
        <w:rPr>
          <w:rFonts w:ascii="Verdana" w:hAnsi="Verdana"/>
          <w:sz w:val="20"/>
          <w:szCs w:val="20"/>
          <w:lang w:val="es-CR"/>
        </w:rPr>
        <w:t xml:space="preserve"> Centeno</w:t>
      </w:r>
      <w:r>
        <w:rPr>
          <w:rFonts w:ascii="Verdana" w:hAnsi="Verdana" w:cs="Verdana"/>
          <w:color w:val="000000"/>
          <w:sz w:val="20"/>
          <w:szCs w:val="20"/>
          <w:lang w:val="es-CR"/>
        </w:rPr>
        <w:t xml:space="preserve">, la cual había sido admitida </w:t>
      </w:r>
      <w:r w:rsidRPr="005640B5">
        <w:rPr>
          <w:rFonts w:ascii="Verdana" w:hAnsi="Verdana" w:cs="Verdana"/>
          <w:color w:val="000000"/>
          <w:sz w:val="20"/>
          <w:szCs w:val="20"/>
          <w:lang w:val="es-CR"/>
        </w:rPr>
        <w:t>vía procedimiento ordinario el 18 de noviembre de 2019</w:t>
      </w:r>
      <w:r>
        <w:rPr>
          <w:rFonts w:ascii="Verdana" w:hAnsi="Verdana" w:cs="Verdana"/>
          <w:color w:val="000000"/>
          <w:sz w:val="20"/>
          <w:szCs w:val="20"/>
          <w:lang w:val="es-CR"/>
        </w:rPr>
        <w:t xml:space="preserve">. En el marco de esas medidas, </w:t>
      </w:r>
      <w:r w:rsidRPr="005640B5">
        <w:rPr>
          <w:rFonts w:ascii="Verdana" w:hAnsi="Verdana" w:cs="Verdana"/>
          <w:color w:val="000000"/>
          <w:sz w:val="20"/>
          <w:szCs w:val="20"/>
          <w:lang w:val="es-CR"/>
        </w:rPr>
        <w:t xml:space="preserve">la Unidad de Análisis de Riesgo, </w:t>
      </w:r>
      <w:r>
        <w:rPr>
          <w:rFonts w:ascii="Verdana" w:hAnsi="Verdana" w:cs="Verdana"/>
          <w:color w:val="000000"/>
          <w:sz w:val="20"/>
          <w:szCs w:val="20"/>
          <w:lang w:val="es-CR"/>
        </w:rPr>
        <w:t xml:space="preserve">realizó una </w:t>
      </w:r>
      <w:r w:rsidRPr="005640B5">
        <w:rPr>
          <w:rFonts w:ascii="Verdana" w:hAnsi="Verdana" w:cs="Verdana"/>
          <w:color w:val="000000"/>
          <w:sz w:val="20"/>
          <w:szCs w:val="20"/>
          <w:lang w:val="es-CR"/>
        </w:rPr>
        <w:t>evaluación de riesgo</w:t>
      </w:r>
      <w:r>
        <w:rPr>
          <w:rFonts w:ascii="Verdana" w:hAnsi="Verdana" w:cs="Verdana"/>
          <w:color w:val="000000"/>
          <w:sz w:val="20"/>
          <w:szCs w:val="20"/>
          <w:lang w:val="es-CR"/>
        </w:rPr>
        <w:t xml:space="preserve"> para esa persona</w:t>
      </w:r>
      <w:r w:rsidRPr="005640B5">
        <w:rPr>
          <w:rFonts w:ascii="Verdana" w:hAnsi="Verdana" w:cs="Verdana"/>
          <w:color w:val="000000"/>
          <w:sz w:val="20"/>
          <w:szCs w:val="20"/>
          <w:lang w:val="es-CR"/>
        </w:rPr>
        <w:t xml:space="preserve"> el 20 de marzo de 2020</w:t>
      </w:r>
      <w:r>
        <w:rPr>
          <w:rFonts w:ascii="Verdana" w:hAnsi="Verdana" w:cs="Verdana"/>
          <w:color w:val="000000"/>
          <w:sz w:val="20"/>
          <w:szCs w:val="20"/>
          <w:lang w:val="es-CR"/>
        </w:rPr>
        <w:t>. El resultado de dicha evaluación arrojó que ésta presentaba un riesgo</w:t>
      </w:r>
      <w:r w:rsidR="0088376F">
        <w:rPr>
          <w:rFonts w:ascii="Verdana" w:hAnsi="Verdana" w:cs="Verdana"/>
          <w:color w:val="000000"/>
          <w:sz w:val="20"/>
          <w:szCs w:val="20"/>
          <w:lang w:val="es-CR"/>
        </w:rPr>
        <w:t xml:space="preserve"> grave</w:t>
      </w:r>
      <w:r>
        <w:rPr>
          <w:rFonts w:ascii="Verdana" w:hAnsi="Verdana" w:cs="Verdana"/>
          <w:color w:val="000000"/>
          <w:sz w:val="20"/>
          <w:szCs w:val="20"/>
          <w:lang w:val="es-CR"/>
        </w:rPr>
        <w:t xml:space="preserve">. El Estado añadió que el </w:t>
      </w:r>
      <w:r w:rsidRPr="005640B5">
        <w:rPr>
          <w:rFonts w:ascii="Verdana" w:hAnsi="Verdana" w:cs="Verdana"/>
          <w:color w:val="000000"/>
          <w:sz w:val="20"/>
          <w:szCs w:val="20"/>
          <w:lang w:val="es-CR"/>
        </w:rPr>
        <w:t xml:space="preserve">10 de abril de 2020 se realizaron dos comunicaciones al beneficiario, </w:t>
      </w:r>
      <w:r>
        <w:rPr>
          <w:rFonts w:ascii="Verdana" w:hAnsi="Verdana" w:cs="Verdana"/>
          <w:color w:val="000000"/>
          <w:sz w:val="20"/>
          <w:szCs w:val="20"/>
          <w:lang w:val="es-CR"/>
        </w:rPr>
        <w:t xml:space="preserve">para </w:t>
      </w:r>
      <w:r w:rsidRPr="005640B5">
        <w:rPr>
          <w:rFonts w:ascii="Verdana" w:hAnsi="Verdana" w:cs="Verdana"/>
          <w:color w:val="000000"/>
          <w:sz w:val="20"/>
          <w:szCs w:val="20"/>
          <w:lang w:val="es-CR"/>
        </w:rPr>
        <w:t>consensuar las medidas de protección y/o preventivas que fuesen idóneas. Sin embargo, no se obtuvo respuesta</w:t>
      </w:r>
      <w:r>
        <w:rPr>
          <w:rFonts w:ascii="Verdana" w:hAnsi="Verdana" w:cs="Verdana"/>
          <w:color w:val="000000"/>
          <w:sz w:val="20"/>
          <w:szCs w:val="20"/>
          <w:lang w:val="es-CR"/>
        </w:rPr>
        <w:t xml:space="preserve"> y</w:t>
      </w:r>
      <w:r w:rsidRPr="005640B5">
        <w:rPr>
          <w:rFonts w:ascii="Verdana" w:hAnsi="Verdana" w:cs="Verdana"/>
          <w:color w:val="000000"/>
          <w:sz w:val="20"/>
          <w:szCs w:val="20"/>
          <w:lang w:val="es-CR"/>
        </w:rPr>
        <w:t xml:space="preserve"> hasta la fecha está pendiente la celebración </w:t>
      </w:r>
      <w:r>
        <w:rPr>
          <w:rFonts w:ascii="Verdana" w:hAnsi="Verdana" w:cs="Verdana"/>
          <w:color w:val="000000"/>
          <w:sz w:val="20"/>
          <w:szCs w:val="20"/>
          <w:lang w:val="es-CR"/>
        </w:rPr>
        <w:t xml:space="preserve">de </w:t>
      </w:r>
      <w:r w:rsidRPr="005640B5">
        <w:rPr>
          <w:rFonts w:ascii="Verdana" w:hAnsi="Verdana" w:cs="Verdana"/>
          <w:color w:val="000000"/>
          <w:sz w:val="20"/>
          <w:szCs w:val="20"/>
          <w:lang w:val="es-CR"/>
        </w:rPr>
        <w:t>la reunión de</w:t>
      </w:r>
      <w:r>
        <w:rPr>
          <w:rFonts w:ascii="Verdana" w:hAnsi="Verdana" w:cs="Verdana"/>
          <w:color w:val="000000"/>
          <w:sz w:val="20"/>
          <w:szCs w:val="20"/>
          <w:lang w:val="es-CR"/>
        </w:rPr>
        <w:t>l</w:t>
      </w:r>
      <w:r w:rsidRPr="005640B5">
        <w:rPr>
          <w:rFonts w:ascii="Verdana" w:hAnsi="Verdana" w:cs="Verdana"/>
          <w:color w:val="000000"/>
          <w:sz w:val="20"/>
          <w:szCs w:val="20"/>
          <w:lang w:val="es-CR"/>
        </w:rPr>
        <w:t xml:space="preserve"> Comité Técnico correspondiente</w:t>
      </w:r>
      <w:r>
        <w:rPr>
          <w:rFonts w:ascii="Verdana" w:hAnsi="Verdana" w:cs="Verdana"/>
          <w:color w:val="000000"/>
          <w:sz w:val="20"/>
          <w:szCs w:val="20"/>
          <w:lang w:val="es-CR"/>
        </w:rPr>
        <w:t>.</w:t>
      </w:r>
    </w:p>
    <w:p w14:paraId="2A331151" w14:textId="77777777" w:rsidR="00A87946" w:rsidRPr="00210282" w:rsidRDefault="00A87946" w:rsidP="00A87946">
      <w:pPr>
        <w:pStyle w:val="Prrafodelista"/>
        <w:suppressLineNumbers/>
        <w:tabs>
          <w:tab w:val="left" w:pos="0"/>
        </w:tabs>
        <w:spacing w:line="240" w:lineRule="auto"/>
        <w:ind w:left="0"/>
        <w:jc w:val="both"/>
        <w:rPr>
          <w:rFonts w:ascii="Verdana" w:hAnsi="Verdana" w:cs="Verdana"/>
          <w:color w:val="000000"/>
          <w:sz w:val="20"/>
          <w:szCs w:val="20"/>
          <w:lang w:val="es-CR"/>
        </w:rPr>
      </w:pPr>
    </w:p>
    <w:p w14:paraId="7CA198ED" w14:textId="042C28D8" w:rsidR="00A87946" w:rsidRPr="00A87946" w:rsidRDefault="00A87946" w:rsidP="00A87946">
      <w:pPr>
        <w:pStyle w:val="Prrafodelista"/>
        <w:numPr>
          <w:ilvl w:val="0"/>
          <w:numId w:val="2"/>
        </w:numPr>
        <w:suppressLineNumbers/>
        <w:tabs>
          <w:tab w:val="left" w:pos="0"/>
        </w:tabs>
        <w:spacing w:line="240" w:lineRule="auto"/>
        <w:ind w:left="0" w:firstLine="0"/>
        <w:jc w:val="both"/>
        <w:rPr>
          <w:rFonts w:ascii="Verdana" w:hAnsi="Verdana" w:cs="Arial"/>
          <w:color w:val="000000"/>
          <w:sz w:val="20"/>
          <w:szCs w:val="20"/>
          <w:lang w:val="es-ES_tradnl"/>
        </w:rPr>
      </w:pPr>
      <w:r>
        <w:rPr>
          <w:rFonts w:ascii="Verdana" w:hAnsi="Verdana" w:cs="Verdana"/>
          <w:color w:val="000000"/>
          <w:sz w:val="20"/>
          <w:szCs w:val="20"/>
          <w:lang w:val="es-CR"/>
        </w:rPr>
        <w:t>Por otro lado, el Estado indicó que e</w:t>
      </w:r>
      <w:r w:rsidRPr="005640B5">
        <w:rPr>
          <w:rFonts w:ascii="Verdana" w:hAnsi="Verdana" w:cs="Verdana"/>
          <w:color w:val="000000"/>
          <w:sz w:val="20"/>
          <w:szCs w:val="20"/>
          <w:lang w:val="es-CR"/>
        </w:rPr>
        <w:t xml:space="preserve">n vista del contexto se ha determinado tener acercamientos con líderes garífunas en el marco de las atribuciones de la Ley para la Protección a Defensores de Derechos Humanos, Periodistas y Comunicadores Sociales y Operadores de Justicia, para obtener información de referencia e identificar si se encuentran en una situación de riesgo, por su labor en defensa de los derechos humanos y la reivindicación de sus tierras como pueblos originarios, </w:t>
      </w:r>
      <w:r>
        <w:rPr>
          <w:rFonts w:ascii="Verdana" w:hAnsi="Verdana" w:cs="Verdana"/>
          <w:color w:val="000000"/>
          <w:sz w:val="20"/>
          <w:szCs w:val="20"/>
          <w:lang w:val="es-CR"/>
        </w:rPr>
        <w:t xml:space="preserve">y </w:t>
      </w:r>
      <w:r w:rsidRPr="005640B5">
        <w:rPr>
          <w:rFonts w:ascii="Verdana" w:hAnsi="Verdana" w:cs="Verdana"/>
          <w:color w:val="000000"/>
          <w:sz w:val="20"/>
          <w:szCs w:val="20"/>
          <w:lang w:val="es-CR"/>
        </w:rPr>
        <w:t xml:space="preserve">de existir la </w:t>
      </w:r>
      <w:r w:rsidRPr="005640B5">
        <w:rPr>
          <w:rFonts w:ascii="Verdana" w:hAnsi="Verdana" w:cs="Verdana"/>
          <w:color w:val="000000"/>
          <w:sz w:val="20"/>
          <w:szCs w:val="20"/>
          <w:lang w:val="es-CR"/>
        </w:rPr>
        <w:lastRenderedPageBreak/>
        <w:t>necesidad</w:t>
      </w:r>
      <w:r>
        <w:rPr>
          <w:rFonts w:ascii="Verdana" w:hAnsi="Verdana" w:cs="Verdana"/>
          <w:color w:val="000000"/>
          <w:sz w:val="20"/>
          <w:szCs w:val="20"/>
          <w:lang w:val="es-CR"/>
        </w:rPr>
        <w:t>,</w:t>
      </w:r>
      <w:r w:rsidRPr="005640B5">
        <w:rPr>
          <w:rFonts w:ascii="Verdana" w:hAnsi="Verdana" w:cs="Verdana"/>
          <w:color w:val="000000"/>
          <w:sz w:val="20"/>
          <w:szCs w:val="20"/>
          <w:lang w:val="es-CR"/>
        </w:rPr>
        <w:t xml:space="preserve"> brindar la protección mediante un esquema de seguridad que permita disuadir y prevenir que se repitan hechos como los acaecidos</w:t>
      </w:r>
      <w:r w:rsidRPr="008D017C">
        <w:rPr>
          <w:rStyle w:val="Refdenotaalpie"/>
          <w:rFonts w:cs="Verdana"/>
          <w:color w:val="000000"/>
          <w:sz w:val="20"/>
          <w:szCs w:val="20"/>
          <w:lang w:val="es-CR"/>
        </w:rPr>
        <w:footnoteReference w:id="9"/>
      </w:r>
      <w:r>
        <w:rPr>
          <w:rFonts w:ascii="Verdana" w:hAnsi="Verdana" w:cs="Verdana"/>
          <w:color w:val="000000"/>
          <w:sz w:val="20"/>
          <w:szCs w:val="20"/>
          <w:lang w:val="es-CR"/>
        </w:rPr>
        <w:t>.</w:t>
      </w:r>
    </w:p>
    <w:p w14:paraId="3BDF3062" w14:textId="77777777" w:rsidR="00A87946" w:rsidRPr="00A87946" w:rsidRDefault="00A87946" w:rsidP="00A87946">
      <w:pPr>
        <w:pStyle w:val="Prrafodelista"/>
        <w:suppressLineNumbers/>
        <w:tabs>
          <w:tab w:val="left" w:pos="0"/>
        </w:tabs>
        <w:spacing w:line="240" w:lineRule="auto"/>
        <w:ind w:left="0"/>
        <w:jc w:val="both"/>
        <w:rPr>
          <w:rFonts w:ascii="Verdana" w:hAnsi="Verdana" w:cs="Arial"/>
          <w:color w:val="000000"/>
          <w:sz w:val="20"/>
          <w:szCs w:val="20"/>
          <w:lang w:val="es-ES_tradnl"/>
        </w:rPr>
      </w:pPr>
    </w:p>
    <w:p w14:paraId="388862E1" w14:textId="23191142" w:rsidR="00195BB0" w:rsidRPr="001D3520" w:rsidRDefault="00CE7287" w:rsidP="002F701E">
      <w:pPr>
        <w:pStyle w:val="Prrafodelista"/>
        <w:numPr>
          <w:ilvl w:val="0"/>
          <w:numId w:val="4"/>
        </w:numPr>
        <w:suppressLineNumbers/>
        <w:jc w:val="both"/>
        <w:rPr>
          <w:rFonts w:ascii="Verdana" w:hAnsi="Verdana" w:cs="Verdana"/>
          <w:b/>
          <w:i/>
          <w:sz w:val="20"/>
          <w:szCs w:val="20"/>
          <w:lang w:val="es-ES_tradnl"/>
        </w:rPr>
      </w:pPr>
      <w:r w:rsidRPr="001D3520">
        <w:rPr>
          <w:rFonts w:ascii="Verdana" w:hAnsi="Verdana" w:cs="Verdana"/>
          <w:b/>
          <w:i/>
          <w:sz w:val="20"/>
          <w:szCs w:val="20"/>
          <w:lang w:val="es-ES_tradnl"/>
        </w:rPr>
        <w:t>Las medidas urgentes ordenadas por la Presiden</w:t>
      </w:r>
      <w:r w:rsidR="00A87946">
        <w:rPr>
          <w:rFonts w:ascii="Verdana" w:hAnsi="Verdana" w:cs="Verdana"/>
          <w:b/>
          <w:i/>
          <w:sz w:val="20"/>
          <w:szCs w:val="20"/>
          <w:lang w:val="es-ES_tradnl"/>
        </w:rPr>
        <w:t>ci</w:t>
      </w:r>
      <w:r w:rsidRPr="001D3520">
        <w:rPr>
          <w:rFonts w:ascii="Verdana" w:hAnsi="Verdana" w:cs="Verdana"/>
          <w:b/>
          <w:i/>
          <w:sz w:val="20"/>
          <w:szCs w:val="20"/>
          <w:lang w:val="es-ES_tradnl"/>
        </w:rPr>
        <w:t>a de la Corte</w:t>
      </w:r>
    </w:p>
    <w:p w14:paraId="634632C5" w14:textId="77777777" w:rsidR="00195BB0" w:rsidRPr="001D3520" w:rsidRDefault="00195BB0" w:rsidP="002F701E">
      <w:pPr>
        <w:pStyle w:val="Prrafodelista"/>
        <w:suppressLineNumbers/>
        <w:spacing w:after="0" w:line="240" w:lineRule="auto"/>
        <w:ind w:left="0"/>
        <w:jc w:val="both"/>
        <w:rPr>
          <w:rFonts w:ascii="Verdana" w:hAnsi="Verdana" w:cs="Verdana"/>
          <w:b/>
          <w:i/>
          <w:sz w:val="20"/>
          <w:szCs w:val="20"/>
          <w:highlight w:val="yellow"/>
          <w:lang w:val="es-ES_tradnl"/>
        </w:rPr>
      </w:pPr>
    </w:p>
    <w:p w14:paraId="17169206" w14:textId="2BD4899F" w:rsidR="00195BB0" w:rsidRPr="001D3520" w:rsidRDefault="00465802" w:rsidP="008870C0">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ES_tradnl"/>
        </w:rPr>
      </w:pPr>
      <w:r w:rsidRPr="001D3520">
        <w:rPr>
          <w:rFonts w:ascii="Verdana" w:hAnsi="Verdana" w:cs="Verdana"/>
          <w:color w:val="000000"/>
          <w:sz w:val="20"/>
          <w:szCs w:val="20"/>
          <w:lang w:val="es-ES_tradnl"/>
        </w:rPr>
        <w:t xml:space="preserve">Frente a esta solicitud, de acuerdo a lo establecido en el artículo 27.6 del Reglamento del Tribunal que estipula que cuando la Corte no se encontrare reunida, la Presidencia puede requerir al Estado respectivo, que dicte las providencias urgentes necesarias, esta resolvió disponer medidas urgentes de protección a favor de las personas que se </w:t>
      </w:r>
      <w:r w:rsidR="00262A16" w:rsidRPr="001D3520">
        <w:rPr>
          <w:rFonts w:ascii="Verdana" w:hAnsi="Verdana" w:cs="Verdana"/>
          <w:color w:val="000000"/>
          <w:sz w:val="20"/>
          <w:szCs w:val="20"/>
          <w:lang w:val="es-ES_tradnl"/>
        </w:rPr>
        <w:t xml:space="preserve">encontraban desaparecidas </w:t>
      </w:r>
      <w:r w:rsidR="00262A16" w:rsidRPr="001D3520">
        <w:rPr>
          <w:rFonts w:ascii="Verdana" w:hAnsi="Verdana"/>
          <w:sz w:val="20"/>
          <w:szCs w:val="20"/>
          <w:lang w:val="es-ES_tradnl"/>
        </w:rPr>
        <w:t>desde el 18 de julio de 2020</w:t>
      </w:r>
      <w:r w:rsidRPr="001D3520">
        <w:rPr>
          <w:rFonts w:ascii="Verdana" w:hAnsi="Verdana" w:cs="Verdana"/>
          <w:color w:val="000000"/>
          <w:sz w:val="20"/>
          <w:szCs w:val="20"/>
          <w:lang w:val="es-ES_tradnl"/>
        </w:rPr>
        <w:t xml:space="preserve"> así como </w:t>
      </w:r>
      <w:r w:rsidR="00262A16" w:rsidRPr="001D3520">
        <w:rPr>
          <w:rFonts w:ascii="Verdana" w:hAnsi="Verdana" w:cs="Verdana"/>
          <w:color w:val="000000"/>
          <w:sz w:val="20"/>
          <w:szCs w:val="20"/>
          <w:lang w:val="es-ES_tradnl"/>
        </w:rPr>
        <w:t xml:space="preserve">a favor de </w:t>
      </w:r>
      <w:r w:rsidR="00D1225D" w:rsidRPr="001D3520">
        <w:rPr>
          <w:rFonts w:ascii="Verdana" w:hAnsi="Verdana" w:cs="Verdana"/>
          <w:color w:val="000000"/>
          <w:sz w:val="20"/>
          <w:szCs w:val="20"/>
          <w:lang w:val="es-ES_tradnl"/>
        </w:rPr>
        <w:t>los integrantes de las Comunidades Garífuna de Triunfo de la Cruz y de Punta Piedra</w:t>
      </w:r>
      <w:r w:rsidR="00262A16" w:rsidRPr="001D3520">
        <w:rPr>
          <w:rFonts w:ascii="Verdana" w:hAnsi="Verdana" w:cs="Verdana"/>
          <w:color w:val="000000"/>
          <w:sz w:val="20"/>
          <w:szCs w:val="20"/>
          <w:lang w:val="es-ES_tradnl"/>
        </w:rPr>
        <w:t xml:space="preserve"> </w:t>
      </w:r>
      <w:r w:rsidR="00262A16" w:rsidRPr="001D3520">
        <w:rPr>
          <w:rFonts w:ascii="Verdana" w:hAnsi="Verdana"/>
          <w:sz w:val="20"/>
          <w:szCs w:val="20"/>
          <w:lang w:val="es-ES_tradnl"/>
        </w:rPr>
        <w:t>que desarrollan colectivamente acciones de defensa de los derechos del pueblo Garífuna</w:t>
      </w:r>
      <w:r w:rsidRPr="001D3520">
        <w:rPr>
          <w:rFonts w:ascii="Verdana" w:hAnsi="Verdana" w:cs="Verdana"/>
          <w:color w:val="000000"/>
          <w:sz w:val="20"/>
          <w:szCs w:val="20"/>
          <w:lang w:val="es-ES_tradnl"/>
        </w:rPr>
        <w:t xml:space="preserve">, y otorgó un plazo a los representantes para que informaran el nombre de las personas </w:t>
      </w:r>
      <w:r w:rsidR="00262A16" w:rsidRPr="001D3520">
        <w:rPr>
          <w:rFonts w:ascii="Verdana" w:hAnsi="Verdana" w:cs="Verdana"/>
          <w:color w:val="000000"/>
          <w:sz w:val="20"/>
          <w:szCs w:val="20"/>
          <w:lang w:val="es-ES_tradnl"/>
        </w:rPr>
        <w:t>que desarrollan esas acciones</w:t>
      </w:r>
      <w:r w:rsidRPr="001D3520">
        <w:rPr>
          <w:rFonts w:ascii="Verdana" w:hAnsi="Verdana" w:cs="Verdana"/>
          <w:color w:val="000000"/>
          <w:sz w:val="20"/>
          <w:szCs w:val="20"/>
          <w:lang w:val="es-ES_tradnl"/>
        </w:rPr>
        <w:t xml:space="preserve"> (</w:t>
      </w:r>
      <w:r w:rsidRPr="001D3520">
        <w:rPr>
          <w:rFonts w:ascii="Verdana" w:hAnsi="Verdana" w:cs="Verdana"/>
          <w:i/>
          <w:iCs/>
          <w:color w:val="000000"/>
          <w:sz w:val="20"/>
          <w:szCs w:val="20"/>
          <w:lang w:val="es-ES_tradnl"/>
        </w:rPr>
        <w:t>supra</w:t>
      </w:r>
      <w:r w:rsidRPr="001D3520">
        <w:rPr>
          <w:rFonts w:ascii="Verdana" w:hAnsi="Verdana" w:cs="Verdana"/>
          <w:color w:val="000000"/>
          <w:sz w:val="20"/>
          <w:szCs w:val="20"/>
          <w:lang w:val="es-ES_tradnl"/>
        </w:rPr>
        <w:t xml:space="preserve"> </w:t>
      </w:r>
      <w:r w:rsidR="00262A16" w:rsidRPr="001D3520">
        <w:rPr>
          <w:rFonts w:ascii="Verdana" w:hAnsi="Verdana" w:cs="Verdana"/>
          <w:color w:val="000000"/>
          <w:sz w:val="20"/>
          <w:szCs w:val="20"/>
          <w:lang w:val="es-ES_tradnl"/>
        </w:rPr>
        <w:t>Visto</w:t>
      </w:r>
      <w:r w:rsidRPr="001D3520">
        <w:rPr>
          <w:rFonts w:ascii="Verdana" w:hAnsi="Verdana" w:cs="Verdana"/>
          <w:color w:val="000000"/>
          <w:sz w:val="20"/>
          <w:szCs w:val="20"/>
          <w:lang w:val="es-ES_tradnl"/>
        </w:rPr>
        <w:t xml:space="preserve"> 3).</w:t>
      </w:r>
    </w:p>
    <w:p w14:paraId="57ECBD94" w14:textId="77777777" w:rsidR="006938A4" w:rsidRPr="001D3520" w:rsidRDefault="006938A4" w:rsidP="006938A4">
      <w:pPr>
        <w:pStyle w:val="Prrafodelista"/>
        <w:suppressLineNumbers/>
        <w:tabs>
          <w:tab w:val="left" w:pos="0"/>
        </w:tabs>
        <w:spacing w:line="240" w:lineRule="auto"/>
        <w:ind w:left="0"/>
        <w:jc w:val="both"/>
        <w:rPr>
          <w:rFonts w:ascii="Verdana" w:hAnsi="Verdana" w:cs="Verdana"/>
          <w:color w:val="000000"/>
          <w:sz w:val="20"/>
          <w:szCs w:val="20"/>
          <w:lang w:val="es-ES_tradnl"/>
        </w:rPr>
      </w:pPr>
    </w:p>
    <w:p w14:paraId="76238204" w14:textId="13B074B4" w:rsidR="00F73235" w:rsidRPr="001D3520" w:rsidRDefault="00F73235" w:rsidP="00210282">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ES_tradnl"/>
        </w:rPr>
      </w:pPr>
      <w:r w:rsidRPr="001D3520">
        <w:rPr>
          <w:rFonts w:ascii="Verdana" w:hAnsi="Verdana" w:cs="Verdana"/>
          <w:color w:val="000000"/>
          <w:sz w:val="20"/>
          <w:szCs w:val="20"/>
          <w:lang w:val="es-ES_tradnl"/>
        </w:rPr>
        <w:t>En concreto, la Presidencia decidió mediante Resolución de 6 de agosto de 2020:</w:t>
      </w:r>
    </w:p>
    <w:p w14:paraId="472336A9" w14:textId="2A3E26F6" w:rsidR="00F73235" w:rsidRPr="001D3520" w:rsidRDefault="00F73235" w:rsidP="00F73235">
      <w:pPr>
        <w:suppressLineNumbers/>
        <w:tabs>
          <w:tab w:val="left" w:pos="426"/>
        </w:tabs>
        <w:ind w:left="426" w:hanging="284"/>
        <w:jc w:val="both"/>
        <w:rPr>
          <w:rFonts w:ascii="Verdana" w:hAnsi="Verdana" w:cs="Verdana"/>
          <w:color w:val="000000"/>
          <w:sz w:val="18"/>
          <w:szCs w:val="20"/>
        </w:rPr>
      </w:pPr>
      <w:r w:rsidRPr="001D3520">
        <w:rPr>
          <w:rFonts w:ascii="Verdana" w:hAnsi="Verdana" w:cs="Verdana"/>
          <w:color w:val="000000"/>
          <w:sz w:val="18"/>
          <w:szCs w:val="20"/>
        </w:rPr>
        <w:t xml:space="preserve">a) Requerir al Estado de Honduras que adopte todas las medidas necesarias y adecuadas para determinar el paradero de Milton Joel Martínez Álvarez, </w:t>
      </w:r>
      <w:proofErr w:type="spellStart"/>
      <w:r w:rsidRPr="001D3520">
        <w:rPr>
          <w:rFonts w:ascii="Verdana" w:hAnsi="Verdana" w:cs="Verdana"/>
          <w:color w:val="000000"/>
          <w:sz w:val="18"/>
          <w:szCs w:val="20"/>
        </w:rPr>
        <w:t>Suami</w:t>
      </w:r>
      <w:proofErr w:type="spellEnd"/>
      <w:r w:rsidRPr="001D3520">
        <w:rPr>
          <w:rFonts w:ascii="Verdana" w:hAnsi="Verdana" w:cs="Verdana"/>
          <w:color w:val="000000"/>
          <w:sz w:val="18"/>
          <w:szCs w:val="20"/>
        </w:rPr>
        <w:t xml:space="preserve"> Aparicio Mejía García, Gerardo Misael Trochez Calix y Albert </w:t>
      </w:r>
      <w:proofErr w:type="spellStart"/>
      <w:r w:rsidRPr="001D3520">
        <w:rPr>
          <w:rFonts w:ascii="Verdana" w:hAnsi="Verdana" w:cs="Verdana"/>
          <w:color w:val="000000"/>
          <w:sz w:val="18"/>
          <w:szCs w:val="20"/>
        </w:rPr>
        <w:t>Snaider</w:t>
      </w:r>
      <w:proofErr w:type="spellEnd"/>
      <w:r w:rsidRPr="001D3520">
        <w:rPr>
          <w:rFonts w:ascii="Verdana" w:hAnsi="Verdana" w:cs="Verdana"/>
          <w:color w:val="000000"/>
          <w:sz w:val="18"/>
          <w:szCs w:val="20"/>
        </w:rPr>
        <w:t xml:space="preserve"> Centeno Thomas que se encuentran desaparecidos desde el 18 de julio de 2020. </w:t>
      </w:r>
    </w:p>
    <w:p w14:paraId="3031C8F5" w14:textId="1DF191D5" w:rsidR="00210282" w:rsidRPr="001D3520" w:rsidRDefault="00F73235" w:rsidP="00F73235">
      <w:pPr>
        <w:suppressLineNumbers/>
        <w:tabs>
          <w:tab w:val="left" w:pos="426"/>
        </w:tabs>
        <w:ind w:left="426" w:hanging="284"/>
        <w:jc w:val="both"/>
        <w:rPr>
          <w:rFonts w:ascii="Verdana" w:hAnsi="Verdana" w:cs="Verdana"/>
          <w:color w:val="000000"/>
          <w:sz w:val="18"/>
          <w:szCs w:val="20"/>
        </w:rPr>
      </w:pPr>
      <w:r w:rsidRPr="001D3520">
        <w:rPr>
          <w:rFonts w:ascii="Verdana" w:hAnsi="Verdana" w:cs="Verdana"/>
          <w:color w:val="000000"/>
          <w:sz w:val="18"/>
          <w:szCs w:val="20"/>
        </w:rPr>
        <w:t>b) Requerir al Estado de Honduras que adopte todas las medidas adecuadas para proteger efectivamente los derechos a la vida, e integridad personal de los integrantes de las Comunidades Garífuna de Triunfo de la Cruz y de Punta Piedra que desarrollan colectivamente acciones de defensa de los derechos del pueblo Garífuna.</w:t>
      </w:r>
    </w:p>
    <w:p w14:paraId="1BB4CC23" w14:textId="2C38BD14" w:rsidR="00F73235" w:rsidRPr="001D3520" w:rsidRDefault="00F73235" w:rsidP="00F73235">
      <w:pPr>
        <w:suppressLineNumbers/>
        <w:tabs>
          <w:tab w:val="left" w:pos="426"/>
        </w:tabs>
        <w:ind w:left="426" w:hanging="284"/>
        <w:jc w:val="both"/>
        <w:rPr>
          <w:rFonts w:ascii="Verdana" w:hAnsi="Verdana" w:cs="Verdana"/>
          <w:color w:val="000000"/>
          <w:sz w:val="18"/>
          <w:szCs w:val="20"/>
        </w:rPr>
      </w:pPr>
      <w:r w:rsidRPr="001D3520">
        <w:rPr>
          <w:rFonts w:ascii="Verdana" w:hAnsi="Verdana" w:cs="Verdana"/>
          <w:color w:val="000000"/>
          <w:sz w:val="18"/>
          <w:szCs w:val="20"/>
        </w:rPr>
        <w:t>c) Los representantes deberán informar, a más tardar el día 11 de agosto de 2020, la identidad de los pobladores de esas dos comunidades que serán beneficiarias de las presentes medidas urgentes para los efectos de lo dispuesto en el punto resolutivo 2.</w:t>
      </w:r>
    </w:p>
    <w:p w14:paraId="5895B09A" w14:textId="6DCC6697" w:rsidR="00F73235" w:rsidRPr="001D3520" w:rsidRDefault="00F73235" w:rsidP="00F73235">
      <w:pPr>
        <w:suppressLineNumbers/>
        <w:tabs>
          <w:tab w:val="left" w:pos="426"/>
        </w:tabs>
        <w:ind w:left="426" w:hanging="284"/>
        <w:jc w:val="both"/>
        <w:rPr>
          <w:rFonts w:ascii="Verdana" w:hAnsi="Verdana" w:cs="Verdana"/>
          <w:color w:val="000000"/>
          <w:sz w:val="18"/>
          <w:szCs w:val="20"/>
        </w:rPr>
      </w:pPr>
      <w:r w:rsidRPr="001D3520">
        <w:rPr>
          <w:rFonts w:ascii="Verdana" w:hAnsi="Verdana" w:cs="Verdana"/>
          <w:color w:val="000000"/>
          <w:sz w:val="18"/>
          <w:szCs w:val="20"/>
        </w:rPr>
        <w:t>d) El Estado deberá coordinar inmediatamente con los beneficiarios de estas medidas, o sus representantes, la planificación e implementación de las mismas y que, en general, les mantenga informados sobre el avance de su ejecución.</w:t>
      </w:r>
    </w:p>
    <w:p w14:paraId="5588AC96" w14:textId="09618FCD" w:rsidR="00F73235" w:rsidRPr="001D3520" w:rsidRDefault="00F73235" w:rsidP="00F73235">
      <w:pPr>
        <w:suppressLineNumbers/>
        <w:tabs>
          <w:tab w:val="left" w:pos="426"/>
        </w:tabs>
        <w:ind w:left="426" w:hanging="284"/>
        <w:jc w:val="both"/>
        <w:rPr>
          <w:rFonts w:ascii="Verdana" w:hAnsi="Verdana" w:cs="Verdana"/>
          <w:color w:val="000000"/>
          <w:sz w:val="18"/>
          <w:szCs w:val="20"/>
        </w:rPr>
      </w:pPr>
      <w:r w:rsidRPr="001D3520">
        <w:rPr>
          <w:rFonts w:ascii="Verdana" w:hAnsi="Verdana" w:cs="Verdana"/>
          <w:color w:val="000000"/>
          <w:sz w:val="18"/>
          <w:szCs w:val="20"/>
        </w:rPr>
        <w:t>e) Requerir al Estado que presente información actualizada a la Corte sobre las medidas de protección que fueron adoptadas a más tardar el 24 de agosto de 2020.</w:t>
      </w:r>
    </w:p>
    <w:p w14:paraId="492D8E30" w14:textId="12BCC495" w:rsidR="00B23FA9" w:rsidRPr="001D3520" w:rsidRDefault="00B23FA9" w:rsidP="002F701E">
      <w:pPr>
        <w:suppressLineNumbers/>
      </w:pPr>
    </w:p>
    <w:p w14:paraId="73B4B248" w14:textId="26B469F6" w:rsidR="00E53316" w:rsidRPr="001D3520" w:rsidRDefault="00F73235" w:rsidP="00262A16">
      <w:pPr>
        <w:pStyle w:val="Prrafodelista"/>
        <w:numPr>
          <w:ilvl w:val="0"/>
          <w:numId w:val="4"/>
        </w:numPr>
        <w:suppressLineNumbers/>
        <w:spacing w:line="240" w:lineRule="auto"/>
        <w:jc w:val="both"/>
        <w:rPr>
          <w:rFonts w:ascii="Verdana" w:hAnsi="Verdana"/>
          <w:b/>
          <w:i/>
          <w:sz w:val="20"/>
          <w:szCs w:val="20"/>
          <w:lang w:val="es-ES_tradnl"/>
        </w:rPr>
      </w:pPr>
      <w:r w:rsidRPr="001D3520">
        <w:rPr>
          <w:rFonts w:ascii="Verdana" w:hAnsi="Verdana"/>
          <w:b/>
          <w:i/>
          <w:sz w:val="20"/>
          <w:szCs w:val="20"/>
          <w:lang w:val="es-ES_tradnl"/>
        </w:rPr>
        <w:t xml:space="preserve">Información remitida por los representantes y el Estado con </w:t>
      </w:r>
      <w:r w:rsidRPr="001D3520">
        <w:rPr>
          <w:rFonts w:ascii="Verdana" w:hAnsi="Verdana" w:cs="Verdana"/>
          <w:b/>
          <w:i/>
          <w:sz w:val="20"/>
          <w:szCs w:val="20"/>
          <w:lang w:val="es-ES_tradnl"/>
        </w:rPr>
        <w:t>posterioridad</w:t>
      </w:r>
      <w:r w:rsidRPr="001D3520">
        <w:rPr>
          <w:rFonts w:ascii="Verdana" w:hAnsi="Verdana"/>
          <w:b/>
          <w:i/>
          <w:sz w:val="20"/>
          <w:szCs w:val="20"/>
          <w:lang w:val="es-ES_tradnl"/>
        </w:rPr>
        <w:t xml:space="preserve"> a la adopción de las medidas urgentes</w:t>
      </w:r>
    </w:p>
    <w:p w14:paraId="7628751B" w14:textId="77777777" w:rsidR="00E53316" w:rsidRPr="001D3520" w:rsidRDefault="00E53316" w:rsidP="002F701E">
      <w:pPr>
        <w:pStyle w:val="Prrafodelista"/>
        <w:suppressLineNumbers/>
        <w:ind w:left="873"/>
        <w:jc w:val="both"/>
        <w:rPr>
          <w:rFonts w:ascii="Verdana" w:hAnsi="Verdana"/>
          <w:b/>
          <w:i/>
          <w:sz w:val="20"/>
          <w:szCs w:val="20"/>
          <w:lang w:val="es-ES_tradnl"/>
        </w:rPr>
      </w:pPr>
    </w:p>
    <w:p w14:paraId="09217DE1" w14:textId="6F660AB7" w:rsidR="001D038C" w:rsidRPr="001D3520" w:rsidRDefault="00F73235" w:rsidP="00262A16">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Con posterioridad a la notificación de la resolución de medidas urgentes, el 18 de agosto de 2020, los representantes informaron </w:t>
      </w:r>
      <w:r w:rsidR="004C4F06" w:rsidRPr="001D3520">
        <w:rPr>
          <w:rFonts w:ascii="Verdana" w:hAnsi="Verdana"/>
          <w:sz w:val="20"/>
          <w:szCs w:val="20"/>
          <w:lang w:val="es-ES_tradnl"/>
        </w:rPr>
        <w:t>los nombres de líderes y dirigentes de la comunidad de Triunfo de la Cruz</w:t>
      </w:r>
      <w:r w:rsidR="002E57B7" w:rsidRPr="001D3520">
        <w:rPr>
          <w:rFonts w:ascii="Verdana" w:hAnsi="Verdana"/>
          <w:sz w:val="20"/>
          <w:szCs w:val="20"/>
          <w:lang w:val="es-ES_tradnl"/>
        </w:rPr>
        <w:t xml:space="preserve"> y de la comunidad de Punta Piedra</w:t>
      </w:r>
      <w:r w:rsidR="00262A16" w:rsidRPr="001D3520">
        <w:rPr>
          <w:rFonts w:ascii="Verdana" w:hAnsi="Verdana"/>
          <w:sz w:val="20"/>
          <w:szCs w:val="20"/>
          <w:lang w:val="es-ES_tradnl"/>
        </w:rPr>
        <w:t xml:space="preserve"> que </w:t>
      </w:r>
      <w:r w:rsidR="00A87946" w:rsidRPr="001D3520">
        <w:rPr>
          <w:rFonts w:ascii="Verdana" w:hAnsi="Verdana"/>
          <w:sz w:val="20"/>
          <w:szCs w:val="20"/>
          <w:lang w:val="es-ES_tradnl"/>
        </w:rPr>
        <w:t>estarían</w:t>
      </w:r>
      <w:r w:rsidR="00262A16" w:rsidRPr="001D3520">
        <w:rPr>
          <w:rFonts w:ascii="Verdana" w:hAnsi="Verdana"/>
          <w:sz w:val="20"/>
          <w:szCs w:val="20"/>
          <w:lang w:val="es-ES_tradnl"/>
        </w:rPr>
        <w:t xml:space="preserve"> abarcados por las medidas urgentes dispuestas por la Presidencia de la Corte</w:t>
      </w:r>
      <w:r w:rsidR="002E57B7" w:rsidRPr="001D3520">
        <w:rPr>
          <w:rFonts w:ascii="Verdana" w:hAnsi="Verdana"/>
          <w:sz w:val="20"/>
          <w:szCs w:val="20"/>
          <w:lang w:val="es-ES_tradnl"/>
        </w:rPr>
        <w:t>. Específicamente, indicaron lo siguiente:</w:t>
      </w:r>
    </w:p>
    <w:p w14:paraId="2293CEBB" w14:textId="77777777" w:rsidR="00262A16" w:rsidRPr="001D3520" w:rsidRDefault="00262A16" w:rsidP="00262A16">
      <w:pPr>
        <w:pStyle w:val="Prrafodelista"/>
        <w:suppressLineNumbers/>
        <w:tabs>
          <w:tab w:val="left" w:pos="0"/>
        </w:tabs>
        <w:ind w:left="0"/>
        <w:jc w:val="both"/>
        <w:rPr>
          <w:rFonts w:ascii="Verdana" w:hAnsi="Verdana"/>
          <w:sz w:val="20"/>
          <w:szCs w:val="20"/>
          <w:lang w:val="es-ES_tradnl"/>
        </w:rPr>
      </w:pPr>
    </w:p>
    <w:p w14:paraId="1EF8330D" w14:textId="3DD8444F" w:rsidR="002D0141" w:rsidRPr="001D3520" w:rsidRDefault="00262A16" w:rsidP="00262A16">
      <w:pPr>
        <w:pStyle w:val="Prrafodelista"/>
        <w:numPr>
          <w:ilvl w:val="0"/>
          <w:numId w:val="21"/>
        </w:numPr>
        <w:suppressLineNumbers/>
        <w:tabs>
          <w:tab w:val="left" w:pos="0"/>
        </w:tabs>
        <w:spacing w:line="240" w:lineRule="auto"/>
        <w:jc w:val="both"/>
        <w:rPr>
          <w:rFonts w:ascii="Verdana" w:hAnsi="Verdana"/>
          <w:sz w:val="18"/>
          <w:szCs w:val="20"/>
          <w:lang w:val="es-ES_tradnl"/>
        </w:rPr>
      </w:pPr>
      <w:r w:rsidRPr="001D3520">
        <w:rPr>
          <w:rFonts w:ascii="Verdana" w:hAnsi="Verdana"/>
          <w:sz w:val="18"/>
          <w:szCs w:val="20"/>
          <w:lang w:val="es-ES_tradnl"/>
        </w:rPr>
        <w:t>Por</w:t>
      </w:r>
      <w:r w:rsidR="002D0141" w:rsidRPr="001D3520">
        <w:rPr>
          <w:rFonts w:ascii="Verdana" w:hAnsi="Verdana"/>
          <w:sz w:val="18"/>
          <w:szCs w:val="20"/>
          <w:lang w:val="es-ES_tradnl"/>
        </w:rPr>
        <w:t xml:space="preserve"> la comunidad de Triunfo de la Cruz: Santos Inés García, Jenny Ramona Herrera, Darwin Enrique Centeno, Francis Secundina López, César Leonel </w:t>
      </w:r>
      <w:proofErr w:type="spellStart"/>
      <w:r w:rsidR="002D0141" w:rsidRPr="001D3520">
        <w:rPr>
          <w:rFonts w:ascii="Verdana" w:hAnsi="Verdana"/>
          <w:sz w:val="18"/>
          <w:szCs w:val="20"/>
          <w:lang w:val="es-ES_tradnl"/>
        </w:rPr>
        <w:t>Benedith</w:t>
      </w:r>
      <w:proofErr w:type="spellEnd"/>
      <w:r w:rsidR="002D0141" w:rsidRPr="001D3520">
        <w:rPr>
          <w:rFonts w:ascii="Verdana" w:hAnsi="Verdana"/>
          <w:sz w:val="18"/>
          <w:szCs w:val="20"/>
          <w:lang w:val="es-ES_tradnl"/>
        </w:rPr>
        <w:t xml:space="preserve">, Elsa Anabel Valencia, Luis Orlando Fernández, Edson Omar Guzmán, Clara Eugenia Flores Sánchez, Gloria Isolina </w:t>
      </w:r>
      <w:proofErr w:type="spellStart"/>
      <w:r w:rsidR="002D0141" w:rsidRPr="001D3520">
        <w:rPr>
          <w:rFonts w:ascii="Verdana" w:hAnsi="Verdana"/>
          <w:sz w:val="18"/>
          <w:szCs w:val="20"/>
          <w:lang w:val="es-ES_tradnl"/>
        </w:rPr>
        <w:t>Benedith</w:t>
      </w:r>
      <w:proofErr w:type="spellEnd"/>
      <w:r w:rsidR="002D0141" w:rsidRPr="001D3520">
        <w:rPr>
          <w:rFonts w:ascii="Verdana" w:hAnsi="Verdana"/>
          <w:sz w:val="18"/>
          <w:szCs w:val="20"/>
          <w:lang w:val="es-ES_tradnl"/>
        </w:rPr>
        <w:t xml:space="preserve"> Cayetano, Elvin Geovanny Aquino </w:t>
      </w:r>
      <w:proofErr w:type="spellStart"/>
      <w:r w:rsidR="002D0141" w:rsidRPr="001D3520">
        <w:rPr>
          <w:rFonts w:ascii="Verdana" w:hAnsi="Verdana"/>
          <w:sz w:val="18"/>
          <w:szCs w:val="20"/>
          <w:lang w:val="es-ES_tradnl"/>
        </w:rPr>
        <w:t>Bernardez</w:t>
      </w:r>
      <w:proofErr w:type="spellEnd"/>
      <w:r w:rsidR="002D0141" w:rsidRPr="001D3520">
        <w:rPr>
          <w:rFonts w:ascii="Verdana" w:hAnsi="Verdana"/>
          <w:sz w:val="18"/>
          <w:szCs w:val="20"/>
          <w:lang w:val="es-ES_tradnl"/>
        </w:rPr>
        <w:t xml:space="preserve">, Geovanny Colón Solórzano, Pedro Mejía, Ramón Alfonso </w:t>
      </w:r>
      <w:proofErr w:type="spellStart"/>
      <w:r w:rsidR="002D0141" w:rsidRPr="001D3520">
        <w:rPr>
          <w:rFonts w:ascii="Verdana" w:hAnsi="Verdana"/>
          <w:sz w:val="18"/>
          <w:szCs w:val="20"/>
          <w:lang w:val="es-ES_tradnl"/>
        </w:rPr>
        <w:t>Arzu</w:t>
      </w:r>
      <w:proofErr w:type="spellEnd"/>
      <w:r w:rsidR="002D0141" w:rsidRPr="001D3520">
        <w:rPr>
          <w:rFonts w:ascii="Verdana" w:hAnsi="Verdana"/>
          <w:sz w:val="18"/>
          <w:szCs w:val="20"/>
          <w:lang w:val="es-ES_tradnl"/>
        </w:rPr>
        <w:t xml:space="preserve">, Abel Martínez, Marvin Cirilo Pérez, Doris </w:t>
      </w:r>
      <w:proofErr w:type="spellStart"/>
      <w:r w:rsidR="002D0141" w:rsidRPr="001D3520">
        <w:rPr>
          <w:rFonts w:ascii="Verdana" w:hAnsi="Verdana"/>
          <w:sz w:val="18"/>
          <w:szCs w:val="20"/>
          <w:lang w:val="es-ES_tradnl"/>
        </w:rPr>
        <w:t>Rinabeth</w:t>
      </w:r>
      <w:proofErr w:type="spellEnd"/>
      <w:r w:rsidR="002D0141" w:rsidRPr="001D3520">
        <w:rPr>
          <w:rFonts w:ascii="Verdana" w:hAnsi="Verdana"/>
          <w:sz w:val="18"/>
          <w:szCs w:val="20"/>
          <w:lang w:val="es-ES_tradnl"/>
        </w:rPr>
        <w:t xml:space="preserve"> </w:t>
      </w:r>
      <w:proofErr w:type="spellStart"/>
      <w:r w:rsidR="002D0141" w:rsidRPr="001D3520">
        <w:rPr>
          <w:rFonts w:ascii="Verdana" w:hAnsi="Verdana"/>
          <w:sz w:val="18"/>
          <w:szCs w:val="20"/>
          <w:lang w:val="es-ES_tradnl"/>
        </w:rPr>
        <w:t>Benedith</w:t>
      </w:r>
      <w:proofErr w:type="spellEnd"/>
      <w:r w:rsidR="002D0141" w:rsidRPr="001D3520">
        <w:rPr>
          <w:rFonts w:ascii="Verdana" w:hAnsi="Verdana"/>
          <w:sz w:val="18"/>
          <w:szCs w:val="20"/>
          <w:lang w:val="es-ES_tradnl"/>
        </w:rPr>
        <w:t xml:space="preserve">, Ángel Martínez, Jose Ángel Castro, Lorenzo Pascual </w:t>
      </w:r>
      <w:r w:rsidR="00E56091" w:rsidRPr="001D3520">
        <w:rPr>
          <w:rFonts w:ascii="Verdana" w:hAnsi="Verdana"/>
          <w:sz w:val="18"/>
          <w:szCs w:val="20"/>
          <w:lang w:val="es-ES_tradnl"/>
        </w:rPr>
        <w:t xml:space="preserve">Martínez, </w:t>
      </w:r>
      <w:proofErr w:type="spellStart"/>
      <w:r w:rsidR="00E56091" w:rsidRPr="001D3520">
        <w:rPr>
          <w:rFonts w:ascii="Verdana" w:hAnsi="Verdana"/>
          <w:sz w:val="18"/>
          <w:szCs w:val="20"/>
          <w:lang w:val="es-ES_tradnl"/>
        </w:rPr>
        <w:t>Yensy</w:t>
      </w:r>
      <w:proofErr w:type="spellEnd"/>
      <w:r w:rsidR="00E56091" w:rsidRPr="001D3520">
        <w:rPr>
          <w:rFonts w:ascii="Verdana" w:hAnsi="Verdana"/>
          <w:sz w:val="18"/>
          <w:szCs w:val="20"/>
          <w:lang w:val="es-ES_tradnl"/>
        </w:rPr>
        <w:t xml:space="preserve"> Pamela Renaud, Lester Gamboa, Mabel García, Ramón Edgardo </w:t>
      </w:r>
      <w:proofErr w:type="spellStart"/>
      <w:r w:rsidR="00E56091" w:rsidRPr="001D3520">
        <w:rPr>
          <w:rFonts w:ascii="Verdana" w:hAnsi="Verdana"/>
          <w:sz w:val="18"/>
          <w:szCs w:val="20"/>
          <w:lang w:val="es-ES_tradnl"/>
        </w:rPr>
        <w:t>Benedith</w:t>
      </w:r>
      <w:proofErr w:type="spellEnd"/>
      <w:r w:rsidR="00E56091" w:rsidRPr="001D3520">
        <w:rPr>
          <w:rFonts w:ascii="Verdana" w:hAnsi="Verdana"/>
          <w:sz w:val="18"/>
          <w:szCs w:val="20"/>
          <w:lang w:val="es-ES_tradnl"/>
        </w:rPr>
        <w:t xml:space="preserve">, Nery Xiomara Guzmán, Justo Ellis, Julio Cesar Lambert, Daysi Elizabeth Guzmán, Saúl </w:t>
      </w:r>
      <w:proofErr w:type="spellStart"/>
      <w:r w:rsidR="00E56091" w:rsidRPr="001D3520">
        <w:rPr>
          <w:rFonts w:ascii="Verdana" w:hAnsi="Verdana"/>
          <w:sz w:val="18"/>
          <w:szCs w:val="20"/>
          <w:lang w:val="es-ES_tradnl"/>
        </w:rPr>
        <w:t>Ruben</w:t>
      </w:r>
      <w:proofErr w:type="spellEnd"/>
      <w:r w:rsidR="00E56091" w:rsidRPr="001D3520">
        <w:rPr>
          <w:rFonts w:ascii="Verdana" w:hAnsi="Verdana"/>
          <w:sz w:val="18"/>
          <w:szCs w:val="20"/>
          <w:lang w:val="es-ES_tradnl"/>
        </w:rPr>
        <w:t xml:space="preserve"> Domínguez, Kristen </w:t>
      </w:r>
      <w:proofErr w:type="spellStart"/>
      <w:r w:rsidR="00E56091" w:rsidRPr="001D3520">
        <w:rPr>
          <w:rFonts w:ascii="Verdana" w:hAnsi="Verdana"/>
          <w:sz w:val="18"/>
          <w:szCs w:val="20"/>
          <w:lang w:val="es-ES_tradnl"/>
        </w:rPr>
        <w:t>Noely</w:t>
      </w:r>
      <w:proofErr w:type="spellEnd"/>
      <w:r w:rsidR="00E56091" w:rsidRPr="001D3520">
        <w:rPr>
          <w:rFonts w:ascii="Verdana" w:hAnsi="Verdana"/>
          <w:sz w:val="18"/>
          <w:szCs w:val="20"/>
          <w:lang w:val="es-ES_tradnl"/>
        </w:rPr>
        <w:t xml:space="preserve"> Domínguez, </w:t>
      </w:r>
      <w:proofErr w:type="spellStart"/>
      <w:r w:rsidR="00E56091" w:rsidRPr="001D3520">
        <w:rPr>
          <w:rFonts w:ascii="Verdana" w:hAnsi="Verdana"/>
          <w:sz w:val="18"/>
          <w:szCs w:val="20"/>
          <w:lang w:val="es-ES_tradnl"/>
        </w:rPr>
        <w:t>Glenis</w:t>
      </w:r>
      <w:proofErr w:type="spellEnd"/>
      <w:r w:rsidR="00E56091" w:rsidRPr="001D3520">
        <w:rPr>
          <w:rFonts w:ascii="Verdana" w:hAnsi="Verdana"/>
          <w:sz w:val="18"/>
          <w:szCs w:val="20"/>
          <w:lang w:val="es-ES_tradnl"/>
        </w:rPr>
        <w:t xml:space="preserve"> </w:t>
      </w:r>
      <w:proofErr w:type="spellStart"/>
      <w:r w:rsidR="00E56091" w:rsidRPr="001D3520">
        <w:rPr>
          <w:rFonts w:ascii="Verdana" w:hAnsi="Verdana"/>
          <w:sz w:val="18"/>
          <w:szCs w:val="20"/>
          <w:lang w:val="es-ES_tradnl"/>
        </w:rPr>
        <w:t>Sorayda</w:t>
      </w:r>
      <w:proofErr w:type="spellEnd"/>
      <w:r w:rsidR="00E56091" w:rsidRPr="001D3520">
        <w:rPr>
          <w:rFonts w:ascii="Verdana" w:hAnsi="Verdana"/>
          <w:sz w:val="18"/>
          <w:szCs w:val="20"/>
          <w:lang w:val="es-ES_tradnl"/>
        </w:rPr>
        <w:t xml:space="preserve"> Lamber, </w:t>
      </w:r>
      <w:proofErr w:type="spellStart"/>
      <w:r w:rsidR="00E56091" w:rsidRPr="001D3520">
        <w:rPr>
          <w:rFonts w:ascii="Verdana" w:hAnsi="Verdana"/>
          <w:sz w:val="18"/>
          <w:szCs w:val="20"/>
          <w:lang w:val="es-ES_tradnl"/>
        </w:rPr>
        <w:t>Icday</w:t>
      </w:r>
      <w:proofErr w:type="spellEnd"/>
      <w:r w:rsidR="00E56091" w:rsidRPr="001D3520">
        <w:rPr>
          <w:rFonts w:ascii="Verdana" w:hAnsi="Verdana"/>
          <w:sz w:val="18"/>
          <w:szCs w:val="20"/>
          <w:lang w:val="es-ES_tradnl"/>
        </w:rPr>
        <w:t xml:space="preserve"> Obed </w:t>
      </w:r>
      <w:proofErr w:type="spellStart"/>
      <w:r w:rsidR="00E56091" w:rsidRPr="001D3520">
        <w:rPr>
          <w:rFonts w:ascii="Verdana" w:hAnsi="Verdana"/>
          <w:sz w:val="18"/>
          <w:szCs w:val="20"/>
          <w:lang w:val="es-ES_tradnl"/>
        </w:rPr>
        <w:t>Mcfield</w:t>
      </w:r>
      <w:proofErr w:type="spellEnd"/>
      <w:r w:rsidR="00E56091" w:rsidRPr="001D3520">
        <w:rPr>
          <w:rFonts w:ascii="Verdana" w:hAnsi="Verdana"/>
          <w:sz w:val="18"/>
          <w:szCs w:val="20"/>
          <w:lang w:val="es-ES_tradnl"/>
        </w:rPr>
        <w:t xml:space="preserve"> Lamber, Martina García, Juana Fidelina Barrios </w:t>
      </w:r>
      <w:proofErr w:type="spellStart"/>
      <w:r w:rsidR="00E56091" w:rsidRPr="001D3520">
        <w:rPr>
          <w:rFonts w:ascii="Verdana" w:hAnsi="Verdana"/>
          <w:sz w:val="18"/>
          <w:szCs w:val="20"/>
          <w:lang w:val="es-ES_tradnl"/>
        </w:rPr>
        <w:t>Rochez</w:t>
      </w:r>
      <w:proofErr w:type="spellEnd"/>
      <w:r w:rsidR="00E56091" w:rsidRPr="001D3520">
        <w:rPr>
          <w:rFonts w:ascii="Verdana" w:hAnsi="Verdana"/>
          <w:sz w:val="18"/>
          <w:szCs w:val="20"/>
          <w:lang w:val="es-ES_tradnl"/>
        </w:rPr>
        <w:t xml:space="preserve">, Martha Isabel Pitillo Serrano, </w:t>
      </w:r>
      <w:proofErr w:type="spellStart"/>
      <w:r w:rsidR="00E56091" w:rsidRPr="001D3520">
        <w:rPr>
          <w:rFonts w:ascii="Verdana" w:hAnsi="Verdana"/>
          <w:sz w:val="18"/>
          <w:szCs w:val="20"/>
          <w:lang w:val="es-ES_tradnl"/>
        </w:rPr>
        <w:t>Accel</w:t>
      </w:r>
      <w:proofErr w:type="spellEnd"/>
      <w:r w:rsidR="00E56091" w:rsidRPr="001D3520">
        <w:rPr>
          <w:rFonts w:ascii="Verdana" w:hAnsi="Verdana"/>
          <w:sz w:val="18"/>
          <w:szCs w:val="20"/>
          <w:lang w:val="es-ES_tradnl"/>
        </w:rPr>
        <w:t xml:space="preserve"> Santiago Guerrero, Dixon Onil Miranda, Marcos </w:t>
      </w:r>
      <w:proofErr w:type="spellStart"/>
      <w:r w:rsidR="00E56091" w:rsidRPr="001D3520">
        <w:rPr>
          <w:rFonts w:ascii="Verdana" w:hAnsi="Verdana"/>
          <w:sz w:val="18"/>
          <w:szCs w:val="20"/>
          <w:lang w:val="es-ES_tradnl"/>
        </w:rPr>
        <w:t>Martinez</w:t>
      </w:r>
      <w:proofErr w:type="spellEnd"/>
      <w:r w:rsidR="00E56091" w:rsidRPr="001D3520">
        <w:rPr>
          <w:rFonts w:ascii="Verdana" w:hAnsi="Verdana"/>
          <w:sz w:val="18"/>
          <w:szCs w:val="20"/>
          <w:lang w:val="es-ES_tradnl"/>
        </w:rPr>
        <w:t xml:space="preserve"> </w:t>
      </w:r>
      <w:proofErr w:type="spellStart"/>
      <w:r w:rsidR="00E56091" w:rsidRPr="001D3520">
        <w:rPr>
          <w:rFonts w:ascii="Verdana" w:hAnsi="Verdana"/>
          <w:sz w:val="18"/>
          <w:szCs w:val="20"/>
          <w:lang w:val="es-ES_tradnl"/>
        </w:rPr>
        <w:t>Lalin</w:t>
      </w:r>
      <w:proofErr w:type="spellEnd"/>
      <w:r w:rsidR="00E56091" w:rsidRPr="001D3520">
        <w:rPr>
          <w:rFonts w:ascii="Verdana" w:hAnsi="Verdana"/>
          <w:sz w:val="18"/>
          <w:szCs w:val="20"/>
          <w:lang w:val="es-ES_tradnl"/>
        </w:rPr>
        <w:t xml:space="preserve">, Juana </w:t>
      </w:r>
      <w:r w:rsidR="00E56091" w:rsidRPr="001D3520">
        <w:rPr>
          <w:rFonts w:ascii="Verdana" w:hAnsi="Verdana"/>
          <w:sz w:val="18"/>
          <w:szCs w:val="20"/>
          <w:lang w:val="es-ES_tradnl"/>
        </w:rPr>
        <w:lastRenderedPageBreak/>
        <w:t xml:space="preserve">Flores Marín, Marcos Lienzo Martínez, Karen Lizeth Martínez, Cesar Herrera Martínez, César Edgardo Mejía, </w:t>
      </w:r>
      <w:proofErr w:type="spellStart"/>
      <w:r w:rsidR="00E56091" w:rsidRPr="001D3520">
        <w:rPr>
          <w:rFonts w:ascii="Verdana" w:hAnsi="Verdana"/>
          <w:sz w:val="18"/>
          <w:szCs w:val="20"/>
          <w:lang w:val="es-ES_tradnl"/>
        </w:rPr>
        <w:t>Anayka</w:t>
      </w:r>
      <w:proofErr w:type="spellEnd"/>
      <w:r w:rsidR="00E56091" w:rsidRPr="001D3520">
        <w:rPr>
          <w:rFonts w:ascii="Verdana" w:hAnsi="Verdana"/>
          <w:sz w:val="18"/>
          <w:szCs w:val="20"/>
          <w:lang w:val="es-ES_tradnl"/>
        </w:rPr>
        <w:t xml:space="preserve"> </w:t>
      </w:r>
      <w:proofErr w:type="spellStart"/>
      <w:r w:rsidR="00E56091" w:rsidRPr="001D3520">
        <w:rPr>
          <w:rFonts w:ascii="Verdana" w:hAnsi="Verdana"/>
          <w:sz w:val="18"/>
          <w:szCs w:val="20"/>
          <w:lang w:val="es-ES_tradnl"/>
        </w:rPr>
        <w:t>Naniky</w:t>
      </w:r>
      <w:proofErr w:type="spellEnd"/>
      <w:r w:rsidR="00E56091" w:rsidRPr="001D3520">
        <w:rPr>
          <w:rFonts w:ascii="Verdana" w:hAnsi="Verdana"/>
          <w:sz w:val="18"/>
          <w:szCs w:val="20"/>
          <w:lang w:val="es-ES_tradnl"/>
        </w:rPr>
        <w:t xml:space="preserve"> Centeno, Jasmín </w:t>
      </w:r>
      <w:proofErr w:type="spellStart"/>
      <w:r w:rsidR="00E56091" w:rsidRPr="001D3520">
        <w:rPr>
          <w:rFonts w:ascii="Verdana" w:hAnsi="Verdana"/>
          <w:sz w:val="18"/>
          <w:szCs w:val="20"/>
          <w:lang w:val="es-ES_tradnl"/>
        </w:rPr>
        <w:t>Jahaira</w:t>
      </w:r>
      <w:proofErr w:type="spellEnd"/>
      <w:r w:rsidR="00E56091" w:rsidRPr="001D3520">
        <w:rPr>
          <w:rFonts w:ascii="Verdana" w:hAnsi="Verdana"/>
          <w:sz w:val="18"/>
          <w:szCs w:val="20"/>
          <w:lang w:val="es-ES_tradnl"/>
        </w:rPr>
        <w:t xml:space="preserve"> Álvarez, Arely </w:t>
      </w:r>
      <w:proofErr w:type="spellStart"/>
      <w:r w:rsidR="00E56091" w:rsidRPr="001D3520">
        <w:rPr>
          <w:rFonts w:ascii="Verdana" w:hAnsi="Verdana"/>
          <w:sz w:val="18"/>
          <w:szCs w:val="20"/>
          <w:lang w:val="es-ES_tradnl"/>
        </w:rPr>
        <w:t>Jaharied</w:t>
      </w:r>
      <w:proofErr w:type="spellEnd"/>
      <w:r w:rsidR="00E56091" w:rsidRPr="001D3520">
        <w:rPr>
          <w:rFonts w:ascii="Verdana" w:hAnsi="Verdana"/>
          <w:sz w:val="18"/>
          <w:szCs w:val="20"/>
          <w:lang w:val="es-ES_tradnl"/>
        </w:rPr>
        <w:t xml:space="preserve"> Amaya, Valery Camila Valerio, Kelly Betzaida Martínez, Juana </w:t>
      </w:r>
      <w:proofErr w:type="spellStart"/>
      <w:r w:rsidR="00E56091" w:rsidRPr="001D3520">
        <w:rPr>
          <w:rFonts w:ascii="Verdana" w:hAnsi="Verdana"/>
          <w:sz w:val="18"/>
          <w:szCs w:val="20"/>
          <w:lang w:val="es-ES_tradnl"/>
        </w:rPr>
        <w:t>Nanigui</w:t>
      </w:r>
      <w:proofErr w:type="spellEnd"/>
      <w:r w:rsidR="00E56091" w:rsidRPr="001D3520">
        <w:rPr>
          <w:rFonts w:ascii="Verdana" w:hAnsi="Verdana"/>
          <w:sz w:val="18"/>
          <w:szCs w:val="20"/>
          <w:lang w:val="es-ES_tradnl"/>
        </w:rPr>
        <w:t xml:space="preserve"> </w:t>
      </w:r>
      <w:proofErr w:type="spellStart"/>
      <w:r w:rsidR="00E56091" w:rsidRPr="001D3520">
        <w:rPr>
          <w:rFonts w:ascii="Verdana" w:hAnsi="Verdana"/>
          <w:sz w:val="18"/>
          <w:szCs w:val="20"/>
          <w:lang w:val="es-ES_tradnl"/>
        </w:rPr>
        <w:t>Arzu</w:t>
      </w:r>
      <w:proofErr w:type="spellEnd"/>
      <w:r w:rsidR="00E56091" w:rsidRPr="001D3520">
        <w:rPr>
          <w:rFonts w:ascii="Verdana" w:hAnsi="Verdana"/>
          <w:sz w:val="18"/>
          <w:szCs w:val="20"/>
          <w:lang w:val="es-ES_tradnl"/>
        </w:rPr>
        <w:t>, Óscar Martínez Álvarez, Angy Betzaida Martínez y Marco Tulio Valerio.</w:t>
      </w:r>
    </w:p>
    <w:p w14:paraId="6905C0A1" w14:textId="51FC4947" w:rsidR="00E56091" w:rsidRPr="001D3520" w:rsidRDefault="00262A16" w:rsidP="00262A16">
      <w:pPr>
        <w:pStyle w:val="Prrafodelista"/>
        <w:numPr>
          <w:ilvl w:val="0"/>
          <w:numId w:val="21"/>
        </w:numPr>
        <w:suppressLineNumbers/>
        <w:tabs>
          <w:tab w:val="left" w:pos="0"/>
        </w:tabs>
        <w:spacing w:line="240" w:lineRule="auto"/>
        <w:jc w:val="both"/>
        <w:rPr>
          <w:rFonts w:ascii="Verdana" w:hAnsi="Verdana"/>
          <w:sz w:val="18"/>
          <w:szCs w:val="20"/>
          <w:lang w:val="es-ES_tradnl"/>
        </w:rPr>
      </w:pPr>
      <w:r w:rsidRPr="001D3520">
        <w:rPr>
          <w:rFonts w:ascii="Verdana" w:hAnsi="Verdana"/>
          <w:sz w:val="18"/>
          <w:szCs w:val="20"/>
          <w:lang w:val="es-ES_tradnl"/>
        </w:rPr>
        <w:t xml:space="preserve">Por </w:t>
      </w:r>
      <w:r w:rsidR="00E56091" w:rsidRPr="001D3520">
        <w:rPr>
          <w:rFonts w:ascii="Verdana" w:hAnsi="Verdana"/>
          <w:sz w:val="18"/>
          <w:szCs w:val="20"/>
          <w:lang w:val="es-ES_tradnl"/>
        </w:rPr>
        <w:t xml:space="preserve">la Comunidad de Punta Piedra: Edito Suazo Ávila, Marlon Roberto Gutiérrez, </w:t>
      </w:r>
      <w:proofErr w:type="spellStart"/>
      <w:r w:rsidR="00E56091" w:rsidRPr="001D3520">
        <w:rPr>
          <w:rFonts w:ascii="Verdana" w:hAnsi="Verdana"/>
          <w:sz w:val="18"/>
          <w:szCs w:val="20"/>
          <w:lang w:val="es-ES_tradnl"/>
        </w:rPr>
        <w:t>Onaina</w:t>
      </w:r>
      <w:proofErr w:type="spellEnd"/>
      <w:r w:rsidR="00E56091" w:rsidRPr="001D3520">
        <w:rPr>
          <w:rFonts w:ascii="Verdana" w:hAnsi="Verdana"/>
          <w:sz w:val="18"/>
          <w:szCs w:val="20"/>
          <w:lang w:val="es-ES_tradnl"/>
        </w:rPr>
        <w:t xml:space="preserve"> Thomas Rodríguez, Joaquín Thomas Rodríguez, Santos </w:t>
      </w:r>
      <w:proofErr w:type="spellStart"/>
      <w:r w:rsidR="00E56091" w:rsidRPr="001D3520">
        <w:rPr>
          <w:rFonts w:ascii="Verdana" w:hAnsi="Verdana"/>
          <w:sz w:val="18"/>
          <w:szCs w:val="20"/>
          <w:lang w:val="es-ES_tradnl"/>
        </w:rPr>
        <w:t>Celin</w:t>
      </w:r>
      <w:proofErr w:type="spellEnd"/>
      <w:r w:rsidR="00E56091" w:rsidRPr="001D3520">
        <w:rPr>
          <w:rFonts w:ascii="Verdana" w:hAnsi="Verdana"/>
          <w:sz w:val="18"/>
          <w:szCs w:val="20"/>
          <w:lang w:val="es-ES_tradnl"/>
        </w:rPr>
        <w:t xml:space="preserve"> Suazo, </w:t>
      </w:r>
      <w:proofErr w:type="spellStart"/>
      <w:r w:rsidR="00E56091" w:rsidRPr="001D3520">
        <w:rPr>
          <w:rFonts w:ascii="Verdana" w:hAnsi="Verdana"/>
          <w:sz w:val="18"/>
          <w:szCs w:val="20"/>
          <w:lang w:val="es-ES_tradnl"/>
        </w:rPr>
        <w:t>Edelberta</w:t>
      </w:r>
      <w:proofErr w:type="spellEnd"/>
      <w:r w:rsidR="00E56091" w:rsidRPr="001D3520">
        <w:rPr>
          <w:rFonts w:ascii="Verdana" w:hAnsi="Verdana"/>
          <w:sz w:val="18"/>
          <w:szCs w:val="20"/>
          <w:lang w:val="es-ES_tradnl"/>
        </w:rPr>
        <w:t xml:space="preserve"> Ávila Castillo, Doroteo Thomas Rodríguez, Armando Castillo Núñez, </w:t>
      </w:r>
      <w:proofErr w:type="spellStart"/>
      <w:r w:rsidR="00E56091" w:rsidRPr="001D3520">
        <w:rPr>
          <w:rFonts w:ascii="Verdana" w:hAnsi="Verdana"/>
          <w:sz w:val="18"/>
          <w:szCs w:val="20"/>
          <w:lang w:val="es-ES_tradnl"/>
        </w:rPr>
        <w:t>Nigsa</w:t>
      </w:r>
      <w:proofErr w:type="spellEnd"/>
      <w:r w:rsidR="00E56091" w:rsidRPr="001D3520">
        <w:rPr>
          <w:rFonts w:ascii="Verdana" w:hAnsi="Verdana"/>
          <w:sz w:val="18"/>
          <w:szCs w:val="20"/>
          <w:lang w:val="es-ES_tradnl"/>
        </w:rPr>
        <w:t xml:space="preserve"> Iliana Bonifacio Martínez, Doris </w:t>
      </w:r>
      <w:proofErr w:type="spellStart"/>
      <w:r w:rsidR="00E56091" w:rsidRPr="001D3520">
        <w:rPr>
          <w:rFonts w:ascii="Verdana" w:hAnsi="Verdana"/>
          <w:sz w:val="18"/>
          <w:szCs w:val="20"/>
          <w:lang w:val="es-ES_tradnl"/>
        </w:rPr>
        <w:t>Edgarda</w:t>
      </w:r>
      <w:proofErr w:type="spellEnd"/>
      <w:r w:rsidR="00E56091" w:rsidRPr="001D3520">
        <w:rPr>
          <w:rFonts w:ascii="Verdana" w:hAnsi="Verdana"/>
          <w:sz w:val="18"/>
          <w:szCs w:val="20"/>
          <w:lang w:val="es-ES_tradnl"/>
        </w:rPr>
        <w:t xml:space="preserve"> Castillo, Thomas Castillo Zelaya, Lidia Palacios Bernárdez, Francisco Castillo </w:t>
      </w:r>
      <w:proofErr w:type="spellStart"/>
      <w:r w:rsidR="00E56091" w:rsidRPr="001D3520">
        <w:rPr>
          <w:rFonts w:ascii="Verdana" w:hAnsi="Verdana"/>
          <w:sz w:val="18"/>
          <w:szCs w:val="20"/>
          <w:lang w:val="es-ES_tradnl"/>
        </w:rPr>
        <w:t>Castillo</w:t>
      </w:r>
      <w:proofErr w:type="spellEnd"/>
      <w:r w:rsidR="00E56091" w:rsidRPr="001D3520">
        <w:rPr>
          <w:rFonts w:ascii="Verdana" w:hAnsi="Verdana"/>
          <w:sz w:val="18"/>
          <w:szCs w:val="20"/>
          <w:lang w:val="es-ES_tradnl"/>
        </w:rPr>
        <w:t xml:space="preserve">, Matías Thomas, Félix </w:t>
      </w:r>
      <w:proofErr w:type="spellStart"/>
      <w:r w:rsidR="00E56091" w:rsidRPr="001D3520">
        <w:rPr>
          <w:rFonts w:ascii="Verdana" w:hAnsi="Verdana"/>
          <w:sz w:val="18"/>
          <w:szCs w:val="20"/>
          <w:lang w:val="es-ES_tradnl"/>
        </w:rPr>
        <w:t>Ercilio</w:t>
      </w:r>
      <w:proofErr w:type="spellEnd"/>
      <w:r w:rsidR="00E56091" w:rsidRPr="001D3520">
        <w:rPr>
          <w:rFonts w:ascii="Verdana" w:hAnsi="Verdana"/>
          <w:sz w:val="18"/>
          <w:szCs w:val="20"/>
          <w:lang w:val="es-ES_tradnl"/>
        </w:rPr>
        <w:t xml:space="preserve"> Ordoñez, Paulino Mejía Castillo, Vidal Castillo </w:t>
      </w:r>
      <w:proofErr w:type="spellStart"/>
      <w:r w:rsidR="00E56091" w:rsidRPr="001D3520">
        <w:rPr>
          <w:rFonts w:ascii="Verdana" w:hAnsi="Verdana"/>
          <w:sz w:val="18"/>
          <w:szCs w:val="20"/>
          <w:lang w:val="es-ES_tradnl"/>
        </w:rPr>
        <w:t>Castillo</w:t>
      </w:r>
      <w:proofErr w:type="spellEnd"/>
      <w:r w:rsidR="00E56091" w:rsidRPr="001D3520">
        <w:rPr>
          <w:rFonts w:ascii="Verdana" w:hAnsi="Verdana"/>
          <w:sz w:val="18"/>
          <w:szCs w:val="20"/>
          <w:lang w:val="es-ES_tradnl"/>
        </w:rPr>
        <w:t xml:space="preserve">, Andrés Álvarez, Daniel Ávila Castillo, Virginia Bernárdez Núñez, Teresa Castillo Mejía, Hermenegildo Castillo, Fausto Bonifacio Castillo, Eduarda Ávila Bonifacio, </w:t>
      </w:r>
      <w:proofErr w:type="spellStart"/>
      <w:r w:rsidR="00E56091" w:rsidRPr="001D3520">
        <w:rPr>
          <w:rFonts w:ascii="Verdana" w:hAnsi="Verdana"/>
          <w:sz w:val="18"/>
          <w:szCs w:val="20"/>
          <w:lang w:val="es-ES_tradnl"/>
        </w:rPr>
        <w:t>Erminia</w:t>
      </w:r>
      <w:proofErr w:type="spellEnd"/>
      <w:r w:rsidR="00E56091" w:rsidRPr="001D3520">
        <w:rPr>
          <w:rFonts w:ascii="Verdana" w:hAnsi="Verdana"/>
          <w:sz w:val="18"/>
          <w:szCs w:val="20"/>
          <w:lang w:val="es-ES_tradnl"/>
        </w:rPr>
        <w:t xml:space="preserve"> Bonifacio, Tecla Castillo Martínez, Dina Ivon Palacios, Tomasa Ávila Castillo, </w:t>
      </w:r>
      <w:proofErr w:type="spellStart"/>
      <w:r w:rsidR="00E56091" w:rsidRPr="001D3520">
        <w:rPr>
          <w:rFonts w:ascii="Verdana" w:hAnsi="Verdana"/>
          <w:sz w:val="18"/>
          <w:szCs w:val="20"/>
          <w:lang w:val="es-ES_tradnl"/>
        </w:rPr>
        <w:t>Dayna</w:t>
      </w:r>
      <w:proofErr w:type="spellEnd"/>
      <w:r w:rsidR="00E56091" w:rsidRPr="001D3520">
        <w:rPr>
          <w:rFonts w:ascii="Verdana" w:hAnsi="Verdana"/>
          <w:sz w:val="18"/>
          <w:szCs w:val="20"/>
          <w:lang w:val="es-ES_tradnl"/>
        </w:rPr>
        <w:t xml:space="preserve"> </w:t>
      </w:r>
      <w:proofErr w:type="spellStart"/>
      <w:r w:rsidR="00E56091" w:rsidRPr="001D3520">
        <w:rPr>
          <w:rFonts w:ascii="Verdana" w:hAnsi="Verdana"/>
          <w:sz w:val="18"/>
          <w:szCs w:val="20"/>
          <w:lang w:val="es-ES_tradnl"/>
        </w:rPr>
        <w:t>Dinesa</w:t>
      </w:r>
      <w:proofErr w:type="spellEnd"/>
      <w:r w:rsidR="00E56091" w:rsidRPr="001D3520">
        <w:rPr>
          <w:rFonts w:ascii="Verdana" w:hAnsi="Verdana"/>
          <w:sz w:val="18"/>
          <w:szCs w:val="20"/>
          <w:lang w:val="es-ES_tradnl"/>
        </w:rPr>
        <w:t xml:space="preserve"> Bonifacio Ávila, Dinora Ordoñez Álvarez, María Juliana Suazo Montero, Celia Rodríguez Bernárdez, Agripina Bonifacio Castillo, Fermina Castillo Bernárdez, Antolín Ávila Bonifacio, Cecilio Castillo Rodríguez, </w:t>
      </w:r>
      <w:proofErr w:type="spellStart"/>
      <w:r w:rsidR="00E56091" w:rsidRPr="001D3520">
        <w:rPr>
          <w:rFonts w:ascii="Verdana" w:hAnsi="Verdana"/>
          <w:sz w:val="18"/>
          <w:szCs w:val="20"/>
          <w:lang w:val="es-ES_tradnl"/>
        </w:rPr>
        <w:t>Alendro</w:t>
      </w:r>
      <w:proofErr w:type="spellEnd"/>
      <w:r w:rsidR="00E56091" w:rsidRPr="001D3520">
        <w:rPr>
          <w:rFonts w:ascii="Verdana" w:hAnsi="Verdana"/>
          <w:sz w:val="18"/>
          <w:szCs w:val="20"/>
          <w:lang w:val="es-ES_tradnl"/>
        </w:rPr>
        <w:t xml:space="preserve"> Castillo, Desiderio Castillo Bernárdez, Ramón Castillo Rodríguez, Petrona Castillo Palacios, </w:t>
      </w:r>
      <w:proofErr w:type="spellStart"/>
      <w:r w:rsidR="00E56091" w:rsidRPr="001D3520">
        <w:rPr>
          <w:rFonts w:ascii="Verdana" w:hAnsi="Verdana"/>
          <w:sz w:val="18"/>
          <w:szCs w:val="20"/>
          <w:lang w:val="es-ES_tradnl"/>
        </w:rPr>
        <w:t>Dixa</w:t>
      </w:r>
      <w:proofErr w:type="spellEnd"/>
      <w:r w:rsidR="00E56091" w:rsidRPr="001D3520">
        <w:rPr>
          <w:rFonts w:ascii="Verdana" w:hAnsi="Verdana"/>
          <w:sz w:val="18"/>
          <w:szCs w:val="20"/>
          <w:lang w:val="es-ES_tradnl"/>
        </w:rPr>
        <w:t xml:space="preserve"> Marina Palacios, Zaira Carina Thomas, Irma Castillo Martínez, Rosario Bonifacio Castillo, Donaldo Velásquez Ávila, Rebeca Liliana Mejía Núñez, Iris Margot Ávila Castillo, Justina Martínez Ávila, Sabino Bonifacio Castillo, Santos Benítez Bernárdez.</w:t>
      </w:r>
    </w:p>
    <w:p w14:paraId="06F7CD31" w14:textId="55C0AE9C" w:rsidR="0087028E" w:rsidRPr="001D3520" w:rsidRDefault="0087028E" w:rsidP="00262A16">
      <w:pPr>
        <w:pStyle w:val="Prrafodelista"/>
        <w:suppressLineNumbers/>
        <w:tabs>
          <w:tab w:val="left" w:pos="0"/>
        </w:tabs>
        <w:spacing w:line="240" w:lineRule="auto"/>
        <w:ind w:left="0"/>
        <w:jc w:val="both"/>
        <w:rPr>
          <w:rFonts w:ascii="Verdana" w:hAnsi="Verdana" w:cs="Verdana"/>
          <w:color w:val="000000"/>
          <w:sz w:val="20"/>
          <w:szCs w:val="20"/>
          <w:lang w:val="es-ES_tradnl"/>
        </w:rPr>
      </w:pPr>
    </w:p>
    <w:p w14:paraId="538511AF" w14:textId="2DC03BD5" w:rsidR="007F51CD" w:rsidRPr="001D3520" w:rsidRDefault="00683830" w:rsidP="00262A16">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El 24 de agosto de 2020, el Estado informó</w:t>
      </w:r>
      <w:r w:rsidR="000E1028" w:rsidRPr="001D3520">
        <w:rPr>
          <w:rFonts w:ascii="Verdana" w:hAnsi="Verdana"/>
          <w:sz w:val="20"/>
          <w:szCs w:val="20"/>
          <w:lang w:val="es-ES_tradnl"/>
        </w:rPr>
        <w:t>,</w:t>
      </w:r>
      <w:r w:rsidRPr="001D3520">
        <w:rPr>
          <w:rFonts w:ascii="Verdana" w:hAnsi="Verdana"/>
          <w:sz w:val="20"/>
          <w:szCs w:val="20"/>
          <w:lang w:val="es-ES_tradnl"/>
        </w:rPr>
        <w:t xml:space="preserve"> respecto a las cuatro personas desaparecidas, </w:t>
      </w:r>
      <w:r w:rsidR="00A87946" w:rsidRPr="001D3520">
        <w:rPr>
          <w:rFonts w:ascii="Verdana" w:hAnsi="Verdana"/>
          <w:sz w:val="20"/>
          <w:szCs w:val="20"/>
          <w:lang w:val="es-ES_tradnl"/>
        </w:rPr>
        <w:t xml:space="preserve">que </w:t>
      </w:r>
      <w:r w:rsidRPr="001D3520">
        <w:rPr>
          <w:rFonts w:ascii="Verdana" w:hAnsi="Verdana"/>
          <w:sz w:val="20"/>
          <w:szCs w:val="20"/>
          <w:lang w:val="es-ES_tradnl"/>
        </w:rPr>
        <w:t xml:space="preserve">el Ministerio Público se encontraba realizando las </w:t>
      </w:r>
      <w:r w:rsidR="000E1028" w:rsidRPr="001D3520">
        <w:rPr>
          <w:rFonts w:ascii="Verdana" w:hAnsi="Verdana"/>
          <w:sz w:val="20"/>
          <w:szCs w:val="20"/>
          <w:lang w:val="es-ES_tradnl"/>
        </w:rPr>
        <w:t xml:space="preserve">debidas </w:t>
      </w:r>
      <w:r w:rsidRPr="001D3520">
        <w:rPr>
          <w:rFonts w:ascii="Verdana" w:hAnsi="Verdana"/>
          <w:sz w:val="20"/>
          <w:szCs w:val="20"/>
          <w:lang w:val="es-ES_tradnl"/>
        </w:rPr>
        <w:t>invest</w:t>
      </w:r>
      <w:r w:rsidR="000E1028" w:rsidRPr="001D3520">
        <w:rPr>
          <w:rFonts w:ascii="Verdana" w:hAnsi="Verdana"/>
          <w:sz w:val="20"/>
          <w:szCs w:val="20"/>
          <w:lang w:val="es-ES_tradnl"/>
        </w:rPr>
        <w:t xml:space="preserve">igaciones y adjuntó un oficio en el que se detallan acciones. </w:t>
      </w:r>
      <w:r w:rsidR="007F51CD" w:rsidRPr="001D3520">
        <w:rPr>
          <w:rFonts w:ascii="Verdana" w:hAnsi="Verdana"/>
          <w:sz w:val="20"/>
          <w:szCs w:val="20"/>
          <w:lang w:val="es-ES_tradnl"/>
        </w:rPr>
        <w:t>Específicamente, informó</w:t>
      </w:r>
      <w:r w:rsidR="00047474">
        <w:rPr>
          <w:rFonts w:ascii="Verdana" w:hAnsi="Verdana"/>
          <w:sz w:val="20"/>
          <w:szCs w:val="20"/>
          <w:lang w:val="es-ES_tradnl"/>
        </w:rPr>
        <w:t xml:space="preserve"> que</w:t>
      </w:r>
      <w:r w:rsidR="004B167F">
        <w:rPr>
          <w:rFonts w:ascii="Verdana" w:hAnsi="Verdana"/>
          <w:sz w:val="20"/>
          <w:szCs w:val="20"/>
          <w:lang w:val="es-ES_tradnl"/>
        </w:rPr>
        <w:t xml:space="preserve"> </w:t>
      </w:r>
      <w:r w:rsidR="004B167F" w:rsidRPr="004B167F">
        <w:rPr>
          <w:rFonts w:ascii="Verdana" w:hAnsi="Verdana"/>
          <w:sz w:val="20"/>
          <w:szCs w:val="20"/>
          <w:lang w:val="es-ES_tradnl"/>
        </w:rPr>
        <w:t>se habían conformado tres equipos de localización y rescate integrados por miembros de las fuerzas especiales</w:t>
      </w:r>
      <w:r w:rsidR="004B167F">
        <w:rPr>
          <w:rFonts w:ascii="Verdana" w:hAnsi="Verdana"/>
          <w:sz w:val="20"/>
          <w:szCs w:val="20"/>
          <w:lang w:val="es-ES_tradnl"/>
        </w:rPr>
        <w:t xml:space="preserve"> y </w:t>
      </w:r>
      <w:r w:rsidR="007F51CD" w:rsidRPr="001D3520">
        <w:rPr>
          <w:rFonts w:ascii="Verdana" w:hAnsi="Verdana"/>
          <w:sz w:val="20"/>
          <w:szCs w:val="20"/>
          <w:lang w:val="es-ES_tradnl"/>
        </w:rPr>
        <w:t xml:space="preserve">que el 22 de julio de 2020, se llevó a cabo un allanamiento en una vivienda en la cual residía un ciudadano conocido como supuesto integrante de </w:t>
      </w:r>
      <w:r w:rsidR="00D625FD">
        <w:rPr>
          <w:rFonts w:ascii="Verdana" w:hAnsi="Verdana"/>
          <w:sz w:val="20"/>
          <w:szCs w:val="20"/>
          <w:lang w:val="es-ES_tradnl"/>
        </w:rPr>
        <w:t>una</w:t>
      </w:r>
      <w:r w:rsidR="007F51CD" w:rsidRPr="001D3520">
        <w:rPr>
          <w:rFonts w:ascii="Verdana" w:hAnsi="Verdana"/>
          <w:sz w:val="20"/>
          <w:szCs w:val="20"/>
          <w:lang w:val="es-ES_tradnl"/>
        </w:rPr>
        <w:t xml:space="preserve"> </w:t>
      </w:r>
      <w:r w:rsidR="00D625FD">
        <w:rPr>
          <w:rFonts w:ascii="Verdana" w:hAnsi="Verdana"/>
          <w:sz w:val="20"/>
          <w:szCs w:val="20"/>
          <w:lang w:val="es-ES_tradnl"/>
        </w:rPr>
        <w:t>e</w:t>
      </w:r>
      <w:r w:rsidR="007F51CD" w:rsidRPr="001D3520">
        <w:rPr>
          <w:rFonts w:ascii="Verdana" w:hAnsi="Verdana"/>
          <w:sz w:val="20"/>
          <w:szCs w:val="20"/>
          <w:lang w:val="es-ES_tradnl"/>
        </w:rPr>
        <w:t xml:space="preserve">structura </w:t>
      </w:r>
      <w:r w:rsidR="00D625FD">
        <w:rPr>
          <w:rFonts w:ascii="Verdana" w:hAnsi="Verdana"/>
          <w:sz w:val="20"/>
          <w:szCs w:val="20"/>
          <w:lang w:val="es-ES_tradnl"/>
        </w:rPr>
        <w:t>c</w:t>
      </w:r>
      <w:r w:rsidR="007F51CD" w:rsidRPr="001D3520">
        <w:rPr>
          <w:rFonts w:ascii="Verdana" w:hAnsi="Verdana"/>
          <w:sz w:val="20"/>
          <w:szCs w:val="20"/>
          <w:lang w:val="es-ES_tradnl"/>
        </w:rPr>
        <w:t xml:space="preserve">riminal, quien sería uno de los presuntos responsables en la privación ilegal de la libertad de las </w:t>
      </w:r>
      <w:r w:rsidR="00262A16" w:rsidRPr="001D3520">
        <w:rPr>
          <w:rFonts w:ascii="Verdana" w:hAnsi="Verdana"/>
          <w:sz w:val="20"/>
          <w:szCs w:val="20"/>
          <w:lang w:val="es-ES_tradnl"/>
        </w:rPr>
        <w:t>personas desaparecidas</w:t>
      </w:r>
      <w:r w:rsidR="007F51CD" w:rsidRPr="001D3520">
        <w:rPr>
          <w:rFonts w:ascii="Verdana" w:hAnsi="Verdana"/>
          <w:sz w:val="20"/>
          <w:szCs w:val="20"/>
          <w:lang w:val="es-ES_tradnl"/>
        </w:rPr>
        <w:t xml:space="preserve">. </w:t>
      </w:r>
      <w:r w:rsidR="00E7649A" w:rsidRPr="001D3520">
        <w:rPr>
          <w:rFonts w:ascii="Verdana" w:hAnsi="Verdana"/>
          <w:sz w:val="20"/>
          <w:szCs w:val="20"/>
          <w:lang w:val="es-ES_tradnl"/>
        </w:rPr>
        <w:t>Indicó que</w:t>
      </w:r>
      <w:r w:rsidR="00047474">
        <w:rPr>
          <w:rFonts w:ascii="Verdana" w:hAnsi="Verdana"/>
          <w:sz w:val="20"/>
          <w:szCs w:val="20"/>
          <w:lang w:val="es-ES_tradnl"/>
        </w:rPr>
        <w:t>,</w:t>
      </w:r>
      <w:r w:rsidR="00E7649A" w:rsidRPr="001D3520">
        <w:rPr>
          <w:rFonts w:ascii="Verdana" w:hAnsi="Verdana"/>
          <w:sz w:val="20"/>
          <w:szCs w:val="20"/>
          <w:lang w:val="es-ES_tradnl"/>
        </w:rPr>
        <w:t xml:space="preserve"> e</w:t>
      </w:r>
      <w:r w:rsidR="007F51CD" w:rsidRPr="001D3520">
        <w:rPr>
          <w:rFonts w:ascii="Verdana" w:hAnsi="Verdana"/>
          <w:sz w:val="20"/>
          <w:szCs w:val="20"/>
          <w:lang w:val="es-ES_tradnl"/>
        </w:rPr>
        <w:t xml:space="preserve">ntre los hallazgos relevantes que se recolectaron, figuran armas de fuego, teléfonos celulares, un uniforme militar y aros de presión. </w:t>
      </w:r>
      <w:r w:rsidR="00E7649A" w:rsidRPr="001D3520">
        <w:rPr>
          <w:rFonts w:ascii="Verdana" w:hAnsi="Verdana"/>
          <w:sz w:val="20"/>
          <w:szCs w:val="20"/>
          <w:lang w:val="es-ES_tradnl"/>
        </w:rPr>
        <w:t>Agregó que</w:t>
      </w:r>
      <w:r w:rsidR="00E32CF7">
        <w:rPr>
          <w:rFonts w:ascii="Verdana" w:hAnsi="Verdana"/>
          <w:sz w:val="20"/>
          <w:szCs w:val="20"/>
          <w:lang w:val="es-ES_tradnl"/>
        </w:rPr>
        <w:t>,</w:t>
      </w:r>
      <w:r w:rsidR="007F51CD" w:rsidRPr="001D3520">
        <w:rPr>
          <w:rFonts w:ascii="Verdana" w:hAnsi="Verdana"/>
          <w:sz w:val="20"/>
          <w:szCs w:val="20"/>
          <w:lang w:val="es-ES_tradnl"/>
        </w:rPr>
        <w:t xml:space="preserve"> </w:t>
      </w:r>
      <w:r w:rsidR="00D625FD">
        <w:rPr>
          <w:rFonts w:ascii="Verdana" w:hAnsi="Verdana"/>
          <w:sz w:val="20"/>
          <w:szCs w:val="20"/>
          <w:lang w:val="es-ES_tradnl"/>
        </w:rPr>
        <w:t>como consecuencia de ese allanamiento</w:t>
      </w:r>
      <w:r w:rsidR="00E32CF7">
        <w:rPr>
          <w:rFonts w:ascii="Verdana" w:hAnsi="Verdana"/>
          <w:sz w:val="20"/>
          <w:szCs w:val="20"/>
          <w:lang w:val="es-ES_tradnl"/>
        </w:rPr>
        <w:t>,</w:t>
      </w:r>
      <w:r w:rsidR="00D625FD">
        <w:rPr>
          <w:rFonts w:ascii="Verdana" w:hAnsi="Verdana"/>
          <w:sz w:val="20"/>
          <w:szCs w:val="20"/>
          <w:lang w:val="es-ES_tradnl"/>
        </w:rPr>
        <w:t xml:space="preserve"> un individuo </w:t>
      </w:r>
      <w:r w:rsidR="007F51CD" w:rsidRPr="001D3520">
        <w:rPr>
          <w:rFonts w:ascii="Verdana" w:hAnsi="Verdana"/>
          <w:sz w:val="20"/>
          <w:szCs w:val="20"/>
          <w:lang w:val="es-ES_tradnl"/>
        </w:rPr>
        <w:t>fue puesto a las órdenes del Ministerio Público y</w:t>
      </w:r>
      <w:r w:rsidR="00E32CF7">
        <w:rPr>
          <w:rFonts w:ascii="Verdana" w:hAnsi="Verdana"/>
          <w:sz w:val="20"/>
          <w:szCs w:val="20"/>
          <w:lang w:val="es-ES_tradnl"/>
        </w:rPr>
        <w:t>,</w:t>
      </w:r>
      <w:r w:rsidR="007F51CD" w:rsidRPr="001D3520">
        <w:rPr>
          <w:rFonts w:ascii="Verdana" w:hAnsi="Verdana"/>
          <w:sz w:val="20"/>
          <w:szCs w:val="20"/>
          <w:lang w:val="es-ES_tradnl"/>
        </w:rPr>
        <w:t xml:space="preserve"> posteriormente</w:t>
      </w:r>
      <w:r w:rsidR="00E32CF7">
        <w:rPr>
          <w:rFonts w:ascii="Verdana" w:hAnsi="Verdana"/>
          <w:sz w:val="20"/>
          <w:szCs w:val="20"/>
          <w:lang w:val="es-ES_tradnl"/>
        </w:rPr>
        <w:t>,</w:t>
      </w:r>
      <w:r w:rsidR="007F51CD" w:rsidRPr="001D3520">
        <w:rPr>
          <w:rFonts w:ascii="Verdana" w:hAnsi="Verdana"/>
          <w:sz w:val="20"/>
          <w:szCs w:val="20"/>
          <w:lang w:val="es-ES_tradnl"/>
        </w:rPr>
        <w:t xml:space="preserve"> se le impuso la medida cautelar de prisión preventiva.</w:t>
      </w:r>
      <w:r w:rsidR="00864CDC">
        <w:rPr>
          <w:rFonts w:ascii="Verdana" w:hAnsi="Verdana"/>
          <w:sz w:val="20"/>
          <w:szCs w:val="20"/>
          <w:lang w:val="es-ES_tradnl"/>
        </w:rPr>
        <w:t xml:space="preserve"> </w:t>
      </w:r>
      <w:r w:rsidR="00864CDC" w:rsidRPr="0062671F">
        <w:rPr>
          <w:rFonts w:ascii="Verdana" w:hAnsi="Verdana"/>
          <w:sz w:val="20"/>
          <w:szCs w:val="20"/>
          <w:lang w:val="es-ES_tradnl"/>
        </w:rPr>
        <w:t>A su vez, el Estado</w:t>
      </w:r>
      <w:r w:rsidR="00864CDC">
        <w:rPr>
          <w:rFonts w:ascii="Verdana" w:hAnsi="Verdana"/>
          <w:sz w:val="20"/>
          <w:szCs w:val="20"/>
          <w:lang w:val="es-ES_tradnl"/>
        </w:rPr>
        <w:t xml:space="preserve"> </w:t>
      </w:r>
      <w:r w:rsidR="0062671F">
        <w:rPr>
          <w:rFonts w:ascii="Verdana" w:hAnsi="Verdana"/>
          <w:sz w:val="20"/>
          <w:szCs w:val="20"/>
          <w:lang w:val="es-ES_tradnl"/>
        </w:rPr>
        <w:t xml:space="preserve">aportó información sobre las diligencias de investigación que fueron llevadas a cabo hasta el momento en relación con el homicidio del señor </w:t>
      </w:r>
      <w:r w:rsidR="0062671F" w:rsidRPr="0062671F">
        <w:rPr>
          <w:rFonts w:ascii="Verdana" w:hAnsi="Verdana"/>
          <w:sz w:val="20"/>
          <w:szCs w:val="20"/>
          <w:lang w:val="es-ES_tradnl"/>
        </w:rPr>
        <w:t>Antonio Bernárdez</w:t>
      </w:r>
      <w:r w:rsidR="0062671F">
        <w:rPr>
          <w:rFonts w:ascii="Verdana" w:hAnsi="Verdana"/>
          <w:sz w:val="20"/>
          <w:szCs w:val="20"/>
          <w:lang w:val="es-ES_tradnl"/>
        </w:rPr>
        <w:t xml:space="preserve">. </w:t>
      </w:r>
    </w:p>
    <w:p w14:paraId="66EFE0FB" w14:textId="77777777" w:rsidR="007F51CD" w:rsidRPr="001D3520" w:rsidRDefault="007F51CD" w:rsidP="00262A16">
      <w:pPr>
        <w:pStyle w:val="Prrafodelista"/>
        <w:spacing w:line="240" w:lineRule="auto"/>
        <w:rPr>
          <w:rFonts w:ascii="Verdana" w:hAnsi="Verdana"/>
          <w:sz w:val="20"/>
          <w:szCs w:val="20"/>
          <w:lang w:val="es-ES_tradnl"/>
        </w:rPr>
      </w:pPr>
    </w:p>
    <w:p w14:paraId="484F2903" w14:textId="3C04D6DA" w:rsidR="000E1028" w:rsidRPr="004B167F" w:rsidRDefault="000E1028" w:rsidP="001D60AC">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4B167F">
        <w:rPr>
          <w:rFonts w:ascii="Verdana" w:hAnsi="Verdana"/>
          <w:sz w:val="20"/>
          <w:szCs w:val="20"/>
          <w:lang w:val="es-ES_tradnl"/>
        </w:rPr>
        <w:t xml:space="preserve">Respecto a las medidas dirigidas </w:t>
      </w:r>
      <w:r w:rsidR="00C96730" w:rsidRPr="004B167F">
        <w:rPr>
          <w:rFonts w:ascii="Verdana" w:hAnsi="Verdana"/>
          <w:sz w:val="20"/>
          <w:szCs w:val="20"/>
          <w:lang w:val="es-ES_tradnl"/>
        </w:rPr>
        <w:t xml:space="preserve">a </w:t>
      </w:r>
      <w:r w:rsidRPr="004B167F">
        <w:rPr>
          <w:rFonts w:ascii="Verdana" w:hAnsi="Verdana"/>
          <w:sz w:val="20"/>
          <w:szCs w:val="20"/>
          <w:lang w:val="es-ES_tradnl"/>
        </w:rPr>
        <w:t>la</w:t>
      </w:r>
      <w:r w:rsidR="004B167F" w:rsidRPr="004B167F">
        <w:rPr>
          <w:rFonts w:ascii="Verdana" w:hAnsi="Verdana"/>
          <w:sz w:val="20"/>
          <w:szCs w:val="20"/>
          <w:lang w:val="es-ES_tradnl"/>
        </w:rPr>
        <w:t>s</w:t>
      </w:r>
      <w:r w:rsidRPr="004B167F">
        <w:rPr>
          <w:rFonts w:ascii="Verdana" w:hAnsi="Verdana"/>
          <w:sz w:val="20"/>
          <w:szCs w:val="20"/>
          <w:lang w:val="es-ES_tradnl"/>
        </w:rPr>
        <w:t xml:space="preserve"> comunidad</w:t>
      </w:r>
      <w:r w:rsidR="004B167F" w:rsidRPr="004B167F">
        <w:rPr>
          <w:rFonts w:ascii="Verdana" w:hAnsi="Verdana"/>
          <w:sz w:val="20"/>
          <w:szCs w:val="20"/>
          <w:lang w:val="es-ES_tradnl"/>
        </w:rPr>
        <w:t>es</w:t>
      </w:r>
      <w:r w:rsidRPr="004B167F">
        <w:rPr>
          <w:rFonts w:ascii="Verdana" w:hAnsi="Verdana"/>
          <w:sz w:val="20"/>
          <w:szCs w:val="20"/>
          <w:lang w:val="es-ES_tradnl"/>
        </w:rPr>
        <w:t xml:space="preserve">, precisó que </w:t>
      </w:r>
      <w:r w:rsidR="004B167F" w:rsidRPr="004B167F">
        <w:rPr>
          <w:rFonts w:ascii="Verdana" w:hAnsi="Verdana"/>
          <w:sz w:val="20"/>
          <w:szCs w:val="20"/>
          <w:lang w:val="es-ES_tradnl"/>
        </w:rPr>
        <w:t xml:space="preserve">tradujo </w:t>
      </w:r>
      <w:r w:rsidR="0088376F">
        <w:rPr>
          <w:rFonts w:ascii="Verdana" w:hAnsi="Verdana"/>
          <w:sz w:val="20"/>
          <w:szCs w:val="20"/>
          <w:lang w:val="es-ES_tradnl"/>
        </w:rPr>
        <w:t xml:space="preserve">al idioma garífuna </w:t>
      </w:r>
      <w:r w:rsidR="004B167F" w:rsidRPr="004B167F">
        <w:rPr>
          <w:rFonts w:ascii="Verdana" w:hAnsi="Verdana"/>
          <w:sz w:val="20"/>
          <w:szCs w:val="20"/>
          <w:lang w:val="es-ES_tradnl"/>
        </w:rPr>
        <w:t xml:space="preserve">y </w:t>
      </w:r>
      <w:r w:rsidRPr="004B167F">
        <w:rPr>
          <w:rFonts w:ascii="Verdana" w:hAnsi="Verdana"/>
          <w:sz w:val="20"/>
          <w:szCs w:val="20"/>
          <w:lang w:val="es-ES_tradnl"/>
        </w:rPr>
        <w:t>le dio publicidad a la Resolución dictada el 6 de agosto de 2020</w:t>
      </w:r>
      <w:r w:rsidR="00E32CF7">
        <w:rPr>
          <w:rFonts w:ascii="Verdana" w:hAnsi="Verdana"/>
          <w:sz w:val="20"/>
          <w:szCs w:val="20"/>
          <w:lang w:val="es-ES_tradnl"/>
        </w:rPr>
        <w:t xml:space="preserve">. Además, </w:t>
      </w:r>
      <w:r w:rsidRPr="004B167F">
        <w:rPr>
          <w:rFonts w:ascii="Verdana" w:hAnsi="Verdana"/>
          <w:sz w:val="20"/>
          <w:szCs w:val="20"/>
          <w:lang w:val="es-ES_tradnl"/>
        </w:rPr>
        <w:t xml:space="preserve">para cumplir </w:t>
      </w:r>
      <w:r w:rsidR="00E7649A" w:rsidRPr="004B167F">
        <w:rPr>
          <w:rFonts w:ascii="Verdana" w:hAnsi="Verdana"/>
          <w:sz w:val="20"/>
          <w:szCs w:val="20"/>
          <w:lang w:val="es-ES_tradnl"/>
        </w:rPr>
        <w:t xml:space="preserve">con </w:t>
      </w:r>
      <w:r w:rsidRPr="004B167F">
        <w:rPr>
          <w:rFonts w:ascii="Verdana" w:hAnsi="Verdana"/>
          <w:sz w:val="20"/>
          <w:szCs w:val="20"/>
          <w:lang w:val="es-ES_tradnl"/>
        </w:rPr>
        <w:t xml:space="preserve">lo señalado en la misma </w:t>
      </w:r>
      <w:r w:rsidR="00E7649A" w:rsidRPr="004B167F">
        <w:rPr>
          <w:rFonts w:ascii="Verdana" w:hAnsi="Verdana"/>
          <w:sz w:val="20"/>
          <w:szCs w:val="20"/>
          <w:lang w:val="es-ES_tradnl"/>
        </w:rPr>
        <w:t>se</w:t>
      </w:r>
      <w:r w:rsidRPr="004B167F">
        <w:rPr>
          <w:rFonts w:ascii="Verdana" w:hAnsi="Verdana"/>
          <w:sz w:val="20"/>
          <w:szCs w:val="20"/>
          <w:lang w:val="es-ES_tradnl"/>
        </w:rPr>
        <w:t xml:space="preserve"> conformó un equipo interinstitucional integrado por la Secretaría de Derechos Humanos a través de los Despachos de Promoción y Protección de Derechos Humanos, la Secretaría de Estado en el Despacho de Seguridad a través de la asesoría ministerial y el Departamento de Derechos Humanos; la Dirección de Pueblos Indígenas y </w:t>
      </w:r>
      <w:proofErr w:type="spellStart"/>
      <w:r w:rsidRPr="004B167F">
        <w:rPr>
          <w:rFonts w:ascii="Verdana" w:hAnsi="Verdana"/>
          <w:sz w:val="20"/>
          <w:szCs w:val="20"/>
          <w:lang w:val="es-ES_tradnl"/>
        </w:rPr>
        <w:t>AfroHondureños</w:t>
      </w:r>
      <w:proofErr w:type="spellEnd"/>
      <w:r w:rsidRPr="004B167F">
        <w:rPr>
          <w:rFonts w:ascii="Verdana" w:hAnsi="Verdana"/>
          <w:sz w:val="20"/>
          <w:szCs w:val="20"/>
          <w:lang w:val="es-ES_tradnl"/>
        </w:rPr>
        <w:t xml:space="preserve"> (DINAFROH-SEDIS) y la Procuraduría General de la República.</w:t>
      </w:r>
      <w:r w:rsidR="004B167F">
        <w:rPr>
          <w:rFonts w:ascii="Verdana" w:hAnsi="Verdana"/>
          <w:sz w:val="20"/>
          <w:szCs w:val="20"/>
          <w:lang w:val="es-ES_tradnl"/>
        </w:rPr>
        <w:t xml:space="preserve"> </w:t>
      </w:r>
      <w:r w:rsidRPr="004B167F">
        <w:rPr>
          <w:rFonts w:ascii="Verdana" w:hAnsi="Verdana"/>
          <w:sz w:val="20"/>
          <w:szCs w:val="20"/>
          <w:lang w:val="es-ES_tradnl"/>
        </w:rPr>
        <w:t xml:space="preserve">Adicionalmente, </w:t>
      </w:r>
      <w:r w:rsidR="00EF5C6C" w:rsidRPr="004B167F">
        <w:rPr>
          <w:rFonts w:ascii="Verdana" w:hAnsi="Verdana"/>
          <w:sz w:val="20"/>
          <w:szCs w:val="20"/>
          <w:lang w:val="es-ES_tradnl"/>
        </w:rPr>
        <w:t xml:space="preserve">Honduras </w:t>
      </w:r>
      <w:r w:rsidR="007F51CD" w:rsidRPr="004B167F">
        <w:rPr>
          <w:rFonts w:ascii="Verdana" w:hAnsi="Verdana"/>
          <w:sz w:val="20"/>
          <w:szCs w:val="20"/>
          <w:lang w:val="es-ES_tradnl"/>
        </w:rPr>
        <w:t>precis</w:t>
      </w:r>
      <w:r w:rsidR="00EF5C6C" w:rsidRPr="004B167F">
        <w:rPr>
          <w:rFonts w:ascii="Verdana" w:hAnsi="Verdana"/>
          <w:sz w:val="20"/>
          <w:szCs w:val="20"/>
          <w:lang w:val="es-ES_tradnl"/>
        </w:rPr>
        <w:t>ó</w:t>
      </w:r>
      <w:r w:rsidRPr="004B167F">
        <w:rPr>
          <w:rFonts w:ascii="Verdana" w:hAnsi="Verdana"/>
          <w:sz w:val="20"/>
          <w:szCs w:val="20"/>
          <w:lang w:val="es-ES_tradnl"/>
        </w:rPr>
        <w:t xml:space="preserve"> que </w:t>
      </w:r>
      <w:r w:rsidR="00E7649A" w:rsidRPr="004B167F">
        <w:rPr>
          <w:rFonts w:ascii="Verdana" w:hAnsi="Verdana"/>
          <w:sz w:val="20"/>
          <w:szCs w:val="20"/>
          <w:lang w:val="es-ES_tradnl"/>
        </w:rPr>
        <w:t xml:space="preserve">el 20 de agosto de 2020 </w:t>
      </w:r>
      <w:r w:rsidRPr="004B167F">
        <w:rPr>
          <w:rFonts w:ascii="Verdana" w:hAnsi="Verdana"/>
          <w:sz w:val="20"/>
          <w:szCs w:val="20"/>
          <w:lang w:val="es-ES_tradnl"/>
        </w:rPr>
        <w:t>se llevó a cabo una reunión entre el equipo interinstitucional creado y los representantes, donde se propuso las líneas de acción del plan de implementación para el cumplimiento</w:t>
      </w:r>
      <w:r w:rsidR="00EB65B9">
        <w:rPr>
          <w:rFonts w:ascii="Verdana" w:hAnsi="Verdana"/>
          <w:sz w:val="20"/>
          <w:szCs w:val="20"/>
          <w:lang w:val="es-ES_tradnl"/>
        </w:rPr>
        <w:t xml:space="preserve"> de las medidas ordenadas</w:t>
      </w:r>
      <w:r w:rsidR="00E7649A" w:rsidRPr="004B167F">
        <w:rPr>
          <w:rFonts w:ascii="Verdana" w:hAnsi="Verdana"/>
          <w:sz w:val="20"/>
          <w:szCs w:val="20"/>
          <w:lang w:val="es-ES_tradnl"/>
        </w:rPr>
        <w:t xml:space="preserve">. </w:t>
      </w:r>
    </w:p>
    <w:p w14:paraId="72A257C7" w14:textId="77777777" w:rsidR="00E7649A" w:rsidRPr="001D3520" w:rsidRDefault="00E7649A" w:rsidP="00E7649A">
      <w:pPr>
        <w:pStyle w:val="Prrafodelista"/>
        <w:rPr>
          <w:rFonts w:ascii="Verdana" w:hAnsi="Verdana"/>
          <w:sz w:val="20"/>
          <w:szCs w:val="20"/>
          <w:lang w:val="es-ES_tradnl"/>
        </w:rPr>
      </w:pPr>
    </w:p>
    <w:p w14:paraId="17F45642" w14:textId="062E362C" w:rsidR="00C33268" w:rsidRPr="001D3520" w:rsidRDefault="00C33268" w:rsidP="00262A16">
      <w:pPr>
        <w:pStyle w:val="Prrafodelista"/>
        <w:numPr>
          <w:ilvl w:val="0"/>
          <w:numId w:val="4"/>
        </w:numPr>
        <w:suppressLineNumbers/>
        <w:spacing w:line="240" w:lineRule="auto"/>
        <w:jc w:val="both"/>
        <w:rPr>
          <w:rFonts w:ascii="Verdana" w:hAnsi="Verdana"/>
          <w:b/>
          <w:i/>
          <w:sz w:val="20"/>
          <w:szCs w:val="20"/>
          <w:lang w:val="es-ES_tradnl"/>
        </w:rPr>
      </w:pPr>
      <w:r w:rsidRPr="001D3520">
        <w:rPr>
          <w:rFonts w:ascii="Verdana" w:hAnsi="Verdana"/>
          <w:b/>
          <w:i/>
          <w:sz w:val="20"/>
          <w:szCs w:val="20"/>
          <w:lang w:val="es-ES_tradnl"/>
        </w:rPr>
        <w:t>Consideraciones de la Corte</w:t>
      </w:r>
    </w:p>
    <w:p w14:paraId="6B877597" w14:textId="77777777" w:rsidR="0087028E" w:rsidRPr="001D3520" w:rsidRDefault="0087028E" w:rsidP="00262A16">
      <w:pPr>
        <w:pStyle w:val="Prrafodelista"/>
        <w:spacing w:line="240" w:lineRule="auto"/>
        <w:rPr>
          <w:rFonts w:ascii="Verdana" w:hAnsi="Verdana"/>
          <w:sz w:val="20"/>
          <w:szCs w:val="20"/>
          <w:lang w:val="es-ES_tradnl"/>
        </w:rPr>
      </w:pPr>
    </w:p>
    <w:p w14:paraId="4916C541" w14:textId="5E12AD9E"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ES_tradnl"/>
        </w:rPr>
      </w:pPr>
      <w:r w:rsidRPr="001D3520">
        <w:rPr>
          <w:rFonts w:ascii="Verdana" w:hAnsi="Verdana"/>
          <w:sz w:val="20"/>
          <w:szCs w:val="20"/>
          <w:lang w:val="es-ES_tradnl"/>
        </w:rPr>
        <w:t>La solicitud de medidas provisionales presentada por los representantes se refiere a</w:t>
      </w:r>
      <w:r w:rsidR="0062671F">
        <w:rPr>
          <w:rFonts w:ascii="Verdana" w:hAnsi="Verdana"/>
          <w:sz w:val="20"/>
          <w:szCs w:val="20"/>
          <w:lang w:val="es-ES_tradnl"/>
        </w:rPr>
        <w:t>:</w:t>
      </w:r>
      <w:r w:rsidRPr="001D3520">
        <w:rPr>
          <w:rFonts w:ascii="Verdana" w:hAnsi="Verdana"/>
          <w:sz w:val="20"/>
          <w:szCs w:val="20"/>
          <w:lang w:val="es-ES_tradnl"/>
        </w:rPr>
        <w:t xml:space="preserve"> </w:t>
      </w:r>
      <w:r w:rsidR="0062671F">
        <w:rPr>
          <w:rFonts w:ascii="Verdana" w:hAnsi="Verdana"/>
          <w:sz w:val="20"/>
          <w:szCs w:val="20"/>
          <w:lang w:val="es-ES_tradnl"/>
        </w:rPr>
        <w:t xml:space="preserve">a) </w:t>
      </w:r>
      <w:r w:rsidRPr="001D3520">
        <w:rPr>
          <w:rFonts w:ascii="Verdana" w:hAnsi="Verdana"/>
          <w:sz w:val="20"/>
          <w:szCs w:val="20"/>
          <w:lang w:val="es-ES_tradnl"/>
        </w:rPr>
        <w:t>cuatro personas presuntamente desaparecidas, todas integrantes de la Comunidad Garífuna de Triunfo de la Cruz</w:t>
      </w:r>
      <w:r w:rsidR="0062671F">
        <w:rPr>
          <w:rFonts w:ascii="Verdana" w:hAnsi="Verdana"/>
          <w:sz w:val="20"/>
          <w:szCs w:val="20"/>
          <w:lang w:val="es-ES_tradnl"/>
        </w:rPr>
        <w:t>; y</w:t>
      </w:r>
      <w:r w:rsidRPr="001D3520">
        <w:rPr>
          <w:rFonts w:ascii="Verdana" w:hAnsi="Verdana"/>
          <w:sz w:val="20"/>
          <w:szCs w:val="20"/>
          <w:lang w:val="es-ES_tradnl"/>
        </w:rPr>
        <w:t xml:space="preserve"> </w:t>
      </w:r>
      <w:r w:rsidR="0062671F">
        <w:rPr>
          <w:rFonts w:ascii="Verdana" w:hAnsi="Verdana"/>
          <w:sz w:val="20"/>
          <w:szCs w:val="20"/>
          <w:lang w:val="es-ES_tradnl"/>
        </w:rPr>
        <w:t>b)</w:t>
      </w:r>
      <w:r w:rsidRPr="001D3520">
        <w:rPr>
          <w:rFonts w:ascii="Verdana" w:hAnsi="Verdana"/>
          <w:sz w:val="20"/>
          <w:szCs w:val="20"/>
          <w:lang w:val="es-ES_tradnl"/>
        </w:rPr>
        <w:t xml:space="preserve"> los pobladores de esa Comunidad y de la Comunidad Garífuna de Punta Piedra que desarrollan colectivamente acciones de defensa de los derechos del pueblo Garífuna y, específicamente, sobre sus territorios. Esas solicitudes se encuentran directamente relacionadas con los derechos a la vida, libertad personal e integridad personal de esas personas, y además están </w:t>
      </w:r>
      <w:r w:rsidRPr="001D3520">
        <w:rPr>
          <w:rFonts w:ascii="Verdana" w:eastAsia="Verdana" w:hAnsi="Verdana" w:cs="Verdana"/>
          <w:sz w:val="20"/>
          <w:szCs w:val="20"/>
          <w:lang w:val="es-ES_tradnl"/>
        </w:rPr>
        <w:t>basadas en un contexto de inseguridad sobre la posesión y uso de la tierra, y la falta de investigación por los hechos de violencia en contra de varios miembros de esas comunidades.</w:t>
      </w:r>
    </w:p>
    <w:p w14:paraId="573E3570" w14:textId="77777777" w:rsidR="00B86F67" w:rsidRPr="001D3520" w:rsidRDefault="00B86F67" w:rsidP="00B86F67">
      <w:pPr>
        <w:pStyle w:val="Prrafodelista"/>
        <w:suppressLineNumbers/>
        <w:tabs>
          <w:tab w:val="left" w:pos="0"/>
        </w:tabs>
        <w:spacing w:line="240" w:lineRule="auto"/>
        <w:ind w:left="0"/>
        <w:jc w:val="both"/>
        <w:rPr>
          <w:rFonts w:ascii="Verdana" w:hAnsi="Verdana" w:cs="Verdana"/>
          <w:color w:val="000000"/>
          <w:sz w:val="20"/>
          <w:szCs w:val="20"/>
          <w:lang w:val="es-ES_tradnl"/>
        </w:rPr>
      </w:pPr>
    </w:p>
    <w:p w14:paraId="2EB025C7" w14:textId="0F714DEC"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ES_tradnl"/>
        </w:rPr>
      </w:pPr>
      <w:r w:rsidRPr="001D3520">
        <w:rPr>
          <w:rFonts w:ascii="Verdana" w:hAnsi="Verdana"/>
          <w:sz w:val="20"/>
          <w:szCs w:val="20"/>
          <w:lang w:val="es-ES_tradnl"/>
        </w:rPr>
        <w:t xml:space="preserve">Con respecto a lo anterior, se recuerda que en las Sentencias de los casos </w:t>
      </w:r>
      <w:r w:rsidRPr="001D3520">
        <w:rPr>
          <w:rFonts w:ascii="Verdana" w:hAnsi="Verdana"/>
          <w:i/>
          <w:iCs/>
          <w:sz w:val="20"/>
          <w:szCs w:val="20"/>
          <w:lang w:val="es-ES_tradnl"/>
        </w:rPr>
        <w:t>Comunidad Garífuna de Punta Piedra y sus miembros Vs. Honduras</w:t>
      </w:r>
      <w:r w:rsidRPr="001D3520">
        <w:rPr>
          <w:rFonts w:ascii="Verdana" w:hAnsi="Verdana"/>
          <w:sz w:val="20"/>
          <w:szCs w:val="20"/>
          <w:lang w:val="es-ES_tradnl"/>
        </w:rPr>
        <w:t xml:space="preserve"> y </w:t>
      </w:r>
      <w:r w:rsidRPr="001D3520">
        <w:rPr>
          <w:rFonts w:ascii="Verdana" w:hAnsi="Verdana"/>
          <w:i/>
          <w:iCs/>
          <w:sz w:val="20"/>
          <w:szCs w:val="20"/>
          <w:lang w:val="es-ES_tradnl"/>
        </w:rPr>
        <w:t>Comunidad Garífuna Triunfo de la Cruz y sus miembros Vs. Honduras</w:t>
      </w:r>
      <w:r w:rsidRPr="001D3520">
        <w:rPr>
          <w:rFonts w:ascii="Verdana" w:hAnsi="Verdana"/>
          <w:sz w:val="20"/>
          <w:szCs w:val="20"/>
          <w:lang w:val="es-ES_tradnl"/>
        </w:rPr>
        <w:t>, la Corte Interamericana analizó hechos de violencia e intimidaciones contra integrantes de esas Comunidades, y ordenó investigar esos hechos</w:t>
      </w:r>
      <w:r w:rsidRPr="001D3520">
        <w:rPr>
          <w:rStyle w:val="Refdenotaalpie"/>
          <w:szCs w:val="20"/>
          <w:lang w:val="es-ES_tradnl"/>
        </w:rPr>
        <w:footnoteReference w:id="10"/>
      </w:r>
      <w:r w:rsidRPr="001D3520">
        <w:rPr>
          <w:rFonts w:ascii="Verdana" w:hAnsi="Verdana"/>
          <w:sz w:val="20"/>
          <w:szCs w:val="20"/>
          <w:lang w:val="es-ES_tradnl"/>
        </w:rPr>
        <w:t xml:space="preserve">. </w:t>
      </w:r>
    </w:p>
    <w:p w14:paraId="36A61CD5" w14:textId="77777777" w:rsidR="00B86F67" w:rsidRPr="001D3520" w:rsidRDefault="00B86F67" w:rsidP="00B86F67">
      <w:pPr>
        <w:pStyle w:val="Prrafodelista"/>
        <w:rPr>
          <w:rFonts w:ascii="Verdana" w:hAnsi="Verdana"/>
          <w:sz w:val="20"/>
          <w:szCs w:val="20"/>
          <w:lang w:val="es-ES_tradnl"/>
        </w:rPr>
      </w:pPr>
    </w:p>
    <w:p w14:paraId="1DACF38B" w14:textId="04E151BD"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cs="Verdana"/>
          <w:color w:val="000000"/>
          <w:sz w:val="20"/>
          <w:szCs w:val="20"/>
          <w:lang w:val="es-ES_tradnl"/>
        </w:rPr>
      </w:pPr>
      <w:r w:rsidRPr="001D3520">
        <w:rPr>
          <w:rFonts w:ascii="Verdana" w:eastAsia="Verdana" w:hAnsi="Verdana" w:cs="Verdana"/>
          <w:sz w:val="20"/>
          <w:szCs w:val="20"/>
          <w:lang w:val="es-ES_tradnl"/>
        </w:rPr>
        <w:t xml:space="preserve">Esta Corte considera que se configura el requisito previsto </w:t>
      </w:r>
      <w:r w:rsidRPr="001D3520">
        <w:rPr>
          <w:rFonts w:ascii="Verdana" w:eastAsia="Calibri" w:hAnsi="Verdana" w:cs="Verdana"/>
          <w:color w:val="000000"/>
          <w:sz w:val="20"/>
          <w:szCs w:val="20"/>
          <w:lang w:val="es-ES_tradnl"/>
        </w:rPr>
        <w:t xml:space="preserve">en el artículo 27.3 del Reglamento de la Corte </w:t>
      </w:r>
      <w:r w:rsidRPr="001D3520">
        <w:rPr>
          <w:rFonts w:ascii="Verdana" w:eastAsia="Verdana" w:hAnsi="Verdana" w:cs="Verdana"/>
          <w:sz w:val="20"/>
          <w:szCs w:val="20"/>
          <w:lang w:val="es-ES_tradnl"/>
        </w:rPr>
        <w:t xml:space="preserve">relativo a que la solicitud de las medidas provisionales tenga relación con el caso, ya que se </w:t>
      </w:r>
      <w:r w:rsidR="00337B10" w:rsidRPr="001D3520">
        <w:rPr>
          <w:rFonts w:ascii="Verdana" w:eastAsia="Verdana" w:hAnsi="Verdana" w:cs="Verdana"/>
          <w:sz w:val="20"/>
          <w:szCs w:val="20"/>
          <w:lang w:val="es-ES_tradnl"/>
        </w:rPr>
        <w:t>estaría</w:t>
      </w:r>
      <w:r w:rsidRPr="001D3520">
        <w:rPr>
          <w:rFonts w:ascii="Verdana" w:eastAsia="Verdana" w:hAnsi="Verdana" w:cs="Verdana"/>
          <w:sz w:val="20"/>
          <w:szCs w:val="20"/>
          <w:lang w:val="es-ES_tradnl"/>
        </w:rPr>
        <w:t xml:space="preserve"> afectando directamente a miembros de esas dos comunidades y sus representantes. </w:t>
      </w:r>
    </w:p>
    <w:p w14:paraId="75F3C132" w14:textId="77777777" w:rsidR="00EA4A43" w:rsidRPr="001D3520" w:rsidRDefault="00EA4A43" w:rsidP="00262A16">
      <w:pPr>
        <w:pStyle w:val="Prrafodelista"/>
        <w:suppressLineNumbers/>
        <w:tabs>
          <w:tab w:val="left" w:pos="0"/>
        </w:tabs>
        <w:spacing w:line="240" w:lineRule="auto"/>
        <w:ind w:left="0"/>
        <w:jc w:val="both"/>
        <w:rPr>
          <w:rFonts w:ascii="Verdana" w:hAnsi="Verdana" w:cs="Verdana"/>
          <w:color w:val="000000"/>
          <w:sz w:val="20"/>
          <w:szCs w:val="20"/>
          <w:lang w:val="es-ES_tradnl"/>
        </w:rPr>
      </w:pPr>
    </w:p>
    <w:p w14:paraId="313B1918" w14:textId="77777777"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Este Tribunal estima pertinente reiterar que, para la disposición de medidas provisionales, el artículo 63.2 de la Convención Americana exige la concurrencia de tres condiciones: i) “extrema gravedad”; </w:t>
      </w:r>
      <w:proofErr w:type="spellStart"/>
      <w:r w:rsidRPr="001D3520">
        <w:rPr>
          <w:rFonts w:ascii="Verdana" w:hAnsi="Verdana"/>
          <w:sz w:val="20"/>
          <w:szCs w:val="20"/>
          <w:lang w:val="es-ES_tradnl"/>
        </w:rPr>
        <w:t>ii</w:t>
      </w:r>
      <w:proofErr w:type="spellEnd"/>
      <w:r w:rsidRPr="001D3520">
        <w:rPr>
          <w:rFonts w:ascii="Verdana" w:hAnsi="Verdana"/>
          <w:sz w:val="20"/>
          <w:szCs w:val="20"/>
          <w:lang w:val="es-ES_tradnl"/>
        </w:rPr>
        <w:t xml:space="preserve">) “urgencia”, y </w:t>
      </w:r>
      <w:proofErr w:type="spellStart"/>
      <w:r w:rsidRPr="001D3520">
        <w:rPr>
          <w:rFonts w:ascii="Verdana" w:hAnsi="Verdana"/>
          <w:sz w:val="20"/>
          <w:szCs w:val="20"/>
          <w:lang w:val="es-ES_tradnl"/>
        </w:rPr>
        <w:t>iii</w:t>
      </w:r>
      <w:proofErr w:type="spellEnd"/>
      <w:r w:rsidRPr="001D3520">
        <w:rPr>
          <w:rFonts w:ascii="Verdana" w:hAnsi="Verdana"/>
          <w:sz w:val="20"/>
          <w:szCs w:val="20"/>
          <w:lang w:val="es-ES_tradnl"/>
        </w:rPr>
        <w:t>) que se trate de “evitar daños irreparables” a las personas. Estas tres condiciones son coexistentes y deben estar presentes en toda situación en la que se solicite la intervención del Tribunal a través de una medida provisional</w:t>
      </w:r>
      <w:r w:rsidRPr="001D3520">
        <w:rPr>
          <w:rStyle w:val="Refdenotaalpie"/>
          <w:szCs w:val="20"/>
          <w:lang w:val="es-ES_tradnl"/>
        </w:rPr>
        <w:footnoteReference w:id="11"/>
      </w:r>
      <w:r w:rsidRPr="001D3520">
        <w:rPr>
          <w:rFonts w:ascii="Verdana" w:hAnsi="Verdana"/>
          <w:sz w:val="20"/>
          <w:szCs w:val="20"/>
          <w:lang w:val="es-ES_tradnl"/>
        </w:rPr>
        <w:t xml:space="preserve">. Conforme a la Convención y al Reglamento, la carga procesal de demostrar </w:t>
      </w:r>
      <w:r w:rsidRPr="001D3520">
        <w:rPr>
          <w:rFonts w:ascii="Verdana" w:hAnsi="Verdana"/>
          <w:i/>
          <w:sz w:val="20"/>
          <w:szCs w:val="20"/>
          <w:lang w:val="es-ES_tradnl"/>
        </w:rPr>
        <w:t>prima facie</w:t>
      </w:r>
      <w:r w:rsidRPr="001D3520">
        <w:rPr>
          <w:rFonts w:ascii="Verdana" w:hAnsi="Verdana"/>
          <w:sz w:val="20"/>
          <w:szCs w:val="20"/>
          <w:lang w:val="es-ES_tradnl"/>
        </w:rPr>
        <w:t xml:space="preserve"> dichos requisitos recae en el solicitante</w:t>
      </w:r>
      <w:r w:rsidRPr="001D3520">
        <w:rPr>
          <w:rFonts w:ascii="Verdana" w:hAnsi="Verdana"/>
          <w:sz w:val="20"/>
          <w:szCs w:val="20"/>
          <w:vertAlign w:val="superscript"/>
          <w:lang w:val="es-ES_tradnl"/>
        </w:rPr>
        <w:footnoteReference w:id="12"/>
      </w:r>
      <w:r w:rsidRPr="001D3520">
        <w:rPr>
          <w:rFonts w:ascii="Verdana" w:hAnsi="Verdana"/>
          <w:sz w:val="20"/>
          <w:szCs w:val="20"/>
          <w:lang w:val="es-ES_tradnl"/>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1D3520">
        <w:rPr>
          <w:rFonts w:ascii="Verdana" w:hAnsi="Verdana"/>
          <w:sz w:val="20"/>
          <w:szCs w:val="20"/>
          <w:vertAlign w:val="superscript"/>
          <w:lang w:val="es-ES_tradnl"/>
        </w:rPr>
        <w:footnoteReference w:id="13"/>
      </w:r>
      <w:r w:rsidRPr="001D3520">
        <w:rPr>
          <w:rFonts w:ascii="Verdana" w:hAnsi="Verdana"/>
          <w:sz w:val="20"/>
          <w:szCs w:val="20"/>
          <w:lang w:val="es-ES_tradnl"/>
        </w:rPr>
        <w:t xml:space="preserve">. </w:t>
      </w:r>
    </w:p>
    <w:p w14:paraId="12B9149B" w14:textId="433E77E6" w:rsidR="00B86F67" w:rsidRPr="001D3520" w:rsidRDefault="00B86F67" w:rsidP="00B86F67">
      <w:pPr>
        <w:pStyle w:val="Prrafodelista"/>
        <w:suppressLineNumbers/>
        <w:tabs>
          <w:tab w:val="left" w:pos="0"/>
        </w:tabs>
        <w:spacing w:line="240" w:lineRule="auto"/>
        <w:ind w:left="0"/>
        <w:jc w:val="both"/>
        <w:rPr>
          <w:rFonts w:ascii="Verdana" w:hAnsi="Verdana"/>
          <w:sz w:val="20"/>
          <w:szCs w:val="20"/>
          <w:lang w:val="es-ES_tradnl"/>
        </w:rPr>
      </w:pPr>
    </w:p>
    <w:p w14:paraId="706C94ED" w14:textId="3C975907"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En este caso, la Corte estima que se configuran condiciones que ameritan proceder a examinar si se cumplen los requisitos para la adopción de medidas provisionales al constatar que se trata de alegados hechos relativos a presuntas desapariciones forzadas de cuatro personas </w:t>
      </w:r>
      <w:r w:rsidR="00C439C8" w:rsidRPr="001D3520">
        <w:rPr>
          <w:rFonts w:ascii="Verdana" w:hAnsi="Verdana"/>
          <w:sz w:val="20"/>
          <w:szCs w:val="20"/>
          <w:lang w:val="es-ES_tradnl"/>
        </w:rPr>
        <w:t>pertenecientes</w:t>
      </w:r>
      <w:r w:rsidRPr="001D3520">
        <w:rPr>
          <w:rFonts w:ascii="Verdana" w:hAnsi="Verdana"/>
          <w:sz w:val="20"/>
          <w:szCs w:val="20"/>
          <w:lang w:val="es-ES_tradnl"/>
        </w:rPr>
        <w:t xml:space="preserve"> a la Comunidad Garífuna Triunfo de la Cruz y a la vida e integridad personal de </w:t>
      </w:r>
      <w:r w:rsidR="002F668E">
        <w:rPr>
          <w:rFonts w:ascii="Verdana" w:hAnsi="Verdana"/>
          <w:sz w:val="20"/>
          <w:szCs w:val="20"/>
          <w:lang w:val="es-ES_tradnl"/>
        </w:rPr>
        <w:t>líderes</w:t>
      </w:r>
      <w:r w:rsidRPr="001D3520">
        <w:rPr>
          <w:rFonts w:ascii="Verdana" w:hAnsi="Verdana"/>
          <w:sz w:val="20"/>
          <w:szCs w:val="20"/>
          <w:lang w:val="es-ES_tradnl"/>
        </w:rPr>
        <w:t xml:space="preserve"> </w:t>
      </w:r>
      <w:r w:rsidR="002F668E">
        <w:rPr>
          <w:rFonts w:ascii="Verdana" w:hAnsi="Verdana"/>
          <w:sz w:val="20"/>
          <w:szCs w:val="20"/>
          <w:lang w:val="es-ES_tradnl"/>
        </w:rPr>
        <w:t xml:space="preserve">y dirigentes comunitarios </w:t>
      </w:r>
      <w:r w:rsidRPr="001D3520">
        <w:rPr>
          <w:rFonts w:ascii="Verdana" w:hAnsi="Verdana"/>
          <w:sz w:val="20"/>
          <w:szCs w:val="20"/>
          <w:lang w:val="es-ES_tradnl"/>
        </w:rPr>
        <w:t>de las Comunidades Garífunas Triunfo de la Cruz y de Punta Piedra.</w:t>
      </w:r>
    </w:p>
    <w:p w14:paraId="7720745C" w14:textId="77777777" w:rsidR="00B86F67" w:rsidRPr="001D3520" w:rsidRDefault="00B86F67" w:rsidP="00B86F67">
      <w:pPr>
        <w:pStyle w:val="Prrafodelista"/>
        <w:rPr>
          <w:rFonts w:ascii="Verdana" w:hAnsi="Verdana"/>
          <w:sz w:val="20"/>
          <w:szCs w:val="20"/>
          <w:lang w:val="es-ES_tradnl"/>
        </w:rPr>
      </w:pPr>
    </w:p>
    <w:p w14:paraId="058A8594" w14:textId="3BFF1D25" w:rsidR="00B86F67" w:rsidRPr="001D3520" w:rsidRDefault="00B86F67" w:rsidP="00B86F67">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 xml:space="preserve">En primer lugar, con respecto a los integrantes de la Comunidad Garífuna de Triunfo de la Cruz, de la información presentada por los representantes y por el Estado, se desprende que Milton Joel Martínez Álvarez, </w:t>
      </w:r>
      <w:proofErr w:type="spellStart"/>
      <w:r w:rsidRPr="001D3520">
        <w:rPr>
          <w:rFonts w:ascii="Verdana" w:hAnsi="Verdana"/>
          <w:sz w:val="20"/>
          <w:szCs w:val="20"/>
          <w:lang w:val="es-ES_tradnl"/>
        </w:rPr>
        <w:t>Suami</w:t>
      </w:r>
      <w:proofErr w:type="spellEnd"/>
      <w:r w:rsidRPr="001D3520">
        <w:rPr>
          <w:rFonts w:ascii="Verdana" w:hAnsi="Verdana"/>
          <w:sz w:val="20"/>
          <w:szCs w:val="20"/>
          <w:lang w:val="es-ES_tradnl"/>
        </w:rPr>
        <w:t xml:space="preserve"> Aparicio Mejía García, Gerardo Misael Trochez Calix, y Alberth </w:t>
      </w:r>
      <w:proofErr w:type="spellStart"/>
      <w:r w:rsidRPr="001D3520">
        <w:rPr>
          <w:rFonts w:ascii="Verdana" w:hAnsi="Verdana"/>
          <w:sz w:val="20"/>
          <w:szCs w:val="20"/>
          <w:lang w:val="es-ES_tradnl"/>
        </w:rPr>
        <w:t>Sneider</w:t>
      </w:r>
      <w:proofErr w:type="spellEnd"/>
      <w:r w:rsidRPr="001D3520">
        <w:rPr>
          <w:rFonts w:ascii="Verdana" w:hAnsi="Verdana"/>
          <w:sz w:val="20"/>
          <w:szCs w:val="20"/>
          <w:lang w:val="es-ES_tradnl"/>
        </w:rPr>
        <w:t xml:space="preserve"> Centeno, se encuentran desaparecidos desde el 18 de julio de 2020 luego de haber sido </w:t>
      </w:r>
      <w:r w:rsidR="0062671F" w:rsidRPr="001D3520">
        <w:rPr>
          <w:rFonts w:ascii="Verdana" w:hAnsi="Verdana"/>
          <w:sz w:val="20"/>
          <w:szCs w:val="20"/>
          <w:lang w:val="es-ES_tradnl"/>
        </w:rPr>
        <w:t>sustraídos</w:t>
      </w:r>
      <w:r w:rsidRPr="001D3520">
        <w:rPr>
          <w:rFonts w:ascii="Verdana" w:hAnsi="Verdana"/>
          <w:sz w:val="20"/>
          <w:szCs w:val="20"/>
          <w:lang w:val="es-ES_tradnl"/>
        </w:rPr>
        <w:t xml:space="preserve"> de sus casas por personas fuertemente armadas, que se desplazaban en vehículos durante la restricción </w:t>
      </w:r>
      <w:r w:rsidR="0062671F" w:rsidRPr="001D3520">
        <w:rPr>
          <w:rFonts w:ascii="Verdana" w:hAnsi="Verdana"/>
          <w:sz w:val="20"/>
          <w:szCs w:val="20"/>
          <w:lang w:val="es-ES_tradnl"/>
        </w:rPr>
        <w:t>vehicular</w:t>
      </w:r>
      <w:r w:rsidRPr="001D3520">
        <w:rPr>
          <w:rFonts w:ascii="Verdana" w:hAnsi="Verdana"/>
          <w:sz w:val="20"/>
          <w:szCs w:val="20"/>
          <w:lang w:val="es-ES_tradnl"/>
        </w:rPr>
        <w:t xml:space="preserve"> debido a las medidas tomadas contra la pandemia, y con chalecos blindados que portaban las siglas de la Dirección Policial de Investigaciones (</w:t>
      </w:r>
      <w:r w:rsidRPr="001D3520">
        <w:rPr>
          <w:rFonts w:ascii="Verdana" w:hAnsi="Verdana"/>
          <w:i/>
          <w:iCs/>
          <w:sz w:val="20"/>
          <w:szCs w:val="20"/>
          <w:lang w:val="es-ES_tradnl"/>
        </w:rPr>
        <w:t>supra</w:t>
      </w:r>
      <w:r w:rsidRPr="001D3520">
        <w:rPr>
          <w:rFonts w:ascii="Verdana" w:hAnsi="Verdana"/>
          <w:sz w:val="20"/>
          <w:szCs w:val="20"/>
          <w:lang w:val="es-ES_tradnl"/>
        </w:rPr>
        <w:t xml:space="preserve"> </w:t>
      </w:r>
      <w:r w:rsidRPr="001D3520">
        <w:rPr>
          <w:rFonts w:ascii="Verdana" w:hAnsi="Verdana" w:cs="Verdana"/>
          <w:sz w:val="20"/>
          <w:szCs w:val="20"/>
          <w:lang w:val="es-ES_tradnl"/>
        </w:rPr>
        <w:t>Considerando</w:t>
      </w:r>
      <w:r w:rsidRPr="001D3520">
        <w:rPr>
          <w:rFonts w:ascii="Verdana" w:hAnsi="Verdana"/>
          <w:sz w:val="20"/>
          <w:szCs w:val="20"/>
          <w:lang w:val="es-ES_tradnl"/>
        </w:rPr>
        <w:t xml:space="preserve"> </w:t>
      </w:r>
      <w:r w:rsidR="00AF22FF" w:rsidRPr="001D3520">
        <w:rPr>
          <w:rFonts w:ascii="Verdana" w:hAnsi="Verdana"/>
          <w:sz w:val="20"/>
          <w:szCs w:val="20"/>
          <w:lang w:val="es-ES_tradnl"/>
        </w:rPr>
        <w:t>8.a</w:t>
      </w:r>
      <w:r w:rsidRPr="001D3520">
        <w:rPr>
          <w:rFonts w:ascii="Verdana" w:hAnsi="Verdana"/>
          <w:sz w:val="20"/>
          <w:szCs w:val="20"/>
          <w:lang w:val="es-ES_tradnl"/>
        </w:rPr>
        <w:t xml:space="preserve">). </w:t>
      </w:r>
      <w:r w:rsidRPr="001D3520">
        <w:rPr>
          <w:rFonts w:ascii="Verdana" w:hAnsi="Verdana"/>
          <w:sz w:val="20"/>
          <w:lang w:val="es-ES_tradnl"/>
        </w:rPr>
        <w:t xml:space="preserve">Hasta el momento, se sigue sin tener noticias del paradero de esas cuatro personas. </w:t>
      </w:r>
    </w:p>
    <w:p w14:paraId="1FBCB320" w14:textId="77777777" w:rsidR="00B86F67" w:rsidRPr="001D3520" w:rsidRDefault="00B86F67" w:rsidP="00B86F67">
      <w:pPr>
        <w:pStyle w:val="Prrafodelista"/>
        <w:rPr>
          <w:rFonts w:ascii="Verdana" w:hAnsi="Verdana"/>
          <w:sz w:val="20"/>
          <w:szCs w:val="20"/>
          <w:lang w:val="es-ES_tradnl"/>
        </w:rPr>
      </w:pPr>
    </w:p>
    <w:p w14:paraId="18BC2B75" w14:textId="153F38D6" w:rsidR="00AF22FF" w:rsidRPr="001D3520" w:rsidRDefault="00AF22FF" w:rsidP="00AF22FF">
      <w:pPr>
        <w:pStyle w:val="Prrafodelista"/>
        <w:numPr>
          <w:ilvl w:val="0"/>
          <w:numId w:val="2"/>
        </w:numPr>
        <w:suppressLineNumbers/>
        <w:tabs>
          <w:tab w:val="left" w:pos="0"/>
        </w:tabs>
        <w:spacing w:line="240" w:lineRule="auto"/>
        <w:ind w:left="0" w:firstLine="0"/>
        <w:jc w:val="both"/>
        <w:rPr>
          <w:rFonts w:ascii="Verdana" w:hAnsi="Verdana"/>
          <w:sz w:val="20"/>
          <w:lang w:val="es-ES_tradnl"/>
        </w:rPr>
      </w:pPr>
      <w:r w:rsidRPr="001D3520">
        <w:rPr>
          <w:rFonts w:ascii="Verdana" w:hAnsi="Verdana"/>
          <w:sz w:val="20"/>
          <w:szCs w:val="20"/>
          <w:lang w:val="es-ES_tradnl"/>
        </w:rPr>
        <w:t xml:space="preserve">El Estado no controvirtió dicha información, </w:t>
      </w:r>
      <w:r w:rsidR="00C439C8" w:rsidRPr="001D3520">
        <w:rPr>
          <w:rFonts w:ascii="Verdana" w:hAnsi="Verdana"/>
          <w:sz w:val="20"/>
          <w:szCs w:val="20"/>
          <w:lang w:val="es-ES_tradnl"/>
        </w:rPr>
        <w:t>únicamente</w:t>
      </w:r>
      <w:r w:rsidRPr="001D3520">
        <w:rPr>
          <w:rFonts w:ascii="Verdana" w:hAnsi="Verdana"/>
          <w:sz w:val="20"/>
          <w:szCs w:val="20"/>
          <w:lang w:val="es-ES_tradnl"/>
        </w:rPr>
        <w:t xml:space="preserve"> mencionó que ponía en duda la verdadera identidad de los secuestradores</w:t>
      </w:r>
      <w:r w:rsidR="00B35EB8">
        <w:rPr>
          <w:rFonts w:ascii="Verdana" w:hAnsi="Verdana"/>
          <w:sz w:val="20"/>
          <w:szCs w:val="20"/>
          <w:lang w:val="es-ES_tradnl"/>
        </w:rPr>
        <w:t>, pues</w:t>
      </w:r>
      <w:r w:rsidRPr="001D3520">
        <w:rPr>
          <w:rFonts w:ascii="Verdana" w:hAnsi="Verdana"/>
          <w:sz w:val="20"/>
          <w:szCs w:val="20"/>
          <w:lang w:val="es-ES_tradnl"/>
        </w:rPr>
        <w:t xml:space="preserve"> podrían haber utilizado indumentaria utilizada por la Dirección Policial de Investigaciones, y que aún se encuentra investigando esos hechos. Asimismo, el Estado aportó información sobre un análisis de riesgo que se efectuó el 20 de marzo de 2020 a </w:t>
      </w:r>
      <w:r w:rsidRPr="001D3520">
        <w:rPr>
          <w:rFonts w:ascii="Verdana" w:hAnsi="Verdana" w:cs="Verdana"/>
          <w:color w:val="000000"/>
          <w:sz w:val="20"/>
          <w:szCs w:val="20"/>
          <w:lang w:val="es-ES_tradnl"/>
        </w:rPr>
        <w:t xml:space="preserve">Alberth </w:t>
      </w:r>
      <w:proofErr w:type="spellStart"/>
      <w:r w:rsidRPr="001D3520">
        <w:rPr>
          <w:rFonts w:ascii="Verdana" w:hAnsi="Verdana" w:cs="Verdana"/>
          <w:color w:val="000000"/>
          <w:sz w:val="20"/>
          <w:szCs w:val="20"/>
          <w:lang w:val="es-ES_tradnl"/>
        </w:rPr>
        <w:t>Sneider</w:t>
      </w:r>
      <w:proofErr w:type="spellEnd"/>
      <w:r w:rsidRPr="001D3520">
        <w:rPr>
          <w:rFonts w:ascii="Verdana" w:hAnsi="Verdana" w:cs="Verdana"/>
          <w:color w:val="000000"/>
          <w:sz w:val="20"/>
          <w:szCs w:val="20"/>
          <w:lang w:val="es-ES_tradnl"/>
        </w:rPr>
        <w:t xml:space="preserve"> Centeno que di</w:t>
      </w:r>
      <w:r w:rsidRPr="001D3520">
        <w:rPr>
          <w:rFonts w:ascii="Verdana" w:hAnsi="Verdana"/>
          <w:sz w:val="20"/>
          <w:szCs w:val="20"/>
          <w:lang w:val="es-ES_tradnl"/>
        </w:rPr>
        <w:t>o como resultado un riesgo grave. Además, el Estado reconoció que no se habían implementado medidas de protección a favor de los integrantes de esa Comunidad e indicó que, en vista del contexto, se ha determinado tener acercamientos con líderes garífunas y se tiene previsto iniciar acciones preventivas, mediante un trabajo integral con los defensores de las comunidades garífunas y el equipo de Prevención y Análisis de Contexto de la DGSP, con la finalidad de tratar los riesgos estructurales a los que se puedan ver expuestos.</w:t>
      </w:r>
    </w:p>
    <w:p w14:paraId="540F1FE5" w14:textId="77777777" w:rsidR="00AF22FF" w:rsidRPr="001D3520" w:rsidRDefault="00AF22FF" w:rsidP="00AF22FF">
      <w:pPr>
        <w:pStyle w:val="Prrafodelista"/>
        <w:rPr>
          <w:rFonts w:ascii="Verdana" w:hAnsi="Verdana"/>
          <w:sz w:val="20"/>
          <w:szCs w:val="20"/>
          <w:lang w:val="es-ES_tradnl"/>
        </w:rPr>
      </w:pPr>
    </w:p>
    <w:p w14:paraId="4056C76D" w14:textId="1EE75B92" w:rsidR="00AF22FF" w:rsidRPr="001D3520" w:rsidRDefault="00AF22FF" w:rsidP="00AF22FF">
      <w:pPr>
        <w:pStyle w:val="Prrafodelista"/>
        <w:numPr>
          <w:ilvl w:val="0"/>
          <w:numId w:val="2"/>
        </w:numPr>
        <w:suppressLineNumbers/>
        <w:tabs>
          <w:tab w:val="left" w:pos="0"/>
        </w:tabs>
        <w:spacing w:line="240" w:lineRule="auto"/>
        <w:ind w:left="0" w:firstLine="0"/>
        <w:jc w:val="both"/>
        <w:rPr>
          <w:rFonts w:ascii="Verdana" w:hAnsi="Verdana"/>
          <w:sz w:val="20"/>
          <w:szCs w:val="20"/>
          <w:lang w:val="es-ES_tradnl"/>
        </w:rPr>
      </w:pPr>
      <w:r w:rsidRPr="001D3520">
        <w:rPr>
          <w:rFonts w:ascii="Verdana" w:hAnsi="Verdana"/>
          <w:sz w:val="20"/>
          <w:szCs w:val="20"/>
          <w:lang w:val="es-ES_tradnl"/>
        </w:rPr>
        <w:t>A su vez, de acuerdo a la información reciente aportada por el Estado en la cual se reportan algunas diligencias de investigaciones que fueron desplegadas, (</w:t>
      </w:r>
      <w:r w:rsidRPr="001D3520">
        <w:rPr>
          <w:rFonts w:ascii="Verdana" w:hAnsi="Verdana"/>
          <w:i/>
          <w:iCs/>
          <w:sz w:val="20"/>
          <w:szCs w:val="20"/>
          <w:lang w:val="es-ES_tradnl"/>
        </w:rPr>
        <w:t>supra</w:t>
      </w:r>
      <w:r w:rsidRPr="001D3520">
        <w:rPr>
          <w:rFonts w:ascii="Verdana" w:hAnsi="Verdana"/>
          <w:sz w:val="20"/>
          <w:szCs w:val="20"/>
          <w:lang w:val="es-ES_tradnl"/>
        </w:rPr>
        <w:t xml:space="preserve"> Considerando </w:t>
      </w:r>
      <w:r w:rsidR="0088376F">
        <w:rPr>
          <w:rFonts w:ascii="Verdana" w:hAnsi="Verdana"/>
          <w:sz w:val="20"/>
          <w:szCs w:val="20"/>
          <w:lang w:val="es-ES_tradnl"/>
        </w:rPr>
        <w:t>18</w:t>
      </w:r>
      <w:r w:rsidRPr="001D3520">
        <w:rPr>
          <w:rFonts w:ascii="Verdana" w:hAnsi="Verdana"/>
          <w:sz w:val="20"/>
          <w:szCs w:val="20"/>
          <w:lang w:val="es-ES_tradnl"/>
        </w:rPr>
        <w:t xml:space="preserve">), no consta que se pudiera determinar el paradero de esas personas, por el contrario, queda en claro que esas cuatro personas </w:t>
      </w:r>
      <w:r w:rsidR="001D3520" w:rsidRPr="001D3520">
        <w:rPr>
          <w:rFonts w:ascii="Verdana" w:hAnsi="Verdana"/>
          <w:sz w:val="20"/>
          <w:szCs w:val="20"/>
          <w:lang w:val="es-ES_tradnl"/>
        </w:rPr>
        <w:t>continúan</w:t>
      </w:r>
      <w:r w:rsidRPr="001D3520">
        <w:rPr>
          <w:rFonts w:ascii="Verdana" w:hAnsi="Verdana"/>
          <w:sz w:val="20"/>
          <w:szCs w:val="20"/>
          <w:lang w:val="es-ES_tradnl"/>
        </w:rPr>
        <w:t xml:space="preserve"> desaparecidas</w:t>
      </w:r>
      <w:r w:rsidR="001D3520" w:rsidRPr="001D3520">
        <w:rPr>
          <w:rFonts w:ascii="Verdana" w:hAnsi="Verdana"/>
          <w:sz w:val="20"/>
          <w:szCs w:val="20"/>
          <w:lang w:val="es-ES_tradnl"/>
        </w:rPr>
        <w:t>.</w:t>
      </w:r>
    </w:p>
    <w:p w14:paraId="11AE80B4" w14:textId="77777777" w:rsidR="00AF22FF" w:rsidRPr="001D3520" w:rsidRDefault="00AF22FF" w:rsidP="00AF22FF">
      <w:pPr>
        <w:pStyle w:val="Prrafodelista"/>
        <w:rPr>
          <w:rFonts w:ascii="Verdana" w:hAnsi="Verdana"/>
          <w:sz w:val="20"/>
          <w:szCs w:val="20"/>
          <w:lang w:val="es-ES_tradnl"/>
        </w:rPr>
      </w:pPr>
    </w:p>
    <w:p w14:paraId="3AA001F9" w14:textId="6EB213A8" w:rsidR="001D3520" w:rsidRDefault="00AF22FF" w:rsidP="00AF22FF">
      <w:pPr>
        <w:pStyle w:val="Prrafodelista"/>
        <w:numPr>
          <w:ilvl w:val="0"/>
          <w:numId w:val="2"/>
        </w:numPr>
        <w:suppressLineNumbers/>
        <w:tabs>
          <w:tab w:val="left" w:pos="0"/>
        </w:tabs>
        <w:spacing w:line="240" w:lineRule="auto"/>
        <w:ind w:left="0" w:firstLine="0"/>
        <w:jc w:val="both"/>
        <w:rPr>
          <w:rFonts w:ascii="Verdana" w:hAnsi="Verdana"/>
          <w:sz w:val="20"/>
          <w:lang w:val="es-ES_tradnl"/>
        </w:rPr>
      </w:pPr>
      <w:r w:rsidRPr="001D3520">
        <w:rPr>
          <w:rFonts w:ascii="Verdana" w:eastAsia="MS Mincho" w:hAnsi="Verdana"/>
          <w:sz w:val="20"/>
          <w:szCs w:val="20"/>
          <w:lang w:val="es-ES_tradnl"/>
        </w:rPr>
        <w:t>De acu</w:t>
      </w:r>
      <w:r w:rsidR="001D3520" w:rsidRPr="001D3520">
        <w:rPr>
          <w:rFonts w:ascii="Verdana" w:eastAsia="MS Mincho" w:hAnsi="Verdana"/>
          <w:sz w:val="20"/>
          <w:szCs w:val="20"/>
          <w:lang w:val="es-ES_tradnl"/>
        </w:rPr>
        <w:t>e</w:t>
      </w:r>
      <w:r w:rsidRPr="001D3520">
        <w:rPr>
          <w:rFonts w:ascii="Verdana" w:eastAsia="MS Mincho" w:hAnsi="Verdana"/>
          <w:sz w:val="20"/>
          <w:szCs w:val="20"/>
          <w:lang w:val="es-ES_tradnl"/>
        </w:rPr>
        <w:t xml:space="preserve">rdo con lo anterior, este Tribunal constata que los hechos reportados por los representantes son recientes, involucran posibles desapariciones forzadas de personas, las cuales se </w:t>
      </w:r>
      <w:r w:rsidR="001D3520" w:rsidRPr="001D3520">
        <w:rPr>
          <w:rFonts w:ascii="Verdana" w:eastAsia="MS Mincho" w:hAnsi="Verdana"/>
          <w:sz w:val="20"/>
          <w:szCs w:val="20"/>
          <w:lang w:val="es-ES_tradnl"/>
        </w:rPr>
        <w:t>encontrarían</w:t>
      </w:r>
      <w:r w:rsidRPr="001D3520">
        <w:rPr>
          <w:rFonts w:ascii="Verdana" w:eastAsia="MS Mincho" w:hAnsi="Verdana"/>
          <w:sz w:val="20"/>
          <w:szCs w:val="20"/>
          <w:lang w:val="es-ES_tradnl"/>
        </w:rPr>
        <w:t xml:space="preserve"> </w:t>
      </w:r>
      <w:r w:rsidRPr="001D3520">
        <w:rPr>
          <w:rFonts w:ascii="Verdana" w:hAnsi="Verdana"/>
          <w:i/>
          <w:sz w:val="20"/>
          <w:lang w:val="es-ES_tradnl"/>
        </w:rPr>
        <w:t>prima facie</w:t>
      </w:r>
      <w:r w:rsidRPr="001D3520">
        <w:rPr>
          <w:rFonts w:ascii="Verdana" w:hAnsi="Verdana"/>
          <w:sz w:val="20"/>
          <w:lang w:val="es-ES_tradnl"/>
        </w:rPr>
        <w:t xml:space="preserve"> en una situación de extrema gravedad y urgencia, con la perspectiva de sufrir un daño irreparable, puesto que su vida, libertad personal e integridad personal estarían amenazadas. Esa situación no ha cambiado desde que </w:t>
      </w:r>
      <w:r w:rsidR="001D3520">
        <w:rPr>
          <w:rFonts w:ascii="Verdana" w:hAnsi="Verdana"/>
          <w:sz w:val="20"/>
          <w:lang w:val="es-ES_tradnl"/>
        </w:rPr>
        <w:t>la Presidencia de la Corte ordenó la adopción de</w:t>
      </w:r>
      <w:r w:rsidRPr="001D3520">
        <w:rPr>
          <w:rFonts w:ascii="Verdana" w:hAnsi="Verdana"/>
          <w:sz w:val="20"/>
          <w:lang w:val="es-ES_tradnl"/>
        </w:rPr>
        <w:t xml:space="preserve"> medidas urgentes el </w:t>
      </w:r>
      <w:r w:rsidR="001D3520">
        <w:rPr>
          <w:rFonts w:ascii="Verdana" w:hAnsi="Verdana"/>
          <w:sz w:val="20"/>
          <w:lang w:val="es-ES_tradnl"/>
        </w:rPr>
        <w:t>6 de agosto de 2020.</w:t>
      </w:r>
      <w:r w:rsidRPr="001D3520">
        <w:rPr>
          <w:rFonts w:ascii="Verdana" w:hAnsi="Verdana"/>
          <w:sz w:val="20"/>
          <w:lang w:val="es-ES_tradnl"/>
        </w:rPr>
        <w:t xml:space="preserve"> </w:t>
      </w:r>
    </w:p>
    <w:p w14:paraId="27788905" w14:textId="77777777" w:rsidR="001D3520" w:rsidRPr="001D3520" w:rsidRDefault="001D3520" w:rsidP="001D3520">
      <w:pPr>
        <w:pStyle w:val="Prrafodelista"/>
        <w:rPr>
          <w:rFonts w:ascii="Verdana" w:hAnsi="Verdana"/>
          <w:sz w:val="20"/>
          <w:lang w:val="es-ES_tradnl"/>
        </w:rPr>
      </w:pPr>
    </w:p>
    <w:p w14:paraId="5CD3E17C" w14:textId="357434AC" w:rsidR="00AF22FF" w:rsidRPr="001D3520" w:rsidRDefault="00AF22FF" w:rsidP="00AF22FF">
      <w:pPr>
        <w:pStyle w:val="Prrafodelista"/>
        <w:numPr>
          <w:ilvl w:val="0"/>
          <w:numId w:val="2"/>
        </w:numPr>
        <w:suppressLineNumbers/>
        <w:tabs>
          <w:tab w:val="left" w:pos="0"/>
        </w:tabs>
        <w:spacing w:line="240" w:lineRule="auto"/>
        <w:ind w:left="0" w:firstLine="0"/>
        <w:jc w:val="both"/>
        <w:rPr>
          <w:rFonts w:ascii="Verdana" w:hAnsi="Verdana"/>
          <w:sz w:val="20"/>
          <w:lang w:val="es-ES_tradnl"/>
        </w:rPr>
      </w:pPr>
      <w:r w:rsidRPr="001D3520">
        <w:rPr>
          <w:rFonts w:ascii="Verdana" w:hAnsi="Verdana"/>
          <w:sz w:val="20"/>
          <w:lang w:val="es-ES_tradnl"/>
        </w:rPr>
        <w:t xml:space="preserve">En consecuencia, esta </w:t>
      </w:r>
      <w:r w:rsidR="001D3520">
        <w:rPr>
          <w:rFonts w:ascii="Verdana" w:hAnsi="Verdana"/>
          <w:sz w:val="20"/>
          <w:lang w:val="es-ES_tradnl"/>
        </w:rPr>
        <w:t>Corte</w:t>
      </w:r>
      <w:r w:rsidRPr="001D3520">
        <w:rPr>
          <w:rFonts w:ascii="Verdana" w:hAnsi="Verdana"/>
          <w:sz w:val="20"/>
          <w:lang w:val="es-ES_tradnl"/>
        </w:rPr>
        <w:t xml:space="preserve"> estima </w:t>
      </w:r>
      <w:r w:rsidR="001D3520">
        <w:rPr>
          <w:rFonts w:ascii="Verdana" w:hAnsi="Verdana"/>
          <w:sz w:val="20"/>
          <w:lang w:val="es-ES_tradnl"/>
        </w:rPr>
        <w:t xml:space="preserve">procedente ratificar la Resolución de Presidencia de 6 de agosto de 2020, y ordenar la adopción de medidas provisionales para que se </w:t>
      </w:r>
      <w:r w:rsidR="007D1AE9">
        <w:rPr>
          <w:rFonts w:ascii="Verdana" w:hAnsi="Verdana"/>
          <w:sz w:val="20"/>
          <w:lang w:val="es-ES_tradnl"/>
        </w:rPr>
        <w:t xml:space="preserve">adopten </w:t>
      </w:r>
      <w:r w:rsidR="001D3520">
        <w:rPr>
          <w:rFonts w:ascii="Verdana" w:hAnsi="Verdana"/>
          <w:sz w:val="20"/>
          <w:lang w:val="es-ES_tradnl"/>
        </w:rPr>
        <w:t>las medidas de</w:t>
      </w:r>
      <w:r w:rsidRPr="001D3520">
        <w:rPr>
          <w:rFonts w:ascii="Verdana" w:hAnsi="Verdana"/>
          <w:sz w:val="20"/>
          <w:lang w:val="es-ES_tradnl"/>
        </w:rPr>
        <w:t xml:space="preserve"> protección </w:t>
      </w:r>
      <w:r w:rsidR="001D3520">
        <w:rPr>
          <w:rFonts w:ascii="Verdana" w:hAnsi="Verdana"/>
          <w:sz w:val="20"/>
          <w:lang w:val="es-ES_tradnl"/>
        </w:rPr>
        <w:t>que sean necesarias</w:t>
      </w:r>
      <w:r w:rsidRPr="001D3520">
        <w:rPr>
          <w:rFonts w:ascii="Verdana" w:hAnsi="Verdana"/>
          <w:sz w:val="20"/>
          <w:lang w:val="es-ES_tradnl"/>
        </w:rPr>
        <w:t xml:space="preserve">, </w:t>
      </w:r>
      <w:r w:rsidR="007D1AE9">
        <w:rPr>
          <w:rFonts w:ascii="Verdana" w:hAnsi="Verdana"/>
          <w:sz w:val="20"/>
          <w:lang w:val="es-ES_tradnl"/>
        </w:rPr>
        <w:t xml:space="preserve">así como </w:t>
      </w:r>
      <w:r w:rsidR="001D3520">
        <w:rPr>
          <w:rFonts w:ascii="Verdana" w:hAnsi="Verdana"/>
          <w:sz w:val="20"/>
          <w:lang w:val="es-ES_tradnl"/>
        </w:rPr>
        <w:t>para que</w:t>
      </w:r>
      <w:r w:rsidRPr="001D3520">
        <w:rPr>
          <w:rFonts w:ascii="Verdana" w:hAnsi="Verdana"/>
          <w:sz w:val="20"/>
          <w:lang w:val="es-ES_tradnl"/>
        </w:rPr>
        <w:t xml:space="preserve"> el Estado en el plazo más breve investigue y determine el paradero de Milton Joel Martínez Álvarez, </w:t>
      </w:r>
      <w:proofErr w:type="spellStart"/>
      <w:r w:rsidRPr="001D3520">
        <w:rPr>
          <w:rFonts w:ascii="Verdana" w:hAnsi="Verdana"/>
          <w:sz w:val="20"/>
          <w:lang w:val="es-ES_tradnl"/>
        </w:rPr>
        <w:t>Suami</w:t>
      </w:r>
      <w:proofErr w:type="spellEnd"/>
      <w:r w:rsidRPr="001D3520">
        <w:rPr>
          <w:rFonts w:ascii="Verdana" w:hAnsi="Verdana"/>
          <w:sz w:val="20"/>
          <w:lang w:val="es-ES_tradnl"/>
        </w:rPr>
        <w:t xml:space="preserve"> Aparicio Mejía García, Gerardo Misael Trochez Calix, y Alberth </w:t>
      </w:r>
      <w:proofErr w:type="spellStart"/>
      <w:r w:rsidRPr="001D3520">
        <w:rPr>
          <w:rFonts w:ascii="Verdana" w:hAnsi="Verdana"/>
          <w:sz w:val="20"/>
          <w:lang w:val="es-ES_tradnl"/>
        </w:rPr>
        <w:t>Sneider</w:t>
      </w:r>
      <w:proofErr w:type="spellEnd"/>
      <w:r w:rsidRPr="001D3520">
        <w:rPr>
          <w:rFonts w:ascii="Verdana" w:hAnsi="Verdana"/>
          <w:sz w:val="20"/>
          <w:lang w:val="es-ES_tradnl"/>
        </w:rPr>
        <w:t xml:space="preserve"> Centeno.</w:t>
      </w:r>
    </w:p>
    <w:p w14:paraId="7DF5D862" w14:textId="77777777" w:rsidR="00AF22FF" w:rsidRPr="001D3520" w:rsidRDefault="00AF22FF" w:rsidP="001D3520">
      <w:pPr>
        <w:pStyle w:val="Prrafodelista"/>
        <w:suppressLineNumbers/>
        <w:tabs>
          <w:tab w:val="left" w:pos="0"/>
        </w:tabs>
        <w:spacing w:line="240" w:lineRule="auto"/>
        <w:ind w:left="0"/>
        <w:jc w:val="both"/>
        <w:rPr>
          <w:rFonts w:ascii="Verdana" w:hAnsi="Verdana"/>
          <w:sz w:val="20"/>
          <w:szCs w:val="20"/>
          <w:lang w:val="es-ES_tradnl"/>
        </w:rPr>
      </w:pPr>
    </w:p>
    <w:p w14:paraId="059569E5" w14:textId="77777777" w:rsidR="00864CDC" w:rsidRDefault="00337B10" w:rsidP="001D352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E1076D">
        <w:rPr>
          <w:rFonts w:ascii="Verdana" w:hAnsi="Verdana"/>
          <w:sz w:val="20"/>
          <w:szCs w:val="20"/>
          <w:lang w:val="es-CR"/>
        </w:rPr>
        <w:t xml:space="preserve">Por otra parte, </w:t>
      </w:r>
      <w:r>
        <w:rPr>
          <w:rFonts w:ascii="Verdana" w:hAnsi="Verdana"/>
          <w:sz w:val="20"/>
          <w:szCs w:val="20"/>
          <w:lang w:val="es-CR"/>
        </w:rPr>
        <w:t>esta Corte advierte que a estos sucesos se suman otros hechos de violencia que se produjeron en más de una oportunidad y que fueron analizados en la Sentencia de la Corte Interamericana sobre la Comunidad Garífuna de Triunfo de la Cruz (</w:t>
      </w:r>
      <w:r w:rsidRPr="00E1076D">
        <w:rPr>
          <w:rFonts w:ascii="Verdana" w:hAnsi="Verdana"/>
          <w:i/>
          <w:iCs/>
          <w:sz w:val="20"/>
          <w:szCs w:val="20"/>
          <w:lang w:val="es-CR"/>
        </w:rPr>
        <w:t>supra</w:t>
      </w:r>
      <w:r>
        <w:rPr>
          <w:rFonts w:ascii="Verdana" w:hAnsi="Verdana"/>
          <w:sz w:val="20"/>
          <w:szCs w:val="20"/>
          <w:lang w:val="es-CR"/>
        </w:rPr>
        <w:t xml:space="preserve"> </w:t>
      </w:r>
      <w:r>
        <w:rPr>
          <w:rFonts w:ascii="Verdana" w:hAnsi="Verdana" w:cs="Verdana"/>
          <w:sz w:val="20"/>
          <w:szCs w:val="20"/>
          <w:lang w:val="es-CR"/>
        </w:rPr>
        <w:t>Considerando</w:t>
      </w:r>
      <w:r>
        <w:rPr>
          <w:rFonts w:ascii="Verdana" w:hAnsi="Verdana"/>
          <w:sz w:val="20"/>
          <w:szCs w:val="20"/>
          <w:lang w:val="es-CR"/>
        </w:rPr>
        <w:t xml:space="preserve"> 21)</w:t>
      </w:r>
      <w:r w:rsidRPr="00E1076D">
        <w:rPr>
          <w:rFonts w:ascii="Verdana" w:hAnsi="Verdana"/>
          <w:sz w:val="20"/>
          <w:szCs w:val="20"/>
          <w:lang w:val="es-CR"/>
        </w:rPr>
        <w:t>, los cuales podrían e</w:t>
      </w:r>
      <w:r>
        <w:rPr>
          <w:rFonts w:ascii="Verdana" w:hAnsi="Verdana"/>
          <w:sz w:val="20"/>
          <w:szCs w:val="20"/>
          <w:lang w:val="es-CR"/>
        </w:rPr>
        <w:t>n</w:t>
      </w:r>
      <w:r w:rsidRPr="00E1076D">
        <w:rPr>
          <w:rFonts w:ascii="Verdana" w:hAnsi="Verdana"/>
          <w:sz w:val="20"/>
          <w:szCs w:val="20"/>
          <w:lang w:val="es-CR"/>
        </w:rPr>
        <w:t>contrarse relacionados con su labor en defensa de los derechos humanos y la reivindicación de sus tierras, y el cumplimiento de la Sen</w:t>
      </w:r>
      <w:r>
        <w:rPr>
          <w:rFonts w:ascii="Verdana" w:hAnsi="Verdana"/>
          <w:sz w:val="20"/>
          <w:szCs w:val="20"/>
          <w:lang w:val="es-CR"/>
        </w:rPr>
        <w:t>t</w:t>
      </w:r>
      <w:r w:rsidRPr="00E1076D">
        <w:rPr>
          <w:rFonts w:ascii="Verdana" w:hAnsi="Verdana"/>
          <w:sz w:val="20"/>
          <w:szCs w:val="20"/>
          <w:lang w:val="es-CR"/>
        </w:rPr>
        <w:t>encia de la Corte en el caso de la Comunidad Garífuna Triunfo de la Cruz</w:t>
      </w:r>
      <w:r>
        <w:rPr>
          <w:rFonts w:ascii="Verdana" w:hAnsi="Verdana"/>
          <w:sz w:val="20"/>
          <w:szCs w:val="20"/>
          <w:lang w:val="es-CR"/>
        </w:rPr>
        <w:t>.</w:t>
      </w:r>
      <w:r w:rsidRPr="00E1076D">
        <w:rPr>
          <w:rFonts w:ascii="Verdana" w:hAnsi="Verdana"/>
          <w:sz w:val="20"/>
          <w:szCs w:val="20"/>
          <w:lang w:val="es-CR"/>
        </w:rPr>
        <w:t xml:space="preserve"> </w:t>
      </w:r>
    </w:p>
    <w:p w14:paraId="500C398D" w14:textId="77777777" w:rsidR="00864CDC" w:rsidRPr="00864CDC" w:rsidRDefault="00864CDC" w:rsidP="00864CDC">
      <w:pPr>
        <w:pStyle w:val="Prrafodelista"/>
        <w:rPr>
          <w:rFonts w:ascii="Verdana" w:hAnsi="Verdana"/>
          <w:sz w:val="20"/>
          <w:szCs w:val="20"/>
          <w:lang w:val="es-CR"/>
        </w:rPr>
      </w:pPr>
    </w:p>
    <w:p w14:paraId="5A8BE114" w14:textId="350A752D" w:rsidR="00337B10" w:rsidRDefault="00D861DF" w:rsidP="001D352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 xml:space="preserve">A lo anterior se suma que: a) </w:t>
      </w:r>
      <w:r w:rsidR="00864CDC">
        <w:rPr>
          <w:rFonts w:ascii="Verdana" w:hAnsi="Verdana"/>
          <w:sz w:val="20"/>
          <w:szCs w:val="20"/>
          <w:lang w:val="es-CR"/>
        </w:rPr>
        <w:t>el propio Estado se refirió a la necesidad de que se implementen acciones preventivas para que</w:t>
      </w:r>
      <w:r w:rsidR="00864CDC" w:rsidRPr="00475D2D">
        <w:rPr>
          <w:rFonts w:ascii="Verdana" w:hAnsi="Verdana"/>
          <w:sz w:val="20"/>
          <w:szCs w:val="20"/>
          <w:lang w:val="es-CR"/>
        </w:rPr>
        <w:t xml:space="preserve"> los defensores de las comunidades garífunas</w:t>
      </w:r>
      <w:r w:rsidR="00864CDC">
        <w:rPr>
          <w:rFonts w:ascii="Verdana" w:hAnsi="Verdana"/>
          <w:sz w:val="20"/>
          <w:szCs w:val="20"/>
          <w:lang w:val="es-CR"/>
        </w:rPr>
        <w:t xml:space="preserve"> que se encuentran en riesgo puedan ser beneficiarios de un esquema de </w:t>
      </w:r>
      <w:r w:rsidR="00864CDC" w:rsidRPr="005640B5">
        <w:rPr>
          <w:rFonts w:ascii="Verdana" w:hAnsi="Verdana" w:cs="Verdana"/>
          <w:color w:val="000000"/>
          <w:sz w:val="20"/>
          <w:szCs w:val="20"/>
          <w:lang w:val="es-CR"/>
        </w:rPr>
        <w:t>seguridad que permita disuadir y prevenir que se repitan hechos como los acaecidos</w:t>
      </w:r>
      <w:r w:rsidR="00864CDC">
        <w:rPr>
          <w:rFonts w:ascii="Verdana" w:hAnsi="Verdana" w:cs="Verdana"/>
          <w:color w:val="000000"/>
          <w:sz w:val="20"/>
          <w:szCs w:val="20"/>
          <w:lang w:val="es-CR"/>
        </w:rPr>
        <w:t xml:space="preserve"> (</w:t>
      </w:r>
      <w:r w:rsidR="00864CDC" w:rsidRPr="008D017C">
        <w:rPr>
          <w:rFonts w:ascii="Verdana" w:hAnsi="Verdana" w:cs="Verdana"/>
          <w:i/>
          <w:iCs/>
          <w:color w:val="000000"/>
          <w:sz w:val="20"/>
          <w:szCs w:val="20"/>
          <w:lang w:val="es-CR"/>
        </w:rPr>
        <w:t>supra</w:t>
      </w:r>
      <w:r w:rsidR="00864CDC">
        <w:rPr>
          <w:rFonts w:ascii="Verdana" w:hAnsi="Verdana" w:cs="Verdana"/>
          <w:color w:val="000000"/>
          <w:sz w:val="20"/>
          <w:szCs w:val="20"/>
          <w:lang w:val="es-CR"/>
        </w:rPr>
        <w:t xml:space="preserve"> </w:t>
      </w:r>
      <w:r w:rsidR="00864CDC">
        <w:rPr>
          <w:rFonts w:ascii="Verdana" w:hAnsi="Verdana" w:cs="Verdana"/>
          <w:sz w:val="20"/>
          <w:szCs w:val="20"/>
          <w:lang w:val="es-CR"/>
        </w:rPr>
        <w:t>Considerando</w:t>
      </w:r>
      <w:r w:rsidR="00864CDC">
        <w:rPr>
          <w:rFonts w:ascii="Verdana" w:hAnsi="Verdana" w:cs="Verdana"/>
          <w:color w:val="000000"/>
          <w:sz w:val="20"/>
          <w:szCs w:val="20"/>
          <w:lang w:val="es-CR"/>
        </w:rPr>
        <w:t xml:space="preserve"> </w:t>
      </w:r>
      <w:r w:rsidR="00CF4EE7">
        <w:rPr>
          <w:rFonts w:ascii="Verdana" w:hAnsi="Verdana" w:cs="Verdana"/>
          <w:color w:val="000000"/>
          <w:sz w:val="20"/>
          <w:szCs w:val="20"/>
          <w:lang w:val="es-CR"/>
        </w:rPr>
        <w:t>14 y nota 9</w:t>
      </w:r>
      <w:r w:rsidR="00864CDC">
        <w:rPr>
          <w:rFonts w:ascii="Verdana" w:hAnsi="Verdana" w:cs="Verdana"/>
          <w:color w:val="000000"/>
          <w:sz w:val="20"/>
          <w:szCs w:val="20"/>
          <w:lang w:val="es-CR"/>
        </w:rPr>
        <w:t>),</w:t>
      </w:r>
      <w:r w:rsidR="00864CDC">
        <w:rPr>
          <w:rFonts w:ascii="Verdana" w:hAnsi="Verdana"/>
          <w:sz w:val="20"/>
          <w:szCs w:val="20"/>
          <w:lang w:val="es-CR"/>
        </w:rPr>
        <w:t xml:space="preserve"> y </w:t>
      </w:r>
      <w:r>
        <w:rPr>
          <w:rFonts w:ascii="Verdana" w:hAnsi="Verdana"/>
          <w:sz w:val="20"/>
          <w:szCs w:val="20"/>
          <w:lang w:val="es-CR"/>
        </w:rPr>
        <w:t xml:space="preserve">b) </w:t>
      </w:r>
      <w:r w:rsidR="00864CDC">
        <w:rPr>
          <w:rFonts w:ascii="Verdana" w:hAnsi="Verdana"/>
          <w:sz w:val="20"/>
          <w:szCs w:val="20"/>
          <w:lang w:val="es-CR"/>
        </w:rPr>
        <w:t xml:space="preserve">las medidas de protección a la comunidad implementadas hasta el momento consistieron </w:t>
      </w:r>
      <w:r w:rsidR="007D1AE9">
        <w:rPr>
          <w:rFonts w:ascii="Verdana" w:hAnsi="Verdana"/>
          <w:sz w:val="20"/>
          <w:szCs w:val="20"/>
          <w:lang w:val="es-CR"/>
        </w:rPr>
        <w:t>ú</w:t>
      </w:r>
      <w:r w:rsidR="00864CDC">
        <w:rPr>
          <w:rFonts w:ascii="Verdana" w:hAnsi="Verdana"/>
          <w:sz w:val="20"/>
          <w:szCs w:val="20"/>
          <w:lang w:val="es-CR"/>
        </w:rPr>
        <w:t xml:space="preserve">nicamente en reuniones de coordinación y en la traducción y publicación en lengua garífuna de la </w:t>
      </w:r>
      <w:proofErr w:type="spellStart"/>
      <w:r w:rsidR="00864CDC">
        <w:rPr>
          <w:rFonts w:ascii="Verdana" w:hAnsi="Verdana"/>
          <w:sz w:val="20"/>
          <w:szCs w:val="20"/>
          <w:lang w:val="es-CR"/>
        </w:rPr>
        <w:t>Resolucipon</w:t>
      </w:r>
      <w:proofErr w:type="spellEnd"/>
      <w:r w:rsidR="00864CDC">
        <w:rPr>
          <w:rFonts w:ascii="Verdana" w:hAnsi="Verdana"/>
          <w:sz w:val="20"/>
          <w:szCs w:val="20"/>
          <w:lang w:val="es-CR"/>
        </w:rPr>
        <w:t xml:space="preserve"> de presi</w:t>
      </w:r>
      <w:r w:rsidR="0062671F">
        <w:rPr>
          <w:rFonts w:ascii="Verdana" w:hAnsi="Verdana"/>
          <w:sz w:val="20"/>
          <w:szCs w:val="20"/>
          <w:lang w:val="es-CR"/>
        </w:rPr>
        <w:t>d</w:t>
      </w:r>
      <w:r w:rsidR="00864CDC">
        <w:rPr>
          <w:rFonts w:ascii="Verdana" w:hAnsi="Verdana"/>
          <w:sz w:val="20"/>
          <w:szCs w:val="20"/>
          <w:lang w:val="es-CR"/>
        </w:rPr>
        <w:t>encia de 6 de agosto de 2020 (</w:t>
      </w:r>
      <w:r w:rsidR="00864CDC" w:rsidRPr="00864CDC">
        <w:rPr>
          <w:rFonts w:ascii="Verdana" w:hAnsi="Verdana"/>
          <w:i/>
          <w:iCs/>
          <w:sz w:val="20"/>
          <w:szCs w:val="20"/>
          <w:lang w:val="es-CR"/>
        </w:rPr>
        <w:t>supra</w:t>
      </w:r>
      <w:r w:rsidR="00864CDC">
        <w:rPr>
          <w:rFonts w:ascii="Verdana" w:hAnsi="Verdana"/>
          <w:sz w:val="20"/>
          <w:szCs w:val="20"/>
          <w:lang w:val="es-CR"/>
        </w:rPr>
        <w:t xml:space="preserve"> Considerando </w:t>
      </w:r>
      <w:r w:rsidR="00CF4EE7">
        <w:rPr>
          <w:rFonts w:ascii="Verdana" w:hAnsi="Verdana"/>
          <w:sz w:val="20"/>
          <w:szCs w:val="20"/>
          <w:lang w:val="es-CR"/>
        </w:rPr>
        <w:t>19</w:t>
      </w:r>
      <w:r w:rsidR="00864CDC">
        <w:rPr>
          <w:rFonts w:ascii="Verdana" w:hAnsi="Verdana"/>
          <w:sz w:val="20"/>
          <w:szCs w:val="20"/>
          <w:lang w:val="es-CR"/>
        </w:rPr>
        <w:t>)</w:t>
      </w:r>
      <w:r>
        <w:rPr>
          <w:rFonts w:ascii="Verdana" w:hAnsi="Verdana"/>
          <w:sz w:val="20"/>
          <w:szCs w:val="20"/>
          <w:lang w:val="es-CR"/>
        </w:rPr>
        <w:t xml:space="preserve">. Como consecuencia de ello, </w:t>
      </w:r>
      <w:r w:rsidR="00864CDC">
        <w:rPr>
          <w:rFonts w:ascii="Verdana" w:hAnsi="Verdana"/>
          <w:sz w:val="20"/>
          <w:szCs w:val="20"/>
          <w:lang w:val="es-CR"/>
        </w:rPr>
        <w:t xml:space="preserve">esta Corte considera que los integrantes de la Comunidad </w:t>
      </w:r>
      <w:r w:rsidR="00864CDC" w:rsidRPr="006B69B3">
        <w:rPr>
          <w:rFonts w:ascii="Verdana" w:hAnsi="Verdana"/>
          <w:sz w:val="20"/>
          <w:szCs w:val="20"/>
          <w:lang w:val="es-CR"/>
        </w:rPr>
        <w:t xml:space="preserve">que desarrollan colectivamente acciones de defensa de los derechos del pueblo Garífuna se encuentran </w:t>
      </w:r>
      <w:r w:rsidR="00864CDC" w:rsidRPr="006B69B3">
        <w:rPr>
          <w:rFonts w:ascii="Verdana" w:hAnsi="Verdana"/>
          <w:i/>
          <w:iCs/>
          <w:sz w:val="20"/>
          <w:szCs w:val="20"/>
          <w:lang w:val="es-CR"/>
        </w:rPr>
        <w:t xml:space="preserve">prima facie </w:t>
      </w:r>
      <w:r w:rsidR="00864CDC" w:rsidRPr="006B69B3">
        <w:rPr>
          <w:rFonts w:ascii="Verdana" w:hAnsi="Verdana"/>
          <w:sz w:val="20"/>
          <w:szCs w:val="20"/>
          <w:lang w:val="es-CR"/>
        </w:rPr>
        <w:t xml:space="preserve">en una situación de riesgo </w:t>
      </w:r>
      <w:r w:rsidR="00864CDC" w:rsidRPr="006B69B3">
        <w:rPr>
          <w:rFonts w:ascii="Verdana" w:hAnsi="Verdana"/>
          <w:sz w:val="20"/>
          <w:lang w:val="es-CR"/>
        </w:rPr>
        <w:t>de extrema gravedad y urgencia</w:t>
      </w:r>
      <w:r>
        <w:rPr>
          <w:rFonts w:ascii="Verdana" w:hAnsi="Verdana"/>
          <w:sz w:val="20"/>
          <w:lang w:val="es-CR"/>
        </w:rPr>
        <w:t>. Por lo tanto,</w:t>
      </w:r>
      <w:r w:rsidR="00864CDC" w:rsidRPr="006B69B3">
        <w:rPr>
          <w:rFonts w:ascii="Verdana" w:hAnsi="Verdana"/>
          <w:sz w:val="20"/>
          <w:lang w:val="es-CR"/>
        </w:rPr>
        <w:t xml:space="preserve"> </w:t>
      </w:r>
      <w:r>
        <w:rPr>
          <w:rFonts w:ascii="Verdana" w:hAnsi="Verdana"/>
          <w:sz w:val="20"/>
          <w:lang w:val="es-CR"/>
        </w:rPr>
        <w:t>el Tribunal</w:t>
      </w:r>
      <w:r w:rsidR="00864CDC" w:rsidRPr="006B69B3">
        <w:rPr>
          <w:rFonts w:ascii="Verdana" w:hAnsi="Verdana"/>
          <w:sz w:val="20"/>
          <w:lang w:val="es-CR"/>
        </w:rPr>
        <w:t xml:space="preserve"> </w:t>
      </w:r>
      <w:r w:rsidR="00864CDC">
        <w:rPr>
          <w:rFonts w:ascii="Verdana" w:hAnsi="Verdana"/>
          <w:sz w:val="20"/>
          <w:lang w:val="es-CR"/>
        </w:rPr>
        <w:t xml:space="preserve">ratifica el contenido de la Resolución de Presidencia de 6 de agosto de 2020, y </w:t>
      </w:r>
      <w:r w:rsidR="00864CDC" w:rsidRPr="006B69B3">
        <w:rPr>
          <w:rFonts w:ascii="Verdana" w:hAnsi="Verdana"/>
          <w:sz w:val="20"/>
          <w:lang w:val="es-CR"/>
        </w:rPr>
        <w:t xml:space="preserve">ordena que se </w:t>
      </w:r>
      <w:proofErr w:type="spellStart"/>
      <w:r w:rsidR="00864CDC" w:rsidRPr="006B69B3">
        <w:rPr>
          <w:rFonts w:ascii="Verdana" w:hAnsi="Verdana"/>
          <w:sz w:val="20"/>
          <w:lang w:val="es-CR"/>
        </w:rPr>
        <w:t>dispogan</w:t>
      </w:r>
      <w:proofErr w:type="spellEnd"/>
      <w:r w:rsidR="00864CDC" w:rsidRPr="006B69B3">
        <w:rPr>
          <w:rFonts w:ascii="Verdana" w:hAnsi="Verdana"/>
          <w:sz w:val="20"/>
          <w:lang w:val="es-CR"/>
        </w:rPr>
        <w:t xml:space="preserve"> medidas </w:t>
      </w:r>
      <w:r w:rsidR="00864CDC">
        <w:rPr>
          <w:rFonts w:ascii="Verdana" w:hAnsi="Verdana"/>
          <w:sz w:val="20"/>
          <w:lang w:val="es-CR"/>
        </w:rPr>
        <w:t>provisionales</w:t>
      </w:r>
      <w:r w:rsidR="00864CDC" w:rsidRPr="006B69B3">
        <w:rPr>
          <w:rFonts w:ascii="Verdana" w:hAnsi="Verdana"/>
          <w:sz w:val="20"/>
          <w:lang w:val="es-CR"/>
        </w:rPr>
        <w:t xml:space="preserve"> para proteger sus derechos a la vida e integridad.</w:t>
      </w:r>
    </w:p>
    <w:p w14:paraId="434698BA" w14:textId="77777777" w:rsidR="00337B10" w:rsidRPr="00337B10" w:rsidRDefault="00337B10" w:rsidP="00337B10">
      <w:pPr>
        <w:pStyle w:val="Prrafodelista"/>
        <w:rPr>
          <w:rFonts w:ascii="Verdana" w:hAnsi="Verdana"/>
          <w:sz w:val="20"/>
          <w:szCs w:val="20"/>
          <w:lang w:val="es-CR"/>
        </w:rPr>
      </w:pPr>
    </w:p>
    <w:p w14:paraId="3ECBE15D" w14:textId="7A321439" w:rsidR="00337B10" w:rsidRDefault="00337B10" w:rsidP="00337B1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 xml:space="preserve">En cuanto a los hechos acaecidos en la Comunidad Punta Piedra, el homicidio del líder comunal </w:t>
      </w:r>
      <w:r w:rsidRPr="008563AE">
        <w:rPr>
          <w:rFonts w:ascii="Verdana" w:hAnsi="Verdana"/>
          <w:sz w:val="20"/>
          <w:szCs w:val="20"/>
          <w:lang w:val="es-CR"/>
        </w:rPr>
        <w:t>Antonio Bernárdez</w:t>
      </w:r>
      <w:r>
        <w:rPr>
          <w:rFonts w:ascii="Verdana" w:hAnsi="Verdana"/>
          <w:sz w:val="20"/>
          <w:szCs w:val="20"/>
          <w:lang w:val="es-CR"/>
        </w:rPr>
        <w:t xml:space="preserve"> ocurrido durante el mes de junio de 2020 es reconocido por el Estado. Esta Corte constata que ese homicidio, no es un hecho aislado, y se enmarca en</w:t>
      </w:r>
      <w:r w:rsidRPr="00F838ED">
        <w:rPr>
          <w:rFonts w:ascii="Verdana" w:hAnsi="Verdana"/>
          <w:color w:val="FF0000"/>
          <w:sz w:val="20"/>
          <w:szCs w:val="20"/>
          <w:lang w:val="es-CR"/>
        </w:rPr>
        <w:t xml:space="preserve"> </w:t>
      </w:r>
      <w:r>
        <w:rPr>
          <w:rFonts w:ascii="Verdana" w:hAnsi="Verdana"/>
          <w:sz w:val="20"/>
          <w:szCs w:val="20"/>
          <w:lang w:val="es-CR"/>
        </w:rPr>
        <w:t>una serie de hechos de violencia contra integrantes de la Comunidad Garífuna de Punta Piedra que ya fueron conocidos por la Corte Interamericana en la Sentencia sobre ese caso y también en el marco de la supervisión de cumplimiento de la Sentencia en ese caso (</w:t>
      </w:r>
      <w:r w:rsidRPr="008563AE">
        <w:rPr>
          <w:rFonts w:ascii="Verdana" w:hAnsi="Verdana"/>
          <w:i/>
          <w:iCs/>
          <w:sz w:val="20"/>
          <w:szCs w:val="20"/>
          <w:lang w:val="es-CR"/>
        </w:rPr>
        <w:t>supra</w:t>
      </w:r>
      <w:r>
        <w:rPr>
          <w:rFonts w:ascii="Verdana" w:hAnsi="Verdana"/>
          <w:sz w:val="20"/>
          <w:szCs w:val="20"/>
          <w:lang w:val="es-CR"/>
        </w:rPr>
        <w:t xml:space="preserve"> </w:t>
      </w:r>
      <w:r>
        <w:rPr>
          <w:rFonts w:ascii="Verdana" w:hAnsi="Verdana" w:cs="Verdana"/>
          <w:sz w:val="20"/>
          <w:szCs w:val="20"/>
          <w:lang w:val="es-CR"/>
        </w:rPr>
        <w:t>Considerando</w:t>
      </w:r>
      <w:r>
        <w:rPr>
          <w:rFonts w:ascii="Verdana" w:hAnsi="Verdana"/>
          <w:sz w:val="20"/>
          <w:szCs w:val="20"/>
          <w:lang w:val="es-CR"/>
        </w:rPr>
        <w:t>s 8.bm 10 y 21).</w:t>
      </w:r>
    </w:p>
    <w:p w14:paraId="4BFD2396" w14:textId="77777777" w:rsidR="00337B10" w:rsidRPr="00337B10" w:rsidRDefault="00337B10" w:rsidP="00337B10">
      <w:pPr>
        <w:pStyle w:val="Prrafodelista"/>
        <w:rPr>
          <w:rFonts w:ascii="Verdana" w:hAnsi="Verdana"/>
          <w:sz w:val="20"/>
          <w:szCs w:val="20"/>
          <w:lang w:val="es-CR"/>
        </w:rPr>
      </w:pPr>
    </w:p>
    <w:p w14:paraId="26E215BF" w14:textId="096A8D85" w:rsidR="00337B10" w:rsidRDefault="00337B10" w:rsidP="00337B1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sidRPr="00AA6728">
        <w:rPr>
          <w:rFonts w:ascii="Verdana" w:hAnsi="Verdana"/>
          <w:sz w:val="20"/>
          <w:szCs w:val="20"/>
          <w:lang w:val="es-CR"/>
        </w:rPr>
        <w:t>A su vez, el Estado indicó, al igual que para el caso de la Comunidad de Triunfo de la Cr</w:t>
      </w:r>
      <w:r>
        <w:rPr>
          <w:rFonts w:ascii="Verdana" w:hAnsi="Verdana"/>
          <w:sz w:val="20"/>
          <w:szCs w:val="20"/>
          <w:lang w:val="es-CR"/>
        </w:rPr>
        <w:t>u</w:t>
      </w:r>
      <w:r w:rsidRPr="00AA6728">
        <w:rPr>
          <w:rFonts w:ascii="Verdana" w:hAnsi="Verdana"/>
          <w:sz w:val="20"/>
          <w:szCs w:val="20"/>
          <w:lang w:val="es-CR"/>
        </w:rPr>
        <w:t>z, que aún no se habían implementado medidas de protección a favor de integrantes de la Comunidad de Punta Piedra, que se encontraban en curso las investigaciones, y que estaba dispuesto a implementar las acciones preventivas para que los integrantes de esa Comunidad que estén expuestos a  una situación de riesgo, por su labor en defensa de los derechos humanos y la reivindicación de sus tierras, puedan ser ben</w:t>
      </w:r>
      <w:r>
        <w:rPr>
          <w:rFonts w:ascii="Verdana" w:hAnsi="Verdana"/>
          <w:sz w:val="20"/>
          <w:szCs w:val="20"/>
          <w:lang w:val="es-CR"/>
        </w:rPr>
        <w:t>e</w:t>
      </w:r>
      <w:r w:rsidRPr="00AA6728">
        <w:rPr>
          <w:rFonts w:ascii="Verdana" w:hAnsi="Verdana"/>
          <w:sz w:val="20"/>
          <w:szCs w:val="20"/>
          <w:lang w:val="es-CR"/>
        </w:rPr>
        <w:t>ficiarios de un esquema de protección (</w:t>
      </w:r>
      <w:r w:rsidRPr="00AA6728">
        <w:rPr>
          <w:rFonts w:ascii="Verdana" w:hAnsi="Verdana"/>
          <w:i/>
          <w:iCs/>
          <w:sz w:val="20"/>
          <w:szCs w:val="20"/>
          <w:lang w:val="es-CR"/>
        </w:rPr>
        <w:t>supra</w:t>
      </w:r>
      <w:r w:rsidRPr="00AA6728">
        <w:rPr>
          <w:rFonts w:ascii="Verdana" w:hAnsi="Verdana"/>
          <w:sz w:val="20"/>
          <w:szCs w:val="20"/>
          <w:lang w:val="es-CR"/>
        </w:rPr>
        <w:t xml:space="preserve"> </w:t>
      </w:r>
      <w:r w:rsidRPr="00AA6728">
        <w:rPr>
          <w:rFonts w:ascii="Verdana" w:hAnsi="Verdana" w:cs="Verdana"/>
          <w:sz w:val="20"/>
          <w:szCs w:val="20"/>
          <w:lang w:val="es-CR"/>
        </w:rPr>
        <w:t>Considerando</w:t>
      </w:r>
      <w:r w:rsidRPr="00AA6728">
        <w:rPr>
          <w:rFonts w:ascii="Verdana" w:hAnsi="Verdana"/>
          <w:sz w:val="20"/>
          <w:szCs w:val="20"/>
          <w:lang w:val="es-CR"/>
        </w:rPr>
        <w:t xml:space="preserve"> </w:t>
      </w:r>
      <w:r w:rsidR="00CF4EE7">
        <w:rPr>
          <w:rFonts w:ascii="Verdana" w:hAnsi="Verdana"/>
          <w:sz w:val="20"/>
          <w:szCs w:val="20"/>
          <w:lang w:val="es-CR"/>
        </w:rPr>
        <w:t>14 y nota 9</w:t>
      </w:r>
      <w:r w:rsidRPr="00AA6728">
        <w:rPr>
          <w:rFonts w:ascii="Verdana" w:hAnsi="Verdana"/>
          <w:sz w:val="20"/>
          <w:szCs w:val="20"/>
          <w:lang w:val="es-CR"/>
        </w:rPr>
        <w:t xml:space="preserve">). </w:t>
      </w:r>
    </w:p>
    <w:p w14:paraId="0D20B59B" w14:textId="77777777" w:rsidR="00337B10" w:rsidRPr="00337B10" w:rsidRDefault="00337B10" w:rsidP="00337B10">
      <w:pPr>
        <w:pStyle w:val="Prrafodelista"/>
        <w:rPr>
          <w:rFonts w:ascii="Verdana" w:hAnsi="Verdana"/>
          <w:sz w:val="20"/>
          <w:szCs w:val="20"/>
          <w:lang w:val="es-CR"/>
        </w:rPr>
      </w:pPr>
    </w:p>
    <w:p w14:paraId="12C7D2C6" w14:textId="27FBCBC0" w:rsidR="00337B10" w:rsidRDefault="00337B10" w:rsidP="00337B1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 xml:space="preserve">Con respecto a lo anterior, si bien esta </w:t>
      </w:r>
      <w:r w:rsidR="00864CDC">
        <w:rPr>
          <w:rFonts w:ascii="Verdana" w:hAnsi="Verdana"/>
          <w:sz w:val="20"/>
          <w:szCs w:val="20"/>
          <w:lang w:val="es-CR"/>
        </w:rPr>
        <w:t>Corte</w:t>
      </w:r>
      <w:r>
        <w:rPr>
          <w:rFonts w:ascii="Verdana" w:hAnsi="Verdana"/>
          <w:sz w:val="20"/>
          <w:szCs w:val="20"/>
          <w:lang w:val="es-CR"/>
        </w:rPr>
        <w:t xml:space="preserve"> entiende que el homicidio de </w:t>
      </w:r>
      <w:r w:rsidRPr="008563AE">
        <w:rPr>
          <w:rFonts w:ascii="Verdana" w:hAnsi="Verdana"/>
          <w:sz w:val="20"/>
          <w:szCs w:val="20"/>
          <w:lang w:val="es-CR"/>
        </w:rPr>
        <w:t>Antonio Bernárdez</w:t>
      </w:r>
      <w:r>
        <w:rPr>
          <w:rFonts w:ascii="Verdana" w:hAnsi="Verdana"/>
          <w:sz w:val="20"/>
          <w:szCs w:val="20"/>
          <w:lang w:val="es-CR"/>
        </w:rPr>
        <w:t xml:space="preserve"> está siendo investigado por las autoridades, también considera que el mismo se inscribe en una serie de hechos de violencia e intimidaciones que vienen teniendo lugar a lo largo de varios años contra </w:t>
      </w:r>
      <w:r w:rsidRPr="00E1076D">
        <w:rPr>
          <w:rFonts w:ascii="Verdana" w:hAnsi="Verdana"/>
          <w:sz w:val="20"/>
          <w:szCs w:val="20"/>
          <w:lang w:val="es-CR"/>
        </w:rPr>
        <w:t xml:space="preserve">líderes garífunas </w:t>
      </w:r>
      <w:r>
        <w:rPr>
          <w:rFonts w:ascii="Verdana" w:hAnsi="Verdana"/>
          <w:sz w:val="20"/>
          <w:szCs w:val="20"/>
          <w:lang w:val="es-CR"/>
        </w:rPr>
        <w:t xml:space="preserve">y otros integrantes de la Comunidad de Punta Piedra </w:t>
      </w:r>
      <w:r w:rsidRPr="006B69B3">
        <w:rPr>
          <w:rFonts w:ascii="Verdana" w:hAnsi="Verdana"/>
          <w:sz w:val="20"/>
          <w:szCs w:val="20"/>
          <w:lang w:val="es-CR"/>
        </w:rPr>
        <w:t>que desarrollan colectivamente acciones de defensa de los derechos del pueblo Garífuna</w:t>
      </w:r>
      <w:r>
        <w:rPr>
          <w:rFonts w:ascii="Verdana" w:hAnsi="Verdana"/>
          <w:sz w:val="20"/>
          <w:szCs w:val="20"/>
          <w:lang w:val="es-CR"/>
        </w:rPr>
        <w:t xml:space="preserve"> (</w:t>
      </w:r>
      <w:r w:rsidRPr="00E1076D">
        <w:rPr>
          <w:rFonts w:ascii="Verdana" w:hAnsi="Verdana"/>
          <w:i/>
          <w:iCs/>
          <w:sz w:val="20"/>
          <w:szCs w:val="20"/>
          <w:lang w:val="es-CR"/>
        </w:rPr>
        <w:t>supra</w:t>
      </w:r>
      <w:r>
        <w:rPr>
          <w:rFonts w:ascii="Verdana" w:hAnsi="Verdana"/>
          <w:sz w:val="20"/>
          <w:szCs w:val="20"/>
          <w:lang w:val="es-CR"/>
        </w:rPr>
        <w:t xml:space="preserve"> </w:t>
      </w:r>
      <w:r>
        <w:rPr>
          <w:rFonts w:ascii="Verdana" w:hAnsi="Verdana" w:cs="Verdana"/>
          <w:sz w:val="20"/>
          <w:szCs w:val="20"/>
          <w:lang w:val="es-CR"/>
        </w:rPr>
        <w:t>Considerando</w:t>
      </w:r>
      <w:r>
        <w:rPr>
          <w:rFonts w:ascii="Verdana" w:hAnsi="Verdana"/>
          <w:sz w:val="20"/>
          <w:szCs w:val="20"/>
          <w:lang w:val="es-CR"/>
        </w:rPr>
        <w:t xml:space="preserve"> </w:t>
      </w:r>
      <w:r w:rsidR="00CF4EE7">
        <w:rPr>
          <w:rFonts w:ascii="Verdana" w:hAnsi="Verdana"/>
          <w:sz w:val="20"/>
          <w:szCs w:val="20"/>
          <w:lang w:val="es-CR"/>
        </w:rPr>
        <w:t>21</w:t>
      </w:r>
      <w:r>
        <w:rPr>
          <w:rFonts w:ascii="Verdana" w:hAnsi="Verdana"/>
          <w:sz w:val="20"/>
          <w:szCs w:val="20"/>
          <w:lang w:val="es-CR"/>
        </w:rPr>
        <w:t xml:space="preserve">). Todos esos hechos fueron reconocidos por el propio Estado en la supervisión de cumplimiento en el caso sobre la Comunidad Punta </w:t>
      </w:r>
      <w:proofErr w:type="gramStart"/>
      <w:r>
        <w:rPr>
          <w:rFonts w:ascii="Verdana" w:hAnsi="Verdana"/>
          <w:sz w:val="20"/>
          <w:szCs w:val="20"/>
          <w:lang w:val="es-CR"/>
        </w:rPr>
        <w:t>Piedra</w:t>
      </w:r>
      <w:proofErr w:type="gramEnd"/>
      <w:r>
        <w:rPr>
          <w:rFonts w:ascii="Verdana" w:hAnsi="Verdana"/>
          <w:sz w:val="20"/>
          <w:szCs w:val="20"/>
          <w:lang w:val="es-CR"/>
        </w:rPr>
        <w:t xml:space="preserve"> así como en su escrito de 31 de julio de 2020 (</w:t>
      </w:r>
      <w:r w:rsidRPr="00E1076D">
        <w:rPr>
          <w:rFonts w:ascii="Verdana" w:hAnsi="Verdana"/>
          <w:i/>
          <w:iCs/>
          <w:sz w:val="20"/>
          <w:szCs w:val="20"/>
          <w:lang w:val="es-CR"/>
        </w:rPr>
        <w:t>supra</w:t>
      </w:r>
      <w:r>
        <w:rPr>
          <w:rFonts w:ascii="Verdana" w:hAnsi="Verdana"/>
          <w:sz w:val="20"/>
          <w:szCs w:val="20"/>
          <w:lang w:val="es-CR"/>
        </w:rPr>
        <w:t xml:space="preserve"> </w:t>
      </w:r>
      <w:r>
        <w:rPr>
          <w:rFonts w:ascii="Verdana" w:hAnsi="Verdana" w:cs="Verdana"/>
          <w:sz w:val="20"/>
          <w:szCs w:val="20"/>
          <w:lang w:val="es-CR"/>
        </w:rPr>
        <w:t>Considerando</w:t>
      </w:r>
      <w:r w:rsidR="00CF4EE7">
        <w:rPr>
          <w:rFonts w:ascii="Verdana" w:hAnsi="Verdana" w:cs="Verdana"/>
          <w:sz w:val="20"/>
          <w:szCs w:val="20"/>
          <w:lang w:val="es-CR"/>
        </w:rPr>
        <w:t>s</w:t>
      </w:r>
      <w:r>
        <w:rPr>
          <w:rFonts w:ascii="Verdana" w:hAnsi="Verdana"/>
          <w:sz w:val="20"/>
          <w:szCs w:val="20"/>
          <w:lang w:val="es-CR"/>
        </w:rPr>
        <w:t xml:space="preserve"> </w:t>
      </w:r>
      <w:r w:rsidR="00CF4EE7">
        <w:rPr>
          <w:rFonts w:ascii="Verdana" w:hAnsi="Verdana"/>
          <w:sz w:val="20"/>
          <w:szCs w:val="20"/>
          <w:lang w:val="es-CR"/>
        </w:rPr>
        <w:t>10, 11, 13 y 14</w:t>
      </w:r>
      <w:r>
        <w:rPr>
          <w:rFonts w:ascii="Verdana" w:hAnsi="Verdana"/>
          <w:sz w:val="20"/>
          <w:szCs w:val="20"/>
          <w:lang w:val="es-CR"/>
        </w:rPr>
        <w:t xml:space="preserve">). </w:t>
      </w:r>
      <w:r w:rsidR="00864CDC" w:rsidRPr="001D3520">
        <w:rPr>
          <w:rFonts w:ascii="Verdana" w:hAnsi="Verdana"/>
          <w:sz w:val="20"/>
          <w:szCs w:val="20"/>
          <w:lang w:val="es-ES_tradnl"/>
        </w:rPr>
        <w:t xml:space="preserve">Adicionalmente, desde la emisión de la referida Resolución de medidas urgentes de 6 de agosto de 2020, Honduras aún no ha adoptado medidas concretas de protección a favor de los miembros de </w:t>
      </w:r>
      <w:r w:rsidR="00C439C8">
        <w:rPr>
          <w:rFonts w:ascii="Verdana" w:hAnsi="Verdana"/>
          <w:sz w:val="20"/>
          <w:szCs w:val="20"/>
          <w:lang w:val="es-ES_tradnl"/>
        </w:rPr>
        <w:t xml:space="preserve">esta </w:t>
      </w:r>
      <w:r w:rsidR="00C439C8" w:rsidRPr="001D3520">
        <w:rPr>
          <w:rFonts w:ascii="Verdana" w:hAnsi="Verdana"/>
          <w:sz w:val="20"/>
          <w:szCs w:val="20"/>
          <w:lang w:val="es-ES_tradnl"/>
        </w:rPr>
        <w:t>comunidad</w:t>
      </w:r>
      <w:r w:rsidR="00864CDC">
        <w:rPr>
          <w:rFonts w:ascii="Verdana" w:hAnsi="Verdana"/>
          <w:sz w:val="20"/>
          <w:szCs w:val="20"/>
          <w:lang w:val="es-ES_tradnl"/>
        </w:rPr>
        <w:t>.</w:t>
      </w:r>
    </w:p>
    <w:p w14:paraId="152C5E68" w14:textId="77777777" w:rsidR="00337B10" w:rsidRPr="00337B10" w:rsidRDefault="00337B10" w:rsidP="00337B10">
      <w:pPr>
        <w:pStyle w:val="Prrafodelista"/>
        <w:rPr>
          <w:rFonts w:ascii="Verdana" w:hAnsi="Verdana"/>
          <w:sz w:val="20"/>
          <w:szCs w:val="20"/>
          <w:lang w:val="es-CR"/>
        </w:rPr>
      </w:pPr>
    </w:p>
    <w:p w14:paraId="41FD7EDF" w14:textId="5E60BE99" w:rsidR="00337B10" w:rsidRDefault="00337B10" w:rsidP="001D3520">
      <w:pPr>
        <w:pStyle w:val="Prrafodelista"/>
        <w:numPr>
          <w:ilvl w:val="0"/>
          <w:numId w:val="2"/>
        </w:numPr>
        <w:suppressLineNumbers/>
        <w:tabs>
          <w:tab w:val="left" w:pos="0"/>
        </w:tabs>
        <w:spacing w:line="240" w:lineRule="auto"/>
        <w:ind w:left="0" w:firstLine="0"/>
        <w:jc w:val="both"/>
        <w:rPr>
          <w:rFonts w:ascii="Verdana" w:hAnsi="Verdana"/>
          <w:sz w:val="20"/>
          <w:szCs w:val="20"/>
          <w:lang w:val="es-CR"/>
        </w:rPr>
      </w:pPr>
      <w:r>
        <w:rPr>
          <w:rFonts w:ascii="Verdana" w:hAnsi="Verdana"/>
          <w:sz w:val="20"/>
          <w:szCs w:val="20"/>
          <w:lang w:val="es-CR"/>
        </w:rPr>
        <w:t>En vista de ello y del hecho de que el propio Estado se refirió a la necesidad de que se implementen acciones preventivas para que</w:t>
      </w:r>
      <w:r w:rsidRPr="00475D2D">
        <w:rPr>
          <w:rFonts w:ascii="Verdana" w:hAnsi="Verdana"/>
          <w:sz w:val="20"/>
          <w:szCs w:val="20"/>
          <w:lang w:val="es-CR"/>
        </w:rPr>
        <w:t xml:space="preserve"> los defensores de las comunidades garífunas</w:t>
      </w:r>
      <w:r>
        <w:rPr>
          <w:rFonts w:ascii="Verdana" w:hAnsi="Verdana"/>
          <w:sz w:val="20"/>
          <w:szCs w:val="20"/>
          <w:lang w:val="es-CR"/>
        </w:rPr>
        <w:t xml:space="preserve"> que se encuentran en riesgo puedan ser beneficiarios de un esquema de </w:t>
      </w:r>
      <w:r w:rsidRPr="005640B5">
        <w:rPr>
          <w:rFonts w:ascii="Verdana" w:hAnsi="Verdana" w:cs="Verdana"/>
          <w:color w:val="000000"/>
          <w:sz w:val="20"/>
          <w:szCs w:val="20"/>
          <w:lang w:val="es-CR"/>
        </w:rPr>
        <w:t>seguridad que permita disuadir y prevenir que se repitan hechos como los acaecidos</w:t>
      </w:r>
      <w:r>
        <w:rPr>
          <w:rFonts w:ascii="Verdana" w:hAnsi="Verdana" w:cs="Verdana"/>
          <w:color w:val="000000"/>
          <w:sz w:val="20"/>
          <w:szCs w:val="20"/>
          <w:lang w:val="es-CR"/>
        </w:rPr>
        <w:t xml:space="preserve"> (</w:t>
      </w:r>
      <w:r w:rsidRPr="008D017C">
        <w:rPr>
          <w:rFonts w:ascii="Verdana" w:hAnsi="Verdana" w:cs="Verdana"/>
          <w:i/>
          <w:iCs/>
          <w:color w:val="000000"/>
          <w:sz w:val="20"/>
          <w:szCs w:val="20"/>
          <w:lang w:val="es-CR"/>
        </w:rPr>
        <w:t>supra</w:t>
      </w:r>
      <w:r>
        <w:rPr>
          <w:rFonts w:ascii="Verdana" w:hAnsi="Verdana" w:cs="Verdana"/>
          <w:color w:val="000000"/>
          <w:sz w:val="20"/>
          <w:szCs w:val="20"/>
          <w:lang w:val="es-CR"/>
        </w:rPr>
        <w:t xml:space="preserve"> </w:t>
      </w:r>
      <w:r>
        <w:rPr>
          <w:rFonts w:ascii="Verdana" w:hAnsi="Verdana" w:cs="Verdana"/>
          <w:sz w:val="20"/>
          <w:szCs w:val="20"/>
          <w:lang w:val="es-CR"/>
        </w:rPr>
        <w:t>Considerando</w:t>
      </w:r>
      <w:r>
        <w:rPr>
          <w:rFonts w:ascii="Verdana" w:hAnsi="Verdana" w:cs="Verdana"/>
          <w:color w:val="000000"/>
          <w:sz w:val="20"/>
          <w:szCs w:val="20"/>
          <w:lang w:val="es-CR"/>
        </w:rPr>
        <w:t xml:space="preserve"> </w:t>
      </w:r>
      <w:r w:rsidR="00CF4EE7">
        <w:rPr>
          <w:rFonts w:ascii="Verdana" w:hAnsi="Verdana" w:cs="Verdana"/>
          <w:color w:val="000000"/>
          <w:sz w:val="20"/>
          <w:szCs w:val="20"/>
          <w:lang w:val="es-CR"/>
        </w:rPr>
        <w:t>14 y nota 9</w:t>
      </w:r>
      <w:r>
        <w:rPr>
          <w:rFonts w:ascii="Verdana" w:hAnsi="Verdana" w:cs="Verdana"/>
          <w:color w:val="000000"/>
          <w:sz w:val="20"/>
          <w:szCs w:val="20"/>
          <w:lang w:val="es-CR"/>
        </w:rPr>
        <w:t>),</w:t>
      </w:r>
      <w:r>
        <w:rPr>
          <w:rFonts w:ascii="Verdana" w:hAnsi="Verdana"/>
          <w:sz w:val="20"/>
          <w:szCs w:val="20"/>
          <w:lang w:val="es-CR"/>
        </w:rPr>
        <w:t xml:space="preserve"> esta </w:t>
      </w:r>
      <w:r w:rsidR="00864CDC">
        <w:rPr>
          <w:rFonts w:ascii="Verdana" w:hAnsi="Verdana"/>
          <w:sz w:val="20"/>
          <w:szCs w:val="20"/>
          <w:lang w:val="es-CR"/>
        </w:rPr>
        <w:t>Corte</w:t>
      </w:r>
      <w:r>
        <w:rPr>
          <w:rFonts w:ascii="Verdana" w:hAnsi="Verdana"/>
          <w:sz w:val="20"/>
          <w:szCs w:val="20"/>
          <w:lang w:val="es-CR"/>
        </w:rPr>
        <w:t xml:space="preserve"> considera que los integrantes de la Comunidad </w:t>
      </w:r>
      <w:r w:rsidRPr="006B69B3">
        <w:rPr>
          <w:rFonts w:ascii="Verdana" w:hAnsi="Verdana"/>
          <w:sz w:val="20"/>
          <w:szCs w:val="20"/>
          <w:lang w:val="es-CR"/>
        </w:rPr>
        <w:t xml:space="preserve">que desarrollan colectivamente acciones de defensa de los derechos del pueblo Garífuna se encuentran </w:t>
      </w:r>
      <w:r w:rsidRPr="006B69B3">
        <w:rPr>
          <w:rFonts w:ascii="Verdana" w:hAnsi="Verdana"/>
          <w:i/>
          <w:iCs/>
          <w:sz w:val="20"/>
          <w:szCs w:val="20"/>
          <w:lang w:val="es-CR"/>
        </w:rPr>
        <w:t xml:space="preserve">prima facie </w:t>
      </w:r>
      <w:r w:rsidRPr="006B69B3">
        <w:rPr>
          <w:rFonts w:ascii="Verdana" w:hAnsi="Verdana"/>
          <w:sz w:val="20"/>
          <w:szCs w:val="20"/>
          <w:lang w:val="es-CR"/>
        </w:rPr>
        <w:t xml:space="preserve">en una situación de riesgo </w:t>
      </w:r>
      <w:r w:rsidRPr="006B69B3">
        <w:rPr>
          <w:rFonts w:ascii="Verdana" w:hAnsi="Verdana"/>
          <w:sz w:val="20"/>
          <w:lang w:val="es-CR"/>
        </w:rPr>
        <w:t>de extrema gravedad y urgencia</w:t>
      </w:r>
      <w:r>
        <w:rPr>
          <w:rFonts w:ascii="Verdana" w:hAnsi="Verdana"/>
          <w:sz w:val="20"/>
          <w:lang w:val="es-CR"/>
        </w:rPr>
        <w:t>;</w:t>
      </w:r>
      <w:r w:rsidRPr="006B69B3">
        <w:rPr>
          <w:rFonts w:ascii="Verdana" w:hAnsi="Verdana"/>
          <w:sz w:val="20"/>
          <w:lang w:val="es-CR"/>
        </w:rPr>
        <w:t xml:space="preserve"> por lo tanto</w:t>
      </w:r>
      <w:r>
        <w:rPr>
          <w:rFonts w:ascii="Verdana" w:hAnsi="Verdana"/>
          <w:sz w:val="20"/>
          <w:lang w:val="es-CR"/>
        </w:rPr>
        <w:t>,</w:t>
      </w:r>
      <w:r w:rsidRPr="006B69B3">
        <w:rPr>
          <w:rFonts w:ascii="Verdana" w:hAnsi="Verdana"/>
          <w:sz w:val="20"/>
          <w:lang w:val="es-CR"/>
        </w:rPr>
        <w:t xml:space="preserve"> </w:t>
      </w:r>
      <w:r w:rsidR="00864CDC">
        <w:rPr>
          <w:rFonts w:ascii="Verdana" w:hAnsi="Verdana"/>
          <w:sz w:val="20"/>
          <w:lang w:val="es-CR"/>
        </w:rPr>
        <w:t xml:space="preserve">ratifica la Resolución de Presidencia de 6 de agosto de 2020 y </w:t>
      </w:r>
      <w:r w:rsidRPr="006B69B3">
        <w:rPr>
          <w:rFonts w:ascii="Verdana" w:hAnsi="Verdana"/>
          <w:sz w:val="20"/>
          <w:lang w:val="es-CR"/>
        </w:rPr>
        <w:t xml:space="preserve">ordena que se </w:t>
      </w:r>
      <w:proofErr w:type="spellStart"/>
      <w:r w:rsidRPr="006B69B3">
        <w:rPr>
          <w:rFonts w:ascii="Verdana" w:hAnsi="Verdana"/>
          <w:sz w:val="20"/>
          <w:lang w:val="es-CR"/>
        </w:rPr>
        <w:t>dispogan</w:t>
      </w:r>
      <w:proofErr w:type="spellEnd"/>
      <w:r w:rsidRPr="006B69B3">
        <w:rPr>
          <w:rFonts w:ascii="Verdana" w:hAnsi="Verdana"/>
          <w:sz w:val="20"/>
          <w:lang w:val="es-CR"/>
        </w:rPr>
        <w:t xml:space="preserve"> medidas urgentes para proteger sus derechos a la vida e integridad.</w:t>
      </w:r>
    </w:p>
    <w:p w14:paraId="34F8F68C" w14:textId="77777777" w:rsidR="00337B10" w:rsidRPr="00337B10" w:rsidRDefault="00337B10" w:rsidP="00337B10">
      <w:pPr>
        <w:pStyle w:val="Prrafodelista"/>
        <w:rPr>
          <w:rFonts w:ascii="Verdana" w:hAnsi="Verdana"/>
          <w:sz w:val="20"/>
          <w:szCs w:val="20"/>
          <w:lang w:val="es-CR"/>
        </w:rPr>
      </w:pPr>
    </w:p>
    <w:p w14:paraId="2170F850" w14:textId="77777777" w:rsidR="00E53316" w:rsidRPr="001D3520" w:rsidRDefault="00E53316" w:rsidP="00262A16">
      <w:pPr>
        <w:suppressLineNumbers/>
        <w:jc w:val="both"/>
        <w:rPr>
          <w:rFonts w:ascii="Verdana" w:eastAsia="Verdana" w:hAnsi="Verdana" w:cs="Verdana"/>
          <w:sz w:val="20"/>
          <w:szCs w:val="20"/>
        </w:rPr>
      </w:pPr>
      <w:r w:rsidRPr="001D3520">
        <w:rPr>
          <w:rFonts w:ascii="Verdana" w:eastAsia="Verdana" w:hAnsi="Verdana" w:cs="Verdana"/>
          <w:b/>
          <w:bCs/>
          <w:sz w:val="20"/>
          <w:szCs w:val="20"/>
        </w:rPr>
        <w:t xml:space="preserve">POR TANTO:  </w:t>
      </w:r>
    </w:p>
    <w:p w14:paraId="05F2DA73" w14:textId="77777777" w:rsidR="00E53316" w:rsidRPr="001D3520" w:rsidRDefault="00E53316" w:rsidP="00262A16">
      <w:pPr>
        <w:suppressLineNumbers/>
        <w:jc w:val="both"/>
        <w:rPr>
          <w:rFonts w:ascii="Verdana" w:hAnsi="Verdana"/>
          <w:sz w:val="20"/>
          <w:szCs w:val="20"/>
        </w:rPr>
      </w:pPr>
    </w:p>
    <w:p w14:paraId="50B328E5" w14:textId="5075137E" w:rsidR="00E53316" w:rsidRPr="001D3520" w:rsidRDefault="00E53316" w:rsidP="00262A16">
      <w:pPr>
        <w:suppressLineNumbers/>
        <w:jc w:val="both"/>
        <w:rPr>
          <w:rFonts w:ascii="Verdana" w:eastAsia="Verdana" w:hAnsi="Verdana" w:cs="Verdana"/>
          <w:sz w:val="20"/>
          <w:szCs w:val="20"/>
        </w:rPr>
      </w:pPr>
      <w:r w:rsidRPr="001D3520">
        <w:rPr>
          <w:rFonts w:ascii="Verdana" w:eastAsia="Verdana" w:hAnsi="Verdana" w:cs="Verdana"/>
          <w:b/>
          <w:bCs/>
          <w:sz w:val="20"/>
          <w:szCs w:val="20"/>
        </w:rPr>
        <w:t>LA</w:t>
      </w:r>
      <w:r w:rsidR="008139D9" w:rsidRPr="001D3520">
        <w:rPr>
          <w:rFonts w:ascii="Verdana" w:eastAsia="Verdana" w:hAnsi="Verdana" w:cs="Verdana"/>
          <w:b/>
          <w:bCs/>
          <w:sz w:val="20"/>
          <w:szCs w:val="20"/>
        </w:rPr>
        <w:t xml:space="preserve"> </w:t>
      </w:r>
      <w:r w:rsidRPr="001D3520">
        <w:rPr>
          <w:rFonts w:ascii="Verdana" w:eastAsia="Verdana" w:hAnsi="Verdana" w:cs="Verdana"/>
          <w:b/>
          <w:bCs/>
          <w:sz w:val="20"/>
          <w:szCs w:val="20"/>
        </w:rPr>
        <w:t>CORTE INTERAMERICANA DE DERECHOS HUMANOS,</w:t>
      </w:r>
    </w:p>
    <w:p w14:paraId="0434BF19" w14:textId="77777777" w:rsidR="00141350" w:rsidRPr="001D3520" w:rsidRDefault="00141350" w:rsidP="00262A16">
      <w:pPr>
        <w:suppressLineNumbers/>
        <w:jc w:val="both"/>
        <w:rPr>
          <w:rFonts w:ascii="Verdana" w:hAnsi="Verdana"/>
          <w:sz w:val="20"/>
          <w:szCs w:val="20"/>
        </w:rPr>
      </w:pPr>
    </w:p>
    <w:p w14:paraId="7693D6C1" w14:textId="4F23283F" w:rsidR="00E53316" w:rsidRPr="001D3520" w:rsidRDefault="00E53316" w:rsidP="00262A16">
      <w:pPr>
        <w:suppressLineNumbers/>
        <w:jc w:val="both"/>
        <w:rPr>
          <w:rFonts w:ascii="Verdana" w:eastAsia="Verdana" w:hAnsi="Verdana" w:cs="Verdana"/>
          <w:sz w:val="20"/>
          <w:szCs w:val="20"/>
          <w:highlight w:val="yellow"/>
        </w:rPr>
      </w:pPr>
      <w:r w:rsidRPr="001D3520">
        <w:rPr>
          <w:rFonts w:ascii="Verdana" w:hAnsi="Verdana"/>
          <w:sz w:val="20"/>
          <w:szCs w:val="20"/>
        </w:rPr>
        <w:t xml:space="preserve">en uso de las atribuciones que le confieren los artículos 63.2 de la Convención Americana, </w:t>
      </w:r>
      <w:r w:rsidR="008139D9" w:rsidRPr="001D3520">
        <w:rPr>
          <w:rFonts w:ascii="Verdana" w:hAnsi="Verdana"/>
          <w:sz w:val="20"/>
          <w:szCs w:val="20"/>
        </w:rPr>
        <w:t xml:space="preserve">y los artículos 24.2 del Estatuto de la Corte, y 27 y 31 </w:t>
      </w:r>
      <w:r w:rsidRPr="001D3520">
        <w:rPr>
          <w:rFonts w:ascii="Verdana" w:hAnsi="Verdana"/>
          <w:sz w:val="20"/>
          <w:szCs w:val="20"/>
        </w:rPr>
        <w:t>del Reglamento del Tribunal,</w:t>
      </w:r>
    </w:p>
    <w:p w14:paraId="20A29E8E" w14:textId="77777777" w:rsidR="00E53316" w:rsidRPr="001D3520" w:rsidRDefault="00E53316" w:rsidP="00262A16">
      <w:pPr>
        <w:suppressLineNumbers/>
        <w:jc w:val="both"/>
        <w:rPr>
          <w:rFonts w:ascii="Verdana" w:eastAsia="Verdana" w:hAnsi="Verdana" w:cs="Verdana"/>
          <w:b/>
          <w:bCs/>
          <w:sz w:val="20"/>
          <w:szCs w:val="20"/>
        </w:rPr>
      </w:pPr>
    </w:p>
    <w:p w14:paraId="19A96B8E" w14:textId="77777777" w:rsidR="00E53316" w:rsidRPr="001D3520" w:rsidRDefault="00E53316" w:rsidP="00262A16">
      <w:pPr>
        <w:suppressLineNumbers/>
        <w:jc w:val="both"/>
        <w:rPr>
          <w:rFonts w:ascii="Verdana" w:eastAsia="Verdana" w:hAnsi="Verdana" w:cs="Verdana"/>
          <w:sz w:val="20"/>
          <w:szCs w:val="20"/>
        </w:rPr>
      </w:pPr>
      <w:r w:rsidRPr="001D3520">
        <w:rPr>
          <w:rFonts w:ascii="Verdana" w:eastAsia="Verdana" w:hAnsi="Verdana" w:cs="Verdana"/>
          <w:b/>
          <w:bCs/>
          <w:sz w:val="20"/>
          <w:szCs w:val="20"/>
        </w:rPr>
        <w:t>RESUELVE:</w:t>
      </w:r>
    </w:p>
    <w:p w14:paraId="138FE262" w14:textId="77777777" w:rsidR="00E53316" w:rsidRPr="001D3520" w:rsidRDefault="00E53316" w:rsidP="00262A16">
      <w:pPr>
        <w:suppressLineNumbers/>
        <w:jc w:val="both"/>
        <w:rPr>
          <w:rFonts w:ascii="Verdana" w:eastAsia="Calibri" w:hAnsi="Verdana" w:cs="Verdana"/>
          <w:color w:val="000000"/>
          <w:sz w:val="16"/>
          <w:szCs w:val="16"/>
        </w:rPr>
      </w:pPr>
    </w:p>
    <w:p w14:paraId="6AF2BA24" w14:textId="77777777" w:rsidR="00011845" w:rsidRPr="00F85FDE" w:rsidRDefault="00011845" w:rsidP="00011845">
      <w:pPr>
        <w:jc w:val="both"/>
        <w:rPr>
          <w:rFonts w:ascii="Verdana" w:eastAsia="Verdana" w:hAnsi="Verdana" w:cs="Verdana"/>
          <w:sz w:val="20"/>
          <w:szCs w:val="20"/>
          <w:lang w:val="es-CR"/>
        </w:rPr>
      </w:pPr>
      <w:r w:rsidRPr="00F85FDE">
        <w:rPr>
          <w:rFonts w:ascii="Verdana" w:eastAsia="Verdana" w:hAnsi="Verdana" w:cs="Verdana"/>
          <w:bCs/>
          <w:sz w:val="20"/>
          <w:szCs w:val="20"/>
          <w:lang w:val="es-CR"/>
        </w:rPr>
        <w:t>Por seis votos a favor</w:t>
      </w:r>
      <w:r>
        <w:rPr>
          <w:rFonts w:ascii="Verdana" w:eastAsia="Verdana" w:hAnsi="Verdana" w:cs="Verdana"/>
          <w:bCs/>
          <w:sz w:val="20"/>
          <w:szCs w:val="20"/>
          <w:lang w:val="es-CR"/>
        </w:rPr>
        <w:t xml:space="preserve"> y uno en contra,</w:t>
      </w:r>
      <w:r w:rsidRPr="00F85FDE">
        <w:rPr>
          <w:rFonts w:ascii="Verdana" w:eastAsia="Verdana" w:hAnsi="Verdana" w:cs="Verdana"/>
          <w:bCs/>
          <w:sz w:val="20"/>
          <w:szCs w:val="20"/>
          <w:lang w:val="es-CR"/>
        </w:rPr>
        <w:t xml:space="preserve"> </w:t>
      </w:r>
    </w:p>
    <w:p w14:paraId="7CDBE286" w14:textId="77777777" w:rsidR="00011845" w:rsidRDefault="00011845" w:rsidP="00011845">
      <w:pPr>
        <w:jc w:val="both"/>
        <w:rPr>
          <w:rFonts w:ascii="Verdana" w:eastAsia="Verdana" w:hAnsi="Verdana" w:cs="Verdana"/>
          <w:sz w:val="20"/>
          <w:szCs w:val="20"/>
          <w:lang w:val="es-CR"/>
        </w:rPr>
      </w:pPr>
      <w:r w:rsidRPr="00F85FDE">
        <w:rPr>
          <w:rFonts w:ascii="Verdana" w:eastAsia="Verdana" w:hAnsi="Verdana" w:cs="Verdana"/>
          <w:sz w:val="20"/>
          <w:szCs w:val="20"/>
          <w:lang w:val="es-CR"/>
        </w:rPr>
        <w:t>Disi</w:t>
      </w:r>
      <w:r>
        <w:rPr>
          <w:rFonts w:ascii="Verdana" w:eastAsia="Verdana" w:hAnsi="Verdana" w:cs="Verdana"/>
          <w:sz w:val="20"/>
          <w:szCs w:val="20"/>
          <w:lang w:val="es-CR"/>
        </w:rPr>
        <w:t>d</w:t>
      </w:r>
      <w:r w:rsidRPr="00F85FDE">
        <w:rPr>
          <w:rFonts w:ascii="Verdana" w:eastAsia="Verdana" w:hAnsi="Verdana" w:cs="Verdana"/>
          <w:sz w:val="20"/>
          <w:szCs w:val="20"/>
          <w:lang w:val="es-CR"/>
        </w:rPr>
        <w:t>e</w:t>
      </w:r>
      <w:r>
        <w:rPr>
          <w:rFonts w:ascii="Verdana" w:eastAsia="Verdana" w:hAnsi="Verdana" w:cs="Verdana"/>
          <w:sz w:val="20"/>
          <w:szCs w:val="20"/>
          <w:lang w:val="es-CR"/>
        </w:rPr>
        <w:t>nte el Juez Eduardo Vio Grossi.</w:t>
      </w:r>
    </w:p>
    <w:p w14:paraId="7304AE34" w14:textId="77777777" w:rsidR="00011845" w:rsidRPr="00011845" w:rsidRDefault="00011845" w:rsidP="00011845">
      <w:pPr>
        <w:pStyle w:val="Prrafodelista"/>
        <w:suppressLineNumbers/>
        <w:spacing w:after="0" w:line="240" w:lineRule="auto"/>
        <w:ind w:left="0"/>
        <w:jc w:val="both"/>
        <w:rPr>
          <w:rFonts w:ascii="Calibri" w:hAnsi="Calibri" w:cs="Calibri"/>
          <w:color w:val="000000"/>
          <w:lang w:val="es-CR"/>
        </w:rPr>
      </w:pPr>
    </w:p>
    <w:p w14:paraId="27CD0318" w14:textId="54BB2874" w:rsidR="0015360D" w:rsidRPr="0088376F" w:rsidRDefault="0015360D" w:rsidP="0088376F">
      <w:pPr>
        <w:pStyle w:val="Prrafodelista"/>
        <w:numPr>
          <w:ilvl w:val="0"/>
          <w:numId w:val="10"/>
        </w:numPr>
        <w:suppressLineNumbers/>
        <w:spacing w:after="0" w:line="240" w:lineRule="auto"/>
        <w:ind w:left="0" w:firstLine="0"/>
        <w:jc w:val="both"/>
        <w:rPr>
          <w:rFonts w:ascii="Calibri" w:hAnsi="Calibri" w:cs="Calibri"/>
          <w:color w:val="000000"/>
          <w:lang w:val="es-CR"/>
        </w:rPr>
      </w:pPr>
      <w:r>
        <w:rPr>
          <w:rFonts w:ascii="Verdana" w:hAnsi="Verdana" w:cs="Calibri"/>
          <w:color w:val="000000"/>
          <w:sz w:val="20"/>
          <w:szCs w:val="20"/>
          <w:lang w:val="es-ES_tradnl"/>
        </w:rPr>
        <w:lastRenderedPageBreak/>
        <w:t xml:space="preserve">Ratificar en todos sus términos la Resolución de la Presidenta de Medidas Urgentes de 6 de agosto de 2020 mediante la cual se ordenó la adopción de medidas urgentes en el presente caso y, por consiguiente, requerir al Estado de Honduras que adopte las medidas necesarias y adecuadas para determinar el paradero de Milton Joel Martínez Álvarez, </w:t>
      </w:r>
      <w:proofErr w:type="spellStart"/>
      <w:r>
        <w:rPr>
          <w:rFonts w:ascii="Verdana" w:hAnsi="Verdana" w:cs="Calibri"/>
          <w:color w:val="000000"/>
          <w:sz w:val="20"/>
          <w:szCs w:val="20"/>
          <w:lang w:val="es-ES_tradnl"/>
        </w:rPr>
        <w:t>Suami</w:t>
      </w:r>
      <w:proofErr w:type="spellEnd"/>
      <w:r>
        <w:rPr>
          <w:rFonts w:ascii="Verdana" w:hAnsi="Verdana" w:cs="Calibri"/>
          <w:color w:val="000000"/>
          <w:sz w:val="20"/>
          <w:szCs w:val="20"/>
          <w:lang w:val="es-ES_tradnl"/>
        </w:rPr>
        <w:t xml:space="preserve"> Aparicio Mejía García, Gerardo Misael Trochez Calix y Albert </w:t>
      </w:r>
      <w:proofErr w:type="spellStart"/>
      <w:r>
        <w:rPr>
          <w:rFonts w:ascii="Verdana" w:hAnsi="Verdana" w:cs="Calibri"/>
          <w:color w:val="000000"/>
          <w:sz w:val="20"/>
          <w:szCs w:val="20"/>
          <w:lang w:val="es-ES_tradnl"/>
        </w:rPr>
        <w:t>Snaider</w:t>
      </w:r>
      <w:proofErr w:type="spellEnd"/>
      <w:r>
        <w:rPr>
          <w:rFonts w:ascii="Verdana" w:hAnsi="Verdana" w:cs="Calibri"/>
          <w:color w:val="000000"/>
          <w:sz w:val="20"/>
          <w:szCs w:val="20"/>
          <w:lang w:val="es-ES_tradnl"/>
        </w:rPr>
        <w:t xml:space="preserve"> Centeno Thomas que se encuentran desaparecidos desde el 18 de julio de 2020, de conformidad con lo dispuesto en los Considerando </w:t>
      </w:r>
      <w:r w:rsidR="0088376F">
        <w:rPr>
          <w:rFonts w:ascii="Verdana" w:hAnsi="Verdana" w:cs="Calibri"/>
          <w:color w:val="000000"/>
          <w:sz w:val="20"/>
          <w:szCs w:val="20"/>
          <w:lang w:val="es-ES_tradnl"/>
        </w:rPr>
        <w:t>25</w:t>
      </w:r>
      <w:r>
        <w:rPr>
          <w:rFonts w:ascii="Verdana" w:hAnsi="Verdana" w:cs="Calibri"/>
          <w:color w:val="000000"/>
          <w:sz w:val="20"/>
          <w:szCs w:val="20"/>
          <w:lang w:val="es-ES_tradnl"/>
        </w:rPr>
        <w:t xml:space="preserve"> a </w:t>
      </w:r>
      <w:r w:rsidR="0088376F">
        <w:rPr>
          <w:rFonts w:ascii="Verdana" w:hAnsi="Verdana" w:cs="Calibri"/>
          <w:color w:val="000000"/>
          <w:sz w:val="20"/>
          <w:szCs w:val="20"/>
          <w:lang w:val="es-ES_tradnl"/>
        </w:rPr>
        <w:t>29</w:t>
      </w:r>
      <w:r>
        <w:rPr>
          <w:rFonts w:ascii="Verdana" w:hAnsi="Verdana" w:cs="Calibri"/>
          <w:color w:val="000000"/>
          <w:sz w:val="20"/>
          <w:szCs w:val="20"/>
          <w:lang w:val="es-ES_tradnl"/>
        </w:rPr>
        <w:t xml:space="preserve"> de la Presente Resolución. </w:t>
      </w:r>
    </w:p>
    <w:p w14:paraId="7EFC879B" w14:textId="77777777" w:rsidR="0015360D" w:rsidRPr="0088376F" w:rsidRDefault="0015360D" w:rsidP="0088376F">
      <w:pPr>
        <w:pStyle w:val="Prrafodelista"/>
        <w:jc w:val="both"/>
        <w:rPr>
          <w:rFonts w:ascii="Calibri" w:hAnsi="Calibri" w:cs="Calibri"/>
          <w:color w:val="000000"/>
          <w:lang w:val="es-CR"/>
        </w:rPr>
      </w:pPr>
    </w:p>
    <w:p w14:paraId="38EB47FC" w14:textId="77EE05A0" w:rsidR="0015360D" w:rsidRPr="0088376F" w:rsidRDefault="0015360D" w:rsidP="0088376F">
      <w:pPr>
        <w:pStyle w:val="Prrafodelista"/>
        <w:numPr>
          <w:ilvl w:val="0"/>
          <w:numId w:val="10"/>
        </w:numPr>
        <w:suppressLineNumbers/>
        <w:spacing w:after="0" w:line="240" w:lineRule="auto"/>
        <w:ind w:left="0" w:firstLine="0"/>
        <w:jc w:val="both"/>
        <w:rPr>
          <w:rFonts w:ascii="Verdana" w:hAnsi="Verdana" w:cs="Calibri"/>
          <w:color w:val="000000"/>
          <w:sz w:val="20"/>
          <w:szCs w:val="20"/>
          <w:lang w:val="es-ES_tradnl"/>
        </w:rPr>
      </w:pPr>
      <w:r w:rsidRPr="0088376F">
        <w:rPr>
          <w:rFonts w:ascii="Verdana" w:hAnsi="Verdana" w:cs="Calibri"/>
          <w:color w:val="000000"/>
          <w:sz w:val="20"/>
          <w:szCs w:val="20"/>
          <w:lang w:val="es-ES_tradnl"/>
        </w:rPr>
        <w:t xml:space="preserve">Requerir al Estado que adopte las medidas adecuadas para proteger efectivamente los derechos a la vida, e integridad personal de los líderes y dirigentes comunitarios de las Comunidades Garífuna de Triunfo de la Cruz y de Punta Piedra </w:t>
      </w:r>
      <w:r w:rsidRPr="0088376F">
        <w:rPr>
          <w:rFonts w:ascii="Verdana" w:hAnsi="Verdana"/>
          <w:sz w:val="20"/>
          <w:szCs w:val="20"/>
          <w:lang w:val="es-ES_tradnl"/>
        </w:rPr>
        <w:t>que</w:t>
      </w:r>
      <w:r w:rsidRPr="0088376F">
        <w:rPr>
          <w:rFonts w:ascii="Verdana" w:hAnsi="Verdana" w:cs="Calibri"/>
          <w:color w:val="000000"/>
          <w:sz w:val="20"/>
          <w:szCs w:val="20"/>
          <w:lang w:val="es-ES_tradnl"/>
        </w:rPr>
        <w:t xml:space="preserve"> desarrollan colectivamente acciones de defensa de los derechos del pueblo Garífuna, mencionados en el párrafo </w:t>
      </w:r>
      <w:r w:rsidR="0088376F" w:rsidRPr="0088376F">
        <w:rPr>
          <w:rFonts w:ascii="Verdana" w:hAnsi="Verdana" w:cs="Calibri"/>
          <w:color w:val="000000"/>
          <w:sz w:val="20"/>
          <w:szCs w:val="20"/>
          <w:lang w:val="es-ES_tradnl"/>
        </w:rPr>
        <w:t>17</w:t>
      </w:r>
      <w:r w:rsidRPr="0088376F">
        <w:rPr>
          <w:rFonts w:ascii="Verdana" w:hAnsi="Verdana" w:cs="Calibri"/>
          <w:color w:val="000000"/>
          <w:sz w:val="20"/>
          <w:szCs w:val="20"/>
          <w:lang w:val="es-ES_tradnl"/>
        </w:rPr>
        <w:t xml:space="preserve"> y de conformidad con lo dispuesto en los Considerando </w:t>
      </w:r>
      <w:r w:rsidR="0088376F" w:rsidRPr="0088376F">
        <w:rPr>
          <w:rFonts w:ascii="Verdana" w:hAnsi="Verdana" w:cs="Calibri"/>
          <w:color w:val="000000"/>
          <w:sz w:val="20"/>
          <w:szCs w:val="20"/>
          <w:lang w:val="es-ES_tradnl"/>
        </w:rPr>
        <w:t>30</w:t>
      </w:r>
      <w:r w:rsidRPr="0088376F">
        <w:rPr>
          <w:rFonts w:ascii="Verdana" w:hAnsi="Verdana" w:cs="Calibri"/>
          <w:color w:val="000000"/>
          <w:sz w:val="20"/>
          <w:szCs w:val="20"/>
          <w:lang w:val="es-ES_tradnl"/>
        </w:rPr>
        <w:t xml:space="preserve"> a </w:t>
      </w:r>
      <w:r w:rsidR="0088376F" w:rsidRPr="0088376F">
        <w:rPr>
          <w:rFonts w:ascii="Verdana" w:hAnsi="Verdana" w:cs="Calibri"/>
          <w:color w:val="000000"/>
          <w:sz w:val="20"/>
          <w:szCs w:val="20"/>
          <w:lang w:val="es-ES_tradnl"/>
        </w:rPr>
        <w:t>35</w:t>
      </w:r>
      <w:r w:rsidRPr="0088376F">
        <w:rPr>
          <w:rFonts w:ascii="Verdana" w:hAnsi="Verdana" w:cs="Calibri"/>
          <w:color w:val="000000"/>
          <w:sz w:val="20"/>
          <w:szCs w:val="20"/>
          <w:lang w:val="es-ES_tradnl"/>
        </w:rPr>
        <w:t xml:space="preserve"> de la Presente Resolución.</w:t>
      </w:r>
    </w:p>
    <w:p w14:paraId="2A45E8FB" w14:textId="77777777" w:rsidR="0015360D" w:rsidRDefault="0015360D" w:rsidP="0088376F">
      <w:pPr>
        <w:pStyle w:val="Prrafodelista"/>
        <w:suppressLineNumbers/>
        <w:spacing w:after="0" w:line="240" w:lineRule="auto"/>
        <w:ind w:left="0"/>
        <w:jc w:val="both"/>
        <w:rPr>
          <w:rFonts w:ascii="Verdana" w:hAnsi="Verdana"/>
          <w:sz w:val="20"/>
          <w:szCs w:val="20"/>
          <w:lang w:val="es-ES_tradnl"/>
        </w:rPr>
      </w:pPr>
    </w:p>
    <w:p w14:paraId="039FC46C" w14:textId="3F8ABB95" w:rsidR="003047EA" w:rsidRPr="001D3520" w:rsidRDefault="00E93C0B" w:rsidP="00262A16">
      <w:pPr>
        <w:pStyle w:val="Prrafodelista"/>
        <w:numPr>
          <w:ilvl w:val="0"/>
          <w:numId w:val="10"/>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Ordenar al Estado que continúe la coordinación con los beneficiarios de las presentes medidas provisionales, o sus representantes, la planificación e implementación de las mismas y que, en general, les mantenga informados sobre el avance de su ejecución</w:t>
      </w:r>
      <w:r w:rsidR="00F838ED" w:rsidRPr="001D3520">
        <w:rPr>
          <w:rFonts w:ascii="Verdana" w:hAnsi="Verdana"/>
          <w:sz w:val="20"/>
          <w:szCs w:val="20"/>
          <w:lang w:val="es-ES_tradnl"/>
        </w:rPr>
        <w:t>.</w:t>
      </w:r>
    </w:p>
    <w:p w14:paraId="233F27B9" w14:textId="77777777" w:rsidR="003047EA" w:rsidRPr="001D3520" w:rsidRDefault="003047EA" w:rsidP="00262A16">
      <w:pPr>
        <w:pStyle w:val="Prrafodelista"/>
        <w:spacing w:line="240" w:lineRule="auto"/>
        <w:rPr>
          <w:rFonts w:ascii="Verdana" w:hAnsi="Verdana"/>
          <w:sz w:val="20"/>
          <w:szCs w:val="20"/>
          <w:lang w:val="es-ES_tradnl"/>
        </w:rPr>
      </w:pPr>
    </w:p>
    <w:p w14:paraId="75769614" w14:textId="61BA0979" w:rsidR="00E93C0B" w:rsidRPr="001D3520" w:rsidRDefault="00E93C0B" w:rsidP="00262A16">
      <w:pPr>
        <w:pStyle w:val="Prrafodelista"/>
        <w:numPr>
          <w:ilvl w:val="0"/>
          <w:numId w:val="10"/>
        </w:numPr>
        <w:suppressLineNumbers/>
        <w:spacing w:after="0" w:line="240" w:lineRule="auto"/>
        <w:ind w:left="0" w:firstLine="0"/>
        <w:jc w:val="both"/>
        <w:rPr>
          <w:rFonts w:ascii="Verdana" w:hAnsi="Verdana"/>
          <w:sz w:val="20"/>
          <w:szCs w:val="20"/>
          <w:lang w:val="es-ES_tradnl"/>
        </w:rPr>
      </w:pPr>
      <w:r w:rsidRPr="001D3520">
        <w:rPr>
          <w:rFonts w:ascii="Verdana" w:eastAsia="Times" w:hAnsi="Verdana" w:cs="Times New Roman"/>
          <w:sz w:val="20"/>
          <w:szCs w:val="20"/>
          <w:lang w:val="es-ES_tradnl"/>
        </w:rPr>
        <w:t xml:space="preserve">Requerir al Estado que presente información actualizada a la Corte sobre las medidas de protección que fueron adoptadas a favor de las personas mencionadas en el punto resolutivo 1 a más </w:t>
      </w:r>
      <w:r w:rsidRPr="006621BF">
        <w:rPr>
          <w:rFonts w:ascii="Verdana" w:eastAsia="Times" w:hAnsi="Verdana" w:cs="Times New Roman"/>
          <w:sz w:val="20"/>
          <w:szCs w:val="20"/>
          <w:lang w:val="es-ES_tradnl"/>
        </w:rPr>
        <w:t xml:space="preserve">tardar el </w:t>
      </w:r>
      <w:r w:rsidR="00437EC8" w:rsidRPr="006621BF">
        <w:rPr>
          <w:rFonts w:ascii="Verdana" w:eastAsia="Times" w:hAnsi="Verdana" w:cs="Times New Roman"/>
          <w:sz w:val="20"/>
          <w:szCs w:val="20"/>
          <w:lang w:val="es-ES_tradnl"/>
        </w:rPr>
        <w:t>2</w:t>
      </w:r>
      <w:r w:rsidR="006621BF" w:rsidRPr="006621BF">
        <w:rPr>
          <w:rFonts w:ascii="Verdana" w:eastAsia="Times" w:hAnsi="Verdana" w:cs="Times New Roman"/>
          <w:sz w:val="20"/>
          <w:szCs w:val="20"/>
          <w:lang w:val="es-ES_tradnl"/>
        </w:rPr>
        <w:t>8</w:t>
      </w:r>
      <w:r w:rsidR="00437EC8" w:rsidRPr="006621BF">
        <w:rPr>
          <w:rFonts w:ascii="Verdana" w:eastAsia="Times" w:hAnsi="Verdana" w:cs="Times New Roman"/>
          <w:b/>
          <w:bCs/>
          <w:sz w:val="20"/>
          <w:szCs w:val="20"/>
          <w:lang w:val="es-ES_tradnl"/>
        </w:rPr>
        <w:t xml:space="preserve"> </w:t>
      </w:r>
      <w:r w:rsidRPr="006621BF">
        <w:rPr>
          <w:rFonts w:ascii="Verdana" w:eastAsia="Times" w:hAnsi="Verdana" w:cs="Times New Roman"/>
          <w:sz w:val="20"/>
          <w:szCs w:val="20"/>
          <w:lang w:val="es-ES_tradnl"/>
        </w:rPr>
        <w:t>de</w:t>
      </w:r>
      <w:r w:rsidRPr="001D3520">
        <w:rPr>
          <w:rFonts w:ascii="Verdana" w:eastAsia="Times" w:hAnsi="Verdana" w:cs="Times New Roman"/>
          <w:sz w:val="20"/>
          <w:szCs w:val="20"/>
          <w:lang w:val="es-ES_tradnl"/>
        </w:rPr>
        <w:t xml:space="preserve"> septiembre de 2020.</w:t>
      </w:r>
    </w:p>
    <w:p w14:paraId="25D2D5ED" w14:textId="77777777" w:rsidR="00E93C0B" w:rsidRPr="001D3520" w:rsidRDefault="00E93C0B" w:rsidP="00262A16">
      <w:pPr>
        <w:pStyle w:val="Prrafodelista"/>
        <w:spacing w:line="240" w:lineRule="auto"/>
        <w:rPr>
          <w:rFonts w:ascii="Verdana" w:hAnsi="Verdana"/>
          <w:sz w:val="20"/>
          <w:szCs w:val="20"/>
          <w:lang w:val="es-ES_tradnl"/>
        </w:rPr>
      </w:pPr>
    </w:p>
    <w:p w14:paraId="0061173E" w14:textId="77777777" w:rsidR="00E93C0B" w:rsidRPr="001D3520" w:rsidRDefault="00E93C0B" w:rsidP="00262A16">
      <w:pPr>
        <w:pStyle w:val="Prrafodelista"/>
        <w:numPr>
          <w:ilvl w:val="0"/>
          <w:numId w:val="10"/>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Requerir a los representantes de las y los beneficiarios que presenten sus observaciones dentro de un plazo de diez días a partir de la notificación del referido informe del Estado solicitado en el punto resolutivo 3, así como a la Comisión Interamericana de Derechos Humanos que presente sus observaciones a dicho informe del Estado dentro de un plazo de diez días a partir de la recepción de las observaciones de los representantes.</w:t>
      </w:r>
    </w:p>
    <w:p w14:paraId="0E066656" w14:textId="77777777" w:rsidR="00E93C0B" w:rsidRPr="001D3520" w:rsidRDefault="00E93C0B" w:rsidP="00262A16">
      <w:pPr>
        <w:pStyle w:val="Prrafodelista"/>
        <w:spacing w:line="240" w:lineRule="auto"/>
        <w:rPr>
          <w:rFonts w:ascii="Verdana" w:hAnsi="Verdana"/>
          <w:sz w:val="20"/>
          <w:szCs w:val="20"/>
          <w:lang w:val="es-ES_tradnl"/>
        </w:rPr>
      </w:pPr>
    </w:p>
    <w:p w14:paraId="615002E9" w14:textId="77777777" w:rsidR="00E93C0B" w:rsidRPr="001D3520" w:rsidRDefault="00E93C0B" w:rsidP="00262A16">
      <w:pPr>
        <w:pStyle w:val="Prrafodelista"/>
        <w:numPr>
          <w:ilvl w:val="0"/>
          <w:numId w:val="10"/>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Requerir al Estado que continúe informando a la Corte cada dos meses, contados a partir de la remisión de su último informe, sobre las medidas provisionales adoptadas.</w:t>
      </w:r>
    </w:p>
    <w:p w14:paraId="7625F3A2" w14:textId="77777777" w:rsidR="00E93C0B" w:rsidRPr="001D3520" w:rsidRDefault="00E93C0B" w:rsidP="00262A16">
      <w:pPr>
        <w:pStyle w:val="Prrafodelista"/>
        <w:spacing w:line="240" w:lineRule="auto"/>
        <w:rPr>
          <w:rFonts w:ascii="Verdana" w:hAnsi="Verdana"/>
          <w:sz w:val="20"/>
          <w:szCs w:val="20"/>
          <w:lang w:val="es-ES_tradnl"/>
        </w:rPr>
      </w:pPr>
    </w:p>
    <w:p w14:paraId="52666B4A" w14:textId="7B73B4AD" w:rsidR="003047EA" w:rsidRPr="001D3520" w:rsidRDefault="00E93C0B" w:rsidP="00262A16">
      <w:pPr>
        <w:pStyle w:val="Prrafodelista"/>
        <w:numPr>
          <w:ilvl w:val="0"/>
          <w:numId w:val="10"/>
        </w:numPr>
        <w:suppressLineNumbers/>
        <w:spacing w:after="0" w:line="240" w:lineRule="auto"/>
        <w:ind w:left="0" w:firstLine="0"/>
        <w:jc w:val="both"/>
        <w:rPr>
          <w:rFonts w:ascii="Verdana" w:hAnsi="Verdana"/>
          <w:sz w:val="20"/>
          <w:szCs w:val="20"/>
          <w:lang w:val="es-ES_tradnl"/>
        </w:rPr>
      </w:pPr>
      <w:r w:rsidRPr="001D3520">
        <w:rPr>
          <w:rFonts w:ascii="Verdana" w:hAnsi="Verdana"/>
          <w:sz w:val="20"/>
          <w:szCs w:val="20"/>
          <w:lang w:val="es-ES_tradnl"/>
        </w:rPr>
        <w:t>Disponer que la Secretaría de la Corte notifique la presente Resolución al Estado de Honduras, a la Comisión Interamericana y a la representación de los beneficiarios.</w:t>
      </w:r>
    </w:p>
    <w:p w14:paraId="13A9471C" w14:textId="77777777" w:rsidR="00E93C0B" w:rsidRDefault="00E93C0B" w:rsidP="00011845">
      <w:pPr>
        <w:rPr>
          <w:rFonts w:ascii="Verdana" w:hAnsi="Verdana"/>
          <w:sz w:val="20"/>
          <w:szCs w:val="20"/>
        </w:rPr>
      </w:pPr>
    </w:p>
    <w:p w14:paraId="71BD7CB4" w14:textId="2550D185" w:rsidR="00011845" w:rsidRDefault="00011845" w:rsidP="00011845">
      <w:pPr>
        <w:jc w:val="both"/>
        <w:rPr>
          <w:rFonts w:ascii="Verdana" w:eastAsia="Verdana" w:hAnsi="Verdana" w:cs="Verdana"/>
          <w:sz w:val="20"/>
          <w:szCs w:val="20"/>
          <w:lang w:val="es-CR"/>
        </w:rPr>
      </w:pPr>
      <w:r>
        <w:rPr>
          <w:rFonts w:ascii="Verdana" w:eastAsia="Verdana" w:hAnsi="Verdana" w:cs="Verdana"/>
          <w:sz w:val="20"/>
          <w:szCs w:val="20"/>
          <w:lang w:val="es-CR"/>
        </w:rPr>
        <w:t xml:space="preserve">El </w:t>
      </w:r>
      <w:r w:rsidR="00FC600D">
        <w:rPr>
          <w:rFonts w:ascii="Verdana" w:eastAsia="Verdana" w:hAnsi="Verdana" w:cs="Verdana"/>
          <w:sz w:val="20"/>
          <w:szCs w:val="20"/>
          <w:lang w:val="es-CR"/>
        </w:rPr>
        <w:t xml:space="preserve">Juez </w:t>
      </w:r>
      <w:r>
        <w:rPr>
          <w:rFonts w:ascii="Verdana" w:eastAsia="Verdana" w:hAnsi="Verdana" w:cs="Verdana"/>
          <w:sz w:val="20"/>
          <w:szCs w:val="20"/>
          <w:lang w:val="es-CR"/>
        </w:rPr>
        <w:t xml:space="preserve">Eduardo Vio Grossi hizo conocer a la Corte su Voto Disidente, el cual acompaña la presente Resolución. </w:t>
      </w:r>
    </w:p>
    <w:p w14:paraId="2BE455D4" w14:textId="77777777" w:rsidR="00011845" w:rsidRPr="00011845" w:rsidRDefault="00011845" w:rsidP="00011845">
      <w:pPr>
        <w:rPr>
          <w:rFonts w:ascii="Verdana" w:hAnsi="Verdana"/>
          <w:sz w:val="20"/>
          <w:szCs w:val="20"/>
        </w:rPr>
      </w:pPr>
    </w:p>
    <w:p w14:paraId="2417A710" w14:textId="77777777" w:rsidR="003047EA" w:rsidRPr="001D3520" w:rsidRDefault="003047EA" w:rsidP="00262A16">
      <w:pPr>
        <w:rPr>
          <w:rFonts w:ascii="Verdana" w:hAnsi="Verdana"/>
          <w:sz w:val="20"/>
          <w:szCs w:val="20"/>
        </w:rPr>
      </w:pPr>
    </w:p>
    <w:p w14:paraId="430CF4E3" w14:textId="77777777" w:rsidR="000E41DF" w:rsidRDefault="000E41DF" w:rsidP="00011845">
      <w:pPr>
        <w:autoSpaceDE w:val="0"/>
        <w:autoSpaceDN w:val="0"/>
        <w:adjustRightInd w:val="0"/>
        <w:jc w:val="both"/>
        <w:rPr>
          <w:rFonts w:ascii="Verdana" w:hAnsi="Verdana" w:cs="Verdana"/>
          <w:sz w:val="20"/>
          <w:szCs w:val="20"/>
        </w:rPr>
      </w:pPr>
      <w:bookmarkStart w:id="0" w:name="_Hlk47609481"/>
    </w:p>
    <w:p w14:paraId="3370C458" w14:textId="77777777" w:rsidR="000E41DF" w:rsidRDefault="000E41DF" w:rsidP="00011845">
      <w:pPr>
        <w:autoSpaceDE w:val="0"/>
        <w:autoSpaceDN w:val="0"/>
        <w:adjustRightInd w:val="0"/>
        <w:jc w:val="both"/>
        <w:rPr>
          <w:rFonts w:ascii="Verdana" w:hAnsi="Verdana" w:cs="Verdana"/>
          <w:sz w:val="20"/>
          <w:szCs w:val="20"/>
        </w:rPr>
      </w:pPr>
    </w:p>
    <w:p w14:paraId="2D5B0C3B" w14:textId="77777777" w:rsidR="000E41DF" w:rsidRDefault="000E41DF" w:rsidP="00011845">
      <w:pPr>
        <w:autoSpaceDE w:val="0"/>
        <w:autoSpaceDN w:val="0"/>
        <w:adjustRightInd w:val="0"/>
        <w:jc w:val="both"/>
        <w:rPr>
          <w:rFonts w:ascii="Verdana" w:hAnsi="Verdana" w:cs="Verdana"/>
          <w:sz w:val="20"/>
          <w:szCs w:val="20"/>
        </w:rPr>
      </w:pPr>
    </w:p>
    <w:p w14:paraId="71A2B317" w14:textId="77777777" w:rsidR="000E41DF" w:rsidRDefault="000E41DF" w:rsidP="00011845">
      <w:pPr>
        <w:autoSpaceDE w:val="0"/>
        <w:autoSpaceDN w:val="0"/>
        <w:adjustRightInd w:val="0"/>
        <w:jc w:val="both"/>
        <w:rPr>
          <w:rFonts w:ascii="Verdana" w:hAnsi="Verdana" w:cs="Verdana"/>
          <w:sz w:val="20"/>
          <w:szCs w:val="20"/>
        </w:rPr>
      </w:pPr>
    </w:p>
    <w:p w14:paraId="459C8CBB" w14:textId="77777777" w:rsidR="000E41DF" w:rsidRDefault="000E41DF" w:rsidP="00011845">
      <w:pPr>
        <w:autoSpaceDE w:val="0"/>
        <w:autoSpaceDN w:val="0"/>
        <w:adjustRightInd w:val="0"/>
        <w:jc w:val="both"/>
        <w:rPr>
          <w:rFonts w:ascii="Verdana" w:hAnsi="Verdana" w:cs="Verdana"/>
          <w:sz w:val="20"/>
          <w:szCs w:val="20"/>
        </w:rPr>
      </w:pPr>
    </w:p>
    <w:p w14:paraId="3BE46FC3" w14:textId="77777777" w:rsidR="000E41DF" w:rsidRDefault="000E41DF" w:rsidP="00011845">
      <w:pPr>
        <w:autoSpaceDE w:val="0"/>
        <w:autoSpaceDN w:val="0"/>
        <w:adjustRightInd w:val="0"/>
        <w:jc w:val="both"/>
        <w:rPr>
          <w:rFonts w:ascii="Verdana" w:hAnsi="Verdana" w:cs="Verdana"/>
          <w:sz w:val="20"/>
          <w:szCs w:val="20"/>
        </w:rPr>
      </w:pPr>
    </w:p>
    <w:p w14:paraId="359A73AF" w14:textId="77777777" w:rsidR="000E41DF" w:rsidRDefault="000E41DF" w:rsidP="00011845">
      <w:pPr>
        <w:autoSpaceDE w:val="0"/>
        <w:autoSpaceDN w:val="0"/>
        <w:adjustRightInd w:val="0"/>
        <w:jc w:val="both"/>
        <w:rPr>
          <w:rFonts w:ascii="Verdana" w:hAnsi="Verdana" w:cs="Verdana"/>
          <w:sz w:val="20"/>
          <w:szCs w:val="20"/>
        </w:rPr>
      </w:pPr>
    </w:p>
    <w:p w14:paraId="303A7B72" w14:textId="77777777" w:rsidR="000E41DF" w:rsidRDefault="000E41DF" w:rsidP="00011845">
      <w:pPr>
        <w:autoSpaceDE w:val="0"/>
        <w:autoSpaceDN w:val="0"/>
        <w:adjustRightInd w:val="0"/>
        <w:jc w:val="both"/>
        <w:rPr>
          <w:rFonts w:ascii="Verdana" w:hAnsi="Verdana" w:cs="Verdana"/>
          <w:sz w:val="20"/>
          <w:szCs w:val="20"/>
        </w:rPr>
      </w:pPr>
    </w:p>
    <w:p w14:paraId="36945C01" w14:textId="77777777" w:rsidR="000E41DF" w:rsidRDefault="000E41DF" w:rsidP="00011845">
      <w:pPr>
        <w:autoSpaceDE w:val="0"/>
        <w:autoSpaceDN w:val="0"/>
        <w:adjustRightInd w:val="0"/>
        <w:jc w:val="both"/>
        <w:rPr>
          <w:rFonts w:ascii="Verdana" w:hAnsi="Verdana" w:cs="Verdana"/>
          <w:sz w:val="20"/>
          <w:szCs w:val="20"/>
        </w:rPr>
      </w:pPr>
    </w:p>
    <w:p w14:paraId="5FBDA086" w14:textId="77777777" w:rsidR="000E41DF" w:rsidRDefault="000E41DF" w:rsidP="00011845">
      <w:pPr>
        <w:autoSpaceDE w:val="0"/>
        <w:autoSpaceDN w:val="0"/>
        <w:adjustRightInd w:val="0"/>
        <w:jc w:val="both"/>
        <w:rPr>
          <w:rFonts w:ascii="Verdana" w:hAnsi="Verdana" w:cs="Verdana"/>
          <w:sz w:val="20"/>
          <w:szCs w:val="20"/>
        </w:rPr>
      </w:pPr>
    </w:p>
    <w:p w14:paraId="657C09D4" w14:textId="77777777" w:rsidR="000E41DF" w:rsidRDefault="000E41DF" w:rsidP="00011845">
      <w:pPr>
        <w:autoSpaceDE w:val="0"/>
        <w:autoSpaceDN w:val="0"/>
        <w:adjustRightInd w:val="0"/>
        <w:jc w:val="both"/>
        <w:rPr>
          <w:rFonts w:ascii="Verdana" w:hAnsi="Verdana" w:cs="Verdana"/>
          <w:sz w:val="20"/>
          <w:szCs w:val="20"/>
        </w:rPr>
      </w:pPr>
    </w:p>
    <w:p w14:paraId="16FDDF43" w14:textId="77777777" w:rsidR="000E41DF" w:rsidRDefault="000E41DF" w:rsidP="00011845">
      <w:pPr>
        <w:autoSpaceDE w:val="0"/>
        <w:autoSpaceDN w:val="0"/>
        <w:adjustRightInd w:val="0"/>
        <w:jc w:val="both"/>
        <w:rPr>
          <w:rFonts w:ascii="Verdana" w:hAnsi="Verdana" w:cs="Verdana"/>
          <w:sz w:val="20"/>
          <w:szCs w:val="20"/>
        </w:rPr>
      </w:pPr>
    </w:p>
    <w:p w14:paraId="2E79A357" w14:textId="77777777" w:rsidR="000E41DF" w:rsidRDefault="000E41DF" w:rsidP="00011845">
      <w:pPr>
        <w:autoSpaceDE w:val="0"/>
        <w:autoSpaceDN w:val="0"/>
        <w:adjustRightInd w:val="0"/>
        <w:jc w:val="both"/>
        <w:rPr>
          <w:rFonts w:ascii="Verdana" w:hAnsi="Verdana" w:cs="Verdana"/>
          <w:sz w:val="20"/>
          <w:szCs w:val="20"/>
        </w:rPr>
      </w:pPr>
    </w:p>
    <w:p w14:paraId="2F677C83" w14:textId="6CFCDC20" w:rsidR="00DE6A0D" w:rsidRPr="003107EB" w:rsidRDefault="003107EB" w:rsidP="003107EB">
      <w:pPr>
        <w:autoSpaceDE w:val="0"/>
        <w:autoSpaceDN w:val="0"/>
        <w:adjustRightInd w:val="0"/>
        <w:jc w:val="both"/>
        <w:rPr>
          <w:rFonts w:ascii="Verdana" w:hAnsi="Verdana" w:cs="Verdana"/>
          <w:sz w:val="20"/>
          <w:szCs w:val="20"/>
        </w:rPr>
      </w:pPr>
      <w:bookmarkStart w:id="1" w:name="_Hlk50475342"/>
      <w:r w:rsidRPr="003107EB">
        <w:rPr>
          <w:rFonts w:ascii="Verdana" w:hAnsi="Verdana" w:cs="Verdana"/>
          <w:sz w:val="20"/>
          <w:szCs w:val="20"/>
        </w:rPr>
        <w:lastRenderedPageBreak/>
        <w:t xml:space="preserve">Corte IDH. Caso Comunidades Garífunas de Triunfo de la Cruz y Punta Piedra. Medidas Provisionales respecto de Honduras. </w:t>
      </w:r>
      <w:r w:rsidR="00DE6A0D" w:rsidRPr="003107EB">
        <w:rPr>
          <w:rFonts w:ascii="Verdana" w:hAnsi="Verdana" w:cs="Verdana"/>
          <w:sz w:val="20"/>
          <w:szCs w:val="20"/>
        </w:rPr>
        <w:t xml:space="preserve">Resolución </w:t>
      </w:r>
      <w:r w:rsidRPr="003107EB">
        <w:rPr>
          <w:rFonts w:ascii="Verdana" w:hAnsi="Verdana" w:cs="Verdana"/>
          <w:sz w:val="20"/>
          <w:szCs w:val="20"/>
        </w:rPr>
        <w:t xml:space="preserve">de la Corte Interamericana de Derechos Humanos </w:t>
      </w:r>
      <w:r w:rsidR="00DE6A0D" w:rsidRPr="003107EB">
        <w:rPr>
          <w:rFonts w:ascii="Verdana" w:hAnsi="Verdana" w:cs="Verdana"/>
          <w:sz w:val="20"/>
          <w:szCs w:val="20"/>
        </w:rPr>
        <w:t xml:space="preserve">de </w:t>
      </w:r>
      <w:r w:rsidR="0043726A">
        <w:rPr>
          <w:rFonts w:ascii="Verdana" w:hAnsi="Verdana" w:cs="Verdana"/>
          <w:sz w:val="20"/>
          <w:szCs w:val="20"/>
        </w:rPr>
        <w:t>2</w:t>
      </w:r>
      <w:r w:rsidRPr="003107EB">
        <w:rPr>
          <w:rFonts w:ascii="Verdana" w:hAnsi="Verdana" w:cs="Verdana"/>
          <w:sz w:val="20"/>
          <w:szCs w:val="20"/>
        </w:rPr>
        <w:t xml:space="preserve"> de septiembre de 2020.</w:t>
      </w:r>
    </w:p>
    <w:bookmarkEnd w:id="0"/>
    <w:p w14:paraId="025177E6" w14:textId="77777777" w:rsidR="003107EB" w:rsidRPr="003107EB" w:rsidRDefault="003107EB" w:rsidP="003107EB">
      <w:pPr>
        <w:jc w:val="both"/>
        <w:rPr>
          <w:rFonts w:ascii="Verdana" w:eastAsia="Batang" w:hAnsi="Verdana" w:cstheme="minorBidi"/>
          <w:sz w:val="20"/>
          <w:szCs w:val="20"/>
          <w:lang w:val="es-DO"/>
        </w:rPr>
      </w:pPr>
    </w:p>
    <w:p w14:paraId="0A716B94" w14:textId="152DF21A" w:rsidR="003107EB" w:rsidRPr="003107EB" w:rsidRDefault="003107EB" w:rsidP="003107EB">
      <w:pPr>
        <w:jc w:val="both"/>
        <w:rPr>
          <w:rFonts w:ascii="Verdana" w:eastAsia="Batang" w:hAnsi="Verdana" w:cstheme="minorBidi"/>
          <w:sz w:val="20"/>
          <w:szCs w:val="20"/>
          <w:lang w:val="es-DO"/>
        </w:rPr>
      </w:pPr>
    </w:p>
    <w:p w14:paraId="3C38C903" w14:textId="325792BD" w:rsidR="003107EB" w:rsidRPr="003107EB" w:rsidRDefault="003107EB" w:rsidP="003107EB">
      <w:pPr>
        <w:jc w:val="both"/>
        <w:rPr>
          <w:rFonts w:ascii="Verdana" w:eastAsia="Batang" w:hAnsi="Verdana" w:cstheme="minorBidi"/>
          <w:sz w:val="20"/>
          <w:szCs w:val="20"/>
          <w:lang w:val="es-DO"/>
        </w:rPr>
      </w:pPr>
    </w:p>
    <w:p w14:paraId="6984440E" w14:textId="595CE6B9" w:rsidR="003107EB" w:rsidRPr="003107EB" w:rsidRDefault="003107EB" w:rsidP="003107EB">
      <w:pPr>
        <w:jc w:val="both"/>
        <w:rPr>
          <w:rFonts w:ascii="Verdana" w:eastAsia="Batang" w:hAnsi="Verdana" w:cstheme="minorBidi"/>
          <w:sz w:val="20"/>
          <w:szCs w:val="20"/>
          <w:lang w:val="es-DO"/>
        </w:rPr>
      </w:pPr>
    </w:p>
    <w:p w14:paraId="1233C50D" w14:textId="5EFDD388" w:rsidR="003107EB" w:rsidRPr="003107EB" w:rsidRDefault="003107EB" w:rsidP="003107EB">
      <w:pPr>
        <w:jc w:val="both"/>
        <w:rPr>
          <w:rFonts w:ascii="Verdana" w:eastAsia="Batang" w:hAnsi="Verdana" w:cstheme="minorBidi"/>
          <w:sz w:val="20"/>
          <w:szCs w:val="20"/>
          <w:lang w:val="es-DO"/>
        </w:rPr>
      </w:pPr>
    </w:p>
    <w:p w14:paraId="671B2FC7" w14:textId="310C7DA9" w:rsidR="003107EB" w:rsidRPr="003107EB" w:rsidRDefault="003107EB" w:rsidP="003107EB">
      <w:pPr>
        <w:jc w:val="center"/>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Elizabeth </w:t>
      </w:r>
      <w:proofErr w:type="spellStart"/>
      <w:r w:rsidRPr="003107EB">
        <w:rPr>
          <w:rFonts w:ascii="Verdana" w:eastAsia="Batang" w:hAnsi="Verdana" w:cstheme="minorBidi"/>
          <w:sz w:val="20"/>
          <w:szCs w:val="20"/>
          <w:lang w:val="pt-BR"/>
        </w:rPr>
        <w:t>Odio</w:t>
      </w:r>
      <w:proofErr w:type="spellEnd"/>
      <w:r w:rsidRPr="003107EB">
        <w:rPr>
          <w:rFonts w:ascii="Verdana" w:eastAsia="Batang" w:hAnsi="Verdana" w:cstheme="minorBidi"/>
          <w:sz w:val="20"/>
          <w:szCs w:val="20"/>
          <w:lang w:val="pt-BR"/>
        </w:rPr>
        <w:t xml:space="preserve"> Benito</w:t>
      </w:r>
    </w:p>
    <w:p w14:paraId="1904DE01" w14:textId="3B959F2D" w:rsidR="003107EB" w:rsidRPr="003107EB" w:rsidRDefault="003107EB" w:rsidP="003107EB">
      <w:pPr>
        <w:jc w:val="center"/>
        <w:rPr>
          <w:rFonts w:ascii="Verdana" w:eastAsia="Batang" w:hAnsi="Verdana" w:cstheme="minorBidi"/>
          <w:sz w:val="20"/>
          <w:szCs w:val="20"/>
          <w:lang w:val="pt-BR"/>
        </w:rPr>
      </w:pPr>
      <w:r w:rsidRPr="003107EB">
        <w:rPr>
          <w:rFonts w:ascii="Verdana" w:eastAsia="Batang" w:hAnsi="Verdana" w:cstheme="minorBidi"/>
          <w:sz w:val="20"/>
          <w:szCs w:val="20"/>
          <w:lang w:val="pt-BR"/>
        </w:rPr>
        <w:t>Presidenta</w:t>
      </w:r>
    </w:p>
    <w:p w14:paraId="6AC597BD" w14:textId="767F9D52" w:rsidR="003107EB" w:rsidRPr="003107EB" w:rsidRDefault="003107EB" w:rsidP="003107EB">
      <w:pPr>
        <w:jc w:val="both"/>
        <w:rPr>
          <w:rFonts w:ascii="Verdana" w:eastAsia="Batang" w:hAnsi="Verdana" w:cstheme="minorBidi"/>
          <w:sz w:val="20"/>
          <w:szCs w:val="20"/>
          <w:lang w:val="pt-BR"/>
        </w:rPr>
      </w:pPr>
    </w:p>
    <w:p w14:paraId="395B2386" w14:textId="76085C62" w:rsidR="003107EB" w:rsidRPr="003107EB" w:rsidRDefault="003107EB" w:rsidP="003107EB">
      <w:pPr>
        <w:jc w:val="both"/>
        <w:rPr>
          <w:rFonts w:ascii="Verdana" w:eastAsia="Batang" w:hAnsi="Verdana" w:cstheme="minorBidi"/>
          <w:sz w:val="20"/>
          <w:szCs w:val="20"/>
          <w:lang w:val="pt-BR"/>
        </w:rPr>
      </w:pPr>
    </w:p>
    <w:p w14:paraId="786E9AE0" w14:textId="05BCFF36" w:rsidR="003107EB" w:rsidRPr="003107EB" w:rsidRDefault="003107EB" w:rsidP="003107EB">
      <w:pPr>
        <w:jc w:val="both"/>
        <w:rPr>
          <w:rFonts w:ascii="Verdana" w:eastAsia="Batang" w:hAnsi="Verdana" w:cstheme="minorBidi"/>
          <w:sz w:val="20"/>
          <w:szCs w:val="20"/>
          <w:lang w:val="pt-BR"/>
        </w:rPr>
      </w:pPr>
    </w:p>
    <w:p w14:paraId="4638835A" w14:textId="2933B57D" w:rsidR="003107EB" w:rsidRPr="003107EB" w:rsidRDefault="003107EB" w:rsidP="003107EB">
      <w:pPr>
        <w:jc w:val="both"/>
        <w:rPr>
          <w:rFonts w:ascii="Verdana" w:eastAsia="Batang" w:hAnsi="Verdana" w:cstheme="minorBidi"/>
          <w:sz w:val="20"/>
          <w:szCs w:val="20"/>
          <w:lang w:val="pt-BR"/>
        </w:rPr>
      </w:pPr>
    </w:p>
    <w:p w14:paraId="0113F6D4" w14:textId="39CD100A" w:rsidR="003107EB" w:rsidRPr="003107EB" w:rsidRDefault="003107EB" w:rsidP="003107EB">
      <w:pPr>
        <w:jc w:val="both"/>
        <w:rPr>
          <w:rFonts w:ascii="Verdana" w:eastAsia="Batang" w:hAnsi="Verdana" w:cstheme="minorBidi"/>
          <w:sz w:val="20"/>
          <w:szCs w:val="20"/>
          <w:lang w:val="pt-BR"/>
        </w:rPr>
      </w:pPr>
    </w:p>
    <w:p w14:paraId="75F0E267" w14:textId="0AED33F7" w:rsidR="003107EB" w:rsidRPr="003107EB" w:rsidRDefault="003107EB" w:rsidP="003107EB">
      <w:pPr>
        <w:jc w:val="both"/>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L. </w:t>
      </w:r>
      <w:proofErr w:type="spellStart"/>
      <w:r w:rsidRPr="003107EB">
        <w:rPr>
          <w:rFonts w:ascii="Verdana" w:eastAsia="Batang" w:hAnsi="Verdana" w:cstheme="minorBidi"/>
          <w:sz w:val="20"/>
          <w:szCs w:val="20"/>
          <w:lang w:val="pt-BR"/>
        </w:rPr>
        <w:t>Patricio</w:t>
      </w:r>
      <w:proofErr w:type="spellEnd"/>
      <w:r w:rsidRPr="003107EB">
        <w:rPr>
          <w:rFonts w:ascii="Verdana" w:eastAsia="Batang" w:hAnsi="Verdana" w:cstheme="minorBidi"/>
          <w:sz w:val="20"/>
          <w:szCs w:val="20"/>
          <w:lang w:val="pt-BR"/>
        </w:rPr>
        <w:t xml:space="preserve"> </w:t>
      </w:r>
      <w:proofErr w:type="spellStart"/>
      <w:r w:rsidRPr="003107EB">
        <w:rPr>
          <w:rFonts w:ascii="Verdana" w:eastAsia="Batang" w:hAnsi="Verdana" w:cstheme="minorBidi"/>
          <w:sz w:val="20"/>
          <w:szCs w:val="20"/>
          <w:lang w:val="pt-BR"/>
        </w:rPr>
        <w:t>Pazmiño</w:t>
      </w:r>
      <w:proofErr w:type="spellEnd"/>
      <w:r w:rsidRPr="003107EB">
        <w:rPr>
          <w:rFonts w:ascii="Verdana" w:eastAsia="Batang" w:hAnsi="Verdana" w:cstheme="minorBidi"/>
          <w:sz w:val="20"/>
          <w:szCs w:val="20"/>
          <w:lang w:val="pt-BR"/>
        </w:rPr>
        <w:t xml:space="preserve"> Freire </w:t>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t xml:space="preserve"> </w:t>
      </w:r>
      <w:r w:rsidRPr="003107EB">
        <w:rPr>
          <w:rFonts w:ascii="Verdana" w:eastAsia="Batang" w:hAnsi="Verdana" w:cstheme="minorBidi"/>
          <w:sz w:val="20"/>
          <w:szCs w:val="20"/>
          <w:lang w:val="pt-BR"/>
        </w:rPr>
        <w:tab/>
        <w:t xml:space="preserve">Eduardo </w:t>
      </w:r>
      <w:proofErr w:type="spellStart"/>
      <w:r w:rsidRPr="003107EB">
        <w:rPr>
          <w:rFonts w:ascii="Verdana" w:eastAsia="Batang" w:hAnsi="Verdana" w:cstheme="minorBidi"/>
          <w:sz w:val="20"/>
          <w:szCs w:val="20"/>
          <w:lang w:val="pt-BR"/>
        </w:rPr>
        <w:t>Vio</w:t>
      </w:r>
      <w:proofErr w:type="spellEnd"/>
      <w:r w:rsidRPr="003107EB">
        <w:rPr>
          <w:rFonts w:ascii="Verdana" w:eastAsia="Batang" w:hAnsi="Verdana" w:cstheme="minorBidi"/>
          <w:sz w:val="20"/>
          <w:szCs w:val="20"/>
          <w:lang w:val="pt-BR"/>
        </w:rPr>
        <w:t xml:space="preserve"> Grossi</w:t>
      </w:r>
    </w:p>
    <w:p w14:paraId="352A7CE2" w14:textId="51CC96EA" w:rsidR="003107EB" w:rsidRPr="003107EB" w:rsidRDefault="003107EB" w:rsidP="003107EB">
      <w:pPr>
        <w:jc w:val="both"/>
        <w:rPr>
          <w:rFonts w:ascii="Verdana" w:eastAsia="Batang" w:hAnsi="Verdana" w:cstheme="minorBidi"/>
          <w:sz w:val="20"/>
          <w:szCs w:val="20"/>
          <w:lang w:val="pt-BR"/>
        </w:rPr>
      </w:pPr>
    </w:p>
    <w:p w14:paraId="3A05CC09" w14:textId="558C7775" w:rsidR="003107EB" w:rsidRPr="003107EB" w:rsidRDefault="003107EB" w:rsidP="003107EB">
      <w:pPr>
        <w:jc w:val="both"/>
        <w:rPr>
          <w:rFonts w:ascii="Verdana" w:eastAsia="Batang" w:hAnsi="Verdana" w:cstheme="minorBidi"/>
          <w:sz w:val="20"/>
          <w:szCs w:val="20"/>
          <w:lang w:val="pt-BR"/>
        </w:rPr>
      </w:pPr>
    </w:p>
    <w:p w14:paraId="0B713842" w14:textId="622787AC" w:rsidR="003107EB" w:rsidRPr="003107EB" w:rsidRDefault="003107EB" w:rsidP="003107EB">
      <w:pPr>
        <w:jc w:val="both"/>
        <w:rPr>
          <w:rFonts w:ascii="Verdana" w:eastAsia="Batang" w:hAnsi="Verdana" w:cstheme="minorBidi"/>
          <w:sz w:val="20"/>
          <w:szCs w:val="20"/>
          <w:lang w:val="pt-BR"/>
        </w:rPr>
      </w:pPr>
    </w:p>
    <w:p w14:paraId="1187FE4B" w14:textId="6B5D17C1" w:rsidR="003107EB" w:rsidRPr="003107EB" w:rsidRDefault="003107EB" w:rsidP="003107EB">
      <w:pPr>
        <w:jc w:val="both"/>
        <w:rPr>
          <w:rFonts w:ascii="Verdana" w:eastAsia="Batang" w:hAnsi="Verdana" w:cstheme="minorBidi"/>
          <w:sz w:val="20"/>
          <w:szCs w:val="20"/>
          <w:lang w:val="pt-BR"/>
        </w:rPr>
      </w:pPr>
    </w:p>
    <w:p w14:paraId="29332D35" w14:textId="77777777" w:rsidR="003107EB" w:rsidRPr="003107EB" w:rsidRDefault="003107EB" w:rsidP="003107EB">
      <w:pPr>
        <w:jc w:val="both"/>
        <w:rPr>
          <w:rFonts w:ascii="Verdana" w:eastAsia="Batang" w:hAnsi="Verdana" w:cstheme="minorBidi"/>
          <w:sz w:val="20"/>
          <w:szCs w:val="20"/>
          <w:lang w:val="pt-BR"/>
        </w:rPr>
      </w:pPr>
    </w:p>
    <w:p w14:paraId="2B5A194E" w14:textId="48EF4686" w:rsidR="003107EB" w:rsidRPr="003107EB" w:rsidRDefault="003107EB" w:rsidP="003107EB">
      <w:pPr>
        <w:jc w:val="both"/>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Humberto </w:t>
      </w:r>
      <w:proofErr w:type="spellStart"/>
      <w:r w:rsidRPr="003107EB">
        <w:rPr>
          <w:rFonts w:ascii="Verdana" w:eastAsia="Batang" w:hAnsi="Verdana" w:cstheme="minorBidi"/>
          <w:sz w:val="20"/>
          <w:szCs w:val="20"/>
          <w:lang w:val="pt-BR"/>
        </w:rPr>
        <w:t>Antonio</w:t>
      </w:r>
      <w:proofErr w:type="spellEnd"/>
      <w:r w:rsidRPr="003107EB">
        <w:rPr>
          <w:rFonts w:ascii="Verdana" w:eastAsia="Batang" w:hAnsi="Verdana" w:cstheme="minorBidi"/>
          <w:sz w:val="20"/>
          <w:szCs w:val="20"/>
          <w:lang w:val="pt-BR"/>
        </w:rPr>
        <w:t xml:space="preserve"> </w:t>
      </w:r>
      <w:proofErr w:type="spellStart"/>
      <w:r w:rsidRPr="003107EB">
        <w:rPr>
          <w:rFonts w:ascii="Verdana" w:eastAsia="Batang" w:hAnsi="Verdana" w:cstheme="minorBidi"/>
          <w:sz w:val="20"/>
          <w:szCs w:val="20"/>
          <w:lang w:val="pt-BR"/>
        </w:rPr>
        <w:t>Sierra</w:t>
      </w:r>
      <w:proofErr w:type="spellEnd"/>
      <w:r w:rsidRPr="003107EB">
        <w:rPr>
          <w:rFonts w:ascii="Verdana" w:eastAsia="Batang" w:hAnsi="Verdana" w:cstheme="minorBidi"/>
          <w:sz w:val="20"/>
          <w:szCs w:val="20"/>
          <w:lang w:val="pt-BR"/>
        </w:rPr>
        <w:t xml:space="preserve"> Porto </w:t>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t xml:space="preserve">Eduardo Ferrer </w:t>
      </w:r>
      <w:proofErr w:type="spellStart"/>
      <w:r w:rsidRPr="003107EB">
        <w:rPr>
          <w:rFonts w:ascii="Verdana" w:eastAsia="Batang" w:hAnsi="Verdana" w:cstheme="minorBidi"/>
          <w:sz w:val="20"/>
          <w:szCs w:val="20"/>
          <w:lang w:val="pt-BR"/>
        </w:rPr>
        <w:t>Mac-Gregor</w:t>
      </w:r>
      <w:proofErr w:type="spellEnd"/>
      <w:r w:rsidRPr="003107EB">
        <w:rPr>
          <w:rFonts w:ascii="Verdana" w:eastAsia="Batang" w:hAnsi="Verdana" w:cstheme="minorBidi"/>
          <w:sz w:val="20"/>
          <w:szCs w:val="20"/>
          <w:lang w:val="pt-BR"/>
        </w:rPr>
        <w:t xml:space="preserve"> </w:t>
      </w:r>
      <w:proofErr w:type="spellStart"/>
      <w:r w:rsidRPr="003107EB">
        <w:rPr>
          <w:rFonts w:ascii="Verdana" w:eastAsia="Batang" w:hAnsi="Verdana" w:cstheme="minorBidi"/>
          <w:sz w:val="20"/>
          <w:szCs w:val="20"/>
          <w:lang w:val="pt-BR"/>
        </w:rPr>
        <w:t>Poisot</w:t>
      </w:r>
      <w:proofErr w:type="spellEnd"/>
    </w:p>
    <w:p w14:paraId="3A899104" w14:textId="2362B6D6" w:rsidR="003107EB" w:rsidRPr="003107EB" w:rsidRDefault="003107EB" w:rsidP="003107EB">
      <w:pPr>
        <w:jc w:val="both"/>
        <w:rPr>
          <w:rFonts w:ascii="Verdana" w:eastAsia="Batang" w:hAnsi="Verdana" w:cstheme="minorBidi"/>
          <w:sz w:val="20"/>
          <w:szCs w:val="20"/>
          <w:lang w:val="pt-BR"/>
        </w:rPr>
      </w:pPr>
    </w:p>
    <w:p w14:paraId="4A8D0B76" w14:textId="7125552D"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1FFD92DF" w14:textId="35E75A8F"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5DF84928" w14:textId="673773B1"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191B5CB3" w14:textId="7A907B7E"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49BFF859" w14:textId="38AA3B85" w:rsidR="003107EB" w:rsidRPr="003107EB" w:rsidRDefault="003107EB" w:rsidP="003107EB">
      <w:pPr>
        <w:jc w:val="both"/>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Eugenio </w:t>
      </w:r>
      <w:proofErr w:type="spellStart"/>
      <w:r w:rsidRPr="003107EB">
        <w:rPr>
          <w:rFonts w:ascii="Verdana" w:eastAsia="Batang" w:hAnsi="Verdana" w:cstheme="minorBidi"/>
          <w:sz w:val="20"/>
          <w:szCs w:val="20"/>
          <w:lang w:val="pt-BR"/>
        </w:rPr>
        <w:t>Raúl</w:t>
      </w:r>
      <w:proofErr w:type="spellEnd"/>
      <w:r w:rsidRPr="003107EB">
        <w:rPr>
          <w:rFonts w:ascii="Verdana" w:eastAsia="Batang" w:hAnsi="Verdana" w:cstheme="minorBidi"/>
          <w:sz w:val="20"/>
          <w:szCs w:val="20"/>
          <w:lang w:val="pt-BR"/>
        </w:rPr>
        <w:t xml:space="preserve"> </w:t>
      </w:r>
      <w:proofErr w:type="spellStart"/>
      <w:r w:rsidRPr="003107EB">
        <w:rPr>
          <w:rFonts w:ascii="Verdana" w:eastAsia="Batang" w:hAnsi="Verdana" w:cstheme="minorBidi"/>
          <w:sz w:val="20"/>
          <w:szCs w:val="20"/>
          <w:lang w:val="pt-BR"/>
        </w:rPr>
        <w:t>Zaffaroni</w:t>
      </w:r>
      <w:proofErr w:type="spellEnd"/>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r>
      <w:r w:rsidRPr="003107EB">
        <w:rPr>
          <w:rFonts w:ascii="Verdana" w:eastAsia="Batang" w:hAnsi="Verdana" w:cstheme="minorBidi"/>
          <w:sz w:val="20"/>
          <w:szCs w:val="20"/>
          <w:lang w:val="pt-BR"/>
        </w:rPr>
        <w:tab/>
        <w:t xml:space="preserve">Ricardo C. Pérez </w:t>
      </w:r>
      <w:proofErr w:type="spellStart"/>
      <w:r w:rsidRPr="003107EB">
        <w:rPr>
          <w:rFonts w:ascii="Verdana" w:eastAsia="Batang" w:hAnsi="Verdana" w:cstheme="minorBidi"/>
          <w:sz w:val="20"/>
          <w:szCs w:val="20"/>
          <w:lang w:val="pt-BR"/>
        </w:rPr>
        <w:t>Manrique</w:t>
      </w:r>
      <w:proofErr w:type="spellEnd"/>
    </w:p>
    <w:p w14:paraId="64A74672" w14:textId="77777777" w:rsidR="003107EB" w:rsidRPr="003107EB" w:rsidRDefault="003107EB" w:rsidP="003107EB">
      <w:pPr>
        <w:tabs>
          <w:tab w:val="left" w:pos="8460"/>
          <w:tab w:val="left" w:pos="8640"/>
        </w:tabs>
        <w:jc w:val="center"/>
        <w:rPr>
          <w:rFonts w:ascii="Verdana" w:eastAsia="Batang" w:hAnsi="Verdana" w:cstheme="minorBidi"/>
          <w:sz w:val="20"/>
          <w:szCs w:val="20"/>
          <w:lang w:val="pt-BR"/>
        </w:rPr>
      </w:pPr>
    </w:p>
    <w:p w14:paraId="004674A3" w14:textId="2EE90742" w:rsidR="003107EB" w:rsidRPr="003107EB" w:rsidRDefault="003107EB" w:rsidP="003107EB">
      <w:pPr>
        <w:tabs>
          <w:tab w:val="left" w:pos="8460"/>
          <w:tab w:val="left" w:pos="8640"/>
        </w:tabs>
        <w:jc w:val="center"/>
        <w:rPr>
          <w:rFonts w:ascii="Verdana" w:eastAsia="Batang" w:hAnsi="Verdana" w:cstheme="minorBidi"/>
          <w:sz w:val="20"/>
          <w:szCs w:val="20"/>
          <w:lang w:val="pt-BR"/>
        </w:rPr>
      </w:pPr>
    </w:p>
    <w:p w14:paraId="29F52FF0" w14:textId="77777777" w:rsidR="003107EB" w:rsidRPr="003107EB" w:rsidRDefault="003107EB" w:rsidP="003107EB">
      <w:pPr>
        <w:tabs>
          <w:tab w:val="left" w:pos="8460"/>
          <w:tab w:val="left" w:pos="8640"/>
        </w:tabs>
        <w:jc w:val="center"/>
        <w:rPr>
          <w:rFonts w:ascii="Verdana" w:eastAsia="Batang" w:hAnsi="Verdana" w:cstheme="minorBidi"/>
          <w:sz w:val="20"/>
          <w:szCs w:val="20"/>
          <w:lang w:val="pt-BR"/>
        </w:rPr>
      </w:pPr>
    </w:p>
    <w:p w14:paraId="3E3CCFCC" w14:textId="5440E050" w:rsidR="003107EB" w:rsidRPr="003107EB" w:rsidRDefault="003107EB" w:rsidP="003107EB">
      <w:pPr>
        <w:tabs>
          <w:tab w:val="left" w:pos="8460"/>
          <w:tab w:val="left" w:pos="8640"/>
        </w:tabs>
        <w:jc w:val="center"/>
        <w:rPr>
          <w:rFonts w:ascii="Verdana" w:eastAsia="Batang" w:hAnsi="Verdana" w:cstheme="minorBidi"/>
          <w:sz w:val="20"/>
          <w:szCs w:val="20"/>
          <w:lang w:val="pt-BR"/>
        </w:rPr>
      </w:pPr>
    </w:p>
    <w:p w14:paraId="3DFCA385" w14:textId="77777777" w:rsidR="003107EB" w:rsidRPr="003107EB" w:rsidRDefault="003107EB" w:rsidP="003107EB">
      <w:pPr>
        <w:tabs>
          <w:tab w:val="left" w:pos="8460"/>
          <w:tab w:val="left" w:pos="8640"/>
        </w:tabs>
        <w:jc w:val="center"/>
        <w:rPr>
          <w:rFonts w:ascii="Verdana" w:eastAsia="Batang" w:hAnsi="Verdana" w:cstheme="minorBidi"/>
          <w:sz w:val="20"/>
          <w:szCs w:val="20"/>
          <w:lang w:val="pt-BR"/>
        </w:rPr>
      </w:pPr>
    </w:p>
    <w:p w14:paraId="2019FA10" w14:textId="77777777" w:rsidR="003107EB" w:rsidRPr="003107EB" w:rsidRDefault="003107EB" w:rsidP="003107EB">
      <w:pPr>
        <w:tabs>
          <w:tab w:val="left" w:pos="8460"/>
          <w:tab w:val="left" w:pos="8640"/>
        </w:tabs>
        <w:jc w:val="center"/>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Pablo Saavedra </w:t>
      </w:r>
      <w:proofErr w:type="spellStart"/>
      <w:r w:rsidRPr="003107EB">
        <w:rPr>
          <w:rFonts w:ascii="Verdana" w:eastAsia="Batang" w:hAnsi="Verdana" w:cstheme="minorBidi"/>
          <w:sz w:val="20"/>
          <w:szCs w:val="20"/>
          <w:lang w:val="pt-BR"/>
        </w:rPr>
        <w:t>Alessandri</w:t>
      </w:r>
      <w:proofErr w:type="spellEnd"/>
    </w:p>
    <w:p w14:paraId="1F9AFC00" w14:textId="77777777" w:rsidR="003107EB" w:rsidRPr="003107EB" w:rsidRDefault="003107EB" w:rsidP="003107EB">
      <w:pPr>
        <w:tabs>
          <w:tab w:val="left" w:pos="8460"/>
          <w:tab w:val="left" w:pos="8640"/>
        </w:tabs>
        <w:jc w:val="center"/>
        <w:rPr>
          <w:rFonts w:ascii="Verdana" w:eastAsia="Batang" w:hAnsi="Verdana" w:cstheme="minorBidi"/>
          <w:sz w:val="20"/>
          <w:szCs w:val="20"/>
          <w:lang w:val="pt-BR"/>
        </w:rPr>
      </w:pPr>
      <w:r w:rsidRPr="003107EB">
        <w:rPr>
          <w:rFonts w:ascii="Verdana" w:eastAsia="Batang" w:hAnsi="Verdana" w:cstheme="minorBidi"/>
          <w:sz w:val="20"/>
          <w:szCs w:val="20"/>
          <w:lang w:val="pt-BR"/>
        </w:rPr>
        <w:t>Secretario</w:t>
      </w:r>
    </w:p>
    <w:p w14:paraId="17C24AB8" w14:textId="77777777"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13B92999" w14:textId="77777777" w:rsidR="003107EB" w:rsidRPr="003107EB" w:rsidRDefault="003107EB" w:rsidP="003107EB">
      <w:pPr>
        <w:jc w:val="both"/>
        <w:rPr>
          <w:rFonts w:ascii="Verdana" w:eastAsia="Batang" w:hAnsi="Verdana" w:cstheme="minorBidi"/>
          <w:sz w:val="20"/>
          <w:szCs w:val="20"/>
          <w:lang w:val="pt-BR"/>
        </w:rPr>
      </w:pPr>
    </w:p>
    <w:p w14:paraId="417D8143" w14:textId="25C5A6DC"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06D4C767" w14:textId="0241D9FE"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2BF268A6" w14:textId="5B38A124" w:rsidR="003107EB" w:rsidRPr="003107EB" w:rsidRDefault="003107EB" w:rsidP="003107EB">
      <w:pPr>
        <w:tabs>
          <w:tab w:val="left" w:pos="8460"/>
          <w:tab w:val="left" w:pos="8640"/>
        </w:tabs>
        <w:jc w:val="both"/>
        <w:rPr>
          <w:rFonts w:ascii="Verdana" w:eastAsia="Batang" w:hAnsi="Verdana" w:cstheme="minorBidi"/>
          <w:sz w:val="20"/>
          <w:szCs w:val="20"/>
          <w:lang w:val="pt-BR"/>
        </w:rPr>
      </w:pPr>
      <w:proofErr w:type="spellStart"/>
      <w:r w:rsidRPr="003107EB">
        <w:rPr>
          <w:rFonts w:ascii="Verdana" w:eastAsia="Batang" w:hAnsi="Verdana" w:cstheme="minorBidi"/>
          <w:sz w:val="20"/>
          <w:szCs w:val="20"/>
          <w:lang w:val="pt-BR"/>
        </w:rPr>
        <w:t>Comuníquese</w:t>
      </w:r>
      <w:proofErr w:type="spellEnd"/>
      <w:r w:rsidRPr="003107EB">
        <w:rPr>
          <w:rFonts w:ascii="Verdana" w:eastAsia="Batang" w:hAnsi="Verdana" w:cstheme="minorBidi"/>
          <w:sz w:val="20"/>
          <w:szCs w:val="20"/>
          <w:lang w:val="pt-BR"/>
        </w:rPr>
        <w:t xml:space="preserve"> y </w:t>
      </w:r>
      <w:proofErr w:type="spellStart"/>
      <w:r w:rsidRPr="003107EB">
        <w:rPr>
          <w:rFonts w:ascii="Verdana" w:eastAsia="Batang" w:hAnsi="Verdana" w:cstheme="minorBidi"/>
          <w:sz w:val="20"/>
          <w:szCs w:val="20"/>
          <w:lang w:val="pt-BR"/>
        </w:rPr>
        <w:t>ejecútese</w:t>
      </w:r>
      <w:proofErr w:type="spellEnd"/>
      <w:r w:rsidRPr="003107EB">
        <w:rPr>
          <w:rFonts w:ascii="Verdana" w:eastAsia="Batang" w:hAnsi="Verdana" w:cstheme="minorBidi"/>
          <w:sz w:val="20"/>
          <w:szCs w:val="20"/>
          <w:lang w:val="pt-BR"/>
        </w:rPr>
        <w:t>,</w:t>
      </w:r>
    </w:p>
    <w:p w14:paraId="0DA584EB" w14:textId="642BA8A9"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21E8F255" w14:textId="268ACD01"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00A55AE2" w14:textId="10E2A8AE"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629C45D3" w14:textId="4ABDE2AA"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202F9290" w14:textId="77777777" w:rsidR="003107EB" w:rsidRPr="003107EB" w:rsidRDefault="003107EB" w:rsidP="003107EB">
      <w:pPr>
        <w:ind w:left="4956"/>
        <w:jc w:val="center"/>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Elizabeth </w:t>
      </w:r>
      <w:proofErr w:type="spellStart"/>
      <w:r w:rsidRPr="003107EB">
        <w:rPr>
          <w:rFonts w:ascii="Verdana" w:eastAsia="Batang" w:hAnsi="Verdana" w:cstheme="minorBidi"/>
          <w:sz w:val="20"/>
          <w:szCs w:val="20"/>
          <w:lang w:val="pt-BR"/>
        </w:rPr>
        <w:t>Odio</w:t>
      </w:r>
      <w:proofErr w:type="spellEnd"/>
      <w:r w:rsidRPr="003107EB">
        <w:rPr>
          <w:rFonts w:ascii="Verdana" w:eastAsia="Batang" w:hAnsi="Verdana" w:cstheme="minorBidi"/>
          <w:sz w:val="20"/>
          <w:szCs w:val="20"/>
          <w:lang w:val="pt-BR"/>
        </w:rPr>
        <w:t xml:space="preserve"> Benito</w:t>
      </w:r>
    </w:p>
    <w:p w14:paraId="5C165442" w14:textId="5116737C" w:rsidR="003107EB" w:rsidRPr="003107EB" w:rsidRDefault="003107EB" w:rsidP="003107EB">
      <w:pPr>
        <w:ind w:left="4956" w:right="1170"/>
        <w:jc w:val="center"/>
        <w:rPr>
          <w:rFonts w:ascii="Verdana" w:eastAsia="Batang" w:hAnsi="Verdana" w:cstheme="minorBidi"/>
          <w:sz w:val="20"/>
          <w:szCs w:val="20"/>
          <w:lang w:val="pt-BR"/>
        </w:rPr>
      </w:pPr>
      <w:r>
        <w:rPr>
          <w:rFonts w:ascii="Verdana" w:eastAsia="Batang" w:hAnsi="Verdana" w:cstheme="minorBidi"/>
          <w:sz w:val="20"/>
          <w:szCs w:val="20"/>
          <w:lang w:val="pt-BR"/>
        </w:rPr>
        <w:t xml:space="preserve">                </w:t>
      </w:r>
      <w:r w:rsidRPr="003107EB">
        <w:rPr>
          <w:rFonts w:ascii="Verdana" w:eastAsia="Batang" w:hAnsi="Verdana" w:cstheme="minorBidi"/>
          <w:sz w:val="20"/>
          <w:szCs w:val="20"/>
          <w:lang w:val="pt-BR"/>
        </w:rPr>
        <w:t>Presidenta</w:t>
      </w:r>
    </w:p>
    <w:p w14:paraId="5FAB5FC9" w14:textId="19250765"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4C868CDE" w14:textId="77777777"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60D6FB3C" w14:textId="0A73A459"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32711DCA" w14:textId="77777777" w:rsidR="003107EB" w:rsidRPr="003107EB" w:rsidRDefault="003107EB" w:rsidP="003107EB">
      <w:pPr>
        <w:tabs>
          <w:tab w:val="left" w:pos="8460"/>
          <w:tab w:val="left" w:pos="8640"/>
        </w:tabs>
        <w:jc w:val="both"/>
        <w:rPr>
          <w:rFonts w:ascii="Verdana" w:eastAsia="Batang" w:hAnsi="Verdana" w:cstheme="minorBidi"/>
          <w:sz w:val="20"/>
          <w:szCs w:val="20"/>
          <w:lang w:val="pt-BR"/>
        </w:rPr>
      </w:pPr>
    </w:p>
    <w:p w14:paraId="3890A4ED" w14:textId="77777777" w:rsidR="003107EB" w:rsidRPr="003107EB" w:rsidRDefault="003107EB" w:rsidP="003107EB">
      <w:pPr>
        <w:tabs>
          <w:tab w:val="left" w:pos="8460"/>
          <w:tab w:val="left" w:pos="8640"/>
        </w:tabs>
        <w:jc w:val="both"/>
        <w:rPr>
          <w:rFonts w:ascii="Verdana" w:eastAsia="Batang" w:hAnsi="Verdana" w:cstheme="minorBidi"/>
          <w:sz w:val="20"/>
          <w:szCs w:val="20"/>
          <w:lang w:val="pt-BR"/>
        </w:rPr>
      </w:pPr>
      <w:r w:rsidRPr="003107EB">
        <w:rPr>
          <w:rFonts w:ascii="Verdana" w:eastAsia="Batang" w:hAnsi="Verdana" w:cstheme="minorBidi"/>
          <w:sz w:val="20"/>
          <w:szCs w:val="20"/>
          <w:lang w:val="pt-BR"/>
        </w:rPr>
        <w:t xml:space="preserve">Pablo Saavedra </w:t>
      </w:r>
      <w:proofErr w:type="spellStart"/>
      <w:r w:rsidRPr="003107EB">
        <w:rPr>
          <w:rFonts w:ascii="Verdana" w:eastAsia="Batang" w:hAnsi="Verdana" w:cstheme="minorBidi"/>
          <w:sz w:val="20"/>
          <w:szCs w:val="20"/>
          <w:lang w:val="pt-BR"/>
        </w:rPr>
        <w:t>Alessandri</w:t>
      </w:r>
      <w:proofErr w:type="spellEnd"/>
    </w:p>
    <w:p w14:paraId="2013EA12" w14:textId="77777777" w:rsidR="003107EB" w:rsidRPr="003107EB" w:rsidRDefault="003107EB" w:rsidP="003107EB">
      <w:pPr>
        <w:tabs>
          <w:tab w:val="left" w:pos="8640"/>
        </w:tabs>
        <w:ind w:left="720"/>
        <w:jc w:val="both"/>
        <w:rPr>
          <w:rFonts w:ascii="Verdana" w:eastAsia="Batang" w:hAnsi="Verdana" w:cstheme="minorBidi"/>
          <w:sz w:val="20"/>
          <w:szCs w:val="20"/>
          <w:lang w:val="pt-BR"/>
        </w:rPr>
      </w:pPr>
      <w:r w:rsidRPr="003107EB">
        <w:rPr>
          <w:rFonts w:ascii="Verdana" w:eastAsia="Batang" w:hAnsi="Verdana" w:cstheme="minorBidi"/>
          <w:sz w:val="20"/>
          <w:szCs w:val="20"/>
          <w:lang w:val="pt-BR"/>
        </w:rPr>
        <w:t>Secretario</w:t>
      </w:r>
    </w:p>
    <w:bookmarkEnd w:id="1"/>
    <w:p w14:paraId="30206809" w14:textId="60AF6908" w:rsidR="00DE6A0D" w:rsidRPr="003107EB" w:rsidRDefault="00DE6A0D" w:rsidP="00262A16">
      <w:pPr>
        <w:tabs>
          <w:tab w:val="left" w:pos="567"/>
        </w:tabs>
        <w:jc w:val="both"/>
        <w:rPr>
          <w:rFonts w:ascii="Verdana" w:eastAsia="Calibri" w:hAnsi="Verdana" w:cs="Verdana"/>
          <w:bCs/>
          <w:sz w:val="20"/>
          <w:szCs w:val="20"/>
        </w:rPr>
      </w:pPr>
    </w:p>
    <w:p w14:paraId="6643EED1" w14:textId="77777777" w:rsidR="00DE6A0D" w:rsidRPr="003107EB" w:rsidRDefault="00DE6A0D" w:rsidP="00262A16">
      <w:pPr>
        <w:tabs>
          <w:tab w:val="left" w:pos="567"/>
        </w:tabs>
        <w:jc w:val="both"/>
        <w:rPr>
          <w:rFonts w:ascii="Verdana" w:eastAsia="Calibri" w:hAnsi="Verdana" w:cs="Verdana"/>
          <w:bCs/>
          <w:sz w:val="20"/>
          <w:szCs w:val="20"/>
        </w:rPr>
      </w:pPr>
    </w:p>
    <w:p w14:paraId="572DC80D" w14:textId="77777777" w:rsidR="00DE6A0D" w:rsidRPr="001D3520" w:rsidRDefault="00DE6A0D" w:rsidP="00262A16">
      <w:pPr>
        <w:tabs>
          <w:tab w:val="left" w:pos="567"/>
        </w:tabs>
        <w:jc w:val="both"/>
        <w:rPr>
          <w:rFonts w:ascii="Verdana" w:eastAsia="Calibri" w:hAnsi="Verdana" w:cs="Verdana"/>
          <w:bCs/>
          <w:sz w:val="20"/>
          <w:szCs w:val="20"/>
        </w:rPr>
      </w:pPr>
    </w:p>
    <w:p w14:paraId="19366F6E" w14:textId="77777777" w:rsidR="00813091" w:rsidRDefault="00813091" w:rsidP="003047EA">
      <w:pPr>
        <w:pStyle w:val="Prrafodelista"/>
        <w:suppressLineNumbers/>
        <w:spacing w:after="0" w:line="240" w:lineRule="auto"/>
        <w:ind w:left="0"/>
        <w:jc w:val="both"/>
        <w:rPr>
          <w:rFonts w:ascii="Verdana" w:hAnsi="Verdana"/>
          <w:sz w:val="20"/>
          <w:szCs w:val="20"/>
          <w:lang w:val="es-ES_tradnl"/>
        </w:rPr>
        <w:sectPr w:rsidR="00813091" w:rsidSect="008474E6">
          <w:footerReference w:type="default" r:id="rId8"/>
          <w:pgSz w:w="11906" w:h="16838"/>
          <w:pgMar w:top="1417" w:right="1701" w:bottom="567" w:left="1701" w:header="708" w:footer="708" w:gutter="0"/>
          <w:cols w:space="708"/>
          <w:docGrid w:linePitch="360"/>
        </w:sectPr>
      </w:pPr>
    </w:p>
    <w:p w14:paraId="327B018D" w14:textId="77777777" w:rsidR="00813091" w:rsidRDefault="00813091" w:rsidP="00813091">
      <w:pPr>
        <w:suppressLineNumbers/>
        <w:tabs>
          <w:tab w:val="left" w:pos="720"/>
        </w:tabs>
        <w:jc w:val="center"/>
        <w:rPr>
          <w:rFonts w:ascii="Verdana" w:hAnsi="Verdana"/>
          <w:b/>
          <w:sz w:val="20"/>
          <w:szCs w:val="20"/>
        </w:rPr>
      </w:pPr>
    </w:p>
    <w:p w14:paraId="0FC7DF63" w14:textId="056FF0F1" w:rsidR="00813091" w:rsidRPr="00813091" w:rsidRDefault="00813091" w:rsidP="00813091">
      <w:pPr>
        <w:suppressLineNumbers/>
        <w:tabs>
          <w:tab w:val="left" w:pos="720"/>
        </w:tabs>
        <w:jc w:val="center"/>
        <w:rPr>
          <w:rFonts w:ascii="Verdana" w:hAnsi="Verdana"/>
          <w:b/>
          <w:sz w:val="20"/>
          <w:szCs w:val="20"/>
        </w:rPr>
      </w:pPr>
      <w:r w:rsidRPr="00813091">
        <w:rPr>
          <w:rFonts w:ascii="Verdana" w:hAnsi="Verdana"/>
          <w:b/>
          <w:sz w:val="20"/>
          <w:szCs w:val="20"/>
        </w:rPr>
        <w:t>VOTO DISIDENTE DEL JUEZ EDUARDO VIO GROSSI,</w:t>
      </w:r>
    </w:p>
    <w:p w14:paraId="01D195E3" w14:textId="77777777" w:rsidR="00813091" w:rsidRPr="00813091" w:rsidRDefault="00813091" w:rsidP="00813091">
      <w:pPr>
        <w:suppressLineNumbers/>
        <w:tabs>
          <w:tab w:val="left" w:pos="720"/>
        </w:tabs>
        <w:jc w:val="center"/>
        <w:rPr>
          <w:rFonts w:ascii="Verdana" w:hAnsi="Verdana"/>
          <w:b/>
          <w:sz w:val="20"/>
          <w:szCs w:val="20"/>
        </w:rPr>
      </w:pPr>
      <w:r w:rsidRPr="00813091">
        <w:rPr>
          <w:rFonts w:ascii="Verdana" w:hAnsi="Verdana"/>
          <w:b/>
          <w:sz w:val="20"/>
          <w:szCs w:val="20"/>
        </w:rPr>
        <w:t>RESOLUCIÓN DE LA</w:t>
      </w:r>
    </w:p>
    <w:p w14:paraId="606FCC6D" w14:textId="77777777" w:rsidR="00813091" w:rsidRPr="00813091" w:rsidRDefault="00813091" w:rsidP="00813091">
      <w:pPr>
        <w:suppressLineNumbers/>
        <w:tabs>
          <w:tab w:val="left" w:pos="720"/>
        </w:tabs>
        <w:jc w:val="center"/>
        <w:rPr>
          <w:rFonts w:ascii="Verdana" w:hAnsi="Verdana"/>
          <w:b/>
          <w:sz w:val="20"/>
          <w:szCs w:val="20"/>
        </w:rPr>
      </w:pPr>
      <w:r w:rsidRPr="00813091">
        <w:rPr>
          <w:rFonts w:ascii="Verdana" w:hAnsi="Verdana"/>
          <w:b/>
          <w:sz w:val="20"/>
          <w:szCs w:val="20"/>
        </w:rPr>
        <w:t>CORTE INTERAMERICANA DE DERECHOS HUMANOS</w:t>
      </w:r>
    </w:p>
    <w:p w14:paraId="3C025CD3" w14:textId="77777777" w:rsidR="00813091" w:rsidRPr="00813091" w:rsidRDefault="00813091" w:rsidP="00813091">
      <w:pPr>
        <w:suppressLineNumbers/>
        <w:tabs>
          <w:tab w:val="left" w:pos="720"/>
        </w:tabs>
        <w:jc w:val="center"/>
        <w:rPr>
          <w:rFonts w:ascii="Verdana" w:hAnsi="Verdana"/>
          <w:b/>
          <w:sz w:val="20"/>
          <w:szCs w:val="20"/>
        </w:rPr>
      </w:pPr>
      <w:r w:rsidRPr="00813091">
        <w:rPr>
          <w:rFonts w:ascii="Verdana" w:hAnsi="Verdana"/>
          <w:b/>
          <w:sz w:val="20"/>
          <w:szCs w:val="20"/>
        </w:rPr>
        <w:t>DE 2 DE SEPTIEMBRE DE 2020,</w:t>
      </w:r>
    </w:p>
    <w:p w14:paraId="41AFD25C" w14:textId="77777777" w:rsidR="00813091" w:rsidRPr="00813091" w:rsidRDefault="00813091" w:rsidP="00813091">
      <w:pPr>
        <w:suppressLineNumbers/>
        <w:jc w:val="center"/>
        <w:rPr>
          <w:rFonts w:ascii="Verdana" w:hAnsi="Verdana"/>
          <w:b/>
          <w:sz w:val="20"/>
          <w:szCs w:val="20"/>
        </w:rPr>
      </w:pPr>
      <w:r w:rsidRPr="00813091">
        <w:rPr>
          <w:rFonts w:ascii="Verdana" w:hAnsi="Verdana"/>
          <w:b/>
          <w:sz w:val="20"/>
          <w:szCs w:val="20"/>
        </w:rPr>
        <w:t>MEDIDAS PROVISIONALES RESPECTO DE HONDURAS,</w:t>
      </w:r>
    </w:p>
    <w:p w14:paraId="1125E6BF" w14:textId="77777777" w:rsidR="00813091" w:rsidRPr="00813091" w:rsidRDefault="00813091" w:rsidP="00813091">
      <w:pPr>
        <w:jc w:val="center"/>
        <w:rPr>
          <w:rFonts w:ascii="Verdana" w:hAnsi="Verdana"/>
          <w:b/>
          <w:i/>
          <w:sz w:val="20"/>
          <w:szCs w:val="20"/>
        </w:rPr>
      </w:pPr>
      <w:r w:rsidRPr="00813091">
        <w:rPr>
          <w:rFonts w:ascii="Verdana" w:hAnsi="Verdana"/>
          <w:b/>
          <w:i/>
          <w:sz w:val="20"/>
          <w:szCs w:val="20"/>
        </w:rPr>
        <w:t>CASO COMUNIDADES GARÍFUNAS DE TRIUNFO DE LA CRUZ Y PUNTA PIEDRA.</w:t>
      </w:r>
    </w:p>
    <w:p w14:paraId="7611E043" w14:textId="77777777" w:rsidR="00813091" w:rsidRPr="00813091" w:rsidRDefault="00813091" w:rsidP="00813091">
      <w:pPr>
        <w:spacing w:line="276" w:lineRule="auto"/>
        <w:contextualSpacing/>
        <w:rPr>
          <w:rFonts w:ascii="Verdana" w:eastAsiaTheme="minorHAnsi" w:hAnsi="Verdana" w:cstheme="minorBidi"/>
          <w:b/>
          <w:bCs/>
          <w:sz w:val="20"/>
          <w:szCs w:val="20"/>
          <w:lang w:val="es-CL"/>
        </w:rPr>
      </w:pPr>
    </w:p>
    <w:p w14:paraId="26D550FE" w14:textId="77777777" w:rsidR="00813091" w:rsidRPr="00813091" w:rsidRDefault="00813091" w:rsidP="00813091">
      <w:pPr>
        <w:spacing w:line="276" w:lineRule="auto"/>
        <w:ind w:left="153" w:right="-567"/>
        <w:contextualSpacing/>
        <w:jc w:val="both"/>
        <w:rPr>
          <w:rFonts w:ascii="Verdana" w:eastAsiaTheme="minorHAnsi" w:hAnsi="Verdana" w:cstheme="minorBidi"/>
          <w:b/>
          <w:bCs/>
          <w:sz w:val="20"/>
          <w:szCs w:val="20"/>
          <w:lang w:val="es-CL"/>
        </w:rPr>
      </w:pPr>
    </w:p>
    <w:p w14:paraId="6090F46B" w14:textId="77777777" w:rsidR="00813091" w:rsidRPr="00813091" w:rsidRDefault="00813091" w:rsidP="00813091">
      <w:pPr>
        <w:numPr>
          <w:ilvl w:val="0"/>
          <w:numId w:val="26"/>
        </w:numPr>
        <w:spacing w:after="160" w:line="276" w:lineRule="auto"/>
        <w:ind w:left="153" w:right="-567"/>
        <w:contextualSpacing/>
        <w:jc w:val="both"/>
        <w:rPr>
          <w:rFonts w:ascii="Verdana" w:eastAsiaTheme="minorHAnsi" w:hAnsi="Verdana" w:cstheme="minorBidi"/>
          <w:b/>
          <w:bCs/>
          <w:sz w:val="20"/>
          <w:szCs w:val="20"/>
          <w:lang w:val="es-CL"/>
        </w:rPr>
      </w:pPr>
      <w:r w:rsidRPr="00813091">
        <w:rPr>
          <w:rFonts w:ascii="Verdana" w:eastAsiaTheme="minorHAnsi" w:hAnsi="Verdana" w:cstheme="minorBidi"/>
          <w:b/>
          <w:bCs/>
          <w:sz w:val="20"/>
          <w:szCs w:val="20"/>
          <w:lang w:val="es-CL"/>
        </w:rPr>
        <w:t>INTRODUCCIÓN.</w:t>
      </w:r>
    </w:p>
    <w:p w14:paraId="33FD8609" w14:textId="77777777" w:rsidR="00813091" w:rsidRPr="00813091" w:rsidRDefault="00813091" w:rsidP="00813091">
      <w:pPr>
        <w:spacing w:line="276" w:lineRule="auto"/>
        <w:ind w:left="-567" w:right="-567"/>
        <w:contextualSpacing/>
        <w:jc w:val="both"/>
        <w:rPr>
          <w:rFonts w:ascii="Verdana" w:eastAsiaTheme="minorHAnsi" w:hAnsi="Verdana" w:cstheme="minorBidi"/>
          <w:b/>
          <w:bCs/>
          <w:sz w:val="20"/>
          <w:szCs w:val="20"/>
          <w:lang w:val="es-CL"/>
        </w:rPr>
      </w:pPr>
    </w:p>
    <w:p w14:paraId="200BE6F5"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Se expide el presente voto disidente</w:t>
      </w:r>
      <w:r w:rsidRPr="00813091">
        <w:rPr>
          <w:rFonts w:ascii="Verdana" w:eastAsiaTheme="minorHAnsi" w:hAnsi="Verdana" w:cstheme="minorBidi"/>
          <w:sz w:val="20"/>
          <w:szCs w:val="20"/>
          <w:vertAlign w:val="superscript"/>
          <w:lang w:val="es-CL"/>
        </w:rPr>
        <w:footnoteReference w:id="14"/>
      </w:r>
      <w:r w:rsidRPr="00813091">
        <w:rPr>
          <w:rFonts w:ascii="Verdana" w:eastAsiaTheme="minorHAnsi" w:hAnsi="Verdana" w:cstheme="minorBidi"/>
          <w:sz w:val="20"/>
          <w:szCs w:val="20"/>
          <w:lang w:val="es-CL"/>
        </w:rPr>
        <w:t xml:space="preserve"> respecto de la Resolución del título</w:t>
      </w:r>
      <w:r w:rsidRPr="00813091">
        <w:rPr>
          <w:rFonts w:ascii="Verdana" w:eastAsiaTheme="minorHAnsi" w:hAnsi="Verdana" w:cstheme="minorBidi"/>
          <w:sz w:val="20"/>
          <w:szCs w:val="20"/>
          <w:vertAlign w:val="superscript"/>
          <w:lang w:val="es-CL"/>
        </w:rPr>
        <w:footnoteReference w:id="15"/>
      </w:r>
      <w:r w:rsidRPr="00813091">
        <w:rPr>
          <w:rFonts w:ascii="Verdana" w:eastAsiaTheme="minorHAnsi" w:hAnsi="Verdana" w:cstheme="minorBidi"/>
          <w:sz w:val="20"/>
          <w:szCs w:val="20"/>
          <w:lang w:val="es-CL"/>
        </w:rPr>
        <w:t>, que ha ratificado</w:t>
      </w:r>
      <w:r w:rsidRPr="00813091">
        <w:rPr>
          <w:rFonts w:ascii="Verdana" w:eastAsiaTheme="minorHAnsi" w:hAnsi="Verdana" w:cstheme="minorBidi"/>
          <w:sz w:val="20"/>
          <w:szCs w:val="20"/>
          <w:vertAlign w:val="superscript"/>
          <w:lang w:val="es-CL"/>
        </w:rPr>
        <w:footnoteReference w:id="16"/>
      </w:r>
      <w:r w:rsidRPr="00813091">
        <w:rPr>
          <w:rFonts w:ascii="Verdana" w:eastAsiaTheme="minorHAnsi" w:hAnsi="Verdana" w:cstheme="minorBidi"/>
          <w:sz w:val="20"/>
          <w:szCs w:val="20"/>
          <w:lang w:val="es-CL"/>
        </w:rPr>
        <w:t xml:space="preserve"> la Resolución de Medidas Urgentes de la </w:t>
      </w:r>
      <w:proofErr w:type="gramStart"/>
      <w:r w:rsidRPr="00813091">
        <w:rPr>
          <w:rFonts w:ascii="Verdana" w:eastAsiaTheme="minorHAnsi" w:hAnsi="Verdana" w:cstheme="minorBidi"/>
          <w:sz w:val="20"/>
          <w:szCs w:val="20"/>
          <w:lang w:val="es-CL"/>
        </w:rPr>
        <w:t>Presidenta</w:t>
      </w:r>
      <w:proofErr w:type="gramEnd"/>
      <w:r w:rsidRPr="00813091">
        <w:rPr>
          <w:rFonts w:ascii="Verdana" w:eastAsiaTheme="minorHAnsi" w:hAnsi="Verdana" w:cstheme="minorBidi"/>
          <w:sz w:val="20"/>
          <w:szCs w:val="20"/>
          <w:lang w:val="es-CL"/>
        </w:rPr>
        <w:t xml:space="preserve"> de la Corte Interamericana de Derechos Humanos</w:t>
      </w:r>
      <w:r w:rsidRPr="00813091">
        <w:rPr>
          <w:rFonts w:ascii="Verdana" w:eastAsiaTheme="minorHAnsi" w:hAnsi="Verdana" w:cstheme="minorBidi"/>
          <w:sz w:val="20"/>
          <w:szCs w:val="20"/>
          <w:vertAlign w:val="superscript"/>
          <w:lang w:val="es-CL"/>
        </w:rPr>
        <w:footnoteReference w:id="17"/>
      </w:r>
      <w:r w:rsidRPr="00813091">
        <w:rPr>
          <w:rFonts w:ascii="Verdana" w:eastAsiaTheme="minorHAnsi" w:hAnsi="Verdana" w:cstheme="minorBidi"/>
          <w:sz w:val="20"/>
          <w:szCs w:val="20"/>
          <w:lang w:val="es-CL"/>
        </w:rPr>
        <w:t>, del 6 de agosto del año en curso</w:t>
      </w:r>
      <w:r w:rsidRPr="00813091">
        <w:rPr>
          <w:rFonts w:ascii="Verdana" w:eastAsiaTheme="minorHAnsi" w:hAnsi="Verdana" w:cstheme="minorBidi"/>
          <w:sz w:val="20"/>
          <w:szCs w:val="20"/>
          <w:vertAlign w:val="superscript"/>
          <w:lang w:val="es-CL"/>
        </w:rPr>
        <w:footnoteReference w:id="18"/>
      </w:r>
      <w:r w:rsidRPr="00813091">
        <w:rPr>
          <w:rFonts w:ascii="Verdana" w:eastAsiaTheme="minorHAnsi" w:hAnsi="Verdana" w:cstheme="minorBidi"/>
          <w:sz w:val="20"/>
          <w:szCs w:val="20"/>
          <w:lang w:val="es-CL"/>
        </w:rPr>
        <w:t>.</w:t>
      </w:r>
    </w:p>
    <w:p w14:paraId="03A7F6C3" w14:textId="77777777" w:rsidR="00813091" w:rsidRPr="00813091" w:rsidRDefault="00813091" w:rsidP="00813091">
      <w:pPr>
        <w:spacing w:line="276" w:lineRule="auto"/>
        <w:ind w:left="-207" w:right="-567"/>
        <w:contextualSpacing/>
        <w:jc w:val="both"/>
        <w:rPr>
          <w:rFonts w:ascii="Verdana" w:eastAsiaTheme="minorHAnsi" w:hAnsi="Verdana" w:cstheme="minorBidi"/>
          <w:sz w:val="20"/>
          <w:szCs w:val="20"/>
          <w:lang w:val="es-CL"/>
        </w:rPr>
      </w:pPr>
    </w:p>
    <w:p w14:paraId="5DB23B54"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En atención a la circunstancia de que en la Resolución se ha reiterado una jurisprudencia con la que el suscrito discrepa, tal como lo ha indicado en sus votos individuales emitidas en las oportunidades correspondientes</w:t>
      </w:r>
      <w:r w:rsidRPr="00813091">
        <w:rPr>
          <w:rFonts w:ascii="Verdana" w:eastAsiaTheme="minorHAnsi" w:hAnsi="Verdana" w:cstheme="minorBidi"/>
          <w:sz w:val="20"/>
          <w:szCs w:val="20"/>
          <w:vertAlign w:val="superscript"/>
          <w:lang w:val="es-CL"/>
        </w:rPr>
        <w:footnoteReference w:id="19"/>
      </w:r>
      <w:r w:rsidRPr="00813091">
        <w:rPr>
          <w:rFonts w:ascii="Verdana" w:eastAsiaTheme="minorHAnsi" w:hAnsi="Verdana" w:cstheme="minorBidi"/>
          <w:sz w:val="20"/>
          <w:szCs w:val="20"/>
          <w:lang w:val="es-CL"/>
        </w:rPr>
        <w:t xml:space="preserve">, y habida cuenta de que dicho parecer no ha sido antes </w:t>
      </w:r>
      <w:r w:rsidRPr="00813091">
        <w:rPr>
          <w:rFonts w:ascii="Verdana" w:eastAsiaTheme="minorHAnsi" w:hAnsi="Verdana" w:cstheme="minorBidi"/>
          <w:sz w:val="20"/>
          <w:szCs w:val="20"/>
          <w:lang w:val="es-CL"/>
        </w:rPr>
        <w:lastRenderedPageBreak/>
        <w:t>expuesto en causa concerniente a la República de Honduras</w:t>
      </w:r>
      <w:r w:rsidRPr="00813091">
        <w:rPr>
          <w:rFonts w:ascii="Verdana" w:eastAsiaTheme="minorHAnsi" w:hAnsi="Verdana" w:cstheme="minorBidi"/>
          <w:sz w:val="20"/>
          <w:szCs w:val="20"/>
          <w:vertAlign w:val="superscript"/>
          <w:lang w:val="es-CL"/>
        </w:rPr>
        <w:footnoteReference w:id="20"/>
      </w:r>
      <w:r w:rsidRPr="00813091">
        <w:rPr>
          <w:rFonts w:ascii="Verdana" w:eastAsiaTheme="minorHAnsi" w:hAnsi="Verdana" w:cstheme="minorBidi"/>
          <w:sz w:val="20"/>
          <w:szCs w:val="20"/>
          <w:lang w:val="es-CL"/>
        </w:rPr>
        <w:t>, se estima necesario reiterarlo en los mismos términos empleados en la última vez, esto es, exponiendo las razones del disenso bajo los acápites: (II) Consideraciones previas, (III) Facultad de la Corte de dictar medidas provisionales, (IV) Facultad de la Comisión Interamericana de Derechos Humanos</w:t>
      </w:r>
      <w:r w:rsidRPr="00813091">
        <w:rPr>
          <w:rFonts w:ascii="Verdana" w:eastAsiaTheme="minorHAnsi" w:hAnsi="Verdana" w:cstheme="minorBidi"/>
          <w:sz w:val="20"/>
          <w:szCs w:val="20"/>
          <w:vertAlign w:val="superscript"/>
          <w:lang w:val="es-CL"/>
        </w:rPr>
        <w:footnoteReference w:id="21"/>
      </w:r>
      <w:r w:rsidRPr="00813091">
        <w:rPr>
          <w:rFonts w:ascii="Verdana" w:eastAsiaTheme="minorHAnsi" w:hAnsi="Verdana" w:cstheme="minorBidi"/>
          <w:sz w:val="20"/>
          <w:szCs w:val="20"/>
          <w:lang w:val="es-CL"/>
        </w:rPr>
        <w:t xml:space="preserve"> en la materia, (V) Vulneración de las normas en autos y Conclusiones (VI).</w:t>
      </w:r>
    </w:p>
    <w:p w14:paraId="199AF0F7" w14:textId="77777777" w:rsidR="00813091" w:rsidRPr="00813091" w:rsidRDefault="00813091" w:rsidP="00813091">
      <w:pPr>
        <w:spacing w:line="276" w:lineRule="auto"/>
        <w:ind w:right="-567"/>
        <w:jc w:val="both"/>
        <w:rPr>
          <w:rFonts w:ascii="Verdana" w:eastAsiaTheme="minorHAnsi" w:hAnsi="Verdana" w:cstheme="minorBidi"/>
          <w:sz w:val="20"/>
          <w:szCs w:val="20"/>
          <w:lang w:val="es-CL"/>
        </w:rPr>
      </w:pPr>
    </w:p>
    <w:p w14:paraId="681AF956" w14:textId="77777777" w:rsidR="00813091" w:rsidRPr="00813091" w:rsidRDefault="00813091" w:rsidP="00813091">
      <w:pPr>
        <w:numPr>
          <w:ilvl w:val="0"/>
          <w:numId w:val="26"/>
        </w:numPr>
        <w:spacing w:after="160" w:line="276" w:lineRule="auto"/>
        <w:ind w:left="153" w:right="-567"/>
        <w:contextualSpacing/>
        <w:jc w:val="both"/>
        <w:rPr>
          <w:rFonts w:ascii="Verdana" w:eastAsiaTheme="minorHAnsi" w:hAnsi="Verdana" w:cstheme="minorBidi"/>
          <w:b/>
          <w:bCs/>
          <w:sz w:val="20"/>
          <w:szCs w:val="20"/>
          <w:lang w:val="es-CL"/>
        </w:rPr>
      </w:pPr>
      <w:bookmarkStart w:id="3" w:name="_Hlk40703323"/>
      <w:r w:rsidRPr="00813091">
        <w:rPr>
          <w:rFonts w:ascii="Verdana" w:eastAsiaTheme="minorHAnsi" w:hAnsi="Verdana" w:cstheme="minorBidi"/>
          <w:b/>
          <w:bCs/>
          <w:sz w:val="20"/>
          <w:szCs w:val="20"/>
          <w:lang w:val="es-CL"/>
        </w:rPr>
        <w:t>CONSIDERACIONES PREVIAS.</w:t>
      </w:r>
    </w:p>
    <w:p w14:paraId="6DDC4EA0" w14:textId="77777777" w:rsidR="00813091" w:rsidRPr="00813091" w:rsidRDefault="00813091" w:rsidP="00813091">
      <w:pPr>
        <w:spacing w:line="276" w:lineRule="auto"/>
        <w:ind w:left="-567" w:right="-567"/>
        <w:contextualSpacing/>
        <w:jc w:val="both"/>
        <w:rPr>
          <w:rFonts w:ascii="Verdana" w:eastAsiaTheme="minorHAnsi" w:hAnsi="Verdana" w:cstheme="minorBidi"/>
          <w:b/>
          <w:bCs/>
          <w:sz w:val="20"/>
          <w:szCs w:val="20"/>
          <w:lang w:val="es-CL"/>
        </w:rPr>
      </w:pPr>
    </w:p>
    <w:p w14:paraId="37C15007"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bookmarkStart w:id="4" w:name="_Hlk40525695"/>
      <w:r w:rsidRPr="00813091">
        <w:rPr>
          <w:rFonts w:ascii="Verdana" w:eastAsiaTheme="minorHAnsi" w:hAnsi="Verdana" w:cstheme="minorBidi"/>
          <w:sz w:val="20"/>
          <w:szCs w:val="20"/>
          <w:lang w:val="es-CL"/>
        </w:rPr>
        <w:t>Ciertamente, el presente escrito se emite con pleno respeto y consideración hacia la Corte y con la convicción que ayudará a mejor comprender el alcance de la Resolución.</w:t>
      </w:r>
    </w:p>
    <w:p w14:paraId="0E27F8C8" w14:textId="77777777" w:rsidR="00813091" w:rsidRPr="00813091" w:rsidRDefault="00813091" w:rsidP="00813091">
      <w:pPr>
        <w:spacing w:line="276" w:lineRule="auto"/>
        <w:ind w:left="-207" w:right="-567"/>
        <w:contextualSpacing/>
        <w:jc w:val="both"/>
        <w:rPr>
          <w:rFonts w:ascii="Verdana" w:eastAsiaTheme="minorHAnsi" w:hAnsi="Verdana" w:cstheme="minorBidi"/>
          <w:sz w:val="20"/>
          <w:szCs w:val="20"/>
          <w:lang w:val="es-CL"/>
        </w:rPr>
      </w:pPr>
    </w:p>
    <w:p w14:paraId="2E7FDB23"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Asimismo, se fundamenta en el principio de Derecho Público, ámbito al que pertenece el Derecho Internacional Público y, por ende y como integrante de este último, también el Derecho Internacional de los Derechos Humanos, en virtud del cual solo se puede hacer lo que la norma permite, por lo que lo no regulado se inserta en la jurisdicción interna, doméstica o exclusiva de los Estados</w:t>
      </w:r>
      <w:r w:rsidRPr="00813091">
        <w:rPr>
          <w:rFonts w:ascii="Verdana" w:eastAsiaTheme="minorHAnsi" w:hAnsi="Verdana" w:cstheme="minorBidi"/>
          <w:sz w:val="20"/>
          <w:szCs w:val="20"/>
          <w:vertAlign w:val="superscript"/>
          <w:lang w:val="es-CL"/>
        </w:rPr>
        <w:footnoteReference w:id="22"/>
      </w:r>
      <w:r w:rsidRPr="00813091">
        <w:rPr>
          <w:rFonts w:ascii="Verdana" w:eastAsiaTheme="minorHAnsi" w:hAnsi="Verdana" w:cstheme="minorBidi"/>
          <w:sz w:val="20"/>
          <w:szCs w:val="20"/>
          <w:lang w:val="es-CL"/>
        </w:rPr>
        <w:t>. Dicho principio difiere, entonces, del imperante en Derecho Privado, a saber, que se puede hacer todo lo que la norma no prohíbe.</w:t>
      </w:r>
    </w:p>
    <w:p w14:paraId="7A069651"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69C1A200"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Por cierto, desconocer ese principio de Derecho Público, conlleva prescindir también de la realidad internacional, cual es, que, no obstante, los importantes cambios acaecidos a partir de la segunda mitad del siglo pasado, la sociedad internacional continúa siendo, más allá de lo que se desee, una sociedad fundamentalmente de Estados soberanos. La prescindencia de tal dato en la comprensión de la Convención Americana sobre Derechos Humanos</w:t>
      </w:r>
      <w:r w:rsidRPr="00813091">
        <w:rPr>
          <w:rFonts w:ascii="Verdana" w:eastAsiaTheme="minorHAnsi" w:hAnsi="Verdana" w:cstheme="minorBidi"/>
          <w:sz w:val="20"/>
          <w:szCs w:val="20"/>
          <w:vertAlign w:val="superscript"/>
          <w:lang w:val="es-CL"/>
        </w:rPr>
        <w:footnoteReference w:id="23"/>
      </w:r>
      <w:r w:rsidRPr="00813091">
        <w:rPr>
          <w:rFonts w:ascii="Verdana" w:eastAsiaTheme="minorHAnsi" w:hAnsi="Verdana" w:cstheme="minorBidi"/>
          <w:sz w:val="20"/>
          <w:szCs w:val="20"/>
          <w:lang w:val="es-CL"/>
        </w:rPr>
        <w:t xml:space="preserve">, puede tener indeseables consecuencias en su efectiva y oportuna aplicación, afectando, por ende, la vigencia de los derechos humanos, toda vez que en varias disposiciones de aquella la indicada realidad </w:t>
      </w:r>
      <w:r w:rsidRPr="00813091">
        <w:rPr>
          <w:rFonts w:ascii="Verdana" w:eastAsiaTheme="minorHAnsi" w:hAnsi="Verdana" w:cstheme="minorBidi"/>
          <w:sz w:val="20"/>
          <w:szCs w:val="20"/>
          <w:lang w:val="es-CL"/>
        </w:rPr>
        <w:lastRenderedPageBreak/>
        <w:t>se hace presente, como acontece, por ejemplo, en el segundo párrafo de su preámbulo</w:t>
      </w:r>
      <w:r w:rsidRPr="00813091">
        <w:rPr>
          <w:rFonts w:ascii="Verdana" w:eastAsiaTheme="minorHAnsi" w:hAnsi="Verdana" w:cstheme="minorBidi"/>
          <w:sz w:val="20"/>
          <w:szCs w:val="20"/>
          <w:vertAlign w:val="superscript"/>
          <w:lang w:val="es-CL"/>
        </w:rPr>
        <w:footnoteReference w:id="24"/>
      </w:r>
      <w:r w:rsidRPr="00813091">
        <w:rPr>
          <w:rFonts w:ascii="Verdana" w:eastAsiaTheme="minorHAnsi" w:hAnsi="Verdana" w:cstheme="minorBidi"/>
          <w:sz w:val="20"/>
          <w:szCs w:val="20"/>
          <w:lang w:val="es-CL"/>
        </w:rPr>
        <w:t xml:space="preserve"> y en sus artículos 74.1</w:t>
      </w:r>
      <w:r w:rsidRPr="00813091">
        <w:rPr>
          <w:rFonts w:ascii="Verdana" w:eastAsiaTheme="minorHAnsi" w:hAnsi="Verdana" w:cstheme="minorBidi"/>
          <w:sz w:val="20"/>
          <w:szCs w:val="20"/>
          <w:vertAlign w:val="superscript"/>
          <w:lang w:val="es-CL"/>
        </w:rPr>
        <w:footnoteReference w:id="25"/>
      </w:r>
      <w:r w:rsidRPr="00813091">
        <w:rPr>
          <w:rFonts w:ascii="Verdana" w:eastAsiaTheme="minorHAnsi" w:hAnsi="Verdana" w:cstheme="minorBidi"/>
          <w:sz w:val="20"/>
          <w:szCs w:val="20"/>
          <w:lang w:val="es-CL"/>
        </w:rPr>
        <w:t>,1.1</w:t>
      </w:r>
      <w:r w:rsidRPr="00813091">
        <w:rPr>
          <w:rFonts w:ascii="Verdana" w:eastAsiaTheme="minorHAnsi" w:hAnsi="Verdana" w:cstheme="minorBidi"/>
          <w:sz w:val="20"/>
          <w:szCs w:val="20"/>
          <w:vertAlign w:val="superscript"/>
          <w:lang w:val="es-CL"/>
        </w:rPr>
        <w:footnoteReference w:id="26"/>
      </w:r>
      <w:r w:rsidRPr="00813091">
        <w:rPr>
          <w:rFonts w:ascii="Verdana" w:eastAsiaTheme="minorHAnsi" w:hAnsi="Verdana" w:cstheme="minorBidi"/>
          <w:sz w:val="20"/>
          <w:szCs w:val="20"/>
          <w:lang w:val="es-CL"/>
        </w:rPr>
        <w:t>, 2</w:t>
      </w:r>
      <w:r w:rsidRPr="00813091">
        <w:rPr>
          <w:rFonts w:ascii="Verdana" w:eastAsiaTheme="minorHAnsi" w:hAnsi="Verdana" w:cstheme="minorBidi"/>
          <w:sz w:val="20"/>
          <w:szCs w:val="20"/>
          <w:vertAlign w:val="superscript"/>
          <w:lang w:val="es-CL"/>
        </w:rPr>
        <w:footnoteReference w:id="27"/>
      </w:r>
      <w:r w:rsidRPr="00813091">
        <w:rPr>
          <w:rFonts w:ascii="Verdana" w:eastAsiaTheme="minorHAnsi" w:hAnsi="Verdana" w:cstheme="minorBidi"/>
          <w:sz w:val="20"/>
          <w:szCs w:val="20"/>
          <w:lang w:val="es-CL"/>
        </w:rPr>
        <w:t>, 35</w:t>
      </w:r>
      <w:r w:rsidRPr="00813091">
        <w:rPr>
          <w:rFonts w:ascii="Verdana" w:eastAsiaTheme="minorHAnsi" w:hAnsi="Verdana" w:cstheme="minorBidi"/>
          <w:sz w:val="20"/>
          <w:szCs w:val="20"/>
          <w:vertAlign w:val="superscript"/>
          <w:lang w:val="es-CL"/>
        </w:rPr>
        <w:footnoteReference w:id="28"/>
      </w:r>
      <w:r w:rsidRPr="00813091">
        <w:rPr>
          <w:rFonts w:ascii="Verdana" w:eastAsiaTheme="minorHAnsi" w:hAnsi="Verdana" w:cstheme="minorBidi"/>
          <w:sz w:val="20"/>
          <w:szCs w:val="20"/>
          <w:lang w:val="es-CL"/>
        </w:rPr>
        <w:t>, 46.1.a)</w:t>
      </w:r>
      <w:r w:rsidRPr="00813091">
        <w:rPr>
          <w:rFonts w:ascii="Verdana" w:eastAsiaTheme="minorHAnsi" w:hAnsi="Verdana" w:cstheme="minorBidi"/>
          <w:sz w:val="20"/>
          <w:szCs w:val="20"/>
          <w:vertAlign w:val="superscript"/>
          <w:lang w:val="es-CL"/>
        </w:rPr>
        <w:footnoteReference w:id="29"/>
      </w:r>
      <w:r w:rsidRPr="00813091">
        <w:rPr>
          <w:rFonts w:ascii="Verdana" w:eastAsiaTheme="minorHAnsi" w:hAnsi="Verdana" w:cstheme="minorBidi"/>
          <w:sz w:val="20"/>
          <w:szCs w:val="20"/>
          <w:lang w:val="es-CL"/>
        </w:rPr>
        <w:t>, 62.3</w:t>
      </w:r>
      <w:r w:rsidRPr="00813091">
        <w:rPr>
          <w:rFonts w:ascii="Verdana" w:eastAsiaTheme="minorHAnsi" w:hAnsi="Verdana" w:cstheme="minorBidi"/>
          <w:sz w:val="20"/>
          <w:szCs w:val="20"/>
          <w:vertAlign w:val="superscript"/>
          <w:lang w:val="es-CL"/>
        </w:rPr>
        <w:footnoteReference w:id="30"/>
      </w:r>
      <w:r w:rsidRPr="00813091">
        <w:rPr>
          <w:rFonts w:ascii="Verdana" w:eastAsiaTheme="minorHAnsi" w:hAnsi="Verdana" w:cstheme="minorBidi"/>
          <w:sz w:val="20"/>
          <w:szCs w:val="20"/>
          <w:lang w:val="es-CL"/>
        </w:rPr>
        <w:t>, 68</w:t>
      </w:r>
      <w:r w:rsidRPr="00813091">
        <w:rPr>
          <w:rFonts w:ascii="Verdana" w:eastAsiaTheme="minorHAnsi" w:hAnsi="Verdana" w:cstheme="minorBidi"/>
          <w:sz w:val="20"/>
          <w:szCs w:val="20"/>
          <w:vertAlign w:val="superscript"/>
          <w:lang w:val="es-CL"/>
        </w:rPr>
        <w:footnoteReference w:id="31"/>
      </w:r>
      <w:r w:rsidRPr="00813091">
        <w:rPr>
          <w:rFonts w:ascii="Verdana" w:eastAsiaTheme="minorHAnsi" w:hAnsi="Verdana" w:cstheme="minorBidi"/>
          <w:sz w:val="20"/>
          <w:szCs w:val="20"/>
          <w:lang w:val="es-CL"/>
        </w:rPr>
        <w:t>, 31</w:t>
      </w:r>
      <w:r w:rsidRPr="00813091">
        <w:rPr>
          <w:rFonts w:ascii="Verdana" w:eastAsiaTheme="minorHAnsi" w:hAnsi="Verdana" w:cstheme="minorBidi"/>
          <w:sz w:val="20"/>
          <w:szCs w:val="20"/>
          <w:vertAlign w:val="superscript"/>
          <w:lang w:val="es-CL"/>
        </w:rPr>
        <w:footnoteReference w:id="32"/>
      </w:r>
      <w:r w:rsidRPr="00813091">
        <w:rPr>
          <w:rFonts w:ascii="Verdana" w:eastAsiaTheme="minorHAnsi" w:hAnsi="Verdana" w:cstheme="minorBidi"/>
          <w:sz w:val="20"/>
          <w:szCs w:val="20"/>
          <w:lang w:val="es-CL"/>
        </w:rPr>
        <w:t>, 76</w:t>
      </w:r>
      <w:r w:rsidRPr="00813091">
        <w:rPr>
          <w:rFonts w:ascii="Verdana" w:eastAsiaTheme="minorHAnsi" w:hAnsi="Verdana" w:cstheme="minorBidi"/>
          <w:sz w:val="20"/>
          <w:szCs w:val="20"/>
          <w:vertAlign w:val="superscript"/>
          <w:lang w:val="es-CL"/>
        </w:rPr>
        <w:footnoteReference w:id="33"/>
      </w:r>
      <w:r w:rsidRPr="00813091">
        <w:rPr>
          <w:rFonts w:ascii="Verdana" w:eastAsiaTheme="minorHAnsi" w:hAnsi="Verdana" w:cstheme="minorBidi"/>
          <w:sz w:val="20"/>
          <w:szCs w:val="20"/>
          <w:lang w:val="es-CL"/>
        </w:rPr>
        <w:t xml:space="preserve"> y 77</w:t>
      </w:r>
      <w:r w:rsidRPr="00813091">
        <w:rPr>
          <w:rFonts w:ascii="Verdana" w:eastAsiaTheme="minorHAnsi" w:hAnsi="Verdana" w:cstheme="minorBidi"/>
          <w:sz w:val="20"/>
          <w:szCs w:val="20"/>
          <w:vertAlign w:val="superscript"/>
          <w:lang w:val="es-CL"/>
        </w:rPr>
        <w:footnoteReference w:id="34"/>
      </w:r>
      <w:r w:rsidRPr="00813091">
        <w:rPr>
          <w:rFonts w:ascii="Verdana" w:eastAsiaTheme="minorHAnsi" w:hAnsi="Verdana" w:cstheme="minorBidi"/>
          <w:sz w:val="20"/>
          <w:szCs w:val="20"/>
          <w:lang w:val="es-CL"/>
        </w:rPr>
        <w:t>.</w:t>
      </w:r>
    </w:p>
    <w:p w14:paraId="4470CE83"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36AF62BD"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También este texto se basa en el valor del Derecho, incluyendo en él a sus normas procesales, que, especialmente en el área de los derechos humanos, son tan esenciales como las sustantivas, puesto que su respeto permite que estas últimas realmente puedan ser efectivas. </w:t>
      </w:r>
      <w:r w:rsidRPr="00813091">
        <w:rPr>
          <w:rFonts w:ascii="Verdana" w:eastAsiaTheme="minorHAnsi" w:hAnsi="Verdana" w:cs="Arial"/>
          <w:sz w:val="20"/>
          <w:szCs w:val="20"/>
          <w:shd w:val="clear" w:color="auto" w:fill="FFFFFF"/>
          <w:lang w:val="es-CL"/>
        </w:rPr>
        <w:t>Así, la forma está indisolublemente ligada al fondo</w:t>
      </w:r>
      <w:r w:rsidRPr="00813091">
        <w:rPr>
          <w:rFonts w:ascii="Verdana" w:eastAsiaTheme="minorHAnsi" w:hAnsi="Verdana" w:cs="Arial"/>
          <w:color w:val="3A3D42"/>
          <w:sz w:val="20"/>
          <w:szCs w:val="20"/>
          <w:shd w:val="clear" w:color="auto" w:fill="FFFFFF"/>
          <w:lang w:val="es-CL"/>
        </w:rPr>
        <w:t xml:space="preserve">. </w:t>
      </w:r>
      <w:r w:rsidRPr="00813091">
        <w:rPr>
          <w:rFonts w:ascii="Verdana" w:eastAsiaTheme="minorHAnsi" w:hAnsi="Verdana" w:cstheme="minorBidi"/>
          <w:sz w:val="20"/>
          <w:szCs w:val="20"/>
          <w:lang w:val="es-CL"/>
        </w:rPr>
        <w:t>Y es que, en gran medida, las normas procesales, estimadas a veces como meras formalidades y, por ende, susceptibles de no considerarse a fin de privilegiar a las sustantivas, condicionan la aplicabilidad de estas. Por ende, en el evento de subestimarse, por parte de una instancia judicial internacional, a las normas procesales</w:t>
      </w:r>
      <w:bookmarkStart w:id="5" w:name="_Hlk40690821"/>
      <w:r w:rsidRPr="00813091">
        <w:rPr>
          <w:rFonts w:ascii="Verdana" w:eastAsiaTheme="minorHAnsi" w:hAnsi="Verdana" w:cstheme="minorBidi"/>
          <w:sz w:val="20"/>
          <w:szCs w:val="20"/>
          <w:lang w:val="es-CL"/>
        </w:rPr>
        <w:t xml:space="preserve">, </w:t>
      </w:r>
      <w:bookmarkEnd w:id="5"/>
      <w:r w:rsidRPr="00813091">
        <w:rPr>
          <w:rFonts w:ascii="Verdana" w:eastAsiaTheme="minorHAnsi" w:hAnsi="Verdana" w:cstheme="minorBidi"/>
          <w:sz w:val="20"/>
          <w:szCs w:val="20"/>
          <w:lang w:val="es-CL"/>
        </w:rPr>
        <w:t xml:space="preserve">se podría estar alentando al conjunto de la sociedad internacional y aún, a las sociedades nacionales, a actuar del mismo modo, lo que también podría provocar un efecto devastador en lo que respecta a la efectiva vigencia del Derecho Internacional de los Derechos Humanos. </w:t>
      </w:r>
    </w:p>
    <w:p w14:paraId="016BBCC3"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1D353EFD"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lastRenderedPageBreak/>
        <w:t xml:space="preserve">En tal orden de ideas, se considera que indudablemente las normas jurídicas son el resultado de acuerdos entre sus autores, los legisladores en la escena nacional y los Estados en la internacional, los que arriban a consensos conciliando posiciones adoptadas por aquellos en vista de llevar a la práctica sus principios, doctrinas e ideologías o de resguardar intereses propios o de consolidar o acrecentar posiciones de poder u obtener beneficios económicos, etc. Pero, igualmente se tiene en cuenta que, por lo general, el referido consenso no lo es tanto sobre los fundamentos de la correspondiente norma como en lo que ella expresa. En lo que respecta a la materia en cuestión, tal consenso constituye más bien, siguiendo lo que se expresó a propósito de la Declaración Universal de los Derechos Humanos, un acuerdo práctico de lo que se convenía, mas no sobre los fundamentos de ello. Dada las estructuras societarias, pero especialmente la internacional, este método ha sido quizás el único que ha permitido avances en materia de derechos humanos, aunque, sin duda, dispares según el continente y países de que se trate, patrimonio que no se debería arriesgar. </w:t>
      </w:r>
    </w:p>
    <w:p w14:paraId="1EBE2197" w14:textId="77777777" w:rsidR="00813091" w:rsidRPr="00813091" w:rsidRDefault="00813091" w:rsidP="00813091">
      <w:pPr>
        <w:spacing w:line="276" w:lineRule="auto"/>
        <w:ind w:left="-207" w:right="-567"/>
        <w:contextualSpacing/>
        <w:jc w:val="both"/>
        <w:rPr>
          <w:rFonts w:ascii="Verdana" w:eastAsiaTheme="minorHAnsi" w:hAnsi="Verdana" w:cstheme="minorBidi"/>
          <w:i/>
          <w:iCs/>
          <w:sz w:val="20"/>
          <w:szCs w:val="20"/>
          <w:lang w:val="es-CL"/>
        </w:rPr>
      </w:pPr>
    </w:p>
    <w:p w14:paraId="7F1B6D3D"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Por otra parte, asimismo, se tiene presente en este escrito que el Derecho es el único instrumento del que puede disponer la persona humana ante el inmenso y avasallador poder que detenta el Estado, particularmente en la escena internacional. La relación entre ambos es abismantemente desequilibrada. En la situación que nos ocupa, sin el apoyo del Derecho Interamericano de los Derechos Humanos y de las instituciones que contempla, es decir, la Corte y la Comisión, el ser humano estaría, en el ámbito internacional, prácticamente en la indefensión o, al menos, en una situación </w:t>
      </w:r>
      <w:r w:rsidRPr="00813091">
        <w:rPr>
          <w:rFonts w:ascii="Verdana" w:hAnsi="Verdana"/>
          <w:color w:val="000000" w:themeColor="text1"/>
          <w:sz w:val="20"/>
          <w:lang w:val="es-CL"/>
        </w:rPr>
        <w:t>francamente</w:t>
      </w:r>
      <w:r w:rsidRPr="00813091">
        <w:rPr>
          <w:rFonts w:ascii="Verdana" w:eastAsiaTheme="minorHAnsi" w:hAnsi="Verdana" w:cstheme="minorBidi"/>
          <w:sz w:val="20"/>
          <w:szCs w:val="20"/>
          <w:lang w:val="es-CL"/>
        </w:rPr>
        <w:t xml:space="preserve"> de desigualdad o de precariedad. Desde esta óptica, el Derecho Internacional de los Derechos Humanos se sustenta en similar premisa que la del Derecho del Trabajo, la del Derecho de la Infancia o la del Derecho de las Personas Mayores, cual es, proteger a los trabajadores, niños y niñas y personas de edad avanzada, respectivamente.</w:t>
      </w:r>
    </w:p>
    <w:p w14:paraId="5A3ABB60"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1A333E00"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color w:val="FF0000"/>
          <w:sz w:val="20"/>
          <w:szCs w:val="20"/>
          <w:lang w:val="es-CL"/>
        </w:rPr>
      </w:pPr>
      <w:r w:rsidRPr="00813091">
        <w:rPr>
          <w:rFonts w:ascii="Verdana" w:eastAsiaTheme="minorHAnsi" w:hAnsi="Verdana" w:cstheme="minorBidi"/>
          <w:sz w:val="20"/>
          <w:szCs w:val="20"/>
          <w:lang w:val="es-CL"/>
        </w:rPr>
        <w:t>Igualmente, cabe añadir que este voto se apoya en la función que le cabe a la Corte en tanto entidad judicial, cual es, aplicar e interpretar la Convención</w:t>
      </w:r>
      <w:r w:rsidRPr="00813091">
        <w:rPr>
          <w:rFonts w:ascii="Verdana" w:eastAsiaTheme="minorHAnsi" w:hAnsi="Verdana" w:cstheme="minorBidi"/>
          <w:sz w:val="20"/>
          <w:szCs w:val="20"/>
          <w:vertAlign w:val="superscript"/>
          <w:lang w:val="es-CL"/>
        </w:rPr>
        <w:footnoteReference w:id="35"/>
      </w:r>
      <w:r w:rsidRPr="00813091">
        <w:rPr>
          <w:rFonts w:ascii="Verdana" w:eastAsiaTheme="minorHAnsi" w:hAnsi="Verdana" w:cstheme="minorBidi"/>
          <w:sz w:val="20"/>
          <w:szCs w:val="20"/>
          <w:lang w:val="es-CL"/>
        </w:rPr>
        <w:t>, acorde a las reglas de interpretación previstas en la Convención de Viena sobre el Derecho de los Tratados</w:t>
      </w:r>
      <w:r w:rsidRPr="00813091">
        <w:rPr>
          <w:rFonts w:ascii="Verdana" w:eastAsiaTheme="minorHAnsi" w:hAnsi="Verdana" w:cstheme="minorBidi"/>
          <w:sz w:val="20"/>
          <w:szCs w:val="20"/>
          <w:vertAlign w:val="superscript"/>
          <w:lang w:val="es-CL"/>
        </w:rPr>
        <w:footnoteReference w:id="36"/>
      </w:r>
      <w:r w:rsidRPr="00813091">
        <w:rPr>
          <w:rFonts w:ascii="Verdana" w:eastAsiaTheme="minorHAnsi" w:hAnsi="Verdana" w:cstheme="minorBidi"/>
          <w:sz w:val="20"/>
          <w:szCs w:val="20"/>
          <w:lang w:val="es-CL"/>
        </w:rPr>
        <w:t>, que están dirigidas a desentrañar la voluntad de los Estados Partes de aquella, es decir, a precisar el sentido y alcance de lo que la Convención dispone y no en buscar en ella lo que el intérprete quiera que exprese</w:t>
      </w:r>
      <w:r w:rsidRPr="00813091">
        <w:rPr>
          <w:rFonts w:ascii="Verdana" w:eastAsiaTheme="minorHAnsi" w:hAnsi="Verdana" w:cstheme="minorBidi"/>
          <w:sz w:val="20"/>
          <w:szCs w:val="20"/>
          <w:vertAlign w:val="superscript"/>
          <w:lang w:val="es-CL"/>
        </w:rPr>
        <w:footnoteReference w:id="37"/>
      </w:r>
      <w:r w:rsidRPr="00813091">
        <w:rPr>
          <w:rFonts w:ascii="Verdana" w:eastAsiaTheme="minorHAnsi" w:hAnsi="Verdana" w:cstheme="minorBidi"/>
          <w:sz w:val="20"/>
          <w:szCs w:val="20"/>
          <w:lang w:val="es-CL"/>
        </w:rPr>
        <w:t xml:space="preserve">. </w:t>
      </w:r>
      <w:r w:rsidRPr="00813091">
        <w:rPr>
          <w:rFonts w:ascii="Verdana" w:hAnsi="Verdana"/>
          <w:color w:val="000000" w:themeColor="text1"/>
          <w:sz w:val="20"/>
          <w:lang w:val="es-CL"/>
        </w:rPr>
        <w:t>Es, pues, al amparo del principio “</w:t>
      </w:r>
      <w:r w:rsidRPr="00813091">
        <w:rPr>
          <w:rFonts w:ascii="Verdana" w:hAnsi="Verdana"/>
          <w:i/>
          <w:color w:val="000000" w:themeColor="text1"/>
          <w:sz w:val="20"/>
          <w:lang w:val="es-CL"/>
        </w:rPr>
        <w:t xml:space="preserve">pacta sunt </w:t>
      </w:r>
      <w:proofErr w:type="spellStart"/>
      <w:r w:rsidRPr="00813091">
        <w:rPr>
          <w:rFonts w:ascii="Verdana" w:hAnsi="Verdana"/>
          <w:i/>
          <w:color w:val="000000" w:themeColor="text1"/>
          <w:sz w:val="20"/>
          <w:lang w:val="es-CL"/>
        </w:rPr>
        <w:t>servanda</w:t>
      </w:r>
      <w:proofErr w:type="spellEnd"/>
      <w:r w:rsidRPr="00813091">
        <w:rPr>
          <w:rFonts w:ascii="Verdana" w:hAnsi="Verdana"/>
          <w:i/>
          <w:color w:val="000000" w:themeColor="text1"/>
          <w:sz w:val="20"/>
          <w:lang w:val="es-CL"/>
        </w:rPr>
        <w:t>”</w:t>
      </w:r>
      <w:r w:rsidRPr="00813091">
        <w:rPr>
          <w:rFonts w:ascii="Verdana" w:hAnsi="Verdana"/>
          <w:color w:val="000000" w:themeColor="text1"/>
          <w:sz w:val="20"/>
          <w:lang w:val="es-CL"/>
        </w:rPr>
        <w:t xml:space="preserve"> consagrado tanto </w:t>
      </w:r>
      <w:r w:rsidRPr="00813091">
        <w:rPr>
          <w:rFonts w:ascii="Verdana" w:hAnsi="Verdana"/>
          <w:color w:val="000000" w:themeColor="text1"/>
          <w:sz w:val="20"/>
          <w:lang w:val="es-CL"/>
        </w:rPr>
        <w:lastRenderedPageBreak/>
        <w:t>por la costumbre internacional como por el derecho internacional convencional, en particular, la Convención de Viena</w:t>
      </w:r>
      <w:r w:rsidRPr="00813091">
        <w:rPr>
          <w:rFonts w:ascii="Verdana" w:hAnsi="Verdana"/>
          <w:color w:val="000000" w:themeColor="text1"/>
          <w:sz w:val="20"/>
          <w:vertAlign w:val="superscript"/>
          <w:lang w:val="es-CL"/>
        </w:rPr>
        <w:footnoteReference w:id="38"/>
      </w:r>
      <w:r w:rsidRPr="00813091">
        <w:rPr>
          <w:rFonts w:ascii="Verdana" w:hAnsi="Verdana"/>
          <w:color w:val="000000" w:themeColor="text1"/>
          <w:sz w:val="20"/>
          <w:lang w:val="es-CL"/>
        </w:rPr>
        <w:t>, que debe determinarse el sentido y alcance de un tratado, incluyendo, por cierto, la faceta evolutiva de esa interpretación, la que debe, por lo tanto, igualmente sustentarse en la referida norma</w:t>
      </w:r>
      <w:r w:rsidRPr="00813091">
        <w:rPr>
          <w:rFonts w:ascii="Verdana" w:hAnsi="Verdana"/>
          <w:color w:val="000000" w:themeColor="text1"/>
          <w:sz w:val="20"/>
          <w:vertAlign w:val="superscript"/>
          <w:lang w:val="es-CL"/>
        </w:rPr>
        <w:footnoteReference w:id="39"/>
      </w:r>
      <w:r w:rsidRPr="00813091">
        <w:rPr>
          <w:rFonts w:ascii="Verdana" w:hAnsi="Verdana"/>
          <w:color w:val="000000" w:themeColor="text1"/>
          <w:sz w:val="20"/>
          <w:lang w:val="es-CL"/>
        </w:rPr>
        <w:t xml:space="preserve">. </w:t>
      </w:r>
    </w:p>
    <w:p w14:paraId="3ADE3D99" w14:textId="77777777" w:rsidR="00813091" w:rsidRPr="00813091" w:rsidRDefault="00813091" w:rsidP="00813091">
      <w:pPr>
        <w:spacing w:after="100" w:afterAutospacing="1" w:line="276" w:lineRule="auto"/>
        <w:ind w:left="-567" w:right="-567"/>
        <w:contextualSpacing/>
        <w:jc w:val="both"/>
        <w:rPr>
          <w:rFonts w:ascii="Verdana" w:eastAsiaTheme="minorHAnsi" w:hAnsi="Verdana" w:cstheme="minorBidi"/>
          <w:sz w:val="20"/>
          <w:szCs w:val="20"/>
          <w:lang w:val="es-CL"/>
        </w:rPr>
      </w:pPr>
    </w:p>
    <w:p w14:paraId="7AEDE7E0"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La aplicación e interpretación de la Convención importa, consecuentemente, que lo que compete a la Corte es impartir justicia en materia de Derechos Humanos a través del Derecho y más específicamente aún, según lo que aquella dispone, función diferente a la asignada a la Comisión, consistente en</w:t>
      </w:r>
      <w:r w:rsidRPr="00813091">
        <w:rPr>
          <w:rFonts w:ascii="Verdana" w:eastAsiaTheme="minorHAnsi" w:hAnsi="Verdana" w:cs="Tahoma"/>
          <w:color w:val="000000"/>
          <w:sz w:val="20"/>
          <w:szCs w:val="20"/>
          <w:lang w:val="es-CL"/>
        </w:rPr>
        <w:t xml:space="preserve"> promover la observancia y la defensa de los derechos humanos, incluso ante ella</w:t>
      </w:r>
      <w:r w:rsidRPr="00813091">
        <w:rPr>
          <w:rFonts w:ascii="Verdana" w:eastAsiaTheme="minorHAnsi" w:hAnsi="Verdana" w:cs="Tahoma"/>
          <w:color w:val="000000"/>
          <w:sz w:val="20"/>
          <w:szCs w:val="20"/>
          <w:vertAlign w:val="superscript"/>
          <w:lang w:val="es-CL"/>
        </w:rPr>
        <w:footnoteReference w:id="40"/>
      </w:r>
      <w:r w:rsidRPr="00813091">
        <w:rPr>
          <w:rFonts w:ascii="Verdana" w:eastAsiaTheme="minorHAnsi" w:hAnsi="Verdana" w:cs="Tahoma"/>
          <w:color w:val="000000"/>
          <w:sz w:val="20"/>
          <w:szCs w:val="20"/>
          <w:lang w:val="es-CL"/>
        </w:rPr>
        <w:t>.</w:t>
      </w:r>
      <w:r w:rsidRPr="00813091">
        <w:rPr>
          <w:rFonts w:ascii="Verdana" w:eastAsiaTheme="minorHAnsi" w:hAnsi="Verdana" w:cstheme="minorBidi"/>
          <w:sz w:val="20"/>
          <w:szCs w:val="20"/>
          <w:lang w:val="es-CL"/>
        </w:rPr>
        <w:t xml:space="preserve"> El cumplimiento de la misión que le ha sido asignada, le impone a la Corte, consecuentemente, proceder exclusivamente en el ámbito del Derecho, procurando no incursionar en áreas que son más propias de los órganos que ejercen las funciones ejecutivas y normativas</w:t>
      </w:r>
      <w:r w:rsidRPr="00813091">
        <w:rPr>
          <w:rFonts w:ascii="Verdana" w:eastAsiaTheme="minorHAnsi" w:hAnsi="Verdana" w:cstheme="minorBidi"/>
          <w:sz w:val="20"/>
          <w:szCs w:val="20"/>
          <w:vertAlign w:val="superscript"/>
          <w:lang w:val="es-CL"/>
        </w:rPr>
        <w:footnoteReference w:id="41"/>
      </w:r>
      <w:r w:rsidRPr="00813091">
        <w:rPr>
          <w:rFonts w:ascii="Verdana" w:eastAsiaTheme="minorHAnsi" w:hAnsi="Verdana" w:cstheme="minorBidi"/>
          <w:sz w:val="20"/>
          <w:szCs w:val="20"/>
          <w:lang w:val="es-CL"/>
        </w:rPr>
        <w:t xml:space="preserve"> y </w:t>
      </w:r>
      <w:proofErr w:type="gramStart"/>
      <w:r w:rsidRPr="00813091">
        <w:rPr>
          <w:rFonts w:ascii="Verdana" w:eastAsiaTheme="minorHAnsi" w:hAnsi="Verdana" w:cstheme="minorBidi"/>
          <w:sz w:val="20"/>
          <w:szCs w:val="20"/>
          <w:lang w:val="es-CL"/>
        </w:rPr>
        <w:t>ello</w:t>
      </w:r>
      <w:proofErr w:type="gramEnd"/>
      <w:r w:rsidRPr="00813091">
        <w:rPr>
          <w:rFonts w:ascii="Verdana" w:eastAsiaTheme="minorHAnsi" w:hAnsi="Verdana" w:cstheme="minorBidi"/>
          <w:sz w:val="20"/>
          <w:szCs w:val="20"/>
          <w:lang w:val="es-CL"/>
        </w:rPr>
        <w:t xml:space="preserve"> aunque, al proceder así, afecte su influencia o incidencia social o política. No es este su propósito sino, como indica la doctrina, el de transformar los mandatos abstractos y generales de la Convención en mandatos concretos y particulares. </w:t>
      </w:r>
    </w:p>
    <w:p w14:paraId="13E57FA7"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665EE622"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La función jurisdiccional de la Corte le impone, por lo tanto, proceder acorde a la dignidad que emana de la circunstancia de ser un tribunal y, adicionalmente, autónomo, sin que, en el ejercicio de sus prerrogativas, pueda ser fiscalizado o controlado por entidad alguna, pero, al mismo tiempo, sin ninguna capacidad de hacer cumplir sus fallos por el empleo de medidas coercitivas. La majestad propia de la magistratura que le ha sido confiada a la Corte, conlleva, consecuentemente, proceder con pleno apego a los límites que se le han establecido a sus facultades privativas, de suerte que sus decisiones sean acatadas principalmente por </w:t>
      </w:r>
      <w:r w:rsidRPr="00813091">
        <w:rPr>
          <w:rFonts w:ascii="Verdana" w:eastAsiaTheme="minorHAnsi" w:hAnsi="Verdana" w:cstheme="minorBidi"/>
          <w:sz w:val="20"/>
          <w:szCs w:val="20"/>
          <w:lang w:val="es-CL"/>
        </w:rPr>
        <w:lastRenderedPageBreak/>
        <w:t xml:space="preserve">considerarse justas en razón, entre otras, de su autoridad moral y su estricto apego a lo efectivamente pactado por los Estados en la Convención. </w:t>
      </w:r>
    </w:p>
    <w:bookmarkEnd w:id="4"/>
    <w:p w14:paraId="61AF9698" w14:textId="77777777" w:rsidR="00813091" w:rsidRPr="00813091" w:rsidRDefault="00813091" w:rsidP="00813091">
      <w:pPr>
        <w:spacing w:line="276" w:lineRule="auto"/>
        <w:ind w:left="-567" w:right="-567"/>
        <w:jc w:val="both"/>
        <w:rPr>
          <w:rFonts w:ascii="Verdana" w:eastAsiaTheme="minorHAnsi" w:hAnsi="Verdana" w:cstheme="minorBidi"/>
          <w:sz w:val="20"/>
          <w:szCs w:val="20"/>
          <w:lang w:val="es-CL"/>
        </w:rPr>
      </w:pPr>
    </w:p>
    <w:p w14:paraId="283122CE" w14:textId="77777777" w:rsidR="00813091" w:rsidRPr="00813091" w:rsidRDefault="00813091" w:rsidP="00813091">
      <w:pPr>
        <w:numPr>
          <w:ilvl w:val="0"/>
          <w:numId w:val="26"/>
        </w:numPr>
        <w:autoSpaceDE w:val="0"/>
        <w:autoSpaceDN w:val="0"/>
        <w:adjustRightInd w:val="0"/>
        <w:spacing w:after="160" w:line="276" w:lineRule="auto"/>
        <w:ind w:left="153" w:right="-567"/>
        <w:jc w:val="both"/>
        <w:rPr>
          <w:rFonts w:ascii="Verdana" w:eastAsia="Times New Roman" w:hAnsi="Verdana" w:cs="Verdana"/>
          <w:b/>
          <w:bCs/>
          <w:color w:val="000000"/>
          <w:sz w:val="20"/>
          <w:szCs w:val="20"/>
          <w:lang w:val="es-CR" w:eastAsia="es-CR"/>
        </w:rPr>
      </w:pPr>
      <w:r w:rsidRPr="00813091">
        <w:rPr>
          <w:rFonts w:ascii="Verdana" w:eastAsia="Times New Roman" w:hAnsi="Verdana" w:cs="Verdana"/>
          <w:b/>
          <w:bCs/>
          <w:color w:val="000000"/>
          <w:sz w:val="20"/>
          <w:szCs w:val="20"/>
          <w:lang w:val="es-CR" w:eastAsia="es-CR"/>
        </w:rPr>
        <w:t>FACULTAD DE LA CORTE DE DICTAR MEDIDAS PROVISIONALES.</w:t>
      </w:r>
    </w:p>
    <w:p w14:paraId="00110DA9" w14:textId="77777777" w:rsidR="00813091" w:rsidRPr="00813091" w:rsidRDefault="00813091" w:rsidP="00813091">
      <w:pPr>
        <w:autoSpaceDE w:val="0"/>
        <w:autoSpaceDN w:val="0"/>
        <w:adjustRightInd w:val="0"/>
        <w:spacing w:line="276" w:lineRule="auto"/>
        <w:ind w:left="-567" w:right="-567"/>
        <w:jc w:val="both"/>
        <w:rPr>
          <w:rFonts w:ascii="Verdana" w:eastAsia="Times New Roman" w:hAnsi="Verdana" w:cs="Verdana"/>
          <w:b/>
          <w:bCs/>
          <w:color w:val="000000"/>
          <w:sz w:val="20"/>
          <w:szCs w:val="20"/>
          <w:lang w:val="es-CR" w:eastAsia="es-CR"/>
        </w:rPr>
      </w:pPr>
    </w:p>
    <w:p w14:paraId="2945B130" w14:textId="77777777" w:rsidR="00813091" w:rsidRPr="00813091" w:rsidRDefault="00813091" w:rsidP="00813091">
      <w:pPr>
        <w:numPr>
          <w:ilvl w:val="0"/>
          <w:numId w:val="23"/>
        </w:numPr>
        <w:autoSpaceDE w:val="0"/>
        <w:autoSpaceDN w:val="0"/>
        <w:adjustRightInd w:val="0"/>
        <w:spacing w:after="160" w:line="276" w:lineRule="auto"/>
        <w:ind w:left="-207" w:right="-567"/>
        <w:jc w:val="both"/>
        <w:rPr>
          <w:rFonts w:ascii="Verdana" w:eastAsia="Times New Roman" w:hAnsi="Verdana" w:cs="Verdana"/>
          <w:color w:val="000000"/>
          <w:sz w:val="20"/>
          <w:szCs w:val="20"/>
          <w:lang w:val="es-CR" w:eastAsia="es-CR"/>
        </w:rPr>
      </w:pPr>
      <w:bookmarkStart w:id="6" w:name="_Hlk37778899"/>
      <w:r w:rsidRPr="00813091">
        <w:rPr>
          <w:rFonts w:ascii="Verdana" w:eastAsia="Times New Roman" w:hAnsi="Verdana"/>
          <w:color w:val="000000"/>
          <w:sz w:val="20"/>
          <w:szCs w:val="20"/>
          <w:lang w:val="es-CR" w:eastAsia="es-CR"/>
        </w:rPr>
        <w:t>Tal como se ha manifestado en otros votos individuale</w:t>
      </w:r>
      <w:bookmarkEnd w:id="6"/>
      <w:r w:rsidRPr="00813091">
        <w:rPr>
          <w:rFonts w:ascii="Verdana" w:eastAsia="Times New Roman" w:hAnsi="Verdana"/>
          <w:color w:val="000000"/>
          <w:sz w:val="20"/>
          <w:szCs w:val="20"/>
          <w:lang w:val="es-CR" w:eastAsia="es-CR"/>
        </w:rPr>
        <w:t>s</w:t>
      </w:r>
      <w:r w:rsidRPr="00813091">
        <w:rPr>
          <w:rFonts w:ascii="Verdana" w:eastAsia="Times New Roman" w:hAnsi="Verdana"/>
          <w:color w:val="000000"/>
          <w:sz w:val="20"/>
          <w:szCs w:val="20"/>
          <w:vertAlign w:val="superscript"/>
          <w:lang w:val="es-CR" w:eastAsia="es-CR"/>
        </w:rPr>
        <w:footnoteReference w:id="42"/>
      </w:r>
      <w:r w:rsidRPr="00813091">
        <w:rPr>
          <w:rFonts w:ascii="Verdana" w:eastAsia="Times New Roman" w:hAnsi="Verdana"/>
          <w:color w:val="000000"/>
          <w:sz w:val="20"/>
          <w:szCs w:val="20"/>
          <w:lang w:val="es-CR" w:eastAsia="es-CR"/>
        </w:rPr>
        <w:t>, la razón por la que se disiente de la Resolución, es que se estima que no procede ordenar medidas provisionales una vez que se ha dictado Sentencia en el caso de que se trate, ya que, en esa eventualidad, la facultad de la Corte al respecto ha precluido, por haber ya juzgado el caso y, por ende, no lo estaría conociendo, vale decir, ya no estaría aplicando e interpretando la Convención a su respecto</w:t>
      </w:r>
      <w:r w:rsidRPr="00813091">
        <w:rPr>
          <w:rFonts w:ascii="Verdana" w:eastAsia="Times New Roman" w:hAnsi="Verdana"/>
          <w:color w:val="000000"/>
          <w:sz w:val="20"/>
          <w:szCs w:val="20"/>
          <w:vertAlign w:val="superscript"/>
          <w:lang w:val="es-CR" w:eastAsia="es-CR"/>
        </w:rPr>
        <w:footnoteReference w:id="43"/>
      </w:r>
      <w:r w:rsidRPr="00813091">
        <w:rPr>
          <w:rFonts w:ascii="Verdana" w:eastAsia="Times New Roman" w:hAnsi="Verdana"/>
          <w:color w:val="000000"/>
          <w:sz w:val="20"/>
          <w:szCs w:val="20"/>
          <w:lang w:val="es-CR" w:eastAsia="es-CR"/>
        </w:rPr>
        <w:t xml:space="preserve"> y ya habría ordenado, si procediere, el restablecimiento del goce del derecho humano violado y dispuesto las reparaciones y la justa indemnización correspondientes</w:t>
      </w:r>
      <w:r w:rsidRPr="00813091">
        <w:rPr>
          <w:rFonts w:ascii="Verdana" w:eastAsia="Times New Roman" w:hAnsi="Verdana"/>
          <w:color w:val="000000"/>
          <w:sz w:val="20"/>
          <w:szCs w:val="20"/>
          <w:vertAlign w:val="superscript"/>
          <w:lang w:val="es-CR" w:eastAsia="es-CR"/>
        </w:rPr>
        <w:footnoteReference w:id="44"/>
      </w:r>
      <w:r w:rsidRPr="00813091">
        <w:rPr>
          <w:rFonts w:ascii="Verdana" w:eastAsia="Times New Roman" w:hAnsi="Verdana"/>
          <w:color w:val="000000"/>
          <w:sz w:val="20"/>
          <w:szCs w:val="20"/>
          <w:lang w:val="es-CR" w:eastAsia="es-CR"/>
        </w:rPr>
        <w:t>.</w:t>
      </w:r>
    </w:p>
    <w:p w14:paraId="71AB3908" w14:textId="77777777" w:rsidR="00813091" w:rsidRPr="00813091" w:rsidRDefault="00813091" w:rsidP="00813091">
      <w:pPr>
        <w:numPr>
          <w:ilvl w:val="0"/>
          <w:numId w:val="23"/>
        </w:numPr>
        <w:autoSpaceDE w:val="0"/>
        <w:autoSpaceDN w:val="0"/>
        <w:adjustRightInd w:val="0"/>
        <w:spacing w:after="160" w:line="276" w:lineRule="auto"/>
        <w:ind w:left="-207" w:right="-567"/>
        <w:jc w:val="both"/>
        <w:rPr>
          <w:rFonts w:ascii="Verdana" w:eastAsia="Times New Roman" w:hAnsi="Verdana" w:cs="Verdana"/>
          <w:color w:val="000000"/>
          <w:sz w:val="20"/>
          <w:szCs w:val="20"/>
          <w:lang w:val="es-CR" w:eastAsia="es-CR"/>
        </w:rPr>
      </w:pPr>
      <w:r w:rsidRPr="00813091">
        <w:rPr>
          <w:rFonts w:ascii="Verdana" w:eastAsiaTheme="minorEastAsia" w:hAnsi="Verdana"/>
          <w:color w:val="000000"/>
          <w:sz w:val="20"/>
          <w:szCs w:val="20"/>
          <w:lang w:val="es-ES" w:eastAsia="es-CR"/>
        </w:rPr>
        <w:t>Y se sostiene lo anterior en base a lo que establecen las normas correspondientes y a la consecuencia que se deriva si no se les respetan.</w:t>
      </w:r>
    </w:p>
    <w:p w14:paraId="50B7D108" w14:textId="77777777" w:rsidR="00813091" w:rsidRPr="00813091" w:rsidRDefault="00813091" w:rsidP="00813091">
      <w:pPr>
        <w:numPr>
          <w:ilvl w:val="0"/>
          <w:numId w:val="25"/>
        </w:numPr>
        <w:spacing w:after="160" w:line="276" w:lineRule="auto"/>
        <w:ind w:left="-207" w:right="-567"/>
        <w:contextualSpacing/>
        <w:jc w:val="both"/>
        <w:rPr>
          <w:rFonts w:ascii="Verdana" w:eastAsiaTheme="minorEastAsia" w:hAnsi="Verdana" w:cstheme="minorBidi"/>
          <w:b/>
          <w:sz w:val="20"/>
          <w:szCs w:val="20"/>
          <w:lang w:val="es-ES"/>
        </w:rPr>
      </w:pPr>
      <w:r w:rsidRPr="00813091">
        <w:rPr>
          <w:rFonts w:ascii="Verdana" w:eastAsiaTheme="minorEastAsia" w:hAnsi="Verdana" w:cstheme="minorBidi"/>
          <w:b/>
          <w:sz w:val="20"/>
          <w:szCs w:val="20"/>
          <w:lang w:val="es-ES"/>
        </w:rPr>
        <w:t>Las normas.</w:t>
      </w:r>
    </w:p>
    <w:p w14:paraId="36DAF3C0" w14:textId="77777777" w:rsidR="00813091" w:rsidRPr="00813091" w:rsidRDefault="00813091" w:rsidP="00813091">
      <w:pPr>
        <w:spacing w:line="276" w:lineRule="auto"/>
        <w:contextualSpacing/>
        <w:jc w:val="both"/>
        <w:rPr>
          <w:rFonts w:ascii="Verdana" w:eastAsiaTheme="minorEastAsia" w:hAnsi="Verdana" w:cstheme="minorBidi"/>
          <w:b/>
          <w:sz w:val="20"/>
          <w:szCs w:val="20"/>
          <w:lang w:val="es-ES"/>
        </w:rPr>
      </w:pPr>
    </w:p>
    <w:p w14:paraId="08C5F069"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sz w:val="20"/>
          <w:szCs w:val="20"/>
          <w:lang w:val="es-ES"/>
        </w:rPr>
      </w:pPr>
      <w:r w:rsidRPr="00813091">
        <w:rPr>
          <w:rFonts w:ascii="Verdana" w:eastAsiaTheme="minorEastAsia" w:hAnsi="Verdana" w:cstheme="minorBidi"/>
          <w:sz w:val="20"/>
          <w:szCs w:val="20"/>
          <w:lang w:val="es-ES"/>
        </w:rPr>
        <w:t>La facultad de la Corte de dictar medidas provisionales está prevista en el artículo 63.2 de la Convención, el que dispone:</w:t>
      </w:r>
    </w:p>
    <w:p w14:paraId="2CA48F96" w14:textId="77777777" w:rsidR="00813091" w:rsidRPr="00813091" w:rsidRDefault="00813091" w:rsidP="00813091">
      <w:pPr>
        <w:spacing w:line="276" w:lineRule="auto"/>
        <w:ind w:left="-207" w:right="-567"/>
        <w:contextualSpacing/>
        <w:jc w:val="both"/>
        <w:rPr>
          <w:rFonts w:ascii="Verdana" w:eastAsiaTheme="minorEastAsia" w:hAnsi="Verdana" w:cstheme="minorBidi"/>
          <w:sz w:val="20"/>
          <w:szCs w:val="20"/>
          <w:lang w:val="es-ES"/>
        </w:rPr>
      </w:pPr>
    </w:p>
    <w:p w14:paraId="4025441C" w14:textId="77777777" w:rsidR="00813091" w:rsidRPr="00813091" w:rsidRDefault="00813091" w:rsidP="00813091">
      <w:pPr>
        <w:spacing w:after="100" w:afterAutospacing="1" w:line="276" w:lineRule="auto"/>
        <w:ind w:left="567" w:right="-567"/>
        <w:jc w:val="both"/>
        <w:rPr>
          <w:rFonts w:ascii="Verdana" w:eastAsiaTheme="minorEastAsia" w:hAnsi="Verdana" w:cstheme="minorBidi"/>
          <w:sz w:val="18"/>
          <w:szCs w:val="18"/>
          <w:lang w:val="es-ES"/>
        </w:rPr>
      </w:pPr>
      <w:r w:rsidRPr="00813091">
        <w:rPr>
          <w:rFonts w:ascii="Verdana" w:eastAsiaTheme="minorHAnsi" w:hAnsi="Verdana" w:cstheme="minorBidi"/>
          <w:i/>
          <w:sz w:val="18"/>
          <w:szCs w:val="18"/>
          <w:lang w:val="es-CL"/>
        </w:rPr>
        <w:t>“</w:t>
      </w:r>
      <w:r w:rsidRPr="00813091">
        <w:rPr>
          <w:rFonts w:ascii="Verdana" w:eastAsiaTheme="minorHAnsi" w:hAnsi="Verdana" w:cstheme="minorBidi"/>
          <w:i/>
          <w:sz w:val="18"/>
          <w:szCs w:val="18"/>
          <w:lang w:val="es-ES"/>
        </w:rPr>
        <w:t>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14:paraId="70B2BF1C"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sz w:val="20"/>
          <w:szCs w:val="20"/>
          <w:vertAlign w:val="superscript"/>
          <w:lang w:val="es-ES"/>
        </w:rPr>
      </w:pPr>
      <w:r w:rsidRPr="00813091">
        <w:rPr>
          <w:rFonts w:ascii="Verdana" w:eastAsiaTheme="minorEastAsia" w:hAnsi="Verdana" w:cstheme="minorBidi"/>
          <w:sz w:val="20"/>
          <w:szCs w:val="20"/>
          <w:lang w:val="es-ES"/>
        </w:rPr>
        <w:t>Tal artículo convencional distingue, entonces, entre las medidas provisionales que la Corte puede decretar “</w:t>
      </w:r>
      <w:r w:rsidRPr="00813091">
        <w:rPr>
          <w:rFonts w:ascii="Verdana" w:eastAsiaTheme="minorEastAsia" w:hAnsi="Verdana" w:cstheme="minorBidi"/>
          <w:i/>
          <w:sz w:val="20"/>
          <w:szCs w:val="20"/>
          <w:lang w:val="es-ES"/>
        </w:rPr>
        <w:t>en los asuntos que esté conociendo</w:t>
      </w:r>
      <w:r w:rsidRPr="00813091">
        <w:rPr>
          <w:rFonts w:ascii="Verdana" w:eastAsiaTheme="minorEastAsia" w:hAnsi="Verdana" w:cstheme="minorBidi"/>
          <w:sz w:val="20"/>
          <w:szCs w:val="20"/>
          <w:lang w:val="es-ES"/>
        </w:rPr>
        <w:t>” y las que puede ordenar en los “</w:t>
      </w:r>
      <w:r w:rsidRPr="00813091">
        <w:rPr>
          <w:rFonts w:ascii="Verdana" w:eastAsiaTheme="minorEastAsia" w:hAnsi="Verdana" w:cstheme="minorBidi"/>
          <w:i/>
          <w:sz w:val="20"/>
          <w:szCs w:val="20"/>
          <w:lang w:val="es-ES"/>
        </w:rPr>
        <w:t>asuntos que aún no estén sometidos a su conocimiento</w:t>
      </w:r>
      <w:r w:rsidRPr="00813091">
        <w:rPr>
          <w:rFonts w:ascii="Verdana" w:eastAsiaTheme="minorEastAsia" w:hAnsi="Verdana" w:cstheme="minorBidi"/>
          <w:sz w:val="20"/>
          <w:szCs w:val="20"/>
          <w:lang w:val="es-ES"/>
        </w:rPr>
        <w:t xml:space="preserve">”. </w:t>
      </w:r>
    </w:p>
    <w:p w14:paraId="145A8651" w14:textId="77777777" w:rsidR="00813091" w:rsidRPr="00813091" w:rsidRDefault="00813091" w:rsidP="00813091">
      <w:pPr>
        <w:spacing w:line="276" w:lineRule="auto"/>
        <w:contextualSpacing/>
        <w:jc w:val="both"/>
        <w:rPr>
          <w:rFonts w:ascii="Verdana" w:eastAsiaTheme="minorEastAsia" w:hAnsi="Verdana" w:cstheme="minorBidi"/>
          <w:sz w:val="20"/>
          <w:szCs w:val="20"/>
          <w:vertAlign w:val="superscript"/>
          <w:lang w:val="es-ES"/>
        </w:rPr>
      </w:pPr>
    </w:p>
    <w:p w14:paraId="6FDF8FB0"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sz w:val="20"/>
          <w:szCs w:val="20"/>
          <w:vertAlign w:val="superscript"/>
          <w:lang w:val="es-ES"/>
        </w:rPr>
      </w:pPr>
      <w:r w:rsidRPr="00813091">
        <w:rPr>
          <w:rFonts w:ascii="Verdana" w:eastAsiaTheme="minorEastAsia" w:hAnsi="Verdana" w:cstheme="minorBidi"/>
          <w:sz w:val="20"/>
          <w:szCs w:val="20"/>
          <w:lang w:val="es-ES"/>
        </w:rPr>
        <w:t>De allí, entonces, es que es menester precisar, antes que nada, lo que se entiende por el verbo “</w:t>
      </w:r>
      <w:r w:rsidRPr="00813091">
        <w:rPr>
          <w:rFonts w:ascii="Verdana" w:eastAsiaTheme="minorEastAsia" w:hAnsi="Verdana" w:cstheme="minorBidi"/>
          <w:i/>
          <w:iCs/>
          <w:sz w:val="20"/>
          <w:szCs w:val="20"/>
          <w:lang w:val="es-ES"/>
        </w:rPr>
        <w:t>conocer</w:t>
      </w:r>
      <w:r w:rsidRPr="00813091">
        <w:rPr>
          <w:rFonts w:ascii="Verdana" w:eastAsiaTheme="minorEastAsia" w:hAnsi="Verdana" w:cstheme="minorBidi"/>
          <w:sz w:val="20"/>
          <w:szCs w:val="20"/>
          <w:lang w:val="es-ES"/>
        </w:rPr>
        <w:t>” que emplea la disposición en comento. No habiéndole dado la Convención un sentido especial a dicho término</w:t>
      </w:r>
      <w:r w:rsidRPr="00813091">
        <w:rPr>
          <w:rFonts w:ascii="Verdana" w:eastAsiaTheme="minorEastAsia" w:hAnsi="Verdana" w:cstheme="minorBidi"/>
          <w:sz w:val="20"/>
          <w:szCs w:val="20"/>
          <w:vertAlign w:val="superscript"/>
          <w:lang w:val="es-ES"/>
        </w:rPr>
        <w:footnoteReference w:id="45"/>
      </w:r>
      <w:r w:rsidRPr="00813091">
        <w:rPr>
          <w:rFonts w:ascii="Verdana" w:eastAsiaTheme="minorEastAsia" w:hAnsi="Verdana" w:cstheme="minorBidi"/>
          <w:sz w:val="20"/>
          <w:szCs w:val="20"/>
          <w:lang w:val="es-ES"/>
        </w:rPr>
        <w:t>, es preciso recurrir a su sentido corriente</w:t>
      </w:r>
      <w:r w:rsidRPr="00813091">
        <w:rPr>
          <w:rFonts w:ascii="Verdana" w:eastAsiaTheme="minorEastAsia" w:hAnsi="Verdana" w:cstheme="minorBidi"/>
          <w:sz w:val="20"/>
          <w:szCs w:val="20"/>
          <w:vertAlign w:val="superscript"/>
          <w:lang w:val="es-ES"/>
        </w:rPr>
        <w:footnoteReference w:id="46"/>
      </w:r>
      <w:r w:rsidRPr="00813091">
        <w:rPr>
          <w:rFonts w:ascii="Verdana" w:eastAsiaTheme="minorEastAsia" w:hAnsi="Verdana" w:cstheme="minorBidi"/>
          <w:sz w:val="20"/>
          <w:szCs w:val="20"/>
          <w:lang w:val="es-ES"/>
        </w:rPr>
        <w:t xml:space="preserve">, cual es, </w:t>
      </w:r>
      <w:r w:rsidRPr="00813091">
        <w:rPr>
          <w:rFonts w:ascii="Verdana" w:eastAsiaTheme="minorHAnsi" w:hAnsi="Verdana" w:cstheme="minorBidi"/>
          <w:i/>
          <w:sz w:val="20"/>
          <w:szCs w:val="20"/>
          <w:lang w:val="es-CL"/>
        </w:rPr>
        <w:t>“(a)</w:t>
      </w:r>
      <w:proofErr w:type="spellStart"/>
      <w:r w:rsidRPr="00813091">
        <w:rPr>
          <w:rFonts w:ascii="Verdana" w:eastAsiaTheme="minorHAnsi" w:hAnsi="Verdana" w:cstheme="minorBidi"/>
          <w:i/>
          <w:sz w:val="20"/>
          <w:szCs w:val="20"/>
          <w:lang w:val="es-CL"/>
        </w:rPr>
        <w:t>ctuar</w:t>
      </w:r>
      <w:proofErr w:type="spellEnd"/>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en</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un</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asunto</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con</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facultad</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legítima</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para</w:t>
      </w:r>
      <w:r w:rsidRPr="00813091">
        <w:rPr>
          <w:rFonts w:ascii="Verdana" w:eastAsia="Arial Unicode MS" w:hAnsi="Verdana" w:cs="Arial Unicode MS"/>
          <w:i/>
          <w:color w:val="000000"/>
          <w:spacing w:val="4"/>
          <w:sz w:val="20"/>
          <w:szCs w:val="20"/>
          <w:shd w:val="clear" w:color="auto" w:fill="FFFFFF"/>
          <w:lang w:val="es-CL"/>
        </w:rPr>
        <w:t xml:space="preserve"> </w:t>
      </w:r>
      <w:r w:rsidRPr="00813091">
        <w:rPr>
          <w:rFonts w:ascii="Verdana" w:eastAsiaTheme="minorHAnsi" w:hAnsi="Verdana" w:cstheme="minorBidi"/>
          <w:i/>
          <w:sz w:val="20"/>
          <w:szCs w:val="20"/>
          <w:lang w:val="es-CL"/>
        </w:rPr>
        <w:t>ello</w:t>
      </w:r>
      <w:r w:rsidRPr="00813091">
        <w:rPr>
          <w:rFonts w:ascii="Verdana" w:eastAsiaTheme="minorHAnsi" w:hAnsi="Verdana" w:cstheme="minorBidi"/>
          <w:sz w:val="20"/>
          <w:szCs w:val="20"/>
          <w:lang w:val="es-CL"/>
        </w:rPr>
        <w:t>”</w:t>
      </w:r>
      <w:r w:rsidRPr="00813091">
        <w:rPr>
          <w:rFonts w:ascii="Verdana" w:eastAsiaTheme="minorHAnsi" w:hAnsi="Verdana" w:cstheme="minorBidi"/>
          <w:sz w:val="20"/>
          <w:szCs w:val="20"/>
          <w:vertAlign w:val="superscript"/>
          <w:lang w:val="es-CL"/>
        </w:rPr>
        <w:footnoteReference w:id="47"/>
      </w:r>
      <w:r w:rsidRPr="00813091">
        <w:rPr>
          <w:rFonts w:ascii="Verdana" w:eastAsiaTheme="minorHAnsi" w:hAnsi="Verdana" w:cstheme="minorBidi"/>
          <w:sz w:val="20"/>
          <w:szCs w:val="20"/>
          <w:lang w:val="es-CL"/>
        </w:rPr>
        <w:t>. Pues bien, la facultad de la Corte</w:t>
      </w:r>
      <w:r w:rsidRPr="00813091">
        <w:rPr>
          <w:rFonts w:ascii="Verdana" w:eastAsiaTheme="minorHAnsi" w:hAnsi="Verdana" w:cstheme="minorBidi"/>
          <w:sz w:val="20"/>
          <w:szCs w:val="20"/>
          <w:vertAlign w:val="superscript"/>
          <w:lang w:val="es-CL"/>
        </w:rPr>
        <w:footnoteReference w:id="48"/>
      </w:r>
      <w:r w:rsidRPr="00813091">
        <w:rPr>
          <w:rFonts w:ascii="Verdana" w:eastAsiaTheme="minorHAnsi" w:hAnsi="Verdana" w:cstheme="minorBidi"/>
          <w:sz w:val="20"/>
          <w:szCs w:val="20"/>
          <w:lang w:val="es-CL"/>
        </w:rPr>
        <w:t xml:space="preserve"> es lo que en doctrina </w:t>
      </w:r>
      <w:r w:rsidRPr="00813091">
        <w:rPr>
          <w:rFonts w:ascii="Verdana" w:eastAsiaTheme="minorHAnsi" w:hAnsi="Verdana" w:cstheme="minorBidi"/>
          <w:sz w:val="20"/>
          <w:szCs w:val="20"/>
          <w:lang w:val="es-CL"/>
        </w:rPr>
        <w:lastRenderedPageBreak/>
        <w:t>se conoce como competencia contenciosa, pues con ella se resuelve una controversia, una contienda entre partes, controversia que puede consistir igualmente acerca de la petición de medidas provisionales por parte de la Comisión.</w:t>
      </w:r>
    </w:p>
    <w:p w14:paraId="6E9850F7" w14:textId="77777777" w:rsidR="00813091" w:rsidRPr="00813091" w:rsidRDefault="00813091" w:rsidP="00813091">
      <w:pPr>
        <w:spacing w:line="276" w:lineRule="auto"/>
        <w:ind w:left="-567"/>
        <w:contextualSpacing/>
        <w:jc w:val="both"/>
        <w:rPr>
          <w:rFonts w:ascii="Verdana" w:eastAsiaTheme="minorEastAsia" w:hAnsi="Verdana" w:cs="Tahoma"/>
          <w:sz w:val="20"/>
          <w:szCs w:val="20"/>
          <w:lang w:val="es-CR"/>
        </w:rPr>
      </w:pPr>
    </w:p>
    <w:p w14:paraId="646701A6"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Tahoma"/>
          <w:sz w:val="20"/>
          <w:szCs w:val="20"/>
          <w:lang w:val="es-CR"/>
        </w:rPr>
        <w:t>En consecuencia, no cabe duda de que, respecto de los casos ejerce su competencia contenciosa y mientras lo hace, la Corte dispone de la facultad de ordenar medidas provisionales, de oficio o a petición de parte</w:t>
      </w:r>
      <w:r w:rsidRPr="00813091">
        <w:rPr>
          <w:rFonts w:ascii="Verdana" w:eastAsiaTheme="minorEastAsia" w:hAnsi="Verdana" w:cs="Tahoma"/>
          <w:sz w:val="20"/>
          <w:szCs w:val="20"/>
          <w:vertAlign w:val="superscript"/>
          <w:lang w:val="es-CR"/>
        </w:rPr>
        <w:footnoteReference w:id="49"/>
      </w:r>
      <w:r w:rsidRPr="00813091">
        <w:rPr>
          <w:rFonts w:ascii="Verdana" w:eastAsiaTheme="minorEastAsia" w:hAnsi="Verdana" w:cs="Tahoma"/>
          <w:sz w:val="20"/>
          <w:szCs w:val="20"/>
          <w:lang w:val="es-CR"/>
        </w:rPr>
        <w:t>.</w:t>
      </w:r>
      <w:r w:rsidRPr="00813091">
        <w:rPr>
          <w:rFonts w:ascii="Verdana" w:eastAsiaTheme="minorEastAsia" w:hAnsi="Verdana" w:cstheme="minorBidi"/>
          <w:sz w:val="20"/>
          <w:szCs w:val="20"/>
          <w:lang w:val="es-ES"/>
        </w:rPr>
        <w:t xml:space="preserve"> Lo indicado implica, igualmente, que, como es en ejercicio de su competencia contenciosa que la Corte puede decretarlas, lógicamente ellas son concebidas, no solo como excepcionales, sino también como esencialmente transitorias, hasta que aquella resuelva el correspondiente caso.</w:t>
      </w:r>
    </w:p>
    <w:p w14:paraId="5EB72920"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ES"/>
        </w:rPr>
      </w:pPr>
    </w:p>
    <w:p w14:paraId="33B19913"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theme="minorBidi"/>
          <w:sz w:val="20"/>
          <w:szCs w:val="20"/>
          <w:lang w:val="es-ES"/>
        </w:rPr>
        <w:t xml:space="preserve">Ahora bien, el asunto es diferente en cuanto a la dictación de </w:t>
      </w:r>
      <w:r w:rsidRPr="00813091">
        <w:rPr>
          <w:rFonts w:ascii="Verdana" w:eastAsiaTheme="minorEastAsia" w:hAnsi="Verdana" w:cs="Arial"/>
          <w:sz w:val="20"/>
          <w:szCs w:val="20"/>
          <w:lang w:val="es-ES"/>
        </w:rPr>
        <w:t xml:space="preserve">medidas provisionales en aquellos asuntos que </w:t>
      </w:r>
      <w:r w:rsidRPr="00813091">
        <w:rPr>
          <w:rFonts w:ascii="Verdana" w:eastAsiaTheme="minorEastAsia" w:hAnsi="Verdana" w:cs="Arial"/>
          <w:sz w:val="20"/>
          <w:szCs w:val="20"/>
          <w:lang w:val="es-CR"/>
        </w:rPr>
        <w:t>aún no estén sometidos a conocimiento</w:t>
      </w:r>
      <w:r w:rsidRPr="00813091">
        <w:rPr>
          <w:rFonts w:ascii="Verdana" w:eastAsiaTheme="minorEastAsia" w:hAnsi="Verdana" w:cs="Arial"/>
          <w:sz w:val="20"/>
          <w:szCs w:val="20"/>
          <w:lang w:val="es-ES"/>
        </w:rPr>
        <w:t xml:space="preserve"> de la Corte, por lo que la controversia versa únicamente acerca de la petición de aquellas. En tal eventualidad, la Corte solo puede actuar, según lo prescribe la última frase del</w:t>
      </w:r>
      <w:r w:rsidRPr="00813091">
        <w:rPr>
          <w:rFonts w:ascii="Verdana" w:eastAsiaTheme="minorEastAsia" w:hAnsi="Verdana" w:cs="Arial"/>
          <w:sz w:val="20"/>
          <w:szCs w:val="20"/>
          <w:lang w:val="es-CR"/>
        </w:rPr>
        <w:t xml:space="preserve"> </w:t>
      </w:r>
      <w:r w:rsidRPr="00813091">
        <w:rPr>
          <w:rFonts w:ascii="Verdana" w:eastAsiaTheme="minorEastAsia" w:hAnsi="Verdana" w:cs="Arial"/>
          <w:sz w:val="20"/>
          <w:szCs w:val="20"/>
          <w:lang w:val="es-ES"/>
        </w:rPr>
        <w:t xml:space="preserve">mencionado art. 63.2, a </w:t>
      </w:r>
      <w:r w:rsidRPr="00813091">
        <w:rPr>
          <w:rFonts w:ascii="Verdana" w:eastAsiaTheme="minorEastAsia" w:hAnsi="Verdana" w:cs="Arial"/>
          <w:sz w:val="20"/>
          <w:szCs w:val="20"/>
          <w:lang w:val="es-CR"/>
        </w:rPr>
        <w:t>solicitud de la Comisión.</w:t>
      </w:r>
    </w:p>
    <w:p w14:paraId="3F4A4FAF" w14:textId="77777777" w:rsidR="00813091" w:rsidRPr="00813091" w:rsidRDefault="00813091" w:rsidP="00813091">
      <w:pPr>
        <w:spacing w:after="160" w:line="259" w:lineRule="auto"/>
        <w:ind w:left="720" w:right="-567"/>
        <w:contextualSpacing/>
        <w:rPr>
          <w:rFonts w:ascii="Verdana" w:eastAsia="Times New Roman" w:hAnsi="Verdana" w:cstheme="minorBidi"/>
          <w:sz w:val="20"/>
          <w:szCs w:val="20"/>
          <w:lang w:val="es-ES" w:eastAsia="es-CL"/>
        </w:rPr>
      </w:pPr>
    </w:p>
    <w:p w14:paraId="20DFC7FD"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imes New Roman" w:hAnsi="Verdana" w:cstheme="minorBidi"/>
          <w:sz w:val="20"/>
          <w:szCs w:val="20"/>
          <w:lang w:val="es-ES" w:eastAsia="es-CL"/>
        </w:rPr>
        <w:t xml:space="preserve">Todo lo indicado precedentemente obviamente también se expresa </w:t>
      </w:r>
      <w:r w:rsidRPr="00813091">
        <w:rPr>
          <w:rFonts w:ascii="Verdana" w:eastAsiaTheme="minorEastAsia" w:hAnsi="Verdana" w:cstheme="minorBidi"/>
          <w:sz w:val="20"/>
          <w:szCs w:val="20"/>
          <w:lang w:val="es-ES"/>
        </w:rPr>
        <w:t>en el Reglamento de la Corte</w:t>
      </w:r>
      <w:r w:rsidRPr="00813091">
        <w:rPr>
          <w:rFonts w:ascii="Verdana" w:eastAsiaTheme="minorEastAsia" w:hAnsi="Verdana" w:cstheme="minorBidi"/>
          <w:sz w:val="20"/>
          <w:szCs w:val="20"/>
          <w:vertAlign w:val="superscript"/>
          <w:lang w:val="es-ES"/>
        </w:rPr>
        <w:footnoteReference w:id="50"/>
      </w:r>
      <w:r w:rsidRPr="00813091">
        <w:rPr>
          <w:rFonts w:ascii="Verdana" w:eastAsiaTheme="minorEastAsia" w:hAnsi="Verdana" w:cstheme="minorBidi"/>
          <w:sz w:val="20"/>
          <w:szCs w:val="20"/>
          <w:lang w:val="es-ES"/>
        </w:rPr>
        <w:t>, cuando reproduce, en términos similares a los utilizados por la Convención, la distinción entre asuntos sometidos a conocimiento de la Corte y asuntos aún no sometidos a su conocimiento. Es por ese motivo que la referencia que el numeral 1 del artículo 27 de dicho cuerpo normativo hace a “</w:t>
      </w:r>
      <w:r w:rsidRPr="00813091">
        <w:rPr>
          <w:rFonts w:ascii="Verdana" w:eastAsiaTheme="minorEastAsia" w:hAnsi="Verdana" w:cstheme="minorBidi"/>
          <w:i/>
          <w:sz w:val="20"/>
          <w:szCs w:val="20"/>
          <w:lang w:val="es-ES"/>
        </w:rPr>
        <w:t>cualquier estado del procedimiento</w:t>
      </w:r>
      <w:r w:rsidRPr="00813091">
        <w:rPr>
          <w:rFonts w:ascii="Verdana" w:eastAsiaTheme="minorEastAsia" w:hAnsi="Verdana" w:cstheme="minorBidi"/>
          <w:sz w:val="20"/>
          <w:szCs w:val="20"/>
          <w:lang w:val="es-ES"/>
        </w:rPr>
        <w:t>”, únicamente puede entenderse en el sentido de que este último se lleva a cabo respecto de asuntos</w:t>
      </w:r>
      <w:r w:rsidRPr="00813091">
        <w:rPr>
          <w:rFonts w:ascii="Verdana" w:eastAsiaTheme="minorEastAsia" w:hAnsi="Verdana" w:cs="Tahoma"/>
          <w:sz w:val="20"/>
          <w:szCs w:val="20"/>
          <w:lang w:val="es-CR"/>
        </w:rPr>
        <w:t xml:space="preserve"> sometidos a conocimiento de </w:t>
      </w:r>
      <w:r w:rsidRPr="00813091">
        <w:rPr>
          <w:rFonts w:ascii="Verdana" w:eastAsiaTheme="minorEastAsia" w:hAnsi="Verdana" w:cs="Tahoma"/>
          <w:sz w:val="20"/>
          <w:szCs w:val="20"/>
          <w:lang w:val="es-ES"/>
        </w:rPr>
        <w:t>la Corte, pues en cuanto a los asuntos no sometidos a su decisión, no hay aún procedimiento alguno, el que recién podría iniciarse con la pertinente solicitud de la Comisión.</w:t>
      </w:r>
    </w:p>
    <w:p w14:paraId="4407FF77" w14:textId="77777777" w:rsidR="00813091" w:rsidRPr="00813091" w:rsidRDefault="00813091" w:rsidP="00813091">
      <w:pPr>
        <w:spacing w:line="276" w:lineRule="auto"/>
        <w:ind w:left="-567" w:right="-567"/>
        <w:contextualSpacing/>
        <w:jc w:val="both"/>
        <w:rPr>
          <w:rFonts w:ascii="Verdana" w:eastAsiaTheme="minorEastAsia" w:hAnsi="Verdana" w:cstheme="minorBidi"/>
          <w:sz w:val="20"/>
          <w:szCs w:val="20"/>
          <w:lang w:val="es-ES"/>
        </w:rPr>
      </w:pPr>
    </w:p>
    <w:p w14:paraId="01E047CF" w14:textId="77777777" w:rsidR="00813091" w:rsidRPr="00813091" w:rsidRDefault="00813091" w:rsidP="00813091">
      <w:pPr>
        <w:numPr>
          <w:ilvl w:val="0"/>
          <w:numId w:val="25"/>
        </w:numPr>
        <w:spacing w:line="276" w:lineRule="auto"/>
        <w:ind w:left="-207" w:right="-567"/>
        <w:contextualSpacing/>
        <w:jc w:val="both"/>
        <w:rPr>
          <w:rFonts w:ascii="Verdana" w:eastAsiaTheme="minorEastAsia" w:hAnsi="Verdana" w:cstheme="minorBidi"/>
          <w:b/>
          <w:bCs/>
          <w:sz w:val="20"/>
          <w:szCs w:val="20"/>
          <w:vertAlign w:val="superscript"/>
          <w:lang w:val="es-ES"/>
        </w:rPr>
      </w:pPr>
      <w:r w:rsidRPr="00813091">
        <w:rPr>
          <w:rFonts w:ascii="Verdana" w:eastAsiaTheme="minorEastAsia" w:hAnsi="Verdana" w:cstheme="minorBidi"/>
          <w:b/>
          <w:bCs/>
          <w:sz w:val="20"/>
          <w:szCs w:val="20"/>
          <w:lang w:val="es-ES"/>
        </w:rPr>
        <w:t>Consecuencia.</w:t>
      </w:r>
    </w:p>
    <w:p w14:paraId="142F7FEE" w14:textId="77777777" w:rsidR="00813091" w:rsidRPr="00813091" w:rsidRDefault="00813091" w:rsidP="00813091">
      <w:pPr>
        <w:spacing w:line="276" w:lineRule="auto"/>
        <w:ind w:left="-567" w:right="-567"/>
        <w:contextualSpacing/>
        <w:jc w:val="both"/>
        <w:rPr>
          <w:rFonts w:ascii="Verdana" w:eastAsiaTheme="minorEastAsia" w:hAnsi="Verdana" w:cstheme="minorBidi"/>
          <w:b/>
          <w:bCs/>
          <w:sz w:val="20"/>
          <w:szCs w:val="20"/>
          <w:vertAlign w:val="superscript"/>
          <w:lang w:val="es-ES"/>
        </w:rPr>
      </w:pPr>
    </w:p>
    <w:p w14:paraId="7D4B9BFC"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b/>
          <w:bCs/>
          <w:sz w:val="20"/>
          <w:szCs w:val="20"/>
          <w:vertAlign w:val="superscript"/>
          <w:lang w:val="es-ES"/>
        </w:rPr>
      </w:pPr>
      <w:r w:rsidRPr="00813091">
        <w:rPr>
          <w:rFonts w:ascii="Verdana" w:eastAsiaTheme="minorEastAsia" w:hAnsi="Verdana" w:cstheme="minorBidi"/>
          <w:sz w:val="20"/>
          <w:szCs w:val="20"/>
          <w:lang w:val="es-ES"/>
        </w:rPr>
        <w:t xml:space="preserve">Determinado, entonces, que </w:t>
      </w:r>
      <w:r w:rsidRPr="00813091">
        <w:rPr>
          <w:rFonts w:ascii="Verdana" w:eastAsiaTheme="minorEastAsia" w:hAnsi="Verdana" w:cstheme="minorBidi"/>
          <w:sz w:val="20"/>
          <w:szCs w:val="20"/>
          <w:lang w:val="es-CR"/>
        </w:rPr>
        <w:t>la Corte puede decretar medidas provisionales mientras esté ejerciendo su competencia contenciosa en relación al respectivo caso que le ha sido sometido, procede recordar que este finaliza con la Sentencia correspondiente</w:t>
      </w:r>
      <w:r w:rsidRPr="00813091">
        <w:rPr>
          <w:rFonts w:ascii="Verdana" w:eastAsiaTheme="minorEastAsia" w:hAnsi="Verdana" w:cstheme="minorBidi"/>
          <w:sz w:val="20"/>
          <w:szCs w:val="20"/>
          <w:vertAlign w:val="superscript"/>
          <w:lang w:val="es-CR"/>
        </w:rPr>
        <w:footnoteReference w:id="51"/>
      </w:r>
      <w:r w:rsidRPr="00813091">
        <w:rPr>
          <w:rFonts w:ascii="Verdana" w:eastAsiaTheme="minorEastAsia" w:hAnsi="Verdana" w:cstheme="minorBidi"/>
          <w:sz w:val="20"/>
          <w:szCs w:val="20"/>
          <w:lang w:val="es-CR"/>
        </w:rPr>
        <w:t xml:space="preserve">, la que, por lo tanto, genera el efecto de cosa juzgada, no pudiendo </w:t>
      </w:r>
      <w:r w:rsidRPr="00813091">
        <w:rPr>
          <w:rFonts w:ascii="Verdana" w:eastAsiaTheme="minorEastAsia" w:hAnsi="Verdana" w:cstheme="minorBidi"/>
          <w:sz w:val="20"/>
          <w:szCs w:val="20"/>
          <w:lang w:val="es-ES"/>
        </w:rPr>
        <w:t>ser modificada ni aún por la propia Corte. Lo señalado en el artículo 57 de la Convención es claro, preciso y categórico:</w:t>
      </w:r>
    </w:p>
    <w:p w14:paraId="58AC112D" w14:textId="77777777" w:rsidR="00813091" w:rsidRPr="00813091" w:rsidRDefault="00813091" w:rsidP="00813091">
      <w:pPr>
        <w:spacing w:line="276" w:lineRule="auto"/>
        <w:ind w:right="-567"/>
        <w:jc w:val="both"/>
        <w:rPr>
          <w:rFonts w:ascii="Verdana" w:eastAsiaTheme="minorHAnsi" w:hAnsi="Verdana" w:cstheme="minorBidi"/>
          <w:i/>
          <w:iCs/>
          <w:sz w:val="20"/>
          <w:szCs w:val="20"/>
          <w:lang w:val="es-ES"/>
        </w:rPr>
      </w:pPr>
    </w:p>
    <w:p w14:paraId="5C1BC449" w14:textId="77777777" w:rsidR="00813091" w:rsidRPr="00813091" w:rsidRDefault="00813091" w:rsidP="00813091">
      <w:pPr>
        <w:spacing w:line="276" w:lineRule="auto"/>
        <w:ind w:left="567" w:right="-567"/>
        <w:jc w:val="both"/>
        <w:rPr>
          <w:rFonts w:ascii="Verdana" w:eastAsiaTheme="minorEastAsia" w:hAnsi="Verdana" w:cstheme="minorBidi"/>
          <w:i/>
          <w:iCs/>
          <w:sz w:val="18"/>
          <w:szCs w:val="18"/>
          <w:lang w:val="es-ES"/>
        </w:rPr>
      </w:pPr>
      <w:r w:rsidRPr="00813091">
        <w:rPr>
          <w:rFonts w:ascii="Verdana" w:eastAsiaTheme="minorHAnsi" w:hAnsi="Verdana" w:cstheme="minorBidi"/>
          <w:i/>
          <w:iCs/>
          <w:sz w:val="18"/>
          <w:szCs w:val="18"/>
          <w:lang w:val="es-ES"/>
        </w:rPr>
        <w:t>“El fallo de la Corte será definitivo e inapelable.”</w:t>
      </w:r>
    </w:p>
    <w:p w14:paraId="304615AA" w14:textId="77777777" w:rsidR="00813091" w:rsidRPr="00813091" w:rsidRDefault="00813091" w:rsidP="00813091">
      <w:pPr>
        <w:spacing w:line="276" w:lineRule="auto"/>
        <w:ind w:left="-567" w:right="-567"/>
        <w:jc w:val="both"/>
        <w:rPr>
          <w:rFonts w:ascii="Verdana" w:eastAsiaTheme="minorEastAsia" w:hAnsi="Verdana" w:cstheme="minorBidi"/>
          <w:i/>
          <w:iCs/>
          <w:sz w:val="20"/>
          <w:szCs w:val="20"/>
          <w:lang w:val="es-ES"/>
        </w:rPr>
      </w:pPr>
    </w:p>
    <w:p w14:paraId="0BB9D8E0"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theme="minorBidi"/>
          <w:sz w:val="20"/>
          <w:szCs w:val="20"/>
          <w:lang w:val="es-ES"/>
        </w:rPr>
        <w:t>Efectivamente, en mérito de la necesidad de certeza o de seguridad jurídica y en consideración al ya citado principio de Derecho Público de que únicamente se puede hacer lo que la norma dispone, la Corte solo puede decretar, respecto de su Sentencia, alguna de las Resoluciones que inequívocamente se desprenden de las facultades que taxativamente le han sido conferidas, sea por la Convención, sea por su Reglamento.</w:t>
      </w:r>
    </w:p>
    <w:p w14:paraId="73C1D31A" w14:textId="77777777" w:rsidR="00813091" w:rsidRPr="00813091" w:rsidRDefault="00813091" w:rsidP="00813091">
      <w:pPr>
        <w:spacing w:line="276" w:lineRule="auto"/>
        <w:ind w:left="-567" w:right="-567"/>
        <w:contextualSpacing/>
        <w:jc w:val="both"/>
        <w:rPr>
          <w:rFonts w:ascii="Verdana" w:eastAsiaTheme="minorEastAsia" w:hAnsi="Verdana" w:cstheme="minorBidi"/>
          <w:i/>
          <w:iCs/>
          <w:sz w:val="20"/>
          <w:szCs w:val="20"/>
          <w:lang w:val="es-ES"/>
        </w:rPr>
      </w:pPr>
    </w:p>
    <w:p w14:paraId="6DCC8274"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theme="minorBidi"/>
          <w:sz w:val="20"/>
          <w:szCs w:val="20"/>
          <w:lang w:val="es-ES"/>
        </w:rPr>
        <w:t>Y así, dictada la Sentencia de fondo en un caso, la Corte solo puede, de conformidad a lo indicado en la Convención:</w:t>
      </w:r>
    </w:p>
    <w:p w14:paraId="59B59FA3" w14:textId="77777777" w:rsidR="00813091" w:rsidRPr="00813091" w:rsidRDefault="00813091" w:rsidP="00813091">
      <w:pPr>
        <w:spacing w:line="259" w:lineRule="auto"/>
        <w:ind w:right="-567"/>
        <w:rPr>
          <w:rFonts w:ascii="Verdana" w:eastAsiaTheme="minorEastAsia" w:hAnsi="Verdana" w:cstheme="minorBidi"/>
          <w:sz w:val="20"/>
          <w:szCs w:val="20"/>
          <w:lang w:val="es-ES"/>
        </w:rPr>
      </w:pPr>
    </w:p>
    <w:p w14:paraId="27BA2807" w14:textId="77777777" w:rsidR="00813091" w:rsidRPr="00813091" w:rsidRDefault="00813091" w:rsidP="00813091">
      <w:pPr>
        <w:numPr>
          <w:ilvl w:val="0"/>
          <w:numId w:val="27"/>
        </w:numPr>
        <w:spacing w:after="160" w:line="276" w:lineRule="auto"/>
        <w:ind w:right="-567"/>
        <w:contextualSpacing/>
        <w:jc w:val="both"/>
        <w:rPr>
          <w:rFonts w:ascii="Verdana" w:eastAsiaTheme="minorEastAsia" w:hAnsi="Verdana" w:cstheme="minorBidi"/>
          <w:sz w:val="20"/>
          <w:szCs w:val="20"/>
          <w:lang w:val="es-ES"/>
        </w:rPr>
      </w:pPr>
      <w:r w:rsidRPr="00813091">
        <w:rPr>
          <w:rFonts w:ascii="Verdana" w:eastAsiaTheme="minorEastAsia" w:hAnsi="Verdana" w:cstheme="minorBidi"/>
          <w:sz w:val="20"/>
          <w:szCs w:val="20"/>
          <w:lang w:val="es-ES"/>
        </w:rPr>
        <w:t>interpretarla</w:t>
      </w:r>
      <w:r w:rsidRPr="00813091">
        <w:rPr>
          <w:rFonts w:ascii="Verdana" w:eastAsiaTheme="minorEastAsia" w:hAnsi="Verdana" w:cstheme="minorBidi"/>
          <w:sz w:val="20"/>
          <w:szCs w:val="20"/>
          <w:vertAlign w:val="superscript"/>
          <w:lang w:val="es-ES"/>
        </w:rPr>
        <w:footnoteReference w:id="52"/>
      </w:r>
      <w:r w:rsidRPr="00813091">
        <w:rPr>
          <w:rFonts w:ascii="Verdana" w:eastAsiaTheme="minorEastAsia" w:hAnsi="Verdana" w:cstheme="minorBidi"/>
          <w:sz w:val="20"/>
          <w:szCs w:val="20"/>
          <w:lang w:val="es-ES"/>
        </w:rPr>
        <w:t xml:space="preserve">, e </w:t>
      </w:r>
    </w:p>
    <w:p w14:paraId="2B9E5907" w14:textId="77777777" w:rsidR="00813091" w:rsidRPr="00813091" w:rsidRDefault="00813091" w:rsidP="00813091">
      <w:pPr>
        <w:numPr>
          <w:ilvl w:val="0"/>
          <w:numId w:val="27"/>
        </w:numPr>
        <w:spacing w:after="160" w:line="276" w:lineRule="auto"/>
        <w:ind w:right="-567"/>
        <w:contextualSpacing/>
        <w:jc w:val="both"/>
        <w:rPr>
          <w:rFonts w:ascii="Verdana" w:eastAsiaTheme="minorEastAsia" w:hAnsi="Verdana" w:cstheme="minorBidi"/>
          <w:sz w:val="20"/>
          <w:szCs w:val="20"/>
          <w:lang w:val="es-ES"/>
        </w:rPr>
      </w:pPr>
      <w:r w:rsidRPr="00813091">
        <w:rPr>
          <w:rFonts w:ascii="Verdana" w:eastAsiaTheme="minorEastAsia" w:hAnsi="Verdana" w:cs="Arial"/>
          <w:sz w:val="20"/>
          <w:szCs w:val="20"/>
          <w:lang w:val="es-CR"/>
        </w:rPr>
        <w:t>incluir en el Informe Anual que debe remitir a la Asamblea General de los Estados Americanos, el caso correspondiente si la Sentencia dictada a su respecto no ha sido cumplida</w:t>
      </w:r>
      <w:r w:rsidRPr="00813091">
        <w:rPr>
          <w:rFonts w:ascii="Verdana" w:eastAsiaTheme="minorEastAsia" w:hAnsi="Verdana" w:cs="Arial"/>
          <w:sz w:val="20"/>
          <w:szCs w:val="20"/>
          <w:vertAlign w:val="superscript"/>
          <w:lang w:val="es-CR"/>
        </w:rPr>
        <w:footnoteReference w:id="53"/>
      </w:r>
      <w:r w:rsidRPr="00813091">
        <w:rPr>
          <w:rFonts w:ascii="Verdana" w:eastAsiaTheme="minorEastAsia" w:hAnsi="Verdana" w:cs="Arial"/>
          <w:sz w:val="20"/>
          <w:szCs w:val="20"/>
          <w:lang w:val="es-CR"/>
        </w:rPr>
        <w:t>.</w:t>
      </w:r>
    </w:p>
    <w:p w14:paraId="74CA3C21" w14:textId="77777777" w:rsidR="00813091" w:rsidRPr="00813091" w:rsidRDefault="00813091" w:rsidP="00813091">
      <w:pPr>
        <w:spacing w:line="276" w:lineRule="auto"/>
        <w:ind w:left="-567" w:right="-567"/>
        <w:jc w:val="both"/>
        <w:rPr>
          <w:rFonts w:ascii="Verdana" w:eastAsiaTheme="minorEastAsia" w:hAnsi="Verdana" w:cstheme="minorBidi"/>
          <w:sz w:val="20"/>
          <w:szCs w:val="20"/>
          <w:lang w:val="es-ES"/>
        </w:rPr>
      </w:pPr>
    </w:p>
    <w:p w14:paraId="0D71AEFC"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theme="minorBidi"/>
          <w:sz w:val="20"/>
          <w:szCs w:val="20"/>
          <w:lang w:val="es-ES"/>
        </w:rPr>
        <w:t>Además, de acuerdo a las normas reglamentarias, la Corte puede:</w:t>
      </w:r>
    </w:p>
    <w:p w14:paraId="5D52A9B9" w14:textId="77777777" w:rsidR="00813091" w:rsidRPr="00813091" w:rsidRDefault="00813091" w:rsidP="00813091">
      <w:pPr>
        <w:spacing w:line="276" w:lineRule="auto"/>
        <w:ind w:right="-567"/>
        <w:jc w:val="both"/>
        <w:rPr>
          <w:rFonts w:ascii="Verdana" w:eastAsiaTheme="minorEastAsia" w:hAnsi="Verdana" w:cstheme="minorBidi"/>
          <w:i/>
          <w:iCs/>
          <w:sz w:val="20"/>
          <w:szCs w:val="20"/>
          <w:lang w:val="es-ES"/>
        </w:rPr>
      </w:pPr>
    </w:p>
    <w:p w14:paraId="4746168B" w14:textId="77777777" w:rsidR="00813091" w:rsidRPr="00813091" w:rsidRDefault="00813091" w:rsidP="00813091">
      <w:pPr>
        <w:numPr>
          <w:ilvl w:val="0"/>
          <w:numId w:val="24"/>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theme="minorBidi"/>
          <w:sz w:val="20"/>
          <w:szCs w:val="20"/>
          <w:lang w:val="es-ES"/>
        </w:rPr>
        <w:t>emitir, si no lo ha hecho, la Sentencia de reparaciones y costas</w:t>
      </w:r>
      <w:r w:rsidRPr="00813091">
        <w:rPr>
          <w:rFonts w:ascii="Verdana" w:eastAsiaTheme="minorEastAsia" w:hAnsi="Verdana" w:cstheme="minorBidi"/>
          <w:sz w:val="20"/>
          <w:szCs w:val="20"/>
          <w:vertAlign w:val="superscript"/>
          <w:lang w:val="es-ES"/>
        </w:rPr>
        <w:footnoteReference w:id="54"/>
      </w:r>
      <w:r w:rsidRPr="00813091">
        <w:rPr>
          <w:rFonts w:ascii="Verdana" w:eastAsiaTheme="minorEastAsia" w:hAnsi="Verdana" w:cstheme="minorBidi"/>
          <w:sz w:val="20"/>
          <w:szCs w:val="20"/>
          <w:lang w:val="es-ES"/>
        </w:rPr>
        <w:t>;</w:t>
      </w:r>
      <w:r w:rsidRPr="00813091">
        <w:rPr>
          <w:rFonts w:ascii="Verdana" w:eastAsiaTheme="minorEastAsia" w:hAnsi="Verdana" w:cs="Arial"/>
          <w:sz w:val="20"/>
          <w:szCs w:val="20"/>
          <w:lang w:val="es-CR"/>
        </w:rPr>
        <w:t xml:space="preserve"> </w:t>
      </w:r>
    </w:p>
    <w:p w14:paraId="66DBA165" w14:textId="77777777" w:rsidR="00813091" w:rsidRPr="00813091" w:rsidRDefault="00813091" w:rsidP="00813091">
      <w:pPr>
        <w:numPr>
          <w:ilvl w:val="0"/>
          <w:numId w:val="24"/>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Arial"/>
          <w:sz w:val="20"/>
          <w:szCs w:val="20"/>
          <w:lang w:val="es-CR"/>
        </w:rPr>
        <w:t xml:space="preserve">enmendarla por </w:t>
      </w:r>
      <w:r w:rsidRPr="00813091">
        <w:rPr>
          <w:rFonts w:ascii="Verdana" w:eastAsiaTheme="minorEastAsia" w:hAnsi="Verdana" w:cs="Arial"/>
          <w:sz w:val="20"/>
          <w:szCs w:val="20"/>
          <w:lang w:val="es-ES"/>
        </w:rPr>
        <w:t xml:space="preserve">errores </w:t>
      </w:r>
      <w:r w:rsidRPr="00813091">
        <w:rPr>
          <w:rFonts w:ascii="Verdana" w:eastAsiaTheme="minorEastAsia" w:hAnsi="Verdana" w:cs="Arial"/>
          <w:sz w:val="20"/>
          <w:szCs w:val="20"/>
          <w:lang w:val="es-CR"/>
        </w:rPr>
        <w:t>notorios de edición o de cálculo</w:t>
      </w:r>
      <w:r w:rsidRPr="00813091">
        <w:rPr>
          <w:rFonts w:ascii="Verdana" w:eastAsiaTheme="minorEastAsia" w:hAnsi="Verdana" w:cs="Arial"/>
          <w:sz w:val="20"/>
          <w:szCs w:val="20"/>
          <w:vertAlign w:val="superscript"/>
          <w:lang w:val="es-CR"/>
        </w:rPr>
        <w:footnoteReference w:id="55"/>
      </w:r>
      <w:r w:rsidRPr="00813091">
        <w:rPr>
          <w:rFonts w:ascii="Verdana" w:eastAsiaTheme="minorEastAsia" w:hAnsi="Verdana" w:cs="Arial"/>
          <w:sz w:val="20"/>
          <w:szCs w:val="20"/>
          <w:lang w:val="es-CR"/>
        </w:rPr>
        <w:t>; y</w:t>
      </w:r>
    </w:p>
    <w:p w14:paraId="12CB83CC" w14:textId="77777777" w:rsidR="00813091" w:rsidRPr="00813091" w:rsidRDefault="00813091" w:rsidP="00813091">
      <w:pPr>
        <w:numPr>
          <w:ilvl w:val="0"/>
          <w:numId w:val="24"/>
        </w:numPr>
        <w:spacing w:after="160" w:line="276" w:lineRule="auto"/>
        <w:ind w:left="-207" w:right="-567"/>
        <w:contextualSpacing/>
        <w:jc w:val="both"/>
        <w:rPr>
          <w:rFonts w:ascii="Verdana" w:eastAsiaTheme="minorEastAsia" w:hAnsi="Verdana" w:cstheme="minorBidi"/>
          <w:i/>
          <w:iCs/>
          <w:sz w:val="20"/>
          <w:szCs w:val="20"/>
          <w:lang w:val="es-ES"/>
        </w:rPr>
      </w:pPr>
      <w:r w:rsidRPr="00813091">
        <w:rPr>
          <w:rFonts w:ascii="Verdana" w:eastAsiaTheme="minorEastAsia" w:hAnsi="Verdana" w:cstheme="minorBidi"/>
          <w:sz w:val="20"/>
          <w:szCs w:val="20"/>
          <w:lang w:val="es-ES"/>
        </w:rPr>
        <w:t>supervisar su cumplimiento</w:t>
      </w:r>
      <w:r w:rsidRPr="00813091">
        <w:rPr>
          <w:rFonts w:ascii="Verdana" w:eastAsiaTheme="minorEastAsia" w:hAnsi="Verdana" w:cstheme="minorBidi"/>
          <w:sz w:val="20"/>
          <w:szCs w:val="20"/>
          <w:vertAlign w:val="superscript"/>
          <w:lang w:val="es-ES"/>
        </w:rPr>
        <w:footnoteReference w:id="56"/>
      </w:r>
      <w:r w:rsidRPr="00813091">
        <w:rPr>
          <w:rFonts w:ascii="Verdana" w:eastAsiaTheme="minorEastAsia" w:hAnsi="Verdana" w:cstheme="minorBidi"/>
          <w:sz w:val="20"/>
          <w:szCs w:val="20"/>
          <w:lang w:val="es-ES"/>
        </w:rPr>
        <w:t>.</w:t>
      </w:r>
    </w:p>
    <w:p w14:paraId="248BF65D" w14:textId="77777777" w:rsidR="00813091" w:rsidRPr="00813091" w:rsidRDefault="00813091" w:rsidP="00813091">
      <w:pPr>
        <w:spacing w:line="276" w:lineRule="auto"/>
        <w:ind w:left="-567" w:right="-567"/>
        <w:jc w:val="both"/>
        <w:rPr>
          <w:rFonts w:ascii="Verdana" w:eastAsiaTheme="minorEastAsia" w:hAnsi="Verdana" w:cstheme="minorBidi"/>
          <w:sz w:val="20"/>
          <w:szCs w:val="20"/>
          <w:lang w:val="es-ES"/>
        </w:rPr>
      </w:pPr>
    </w:p>
    <w:p w14:paraId="28770BAD"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Se reitera, entonces, que, como se desprende de lo expuesto, las providencias que la Corte puede llevar a cabo o disponer con posterioridad al pronunciamiento de su respectiva Sentencia definitiva e inapelable, son expresamente previstas en la normativa aplicable, la que, como es fácil de constatar, no comprende la posibilidad de decretar medidas provisionales en tal eventualidad. En otras palabras, visto que la posibilidad de dictar estas últimas con relación a un caso en donde ya se ha dictado Sentencia definitiva e inapelable no se encuentra contemplada en norma alguna, se debe concluir en que la Corte carece de facultad para proceder en tal sentido.</w:t>
      </w:r>
    </w:p>
    <w:p w14:paraId="7A07C708" w14:textId="77777777" w:rsidR="00813091" w:rsidRPr="00813091" w:rsidRDefault="00813091" w:rsidP="00813091">
      <w:pPr>
        <w:spacing w:line="276" w:lineRule="auto"/>
        <w:ind w:left="-207" w:right="-567"/>
        <w:contextualSpacing/>
        <w:jc w:val="both"/>
        <w:rPr>
          <w:rFonts w:ascii="Verdana" w:eastAsiaTheme="minorEastAsia" w:hAnsi="Verdana" w:cs="Arial"/>
          <w:sz w:val="20"/>
          <w:szCs w:val="20"/>
          <w:lang w:val="es-ES"/>
        </w:rPr>
      </w:pPr>
    </w:p>
    <w:p w14:paraId="176B8049"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theme="minorBidi"/>
          <w:sz w:val="20"/>
          <w:szCs w:val="20"/>
          <w:lang w:val="es-ES"/>
        </w:rPr>
        <w:t xml:space="preserve">En tal perspectiva, la circunstancia de que en las Sentencias de la Corte se incluya un punto resolutivo señalando que </w:t>
      </w:r>
      <w:r w:rsidRPr="00813091">
        <w:rPr>
          <w:rFonts w:ascii="Verdana" w:eastAsiaTheme="minorEastAsia" w:hAnsi="Verdana" w:cstheme="minorBidi"/>
          <w:i/>
          <w:iCs/>
          <w:sz w:val="20"/>
          <w:szCs w:val="20"/>
          <w:lang w:val="es-ES"/>
        </w:rPr>
        <w:t>“</w:t>
      </w:r>
      <w:r w:rsidRPr="00813091">
        <w:rPr>
          <w:rFonts w:ascii="Verdana" w:eastAsiaTheme="minorHAnsi" w:hAnsi="Verdana" w:cstheme="minorBidi"/>
          <w:bCs/>
          <w:i/>
          <w:iCs/>
          <w:sz w:val="20"/>
          <w:szCs w:val="20"/>
          <w:lang w:val="es-CR"/>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r w:rsidRPr="00813091">
        <w:rPr>
          <w:rFonts w:ascii="Verdana" w:eastAsiaTheme="minorHAnsi" w:hAnsi="Verdana" w:cstheme="minorBidi"/>
          <w:bCs/>
          <w:sz w:val="20"/>
          <w:szCs w:val="20"/>
          <w:lang w:val="es-CR"/>
        </w:rPr>
        <w:t>no puede ser entendido  como que la Corte sigue conociendo del caso de que se trate, esto es, aplicando e interpretando la Convención a su respecto o, en otros términos, resolviéndolo y dictando otras Sentencias al efecto. Lo que dicha frase significa es, en cambio, sencillamente que la Corte inspeccionará</w:t>
      </w:r>
      <w:r w:rsidRPr="00813091">
        <w:rPr>
          <w:rFonts w:ascii="Verdana" w:eastAsiaTheme="minorHAnsi" w:hAnsi="Verdana" w:cstheme="minorBidi"/>
          <w:bCs/>
          <w:sz w:val="20"/>
          <w:szCs w:val="20"/>
          <w:vertAlign w:val="superscript"/>
          <w:lang w:val="es-CR"/>
        </w:rPr>
        <w:footnoteReference w:id="57"/>
      </w:r>
      <w:r w:rsidRPr="00813091">
        <w:rPr>
          <w:rFonts w:ascii="Verdana" w:eastAsiaTheme="minorHAnsi" w:hAnsi="Verdana" w:cstheme="minorBidi"/>
          <w:bCs/>
          <w:sz w:val="20"/>
          <w:szCs w:val="20"/>
          <w:lang w:val="es-CR"/>
        </w:rPr>
        <w:t xml:space="preserve"> el cumplimiento total del respectivo fallo y que, una vez que él se haya ejecutado plenamente, cesará dicha observación. Nada más.</w:t>
      </w:r>
    </w:p>
    <w:p w14:paraId="12252619"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CR"/>
        </w:rPr>
      </w:pPr>
    </w:p>
    <w:p w14:paraId="36333BB0"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CR"/>
        </w:rPr>
        <w:t>A mayor abundamiento y en términos generales, se podría sostener que, de aceptarse que la Corte tendría la facultad de disponer medidas provisionales una vez ya dictada la Sentencia definitiva e inapelable, ellas no serían tales, es decir, no estarían limitadas en el tiempo, no serían transitorias, pasajeras, temporales o circunstanciales, que es lo que, en su esencia, las caracteriza. Efectivamente, en tal hipótesis, no habría parámetro que permita determinar la temporalidad de aquellas, lo que podría conllevar el riesgo de que se transformen, en realidad, en permanentes.</w:t>
      </w:r>
    </w:p>
    <w:p w14:paraId="6685A806"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CR"/>
        </w:rPr>
      </w:pPr>
    </w:p>
    <w:p w14:paraId="308BED42"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CR"/>
        </w:rPr>
        <w:t>Por otra parte, habiendo el juicio ya finalizado por Sentencia definitiva e inapelable, de aceptarse que, pese a ello, se pudieren decretar medidas provisionales, significaría que, en la práctica, aquel se prolongaría, despojando a aquella de su principal efecto, cual es, precisamente el de finalizar el correspondiente caso, otorgándole a la respectiva Sentencia el efecto de cosa juzgada.</w:t>
      </w:r>
      <w:r w:rsidRPr="00813091">
        <w:rPr>
          <w:rFonts w:ascii="Verdana" w:eastAsiaTheme="minorEastAsia" w:hAnsi="Verdana" w:cs="Tahoma"/>
          <w:sz w:val="20"/>
          <w:szCs w:val="20"/>
          <w:lang w:val="es-CR"/>
        </w:rPr>
        <w:t xml:space="preserve"> Es decir, la adopción de medidas provisionales con posterioridad a la emisión de la Sentencia definitiva e inapelable, sería una demostración indiscutible de que esta última sería insuficiente para lograr que </w:t>
      </w:r>
      <w:r w:rsidRPr="00813091">
        <w:rPr>
          <w:rFonts w:ascii="Verdana" w:eastAsiaTheme="minorEastAsia" w:hAnsi="Verdana" w:cs="Arial"/>
          <w:sz w:val="20"/>
          <w:szCs w:val="20"/>
          <w:lang w:val="es-CR"/>
        </w:rPr>
        <w:t>“</w:t>
      </w:r>
      <w:r w:rsidRPr="00813091">
        <w:rPr>
          <w:rFonts w:ascii="Verdana" w:eastAsiaTheme="minorEastAsia" w:hAnsi="Verdana" w:cs="Tahoma"/>
          <w:i/>
          <w:sz w:val="20"/>
          <w:szCs w:val="20"/>
          <w:lang w:val="es-CR"/>
        </w:rPr>
        <w:t xml:space="preserve">se garantice al lesionado en el goce de su derecho o libertad </w:t>
      </w:r>
      <w:r w:rsidRPr="00813091">
        <w:rPr>
          <w:rFonts w:ascii="Verdana" w:eastAsiaTheme="minorEastAsia" w:hAnsi="Verdana" w:cs="Tahoma"/>
          <w:i/>
          <w:sz w:val="20"/>
          <w:szCs w:val="20"/>
          <w:lang w:val="es-CR"/>
        </w:rPr>
        <w:lastRenderedPageBreak/>
        <w:t>conculcado</w:t>
      </w:r>
      <w:r w:rsidRPr="00813091">
        <w:rPr>
          <w:rFonts w:ascii="Verdana" w:eastAsiaTheme="minorEastAsia" w:hAnsi="Verdana" w:cs="Tahoma"/>
          <w:sz w:val="20"/>
          <w:szCs w:val="20"/>
          <w:lang w:val="es-CR"/>
        </w:rPr>
        <w:t>s”</w:t>
      </w:r>
      <w:r w:rsidRPr="00813091">
        <w:rPr>
          <w:rFonts w:ascii="Verdana" w:eastAsiaTheme="minorEastAsia" w:hAnsi="Verdana" w:cs="Tahoma"/>
          <w:sz w:val="20"/>
          <w:szCs w:val="20"/>
          <w:vertAlign w:val="superscript"/>
          <w:lang w:val="es-CR"/>
        </w:rPr>
        <w:footnoteReference w:id="58"/>
      </w:r>
      <w:r w:rsidRPr="00813091">
        <w:rPr>
          <w:rFonts w:ascii="Verdana" w:eastAsiaTheme="minorEastAsia" w:hAnsi="Verdana" w:cs="Tahoma"/>
          <w:sz w:val="20"/>
          <w:szCs w:val="20"/>
          <w:lang w:val="es-CR"/>
        </w:rPr>
        <w:t>, finalidad de toda Sentencia condenatoria pronunciada por la Corte en contra del Estado concernido en el juicio seguido en su contra, lo que iría contra toda lógica.</w:t>
      </w:r>
    </w:p>
    <w:p w14:paraId="0319D938"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ES"/>
        </w:rPr>
      </w:pPr>
    </w:p>
    <w:p w14:paraId="11AEDD76"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Obviamente, una situación diferente es la que se origina cuando, en la respectiva Sentencia, se dispone que el Estado concernido debe adoptar medidas de protección respecto de las personas que señale. En tal eventualidad, el cumplimiento de esas medidas se debe verificar mediante el procedimiento de supervisión de cumplimiento de Sentencia y, por ende, no a través del relativo a las medidas provisionales.</w:t>
      </w:r>
    </w:p>
    <w:p w14:paraId="7C72C079"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ES"/>
        </w:rPr>
      </w:pPr>
    </w:p>
    <w:p w14:paraId="594ED32C"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Con relación a lo anterior, es oportuno subrayar que, del total de 290 Sentencias que, al año 2019 ha dictado la Corte</w:t>
      </w:r>
      <w:r w:rsidRPr="00813091">
        <w:rPr>
          <w:rFonts w:ascii="Verdana" w:eastAsiaTheme="minorEastAsia" w:hAnsi="Verdana" w:cs="Arial"/>
          <w:sz w:val="20"/>
          <w:szCs w:val="20"/>
          <w:vertAlign w:val="superscript"/>
          <w:lang w:val="es-ES"/>
        </w:rPr>
        <w:footnoteReference w:id="59"/>
      </w:r>
      <w:r w:rsidRPr="00813091">
        <w:rPr>
          <w:rFonts w:ascii="Verdana" w:eastAsiaTheme="minorEastAsia" w:hAnsi="Verdana" w:cs="Arial"/>
          <w:sz w:val="20"/>
          <w:szCs w:val="20"/>
          <w:lang w:val="es-ES"/>
        </w:rPr>
        <w:t xml:space="preserve">, 223 se encuentran actualmente bajo el mecanismo de supervisión de cumplimiento de Sentencia, por lo que, de acuerdo al criterio expuesto en la Sentencia, del que se discrepa, en todos los casos que ellas se refieren podrían dictarse medidas provisionales, lo que podría conducir a que la principal función de la Corte se transforme en seguir preocupada de casos en que ya ha fallado. </w:t>
      </w:r>
    </w:p>
    <w:p w14:paraId="40082A82"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145389CE"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HAnsi" w:hAnsi="Verdana" w:cstheme="minorBidi"/>
          <w:sz w:val="20"/>
          <w:szCs w:val="20"/>
          <w:lang w:val="es-CL"/>
        </w:rPr>
        <w:t xml:space="preserve">Sobre este particular, es necesario igualmente tener en cuenta que ambas instituciones, la de medidas provisionales y la de supervisión de cumplimiento de Sentencia, tienen distintos objetivos, el de </w:t>
      </w:r>
      <w:r w:rsidRPr="00813091">
        <w:rPr>
          <w:rFonts w:ascii="Verdana" w:eastAsiaTheme="minorHAnsi" w:hAnsi="Verdana" w:cs="Tahoma"/>
          <w:color w:val="000000"/>
          <w:sz w:val="20"/>
          <w:szCs w:val="20"/>
          <w:lang w:val="es-CL"/>
        </w:rPr>
        <w:t>evitar daños irreparables a las personas</w:t>
      </w:r>
      <w:r w:rsidRPr="00813091">
        <w:rPr>
          <w:rFonts w:ascii="Verdana" w:eastAsiaTheme="minorHAnsi" w:hAnsi="Verdana" w:cstheme="minorBidi"/>
          <w:sz w:val="20"/>
          <w:szCs w:val="20"/>
          <w:lang w:val="es-CL"/>
        </w:rPr>
        <w:t xml:space="preserve">, la primera, </w:t>
      </w:r>
      <w:r w:rsidRPr="00813091">
        <w:rPr>
          <w:rFonts w:ascii="Verdana" w:eastAsiaTheme="minorHAnsi" w:hAnsi="Verdana" w:cs="Tahoma"/>
          <w:color w:val="000000"/>
          <w:sz w:val="20"/>
          <w:szCs w:val="20"/>
          <w:lang w:val="es-CL"/>
        </w:rPr>
        <w:t>y la de verificar el cumplimiento de la Sentencia, la segunda.</w:t>
      </w:r>
      <w:r w:rsidRPr="00813091">
        <w:rPr>
          <w:rFonts w:ascii="Verdana" w:eastAsiaTheme="minorHAnsi" w:hAnsi="Verdana" w:cstheme="minorBidi"/>
          <w:sz w:val="20"/>
          <w:szCs w:val="20"/>
          <w:lang w:val="es-CR"/>
        </w:rPr>
        <w:t xml:space="preserve"> Del mismo modo, se debe considerar que dichas figuras jurídicas tampoco tienen el mismo procedimiento, consistente, tratándose de medidas provisionales, en solicitar, si se estima posible e indispensable, informe</w:t>
      </w:r>
      <w:r w:rsidRPr="00813091">
        <w:rPr>
          <w:rFonts w:ascii="Verdana" w:eastAsiaTheme="minorHAnsi" w:hAnsi="Verdana" w:cstheme="minorBidi"/>
          <w:sz w:val="20"/>
          <w:szCs w:val="20"/>
          <w:lang w:val="es-CL"/>
        </w:rPr>
        <w:t>s al Estado demandado, a los beneficiarios y a la Comisión</w:t>
      </w:r>
      <w:r w:rsidRPr="00813091">
        <w:rPr>
          <w:rFonts w:ascii="Verdana" w:eastAsiaTheme="minorHAnsi" w:hAnsi="Verdana" w:cstheme="minorBidi"/>
          <w:sz w:val="20"/>
          <w:szCs w:val="20"/>
          <w:lang w:val="es-CR"/>
        </w:rPr>
        <w:t xml:space="preserve"> y, en el evento de la supervisión de cumplimiento de Sentencia, en siempre requerir informe</w:t>
      </w:r>
      <w:r w:rsidRPr="00813091">
        <w:rPr>
          <w:rFonts w:ascii="Verdana" w:eastAsiaTheme="minorHAnsi" w:hAnsi="Verdana" w:cstheme="minorBidi"/>
          <w:sz w:val="20"/>
          <w:szCs w:val="20"/>
          <w:lang w:val="es-CL"/>
        </w:rPr>
        <w:t>s al Estado condenado, a las víctimas y a la Comisión. Por último, tampoco se debe omitir que las decisiones que pueden adoptar tales instituciones son asimismo diferentes, ordenar las medidas provisionales, en una y determinar el estado de cumplimiento de la Sentencia, en la otra.</w:t>
      </w:r>
    </w:p>
    <w:p w14:paraId="63DA6FBD" w14:textId="77777777" w:rsidR="00813091" w:rsidRPr="00813091" w:rsidRDefault="00813091" w:rsidP="00813091">
      <w:pPr>
        <w:spacing w:line="259" w:lineRule="auto"/>
        <w:ind w:left="-567" w:right="-567"/>
        <w:contextualSpacing/>
        <w:rPr>
          <w:rFonts w:ascii="Verdana" w:eastAsiaTheme="minorHAnsi" w:hAnsi="Verdana" w:cstheme="minorBidi"/>
          <w:sz w:val="20"/>
          <w:szCs w:val="20"/>
          <w:lang w:val="es-CL"/>
        </w:rPr>
      </w:pPr>
    </w:p>
    <w:p w14:paraId="4DFD7F93"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R"/>
        </w:rPr>
      </w:pPr>
      <w:r w:rsidRPr="00813091">
        <w:rPr>
          <w:rFonts w:ascii="Verdana" w:eastAsiaTheme="minorHAnsi" w:hAnsi="Verdana" w:cstheme="minorBidi"/>
          <w:sz w:val="20"/>
          <w:szCs w:val="20"/>
          <w:lang w:val="es-CL"/>
        </w:rPr>
        <w:t xml:space="preserve"> Teniendo en cuenta, entonces, lo recién reseñado, se puede concluir que, no obstante que tanto el cumplimiento de las medias provisionales como la supervisión de cumplimiento de Sentencia puedan ser abordadas en una misma audiencia y aún en una misma Resolución, no cabe confundirlas.  </w:t>
      </w:r>
      <w:r w:rsidRPr="00813091">
        <w:rPr>
          <w:rFonts w:ascii="Verdana" w:eastAsiaTheme="minorHAnsi" w:hAnsi="Verdana" w:cstheme="minorBidi"/>
          <w:sz w:val="20"/>
          <w:szCs w:val="20"/>
          <w:lang w:val="es-CR"/>
        </w:rPr>
        <w:t xml:space="preserve">  </w:t>
      </w:r>
    </w:p>
    <w:p w14:paraId="1114030C" w14:textId="77777777" w:rsidR="00813091" w:rsidRPr="00813091" w:rsidRDefault="00813091" w:rsidP="00813091">
      <w:pPr>
        <w:spacing w:line="276" w:lineRule="auto"/>
        <w:contextualSpacing/>
        <w:jc w:val="both"/>
        <w:rPr>
          <w:rFonts w:ascii="Verdana" w:eastAsiaTheme="minorEastAsia" w:hAnsi="Verdana" w:cs="Tahoma"/>
          <w:sz w:val="20"/>
          <w:szCs w:val="20"/>
          <w:lang w:val="es-CR"/>
        </w:rPr>
      </w:pPr>
    </w:p>
    <w:p w14:paraId="47C59244" w14:textId="77777777" w:rsidR="00813091" w:rsidRPr="00813091" w:rsidRDefault="00813091" w:rsidP="00813091">
      <w:pPr>
        <w:numPr>
          <w:ilvl w:val="0"/>
          <w:numId w:val="26"/>
        </w:numPr>
        <w:spacing w:after="160" w:line="276" w:lineRule="auto"/>
        <w:ind w:left="153" w:right="-567"/>
        <w:contextualSpacing/>
        <w:jc w:val="both"/>
        <w:rPr>
          <w:rFonts w:ascii="Verdana" w:eastAsiaTheme="minorEastAsia" w:hAnsi="Verdana" w:cs="Arial"/>
          <w:b/>
          <w:bCs/>
          <w:sz w:val="20"/>
          <w:szCs w:val="20"/>
          <w:lang w:val="es-ES"/>
        </w:rPr>
      </w:pPr>
      <w:bookmarkStart w:id="7" w:name="_Hlk40703517"/>
      <w:r w:rsidRPr="00813091">
        <w:rPr>
          <w:rFonts w:ascii="Verdana" w:eastAsiaTheme="minorEastAsia" w:hAnsi="Verdana" w:cs="Arial"/>
          <w:b/>
          <w:bCs/>
          <w:sz w:val="20"/>
          <w:szCs w:val="20"/>
          <w:lang w:val="es-ES"/>
        </w:rPr>
        <w:t>FACULTAD DE LA COMISIÓN EN LA MATERIA.</w:t>
      </w:r>
    </w:p>
    <w:p w14:paraId="0189094F" w14:textId="77777777" w:rsidR="00813091" w:rsidRPr="00813091" w:rsidRDefault="00813091" w:rsidP="00813091">
      <w:pPr>
        <w:spacing w:after="100" w:afterAutospacing="1" w:line="276" w:lineRule="auto"/>
        <w:contextualSpacing/>
        <w:jc w:val="both"/>
        <w:rPr>
          <w:rFonts w:ascii="Verdana" w:eastAsiaTheme="minorEastAsia" w:hAnsi="Verdana" w:cs="Arial"/>
          <w:b/>
          <w:bCs/>
          <w:sz w:val="20"/>
          <w:szCs w:val="20"/>
          <w:lang w:val="es-ES"/>
        </w:rPr>
      </w:pPr>
    </w:p>
    <w:p w14:paraId="0136BD92"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Habiendo ya manifestado la relevancia de respetar, por parte de la Corte, las normas procesales en materia de derechos humanos y del riesgo si ello no acontece</w:t>
      </w:r>
      <w:r w:rsidRPr="00813091">
        <w:rPr>
          <w:rFonts w:ascii="Verdana" w:eastAsiaTheme="minorEastAsia" w:hAnsi="Verdana" w:cs="Arial"/>
          <w:sz w:val="20"/>
          <w:szCs w:val="20"/>
          <w:vertAlign w:val="superscript"/>
          <w:lang w:val="es-ES"/>
        </w:rPr>
        <w:footnoteReference w:id="60"/>
      </w:r>
      <w:r w:rsidRPr="00813091">
        <w:rPr>
          <w:rFonts w:ascii="Verdana" w:eastAsiaTheme="minorEastAsia" w:hAnsi="Verdana" w:cs="Arial"/>
          <w:sz w:val="20"/>
          <w:szCs w:val="20"/>
          <w:lang w:val="es-ES"/>
        </w:rPr>
        <w:t xml:space="preserve">, procede subrayar que ello es especialmente atingente respecto de lo dispuesto en el artículo 63.2 de la Convención. No acatar lo expresa y directamente señalado por dicha norma, dejaría sin sentido su última frase, a saber, </w:t>
      </w:r>
      <w:r w:rsidRPr="00813091">
        <w:rPr>
          <w:rFonts w:ascii="Verdana" w:eastAsiaTheme="minorEastAsia" w:hAnsi="Verdana" w:cs="Arial"/>
          <w:i/>
          <w:iCs/>
          <w:sz w:val="20"/>
          <w:szCs w:val="20"/>
          <w:lang w:val="es-ES"/>
        </w:rPr>
        <w:t>“(s)</w:t>
      </w:r>
      <w:r w:rsidRPr="00813091">
        <w:rPr>
          <w:rFonts w:ascii="Verdana" w:eastAsiaTheme="minorHAnsi" w:hAnsi="Verdana" w:cstheme="minorBidi"/>
          <w:i/>
          <w:iCs/>
          <w:sz w:val="20"/>
          <w:szCs w:val="20"/>
          <w:lang w:val="es-ES"/>
        </w:rPr>
        <w:t>i</w:t>
      </w:r>
      <w:r w:rsidRPr="00813091">
        <w:rPr>
          <w:rFonts w:ascii="Verdana" w:eastAsiaTheme="minorHAnsi" w:hAnsi="Verdana" w:cstheme="minorBidi"/>
          <w:i/>
          <w:sz w:val="20"/>
          <w:szCs w:val="20"/>
          <w:lang w:val="es-ES"/>
        </w:rPr>
        <w:t xml:space="preserve"> se tratare de asuntos que aún no estén sometidos a su conocimiento, </w:t>
      </w:r>
      <w:r w:rsidRPr="00813091">
        <w:rPr>
          <w:rFonts w:ascii="Verdana" w:eastAsiaTheme="minorHAnsi" w:hAnsi="Verdana" w:cstheme="minorBidi"/>
          <w:iCs/>
          <w:sz w:val="20"/>
          <w:szCs w:val="20"/>
          <w:lang w:val="es-ES"/>
        </w:rPr>
        <w:t>(la Corte)</w:t>
      </w:r>
      <w:r w:rsidRPr="00813091">
        <w:rPr>
          <w:rFonts w:ascii="Verdana" w:eastAsiaTheme="minorHAnsi" w:hAnsi="Verdana" w:cstheme="minorBidi"/>
          <w:i/>
          <w:sz w:val="20"/>
          <w:szCs w:val="20"/>
          <w:lang w:val="es-ES"/>
        </w:rPr>
        <w:t xml:space="preserve"> podrá actuar a solicitud de la Comisión”</w:t>
      </w:r>
      <w:r w:rsidRPr="00813091">
        <w:rPr>
          <w:rFonts w:ascii="Verdana" w:eastAsiaTheme="minorEastAsia" w:hAnsi="Verdana" w:cs="Arial"/>
          <w:sz w:val="20"/>
          <w:szCs w:val="20"/>
          <w:lang w:val="es-ES"/>
        </w:rPr>
        <w:t xml:space="preserve">, puesto que implicaría que en todos los casos en que se </w:t>
      </w:r>
      <w:r w:rsidRPr="00813091">
        <w:rPr>
          <w:rFonts w:ascii="Verdana" w:eastAsiaTheme="minorEastAsia" w:hAnsi="Verdana" w:cs="Arial"/>
          <w:sz w:val="20"/>
          <w:szCs w:val="20"/>
          <w:lang w:val="es-ES"/>
        </w:rPr>
        <w:lastRenderedPageBreak/>
        <w:t>haya dictado Sentencia, se podría recurrir directamente a aquella, sin intervención de esta última. En tal eventualidad, bastaría con señalar alguna vinculación más o menos directa con el caso de que se invoque, aunque se haya dictado Sentencia a su respecto, para eludir la intervención de la Comisión.</w:t>
      </w:r>
    </w:p>
    <w:p w14:paraId="2C13416A" w14:textId="77777777" w:rsidR="00813091" w:rsidRPr="00813091" w:rsidRDefault="00813091" w:rsidP="00813091">
      <w:pPr>
        <w:spacing w:line="276" w:lineRule="auto"/>
        <w:ind w:left="-56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 xml:space="preserve"> </w:t>
      </w:r>
    </w:p>
    <w:p w14:paraId="79C14765"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Y resulta que la participación de esta última se inserta como parte del Sistema Interamericano de Derechos Humanos</w:t>
      </w:r>
      <w:r w:rsidRPr="00813091">
        <w:rPr>
          <w:rFonts w:ascii="Verdana" w:eastAsiaTheme="minorEastAsia" w:hAnsi="Verdana" w:cs="Arial"/>
          <w:sz w:val="20"/>
          <w:szCs w:val="20"/>
          <w:vertAlign w:val="superscript"/>
          <w:lang w:val="es-ES"/>
        </w:rPr>
        <w:footnoteReference w:id="61"/>
      </w:r>
      <w:r w:rsidRPr="00813091">
        <w:rPr>
          <w:rFonts w:ascii="Verdana" w:eastAsiaTheme="minorEastAsia" w:hAnsi="Verdana" w:cs="Arial"/>
          <w:sz w:val="20"/>
          <w:szCs w:val="20"/>
          <w:lang w:val="es-ES"/>
        </w:rPr>
        <w:t>, el que fue concebido para que actuara como un todo.</w:t>
      </w:r>
      <w:r w:rsidRPr="00813091">
        <w:rPr>
          <w:rFonts w:ascii="Verdana" w:eastAsiaTheme="minorHAnsi" w:hAnsi="Verdana" w:cstheme="minorBidi"/>
          <w:sz w:val="20"/>
          <w:szCs w:val="20"/>
          <w:lang w:val="es-ES"/>
        </w:rPr>
        <w:t xml:space="preserve"> No de otra manera se explica que la Comisión y la Corte fueran señaladas como los órganos encargados de velar por el cumplimiento de los compromisos asumidos por los Estados Partes de la Convención</w:t>
      </w:r>
      <w:r w:rsidRPr="00813091">
        <w:rPr>
          <w:rFonts w:ascii="Verdana" w:eastAsiaTheme="minorHAnsi" w:hAnsi="Verdana" w:cstheme="minorBidi"/>
          <w:sz w:val="20"/>
          <w:szCs w:val="20"/>
          <w:vertAlign w:val="superscript"/>
          <w:lang w:val="es-ES"/>
        </w:rPr>
        <w:footnoteReference w:id="62"/>
      </w:r>
      <w:r w:rsidRPr="00813091">
        <w:rPr>
          <w:rFonts w:ascii="Verdana" w:eastAsiaTheme="minorHAnsi" w:hAnsi="Verdana" w:cstheme="minorBidi"/>
          <w:sz w:val="20"/>
          <w:szCs w:val="20"/>
          <w:lang w:val="es-ES"/>
        </w:rPr>
        <w:t>; que la Comisión reciba las peticiones o denuncias por violaciones de la Convención</w:t>
      </w:r>
      <w:r w:rsidRPr="00813091">
        <w:rPr>
          <w:rFonts w:ascii="Verdana" w:eastAsiaTheme="minorHAnsi" w:hAnsi="Verdana" w:cstheme="minorBidi"/>
          <w:sz w:val="20"/>
          <w:szCs w:val="20"/>
          <w:vertAlign w:val="superscript"/>
          <w:lang w:val="es-ES"/>
        </w:rPr>
        <w:footnoteReference w:id="63"/>
      </w:r>
      <w:r w:rsidRPr="00813091">
        <w:rPr>
          <w:rFonts w:ascii="Verdana" w:eastAsiaTheme="minorHAnsi" w:hAnsi="Verdana" w:cstheme="minorBidi"/>
          <w:sz w:val="20"/>
          <w:szCs w:val="20"/>
          <w:lang w:val="es-ES"/>
        </w:rPr>
        <w:t>, las que pueden devenir en casos si los presenta ante la Corte</w:t>
      </w:r>
      <w:r w:rsidRPr="00813091">
        <w:rPr>
          <w:rFonts w:ascii="Verdana" w:eastAsiaTheme="minorHAnsi" w:hAnsi="Verdana" w:cstheme="minorBidi"/>
          <w:sz w:val="20"/>
          <w:szCs w:val="20"/>
          <w:vertAlign w:val="superscript"/>
          <w:lang w:val="es-ES"/>
        </w:rPr>
        <w:footnoteReference w:id="64"/>
      </w:r>
      <w:r w:rsidRPr="00813091">
        <w:rPr>
          <w:rFonts w:ascii="Verdana" w:eastAsiaTheme="minorHAnsi" w:hAnsi="Verdana" w:cstheme="minorBidi"/>
          <w:sz w:val="20"/>
          <w:szCs w:val="20"/>
          <w:lang w:val="es-ES"/>
        </w:rPr>
        <w:t>; que deba, si ello acontece, comparecer ante esta última</w:t>
      </w:r>
      <w:r w:rsidRPr="00813091">
        <w:rPr>
          <w:rFonts w:ascii="Verdana" w:eastAsiaTheme="minorHAnsi" w:hAnsi="Verdana" w:cstheme="minorBidi"/>
          <w:sz w:val="20"/>
          <w:szCs w:val="20"/>
          <w:vertAlign w:val="superscript"/>
          <w:lang w:val="es-ES"/>
        </w:rPr>
        <w:footnoteReference w:id="65"/>
      </w:r>
      <w:r w:rsidRPr="00813091">
        <w:rPr>
          <w:rFonts w:ascii="Verdana" w:eastAsiaTheme="minorHAnsi" w:hAnsi="Verdana" w:cstheme="minorBidi"/>
          <w:sz w:val="20"/>
          <w:szCs w:val="20"/>
          <w:lang w:val="es-ES"/>
        </w:rPr>
        <w:t>; y que la Asamblea General de la Organización de los Estados Americanos sea el órgano encargado de hacer ejecutar la Sentencias de la Corte,</w:t>
      </w:r>
      <w:r w:rsidRPr="00813091">
        <w:rPr>
          <w:rFonts w:ascii="Verdana" w:eastAsiaTheme="minorHAnsi" w:hAnsi="Verdana" w:cstheme="minorBidi"/>
          <w:sz w:val="20"/>
          <w:szCs w:val="20"/>
          <w:vertAlign w:val="superscript"/>
          <w:lang w:val="es-ES"/>
        </w:rPr>
        <w:footnoteReference w:id="66"/>
      </w:r>
      <w:r w:rsidRPr="00813091">
        <w:rPr>
          <w:rFonts w:ascii="Verdana" w:eastAsiaTheme="minorHAnsi" w:hAnsi="Verdana" w:cstheme="minorBidi"/>
          <w:sz w:val="20"/>
          <w:szCs w:val="20"/>
          <w:lang w:val="es-ES"/>
        </w:rPr>
        <w:t xml:space="preserve"> si no lo han hecho los propios Estados partes de las causas en que ellas han sido dictadas</w:t>
      </w:r>
      <w:r w:rsidRPr="00813091">
        <w:rPr>
          <w:rFonts w:ascii="Verdana" w:eastAsiaTheme="minorHAnsi" w:hAnsi="Verdana" w:cstheme="minorBidi"/>
          <w:sz w:val="20"/>
          <w:szCs w:val="20"/>
          <w:vertAlign w:val="superscript"/>
          <w:lang w:val="es-ES"/>
        </w:rPr>
        <w:footnoteReference w:id="67"/>
      </w:r>
      <w:r w:rsidRPr="00813091">
        <w:rPr>
          <w:rFonts w:ascii="Verdana" w:eastAsiaTheme="minorHAnsi" w:hAnsi="Verdana" w:cstheme="minorBidi"/>
          <w:sz w:val="20"/>
          <w:szCs w:val="20"/>
          <w:lang w:val="es-ES"/>
        </w:rPr>
        <w:t xml:space="preserve">. </w:t>
      </w:r>
    </w:p>
    <w:p w14:paraId="06DCF4FA" w14:textId="77777777" w:rsidR="00813091" w:rsidRPr="00813091" w:rsidRDefault="00813091" w:rsidP="00813091">
      <w:pPr>
        <w:spacing w:line="259" w:lineRule="auto"/>
        <w:ind w:left="-567" w:right="-567"/>
        <w:contextualSpacing/>
        <w:rPr>
          <w:rFonts w:ascii="Verdana" w:eastAsiaTheme="minorEastAsia" w:hAnsi="Verdana" w:cs="Arial"/>
          <w:sz w:val="20"/>
          <w:szCs w:val="20"/>
          <w:lang w:val="es-ES"/>
        </w:rPr>
      </w:pPr>
    </w:p>
    <w:p w14:paraId="65AEDFAD"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En esa dirección, se puede sostener que el citado artículo 63.2 de la Convención prevé la intervención de la Comisión por el rol que convencionalmente se le asignó. Efectivamente, en cumplimiento de su función principal de promover y defender los derechos humanos, la Comisión puede, entre otras acciones, formular recomendaciones, preparar estudios e informes, solicitar informes y atender consultas, es decir, dispone de un amplio margen de acción para investigar un asunto presumiblemente violatorio de los derechos humanos y para procurar su pronta cesación y, por tanto, facultades de las que, por su propia naturaleza, carece la Corte</w:t>
      </w:r>
      <w:r w:rsidRPr="00813091">
        <w:rPr>
          <w:rFonts w:ascii="Verdana" w:eastAsiaTheme="minorEastAsia" w:hAnsi="Verdana" w:cs="Arial"/>
          <w:sz w:val="20"/>
          <w:szCs w:val="20"/>
          <w:vertAlign w:val="superscript"/>
          <w:lang w:val="es-ES"/>
        </w:rPr>
        <w:footnoteReference w:id="68"/>
      </w:r>
      <w:r w:rsidRPr="00813091">
        <w:rPr>
          <w:rFonts w:ascii="Verdana" w:eastAsiaTheme="minorEastAsia" w:hAnsi="Verdana" w:cs="Arial"/>
          <w:sz w:val="20"/>
          <w:szCs w:val="20"/>
          <w:lang w:val="es-ES"/>
        </w:rPr>
        <w:t>.</w:t>
      </w:r>
    </w:p>
    <w:p w14:paraId="00C7ED48" w14:textId="77777777" w:rsidR="00813091" w:rsidRPr="00813091" w:rsidRDefault="00813091" w:rsidP="00813091">
      <w:pPr>
        <w:spacing w:line="259" w:lineRule="auto"/>
        <w:ind w:left="-567" w:right="-567"/>
        <w:contextualSpacing/>
        <w:rPr>
          <w:rFonts w:ascii="Verdana" w:eastAsiaTheme="minorEastAsia" w:hAnsi="Verdana" w:cs="Arial"/>
          <w:sz w:val="20"/>
          <w:szCs w:val="20"/>
          <w:lang w:val="es-ES"/>
        </w:rPr>
      </w:pPr>
    </w:p>
    <w:p w14:paraId="10E6992F"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Pero, la Comisión también dicta medidas cautelares, institución que obedece a similares condiciones y que tiene semejante objetivo</w:t>
      </w:r>
      <w:r w:rsidRPr="00813091">
        <w:rPr>
          <w:rFonts w:ascii="Verdana" w:eastAsiaTheme="minorEastAsia" w:hAnsi="Verdana" w:cs="Arial"/>
          <w:sz w:val="20"/>
          <w:szCs w:val="20"/>
          <w:vertAlign w:val="superscript"/>
          <w:lang w:val="es-ES"/>
        </w:rPr>
        <w:footnoteReference w:id="69"/>
      </w:r>
      <w:r w:rsidRPr="00813091">
        <w:rPr>
          <w:rFonts w:ascii="Verdana" w:eastAsiaTheme="minorEastAsia" w:hAnsi="Verdana" w:cs="Arial"/>
          <w:sz w:val="20"/>
          <w:szCs w:val="20"/>
          <w:lang w:val="es-ES"/>
        </w:rPr>
        <w:t xml:space="preserve"> que las medidas provisionales que puede decretar la Corte, respecto de las que, a diferencia de aquellas, no hay discusión, por estar previstas en </w:t>
      </w:r>
      <w:r w:rsidRPr="00813091">
        <w:rPr>
          <w:rFonts w:ascii="Verdana" w:eastAsiaTheme="minorEastAsia" w:hAnsi="Verdana" w:cs="Arial"/>
          <w:sz w:val="20"/>
          <w:szCs w:val="20"/>
          <w:lang w:val="es-ES"/>
        </w:rPr>
        <w:lastRenderedPageBreak/>
        <w:t>la propia Convención, en cuanto a su obligatorio cumplimiento por parte de los Estados americanos que hayan aceptado su competencia</w:t>
      </w:r>
      <w:r w:rsidRPr="00813091">
        <w:rPr>
          <w:rFonts w:ascii="Verdana" w:eastAsiaTheme="minorEastAsia" w:hAnsi="Verdana" w:cs="Arial"/>
          <w:sz w:val="20"/>
          <w:szCs w:val="20"/>
          <w:vertAlign w:val="superscript"/>
          <w:lang w:val="es-ES"/>
        </w:rPr>
        <w:footnoteReference w:id="70"/>
      </w:r>
      <w:r w:rsidRPr="00813091">
        <w:rPr>
          <w:rFonts w:ascii="Verdana" w:eastAsiaTheme="minorEastAsia" w:hAnsi="Verdana" w:cs="Arial"/>
          <w:sz w:val="20"/>
          <w:szCs w:val="20"/>
          <w:lang w:val="es-ES"/>
        </w:rPr>
        <w:t xml:space="preserve">. </w:t>
      </w:r>
    </w:p>
    <w:p w14:paraId="798F5220" w14:textId="77777777" w:rsidR="00813091" w:rsidRPr="00813091" w:rsidRDefault="00813091" w:rsidP="00813091">
      <w:pPr>
        <w:spacing w:line="259" w:lineRule="auto"/>
        <w:ind w:left="-567" w:right="-567"/>
        <w:contextualSpacing/>
        <w:rPr>
          <w:rFonts w:ascii="Verdana" w:eastAsiaTheme="minorEastAsia" w:hAnsi="Verdana" w:cs="Arial"/>
          <w:sz w:val="20"/>
          <w:szCs w:val="20"/>
          <w:lang w:val="es-ES"/>
        </w:rPr>
      </w:pPr>
    </w:p>
    <w:p w14:paraId="0A4E87DB"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Mas y tal como ya se expresó, la Comisión puede requerir a la Corte la adopción de medidas provisionales. Efectivamente, el artículo 76 del Reglamento de la Comisión, evidentemente, en atención a la última frase del artículo 63.2 de la Convención, establece:</w:t>
      </w:r>
    </w:p>
    <w:p w14:paraId="01BE9FEC" w14:textId="77777777" w:rsidR="00813091" w:rsidRPr="00813091" w:rsidRDefault="00813091" w:rsidP="00813091">
      <w:pPr>
        <w:spacing w:line="276" w:lineRule="auto"/>
        <w:ind w:left="-567" w:right="-567"/>
        <w:contextualSpacing/>
        <w:jc w:val="both"/>
        <w:rPr>
          <w:rFonts w:ascii="Verdana" w:eastAsia="Times New Roman" w:hAnsi="Verdana" w:cs="Tahoma"/>
          <w:sz w:val="18"/>
          <w:szCs w:val="20"/>
          <w:lang w:val="es-CR" w:eastAsia="es-CR"/>
        </w:rPr>
      </w:pPr>
    </w:p>
    <w:p w14:paraId="0909DF87"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sz w:val="16"/>
          <w:szCs w:val="18"/>
          <w:lang w:val="es-CR" w:eastAsia="es-CR"/>
        </w:rPr>
        <w:t>“</w:t>
      </w:r>
      <w:r w:rsidRPr="00813091">
        <w:rPr>
          <w:rFonts w:ascii="Verdana" w:eastAsia="Times New Roman" w:hAnsi="Verdana" w:cs="Tahoma"/>
          <w:i/>
          <w:iCs/>
          <w:sz w:val="18"/>
          <w:szCs w:val="18"/>
          <w:lang w:val="es-CR" w:eastAsia="es-CR"/>
        </w:rPr>
        <w:t>1. La Comisión podrá solicitar medidas provisionales a la Corte en situaciones de extrema gravedad y urgencia cuando se haga necesario para evitar daños irreparables a las personas. Al tomar esta decisión, la Comisión considerara la posición de los beneficiarios o sus representantes.</w:t>
      </w:r>
    </w:p>
    <w:p w14:paraId="5AD0F9C3"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i/>
          <w:iCs/>
          <w:sz w:val="18"/>
          <w:szCs w:val="18"/>
          <w:lang w:val="es-CR" w:eastAsia="es-CR"/>
        </w:rPr>
        <w:t>2. La Comisión considerará los siguientes criterios para presentar la solicitud de medidas provisionales:</w:t>
      </w:r>
    </w:p>
    <w:p w14:paraId="1E0A95C2"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i/>
          <w:iCs/>
          <w:sz w:val="18"/>
          <w:szCs w:val="18"/>
          <w:lang w:val="es-CR" w:eastAsia="es-CR"/>
        </w:rPr>
        <w:t>a. cuando el Estado concernido no haya implementado las medidas cautelares otorgadas por la Comisión;</w:t>
      </w:r>
    </w:p>
    <w:p w14:paraId="171FFB8F"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i/>
          <w:iCs/>
          <w:sz w:val="18"/>
          <w:szCs w:val="18"/>
          <w:lang w:val="es-CR" w:eastAsia="es-CR"/>
        </w:rPr>
        <w:t>b. cuando las medidas cautelares no hayan sido eficaces;</w:t>
      </w:r>
    </w:p>
    <w:p w14:paraId="41026CC0"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i/>
          <w:iCs/>
          <w:sz w:val="18"/>
          <w:szCs w:val="18"/>
          <w:lang w:val="es-CR" w:eastAsia="es-CR"/>
        </w:rPr>
        <w:t xml:space="preserve">c. </w:t>
      </w:r>
      <w:bookmarkStart w:id="9" w:name="_Hlk37408205"/>
      <w:r w:rsidRPr="00813091">
        <w:rPr>
          <w:rFonts w:ascii="Verdana" w:eastAsia="Times New Roman" w:hAnsi="Verdana" w:cs="Tahoma"/>
          <w:i/>
          <w:iCs/>
          <w:sz w:val="18"/>
          <w:szCs w:val="18"/>
          <w:lang w:val="es-CR" w:eastAsia="es-CR"/>
        </w:rPr>
        <w:t>cuando exista una medida cautelar conectada a un caso sometido a la jurisdicción de la Corte</w:t>
      </w:r>
      <w:bookmarkEnd w:id="9"/>
      <w:r w:rsidRPr="00813091">
        <w:rPr>
          <w:rFonts w:ascii="Verdana" w:eastAsia="Times New Roman" w:hAnsi="Verdana" w:cs="Tahoma"/>
          <w:i/>
          <w:iCs/>
          <w:sz w:val="18"/>
          <w:szCs w:val="18"/>
          <w:lang w:val="es-CR" w:eastAsia="es-CR"/>
        </w:rPr>
        <w:t>;</w:t>
      </w:r>
    </w:p>
    <w:p w14:paraId="1512C663" w14:textId="77777777" w:rsidR="00813091" w:rsidRPr="00813091" w:rsidRDefault="00813091" w:rsidP="00813091">
      <w:pPr>
        <w:spacing w:line="276" w:lineRule="auto"/>
        <w:ind w:left="567" w:right="-567"/>
        <w:contextualSpacing/>
        <w:jc w:val="both"/>
        <w:rPr>
          <w:rFonts w:ascii="Verdana" w:eastAsia="Times New Roman" w:hAnsi="Verdana" w:cs="Tahoma"/>
          <w:i/>
          <w:iCs/>
          <w:sz w:val="18"/>
          <w:szCs w:val="18"/>
          <w:lang w:val="es-CR" w:eastAsia="es-CR"/>
        </w:rPr>
      </w:pPr>
      <w:r w:rsidRPr="00813091">
        <w:rPr>
          <w:rFonts w:ascii="Verdana" w:eastAsia="Times New Roman" w:hAnsi="Verdana" w:cs="Tahoma"/>
          <w:i/>
          <w:iCs/>
          <w:sz w:val="18"/>
          <w:szCs w:val="18"/>
          <w:lang w:val="es-CR" w:eastAsia="es-CR"/>
        </w:rPr>
        <w:t>d. cuando la Comisión lo estime pertinente al mejor efecto de las medidas solicitadas, para lo cual fundamentará sus motivos.”</w:t>
      </w:r>
    </w:p>
    <w:p w14:paraId="0C518621" w14:textId="77777777" w:rsidR="00813091" w:rsidRPr="00813091" w:rsidRDefault="00813091" w:rsidP="00813091">
      <w:pPr>
        <w:spacing w:line="276" w:lineRule="auto"/>
        <w:ind w:left="-567" w:right="-567"/>
        <w:contextualSpacing/>
        <w:jc w:val="both"/>
        <w:rPr>
          <w:rFonts w:ascii="Verdana" w:eastAsia="Times New Roman" w:hAnsi="Verdana" w:cs="Tahoma"/>
          <w:i/>
          <w:iCs/>
          <w:color w:val="333333"/>
          <w:sz w:val="18"/>
          <w:szCs w:val="18"/>
          <w:lang w:val="es-CR" w:eastAsia="es-CR"/>
        </w:rPr>
      </w:pPr>
    </w:p>
    <w:p w14:paraId="2E936260"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EastAsia" w:hAnsi="Verdana" w:cs="Arial"/>
          <w:sz w:val="20"/>
          <w:szCs w:val="20"/>
          <w:lang w:val="es-ES"/>
        </w:rPr>
        <w:t xml:space="preserve">Como se puede colegir del numeral 2 del recién transcrito texto, el requerimiento por parte de la Comisión de medidas provisionales procede, en especial, aunque no exclusivamente, cuando las medidas cautelares no hayan sido acatadas o no fuesen eficaces o tengan relación con un caso en conocimiento de la Corte. Así, pues, las medidas provisionales, serían, en tales eventualidades, una clara expresión </w:t>
      </w:r>
      <w:r w:rsidRPr="00813091">
        <w:rPr>
          <w:rFonts w:ascii="Verdana" w:eastAsiaTheme="minorHAnsi" w:hAnsi="Verdana" w:cstheme="minorBidi"/>
          <w:sz w:val="20"/>
          <w:szCs w:val="20"/>
          <w:lang w:val="es-ES"/>
        </w:rPr>
        <w:t>de la naturaleza convencional coadyuvante o complementaria que tiene la protección internacional de los derechos humanos respecto de la que ofrece el derecho interno de los Estados americanos</w:t>
      </w:r>
      <w:r w:rsidRPr="00813091">
        <w:rPr>
          <w:rFonts w:asciiTheme="minorHAnsi" w:eastAsiaTheme="minorHAnsi" w:hAnsiTheme="minorHAnsi" w:cstheme="minorBidi"/>
          <w:sz w:val="22"/>
          <w:szCs w:val="22"/>
          <w:vertAlign w:val="superscript"/>
          <w:lang w:val="es-ES"/>
        </w:rPr>
        <w:footnoteReference w:id="71"/>
      </w:r>
      <w:r w:rsidRPr="00813091">
        <w:rPr>
          <w:rFonts w:ascii="Verdana" w:eastAsiaTheme="minorHAnsi" w:hAnsi="Verdana" w:cstheme="minorBidi"/>
          <w:i/>
          <w:iCs/>
          <w:sz w:val="20"/>
          <w:szCs w:val="20"/>
          <w:lang w:val="es-ES"/>
        </w:rPr>
        <w:t>.</w:t>
      </w:r>
    </w:p>
    <w:p w14:paraId="6731D42A" w14:textId="77777777" w:rsidR="00813091" w:rsidRPr="00813091" w:rsidRDefault="00813091" w:rsidP="00813091">
      <w:pPr>
        <w:spacing w:line="276" w:lineRule="auto"/>
        <w:ind w:left="-207" w:right="-567"/>
        <w:contextualSpacing/>
        <w:jc w:val="both"/>
        <w:rPr>
          <w:rFonts w:ascii="Verdana" w:eastAsiaTheme="minorHAnsi" w:hAnsi="Verdana" w:cstheme="minorBidi"/>
          <w:sz w:val="20"/>
          <w:szCs w:val="20"/>
          <w:lang w:val="es-CL"/>
        </w:rPr>
      </w:pPr>
    </w:p>
    <w:p w14:paraId="7DA5408C"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ES"/>
        </w:rPr>
        <w:t>Efectivamente,</w:t>
      </w:r>
      <w:r w:rsidRPr="00813091">
        <w:rPr>
          <w:rFonts w:ascii="Verdana" w:eastAsiaTheme="minorHAnsi" w:hAnsi="Verdana" w:cstheme="minorBidi"/>
          <w:i/>
          <w:iCs/>
          <w:sz w:val="20"/>
          <w:szCs w:val="20"/>
          <w:lang w:val="es-ES"/>
        </w:rPr>
        <w:t xml:space="preserve"> </w:t>
      </w:r>
      <w:r w:rsidRPr="00813091">
        <w:rPr>
          <w:rFonts w:ascii="Verdana" w:eastAsiaTheme="minorHAnsi" w:hAnsi="Verdana" w:cstheme="minorBidi"/>
          <w:sz w:val="20"/>
          <w:szCs w:val="20"/>
          <w:lang w:val="es-CL"/>
        </w:rPr>
        <w:t>la Comisión, al solicitarlas en razón de las señaladas eventualidades, demanda, en definitiva, la protección internacional de la Corte en razón de la carencia demostrada por el derecho interno del respectivo Estado en cuanto a la aplicación y eficacia de las dispuestas medidas cautelares. Y ello es más evidente aún en lo concerniente al criterio</w:t>
      </w:r>
      <w:r w:rsidRPr="00813091">
        <w:rPr>
          <w:rFonts w:ascii="Verdana" w:eastAsia="Times New Roman" w:hAnsi="Verdana" w:cs="Tahoma"/>
          <w:sz w:val="20"/>
          <w:szCs w:val="20"/>
          <w:lang w:val="es-CR" w:eastAsia="es-CR"/>
        </w:rPr>
        <w:t xml:space="preserve"> indicado en </w:t>
      </w:r>
      <w:r w:rsidRPr="00813091">
        <w:rPr>
          <w:rFonts w:ascii="Verdana" w:eastAsia="Times New Roman" w:hAnsi="Verdana" w:cs="Tahoma"/>
          <w:color w:val="333333"/>
          <w:sz w:val="20"/>
          <w:szCs w:val="20"/>
          <w:lang w:val="es-CR" w:eastAsia="es-CR"/>
        </w:rPr>
        <w:t xml:space="preserve">la </w:t>
      </w:r>
      <w:r w:rsidRPr="00813091">
        <w:rPr>
          <w:rFonts w:ascii="Verdana" w:eastAsia="Times New Roman" w:hAnsi="Verdana" w:cs="Tahoma"/>
          <w:sz w:val="20"/>
          <w:szCs w:val="20"/>
          <w:lang w:val="es-CR" w:eastAsia="es-CR"/>
        </w:rPr>
        <w:t>transcrita norma reglamentaria, referido a la existencia de una medida cautelar conectada a un caso sometido a la jurisdicción de la Corte, pues allí se estaría aceptando que ya está actuando la jurisdicción internacional con alcance obligatorio.</w:t>
      </w:r>
    </w:p>
    <w:p w14:paraId="47AA2D46"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6697BE5A"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A lo señalado, habría que adicionar que la respuesta que pueda dar la Comisión a la consulta que le formule la Corte respecto de una petición de medidas provisionales directamente efectuada por una persona, no representa ni sustituye al ejercicio de la facultad privativa de la primera, contemplada en la última frase del artículo 63.1 de la Convención, es decir, de solicitar, cuando lo estime necesario, dichas medidas en los asuntos </w:t>
      </w:r>
      <w:r w:rsidRPr="00813091">
        <w:rPr>
          <w:rFonts w:ascii="Verdana" w:eastAsiaTheme="minorHAnsi" w:hAnsi="Verdana" w:cs="Tahoma"/>
          <w:color w:val="000000"/>
          <w:sz w:val="20"/>
          <w:szCs w:val="20"/>
          <w:lang w:val="es-CL"/>
        </w:rPr>
        <w:t>que aún no estén sometidos a conocimiento</w:t>
      </w:r>
      <w:r w:rsidRPr="00813091">
        <w:rPr>
          <w:rFonts w:ascii="Verdana" w:eastAsiaTheme="minorHAnsi" w:hAnsi="Verdana" w:cstheme="minorBidi"/>
          <w:sz w:val="20"/>
          <w:szCs w:val="20"/>
          <w:lang w:val="es-CL"/>
        </w:rPr>
        <w:t xml:space="preserve"> de la Corte.</w:t>
      </w:r>
    </w:p>
    <w:p w14:paraId="666E806C"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3841A77F"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En este orden de ideas, procede llamar la atención acerca de que la petición de medidas previsionales ante la Corte en el marco de un asunto aún no sometido a su conocimiento, no le impide a la Comisión </w:t>
      </w:r>
      <w:r w:rsidRPr="00813091">
        <w:rPr>
          <w:rFonts w:ascii="Verdana" w:eastAsiaTheme="minorHAnsi" w:hAnsi="Verdana" w:cstheme="minorBidi"/>
          <w:sz w:val="20"/>
          <w:szCs w:val="20"/>
          <w:lang w:val="es-ES"/>
        </w:rPr>
        <w:t xml:space="preserve">someter posteriormente a conocimiento de aquella, el caso </w:t>
      </w:r>
      <w:r w:rsidRPr="00813091">
        <w:rPr>
          <w:rFonts w:ascii="Verdana" w:eastAsiaTheme="minorHAnsi" w:hAnsi="Verdana" w:cstheme="minorBidi"/>
          <w:sz w:val="20"/>
          <w:szCs w:val="20"/>
          <w:lang w:val="es-ES"/>
        </w:rPr>
        <w:lastRenderedPageBreak/>
        <w:t>correspondiente. Tampoco está obligada a hacerlo e, incluso, puede solicitarle a la Corte el término de dichas medidas. Todo lo cual demuestra que la solicitud de medidas provisionales en los asuntos que no estén en conocimiento de la Corte, es una facultad exclusiva de la Comisión y, por ende, no susceptible de ser ejercida por nadie más ni ser estimada como sustitutiva de la opinión que emita en respuesta al traslado que le da la Corte de una petición de medidas provisionales formulada directamente ante ella.</w:t>
      </w:r>
    </w:p>
    <w:p w14:paraId="49C37B11"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6B552366"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ES"/>
        </w:rPr>
        <w:t xml:space="preserve">Asimismo, habría que considerar que, de aceptarse que la Corte puede disponer medidas provisionales en un asunto no sometido a su conocimiento y que no hayan sido solicitadas por la Comisión, importaría que aquella procedería, por lo general, sobre la base de menos o más débiles antecedentes que los que consideraría para disponerlas en un caso que se encuentre bajo su conocimiento, puesto que no dispondría de la comprobación directa de los hechos, sea por ella misma o por la Comisión, en que se funda la respectiva petición.   </w:t>
      </w:r>
    </w:p>
    <w:p w14:paraId="3C3BF34C"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62F16C2B"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De manera, en consecuencia, que la intervención de la Comisión en lo referente a las medidas provisionales forma parte del engranaje o mecanismo previsto por la Convención como integrante del SIDH, el que, por tanto, requiere, para su correcto y eficiente funcionamiento, que haya adecuada articulación o coordinación entre sus partes, vale decir, entre la Corte y la Comisión, procediendo cada cual conforme a sus atribuciones y deberes y no una competición ni desconocimiento entre ellas. Por lo mismo, decretar medidas provisionales que, en último término, avalen que soslaye la convencionalmente prevista intervención de la Comisión, se afecta negativamente al SIDH en su conjunto y, por lo tanto, a los derechos humanos que se deben proteger. Y eso ocurre cuando precisamente se le resta relevancia a la última frase del artículo 63.2 de la Convención y se soslaya su aplicación.</w:t>
      </w:r>
      <w:bookmarkEnd w:id="7"/>
      <w:r w:rsidRPr="00813091">
        <w:rPr>
          <w:rFonts w:ascii="Verdana" w:eastAsiaTheme="minorEastAsia" w:hAnsi="Verdana" w:cs="Tahoma"/>
          <w:sz w:val="20"/>
          <w:szCs w:val="20"/>
          <w:lang w:val="es-CR"/>
        </w:rPr>
        <w:t xml:space="preserve"> </w:t>
      </w:r>
    </w:p>
    <w:bookmarkEnd w:id="3"/>
    <w:p w14:paraId="62CFAB59" w14:textId="77777777" w:rsidR="00813091" w:rsidRPr="00813091" w:rsidRDefault="00813091" w:rsidP="00813091">
      <w:pPr>
        <w:spacing w:line="276" w:lineRule="auto"/>
        <w:contextualSpacing/>
        <w:jc w:val="both"/>
        <w:rPr>
          <w:rFonts w:ascii="Verdana" w:eastAsiaTheme="minorEastAsia" w:hAnsi="Verdana" w:cs="Arial"/>
          <w:sz w:val="20"/>
          <w:szCs w:val="20"/>
          <w:lang w:val="es-ES"/>
        </w:rPr>
      </w:pPr>
    </w:p>
    <w:p w14:paraId="53ED6D97" w14:textId="77777777" w:rsidR="00813091" w:rsidRPr="00813091" w:rsidRDefault="00813091" w:rsidP="00813091">
      <w:pPr>
        <w:numPr>
          <w:ilvl w:val="0"/>
          <w:numId w:val="26"/>
        </w:numPr>
        <w:spacing w:after="100" w:afterAutospacing="1" w:line="276" w:lineRule="auto"/>
        <w:ind w:left="153" w:right="-567"/>
        <w:contextualSpacing/>
        <w:jc w:val="both"/>
        <w:rPr>
          <w:rFonts w:ascii="Verdana" w:eastAsiaTheme="minorEastAsia" w:hAnsi="Verdana" w:cs="Arial"/>
          <w:b/>
          <w:bCs/>
          <w:sz w:val="20"/>
          <w:szCs w:val="20"/>
          <w:lang w:val="es-ES"/>
        </w:rPr>
      </w:pPr>
      <w:r w:rsidRPr="00813091">
        <w:rPr>
          <w:rFonts w:ascii="Verdana" w:eastAsiaTheme="minorEastAsia" w:hAnsi="Verdana" w:cs="Arial"/>
          <w:b/>
          <w:bCs/>
          <w:sz w:val="20"/>
          <w:szCs w:val="20"/>
          <w:lang w:val="es-ES"/>
        </w:rPr>
        <w:t>VULNERACIÓN DE LAS NORMAS EN AUTOS.</w:t>
      </w:r>
    </w:p>
    <w:p w14:paraId="56922826" w14:textId="77777777" w:rsidR="00813091" w:rsidRPr="00813091" w:rsidRDefault="00813091" w:rsidP="00813091">
      <w:pPr>
        <w:spacing w:after="100" w:afterAutospacing="1" w:line="276" w:lineRule="auto"/>
        <w:contextualSpacing/>
        <w:jc w:val="both"/>
        <w:rPr>
          <w:rFonts w:ascii="Verdana" w:eastAsiaTheme="minorEastAsia" w:hAnsi="Verdana" w:cs="Arial"/>
          <w:b/>
          <w:bCs/>
          <w:sz w:val="20"/>
          <w:szCs w:val="20"/>
          <w:lang w:val="es-ES"/>
        </w:rPr>
      </w:pPr>
    </w:p>
    <w:p w14:paraId="401B2208"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 xml:space="preserve">Como se demuestra a continuación, en el caso de la Resolución no se aplicaron, en rigor, las normas antes mencionadas. </w:t>
      </w:r>
    </w:p>
    <w:p w14:paraId="6BF559C8" w14:textId="77777777" w:rsidR="00813091" w:rsidRPr="00813091" w:rsidRDefault="00813091" w:rsidP="00813091">
      <w:pPr>
        <w:spacing w:line="276" w:lineRule="auto"/>
        <w:ind w:left="-567" w:right="-567"/>
        <w:contextualSpacing/>
        <w:jc w:val="both"/>
        <w:rPr>
          <w:rFonts w:ascii="Verdana" w:eastAsiaTheme="minorEastAsia" w:hAnsi="Verdana" w:cs="Arial"/>
          <w:sz w:val="20"/>
          <w:szCs w:val="20"/>
          <w:lang w:val="es-ES"/>
        </w:rPr>
      </w:pPr>
    </w:p>
    <w:p w14:paraId="3E82356F"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 xml:space="preserve">Por de pronto, ya que </w:t>
      </w:r>
      <w:r w:rsidRPr="00813091">
        <w:rPr>
          <w:rFonts w:ascii="Verdana" w:eastAsiaTheme="minorHAnsi" w:hAnsi="Verdana" w:cstheme="minorBidi"/>
          <w:sz w:val="20"/>
          <w:szCs w:val="20"/>
          <w:lang w:val="es-CL"/>
        </w:rPr>
        <w:t>las Sentencias definitivas e inapelables de los casos a que se vincula la Resolución, fueron dictada</w:t>
      </w:r>
      <w:bookmarkStart w:id="10" w:name="_Hlk37572217"/>
      <w:r w:rsidRPr="00813091">
        <w:rPr>
          <w:rFonts w:ascii="Verdana" w:eastAsiaTheme="minorHAnsi" w:hAnsi="Verdana" w:cstheme="minorBidi"/>
          <w:sz w:val="20"/>
          <w:szCs w:val="20"/>
          <w:lang w:val="es-CL"/>
        </w:rPr>
        <w:t xml:space="preserve">s el </w:t>
      </w:r>
      <w:bookmarkEnd w:id="10"/>
      <w:r w:rsidRPr="00813091">
        <w:rPr>
          <w:rFonts w:ascii="Verdana" w:hAnsi="Verdana"/>
          <w:sz w:val="20"/>
          <w:szCs w:val="20"/>
        </w:rPr>
        <w:t>el 8 de octubre de 2015</w:t>
      </w:r>
      <w:r w:rsidRPr="00813091">
        <w:rPr>
          <w:rFonts w:ascii="Verdana" w:eastAsiaTheme="minorHAnsi" w:hAnsi="Verdana" w:cstheme="minorBidi"/>
          <w:sz w:val="20"/>
          <w:szCs w:val="20"/>
          <w:lang w:val="es-CL"/>
        </w:rPr>
        <w:t xml:space="preserve">, esto es, a esa fecha, puso término o dio por finalizado a aquellos, con valor de cosa juzgada, incluso para la propia Corte, por lo que, consecuentemente, a la fecha en que se ordenaron las medidas urgentes por parte de la Presidenta de la Corte, es decir, el </w:t>
      </w:r>
      <w:r w:rsidRPr="00813091">
        <w:rPr>
          <w:rFonts w:ascii="Verdana" w:hAnsi="Verdana"/>
          <w:sz w:val="20"/>
          <w:szCs w:val="20"/>
        </w:rPr>
        <w:t>6 de agosto</w:t>
      </w:r>
      <w:r w:rsidRPr="00813091">
        <w:rPr>
          <w:rFonts w:ascii="Verdana" w:eastAsia="Times" w:hAnsi="Verdana" w:cstheme="minorBidi"/>
          <w:sz w:val="20"/>
          <w:szCs w:val="22"/>
          <w:lang w:val="es-AR"/>
        </w:rPr>
        <w:t xml:space="preserve"> de </w:t>
      </w:r>
      <w:r w:rsidRPr="00813091">
        <w:rPr>
          <w:rFonts w:ascii="Verdana" w:eastAsia="Times" w:hAnsi="Verdana" w:cstheme="minorBidi"/>
          <w:sz w:val="20"/>
          <w:szCs w:val="20"/>
          <w:lang w:val="es-AR"/>
        </w:rPr>
        <w:t>2020</w:t>
      </w:r>
      <w:r w:rsidRPr="00813091">
        <w:rPr>
          <w:rFonts w:ascii="Verdana" w:eastAsiaTheme="minorHAnsi" w:hAnsi="Verdana" w:cstheme="minorBidi"/>
          <w:sz w:val="20"/>
          <w:szCs w:val="20"/>
          <w:lang w:val="es-CL"/>
        </w:rPr>
        <w:t xml:space="preserve"> del año en curso, y con mayor razón todavía a esta fecha, esto es, la de la Resolución que ratifica a aquella</w:t>
      </w:r>
      <w:r w:rsidRPr="00813091">
        <w:rPr>
          <w:rFonts w:ascii="Verdana" w:eastAsiaTheme="minorHAnsi" w:hAnsi="Verdana" w:cstheme="minorBidi"/>
          <w:sz w:val="20"/>
          <w:szCs w:val="20"/>
          <w:vertAlign w:val="superscript"/>
          <w:lang w:val="es-CL"/>
        </w:rPr>
        <w:footnoteReference w:id="72"/>
      </w:r>
      <w:r w:rsidRPr="00813091">
        <w:rPr>
          <w:rFonts w:ascii="Verdana" w:eastAsiaTheme="minorHAnsi" w:hAnsi="Verdana" w:cstheme="minorBidi"/>
          <w:sz w:val="20"/>
          <w:szCs w:val="20"/>
          <w:lang w:val="es-CL"/>
        </w:rPr>
        <w:t xml:space="preserve">, la facultad de dictar medidas provisionales al respecto había precluido. </w:t>
      </w:r>
    </w:p>
    <w:p w14:paraId="2448ACD5" w14:textId="77777777" w:rsidR="00813091" w:rsidRPr="00813091" w:rsidRDefault="00813091" w:rsidP="00813091">
      <w:pPr>
        <w:spacing w:after="160" w:line="259" w:lineRule="auto"/>
        <w:ind w:left="720" w:right="-567"/>
        <w:contextualSpacing/>
        <w:rPr>
          <w:rFonts w:ascii="Verdana" w:eastAsiaTheme="minorEastAsia" w:hAnsi="Verdana" w:cs="Arial"/>
          <w:sz w:val="20"/>
          <w:szCs w:val="20"/>
          <w:lang w:val="es-ES"/>
        </w:rPr>
      </w:pPr>
    </w:p>
    <w:p w14:paraId="131B2220"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Por lo mismo, no es procedente el fundamento invocado en la Resolución, en el sentido de que la petición tiene relación con el objeto de los casos</w:t>
      </w:r>
      <w:r w:rsidRPr="00813091">
        <w:rPr>
          <w:rFonts w:ascii="Verdana" w:eastAsiaTheme="minorEastAsia" w:hAnsi="Verdana" w:cs="Arial"/>
          <w:sz w:val="20"/>
          <w:szCs w:val="20"/>
          <w:vertAlign w:val="superscript"/>
          <w:lang w:val="es-ES"/>
        </w:rPr>
        <w:footnoteReference w:id="73"/>
      </w:r>
      <w:r w:rsidRPr="00813091">
        <w:rPr>
          <w:rFonts w:ascii="Verdana" w:eastAsiaTheme="minorEastAsia" w:hAnsi="Verdana" w:cs="Arial"/>
          <w:sz w:val="20"/>
          <w:szCs w:val="20"/>
          <w:lang w:val="es-ES"/>
        </w:rPr>
        <w:t xml:space="preserve">, puesto que </w:t>
      </w:r>
      <w:r w:rsidRPr="00813091">
        <w:rPr>
          <w:rFonts w:ascii="Verdana" w:eastAsiaTheme="minorHAnsi" w:hAnsi="Verdana" w:cstheme="minorBidi"/>
          <w:sz w:val="20"/>
          <w:szCs w:val="20"/>
          <w:lang w:val="es-CL"/>
        </w:rPr>
        <w:t>en circunstancias de que, por haberse dictado Sentencias definitivas e inapelables, la Corte no estaba ya conociendo de aquel, esto es, él ya no existía.</w:t>
      </w:r>
    </w:p>
    <w:p w14:paraId="12F8E8B0" w14:textId="77777777" w:rsidR="00813091" w:rsidRPr="00813091" w:rsidRDefault="00813091" w:rsidP="00813091">
      <w:pPr>
        <w:spacing w:line="276" w:lineRule="auto"/>
        <w:ind w:left="-567" w:right="-567"/>
        <w:contextualSpacing/>
        <w:jc w:val="both"/>
        <w:rPr>
          <w:rFonts w:ascii="Verdana" w:eastAsiaTheme="minorEastAsia" w:hAnsi="Verdana" w:cs="Arial"/>
          <w:sz w:val="20"/>
          <w:szCs w:val="20"/>
          <w:lang w:val="es-ES"/>
        </w:rPr>
      </w:pPr>
    </w:p>
    <w:p w14:paraId="72037137"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EastAsia" w:hAnsi="Verdana" w:cs="Arial"/>
          <w:sz w:val="20"/>
          <w:szCs w:val="20"/>
          <w:lang w:val="es-ES"/>
        </w:rPr>
        <w:t>Es por ello, que en este asunto tampoco precede, al contrario de lo que señala la Resolución</w:t>
      </w:r>
      <w:r w:rsidRPr="00813091">
        <w:rPr>
          <w:rFonts w:ascii="Verdana" w:eastAsiaTheme="minorEastAsia" w:hAnsi="Verdana" w:cs="Arial"/>
          <w:sz w:val="20"/>
          <w:szCs w:val="20"/>
          <w:vertAlign w:val="superscript"/>
          <w:lang w:val="es-ES"/>
        </w:rPr>
        <w:footnoteReference w:id="74"/>
      </w:r>
      <w:r w:rsidRPr="00813091">
        <w:rPr>
          <w:rFonts w:ascii="Verdana" w:eastAsiaTheme="minorEastAsia" w:hAnsi="Verdana" w:cs="Arial"/>
          <w:sz w:val="20"/>
          <w:szCs w:val="20"/>
          <w:lang w:val="es-ES"/>
        </w:rPr>
        <w:t>, la aplicación de los previsto en el Reglamento en orden a la capacidad de</w:t>
      </w:r>
      <w:r w:rsidRPr="00813091">
        <w:rPr>
          <w:rFonts w:ascii="Verdana" w:eastAsiaTheme="minorHAnsi" w:hAnsi="Verdana" w:cstheme="minorBidi"/>
          <w:sz w:val="20"/>
          <w:szCs w:val="20"/>
          <w:lang w:val="es-CR"/>
        </w:rPr>
        <w:t xml:space="preserve"> las víctimas o las presuntas víctimas o sus representantes, de solicitar a la Corte la adopción de medidas provisionales</w:t>
      </w:r>
      <w:r w:rsidRPr="00813091">
        <w:rPr>
          <w:rFonts w:ascii="Verdana" w:eastAsiaTheme="minorEastAsia" w:hAnsi="Verdana" w:cs="Arial"/>
          <w:sz w:val="20"/>
          <w:szCs w:val="20"/>
          <w:lang w:val="es-ES"/>
        </w:rPr>
        <w:t>,</w:t>
      </w:r>
      <w:r w:rsidRPr="00813091">
        <w:rPr>
          <w:rFonts w:ascii="Verdana" w:eastAsiaTheme="minorHAnsi" w:hAnsi="Verdana" w:cstheme="minorBidi"/>
          <w:sz w:val="20"/>
          <w:szCs w:val="20"/>
          <w:lang w:val="es-CR"/>
        </w:rPr>
        <w:t xml:space="preserve"> ya que, a la fecha, ya no existe el caso contencioso al que se relaciona.</w:t>
      </w:r>
    </w:p>
    <w:p w14:paraId="091B3D8D"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7514F35B"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hAnsi="Verdana"/>
          <w:color w:val="000000" w:themeColor="text1"/>
          <w:sz w:val="20"/>
          <w:lang w:val="es-CL"/>
        </w:rPr>
        <w:t>Por otra parte</w:t>
      </w:r>
      <w:r w:rsidRPr="00813091">
        <w:rPr>
          <w:rFonts w:ascii="Verdana" w:eastAsiaTheme="minorHAnsi" w:hAnsi="Verdana" w:cstheme="minorBidi"/>
          <w:sz w:val="20"/>
          <w:szCs w:val="20"/>
          <w:lang w:val="es-CL"/>
        </w:rPr>
        <w:t xml:space="preserve">, es del todo indispensable llamar profundamente la atención acerca de que la Resolución no haya realizado razonamiento alguno acerca de la posibilidad de que, en la situación de autos, podría haber tenido aplicación lo dispuesto en la frase final del artículo 63.2 de la Convención, es decir, no se analizó, ni aún para descartarla, la alternativa de que la Corte podría haber procedido únicamente a solicitud de la Comisión. </w:t>
      </w:r>
    </w:p>
    <w:p w14:paraId="3FC8DF8C"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R"/>
        </w:rPr>
      </w:pPr>
    </w:p>
    <w:p w14:paraId="1834D082"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HAnsi" w:hAnsi="Verdana" w:cstheme="minorBidi"/>
          <w:sz w:val="20"/>
          <w:szCs w:val="20"/>
          <w:lang w:val="es-CR"/>
        </w:rPr>
        <w:t xml:space="preserve">Y también resulta inquietante que en parte alguna de la Resolución se aborde la </w:t>
      </w:r>
      <w:r w:rsidRPr="00813091">
        <w:rPr>
          <w:rFonts w:ascii="Verdana" w:eastAsiaTheme="minorHAnsi" w:hAnsi="Verdana" w:cs="Tahoma"/>
          <w:color w:val="000000"/>
          <w:sz w:val="20"/>
          <w:szCs w:val="20"/>
          <w:lang w:val="es-CL"/>
        </w:rPr>
        <w:t xml:space="preserve">naturaleza convencional coadyuvante o complementaria </w:t>
      </w:r>
      <w:r w:rsidRPr="00813091">
        <w:rPr>
          <w:rFonts w:ascii="Verdana" w:eastAsiaTheme="minorHAnsi" w:hAnsi="Verdana" w:cstheme="minorBidi"/>
          <w:sz w:val="20"/>
          <w:szCs w:val="20"/>
          <w:lang w:val="es-CR"/>
        </w:rPr>
        <w:t>de la protección internacional de la que ofrece el derecho interno de los Estados americanos</w:t>
      </w:r>
      <w:r w:rsidRPr="00813091">
        <w:rPr>
          <w:rFonts w:ascii="Verdana" w:eastAsiaTheme="minorHAnsi" w:hAnsi="Verdana" w:cstheme="minorBidi"/>
          <w:sz w:val="20"/>
          <w:szCs w:val="20"/>
          <w:vertAlign w:val="superscript"/>
          <w:lang w:val="es-CR"/>
        </w:rPr>
        <w:footnoteReference w:id="75"/>
      </w:r>
      <w:r w:rsidRPr="00813091">
        <w:rPr>
          <w:rFonts w:ascii="Verdana" w:eastAsiaTheme="minorHAnsi" w:hAnsi="Verdana" w:cstheme="minorBidi"/>
          <w:sz w:val="20"/>
          <w:szCs w:val="20"/>
          <w:lang w:val="es-CR"/>
        </w:rPr>
        <w:t>. Es decir, en la Resolución no se da razón por la que los peticionarios de las medidas provisionales no concurrieron ante las autoridades nacionales competentes requiriendo las medidas de protección correspondientes.</w:t>
      </w:r>
    </w:p>
    <w:p w14:paraId="3D2FCC1D"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R"/>
        </w:rPr>
      </w:pPr>
    </w:p>
    <w:p w14:paraId="6DB659E9" w14:textId="77777777" w:rsidR="00813091" w:rsidRPr="00813091" w:rsidRDefault="00813091" w:rsidP="00813091">
      <w:pPr>
        <w:numPr>
          <w:ilvl w:val="0"/>
          <w:numId w:val="23"/>
        </w:numPr>
        <w:spacing w:after="160" w:line="276" w:lineRule="auto"/>
        <w:ind w:left="-207" w:right="-567"/>
        <w:contextualSpacing/>
        <w:jc w:val="both"/>
        <w:rPr>
          <w:rFonts w:ascii="Verdana" w:eastAsiaTheme="minorEastAsia" w:hAnsi="Verdana" w:cs="Arial"/>
          <w:sz w:val="20"/>
          <w:szCs w:val="20"/>
          <w:lang w:val="es-ES"/>
        </w:rPr>
      </w:pPr>
      <w:r w:rsidRPr="00813091">
        <w:rPr>
          <w:rFonts w:ascii="Verdana" w:eastAsiaTheme="minorHAnsi" w:hAnsi="Verdana" w:cstheme="minorBidi"/>
          <w:sz w:val="20"/>
          <w:szCs w:val="20"/>
          <w:lang w:val="es-CR"/>
        </w:rPr>
        <w:t xml:space="preserve">Así las cosas, entonces, la Resolución hace caso omiso de lo dispuesto en el artículo 63.2 de la Convención, despojando sin más a su frase final de toda posibilidad, aunque fuese mínima, de aplicación, sin considerar, por otra parte, que la facultad de intervención de la Comisión prevista en ella, debía ser interpretada como parte del SIDH. </w:t>
      </w:r>
    </w:p>
    <w:p w14:paraId="07A436A2" w14:textId="77777777" w:rsidR="00813091" w:rsidRPr="00813091" w:rsidRDefault="00813091" w:rsidP="00813091">
      <w:pPr>
        <w:rPr>
          <w:rFonts w:ascii="Verdana" w:eastAsiaTheme="minorEastAsia" w:hAnsi="Verdana" w:cs="Arial"/>
          <w:sz w:val="20"/>
          <w:szCs w:val="20"/>
          <w:lang w:val="es-ES"/>
        </w:rPr>
      </w:pPr>
    </w:p>
    <w:p w14:paraId="41D0A969" w14:textId="77777777" w:rsidR="00813091" w:rsidRPr="00813091" w:rsidRDefault="00813091" w:rsidP="00813091">
      <w:pPr>
        <w:numPr>
          <w:ilvl w:val="0"/>
          <w:numId w:val="23"/>
        </w:numPr>
        <w:spacing w:line="276" w:lineRule="auto"/>
        <w:ind w:left="-207" w:right="-567"/>
        <w:contextualSpacing/>
        <w:jc w:val="both"/>
        <w:rPr>
          <w:rFonts w:ascii="Verdana" w:hAnsi="Verdana"/>
          <w:color w:val="000000" w:themeColor="text1"/>
          <w:sz w:val="20"/>
          <w:lang w:val="es-ES"/>
        </w:rPr>
      </w:pPr>
      <w:r w:rsidRPr="00813091">
        <w:rPr>
          <w:rFonts w:ascii="Verdana" w:hAnsi="Verdana"/>
          <w:color w:val="000000" w:themeColor="text1"/>
          <w:sz w:val="20"/>
          <w:lang w:val="es-ES"/>
        </w:rPr>
        <w:t xml:space="preserve">Asimismo, es de destacar que la Resolución se refiere a hechos ocurridos presumiblemente el </w:t>
      </w:r>
      <w:r w:rsidRPr="00813091">
        <w:rPr>
          <w:rFonts w:ascii="Verdana" w:hAnsi="Verdana"/>
          <w:color w:val="000000" w:themeColor="text1"/>
          <w:sz w:val="20"/>
        </w:rPr>
        <w:t>18 de julio de 2020</w:t>
      </w:r>
      <w:r w:rsidRPr="00813091">
        <w:rPr>
          <w:rFonts w:ascii="Verdana" w:hAnsi="Verdana"/>
          <w:color w:val="000000" w:themeColor="text1"/>
          <w:sz w:val="20"/>
          <w:vertAlign w:val="superscript"/>
        </w:rPr>
        <w:footnoteReference w:id="76"/>
      </w:r>
      <w:r w:rsidRPr="00813091">
        <w:rPr>
          <w:rFonts w:ascii="Verdana" w:hAnsi="Verdana"/>
          <w:color w:val="000000" w:themeColor="text1"/>
          <w:sz w:val="20"/>
        </w:rPr>
        <w:t>, vale decir, cuatro años y nueve meses después de dictadas las Sentencias en cuestión, sin que la Resolución tampoco proporcione explicación alguna en cuanto a la vinculación de la solicitud de medidas provisionales y de su otorgamiento, con los casos ya fallados a que se refiere, que no sea que los beneficiarios son miembros de las comunidades garífunas involucradas en estos últimos y que, por tal motivo, correrían riesgos.</w:t>
      </w:r>
    </w:p>
    <w:p w14:paraId="7D0002B3" w14:textId="77777777" w:rsidR="00813091" w:rsidRPr="00813091" w:rsidRDefault="00813091" w:rsidP="00813091">
      <w:pPr>
        <w:spacing w:line="276" w:lineRule="auto"/>
        <w:ind w:right="-567"/>
        <w:contextualSpacing/>
        <w:jc w:val="both"/>
        <w:rPr>
          <w:rFonts w:ascii="Verdana" w:hAnsi="Verdana"/>
          <w:color w:val="000000" w:themeColor="text1"/>
          <w:sz w:val="20"/>
          <w:lang w:val="es-ES"/>
        </w:rPr>
      </w:pPr>
    </w:p>
    <w:p w14:paraId="047479E7" w14:textId="77777777" w:rsidR="00813091" w:rsidRPr="00813091" w:rsidRDefault="00813091" w:rsidP="00813091">
      <w:pPr>
        <w:numPr>
          <w:ilvl w:val="0"/>
          <w:numId w:val="23"/>
        </w:numPr>
        <w:spacing w:line="276" w:lineRule="auto"/>
        <w:ind w:left="-207" w:right="-567"/>
        <w:contextualSpacing/>
        <w:jc w:val="both"/>
        <w:rPr>
          <w:rFonts w:ascii="Verdana" w:hAnsi="Verdana"/>
          <w:color w:val="000000" w:themeColor="text1"/>
          <w:sz w:val="20"/>
          <w:lang w:val="es-ES"/>
        </w:rPr>
      </w:pPr>
      <w:r w:rsidRPr="00813091">
        <w:rPr>
          <w:rFonts w:ascii="Verdana" w:hAnsi="Verdana"/>
          <w:color w:val="000000" w:themeColor="text1"/>
          <w:sz w:val="20"/>
          <w:lang w:val="es-ES"/>
        </w:rPr>
        <w:t>Igualmente, es procedente llamar la atención acerca de que la Resolución no valora positivamente la disposición del Estado de proporcionar medidas provisionales</w:t>
      </w:r>
      <w:r w:rsidRPr="00813091">
        <w:rPr>
          <w:rFonts w:ascii="Verdana" w:hAnsi="Verdana"/>
          <w:color w:val="000000" w:themeColor="text1"/>
          <w:sz w:val="20"/>
          <w:vertAlign w:val="superscript"/>
          <w:lang w:val="es-ES"/>
        </w:rPr>
        <w:footnoteReference w:id="77"/>
      </w:r>
      <w:r w:rsidRPr="00813091">
        <w:rPr>
          <w:rFonts w:ascii="Verdana" w:hAnsi="Verdana"/>
          <w:color w:val="000000" w:themeColor="text1"/>
          <w:sz w:val="20"/>
          <w:lang w:val="es-ES"/>
        </w:rPr>
        <w:t xml:space="preserve"> y no se refiere a la negativa de los beneficiaros de participar en el proceso de su implementación, lo que, en definitiva, aparentemente las ha impedido</w:t>
      </w:r>
      <w:r w:rsidRPr="00813091">
        <w:rPr>
          <w:rFonts w:ascii="Verdana" w:hAnsi="Verdana"/>
          <w:color w:val="000000" w:themeColor="text1"/>
          <w:sz w:val="20"/>
          <w:vertAlign w:val="superscript"/>
          <w:lang w:val="es-ES"/>
        </w:rPr>
        <w:footnoteReference w:id="78"/>
      </w:r>
      <w:r w:rsidRPr="00813091">
        <w:rPr>
          <w:rFonts w:ascii="Verdana" w:hAnsi="Verdana"/>
          <w:color w:val="000000" w:themeColor="text1"/>
          <w:sz w:val="20"/>
          <w:lang w:val="es-ES"/>
        </w:rPr>
        <w:t>.</w:t>
      </w:r>
    </w:p>
    <w:p w14:paraId="0375438D" w14:textId="77777777" w:rsidR="00813091" w:rsidRPr="00813091" w:rsidRDefault="00813091" w:rsidP="00813091">
      <w:pPr>
        <w:spacing w:line="276" w:lineRule="auto"/>
        <w:ind w:left="360" w:right="-567"/>
        <w:contextualSpacing/>
        <w:jc w:val="both"/>
        <w:rPr>
          <w:rFonts w:ascii="Verdana" w:hAnsi="Verdana"/>
          <w:color w:val="000000" w:themeColor="text1"/>
          <w:sz w:val="20"/>
          <w:lang w:val="es-ES"/>
        </w:rPr>
      </w:pPr>
    </w:p>
    <w:p w14:paraId="44AD2747" w14:textId="77777777" w:rsidR="00813091" w:rsidRPr="00813091" w:rsidRDefault="00813091" w:rsidP="00813091">
      <w:pPr>
        <w:numPr>
          <w:ilvl w:val="0"/>
          <w:numId w:val="23"/>
        </w:numPr>
        <w:spacing w:after="160" w:line="276" w:lineRule="auto"/>
        <w:ind w:left="-207" w:right="-567"/>
        <w:contextualSpacing/>
        <w:jc w:val="both"/>
        <w:rPr>
          <w:rFonts w:ascii="Verdana" w:hAnsi="Verdana"/>
          <w:color w:val="000000" w:themeColor="text1"/>
          <w:sz w:val="20"/>
          <w:lang w:val="es-ES"/>
        </w:rPr>
      </w:pPr>
      <w:r w:rsidRPr="00813091">
        <w:rPr>
          <w:rFonts w:ascii="Verdana" w:hAnsi="Verdana"/>
          <w:color w:val="000000" w:themeColor="text1"/>
          <w:sz w:val="20"/>
        </w:rPr>
        <w:t xml:space="preserve">Adicionalmente, es menester subrayar que las Sentencias acumuladas en autos, se encuentran bajo el mecanismo de </w:t>
      </w:r>
      <w:r w:rsidRPr="00813091">
        <w:rPr>
          <w:rFonts w:ascii="Verdana" w:hAnsi="Verdana"/>
          <w:color w:val="000000" w:themeColor="text1"/>
          <w:sz w:val="20"/>
          <w:lang w:val="es-ES"/>
        </w:rPr>
        <w:t xml:space="preserve">supervisión de </w:t>
      </w:r>
      <w:r w:rsidRPr="00813091">
        <w:rPr>
          <w:rFonts w:ascii="Verdana" w:eastAsiaTheme="minorEastAsia" w:hAnsi="Verdana" w:cs="Arial"/>
          <w:color w:val="000000" w:themeColor="text1"/>
          <w:sz w:val="20"/>
          <w:szCs w:val="20"/>
          <w:lang w:val="es-ES"/>
        </w:rPr>
        <w:t>cumplimiento de sentencia</w:t>
      </w:r>
      <w:r w:rsidRPr="00813091">
        <w:rPr>
          <w:rFonts w:ascii="Verdana" w:hAnsi="Verdana"/>
          <w:color w:val="000000" w:themeColor="text1"/>
          <w:sz w:val="20"/>
          <w:vertAlign w:val="superscript"/>
          <w:lang w:val="es-ES"/>
        </w:rPr>
        <w:footnoteReference w:id="79"/>
      </w:r>
      <w:r w:rsidRPr="00813091">
        <w:rPr>
          <w:rFonts w:ascii="Verdana" w:hAnsi="Verdana"/>
          <w:color w:val="000000" w:themeColor="text1"/>
          <w:sz w:val="20"/>
          <w:lang w:val="es-ES"/>
        </w:rPr>
        <w:t xml:space="preserve">, sin que en la Resolución se </w:t>
      </w:r>
      <w:r w:rsidRPr="00813091">
        <w:rPr>
          <w:rFonts w:ascii="Verdana" w:hAnsi="Verdana"/>
          <w:color w:val="000000" w:themeColor="text1"/>
          <w:sz w:val="20"/>
          <w:lang w:val="es-ES"/>
        </w:rPr>
        <w:lastRenderedPageBreak/>
        <w:t xml:space="preserve">suministre explicación alguna de la razón por la que se opta por no perseverar en esa dirección, prefiriendo, en cambio, la adopción de medidas provisionales. </w:t>
      </w:r>
    </w:p>
    <w:p w14:paraId="41C8AB54" w14:textId="77777777" w:rsidR="00813091" w:rsidRPr="00813091" w:rsidRDefault="00813091" w:rsidP="00813091">
      <w:pPr>
        <w:rPr>
          <w:rFonts w:ascii="Verdana" w:hAnsi="Verdana"/>
          <w:color w:val="FF0000"/>
          <w:sz w:val="20"/>
          <w:szCs w:val="20"/>
        </w:rPr>
      </w:pPr>
    </w:p>
    <w:p w14:paraId="4A619BDE" w14:textId="77777777" w:rsidR="00813091" w:rsidRPr="00813091" w:rsidRDefault="00813091" w:rsidP="00813091">
      <w:pPr>
        <w:numPr>
          <w:ilvl w:val="0"/>
          <w:numId w:val="23"/>
        </w:numPr>
        <w:spacing w:line="276" w:lineRule="auto"/>
        <w:ind w:left="-207" w:right="-567"/>
        <w:contextualSpacing/>
        <w:jc w:val="both"/>
        <w:rPr>
          <w:rFonts w:ascii="Verdana" w:hAnsi="Verdana"/>
          <w:color w:val="000000" w:themeColor="text1"/>
          <w:sz w:val="20"/>
          <w:lang w:val="es-ES"/>
        </w:rPr>
      </w:pPr>
      <w:r w:rsidRPr="00813091">
        <w:rPr>
          <w:rFonts w:ascii="Verdana" w:hAnsi="Verdana"/>
          <w:color w:val="000000" w:themeColor="text1"/>
          <w:sz w:val="20"/>
        </w:rPr>
        <w:t>Y más aún, la propia Resolución invoca resolutivos no cumplidos de las Sentencias acumuladas</w:t>
      </w:r>
      <w:r w:rsidRPr="00813091">
        <w:rPr>
          <w:rFonts w:ascii="Verdana" w:hAnsi="Verdana"/>
          <w:color w:val="000000" w:themeColor="text1"/>
          <w:sz w:val="20"/>
          <w:vertAlign w:val="superscript"/>
        </w:rPr>
        <w:footnoteReference w:id="80"/>
      </w:r>
      <w:r w:rsidRPr="00813091">
        <w:rPr>
          <w:rFonts w:ascii="Verdana" w:hAnsi="Verdana"/>
          <w:color w:val="000000" w:themeColor="text1"/>
          <w:sz w:val="20"/>
        </w:rPr>
        <w:t xml:space="preserve"> para disponer la adopción de medidas provisionales, en circunstancias de que, como es obvio, justificarían más propiamente la prosecución del mecanismo de supervisión de </w:t>
      </w:r>
      <w:r w:rsidRPr="00813091">
        <w:rPr>
          <w:rFonts w:ascii="Verdana" w:hAnsi="Verdana"/>
          <w:color w:val="000000" w:themeColor="text1"/>
          <w:sz w:val="20"/>
          <w:szCs w:val="20"/>
        </w:rPr>
        <w:t>cumplimiento de sentencia</w:t>
      </w:r>
      <w:r w:rsidRPr="00813091">
        <w:rPr>
          <w:rFonts w:ascii="Verdana" w:hAnsi="Verdana"/>
          <w:color w:val="000000" w:themeColor="text1"/>
          <w:sz w:val="20"/>
        </w:rPr>
        <w:t>.</w:t>
      </w:r>
    </w:p>
    <w:p w14:paraId="1DA57223" w14:textId="77777777" w:rsidR="00813091" w:rsidRPr="00813091" w:rsidRDefault="00813091" w:rsidP="00813091">
      <w:pPr>
        <w:spacing w:line="276" w:lineRule="auto"/>
        <w:contextualSpacing/>
        <w:jc w:val="both"/>
        <w:rPr>
          <w:rFonts w:ascii="Verdana" w:eastAsiaTheme="minorHAnsi" w:hAnsi="Verdana" w:cstheme="minorBidi"/>
          <w:sz w:val="20"/>
          <w:szCs w:val="20"/>
          <w:lang w:val="es-CL"/>
        </w:rPr>
      </w:pPr>
    </w:p>
    <w:p w14:paraId="6F185E10" w14:textId="77777777" w:rsidR="00813091" w:rsidRPr="00813091" w:rsidRDefault="00813091" w:rsidP="00813091">
      <w:pPr>
        <w:numPr>
          <w:ilvl w:val="0"/>
          <w:numId w:val="26"/>
        </w:numPr>
        <w:spacing w:after="100" w:afterAutospacing="1" w:line="276" w:lineRule="auto"/>
        <w:ind w:left="-56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b/>
          <w:bCs/>
          <w:sz w:val="20"/>
          <w:szCs w:val="20"/>
          <w:lang w:val="es-CL"/>
        </w:rPr>
        <w:t>CONCLUSIONES.</w:t>
      </w:r>
    </w:p>
    <w:p w14:paraId="14DD723E" w14:textId="77777777" w:rsidR="00813091" w:rsidRPr="00813091" w:rsidRDefault="00813091" w:rsidP="00813091">
      <w:pPr>
        <w:spacing w:after="100" w:afterAutospacing="1" w:line="276" w:lineRule="auto"/>
        <w:contextualSpacing/>
        <w:jc w:val="both"/>
        <w:rPr>
          <w:rFonts w:ascii="Verdana" w:eastAsiaTheme="minorHAnsi" w:hAnsi="Verdana" w:cstheme="minorBidi"/>
          <w:sz w:val="20"/>
          <w:szCs w:val="20"/>
          <w:lang w:val="es-CL"/>
        </w:rPr>
      </w:pPr>
    </w:p>
    <w:p w14:paraId="0E7473B1"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De todo lo expuesto precedentemente, se concluye en que la Corte, carece de competencia para decretar o ratificar la ampliación de medidas provisionales en relación o vinculación a un caso que ya ha sido fallado, como es el de autos. En tal eventualidad, su facultad al respecto ha precluido, en razón de que el caso ya no se encuentra bajo su conocimiento y, consecuentemente, Resolución. En autos, la Corte, por ende, se excedió en su competencia.</w:t>
      </w:r>
    </w:p>
    <w:p w14:paraId="24870580" w14:textId="77777777" w:rsidR="00813091" w:rsidRPr="00813091" w:rsidRDefault="00813091" w:rsidP="00813091">
      <w:pPr>
        <w:spacing w:line="276" w:lineRule="auto"/>
        <w:ind w:left="-567" w:right="-567"/>
        <w:contextualSpacing/>
        <w:jc w:val="both"/>
        <w:rPr>
          <w:rFonts w:ascii="Verdana" w:eastAsiaTheme="minorHAnsi" w:hAnsi="Verdana" w:cstheme="minorBidi"/>
          <w:sz w:val="20"/>
          <w:szCs w:val="20"/>
          <w:lang w:val="es-CL"/>
        </w:rPr>
      </w:pPr>
    </w:p>
    <w:p w14:paraId="6AEABBD1"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Asimismo, se colige que los fundamentos esgrimidos en la Resolución para ordenar las medidas provisionales, dicen relación más con la institución reglamentaria de supervisión de cumplimiento de Sentencias que con la de aquellas.</w:t>
      </w:r>
    </w:p>
    <w:p w14:paraId="4A34233B" w14:textId="77777777" w:rsidR="00813091" w:rsidRPr="00813091" w:rsidRDefault="00813091" w:rsidP="00813091">
      <w:pPr>
        <w:spacing w:line="276" w:lineRule="auto"/>
        <w:ind w:right="-567"/>
        <w:contextualSpacing/>
        <w:jc w:val="both"/>
        <w:rPr>
          <w:rFonts w:ascii="Verdana" w:eastAsiaTheme="minorHAnsi" w:hAnsi="Verdana" w:cstheme="minorBidi"/>
          <w:sz w:val="20"/>
          <w:szCs w:val="20"/>
          <w:lang w:val="es-CL"/>
        </w:rPr>
      </w:pPr>
    </w:p>
    <w:p w14:paraId="4D387443"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De ello se puede igualmente presumir, quizás porque las Resoluciones que se adoptan al amparo de la institución de supervisión de cumplimiento de Sentencia no son percibidas tan eficaces como las que se decretan en el ámbito de la figura de las medidas provisionales, que los peticionarios optaron por requerir estas últimas para así obtener una decisión cuya obligatoriedad está consagrada en la Convención. </w:t>
      </w:r>
    </w:p>
    <w:p w14:paraId="09D1026A" w14:textId="77777777" w:rsidR="00813091" w:rsidRPr="00813091" w:rsidRDefault="00813091" w:rsidP="00813091">
      <w:pPr>
        <w:spacing w:line="276" w:lineRule="auto"/>
        <w:ind w:left="-567" w:right="-567"/>
        <w:jc w:val="both"/>
        <w:rPr>
          <w:rFonts w:ascii="Verdana" w:eastAsiaTheme="minorHAnsi" w:hAnsi="Verdana" w:cstheme="minorBidi"/>
          <w:sz w:val="20"/>
          <w:szCs w:val="20"/>
          <w:lang w:val="es-CL"/>
        </w:rPr>
      </w:pPr>
    </w:p>
    <w:p w14:paraId="32564858"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Empero, de lo sostenido aquí se puede afirmar que el proceder de la Corte en autos dejó sin sentido y utilidad lo previsto en la última frase del artículo 63.2 </w:t>
      </w:r>
      <w:r w:rsidRPr="00813091">
        <w:rPr>
          <w:rFonts w:ascii="Verdana" w:eastAsiaTheme="minorHAnsi" w:hAnsi="Verdana" w:cstheme="minorBidi"/>
          <w:iCs/>
          <w:sz w:val="20"/>
          <w:szCs w:val="20"/>
          <w:lang w:val="es-ES"/>
        </w:rPr>
        <w:t xml:space="preserve">y, por tanto, se le privó a la Comisión de la posibilidad de oportuna y también urgentemente ejercer sus atribuciones en este asunto, afectándose así al funcionamiento del </w:t>
      </w:r>
      <w:r w:rsidRPr="00813091">
        <w:rPr>
          <w:rFonts w:ascii="Verdana" w:eastAsiaTheme="minorHAnsi" w:hAnsi="Verdana" w:cstheme="minorBidi"/>
          <w:sz w:val="20"/>
          <w:szCs w:val="20"/>
          <w:lang w:val="es-CL"/>
        </w:rPr>
        <w:t xml:space="preserve">conjunto del SIDH. </w:t>
      </w:r>
    </w:p>
    <w:p w14:paraId="33221569" w14:textId="77777777" w:rsidR="00813091" w:rsidRPr="00813091" w:rsidRDefault="00813091" w:rsidP="00813091">
      <w:pPr>
        <w:spacing w:line="276" w:lineRule="auto"/>
        <w:ind w:left="-567" w:right="-567"/>
        <w:contextualSpacing/>
        <w:jc w:val="both"/>
        <w:rPr>
          <w:rFonts w:ascii="Verdana" w:eastAsiaTheme="minorHAnsi" w:hAnsi="Verdana" w:cstheme="minorBidi"/>
          <w:sz w:val="20"/>
          <w:szCs w:val="20"/>
          <w:lang w:val="es-CL"/>
        </w:rPr>
      </w:pPr>
    </w:p>
    <w:p w14:paraId="3D9C34E3"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En esta perspectiva, es de advertir que, al sostener en este escrito que la petición de medidas provisionales debería haberse dirigido a la Comisión, requiriéndolas como medidas cautelares y que, consecuentemente, la Corte debería haberse abstenido de pronunciarse, por ahora, sobre ellas, no se procede en contra del oportuno respeto y restablecimiento de la vigencia de los derechos humanos. Muy por el contrario, y aunque a más de alguien le pueda parecer paradójico, esta postura pretende salvaguardar el mecanismo establecido precisamente para ello. </w:t>
      </w:r>
    </w:p>
    <w:p w14:paraId="2CA5B6D7" w14:textId="77777777" w:rsidR="00813091" w:rsidRPr="00813091" w:rsidRDefault="00813091" w:rsidP="00813091">
      <w:pPr>
        <w:spacing w:line="276" w:lineRule="auto"/>
        <w:ind w:right="-567"/>
        <w:contextualSpacing/>
        <w:jc w:val="both"/>
        <w:rPr>
          <w:rFonts w:ascii="Verdana" w:eastAsiaTheme="minorHAnsi" w:hAnsi="Verdana" w:cstheme="minorBidi"/>
          <w:sz w:val="20"/>
          <w:szCs w:val="20"/>
          <w:lang w:val="es-CL"/>
        </w:rPr>
      </w:pPr>
    </w:p>
    <w:p w14:paraId="6C642FCB"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 xml:space="preserve">Efectivamente, ya que, en tal sentido, se tiene en cuenta, por una parte, la realidad estructural de la sociedad internacional, cual es, que sigue siendo, pese a algunos cambios, básicamente una sociedad entre Estados, los cuales, además, crean el Derecho que la regula, y, por otra parte, que, en el ámbito de los derechos humanos, esos Estados han aceptado voluntariamente limitar su soberanía. De manera, entonces, que, al impartir justicia en materia de derechos </w:t>
      </w:r>
      <w:r w:rsidRPr="00813091">
        <w:rPr>
          <w:rFonts w:ascii="Verdana" w:eastAsiaTheme="minorHAnsi" w:hAnsi="Verdana" w:cstheme="minorBidi"/>
          <w:sz w:val="20"/>
          <w:szCs w:val="20"/>
          <w:lang w:val="es-CL"/>
        </w:rPr>
        <w:lastRenderedPageBreak/>
        <w:t xml:space="preserve">humanos, ciertamente se debe tener conciencia, por una parte, de que no siempre el Derecho refleja lo que podría considerarse justo, en especial por el transcurso del tiempo, y por la otra parte, que, pese a ello, no es conveniente arriesgar lo avanzado, </w:t>
      </w:r>
      <w:r w:rsidRPr="00813091">
        <w:rPr>
          <w:rFonts w:ascii="Verdana" w:hAnsi="Verdana"/>
          <w:color w:val="000000" w:themeColor="text1"/>
          <w:sz w:val="20"/>
          <w:lang w:val="es-CL"/>
        </w:rPr>
        <w:t>afectando o imitando el principio rector en la interpretación de los tratados, a saber, el denominado “</w:t>
      </w:r>
      <w:r w:rsidRPr="00813091">
        <w:rPr>
          <w:rFonts w:ascii="Verdana" w:hAnsi="Verdana"/>
          <w:i/>
          <w:color w:val="000000" w:themeColor="text1"/>
          <w:sz w:val="20"/>
          <w:lang w:val="es-CL"/>
        </w:rPr>
        <w:t xml:space="preserve">pacta sunt </w:t>
      </w:r>
      <w:proofErr w:type="spellStart"/>
      <w:r w:rsidRPr="00813091">
        <w:rPr>
          <w:rFonts w:ascii="Verdana" w:hAnsi="Verdana"/>
          <w:i/>
          <w:color w:val="000000" w:themeColor="text1"/>
          <w:sz w:val="20"/>
          <w:lang w:val="es-CL"/>
        </w:rPr>
        <w:t>servanda</w:t>
      </w:r>
      <w:proofErr w:type="spellEnd"/>
      <w:r w:rsidRPr="00813091">
        <w:rPr>
          <w:rFonts w:ascii="Verdana" w:hAnsi="Verdana"/>
          <w:i/>
          <w:color w:val="000000" w:themeColor="text1"/>
          <w:sz w:val="20"/>
          <w:lang w:val="es-CL"/>
        </w:rPr>
        <w:t>”</w:t>
      </w:r>
      <w:r w:rsidRPr="00813091">
        <w:rPr>
          <w:rFonts w:ascii="Verdana" w:hAnsi="Verdana"/>
          <w:i/>
          <w:color w:val="000000" w:themeColor="text1"/>
          <w:sz w:val="20"/>
          <w:vertAlign w:val="superscript"/>
          <w:lang w:val="es-CL"/>
        </w:rPr>
        <w:footnoteReference w:id="81"/>
      </w:r>
      <w:r w:rsidRPr="00813091">
        <w:rPr>
          <w:rFonts w:ascii="Verdana" w:eastAsiaTheme="minorHAnsi" w:hAnsi="Verdana" w:cstheme="minorBidi"/>
          <w:sz w:val="20"/>
          <w:szCs w:val="20"/>
          <w:lang w:val="es-CL"/>
        </w:rPr>
        <w:t xml:space="preserve">, interpretación </w:t>
      </w:r>
      <w:r w:rsidRPr="00813091">
        <w:rPr>
          <w:rFonts w:ascii="Verdana" w:hAnsi="Verdana"/>
          <w:color w:val="000000" w:themeColor="text1"/>
          <w:sz w:val="20"/>
          <w:lang w:val="es-CL"/>
        </w:rPr>
        <w:t>que obviamente se lleva a cabo o interesa en vista de su efectiv</w:t>
      </w:r>
      <w:bookmarkStart w:id="11" w:name="_Hlk50285971"/>
      <w:r w:rsidRPr="00813091">
        <w:rPr>
          <w:rFonts w:ascii="Verdana" w:hAnsi="Verdana"/>
          <w:color w:val="000000" w:themeColor="text1"/>
          <w:sz w:val="20"/>
          <w:lang w:val="es-CL"/>
        </w:rPr>
        <w:t>a aplicación</w:t>
      </w:r>
      <w:r w:rsidRPr="00813091">
        <w:rPr>
          <w:rFonts w:ascii="Verdana" w:eastAsiaTheme="minorHAnsi" w:hAnsi="Verdana" w:cstheme="minorBidi"/>
          <w:sz w:val="20"/>
          <w:szCs w:val="20"/>
          <w:lang w:val="es-CL"/>
        </w:rPr>
        <w:t xml:space="preserve">. </w:t>
      </w:r>
      <w:bookmarkEnd w:id="11"/>
    </w:p>
    <w:p w14:paraId="5A8A68D8" w14:textId="77777777" w:rsidR="00813091" w:rsidRPr="00813091" w:rsidRDefault="00813091" w:rsidP="00813091">
      <w:pPr>
        <w:spacing w:after="160" w:line="259" w:lineRule="auto"/>
        <w:ind w:left="720" w:right="-567"/>
        <w:contextualSpacing/>
        <w:rPr>
          <w:rFonts w:ascii="Verdana" w:eastAsiaTheme="minorHAnsi" w:hAnsi="Verdana" w:cstheme="minorBidi"/>
          <w:sz w:val="20"/>
          <w:szCs w:val="20"/>
          <w:lang w:val="es-CL"/>
        </w:rPr>
      </w:pPr>
    </w:p>
    <w:p w14:paraId="0AE5081B"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Es en tal perspectiva, pues, que se tiene el convencimiento de que no utilizar ni respetar el Derecho Internacional de los Derechos Humanos tal como fue consentido libremente por los Estados, puede conducir, a la larga, a la privación del valor intrínseco que esencialmente lo caracteriza, además de afectar la naturaleza de la propia Corte, al hacerla incursionar en el ámbito más político y propio de quienes ejercen la función normativa</w:t>
      </w:r>
      <w:r w:rsidRPr="00813091">
        <w:rPr>
          <w:rFonts w:ascii="Verdana" w:eastAsiaTheme="minorHAnsi" w:hAnsi="Verdana" w:cstheme="minorBidi"/>
          <w:sz w:val="20"/>
          <w:szCs w:val="20"/>
          <w:vertAlign w:val="superscript"/>
          <w:lang w:val="es-CL"/>
        </w:rPr>
        <w:footnoteReference w:id="82"/>
      </w:r>
      <w:r w:rsidRPr="00813091">
        <w:rPr>
          <w:rFonts w:ascii="Verdana" w:eastAsiaTheme="minorHAnsi" w:hAnsi="Verdana" w:cstheme="minorBidi"/>
          <w:sz w:val="20"/>
          <w:szCs w:val="20"/>
          <w:lang w:val="es-CL"/>
        </w:rPr>
        <w:t xml:space="preserve"> y también de la ejecutiva, afectando así el ejercicio de la democracia. </w:t>
      </w:r>
    </w:p>
    <w:p w14:paraId="0F749AED" w14:textId="77777777" w:rsidR="00813091" w:rsidRPr="00813091" w:rsidRDefault="00813091" w:rsidP="00813091">
      <w:pPr>
        <w:spacing w:line="276" w:lineRule="auto"/>
        <w:ind w:right="-567"/>
        <w:contextualSpacing/>
        <w:jc w:val="both"/>
        <w:rPr>
          <w:rFonts w:ascii="Verdana" w:eastAsiaTheme="minorHAnsi" w:hAnsi="Verdana" w:cstheme="minorBidi"/>
          <w:sz w:val="20"/>
          <w:szCs w:val="20"/>
          <w:lang w:val="es-CL"/>
        </w:rPr>
      </w:pPr>
    </w:p>
    <w:p w14:paraId="07682289" w14:textId="77777777" w:rsidR="00813091" w:rsidRPr="00813091" w:rsidRDefault="00813091" w:rsidP="00813091">
      <w:pPr>
        <w:numPr>
          <w:ilvl w:val="0"/>
          <w:numId w:val="23"/>
        </w:numPr>
        <w:spacing w:after="160" w:line="276" w:lineRule="auto"/>
        <w:ind w:left="-207" w:right="-567"/>
        <w:contextualSpacing/>
        <w:jc w:val="both"/>
        <w:rPr>
          <w:rFonts w:ascii="Verdana" w:eastAsiaTheme="minorHAnsi" w:hAnsi="Verdana" w:cstheme="minorBidi"/>
          <w:sz w:val="20"/>
          <w:szCs w:val="20"/>
          <w:lang w:val="es-CL"/>
        </w:rPr>
      </w:pPr>
      <w:r w:rsidRPr="00813091">
        <w:rPr>
          <w:rFonts w:ascii="Verdana" w:eastAsiaTheme="minorHAnsi" w:hAnsi="Verdana" w:cstheme="minorBidi"/>
          <w:sz w:val="20"/>
          <w:szCs w:val="20"/>
          <w:lang w:val="es-CL"/>
        </w:rPr>
        <w:t>Al emitir el presente voto, no se puede dejar de expresar que se lamenta muy sinceramente discrepar de lo resuelto en una situación que, probablemente, podría haber reunido las condiciones de extrema gravedad, urgencia y daño irreparable, necesarias para poder dictar medidas provisionales. Sin embargo, como Tribunal, se debe procurar administrar y otorgar justicia a través del Derecho, única forma de poder dar suficientes garantías a las personas y a los Estados de que, pese a las evidentes limitaciones e imperfecciones que conlleva el ser humano, se intenta actuar con independencia, imparcialidad, objetividad e integridad, propias de una instancia judicial.</w:t>
      </w:r>
    </w:p>
    <w:p w14:paraId="41018A3B" w14:textId="77777777" w:rsidR="00813091" w:rsidRPr="00813091" w:rsidRDefault="00813091" w:rsidP="00813091">
      <w:pPr>
        <w:spacing w:line="276" w:lineRule="auto"/>
        <w:ind w:left="-567" w:right="-567"/>
        <w:contextualSpacing/>
        <w:jc w:val="both"/>
        <w:rPr>
          <w:rFonts w:ascii="Verdana" w:eastAsiaTheme="minorHAnsi" w:hAnsi="Verdana" w:cstheme="minorBidi"/>
          <w:sz w:val="20"/>
          <w:szCs w:val="20"/>
          <w:lang w:val="es-CL"/>
        </w:rPr>
      </w:pPr>
    </w:p>
    <w:p w14:paraId="7320D691" w14:textId="77777777" w:rsidR="00813091" w:rsidRPr="00813091" w:rsidRDefault="00813091" w:rsidP="00813091">
      <w:pPr>
        <w:spacing w:line="259" w:lineRule="auto"/>
        <w:ind w:left="-567" w:right="-567"/>
        <w:rPr>
          <w:rFonts w:asciiTheme="minorHAnsi" w:eastAsiaTheme="minorHAnsi" w:hAnsiTheme="minorHAnsi" w:cstheme="minorBidi"/>
          <w:sz w:val="22"/>
          <w:szCs w:val="22"/>
          <w:lang w:val="es-CL"/>
        </w:rPr>
      </w:pPr>
    </w:p>
    <w:p w14:paraId="4DD47069" w14:textId="77777777" w:rsidR="00813091" w:rsidRPr="00813091" w:rsidRDefault="00813091" w:rsidP="00813091">
      <w:pPr>
        <w:spacing w:line="259" w:lineRule="auto"/>
        <w:ind w:left="-567" w:right="-567"/>
        <w:rPr>
          <w:rFonts w:asciiTheme="minorHAnsi" w:eastAsiaTheme="minorHAnsi" w:hAnsiTheme="minorHAnsi" w:cstheme="minorBidi"/>
          <w:sz w:val="22"/>
          <w:szCs w:val="22"/>
          <w:lang w:val="es-CL"/>
        </w:rPr>
      </w:pPr>
    </w:p>
    <w:p w14:paraId="69E9502C" w14:textId="77777777" w:rsidR="00813091" w:rsidRPr="00813091" w:rsidRDefault="00813091" w:rsidP="00813091">
      <w:pPr>
        <w:spacing w:line="259" w:lineRule="auto"/>
        <w:ind w:left="-567" w:right="-567"/>
        <w:rPr>
          <w:rFonts w:asciiTheme="minorHAnsi" w:eastAsiaTheme="minorHAnsi" w:hAnsiTheme="minorHAnsi" w:cstheme="minorBidi"/>
          <w:sz w:val="22"/>
          <w:szCs w:val="22"/>
          <w:lang w:val="es-CL"/>
        </w:rPr>
      </w:pPr>
    </w:p>
    <w:p w14:paraId="36B594A2" w14:textId="77777777" w:rsidR="00813091" w:rsidRPr="00813091" w:rsidRDefault="00813091" w:rsidP="00813091">
      <w:pPr>
        <w:spacing w:line="259" w:lineRule="auto"/>
        <w:ind w:left="-567" w:right="-567"/>
        <w:rPr>
          <w:rFonts w:asciiTheme="minorHAnsi" w:eastAsiaTheme="minorHAnsi" w:hAnsiTheme="minorHAnsi" w:cstheme="minorBidi"/>
          <w:sz w:val="22"/>
          <w:szCs w:val="22"/>
          <w:lang w:val="es-CL"/>
        </w:rPr>
      </w:pPr>
    </w:p>
    <w:p w14:paraId="6F13CCDC" w14:textId="77777777" w:rsidR="00813091" w:rsidRPr="00813091" w:rsidRDefault="00813091" w:rsidP="00813091">
      <w:pPr>
        <w:ind w:left="-567" w:right="-567"/>
        <w:jc w:val="right"/>
        <w:rPr>
          <w:rFonts w:asciiTheme="minorHAnsi" w:eastAsiaTheme="minorHAnsi" w:hAnsiTheme="minorHAnsi" w:cstheme="minorBidi"/>
          <w:sz w:val="22"/>
          <w:szCs w:val="22"/>
          <w:lang w:val="es-CL"/>
        </w:rPr>
      </w:pPr>
      <w:r w:rsidRPr="00813091">
        <w:rPr>
          <w:rFonts w:asciiTheme="minorHAnsi" w:eastAsiaTheme="minorHAnsi" w:hAnsiTheme="minorHAnsi" w:cstheme="minorBidi"/>
          <w:sz w:val="22"/>
          <w:szCs w:val="22"/>
          <w:lang w:val="es-CL"/>
        </w:rPr>
        <w:t>Eduardo Vio Grossi</w:t>
      </w:r>
    </w:p>
    <w:p w14:paraId="65A71519" w14:textId="77777777" w:rsidR="00813091" w:rsidRPr="00813091" w:rsidRDefault="00813091" w:rsidP="00813091">
      <w:pPr>
        <w:ind w:left="-567" w:right="-567"/>
        <w:jc w:val="right"/>
        <w:rPr>
          <w:rFonts w:asciiTheme="minorHAnsi" w:eastAsiaTheme="minorHAnsi" w:hAnsiTheme="minorHAnsi" w:cstheme="minorBidi"/>
          <w:sz w:val="22"/>
          <w:szCs w:val="22"/>
          <w:lang w:val="es-CL"/>
        </w:rPr>
      </w:pPr>
      <w:r w:rsidRPr="00813091">
        <w:rPr>
          <w:rFonts w:asciiTheme="minorHAnsi" w:eastAsiaTheme="minorHAnsi" w:hAnsiTheme="minorHAnsi" w:cstheme="minorBidi"/>
          <w:sz w:val="22"/>
          <w:szCs w:val="22"/>
          <w:lang w:val="es-CL"/>
        </w:rPr>
        <w:t>Juez</w:t>
      </w:r>
    </w:p>
    <w:p w14:paraId="0F23988A" w14:textId="482A48C4" w:rsidR="002A00C0" w:rsidRPr="001D3520" w:rsidRDefault="002A00C0" w:rsidP="003047EA">
      <w:pPr>
        <w:pStyle w:val="Prrafodelista"/>
        <w:suppressLineNumbers/>
        <w:spacing w:after="0" w:line="240" w:lineRule="auto"/>
        <w:ind w:left="0"/>
        <w:jc w:val="both"/>
        <w:rPr>
          <w:rFonts w:ascii="Verdana" w:hAnsi="Verdana"/>
          <w:sz w:val="20"/>
          <w:szCs w:val="20"/>
          <w:lang w:val="es-ES_tradnl"/>
        </w:rPr>
      </w:pPr>
    </w:p>
    <w:sectPr w:rsidR="002A00C0" w:rsidRPr="001D3520" w:rsidSect="0081309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B2186" w14:textId="77777777" w:rsidR="007D4E29" w:rsidRDefault="007D4E29" w:rsidP="00CD785B">
      <w:r>
        <w:separator/>
      </w:r>
    </w:p>
  </w:endnote>
  <w:endnote w:type="continuationSeparator" w:id="0">
    <w:p w14:paraId="02A04774" w14:textId="77777777" w:rsidR="007D4E29" w:rsidRDefault="007D4E29" w:rsidP="00C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877293"/>
      <w:docPartObj>
        <w:docPartGallery w:val="Page Numbers (Bottom of Page)"/>
        <w:docPartUnique/>
      </w:docPartObj>
    </w:sdtPr>
    <w:sdtEndPr>
      <w:rPr>
        <w:rFonts w:ascii="Verdana" w:hAnsi="Verdana"/>
        <w:sz w:val="20"/>
        <w:szCs w:val="20"/>
      </w:rPr>
    </w:sdtEndPr>
    <w:sdtContent>
      <w:p w14:paraId="2D855CCF" w14:textId="5E6CE6AE" w:rsidR="009731CA" w:rsidRPr="009731CA" w:rsidRDefault="009731CA">
        <w:pPr>
          <w:pStyle w:val="Piedepgina"/>
          <w:jc w:val="center"/>
          <w:rPr>
            <w:rFonts w:ascii="Verdana" w:hAnsi="Verdana"/>
            <w:sz w:val="20"/>
            <w:szCs w:val="20"/>
          </w:rPr>
        </w:pPr>
        <w:r w:rsidRPr="009731CA">
          <w:rPr>
            <w:rFonts w:ascii="Verdana" w:hAnsi="Verdana"/>
            <w:sz w:val="20"/>
            <w:szCs w:val="20"/>
          </w:rPr>
          <w:fldChar w:fldCharType="begin"/>
        </w:r>
        <w:r w:rsidRPr="009731CA">
          <w:rPr>
            <w:rFonts w:ascii="Verdana" w:hAnsi="Verdana"/>
            <w:sz w:val="20"/>
            <w:szCs w:val="20"/>
          </w:rPr>
          <w:instrText>PAGE   \* MERGEFORMAT</w:instrText>
        </w:r>
        <w:r w:rsidRPr="009731CA">
          <w:rPr>
            <w:rFonts w:ascii="Verdana" w:hAnsi="Verdana"/>
            <w:sz w:val="20"/>
            <w:szCs w:val="20"/>
          </w:rPr>
          <w:fldChar w:fldCharType="separate"/>
        </w:r>
        <w:r w:rsidR="00C46A3F" w:rsidRPr="00C46A3F">
          <w:rPr>
            <w:rFonts w:ascii="Verdana" w:hAnsi="Verdana"/>
            <w:noProof/>
            <w:sz w:val="20"/>
            <w:szCs w:val="20"/>
            <w:lang w:val="es-ES"/>
          </w:rPr>
          <w:t>1</w:t>
        </w:r>
        <w:r w:rsidRPr="009731CA">
          <w:rPr>
            <w:rFonts w:ascii="Verdana" w:hAnsi="Verdana"/>
            <w:sz w:val="20"/>
            <w:szCs w:val="20"/>
          </w:rPr>
          <w:fldChar w:fldCharType="end"/>
        </w:r>
      </w:p>
    </w:sdtContent>
  </w:sdt>
  <w:p w14:paraId="70464C76" w14:textId="77777777" w:rsidR="009731CA" w:rsidRDefault="009731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C8D6" w14:textId="77777777" w:rsidR="00EF4D33" w:rsidRDefault="007D4E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818489"/>
      <w:docPartObj>
        <w:docPartGallery w:val="Page Numbers (Bottom of Page)"/>
        <w:docPartUnique/>
      </w:docPartObj>
    </w:sdtPr>
    <w:sdtEndPr/>
    <w:sdtContent>
      <w:p w14:paraId="46085D27" w14:textId="77777777" w:rsidR="00EF4D33" w:rsidRDefault="007D4E29">
        <w:pPr>
          <w:pStyle w:val="Piedepgina"/>
          <w:jc w:val="right"/>
        </w:pPr>
        <w:r>
          <w:fldChar w:fldCharType="begin"/>
        </w:r>
        <w:r>
          <w:instrText>PAGE   \* MERGEFORMAT</w:instrText>
        </w:r>
        <w:r>
          <w:fldChar w:fldCharType="separate"/>
        </w:r>
        <w:r w:rsidRPr="0005146E">
          <w:rPr>
            <w:noProof/>
            <w:lang w:val="es-ES"/>
          </w:rPr>
          <w:t>16</w:t>
        </w:r>
        <w:r>
          <w:fldChar w:fldCharType="end"/>
        </w:r>
      </w:p>
    </w:sdtContent>
  </w:sdt>
  <w:p w14:paraId="49EA7AA2" w14:textId="77777777" w:rsidR="00EF4D33" w:rsidRDefault="007D4E2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547C" w14:textId="77777777" w:rsidR="00EF4D33" w:rsidRDefault="007D4E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FE15" w14:textId="77777777" w:rsidR="007D4E29" w:rsidRDefault="007D4E29" w:rsidP="00CD785B">
      <w:r>
        <w:separator/>
      </w:r>
    </w:p>
  </w:footnote>
  <w:footnote w:type="continuationSeparator" w:id="0">
    <w:p w14:paraId="5DCE831B" w14:textId="77777777" w:rsidR="007D4E29" w:rsidRDefault="007D4E29" w:rsidP="00CD785B">
      <w:r>
        <w:continuationSeparator/>
      </w:r>
    </w:p>
  </w:footnote>
  <w:footnote w:id="1">
    <w:p w14:paraId="02175686" w14:textId="77777777" w:rsidR="0056652D" w:rsidRPr="008D017C" w:rsidRDefault="0056652D" w:rsidP="008D017C">
      <w:pPr>
        <w:pStyle w:val="Textonotapie"/>
        <w:jc w:val="both"/>
        <w:rPr>
          <w:rFonts w:ascii="Verdana" w:hAnsi="Verdana"/>
          <w:sz w:val="16"/>
          <w:szCs w:val="16"/>
          <w:lang w:val="es-CR"/>
        </w:rPr>
      </w:pPr>
      <w:r w:rsidRPr="0056652D">
        <w:rPr>
          <w:rStyle w:val="Refdenotaalpie"/>
          <w:szCs w:val="16"/>
        </w:rPr>
        <w:footnoteRef/>
      </w:r>
      <w:r w:rsidRPr="008D017C">
        <w:rPr>
          <w:rFonts w:ascii="Verdana" w:hAnsi="Verdana"/>
          <w:sz w:val="16"/>
          <w:szCs w:val="16"/>
        </w:rPr>
        <w:t xml:space="preserve"> </w:t>
      </w:r>
      <w:r w:rsidRPr="008D017C">
        <w:rPr>
          <w:rFonts w:ascii="Verdana" w:hAnsi="Verdana"/>
          <w:sz w:val="16"/>
          <w:szCs w:val="16"/>
          <w:lang w:val="es-CR"/>
        </w:rPr>
        <w:tab/>
      </w:r>
      <w:r w:rsidRPr="008D017C">
        <w:rPr>
          <w:rFonts w:ascii="Verdana" w:hAnsi="Verdana"/>
          <w:sz w:val="16"/>
          <w:szCs w:val="16"/>
        </w:rPr>
        <w:t>La Corte declaró la responsabilidad internacional de Honduras por la violación al derecho a la propiedad colectiva en virtud de la falta de garantía del uso y goce del territorio de la Comunidad Garífuna de Punta Piedra, a través de su saneamiento y la falta de adopción de medidas de derecho interno a fin de garantizar el derecho a la consulta e identidad cultural. Asimismo, el Tribunal declaró la responsabilidad internacional del Estado por la violación de los derechos a la protección judicial y garantías judiciales, debido a que los recursos dispuestos no fueron efectivos para la protección de los derechos alegados, en perjuicio de la Comunidad Garífuna de Punta Piedra y sus miembros. La Corte estableció que su Sentencia constituye por sí misma una forma de reparación y, adicionalmente, ordenó al Estado la adopción de determinadas medidas de reparación</w:t>
      </w:r>
      <w:r>
        <w:rPr>
          <w:rFonts w:ascii="Verdana" w:hAnsi="Verdana"/>
          <w:sz w:val="16"/>
          <w:szCs w:val="16"/>
        </w:rPr>
        <w:t>.</w:t>
      </w:r>
    </w:p>
  </w:footnote>
  <w:footnote w:id="2">
    <w:p w14:paraId="545EFDC3" w14:textId="77777777" w:rsidR="00DE5901" w:rsidRPr="008D017C" w:rsidRDefault="00DE5901" w:rsidP="008D017C">
      <w:pPr>
        <w:pStyle w:val="Textonotapie"/>
        <w:jc w:val="both"/>
        <w:rPr>
          <w:rFonts w:ascii="Verdana" w:hAnsi="Verdana"/>
          <w:sz w:val="16"/>
          <w:szCs w:val="16"/>
          <w:lang w:val="es-CR"/>
        </w:rPr>
      </w:pPr>
      <w:r w:rsidRPr="00DE5901">
        <w:rPr>
          <w:rStyle w:val="Refdenotaalpie"/>
          <w:szCs w:val="16"/>
        </w:rPr>
        <w:footnoteRef/>
      </w:r>
      <w:r w:rsidRPr="008D017C">
        <w:rPr>
          <w:rFonts w:ascii="Verdana" w:hAnsi="Verdana"/>
          <w:sz w:val="16"/>
          <w:szCs w:val="16"/>
        </w:rPr>
        <w:t xml:space="preserve"> </w:t>
      </w:r>
      <w:r w:rsidRPr="008D017C">
        <w:rPr>
          <w:rFonts w:ascii="Verdana" w:hAnsi="Verdana"/>
          <w:sz w:val="16"/>
          <w:szCs w:val="16"/>
          <w:lang w:val="es-CR"/>
        </w:rPr>
        <w:tab/>
      </w:r>
      <w:r w:rsidRPr="008D017C">
        <w:rPr>
          <w:rFonts w:ascii="Verdana" w:hAnsi="Verdana"/>
          <w:sz w:val="16"/>
          <w:szCs w:val="16"/>
        </w:rPr>
        <w:t>La Corte declaró la responsabilidad internacional de Honduras por la violación al derecho a la propiedad colectiva en perjuicio de la Comunidad Garífuna Triunfo de la Cruz y sus miembros, por haber incumplido su obligación de delimitar y demarcar las tierras tituladas a favor de la Comunidad, así como por no haber titulado, delimitado y demarcado los territorios que fueron reconocidos como sus tierras tradicionales. Asimismo, se declaró la violación de este derecho por parte del Estado por no haber garantizado el goce efectivo del título de propiedad colectiva de la Comunidad, en relación con un área adjudicada en garantía de ocupación y reconocida como tierra tradicional por el Estado, así como por no haber efectuado un proceso adecuado para garantizar el derecho a la consulta de la Comunidad. Del mismo modo, el Tribunal declaró la responsabilidad del Estado por haber violado su deber de adecuar el derecho interno por no haber dispuesto a nivel interno, con anterioridad al año 2004, normas o prácticas que permitieran garantizar el derecho a la consulta. Aunado a ello, se declaró la violación a las garantías judiciales y a la protección judicial por considerar que una de las solicitudes de dominio pleno presentadas por la Comunidad, no contó con una respuesta que tomara en cuenta la naturaleza tradicional de uno de los lotes de territorio al cual se refería, por la duración más allá de un plazo razonable de las acciones judiciales y administrativas frente a las ventas y las adjudicaciones a terceros de tierras tradicionales, por la falta al deber de investigar los hechos denunciados por la Comunidad y sus miembros, y por no haber iniciado de oficio las investigaciones relativas a las muertes de cuatro integrantes de la misma. La Corte estableció que su Sentencia constituye por sí misma una forma de reparación y, adicionalmente, ordenó al Estado la adopción de determinadas medidas de reparación.</w:t>
      </w:r>
    </w:p>
  </w:footnote>
  <w:footnote w:id="3">
    <w:p w14:paraId="5B3A0CB0" w14:textId="77777777" w:rsidR="00625B29" w:rsidRPr="00A968DA" w:rsidRDefault="00625B29" w:rsidP="00467BB7">
      <w:pPr>
        <w:pStyle w:val="Textonotapie"/>
        <w:jc w:val="both"/>
        <w:rPr>
          <w:rFonts w:ascii="Verdana" w:hAnsi="Verdana"/>
          <w:sz w:val="16"/>
          <w:szCs w:val="16"/>
          <w:lang w:val="es-CR"/>
        </w:rPr>
      </w:pPr>
      <w:r w:rsidRPr="00EE311A">
        <w:rPr>
          <w:rStyle w:val="Refdenotaalpie"/>
          <w:szCs w:val="16"/>
          <w:lang w:val="es-CR"/>
        </w:rPr>
        <w:footnoteRef/>
      </w:r>
      <w:r w:rsidRPr="00EE311A">
        <w:rPr>
          <w:rFonts w:ascii="Verdana" w:hAnsi="Verdana"/>
          <w:sz w:val="16"/>
          <w:szCs w:val="16"/>
          <w:lang w:val="es-CR"/>
        </w:rPr>
        <w:t xml:space="preserve"> </w:t>
      </w:r>
      <w:r w:rsidRPr="00EE311A">
        <w:rPr>
          <w:rFonts w:ascii="Verdana" w:hAnsi="Verdana"/>
          <w:sz w:val="16"/>
          <w:szCs w:val="16"/>
          <w:lang w:val="es-CR"/>
        </w:rPr>
        <w:tab/>
      </w:r>
      <w:r w:rsidRPr="00EE311A">
        <w:rPr>
          <w:rFonts w:ascii="Verdana" w:hAnsi="Verdana"/>
          <w:i/>
          <w:sz w:val="16"/>
          <w:szCs w:val="16"/>
          <w:lang w:val="es-CR"/>
        </w:rPr>
        <w:t>Cfr.</w:t>
      </w:r>
      <w:r w:rsidRPr="00EE311A">
        <w:rPr>
          <w:rFonts w:ascii="Verdana" w:hAnsi="Verdana"/>
          <w:b/>
          <w:sz w:val="16"/>
          <w:szCs w:val="16"/>
          <w:lang w:val="es-CR"/>
        </w:rPr>
        <w:t xml:space="preserve"> </w:t>
      </w:r>
      <w:r w:rsidR="00897F6A" w:rsidRPr="00897F6A">
        <w:rPr>
          <w:rFonts w:ascii="Verdana" w:hAnsi="Verdana"/>
          <w:bCs/>
          <w:i/>
          <w:color w:val="000000"/>
          <w:sz w:val="16"/>
          <w:szCs w:val="16"/>
          <w:shd w:val="clear" w:color="auto" w:fill="FFFFFF"/>
        </w:rPr>
        <w:t xml:space="preserve">Comunidad Garífuna de Punta Piedra y sus miembros Vs. Honduras. Excepciones Preliminares, Fondo, Reparaciones y Costas. </w:t>
      </w:r>
      <w:r w:rsidR="00897F6A" w:rsidRPr="00897F6A">
        <w:rPr>
          <w:rFonts w:ascii="Verdana" w:hAnsi="Verdana"/>
          <w:bCs/>
          <w:color w:val="000000"/>
          <w:sz w:val="16"/>
          <w:szCs w:val="16"/>
          <w:shd w:val="clear" w:color="auto" w:fill="FFFFFF"/>
        </w:rPr>
        <w:t>Sentencia de 8 de octubre de 2015. Serie C No. 304</w:t>
      </w:r>
      <w:r w:rsidR="00897F6A" w:rsidRPr="00897F6A">
        <w:rPr>
          <w:rStyle w:val="Hipervnculo"/>
          <w:rFonts w:ascii="Verdana" w:hAnsi="Verdana"/>
          <w:color w:val="000000" w:themeColor="text1"/>
          <w:sz w:val="16"/>
          <w:szCs w:val="16"/>
          <w:u w:val="none"/>
          <w:shd w:val="clear" w:color="auto" w:fill="FFFFFF"/>
          <w:lang w:val="es-CR"/>
        </w:rPr>
        <w:t>, y</w:t>
      </w:r>
      <w:r w:rsidRPr="00897F6A">
        <w:rPr>
          <w:rStyle w:val="Textoennegrita"/>
          <w:rFonts w:ascii="Verdana" w:hAnsi="Verdana"/>
          <w:color w:val="000000" w:themeColor="text1"/>
          <w:sz w:val="16"/>
          <w:szCs w:val="16"/>
          <w:shd w:val="clear" w:color="auto" w:fill="FFFFFF"/>
          <w:lang w:val="es-CR"/>
        </w:rPr>
        <w:t xml:space="preserve"> </w:t>
      </w:r>
      <w:r w:rsidR="00897F6A" w:rsidRPr="00897F6A">
        <w:rPr>
          <w:rFonts w:ascii="Verdana" w:hAnsi="Verdana"/>
          <w:bCs/>
          <w:i/>
          <w:color w:val="000000"/>
          <w:sz w:val="16"/>
          <w:szCs w:val="16"/>
          <w:shd w:val="clear" w:color="auto" w:fill="FFFFFF"/>
        </w:rPr>
        <w:t xml:space="preserve">Comunidad Garífuna </w:t>
      </w:r>
      <w:r w:rsidR="00897F6A">
        <w:rPr>
          <w:rFonts w:ascii="Verdana" w:hAnsi="Verdana"/>
          <w:bCs/>
          <w:i/>
          <w:color w:val="000000"/>
          <w:sz w:val="16"/>
          <w:szCs w:val="16"/>
          <w:shd w:val="clear" w:color="auto" w:fill="FFFFFF"/>
        </w:rPr>
        <w:t>Triunfo de la Cruz</w:t>
      </w:r>
      <w:r w:rsidR="00897F6A" w:rsidRPr="00897F6A">
        <w:rPr>
          <w:rFonts w:ascii="Verdana" w:hAnsi="Verdana"/>
          <w:bCs/>
          <w:i/>
          <w:color w:val="000000"/>
          <w:sz w:val="16"/>
          <w:szCs w:val="16"/>
          <w:shd w:val="clear" w:color="auto" w:fill="FFFFFF"/>
        </w:rPr>
        <w:t xml:space="preserve"> y sus miembros Vs. Hon</w:t>
      </w:r>
      <w:r w:rsidR="00897F6A">
        <w:rPr>
          <w:rFonts w:ascii="Verdana" w:hAnsi="Verdana"/>
          <w:bCs/>
          <w:i/>
          <w:color w:val="000000"/>
          <w:sz w:val="16"/>
          <w:szCs w:val="16"/>
          <w:shd w:val="clear" w:color="auto" w:fill="FFFFFF"/>
        </w:rPr>
        <w:t>duras.</w:t>
      </w:r>
      <w:r w:rsidR="00897F6A" w:rsidRPr="00897F6A">
        <w:rPr>
          <w:rFonts w:ascii="Verdana" w:hAnsi="Verdana"/>
          <w:bCs/>
          <w:i/>
          <w:color w:val="000000"/>
          <w:sz w:val="16"/>
          <w:szCs w:val="16"/>
          <w:shd w:val="clear" w:color="auto" w:fill="FFFFFF"/>
        </w:rPr>
        <w:t xml:space="preserve"> Fondo, Reparaciones y Costas. </w:t>
      </w:r>
      <w:r w:rsidR="00897F6A" w:rsidRPr="00897F6A">
        <w:rPr>
          <w:rFonts w:ascii="Verdana" w:hAnsi="Verdana"/>
          <w:bCs/>
          <w:color w:val="000000"/>
          <w:sz w:val="16"/>
          <w:szCs w:val="16"/>
          <w:shd w:val="clear" w:color="auto" w:fill="FFFFFF"/>
        </w:rPr>
        <w:t xml:space="preserve">Sentencia de 8 de </w:t>
      </w:r>
      <w:r w:rsidR="00897F6A">
        <w:rPr>
          <w:rFonts w:ascii="Verdana" w:hAnsi="Verdana"/>
          <w:bCs/>
          <w:color w:val="000000"/>
          <w:sz w:val="16"/>
          <w:szCs w:val="16"/>
          <w:shd w:val="clear" w:color="auto" w:fill="FFFFFF"/>
        </w:rPr>
        <w:t>octubre de 2015. Serie C No. 305</w:t>
      </w:r>
      <w:r w:rsidR="00A82E42">
        <w:rPr>
          <w:rFonts w:ascii="Verdana" w:hAnsi="Verdana"/>
          <w:bCs/>
          <w:color w:val="000000"/>
          <w:sz w:val="16"/>
          <w:szCs w:val="16"/>
          <w:shd w:val="clear" w:color="auto" w:fill="FFFFFF"/>
        </w:rPr>
        <w:t>.</w:t>
      </w:r>
      <w:r w:rsidR="00897F6A">
        <w:rPr>
          <w:rFonts w:ascii="Verdana" w:hAnsi="Verdana"/>
          <w:bCs/>
          <w:color w:val="000000"/>
          <w:sz w:val="16"/>
          <w:szCs w:val="16"/>
          <w:shd w:val="clear" w:color="auto" w:fill="FFFFFF"/>
        </w:rPr>
        <w:t xml:space="preserve"> </w:t>
      </w:r>
    </w:p>
  </w:footnote>
  <w:footnote w:id="4">
    <w:p w14:paraId="5D05AD87" w14:textId="77777777" w:rsidR="00F2409E" w:rsidRPr="00F2409E" w:rsidRDefault="00F2409E" w:rsidP="00F2409E">
      <w:pPr>
        <w:pStyle w:val="Textonotapie"/>
        <w:jc w:val="both"/>
        <w:rPr>
          <w:lang w:val="es-MX"/>
        </w:rPr>
      </w:pPr>
      <w:r>
        <w:rPr>
          <w:rStyle w:val="Refdenotaalpie"/>
        </w:rPr>
        <w:footnoteRef/>
      </w:r>
      <w:r>
        <w:t xml:space="preserve"> </w:t>
      </w:r>
      <w:r>
        <w:rPr>
          <w:lang w:val="es-MX"/>
        </w:rPr>
        <w:t xml:space="preserve">            </w:t>
      </w:r>
      <w:r w:rsidRPr="00F2409E">
        <w:rPr>
          <w:rFonts w:ascii="Verdana" w:hAnsi="Verdana"/>
          <w:i/>
          <w:sz w:val="16"/>
          <w:lang w:val="es-MX"/>
        </w:rPr>
        <w:t xml:space="preserve">Cfr. </w:t>
      </w:r>
      <w:r w:rsidRPr="00F2409E">
        <w:rPr>
          <w:rFonts w:ascii="Verdana" w:hAnsi="Verdana"/>
          <w:i/>
          <w:sz w:val="16"/>
        </w:rPr>
        <w:t>Caso Comunidad Garífuna Triunfo de la Cruz y sus miembros Vs. Honduras. Supervisión de Cumplimiento de Sentencia</w:t>
      </w:r>
      <w:r w:rsidRPr="00F2409E">
        <w:rPr>
          <w:rFonts w:ascii="Verdana" w:hAnsi="Verdana"/>
          <w:sz w:val="16"/>
        </w:rPr>
        <w:t xml:space="preserve">. Resolución la Corte Interamericana de Derechos Humanos de 14 de mayo de 2019, y </w:t>
      </w:r>
      <w:r w:rsidRPr="00F2409E">
        <w:rPr>
          <w:rFonts w:ascii="Verdana" w:hAnsi="Verdana"/>
          <w:i/>
          <w:sz w:val="16"/>
        </w:rPr>
        <w:t>Caso Comunidad Garífuna de Punta Piedra y sus miembros Vs. Honduras. Supervisión de Cumplimiento de Sentencia</w:t>
      </w:r>
      <w:r w:rsidRPr="00F2409E">
        <w:rPr>
          <w:rFonts w:ascii="Verdana" w:hAnsi="Verdana"/>
          <w:sz w:val="16"/>
        </w:rPr>
        <w:t>. Resolución la Corte Interamericana de Derechos Humanos de 14 de mayo de 2019.</w:t>
      </w:r>
    </w:p>
  </w:footnote>
  <w:footnote w:id="5">
    <w:p w14:paraId="71783461" w14:textId="20C97671" w:rsidR="00E33674" w:rsidRPr="00E33674" w:rsidRDefault="00E33674" w:rsidP="00E33674">
      <w:pPr>
        <w:jc w:val="both"/>
        <w:rPr>
          <w:lang w:val="es-CR"/>
        </w:rPr>
      </w:pPr>
      <w:r>
        <w:rPr>
          <w:rStyle w:val="Refdenotaalpie"/>
        </w:rPr>
        <w:footnoteRef/>
      </w:r>
      <w:r>
        <w:t xml:space="preserve"> </w:t>
      </w:r>
      <w:r>
        <w:tab/>
      </w:r>
      <w:r w:rsidRPr="00E33674">
        <w:rPr>
          <w:rFonts w:ascii="Verdana" w:hAnsi="Verdana"/>
          <w:i/>
          <w:iCs/>
          <w:sz w:val="16"/>
          <w:szCs w:val="16"/>
          <w:lang w:val="es-CR"/>
        </w:rPr>
        <w:t xml:space="preserve">Cfr. Caso Comunidades Garífunas de Triunfo de la Cruz y Punta Piedra </w:t>
      </w:r>
      <w:r>
        <w:rPr>
          <w:rFonts w:ascii="Verdana" w:hAnsi="Verdana"/>
          <w:i/>
          <w:iCs/>
          <w:sz w:val="16"/>
          <w:szCs w:val="16"/>
          <w:lang w:val="es-CR"/>
        </w:rPr>
        <w:t xml:space="preserve">respecto de </w:t>
      </w:r>
      <w:r w:rsidRPr="00E33674">
        <w:rPr>
          <w:rFonts w:ascii="Verdana" w:hAnsi="Verdana"/>
          <w:i/>
          <w:iCs/>
          <w:sz w:val="16"/>
          <w:szCs w:val="16"/>
          <w:lang w:val="es-CR"/>
        </w:rPr>
        <w:t>Honduras</w:t>
      </w:r>
      <w:r w:rsidRPr="00E33674">
        <w:rPr>
          <w:rFonts w:ascii="Verdana" w:hAnsi="Verdana"/>
          <w:sz w:val="16"/>
          <w:szCs w:val="16"/>
          <w:lang w:val="es-CR"/>
        </w:rPr>
        <w:t xml:space="preserve">. Adopción de Medidas Urgentes. Resolución de la </w:t>
      </w:r>
      <w:proofErr w:type="gramStart"/>
      <w:r w:rsidRPr="00E33674">
        <w:rPr>
          <w:rFonts w:ascii="Verdana" w:hAnsi="Verdana"/>
          <w:sz w:val="16"/>
          <w:szCs w:val="16"/>
          <w:lang w:val="es-CR"/>
        </w:rPr>
        <w:t>Presidenta</w:t>
      </w:r>
      <w:proofErr w:type="gramEnd"/>
      <w:r w:rsidRPr="00E33674">
        <w:rPr>
          <w:rFonts w:ascii="Verdana" w:hAnsi="Verdana"/>
          <w:sz w:val="16"/>
          <w:szCs w:val="16"/>
          <w:lang w:val="es-CR"/>
        </w:rPr>
        <w:t xml:space="preserve"> de la Corte Interamericana de Derechos Humanos de 6 de agosto de 2020</w:t>
      </w:r>
      <w:r>
        <w:rPr>
          <w:rFonts w:ascii="Verdana" w:hAnsi="Verdana"/>
          <w:sz w:val="16"/>
          <w:szCs w:val="16"/>
          <w:lang w:val="es-CR"/>
        </w:rPr>
        <w:t>, puntos resolutivos 1 y 2.</w:t>
      </w:r>
    </w:p>
  </w:footnote>
  <w:footnote w:id="6">
    <w:p w14:paraId="3DDEFBF8" w14:textId="77777777" w:rsidR="00625B29" w:rsidRPr="00A968DA" w:rsidRDefault="00625B29" w:rsidP="00467BB7">
      <w:pPr>
        <w:pStyle w:val="Textonotapie"/>
        <w:jc w:val="both"/>
        <w:rPr>
          <w:rFonts w:ascii="Verdana" w:hAnsi="Verdana"/>
          <w:sz w:val="16"/>
          <w:szCs w:val="16"/>
          <w:lang w:val="es-MX"/>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lang w:val="es-MX"/>
        </w:rPr>
        <w:tab/>
      </w:r>
      <w:r w:rsidRPr="00A968DA">
        <w:rPr>
          <w:rFonts w:ascii="Verdana" w:hAnsi="Verdana"/>
          <w:sz w:val="16"/>
          <w:szCs w:val="16"/>
          <w:lang w:val="es-CR"/>
        </w:rPr>
        <w:t>La</w:t>
      </w:r>
      <w:r w:rsidR="005A26CF">
        <w:rPr>
          <w:rFonts w:ascii="Verdana" w:hAnsi="Verdana"/>
          <w:sz w:val="16"/>
          <w:szCs w:val="16"/>
          <w:lang w:val="es-CR"/>
        </w:rPr>
        <w:t>s</w:t>
      </w:r>
      <w:r w:rsidRPr="00A968DA">
        <w:rPr>
          <w:rFonts w:ascii="Verdana" w:hAnsi="Verdana"/>
          <w:sz w:val="16"/>
          <w:szCs w:val="16"/>
          <w:lang w:val="es-CR"/>
        </w:rPr>
        <w:t xml:space="preserve"> víctima</w:t>
      </w:r>
      <w:r w:rsidR="005A26CF">
        <w:rPr>
          <w:rFonts w:ascii="Verdana" w:hAnsi="Verdana"/>
          <w:sz w:val="16"/>
          <w:szCs w:val="16"/>
          <w:lang w:val="es-CR"/>
        </w:rPr>
        <w:t xml:space="preserve">s </w:t>
      </w:r>
      <w:r w:rsidRPr="00A968DA">
        <w:rPr>
          <w:rFonts w:ascii="Verdana" w:hAnsi="Verdana"/>
          <w:sz w:val="16"/>
          <w:szCs w:val="16"/>
          <w:lang w:val="es-CR"/>
        </w:rPr>
        <w:t>s</w:t>
      </w:r>
      <w:r w:rsidR="005A26CF">
        <w:rPr>
          <w:rFonts w:ascii="Verdana" w:hAnsi="Verdana"/>
          <w:sz w:val="16"/>
          <w:szCs w:val="16"/>
          <w:lang w:val="es-CR"/>
        </w:rPr>
        <w:t>on</w:t>
      </w:r>
      <w:r w:rsidRPr="00A968DA">
        <w:rPr>
          <w:rFonts w:ascii="Verdana" w:hAnsi="Verdana"/>
          <w:sz w:val="16"/>
          <w:szCs w:val="16"/>
          <w:lang w:val="es-CR"/>
        </w:rPr>
        <w:t xml:space="preserve"> representada</w:t>
      </w:r>
      <w:r w:rsidR="005A26CF">
        <w:rPr>
          <w:rFonts w:ascii="Verdana" w:hAnsi="Verdana"/>
          <w:sz w:val="16"/>
          <w:szCs w:val="16"/>
          <w:lang w:val="es-CR"/>
        </w:rPr>
        <w:t>s</w:t>
      </w:r>
      <w:r w:rsidRPr="00A968DA">
        <w:rPr>
          <w:rFonts w:ascii="Verdana" w:hAnsi="Verdana"/>
          <w:sz w:val="16"/>
          <w:szCs w:val="16"/>
          <w:lang w:val="es-CR"/>
        </w:rPr>
        <w:t xml:space="preserve"> por </w:t>
      </w:r>
      <w:r w:rsidR="005A26CF">
        <w:rPr>
          <w:rFonts w:ascii="Verdana" w:hAnsi="Verdana"/>
          <w:sz w:val="16"/>
          <w:szCs w:val="16"/>
          <w:lang w:val="es-CR"/>
        </w:rPr>
        <w:t>la Organización Fraternal Negra Hondureña (OFRANEH</w:t>
      </w:r>
      <w:r w:rsidRPr="00A968DA">
        <w:rPr>
          <w:rFonts w:ascii="Verdana" w:hAnsi="Verdana"/>
          <w:sz w:val="16"/>
          <w:szCs w:val="16"/>
          <w:lang w:val="es-CR"/>
        </w:rPr>
        <w:t xml:space="preserve">). </w:t>
      </w:r>
    </w:p>
  </w:footnote>
  <w:footnote w:id="7">
    <w:p w14:paraId="2D27A6D5" w14:textId="77777777" w:rsidR="00A87946" w:rsidRPr="006938A4" w:rsidRDefault="00A87946" w:rsidP="00A87946">
      <w:pPr>
        <w:pStyle w:val="Textonotapie"/>
        <w:jc w:val="both"/>
        <w:rPr>
          <w:rFonts w:ascii="Verdana" w:hAnsi="Verdana"/>
          <w:sz w:val="16"/>
          <w:szCs w:val="16"/>
          <w:lang w:val="es-ES"/>
        </w:rPr>
      </w:pPr>
      <w:r w:rsidRPr="006938A4">
        <w:rPr>
          <w:rStyle w:val="Refdenotaalpie"/>
          <w:szCs w:val="16"/>
        </w:rPr>
        <w:footnoteRef/>
      </w:r>
      <w:r w:rsidRPr="006938A4">
        <w:rPr>
          <w:rFonts w:ascii="Verdana" w:hAnsi="Verdana"/>
          <w:sz w:val="16"/>
          <w:szCs w:val="16"/>
        </w:rPr>
        <w:t xml:space="preserve"> </w:t>
      </w:r>
      <w:r w:rsidRPr="006938A4">
        <w:rPr>
          <w:rFonts w:ascii="Verdana" w:hAnsi="Verdana"/>
          <w:sz w:val="16"/>
          <w:szCs w:val="16"/>
          <w:lang w:val="es-ES"/>
        </w:rPr>
        <w:tab/>
        <w:t>Caso Comunidad Garífuna de Punta Piedra y sus miembros Vs. Honduras. Supervisión de Cumplimiento de Sentencia. Resolución la Corte Interamericana de Derechos Humanos de 14 de mayo de 2019</w:t>
      </w:r>
      <w:r>
        <w:rPr>
          <w:rFonts w:ascii="Verdana" w:hAnsi="Verdana"/>
          <w:sz w:val="16"/>
          <w:szCs w:val="16"/>
          <w:lang w:val="es-ES"/>
        </w:rPr>
        <w:t>, Considerando 14.</w:t>
      </w:r>
    </w:p>
  </w:footnote>
  <w:footnote w:id="8">
    <w:p w14:paraId="65381457" w14:textId="77777777" w:rsidR="00A87946" w:rsidRPr="00210282" w:rsidRDefault="00A87946" w:rsidP="00A87946">
      <w:pPr>
        <w:pStyle w:val="Textonotapie"/>
        <w:jc w:val="both"/>
        <w:rPr>
          <w:lang w:val="es-ES"/>
        </w:rPr>
      </w:pPr>
      <w:r>
        <w:rPr>
          <w:rStyle w:val="Refdenotaalpie"/>
        </w:rPr>
        <w:footnoteRef/>
      </w:r>
      <w:r>
        <w:t xml:space="preserve"> </w:t>
      </w:r>
      <w:r>
        <w:rPr>
          <w:lang w:val="es-ES"/>
        </w:rPr>
        <w:tab/>
      </w:r>
      <w:r>
        <w:rPr>
          <w:rFonts w:ascii="Verdana" w:hAnsi="Verdana"/>
          <w:sz w:val="16"/>
          <w:szCs w:val="16"/>
          <w:lang w:val="es-ES"/>
        </w:rPr>
        <w:t>El</w:t>
      </w:r>
      <w:r w:rsidRPr="00210282">
        <w:rPr>
          <w:rFonts w:ascii="Verdana" w:hAnsi="Verdana"/>
          <w:sz w:val="16"/>
          <w:szCs w:val="16"/>
          <w:lang w:val="es-ES"/>
        </w:rPr>
        <w:t xml:space="preserve"> Estado reportó que inmediatamente, ese mismo día, se realizaron las comunicaciones oficiales al Ministerio Público, a la Agencia Técnica de Investigación (ATIC), a la DPI y al departamento de Derechos Humanos de la Secretaría de Seguridad, esta última forma parte del Sistema Nacional de Protección.</w:t>
      </w:r>
    </w:p>
  </w:footnote>
  <w:footnote w:id="9">
    <w:p w14:paraId="33713B14" w14:textId="77777777" w:rsidR="00A87946" w:rsidRPr="00210282" w:rsidRDefault="00A87946" w:rsidP="00A87946">
      <w:pPr>
        <w:pStyle w:val="Textonotapie"/>
        <w:jc w:val="both"/>
        <w:rPr>
          <w:sz w:val="16"/>
          <w:szCs w:val="16"/>
          <w:lang w:val="es-ES"/>
        </w:rPr>
      </w:pPr>
      <w:r w:rsidRPr="00210282">
        <w:rPr>
          <w:rStyle w:val="Refdenotaalpie"/>
          <w:szCs w:val="16"/>
        </w:rPr>
        <w:footnoteRef/>
      </w:r>
      <w:r w:rsidRPr="00210282">
        <w:rPr>
          <w:sz w:val="16"/>
          <w:szCs w:val="16"/>
        </w:rPr>
        <w:t xml:space="preserve"> </w:t>
      </w:r>
      <w:r w:rsidRPr="00210282">
        <w:rPr>
          <w:sz w:val="16"/>
          <w:szCs w:val="16"/>
          <w:lang w:val="es-ES"/>
        </w:rPr>
        <w:tab/>
      </w:r>
      <w:r w:rsidRPr="00210282">
        <w:rPr>
          <w:rFonts w:ascii="Verdana" w:hAnsi="Verdana" w:cs="Verdana"/>
          <w:color w:val="000000"/>
          <w:sz w:val="16"/>
          <w:szCs w:val="16"/>
          <w:lang w:val="es-CR"/>
        </w:rPr>
        <w:t>Del mismo modo, el Estado alegó que se tiene previsto iniciar acciones preventivas, mediante un trabajo integral con los defensores de las comunidades garífunas y el equipo de Prevención y Análisis de Contexto de la DGSP, con la finalidad de tratar los riesgos estructurales a los que se puedan ver expuestos, debiéndose identificar mediante la construcción de los posibles escenarios de riesgo y sus soluciones, generando planes de prevención integral consensuados con los posibles beneficiarios.</w:t>
      </w:r>
    </w:p>
  </w:footnote>
  <w:footnote w:id="10">
    <w:p w14:paraId="0F07DF03" w14:textId="77777777" w:rsidR="00B86F67" w:rsidRPr="0087028E" w:rsidRDefault="00B86F67" w:rsidP="00B86F67">
      <w:pPr>
        <w:pStyle w:val="Textonotapie"/>
        <w:jc w:val="both"/>
        <w:rPr>
          <w:lang w:val="es-ES"/>
        </w:rPr>
      </w:pPr>
      <w:r>
        <w:rPr>
          <w:rStyle w:val="Refdenotaalpie"/>
        </w:rPr>
        <w:footnoteRef/>
      </w:r>
      <w:r>
        <w:t xml:space="preserve"> </w:t>
      </w:r>
      <w:r>
        <w:rPr>
          <w:lang w:val="es-ES"/>
        </w:rPr>
        <w:tab/>
      </w:r>
      <w:r w:rsidRPr="0087028E">
        <w:rPr>
          <w:rFonts w:ascii="Verdana" w:hAnsi="Verdana" w:cs="Verdana"/>
          <w:i/>
          <w:iCs/>
          <w:color w:val="000000"/>
          <w:sz w:val="16"/>
          <w:szCs w:val="16"/>
          <w:lang w:val="es-CR"/>
        </w:rPr>
        <w:t>Cfr. Comunidad Garífuna de Punta Piedra y sus miembros Vs. Honduras</w:t>
      </w:r>
      <w:r>
        <w:rPr>
          <w:rFonts w:ascii="Verdana" w:hAnsi="Verdana" w:cs="Verdana"/>
          <w:color w:val="000000"/>
          <w:sz w:val="16"/>
          <w:szCs w:val="16"/>
          <w:lang w:val="es-CR"/>
        </w:rPr>
        <w:t xml:space="preserve">, </w:t>
      </w:r>
      <w:proofErr w:type="spellStart"/>
      <w:r>
        <w:rPr>
          <w:rFonts w:ascii="Verdana" w:hAnsi="Verdana" w:cs="Verdana"/>
          <w:color w:val="000000"/>
          <w:sz w:val="16"/>
          <w:szCs w:val="16"/>
          <w:lang w:val="es-CR"/>
        </w:rPr>
        <w:t>párrs</w:t>
      </w:r>
      <w:proofErr w:type="spellEnd"/>
      <w:r>
        <w:rPr>
          <w:rFonts w:ascii="Verdana" w:hAnsi="Verdana" w:cs="Verdana"/>
          <w:color w:val="000000"/>
          <w:sz w:val="16"/>
          <w:szCs w:val="16"/>
          <w:lang w:val="es-CR"/>
        </w:rPr>
        <w:t>. 260 a 280, 352 a 353, y punto resolutivo 17,</w:t>
      </w:r>
      <w:r w:rsidRPr="0087028E">
        <w:rPr>
          <w:rFonts w:ascii="Verdana" w:hAnsi="Verdana" w:cs="Verdana"/>
          <w:color w:val="000000"/>
          <w:sz w:val="16"/>
          <w:szCs w:val="16"/>
          <w:lang w:val="es-CR"/>
        </w:rPr>
        <w:t xml:space="preserve"> y </w:t>
      </w:r>
      <w:r w:rsidRPr="0087028E">
        <w:rPr>
          <w:rFonts w:ascii="Verdana" w:hAnsi="Verdana" w:cs="Verdana"/>
          <w:i/>
          <w:iCs/>
          <w:color w:val="000000"/>
          <w:sz w:val="16"/>
          <w:szCs w:val="16"/>
          <w:lang w:val="es-CR"/>
        </w:rPr>
        <w:t>Comunidad Garífuna Triunfo de la Cruz y sus miembros Vs. Honduras</w:t>
      </w:r>
      <w:r>
        <w:rPr>
          <w:rFonts w:ascii="Verdana" w:hAnsi="Verdana" w:cs="Verdana"/>
          <w:color w:val="000000"/>
          <w:sz w:val="16"/>
          <w:szCs w:val="16"/>
          <w:lang w:val="es-CR"/>
        </w:rPr>
        <w:t xml:space="preserve">, </w:t>
      </w:r>
      <w:proofErr w:type="spellStart"/>
      <w:r>
        <w:rPr>
          <w:rFonts w:ascii="Verdana" w:hAnsi="Verdana" w:cs="Verdana"/>
          <w:color w:val="000000"/>
          <w:sz w:val="16"/>
          <w:szCs w:val="16"/>
          <w:lang w:val="es-CR"/>
        </w:rPr>
        <w:t>párrs</w:t>
      </w:r>
      <w:proofErr w:type="spellEnd"/>
      <w:r>
        <w:rPr>
          <w:rFonts w:ascii="Verdana" w:hAnsi="Verdana" w:cs="Verdana"/>
          <w:color w:val="000000"/>
          <w:sz w:val="16"/>
          <w:szCs w:val="16"/>
          <w:lang w:val="es-CR"/>
        </w:rPr>
        <w:t>. 206 a 214, 266 a 267 y punto resolutivo 8.</w:t>
      </w:r>
      <w:r w:rsidRPr="0087028E">
        <w:rPr>
          <w:rFonts w:ascii="Verdana" w:hAnsi="Verdana" w:cs="Verdana"/>
          <w:color w:val="000000"/>
          <w:sz w:val="16"/>
          <w:szCs w:val="16"/>
          <w:lang w:val="es-CR"/>
        </w:rPr>
        <w:t xml:space="preserve"> </w:t>
      </w:r>
    </w:p>
  </w:footnote>
  <w:footnote w:id="11">
    <w:p w14:paraId="61583B60" w14:textId="77777777" w:rsidR="00B86F67" w:rsidRPr="00005AF5" w:rsidRDefault="00B86F67" w:rsidP="00B86F67">
      <w:pPr>
        <w:pStyle w:val="Textonotapie"/>
        <w:jc w:val="both"/>
        <w:rPr>
          <w:rFonts w:ascii="Verdana" w:hAnsi="Verdana"/>
          <w:sz w:val="16"/>
          <w:szCs w:val="16"/>
          <w:lang w:val="es-MX"/>
        </w:rPr>
      </w:pPr>
      <w:r w:rsidRPr="00005AF5">
        <w:rPr>
          <w:rStyle w:val="Refdenotaalpie"/>
          <w:szCs w:val="16"/>
        </w:rPr>
        <w:footnoteRef/>
      </w:r>
      <w:r w:rsidRPr="00005AF5">
        <w:rPr>
          <w:rFonts w:ascii="Verdana" w:hAnsi="Verdana"/>
          <w:sz w:val="16"/>
          <w:szCs w:val="16"/>
        </w:rPr>
        <w:t xml:space="preserve"> </w:t>
      </w:r>
      <w:r>
        <w:rPr>
          <w:rFonts w:ascii="Verdana" w:hAnsi="Verdana"/>
          <w:sz w:val="16"/>
          <w:szCs w:val="16"/>
        </w:rPr>
        <w:tab/>
      </w:r>
      <w:r w:rsidRPr="00005AF5">
        <w:rPr>
          <w:rFonts w:ascii="Verdana" w:hAnsi="Verdana"/>
          <w:i/>
          <w:sz w:val="16"/>
          <w:szCs w:val="16"/>
        </w:rPr>
        <w:t>Cfr. Asunto Diecisiete Personas Privadas de Libertad respecto de Nicaragua. Solicitud de ampliación de medidas provisionales. Resolución de la Corte Interamericana de Derechos Humanos de 14 de octubre de 2019</w:t>
      </w:r>
      <w:r w:rsidRPr="00005AF5">
        <w:rPr>
          <w:rFonts w:ascii="Verdana" w:hAnsi="Verdana"/>
          <w:sz w:val="16"/>
          <w:szCs w:val="16"/>
        </w:rPr>
        <w:t xml:space="preserve">, Considerando 9, y </w:t>
      </w:r>
      <w:r w:rsidRPr="00005AF5">
        <w:rPr>
          <w:rFonts w:ascii="Verdana" w:hAnsi="Verdana"/>
          <w:i/>
          <w:sz w:val="16"/>
          <w:szCs w:val="16"/>
        </w:rPr>
        <w:t>Caso 19 Comerciantes Vs. Colombia. Ampliación de Medidas Provisionales</w:t>
      </w:r>
      <w:r w:rsidRPr="00005AF5">
        <w:rPr>
          <w:rFonts w:ascii="Verdana" w:hAnsi="Verdana"/>
          <w:sz w:val="16"/>
          <w:szCs w:val="16"/>
        </w:rPr>
        <w:t xml:space="preserve">. Resolución de la </w:t>
      </w:r>
      <w:proofErr w:type="gramStart"/>
      <w:r w:rsidRPr="00005AF5">
        <w:rPr>
          <w:rFonts w:ascii="Verdana" w:hAnsi="Verdana"/>
          <w:sz w:val="16"/>
          <w:szCs w:val="16"/>
        </w:rPr>
        <w:t>Presidenta</w:t>
      </w:r>
      <w:proofErr w:type="gramEnd"/>
      <w:r w:rsidRPr="00005AF5">
        <w:rPr>
          <w:rFonts w:ascii="Verdana" w:hAnsi="Verdana"/>
          <w:sz w:val="16"/>
          <w:szCs w:val="16"/>
        </w:rPr>
        <w:t xml:space="preserve"> de la Corte Interam</w:t>
      </w:r>
      <w:r>
        <w:rPr>
          <w:rFonts w:ascii="Verdana" w:hAnsi="Verdana"/>
          <w:sz w:val="16"/>
          <w:szCs w:val="16"/>
        </w:rPr>
        <w:t>ericana de Derechos Humanos de 1 de junio de 2020, Considerando 2</w:t>
      </w:r>
      <w:r w:rsidRPr="00005AF5">
        <w:rPr>
          <w:rFonts w:ascii="Verdana" w:hAnsi="Verdana"/>
          <w:sz w:val="16"/>
          <w:szCs w:val="16"/>
        </w:rPr>
        <w:t>8.</w:t>
      </w:r>
    </w:p>
  </w:footnote>
  <w:footnote w:id="12">
    <w:p w14:paraId="4E8A85A6" w14:textId="77777777" w:rsidR="00B86F67" w:rsidRPr="00A968DA" w:rsidRDefault="00B86F67" w:rsidP="00B86F67">
      <w:pPr>
        <w:tabs>
          <w:tab w:val="left" w:pos="567"/>
        </w:tabs>
        <w:jc w:val="both"/>
        <w:rPr>
          <w:rFonts w:ascii="Verdana" w:hAnsi="Verdana"/>
          <w:iCs/>
          <w:sz w:val="16"/>
          <w:szCs w:val="16"/>
          <w:lang w:val="es-ES"/>
        </w:rPr>
      </w:pPr>
      <w:r w:rsidRPr="00A968DA">
        <w:rPr>
          <w:rStyle w:val="Refdenotaalpie"/>
          <w:szCs w:val="16"/>
        </w:rPr>
        <w:footnoteRef/>
      </w:r>
      <w:r w:rsidRPr="00A968DA">
        <w:rPr>
          <w:rFonts w:ascii="Verdana" w:hAnsi="Verdana"/>
          <w:sz w:val="16"/>
          <w:szCs w:val="16"/>
        </w:rPr>
        <w:tab/>
      </w:r>
      <w:r w:rsidRPr="00A968DA">
        <w:rPr>
          <w:rFonts w:ascii="Verdana" w:hAnsi="Verdana"/>
          <w:i/>
          <w:iCs/>
          <w:sz w:val="16"/>
          <w:szCs w:val="16"/>
          <w:lang w:val="es-ES"/>
        </w:rPr>
        <w:t xml:space="preserve">Cfr. Asunto Belfort Istúriz y otros respecto </w:t>
      </w:r>
      <w:r>
        <w:rPr>
          <w:rFonts w:ascii="Verdana" w:hAnsi="Verdana"/>
          <w:i/>
          <w:iCs/>
          <w:sz w:val="16"/>
          <w:szCs w:val="16"/>
          <w:lang w:val="es-ES"/>
        </w:rPr>
        <w:t xml:space="preserve">de </w:t>
      </w:r>
      <w:r w:rsidRPr="00A968DA">
        <w:rPr>
          <w:rFonts w:ascii="Verdana" w:hAnsi="Verdana"/>
          <w:i/>
          <w:iCs/>
          <w:sz w:val="16"/>
          <w:szCs w:val="16"/>
          <w:lang w:val="es-ES"/>
        </w:rPr>
        <w:t xml:space="preserve">Venezuela. Medidas Provisionales. </w:t>
      </w:r>
      <w:r w:rsidRPr="00A968DA">
        <w:rPr>
          <w:rFonts w:ascii="Verdana" w:hAnsi="Verdana"/>
          <w:iCs/>
          <w:sz w:val="16"/>
          <w:szCs w:val="16"/>
          <w:lang w:val="es-ES"/>
        </w:rPr>
        <w:t xml:space="preserve">Resolución de la Corte </w:t>
      </w:r>
      <w:r w:rsidRPr="00A968DA">
        <w:rPr>
          <w:rFonts w:ascii="Verdana" w:hAnsi="Verdana"/>
          <w:sz w:val="16"/>
          <w:szCs w:val="16"/>
          <w:lang w:val="es-CR"/>
        </w:rPr>
        <w:t xml:space="preserve">Interamericana de Derechos Humanos </w:t>
      </w:r>
      <w:r w:rsidRPr="00A968DA">
        <w:rPr>
          <w:rFonts w:ascii="Verdana" w:hAnsi="Verdana"/>
          <w:iCs/>
          <w:sz w:val="16"/>
          <w:szCs w:val="16"/>
          <w:lang w:val="es-ES"/>
        </w:rPr>
        <w:t>de 15 de abril de 2010, Considerando 5,</w:t>
      </w:r>
      <w:r w:rsidRPr="00A968DA">
        <w:rPr>
          <w:rFonts w:ascii="Verdana" w:hAnsi="Verdana"/>
          <w:sz w:val="16"/>
          <w:szCs w:val="16"/>
        </w:rPr>
        <w:t xml:space="preserve"> y </w:t>
      </w:r>
      <w:r w:rsidRPr="00A968DA">
        <w:rPr>
          <w:rFonts w:ascii="Verdana" w:hAnsi="Verdana"/>
          <w:i/>
          <w:sz w:val="16"/>
          <w:szCs w:val="16"/>
        </w:rPr>
        <w:t xml:space="preserve">Caso Urrutia </w:t>
      </w:r>
      <w:proofErr w:type="spellStart"/>
      <w:r w:rsidRPr="00A968DA">
        <w:rPr>
          <w:rFonts w:ascii="Verdana" w:hAnsi="Verdana"/>
          <w:i/>
          <w:sz w:val="16"/>
          <w:szCs w:val="16"/>
        </w:rPr>
        <w:t>Laubreaux</w:t>
      </w:r>
      <w:proofErr w:type="spellEnd"/>
      <w:r w:rsidRPr="00A968DA">
        <w:rPr>
          <w:rFonts w:ascii="Verdana" w:hAnsi="Verdana"/>
          <w:i/>
          <w:sz w:val="16"/>
          <w:szCs w:val="16"/>
        </w:rPr>
        <w:t xml:space="preserve"> Vs. Chile. Solicitud de Medidas Provisionales</w:t>
      </w:r>
      <w:r w:rsidRPr="00A968DA">
        <w:rPr>
          <w:rFonts w:ascii="Verdana" w:hAnsi="Verdana"/>
          <w:sz w:val="16"/>
          <w:szCs w:val="16"/>
        </w:rPr>
        <w:t>. Resolución de la Corte Interamericana de Derechos Humanos de 12 de marzo de 2020, Considerando 3.</w:t>
      </w:r>
    </w:p>
  </w:footnote>
  <w:footnote w:id="13">
    <w:p w14:paraId="33361C01" w14:textId="77777777" w:rsidR="00B86F67" w:rsidRPr="00A968DA" w:rsidRDefault="00B86F67" w:rsidP="00B86F67">
      <w:pPr>
        <w:tabs>
          <w:tab w:val="left" w:pos="567"/>
        </w:tabs>
        <w:jc w:val="both"/>
        <w:rPr>
          <w:rFonts w:ascii="Verdana" w:hAnsi="Verdana"/>
          <w:sz w:val="16"/>
          <w:szCs w:val="16"/>
        </w:rPr>
      </w:pPr>
      <w:r w:rsidRPr="00A968DA">
        <w:rPr>
          <w:rStyle w:val="Refdenotaalpie"/>
          <w:szCs w:val="16"/>
        </w:rPr>
        <w:footnoteRef/>
      </w:r>
      <w:r w:rsidRPr="00A968DA">
        <w:rPr>
          <w:rFonts w:ascii="Verdana" w:hAnsi="Verdana"/>
          <w:sz w:val="16"/>
          <w:szCs w:val="16"/>
        </w:rPr>
        <w:t xml:space="preserve"> </w:t>
      </w:r>
      <w:r w:rsidRPr="00A968DA">
        <w:rPr>
          <w:rFonts w:ascii="Verdana" w:hAnsi="Verdana"/>
          <w:sz w:val="16"/>
          <w:szCs w:val="16"/>
        </w:rPr>
        <w:tab/>
      </w:r>
      <w:r w:rsidRPr="00A968DA">
        <w:rPr>
          <w:rFonts w:ascii="Verdana" w:hAnsi="Verdana"/>
          <w:i/>
          <w:sz w:val="16"/>
          <w:szCs w:val="16"/>
        </w:rPr>
        <w:t>Cfr. Asuntos Internado Judicial de Monagas (“La Pica”) respecto de Venezuela. Medidas Provisionales</w:t>
      </w:r>
      <w:r w:rsidRPr="00A968DA">
        <w:rPr>
          <w:rFonts w:ascii="Verdana" w:hAnsi="Verdana"/>
          <w:sz w:val="16"/>
          <w:szCs w:val="16"/>
        </w:rPr>
        <w:t xml:space="preserve">. Resolución de la Corte Interamericana de Derechos Humanos de 24 de noviembre de 2009, Considerando 3, y </w:t>
      </w:r>
      <w:r w:rsidRPr="00A968DA">
        <w:rPr>
          <w:rFonts w:ascii="Verdana" w:hAnsi="Verdana"/>
          <w:i/>
          <w:sz w:val="16"/>
          <w:szCs w:val="16"/>
        </w:rPr>
        <w:t xml:space="preserve">Caso Cuya </w:t>
      </w:r>
      <w:proofErr w:type="spellStart"/>
      <w:r w:rsidRPr="00A968DA">
        <w:rPr>
          <w:rFonts w:ascii="Verdana" w:hAnsi="Verdana"/>
          <w:i/>
          <w:sz w:val="16"/>
          <w:szCs w:val="16"/>
        </w:rPr>
        <w:t>Lavy</w:t>
      </w:r>
      <w:proofErr w:type="spellEnd"/>
      <w:r w:rsidRPr="00A968DA">
        <w:rPr>
          <w:rFonts w:ascii="Verdana" w:hAnsi="Verdana"/>
          <w:i/>
          <w:sz w:val="16"/>
          <w:szCs w:val="16"/>
        </w:rPr>
        <w:t xml:space="preserve"> y otros Vs. Perú. Solicitud de Medidas Provisionales</w:t>
      </w:r>
      <w:r w:rsidRPr="00A968DA">
        <w:rPr>
          <w:rFonts w:ascii="Verdana" w:hAnsi="Verdana"/>
          <w:sz w:val="16"/>
          <w:szCs w:val="16"/>
        </w:rPr>
        <w:t>. Resolución de la Corte Interamericana de Derechos Humanos de 12 de marzo de 2020, Considerando 5.</w:t>
      </w:r>
    </w:p>
  </w:footnote>
  <w:footnote w:id="14">
    <w:p w14:paraId="55E13F9D"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szCs w:val="16"/>
        </w:rPr>
        <w:footnoteRef/>
      </w:r>
      <w:r w:rsidRPr="00AA2546">
        <w:rPr>
          <w:rFonts w:ascii="Verdana" w:hAnsi="Verdana" w:cs="Calibri"/>
          <w:sz w:val="16"/>
          <w:szCs w:val="16"/>
        </w:rPr>
        <w:t xml:space="preserve"> Art. 24.3 del Estatuto de la Corte: “</w:t>
      </w:r>
      <w:r w:rsidRPr="00AA2546">
        <w:rPr>
          <w:rFonts w:ascii="Verdana" w:hAnsi="Verdana" w:cs="Calibri"/>
          <w:i/>
          <w:sz w:val="16"/>
          <w:szCs w:val="16"/>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r w:rsidRPr="00AA2546">
        <w:rPr>
          <w:rFonts w:ascii="Verdana" w:hAnsi="Verdana" w:cs="Calibri"/>
          <w:sz w:val="16"/>
          <w:szCs w:val="16"/>
        </w:rPr>
        <w:t>”.</w:t>
      </w:r>
    </w:p>
    <w:p w14:paraId="3D525A94" w14:textId="77777777" w:rsidR="00813091" w:rsidRPr="00AA2546" w:rsidRDefault="00813091" w:rsidP="00813091">
      <w:pPr>
        <w:pStyle w:val="Textonotapie"/>
        <w:ind w:left="-567" w:right="-567"/>
        <w:jc w:val="both"/>
        <w:rPr>
          <w:rFonts w:ascii="Verdana" w:hAnsi="Verdana" w:cs="Calibri"/>
          <w:i/>
          <w:iCs/>
          <w:sz w:val="16"/>
          <w:szCs w:val="16"/>
        </w:rPr>
      </w:pPr>
      <w:r w:rsidRPr="00AA2546">
        <w:rPr>
          <w:rFonts w:ascii="Verdana" w:hAnsi="Verdana" w:cs="Calibri"/>
          <w:sz w:val="16"/>
          <w:szCs w:val="16"/>
        </w:rPr>
        <w:t>Art.32.1.a del Reglamento de la Corte</w:t>
      </w:r>
      <w:r w:rsidRPr="00AA2546">
        <w:rPr>
          <w:rFonts w:ascii="Verdana" w:hAnsi="Verdana" w:cs="Calibri"/>
          <w:i/>
          <w:iCs/>
          <w:sz w:val="16"/>
          <w:szCs w:val="16"/>
        </w:rPr>
        <w:t>: “La Corte hará público: sus sentencias, resoluciones, opiniones y otras decisiones, incluyendo los votos concurrentes o disidentes, cuando cumplan los requisitos señalados en el artículo 65.2 del presente Reglamento; …”</w:t>
      </w:r>
    </w:p>
    <w:p w14:paraId="1B69B2DD" w14:textId="77777777" w:rsidR="00813091" w:rsidRPr="00AA2546" w:rsidRDefault="00813091" w:rsidP="00813091">
      <w:pPr>
        <w:pStyle w:val="Textonotapie"/>
        <w:ind w:left="-567" w:right="-567"/>
        <w:jc w:val="both"/>
        <w:rPr>
          <w:rFonts w:ascii="Verdana" w:hAnsi="Verdana" w:cs="Calibri"/>
          <w:sz w:val="16"/>
          <w:szCs w:val="16"/>
        </w:rPr>
      </w:pPr>
      <w:r w:rsidRPr="00AA2546">
        <w:rPr>
          <w:rFonts w:ascii="Verdana" w:hAnsi="Verdana" w:cs="Calibri"/>
          <w:sz w:val="16"/>
          <w:szCs w:val="16"/>
        </w:rPr>
        <w:t>En lo sucesivo, cada vez que se emplee “párr.” o “</w:t>
      </w:r>
      <w:proofErr w:type="spellStart"/>
      <w:r w:rsidRPr="00AA2546">
        <w:rPr>
          <w:rFonts w:ascii="Verdana" w:hAnsi="Verdana" w:cs="Calibri"/>
          <w:sz w:val="16"/>
          <w:szCs w:val="16"/>
        </w:rPr>
        <w:t>párrs</w:t>
      </w:r>
      <w:proofErr w:type="spellEnd"/>
      <w:r w:rsidRPr="00AA2546">
        <w:rPr>
          <w:rFonts w:ascii="Verdana" w:hAnsi="Verdana" w:cs="Calibri"/>
          <w:sz w:val="16"/>
          <w:szCs w:val="16"/>
        </w:rPr>
        <w:t>.”, se entenderá que se refiere al párrafo o a los párrafos de la Resolución de la que se discrepa.</w:t>
      </w:r>
    </w:p>
    <w:p w14:paraId="40FF8C9F" w14:textId="77777777" w:rsidR="00813091" w:rsidRPr="00AA2546" w:rsidRDefault="00813091" w:rsidP="00813091">
      <w:pPr>
        <w:pStyle w:val="Textonotapie"/>
        <w:ind w:left="-567" w:right="-567"/>
        <w:jc w:val="both"/>
        <w:rPr>
          <w:rFonts w:ascii="Verdana" w:hAnsi="Verdana"/>
          <w:sz w:val="16"/>
          <w:szCs w:val="16"/>
          <w:lang w:val="uz-Cyrl-UZ"/>
        </w:rPr>
      </w:pPr>
    </w:p>
  </w:footnote>
  <w:footnote w:id="15">
    <w:p w14:paraId="26C27C6A"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En adelante, la Resolución.</w:t>
      </w:r>
    </w:p>
    <w:p w14:paraId="0E2BC162" w14:textId="77777777" w:rsidR="00813091" w:rsidRPr="00AA2546" w:rsidRDefault="00813091" w:rsidP="00813091">
      <w:pPr>
        <w:pStyle w:val="Textonotapie"/>
        <w:ind w:left="-567" w:right="-567"/>
        <w:jc w:val="both"/>
        <w:rPr>
          <w:rFonts w:ascii="Verdana" w:hAnsi="Verdana"/>
          <w:sz w:val="16"/>
          <w:szCs w:val="16"/>
        </w:rPr>
      </w:pPr>
    </w:p>
  </w:footnote>
  <w:footnote w:id="16">
    <w:p w14:paraId="3FA67C08" w14:textId="77777777" w:rsidR="00813091" w:rsidRPr="00AF6707" w:rsidRDefault="00813091" w:rsidP="00813091">
      <w:pPr>
        <w:pStyle w:val="Prrafodelista"/>
        <w:suppressLineNumbers/>
        <w:spacing w:after="0" w:line="240" w:lineRule="auto"/>
        <w:ind w:left="-567"/>
        <w:jc w:val="both"/>
      </w:pPr>
      <w:r w:rsidRPr="00AA2546">
        <w:rPr>
          <w:rStyle w:val="Refdenotaalpie"/>
          <w:szCs w:val="16"/>
        </w:rPr>
        <w:footnoteRef/>
      </w:r>
      <w:r w:rsidRPr="00AA2546">
        <w:rPr>
          <w:rFonts w:ascii="Verdana" w:hAnsi="Verdana"/>
          <w:sz w:val="16"/>
          <w:szCs w:val="16"/>
        </w:rPr>
        <w:t xml:space="preserve"> </w:t>
      </w:r>
      <w:proofErr w:type="spellStart"/>
      <w:r w:rsidRPr="00AA2546">
        <w:rPr>
          <w:rFonts w:ascii="Verdana" w:hAnsi="Verdana"/>
          <w:sz w:val="16"/>
          <w:szCs w:val="16"/>
        </w:rPr>
        <w:t>Resolutivo</w:t>
      </w:r>
      <w:proofErr w:type="spellEnd"/>
      <w:r w:rsidRPr="00AA2546">
        <w:rPr>
          <w:rFonts w:ascii="Verdana" w:hAnsi="Verdana"/>
          <w:sz w:val="16"/>
          <w:szCs w:val="16"/>
        </w:rPr>
        <w:t xml:space="preserve"> N°1: “</w:t>
      </w:r>
      <w:proofErr w:type="spellStart"/>
      <w:r w:rsidRPr="00AA2546">
        <w:rPr>
          <w:rFonts w:ascii="Verdana" w:hAnsi="Verdana" w:cs="Calibri"/>
          <w:i/>
          <w:iCs/>
          <w:color w:val="000000"/>
          <w:sz w:val="16"/>
          <w:szCs w:val="16"/>
        </w:rPr>
        <w:t>Ratificar</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en</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todos</w:t>
      </w:r>
      <w:proofErr w:type="spellEnd"/>
      <w:r w:rsidRPr="00AA2546">
        <w:rPr>
          <w:rFonts w:ascii="Verdana" w:hAnsi="Verdana" w:cs="Calibri"/>
          <w:i/>
          <w:iCs/>
          <w:color w:val="000000"/>
          <w:sz w:val="16"/>
          <w:szCs w:val="16"/>
        </w:rPr>
        <w:t xml:space="preserve"> sus </w:t>
      </w:r>
      <w:proofErr w:type="spellStart"/>
      <w:r w:rsidRPr="00AA2546">
        <w:rPr>
          <w:rFonts w:ascii="Verdana" w:hAnsi="Verdana" w:cs="Calibri"/>
          <w:i/>
          <w:iCs/>
          <w:color w:val="000000"/>
          <w:sz w:val="16"/>
          <w:szCs w:val="16"/>
        </w:rPr>
        <w:t>términos</w:t>
      </w:r>
      <w:proofErr w:type="spellEnd"/>
      <w:r w:rsidRPr="00AA2546">
        <w:rPr>
          <w:rFonts w:ascii="Verdana" w:hAnsi="Verdana" w:cs="Calibri"/>
          <w:i/>
          <w:iCs/>
          <w:color w:val="000000"/>
          <w:sz w:val="16"/>
          <w:szCs w:val="16"/>
        </w:rPr>
        <w:t xml:space="preserve"> la </w:t>
      </w:r>
      <w:proofErr w:type="spellStart"/>
      <w:r w:rsidRPr="00AA2546">
        <w:rPr>
          <w:rFonts w:ascii="Verdana" w:hAnsi="Verdana" w:cs="Calibri"/>
          <w:i/>
          <w:iCs/>
          <w:color w:val="000000"/>
          <w:sz w:val="16"/>
          <w:szCs w:val="16"/>
        </w:rPr>
        <w:t>Resolución</w:t>
      </w:r>
      <w:proofErr w:type="spellEnd"/>
      <w:r w:rsidRPr="00AA2546">
        <w:rPr>
          <w:rFonts w:ascii="Verdana" w:hAnsi="Verdana" w:cs="Calibri"/>
          <w:i/>
          <w:iCs/>
          <w:color w:val="000000"/>
          <w:sz w:val="16"/>
          <w:szCs w:val="16"/>
        </w:rPr>
        <w:t xml:space="preserve"> de la </w:t>
      </w:r>
      <w:proofErr w:type="spellStart"/>
      <w:r w:rsidRPr="00AA2546">
        <w:rPr>
          <w:rFonts w:ascii="Verdana" w:hAnsi="Verdana" w:cs="Calibri"/>
          <w:i/>
          <w:iCs/>
          <w:color w:val="000000"/>
          <w:sz w:val="16"/>
          <w:szCs w:val="16"/>
        </w:rPr>
        <w:t>Presidenta</w:t>
      </w:r>
      <w:proofErr w:type="spellEnd"/>
      <w:r w:rsidRPr="00AA2546">
        <w:rPr>
          <w:rFonts w:ascii="Verdana" w:hAnsi="Verdana" w:cs="Calibri"/>
          <w:i/>
          <w:iCs/>
          <w:color w:val="000000"/>
          <w:sz w:val="16"/>
          <w:szCs w:val="16"/>
        </w:rPr>
        <w:t xml:space="preserve"> de </w:t>
      </w:r>
      <w:proofErr w:type="spellStart"/>
      <w:r w:rsidRPr="00AA2546">
        <w:rPr>
          <w:rFonts w:ascii="Verdana" w:hAnsi="Verdana" w:cs="Calibri"/>
          <w:i/>
          <w:iCs/>
          <w:color w:val="000000"/>
          <w:sz w:val="16"/>
          <w:szCs w:val="16"/>
        </w:rPr>
        <w:t>Medidas</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Urgentes</w:t>
      </w:r>
      <w:proofErr w:type="spellEnd"/>
      <w:r w:rsidRPr="00AA2546">
        <w:rPr>
          <w:rFonts w:ascii="Verdana" w:hAnsi="Verdana" w:cs="Calibri"/>
          <w:i/>
          <w:iCs/>
          <w:color w:val="000000"/>
          <w:sz w:val="16"/>
          <w:szCs w:val="16"/>
        </w:rPr>
        <w:t xml:space="preserve"> de 6 de </w:t>
      </w:r>
      <w:proofErr w:type="spellStart"/>
      <w:r w:rsidRPr="00AA2546">
        <w:rPr>
          <w:rFonts w:ascii="Verdana" w:hAnsi="Verdana" w:cs="Calibri"/>
          <w:i/>
          <w:iCs/>
          <w:color w:val="000000"/>
          <w:sz w:val="16"/>
          <w:szCs w:val="16"/>
        </w:rPr>
        <w:t>agosto</w:t>
      </w:r>
      <w:proofErr w:type="spellEnd"/>
      <w:r w:rsidRPr="00AA2546">
        <w:rPr>
          <w:rFonts w:ascii="Verdana" w:hAnsi="Verdana" w:cs="Calibri"/>
          <w:i/>
          <w:iCs/>
          <w:color w:val="000000"/>
          <w:sz w:val="16"/>
          <w:szCs w:val="16"/>
        </w:rPr>
        <w:t xml:space="preserve"> de 2020 </w:t>
      </w:r>
      <w:proofErr w:type="spellStart"/>
      <w:r w:rsidRPr="00AA2546">
        <w:rPr>
          <w:rFonts w:ascii="Verdana" w:hAnsi="Verdana" w:cs="Calibri"/>
          <w:i/>
          <w:iCs/>
          <w:color w:val="000000"/>
          <w:sz w:val="16"/>
          <w:szCs w:val="16"/>
        </w:rPr>
        <w:t>mediante</w:t>
      </w:r>
      <w:proofErr w:type="spellEnd"/>
      <w:r w:rsidRPr="00AA2546">
        <w:rPr>
          <w:rFonts w:ascii="Verdana" w:hAnsi="Verdana" w:cs="Calibri"/>
          <w:i/>
          <w:iCs/>
          <w:color w:val="000000"/>
          <w:sz w:val="16"/>
          <w:szCs w:val="16"/>
        </w:rPr>
        <w:t xml:space="preserve"> la </w:t>
      </w:r>
      <w:proofErr w:type="spellStart"/>
      <w:r w:rsidRPr="00AA2546">
        <w:rPr>
          <w:rFonts w:ascii="Verdana" w:hAnsi="Verdana" w:cs="Calibri"/>
          <w:i/>
          <w:iCs/>
          <w:color w:val="000000"/>
          <w:sz w:val="16"/>
          <w:szCs w:val="16"/>
        </w:rPr>
        <w:t>cual</w:t>
      </w:r>
      <w:proofErr w:type="spellEnd"/>
      <w:r w:rsidRPr="00AA2546">
        <w:rPr>
          <w:rFonts w:ascii="Verdana" w:hAnsi="Verdana" w:cs="Calibri"/>
          <w:i/>
          <w:iCs/>
          <w:color w:val="000000"/>
          <w:sz w:val="16"/>
          <w:szCs w:val="16"/>
        </w:rPr>
        <w:t xml:space="preserve"> se </w:t>
      </w:r>
      <w:proofErr w:type="spellStart"/>
      <w:r w:rsidRPr="00AA2546">
        <w:rPr>
          <w:rFonts w:ascii="Verdana" w:hAnsi="Verdana" w:cs="Calibri"/>
          <w:i/>
          <w:iCs/>
          <w:color w:val="000000"/>
          <w:sz w:val="16"/>
          <w:szCs w:val="16"/>
        </w:rPr>
        <w:t>ordenó</w:t>
      </w:r>
      <w:proofErr w:type="spellEnd"/>
      <w:r w:rsidRPr="00AA2546">
        <w:rPr>
          <w:rFonts w:ascii="Verdana" w:hAnsi="Verdana" w:cs="Calibri"/>
          <w:i/>
          <w:iCs/>
          <w:color w:val="000000"/>
          <w:sz w:val="16"/>
          <w:szCs w:val="16"/>
        </w:rPr>
        <w:t xml:space="preserve"> la </w:t>
      </w:r>
      <w:proofErr w:type="spellStart"/>
      <w:r w:rsidRPr="00AA2546">
        <w:rPr>
          <w:rFonts w:ascii="Verdana" w:hAnsi="Verdana" w:cs="Calibri"/>
          <w:i/>
          <w:iCs/>
          <w:color w:val="000000"/>
          <w:sz w:val="16"/>
          <w:szCs w:val="16"/>
        </w:rPr>
        <w:t>adopción</w:t>
      </w:r>
      <w:proofErr w:type="spellEnd"/>
      <w:r w:rsidRPr="00AA2546">
        <w:rPr>
          <w:rFonts w:ascii="Verdana" w:hAnsi="Verdana" w:cs="Calibri"/>
          <w:i/>
          <w:iCs/>
          <w:color w:val="000000"/>
          <w:sz w:val="16"/>
          <w:szCs w:val="16"/>
        </w:rPr>
        <w:t xml:space="preserve"> de </w:t>
      </w:r>
      <w:proofErr w:type="spellStart"/>
      <w:r w:rsidRPr="00AA2546">
        <w:rPr>
          <w:rFonts w:ascii="Verdana" w:hAnsi="Verdana" w:cs="Calibri"/>
          <w:i/>
          <w:iCs/>
          <w:color w:val="000000"/>
          <w:sz w:val="16"/>
          <w:szCs w:val="16"/>
        </w:rPr>
        <w:t>medidas</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urgentes</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en</w:t>
      </w:r>
      <w:proofErr w:type="spellEnd"/>
      <w:r w:rsidRPr="00AA2546">
        <w:rPr>
          <w:rFonts w:ascii="Verdana" w:hAnsi="Verdana" w:cs="Calibri"/>
          <w:i/>
          <w:iCs/>
          <w:color w:val="000000"/>
          <w:sz w:val="16"/>
          <w:szCs w:val="16"/>
        </w:rPr>
        <w:t xml:space="preserve"> el </w:t>
      </w:r>
      <w:proofErr w:type="spellStart"/>
      <w:r w:rsidRPr="00AA2546">
        <w:rPr>
          <w:rFonts w:ascii="Verdana" w:hAnsi="Verdana" w:cs="Calibri"/>
          <w:i/>
          <w:iCs/>
          <w:color w:val="000000"/>
          <w:sz w:val="16"/>
          <w:szCs w:val="16"/>
        </w:rPr>
        <w:t>presente</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caso</w:t>
      </w:r>
      <w:proofErr w:type="spellEnd"/>
      <w:r w:rsidRPr="00AA2546">
        <w:rPr>
          <w:rFonts w:ascii="Verdana" w:hAnsi="Verdana" w:cs="Calibri"/>
          <w:i/>
          <w:iCs/>
          <w:color w:val="000000"/>
          <w:sz w:val="16"/>
          <w:szCs w:val="16"/>
        </w:rPr>
        <w:t xml:space="preserve"> y, por </w:t>
      </w:r>
      <w:proofErr w:type="spellStart"/>
      <w:r w:rsidRPr="00AA2546">
        <w:rPr>
          <w:rFonts w:ascii="Verdana" w:hAnsi="Verdana" w:cs="Calibri"/>
          <w:i/>
          <w:iCs/>
          <w:color w:val="000000"/>
          <w:sz w:val="16"/>
          <w:szCs w:val="16"/>
        </w:rPr>
        <w:t>consiguiente</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requerir</w:t>
      </w:r>
      <w:proofErr w:type="spellEnd"/>
      <w:r w:rsidRPr="00AA2546">
        <w:rPr>
          <w:rFonts w:ascii="Verdana" w:hAnsi="Verdana" w:cs="Calibri"/>
          <w:i/>
          <w:iCs/>
          <w:color w:val="000000"/>
          <w:sz w:val="16"/>
          <w:szCs w:val="16"/>
        </w:rPr>
        <w:t xml:space="preserve"> al Estado de Honduras que </w:t>
      </w:r>
      <w:proofErr w:type="spellStart"/>
      <w:r w:rsidRPr="00AA2546">
        <w:rPr>
          <w:rFonts w:ascii="Verdana" w:hAnsi="Verdana" w:cs="Calibri"/>
          <w:i/>
          <w:iCs/>
          <w:color w:val="000000"/>
          <w:sz w:val="16"/>
          <w:szCs w:val="16"/>
        </w:rPr>
        <w:t>adopte</w:t>
      </w:r>
      <w:proofErr w:type="spellEnd"/>
      <w:r w:rsidRPr="00AA2546">
        <w:rPr>
          <w:rFonts w:ascii="Verdana" w:hAnsi="Verdana" w:cs="Calibri"/>
          <w:i/>
          <w:iCs/>
          <w:color w:val="000000"/>
          <w:sz w:val="16"/>
          <w:szCs w:val="16"/>
        </w:rPr>
        <w:t xml:space="preserve"> las </w:t>
      </w:r>
      <w:proofErr w:type="spellStart"/>
      <w:r w:rsidRPr="00AA2546">
        <w:rPr>
          <w:rFonts w:ascii="Verdana" w:hAnsi="Verdana" w:cs="Calibri"/>
          <w:i/>
          <w:iCs/>
          <w:color w:val="000000"/>
          <w:sz w:val="16"/>
          <w:szCs w:val="16"/>
        </w:rPr>
        <w:t>medidas</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necesarias</w:t>
      </w:r>
      <w:proofErr w:type="spellEnd"/>
      <w:r w:rsidRPr="00AA2546">
        <w:rPr>
          <w:rFonts w:ascii="Verdana" w:hAnsi="Verdana" w:cs="Calibri"/>
          <w:i/>
          <w:iCs/>
          <w:color w:val="000000"/>
          <w:sz w:val="16"/>
          <w:szCs w:val="16"/>
        </w:rPr>
        <w:t xml:space="preserve"> y </w:t>
      </w:r>
      <w:proofErr w:type="spellStart"/>
      <w:r w:rsidRPr="00AA2546">
        <w:rPr>
          <w:rFonts w:ascii="Verdana" w:hAnsi="Verdana" w:cs="Calibri"/>
          <w:i/>
          <w:iCs/>
          <w:color w:val="000000"/>
          <w:sz w:val="16"/>
          <w:szCs w:val="16"/>
        </w:rPr>
        <w:t>adecuadas</w:t>
      </w:r>
      <w:proofErr w:type="spellEnd"/>
      <w:r w:rsidRPr="00AA2546">
        <w:rPr>
          <w:rFonts w:ascii="Verdana" w:hAnsi="Verdana" w:cs="Calibri"/>
          <w:i/>
          <w:iCs/>
          <w:color w:val="000000"/>
          <w:sz w:val="16"/>
          <w:szCs w:val="16"/>
        </w:rPr>
        <w:t xml:space="preserve"> para </w:t>
      </w:r>
      <w:proofErr w:type="spellStart"/>
      <w:r w:rsidRPr="00AA2546">
        <w:rPr>
          <w:rFonts w:ascii="Verdana" w:hAnsi="Verdana" w:cs="Calibri"/>
          <w:i/>
          <w:iCs/>
          <w:color w:val="000000"/>
          <w:sz w:val="16"/>
          <w:szCs w:val="16"/>
        </w:rPr>
        <w:t>determinar</w:t>
      </w:r>
      <w:proofErr w:type="spellEnd"/>
      <w:r w:rsidRPr="00AA2546">
        <w:rPr>
          <w:rFonts w:ascii="Verdana" w:hAnsi="Verdana" w:cs="Calibri"/>
          <w:i/>
          <w:iCs/>
          <w:color w:val="000000"/>
          <w:sz w:val="16"/>
          <w:szCs w:val="16"/>
        </w:rPr>
        <w:t xml:space="preserve"> el </w:t>
      </w:r>
      <w:proofErr w:type="spellStart"/>
      <w:r w:rsidRPr="00AA2546">
        <w:rPr>
          <w:rFonts w:ascii="Verdana" w:hAnsi="Verdana" w:cs="Calibri"/>
          <w:i/>
          <w:iCs/>
          <w:color w:val="000000"/>
          <w:sz w:val="16"/>
          <w:szCs w:val="16"/>
        </w:rPr>
        <w:t>paradero</w:t>
      </w:r>
      <w:proofErr w:type="spellEnd"/>
      <w:r w:rsidRPr="00AA2546">
        <w:rPr>
          <w:rFonts w:ascii="Verdana" w:hAnsi="Verdana" w:cs="Calibri"/>
          <w:i/>
          <w:iCs/>
          <w:color w:val="000000"/>
          <w:sz w:val="16"/>
          <w:szCs w:val="16"/>
        </w:rPr>
        <w:t xml:space="preserve"> de Milton Joel Martínez Álvarez, </w:t>
      </w:r>
      <w:proofErr w:type="spellStart"/>
      <w:r w:rsidRPr="00AA2546">
        <w:rPr>
          <w:rFonts w:ascii="Verdana" w:hAnsi="Verdana" w:cs="Calibri"/>
          <w:i/>
          <w:iCs/>
          <w:color w:val="000000"/>
          <w:sz w:val="16"/>
          <w:szCs w:val="16"/>
        </w:rPr>
        <w:t>Suami</w:t>
      </w:r>
      <w:proofErr w:type="spellEnd"/>
      <w:r w:rsidRPr="00AA2546">
        <w:rPr>
          <w:rFonts w:ascii="Verdana" w:hAnsi="Verdana" w:cs="Calibri"/>
          <w:i/>
          <w:iCs/>
          <w:color w:val="000000"/>
          <w:sz w:val="16"/>
          <w:szCs w:val="16"/>
        </w:rPr>
        <w:t xml:space="preserve"> Aparicio </w:t>
      </w:r>
      <w:proofErr w:type="spellStart"/>
      <w:r w:rsidRPr="00AA2546">
        <w:rPr>
          <w:rFonts w:ascii="Verdana" w:hAnsi="Verdana" w:cs="Calibri"/>
          <w:i/>
          <w:iCs/>
          <w:color w:val="000000"/>
          <w:sz w:val="16"/>
          <w:szCs w:val="16"/>
        </w:rPr>
        <w:t>Mejía</w:t>
      </w:r>
      <w:proofErr w:type="spellEnd"/>
      <w:r w:rsidRPr="00AA2546">
        <w:rPr>
          <w:rFonts w:ascii="Verdana" w:hAnsi="Verdana" w:cs="Calibri"/>
          <w:i/>
          <w:iCs/>
          <w:color w:val="000000"/>
          <w:sz w:val="16"/>
          <w:szCs w:val="16"/>
        </w:rPr>
        <w:t xml:space="preserve"> García, Gerardo Misael </w:t>
      </w:r>
      <w:proofErr w:type="spellStart"/>
      <w:r w:rsidRPr="00AA2546">
        <w:rPr>
          <w:rFonts w:ascii="Verdana" w:hAnsi="Verdana" w:cs="Calibri"/>
          <w:i/>
          <w:iCs/>
          <w:color w:val="000000"/>
          <w:sz w:val="16"/>
          <w:szCs w:val="16"/>
        </w:rPr>
        <w:t>Trochez</w:t>
      </w:r>
      <w:proofErr w:type="spellEnd"/>
      <w:r w:rsidRPr="00AA2546">
        <w:rPr>
          <w:rFonts w:ascii="Verdana" w:hAnsi="Verdana" w:cs="Calibri"/>
          <w:i/>
          <w:iCs/>
          <w:color w:val="000000"/>
          <w:sz w:val="16"/>
          <w:szCs w:val="16"/>
        </w:rPr>
        <w:t xml:space="preserve"> Calix y Albert </w:t>
      </w:r>
      <w:proofErr w:type="spellStart"/>
      <w:r w:rsidRPr="00AA2546">
        <w:rPr>
          <w:rFonts w:ascii="Verdana" w:hAnsi="Verdana" w:cs="Calibri"/>
          <w:i/>
          <w:iCs/>
          <w:color w:val="000000"/>
          <w:sz w:val="16"/>
          <w:szCs w:val="16"/>
        </w:rPr>
        <w:t>Snaider</w:t>
      </w:r>
      <w:proofErr w:type="spellEnd"/>
      <w:r w:rsidRPr="00AA2546">
        <w:rPr>
          <w:rFonts w:ascii="Verdana" w:hAnsi="Verdana" w:cs="Calibri"/>
          <w:i/>
          <w:iCs/>
          <w:color w:val="000000"/>
          <w:sz w:val="16"/>
          <w:szCs w:val="16"/>
        </w:rPr>
        <w:t xml:space="preserve"> Centeno Thomas que se </w:t>
      </w:r>
      <w:proofErr w:type="spellStart"/>
      <w:r w:rsidRPr="00AA2546">
        <w:rPr>
          <w:rFonts w:ascii="Verdana" w:hAnsi="Verdana" w:cs="Calibri"/>
          <w:i/>
          <w:iCs/>
          <w:color w:val="000000"/>
          <w:sz w:val="16"/>
          <w:szCs w:val="16"/>
        </w:rPr>
        <w:t>encuentran</w:t>
      </w:r>
      <w:proofErr w:type="spellEnd"/>
      <w:r w:rsidRPr="00AA2546">
        <w:rPr>
          <w:rFonts w:ascii="Verdana" w:hAnsi="Verdana" w:cs="Calibri"/>
          <w:i/>
          <w:iCs/>
          <w:color w:val="000000"/>
          <w:sz w:val="16"/>
          <w:szCs w:val="16"/>
        </w:rPr>
        <w:t xml:space="preserve"> desaparecidos </w:t>
      </w:r>
      <w:proofErr w:type="spellStart"/>
      <w:r w:rsidRPr="00AA2546">
        <w:rPr>
          <w:rFonts w:ascii="Verdana" w:hAnsi="Verdana" w:cs="Calibri"/>
          <w:i/>
          <w:iCs/>
          <w:color w:val="000000"/>
          <w:sz w:val="16"/>
          <w:szCs w:val="16"/>
        </w:rPr>
        <w:t>desde</w:t>
      </w:r>
      <w:proofErr w:type="spellEnd"/>
      <w:r w:rsidRPr="00AA2546">
        <w:rPr>
          <w:rFonts w:ascii="Verdana" w:hAnsi="Verdana" w:cs="Calibri"/>
          <w:i/>
          <w:iCs/>
          <w:color w:val="000000"/>
          <w:sz w:val="16"/>
          <w:szCs w:val="16"/>
        </w:rPr>
        <w:t xml:space="preserve"> el 18 de </w:t>
      </w:r>
      <w:proofErr w:type="spellStart"/>
      <w:r w:rsidRPr="00AA2546">
        <w:rPr>
          <w:rFonts w:ascii="Verdana" w:hAnsi="Verdana" w:cs="Calibri"/>
          <w:i/>
          <w:iCs/>
          <w:color w:val="000000"/>
          <w:sz w:val="16"/>
          <w:szCs w:val="16"/>
        </w:rPr>
        <w:t>julio</w:t>
      </w:r>
      <w:proofErr w:type="spellEnd"/>
      <w:r w:rsidRPr="00AA2546">
        <w:rPr>
          <w:rFonts w:ascii="Verdana" w:hAnsi="Verdana" w:cs="Calibri"/>
          <w:i/>
          <w:iCs/>
          <w:color w:val="000000"/>
          <w:sz w:val="16"/>
          <w:szCs w:val="16"/>
        </w:rPr>
        <w:t xml:space="preserve"> de 2020, de </w:t>
      </w:r>
      <w:proofErr w:type="spellStart"/>
      <w:r w:rsidRPr="00AA2546">
        <w:rPr>
          <w:rFonts w:ascii="Verdana" w:hAnsi="Verdana" w:cs="Calibri"/>
          <w:i/>
          <w:iCs/>
          <w:color w:val="000000"/>
          <w:sz w:val="16"/>
          <w:szCs w:val="16"/>
        </w:rPr>
        <w:t>conformidad</w:t>
      </w:r>
      <w:proofErr w:type="spellEnd"/>
      <w:r w:rsidRPr="00AA2546">
        <w:rPr>
          <w:rFonts w:ascii="Verdana" w:hAnsi="Verdana" w:cs="Calibri"/>
          <w:i/>
          <w:iCs/>
          <w:color w:val="000000"/>
          <w:sz w:val="16"/>
          <w:szCs w:val="16"/>
        </w:rPr>
        <w:t xml:space="preserve"> con lo </w:t>
      </w:r>
      <w:proofErr w:type="spellStart"/>
      <w:r w:rsidRPr="00AA2546">
        <w:rPr>
          <w:rFonts w:ascii="Verdana" w:hAnsi="Verdana" w:cs="Calibri"/>
          <w:i/>
          <w:iCs/>
          <w:color w:val="000000"/>
          <w:sz w:val="16"/>
          <w:szCs w:val="16"/>
        </w:rPr>
        <w:t>dispuesto</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en</w:t>
      </w:r>
      <w:proofErr w:type="spellEnd"/>
      <w:r w:rsidRPr="00AA2546">
        <w:rPr>
          <w:rFonts w:ascii="Verdana" w:hAnsi="Verdana" w:cs="Calibri"/>
          <w:i/>
          <w:iCs/>
          <w:color w:val="000000"/>
          <w:sz w:val="16"/>
          <w:szCs w:val="16"/>
        </w:rPr>
        <w:t xml:space="preserve"> los </w:t>
      </w:r>
      <w:proofErr w:type="spellStart"/>
      <w:r w:rsidRPr="00AA2546">
        <w:rPr>
          <w:rFonts w:ascii="Verdana" w:hAnsi="Verdana" w:cs="Calibri"/>
          <w:i/>
          <w:iCs/>
          <w:color w:val="000000"/>
          <w:sz w:val="16"/>
          <w:szCs w:val="16"/>
        </w:rPr>
        <w:t>Considerando</w:t>
      </w:r>
      <w:proofErr w:type="spellEnd"/>
      <w:r w:rsidRPr="00AA2546">
        <w:rPr>
          <w:rFonts w:ascii="Verdana" w:hAnsi="Verdana" w:cs="Calibri"/>
          <w:i/>
          <w:iCs/>
          <w:color w:val="000000"/>
          <w:sz w:val="16"/>
          <w:szCs w:val="16"/>
        </w:rPr>
        <w:t xml:space="preserve"> 25 a 29 de la </w:t>
      </w:r>
      <w:proofErr w:type="spellStart"/>
      <w:r w:rsidRPr="00AA2546">
        <w:rPr>
          <w:rFonts w:ascii="Verdana" w:hAnsi="Verdana" w:cs="Calibri"/>
          <w:i/>
          <w:iCs/>
          <w:color w:val="000000"/>
          <w:sz w:val="16"/>
          <w:szCs w:val="16"/>
        </w:rPr>
        <w:t>Presente</w:t>
      </w:r>
      <w:proofErr w:type="spellEnd"/>
      <w:r w:rsidRPr="00AA2546">
        <w:rPr>
          <w:rFonts w:ascii="Verdana" w:hAnsi="Verdana" w:cs="Calibri"/>
          <w:i/>
          <w:iCs/>
          <w:color w:val="000000"/>
          <w:sz w:val="16"/>
          <w:szCs w:val="16"/>
        </w:rPr>
        <w:t xml:space="preserve"> </w:t>
      </w:r>
      <w:proofErr w:type="spellStart"/>
      <w:r w:rsidRPr="00AA2546">
        <w:rPr>
          <w:rFonts w:ascii="Verdana" w:hAnsi="Verdana" w:cs="Calibri"/>
          <w:i/>
          <w:iCs/>
          <w:color w:val="000000"/>
          <w:sz w:val="16"/>
          <w:szCs w:val="16"/>
        </w:rPr>
        <w:t>Resolución</w:t>
      </w:r>
      <w:proofErr w:type="spellEnd"/>
      <w:r w:rsidRPr="00AA2546">
        <w:rPr>
          <w:rFonts w:ascii="Verdana" w:hAnsi="Verdana" w:cs="Calibri"/>
          <w:i/>
          <w:iCs/>
          <w:color w:val="000000"/>
          <w:sz w:val="16"/>
          <w:szCs w:val="16"/>
        </w:rPr>
        <w:t>.</w:t>
      </w:r>
      <w:r w:rsidRPr="00B72E1D">
        <w:t>”.</w:t>
      </w:r>
    </w:p>
    <w:p w14:paraId="70F117EB" w14:textId="77777777" w:rsidR="00813091" w:rsidRPr="00AA2546" w:rsidRDefault="00813091" w:rsidP="00813091">
      <w:pPr>
        <w:pStyle w:val="Prrafodelista"/>
        <w:spacing w:after="0" w:line="240" w:lineRule="auto"/>
        <w:ind w:left="-567"/>
        <w:jc w:val="both"/>
        <w:rPr>
          <w:rFonts w:ascii="Verdana" w:hAnsi="Verdana"/>
          <w:i/>
          <w:iCs/>
          <w:sz w:val="16"/>
          <w:szCs w:val="16"/>
          <w:lang w:val="es-CO"/>
        </w:rPr>
      </w:pPr>
    </w:p>
  </w:footnote>
  <w:footnote w:id="17">
    <w:p w14:paraId="6C2F8A7B"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w:t>
      </w:r>
      <w:bookmarkStart w:id="2" w:name="_Hlk47013784"/>
      <w:r w:rsidRPr="00AA2546">
        <w:rPr>
          <w:rFonts w:ascii="Verdana" w:hAnsi="Verdana"/>
          <w:sz w:val="16"/>
          <w:szCs w:val="16"/>
        </w:rPr>
        <w:t xml:space="preserve">En adelante, la </w:t>
      </w:r>
      <w:bookmarkEnd w:id="2"/>
      <w:r w:rsidRPr="00AA2546">
        <w:rPr>
          <w:rFonts w:ascii="Verdana" w:hAnsi="Verdana"/>
          <w:sz w:val="16"/>
          <w:szCs w:val="16"/>
        </w:rPr>
        <w:t>Corte.</w:t>
      </w:r>
    </w:p>
    <w:p w14:paraId="76E0711D" w14:textId="77777777" w:rsidR="00813091" w:rsidRPr="00AA2546" w:rsidRDefault="00813091" w:rsidP="00813091">
      <w:pPr>
        <w:pStyle w:val="Textonotapie"/>
        <w:ind w:left="-567" w:right="-567"/>
        <w:jc w:val="both"/>
        <w:rPr>
          <w:rFonts w:ascii="Verdana" w:hAnsi="Verdana"/>
          <w:sz w:val="16"/>
          <w:szCs w:val="16"/>
          <w:lang w:val="uz-Cyrl-UZ"/>
        </w:rPr>
      </w:pPr>
    </w:p>
  </w:footnote>
  <w:footnote w:id="18">
    <w:p w14:paraId="1B605D0C" w14:textId="77777777" w:rsidR="00813091" w:rsidRPr="00AA2546" w:rsidRDefault="00813091" w:rsidP="00813091">
      <w:pPr>
        <w:ind w:left="-567" w:right="-567"/>
        <w:jc w:val="both"/>
        <w:rPr>
          <w:rFonts w:ascii="Verdana" w:hAnsi="Verdana"/>
          <w:sz w:val="16"/>
          <w:szCs w:val="16"/>
          <w:lang w:val="es-CO"/>
        </w:rPr>
      </w:pPr>
      <w:r w:rsidRPr="00AA2546">
        <w:rPr>
          <w:rStyle w:val="Refdenotaalpie"/>
          <w:szCs w:val="16"/>
        </w:rPr>
        <w:footnoteRef/>
      </w:r>
      <w:r w:rsidRPr="00AA2546">
        <w:rPr>
          <w:rFonts w:ascii="Verdana" w:hAnsi="Verdana"/>
          <w:sz w:val="16"/>
          <w:szCs w:val="16"/>
        </w:rPr>
        <w:t xml:space="preserve"> En adelante, la Resolución de la </w:t>
      </w:r>
      <w:proofErr w:type="gramStart"/>
      <w:r w:rsidRPr="00AA2546">
        <w:rPr>
          <w:rFonts w:ascii="Verdana" w:hAnsi="Verdana"/>
          <w:sz w:val="16"/>
          <w:szCs w:val="16"/>
        </w:rPr>
        <w:t>Presidenta</w:t>
      </w:r>
      <w:proofErr w:type="gramEnd"/>
      <w:r w:rsidRPr="00AA2546">
        <w:rPr>
          <w:rFonts w:ascii="Verdana" w:hAnsi="Verdana"/>
          <w:sz w:val="16"/>
          <w:szCs w:val="16"/>
        </w:rPr>
        <w:t>.</w:t>
      </w:r>
    </w:p>
    <w:p w14:paraId="5ADE6468" w14:textId="77777777" w:rsidR="00813091" w:rsidRPr="00AA2546" w:rsidRDefault="00813091" w:rsidP="00813091">
      <w:pPr>
        <w:jc w:val="both"/>
        <w:rPr>
          <w:rFonts w:ascii="Verdana" w:hAnsi="Verdana"/>
          <w:sz w:val="16"/>
          <w:szCs w:val="16"/>
          <w:lang w:val="es-CO"/>
        </w:rPr>
      </w:pPr>
    </w:p>
  </w:footnote>
  <w:footnote w:id="19">
    <w:p w14:paraId="20BEDBD3" w14:textId="77777777" w:rsidR="00813091" w:rsidRPr="00AA2546" w:rsidRDefault="00813091" w:rsidP="00813091">
      <w:pPr>
        <w:pStyle w:val="Textonotapie"/>
        <w:ind w:left="-567" w:right="-567"/>
        <w:jc w:val="both"/>
        <w:rPr>
          <w:rFonts w:ascii="Verdana" w:eastAsiaTheme="minorEastAsia" w:hAnsi="Verdana"/>
          <w:sz w:val="16"/>
          <w:szCs w:val="16"/>
          <w:lang w:val="es-MX"/>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CR"/>
        </w:rPr>
        <w:t>Votos individuales del Juez Eduardo Vio Grossi respecto de Resoluciones sobre medidas provisionales: Disidente, Caso</w:t>
      </w:r>
      <w:r w:rsidRPr="00AA2546">
        <w:rPr>
          <w:rFonts w:ascii="Verdana" w:hAnsi="Verdana" w:cs="Arial"/>
          <w:color w:val="494848"/>
          <w:sz w:val="16"/>
          <w:szCs w:val="16"/>
          <w:shd w:val="clear" w:color="auto" w:fill="FFFFFF"/>
        </w:rPr>
        <w:t xml:space="preserve"> </w:t>
      </w:r>
      <w:r w:rsidRPr="00AF6707">
        <w:rPr>
          <w:rFonts w:ascii="Verdana" w:hAnsi="Verdana"/>
          <w:color w:val="000000" w:themeColor="text1"/>
          <w:sz w:val="16"/>
          <w:shd w:val="clear" w:color="auto" w:fill="FFFFFF"/>
        </w:rPr>
        <w:t>Vélez Loor Vs. Panamá</w:t>
      </w:r>
      <w:r w:rsidRPr="00AA2546">
        <w:rPr>
          <w:rFonts w:ascii="Verdana" w:hAnsi="Verdana"/>
          <w:sz w:val="16"/>
          <w:szCs w:val="16"/>
          <w:lang w:val="es-CR"/>
        </w:rPr>
        <w:t xml:space="preserve">, 29 de julio de 2020; Disidente, Caso Disidente, Caso Mack Chang y otros Vs. Guatemala, 24 de junio de 2020; </w:t>
      </w:r>
      <w:r w:rsidRPr="00AA2546">
        <w:rPr>
          <w:rFonts w:ascii="Verdana" w:hAnsi="Verdana"/>
          <w:sz w:val="16"/>
          <w:szCs w:val="16"/>
        </w:rPr>
        <w:t>Concurrente, Caso Fernández Ortega y otros Vs. México, de 10 de junio de 2020; Disidente, Caso 19 Comerciantes Vs. Colombia, de 1 de junio de 2020;</w:t>
      </w:r>
      <w:r w:rsidRPr="00AA2546">
        <w:rPr>
          <w:rFonts w:ascii="Verdana" w:hAnsi="Verdana"/>
          <w:sz w:val="16"/>
          <w:szCs w:val="16"/>
          <w:lang w:val="es-CR"/>
        </w:rPr>
        <w:t xml:space="preserve"> Disidente, </w:t>
      </w:r>
      <w:r w:rsidRPr="00AA2546">
        <w:rPr>
          <w:rFonts w:ascii="Verdana" w:hAnsi="Verdana"/>
          <w:iCs/>
          <w:sz w:val="16"/>
          <w:szCs w:val="16"/>
          <w:lang w:val="es-CR"/>
        </w:rPr>
        <w:t>Caso Masacres de El Mozote y Lugares Aledaños Vs. El Salvador</w:t>
      </w:r>
      <w:r w:rsidRPr="00AA2546">
        <w:rPr>
          <w:rFonts w:ascii="Verdana" w:hAnsi="Verdana"/>
          <w:sz w:val="16"/>
          <w:szCs w:val="16"/>
          <w:lang w:val="es-CR"/>
        </w:rPr>
        <w:t>, 3 de septiembre de 2019; Disidente, Caso Mack Chang y Otros Vs. Guatemala, 5 de marzo de 2019;</w:t>
      </w:r>
      <w:r w:rsidRPr="00AA2546">
        <w:rPr>
          <w:rFonts w:ascii="Verdana" w:hAnsi="Verdana"/>
          <w:sz w:val="16"/>
          <w:szCs w:val="16"/>
          <w:lang w:val="es-ES"/>
        </w:rPr>
        <w:t xml:space="preserve"> </w:t>
      </w:r>
      <w:r w:rsidRPr="00AA2546">
        <w:rPr>
          <w:rFonts w:ascii="Verdana" w:hAnsi="Verdana"/>
          <w:sz w:val="16"/>
          <w:szCs w:val="16"/>
          <w:lang w:val="es-CR"/>
        </w:rPr>
        <w:t xml:space="preserve">Parcialmente Disidente, Caso de los Miembros de la Aldea </w:t>
      </w:r>
      <w:proofErr w:type="spellStart"/>
      <w:r w:rsidRPr="00AA2546">
        <w:rPr>
          <w:rFonts w:ascii="Verdana" w:hAnsi="Verdana"/>
          <w:sz w:val="16"/>
          <w:szCs w:val="16"/>
          <w:lang w:val="es-CR"/>
        </w:rPr>
        <w:t>Chichupac</w:t>
      </w:r>
      <w:proofErr w:type="spellEnd"/>
      <w:r w:rsidRPr="00AA2546">
        <w:rPr>
          <w:rFonts w:ascii="Verdana" w:hAnsi="Verdana"/>
          <w:sz w:val="16"/>
          <w:szCs w:val="16"/>
          <w:lang w:val="es-CR"/>
        </w:rPr>
        <w:t xml:space="preserve"> y Comunidades del Municipio de Rabinal, Caso Molina </w:t>
      </w:r>
      <w:proofErr w:type="spellStart"/>
      <w:r w:rsidRPr="00AA2546">
        <w:rPr>
          <w:rFonts w:ascii="Verdana" w:hAnsi="Verdana"/>
          <w:sz w:val="16"/>
          <w:szCs w:val="16"/>
          <w:lang w:val="es-CR"/>
        </w:rPr>
        <w:t>Thiesen</w:t>
      </w:r>
      <w:proofErr w:type="spellEnd"/>
      <w:r w:rsidRPr="00AA2546">
        <w:rPr>
          <w:rFonts w:ascii="Verdana" w:hAnsi="Verdana"/>
          <w:sz w:val="16"/>
          <w:szCs w:val="16"/>
          <w:lang w:val="es-CR"/>
        </w:rPr>
        <w:t xml:space="preserve"> y Otros 12 Casos contra Guatemala, 12 de marzo, de 2019; Concurrente, Caso </w:t>
      </w:r>
      <w:proofErr w:type="spellStart"/>
      <w:r w:rsidRPr="00AA2546">
        <w:rPr>
          <w:rFonts w:ascii="Verdana" w:hAnsi="Verdana"/>
          <w:sz w:val="16"/>
          <w:szCs w:val="16"/>
          <w:lang w:val="es-CR"/>
        </w:rPr>
        <w:t>Bácama</w:t>
      </w:r>
      <w:proofErr w:type="spellEnd"/>
      <w:r w:rsidRPr="00AA2546">
        <w:rPr>
          <w:rFonts w:ascii="Verdana" w:hAnsi="Verdana"/>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7 de febrero de 2017; Concurrente, Caso </w:t>
      </w:r>
      <w:proofErr w:type="spellStart"/>
      <w:r w:rsidRPr="00AA2546">
        <w:rPr>
          <w:rFonts w:ascii="Verdana" w:hAnsi="Verdana"/>
          <w:sz w:val="16"/>
          <w:szCs w:val="16"/>
          <w:lang w:val="es-CR"/>
        </w:rPr>
        <w:t>Bácama</w:t>
      </w:r>
      <w:proofErr w:type="spellEnd"/>
      <w:r w:rsidRPr="00AA2546">
        <w:rPr>
          <w:rFonts w:ascii="Verdana" w:hAnsi="Verdana"/>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sidRPr="00AA2546">
        <w:rPr>
          <w:rFonts w:ascii="Verdana" w:hAnsi="Verdana"/>
          <w:sz w:val="16"/>
          <w:szCs w:val="16"/>
          <w:lang w:val="es-CR"/>
        </w:rPr>
        <w:t>Kawas</w:t>
      </w:r>
      <w:proofErr w:type="spellEnd"/>
      <w:r w:rsidRPr="00AA2546">
        <w:rPr>
          <w:rFonts w:ascii="Verdana" w:hAnsi="Verdana"/>
          <w:sz w:val="16"/>
          <w:szCs w:val="16"/>
          <w:lang w:val="es-CR"/>
        </w:rPr>
        <w:t xml:space="preserve"> Fernández Vs. Honduras, 23 de junio de 2015;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sidRPr="00AA2546">
        <w:rPr>
          <w:rFonts w:ascii="Verdana" w:hAnsi="Verdana"/>
          <w:sz w:val="16"/>
          <w:szCs w:val="16"/>
          <w:lang w:val="es-CR"/>
        </w:rPr>
        <w:t>Llaipén</w:t>
      </w:r>
      <w:proofErr w:type="spellEnd"/>
      <w:r w:rsidRPr="00AA2546">
        <w:rPr>
          <w:rFonts w:ascii="Verdana" w:hAnsi="Verdana"/>
          <w:sz w:val="16"/>
          <w:szCs w:val="16"/>
          <w:lang w:val="es-CR"/>
        </w:rPr>
        <w:t xml:space="preserve"> y Otros respecto de Argentina, 13 de febrero de 2013; </w:t>
      </w:r>
      <w:r w:rsidRPr="00AA2546">
        <w:rPr>
          <w:rFonts w:ascii="Verdana" w:hAnsi="Verdana"/>
          <w:sz w:val="16"/>
          <w:szCs w:val="16"/>
          <w:lang w:val="es-ES"/>
        </w:rPr>
        <w:t xml:space="preserve">Concurrente, Caso Familia Barrios Vs. Venezuela, 13 de febrero de 2013;Concurrente, Caso Pacheco Teruel y Otro Vs, Honduras, 13 de febrero de 2013; Concurrente, Caso 19 Comerciantes Vs. Colombia, 26 de junio de 2012; Concurrente, Caso Fernández Ortega y Otros Vs. México, 20 de febrero de 2012; Disidente, Asunto Millacura </w:t>
      </w:r>
      <w:proofErr w:type="spellStart"/>
      <w:r w:rsidRPr="00AA2546">
        <w:rPr>
          <w:rFonts w:ascii="Verdana" w:hAnsi="Verdana"/>
          <w:sz w:val="16"/>
          <w:szCs w:val="16"/>
          <w:lang w:val="es-ES"/>
        </w:rPr>
        <w:t>Llaipén</w:t>
      </w:r>
      <w:proofErr w:type="spellEnd"/>
      <w:r w:rsidRPr="00AA2546">
        <w:rPr>
          <w:rFonts w:ascii="Verdana" w:hAnsi="Verdana"/>
          <w:sz w:val="16"/>
          <w:szCs w:val="16"/>
          <w:lang w:val="es-ES"/>
        </w:rPr>
        <w:t xml:space="preserve"> respecto de Argentina, 25 de noviembre de 2011; Disidente, Caso </w:t>
      </w:r>
      <w:proofErr w:type="spellStart"/>
      <w:r w:rsidRPr="00AA2546">
        <w:rPr>
          <w:rFonts w:ascii="Verdana" w:hAnsi="Verdana"/>
          <w:sz w:val="16"/>
          <w:szCs w:val="16"/>
          <w:lang w:val="es-ES"/>
        </w:rPr>
        <w:t>Kawas</w:t>
      </w:r>
      <w:proofErr w:type="spellEnd"/>
      <w:r w:rsidRPr="00AA2546">
        <w:rPr>
          <w:rFonts w:ascii="Verdana" w:hAnsi="Verdana"/>
          <w:sz w:val="16"/>
          <w:szCs w:val="16"/>
          <w:lang w:val="es-ES"/>
        </w:rPr>
        <w:t xml:space="preserve"> Fernández Vs. Honduras, 5 de julio de 2011; Disidente, Caso Rosendo Cantú y Otra Vs. México, 1 de julio de 2011; Disidente, Caso Gutiérrez Soler Vs. Colombia, 30 de junio de 2011; y Concurrente, Asunto Wong Ho </w:t>
      </w:r>
      <w:proofErr w:type="spellStart"/>
      <w:r w:rsidRPr="00AA2546">
        <w:rPr>
          <w:rFonts w:ascii="Verdana" w:hAnsi="Verdana"/>
          <w:sz w:val="16"/>
          <w:szCs w:val="16"/>
          <w:lang w:val="es-ES"/>
        </w:rPr>
        <w:t>Wing</w:t>
      </w:r>
      <w:proofErr w:type="spellEnd"/>
      <w:r w:rsidRPr="00AA2546">
        <w:rPr>
          <w:rFonts w:ascii="Verdana" w:hAnsi="Verdana"/>
          <w:sz w:val="16"/>
          <w:szCs w:val="16"/>
          <w:lang w:val="es-ES"/>
        </w:rPr>
        <w:t xml:space="preserve"> respecto de Perú, 28 de mayo de 2010; y</w:t>
      </w:r>
      <w:r w:rsidRPr="00AA2546">
        <w:rPr>
          <w:rFonts w:ascii="Verdana" w:eastAsiaTheme="minorEastAsia" w:hAnsi="Verdana"/>
          <w:iCs/>
          <w:sz w:val="16"/>
          <w:szCs w:val="16"/>
          <w:lang w:val="es-MX"/>
        </w:rPr>
        <w:t xml:space="preserve"> Constancia de Queja</w:t>
      </w:r>
      <w:r w:rsidRPr="00AA2546">
        <w:rPr>
          <w:rFonts w:ascii="Verdana" w:eastAsiaTheme="minorEastAsia" w:hAnsi="Verdana"/>
          <w:sz w:val="16"/>
          <w:szCs w:val="16"/>
          <w:lang w:val="es-MX"/>
        </w:rPr>
        <w:t xml:space="preserve"> presentada ante la Corte el 17 de agosto de 2011.</w:t>
      </w:r>
    </w:p>
    <w:p w14:paraId="5503F2A9" w14:textId="77777777" w:rsidR="00813091" w:rsidRPr="00AA2546" w:rsidRDefault="00813091" w:rsidP="00813091">
      <w:pPr>
        <w:pStyle w:val="Textonotapie"/>
        <w:ind w:left="-567" w:right="-567"/>
        <w:jc w:val="both"/>
        <w:rPr>
          <w:rFonts w:ascii="Verdana" w:hAnsi="Verdana"/>
          <w:sz w:val="16"/>
          <w:szCs w:val="16"/>
          <w:lang w:val="es-419"/>
        </w:rPr>
      </w:pPr>
    </w:p>
  </w:footnote>
  <w:footnote w:id="20">
    <w:p w14:paraId="13812267" w14:textId="77777777" w:rsidR="00813091" w:rsidRDefault="00813091" w:rsidP="00813091">
      <w:pPr>
        <w:pStyle w:val="Textonotapie"/>
        <w:ind w:left="-567" w:right="-567"/>
        <w:jc w:val="both"/>
        <w:rPr>
          <w:rFonts w:ascii="Verdana" w:hAnsi="Verdana"/>
          <w:sz w:val="16"/>
          <w:szCs w:val="16"/>
          <w:lang w:val="es-419"/>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419"/>
        </w:rPr>
        <w:t>En adelante, el Estado.</w:t>
      </w:r>
    </w:p>
    <w:p w14:paraId="5C117733" w14:textId="77777777" w:rsidR="00813091" w:rsidRPr="00AA2546" w:rsidRDefault="00813091" w:rsidP="00813091">
      <w:pPr>
        <w:pStyle w:val="Textonotapie"/>
        <w:ind w:left="-567" w:right="-567"/>
        <w:jc w:val="both"/>
        <w:rPr>
          <w:rFonts w:ascii="Verdana" w:hAnsi="Verdana"/>
          <w:sz w:val="16"/>
          <w:szCs w:val="16"/>
          <w:lang w:val="es-419"/>
        </w:rPr>
      </w:pPr>
    </w:p>
  </w:footnote>
  <w:footnote w:id="21">
    <w:p w14:paraId="2516B8B2"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En adelante, la Comisión.</w:t>
      </w:r>
    </w:p>
    <w:p w14:paraId="73B83DFB" w14:textId="77777777" w:rsidR="00813091" w:rsidRPr="00AA2546" w:rsidRDefault="00813091" w:rsidP="00813091">
      <w:pPr>
        <w:pStyle w:val="Textonotapie"/>
        <w:ind w:left="-567" w:right="-567"/>
        <w:jc w:val="both"/>
        <w:rPr>
          <w:rFonts w:ascii="Verdana" w:hAnsi="Verdana"/>
          <w:sz w:val="16"/>
          <w:szCs w:val="16"/>
          <w:lang w:val="uz-Cyrl-UZ"/>
        </w:rPr>
      </w:pPr>
    </w:p>
  </w:footnote>
  <w:footnote w:id="22">
    <w:p w14:paraId="7E2EC4A9" w14:textId="77777777" w:rsidR="00813091" w:rsidRPr="00AA2546" w:rsidRDefault="00813091" w:rsidP="00813091">
      <w:pPr>
        <w:pStyle w:val="Textonotapie"/>
        <w:ind w:left="-567" w:right="-567"/>
        <w:jc w:val="both"/>
        <w:rPr>
          <w:rFonts w:ascii="Verdana" w:hAnsi="Verdana"/>
          <w:sz w:val="16"/>
          <w:szCs w:val="16"/>
          <w:lang w:val="es-ES"/>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ES"/>
        </w:rPr>
        <w:t>“</w:t>
      </w:r>
      <w:r w:rsidRPr="00AA2546">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AA2546">
        <w:rPr>
          <w:rFonts w:ascii="Verdana" w:hAnsi="Verdana"/>
          <w:sz w:val="16"/>
          <w:szCs w:val="16"/>
          <w:lang w:val="es-ES"/>
        </w:rPr>
        <w:t xml:space="preserve">”. Corte Permanente de Justicia Internacional, Opinión Consultiva sobre ciertos decretos de nacionalidad dictados en la zona francesa de Túnez y Marruecos, Serie B </w:t>
      </w:r>
      <w:proofErr w:type="spellStart"/>
      <w:r w:rsidRPr="00AA2546">
        <w:rPr>
          <w:rFonts w:ascii="Verdana" w:hAnsi="Verdana"/>
          <w:sz w:val="16"/>
          <w:szCs w:val="16"/>
          <w:lang w:val="es-ES"/>
        </w:rPr>
        <w:t>Nº</w:t>
      </w:r>
      <w:proofErr w:type="spellEnd"/>
      <w:r w:rsidRPr="00AA2546">
        <w:rPr>
          <w:rFonts w:ascii="Verdana" w:hAnsi="Verdana"/>
          <w:sz w:val="16"/>
          <w:szCs w:val="16"/>
          <w:lang w:val="es-ES"/>
        </w:rPr>
        <w:t xml:space="preserve"> 4, pág. 24.</w:t>
      </w:r>
    </w:p>
    <w:p w14:paraId="633B789C" w14:textId="77777777" w:rsidR="00813091" w:rsidRPr="00AA2546" w:rsidRDefault="00813091" w:rsidP="00813091">
      <w:pPr>
        <w:pStyle w:val="Textonotapie"/>
        <w:ind w:left="-567" w:right="-567"/>
        <w:jc w:val="both"/>
        <w:rPr>
          <w:rFonts w:ascii="Verdana" w:hAnsi="Verdana"/>
          <w:i/>
          <w:sz w:val="16"/>
          <w:szCs w:val="16"/>
          <w:lang w:val="fr-FR"/>
        </w:rPr>
      </w:pPr>
      <w:r w:rsidRPr="00AA2546">
        <w:rPr>
          <w:rFonts w:ascii="Verdana" w:hAnsi="Verdana"/>
          <w:sz w:val="16"/>
          <w:szCs w:val="16"/>
          <w:lang w:val="fr-FR"/>
        </w:rPr>
        <w:t>Protocole n° 15 portant amendement à la Convention (Européenne) de Sauvegarde des Droits de l’Homme et des Libertés fondamentales, art.1: “</w:t>
      </w:r>
      <w:r w:rsidRPr="00AA2546">
        <w:rPr>
          <w:rFonts w:ascii="Verdana" w:hAnsi="Verdana"/>
          <w:i/>
          <w:sz w:val="16"/>
          <w:szCs w:val="16"/>
          <w:lang w:val="fr-FR"/>
        </w:rPr>
        <w:t>A la fin du préambule de la Convention, un nouveau considérant est ajouté et se lit comme suit</w:t>
      </w:r>
      <w:r w:rsidRPr="00AA2546">
        <w:rPr>
          <w:rFonts w:ascii="Verdana" w:hAnsi="Verdana"/>
          <w:sz w:val="16"/>
          <w:szCs w:val="16"/>
          <w:lang w:val="fr-FR"/>
        </w:rPr>
        <w:t xml:space="preserve">: </w:t>
      </w:r>
      <w:r w:rsidRPr="00AA2546">
        <w:rPr>
          <w:rFonts w:ascii="Verdana" w:hAnsi="Verdana"/>
          <w:i/>
          <w:sz w:val="16"/>
          <w:szCs w:val="16"/>
          <w:lang w:val="fr-FR"/>
        </w:rPr>
        <w:t>Affirmant qu’il incombe au premier chef aux Hautes Parties contractantes, conformément au principe de subsidiarité, de garantir le respect des droits et libertés définis dans la présente Convention et ses protocoles, et que, ce faisant, elles jouissent d’une marge d’appréciation, sous le contrôle de la Cour européenne des Droits de l’Homme instituée par la présente Convention.”</w:t>
      </w:r>
    </w:p>
    <w:p w14:paraId="7B8EE431" w14:textId="77777777" w:rsidR="00813091" w:rsidRPr="00AA2546" w:rsidRDefault="00813091" w:rsidP="00813091">
      <w:pPr>
        <w:pStyle w:val="Textonotapie"/>
        <w:ind w:left="-567" w:right="-567"/>
        <w:jc w:val="both"/>
        <w:rPr>
          <w:rFonts w:ascii="Verdana" w:hAnsi="Verdana"/>
          <w:sz w:val="16"/>
          <w:szCs w:val="16"/>
          <w:lang w:val="uz-Cyrl-UZ"/>
        </w:rPr>
      </w:pPr>
    </w:p>
  </w:footnote>
  <w:footnote w:id="23">
    <w:p w14:paraId="33D51EBE"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En adelante, la Convención.</w:t>
      </w:r>
    </w:p>
    <w:p w14:paraId="12092B14" w14:textId="77777777" w:rsidR="00813091" w:rsidRPr="00AA2546" w:rsidRDefault="00813091" w:rsidP="00813091">
      <w:pPr>
        <w:pStyle w:val="Textonotapie"/>
        <w:ind w:left="-567" w:right="-567"/>
        <w:jc w:val="both"/>
        <w:rPr>
          <w:rFonts w:ascii="Verdana" w:hAnsi="Verdana"/>
          <w:sz w:val="16"/>
          <w:szCs w:val="16"/>
          <w:lang w:val="uz-Cyrl-UZ"/>
        </w:rPr>
      </w:pPr>
    </w:p>
  </w:footnote>
  <w:footnote w:id="24">
    <w:p w14:paraId="04C65FC2"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14:paraId="49543F83" w14:textId="77777777" w:rsidR="00813091" w:rsidRPr="00AA2546" w:rsidRDefault="00813091" w:rsidP="00813091">
      <w:pPr>
        <w:pStyle w:val="Textonotapie"/>
        <w:ind w:left="-567" w:right="-567"/>
        <w:jc w:val="both"/>
        <w:rPr>
          <w:rFonts w:ascii="Verdana" w:hAnsi="Verdana"/>
          <w:i/>
          <w:iCs/>
          <w:sz w:val="16"/>
          <w:szCs w:val="16"/>
          <w:lang w:val="uz-Cyrl-UZ"/>
        </w:rPr>
      </w:pPr>
    </w:p>
  </w:footnote>
  <w:footnote w:id="25">
    <w:p w14:paraId="40155A9C"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proofErr w:type="gramStart"/>
      <w:r w:rsidRPr="00AA2546">
        <w:rPr>
          <w:rFonts w:ascii="Verdana" w:hAnsi="Verdana" w:cs="Tahoma"/>
          <w:i/>
          <w:iCs/>
          <w:sz w:val="16"/>
          <w:szCs w:val="16"/>
        </w:rPr>
        <w:t>”Esta</w:t>
      </w:r>
      <w:proofErr w:type="gramEnd"/>
      <w:r w:rsidRPr="00AA2546">
        <w:rPr>
          <w:rFonts w:ascii="Verdana" w:hAnsi="Verdana" w:cs="Tahoma"/>
          <w:i/>
          <w:iCs/>
          <w:sz w:val="16"/>
          <w:szCs w:val="16"/>
        </w:rPr>
        <w:t xml:space="preserve"> Convención queda abierta a la firma y a la ratificación o adhesión de todo Estado miembro de la Organización de los Estados Americanos.”</w:t>
      </w:r>
    </w:p>
    <w:p w14:paraId="0E41DA3B" w14:textId="77777777" w:rsidR="00813091" w:rsidRPr="00AA2546" w:rsidRDefault="00813091" w:rsidP="00813091">
      <w:pPr>
        <w:pStyle w:val="Textonotapie"/>
        <w:ind w:left="-567" w:right="-567"/>
        <w:jc w:val="both"/>
        <w:rPr>
          <w:rFonts w:ascii="Verdana" w:hAnsi="Verdana"/>
          <w:i/>
          <w:iCs/>
          <w:sz w:val="16"/>
          <w:szCs w:val="16"/>
          <w:lang w:val="uz-Cyrl-UZ"/>
        </w:rPr>
      </w:pPr>
    </w:p>
  </w:footnote>
  <w:footnote w:id="26">
    <w:p w14:paraId="0F5DCED2"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Obligación de Respetar los Derechos.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1CD40969"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27">
    <w:p w14:paraId="0D79C0B0"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14:paraId="12E1D49D" w14:textId="77777777" w:rsidR="00813091" w:rsidRPr="00AA2546" w:rsidRDefault="00813091" w:rsidP="00813091">
      <w:pPr>
        <w:pStyle w:val="NormalWeb"/>
        <w:ind w:left="-567" w:right="-567"/>
        <w:jc w:val="both"/>
        <w:rPr>
          <w:rFonts w:ascii="Verdana" w:hAnsi="Verdana" w:cs="Tahoma"/>
          <w:i/>
          <w:iCs/>
          <w:sz w:val="16"/>
          <w:szCs w:val="16"/>
        </w:rPr>
      </w:pPr>
    </w:p>
  </w:footnote>
  <w:footnote w:id="28">
    <w:p w14:paraId="7CA6591B"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“La Comisión representa a todos los miembros que integran la Organización de los Estados Americanos.”</w:t>
      </w:r>
    </w:p>
    <w:p w14:paraId="14B56B5B"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29">
    <w:p w14:paraId="0EE42FFE"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 xml:space="preserve">Para que una petición o comunicación presentada conforme a los artículos 44 </w:t>
      </w:r>
      <w:proofErr w:type="spellStart"/>
      <w:r w:rsidRPr="00AA2546">
        <w:rPr>
          <w:rFonts w:ascii="Verdana" w:hAnsi="Verdana" w:cs="Tahoma"/>
          <w:i/>
          <w:iCs/>
          <w:sz w:val="16"/>
          <w:szCs w:val="16"/>
        </w:rPr>
        <w:t>ó</w:t>
      </w:r>
      <w:proofErr w:type="spellEnd"/>
      <w:r w:rsidRPr="00AA2546">
        <w:rPr>
          <w:rFonts w:ascii="Verdana" w:hAnsi="Verdana" w:cs="Tahoma"/>
          <w:i/>
          <w:iCs/>
          <w:sz w:val="16"/>
          <w:szCs w:val="16"/>
        </w:rPr>
        <w:t xml:space="preserve"> 45 sea admitida por la Comisión, se requerirá:  a) que se hayan interpuesto y agotado los recursos de jurisdicción interna, conforme a los principios del Derecho Internacional generalmente reconocidos.”</w:t>
      </w:r>
    </w:p>
    <w:p w14:paraId="6311E402"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30">
    <w:p w14:paraId="40651E88" w14:textId="77777777" w:rsidR="00813091" w:rsidRPr="00AA2546" w:rsidRDefault="00813091" w:rsidP="00813091">
      <w:pPr>
        <w:pStyle w:val="Textonotapie"/>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14:paraId="02512046" w14:textId="77777777" w:rsidR="00813091" w:rsidRPr="00AA2546" w:rsidRDefault="00813091" w:rsidP="00813091">
      <w:pPr>
        <w:pStyle w:val="Textonotapie"/>
        <w:ind w:left="-567" w:right="-567"/>
        <w:jc w:val="both"/>
        <w:rPr>
          <w:rFonts w:ascii="Verdana" w:hAnsi="Verdana"/>
          <w:i/>
          <w:iCs/>
          <w:sz w:val="16"/>
          <w:szCs w:val="16"/>
          <w:lang w:val="uz-Cyrl-UZ"/>
        </w:rPr>
      </w:pPr>
    </w:p>
  </w:footnote>
  <w:footnote w:id="31">
    <w:p w14:paraId="7D4FE13D"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cs="Tahoma"/>
          <w:i/>
          <w:iCs/>
          <w:sz w:val="16"/>
          <w:szCs w:val="16"/>
        </w:rPr>
        <w:t> “Los Estados Partes en la Convención se comprometen a cumplir la decisión de la Corte en todo caso en que sean partes.”</w:t>
      </w:r>
    </w:p>
    <w:p w14:paraId="7C80C9C2"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32">
    <w:p w14:paraId="73C91E45"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Reconocimiento de Otros Derechos. Podrán ser incluidos en el régimen de protección de esta Convención otros derechos y libertades que sean reconocidos de acuerdo con los procedimientos establecidos en los artículos 76 y 77.”</w:t>
      </w:r>
    </w:p>
    <w:p w14:paraId="059B3495"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33">
    <w:p w14:paraId="2E3CE0D1"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“1. Cualquier Estado parte directamente y la Comisión o la Corte por conducto del Secretario General, pueden someter a la Asamblea General, para lo que estime conveniente, una propuesta de enmienda a esta Convención.</w:t>
      </w:r>
    </w:p>
    <w:p w14:paraId="70897D9A" w14:textId="77777777" w:rsidR="00813091" w:rsidRPr="00AA2546" w:rsidRDefault="00813091" w:rsidP="00813091">
      <w:pPr>
        <w:pStyle w:val="NormalWeb"/>
        <w:ind w:left="-567" w:right="-567"/>
        <w:jc w:val="both"/>
        <w:rPr>
          <w:rFonts w:ascii="Verdana" w:hAnsi="Verdana" w:cs="Tahoma"/>
          <w:i/>
          <w:iCs/>
          <w:sz w:val="16"/>
          <w:szCs w:val="16"/>
        </w:rPr>
      </w:pPr>
      <w:r w:rsidRPr="00AA2546">
        <w:rPr>
          <w:rFonts w:ascii="Verdana" w:hAnsi="Verdana" w:cs="Tahoma"/>
          <w:i/>
          <w:iCs/>
          <w:sz w:val="16"/>
          <w:szCs w:val="16"/>
        </w:rPr>
        <w:t xml:space="preserve"> 2. Las enmiendas entrarán en vigor para los Estados </w:t>
      </w:r>
      <w:proofErr w:type="spellStart"/>
      <w:r w:rsidRPr="00AA2546">
        <w:rPr>
          <w:rFonts w:ascii="Verdana" w:hAnsi="Verdana" w:cs="Tahoma"/>
          <w:i/>
          <w:iCs/>
          <w:sz w:val="16"/>
          <w:szCs w:val="16"/>
        </w:rPr>
        <w:t>ratificantes</w:t>
      </w:r>
      <w:proofErr w:type="spellEnd"/>
      <w:r w:rsidRPr="00AA2546">
        <w:rPr>
          <w:rFonts w:ascii="Verdana" w:hAnsi="Verdana" w:cs="Tahoma"/>
          <w:i/>
          <w:iCs/>
          <w:sz w:val="16"/>
          <w:szCs w:val="16"/>
        </w:rPr>
        <w:t xml:space="preserve">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14:paraId="65A46851" w14:textId="77777777" w:rsidR="00813091" w:rsidRPr="00AA2546" w:rsidRDefault="00813091" w:rsidP="00813091">
      <w:pPr>
        <w:pStyle w:val="NormalWeb"/>
        <w:ind w:left="-567" w:right="-567"/>
        <w:jc w:val="both"/>
        <w:rPr>
          <w:rFonts w:ascii="Verdana" w:hAnsi="Verdana"/>
          <w:i/>
          <w:iCs/>
          <w:sz w:val="16"/>
          <w:szCs w:val="16"/>
          <w:lang w:val="uz-Cyrl-UZ"/>
        </w:rPr>
      </w:pPr>
    </w:p>
  </w:footnote>
  <w:footnote w:id="34">
    <w:p w14:paraId="6F42D080"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i/>
          <w:iCs/>
          <w:szCs w:val="16"/>
        </w:rPr>
        <w:footnoteRef/>
      </w:r>
      <w:r w:rsidRPr="00AA2546">
        <w:rPr>
          <w:rFonts w:ascii="Verdana" w:hAnsi="Verdana"/>
          <w:i/>
          <w:iCs/>
          <w:sz w:val="16"/>
          <w:szCs w:val="16"/>
        </w:rPr>
        <w:t xml:space="preserve"> </w:t>
      </w:r>
      <w:r w:rsidRPr="00AA2546">
        <w:rPr>
          <w:rFonts w:ascii="Verdana" w:hAnsi="Verdana" w:cs="Tahoma"/>
          <w:i/>
          <w:iCs/>
          <w:sz w:val="16"/>
          <w:szCs w:val="16"/>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14:paraId="7145BFF9" w14:textId="77777777" w:rsidR="00813091" w:rsidRPr="00AA2546" w:rsidRDefault="00813091" w:rsidP="00813091">
      <w:pPr>
        <w:pStyle w:val="NormalWeb"/>
        <w:ind w:left="-567" w:right="-567"/>
        <w:jc w:val="both"/>
        <w:rPr>
          <w:rFonts w:ascii="Verdana" w:hAnsi="Verdana" w:cs="Tahoma"/>
          <w:i/>
          <w:iCs/>
          <w:sz w:val="16"/>
          <w:szCs w:val="16"/>
        </w:rPr>
      </w:pPr>
      <w:r w:rsidRPr="00AA2546">
        <w:rPr>
          <w:rFonts w:ascii="Verdana" w:hAnsi="Verdana" w:cs="Tahoma"/>
          <w:i/>
          <w:iCs/>
          <w:sz w:val="16"/>
          <w:szCs w:val="16"/>
        </w:rPr>
        <w:t> 2. Cada protocolo debe fijar las modalidades de su entrada en vigor, y se aplicará sólo entre los Estados Partes en el mismo.”</w:t>
      </w:r>
    </w:p>
    <w:p w14:paraId="1BE2AEDE" w14:textId="77777777" w:rsidR="00813091" w:rsidRPr="00AA2546" w:rsidRDefault="00813091" w:rsidP="00813091">
      <w:pPr>
        <w:pStyle w:val="Textonotapie"/>
        <w:jc w:val="both"/>
        <w:rPr>
          <w:rFonts w:ascii="Verdana" w:hAnsi="Verdana"/>
          <w:sz w:val="16"/>
          <w:szCs w:val="16"/>
          <w:lang w:val="uz-Cyrl-UZ"/>
        </w:rPr>
      </w:pPr>
    </w:p>
  </w:footnote>
  <w:footnote w:id="35">
    <w:p w14:paraId="625B346B"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rPr>
        <w:t>Supra</w:t>
      </w:r>
      <w:r w:rsidRPr="00AA2546">
        <w:rPr>
          <w:rFonts w:ascii="Verdana" w:hAnsi="Verdana"/>
          <w:sz w:val="16"/>
          <w:szCs w:val="16"/>
        </w:rPr>
        <w:t xml:space="preserve">, Nota </w:t>
      </w:r>
      <w:proofErr w:type="spellStart"/>
      <w:r w:rsidRPr="00AA2546">
        <w:rPr>
          <w:rFonts w:ascii="Verdana" w:hAnsi="Verdana"/>
          <w:sz w:val="16"/>
          <w:szCs w:val="16"/>
        </w:rPr>
        <w:t>N°</w:t>
      </w:r>
      <w:proofErr w:type="spellEnd"/>
      <w:r w:rsidRPr="00AA2546">
        <w:rPr>
          <w:rFonts w:ascii="Verdana" w:hAnsi="Verdana"/>
          <w:sz w:val="16"/>
          <w:szCs w:val="16"/>
        </w:rPr>
        <w:t xml:space="preserve"> 1</w:t>
      </w:r>
      <w:r>
        <w:rPr>
          <w:rFonts w:ascii="Verdana" w:hAnsi="Verdana"/>
          <w:sz w:val="16"/>
          <w:szCs w:val="16"/>
        </w:rPr>
        <w:t>7</w:t>
      </w:r>
      <w:r w:rsidRPr="00AA2546">
        <w:rPr>
          <w:rFonts w:ascii="Verdana" w:hAnsi="Verdana"/>
          <w:sz w:val="16"/>
          <w:szCs w:val="16"/>
        </w:rPr>
        <w:t>.</w:t>
      </w:r>
    </w:p>
    <w:p w14:paraId="5FF6C86F" w14:textId="77777777" w:rsidR="00813091" w:rsidRPr="00AA2546" w:rsidRDefault="00813091" w:rsidP="00813091">
      <w:pPr>
        <w:pStyle w:val="Textonotapie"/>
        <w:ind w:left="-567" w:right="-567"/>
        <w:jc w:val="both"/>
        <w:rPr>
          <w:rFonts w:ascii="Verdana" w:hAnsi="Verdana"/>
          <w:sz w:val="16"/>
          <w:szCs w:val="16"/>
          <w:lang w:val="uz-Cyrl-UZ"/>
        </w:rPr>
      </w:pPr>
      <w:r w:rsidRPr="00AA2546">
        <w:rPr>
          <w:rFonts w:ascii="Verdana" w:hAnsi="Verdana"/>
          <w:sz w:val="16"/>
          <w:szCs w:val="16"/>
        </w:rPr>
        <w:t xml:space="preserve"> </w:t>
      </w:r>
    </w:p>
  </w:footnote>
  <w:footnote w:id="36">
    <w:p w14:paraId="197422D1"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En adelante, Convención de Viena.</w:t>
      </w:r>
    </w:p>
    <w:p w14:paraId="17687343" w14:textId="77777777" w:rsidR="00813091" w:rsidRPr="00AA2546" w:rsidRDefault="00813091" w:rsidP="00813091">
      <w:pPr>
        <w:pStyle w:val="Textonotapie"/>
        <w:ind w:left="-567" w:right="-567"/>
        <w:jc w:val="both"/>
        <w:rPr>
          <w:rFonts w:ascii="Verdana" w:hAnsi="Verdana"/>
          <w:sz w:val="16"/>
          <w:szCs w:val="16"/>
          <w:lang w:val="uz-Cyrl-UZ"/>
        </w:rPr>
      </w:pPr>
    </w:p>
  </w:footnote>
  <w:footnote w:id="37">
    <w:p w14:paraId="1D1A81D2" w14:textId="77777777" w:rsidR="00813091" w:rsidRPr="00AA2546" w:rsidRDefault="00813091" w:rsidP="00813091">
      <w:pPr>
        <w:pStyle w:val="Textonotapie"/>
        <w:ind w:left="-567" w:right="-567"/>
        <w:jc w:val="both"/>
        <w:rPr>
          <w:rFonts w:ascii="Verdana" w:hAnsi="Verdana"/>
          <w:i/>
          <w:iCs/>
          <w:sz w:val="16"/>
          <w:szCs w:val="16"/>
        </w:rPr>
      </w:pPr>
      <w:r w:rsidRPr="00AA2546">
        <w:rPr>
          <w:rStyle w:val="Refdenotaalpie"/>
          <w:szCs w:val="16"/>
        </w:rPr>
        <w:footnoteRef/>
      </w:r>
      <w:r w:rsidRPr="00AA2546">
        <w:rPr>
          <w:rFonts w:ascii="Verdana" w:hAnsi="Verdana"/>
          <w:sz w:val="16"/>
          <w:szCs w:val="16"/>
        </w:rPr>
        <w:t xml:space="preserve"> Art. 31 de la Convención de Viena: “</w:t>
      </w:r>
      <w:r w:rsidRPr="00AA2546">
        <w:rPr>
          <w:rFonts w:ascii="Verdana" w:hAnsi="Verdana"/>
          <w:i/>
          <w:iCs/>
          <w:sz w:val="16"/>
          <w:szCs w:val="16"/>
        </w:rPr>
        <w:t xml:space="preserve">Regla general de interpretación. I. Un tratado deberá interpretarse de buena fe conforme al sentido corriente que haya de </w:t>
      </w:r>
      <w:r w:rsidRPr="00AA2546">
        <w:rPr>
          <w:rFonts w:ascii="Verdana" w:hAnsi="Verdana"/>
          <w:sz w:val="16"/>
          <w:szCs w:val="16"/>
        </w:rPr>
        <w:t xml:space="preserve">atribuirse a los términos del tratado en el contexto de estos y teniendo en cuenta su objeto y fin. </w:t>
      </w:r>
      <w:r w:rsidRPr="00AA2546">
        <w:rPr>
          <w:rFonts w:ascii="Verdana" w:hAnsi="Verdana"/>
          <w:i/>
          <w:iCs/>
          <w:sz w:val="16"/>
          <w:szCs w:val="16"/>
        </w:rPr>
        <w:t xml:space="preserve">  </w:t>
      </w:r>
    </w:p>
    <w:p w14:paraId="1CF31CC6"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2. Para los efectos de la interpretación de un tratado. el contexto comprenderá, además del texto, incluidos su preámbulo y anexos:  </w:t>
      </w:r>
    </w:p>
    <w:p w14:paraId="35A39659"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a) todo acuerdo que se refiera al tratado y haya sido concertado entre todas las partes con motivo de la celebración del tratado:  </w:t>
      </w:r>
    </w:p>
    <w:p w14:paraId="5FCB9392"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b) todo instrumento formulado por una o más partes con motivo de la celebración del tratado y aceptado por las demás como instrumento referente al tratado;  </w:t>
      </w:r>
    </w:p>
    <w:p w14:paraId="1FE92D92"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3. Juntamente con el contexto, habrá de tenerse en cuenta:  </w:t>
      </w:r>
    </w:p>
    <w:p w14:paraId="4F85F23C"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a) todo acuerdo ulterior entre las partes acerca de la interpretación del tratado o de la aplicación de sus disposiciones:  </w:t>
      </w:r>
    </w:p>
    <w:p w14:paraId="60AACA7A"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b) toda práctica ulteriormente seguida en la aplicación del tratado por la cual conste el acuerdo de las partes acerca de la interpretación del tratado:  </w:t>
      </w:r>
    </w:p>
    <w:p w14:paraId="13268CA1" w14:textId="61C3AB45" w:rsidR="00813091"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c) toda forma pertinente de derecho internacional aplicable en las relaciones entre las partes.  </w:t>
      </w:r>
    </w:p>
    <w:p w14:paraId="2A8E5261" w14:textId="77777777" w:rsidR="00813091" w:rsidRPr="00AA2546" w:rsidRDefault="00813091" w:rsidP="00813091">
      <w:pPr>
        <w:pStyle w:val="Textonotapie"/>
        <w:ind w:left="-567" w:right="-567"/>
        <w:jc w:val="both"/>
        <w:rPr>
          <w:rFonts w:ascii="Verdana" w:hAnsi="Verdana"/>
          <w:i/>
          <w:iCs/>
          <w:sz w:val="16"/>
          <w:szCs w:val="16"/>
        </w:rPr>
      </w:pPr>
    </w:p>
    <w:p w14:paraId="48EDBBF4" w14:textId="77777777" w:rsidR="00813091" w:rsidRPr="00AA2546" w:rsidRDefault="00813091" w:rsidP="00813091">
      <w:pPr>
        <w:pStyle w:val="Textonotapie"/>
        <w:ind w:left="-567" w:right="-567"/>
        <w:jc w:val="both"/>
        <w:rPr>
          <w:rFonts w:ascii="Verdana" w:hAnsi="Verdana"/>
          <w:sz w:val="16"/>
          <w:szCs w:val="16"/>
        </w:rPr>
      </w:pPr>
      <w:r w:rsidRPr="00AA2546">
        <w:rPr>
          <w:rFonts w:ascii="Verdana" w:hAnsi="Verdana"/>
          <w:i/>
          <w:iCs/>
          <w:sz w:val="16"/>
          <w:szCs w:val="16"/>
        </w:rPr>
        <w:t>4. Se dará a un término un sentido especial si consta que tal fue la intención de las partes</w:t>
      </w:r>
      <w:r w:rsidRPr="00AA2546">
        <w:rPr>
          <w:rFonts w:ascii="Verdana" w:hAnsi="Verdana"/>
          <w:sz w:val="16"/>
          <w:szCs w:val="16"/>
        </w:rPr>
        <w:t xml:space="preserve">.”  </w:t>
      </w:r>
    </w:p>
    <w:p w14:paraId="635053B5" w14:textId="77777777" w:rsidR="00813091" w:rsidRPr="00AA2546" w:rsidRDefault="00813091" w:rsidP="00813091">
      <w:pPr>
        <w:pStyle w:val="Textonotapie"/>
        <w:ind w:left="-567" w:right="-567"/>
        <w:jc w:val="both"/>
        <w:rPr>
          <w:rFonts w:ascii="Verdana" w:hAnsi="Verdana"/>
          <w:sz w:val="16"/>
          <w:szCs w:val="16"/>
        </w:rPr>
      </w:pPr>
      <w:r w:rsidRPr="00AA2546">
        <w:rPr>
          <w:rFonts w:ascii="Verdana" w:hAnsi="Verdana"/>
          <w:sz w:val="16"/>
          <w:szCs w:val="16"/>
        </w:rPr>
        <w:t>Art.32 de la Convención de Viena: “</w:t>
      </w:r>
      <w:r w:rsidRPr="00AA2546">
        <w:rPr>
          <w:rFonts w:ascii="Verdana" w:hAnsi="Verdana"/>
          <w:i/>
          <w:iCs/>
          <w:sz w:val="16"/>
          <w:szCs w:val="16"/>
        </w:rPr>
        <w:t>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w:t>
      </w:r>
      <w:r w:rsidRPr="00AA2546">
        <w:rPr>
          <w:rFonts w:ascii="Verdana" w:hAnsi="Verdana"/>
          <w:sz w:val="16"/>
          <w:szCs w:val="16"/>
        </w:rPr>
        <w:t xml:space="preserve">:  </w:t>
      </w:r>
    </w:p>
    <w:p w14:paraId="1BA83F51" w14:textId="77777777" w:rsidR="00813091" w:rsidRPr="00442716" w:rsidRDefault="00813091" w:rsidP="00813091">
      <w:pPr>
        <w:pStyle w:val="Textonotapie"/>
        <w:ind w:left="-567" w:right="-567"/>
        <w:jc w:val="both"/>
        <w:rPr>
          <w:rFonts w:ascii="Verdana" w:hAnsi="Verdana"/>
          <w:i/>
          <w:iCs/>
          <w:sz w:val="16"/>
          <w:szCs w:val="16"/>
        </w:rPr>
      </w:pPr>
      <w:r w:rsidRPr="00AA2546">
        <w:rPr>
          <w:rFonts w:ascii="Verdana" w:hAnsi="Verdana"/>
          <w:sz w:val="16"/>
          <w:szCs w:val="16"/>
        </w:rPr>
        <w:t>a</w:t>
      </w:r>
      <w:r w:rsidRPr="00442716">
        <w:rPr>
          <w:rFonts w:ascii="Verdana" w:hAnsi="Verdana"/>
          <w:i/>
          <w:iCs/>
          <w:sz w:val="16"/>
          <w:szCs w:val="16"/>
        </w:rPr>
        <w:t xml:space="preserve">) deje ambiguo u oscuro el sentido; o  </w:t>
      </w:r>
    </w:p>
    <w:p w14:paraId="2091C3DF" w14:textId="77777777" w:rsidR="00813091" w:rsidRPr="00442716" w:rsidRDefault="00813091" w:rsidP="00813091">
      <w:pPr>
        <w:pStyle w:val="Textonotapie"/>
        <w:ind w:left="-567" w:right="-567"/>
        <w:jc w:val="both"/>
        <w:rPr>
          <w:rFonts w:ascii="Verdana" w:hAnsi="Verdana"/>
          <w:i/>
          <w:iCs/>
          <w:sz w:val="16"/>
          <w:szCs w:val="16"/>
        </w:rPr>
      </w:pPr>
      <w:r w:rsidRPr="00442716">
        <w:rPr>
          <w:rFonts w:ascii="Verdana" w:hAnsi="Verdana"/>
          <w:i/>
          <w:iCs/>
          <w:sz w:val="16"/>
          <w:szCs w:val="16"/>
        </w:rPr>
        <w:t>b) conduzca a un resultado manifiestamente absurdo o irrazonable.”</w:t>
      </w:r>
    </w:p>
    <w:p w14:paraId="1313F364" w14:textId="77777777" w:rsidR="00813091" w:rsidRPr="00442716" w:rsidRDefault="00813091" w:rsidP="00813091">
      <w:pPr>
        <w:pStyle w:val="Textonotapie"/>
        <w:ind w:left="-850" w:right="-567"/>
        <w:jc w:val="both"/>
        <w:rPr>
          <w:rFonts w:ascii="Verdana" w:hAnsi="Verdana"/>
          <w:i/>
          <w:iCs/>
          <w:sz w:val="16"/>
          <w:szCs w:val="16"/>
          <w:lang w:val="uz-Cyrl-UZ"/>
        </w:rPr>
      </w:pPr>
    </w:p>
  </w:footnote>
  <w:footnote w:id="38">
    <w:p w14:paraId="7F6D11B3" w14:textId="77777777" w:rsidR="00813091" w:rsidRPr="00AF6707" w:rsidRDefault="00813091" w:rsidP="00813091">
      <w:pPr>
        <w:pStyle w:val="Textonotapie"/>
        <w:ind w:left="-567" w:right="-567"/>
        <w:rPr>
          <w:rFonts w:ascii="Verdana" w:hAnsi="Verdana"/>
          <w:i/>
          <w:color w:val="000000" w:themeColor="text1"/>
          <w:sz w:val="16"/>
        </w:rPr>
      </w:pPr>
      <w:r w:rsidRPr="00AF6707">
        <w:rPr>
          <w:rStyle w:val="Refdenotaalpie"/>
          <w:color w:val="000000" w:themeColor="text1"/>
        </w:rPr>
        <w:footnoteRef/>
      </w:r>
      <w:r w:rsidRPr="00AF6707">
        <w:rPr>
          <w:rFonts w:ascii="Verdana" w:hAnsi="Verdana"/>
          <w:color w:val="000000" w:themeColor="text1"/>
          <w:sz w:val="16"/>
        </w:rPr>
        <w:t xml:space="preserve"> Art. </w:t>
      </w:r>
      <w:r w:rsidRPr="00B72E1D">
        <w:rPr>
          <w:rFonts w:ascii="Verdana" w:hAnsi="Verdana"/>
          <w:color w:val="000000" w:themeColor="text1"/>
          <w:sz w:val="16"/>
          <w:szCs w:val="16"/>
        </w:rPr>
        <w:t>26:</w:t>
      </w:r>
      <w:r w:rsidRPr="00AF6707">
        <w:rPr>
          <w:rFonts w:ascii="Verdana" w:hAnsi="Verdana"/>
          <w:color w:val="000000" w:themeColor="text1"/>
          <w:sz w:val="16"/>
        </w:rPr>
        <w:t xml:space="preserve"> </w:t>
      </w:r>
      <w:r w:rsidRPr="00AF6707">
        <w:rPr>
          <w:rFonts w:ascii="Verdana" w:hAnsi="Verdana"/>
          <w:i/>
          <w:color w:val="000000" w:themeColor="text1"/>
          <w:sz w:val="16"/>
        </w:rPr>
        <w:t xml:space="preserve">"Pacta sunt </w:t>
      </w:r>
      <w:proofErr w:type="spellStart"/>
      <w:r w:rsidRPr="00AF6707">
        <w:rPr>
          <w:rFonts w:ascii="Verdana" w:hAnsi="Verdana"/>
          <w:i/>
          <w:color w:val="000000" w:themeColor="text1"/>
          <w:sz w:val="16"/>
        </w:rPr>
        <w:t>servanda</w:t>
      </w:r>
      <w:proofErr w:type="spellEnd"/>
      <w:r w:rsidRPr="00AF6707">
        <w:rPr>
          <w:rFonts w:ascii="Verdana" w:hAnsi="Verdana"/>
          <w:i/>
          <w:color w:val="000000" w:themeColor="text1"/>
          <w:sz w:val="16"/>
        </w:rPr>
        <w:t>". Todo tratado en vigor obliga a las partes y debe ser cumplido por ellas de buena fe.”</w:t>
      </w:r>
    </w:p>
    <w:p w14:paraId="164D0015" w14:textId="77777777" w:rsidR="00813091" w:rsidRPr="000D3915" w:rsidRDefault="00813091" w:rsidP="00813091">
      <w:pPr>
        <w:pStyle w:val="Textonotapie"/>
        <w:ind w:left="-567" w:right="-567"/>
        <w:rPr>
          <w:rFonts w:ascii="Verdana" w:hAnsi="Verdana"/>
          <w:i/>
          <w:iCs/>
          <w:sz w:val="16"/>
          <w:szCs w:val="16"/>
          <w:lang w:val="es-419"/>
        </w:rPr>
      </w:pPr>
    </w:p>
  </w:footnote>
  <w:footnote w:id="39">
    <w:p w14:paraId="2308E971" w14:textId="77777777" w:rsidR="00813091" w:rsidRDefault="00813091" w:rsidP="00813091">
      <w:pPr>
        <w:pStyle w:val="Textonotapie"/>
        <w:ind w:left="-567" w:right="-567"/>
        <w:rPr>
          <w:rFonts w:ascii="Verdana" w:hAnsi="Verdana"/>
          <w:i/>
          <w:iCs/>
          <w:color w:val="FF0000"/>
          <w:sz w:val="16"/>
          <w:szCs w:val="16"/>
          <w:lang w:val="es-419"/>
        </w:rPr>
      </w:pPr>
      <w:r w:rsidRPr="00881BCF">
        <w:rPr>
          <w:rStyle w:val="Refdenotaalpie"/>
          <w:szCs w:val="16"/>
        </w:rPr>
        <w:footnoteRef/>
      </w:r>
      <w:r w:rsidRPr="00881BCF">
        <w:rPr>
          <w:rFonts w:ascii="Verdana" w:hAnsi="Verdana"/>
          <w:sz w:val="16"/>
          <w:szCs w:val="16"/>
        </w:rPr>
        <w:t xml:space="preserve"> </w:t>
      </w:r>
      <w:r w:rsidRPr="00AF6707">
        <w:rPr>
          <w:rFonts w:ascii="Verdana" w:hAnsi="Verdana"/>
          <w:i/>
          <w:color w:val="000000" w:themeColor="text1"/>
          <w:sz w:val="16"/>
          <w:lang w:val="es-419"/>
        </w:rPr>
        <w:t xml:space="preserve">Supra, Nota </w:t>
      </w:r>
      <w:proofErr w:type="spellStart"/>
      <w:r w:rsidRPr="00AF6707">
        <w:rPr>
          <w:rFonts w:ascii="Verdana" w:hAnsi="Verdana"/>
          <w:i/>
          <w:color w:val="000000" w:themeColor="text1"/>
          <w:sz w:val="16"/>
          <w:lang w:val="es-419"/>
        </w:rPr>
        <w:t>N°</w:t>
      </w:r>
      <w:proofErr w:type="spellEnd"/>
      <w:r w:rsidRPr="00AF6707">
        <w:rPr>
          <w:rFonts w:ascii="Verdana" w:hAnsi="Verdana"/>
          <w:i/>
          <w:color w:val="000000" w:themeColor="text1"/>
          <w:sz w:val="16"/>
          <w:lang w:val="es-419"/>
        </w:rPr>
        <w:t xml:space="preserve"> 24, art.31.3 de la Convención de Viena.</w:t>
      </w:r>
    </w:p>
    <w:p w14:paraId="27F0564A" w14:textId="77777777" w:rsidR="00813091" w:rsidRPr="00881BCF" w:rsidRDefault="00813091" w:rsidP="00813091">
      <w:pPr>
        <w:pStyle w:val="Textonotapie"/>
        <w:ind w:left="-567" w:right="-567"/>
        <w:rPr>
          <w:lang w:val="es-419"/>
        </w:rPr>
      </w:pPr>
    </w:p>
  </w:footnote>
  <w:footnote w:id="40">
    <w:p w14:paraId="4A2B1E3D" w14:textId="77777777" w:rsidR="00813091" w:rsidRPr="00AA2546" w:rsidRDefault="00813091" w:rsidP="00813091">
      <w:pPr>
        <w:pStyle w:val="NormalWeb"/>
        <w:ind w:left="-567" w:right="-567"/>
        <w:jc w:val="both"/>
        <w:rPr>
          <w:rFonts w:ascii="Verdana" w:hAnsi="Verdana" w:cs="Tahoma"/>
          <w:i/>
          <w:iCs/>
          <w:sz w:val="16"/>
          <w:szCs w:val="16"/>
        </w:rPr>
      </w:pPr>
      <w:r w:rsidRPr="00AA2546">
        <w:rPr>
          <w:rStyle w:val="Refdenotaalpie"/>
          <w:szCs w:val="16"/>
        </w:rPr>
        <w:footnoteRef/>
      </w:r>
      <w:r w:rsidRPr="00AA2546">
        <w:rPr>
          <w:rFonts w:ascii="Verdana" w:hAnsi="Verdana"/>
          <w:sz w:val="16"/>
          <w:szCs w:val="16"/>
        </w:rPr>
        <w:t xml:space="preserve"> </w:t>
      </w:r>
      <w:r w:rsidRPr="00AA2546">
        <w:rPr>
          <w:rFonts w:ascii="Verdana" w:hAnsi="Verdana" w:cs="Tahoma"/>
          <w:sz w:val="16"/>
          <w:szCs w:val="16"/>
        </w:rPr>
        <w:t>Art. 41:</w:t>
      </w:r>
      <w:r w:rsidRPr="00AA2546">
        <w:rPr>
          <w:rFonts w:ascii="Verdana" w:hAnsi="Verdana" w:cs="Tahoma"/>
          <w:b/>
          <w:bCs/>
          <w:sz w:val="16"/>
          <w:szCs w:val="16"/>
        </w:rPr>
        <w:t xml:space="preserve"> </w:t>
      </w:r>
      <w:r w:rsidRPr="00AA2546">
        <w:rPr>
          <w:rFonts w:ascii="Verdana" w:hAnsi="Verdana" w:cs="Tahoma"/>
          <w:sz w:val="16"/>
          <w:szCs w:val="16"/>
        </w:rPr>
        <w:t>“</w:t>
      </w:r>
      <w:r w:rsidRPr="00AA2546">
        <w:rPr>
          <w:rFonts w:ascii="Verdana" w:hAnsi="Verdana" w:cs="Tahoma"/>
          <w:i/>
          <w:iCs/>
          <w:sz w:val="16"/>
          <w:szCs w:val="16"/>
        </w:rPr>
        <w:t>La Comisión tiene la función principal de promover la observancia y la defensa de los derechos humanos, y en el ejercicio de su mandato tiene las siguientes funciones y atribuciones:</w:t>
      </w:r>
    </w:p>
    <w:p w14:paraId="7333DD54"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estimular la conciencia de los derechos humanos en los pueblos de América;</w:t>
      </w:r>
    </w:p>
    <w:p w14:paraId="27BED12F"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5E6BC0AE"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preparar los estudios e informes que considere convenientes para el desempeño de sus funciones;</w:t>
      </w:r>
    </w:p>
    <w:p w14:paraId="66CBAD6C"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solicitar de los gobiernos de los Estados miembros que le proporcionen informes sobre las medidas que adopten en materia de derechos humanos;</w:t>
      </w:r>
    </w:p>
    <w:p w14:paraId="2EC8FCC0"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6F951688"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actuar respecto de las peticiones y otras comunicaciones en ejercicio de su autoridad de conformidad con lo dispuesto en los artículos 44 al 51 de esta Convención, y</w:t>
      </w:r>
    </w:p>
    <w:p w14:paraId="458E55DE" w14:textId="77777777" w:rsidR="00813091" w:rsidRPr="00AA2546" w:rsidRDefault="00813091" w:rsidP="00813091">
      <w:pPr>
        <w:pStyle w:val="NormalWeb"/>
        <w:numPr>
          <w:ilvl w:val="0"/>
          <w:numId w:val="28"/>
        </w:numPr>
        <w:ind w:right="-567"/>
        <w:jc w:val="both"/>
        <w:rPr>
          <w:rFonts w:ascii="Verdana" w:hAnsi="Verdana" w:cs="Tahoma"/>
          <w:i/>
          <w:iCs/>
          <w:sz w:val="16"/>
          <w:szCs w:val="16"/>
        </w:rPr>
      </w:pPr>
      <w:r w:rsidRPr="00AA2546">
        <w:rPr>
          <w:rFonts w:ascii="Verdana" w:hAnsi="Verdana" w:cs="Tahoma"/>
          <w:i/>
          <w:iCs/>
          <w:sz w:val="16"/>
          <w:szCs w:val="16"/>
        </w:rPr>
        <w:t>rendir un informe anual a la Asamblea General de la Organización de los Estados Americanos.”</w:t>
      </w:r>
    </w:p>
    <w:p w14:paraId="0081063C" w14:textId="77777777" w:rsidR="00813091" w:rsidRPr="00AA2546" w:rsidRDefault="00813091" w:rsidP="00813091">
      <w:pPr>
        <w:pStyle w:val="Textonotapie"/>
        <w:ind w:left="-567" w:right="-567"/>
        <w:jc w:val="both"/>
        <w:rPr>
          <w:rFonts w:ascii="Verdana" w:hAnsi="Verdana"/>
          <w:sz w:val="16"/>
          <w:szCs w:val="16"/>
          <w:lang w:val="uz-Cyrl-UZ"/>
        </w:rPr>
      </w:pPr>
    </w:p>
  </w:footnote>
  <w:footnote w:id="41">
    <w:p w14:paraId="70D8E471"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D43589">
        <w:rPr>
          <w:rFonts w:ascii="Verdana" w:hAnsi="Verdana"/>
          <w:sz w:val="16"/>
          <w:szCs w:val="16"/>
          <w:lang w:val="pt-BR"/>
        </w:rPr>
        <w:t xml:space="preserve"> </w:t>
      </w:r>
      <w:r w:rsidRPr="00AA2546">
        <w:rPr>
          <w:rFonts w:ascii="Verdana" w:hAnsi="Verdana"/>
          <w:i/>
          <w:sz w:val="16"/>
          <w:szCs w:val="16"/>
          <w:lang w:val="uz-Cyrl-UZ"/>
        </w:rPr>
        <w:t>Supra</w:t>
      </w:r>
      <w:r w:rsidRPr="00AA2546">
        <w:rPr>
          <w:rFonts w:ascii="Verdana" w:hAnsi="Verdana"/>
          <w:sz w:val="16"/>
          <w:szCs w:val="16"/>
          <w:lang w:val="uz-Cyrl-UZ"/>
        </w:rPr>
        <w:t>, Notas N°s 19</w:t>
      </w:r>
      <w:r w:rsidRPr="00D43589">
        <w:rPr>
          <w:rFonts w:ascii="Verdana" w:hAnsi="Verdana"/>
          <w:sz w:val="16"/>
          <w:szCs w:val="16"/>
          <w:lang w:val="pt-BR"/>
        </w:rPr>
        <w:t xml:space="preserve">, </w:t>
      </w:r>
      <w:r w:rsidRPr="00AA2546">
        <w:rPr>
          <w:rFonts w:ascii="Verdana" w:hAnsi="Verdana"/>
          <w:sz w:val="16"/>
          <w:szCs w:val="16"/>
          <w:lang w:val="uz-Cyrl-UZ"/>
        </w:rPr>
        <w:t>20</w:t>
      </w:r>
      <w:r w:rsidRPr="00D43589">
        <w:rPr>
          <w:rFonts w:ascii="Verdana" w:hAnsi="Verdana"/>
          <w:sz w:val="16"/>
          <w:szCs w:val="16"/>
          <w:lang w:val="pt-BR"/>
        </w:rPr>
        <w:t xml:space="preserve"> y 21</w:t>
      </w:r>
      <w:r w:rsidRPr="00AA2546">
        <w:rPr>
          <w:rFonts w:ascii="Verdana" w:hAnsi="Verdana"/>
          <w:sz w:val="16"/>
          <w:szCs w:val="16"/>
          <w:lang w:val="uz-Cyrl-UZ"/>
        </w:rPr>
        <w:t xml:space="preserve">. </w:t>
      </w:r>
    </w:p>
    <w:p w14:paraId="4BC0A92E" w14:textId="77777777" w:rsidR="00813091" w:rsidRPr="00AA2546" w:rsidRDefault="00813091" w:rsidP="00813091">
      <w:pPr>
        <w:pStyle w:val="Textonotapie"/>
        <w:ind w:left="-567" w:right="-567"/>
        <w:jc w:val="both"/>
        <w:rPr>
          <w:rFonts w:ascii="Verdana" w:hAnsi="Verdana"/>
          <w:sz w:val="16"/>
          <w:szCs w:val="16"/>
          <w:lang w:val="uz-Cyrl-UZ"/>
        </w:rPr>
      </w:pPr>
    </w:p>
  </w:footnote>
  <w:footnote w:id="42">
    <w:p w14:paraId="39271EE8" w14:textId="77777777" w:rsidR="00813091" w:rsidRPr="00D43589" w:rsidRDefault="00813091" w:rsidP="00813091">
      <w:pPr>
        <w:ind w:left="-567" w:right="-567"/>
        <w:jc w:val="both"/>
        <w:rPr>
          <w:rFonts w:ascii="Verdana" w:hAnsi="Verdana"/>
          <w:sz w:val="16"/>
          <w:szCs w:val="16"/>
          <w:lang w:val="pt-BR"/>
        </w:rPr>
      </w:pPr>
      <w:r w:rsidRPr="00AA2546">
        <w:rPr>
          <w:rStyle w:val="Refdenotaalpie"/>
          <w:szCs w:val="16"/>
        </w:rPr>
        <w:footnoteRef/>
      </w:r>
      <w:r w:rsidRPr="00D43589">
        <w:rPr>
          <w:rFonts w:ascii="Verdana" w:hAnsi="Verdana"/>
          <w:sz w:val="16"/>
          <w:szCs w:val="16"/>
          <w:lang w:val="pt-BR"/>
        </w:rPr>
        <w:t xml:space="preserve"> </w:t>
      </w:r>
      <w:r w:rsidRPr="00D43589">
        <w:rPr>
          <w:rFonts w:ascii="Verdana" w:hAnsi="Verdana"/>
          <w:i/>
          <w:iCs/>
          <w:sz w:val="16"/>
          <w:szCs w:val="16"/>
          <w:lang w:val="pt-BR"/>
        </w:rPr>
        <w:t>Supra</w:t>
      </w:r>
      <w:r w:rsidRPr="00D43589">
        <w:rPr>
          <w:rFonts w:ascii="Verdana" w:hAnsi="Verdana"/>
          <w:sz w:val="16"/>
          <w:szCs w:val="16"/>
          <w:lang w:val="pt-BR"/>
        </w:rPr>
        <w:t>, Nota N° 6.</w:t>
      </w:r>
    </w:p>
    <w:p w14:paraId="2CD971EA" w14:textId="77777777" w:rsidR="00813091" w:rsidRPr="00D43589" w:rsidRDefault="00813091" w:rsidP="00813091">
      <w:pPr>
        <w:jc w:val="both"/>
        <w:rPr>
          <w:rFonts w:ascii="Verdana" w:hAnsi="Verdana"/>
          <w:sz w:val="16"/>
          <w:szCs w:val="16"/>
          <w:lang w:val="pt-BR"/>
        </w:rPr>
      </w:pPr>
    </w:p>
  </w:footnote>
  <w:footnote w:id="43">
    <w:p w14:paraId="2CF3EA5C"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D43589">
        <w:rPr>
          <w:rFonts w:ascii="Verdana" w:hAnsi="Verdana"/>
          <w:sz w:val="16"/>
          <w:szCs w:val="16"/>
          <w:lang w:val="pt-BR"/>
        </w:rPr>
        <w:t xml:space="preserve"> </w:t>
      </w:r>
      <w:r w:rsidRPr="00AA2546">
        <w:rPr>
          <w:rFonts w:ascii="Verdana" w:hAnsi="Verdana"/>
          <w:i/>
          <w:sz w:val="16"/>
          <w:szCs w:val="16"/>
          <w:lang w:val="uz-Cyrl-UZ"/>
        </w:rPr>
        <w:t>Supra</w:t>
      </w:r>
      <w:r w:rsidRPr="00AA2546">
        <w:rPr>
          <w:rFonts w:ascii="Verdana" w:hAnsi="Verdana"/>
          <w:sz w:val="16"/>
          <w:szCs w:val="16"/>
          <w:lang w:val="uz-Cyrl-UZ"/>
        </w:rPr>
        <w:t>, Nota N° 1</w:t>
      </w:r>
      <w:r w:rsidRPr="00D43589">
        <w:rPr>
          <w:rFonts w:ascii="Verdana" w:hAnsi="Verdana"/>
          <w:sz w:val="16"/>
          <w:szCs w:val="16"/>
          <w:lang w:val="pt-BR"/>
        </w:rPr>
        <w:t>7</w:t>
      </w:r>
      <w:r w:rsidRPr="00AA2546">
        <w:rPr>
          <w:rFonts w:ascii="Verdana" w:hAnsi="Verdana"/>
          <w:sz w:val="16"/>
          <w:szCs w:val="16"/>
          <w:lang w:val="uz-Cyrl-UZ"/>
        </w:rPr>
        <w:t>.</w:t>
      </w:r>
    </w:p>
    <w:p w14:paraId="2472A8C9" w14:textId="77777777" w:rsidR="00813091" w:rsidRPr="00AA2546" w:rsidRDefault="00813091" w:rsidP="00813091">
      <w:pPr>
        <w:pStyle w:val="Textonotapie"/>
        <w:ind w:left="-567" w:right="-567"/>
        <w:jc w:val="both"/>
        <w:rPr>
          <w:rFonts w:ascii="Verdana" w:hAnsi="Verdana"/>
          <w:sz w:val="16"/>
          <w:szCs w:val="16"/>
          <w:lang w:val="uz-Cyrl-UZ"/>
        </w:rPr>
      </w:pPr>
    </w:p>
  </w:footnote>
  <w:footnote w:id="44">
    <w:p w14:paraId="5DC1E6EF" w14:textId="77777777" w:rsidR="00813091" w:rsidRPr="00AA2546" w:rsidRDefault="00813091" w:rsidP="00813091">
      <w:pPr>
        <w:pStyle w:val="NormalWeb"/>
        <w:ind w:left="-567" w:right="-567"/>
        <w:jc w:val="both"/>
        <w:rPr>
          <w:rFonts w:ascii="Verdana" w:hAnsi="Verdana" w:cs="Tahoma"/>
          <w:sz w:val="16"/>
          <w:szCs w:val="16"/>
        </w:rPr>
      </w:pPr>
      <w:r w:rsidRPr="00AA2546">
        <w:rPr>
          <w:rStyle w:val="Refdenotaalpie"/>
          <w:szCs w:val="16"/>
        </w:rPr>
        <w:footnoteRef/>
      </w:r>
      <w:r w:rsidRPr="00AA2546">
        <w:rPr>
          <w:rFonts w:ascii="Verdana" w:hAnsi="Verdana"/>
          <w:sz w:val="16"/>
          <w:szCs w:val="16"/>
        </w:rPr>
        <w:t xml:space="preserve"> </w:t>
      </w:r>
      <w:r w:rsidRPr="00AA2546">
        <w:rPr>
          <w:rFonts w:ascii="Verdana" w:hAnsi="Verdana" w:cs="Tahoma"/>
          <w:sz w:val="16"/>
          <w:szCs w:val="16"/>
        </w:rPr>
        <w:t>Art. 63.1: “</w:t>
      </w:r>
      <w:r w:rsidRPr="00AA2546">
        <w:rPr>
          <w:rFonts w:ascii="Verdana" w:hAnsi="Verdana" w:cs="Tahoma"/>
          <w:i/>
          <w:iCs/>
          <w:sz w:val="16"/>
          <w:szCs w:val="16"/>
        </w:rPr>
        <w:t xml:space="preserve">Cuando decida que hubo violación de un derecho o libertad protegidos en esta Convención, la Corte dispondrá que se garantice al lesionado en el goce de su derecho o libertad conculcados. </w:t>
      </w:r>
      <w:proofErr w:type="gramStart"/>
      <w:r w:rsidRPr="00AA2546">
        <w:rPr>
          <w:rFonts w:ascii="Verdana" w:hAnsi="Verdana" w:cs="Tahoma"/>
          <w:i/>
          <w:iCs/>
          <w:sz w:val="16"/>
          <w:szCs w:val="16"/>
        </w:rPr>
        <w:t>Dispondrá</w:t>
      </w:r>
      <w:proofErr w:type="gramEnd"/>
      <w:r w:rsidRPr="00AA2546">
        <w:rPr>
          <w:rFonts w:ascii="Verdana" w:hAnsi="Verdana" w:cs="Tahoma"/>
          <w:i/>
          <w:iCs/>
          <w:sz w:val="16"/>
          <w:szCs w:val="16"/>
        </w:rPr>
        <w:t xml:space="preserve"> asimismo, si ello fuera procedente, que se reparen las consecuencias de la medida o situación que ha configurado la vulneración de esos derechos y el pago de una justa indemnización a la parte lesionada.”</w:t>
      </w:r>
    </w:p>
    <w:p w14:paraId="72C53656" w14:textId="77777777" w:rsidR="00813091" w:rsidRPr="00AA2546" w:rsidRDefault="00813091" w:rsidP="00813091">
      <w:pPr>
        <w:pStyle w:val="NormalWeb"/>
        <w:ind w:left="-567" w:right="-567"/>
        <w:jc w:val="both"/>
        <w:rPr>
          <w:rFonts w:ascii="Verdana" w:hAnsi="Verdana"/>
          <w:sz w:val="16"/>
          <w:szCs w:val="16"/>
          <w:lang w:val="uz-Cyrl-UZ"/>
        </w:rPr>
      </w:pPr>
    </w:p>
  </w:footnote>
  <w:footnote w:id="45">
    <w:p w14:paraId="12C28771" w14:textId="77777777" w:rsidR="00813091" w:rsidRPr="00483988" w:rsidRDefault="00813091" w:rsidP="00813091">
      <w:pPr>
        <w:pStyle w:val="Textonotapie"/>
        <w:ind w:left="-567" w:right="-567"/>
        <w:rPr>
          <w:rFonts w:ascii="Verdana" w:hAnsi="Verdana"/>
          <w:sz w:val="16"/>
          <w:szCs w:val="16"/>
          <w:lang w:val="es-419"/>
        </w:rPr>
      </w:pPr>
      <w:r w:rsidRPr="00483988">
        <w:rPr>
          <w:rStyle w:val="Refdenotaalpie"/>
          <w:szCs w:val="16"/>
        </w:rPr>
        <w:footnoteRef/>
      </w:r>
      <w:r w:rsidRPr="00483988">
        <w:rPr>
          <w:rFonts w:ascii="Verdana" w:hAnsi="Verdana"/>
          <w:sz w:val="16"/>
          <w:szCs w:val="16"/>
        </w:rPr>
        <w:t xml:space="preserve"> </w:t>
      </w:r>
      <w:r w:rsidRPr="00483988">
        <w:rPr>
          <w:rFonts w:ascii="Verdana" w:hAnsi="Verdana"/>
          <w:i/>
          <w:iCs/>
          <w:sz w:val="16"/>
          <w:szCs w:val="16"/>
          <w:lang w:val="es-419"/>
        </w:rPr>
        <w:t>Supra</w:t>
      </w:r>
      <w:r w:rsidRPr="00483988">
        <w:rPr>
          <w:rFonts w:ascii="Verdana" w:hAnsi="Verdana"/>
          <w:sz w:val="16"/>
          <w:szCs w:val="16"/>
          <w:lang w:val="es-419"/>
        </w:rPr>
        <w:t xml:space="preserve">, Nota </w:t>
      </w:r>
      <w:proofErr w:type="spellStart"/>
      <w:r w:rsidRPr="00483988">
        <w:rPr>
          <w:rFonts w:ascii="Verdana" w:hAnsi="Verdana"/>
          <w:sz w:val="16"/>
          <w:szCs w:val="16"/>
          <w:lang w:val="es-419"/>
        </w:rPr>
        <w:t>N°</w:t>
      </w:r>
      <w:proofErr w:type="spellEnd"/>
      <w:r w:rsidRPr="00483988">
        <w:rPr>
          <w:rFonts w:ascii="Verdana" w:hAnsi="Verdana"/>
          <w:sz w:val="16"/>
          <w:szCs w:val="16"/>
          <w:lang w:val="es-419"/>
        </w:rPr>
        <w:t xml:space="preserve"> 24</w:t>
      </w:r>
      <w:r>
        <w:rPr>
          <w:rFonts w:ascii="Verdana" w:hAnsi="Verdana"/>
          <w:sz w:val="16"/>
          <w:szCs w:val="16"/>
          <w:lang w:val="es-419"/>
        </w:rPr>
        <w:t xml:space="preserve">, </w:t>
      </w:r>
      <w:r w:rsidRPr="00483988">
        <w:rPr>
          <w:rFonts w:ascii="Verdana" w:hAnsi="Verdana"/>
          <w:sz w:val="16"/>
          <w:szCs w:val="16"/>
          <w:lang w:val="es-419"/>
        </w:rPr>
        <w:t xml:space="preserve">Art.31.4 de la Convención de Viena. </w:t>
      </w:r>
    </w:p>
    <w:p w14:paraId="4BD2B9D0" w14:textId="77777777" w:rsidR="00813091" w:rsidRPr="00483988" w:rsidRDefault="00813091" w:rsidP="00813091">
      <w:pPr>
        <w:pStyle w:val="Textonotapie"/>
        <w:rPr>
          <w:lang w:val="es-419"/>
        </w:rPr>
      </w:pPr>
    </w:p>
  </w:footnote>
  <w:footnote w:id="46">
    <w:p w14:paraId="6E2F5081"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lang w:val="uz-Cyrl-UZ"/>
        </w:rPr>
        <w:t>Supra</w:t>
      </w:r>
      <w:r w:rsidRPr="00AA2546">
        <w:rPr>
          <w:rFonts w:ascii="Verdana" w:hAnsi="Verdana"/>
          <w:sz w:val="16"/>
          <w:szCs w:val="16"/>
          <w:lang w:val="uz-Cyrl-UZ"/>
        </w:rPr>
        <w:t>, Nota N° 2</w:t>
      </w:r>
      <w:r>
        <w:rPr>
          <w:rFonts w:ascii="Verdana" w:hAnsi="Verdana"/>
          <w:sz w:val="16"/>
          <w:szCs w:val="16"/>
          <w:lang w:val="es-419"/>
        </w:rPr>
        <w:t>4</w:t>
      </w:r>
      <w:r w:rsidRPr="00AA2546">
        <w:rPr>
          <w:rFonts w:ascii="Verdana" w:hAnsi="Verdana"/>
          <w:sz w:val="16"/>
          <w:szCs w:val="16"/>
          <w:lang w:val="uz-Cyrl-UZ"/>
        </w:rPr>
        <w:t>, art.31.</w:t>
      </w:r>
      <w:r>
        <w:rPr>
          <w:rFonts w:ascii="Verdana" w:hAnsi="Verdana"/>
          <w:sz w:val="16"/>
          <w:szCs w:val="16"/>
          <w:lang w:val="es-419"/>
        </w:rPr>
        <w:t>1</w:t>
      </w:r>
      <w:r w:rsidRPr="00AA2546">
        <w:rPr>
          <w:rFonts w:ascii="Verdana" w:hAnsi="Verdana"/>
          <w:sz w:val="16"/>
          <w:szCs w:val="16"/>
          <w:lang w:val="uz-Cyrl-UZ"/>
        </w:rPr>
        <w:t xml:space="preserve"> de la Convención de Viena.</w:t>
      </w:r>
    </w:p>
    <w:p w14:paraId="28304CF1" w14:textId="77777777" w:rsidR="00813091" w:rsidRPr="00AA2546" w:rsidRDefault="00813091" w:rsidP="00813091">
      <w:pPr>
        <w:pStyle w:val="Textonotapie"/>
        <w:ind w:left="-567" w:right="-567"/>
        <w:jc w:val="both"/>
        <w:rPr>
          <w:rFonts w:ascii="Verdana" w:hAnsi="Verdana"/>
          <w:sz w:val="16"/>
          <w:szCs w:val="16"/>
          <w:lang w:val="uz-Cyrl-UZ"/>
        </w:rPr>
      </w:pPr>
    </w:p>
  </w:footnote>
  <w:footnote w:id="47">
    <w:p w14:paraId="60047890" w14:textId="77777777" w:rsidR="00813091" w:rsidRPr="00AA2546" w:rsidRDefault="00813091" w:rsidP="00813091">
      <w:pPr>
        <w:pStyle w:val="Textonotapie"/>
        <w:ind w:left="-567" w:right="-567"/>
        <w:jc w:val="both"/>
        <w:rPr>
          <w:rFonts w:ascii="Verdana" w:eastAsia="Arial Unicode MS" w:hAnsi="Verdana" w:cs="Arial Unicode MS"/>
          <w:spacing w:val="4"/>
          <w:sz w:val="16"/>
          <w:szCs w:val="16"/>
          <w:shd w:val="clear" w:color="auto" w:fill="FFFFFF"/>
        </w:rPr>
      </w:pPr>
      <w:r w:rsidRPr="00AA2546">
        <w:rPr>
          <w:rStyle w:val="Refdenotaalpie"/>
          <w:szCs w:val="16"/>
        </w:rPr>
        <w:footnoteRef/>
      </w:r>
      <w:r w:rsidRPr="00AA2546">
        <w:rPr>
          <w:rFonts w:ascii="Verdana" w:hAnsi="Verdana"/>
          <w:sz w:val="16"/>
          <w:szCs w:val="16"/>
        </w:rPr>
        <w:t xml:space="preserve"> </w:t>
      </w:r>
      <w:r w:rsidRPr="00AA2546">
        <w:rPr>
          <w:rFonts w:ascii="Verdana" w:eastAsia="Arial Unicode MS" w:hAnsi="Verdana" w:cs="Arial Unicode MS"/>
          <w:spacing w:val="4"/>
          <w:sz w:val="16"/>
          <w:szCs w:val="16"/>
          <w:shd w:val="clear" w:color="auto" w:fill="FFFFFF"/>
        </w:rPr>
        <w:t>Diccionario de la Lengua Española, Real Academia Española, 2019.</w:t>
      </w:r>
    </w:p>
    <w:p w14:paraId="2692234D" w14:textId="77777777" w:rsidR="00813091" w:rsidRPr="00AA2546" w:rsidRDefault="00813091" w:rsidP="00813091">
      <w:pPr>
        <w:pStyle w:val="Textonotapie"/>
        <w:ind w:left="-567" w:right="-567"/>
        <w:jc w:val="both"/>
        <w:rPr>
          <w:rFonts w:ascii="Verdana" w:eastAsia="Arial Unicode MS" w:hAnsi="Verdana" w:cs="Arial Unicode MS"/>
          <w:spacing w:val="4"/>
          <w:sz w:val="16"/>
          <w:szCs w:val="16"/>
          <w:shd w:val="clear" w:color="auto" w:fill="FFFFFF"/>
        </w:rPr>
      </w:pPr>
    </w:p>
  </w:footnote>
  <w:footnote w:id="48">
    <w:p w14:paraId="4F610588"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D43589">
        <w:rPr>
          <w:rFonts w:ascii="Verdana" w:hAnsi="Verdana"/>
          <w:sz w:val="16"/>
          <w:szCs w:val="16"/>
          <w:lang w:val="pt-BR"/>
        </w:rPr>
        <w:t xml:space="preserve"> </w:t>
      </w:r>
      <w:r w:rsidRPr="00AA2546">
        <w:rPr>
          <w:rFonts w:ascii="Verdana" w:hAnsi="Verdana"/>
          <w:i/>
          <w:iCs/>
          <w:sz w:val="16"/>
          <w:szCs w:val="16"/>
          <w:lang w:val="uz-Cyrl-UZ"/>
        </w:rPr>
        <w:t>Supra</w:t>
      </w:r>
      <w:r w:rsidRPr="00AA2546">
        <w:rPr>
          <w:rFonts w:ascii="Verdana" w:hAnsi="Verdana"/>
          <w:sz w:val="16"/>
          <w:szCs w:val="16"/>
          <w:lang w:val="uz-Cyrl-UZ"/>
        </w:rPr>
        <w:t>, Notas N°s 1</w:t>
      </w:r>
      <w:r w:rsidRPr="00D43589">
        <w:rPr>
          <w:rFonts w:ascii="Verdana" w:hAnsi="Verdana"/>
          <w:sz w:val="16"/>
          <w:szCs w:val="16"/>
          <w:lang w:val="pt-BR"/>
        </w:rPr>
        <w:t>7</w:t>
      </w:r>
      <w:r w:rsidRPr="00AA2546">
        <w:rPr>
          <w:rFonts w:ascii="Verdana" w:hAnsi="Verdana"/>
          <w:sz w:val="16"/>
          <w:szCs w:val="16"/>
          <w:lang w:val="uz-Cyrl-UZ"/>
        </w:rPr>
        <w:t xml:space="preserve"> y 28.</w:t>
      </w:r>
    </w:p>
    <w:p w14:paraId="581E13F6" w14:textId="77777777" w:rsidR="00813091" w:rsidRPr="00AA2546" w:rsidRDefault="00813091" w:rsidP="00813091">
      <w:pPr>
        <w:pStyle w:val="Textonotapie"/>
        <w:ind w:right="-567"/>
        <w:jc w:val="both"/>
        <w:rPr>
          <w:rFonts w:ascii="Verdana" w:hAnsi="Verdana"/>
          <w:sz w:val="16"/>
          <w:szCs w:val="16"/>
          <w:lang w:val="uz-Cyrl-UZ"/>
        </w:rPr>
      </w:pPr>
    </w:p>
  </w:footnote>
  <w:footnote w:id="49">
    <w:p w14:paraId="14F0B13E"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rPr>
        <w:t>Infra</w:t>
      </w:r>
      <w:r w:rsidRPr="00AA2546">
        <w:rPr>
          <w:rFonts w:ascii="Verdana" w:hAnsi="Verdana"/>
          <w:sz w:val="16"/>
          <w:szCs w:val="16"/>
        </w:rPr>
        <w:t xml:space="preserve">, Nota </w:t>
      </w:r>
      <w:proofErr w:type="spellStart"/>
      <w:r w:rsidRPr="00AA2546">
        <w:rPr>
          <w:rFonts w:ascii="Verdana" w:hAnsi="Verdana"/>
          <w:sz w:val="16"/>
          <w:szCs w:val="16"/>
        </w:rPr>
        <w:t>N°</w:t>
      </w:r>
      <w:proofErr w:type="spellEnd"/>
      <w:r w:rsidRPr="00AA2546">
        <w:rPr>
          <w:rFonts w:ascii="Verdana" w:hAnsi="Verdana"/>
          <w:sz w:val="16"/>
          <w:szCs w:val="16"/>
        </w:rPr>
        <w:t xml:space="preserve"> </w:t>
      </w:r>
      <w:r w:rsidRPr="00AF6707">
        <w:rPr>
          <w:rFonts w:ascii="Verdana" w:hAnsi="Verdana"/>
          <w:color w:val="000000" w:themeColor="text1"/>
          <w:sz w:val="16"/>
        </w:rPr>
        <w:t>37</w:t>
      </w:r>
      <w:r w:rsidRPr="00AA2546">
        <w:rPr>
          <w:rFonts w:ascii="Verdana" w:hAnsi="Verdana"/>
          <w:sz w:val="16"/>
          <w:szCs w:val="16"/>
        </w:rPr>
        <w:t xml:space="preserve">, </w:t>
      </w:r>
      <w:r w:rsidRPr="00AA2546">
        <w:rPr>
          <w:rFonts w:ascii="Verdana" w:hAnsi="Verdana"/>
          <w:sz w:val="16"/>
          <w:szCs w:val="16"/>
          <w:lang w:val="uz-Cyrl-UZ"/>
        </w:rPr>
        <w:t xml:space="preserve">Art.27.3 del Reglamento de la Corte. </w:t>
      </w:r>
      <w:r w:rsidRPr="00AA2546">
        <w:rPr>
          <w:rFonts w:ascii="Verdana" w:hAnsi="Verdana"/>
          <w:sz w:val="16"/>
          <w:szCs w:val="16"/>
          <w:lang w:val="uz-Cyrl-UZ"/>
        </w:rPr>
        <w:t xml:space="preserve">En adelante, </w:t>
      </w:r>
      <w:r>
        <w:rPr>
          <w:rFonts w:ascii="Verdana" w:hAnsi="Verdana"/>
          <w:sz w:val="16"/>
          <w:szCs w:val="16"/>
          <w:lang w:val="es-419"/>
        </w:rPr>
        <w:t>é</w:t>
      </w:r>
      <w:r w:rsidRPr="00AA2546">
        <w:rPr>
          <w:rFonts w:ascii="Verdana" w:hAnsi="Verdana"/>
          <w:sz w:val="16"/>
          <w:szCs w:val="16"/>
          <w:lang w:val="uz-Cyrl-UZ"/>
        </w:rPr>
        <w:t xml:space="preserve">ste se denominará el Reglamento. </w:t>
      </w:r>
    </w:p>
    <w:p w14:paraId="70CC4813" w14:textId="77777777" w:rsidR="00813091" w:rsidRPr="00AA2546" w:rsidRDefault="00813091" w:rsidP="00813091">
      <w:pPr>
        <w:pStyle w:val="Textonotapie"/>
        <w:ind w:left="-567" w:right="-567"/>
        <w:jc w:val="both"/>
        <w:rPr>
          <w:rFonts w:ascii="Verdana" w:hAnsi="Verdana"/>
          <w:sz w:val="16"/>
          <w:szCs w:val="16"/>
          <w:lang w:val="uz-Cyrl-UZ"/>
        </w:rPr>
      </w:pPr>
    </w:p>
  </w:footnote>
  <w:footnote w:id="50">
    <w:p w14:paraId="67F5F5B7" w14:textId="77777777" w:rsidR="00813091" w:rsidRPr="00AA2546" w:rsidRDefault="00813091" w:rsidP="00813091">
      <w:pPr>
        <w:pStyle w:val="Textonotapie"/>
        <w:ind w:left="-567" w:right="-567"/>
        <w:jc w:val="both"/>
        <w:rPr>
          <w:rFonts w:ascii="Verdana" w:hAnsi="Verdana"/>
          <w:i/>
          <w:iCs/>
          <w:sz w:val="16"/>
          <w:szCs w:val="16"/>
        </w:rPr>
      </w:pPr>
      <w:r w:rsidRPr="00AA2546">
        <w:rPr>
          <w:rStyle w:val="Refdenotaalpie"/>
          <w:szCs w:val="16"/>
        </w:rPr>
        <w:footnoteRef/>
      </w:r>
      <w:r w:rsidRPr="00AA2546">
        <w:rPr>
          <w:rFonts w:ascii="Verdana" w:hAnsi="Verdana"/>
          <w:sz w:val="16"/>
          <w:szCs w:val="16"/>
        </w:rPr>
        <w:t xml:space="preserve"> Art.27 del Reglamento: </w:t>
      </w:r>
      <w:r w:rsidRPr="00AA2546">
        <w:rPr>
          <w:rFonts w:ascii="Verdana" w:hAnsi="Verdana"/>
          <w:i/>
          <w:iCs/>
          <w:sz w:val="16"/>
          <w:szCs w:val="16"/>
        </w:rPr>
        <w:t xml:space="preserve">“1. En cualquier estado del procedimiento, siempre que se trate de casos de extrema gravedad y urgencia y cuando sea necesario para evitar daños irreparables a las personas, la Corte, de oficio, podrá ordenar las medidas provisionales que considere pertinentes, en los términos del artículo 63.2 de la Convención. </w:t>
      </w:r>
    </w:p>
    <w:p w14:paraId="61E04E36"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2. Si se tratare de asuntos aún no sometidos a su conocimiento, la Corte podrá actuar a solicitud de la Comisión.  </w:t>
      </w:r>
    </w:p>
    <w:p w14:paraId="75255A8F"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3. En los casos contenciosos que se encuentren en conocimiento de la Corte, las víctimas o las presuntas víctimas, o sus representantes, podrán presentar directamente a ésta una solicitud de medidas provisionales, las que deberán tener relación con el objeto del caso.  </w:t>
      </w:r>
    </w:p>
    <w:p w14:paraId="35102433"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4. La solicitud puede ser presentada a la Presidencia, a cualquiera de los Jueces o a la Secretaría, por cualquier medio de comunicación. En todo caso, quien reciba la solicitud la pondrá de inmediato en conocimiento de la Presidencia.</w:t>
      </w:r>
    </w:p>
    <w:p w14:paraId="474982EE"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5. La Corte o, si ésta no estuviere reunida, la Presidencia, podrá requerir al Estado, a la Comisión o a los representantes de los beneficiarios, cuando lo considere posible e indispensable, la presentación de información sobre una solicitud de medidas provisionales, antes de resolver sobre la medida solicitada.  </w:t>
      </w:r>
    </w:p>
    <w:p w14:paraId="6A30CC76"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6. Si la Corte no estuviere reunida, la Presidencia, en consulta con la Comisión Permanente y, de ser posible, con los demás Jueces, requerirá del Estado respectivo que dicte las providencias urgentes necesarias a fin de asegurar la eficacia de las medidas provisionales que después pueda tomar la Corte en su próximo período de sesiones.  </w:t>
      </w:r>
    </w:p>
    <w:p w14:paraId="6D20A933"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7. La supervisión de las medidas urgentes o provisionales ordenadas se realizará mediante la presentación de informes estatales y de las correspondientes observaciones a dichos informes por parte de los beneficiarios de dichas medidas o sus representantes. La Comisión deberá presentar observaciones al informe del Estado y a las observaciones de los beneficiarios de las medidas o sus representantes.  </w:t>
      </w:r>
    </w:p>
    <w:p w14:paraId="1907FDAB"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8.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 </w:t>
      </w:r>
    </w:p>
    <w:p w14:paraId="629B5193"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9. La Corte, o su Presidencia si ésta no estuviere reunida, podrá convocar a la Comisión, a los beneficiarios de las medidas, o sus representantes, y al Estado a una audiencia pública o privada sobre las medidas provisionales. </w:t>
      </w:r>
    </w:p>
    <w:p w14:paraId="7B95670A"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10. La Corte incluirá en su informe anual a la Asamblea General una relación de las medidas provisionales que haya ordenado en el período del informe y, cuando dichas medidas no hayan sido debidamente ejecutadas, formulará las recomendaciones que estime pertinentes.”</w:t>
      </w:r>
    </w:p>
    <w:p w14:paraId="2D9EE764" w14:textId="77777777" w:rsidR="00813091" w:rsidRPr="00AA2546" w:rsidRDefault="00813091" w:rsidP="00813091">
      <w:pPr>
        <w:pStyle w:val="Textonotapie"/>
        <w:ind w:left="-567" w:right="-567"/>
        <w:jc w:val="both"/>
        <w:rPr>
          <w:rFonts w:ascii="Verdana" w:hAnsi="Verdana"/>
          <w:sz w:val="16"/>
          <w:szCs w:val="16"/>
          <w:lang w:val="uz-Cyrl-UZ"/>
        </w:rPr>
      </w:pPr>
    </w:p>
  </w:footnote>
  <w:footnote w:id="51">
    <w:p w14:paraId="441FAB70" w14:textId="77777777" w:rsidR="00813091" w:rsidRPr="00AA2546" w:rsidRDefault="00813091" w:rsidP="00813091">
      <w:pPr>
        <w:ind w:left="-567" w:right="-567"/>
        <w:jc w:val="both"/>
        <w:rPr>
          <w:rFonts w:ascii="Verdana" w:hAnsi="Verdana"/>
          <w:sz w:val="16"/>
          <w:szCs w:val="16"/>
          <w:lang w:val="es-ES"/>
        </w:rPr>
      </w:pPr>
      <w:r w:rsidRPr="00442716">
        <w:rPr>
          <w:rStyle w:val="Refdenotaalpie"/>
          <w:szCs w:val="16"/>
        </w:rPr>
        <w:footnoteRef/>
      </w:r>
      <w:r w:rsidRPr="00442716">
        <w:rPr>
          <w:rFonts w:ascii="Verdana" w:hAnsi="Verdana"/>
          <w:sz w:val="16"/>
          <w:szCs w:val="16"/>
        </w:rPr>
        <w:t xml:space="preserve"> </w:t>
      </w:r>
      <w:r w:rsidRPr="00442716">
        <w:rPr>
          <w:rFonts w:ascii="Verdana" w:hAnsi="Verdana"/>
          <w:iCs/>
          <w:sz w:val="16"/>
          <w:szCs w:val="16"/>
        </w:rPr>
        <w:t>Art.67</w:t>
      </w:r>
      <w:r w:rsidRPr="00442716">
        <w:rPr>
          <w:rFonts w:ascii="Verdana" w:hAnsi="Verdana"/>
          <w:i/>
          <w:sz w:val="16"/>
          <w:szCs w:val="16"/>
        </w:rPr>
        <w:t>:”</w:t>
      </w:r>
      <w:r w:rsidRPr="00442716">
        <w:rPr>
          <w:rFonts w:ascii="Verdana" w:hAnsi="Verdana"/>
          <w:i/>
          <w:sz w:val="16"/>
          <w:szCs w:val="16"/>
          <w:lang w:val="es-ES"/>
        </w:rPr>
        <w:t xml:space="preserve"> </w:t>
      </w:r>
      <w:r w:rsidRPr="00442716">
        <w:rPr>
          <w:rFonts w:ascii="Verdana" w:hAnsi="Verdana" w:cs="Tahoma"/>
          <w:i/>
          <w:color w:val="000000"/>
          <w:sz w:val="16"/>
          <w:szCs w:val="16"/>
        </w:rPr>
        <w:t>El fallo de la Corte será definitivo e inapelable</w:t>
      </w:r>
      <w:r w:rsidRPr="00442716">
        <w:rPr>
          <w:rFonts w:ascii="Verdana" w:hAnsi="Verdana"/>
          <w:i/>
          <w:sz w:val="16"/>
          <w:szCs w:val="16"/>
          <w:lang w:val="es-ES"/>
        </w:rPr>
        <w:t xml:space="preserve"> En caso de desacuerdo sobre el sentido o alcance del fallo, la Corte lo interpretará a solicitud</w:t>
      </w:r>
      <w:r w:rsidRPr="00AA2546">
        <w:rPr>
          <w:rFonts w:ascii="Verdana" w:hAnsi="Verdana"/>
          <w:i/>
          <w:sz w:val="16"/>
          <w:szCs w:val="16"/>
          <w:lang w:val="es-ES"/>
        </w:rPr>
        <w:t xml:space="preserve"> de cualquiera de las partes, siempre que dicha solicitud se presente dentro de los noventa días a partir de la fecha de la notificación del fallo.”</w:t>
      </w:r>
    </w:p>
    <w:p w14:paraId="0E00C5CD" w14:textId="77777777" w:rsidR="00813091" w:rsidRPr="00AA2546" w:rsidRDefault="00813091" w:rsidP="00813091">
      <w:pPr>
        <w:jc w:val="both"/>
        <w:rPr>
          <w:rFonts w:ascii="Verdana" w:hAnsi="Verdana"/>
          <w:sz w:val="16"/>
          <w:szCs w:val="16"/>
        </w:rPr>
      </w:pPr>
    </w:p>
  </w:footnote>
  <w:footnote w:id="52">
    <w:p w14:paraId="4EB10258"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lang w:val="uz-Cyrl-UZ"/>
        </w:rPr>
        <w:t>Supra</w:t>
      </w:r>
      <w:r w:rsidRPr="00AA2546">
        <w:rPr>
          <w:rFonts w:ascii="Verdana" w:hAnsi="Verdana"/>
          <w:sz w:val="16"/>
          <w:szCs w:val="16"/>
          <w:lang w:val="uz-Cyrl-UZ"/>
        </w:rPr>
        <w:t xml:space="preserve">, Nota N° </w:t>
      </w:r>
      <w:r w:rsidRPr="00AF6707">
        <w:rPr>
          <w:rFonts w:ascii="Verdana" w:hAnsi="Verdana"/>
          <w:color w:val="000000" w:themeColor="text1"/>
          <w:sz w:val="16"/>
          <w:lang w:val="es-419"/>
        </w:rPr>
        <w:t>38</w:t>
      </w:r>
      <w:r w:rsidRPr="00AF6707">
        <w:rPr>
          <w:rFonts w:ascii="Verdana" w:hAnsi="Verdana"/>
          <w:color w:val="000000" w:themeColor="text1"/>
          <w:sz w:val="16"/>
          <w:lang w:val="uz-Cyrl-UZ"/>
        </w:rPr>
        <w:t>.</w:t>
      </w:r>
    </w:p>
    <w:p w14:paraId="77B3BEA2" w14:textId="77777777" w:rsidR="00813091" w:rsidRPr="00AA2546" w:rsidRDefault="00813091" w:rsidP="00813091">
      <w:pPr>
        <w:pStyle w:val="Textonotapie"/>
        <w:ind w:left="-567" w:right="-567"/>
        <w:jc w:val="both"/>
        <w:rPr>
          <w:rFonts w:ascii="Verdana" w:hAnsi="Verdana"/>
          <w:sz w:val="16"/>
          <w:szCs w:val="16"/>
          <w:lang w:val="uz-Cyrl-UZ"/>
        </w:rPr>
      </w:pPr>
    </w:p>
  </w:footnote>
  <w:footnote w:id="53">
    <w:p w14:paraId="45A556CB" w14:textId="77777777" w:rsidR="00813091" w:rsidRPr="00AA2546" w:rsidRDefault="00813091" w:rsidP="00813091">
      <w:pPr>
        <w:ind w:left="-567" w:right="-567"/>
        <w:jc w:val="both"/>
        <w:rPr>
          <w:rFonts w:ascii="Verdana" w:hAnsi="Verdana"/>
          <w:sz w:val="16"/>
          <w:szCs w:val="16"/>
          <w:lang w:val="es-ES"/>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ES"/>
        </w:rPr>
        <w:t xml:space="preserve">Art. 65: </w:t>
      </w:r>
      <w:r w:rsidRPr="00AA2546">
        <w:rPr>
          <w:rFonts w:ascii="Verdana" w:hAnsi="Verdana"/>
          <w:i/>
          <w:sz w:val="16"/>
          <w:szCs w:val="16"/>
          <w:lang w:val="es-ES"/>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14:paraId="72FF9304" w14:textId="77777777" w:rsidR="00813091" w:rsidRPr="00AA2546" w:rsidRDefault="00813091" w:rsidP="00813091">
      <w:pPr>
        <w:pStyle w:val="Textonotapie"/>
        <w:ind w:left="-567" w:right="-567"/>
        <w:jc w:val="both"/>
        <w:rPr>
          <w:rFonts w:ascii="Verdana" w:hAnsi="Verdana"/>
          <w:sz w:val="16"/>
          <w:szCs w:val="16"/>
        </w:rPr>
      </w:pPr>
    </w:p>
  </w:footnote>
  <w:footnote w:id="54">
    <w:p w14:paraId="51B80886" w14:textId="77777777" w:rsidR="00813091" w:rsidRPr="003F298B" w:rsidRDefault="00813091" w:rsidP="00813091">
      <w:pPr>
        <w:pStyle w:val="Textonotapie"/>
        <w:ind w:left="-567" w:right="-567"/>
        <w:jc w:val="both"/>
        <w:rPr>
          <w:rFonts w:ascii="Verdana" w:hAnsi="Verdana"/>
          <w:i/>
          <w:iCs/>
          <w:sz w:val="16"/>
          <w:szCs w:val="16"/>
        </w:rPr>
      </w:pPr>
      <w:r w:rsidRPr="00AA2546">
        <w:rPr>
          <w:rStyle w:val="Refdenotaalpie"/>
          <w:szCs w:val="16"/>
        </w:rPr>
        <w:footnoteRef/>
      </w:r>
      <w:r w:rsidRPr="00AA2546">
        <w:rPr>
          <w:rFonts w:ascii="Verdana" w:hAnsi="Verdana"/>
          <w:sz w:val="16"/>
          <w:szCs w:val="16"/>
        </w:rPr>
        <w:t xml:space="preserve"> Art. 66.1 del Reglamento: “</w:t>
      </w:r>
      <w:r w:rsidRPr="00AA2546">
        <w:rPr>
          <w:rFonts w:ascii="Verdana" w:hAnsi="Verdana"/>
          <w:i/>
          <w:iCs/>
          <w:sz w:val="16"/>
          <w:szCs w:val="16"/>
        </w:rPr>
        <w:t xml:space="preserve">Cuando en la sentencia de fondo no se hubiere decidido específicamente sobre reparaciones y costas, la Corte fijará la oportunidad para su posterior decisión y determinará el procedimiento.” </w:t>
      </w:r>
    </w:p>
    <w:p w14:paraId="1C2BD120" w14:textId="77777777" w:rsidR="00813091" w:rsidRPr="00AA2546" w:rsidRDefault="00813091" w:rsidP="00813091">
      <w:pPr>
        <w:pStyle w:val="Textonotapie"/>
        <w:ind w:left="-567" w:right="-567"/>
        <w:jc w:val="both"/>
        <w:rPr>
          <w:rFonts w:ascii="Verdana" w:hAnsi="Verdana"/>
          <w:sz w:val="16"/>
          <w:szCs w:val="16"/>
        </w:rPr>
      </w:pPr>
    </w:p>
  </w:footnote>
  <w:footnote w:id="55">
    <w:p w14:paraId="5802874C"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Art. 76 del Reglamento: “</w:t>
      </w:r>
      <w:r w:rsidRPr="00AA2546">
        <w:rPr>
          <w:rFonts w:ascii="Verdana" w:hAnsi="Verdana"/>
          <w:i/>
          <w:iCs/>
          <w:sz w:val="16"/>
          <w:szCs w:val="16"/>
        </w:rPr>
        <w:t>La Corte podrá, a iniciativa propia o a solicitud de parte, presentada dentro del mes siguiente a la notificación de la sentencia o resolución de que se trate, rectificar errores notorios, de edición o de cálculo. De efectuarse alguna rectificación la Corte la notificará a la Comisión, a las víctimas o sus representantes, al Estado demandado y, en su caso, al Estado demandante.”</w:t>
      </w:r>
    </w:p>
    <w:p w14:paraId="740D642B" w14:textId="77777777" w:rsidR="00813091" w:rsidRPr="00AA2546" w:rsidRDefault="00813091" w:rsidP="00813091">
      <w:pPr>
        <w:pStyle w:val="Textonotapie"/>
        <w:ind w:left="-567" w:right="-567"/>
        <w:jc w:val="both"/>
        <w:rPr>
          <w:rFonts w:ascii="Verdana" w:hAnsi="Verdana"/>
          <w:sz w:val="16"/>
          <w:szCs w:val="16"/>
        </w:rPr>
      </w:pPr>
    </w:p>
  </w:footnote>
  <w:footnote w:id="56">
    <w:p w14:paraId="40C8C599" w14:textId="30FB24B0" w:rsidR="00813091" w:rsidRDefault="00813091" w:rsidP="00813091">
      <w:pPr>
        <w:pStyle w:val="Textonotapie"/>
        <w:ind w:left="-567" w:right="-567"/>
        <w:jc w:val="both"/>
        <w:rPr>
          <w:rFonts w:ascii="Verdana" w:hAnsi="Verdana"/>
          <w:i/>
          <w:iCs/>
          <w:sz w:val="16"/>
          <w:szCs w:val="16"/>
        </w:rPr>
      </w:pPr>
      <w:r w:rsidRPr="00AA2546">
        <w:rPr>
          <w:rStyle w:val="Refdenotaalpie"/>
          <w:szCs w:val="16"/>
        </w:rPr>
        <w:footnoteRef/>
      </w:r>
      <w:r w:rsidRPr="00AA2546">
        <w:rPr>
          <w:rFonts w:ascii="Verdana" w:hAnsi="Verdana"/>
          <w:sz w:val="16"/>
          <w:szCs w:val="16"/>
        </w:rPr>
        <w:t xml:space="preserve"> Art. 69 del Reglamento: </w:t>
      </w:r>
      <w:r w:rsidRPr="00AA2546">
        <w:rPr>
          <w:rFonts w:ascii="Verdana" w:hAnsi="Verdana"/>
          <w:i/>
          <w:iCs/>
          <w:sz w:val="16"/>
          <w:szCs w:val="16"/>
        </w:rPr>
        <w:t xml:space="preserve">“La supervisión de las sentencias y demás decisiones de la Corte se realizará mediante la presentación de informes estatales y de las correspondientes observaciones a dichos informes por parte de las víctimas o sus representantes. La Comisión deberá presentar observaciones al informe del Estado y a las observaciones de las víctimas o sus representantes.  </w:t>
      </w:r>
    </w:p>
    <w:p w14:paraId="2DBB386C" w14:textId="027061D4" w:rsidR="00813091" w:rsidRDefault="00813091" w:rsidP="00813091">
      <w:pPr>
        <w:pStyle w:val="Textonotapie"/>
        <w:ind w:left="-567" w:right="-567"/>
        <w:jc w:val="both"/>
        <w:rPr>
          <w:rFonts w:ascii="Verdana" w:hAnsi="Verdana"/>
          <w:i/>
          <w:iCs/>
          <w:sz w:val="16"/>
          <w:szCs w:val="16"/>
        </w:rPr>
      </w:pPr>
    </w:p>
    <w:p w14:paraId="2C65A648" w14:textId="77777777" w:rsidR="00813091" w:rsidRPr="00AA2546" w:rsidRDefault="00813091" w:rsidP="00813091">
      <w:pPr>
        <w:pStyle w:val="Textonotapie"/>
        <w:ind w:left="-567" w:right="-567"/>
        <w:jc w:val="both"/>
        <w:rPr>
          <w:rFonts w:ascii="Verdana" w:hAnsi="Verdana"/>
          <w:i/>
          <w:iCs/>
          <w:sz w:val="16"/>
          <w:szCs w:val="16"/>
        </w:rPr>
      </w:pPr>
    </w:p>
    <w:p w14:paraId="715161B6"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2. La Corte podrá requerir a otras fuentes de información datos relevantes sobre el caso, que permitan apreciar el cumplimiento. Para los mismos efectos podrá también requerir los peritajes e informes que considere oportunos. </w:t>
      </w:r>
    </w:p>
    <w:p w14:paraId="5A1E68DE"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3. Cuando lo considere pertinente, el Tribunal podrá convocar al Estado y a los representantes de las víctimas a una audiencia para supervisar el cumplimiento de sus decisiones, y en ésta escuchará el parecer de la Comisión. </w:t>
      </w:r>
    </w:p>
    <w:p w14:paraId="5BAA0043"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 xml:space="preserve">4. Una vez que el Tribunal cuente con la información pertinente, determinará el estado del cumplimiento de lo resuelto y emitirá las resoluciones que estime pertinentes.  </w:t>
      </w:r>
    </w:p>
    <w:p w14:paraId="23D8EE99" w14:textId="77777777" w:rsidR="00813091" w:rsidRPr="00AA2546" w:rsidRDefault="00813091" w:rsidP="00813091">
      <w:pPr>
        <w:pStyle w:val="Textonotapie"/>
        <w:ind w:left="-567" w:right="-567"/>
        <w:jc w:val="both"/>
        <w:rPr>
          <w:rFonts w:ascii="Verdana" w:hAnsi="Verdana"/>
          <w:i/>
          <w:iCs/>
          <w:sz w:val="16"/>
          <w:szCs w:val="16"/>
        </w:rPr>
      </w:pPr>
      <w:r w:rsidRPr="00AA2546">
        <w:rPr>
          <w:rFonts w:ascii="Verdana" w:hAnsi="Verdana"/>
          <w:i/>
          <w:iCs/>
          <w:sz w:val="16"/>
          <w:szCs w:val="16"/>
        </w:rPr>
        <w:t>5. Estas disposiciones se aplican también para casos no sometidos por la Comisión.”</w:t>
      </w:r>
    </w:p>
    <w:p w14:paraId="54461868" w14:textId="77777777" w:rsidR="00813091" w:rsidRPr="00AA2546" w:rsidRDefault="00813091" w:rsidP="00813091">
      <w:pPr>
        <w:pStyle w:val="Textonotapie"/>
        <w:ind w:left="-567" w:right="-567"/>
        <w:jc w:val="both"/>
        <w:rPr>
          <w:rFonts w:ascii="Verdana" w:hAnsi="Verdana"/>
          <w:sz w:val="16"/>
          <w:szCs w:val="16"/>
        </w:rPr>
      </w:pPr>
    </w:p>
  </w:footnote>
  <w:footnote w:id="57">
    <w:p w14:paraId="202329CC" w14:textId="52A8EEB3" w:rsidR="00813091"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Diccionario de la Lengua Española, Diccionario de la Real Academia Española, 2019.</w:t>
      </w:r>
    </w:p>
    <w:p w14:paraId="35DA3201" w14:textId="77777777" w:rsidR="00813091" w:rsidRPr="00AA2546" w:rsidRDefault="00813091" w:rsidP="00813091">
      <w:pPr>
        <w:pStyle w:val="Textonotapie"/>
        <w:ind w:left="-567" w:right="-567"/>
        <w:jc w:val="both"/>
        <w:rPr>
          <w:rFonts w:ascii="Verdana" w:hAnsi="Verdana"/>
          <w:sz w:val="16"/>
          <w:szCs w:val="16"/>
          <w:lang w:val="uz-Cyrl-UZ"/>
        </w:rPr>
      </w:pPr>
    </w:p>
    <w:p w14:paraId="00072CB0" w14:textId="77777777" w:rsidR="00813091" w:rsidRPr="00AA2546" w:rsidRDefault="00813091" w:rsidP="00813091">
      <w:pPr>
        <w:pStyle w:val="Textonotapie"/>
        <w:ind w:left="-567" w:right="-567"/>
        <w:jc w:val="both"/>
        <w:rPr>
          <w:rFonts w:ascii="Verdana" w:hAnsi="Verdana"/>
          <w:sz w:val="16"/>
          <w:szCs w:val="16"/>
          <w:lang w:val="uz-Cyrl-UZ"/>
        </w:rPr>
      </w:pPr>
    </w:p>
  </w:footnote>
  <w:footnote w:id="58">
    <w:p w14:paraId="2E4A0A8B" w14:textId="77777777" w:rsidR="00813091" w:rsidRPr="00AF6707" w:rsidRDefault="00813091" w:rsidP="00813091">
      <w:pPr>
        <w:ind w:left="-567" w:right="-567"/>
        <w:jc w:val="both"/>
        <w:rPr>
          <w:rFonts w:ascii="Verdana" w:hAnsi="Verdana"/>
          <w:color w:val="000000" w:themeColor="text1"/>
          <w:sz w:val="16"/>
          <w:lang w:val="es-PR"/>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rPr>
        <w:t xml:space="preserve">Supra, </w:t>
      </w:r>
      <w:r w:rsidRPr="00AA2546">
        <w:rPr>
          <w:rFonts w:ascii="Verdana" w:eastAsiaTheme="minorEastAsia" w:hAnsi="Verdana"/>
          <w:sz w:val="16"/>
          <w:szCs w:val="16"/>
          <w:lang w:val="es-PR"/>
        </w:rPr>
        <w:t xml:space="preserve">Nota </w:t>
      </w:r>
      <w:proofErr w:type="spellStart"/>
      <w:r w:rsidRPr="00AA2546">
        <w:rPr>
          <w:rFonts w:ascii="Verdana" w:eastAsiaTheme="minorEastAsia" w:hAnsi="Verdana"/>
          <w:sz w:val="16"/>
          <w:szCs w:val="16"/>
          <w:lang w:val="es-PR"/>
        </w:rPr>
        <w:t>N°</w:t>
      </w:r>
      <w:proofErr w:type="spellEnd"/>
      <w:r w:rsidRPr="00AA2546">
        <w:rPr>
          <w:rFonts w:ascii="Verdana" w:eastAsiaTheme="minorEastAsia" w:hAnsi="Verdana"/>
          <w:sz w:val="16"/>
          <w:szCs w:val="16"/>
          <w:lang w:val="es-PR"/>
        </w:rPr>
        <w:t xml:space="preserve"> </w:t>
      </w:r>
      <w:r w:rsidRPr="00AF6707">
        <w:rPr>
          <w:rFonts w:ascii="Verdana" w:hAnsi="Verdana"/>
          <w:color w:val="000000" w:themeColor="text1"/>
          <w:sz w:val="16"/>
          <w:lang w:val="es-PR"/>
        </w:rPr>
        <w:t>31.</w:t>
      </w:r>
    </w:p>
    <w:p w14:paraId="69834F96" w14:textId="77777777" w:rsidR="00813091" w:rsidRPr="00AA2546" w:rsidRDefault="00813091" w:rsidP="00813091">
      <w:pPr>
        <w:ind w:left="-850" w:right="-624"/>
        <w:jc w:val="both"/>
        <w:rPr>
          <w:rFonts w:ascii="Verdana" w:eastAsiaTheme="minorEastAsia" w:hAnsi="Verdana"/>
          <w:sz w:val="16"/>
          <w:szCs w:val="16"/>
          <w:lang w:val="es-PR"/>
        </w:rPr>
      </w:pPr>
    </w:p>
  </w:footnote>
  <w:footnote w:id="59">
    <w:p w14:paraId="6D9113D7" w14:textId="77777777" w:rsidR="00813091" w:rsidRPr="00AA2546" w:rsidRDefault="00813091" w:rsidP="00813091">
      <w:pPr>
        <w:pStyle w:val="Textonotapie"/>
        <w:ind w:lef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Anuario de la Corte, 2019.</w:t>
      </w:r>
    </w:p>
    <w:p w14:paraId="71B323F3" w14:textId="77777777" w:rsidR="00813091" w:rsidRPr="00AA2546" w:rsidRDefault="00813091" w:rsidP="00813091">
      <w:pPr>
        <w:pStyle w:val="Textonotapie"/>
        <w:jc w:val="both"/>
        <w:rPr>
          <w:rFonts w:ascii="Verdana" w:hAnsi="Verdana"/>
          <w:sz w:val="16"/>
          <w:szCs w:val="16"/>
          <w:lang w:val="uz-Cyrl-UZ"/>
        </w:rPr>
      </w:pPr>
    </w:p>
  </w:footnote>
  <w:footnote w:id="60">
    <w:p w14:paraId="0077236F" w14:textId="77777777" w:rsidR="00813091" w:rsidRPr="00AA2546" w:rsidRDefault="00813091" w:rsidP="00813091">
      <w:pPr>
        <w:pStyle w:val="Textonotapie"/>
        <w:ind w:lef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i/>
          <w:iCs/>
          <w:sz w:val="16"/>
          <w:szCs w:val="16"/>
          <w:lang w:val="uz-Cyrl-UZ"/>
        </w:rPr>
        <w:t xml:space="preserve">Supra </w:t>
      </w:r>
      <w:r w:rsidRPr="00AA2546">
        <w:rPr>
          <w:rFonts w:ascii="Verdana" w:hAnsi="Verdana"/>
          <w:sz w:val="16"/>
          <w:szCs w:val="16"/>
          <w:lang w:val="uz-Cyrl-UZ"/>
        </w:rPr>
        <w:t>II.6.</w:t>
      </w:r>
    </w:p>
    <w:p w14:paraId="7596FA11" w14:textId="77777777" w:rsidR="00813091" w:rsidRPr="00AA2546" w:rsidRDefault="00813091" w:rsidP="00813091">
      <w:pPr>
        <w:pStyle w:val="Textonotapie"/>
        <w:ind w:left="-850"/>
        <w:jc w:val="both"/>
        <w:rPr>
          <w:rFonts w:ascii="Verdana" w:hAnsi="Verdana"/>
          <w:sz w:val="16"/>
          <w:szCs w:val="16"/>
          <w:lang w:val="uz-Cyrl-UZ"/>
        </w:rPr>
      </w:pPr>
    </w:p>
  </w:footnote>
  <w:footnote w:id="61">
    <w:p w14:paraId="3C04467A" w14:textId="77777777" w:rsidR="00813091" w:rsidRPr="00AA2546" w:rsidRDefault="00813091" w:rsidP="00813091">
      <w:pPr>
        <w:pStyle w:val="Textonotapie"/>
        <w:ind w:left="-567" w:right="-567"/>
        <w:jc w:val="both"/>
        <w:rPr>
          <w:rFonts w:ascii="Verdana" w:hAnsi="Verdana"/>
          <w:sz w:val="16"/>
          <w:szCs w:val="16"/>
        </w:rPr>
      </w:pPr>
      <w:r w:rsidRPr="00AA2546">
        <w:rPr>
          <w:rStyle w:val="Refdenotaalpie"/>
          <w:szCs w:val="16"/>
        </w:rPr>
        <w:footnoteRef/>
      </w:r>
      <w:r w:rsidRPr="00AA2546">
        <w:rPr>
          <w:rFonts w:ascii="Verdana" w:hAnsi="Verdana"/>
          <w:sz w:val="16"/>
          <w:szCs w:val="16"/>
        </w:rPr>
        <w:t xml:space="preserve"> En adelante, SIDH.</w:t>
      </w:r>
    </w:p>
    <w:p w14:paraId="0B1095B5" w14:textId="77777777" w:rsidR="00813091" w:rsidRPr="00AA2546" w:rsidRDefault="00813091" w:rsidP="00813091">
      <w:pPr>
        <w:pStyle w:val="Textonotapie"/>
        <w:ind w:left="-567" w:right="-567"/>
        <w:jc w:val="both"/>
        <w:rPr>
          <w:rFonts w:ascii="Verdana" w:hAnsi="Verdana"/>
          <w:sz w:val="16"/>
          <w:szCs w:val="16"/>
          <w:lang w:val="uz-Cyrl-UZ"/>
        </w:rPr>
      </w:pPr>
    </w:p>
  </w:footnote>
  <w:footnote w:id="62">
    <w:p w14:paraId="164BFD00" w14:textId="77777777" w:rsidR="00813091" w:rsidRPr="00AA2546" w:rsidRDefault="00813091" w:rsidP="00813091">
      <w:pPr>
        <w:ind w:left="-567" w:right="-567"/>
        <w:jc w:val="both"/>
        <w:rPr>
          <w:rFonts w:ascii="Verdana" w:hAnsi="Verdana"/>
          <w:i/>
          <w:iCs/>
          <w:sz w:val="16"/>
          <w:szCs w:val="16"/>
          <w:lang w:val="es-ES"/>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ES"/>
        </w:rPr>
        <w:t xml:space="preserve">Art. 33: </w:t>
      </w:r>
      <w:r w:rsidRPr="00AA2546">
        <w:rPr>
          <w:rFonts w:ascii="Verdana" w:hAnsi="Verdana"/>
          <w:i/>
          <w:iCs/>
          <w:sz w:val="16"/>
          <w:szCs w:val="16"/>
          <w:lang w:val="es-ES"/>
        </w:rPr>
        <w:t>“Son competentes para conocer de los asuntos relacionados con el cumplimiento de los compromisos contraídos por los Estados Partes en esta Convención:</w:t>
      </w:r>
    </w:p>
    <w:p w14:paraId="7C359DF9" w14:textId="77777777" w:rsidR="00813091" w:rsidRPr="00AA2546" w:rsidRDefault="00813091" w:rsidP="00813091">
      <w:pPr>
        <w:ind w:left="-567" w:right="-567"/>
        <w:jc w:val="both"/>
        <w:rPr>
          <w:rFonts w:ascii="Verdana" w:hAnsi="Verdana"/>
          <w:i/>
          <w:iCs/>
          <w:sz w:val="16"/>
          <w:szCs w:val="16"/>
          <w:lang w:val="es-ES"/>
        </w:rPr>
      </w:pPr>
      <w:r w:rsidRPr="00AA2546">
        <w:rPr>
          <w:rFonts w:ascii="Verdana" w:hAnsi="Verdana"/>
          <w:i/>
          <w:iCs/>
          <w:sz w:val="16"/>
          <w:szCs w:val="16"/>
          <w:lang w:val="es-ES"/>
        </w:rPr>
        <w:t xml:space="preserve"> a) la Comisión Interamericana de Derechos Humanos, llamada en adelante la Comisión, y</w:t>
      </w:r>
    </w:p>
    <w:p w14:paraId="2FFA4368" w14:textId="77777777" w:rsidR="00813091" w:rsidRPr="00AA2546" w:rsidRDefault="00813091" w:rsidP="00813091">
      <w:pPr>
        <w:ind w:left="-567" w:right="-567"/>
        <w:jc w:val="both"/>
        <w:rPr>
          <w:rFonts w:ascii="Verdana" w:hAnsi="Verdana"/>
          <w:sz w:val="16"/>
          <w:szCs w:val="16"/>
          <w:lang w:val="es-ES"/>
        </w:rPr>
      </w:pPr>
      <w:r w:rsidRPr="00AA2546">
        <w:rPr>
          <w:rFonts w:ascii="Verdana" w:hAnsi="Verdana"/>
          <w:i/>
          <w:iCs/>
          <w:sz w:val="16"/>
          <w:szCs w:val="16"/>
          <w:lang w:val="es-ES"/>
        </w:rPr>
        <w:t xml:space="preserve"> b) la Corte Interamericana de Derechos Humanos, llamada en adelante la</w:t>
      </w:r>
      <w:r w:rsidRPr="00AA2546">
        <w:rPr>
          <w:rFonts w:ascii="Verdana" w:hAnsi="Verdana"/>
          <w:sz w:val="16"/>
          <w:szCs w:val="16"/>
          <w:lang w:val="es-ES"/>
        </w:rPr>
        <w:t xml:space="preserve"> Corte.”</w:t>
      </w:r>
    </w:p>
    <w:p w14:paraId="2EF8C0A1" w14:textId="77777777" w:rsidR="00813091" w:rsidRPr="00AA2546" w:rsidRDefault="00813091" w:rsidP="00813091">
      <w:pPr>
        <w:ind w:left="-567" w:right="-567"/>
        <w:jc w:val="both"/>
        <w:rPr>
          <w:rFonts w:ascii="Verdana" w:hAnsi="Verdana"/>
          <w:sz w:val="16"/>
          <w:szCs w:val="16"/>
          <w:lang w:val="uz-Cyrl-UZ"/>
        </w:rPr>
      </w:pPr>
    </w:p>
  </w:footnote>
  <w:footnote w:id="63">
    <w:p w14:paraId="18029DC8" w14:textId="77777777" w:rsidR="00813091" w:rsidRPr="00AA2546" w:rsidRDefault="00813091" w:rsidP="00813091">
      <w:pPr>
        <w:ind w:left="-567" w:right="-567"/>
        <w:jc w:val="both"/>
        <w:rPr>
          <w:rFonts w:ascii="Verdana" w:hAnsi="Verdana"/>
          <w:i/>
          <w:iCs/>
          <w:sz w:val="16"/>
          <w:szCs w:val="16"/>
          <w:lang w:val="es-ES"/>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ES"/>
        </w:rPr>
        <w:t>Art.44:</w:t>
      </w:r>
      <w:r w:rsidRPr="00AA2546">
        <w:rPr>
          <w:rFonts w:ascii="Verdana" w:hAnsi="Verdana"/>
          <w:i/>
          <w:iCs/>
          <w:sz w:val="16"/>
          <w:szCs w:val="16"/>
          <w:lang w:val="es-ES"/>
        </w:rPr>
        <w:t xml:space="preserve"> “Cualquier persona o grupo de personas, o entidad no gubernamental legalmente reconocida en uno o más Estados miembros de la Organización, puede presentar a la Comisión peticiones que contengan denuncias o quejas de violación de esta Convención por un Estado parte.”</w:t>
      </w:r>
    </w:p>
    <w:p w14:paraId="376BCB76" w14:textId="77777777" w:rsidR="00813091" w:rsidRPr="00AA2546" w:rsidRDefault="00813091" w:rsidP="00813091">
      <w:pPr>
        <w:ind w:left="-567" w:right="-567"/>
        <w:jc w:val="both"/>
        <w:rPr>
          <w:rFonts w:ascii="Verdana" w:hAnsi="Verdana"/>
          <w:i/>
          <w:iCs/>
          <w:sz w:val="16"/>
          <w:szCs w:val="16"/>
          <w:lang w:val="es-ES"/>
        </w:rPr>
      </w:pPr>
    </w:p>
  </w:footnote>
  <w:footnote w:id="64">
    <w:p w14:paraId="3D69447C" w14:textId="77777777" w:rsidR="00813091" w:rsidRPr="00AA2546" w:rsidRDefault="00813091" w:rsidP="00813091">
      <w:pPr>
        <w:ind w:left="-567" w:right="-567"/>
        <w:jc w:val="both"/>
        <w:rPr>
          <w:rFonts w:ascii="Verdana" w:hAnsi="Verdana"/>
          <w:i/>
          <w:iCs/>
          <w:sz w:val="16"/>
          <w:szCs w:val="16"/>
          <w:lang w:val="es-ES"/>
        </w:rPr>
      </w:pPr>
      <w:r w:rsidRPr="00AA2546">
        <w:rPr>
          <w:rStyle w:val="Refdenotaalpie"/>
          <w:szCs w:val="16"/>
        </w:rPr>
        <w:footnoteRef/>
      </w:r>
      <w:r w:rsidRPr="00AA2546">
        <w:rPr>
          <w:rFonts w:ascii="Verdana" w:hAnsi="Verdana"/>
          <w:sz w:val="16"/>
          <w:szCs w:val="16"/>
        </w:rPr>
        <w:t xml:space="preserve"> Art.61.1: </w:t>
      </w:r>
      <w:r w:rsidRPr="00AA2546">
        <w:rPr>
          <w:rFonts w:ascii="Verdana" w:hAnsi="Verdana"/>
          <w:i/>
          <w:iCs/>
          <w:sz w:val="16"/>
          <w:szCs w:val="16"/>
        </w:rPr>
        <w:t>“</w:t>
      </w:r>
      <w:r w:rsidRPr="00AA2546">
        <w:rPr>
          <w:rFonts w:ascii="Verdana" w:hAnsi="Verdana"/>
          <w:i/>
          <w:iCs/>
          <w:sz w:val="16"/>
          <w:szCs w:val="16"/>
          <w:lang w:val="es-ES"/>
        </w:rPr>
        <w:t>Sólo los Estados Partes y la Comisión tienen derecho a someter un caso a la decisión de la Corte.”</w:t>
      </w:r>
    </w:p>
    <w:p w14:paraId="0A7521FE" w14:textId="77777777" w:rsidR="00813091" w:rsidRPr="00AA2546" w:rsidRDefault="00813091" w:rsidP="00813091">
      <w:pPr>
        <w:ind w:left="-567" w:right="-567"/>
        <w:jc w:val="both"/>
        <w:rPr>
          <w:rFonts w:ascii="Verdana" w:hAnsi="Verdana"/>
          <w:i/>
          <w:iCs/>
          <w:sz w:val="16"/>
          <w:szCs w:val="16"/>
          <w:lang w:val="es-ES"/>
        </w:rPr>
      </w:pPr>
    </w:p>
  </w:footnote>
  <w:footnote w:id="65">
    <w:p w14:paraId="4AA5B1B0" w14:textId="77777777" w:rsidR="00813091" w:rsidRPr="00AA2546" w:rsidRDefault="00813091" w:rsidP="00813091">
      <w:pPr>
        <w:pStyle w:val="NormalWeb"/>
        <w:ind w:left="-567" w:right="-567"/>
        <w:jc w:val="both"/>
        <w:rPr>
          <w:rFonts w:ascii="Verdana" w:hAnsi="Verdana" w:cs="Tahoma"/>
          <w:sz w:val="16"/>
          <w:szCs w:val="16"/>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es-ES"/>
        </w:rPr>
        <w:t>Art. 57: “</w:t>
      </w:r>
      <w:r w:rsidRPr="00AA2546">
        <w:rPr>
          <w:rFonts w:ascii="Verdana" w:hAnsi="Verdana"/>
          <w:i/>
          <w:iCs/>
          <w:sz w:val="16"/>
          <w:szCs w:val="16"/>
          <w:lang w:val="es-ES"/>
        </w:rPr>
        <w:t>La Comisión comparecerá en todos los casos ante la Corte.”</w:t>
      </w:r>
    </w:p>
    <w:p w14:paraId="519E916A" w14:textId="77777777" w:rsidR="00813091" w:rsidRPr="00AA2546" w:rsidRDefault="00813091" w:rsidP="00813091">
      <w:pPr>
        <w:pStyle w:val="NormalWeb"/>
        <w:ind w:left="-567" w:right="-567"/>
        <w:jc w:val="both"/>
        <w:rPr>
          <w:rFonts w:ascii="Verdana" w:hAnsi="Verdana"/>
          <w:sz w:val="16"/>
          <w:szCs w:val="16"/>
          <w:lang w:val="uz-Cyrl-UZ"/>
        </w:rPr>
      </w:pPr>
    </w:p>
  </w:footnote>
  <w:footnote w:id="66">
    <w:p w14:paraId="4B3D7F9A" w14:textId="77777777" w:rsidR="00813091" w:rsidRPr="00D43589" w:rsidRDefault="00813091" w:rsidP="00813091">
      <w:pPr>
        <w:ind w:left="-567" w:right="-567"/>
        <w:jc w:val="both"/>
        <w:rPr>
          <w:rFonts w:ascii="Verdana" w:hAnsi="Verdana"/>
          <w:sz w:val="16"/>
          <w:szCs w:val="16"/>
          <w:lang w:val="pt-BR"/>
        </w:rPr>
      </w:pPr>
      <w:r w:rsidRPr="00AA2546">
        <w:rPr>
          <w:rStyle w:val="Refdenotaalpie"/>
          <w:szCs w:val="16"/>
        </w:rPr>
        <w:footnoteRef/>
      </w:r>
      <w:r w:rsidRPr="00D43589">
        <w:rPr>
          <w:rFonts w:ascii="Verdana" w:hAnsi="Verdana"/>
          <w:sz w:val="16"/>
          <w:szCs w:val="16"/>
          <w:lang w:val="pt-BR"/>
        </w:rPr>
        <w:t xml:space="preserve"> </w:t>
      </w:r>
      <w:r w:rsidRPr="00D43589">
        <w:rPr>
          <w:rFonts w:ascii="Verdana" w:hAnsi="Verdana"/>
          <w:i/>
          <w:iCs/>
          <w:sz w:val="16"/>
          <w:szCs w:val="16"/>
          <w:lang w:val="pt-BR"/>
        </w:rPr>
        <w:t xml:space="preserve">Supra </w:t>
      </w:r>
      <w:r w:rsidRPr="00D43589">
        <w:rPr>
          <w:rFonts w:ascii="Verdana" w:hAnsi="Verdana"/>
          <w:sz w:val="16"/>
          <w:szCs w:val="16"/>
          <w:lang w:val="pt-BR"/>
        </w:rPr>
        <w:t xml:space="preserve">Nota N° </w:t>
      </w:r>
      <w:r w:rsidRPr="00D43589">
        <w:rPr>
          <w:rFonts w:ascii="Verdana" w:hAnsi="Verdana"/>
          <w:color w:val="000000" w:themeColor="text1"/>
          <w:sz w:val="16"/>
          <w:lang w:val="pt-BR"/>
        </w:rPr>
        <w:t>40</w:t>
      </w:r>
      <w:r w:rsidRPr="00D43589">
        <w:rPr>
          <w:rFonts w:ascii="Verdana" w:hAnsi="Verdana"/>
          <w:sz w:val="16"/>
          <w:szCs w:val="16"/>
          <w:lang w:val="pt-BR"/>
        </w:rPr>
        <w:t>.</w:t>
      </w:r>
    </w:p>
    <w:p w14:paraId="11550699" w14:textId="77777777" w:rsidR="00813091" w:rsidRPr="00D43589" w:rsidRDefault="00813091" w:rsidP="00813091">
      <w:pPr>
        <w:jc w:val="both"/>
        <w:rPr>
          <w:rFonts w:ascii="Verdana" w:hAnsi="Verdana"/>
          <w:i/>
          <w:iCs/>
          <w:sz w:val="16"/>
          <w:szCs w:val="16"/>
          <w:lang w:val="pt-BR"/>
        </w:rPr>
      </w:pPr>
    </w:p>
  </w:footnote>
  <w:footnote w:id="67">
    <w:p w14:paraId="05EAD249" w14:textId="77777777" w:rsidR="00813091" w:rsidRPr="00D43589" w:rsidRDefault="00813091" w:rsidP="00813091">
      <w:pPr>
        <w:ind w:left="-567" w:right="-567"/>
        <w:jc w:val="both"/>
        <w:rPr>
          <w:rFonts w:ascii="Verdana" w:hAnsi="Verdana"/>
          <w:i/>
          <w:iCs/>
          <w:sz w:val="16"/>
          <w:szCs w:val="16"/>
          <w:lang w:val="pt-BR"/>
        </w:rPr>
      </w:pPr>
      <w:r w:rsidRPr="00AA2546">
        <w:rPr>
          <w:rStyle w:val="Refdenotaalpie"/>
          <w:szCs w:val="16"/>
        </w:rPr>
        <w:footnoteRef/>
      </w:r>
      <w:r w:rsidRPr="00D43589">
        <w:rPr>
          <w:rFonts w:ascii="Verdana" w:hAnsi="Verdana"/>
          <w:i/>
          <w:iCs/>
          <w:sz w:val="16"/>
          <w:szCs w:val="16"/>
          <w:lang w:val="pt-BR"/>
        </w:rPr>
        <w:t xml:space="preserve"> Supra</w:t>
      </w:r>
      <w:r w:rsidRPr="00D43589">
        <w:rPr>
          <w:rFonts w:ascii="Verdana" w:hAnsi="Verdana"/>
          <w:sz w:val="16"/>
          <w:szCs w:val="16"/>
          <w:lang w:val="pt-BR"/>
        </w:rPr>
        <w:t>, Nota N° 18.</w:t>
      </w:r>
    </w:p>
    <w:p w14:paraId="1C91DE90" w14:textId="77777777" w:rsidR="00813091" w:rsidRPr="00D43589" w:rsidRDefault="00813091" w:rsidP="00813091">
      <w:pPr>
        <w:ind w:left="-567" w:right="-567"/>
        <w:jc w:val="both"/>
        <w:rPr>
          <w:rFonts w:ascii="Verdana" w:hAnsi="Verdana"/>
          <w:i/>
          <w:iCs/>
          <w:sz w:val="16"/>
          <w:szCs w:val="16"/>
          <w:lang w:val="pt-BR"/>
        </w:rPr>
      </w:pPr>
    </w:p>
  </w:footnote>
  <w:footnote w:id="68">
    <w:p w14:paraId="2313FBF4" w14:textId="77777777" w:rsidR="00813091" w:rsidRPr="00AA2546" w:rsidRDefault="00813091" w:rsidP="00813091">
      <w:pPr>
        <w:ind w:left="-567" w:right="-567"/>
        <w:jc w:val="both"/>
        <w:rPr>
          <w:rFonts w:ascii="Verdana" w:hAnsi="Verdana"/>
          <w:sz w:val="16"/>
          <w:szCs w:val="16"/>
          <w:lang w:val="es-ES"/>
        </w:rPr>
      </w:pPr>
      <w:r w:rsidRPr="00AA2546">
        <w:rPr>
          <w:rStyle w:val="Refdenotaalpie"/>
          <w:szCs w:val="16"/>
        </w:rPr>
        <w:footnoteRef/>
      </w:r>
      <w:r w:rsidRPr="00AA2546">
        <w:rPr>
          <w:rFonts w:ascii="Verdana" w:hAnsi="Verdana"/>
          <w:sz w:val="16"/>
          <w:szCs w:val="16"/>
        </w:rPr>
        <w:t xml:space="preserve"> </w:t>
      </w:r>
      <w:bookmarkStart w:id="8" w:name="_Hlk37680741"/>
      <w:r w:rsidRPr="00AA2546">
        <w:rPr>
          <w:rFonts w:ascii="Verdana" w:hAnsi="Verdana"/>
          <w:i/>
          <w:iCs/>
          <w:sz w:val="16"/>
          <w:szCs w:val="16"/>
          <w:lang w:val="es-ES"/>
        </w:rPr>
        <w:t>Supra</w:t>
      </w:r>
      <w:r w:rsidRPr="00AA2546">
        <w:rPr>
          <w:rFonts w:ascii="Verdana" w:hAnsi="Verdana"/>
          <w:sz w:val="16"/>
          <w:szCs w:val="16"/>
          <w:lang w:val="es-ES"/>
        </w:rPr>
        <w:t>, Nota N</w:t>
      </w:r>
      <w:r w:rsidRPr="00AA2546">
        <w:rPr>
          <w:rFonts w:ascii="Verdana" w:hAnsi="Verdana"/>
          <w:sz w:val="16"/>
          <w:szCs w:val="16"/>
        </w:rPr>
        <w:t>°</w:t>
      </w:r>
      <w:r w:rsidRPr="00AA2546">
        <w:rPr>
          <w:rFonts w:ascii="Verdana" w:hAnsi="Verdana"/>
          <w:sz w:val="16"/>
          <w:szCs w:val="16"/>
          <w:lang w:val="es-ES"/>
        </w:rPr>
        <w:t xml:space="preserve"> </w:t>
      </w:r>
      <w:r>
        <w:rPr>
          <w:rFonts w:ascii="Verdana" w:hAnsi="Verdana"/>
          <w:sz w:val="16"/>
          <w:szCs w:val="16"/>
          <w:lang w:val="es-ES"/>
        </w:rPr>
        <w:t>27</w:t>
      </w:r>
      <w:r w:rsidRPr="00AA2546">
        <w:rPr>
          <w:rFonts w:ascii="Verdana" w:hAnsi="Verdana"/>
          <w:sz w:val="16"/>
          <w:szCs w:val="16"/>
          <w:lang w:val="es-ES"/>
        </w:rPr>
        <w:t>.</w:t>
      </w:r>
      <w:bookmarkEnd w:id="8"/>
    </w:p>
    <w:p w14:paraId="50B5779D" w14:textId="77777777" w:rsidR="00813091" w:rsidRPr="00AA2546" w:rsidRDefault="00813091" w:rsidP="00813091">
      <w:pPr>
        <w:ind w:left="-567" w:right="-567"/>
        <w:jc w:val="both"/>
        <w:rPr>
          <w:rFonts w:ascii="Verdana" w:hAnsi="Verdana"/>
          <w:i/>
          <w:iCs/>
          <w:sz w:val="16"/>
          <w:szCs w:val="16"/>
          <w:lang w:val="es-ES"/>
        </w:rPr>
      </w:pPr>
    </w:p>
  </w:footnote>
  <w:footnote w:id="69">
    <w:p w14:paraId="5CBA8FCF" w14:textId="77777777" w:rsidR="00813091" w:rsidRPr="00AA2546" w:rsidRDefault="00813091" w:rsidP="00813091">
      <w:pPr>
        <w:shd w:val="clear" w:color="auto" w:fill="FFFFFF"/>
        <w:ind w:left="-567" w:right="-567"/>
        <w:jc w:val="both"/>
        <w:rPr>
          <w:rFonts w:ascii="Verdana" w:hAnsi="Verdana" w:cs="Tahoma"/>
          <w:sz w:val="16"/>
          <w:szCs w:val="16"/>
          <w:shd w:val="clear" w:color="auto" w:fill="FFFFFF"/>
        </w:rPr>
      </w:pPr>
      <w:r w:rsidRPr="00AA2546">
        <w:rPr>
          <w:rStyle w:val="Refdenotaalpie"/>
          <w:i/>
          <w:iCs/>
          <w:szCs w:val="16"/>
        </w:rPr>
        <w:footnoteRef/>
      </w:r>
      <w:r w:rsidRPr="00AA2546">
        <w:rPr>
          <w:rFonts w:ascii="Verdana" w:hAnsi="Verdana"/>
          <w:i/>
          <w:iCs/>
          <w:sz w:val="16"/>
          <w:szCs w:val="16"/>
        </w:rPr>
        <w:t xml:space="preserve"> </w:t>
      </w:r>
      <w:r w:rsidRPr="00AA2546">
        <w:rPr>
          <w:rFonts w:ascii="Verdana" w:eastAsia="Times New Roman" w:hAnsi="Verdana" w:cs="Tahoma"/>
          <w:sz w:val="16"/>
          <w:szCs w:val="16"/>
          <w:lang w:val="es-CR" w:eastAsia="es-CR"/>
        </w:rPr>
        <w:t>Art. 25.1 del Reglamento de la Comisión:</w:t>
      </w:r>
      <w:r w:rsidRPr="00AA2546">
        <w:rPr>
          <w:rFonts w:ascii="Verdana" w:eastAsia="Times New Roman" w:hAnsi="Verdana" w:cs="Tahoma"/>
          <w:i/>
          <w:iCs/>
          <w:sz w:val="16"/>
          <w:szCs w:val="16"/>
          <w:lang w:val="es-CR" w:eastAsia="es-CR"/>
        </w:rPr>
        <w:t xml:space="preserve"> “Con fundamento en los artículos 106 de la Carta de la Organización de los Estados Americanos, 41.b de la Convención Americana sobre Derechos Humanos, 18.b del Estatuto de la Comisión y XIII de la Convención Interamericana sobre Desaparición Forzada de Personas, la Comisión podrá, a iniciativa propia o a solicitud de parte, solicitar que un Estado adopte medidas cautelares. Tales medidas, ya sea que guarden o no conexidad con una petición o caso, se relacionarán con situaciones de gravedad y urgencia que presenten un riesgo de daño irreparable a las personas o al objeto de</w:t>
      </w:r>
      <w:r w:rsidRPr="00AA2546">
        <w:rPr>
          <w:rFonts w:ascii="Verdana" w:hAnsi="Verdana" w:cs="Tahoma"/>
          <w:sz w:val="16"/>
          <w:szCs w:val="16"/>
          <w:shd w:val="clear" w:color="auto" w:fill="FFFFFF"/>
        </w:rPr>
        <w:t xml:space="preserve"> </w:t>
      </w:r>
      <w:r w:rsidRPr="00AA2546">
        <w:rPr>
          <w:rFonts w:ascii="Verdana" w:hAnsi="Verdana" w:cs="Tahoma"/>
          <w:i/>
          <w:iCs/>
          <w:sz w:val="16"/>
          <w:szCs w:val="16"/>
          <w:shd w:val="clear" w:color="auto" w:fill="FFFFFF"/>
        </w:rPr>
        <w:t>una petición o caso pendiente ante los órganos del Sistema Interamericano</w:t>
      </w:r>
      <w:r w:rsidRPr="00AA2546">
        <w:rPr>
          <w:rFonts w:ascii="Verdana" w:hAnsi="Verdana" w:cs="Tahoma"/>
          <w:sz w:val="16"/>
          <w:szCs w:val="16"/>
          <w:shd w:val="clear" w:color="auto" w:fill="FFFFFF"/>
        </w:rPr>
        <w:t>.”</w:t>
      </w:r>
    </w:p>
    <w:p w14:paraId="7C2BE6DD" w14:textId="77777777" w:rsidR="00813091" w:rsidRPr="00AA2546" w:rsidRDefault="00813091" w:rsidP="00813091">
      <w:pPr>
        <w:shd w:val="clear" w:color="auto" w:fill="FFFFFF"/>
        <w:ind w:left="-567" w:right="-567"/>
        <w:jc w:val="both"/>
        <w:rPr>
          <w:rFonts w:ascii="Verdana" w:eastAsia="Times New Roman" w:hAnsi="Verdana" w:cs="Tahoma"/>
          <w:i/>
          <w:iCs/>
          <w:sz w:val="16"/>
          <w:szCs w:val="16"/>
          <w:lang w:val="es-CR" w:eastAsia="es-CR"/>
        </w:rPr>
      </w:pPr>
    </w:p>
  </w:footnote>
  <w:footnote w:id="70">
    <w:p w14:paraId="3B44B75A" w14:textId="77777777" w:rsidR="00813091" w:rsidRPr="00D43589" w:rsidRDefault="00813091" w:rsidP="00813091">
      <w:pPr>
        <w:ind w:left="-567" w:right="-567"/>
        <w:jc w:val="both"/>
        <w:rPr>
          <w:rFonts w:ascii="Verdana" w:hAnsi="Verdana"/>
          <w:sz w:val="16"/>
          <w:szCs w:val="16"/>
          <w:lang w:val="pt-BR"/>
        </w:rPr>
      </w:pPr>
      <w:r w:rsidRPr="00AA2546">
        <w:rPr>
          <w:rStyle w:val="Refdenotaalpie"/>
          <w:szCs w:val="16"/>
        </w:rPr>
        <w:footnoteRef/>
      </w:r>
      <w:r w:rsidRPr="00D43589">
        <w:rPr>
          <w:rFonts w:ascii="Verdana" w:hAnsi="Verdana"/>
          <w:sz w:val="16"/>
          <w:szCs w:val="16"/>
          <w:lang w:val="pt-BR"/>
        </w:rPr>
        <w:t xml:space="preserve"> </w:t>
      </w:r>
      <w:r w:rsidRPr="00D43589">
        <w:rPr>
          <w:rFonts w:ascii="Verdana" w:hAnsi="Verdana"/>
          <w:i/>
          <w:iCs/>
          <w:sz w:val="16"/>
          <w:szCs w:val="16"/>
          <w:lang w:val="pt-BR"/>
        </w:rPr>
        <w:t>Supra</w:t>
      </w:r>
      <w:r w:rsidRPr="00D43589">
        <w:rPr>
          <w:rFonts w:ascii="Verdana" w:hAnsi="Verdana"/>
          <w:sz w:val="16"/>
          <w:szCs w:val="16"/>
          <w:lang w:val="pt-BR"/>
        </w:rPr>
        <w:t xml:space="preserve"> Notas </w:t>
      </w:r>
      <w:proofErr w:type="spellStart"/>
      <w:r w:rsidRPr="00D43589">
        <w:rPr>
          <w:rFonts w:ascii="Verdana" w:hAnsi="Verdana"/>
          <w:sz w:val="16"/>
          <w:szCs w:val="16"/>
          <w:lang w:val="pt-BR"/>
        </w:rPr>
        <w:t>N°</w:t>
      </w:r>
      <w:r w:rsidRPr="00D43589">
        <w:rPr>
          <w:rFonts w:ascii="Verdana" w:hAnsi="Verdana"/>
          <w:color w:val="000000" w:themeColor="text1"/>
          <w:sz w:val="16"/>
          <w:lang w:val="pt-BR"/>
        </w:rPr>
        <w:t>s</w:t>
      </w:r>
      <w:proofErr w:type="spellEnd"/>
      <w:r w:rsidRPr="00D43589">
        <w:rPr>
          <w:rFonts w:ascii="Verdana" w:hAnsi="Verdana"/>
          <w:color w:val="000000" w:themeColor="text1"/>
          <w:sz w:val="16"/>
          <w:lang w:val="pt-BR"/>
        </w:rPr>
        <w:t xml:space="preserve"> 17 y 31</w:t>
      </w:r>
      <w:r w:rsidRPr="00D43589">
        <w:rPr>
          <w:rFonts w:ascii="Verdana" w:hAnsi="Verdana"/>
          <w:sz w:val="16"/>
          <w:szCs w:val="16"/>
          <w:lang w:val="pt-BR"/>
        </w:rPr>
        <w:t>.</w:t>
      </w:r>
    </w:p>
  </w:footnote>
  <w:footnote w:id="71">
    <w:p w14:paraId="563AD654"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Párr. 2° del Preámbulo de la Convención.</w:t>
      </w:r>
    </w:p>
  </w:footnote>
  <w:footnote w:id="72">
    <w:p w14:paraId="2A3D3E2B"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 xml:space="preserve">Resolutivo </w:t>
      </w:r>
      <w:r w:rsidRPr="00AA2546">
        <w:rPr>
          <w:rFonts w:ascii="Verdana" w:hAnsi="Verdana"/>
          <w:sz w:val="16"/>
          <w:szCs w:val="16"/>
          <w:lang w:val="uz-Cyrl-UZ"/>
        </w:rPr>
        <w:t>N° 1</w:t>
      </w:r>
      <w:r w:rsidRPr="00AA2546">
        <w:rPr>
          <w:rFonts w:ascii="Verdana" w:hAnsi="Verdana"/>
          <w:sz w:val="16"/>
          <w:szCs w:val="16"/>
          <w:lang w:val="es-MX"/>
        </w:rPr>
        <w:t xml:space="preserve"> de la Resolución</w:t>
      </w:r>
      <w:r w:rsidRPr="00AA2546">
        <w:rPr>
          <w:rFonts w:ascii="Verdana" w:hAnsi="Verdana"/>
          <w:sz w:val="16"/>
          <w:szCs w:val="16"/>
          <w:lang w:val="uz-Cyrl-UZ"/>
        </w:rPr>
        <w:t>.</w:t>
      </w:r>
    </w:p>
    <w:p w14:paraId="0A86AF72" w14:textId="77777777" w:rsidR="00813091" w:rsidRPr="00AA2546" w:rsidRDefault="00813091" w:rsidP="00813091">
      <w:pPr>
        <w:pStyle w:val="Textonotapie"/>
        <w:ind w:left="-850" w:right="-567"/>
        <w:jc w:val="both"/>
        <w:rPr>
          <w:rFonts w:ascii="Verdana" w:hAnsi="Verdana"/>
          <w:sz w:val="16"/>
          <w:szCs w:val="16"/>
          <w:lang w:val="uz-Cyrl-UZ"/>
        </w:rPr>
      </w:pPr>
    </w:p>
  </w:footnote>
  <w:footnote w:id="73">
    <w:p w14:paraId="6C056840"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Párr.</w:t>
      </w:r>
      <w:r w:rsidRPr="00AF6707">
        <w:rPr>
          <w:rFonts w:ascii="Verdana" w:hAnsi="Verdana"/>
          <w:sz w:val="16"/>
          <w:lang w:val="es-MX"/>
        </w:rPr>
        <w:t xml:space="preserve"> </w:t>
      </w:r>
      <w:r w:rsidRPr="00AA2546">
        <w:rPr>
          <w:rFonts w:ascii="Verdana" w:hAnsi="Verdana"/>
          <w:sz w:val="16"/>
          <w:szCs w:val="16"/>
          <w:lang w:val="uz-Cyrl-UZ"/>
        </w:rPr>
        <w:t>N° 2 de los Considerandos</w:t>
      </w:r>
      <w:r w:rsidRPr="00AA2546">
        <w:rPr>
          <w:rFonts w:ascii="Verdana" w:hAnsi="Verdana"/>
          <w:sz w:val="16"/>
          <w:szCs w:val="16"/>
          <w:lang w:val="es-MX"/>
        </w:rPr>
        <w:t xml:space="preserve"> de la Resolución</w:t>
      </w:r>
      <w:r w:rsidRPr="00AA2546">
        <w:rPr>
          <w:rFonts w:ascii="Verdana" w:hAnsi="Verdana"/>
          <w:sz w:val="16"/>
          <w:szCs w:val="16"/>
          <w:lang w:val="uz-Cyrl-UZ"/>
        </w:rPr>
        <w:t>.</w:t>
      </w:r>
    </w:p>
    <w:p w14:paraId="267D562A" w14:textId="77777777" w:rsidR="00813091" w:rsidRPr="00AA2546" w:rsidRDefault="00813091" w:rsidP="00813091">
      <w:pPr>
        <w:pStyle w:val="Textonotapie"/>
        <w:ind w:left="-567" w:right="-567"/>
        <w:jc w:val="both"/>
        <w:rPr>
          <w:rFonts w:ascii="Verdana" w:hAnsi="Verdana"/>
          <w:sz w:val="16"/>
          <w:szCs w:val="16"/>
          <w:lang w:val="uz-Cyrl-UZ"/>
        </w:rPr>
      </w:pPr>
    </w:p>
  </w:footnote>
  <w:footnote w:id="74">
    <w:p w14:paraId="315F46ED" w14:textId="77777777" w:rsidR="00813091" w:rsidRPr="00AA2546"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w:t>
      </w:r>
      <w:r w:rsidRPr="00AA2546">
        <w:rPr>
          <w:rFonts w:ascii="Verdana" w:hAnsi="Verdana"/>
          <w:sz w:val="16"/>
          <w:szCs w:val="16"/>
          <w:lang w:val="uz-Cyrl-UZ"/>
        </w:rPr>
        <w:t xml:space="preserve">Párr. </w:t>
      </w:r>
      <w:r w:rsidRPr="00AA2546">
        <w:rPr>
          <w:rFonts w:ascii="Verdana" w:hAnsi="Verdana"/>
          <w:sz w:val="16"/>
          <w:szCs w:val="16"/>
          <w:lang w:val="uz-Cyrl-UZ"/>
        </w:rPr>
        <w:t xml:space="preserve">N° </w:t>
      </w:r>
      <w:r>
        <w:rPr>
          <w:rFonts w:ascii="Verdana" w:hAnsi="Verdana"/>
          <w:sz w:val="16"/>
          <w:szCs w:val="16"/>
          <w:lang w:val="es-419"/>
        </w:rPr>
        <w:t>3</w:t>
      </w:r>
      <w:r w:rsidRPr="00AA2546">
        <w:rPr>
          <w:rFonts w:ascii="Verdana" w:hAnsi="Verdana"/>
          <w:sz w:val="16"/>
          <w:szCs w:val="16"/>
          <w:lang w:val="uz-Cyrl-UZ"/>
        </w:rPr>
        <w:t xml:space="preserve"> de los Considerandos</w:t>
      </w:r>
      <w:r w:rsidRPr="00AA2546">
        <w:rPr>
          <w:rFonts w:ascii="Verdana" w:hAnsi="Verdana"/>
          <w:sz w:val="16"/>
          <w:szCs w:val="16"/>
          <w:lang w:val="es-MX"/>
        </w:rPr>
        <w:t xml:space="preserve"> de la Resolución</w:t>
      </w:r>
      <w:r w:rsidRPr="00AA2546">
        <w:rPr>
          <w:rFonts w:ascii="Verdana" w:hAnsi="Verdana"/>
          <w:sz w:val="16"/>
          <w:szCs w:val="16"/>
          <w:lang w:val="uz-Cyrl-UZ"/>
        </w:rPr>
        <w:t>.</w:t>
      </w:r>
    </w:p>
    <w:p w14:paraId="2F30B862" w14:textId="77777777" w:rsidR="00813091" w:rsidRPr="00AA2546" w:rsidRDefault="00813091" w:rsidP="00813091">
      <w:pPr>
        <w:pStyle w:val="Textonotapie"/>
        <w:ind w:left="-567" w:right="-567"/>
        <w:jc w:val="both"/>
        <w:rPr>
          <w:rFonts w:ascii="Verdana" w:hAnsi="Verdana"/>
          <w:sz w:val="16"/>
          <w:szCs w:val="16"/>
          <w:lang w:val="uz-Cyrl-UZ"/>
        </w:rPr>
      </w:pPr>
    </w:p>
  </w:footnote>
  <w:footnote w:id="75">
    <w:p w14:paraId="7B1E499C" w14:textId="77777777" w:rsidR="00813091" w:rsidRDefault="00813091" w:rsidP="00813091">
      <w:pPr>
        <w:pStyle w:val="Textonotapie"/>
        <w:ind w:left="-567" w:right="-567"/>
        <w:jc w:val="both"/>
        <w:rPr>
          <w:rFonts w:ascii="Verdana" w:hAnsi="Verdana"/>
          <w:sz w:val="16"/>
          <w:szCs w:val="16"/>
          <w:lang w:val="uz-Cyrl-UZ"/>
        </w:rPr>
      </w:pPr>
      <w:r w:rsidRPr="00AA2546">
        <w:rPr>
          <w:rStyle w:val="Refdenotaalpie"/>
          <w:szCs w:val="16"/>
        </w:rPr>
        <w:footnoteRef/>
      </w:r>
      <w:r w:rsidRPr="00AA2546">
        <w:rPr>
          <w:rFonts w:ascii="Verdana" w:hAnsi="Verdana"/>
          <w:sz w:val="16"/>
          <w:szCs w:val="16"/>
        </w:rPr>
        <w:t xml:space="preserve"> Segundo </w:t>
      </w:r>
      <w:r w:rsidRPr="00AA2546">
        <w:rPr>
          <w:rFonts w:ascii="Verdana" w:hAnsi="Verdana"/>
          <w:sz w:val="16"/>
          <w:szCs w:val="16"/>
          <w:lang w:val="uz-Cyrl-UZ"/>
        </w:rPr>
        <w:t>Párr. del Preámbulo de la Convención.</w:t>
      </w:r>
    </w:p>
    <w:p w14:paraId="53FAE6D9" w14:textId="77777777" w:rsidR="00813091" w:rsidRPr="00AF6707" w:rsidRDefault="00813091" w:rsidP="00813091">
      <w:pPr>
        <w:pStyle w:val="Textonotapie"/>
        <w:ind w:left="-567" w:right="-567"/>
        <w:jc w:val="both"/>
        <w:rPr>
          <w:rFonts w:ascii="Verdana" w:hAnsi="Verdana"/>
          <w:color w:val="000000" w:themeColor="text1"/>
          <w:sz w:val="16"/>
          <w:lang w:val="uz-Cyrl-UZ"/>
        </w:rPr>
      </w:pPr>
    </w:p>
  </w:footnote>
  <w:footnote w:id="76">
    <w:p w14:paraId="5B76F25D" w14:textId="77777777" w:rsidR="00813091" w:rsidRPr="00AF6707" w:rsidRDefault="00813091" w:rsidP="00813091">
      <w:pPr>
        <w:pStyle w:val="Textonotapie"/>
        <w:ind w:left="-567" w:right="-567"/>
        <w:rPr>
          <w:rFonts w:ascii="Verdana" w:hAnsi="Verdana"/>
          <w:color w:val="000000" w:themeColor="text1"/>
          <w:sz w:val="16"/>
        </w:rPr>
      </w:pPr>
      <w:r w:rsidRPr="00AF6707">
        <w:rPr>
          <w:rStyle w:val="Refdenotaalpie"/>
          <w:color w:val="000000" w:themeColor="text1"/>
        </w:rPr>
        <w:footnoteRef/>
      </w:r>
      <w:r w:rsidRPr="00AF6707">
        <w:rPr>
          <w:rFonts w:ascii="Verdana" w:hAnsi="Verdana"/>
          <w:color w:val="000000" w:themeColor="text1"/>
          <w:sz w:val="16"/>
        </w:rPr>
        <w:t xml:space="preserve"> </w:t>
      </w:r>
      <w:proofErr w:type="spellStart"/>
      <w:r w:rsidRPr="00AF6707">
        <w:rPr>
          <w:rFonts w:ascii="Verdana" w:hAnsi="Verdana"/>
          <w:color w:val="000000" w:themeColor="text1"/>
          <w:sz w:val="16"/>
        </w:rPr>
        <w:t>Párrs</w:t>
      </w:r>
      <w:proofErr w:type="spellEnd"/>
      <w:r w:rsidRPr="00AF6707">
        <w:rPr>
          <w:rFonts w:ascii="Verdana" w:hAnsi="Verdana"/>
          <w:color w:val="000000" w:themeColor="text1"/>
          <w:sz w:val="16"/>
        </w:rPr>
        <w:t>. 15 y 25 de los Considerandos.</w:t>
      </w:r>
    </w:p>
    <w:p w14:paraId="7D3CCA53" w14:textId="77777777" w:rsidR="00813091" w:rsidRPr="00AF6707" w:rsidRDefault="00813091" w:rsidP="00813091">
      <w:pPr>
        <w:pStyle w:val="Textonotapie"/>
        <w:ind w:left="-567" w:right="-567"/>
        <w:rPr>
          <w:rFonts w:ascii="Verdana" w:hAnsi="Verdana"/>
          <w:color w:val="000000" w:themeColor="text1"/>
          <w:sz w:val="16"/>
          <w:lang w:val="es-419"/>
        </w:rPr>
      </w:pPr>
    </w:p>
  </w:footnote>
  <w:footnote w:id="77">
    <w:p w14:paraId="202ACB9D" w14:textId="77777777" w:rsidR="00813091" w:rsidRPr="00AF6707" w:rsidRDefault="00813091" w:rsidP="00813091">
      <w:pPr>
        <w:pStyle w:val="Textonotapie"/>
        <w:ind w:left="-567" w:right="-567"/>
        <w:jc w:val="both"/>
        <w:rPr>
          <w:rFonts w:ascii="Verdana" w:hAnsi="Verdana"/>
          <w:color w:val="000000" w:themeColor="text1"/>
          <w:sz w:val="16"/>
          <w:lang w:val="es-419"/>
        </w:rPr>
      </w:pPr>
      <w:r w:rsidRPr="00AF6707">
        <w:rPr>
          <w:rStyle w:val="Refdenotaalpie"/>
          <w:color w:val="000000" w:themeColor="text1"/>
        </w:rPr>
        <w:footnoteRef/>
      </w:r>
      <w:r w:rsidRPr="00AF6707">
        <w:rPr>
          <w:rFonts w:ascii="Verdana" w:hAnsi="Verdana"/>
          <w:color w:val="000000" w:themeColor="text1"/>
          <w:sz w:val="16"/>
        </w:rPr>
        <w:t xml:space="preserve"> </w:t>
      </w:r>
      <w:proofErr w:type="spellStart"/>
      <w:r w:rsidRPr="00AF6707">
        <w:rPr>
          <w:rFonts w:ascii="Verdana" w:hAnsi="Verdana"/>
          <w:color w:val="000000" w:themeColor="text1"/>
          <w:sz w:val="16"/>
          <w:lang w:val="es-419"/>
        </w:rPr>
        <w:t>Párrs</w:t>
      </w:r>
      <w:proofErr w:type="spellEnd"/>
      <w:r w:rsidRPr="00AF6707">
        <w:rPr>
          <w:rFonts w:ascii="Verdana" w:hAnsi="Verdana"/>
          <w:color w:val="000000" w:themeColor="text1"/>
          <w:sz w:val="16"/>
          <w:lang w:val="es-419"/>
        </w:rPr>
        <w:t>. 19, 31, 33 y 35 de los Considerandos.</w:t>
      </w:r>
    </w:p>
    <w:p w14:paraId="24D20A72" w14:textId="77777777" w:rsidR="00813091" w:rsidRPr="00AF6707" w:rsidRDefault="00813091" w:rsidP="00813091">
      <w:pPr>
        <w:pStyle w:val="Textonotapie"/>
        <w:ind w:left="-567" w:right="-567"/>
        <w:jc w:val="both"/>
        <w:rPr>
          <w:rFonts w:ascii="Verdana" w:hAnsi="Verdana"/>
          <w:color w:val="000000" w:themeColor="text1"/>
          <w:sz w:val="16"/>
          <w:lang w:val="es-419"/>
        </w:rPr>
      </w:pPr>
      <w:r w:rsidRPr="00AF6707">
        <w:rPr>
          <w:rFonts w:ascii="Verdana" w:hAnsi="Verdana"/>
          <w:color w:val="000000" w:themeColor="text1"/>
          <w:sz w:val="16"/>
          <w:lang w:val="es-419"/>
        </w:rPr>
        <w:t xml:space="preserve"> </w:t>
      </w:r>
    </w:p>
  </w:footnote>
  <w:footnote w:id="78">
    <w:p w14:paraId="28E78B09" w14:textId="77777777" w:rsidR="00813091" w:rsidRPr="00AF6707" w:rsidRDefault="00813091" w:rsidP="00813091">
      <w:pPr>
        <w:pStyle w:val="Textonotapie"/>
        <w:ind w:left="-567" w:right="-567"/>
        <w:jc w:val="both"/>
        <w:rPr>
          <w:rFonts w:ascii="Verdana" w:hAnsi="Verdana"/>
          <w:color w:val="000000" w:themeColor="text1"/>
          <w:sz w:val="16"/>
          <w:lang w:val="es-419"/>
        </w:rPr>
      </w:pPr>
      <w:r w:rsidRPr="00AF6707">
        <w:rPr>
          <w:rStyle w:val="Refdenotaalpie"/>
          <w:color w:val="000000" w:themeColor="text1"/>
        </w:rPr>
        <w:footnoteRef/>
      </w:r>
      <w:r w:rsidRPr="00AF6707">
        <w:rPr>
          <w:rFonts w:ascii="Verdana" w:hAnsi="Verdana"/>
          <w:color w:val="000000" w:themeColor="text1"/>
          <w:sz w:val="16"/>
        </w:rPr>
        <w:t xml:space="preserve"> </w:t>
      </w:r>
      <w:proofErr w:type="spellStart"/>
      <w:r w:rsidRPr="00AF6707">
        <w:rPr>
          <w:rFonts w:ascii="Verdana" w:hAnsi="Verdana"/>
          <w:color w:val="000000" w:themeColor="text1"/>
          <w:sz w:val="16"/>
          <w:lang w:val="es-419"/>
        </w:rPr>
        <w:t>Párrs</w:t>
      </w:r>
      <w:proofErr w:type="spellEnd"/>
      <w:r w:rsidRPr="00AF6707">
        <w:rPr>
          <w:rFonts w:ascii="Verdana" w:hAnsi="Verdana"/>
          <w:color w:val="000000" w:themeColor="text1"/>
          <w:sz w:val="16"/>
          <w:lang w:val="es-419"/>
        </w:rPr>
        <w:t>. 10 y 13 de los Considerandos.</w:t>
      </w:r>
    </w:p>
    <w:p w14:paraId="55CDA705" w14:textId="77777777" w:rsidR="00813091" w:rsidRPr="00AF6707" w:rsidRDefault="00813091" w:rsidP="00813091">
      <w:pPr>
        <w:pStyle w:val="Textonotapie"/>
        <w:ind w:left="-567" w:right="-567"/>
        <w:jc w:val="both"/>
        <w:rPr>
          <w:color w:val="000000" w:themeColor="text1"/>
          <w:lang w:val="es-419"/>
        </w:rPr>
      </w:pPr>
    </w:p>
  </w:footnote>
  <w:footnote w:id="79">
    <w:p w14:paraId="4D8D40FC" w14:textId="77777777" w:rsidR="00813091" w:rsidRPr="00AF6707" w:rsidRDefault="00813091" w:rsidP="00813091">
      <w:pPr>
        <w:pStyle w:val="Textonotapie"/>
        <w:ind w:left="-567" w:right="-567"/>
        <w:rPr>
          <w:rFonts w:ascii="Verdana" w:hAnsi="Verdana"/>
          <w:color w:val="000000" w:themeColor="text1"/>
          <w:sz w:val="16"/>
        </w:rPr>
      </w:pPr>
      <w:r w:rsidRPr="00AF6707">
        <w:rPr>
          <w:rStyle w:val="Refdenotaalpie"/>
          <w:color w:val="000000" w:themeColor="text1"/>
        </w:rPr>
        <w:footnoteRef/>
      </w:r>
      <w:r w:rsidRPr="00AF6707">
        <w:rPr>
          <w:rFonts w:ascii="Verdana" w:hAnsi="Verdana"/>
          <w:color w:val="000000" w:themeColor="text1"/>
          <w:sz w:val="16"/>
        </w:rPr>
        <w:t xml:space="preserve"> Párr.</w:t>
      </w:r>
      <w:r>
        <w:rPr>
          <w:rFonts w:ascii="Verdana" w:hAnsi="Verdana"/>
          <w:color w:val="000000" w:themeColor="text1"/>
          <w:sz w:val="16"/>
          <w:szCs w:val="16"/>
        </w:rPr>
        <w:t xml:space="preserve"> </w:t>
      </w:r>
      <w:r w:rsidRPr="00AF6707">
        <w:rPr>
          <w:rFonts w:ascii="Verdana" w:hAnsi="Verdana"/>
          <w:color w:val="000000" w:themeColor="text1"/>
          <w:sz w:val="16"/>
        </w:rPr>
        <w:t>2 de los Vistos párr</w:t>
      </w:r>
      <w:r>
        <w:rPr>
          <w:rFonts w:ascii="Verdana" w:hAnsi="Verdana"/>
          <w:color w:val="000000" w:themeColor="text1"/>
          <w:sz w:val="16"/>
          <w:szCs w:val="16"/>
        </w:rPr>
        <w:t>.</w:t>
      </w:r>
      <w:r w:rsidRPr="00B72E1D">
        <w:rPr>
          <w:rFonts w:ascii="Verdana" w:hAnsi="Verdana"/>
          <w:color w:val="000000" w:themeColor="text1"/>
          <w:sz w:val="16"/>
          <w:szCs w:val="16"/>
        </w:rPr>
        <w:t xml:space="preserve"> 3</w:t>
      </w:r>
      <w:r>
        <w:rPr>
          <w:rFonts w:ascii="Verdana" w:hAnsi="Verdana"/>
          <w:color w:val="000000" w:themeColor="text1"/>
          <w:sz w:val="16"/>
          <w:szCs w:val="16"/>
        </w:rPr>
        <w:t xml:space="preserve"> </w:t>
      </w:r>
      <w:r w:rsidRPr="00B72E1D">
        <w:rPr>
          <w:rFonts w:ascii="Verdana" w:hAnsi="Verdana"/>
          <w:color w:val="000000" w:themeColor="text1"/>
          <w:sz w:val="16"/>
          <w:szCs w:val="16"/>
        </w:rPr>
        <w:t>de</w:t>
      </w:r>
      <w:r w:rsidRPr="00AF6707">
        <w:rPr>
          <w:rFonts w:ascii="Verdana" w:hAnsi="Verdana"/>
          <w:color w:val="000000" w:themeColor="text1"/>
          <w:sz w:val="16"/>
        </w:rPr>
        <w:t xml:space="preserve"> los Considerandos, ambos de la Resolución.</w:t>
      </w:r>
    </w:p>
    <w:p w14:paraId="3F02D90A" w14:textId="77777777" w:rsidR="00813091" w:rsidRPr="00516C1B" w:rsidRDefault="00813091" w:rsidP="00813091">
      <w:pPr>
        <w:pStyle w:val="Textonotapie"/>
        <w:ind w:left="-567" w:right="-567"/>
        <w:rPr>
          <w:rFonts w:ascii="Verdana" w:hAnsi="Verdana"/>
          <w:sz w:val="16"/>
          <w:szCs w:val="16"/>
          <w:lang w:val="es-419"/>
        </w:rPr>
      </w:pPr>
    </w:p>
  </w:footnote>
  <w:footnote w:id="80">
    <w:p w14:paraId="6B4D3823" w14:textId="77777777" w:rsidR="00813091" w:rsidRPr="00D43589" w:rsidRDefault="00813091" w:rsidP="00813091">
      <w:pPr>
        <w:pStyle w:val="Textonotapie"/>
        <w:ind w:left="-567" w:right="-567"/>
        <w:rPr>
          <w:rFonts w:ascii="Verdana" w:hAnsi="Verdana"/>
          <w:color w:val="000000" w:themeColor="text1"/>
          <w:sz w:val="16"/>
          <w:lang w:val="pt-BR"/>
        </w:rPr>
      </w:pPr>
      <w:r w:rsidRPr="00AF6707">
        <w:rPr>
          <w:rStyle w:val="Refdenotaalpie"/>
          <w:color w:val="000000" w:themeColor="text1"/>
        </w:rPr>
        <w:footnoteRef/>
      </w:r>
      <w:r w:rsidRPr="00D43589">
        <w:rPr>
          <w:rFonts w:ascii="Verdana" w:hAnsi="Verdana"/>
          <w:color w:val="000000" w:themeColor="text1"/>
          <w:sz w:val="16"/>
          <w:lang w:val="pt-BR"/>
        </w:rPr>
        <w:t xml:space="preserve"> Párr.21.</w:t>
      </w:r>
    </w:p>
    <w:p w14:paraId="0C6F78F3" w14:textId="77777777" w:rsidR="00813091" w:rsidRPr="00D43589" w:rsidRDefault="00813091" w:rsidP="00813091">
      <w:pPr>
        <w:pStyle w:val="Textonotapie"/>
        <w:ind w:left="-567" w:right="-567"/>
        <w:rPr>
          <w:rFonts w:ascii="Verdana" w:hAnsi="Verdana"/>
          <w:sz w:val="16"/>
          <w:szCs w:val="16"/>
          <w:lang w:val="pt-BR"/>
        </w:rPr>
      </w:pPr>
    </w:p>
  </w:footnote>
  <w:footnote w:id="81">
    <w:p w14:paraId="2B7FBADA" w14:textId="77777777" w:rsidR="00813091" w:rsidRPr="00D43589" w:rsidRDefault="00813091" w:rsidP="00813091">
      <w:pPr>
        <w:pStyle w:val="Textonotapie"/>
        <w:ind w:left="-567" w:right="-567"/>
        <w:jc w:val="both"/>
        <w:rPr>
          <w:rFonts w:ascii="Verdana" w:hAnsi="Verdana"/>
          <w:sz w:val="18"/>
          <w:szCs w:val="18"/>
          <w:lang w:val="pt-BR"/>
        </w:rPr>
      </w:pPr>
      <w:r w:rsidRPr="00AF6707">
        <w:rPr>
          <w:rStyle w:val="Refdenotaalpie"/>
          <w:color w:val="000000" w:themeColor="text1"/>
        </w:rPr>
        <w:footnoteRef/>
      </w:r>
      <w:r w:rsidRPr="00D43589">
        <w:rPr>
          <w:rFonts w:ascii="Verdana" w:hAnsi="Verdana"/>
          <w:color w:val="000000" w:themeColor="text1"/>
          <w:sz w:val="16"/>
          <w:lang w:val="pt-BR"/>
        </w:rPr>
        <w:t xml:space="preserve"> </w:t>
      </w:r>
      <w:r w:rsidRPr="00D43589">
        <w:rPr>
          <w:rFonts w:ascii="Verdana" w:hAnsi="Verdana"/>
          <w:i/>
          <w:color w:val="000000" w:themeColor="text1"/>
          <w:sz w:val="16"/>
          <w:lang w:val="pt-BR"/>
        </w:rPr>
        <w:t>Supra</w:t>
      </w:r>
      <w:r w:rsidRPr="00D43589">
        <w:rPr>
          <w:rFonts w:ascii="Verdana" w:hAnsi="Verdana"/>
          <w:color w:val="000000" w:themeColor="text1"/>
          <w:sz w:val="16"/>
          <w:lang w:val="pt-BR"/>
        </w:rPr>
        <w:t xml:space="preserve">, Notas </w:t>
      </w:r>
      <w:proofErr w:type="spellStart"/>
      <w:r w:rsidRPr="00D43589">
        <w:rPr>
          <w:rFonts w:ascii="Verdana" w:hAnsi="Verdana"/>
          <w:color w:val="000000" w:themeColor="text1"/>
          <w:sz w:val="16"/>
          <w:lang w:val="pt-BR"/>
        </w:rPr>
        <w:t>N°s</w:t>
      </w:r>
      <w:proofErr w:type="spellEnd"/>
      <w:r w:rsidRPr="00D43589">
        <w:rPr>
          <w:rFonts w:ascii="Verdana" w:hAnsi="Verdana"/>
          <w:color w:val="000000" w:themeColor="text1"/>
          <w:sz w:val="16"/>
          <w:lang w:val="pt-BR"/>
        </w:rPr>
        <w:t xml:space="preserve"> 25 y 26. </w:t>
      </w:r>
    </w:p>
  </w:footnote>
  <w:footnote w:id="82">
    <w:p w14:paraId="5E2FF5FD" w14:textId="77777777" w:rsidR="00813091" w:rsidRPr="00D43589" w:rsidRDefault="00813091" w:rsidP="00813091">
      <w:pPr>
        <w:pStyle w:val="NormalWeb"/>
        <w:ind w:left="-567" w:right="-567"/>
        <w:jc w:val="both"/>
        <w:rPr>
          <w:rFonts w:ascii="Verdana" w:hAnsi="Verdana" w:cs="Tahoma"/>
          <w:i/>
          <w:iCs/>
          <w:sz w:val="16"/>
          <w:szCs w:val="16"/>
          <w:lang w:val="pt-BR"/>
        </w:rPr>
      </w:pPr>
      <w:r w:rsidRPr="00AA2546">
        <w:rPr>
          <w:rStyle w:val="Refdenotaalpie"/>
          <w:i/>
          <w:iCs/>
          <w:szCs w:val="16"/>
        </w:rPr>
        <w:footnoteRef/>
      </w:r>
      <w:r w:rsidRPr="00D43589">
        <w:rPr>
          <w:rFonts w:ascii="Verdana" w:hAnsi="Verdana"/>
          <w:i/>
          <w:iCs/>
          <w:sz w:val="16"/>
          <w:szCs w:val="16"/>
          <w:lang w:val="pt-BR"/>
        </w:rPr>
        <w:t xml:space="preserve"> Supra, </w:t>
      </w:r>
      <w:r w:rsidRPr="00D43589">
        <w:rPr>
          <w:rFonts w:ascii="Verdana" w:hAnsi="Verdana"/>
          <w:sz w:val="16"/>
          <w:szCs w:val="16"/>
          <w:lang w:val="pt-BR"/>
        </w:rPr>
        <w:t xml:space="preserve">Notas </w:t>
      </w:r>
      <w:proofErr w:type="spellStart"/>
      <w:r w:rsidRPr="00D43589">
        <w:rPr>
          <w:rFonts w:ascii="Verdana" w:hAnsi="Verdana"/>
          <w:sz w:val="16"/>
          <w:szCs w:val="16"/>
          <w:lang w:val="pt-BR"/>
        </w:rPr>
        <w:t>N°s</w:t>
      </w:r>
      <w:proofErr w:type="spellEnd"/>
      <w:r w:rsidRPr="00D43589">
        <w:rPr>
          <w:rFonts w:ascii="Verdana" w:hAnsi="Verdana"/>
          <w:sz w:val="16"/>
          <w:szCs w:val="16"/>
          <w:lang w:val="pt-BR"/>
        </w:rPr>
        <w:t xml:space="preserve"> 18, 19 y 20.</w:t>
      </w:r>
    </w:p>
    <w:p w14:paraId="70FCDEF9" w14:textId="77777777" w:rsidR="00813091" w:rsidRPr="00D43589" w:rsidRDefault="00813091" w:rsidP="00813091">
      <w:pPr>
        <w:pStyle w:val="NormalWeb"/>
        <w:spacing w:before="90" w:after="45" w:line="270" w:lineRule="atLeast"/>
        <w:ind w:left="75" w:right="75"/>
        <w:jc w:val="both"/>
        <w:rPr>
          <w:rFonts w:ascii="Verdana" w:hAnsi="Verdana" w:cs="Tahoma"/>
          <w:sz w:val="16"/>
          <w:szCs w:val="16"/>
          <w:lang w:val="pt-BR"/>
        </w:rPr>
      </w:pPr>
    </w:p>
    <w:p w14:paraId="3002DE29" w14:textId="77777777" w:rsidR="00813091" w:rsidRPr="00AA2546" w:rsidRDefault="00813091" w:rsidP="00813091">
      <w:pPr>
        <w:pStyle w:val="Textonotapie"/>
        <w:jc w:val="both"/>
        <w:rPr>
          <w:rFonts w:ascii="Verdana" w:hAnsi="Verdana"/>
          <w:sz w:val="16"/>
          <w:szCs w:val="16"/>
          <w:lang w:val="uz-Cyrl-U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8D5A" w14:textId="77777777" w:rsidR="00EF4D33" w:rsidRDefault="007D4E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0A2C0" w14:textId="77777777" w:rsidR="00EF4D33" w:rsidRDefault="007D4E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89FE" w14:textId="77777777" w:rsidR="00EF4D33" w:rsidRDefault="007D4E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4BA"/>
    <w:multiLevelType w:val="hybridMultilevel"/>
    <w:tmpl w:val="B0DEA918"/>
    <w:lvl w:ilvl="0" w:tplc="6E728C6A">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6F3031"/>
    <w:multiLevelType w:val="hybridMultilevel"/>
    <w:tmpl w:val="C7FA3598"/>
    <w:lvl w:ilvl="0" w:tplc="F8801340">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 w15:restartNumberingAfterBreak="0">
    <w:nsid w:val="17E609B6"/>
    <w:multiLevelType w:val="hybridMultilevel"/>
    <w:tmpl w:val="6E18293E"/>
    <w:lvl w:ilvl="0" w:tplc="B1266AAA">
      <w:start w:val="10"/>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334249"/>
    <w:multiLevelType w:val="hybridMultilevel"/>
    <w:tmpl w:val="D8EA1E52"/>
    <w:lvl w:ilvl="0" w:tplc="140A000F">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432028"/>
    <w:multiLevelType w:val="hybridMultilevel"/>
    <w:tmpl w:val="692E8CF2"/>
    <w:lvl w:ilvl="0" w:tplc="A1187F62">
      <w:start w:val="1"/>
      <w:numFmt w:val="lowerLetter"/>
      <w:lvlText w:val="%1)"/>
      <w:lvlJc w:val="left"/>
      <w:pPr>
        <w:ind w:left="210" w:hanging="360"/>
      </w:pPr>
      <w:rPr>
        <w:i w:val="0"/>
        <w:iCs w:val="0"/>
      </w:rPr>
    </w:lvl>
    <w:lvl w:ilvl="1" w:tplc="140A0019" w:tentative="1">
      <w:start w:val="1"/>
      <w:numFmt w:val="lowerLetter"/>
      <w:lvlText w:val="%2."/>
      <w:lvlJc w:val="left"/>
      <w:pPr>
        <w:ind w:left="930" w:hanging="360"/>
      </w:pPr>
    </w:lvl>
    <w:lvl w:ilvl="2" w:tplc="140A001B" w:tentative="1">
      <w:start w:val="1"/>
      <w:numFmt w:val="lowerRoman"/>
      <w:lvlText w:val="%3."/>
      <w:lvlJc w:val="right"/>
      <w:pPr>
        <w:ind w:left="1650" w:hanging="180"/>
      </w:pPr>
    </w:lvl>
    <w:lvl w:ilvl="3" w:tplc="140A000F" w:tentative="1">
      <w:start w:val="1"/>
      <w:numFmt w:val="decimal"/>
      <w:lvlText w:val="%4."/>
      <w:lvlJc w:val="left"/>
      <w:pPr>
        <w:ind w:left="2370" w:hanging="360"/>
      </w:pPr>
    </w:lvl>
    <w:lvl w:ilvl="4" w:tplc="140A0019" w:tentative="1">
      <w:start w:val="1"/>
      <w:numFmt w:val="lowerLetter"/>
      <w:lvlText w:val="%5."/>
      <w:lvlJc w:val="left"/>
      <w:pPr>
        <w:ind w:left="3090" w:hanging="360"/>
      </w:pPr>
    </w:lvl>
    <w:lvl w:ilvl="5" w:tplc="140A001B" w:tentative="1">
      <w:start w:val="1"/>
      <w:numFmt w:val="lowerRoman"/>
      <w:lvlText w:val="%6."/>
      <w:lvlJc w:val="right"/>
      <w:pPr>
        <w:ind w:left="3810" w:hanging="180"/>
      </w:pPr>
    </w:lvl>
    <w:lvl w:ilvl="6" w:tplc="140A000F" w:tentative="1">
      <w:start w:val="1"/>
      <w:numFmt w:val="decimal"/>
      <w:lvlText w:val="%7."/>
      <w:lvlJc w:val="left"/>
      <w:pPr>
        <w:ind w:left="4530" w:hanging="360"/>
      </w:pPr>
    </w:lvl>
    <w:lvl w:ilvl="7" w:tplc="140A0019" w:tentative="1">
      <w:start w:val="1"/>
      <w:numFmt w:val="lowerLetter"/>
      <w:lvlText w:val="%8."/>
      <w:lvlJc w:val="left"/>
      <w:pPr>
        <w:ind w:left="5250" w:hanging="360"/>
      </w:pPr>
    </w:lvl>
    <w:lvl w:ilvl="8" w:tplc="140A001B" w:tentative="1">
      <w:start w:val="1"/>
      <w:numFmt w:val="lowerRoman"/>
      <w:lvlText w:val="%9."/>
      <w:lvlJc w:val="right"/>
      <w:pPr>
        <w:ind w:left="5970" w:hanging="180"/>
      </w:pPr>
    </w:lvl>
  </w:abstractNum>
  <w:abstractNum w:abstractNumId="5" w15:restartNumberingAfterBreak="0">
    <w:nsid w:val="1CEB25C7"/>
    <w:multiLevelType w:val="hybridMultilevel"/>
    <w:tmpl w:val="2E78007C"/>
    <w:lvl w:ilvl="0" w:tplc="CDC82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16FBB"/>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21915B6"/>
    <w:multiLevelType w:val="hybridMultilevel"/>
    <w:tmpl w:val="D4A07520"/>
    <w:lvl w:ilvl="0" w:tplc="1578F2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396524E"/>
    <w:multiLevelType w:val="hybridMultilevel"/>
    <w:tmpl w:val="0980CAE0"/>
    <w:lvl w:ilvl="0" w:tplc="7548B29E">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55B10"/>
    <w:multiLevelType w:val="hybridMultilevel"/>
    <w:tmpl w:val="8A4E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42B0D"/>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88207F"/>
    <w:multiLevelType w:val="hybridMultilevel"/>
    <w:tmpl w:val="E348E25C"/>
    <w:lvl w:ilvl="0" w:tplc="8B06F2B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84D01D0"/>
    <w:multiLevelType w:val="hybridMultilevel"/>
    <w:tmpl w:val="42E4A714"/>
    <w:lvl w:ilvl="0" w:tplc="4A00582C">
      <w:start w:val="1"/>
      <w:numFmt w:val="upperLetter"/>
      <w:lvlText w:val="%1."/>
      <w:lvlJc w:val="left"/>
      <w:pPr>
        <w:ind w:left="720" w:hanging="360"/>
      </w:pPr>
      <w:rPr>
        <w:rFonts w:hint="default"/>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9739E2"/>
    <w:multiLevelType w:val="hybridMultilevel"/>
    <w:tmpl w:val="50AA1CA8"/>
    <w:lvl w:ilvl="0" w:tplc="2E561C3A">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14" w15:restartNumberingAfterBreak="0">
    <w:nsid w:val="4B861689"/>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03A10ED"/>
    <w:multiLevelType w:val="hybridMultilevel"/>
    <w:tmpl w:val="3520952A"/>
    <w:lvl w:ilvl="0" w:tplc="D83E548A">
      <w:start w:val="1"/>
      <w:numFmt w:val="decimal"/>
      <w:lvlText w:val="%1."/>
      <w:lvlJc w:val="left"/>
      <w:pPr>
        <w:ind w:left="360" w:hanging="360"/>
      </w:pPr>
      <w:rPr>
        <w:b w:val="0"/>
        <w:bCs w:val="0"/>
        <w:i w:val="0"/>
        <w:iCs w:val="0"/>
        <w:strike w:val="0"/>
        <w:color w:val="000000" w:themeColor="text1"/>
        <w:sz w:val="20"/>
        <w:szCs w:val="20"/>
        <w:vertAlign w:val="baseline"/>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16" w15:restartNumberingAfterBreak="0">
    <w:nsid w:val="50F050A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A10508F"/>
    <w:multiLevelType w:val="hybridMultilevel"/>
    <w:tmpl w:val="727A57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E19427D"/>
    <w:multiLevelType w:val="hybridMultilevel"/>
    <w:tmpl w:val="3D28975C"/>
    <w:lvl w:ilvl="0" w:tplc="7C5C66C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47B02BA"/>
    <w:multiLevelType w:val="hybridMultilevel"/>
    <w:tmpl w:val="75362850"/>
    <w:lvl w:ilvl="0" w:tplc="140A0017">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1" w15:restartNumberingAfterBreak="0">
    <w:nsid w:val="728B175B"/>
    <w:multiLevelType w:val="hybridMultilevel"/>
    <w:tmpl w:val="82E88A9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2F9059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B300D"/>
    <w:multiLevelType w:val="hybridMultilevel"/>
    <w:tmpl w:val="712C37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E97B02"/>
    <w:multiLevelType w:val="hybridMultilevel"/>
    <w:tmpl w:val="BCB63CD4"/>
    <w:lvl w:ilvl="0" w:tplc="43B4B16C">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C7C7425"/>
    <w:multiLevelType w:val="hybridMultilevel"/>
    <w:tmpl w:val="0248FB72"/>
    <w:lvl w:ilvl="0" w:tplc="E93412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162A2"/>
    <w:multiLevelType w:val="hybridMultilevel"/>
    <w:tmpl w:val="712C37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FE26226"/>
    <w:multiLevelType w:val="hybridMultilevel"/>
    <w:tmpl w:val="06346FDC"/>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num w:numId="1">
    <w:abstractNumId w:val="25"/>
  </w:num>
  <w:num w:numId="2">
    <w:abstractNumId w:val="24"/>
  </w:num>
  <w:num w:numId="3">
    <w:abstractNumId w:val="0"/>
  </w:num>
  <w:num w:numId="4">
    <w:abstractNumId w:val="13"/>
  </w:num>
  <w:num w:numId="5">
    <w:abstractNumId w:val="23"/>
  </w:num>
  <w:num w:numId="6">
    <w:abstractNumId w:val="8"/>
  </w:num>
  <w:num w:numId="7">
    <w:abstractNumId w:val="19"/>
  </w:num>
  <w:num w:numId="8">
    <w:abstractNumId w:val="9"/>
  </w:num>
  <w:num w:numId="9">
    <w:abstractNumId w:val="22"/>
  </w:num>
  <w:num w:numId="10">
    <w:abstractNumId w:val="3"/>
  </w:num>
  <w:num w:numId="11">
    <w:abstractNumId w:val="2"/>
  </w:num>
  <w:num w:numId="12">
    <w:abstractNumId w:val="5"/>
  </w:num>
  <w:num w:numId="13">
    <w:abstractNumId w:val="16"/>
  </w:num>
  <w:num w:numId="14">
    <w:abstractNumId w:val="14"/>
  </w:num>
  <w:num w:numId="15">
    <w:abstractNumId w:val="18"/>
  </w:num>
  <w:num w:numId="16">
    <w:abstractNumId w:val="1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21"/>
  </w:num>
  <w:num w:numId="22">
    <w:abstractNumId w:val="26"/>
  </w:num>
  <w:num w:numId="23">
    <w:abstractNumId w:val="15"/>
  </w:num>
  <w:num w:numId="24">
    <w:abstractNumId w:val="4"/>
  </w:num>
  <w:num w:numId="25">
    <w:abstractNumId w:val="12"/>
  </w:num>
  <w:num w:numId="26">
    <w:abstractNumId w:val="11"/>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CF"/>
    <w:rsid w:val="000023B9"/>
    <w:rsid w:val="00005AF5"/>
    <w:rsid w:val="0000718B"/>
    <w:rsid w:val="00011845"/>
    <w:rsid w:val="00015CF9"/>
    <w:rsid w:val="00017BD6"/>
    <w:rsid w:val="00020C05"/>
    <w:rsid w:val="00023D00"/>
    <w:rsid w:val="00025511"/>
    <w:rsid w:val="00033ABF"/>
    <w:rsid w:val="00033B27"/>
    <w:rsid w:val="000417D3"/>
    <w:rsid w:val="00047474"/>
    <w:rsid w:val="000517D9"/>
    <w:rsid w:val="000623C4"/>
    <w:rsid w:val="00066EE2"/>
    <w:rsid w:val="00073EAF"/>
    <w:rsid w:val="000763F8"/>
    <w:rsid w:val="00094B67"/>
    <w:rsid w:val="000A0728"/>
    <w:rsid w:val="000C1421"/>
    <w:rsid w:val="000D09E3"/>
    <w:rsid w:val="000E1028"/>
    <w:rsid w:val="000E37F1"/>
    <w:rsid w:val="000E41DF"/>
    <w:rsid w:val="000F190D"/>
    <w:rsid w:val="001002C6"/>
    <w:rsid w:val="00100FF0"/>
    <w:rsid w:val="00112AD8"/>
    <w:rsid w:val="00112E30"/>
    <w:rsid w:val="00125B03"/>
    <w:rsid w:val="001322A3"/>
    <w:rsid w:val="00133B50"/>
    <w:rsid w:val="00141350"/>
    <w:rsid w:val="001449C8"/>
    <w:rsid w:val="00144C2F"/>
    <w:rsid w:val="00145AA0"/>
    <w:rsid w:val="00147907"/>
    <w:rsid w:val="00152BC9"/>
    <w:rsid w:val="0015360D"/>
    <w:rsid w:val="0017222A"/>
    <w:rsid w:val="001818C6"/>
    <w:rsid w:val="00183730"/>
    <w:rsid w:val="00194070"/>
    <w:rsid w:val="00195BB0"/>
    <w:rsid w:val="001A67C3"/>
    <w:rsid w:val="001B6EE2"/>
    <w:rsid w:val="001C221D"/>
    <w:rsid w:val="001C3EF0"/>
    <w:rsid w:val="001C67A9"/>
    <w:rsid w:val="001D038C"/>
    <w:rsid w:val="001D1320"/>
    <w:rsid w:val="001D3520"/>
    <w:rsid w:val="001D6B6D"/>
    <w:rsid w:val="00200C7A"/>
    <w:rsid w:val="002033CF"/>
    <w:rsid w:val="00205ED7"/>
    <w:rsid w:val="00206142"/>
    <w:rsid w:val="00210282"/>
    <w:rsid w:val="0021703A"/>
    <w:rsid w:val="00234D64"/>
    <w:rsid w:val="002367C3"/>
    <w:rsid w:val="002409E3"/>
    <w:rsid w:val="00250696"/>
    <w:rsid w:val="00251059"/>
    <w:rsid w:val="00252807"/>
    <w:rsid w:val="00262A16"/>
    <w:rsid w:val="0028140E"/>
    <w:rsid w:val="002832AC"/>
    <w:rsid w:val="00291ABC"/>
    <w:rsid w:val="002A00C0"/>
    <w:rsid w:val="002B4EFF"/>
    <w:rsid w:val="002C0CD5"/>
    <w:rsid w:val="002C4C73"/>
    <w:rsid w:val="002D0141"/>
    <w:rsid w:val="002E017D"/>
    <w:rsid w:val="002E0D74"/>
    <w:rsid w:val="002E57B7"/>
    <w:rsid w:val="002F173B"/>
    <w:rsid w:val="002F668E"/>
    <w:rsid w:val="002F701E"/>
    <w:rsid w:val="003047EA"/>
    <w:rsid w:val="003107EB"/>
    <w:rsid w:val="0031331F"/>
    <w:rsid w:val="00320573"/>
    <w:rsid w:val="00337B10"/>
    <w:rsid w:val="003543EF"/>
    <w:rsid w:val="003668BB"/>
    <w:rsid w:val="00366AF3"/>
    <w:rsid w:val="00366E64"/>
    <w:rsid w:val="00391081"/>
    <w:rsid w:val="003918FB"/>
    <w:rsid w:val="003A1CE8"/>
    <w:rsid w:val="003D664D"/>
    <w:rsid w:val="003D66FD"/>
    <w:rsid w:val="003F0C42"/>
    <w:rsid w:val="003F3880"/>
    <w:rsid w:val="003F574F"/>
    <w:rsid w:val="003F5C49"/>
    <w:rsid w:val="00400231"/>
    <w:rsid w:val="00400411"/>
    <w:rsid w:val="00403A0C"/>
    <w:rsid w:val="0041018F"/>
    <w:rsid w:val="00411DA9"/>
    <w:rsid w:val="004122BB"/>
    <w:rsid w:val="0041294A"/>
    <w:rsid w:val="00421239"/>
    <w:rsid w:val="004232DB"/>
    <w:rsid w:val="004236C5"/>
    <w:rsid w:val="0043726A"/>
    <w:rsid w:val="00437EC8"/>
    <w:rsid w:val="00441AB1"/>
    <w:rsid w:val="00465802"/>
    <w:rsid w:val="00467BB7"/>
    <w:rsid w:val="00476CE6"/>
    <w:rsid w:val="0048419C"/>
    <w:rsid w:val="00486A06"/>
    <w:rsid w:val="00493981"/>
    <w:rsid w:val="0049773B"/>
    <w:rsid w:val="004B167F"/>
    <w:rsid w:val="004B4E58"/>
    <w:rsid w:val="004C2F87"/>
    <w:rsid w:val="004C4F06"/>
    <w:rsid w:val="004E2753"/>
    <w:rsid w:val="004E5020"/>
    <w:rsid w:val="004F30F1"/>
    <w:rsid w:val="0050056C"/>
    <w:rsid w:val="0050140B"/>
    <w:rsid w:val="00505444"/>
    <w:rsid w:val="0050746C"/>
    <w:rsid w:val="0052533B"/>
    <w:rsid w:val="00525AD6"/>
    <w:rsid w:val="00540619"/>
    <w:rsid w:val="00557680"/>
    <w:rsid w:val="005640B5"/>
    <w:rsid w:val="0056652D"/>
    <w:rsid w:val="00567B27"/>
    <w:rsid w:val="00567D48"/>
    <w:rsid w:val="0057696F"/>
    <w:rsid w:val="00580341"/>
    <w:rsid w:val="005A26CF"/>
    <w:rsid w:val="005B35EC"/>
    <w:rsid w:val="005C00A8"/>
    <w:rsid w:val="005D26EE"/>
    <w:rsid w:val="005D3D41"/>
    <w:rsid w:val="005D6BB4"/>
    <w:rsid w:val="005E043F"/>
    <w:rsid w:val="005E7472"/>
    <w:rsid w:val="005E7588"/>
    <w:rsid w:val="005F5D4B"/>
    <w:rsid w:val="00612ED5"/>
    <w:rsid w:val="006138EB"/>
    <w:rsid w:val="00625B29"/>
    <w:rsid w:val="0062671F"/>
    <w:rsid w:val="0063730B"/>
    <w:rsid w:val="00637595"/>
    <w:rsid w:val="006621BF"/>
    <w:rsid w:val="00666A69"/>
    <w:rsid w:val="006769D9"/>
    <w:rsid w:val="0067701B"/>
    <w:rsid w:val="00682B01"/>
    <w:rsid w:val="00683830"/>
    <w:rsid w:val="006938A4"/>
    <w:rsid w:val="006A155A"/>
    <w:rsid w:val="006A6934"/>
    <w:rsid w:val="006B69B3"/>
    <w:rsid w:val="006C2817"/>
    <w:rsid w:val="006D3736"/>
    <w:rsid w:val="006E5E43"/>
    <w:rsid w:val="006F30F3"/>
    <w:rsid w:val="006F6D00"/>
    <w:rsid w:val="007000EB"/>
    <w:rsid w:val="007056C3"/>
    <w:rsid w:val="00730729"/>
    <w:rsid w:val="00740A1C"/>
    <w:rsid w:val="00747622"/>
    <w:rsid w:val="00781B82"/>
    <w:rsid w:val="00793824"/>
    <w:rsid w:val="007A25DE"/>
    <w:rsid w:val="007D1AE9"/>
    <w:rsid w:val="007D4E29"/>
    <w:rsid w:val="007E1BCC"/>
    <w:rsid w:val="007E7947"/>
    <w:rsid w:val="007F51CD"/>
    <w:rsid w:val="008042A9"/>
    <w:rsid w:val="00812E18"/>
    <w:rsid w:val="00813091"/>
    <w:rsid w:val="008139D9"/>
    <w:rsid w:val="00824A3E"/>
    <w:rsid w:val="00826D85"/>
    <w:rsid w:val="0082712A"/>
    <w:rsid w:val="008464F6"/>
    <w:rsid w:val="008474E6"/>
    <w:rsid w:val="00852CEA"/>
    <w:rsid w:val="00854FC2"/>
    <w:rsid w:val="008563AE"/>
    <w:rsid w:val="008568AE"/>
    <w:rsid w:val="00864CDC"/>
    <w:rsid w:val="0087028E"/>
    <w:rsid w:val="0087057E"/>
    <w:rsid w:val="0087613E"/>
    <w:rsid w:val="00877162"/>
    <w:rsid w:val="00880C61"/>
    <w:rsid w:val="0088376F"/>
    <w:rsid w:val="008870C0"/>
    <w:rsid w:val="00897D30"/>
    <w:rsid w:val="00897F6A"/>
    <w:rsid w:val="008A0357"/>
    <w:rsid w:val="008A4589"/>
    <w:rsid w:val="008A4B05"/>
    <w:rsid w:val="008A5081"/>
    <w:rsid w:val="008B402B"/>
    <w:rsid w:val="008D017C"/>
    <w:rsid w:val="008E2292"/>
    <w:rsid w:val="008E3858"/>
    <w:rsid w:val="008E5AEC"/>
    <w:rsid w:val="008F3C79"/>
    <w:rsid w:val="008F77F3"/>
    <w:rsid w:val="009005F5"/>
    <w:rsid w:val="00910A46"/>
    <w:rsid w:val="00910E25"/>
    <w:rsid w:val="00913A8E"/>
    <w:rsid w:val="00915D83"/>
    <w:rsid w:val="00920F33"/>
    <w:rsid w:val="00927918"/>
    <w:rsid w:val="00930CAF"/>
    <w:rsid w:val="00933FF2"/>
    <w:rsid w:val="00944F10"/>
    <w:rsid w:val="00953BCF"/>
    <w:rsid w:val="00964F75"/>
    <w:rsid w:val="009731CA"/>
    <w:rsid w:val="00977A68"/>
    <w:rsid w:val="0098601F"/>
    <w:rsid w:val="009900BA"/>
    <w:rsid w:val="00991868"/>
    <w:rsid w:val="00993532"/>
    <w:rsid w:val="009A22E1"/>
    <w:rsid w:val="009A46AF"/>
    <w:rsid w:val="009A6904"/>
    <w:rsid w:val="009B7605"/>
    <w:rsid w:val="009C048D"/>
    <w:rsid w:val="009D386D"/>
    <w:rsid w:val="009E0AB7"/>
    <w:rsid w:val="009E5DCF"/>
    <w:rsid w:val="009E5EF7"/>
    <w:rsid w:val="00A13578"/>
    <w:rsid w:val="00A163D9"/>
    <w:rsid w:val="00A22C62"/>
    <w:rsid w:val="00A331B4"/>
    <w:rsid w:val="00A366C6"/>
    <w:rsid w:val="00A43A40"/>
    <w:rsid w:val="00A46E26"/>
    <w:rsid w:val="00A54378"/>
    <w:rsid w:val="00A5472B"/>
    <w:rsid w:val="00A60B52"/>
    <w:rsid w:val="00A63CEF"/>
    <w:rsid w:val="00A65F63"/>
    <w:rsid w:val="00A65FE7"/>
    <w:rsid w:val="00A66525"/>
    <w:rsid w:val="00A74E51"/>
    <w:rsid w:val="00A76D88"/>
    <w:rsid w:val="00A82E42"/>
    <w:rsid w:val="00A84AC2"/>
    <w:rsid w:val="00A8594B"/>
    <w:rsid w:val="00A86A33"/>
    <w:rsid w:val="00A87946"/>
    <w:rsid w:val="00A968DA"/>
    <w:rsid w:val="00AA0722"/>
    <w:rsid w:val="00AA6728"/>
    <w:rsid w:val="00AC74BC"/>
    <w:rsid w:val="00AD02F0"/>
    <w:rsid w:val="00AD51AA"/>
    <w:rsid w:val="00AD55E7"/>
    <w:rsid w:val="00AD6B11"/>
    <w:rsid w:val="00AF22FF"/>
    <w:rsid w:val="00B053F4"/>
    <w:rsid w:val="00B066F7"/>
    <w:rsid w:val="00B15DC6"/>
    <w:rsid w:val="00B22DD9"/>
    <w:rsid w:val="00B23CE7"/>
    <w:rsid w:val="00B23FA9"/>
    <w:rsid w:val="00B25BF1"/>
    <w:rsid w:val="00B35EB8"/>
    <w:rsid w:val="00B45F91"/>
    <w:rsid w:val="00B526B8"/>
    <w:rsid w:val="00B52A99"/>
    <w:rsid w:val="00B53172"/>
    <w:rsid w:val="00B72544"/>
    <w:rsid w:val="00B74602"/>
    <w:rsid w:val="00B77DA9"/>
    <w:rsid w:val="00B85803"/>
    <w:rsid w:val="00B86F67"/>
    <w:rsid w:val="00B929AD"/>
    <w:rsid w:val="00BA1B0C"/>
    <w:rsid w:val="00BA44B6"/>
    <w:rsid w:val="00BA4F27"/>
    <w:rsid w:val="00BA6DAB"/>
    <w:rsid w:val="00BB63EF"/>
    <w:rsid w:val="00BD561A"/>
    <w:rsid w:val="00BE24D7"/>
    <w:rsid w:val="00BE2654"/>
    <w:rsid w:val="00BF1A29"/>
    <w:rsid w:val="00C042CA"/>
    <w:rsid w:val="00C11AC8"/>
    <w:rsid w:val="00C16260"/>
    <w:rsid w:val="00C17E82"/>
    <w:rsid w:val="00C226CE"/>
    <w:rsid w:val="00C243DD"/>
    <w:rsid w:val="00C31100"/>
    <w:rsid w:val="00C33268"/>
    <w:rsid w:val="00C33768"/>
    <w:rsid w:val="00C33ADB"/>
    <w:rsid w:val="00C355AB"/>
    <w:rsid w:val="00C40F1C"/>
    <w:rsid w:val="00C439C8"/>
    <w:rsid w:val="00C46A3F"/>
    <w:rsid w:val="00C50298"/>
    <w:rsid w:val="00C502A6"/>
    <w:rsid w:val="00C54CD6"/>
    <w:rsid w:val="00C56AD6"/>
    <w:rsid w:val="00C626B1"/>
    <w:rsid w:val="00C8724D"/>
    <w:rsid w:val="00C901A6"/>
    <w:rsid w:val="00C9295D"/>
    <w:rsid w:val="00C94694"/>
    <w:rsid w:val="00C96730"/>
    <w:rsid w:val="00CA041D"/>
    <w:rsid w:val="00CA1233"/>
    <w:rsid w:val="00CB0576"/>
    <w:rsid w:val="00CC349D"/>
    <w:rsid w:val="00CC35C3"/>
    <w:rsid w:val="00CC36E4"/>
    <w:rsid w:val="00CC61C1"/>
    <w:rsid w:val="00CC7CC7"/>
    <w:rsid w:val="00CD3249"/>
    <w:rsid w:val="00CD60B7"/>
    <w:rsid w:val="00CD785B"/>
    <w:rsid w:val="00CE627F"/>
    <w:rsid w:val="00CE7287"/>
    <w:rsid w:val="00CF4EE7"/>
    <w:rsid w:val="00CF7DC2"/>
    <w:rsid w:val="00D1225D"/>
    <w:rsid w:val="00D1782C"/>
    <w:rsid w:val="00D21216"/>
    <w:rsid w:val="00D23AE3"/>
    <w:rsid w:val="00D35384"/>
    <w:rsid w:val="00D35C52"/>
    <w:rsid w:val="00D625FD"/>
    <w:rsid w:val="00D6757A"/>
    <w:rsid w:val="00D824D1"/>
    <w:rsid w:val="00D82686"/>
    <w:rsid w:val="00D861DF"/>
    <w:rsid w:val="00D874F4"/>
    <w:rsid w:val="00DA4121"/>
    <w:rsid w:val="00DA7132"/>
    <w:rsid w:val="00DB0B42"/>
    <w:rsid w:val="00DB458D"/>
    <w:rsid w:val="00DD1062"/>
    <w:rsid w:val="00DE4E1A"/>
    <w:rsid w:val="00DE5901"/>
    <w:rsid w:val="00DE6A0D"/>
    <w:rsid w:val="00DE6E9B"/>
    <w:rsid w:val="00DF1103"/>
    <w:rsid w:val="00DF59DF"/>
    <w:rsid w:val="00E026FA"/>
    <w:rsid w:val="00E0795A"/>
    <w:rsid w:val="00E1076D"/>
    <w:rsid w:val="00E112B2"/>
    <w:rsid w:val="00E16416"/>
    <w:rsid w:val="00E20FBB"/>
    <w:rsid w:val="00E25B0E"/>
    <w:rsid w:val="00E32CF7"/>
    <w:rsid w:val="00E33674"/>
    <w:rsid w:val="00E41E6D"/>
    <w:rsid w:val="00E53316"/>
    <w:rsid w:val="00E5497D"/>
    <w:rsid w:val="00E55813"/>
    <w:rsid w:val="00E56091"/>
    <w:rsid w:val="00E64B24"/>
    <w:rsid w:val="00E64E86"/>
    <w:rsid w:val="00E7649A"/>
    <w:rsid w:val="00E82442"/>
    <w:rsid w:val="00E8410D"/>
    <w:rsid w:val="00E84672"/>
    <w:rsid w:val="00E90C9D"/>
    <w:rsid w:val="00E93C0B"/>
    <w:rsid w:val="00E95433"/>
    <w:rsid w:val="00E96612"/>
    <w:rsid w:val="00EA39CF"/>
    <w:rsid w:val="00EA4A43"/>
    <w:rsid w:val="00EA6794"/>
    <w:rsid w:val="00EB65B9"/>
    <w:rsid w:val="00EC20BE"/>
    <w:rsid w:val="00ED1F0A"/>
    <w:rsid w:val="00ED28CA"/>
    <w:rsid w:val="00EE0812"/>
    <w:rsid w:val="00EE311A"/>
    <w:rsid w:val="00EE3A32"/>
    <w:rsid w:val="00EF4423"/>
    <w:rsid w:val="00EF5C6C"/>
    <w:rsid w:val="00EF6A71"/>
    <w:rsid w:val="00F04E06"/>
    <w:rsid w:val="00F12DFC"/>
    <w:rsid w:val="00F12EDF"/>
    <w:rsid w:val="00F13F46"/>
    <w:rsid w:val="00F20AC3"/>
    <w:rsid w:val="00F2409E"/>
    <w:rsid w:val="00F3581F"/>
    <w:rsid w:val="00F40DBA"/>
    <w:rsid w:val="00F551F1"/>
    <w:rsid w:val="00F70A0F"/>
    <w:rsid w:val="00F72C7A"/>
    <w:rsid w:val="00F73235"/>
    <w:rsid w:val="00F7383B"/>
    <w:rsid w:val="00F74AAE"/>
    <w:rsid w:val="00F778D5"/>
    <w:rsid w:val="00F838ED"/>
    <w:rsid w:val="00F84589"/>
    <w:rsid w:val="00FA7E75"/>
    <w:rsid w:val="00FB76B4"/>
    <w:rsid w:val="00FC4EFB"/>
    <w:rsid w:val="00FC51BB"/>
    <w:rsid w:val="00FC600D"/>
    <w:rsid w:val="00FD209C"/>
    <w:rsid w:val="00FD34DA"/>
    <w:rsid w:val="00FD3ABB"/>
    <w:rsid w:val="00FD4B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DFC8E"/>
  <w15:docId w15:val="{7319037C-34EC-40C1-A613-056F8C5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5B"/>
    <w:pPr>
      <w:spacing w:after="0" w:line="240" w:lineRule="auto"/>
    </w:pPr>
    <w:rPr>
      <w:rFonts w:ascii="Times New Roman" w:eastAsia="MS Mincho"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85B"/>
    <w:pPr>
      <w:tabs>
        <w:tab w:val="center" w:pos="4252"/>
        <w:tab w:val="right" w:pos="8504"/>
      </w:tabs>
    </w:pPr>
  </w:style>
  <w:style w:type="character" w:customStyle="1" w:styleId="EncabezadoCar">
    <w:name w:val="Encabezado Car"/>
    <w:basedOn w:val="Fuentedeprrafopredeter"/>
    <w:link w:val="Encabezado"/>
    <w:uiPriority w:val="99"/>
    <w:rsid w:val="00CD785B"/>
  </w:style>
  <w:style w:type="paragraph" w:styleId="Piedepgina">
    <w:name w:val="footer"/>
    <w:basedOn w:val="Normal"/>
    <w:link w:val="PiedepginaCar"/>
    <w:uiPriority w:val="99"/>
    <w:unhideWhenUsed/>
    <w:rsid w:val="00CD785B"/>
    <w:pPr>
      <w:tabs>
        <w:tab w:val="center" w:pos="4252"/>
        <w:tab w:val="right" w:pos="8504"/>
      </w:tabs>
    </w:pPr>
  </w:style>
  <w:style w:type="character" w:customStyle="1" w:styleId="PiedepginaCar">
    <w:name w:val="Pie de página Car"/>
    <w:basedOn w:val="Fuentedeprrafopredeter"/>
    <w:link w:val="Piedepgina"/>
    <w:uiPriority w:val="99"/>
    <w:rsid w:val="00CD785B"/>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CD785B"/>
    <w:rPr>
      <w:rFonts w:ascii="Verdana" w:hAnsi="Verdana"/>
      <w:sz w:val="16"/>
      <w:vertAlign w:val="superscript"/>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ft,FA Fu?notentext"/>
    <w:basedOn w:val="Normal"/>
    <w:link w:val="TextonotapieCar"/>
    <w:qFormat/>
    <w:rsid w:val="00CD785B"/>
    <w:pPr>
      <w:widowControl w:val="0"/>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qFormat/>
    <w:rsid w:val="00CD785B"/>
    <w:rPr>
      <w:rFonts w:ascii="Times New Roman" w:eastAsia="MS Mincho" w:hAnsi="Times New Roman" w:cs="Times New Roman"/>
      <w:sz w:val="20"/>
      <w:szCs w:val="20"/>
      <w:lang w:val="es-ES_tradnl"/>
    </w:rPr>
  </w:style>
  <w:style w:type="character" w:styleId="Hipervnculo">
    <w:name w:val="Hyperlink"/>
    <w:uiPriority w:val="99"/>
    <w:unhideWhenUsed/>
    <w:rsid w:val="00CD785B"/>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785B"/>
    <w:pPr>
      <w:jc w:val="both"/>
    </w:pPr>
    <w:rPr>
      <w:rFonts w:ascii="Verdana" w:eastAsiaTheme="minorHAnsi" w:hAnsi="Verdana" w:cstheme="minorBidi"/>
      <w:sz w:val="16"/>
      <w:szCs w:val="22"/>
      <w:vertAlign w:val="superscript"/>
      <w:lang w:val="es-ES"/>
    </w:rPr>
  </w:style>
  <w:style w:type="paragraph" w:styleId="Prrafodelista">
    <w:name w:val="List Paragraph"/>
    <w:aliases w:val="Footnote,List Paragraph1,Colorful List - Accent 11,Párrafo de lista1"/>
    <w:basedOn w:val="Normal"/>
    <w:link w:val="PrrafodelistaCar"/>
    <w:uiPriority w:val="34"/>
    <w:qFormat/>
    <w:rsid w:val="00CD785B"/>
    <w:pPr>
      <w:spacing w:after="200" w:line="276" w:lineRule="auto"/>
      <w:ind w:left="720"/>
      <w:contextualSpacing/>
    </w:pPr>
    <w:rPr>
      <w:rFonts w:asciiTheme="minorHAnsi" w:eastAsiaTheme="minorHAnsi" w:hAnsiTheme="minorHAnsi" w:cstheme="minorBidi"/>
      <w:sz w:val="22"/>
      <w:szCs w:val="22"/>
      <w:lang w:val="en-US"/>
    </w:rPr>
  </w:style>
  <w:style w:type="character" w:styleId="Textoennegrita">
    <w:name w:val="Strong"/>
    <w:basedOn w:val="Fuentedeprrafopredeter"/>
    <w:qFormat/>
    <w:rsid w:val="00CD785B"/>
    <w:rPr>
      <w:b/>
      <w:bCs/>
    </w:rPr>
  </w:style>
  <w:style w:type="character" w:customStyle="1" w:styleId="PrrafodelistaCar">
    <w:name w:val="Párrafo de lista Car"/>
    <w:aliases w:val="Footnote Car,List Paragraph1 Car,Colorful List - Accent 11 Car,Párrafo de lista1 Car"/>
    <w:link w:val="Prrafodelista"/>
    <w:uiPriority w:val="34"/>
    <w:locked/>
    <w:rsid w:val="00CD785B"/>
    <w:rPr>
      <w:lang w:val="en-US"/>
    </w:rPr>
  </w:style>
  <w:style w:type="paragraph" w:styleId="Textodeglobo">
    <w:name w:val="Balloon Text"/>
    <w:basedOn w:val="Normal"/>
    <w:link w:val="TextodegloboCar"/>
    <w:uiPriority w:val="99"/>
    <w:semiHidden/>
    <w:unhideWhenUsed/>
    <w:rsid w:val="00CD7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85B"/>
    <w:rPr>
      <w:rFonts w:ascii="Segoe UI" w:eastAsia="MS Mincho" w:hAnsi="Segoe UI" w:cs="Segoe UI"/>
      <w:sz w:val="18"/>
      <w:szCs w:val="18"/>
      <w:lang w:val="es-ES_tradnl"/>
    </w:rPr>
  </w:style>
  <w:style w:type="character" w:styleId="Refdecomentario">
    <w:name w:val="annotation reference"/>
    <w:basedOn w:val="Fuentedeprrafopredeter"/>
    <w:uiPriority w:val="99"/>
    <w:semiHidden/>
    <w:unhideWhenUsed/>
    <w:rsid w:val="00CD785B"/>
    <w:rPr>
      <w:sz w:val="16"/>
      <w:szCs w:val="16"/>
    </w:rPr>
  </w:style>
  <w:style w:type="paragraph" w:styleId="Textocomentario">
    <w:name w:val="annotation text"/>
    <w:basedOn w:val="Normal"/>
    <w:link w:val="TextocomentarioCar"/>
    <w:uiPriority w:val="99"/>
    <w:semiHidden/>
    <w:unhideWhenUsed/>
    <w:rsid w:val="00CD785B"/>
    <w:rPr>
      <w:sz w:val="20"/>
      <w:szCs w:val="20"/>
    </w:rPr>
  </w:style>
  <w:style w:type="character" w:customStyle="1" w:styleId="TextocomentarioCar">
    <w:name w:val="Texto comentario Car"/>
    <w:basedOn w:val="Fuentedeprrafopredeter"/>
    <w:link w:val="Textocomentario"/>
    <w:uiPriority w:val="99"/>
    <w:semiHidden/>
    <w:rsid w:val="00CD785B"/>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D785B"/>
    <w:rPr>
      <w:b/>
      <w:bCs/>
    </w:rPr>
  </w:style>
  <w:style w:type="character" w:customStyle="1" w:styleId="AsuntodelcomentarioCar">
    <w:name w:val="Asunto del comentario Car"/>
    <w:basedOn w:val="TextocomentarioCar"/>
    <w:link w:val="Asuntodelcomentario"/>
    <w:uiPriority w:val="99"/>
    <w:semiHidden/>
    <w:rsid w:val="00CD785B"/>
    <w:rPr>
      <w:rFonts w:ascii="Times New Roman" w:eastAsia="MS Mincho" w:hAnsi="Times New Roman" w:cs="Times New Roman"/>
      <w:b/>
      <w:bCs/>
      <w:sz w:val="20"/>
      <w:szCs w:val="20"/>
      <w:lang w:val="es-ES_tradnl"/>
    </w:rPr>
  </w:style>
  <w:style w:type="paragraph" w:styleId="Textoindependiente">
    <w:name w:val="Body Text"/>
    <w:basedOn w:val="Normal"/>
    <w:link w:val="TextoindependienteCar"/>
    <w:rsid w:val="007056C3"/>
    <w:pPr>
      <w:spacing w:after="120"/>
    </w:pPr>
    <w:rPr>
      <w:rFonts w:ascii="Times" w:eastAsia="Times" w:hAnsi="Times"/>
      <w:szCs w:val="20"/>
    </w:rPr>
  </w:style>
  <w:style w:type="character" w:customStyle="1" w:styleId="TextoindependienteCar">
    <w:name w:val="Texto independiente Car"/>
    <w:basedOn w:val="Fuentedeprrafopredeter"/>
    <w:link w:val="Textoindependiente"/>
    <w:rsid w:val="007056C3"/>
    <w:rPr>
      <w:rFonts w:ascii="Times" w:eastAsia="Times" w:hAnsi="Times" w:cs="Times New Roman"/>
      <w:sz w:val="24"/>
      <w:szCs w:val="20"/>
      <w:lang w:val="es-ES_tradnl"/>
    </w:rPr>
  </w:style>
  <w:style w:type="paragraph" w:customStyle="1" w:styleId="Default">
    <w:name w:val="Default"/>
    <w:rsid w:val="00AD51AA"/>
    <w:pPr>
      <w:autoSpaceDE w:val="0"/>
      <w:autoSpaceDN w:val="0"/>
      <w:adjustRightInd w:val="0"/>
      <w:spacing w:after="0" w:line="240" w:lineRule="auto"/>
    </w:pPr>
    <w:rPr>
      <w:rFonts w:ascii="Arial" w:hAnsi="Arial" w:cs="Arial"/>
      <w:color w:val="000000"/>
      <w:sz w:val="24"/>
      <w:szCs w:val="24"/>
      <w:lang w:val="es-CR"/>
    </w:rPr>
  </w:style>
  <w:style w:type="character" w:customStyle="1" w:styleId="Fuentedeprrafopredeter1">
    <w:name w:val="Fuente de párrafo predeter.1"/>
    <w:rsid w:val="000A0728"/>
  </w:style>
  <w:style w:type="paragraph" w:customStyle="1" w:styleId="Textocomentario1">
    <w:name w:val="Texto comentario1"/>
    <w:basedOn w:val="Normal"/>
    <w:rsid w:val="000A0728"/>
    <w:pPr>
      <w:suppressAutoHyphens/>
      <w:autoSpaceDN w:val="0"/>
      <w:textAlignment w:val="baseline"/>
    </w:pPr>
    <w:rPr>
      <w:sz w:val="20"/>
      <w:szCs w:val="20"/>
    </w:rPr>
  </w:style>
  <w:style w:type="character" w:customStyle="1" w:styleId="Refdecomentario1">
    <w:name w:val="Ref. de comentario1"/>
    <w:basedOn w:val="Fuentedeprrafopredeter1"/>
    <w:rsid w:val="000A0728"/>
    <w:rPr>
      <w:sz w:val="16"/>
      <w:szCs w:val="16"/>
    </w:rPr>
  </w:style>
  <w:style w:type="paragraph" w:customStyle="1" w:styleId="Textonotapie1">
    <w:name w:val="Texto nota pie1"/>
    <w:basedOn w:val="Normal"/>
    <w:rsid w:val="000A0728"/>
    <w:pPr>
      <w:widowControl w:val="0"/>
      <w:suppressAutoHyphens/>
      <w:autoSpaceDN w:val="0"/>
      <w:textAlignment w:val="baseline"/>
    </w:pPr>
    <w:rPr>
      <w:sz w:val="20"/>
      <w:szCs w:val="20"/>
    </w:rPr>
  </w:style>
  <w:style w:type="character" w:customStyle="1" w:styleId="Refdenotaalpie1">
    <w:name w:val="Ref. de nota al pie1"/>
    <w:rsid w:val="000A0728"/>
    <w:rPr>
      <w:rFonts w:ascii="Verdana" w:hAnsi="Verdana"/>
      <w:position w:val="0"/>
      <w:sz w:val="16"/>
      <w:vertAlign w:val="superscript"/>
    </w:rPr>
  </w:style>
  <w:style w:type="character" w:styleId="Nmerodelnea">
    <w:name w:val="line number"/>
    <w:basedOn w:val="Fuentedeprrafopredeter"/>
    <w:uiPriority w:val="99"/>
    <w:semiHidden/>
    <w:unhideWhenUsed/>
    <w:rsid w:val="00F12EDF"/>
  </w:style>
  <w:style w:type="paragraph" w:styleId="Revisin">
    <w:name w:val="Revision"/>
    <w:hidden/>
    <w:uiPriority w:val="99"/>
    <w:semiHidden/>
    <w:rsid w:val="000417D3"/>
    <w:pPr>
      <w:spacing w:after="0" w:line="240" w:lineRule="auto"/>
    </w:pPr>
    <w:rPr>
      <w:rFonts w:ascii="Times New Roman" w:eastAsia="MS Mincho" w:hAnsi="Times New Roman" w:cs="Times New Roman"/>
      <w:sz w:val="24"/>
      <w:szCs w:val="24"/>
      <w:lang w:val="es-ES_tradnl"/>
    </w:rPr>
  </w:style>
  <w:style w:type="paragraph" w:styleId="NormalWeb">
    <w:name w:val="Normal (Web)"/>
    <w:basedOn w:val="Normal"/>
    <w:uiPriority w:val="99"/>
    <w:semiHidden/>
    <w:unhideWhenUsed/>
    <w:rsid w:val="0081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679">
      <w:bodyDiv w:val="1"/>
      <w:marLeft w:val="0"/>
      <w:marRight w:val="0"/>
      <w:marTop w:val="0"/>
      <w:marBottom w:val="0"/>
      <w:divBdr>
        <w:top w:val="none" w:sz="0" w:space="0" w:color="auto"/>
        <w:left w:val="none" w:sz="0" w:space="0" w:color="auto"/>
        <w:bottom w:val="none" w:sz="0" w:space="0" w:color="auto"/>
        <w:right w:val="none" w:sz="0" w:space="0" w:color="auto"/>
      </w:divBdr>
    </w:div>
    <w:div w:id="596792071">
      <w:bodyDiv w:val="1"/>
      <w:marLeft w:val="0"/>
      <w:marRight w:val="0"/>
      <w:marTop w:val="0"/>
      <w:marBottom w:val="0"/>
      <w:divBdr>
        <w:top w:val="none" w:sz="0" w:space="0" w:color="auto"/>
        <w:left w:val="none" w:sz="0" w:space="0" w:color="auto"/>
        <w:bottom w:val="none" w:sz="0" w:space="0" w:color="auto"/>
        <w:right w:val="none" w:sz="0" w:space="0" w:color="auto"/>
      </w:divBdr>
    </w:div>
    <w:div w:id="667096759">
      <w:bodyDiv w:val="1"/>
      <w:marLeft w:val="0"/>
      <w:marRight w:val="0"/>
      <w:marTop w:val="0"/>
      <w:marBottom w:val="0"/>
      <w:divBdr>
        <w:top w:val="none" w:sz="0" w:space="0" w:color="auto"/>
        <w:left w:val="none" w:sz="0" w:space="0" w:color="auto"/>
        <w:bottom w:val="none" w:sz="0" w:space="0" w:color="auto"/>
        <w:right w:val="none" w:sz="0" w:space="0" w:color="auto"/>
      </w:divBdr>
    </w:div>
    <w:div w:id="942228823">
      <w:bodyDiv w:val="1"/>
      <w:marLeft w:val="0"/>
      <w:marRight w:val="0"/>
      <w:marTop w:val="0"/>
      <w:marBottom w:val="0"/>
      <w:divBdr>
        <w:top w:val="none" w:sz="0" w:space="0" w:color="auto"/>
        <w:left w:val="none" w:sz="0" w:space="0" w:color="auto"/>
        <w:bottom w:val="none" w:sz="0" w:space="0" w:color="auto"/>
        <w:right w:val="none" w:sz="0" w:space="0" w:color="auto"/>
      </w:divBdr>
    </w:div>
    <w:div w:id="947274965">
      <w:bodyDiv w:val="1"/>
      <w:marLeft w:val="0"/>
      <w:marRight w:val="0"/>
      <w:marTop w:val="0"/>
      <w:marBottom w:val="0"/>
      <w:divBdr>
        <w:top w:val="none" w:sz="0" w:space="0" w:color="auto"/>
        <w:left w:val="none" w:sz="0" w:space="0" w:color="auto"/>
        <w:bottom w:val="none" w:sz="0" w:space="0" w:color="auto"/>
        <w:right w:val="none" w:sz="0" w:space="0" w:color="auto"/>
      </w:divBdr>
    </w:div>
    <w:div w:id="1584606777">
      <w:bodyDiv w:val="1"/>
      <w:marLeft w:val="0"/>
      <w:marRight w:val="0"/>
      <w:marTop w:val="0"/>
      <w:marBottom w:val="0"/>
      <w:divBdr>
        <w:top w:val="none" w:sz="0" w:space="0" w:color="auto"/>
        <w:left w:val="none" w:sz="0" w:space="0" w:color="auto"/>
        <w:bottom w:val="none" w:sz="0" w:space="0" w:color="auto"/>
        <w:right w:val="none" w:sz="0" w:space="0" w:color="auto"/>
      </w:divBdr>
    </w:div>
    <w:div w:id="1904682670">
      <w:bodyDiv w:val="1"/>
      <w:marLeft w:val="0"/>
      <w:marRight w:val="0"/>
      <w:marTop w:val="0"/>
      <w:marBottom w:val="0"/>
      <w:divBdr>
        <w:top w:val="none" w:sz="0" w:space="0" w:color="auto"/>
        <w:left w:val="none" w:sz="0" w:space="0" w:color="auto"/>
        <w:bottom w:val="none" w:sz="0" w:space="0" w:color="auto"/>
        <w:right w:val="none" w:sz="0" w:space="0" w:color="auto"/>
      </w:divBdr>
    </w:div>
    <w:div w:id="21114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5BE6-B7C8-ED49-BCFD-0C9CB0E9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10323</Words>
  <Characters>56782</Characters>
  <Application>Microsoft Office Word</Application>
  <DocSecurity>0</DocSecurity>
  <Lines>473</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5</cp:revision>
  <cp:lastPrinted>2020-09-08T20:02:00Z</cp:lastPrinted>
  <dcterms:created xsi:type="dcterms:W3CDTF">2020-09-08T20:02:00Z</dcterms:created>
  <dcterms:modified xsi:type="dcterms:W3CDTF">2020-09-08T23:22:00Z</dcterms:modified>
</cp:coreProperties>
</file>