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DFDC1" w14:textId="77777777" w:rsidR="002859C6" w:rsidRPr="009756CD" w:rsidRDefault="002859C6" w:rsidP="008B6B6E">
      <w:pPr>
        <w:tabs>
          <w:tab w:val="left" w:pos="567"/>
        </w:tabs>
        <w:spacing w:after="0" w:line="240" w:lineRule="auto"/>
        <w:jc w:val="center"/>
        <w:rPr>
          <w:rFonts w:ascii="Verdana" w:hAnsi="Verdana"/>
          <w:b/>
          <w:sz w:val="20"/>
          <w:lang w:val="es-CR"/>
        </w:rPr>
      </w:pPr>
    </w:p>
    <w:p w14:paraId="6DB99782" w14:textId="77777777" w:rsidR="002E629A" w:rsidRPr="009756CD" w:rsidRDefault="002E629A" w:rsidP="008B6B6E">
      <w:pPr>
        <w:tabs>
          <w:tab w:val="left" w:pos="567"/>
        </w:tabs>
        <w:spacing w:after="0" w:line="240" w:lineRule="auto"/>
        <w:jc w:val="center"/>
        <w:rPr>
          <w:rFonts w:ascii="Verdana" w:hAnsi="Verdana"/>
          <w:b/>
          <w:sz w:val="20"/>
          <w:lang w:val="es-CR"/>
        </w:rPr>
      </w:pPr>
    </w:p>
    <w:p w14:paraId="17D7488C" w14:textId="77777777" w:rsidR="002E629A" w:rsidRPr="009756CD" w:rsidRDefault="002E629A" w:rsidP="008B6B6E">
      <w:pPr>
        <w:tabs>
          <w:tab w:val="left" w:pos="567"/>
        </w:tabs>
        <w:spacing w:after="0" w:line="240" w:lineRule="auto"/>
        <w:jc w:val="center"/>
        <w:rPr>
          <w:rFonts w:ascii="Verdana" w:hAnsi="Verdana"/>
          <w:b/>
          <w:sz w:val="20"/>
          <w:lang w:val="es-CR"/>
        </w:rPr>
      </w:pPr>
    </w:p>
    <w:p w14:paraId="668CAE93" w14:textId="77777777" w:rsidR="003E5C21" w:rsidRDefault="003E5C21" w:rsidP="008B6B6E">
      <w:pPr>
        <w:tabs>
          <w:tab w:val="left" w:pos="567"/>
        </w:tabs>
        <w:spacing w:after="0" w:line="240" w:lineRule="auto"/>
        <w:jc w:val="center"/>
        <w:rPr>
          <w:rFonts w:ascii="Verdana" w:hAnsi="Verdana"/>
          <w:b/>
          <w:sz w:val="20"/>
          <w:lang w:val="es-CR"/>
        </w:rPr>
      </w:pPr>
    </w:p>
    <w:p w14:paraId="3B3166FC" w14:textId="77777777" w:rsidR="00674BE4" w:rsidRDefault="00674BE4" w:rsidP="008B6B6E">
      <w:pPr>
        <w:tabs>
          <w:tab w:val="left" w:pos="567"/>
        </w:tabs>
        <w:spacing w:after="0" w:line="240" w:lineRule="auto"/>
        <w:jc w:val="center"/>
        <w:rPr>
          <w:rFonts w:ascii="Verdana" w:hAnsi="Verdana"/>
          <w:b/>
          <w:sz w:val="20"/>
          <w:lang w:val="es-CR"/>
        </w:rPr>
      </w:pPr>
    </w:p>
    <w:p w14:paraId="65D86F44" w14:textId="77777777" w:rsidR="00674BE4" w:rsidRPr="009756CD" w:rsidRDefault="00674BE4" w:rsidP="008B6B6E">
      <w:pPr>
        <w:tabs>
          <w:tab w:val="left" w:pos="567"/>
        </w:tabs>
        <w:spacing w:after="0" w:line="240" w:lineRule="auto"/>
        <w:jc w:val="center"/>
        <w:rPr>
          <w:rFonts w:ascii="Verdana" w:hAnsi="Verdana"/>
          <w:b/>
          <w:sz w:val="20"/>
          <w:lang w:val="es-CR"/>
        </w:rPr>
      </w:pPr>
    </w:p>
    <w:p w14:paraId="3E1238F6" w14:textId="77777777" w:rsidR="002859C6" w:rsidRPr="009756CD" w:rsidRDefault="002859C6" w:rsidP="008B6B6E">
      <w:pPr>
        <w:tabs>
          <w:tab w:val="left" w:pos="567"/>
        </w:tabs>
        <w:spacing w:after="0" w:line="240" w:lineRule="auto"/>
        <w:jc w:val="center"/>
        <w:rPr>
          <w:rFonts w:ascii="Verdana" w:hAnsi="Verdana"/>
          <w:b/>
          <w:sz w:val="20"/>
          <w:lang w:val="es-CR"/>
        </w:rPr>
      </w:pPr>
      <w:r w:rsidRPr="009756CD">
        <w:rPr>
          <w:rFonts w:ascii="Verdana" w:hAnsi="Verdana"/>
          <w:b/>
          <w:sz w:val="20"/>
          <w:lang w:val="es-CR"/>
        </w:rPr>
        <w:t xml:space="preserve">RESOLUCIÓN DE LA </w:t>
      </w:r>
    </w:p>
    <w:p w14:paraId="5C1FFCFF" w14:textId="16D520B6" w:rsidR="002859C6" w:rsidRPr="009756CD" w:rsidRDefault="002859C6" w:rsidP="008B6B6E">
      <w:pPr>
        <w:tabs>
          <w:tab w:val="left" w:pos="567"/>
        </w:tabs>
        <w:spacing w:after="0" w:line="240" w:lineRule="auto"/>
        <w:jc w:val="center"/>
        <w:rPr>
          <w:rFonts w:ascii="Verdana" w:hAnsi="Verdana"/>
          <w:b/>
          <w:sz w:val="20"/>
          <w:lang w:val="es-CR"/>
        </w:rPr>
      </w:pPr>
      <w:r w:rsidRPr="009756CD">
        <w:rPr>
          <w:rFonts w:ascii="Verdana" w:hAnsi="Verdana"/>
          <w:b/>
          <w:sz w:val="20"/>
          <w:lang w:val="es-CR"/>
        </w:rPr>
        <w:t>CORTE INTERAMERICANA DE DERECHOS HUMANOS</w:t>
      </w:r>
    </w:p>
    <w:p w14:paraId="5239B55A" w14:textId="77777777" w:rsidR="002859C6" w:rsidRPr="009756CD" w:rsidRDefault="002859C6" w:rsidP="008B6B6E">
      <w:pPr>
        <w:tabs>
          <w:tab w:val="left" w:pos="567"/>
        </w:tabs>
        <w:spacing w:after="0" w:line="240" w:lineRule="auto"/>
        <w:jc w:val="center"/>
        <w:rPr>
          <w:rFonts w:ascii="Garamond" w:hAnsi="Garamond"/>
          <w:b/>
          <w:sz w:val="24"/>
          <w:lang w:val="es-CR"/>
        </w:rPr>
      </w:pPr>
    </w:p>
    <w:p w14:paraId="0AEF1B0F" w14:textId="7C88C587" w:rsidR="002859C6" w:rsidRPr="009756CD" w:rsidRDefault="002859C6" w:rsidP="008B6B6E">
      <w:pPr>
        <w:tabs>
          <w:tab w:val="left" w:pos="567"/>
        </w:tabs>
        <w:spacing w:after="0" w:line="240" w:lineRule="auto"/>
        <w:jc w:val="center"/>
        <w:rPr>
          <w:rFonts w:ascii="Verdana" w:hAnsi="Verdana"/>
          <w:b/>
          <w:sz w:val="20"/>
          <w:lang w:val="es-CR"/>
        </w:rPr>
      </w:pPr>
      <w:r w:rsidRPr="009756CD">
        <w:rPr>
          <w:rFonts w:ascii="Verdana" w:hAnsi="Verdana"/>
          <w:b/>
          <w:sz w:val="20"/>
          <w:lang w:val="es-CR"/>
        </w:rPr>
        <w:t xml:space="preserve">DE </w:t>
      </w:r>
      <w:r w:rsidR="00F44FED" w:rsidRPr="009756CD">
        <w:rPr>
          <w:rFonts w:ascii="Verdana" w:hAnsi="Verdana"/>
          <w:b/>
          <w:sz w:val="20"/>
          <w:lang w:val="es-CR"/>
        </w:rPr>
        <w:t>25</w:t>
      </w:r>
      <w:r w:rsidRPr="009756CD">
        <w:rPr>
          <w:rFonts w:ascii="Verdana" w:hAnsi="Verdana"/>
          <w:b/>
          <w:sz w:val="20"/>
          <w:lang w:val="es-CR"/>
        </w:rPr>
        <w:t xml:space="preserve"> DE MA</w:t>
      </w:r>
      <w:r w:rsidR="008B6B6E" w:rsidRPr="009756CD">
        <w:rPr>
          <w:rFonts w:ascii="Verdana" w:hAnsi="Verdana"/>
          <w:b/>
          <w:sz w:val="20"/>
          <w:lang w:val="es-CR"/>
        </w:rPr>
        <w:t>Y</w:t>
      </w:r>
      <w:r w:rsidRPr="009756CD">
        <w:rPr>
          <w:rFonts w:ascii="Verdana" w:hAnsi="Verdana"/>
          <w:b/>
          <w:sz w:val="20"/>
          <w:lang w:val="es-CR"/>
        </w:rPr>
        <w:t>O DE 2017</w:t>
      </w:r>
    </w:p>
    <w:p w14:paraId="11EDCE5E" w14:textId="77777777" w:rsidR="002859C6" w:rsidRPr="009756CD" w:rsidRDefault="002859C6" w:rsidP="008B6B6E">
      <w:pPr>
        <w:tabs>
          <w:tab w:val="left" w:pos="567"/>
        </w:tabs>
        <w:spacing w:after="0" w:line="240" w:lineRule="auto"/>
        <w:jc w:val="center"/>
        <w:rPr>
          <w:rFonts w:ascii="Verdana" w:hAnsi="Verdana"/>
          <w:b/>
          <w:sz w:val="20"/>
          <w:lang w:val="es-CR"/>
        </w:rPr>
      </w:pPr>
    </w:p>
    <w:p w14:paraId="6B129D4D" w14:textId="77777777" w:rsidR="002859C6" w:rsidRPr="009756CD" w:rsidRDefault="002859C6" w:rsidP="008B6B6E">
      <w:pPr>
        <w:tabs>
          <w:tab w:val="left" w:pos="567"/>
        </w:tabs>
        <w:spacing w:after="0" w:line="240" w:lineRule="auto"/>
        <w:jc w:val="center"/>
        <w:rPr>
          <w:rFonts w:ascii="Verdana" w:hAnsi="Verdana"/>
          <w:b/>
          <w:sz w:val="20"/>
          <w:lang w:val="es-CR"/>
        </w:rPr>
      </w:pPr>
      <w:r w:rsidRPr="009756CD">
        <w:rPr>
          <w:rFonts w:ascii="Verdana" w:hAnsi="Verdana"/>
          <w:b/>
          <w:sz w:val="20"/>
          <w:lang w:val="es-CR"/>
        </w:rPr>
        <w:t xml:space="preserve">SOLICITUD DE MEDIDAS PROVISIONALES </w:t>
      </w:r>
    </w:p>
    <w:p w14:paraId="442972CE" w14:textId="63B7490F" w:rsidR="002859C6" w:rsidRPr="009756CD" w:rsidRDefault="002859C6" w:rsidP="008B6B6E">
      <w:pPr>
        <w:tabs>
          <w:tab w:val="left" w:pos="567"/>
        </w:tabs>
        <w:spacing w:after="0" w:line="240" w:lineRule="auto"/>
        <w:jc w:val="center"/>
        <w:rPr>
          <w:rFonts w:ascii="Verdana" w:hAnsi="Verdana"/>
          <w:b/>
          <w:sz w:val="20"/>
          <w:lang w:val="es-CR"/>
        </w:rPr>
      </w:pPr>
      <w:r w:rsidRPr="009756CD">
        <w:rPr>
          <w:rFonts w:ascii="Verdana" w:hAnsi="Verdana"/>
          <w:b/>
          <w:sz w:val="20"/>
          <w:lang w:val="es-CR"/>
        </w:rPr>
        <w:t xml:space="preserve">RESPECTO </w:t>
      </w:r>
      <w:r w:rsidR="003E3A74" w:rsidRPr="009756CD">
        <w:rPr>
          <w:rFonts w:ascii="Verdana" w:hAnsi="Verdana"/>
          <w:b/>
          <w:sz w:val="20"/>
          <w:lang w:val="es-CR"/>
        </w:rPr>
        <w:t xml:space="preserve">DE </w:t>
      </w:r>
      <w:r w:rsidR="008B6B6E" w:rsidRPr="009756CD">
        <w:rPr>
          <w:rFonts w:ascii="Verdana" w:hAnsi="Verdana"/>
          <w:b/>
          <w:sz w:val="20"/>
          <w:lang w:val="es-CR"/>
        </w:rPr>
        <w:t>BOLIVIA</w:t>
      </w:r>
    </w:p>
    <w:p w14:paraId="05262EF8" w14:textId="77777777" w:rsidR="002859C6" w:rsidRPr="009756CD" w:rsidRDefault="002859C6" w:rsidP="008B6B6E">
      <w:pPr>
        <w:tabs>
          <w:tab w:val="left" w:pos="567"/>
        </w:tabs>
        <w:spacing w:after="0" w:line="240" w:lineRule="auto"/>
        <w:jc w:val="center"/>
        <w:rPr>
          <w:rFonts w:ascii="Verdana" w:hAnsi="Verdana"/>
          <w:b/>
          <w:sz w:val="20"/>
          <w:lang w:val="es-CR"/>
        </w:rPr>
      </w:pPr>
    </w:p>
    <w:p w14:paraId="24E48350" w14:textId="663F7935" w:rsidR="002859C6" w:rsidRPr="009756CD" w:rsidRDefault="008B6B6E" w:rsidP="008B6B6E">
      <w:pPr>
        <w:tabs>
          <w:tab w:val="left" w:pos="567"/>
        </w:tabs>
        <w:spacing w:after="0" w:line="240" w:lineRule="auto"/>
        <w:jc w:val="center"/>
        <w:rPr>
          <w:rFonts w:ascii="Verdana" w:hAnsi="Verdana"/>
          <w:b/>
          <w:sz w:val="20"/>
          <w:lang w:val="es-CR"/>
        </w:rPr>
      </w:pPr>
      <w:r w:rsidRPr="009756CD">
        <w:rPr>
          <w:rFonts w:ascii="Verdana" w:hAnsi="Verdana"/>
          <w:b/>
          <w:sz w:val="20"/>
          <w:lang w:val="es-CR"/>
        </w:rPr>
        <w:t xml:space="preserve">CASO I.V. </w:t>
      </w:r>
      <w:r w:rsidRPr="009756CD">
        <w:rPr>
          <w:rFonts w:ascii="Verdana" w:hAnsi="Verdana"/>
          <w:b/>
          <w:i/>
          <w:sz w:val="20"/>
          <w:lang w:val="es-CR"/>
        </w:rPr>
        <w:t>VS.</w:t>
      </w:r>
      <w:r w:rsidRPr="009756CD">
        <w:rPr>
          <w:rFonts w:ascii="Verdana" w:hAnsi="Verdana"/>
          <w:b/>
          <w:sz w:val="20"/>
          <w:lang w:val="es-CR"/>
        </w:rPr>
        <w:t xml:space="preserve"> BOLIVIA</w:t>
      </w:r>
    </w:p>
    <w:p w14:paraId="1BF7005C" w14:textId="77777777" w:rsidR="00DB4AD6" w:rsidRPr="009756CD" w:rsidRDefault="00DB4AD6" w:rsidP="008B6B6E">
      <w:pPr>
        <w:tabs>
          <w:tab w:val="left" w:pos="567"/>
        </w:tabs>
        <w:spacing w:after="0" w:line="240" w:lineRule="auto"/>
        <w:jc w:val="both"/>
        <w:rPr>
          <w:lang w:val="es-CR"/>
        </w:rPr>
      </w:pPr>
      <w:bookmarkStart w:id="0" w:name="_GoBack"/>
      <w:bookmarkEnd w:id="0"/>
    </w:p>
    <w:p w14:paraId="087D723D" w14:textId="2C19D081" w:rsidR="002859C6" w:rsidRPr="009756CD" w:rsidRDefault="002859C6" w:rsidP="008B6B6E">
      <w:pPr>
        <w:tabs>
          <w:tab w:val="left" w:pos="567"/>
        </w:tabs>
        <w:spacing w:after="0" w:line="240" w:lineRule="auto"/>
        <w:jc w:val="both"/>
        <w:rPr>
          <w:rFonts w:ascii="Verdana" w:hAnsi="Verdana"/>
          <w:b/>
          <w:sz w:val="20"/>
          <w:lang w:val="es-CR"/>
        </w:rPr>
      </w:pPr>
      <w:r w:rsidRPr="009756CD">
        <w:rPr>
          <w:rFonts w:ascii="Verdana" w:hAnsi="Verdana"/>
          <w:b/>
          <w:sz w:val="20"/>
          <w:lang w:val="es-CR"/>
        </w:rPr>
        <w:t>VISTO:</w:t>
      </w:r>
    </w:p>
    <w:p w14:paraId="250130F6" w14:textId="77777777" w:rsidR="008B6B6E" w:rsidRPr="009756CD" w:rsidRDefault="008B6B6E" w:rsidP="008B6B6E">
      <w:pPr>
        <w:tabs>
          <w:tab w:val="left" w:pos="567"/>
        </w:tabs>
        <w:spacing w:after="0" w:line="240" w:lineRule="auto"/>
        <w:jc w:val="both"/>
        <w:rPr>
          <w:rFonts w:ascii="Verdana" w:hAnsi="Verdana"/>
          <w:b/>
          <w:sz w:val="20"/>
          <w:lang w:val="es-CR"/>
        </w:rPr>
      </w:pPr>
    </w:p>
    <w:p w14:paraId="1428BED7" w14:textId="2648FE25" w:rsidR="00495D80" w:rsidRPr="009756CD" w:rsidRDefault="00495D80" w:rsidP="00815E2D">
      <w:pPr>
        <w:pStyle w:val="Prrafodelista1"/>
        <w:numPr>
          <w:ilvl w:val="0"/>
          <w:numId w:val="1"/>
        </w:numPr>
        <w:tabs>
          <w:tab w:val="clear" w:pos="360"/>
          <w:tab w:val="num" w:pos="0"/>
          <w:tab w:val="num" w:pos="567"/>
        </w:tabs>
        <w:ind w:left="0" w:firstLine="0"/>
        <w:contextualSpacing w:val="0"/>
        <w:jc w:val="both"/>
        <w:rPr>
          <w:sz w:val="20"/>
          <w:lang w:val="es-CR"/>
        </w:rPr>
      </w:pPr>
      <w:r w:rsidRPr="009756CD">
        <w:rPr>
          <w:sz w:val="20"/>
          <w:lang w:val="es-CR"/>
        </w:rPr>
        <w:t xml:space="preserve">La Sentencia de excepciones preliminares, </w:t>
      </w:r>
      <w:r w:rsidR="005C724A" w:rsidRPr="009756CD">
        <w:rPr>
          <w:sz w:val="20"/>
          <w:lang w:val="es-CR"/>
        </w:rPr>
        <w:t xml:space="preserve">fondo, </w:t>
      </w:r>
      <w:r w:rsidRPr="009756CD">
        <w:rPr>
          <w:sz w:val="20"/>
          <w:lang w:val="es-CR"/>
        </w:rPr>
        <w:t xml:space="preserve">reparaciones y costas de 30 de noviembre de 2016, mediante la cual la Corte Interamericana </w:t>
      </w:r>
      <w:r w:rsidR="00923283" w:rsidRPr="009756CD">
        <w:rPr>
          <w:sz w:val="20"/>
          <w:lang w:val="es-CR"/>
        </w:rPr>
        <w:t xml:space="preserve">de Derechos Humanos (en adelante “la Corte Interamericana” o “la Corte”) </w:t>
      </w:r>
      <w:r w:rsidRPr="009756CD">
        <w:rPr>
          <w:sz w:val="20"/>
          <w:lang w:val="es-CR"/>
        </w:rPr>
        <w:t xml:space="preserve">declaró responsable internacionalmente al Estado Plurinacional de Bolivia </w:t>
      </w:r>
      <w:r w:rsidR="00923283" w:rsidRPr="009756CD">
        <w:rPr>
          <w:sz w:val="20"/>
          <w:lang w:val="es-CR"/>
        </w:rPr>
        <w:t xml:space="preserve">(en adelante “el Estado de Bolivia”, “el Estado” o “Bolivia”) </w:t>
      </w:r>
      <w:r w:rsidRPr="009756CD">
        <w:rPr>
          <w:sz w:val="20"/>
          <w:lang w:val="es-CR"/>
        </w:rPr>
        <w:t>por la violación de los derechos a la integridad personal, a la libertad personal, a la dignidad, a la vida privada y familiar, de acceso a la información y a fundar una familia, reconocidos en los artículos 5.1, 7.1, 11.1, 11.2, 13.1 y 17.2 de la Convención Americana</w:t>
      </w:r>
      <w:r w:rsidR="00923283" w:rsidRPr="009756CD">
        <w:rPr>
          <w:sz w:val="20"/>
          <w:lang w:val="es-CR"/>
        </w:rPr>
        <w:t xml:space="preserve"> sobre Derechos Humanos (en adelante “la Convención Americana” o “la Convención”)</w:t>
      </w:r>
      <w:r w:rsidRPr="009756CD">
        <w:rPr>
          <w:sz w:val="20"/>
          <w:lang w:val="es-CR"/>
        </w:rPr>
        <w:t xml:space="preserve">, en relación con las obligaciones de respetar y garantizar esos derechos y de no discriminar contenidas en el artículo 1.1 de la misma, así como por no cumplir con sus obligaciones bajo el artículo 7.a) y b) de la </w:t>
      </w:r>
      <w:r w:rsidR="00C777F9" w:rsidRPr="009756CD">
        <w:rPr>
          <w:bCs/>
          <w:sz w:val="20"/>
          <w:lang w:val="es-CR"/>
        </w:rPr>
        <w:t>Convenci</w:t>
      </w:r>
      <w:r w:rsidR="002051F4" w:rsidRPr="009756CD">
        <w:rPr>
          <w:bCs/>
          <w:sz w:val="20"/>
          <w:lang w:val="es-CR"/>
        </w:rPr>
        <w:t>ó</w:t>
      </w:r>
      <w:r w:rsidR="00C777F9" w:rsidRPr="009756CD">
        <w:rPr>
          <w:bCs/>
          <w:sz w:val="20"/>
          <w:lang w:val="es-CR"/>
        </w:rPr>
        <w:t>n Interamericana para Prevenir, Sancionar y Erradicar la Violencia contra la Mujer</w:t>
      </w:r>
      <w:r w:rsidR="00C777F9" w:rsidRPr="009756CD">
        <w:rPr>
          <w:sz w:val="20"/>
          <w:lang w:val="es-CR"/>
        </w:rPr>
        <w:t xml:space="preserve"> </w:t>
      </w:r>
      <w:r w:rsidR="00683F35" w:rsidRPr="009756CD">
        <w:rPr>
          <w:sz w:val="20"/>
          <w:lang w:val="es-CR"/>
        </w:rPr>
        <w:t xml:space="preserve">o </w:t>
      </w:r>
      <w:r w:rsidR="00C777F9" w:rsidRPr="009756CD">
        <w:rPr>
          <w:sz w:val="20"/>
          <w:lang w:val="es-CR"/>
        </w:rPr>
        <w:t>“</w:t>
      </w:r>
      <w:r w:rsidRPr="009756CD">
        <w:rPr>
          <w:sz w:val="20"/>
          <w:lang w:val="es-CR"/>
        </w:rPr>
        <w:t>Convención de Belém do Pará</w:t>
      </w:r>
      <w:r w:rsidR="00C777F9" w:rsidRPr="009756CD">
        <w:rPr>
          <w:sz w:val="20"/>
          <w:lang w:val="es-CR"/>
        </w:rPr>
        <w:t>”</w:t>
      </w:r>
      <w:r w:rsidRPr="009756CD">
        <w:rPr>
          <w:sz w:val="20"/>
          <w:lang w:val="es-CR"/>
        </w:rPr>
        <w:t>, en perjuicio de la señora I.V.</w:t>
      </w:r>
      <w:r w:rsidR="00676D44" w:rsidRPr="009756CD">
        <w:rPr>
          <w:sz w:val="20"/>
          <w:lang w:val="es-CR"/>
        </w:rPr>
        <w:t xml:space="preserve"> Ello</w:t>
      </w:r>
      <w:r w:rsidR="000B1181" w:rsidRPr="009756CD">
        <w:rPr>
          <w:sz w:val="20"/>
          <w:lang w:val="es-CR"/>
        </w:rPr>
        <w:t>,</w:t>
      </w:r>
      <w:r w:rsidRPr="009756CD">
        <w:rPr>
          <w:sz w:val="20"/>
          <w:lang w:val="es-CR"/>
        </w:rPr>
        <w:t xml:space="preserve"> </w:t>
      </w:r>
      <w:r w:rsidR="000B1181" w:rsidRPr="009756CD">
        <w:rPr>
          <w:sz w:val="20"/>
          <w:lang w:val="es-CR"/>
        </w:rPr>
        <w:t>en razón de</w:t>
      </w:r>
      <w:r w:rsidR="00676D44" w:rsidRPr="009756CD">
        <w:rPr>
          <w:sz w:val="20"/>
          <w:lang w:val="es-CR"/>
        </w:rPr>
        <w:t xml:space="preserve"> </w:t>
      </w:r>
      <w:r w:rsidR="000B1181" w:rsidRPr="009756CD">
        <w:rPr>
          <w:sz w:val="20"/>
          <w:lang w:val="es-CR"/>
        </w:rPr>
        <w:t xml:space="preserve">la ligadura de las trompas de Falopio que le fue practicada el 1 de julio de 2000 en Bolivia por un funcionario público en un hospital estatal, la cual fue contraria a las obligaciones internacionales del Estado, toda vez que tal procedimiento se llevó a cabo sin obtener el consentimiento informado de la paciente, bajo los parámetros establecidos en el derecho internacional para este tipo de actos médicos al momento de los hechos. </w:t>
      </w:r>
      <w:r w:rsidRPr="009756CD">
        <w:rPr>
          <w:sz w:val="20"/>
          <w:lang w:val="es-CR"/>
        </w:rPr>
        <w:t xml:space="preserve">Además, la Corte concluyó que </w:t>
      </w:r>
      <w:r w:rsidR="00862A24" w:rsidRPr="009756CD">
        <w:rPr>
          <w:sz w:val="20"/>
          <w:lang w:val="es-CR"/>
        </w:rPr>
        <w:t xml:space="preserve">la esterilización sin su consentimiento informado, en las circunstancias particulares de este caso, constituyó un trato cruel, inhumano y degradante contrario a la dignidad del ser humano, por lo que </w:t>
      </w:r>
      <w:r w:rsidRPr="009756CD">
        <w:rPr>
          <w:sz w:val="20"/>
          <w:lang w:val="es-CR"/>
        </w:rPr>
        <w:t xml:space="preserve">el Estado </w:t>
      </w:r>
      <w:r w:rsidR="00862A24" w:rsidRPr="009756CD">
        <w:rPr>
          <w:sz w:val="20"/>
          <w:lang w:val="es-CR"/>
        </w:rPr>
        <w:t>fue declarado</w:t>
      </w:r>
      <w:r w:rsidRPr="009756CD">
        <w:rPr>
          <w:sz w:val="20"/>
          <w:lang w:val="es-CR"/>
        </w:rPr>
        <w:t xml:space="preserve"> responsable por la violación del derecho a la integridad personal, reconocido en el artículo 5.1 y 5.2 de la Convención Americana, en relación con la obligación de respetar, contenida en el artículo 1.1 de la misma, en perjuicio de la señora I.V. Finalmente, la Corte declaró al Estado responsable por la violación de los derechos a las garantías judiciales y protección judicial, reconocidos en los artículos 8.1 y 25.1 de la Convención Americana, en relación con las obligaciones de respetar y garantizar esos derechos y de no discriminar contenidas en el artículo 1.1 de la misma, así como por no cumplir con sus obligaciones bajo el artículo 7.b), c), f) y g) de la Convención de Belém do Pará, en perjuicio de la señora I.V.</w:t>
      </w:r>
      <w:r w:rsidR="00815E2D" w:rsidRPr="009756CD">
        <w:rPr>
          <w:sz w:val="20"/>
          <w:lang w:val="es-CR"/>
        </w:rPr>
        <w:t xml:space="preserve"> En</w:t>
      </w:r>
      <w:r w:rsidR="00D445B0" w:rsidRPr="009756CD">
        <w:rPr>
          <w:sz w:val="20"/>
          <w:lang w:val="es-CR"/>
        </w:rPr>
        <w:t>tre</w:t>
      </w:r>
      <w:r w:rsidR="00815E2D" w:rsidRPr="009756CD">
        <w:rPr>
          <w:sz w:val="20"/>
          <w:lang w:val="es-CR"/>
        </w:rPr>
        <w:t xml:space="preserve"> las reparaciones</w:t>
      </w:r>
      <w:r w:rsidR="00D445B0" w:rsidRPr="009756CD">
        <w:rPr>
          <w:sz w:val="20"/>
          <w:lang w:val="es-CR"/>
        </w:rPr>
        <w:t xml:space="preserve"> dispuestas</w:t>
      </w:r>
      <w:r w:rsidR="00815E2D" w:rsidRPr="009756CD">
        <w:rPr>
          <w:sz w:val="20"/>
          <w:lang w:val="es-CR"/>
        </w:rPr>
        <w:t>, en el punto resolutivo octav</w:t>
      </w:r>
      <w:r w:rsidR="00D445B0" w:rsidRPr="009756CD">
        <w:rPr>
          <w:sz w:val="20"/>
          <w:lang w:val="es-CR"/>
        </w:rPr>
        <w:t>o</w:t>
      </w:r>
      <w:r w:rsidR="00E40F93" w:rsidRPr="009756CD">
        <w:rPr>
          <w:sz w:val="20"/>
          <w:lang w:val="es-CR"/>
        </w:rPr>
        <w:t xml:space="preserve"> de la Sentencia</w:t>
      </w:r>
      <w:r w:rsidR="005C724A" w:rsidRPr="009756CD">
        <w:rPr>
          <w:sz w:val="20"/>
          <w:lang w:val="es-CR"/>
        </w:rPr>
        <w:t>,</w:t>
      </w:r>
      <w:r w:rsidR="00815E2D" w:rsidRPr="009756CD">
        <w:rPr>
          <w:sz w:val="20"/>
          <w:lang w:val="es-CR"/>
        </w:rPr>
        <w:t xml:space="preserve"> la Corte ordenó que: “[e]</w:t>
      </w:r>
      <w:r w:rsidR="00815E2D" w:rsidRPr="009756CD">
        <w:rPr>
          <w:bCs/>
          <w:sz w:val="20"/>
          <w:lang w:val="es-CR"/>
        </w:rPr>
        <w:t xml:space="preserve">l Estado debe brindar gratuitamente, a través de sus instituciones de salud especializadas, y de forma inmediata, adecuada y efectiva, el tratamiento médico y, específicamente en salud sexual y reproductiva, así como tratamiento psicológico y/o psiquiátrico, a la señora I.V., de conformidad con lo establecido en el párrafo 332 de </w:t>
      </w:r>
      <w:r w:rsidR="00EF2F92">
        <w:rPr>
          <w:bCs/>
          <w:sz w:val="20"/>
          <w:lang w:val="es-CR"/>
        </w:rPr>
        <w:t>[la]</w:t>
      </w:r>
      <w:r w:rsidR="00815E2D" w:rsidRPr="009756CD">
        <w:rPr>
          <w:bCs/>
          <w:sz w:val="20"/>
          <w:lang w:val="es-CR"/>
        </w:rPr>
        <w:t xml:space="preserve"> Sentencia</w:t>
      </w:r>
      <w:r w:rsidR="00815E2D" w:rsidRPr="009756CD">
        <w:rPr>
          <w:sz w:val="20"/>
          <w:lang w:val="es-CR"/>
        </w:rPr>
        <w:t>”. La señora I.V. dispone de un plazo de seis meses, contado a partir del 22 de diciembre de 2016, fecha de notificación de la Sentencia, para dar a conocer al Estado su intención de recibir atención psicológica y/o psiquiátrica</w:t>
      </w:r>
      <w:r w:rsidR="007268DA" w:rsidRPr="009756CD">
        <w:rPr>
          <w:sz w:val="20"/>
          <w:lang w:val="es-CR"/>
        </w:rPr>
        <w:t xml:space="preserve"> </w:t>
      </w:r>
      <w:r w:rsidR="007268DA" w:rsidRPr="009756CD">
        <w:rPr>
          <w:bCs/>
          <w:sz w:val="20"/>
          <w:lang w:val="es-CR"/>
        </w:rPr>
        <w:t>a través de sus instituciones de salud especializadas</w:t>
      </w:r>
      <w:r w:rsidR="00815E2D" w:rsidRPr="009756CD">
        <w:rPr>
          <w:sz w:val="20"/>
          <w:lang w:val="es-CR"/>
        </w:rPr>
        <w:t>.</w:t>
      </w:r>
    </w:p>
    <w:p w14:paraId="7A2E098E" w14:textId="77777777" w:rsidR="00495D80" w:rsidRPr="009756CD" w:rsidRDefault="00495D80" w:rsidP="00495D80">
      <w:pPr>
        <w:pStyle w:val="Prrafodelista1"/>
        <w:tabs>
          <w:tab w:val="num" w:pos="567"/>
        </w:tabs>
        <w:contextualSpacing w:val="0"/>
        <w:jc w:val="both"/>
        <w:rPr>
          <w:sz w:val="20"/>
          <w:lang w:val="es-CR"/>
        </w:rPr>
      </w:pPr>
    </w:p>
    <w:p w14:paraId="2C2D5F11" w14:textId="6E1C5872" w:rsidR="00C942D0" w:rsidRPr="009756CD" w:rsidRDefault="00C942D0" w:rsidP="00C942D0">
      <w:pPr>
        <w:pStyle w:val="Prrafodelista1"/>
        <w:numPr>
          <w:ilvl w:val="0"/>
          <w:numId w:val="1"/>
        </w:numPr>
        <w:tabs>
          <w:tab w:val="clear" w:pos="360"/>
          <w:tab w:val="num" w:pos="0"/>
          <w:tab w:val="num" w:pos="567"/>
        </w:tabs>
        <w:ind w:left="0" w:firstLine="0"/>
        <w:contextualSpacing w:val="0"/>
        <w:jc w:val="both"/>
        <w:rPr>
          <w:sz w:val="20"/>
          <w:lang w:val="es-CR"/>
        </w:rPr>
      </w:pPr>
      <w:r w:rsidRPr="009756CD">
        <w:rPr>
          <w:sz w:val="20"/>
          <w:lang w:val="es-CR"/>
        </w:rPr>
        <w:lastRenderedPageBreak/>
        <w:t xml:space="preserve">El </w:t>
      </w:r>
      <w:r w:rsidR="00D551A6" w:rsidRPr="009756CD">
        <w:rPr>
          <w:sz w:val="20"/>
          <w:lang w:val="es-CR"/>
        </w:rPr>
        <w:t xml:space="preserve">escrito de </w:t>
      </w:r>
      <w:r w:rsidRPr="009756CD">
        <w:rPr>
          <w:sz w:val="20"/>
          <w:lang w:val="es-CR"/>
        </w:rPr>
        <w:t>19 de marzo de 2017</w:t>
      </w:r>
      <w:r w:rsidR="00D551A6" w:rsidRPr="009756CD">
        <w:rPr>
          <w:sz w:val="20"/>
          <w:lang w:val="es-CR"/>
        </w:rPr>
        <w:t>, mediante el cual</w:t>
      </w:r>
      <w:r w:rsidRPr="009756CD">
        <w:rPr>
          <w:sz w:val="20"/>
          <w:lang w:val="es-CR"/>
        </w:rPr>
        <w:t xml:space="preserve"> la representante de la víctima solicitó una interpretación de la Sentencia dictada por el Tribunal. Entre los puntos de interpretación solicitados, figura el relativo a la medida de reparación de atención médica, así como psicológica y/o psiquiátrica. En particular, la representante solicitó a la Corte que interpretara los párrafos 332 y 372(8) de su Sentencia, a efecto de que la víctima pu</w:t>
      </w:r>
      <w:r w:rsidR="005C724A" w:rsidRPr="009756CD">
        <w:rPr>
          <w:sz w:val="20"/>
          <w:lang w:val="es-CR"/>
        </w:rPr>
        <w:t>diera</w:t>
      </w:r>
      <w:r w:rsidRPr="009756CD">
        <w:rPr>
          <w:sz w:val="20"/>
          <w:lang w:val="es-CR"/>
        </w:rPr>
        <w:t xml:space="preserve"> comunicar al Estado, antes de cumplirse los </w:t>
      </w:r>
      <w:r w:rsidR="005C724A" w:rsidRPr="009756CD">
        <w:rPr>
          <w:sz w:val="20"/>
          <w:lang w:val="es-CR"/>
        </w:rPr>
        <w:t>seis</w:t>
      </w:r>
      <w:r w:rsidRPr="009756CD">
        <w:rPr>
          <w:sz w:val="20"/>
          <w:lang w:val="es-CR"/>
        </w:rPr>
        <w:t xml:space="preserve"> meses desde la notificación de la Sentencia, su intención de recibir la atención psicológica y/o psiquiátrica conforme a lo ordenado por este Tribunal. En esta línea, indicó que lo más provechoso para la salud de I.V. sería que mant</w:t>
      </w:r>
      <w:r w:rsidR="00590F26" w:rsidRPr="009756CD">
        <w:rPr>
          <w:sz w:val="20"/>
          <w:lang w:val="es-CR"/>
        </w:rPr>
        <w:t>uviera</w:t>
      </w:r>
      <w:r w:rsidRPr="009756CD">
        <w:rPr>
          <w:sz w:val="20"/>
          <w:lang w:val="es-CR"/>
        </w:rPr>
        <w:t xml:space="preserve"> el tratamiento y el servicio profesional psicológico y psiquiátrico privado que actualmente recibe bajo un esquema por el cual los referidos servicios sean pagados por el Estado según el arancel profesional vigente a nivel nacional. En cuanto a la medicación que fuera necesaria, solicitó que </w:t>
      </w:r>
      <w:r w:rsidR="001D552F">
        <w:rPr>
          <w:sz w:val="20"/>
          <w:lang w:val="es-CR"/>
        </w:rPr>
        <w:t>fuera</w:t>
      </w:r>
      <w:r w:rsidRPr="009756CD">
        <w:rPr>
          <w:sz w:val="20"/>
          <w:lang w:val="es-CR"/>
        </w:rPr>
        <w:t xml:space="preserve"> provista por el Estado, de acuerdo a la prescripción médica del servicio de salud privado que atiende a la señora I.V. </w:t>
      </w:r>
      <w:r w:rsidR="00216CFF" w:rsidRPr="009756CD">
        <w:rPr>
          <w:sz w:val="20"/>
          <w:lang w:val="es-CR"/>
        </w:rPr>
        <w:t xml:space="preserve">Se recibieron observaciones del Estado y de la Comisión </w:t>
      </w:r>
      <w:r w:rsidR="00EF4627" w:rsidRPr="009756CD">
        <w:rPr>
          <w:sz w:val="20"/>
          <w:lang w:val="es-CR"/>
        </w:rPr>
        <w:t xml:space="preserve">sobre dicha solicitud </w:t>
      </w:r>
      <w:r w:rsidR="00216CFF" w:rsidRPr="009756CD">
        <w:rPr>
          <w:sz w:val="20"/>
          <w:lang w:val="es-CR"/>
        </w:rPr>
        <w:t>el 5 de mayo de 2017.</w:t>
      </w:r>
    </w:p>
    <w:p w14:paraId="05A71DDE" w14:textId="77777777" w:rsidR="00C942D0" w:rsidRPr="009756CD" w:rsidRDefault="00C942D0" w:rsidP="00216CFF">
      <w:pPr>
        <w:pStyle w:val="Prrafodelista1"/>
        <w:tabs>
          <w:tab w:val="num" w:pos="567"/>
        </w:tabs>
        <w:contextualSpacing w:val="0"/>
        <w:jc w:val="both"/>
        <w:rPr>
          <w:sz w:val="20"/>
          <w:lang w:val="es-CR"/>
        </w:rPr>
      </w:pPr>
    </w:p>
    <w:p w14:paraId="2E7198E0" w14:textId="1BB25DAC" w:rsidR="00495D80" w:rsidRPr="009756CD" w:rsidRDefault="00D551A6" w:rsidP="00D551A6">
      <w:pPr>
        <w:pStyle w:val="Prrafodelista1"/>
        <w:numPr>
          <w:ilvl w:val="0"/>
          <w:numId w:val="1"/>
        </w:numPr>
        <w:tabs>
          <w:tab w:val="clear" w:pos="360"/>
          <w:tab w:val="num" w:pos="0"/>
          <w:tab w:val="num" w:pos="567"/>
        </w:tabs>
        <w:ind w:left="0" w:firstLine="0"/>
        <w:contextualSpacing w:val="0"/>
        <w:jc w:val="both"/>
        <w:rPr>
          <w:sz w:val="20"/>
          <w:lang w:val="es-CR"/>
        </w:rPr>
      </w:pPr>
      <w:r w:rsidRPr="009756CD">
        <w:rPr>
          <w:sz w:val="20"/>
          <w:lang w:val="es-CR"/>
        </w:rPr>
        <w:t xml:space="preserve">El escrito de 31 de marzo de 2017, mediante el cual la representante puso en conocimiento del Tribunal la supuesta contravención al artículo 53 del Reglamento del Tribunal, según el cual “[l]os Estados no podrán enjuiciar a las presuntas víctimas, a los testigos y a los peritos, a sus representantes o asesores legales ni ejercer represalias contra ellos o sus familiares, a causa de sus declaraciones, dictámenes rendidos o su defensa legal ante la Corte”. Sobre el particular, informó que el 24 de enero de 2017 el Servicio de Impuestos Nacionales (SIN) de Bolivia notificó a </w:t>
      </w:r>
      <w:r w:rsidR="00932785" w:rsidRPr="009756CD">
        <w:rPr>
          <w:sz w:val="20"/>
          <w:lang w:val="es-CR"/>
        </w:rPr>
        <w:t xml:space="preserve">la señora </w:t>
      </w:r>
      <w:r w:rsidRPr="009756CD">
        <w:rPr>
          <w:sz w:val="20"/>
          <w:lang w:val="es-CR"/>
        </w:rPr>
        <w:t>I.V. con un proveído de inicio de ejecución tributaria y un auto inicial de sumario contravencional por pretendidas deudas tributarias impagas relacionadas con los impuestos IVA (Impuesto al Valor Agregado) e IUE (Impuesto a la Utilidad de las Empresas) de las gestiones tributarias 2004, 2005 y 2011. La señora I.V. reclamó ante la administración tributaria la prescripción de los referidos impuestos y la prescripción de las acciones emprendidas por el SIN, alegando que, para la fecha de notificación con el proveído de inicio de ejecución tributaria y el auto inicial de sumario contravencional, la prescripción, como forma de extinción de obligaciones tributarias, ya había operado. Dicho escrito fue rechazado. La representante alegó que “la intención de la administración tributaria respecto a I.V. no [sería] realmente cumplir sus funciones de recuperar una supuesta deuda impositiva, sino, al parecer, de operar como un instrumento de represalia en contra de la víctima por el enjuiciamiento que promovió ella contra el Estado boliviano ante la Corte”. Sostuvo al respecto: “[n]o existe -o no vemos que exista- otra explicación plausible, más que una revancha administrativa de ‘exorbitantes potestades’ en su contra”.</w:t>
      </w:r>
    </w:p>
    <w:p w14:paraId="06F1E13A" w14:textId="77777777" w:rsidR="00495D80" w:rsidRPr="009756CD" w:rsidRDefault="00495D80" w:rsidP="00495D80">
      <w:pPr>
        <w:pStyle w:val="Prrafodelista1"/>
        <w:tabs>
          <w:tab w:val="num" w:pos="567"/>
        </w:tabs>
        <w:contextualSpacing w:val="0"/>
        <w:jc w:val="both"/>
        <w:rPr>
          <w:sz w:val="20"/>
          <w:lang w:val="es-CR"/>
        </w:rPr>
      </w:pPr>
    </w:p>
    <w:p w14:paraId="4F943173" w14:textId="34A8F203" w:rsidR="002859C6" w:rsidRPr="009756CD" w:rsidRDefault="002859C6" w:rsidP="008B6B6E">
      <w:pPr>
        <w:pStyle w:val="Prrafodelista1"/>
        <w:numPr>
          <w:ilvl w:val="0"/>
          <w:numId w:val="1"/>
        </w:numPr>
        <w:tabs>
          <w:tab w:val="clear" w:pos="360"/>
          <w:tab w:val="num" w:pos="0"/>
          <w:tab w:val="num" w:pos="567"/>
        </w:tabs>
        <w:ind w:left="0" w:firstLine="0"/>
        <w:contextualSpacing w:val="0"/>
        <w:jc w:val="both"/>
        <w:rPr>
          <w:sz w:val="20"/>
          <w:lang w:val="es-CR"/>
        </w:rPr>
      </w:pPr>
      <w:r w:rsidRPr="009756CD">
        <w:rPr>
          <w:rFonts w:eastAsia="MS Mincho"/>
          <w:sz w:val="20"/>
          <w:szCs w:val="20"/>
          <w:lang w:val="es-CR"/>
        </w:rPr>
        <w:t xml:space="preserve">El escrito de </w:t>
      </w:r>
      <w:r w:rsidR="00D551A6" w:rsidRPr="009756CD">
        <w:rPr>
          <w:rFonts w:eastAsia="MS Mincho"/>
          <w:sz w:val="20"/>
          <w:szCs w:val="20"/>
          <w:lang w:val="es-CR"/>
        </w:rPr>
        <w:t>5</w:t>
      </w:r>
      <w:r w:rsidRPr="009756CD">
        <w:rPr>
          <w:rFonts w:eastAsia="MS Mincho"/>
          <w:sz w:val="20"/>
          <w:szCs w:val="20"/>
          <w:lang w:val="es-CR"/>
        </w:rPr>
        <w:t xml:space="preserve"> de </w:t>
      </w:r>
      <w:r w:rsidR="00D551A6" w:rsidRPr="009756CD">
        <w:rPr>
          <w:rFonts w:eastAsia="MS Mincho"/>
          <w:sz w:val="20"/>
          <w:szCs w:val="20"/>
          <w:lang w:val="es-CR"/>
        </w:rPr>
        <w:t>abril</w:t>
      </w:r>
      <w:r w:rsidRPr="009756CD">
        <w:rPr>
          <w:rFonts w:eastAsia="MS Mincho"/>
          <w:sz w:val="20"/>
          <w:szCs w:val="20"/>
          <w:lang w:val="es-CR"/>
        </w:rPr>
        <w:t xml:space="preserve"> de </w:t>
      </w:r>
      <w:r w:rsidR="005456A5" w:rsidRPr="009756CD">
        <w:rPr>
          <w:rFonts w:eastAsia="MS Mincho"/>
          <w:sz w:val="20"/>
          <w:szCs w:val="20"/>
          <w:lang w:val="es-CR"/>
        </w:rPr>
        <w:t>2017</w:t>
      </w:r>
      <w:r w:rsidR="00E31BA2" w:rsidRPr="009756CD">
        <w:rPr>
          <w:rFonts w:eastAsia="MS Mincho"/>
          <w:sz w:val="20"/>
          <w:szCs w:val="20"/>
          <w:lang w:val="es-CR"/>
        </w:rPr>
        <w:t xml:space="preserve"> y</w:t>
      </w:r>
      <w:r w:rsidR="0047705E" w:rsidRPr="009756CD">
        <w:rPr>
          <w:rFonts w:eastAsia="MS Mincho"/>
          <w:sz w:val="20"/>
          <w:szCs w:val="20"/>
          <w:lang w:val="es-CR"/>
        </w:rPr>
        <w:t xml:space="preserve"> sus anexos</w:t>
      </w:r>
      <w:r w:rsidR="00495D80" w:rsidRPr="009756CD">
        <w:rPr>
          <w:rFonts w:eastAsia="MS Mincho"/>
          <w:sz w:val="20"/>
          <w:szCs w:val="20"/>
          <w:lang w:val="es-CR"/>
        </w:rPr>
        <w:t>,</w:t>
      </w:r>
      <w:r w:rsidR="0047705E" w:rsidRPr="009756CD">
        <w:rPr>
          <w:rFonts w:eastAsia="MS Mincho"/>
          <w:sz w:val="20"/>
          <w:szCs w:val="20"/>
          <w:lang w:val="es-CR"/>
        </w:rPr>
        <w:t xml:space="preserve"> </w:t>
      </w:r>
      <w:r w:rsidRPr="009756CD">
        <w:rPr>
          <w:rFonts w:eastAsia="MS Mincho"/>
          <w:sz w:val="20"/>
          <w:szCs w:val="20"/>
          <w:lang w:val="es-CR"/>
        </w:rPr>
        <w:t xml:space="preserve">mediante </w:t>
      </w:r>
      <w:r w:rsidR="0047705E" w:rsidRPr="009756CD">
        <w:rPr>
          <w:rFonts w:eastAsia="MS Mincho"/>
          <w:sz w:val="20"/>
          <w:szCs w:val="20"/>
          <w:lang w:val="es-CR"/>
        </w:rPr>
        <w:t>los cuales</w:t>
      </w:r>
      <w:r w:rsidRPr="009756CD">
        <w:rPr>
          <w:rFonts w:eastAsia="MS Mincho"/>
          <w:sz w:val="20"/>
          <w:szCs w:val="20"/>
          <w:lang w:val="es-CR"/>
        </w:rPr>
        <w:t xml:space="preserve"> </w:t>
      </w:r>
      <w:r w:rsidR="00D551A6" w:rsidRPr="009756CD">
        <w:rPr>
          <w:rFonts w:eastAsia="MS Mincho"/>
          <w:sz w:val="20"/>
          <w:szCs w:val="20"/>
          <w:lang w:val="es-CR"/>
        </w:rPr>
        <w:t xml:space="preserve">la señora Rielma Mencías, Directora </w:t>
      </w:r>
      <w:r w:rsidR="005C724A" w:rsidRPr="009756CD">
        <w:rPr>
          <w:rFonts w:eastAsia="MS Mincho"/>
          <w:sz w:val="20"/>
          <w:szCs w:val="20"/>
          <w:lang w:val="es-CR"/>
        </w:rPr>
        <w:t xml:space="preserve">Ejecutiva </w:t>
      </w:r>
      <w:r w:rsidR="00D551A6" w:rsidRPr="009756CD">
        <w:rPr>
          <w:rFonts w:eastAsia="MS Mincho"/>
          <w:sz w:val="20"/>
          <w:szCs w:val="20"/>
          <w:lang w:val="es-CR"/>
        </w:rPr>
        <w:t xml:space="preserve">de Derechos en Acción y representante de la víctima en el caso </w:t>
      </w:r>
      <w:r w:rsidR="00D551A6" w:rsidRPr="009756CD">
        <w:rPr>
          <w:rFonts w:eastAsia="MS Mincho"/>
          <w:i/>
          <w:sz w:val="20"/>
          <w:szCs w:val="20"/>
          <w:lang w:val="es-CR"/>
        </w:rPr>
        <w:t>I.V. Vs. Bolivia</w:t>
      </w:r>
      <w:r w:rsidR="00D551A6" w:rsidRPr="009756CD">
        <w:rPr>
          <w:rFonts w:eastAsia="MS Mincho"/>
          <w:sz w:val="20"/>
          <w:szCs w:val="20"/>
          <w:lang w:val="es-CR"/>
        </w:rPr>
        <w:t xml:space="preserve">, </w:t>
      </w:r>
      <w:r w:rsidRPr="009756CD">
        <w:rPr>
          <w:sz w:val="20"/>
          <w:lang w:val="es-CR"/>
        </w:rPr>
        <w:t>sometió a la Corte Interamericana una solicitud de medidas provisionales, de conformidad con los artículos 63.2 de la Convención Americana y 27 del Reglamento de la Corte Interamericana, con</w:t>
      </w:r>
      <w:r w:rsidR="0028555E">
        <w:rPr>
          <w:sz w:val="20"/>
          <w:lang w:val="es-CR"/>
        </w:rPr>
        <w:t xml:space="preserve"> la finalidad de que ésta ordenara</w:t>
      </w:r>
      <w:r w:rsidRPr="009756CD">
        <w:rPr>
          <w:sz w:val="20"/>
          <w:lang w:val="es-CR"/>
        </w:rPr>
        <w:t xml:space="preserve"> al Estado</w:t>
      </w:r>
      <w:r w:rsidR="00495D80" w:rsidRPr="009756CD">
        <w:rPr>
          <w:sz w:val="20"/>
          <w:lang w:val="es-CR"/>
        </w:rPr>
        <w:t xml:space="preserve"> </w:t>
      </w:r>
      <w:r w:rsidRPr="009756CD">
        <w:rPr>
          <w:sz w:val="20"/>
          <w:lang w:val="es-CR"/>
        </w:rPr>
        <w:t xml:space="preserve">de </w:t>
      </w:r>
      <w:r w:rsidR="00495D80" w:rsidRPr="009756CD">
        <w:rPr>
          <w:sz w:val="20"/>
          <w:lang w:val="es-CR"/>
        </w:rPr>
        <w:t>Bolivia</w:t>
      </w:r>
      <w:r w:rsidRPr="009756CD">
        <w:rPr>
          <w:sz w:val="20"/>
          <w:lang w:val="es-CR"/>
        </w:rPr>
        <w:t xml:space="preserve"> proteger la integridad </w:t>
      </w:r>
      <w:r w:rsidR="00D551A6" w:rsidRPr="009756CD">
        <w:rPr>
          <w:sz w:val="20"/>
          <w:lang w:val="es-CR"/>
        </w:rPr>
        <w:t>personal y salud mental de la señora I.V.</w:t>
      </w:r>
    </w:p>
    <w:p w14:paraId="2A57D865" w14:textId="77777777" w:rsidR="008B6B6E" w:rsidRPr="009756CD" w:rsidRDefault="008B6B6E" w:rsidP="008B6B6E">
      <w:pPr>
        <w:pStyle w:val="Prrafodelista1"/>
        <w:contextualSpacing w:val="0"/>
        <w:jc w:val="both"/>
        <w:rPr>
          <w:sz w:val="20"/>
          <w:lang w:val="es-CR"/>
        </w:rPr>
      </w:pPr>
    </w:p>
    <w:p w14:paraId="41F4F718" w14:textId="393DE111" w:rsidR="00012A5D" w:rsidRPr="009756CD" w:rsidRDefault="00012A5D" w:rsidP="00C30D61">
      <w:pPr>
        <w:pStyle w:val="Prrafodelista1"/>
        <w:numPr>
          <w:ilvl w:val="0"/>
          <w:numId w:val="1"/>
        </w:numPr>
        <w:tabs>
          <w:tab w:val="clear" w:pos="360"/>
          <w:tab w:val="num" w:pos="0"/>
          <w:tab w:val="num" w:pos="567"/>
        </w:tabs>
        <w:ind w:left="0" w:firstLine="0"/>
        <w:contextualSpacing w:val="0"/>
        <w:jc w:val="both"/>
        <w:rPr>
          <w:sz w:val="20"/>
          <w:lang w:val="es-CR"/>
        </w:rPr>
      </w:pPr>
      <w:r w:rsidRPr="009756CD">
        <w:rPr>
          <w:sz w:val="20"/>
          <w:lang w:val="es-CR"/>
        </w:rPr>
        <w:t>L</w:t>
      </w:r>
      <w:r w:rsidR="00C30D61" w:rsidRPr="009756CD">
        <w:rPr>
          <w:sz w:val="20"/>
          <w:lang w:val="es-CR"/>
        </w:rPr>
        <w:t>os supuestos hechos en que se fundamenta la solicitud de medidas provisionales</w:t>
      </w:r>
      <w:r w:rsidRPr="009756CD">
        <w:rPr>
          <w:sz w:val="20"/>
          <w:lang w:val="es-CR"/>
        </w:rPr>
        <w:t xml:space="preserve"> presentada por</w:t>
      </w:r>
      <w:r w:rsidR="00C30D61" w:rsidRPr="009756CD">
        <w:rPr>
          <w:sz w:val="20"/>
          <w:lang w:val="es-CR"/>
        </w:rPr>
        <w:t xml:space="preserve"> la representante</w:t>
      </w:r>
      <w:r w:rsidRPr="009756CD">
        <w:rPr>
          <w:sz w:val="20"/>
          <w:lang w:val="es-CR"/>
        </w:rPr>
        <w:t>, a saber:</w:t>
      </w:r>
    </w:p>
    <w:p w14:paraId="15F0087E" w14:textId="77777777" w:rsidR="00012A5D" w:rsidRPr="009756CD" w:rsidRDefault="00012A5D" w:rsidP="00012A5D">
      <w:pPr>
        <w:pStyle w:val="Prrafodelista1"/>
        <w:tabs>
          <w:tab w:val="num" w:pos="567"/>
        </w:tabs>
        <w:contextualSpacing w:val="0"/>
        <w:jc w:val="both"/>
        <w:rPr>
          <w:sz w:val="20"/>
          <w:lang w:val="es-CR"/>
        </w:rPr>
      </w:pPr>
    </w:p>
    <w:p w14:paraId="0B650D56" w14:textId="090764E5" w:rsidR="00012A5D" w:rsidRPr="009756CD" w:rsidRDefault="00C30D61" w:rsidP="006778C7">
      <w:pPr>
        <w:pStyle w:val="Prrafodelista1"/>
        <w:numPr>
          <w:ilvl w:val="1"/>
          <w:numId w:val="1"/>
        </w:numPr>
        <w:tabs>
          <w:tab w:val="clear" w:pos="1440"/>
          <w:tab w:val="num" w:pos="1134"/>
        </w:tabs>
        <w:spacing w:after="120"/>
        <w:ind w:left="567" w:firstLine="0"/>
        <w:contextualSpacing w:val="0"/>
        <w:jc w:val="both"/>
        <w:rPr>
          <w:sz w:val="20"/>
          <w:lang w:val="es-CR"/>
        </w:rPr>
      </w:pPr>
      <w:r w:rsidRPr="009756CD">
        <w:rPr>
          <w:sz w:val="20"/>
          <w:lang w:val="es-CR"/>
        </w:rPr>
        <w:t>una alegada persecución tributaria, situación que habría desencadenado en</w:t>
      </w:r>
      <w:r w:rsidR="00932785" w:rsidRPr="009756CD">
        <w:rPr>
          <w:sz w:val="20"/>
          <w:lang w:val="es-CR"/>
        </w:rPr>
        <w:t xml:space="preserve"> la señora</w:t>
      </w:r>
      <w:r w:rsidRPr="009756CD">
        <w:rPr>
          <w:sz w:val="20"/>
          <w:lang w:val="es-CR"/>
        </w:rPr>
        <w:t xml:space="preserve"> I.V. una nueva y seria crisis a nivel psicológico, que provocó que la tuvieran que internar en un centro médico psiquiátrico desde el pasado</w:t>
      </w:r>
      <w:r w:rsidR="005C724A" w:rsidRPr="009756CD">
        <w:rPr>
          <w:sz w:val="20"/>
          <w:lang w:val="es-CR"/>
        </w:rPr>
        <w:t xml:space="preserve"> 31 de marzo de 2017</w:t>
      </w:r>
      <w:r w:rsidRPr="009756CD">
        <w:rPr>
          <w:sz w:val="20"/>
          <w:lang w:val="es-CR"/>
        </w:rPr>
        <w:t>. La representante señaló que, desde hace aproximadamente tres semanas, la salud mental de I.V. se ha</w:t>
      </w:r>
      <w:r w:rsidR="00932785" w:rsidRPr="009756CD">
        <w:rPr>
          <w:sz w:val="20"/>
          <w:lang w:val="es-CR"/>
        </w:rPr>
        <w:t>bría</w:t>
      </w:r>
      <w:r w:rsidRPr="009756CD">
        <w:rPr>
          <w:sz w:val="20"/>
          <w:lang w:val="es-CR"/>
        </w:rPr>
        <w:t xml:space="preserve"> visto gravemente afectada por los procedimientos tributarios adelantados en su contra, y por la acumulación de otros hechos recientes, todos relacionados con el presente caso, lo que ha</w:t>
      </w:r>
      <w:r w:rsidR="00932785" w:rsidRPr="009756CD">
        <w:rPr>
          <w:sz w:val="20"/>
          <w:lang w:val="es-CR"/>
        </w:rPr>
        <w:t>bría</w:t>
      </w:r>
      <w:r w:rsidRPr="009756CD">
        <w:rPr>
          <w:sz w:val="20"/>
          <w:lang w:val="es-CR"/>
        </w:rPr>
        <w:t xml:space="preserve"> obligado a su familia a tomar la determinación de internarla el viernes 31 de marzo </w:t>
      </w:r>
      <w:r w:rsidR="00B5664D" w:rsidRPr="009756CD">
        <w:rPr>
          <w:sz w:val="20"/>
          <w:lang w:val="es-CR"/>
        </w:rPr>
        <w:t>de 2017</w:t>
      </w:r>
      <w:r w:rsidR="00B5664D">
        <w:rPr>
          <w:sz w:val="20"/>
          <w:lang w:val="es-CR"/>
        </w:rPr>
        <w:t xml:space="preserve"> </w:t>
      </w:r>
      <w:r w:rsidRPr="009756CD">
        <w:rPr>
          <w:sz w:val="20"/>
          <w:lang w:val="es-CR"/>
        </w:rPr>
        <w:t>en el Centro de Rehabilitación y Salud Mental “San Juan de Dios” de la ciudad de La Paz.</w:t>
      </w:r>
    </w:p>
    <w:p w14:paraId="78D0B45E" w14:textId="3549DA95" w:rsidR="00012A5D" w:rsidRPr="009756CD" w:rsidRDefault="00C30D61" w:rsidP="006778C7">
      <w:pPr>
        <w:pStyle w:val="Prrafodelista1"/>
        <w:numPr>
          <w:ilvl w:val="1"/>
          <w:numId w:val="1"/>
        </w:numPr>
        <w:tabs>
          <w:tab w:val="clear" w:pos="1440"/>
          <w:tab w:val="num" w:pos="1134"/>
        </w:tabs>
        <w:spacing w:after="120"/>
        <w:ind w:left="567" w:firstLine="0"/>
        <w:contextualSpacing w:val="0"/>
        <w:jc w:val="both"/>
        <w:rPr>
          <w:sz w:val="20"/>
          <w:lang w:val="es-CR"/>
        </w:rPr>
      </w:pPr>
      <w:r w:rsidRPr="009756CD">
        <w:rPr>
          <w:sz w:val="20"/>
          <w:lang w:val="es-CR"/>
        </w:rPr>
        <w:lastRenderedPageBreak/>
        <w:t>el 28 de diciembre de 2016 por la tarde,</w:t>
      </w:r>
      <w:r w:rsidR="0059024C">
        <w:rPr>
          <w:sz w:val="20"/>
          <w:lang w:val="es-CR"/>
        </w:rPr>
        <w:t xml:space="preserve"> </w:t>
      </w:r>
      <w:r w:rsidR="0059024C" w:rsidRPr="009756CD">
        <w:rPr>
          <w:sz w:val="20"/>
          <w:lang w:val="es-CR"/>
        </w:rPr>
        <w:t>la señora</w:t>
      </w:r>
      <w:r w:rsidRPr="009756CD">
        <w:rPr>
          <w:sz w:val="20"/>
          <w:lang w:val="es-CR"/>
        </w:rPr>
        <w:t xml:space="preserve"> I.V. </w:t>
      </w:r>
      <w:r w:rsidR="00932785" w:rsidRPr="009756CD">
        <w:rPr>
          <w:sz w:val="20"/>
          <w:lang w:val="es-CR"/>
        </w:rPr>
        <w:t xml:space="preserve">habría </w:t>
      </w:r>
      <w:r w:rsidRPr="009756CD">
        <w:rPr>
          <w:sz w:val="20"/>
          <w:lang w:val="es-CR"/>
        </w:rPr>
        <w:t>recibi</w:t>
      </w:r>
      <w:r w:rsidR="00932785" w:rsidRPr="009756CD">
        <w:rPr>
          <w:sz w:val="20"/>
          <w:lang w:val="es-CR"/>
        </w:rPr>
        <w:t>do</w:t>
      </w:r>
      <w:r w:rsidRPr="009756CD">
        <w:rPr>
          <w:sz w:val="20"/>
          <w:lang w:val="es-CR"/>
        </w:rPr>
        <w:t xml:space="preserve"> una llamada telefónica a su celular, durante la cual le habló brevemente una voz masculina y luego la comunicación fue abruptamente cortada. La señora I.V. no recuerda lo que se le dijo en esa llamada, pero </w:t>
      </w:r>
      <w:r w:rsidR="00932785" w:rsidRPr="009756CD">
        <w:rPr>
          <w:sz w:val="20"/>
          <w:lang w:val="es-CR"/>
        </w:rPr>
        <w:t xml:space="preserve">habría </w:t>
      </w:r>
      <w:r w:rsidRPr="009756CD">
        <w:rPr>
          <w:sz w:val="20"/>
          <w:lang w:val="es-CR"/>
        </w:rPr>
        <w:t>qued</w:t>
      </w:r>
      <w:r w:rsidR="00932785" w:rsidRPr="009756CD">
        <w:rPr>
          <w:sz w:val="20"/>
          <w:lang w:val="es-CR"/>
        </w:rPr>
        <w:t>ado</w:t>
      </w:r>
      <w:r w:rsidRPr="009756CD">
        <w:rPr>
          <w:sz w:val="20"/>
          <w:lang w:val="es-CR"/>
        </w:rPr>
        <w:t xml:space="preserve"> muy nerviosa y atemorizada por la breve conversación. El número de teléfono fijo desde el cual recibió la llamada opera en oficinas del Ministerio de Gobierno de Bolivia (Dirección General de Trata y Tráfico de Personas). </w:t>
      </w:r>
    </w:p>
    <w:p w14:paraId="52A8A541" w14:textId="0D0ECEDE" w:rsidR="00012A5D" w:rsidRPr="009756CD" w:rsidRDefault="00012A5D" w:rsidP="006778C7">
      <w:pPr>
        <w:pStyle w:val="Prrafodelista1"/>
        <w:numPr>
          <w:ilvl w:val="1"/>
          <w:numId w:val="1"/>
        </w:numPr>
        <w:tabs>
          <w:tab w:val="clear" w:pos="1440"/>
          <w:tab w:val="num" w:pos="1134"/>
        </w:tabs>
        <w:spacing w:after="120"/>
        <w:ind w:left="567" w:firstLine="0"/>
        <w:contextualSpacing w:val="0"/>
        <w:jc w:val="both"/>
        <w:rPr>
          <w:sz w:val="20"/>
          <w:lang w:val="es-CR"/>
        </w:rPr>
      </w:pPr>
      <w:r w:rsidRPr="009756CD">
        <w:rPr>
          <w:sz w:val="20"/>
          <w:lang w:val="es-CR"/>
        </w:rPr>
        <w:t xml:space="preserve">la señora </w:t>
      </w:r>
      <w:r w:rsidR="00C30D61" w:rsidRPr="009756CD">
        <w:rPr>
          <w:sz w:val="20"/>
          <w:lang w:val="es-CR"/>
        </w:rPr>
        <w:t xml:space="preserve">I.V. </w:t>
      </w:r>
      <w:r w:rsidR="007B01A9">
        <w:rPr>
          <w:sz w:val="20"/>
          <w:lang w:val="es-CR"/>
        </w:rPr>
        <w:t>sostuvo</w:t>
      </w:r>
      <w:r w:rsidR="00C30D61" w:rsidRPr="009756CD">
        <w:rPr>
          <w:sz w:val="20"/>
          <w:lang w:val="es-CR"/>
        </w:rPr>
        <w:t xml:space="preserve"> que</w:t>
      </w:r>
      <w:r w:rsidR="007B01A9">
        <w:rPr>
          <w:sz w:val="20"/>
          <w:lang w:val="es-CR"/>
        </w:rPr>
        <w:t>,</w:t>
      </w:r>
      <w:r w:rsidR="00C30D61" w:rsidRPr="009756CD">
        <w:rPr>
          <w:sz w:val="20"/>
          <w:lang w:val="es-CR"/>
        </w:rPr>
        <w:t xml:space="preserve"> por lo menos en unas cinco oportunidades desde mediados de enero de 2017, ha</w:t>
      </w:r>
      <w:r w:rsidR="00452926" w:rsidRPr="009756CD">
        <w:rPr>
          <w:sz w:val="20"/>
          <w:lang w:val="es-CR"/>
        </w:rPr>
        <w:t>bría</w:t>
      </w:r>
      <w:r w:rsidR="00C30D61" w:rsidRPr="009756CD">
        <w:rPr>
          <w:sz w:val="20"/>
          <w:lang w:val="es-CR"/>
        </w:rPr>
        <w:t xml:space="preserve"> sido insultada en la calle por personas desconocidas, que la siguieron o la pararon para dirigirse a ella con calificativos racistas o xenófobos. </w:t>
      </w:r>
    </w:p>
    <w:p w14:paraId="1EB86285" w14:textId="3F7719E5" w:rsidR="00C30D61" w:rsidRPr="009756CD" w:rsidRDefault="00C30D61" w:rsidP="006778C7">
      <w:pPr>
        <w:pStyle w:val="Prrafodelista1"/>
        <w:numPr>
          <w:ilvl w:val="1"/>
          <w:numId w:val="1"/>
        </w:numPr>
        <w:tabs>
          <w:tab w:val="clear" w:pos="1440"/>
          <w:tab w:val="num" w:pos="1134"/>
        </w:tabs>
        <w:spacing w:after="120"/>
        <w:ind w:left="567" w:firstLine="0"/>
        <w:contextualSpacing w:val="0"/>
        <w:jc w:val="both"/>
        <w:rPr>
          <w:sz w:val="20"/>
          <w:lang w:val="es-CR"/>
        </w:rPr>
      </w:pPr>
      <w:r w:rsidRPr="009756CD">
        <w:rPr>
          <w:sz w:val="20"/>
          <w:lang w:val="es-CR"/>
        </w:rPr>
        <w:t>la víctima también relat</w:t>
      </w:r>
      <w:r w:rsidR="007B01A9">
        <w:rPr>
          <w:sz w:val="20"/>
          <w:lang w:val="es-CR"/>
        </w:rPr>
        <w:t>ó</w:t>
      </w:r>
      <w:r w:rsidRPr="009756CD">
        <w:rPr>
          <w:sz w:val="20"/>
          <w:lang w:val="es-CR"/>
        </w:rPr>
        <w:t xml:space="preserve"> que</w:t>
      </w:r>
      <w:r w:rsidR="007B01A9">
        <w:rPr>
          <w:sz w:val="20"/>
          <w:lang w:val="es-CR"/>
        </w:rPr>
        <w:t>,</w:t>
      </w:r>
      <w:r w:rsidRPr="009756CD">
        <w:rPr>
          <w:sz w:val="20"/>
          <w:lang w:val="es-CR"/>
        </w:rPr>
        <w:t xml:space="preserve"> en este último tiempo, por lo menos en dos o tres ocasiones, personas extrañas la</w:t>
      </w:r>
      <w:r w:rsidR="00452926" w:rsidRPr="009756CD">
        <w:rPr>
          <w:sz w:val="20"/>
          <w:lang w:val="es-CR"/>
        </w:rPr>
        <w:t xml:space="preserve"> habrían</w:t>
      </w:r>
      <w:r w:rsidRPr="009756CD">
        <w:rPr>
          <w:sz w:val="20"/>
          <w:lang w:val="es-CR"/>
        </w:rPr>
        <w:t xml:space="preserve"> filma</w:t>
      </w:r>
      <w:r w:rsidR="00452926" w:rsidRPr="009756CD">
        <w:rPr>
          <w:sz w:val="20"/>
          <w:lang w:val="es-CR"/>
        </w:rPr>
        <w:t>do</w:t>
      </w:r>
      <w:r w:rsidRPr="009756CD">
        <w:rPr>
          <w:sz w:val="20"/>
          <w:lang w:val="es-CR"/>
        </w:rPr>
        <w:t xml:space="preserve"> mientras circula</w:t>
      </w:r>
      <w:r w:rsidR="00452926" w:rsidRPr="009756CD">
        <w:rPr>
          <w:sz w:val="20"/>
          <w:lang w:val="es-CR"/>
        </w:rPr>
        <w:t>ba</w:t>
      </w:r>
      <w:r w:rsidRPr="009756CD">
        <w:rPr>
          <w:sz w:val="20"/>
          <w:lang w:val="es-CR"/>
        </w:rPr>
        <w:t xml:space="preserve"> por la ciudad.</w:t>
      </w:r>
    </w:p>
    <w:p w14:paraId="22A83C65" w14:textId="77777777" w:rsidR="00C30D61" w:rsidRPr="009756CD" w:rsidRDefault="00C30D61" w:rsidP="00C30D61">
      <w:pPr>
        <w:pStyle w:val="Prrafodelista1"/>
        <w:ind w:left="360"/>
        <w:jc w:val="both"/>
        <w:rPr>
          <w:sz w:val="20"/>
          <w:lang w:val="es-CR"/>
        </w:rPr>
      </w:pPr>
    </w:p>
    <w:p w14:paraId="2B21AB63" w14:textId="63D50E91" w:rsidR="00C30D61" w:rsidRPr="009756CD" w:rsidRDefault="00C30D61" w:rsidP="00C30D61">
      <w:pPr>
        <w:pStyle w:val="Prrafodelista1"/>
        <w:numPr>
          <w:ilvl w:val="0"/>
          <w:numId w:val="1"/>
        </w:numPr>
        <w:tabs>
          <w:tab w:val="clear" w:pos="360"/>
          <w:tab w:val="num" w:pos="0"/>
          <w:tab w:val="num" w:pos="567"/>
        </w:tabs>
        <w:ind w:left="0" w:firstLine="0"/>
        <w:contextualSpacing w:val="0"/>
        <w:jc w:val="both"/>
        <w:rPr>
          <w:sz w:val="20"/>
          <w:lang w:val="es-CR"/>
        </w:rPr>
      </w:pPr>
      <w:r w:rsidRPr="009756CD">
        <w:rPr>
          <w:sz w:val="20"/>
          <w:lang w:val="es-CR"/>
        </w:rPr>
        <w:t xml:space="preserve">Adicionalmente, la representante se refirió al estado mental delicado de la víctima, la cual fue diagnosticada con trastorno esquizofreniforme orgánico, y la necesidad de que I.V. pueda ser atendida por servicios de salud privados, en atención a que ella, </w:t>
      </w:r>
      <w:r w:rsidR="00B13CFD" w:rsidRPr="009756CD">
        <w:rPr>
          <w:sz w:val="20"/>
          <w:lang w:val="es-CR"/>
        </w:rPr>
        <w:t>“</w:t>
      </w:r>
      <w:r w:rsidRPr="009756CD">
        <w:rPr>
          <w:sz w:val="20"/>
          <w:lang w:val="es-CR"/>
        </w:rPr>
        <w:t>por razones obvias</w:t>
      </w:r>
      <w:r w:rsidR="00B13CFD" w:rsidRPr="009756CD">
        <w:rPr>
          <w:sz w:val="20"/>
          <w:lang w:val="es-CR"/>
        </w:rPr>
        <w:t>”</w:t>
      </w:r>
      <w:r w:rsidRPr="009756CD">
        <w:rPr>
          <w:sz w:val="20"/>
          <w:lang w:val="es-CR"/>
        </w:rPr>
        <w:t>, desconfía completamente del Estado y de su personal médico y hospitalario. En este momento, en el que I.V. ha tenido que ser internada de emergencia en un centro psiquiátrico privado, la representante enfatizó su solicitud de interpretación de la sentencia en cuanto a que “[p]ara I.V., en su condición actual, el Estado y sus agentes (médicos) representan una amenaza, un peligro”. Agregó que los familiares no cuentan con los recursos para pagar la cuenta del hospital en el que I.V. se encuentra internada, ni los medicamentos, estudios de laboratorio y otros gastos que requieran ser realizados para atender la salud mental de la víctima. Sin perjuicio de lo anterior, aclaró que estas últimas consideraciones no las plantea</w:t>
      </w:r>
      <w:r w:rsidR="00452926" w:rsidRPr="009756CD">
        <w:rPr>
          <w:sz w:val="20"/>
          <w:lang w:val="es-CR"/>
        </w:rPr>
        <w:t>ba</w:t>
      </w:r>
      <w:r w:rsidRPr="009756CD">
        <w:rPr>
          <w:sz w:val="20"/>
          <w:lang w:val="es-CR"/>
        </w:rPr>
        <w:t>n con el fin de que este Tribunal, vía trámite de medidas provisionales, res</w:t>
      </w:r>
      <w:r w:rsidR="00452926" w:rsidRPr="009756CD">
        <w:rPr>
          <w:sz w:val="20"/>
          <w:lang w:val="es-CR"/>
        </w:rPr>
        <w:t>o</w:t>
      </w:r>
      <w:r w:rsidRPr="009756CD">
        <w:rPr>
          <w:sz w:val="20"/>
          <w:lang w:val="es-CR"/>
        </w:rPr>
        <w:t>lv</w:t>
      </w:r>
      <w:r w:rsidR="00452926" w:rsidRPr="009756CD">
        <w:rPr>
          <w:sz w:val="20"/>
          <w:lang w:val="es-CR"/>
        </w:rPr>
        <w:t>ier</w:t>
      </w:r>
      <w:r w:rsidRPr="009756CD">
        <w:rPr>
          <w:sz w:val="20"/>
          <w:lang w:val="es-CR"/>
        </w:rPr>
        <w:t>a inmediatamente y en forma definitiva cuestiones que corresponden ser tratadas en el marco de la interpretación solicitada, o bien en el marco de la supervisión del cumplimiento del fallo. Sin embargo, afirm</w:t>
      </w:r>
      <w:r w:rsidR="00012A5D" w:rsidRPr="009756CD">
        <w:rPr>
          <w:sz w:val="20"/>
          <w:lang w:val="es-CR"/>
        </w:rPr>
        <w:t>ó</w:t>
      </w:r>
      <w:r w:rsidRPr="009756CD">
        <w:rPr>
          <w:sz w:val="20"/>
          <w:lang w:val="es-CR"/>
        </w:rPr>
        <w:t xml:space="preserve"> que una efectiva recuperación de la salud mental de </w:t>
      </w:r>
      <w:r w:rsidR="00957336" w:rsidRPr="009756CD">
        <w:rPr>
          <w:sz w:val="20"/>
          <w:lang w:val="es-CR"/>
        </w:rPr>
        <w:t xml:space="preserve">la señora </w:t>
      </w:r>
      <w:r w:rsidRPr="009756CD">
        <w:rPr>
          <w:sz w:val="20"/>
          <w:lang w:val="es-CR"/>
        </w:rPr>
        <w:t>I.V. depende de su adecuado y oportuno tratamiento, el cual empieza con la aceptación que ella dé al plantel profesional que la trate y a los medios y servicios médico-hospitalarios que reciba. Concluyó que, en este crucial momento, es imprescindible y urgente que se garantice a I.V., aunque sea “provisionalmente”, la mejor atención en salud posible.</w:t>
      </w:r>
    </w:p>
    <w:p w14:paraId="45B8AD63" w14:textId="77777777" w:rsidR="00C30D61" w:rsidRPr="009756CD" w:rsidRDefault="00C30D61" w:rsidP="00C30D61">
      <w:pPr>
        <w:pStyle w:val="Prrafodelista1"/>
        <w:tabs>
          <w:tab w:val="num" w:pos="567"/>
        </w:tabs>
        <w:contextualSpacing w:val="0"/>
        <w:jc w:val="both"/>
        <w:rPr>
          <w:sz w:val="20"/>
          <w:szCs w:val="20"/>
          <w:lang w:val="es-CR"/>
        </w:rPr>
      </w:pPr>
    </w:p>
    <w:p w14:paraId="3F6E533D" w14:textId="4BC36771" w:rsidR="00683F35" w:rsidRPr="009756CD" w:rsidRDefault="00C30D61" w:rsidP="00683F35">
      <w:pPr>
        <w:pStyle w:val="Prrafodelista1"/>
        <w:numPr>
          <w:ilvl w:val="0"/>
          <w:numId w:val="1"/>
        </w:numPr>
        <w:tabs>
          <w:tab w:val="clear" w:pos="360"/>
          <w:tab w:val="num" w:pos="0"/>
          <w:tab w:val="num" w:pos="567"/>
        </w:tabs>
        <w:ind w:left="0" w:firstLine="0"/>
        <w:contextualSpacing w:val="0"/>
        <w:jc w:val="both"/>
        <w:rPr>
          <w:sz w:val="20"/>
          <w:lang w:val="es-CR"/>
        </w:rPr>
      </w:pPr>
      <w:r w:rsidRPr="009756CD">
        <w:rPr>
          <w:sz w:val="20"/>
          <w:lang w:val="es-CR"/>
        </w:rPr>
        <w:t xml:space="preserve">Los argumentos jurídicos de la representante para fundamentar su solicitud de medidas provisionales </w:t>
      </w:r>
      <w:r w:rsidR="00245078" w:rsidRPr="009756CD">
        <w:rPr>
          <w:sz w:val="20"/>
          <w:lang w:val="es-CR"/>
        </w:rPr>
        <w:t xml:space="preserve">se </w:t>
      </w:r>
      <w:r w:rsidR="00683F35" w:rsidRPr="009756CD">
        <w:rPr>
          <w:sz w:val="20"/>
          <w:lang w:val="es-CR"/>
        </w:rPr>
        <w:t>refirieron a</w:t>
      </w:r>
      <w:r w:rsidRPr="009756CD">
        <w:rPr>
          <w:sz w:val="20"/>
          <w:lang w:val="es-CR"/>
        </w:rPr>
        <w:t xml:space="preserve"> la extrema gravedad</w:t>
      </w:r>
      <w:r w:rsidR="00245078" w:rsidRPr="009756CD">
        <w:rPr>
          <w:sz w:val="20"/>
          <w:lang w:val="es-CR"/>
        </w:rPr>
        <w:t xml:space="preserve">, la urgencia </w:t>
      </w:r>
      <w:r w:rsidRPr="009756CD">
        <w:rPr>
          <w:sz w:val="20"/>
          <w:lang w:val="es-CR"/>
        </w:rPr>
        <w:t>de la situación</w:t>
      </w:r>
      <w:r w:rsidR="00245078" w:rsidRPr="009756CD">
        <w:rPr>
          <w:sz w:val="20"/>
          <w:lang w:val="es-CR"/>
        </w:rPr>
        <w:t xml:space="preserve"> y la necesidad de evitar daños irreparables. L</w:t>
      </w:r>
      <w:r w:rsidRPr="009756CD">
        <w:rPr>
          <w:sz w:val="20"/>
          <w:lang w:val="es-CR"/>
        </w:rPr>
        <w:t>a</w:t>
      </w:r>
      <w:r w:rsidR="00245078" w:rsidRPr="009756CD">
        <w:rPr>
          <w:sz w:val="20"/>
          <w:lang w:val="es-CR"/>
        </w:rPr>
        <w:t xml:space="preserve"> representante señaló que la extrema gravedad</w:t>
      </w:r>
      <w:r w:rsidRPr="009756CD">
        <w:rPr>
          <w:sz w:val="20"/>
          <w:lang w:val="es-CR"/>
        </w:rPr>
        <w:t xml:space="preserve"> se evidenciaría en el muy delicado estado de salud mental de I.V., que ha</w:t>
      </w:r>
      <w:r w:rsidR="00D82C9D" w:rsidRPr="009756CD">
        <w:rPr>
          <w:sz w:val="20"/>
          <w:lang w:val="es-CR"/>
        </w:rPr>
        <w:t>bría</w:t>
      </w:r>
      <w:r w:rsidRPr="009756CD">
        <w:rPr>
          <w:sz w:val="20"/>
          <w:lang w:val="es-CR"/>
        </w:rPr>
        <w:t xml:space="preserve"> recrudecido debido al alegado acoso estatal, es decir, a la llamada del Ministerio de Gobierno, los insultos que</w:t>
      </w:r>
      <w:r w:rsidR="00957336" w:rsidRPr="009756CD">
        <w:rPr>
          <w:sz w:val="20"/>
          <w:lang w:val="es-CR"/>
        </w:rPr>
        <w:t xml:space="preserve"> habría</w:t>
      </w:r>
      <w:r w:rsidRPr="009756CD">
        <w:rPr>
          <w:sz w:val="20"/>
          <w:lang w:val="es-CR"/>
        </w:rPr>
        <w:t xml:space="preserve"> recib</w:t>
      </w:r>
      <w:r w:rsidR="00957336" w:rsidRPr="009756CD">
        <w:rPr>
          <w:sz w:val="20"/>
          <w:lang w:val="es-CR"/>
        </w:rPr>
        <w:t>ido</w:t>
      </w:r>
      <w:r w:rsidRPr="009756CD">
        <w:rPr>
          <w:sz w:val="20"/>
          <w:lang w:val="es-CR"/>
        </w:rPr>
        <w:t xml:space="preserve"> y las filmaciones, </w:t>
      </w:r>
      <w:r w:rsidR="00D82C9D" w:rsidRPr="009756CD">
        <w:rPr>
          <w:sz w:val="20"/>
          <w:lang w:val="es-CR"/>
        </w:rPr>
        <w:t>así como</w:t>
      </w:r>
      <w:r w:rsidRPr="009756CD">
        <w:rPr>
          <w:sz w:val="20"/>
          <w:lang w:val="es-CR"/>
        </w:rPr>
        <w:t xml:space="preserve"> a la </w:t>
      </w:r>
      <w:r w:rsidR="00196EB0">
        <w:rPr>
          <w:sz w:val="20"/>
          <w:lang w:val="es-CR"/>
        </w:rPr>
        <w:t xml:space="preserve">alegada </w:t>
      </w:r>
      <w:r w:rsidRPr="009756CD">
        <w:rPr>
          <w:sz w:val="20"/>
          <w:lang w:val="es-CR"/>
        </w:rPr>
        <w:t xml:space="preserve">persecución tributaria abusiva e injustificada de la que sería objeto desde enero del presente año. </w:t>
      </w:r>
      <w:r w:rsidR="00D82C9D" w:rsidRPr="009756CD">
        <w:rPr>
          <w:sz w:val="20"/>
          <w:lang w:val="es-CR"/>
        </w:rPr>
        <w:t>Según la representante, t</w:t>
      </w:r>
      <w:r w:rsidRPr="009756CD">
        <w:rPr>
          <w:sz w:val="20"/>
          <w:lang w:val="es-CR"/>
        </w:rPr>
        <w:t>odos estos hechos ha</w:t>
      </w:r>
      <w:r w:rsidR="00F90EC3" w:rsidRPr="009756CD">
        <w:rPr>
          <w:sz w:val="20"/>
          <w:lang w:val="es-CR"/>
        </w:rPr>
        <w:t>bría</w:t>
      </w:r>
      <w:r w:rsidRPr="009756CD">
        <w:rPr>
          <w:sz w:val="20"/>
          <w:lang w:val="es-CR"/>
        </w:rPr>
        <w:t xml:space="preserve">n repercutido negativamente en una persona que fue diagnosticada anteriormente con un trastorno esquizofreniforme orgánico y ahora con una crisis psicópata por la cual se encuentra internada. La representante </w:t>
      </w:r>
      <w:r w:rsidR="00EC2334">
        <w:rPr>
          <w:sz w:val="20"/>
          <w:lang w:val="es-CR"/>
        </w:rPr>
        <w:t>consideró</w:t>
      </w:r>
      <w:r w:rsidRPr="009756CD">
        <w:rPr>
          <w:sz w:val="20"/>
          <w:lang w:val="es-CR"/>
        </w:rPr>
        <w:t xml:space="preserve"> como muy grave que el Estado emplea</w:t>
      </w:r>
      <w:r w:rsidR="00CA540E" w:rsidRPr="009756CD">
        <w:rPr>
          <w:sz w:val="20"/>
          <w:lang w:val="es-CR"/>
        </w:rPr>
        <w:t>se</w:t>
      </w:r>
      <w:r w:rsidRPr="009756CD">
        <w:rPr>
          <w:sz w:val="20"/>
          <w:lang w:val="es-CR"/>
        </w:rPr>
        <w:t xml:space="preserve"> métodos como los expuestos. </w:t>
      </w:r>
      <w:r w:rsidR="00245078" w:rsidRPr="009756CD">
        <w:rPr>
          <w:sz w:val="20"/>
          <w:lang w:val="es-CR"/>
        </w:rPr>
        <w:t>En cuanto a la necesidad de evitar daños irreparables y la urgencia de la situación, l</w:t>
      </w:r>
      <w:r w:rsidRPr="009756CD">
        <w:rPr>
          <w:sz w:val="20"/>
          <w:lang w:val="es-CR"/>
        </w:rPr>
        <w:t xml:space="preserve">a representante agregó que I.V. </w:t>
      </w:r>
      <w:r w:rsidR="00CA540E" w:rsidRPr="009756CD">
        <w:rPr>
          <w:sz w:val="20"/>
          <w:lang w:val="es-CR"/>
        </w:rPr>
        <w:t>fue</w:t>
      </w:r>
      <w:r w:rsidRPr="009756CD">
        <w:rPr>
          <w:sz w:val="20"/>
          <w:lang w:val="es-CR"/>
        </w:rPr>
        <w:t xml:space="preserve"> internada en un centro psiquiátrico </w:t>
      </w:r>
      <w:r w:rsidR="00245078" w:rsidRPr="009756CD">
        <w:rPr>
          <w:sz w:val="20"/>
          <w:lang w:val="es-CR"/>
        </w:rPr>
        <w:t xml:space="preserve">el 31 de marzo de 2017 </w:t>
      </w:r>
      <w:r w:rsidRPr="009756CD">
        <w:rPr>
          <w:sz w:val="20"/>
          <w:lang w:val="es-CR"/>
        </w:rPr>
        <w:t>para evitar que su salud mental se descalabrara a niveles irreparables o difícilmente reversibles. Su internación previno que ella pudiera reaccionar de cualquier otra forma que pusiera en mayor riesgo su integridad personal y vida. Señaló que, si su condición no mejora</w:t>
      </w:r>
      <w:r w:rsidR="00245078" w:rsidRPr="009756CD">
        <w:rPr>
          <w:sz w:val="20"/>
          <w:lang w:val="es-CR"/>
        </w:rPr>
        <w:t>ba</w:t>
      </w:r>
      <w:r w:rsidRPr="009756CD">
        <w:rPr>
          <w:sz w:val="20"/>
          <w:lang w:val="es-CR"/>
        </w:rPr>
        <w:t>, podría llegar a situaciones extremas que comprom</w:t>
      </w:r>
      <w:r w:rsidR="00245078" w:rsidRPr="009756CD">
        <w:rPr>
          <w:sz w:val="20"/>
          <w:lang w:val="es-CR"/>
        </w:rPr>
        <w:t>etieran</w:t>
      </w:r>
      <w:r w:rsidRPr="009756CD">
        <w:rPr>
          <w:sz w:val="20"/>
          <w:lang w:val="es-CR"/>
        </w:rPr>
        <w:t xml:space="preserve"> integralmente toda su salud. La representante afirmó que, “en este contexto, est</w:t>
      </w:r>
      <w:r w:rsidR="00245078" w:rsidRPr="009756CD">
        <w:rPr>
          <w:sz w:val="20"/>
          <w:lang w:val="es-CR"/>
        </w:rPr>
        <w:t>[aba]</w:t>
      </w:r>
      <w:r w:rsidRPr="009756CD">
        <w:rPr>
          <w:sz w:val="20"/>
          <w:lang w:val="es-CR"/>
        </w:rPr>
        <w:t xml:space="preserve"> claro que las acciones de amedrentamiento directo y persecución tributaria injustificada del Estado hacia la víctima, no contribu</w:t>
      </w:r>
      <w:r w:rsidR="00245078" w:rsidRPr="009756CD">
        <w:rPr>
          <w:sz w:val="20"/>
          <w:lang w:val="es-CR"/>
        </w:rPr>
        <w:t>[ían]</w:t>
      </w:r>
      <w:r w:rsidRPr="009756CD">
        <w:rPr>
          <w:sz w:val="20"/>
          <w:lang w:val="es-CR"/>
        </w:rPr>
        <w:t xml:space="preserve"> en nada a que esta pu</w:t>
      </w:r>
      <w:r w:rsidR="00245078" w:rsidRPr="009756CD">
        <w:rPr>
          <w:sz w:val="20"/>
          <w:lang w:val="es-CR"/>
        </w:rPr>
        <w:t>[diera]</w:t>
      </w:r>
      <w:r w:rsidRPr="009756CD">
        <w:rPr>
          <w:sz w:val="20"/>
          <w:lang w:val="es-CR"/>
        </w:rPr>
        <w:t xml:space="preserve"> recuperarse, por lo que e</w:t>
      </w:r>
      <w:r w:rsidR="00245078" w:rsidRPr="009756CD">
        <w:rPr>
          <w:sz w:val="20"/>
          <w:lang w:val="es-CR"/>
        </w:rPr>
        <w:t>[ra]</w:t>
      </w:r>
      <w:r w:rsidRPr="009756CD">
        <w:rPr>
          <w:sz w:val="20"/>
          <w:lang w:val="es-CR"/>
        </w:rPr>
        <w:t xml:space="preserve"> indispensable que esas acciones ces</w:t>
      </w:r>
      <w:r w:rsidR="00245078" w:rsidRPr="009756CD">
        <w:rPr>
          <w:sz w:val="20"/>
          <w:lang w:val="es-CR"/>
        </w:rPr>
        <w:t>[aran]</w:t>
      </w:r>
      <w:r w:rsidRPr="009756CD">
        <w:rPr>
          <w:sz w:val="20"/>
          <w:lang w:val="es-CR"/>
        </w:rPr>
        <w:t xml:space="preserve"> de inmediato a fin de que I.V. no </w:t>
      </w:r>
      <w:r w:rsidRPr="009756CD">
        <w:rPr>
          <w:sz w:val="20"/>
          <w:lang w:val="es-CR"/>
        </w:rPr>
        <w:lastRenderedPageBreak/>
        <w:t>ca</w:t>
      </w:r>
      <w:r w:rsidR="00245078" w:rsidRPr="009756CD">
        <w:rPr>
          <w:sz w:val="20"/>
          <w:lang w:val="es-CR"/>
        </w:rPr>
        <w:t>[yera]</w:t>
      </w:r>
      <w:r w:rsidRPr="009756CD">
        <w:rPr>
          <w:sz w:val="20"/>
          <w:lang w:val="es-CR"/>
        </w:rPr>
        <w:t xml:space="preserve"> en un abismo del que ya no p</w:t>
      </w:r>
      <w:r w:rsidR="00245078" w:rsidRPr="009756CD">
        <w:rPr>
          <w:sz w:val="20"/>
          <w:lang w:val="es-CR"/>
        </w:rPr>
        <w:t>[odría]</w:t>
      </w:r>
      <w:r w:rsidRPr="009756CD">
        <w:rPr>
          <w:sz w:val="20"/>
          <w:lang w:val="es-CR"/>
        </w:rPr>
        <w:t xml:space="preserve"> salir”. Por otro lado, indicó que, si I.V. no contin</w:t>
      </w:r>
      <w:r w:rsidR="001344D4" w:rsidRPr="009756CD">
        <w:rPr>
          <w:sz w:val="20"/>
          <w:lang w:val="es-CR"/>
        </w:rPr>
        <w:t>uaba</w:t>
      </w:r>
      <w:r w:rsidRPr="009756CD">
        <w:rPr>
          <w:sz w:val="20"/>
          <w:lang w:val="es-CR"/>
        </w:rPr>
        <w:t xml:space="preserve"> con la atención médica privada que est</w:t>
      </w:r>
      <w:r w:rsidR="001344D4" w:rsidRPr="009756CD">
        <w:rPr>
          <w:sz w:val="20"/>
          <w:lang w:val="es-CR"/>
        </w:rPr>
        <w:t>aba</w:t>
      </w:r>
      <w:r w:rsidRPr="009756CD">
        <w:rPr>
          <w:sz w:val="20"/>
          <w:lang w:val="es-CR"/>
        </w:rPr>
        <w:t xml:space="preserve"> recibiendo, no podr</w:t>
      </w:r>
      <w:r w:rsidR="001344D4" w:rsidRPr="009756CD">
        <w:rPr>
          <w:sz w:val="20"/>
          <w:lang w:val="es-CR"/>
        </w:rPr>
        <w:t>ía</w:t>
      </w:r>
      <w:r w:rsidRPr="009756CD">
        <w:rPr>
          <w:sz w:val="20"/>
          <w:lang w:val="es-CR"/>
        </w:rPr>
        <w:t xml:space="preserve"> recuperarse adecuadamente.</w:t>
      </w:r>
    </w:p>
    <w:p w14:paraId="6BF2D04E" w14:textId="77777777" w:rsidR="00C30D61" w:rsidRPr="009756CD" w:rsidRDefault="00C30D61" w:rsidP="00683F35">
      <w:pPr>
        <w:pStyle w:val="Prrafodelista1"/>
        <w:tabs>
          <w:tab w:val="num" w:pos="567"/>
        </w:tabs>
        <w:contextualSpacing w:val="0"/>
        <w:jc w:val="both"/>
        <w:rPr>
          <w:sz w:val="20"/>
          <w:lang w:val="es-CR"/>
        </w:rPr>
      </w:pPr>
    </w:p>
    <w:p w14:paraId="5D2E2184" w14:textId="2F201AD3" w:rsidR="00C30D61" w:rsidRPr="009756CD" w:rsidRDefault="00C30D61" w:rsidP="00C30D61">
      <w:pPr>
        <w:pStyle w:val="Prrafodelista1"/>
        <w:numPr>
          <w:ilvl w:val="0"/>
          <w:numId w:val="1"/>
        </w:numPr>
        <w:tabs>
          <w:tab w:val="clear" w:pos="360"/>
          <w:tab w:val="num" w:pos="0"/>
          <w:tab w:val="num" w:pos="567"/>
        </w:tabs>
        <w:ind w:left="0" w:firstLine="0"/>
        <w:contextualSpacing w:val="0"/>
        <w:jc w:val="both"/>
        <w:rPr>
          <w:sz w:val="20"/>
          <w:lang w:val="es-CR"/>
        </w:rPr>
      </w:pPr>
      <w:r w:rsidRPr="009756CD">
        <w:rPr>
          <w:sz w:val="20"/>
          <w:lang w:val="es-CR"/>
        </w:rPr>
        <w:t>En virtud de la situación fáctica expuesta y de conformidad con lo dispuesto en el artículo 63.2 de la Convención Americana y el artículo 27 del Reglamento de la Corte, la representante solicitó a la Corte que dict</w:t>
      </w:r>
      <w:r w:rsidR="00F90EC3" w:rsidRPr="009756CD">
        <w:rPr>
          <w:sz w:val="20"/>
          <w:lang w:val="es-CR"/>
        </w:rPr>
        <w:t>ara</w:t>
      </w:r>
      <w:r w:rsidRPr="009756CD">
        <w:rPr>
          <w:sz w:val="20"/>
          <w:lang w:val="es-CR"/>
        </w:rPr>
        <w:t xml:space="preserve"> medidas provisionales a favor de la señora I.V. Específicamente, solicitó a la Corte que ordenara al Estado:</w:t>
      </w:r>
    </w:p>
    <w:p w14:paraId="4DC8B56C" w14:textId="77777777" w:rsidR="00C30D61" w:rsidRPr="009756CD" w:rsidRDefault="00C30D61" w:rsidP="00C30D61">
      <w:pPr>
        <w:pStyle w:val="Prrafodelista1"/>
        <w:tabs>
          <w:tab w:val="num" w:pos="567"/>
        </w:tabs>
        <w:rPr>
          <w:sz w:val="20"/>
          <w:lang w:val="es-CR"/>
        </w:rPr>
      </w:pPr>
    </w:p>
    <w:p w14:paraId="27E4BC5D" w14:textId="45F9E051" w:rsidR="00C30D61" w:rsidRPr="009756CD" w:rsidRDefault="00C30D61" w:rsidP="006778C7">
      <w:pPr>
        <w:pStyle w:val="Prrafodelista1"/>
        <w:numPr>
          <w:ilvl w:val="1"/>
          <w:numId w:val="1"/>
        </w:numPr>
        <w:tabs>
          <w:tab w:val="clear" w:pos="1440"/>
          <w:tab w:val="num" w:pos="1134"/>
        </w:tabs>
        <w:spacing w:after="120"/>
        <w:ind w:left="567" w:firstLine="0"/>
        <w:contextualSpacing w:val="0"/>
        <w:jc w:val="both"/>
        <w:rPr>
          <w:sz w:val="20"/>
          <w:lang w:val="es-CR"/>
        </w:rPr>
      </w:pPr>
      <w:r w:rsidRPr="009756CD">
        <w:rPr>
          <w:sz w:val="20"/>
          <w:lang w:val="es-CR"/>
        </w:rPr>
        <w:t>cesar dichas acciones (persecución tributaria indebida, insultos, filmaciones y llamadas telefónicas de agentes estatales) y abstenerse de realizar otras semejantes, además de implementar todas aquellas otras medidas que esta Corte considere necesarias y oportunas;</w:t>
      </w:r>
    </w:p>
    <w:p w14:paraId="0D1B043F" w14:textId="07AF6469" w:rsidR="00C30D61" w:rsidRPr="009756CD" w:rsidRDefault="00C30D61" w:rsidP="006778C7">
      <w:pPr>
        <w:pStyle w:val="Prrafodelista1"/>
        <w:numPr>
          <w:ilvl w:val="1"/>
          <w:numId w:val="1"/>
        </w:numPr>
        <w:tabs>
          <w:tab w:val="clear" w:pos="1440"/>
          <w:tab w:val="num" w:pos="1134"/>
        </w:tabs>
        <w:spacing w:after="120"/>
        <w:ind w:left="567" w:firstLine="0"/>
        <w:contextualSpacing w:val="0"/>
        <w:jc w:val="both"/>
        <w:rPr>
          <w:sz w:val="20"/>
          <w:lang w:val="es-CR"/>
        </w:rPr>
      </w:pPr>
      <w:r w:rsidRPr="009756CD">
        <w:rPr>
          <w:sz w:val="20"/>
          <w:lang w:val="es-CR"/>
        </w:rPr>
        <w:t xml:space="preserve">en el “marco estrictamente provisional” que caracteriza a estas medidas, hacerse cargo de los gastos médicos, hospitalarios, de medicamentos y demás erogaciones conexas relacionadas con la actual crisis que sufre I.V., hasta que este Tribunal tome una determinación interpretativa final sobre el punto tres de </w:t>
      </w:r>
      <w:r w:rsidR="00302657" w:rsidRPr="009756CD">
        <w:rPr>
          <w:sz w:val="20"/>
          <w:lang w:val="es-CR"/>
        </w:rPr>
        <w:t>la</w:t>
      </w:r>
      <w:r w:rsidRPr="009756CD">
        <w:rPr>
          <w:sz w:val="20"/>
          <w:lang w:val="es-CR"/>
        </w:rPr>
        <w:t xml:space="preserve"> solicitud de interpretación de sentencia;</w:t>
      </w:r>
    </w:p>
    <w:p w14:paraId="607E8ACC" w14:textId="061F404A" w:rsidR="00C30D61" w:rsidRPr="009756CD" w:rsidRDefault="00C30D61" w:rsidP="006778C7">
      <w:pPr>
        <w:pStyle w:val="Prrafodelista1"/>
        <w:numPr>
          <w:ilvl w:val="1"/>
          <w:numId w:val="1"/>
        </w:numPr>
        <w:tabs>
          <w:tab w:val="clear" w:pos="1440"/>
          <w:tab w:val="num" w:pos="1134"/>
        </w:tabs>
        <w:spacing w:after="120"/>
        <w:ind w:left="567" w:firstLine="0"/>
        <w:contextualSpacing w:val="0"/>
        <w:jc w:val="both"/>
        <w:rPr>
          <w:sz w:val="20"/>
          <w:lang w:val="es-CR"/>
        </w:rPr>
      </w:pPr>
      <w:r w:rsidRPr="009756CD">
        <w:rPr>
          <w:sz w:val="20"/>
          <w:lang w:val="es-CR"/>
        </w:rPr>
        <w:t xml:space="preserve">reembolsar a la familia de I.V. y al </w:t>
      </w:r>
      <w:r w:rsidR="00302657" w:rsidRPr="009756CD">
        <w:rPr>
          <w:sz w:val="20"/>
          <w:lang w:val="es-CR"/>
        </w:rPr>
        <w:t>Instituto de Terapia e Investigación sobre las secuelas de la tortura y la violencia estatal (</w:t>
      </w:r>
      <w:r w:rsidRPr="009756CD">
        <w:rPr>
          <w:sz w:val="20"/>
          <w:lang w:val="es-CR"/>
        </w:rPr>
        <w:t>ITEI</w:t>
      </w:r>
      <w:r w:rsidR="00302657" w:rsidRPr="009756CD">
        <w:rPr>
          <w:sz w:val="20"/>
          <w:lang w:val="es-CR"/>
        </w:rPr>
        <w:t>)</w:t>
      </w:r>
      <w:r w:rsidRPr="009756CD">
        <w:rPr>
          <w:sz w:val="20"/>
          <w:lang w:val="es-CR"/>
        </w:rPr>
        <w:t xml:space="preserve"> por los gastos de salud realizados desde el 31 de marzo del presente año; e </w:t>
      </w:r>
    </w:p>
    <w:p w14:paraId="719FB0DD" w14:textId="34DDA06E" w:rsidR="00C30D61" w:rsidRPr="009756CD" w:rsidRDefault="00C30D61" w:rsidP="006778C7">
      <w:pPr>
        <w:pStyle w:val="Prrafodelista1"/>
        <w:numPr>
          <w:ilvl w:val="1"/>
          <w:numId w:val="1"/>
        </w:numPr>
        <w:tabs>
          <w:tab w:val="clear" w:pos="1440"/>
          <w:tab w:val="num" w:pos="1134"/>
        </w:tabs>
        <w:spacing w:after="120"/>
        <w:ind w:left="567" w:firstLine="0"/>
        <w:contextualSpacing w:val="0"/>
        <w:jc w:val="both"/>
        <w:rPr>
          <w:sz w:val="20"/>
          <w:lang w:val="es-CR"/>
        </w:rPr>
      </w:pPr>
      <w:r w:rsidRPr="009756CD">
        <w:rPr>
          <w:sz w:val="20"/>
          <w:lang w:val="es-CR"/>
        </w:rPr>
        <w:t>investigar los móviles y a los responsables (agentes estatales) de los actos de acoso y persecución tributaria que esté sufriendo I.V. en este momento.</w:t>
      </w:r>
    </w:p>
    <w:p w14:paraId="278BD8B4" w14:textId="77777777" w:rsidR="00C30D61" w:rsidRPr="009756CD" w:rsidRDefault="00C30D61" w:rsidP="008B6B6E">
      <w:pPr>
        <w:pStyle w:val="Prrafodelista1"/>
        <w:contextualSpacing w:val="0"/>
        <w:jc w:val="both"/>
        <w:rPr>
          <w:sz w:val="20"/>
          <w:lang w:val="es-CR"/>
        </w:rPr>
      </w:pPr>
    </w:p>
    <w:p w14:paraId="0339F7D3" w14:textId="6446C999" w:rsidR="00403B91" w:rsidRPr="009756CD" w:rsidRDefault="004A78E5" w:rsidP="008B6B6E">
      <w:pPr>
        <w:pStyle w:val="Prrafodelista1"/>
        <w:numPr>
          <w:ilvl w:val="0"/>
          <w:numId w:val="1"/>
        </w:numPr>
        <w:tabs>
          <w:tab w:val="clear" w:pos="360"/>
          <w:tab w:val="num" w:pos="0"/>
          <w:tab w:val="num" w:pos="567"/>
        </w:tabs>
        <w:ind w:left="0" w:firstLine="0"/>
        <w:contextualSpacing w:val="0"/>
        <w:jc w:val="both"/>
        <w:rPr>
          <w:sz w:val="20"/>
          <w:lang w:val="es-CR"/>
        </w:rPr>
      </w:pPr>
      <w:r w:rsidRPr="009756CD">
        <w:rPr>
          <w:rFonts w:eastAsia="MS Mincho"/>
          <w:sz w:val="20"/>
          <w:szCs w:val="20"/>
          <w:lang w:val="es-CR"/>
        </w:rPr>
        <w:t>La</w:t>
      </w:r>
      <w:r w:rsidRPr="009756CD">
        <w:rPr>
          <w:sz w:val="20"/>
          <w:lang w:val="es-CR"/>
        </w:rPr>
        <w:t xml:space="preserve"> nota de la Secretaría de la Corte (en adelante “la Secretaría”) de </w:t>
      </w:r>
      <w:r w:rsidR="00590F26" w:rsidRPr="009756CD">
        <w:rPr>
          <w:sz w:val="20"/>
          <w:lang w:val="es-CR"/>
        </w:rPr>
        <w:t>6 de abril</w:t>
      </w:r>
      <w:r w:rsidRPr="009756CD">
        <w:rPr>
          <w:sz w:val="20"/>
          <w:lang w:val="es-CR"/>
        </w:rPr>
        <w:t xml:space="preserve"> de 2017, mediante la cual, siguiendo instrucciones del </w:t>
      </w:r>
      <w:r w:rsidR="00B4469F" w:rsidRPr="009756CD">
        <w:rPr>
          <w:sz w:val="20"/>
          <w:lang w:val="es-CR"/>
        </w:rPr>
        <w:t>Presidente</w:t>
      </w:r>
      <w:r w:rsidRPr="009756CD">
        <w:rPr>
          <w:sz w:val="20"/>
          <w:lang w:val="es-CR"/>
        </w:rPr>
        <w:t xml:space="preserve"> del Tribunal, se solicitó al Estado que</w:t>
      </w:r>
      <w:r w:rsidR="00590F26" w:rsidRPr="009756CD">
        <w:rPr>
          <w:sz w:val="20"/>
          <w:szCs w:val="20"/>
          <w:lang w:val="es-CR"/>
        </w:rPr>
        <w:t xml:space="preserve"> remitiera las observaciones e información que considerara pertinentes respecto de la solicitud de referencia, a más tardar el 17 de abril de 2017</w:t>
      </w:r>
      <w:r w:rsidR="00590F26" w:rsidRPr="009756CD">
        <w:rPr>
          <w:sz w:val="20"/>
          <w:lang w:val="es-CR"/>
        </w:rPr>
        <w:t>.</w:t>
      </w:r>
    </w:p>
    <w:p w14:paraId="07157236" w14:textId="77777777" w:rsidR="008B6B6E" w:rsidRPr="009756CD" w:rsidRDefault="008B6B6E" w:rsidP="008B6B6E">
      <w:pPr>
        <w:pStyle w:val="Prrafodelista1"/>
        <w:contextualSpacing w:val="0"/>
        <w:jc w:val="both"/>
        <w:rPr>
          <w:sz w:val="20"/>
          <w:lang w:val="es-CR"/>
        </w:rPr>
      </w:pPr>
    </w:p>
    <w:p w14:paraId="61E51478" w14:textId="52784F4D" w:rsidR="004A78E5" w:rsidRPr="009756CD" w:rsidRDefault="00E31BA2" w:rsidP="008B6B6E">
      <w:pPr>
        <w:pStyle w:val="Prrafodelista1"/>
        <w:numPr>
          <w:ilvl w:val="0"/>
          <w:numId w:val="1"/>
        </w:numPr>
        <w:tabs>
          <w:tab w:val="clear" w:pos="360"/>
          <w:tab w:val="num" w:pos="0"/>
          <w:tab w:val="num" w:pos="567"/>
        </w:tabs>
        <w:ind w:left="0" w:firstLine="0"/>
        <w:contextualSpacing w:val="0"/>
        <w:jc w:val="both"/>
        <w:rPr>
          <w:sz w:val="20"/>
          <w:lang w:val="es-CR"/>
        </w:rPr>
      </w:pPr>
      <w:r w:rsidRPr="009756CD">
        <w:rPr>
          <w:rFonts w:eastAsia="MS Mincho"/>
          <w:sz w:val="20"/>
          <w:szCs w:val="20"/>
          <w:lang w:val="es-CR"/>
        </w:rPr>
        <w:t>El</w:t>
      </w:r>
      <w:r w:rsidR="00D551A6" w:rsidRPr="009756CD">
        <w:rPr>
          <w:sz w:val="20"/>
          <w:lang w:val="es-CR"/>
        </w:rPr>
        <w:t xml:space="preserve"> e</w:t>
      </w:r>
      <w:r w:rsidRPr="009756CD">
        <w:rPr>
          <w:sz w:val="20"/>
          <w:lang w:val="es-CR"/>
        </w:rPr>
        <w:t xml:space="preserve">scrito de </w:t>
      </w:r>
      <w:r w:rsidR="00590F26" w:rsidRPr="009756CD">
        <w:rPr>
          <w:sz w:val="20"/>
          <w:lang w:val="es-CR"/>
        </w:rPr>
        <w:t>17</w:t>
      </w:r>
      <w:r w:rsidR="00420744" w:rsidRPr="009756CD">
        <w:rPr>
          <w:sz w:val="20"/>
          <w:lang w:val="es-CR"/>
        </w:rPr>
        <w:t xml:space="preserve"> de abril de 2017</w:t>
      </w:r>
      <w:r w:rsidR="004A78E5" w:rsidRPr="009756CD">
        <w:rPr>
          <w:sz w:val="20"/>
          <w:lang w:val="es-CR"/>
        </w:rPr>
        <w:t xml:space="preserve"> y sus anexos, </w:t>
      </w:r>
      <w:r w:rsidR="005820FB" w:rsidRPr="009756CD">
        <w:rPr>
          <w:sz w:val="20"/>
          <w:lang w:val="es-CR"/>
        </w:rPr>
        <w:t>mediante los cuales</w:t>
      </w:r>
      <w:r w:rsidR="004A78E5" w:rsidRPr="009756CD">
        <w:rPr>
          <w:sz w:val="20"/>
          <w:lang w:val="es-CR"/>
        </w:rPr>
        <w:t xml:space="preserve"> </w:t>
      </w:r>
      <w:r w:rsidR="00420744" w:rsidRPr="009756CD">
        <w:rPr>
          <w:sz w:val="20"/>
          <w:lang w:val="es-CR"/>
        </w:rPr>
        <w:t xml:space="preserve">el Estado de Bolivia </w:t>
      </w:r>
      <w:r w:rsidR="004A78E5" w:rsidRPr="009756CD">
        <w:rPr>
          <w:sz w:val="20"/>
          <w:lang w:val="es-CR"/>
        </w:rPr>
        <w:t xml:space="preserve">se refirió a la solicitud de medidas provisionales presentada por la </w:t>
      </w:r>
      <w:r w:rsidR="00420744" w:rsidRPr="009756CD">
        <w:rPr>
          <w:sz w:val="20"/>
          <w:lang w:val="es-CR"/>
        </w:rPr>
        <w:t>representante</w:t>
      </w:r>
      <w:r w:rsidR="004A78E5" w:rsidRPr="009756CD">
        <w:rPr>
          <w:sz w:val="20"/>
          <w:lang w:val="es-CR"/>
        </w:rPr>
        <w:t>.</w:t>
      </w:r>
      <w:r w:rsidR="00420744" w:rsidRPr="009756CD">
        <w:rPr>
          <w:sz w:val="20"/>
          <w:lang w:val="es-CR"/>
        </w:rPr>
        <w:t xml:space="preserve"> En sus </w:t>
      </w:r>
      <w:r w:rsidR="00D32AA8" w:rsidRPr="009756CD">
        <w:rPr>
          <w:sz w:val="20"/>
          <w:lang w:val="es-CR"/>
        </w:rPr>
        <w:t xml:space="preserve">observaciones, el Estado solicitó a la Corte que desestimara la solicitud de medidas provisionales al no existir elementos fácticos que la sustenten y por no haberse cumplido con los elementos requeridos para su procedencia. En particular, el Estado rechazó la existencia de supuestas acciones de represalia, amedrentamiento y/o amenaza contra la señora I.V. </w:t>
      </w:r>
      <w:r w:rsidR="00EC75BE" w:rsidRPr="009756CD">
        <w:rPr>
          <w:sz w:val="20"/>
          <w:lang w:val="es-CR"/>
        </w:rPr>
        <w:t xml:space="preserve">y sostuvo que no se ha infringido el artículo 53 del Reglamento. Sobre </w:t>
      </w:r>
      <w:r w:rsidR="00F90EC3" w:rsidRPr="009756CD">
        <w:rPr>
          <w:sz w:val="20"/>
          <w:lang w:val="es-CR"/>
        </w:rPr>
        <w:t>este aspecto</w:t>
      </w:r>
      <w:r w:rsidR="00EC75BE" w:rsidRPr="009756CD">
        <w:rPr>
          <w:sz w:val="20"/>
          <w:lang w:val="es-CR"/>
        </w:rPr>
        <w:t>, expuso que las acciones de cobranza tributaria impulsadas por la oficina de Impuestos Nacionales no constituyen una medida de represalia e indicó que el proceso de cobranza coactiva por deudas tributarias derivadas del ejercicio de la actividad profesional de la señora I.V. inició el 16 de agosto de 2016. Agregó que el 13 de septiembre de 2016 se mantuvo una reunión con la señora I.V. en la que ésta habría manifestado que no pagaría la deuda que mantiene con el fisco, razón por la que al día siguiente presentó una solicitud de prescripción de la deuda tributaria. Dicha solicitud fue denegada el 9 de enero de 2017 con fundamento en que hasta esa fecha no se había dictado ningún acto administrativo en contra de la contribuyente</w:t>
      </w:r>
      <w:r w:rsidR="00A42F54" w:rsidRPr="009756CD">
        <w:rPr>
          <w:sz w:val="20"/>
          <w:lang w:val="es-CR"/>
        </w:rPr>
        <w:t xml:space="preserve"> por lo que no se había producido el inicio del cómputo de la prescripción</w:t>
      </w:r>
      <w:r w:rsidR="00EC75BE" w:rsidRPr="009756CD">
        <w:rPr>
          <w:sz w:val="20"/>
          <w:lang w:val="es-CR"/>
        </w:rPr>
        <w:t xml:space="preserve">. Asimismo, el 14 de septiembre de 2016 se emitió </w:t>
      </w:r>
      <w:r w:rsidR="003E17C6" w:rsidRPr="009756CD">
        <w:rPr>
          <w:sz w:val="20"/>
          <w:lang w:val="es-CR"/>
        </w:rPr>
        <w:t xml:space="preserve">el </w:t>
      </w:r>
      <w:r w:rsidR="00EC75BE" w:rsidRPr="009756CD">
        <w:rPr>
          <w:sz w:val="20"/>
          <w:lang w:val="es-CR"/>
        </w:rPr>
        <w:t>proveído de inicio de ejecución tributaria</w:t>
      </w:r>
      <w:r w:rsidR="003E17C6" w:rsidRPr="009756CD">
        <w:rPr>
          <w:sz w:val="20"/>
          <w:lang w:val="es-CR"/>
        </w:rPr>
        <w:t xml:space="preserve"> y el auto inicial </w:t>
      </w:r>
      <w:r w:rsidR="007B6D21">
        <w:rPr>
          <w:sz w:val="20"/>
          <w:lang w:val="es-CR"/>
        </w:rPr>
        <w:t xml:space="preserve">de </w:t>
      </w:r>
      <w:r w:rsidR="003E17C6" w:rsidRPr="009756CD">
        <w:rPr>
          <w:sz w:val="20"/>
          <w:lang w:val="es-CR"/>
        </w:rPr>
        <w:t>sumario contravencional</w:t>
      </w:r>
      <w:r w:rsidR="00EC75BE" w:rsidRPr="009756CD">
        <w:rPr>
          <w:sz w:val="20"/>
          <w:lang w:val="es-CR"/>
        </w:rPr>
        <w:t xml:space="preserve">, </w:t>
      </w:r>
      <w:r w:rsidR="003E17C6" w:rsidRPr="009756CD">
        <w:rPr>
          <w:sz w:val="20"/>
          <w:lang w:val="es-CR"/>
        </w:rPr>
        <w:t>los</w:t>
      </w:r>
      <w:r w:rsidR="00EC75BE" w:rsidRPr="009756CD">
        <w:rPr>
          <w:sz w:val="20"/>
          <w:lang w:val="es-CR"/>
        </w:rPr>
        <w:t xml:space="preserve"> cual</w:t>
      </w:r>
      <w:r w:rsidR="003E17C6" w:rsidRPr="009756CD">
        <w:rPr>
          <w:sz w:val="20"/>
          <w:lang w:val="es-CR"/>
        </w:rPr>
        <w:t>es</w:t>
      </w:r>
      <w:r w:rsidR="00EC75BE" w:rsidRPr="009756CD">
        <w:rPr>
          <w:sz w:val="20"/>
          <w:lang w:val="es-CR"/>
        </w:rPr>
        <w:t xml:space="preserve"> le fue</w:t>
      </w:r>
      <w:r w:rsidR="003E17C6" w:rsidRPr="009756CD">
        <w:rPr>
          <w:sz w:val="20"/>
          <w:lang w:val="es-CR"/>
        </w:rPr>
        <w:t>ron</w:t>
      </w:r>
      <w:r w:rsidR="00EC75BE" w:rsidRPr="009756CD">
        <w:rPr>
          <w:sz w:val="20"/>
          <w:lang w:val="es-CR"/>
        </w:rPr>
        <w:t xml:space="preserve"> notificado</w:t>
      </w:r>
      <w:r w:rsidR="003E17C6" w:rsidRPr="009756CD">
        <w:rPr>
          <w:sz w:val="20"/>
          <w:lang w:val="es-CR"/>
        </w:rPr>
        <w:t>s</w:t>
      </w:r>
      <w:r w:rsidR="00EC75BE" w:rsidRPr="009756CD">
        <w:rPr>
          <w:sz w:val="20"/>
          <w:lang w:val="es-CR"/>
        </w:rPr>
        <w:t xml:space="preserve"> recién el 24 de enero de 2017. El Estado informó que a dicha fecha la deuda ascendía a Bs. 1.076, equivalente a US$ 154.59. Asimismo, sostuvo que durante la gestión 2016 se remitieron al Departamento Jurídico y de Cobranza Coactiva 5465 declaraciones juradas correspondientes a las gestiones 2004, 2005 y 2011 pertenecientes a 2367 contribuyentes. Por consiguiente, </w:t>
      </w:r>
      <w:r w:rsidR="00F90EC3" w:rsidRPr="009756CD">
        <w:rPr>
          <w:sz w:val="20"/>
          <w:lang w:val="es-CR"/>
        </w:rPr>
        <w:t xml:space="preserve">indicó </w:t>
      </w:r>
      <w:r w:rsidR="00EC75BE" w:rsidRPr="009756CD">
        <w:rPr>
          <w:sz w:val="20"/>
          <w:lang w:val="es-CR"/>
        </w:rPr>
        <w:t xml:space="preserve">que </w:t>
      </w:r>
      <w:r w:rsidR="00D32AA8" w:rsidRPr="009756CD">
        <w:rPr>
          <w:sz w:val="20"/>
          <w:lang w:val="es-CR"/>
        </w:rPr>
        <w:t xml:space="preserve">el proceso iniciado por </w:t>
      </w:r>
      <w:r w:rsidR="003E17C6" w:rsidRPr="009756CD">
        <w:rPr>
          <w:sz w:val="20"/>
          <w:lang w:val="es-CR"/>
        </w:rPr>
        <w:t xml:space="preserve">la oficina de </w:t>
      </w:r>
      <w:r w:rsidR="00D32AA8" w:rsidRPr="009756CD">
        <w:rPr>
          <w:sz w:val="20"/>
          <w:lang w:val="es-CR"/>
        </w:rPr>
        <w:t xml:space="preserve">Impuestos Nacionales responde a la autodeterminación de las deudas tributarias, por incumplimiento de su pago por parte de la señora I.V. en su calidad de contribuyente y por inobservancia a procedimientos impositivos. Asimismo, solicitó a la Corte que </w:t>
      </w:r>
      <w:r w:rsidR="00D32AA8" w:rsidRPr="009756CD">
        <w:rPr>
          <w:sz w:val="20"/>
          <w:lang w:val="es-CR"/>
        </w:rPr>
        <w:lastRenderedPageBreak/>
        <w:t>no emitiera pronunciamiento en cuanto a la supuesta persecución indebida por concepto de cobro de deudas tributarias, toda vez que no guarda</w:t>
      </w:r>
      <w:r w:rsidR="00EC75BE" w:rsidRPr="009756CD">
        <w:rPr>
          <w:sz w:val="20"/>
          <w:lang w:val="es-CR"/>
        </w:rPr>
        <w:t>ría</w:t>
      </w:r>
      <w:r w:rsidR="00D32AA8" w:rsidRPr="009756CD">
        <w:rPr>
          <w:sz w:val="20"/>
          <w:lang w:val="es-CR"/>
        </w:rPr>
        <w:t xml:space="preserve"> relación alguna con la causa. Al respecto, señaló que </w:t>
      </w:r>
      <w:r w:rsidR="00805E1C" w:rsidRPr="009756CD">
        <w:rPr>
          <w:sz w:val="20"/>
          <w:lang w:val="es-CR"/>
        </w:rPr>
        <w:t>“[</w:t>
      </w:r>
      <w:r w:rsidR="00D32AA8" w:rsidRPr="009756CD">
        <w:rPr>
          <w:sz w:val="20"/>
          <w:lang w:val="es-CR"/>
        </w:rPr>
        <w:t>e</w:t>
      </w:r>
      <w:r w:rsidR="00805E1C" w:rsidRPr="009756CD">
        <w:rPr>
          <w:sz w:val="20"/>
          <w:lang w:val="es-CR"/>
        </w:rPr>
        <w:t>]</w:t>
      </w:r>
      <w:r w:rsidR="00D32AA8" w:rsidRPr="009756CD">
        <w:rPr>
          <w:sz w:val="20"/>
          <w:lang w:val="es-CR"/>
        </w:rPr>
        <w:t xml:space="preserve">l estado actual de la </w:t>
      </w:r>
      <w:r w:rsidR="00805E1C" w:rsidRPr="009756CD">
        <w:rPr>
          <w:sz w:val="20"/>
          <w:lang w:val="es-CR"/>
        </w:rPr>
        <w:t>[</w:t>
      </w:r>
      <w:r w:rsidR="00D32AA8" w:rsidRPr="009756CD">
        <w:rPr>
          <w:sz w:val="20"/>
          <w:lang w:val="es-CR"/>
        </w:rPr>
        <w:t>señora</w:t>
      </w:r>
      <w:r w:rsidR="00805E1C" w:rsidRPr="009756CD">
        <w:rPr>
          <w:sz w:val="20"/>
          <w:lang w:val="es-CR"/>
        </w:rPr>
        <w:t>]</w:t>
      </w:r>
      <w:r w:rsidR="00D32AA8" w:rsidRPr="009756CD">
        <w:rPr>
          <w:sz w:val="20"/>
          <w:lang w:val="es-CR"/>
        </w:rPr>
        <w:t xml:space="preserve"> I.V. y la crisis </w:t>
      </w:r>
      <w:r w:rsidR="00805E1C" w:rsidRPr="009756CD">
        <w:rPr>
          <w:sz w:val="20"/>
          <w:lang w:val="es-CR"/>
        </w:rPr>
        <w:t>[</w:t>
      </w:r>
      <w:r w:rsidR="00D32AA8" w:rsidRPr="009756CD">
        <w:rPr>
          <w:sz w:val="20"/>
          <w:lang w:val="es-CR"/>
        </w:rPr>
        <w:t>desencadenada</w:t>
      </w:r>
      <w:r w:rsidR="00805E1C" w:rsidRPr="009756CD">
        <w:rPr>
          <w:sz w:val="20"/>
          <w:lang w:val="es-CR"/>
        </w:rPr>
        <w:t>]</w:t>
      </w:r>
      <w:r w:rsidR="00D32AA8" w:rsidRPr="009756CD">
        <w:rPr>
          <w:sz w:val="20"/>
          <w:lang w:val="es-CR"/>
        </w:rPr>
        <w:t xml:space="preserve"> es manifestación propia del trastorno mental que padece</w:t>
      </w:r>
      <w:r w:rsidR="00805E1C" w:rsidRPr="009756CD">
        <w:rPr>
          <w:sz w:val="20"/>
          <w:lang w:val="es-CR"/>
        </w:rPr>
        <w:t>,</w:t>
      </w:r>
      <w:r w:rsidR="00D32AA8" w:rsidRPr="009756CD">
        <w:rPr>
          <w:sz w:val="20"/>
          <w:lang w:val="es-CR"/>
        </w:rPr>
        <w:t xml:space="preserve"> por </w:t>
      </w:r>
      <w:r w:rsidR="00805E1C" w:rsidRPr="009756CD">
        <w:rPr>
          <w:sz w:val="20"/>
          <w:lang w:val="es-CR"/>
        </w:rPr>
        <w:t>[</w:t>
      </w:r>
      <w:r w:rsidR="00D32AA8" w:rsidRPr="009756CD">
        <w:rPr>
          <w:sz w:val="20"/>
          <w:lang w:val="es-CR"/>
        </w:rPr>
        <w:t>lo que</w:t>
      </w:r>
      <w:r w:rsidR="00805E1C" w:rsidRPr="009756CD">
        <w:rPr>
          <w:sz w:val="20"/>
          <w:lang w:val="es-CR"/>
        </w:rPr>
        <w:t>]</w:t>
      </w:r>
      <w:r w:rsidR="00D32AA8" w:rsidRPr="009756CD">
        <w:rPr>
          <w:sz w:val="20"/>
          <w:lang w:val="es-CR"/>
        </w:rPr>
        <w:t xml:space="preserve"> no es atribuible a</w:t>
      </w:r>
      <w:r w:rsidR="00805E1C" w:rsidRPr="009756CD">
        <w:rPr>
          <w:sz w:val="20"/>
          <w:lang w:val="es-CR"/>
        </w:rPr>
        <w:t xml:space="preserve"> las</w:t>
      </w:r>
      <w:r w:rsidR="00D32AA8" w:rsidRPr="009756CD">
        <w:rPr>
          <w:sz w:val="20"/>
          <w:lang w:val="es-CR"/>
        </w:rPr>
        <w:t xml:space="preserve"> situaciones externas a las que se ha visto expuesta ante el incumplimiento de sus obligaciones tributarias</w:t>
      </w:r>
      <w:r w:rsidR="00805E1C" w:rsidRPr="009756CD">
        <w:rPr>
          <w:sz w:val="20"/>
          <w:lang w:val="es-CR"/>
        </w:rPr>
        <w:t>”</w:t>
      </w:r>
      <w:r w:rsidR="00D32AA8" w:rsidRPr="009756CD">
        <w:rPr>
          <w:sz w:val="20"/>
          <w:lang w:val="es-CR"/>
        </w:rPr>
        <w:t xml:space="preserve">. Finalmente, solicitó a la Corte que rechazara el pedido de reembolso de gastos efectuados a particulares por atención psiquiátrica por no corresponder a la </w:t>
      </w:r>
      <w:r w:rsidR="003E17C6" w:rsidRPr="009756CD">
        <w:rPr>
          <w:sz w:val="20"/>
          <w:lang w:val="es-CR"/>
        </w:rPr>
        <w:t>S</w:t>
      </w:r>
      <w:r w:rsidR="00D32AA8" w:rsidRPr="009756CD">
        <w:rPr>
          <w:sz w:val="20"/>
          <w:lang w:val="es-CR"/>
        </w:rPr>
        <w:t xml:space="preserve">entencia emitida por la Corte. Sobre este punto, alegó que los argumentos presentados por la representante responden a una estrategia cuya única intencionalidad sería modificar la </w:t>
      </w:r>
      <w:r w:rsidR="003E17C6" w:rsidRPr="009756CD">
        <w:rPr>
          <w:sz w:val="20"/>
          <w:lang w:val="es-CR"/>
        </w:rPr>
        <w:t>S</w:t>
      </w:r>
      <w:r w:rsidR="00D32AA8" w:rsidRPr="009756CD">
        <w:rPr>
          <w:sz w:val="20"/>
          <w:lang w:val="es-CR"/>
        </w:rPr>
        <w:t>entencia emitida por la Corte en el extremo que se refiere a la atención médica, pretendiendo que el Estado cubra servicios privados cuando el sistema público de salud s</w:t>
      </w:r>
      <w:r w:rsidR="003E17C6" w:rsidRPr="009756CD">
        <w:rPr>
          <w:sz w:val="20"/>
          <w:lang w:val="es-CR"/>
        </w:rPr>
        <w:t>í</w:t>
      </w:r>
      <w:r w:rsidR="00D32AA8" w:rsidRPr="009756CD">
        <w:rPr>
          <w:sz w:val="20"/>
          <w:lang w:val="es-CR"/>
        </w:rPr>
        <w:t xml:space="preserve"> contaría con las condiciones para cubrir los requerimientos en salud de I.V.</w:t>
      </w:r>
    </w:p>
    <w:p w14:paraId="6B148E0A" w14:textId="77777777" w:rsidR="00420744" w:rsidRPr="009756CD" w:rsidRDefault="00420744" w:rsidP="00420744">
      <w:pPr>
        <w:pStyle w:val="Prrafodelista1"/>
        <w:tabs>
          <w:tab w:val="num" w:pos="567"/>
        </w:tabs>
        <w:contextualSpacing w:val="0"/>
        <w:jc w:val="both"/>
        <w:rPr>
          <w:sz w:val="20"/>
          <w:lang w:val="es-CR"/>
        </w:rPr>
      </w:pPr>
    </w:p>
    <w:p w14:paraId="14F3E13D" w14:textId="3FA67919" w:rsidR="00420744" w:rsidRPr="009756CD" w:rsidRDefault="00590F26" w:rsidP="008B6B6E">
      <w:pPr>
        <w:pStyle w:val="Prrafodelista1"/>
        <w:numPr>
          <w:ilvl w:val="0"/>
          <w:numId w:val="1"/>
        </w:numPr>
        <w:tabs>
          <w:tab w:val="clear" w:pos="360"/>
          <w:tab w:val="num" w:pos="0"/>
          <w:tab w:val="num" w:pos="567"/>
        </w:tabs>
        <w:ind w:left="0" w:firstLine="0"/>
        <w:contextualSpacing w:val="0"/>
        <w:jc w:val="both"/>
        <w:rPr>
          <w:sz w:val="20"/>
          <w:lang w:val="es-CR"/>
        </w:rPr>
      </w:pPr>
      <w:r w:rsidRPr="009756CD">
        <w:rPr>
          <w:rFonts w:eastAsia="MS Mincho"/>
          <w:sz w:val="20"/>
          <w:szCs w:val="20"/>
          <w:lang w:val="es-CR"/>
        </w:rPr>
        <w:t>La</w:t>
      </w:r>
      <w:r w:rsidRPr="009756CD">
        <w:rPr>
          <w:sz w:val="20"/>
          <w:lang w:val="es-CR"/>
        </w:rPr>
        <w:t xml:space="preserve"> nota de la Secretaría de 21 de abril de 2017, mediante la cual, </w:t>
      </w:r>
      <w:r w:rsidRPr="009756CD">
        <w:rPr>
          <w:sz w:val="20"/>
          <w:szCs w:val="20"/>
          <w:lang w:val="es-CR"/>
        </w:rPr>
        <w:t>siguiendo instrucciones del Presidente de la Corte y con base en el artículo 27.5 del Reglamento del Tribunal, se solicitó a la representante de la señora I.V. que remitiera las observaciones que estimara pertinentes al escrito del Estado, así como cualquier información adicional respecto de la solicitud de referencia, a más tardar el 28 de abril de 2017.</w:t>
      </w:r>
    </w:p>
    <w:p w14:paraId="7969E00E" w14:textId="77777777" w:rsidR="00C75967" w:rsidRPr="009756CD" w:rsidRDefault="00C75967" w:rsidP="00C75967">
      <w:pPr>
        <w:pStyle w:val="Prrafodelista1"/>
        <w:tabs>
          <w:tab w:val="num" w:pos="567"/>
        </w:tabs>
        <w:contextualSpacing w:val="0"/>
        <w:jc w:val="both"/>
        <w:rPr>
          <w:sz w:val="20"/>
          <w:lang w:val="es-CR"/>
        </w:rPr>
      </w:pPr>
    </w:p>
    <w:p w14:paraId="6FA25F2C" w14:textId="761D8D94" w:rsidR="00AE1E36" w:rsidRPr="009756CD" w:rsidRDefault="00C75967" w:rsidP="00AE1E36">
      <w:pPr>
        <w:pStyle w:val="Prrafodelista1"/>
        <w:numPr>
          <w:ilvl w:val="0"/>
          <w:numId w:val="1"/>
        </w:numPr>
        <w:tabs>
          <w:tab w:val="clear" w:pos="360"/>
          <w:tab w:val="num" w:pos="0"/>
          <w:tab w:val="num" w:pos="567"/>
        </w:tabs>
        <w:ind w:left="0" w:firstLine="0"/>
        <w:contextualSpacing w:val="0"/>
        <w:jc w:val="both"/>
        <w:rPr>
          <w:sz w:val="20"/>
          <w:lang w:val="es-CR"/>
        </w:rPr>
      </w:pPr>
      <w:r w:rsidRPr="009756CD">
        <w:rPr>
          <w:sz w:val="20"/>
          <w:lang w:val="es-CR"/>
        </w:rPr>
        <w:t>El escrito de 27 de abril de 2017, mediante el cual la representante</w:t>
      </w:r>
      <w:r w:rsidR="008F1BC2" w:rsidRPr="009756CD">
        <w:rPr>
          <w:sz w:val="20"/>
          <w:lang w:val="es-CR"/>
        </w:rPr>
        <w:t xml:space="preserve"> presentó las observaciones requeridas y </w:t>
      </w:r>
      <w:r w:rsidR="00AE1E36" w:rsidRPr="009756CD">
        <w:rPr>
          <w:sz w:val="20"/>
          <w:lang w:val="es-CR"/>
        </w:rPr>
        <w:t>sostuvo</w:t>
      </w:r>
      <w:r w:rsidR="003E17C6" w:rsidRPr="009756CD">
        <w:rPr>
          <w:sz w:val="20"/>
          <w:lang w:val="es-CR"/>
        </w:rPr>
        <w:t xml:space="preserve"> que</w:t>
      </w:r>
      <w:r w:rsidR="00AE1E36" w:rsidRPr="009756CD">
        <w:rPr>
          <w:sz w:val="20"/>
          <w:lang w:val="es-CR"/>
        </w:rPr>
        <w:t>, respecto al proceso tributario, no busca</w:t>
      </w:r>
      <w:r w:rsidR="003E17C6" w:rsidRPr="009756CD">
        <w:rPr>
          <w:sz w:val="20"/>
          <w:lang w:val="es-CR"/>
        </w:rPr>
        <w:t>ba</w:t>
      </w:r>
      <w:r w:rsidR="00AE1E36" w:rsidRPr="009756CD">
        <w:rPr>
          <w:sz w:val="20"/>
          <w:lang w:val="es-CR"/>
        </w:rPr>
        <w:t xml:space="preserve"> que la víctima elud</w:t>
      </w:r>
      <w:r w:rsidR="00390730" w:rsidRPr="009756CD">
        <w:rPr>
          <w:sz w:val="20"/>
          <w:lang w:val="es-CR"/>
        </w:rPr>
        <w:t>iera</w:t>
      </w:r>
      <w:r w:rsidR="00AE1E36" w:rsidRPr="009756CD">
        <w:rPr>
          <w:sz w:val="20"/>
          <w:lang w:val="es-CR"/>
        </w:rPr>
        <w:t xml:space="preserve"> obligaciones tributarias o que la Corte res</w:t>
      </w:r>
      <w:r w:rsidR="00390730" w:rsidRPr="009756CD">
        <w:rPr>
          <w:sz w:val="20"/>
          <w:lang w:val="es-CR"/>
        </w:rPr>
        <w:t>olviera</w:t>
      </w:r>
      <w:r w:rsidR="00AE1E36" w:rsidRPr="009756CD">
        <w:rPr>
          <w:sz w:val="20"/>
          <w:lang w:val="es-CR"/>
        </w:rPr>
        <w:t xml:space="preserve"> una controversia impositiva, ya que el actuar del Estado e</w:t>
      </w:r>
      <w:r w:rsidR="00390730" w:rsidRPr="009756CD">
        <w:rPr>
          <w:sz w:val="20"/>
          <w:lang w:val="es-CR"/>
        </w:rPr>
        <w:t>ra</w:t>
      </w:r>
      <w:r w:rsidR="00AE1E36" w:rsidRPr="009756CD">
        <w:rPr>
          <w:sz w:val="20"/>
          <w:lang w:val="es-CR"/>
        </w:rPr>
        <w:t xml:space="preserve"> arbitrario en tanto no existiría justificación alguna para que la oficina de impuestos nacionales (SIN) fiscalice a I.V. y pretenda cobrarle una deuda tributaria, cuando la potestad de dicha entidad para iniciar acciones ya había prescrito. Es decir, la representante alegó que I.V. no t</w:t>
      </w:r>
      <w:r w:rsidR="00390730" w:rsidRPr="009756CD">
        <w:rPr>
          <w:sz w:val="20"/>
          <w:lang w:val="es-CR"/>
        </w:rPr>
        <w:t>enía</w:t>
      </w:r>
      <w:r w:rsidR="00AE1E36" w:rsidRPr="009756CD">
        <w:rPr>
          <w:sz w:val="20"/>
          <w:lang w:val="es-CR"/>
        </w:rPr>
        <w:t xml:space="preserve"> obligaciones tributarias pendientes que </w:t>
      </w:r>
      <w:r w:rsidR="00390730" w:rsidRPr="009756CD">
        <w:rPr>
          <w:sz w:val="20"/>
          <w:lang w:val="es-CR"/>
        </w:rPr>
        <w:t xml:space="preserve">fueran </w:t>
      </w:r>
      <w:r w:rsidR="00AE1E36" w:rsidRPr="009756CD">
        <w:rPr>
          <w:sz w:val="20"/>
          <w:lang w:val="es-CR"/>
        </w:rPr>
        <w:t xml:space="preserve">legalmente exigibles toda vez que ya había operado la prescripción. Por ello, según la representante, la única motivación del Estado sería “buscar una revancha o represalia” por haberlo enjuiciado ante la Corte </w:t>
      </w:r>
      <w:r w:rsidR="00805E1C" w:rsidRPr="009756CD">
        <w:rPr>
          <w:sz w:val="20"/>
          <w:lang w:val="es-CR"/>
        </w:rPr>
        <w:t>Interamericana</w:t>
      </w:r>
      <w:r w:rsidR="00AE1E36" w:rsidRPr="009756CD">
        <w:rPr>
          <w:sz w:val="20"/>
          <w:lang w:val="es-CR"/>
        </w:rPr>
        <w:t>. Indicó que esto no sería una práctica aislada, ya que en la actualidad habría un contexto de práctica de acoso judicial y administrativo contra la oposición política, o personas que “incomodan” al gobierno. En lo que se refiere a la asistencia médica y psicológica señaló que</w:t>
      </w:r>
      <w:r w:rsidR="00865F26">
        <w:rPr>
          <w:sz w:val="20"/>
          <w:lang w:val="es-CR"/>
        </w:rPr>
        <w:t>,</w:t>
      </w:r>
      <w:r w:rsidR="00AE1E36" w:rsidRPr="009756CD">
        <w:rPr>
          <w:sz w:val="20"/>
          <w:lang w:val="es-CR"/>
        </w:rPr>
        <w:t xml:space="preserve"> de acuerdo a la naturaleza provisional de las medidas, el objetivo es que se adopten las más recomendables, oportunas, efectivas e idóneas medidas para el bienestar presente y futuro de </w:t>
      </w:r>
      <w:r w:rsidR="00805E1C" w:rsidRPr="009756CD">
        <w:rPr>
          <w:sz w:val="20"/>
          <w:lang w:val="es-CR"/>
        </w:rPr>
        <w:t xml:space="preserve">la señora </w:t>
      </w:r>
      <w:r w:rsidR="00AE1E36" w:rsidRPr="009756CD">
        <w:rPr>
          <w:sz w:val="20"/>
          <w:lang w:val="es-CR"/>
        </w:rPr>
        <w:t>I.V., quien enfrenta la posibilidad inminente de sufrir un daño irreparable en su salud mental. En esta línea, señaló que I.V. requiere con urgencia la atención en salud que a ella le sirva, de lo contrario, la efectividad de su mejora será nula. Por otra parte, la representante resaltó que el Estado no ha negado ni controvertido la llamada del Ministerio de Gobierno a I.V. y tampoco ha investigado o brindado una explicación sobre quién</w:t>
      </w:r>
      <w:r w:rsidR="00805E1C" w:rsidRPr="009756CD">
        <w:rPr>
          <w:sz w:val="20"/>
          <w:lang w:val="es-CR"/>
        </w:rPr>
        <w:t xml:space="preserve"> la</w:t>
      </w:r>
      <w:r w:rsidR="00AE1E36" w:rsidRPr="009756CD">
        <w:rPr>
          <w:sz w:val="20"/>
          <w:lang w:val="es-CR"/>
        </w:rPr>
        <w:t xml:space="preserve"> llamó y por qué motivo. En cuanto a los insultos y filmaciones reiteró que, si bien no cuentan con prueba material, estos hechos se basan en el testimonio de I.V. dado a su familia y a su psicoterapeuta. Finalmente, la representante informó que I.V. lleva 28 días internada y que, si bien ha experimentado una mejoría, hasta el momento no se</w:t>
      </w:r>
      <w:r w:rsidR="00390730" w:rsidRPr="009756CD">
        <w:rPr>
          <w:sz w:val="20"/>
          <w:lang w:val="es-CR"/>
        </w:rPr>
        <w:t xml:space="preserve"> le</w:t>
      </w:r>
      <w:r w:rsidR="00AE1E36" w:rsidRPr="009756CD">
        <w:rPr>
          <w:sz w:val="20"/>
          <w:lang w:val="es-CR"/>
        </w:rPr>
        <w:t xml:space="preserve"> ha dado de alta ni se le ha permitido dejar el centro hospitalario. No obstante, “cuando abandone el hospital, I.V. deberá enfrentarse de nuevo a la realidad, a su realidad, y creemos que ese será un golpe duro para ella, aún más si todavía tiene </w:t>
      </w:r>
      <w:r w:rsidR="00390730" w:rsidRPr="009756CD">
        <w:rPr>
          <w:sz w:val="20"/>
          <w:lang w:val="es-CR"/>
        </w:rPr>
        <w:t xml:space="preserve">[que] </w:t>
      </w:r>
      <w:r w:rsidR="00AE1E36" w:rsidRPr="009756CD">
        <w:rPr>
          <w:sz w:val="20"/>
          <w:lang w:val="es-CR"/>
        </w:rPr>
        <w:t>lidiar con los hechos tratados en este trámite u otros semejantes”. En tal sentido, solicitó a la Corte que “</w:t>
      </w:r>
      <w:r w:rsidR="00390730" w:rsidRPr="009756CD">
        <w:rPr>
          <w:sz w:val="20"/>
          <w:lang w:val="es-CR"/>
        </w:rPr>
        <w:t>[acelerara]</w:t>
      </w:r>
      <w:r w:rsidR="00AE1E36" w:rsidRPr="009756CD">
        <w:rPr>
          <w:sz w:val="20"/>
          <w:lang w:val="es-CR"/>
        </w:rPr>
        <w:t xml:space="preserve"> lo más que se pueda [la] resolución de la solicitud de medidas provisionales, a fin de que, cualquiera sea el resultado, los profesionales que cuidan de la salud mental de I.V. puedan tomar todos los recaudos necesarios para preparar mejor su salida a la vida cotidiana, si se da el caso”.</w:t>
      </w:r>
    </w:p>
    <w:p w14:paraId="247102F5" w14:textId="77777777" w:rsidR="008F1BC2" w:rsidRPr="009756CD" w:rsidRDefault="008F1BC2" w:rsidP="008F1BC2">
      <w:pPr>
        <w:pStyle w:val="Prrafodelista1"/>
        <w:tabs>
          <w:tab w:val="num" w:pos="0"/>
          <w:tab w:val="num" w:pos="567"/>
        </w:tabs>
        <w:contextualSpacing w:val="0"/>
        <w:jc w:val="both"/>
        <w:rPr>
          <w:sz w:val="20"/>
          <w:lang w:val="es-CR"/>
        </w:rPr>
      </w:pPr>
    </w:p>
    <w:p w14:paraId="1E8B37AA" w14:textId="478BB3A3" w:rsidR="008F1BC2" w:rsidRPr="009756CD" w:rsidRDefault="00590F26" w:rsidP="008F1BC2">
      <w:pPr>
        <w:pStyle w:val="Prrafodelista1"/>
        <w:numPr>
          <w:ilvl w:val="0"/>
          <w:numId w:val="1"/>
        </w:numPr>
        <w:tabs>
          <w:tab w:val="clear" w:pos="360"/>
          <w:tab w:val="num" w:pos="0"/>
          <w:tab w:val="num" w:pos="567"/>
        </w:tabs>
        <w:ind w:left="0" w:firstLine="0"/>
        <w:contextualSpacing w:val="0"/>
        <w:jc w:val="both"/>
        <w:rPr>
          <w:sz w:val="20"/>
          <w:lang w:val="es-CR"/>
        </w:rPr>
      </w:pPr>
      <w:r w:rsidRPr="009756CD">
        <w:rPr>
          <w:rFonts w:eastAsia="MS Mincho"/>
          <w:sz w:val="20"/>
          <w:szCs w:val="20"/>
          <w:lang w:val="es-CR"/>
        </w:rPr>
        <w:t>La</w:t>
      </w:r>
      <w:r w:rsidRPr="009756CD">
        <w:rPr>
          <w:sz w:val="20"/>
          <w:lang w:val="es-CR"/>
        </w:rPr>
        <w:t xml:space="preserve"> nota de la Secretaría de 28 de abril de 2017, mediante la cual, </w:t>
      </w:r>
      <w:r w:rsidR="005436B8" w:rsidRPr="009756CD">
        <w:rPr>
          <w:sz w:val="20"/>
          <w:szCs w:val="20"/>
          <w:lang w:val="es-CR"/>
        </w:rPr>
        <w:t>siguiendo</w:t>
      </w:r>
      <w:r w:rsidRPr="009756CD">
        <w:rPr>
          <w:sz w:val="20"/>
          <w:szCs w:val="20"/>
          <w:lang w:val="es-CR"/>
        </w:rPr>
        <w:t xml:space="preserve"> instrucciones del Presidente de la Corte y con base en el artículo 27.5 del Reglamento del Tribunal, se solicit</w:t>
      </w:r>
      <w:r w:rsidR="005436B8" w:rsidRPr="009756CD">
        <w:rPr>
          <w:sz w:val="20"/>
          <w:szCs w:val="20"/>
          <w:lang w:val="es-CR"/>
        </w:rPr>
        <w:t>ó</w:t>
      </w:r>
      <w:r w:rsidRPr="009756CD">
        <w:rPr>
          <w:sz w:val="20"/>
          <w:szCs w:val="20"/>
          <w:lang w:val="es-CR"/>
        </w:rPr>
        <w:t xml:space="preserve"> a la Comisión Interamericana de Derechos Humanos </w:t>
      </w:r>
      <w:r w:rsidR="002C5D7B" w:rsidRPr="009756CD">
        <w:rPr>
          <w:sz w:val="20"/>
          <w:szCs w:val="20"/>
          <w:lang w:val="es-CR"/>
        </w:rPr>
        <w:t xml:space="preserve">(en adelante “Comisión Interamericana” o “Comisión”) </w:t>
      </w:r>
      <w:r w:rsidRPr="009756CD">
        <w:rPr>
          <w:sz w:val="20"/>
          <w:szCs w:val="20"/>
          <w:lang w:val="es-CR"/>
        </w:rPr>
        <w:t>que remit</w:t>
      </w:r>
      <w:r w:rsidR="005436B8" w:rsidRPr="009756CD">
        <w:rPr>
          <w:sz w:val="20"/>
          <w:szCs w:val="20"/>
          <w:lang w:val="es-CR"/>
        </w:rPr>
        <w:t>ier</w:t>
      </w:r>
      <w:r w:rsidRPr="009756CD">
        <w:rPr>
          <w:sz w:val="20"/>
          <w:szCs w:val="20"/>
          <w:lang w:val="es-CR"/>
        </w:rPr>
        <w:t xml:space="preserve">a las observaciones </w:t>
      </w:r>
      <w:r w:rsidR="005436B8" w:rsidRPr="009756CD">
        <w:rPr>
          <w:sz w:val="20"/>
          <w:szCs w:val="20"/>
          <w:lang w:val="es-CR"/>
        </w:rPr>
        <w:t>que estimara</w:t>
      </w:r>
      <w:r w:rsidRPr="009756CD">
        <w:rPr>
          <w:sz w:val="20"/>
          <w:szCs w:val="20"/>
          <w:lang w:val="es-CR"/>
        </w:rPr>
        <w:t xml:space="preserve"> pertinentes a la solicitud de medidas provisionales sometida por la representante de la víctima en el caso de referencia, al escrito de la </w:t>
      </w:r>
      <w:r w:rsidRPr="009756CD">
        <w:rPr>
          <w:sz w:val="20"/>
          <w:szCs w:val="20"/>
          <w:lang w:val="es-CR"/>
        </w:rPr>
        <w:lastRenderedPageBreak/>
        <w:t>representante de 31 de marzo de 2017, al escrito de observaciones del Estado de 17 de abril de 2017 y al escrito de observaciones de la representante de 27 de abril de 2017, así como cualquier información adicional respecto de la solicitud de referencia, a más tardar el 5 de mayo de 2017.</w:t>
      </w:r>
    </w:p>
    <w:p w14:paraId="231F303D" w14:textId="77777777" w:rsidR="008F1BC2" w:rsidRPr="009756CD" w:rsidRDefault="008F1BC2" w:rsidP="008F1BC2">
      <w:pPr>
        <w:pStyle w:val="Prrafodelista1"/>
        <w:tabs>
          <w:tab w:val="num" w:pos="0"/>
          <w:tab w:val="num" w:pos="567"/>
        </w:tabs>
        <w:contextualSpacing w:val="0"/>
        <w:jc w:val="both"/>
        <w:rPr>
          <w:sz w:val="20"/>
          <w:lang w:val="es-CR"/>
        </w:rPr>
      </w:pPr>
    </w:p>
    <w:p w14:paraId="7E8A6262" w14:textId="452CCBA1" w:rsidR="008F1BC2" w:rsidRPr="009756CD" w:rsidRDefault="008F1BC2" w:rsidP="008F1BC2">
      <w:pPr>
        <w:pStyle w:val="Prrafodelista1"/>
        <w:numPr>
          <w:ilvl w:val="0"/>
          <w:numId w:val="1"/>
        </w:numPr>
        <w:tabs>
          <w:tab w:val="clear" w:pos="360"/>
          <w:tab w:val="num" w:pos="0"/>
          <w:tab w:val="num" w:pos="567"/>
        </w:tabs>
        <w:ind w:left="0" w:firstLine="0"/>
        <w:contextualSpacing w:val="0"/>
        <w:jc w:val="both"/>
        <w:rPr>
          <w:sz w:val="20"/>
          <w:lang w:val="es-CR"/>
        </w:rPr>
      </w:pPr>
      <w:r w:rsidRPr="009756CD">
        <w:rPr>
          <w:sz w:val="20"/>
          <w:lang w:val="es-CR"/>
        </w:rPr>
        <w:t>La comunicación de 15 de mayo de 2017, mediante la cual la Comisión presentó sus ob</w:t>
      </w:r>
      <w:r w:rsidR="00012A5D" w:rsidRPr="009756CD">
        <w:rPr>
          <w:sz w:val="20"/>
          <w:lang w:val="es-CR"/>
        </w:rPr>
        <w:t xml:space="preserve">servaciones y manifestó que </w:t>
      </w:r>
      <w:r w:rsidR="00557800" w:rsidRPr="009756CD">
        <w:rPr>
          <w:sz w:val="20"/>
          <w:lang w:val="es-CR"/>
        </w:rPr>
        <w:t>la naturaleza de la condición clíni</w:t>
      </w:r>
      <w:r w:rsidR="00CB2DC9">
        <w:rPr>
          <w:sz w:val="20"/>
          <w:lang w:val="es-CR"/>
        </w:rPr>
        <w:t>ca que presenta la víctima requ</w:t>
      </w:r>
      <w:r w:rsidR="00557800" w:rsidRPr="009756CD">
        <w:rPr>
          <w:sz w:val="20"/>
          <w:lang w:val="es-CR"/>
        </w:rPr>
        <w:t>e</w:t>
      </w:r>
      <w:r w:rsidR="00CB2DC9">
        <w:rPr>
          <w:sz w:val="20"/>
          <w:lang w:val="es-CR"/>
        </w:rPr>
        <w:t>ría</w:t>
      </w:r>
      <w:r w:rsidR="00557800" w:rsidRPr="009756CD">
        <w:rPr>
          <w:sz w:val="20"/>
          <w:lang w:val="es-CR"/>
        </w:rPr>
        <w:t xml:space="preserve"> de un enfoque integral que t</w:t>
      </w:r>
      <w:r w:rsidR="00C1762A">
        <w:rPr>
          <w:sz w:val="20"/>
          <w:lang w:val="es-CR"/>
        </w:rPr>
        <w:t>uviera</w:t>
      </w:r>
      <w:r w:rsidR="00557800" w:rsidRPr="009756CD">
        <w:rPr>
          <w:sz w:val="20"/>
          <w:lang w:val="es-CR"/>
        </w:rPr>
        <w:t xml:space="preserve"> en cuenta las particularidades relativas a la atención de salud mental requerida para su tipo de diagnóstico, de modo tal que la señora I.V. pueda ser atendida por profesionales de la salud que cuenten con su confianza y conozcan debidamente todos sus antecedentes. En esta línea, la Comisión hizo hincapié en que e</w:t>
      </w:r>
      <w:r w:rsidR="007647D6" w:rsidRPr="009756CD">
        <w:rPr>
          <w:sz w:val="20"/>
          <w:lang w:val="es-CR"/>
        </w:rPr>
        <w:t>ra</w:t>
      </w:r>
      <w:r w:rsidR="00557800" w:rsidRPr="009756CD">
        <w:rPr>
          <w:sz w:val="20"/>
          <w:lang w:val="es-CR"/>
        </w:rPr>
        <w:t xml:space="preserve"> necesario que la Corte emit</w:t>
      </w:r>
      <w:r w:rsidR="007647D6" w:rsidRPr="009756CD">
        <w:rPr>
          <w:sz w:val="20"/>
          <w:lang w:val="es-CR"/>
        </w:rPr>
        <w:t>iera</w:t>
      </w:r>
      <w:r w:rsidR="00557800" w:rsidRPr="009756CD">
        <w:rPr>
          <w:sz w:val="20"/>
          <w:lang w:val="es-CR"/>
        </w:rPr>
        <w:t xml:space="preserve"> a la mayor brevedad un pronunciamiento sobre la modalidad de cumplimiento de la reparación relacionada con la atención a la salud mental de la señora I.V., teniendo en cuenta su situación actual. En cuanto a los supuestos hechos de llamadas y seguimientos, que habría sufrido </w:t>
      </w:r>
      <w:r w:rsidR="00626221">
        <w:rPr>
          <w:sz w:val="20"/>
          <w:lang w:val="es-CR"/>
        </w:rPr>
        <w:t>l</w:t>
      </w:r>
      <w:r w:rsidR="00557800" w:rsidRPr="009756CD">
        <w:rPr>
          <w:sz w:val="20"/>
          <w:lang w:val="es-CR"/>
        </w:rPr>
        <w:t>a señora I.V., la Comisión recordó el deber del Estado de protección respecto a las personas que se encuentren bajo su jurisdicción.</w:t>
      </w:r>
    </w:p>
    <w:p w14:paraId="5CCB3B16" w14:textId="77777777" w:rsidR="008B6B6E" w:rsidRPr="009756CD" w:rsidRDefault="008B6B6E" w:rsidP="008B6B6E">
      <w:pPr>
        <w:pStyle w:val="Prrafodelista1"/>
        <w:contextualSpacing w:val="0"/>
        <w:jc w:val="both"/>
        <w:rPr>
          <w:sz w:val="20"/>
          <w:lang w:val="es-CR"/>
        </w:rPr>
      </w:pPr>
    </w:p>
    <w:p w14:paraId="02B9CFD3" w14:textId="77777777" w:rsidR="00271B93" w:rsidRPr="009756CD" w:rsidRDefault="00271B93" w:rsidP="008B6B6E">
      <w:pPr>
        <w:pStyle w:val="Prrafodelista1"/>
        <w:contextualSpacing w:val="0"/>
        <w:jc w:val="both"/>
        <w:rPr>
          <w:sz w:val="20"/>
          <w:lang w:val="es-CR"/>
        </w:rPr>
      </w:pPr>
    </w:p>
    <w:p w14:paraId="2C4F2FFD" w14:textId="427D0BF9" w:rsidR="005456A5" w:rsidRPr="009756CD" w:rsidRDefault="008B6B6E" w:rsidP="008B6B6E">
      <w:pPr>
        <w:tabs>
          <w:tab w:val="left" w:pos="567"/>
        </w:tabs>
        <w:spacing w:after="0" w:line="240" w:lineRule="auto"/>
        <w:jc w:val="both"/>
        <w:rPr>
          <w:rFonts w:ascii="Verdana" w:hAnsi="Verdana"/>
          <w:b/>
          <w:sz w:val="20"/>
          <w:lang w:val="es-CR"/>
        </w:rPr>
      </w:pPr>
      <w:r w:rsidRPr="009756CD">
        <w:rPr>
          <w:rFonts w:ascii="Verdana" w:hAnsi="Verdana"/>
          <w:b/>
          <w:sz w:val="20"/>
          <w:lang w:val="es-CR"/>
        </w:rPr>
        <w:t>CONSIDERANDO QUE:</w:t>
      </w:r>
    </w:p>
    <w:p w14:paraId="5241155D" w14:textId="77777777" w:rsidR="008B6B6E" w:rsidRDefault="008B6B6E" w:rsidP="008B6B6E">
      <w:pPr>
        <w:tabs>
          <w:tab w:val="left" w:pos="567"/>
        </w:tabs>
        <w:spacing w:after="0" w:line="240" w:lineRule="auto"/>
        <w:jc w:val="both"/>
        <w:rPr>
          <w:rFonts w:ascii="Verdana" w:hAnsi="Verdana"/>
          <w:b/>
          <w:sz w:val="20"/>
          <w:lang w:val="es-CR"/>
        </w:rPr>
      </w:pPr>
    </w:p>
    <w:p w14:paraId="7825E505" w14:textId="77777777" w:rsidR="00491FFA" w:rsidRPr="009756CD" w:rsidRDefault="00491FFA" w:rsidP="008B6B6E">
      <w:pPr>
        <w:tabs>
          <w:tab w:val="left" w:pos="567"/>
        </w:tabs>
        <w:spacing w:after="0" w:line="240" w:lineRule="auto"/>
        <w:jc w:val="both"/>
        <w:rPr>
          <w:rFonts w:ascii="Verdana" w:hAnsi="Verdana"/>
          <w:b/>
          <w:sz w:val="20"/>
          <w:lang w:val="es-CR"/>
        </w:rPr>
      </w:pPr>
    </w:p>
    <w:p w14:paraId="2F626D8A" w14:textId="6600FEDD" w:rsidR="009947AE" w:rsidRPr="009756CD" w:rsidRDefault="009947AE" w:rsidP="00C339EB">
      <w:pPr>
        <w:pStyle w:val="Prrafodelista1"/>
        <w:numPr>
          <w:ilvl w:val="0"/>
          <w:numId w:val="17"/>
        </w:numPr>
        <w:tabs>
          <w:tab w:val="clear" w:pos="360"/>
          <w:tab w:val="num" w:pos="0"/>
          <w:tab w:val="num" w:pos="567"/>
        </w:tabs>
        <w:ind w:left="0" w:firstLine="0"/>
        <w:contextualSpacing w:val="0"/>
        <w:jc w:val="both"/>
        <w:rPr>
          <w:sz w:val="20"/>
          <w:szCs w:val="20"/>
          <w:lang w:val="es-CR"/>
        </w:rPr>
      </w:pPr>
      <w:r w:rsidRPr="009756CD">
        <w:rPr>
          <w:sz w:val="20"/>
          <w:lang w:val="es-CR"/>
        </w:rPr>
        <w:t xml:space="preserve">La Corte emitió Sentencia en el caso </w:t>
      </w:r>
      <w:r w:rsidRPr="009756CD">
        <w:rPr>
          <w:i/>
          <w:sz w:val="20"/>
          <w:lang w:val="es-CR"/>
        </w:rPr>
        <w:t>I</w:t>
      </w:r>
      <w:r w:rsidR="000D6114" w:rsidRPr="009756CD">
        <w:rPr>
          <w:i/>
          <w:sz w:val="20"/>
          <w:lang w:val="es-CR"/>
        </w:rPr>
        <w:t>.</w:t>
      </w:r>
      <w:r w:rsidRPr="009756CD">
        <w:rPr>
          <w:i/>
          <w:sz w:val="20"/>
          <w:lang w:val="es-CR"/>
        </w:rPr>
        <w:t>V. Vs. Bolivia</w:t>
      </w:r>
      <w:r w:rsidRPr="009756CD">
        <w:rPr>
          <w:sz w:val="20"/>
          <w:lang w:val="es-CR"/>
        </w:rPr>
        <w:t xml:space="preserve"> el 30 de noviembre de 2016</w:t>
      </w:r>
      <w:r w:rsidR="00CC607D" w:rsidRPr="009756CD">
        <w:rPr>
          <w:sz w:val="20"/>
          <w:lang w:val="es-CR"/>
        </w:rPr>
        <w:t xml:space="preserve"> (</w:t>
      </w:r>
      <w:r w:rsidR="00CC607D" w:rsidRPr="009756CD">
        <w:rPr>
          <w:i/>
          <w:sz w:val="20"/>
          <w:lang w:val="es-CR"/>
        </w:rPr>
        <w:t xml:space="preserve">supra </w:t>
      </w:r>
      <w:r w:rsidR="00CC607D" w:rsidRPr="009756CD">
        <w:rPr>
          <w:sz w:val="20"/>
          <w:lang w:val="es-CR"/>
        </w:rPr>
        <w:t>Visto 1)</w:t>
      </w:r>
      <w:r w:rsidRPr="009756CD">
        <w:rPr>
          <w:sz w:val="20"/>
          <w:lang w:val="es-CR"/>
        </w:rPr>
        <w:t>.</w:t>
      </w:r>
    </w:p>
    <w:p w14:paraId="25DD7CAF" w14:textId="77777777" w:rsidR="008B6B6E" w:rsidRPr="009756CD" w:rsidRDefault="008B6B6E" w:rsidP="008B6B6E">
      <w:pPr>
        <w:pStyle w:val="Prrafodelista1"/>
        <w:contextualSpacing w:val="0"/>
        <w:jc w:val="both"/>
        <w:rPr>
          <w:sz w:val="20"/>
          <w:szCs w:val="20"/>
          <w:lang w:val="es-CR"/>
        </w:rPr>
      </w:pPr>
    </w:p>
    <w:p w14:paraId="56C47169" w14:textId="6FCD9D4D" w:rsidR="009B6BD5" w:rsidRPr="009756CD" w:rsidRDefault="005456A5" w:rsidP="00C339EB">
      <w:pPr>
        <w:pStyle w:val="Prrafodelista1"/>
        <w:numPr>
          <w:ilvl w:val="0"/>
          <w:numId w:val="17"/>
        </w:numPr>
        <w:tabs>
          <w:tab w:val="clear" w:pos="360"/>
          <w:tab w:val="num" w:pos="0"/>
          <w:tab w:val="num" w:pos="567"/>
        </w:tabs>
        <w:ind w:left="0" w:firstLine="0"/>
        <w:contextualSpacing w:val="0"/>
        <w:jc w:val="both"/>
        <w:rPr>
          <w:sz w:val="20"/>
          <w:lang w:val="es-CR"/>
        </w:rPr>
      </w:pPr>
      <w:r w:rsidRPr="009756CD">
        <w:rPr>
          <w:sz w:val="20"/>
          <w:lang w:val="es-CR"/>
        </w:rPr>
        <w:t xml:space="preserve">El artículo 63.2 de la Convención establece que </w:t>
      </w:r>
      <w:r w:rsidRPr="009756CD">
        <w:rPr>
          <w:i/>
          <w:sz w:val="20"/>
          <w:lang w:val="es-CR"/>
        </w:rPr>
        <w:t>“</w:t>
      </w:r>
      <w:r w:rsidRPr="009756CD">
        <w:rPr>
          <w:sz w:val="20"/>
          <w:lang w:val="es-CR"/>
        </w:rPr>
        <w:t>[e]n casos de extrema gravedad y urgencia, y cuando se haga necesario evitar daños irreparables a las personas</w:t>
      </w:r>
      <w:r w:rsidR="00D20385" w:rsidRPr="009756CD">
        <w:rPr>
          <w:sz w:val="20"/>
          <w:lang w:val="es-CR"/>
        </w:rPr>
        <w:t>, la Corte, en los asuntos que esté conociendo, podrá tomar las medidas provisionales que considere pertinentes”</w:t>
      </w:r>
      <w:r w:rsidRPr="009756CD">
        <w:rPr>
          <w:sz w:val="20"/>
          <w:lang w:val="es-CR"/>
        </w:rPr>
        <w:t>.</w:t>
      </w:r>
      <w:r w:rsidR="009B6BD5" w:rsidRPr="009756CD">
        <w:rPr>
          <w:sz w:val="20"/>
          <w:lang w:val="es-CR"/>
        </w:rPr>
        <w:t xml:space="preserve"> Asimismo, el artículo 27.</w:t>
      </w:r>
      <w:r w:rsidR="00D20385" w:rsidRPr="009756CD">
        <w:rPr>
          <w:sz w:val="20"/>
          <w:lang w:val="es-CR"/>
        </w:rPr>
        <w:t>3</w:t>
      </w:r>
      <w:r w:rsidR="009B6BD5" w:rsidRPr="009756CD">
        <w:rPr>
          <w:sz w:val="20"/>
          <w:lang w:val="es-CR"/>
        </w:rPr>
        <w:t xml:space="preserve"> del Reglamento de la Corte señala que: “</w:t>
      </w:r>
      <w:r w:rsidR="00D20385" w:rsidRPr="009756CD">
        <w:rPr>
          <w:sz w:val="20"/>
          <w:lang w:val="es-CR"/>
        </w:rPr>
        <w:t>[e]n los casos contenciosos que se encuentren en conocimiento de la Corte, las víctimas o las presuntas víctimas, o sus representantes, podrán presentar directamente a ésta una solicitud de medidas provisionales, las que deberán tener relación con el objeto del caso</w:t>
      </w:r>
      <w:r w:rsidR="009B6BD5" w:rsidRPr="009756CD">
        <w:rPr>
          <w:sz w:val="20"/>
          <w:lang w:val="es-CR"/>
        </w:rPr>
        <w:t>”.</w:t>
      </w:r>
    </w:p>
    <w:p w14:paraId="3D050EA1" w14:textId="77777777" w:rsidR="008B6B6E" w:rsidRPr="009756CD" w:rsidRDefault="008B6B6E" w:rsidP="008B6B6E">
      <w:pPr>
        <w:pStyle w:val="Prrafodelista1"/>
        <w:contextualSpacing w:val="0"/>
        <w:jc w:val="both"/>
        <w:rPr>
          <w:sz w:val="20"/>
          <w:lang w:val="es-CR"/>
        </w:rPr>
      </w:pPr>
    </w:p>
    <w:p w14:paraId="5C954C6E" w14:textId="77777777" w:rsidR="00253FEA" w:rsidRPr="009756CD" w:rsidRDefault="00253FEA" w:rsidP="00C339EB">
      <w:pPr>
        <w:pStyle w:val="Prrafodelista1"/>
        <w:numPr>
          <w:ilvl w:val="0"/>
          <w:numId w:val="17"/>
        </w:numPr>
        <w:tabs>
          <w:tab w:val="clear" w:pos="360"/>
          <w:tab w:val="num" w:pos="0"/>
          <w:tab w:val="num" w:pos="567"/>
        </w:tabs>
        <w:ind w:left="0" w:firstLine="0"/>
        <w:contextualSpacing w:val="0"/>
        <w:jc w:val="both"/>
        <w:rPr>
          <w:sz w:val="20"/>
          <w:lang w:val="es-CR"/>
        </w:rPr>
      </w:pPr>
      <w:r w:rsidRPr="009756CD">
        <w:rPr>
          <w:sz w:val="20"/>
          <w:lang w:val="es-CR"/>
        </w:rPr>
        <w:t>En el Derecho Internacional de los Derechos Humanos las medidas provisionales tienen un carácter no sólo cautelar, en el sentido de que preservan una situación jurídica, sino fundamentalmente tutelar, por cuanto protegen derechos humanos, en tanto que buscan evitar daños irreparables a las personas. Éstas se aplican siempre y cuando se reúnan los requisitos básicos de extrema gravedad y urgencia y de la prevención de daños irreparables a las personas. De esta manera, las medidas provisionales se transforman en una verdadera garantía jurisdiccional de carácter preventivo</w:t>
      </w:r>
      <w:r w:rsidRPr="009756CD">
        <w:rPr>
          <w:rStyle w:val="FootnoteReference"/>
          <w:sz w:val="20"/>
          <w:lang w:val="es-CR"/>
        </w:rPr>
        <w:footnoteReference w:id="2"/>
      </w:r>
      <w:r w:rsidRPr="009756CD">
        <w:rPr>
          <w:sz w:val="20"/>
          <w:lang w:val="es-CR"/>
        </w:rPr>
        <w:t>.</w:t>
      </w:r>
    </w:p>
    <w:p w14:paraId="66A2038E" w14:textId="77777777" w:rsidR="00253FEA" w:rsidRPr="009756CD" w:rsidRDefault="00253FEA" w:rsidP="00253FEA">
      <w:pPr>
        <w:pStyle w:val="Prrafodelista1"/>
        <w:contextualSpacing w:val="0"/>
        <w:jc w:val="both"/>
        <w:rPr>
          <w:sz w:val="20"/>
          <w:lang w:val="es-CR"/>
        </w:rPr>
      </w:pPr>
    </w:p>
    <w:p w14:paraId="2C769FEE" w14:textId="65CE9CB0" w:rsidR="004023F4" w:rsidRPr="009756CD" w:rsidRDefault="004023F4" w:rsidP="00C339EB">
      <w:pPr>
        <w:pStyle w:val="Prrafodelista1"/>
        <w:numPr>
          <w:ilvl w:val="0"/>
          <w:numId w:val="17"/>
        </w:numPr>
        <w:tabs>
          <w:tab w:val="clear" w:pos="360"/>
          <w:tab w:val="num" w:pos="0"/>
          <w:tab w:val="num" w:pos="567"/>
        </w:tabs>
        <w:ind w:left="0" w:firstLine="0"/>
        <w:contextualSpacing w:val="0"/>
        <w:jc w:val="both"/>
        <w:rPr>
          <w:sz w:val="20"/>
          <w:lang w:val="es-CR"/>
        </w:rPr>
      </w:pPr>
      <w:r w:rsidRPr="009756CD">
        <w:rPr>
          <w:sz w:val="20"/>
          <w:lang w:val="es-CR"/>
        </w:rPr>
        <w:t>El Tribunal ha señalado que las medidas provisionales tienen dos caracteres: uno cautelar y otro tutelar</w:t>
      </w:r>
      <w:bookmarkStart w:id="1" w:name="_Ref233544593"/>
      <w:r w:rsidRPr="009756CD">
        <w:rPr>
          <w:sz w:val="20"/>
          <w:vertAlign w:val="superscript"/>
          <w:lang w:val="es-CR"/>
        </w:rPr>
        <w:footnoteReference w:id="3"/>
      </w:r>
      <w:bookmarkEnd w:id="1"/>
      <w:r w:rsidRPr="009756CD">
        <w:rPr>
          <w:sz w:val="20"/>
          <w:lang w:val="es-CR"/>
        </w:rPr>
        <w:t xml:space="preserve">. El carácter cautelar de las medidas provisionales está vinculado al marco de los contenciosos internacionales. En tal sentido, estas medidas tienen por objeto y fin preservar los derechos en posible riesgo hasta tanto no se resuelva la controversia. Su objeto y fin son los de asegurar la integridad y la efectividad de la decisión de fondo, y de esta manera evitar que se lesionen los derechos en litigio, situación que podría hacer inocua o desvirtuar el efecto útil de la </w:t>
      </w:r>
      <w:r w:rsidRPr="009756CD">
        <w:rPr>
          <w:sz w:val="20"/>
          <w:lang w:val="es-CR"/>
        </w:rPr>
        <w:lastRenderedPageBreak/>
        <w:t>decisión final. Las medidas provisionales permiten así que el Estado en cuestión pueda cumplir la decisión final y, en su caso, proceder a las reparaciones ordenadas</w:t>
      </w:r>
      <w:bookmarkStart w:id="2" w:name="_Ref233544350"/>
      <w:r w:rsidRPr="009756CD">
        <w:rPr>
          <w:sz w:val="20"/>
          <w:vertAlign w:val="superscript"/>
          <w:lang w:val="es-CR"/>
        </w:rPr>
        <w:footnoteReference w:id="4"/>
      </w:r>
      <w:bookmarkEnd w:id="2"/>
      <w:r w:rsidRPr="009756CD">
        <w:rPr>
          <w:sz w:val="20"/>
          <w:lang w:val="es-CR"/>
        </w:rPr>
        <w:t>. En cuanto al carácter tutelar de las medidas provisionales esta Corte ha señalado que las medidas provisionales se transforman en una verdadera garantía jurisdiccional de carácter preventivo, por cuanto protegen derechos humanos, en la medida en que buscan evitar daños irreparables a las personas</w:t>
      </w:r>
      <w:r w:rsidRPr="009756CD">
        <w:rPr>
          <w:sz w:val="20"/>
          <w:vertAlign w:val="superscript"/>
          <w:lang w:val="es-CR"/>
        </w:rPr>
        <w:footnoteReference w:id="5"/>
      </w:r>
      <w:r w:rsidRPr="009756CD">
        <w:rPr>
          <w:sz w:val="20"/>
          <w:lang w:val="es-CR"/>
        </w:rPr>
        <w:t>.</w:t>
      </w:r>
    </w:p>
    <w:p w14:paraId="31C7CE71" w14:textId="77777777" w:rsidR="004023F4" w:rsidRPr="009756CD" w:rsidRDefault="004023F4" w:rsidP="004023F4">
      <w:pPr>
        <w:pStyle w:val="Prrafodelista1"/>
        <w:tabs>
          <w:tab w:val="num" w:pos="567"/>
        </w:tabs>
        <w:contextualSpacing w:val="0"/>
        <w:jc w:val="both"/>
        <w:rPr>
          <w:sz w:val="20"/>
          <w:lang w:val="es-CR"/>
        </w:rPr>
      </w:pPr>
    </w:p>
    <w:p w14:paraId="5DE22DF9" w14:textId="1C2D5172" w:rsidR="004023F4" w:rsidRPr="009756CD" w:rsidRDefault="004023F4" w:rsidP="00C339EB">
      <w:pPr>
        <w:pStyle w:val="Prrafodelista1"/>
        <w:numPr>
          <w:ilvl w:val="0"/>
          <w:numId w:val="17"/>
        </w:numPr>
        <w:tabs>
          <w:tab w:val="clear" w:pos="360"/>
          <w:tab w:val="num" w:pos="0"/>
          <w:tab w:val="num" w:pos="567"/>
        </w:tabs>
        <w:ind w:left="0" w:firstLine="0"/>
        <w:contextualSpacing w:val="0"/>
        <w:jc w:val="both"/>
        <w:rPr>
          <w:rFonts w:eastAsia="Times"/>
          <w:sz w:val="20"/>
          <w:szCs w:val="20"/>
          <w:lang w:val="es-CR" w:eastAsia="es-ES"/>
        </w:rPr>
      </w:pPr>
      <w:r w:rsidRPr="009756CD">
        <w:rPr>
          <w:rFonts w:eastAsia="Times"/>
          <w:sz w:val="20"/>
          <w:szCs w:val="20"/>
          <w:lang w:val="es-CR" w:eastAsia="es-ES"/>
        </w:rPr>
        <w:t xml:space="preserve">La </w:t>
      </w:r>
      <w:r w:rsidRPr="00C339EB">
        <w:rPr>
          <w:sz w:val="20"/>
          <w:lang w:val="es-CR"/>
        </w:rPr>
        <w:t>presente</w:t>
      </w:r>
      <w:r w:rsidRPr="009756CD">
        <w:rPr>
          <w:rFonts w:eastAsia="Times"/>
          <w:sz w:val="20"/>
          <w:szCs w:val="20"/>
          <w:lang w:val="es-CR" w:eastAsia="es-ES"/>
        </w:rPr>
        <w:t xml:space="preserve"> solicitud de medidas provisionales fue presentada por la representante de la víctima en un caso en </w:t>
      </w:r>
      <w:r w:rsidRPr="009756CD">
        <w:rPr>
          <w:sz w:val="20"/>
          <w:lang w:val="es-CR"/>
        </w:rPr>
        <w:t>conocimiento</w:t>
      </w:r>
      <w:r w:rsidRPr="009756CD">
        <w:rPr>
          <w:rFonts w:eastAsia="Times"/>
          <w:sz w:val="20"/>
          <w:szCs w:val="20"/>
          <w:lang w:val="es-CR" w:eastAsia="es-ES"/>
        </w:rPr>
        <w:t xml:space="preserve"> de la Corte, el cual se encuentra actualmente en etapa de supervisión de cumplimiento de la Sentencia. </w:t>
      </w:r>
      <w:r w:rsidR="005A6DF6" w:rsidRPr="009756CD">
        <w:rPr>
          <w:rFonts w:eastAsia="Times"/>
          <w:sz w:val="20"/>
          <w:szCs w:val="20"/>
          <w:lang w:val="es-CR" w:eastAsia="es-ES"/>
        </w:rPr>
        <w:t>A continuación, la Corte procederá a examinar los argumentos esgrimidos.</w:t>
      </w:r>
    </w:p>
    <w:p w14:paraId="437D83A3" w14:textId="77777777" w:rsidR="004023F4" w:rsidRPr="009756CD" w:rsidRDefault="004023F4" w:rsidP="00253FEA">
      <w:pPr>
        <w:pStyle w:val="Prrafodelista1"/>
        <w:contextualSpacing w:val="0"/>
        <w:jc w:val="both"/>
        <w:rPr>
          <w:sz w:val="20"/>
          <w:lang w:val="es-CR"/>
        </w:rPr>
      </w:pPr>
    </w:p>
    <w:p w14:paraId="56530F4A" w14:textId="646D69A1" w:rsidR="00EC75BE" w:rsidRPr="009756CD" w:rsidRDefault="00EC75BE" w:rsidP="00EC75BE">
      <w:pPr>
        <w:pStyle w:val="Prrafodelista1"/>
        <w:numPr>
          <w:ilvl w:val="0"/>
          <w:numId w:val="13"/>
        </w:numPr>
        <w:ind w:hanging="501"/>
        <w:contextualSpacing w:val="0"/>
        <w:jc w:val="both"/>
        <w:rPr>
          <w:b/>
          <w:i/>
          <w:sz w:val="20"/>
          <w:szCs w:val="20"/>
          <w:lang w:val="es-CR"/>
        </w:rPr>
      </w:pPr>
      <w:r w:rsidRPr="009756CD">
        <w:rPr>
          <w:b/>
          <w:i/>
          <w:sz w:val="20"/>
          <w:szCs w:val="20"/>
          <w:lang w:val="es-CR"/>
        </w:rPr>
        <w:t xml:space="preserve">Sobre </w:t>
      </w:r>
      <w:r w:rsidR="001B01EC" w:rsidRPr="009756CD">
        <w:rPr>
          <w:b/>
          <w:i/>
          <w:sz w:val="20"/>
          <w:szCs w:val="20"/>
          <w:lang w:val="es-CR"/>
        </w:rPr>
        <w:t xml:space="preserve">la </w:t>
      </w:r>
      <w:r w:rsidR="00317B9A" w:rsidRPr="009756CD">
        <w:rPr>
          <w:b/>
          <w:i/>
          <w:sz w:val="20"/>
          <w:szCs w:val="20"/>
          <w:lang w:val="es-CR"/>
        </w:rPr>
        <w:t>solicitud de medidas provisionales</w:t>
      </w:r>
    </w:p>
    <w:p w14:paraId="4B7E7182" w14:textId="77777777" w:rsidR="00EC75BE" w:rsidRPr="009756CD" w:rsidRDefault="00EC75BE" w:rsidP="00253FEA">
      <w:pPr>
        <w:pStyle w:val="Prrafodelista1"/>
        <w:contextualSpacing w:val="0"/>
        <w:jc w:val="both"/>
        <w:rPr>
          <w:sz w:val="20"/>
          <w:szCs w:val="20"/>
          <w:lang w:val="es-CR"/>
        </w:rPr>
      </w:pPr>
    </w:p>
    <w:p w14:paraId="1CDDF203" w14:textId="519AAF4C" w:rsidR="0066181C" w:rsidRPr="009756CD" w:rsidRDefault="0066181C" w:rsidP="00C339EB">
      <w:pPr>
        <w:pStyle w:val="Prrafodelista1"/>
        <w:numPr>
          <w:ilvl w:val="0"/>
          <w:numId w:val="17"/>
        </w:numPr>
        <w:tabs>
          <w:tab w:val="clear" w:pos="360"/>
          <w:tab w:val="num" w:pos="0"/>
          <w:tab w:val="num" w:pos="567"/>
        </w:tabs>
        <w:ind w:left="0" w:firstLine="0"/>
        <w:contextualSpacing w:val="0"/>
        <w:jc w:val="both"/>
        <w:rPr>
          <w:bCs/>
          <w:sz w:val="20"/>
          <w:szCs w:val="20"/>
          <w:lang w:val="es-CR"/>
        </w:rPr>
      </w:pPr>
      <w:r w:rsidRPr="009756CD">
        <w:rPr>
          <w:sz w:val="20"/>
          <w:szCs w:val="20"/>
          <w:lang w:val="es-CR"/>
        </w:rPr>
        <w:t xml:space="preserve">El artículo </w:t>
      </w:r>
      <w:r w:rsidRPr="00C339EB">
        <w:rPr>
          <w:sz w:val="20"/>
          <w:lang w:val="es-CR"/>
        </w:rPr>
        <w:t>63</w:t>
      </w:r>
      <w:r w:rsidRPr="009756CD">
        <w:rPr>
          <w:sz w:val="20"/>
          <w:szCs w:val="20"/>
          <w:lang w:val="es-CR"/>
        </w:rPr>
        <w:t>.2 de la Convención exige que para que la Corte pueda disponer de medidas provisionales deben concurrir tres condiciones: i) “extrema gravedad”; ii) “urgencia”, y iii) que se trate de “evitar daños irreparables a las personas”.</w:t>
      </w:r>
      <w:r w:rsidR="00254ED8" w:rsidRPr="009756CD">
        <w:rPr>
          <w:sz w:val="20"/>
          <w:szCs w:val="20"/>
          <w:lang w:val="es-CR"/>
        </w:rPr>
        <w:t xml:space="preserve"> E</w:t>
      </w:r>
      <w:r w:rsidR="00254ED8" w:rsidRPr="009756CD">
        <w:rPr>
          <w:bCs/>
          <w:sz w:val="20"/>
          <w:szCs w:val="20"/>
          <w:lang w:val="es-CR"/>
        </w:rPr>
        <w:t>l Tribunal ya ha señalado que, c</w:t>
      </w:r>
      <w:r w:rsidR="00254ED8" w:rsidRPr="009756CD">
        <w:rPr>
          <w:sz w:val="20"/>
          <w:szCs w:val="20"/>
          <w:lang w:val="es-CR"/>
        </w:rPr>
        <w:t xml:space="preserve">onforme a la Convención y al Reglamento, la carga procesal de demostrar </w:t>
      </w:r>
      <w:r w:rsidR="00254ED8" w:rsidRPr="009756CD">
        <w:rPr>
          <w:i/>
          <w:sz w:val="20"/>
          <w:szCs w:val="20"/>
          <w:lang w:val="es-CR"/>
        </w:rPr>
        <w:t>prima facie</w:t>
      </w:r>
      <w:r w:rsidR="00254ED8" w:rsidRPr="009756CD">
        <w:rPr>
          <w:sz w:val="20"/>
          <w:szCs w:val="20"/>
          <w:lang w:val="es-CR"/>
        </w:rPr>
        <w:t xml:space="preserve"> dichos requisitos recae en el solicitante</w:t>
      </w:r>
      <w:r w:rsidR="00254ED8" w:rsidRPr="009756CD">
        <w:rPr>
          <w:sz w:val="20"/>
          <w:szCs w:val="20"/>
          <w:vertAlign w:val="superscript"/>
          <w:lang w:val="es-CR"/>
        </w:rPr>
        <w:footnoteReference w:id="6"/>
      </w:r>
      <w:r w:rsidR="00254ED8" w:rsidRPr="009756CD">
        <w:rPr>
          <w:sz w:val="20"/>
          <w:szCs w:val="20"/>
          <w:lang w:val="es-CR"/>
        </w:rPr>
        <w:t>.</w:t>
      </w:r>
      <w:r w:rsidR="00DA388A" w:rsidRPr="009756CD">
        <w:rPr>
          <w:sz w:val="20"/>
          <w:szCs w:val="20"/>
          <w:lang w:val="es-CR"/>
        </w:rPr>
        <w:t xml:space="preserve"> En cuanto a la gravedad, para efectos de la adopción de medidas provisionales, la Convención requiere que aquélla sea “extrema”, es decir, que se encuentre en su grado más intenso o elevado. El carácter urgente implica que el riesgo o amenaza involucrados sean inminentes, lo cual requiere que la respuesta para remediarlos sea inmediata. Finalmente, en cuanto al daño, debe existir una probabilidad razonable de que se materialice y no debe recaer en bienes o intereses jurídicos que puedan ser reparables</w:t>
      </w:r>
      <w:r w:rsidR="00DA388A" w:rsidRPr="009756CD">
        <w:rPr>
          <w:sz w:val="20"/>
          <w:szCs w:val="20"/>
          <w:vertAlign w:val="superscript"/>
          <w:lang w:val="es-CR"/>
        </w:rPr>
        <w:footnoteReference w:id="7"/>
      </w:r>
      <w:r w:rsidR="00DA388A" w:rsidRPr="009756CD">
        <w:rPr>
          <w:sz w:val="20"/>
          <w:szCs w:val="20"/>
          <w:lang w:val="es-CR"/>
        </w:rPr>
        <w:t>.</w:t>
      </w:r>
      <w:r w:rsidRPr="009756CD">
        <w:rPr>
          <w:sz w:val="20"/>
          <w:szCs w:val="20"/>
          <w:lang w:val="es-CR"/>
        </w:rPr>
        <w:t xml:space="preserve"> La Corte reitera </w:t>
      </w:r>
      <w:r w:rsidRPr="009756CD">
        <w:rPr>
          <w:rFonts w:eastAsia="Times"/>
          <w:sz w:val="20"/>
          <w:szCs w:val="20"/>
          <w:lang w:val="es-CR" w:eastAsia="es-ES"/>
        </w:rPr>
        <w:t>que</w:t>
      </w:r>
      <w:r w:rsidRPr="009756CD">
        <w:rPr>
          <w:sz w:val="20"/>
          <w:szCs w:val="20"/>
          <w:lang w:val="es-CR"/>
        </w:rPr>
        <w:t xml:space="preserve"> las tres condiciones exigidas por el artículo 63.2 de la Convención para que pueda disponer de medidas provisionales deben </w:t>
      </w:r>
      <w:r w:rsidRPr="009756CD">
        <w:rPr>
          <w:sz w:val="20"/>
          <w:lang w:val="es-CR"/>
        </w:rPr>
        <w:t xml:space="preserve">concurrir </w:t>
      </w:r>
      <w:r w:rsidRPr="009756CD">
        <w:rPr>
          <w:sz w:val="20"/>
          <w:szCs w:val="20"/>
          <w:lang w:val="es-CR"/>
        </w:rPr>
        <w:t>en toda situación en la que se soliciten</w:t>
      </w:r>
      <w:r w:rsidRPr="009756CD">
        <w:rPr>
          <w:rStyle w:val="FootnoteReference"/>
          <w:sz w:val="20"/>
          <w:szCs w:val="20"/>
          <w:lang w:val="es-CR"/>
        </w:rPr>
        <w:footnoteReference w:id="8"/>
      </w:r>
      <w:r w:rsidRPr="009756CD">
        <w:rPr>
          <w:sz w:val="20"/>
          <w:szCs w:val="20"/>
          <w:lang w:val="es-CR"/>
        </w:rPr>
        <w:t>. E</w:t>
      </w:r>
      <w:r w:rsidRPr="009756CD">
        <w:rPr>
          <w:bCs/>
          <w:sz w:val="20"/>
          <w:szCs w:val="20"/>
          <w:lang w:val="es-CR"/>
        </w:rPr>
        <w:t>n razón de su competencia, en el marco de medidas provisionales, corresponde a la Corte considerar única y estrictamente aquellos argumentos que se relacionan directamente con la extrema gravedad, urgencia y la necesidad de evitar daños irreparables a personas. Cualquier otro hecho o argumento sólo puede ser analizado y resuelto, en su caso, durante la consideración del fondo de un caso contencioso</w:t>
      </w:r>
      <w:r w:rsidRPr="009756CD">
        <w:rPr>
          <w:rStyle w:val="FootnoteReference"/>
          <w:bCs/>
          <w:sz w:val="20"/>
          <w:szCs w:val="20"/>
          <w:lang w:val="es-CR"/>
        </w:rPr>
        <w:footnoteReference w:id="9"/>
      </w:r>
      <w:r w:rsidR="000E3560" w:rsidRPr="009756CD">
        <w:rPr>
          <w:bCs/>
          <w:sz w:val="20"/>
          <w:szCs w:val="20"/>
          <w:lang w:val="es-CR"/>
        </w:rPr>
        <w:t xml:space="preserve"> o, en </w:t>
      </w:r>
      <w:r w:rsidR="00201139" w:rsidRPr="009756CD">
        <w:rPr>
          <w:bCs/>
          <w:sz w:val="20"/>
          <w:szCs w:val="20"/>
          <w:lang w:val="es-CR"/>
        </w:rPr>
        <w:t>las circunstancias particulares de este</w:t>
      </w:r>
      <w:r w:rsidR="000E3560" w:rsidRPr="009756CD">
        <w:rPr>
          <w:bCs/>
          <w:sz w:val="20"/>
          <w:szCs w:val="20"/>
          <w:lang w:val="es-CR"/>
        </w:rPr>
        <w:t xml:space="preserve"> caso, en el marco de la solicitud de interpretación o en la etapa de supervisión de cumplimiento de la sentencia</w:t>
      </w:r>
      <w:r w:rsidRPr="009756CD">
        <w:rPr>
          <w:bCs/>
          <w:sz w:val="20"/>
          <w:szCs w:val="20"/>
          <w:lang w:val="es-CR"/>
        </w:rPr>
        <w:t>.</w:t>
      </w:r>
    </w:p>
    <w:p w14:paraId="76D65835" w14:textId="77777777" w:rsidR="0066181C" w:rsidRPr="009756CD" w:rsidRDefault="0066181C" w:rsidP="00253FEA">
      <w:pPr>
        <w:pStyle w:val="Prrafodelista1"/>
        <w:contextualSpacing w:val="0"/>
        <w:jc w:val="both"/>
        <w:rPr>
          <w:bCs/>
          <w:sz w:val="20"/>
          <w:szCs w:val="20"/>
          <w:lang w:val="es-CR"/>
        </w:rPr>
      </w:pPr>
    </w:p>
    <w:p w14:paraId="4C686AB4" w14:textId="1F34F845" w:rsidR="00EC75BE" w:rsidRPr="009756CD" w:rsidRDefault="001C105F" w:rsidP="00C339EB">
      <w:pPr>
        <w:pStyle w:val="Prrafodelista1"/>
        <w:numPr>
          <w:ilvl w:val="0"/>
          <w:numId w:val="17"/>
        </w:numPr>
        <w:tabs>
          <w:tab w:val="clear" w:pos="360"/>
          <w:tab w:val="num" w:pos="0"/>
          <w:tab w:val="num" w:pos="567"/>
        </w:tabs>
        <w:ind w:left="0" w:firstLine="0"/>
        <w:contextualSpacing w:val="0"/>
        <w:jc w:val="both"/>
        <w:rPr>
          <w:sz w:val="20"/>
          <w:szCs w:val="20"/>
          <w:lang w:val="es-CR"/>
        </w:rPr>
      </w:pPr>
      <w:r w:rsidRPr="009756CD">
        <w:rPr>
          <w:sz w:val="20"/>
          <w:szCs w:val="20"/>
          <w:lang w:val="es-CR"/>
        </w:rPr>
        <w:t xml:space="preserve">La solicitud de medidas provisionales de la </w:t>
      </w:r>
      <w:r w:rsidR="00254ED8" w:rsidRPr="009756CD">
        <w:rPr>
          <w:sz w:val="20"/>
          <w:szCs w:val="20"/>
          <w:lang w:val="es-CR"/>
        </w:rPr>
        <w:t>representante</w:t>
      </w:r>
      <w:r w:rsidRPr="009756CD">
        <w:rPr>
          <w:sz w:val="20"/>
          <w:szCs w:val="20"/>
          <w:lang w:val="es-CR"/>
        </w:rPr>
        <w:t xml:space="preserve"> se basa en: </w:t>
      </w:r>
      <w:r w:rsidR="002C5D7B" w:rsidRPr="009756CD">
        <w:rPr>
          <w:sz w:val="20"/>
          <w:szCs w:val="20"/>
          <w:lang w:val="es-CR"/>
        </w:rPr>
        <w:t>i</w:t>
      </w:r>
      <w:r w:rsidRPr="009756CD">
        <w:rPr>
          <w:sz w:val="20"/>
          <w:szCs w:val="20"/>
          <w:lang w:val="es-CR"/>
        </w:rPr>
        <w:t>)</w:t>
      </w:r>
      <w:r w:rsidR="00254ED8" w:rsidRPr="009756CD">
        <w:rPr>
          <w:sz w:val="20"/>
          <w:szCs w:val="20"/>
          <w:lang w:val="es-CR"/>
        </w:rPr>
        <w:t xml:space="preserve"> un procedimiento tributario por deudas impagas de los años 2004, 2005 y 2011 iniciado en contra de la víctima; </w:t>
      </w:r>
      <w:r w:rsidR="002C5D7B" w:rsidRPr="009756CD">
        <w:rPr>
          <w:sz w:val="20"/>
          <w:szCs w:val="20"/>
          <w:lang w:val="es-CR"/>
        </w:rPr>
        <w:t>ii</w:t>
      </w:r>
      <w:r w:rsidR="00254ED8" w:rsidRPr="009756CD">
        <w:rPr>
          <w:sz w:val="20"/>
          <w:szCs w:val="20"/>
          <w:lang w:val="es-CR"/>
        </w:rPr>
        <w:t>) una llamada telefónica proveniente de las oficinas del Ministerio de Gobierno de Bolivia, de la cual la señora I.V. no recuerda su contenido</w:t>
      </w:r>
      <w:r w:rsidR="002C5D7B" w:rsidRPr="009756CD">
        <w:rPr>
          <w:sz w:val="20"/>
          <w:szCs w:val="20"/>
          <w:lang w:val="es-CR"/>
        </w:rPr>
        <w:t>, y</w:t>
      </w:r>
      <w:r w:rsidR="00254ED8" w:rsidRPr="009756CD">
        <w:rPr>
          <w:sz w:val="20"/>
          <w:szCs w:val="20"/>
          <w:lang w:val="es-CR"/>
        </w:rPr>
        <w:t xml:space="preserve"> </w:t>
      </w:r>
      <w:r w:rsidR="002C5D7B" w:rsidRPr="009756CD">
        <w:rPr>
          <w:sz w:val="20"/>
          <w:szCs w:val="20"/>
          <w:lang w:val="es-CR"/>
        </w:rPr>
        <w:t>iii</w:t>
      </w:r>
      <w:r w:rsidR="00254ED8" w:rsidRPr="009756CD">
        <w:rPr>
          <w:sz w:val="20"/>
          <w:szCs w:val="20"/>
          <w:lang w:val="es-CR"/>
        </w:rPr>
        <w:t xml:space="preserve">) </w:t>
      </w:r>
      <w:r w:rsidR="00317B9A" w:rsidRPr="009756CD">
        <w:rPr>
          <w:sz w:val="20"/>
          <w:szCs w:val="20"/>
          <w:lang w:val="es-CR"/>
        </w:rPr>
        <w:t xml:space="preserve">supuestos </w:t>
      </w:r>
      <w:r w:rsidR="00254ED8" w:rsidRPr="009756CD">
        <w:rPr>
          <w:sz w:val="20"/>
          <w:szCs w:val="20"/>
          <w:lang w:val="es-CR"/>
        </w:rPr>
        <w:t>insultos</w:t>
      </w:r>
      <w:r w:rsidR="007647D6" w:rsidRPr="009756CD">
        <w:rPr>
          <w:sz w:val="20"/>
          <w:szCs w:val="20"/>
          <w:lang w:val="es-CR"/>
        </w:rPr>
        <w:t xml:space="preserve">, </w:t>
      </w:r>
      <w:r w:rsidR="00254ED8" w:rsidRPr="009756CD">
        <w:rPr>
          <w:sz w:val="20"/>
          <w:szCs w:val="20"/>
          <w:lang w:val="es-CR"/>
        </w:rPr>
        <w:t>seguimientos</w:t>
      </w:r>
      <w:r w:rsidR="007647D6" w:rsidRPr="009756CD">
        <w:rPr>
          <w:sz w:val="20"/>
          <w:szCs w:val="20"/>
          <w:lang w:val="es-CR"/>
        </w:rPr>
        <w:t xml:space="preserve"> y filmaciones</w:t>
      </w:r>
      <w:r w:rsidR="00254ED8" w:rsidRPr="009756CD">
        <w:rPr>
          <w:sz w:val="20"/>
          <w:szCs w:val="20"/>
          <w:lang w:val="es-CR"/>
        </w:rPr>
        <w:t xml:space="preserve"> en la calle por parte de personas </w:t>
      </w:r>
      <w:r w:rsidR="00254ED8" w:rsidRPr="009756CD">
        <w:rPr>
          <w:bCs/>
          <w:sz w:val="20"/>
          <w:szCs w:val="20"/>
          <w:lang w:val="es-CR"/>
        </w:rPr>
        <w:t>desconocidas</w:t>
      </w:r>
      <w:r w:rsidR="00254ED8" w:rsidRPr="009756CD">
        <w:rPr>
          <w:sz w:val="20"/>
          <w:szCs w:val="20"/>
          <w:lang w:val="es-CR"/>
        </w:rPr>
        <w:t>. Para la representante, estos hechos tomados en su conjunto, “muestran claramente que I.V. está siendo acosada sistemáticamente por el Estado […] como represalia por la tramitación de su caso ante esta Corte”.</w:t>
      </w:r>
    </w:p>
    <w:p w14:paraId="5CD26962" w14:textId="77777777" w:rsidR="00EC75BE" w:rsidRPr="009756CD" w:rsidRDefault="00EC75BE" w:rsidP="00253FEA">
      <w:pPr>
        <w:pStyle w:val="Prrafodelista1"/>
        <w:contextualSpacing w:val="0"/>
        <w:jc w:val="both"/>
        <w:rPr>
          <w:sz w:val="20"/>
          <w:szCs w:val="20"/>
          <w:lang w:val="es-CR"/>
        </w:rPr>
      </w:pPr>
    </w:p>
    <w:p w14:paraId="69146857" w14:textId="1E9273F0" w:rsidR="00086F51" w:rsidRPr="009756CD" w:rsidRDefault="00317B9A" w:rsidP="00C339EB">
      <w:pPr>
        <w:pStyle w:val="Prrafodelista1"/>
        <w:numPr>
          <w:ilvl w:val="0"/>
          <w:numId w:val="17"/>
        </w:numPr>
        <w:tabs>
          <w:tab w:val="clear" w:pos="360"/>
          <w:tab w:val="num" w:pos="0"/>
          <w:tab w:val="num" w:pos="567"/>
        </w:tabs>
        <w:ind w:left="0" w:firstLine="0"/>
        <w:contextualSpacing w:val="0"/>
        <w:jc w:val="both"/>
        <w:rPr>
          <w:sz w:val="20"/>
          <w:lang w:val="es-CR"/>
        </w:rPr>
      </w:pPr>
      <w:r w:rsidRPr="009756CD">
        <w:rPr>
          <w:sz w:val="20"/>
          <w:lang w:val="es-CR"/>
        </w:rPr>
        <w:t xml:space="preserve">Después de haber examinado los hechos y circunstancias que fundamentaron la presente solicitud, </w:t>
      </w:r>
      <w:r w:rsidRPr="00C339EB">
        <w:rPr>
          <w:sz w:val="20"/>
          <w:szCs w:val="20"/>
          <w:lang w:val="es-CR"/>
        </w:rPr>
        <w:t>esta</w:t>
      </w:r>
      <w:r w:rsidRPr="009756CD">
        <w:rPr>
          <w:sz w:val="20"/>
          <w:lang w:val="es-CR"/>
        </w:rPr>
        <w:t xml:space="preserve"> Corte </w:t>
      </w:r>
      <w:r w:rsidRPr="009756CD">
        <w:rPr>
          <w:sz w:val="20"/>
          <w:szCs w:val="20"/>
          <w:lang w:val="es-CR"/>
        </w:rPr>
        <w:t>estima</w:t>
      </w:r>
      <w:r w:rsidRPr="009756CD">
        <w:rPr>
          <w:sz w:val="20"/>
          <w:lang w:val="es-CR"/>
        </w:rPr>
        <w:t xml:space="preserve"> que no resulta posible en este caso apreciar </w:t>
      </w:r>
      <w:r w:rsidRPr="009756CD">
        <w:rPr>
          <w:i/>
          <w:sz w:val="20"/>
          <w:lang w:val="es-CR"/>
        </w:rPr>
        <w:t>prima facie</w:t>
      </w:r>
      <w:r w:rsidRPr="009756CD">
        <w:rPr>
          <w:sz w:val="20"/>
          <w:lang w:val="es-CR"/>
        </w:rPr>
        <w:t xml:space="preserve"> que la </w:t>
      </w:r>
      <w:r w:rsidR="00F348D8" w:rsidRPr="009756CD">
        <w:rPr>
          <w:sz w:val="20"/>
          <w:lang w:val="es-CR"/>
        </w:rPr>
        <w:t xml:space="preserve">vida e integridad personal de la </w:t>
      </w:r>
      <w:r w:rsidRPr="009756CD">
        <w:rPr>
          <w:sz w:val="20"/>
          <w:lang w:val="es-CR"/>
        </w:rPr>
        <w:t xml:space="preserve">señora I.V. se encuentran amenazadas y en grave riesgo. </w:t>
      </w:r>
      <w:r w:rsidR="001324B6" w:rsidRPr="009756CD">
        <w:rPr>
          <w:sz w:val="20"/>
          <w:lang w:val="es-CR"/>
        </w:rPr>
        <w:t xml:space="preserve">En lo que se refiere al procedimiento tributario, la Corte nota que, </w:t>
      </w:r>
      <w:r w:rsidR="001324B6" w:rsidRPr="009756CD">
        <w:rPr>
          <w:rFonts w:eastAsia="Calibri"/>
          <w:sz w:val="20"/>
          <w:szCs w:val="20"/>
          <w:lang w:val="es-CR"/>
        </w:rPr>
        <w:t>más allá de las alegadas consecuencias de carácter patrimonial</w:t>
      </w:r>
      <w:r w:rsidR="00086F51" w:rsidRPr="009756CD">
        <w:rPr>
          <w:rFonts w:eastAsia="Calibri"/>
          <w:sz w:val="20"/>
          <w:szCs w:val="20"/>
          <w:lang w:val="es-CR"/>
        </w:rPr>
        <w:t xml:space="preserve"> que rondaría en un monto aproximado de </w:t>
      </w:r>
      <w:r w:rsidR="007647D6" w:rsidRPr="009756CD">
        <w:rPr>
          <w:rFonts w:eastAsia="Calibri"/>
          <w:sz w:val="20"/>
          <w:szCs w:val="20"/>
          <w:lang w:val="es-CR"/>
        </w:rPr>
        <w:t>US$</w:t>
      </w:r>
      <w:r w:rsidR="00683F35" w:rsidRPr="009756CD">
        <w:rPr>
          <w:rFonts w:eastAsia="Calibri"/>
          <w:sz w:val="20"/>
          <w:szCs w:val="20"/>
          <w:lang w:val="es-CR"/>
        </w:rPr>
        <w:t xml:space="preserve"> </w:t>
      </w:r>
      <w:r w:rsidR="00086F51" w:rsidRPr="009756CD">
        <w:rPr>
          <w:rFonts w:eastAsia="Calibri"/>
          <w:sz w:val="20"/>
          <w:szCs w:val="20"/>
          <w:lang w:val="es-CR"/>
        </w:rPr>
        <w:t>15</w:t>
      </w:r>
      <w:r w:rsidR="00C34405" w:rsidRPr="009756CD">
        <w:rPr>
          <w:rFonts w:eastAsia="Calibri"/>
          <w:sz w:val="20"/>
          <w:szCs w:val="20"/>
          <w:lang w:val="es-CR"/>
        </w:rPr>
        <w:t>4</w:t>
      </w:r>
      <w:r w:rsidR="007647D6" w:rsidRPr="009756CD">
        <w:rPr>
          <w:rFonts w:eastAsia="Calibri"/>
          <w:sz w:val="20"/>
          <w:szCs w:val="20"/>
          <w:lang w:val="es-CR"/>
        </w:rPr>
        <w:t>.</w:t>
      </w:r>
      <w:r w:rsidR="009C2974">
        <w:rPr>
          <w:rFonts w:eastAsia="Calibri"/>
          <w:sz w:val="20"/>
          <w:szCs w:val="20"/>
          <w:lang w:val="es-CR"/>
        </w:rPr>
        <w:t>59</w:t>
      </w:r>
      <w:r w:rsidR="001324B6" w:rsidRPr="009756CD">
        <w:rPr>
          <w:rFonts w:eastAsia="Calibri"/>
          <w:sz w:val="20"/>
          <w:szCs w:val="20"/>
          <w:lang w:val="es-CR"/>
        </w:rPr>
        <w:t>, no se desprende que la víctima se encuentre sufriendo un perjuicio de carácter irreparable</w:t>
      </w:r>
      <w:r w:rsidR="001324B6" w:rsidRPr="009756CD">
        <w:rPr>
          <w:rStyle w:val="FootnoteReference"/>
          <w:sz w:val="20"/>
          <w:szCs w:val="20"/>
          <w:lang w:val="es-CR"/>
        </w:rPr>
        <w:footnoteReference w:id="10"/>
      </w:r>
      <w:r w:rsidR="001324B6" w:rsidRPr="009756CD">
        <w:rPr>
          <w:rFonts w:eastAsia="Calibri"/>
          <w:sz w:val="20"/>
          <w:szCs w:val="20"/>
          <w:lang w:val="es-CR"/>
        </w:rPr>
        <w:t>.</w:t>
      </w:r>
      <w:r w:rsidR="00086F51" w:rsidRPr="009756CD">
        <w:rPr>
          <w:rFonts w:eastAsia="Calibri"/>
          <w:sz w:val="20"/>
          <w:szCs w:val="20"/>
          <w:lang w:val="es-CR"/>
        </w:rPr>
        <w:t xml:space="preserve"> En cuanto a la llamada telefónica, si bien es cierto que el Estado no negó que la misma se hubiera realizado, lo cierto es que no es posible inferir que el mero hecho de provenir de dependencias estatales</w:t>
      </w:r>
      <w:r w:rsidR="00086F51" w:rsidRPr="009756CD">
        <w:rPr>
          <w:sz w:val="20"/>
          <w:lang w:val="es-CR"/>
        </w:rPr>
        <w:t xml:space="preserve"> impli</w:t>
      </w:r>
      <w:r w:rsidR="003B744B" w:rsidRPr="009756CD">
        <w:rPr>
          <w:sz w:val="20"/>
          <w:lang w:val="es-CR"/>
        </w:rPr>
        <w:t>que</w:t>
      </w:r>
      <w:r w:rsidR="00086F51" w:rsidRPr="009756CD">
        <w:rPr>
          <w:sz w:val="20"/>
          <w:lang w:val="es-CR"/>
        </w:rPr>
        <w:t xml:space="preserve"> en sí mismo una amenaza a la víctima</w:t>
      </w:r>
      <w:r w:rsidR="00505BAF" w:rsidRPr="009756CD">
        <w:rPr>
          <w:sz w:val="20"/>
          <w:lang w:val="es-CR"/>
        </w:rPr>
        <w:t>, máxime si no fue posible conocer el contenido de la misma</w:t>
      </w:r>
      <w:r w:rsidR="00086F51" w:rsidRPr="009756CD">
        <w:rPr>
          <w:sz w:val="20"/>
          <w:lang w:val="es-CR"/>
        </w:rPr>
        <w:t>. Finalmente, en lo que se refiere a los supuestos insultos</w:t>
      </w:r>
      <w:r w:rsidR="007647D6" w:rsidRPr="009756CD">
        <w:rPr>
          <w:sz w:val="20"/>
          <w:lang w:val="es-CR"/>
        </w:rPr>
        <w:t>,</w:t>
      </w:r>
      <w:r w:rsidR="00086F51" w:rsidRPr="009756CD">
        <w:rPr>
          <w:sz w:val="20"/>
          <w:lang w:val="es-CR"/>
        </w:rPr>
        <w:t xml:space="preserve"> seguimientos</w:t>
      </w:r>
      <w:r w:rsidR="007647D6" w:rsidRPr="009756CD">
        <w:rPr>
          <w:sz w:val="20"/>
          <w:lang w:val="es-CR"/>
        </w:rPr>
        <w:t xml:space="preserve"> y filmaciones</w:t>
      </w:r>
      <w:r w:rsidR="00086F51" w:rsidRPr="009756CD">
        <w:rPr>
          <w:sz w:val="20"/>
          <w:lang w:val="es-CR"/>
        </w:rPr>
        <w:t xml:space="preserve">, </w:t>
      </w:r>
      <w:r w:rsidR="00AC005D" w:rsidRPr="009756CD">
        <w:rPr>
          <w:sz w:val="20"/>
          <w:lang w:val="es-CR"/>
        </w:rPr>
        <w:t xml:space="preserve">la Corte </w:t>
      </w:r>
      <w:r w:rsidR="006226F9" w:rsidRPr="009756CD">
        <w:rPr>
          <w:sz w:val="20"/>
          <w:lang w:val="es-CR"/>
        </w:rPr>
        <w:t>no cuenta con elementos mínimos que le permitan valorar la situación</w:t>
      </w:r>
      <w:r w:rsidR="001A408D" w:rsidRPr="009756CD">
        <w:rPr>
          <w:sz w:val="20"/>
          <w:lang w:val="es-CR"/>
        </w:rPr>
        <w:t>,</w:t>
      </w:r>
      <w:r w:rsidR="006226F9" w:rsidRPr="009756CD">
        <w:rPr>
          <w:sz w:val="20"/>
          <w:lang w:val="es-CR"/>
        </w:rPr>
        <w:t xml:space="preserve"> toda vez que</w:t>
      </w:r>
      <w:r w:rsidR="00AC005D" w:rsidRPr="009756CD">
        <w:rPr>
          <w:sz w:val="20"/>
          <w:lang w:val="es-CR"/>
        </w:rPr>
        <w:t xml:space="preserve"> la representante no ha relacionado claramente los hechos alegados con la participación de la señora I.V. en el proceso ante esta Corte o la mayor visibilidad que pudiera haber adquirido a raíz de la misma</w:t>
      </w:r>
      <w:r w:rsidR="006226F9" w:rsidRPr="009756CD">
        <w:rPr>
          <w:sz w:val="20"/>
          <w:lang w:val="es-CR"/>
        </w:rPr>
        <w:t>. T</w:t>
      </w:r>
      <w:r w:rsidR="00570B00" w:rsidRPr="009756CD">
        <w:rPr>
          <w:sz w:val="20"/>
          <w:lang w:val="es-CR"/>
        </w:rPr>
        <w:t xml:space="preserve">ampoco ha brindado mayores elementos respecto a cómo habrían sucedido dichos hechos, ni ha indicado </w:t>
      </w:r>
      <w:r w:rsidR="00086F51" w:rsidRPr="009756CD">
        <w:rPr>
          <w:sz w:val="20"/>
          <w:lang w:val="es-CR"/>
        </w:rPr>
        <w:t xml:space="preserve">que </w:t>
      </w:r>
      <w:r w:rsidR="00AC005D" w:rsidRPr="009756CD">
        <w:rPr>
          <w:sz w:val="20"/>
          <w:lang w:val="es-CR"/>
        </w:rPr>
        <w:t>provinieran</w:t>
      </w:r>
      <w:r w:rsidR="00086F51" w:rsidRPr="009756CD">
        <w:rPr>
          <w:sz w:val="20"/>
          <w:lang w:val="es-CR"/>
        </w:rPr>
        <w:t xml:space="preserve"> de agentes estatales. </w:t>
      </w:r>
      <w:r w:rsidRPr="009756CD">
        <w:rPr>
          <w:sz w:val="20"/>
          <w:lang w:val="es-CR"/>
        </w:rPr>
        <w:t xml:space="preserve">En </w:t>
      </w:r>
      <w:r w:rsidR="00086F51" w:rsidRPr="009756CD">
        <w:rPr>
          <w:sz w:val="20"/>
          <w:lang w:val="es-CR"/>
        </w:rPr>
        <w:t>suma</w:t>
      </w:r>
      <w:r w:rsidRPr="009756CD">
        <w:rPr>
          <w:sz w:val="20"/>
          <w:lang w:val="es-CR"/>
        </w:rPr>
        <w:t>, e</w:t>
      </w:r>
      <w:r w:rsidRPr="009756CD">
        <w:rPr>
          <w:sz w:val="20"/>
          <w:szCs w:val="20"/>
          <w:lang w:val="es-CR" w:bidi="en-US"/>
        </w:rPr>
        <w:t xml:space="preserve">sta Corte considera que, conforme a los antecedentes aportados, los hechos descritos por la representante no configuran </w:t>
      </w:r>
      <w:r w:rsidRPr="009756CD">
        <w:rPr>
          <w:i/>
          <w:sz w:val="20"/>
          <w:szCs w:val="20"/>
          <w:lang w:val="es-CR" w:bidi="en-US"/>
        </w:rPr>
        <w:t>per se</w:t>
      </w:r>
      <w:r w:rsidRPr="009756CD">
        <w:rPr>
          <w:sz w:val="20"/>
          <w:szCs w:val="20"/>
          <w:lang w:val="es-CR" w:bidi="en-US"/>
        </w:rPr>
        <w:t xml:space="preserve"> los requisitos de una situación de </w:t>
      </w:r>
      <w:r w:rsidRPr="009756CD">
        <w:rPr>
          <w:sz w:val="20"/>
          <w:szCs w:val="20"/>
          <w:lang w:val="es-CR"/>
        </w:rPr>
        <w:t>“</w:t>
      </w:r>
      <w:r w:rsidRPr="009756CD">
        <w:rPr>
          <w:sz w:val="20"/>
          <w:szCs w:val="20"/>
          <w:lang w:val="es-CR" w:bidi="en-US"/>
        </w:rPr>
        <w:t>extrema gravedad”, urgencia y un daño irreparable</w:t>
      </w:r>
      <w:r w:rsidRPr="009756CD">
        <w:rPr>
          <w:sz w:val="20"/>
          <w:szCs w:val="20"/>
          <w:vertAlign w:val="superscript"/>
          <w:lang w:val="es-CR" w:bidi="en-US"/>
        </w:rPr>
        <w:footnoteReference w:id="11"/>
      </w:r>
      <w:r w:rsidRPr="009756CD">
        <w:rPr>
          <w:sz w:val="20"/>
          <w:szCs w:val="20"/>
          <w:lang w:val="es-CR" w:bidi="en-US"/>
        </w:rPr>
        <w:t>.</w:t>
      </w:r>
    </w:p>
    <w:p w14:paraId="767AB545" w14:textId="77777777" w:rsidR="00086F51" w:rsidRPr="009756CD" w:rsidRDefault="00086F51" w:rsidP="00086F51">
      <w:pPr>
        <w:pStyle w:val="Prrafodelista1"/>
        <w:tabs>
          <w:tab w:val="num" w:pos="567"/>
        </w:tabs>
        <w:contextualSpacing w:val="0"/>
        <w:jc w:val="both"/>
        <w:rPr>
          <w:sz w:val="20"/>
          <w:lang w:val="es-CR"/>
        </w:rPr>
      </w:pPr>
    </w:p>
    <w:p w14:paraId="4B0035EA" w14:textId="6F1D7BFC" w:rsidR="00135CFD" w:rsidRPr="009756CD" w:rsidRDefault="00254ED8" w:rsidP="00C339EB">
      <w:pPr>
        <w:pStyle w:val="Prrafodelista1"/>
        <w:numPr>
          <w:ilvl w:val="0"/>
          <w:numId w:val="17"/>
        </w:numPr>
        <w:tabs>
          <w:tab w:val="clear" w:pos="360"/>
          <w:tab w:val="num" w:pos="0"/>
          <w:tab w:val="num" w:pos="567"/>
        </w:tabs>
        <w:ind w:left="0" w:firstLine="0"/>
        <w:contextualSpacing w:val="0"/>
        <w:jc w:val="both"/>
        <w:rPr>
          <w:sz w:val="20"/>
          <w:lang w:val="es-CR"/>
        </w:rPr>
      </w:pPr>
      <w:r w:rsidRPr="009756CD">
        <w:rPr>
          <w:sz w:val="20"/>
          <w:szCs w:val="20"/>
          <w:lang w:val="es-CR"/>
        </w:rPr>
        <w:t xml:space="preserve">Además, </w:t>
      </w:r>
      <w:r w:rsidR="0021334B" w:rsidRPr="009756CD">
        <w:rPr>
          <w:sz w:val="20"/>
          <w:szCs w:val="20"/>
          <w:lang w:val="es-CR"/>
        </w:rPr>
        <w:t xml:space="preserve">la Corte nota que </w:t>
      </w:r>
      <w:r w:rsidRPr="009756CD">
        <w:rPr>
          <w:sz w:val="20"/>
          <w:szCs w:val="20"/>
          <w:lang w:val="es-CR"/>
        </w:rPr>
        <w:t>el tipo de medidas solicitadas por la representante</w:t>
      </w:r>
      <w:r w:rsidR="00086F51" w:rsidRPr="009756CD">
        <w:rPr>
          <w:sz w:val="20"/>
          <w:szCs w:val="20"/>
          <w:lang w:val="es-CR"/>
        </w:rPr>
        <w:t>, tales como cesar el procedimiento tributario</w:t>
      </w:r>
      <w:r w:rsidR="008F57C0" w:rsidRPr="009756CD">
        <w:rPr>
          <w:sz w:val="20"/>
          <w:szCs w:val="20"/>
          <w:lang w:val="es-CR"/>
        </w:rPr>
        <w:t>;</w:t>
      </w:r>
      <w:r w:rsidR="00086F51" w:rsidRPr="009756CD">
        <w:rPr>
          <w:sz w:val="20"/>
          <w:szCs w:val="20"/>
          <w:lang w:val="es-CR"/>
        </w:rPr>
        <w:t xml:space="preserve"> hacerse cargo de los gastos médicos, hospitalarios, de medicamentos y demás erogaciones conexas relacionadas con la actual crisis que sufre I.V.</w:t>
      </w:r>
      <w:r w:rsidR="008F57C0" w:rsidRPr="009756CD">
        <w:rPr>
          <w:sz w:val="20"/>
          <w:szCs w:val="20"/>
          <w:lang w:val="es-CR"/>
        </w:rPr>
        <w:t>;</w:t>
      </w:r>
      <w:r w:rsidR="00086F51" w:rsidRPr="009756CD">
        <w:rPr>
          <w:sz w:val="20"/>
          <w:szCs w:val="20"/>
          <w:lang w:val="es-CR"/>
        </w:rPr>
        <w:t xml:space="preserve"> reembolsar a la familia de I.V. y al ITEI por los gastos de salud realizados desde el 31 de marzo del presente año; e investigar los móviles y a los responsables (agentes estatales) de los supuestos “actos de acoso y persecución tributaria”,</w:t>
      </w:r>
      <w:r w:rsidR="001E2EAF" w:rsidRPr="009756CD">
        <w:rPr>
          <w:sz w:val="20"/>
          <w:szCs w:val="20"/>
          <w:lang w:val="es-CR"/>
        </w:rPr>
        <w:t xml:space="preserve"> </w:t>
      </w:r>
      <w:r w:rsidRPr="009756CD">
        <w:rPr>
          <w:sz w:val="20"/>
          <w:szCs w:val="20"/>
          <w:lang w:val="es-CR"/>
        </w:rPr>
        <w:t xml:space="preserve">son de una naturaleza que no corresponde a </w:t>
      </w:r>
      <w:r w:rsidR="0021334B" w:rsidRPr="009756CD">
        <w:rPr>
          <w:sz w:val="20"/>
          <w:szCs w:val="20"/>
          <w:lang w:val="es-CR"/>
        </w:rPr>
        <w:t xml:space="preserve">aquéllas </w:t>
      </w:r>
      <w:r w:rsidRPr="009756CD">
        <w:rPr>
          <w:sz w:val="20"/>
          <w:szCs w:val="20"/>
          <w:lang w:val="es-CR"/>
        </w:rPr>
        <w:t>propias de un trámite como el presente, en el que el propósito fundamental es la protección y preservación eficaz de la vida e integridad personal.</w:t>
      </w:r>
      <w:r w:rsidR="00186FF4" w:rsidRPr="009756CD">
        <w:rPr>
          <w:sz w:val="20"/>
          <w:szCs w:val="20"/>
          <w:lang w:val="es-CR"/>
        </w:rPr>
        <w:t xml:space="preserve"> </w:t>
      </w:r>
    </w:p>
    <w:p w14:paraId="33A254C0" w14:textId="77777777" w:rsidR="001324B6" w:rsidRPr="009756CD" w:rsidRDefault="001324B6" w:rsidP="00135CFD">
      <w:pPr>
        <w:pStyle w:val="Prrafodelista1"/>
        <w:tabs>
          <w:tab w:val="num" w:pos="567"/>
        </w:tabs>
        <w:contextualSpacing w:val="0"/>
        <w:jc w:val="both"/>
        <w:rPr>
          <w:sz w:val="20"/>
          <w:lang w:val="es-CR"/>
        </w:rPr>
      </w:pPr>
    </w:p>
    <w:p w14:paraId="731B5FC6" w14:textId="21721ED8" w:rsidR="005456A5" w:rsidRPr="009756CD" w:rsidRDefault="00101DBC" w:rsidP="00C339EB">
      <w:pPr>
        <w:pStyle w:val="Prrafodelista1"/>
        <w:numPr>
          <w:ilvl w:val="0"/>
          <w:numId w:val="17"/>
        </w:numPr>
        <w:tabs>
          <w:tab w:val="clear" w:pos="360"/>
          <w:tab w:val="num" w:pos="0"/>
          <w:tab w:val="num" w:pos="567"/>
        </w:tabs>
        <w:ind w:left="0" w:firstLine="0"/>
        <w:contextualSpacing w:val="0"/>
        <w:jc w:val="both"/>
        <w:rPr>
          <w:sz w:val="20"/>
          <w:lang w:val="es-CR"/>
        </w:rPr>
      </w:pPr>
      <w:r w:rsidRPr="009756CD">
        <w:rPr>
          <w:sz w:val="20"/>
          <w:szCs w:val="20"/>
          <w:lang w:val="es-CR"/>
        </w:rPr>
        <w:t>Por otra parte</w:t>
      </w:r>
      <w:r w:rsidR="00B87C41" w:rsidRPr="009756CD">
        <w:rPr>
          <w:rFonts w:eastAsia="Times"/>
          <w:sz w:val="20"/>
          <w:szCs w:val="20"/>
          <w:lang w:val="es-CR" w:eastAsia="es-ES"/>
        </w:rPr>
        <w:t xml:space="preserve">, </w:t>
      </w:r>
      <w:r w:rsidR="00BA7258" w:rsidRPr="009756CD">
        <w:rPr>
          <w:sz w:val="20"/>
          <w:lang w:val="es-CR"/>
        </w:rPr>
        <w:t xml:space="preserve">se desprende que el objeto de la solicitud de la representante </w:t>
      </w:r>
      <w:r w:rsidR="00B87C41" w:rsidRPr="009756CD">
        <w:rPr>
          <w:rFonts w:eastAsia="Times"/>
          <w:sz w:val="20"/>
          <w:szCs w:val="20"/>
          <w:lang w:val="es-CR" w:eastAsia="es-ES"/>
        </w:rPr>
        <w:t>en cuanto a la atención</w:t>
      </w:r>
      <w:r w:rsidR="00215290" w:rsidRPr="009756CD">
        <w:rPr>
          <w:rFonts w:eastAsia="Times"/>
          <w:sz w:val="20"/>
          <w:szCs w:val="20"/>
          <w:lang w:val="es-CR" w:eastAsia="es-ES"/>
        </w:rPr>
        <w:t xml:space="preserve"> psicológica y/o</w:t>
      </w:r>
      <w:r w:rsidR="00B87C41" w:rsidRPr="009756CD">
        <w:rPr>
          <w:rFonts w:eastAsia="Times"/>
          <w:sz w:val="20"/>
          <w:szCs w:val="20"/>
          <w:lang w:val="es-CR" w:eastAsia="es-ES"/>
        </w:rPr>
        <w:t xml:space="preserve"> psiquiátrica de la señora I.V. (</w:t>
      </w:r>
      <w:r w:rsidR="007647D6" w:rsidRPr="009756CD">
        <w:rPr>
          <w:rFonts w:eastAsia="Times"/>
          <w:i/>
          <w:sz w:val="20"/>
          <w:szCs w:val="20"/>
          <w:lang w:val="es-CR" w:eastAsia="es-ES"/>
        </w:rPr>
        <w:t>supra</w:t>
      </w:r>
      <w:r w:rsidR="007647D6" w:rsidRPr="009756CD">
        <w:rPr>
          <w:rFonts w:eastAsia="Times"/>
          <w:sz w:val="20"/>
          <w:szCs w:val="20"/>
          <w:lang w:val="es-CR" w:eastAsia="es-ES"/>
        </w:rPr>
        <w:t xml:space="preserve"> </w:t>
      </w:r>
      <w:r w:rsidR="00683F35" w:rsidRPr="009756CD">
        <w:rPr>
          <w:rFonts w:eastAsia="Times"/>
          <w:sz w:val="20"/>
          <w:szCs w:val="20"/>
          <w:lang w:val="es-CR" w:eastAsia="es-ES"/>
        </w:rPr>
        <w:t>Visto</w:t>
      </w:r>
      <w:r w:rsidR="007647D6" w:rsidRPr="009756CD">
        <w:rPr>
          <w:rFonts w:eastAsia="Times"/>
          <w:sz w:val="20"/>
          <w:szCs w:val="20"/>
          <w:lang w:val="es-CR" w:eastAsia="es-ES"/>
        </w:rPr>
        <w:t xml:space="preserve"> 8, </w:t>
      </w:r>
      <w:r w:rsidR="00B87C41" w:rsidRPr="009756CD">
        <w:rPr>
          <w:rFonts w:eastAsia="Times"/>
          <w:sz w:val="20"/>
          <w:szCs w:val="20"/>
          <w:lang w:val="es-CR" w:eastAsia="es-ES"/>
        </w:rPr>
        <w:t xml:space="preserve">puntos </w:t>
      </w:r>
      <w:r w:rsidR="00407F7B">
        <w:rPr>
          <w:rFonts w:eastAsia="Times"/>
          <w:sz w:val="20"/>
          <w:szCs w:val="20"/>
          <w:lang w:val="es-CR" w:eastAsia="es-ES"/>
        </w:rPr>
        <w:t>b</w:t>
      </w:r>
      <w:r w:rsidR="00B87C41" w:rsidRPr="009756CD">
        <w:rPr>
          <w:rFonts w:eastAsia="Times"/>
          <w:sz w:val="20"/>
          <w:szCs w:val="20"/>
          <w:lang w:val="es-CR" w:eastAsia="es-ES"/>
        </w:rPr>
        <w:t xml:space="preserve"> y </w:t>
      </w:r>
      <w:r w:rsidR="00407F7B">
        <w:rPr>
          <w:rFonts w:eastAsia="Times"/>
          <w:sz w:val="20"/>
          <w:szCs w:val="20"/>
          <w:lang w:val="es-CR" w:eastAsia="es-ES"/>
        </w:rPr>
        <w:t>c</w:t>
      </w:r>
      <w:r w:rsidR="00B87C41" w:rsidRPr="009756CD">
        <w:rPr>
          <w:rFonts w:eastAsia="Times"/>
          <w:sz w:val="20"/>
          <w:szCs w:val="20"/>
          <w:lang w:val="es-CR" w:eastAsia="es-ES"/>
        </w:rPr>
        <w:t>) está estrechamente vinculada con la materia objeto de una de las medidas de reparación ordenadas</w:t>
      </w:r>
      <w:r w:rsidR="006A565C" w:rsidRPr="009756CD">
        <w:rPr>
          <w:rFonts w:eastAsia="Times"/>
          <w:sz w:val="20"/>
          <w:szCs w:val="20"/>
          <w:lang w:val="es-CR" w:eastAsia="es-ES"/>
        </w:rPr>
        <w:t xml:space="preserve"> en la </w:t>
      </w:r>
      <w:r w:rsidR="002C5D7B" w:rsidRPr="009756CD">
        <w:rPr>
          <w:rFonts w:eastAsia="Times"/>
          <w:sz w:val="20"/>
          <w:szCs w:val="20"/>
          <w:lang w:val="es-CR" w:eastAsia="es-ES"/>
        </w:rPr>
        <w:t>S</w:t>
      </w:r>
      <w:r w:rsidR="006A565C" w:rsidRPr="009756CD">
        <w:rPr>
          <w:rFonts w:eastAsia="Times"/>
          <w:sz w:val="20"/>
          <w:szCs w:val="20"/>
          <w:lang w:val="es-CR" w:eastAsia="es-ES"/>
        </w:rPr>
        <w:t>entencia emitida el 30 de noviembre de 2016</w:t>
      </w:r>
      <w:r w:rsidR="00BA7258" w:rsidRPr="009756CD">
        <w:rPr>
          <w:sz w:val="20"/>
          <w:lang w:val="es-CR"/>
        </w:rPr>
        <w:t xml:space="preserve"> que se encuentra pendiente de cumplimiento</w:t>
      </w:r>
      <w:r w:rsidR="00B87C41" w:rsidRPr="009756CD">
        <w:rPr>
          <w:rFonts w:eastAsia="Times"/>
          <w:sz w:val="20"/>
          <w:szCs w:val="20"/>
          <w:lang w:val="es-CR" w:eastAsia="es-ES"/>
        </w:rPr>
        <w:t>,</w:t>
      </w:r>
      <w:r w:rsidR="00943ECA" w:rsidRPr="009756CD">
        <w:rPr>
          <w:rFonts w:eastAsia="Times"/>
          <w:sz w:val="20"/>
          <w:szCs w:val="20"/>
          <w:lang w:val="es-CR" w:eastAsia="es-ES"/>
        </w:rPr>
        <w:t xml:space="preserve"> en particular aquella referida a la rehabilitación,</w:t>
      </w:r>
      <w:r w:rsidR="00B87C41" w:rsidRPr="009756CD">
        <w:rPr>
          <w:rFonts w:eastAsia="Times"/>
          <w:sz w:val="20"/>
          <w:szCs w:val="20"/>
          <w:lang w:val="es-CR" w:eastAsia="es-ES"/>
        </w:rPr>
        <w:t xml:space="preserve"> así como con la solicitud de interpretación interpuesta también por la representante</w:t>
      </w:r>
      <w:r w:rsidR="009935E4" w:rsidRPr="009756CD">
        <w:rPr>
          <w:rFonts w:eastAsia="Times"/>
          <w:sz w:val="20"/>
          <w:szCs w:val="20"/>
          <w:lang w:val="es-CR" w:eastAsia="es-ES"/>
        </w:rPr>
        <w:t xml:space="preserve"> sobre este aspecto</w:t>
      </w:r>
      <w:r w:rsidR="00B87C41" w:rsidRPr="009756CD">
        <w:rPr>
          <w:rFonts w:eastAsia="Times"/>
          <w:sz w:val="20"/>
          <w:szCs w:val="20"/>
          <w:lang w:val="es-CR" w:eastAsia="es-ES"/>
        </w:rPr>
        <w:t>.</w:t>
      </w:r>
    </w:p>
    <w:p w14:paraId="5087E3A7" w14:textId="77777777" w:rsidR="00BA7258" w:rsidRPr="009756CD" w:rsidRDefault="00BA7258" w:rsidP="008B6B6E">
      <w:pPr>
        <w:pStyle w:val="Prrafodelista1"/>
        <w:contextualSpacing w:val="0"/>
        <w:jc w:val="both"/>
        <w:rPr>
          <w:sz w:val="20"/>
          <w:lang w:val="es-CR"/>
        </w:rPr>
      </w:pPr>
    </w:p>
    <w:p w14:paraId="10F3CF39" w14:textId="1B44C765" w:rsidR="00617824" w:rsidRPr="009756CD" w:rsidRDefault="00617824" w:rsidP="00C339EB">
      <w:pPr>
        <w:pStyle w:val="Prrafodelista1"/>
        <w:numPr>
          <w:ilvl w:val="0"/>
          <w:numId w:val="17"/>
        </w:numPr>
        <w:tabs>
          <w:tab w:val="clear" w:pos="360"/>
          <w:tab w:val="num" w:pos="0"/>
          <w:tab w:val="num" w:pos="567"/>
        </w:tabs>
        <w:ind w:left="0" w:firstLine="0"/>
        <w:contextualSpacing w:val="0"/>
        <w:jc w:val="both"/>
        <w:rPr>
          <w:sz w:val="20"/>
          <w:szCs w:val="20"/>
          <w:lang w:val="es-CR"/>
        </w:rPr>
      </w:pPr>
      <w:r w:rsidRPr="009756CD">
        <w:rPr>
          <w:sz w:val="20"/>
          <w:szCs w:val="20"/>
          <w:lang w:val="es-CR"/>
        </w:rPr>
        <w:lastRenderedPageBreak/>
        <w:t xml:space="preserve">En otros casos la Corte ha desestimado solicitudes de medidas provisionales que implicaban la valoración de información relacionada con el cumplimiento de medidas de reparación ordenadas en la </w:t>
      </w:r>
      <w:r w:rsidR="002C5D7B" w:rsidRPr="009756CD">
        <w:rPr>
          <w:sz w:val="20"/>
          <w:szCs w:val="20"/>
          <w:lang w:val="es-CR"/>
        </w:rPr>
        <w:t>s</w:t>
      </w:r>
      <w:r w:rsidRPr="009756CD">
        <w:rPr>
          <w:sz w:val="20"/>
          <w:szCs w:val="20"/>
          <w:lang w:val="es-CR"/>
        </w:rPr>
        <w:t>entencia</w:t>
      </w:r>
      <w:r w:rsidR="00F55DCA" w:rsidRPr="009756CD">
        <w:rPr>
          <w:sz w:val="20"/>
          <w:szCs w:val="20"/>
          <w:lang w:val="es-CR"/>
        </w:rPr>
        <w:t>,</w:t>
      </w:r>
      <w:r w:rsidRPr="009756CD">
        <w:rPr>
          <w:sz w:val="20"/>
          <w:szCs w:val="20"/>
          <w:lang w:val="es-CR"/>
        </w:rPr>
        <w:t xml:space="preserve"> y </w:t>
      </w:r>
      <w:r w:rsidR="00943ECA" w:rsidRPr="009756CD">
        <w:rPr>
          <w:sz w:val="20"/>
          <w:szCs w:val="20"/>
          <w:lang w:val="es-CR"/>
        </w:rPr>
        <w:t>sostuvo</w:t>
      </w:r>
      <w:r w:rsidRPr="009756CD">
        <w:rPr>
          <w:sz w:val="20"/>
          <w:szCs w:val="20"/>
          <w:lang w:val="es-CR"/>
        </w:rPr>
        <w:t xml:space="preserve"> que esa información debía ser evaluada en el marco de la etapa de supervisión de cumplimiento de sentencia</w:t>
      </w:r>
      <w:r w:rsidR="002B0527" w:rsidRPr="009756CD">
        <w:rPr>
          <w:rStyle w:val="FootnoteReference"/>
          <w:sz w:val="20"/>
          <w:szCs w:val="20"/>
          <w:lang w:val="es-CR"/>
        </w:rPr>
        <w:footnoteReference w:id="12"/>
      </w:r>
      <w:r w:rsidR="002B0527" w:rsidRPr="009756CD">
        <w:rPr>
          <w:sz w:val="20"/>
          <w:szCs w:val="20"/>
          <w:lang w:val="es-CR"/>
        </w:rPr>
        <w:t>.</w:t>
      </w:r>
    </w:p>
    <w:p w14:paraId="31418C95" w14:textId="77777777" w:rsidR="002B0527" w:rsidRPr="009756CD" w:rsidRDefault="002B0527" w:rsidP="00617824">
      <w:pPr>
        <w:spacing w:after="0" w:line="240" w:lineRule="auto"/>
        <w:jc w:val="both"/>
        <w:rPr>
          <w:rFonts w:ascii="Verdana" w:hAnsi="Verdana"/>
          <w:sz w:val="20"/>
          <w:szCs w:val="20"/>
          <w:lang w:val="es-CR"/>
        </w:rPr>
      </w:pPr>
    </w:p>
    <w:p w14:paraId="019A8E0C" w14:textId="11C1222B" w:rsidR="002B0527" w:rsidRPr="009756CD" w:rsidRDefault="00101DBC" w:rsidP="00C339EB">
      <w:pPr>
        <w:pStyle w:val="Prrafodelista1"/>
        <w:numPr>
          <w:ilvl w:val="0"/>
          <w:numId w:val="17"/>
        </w:numPr>
        <w:tabs>
          <w:tab w:val="clear" w:pos="360"/>
          <w:tab w:val="num" w:pos="0"/>
          <w:tab w:val="num" w:pos="567"/>
        </w:tabs>
        <w:ind w:left="0" w:firstLine="0"/>
        <w:contextualSpacing w:val="0"/>
        <w:jc w:val="both"/>
        <w:rPr>
          <w:sz w:val="20"/>
          <w:lang w:val="es-CR"/>
        </w:rPr>
      </w:pPr>
      <w:r w:rsidRPr="009756CD">
        <w:rPr>
          <w:sz w:val="20"/>
          <w:szCs w:val="20"/>
          <w:lang w:val="es-CR"/>
        </w:rPr>
        <w:t xml:space="preserve">La Corte no desconoce la delicada situación de salud mental que padece la señora I.V., quien se encuentra internada en un establecimiento de rehabilitación privado y requeriría de atención psiquiátrica inaplazable. Sin embargo, </w:t>
      </w:r>
      <w:r w:rsidR="00DD3D10" w:rsidRPr="009756CD">
        <w:rPr>
          <w:sz w:val="20"/>
          <w:szCs w:val="20"/>
          <w:lang w:val="es-CR"/>
        </w:rPr>
        <w:t>l</w:t>
      </w:r>
      <w:r w:rsidR="002B0527" w:rsidRPr="009756CD">
        <w:rPr>
          <w:sz w:val="20"/>
          <w:szCs w:val="20"/>
          <w:lang w:val="es-CR"/>
        </w:rPr>
        <w:t>a</w:t>
      </w:r>
      <w:r w:rsidR="002B0527" w:rsidRPr="009756CD">
        <w:rPr>
          <w:sz w:val="20"/>
          <w:lang w:val="es-CR"/>
        </w:rPr>
        <w:t xml:space="preserve"> Corte considera que la información y argumentos expuestos por la representante Rielma Mencías en su solicitud de medidas provisionales, en lo que se refiere a la atención psicológica y/o psiquiátrica de la señor</w:t>
      </w:r>
      <w:r w:rsidR="00F55DCA" w:rsidRPr="009756CD">
        <w:rPr>
          <w:sz w:val="20"/>
          <w:lang w:val="es-CR"/>
        </w:rPr>
        <w:t>a</w:t>
      </w:r>
      <w:r w:rsidR="002B0527" w:rsidRPr="009756CD">
        <w:rPr>
          <w:sz w:val="20"/>
          <w:lang w:val="es-CR"/>
        </w:rPr>
        <w:t xml:space="preserve"> I.V. (</w:t>
      </w:r>
      <w:r w:rsidR="002B0527" w:rsidRPr="009756CD">
        <w:rPr>
          <w:i/>
          <w:sz w:val="20"/>
          <w:lang w:val="es-CR"/>
        </w:rPr>
        <w:t>supra</w:t>
      </w:r>
      <w:r w:rsidR="002B0527" w:rsidRPr="009756CD">
        <w:rPr>
          <w:sz w:val="20"/>
          <w:lang w:val="es-CR"/>
        </w:rPr>
        <w:t xml:space="preserve"> </w:t>
      </w:r>
      <w:r w:rsidR="005E6F15" w:rsidRPr="009756CD">
        <w:rPr>
          <w:sz w:val="20"/>
          <w:lang w:val="es-CR"/>
        </w:rPr>
        <w:t>Vistos 6 y 7</w:t>
      </w:r>
      <w:r w:rsidR="002B0527" w:rsidRPr="009756CD">
        <w:rPr>
          <w:sz w:val="20"/>
          <w:lang w:val="es-CR"/>
        </w:rPr>
        <w:t xml:space="preserve">), requieren ser evaluados, primeramente, en el marco de la interpretación de sentencia y, posteriormente, dentro </w:t>
      </w:r>
      <w:r w:rsidR="002B0527" w:rsidRPr="009756CD">
        <w:rPr>
          <w:sz w:val="20"/>
          <w:szCs w:val="20"/>
          <w:lang w:val="es-CR"/>
        </w:rPr>
        <w:t>de la etapa de supervisión del cumplimiento de la Sentencia</w:t>
      </w:r>
      <w:r w:rsidR="002B0527" w:rsidRPr="009756CD">
        <w:rPr>
          <w:sz w:val="20"/>
          <w:lang w:val="es-CR"/>
        </w:rPr>
        <w:t xml:space="preserve"> de 30 de noviembre de 2016, en </w:t>
      </w:r>
      <w:r w:rsidR="005E6F15" w:rsidRPr="009756CD">
        <w:rPr>
          <w:sz w:val="20"/>
          <w:lang w:val="es-CR"/>
        </w:rPr>
        <w:t>relación</w:t>
      </w:r>
      <w:r w:rsidR="002B0527" w:rsidRPr="009756CD">
        <w:rPr>
          <w:sz w:val="20"/>
          <w:lang w:val="es-CR"/>
        </w:rPr>
        <w:t xml:space="preserve"> </w:t>
      </w:r>
      <w:r w:rsidR="005E6F15" w:rsidRPr="009756CD">
        <w:rPr>
          <w:sz w:val="20"/>
          <w:lang w:val="es-CR"/>
        </w:rPr>
        <w:t>con</w:t>
      </w:r>
      <w:r w:rsidR="002B0527" w:rsidRPr="009756CD">
        <w:rPr>
          <w:sz w:val="20"/>
          <w:lang w:val="es-CR"/>
        </w:rPr>
        <w:t xml:space="preserve"> las reparaciones ordenadas por la Corte (</w:t>
      </w:r>
      <w:r w:rsidR="002B0527" w:rsidRPr="009756CD">
        <w:rPr>
          <w:i/>
          <w:sz w:val="20"/>
          <w:lang w:val="es-CR"/>
        </w:rPr>
        <w:t>supra</w:t>
      </w:r>
      <w:r w:rsidR="002B0527" w:rsidRPr="009756CD">
        <w:rPr>
          <w:sz w:val="20"/>
          <w:lang w:val="es-CR"/>
        </w:rPr>
        <w:t xml:space="preserve"> </w:t>
      </w:r>
      <w:r w:rsidR="005E6F15" w:rsidRPr="009756CD">
        <w:rPr>
          <w:sz w:val="20"/>
          <w:lang w:val="es-CR"/>
        </w:rPr>
        <w:t>Visto</w:t>
      </w:r>
      <w:r w:rsidR="002B0527" w:rsidRPr="009756CD">
        <w:rPr>
          <w:sz w:val="20"/>
          <w:lang w:val="es-CR"/>
        </w:rPr>
        <w:t xml:space="preserve"> </w:t>
      </w:r>
      <w:r w:rsidR="005E6F15" w:rsidRPr="009756CD">
        <w:rPr>
          <w:sz w:val="20"/>
          <w:lang w:val="es-CR"/>
        </w:rPr>
        <w:t>1</w:t>
      </w:r>
      <w:r w:rsidR="002B0527" w:rsidRPr="009756CD">
        <w:rPr>
          <w:sz w:val="20"/>
          <w:lang w:val="es-CR"/>
        </w:rPr>
        <w:t xml:space="preserve">) y </w:t>
      </w:r>
      <w:r w:rsidR="002B0527" w:rsidRPr="009756CD">
        <w:rPr>
          <w:sz w:val="20"/>
          <w:szCs w:val="20"/>
          <w:lang w:val="es-CR"/>
        </w:rPr>
        <w:t>de acuerdo a las normas convencionales que regulan su facultad de supervisión</w:t>
      </w:r>
      <w:r w:rsidR="002B0527" w:rsidRPr="009756CD">
        <w:rPr>
          <w:rStyle w:val="FootnoteReference"/>
          <w:sz w:val="20"/>
          <w:szCs w:val="20"/>
          <w:lang w:val="es-CR"/>
        </w:rPr>
        <w:footnoteReference w:id="13"/>
      </w:r>
      <w:r w:rsidR="002B0527" w:rsidRPr="009756CD">
        <w:rPr>
          <w:sz w:val="20"/>
          <w:szCs w:val="20"/>
          <w:lang w:val="es-CR"/>
        </w:rPr>
        <w:t>.</w:t>
      </w:r>
      <w:r w:rsidR="002B0527" w:rsidRPr="009756CD">
        <w:rPr>
          <w:sz w:val="20"/>
          <w:lang w:val="es-CR"/>
        </w:rPr>
        <w:t xml:space="preserve"> </w:t>
      </w:r>
      <w:r w:rsidR="00BA7258" w:rsidRPr="009756CD">
        <w:rPr>
          <w:sz w:val="20"/>
          <w:lang w:val="es-CR"/>
        </w:rPr>
        <w:t>En consecuencia, el asunto planteado ante el Tribunal no es materia de medidas provisionales en los términos del artículo 63.2 de la Convención, sino que atañe a la supervisión del cumplimiento de la Sentencia dictada en el presente caso</w:t>
      </w:r>
      <w:r w:rsidR="00F55DCA" w:rsidRPr="009756CD">
        <w:rPr>
          <w:sz w:val="20"/>
          <w:lang w:val="es-CR"/>
        </w:rPr>
        <w:t>.</w:t>
      </w:r>
    </w:p>
    <w:p w14:paraId="21481191" w14:textId="77777777" w:rsidR="002B0527" w:rsidRPr="009756CD" w:rsidRDefault="002B0527" w:rsidP="002B0527">
      <w:pPr>
        <w:spacing w:after="0" w:line="240" w:lineRule="auto"/>
        <w:jc w:val="both"/>
        <w:rPr>
          <w:rFonts w:ascii="Verdana" w:hAnsi="Verdana"/>
          <w:sz w:val="20"/>
          <w:lang w:val="es-CR"/>
        </w:rPr>
      </w:pPr>
    </w:p>
    <w:p w14:paraId="64D6ABC9" w14:textId="4D9EB1A4" w:rsidR="002B0527" w:rsidRPr="009756CD" w:rsidRDefault="002B0527" w:rsidP="00C339EB">
      <w:pPr>
        <w:pStyle w:val="Prrafodelista1"/>
        <w:numPr>
          <w:ilvl w:val="0"/>
          <w:numId w:val="17"/>
        </w:numPr>
        <w:tabs>
          <w:tab w:val="clear" w:pos="360"/>
          <w:tab w:val="num" w:pos="0"/>
          <w:tab w:val="num" w:pos="567"/>
        </w:tabs>
        <w:ind w:left="0" w:firstLine="0"/>
        <w:contextualSpacing w:val="0"/>
        <w:jc w:val="both"/>
        <w:rPr>
          <w:sz w:val="20"/>
          <w:szCs w:val="20"/>
          <w:lang w:val="es-CR"/>
        </w:rPr>
      </w:pPr>
      <w:r w:rsidRPr="009756CD">
        <w:rPr>
          <w:sz w:val="20"/>
          <w:lang w:val="es-CR"/>
        </w:rPr>
        <w:t xml:space="preserve">No obstante, la Corte recuerda que los Estados Parte en la Convención </w:t>
      </w:r>
      <w:r w:rsidR="00551719" w:rsidRPr="009756CD">
        <w:rPr>
          <w:sz w:val="20"/>
          <w:lang w:val="es-CR"/>
        </w:rPr>
        <w:t xml:space="preserve">Americana </w:t>
      </w:r>
      <w:r w:rsidRPr="009756CD">
        <w:rPr>
          <w:sz w:val="20"/>
          <w:lang w:val="es-CR"/>
        </w:rPr>
        <w:t>deben cumplir de buena fe sus obligaciones convencionales internacionales, tales como la obligación de cumplir lo dispuesto en las decisiones de este Tribunal, lo cual constituye un principio básico del Derecho Internacional (</w:t>
      </w:r>
      <w:r w:rsidRPr="009756CD">
        <w:rPr>
          <w:i/>
          <w:sz w:val="20"/>
          <w:lang w:val="es-CR"/>
        </w:rPr>
        <w:t>pacta sunt servanda</w:t>
      </w:r>
      <w:r w:rsidRPr="009756CD">
        <w:rPr>
          <w:sz w:val="20"/>
          <w:lang w:val="es-CR"/>
        </w:rPr>
        <w:t>)</w:t>
      </w:r>
      <w:r w:rsidRPr="009756CD">
        <w:rPr>
          <w:rStyle w:val="FootnoteReference"/>
          <w:sz w:val="20"/>
          <w:lang w:val="es-CR"/>
        </w:rPr>
        <w:footnoteReference w:id="14"/>
      </w:r>
      <w:r w:rsidRPr="009756CD">
        <w:rPr>
          <w:sz w:val="20"/>
          <w:lang w:val="es-CR"/>
        </w:rPr>
        <w:t>. Asimismo, deben garantizar los efectos propios de tales disposiciones convencionales (</w:t>
      </w:r>
      <w:r w:rsidRPr="009756CD">
        <w:rPr>
          <w:i/>
          <w:sz w:val="20"/>
          <w:lang w:val="es-CR"/>
        </w:rPr>
        <w:t>effet utile</w:t>
      </w:r>
      <w:r w:rsidRPr="009756CD">
        <w:rPr>
          <w:sz w:val="20"/>
          <w:lang w:val="es-CR"/>
        </w:rPr>
        <w:t>) en el plano de sus respectivos derechos internos</w:t>
      </w:r>
      <w:r w:rsidRPr="009756CD">
        <w:rPr>
          <w:rStyle w:val="FootnoteReference"/>
          <w:sz w:val="20"/>
          <w:lang w:val="es-CR"/>
        </w:rPr>
        <w:footnoteReference w:id="15"/>
      </w:r>
      <w:r w:rsidRPr="009756CD">
        <w:rPr>
          <w:sz w:val="20"/>
          <w:lang w:val="es-CR"/>
        </w:rPr>
        <w:t xml:space="preserve">. En ese sentido, Bolivia </w:t>
      </w:r>
      <w:r w:rsidRPr="009756CD">
        <w:rPr>
          <w:sz w:val="20"/>
          <w:szCs w:val="20"/>
          <w:lang w:val="es-CR"/>
        </w:rPr>
        <w:t xml:space="preserve">debe implementar la referida medida de reparación </w:t>
      </w:r>
      <w:r w:rsidR="00DD3D10" w:rsidRPr="009756CD">
        <w:rPr>
          <w:sz w:val="20"/>
          <w:szCs w:val="20"/>
          <w:lang w:val="es-CR"/>
        </w:rPr>
        <w:t>de buena fe</w:t>
      </w:r>
      <w:r w:rsidRPr="009756CD">
        <w:rPr>
          <w:rFonts w:cs="Verdana"/>
          <w:sz w:val="20"/>
          <w:szCs w:val="20"/>
          <w:lang w:val="es-CR"/>
        </w:rPr>
        <w:t xml:space="preserve"> </w:t>
      </w:r>
      <w:r w:rsidRPr="009756CD">
        <w:rPr>
          <w:sz w:val="20"/>
          <w:szCs w:val="20"/>
          <w:lang w:val="es-CR"/>
        </w:rPr>
        <w:t>y tomando en cuenta que está dirigida</w:t>
      </w:r>
      <w:r w:rsidR="00F55DCA" w:rsidRPr="009756CD">
        <w:rPr>
          <w:sz w:val="20"/>
          <w:szCs w:val="20"/>
          <w:lang w:val="es-CR"/>
        </w:rPr>
        <w:t xml:space="preserve"> a rehabilitar a la señora I.V.</w:t>
      </w:r>
      <w:r w:rsidR="00DD3D10" w:rsidRPr="009756CD">
        <w:rPr>
          <w:sz w:val="20"/>
          <w:szCs w:val="20"/>
          <w:lang w:val="es-CR"/>
        </w:rPr>
        <w:t xml:space="preserve"> por la</w:t>
      </w:r>
      <w:r w:rsidR="007A7402" w:rsidRPr="009756CD">
        <w:rPr>
          <w:sz w:val="20"/>
          <w:szCs w:val="20"/>
          <w:lang w:val="es-CR"/>
        </w:rPr>
        <w:t>s</w:t>
      </w:r>
      <w:r w:rsidR="00DD3D10" w:rsidRPr="009756CD">
        <w:rPr>
          <w:sz w:val="20"/>
          <w:szCs w:val="20"/>
          <w:lang w:val="es-CR"/>
        </w:rPr>
        <w:t xml:space="preserve"> violaciones declaradas en la Sentencia.</w:t>
      </w:r>
    </w:p>
    <w:p w14:paraId="1B47BDCB" w14:textId="77777777" w:rsidR="00943ECA" w:rsidRPr="009756CD" w:rsidRDefault="00943ECA" w:rsidP="00617824">
      <w:pPr>
        <w:spacing w:after="0" w:line="240" w:lineRule="auto"/>
        <w:jc w:val="both"/>
        <w:rPr>
          <w:rFonts w:ascii="Verdana" w:hAnsi="Verdana"/>
          <w:sz w:val="20"/>
          <w:szCs w:val="20"/>
          <w:lang w:val="es-CR"/>
        </w:rPr>
      </w:pPr>
    </w:p>
    <w:p w14:paraId="2A48D2CA" w14:textId="16FFE0D4" w:rsidR="00943ECA" w:rsidRPr="009756CD" w:rsidRDefault="00943ECA" w:rsidP="00943ECA">
      <w:pPr>
        <w:pStyle w:val="Prrafodelista1"/>
        <w:numPr>
          <w:ilvl w:val="0"/>
          <w:numId w:val="13"/>
        </w:numPr>
        <w:ind w:hanging="501"/>
        <w:contextualSpacing w:val="0"/>
        <w:jc w:val="both"/>
        <w:rPr>
          <w:b/>
          <w:i/>
          <w:sz w:val="20"/>
          <w:szCs w:val="20"/>
          <w:lang w:val="es-CR"/>
        </w:rPr>
      </w:pPr>
      <w:r w:rsidRPr="009756CD">
        <w:rPr>
          <w:b/>
          <w:i/>
          <w:sz w:val="20"/>
          <w:szCs w:val="20"/>
          <w:lang w:val="es-CR"/>
        </w:rPr>
        <w:t>Sobre la supuesta contravención al artículo 53 del Reglamento</w:t>
      </w:r>
    </w:p>
    <w:p w14:paraId="15E7E614" w14:textId="77777777" w:rsidR="008D7C97" w:rsidRPr="009756CD" w:rsidRDefault="008D7C97" w:rsidP="00617824">
      <w:pPr>
        <w:spacing w:after="0" w:line="240" w:lineRule="auto"/>
        <w:jc w:val="both"/>
        <w:rPr>
          <w:rFonts w:ascii="Verdana" w:hAnsi="Verdana"/>
          <w:sz w:val="20"/>
          <w:szCs w:val="20"/>
          <w:highlight w:val="yellow"/>
          <w:lang w:val="es-CR"/>
        </w:rPr>
      </w:pPr>
    </w:p>
    <w:p w14:paraId="018D86DC" w14:textId="38A23D6A" w:rsidR="00EC7757" w:rsidRPr="009756CD" w:rsidRDefault="00943ECA" w:rsidP="00C339EB">
      <w:pPr>
        <w:pStyle w:val="Prrafodelista1"/>
        <w:numPr>
          <w:ilvl w:val="0"/>
          <w:numId w:val="17"/>
        </w:numPr>
        <w:tabs>
          <w:tab w:val="clear" w:pos="360"/>
          <w:tab w:val="num" w:pos="0"/>
          <w:tab w:val="num" w:pos="567"/>
        </w:tabs>
        <w:ind w:left="0" w:firstLine="0"/>
        <w:contextualSpacing w:val="0"/>
        <w:jc w:val="both"/>
        <w:rPr>
          <w:sz w:val="20"/>
          <w:szCs w:val="20"/>
          <w:lang w:val="es-CR"/>
        </w:rPr>
      </w:pPr>
      <w:r w:rsidRPr="00C339EB">
        <w:rPr>
          <w:sz w:val="20"/>
          <w:lang w:val="es-CR"/>
        </w:rPr>
        <w:t>Para</w:t>
      </w:r>
      <w:r w:rsidRPr="009756CD">
        <w:rPr>
          <w:sz w:val="20"/>
          <w:szCs w:val="20"/>
          <w:lang w:val="es-CR"/>
        </w:rPr>
        <w:t xml:space="preserve"> </w:t>
      </w:r>
      <w:r w:rsidRPr="009756CD">
        <w:rPr>
          <w:sz w:val="20"/>
          <w:lang w:val="es-CR"/>
        </w:rPr>
        <w:t>finalizar</w:t>
      </w:r>
      <w:r w:rsidRPr="009756CD">
        <w:rPr>
          <w:sz w:val="20"/>
          <w:szCs w:val="20"/>
          <w:lang w:val="es-CR"/>
        </w:rPr>
        <w:t xml:space="preserve">, cabe pues </w:t>
      </w:r>
      <w:r w:rsidR="00F44018" w:rsidRPr="009756CD">
        <w:rPr>
          <w:sz w:val="20"/>
          <w:szCs w:val="20"/>
          <w:lang w:val="es-CR"/>
        </w:rPr>
        <w:t>examinar</w:t>
      </w:r>
      <w:r w:rsidRPr="009756CD">
        <w:rPr>
          <w:sz w:val="20"/>
          <w:szCs w:val="20"/>
          <w:lang w:val="es-CR"/>
        </w:rPr>
        <w:t xml:space="preserve"> los hechos descritos por la representante</w:t>
      </w:r>
      <w:r w:rsidR="008B4047" w:rsidRPr="009756CD">
        <w:rPr>
          <w:sz w:val="20"/>
          <w:szCs w:val="20"/>
          <w:lang w:val="es-CR"/>
        </w:rPr>
        <w:t>,</w:t>
      </w:r>
      <w:r w:rsidRPr="009756CD">
        <w:rPr>
          <w:sz w:val="20"/>
          <w:szCs w:val="20"/>
          <w:lang w:val="es-CR"/>
        </w:rPr>
        <w:t xml:space="preserve"> y en particular el </w:t>
      </w:r>
      <w:r w:rsidRPr="009756CD">
        <w:rPr>
          <w:sz w:val="20"/>
          <w:lang w:val="es-CR"/>
        </w:rPr>
        <w:t>procedimiento</w:t>
      </w:r>
      <w:r w:rsidRPr="009756CD">
        <w:rPr>
          <w:sz w:val="20"/>
          <w:szCs w:val="20"/>
          <w:lang w:val="es-CR"/>
        </w:rPr>
        <w:t xml:space="preserve"> tributario</w:t>
      </w:r>
      <w:r w:rsidR="008D7C97" w:rsidRPr="009756CD">
        <w:rPr>
          <w:sz w:val="20"/>
          <w:szCs w:val="20"/>
          <w:lang w:val="es-CR"/>
        </w:rPr>
        <w:t xml:space="preserve"> iniciado en contra de la señora I.V.</w:t>
      </w:r>
      <w:r w:rsidRPr="009756CD">
        <w:rPr>
          <w:sz w:val="20"/>
          <w:szCs w:val="20"/>
          <w:lang w:val="es-CR"/>
        </w:rPr>
        <w:t>, a</w:t>
      </w:r>
      <w:r w:rsidR="00F44018" w:rsidRPr="009756CD">
        <w:rPr>
          <w:sz w:val="20"/>
          <w:szCs w:val="20"/>
          <w:lang w:val="es-CR"/>
        </w:rPr>
        <w:t xml:space="preserve"> </w:t>
      </w:r>
      <w:r w:rsidRPr="009756CD">
        <w:rPr>
          <w:sz w:val="20"/>
          <w:szCs w:val="20"/>
          <w:lang w:val="es-CR"/>
        </w:rPr>
        <w:t>l</w:t>
      </w:r>
      <w:r w:rsidR="00F44018" w:rsidRPr="009756CD">
        <w:rPr>
          <w:sz w:val="20"/>
          <w:szCs w:val="20"/>
          <w:lang w:val="es-CR"/>
        </w:rPr>
        <w:t>a luz del</w:t>
      </w:r>
      <w:r w:rsidR="008D7C97" w:rsidRPr="009756CD">
        <w:rPr>
          <w:sz w:val="20"/>
          <w:szCs w:val="20"/>
          <w:lang w:val="es-CR"/>
        </w:rPr>
        <w:t xml:space="preserve"> </w:t>
      </w:r>
      <w:r w:rsidRPr="009756CD">
        <w:rPr>
          <w:sz w:val="20"/>
          <w:szCs w:val="20"/>
          <w:lang w:val="es-CR"/>
        </w:rPr>
        <w:t>artículo 53</w:t>
      </w:r>
      <w:r w:rsidR="008D7C97" w:rsidRPr="009756CD">
        <w:rPr>
          <w:sz w:val="20"/>
          <w:szCs w:val="20"/>
          <w:lang w:val="es-CR"/>
        </w:rPr>
        <w:t xml:space="preserve"> del Reglamento</w:t>
      </w:r>
      <w:r w:rsidR="00AE1D3B" w:rsidRPr="009756CD">
        <w:rPr>
          <w:rStyle w:val="FootnoteReference"/>
          <w:bCs/>
          <w:sz w:val="18"/>
          <w:szCs w:val="18"/>
          <w:lang w:val="es-CR"/>
        </w:rPr>
        <w:footnoteReference w:id="16"/>
      </w:r>
      <w:r w:rsidRPr="009756CD">
        <w:rPr>
          <w:sz w:val="20"/>
          <w:szCs w:val="20"/>
          <w:lang w:val="es-CR"/>
        </w:rPr>
        <w:t>.</w:t>
      </w:r>
      <w:r w:rsidR="008D7C97" w:rsidRPr="009756CD">
        <w:rPr>
          <w:sz w:val="20"/>
          <w:szCs w:val="20"/>
          <w:lang w:val="es-CR"/>
        </w:rPr>
        <w:t xml:space="preserve"> Al interpretar dicha norma, la Corte ha afirmado que “su finalidad es garantizar que quienes intervienen en el proceso ante la Corte puedan hacerlo libremente, con la seguridad de no verse perjudicados por tal motivo”</w:t>
      </w:r>
      <w:r w:rsidR="008D7C97" w:rsidRPr="009756CD">
        <w:rPr>
          <w:rStyle w:val="FootnoteReference"/>
          <w:sz w:val="20"/>
          <w:szCs w:val="20"/>
          <w:lang w:val="es-CR"/>
        </w:rPr>
        <w:footnoteReference w:id="17"/>
      </w:r>
      <w:r w:rsidR="008D7C97" w:rsidRPr="009756CD">
        <w:rPr>
          <w:sz w:val="20"/>
          <w:szCs w:val="20"/>
          <w:lang w:val="es-CR"/>
        </w:rPr>
        <w:t>.</w:t>
      </w:r>
    </w:p>
    <w:p w14:paraId="720FD97B" w14:textId="77777777" w:rsidR="00EC7757" w:rsidRPr="009756CD" w:rsidRDefault="00EC7757" w:rsidP="00EC7757">
      <w:pPr>
        <w:pStyle w:val="Prrafodelista1"/>
        <w:tabs>
          <w:tab w:val="num" w:pos="567"/>
        </w:tabs>
        <w:contextualSpacing w:val="0"/>
        <w:jc w:val="both"/>
        <w:rPr>
          <w:sz w:val="20"/>
          <w:szCs w:val="20"/>
          <w:lang w:val="es-CR"/>
        </w:rPr>
      </w:pPr>
    </w:p>
    <w:p w14:paraId="44786A2A" w14:textId="431AEF8A" w:rsidR="00FB0E3D" w:rsidRPr="009756CD" w:rsidRDefault="00EC7757" w:rsidP="00C339EB">
      <w:pPr>
        <w:pStyle w:val="Prrafodelista1"/>
        <w:numPr>
          <w:ilvl w:val="0"/>
          <w:numId w:val="17"/>
        </w:numPr>
        <w:tabs>
          <w:tab w:val="clear" w:pos="360"/>
          <w:tab w:val="num" w:pos="0"/>
          <w:tab w:val="num" w:pos="567"/>
        </w:tabs>
        <w:ind w:left="0" w:firstLine="0"/>
        <w:contextualSpacing w:val="0"/>
        <w:jc w:val="both"/>
        <w:rPr>
          <w:sz w:val="20"/>
          <w:szCs w:val="20"/>
          <w:lang w:val="es-CR"/>
        </w:rPr>
      </w:pPr>
      <w:r w:rsidRPr="009756CD">
        <w:rPr>
          <w:sz w:val="20"/>
          <w:szCs w:val="20"/>
          <w:lang w:val="es-CR"/>
        </w:rPr>
        <w:t>La Corte estima pertinente aclarar que dicha norma no implica, como sostuvo la representante, “una prohibición expresa de procesamiento contra las víctimas en un caso conocido y resuelto por este tribunal”</w:t>
      </w:r>
      <w:r w:rsidR="005A3E48" w:rsidRPr="009756CD">
        <w:rPr>
          <w:sz w:val="20"/>
          <w:szCs w:val="20"/>
          <w:lang w:val="es-CR"/>
        </w:rPr>
        <w:t>.</w:t>
      </w:r>
      <w:r w:rsidRPr="009756CD">
        <w:rPr>
          <w:sz w:val="20"/>
          <w:szCs w:val="20"/>
          <w:lang w:val="es-CR"/>
        </w:rPr>
        <w:t xml:space="preserve"> En efecto,</w:t>
      </w:r>
      <w:r w:rsidR="00EF12D6" w:rsidRPr="009756CD">
        <w:rPr>
          <w:sz w:val="20"/>
          <w:szCs w:val="20"/>
          <w:lang w:val="es-CR"/>
        </w:rPr>
        <w:t xml:space="preserve"> dicha norma no estatuye una suerte de inmunidad general de enjuiciamiento </w:t>
      </w:r>
      <w:r w:rsidRPr="009756CD">
        <w:rPr>
          <w:sz w:val="20"/>
          <w:szCs w:val="20"/>
          <w:lang w:val="es-CR"/>
        </w:rPr>
        <w:t>n</w:t>
      </w:r>
      <w:r w:rsidR="00EF12D6" w:rsidRPr="009756CD">
        <w:rPr>
          <w:sz w:val="20"/>
          <w:szCs w:val="20"/>
          <w:lang w:val="es-CR"/>
        </w:rPr>
        <w:t>i</w:t>
      </w:r>
      <w:r w:rsidRPr="009756CD">
        <w:rPr>
          <w:sz w:val="20"/>
          <w:szCs w:val="20"/>
          <w:lang w:val="es-CR"/>
        </w:rPr>
        <w:t xml:space="preserve"> impide incoar los procedimientos que legalmente correspondan, sino que</w:t>
      </w:r>
      <w:r w:rsidR="00EF12D6" w:rsidRPr="009756CD">
        <w:rPr>
          <w:sz w:val="20"/>
          <w:szCs w:val="20"/>
          <w:lang w:val="es-CR"/>
        </w:rPr>
        <w:t xml:space="preserve"> lo que</w:t>
      </w:r>
      <w:r w:rsidRPr="009756CD">
        <w:rPr>
          <w:sz w:val="20"/>
          <w:szCs w:val="20"/>
          <w:lang w:val="es-CR"/>
        </w:rPr>
        <w:t xml:space="preserve"> prohíbe </w:t>
      </w:r>
      <w:r w:rsidR="00EF12D6" w:rsidRPr="009756CD">
        <w:rPr>
          <w:sz w:val="20"/>
          <w:szCs w:val="20"/>
          <w:lang w:val="es-CR"/>
        </w:rPr>
        <w:t xml:space="preserve">es </w:t>
      </w:r>
      <w:r w:rsidRPr="009756CD">
        <w:rPr>
          <w:sz w:val="20"/>
          <w:szCs w:val="20"/>
          <w:lang w:val="es-CR"/>
        </w:rPr>
        <w:t xml:space="preserve">que </w:t>
      </w:r>
      <w:r w:rsidR="00EF12D6" w:rsidRPr="009756CD">
        <w:rPr>
          <w:sz w:val="20"/>
          <w:szCs w:val="20"/>
          <w:lang w:val="es-CR"/>
        </w:rPr>
        <w:t>é</w:t>
      </w:r>
      <w:r w:rsidRPr="009756CD">
        <w:rPr>
          <w:sz w:val="20"/>
          <w:szCs w:val="20"/>
          <w:lang w:val="es-CR"/>
        </w:rPr>
        <w:t>stos sean iniciados a causa de las “declaraciones o [la] defensa legal” ante este Tribunal.</w:t>
      </w:r>
      <w:r w:rsidR="00EF12D6" w:rsidRPr="009756CD">
        <w:rPr>
          <w:sz w:val="20"/>
          <w:szCs w:val="20"/>
          <w:lang w:val="es-CR"/>
        </w:rPr>
        <w:t xml:space="preserve"> </w:t>
      </w:r>
      <w:r w:rsidRPr="009756CD">
        <w:rPr>
          <w:sz w:val="20"/>
          <w:szCs w:val="20"/>
          <w:lang w:val="es-CR"/>
        </w:rPr>
        <w:t>En esta línea, l</w:t>
      </w:r>
      <w:r w:rsidR="001324B6" w:rsidRPr="009756CD">
        <w:rPr>
          <w:sz w:val="20"/>
          <w:szCs w:val="20"/>
          <w:lang w:val="es-CR"/>
        </w:rPr>
        <w:t>a Corte no puede desconocer la gravedad que reviste alegar que un Estado se encuentra tomando represalias por la participación de la víctima en el proceso ante este Tribunal</w:t>
      </w:r>
      <w:r w:rsidR="008130A4" w:rsidRPr="009756CD">
        <w:rPr>
          <w:sz w:val="20"/>
          <w:szCs w:val="20"/>
          <w:lang w:val="es-CR"/>
        </w:rPr>
        <w:t xml:space="preserve">, por lo que </w:t>
      </w:r>
      <w:r w:rsidR="00EF12D6" w:rsidRPr="009756CD">
        <w:rPr>
          <w:sz w:val="20"/>
          <w:szCs w:val="20"/>
          <w:lang w:val="es-CR"/>
        </w:rPr>
        <w:t xml:space="preserve">examinará cuidadosamente el nexo entre </w:t>
      </w:r>
      <w:r w:rsidR="008130A4" w:rsidRPr="009756CD">
        <w:rPr>
          <w:sz w:val="20"/>
          <w:szCs w:val="20"/>
          <w:lang w:val="es-CR"/>
        </w:rPr>
        <w:t>la situación invocada</w:t>
      </w:r>
      <w:r w:rsidR="00EF12D6" w:rsidRPr="009756CD">
        <w:rPr>
          <w:sz w:val="20"/>
          <w:szCs w:val="20"/>
          <w:lang w:val="es-CR"/>
        </w:rPr>
        <w:t xml:space="preserve"> y la naturaleza del accionar estatal</w:t>
      </w:r>
      <w:r w:rsidR="001324B6" w:rsidRPr="009756CD">
        <w:rPr>
          <w:sz w:val="20"/>
          <w:szCs w:val="20"/>
          <w:lang w:val="es-CR"/>
        </w:rPr>
        <w:t>.</w:t>
      </w:r>
    </w:p>
    <w:p w14:paraId="33705B1E" w14:textId="77777777" w:rsidR="00943ECA" w:rsidRPr="009756CD" w:rsidRDefault="00943ECA" w:rsidP="00617824">
      <w:pPr>
        <w:spacing w:after="0" w:line="240" w:lineRule="auto"/>
        <w:jc w:val="both"/>
        <w:rPr>
          <w:rFonts w:ascii="Verdana" w:hAnsi="Verdana"/>
          <w:sz w:val="20"/>
          <w:szCs w:val="20"/>
          <w:lang w:val="es-CR"/>
        </w:rPr>
      </w:pPr>
    </w:p>
    <w:p w14:paraId="7169F650" w14:textId="3E831184" w:rsidR="001324B6" w:rsidRPr="009756CD" w:rsidRDefault="008D7C97" w:rsidP="00C339EB">
      <w:pPr>
        <w:pStyle w:val="Prrafodelista1"/>
        <w:numPr>
          <w:ilvl w:val="0"/>
          <w:numId w:val="17"/>
        </w:numPr>
        <w:tabs>
          <w:tab w:val="clear" w:pos="360"/>
          <w:tab w:val="num" w:pos="0"/>
          <w:tab w:val="num" w:pos="567"/>
        </w:tabs>
        <w:ind w:left="0" w:firstLine="0"/>
        <w:contextualSpacing w:val="0"/>
        <w:jc w:val="both"/>
        <w:rPr>
          <w:rFonts w:eastAsia="Calibri"/>
          <w:sz w:val="20"/>
          <w:szCs w:val="20"/>
          <w:lang w:val="es-CR"/>
        </w:rPr>
      </w:pPr>
      <w:r w:rsidRPr="009756CD">
        <w:rPr>
          <w:sz w:val="20"/>
          <w:szCs w:val="20"/>
          <w:lang w:val="es-CR"/>
        </w:rPr>
        <w:t xml:space="preserve">La Corte advierte que, en el presente caso, el procedimiento tributario iniciado en agosto de 2016 no </w:t>
      </w:r>
      <w:r w:rsidRPr="009756CD">
        <w:rPr>
          <w:sz w:val="20"/>
          <w:lang w:val="es-CR"/>
        </w:rPr>
        <w:t>está</w:t>
      </w:r>
      <w:r w:rsidRPr="009756CD">
        <w:rPr>
          <w:sz w:val="20"/>
          <w:szCs w:val="20"/>
          <w:lang w:val="es-CR"/>
        </w:rPr>
        <w:t xml:space="preserve"> directamente relacionado con los hechos del presente caso o con el pago de indemnizaciones ordenadas en la Sentencia, sino que versa sobre impuestos correspondientes a los años 2004, 2005 y 2011, cuya ejecución se dispuso en enero de 2017, es decir, luego de la notificación de la Sentencia. De la prueba aportada, tampoco se desprende un motivo explícito</w:t>
      </w:r>
      <w:r w:rsidR="008B4047" w:rsidRPr="009756CD">
        <w:rPr>
          <w:sz w:val="20"/>
          <w:szCs w:val="20"/>
          <w:lang w:val="es-CR"/>
        </w:rPr>
        <w:t>,</w:t>
      </w:r>
      <w:r w:rsidRPr="009756CD">
        <w:rPr>
          <w:sz w:val="20"/>
          <w:szCs w:val="20"/>
          <w:lang w:val="es-CR"/>
        </w:rPr>
        <w:t xml:space="preserve"> </w:t>
      </w:r>
      <w:r w:rsidR="001324B6" w:rsidRPr="009756CD">
        <w:rPr>
          <w:sz w:val="20"/>
          <w:szCs w:val="20"/>
          <w:lang w:val="es-CR"/>
        </w:rPr>
        <w:t>que se relacione con el hecho de que el Estado estuviera siendo demandado en el ámbito internacional</w:t>
      </w:r>
      <w:r w:rsidR="008B4047" w:rsidRPr="009756CD">
        <w:rPr>
          <w:sz w:val="20"/>
          <w:szCs w:val="20"/>
          <w:lang w:val="es-CR"/>
        </w:rPr>
        <w:t>,</w:t>
      </w:r>
      <w:r w:rsidR="001324B6" w:rsidRPr="009756CD">
        <w:rPr>
          <w:sz w:val="20"/>
          <w:szCs w:val="20"/>
          <w:lang w:val="es-CR"/>
        </w:rPr>
        <w:t xml:space="preserve"> como fundamento para incoar</w:t>
      </w:r>
      <w:r w:rsidRPr="009756CD">
        <w:rPr>
          <w:sz w:val="20"/>
          <w:szCs w:val="20"/>
          <w:lang w:val="es-CR"/>
        </w:rPr>
        <w:t xml:space="preserve"> dicho procedimiento tributario</w:t>
      </w:r>
      <w:r w:rsidRPr="009756CD">
        <w:rPr>
          <w:rStyle w:val="FootnoteReference"/>
          <w:sz w:val="20"/>
          <w:szCs w:val="20"/>
          <w:lang w:val="es-CR"/>
        </w:rPr>
        <w:footnoteReference w:id="18"/>
      </w:r>
      <w:r w:rsidRPr="009756CD">
        <w:rPr>
          <w:sz w:val="20"/>
          <w:szCs w:val="20"/>
          <w:lang w:val="es-CR"/>
        </w:rPr>
        <w:t xml:space="preserve">. </w:t>
      </w:r>
      <w:r w:rsidR="00846A44" w:rsidRPr="009756CD">
        <w:rPr>
          <w:sz w:val="20"/>
          <w:szCs w:val="20"/>
          <w:lang w:val="es-CR"/>
        </w:rPr>
        <w:t>La base jurídica</w:t>
      </w:r>
      <w:r w:rsidRPr="009756CD">
        <w:rPr>
          <w:sz w:val="20"/>
          <w:szCs w:val="20"/>
          <w:lang w:val="es-CR"/>
        </w:rPr>
        <w:t xml:space="preserve"> por l</w:t>
      </w:r>
      <w:r w:rsidR="00846A44" w:rsidRPr="009756CD">
        <w:rPr>
          <w:sz w:val="20"/>
          <w:szCs w:val="20"/>
          <w:lang w:val="es-CR"/>
        </w:rPr>
        <w:t>a</w:t>
      </w:r>
      <w:r w:rsidRPr="009756CD">
        <w:rPr>
          <w:sz w:val="20"/>
          <w:szCs w:val="20"/>
          <w:lang w:val="es-CR"/>
        </w:rPr>
        <w:t xml:space="preserve"> cual se inició dicho procedimiento sería deudas tributarias que no han sido negadas por la solicitante</w:t>
      </w:r>
      <w:r w:rsidR="004071A0" w:rsidRPr="009756CD">
        <w:rPr>
          <w:sz w:val="20"/>
          <w:szCs w:val="20"/>
          <w:lang w:val="es-CR"/>
        </w:rPr>
        <w:t>, ya que sus alegatos se han centrado en argumentar que</w:t>
      </w:r>
      <w:r w:rsidR="001324B6" w:rsidRPr="009756CD">
        <w:rPr>
          <w:sz w:val="20"/>
          <w:szCs w:val="20"/>
          <w:lang w:val="es-CR"/>
        </w:rPr>
        <w:t xml:space="preserve"> dicha</w:t>
      </w:r>
      <w:r w:rsidR="004071A0" w:rsidRPr="009756CD">
        <w:rPr>
          <w:sz w:val="20"/>
          <w:szCs w:val="20"/>
          <w:lang w:val="es-CR"/>
        </w:rPr>
        <w:t xml:space="preserve"> deuda tributaria se encontraría prescrita. </w:t>
      </w:r>
      <w:r w:rsidR="001324B6" w:rsidRPr="009756CD">
        <w:rPr>
          <w:sz w:val="20"/>
          <w:szCs w:val="20"/>
          <w:lang w:val="es-CR"/>
        </w:rPr>
        <w:t xml:space="preserve">En esta línea, </w:t>
      </w:r>
      <w:r w:rsidR="003820C9">
        <w:rPr>
          <w:sz w:val="20"/>
          <w:szCs w:val="20"/>
          <w:lang w:val="es-CR"/>
        </w:rPr>
        <w:t>el Tribunal</w:t>
      </w:r>
      <w:r w:rsidR="001324B6" w:rsidRPr="009756CD">
        <w:rPr>
          <w:sz w:val="20"/>
          <w:szCs w:val="20"/>
          <w:lang w:val="es-CR"/>
        </w:rPr>
        <w:t xml:space="preserve"> resalta que no es función de la Corte </w:t>
      </w:r>
      <w:r w:rsidR="003820C9">
        <w:rPr>
          <w:sz w:val="20"/>
          <w:szCs w:val="20"/>
          <w:lang w:val="es-CR"/>
        </w:rPr>
        <w:t xml:space="preserve">Interamericana </w:t>
      </w:r>
      <w:r w:rsidR="001324B6" w:rsidRPr="009756CD">
        <w:rPr>
          <w:sz w:val="20"/>
          <w:szCs w:val="20"/>
          <w:lang w:val="es-CR"/>
        </w:rPr>
        <w:t>pronunciarse sobre la controversia respecto a si la deuda tributaria se encuentra prescrita o no.</w:t>
      </w:r>
    </w:p>
    <w:p w14:paraId="75E5BB59" w14:textId="77777777" w:rsidR="001324B6" w:rsidRPr="009756CD" w:rsidRDefault="001324B6" w:rsidP="001324B6">
      <w:pPr>
        <w:pStyle w:val="Prrafodelista1"/>
        <w:tabs>
          <w:tab w:val="num" w:pos="567"/>
        </w:tabs>
        <w:contextualSpacing w:val="0"/>
        <w:jc w:val="both"/>
        <w:rPr>
          <w:rFonts w:eastAsia="Calibri"/>
          <w:sz w:val="20"/>
          <w:szCs w:val="20"/>
          <w:lang w:val="es-CR"/>
        </w:rPr>
      </w:pPr>
    </w:p>
    <w:p w14:paraId="2135B513" w14:textId="7DC07673" w:rsidR="00135CFD" w:rsidRPr="009756CD" w:rsidRDefault="008B4047" w:rsidP="00C339EB">
      <w:pPr>
        <w:pStyle w:val="Prrafodelista1"/>
        <w:numPr>
          <w:ilvl w:val="0"/>
          <w:numId w:val="17"/>
        </w:numPr>
        <w:tabs>
          <w:tab w:val="clear" w:pos="360"/>
          <w:tab w:val="num" w:pos="0"/>
          <w:tab w:val="num" w:pos="567"/>
        </w:tabs>
        <w:ind w:left="0" w:firstLine="0"/>
        <w:contextualSpacing w:val="0"/>
        <w:jc w:val="both"/>
        <w:rPr>
          <w:sz w:val="20"/>
          <w:szCs w:val="20"/>
          <w:lang w:val="es-CR"/>
        </w:rPr>
      </w:pPr>
      <w:r w:rsidRPr="009756CD">
        <w:rPr>
          <w:sz w:val="20"/>
          <w:szCs w:val="20"/>
          <w:lang w:val="es-CR"/>
        </w:rPr>
        <w:t xml:space="preserve">La Corte nota que, en el marco de sus argumentaciones, la representante </w:t>
      </w:r>
      <w:r w:rsidR="006038D1" w:rsidRPr="009756CD">
        <w:rPr>
          <w:sz w:val="20"/>
          <w:szCs w:val="20"/>
          <w:lang w:val="es-CR"/>
        </w:rPr>
        <w:t>aludió a</w:t>
      </w:r>
      <w:r w:rsidRPr="009756CD">
        <w:rPr>
          <w:sz w:val="20"/>
          <w:szCs w:val="20"/>
          <w:lang w:val="es-CR"/>
        </w:rPr>
        <w:t xml:space="preserve"> la existencia de un </w:t>
      </w:r>
      <w:r w:rsidR="008F19BD" w:rsidRPr="009756CD">
        <w:rPr>
          <w:sz w:val="20"/>
          <w:szCs w:val="20"/>
          <w:lang w:val="es-CR"/>
        </w:rPr>
        <w:t xml:space="preserve">alegado </w:t>
      </w:r>
      <w:r w:rsidRPr="009756CD">
        <w:rPr>
          <w:sz w:val="20"/>
          <w:szCs w:val="20"/>
          <w:lang w:val="es-CR"/>
        </w:rPr>
        <w:t>contexto de</w:t>
      </w:r>
      <w:r w:rsidR="002C6F4D" w:rsidRPr="009756CD">
        <w:rPr>
          <w:sz w:val="20"/>
          <w:szCs w:val="20"/>
          <w:lang w:val="es-CR"/>
        </w:rPr>
        <w:t xml:space="preserve"> “práctica de acoso judicial y administrativo contra la oposición política, o personas que ‘incomodan’ al gobierno”</w:t>
      </w:r>
      <w:r w:rsidR="00717376" w:rsidRPr="009756CD">
        <w:rPr>
          <w:sz w:val="20"/>
          <w:szCs w:val="20"/>
          <w:lang w:val="es-CR"/>
        </w:rPr>
        <w:t xml:space="preserve"> (</w:t>
      </w:r>
      <w:r w:rsidR="00717376" w:rsidRPr="009756CD">
        <w:rPr>
          <w:i/>
          <w:sz w:val="20"/>
          <w:szCs w:val="20"/>
          <w:lang w:val="es-CR"/>
        </w:rPr>
        <w:t>supra</w:t>
      </w:r>
      <w:r w:rsidR="00717376" w:rsidRPr="009756CD">
        <w:rPr>
          <w:sz w:val="20"/>
          <w:szCs w:val="20"/>
          <w:lang w:val="es-CR"/>
        </w:rPr>
        <w:t xml:space="preserve"> Visto 12)</w:t>
      </w:r>
      <w:r w:rsidR="002C6F4D" w:rsidRPr="009756CD">
        <w:rPr>
          <w:sz w:val="20"/>
          <w:szCs w:val="20"/>
          <w:lang w:val="es-CR"/>
        </w:rPr>
        <w:t>, por lo que sostuvo que el proceso tributario iniciado contra la señora I.V. no sería una práctica aislada. Apoyó sus afirmaciones en los siguiente</w:t>
      </w:r>
      <w:r w:rsidR="006038D1" w:rsidRPr="009756CD">
        <w:rPr>
          <w:sz w:val="20"/>
          <w:szCs w:val="20"/>
          <w:lang w:val="es-CR"/>
        </w:rPr>
        <w:t>s</w:t>
      </w:r>
      <w:r w:rsidR="002C6F4D" w:rsidRPr="009756CD">
        <w:rPr>
          <w:sz w:val="20"/>
          <w:szCs w:val="20"/>
          <w:lang w:val="es-CR"/>
        </w:rPr>
        <w:t xml:space="preserve"> elementos: </w:t>
      </w:r>
      <w:r w:rsidR="009A5FE9">
        <w:rPr>
          <w:sz w:val="20"/>
          <w:szCs w:val="20"/>
          <w:lang w:val="es-CR"/>
        </w:rPr>
        <w:t>a</w:t>
      </w:r>
      <w:r w:rsidR="00EC7757" w:rsidRPr="009756CD">
        <w:rPr>
          <w:sz w:val="20"/>
          <w:szCs w:val="20"/>
          <w:lang w:val="es-CR"/>
        </w:rPr>
        <w:t xml:space="preserve">) lo alegado en la solicitud de medidas provisionales en el caso </w:t>
      </w:r>
      <w:r w:rsidR="00EC7757" w:rsidRPr="009756CD">
        <w:rPr>
          <w:i/>
          <w:sz w:val="20"/>
          <w:szCs w:val="20"/>
          <w:lang w:val="es-CR"/>
        </w:rPr>
        <w:t>Ibsen Cárdenas e Ibsen Peña Vs. Bolivia</w:t>
      </w:r>
      <w:r w:rsidR="00EE24DD" w:rsidRPr="009756CD">
        <w:rPr>
          <w:sz w:val="20"/>
          <w:szCs w:val="20"/>
          <w:lang w:val="es-CR"/>
        </w:rPr>
        <w:t>, en cuanto a que supuestamente se habría intentado cobrar multas a través del Servicio de Impuestos por años atrasados que estarían prescritas</w:t>
      </w:r>
      <w:r w:rsidR="00EC7757" w:rsidRPr="009756CD">
        <w:rPr>
          <w:sz w:val="20"/>
          <w:szCs w:val="20"/>
          <w:lang w:val="es-CR"/>
        </w:rPr>
        <w:t xml:space="preserve">; </w:t>
      </w:r>
      <w:r w:rsidR="009A5FE9">
        <w:rPr>
          <w:sz w:val="20"/>
          <w:szCs w:val="20"/>
          <w:lang w:val="es-CR"/>
        </w:rPr>
        <w:t>b</w:t>
      </w:r>
      <w:r w:rsidR="00EC7757" w:rsidRPr="009756CD">
        <w:rPr>
          <w:sz w:val="20"/>
          <w:szCs w:val="20"/>
          <w:lang w:val="es-CR"/>
        </w:rPr>
        <w:t>) un informe del año 2013 de la Oficina del Alto Comisionado de Naciones Unidas para los Derechos Humanos que alertaba sobre procedimientos judiciales de corrupción contra la oposición política y antiguos servidores públicos</w:t>
      </w:r>
      <w:r w:rsidR="006038D1" w:rsidRPr="009756CD">
        <w:rPr>
          <w:sz w:val="20"/>
          <w:szCs w:val="20"/>
          <w:lang w:val="es-CR"/>
        </w:rPr>
        <w:t xml:space="preserve">, y </w:t>
      </w:r>
      <w:r w:rsidR="009A5FE9">
        <w:rPr>
          <w:sz w:val="20"/>
          <w:szCs w:val="20"/>
          <w:lang w:val="es-CR"/>
        </w:rPr>
        <w:t>c</w:t>
      </w:r>
      <w:r w:rsidR="006038D1" w:rsidRPr="009756CD">
        <w:rPr>
          <w:sz w:val="20"/>
          <w:szCs w:val="20"/>
          <w:lang w:val="es-CR"/>
        </w:rPr>
        <w:t>) una petición de medidas cautelares por parte de organizaciones no gubernamentales</w:t>
      </w:r>
      <w:r w:rsidR="00747D0B" w:rsidRPr="009756CD">
        <w:rPr>
          <w:sz w:val="20"/>
          <w:szCs w:val="20"/>
          <w:lang w:val="es-CR"/>
        </w:rPr>
        <w:t xml:space="preserve"> basada en supuestas vulneraciones a la libertad de asociación</w:t>
      </w:r>
      <w:r w:rsidR="00EC7757" w:rsidRPr="009756CD">
        <w:rPr>
          <w:sz w:val="20"/>
          <w:szCs w:val="20"/>
          <w:lang w:val="es-CR"/>
        </w:rPr>
        <w:t>.</w:t>
      </w:r>
    </w:p>
    <w:p w14:paraId="1927512F" w14:textId="77777777" w:rsidR="008B4047" w:rsidRPr="009756CD" w:rsidRDefault="008B4047" w:rsidP="00617824">
      <w:pPr>
        <w:spacing w:after="0" w:line="240" w:lineRule="auto"/>
        <w:jc w:val="both"/>
        <w:rPr>
          <w:rFonts w:ascii="Verdana" w:hAnsi="Verdana"/>
          <w:sz w:val="20"/>
          <w:szCs w:val="20"/>
          <w:lang w:val="es-CR"/>
        </w:rPr>
      </w:pPr>
    </w:p>
    <w:p w14:paraId="72E61EC4" w14:textId="46495472" w:rsidR="006038D1" w:rsidRPr="009756CD" w:rsidRDefault="008B0211" w:rsidP="00C339EB">
      <w:pPr>
        <w:pStyle w:val="Prrafodelista1"/>
        <w:numPr>
          <w:ilvl w:val="0"/>
          <w:numId w:val="17"/>
        </w:numPr>
        <w:tabs>
          <w:tab w:val="clear" w:pos="360"/>
          <w:tab w:val="num" w:pos="0"/>
          <w:tab w:val="num" w:pos="567"/>
        </w:tabs>
        <w:ind w:left="0" w:firstLine="0"/>
        <w:contextualSpacing w:val="0"/>
        <w:jc w:val="both"/>
        <w:rPr>
          <w:sz w:val="20"/>
          <w:szCs w:val="20"/>
          <w:lang w:val="es-CR"/>
        </w:rPr>
      </w:pPr>
      <w:r w:rsidRPr="009756CD">
        <w:rPr>
          <w:sz w:val="20"/>
          <w:szCs w:val="20"/>
          <w:lang w:val="es-CR"/>
        </w:rPr>
        <w:t xml:space="preserve">Al respecto, el Tribunal estima que </w:t>
      </w:r>
      <w:r w:rsidR="00EE24DD" w:rsidRPr="009756CD">
        <w:rPr>
          <w:sz w:val="20"/>
          <w:szCs w:val="20"/>
          <w:lang w:val="es-CR"/>
        </w:rPr>
        <w:t>lo alegado por la representante</w:t>
      </w:r>
      <w:r w:rsidRPr="009756CD">
        <w:rPr>
          <w:sz w:val="20"/>
          <w:szCs w:val="20"/>
          <w:lang w:val="es-CR"/>
        </w:rPr>
        <w:t xml:space="preserve"> no </w:t>
      </w:r>
      <w:r w:rsidR="00747D0B" w:rsidRPr="009756CD">
        <w:rPr>
          <w:sz w:val="20"/>
          <w:szCs w:val="20"/>
          <w:lang w:val="es-CR"/>
        </w:rPr>
        <w:t xml:space="preserve">es </w:t>
      </w:r>
      <w:r w:rsidRPr="009756CD">
        <w:rPr>
          <w:sz w:val="20"/>
          <w:szCs w:val="20"/>
          <w:lang w:val="es-CR"/>
        </w:rPr>
        <w:t>suficiente</w:t>
      </w:r>
      <w:r w:rsidR="00747D0B" w:rsidRPr="009756CD">
        <w:rPr>
          <w:sz w:val="20"/>
          <w:szCs w:val="20"/>
          <w:lang w:val="es-CR"/>
        </w:rPr>
        <w:t xml:space="preserve"> </w:t>
      </w:r>
      <w:r w:rsidRPr="009756CD">
        <w:rPr>
          <w:sz w:val="20"/>
          <w:szCs w:val="20"/>
          <w:lang w:val="es-CR"/>
        </w:rPr>
        <w:t xml:space="preserve">para sustentar el </w:t>
      </w:r>
      <w:r w:rsidR="006038D1" w:rsidRPr="009756CD">
        <w:rPr>
          <w:sz w:val="20"/>
          <w:szCs w:val="20"/>
          <w:lang w:val="es-CR"/>
        </w:rPr>
        <w:t>dictado</w:t>
      </w:r>
      <w:r w:rsidRPr="009756CD">
        <w:rPr>
          <w:sz w:val="20"/>
          <w:szCs w:val="20"/>
          <w:lang w:val="es-CR"/>
        </w:rPr>
        <w:t xml:space="preserve"> de las medidas provisionales</w:t>
      </w:r>
      <w:r w:rsidR="00E906AC" w:rsidRPr="009756CD">
        <w:rPr>
          <w:sz w:val="20"/>
          <w:szCs w:val="20"/>
          <w:lang w:val="es-CR"/>
        </w:rPr>
        <w:t xml:space="preserve"> o para sostener que el procedimiento configura una represalia estatal</w:t>
      </w:r>
      <w:r w:rsidR="00EE24DD" w:rsidRPr="009756CD">
        <w:rPr>
          <w:sz w:val="20"/>
          <w:szCs w:val="20"/>
          <w:lang w:val="es-CR"/>
        </w:rPr>
        <w:t xml:space="preserve">. Sobre los puntos </w:t>
      </w:r>
      <w:r w:rsidR="009A5FE9">
        <w:rPr>
          <w:sz w:val="20"/>
          <w:szCs w:val="20"/>
          <w:lang w:val="es-CR"/>
        </w:rPr>
        <w:t>b</w:t>
      </w:r>
      <w:r w:rsidR="00EE24DD" w:rsidRPr="009756CD">
        <w:rPr>
          <w:sz w:val="20"/>
          <w:szCs w:val="20"/>
          <w:lang w:val="es-CR"/>
        </w:rPr>
        <w:t xml:space="preserve">) y </w:t>
      </w:r>
      <w:r w:rsidR="009A5FE9">
        <w:rPr>
          <w:sz w:val="20"/>
          <w:szCs w:val="20"/>
          <w:lang w:val="es-CR"/>
        </w:rPr>
        <w:t>c</w:t>
      </w:r>
      <w:r w:rsidR="00EE24DD" w:rsidRPr="009756CD">
        <w:rPr>
          <w:sz w:val="20"/>
          <w:szCs w:val="20"/>
          <w:lang w:val="es-CR"/>
        </w:rPr>
        <w:t>) la Corte estima que</w:t>
      </w:r>
      <w:r w:rsidRPr="009756CD">
        <w:rPr>
          <w:sz w:val="20"/>
          <w:szCs w:val="20"/>
          <w:lang w:val="es-CR"/>
        </w:rPr>
        <w:t xml:space="preserve"> no existen </w:t>
      </w:r>
      <w:r w:rsidR="006038D1" w:rsidRPr="009756CD">
        <w:rPr>
          <w:sz w:val="20"/>
          <w:szCs w:val="20"/>
          <w:lang w:val="es-CR"/>
        </w:rPr>
        <w:t xml:space="preserve">elementos de comparación o </w:t>
      </w:r>
      <w:r w:rsidR="00EA2A90" w:rsidRPr="009756CD">
        <w:rPr>
          <w:sz w:val="20"/>
          <w:szCs w:val="20"/>
          <w:lang w:val="es-CR"/>
        </w:rPr>
        <w:t>correspondencia</w:t>
      </w:r>
      <w:r w:rsidR="006038D1" w:rsidRPr="009756CD">
        <w:rPr>
          <w:sz w:val="20"/>
          <w:szCs w:val="20"/>
          <w:lang w:val="es-CR"/>
        </w:rPr>
        <w:t xml:space="preserve"> entre los antecedentes mencionados </w:t>
      </w:r>
      <w:r w:rsidR="00EE24DD" w:rsidRPr="009756CD">
        <w:rPr>
          <w:sz w:val="20"/>
          <w:szCs w:val="20"/>
          <w:lang w:val="es-CR"/>
        </w:rPr>
        <w:t xml:space="preserve">y </w:t>
      </w:r>
      <w:r w:rsidR="006038D1" w:rsidRPr="009756CD">
        <w:rPr>
          <w:sz w:val="20"/>
          <w:szCs w:val="20"/>
          <w:lang w:val="es-CR"/>
        </w:rPr>
        <w:t>la forma en que el procedimiento tributario iniciado contra la señora I.V.</w:t>
      </w:r>
      <w:r w:rsidRPr="009756CD">
        <w:rPr>
          <w:sz w:val="20"/>
          <w:szCs w:val="20"/>
          <w:lang w:val="es-CR"/>
        </w:rPr>
        <w:t xml:space="preserve"> </w:t>
      </w:r>
      <w:r w:rsidR="006038D1" w:rsidRPr="009756CD">
        <w:rPr>
          <w:sz w:val="20"/>
          <w:szCs w:val="20"/>
          <w:lang w:val="es-CR"/>
        </w:rPr>
        <w:t xml:space="preserve">se relacionaría con </w:t>
      </w:r>
      <w:r w:rsidR="005E6F15" w:rsidRPr="009756CD">
        <w:rPr>
          <w:sz w:val="20"/>
          <w:szCs w:val="20"/>
          <w:lang w:val="es-CR"/>
        </w:rPr>
        <w:t>los</w:t>
      </w:r>
      <w:r w:rsidR="006038D1" w:rsidRPr="009756CD">
        <w:rPr>
          <w:sz w:val="20"/>
          <w:szCs w:val="20"/>
          <w:lang w:val="es-CR"/>
        </w:rPr>
        <w:t xml:space="preserve"> </w:t>
      </w:r>
      <w:r w:rsidR="00747D0B" w:rsidRPr="009756CD">
        <w:rPr>
          <w:sz w:val="20"/>
          <w:szCs w:val="20"/>
          <w:lang w:val="es-CR"/>
        </w:rPr>
        <w:t>mismo</w:t>
      </w:r>
      <w:r w:rsidR="005E6F15" w:rsidRPr="009756CD">
        <w:rPr>
          <w:sz w:val="20"/>
          <w:szCs w:val="20"/>
          <w:lang w:val="es-CR"/>
        </w:rPr>
        <w:t>s</w:t>
      </w:r>
      <w:r w:rsidR="006038D1" w:rsidRPr="009756CD">
        <w:rPr>
          <w:sz w:val="20"/>
          <w:szCs w:val="20"/>
          <w:lang w:val="es-CR"/>
        </w:rPr>
        <w:t xml:space="preserve">. </w:t>
      </w:r>
      <w:r w:rsidR="00EE24DD" w:rsidRPr="009756CD">
        <w:rPr>
          <w:sz w:val="20"/>
          <w:szCs w:val="20"/>
          <w:lang w:val="es-CR"/>
        </w:rPr>
        <w:t xml:space="preserve">En cuanto al caso </w:t>
      </w:r>
      <w:r w:rsidR="00EE24DD" w:rsidRPr="009756CD">
        <w:rPr>
          <w:i/>
          <w:sz w:val="20"/>
          <w:szCs w:val="20"/>
          <w:lang w:val="es-CR"/>
        </w:rPr>
        <w:t>Ibsen Cárdenas e Ibsen Peña Vs. Bolivia</w:t>
      </w:r>
      <w:r w:rsidR="00EE24DD" w:rsidRPr="009756CD">
        <w:rPr>
          <w:sz w:val="20"/>
          <w:szCs w:val="20"/>
          <w:lang w:val="es-CR"/>
        </w:rPr>
        <w:t xml:space="preserve">, la Corte considera que </w:t>
      </w:r>
      <w:r w:rsidR="0005327F" w:rsidRPr="009756CD">
        <w:rPr>
          <w:sz w:val="20"/>
          <w:szCs w:val="20"/>
          <w:lang w:val="es-CR"/>
        </w:rPr>
        <w:t xml:space="preserve">lo alegado en dicha solicitud de medidas provisionales </w:t>
      </w:r>
      <w:r w:rsidR="00EE24DD" w:rsidRPr="009756CD">
        <w:rPr>
          <w:sz w:val="20"/>
          <w:szCs w:val="20"/>
          <w:lang w:val="es-CR"/>
        </w:rPr>
        <w:t>no constituye prueba suficiente para establecer el alegado contexto, más aún cuando la Corte en el marco de</w:t>
      </w:r>
      <w:r w:rsidR="0005327F" w:rsidRPr="009756CD">
        <w:rPr>
          <w:sz w:val="20"/>
          <w:szCs w:val="20"/>
          <w:lang w:val="es-CR"/>
        </w:rPr>
        <w:t xml:space="preserve"> este</w:t>
      </w:r>
      <w:r w:rsidR="00EE24DD" w:rsidRPr="009756CD">
        <w:rPr>
          <w:sz w:val="20"/>
          <w:szCs w:val="20"/>
          <w:lang w:val="es-CR"/>
        </w:rPr>
        <w:t xml:space="preserve"> procedimiento no establece hechos probados, sino que el estándar de apreciación es </w:t>
      </w:r>
      <w:r w:rsidR="00EE24DD" w:rsidRPr="009756CD">
        <w:rPr>
          <w:i/>
          <w:sz w:val="20"/>
          <w:szCs w:val="20"/>
          <w:lang w:val="es-CR"/>
        </w:rPr>
        <w:t>prima facie,</w:t>
      </w:r>
      <w:r w:rsidR="00EE24DD" w:rsidRPr="009756CD">
        <w:rPr>
          <w:sz w:val="20"/>
          <w:szCs w:val="20"/>
          <w:lang w:val="es-CR"/>
        </w:rPr>
        <w:t xml:space="preserve"> y en el caso particular desestimó la solicitud de medidas provisionales</w:t>
      </w:r>
      <w:r w:rsidR="003503A7" w:rsidRPr="009756CD">
        <w:rPr>
          <w:rStyle w:val="FootnoteReference"/>
          <w:sz w:val="20"/>
          <w:szCs w:val="20"/>
          <w:lang w:val="es-CR"/>
        </w:rPr>
        <w:footnoteReference w:id="19"/>
      </w:r>
      <w:r w:rsidR="00EE24DD" w:rsidRPr="009756CD">
        <w:rPr>
          <w:sz w:val="20"/>
          <w:szCs w:val="20"/>
          <w:lang w:val="es-CR"/>
        </w:rPr>
        <w:t>.</w:t>
      </w:r>
    </w:p>
    <w:p w14:paraId="4176ECA1" w14:textId="77777777" w:rsidR="006038D1" w:rsidRPr="009756CD" w:rsidRDefault="006038D1" w:rsidP="006038D1">
      <w:pPr>
        <w:pStyle w:val="Prrafodelista1"/>
        <w:tabs>
          <w:tab w:val="num" w:pos="567"/>
        </w:tabs>
        <w:contextualSpacing w:val="0"/>
        <w:jc w:val="both"/>
        <w:rPr>
          <w:sz w:val="20"/>
          <w:szCs w:val="20"/>
          <w:lang w:val="es-CR"/>
        </w:rPr>
      </w:pPr>
    </w:p>
    <w:p w14:paraId="67120993" w14:textId="658383B3" w:rsidR="00155CE4" w:rsidRPr="009756CD" w:rsidRDefault="00155CE4" w:rsidP="00C339EB">
      <w:pPr>
        <w:pStyle w:val="Prrafodelista1"/>
        <w:numPr>
          <w:ilvl w:val="0"/>
          <w:numId w:val="17"/>
        </w:numPr>
        <w:tabs>
          <w:tab w:val="clear" w:pos="360"/>
          <w:tab w:val="num" w:pos="0"/>
          <w:tab w:val="num" w:pos="567"/>
        </w:tabs>
        <w:ind w:left="0" w:firstLine="0"/>
        <w:contextualSpacing w:val="0"/>
        <w:jc w:val="both"/>
        <w:rPr>
          <w:sz w:val="20"/>
          <w:szCs w:val="20"/>
          <w:lang w:val="es-CR"/>
        </w:rPr>
      </w:pPr>
      <w:r w:rsidRPr="009756CD">
        <w:rPr>
          <w:sz w:val="20"/>
          <w:szCs w:val="20"/>
          <w:lang w:val="es-CR"/>
        </w:rPr>
        <w:t xml:space="preserve">Por todo lo anteriormente expuesto, </w:t>
      </w:r>
      <w:r w:rsidRPr="009756CD">
        <w:rPr>
          <w:sz w:val="20"/>
          <w:lang w:val="es-CR"/>
        </w:rPr>
        <w:t>la Corte encuentra improcedente la adopción de las medidas provisionales solicitadas en el presente caso.</w:t>
      </w:r>
    </w:p>
    <w:p w14:paraId="3A062B90" w14:textId="77777777" w:rsidR="00155CE4" w:rsidRPr="009756CD" w:rsidRDefault="00155CE4" w:rsidP="006038D1">
      <w:pPr>
        <w:pStyle w:val="Prrafodelista1"/>
        <w:tabs>
          <w:tab w:val="num" w:pos="567"/>
        </w:tabs>
        <w:contextualSpacing w:val="0"/>
        <w:jc w:val="both"/>
        <w:rPr>
          <w:sz w:val="20"/>
          <w:szCs w:val="20"/>
          <w:lang w:val="es-CR"/>
        </w:rPr>
      </w:pPr>
    </w:p>
    <w:p w14:paraId="39CAF3B5" w14:textId="75F8675E" w:rsidR="00C73046" w:rsidRPr="009756CD" w:rsidRDefault="00135CFD" w:rsidP="00C339EB">
      <w:pPr>
        <w:pStyle w:val="Prrafodelista1"/>
        <w:numPr>
          <w:ilvl w:val="0"/>
          <w:numId w:val="17"/>
        </w:numPr>
        <w:tabs>
          <w:tab w:val="clear" w:pos="360"/>
          <w:tab w:val="num" w:pos="0"/>
          <w:tab w:val="num" w:pos="567"/>
        </w:tabs>
        <w:ind w:left="0" w:firstLine="0"/>
        <w:contextualSpacing w:val="0"/>
        <w:jc w:val="both"/>
        <w:rPr>
          <w:sz w:val="20"/>
          <w:szCs w:val="20"/>
          <w:lang w:val="es-CR"/>
        </w:rPr>
      </w:pPr>
      <w:r w:rsidRPr="009756CD">
        <w:rPr>
          <w:sz w:val="20"/>
          <w:lang w:val="es-CR"/>
        </w:rPr>
        <w:t xml:space="preserve">Sin </w:t>
      </w:r>
      <w:r w:rsidRPr="00C339EB">
        <w:rPr>
          <w:sz w:val="20"/>
          <w:szCs w:val="20"/>
          <w:lang w:val="es-CR"/>
        </w:rPr>
        <w:t>perjuicio</w:t>
      </w:r>
      <w:r w:rsidRPr="009756CD">
        <w:rPr>
          <w:sz w:val="20"/>
          <w:lang w:val="es-CR"/>
        </w:rPr>
        <w:t xml:space="preserve"> de lo anterior, se recuerda al Estado que el artículo 1.1 de la Convención Americana establece las obligaciones generales que tienen los Estados Parte de respetar los derechos y libertades en </w:t>
      </w:r>
      <w:r w:rsidRPr="009756CD">
        <w:rPr>
          <w:sz w:val="20"/>
          <w:szCs w:val="20"/>
          <w:lang w:val="es-CR"/>
        </w:rPr>
        <w:t>ella</w:t>
      </w:r>
      <w:r w:rsidRPr="009756CD">
        <w:rPr>
          <w:sz w:val="20"/>
          <w:lang w:val="es-CR"/>
        </w:rPr>
        <w:t xml:space="preserve"> consagrados y de garantizar su libre y pleno ejercicio a toda persona que esté sujeta a su jurisdicción, las cuales se imponen no sólo en relación con el poder del Estado sino también en relación con actuaciones de terceros particulares. </w:t>
      </w:r>
      <w:r w:rsidR="007A46A1" w:rsidRPr="009756CD">
        <w:rPr>
          <w:sz w:val="20"/>
          <w:szCs w:val="20"/>
          <w:lang w:val="es-CR"/>
        </w:rPr>
        <w:t>Este deber se torna aún más evidente en relación con quienes estén vinculados a procesos ante los órganos de supervisión de la Convención</w:t>
      </w:r>
      <w:r w:rsidR="007A46A1" w:rsidRPr="009756CD">
        <w:rPr>
          <w:sz w:val="20"/>
          <w:szCs w:val="20"/>
          <w:vertAlign w:val="superscript"/>
          <w:lang w:val="es-CR"/>
        </w:rPr>
        <w:footnoteReference w:id="20"/>
      </w:r>
      <w:r w:rsidR="007A46A1" w:rsidRPr="009756CD">
        <w:rPr>
          <w:sz w:val="20"/>
          <w:szCs w:val="20"/>
          <w:lang w:val="es-CR"/>
        </w:rPr>
        <w:t xml:space="preserve">. </w:t>
      </w:r>
      <w:r w:rsidRPr="009756CD">
        <w:rPr>
          <w:sz w:val="20"/>
          <w:lang w:val="es-CR"/>
        </w:rPr>
        <w:t xml:space="preserve">Por ello, el Estado se encuentra obligado a garantizar los derechos de la </w:t>
      </w:r>
      <w:r w:rsidR="007A46A1" w:rsidRPr="009756CD">
        <w:rPr>
          <w:sz w:val="20"/>
          <w:lang w:val="es-CR"/>
        </w:rPr>
        <w:t>seño</w:t>
      </w:r>
      <w:r w:rsidR="007A7402" w:rsidRPr="009756CD">
        <w:rPr>
          <w:sz w:val="20"/>
          <w:lang w:val="es-CR"/>
        </w:rPr>
        <w:t>r</w:t>
      </w:r>
      <w:r w:rsidR="007A46A1" w:rsidRPr="009756CD">
        <w:rPr>
          <w:sz w:val="20"/>
          <w:lang w:val="es-CR"/>
        </w:rPr>
        <w:t>a I.V.</w:t>
      </w:r>
      <w:r w:rsidRPr="00233DCD">
        <w:rPr>
          <w:sz w:val="20"/>
          <w:lang w:val="es-CR"/>
        </w:rPr>
        <w:t>,</w:t>
      </w:r>
      <w:r w:rsidRPr="009756CD">
        <w:rPr>
          <w:sz w:val="20"/>
          <w:lang w:val="es-CR"/>
        </w:rPr>
        <w:t xml:space="preserve"> a través de los mecanismos internos existentes para ello.</w:t>
      </w:r>
    </w:p>
    <w:p w14:paraId="31E5ADF3" w14:textId="77777777" w:rsidR="005D22F1" w:rsidRPr="009756CD" w:rsidRDefault="005D22F1" w:rsidP="008B6B6E">
      <w:pPr>
        <w:tabs>
          <w:tab w:val="left" w:pos="567"/>
        </w:tabs>
        <w:spacing w:after="0" w:line="240" w:lineRule="auto"/>
        <w:jc w:val="both"/>
        <w:rPr>
          <w:rFonts w:ascii="Verdana" w:hAnsi="Verdana"/>
          <w:b/>
          <w:sz w:val="20"/>
          <w:lang w:val="es-CR"/>
        </w:rPr>
      </w:pPr>
    </w:p>
    <w:p w14:paraId="242B23D5" w14:textId="77777777" w:rsidR="005D22F1" w:rsidRPr="009756CD" w:rsidRDefault="005D22F1" w:rsidP="008B6B6E">
      <w:pPr>
        <w:tabs>
          <w:tab w:val="left" w:pos="567"/>
        </w:tabs>
        <w:spacing w:after="0" w:line="240" w:lineRule="auto"/>
        <w:jc w:val="both"/>
        <w:rPr>
          <w:rFonts w:ascii="Verdana" w:hAnsi="Verdana"/>
          <w:b/>
          <w:sz w:val="20"/>
          <w:lang w:val="es-CR"/>
        </w:rPr>
      </w:pPr>
    </w:p>
    <w:p w14:paraId="293DE996" w14:textId="77777777" w:rsidR="004B20EF" w:rsidRPr="009756CD" w:rsidRDefault="004B20EF" w:rsidP="008B6B6E">
      <w:pPr>
        <w:tabs>
          <w:tab w:val="left" w:pos="567"/>
        </w:tabs>
        <w:spacing w:after="0" w:line="240" w:lineRule="auto"/>
        <w:jc w:val="both"/>
        <w:rPr>
          <w:rFonts w:ascii="Verdana" w:hAnsi="Verdana"/>
          <w:b/>
          <w:sz w:val="20"/>
          <w:lang w:val="es-CR"/>
        </w:rPr>
      </w:pPr>
      <w:r w:rsidRPr="009756CD">
        <w:rPr>
          <w:rFonts w:ascii="Verdana" w:hAnsi="Verdana"/>
          <w:b/>
          <w:sz w:val="20"/>
          <w:lang w:val="es-CR"/>
        </w:rPr>
        <w:t>POR TANTO:</w:t>
      </w:r>
    </w:p>
    <w:p w14:paraId="5A6936B1" w14:textId="77777777" w:rsidR="003926D4" w:rsidRPr="009756CD" w:rsidRDefault="003926D4" w:rsidP="008B6B6E">
      <w:pPr>
        <w:tabs>
          <w:tab w:val="left" w:pos="567"/>
        </w:tabs>
        <w:spacing w:after="0" w:line="240" w:lineRule="auto"/>
        <w:jc w:val="both"/>
        <w:rPr>
          <w:rFonts w:ascii="Verdana" w:hAnsi="Verdana"/>
          <w:b/>
          <w:sz w:val="20"/>
          <w:lang w:val="es-CR"/>
        </w:rPr>
      </w:pPr>
    </w:p>
    <w:p w14:paraId="4736D777" w14:textId="77777777" w:rsidR="004B20EF" w:rsidRPr="009756CD" w:rsidRDefault="004B20EF" w:rsidP="008B6B6E">
      <w:pPr>
        <w:tabs>
          <w:tab w:val="left" w:pos="567"/>
        </w:tabs>
        <w:spacing w:after="0" w:line="240" w:lineRule="auto"/>
        <w:jc w:val="both"/>
        <w:rPr>
          <w:rFonts w:ascii="Verdana" w:hAnsi="Verdana"/>
          <w:b/>
          <w:sz w:val="20"/>
          <w:lang w:val="es-CR"/>
        </w:rPr>
      </w:pPr>
      <w:r w:rsidRPr="009756CD">
        <w:rPr>
          <w:rFonts w:ascii="Verdana" w:hAnsi="Verdana"/>
          <w:b/>
          <w:sz w:val="20"/>
          <w:lang w:val="es-CR"/>
        </w:rPr>
        <w:t>LA CORTE INTERAMERICANA DE DERECHOS HUMANOS,</w:t>
      </w:r>
    </w:p>
    <w:p w14:paraId="1163F78D" w14:textId="77777777" w:rsidR="003926D4" w:rsidRPr="009756CD" w:rsidRDefault="003926D4" w:rsidP="008B6B6E">
      <w:pPr>
        <w:tabs>
          <w:tab w:val="left" w:pos="567"/>
        </w:tabs>
        <w:spacing w:after="0" w:line="240" w:lineRule="auto"/>
        <w:jc w:val="both"/>
        <w:rPr>
          <w:rFonts w:ascii="Verdana" w:hAnsi="Verdana"/>
          <w:b/>
          <w:sz w:val="20"/>
          <w:lang w:val="es-CR"/>
        </w:rPr>
      </w:pPr>
    </w:p>
    <w:p w14:paraId="1DF4BE02" w14:textId="4A70EBCB" w:rsidR="004B20EF" w:rsidRPr="009756CD" w:rsidRDefault="004B20EF" w:rsidP="008B6B6E">
      <w:pPr>
        <w:spacing w:after="0" w:line="240" w:lineRule="auto"/>
        <w:jc w:val="both"/>
        <w:rPr>
          <w:rFonts w:ascii="Verdana" w:hAnsi="Verdana"/>
          <w:sz w:val="20"/>
          <w:lang w:val="es-CR"/>
        </w:rPr>
      </w:pPr>
      <w:r w:rsidRPr="009756CD">
        <w:rPr>
          <w:rFonts w:ascii="Verdana" w:hAnsi="Verdana"/>
          <w:sz w:val="20"/>
          <w:lang w:val="es-CR"/>
        </w:rPr>
        <w:t>en uso de las atribuciones que le confieren el artículo 63.2 de la Convención Americana, y los artículos 27</w:t>
      </w:r>
      <w:r w:rsidR="007A7402" w:rsidRPr="009756CD">
        <w:rPr>
          <w:rFonts w:ascii="Verdana" w:hAnsi="Verdana"/>
          <w:sz w:val="20"/>
          <w:lang w:val="es-CR"/>
        </w:rPr>
        <w:t>,</w:t>
      </w:r>
      <w:r w:rsidRPr="009756CD">
        <w:rPr>
          <w:rFonts w:ascii="Verdana" w:hAnsi="Verdana"/>
          <w:sz w:val="20"/>
          <w:lang w:val="es-CR"/>
        </w:rPr>
        <w:t xml:space="preserve"> 31</w:t>
      </w:r>
      <w:r w:rsidR="008B4047" w:rsidRPr="009756CD">
        <w:rPr>
          <w:rFonts w:ascii="Verdana" w:hAnsi="Verdana"/>
          <w:sz w:val="20"/>
          <w:lang w:val="es-CR"/>
        </w:rPr>
        <w:t xml:space="preserve"> y 53</w:t>
      </w:r>
      <w:r w:rsidRPr="009756CD">
        <w:rPr>
          <w:rFonts w:ascii="Verdana" w:hAnsi="Verdana"/>
          <w:sz w:val="20"/>
          <w:lang w:val="es-CR"/>
        </w:rPr>
        <w:t xml:space="preserve"> del Reglamento,</w:t>
      </w:r>
    </w:p>
    <w:p w14:paraId="431C8821" w14:textId="77777777" w:rsidR="003926D4" w:rsidRPr="009756CD" w:rsidRDefault="003926D4" w:rsidP="008B6B6E">
      <w:pPr>
        <w:spacing w:after="0" w:line="240" w:lineRule="auto"/>
        <w:jc w:val="both"/>
        <w:rPr>
          <w:rFonts w:ascii="Verdana" w:hAnsi="Verdana"/>
          <w:sz w:val="20"/>
          <w:lang w:val="es-CR"/>
        </w:rPr>
      </w:pPr>
    </w:p>
    <w:p w14:paraId="0FE47AD1" w14:textId="77777777" w:rsidR="00DC1D45" w:rsidRPr="009756CD" w:rsidRDefault="00DC1D45" w:rsidP="008B6B6E">
      <w:pPr>
        <w:spacing w:after="0" w:line="240" w:lineRule="auto"/>
        <w:jc w:val="both"/>
        <w:rPr>
          <w:rFonts w:ascii="Verdana" w:hAnsi="Verdana"/>
          <w:sz w:val="20"/>
          <w:lang w:val="es-CR"/>
        </w:rPr>
      </w:pPr>
    </w:p>
    <w:p w14:paraId="512A1B08" w14:textId="77777777" w:rsidR="004B20EF" w:rsidRPr="009756CD" w:rsidRDefault="004B20EF" w:rsidP="008B6B6E">
      <w:pPr>
        <w:tabs>
          <w:tab w:val="left" w:pos="567"/>
        </w:tabs>
        <w:spacing w:after="0" w:line="240" w:lineRule="auto"/>
        <w:jc w:val="both"/>
        <w:rPr>
          <w:rFonts w:ascii="Verdana" w:hAnsi="Verdana"/>
          <w:b/>
          <w:sz w:val="20"/>
          <w:lang w:val="es-CR"/>
        </w:rPr>
      </w:pPr>
      <w:r w:rsidRPr="009756CD">
        <w:rPr>
          <w:rFonts w:ascii="Verdana" w:hAnsi="Verdana"/>
          <w:b/>
          <w:sz w:val="20"/>
          <w:lang w:val="es-CR"/>
        </w:rPr>
        <w:t>RESUELVE:</w:t>
      </w:r>
    </w:p>
    <w:p w14:paraId="389F44C3" w14:textId="77777777" w:rsidR="003926D4" w:rsidRPr="009756CD" w:rsidRDefault="003926D4" w:rsidP="008B6B6E">
      <w:pPr>
        <w:tabs>
          <w:tab w:val="left" w:pos="567"/>
        </w:tabs>
        <w:spacing w:after="0" w:line="240" w:lineRule="auto"/>
        <w:jc w:val="both"/>
        <w:rPr>
          <w:rFonts w:ascii="Verdana" w:hAnsi="Verdana"/>
          <w:b/>
          <w:sz w:val="20"/>
          <w:lang w:val="es-CR"/>
        </w:rPr>
      </w:pPr>
    </w:p>
    <w:p w14:paraId="0A4BFD91" w14:textId="511495E2" w:rsidR="008A78D3" w:rsidRPr="009756CD" w:rsidRDefault="008A78D3" w:rsidP="008B4047">
      <w:pPr>
        <w:pStyle w:val="Prrafodelista1"/>
        <w:numPr>
          <w:ilvl w:val="0"/>
          <w:numId w:val="16"/>
        </w:numPr>
        <w:tabs>
          <w:tab w:val="clear" w:pos="360"/>
          <w:tab w:val="num" w:pos="567"/>
        </w:tabs>
        <w:ind w:left="0" w:firstLine="0"/>
        <w:contextualSpacing w:val="0"/>
        <w:jc w:val="both"/>
        <w:rPr>
          <w:sz w:val="20"/>
          <w:lang w:val="es-CR"/>
        </w:rPr>
      </w:pPr>
      <w:r w:rsidRPr="009756CD">
        <w:rPr>
          <w:sz w:val="20"/>
          <w:lang w:val="es-CR"/>
        </w:rPr>
        <w:t>Desestimar la solicitud de medidas provisionales interpuesta por l</w:t>
      </w:r>
      <w:r w:rsidR="007A46A1" w:rsidRPr="009756CD">
        <w:rPr>
          <w:sz w:val="20"/>
          <w:lang w:val="es-CR"/>
        </w:rPr>
        <w:t>a</w:t>
      </w:r>
      <w:r w:rsidRPr="009756CD">
        <w:rPr>
          <w:sz w:val="20"/>
          <w:lang w:val="es-CR"/>
        </w:rPr>
        <w:t xml:space="preserve"> representante de l</w:t>
      </w:r>
      <w:r w:rsidR="007A46A1" w:rsidRPr="009756CD">
        <w:rPr>
          <w:sz w:val="20"/>
          <w:lang w:val="es-CR"/>
        </w:rPr>
        <w:t>a</w:t>
      </w:r>
      <w:r w:rsidRPr="009756CD">
        <w:rPr>
          <w:sz w:val="20"/>
          <w:lang w:val="es-CR"/>
        </w:rPr>
        <w:t xml:space="preserve"> </w:t>
      </w:r>
      <w:r w:rsidR="007A46A1" w:rsidRPr="009756CD">
        <w:rPr>
          <w:sz w:val="20"/>
          <w:lang w:val="es-CR"/>
        </w:rPr>
        <w:t>señora I.V.</w:t>
      </w:r>
      <w:r w:rsidRPr="009756CD">
        <w:rPr>
          <w:sz w:val="20"/>
          <w:lang w:val="es-CR"/>
        </w:rPr>
        <w:t>, en virtud de que el asunto planteado ante el Tribunal no es materia de medidas provisionales en los términos del artículo 63.2 de la Convención</w:t>
      </w:r>
      <w:r w:rsidR="000460F6" w:rsidRPr="009756CD">
        <w:rPr>
          <w:sz w:val="20"/>
          <w:lang w:val="es-CR"/>
        </w:rPr>
        <w:t xml:space="preserve"> Americana sobre Derechos Humanos</w:t>
      </w:r>
      <w:r w:rsidRPr="009756CD">
        <w:rPr>
          <w:sz w:val="20"/>
          <w:lang w:val="es-CR"/>
        </w:rPr>
        <w:t xml:space="preserve">, sino que atañe a la medida de reparación ordenada en el punto resolutivo </w:t>
      </w:r>
      <w:r w:rsidR="007A46A1" w:rsidRPr="009756CD">
        <w:rPr>
          <w:sz w:val="20"/>
          <w:lang w:val="es-CR"/>
        </w:rPr>
        <w:t>octavo</w:t>
      </w:r>
      <w:r w:rsidRPr="009756CD">
        <w:rPr>
          <w:sz w:val="20"/>
          <w:lang w:val="es-CR"/>
        </w:rPr>
        <w:t xml:space="preserve"> de la Sentencia </w:t>
      </w:r>
      <w:r w:rsidR="00DF3883" w:rsidRPr="009756CD">
        <w:rPr>
          <w:sz w:val="20"/>
          <w:lang w:val="es-CR"/>
        </w:rPr>
        <w:t xml:space="preserve">de </w:t>
      </w:r>
      <w:r w:rsidRPr="009756CD">
        <w:rPr>
          <w:sz w:val="20"/>
          <w:lang w:val="es-CR"/>
        </w:rPr>
        <w:t>excepciones preliminares, fondo</w:t>
      </w:r>
      <w:r w:rsidR="007A46A1" w:rsidRPr="009756CD">
        <w:rPr>
          <w:sz w:val="20"/>
          <w:lang w:val="es-CR"/>
        </w:rPr>
        <w:t>,</w:t>
      </w:r>
      <w:r w:rsidRPr="009756CD">
        <w:rPr>
          <w:sz w:val="20"/>
          <w:lang w:val="es-CR"/>
        </w:rPr>
        <w:t xml:space="preserve"> reparaciones</w:t>
      </w:r>
      <w:r w:rsidR="007A46A1" w:rsidRPr="009756CD">
        <w:rPr>
          <w:sz w:val="20"/>
          <w:lang w:val="es-CR"/>
        </w:rPr>
        <w:t xml:space="preserve"> y costas </w:t>
      </w:r>
      <w:r w:rsidR="00DF3883" w:rsidRPr="009756CD">
        <w:rPr>
          <w:sz w:val="20"/>
          <w:lang w:val="es-CR"/>
        </w:rPr>
        <w:t xml:space="preserve">dictada </w:t>
      </w:r>
      <w:r w:rsidR="007A46A1" w:rsidRPr="009756CD">
        <w:rPr>
          <w:sz w:val="20"/>
          <w:lang w:val="es-CR"/>
        </w:rPr>
        <w:t xml:space="preserve">el 30 </w:t>
      </w:r>
      <w:r w:rsidRPr="009756CD">
        <w:rPr>
          <w:sz w:val="20"/>
          <w:lang w:val="es-CR"/>
        </w:rPr>
        <w:t xml:space="preserve">de </w:t>
      </w:r>
      <w:r w:rsidR="007A46A1" w:rsidRPr="009756CD">
        <w:rPr>
          <w:sz w:val="20"/>
          <w:lang w:val="es-CR"/>
        </w:rPr>
        <w:t>noviembre</w:t>
      </w:r>
      <w:r w:rsidRPr="009756CD">
        <w:rPr>
          <w:sz w:val="20"/>
          <w:lang w:val="es-CR"/>
        </w:rPr>
        <w:t xml:space="preserve"> de 20</w:t>
      </w:r>
      <w:r w:rsidR="007A46A1" w:rsidRPr="009756CD">
        <w:rPr>
          <w:sz w:val="20"/>
          <w:lang w:val="es-CR"/>
        </w:rPr>
        <w:t>16</w:t>
      </w:r>
      <w:r w:rsidRPr="009756CD">
        <w:rPr>
          <w:sz w:val="20"/>
          <w:lang w:val="es-CR"/>
        </w:rPr>
        <w:t xml:space="preserve"> en el presente caso, la cual se encuentra bajo supervisión de cumplimiento.</w:t>
      </w:r>
    </w:p>
    <w:p w14:paraId="1FE3E7C1" w14:textId="77777777" w:rsidR="007A46A1" w:rsidRPr="009756CD" w:rsidRDefault="007A46A1" w:rsidP="007A46A1">
      <w:pPr>
        <w:pStyle w:val="Prrafodelista1"/>
        <w:contextualSpacing w:val="0"/>
        <w:jc w:val="both"/>
        <w:rPr>
          <w:sz w:val="20"/>
          <w:lang w:val="es-CR"/>
        </w:rPr>
      </w:pPr>
    </w:p>
    <w:p w14:paraId="064854A5" w14:textId="6394573D" w:rsidR="007A46A1" w:rsidRPr="009756CD" w:rsidRDefault="00402F80" w:rsidP="00402F80">
      <w:pPr>
        <w:pStyle w:val="Prrafodelista1"/>
        <w:numPr>
          <w:ilvl w:val="0"/>
          <w:numId w:val="16"/>
        </w:numPr>
        <w:tabs>
          <w:tab w:val="clear" w:pos="360"/>
          <w:tab w:val="num" w:pos="567"/>
        </w:tabs>
        <w:ind w:left="0" w:firstLine="0"/>
        <w:contextualSpacing w:val="0"/>
        <w:jc w:val="both"/>
        <w:rPr>
          <w:sz w:val="20"/>
          <w:lang w:val="es-CR"/>
        </w:rPr>
      </w:pPr>
      <w:r w:rsidRPr="009756CD">
        <w:rPr>
          <w:sz w:val="20"/>
          <w:lang w:val="es-CR"/>
        </w:rPr>
        <w:t xml:space="preserve">Requerir a la Secretaría de la Corte que notifique la presente Resolución a la representante de la víctima, al Estado </w:t>
      </w:r>
      <w:r w:rsidR="000A06D5" w:rsidRPr="009756CD">
        <w:rPr>
          <w:sz w:val="20"/>
          <w:lang w:val="es-CR"/>
        </w:rPr>
        <w:t xml:space="preserve">Plurinacional </w:t>
      </w:r>
      <w:r w:rsidRPr="009756CD">
        <w:rPr>
          <w:sz w:val="20"/>
          <w:lang w:val="es-CR"/>
        </w:rPr>
        <w:t>de Bolivia y a la Comisión Interamericana de Derechos Humanos.</w:t>
      </w:r>
    </w:p>
    <w:p w14:paraId="78C7210E" w14:textId="77777777" w:rsidR="008A78D3" w:rsidRDefault="008A78D3" w:rsidP="008B6B6E">
      <w:pPr>
        <w:tabs>
          <w:tab w:val="left" w:pos="567"/>
        </w:tabs>
        <w:spacing w:after="0" w:line="240" w:lineRule="auto"/>
        <w:jc w:val="both"/>
        <w:rPr>
          <w:rFonts w:ascii="Verdana" w:hAnsi="Verdana"/>
          <w:b/>
          <w:sz w:val="20"/>
          <w:lang w:val="es-CR"/>
        </w:rPr>
      </w:pPr>
    </w:p>
    <w:p w14:paraId="2FA993EF" w14:textId="77777777" w:rsidR="004966AB" w:rsidRDefault="004966AB" w:rsidP="008B6B6E">
      <w:pPr>
        <w:tabs>
          <w:tab w:val="left" w:pos="567"/>
        </w:tabs>
        <w:spacing w:after="0" w:line="240" w:lineRule="auto"/>
        <w:jc w:val="both"/>
        <w:rPr>
          <w:rFonts w:ascii="Verdana" w:hAnsi="Verdana"/>
          <w:b/>
          <w:sz w:val="20"/>
          <w:lang w:val="es-CR"/>
        </w:rPr>
      </w:pPr>
    </w:p>
    <w:p w14:paraId="179CFE56" w14:textId="77777777" w:rsidR="004966AB" w:rsidRDefault="004966AB" w:rsidP="008B6B6E">
      <w:pPr>
        <w:tabs>
          <w:tab w:val="left" w:pos="567"/>
        </w:tabs>
        <w:spacing w:after="0" w:line="240" w:lineRule="auto"/>
        <w:jc w:val="both"/>
        <w:rPr>
          <w:rFonts w:ascii="Verdana" w:hAnsi="Verdana"/>
          <w:b/>
          <w:sz w:val="20"/>
          <w:lang w:val="es-CR"/>
        </w:rPr>
      </w:pPr>
    </w:p>
    <w:p w14:paraId="7CD5D9CB" w14:textId="77777777" w:rsidR="004966AB" w:rsidRDefault="004966AB" w:rsidP="008B6B6E">
      <w:pPr>
        <w:tabs>
          <w:tab w:val="left" w:pos="567"/>
        </w:tabs>
        <w:spacing w:after="0" w:line="240" w:lineRule="auto"/>
        <w:jc w:val="both"/>
        <w:rPr>
          <w:rFonts w:ascii="Verdana" w:hAnsi="Verdana"/>
          <w:b/>
          <w:sz w:val="20"/>
          <w:lang w:val="es-CR"/>
        </w:rPr>
      </w:pPr>
    </w:p>
    <w:p w14:paraId="3311358F" w14:textId="77777777" w:rsidR="004966AB" w:rsidRDefault="004966AB" w:rsidP="008B6B6E">
      <w:pPr>
        <w:tabs>
          <w:tab w:val="left" w:pos="567"/>
        </w:tabs>
        <w:spacing w:after="0" w:line="240" w:lineRule="auto"/>
        <w:jc w:val="both"/>
        <w:rPr>
          <w:rFonts w:ascii="Verdana" w:hAnsi="Verdana"/>
          <w:b/>
          <w:sz w:val="20"/>
          <w:lang w:val="es-CR"/>
        </w:rPr>
      </w:pPr>
    </w:p>
    <w:p w14:paraId="36408FAF" w14:textId="77777777" w:rsidR="004966AB" w:rsidRDefault="004966AB" w:rsidP="008B6B6E">
      <w:pPr>
        <w:tabs>
          <w:tab w:val="left" w:pos="567"/>
        </w:tabs>
        <w:spacing w:after="0" w:line="240" w:lineRule="auto"/>
        <w:jc w:val="both"/>
        <w:rPr>
          <w:rFonts w:ascii="Verdana" w:hAnsi="Verdana"/>
          <w:b/>
          <w:sz w:val="20"/>
          <w:lang w:val="es-CR"/>
        </w:rPr>
      </w:pPr>
    </w:p>
    <w:p w14:paraId="65D4F328" w14:textId="77777777" w:rsidR="004966AB" w:rsidRDefault="004966AB" w:rsidP="008B6B6E">
      <w:pPr>
        <w:tabs>
          <w:tab w:val="left" w:pos="567"/>
        </w:tabs>
        <w:spacing w:after="0" w:line="240" w:lineRule="auto"/>
        <w:jc w:val="both"/>
        <w:rPr>
          <w:rFonts w:ascii="Verdana" w:hAnsi="Verdana"/>
          <w:b/>
          <w:sz w:val="20"/>
          <w:lang w:val="es-CR"/>
        </w:rPr>
      </w:pPr>
    </w:p>
    <w:p w14:paraId="3581236B" w14:textId="77777777" w:rsidR="004966AB" w:rsidRDefault="004966AB" w:rsidP="008B6B6E">
      <w:pPr>
        <w:tabs>
          <w:tab w:val="left" w:pos="567"/>
        </w:tabs>
        <w:spacing w:after="0" w:line="240" w:lineRule="auto"/>
        <w:jc w:val="both"/>
        <w:rPr>
          <w:rFonts w:ascii="Verdana" w:hAnsi="Verdana"/>
          <w:b/>
          <w:sz w:val="20"/>
          <w:lang w:val="es-CR"/>
        </w:rPr>
      </w:pPr>
    </w:p>
    <w:p w14:paraId="36388A33" w14:textId="77777777" w:rsidR="004966AB" w:rsidRDefault="004966AB" w:rsidP="008B6B6E">
      <w:pPr>
        <w:tabs>
          <w:tab w:val="left" w:pos="567"/>
        </w:tabs>
        <w:spacing w:after="0" w:line="240" w:lineRule="auto"/>
        <w:jc w:val="both"/>
        <w:rPr>
          <w:rFonts w:ascii="Verdana" w:hAnsi="Verdana"/>
          <w:b/>
          <w:sz w:val="20"/>
          <w:lang w:val="es-CR"/>
        </w:rPr>
      </w:pPr>
    </w:p>
    <w:p w14:paraId="321AA790" w14:textId="77777777" w:rsidR="004966AB" w:rsidRDefault="004966AB" w:rsidP="008B6B6E">
      <w:pPr>
        <w:tabs>
          <w:tab w:val="left" w:pos="567"/>
        </w:tabs>
        <w:spacing w:after="0" w:line="240" w:lineRule="auto"/>
        <w:jc w:val="both"/>
        <w:rPr>
          <w:rFonts w:ascii="Verdana" w:hAnsi="Verdana"/>
          <w:b/>
          <w:sz w:val="20"/>
          <w:lang w:val="es-CR"/>
        </w:rPr>
      </w:pPr>
    </w:p>
    <w:p w14:paraId="439AFB68" w14:textId="77777777" w:rsidR="004966AB" w:rsidRDefault="004966AB" w:rsidP="008B6B6E">
      <w:pPr>
        <w:tabs>
          <w:tab w:val="left" w:pos="567"/>
        </w:tabs>
        <w:spacing w:after="0" w:line="240" w:lineRule="auto"/>
        <w:jc w:val="both"/>
        <w:rPr>
          <w:rFonts w:ascii="Verdana" w:hAnsi="Verdana"/>
          <w:b/>
          <w:sz w:val="20"/>
          <w:lang w:val="es-CR"/>
        </w:rPr>
      </w:pPr>
    </w:p>
    <w:p w14:paraId="2BAB922F" w14:textId="77777777" w:rsidR="004966AB" w:rsidRDefault="004966AB" w:rsidP="008B6B6E">
      <w:pPr>
        <w:tabs>
          <w:tab w:val="left" w:pos="567"/>
        </w:tabs>
        <w:spacing w:after="0" w:line="240" w:lineRule="auto"/>
        <w:jc w:val="both"/>
        <w:rPr>
          <w:rFonts w:ascii="Verdana" w:hAnsi="Verdana"/>
          <w:b/>
          <w:sz w:val="20"/>
          <w:lang w:val="es-CR"/>
        </w:rPr>
      </w:pPr>
    </w:p>
    <w:p w14:paraId="7013E0E6" w14:textId="77777777" w:rsidR="004966AB" w:rsidRDefault="004966AB" w:rsidP="008B6B6E">
      <w:pPr>
        <w:tabs>
          <w:tab w:val="left" w:pos="567"/>
        </w:tabs>
        <w:spacing w:after="0" w:line="240" w:lineRule="auto"/>
        <w:jc w:val="both"/>
        <w:rPr>
          <w:rFonts w:ascii="Verdana" w:hAnsi="Verdana"/>
          <w:b/>
          <w:sz w:val="20"/>
          <w:lang w:val="es-CR"/>
        </w:rPr>
      </w:pPr>
    </w:p>
    <w:p w14:paraId="45A7D0DD" w14:textId="77777777" w:rsidR="004966AB" w:rsidRDefault="004966AB" w:rsidP="008B6B6E">
      <w:pPr>
        <w:tabs>
          <w:tab w:val="left" w:pos="567"/>
        </w:tabs>
        <w:spacing w:after="0" w:line="240" w:lineRule="auto"/>
        <w:jc w:val="both"/>
        <w:rPr>
          <w:rFonts w:ascii="Verdana" w:hAnsi="Verdana"/>
          <w:b/>
          <w:sz w:val="20"/>
          <w:lang w:val="es-CR"/>
        </w:rPr>
      </w:pPr>
    </w:p>
    <w:p w14:paraId="30B67618" w14:textId="77777777" w:rsidR="004966AB" w:rsidRPr="004966AB" w:rsidRDefault="004966AB" w:rsidP="004966AB">
      <w:pPr>
        <w:spacing w:after="0"/>
        <w:jc w:val="both"/>
        <w:rPr>
          <w:rFonts w:ascii="Verdana" w:hAnsi="Verdana"/>
          <w:sz w:val="20"/>
          <w:lang w:val="es-CR"/>
        </w:rPr>
      </w:pPr>
      <w:r w:rsidRPr="004966AB">
        <w:rPr>
          <w:rFonts w:ascii="Verdana" w:hAnsi="Verdana"/>
          <w:sz w:val="20"/>
          <w:lang w:val="es-CR"/>
        </w:rPr>
        <w:lastRenderedPageBreak/>
        <w:t xml:space="preserve">Corte IDH. </w:t>
      </w:r>
      <w:r w:rsidRPr="004966AB">
        <w:rPr>
          <w:rFonts w:ascii="Verdana" w:hAnsi="Verdana"/>
          <w:i/>
          <w:sz w:val="20"/>
          <w:lang w:val="es-CR"/>
        </w:rPr>
        <w:t>Caso I.V. Vs. Bolivia.</w:t>
      </w:r>
      <w:r w:rsidRPr="004966AB">
        <w:rPr>
          <w:rFonts w:ascii="Verdana" w:hAnsi="Verdana"/>
          <w:sz w:val="20"/>
          <w:lang w:val="es-CR"/>
        </w:rPr>
        <w:t xml:space="preserve"> Solicitud de Medidas Provisionales. Resolución de 25 de mayo de 2017.</w:t>
      </w:r>
    </w:p>
    <w:p w14:paraId="62DD42FE" w14:textId="77777777" w:rsidR="004966AB" w:rsidRPr="004966AB" w:rsidRDefault="004966AB" w:rsidP="004966AB">
      <w:pPr>
        <w:spacing w:after="0"/>
        <w:jc w:val="both"/>
        <w:rPr>
          <w:rFonts w:ascii="Verdana" w:hAnsi="Verdana"/>
          <w:sz w:val="20"/>
          <w:lang w:val="es-CR"/>
        </w:rPr>
      </w:pPr>
    </w:p>
    <w:p w14:paraId="7057D1B1" w14:textId="77777777" w:rsidR="004966AB" w:rsidRPr="004966AB" w:rsidRDefault="004966AB" w:rsidP="004966AB">
      <w:pPr>
        <w:spacing w:after="0"/>
        <w:jc w:val="center"/>
        <w:rPr>
          <w:rFonts w:ascii="Verdana" w:hAnsi="Verdana"/>
          <w:sz w:val="20"/>
          <w:lang w:val="es-ES"/>
        </w:rPr>
      </w:pPr>
    </w:p>
    <w:p w14:paraId="741456A7" w14:textId="77777777" w:rsidR="004966AB" w:rsidRPr="004966AB" w:rsidRDefault="004966AB" w:rsidP="004966AB">
      <w:pPr>
        <w:spacing w:after="0"/>
        <w:jc w:val="center"/>
        <w:rPr>
          <w:rFonts w:ascii="Verdana" w:hAnsi="Verdana"/>
          <w:sz w:val="20"/>
          <w:lang w:val="es-ES"/>
        </w:rPr>
      </w:pPr>
    </w:p>
    <w:p w14:paraId="4B4D3F53" w14:textId="77777777" w:rsidR="004966AB" w:rsidRPr="004966AB" w:rsidRDefault="004966AB" w:rsidP="004966AB">
      <w:pPr>
        <w:spacing w:after="0"/>
        <w:jc w:val="center"/>
        <w:rPr>
          <w:rFonts w:ascii="Verdana" w:hAnsi="Verdana"/>
          <w:sz w:val="20"/>
          <w:lang w:val="es-ES"/>
        </w:rPr>
      </w:pPr>
      <w:r w:rsidRPr="004966AB">
        <w:rPr>
          <w:rFonts w:ascii="Verdana" w:hAnsi="Verdana"/>
          <w:sz w:val="20"/>
          <w:lang w:val="es-ES"/>
        </w:rPr>
        <w:t>Roberto F. Caldas</w:t>
      </w:r>
    </w:p>
    <w:p w14:paraId="6D833A53" w14:textId="77777777" w:rsidR="004966AB" w:rsidRPr="004966AB" w:rsidRDefault="004966AB" w:rsidP="004966AB">
      <w:pPr>
        <w:spacing w:after="0"/>
        <w:jc w:val="center"/>
        <w:rPr>
          <w:rFonts w:ascii="Verdana" w:hAnsi="Verdana"/>
          <w:sz w:val="20"/>
          <w:lang w:val="es-ES"/>
        </w:rPr>
      </w:pPr>
      <w:r w:rsidRPr="004966AB">
        <w:rPr>
          <w:rFonts w:ascii="Verdana" w:hAnsi="Verdana"/>
          <w:sz w:val="20"/>
          <w:lang w:val="es-ES"/>
        </w:rPr>
        <w:t xml:space="preserve">Presidente </w:t>
      </w:r>
    </w:p>
    <w:p w14:paraId="5E6186EC" w14:textId="77777777" w:rsidR="004966AB" w:rsidRPr="004966AB" w:rsidRDefault="004966AB" w:rsidP="004966AB">
      <w:pPr>
        <w:spacing w:after="0"/>
        <w:jc w:val="both"/>
        <w:rPr>
          <w:rFonts w:ascii="Verdana" w:hAnsi="Verdana"/>
          <w:sz w:val="20"/>
          <w:lang w:val="es-ES"/>
        </w:rPr>
      </w:pPr>
    </w:p>
    <w:p w14:paraId="5E8206D7" w14:textId="77777777" w:rsidR="004966AB" w:rsidRPr="004966AB" w:rsidRDefault="004966AB" w:rsidP="004966AB">
      <w:pPr>
        <w:tabs>
          <w:tab w:val="left" w:pos="1485"/>
        </w:tabs>
        <w:spacing w:after="0"/>
        <w:jc w:val="both"/>
        <w:rPr>
          <w:rFonts w:ascii="Verdana" w:hAnsi="Verdana"/>
          <w:sz w:val="20"/>
          <w:lang w:val="es-ES"/>
        </w:rPr>
      </w:pPr>
      <w:r w:rsidRPr="004966AB">
        <w:rPr>
          <w:rFonts w:ascii="Verdana" w:hAnsi="Verdana"/>
          <w:sz w:val="20"/>
          <w:lang w:val="es-ES"/>
        </w:rPr>
        <w:tab/>
      </w:r>
    </w:p>
    <w:p w14:paraId="5A1BFBBF" w14:textId="77777777" w:rsidR="004966AB" w:rsidRPr="004966AB" w:rsidRDefault="004966AB" w:rsidP="004966AB">
      <w:pPr>
        <w:spacing w:after="0"/>
        <w:jc w:val="both"/>
        <w:rPr>
          <w:rFonts w:ascii="Verdana" w:hAnsi="Verdana"/>
          <w:sz w:val="20"/>
          <w:lang w:val="es-ES"/>
        </w:rPr>
      </w:pPr>
    </w:p>
    <w:p w14:paraId="7E95A97F" w14:textId="77777777" w:rsidR="004966AB" w:rsidRPr="004966AB" w:rsidRDefault="004966AB" w:rsidP="004966AB">
      <w:pPr>
        <w:spacing w:after="0"/>
        <w:jc w:val="both"/>
        <w:rPr>
          <w:rFonts w:ascii="Verdana" w:hAnsi="Verdana"/>
          <w:sz w:val="20"/>
          <w:lang w:val="es-ES"/>
        </w:rPr>
      </w:pPr>
    </w:p>
    <w:p w14:paraId="4E94688B" w14:textId="15EC5295" w:rsidR="004966AB" w:rsidRPr="004966AB" w:rsidRDefault="004966AB" w:rsidP="004966AB">
      <w:pPr>
        <w:spacing w:after="0"/>
        <w:jc w:val="both"/>
        <w:rPr>
          <w:rFonts w:ascii="Verdana" w:hAnsi="Verdana"/>
          <w:sz w:val="20"/>
          <w:lang w:val="es-ES"/>
        </w:rPr>
      </w:pPr>
      <w:r w:rsidRPr="004966AB">
        <w:rPr>
          <w:rFonts w:ascii="Verdana" w:hAnsi="Verdana"/>
          <w:sz w:val="20"/>
          <w:lang w:val="es-ES"/>
        </w:rPr>
        <w:t>Eduardo Ferrer Mac-Gregor Poisot</w:t>
      </w:r>
      <w:r w:rsidRPr="004966AB">
        <w:rPr>
          <w:rFonts w:ascii="Verdana" w:hAnsi="Verdana"/>
          <w:sz w:val="20"/>
          <w:lang w:val="es-ES"/>
        </w:rPr>
        <w:tab/>
      </w:r>
      <w:r w:rsidRPr="004966AB">
        <w:rPr>
          <w:rFonts w:ascii="Verdana" w:hAnsi="Verdana"/>
          <w:sz w:val="20"/>
          <w:lang w:val="es-ES"/>
        </w:rPr>
        <w:tab/>
      </w:r>
      <w:r w:rsidRPr="004966AB">
        <w:rPr>
          <w:rFonts w:ascii="Verdana" w:hAnsi="Verdana"/>
          <w:sz w:val="20"/>
          <w:lang w:val="es-ES"/>
        </w:rPr>
        <w:tab/>
      </w:r>
      <w:r w:rsidRPr="004966AB">
        <w:rPr>
          <w:rFonts w:ascii="Verdana" w:hAnsi="Verdana"/>
          <w:sz w:val="20"/>
          <w:lang w:val="es-ES"/>
        </w:rPr>
        <w:tab/>
      </w:r>
      <w:r w:rsidRPr="004966AB">
        <w:rPr>
          <w:rFonts w:ascii="Verdana" w:hAnsi="Verdana"/>
          <w:sz w:val="20"/>
          <w:lang w:val="es-ES"/>
        </w:rPr>
        <w:tab/>
        <w:t xml:space="preserve">     </w:t>
      </w:r>
      <w:r>
        <w:rPr>
          <w:rFonts w:ascii="Verdana" w:hAnsi="Verdana"/>
          <w:sz w:val="20"/>
          <w:lang w:val="es-ES"/>
        </w:rPr>
        <w:tab/>
      </w:r>
      <w:r>
        <w:rPr>
          <w:rFonts w:ascii="Verdana" w:hAnsi="Verdana"/>
          <w:sz w:val="20"/>
          <w:lang w:val="es-ES"/>
        </w:rPr>
        <w:tab/>
      </w:r>
      <w:r w:rsidRPr="004966AB">
        <w:rPr>
          <w:rFonts w:ascii="Verdana" w:hAnsi="Verdana"/>
          <w:sz w:val="20"/>
          <w:lang w:val="es-ES"/>
        </w:rPr>
        <w:t xml:space="preserve">  Eduardo Vio Grossi</w:t>
      </w:r>
    </w:p>
    <w:p w14:paraId="2E7B7CA1" w14:textId="77777777" w:rsidR="004966AB" w:rsidRPr="004966AB" w:rsidRDefault="004966AB" w:rsidP="004966AB">
      <w:pPr>
        <w:spacing w:after="0"/>
        <w:jc w:val="both"/>
        <w:rPr>
          <w:rFonts w:ascii="Verdana" w:hAnsi="Verdana"/>
          <w:sz w:val="20"/>
          <w:lang w:val="es-ES"/>
        </w:rPr>
      </w:pPr>
    </w:p>
    <w:p w14:paraId="5269080D" w14:textId="77777777" w:rsidR="004966AB" w:rsidRPr="004966AB" w:rsidRDefault="004966AB" w:rsidP="004966AB">
      <w:pPr>
        <w:spacing w:after="0"/>
        <w:jc w:val="both"/>
        <w:rPr>
          <w:rFonts w:ascii="Verdana" w:hAnsi="Verdana"/>
          <w:sz w:val="20"/>
          <w:lang w:val="es-ES"/>
        </w:rPr>
      </w:pPr>
    </w:p>
    <w:p w14:paraId="2266B337" w14:textId="77777777" w:rsidR="004966AB" w:rsidRPr="004966AB" w:rsidRDefault="004966AB" w:rsidP="004966AB">
      <w:pPr>
        <w:spacing w:after="0"/>
        <w:jc w:val="both"/>
        <w:rPr>
          <w:rFonts w:ascii="Verdana" w:hAnsi="Verdana"/>
          <w:sz w:val="20"/>
          <w:lang w:val="es-ES"/>
        </w:rPr>
      </w:pPr>
    </w:p>
    <w:p w14:paraId="58F60C50" w14:textId="77777777" w:rsidR="004966AB" w:rsidRPr="004966AB" w:rsidRDefault="004966AB" w:rsidP="004966AB">
      <w:pPr>
        <w:spacing w:after="0"/>
        <w:jc w:val="both"/>
        <w:rPr>
          <w:rFonts w:ascii="Verdana" w:hAnsi="Verdana"/>
          <w:sz w:val="20"/>
          <w:lang w:val="es-ES"/>
        </w:rPr>
      </w:pPr>
    </w:p>
    <w:p w14:paraId="72432FE7" w14:textId="77777777" w:rsidR="004966AB" w:rsidRPr="004966AB" w:rsidRDefault="004966AB" w:rsidP="004966AB">
      <w:pPr>
        <w:spacing w:after="0"/>
        <w:jc w:val="both"/>
        <w:rPr>
          <w:rFonts w:ascii="Verdana" w:hAnsi="Verdana"/>
          <w:sz w:val="20"/>
          <w:lang w:val="es-ES"/>
        </w:rPr>
      </w:pPr>
    </w:p>
    <w:p w14:paraId="16919EC4" w14:textId="5C49308C" w:rsidR="004966AB" w:rsidRPr="004966AB" w:rsidRDefault="004966AB" w:rsidP="004966AB">
      <w:pPr>
        <w:spacing w:after="0"/>
        <w:jc w:val="both"/>
        <w:rPr>
          <w:rFonts w:ascii="Verdana" w:hAnsi="Verdana"/>
          <w:sz w:val="20"/>
          <w:lang w:val="es-ES"/>
        </w:rPr>
      </w:pPr>
      <w:r w:rsidRPr="004966AB">
        <w:rPr>
          <w:rFonts w:ascii="Verdana" w:hAnsi="Verdana"/>
          <w:sz w:val="20"/>
          <w:lang w:val="es-ES"/>
        </w:rPr>
        <w:t>Humberto Antonio Sierra Porto</w:t>
      </w:r>
      <w:r w:rsidRPr="004966AB">
        <w:rPr>
          <w:rFonts w:ascii="Verdana" w:hAnsi="Verdana"/>
          <w:sz w:val="20"/>
          <w:lang w:val="es-ES"/>
        </w:rPr>
        <w:tab/>
      </w:r>
      <w:r w:rsidRPr="004966AB">
        <w:rPr>
          <w:rFonts w:ascii="Verdana" w:hAnsi="Verdana"/>
          <w:sz w:val="20"/>
          <w:lang w:val="es-ES"/>
        </w:rPr>
        <w:tab/>
      </w:r>
      <w:r w:rsidRPr="004966AB">
        <w:rPr>
          <w:rFonts w:ascii="Verdana" w:hAnsi="Verdana"/>
          <w:sz w:val="20"/>
          <w:lang w:val="es-ES"/>
        </w:rPr>
        <w:tab/>
      </w:r>
      <w:r w:rsidRPr="004966AB">
        <w:rPr>
          <w:rFonts w:ascii="Verdana" w:hAnsi="Verdana"/>
          <w:sz w:val="20"/>
          <w:lang w:val="es-ES"/>
        </w:rPr>
        <w:tab/>
      </w:r>
      <w:r w:rsidRPr="004966AB">
        <w:rPr>
          <w:rFonts w:ascii="Verdana" w:hAnsi="Verdana"/>
          <w:sz w:val="20"/>
          <w:lang w:val="es-ES"/>
        </w:rPr>
        <w:tab/>
        <w:t xml:space="preserve"> </w:t>
      </w:r>
      <w:r>
        <w:rPr>
          <w:rFonts w:ascii="Verdana" w:hAnsi="Verdana"/>
          <w:sz w:val="20"/>
          <w:lang w:val="es-ES"/>
        </w:rPr>
        <w:tab/>
      </w:r>
      <w:r w:rsidRPr="004966AB">
        <w:rPr>
          <w:rFonts w:ascii="Verdana" w:hAnsi="Verdana"/>
          <w:sz w:val="20"/>
          <w:lang w:val="es-ES"/>
        </w:rPr>
        <w:t xml:space="preserve">   </w:t>
      </w:r>
      <w:r>
        <w:rPr>
          <w:rFonts w:ascii="Verdana" w:hAnsi="Verdana"/>
          <w:sz w:val="20"/>
          <w:lang w:val="es-ES"/>
        </w:rPr>
        <w:t xml:space="preserve">     </w:t>
      </w:r>
      <w:r w:rsidRPr="004966AB">
        <w:rPr>
          <w:rFonts w:ascii="Verdana" w:hAnsi="Verdana"/>
          <w:sz w:val="20"/>
          <w:lang w:val="es-ES"/>
        </w:rPr>
        <w:t xml:space="preserve">Elizabeth Odio Benito </w:t>
      </w:r>
    </w:p>
    <w:p w14:paraId="6B84839E" w14:textId="77777777" w:rsidR="004966AB" w:rsidRPr="004966AB" w:rsidRDefault="004966AB" w:rsidP="004966AB">
      <w:pPr>
        <w:spacing w:after="0"/>
        <w:jc w:val="both"/>
        <w:rPr>
          <w:rFonts w:ascii="Verdana" w:hAnsi="Verdana"/>
          <w:sz w:val="20"/>
          <w:lang w:val="es-ES"/>
        </w:rPr>
      </w:pPr>
    </w:p>
    <w:p w14:paraId="55BA2A00" w14:textId="77777777" w:rsidR="004966AB" w:rsidRPr="004966AB" w:rsidRDefault="004966AB" w:rsidP="004966AB">
      <w:pPr>
        <w:spacing w:after="0"/>
        <w:jc w:val="both"/>
        <w:rPr>
          <w:rFonts w:ascii="Verdana" w:hAnsi="Verdana"/>
          <w:sz w:val="20"/>
          <w:lang w:val="es-ES"/>
        </w:rPr>
      </w:pPr>
    </w:p>
    <w:p w14:paraId="61EA2787" w14:textId="77777777" w:rsidR="004966AB" w:rsidRPr="004966AB" w:rsidRDefault="004966AB" w:rsidP="004966AB">
      <w:pPr>
        <w:spacing w:after="0"/>
        <w:jc w:val="both"/>
        <w:rPr>
          <w:rFonts w:ascii="Verdana" w:hAnsi="Verdana"/>
          <w:sz w:val="20"/>
          <w:lang w:val="es-ES"/>
        </w:rPr>
      </w:pPr>
    </w:p>
    <w:p w14:paraId="6EFB449A" w14:textId="77777777" w:rsidR="004966AB" w:rsidRPr="004966AB" w:rsidRDefault="004966AB" w:rsidP="004966AB">
      <w:pPr>
        <w:spacing w:after="0"/>
        <w:jc w:val="both"/>
        <w:rPr>
          <w:rFonts w:ascii="Verdana" w:hAnsi="Verdana"/>
          <w:sz w:val="20"/>
          <w:lang w:val="es-ES"/>
        </w:rPr>
      </w:pPr>
    </w:p>
    <w:p w14:paraId="3883AAA0" w14:textId="77777777" w:rsidR="004966AB" w:rsidRPr="004966AB" w:rsidRDefault="004966AB" w:rsidP="004966AB">
      <w:pPr>
        <w:spacing w:after="0"/>
        <w:jc w:val="both"/>
        <w:rPr>
          <w:rFonts w:ascii="Verdana" w:hAnsi="Verdana"/>
          <w:sz w:val="20"/>
          <w:lang w:val="es-ES"/>
        </w:rPr>
      </w:pPr>
    </w:p>
    <w:p w14:paraId="2E359E82" w14:textId="7ED85E8C" w:rsidR="004966AB" w:rsidRPr="004966AB" w:rsidRDefault="004966AB" w:rsidP="004966AB">
      <w:pPr>
        <w:spacing w:after="0"/>
        <w:rPr>
          <w:rFonts w:ascii="Verdana" w:hAnsi="Verdana"/>
          <w:sz w:val="20"/>
          <w:lang w:val="es-ES"/>
        </w:rPr>
      </w:pPr>
      <w:r w:rsidRPr="004966AB">
        <w:rPr>
          <w:rFonts w:ascii="Verdana" w:hAnsi="Verdana"/>
          <w:sz w:val="20"/>
          <w:lang w:val="es-ES"/>
        </w:rPr>
        <w:t xml:space="preserve">Eugenio Raúl Zaffaroni </w:t>
      </w:r>
      <w:r w:rsidRPr="004966AB">
        <w:rPr>
          <w:rFonts w:ascii="Verdana" w:hAnsi="Verdana"/>
          <w:sz w:val="20"/>
          <w:lang w:val="es-ES"/>
        </w:rPr>
        <w:tab/>
      </w:r>
      <w:r w:rsidRPr="004966AB">
        <w:rPr>
          <w:rFonts w:ascii="Verdana" w:hAnsi="Verdana"/>
          <w:sz w:val="20"/>
          <w:lang w:val="es-ES"/>
        </w:rPr>
        <w:tab/>
      </w:r>
      <w:r w:rsidRPr="004966AB">
        <w:rPr>
          <w:rFonts w:ascii="Verdana" w:hAnsi="Verdana"/>
          <w:sz w:val="20"/>
          <w:lang w:val="es-ES"/>
        </w:rPr>
        <w:tab/>
      </w:r>
      <w:r w:rsidRPr="004966AB">
        <w:rPr>
          <w:rFonts w:ascii="Verdana" w:hAnsi="Verdana"/>
          <w:sz w:val="20"/>
          <w:lang w:val="es-ES"/>
        </w:rPr>
        <w:tab/>
      </w:r>
      <w:r w:rsidRPr="004966AB">
        <w:rPr>
          <w:rFonts w:ascii="Verdana" w:hAnsi="Verdana"/>
          <w:sz w:val="20"/>
          <w:lang w:val="es-ES"/>
        </w:rPr>
        <w:tab/>
        <w:t xml:space="preserve">      </w:t>
      </w:r>
      <w:r>
        <w:rPr>
          <w:rFonts w:ascii="Verdana" w:hAnsi="Verdana"/>
          <w:sz w:val="20"/>
          <w:lang w:val="es-ES"/>
        </w:rPr>
        <w:t xml:space="preserve">                 </w:t>
      </w:r>
      <w:r w:rsidRPr="004966AB">
        <w:rPr>
          <w:rFonts w:ascii="Verdana" w:hAnsi="Verdana"/>
          <w:sz w:val="20"/>
          <w:lang w:val="es-ES"/>
        </w:rPr>
        <w:t xml:space="preserve">  L. Patricio Pazmiño Freire</w:t>
      </w:r>
    </w:p>
    <w:p w14:paraId="5A0EA7A8" w14:textId="77777777" w:rsidR="004966AB" w:rsidRPr="004966AB" w:rsidRDefault="004966AB" w:rsidP="004966AB">
      <w:pPr>
        <w:spacing w:after="0"/>
        <w:jc w:val="both"/>
        <w:rPr>
          <w:rFonts w:ascii="Verdana" w:hAnsi="Verdana"/>
          <w:sz w:val="20"/>
          <w:lang w:val="es-ES"/>
        </w:rPr>
      </w:pPr>
    </w:p>
    <w:p w14:paraId="40F2D88A" w14:textId="77777777" w:rsidR="004966AB" w:rsidRPr="004966AB" w:rsidRDefault="004966AB" w:rsidP="004966AB">
      <w:pPr>
        <w:spacing w:after="0"/>
        <w:jc w:val="both"/>
        <w:rPr>
          <w:rFonts w:ascii="Verdana" w:hAnsi="Verdana"/>
          <w:sz w:val="20"/>
          <w:lang w:val="es-ES"/>
        </w:rPr>
      </w:pPr>
    </w:p>
    <w:p w14:paraId="3F6A066B" w14:textId="77777777" w:rsidR="004966AB" w:rsidRPr="004966AB" w:rsidRDefault="004966AB" w:rsidP="004966AB">
      <w:pPr>
        <w:spacing w:after="0"/>
        <w:jc w:val="both"/>
        <w:rPr>
          <w:rFonts w:ascii="Verdana" w:hAnsi="Verdana"/>
          <w:sz w:val="20"/>
          <w:lang w:val="es-ES"/>
        </w:rPr>
      </w:pPr>
    </w:p>
    <w:p w14:paraId="6184FA01" w14:textId="77777777" w:rsidR="004966AB" w:rsidRPr="004966AB" w:rsidRDefault="004966AB" w:rsidP="004966AB">
      <w:pPr>
        <w:spacing w:after="0"/>
        <w:jc w:val="both"/>
        <w:rPr>
          <w:rFonts w:ascii="Verdana" w:hAnsi="Verdana"/>
          <w:sz w:val="20"/>
          <w:lang w:val="es-CR"/>
        </w:rPr>
      </w:pPr>
    </w:p>
    <w:p w14:paraId="4577EEFA" w14:textId="77777777" w:rsidR="004966AB" w:rsidRPr="004966AB" w:rsidRDefault="004966AB" w:rsidP="004966AB">
      <w:pPr>
        <w:spacing w:after="0"/>
        <w:jc w:val="both"/>
        <w:rPr>
          <w:rFonts w:ascii="Verdana" w:hAnsi="Verdana"/>
          <w:sz w:val="20"/>
          <w:lang w:val="es-ES"/>
        </w:rPr>
      </w:pPr>
    </w:p>
    <w:p w14:paraId="2517B4E7" w14:textId="77777777" w:rsidR="004966AB" w:rsidRPr="004966AB" w:rsidRDefault="004966AB" w:rsidP="004966AB">
      <w:pPr>
        <w:spacing w:after="0"/>
        <w:jc w:val="center"/>
        <w:rPr>
          <w:rFonts w:ascii="Verdana" w:hAnsi="Verdana"/>
          <w:sz w:val="20"/>
          <w:lang w:val="es-ES"/>
        </w:rPr>
      </w:pPr>
      <w:r w:rsidRPr="004966AB">
        <w:rPr>
          <w:rFonts w:ascii="Verdana" w:hAnsi="Verdana"/>
          <w:sz w:val="20"/>
          <w:lang w:val="es-ES"/>
        </w:rPr>
        <w:t>Pablo Saavedra Alessandri</w:t>
      </w:r>
    </w:p>
    <w:p w14:paraId="1983D1B8" w14:textId="77777777" w:rsidR="004966AB" w:rsidRPr="004966AB" w:rsidRDefault="004966AB" w:rsidP="004966AB">
      <w:pPr>
        <w:spacing w:after="0"/>
        <w:jc w:val="center"/>
        <w:rPr>
          <w:rFonts w:ascii="Verdana" w:hAnsi="Verdana"/>
          <w:sz w:val="20"/>
          <w:lang w:val="es-ES"/>
        </w:rPr>
      </w:pPr>
      <w:r w:rsidRPr="004966AB">
        <w:rPr>
          <w:rFonts w:ascii="Verdana" w:hAnsi="Verdana"/>
          <w:sz w:val="20"/>
          <w:lang w:val="es-ES"/>
        </w:rPr>
        <w:t>Secretario</w:t>
      </w:r>
    </w:p>
    <w:p w14:paraId="58641B4B" w14:textId="77777777" w:rsidR="004966AB" w:rsidRPr="004966AB" w:rsidRDefault="004966AB" w:rsidP="004966AB">
      <w:pPr>
        <w:pStyle w:val="FootnoteText"/>
        <w:rPr>
          <w:rFonts w:ascii="Verdana" w:hAnsi="Verdana"/>
          <w:lang w:val="es-ES"/>
        </w:rPr>
      </w:pPr>
    </w:p>
    <w:p w14:paraId="1377EA82" w14:textId="77777777" w:rsidR="004966AB" w:rsidRPr="004966AB" w:rsidRDefault="004966AB" w:rsidP="004966AB">
      <w:pPr>
        <w:pStyle w:val="FootnoteText"/>
        <w:rPr>
          <w:rFonts w:ascii="Verdana" w:hAnsi="Verdana"/>
          <w:lang w:val="es-ES"/>
        </w:rPr>
      </w:pPr>
    </w:p>
    <w:p w14:paraId="7A6C4408" w14:textId="77777777" w:rsidR="004966AB" w:rsidRPr="004966AB" w:rsidRDefault="004966AB" w:rsidP="004966AB">
      <w:pPr>
        <w:pStyle w:val="FootnoteText"/>
        <w:rPr>
          <w:rFonts w:ascii="Verdana" w:hAnsi="Verdana"/>
          <w:lang w:val="es-ES"/>
        </w:rPr>
      </w:pPr>
    </w:p>
    <w:p w14:paraId="267AD9B3" w14:textId="77777777" w:rsidR="004966AB" w:rsidRPr="004966AB" w:rsidRDefault="004966AB" w:rsidP="004966AB">
      <w:pPr>
        <w:spacing w:after="0"/>
        <w:jc w:val="both"/>
        <w:rPr>
          <w:rFonts w:ascii="Verdana" w:hAnsi="Verdana"/>
          <w:sz w:val="20"/>
          <w:lang w:val="es-ES"/>
        </w:rPr>
      </w:pPr>
      <w:r w:rsidRPr="004966AB">
        <w:rPr>
          <w:rFonts w:ascii="Verdana" w:hAnsi="Verdana"/>
          <w:sz w:val="20"/>
          <w:lang w:val="es-ES"/>
        </w:rPr>
        <w:t>Comuníquese y ejecútese,</w:t>
      </w:r>
    </w:p>
    <w:p w14:paraId="51FE65FE" w14:textId="77777777" w:rsidR="004966AB" w:rsidRPr="004966AB" w:rsidRDefault="004966AB" w:rsidP="004966AB">
      <w:pPr>
        <w:spacing w:after="0"/>
        <w:jc w:val="both"/>
        <w:rPr>
          <w:rFonts w:ascii="Verdana" w:hAnsi="Verdana"/>
          <w:sz w:val="20"/>
          <w:lang w:val="es-ES"/>
        </w:rPr>
      </w:pPr>
    </w:p>
    <w:p w14:paraId="279BA36E" w14:textId="77777777" w:rsidR="004966AB" w:rsidRPr="004966AB" w:rsidRDefault="004966AB" w:rsidP="004966AB">
      <w:pPr>
        <w:spacing w:after="0"/>
        <w:jc w:val="both"/>
        <w:rPr>
          <w:rFonts w:ascii="Verdana" w:hAnsi="Verdana"/>
          <w:sz w:val="20"/>
          <w:lang w:val="es-ES"/>
        </w:rPr>
      </w:pPr>
    </w:p>
    <w:p w14:paraId="18D98ADB" w14:textId="77777777" w:rsidR="004966AB" w:rsidRPr="004966AB" w:rsidRDefault="004966AB" w:rsidP="004966AB">
      <w:pPr>
        <w:spacing w:after="0"/>
        <w:jc w:val="both"/>
        <w:rPr>
          <w:rFonts w:ascii="Verdana" w:hAnsi="Verdana"/>
          <w:sz w:val="20"/>
          <w:lang w:val="es-ES"/>
        </w:rPr>
      </w:pPr>
    </w:p>
    <w:p w14:paraId="6CB0A981" w14:textId="77777777" w:rsidR="004966AB" w:rsidRPr="004966AB" w:rsidRDefault="004966AB" w:rsidP="004966AB">
      <w:pPr>
        <w:spacing w:after="0"/>
        <w:jc w:val="both"/>
        <w:rPr>
          <w:rFonts w:ascii="Verdana" w:hAnsi="Verdana"/>
          <w:sz w:val="20"/>
          <w:lang w:val="es-ES"/>
        </w:rPr>
      </w:pPr>
    </w:p>
    <w:p w14:paraId="5063B1AC" w14:textId="77777777" w:rsidR="004966AB" w:rsidRPr="004966AB" w:rsidRDefault="004966AB" w:rsidP="004966AB">
      <w:pPr>
        <w:spacing w:after="0"/>
        <w:ind w:left="4956" w:firstLine="708"/>
        <w:jc w:val="center"/>
        <w:rPr>
          <w:rFonts w:ascii="Verdana" w:hAnsi="Verdana"/>
          <w:sz w:val="20"/>
          <w:lang w:val="es-ES"/>
        </w:rPr>
      </w:pPr>
      <w:r w:rsidRPr="004966AB">
        <w:rPr>
          <w:rFonts w:ascii="Verdana" w:hAnsi="Verdana"/>
          <w:sz w:val="20"/>
          <w:lang w:val="es-ES"/>
        </w:rPr>
        <w:t>Roberto F. Caldas</w:t>
      </w:r>
    </w:p>
    <w:p w14:paraId="1BA3FE69" w14:textId="77777777" w:rsidR="004966AB" w:rsidRPr="004966AB" w:rsidRDefault="004966AB" w:rsidP="004966AB">
      <w:pPr>
        <w:spacing w:after="0"/>
        <w:ind w:left="4956" w:firstLine="708"/>
        <w:jc w:val="center"/>
        <w:rPr>
          <w:rFonts w:ascii="Verdana" w:hAnsi="Verdana"/>
          <w:sz w:val="20"/>
          <w:lang w:val="es-ES"/>
        </w:rPr>
      </w:pPr>
      <w:r w:rsidRPr="004966AB">
        <w:rPr>
          <w:rFonts w:ascii="Verdana" w:hAnsi="Verdana"/>
          <w:sz w:val="20"/>
          <w:lang w:val="es-ES"/>
        </w:rPr>
        <w:t xml:space="preserve">Presidente </w:t>
      </w:r>
    </w:p>
    <w:p w14:paraId="7D63BD56" w14:textId="77777777" w:rsidR="004966AB" w:rsidRPr="004966AB" w:rsidRDefault="004966AB" w:rsidP="004966AB">
      <w:pPr>
        <w:spacing w:after="0"/>
        <w:jc w:val="both"/>
        <w:rPr>
          <w:rFonts w:ascii="Verdana" w:hAnsi="Verdana"/>
          <w:sz w:val="20"/>
          <w:lang w:val="es-ES"/>
        </w:rPr>
      </w:pPr>
    </w:p>
    <w:p w14:paraId="7663791C" w14:textId="77777777" w:rsidR="004966AB" w:rsidRPr="004966AB" w:rsidRDefault="004966AB" w:rsidP="004966AB">
      <w:pPr>
        <w:spacing w:after="0"/>
        <w:jc w:val="both"/>
        <w:rPr>
          <w:rFonts w:ascii="Verdana" w:hAnsi="Verdana"/>
          <w:sz w:val="20"/>
          <w:lang w:val="es-ES"/>
        </w:rPr>
      </w:pPr>
    </w:p>
    <w:p w14:paraId="612A2486" w14:textId="77777777" w:rsidR="004966AB" w:rsidRPr="004966AB" w:rsidRDefault="004966AB" w:rsidP="004966AB">
      <w:pPr>
        <w:spacing w:after="0"/>
        <w:jc w:val="both"/>
        <w:rPr>
          <w:rFonts w:ascii="Verdana" w:hAnsi="Verdana"/>
          <w:sz w:val="20"/>
          <w:lang w:val="es-ES"/>
        </w:rPr>
      </w:pPr>
      <w:r w:rsidRPr="004966AB">
        <w:rPr>
          <w:rFonts w:ascii="Verdana" w:hAnsi="Verdana"/>
          <w:sz w:val="20"/>
          <w:lang w:val="es-ES"/>
        </w:rPr>
        <w:t>Pablo Saavedra Alessandri</w:t>
      </w:r>
    </w:p>
    <w:p w14:paraId="28C8248A" w14:textId="77777777" w:rsidR="004966AB" w:rsidRPr="004966AB" w:rsidRDefault="004966AB" w:rsidP="004966AB">
      <w:pPr>
        <w:spacing w:after="0"/>
        <w:rPr>
          <w:rFonts w:ascii="Verdana" w:hAnsi="Verdana"/>
          <w:sz w:val="20"/>
          <w:lang w:val="es-CR"/>
        </w:rPr>
      </w:pPr>
      <w:r w:rsidRPr="004966AB">
        <w:rPr>
          <w:rFonts w:ascii="Verdana" w:hAnsi="Verdana"/>
          <w:sz w:val="20"/>
          <w:lang w:val="es-ES"/>
        </w:rPr>
        <w:tab/>
      </w:r>
      <w:r w:rsidRPr="004966AB">
        <w:rPr>
          <w:rFonts w:ascii="Verdana" w:hAnsi="Verdana"/>
          <w:sz w:val="20"/>
          <w:lang w:val="es-CR"/>
        </w:rPr>
        <w:t>Secretario</w:t>
      </w:r>
    </w:p>
    <w:sectPr w:rsidR="004966AB" w:rsidRPr="004966AB" w:rsidSect="00B866DC">
      <w:footerReference w:type="default" r:id="rId10"/>
      <w:pgSz w:w="12240" w:h="15840"/>
      <w:pgMar w:top="1440" w:right="1080" w:bottom="1440" w:left="1080" w:header="68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4C15D" w14:textId="77777777" w:rsidR="005973E6" w:rsidRDefault="005973E6" w:rsidP="005456A5">
      <w:pPr>
        <w:spacing w:after="0" w:line="240" w:lineRule="auto"/>
      </w:pPr>
      <w:r>
        <w:separator/>
      </w:r>
    </w:p>
  </w:endnote>
  <w:endnote w:type="continuationSeparator" w:id="0">
    <w:p w14:paraId="5A3109E8" w14:textId="77777777" w:rsidR="005973E6" w:rsidRDefault="005973E6" w:rsidP="005456A5">
      <w:pPr>
        <w:spacing w:after="0" w:line="240" w:lineRule="auto"/>
      </w:pPr>
      <w:r>
        <w:continuationSeparator/>
      </w:r>
    </w:p>
  </w:endnote>
  <w:endnote w:type="continuationNotice" w:id="1">
    <w:p w14:paraId="47AC314C" w14:textId="77777777" w:rsidR="005973E6" w:rsidRDefault="005973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TE57B92E0t00">
    <w:panose1 w:val="00000000000000000000"/>
    <w:charset w:val="00"/>
    <w:family w:val="auto"/>
    <w:notTrueType/>
    <w:pitch w:val="default"/>
    <w:sig w:usb0="00000003" w:usb1="00000000" w:usb2="00000000" w:usb3="00000000" w:csb0="00000001" w:csb1="00000000"/>
  </w:font>
  <w:font w:name="TTE1171800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71442"/>
      <w:docPartObj>
        <w:docPartGallery w:val="Page Numbers (Bottom of Page)"/>
        <w:docPartUnique/>
      </w:docPartObj>
    </w:sdtPr>
    <w:sdtEndPr>
      <w:rPr>
        <w:noProof/>
      </w:rPr>
    </w:sdtEndPr>
    <w:sdtContent>
      <w:p w14:paraId="08E62E1C" w14:textId="77777777" w:rsidR="00E83403" w:rsidRDefault="00E83403">
        <w:pPr>
          <w:pStyle w:val="Footer"/>
          <w:jc w:val="center"/>
        </w:pPr>
        <w:r>
          <w:t>-</w:t>
        </w:r>
        <w:r>
          <w:fldChar w:fldCharType="begin"/>
        </w:r>
        <w:r>
          <w:instrText xml:space="preserve"> PAGE   \* MERGEFORMAT </w:instrText>
        </w:r>
        <w:r>
          <w:fldChar w:fldCharType="separate"/>
        </w:r>
        <w:r w:rsidR="000E3C28">
          <w:rPr>
            <w:noProof/>
          </w:rPr>
          <w:t>2</w:t>
        </w:r>
        <w:r>
          <w:rPr>
            <w:noProof/>
          </w:rPr>
          <w:fldChar w:fldCharType="end"/>
        </w:r>
        <w:r>
          <w:rPr>
            <w:noProof/>
          </w:rPr>
          <w:t>-</w:t>
        </w:r>
      </w:p>
    </w:sdtContent>
  </w:sdt>
  <w:p w14:paraId="01839356" w14:textId="77777777" w:rsidR="00E83403" w:rsidRDefault="00E83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67169" w14:textId="77777777" w:rsidR="005973E6" w:rsidRDefault="005973E6" w:rsidP="005456A5">
      <w:pPr>
        <w:spacing w:after="0" w:line="240" w:lineRule="auto"/>
      </w:pPr>
      <w:r>
        <w:separator/>
      </w:r>
    </w:p>
  </w:footnote>
  <w:footnote w:type="continuationSeparator" w:id="0">
    <w:p w14:paraId="5A1D0662" w14:textId="77777777" w:rsidR="005973E6" w:rsidRDefault="005973E6" w:rsidP="005456A5">
      <w:pPr>
        <w:spacing w:after="0" w:line="240" w:lineRule="auto"/>
      </w:pPr>
      <w:r>
        <w:continuationSeparator/>
      </w:r>
    </w:p>
  </w:footnote>
  <w:footnote w:type="continuationNotice" w:id="1">
    <w:p w14:paraId="34EB21DC" w14:textId="77777777" w:rsidR="005973E6" w:rsidRDefault="005973E6">
      <w:pPr>
        <w:spacing w:after="0" w:line="240" w:lineRule="auto"/>
      </w:pPr>
    </w:p>
  </w:footnote>
  <w:footnote w:id="2">
    <w:p w14:paraId="706F587E" w14:textId="1DC6D9FE" w:rsidR="00E83403" w:rsidRPr="00965696" w:rsidRDefault="00E83403" w:rsidP="00965696">
      <w:pPr>
        <w:tabs>
          <w:tab w:val="left" w:pos="567"/>
        </w:tabs>
        <w:spacing w:after="120" w:line="240" w:lineRule="auto"/>
        <w:jc w:val="both"/>
        <w:rPr>
          <w:rFonts w:ascii="Verdana" w:hAnsi="Verdana"/>
          <w:sz w:val="16"/>
          <w:szCs w:val="16"/>
          <w:lang w:val="es-CR"/>
        </w:rPr>
      </w:pPr>
      <w:r w:rsidRPr="00965696">
        <w:rPr>
          <w:rStyle w:val="FootnoteReference"/>
          <w:rFonts w:ascii="Verdana" w:hAnsi="Verdana"/>
          <w:sz w:val="16"/>
          <w:szCs w:val="16"/>
          <w:lang w:val="es-CR"/>
        </w:rPr>
        <w:footnoteRef/>
      </w:r>
      <w:r w:rsidRPr="00965696">
        <w:rPr>
          <w:rFonts w:ascii="Verdana" w:hAnsi="Verdana"/>
          <w:sz w:val="16"/>
          <w:szCs w:val="16"/>
          <w:lang w:val="es-CR"/>
        </w:rPr>
        <w:t xml:space="preserve"> </w:t>
      </w:r>
      <w:r w:rsidRPr="00965696">
        <w:rPr>
          <w:rFonts w:ascii="Verdana" w:hAnsi="Verdana"/>
          <w:sz w:val="16"/>
          <w:szCs w:val="16"/>
          <w:lang w:val="es-CR"/>
        </w:rPr>
        <w:tab/>
      </w:r>
      <w:r w:rsidRPr="00965696">
        <w:rPr>
          <w:rFonts w:ascii="Verdana" w:hAnsi="Verdana"/>
          <w:i/>
          <w:sz w:val="16"/>
          <w:szCs w:val="16"/>
          <w:lang w:val="es-CR"/>
        </w:rPr>
        <w:t>Cfr.</w:t>
      </w:r>
      <w:r w:rsidRPr="00965696">
        <w:rPr>
          <w:rFonts w:ascii="Verdana" w:hAnsi="Verdana"/>
          <w:sz w:val="16"/>
          <w:szCs w:val="16"/>
          <w:lang w:val="es-CR"/>
        </w:rPr>
        <w:t xml:space="preserve"> </w:t>
      </w:r>
      <w:r w:rsidRPr="00965696">
        <w:rPr>
          <w:rFonts w:ascii="Verdana" w:hAnsi="Verdana"/>
          <w:i/>
          <w:sz w:val="16"/>
          <w:szCs w:val="16"/>
          <w:lang w:val="es-CR"/>
        </w:rPr>
        <w:t>Caso del Periódico “La Nación”.</w:t>
      </w:r>
      <w:r w:rsidRPr="00965696">
        <w:rPr>
          <w:rFonts w:ascii="Verdana" w:hAnsi="Verdana"/>
          <w:sz w:val="16"/>
          <w:szCs w:val="16"/>
          <w:lang w:val="es-CR"/>
        </w:rPr>
        <w:t xml:space="preserve"> Medidas Provisionales respecto de Costa Rica. Resolución de la Corte Interamericana de Derechos Humanos de 7 de septiembre de 2001, considerando cuarto, </w:t>
      </w:r>
      <w:r w:rsidRPr="00965696">
        <w:rPr>
          <w:rFonts w:ascii="Verdana" w:hAnsi="Verdana"/>
          <w:bCs/>
          <w:color w:val="000000"/>
          <w:sz w:val="16"/>
          <w:szCs w:val="16"/>
          <w:lang w:val="es-CR"/>
        </w:rPr>
        <w:t xml:space="preserve">y </w:t>
      </w:r>
      <w:r w:rsidRPr="00965696">
        <w:rPr>
          <w:rFonts w:ascii="Verdana" w:hAnsi="Verdana"/>
          <w:bCs/>
          <w:i/>
          <w:color w:val="000000"/>
          <w:sz w:val="16"/>
          <w:szCs w:val="16"/>
          <w:lang w:val="es-CR"/>
        </w:rPr>
        <w:t>Asunto Integrantes de la Comunidad Indígena de Choréachi</w:t>
      </w:r>
      <w:r w:rsidRPr="00965696">
        <w:rPr>
          <w:rFonts w:ascii="Verdana" w:hAnsi="Verdana"/>
          <w:bCs/>
          <w:color w:val="000000"/>
          <w:sz w:val="16"/>
          <w:szCs w:val="16"/>
          <w:lang w:val="es-CR"/>
        </w:rPr>
        <w:t xml:space="preserve"> </w:t>
      </w:r>
      <w:r w:rsidRPr="00965696">
        <w:rPr>
          <w:rFonts w:ascii="Verdana" w:hAnsi="Verdana"/>
          <w:bCs/>
          <w:i/>
          <w:color w:val="000000"/>
          <w:sz w:val="16"/>
          <w:szCs w:val="16"/>
          <w:lang w:val="es-CR"/>
        </w:rPr>
        <w:t>respecto de México.</w:t>
      </w:r>
      <w:r w:rsidRPr="00965696">
        <w:rPr>
          <w:rFonts w:ascii="Verdana" w:hAnsi="Verdana"/>
          <w:bCs/>
          <w:color w:val="000000"/>
          <w:sz w:val="16"/>
          <w:szCs w:val="16"/>
          <w:lang w:val="es-CR"/>
        </w:rPr>
        <w:t xml:space="preserve"> Solicitud de medidas provisionales. Resolución de la Corte Interamericana de Derechos Humanos de 25 de marzo de 2017, considerando sexto.</w:t>
      </w:r>
    </w:p>
  </w:footnote>
  <w:footnote w:id="3">
    <w:p w14:paraId="490A925B" w14:textId="2DB63B32" w:rsidR="00E83403" w:rsidRPr="00965696" w:rsidRDefault="00E83403" w:rsidP="00965696">
      <w:pPr>
        <w:pStyle w:val="FootnoteText"/>
        <w:tabs>
          <w:tab w:val="left" w:pos="567"/>
        </w:tabs>
        <w:spacing w:after="120"/>
        <w:jc w:val="both"/>
        <w:rPr>
          <w:rFonts w:ascii="Verdana" w:hAnsi="Verdana"/>
          <w:sz w:val="16"/>
          <w:szCs w:val="16"/>
          <w:lang w:val="es-CR"/>
        </w:rPr>
      </w:pPr>
      <w:r w:rsidRPr="00965696">
        <w:rPr>
          <w:rStyle w:val="FootnoteReference"/>
          <w:rFonts w:ascii="Verdana" w:hAnsi="Verdana"/>
          <w:sz w:val="16"/>
          <w:szCs w:val="16"/>
        </w:rPr>
        <w:footnoteRef/>
      </w:r>
      <w:r w:rsidRPr="00965696">
        <w:rPr>
          <w:rFonts w:ascii="Verdana" w:hAnsi="Verdana"/>
          <w:sz w:val="16"/>
          <w:szCs w:val="16"/>
          <w:lang w:val="es-CR"/>
        </w:rPr>
        <w:t xml:space="preserve"> </w:t>
      </w:r>
      <w:r w:rsidRPr="00965696">
        <w:rPr>
          <w:rFonts w:ascii="Verdana" w:hAnsi="Verdana"/>
          <w:sz w:val="16"/>
          <w:szCs w:val="16"/>
          <w:lang w:val="es-CR"/>
        </w:rPr>
        <w:tab/>
      </w:r>
      <w:r w:rsidRPr="00965696">
        <w:rPr>
          <w:rFonts w:ascii="Verdana" w:hAnsi="Verdana"/>
          <w:i/>
          <w:sz w:val="16"/>
          <w:szCs w:val="16"/>
          <w:lang w:val="es-CR"/>
        </w:rPr>
        <w:t>Cfr.</w:t>
      </w:r>
      <w:r w:rsidRPr="00965696">
        <w:rPr>
          <w:rFonts w:ascii="Verdana" w:hAnsi="Verdana"/>
          <w:sz w:val="16"/>
          <w:szCs w:val="16"/>
          <w:lang w:val="es-CR"/>
        </w:rPr>
        <w:t xml:space="preserve"> </w:t>
      </w:r>
      <w:r w:rsidRPr="00965696">
        <w:rPr>
          <w:rFonts w:ascii="Verdana" w:hAnsi="Verdana"/>
          <w:i/>
          <w:sz w:val="16"/>
          <w:szCs w:val="16"/>
          <w:lang w:val="es-CR"/>
        </w:rPr>
        <w:t>Caso del Periódico “La Nación”.</w:t>
      </w:r>
      <w:r w:rsidRPr="00965696">
        <w:rPr>
          <w:rFonts w:ascii="Verdana" w:hAnsi="Verdana"/>
          <w:sz w:val="16"/>
          <w:szCs w:val="16"/>
          <w:lang w:val="es-CR"/>
        </w:rPr>
        <w:t xml:space="preserve"> Medidas Provisionales respecto de Costa Rica, </w:t>
      </w:r>
      <w:r w:rsidRPr="00965696">
        <w:rPr>
          <w:rFonts w:ascii="Verdana" w:hAnsi="Verdana"/>
          <w:i/>
          <w:sz w:val="16"/>
          <w:szCs w:val="16"/>
          <w:lang w:val="es-CR"/>
        </w:rPr>
        <w:t>supra,</w:t>
      </w:r>
      <w:r w:rsidRPr="00965696">
        <w:rPr>
          <w:rFonts w:ascii="Verdana" w:hAnsi="Verdana"/>
          <w:sz w:val="16"/>
          <w:szCs w:val="16"/>
          <w:lang w:val="es-CR"/>
        </w:rPr>
        <w:t xml:space="preserve"> considerando cuarto, y </w:t>
      </w:r>
      <w:r w:rsidRPr="00965696">
        <w:rPr>
          <w:rFonts w:ascii="Verdana" w:hAnsi="Verdana"/>
          <w:bCs/>
          <w:i/>
          <w:color w:val="000000"/>
          <w:sz w:val="16"/>
          <w:szCs w:val="16"/>
          <w:lang w:val="es-CR"/>
        </w:rPr>
        <w:t>Asunto Integrantes de la Comunidad Indígena de Choréachi</w:t>
      </w:r>
      <w:r w:rsidRPr="00965696">
        <w:rPr>
          <w:rFonts w:ascii="Verdana" w:hAnsi="Verdana"/>
          <w:bCs/>
          <w:color w:val="000000"/>
          <w:sz w:val="16"/>
          <w:szCs w:val="16"/>
          <w:lang w:val="es-CR"/>
        </w:rPr>
        <w:t xml:space="preserve"> </w:t>
      </w:r>
      <w:r w:rsidRPr="00965696">
        <w:rPr>
          <w:rFonts w:ascii="Verdana" w:hAnsi="Verdana"/>
          <w:bCs/>
          <w:i/>
          <w:color w:val="000000"/>
          <w:sz w:val="16"/>
          <w:szCs w:val="16"/>
          <w:lang w:val="es-CR"/>
        </w:rPr>
        <w:t xml:space="preserve">respecto de México, supra, </w:t>
      </w:r>
      <w:r w:rsidRPr="00965696">
        <w:rPr>
          <w:rFonts w:ascii="Verdana" w:hAnsi="Verdana"/>
          <w:bCs/>
          <w:color w:val="000000"/>
          <w:sz w:val="16"/>
          <w:szCs w:val="16"/>
          <w:lang w:val="es-CR"/>
        </w:rPr>
        <w:t>considerando sexto.</w:t>
      </w:r>
    </w:p>
  </w:footnote>
  <w:footnote w:id="4">
    <w:p w14:paraId="359D924A" w14:textId="60DAF991" w:rsidR="00E83403" w:rsidRPr="00965696" w:rsidRDefault="00E83403" w:rsidP="00965696">
      <w:pPr>
        <w:pStyle w:val="FootnoteText"/>
        <w:tabs>
          <w:tab w:val="left" w:pos="567"/>
        </w:tabs>
        <w:spacing w:after="120"/>
        <w:jc w:val="both"/>
        <w:rPr>
          <w:rFonts w:ascii="Verdana" w:hAnsi="Verdana"/>
          <w:sz w:val="16"/>
          <w:szCs w:val="16"/>
          <w:lang w:val="es-ES"/>
        </w:rPr>
      </w:pPr>
      <w:r w:rsidRPr="00965696">
        <w:rPr>
          <w:rStyle w:val="FootnoteReference"/>
          <w:rFonts w:ascii="Verdana" w:hAnsi="Verdana"/>
          <w:sz w:val="16"/>
          <w:szCs w:val="16"/>
        </w:rPr>
        <w:footnoteRef/>
      </w:r>
      <w:r w:rsidRPr="00965696">
        <w:rPr>
          <w:rFonts w:ascii="Verdana" w:hAnsi="Verdana"/>
          <w:sz w:val="16"/>
          <w:szCs w:val="16"/>
          <w:lang w:val="es-CR"/>
        </w:rPr>
        <w:t xml:space="preserve"> </w:t>
      </w:r>
      <w:r w:rsidRPr="00965696">
        <w:rPr>
          <w:rFonts w:ascii="Verdana" w:hAnsi="Verdana"/>
          <w:sz w:val="16"/>
          <w:szCs w:val="16"/>
          <w:lang w:val="es-CR"/>
        </w:rPr>
        <w:tab/>
      </w:r>
      <w:r w:rsidRPr="00965696">
        <w:rPr>
          <w:rFonts w:ascii="Verdana" w:hAnsi="Verdana"/>
          <w:i/>
          <w:sz w:val="16"/>
          <w:szCs w:val="16"/>
          <w:lang w:val="es-CR"/>
        </w:rPr>
        <w:t xml:space="preserve">Cfr. Asunto del Internado Judicial Capital El Rodeo I y El Rodeo II. </w:t>
      </w:r>
      <w:r w:rsidRPr="00965696">
        <w:rPr>
          <w:rFonts w:ascii="Verdana" w:hAnsi="Verdana"/>
          <w:sz w:val="16"/>
          <w:szCs w:val="16"/>
          <w:lang w:val="es-CR"/>
        </w:rPr>
        <w:t>Medidas Provisionales respecto de Venezuela. Resolución de la Corte</w:t>
      </w:r>
      <w:r w:rsidR="00ED3858" w:rsidRPr="00965696">
        <w:rPr>
          <w:rFonts w:ascii="Verdana" w:hAnsi="Verdana"/>
          <w:sz w:val="16"/>
          <w:szCs w:val="16"/>
          <w:lang w:val="es-CR"/>
        </w:rPr>
        <w:t xml:space="preserve"> Interamericana de Derechos Humanos</w:t>
      </w:r>
      <w:r w:rsidRPr="00965696">
        <w:rPr>
          <w:rFonts w:ascii="Verdana" w:hAnsi="Verdana"/>
          <w:sz w:val="16"/>
          <w:szCs w:val="16"/>
          <w:lang w:val="es-CR"/>
        </w:rPr>
        <w:t xml:space="preserve"> de 8 de febrero de 2008, considerando séptimo</w:t>
      </w:r>
      <w:r w:rsidRPr="00965696">
        <w:rPr>
          <w:rFonts w:ascii="Verdana" w:hAnsi="Verdana"/>
          <w:sz w:val="16"/>
          <w:szCs w:val="16"/>
          <w:lang w:val="es-AR"/>
        </w:rPr>
        <w:t xml:space="preserve">, y </w:t>
      </w:r>
      <w:r w:rsidRPr="00965696">
        <w:rPr>
          <w:rFonts w:ascii="Verdana" w:hAnsi="Verdana"/>
          <w:i/>
          <w:sz w:val="16"/>
          <w:szCs w:val="16"/>
          <w:lang w:val="es-AR"/>
        </w:rPr>
        <w:t>Caso Gonzáles Lluy y otros</w:t>
      </w:r>
      <w:r w:rsidRPr="00965696">
        <w:rPr>
          <w:rFonts w:ascii="Verdana" w:hAnsi="Verdana"/>
          <w:sz w:val="16"/>
          <w:szCs w:val="16"/>
          <w:lang w:val="es-AR"/>
        </w:rPr>
        <w:t xml:space="preserve"> </w:t>
      </w:r>
      <w:r w:rsidRPr="00965696">
        <w:rPr>
          <w:rFonts w:ascii="Verdana" w:hAnsi="Verdana"/>
          <w:i/>
          <w:sz w:val="16"/>
          <w:szCs w:val="16"/>
          <w:lang w:val="es-AR"/>
        </w:rPr>
        <w:t>Vs. Ecuador.</w:t>
      </w:r>
      <w:r w:rsidRPr="00965696">
        <w:rPr>
          <w:rFonts w:ascii="Verdana" w:hAnsi="Verdana"/>
          <w:sz w:val="16"/>
          <w:szCs w:val="16"/>
          <w:lang w:val="es-AR"/>
        </w:rPr>
        <w:t xml:space="preserve"> Medidas provisionales. Resolución de la Corte Interamericana de Derechos Humanos de 2 de septiembre de 2015, considerando quinto.</w:t>
      </w:r>
    </w:p>
  </w:footnote>
  <w:footnote w:id="5">
    <w:p w14:paraId="7901E391" w14:textId="71552C24" w:rsidR="00E83403" w:rsidRPr="00965696" w:rsidRDefault="00E83403" w:rsidP="00965696">
      <w:pPr>
        <w:pStyle w:val="FootnoteText"/>
        <w:tabs>
          <w:tab w:val="left" w:pos="567"/>
        </w:tabs>
        <w:spacing w:after="120"/>
        <w:jc w:val="both"/>
        <w:rPr>
          <w:rFonts w:ascii="Verdana" w:hAnsi="Verdana"/>
          <w:sz w:val="16"/>
          <w:szCs w:val="16"/>
          <w:lang w:val="es-ES"/>
        </w:rPr>
      </w:pPr>
      <w:r w:rsidRPr="00965696">
        <w:rPr>
          <w:rStyle w:val="FootnoteReference"/>
          <w:rFonts w:ascii="Verdana" w:hAnsi="Verdana"/>
          <w:sz w:val="16"/>
          <w:szCs w:val="16"/>
        </w:rPr>
        <w:footnoteRef/>
      </w:r>
      <w:r w:rsidRPr="00965696">
        <w:rPr>
          <w:rFonts w:ascii="Verdana" w:hAnsi="Verdana"/>
          <w:sz w:val="16"/>
          <w:szCs w:val="16"/>
          <w:lang w:val="es-CR"/>
        </w:rPr>
        <w:t xml:space="preserve"> </w:t>
      </w:r>
      <w:r w:rsidRPr="00965696">
        <w:rPr>
          <w:rFonts w:ascii="Verdana" w:hAnsi="Verdana"/>
          <w:sz w:val="16"/>
          <w:szCs w:val="16"/>
          <w:lang w:val="es-CR"/>
        </w:rPr>
        <w:tab/>
      </w:r>
      <w:r w:rsidRPr="00965696">
        <w:rPr>
          <w:rFonts w:ascii="Verdana" w:hAnsi="Verdana"/>
          <w:i/>
          <w:sz w:val="16"/>
          <w:szCs w:val="16"/>
          <w:lang w:val="es-CR"/>
        </w:rPr>
        <w:t>Cfr. Asunto del Internado Judicial Capital El Rodeo I y El Rodeo II</w:t>
      </w:r>
      <w:r w:rsidRPr="00965696">
        <w:rPr>
          <w:rFonts w:ascii="Verdana" w:hAnsi="Verdana"/>
          <w:sz w:val="16"/>
          <w:szCs w:val="16"/>
          <w:lang w:val="es-CR"/>
        </w:rPr>
        <w:t xml:space="preserve">. Medidas Provisionales respecto de Venezuela, </w:t>
      </w:r>
      <w:r w:rsidRPr="00965696">
        <w:rPr>
          <w:rFonts w:ascii="Verdana" w:hAnsi="Verdana"/>
          <w:i/>
          <w:sz w:val="16"/>
          <w:szCs w:val="16"/>
          <w:lang w:val="es-CR"/>
        </w:rPr>
        <w:t>supra</w:t>
      </w:r>
      <w:r w:rsidRPr="00965696">
        <w:rPr>
          <w:rFonts w:ascii="Verdana" w:hAnsi="Verdana"/>
          <w:sz w:val="16"/>
          <w:szCs w:val="16"/>
          <w:lang w:val="es-CR"/>
        </w:rPr>
        <w:t xml:space="preserve">, considerando octavo, y </w:t>
      </w:r>
      <w:r w:rsidRPr="00965696">
        <w:rPr>
          <w:rFonts w:ascii="Verdana" w:hAnsi="Verdana"/>
          <w:i/>
          <w:sz w:val="16"/>
          <w:szCs w:val="16"/>
          <w:lang w:val="es-AR"/>
        </w:rPr>
        <w:t>Caso Gonzáles Lluy y otros</w:t>
      </w:r>
      <w:r w:rsidRPr="00965696">
        <w:rPr>
          <w:rFonts w:ascii="Verdana" w:hAnsi="Verdana"/>
          <w:sz w:val="16"/>
          <w:szCs w:val="16"/>
          <w:lang w:val="es-AR"/>
        </w:rPr>
        <w:t xml:space="preserve"> </w:t>
      </w:r>
      <w:r w:rsidRPr="00965696">
        <w:rPr>
          <w:rFonts w:ascii="Verdana" w:hAnsi="Verdana"/>
          <w:i/>
          <w:sz w:val="16"/>
          <w:szCs w:val="16"/>
          <w:lang w:val="es-AR"/>
        </w:rPr>
        <w:t>Vs. Ecuador.</w:t>
      </w:r>
      <w:r w:rsidRPr="00965696">
        <w:rPr>
          <w:rFonts w:ascii="Verdana" w:hAnsi="Verdana"/>
          <w:sz w:val="16"/>
          <w:szCs w:val="16"/>
          <w:lang w:val="es-ES_tradnl"/>
        </w:rPr>
        <w:t xml:space="preserve"> Medidas Provisionales</w:t>
      </w:r>
      <w:r w:rsidRPr="00965696">
        <w:rPr>
          <w:rFonts w:ascii="Verdana" w:hAnsi="Verdana"/>
          <w:i/>
          <w:sz w:val="16"/>
          <w:szCs w:val="16"/>
          <w:lang w:val="es-AR"/>
        </w:rPr>
        <w:t xml:space="preserve">, supra, </w:t>
      </w:r>
      <w:r w:rsidRPr="00965696">
        <w:rPr>
          <w:rFonts w:ascii="Verdana" w:hAnsi="Verdana"/>
          <w:sz w:val="16"/>
          <w:szCs w:val="16"/>
          <w:lang w:val="es-AR"/>
        </w:rPr>
        <w:t>considerando quinto.</w:t>
      </w:r>
    </w:p>
  </w:footnote>
  <w:footnote w:id="6">
    <w:p w14:paraId="06ADBF08" w14:textId="230AF9F8" w:rsidR="00E83403" w:rsidRPr="00965696" w:rsidRDefault="00E83403" w:rsidP="00965696">
      <w:pPr>
        <w:tabs>
          <w:tab w:val="left" w:pos="567"/>
        </w:tabs>
        <w:spacing w:after="120" w:line="240" w:lineRule="auto"/>
        <w:jc w:val="both"/>
        <w:rPr>
          <w:rFonts w:ascii="Verdana" w:hAnsi="Verdana"/>
          <w:sz w:val="16"/>
          <w:szCs w:val="16"/>
          <w:lang w:val="es-ES_tradnl"/>
        </w:rPr>
      </w:pPr>
      <w:r w:rsidRPr="00965696">
        <w:rPr>
          <w:rStyle w:val="FootnoteReference"/>
          <w:rFonts w:ascii="Verdana" w:hAnsi="Verdana"/>
          <w:sz w:val="16"/>
          <w:szCs w:val="16"/>
        </w:rPr>
        <w:footnoteRef/>
      </w:r>
      <w:r w:rsidRPr="00965696">
        <w:rPr>
          <w:rFonts w:ascii="Verdana" w:hAnsi="Verdana"/>
          <w:sz w:val="16"/>
          <w:szCs w:val="16"/>
          <w:lang w:val="es-CR"/>
        </w:rPr>
        <w:tab/>
      </w:r>
      <w:r w:rsidRPr="00965696">
        <w:rPr>
          <w:rFonts w:ascii="Verdana" w:hAnsi="Verdana"/>
          <w:i/>
          <w:iCs/>
          <w:sz w:val="16"/>
          <w:szCs w:val="16"/>
          <w:lang w:val="es-ES"/>
        </w:rPr>
        <w:t xml:space="preserve">Cfr. </w:t>
      </w:r>
      <w:r w:rsidRPr="00965696">
        <w:rPr>
          <w:rFonts w:ascii="Verdana" w:hAnsi="Verdana"/>
          <w:i/>
          <w:sz w:val="16"/>
          <w:szCs w:val="16"/>
          <w:lang w:val="es-ES"/>
        </w:rPr>
        <w:t>Caso Carpio Nicolle</w:t>
      </w:r>
      <w:r w:rsidRPr="00965696">
        <w:rPr>
          <w:rFonts w:ascii="Verdana" w:hAnsi="Verdana"/>
          <w:sz w:val="16"/>
          <w:szCs w:val="16"/>
          <w:lang w:val="es-ES"/>
        </w:rPr>
        <w:t xml:space="preserve">. Medidas Provisionales respecto de Guatemala. </w:t>
      </w:r>
      <w:r w:rsidRPr="00965696">
        <w:rPr>
          <w:rFonts w:ascii="Verdana" w:hAnsi="Verdana"/>
          <w:sz w:val="16"/>
          <w:szCs w:val="16"/>
          <w:lang w:val="es-ES_tradnl"/>
        </w:rPr>
        <w:t xml:space="preserve">Resolución de la Corte Interamericana de Derechos Humanos de 6 de julio de 2009, considerando décimo cuarto, y </w:t>
      </w:r>
      <w:r w:rsidRPr="00965696">
        <w:rPr>
          <w:rFonts w:ascii="Verdana" w:hAnsi="Verdana"/>
          <w:i/>
          <w:sz w:val="16"/>
          <w:szCs w:val="16"/>
          <w:lang w:val="es-ES_tradnl"/>
        </w:rPr>
        <w:t>Caso Fernández Ortega y otros</w:t>
      </w:r>
      <w:r w:rsidRPr="00965696">
        <w:rPr>
          <w:rFonts w:ascii="Verdana" w:hAnsi="Verdana"/>
          <w:sz w:val="16"/>
          <w:szCs w:val="16"/>
          <w:lang w:val="es-ES_tradnl"/>
        </w:rPr>
        <w:t xml:space="preserve"> </w:t>
      </w:r>
      <w:r w:rsidRPr="00965696">
        <w:rPr>
          <w:rFonts w:ascii="Verdana" w:hAnsi="Verdana"/>
          <w:i/>
          <w:sz w:val="16"/>
          <w:szCs w:val="16"/>
          <w:lang w:val="es-ES_tradnl"/>
        </w:rPr>
        <w:t>Vs. México</w:t>
      </w:r>
      <w:r w:rsidRPr="00965696">
        <w:rPr>
          <w:rFonts w:ascii="Verdana" w:hAnsi="Verdana"/>
          <w:sz w:val="16"/>
          <w:szCs w:val="16"/>
          <w:lang w:val="es-ES_tradnl"/>
        </w:rPr>
        <w:t>. Medidas Provisionales. Resolución de la Corte Interamericana de Derechos Humanos de 7 de febrero de 2017, considerando segundo.</w:t>
      </w:r>
    </w:p>
  </w:footnote>
  <w:footnote w:id="7">
    <w:p w14:paraId="6AAA2BDA" w14:textId="18BDB859" w:rsidR="00E83403" w:rsidRPr="00965696" w:rsidRDefault="00E83403" w:rsidP="00965696">
      <w:pPr>
        <w:tabs>
          <w:tab w:val="left" w:pos="567"/>
        </w:tabs>
        <w:spacing w:after="120" w:line="240" w:lineRule="auto"/>
        <w:jc w:val="both"/>
        <w:rPr>
          <w:rFonts w:ascii="Verdana" w:hAnsi="Verdana"/>
          <w:sz w:val="16"/>
          <w:szCs w:val="16"/>
          <w:lang w:val="es-DO"/>
        </w:rPr>
      </w:pPr>
      <w:r w:rsidRPr="00965696">
        <w:rPr>
          <w:rStyle w:val="FootnoteReference"/>
          <w:rFonts w:ascii="Verdana" w:hAnsi="Verdana"/>
          <w:sz w:val="16"/>
          <w:szCs w:val="16"/>
        </w:rPr>
        <w:footnoteRef/>
      </w:r>
      <w:r w:rsidRPr="00965696">
        <w:rPr>
          <w:rFonts w:ascii="Verdana" w:hAnsi="Verdana"/>
          <w:sz w:val="16"/>
          <w:szCs w:val="16"/>
          <w:lang w:val="es-CR"/>
        </w:rPr>
        <w:t xml:space="preserve"> </w:t>
      </w:r>
      <w:r w:rsidRPr="00965696">
        <w:rPr>
          <w:rFonts w:ascii="Verdana" w:hAnsi="Verdana"/>
          <w:sz w:val="16"/>
          <w:szCs w:val="16"/>
          <w:lang w:val="es-CR"/>
        </w:rPr>
        <w:tab/>
      </w:r>
      <w:r w:rsidRPr="00965696">
        <w:rPr>
          <w:rFonts w:ascii="Verdana" w:hAnsi="Verdana"/>
          <w:i/>
          <w:sz w:val="16"/>
          <w:szCs w:val="16"/>
          <w:lang w:val="es-CR"/>
        </w:rPr>
        <w:t xml:space="preserve">Cfr. Asuntos Internado Judicial de Monagas (“La Pica”), Centro Penitenciario Región Capital Yare I y Yare II (Cárcel de Yare), Centro Penitenciario de la Región Centro Occidental (Cárcel de Uribana), e Internado Judicial Capital El Rodeo I y el Rodeo II. </w:t>
      </w:r>
      <w:r w:rsidRPr="00965696">
        <w:rPr>
          <w:rFonts w:ascii="Verdana" w:hAnsi="Verdana"/>
          <w:sz w:val="16"/>
          <w:szCs w:val="16"/>
          <w:lang w:val="es-CR"/>
        </w:rPr>
        <w:t xml:space="preserve">Medidas Provisionales respecto de Venezuela. Resolución de la Corte </w:t>
      </w:r>
      <w:r w:rsidR="00ED3858" w:rsidRPr="00965696">
        <w:rPr>
          <w:rFonts w:ascii="Verdana" w:hAnsi="Verdana"/>
          <w:sz w:val="16"/>
          <w:szCs w:val="16"/>
          <w:lang w:val="es-CR"/>
        </w:rPr>
        <w:t xml:space="preserve">Interamericana de Derechos Humanos </w:t>
      </w:r>
      <w:r w:rsidRPr="00965696">
        <w:rPr>
          <w:rFonts w:ascii="Verdana" w:hAnsi="Verdana"/>
          <w:sz w:val="16"/>
          <w:szCs w:val="16"/>
          <w:lang w:val="es-CR"/>
        </w:rPr>
        <w:t xml:space="preserve">de 24 de noviembre de 2009, considerando tercero, y </w:t>
      </w:r>
      <w:r w:rsidRPr="00965696">
        <w:rPr>
          <w:rFonts w:ascii="Verdana" w:hAnsi="Verdana"/>
          <w:i/>
          <w:sz w:val="16"/>
          <w:szCs w:val="16"/>
          <w:lang w:val="es-CR"/>
        </w:rPr>
        <w:t>Asunto del Instituto Penal Plácido de Sá Carvalho</w:t>
      </w:r>
      <w:r w:rsidRPr="00965696">
        <w:rPr>
          <w:rFonts w:ascii="Verdana" w:hAnsi="Verdana"/>
          <w:sz w:val="16"/>
          <w:szCs w:val="16"/>
          <w:lang w:val="es-CR"/>
        </w:rPr>
        <w:t xml:space="preserve"> </w:t>
      </w:r>
      <w:r w:rsidRPr="00965696">
        <w:rPr>
          <w:rFonts w:ascii="Verdana" w:hAnsi="Verdana"/>
          <w:i/>
          <w:sz w:val="16"/>
          <w:szCs w:val="16"/>
          <w:lang w:val="es-CR"/>
        </w:rPr>
        <w:t>respecto de Brasil.</w:t>
      </w:r>
      <w:r w:rsidRPr="00965696">
        <w:rPr>
          <w:rFonts w:ascii="Verdana" w:hAnsi="Verdana"/>
          <w:sz w:val="16"/>
          <w:szCs w:val="16"/>
          <w:lang w:val="es-CR"/>
        </w:rPr>
        <w:t xml:space="preserve"> Medidas Provisionales. Resolución de la Corte Interamericana de Derechos Humanos de 13 de febrero de 2017, considerando octavo.</w:t>
      </w:r>
    </w:p>
  </w:footnote>
  <w:footnote w:id="8">
    <w:p w14:paraId="65FC88CD" w14:textId="1DC79991" w:rsidR="00E83403" w:rsidRPr="00965696" w:rsidRDefault="00E83403" w:rsidP="00965696">
      <w:pPr>
        <w:tabs>
          <w:tab w:val="left" w:pos="567"/>
          <w:tab w:val="left" w:pos="1215"/>
        </w:tabs>
        <w:spacing w:after="120" w:line="240" w:lineRule="auto"/>
        <w:jc w:val="both"/>
        <w:rPr>
          <w:rFonts w:ascii="Verdana" w:hAnsi="Verdana"/>
          <w:sz w:val="16"/>
          <w:szCs w:val="16"/>
          <w:lang w:val="es-CR"/>
        </w:rPr>
      </w:pPr>
      <w:r w:rsidRPr="00965696">
        <w:rPr>
          <w:rStyle w:val="FootnoteReference"/>
          <w:rFonts w:ascii="Verdana" w:hAnsi="Verdana" w:cs="Arial"/>
          <w:sz w:val="16"/>
          <w:szCs w:val="16"/>
        </w:rPr>
        <w:footnoteRef/>
      </w:r>
      <w:r w:rsidRPr="00965696">
        <w:rPr>
          <w:rFonts w:ascii="Verdana" w:hAnsi="Verdana"/>
          <w:sz w:val="16"/>
          <w:szCs w:val="16"/>
          <w:lang w:val="es-CR"/>
        </w:rPr>
        <w:tab/>
      </w:r>
      <w:r w:rsidRPr="00965696">
        <w:rPr>
          <w:rFonts w:ascii="Verdana" w:hAnsi="Verdana"/>
          <w:i/>
          <w:sz w:val="16"/>
          <w:szCs w:val="16"/>
          <w:lang w:val="es-CR"/>
        </w:rPr>
        <w:t xml:space="preserve">Cfr. </w:t>
      </w:r>
      <w:r w:rsidRPr="00965696">
        <w:rPr>
          <w:rFonts w:ascii="Verdana" w:hAnsi="Verdana"/>
          <w:i/>
          <w:sz w:val="16"/>
          <w:szCs w:val="16"/>
          <w:lang w:val="es-CR" w:bidi="en-US"/>
        </w:rPr>
        <w:t xml:space="preserve">Caso Carpio Nicolle. </w:t>
      </w:r>
      <w:r w:rsidRPr="00965696">
        <w:rPr>
          <w:rFonts w:ascii="Verdana" w:hAnsi="Verdana"/>
          <w:sz w:val="16"/>
          <w:szCs w:val="16"/>
          <w:lang w:val="es-CR" w:bidi="en-US"/>
        </w:rPr>
        <w:t xml:space="preserve">Medidas Provisionales respecto de Guatemala, </w:t>
      </w:r>
      <w:r w:rsidRPr="00965696">
        <w:rPr>
          <w:rFonts w:ascii="Verdana" w:hAnsi="Verdana"/>
          <w:i/>
          <w:sz w:val="16"/>
          <w:szCs w:val="16"/>
          <w:lang w:val="es-CR" w:bidi="en-US"/>
        </w:rPr>
        <w:t>supra,</w:t>
      </w:r>
      <w:r w:rsidRPr="00965696">
        <w:rPr>
          <w:rFonts w:ascii="Verdana" w:hAnsi="Verdana"/>
          <w:sz w:val="16"/>
          <w:szCs w:val="16"/>
          <w:lang w:val="es-CR" w:bidi="en-US"/>
        </w:rPr>
        <w:t xml:space="preserve"> considerando décimo cuarto</w:t>
      </w:r>
      <w:r w:rsidRPr="00965696">
        <w:rPr>
          <w:rFonts w:ascii="Verdana" w:hAnsi="Verdana"/>
          <w:sz w:val="16"/>
          <w:szCs w:val="16"/>
          <w:lang w:val="es-GT"/>
        </w:rPr>
        <w:t xml:space="preserve">, y </w:t>
      </w:r>
      <w:r w:rsidRPr="00965696">
        <w:rPr>
          <w:rFonts w:ascii="Verdana" w:hAnsi="Verdana"/>
          <w:i/>
          <w:sz w:val="16"/>
          <w:szCs w:val="16"/>
          <w:lang w:val="es-ES_tradnl"/>
        </w:rPr>
        <w:t xml:space="preserve">Caso Fernández Ortega y otros Vs. México. </w:t>
      </w:r>
      <w:r w:rsidRPr="00965696">
        <w:rPr>
          <w:rFonts w:ascii="Verdana" w:hAnsi="Verdana"/>
          <w:sz w:val="16"/>
          <w:szCs w:val="16"/>
          <w:lang w:val="es-ES_tradnl"/>
        </w:rPr>
        <w:t>Medidas Provisionales,</w:t>
      </w:r>
      <w:r w:rsidRPr="00965696">
        <w:rPr>
          <w:rFonts w:ascii="Verdana" w:hAnsi="Verdana"/>
          <w:i/>
          <w:sz w:val="16"/>
          <w:szCs w:val="16"/>
          <w:lang w:val="es-ES_tradnl"/>
        </w:rPr>
        <w:t xml:space="preserve"> supra, </w:t>
      </w:r>
      <w:r w:rsidRPr="00965696">
        <w:rPr>
          <w:rFonts w:ascii="Verdana" w:hAnsi="Verdana"/>
          <w:sz w:val="16"/>
          <w:szCs w:val="16"/>
          <w:lang w:val="es-ES_tradnl"/>
        </w:rPr>
        <w:t>considerando segundo.</w:t>
      </w:r>
    </w:p>
  </w:footnote>
  <w:footnote w:id="9">
    <w:p w14:paraId="2419179C" w14:textId="7C63097C" w:rsidR="00E83403" w:rsidRPr="00965696" w:rsidRDefault="00E83403" w:rsidP="00965696">
      <w:pPr>
        <w:tabs>
          <w:tab w:val="left" w:pos="567"/>
        </w:tabs>
        <w:spacing w:after="120" w:line="240" w:lineRule="auto"/>
        <w:jc w:val="both"/>
        <w:rPr>
          <w:rFonts w:ascii="Verdana" w:hAnsi="Verdana"/>
          <w:b/>
          <w:sz w:val="16"/>
          <w:szCs w:val="16"/>
          <w:lang w:val="es-AR"/>
        </w:rPr>
      </w:pPr>
      <w:r w:rsidRPr="00965696">
        <w:rPr>
          <w:rStyle w:val="FootnoteReference"/>
          <w:rFonts w:ascii="Verdana" w:hAnsi="Verdana" w:cs="Arial"/>
          <w:sz w:val="16"/>
          <w:szCs w:val="16"/>
        </w:rPr>
        <w:footnoteRef/>
      </w:r>
      <w:r w:rsidRPr="00965696">
        <w:rPr>
          <w:rFonts w:ascii="Verdana" w:hAnsi="Verdana"/>
          <w:sz w:val="16"/>
          <w:szCs w:val="16"/>
          <w:lang w:val="es-GT"/>
        </w:rPr>
        <w:t xml:space="preserve"> </w:t>
      </w:r>
      <w:r w:rsidRPr="00965696">
        <w:rPr>
          <w:rFonts w:ascii="Verdana" w:hAnsi="Verdana"/>
          <w:sz w:val="16"/>
          <w:szCs w:val="16"/>
          <w:lang w:val="es-GT"/>
        </w:rPr>
        <w:tab/>
      </w:r>
      <w:r w:rsidRPr="00965696">
        <w:rPr>
          <w:rFonts w:ascii="Verdana" w:hAnsi="Verdana"/>
          <w:i/>
          <w:sz w:val="16"/>
          <w:szCs w:val="16"/>
          <w:lang w:val="es-ES"/>
        </w:rPr>
        <w:t>Cfr.</w:t>
      </w:r>
      <w:r w:rsidRPr="00965696">
        <w:rPr>
          <w:rFonts w:ascii="Verdana" w:hAnsi="Verdana"/>
          <w:sz w:val="16"/>
          <w:szCs w:val="16"/>
          <w:lang w:val="es-ES"/>
        </w:rPr>
        <w:t xml:space="preserve"> </w:t>
      </w:r>
      <w:r w:rsidRPr="00965696">
        <w:rPr>
          <w:rFonts w:ascii="Verdana" w:hAnsi="Verdana"/>
          <w:i/>
          <w:sz w:val="16"/>
          <w:szCs w:val="16"/>
          <w:lang w:val="es-ES"/>
        </w:rPr>
        <w:t xml:space="preserve">Asunto James y otros. </w:t>
      </w:r>
      <w:r w:rsidRPr="00965696">
        <w:rPr>
          <w:rFonts w:ascii="Verdana" w:hAnsi="Verdana"/>
          <w:sz w:val="16"/>
          <w:szCs w:val="16"/>
          <w:lang w:val="es-ES"/>
        </w:rPr>
        <w:t>Medidas Provisionales respecto de Trinidad y Tobago</w:t>
      </w:r>
      <w:r w:rsidRPr="00965696">
        <w:rPr>
          <w:rFonts w:ascii="Verdana" w:hAnsi="Verdana"/>
          <w:i/>
          <w:sz w:val="16"/>
          <w:szCs w:val="16"/>
          <w:lang w:val="es-ES"/>
        </w:rPr>
        <w:t xml:space="preserve">. </w:t>
      </w:r>
      <w:r w:rsidRPr="00965696">
        <w:rPr>
          <w:rFonts w:ascii="Verdana" w:hAnsi="Verdana"/>
          <w:bCs/>
          <w:color w:val="000000"/>
          <w:sz w:val="16"/>
          <w:szCs w:val="16"/>
          <w:lang w:val="es-ES"/>
        </w:rPr>
        <w:t>Resolución de la Corte Interamericana de Derechos Humanos</w:t>
      </w:r>
      <w:r w:rsidRPr="00965696">
        <w:rPr>
          <w:rFonts w:ascii="Verdana" w:hAnsi="Verdana"/>
          <w:sz w:val="16"/>
          <w:szCs w:val="16"/>
          <w:lang w:val="es-ES"/>
        </w:rPr>
        <w:t xml:space="preserve"> de 29 de agosto de 1998, considerando sexto, y</w:t>
      </w:r>
      <w:r w:rsidRPr="00965696">
        <w:rPr>
          <w:rFonts w:ascii="Verdana" w:hAnsi="Verdana"/>
          <w:sz w:val="16"/>
          <w:szCs w:val="16"/>
          <w:lang w:val="es-GT"/>
        </w:rPr>
        <w:t xml:space="preserve"> </w:t>
      </w:r>
      <w:r w:rsidRPr="00965696">
        <w:rPr>
          <w:rFonts w:ascii="Verdana" w:hAnsi="Verdana"/>
          <w:i/>
          <w:sz w:val="16"/>
          <w:szCs w:val="16"/>
          <w:lang w:val="es-ES_tradnl"/>
        </w:rPr>
        <w:t>Caso Fernández Ortega y otros Vs. México</w:t>
      </w:r>
      <w:r w:rsidRPr="00965696">
        <w:rPr>
          <w:rFonts w:ascii="Verdana" w:hAnsi="Verdana"/>
          <w:sz w:val="16"/>
          <w:szCs w:val="16"/>
          <w:lang w:val="es-ES_tradnl"/>
        </w:rPr>
        <w:t>. Medidas Provisionales</w:t>
      </w:r>
      <w:r w:rsidRPr="00965696">
        <w:rPr>
          <w:rFonts w:ascii="Verdana" w:hAnsi="Verdana"/>
          <w:i/>
          <w:sz w:val="16"/>
          <w:szCs w:val="16"/>
          <w:lang w:val="es-ES_tradnl"/>
        </w:rPr>
        <w:t xml:space="preserve">, supra, </w:t>
      </w:r>
      <w:r w:rsidRPr="00965696">
        <w:rPr>
          <w:rFonts w:ascii="Verdana" w:hAnsi="Verdana"/>
          <w:sz w:val="16"/>
          <w:szCs w:val="16"/>
          <w:lang w:val="es-ES_tradnl"/>
        </w:rPr>
        <w:t xml:space="preserve">considerando </w:t>
      </w:r>
      <w:r w:rsidRPr="00965696">
        <w:rPr>
          <w:rFonts w:ascii="Verdana" w:hAnsi="Verdana"/>
          <w:sz w:val="16"/>
          <w:szCs w:val="16"/>
          <w:lang w:val="es-ES"/>
        </w:rPr>
        <w:t>décimo noveno.</w:t>
      </w:r>
    </w:p>
  </w:footnote>
  <w:footnote w:id="10">
    <w:p w14:paraId="7B8B9734" w14:textId="75BCFEBA" w:rsidR="00E83403" w:rsidRPr="00965696" w:rsidRDefault="00E83403" w:rsidP="00965696">
      <w:pPr>
        <w:pStyle w:val="FootnoteText"/>
        <w:tabs>
          <w:tab w:val="left" w:pos="567"/>
        </w:tabs>
        <w:spacing w:after="120"/>
        <w:jc w:val="both"/>
        <w:rPr>
          <w:rFonts w:ascii="Verdana" w:hAnsi="Verdana"/>
          <w:sz w:val="16"/>
          <w:szCs w:val="16"/>
          <w:lang w:val="es-VE"/>
        </w:rPr>
      </w:pPr>
      <w:r w:rsidRPr="00965696">
        <w:rPr>
          <w:rStyle w:val="FootnoteReference"/>
          <w:rFonts w:ascii="Verdana" w:hAnsi="Verdana"/>
          <w:sz w:val="16"/>
          <w:szCs w:val="16"/>
        </w:rPr>
        <w:footnoteRef/>
      </w:r>
      <w:r w:rsidRPr="00965696">
        <w:rPr>
          <w:rFonts w:ascii="Verdana" w:hAnsi="Verdana"/>
          <w:sz w:val="16"/>
          <w:szCs w:val="16"/>
          <w:lang w:val="es-CR"/>
        </w:rPr>
        <w:t xml:space="preserve"> </w:t>
      </w:r>
      <w:r w:rsidRPr="00965696">
        <w:rPr>
          <w:rFonts w:ascii="Verdana" w:hAnsi="Verdana"/>
          <w:sz w:val="16"/>
          <w:szCs w:val="16"/>
          <w:lang w:val="es-CR"/>
        </w:rPr>
        <w:tab/>
      </w:r>
      <w:r w:rsidRPr="00965696">
        <w:rPr>
          <w:rFonts w:ascii="Verdana" w:hAnsi="Verdana"/>
          <w:i/>
          <w:sz w:val="16"/>
          <w:szCs w:val="16"/>
          <w:lang w:val="es-CR"/>
        </w:rPr>
        <w:t>Cfr.</w:t>
      </w:r>
      <w:r w:rsidRPr="00965696">
        <w:rPr>
          <w:rFonts w:ascii="Verdana" w:hAnsi="Verdana"/>
          <w:sz w:val="16"/>
          <w:szCs w:val="16"/>
          <w:lang w:val="es-CR"/>
        </w:rPr>
        <w:t xml:space="preserve"> </w:t>
      </w:r>
      <w:r w:rsidRPr="00965696">
        <w:rPr>
          <w:rFonts w:ascii="Verdana" w:hAnsi="Verdana"/>
          <w:i/>
          <w:sz w:val="16"/>
          <w:szCs w:val="16"/>
          <w:lang w:val="es-VE"/>
        </w:rPr>
        <w:t>mutatis mutandis</w:t>
      </w:r>
      <w:r w:rsidRPr="00965696">
        <w:rPr>
          <w:rFonts w:ascii="Verdana" w:hAnsi="Verdana"/>
          <w:sz w:val="16"/>
          <w:szCs w:val="16"/>
          <w:lang w:val="es-VE"/>
        </w:rPr>
        <w:t>,</w:t>
      </w:r>
      <w:r w:rsidRPr="00965696">
        <w:rPr>
          <w:rFonts w:ascii="Verdana" w:hAnsi="Verdana"/>
          <w:i/>
          <w:sz w:val="16"/>
          <w:szCs w:val="16"/>
          <w:lang w:val="es-CR"/>
        </w:rPr>
        <w:t xml:space="preserve"> Asunto Belfort Istúriz y otros respecto de Venezuela.</w:t>
      </w:r>
      <w:r w:rsidRPr="00965696">
        <w:rPr>
          <w:rFonts w:ascii="Verdana" w:hAnsi="Verdana"/>
          <w:sz w:val="16"/>
          <w:szCs w:val="16"/>
          <w:lang w:val="es-CR"/>
        </w:rPr>
        <w:t xml:space="preserve"> Solicitud de Medidas Provisionales. Resolución de la Corte Interamericana de Derechos Humanos de 15 de abril de 2010, considerandos décimo noveno y vigésimo.</w:t>
      </w:r>
    </w:p>
  </w:footnote>
  <w:footnote w:id="11">
    <w:p w14:paraId="453801EC" w14:textId="68AF00EE" w:rsidR="00E83403" w:rsidRPr="00965696" w:rsidRDefault="00E83403" w:rsidP="00965696">
      <w:pPr>
        <w:tabs>
          <w:tab w:val="left" w:pos="567"/>
        </w:tabs>
        <w:spacing w:after="120" w:line="240" w:lineRule="auto"/>
        <w:jc w:val="both"/>
        <w:rPr>
          <w:rFonts w:ascii="Verdana" w:hAnsi="Verdana" w:cs="TTE57B92E0t00"/>
          <w:sz w:val="16"/>
          <w:szCs w:val="16"/>
          <w:lang w:val="es-DO" w:eastAsia="es-DO"/>
        </w:rPr>
      </w:pPr>
      <w:r w:rsidRPr="00965696">
        <w:rPr>
          <w:rStyle w:val="FootnoteReference"/>
          <w:rFonts w:ascii="Verdana" w:hAnsi="Verdana"/>
          <w:sz w:val="16"/>
          <w:szCs w:val="16"/>
        </w:rPr>
        <w:footnoteRef/>
      </w:r>
      <w:r w:rsidRPr="00965696">
        <w:rPr>
          <w:rFonts w:ascii="Verdana" w:hAnsi="Verdana"/>
          <w:sz w:val="16"/>
          <w:szCs w:val="16"/>
          <w:lang w:val="es-CR"/>
        </w:rPr>
        <w:t xml:space="preserve"> </w:t>
      </w:r>
      <w:r w:rsidRPr="00965696">
        <w:rPr>
          <w:rFonts w:ascii="Verdana" w:hAnsi="Verdana"/>
          <w:sz w:val="16"/>
          <w:szCs w:val="16"/>
          <w:lang w:val="es-CR"/>
        </w:rPr>
        <w:tab/>
      </w:r>
      <w:r w:rsidRPr="00965696">
        <w:rPr>
          <w:rFonts w:ascii="Verdana" w:hAnsi="Verdana" w:cs="TTE1171800t00"/>
          <w:i/>
          <w:sz w:val="16"/>
          <w:szCs w:val="16"/>
          <w:lang w:val="es-DO" w:eastAsia="es-DO"/>
        </w:rPr>
        <w:t>Cfr</w:t>
      </w:r>
      <w:r w:rsidRPr="00965696">
        <w:rPr>
          <w:rFonts w:ascii="Verdana" w:hAnsi="Verdana" w:cs="TTE57B92E0t00"/>
          <w:i/>
          <w:sz w:val="16"/>
          <w:szCs w:val="16"/>
          <w:lang w:val="es-DO" w:eastAsia="es-DO"/>
        </w:rPr>
        <w:t xml:space="preserve">. </w:t>
      </w:r>
      <w:r w:rsidRPr="00965696">
        <w:rPr>
          <w:rFonts w:ascii="Verdana" w:hAnsi="Verdana" w:cs="TTE1171800t00"/>
          <w:i/>
          <w:sz w:val="16"/>
          <w:szCs w:val="16"/>
          <w:lang w:val="es-DO" w:eastAsia="es-DO"/>
        </w:rPr>
        <w:t>Caso Tribunal Constitucional</w:t>
      </w:r>
      <w:r w:rsidRPr="00965696">
        <w:rPr>
          <w:rFonts w:ascii="Verdana" w:hAnsi="Verdana" w:cs="TTE57B92E0t00"/>
          <w:sz w:val="16"/>
          <w:szCs w:val="16"/>
          <w:lang w:val="es-DO" w:eastAsia="es-DO"/>
        </w:rPr>
        <w:t xml:space="preserve">. Medidas Provisionales respecto del Perú. Resolución de la Corte </w:t>
      </w:r>
      <w:r w:rsidR="00ED3858" w:rsidRPr="00965696">
        <w:rPr>
          <w:rFonts w:ascii="Verdana" w:hAnsi="Verdana"/>
          <w:sz w:val="16"/>
          <w:szCs w:val="16"/>
          <w:lang w:val="es-CR"/>
        </w:rPr>
        <w:t>Interamericana de Derechos Humanos</w:t>
      </w:r>
      <w:r w:rsidR="00ED3858" w:rsidRPr="00965696">
        <w:rPr>
          <w:rFonts w:ascii="Verdana" w:hAnsi="Verdana" w:cs="TTE57B92E0t00"/>
          <w:sz w:val="16"/>
          <w:szCs w:val="16"/>
          <w:lang w:val="es-DO" w:eastAsia="es-DO"/>
        </w:rPr>
        <w:t xml:space="preserve"> </w:t>
      </w:r>
      <w:r w:rsidRPr="00965696">
        <w:rPr>
          <w:rFonts w:ascii="Verdana" w:hAnsi="Verdana" w:cs="TTE57B92E0t00"/>
          <w:sz w:val="16"/>
          <w:szCs w:val="16"/>
          <w:lang w:val="es-DO" w:eastAsia="es-DO"/>
        </w:rPr>
        <w:t xml:space="preserve">de 14 de marzo de 2001, considerando cuarto, y </w:t>
      </w:r>
      <w:r w:rsidRPr="00965696">
        <w:rPr>
          <w:rFonts w:ascii="Verdana" w:hAnsi="Verdana" w:cs="TTE57B92E0t00"/>
          <w:i/>
          <w:sz w:val="16"/>
          <w:szCs w:val="16"/>
          <w:lang w:val="es-DO" w:eastAsia="es-DO"/>
        </w:rPr>
        <w:t>Caso Rosendo Cantú y otra</w:t>
      </w:r>
      <w:r w:rsidRPr="00965696">
        <w:rPr>
          <w:rFonts w:ascii="Verdana" w:hAnsi="Verdana" w:cs="TTE57B92E0t00"/>
          <w:sz w:val="16"/>
          <w:szCs w:val="16"/>
          <w:lang w:val="es-DO" w:eastAsia="es-DO"/>
        </w:rPr>
        <w:t xml:space="preserve"> </w:t>
      </w:r>
      <w:r w:rsidRPr="00965696">
        <w:rPr>
          <w:rFonts w:ascii="Verdana" w:hAnsi="Verdana" w:cs="TTE57B92E0t00"/>
          <w:i/>
          <w:sz w:val="16"/>
          <w:szCs w:val="16"/>
          <w:lang w:val="es-DO" w:eastAsia="es-DO"/>
        </w:rPr>
        <w:t>Vs. México</w:t>
      </w:r>
      <w:r w:rsidRPr="00965696">
        <w:rPr>
          <w:rFonts w:ascii="Verdana" w:hAnsi="Verdana" w:cs="TTE57B92E0t00"/>
          <w:sz w:val="16"/>
          <w:szCs w:val="16"/>
          <w:lang w:val="es-DO" w:eastAsia="es-DO"/>
        </w:rPr>
        <w:t>. Medidas Provisionales. Resolución de la Corte Interamericana de Derechos Hum</w:t>
      </w:r>
      <w:r w:rsidR="00C72C0C" w:rsidRPr="00965696">
        <w:rPr>
          <w:rFonts w:ascii="Verdana" w:hAnsi="Verdana" w:cs="TTE57B92E0t00"/>
          <w:sz w:val="16"/>
          <w:szCs w:val="16"/>
          <w:lang w:val="es-DO" w:eastAsia="es-DO"/>
        </w:rPr>
        <w:t>anos de 23 de febrero de 2016, c</w:t>
      </w:r>
      <w:r w:rsidRPr="00965696">
        <w:rPr>
          <w:rFonts w:ascii="Verdana" w:hAnsi="Verdana" w:cs="TTE57B92E0t00"/>
          <w:sz w:val="16"/>
          <w:szCs w:val="16"/>
          <w:lang w:val="es-DO" w:eastAsia="es-DO"/>
        </w:rPr>
        <w:t>onsiderandos vigésimo tercero y vigésimo quinto.</w:t>
      </w:r>
    </w:p>
  </w:footnote>
  <w:footnote w:id="12">
    <w:p w14:paraId="6AD6D998" w14:textId="7E6FDAB2" w:rsidR="00E83403" w:rsidRPr="00965696" w:rsidRDefault="00E83403" w:rsidP="00965696">
      <w:pPr>
        <w:tabs>
          <w:tab w:val="left" w:pos="567"/>
        </w:tabs>
        <w:spacing w:after="120" w:line="240" w:lineRule="auto"/>
        <w:jc w:val="both"/>
        <w:rPr>
          <w:rFonts w:ascii="Verdana" w:hAnsi="Verdana"/>
          <w:b/>
          <w:i/>
          <w:sz w:val="16"/>
          <w:szCs w:val="16"/>
          <w:lang w:val="es-AR"/>
        </w:rPr>
      </w:pPr>
      <w:r w:rsidRPr="00965696">
        <w:rPr>
          <w:rStyle w:val="FootnoteReference"/>
          <w:rFonts w:ascii="Verdana" w:hAnsi="Verdana"/>
          <w:sz w:val="16"/>
          <w:szCs w:val="16"/>
        </w:rPr>
        <w:footnoteRef/>
      </w:r>
      <w:r w:rsidRPr="00965696">
        <w:rPr>
          <w:rFonts w:ascii="Verdana" w:hAnsi="Verdana"/>
          <w:sz w:val="16"/>
          <w:szCs w:val="16"/>
          <w:lang w:val="es-CR"/>
        </w:rPr>
        <w:t xml:space="preserve"> </w:t>
      </w:r>
      <w:r w:rsidRPr="00965696">
        <w:rPr>
          <w:rFonts w:ascii="Verdana" w:hAnsi="Verdana"/>
          <w:sz w:val="16"/>
          <w:szCs w:val="16"/>
          <w:lang w:val="es-CR"/>
        </w:rPr>
        <w:tab/>
      </w:r>
      <w:r w:rsidRPr="00965696">
        <w:rPr>
          <w:rFonts w:ascii="Verdana" w:hAnsi="Verdana"/>
          <w:i/>
          <w:sz w:val="16"/>
          <w:szCs w:val="16"/>
          <w:lang w:val="es-AR"/>
        </w:rPr>
        <w:t>Cfr.</w:t>
      </w:r>
      <w:r w:rsidRPr="00965696">
        <w:rPr>
          <w:rFonts w:ascii="Verdana" w:hAnsi="Verdana"/>
          <w:b/>
          <w:sz w:val="16"/>
          <w:szCs w:val="16"/>
          <w:lang w:val="es-AR"/>
        </w:rPr>
        <w:t xml:space="preserve"> </w:t>
      </w:r>
      <w:r w:rsidRPr="00965696">
        <w:rPr>
          <w:rFonts w:ascii="Verdana" w:hAnsi="Verdana"/>
          <w:i/>
          <w:sz w:val="16"/>
          <w:szCs w:val="16"/>
          <w:lang w:val="es-ES"/>
        </w:rPr>
        <w:t xml:space="preserve">Caso Juan Humberto Sánchez Vs. Honduras. </w:t>
      </w:r>
      <w:r w:rsidRPr="00965696">
        <w:rPr>
          <w:rFonts w:ascii="Verdana" w:hAnsi="Verdana"/>
          <w:sz w:val="16"/>
          <w:szCs w:val="16"/>
          <w:lang w:val="es-ES"/>
        </w:rPr>
        <w:t xml:space="preserve">Solicitud de medidas provisionales. Resolución de la Corte </w:t>
      </w:r>
      <w:r w:rsidR="00ED3858" w:rsidRPr="00965696">
        <w:rPr>
          <w:rFonts w:ascii="Verdana" w:hAnsi="Verdana"/>
          <w:sz w:val="16"/>
          <w:szCs w:val="16"/>
          <w:lang w:val="es-CR"/>
        </w:rPr>
        <w:t>Interamericana de Derechos Humanos</w:t>
      </w:r>
      <w:r w:rsidR="00ED3858" w:rsidRPr="00965696">
        <w:rPr>
          <w:rFonts w:ascii="Verdana" w:hAnsi="Verdana"/>
          <w:sz w:val="16"/>
          <w:szCs w:val="16"/>
          <w:lang w:val="es-ES"/>
        </w:rPr>
        <w:t xml:space="preserve"> </w:t>
      </w:r>
      <w:r w:rsidRPr="00965696">
        <w:rPr>
          <w:rFonts w:ascii="Verdana" w:hAnsi="Verdana"/>
          <w:sz w:val="16"/>
          <w:szCs w:val="16"/>
          <w:lang w:val="es-ES"/>
        </w:rPr>
        <w:t xml:space="preserve">de 7 de febrero de 2006, considerando octavo, y </w:t>
      </w:r>
      <w:r w:rsidRPr="00965696">
        <w:rPr>
          <w:rFonts w:ascii="Verdana" w:hAnsi="Verdana"/>
          <w:i/>
          <w:sz w:val="16"/>
          <w:szCs w:val="16"/>
          <w:lang w:val="es-AR"/>
        </w:rPr>
        <w:t>Caso Gonzáles Lluy y otros</w:t>
      </w:r>
      <w:r w:rsidRPr="00965696">
        <w:rPr>
          <w:rFonts w:ascii="Verdana" w:hAnsi="Verdana"/>
          <w:sz w:val="16"/>
          <w:szCs w:val="16"/>
          <w:lang w:val="es-AR"/>
        </w:rPr>
        <w:t xml:space="preserve"> </w:t>
      </w:r>
      <w:r w:rsidRPr="00965696">
        <w:rPr>
          <w:rFonts w:ascii="Verdana" w:hAnsi="Verdana"/>
          <w:i/>
          <w:sz w:val="16"/>
          <w:szCs w:val="16"/>
          <w:lang w:val="es-AR"/>
        </w:rPr>
        <w:t>Vs. Ecuador.</w:t>
      </w:r>
      <w:r w:rsidRPr="00965696">
        <w:rPr>
          <w:rFonts w:ascii="Verdana" w:hAnsi="Verdana"/>
          <w:sz w:val="16"/>
          <w:szCs w:val="16"/>
          <w:lang w:val="es-ES_tradnl"/>
        </w:rPr>
        <w:t xml:space="preserve"> Medidas Provisionales</w:t>
      </w:r>
      <w:r w:rsidRPr="00965696">
        <w:rPr>
          <w:rFonts w:ascii="Verdana" w:hAnsi="Verdana"/>
          <w:i/>
          <w:sz w:val="16"/>
          <w:szCs w:val="16"/>
          <w:lang w:val="es-AR"/>
        </w:rPr>
        <w:t xml:space="preserve">, supra, </w:t>
      </w:r>
      <w:r w:rsidRPr="00965696">
        <w:rPr>
          <w:rFonts w:ascii="Verdana" w:hAnsi="Verdana"/>
          <w:sz w:val="16"/>
          <w:szCs w:val="16"/>
          <w:lang w:val="es-AR"/>
        </w:rPr>
        <w:t xml:space="preserve">considerando </w:t>
      </w:r>
      <w:r w:rsidRPr="00965696">
        <w:rPr>
          <w:rFonts w:ascii="Verdana" w:hAnsi="Verdana"/>
          <w:sz w:val="16"/>
          <w:szCs w:val="16"/>
          <w:lang w:val="es-ES"/>
        </w:rPr>
        <w:t>vigésimo quinto.</w:t>
      </w:r>
    </w:p>
  </w:footnote>
  <w:footnote w:id="13">
    <w:p w14:paraId="1A8927A2" w14:textId="2425DA39" w:rsidR="00E83403" w:rsidRPr="00965696" w:rsidRDefault="00E83403" w:rsidP="00965696">
      <w:pPr>
        <w:tabs>
          <w:tab w:val="left" w:pos="567"/>
        </w:tabs>
        <w:spacing w:after="120" w:line="240" w:lineRule="auto"/>
        <w:jc w:val="both"/>
        <w:rPr>
          <w:rFonts w:ascii="Verdana" w:hAnsi="Verdana"/>
          <w:b/>
          <w:i/>
          <w:sz w:val="16"/>
          <w:szCs w:val="16"/>
          <w:lang w:val="es-AR"/>
        </w:rPr>
      </w:pPr>
      <w:r w:rsidRPr="00965696">
        <w:rPr>
          <w:rStyle w:val="FootnoteReference"/>
          <w:rFonts w:ascii="Verdana" w:hAnsi="Verdana"/>
          <w:sz w:val="16"/>
          <w:szCs w:val="16"/>
        </w:rPr>
        <w:footnoteRef/>
      </w:r>
      <w:r w:rsidRPr="00965696">
        <w:rPr>
          <w:rFonts w:ascii="Verdana" w:hAnsi="Verdana"/>
          <w:sz w:val="16"/>
          <w:szCs w:val="16"/>
          <w:lang w:val="es-MX"/>
        </w:rPr>
        <w:t xml:space="preserve"> </w:t>
      </w:r>
      <w:r w:rsidRPr="00965696">
        <w:rPr>
          <w:rFonts w:ascii="Verdana" w:hAnsi="Verdana"/>
          <w:sz w:val="16"/>
          <w:szCs w:val="16"/>
          <w:lang w:val="es-MX"/>
        </w:rPr>
        <w:tab/>
      </w:r>
      <w:r w:rsidRPr="00965696">
        <w:rPr>
          <w:rFonts w:ascii="Verdana" w:hAnsi="Verdana"/>
          <w:i/>
          <w:sz w:val="16"/>
          <w:szCs w:val="16"/>
          <w:lang w:val="es-MX"/>
        </w:rPr>
        <w:t xml:space="preserve">Cfr. </w:t>
      </w:r>
      <w:r w:rsidRPr="00965696">
        <w:rPr>
          <w:rFonts w:ascii="Verdana" w:hAnsi="Verdana"/>
          <w:i/>
          <w:sz w:val="16"/>
          <w:szCs w:val="16"/>
          <w:lang w:val="es-ES"/>
        </w:rPr>
        <w:t>Caso de la Comunidad Mayagna (Sumo) Awas Tingni Vs. Nicaragua</w:t>
      </w:r>
      <w:r w:rsidRPr="00965696">
        <w:rPr>
          <w:rFonts w:ascii="Verdana" w:hAnsi="Verdana"/>
          <w:sz w:val="16"/>
          <w:szCs w:val="16"/>
          <w:lang w:val="es-ES"/>
        </w:rPr>
        <w:t>. Medidas Provisionales.</w:t>
      </w:r>
      <w:r w:rsidRPr="00965696">
        <w:rPr>
          <w:rFonts w:ascii="Verdana" w:hAnsi="Verdana"/>
          <w:i/>
          <w:sz w:val="16"/>
          <w:szCs w:val="16"/>
          <w:lang w:val="es-ES"/>
        </w:rPr>
        <w:t xml:space="preserve"> </w:t>
      </w:r>
      <w:r w:rsidRPr="00965696">
        <w:rPr>
          <w:rFonts w:ascii="Verdana" w:hAnsi="Verdana"/>
          <w:sz w:val="16"/>
          <w:szCs w:val="16"/>
          <w:lang w:val="es-ES"/>
        </w:rPr>
        <w:t xml:space="preserve">Resolución de la Corte </w:t>
      </w:r>
      <w:r w:rsidR="00ED3858" w:rsidRPr="00965696">
        <w:rPr>
          <w:rFonts w:ascii="Verdana" w:hAnsi="Verdana"/>
          <w:sz w:val="16"/>
          <w:szCs w:val="16"/>
          <w:lang w:val="es-CR"/>
        </w:rPr>
        <w:t>Interamericana de Derechos Humanos</w:t>
      </w:r>
      <w:r w:rsidR="00ED3858" w:rsidRPr="00965696">
        <w:rPr>
          <w:rFonts w:ascii="Verdana" w:hAnsi="Verdana"/>
          <w:sz w:val="16"/>
          <w:szCs w:val="16"/>
          <w:lang w:val="es-ES"/>
        </w:rPr>
        <w:t xml:space="preserve"> </w:t>
      </w:r>
      <w:r w:rsidRPr="00965696">
        <w:rPr>
          <w:rFonts w:ascii="Verdana" w:hAnsi="Verdana"/>
          <w:sz w:val="16"/>
          <w:szCs w:val="16"/>
          <w:lang w:val="es-ES"/>
        </w:rPr>
        <w:t xml:space="preserve">de 26 de noviembre de 2007, considerando décimo segundo, y </w:t>
      </w:r>
      <w:r w:rsidRPr="00965696">
        <w:rPr>
          <w:rFonts w:ascii="Verdana" w:hAnsi="Verdana"/>
          <w:i/>
          <w:sz w:val="16"/>
          <w:szCs w:val="16"/>
          <w:lang w:val="es-AR"/>
        </w:rPr>
        <w:t>Caso Gonzáles Lluy y otros</w:t>
      </w:r>
      <w:r w:rsidRPr="00965696">
        <w:rPr>
          <w:rFonts w:ascii="Verdana" w:hAnsi="Verdana"/>
          <w:sz w:val="16"/>
          <w:szCs w:val="16"/>
          <w:lang w:val="es-AR"/>
        </w:rPr>
        <w:t xml:space="preserve"> </w:t>
      </w:r>
      <w:r w:rsidRPr="00965696">
        <w:rPr>
          <w:rFonts w:ascii="Verdana" w:hAnsi="Verdana"/>
          <w:i/>
          <w:sz w:val="16"/>
          <w:szCs w:val="16"/>
          <w:lang w:val="es-AR"/>
        </w:rPr>
        <w:t>Vs. Ecuador.</w:t>
      </w:r>
      <w:r w:rsidRPr="00965696">
        <w:rPr>
          <w:rFonts w:ascii="Verdana" w:hAnsi="Verdana"/>
          <w:sz w:val="16"/>
          <w:szCs w:val="16"/>
          <w:lang w:val="es-ES_tradnl"/>
        </w:rPr>
        <w:t xml:space="preserve"> Medidas Provisionales</w:t>
      </w:r>
      <w:r w:rsidRPr="00965696">
        <w:rPr>
          <w:rFonts w:ascii="Verdana" w:hAnsi="Verdana"/>
          <w:i/>
          <w:sz w:val="16"/>
          <w:szCs w:val="16"/>
          <w:lang w:val="es-AR"/>
        </w:rPr>
        <w:t xml:space="preserve">, supra, </w:t>
      </w:r>
      <w:r w:rsidRPr="00965696">
        <w:rPr>
          <w:rFonts w:ascii="Verdana" w:hAnsi="Verdana"/>
          <w:sz w:val="16"/>
          <w:szCs w:val="16"/>
          <w:lang w:val="es-AR"/>
        </w:rPr>
        <w:t xml:space="preserve">considerando </w:t>
      </w:r>
      <w:r w:rsidRPr="00965696">
        <w:rPr>
          <w:rFonts w:ascii="Verdana" w:hAnsi="Verdana"/>
          <w:sz w:val="16"/>
          <w:szCs w:val="16"/>
          <w:lang w:val="es-ES"/>
        </w:rPr>
        <w:t>vigésimo sexto.</w:t>
      </w:r>
    </w:p>
  </w:footnote>
  <w:footnote w:id="14">
    <w:p w14:paraId="1AC23969" w14:textId="21488189" w:rsidR="00E83403" w:rsidRPr="00965696" w:rsidRDefault="00E83403" w:rsidP="00965696">
      <w:pPr>
        <w:tabs>
          <w:tab w:val="left" w:pos="567"/>
        </w:tabs>
        <w:spacing w:after="120" w:line="240" w:lineRule="auto"/>
        <w:jc w:val="both"/>
        <w:rPr>
          <w:rFonts w:ascii="Verdana" w:hAnsi="Verdana"/>
          <w:b/>
          <w:smallCaps/>
          <w:sz w:val="16"/>
          <w:szCs w:val="16"/>
          <w:lang w:val="es-MX"/>
        </w:rPr>
      </w:pPr>
      <w:r w:rsidRPr="00965696">
        <w:rPr>
          <w:rStyle w:val="FootnoteReference"/>
          <w:rFonts w:ascii="Verdana" w:hAnsi="Verdana"/>
          <w:sz w:val="16"/>
          <w:szCs w:val="16"/>
        </w:rPr>
        <w:footnoteRef/>
      </w:r>
      <w:r w:rsidRPr="00965696">
        <w:rPr>
          <w:rFonts w:ascii="Verdana" w:hAnsi="Verdana"/>
          <w:sz w:val="16"/>
          <w:szCs w:val="16"/>
          <w:lang w:val="es-MX"/>
        </w:rPr>
        <w:tab/>
      </w:r>
      <w:r w:rsidRPr="00965696">
        <w:rPr>
          <w:rFonts w:ascii="Verdana" w:hAnsi="Verdana"/>
          <w:i/>
          <w:sz w:val="16"/>
          <w:szCs w:val="16"/>
          <w:lang w:val="es-MX"/>
        </w:rPr>
        <w:t>Cfr. Responsabilidad Internacional por Expedición y Aplicación de Leyes Violatorias de la Convención</w:t>
      </w:r>
      <w:r w:rsidRPr="00965696">
        <w:rPr>
          <w:rFonts w:ascii="Verdana" w:hAnsi="Verdana"/>
          <w:sz w:val="16"/>
          <w:szCs w:val="16"/>
          <w:lang w:val="es-MX"/>
        </w:rPr>
        <w:t xml:space="preserve"> (arts. 1 y 2 Convención Americana sobre Derechos Humanos). Opinión Consultiva OC-14/94 de 9 de diciembre de 1994. Serie A No. 14, párr. 35, y </w:t>
      </w:r>
      <w:r w:rsidR="00573513" w:rsidRPr="00965696">
        <w:rPr>
          <w:rFonts w:ascii="Verdana" w:hAnsi="Verdana"/>
          <w:bCs/>
          <w:i/>
          <w:color w:val="000000"/>
          <w:sz w:val="16"/>
          <w:szCs w:val="16"/>
          <w:lang w:val="es-CR"/>
        </w:rPr>
        <w:t>Asunto Integrantes de la Comunidad Indígena de Choréachi</w:t>
      </w:r>
      <w:r w:rsidR="00573513" w:rsidRPr="00965696">
        <w:rPr>
          <w:rFonts w:ascii="Verdana" w:hAnsi="Verdana"/>
          <w:bCs/>
          <w:color w:val="000000"/>
          <w:sz w:val="16"/>
          <w:szCs w:val="16"/>
          <w:lang w:val="es-CR"/>
        </w:rPr>
        <w:t xml:space="preserve"> </w:t>
      </w:r>
      <w:r w:rsidR="00573513" w:rsidRPr="00965696">
        <w:rPr>
          <w:rFonts w:ascii="Verdana" w:hAnsi="Verdana"/>
          <w:bCs/>
          <w:i/>
          <w:color w:val="000000"/>
          <w:sz w:val="16"/>
          <w:szCs w:val="16"/>
          <w:lang w:val="es-CR"/>
        </w:rPr>
        <w:t xml:space="preserve">respecto de México, supra, </w:t>
      </w:r>
      <w:r w:rsidR="00573513" w:rsidRPr="00965696">
        <w:rPr>
          <w:rFonts w:ascii="Verdana" w:hAnsi="Verdana"/>
          <w:bCs/>
          <w:color w:val="000000"/>
          <w:sz w:val="16"/>
          <w:szCs w:val="16"/>
          <w:lang w:val="es-CR"/>
        </w:rPr>
        <w:t>considerando sexto</w:t>
      </w:r>
      <w:r w:rsidR="00673A9C" w:rsidRPr="00965696">
        <w:rPr>
          <w:rFonts w:ascii="Verdana" w:hAnsi="Verdana"/>
          <w:bCs/>
          <w:color w:val="000000"/>
          <w:sz w:val="16"/>
          <w:szCs w:val="16"/>
          <w:lang w:val="es-CR"/>
        </w:rPr>
        <w:t>.</w:t>
      </w:r>
    </w:p>
  </w:footnote>
  <w:footnote w:id="15">
    <w:p w14:paraId="1D35BA87" w14:textId="3BCFF89D" w:rsidR="00E83403" w:rsidRPr="00965696" w:rsidRDefault="00E83403" w:rsidP="00965696">
      <w:pPr>
        <w:tabs>
          <w:tab w:val="left" w:pos="520"/>
          <w:tab w:val="left" w:pos="567"/>
          <w:tab w:val="left" w:pos="720"/>
          <w:tab w:val="left" w:pos="1100"/>
          <w:tab w:val="left" w:pos="1440"/>
          <w:tab w:val="left" w:pos="2160"/>
          <w:tab w:val="left" w:pos="2880"/>
          <w:tab w:val="left" w:pos="3600"/>
          <w:tab w:val="left" w:pos="4320"/>
          <w:tab w:val="left" w:pos="5040"/>
          <w:tab w:val="left" w:pos="5760"/>
          <w:tab w:val="left" w:pos="6300"/>
          <w:tab w:val="left" w:pos="6480"/>
          <w:tab w:val="left" w:pos="7200"/>
          <w:tab w:val="left" w:pos="7920"/>
        </w:tabs>
        <w:spacing w:after="120" w:line="240" w:lineRule="auto"/>
        <w:jc w:val="both"/>
        <w:rPr>
          <w:rFonts w:ascii="Verdana" w:hAnsi="Verdana" w:cs="Arial"/>
          <w:sz w:val="16"/>
          <w:szCs w:val="16"/>
          <w:lang w:val="es-MX"/>
        </w:rPr>
      </w:pPr>
      <w:r w:rsidRPr="00965696">
        <w:rPr>
          <w:rStyle w:val="FootnoteReference"/>
          <w:rFonts w:ascii="Verdana" w:hAnsi="Verdana"/>
          <w:sz w:val="16"/>
          <w:szCs w:val="16"/>
        </w:rPr>
        <w:footnoteRef/>
      </w:r>
      <w:r w:rsidRPr="00965696">
        <w:rPr>
          <w:rFonts w:ascii="Verdana" w:hAnsi="Verdana"/>
          <w:sz w:val="16"/>
          <w:szCs w:val="16"/>
          <w:lang w:val="es-MX"/>
        </w:rPr>
        <w:tab/>
      </w:r>
      <w:r w:rsidRPr="00965696">
        <w:rPr>
          <w:rFonts w:ascii="Verdana" w:hAnsi="Verdana"/>
          <w:bCs/>
          <w:i/>
          <w:color w:val="000000"/>
          <w:sz w:val="16"/>
          <w:szCs w:val="16"/>
          <w:lang w:val="es-MX"/>
        </w:rPr>
        <w:t xml:space="preserve">Cfr. </w:t>
      </w:r>
      <w:r w:rsidRPr="00965696">
        <w:rPr>
          <w:rFonts w:ascii="Verdana" w:hAnsi="Verdana"/>
          <w:i/>
          <w:sz w:val="16"/>
          <w:szCs w:val="16"/>
          <w:lang w:val="es-MX"/>
        </w:rPr>
        <w:t>Caso Ivcher Bronstein Vs. Perú</w:t>
      </w:r>
      <w:r w:rsidRPr="00965696">
        <w:rPr>
          <w:rFonts w:ascii="Verdana" w:hAnsi="Verdana"/>
          <w:sz w:val="16"/>
          <w:szCs w:val="16"/>
          <w:lang w:val="es-MX"/>
        </w:rPr>
        <w:t xml:space="preserve">. </w:t>
      </w:r>
      <w:r w:rsidRPr="00965696">
        <w:rPr>
          <w:rFonts w:ascii="Verdana" w:hAnsi="Verdana"/>
          <w:i/>
          <w:sz w:val="16"/>
          <w:szCs w:val="16"/>
          <w:lang w:val="es-MX"/>
        </w:rPr>
        <w:t>Competencia.</w:t>
      </w:r>
      <w:r w:rsidRPr="00965696">
        <w:rPr>
          <w:rFonts w:ascii="Verdana" w:hAnsi="Verdana"/>
          <w:sz w:val="16"/>
          <w:szCs w:val="16"/>
          <w:lang w:val="es-MX"/>
        </w:rPr>
        <w:t xml:space="preserve"> Sentencia de 24 de septiembre de 1999. Serie C No. 54, párr. 37, y</w:t>
      </w:r>
      <w:r w:rsidRPr="00965696">
        <w:rPr>
          <w:rFonts w:ascii="Verdana" w:hAnsi="Verdana"/>
          <w:i/>
          <w:sz w:val="16"/>
          <w:szCs w:val="16"/>
          <w:lang w:val="es-MX"/>
        </w:rPr>
        <w:t xml:space="preserve"> </w:t>
      </w:r>
      <w:r w:rsidRPr="00965696">
        <w:rPr>
          <w:rFonts w:ascii="Verdana" w:hAnsi="Verdana"/>
          <w:i/>
          <w:sz w:val="16"/>
          <w:szCs w:val="16"/>
          <w:lang w:val="es-ES"/>
        </w:rPr>
        <w:t xml:space="preserve">Caso </w:t>
      </w:r>
      <w:r w:rsidR="008B4171" w:rsidRPr="00965696">
        <w:rPr>
          <w:rFonts w:ascii="Verdana" w:hAnsi="Verdana"/>
          <w:i/>
          <w:sz w:val="16"/>
          <w:szCs w:val="16"/>
          <w:lang w:val="es-ES"/>
        </w:rPr>
        <w:t xml:space="preserve">Wong Ho Wing Vs. Perú. </w:t>
      </w:r>
      <w:r w:rsidR="008B4171" w:rsidRPr="00965696">
        <w:rPr>
          <w:rFonts w:ascii="Verdana" w:hAnsi="Verdana"/>
          <w:sz w:val="16"/>
          <w:szCs w:val="16"/>
          <w:lang w:val="es-ES"/>
        </w:rPr>
        <w:t>Resolución de la Corte Interamericana de Derechos Humanos de 7 de octubre de 2015, considerando décimo.</w:t>
      </w:r>
    </w:p>
  </w:footnote>
  <w:footnote w:id="16">
    <w:p w14:paraId="3DC9B5A7" w14:textId="77777777" w:rsidR="00E83403" w:rsidRPr="00965696" w:rsidRDefault="00E83403" w:rsidP="00965696">
      <w:pPr>
        <w:pStyle w:val="FootnoteText"/>
        <w:tabs>
          <w:tab w:val="left" w:pos="567"/>
        </w:tabs>
        <w:spacing w:after="120"/>
        <w:jc w:val="both"/>
        <w:rPr>
          <w:rFonts w:ascii="Verdana" w:hAnsi="Verdana"/>
          <w:sz w:val="16"/>
          <w:szCs w:val="16"/>
          <w:lang w:val="es-CR"/>
        </w:rPr>
      </w:pPr>
      <w:r w:rsidRPr="00965696">
        <w:rPr>
          <w:rStyle w:val="FootnoteReference"/>
          <w:rFonts w:ascii="Verdana" w:hAnsi="Verdana"/>
          <w:sz w:val="16"/>
          <w:szCs w:val="16"/>
        </w:rPr>
        <w:footnoteRef/>
      </w:r>
      <w:r w:rsidRPr="00965696">
        <w:rPr>
          <w:rFonts w:ascii="Verdana" w:hAnsi="Verdana"/>
          <w:sz w:val="16"/>
          <w:szCs w:val="16"/>
          <w:lang w:val="es-CR"/>
        </w:rPr>
        <w:t xml:space="preserve"> </w:t>
      </w:r>
      <w:r w:rsidRPr="00965696">
        <w:rPr>
          <w:rFonts w:ascii="Verdana" w:hAnsi="Verdana"/>
          <w:sz w:val="16"/>
          <w:szCs w:val="16"/>
          <w:lang w:val="es-CR"/>
        </w:rPr>
        <w:tab/>
        <w:t>De acuerdo con el artículo 53 del Reglamento de la Corte “[l]os Estados no podrán enjuiciar a las presuntas víctimas, a los testigos y a los peritos, a sus representantes o asesores legales ni ejercer represalias contra ellos o sus familiares, a causa de sus declaraciones, dictámenes rendidos o su defensa legal ante la Corte”.</w:t>
      </w:r>
    </w:p>
  </w:footnote>
  <w:footnote w:id="17">
    <w:p w14:paraId="70648D95" w14:textId="73BB0FF1" w:rsidR="00E83403" w:rsidRPr="00965696" w:rsidRDefault="00E83403" w:rsidP="00965696">
      <w:pPr>
        <w:pStyle w:val="FootnoteText"/>
        <w:tabs>
          <w:tab w:val="left" w:pos="567"/>
        </w:tabs>
        <w:spacing w:after="120"/>
        <w:jc w:val="both"/>
        <w:rPr>
          <w:rFonts w:ascii="Verdana" w:hAnsi="Verdana"/>
          <w:i/>
          <w:sz w:val="16"/>
          <w:szCs w:val="16"/>
          <w:lang w:val="es-CR"/>
        </w:rPr>
      </w:pPr>
      <w:r w:rsidRPr="00965696">
        <w:rPr>
          <w:rStyle w:val="FootnoteReference"/>
          <w:rFonts w:ascii="Verdana" w:hAnsi="Verdana"/>
          <w:sz w:val="16"/>
          <w:szCs w:val="16"/>
        </w:rPr>
        <w:footnoteRef/>
      </w:r>
      <w:r w:rsidRPr="00965696">
        <w:rPr>
          <w:rFonts w:ascii="Verdana" w:hAnsi="Verdana"/>
          <w:sz w:val="16"/>
          <w:szCs w:val="16"/>
          <w:lang w:val="es-CR"/>
        </w:rPr>
        <w:t xml:space="preserve"> </w:t>
      </w:r>
      <w:r w:rsidRPr="00965696">
        <w:rPr>
          <w:rFonts w:ascii="Verdana" w:hAnsi="Verdana"/>
          <w:sz w:val="16"/>
          <w:szCs w:val="16"/>
          <w:lang w:val="es-CR"/>
        </w:rPr>
        <w:tab/>
      </w:r>
      <w:r w:rsidRPr="00965696">
        <w:rPr>
          <w:rStyle w:val="Strong"/>
          <w:rFonts w:ascii="Verdana" w:hAnsi="Verdana"/>
          <w:b w:val="0"/>
          <w:i/>
          <w:color w:val="000000"/>
          <w:sz w:val="16"/>
          <w:szCs w:val="16"/>
          <w:lang w:val="es-CR"/>
        </w:rPr>
        <w:t>Caso de Personas Dominicanas y Haitianas Expulsadas Vs. República Dominicana. Excepciones Preliminares, Fondo, Reparaciones y Costas</w:t>
      </w:r>
      <w:r w:rsidRPr="00965696">
        <w:rPr>
          <w:rStyle w:val="Strong"/>
          <w:rFonts w:ascii="Verdana" w:hAnsi="Verdana"/>
          <w:b w:val="0"/>
          <w:color w:val="000000"/>
          <w:sz w:val="16"/>
          <w:szCs w:val="16"/>
          <w:lang w:val="es-CR"/>
        </w:rPr>
        <w:t>. Sentencia de 28 de agosto de 2014. Serie C No. 282</w:t>
      </w:r>
      <w:r w:rsidRPr="00965696">
        <w:rPr>
          <w:rFonts w:ascii="Verdana" w:hAnsi="Verdana"/>
          <w:sz w:val="16"/>
          <w:szCs w:val="16"/>
          <w:lang w:val="es-CR"/>
        </w:rPr>
        <w:t>, párr. 456.</w:t>
      </w:r>
    </w:p>
  </w:footnote>
  <w:footnote w:id="18">
    <w:p w14:paraId="2F2E57C1" w14:textId="743F9315" w:rsidR="00E83403" w:rsidRPr="00965696" w:rsidRDefault="00E83403" w:rsidP="00965696">
      <w:pPr>
        <w:pStyle w:val="FootnoteText"/>
        <w:tabs>
          <w:tab w:val="left" w:pos="567"/>
        </w:tabs>
        <w:spacing w:after="120"/>
        <w:jc w:val="both"/>
        <w:rPr>
          <w:rFonts w:ascii="Verdana" w:hAnsi="Verdana"/>
          <w:i/>
          <w:sz w:val="16"/>
          <w:szCs w:val="16"/>
          <w:lang w:val="es-CR"/>
        </w:rPr>
      </w:pPr>
      <w:r w:rsidRPr="00965696">
        <w:rPr>
          <w:rStyle w:val="FootnoteReference"/>
          <w:rFonts w:ascii="Verdana" w:hAnsi="Verdana"/>
          <w:sz w:val="16"/>
          <w:szCs w:val="16"/>
        </w:rPr>
        <w:footnoteRef/>
      </w:r>
      <w:r w:rsidRPr="00965696">
        <w:rPr>
          <w:rFonts w:ascii="Verdana" w:hAnsi="Verdana"/>
          <w:sz w:val="16"/>
          <w:szCs w:val="16"/>
          <w:lang w:val="es-CR"/>
        </w:rPr>
        <w:t xml:space="preserve"> </w:t>
      </w:r>
      <w:r w:rsidRPr="00965696">
        <w:rPr>
          <w:rFonts w:ascii="Verdana" w:hAnsi="Verdana"/>
          <w:sz w:val="16"/>
          <w:szCs w:val="16"/>
          <w:lang w:val="es-CR"/>
        </w:rPr>
        <w:tab/>
      </w:r>
      <w:r w:rsidRPr="00965696">
        <w:rPr>
          <w:rFonts w:ascii="Verdana" w:hAnsi="Verdana"/>
          <w:i/>
          <w:sz w:val="16"/>
          <w:szCs w:val="16"/>
          <w:lang w:val="es-CR"/>
        </w:rPr>
        <w:t>A contrario sensu</w:t>
      </w:r>
      <w:r w:rsidRPr="00965696">
        <w:rPr>
          <w:rFonts w:ascii="Verdana" w:hAnsi="Verdana"/>
          <w:sz w:val="16"/>
          <w:szCs w:val="16"/>
          <w:lang w:val="es-CR"/>
        </w:rPr>
        <w:t xml:space="preserve">, </w:t>
      </w:r>
      <w:r w:rsidRPr="00965696">
        <w:rPr>
          <w:rFonts w:ascii="Verdana" w:hAnsi="Verdana"/>
          <w:i/>
          <w:sz w:val="16"/>
          <w:szCs w:val="16"/>
          <w:lang w:val="es-CR"/>
        </w:rPr>
        <w:t xml:space="preserve">cfr. </w:t>
      </w:r>
      <w:r w:rsidRPr="00965696">
        <w:rPr>
          <w:rStyle w:val="Strong"/>
          <w:rFonts w:ascii="Verdana" w:hAnsi="Verdana"/>
          <w:b w:val="0"/>
          <w:i/>
          <w:color w:val="000000"/>
          <w:sz w:val="16"/>
          <w:szCs w:val="16"/>
          <w:lang w:val="es-CR"/>
        </w:rPr>
        <w:t>Caso de Personas Dominicanas y Haitianas Expulsadas Vs. República Dominicana</w:t>
      </w:r>
      <w:r w:rsidR="005D22F1" w:rsidRPr="00965696">
        <w:rPr>
          <w:rStyle w:val="Strong"/>
          <w:rFonts w:ascii="Verdana" w:hAnsi="Verdana"/>
          <w:b w:val="0"/>
          <w:i/>
          <w:color w:val="000000"/>
          <w:sz w:val="16"/>
          <w:szCs w:val="16"/>
          <w:lang w:val="es-CR"/>
        </w:rPr>
        <w:t xml:space="preserve">, supra, </w:t>
      </w:r>
      <w:r w:rsidRPr="00965696">
        <w:rPr>
          <w:rFonts w:ascii="Verdana" w:hAnsi="Verdana"/>
          <w:sz w:val="16"/>
          <w:szCs w:val="16"/>
          <w:lang w:val="es-CR"/>
        </w:rPr>
        <w:t>párr. 456.</w:t>
      </w:r>
    </w:p>
  </w:footnote>
  <w:footnote w:id="19">
    <w:p w14:paraId="3D74B8CE" w14:textId="5B5FAE23" w:rsidR="003503A7" w:rsidRPr="00965696" w:rsidRDefault="003503A7" w:rsidP="00965696">
      <w:pPr>
        <w:pStyle w:val="FootnoteText"/>
        <w:tabs>
          <w:tab w:val="left" w:pos="567"/>
        </w:tabs>
        <w:spacing w:after="120"/>
        <w:jc w:val="both"/>
        <w:rPr>
          <w:rFonts w:ascii="Verdana" w:hAnsi="Verdana"/>
          <w:sz w:val="16"/>
          <w:szCs w:val="16"/>
          <w:lang w:val="es-CR"/>
        </w:rPr>
      </w:pPr>
      <w:r w:rsidRPr="00965696">
        <w:rPr>
          <w:rStyle w:val="FootnoteReference"/>
          <w:rFonts w:ascii="Verdana" w:hAnsi="Verdana"/>
          <w:sz w:val="16"/>
          <w:szCs w:val="16"/>
        </w:rPr>
        <w:footnoteRef/>
      </w:r>
      <w:r w:rsidRPr="00674BE4">
        <w:rPr>
          <w:rFonts w:ascii="Verdana" w:hAnsi="Verdana"/>
          <w:sz w:val="16"/>
          <w:szCs w:val="16"/>
          <w:lang w:val="es-CR"/>
        </w:rPr>
        <w:t xml:space="preserve"> </w:t>
      </w:r>
      <w:r w:rsidRPr="00965696">
        <w:rPr>
          <w:rFonts w:ascii="Verdana" w:hAnsi="Verdana"/>
          <w:sz w:val="16"/>
          <w:szCs w:val="16"/>
          <w:lang w:val="es-CR"/>
        </w:rPr>
        <w:tab/>
      </w:r>
      <w:r w:rsidRPr="00965696">
        <w:rPr>
          <w:rFonts w:ascii="Verdana" w:hAnsi="Verdana"/>
          <w:i/>
          <w:sz w:val="16"/>
          <w:szCs w:val="16"/>
          <w:lang w:val="es-CR"/>
        </w:rPr>
        <w:t>Cfr. Caso Ibsen Cárdenas e Ibsen Peña Vs. Bolivia.</w:t>
      </w:r>
      <w:r w:rsidRPr="00965696">
        <w:rPr>
          <w:rFonts w:ascii="Verdana" w:hAnsi="Verdana"/>
          <w:sz w:val="16"/>
          <w:szCs w:val="16"/>
          <w:lang w:val="es-CR"/>
        </w:rPr>
        <w:t xml:space="preserve"> Solicitud de medidas provisionales. Resolución de la Corte Interamericana de Derechos Humanos de 14 de octubre de 2014.</w:t>
      </w:r>
    </w:p>
  </w:footnote>
  <w:footnote w:id="20">
    <w:p w14:paraId="3AC1CB7E" w14:textId="3481688A" w:rsidR="00E83403" w:rsidRPr="00965696" w:rsidRDefault="00E83403" w:rsidP="00965696">
      <w:pPr>
        <w:pStyle w:val="FootnoteText"/>
        <w:tabs>
          <w:tab w:val="left" w:pos="540"/>
          <w:tab w:val="left" w:pos="567"/>
        </w:tabs>
        <w:spacing w:after="120"/>
        <w:jc w:val="both"/>
        <w:rPr>
          <w:rFonts w:ascii="Verdana" w:hAnsi="Verdana"/>
          <w:sz w:val="16"/>
          <w:szCs w:val="16"/>
          <w:lang w:val="es-ES_tradnl"/>
        </w:rPr>
      </w:pPr>
      <w:r w:rsidRPr="00965696">
        <w:rPr>
          <w:rStyle w:val="FootnoteReference"/>
          <w:rFonts w:ascii="Verdana" w:hAnsi="Verdana"/>
          <w:sz w:val="16"/>
          <w:szCs w:val="16"/>
          <w:lang w:val="es-ES_tradnl"/>
        </w:rPr>
        <w:footnoteRef/>
      </w:r>
      <w:r w:rsidRPr="00965696">
        <w:rPr>
          <w:rFonts w:ascii="Verdana" w:hAnsi="Verdana"/>
          <w:i/>
          <w:sz w:val="16"/>
          <w:szCs w:val="16"/>
          <w:lang w:val="es-ES_tradnl"/>
        </w:rPr>
        <w:tab/>
        <w:t xml:space="preserve">Cfr. Caso Luisiana Ríos y otros. </w:t>
      </w:r>
      <w:r w:rsidRPr="00965696">
        <w:rPr>
          <w:rFonts w:ascii="Verdana" w:hAnsi="Verdana"/>
          <w:sz w:val="16"/>
          <w:szCs w:val="16"/>
          <w:lang w:val="es-ES_tradnl"/>
        </w:rPr>
        <w:t xml:space="preserve">Medidas Provisionales respecto de Venezuela. Resolución de la Corte </w:t>
      </w:r>
      <w:r w:rsidR="00ED3858" w:rsidRPr="00965696">
        <w:rPr>
          <w:rFonts w:ascii="Verdana" w:hAnsi="Verdana"/>
          <w:sz w:val="16"/>
          <w:szCs w:val="16"/>
          <w:lang w:val="es-CR"/>
        </w:rPr>
        <w:t>Interamericana de Derechos Humanos</w:t>
      </w:r>
      <w:r w:rsidR="00ED3858" w:rsidRPr="00965696">
        <w:rPr>
          <w:rFonts w:ascii="Verdana" w:hAnsi="Verdana"/>
          <w:sz w:val="16"/>
          <w:szCs w:val="16"/>
          <w:lang w:val="es-ES_tradnl"/>
        </w:rPr>
        <w:t xml:space="preserve"> </w:t>
      </w:r>
      <w:r w:rsidRPr="00965696">
        <w:rPr>
          <w:rFonts w:ascii="Verdana" w:hAnsi="Verdana"/>
          <w:sz w:val="16"/>
          <w:szCs w:val="16"/>
          <w:lang w:val="es-ES_tradnl"/>
        </w:rPr>
        <w:t>de 8 de septiembre de 2004, considerando sexto</w:t>
      </w:r>
      <w:r w:rsidR="00D461B6" w:rsidRPr="00965696">
        <w:rPr>
          <w:rFonts w:ascii="Verdana" w:hAnsi="Verdana"/>
          <w:sz w:val="16"/>
          <w:szCs w:val="16"/>
          <w:lang w:val="es-ES_tradnl"/>
        </w:rPr>
        <w:t>, y</w:t>
      </w:r>
      <w:r w:rsidRPr="00965696">
        <w:rPr>
          <w:rFonts w:ascii="Verdana" w:hAnsi="Verdana"/>
          <w:sz w:val="16"/>
          <w:szCs w:val="16"/>
          <w:lang w:val="es-ES_tradnl"/>
        </w:rPr>
        <w:t xml:space="preserve"> </w:t>
      </w:r>
      <w:r w:rsidR="00D461B6" w:rsidRPr="00965696">
        <w:rPr>
          <w:rFonts w:ascii="Verdana" w:hAnsi="Verdana"/>
          <w:i/>
          <w:sz w:val="16"/>
          <w:szCs w:val="16"/>
          <w:lang w:val="es-ES_tradnl"/>
        </w:rPr>
        <w:t xml:space="preserve">Asunto Lysias Fleury. </w:t>
      </w:r>
      <w:r w:rsidR="00D461B6" w:rsidRPr="00965696">
        <w:rPr>
          <w:rFonts w:ascii="Verdana" w:hAnsi="Verdana"/>
          <w:sz w:val="16"/>
          <w:szCs w:val="16"/>
          <w:lang w:val="es-ES_tradnl"/>
        </w:rPr>
        <w:t>Medidas Provisionales respecto de Haití. Resolución de la Corte Interamericana de Derechos Humanos de 25 de noviembre de 2008, considerando cuarto.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2078B"/>
    <w:multiLevelType w:val="hybridMultilevel"/>
    <w:tmpl w:val="880A4D4C"/>
    <w:lvl w:ilvl="0" w:tplc="849CD9DC">
      <w:start w:val="1"/>
      <w:numFmt w:val="decimal"/>
      <w:lvlText w:val="%1."/>
      <w:lvlJc w:val="left"/>
      <w:pPr>
        <w:ind w:left="1065" w:hanging="70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31D70A0"/>
    <w:multiLevelType w:val="hybridMultilevel"/>
    <w:tmpl w:val="6AA00E72"/>
    <w:lvl w:ilvl="0" w:tplc="6A90905A">
      <w:start w:val="1"/>
      <w:numFmt w:val="decimal"/>
      <w:lvlText w:val="%1."/>
      <w:lvlJc w:val="left"/>
      <w:pPr>
        <w:tabs>
          <w:tab w:val="num" w:pos="720"/>
        </w:tabs>
        <w:ind w:left="0" w:firstLine="0"/>
      </w:pPr>
      <w:rPr>
        <w:rFonts w:ascii="Verdana" w:hAnsi="Verdana" w:hint="default"/>
        <w:b w:val="0"/>
        <w:strike w:val="0"/>
        <w:sz w:val="20"/>
        <w:lang w:val="es-ES_tradnl"/>
      </w:rPr>
    </w:lvl>
    <w:lvl w:ilvl="1" w:tplc="00170409">
      <w:start w:val="1"/>
      <w:numFmt w:val="lowerLetter"/>
      <w:lvlText w:val="%2)"/>
      <w:lvlJc w:val="left"/>
      <w:pPr>
        <w:tabs>
          <w:tab w:val="num" w:pos="360"/>
        </w:tabs>
        <w:ind w:left="360" w:hanging="360"/>
      </w:pPr>
      <w:rPr>
        <w:rFonts w:hint="default"/>
        <w:b w:val="0"/>
        <w:sz w:val="20"/>
      </w:rPr>
    </w:lvl>
    <w:lvl w:ilvl="2" w:tplc="001B0409">
      <w:start w:val="1"/>
      <w:numFmt w:val="lowerRoman"/>
      <w:lvlText w:val="%3."/>
      <w:lvlJc w:val="right"/>
      <w:pPr>
        <w:tabs>
          <w:tab w:val="num" w:pos="2160"/>
        </w:tabs>
        <w:ind w:left="2160" w:hanging="180"/>
      </w:pPr>
    </w:lvl>
    <w:lvl w:ilvl="3" w:tplc="9236B570">
      <w:start w:val="1"/>
      <w:numFmt w:val="decimal"/>
      <w:lvlText w:val="%4)"/>
      <w:lvlJc w:val="left"/>
      <w:pPr>
        <w:tabs>
          <w:tab w:val="num" w:pos="2880"/>
        </w:tabs>
        <w:ind w:left="2880" w:hanging="360"/>
      </w:pPr>
      <w:rPr>
        <w:rFonts w:hint="default"/>
      </w:r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34628E0"/>
    <w:multiLevelType w:val="hybridMultilevel"/>
    <w:tmpl w:val="8F5665D0"/>
    <w:lvl w:ilvl="0" w:tplc="F172E020">
      <w:start w:val="1"/>
      <w:numFmt w:val="decimal"/>
      <w:lvlText w:val="%1."/>
      <w:lvlJc w:val="left"/>
      <w:pPr>
        <w:tabs>
          <w:tab w:val="num" w:pos="360"/>
        </w:tabs>
        <w:ind w:left="360" w:hanging="360"/>
      </w:pPr>
      <w:rPr>
        <w:rFonts w:ascii="Verdana" w:hAnsi="Verdana" w:hint="default"/>
        <w:b w:val="0"/>
        <w:sz w:val="20"/>
      </w:rPr>
    </w:lvl>
    <w:lvl w:ilvl="1" w:tplc="69544350">
      <w:start w:val="1"/>
      <w:numFmt w:val="lowerLetter"/>
      <w:lvlText w:val="%2."/>
      <w:lvlJc w:val="left"/>
      <w:pPr>
        <w:tabs>
          <w:tab w:val="num" w:pos="1440"/>
        </w:tabs>
        <w:ind w:left="1440" w:hanging="360"/>
      </w:pPr>
      <w:rPr>
        <w:rFonts w:ascii="Verdana" w:hAnsi="Verdana" w:hint="default"/>
        <w:b w:val="0"/>
        <w:sz w:val="20"/>
        <w:szCs w:val="20"/>
      </w:rPr>
    </w:lvl>
    <w:lvl w:ilvl="2" w:tplc="92DEE256">
      <w:start w:val="1"/>
      <w:numFmt w:val="lowerLetter"/>
      <w:lvlText w:val="%3."/>
      <w:lvlJc w:val="left"/>
      <w:pPr>
        <w:tabs>
          <w:tab w:val="num" w:pos="2340"/>
        </w:tabs>
        <w:ind w:left="2340" w:hanging="360"/>
      </w:pPr>
    </w:lvl>
    <w:lvl w:ilvl="3" w:tplc="A9E0C762">
      <w:start w:val="1"/>
      <w:numFmt w:val="lowerLetter"/>
      <w:lvlText w:val="%4)"/>
      <w:lvlJc w:val="left"/>
      <w:pPr>
        <w:tabs>
          <w:tab w:val="num" w:pos="1440"/>
        </w:tabs>
        <w:ind w:left="144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A1A0662"/>
    <w:multiLevelType w:val="hybridMultilevel"/>
    <w:tmpl w:val="F1F60CD6"/>
    <w:lvl w:ilvl="0" w:tplc="4428324C">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05D3C1B"/>
    <w:multiLevelType w:val="hybridMultilevel"/>
    <w:tmpl w:val="89F871FC"/>
    <w:lvl w:ilvl="0" w:tplc="004CBE9C">
      <w:start w:val="1"/>
      <w:numFmt w:val="decimal"/>
      <w:lvlText w:val="%1."/>
      <w:lvlJc w:val="left"/>
      <w:pPr>
        <w:tabs>
          <w:tab w:val="num" w:pos="360"/>
        </w:tabs>
        <w:ind w:left="360" w:hanging="360"/>
      </w:pPr>
      <w:rPr>
        <w:rFonts w:ascii="Verdana" w:hAnsi="Verdana" w:hint="default"/>
        <w:b w:val="0"/>
        <w:color w:val="auto"/>
        <w:sz w:val="20"/>
      </w:rPr>
    </w:lvl>
    <w:lvl w:ilvl="1" w:tplc="140A0017">
      <w:start w:val="1"/>
      <w:numFmt w:val="lowerLetter"/>
      <w:lvlText w:val="%2)"/>
      <w:lvlJc w:val="left"/>
      <w:pPr>
        <w:tabs>
          <w:tab w:val="num" w:pos="1440"/>
        </w:tabs>
        <w:ind w:left="1440" w:hanging="360"/>
      </w:pPr>
      <w:rPr>
        <w:b w:val="0"/>
      </w:rPr>
    </w:lvl>
    <w:lvl w:ilvl="2" w:tplc="92DEE256">
      <w:start w:val="1"/>
      <w:numFmt w:val="lowerLetter"/>
      <w:lvlText w:val="%3."/>
      <w:lvlJc w:val="left"/>
      <w:pPr>
        <w:tabs>
          <w:tab w:val="num" w:pos="2340"/>
        </w:tabs>
        <w:ind w:left="2340" w:hanging="360"/>
      </w:pPr>
    </w:lvl>
    <w:lvl w:ilvl="3" w:tplc="A9E0C762">
      <w:start w:val="1"/>
      <w:numFmt w:val="lowerLetter"/>
      <w:lvlText w:val="%4)"/>
      <w:lvlJc w:val="left"/>
      <w:pPr>
        <w:tabs>
          <w:tab w:val="num" w:pos="1440"/>
        </w:tabs>
        <w:ind w:left="144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6136221"/>
    <w:multiLevelType w:val="hybridMultilevel"/>
    <w:tmpl w:val="E0CA6104"/>
    <w:lvl w:ilvl="0" w:tplc="140A0015">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312479A6"/>
    <w:multiLevelType w:val="hybridMultilevel"/>
    <w:tmpl w:val="5A0C1B3C"/>
    <w:lvl w:ilvl="0" w:tplc="140A0015">
      <w:start w:val="1"/>
      <w:numFmt w:val="upp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7">
    <w:nsid w:val="35925703"/>
    <w:multiLevelType w:val="hybridMultilevel"/>
    <w:tmpl w:val="4B1E3CA4"/>
    <w:lvl w:ilvl="0" w:tplc="0409000F">
      <w:start w:val="1"/>
      <w:numFmt w:val="decimal"/>
      <w:lvlText w:val="%1."/>
      <w:lvlJc w:val="left"/>
      <w:pPr>
        <w:ind w:left="720" w:hanging="360"/>
      </w:pPr>
      <w:rPr>
        <w:b w:val="0"/>
      </w:rPr>
    </w:lvl>
    <w:lvl w:ilvl="1" w:tplc="5FD6027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1485A"/>
    <w:multiLevelType w:val="hybridMultilevel"/>
    <w:tmpl w:val="D6C02E62"/>
    <w:lvl w:ilvl="0" w:tplc="2B2CA126">
      <w:start w:val="3"/>
      <w:numFmt w:val="bullet"/>
      <w:lvlText w:val="-"/>
      <w:lvlJc w:val="left"/>
      <w:pPr>
        <w:tabs>
          <w:tab w:val="num" w:pos="720"/>
        </w:tabs>
        <w:ind w:left="720" w:hanging="360"/>
      </w:pPr>
      <w:rPr>
        <w:rFonts w:ascii="Univers" w:eastAsia="MS Mincho" w:hAnsi="Univers" w:cs="Times New Roman"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0110B7"/>
    <w:multiLevelType w:val="hybridMultilevel"/>
    <w:tmpl w:val="EBC0BBF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4F03689F"/>
    <w:multiLevelType w:val="hybridMultilevel"/>
    <w:tmpl w:val="1338CBE6"/>
    <w:lvl w:ilvl="0" w:tplc="1E76064C">
      <w:start w:val="1"/>
      <w:numFmt w:val="decimal"/>
      <w:lvlText w:val="%1."/>
      <w:lvlJc w:val="left"/>
      <w:pPr>
        <w:tabs>
          <w:tab w:val="num" w:pos="851"/>
        </w:tabs>
        <w:ind w:left="0" w:firstLine="0"/>
      </w:pPr>
      <w:rPr>
        <w:rFonts w:ascii="Verdana" w:hAnsi="Verdana" w:hint="default"/>
        <w:b w:val="0"/>
        <w:sz w:val="20"/>
        <w:szCs w:val="20"/>
        <w:lang w:val="es-ES"/>
      </w:rPr>
    </w:lvl>
    <w:lvl w:ilvl="1" w:tplc="75B8E952">
      <w:start w:val="1"/>
      <w:numFmt w:val="decimal"/>
      <w:lvlText w:val="%2."/>
      <w:lvlJc w:val="left"/>
      <w:pPr>
        <w:tabs>
          <w:tab w:val="num" w:pos="1418"/>
        </w:tabs>
        <w:ind w:left="0" w:firstLine="1080"/>
      </w:pPr>
      <w:rPr>
        <w:rFonts w:hint="default"/>
      </w:rPr>
    </w:lvl>
    <w:lvl w:ilvl="2" w:tplc="BF5A881A">
      <w:start w:val="1"/>
      <w:numFmt w:val="lowerLetter"/>
      <w:lvlText w:val="%3)"/>
      <w:lvlJc w:val="left"/>
      <w:pPr>
        <w:tabs>
          <w:tab w:val="num" w:pos="2340"/>
        </w:tabs>
        <w:ind w:left="2340" w:hanging="360"/>
      </w:pPr>
      <w:rPr>
        <w:rFonts w:hint="default"/>
      </w:rPr>
    </w:lvl>
    <w:lvl w:ilvl="3" w:tplc="0409001B">
      <w:start w:val="1"/>
      <w:numFmt w:val="lowerRoman"/>
      <w:lvlText w:val="%4."/>
      <w:lvlJc w:val="righ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1">
    <w:nsid w:val="54754A61"/>
    <w:multiLevelType w:val="hybridMultilevel"/>
    <w:tmpl w:val="7D92EE1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4AA4269"/>
    <w:multiLevelType w:val="hybridMultilevel"/>
    <w:tmpl w:val="89F871FC"/>
    <w:lvl w:ilvl="0" w:tplc="004CBE9C">
      <w:start w:val="1"/>
      <w:numFmt w:val="decimal"/>
      <w:lvlText w:val="%1."/>
      <w:lvlJc w:val="left"/>
      <w:pPr>
        <w:tabs>
          <w:tab w:val="num" w:pos="360"/>
        </w:tabs>
        <w:ind w:left="360" w:hanging="360"/>
      </w:pPr>
      <w:rPr>
        <w:rFonts w:ascii="Verdana" w:hAnsi="Verdana" w:hint="default"/>
        <w:b w:val="0"/>
        <w:color w:val="auto"/>
        <w:sz w:val="20"/>
      </w:rPr>
    </w:lvl>
    <w:lvl w:ilvl="1" w:tplc="140A0017">
      <w:start w:val="1"/>
      <w:numFmt w:val="lowerLetter"/>
      <w:lvlText w:val="%2)"/>
      <w:lvlJc w:val="left"/>
      <w:pPr>
        <w:tabs>
          <w:tab w:val="num" w:pos="1440"/>
        </w:tabs>
        <w:ind w:left="1440" w:hanging="360"/>
      </w:pPr>
      <w:rPr>
        <w:b w:val="0"/>
      </w:rPr>
    </w:lvl>
    <w:lvl w:ilvl="2" w:tplc="92DEE256">
      <w:start w:val="1"/>
      <w:numFmt w:val="lowerLetter"/>
      <w:lvlText w:val="%3."/>
      <w:lvlJc w:val="left"/>
      <w:pPr>
        <w:tabs>
          <w:tab w:val="num" w:pos="2340"/>
        </w:tabs>
        <w:ind w:left="2340" w:hanging="360"/>
      </w:pPr>
    </w:lvl>
    <w:lvl w:ilvl="3" w:tplc="A9E0C762">
      <w:start w:val="1"/>
      <w:numFmt w:val="lowerLetter"/>
      <w:lvlText w:val="%4)"/>
      <w:lvlJc w:val="left"/>
      <w:pPr>
        <w:tabs>
          <w:tab w:val="num" w:pos="1440"/>
        </w:tabs>
        <w:ind w:left="144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72F90059"/>
    <w:multiLevelType w:val="hybridMultilevel"/>
    <w:tmpl w:val="1B68B286"/>
    <w:lvl w:ilvl="0" w:tplc="7346C994">
      <w:start w:val="1"/>
      <w:numFmt w:val="decimal"/>
      <w:lvlText w:val="%1."/>
      <w:lvlJc w:val="left"/>
      <w:pPr>
        <w:tabs>
          <w:tab w:val="num" w:pos="1080"/>
        </w:tabs>
        <w:ind w:left="1080" w:hanging="360"/>
      </w:pPr>
      <w:rPr>
        <w:rFonts w:ascii="Cambria" w:hAnsi="Cambria" w:hint="default"/>
        <w:b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44010E1"/>
    <w:multiLevelType w:val="hybridMultilevel"/>
    <w:tmpl w:val="89F871FC"/>
    <w:lvl w:ilvl="0" w:tplc="004CBE9C">
      <w:start w:val="1"/>
      <w:numFmt w:val="decimal"/>
      <w:lvlText w:val="%1."/>
      <w:lvlJc w:val="left"/>
      <w:pPr>
        <w:tabs>
          <w:tab w:val="num" w:pos="360"/>
        </w:tabs>
        <w:ind w:left="360" w:hanging="360"/>
      </w:pPr>
      <w:rPr>
        <w:rFonts w:ascii="Verdana" w:hAnsi="Verdana" w:hint="default"/>
        <w:b w:val="0"/>
        <w:color w:val="auto"/>
        <w:sz w:val="20"/>
      </w:rPr>
    </w:lvl>
    <w:lvl w:ilvl="1" w:tplc="140A0017">
      <w:start w:val="1"/>
      <w:numFmt w:val="lowerLetter"/>
      <w:lvlText w:val="%2)"/>
      <w:lvlJc w:val="left"/>
      <w:pPr>
        <w:tabs>
          <w:tab w:val="num" w:pos="1440"/>
        </w:tabs>
        <w:ind w:left="1440" w:hanging="360"/>
      </w:pPr>
      <w:rPr>
        <w:b w:val="0"/>
      </w:rPr>
    </w:lvl>
    <w:lvl w:ilvl="2" w:tplc="92DEE256">
      <w:start w:val="1"/>
      <w:numFmt w:val="lowerLetter"/>
      <w:lvlText w:val="%3."/>
      <w:lvlJc w:val="left"/>
      <w:pPr>
        <w:tabs>
          <w:tab w:val="num" w:pos="2340"/>
        </w:tabs>
        <w:ind w:left="2340" w:hanging="360"/>
      </w:pPr>
    </w:lvl>
    <w:lvl w:ilvl="3" w:tplc="A9E0C762">
      <w:start w:val="1"/>
      <w:numFmt w:val="lowerLetter"/>
      <w:lvlText w:val="%4)"/>
      <w:lvlJc w:val="left"/>
      <w:pPr>
        <w:tabs>
          <w:tab w:val="num" w:pos="1440"/>
        </w:tabs>
        <w:ind w:left="144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77F9558D"/>
    <w:multiLevelType w:val="hybridMultilevel"/>
    <w:tmpl w:val="E0CA6104"/>
    <w:lvl w:ilvl="0" w:tplc="140A0015">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4"/>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9"/>
  </w:num>
  <w:num w:numId="7">
    <w:abstractNumId w:val="3"/>
  </w:num>
  <w:num w:numId="8">
    <w:abstractNumId w:val="13"/>
  </w:num>
  <w:num w:numId="9">
    <w:abstractNumId w:val="8"/>
  </w:num>
  <w:num w:numId="10">
    <w:abstractNumId w:val="11"/>
  </w:num>
  <w:num w:numId="11">
    <w:abstractNumId w:val="15"/>
  </w:num>
  <w:num w:numId="12">
    <w:abstractNumId w:val="10"/>
  </w:num>
  <w:num w:numId="13">
    <w:abstractNumId w:val="6"/>
  </w:num>
  <w:num w:numId="14">
    <w:abstractNumId w:val="1"/>
  </w:num>
  <w:num w:numId="15">
    <w:abstractNumId w:val="7"/>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9C6"/>
    <w:rsid w:val="00010548"/>
    <w:rsid w:val="00012A5D"/>
    <w:rsid w:val="00015BDC"/>
    <w:rsid w:val="000163CC"/>
    <w:rsid w:val="00021B18"/>
    <w:rsid w:val="00021DAD"/>
    <w:rsid w:val="00024292"/>
    <w:rsid w:val="00026CE2"/>
    <w:rsid w:val="00030443"/>
    <w:rsid w:val="0004027D"/>
    <w:rsid w:val="000460F6"/>
    <w:rsid w:val="0005327F"/>
    <w:rsid w:val="0005479D"/>
    <w:rsid w:val="00056726"/>
    <w:rsid w:val="00065040"/>
    <w:rsid w:val="000811B9"/>
    <w:rsid w:val="00086F51"/>
    <w:rsid w:val="000873DF"/>
    <w:rsid w:val="000A06D5"/>
    <w:rsid w:val="000B1181"/>
    <w:rsid w:val="000B2BEE"/>
    <w:rsid w:val="000D6114"/>
    <w:rsid w:val="000E3560"/>
    <w:rsid w:val="000E3C28"/>
    <w:rsid w:val="00101DBC"/>
    <w:rsid w:val="00105408"/>
    <w:rsid w:val="0010747E"/>
    <w:rsid w:val="00114D67"/>
    <w:rsid w:val="001150C5"/>
    <w:rsid w:val="00120D27"/>
    <w:rsid w:val="001324B6"/>
    <w:rsid w:val="001344D4"/>
    <w:rsid w:val="00135CFD"/>
    <w:rsid w:val="001366C3"/>
    <w:rsid w:val="00143C33"/>
    <w:rsid w:val="00145D79"/>
    <w:rsid w:val="00155CE4"/>
    <w:rsid w:val="0016065D"/>
    <w:rsid w:val="00176C41"/>
    <w:rsid w:val="00176E31"/>
    <w:rsid w:val="0018406E"/>
    <w:rsid w:val="00186FF4"/>
    <w:rsid w:val="001936EC"/>
    <w:rsid w:val="0019417B"/>
    <w:rsid w:val="00194873"/>
    <w:rsid w:val="00196EB0"/>
    <w:rsid w:val="001A408D"/>
    <w:rsid w:val="001B01EC"/>
    <w:rsid w:val="001B29E2"/>
    <w:rsid w:val="001C105F"/>
    <w:rsid w:val="001D552F"/>
    <w:rsid w:val="001D7D6A"/>
    <w:rsid w:val="001E2EAF"/>
    <w:rsid w:val="001E549B"/>
    <w:rsid w:val="001F2109"/>
    <w:rsid w:val="00201139"/>
    <w:rsid w:val="002051F4"/>
    <w:rsid w:val="002107DE"/>
    <w:rsid w:val="0021334B"/>
    <w:rsid w:val="00213DB0"/>
    <w:rsid w:val="00215290"/>
    <w:rsid w:val="00216CFF"/>
    <w:rsid w:val="00233DCD"/>
    <w:rsid w:val="00243C7C"/>
    <w:rsid w:val="00245078"/>
    <w:rsid w:val="00246A69"/>
    <w:rsid w:val="00253FEA"/>
    <w:rsid w:val="0025457B"/>
    <w:rsid w:val="00254ED8"/>
    <w:rsid w:val="0026180A"/>
    <w:rsid w:val="002636BC"/>
    <w:rsid w:val="00271B93"/>
    <w:rsid w:val="002728B0"/>
    <w:rsid w:val="00280FA7"/>
    <w:rsid w:val="00282CC2"/>
    <w:rsid w:val="0028555E"/>
    <w:rsid w:val="002859C6"/>
    <w:rsid w:val="002A369E"/>
    <w:rsid w:val="002B0527"/>
    <w:rsid w:val="002C5D7B"/>
    <w:rsid w:val="002C6F4D"/>
    <w:rsid w:val="002C7999"/>
    <w:rsid w:val="002D1751"/>
    <w:rsid w:val="002E629A"/>
    <w:rsid w:val="002F63C7"/>
    <w:rsid w:val="002F6959"/>
    <w:rsid w:val="003011E9"/>
    <w:rsid w:val="0030133E"/>
    <w:rsid w:val="00302657"/>
    <w:rsid w:val="00307C3B"/>
    <w:rsid w:val="00310EBD"/>
    <w:rsid w:val="003119DF"/>
    <w:rsid w:val="0031597F"/>
    <w:rsid w:val="00317B9A"/>
    <w:rsid w:val="003275F8"/>
    <w:rsid w:val="003409AB"/>
    <w:rsid w:val="00340CC4"/>
    <w:rsid w:val="0034604D"/>
    <w:rsid w:val="003503A7"/>
    <w:rsid w:val="00353C71"/>
    <w:rsid w:val="00364A7C"/>
    <w:rsid w:val="00377734"/>
    <w:rsid w:val="003820C9"/>
    <w:rsid w:val="00390730"/>
    <w:rsid w:val="003926D4"/>
    <w:rsid w:val="003B052A"/>
    <w:rsid w:val="003B262C"/>
    <w:rsid w:val="003B744B"/>
    <w:rsid w:val="003E17C6"/>
    <w:rsid w:val="003E3985"/>
    <w:rsid w:val="003E3A74"/>
    <w:rsid w:val="003E51F6"/>
    <w:rsid w:val="003E5C21"/>
    <w:rsid w:val="004023F4"/>
    <w:rsid w:val="00402F80"/>
    <w:rsid w:val="00403B91"/>
    <w:rsid w:val="004071A0"/>
    <w:rsid w:val="00407F7B"/>
    <w:rsid w:val="0042054E"/>
    <w:rsid w:val="00420744"/>
    <w:rsid w:val="00425515"/>
    <w:rsid w:val="00432AAE"/>
    <w:rsid w:val="00433F50"/>
    <w:rsid w:val="00437E3C"/>
    <w:rsid w:val="00444D93"/>
    <w:rsid w:val="00447C0D"/>
    <w:rsid w:val="00451B41"/>
    <w:rsid w:val="00452926"/>
    <w:rsid w:val="0046083F"/>
    <w:rsid w:val="0047705E"/>
    <w:rsid w:val="00483757"/>
    <w:rsid w:val="00487CBE"/>
    <w:rsid w:val="00491FFA"/>
    <w:rsid w:val="00492340"/>
    <w:rsid w:val="00494153"/>
    <w:rsid w:val="004955D0"/>
    <w:rsid w:val="00495D80"/>
    <w:rsid w:val="004966AB"/>
    <w:rsid w:val="00497790"/>
    <w:rsid w:val="004A78E5"/>
    <w:rsid w:val="004B20EF"/>
    <w:rsid w:val="004B2765"/>
    <w:rsid w:val="004B6C15"/>
    <w:rsid w:val="004D2D7B"/>
    <w:rsid w:val="004F35DD"/>
    <w:rsid w:val="00505BAF"/>
    <w:rsid w:val="00513AD7"/>
    <w:rsid w:val="00516704"/>
    <w:rsid w:val="00523940"/>
    <w:rsid w:val="00531EFA"/>
    <w:rsid w:val="00531F7D"/>
    <w:rsid w:val="00537626"/>
    <w:rsid w:val="00540352"/>
    <w:rsid w:val="005436B8"/>
    <w:rsid w:val="005456A5"/>
    <w:rsid w:val="00551719"/>
    <w:rsid w:val="0055711F"/>
    <w:rsid w:val="00557800"/>
    <w:rsid w:val="00565110"/>
    <w:rsid w:val="00565992"/>
    <w:rsid w:val="00570B00"/>
    <w:rsid w:val="00573513"/>
    <w:rsid w:val="005752B3"/>
    <w:rsid w:val="005755A8"/>
    <w:rsid w:val="0057637A"/>
    <w:rsid w:val="005820FB"/>
    <w:rsid w:val="0059024C"/>
    <w:rsid w:val="00590F26"/>
    <w:rsid w:val="005913F8"/>
    <w:rsid w:val="00591BF7"/>
    <w:rsid w:val="005973E6"/>
    <w:rsid w:val="00597FAF"/>
    <w:rsid w:val="005A3E48"/>
    <w:rsid w:val="005A6DF6"/>
    <w:rsid w:val="005B109B"/>
    <w:rsid w:val="005B14DE"/>
    <w:rsid w:val="005B1939"/>
    <w:rsid w:val="005B19C3"/>
    <w:rsid w:val="005C2699"/>
    <w:rsid w:val="005C724A"/>
    <w:rsid w:val="005C74AB"/>
    <w:rsid w:val="005D22F1"/>
    <w:rsid w:val="005D2718"/>
    <w:rsid w:val="005D2C50"/>
    <w:rsid w:val="005E0E34"/>
    <w:rsid w:val="005E2EE6"/>
    <w:rsid w:val="005E6F15"/>
    <w:rsid w:val="005F0E90"/>
    <w:rsid w:val="006038D1"/>
    <w:rsid w:val="00617824"/>
    <w:rsid w:val="006216F9"/>
    <w:rsid w:val="006226F9"/>
    <w:rsid w:val="00626221"/>
    <w:rsid w:val="00630764"/>
    <w:rsid w:val="00645205"/>
    <w:rsid w:val="00653665"/>
    <w:rsid w:val="0066011C"/>
    <w:rsid w:val="006603AF"/>
    <w:rsid w:val="006608FD"/>
    <w:rsid w:val="0066181C"/>
    <w:rsid w:val="00671728"/>
    <w:rsid w:val="00673A9C"/>
    <w:rsid w:val="00674BE4"/>
    <w:rsid w:val="00676D44"/>
    <w:rsid w:val="006778C7"/>
    <w:rsid w:val="00680EE8"/>
    <w:rsid w:val="00683F35"/>
    <w:rsid w:val="00685684"/>
    <w:rsid w:val="00687184"/>
    <w:rsid w:val="006A062E"/>
    <w:rsid w:val="006A565C"/>
    <w:rsid w:val="006D17DA"/>
    <w:rsid w:val="006D5D5E"/>
    <w:rsid w:val="006D67AA"/>
    <w:rsid w:val="006E6ABB"/>
    <w:rsid w:val="006F3C1D"/>
    <w:rsid w:val="006F4CA4"/>
    <w:rsid w:val="00713D12"/>
    <w:rsid w:val="00717376"/>
    <w:rsid w:val="00720930"/>
    <w:rsid w:val="007268DA"/>
    <w:rsid w:val="007371E2"/>
    <w:rsid w:val="0074468A"/>
    <w:rsid w:val="00744FE4"/>
    <w:rsid w:val="00747D0B"/>
    <w:rsid w:val="00750699"/>
    <w:rsid w:val="00763DE5"/>
    <w:rsid w:val="007647D6"/>
    <w:rsid w:val="0077155E"/>
    <w:rsid w:val="007717CD"/>
    <w:rsid w:val="007720E3"/>
    <w:rsid w:val="007A46A1"/>
    <w:rsid w:val="007A7402"/>
    <w:rsid w:val="007B01A9"/>
    <w:rsid w:val="007B6D21"/>
    <w:rsid w:val="007C499B"/>
    <w:rsid w:val="007D218E"/>
    <w:rsid w:val="007E49D2"/>
    <w:rsid w:val="007F2885"/>
    <w:rsid w:val="007F2F0C"/>
    <w:rsid w:val="007F7FC1"/>
    <w:rsid w:val="00801EA5"/>
    <w:rsid w:val="00802D69"/>
    <w:rsid w:val="00805E1C"/>
    <w:rsid w:val="0081286B"/>
    <w:rsid w:val="008130A4"/>
    <w:rsid w:val="00815E2D"/>
    <w:rsid w:val="00826C11"/>
    <w:rsid w:val="00827A29"/>
    <w:rsid w:val="0083291E"/>
    <w:rsid w:val="008340D2"/>
    <w:rsid w:val="00844F1F"/>
    <w:rsid w:val="00846A44"/>
    <w:rsid w:val="00846CC9"/>
    <w:rsid w:val="00862A24"/>
    <w:rsid w:val="00865F26"/>
    <w:rsid w:val="00866091"/>
    <w:rsid w:val="0087104E"/>
    <w:rsid w:val="0088199C"/>
    <w:rsid w:val="00892D07"/>
    <w:rsid w:val="00894865"/>
    <w:rsid w:val="008A2F2C"/>
    <w:rsid w:val="008A78D3"/>
    <w:rsid w:val="008B0211"/>
    <w:rsid w:val="008B4047"/>
    <w:rsid w:val="008B4171"/>
    <w:rsid w:val="008B6B6E"/>
    <w:rsid w:val="008D69EC"/>
    <w:rsid w:val="008D7C97"/>
    <w:rsid w:val="008E78CB"/>
    <w:rsid w:val="008E7DAE"/>
    <w:rsid w:val="008F19BD"/>
    <w:rsid w:val="008F1BC2"/>
    <w:rsid w:val="008F57C0"/>
    <w:rsid w:val="00902926"/>
    <w:rsid w:val="00916F0B"/>
    <w:rsid w:val="009210C4"/>
    <w:rsid w:val="00923283"/>
    <w:rsid w:val="00932785"/>
    <w:rsid w:val="00933AC5"/>
    <w:rsid w:val="00940721"/>
    <w:rsid w:val="0094280F"/>
    <w:rsid w:val="00943ECA"/>
    <w:rsid w:val="0095158D"/>
    <w:rsid w:val="00951F3B"/>
    <w:rsid w:val="00957336"/>
    <w:rsid w:val="00965696"/>
    <w:rsid w:val="009756CD"/>
    <w:rsid w:val="009807A2"/>
    <w:rsid w:val="00991552"/>
    <w:rsid w:val="00991C1E"/>
    <w:rsid w:val="009935E4"/>
    <w:rsid w:val="009947AE"/>
    <w:rsid w:val="009A5FE9"/>
    <w:rsid w:val="009B15E1"/>
    <w:rsid w:val="009B6BD5"/>
    <w:rsid w:val="009C2974"/>
    <w:rsid w:val="009D7C4D"/>
    <w:rsid w:val="009F4ABB"/>
    <w:rsid w:val="00A02644"/>
    <w:rsid w:val="00A1585A"/>
    <w:rsid w:val="00A17FCE"/>
    <w:rsid w:val="00A21E6A"/>
    <w:rsid w:val="00A24401"/>
    <w:rsid w:val="00A26C6B"/>
    <w:rsid w:val="00A275DC"/>
    <w:rsid w:val="00A36CDF"/>
    <w:rsid w:val="00A40285"/>
    <w:rsid w:val="00A40793"/>
    <w:rsid w:val="00A42F54"/>
    <w:rsid w:val="00A4386D"/>
    <w:rsid w:val="00A74A2A"/>
    <w:rsid w:val="00A84A8E"/>
    <w:rsid w:val="00AA5580"/>
    <w:rsid w:val="00AA5674"/>
    <w:rsid w:val="00AA7BF7"/>
    <w:rsid w:val="00AB1717"/>
    <w:rsid w:val="00AB4172"/>
    <w:rsid w:val="00AC005D"/>
    <w:rsid w:val="00AC2247"/>
    <w:rsid w:val="00AC5BB7"/>
    <w:rsid w:val="00AD1847"/>
    <w:rsid w:val="00AE1351"/>
    <w:rsid w:val="00AE174B"/>
    <w:rsid w:val="00AE1D3B"/>
    <w:rsid w:val="00AE1E36"/>
    <w:rsid w:val="00AE6B20"/>
    <w:rsid w:val="00AF2445"/>
    <w:rsid w:val="00AF3E8B"/>
    <w:rsid w:val="00B07CFA"/>
    <w:rsid w:val="00B10F4D"/>
    <w:rsid w:val="00B1156C"/>
    <w:rsid w:val="00B13CFD"/>
    <w:rsid w:val="00B13EB1"/>
    <w:rsid w:val="00B2182A"/>
    <w:rsid w:val="00B24EEC"/>
    <w:rsid w:val="00B268C1"/>
    <w:rsid w:val="00B337FE"/>
    <w:rsid w:val="00B4469F"/>
    <w:rsid w:val="00B46F25"/>
    <w:rsid w:val="00B516E3"/>
    <w:rsid w:val="00B5664D"/>
    <w:rsid w:val="00B62B5A"/>
    <w:rsid w:val="00B67B4C"/>
    <w:rsid w:val="00B70C29"/>
    <w:rsid w:val="00B777DD"/>
    <w:rsid w:val="00B85F84"/>
    <w:rsid w:val="00B866DC"/>
    <w:rsid w:val="00B87C41"/>
    <w:rsid w:val="00B96977"/>
    <w:rsid w:val="00BA7258"/>
    <w:rsid w:val="00BB5131"/>
    <w:rsid w:val="00BD0CE2"/>
    <w:rsid w:val="00BD5ED0"/>
    <w:rsid w:val="00BE11F2"/>
    <w:rsid w:val="00BF06C1"/>
    <w:rsid w:val="00C04D69"/>
    <w:rsid w:val="00C06EAA"/>
    <w:rsid w:val="00C12D9D"/>
    <w:rsid w:val="00C1762A"/>
    <w:rsid w:val="00C30D61"/>
    <w:rsid w:val="00C339EB"/>
    <w:rsid w:val="00C34405"/>
    <w:rsid w:val="00C42B99"/>
    <w:rsid w:val="00C503BE"/>
    <w:rsid w:val="00C72C0C"/>
    <w:rsid w:val="00C72F0F"/>
    <w:rsid w:val="00C73046"/>
    <w:rsid w:val="00C75967"/>
    <w:rsid w:val="00C777F9"/>
    <w:rsid w:val="00C942D0"/>
    <w:rsid w:val="00CA123B"/>
    <w:rsid w:val="00CA540E"/>
    <w:rsid w:val="00CB2DC9"/>
    <w:rsid w:val="00CC0615"/>
    <w:rsid w:val="00CC3774"/>
    <w:rsid w:val="00CC5D0C"/>
    <w:rsid w:val="00CC607D"/>
    <w:rsid w:val="00CE7D8F"/>
    <w:rsid w:val="00CF078F"/>
    <w:rsid w:val="00CF224C"/>
    <w:rsid w:val="00CF2E64"/>
    <w:rsid w:val="00CF3F98"/>
    <w:rsid w:val="00CF63F2"/>
    <w:rsid w:val="00D17075"/>
    <w:rsid w:val="00D20385"/>
    <w:rsid w:val="00D23D7E"/>
    <w:rsid w:val="00D32AA8"/>
    <w:rsid w:val="00D41785"/>
    <w:rsid w:val="00D445B0"/>
    <w:rsid w:val="00D461B6"/>
    <w:rsid w:val="00D467D1"/>
    <w:rsid w:val="00D46A61"/>
    <w:rsid w:val="00D551A6"/>
    <w:rsid w:val="00D70DD4"/>
    <w:rsid w:val="00D82C9D"/>
    <w:rsid w:val="00D83506"/>
    <w:rsid w:val="00D877FA"/>
    <w:rsid w:val="00D90D89"/>
    <w:rsid w:val="00DA388A"/>
    <w:rsid w:val="00DA72E2"/>
    <w:rsid w:val="00DB3E11"/>
    <w:rsid w:val="00DB400F"/>
    <w:rsid w:val="00DB4AD6"/>
    <w:rsid w:val="00DC1D45"/>
    <w:rsid w:val="00DD1FE1"/>
    <w:rsid w:val="00DD3D10"/>
    <w:rsid w:val="00DD3FE5"/>
    <w:rsid w:val="00DE06E9"/>
    <w:rsid w:val="00DE5C32"/>
    <w:rsid w:val="00DF3883"/>
    <w:rsid w:val="00E02A41"/>
    <w:rsid w:val="00E114D5"/>
    <w:rsid w:val="00E15506"/>
    <w:rsid w:val="00E2423A"/>
    <w:rsid w:val="00E31BA2"/>
    <w:rsid w:val="00E370F7"/>
    <w:rsid w:val="00E40F93"/>
    <w:rsid w:val="00E5116D"/>
    <w:rsid w:val="00E6772C"/>
    <w:rsid w:val="00E80750"/>
    <w:rsid w:val="00E83403"/>
    <w:rsid w:val="00E8530C"/>
    <w:rsid w:val="00E85E72"/>
    <w:rsid w:val="00E906AC"/>
    <w:rsid w:val="00E91E74"/>
    <w:rsid w:val="00E94D12"/>
    <w:rsid w:val="00EA2A90"/>
    <w:rsid w:val="00EA6284"/>
    <w:rsid w:val="00EC2334"/>
    <w:rsid w:val="00EC48EA"/>
    <w:rsid w:val="00EC5BAE"/>
    <w:rsid w:val="00EC63ED"/>
    <w:rsid w:val="00EC7396"/>
    <w:rsid w:val="00EC75BE"/>
    <w:rsid w:val="00EC7757"/>
    <w:rsid w:val="00ED3858"/>
    <w:rsid w:val="00ED750A"/>
    <w:rsid w:val="00ED7F0C"/>
    <w:rsid w:val="00EE1DBE"/>
    <w:rsid w:val="00EE24DD"/>
    <w:rsid w:val="00EE27B1"/>
    <w:rsid w:val="00EF0EFB"/>
    <w:rsid w:val="00EF12D6"/>
    <w:rsid w:val="00EF2F92"/>
    <w:rsid w:val="00EF4627"/>
    <w:rsid w:val="00F0305A"/>
    <w:rsid w:val="00F10A78"/>
    <w:rsid w:val="00F10FD7"/>
    <w:rsid w:val="00F12F07"/>
    <w:rsid w:val="00F15659"/>
    <w:rsid w:val="00F30734"/>
    <w:rsid w:val="00F348D8"/>
    <w:rsid w:val="00F44018"/>
    <w:rsid w:val="00F44FED"/>
    <w:rsid w:val="00F46192"/>
    <w:rsid w:val="00F50C95"/>
    <w:rsid w:val="00F52F76"/>
    <w:rsid w:val="00F55DCA"/>
    <w:rsid w:val="00F80D43"/>
    <w:rsid w:val="00F861F1"/>
    <w:rsid w:val="00F90EC3"/>
    <w:rsid w:val="00FB0E3D"/>
    <w:rsid w:val="00FB2CEF"/>
    <w:rsid w:val="00FC650B"/>
    <w:rsid w:val="00FD11C4"/>
    <w:rsid w:val="00FD6996"/>
    <w:rsid w:val="00FE0181"/>
    <w:rsid w:val="00FE69DA"/>
    <w:rsid w:val="00FF12CB"/>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7E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9C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C"/>
    <w:basedOn w:val="Normal"/>
    <w:link w:val="FootnoteTextChar"/>
    <w:qFormat/>
    <w:rsid w:val="005456A5"/>
    <w:pPr>
      <w:spacing w:after="0" w:line="240" w:lineRule="auto"/>
    </w:pPr>
    <w:rPr>
      <w:rFonts w:ascii="Times New Roman" w:eastAsia="MS Mincho" w:hAnsi="Times New Roman"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5456A5"/>
    <w:rPr>
      <w:rFonts w:ascii="Times New Roman" w:eastAsia="MS Mincho" w:hAnsi="Times New Roman" w:cs="Times New Roman"/>
      <w:sz w:val="20"/>
      <w:szCs w:val="20"/>
      <w:lang w:val="en-US"/>
    </w:rPr>
  </w:style>
  <w:style w:type="character" w:styleId="FootnoteReference">
    <w:name w:val="footnote reference"/>
    <w:aliases w:val="Footnotes refss,Texto de nota al pie,Appel note de bas de page,Footnote number,referencia nota al pie,BVI fnr,f,Footnote symbol,Footnote,Ref. de nota al pie.,4_G,16 Point,Superscript 6 Point,Texto nota al pie,Ref,de nota al pie,norma"/>
    <w:link w:val="4GChar"/>
    <w:qFormat/>
    <w:rsid w:val="005456A5"/>
    <w:rPr>
      <w:rFonts w:cs="Times New Roman"/>
      <w:vertAlign w:val="superscript"/>
    </w:rPr>
  </w:style>
  <w:style w:type="paragraph" w:styleId="ListParagraph">
    <w:name w:val="List Paragraph"/>
    <w:aliases w:val="Colorful List - Accent 11,List Paragraph2,List Paragraph1,Lista vistosa - Énfasis 11"/>
    <w:basedOn w:val="Normal"/>
    <w:link w:val="ListParagraphChar"/>
    <w:qFormat/>
    <w:rsid w:val="005456A5"/>
    <w:pPr>
      <w:spacing w:after="0" w:line="240" w:lineRule="auto"/>
      <w:ind w:left="720"/>
      <w:contextualSpacing/>
    </w:pPr>
    <w:rPr>
      <w:rFonts w:ascii="Garamond" w:eastAsia="Times" w:hAnsi="Garamond" w:cs="Times New Roman"/>
      <w:sz w:val="24"/>
      <w:szCs w:val="20"/>
      <w:lang w:val="es-ES_tradnl"/>
    </w:rPr>
  </w:style>
  <w:style w:type="character" w:customStyle="1" w:styleId="ListParagraphChar">
    <w:name w:val="List Paragraph Char"/>
    <w:aliases w:val="Colorful List - Accent 11 Char,List Paragraph2 Char,List Paragraph1 Char,Lista vistosa - Énfasis 11 Char"/>
    <w:link w:val="ListParagraph"/>
    <w:locked/>
    <w:rsid w:val="005456A5"/>
    <w:rPr>
      <w:rFonts w:ascii="Garamond" w:eastAsia="Times" w:hAnsi="Garamond" w:cs="Times New Roman"/>
      <w:sz w:val="24"/>
      <w:szCs w:val="20"/>
      <w:lang w:val="es-ES_tradnl"/>
    </w:rPr>
  </w:style>
  <w:style w:type="paragraph" w:customStyle="1" w:styleId="Prrafodelista1">
    <w:name w:val="Párrafo de lista1"/>
    <w:basedOn w:val="Normal"/>
    <w:qFormat/>
    <w:rsid w:val="005456A5"/>
    <w:pPr>
      <w:spacing w:after="0" w:line="240" w:lineRule="auto"/>
      <w:contextualSpacing/>
    </w:pPr>
    <w:rPr>
      <w:rFonts w:ascii="Verdana" w:eastAsia="Batang" w:hAnsi="Verdana" w:cs="Times New Roman"/>
      <w:sz w:val="16"/>
      <w:lang w:val="es-ES"/>
    </w:rPr>
  </w:style>
  <w:style w:type="character" w:styleId="Strong">
    <w:name w:val="Strong"/>
    <w:basedOn w:val="DefaultParagraphFont"/>
    <w:uiPriority w:val="22"/>
    <w:qFormat/>
    <w:rsid w:val="00E85E72"/>
    <w:rPr>
      <w:b/>
      <w:bCs/>
    </w:rPr>
  </w:style>
  <w:style w:type="character" w:styleId="LineNumber">
    <w:name w:val="line number"/>
    <w:basedOn w:val="DefaultParagraphFont"/>
    <w:uiPriority w:val="99"/>
    <w:semiHidden/>
    <w:unhideWhenUsed/>
    <w:rsid w:val="00687184"/>
  </w:style>
  <w:style w:type="paragraph" w:styleId="Header">
    <w:name w:val="header"/>
    <w:basedOn w:val="Normal"/>
    <w:link w:val="HeaderChar"/>
    <w:uiPriority w:val="99"/>
    <w:unhideWhenUsed/>
    <w:rsid w:val="00687184"/>
    <w:pPr>
      <w:tabs>
        <w:tab w:val="center" w:pos="4252"/>
        <w:tab w:val="right" w:pos="8504"/>
      </w:tabs>
      <w:spacing w:after="0" w:line="240" w:lineRule="auto"/>
    </w:pPr>
  </w:style>
  <w:style w:type="character" w:customStyle="1" w:styleId="HeaderChar">
    <w:name w:val="Header Char"/>
    <w:basedOn w:val="DefaultParagraphFont"/>
    <w:link w:val="Header"/>
    <w:uiPriority w:val="99"/>
    <w:rsid w:val="00687184"/>
    <w:rPr>
      <w:lang w:val="en-US"/>
    </w:rPr>
  </w:style>
  <w:style w:type="paragraph" w:styleId="Footer">
    <w:name w:val="footer"/>
    <w:basedOn w:val="Normal"/>
    <w:link w:val="FooterChar"/>
    <w:uiPriority w:val="99"/>
    <w:unhideWhenUsed/>
    <w:rsid w:val="00687184"/>
    <w:pPr>
      <w:tabs>
        <w:tab w:val="center" w:pos="4252"/>
        <w:tab w:val="right" w:pos="8504"/>
      </w:tabs>
      <w:spacing w:after="0" w:line="240" w:lineRule="auto"/>
    </w:pPr>
  </w:style>
  <w:style w:type="character" w:customStyle="1" w:styleId="FooterChar">
    <w:name w:val="Footer Char"/>
    <w:basedOn w:val="DefaultParagraphFont"/>
    <w:link w:val="Footer"/>
    <w:uiPriority w:val="99"/>
    <w:rsid w:val="00687184"/>
    <w:rPr>
      <w:lang w:val="en-US"/>
    </w:rPr>
  </w:style>
  <w:style w:type="paragraph" w:customStyle="1" w:styleId="Default">
    <w:name w:val="Default"/>
    <w:rsid w:val="002F6959"/>
    <w:pPr>
      <w:autoSpaceDE w:val="0"/>
      <w:autoSpaceDN w:val="0"/>
      <w:adjustRightInd w:val="0"/>
      <w:spacing w:after="0" w:line="240" w:lineRule="auto"/>
    </w:pPr>
    <w:rPr>
      <w:rFonts w:ascii="Times New Roman" w:hAnsi="Times New Roman" w:cs="Times New Roman"/>
      <w:color w:val="000000"/>
      <w:sz w:val="24"/>
      <w:szCs w:val="24"/>
      <w:lang w:val="es-ES"/>
    </w:rPr>
  </w:style>
  <w:style w:type="character" w:styleId="CommentReference">
    <w:name w:val="annotation reference"/>
    <w:basedOn w:val="DefaultParagraphFont"/>
    <w:uiPriority w:val="99"/>
    <w:semiHidden/>
    <w:unhideWhenUsed/>
    <w:rsid w:val="00176E31"/>
    <w:rPr>
      <w:sz w:val="18"/>
      <w:szCs w:val="18"/>
    </w:rPr>
  </w:style>
  <w:style w:type="paragraph" w:styleId="CommentText">
    <w:name w:val="annotation text"/>
    <w:basedOn w:val="Normal"/>
    <w:link w:val="CommentTextChar"/>
    <w:uiPriority w:val="99"/>
    <w:semiHidden/>
    <w:unhideWhenUsed/>
    <w:rsid w:val="00176E31"/>
    <w:pPr>
      <w:spacing w:line="240" w:lineRule="auto"/>
    </w:pPr>
    <w:rPr>
      <w:sz w:val="24"/>
      <w:szCs w:val="24"/>
    </w:rPr>
  </w:style>
  <w:style w:type="character" w:customStyle="1" w:styleId="CommentTextChar">
    <w:name w:val="Comment Text Char"/>
    <w:basedOn w:val="DefaultParagraphFont"/>
    <w:link w:val="CommentText"/>
    <w:uiPriority w:val="99"/>
    <w:semiHidden/>
    <w:rsid w:val="00176E31"/>
    <w:rPr>
      <w:sz w:val="24"/>
      <w:szCs w:val="24"/>
      <w:lang w:val="en-US"/>
    </w:rPr>
  </w:style>
  <w:style w:type="paragraph" w:styleId="CommentSubject">
    <w:name w:val="annotation subject"/>
    <w:basedOn w:val="CommentText"/>
    <w:next w:val="CommentText"/>
    <w:link w:val="CommentSubjectChar"/>
    <w:uiPriority w:val="99"/>
    <w:semiHidden/>
    <w:unhideWhenUsed/>
    <w:rsid w:val="00176E31"/>
    <w:rPr>
      <w:b/>
      <w:bCs/>
      <w:sz w:val="20"/>
      <w:szCs w:val="20"/>
    </w:rPr>
  </w:style>
  <w:style w:type="character" w:customStyle="1" w:styleId="CommentSubjectChar">
    <w:name w:val="Comment Subject Char"/>
    <w:basedOn w:val="CommentTextChar"/>
    <w:link w:val="CommentSubject"/>
    <w:uiPriority w:val="99"/>
    <w:semiHidden/>
    <w:rsid w:val="00176E31"/>
    <w:rPr>
      <w:b/>
      <w:bCs/>
      <w:sz w:val="20"/>
      <w:szCs w:val="20"/>
      <w:lang w:val="en-US"/>
    </w:rPr>
  </w:style>
  <w:style w:type="paragraph" w:styleId="BalloonText">
    <w:name w:val="Balloon Text"/>
    <w:basedOn w:val="Normal"/>
    <w:link w:val="BalloonTextChar"/>
    <w:uiPriority w:val="99"/>
    <w:semiHidden/>
    <w:unhideWhenUsed/>
    <w:rsid w:val="00176E3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6E31"/>
    <w:rPr>
      <w:rFonts w:ascii="Lucida Grande" w:hAnsi="Lucida Grande" w:cs="Lucida Grande"/>
      <w:sz w:val="18"/>
      <w:szCs w:val="18"/>
      <w:lang w:val="en-US"/>
    </w:rPr>
  </w:style>
  <w:style w:type="paragraph" w:styleId="BodyTextIndent">
    <w:name w:val="Body Text Indent"/>
    <w:basedOn w:val="Normal"/>
    <w:link w:val="BodyTextIndentChar"/>
    <w:rsid w:val="00DA72E2"/>
    <w:pPr>
      <w:spacing w:after="120" w:line="240" w:lineRule="auto"/>
      <w:ind w:left="360"/>
    </w:pPr>
    <w:rPr>
      <w:rFonts w:ascii="Times New Roman" w:eastAsia="MS Mincho" w:hAnsi="Times New Roman" w:cs="Times New Roman"/>
      <w:sz w:val="24"/>
      <w:szCs w:val="24"/>
    </w:rPr>
  </w:style>
  <w:style w:type="character" w:customStyle="1" w:styleId="BodyTextIndentChar">
    <w:name w:val="Body Text Indent Char"/>
    <w:basedOn w:val="DefaultParagraphFont"/>
    <w:link w:val="BodyTextIndent"/>
    <w:rsid w:val="00DA72E2"/>
    <w:rPr>
      <w:rFonts w:ascii="Times New Roman" w:eastAsia="MS Mincho" w:hAnsi="Times New Roman" w:cs="Times New Roman"/>
      <w:sz w:val="24"/>
      <w:szCs w:val="24"/>
      <w:lang w:val="en-US"/>
    </w:rPr>
  </w:style>
  <w:style w:type="paragraph" w:styleId="BodyText2">
    <w:name w:val="Body Text 2"/>
    <w:basedOn w:val="Normal"/>
    <w:link w:val="BodyText2Char"/>
    <w:uiPriority w:val="99"/>
    <w:semiHidden/>
    <w:unhideWhenUsed/>
    <w:rsid w:val="00815E2D"/>
    <w:pPr>
      <w:spacing w:after="120" w:line="480" w:lineRule="auto"/>
    </w:pPr>
  </w:style>
  <w:style w:type="character" w:customStyle="1" w:styleId="BodyText2Char">
    <w:name w:val="Body Text 2 Char"/>
    <w:basedOn w:val="DefaultParagraphFont"/>
    <w:link w:val="BodyText2"/>
    <w:uiPriority w:val="99"/>
    <w:semiHidden/>
    <w:rsid w:val="00815E2D"/>
    <w:rPr>
      <w:lang w:val="en-US"/>
    </w:rPr>
  </w:style>
  <w:style w:type="paragraph" w:styleId="BodyText">
    <w:name w:val="Body Text"/>
    <w:basedOn w:val="Normal"/>
    <w:link w:val="BodyTextChar"/>
    <w:uiPriority w:val="99"/>
    <w:semiHidden/>
    <w:unhideWhenUsed/>
    <w:rsid w:val="00DA388A"/>
    <w:pPr>
      <w:spacing w:after="120"/>
    </w:pPr>
  </w:style>
  <w:style w:type="character" w:customStyle="1" w:styleId="BodyTextChar">
    <w:name w:val="Body Text Char"/>
    <w:basedOn w:val="DefaultParagraphFont"/>
    <w:link w:val="BodyText"/>
    <w:uiPriority w:val="99"/>
    <w:semiHidden/>
    <w:rsid w:val="00DA388A"/>
    <w:rPr>
      <w:lang w:val="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AE1D3B"/>
    <w:pPr>
      <w:spacing w:after="0" w:line="240" w:lineRule="auto"/>
      <w:jc w:val="both"/>
    </w:pPr>
    <w:rPr>
      <w:rFonts w:cs="Times New Roman"/>
      <w:vertAlign w:val="superscript"/>
      <w:lang w:val="es-CR"/>
    </w:rPr>
  </w:style>
  <w:style w:type="paragraph" w:styleId="Revision">
    <w:name w:val="Revision"/>
    <w:hidden/>
    <w:uiPriority w:val="99"/>
    <w:semiHidden/>
    <w:rsid w:val="00744FE4"/>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9C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C"/>
    <w:basedOn w:val="Normal"/>
    <w:link w:val="FootnoteTextChar"/>
    <w:qFormat/>
    <w:rsid w:val="005456A5"/>
    <w:pPr>
      <w:spacing w:after="0" w:line="240" w:lineRule="auto"/>
    </w:pPr>
    <w:rPr>
      <w:rFonts w:ascii="Times New Roman" w:eastAsia="MS Mincho" w:hAnsi="Times New Roman"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5456A5"/>
    <w:rPr>
      <w:rFonts w:ascii="Times New Roman" w:eastAsia="MS Mincho" w:hAnsi="Times New Roman" w:cs="Times New Roman"/>
      <w:sz w:val="20"/>
      <w:szCs w:val="20"/>
      <w:lang w:val="en-US"/>
    </w:rPr>
  </w:style>
  <w:style w:type="character" w:styleId="FootnoteReference">
    <w:name w:val="footnote reference"/>
    <w:aliases w:val="Footnotes refss,Texto de nota al pie,Appel note de bas de page,Footnote number,referencia nota al pie,BVI fnr,f,Footnote symbol,Footnote,Ref. de nota al pie.,4_G,16 Point,Superscript 6 Point,Texto nota al pie,Ref,de nota al pie,norma"/>
    <w:link w:val="4GChar"/>
    <w:qFormat/>
    <w:rsid w:val="005456A5"/>
    <w:rPr>
      <w:rFonts w:cs="Times New Roman"/>
      <w:vertAlign w:val="superscript"/>
    </w:rPr>
  </w:style>
  <w:style w:type="paragraph" w:styleId="ListParagraph">
    <w:name w:val="List Paragraph"/>
    <w:aliases w:val="Colorful List - Accent 11,List Paragraph2,List Paragraph1,Lista vistosa - Énfasis 11"/>
    <w:basedOn w:val="Normal"/>
    <w:link w:val="ListParagraphChar"/>
    <w:qFormat/>
    <w:rsid w:val="005456A5"/>
    <w:pPr>
      <w:spacing w:after="0" w:line="240" w:lineRule="auto"/>
      <w:ind w:left="720"/>
      <w:contextualSpacing/>
    </w:pPr>
    <w:rPr>
      <w:rFonts w:ascii="Garamond" w:eastAsia="Times" w:hAnsi="Garamond" w:cs="Times New Roman"/>
      <w:sz w:val="24"/>
      <w:szCs w:val="20"/>
      <w:lang w:val="es-ES_tradnl"/>
    </w:rPr>
  </w:style>
  <w:style w:type="character" w:customStyle="1" w:styleId="ListParagraphChar">
    <w:name w:val="List Paragraph Char"/>
    <w:aliases w:val="Colorful List - Accent 11 Char,List Paragraph2 Char,List Paragraph1 Char,Lista vistosa - Énfasis 11 Char"/>
    <w:link w:val="ListParagraph"/>
    <w:locked/>
    <w:rsid w:val="005456A5"/>
    <w:rPr>
      <w:rFonts w:ascii="Garamond" w:eastAsia="Times" w:hAnsi="Garamond" w:cs="Times New Roman"/>
      <w:sz w:val="24"/>
      <w:szCs w:val="20"/>
      <w:lang w:val="es-ES_tradnl"/>
    </w:rPr>
  </w:style>
  <w:style w:type="paragraph" w:customStyle="1" w:styleId="Prrafodelista1">
    <w:name w:val="Párrafo de lista1"/>
    <w:basedOn w:val="Normal"/>
    <w:qFormat/>
    <w:rsid w:val="005456A5"/>
    <w:pPr>
      <w:spacing w:after="0" w:line="240" w:lineRule="auto"/>
      <w:contextualSpacing/>
    </w:pPr>
    <w:rPr>
      <w:rFonts w:ascii="Verdana" w:eastAsia="Batang" w:hAnsi="Verdana" w:cs="Times New Roman"/>
      <w:sz w:val="16"/>
      <w:lang w:val="es-ES"/>
    </w:rPr>
  </w:style>
  <w:style w:type="character" w:styleId="Strong">
    <w:name w:val="Strong"/>
    <w:basedOn w:val="DefaultParagraphFont"/>
    <w:uiPriority w:val="22"/>
    <w:qFormat/>
    <w:rsid w:val="00E85E72"/>
    <w:rPr>
      <w:b/>
      <w:bCs/>
    </w:rPr>
  </w:style>
  <w:style w:type="character" w:styleId="LineNumber">
    <w:name w:val="line number"/>
    <w:basedOn w:val="DefaultParagraphFont"/>
    <w:uiPriority w:val="99"/>
    <w:semiHidden/>
    <w:unhideWhenUsed/>
    <w:rsid w:val="00687184"/>
  </w:style>
  <w:style w:type="paragraph" w:styleId="Header">
    <w:name w:val="header"/>
    <w:basedOn w:val="Normal"/>
    <w:link w:val="HeaderChar"/>
    <w:uiPriority w:val="99"/>
    <w:unhideWhenUsed/>
    <w:rsid w:val="00687184"/>
    <w:pPr>
      <w:tabs>
        <w:tab w:val="center" w:pos="4252"/>
        <w:tab w:val="right" w:pos="8504"/>
      </w:tabs>
      <w:spacing w:after="0" w:line="240" w:lineRule="auto"/>
    </w:pPr>
  </w:style>
  <w:style w:type="character" w:customStyle="1" w:styleId="HeaderChar">
    <w:name w:val="Header Char"/>
    <w:basedOn w:val="DefaultParagraphFont"/>
    <w:link w:val="Header"/>
    <w:uiPriority w:val="99"/>
    <w:rsid w:val="00687184"/>
    <w:rPr>
      <w:lang w:val="en-US"/>
    </w:rPr>
  </w:style>
  <w:style w:type="paragraph" w:styleId="Footer">
    <w:name w:val="footer"/>
    <w:basedOn w:val="Normal"/>
    <w:link w:val="FooterChar"/>
    <w:uiPriority w:val="99"/>
    <w:unhideWhenUsed/>
    <w:rsid w:val="00687184"/>
    <w:pPr>
      <w:tabs>
        <w:tab w:val="center" w:pos="4252"/>
        <w:tab w:val="right" w:pos="8504"/>
      </w:tabs>
      <w:spacing w:after="0" w:line="240" w:lineRule="auto"/>
    </w:pPr>
  </w:style>
  <w:style w:type="character" w:customStyle="1" w:styleId="FooterChar">
    <w:name w:val="Footer Char"/>
    <w:basedOn w:val="DefaultParagraphFont"/>
    <w:link w:val="Footer"/>
    <w:uiPriority w:val="99"/>
    <w:rsid w:val="00687184"/>
    <w:rPr>
      <w:lang w:val="en-US"/>
    </w:rPr>
  </w:style>
  <w:style w:type="paragraph" w:customStyle="1" w:styleId="Default">
    <w:name w:val="Default"/>
    <w:rsid w:val="002F6959"/>
    <w:pPr>
      <w:autoSpaceDE w:val="0"/>
      <w:autoSpaceDN w:val="0"/>
      <w:adjustRightInd w:val="0"/>
      <w:spacing w:after="0" w:line="240" w:lineRule="auto"/>
    </w:pPr>
    <w:rPr>
      <w:rFonts w:ascii="Times New Roman" w:hAnsi="Times New Roman" w:cs="Times New Roman"/>
      <w:color w:val="000000"/>
      <w:sz w:val="24"/>
      <w:szCs w:val="24"/>
      <w:lang w:val="es-ES"/>
    </w:rPr>
  </w:style>
  <w:style w:type="character" w:styleId="CommentReference">
    <w:name w:val="annotation reference"/>
    <w:basedOn w:val="DefaultParagraphFont"/>
    <w:uiPriority w:val="99"/>
    <w:semiHidden/>
    <w:unhideWhenUsed/>
    <w:rsid w:val="00176E31"/>
    <w:rPr>
      <w:sz w:val="18"/>
      <w:szCs w:val="18"/>
    </w:rPr>
  </w:style>
  <w:style w:type="paragraph" w:styleId="CommentText">
    <w:name w:val="annotation text"/>
    <w:basedOn w:val="Normal"/>
    <w:link w:val="CommentTextChar"/>
    <w:uiPriority w:val="99"/>
    <w:semiHidden/>
    <w:unhideWhenUsed/>
    <w:rsid w:val="00176E31"/>
    <w:pPr>
      <w:spacing w:line="240" w:lineRule="auto"/>
    </w:pPr>
    <w:rPr>
      <w:sz w:val="24"/>
      <w:szCs w:val="24"/>
    </w:rPr>
  </w:style>
  <w:style w:type="character" w:customStyle="1" w:styleId="CommentTextChar">
    <w:name w:val="Comment Text Char"/>
    <w:basedOn w:val="DefaultParagraphFont"/>
    <w:link w:val="CommentText"/>
    <w:uiPriority w:val="99"/>
    <w:semiHidden/>
    <w:rsid w:val="00176E31"/>
    <w:rPr>
      <w:sz w:val="24"/>
      <w:szCs w:val="24"/>
      <w:lang w:val="en-US"/>
    </w:rPr>
  </w:style>
  <w:style w:type="paragraph" w:styleId="CommentSubject">
    <w:name w:val="annotation subject"/>
    <w:basedOn w:val="CommentText"/>
    <w:next w:val="CommentText"/>
    <w:link w:val="CommentSubjectChar"/>
    <w:uiPriority w:val="99"/>
    <w:semiHidden/>
    <w:unhideWhenUsed/>
    <w:rsid w:val="00176E31"/>
    <w:rPr>
      <w:b/>
      <w:bCs/>
      <w:sz w:val="20"/>
      <w:szCs w:val="20"/>
    </w:rPr>
  </w:style>
  <w:style w:type="character" w:customStyle="1" w:styleId="CommentSubjectChar">
    <w:name w:val="Comment Subject Char"/>
    <w:basedOn w:val="CommentTextChar"/>
    <w:link w:val="CommentSubject"/>
    <w:uiPriority w:val="99"/>
    <w:semiHidden/>
    <w:rsid w:val="00176E31"/>
    <w:rPr>
      <w:b/>
      <w:bCs/>
      <w:sz w:val="20"/>
      <w:szCs w:val="20"/>
      <w:lang w:val="en-US"/>
    </w:rPr>
  </w:style>
  <w:style w:type="paragraph" w:styleId="BalloonText">
    <w:name w:val="Balloon Text"/>
    <w:basedOn w:val="Normal"/>
    <w:link w:val="BalloonTextChar"/>
    <w:uiPriority w:val="99"/>
    <w:semiHidden/>
    <w:unhideWhenUsed/>
    <w:rsid w:val="00176E3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6E31"/>
    <w:rPr>
      <w:rFonts w:ascii="Lucida Grande" w:hAnsi="Lucida Grande" w:cs="Lucida Grande"/>
      <w:sz w:val="18"/>
      <w:szCs w:val="18"/>
      <w:lang w:val="en-US"/>
    </w:rPr>
  </w:style>
  <w:style w:type="paragraph" w:styleId="BodyTextIndent">
    <w:name w:val="Body Text Indent"/>
    <w:basedOn w:val="Normal"/>
    <w:link w:val="BodyTextIndentChar"/>
    <w:rsid w:val="00DA72E2"/>
    <w:pPr>
      <w:spacing w:after="120" w:line="240" w:lineRule="auto"/>
      <w:ind w:left="360"/>
    </w:pPr>
    <w:rPr>
      <w:rFonts w:ascii="Times New Roman" w:eastAsia="MS Mincho" w:hAnsi="Times New Roman" w:cs="Times New Roman"/>
      <w:sz w:val="24"/>
      <w:szCs w:val="24"/>
    </w:rPr>
  </w:style>
  <w:style w:type="character" w:customStyle="1" w:styleId="BodyTextIndentChar">
    <w:name w:val="Body Text Indent Char"/>
    <w:basedOn w:val="DefaultParagraphFont"/>
    <w:link w:val="BodyTextIndent"/>
    <w:rsid w:val="00DA72E2"/>
    <w:rPr>
      <w:rFonts w:ascii="Times New Roman" w:eastAsia="MS Mincho" w:hAnsi="Times New Roman" w:cs="Times New Roman"/>
      <w:sz w:val="24"/>
      <w:szCs w:val="24"/>
      <w:lang w:val="en-US"/>
    </w:rPr>
  </w:style>
  <w:style w:type="paragraph" w:styleId="BodyText2">
    <w:name w:val="Body Text 2"/>
    <w:basedOn w:val="Normal"/>
    <w:link w:val="BodyText2Char"/>
    <w:uiPriority w:val="99"/>
    <w:semiHidden/>
    <w:unhideWhenUsed/>
    <w:rsid w:val="00815E2D"/>
    <w:pPr>
      <w:spacing w:after="120" w:line="480" w:lineRule="auto"/>
    </w:pPr>
  </w:style>
  <w:style w:type="character" w:customStyle="1" w:styleId="BodyText2Char">
    <w:name w:val="Body Text 2 Char"/>
    <w:basedOn w:val="DefaultParagraphFont"/>
    <w:link w:val="BodyText2"/>
    <w:uiPriority w:val="99"/>
    <w:semiHidden/>
    <w:rsid w:val="00815E2D"/>
    <w:rPr>
      <w:lang w:val="en-US"/>
    </w:rPr>
  </w:style>
  <w:style w:type="paragraph" w:styleId="BodyText">
    <w:name w:val="Body Text"/>
    <w:basedOn w:val="Normal"/>
    <w:link w:val="BodyTextChar"/>
    <w:uiPriority w:val="99"/>
    <w:semiHidden/>
    <w:unhideWhenUsed/>
    <w:rsid w:val="00DA388A"/>
    <w:pPr>
      <w:spacing w:after="120"/>
    </w:pPr>
  </w:style>
  <w:style w:type="character" w:customStyle="1" w:styleId="BodyTextChar">
    <w:name w:val="Body Text Char"/>
    <w:basedOn w:val="DefaultParagraphFont"/>
    <w:link w:val="BodyText"/>
    <w:uiPriority w:val="99"/>
    <w:semiHidden/>
    <w:rsid w:val="00DA388A"/>
    <w:rPr>
      <w:lang w:val="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AE1D3B"/>
    <w:pPr>
      <w:spacing w:after="0" w:line="240" w:lineRule="auto"/>
      <w:jc w:val="both"/>
    </w:pPr>
    <w:rPr>
      <w:rFonts w:cs="Times New Roman"/>
      <w:vertAlign w:val="superscript"/>
      <w:lang w:val="es-CR"/>
    </w:rPr>
  </w:style>
  <w:style w:type="paragraph" w:styleId="Revision">
    <w:name w:val="Revision"/>
    <w:hidden/>
    <w:uiPriority w:val="99"/>
    <w:semiHidden/>
    <w:rsid w:val="00744FE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078654">
      <w:bodyDiv w:val="1"/>
      <w:marLeft w:val="0"/>
      <w:marRight w:val="0"/>
      <w:marTop w:val="0"/>
      <w:marBottom w:val="0"/>
      <w:divBdr>
        <w:top w:val="none" w:sz="0" w:space="0" w:color="auto"/>
        <w:left w:val="none" w:sz="0" w:space="0" w:color="auto"/>
        <w:bottom w:val="none" w:sz="0" w:space="0" w:color="auto"/>
        <w:right w:val="none" w:sz="0" w:space="0" w:color="auto"/>
      </w:divBdr>
    </w:div>
    <w:div w:id="427391190">
      <w:bodyDiv w:val="1"/>
      <w:marLeft w:val="0"/>
      <w:marRight w:val="0"/>
      <w:marTop w:val="0"/>
      <w:marBottom w:val="0"/>
      <w:divBdr>
        <w:top w:val="none" w:sz="0" w:space="0" w:color="auto"/>
        <w:left w:val="none" w:sz="0" w:space="0" w:color="auto"/>
        <w:bottom w:val="none" w:sz="0" w:space="0" w:color="auto"/>
        <w:right w:val="none" w:sz="0" w:space="0" w:color="auto"/>
      </w:divBdr>
    </w:div>
    <w:div w:id="489759198">
      <w:bodyDiv w:val="1"/>
      <w:marLeft w:val="0"/>
      <w:marRight w:val="0"/>
      <w:marTop w:val="0"/>
      <w:marBottom w:val="0"/>
      <w:divBdr>
        <w:top w:val="none" w:sz="0" w:space="0" w:color="auto"/>
        <w:left w:val="none" w:sz="0" w:space="0" w:color="auto"/>
        <w:bottom w:val="none" w:sz="0" w:space="0" w:color="auto"/>
        <w:right w:val="none" w:sz="0" w:space="0" w:color="auto"/>
      </w:divBdr>
    </w:div>
    <w:div w:id="793868024">
      <w:bodyDiv w:val="1"/>
      <w:marLeft w:val="0"/>
      <w:marRight w:val="0"/>
      <w:marTop w:val="0"/>
      <w:marBottom w:val="0"/>
      <w:divBdr>
        <w:top w:val="none" w:sz="0" w:space="0" w:color="auto"/>
        <w:left w:val="none" w:sz="0" w:space="0" w:color="auto"/>
        <w:bottom w:val="none" w:sz="0" w:space="0" w:color="auto"/>
        <w:right w:val="none" w:sz="0" w:space="0" w:color="auto"/>
      </w:divBdr>
    </w:div>
    <w:div w:id="956907728">
      <w:bodyDiv w:val="1"/>
      <w:marLeft w:val="0"/>
      <w:marRight w:val="0"/>
      <w:marTop w:val="0"/>
      <w:marBottom w:val="0"/>
      <w:divBdr>
        <w:top w:val="none" w:sz="0" w:space="0" w:color="auto"/>
        <w:left w:val="none" w:sz="0" w:space="0" w:color="auto"/>
        <w:bottom w:val="none" w:sz="0" w:space="0" w:color="auto"/>
        <w:right w:val="none" w:sz="0" w:space="0" w:color="auto"/>
      </w:divBdr>
    </w:div>
    <w:div w:id="1005859212">
      <w:bodyDiv w:val="1"/>
      <w:marLeft w:val="0"/>
      <w:marRight w:val="0"/>
      <w:marTop w:val="0"/>
      <w:marBottom w:val="0"/>
      <w:divBdr>
        <w:top w:val="none" w:sz="0" w:space="0" w:color="auto"/>
        <w:left w:val="none" w:sz="0" w:space="0" w:color="auto"/>
        <w:bottom w:val="none" w:sz="0" w:space="0" w:color="auto"/>
        <w:right w:val="none" w:sz="0" w:space="0" w:color="auto"/>
      </w:divBdr>
    </w:div>
    <w:div w:id="1696924553">
      <w:bodyDiv w:val="1"/>
      <w:marLeft w:val="0"/>
      <w:marRight w:val="0"/>
      <w:marTop w:val="0"/>
      <w:marBottom w:val="0"/>
      <w:divBdr>
        <w:top w:val="none" w:sz="0" w:space="0" w:color="auto"/>
        <w:left w:val="none" w:sz="0" w:space="0" w:color="auto"/>
        <w:bottom w:val="none" w:sz="0" w:space="0" w:color="auto"/>
        <w:right w:val="none" w:sz="0" w:space="0" w:color="auto"/>
      </w:divBdr>
    </w:div>
    <w:div w:id="1759325240">
      <w:bodyDiv w:val="1"/>
      <w:marLeft w:val="0"/>
      <w:marRight w:val="0"/>
      <w:marTop w:val="0"/>
      <w:marBottom w:val="0"/>
      <w:divBdr>
        <w:top w:val="none" w:sz="0" w:space="0" w:color="auto"/>
        <w:left w:val="none" w:sz="0" w:space="0" w:color="auto"/>
        <w:bottom w:val="none" w:sz="0" w:space="0" w:color="auto"/>
        <w:right w:val="none" w:sz="0" w:space="0" w:color="auto"/>
      </w:divBdr>
    </w:div>
    <w:div w:id="200863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9302C-9157-45B5-AD5A-4470C7EE9546}">
  <ds:schemaRefs>
    <ds:schemaRef ds:uri="http://schemas.openxmlformats.org/officeDocument/2006/bibliography"/>
  </ds:schemaRefs>
</ds:datastoreItem>
</file>

<file path=customXml/itemProps2.xml><?xml version="1.0" encoding="utf-8"?>
<ds:datastoreItem xmlns:ds="http://schemas.openxmlformats.org/officeDocument/2006/customXml" ds:itemID="{85FC587A-043B-4A3D-A125-B6CD79245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5993</Words>
  <Characters>32965</Characters>
  <Application>Microsoft Office Word</Application>
  <DocSecurity>4</DocSecurity>
  <Lines>274</Lines>
  <Paragraphs>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Corteidh</dc:creator>
  <cp:lastModifiedBy>Julliana Saborio</cp:lastModifiedBy>
  <cp:revision>2</cp:revision>
  <cp:lastPrinted>2017-06-08T22:07:00Z</cp:lastPrinted>
  <dcterms:created xsi:type="dcterms:W3CDTF">2017-06-08T22:10:00Z</dcterms:created>
  <dcterms:modified xsi:type="dcterms:W3CDTF">2017-06-08T22:10:00Z</dcterms:modified>
</cp:coreProperties>
</file>