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E66" w:rsidRPr="0087241B" w:rsidRDefault="00083E66" w:rsidP="00083E66">
      <w:pPr>
        <w:tabs>
          <w:tab w:val="left" w:pos="720"/>
        </w:tabs>
        <w:jc w:val="center"/>
        <w:rPr>
          <w:rFonts w:ascii="Verdana" w:hAnsi="Verdana"/>
          <w:b/>
          <w:sz w:val="20"/>
          <w:szCs w:val="20"/>
          <w:lang w:val="es-ES"/>
        </w:rPr>
      </w:pPr>
      <w:r>
        <w:rPr>
          <w:rFonts w:ascii="Verdana" w:hAnsi="Verdana"/>
          <w:b/>
          <w:sz w:val="20"/>
          <w:szCs w:val="20"/>
          <w:lang w:val="es-ES"/>
        </w:rPr>
        <w:tab/>
      </w:r>
      <w:r>
        <w:rPr>
          <w:rFonts w:ascii="Verdana" w:hAnsi="Verdana"/>
          <w:b/>
          <w:sz w:val="20"/>
          <w:szCs w:val="20"/>
          <w:lang w:val="es-ES"/>
        </w:rPr>
        <w:tab/>
      </w:r>
      <w:r>
        <w:rPr>
          <w:rFonts w:ascii="Verdana" w:hAnsi="Verdana"/>
          <w:b/>
          <w:sz w:val="20"/>
          <w:szCs w:val="20"/>
          <w:lang w:val="es-ES"/>
        </w:rPr>
        <w:tab/>
      </w:r>
      <w:r>
        <w:rPr>
          <w:rFonts w:ascii="Verdana" w:hAnsi="Verdana"/>
          <w:b/>
          <w:sz w:val="20"/>
          <w:szCs w:val="20"/>
          <w:lang w:val="es-ES"/>
        </w:rPr>
        <w:tab/>
      </w:r>
      <w:r>
        <w:rPr>
          <w:rFonts w:ascii="Verdana" w:hAnsi="Verdana"/>
          <w:b/>
          <w:sz w:val="20"/>
          <w:szCs w:val="20"/>
          <w:lang w:val="es-ES"/>
        </w:rPr>
        <w:tab/>
      </w:r>
      <w:r>
        <w:rPr>
          <w:rFonts w:ascii="Verdana" w:hAnsi="Verdana"/>
          <w:b/>
          <w:sz w:val="20"/>
          <w:szCs w:val="20"/>
          <w:lang w:val="es-ES"/>
        </w:rPr>
        <w:tab/>
      </w:r>
      <w:r>
        <w:rPr>
          <w:rFonts w:ascii="Verdana" w:hAnsi="Verdana"/>
          <w:b/>
          <w:sz w:val="20"/>
          <w:szCs w:val="20"/>
          <w:lang w:val="es-ES"/>
        </w:rPr>
        <w:tab/>
      </w:r>
      <w:r>
        <w:rPr>
          <w:rFonts w:ascii="Verdana" w:hAnsi="Verdana"/>
          <w:b/>
          <w:sz w:val="20"/>
          <w:szCs w:val="20"/>
          <w:lang w:val="es-ES"/>
        </w:rPr>
        <w:tab/>
      </w:r>
      <w:r>
        <w:rPr>
          <w:rFonts w:ascii="Verdana" w:hAnsi="Verdana"/>
          <w:b/>
          <w:sz w:val="20"/>
          <w:szCs w:val="20"/>
          <w:lang w:val="es-ES"/>
        </w:rPr>
        <w:tab/>
      </w:r>
    </w:p>
    <w:p w:rsidR="00AA49CF" w:rsidRDefault="00AA49CF" w:rsidP="00083E66">
      <w:pPr>
        <w:tabs>
          <w:tab w:val="left" w:pos="720"/>
        </w:tabs>
        <w:jc w:val="center"/>
        <w:rPr>
          <w:rFonts w:ascii="Verdana" w:hAnsi="Verdana"/>
          <w:b/>
          <w:sz w:val="20"/>
          <w:szCs w:val="20"/>
          <w:lang w:val="es-ES"/>
        </w:rPr>
      </w:pPr>
    </w:p>
    <w:p w:rsidR="00AA49CF" w:rsidRDefault="00AA49CF" w:rsidP="00083E66">
      <w:pPr>
        <w:tabs>
          <w:tab w:val="left" w:pos="720"/>
        </w:tabs>
        <w:jc w:val="center"/>
        <w:rPr>
          <w:rFonts w:ascii="Verdana" w:hAnsi="Verdana"/>
          <w:b/>
          <w:sz w:val="20"/>
          <w:szCs w:val="20"/>
          <w:lang w:val="es-ES"/>
        </w:rPr>
      </w:pPr>
    </w:p>
    <w:p w:rsidR="00AA49CF" w:rsidRDefault="00AA49CF" w:rsidP="00083E66">
      <w:pPr>
        <w:tabs>
          <w:tab w:val="left" w:pos="720"/>
        </w:tabs>
        <w:jc w:val="center"/>
        <w:rPr>
          <w:rFonts w:ascii="Verdana" w:hAnsi="Verdana"/>
          <w:b/>
          <w:sz w:val="20"/>
          <w:szCs w:val="20"/>
          <w:lang w:val="es-ES"/>
        </w:rPr>
      </w:pPr>
    </w:p>
    <w:p w:rsidR="00AA49CF" w:rsidRDefault="00AA49CF" w:rsidP="00083E66">
      <w:pPr>
        <w:tabs>
          <w:tab w:val="left" w:pos="720"/>
        </w:tabs>
        <w:jc w:val="center"/>
        <w:rPr>
          <w:rFonts w:ascii="Verdana" w:hAnsi="Verdana"/>
          <w:b/>
          <w:sz w:val="20"/>
          <w:szCs w:val="20"/>
          <w:lang w:val="es-ES"/>
        </w:rPr>
      </w:pPr>
    </w:p>
    <w:p w:rsidR="008346F5" w:rsidRPr="0087241B" w:rsidRDefault="008346F5" w:rsidP="00083E66">
      <w:pPr>
        <w:tabs>
          <w:tab w:val="left" w:pos="720"/>
        </w:tabs>
        <w:jc w:val="center"/>
        <w:rPr>
          <w:rFonts w:ascii="Verdana" w:hAnsi="Verdana"/>
          <w:b/>
          <w:sz w:val="20"/>
          <w:szCs w:val="20"/>
          <w:lang w:val="es-ES"/>
        </w:rPr>
      </w:pPr>
    </w:p>
    <w:p w:rsidR="00D01164" w:rsidRDefault="00083E66" w:rsidP="00083E66">
      <w:pPr>
        <w:tabs>
          <w:tab w:val="left" w:pos="720"/>
        </w:tabs>
        <w:jc w:val="center"/>
        <w:rPr>
          <w:rFonts w:ascii="Verdana" w:hAnsi="Verdana"/>
          <w:b/>
          <w:sz w:val="20"/>
          <w:szCs w:val="20"/>
          <w:lang w:val="es-ES"/>
        </w:rPr>
      </w:pPr>
      <w:r>
        <w:rPr>
          <w:rFonts w:ascii="Verdana" w:hAnsi="Verdana"/>
          <w:b/>
          <w:sz w:val="20"/>
          <w:szCs w:val="20"/>
          <w:lang w:val="es-ES"/>
        </w:rPr>
        <w:t xml:space="preserve">RESOLUCIÓN DE LA </w:t>
      </w:r>
      <w:r w:rsidRPr="0087241B">
        <w:rPr>
          <w:rFonts w:ascii="Verdana" w:hAnsi="Verdana"/>
          <w:b/>
          <w:sz w:val="20"/>
          <w:szCs w:val="20"/>
          <w:lang w:val="es-ES"/>
        </w:rPr>
        <w:t>CORTE INTERAMERICANA DE DERECHOS HUMANOS</w:t>
      </w:r>
      <w:r w:rsidR="00DF67EA" w:rsidRPr="00DF67EA">
        <w:rPr>
          <w:rStyle w:val="FootnoteReference"/>
          <w:b/>
          <w:szCs w:val="20"/>
          <w:lang w:val="es-ES"/>
        </w:rPr>
        <w:footnoteReference w:customMarkFollows="1" w:id="1"/>
        <w:sym w:font="Symbol" w:char="F02A"/>
      </w:r>
    </w:p>
    <w:p w:rsidR="00083E66" w:rsidRPr="0087241B" w:rsidRDefault="00586DBC" w:rsidP="00083E66">
      <w:pPr>
        <w:tabs>
          <w:tab w:val="left" w:pos="720"/>
        </w:tabs>
        <w:jc w:val="center"/>
        <w:rPr>
          <w:rFonts w:ascii="Verdana" w:hAnsi="Verdana"/>
          <w:b/>
          <w:sz w:val="20"/>
          <w:szCs w:val="20"/>
          <w:lang w:val="es-ES"/>
        </w:rPr>
      </w:pPr>
      <w:r>
        <w:rPr>
          <w:rFonts w:ascii="Verdana" w:hAnsi="Verdana"/>
          <w:b/>
          <w:sz w:val="20"/>
          <w:szCs w:val="20"/>
          <w:lang w:val="es-ES"/>
        </w:rPr>
        <w:t xml:space="preserve"> DE 14</w:t>
      </w:r>
      <w:r w:rsidR="0075654E">
        <w:rPr>
          <w:rFonts w:ascii="Verdana" w:hAnsi="Verdana"/>
          <w:b/>
          <w:sz w:val="20"/>
          <w:szCs w:val="20"/>
          <w:lang w:val="es-ES"/>
        </w:rPr>
        <w:t xml:space="preserve"> DE OCTU</w:t>
      </w:r>
      <w:r w:rsidR="00083E66">
        <w:rPr>
          <w:rFonts w:ascii="Verdana" w:hAnsi="Verdana"/>
          <w:b/>
          <w:sz w:val="20"/>
          <w:szCs w:val="20"/>
          <w:lang w:val="es-ES"/>
        </w:rPr>
        <w:t>BRE DE 2014</w:t>
      </w:r>
    </w:p>
    <w:p w:rsidR="00083E66" w:rsidRPr="0087241B" w:rsidRDefault="00083E66" w:rsidP="00083E66">
      <w:pPr>
        <w:tabs>
          <w:tab w:val="left" w:pos="720"/>
        </w:tabs>
        <w:spacing w:before="120"/>
        <w:jc w:val="center"/>
        <w:rPr>
          <w:rFonts w:ascii="Verdana" w:hAnsi="Verdana"/>
          <w:b/>
          <w:sz w:val="20"/>
          <w:szCs w:val="20"/>
          <w:lang w:val="es-ES"/>
        </w:rPr>
      </w:pPr>
    </w:p>
    <w:p w:rsidR="0075654E" w:rsidRDefault="00083E66" w:rsidP="00083E66">
      <w:pPr>
        <w:tabs>
          <w:tab w:val="left" w:pos="720"/>
        </w:tabs>
        <w:spacing w:before="120"/>
        <w:jc w:val="center"/>
        <w:rPr>
          <w:rFonts w:ascii="Verdana" w:hAnsi="Verdana"/>
          <w:b/>
          <w:sz w:val="20"/>
          <w:szCs w:val="20"/>
          <w:lang w:val="es-ES"/>
        </w:rPr>
      </w:pPr>
      <w:r w:rsidRPr="0087241B">
        <w:rPr>
          <w:rFonts w:ascii="Verdana" w:hAnsi="Verdana"/>
          <w:b/>
          <w:sz w:val="20"/>
          <w:szCs w:val="20"/>
          <w:lang w:val="es-ES"/>
        </w:rPr>
        <w:t>MEDIDAS PROVISIONALES RESPECTO</w:t>
      </w:r>
    </w:p>
    <w:p w:rsidR="00083E66" w:rsidRDefault="00083E66" w:rsidP="00083E66">
      <w:pPr>
        <w:tabs>
          <w:tab w:val="left" w:pos="720"/>
        </w:tabs>
        <w:spacing w:before="120"/>
        <w:jc w:val="center"/>
        <w:rPr>
          <w:rFonts w:ascii="Verdana" w:hAnsi="Verdana"/>
          <w:b/>
          <w:sz w:val="20"/>
          <w:szCs w:val="20"/>
          <w:lang w:val="es-ES"/>
        </w:rPr>
      </w:pPr>
      <w:r w:rsidRPr="0087241B">
        <w:rPr>
          <w:rFonts w:ascii="Verdana" w:hAnsi="Verdana"/>
          <w:b/>
          <w:sz w:val="20"/>
          <w:szCs w:val="20"/>
          <w:lang w:val="es-ES"/>
        </w:rPr>
        <w:t xml:space="preserve">DE </w:t>
      </w:r>
      <w:r>
        <w:rPr>
          <w:rFonts w:ascii="Verdana" w:hAnsi="Verdana"/>
          <w:b/>
          <w:sz w:val="20"/>
          <w:szCs w:val="20"/>
          <w:lang w:val="es-ES"/>
        </w:rPr>
        <w:t>EL SALVADOR</w:t>
      </w:r>
    </w:p>
    <w:p w:rsidR="00DA1E39" w:rsidRPr="0087241B" w:rsidRDefault="00DA1E39" w:rsidP="00083E66">
      <w:pPr>
        <w:tabs>
          <w:tab w:val="left" w:pos="720"/>
        </w:tabs>
        <w:spacing w:before="120"/>
        <w:jc w:val="center"/>
        <w:rPr>
          <w:rFonts w:ascii="Verdana" w:hAnsi="Verdana"/>
          <w:b/>
          <w:sz w:val="20"/>
          <w:szCs w:val="20"/>
          <w:lang w:val="es-ES"/>
        </w:rPr>
      </w:pPr>
    </w:p>
    <w:p w:rsidR="00083E66" w:rsidRPr="0087241B" w:rsidRDefault="00083E66" w:rsidP="008346F5">
      <w:pPr>
        <w:tabs>
          <w:tab w:val="left" w:pos="720"/>
        </w:tabs>
        <w:spacing w:before="120"/>
        <w:jc w:val="center"/>
        <w:rPr>
          <w:rFonts w:ascii="Verdana" w:hAnsi="Verdana"/>
          <w:b/>
          <w:caps/>
          <w:sz w:val="20"/>
        </w:rPr>
      </w:pPr>
      <w:r>
        <w:rPr>
          <w:rFonts w:ascii="Verdana" w:hAnsi="Verdana"/>
          <w:b/>
          <w:sz w:val="20"/>
          <w:szCs w:val="20"/>
          <w:lang w:val="es-ES"/>
        </w:rPr>
        <w:t>ASUNTO MELÉNDEZ QUIJANO Y OTROS</w:t>
      </w:r>
    </w:p>
    <w:p w:rsidR="00083E66" w:rsidRPr="006D783B" w:rsidRDefault="00083E66" w:rsidP="00083E66">
      <w:pPr>
        <w:spacing w:before="120" w:after="120"/>
        <w:ind w:right="-8"/>
        <w:jc w:val="both"/>
        <w:rPr>
          <w:rFonts w:ascii="Verdana" w:hAnsi="Verdana"/>
          <w:b/>
          <w:sz w:val="20"/>
          <w:szCs w:val="20"/>
        </w:rPr>
      </w:pPr>
      <w:r w:rsidRPr="006D783B">
        <w:rPr>
          <w:rFonts w:ascii="Verdana" w:hAnsi="Verdana"/>
          <w:b/>
          <w:sz w:val="20"/>
          <w:szCs w:val="20"/>
        </w:rPr>
        <w:t>VISTO:</w:t>
      </w:r>
      <w:r w:rsidRPr="006D783B">
        <w:rPr>
          <w:rFonts w:ascii="Verdana" w:hAnsi="Verdana"/>
          <w:b/>
          <w:sz w:val="20"/>
          <w:szCs w:val="20"/>
        </w:rPr>
        <w:br/>
      </w:r>
    </w:p>
    <w:p w:rsidR="00083E66" w:rsidRDefault="00083E66" w:rsidP="00083E66">
      <w:pPr>
        <w:numPr>
          <w:ilvl w:val="0"/>
          <w:numId w:val="2"/>
        </w:numPr>
        <w:ind w:left="0" w:right="-8" w:firstLine="0"/>
        <w:jc w:val="both"/>
        <w:rPr>
          <w:rFonts w:ascii="Verdana" w:hAnsi="Verdana"/>
          <w:sz w:val="20"/>
          <w:szCs w:val="20"/>
        </w:rPr>
      </w:pPr>
      <w:bookmarkStart w:id="0" w:name="_Ref357331584"/>
      <w:r w:rsidRPr="006D783B">
        <w:rPr>
          <w:rFonts w:ascii="Verdana" w:hAnsi="Verdana"/>
          <w:sz w:val="20"/>
          <w:szCs w:val="20"/>
        </w:rPr>
        <w:t xml:space="preserve">Las Resoluciones de la Corte Interamericana de Derechos Humanos (en adelante </w:t>
      </w:r>
      <w:r>
        <w:rPr>
          <w:rFonts w:ascii="Verdana" w:hAnsi="Verdana"/>
          <w:sz w:val="20"/>
          <w:szCs w:val="20"/>
        </w:rPr>
        <w:t xml:space="preserve">también </w:t>
      </w:r>
      <w:r w:rsidRPr="006D783B">
        <w:rPr>
          <w:rFonts w:ascii="Verdana" w:hAnsi="Verdana"/>
          <w:sz w:val="20"/>
          <w:szCs w:val="20"/>
        </w:rPr>
        <w:t>“la Corte Interamericana”, “la Corte” o “el Tribunal”) emit</w:t>
      </w:r>
      <w:r>
        <w:rPr>
          <w:rFonts w:ascii="Verdana" w:hAnsi="Verdana"/>
          <w:sz w:val="20"/>
          <w:szCs w:val="20"/>
        </w:rPr>
        <w:t>idas el 12 de mayo de 2007, 26</w:t>
      </w:r>
      <w:r w:rsidRPr="006D783B">
        <w:rPr>
          <w:rFonts w:ascii="Verdana" w:hAnsi="Verdana"/>
          <w:sz w:val="20"/>
          <w:szCs w:val="20"/>
        </w:rPr>
        <w:t xml:space="preserve"> de </w:t>
      </w:r>
      <w:r>
        <w:rPr>
          <w:rFonts w:ascii="Verdana" w:hAnsi="Verdana"/>
          <w:sz w:val="20"/>
          <w:szCs w:val="20"/>
        </w:rPr>
        <w:t>noviembre de 2007,</w:t>
      </w:r>
      <w:r w:rsidRPr="006D783B">
        <w:rPr>
          <w:rFonts w:ascii="Verdana" w:hAnsi="Verdana"/>
          <w:sz w:val="20"/>
          <w:szCs w:val="20"/>
        </w:rPr>
        <w:t xml:space="preserve"> </w:t>
      </w:r>
      <w:r>
        <w:rPr>
          <w:rFonts w:ascii="Verdana" w:hAnsi="Verdana"/>
          <w:sz w:val="20"/>
          <w:szCs w:val="20"/>
        </w:rPr>
        <w:t>2 de febrero</w:t>
      </w:r>
      <w:r w:rsidRPr="006D783B">
        <w:rPr>
          <w:rFonts w:ascii="Verdana" w:hAnsi="Verdana"/>
          <w:sz w:val="20"/>
          <w:szCs w:val="20"/>
        </w:rPr>
        <w:t xml:space="preserve"> de 20</w:t>
      </w:r>
      <w:r>
        <w:rPr>
          <w:rFonts w:ascii="Verdana" w:hAnsi="Verdana"/>
          <w:sz w:val="20"/>
          <w:szCs w:val="20"/>
        </w:rPr>
        <w:t>10 y 21 de agosto de 2013</w:t>
      </w:r>
      <w:r w:rsidRPr="006D783B">
        <w:rPr>
          <w:rFonts w:ascii="Verdana" w:hAnsi="Verdana"/>
          <w:sz w:val="20"/>
          <w:szCs w:val="20"/>
        </w:rPr>
        <w:t xml:space="preserve">. En esta última la Corte </w:t>
      </w:r>
      <w:r>
        <w:rPr>
          <w:rFonts w:ascii="Verdana" w:hAnsi="Verdana"/>
          <w:sz w:val="20"/>
          <w:szCs w:val="20"/>
        </w:rPr>
        <w:t xml:space="preserve">resolvió, </w:t>
      </w:r>
      <w:r w:rsidRPr="002F2DB3">
        <w:rPr>
          <w:rFonts w:ascii="Verdana" w:hAnsi="Verdana"/>
          <w:i/>
          <w:sz w:val="20"/>
          <w:szCs w:val="20"/>
        </w:rPr>
        <w:t>inter alia</w:t>
      </w:r>
      <w:r w:rsidRPr="006D783B">
        <w:rPr>
          <w:rFonts w:ascii="Verdana" w:hAnsi="Verdana"/>
          <w:sz w:val="20"/>
          <w:szCs w:val="20"/>
        </w:rPr>
        <w:t>:</w:t>
      </w:r>
      <w:bookmarkEnd w:id="0"/>
    </w:p>
    <w:p w:rsidR="00083E66" w:rsidRDefault="00083E66" w:rsidP="00083E66">
      <w:pPr>
        <w:ind w:right="-8"/>
        <w:jc w:val="both"/>
        <w:rPr>
          <w:rFonts w:ascii="Verdana" w:hAnsi="Verdana"/>
          <w:sz w:val="20"/>
          <w:szCs w:val="20"/>
        </w:rPr>
      </w:pPr>
    </w:p>
    <w:p w:rsidR="005F27CD" w:rsidRDefault="00083E66" w:rsidP="00D3287B">
      <w:pPr>
        <w:numPr>
          <w:ilvl w:val="0"/>
          <w:numId w:val="4"/>
        </w:numPr>
        <w:spacing w:afterLines="60"/>
        <w:ind w:left="851" w:right="704" w:firstLine="0"/>
        <w:jc w:val="both"/>
        <w:rPr>
          <w:rFonts w:ascii="Verdana" w:hAnsi="Verdana"/>
          <w:sz w:val="16"/>
          <w:szCs w:val="16"/>
        </w:rPr>
      </w:pPr>
      <w:r w:rsidRPr="00BB56A5">
        <w:rPr>
          <w:rFonts w:ascii="Verdana" w:hAnsi="Verdana"/>
          <w:sz w:val="16"/>
          <w:szCs w:val="16"/>
        </w:rPr>
        <w:t xml:space="preserve">Levantar las medidas provisionales ordenadas por la Corte Interamericana de Derechos Humanos el 12 de mayo 2007 a favor de </w:t>
      </w:r>
      <w:r w:rsidRPr="00BB56A5">
        <w:rPr>
          <w:rFonts w:ascii="Verdana" w:hAnsi="Verdana" w:cs="Helvetica"/>
          <w:sz w:val="16"/>
          <w:szCs w:val="16"/>
          <w:lang w:val="es-ES" w:bidi="en-US"/>
        </w:rPr>
        <w:t>Benjamín Cuéllar Martínez y Henr</w:t>
      </w:r>
      <w:r w:rsidR="00F44869">
        <w:rPr>
          <w:rFonts w:ascii="Verdana" w:hAnsi="Verdana" w:cs="Helvetica"/>
          <w:sz w:val="16"/>
          <w:szCs w:val="16"/>
          <w:lang w:val="es-ES" w:bidi="en-US"/>
        </w:rPr>
        <w:t>y</w:t>
      </w:r>
      <w:r w:rsidRPr="00BB56A5">
        <w:rPr>
          <w:rFonts w:ascii="Verdana" w:hAnsi="Verdana" w:cs="Helvetica"/>
          <w:sz w:val="16"/>
          <w:szCs w:val="16"/>
          <w:lang w:val="es-ES" w:bidi="en-US"/>
        </w:rPr>
        <w:t xml:space="preserve"> Pa</w:t>
      </w:r>
      <w:r w:rsidR="00F44869">
        <w:rPr>
          <w:rFonts w:ascii="Verdana" w:hAnsi="Verdana" w:cs="Helvetica"/>
          <w:sz w:val="16"/>
          <w:szCs w:val="16"/>
          <w:lang w:val="es-ES" w:bidi="en-US"/>
        </w:rPr>
        <w:t>u</w:t>
      </w:r>
      <w:r w:rsidRPr="00BB56A5">
        <w:rPr>
          <w:rFonts w:ascii="Verdana" w:hAnsi="Verdana" w:cs="Helvetica"/>
          <w:sz w:val="16"/>
          <w:szCs w:val="16"/>
          <w:lang w:val="es-ES" w:bidi="en-US"/>
        </w:rPr>
        <w:t>l Fino Solórzano</w:t>
      </w:r>
      <w:r w:rsidRPr="00BB56A5">
        <w:rPr>
          <w:rFonts w:ascii="Verdana" w:hAnsi="Verdana" w:cs="Verdana"/>
          <w:sz w:val="16"/>
          <w:szCs w:val="16"/>
          <w:lang w:val="es-ES"/>
        </w:rPr>
        <w:t>.</w:t>
      </w:r>
    </w:p>
    <w:p w:rsidR="005F27CD" w:rsidRDefault="00083E66" w:rsidP="00D3287B">
      <w:pPr>
        <w:numPr>
          <w:ilvl w:val="0"/>
          <w:numId w:val="4"/>
        </w:numPr>
        <w:spacing w:afterLines="60"/>
        <w:ind w:left="851" w:right="704" w:firstLine="0"/>
        <w:jc w:val="both"/>
        <w:rPr>
          <w:rFonts w:ascii="Verdana" w:hAnsi="Verdana"/>
          <w:sz w:val="16"/>
          <w:szCs w:val="16"/>
        </w:rPr>
      </w:pPr>
      <w:r w:rsidRPr="00BB56A5">
        <w:rPr>
          <w:rFonts w:ascii="Verdana" w:hAnsi="Verdana"/>
          <w:sz w:val="16"/>
          <w:szCs w:val="16"/>
        </w:rPr>
        <w:t>Mantener</w:t>
      </w:r>
      <w:r w:rsidRPr="00BB56A5">
        <w:rPr>
          <w:rFonts w:ascii="Verdana" w:hAnsi="Verdana"/>
          <w:sz w:val="16"/>
          <w:szCs w:val="16"/>
          <w:lang w:val="es-MX"/>
        </w:rPr>
        <w:t>, en lo pertinente,</w:t>
      </w:r>
      <w:r w:rsidRPr="00BB56A5">
        <w:rPr>
          <w:rFonts w:ascii="Verdana" w:hAnsi="Verdana"/>
          <w:sz w:val="16"/>
          <w:szCs w:val="16"/>
        </w:rPr>
        <w:t xml:space="preserve"> las medidas provisionales ordenadas por la Corte Interamericana de Derechos Humanos mediante sus Resoluciones</w:t>
      </w:r>
      <w:r w:rsidRPr="00BB56A5">
        <w:rPr>
          <w:rFonts w:ascii="Verdana" w:hAnsi="Verdana"/>
          <w:sz w:val="16"/>
          <w:szCs w:val="16"/>
          <w:lang w:val="es-MX"/>
        </w:rPr>
        <w:t xml:space="preserve"> de</w:t>
      </w:r>
      <w:r w:rsidRPr="00BB56A5">
        <w:rPr>
          <w:rFonts w:ascii="Verdana" w:hAnsi="Verdana"/>
          <w:sz w:val="16"/>
          <w:szCs w:val="16"/>
        </w:rPr>
        <w:t xml:space="preserve"> 12 de mayo de 2007, 26 de noviembre de 2007 y 2 de febrero de 2010,</w:t>
      </w:r>
      <w:r w:rsidRPr="00BB56A5">
        <w:rPr>
          <w:rFonts w:ascii="Verdana" w:hAnsi="Verdana"/>
          <w:sz w:val="16"/>
          <w:szCs w:val="16"/>
          <w:lang w:val="es-MX"/>
        </w:rPr>
        <w:t xml:space="preserve"> a favor del señor </w:t>
      </w:r>
      <w:r>
        <w:rPr>
          <w:rFonts w:ascii="Verdana" w:hAnsi="Verdana"/>
          <w:sz w:val="16"/>
          <w:szCs w:val="16"/>
          <w:lang w:val="es-MX"/>
        </w:rPr>
        <w:t xml:space="preserve">[Adrián] </w:t>
      </w:r>
      <w:r w:rsidRPr="00BB56A5">
        <w:rPr>
          <w:rFonts w:ascii="Verdana" w:hAnsi="Verdana"/>
          <w:sz w:val="16"/>
          <w:szCs w:val="16"/>
          <w:lang w:val="es-MX"/>
        </w:rPr>
        <w:t xml:space="preserve">Meléndez Quijano, </w:t>
      </w:r>
      <w:r w:rsidRPr="00BB56A5">
        <w:rPr>
          <w:rFonts w:ascii="Verdana" w:hAnsi="Verdana"/>
          <w:sz w:val="16"/>
          <w:szCs w:val="16"/>
        </w:rPr>
        <w:t>Marina Elizabeth García de Meléndez, Andrea Elizabeth Meléndez García, Estefani Marcela Meléndez García, Pamela Michelle Meléndez García, Adriana María Meléndez García, Gloria Tránsito Quijano viuda de Meléndez, Sandra Ivette Meléndez Quijano, Roxana Jacqueline Mejía Torres, y Manuel Alejandro Meléndez Mejía, por un período adicional</w:t>
      </w:r>
      <w:r w:rsidRPr="00BB56A5">
        <w:rPr>
          <w:rFonts w:ascii="Verdana" w:hAnsi="Verdana"/>
          <w:b/>
          <w:sz w:val="16"/>
          <w:szCs w:val="16"/>
        </w:rPr>
        <w:t xml:space="preserve"> </w:t>
      </w:r>
      <w:r w:rsidRPr="00BB56A5">
        <w:rPr>
          <w:rFonts w:ascii="Verdana" w:hAnsi="Verdana" w:cs="Helvetica"/>
          <w:sz w:val="16"/>
          <w:szCs w:val="16"/>
          <w:lang w:val="es-MX"/>
        </w:rPr>
        <w:t>que vence el 30 de junio de 2014</w:t>
      </w:r>
      <w:r w:rsidR="00D334CC">
        <w:rPr>
          <w:rFonts w:ascii="Verdana" w:hAnsi="Verdana" w:cs="Helvetica"/>
          <w:sz w:val="16"/>
          <w:szCs w:val="16"/>
          <w:lang w:val="es-MX"/>
        </w:rPr>
        <w:t>[</w:t>
      </w:r>
      <w:r w:rsidR="00C1450D">
        <w:rPr>
          <w:rStyle w:val="FootnoteReference"/>
          <w:szCs w:val="16"/>
          <w:lang w:val="es-MX"/>
        </w:rPr>
        <w:footnoteReference w:id="2"/>
      </w:r>
      <w:r w:rsidR="00D334CC">
        <w:rPr>
          <w:rFonts w:ascii="Verdana" w:hAnsi="Verdana" w:cs="Helvetica"/>
          <w:sz w:val="16"/>
          <w:szCs w:val="16"/>
          <w:lang w:val="es-MX"/>
        </w:rPr>
        <w:t>]</w:t>
      </w:r>
      <w:r w:rsidRPr="00BB56A5">
        <w:rPr>
          <w:rFonts w:ascii="Verdana" w:hAnsi="Verdana" w:cs="Helvetica"/>
          <w:sz w:val="16"/>
          <w:szCs w:val="16"/>
          <w:lang w:val="es-MX"/>
        </w:rPr>
        <w:t>,</w:t>
      </w:r>
      <w:r w:rsidRPr="00BB56A5">
        <w:rPr>
          <w:rFonts w:ascii="Verdana" w:hAnsi="Verdana"/>
          <w:sz w:val="16"/>
          <w:szCs w:val="16"/>
        </w:rPr>
        <w:t xml:space="preserve"> luego del cual el Tribunal evaluará la pertinencia de mantenerlas vigentes.</w:t>
      </w:r>
      <w:r w:rsidRPr="00BB56A5">
        <w:rPr>
          <w:rFonts w:ascii="Verdana" w:hAnsi="Verdana"/>
          <w:sz w:val="16"/>
          <w:szCs w:val="16"/>
          <w:lang w:val="es-MX"/>
        </w:rPr>
        <w:t xml:space="preserve"> </w:t>
      </w:r>
    </w:p>
    <w:p w:rsidR="00083E66" w:rsidRDefault="00083E66" w:rsidP="00083E66">
      <w:pPr>
        <w:autoSpaceDE w:val="0"/>
        <w:autoSpaceDN w:val="0"/>
        <w:adjustRightInd w:val="0"/>
        <w:ind w:left="720" w:right="19"/>
        <w:jc w:val="both"/>
        <w:rPr>
          <w:rFonts w:ascii="Verdana" w:hAnsi="Verdana" w:cs="Verdana"/>
          <w:sz w:val="20"/>
          <w:szCs w:val="20"/>
        </w:rPr>
      </w:pPr>
    </w:p>
    <w:p w:rsidR="00083E66" w:rsidRPr="007B61AB" w:rsidRDefault="006C6D74" w:rsidP="00083E66">
      <w:pPr>
        <w:numPr>
          <w:ilvl w:val="0"/>
          <w:numId w:val="3"/>
        </w:numPr>
        <w:autoSpaceDE w:val="0"/>
        <w:autoSpaceDN w:val="0"/>
        <w:adjustRightInd w:val="0"/>
        <w:ind w:left="0" w:right="19" w:firstLine="0"/>
        <w:jc w:val="both"/>
        <w:rPr>
          <w:rFonts w:ascii="Verdana" w:hAnsi="Verdana" w:cs="Verdana"/>
          <w:sz w:val="20"/>
          <w:szCs w:val="20"/>
        </w:rPr>
      </w:pPr>
      <w:r w:rsidRPr="007B61AB">
        <w:rPr>
          <w:rFonts w:ascii="Verdana" w:hAnsi="Verdana"/>
          <w:sz w:val="20"/>
          <w:szCs w:val="20"/>
          <w:lang w:val="es-ES"/>
        </w:rPr>
        <w:t>Los</w:t>
      </w:r>
      <w:r w:rsidR="00083E66" w:rsidRPr="007B61AB">
        <w:rPr>
          <w:rFonts w:ascii="Verdana" w:hAnsi="Verdana"/>
          <w:sz w:val="20"/>
          <w:szCs w:val="20"/>
          <w:lang w:val="es-ES"/>
        </w:rPr>
        <w:t xml:space="preserve"> </w:t>
      </w:r>
      <w:r w:rsidR="0053540C">
        <w:rPr>
          <w:rFonts w:ascii="Verdana" w:hAnsi="Verdana"/>
          <w:sz w:val="20"/>
          <w:szCs w:val="20"/>
          <w:lang w:val="es-ES"/>
        </w:rPr>
        <w:t xml:space="preserve">siguientes </w:t>
      </w:r>
      <w:r w:rsidR="00083E66" w:rsidRPr="007B61AB">
        <w:rPr>
          <w:rFonts w:ascii="Verdana" w:hAnsi="Verdana"/>
          <w:sz w:val="20"/>
          <w:szCs w:val="20"/>
          <w:lang w:val="es-ES"/>
        </w:rPr>
        <w:t>escrito</w:t>
      </w:r>
      <w:r w:rsidRPr="007B61AB">
        <w:rPr>
          <w:rFonts w:ascii="Verdana" w:hAnsi="Verdana"/>
          <w:sz w:val="20"/>
          <w:szCs w:val="20"/>
          <w:lang w:val="es-ES"/>
        </w:rPr>
        <w:t>s</w:t>
      </w:r>
      <w:r w:rsidR="00083E66" w:rsidRPr="007B61AB">
        <w:rPr>
          <w:rFonts w:ascii="Verdana" w:hAnsi="Verdana"/>
          <w:sz w:val="20"/>
          <w:szCs w:val="20"/>
          <w:lang w:val="es-ES"/>
        </w:rPr>
        <w:t xml:space="preserve"> presentado</w:t>
      </w:r>
      <w:r w:rsidRPr="007B61AB">
        <w:rPr>
          <w:rFonts w:ascii="Verdana" w:hAnsi="Verdana"/>
          <w:sz w:val="20"/>
          <w:szCs w:val="20"/>
          <w:lang w:val="es-ES"/>
        </w:rPr>
        <w:t>s</w:t>
      </w:r>
      <w:r w:rsidR="00083E66" w:rsidRPr="007B61AB">
        <w:rPr>
          <w:rFonts w:ascii="Verdana" w:hAnsi="Verdana"/>
          <w:sz w:val="20"/>
          <w:szCs w:val="20"/>
          <w:lang w:val="es-ES"/>
        </w:rPr>
        <w:t xml:space="preserve"> por los beneficiarios Adri</w:t>
      </w:r>
      <w:r w:rsidR="00F44869">
        <w:rPr>
          <w:rFonts w:ascii="Verdana" w:hAnsi="Verdana"/>
          <w:sz w:val="20"/>
          <w:szCs w:val="20"/>
          <w:lang w:val="es-ES"/>
        </w:rPr>
        <w:t>á</w:t>
      </w:r>
      <w:r w:rsidR="00083E66" w:rsidRPr="007B61AB">
        <w:rPr>
          <w:rFonts w:ascii="Verdana" w:hAnsi="Verdana"/>
          <w:sz w:val="20"/>
          <w:szCs w:val="20"/>
          <w:lang w:val="es-ES"/>
        </w:rPr>
        <w:t xml:space="preserve">n Meléndez Quijano </w:t>
      </w:r>
      <w:r w:rsidR="00442E73">
        <w:rPr>
          <w:rFonts w:ascii="Verdana" w:hAnsi="Verdana"/>
          <w:sz w:val="20"/>
          <w:szCs w:val="20"/>
          <w:lang w:val="es-ES"/>
        </w:rPr>
        <w:t xml:space="preserve">(en adelante también </w:t>
      </w:r>
      <w:r w:rsidR="002C7FDC">
        <w:rPr>
          <w:rFonts w:ascii="Verdana" w:hAnsi="Verdana"/>
          <w:sz w:val="20"/>
          <w:szCs w:val="20"/>
          <w:lang w:val="es-ES"/>
        </w:rPr>
        <w:t>“</w:t>
      </w:r>
      <w:r w:rsidR="000B0CFD">
        <w:rPr>
          <w:rFonts w:ascii="Verdana" w:hAnsi="Verdana"/>
          <w:sz w:val="20"/>
          <w:szCs w:val="20"/>
          <w:lang w:val="es-ES"/>
        </w:rPr>
        <w:t>señor Meléndez Quijano” o “señor Meléndez” o “</w:t>
      </w:r>
      <w:r w:rsidR="002C7FDC">
        <w:rPr>
          <w:rFonts w:ascii="Verdana" w:hAnsi="Verdana"/>
          <w:sz w:val="20"/>
          <w:szCs w:val="20"/>
          <w:lang w:val="es-ES"/>
        </w:rPr>
        <w:t xml:space="preserve">el Coronel”) </w:t>
      </w:r>
      <w:r w:rsidR="00083E66" w:rsidRPr="007B61AB">
        <w:rPr>
          <w:rFonts w:ascii="Verdana" w:hAnsi="Verdana"/>
          <w:sz w:val="20"/>
          <w:szCs w:val="20"/>
          <w:lang w:val="es-ES"/>
        </w:rPr>
        <w:t>y Sandra Ivette Meléndez Quijano (en adelante</w:t>
      </w:r>
      <w:r w:rsidR="002C7FDC">
        <w:rPr>
          <w:rFonts w:ascii="Verdana" w:hAnsi="Verdana"/>
          <w:sz w:val="20"/>
          <w:szCs w:val="20"/>
          <w:lang w:val="es-ES"/>
        </w:rPr>
        <w:t>, en referencia a ambos,</w:t>
      </w:r>
      <w:r w:rsidR="00083E66" w:rsidRPr="007B61AB">
        <w:rPr>
          <w:rFonts w:ascii="Verdana" w:hAnsi="Verdana"/>
          <w:sz w:val="20"/>
          <w:szCs w:val="20"/>
          <w:lang w:val="es-ES"/>
        </w:rPr>
        <w:t xml:space="preserve"> “la representación de los beneficiarios”</w:t>
      </w:r>
      <w:r w:rsidR="00D857B3">
        <w:rPr>
          <w:rFonts w:ascii="Verdana" w:hAnsi="Verdana"/>
          <w:sz w:val="20"/>
          <w:szCs w:val="20"/>
          <w:lang w:val="es-ES"/>
        </w:rPr>
        <w:t xml:space="preserve"> o “la representación”</w:t>
      </w:r>
      <w:r w:rsidR="00083E66" w:rsidRPr="007B61AB">
        <w:rPr>
          <w:rFonts w:ascii="Verdana" w:hAnsi="Verdana"/>
          <w:sz w:val="20"/>
          <w:szCs w:val="20"/>
          <w:lang w:val="es-ES"/>
        </w:rPr>
        <w:t>)</w:t>
      </w:r>
      <w:r w:rsidR="0053540C">
        <w:rPr>
          <w:rFonts w:ascii="Verdana" w:hAnsi="Verdana"/>
          <w:sz w:val="20"/>
          <w:szCs w:val="20"/>
          <w:lang w:val="es-ES"/>
        </w:rPr>
        <w:t>:</w:t>
      </w:r>
      <w:r w:rsidR="00D82F37">
        <w:rPr>
          <w:rFonts w:ascii="Verdana" w:hAnsi="Verdana"/>
          <w:sz w:val="20"/>
          <w:szCs w:val="20"/>
          <w:lang w:val="es-ES"/>
        </w:rPr>
        <w:t xml:space="preserve"> </w:t>
      </w:r>
      <w:r w:rsidR="0053540C">
        <w:rPr>
          <w:rFonts w:ascii="Verdana" w:hAnsi="Verdana"/>
          <w:sz w:val="20"/>
          <w:szCs w:val="20"/>
          <w:lang w:val="es-ES"/>
        </w:rPr>
        <w:t>de</w:t>
      </w:r>
      <w:r w:rsidR="009E029C" w:rsidRPr="007B61AB">
        <w:rPr>
          <w:rFonts w:ascii="Verdana" w:hAnsi="Verdana"/>
          <w:sz w:val="20"/>
          <w:szCs w:val="20"/>
          <w:lang w:val="es-ES"/>
        </w:rPr>
        <w:t xml:space="preserve"> 16 de mayo y </w:t>
      </w:r>
      <w:r w:rsidRPr="007B61AB">
        <w:rPr>
          <w:rFonts w:ascii="Verdana" w:hAnsi="Verdana"/>
          <w:sz w:val="20"/>
          <w:szCs w:val="20"/>
          <w:lang w:val="es-ES"/>
        </w:rPr>
        <w:t>23 de julio de 2014 sobre la implementación de las presentes medidas provisionales</w:t>
      </w:r>
      <w:r w:rsidR="0053540C">
        <w:rPr>
          <w:rFonts w:ascii="Verdana" w:hAnsi="Verdana"/>
          <w:sz w:val="20"/>
          <w:szCs w:val="20"/>
          <w:lang w:val="es-ES"/>
        </w:rPr>
        <w:t>;</w:t>
      </w:r>
      <w:r w:rsidR="00083E66" w:rsidRPr="007B61AB">
        <w:rPr>
          <w:rFonts w:ascii="Verdana" w:hAnsi="Verdana"/>
          <w:sz w:val="20"/>
          <w:szCs w:val="20"/>
          <w:lang w:val="es-ES"/>
        </w:rPr>
        <w:t xml:space="preserve"> </w:t>
      </w:r>
      <w:r w:rsidR="0053540C">
        <w:rPr>
          <w:rFonts w:ascii="Verdana" w:hAnsi="Verdana"/>
          <w:sz w:val="20"/>
          <w:szCs w:val="20"/>
          <w:lang w:val="es-ES"/>
        </w:rPr>
        <w:t xml:space="preserve">de </w:t>
      </w:r>
      <w:r w:rsidR="00083E66" w:rsidRPr="007B61AB">
        <w:rPr>
          <w:rFonts w:ascii="Verdana" w:hAnsi="Verdana"/>
          <w:sz w:val="20"/>
          <w:szCs w:val="20"/>
          <w:lang w:val="es-ES"/>
        </w:rPr>
        <w:t xml:space="preserve">27 de agosto de 2014, mediante el cual solicitaron, en lo pertinente, que la Corte “valore la posibilidad [de] </w:t>
      </w:r>
      <w:r w:rsidR="00083E66" w:rsidRPr="007B61AB">
        <w:rPr>
          <w:rFonts w:ascii="Verdana" w:hAnsi="Verdana"/>
          <w:sz w:val="20"/>
          <w:szCs w:val="20"/>
          <w:lang w:val="es-ES"/>
        </w:rPr>
        <w:lastRenderedPageBreak/>
        <w:t>dictar […] medidas provisionales” en beneficio de cuatro personas (</w:t>
      </w:r>
      <w:r w:rsidR="00083E66" w:rsidRPr="007B61AB">
        <w:rPr>
          <w:rFonts w:ascii="Verdana" w:hAnsi="Verdana"/>
          <w:i/>
          <w:sz w:val="20"/>
          <w:szCs w:val="20"/>
          <w:lang w:val="es-ES"/>
        </w:rPr>
        <w:t>infra</w:t>
      </w:r>
      <w:r w:rsidR="00083E66" w:rsidRPr="007B61AB">
        <w:rPr>
          <w:rFonts w:ascii="Verdana" w:hAnsi="Verdana"/>
          <w:sz w:val="20"/>
          <w:szCs w:val="20"/>
          <w:lang w:val="es-ES"/>
        </w:rPr>
        <w:t xml:space="preserve"> Considerando</w:t>
      </w:r>
      <w:r w:rsidR="003476D8" w:rsidRPr="007B61AB">
        <w:rPr>
          <w:rFonts w:ascii="Verdana" w:hAnsi="Verdana"/>
          <w:sz w:val="20"/>
          <w:szCs w:val="20"/>
          <w:lang w:val="es-ES"/>
        </w:rPr>
        <w:t>s</w:t>
      </w:r>
      <w:r w:rsidR="00083E66" w:rsidRPr="007B61AB">
        <w:rPr>
          <w:rFonts w:ascii="Verdana" w:hAnsi="Verdana"/>
          <w:sz w:val="20"/>
          <w:szCs w:val="20"/>
          <w:lang w:val="es-ES"/>
        </w:rPr>
        <w:t xml:space="preserve"> </w:t>
      </w:r>
      <w:r w:rsidR="003476D8" w:rsidRPr="007B61AB">
        <w:rPr>
          <w:rFonts w:ascii="Verdana" w:hAnsi="Verdana"/>
          <w:sz w:val="20"/>
          <w:szCs w:val="20"/>
          <w:lang w:val="es-ES"/>
        </w:rPr>
        <w:t>4 y 5</w:t>
      </w:r>
      <w:r w:rsidR="00083E66" w:rsidRPr="007B61AB">
        <w:rPr>
          <w:rFonts w:ascii="Verdana" w:hAnsi="Verdana"/>
          <w:sz w:val="20"/>
          <w:szCs w:val="20"/>
          <w:lang w:val="es-ES"/>
        </w:rPr>
        <w:t>)</w:t>
      </w:r>
      <w:r w:rsidR="0053540C">
        <w:rPr>
          <w:rFonts w:ascii="Verdana" w:hAnsi="Verdana"/>
          <w:sz w:val="20"/>
          <w:szCs w:val="20"/>
          <w:lang w:val="es-ES"/>
        </w:rPr>
        <w:t>, y</w:t>
      </w:r>
      <w:r w:rsidR="00E8446F" w:rsidRPr="007B61AB">
        <w:rPr>
          <w:rFonts w:ascii="Verdana" w:hAnsi="Verdana"/>
          <w:sz w:val="20"/>
          <w:szCs w:val="20"/>
          <w:lang w:val="es-ES"/>
        </w:rPr>
        <w:t xml:space="preserve"> </w:t>
      </w:r>
      <w:r w:rsidR="0053540C">
        <w:rPr>
          <w:rFonts w:ascii="Verdana" w:hAnsi="Verdana"/>
          <w:sz w:val="20"/>
          <w:szCs w:val="20"/>
          <w:lang w:val="es-ES"/>
        </w:rPr>
        <w:t>de</w:t>
      </w:r>
      <w:r w:rsidR="000B0CFD">
        <w:rPr>
          <w:rFonts w:ascii="Verdana" w:hAnsi="Verdana"/>
          <w:sz w:val="20"/>
          <w:szCs w:val="20"/>
          <w:lang w:val="es-ES"/>
        </w:rPr>
        <w:t xml:space="preserve"> </w:t>
      </w:r>
      <w:r w:rsidR="00E8446F" w:rsidRPr="007B61AB">
        <w:rPr>
          <w:rFonts w:ascii="Verdana" w:hAnsi="Verdana"/>
          <w:sz w:val="20"/>
          <w:szCs w:val="20"/>
          <w:lang w:val="es-ES"/>
        </w:rPr>
        <w:t>3 de octubre de 2014</w:t>
      </w:r>
      <w:r w:rsidRPr="007B61AB">
        <w:rPr>
          <w:rFonts w:ascii="Verdana" w:hAnsi="Verdana"/>
          <w:sz w:val="20"/>
          <w:szCs w:val="20"/>
          <w:lang w:val="es-ES"/>
        </w:rPr>
        <w:t>,</w:t>
      </w:r>
      <w:r w:rsidR="00E8446F" w:rsidRPr="007B61AB">
        <w:rPr>
          <w:rFonts w:ascii="Verdana" w:hAnsi="Verdana"/>
          <w:sz w:val="20"/>
          <w:szCs w:val="20"/>
          <w:lang w:val="es-ES"/>
        </w:rPr>
        <w:t xml:space="preserve"> mediante el cual la representación </w:t>
      </w:r>
      <w:r w:rsidR="000924AB" w:rsidRPr="007B61AB">
        <w:rPr>
          <w:rFonts w:ascii="Verdana" w:hAnsi="Verdana"/>
          <w:sz w:val="20"/>
          <w:szCs w:val="20"/>
          <w:lang w:val="es-ES"/>
        </w:rPr>
        <w:t xml:space="preserve">de los beneficiarios </w:t>
      </w:r>
      <w:r w:rsidR="00E8446F" w:rsidRPr="007B61AB">
        <w:rPr>
          <w:rFonts w:ascii="Verdana" w:hAnsi="Verdana"/>
          <w:sz w:val="20"/>
          <w:szCs w:val="20"/>
          <w:lang w:val="es-ES"/>
        </w:rPr>
        <w:t>remitió sus observaciones a los informes estatales de 8 y 23 de septiembre de 2014.</w:t>
      </w:r>
    </w:p>
    <w:p w:rsidR="00083E66" w:rsidRPr="007B61AB" w:rsidRDefault="00083E66" w:rsidP="00083E66">
      <w:pPr>
        <w:autoSpaceDE w:val="0"/>
        <w:autoSpaceDN w:val="0"/>
        <w:adjustRightInd w:val="0"/>
        <w:ind w:right="19"/>
        <w:jc w:val="both"/>
        <w:rPr>
          <w:rFonts w:ascii="Verdana" w:hAnsi="Verdana" w:cs="Verdana"/>
          <w:sz w:val="20"/>
          <w:szCs w:val="20"/>
        </w:rPr>
      </w:pPr>
    </w:p>
    <w:p w:rsidR="00083E66" w:rsidRPr="007B61AB" w:rsidRDefault="00083E66" w:rsidP="00083E66">
      <w:pPr>
        <w:numPr>
          <w:ilvl w:val="0"/>
          <w:numId w:val="3"/>
        </w:numPr>
        <w:autoSpaceDE w:val="0"/>
        <w:autoSpaceDN w:val="0"/>
        <w:adjustRightInd w:val="0"/>
        <w:ind w:left="0" w:right="19" w:firstLine="0"/>
        <w:jc w:val="both"/>
        <w:rPr>
          <w:rFonts w:ascii="Verdana" w:hAnsi="Verdana" w:cs="Verdana"/>
          <w:sz w:val="20"/>
          <w:szCs w:val="20"/>
        </w:rPr>
      </w:pPr>
      <w:r w:rsidRPr="007B61AB">
        <w:rPr>
          <w:rFonts w:ascii="Verdana" w:hAnsi="Verdana" w:cs="Verdana"/>
          <w:sz w:val="20"/>
          <w:szCs w:val="20"/>
        </w:rPr>
        <w:t>El escrito presentado por el Estado de El Salvador (en adelante también “el Estado” o “El Salvador”</w:t>
      </w:r>
      <w:r w:rsidR="009E029C" w:rsidRPr="007B61AB">
        <w:rPr>
          <w:rFonts w:ascii="Verdana" w:hAnsi="Verdana" w:cs="Verdana"/>
          <w:sz w:val="20"/>
          <w:szCs w:val="20"/>
        </w:rPr>
        <w:t>) el 8 de septiembre de 2014, en el cual se</w:t>
      </w:r>
      <w:r w:rsidRPr="007B61AB">
        <w:rPr>
          <w:rFonts w:ascii="Verdana" w:hAnsi="Verdana" w:cs="Verdana"/>
          <w:sz w:val="20"/>
          <w:szCs w:val="20"/>
        </w:rPr>
        <w:t xml:space="preserve"> refirió a la solicitud formulada por los beneficiarios (</w:t>
      </w:r>
      <w:r w:rsidRPr="007B61AB">
        <w:rPr>
          <w:rFonts w:ascii="Verdana" w:hAnsi="Verdana" w:cs="Verdana"/>
          <w:i/>
          <w:sz w:val="20"/>
          <w:szCs w:val="20"/>
        </w:rPr>
        <w:t>supra</w:t>
      </w:r>
      <w:r w:rsidRPr="007B61AB">
        <w:rPr>
          <w:rFonts w:ascii="Verdana" w:hAnsi="Verdana" w:cs="Verdana"/>
          <w:sz w:val="20"/>
          <w:szCs w:val="20"/>
        </w:rPr>
        <w:t xml:space="preserve"> Visto 2</w:t>
      </w:r>
      <w:r w:rsidR="009E029C" w:rsidRPr="007B61AB">
        <w:rPr>
          <w:rFonts w:ascii="Verdana" w:hAnsi="Verdana" w:cs="Verdana"/>
          <w:sz w:val="20"/>
          <w:szCs w:val="20"/>
        </w:rPr>
        <w:t>)</w:t>
      </w:r>
      <w:r w:rsidR="00E8446F" w:rsidRPr="007B61AB">
        <w:rPr>
          <w:rStyle w:val="FootnoteReference"/>
          <w:szCs w:val="20"/>
        </w:rPr>
        <w:footnoteReference w:id="3"/>
      </w:r>
      <w:r w:rsidR="000924AB" w:rsidRPr="007B61AB">
        <w:rPr>
          <w:rFonts w:ascii="Verdana" w:hAnsi="Verdana" w:cs="Verdana"/>
          <w:sz w:val="20"/>
          <w:szCs w:val="20"/>
        </w:rPr>
        <w:t xml:space="preserve">, así como a la implementación de las presentes medidas, </w:t>
      </w:r>
      <w:r w:rsidR="00E8446F" w:rsidRPr="007B61AB">
        <w:rPr>
          <w:rFonts w:ascii="Verdana" w:hAnsi="Verdana" w:cs="Verdana"/>
          <w:sz w:val="20"/>
          <w:szCs w:val="20"/>
        </w:rPr>
        <w:t xml:space="preserve">y </w:t>
      </w:r>
      <w:r w:rsidR="00031A24" w:rsidRPr="007B61AB">
        <w:rPr>
          <w:rFonts w:ascii="Verdana" w:hAnsi="Verdana" w:cs="Verdana"/>
          <w:sz w:val="20"/>
          <w:szCs w:val="20"/>
        </w:rPr>
        <w:t>el escrito de</w:t>
      </w:r>
      <w:r w:rsidR="00E8446F" w:rsidRPr="007B61AB">
        <w:rPr>
          <w:rFonts w:ascii="Verdana" w:hAnsi="Verdana" w:cs="Verdana"/>
          <w:sz w:val="20"/>
          <w:szCs w:val="20"/>
        </w:rPr>
        <w:t xml:space="preserve"> ampliación </w:t>
      </w:r>
      <w:r w:rsidR="00FC3C01" w:rsidRPr="007B61AB">
        <w:rPr>
          <w:rFonts w:ascii="Verdana" w:hAnsi="Verdana" w:cs="Verdana"/>
          <w:sz w:val="20"/>
          <w:szCs w:val="20"/>
        </w:rPr>
        <w:t>del</w:t>
      </w:r>
      <w:r w:rsidR="000924AB" w:rsidRPr="007B61AB">
        <w:rPr>
          <w:rFonts w:ascii="Verdana" w:hAnsi="Verdana" w:cs="Verdana"/>
          <w:sz w:val="20"/>
          <w:szCs w:val="20"/>
        </w:rPr>
        <w:t xml:space="preserve"> informe </w:t>
      </w:r>
      <w:r w:rsidR="00FC3C01" w:rsidRPr="007B61AB">
        <w:rPr>
          <w:rFonts w:ascii="Verdana" w:hAnsi="Verdana" w:cs="Verdana"/>
          <w:sz w:val="20"/>
          <w:szCs w:val="20"/>
        </w:rPr>
        <w:t xml:space="preserve">estatal </w:t>
      </w:r>
      <w:r w:rsidR="00E8446F" w:rsidRPr="007B61AB">
        <w:rPr>
          <w:rFonts w:ascii="Verdana" w:hAnsi="Verdana" w:cs="Verdana"/>
          <w:sz w:val="20"/>
          <w:szCs w:val="20"/>
        </w:rPr>
        <w:t>presentad</w:t>
      </w:r>
      <w:r w:rsidR="00031A24" w:rsidRPr="007B61AB">
        <w:rPr>
          <w:rFonts w:ascii="Verdana" w:hAnsi="Verdana" w:cs="Verdana"/>
          <w:sz w:val="20"/>
          <w:szCs w:val="20"/>
        </w:rPr>
        <w:t>o</w:t>
      </w:r>
      <w:r w:rsidR="00E8446F" w:rsidRPr="007B61AB">
        <w:rPr>
          <w:rFonts w:ascii="Verdana" w:hAnsi="Verdana" w:cs="Verdana"/>
          <w:sz w:val="20"/>
          <w:szCs w:val="20"/>
        </w:rPr>
        <w:t xml:space="preserve"> el 23 de septiembre de 2014.</w:t>
      </w:r>
      <w:r w:rsidR="00031A24" w:rsidRPr="007B61AB">
        <w:rPr>
          <w:rFonts w:ascii="Verdana" w:hAnsi="Verdana" w:cs="Verdana"/>
          <w:sz w:val="20"/>
          <w:szCs w:val="20"/>
        </w:rPr>
        <w:t xml:space="preserve"> </w:t>
      </w:r>
    </w:p>
    <w:p w:rsidR="00083E66" w:rsidRPr="004C0ECC" w:rsidRDefault="00083E66" w:rsidP="00083E66">
      <w:pPr>
        <w:pStyle w:val="ListParagraph"/>
        <w:ind w:left="0"/>
        <w:rPr>
          <w:rFonts w:ascii="Verdana" w:hAnsi="Verdana" w:cs="Verdana"/>
          <w:sz w:val="20"/>
          <w:szCs w:val="20"/>
        </w:rPr>
      </w:pPr>
    </w:p>
    <w:p w:rsidR="00083E66" w:rsidRPr="00E8446F" w:rsidRDefault="000924AB" w:rsidP="00083E66">
      <w:pPr>
        <w:numPr>
          <w:ilvl w:val="0"/>
          <w:numId w:val="3"/>
        </w:numPr>
        <w:autoSpaceDE w:val="0"/>
        <w:autoSpaceDN w:val="0"/>
        <w:adjustRightInd w:val="0"/>
        <w:ind w:left="0" w:right="19" w:firstLine="0"/>
        <w:jc w:val="both"/>
        <w:rPr>
          <w:rFonts w:ascii="Verdana" w:hAnsi="Verdana" w:cs="Verdana"/>
          <w:sz w:val="20"/>
          <w:szCs w:val="20"/>
        </w:rPr>
      </w:pPr>
      <w:r>
        <w:rPr>
          <w:rFonts w:ascii="Verdana" w:hAnsi="Verdana"/>
          <w:sz w:val="20"/>
          <w:szCs w:val="20"/>
        </w:rPr>
        <w:t>Los</w:t>
      </w:r>
      <w:r w:rsidR="00083E66">
        <w:rPr>
          <w:rFonts w:ascii="Verdana" w:hAnsi="Verdana"/>
          <w:sz w:val="20"/>
          <w:szCs w:val="20"/>
          <w:lang w:val="es-ES"/>
        </w:rPr>
        <w:t xml:space="preserve"> escrito</w:t>
      </w:r>
      <w:r>
        <w:rPr>
          <w:rFonts w:ascii="Verdana" w:hAnsi="Verdana"/>
          <w:sz w:val="20"/>
          <w:szCs w:val="20"/>
          <w:lang w:val="es-ES"/>
        </w:rPr>
        <w:t>s</w:t>
      </w:r>
      <w:r w:rsidR="00083E66">
        <w:rPr>
          <w:rFonts w:ascii="Verdana" w:hAnsi="Verdana"/>
          <w:sz w:val="20"/>
          <w:szCs w:val="20"/>
          <w:lang w:val="es-ES"/>
        </w:rPr>
        <w:t xml:space="preserve"> presentado</w:t>
      </w:r>
      <w:r>
        <w:rPr>
          <w:rFonts w:ascii="Verdana" w:hAnsi="Verdana"/>
          <w:sz w:val="20"/>
          <w:szCs w:val="20"/>
          <w:lang w:val="es-ES"/>
        </w:rPr>
        <w:t>s</w:t>
      </w:r>
      <w:r w:rsidR="00083E66">
        <w:rPr>
          <w:rFonts w:ascii="Verdana" w:hAnsi="Verdana"/>
          <w:sz w:val="20"/>
          <w:szCs w:val="20"/>
          <w:lang w:val="es-ES"/>
        </w:rPr>
        <w:t xml:space="preserve"> por la Comisión </w:t>
      </w:r>
      <w:r w:rsidR="00083E66" w:rsidRPr="00714CBC">
        <w:rPr>
          <w:rFonts w:ascii="Verdana" w:hAnsi="Verdana"/>
          <w:sz w:val="20"/>
          <w:szCs w:val="20"/>
          <w:lang w:val="es-ES"/>
        </w:rPr>
        <w:t xml:space="preserve">Interamericana de Derechos Humanos </w:t>
      </w:r>
      <w:r w:rsidR="00083E66" w:rsidRPr="00714CBC">
        <w:rPr>
          <w:rFonts w:ascii="Verdana" w:hAnsi="Verdana"/>
          <w:sz w:val="20"/>
          <w:szCs w:val="20"/>
        </w:rPr>
        <w:t>(en adelante también “la Comisión”</w:t>
      </w:r>
      <w:r w:rsidR="00D60B86">
        <w:rPr>
          <w:rFonts w:ascii="Verdana" w:hAnsi="Verdana"/>
          <w:sz w:val="20"/>
          <w:szCs w:val="20"/>
        </w:rPr>
        <w:t xml:space="preserve"> o “la Comisión Interamericana”</w:t>
      </w:r>
      <w:r w:rsidR="00083E66" w:rsidRPr="00714CBC">
        <w:rPr>
          <w:rFonts w:ascii="Verdana" w:hAnsi="Verdana"/>
          <w:sz w:val="20"/>
          <w:szCs w:val="20"/>
        </w:rPr>
        <w:t xml:space="preserve">) el 8 de septiembre </w:t>
      </w:r>
      <w:r w:rsidRPr="00714CBC">
        <w:rPr>
          <w:rFonts w:ascii="Verdana" w:hAnsi="Verdana"/>
          <w:sz w:val="20"/>
          <w:szCs w:val="20"/>
        </w:rPr>
        <w:t xml:space="preserve">y 3 </w:t>
      </w:r>
      <w:r w:rsidR="00FC3C01" w:rsidRPr="00714CBC">
        <w:rPr>
          <w:rFonts w:ascii="Verdana" w:hAnsi="Verdana"/>
          <w:sz w:val="20"/>
          <w:szCs w:val="20"/>
        </w:rPr>
        <w:t xml:space="preserve">de octubre </w:t>
      </w:r>
      <w:r w:rsidRPr="00714CBC">
        <w:rPr>
          <w:rFonts w:ascii="Verdana" w:hAnsi="Verdana"/>
          <w:sz w:val="20"/>
          <w:szCs w:val="20"/>
        </w:rPr>
        <w:t>de</w:t>
      </w:r>
      <w:r>
        <w:rPr>
          <w:rFonts w:ascii="Verdana" w:hAnsi="Verdana"/>
          <w:sz w:val="20"/>
          <w:szCs w:val="20"/>
        </w:rPr>
        <w:t xml:space="preserve"> 2014, en los cuales </w:t>
      </w:r>
      <w:r w:rsidR="00083E66">
        <w:rPr>
          <w:rFonts w:ascii="Verdana" w:hAnsi="Verdana"/>
          <w:sz w:val="20"/>
          <w:szCs w:val="20"/>
        </w:rPr>
        <w:t>se refirió al escrito presentado por la representación de los beneficiarios el 27 de agosto de 2014 (</w:t>
      </w:r>
      <w:r w:rsidR="00083E66">
        <w:rPr>
          <w:rFonts w:ascii="Verdana" w:hAnsi="Verdana"/>
          <w:i/>
          <w:sz w:val="20"/>
          <w:szCs w:val="20"/>
        </w:rPr>
        <w:t>supra</w:t>
      </w:r>
      <w:r w:rsidR="00083E66">
        <w:rPr>
          <w:rFonts w:ascii="Verdana" w:hAnsi="Verdana"/>
          <w:sz w:val="20"/>
          <w:szCs w:val="20"/>
        </w:rPr>
        <w:t xml:space="preserve"> Visto 2)</w:t>
      </w:r>
      <w:r w:rsidR="00A3574D">
        <w:rPr>
          <w:rFonts w:ascii="Verdana" w:hAnsi="Verdana"/>
          <w:sz w:val="20"/>
          <w:szCs w:val="20"/>
        </w:rPr>
        <w:t xml:space="preserve"> y a  información </w:t>
      </w:r>
      <w:r w:rsidR="00EF05CD">
        <w:rPr>
          <w:rFonts w:ascii="Verdana" w:hAnsi="Verdana"/>
          <w:sz w:val="20"/>
          <w:szCs w:val="20"/>
        </w:rPr>
        <w:t xml:space="preserve">presentada por </w:t>
      </w:r>
      <w:r w:rsidR="00A3574D">
        <w:rPr>
          <w:rFonts w:ascii="Verdana" w:hAnsi="Verdana"/>
          <w:sz w:val="20"/>
          <w:szCs w:val="20"/>
        </w:rPr>
        <w:t>el Estad</w:t>
      </w:r>
      <w:r w:rsidR="00927936">
        <w:rPr>
          <w:rFonts w:ascii="Verdana" w:hAnsi="Verdana"/>
          <w:sz w:val="20"/>
          <w:szCs w:val="20"/>
        </w:rPr>
        <w:t>o. En tales escritos, la Comisión sólo hizo referencia a los hechos vinculados a la solicitud de ampliación de las medidas provisionales (</w:t>
      </w:r>
      <w:r w:rsidR="00927936" w:rsidRPr="00927936">
        <w:rPr>
          <w:rFonts w:ascii="Verdana" w:hAnsi="Verdana"/>
          <w:i/>
          <w:sz w:val="20"/>
          <w:szCs w:val="20"/>
        </w:rPr>
        <w:t xml:space="preserve">infra </w:t>
      </w:r>
      <w:r w:rsidR="00927936">
        <w:rPr>
          <w:rFonts w:ascii="Verdana" w:hAnsi="Verdana"/>
          <w:sz w:val="20"/>
          <w:szCs w:val="20"/>
        </w:rPr>
        <w:t>Considerandos 4 y 5)</w:t>
      </w:r>
      <w:r w:rsidR="00722AE9">
        <w:rPr>
          <w:rFonts w:ascii="Verdana" w:hAnsi="Verdana"/>
          <w:sz w:val="20"/>
          <w:szCs w:val="20"/>
        </w:rPr>
        <w:t>.</w:t>
      </w:r>
    </w:p>
    <w:p w:rsidR="00E8446F" w:rsidRDefault="00E8446F" w:rsidP="00E8446F">
      <w:pPr>
        <w:pStyle w:val="ListParagraph"/>
        <w:rPr>
          <w:rFonts w:ascii="Verdana" w:hAnsi="Verdana" w:cs="Verdana"/>
          <w:sz w:val="20"/>
          <w:szCs w:val="20"/>
        </w:rPr>
      </w:pPr>
    </w:p>
    <w:p w:rsidR="00E8446F" w:rsidRPr="007B61AB" w:rsidRDefault="00E8446F" w:rsidP="00083E66">
      <w:pPr>
        <w:numPr>
          <w:ilvl w:val="0"/>
          <w:numId w:val="3"/>
        </w:numPr>
        <w:autoSpaceDE w:val="0"/>
        <w:autoSpaceDN w:val="0"/>
        <w:adjustRightInd w:val="0"/>
        <w:ind w:left="0" w:right="19" w:firstLine="0"/>
        <w:jc w:val="both"/>
        <w:rPr>
          <w:rFonts w:ascii="Verdana" w:hAnsi="Verdana" w:cs="Verdana"/>
          <w:sz w:val="20"/>
          <w:szCs w:val="20"/>
        </w:rPr>
      </w:pPr>
      <w:r w:rsidRPr="007B61AB">
        <w:rPr>
          <w:rFonts w:ascii="Verdana" w:hAnsi="Verdana" w:cs="Verdana"/>
          <w:sz w:val="20"/>
          <w:szCs w:val="20"/>
        </w:rPr>
        <w:t xml:space="preserve">La comunicación de la Secretaría de la Corte, mediante la cual, siguiendo instrucciones del Presidente de la Corte, se reiteró </w:t>
      </w:r>
      <w:r w:rsidR="000B0CFD">
        <w:rPr>
          <w:rFonts w:ascii="Verdana" w:hAnsi="Verdana" w:cs="Verdana"/>
          <w:sz w:val="20"/>
          <w:szCs w:val="20"/>
        </w:rPr>
        <w:t xml:space="preserve">a </w:t>
      </w:r>
      <w:r w:rsidR="000B0CFD">
        <w:rPr>
          <w:rFonts w:ascii="Verdana" w:hAnsi="Verdana"/>
          <w:sz w:val="20"/>
          <w:szCs w:val="20"/>
        </w:rPr>
        <w:t>la representación de los beneficiarios</w:t>
      </w:r>
      <w:r w:rsidRPr="007B61AB">
        <w:rPr>
          <w:rFonts w:ascii="Verdana" w:hAnsi="Verdana" w:cs="Verdana"/>
          <w:sz w:val="20"/>
          <w:szCs w:val="20"/>
        </w:rPr>
        <w:t xml:space="preserve"> la presentación de sus observaciones, ya que el plazo para hacerlo había vencido el 26 de septiembre de 2014.</w:t>
      </w:r>
    </w:p>
    <w:p w:rsidR="00083E66" w:rsidRPr="000A6CDE" w:rsidRDefault="00083E66" w:rsidP="00083E66">
      <w:pPr>
        <w:rPr>
          <w:rFonts w:ascii="Verdana" w:hAnsi="Verdana" w:cs="Verdana"/>
          <w:sz w:val="20"/>
          <w:szCs w:val="20"/>
        </w:rPr>
      </w:pPr>
    </w:p>
    <w:p w:rsidR="00083E66" w:rsidRDefault="00083E66" w:rsidP="00083E66">
      <w:pPr>
        <w:pStyle w:val="Heading4"/>
        <w:spacing w:before="0" w:after="0"/>
        <w:rPr>
          <w:rFonts w:ascii="Verdana" w:hAnsi="Verdana"/>
          <w:caps/>
          <w:sz w:val="20"/>
        </w:rPr>
      </w:pPr>
      <w:r w:rsidRPr="0087241B">
        <w:rPr>
          <w:rFonts w:ascii="Verdana" w:hAnsi="Verdana"/>
          <w:caps/>
          <w:sz w:val="20"/>
        </w:rPr>
        <w:t>Considerando que:</w:t>
      </w:r>
    </w:p>
    <w:p w:rsidR="00083E66" w:rsidRDefault="00083E66" w:rsidP="00083E66">
      <w:pPr>
        <w:rPr>
          <w:lang w:eastAsia="es-ES"/>
        </w:rPr>
      </w:pPr>
    </w:p>
    <w:p w:rsidR="00083E66" w:rsidRDefault="00083E66" w:rsidP="00083E66">
      <w:pPr>
        <w:numPr>
          <w:ilvl w:val="0"/>
          <w:numId w:val="1"/>
        </w:numPr>
        <w:tabs>
          <w:tab w:val="clear" w:pos="644"/>
        </w:tabs>
        <w:ind w:left="0" w:right="-8" w:firstLine="0"/>
        <w:jc w:val="both"/>
        <w:rPr>
          <w:rFonts w:ascii="Verdana" w:hAnsi="Verdana"/>
          <w:sz w:val="20"/>
          <w:szCs w:val="20"/>
        </w:rPr>
      </w:pPr>
      <w:r>
        <w:rPr>
          <w:rFonts w:ascii="Verdana" w:hAnsi="Verdana"/>
          <w:sz w:val="20"/>
          <w:szCs w:val="20"/>
        </w:rPr>
        <w:t>El Salvador</w:t>
      </w:r>
      <w:r w:rsidRPr="006D783B">
        <w:rPr>
          <w:rFonts w:ascii="Verdana" w:hAnsi="Verdana"/>
          <w:sz w:val="20"/>
          <w:szCs w:val="20"/>
        </w:rPr>
        <w:t xml:space="preserve"> es Estado Parte en la Convención Americana sobre Derechos Humanos (en adelante “</w:t>
      </w:r>
      <w:r>
        <w:rPr>
          <w:rFonts w:ascii="Verdana" w:hAnsi="Verdana"/>
          <w:sz w:val="20"/>
          <w:szCs w:val="20"/>
        </w:rPr>
        <w:t>l</w:t>
      </w:r>
      <w:r w:rsidRPr="006D783B">
        <w:rPr>
          <w:rFonts w:ascii="Verdana" w:hAnsi="Verdana"/>
          <w:sz w:val="20"/>
          <w:szCs w:val="20"/>
        </w:rPr>
        <w:t xml:space="preserve">a Convención Americana” o “la Convención”) desde el </w:t>
      </w:r>
      <w:r>
        <w:rPr>
          <w:rFonts w:ascii="Verdana" w:hAnsi="Verdana"/>
          <w:sz w:val="20"/>
          <w:szCs w:val="20"/>
        </w:rPr>
        <w:t>23</w:t>
      </w:r>
      <w:r w:rsidRPr="006D783B">
        <w:rPr>
          <w:rFonts w:ascii="Verdana" w:hAnsi="Verdana"/>
          <w:sz w:val="20"/>
          <w:szCs w:val="20"/>
        </w:rPr>
        <w:t xml:space="preserve"> de </w:t>
      </w:r>
      <w:r>
        <w:rPr>
          <w:rFonts w:ascii="Verdana" w:hAnsi="Verdana"/>
          <w:sz w:val="20"/>
          <w:szCs w:val="20"/>
        </w:rPr>
        <w:t>junio de 1978</w:t>
      </w:r>
      <w:r w:rsidRPr="006D783B">
        <w:rPr>
          <w:rFonts w:ascii="Verdana" w:hAnsi="Verdana"/>
          <w:sz w:val="20"/>
          <w:szCs w:val="20"/>
        </w:rPr>
        <w:t xml:space="preserve"> y reconoció la competencia contenciosa de la Corte el </w:t>
      </w:r>
      <w:r>
        <w:rPr>
          <w:rFonts w:ascii="Verdana" w:hAnsi="Verdana"/>
          <w:sz w:val="20"/>
          <w:szCs w:val="20"/>
        </w:rPr>
        <w:t>6</w:t>
      </w:r>
      <w:r w:rsidRPr="006D783B">
        <w:rPr>
          <w:rFonts w:ascii="Verdana" w:hAnsi="Verdana"/>
          <w:sz w:val="20"/>
          <w:szCs w:val="20"/>
        </w:rPr>
        <w:t xml:space="preserve"> de junio de 19</w:t>
      </w:r>
      <w:r>
        <w:rPr>
          <w:rFonts w:ascii="Verdana" w:hAnsi="Verdana"/>
          <w:sz w:val="20"/>
          <w:szCs w:val="20"/>
        </w:rPr>
        <w:t>95</w:t>
      </w:r>
      <w:r w:rsidRPr="006D783B">
        <w:rPr>
          <w:rFonts w:ascii="Verdana" w:hAnsi="Verdana"/>
          <w:sz w:val="20"/>
          <w:szCs w:val="20"/>
        </w:rPr>
        <w:t>.</w:t>
      </w:r>
    </w:p>
    <w:p w:rsidR="00083E66" w:rsidRPr="00B03947" w:rsidRDefault="00083E66" w:rsidP="00083E66">
      <w:pPr>
        <w:ind w:right="-8"/>
        <w:jc w:val="both"/>
        <w:rPr>
          <w:rFonts w:ascii="Verdana" w:hAnsi="Verdana"/>
          <w:sz w:val="20"/>
          <w:szCs w:val="20"/>
          <w:lang w:val="es-ES"/>
        </w:rPr>
      </w:pPr>
    </w:p>
    <w:p w:rsidR="005B1881" w:rsidRPr="005B1881" w:rsidRDefault="00083E66" w:rsidP="005B1881">
      <w:pPr>
        <w:numPr>
          <w:ilvl w:val="0"/>
          <w:numId w:val="1"/>
        </w:numPr>
        <w:tabs>
          <w:tab w:val="clear" w:pos="644"/>
        </w:tabs>
        <w:ind w:left="0" w:right="-8" w:firstLine="0"/>
        <w:jc w:val="both"/>
        <w:rPr>
          <w:rFonts w:ascii="Verdana" w:hAnsi="Verdana"/>
          <w:sz w:val="20"/>
          <w:szCs w:val="20"/>
        </w:rPr>
      </w:pPr>
      <w:r w:rsidRPr="00542FC8">
        <w:rPr>
          <w:rFonts w:ascii="Verdana" w:hAnsi="Verdana"/>
          <w:sz w:val="20"/>
          <w:szCs w:val="20"/>
          <w:lang w:val="es-ES"/>
        </w:rPr>
        <w:t>El artículo 63.2 de la Convención exige que para que pueda disponer</w:t>
      </w:r>
      <w:r>
        <w:rPr>
          <w:rFonts w:ascii="Verdana" w:hAnsi="Verdana"/>
          <w:sz w:val="20"/>
          <w:szCs w:val="20"/>
          <w:lang w:val="es-ES"/>
        </w:rPr>
        <w:t>se</w:t>
      </w:r>
      <w:r w:rsidRPr="00542FC8">
        <w:rPr>
          <w:rFonts w:ascii="Verdana" w:hAnsi="Verdana"/>
          <w:sz w:val="20"/>
          <w:szCs w:val="20"/>
          <w:lang w:val="es-ES"/>
        </w:rPr>
        <w:t xml:space="preserve"> </w:t>
      </w:r>
      <w:r>
        <w:rPr>
          <w:rFonts w:ascii="Verdana" w:hAnsi="Verdana"/>
          <w:sz w:val="20"/>
          <w:szCs w:val="20"/>
          <w:lang w:val="es-ES"/>
        </w:rPr>
        <w:t xml:space="preserve">la adopción </w:t>
      </w:r>
      <w:r w:rsidRPr="00542FC8">
        <w:rPr>
          <w:rFonts w:ascii="Verdana" w:hAnsi="Verdana"/>
          <w:sz w:val="20"/>
          <w:szCs w:val="20"/>
          <w:lang w:val="es-ES"/>
        </w:rPr>
        <w:t xml:space="preserve">de medidas provisionales deben concurrir tres condiciones: i) “extrema </w:t>
      </w:r>
      <w:r w:rsidRPr="005B1881">
        <w:rPr>
          <w:rFonts w:ascii="Verdana" w:hAnsi="Verdana"/>
          <w:sz w:val="20"/>
          <w:szCs w:val="20"/>
          <w:lang w:val="es-ES"/>
        </w:rPr>
        <w:t>gravedad”; ii) “urgencia”, y iii) que se trate de “evitar daños irreparables a las personas”. Estas tres condiciones son coexistentes y deben estar presentes en toda situación en la que se solicite la intervención del Tribunal</w:t>
      </w:r>
      <w:r w:rsidRPr="005B1881">
        <w:rPr>
          <w:rStyle w:val="FootnoteReference"/>
          <w:b/>
          <w:lang w:val="es-ES"/>
        </w:rPr>
        <w:footnoteReference w:id="4"/>
      </w:r>
      <w:r w:rsidRPr="005B1881">
        <w:rPr>
          <w:rFonts w:ascii="Verdana" w:hAnsi="Verdana"/>
          <w:sz w:val="20"/>
          <w:szCs w:val="20"/>
          <w:lang w:val="es-ES"/>
        </w:rPr>
        <w:t xml:space="preserve">. </w:t>
      </w:r>
      <w:r w:rsidR="005B1881" w:rsidRPr="005B1881">
        <w:rPr>
          <w:rFonts w:ascii="Verdana" w:hAnsi="Verdana"/>
          <w:sz w:val="20"/>
        </w:rPr>
        <w:t xml:space="preserve">La Corte podrá, en los asuntos que aún no estén sometidos a su conocimiento, a solicitud de la Comisión, ordenar las medidas provisionales que considere pertinentes. Esta disposición está a su vez regulada en el artículo 27 del </w:t>
      </w:r>
      <w:r w:rsidR="005B1881" w:rsidRPr="005B1881">
        <w:rPr>
          <w:rFonts w:ascii="Verdana" w:hAnsi="Verdana"/>
          <w:sz w:val="20"/>
          <w:szCs w:val="20"/>
        </w:rPr>
        <w:t>Reglamento de la Corte.</w:t>
      </w:r>
    </w:p>
    <w:p w:rsidR="005B1881" w:rsidRPr="008220A6" w:rsidRDefault="005B1881" w:rsidP="008220A6">
      <w:pPr>
        <w:rPr>
          <w:rFonts w:ascii="Verdana" w:hAnsi="Verdana"/>
          <w:sz w:val="20"/>
          <w:szCs w:val="20"/>
        </w:rPr>
      </w:pPr>
    </w:p>
    <w:p w:rsidR="005B1881" w:rsidRPr="00DA1E39" w:rsidRDefault="00305583" w:rsidP="005B1881">
      <w:pPr>
        <w:numPr>
          <w:ilvl w:val="0"/>
          <w:numId w:val="1"/>
        </w:numPr>
        <w:tabs>
          <w:tab w:val="clear" w:pos="644"/>
        </w:tabs>
        <w:ind w:left="0" w:right="-8" w:firstLine="0"/>
        <w:jc w:val="both"/>
        <w:rPr>
          <w:rFonts w:ascii="Verdana" w:hAnsi="Verdana"/>
          <w:sz w:val="20"/>
          <w:szCs w:val="20"/>
        </w:rPr>
      </w:pPr>
      <w:r>
        <w:rPr>
          <w:rFonts w:ascii="Verdana" w:hAnsi="Verdana"/>
          <w:sz w:val="20"/>
          <w:szCs w:val="20"/>
          <w:lang w:val="es-ES"/>
        </w:rPr>
        <w:t>E</w:t>
      </w:r>
      <w:r w:rsidR="005B1881" w:rsidRPr="005B1881">
        <w:rPr>
          <w:rFonts w:ascii="Verdana" w:hAnsi="Verdana"/>
          <w:bCs/>
          <w:sz w:val="20"/>
        </w:rPr>
        <w:t>n razón de su competencia, en el marco de medidas provisionales corresponde a la Corte, considerar única y estrictamente aquellos argumentos que se relacionan directamente con la extrema gravedad, urgencia y la necesidad de evitar daños irreparables a personas. Cualquier otro hecho o argumento sólo puede ser analizado y resuelto durante la consideración del fondo de un caso contencioso</w:t>
      </w:r>
      <w:r w:rsidR="005F27CD" w:rsidRPr="005F27CD">
        <w:rPr>
          <w:rStyle w:val="FootnoteReference"/>
          <w:bCs/>
          <w:sz w:val="20"/>
        </w:rPr>
        <w:footnoteReference w:id="5"/>
      </w:r>
      <w:r w:rsidR="005B1881" w:rsidRPr="00F44869">
        <w:rPr>
          <w:rFonts w:ascii="Verdana" w:hAnsi="Verdana"/>
          <w:bCs/>
          <w:sz w:val="20"/>
        </w:rPr>
        <w:t>.</w:t>
      </w:r>
    </w:p>
    <w:p w:rsidR="00DA1E39" w:rsidRDefault="00DA1E39" w:rsidP="005B1881">
      <w:pPr>
        <w:ind w:right="-8"/>
        <w:jc w:val="both"/>
        <w:rPr>
          <w:rFonts w:ascii="Verdana" w:hAnsi="Verdana"/>
          <w:sz w:val="20"/>
          <w:szCs w:val="20"/>
        </w:rPr>
      </w:pPr>
    </w:p>
    <w:p w:rsidR="008346F5" w:rsidRDefault="008346F5" w:rsidP="005B1881">
      <w:pPr>
        <w:ind w:right="-8"/>
        <w:jc w:val="both"/>
        <w:rPr>
          <w:rFonts w:ascii="Verdana" w:hAnsi="Verdana"/>
          <w:sz w:val="20"/>
          <w:szCs w:val="20"/>
        </w:rPr>
      </w:pPr>
    </w:p>
    <w:p w:rsidR="008346F5" w:rsidRDefault="008346F5" w:rsidP="005B1881">
      <w:pPr>
        <w:ind w:right="-8"/>
        <w:jc w:val="both"/>
        <w:rPr>
          <w:rFonts w:ascii="Verdana" w:hAnsi="Verdana"/>
          <w:sz w:val="20"/>
          <w:szCs w:val="20"/>
        </w:rPr>
      </w:pPr>
    </w:p>
    <w:p w:rsidR="008346F5" w:rsidRDefault="008346F5" w:rsidP="005B1881">
      <w:pPr>
        <w:ind w:right="-8"/>
        <w:jc w:val="both"/>
        <w:rPr>
          <w:rFonts w:ascii="Verdana" w:hAnsi="Verdana"/>
          <w:sz w:val="20"/>
          <w:szCs w:val="20"/>
        </w:rPr>
      </w:pPr>
    </w:p>
    <w:p w:rsidR="00083E66" w:rsidRPr="00E8446F" w:rsidRDefault="00E8446F" w:rsidP="00E8446F">
      <w:pPr>
        <w:pStyle w:val="ListParagraph"/>
        <w:numPr>
          <w:ilvl w:val="0"/>
          <w:numId w:val="7"/>
        </w:numPr>
        <w:rPr>
          <w:rFonts w:ascii="Verdana" w:hAnsi="Verdana"/>
          <w:b/>
          <w:i/>
          <w:sz w:val="20"/>
          <w:szCs w:val="20"/>
        </w:rPr>
      </w:pPr>
      <w:r w:rsidRPr="00E8446F">
        <w:rPr>
          <w:rFonts w:ascii="Verdana" w:hAnsi="Verdana"/>
          <w:b/>
          <w:i/>
          <w:sz w:val="20"/>
          <w:szCs w:val="20"/>
        </w:rPr>
        <w:lastRenderedPageBreak/>
        <w:t>Solicitud de ampliación de las medidas provisionales</w:t>
      </w:r>
    </w:p>
    <w:p w:rsidR="008C2977" w:rsidRDefault="008C2977" w:rsidP="008C2977">
      <w:pPr>
        <w:ind w:right="-8"/>
        <w:rPr>
          <w:rFonts w:ascii="Verdana" w:hAnsi="Verdana"/>
          <w:sz w:val="20"/>
          <w:szCs w:val="20"/>
        </w:rPr>
      </w:pPr>
    </w:p>
    <w:p w:rsidR="00DA1E39" w:rsidRPr="00DA1E39" w:rsidRDefault="00DA1E39" w:rsidP="00DA1E39">
      <w:pPr>
        <w:numPr>
          <w:ilvl w:val="0"/>
          <w:numId w:val="1"/>
        </w:numPr>
        <w:tabs>
          <w:tab w:val="clear" w:pos="644"/>
        </w:tabs>
        <w:ind w:left="0" w:right="-8" w:firstLine="0"/>
        <w:jc w:val="both"/>
        <w:rPr>
          <w:rFonts w:ascii="Verdana" w:hAnsi="Verdana"/>
          <w:sz w:val="20"/>
          <w:szCs w:val="20"/>
        </w:rPr>
      </w:pPr>
      <w:r w:rsidRPr="00DA1E39">
        <w:rPr>
          <w:rFonts w:ascii="Verdana" w:hAnsi="Verdana"/>
          <w:sz w:val="20"/>
          <w:szCs w:val="20"/>
        </w:rPr>
        <w:t xml:space="preserve">La </w:t>
      </w:r>
      <w:r w:rsidRPr="00DA1E39">
        <w:rPr>
          <w:rFonts w:ascii="Verdana" w:hAnsi="Verdana"/>
          <w:b/>
          <w:i/>
          <w:sz w:val="20"/>
          <w:szCs w:val="20"/>
        </w:rPr>
        <w:t>representación de los beneficiarios</w:t>
      </w:r>
      <w:r w:rsidRPr="00DA1E39">
        <w:rPr>
          <w:rFonts w:ascii="Verdana" w:hAnsi="Verdana"/>
          <w:sz w:val="20"/>
          <w:szCs w:val="20"/>
        </w:rPr>
        <w:t>, en su escrito de 27 de agosto de 2014 (</w:t>
      </w:r>
      <w:r w:rsidRPr="00DA1E39">
        <w:rPr>
          <w:rFonts w:ascii="Verdana" w:hAnsi="Verdana"/>
          <w:i/>
          <w:sz w:val="20"/>
          <w:szCs w:val="20"/>
        </w:rPr>
        <w:t xml:space="preserve">supra </w:t>
      </w:r>
      <w:r w:rsidRPr="00DA1E39">
        <w:rPr>
          <w:rFonts w:ascii="Verdana" w:hAnsi="Verdana"/>
          <w:sz w:val="20"/>
          <w:szCs w:val="20"/>
        </w:rPr>
        <w:t>Visto 2), expresó que</w:t>
      </w:r>
      <w:r w:rsidR="005F2C8B">
        <w:rPr>
          <w:rFonts w:ascii="Verdana" w:hAnsi="Verdana"/>
          <w:sz w:val="20"/>
          <w:szCs w:val="20"/>
        </w:rPr>
        <w:t>:</w:t>
      </w:r>
      <w:r w:rsidRPr="00DA1E39">
        <w:rPr>
          <w:rFonts w:ascii="Verdana" w:hAnsi="Verdana"/>
          <w:sz w:val="20"/>
          <w:szCs w:val="20"/>
        </w:rPr>
        <w:t xml:space="preserve"> </w:t>
      </w:r>
    </w:p>
    <w:p w:rsidR="009B6065" w:rsidRDefault="009B6065" w:rsidP="009B6065">
      <w:pPr>
        <w:ind w:right="-8"/>
        <w:jc w:val="both"/>
        <w:rPr>
          <w:rFonts w:ascii="Verdana" w:hAnsi="Verdana"/>
          <w:sz w:val="20"/>
          <w:szCs w:val="20"/>
        </w:rPr>
      </w:pPr>
    </w:p>
    <w:p w:rsidR="009B6065" w:rsidRDefault="009B6065" w:rsidP="009B6065">
      <w:pPr>
        <w:autoSpaceDE w:val="0"/>
        <w:autoSpaceDN w:val="0"/>
        <w:adjustRightInd w:val="0"/>
        <w:ind w:left="851" w:right="704"/>
        <w:jc w:val="both"/>
        <w:rPr>
          <w:rFonts w:ascii="Verdana" w:hAnsi="Verdana" w:cs="Calibri"/>
          <w:sz w:val="16"/>
          <w:szCs w:val="16"/>
        </w:rPr>
      </w:pPr>
      <w:r w:rsidRPr="00085997">
        <w:rPr>
          <w:rFonts w:ascii="Verdana" w:hAnsi="Verdana" w:cs="Calibri"/>
          <w:sz w:val="16"/>
          <w:szCs w:val="16"/>
        </w:rPr>
        <w:t>El sábado 23 de agosto de 2014, a las 05:30 de la mañana cuando la empleada doméstica</w:t>
      </w:r>
      <w:r w:rsidR="00213821">
        <w:rPr>
          <w:rFonts w:ascii="Verdana" w:hAnsi="Verdana" w:cs="Calibri"/>
          <w:sz w:val="16"/>
          <w:szCs w:val="16"/>
        </w:rPr>
        <w:t xml:space="preserve"> […]</w:t>
      </w:r>
      <w:r w:rsidR="00E07310">
        <w:rPr>
          <w:rFonts w:ascii="Verdana" w:hAnsi="Verdana" w:cs="Calibri"/>
          <w:sz w:val="16"/>
          <w:szCs w:val="16"/>
        </w:rPr>
        <w:t xml:space="preserve"> </w:t>
      </w:r>
      <w:r w:rsidRPr="00085997">
        <w:rPr>
          <w:rFonts w:ascii="Verdana" w:hAnsi="Verdana" w:cs="Calibri"/>
          <w:sz w:val="16"/>
          <w:szCs w:val="16"/>
        </w:rPr>
        <w:t>sacaba la basura por la puerta</w:t>
      </w:r>
      <w:r w:rsidR="00E07310">
        <w:rPr>
          <w:rFonts w:ascii="Verdana" w:hAnsi="Verdana" w:cs="Calibri"/>
          <w:sz w:val="16"/>
          <w:szCs w:val="16"/>
        </w:rPr>
        <w:t xml:space="preserve"> principal de la casa</w:t>
      </w:r>
      <w:r w:rsidRPr="00085997">
        <w:rPr>
          <w:rFonts w:ascii="Verdana" w:hAnsi="Verdana" w:cs="Calibri"/>
          <w:sz w:val="16"/>
          <w:szCs w:val="16"/>
        </w:rPr>
        <w:t xml:space="preserve">[,] fu[e] interceptada por cinco […] individuos armados que [la] obligaron a ingresar nuevamente a la casa; uno de [ellos] se dirigió […] a la habitación de la […] tía del [señor Adrián] Meléndez [Quijano…] y comenzó a estrangularla[, cuando] ingresó […] su hija […] (prima del [señor Adrián] Meléndez [Quijano])[,] quien fue […] golpe[ada] con una pistola en el rostro, [la] cabeza y el cuerpo[. E]n ese momento los [individuos] ya se habían puesto gorros navarone; las tres mujeres que se encontraban solas fueron </w:t>
      </w:r>
      <w:r w:rsidRPr="00085997">
        <w:rPr>
          <w:rFonts w:ascii="Verdana" w:hAnsi="Verdana" w:cs="Calibri,Bold"/>
          <w:bCs/>
          <w:sz w:val="16"/>
          <w:szCs w:val="16"/>
        </w:rPr>
        <w:t>amenazadas [de] muerte, golpeadas, [y] arrastradas […</w:t>
      </w:r>
      <w:r w:rsidRPr="00085997">
        <w:rPr>
          <w:rFonts w:ascii="Verdana" w:hAnsi="Verdana" w:cs="Calibri"/>
          <w:sz w:val="16"/>
          <w:szCs w:val="16"/>
        </w:rPr>
        <w:t xml:space="preserve">,] además de haber sido </w:t>
      </w:r>
      <w:r w:rsidRPr="00085997">
        <w:rPr>
          <w:rFonts w:ascii="Verdana" w:hAnsi="Verdana" w:cs="Calibri,Bold"/>
          <w:bCs/>
          <w:sz w:val="16"/>
          <w:szCs w:val="16"/>
        </w:rPr>
        <w:t xml:space="preserve">ultrajada [sexualmente] </w:t>
      </w:r>
      <w:r w:rsidR="009E029C">
        <w:rPr>
          <w:rFonts w:ascii="Verdana" w:hAnsi="Verdana" w:cs="Calibri"/>
          <w:sz w:val="16"/>
          <w:szCs w:val="16"/>
        </w:rPr>
        <w:t xml:space="preserve">una de ellas[. </w:t>
      </w:r>
      <w:r w:rsidRPr="00085997">
        <w:rPr>
          <w:rFonts w:ascii="Verdana" w:hAnsi="Verdana" w:cs="Calibri"/>
          <w:sz w:val="16"/>
          <w:szCs w:val="16"/>
        </w:rPr>
        <w:t>…</w:t>
      </w:r>
      <w:r w:rsidRPr="00085997">
        <w:rPr>
          <w:rFonts w:ascii="Verdana" w:hAnsi="Verdana" w:cs="Calibri,Bold"/>
          <w:bCs/>
          <w:sz w:val="16"/>
          <w:szCs w:val="16"/>
        </w:rPr>
        <w:t>A]si</w:t>
      </w:r>
      <w:r w:rsidRPr="00085997">
        <w:rPr>
          <w:rFonts w:ascii="Verdana" w:hAnsi="Verdana" w:cs="Calibri"/>
          <w:sz w:val="16"/>
          <w:szCs w:val="16"/>
        </w:rPr>
        <w:t xml:space="preserve">mismo fueron amarradas de las manos y amordazadas[. …] </w:t>
      </w:r>
      <w:r w:rsidRPr="00085997">
        <w:rPr>
          <w:rFonts w:ascii="Verdana" w:hAnsi="Verdana" w:cs="Calibri,Bold"/>
          <w:bCs/>
          <w:sz w:val="16"/>
          <w:szCs w:val="16"/>
        </w:rPr>
        <w:t>L</w:t>
      </w:r>
      <w:r w:rsidRPr="00085997">
        <w:rPr>
          <w:rFonts w:ascii="Verdana" w:hAnsi="Verdana" w:cs="Calibri"/>
          <w:sz w:val="16"/>
          <w:szCs w:val="16"/>
        </w:rPr>
        <w:t>os [individuos]  estuvieron aproximadamente una hora con quince minutos […]; antes de retirarse se llevaron prendas de valor, dinero en efectivo y el vehículo de una de las [mujeres].</w:t>
      </w:r>
    </w:p>
    <w:p w:rsidR="00DA1E39" w:rsidRPr="00A31809" w:rsidRDefault="00DA1E39" w:rsidP="009B6065">
      <w:pPr>
        <w:autoSpaceDE w:val="0"/>
        <w:autoSpaceDN w:val="0"/>
        <w:adjustRightInd w:val="0"/>
        <w:ind w:left="851" w:right="704"/>
        <w:jc w:val="both"/>
        <w:rPr>
          <w:rFonts w:ascii="Verdana" w:hAnsi="Verdana"/>
          <w:sz w:val="16"/>
          <w:szCs w:val="16"/>
        </w:rPr>
      </w:pPr>
    </w:p>
    <w:p w:rsidR="000B406E" w:rsidRPr="00DA1E39" w:rsidRDefault="00083E66" w:rsidP="00DA1E39">
      <w:pPr>
        <w:numPr>
          <w:ilvl w:val="0"/>
          <w:numId w:val="1"/>
        </w:numPr>
        <w:tabs>
          <w:tab w:val="clear" w:pos="644"/>
        </w:tabs>
        <w:ind w:left="0" w:right="-8" w:firstLine="0"/>
        <w:jc w:val="both"/>
        <w:rPr>
          <w:rFonts w:ascii="Verdana" w:hAnsi="Verdana"/>
          <w:sz w:val="20"/>
          <w:szCs w:val="20"/>
        </w:rPr>
      </w:pPr>
      <w:r w:rsidRPr="00DA1E39">
        <w:rPr>
          <w:rFonts w:ascii="Verdana" w:hAnsi="Verdana"/>
          <w:sz w:val="20"/>
        </w:rPr>
        <w:t xml:space="preserve">Además </w:t>
      </w:r>
      <w:r w:rsidR="009B6065" w:rsidRPr="00DA1E39">
        <w:rPr>
          <w:rFonts w:ascii="Verdana" w:hAnsi="Verdana"/>
          <w:sz w:val="20"/>
        </w:rPr>
        <w:t>la representación manifestó</w:t>
      </w:r>
      <w:r w:rsidRPr="00DA1E39">
        <w:rPr>
          <w:rFonts w:ascii="Verdana" w:hAnsi="Verdana"/>
          <w:sz w:val="20"/>
        </w:rPr>
        <w:t xml:space="preserve"> que “detectives de la Policía Nacional Civil” </w:t>
      </w:r>
      <w:r w:rsidR="009B6065" w:rsidRPr="00DA1E39">
        <w:rPr>
          <w:rFonts w:ascii="Verdana" w:hAnsi="Verdana"/>
          <w:sz w:val="20"/>
        </w:rPr>
        <w:t>afirmaron</w:t>
      </w:r>
      <w:r w:rsidRPr="00DA1E39">
        <w:rPr>
          <w:rFonts w:ascii="Verdana" w:hAnsi="Verdana"/>
          <w:sz w:val="20"/>
        </w:rPr>
        <w:t xml:space="preserve"> que quienes cometieron los actos referidos “‘no son delincuentes comunes’”. </w:t>
      </w:r>
      <w:r w:rsidR="009B6065" w:rsidRPr="00DA1E39">
        <w:rPr>
          <w:rFonts w:ascii="Verdana" w:hAnsi="Verdana"/>
          <w:sz w:val="20"/>
        </w:rPr>
        <w:t>Dicha representación s</w:t>
      </w:r>
      <w:r w:rsidRPr="00DA1E39">
        <w:rPr>
          <w:rFonts w:ascii="Verdana" w:hAnsi="Verdana"/>
          <w:sz w:val="20"/>
        </w:rPr>
        <w:t>eñal</w:t>
      </w:r>
      <w:r w:rsidR="009B6065" w:rsidRPr="00DA1E39">
        <w:rPr>
          <w:rFonts w:ascii="Verdana" w:hAnsi="Verdana"/>
          <w:sz w:val="20"/>
        </w:rPr>
        <w:t>ó</w:t>
      </w:r>
      <w:r w:rsidRPr="00DA1E39">
        <w:rPr>
          <w:rFonts w:ascii="Verdana" w:hAnsi="Verdana"/>
          <w:sz w:val="20"/>
        </w:rPr>
        <w:t xml:space="preserve"> también que el mismo día el señor Adrián Meléndez Quijano y una hija </w:t>
      </w:r>
      <w:r w:rsidRPr="00D60B86">
        <w:rPr>
          <w:rFonts w:ascii="Verdana" w:hAnsi="Verdana"/>
          <w:sz w:val="20"/>
        </w:rPr>
        <w:t>suya</w:t>
      </w:r>
      <w:r w:rsidR="005F27CD" w:rsidRPr="005F27CD">
        <w:rPr>
          <w:rStyle w:val="FootnoteReference"/>
        </w:rPr>
        <w:footnoteReference w:id="6"/>
      </w:r>
      <w:r w:rsidRPr="00D60B86">
        <w:rPr>
          <w:rFonts w:ascii="Verdana" w:hAnsi="Verdana"/>
          <w:sz w:val="20"/>
        </w:rPr>
        <w:t xml:space="preserve"> recibieron</w:t>
      </w:r>
      <w:r w:rsidRPr="00DA1E39">
        <w:rPr>
          <w:rFonts w:ascii="Verdana" w:hAnsi="Verdana"/>
          <w:sz w:val="20"/>
        </w:rPr>
        <w:t xml:space="preserve"> llamados telefónicos amenazantes (dos él y uno ella), que hacían </w:t>
      </w:r>
      <w:r w:rsidR="009E029C" w:rsidRPr="00DA1E39">
        <w:rPr>
          <w:rFonts w:ascii="Verdana" w:hAnsi="Verdana"/>
          <w:sz w:val="20"/>
        </w:rPr>
        <w:t>referencia a los hechos descri</w:t>
      </w:r>
      <w:r w:rsidRPr="00DA1E39">
        <w:rPr>
          <w:rFonts w:ascii="Verdana" w:hAnsi="Verdana"/>
          <w:sz w:val="20"/>
        </w:rPr>
        <w:t>to</w:t>
      </w:r>
      <w:r w:rsidR="000B0CFD">
        <w:rPr>
          <w:rFonts w:ascii="Verdana" w:hAnsi="Verdana"/>
          <w:sz w:val="20"/>
        </w:rPr>
        <w:t>s. Indicó</w:t>
      </w:r>
      <w:r w:rsidR="009E029C" w:rsidRPr="00DA1E39">
        <w:rPr>
          <w:rFonts w:ascii="Verdana" w:hAnsi="Verdana"/>
          <w:sz w:val="20"/>
        </w:rPr>
        <w:t xml:space="preserve"> que dichas llamadas fueron puesta</w:t>
      </w:r>
      <w:r w:rsidRPr="00DA1E39">
        <w:rPr>
          <w:rFonts w:ascii="Verdana" w:hAnsi="Verdana"/>
          <w:sz w:val="20"/>
        </w:rPr>
        <w:t xml:space="preserve">s en conocimiento de “agentes de seguridad”. Por lo expuesto, solicitaron que “la Corte […] </w:t>
      </w:r>
      <w:r w:rsidRPr="00DA1E39">
        <w:rPr>
          <w:rFonts w:ascii="Verdana" w:hAnsi="Verdana"/>
          <w:sz w:val="20"/>
          <w:lang w:val="es-CR"/>
        </w:rPr>
        <w:t xml:space="preserve">valore la posibilidad [de] dictar las medidas provisionales que sean necesarias, para asegurar la vida y la integridad” de las tres mujeres atacadas y de un niño de cuatro años, quien según expresaron es hijo de la prima del señor Meléndez y es cuidado por la referida empleada. </w:t>
      </w:r>
      <w:r w:rsidR="001E1E61" w:rsidRPr="00DA1E39">
        <w:rPr>
          <w:rFonts w:ascii="Verdana" w:hAnsi="Verdana"/>
          <w:sz w:val="20"/>
          <w:lang w:val="es-CR"/>
        </w:rPr>
        <w:t xml:space="preserve">La anterior solicitud fue reiterada </w:t>
      </w:r>
      <w:r w:rsidR="000B0CFD">
        <w:rPr>
          <w:rFonts w:ascii="Verdana" w:hAnsi="Verdana"/>
          <w:sz w:val="20"/>
          <w:lang w:val="es-CR"/>
        </w:rPr>
        <w:t xml:space="preserve">por la representación </w:t>
      </w:r>
      <w:r w:rsidR="001E1E61" w:rsidRPr="00DA1E39">
        <w:rPr>
          <w:rFonts w:ascii="Verdana" w:hAnsi="Verdana"/>
          <w:sz w:val="20"/>
          <w:lang w:val="es-CR"/>
        </w:rPr>
        <w:t>en sus observaciones de 3 de octubre de 2014.</w:t>
      </w:r>
    </w:p>
    <w:p w:rsidR="00DA1E39" w:rsidRPr="00DA1E39" w:rsidRDefault="00DA1E39" w:rsidP="00DA1E39">
      <w:pPr>
        <w:ind w:right="-8"/>
        <w:jc w:val="both"/>
        <w:rPr>
          <w:rFonts w:ascii="Verdana" w:hAnsi="Verdana"/>
          <w:sz w:val="20"/>
          <w:szCs w:val="20"/>
        </w:rPr>
      </w:pPr>
    </w:p>
    <w:p w:rsidR="00083E66" w:rsidRPr="00DA1E39" w:rsidRDefault="00083E66" w:rsidP="00DA1E39">
      <w:pPr>
        <w:numPr>
          <w:ilvl w:val="0"/>
          <w:numId w:val="1"/>
        </w:numPr>
        <w:tabs>
          <w:tab w:val="clear" w:pos="644"/>
        </w:tabs>
        <w:ind w:left="0" w:right="-8" w:firstLine="0"/>
        <w:jc w:val="both"/>
        <w:rPr>
          <w:rFonts w:ascii="Verdana" w:hAnsi="Verdana"/>
          <w:sz w:val="20"/>
          <w:szCs w:val="20"/>
        </w:rPr>
      </w:pPr>
      <w:r w:rsidRPr="00DA1E39">
        <w:rPr>
          <w:rFonts w:ascii="Verdana" w:hAnsi="Verdana" w:cs="Helvetica"/>
          <w:sz w:val="20"/>
          <w:lang w:val="es-ES" w:bidi="en-US"/>
        </w:rPr>
        <w:t xml:space="preserve">La </w:t>
      </w:r>
      <w:r w:rsidRPr="00DA1E39">
        <w:rPr>
          <w:rFonts w:ascii="Verdana" w:hAnsi="Verdana" w:cs="Helvetica"/>
          <w:b/>
          <w:i/>
          <w:sz w:val="20"/>
          <w:lang w:val="es-ES" w:bidi="en-US"/>
        </w:rPr>
        <w:t>Comisión Interamericana</w:t>
      </w:r>
      <w:r w:rsidRPr="00DA1E39">
        <w:rPr>
          <w:rFonts w:ascii="Verdana" w:hAnsi="Verdana" w:cs="Helvetica"/>
          <w:sz w:val="20"/>
          <w:lang w:val="es-ES" w:bidi="en-US"/>
        </w:rPr>
        <w:t xml:space="preserve"> manifestó que </w:t>
      </w:r>
      <w:r w:rsidRPr="00DA1E39">
        <w:rPr>
          <w:rFonts w:ascii="Verdana" w:hAnsi="Verdana" w:cs="Helvetica"/>
          <w:sz w:val="20"/>
          <w:lang w:val="es-CR" w:bidi="en-US"/>
        </w:rPr>
        <w:t xml:space="preserve">“la solicitud de l[a] representa[ción de los beneficiarios] presenta elementos consistente[s] con los requisitos de extrema gravedad y urgencia […] y que </w:t>
      </w:r>
      <w:r w:rsidRPr="00DA1E39">
        <w:rPr>
          <w:rFonts w:ascii="Verdana" w:hAnsi="Verdana" w:cs="Helvetica"/>
          <w:i/>
          <w:sz w:val="20"/>
          <w:lang w:val="es-CR" w:bidi="en-US"/>
        </w:rPr>
        <w:t>prima facie</w:t>
      </w:r>
      <w:r w:rsidRPr="00DA1E39">
        <w:rPr>
          <w:rFonts w:ascii="Verdana" w:hAnsi="Verdana" w:cs="Helvetica"/>
          <w:sz w:val="20"/>
          <w:lang w:val="es-CR" w:bidi="en-US"/>
        </w:rPr>
        <w:t xml:space="preserve"> pareciera tratarse de una consecuencia de [la] relación familiar [de las personas atacadas] con el beneficiario [Adrián Meléndez Quijano]”. </w:t>
      </w:r>
    </w:p>
    <w:p w:rsidR="00DA1E39" w:rsidRPr="00DA1E39" w:rsidRDefault="00DA1E39" w:rsidP="00DA1E39">
      <w:pPr>
        <w:ind w:right="-8"/>
        <w:jc w:val="both"/>
        <w:rPr>
          <w:rFonts w:ascii="Verdana" w:hAnsi="Verdana"/>
          <w:sz w:val="20"/>
          <w:szCs w:val="20"/>
        </w:rPr>
      </w:pPr>
    </w:p>
    <w:p w:rsidR="00D60B86" w:rsidRPr="00D60B86" w:rsidRDefault="00083E66" w:rsidP="00DA1E39">
      <w:pPr>
        <w:numPr>
          <w:ilvl w:val="0"/>
          <w:numId w:val="1"/>
        </w:numPr>
        <w:tabs>
          <w:tab w:val="clear" w:pos="644"/>
        </w:tabs>
        <w:ind w:left="0" w:right="-8" w:firstLine="0"/>
        <w:jc w:val="both"/>
        <w:rPr>
          <w:rFonts w:ascii="Verdana" w:hAnsi="Verdana"/>
          <w:sz w:val="20"/>
          <w:szCs w:val="20"/>
        </w:rPr>
      </w:pPr>
      <w:r w:rsidRPr="00DA1E39">
        <w:rPr>
          <w:rFonts w:ascii="Verdana" w:hAnsi="Verdana" w:cs="Helvetica"/>
          <w:sz w:val="20"/>
          <w:lang w:val="es-ES" w:bidi="en-US"/>
        </w:rPr>
        <w:t xml:space="preserve">El </w:t>
      </w:r>
      <w:r w:rsidRPr="00DA1E39">
        <w:rPr>
          <w:rFonts w:ascii="Verdana" w:hAnsi="Verdana" w:cs="Helvetica"/>
          <w:b/>
          <w:i/>
          <w:sz w:val="20"/>
          <w:lang w:val="es-ES" w:bidi="en-US"/>
        </w:rPr>
        <w:t>Estado</w:t>
      </w:r>
      <w:r w:rsidRPr="00DA1E39">
        <w:rPr>
          <w:rFonts w:ascii="Verdana" w:hAnsi="Verdana" w:cs="Helvetica"/>
          <w:sz w:val="20"/>
          <w:lang w:val="es-ES" w:bidi="en-US"/>
        </w:rPr>
        <w:t>, por su parte, manifestó que lo aducido por la representación de los beneficiarios es “una situación en principio ajena a las medidas provisionales”</w:t>
      </w:r>
      <w:r>
        <w:rPr>
          <w:rStyle w:val="FootnoteReference"/>
          <w:lang w:val="es-ES" w:bidi="en-US"/>
        </w:rPr>
        <w:footnoteReference w:id="7"/>
      </w:r>
      <w:r w:rsidRPr="00DA1E39">
        <w:rPr>
          <w:rFonts w:ascii="Verdana" w:hAnsi="Verdana" w:cs="Helvetica"/>
          <w:sz w:val="20"/>
          <w:lang w:val="es-ES" w:bidi="en-US"/>
        </w:rPr>
        <w:t>.</w:t>
      </w:r>
      <w:r w:rsidR="00A50DB2" w:rsidRPr="00DA1E39">
        <w:rPr>
          <w:rFonts w:ascii="Verdana" w:hAnsi="Verdana" w:cs="Helvetica"/>
          <w:sz w:val="20"/>
          <w:lang w:val="es-ES" w:bidi="en-US"/>
        </w:rPr>
        <w:t xml:space="preserve"> Posteriormente</w:t>
      </w:r>
      <w:r w:rsidR="00694C04" w:rsidRPr="00DA1E39">
        <w:rPr>
          <w:rFonts w:ascii="Verdana" w:hAnsi="Verdana" w:cs="Helvetica"/>
          <w:sz w:val="20"/>
          <w:lang w:val="es-ES" w:bidi="en-US"/>
        </w:rPr>
        <w:t>,</w:t>
      </w:r>
      <w:r w:rsidR="00A50DB2" w:rsidRPr="00DA1E39">
        <w:rPr>
          <w:rFonts w:ascii="Verdana" w:hAnsi="Verdana" w:cs="Helvetica"/>
          <w:sz w:val="20"/>
          <w:lang w:val="es-ES" w:bidi="en-US"/>
        </w:rPr>
        <w:t xml:space="preserve"> informó </w:t>
      </w:r>
      <w:r w:rsidR="00694C04" w:rsidRPr="00DA1E39">
        <w:rPr>
          <w:rFonts w:ascii="Verdana" w:hAnsi="Verdana" w:cs="Helvetica"/>
          <w:sz w:val="20"/>
          <w:lang w:val="es-CR" w:bidi="en-US"/>
        </w:rPr>
        <w:t xml:space="preserve">que </w:t>
      </w:r>
    </w:p>
    <w:p w:rsidR="00D60B86" w:rsidRDefault="00D60B86" w:rsidP="00D60B86">
      <w:pPr>
        <w:pStyle w:val="ListParagraph"/>
        <w:rPr>
          <w:rFonts w:ascii="Verdana" w:hAnsi="Verdana" w:cs="Helvetica"/>
          <w:sz w:val="20"/>
          <w:lang w:val="es-CR" w:bidi="en-US"/>
        </w:rPr>
      </w:pPr>
    </w:p>
    <w:p w:rsidR="00D60B86" w:rsidRPr="00D60B86" w:rsidRDefault="00694C04" w:rsidP="00D60B86">
      <w:pPr>
        <w:ind w:left="851" w:right="704"/>
        <w:jc w:val="both"/>
        <w:rPr>
          <w:rFonts w:ascii="Verdana" w:hAnsi="Verdana" w:cs="Helvetica"/>
          <w:sz w:val="16"/>
          <w:szCs w:val="16"/>
          <w:lang w:val="es-CR" w:bidi="en-US"/>
        </w:rPr>
      </w:pPr>
      <w:r w:rsidRPr="00D60B86">
        <w:rPr>
          <w:rFonts w:ascii="Verdana" w:hAnsi="Verdana" w:cs="Helvetica"/>
          <w:sz w:val="16"/>
          <w:szCs w:val="16"/>
          <w:lang w:val="es-CR" w:bidi="en-US"/>
        </w:rPr>
        <w:t>en cumplimiento de su responsabilidad de garantizar los derechos humanos de sus ciudadanos, han sido activadas ya las instancias internas para la investigación de los hechos y para la individualización y localización de los responsables, a través de un mecanismo diferente al establecido para operativizar la seguridad del señor Meléndez Quijano y su familia, ya que las personas víctimas de estos nuevos hechos no son beneficiarias de las medidas provisionales ordenadas por la Corte</w:t>
      </w:r>
      <w:r w:rsidR="007B61AB" w:rsidRPr="00D60B86">
        <w:rPr>
          <w:rFonts w:ascii="Verdana" w:hAnsi="Verdana" w:cs="Helvetica"/>
          <w:sz w:val="16"/>
          <w:szCs w:val="16"/>
          <w:lang w:val="es-CR" w:bidi="en-US"/>
        </w:rPr>
        <w:t>.</w:t>
      </w:r>
    </w:p>
    <w:p w:rsidR="00D60B86" w:rsidRPr="00D60B86" w:rsidRDefault="00D60B86" w:rsidP="00D60B86">
      <w:pPr>
        <w:ind w:right="-8"/>
        <w:jc w:val="both"/>
        <w:rPr>
          <w:rFonts w:ascii="Verdana" w:hAnsi="Verdana" w:cs="Helvetica"/>
          <w:sz w:val="20"/>
          <w:lang w:val="es-CR" w:bidi="en-US"/>
        </w:rPr>
      </w:pPr>
    </w:p>
    <w:p w:rsidR="00083E66" w:rsidRPr="00DA1E39" w:rsidRDefault="00A014AD" w:rsidP="00DA1E39">
      <w:pPr>
        <w:numPr>
          <w:ilvl w:val="0"/>
          <w:numId w:val="1"/>
        </w:numPr>
        <w:tabs>
          <w:tab w:val="clear" w:pos="644"/>
        </w:tabs>
        <w:ind w:left="0" w:right="-8" w:firstLine="0"/>
        <w:jc w:val="both"/>
        <w:rPr>
          <w:rFonts w:ascii="Verdana" w:hAnsi="Verdana"/>
          <w:sz w:val="20"/>
          <w:szCs w:val="20"/>
        </w:rPr>
      </w:pPr>
      <w:r>
        <w:rPr>
          <w:rFonts w:ascii="Verdana" w:hAnsi="Verdana" w:cs="Helvetica"/>
          <w:sz w:val="20"/>
          <w:lang w:bidi="en-US"/>
        </w:rPr>
        <w:lastRenderedPageBreak/>
        <w:t>La</w:t>
      </w:r>
      <w:r w:rsidR="00083E66" w:rsidRPr="00DA1E39">
        <w:rPr>
          <w:rFonts w:ascii="Verdana" w:hAnsi="Verdana" w:cs="Helvetica"/>
          <w:i/>
          <w:sz w:val="20"/>
          <w:lang w:val="es-ES" w:bidi="en-US"/>
        </w:rPr>
        <w:t xml:space="preserve"> </w:t>
      </w:r>
      <w:r w:rsidR="00E8446F" w:rsidRPr="00A014AD">
        <w:rPr>
          <w:rFonts w:ascii="Verdana" w:hAnsi="Verdana" w:cs="Helvetica"/>
          <w:b/>
          <w:i/>
          <w:sz w:val="20"/>
          <w:lang w:val="es-ES" w:bidi="en-US"/>
        </w:rPr>
        <w:t xml:space="preserve">Corte </w:t>
      </w:r>
      <w:r w:rsidR="00083E66" w:rsidRPr="00DA1E39">
        <w:rPr>
          <w:rFonts w:ascii="Verdana" w:hAnsi="Verdana" w:cs="Helvetica"/>
          <w:sz w:val="20"/>
          <w:lang w:val="es-ES" w:bidi="en-US"/>
        </w:rPr>
        <w:t>advierte, en primer término, que la solicitud de adopción de medidas provisionales (</w:t>
      </w:r>
      <w:r w:rsidR="00083E66" w:rsidRPr="00DA1E39">
        <w:rPr>
          <w:rFonts w:ascii="Verdana" w:hAnsi="Verdana" w:cs="Helvetica"/>
          <w:i/>
          <w:sz w:val="20"/>
          <w:lang w:val="es-ES" w:bidi="en-US"/>
        </w:rPr>
        <w:t>supra</w:t>
      </w:r>
      <w:r w:rsidR="00083E66" w:rsidRPr="00DA1E39">
        <w:rPr>
          <w:rFonts w:ascii="Verdana" w:hAnsi="Verdana" w:cs="Helvetica"/>
          <w:sz w:val="20"/>
          <w:lang w:val="es-ES" w:bidi="en-US"/>
        </w:rPr>
        <w:t xml:space="preserve"> Visto 2) fue presentada por la representación de los beneficiarios. Sin perjuicio de ello se desprende de lo manifestado por la Comisión (</w:t>
      </w:r>
      <w:r w:rsidR="00083E66" w:rsidRPr="00DA1E39">
        <w:rPr>
          <w:rFonts w:ascii="Verdana" w:hAnsi="Verdana" w:cs="Helvetica"/>
          <w:i/>
          <w:sz w:val="20"/>
          <w:lang w:val="es-ES" w:bidi="en-US"/>
        </w:rPr>
        <w:t>supra</w:t>
      </w:r>
      <w:r w:rsidR="00083E66" w:rsidRPr="00DA1E39">
        <w:rPr>
          <w:rFonts w:ascii="Verdana" w:hAnsi="Verdana" w:cs="Helvetica"/>
          <w:sz w:val="20"/>
          <w:lang w:val="es-ES" w:bidi="en-US"/>
        </w:rPr>
        <w:t xml:space="preserve"> Considerando 6) que aunque no formuló en forma explícita dicha solicitud, concuerda con el pedido de la representación de los beneficiarios. </w:t>
      </w:r>
    </w:p>
    <w:p w:rsidR="00DA1E39" w:rsidRDefault="00DA1E39" w:rsidP="00DA1E39">
      <w:pPr>
        <w:pStyle w:val="ListParagraph"/>
        <w:rPr>
          <w:rFonts w:ascii="Verdana" w:hAnsi="Verdana"/>
          <w:sz w:val="20"/>
          <w:szCs w:val="20"/>
        </w:rPr>
      </w:pPr>
    </w:p>
    <w:p w:rsidR="00083E66" w:rsidRPr="00DA1E39" w:rsidRDefault="00083E66" w:rsidP="00DA1E39">
      <w:pPr>
        <w:numPr>
          <w:ilvl w:val="0"/>
          <w:numId w:val="1"/>
        </w:numPr>
        <w:tabs>
          <w:tab w:val="clear" w:pos="644"/>
        </w:tabs>
        <w:ind w:left="0" w:right="-8" w:firstLine="0"/>
        <w:jc w:val="both"/>
        <w:rPr>
          <w:rFonts w:ascii="Verdana" w:hAnsi="Verdana"/>
          <w:sz w:val="20"/>
          <w:szCs w:val="20"/>
        </w:rPr>
      </w:pPr>
      <w:r w:rsidRPr="00DA1E39">
        <w:rPr>
          <w:rFonts w:ascii="Verdana" w:hAnsi="Verdana" w:cs="Helvetica"/>
          <w:sz w:val="20"/>
          <w:lang w:val="es-ES" w:bidi="en-US"/>
        </w:rPr>
        <w:t>Ahora bien, de lo señalado por la representación de los beneficiarios, como también por la Comisión (</w:t>
      </w:r>
      <w:r w:rsidRPr="00DA1E39">
        <w:rPr>
          <w:rFonts w:ascii="Verdana" w:hAnsi="Verdana" w:cs="Helvetica"/>
          <w:i/>
          <w:sz w:val="20"/>
          <w:lang w:val="es-ES" w:bidi="en-US"/>
        </w:rPr>
        <w:t>supra</w:t>
      </w:r>
      <w:r w:rsidRPr="00DA1E39">
        <w:rPr>
          <w:rFonts w:ascii="Verdana" w:hAnsi="Verdana" w:cs="Helvetica"/>
          <w:sz w:val="20"/>
          <w:lang w:val="es-ES" w:bidi="en-US"/>
        </w:rPr>
        <w:t xml:space="preserve"> Considerandos 4</w:t>
      </w:r>
      <w:r w:rsidR="009B6065" w:rsidRPr="00DA1E39">
        <w:rPr>
          <w:rFonts w:ascii="Verdana" w:hAnsi="Verdana" w:cs="Helvetica"/>
          <w:sz w:val="20"/>
          <w:lang w:val="es-ES" w:bidi="en-US"/>
        </w:rPr>
        <w:t xml:space="preserve"> a 6</w:t>
      </w:r>
      <w:r w:rsidRPr="00DA1E39">
        <w:rPr>
          <w:rFonts w:ascii="Verdana" w:hAnsi="Verdana" w:cs="Helvetica"/>
          <w:sz w:val="20"/>
          <w:lang w:val="es-ES" w:bidi="en-US"/>
        </w:rPr>
        <w:t>), se desprende que la solicitud de adopción de medidas provisionales se realiza en tanto se aduce una eventual vinculación entre los hechos que, según se indicó, ocurrieron el 23 de agosto de 2014, y circunstancias atinentes a las medidas provisionales ya ordenadas. Siendo esto así, lo requerido debe considerarse un pedido de ampliación de las medidas provisionales vigentes, para que las mismas abarquen la protección de cuatro personas más. Dado lo dicho, corresponde examinar si resulta suficientemente fundada la posible vinculación de los hechos manifestados por la representación de los beneficiarios, con aquellos hechos que dieron origen a las medidas provisionales vigentes</w:t>
      </w:r>
      <w:r>
        <w:rPr>
          <w:rStyle w:val="FootnoteReference"/>
          <w:lang w:val="es-ES" w:bidi="en-US"/>
        </w:rPr>
        <w:footnoteReference w:id="8"/>
      </w:r>
      <w:r w:rsidRPr="00DA1E39">
        <w:rPr>
          <w:rFonts w:ascii="Verdana" w:hAnsi="Verdana" w:cs="Helvetica"/>
          <w:sz w:val="20"/>
          <w:lang w:val="es-ES" w:bidi="en-US"/>
        </w:rPr>
        <w:t xml:space="preserve">. </w:t>
      </w:r>
    </w:p>
    <w:p w:rsidR="00DA1E39" w:rsidRDefault="00DA1E39" w:rsidP="00DA1E39">
      <w:pPr>
        <w:pStyle w:val="ListParagraph"/>
        <w:rPr>
          <w:rFonts w:ascii="Verdana" w:hAnsi="Verdana"/>
          <w:sz w:val="20"/>
          <w:szCs w:val="20"/>
        </w:rPr>
      </w:pPr>
    </w:p>
    <w:p w:rsidR="00083E66" w:rsidRPr="00DA1E39" w:rsidRDefault="00083E66" w:rsidP="00DA1E39">
      <w:pPr>
        <w:numPr>
          <w:ilvl w:val="0"/>
          <w:numId w:val="1"/>
        </w:numPr>
        <w:tabs>
          <w:tab w:val="clear" w:pos="644"/>
        </w:tabs>
        <w:ind w:left="0" w:right="-8" w:firstLine="0"/>
        <w:jc w:val="both"/>
        <w:rPr>
          <w:rFonts w:ascii="Verdana" w:hAnsi="Verdana"/>
          <w:sz w:val="20"/>
          <w:szCs w:val="20"/>
        </w:rPr>
      </w:pPr>
      <w:r w:rsidRPr="00DA1E39">
        <w:rPr>
          <w:rFonts w:ascii="Verdana" w:hAnsi="Verdana" w:cs="Helvetica"/>
          <w:sz w:val="20"/>
          <w:lang w:val="es-ES" w:bidi="en-US"/>
        </w:rPr>
        <w:t>Al respecto, debe recordarse que las medidas provisionales, dispuestas por la Corte hace más de siete años, tuvieron por antecedentes una serie de actos de amenazas, hostigamientos y agresiones, cometidos contra el señor Adrián Meléndez Quijano y otras personas, los que, según la Comisión indicó que los antes “peticionarios” expresaron, “</w:t>
      </w:r>
      <w:r w:rsidRPr="00DA1E39">
        <w:rPr>
          <w:rFonts w:ascii="Verdana" w:hAnsi="Verdana"/>
          <w:sz w:val="20"/>
        </w:rPr>
        <w:t xml:space="preserve">ocurri[eron] debido a que el [señor] Meléndez […], quien fue jefe del Departamento de Derechos Humanos del Ministerio de Defensa Nacional, realizó denuncias por violaciones a derechos humanos presuntamente cometidas por el Ejército </w:t>
      </w:r>
      <w:r w:rsidRPr="00D60B86">
        <w:rPr>
          <w:rFonts w:ascii="Verdana" w:hAnsi="Verdana"/>
          <w:sz w:val="20"/>
        </w:rPr>
        <w:t>salvadoreño”</w:t>
      </w:r>
      <w:r w:rsidRPr="00D60B86">
        <w:rPr>
          <w:rStyle w:val="FootnoteReference"/>
        </w:rPr>
        <w:footnoteReference w:id="9"/>
      </w:r>
      <w:r w:rsidRPr="00D60B86">
        <w:rPr>
          <w:rFonts w:ascii="Verdana" w:hAnsi="Verdana" w:cs="Helvetica"/>
          <w:sz w:val="20"/>
          <w:lang w:val="es-ES" w:bidi="en-US"/>
        </w:rPr>
        <w:t>.</w:t>
      </w:r>
      <w:r w:rsidRPr="00DA1E39">
        <w:rPr>
          <w:rFonts w:ascii="Verdana" w:hAnsi="Verdana" w:cs="Helvetica"/>
          <w:sz w:val="20"/>
          <w:lang w:val="es-ES" w:bidi="en-US"/>
        </w:rPr>
        <w:t xml:space="preserve"> En relación con ello, </w:t>
      </w:r>
      <w:r w:rsidR="004E6CDE" w:rsidRPr="00DA1E39">
        <w:rPr>
          <w:rFonts w:ascii="Verdana" w:hAnsi="Verdana" w:cs="Helvetica"/>
          <w:sz w:val="20"/>
          <w:lang w:val="es-ES" w:bidi="en-US"/>
        </w:rPr>
        <w:t xml:space="preserve">la Corte </w:t>
      </w:r>
      <w:r w:rsidRPr="00DA1E39">
        <w:rPr>
          <w:rFonts w:ascii="Verdana" w:hAnsi="Verdana" w:cs="Helvetica"/>
          <w:sz w:val="20"/>
          <w:lang w:val="es-ES" w:bidi="en-US"/>
        </w:rPr>
        <w:t>no encuentra elementos suficientes, sobre la base de lo expresado por la representación de los beneficiarios, así como por la Comisión, que permitan relacionar las agresiones sufridas por tres de las cuatro personas respecto de quienes se solicita la adopción de medida</w:t>
      </w:r>
      <w:r w:rsidR="008D1B0C">
        <w:rPr>
          <w:rFonts w:ascii="Verdana" w:hAnsi="Verdana" w:cs="Helvetica"/>
          <w:sz w:val="20"/>
          <w:lang w:val="es-ES" w:bidi="en-US"/>
        </w:rPr>
        <w:t>s</w:t>
      </w:r>
      <w:r w:rsidRPr="00DA1E39">
        <w:rPr>
          <w:rFonts w:ascii="Verdana" w:hAnsi="Verdana" w:cs="Helvetica"/>
          <w:sz w:val="20"/>
          <w:lang w:val="es-ES" w:bidi="en-US"/>
        </w:rPr>
        <w:t xml:space="preserve"> provisionales en su beneficio, con los hechos que dieron origen a las medidas. Por ello, no puede estimar procedente lo solicitado. </w:t>
      </w:r>
    </w:p>
    <w:p w:rsidR="00DA1E39" w:rsidRPr="00C44F0A" w:rsidRDefault="00DA1E39" w:rsidP="00C44F0A">
      <w:pPr>
        <w:rPr>
          <w:rFonts w:ascii="Verdana" w:hAnsi="Verdana"/>
          <w:sz w:val="20"/>
          <w:szCs w:val="20"/>
        </w:rPr>
      </w:pPr>
    </w:p>
    <w:p w:rsidR="00083E66" w:rsidRPr="00DA1E39" w:rsidRDefault="00083E66" w:rsidP="00043880">
      <w:pPr>
        <w:numPr>
          <w:ilvl w:val="0"/>
          <w:numId w:val="1"/>
        </w:numPr>
        <w:tabs>
          <w:tab w:val="clear" w:pos="644"/>
        </w:tabs>
        <w:ind w:left="0" w:right="-8" w:firstLine="0"/>
        <w:jc w:val="both"/>
        <w:rPr>
          <w:rFonts w:ascii="Verdana" w:hAnsi="Verdana"/>
          <w:sz w:val="20"/>
          <w:szCs w:val="20"/>
        </w:rPr>
      </w:pPr>
      <w:r w:rsidRPr="00DA1E39">
        <w:rPr>
          <w:rFonts w:ascii="Verdana" w:hAnsi="Verdana" w:cs="Helvetica"/>
          <w:sz w:val="20"/>
          <w:lang w:val="es-ES" w:bidi="en-US"/>
        </w:rPr>
        <w:t>Sin perjuicio de lo decidido</w:t>
      </w:r>
      <w:r w:rsidR="004E6CDE" w:rsidRPr="00DA1E39">
        <w:rPr>
          <w:rFonts w:ascii="Verdana" w:hAnsi="Verdana" w:cs="Helvetica"/>
          <w:sz w:val="20"/>
          <w:lang w:val="es-ES" w:bidi="en-US"/>
        </w:rPr>
        <w:t>, este Tribunal</w:t>
      </w:r>
      <w:r w:rsidRPr="00DA1E39">
        <w:rPr>
          <w:rFonts w:ascii="Verdana" w:hAnsi="Verdana" w:cs="Helvetica"/>
          <w:sz w:val="20"/>
          <w:lang w:val="es-ES" w:bidi="en-US"/>
        </w:rPr>
        <w:t xml:space="preserve"> </w:t>
      </w:r>
      <w:r w:rsidR="009B6065" w:rsidRPr="00DA1E39">
        <w:rPr>
          <w:rFonts w:ascii="Verdana" w:hAnsi="Verdana" w:cs="Helvetica"/>
          <w:sz w:val="20"/>
          <w:lang w:val="es-ES" w:bidi="en-US"/>
        </w:rPr>
        <w:t>recuerda al Estado</w:t>
      </w:r>
      <w:r w:rsidRPr="00DA1E39">
        <w:rPr>
          <w:rFonts w:ascii="Verdana" w:hAnsi="Verdana" w:cs="Helvetica"/>
          <w:sz w:val="20"/>
          <w:lang w:val="es-CR" w:bidi="en-US"/>
        </w:rPr>
        <w:t xml:space="preserve"> que el artículo 1.1 de la Convención establece las obligaciones generales que tienen los Estados Parte</w:t>
      </w:r>
      <w:r w:rsidR="008D1B0C">
        <w:rPr>
          <w:rFonts w:ascii="Verdana" w:hAnsi="Verdana" w:cs="Helvetica"/>
          <w:sz w:val="20"/>
          <w:lang w:val="es-CR" w:bidi="en-US"/>
        </w:rPr>
        <w:t>s</w:t>
      </w:r>
      <w:r w:rsidRPr="00DA1E39">
        <w:rPr>
          <w:rFonts w:ascii="Verdana" w:hAnsi="Verdana" w:cs="Helvetica"/>
          <w:sz w:val="20"/>
          <w:lang w:val="es-CR" w:bidi="en-US"/>
        </w:rPr>
        <w:t xml:space="preserve"> de respetar los derechos y libertades en ella consagrados y de garantizar su libre y pleno ejercicio a toda persona que esté sujeta a su jurisdicción. En consecuencia, independientemente de la adopción de medidas provisionales específicas, el Estado se encuentra especialmente obligado a garantizar los derechos de las personas en situación de riesgo</w:t>
      </w:r>
      <w:r>
        <w:rPr>
          <w:rStyle w:val="FootnoteReference"/>
          <w:lang w:val="es-CR" w:bidi="en-US"/>
        </w:rPr>
        <w:footnoteReference w:id="10"/>
      </w:r>
      <w:r w:rsidRPr="00DA1E39">
        <w:rPr>
          <w:rFonts w:ascii="Verdana" w:hAnsi="Verdana" w:cs="Helvetica"/>
          <w:sz w:val="20"/>
          <w:lang w:val="es-CR" w:bidi="en-US"/>
        </w:rPr>
        <w:t xml:space="preserve">. </w:t>
      </w:r>
    </w:p>
    <w:p w:rsidR="00043880" w:rsidRDefault="00043880" w:rsidP="00043880">
      <w:pPr>
        <w:ind w:right="-8"/>
        <w:jc w:val="both"/>
        <w:rPr>
          <w:rFonts w:ascii="Verdana" w:hAnsi="Verdana"/>
          <w:sz w:val="18"/>
          <w:szCs w:val="18"/>
        </w:rPr>
      </w:pPr>
    </w:p>
    <w:p w:rsidR="00043880" w:rsidRDefault="00043880" w:rsidP="00043880">
      <w:pPr>
        <w:ind w:right="-8"/>
        <w:jc w:val="both"/>
        <w:rPr>
          <w:rFonts w:ascii="Verdana" w:hAnsi="Verdana"/>
          <w:sz w:val="18"/>
          <w:szCs w:val="18"/>
        </w:rPr>
      </w:pPr>
    </w:p>
    <w:p w:rsidR="00E8446F" w:rsidRPr="00EE5F7F" w:rsidRDefault="0075654E" w:rsidP="00043880">
      <w:pPr>
        <w:ind w:right="-8" w:firstLine="708"/>
        <w:jc w:val="both"/>
        <w:rPr>
          <w:rFonts w:ascii="Verdana" w:hAnsi="Verdana"/>
          <w:b/>
          <w:sz w:val="20"/>
          <w:szCs w:val="20"/>
        </w:rPr>
      </w:pPr>
      <w:r w:rsidRPr="006F5228">
        <w:rPr>
          <w:rFonts w:ascii="Verdana" w:hAnsi="Verdana"/>
          <w:b/>
          <w:i/>
          <w:sz w:val="20"/>
          <w:szCs w:val="20"/>
        </w:rPr>
        <w:t>B.</w:t>
      </w:r>
      <w:r w:rsidRPr="00EE5F7F">
        <w:rPr>
          <w:rFonts w:ascii="Verdana" w:hAnsi="Verdana"/>
          <w:b/>
          <w:sz w:val="20"/>
          <w:szCs w:val="20"/>
        </w:rPr>
        <w:t xml:space="preserve"> </w:t>
      </w:r>
      <w:r w:rsidRPr="00EE5F7F">
        <w:rPr>
          <w:rFonts w:ascii="Verdana" w:hAnsi="Verdana"/>
          <w:b/>
          <w:i/>
          <w:sz w:val="20"/>
          <w:szCs w:val="20"/>
        </w:rPr>
        <w:t>Sobre las medidas provisionales vigentes</w:t>
      </w:r>
      <w:r w:rsidR="007B61AB" w:rsidRPr="00EE5F7F">
        <w:rPr>
          <w:rFonts w:ascii="Verdana" w:hAnsi="Verdana"/>
          <w:b/>
          <w:i/>
          <w:sz w:val="20"/>
          <w:szCs w:val="20"/>
        </w:rPr>
        <w:t xml:space="preserve"> respecto al señor Meléndez Quijano y sus familiares</w:t>
      </w:r>
    </w:p>
    <w:p w:rsidR="00E8446F" w:rsidRDefault="00E8446F" w:rsidP="00043880">
      <w:pPr>
        <w:ind w:right="-8"/>
        <w:jc w:val="both"/>
        <w:rPr>
          <w:rFonts w:ascii="Verdana" w:hAnsi="Verdana"/>
          <w:sz w:val="18"/>
          <w:szCs w:val="18"/>
        </w:rPr>
      </w:pPr>
    </w:p>
    <w:p w:rsidR="00D01164" w:rsidRPr="008220A6" w:rsidRDefault="00DA1E39" w:rsidP="00043880">
      <w:pPr>
        <w:numPr>
          <w:ilvl w:val="0"/>
          <w:numId w:val="1"/>
        </w:numPr>
        <w:tabs>
          <w:tab w:val="clear" w:pos="644"/>
        </w:tabs>
        <w:ind w:left="0" w:right="-8" w:firstLine="0"/>
        <w:jc w:val="both"/>
        <w:rPr>
          <w:rFonts w:ascii="Verdana" w:hAnsi="Verdana"/>
          <w:sz w:val="20"/>
          <w:szCs w:val="20"/>
        </w:rPr>
      </w:pPr>
      <w:r w:rsidRPr="008220A6">
        <w:rPr>
          <w:rFonts w:ascii="Verdana" w:hAnsi="Verdana"/>
          <w:sz w:val="20"/>
          <w:szCs w:val="20"/>
        </w:rPr>
        <w:t xml:space="preserve">La </w:t>
      </w:r>
      <w:r w:rsidRPr="008220A6">
        <w:rPr>
          <w:rFonts w:ascii="Verdana" w:hAnsi="Verdana"/>
          <w:b/>
          <w:i/>
          <w:sz w:val="20"/>
          <w:szCs w:val="20"/>
        </w:rPr>
        <w:t>representación de los beneficiarios</w:t>
      </w:r>
      <w:r w:rsidR="0094198B" w:rsidRPr="008220A6">
        <w:rPr>
          <w:rFonts w:ascii="Verdana" w:hAnsi="Verdana"/>
          <w:sz w:val="20"/>
          <w:szCs w:val="20"/>
        </w:rPr>
        <w:t xml:space="preserve"> señal</w:t>
      </w:r>
      <w:r w:rsidR="00305583" w:rsidRPr="008220A6">
        <w:rPr>
          <w:rFonts w:ascii="Verdana" w:hAnsi="Verdana"/>
          <w:sz w:val="20"/>
          <w:szCs w:val="20"/>
        </w:rPr>
        <w:t>ó</w:t>
      </w:r>
      <w:r w:rsidR="0094198B" w:rsidRPr="008220A6">
        <w:rPr>
          <w:rFonts w:ascii="Verdana" w:hAnsi="Verdana"/>
          <w:sz w:val="20"/>
          <w:szCs w:val="20"/>
        </w:rPr>
        <w:t xml:space="preserve"> </w:t>
      </w:r>
      <w:r w:rsidR="008C2977" w:rsidRPr="008220A6">
        <w:rPr>
          <w:rFonts w:ascii="Verdana" w:hAnsi="Verdana"/>
          <w:sz w:val="20"/>
          <w:szCs w:val="20"/>
        </w:rPr>
        <w:t>que las acciones que dieron origen a las medidas provisionales “todavía persisten [y] revelan un nivel de riesgo y peligro que existe para los beneficiarios, pues son hechos concretos y reales de amenazas a la seguridad e integridad física</w:t>
      </w:r>
      <w:r w:rsidR="00714CBC" w:rsidRPr="008220A6">
        <w:rPr>
          <w:rFonts w:ascii="Verdana" w:hAnsi="Verdana"/>
          <w:sz w:val="20"/>
          <w:szCs w:val="20"/>
        </w:rPr>
        <w:t>, que se han perpetr</w:t>
      </w:r>
      <w:r w:rsidR="00B804C7" w:rsidRPr="008220A6">
        <w:rPr>
          <w:rFonts w:ascii="Verdana" w:hAnsi="Verdana"/>
          <w:sz w:val="20"/>
          <w:szCs w:val="20"/>
        </w:rPr>
        <w:t>ado, al</w:t>
      </w:r>
      <w:r w:rsidR="00476E1E" w:rsidRPr="008220A6">
        <w:rPr>
          <w:rFonts w:ascii="Verdana" w:hAnsi="Verdana"/>
          <w:sz w:val="20"/>
          <w:szCs w:val="20"/>
        </w:rPr>
        <w:t xml:space="preserve">gunas de las cuales </w:t>
      </w:r>
      <w:r w:rsidR="00476E1E" w:rsidRPr="008220A6">
        <w:rPr>
          <w:rFonts w:ascii="Verdana" w:hAnsi="Verdana"/>
          <w:sz w:val="20"/>
          <w:szCs w:val="20"/>
        </w:rPr>
        <w:lastRenderedPageBreak/>
        <w:t>han sido puestas en conocimiento de este Tribunal con anterioridad</w:t>
      </w:r>
      <w:r w:rsidR="008220A6">
        <w:rPr>
          <w:rFonts w:ascii="Verdana" w:hAnsi="Verdana"/>
          <w:sz w:val="20"/>
          <w:szCs w:val="20"/>
        </w:rPr>
        <w:t>”</w:t>
      </w:r>
      <w:r w:rsidR="00476E1E" w:rsidRPr="008220A6">
        <w:rPr>
          <w:rFonts w:ascii="Verdana" w:hAnsi="Verdana"/>
          <w:sz w:val="20"/>
          <w:szCs w:val="20"/>
        </w:rPr>
        <w:t>. A la vez presentó una lista de supuestas amenazas y</w:t>
      </w:r>
      <w:r w:rsidR="00442E73" w:rsidRPr="008220A6">
        <w:rPr>
          <w:rFonts w:ascii="Verdana" w:hAnsi="Verdana"/>
          <w:sz w:val="20"/>
          <w:szCs w:val="20"/>
        </w:rPr>
        <w:t xml:space="preserve"> actos de agresión u hostigamiento que vinculó a un</w:t>
      </w:r>
      <w:r w:rsidR="00476E1E" w:rsidRPr="008220A6">
        <w:rPr>
          <w:rFonts w:ascii="Verdana" w:hAnsi="Verdana"/>
          <w:sz w:val="20"/>
          <w:szCs w:val="20"/>
        </w:rPr>
        <w:t xml:space="preserve"> peligro a la integridad física para cada uno de los miembros de la familia</w:t>
      </w:r>
      <w:r w:rsidR="00442E73" w:rsidRPr="008220A6">
        <w:rPr>
          <w:rFonts w:ascii="Verdana" w:hAnsi="Verdana"/>
          <w:sz w:val="20"/>
          <w:szCs w:val="20"/>
        </w:rPr>
        <w:t>, y</w:t>
      </w:r>
      <w:r w:rsidR="00476E1E" w:rsidRPr="008220A6">
        <w:rPr>
          <w:rFonts w:ascii="Verdana" w:hAnsi="Verdana"/>
          <w:sz w:val="20"/>
          <w:szCs w:val="20"/>
        </w:rPr>
        <w:t xml:space="preserve"> que hab</w:t>
      </w:r>
      <w:r w:rsidR="00635C8F" w:rsidRPr="008220A6">
        <w:rPr>
          <w:rFonts w:ascii="Verdana" w:hAnsi="Verdana"/>
          <w:sz w:val="20"/>
          <w:szCs w:val="20"/>
        </w:rPr>
        <w:t>r</w:t>
      </w:r>
      <w:r w:rsidR="00476E1E" w:rsidRPr="008220A6">
        <w:rPr>
          <w:rFonts w:ascii="Verdana" w:hAnsi="Verdana"/>
          <w:sz w:val="20"/>
          <w:szCs w:val="20"/>
        </w:rPr>
        <w:t>ían ocurrido entre el 16 de julio de 2013 al 11 de diciembre de 2013</w:t>
      </w:r>
      <w:r w:rsidR="006351F4" w:rsidRPr="008220A6">
        <w:rPr>
          <w:rStyle w:val="FootnoteReference"/>
          <w:sz w:val="20"/>
          <w:szCs w:val="20"/>
        </w:rPr>
        <w:footnoteReference w:id="11"/>
      </w:r>
      <w:r w:rsidR="00476E1E" w:rsidRPr="008220A6">
        <w:rPr>
          <w:rFonts w:ascii="Verdana" w:hAnsi="Verdana"/>
          <w:sz w:val="20"/>
          <w:szCs w:val="20"/>
        </w:rPr>
        <w:t xml:space="preserve">, y </w:t>
      </w:r>
      <w:r w:rsidR="00007516" w:rsidRPr="00007516">
        <w:rPr>
          <w:rFonts w:ascii="Verdana" w:hAnsi="Verdana"/>
          <w:sz w:val="20"/>
          <w:szCs w:val="20"/>
        </w:rPr>
        <w:t xml:space="preserve">tres llamadas telefónicas recibidas en los meses de febrero y marzo de 2014. Además las alegadas denunciadas realizadas ante las autoridades y funcionarios, entre las cuales se encuentran las presentadas el 7 de noviembre de 2013 sobre los hechos ocurridos del 16 de julio al 4 de noviembre </w:t>
      </w:r>
      <w:r w:rsidR="00805FB5">
        <w:rPr>
          <w:rFonts w:ascii="Verdana" w:hAnsi="Verdana"/>
          <w:sz w:val="20"/>
          <w:szCs w:val="20"/>
        </w:rPr>
        <w:t xml:space="preserve">de 2013 </w:t>
      </w:r>
      <w:r w:rsidR="00007516" w:rsidRPr="00007516">
        <w:rPr>
          <w:rFonts w:ascii="Verdana" w:hAnsi="Verdana"/>
          <w:sz w:val="20"/>
          <w:szCs w:val="20"/>
        </w:rPr>
        <w:t xml:space="preserve">y la del 21 de diciembre de 2013 sobre los hechos ocurridos del 15 de noviembre al 11 de diciembre de 2013. </w:t>
      </w:r>
    </w:p>
    <w:p w:rsidR="00DA1E39" w:rsidRPr="008220A6" w:rsidRDefault="00DA1E39" w:rsidP="00DA1E39">
      <w:pPr>
        <w:ind w:right="-8"/>
        <w:jc w:val="both"/>
        <w:rPr>
          <w:rFonts w:ascii="Verdana" w:hAnsi="Verdana"/>
          <w:sz w:val="20"/>
          <w:szCs w:val="20"/>
        </w:rPr>
      </w:pPr>
    </w:p>
    <w:p w:rsidR="00AE06D9" w:rsidRPr="004D7138" w:rsidRDefault="00007516" w:rsidP="00DA1E39">
      <w:pPr>
        <w:numPr>
          <w:ilvl w:val="0"/>
          <w:numId w:val="1"/>
        </w:numPr>
        <w:tabs>
          <w:tab w:val="clear" w:pos="644"/>
        </w:tabs>
        <w:ind w:left="0" w:right="-8" w:firstLine="0"/>
        <w:jc w:val="both"/>
        <w:rPr>
          <w:rFonts w:ascii="Verdana" w:hAnsi="Verdana"/>
          <w:sz w:val="20"/>
          <w:szCs w:val="20"/>
        </w:rPr>
      </w:pPr>
      <w:r w:rsidRPr="00007516">
        <w:rPr>
          <w:rFonts w:ascii="Verdana" w:hAnsi="Verdana"/>
          <w:sz w:val="20"/>
          <w:szCs w:val="20"/>
        </w:rPr>
        <w:t>Entre las alegadas amenazas y hechos ocurridos</w:t>
      </w:r>
      <w:r w:rsidR="0071765C">
        <w:rPr>
          <w:rFonts w:ascii="Verdana" w:hAnsi="Verdana"/>
          <w:sz w:val="20"/>
          <w:szCs w:val="20"/>
        </w:rPr>
        <w:t xml:space="preserve"> señalados por la representación</w:t>
      </w:r>
      <w:r w:rsidRPr="00007516">
        <w:rPr>
          <w:rFonts w:ascii="Verdana" w:hAnsi="Verdana"/>
          <w:sz w:val="20"/>
          <w:szCs w:val="20"/>
        </w:rPr>
        <w:t xml:space="preserve"> después de la Resolución de la Corte de 21 de agosto de 2013, se encuentran los que siguen: a) el 22 de septiembre de 2013, a las 14:45 horas el señor Meléndez Quijano al llegar a la casa</w:t>
      </w:r>
      <w:r w:rsidR="00C35BA8">
        <w:rPr>
          <w:rFonts w:ascii="Verdana" w:hAnsi="Verdana"/>
          <w:sz w:val="20"/>
          <w:szCs w:val="20"/>
        </w:rPr>
        <w:t xml:space="preserve"> </w:t>
      </w:r>
      <w:r w:rsidR="00633D06">
        <w:rPr>
          <w:rFonts w:ascii="Verdana" w:hAnsi="Verdana"/>
          <w:sz w:val="20"/>
          <w:szCs w:val="20"/>
        </w:rPr>
        <w:t>donde habitaba</w:t>
      </w:r>
      <w:r w:rsidRPr="00007516">
        <w:rPr>
          <w:rFonts w:ascii="Verdana" w:hAnsi="Verdana"/>
          <w:sz w:val="20"/>
          <w:szCs w:val="20"/>
        </w:rPr>
        <w:t xml:space="preserve">, en la ciudad de San Miguel, se percató de que habrían ingresado personas en </w:t>
      </w:r>
      <w:r w:rsidR="006A30E5">
        <w:rPr>
          <w:rFonts w:ascii="Verdana" w:hAnsi="Verdana"/>
          <w:sz w:val="20"/>
          <w:szCs w:val="20"/>
        </w:rPr>
        <w:t>ella</w:t>
      </w:r>
      <w:r w:rsidR="00C35BA8">
        <w:rPr>
          <w:rFonts w:ascii="Verdana" w:hAnsi="Verdana"/>
          <w:sz w:val="20"/>
          <w:szCs w:val="20"/>
        </w:rPr>
        <w:t xml:space="preserve"> </w:t>
      </w:r>
      <w:r w:rsidRPr="00007516">
        <w:rPr>
          <w:rFonts w:ascii="Verdana" w:hAnsi="Verdana"/>
          <w:sz w:val="20"/>
          <w:szCs w:val="20"/>
        </w:rPr>
        <w:t xml:space="preserve">llevándose varios objetos, entre </w:t>
      </w:r>
      <w:r w:rsidR="00D60B86">
        <w:rPr>
          <w:rFonts w:ascii="Verdana" w:hAnsi="Verdana"/>
          <w:sz w:val="20"/>
          <w:szCs w:val="20"/>
        </w:rPr>
        <w:t>ellos</w:t>
      </w:r>
      <w:r w:rsidRPr="00007516">
        <w:rPr>
          <w:rFonts w:ascii="Verdana" w:hAnsi="Verdana"/>
          <w:sz w:val="20"/>
          <w:szCs w:val="20"/>
        </w:rPr>
        <w:t>, una pistola, un revolver y una computadora portátil); b) el 11 de octubre de 2013 volvieron a ingresar a dicha casa individuos sospechosos; c) el 24 de septiembre de 2013, a las 16:00 horas, un agente de la Policía Nacional Civil,</w:t>
      </w:r>
      <w:r w:rsidR="00586DBC">
        <w:rPr>
          <w:rFonts w:ascii="Verdana" w:hAnsi="Verdana"/>
          <w:sz w:val="20"/>
          <w:szCs w:val="20"/>
        </w:rPr>
        <w:t xml:space="preserve"> </w:t>
      </w:r>
      <w:r w:rsidR="005F27CD" w:rsidRPr="005F27CD">
        <w:rPr>
          <w:rFonts w:ascii="Verdana" w:hAnsi="Verdana"/>
          <w:sz w:val="20"/>
          <w:szCs w:val="20"/>
        </w:rPr>
        <w:t>que brinda protección a los</w:t>
      </w:r>
      <w:r w:rsidR="00895C8B" w:rsidRPr="00895C8B">
        <w:rPr>
          <w:rFonts w:ascii="Verdana" w:hAnsi="Verdana"/>
          <w:b/>
          <w:sz w:val="20"/>
          <w:szCs w:val="20"/>
        </w:rPr>
        <w:t xml:space="preserve"> </w:t>
      </w:r>
      <w:r w:rsidR="005F27CD" w:rsidRPr="005F27CD">
        <w:rPr>
          <w:rFonts w:ascii="Verdana" w:hAnsi="Verdana"/>
          <w:sz w:val="20"/>
          <w:szCs w:val="20"/>
        </w:rPr>
        <w:t>beneficiarios</w:t>
      </w:r>
      <w:r w:rsidR="00895C8B" w:rsidRPr="00633D06">
        <w:rPr>
          <w:rFonts w:ascii="Verdana" w:hAnsi="Verdana"/>
          <w:sz w:val="20"/>
          <w:szCs w:val="20"/>
        </w:rPr>
        <w:t>,</w:t>
      </w:r>
      <w:r w:rsidR="00895C8B">
        <w:rPr>
          <w:rFonts w:ascii="Verdana" w:hAnsi="Verdana"/>
          <w:sz w:val="20"/>
          <w:szCs w:val="20"/>
        </w:rPr>
        <w:t xml:space="preserve"> </w:t>
      </w:r>
      <w:r w:rsidRPr="00007516">
        <w:rPr>
          <w:rFonts w:ascii="Verdana" w:hAnsi="Verdana"/>
          <w:sz w:val="20"/>
          <w:szCs w:val="20"/>
        </w:rPr>
        <w:t>estaba en la casa de la señora Gloria Meléndez en San Salvador, salió de la casa a comprar en una tienda cercana y fu</w:t>
      </w:r>
      <w:r w:rsidR="00C35BA8">
        <w:rPr>
          <w:rFonts w:ascii="Verdana" w:hAnsi="Verdana"/>
          <w:sz w:val="20"/>
          <w:szCs w:val="20"/>
        </w:rPr>
        <w:t>e interceptado por un vehículo pick-u</w:t>
      </w:r>
      <w:r w:rsidR="00633D06">
        <w:rPr>
          <w:rFonts w:ascii="Verdana" w:hAnsi="Verdana"/>
          <w:sz w:val="20"/>
          <w:szCs w:val="20"/>
        </w:rPr>
        <w:t>p</w:t>
      </w:r>
      <w:r w:rsidRPr="00007516">
        <w:rPr>
          <w:rFonts w:ascii="Verdana" w:hAnsi="Verdana"/>
          <w:sz w:val="20"/>
          <w:szCs w:val="20"/>
        </w:rPr>
        <w:t xml:space="preserve"> del cual se bajaron tres individuos con armas largas, quienes lo sometieron, golpearon y lo obligaron a subirse en el vehículo, en cuyo interior lo insultaron y amenazaron con un arma e interrogaron sobre “a quién presta[ba] seguridad”. Esta situación provocó que </w:t>
      </w:r>
      <w:r w:rsidR="000B0CFD">
        <w:rPr>
          <w:rFonts w:ascii="Verdana" w:hAnsi="Verdana"/>
          <w:sz w:val="20"/>
          <w:szCs w:val="20"/>
        </w:rPr>
        <w:t>“</w:t>
      </w:r>
      <w:r w:rsidRPr="00007516">
        <w:rPr>
          <w:rFonts w:ascii="Verdana" w:hAnsi="Verdana"/>
          <w:sz w:val="20"/>
          <w:szCs w:val="20"/>
        </w:rPr>
        <w:t>una de las nietas (niña) de la señora Gloria de Meléndez fuera abandonada en un parqueo y la señora Sandra Ivette Meléndez quedara desprotegida por varias horas</w:t>
      </w:r>
      <w:r w:rsidR="000B0CFD">
        <w:rPr>
          <w:rFonts w:ascii="Verdana" w:hAnsi="Verdana"/>
          <w:sz w:val="20"/>
          <w:szCs w:val="20"/>
        </w:rPr>
        <w:t>”</w:t>
      </w:r>
      <w:r w:rsidR="00AE06D9">
        <w:rPr>
          <w:rFonts w:ascii="Verdana" w:hAnsi="Verdana"/>
          <w:sz w:val="20"/>
          <w:szCs w:val="20"/>
        </w:rPr>
        <w:t>, y</w:t>
      </w:r>
      <w:r w:rsidRPr="00007516">
        <w:rPr>
          <w:rFonts w:ascii="Verdana" w:hAnsi="Verdana"/>
          <w:sz w:val="20"/>
          <w:szCs w:val="20"/>
        </w:rPr>
        <w:t xml:space="preserve"> d) </w:t>
      </w:r>
      <w:r w:rsidR="00AE06D9" w:rsidRPr="00007516">
        <w:rPr>
          <w:rFonts w:ascii="Verdana" w:hAnsi="Verdana"/>
          <w:sz w:val="20"/>
          <w:szCs w:val="20"/>
        </w:rPr>
        <w:t xml:space="preserve">el 11 de diciembre de 2013, dos individuos sospechosos que se conducían en una motocicleta llegaron a la casa </w:t>
      </w:r>
      <w:r w:rsidR="00C35BA8">
        <w:rPr>
          <w:rFonts w:ascii="Verdana" w:hAnsi="Verdana"/>
          <w:sz w:val="20"/>
          <w:szCs w:val="20"/>
        </w:rPr>
        <w:t xml:space="preserve">donde habita </w:t>
      </w:r>
      <w:r w:rsidR="00AE06D9" w:rsidRPr="00007516">
        <w:rPr>
          <w:rFonts w:ascii="Verdana" w:hAnsi="Verdana"/>
          <w:sz w:val="20"/>
          <w:szCs w:val="20"/>
        </w:rPr>
        <w:t xml:space="preserve">la señora Gloria de Meléndez en la ciudad de San Miguel, se bajaron de la moto y desde la calle la empezaron a insultar y amenazar a las personas que estaban en la terraza de la casa y mostraban y amenazaban con armas de fuego y diciendo </w:t>
      </w:r>
      <w:r w:rsidR="00582DDD">
        <w:rPr>
          <w:rFonts w:ascii="Verdana" w:hAnsi="Verdana"/>
          <w:sz w:val="20"/>
          <w:szCs w:val="20"/>
        </w:rPr>
        <w:t xml:space="preserve">“[¡] </w:t>
      </w:r>
      <w:r w:rsidR="005F27CD" w:rsidRPr="005F27CD">
        <w:rPr>
          <w:rFonts w:ascii="Verdana" w:hAnsi="Verdana"/>
          <w:sz w:val="20"/>
          <w:szCs w:val="20"/>
        </w:rPr>
        <w:t>se van a arrepen</w:t>
      </w:r>
      <w:r w:rsidR="00582DDD">
        <w:rPr>
          <w:rFonts w:ascii="Verdana" w:hAnsi="Verdana"/>
          <w:sz w:val="20"/>
          <w:szCs w:val="20"/>
        </w:rPr>
        <w:t>tir</w:t>
      </w:r>
      <w:r w:rsidR="00204819">
        <w:rPr>
          <w:rFonts w:ascii="Verdana" w:hAnsi="Verdana"/>
          <w:sz w:val="20"/>
          <w:szCs w:val="20"/>
        </w:rPr>
        <w:t>[</w:t>
      </w:r>
      <w:r w:rsidR="00582DDD">
        <w:rPr>
          <w:rFonts w:ascii="Verdana" w:hAnsi="Verdana"/>
          <w:sz w:val="20"/>
          <w:szCs w:val="20"/>
        </w:rPr>
        <w:t>!</w:t>
      </w:r>
      <w:r w:rsidR="00204819">
        <w:rPr>
          <w:rFonts w:ascii="Verdana" w:hAnsi="Verdana"/>
          <w:sz w:val="20"/>
          <w:szCs w:val="20"/>
        </w:rPr>
        <w:t>]</w:t>
      </w:r>
      <w:r w:rsidR="00582DDD">
        <w:rPr>
          <w:rFonts w:ascii="Verdana" w:hAnsi="Verdana"/>
          <w:sz w:val="20"/>
          <w:szCs w:val="20"/>
        </w:rPr>
        <w:t xml:space="preserve"> ¿</w:t>
      </w:r>
      <w:r w:rsidR="005F27CD" w:rsidRPr="005F27CD">
        <w:rPr>
          <w:rFonts w:ascii="Verdana" w:hAnsi="Verdana"/>
          <w:sz w:val="20"/>
          <w:szCs w:val="20"/>
        </w:rPr>
        <w:t>Cuándo se van a ir</w:t>
      </w:r>
      <w:r w:rsidR="00582DDD">
        <w:rPr>
          <w:rFonts w:ascii="Verdana" w:hAnsi="Verdana"/>
          <w:sz w:val="20"/>
          <w:szCs w:val="20"/>
        </w:rPr>
        <w:t>?</w:t>
      </w:r>
      <w:r w:rsidR="005F27CD" w:rsidRPr="005F27CD">
        <w:rPr>
          <w:rFonts w:ascii="Verdana" w:hAnsi="Verdana"/>
          <w:sz w:val="20"/>
          <w:szCs w:val="20"/>
        </w:rPr>
        <w:t xml:space="preserve"> </w:t>
      </w:r>
      <w:r w:rsidR="00582DDD">
        <w:rPr>
          <w:rFonts w:ascii="Verdana" w:hAnsi="Verdana"/>
          <w:sz w:val="20"/>
          <w:szCs w:val="20"/>
        </w:rPr>
        <w:t>¿</w:t>
      </w:r>
      <w:r w:rsidR="005F27CD" w:rsidRPr="005F27CD">
        <w:rPr>
          <w:rFonts w:ascii="Verdana" w:hAnsi="Verdana"/>
          <w:sz w:val="20"/>
          <w:szCs w:val="20"/>
        </w:rPr>
        <w:t>Cuándo llegarán los dueños de la casa</w:t>
      </w:r>
      <w:r w:rsidR="00582DDD">
        <w:rPr>
          <w:rFonts w:ascii="Verdana" w:hAnsi="Verdana"/>
          <w:sz w:val="20"/>
          <w:szCs w:val="20"/>
        </w:rPr>
        <w:t>?</w:t>
      </w:r>
      <w:r w:rsidR="005F27CD" w:rsidRPr="005F27CD">
        <w:rPr>
          <w:rFonts w:ascii="Verdana" w:hAnsi="Verdana"/>
          <w:sz w:val="20"/>
          <w:szCs w:val="20"/>
        </w:rPr>
        <w:t xml:space="preserve"> </w:t>
      </w:r>
      <w:r w:rsidR="00582DDD">
        <w:rPr>
          <w:rFonts w:ascii="Verdana" w:hAnsi="Verdana"/>
          <w:sz w:val="20"/>
          <w:szCs w:val="20"/>
        </w:rPr>
        <w:t>[¡]</w:t>
      </w:r>
      <w:proofErr w:type="spellStart"/>
      <w:r w:rsidR="005F27CD" w:rsidRPr="005F27CD">
        <w:rPr>
          <w:rFonts w:ascii="Verdana" w:hAnsi="Verdana"/>
          <w:sz w:val="20"/>
          <w:szCs w:val="20"/>
        </w:rPr>
        <w:t>Diganle</w:t>
      </w:r>
      <w:proofErr w:type="spellEnd"/>
      <w:r w:rsidR="005F27CD" w:rsidRPr="005F27CD">
        <w:rPr>
          <w:rFonts w:ascii="Verdana" w:hAnsi="Verdana"/>
          <w:sz w:val="20"/>
          <w:szCs w:val="20"/>
        </w:rPr>
        <w:t xml:space="preserve"> a los dueños que la tenemos </w:t>
      </w:r>
      <w:proofErr w:type="gramStart"/>
      <w:r w:rsidR="005F27CD" w:rsidRPr="005F27CD">
        <w:rPr>
          <w:rFonts w:ascii="Verdana" w:hAnsi="Verdana"/>
          <w:sz w:val="20"/>
          <w:szCs w:val="20"/>
        </w:rPr>
        <w:t>vigilada</w:t>
      </w:r>
      <w:r w:rsidR="00582DDD">
        <w:rPr>
          <w:rFonts w:ascii="Verdana" w:hAnsi="Verdana"/>
          <w:sz w:val="20"/>
          <w:szCs w:val="20"/>
        </w:rPr>
        <w:t>[</w:t>
      </w:r>
      <w:proofErr w:type="gramEnd"/>
      <w:r w:rsidR="00582DDD">
        <w:rPr>
          <w:rFonts w:ascii="Verdana" w:hAnsi="Verdana"/>
          <w:sz w:val="20"/>
          <w:szCs w:val="20"/>
        </w:rPr>
        <w:t>!] [¡]</w:t>
      </w:r>
      <w:r w:rsidR="005F27CD" w:rsidRPr="005F27CD">
        <w:rPr>
          <w:rFonts w:ascii="Verdana" w:hAnsi="Verdana"/>
          <w:sz w:val="20"/>
          <w:szCs w:val="20"/>
        </w:rPr>
        <w:t xml:space="preserve">Qué ustedes y los dueños, si no quieren salir en la bolsa negra de la casa, lo mejor es que se </w:t>
      </w:r>
      <w:proofErr w:type="gramStart"/>
      <w:r w:rsidR="005F27CD" w:rsidRPr="005F27CD">
        <w:rPr>
          <w:rFonts w:ascii="Verdana" w:hAnsi="Verdana"/>
          <w:sz w:val="20"/>
          <w:szCs w:val="20"/>
        </w:rPr>
        <w:t>vayan</w:t>
      </w:r>
      <w:r w:rsidR="00582DDD">
        <w:rPr>
          <w:rFonts w:ascii="Verdana" w:hAnsi="Verdana"/>
          <w:sz w:val="20"/>
          <w:szCs w:val="20"/>
        </w:rPr>
        <w:t>[</w:t>
      </w:r>
      <w:proofErr w:type="gramEnd"/>
      <w:r w:rsidR="00582DDD">
        <w:rPr>
          <w:rFonts w:ascii="Verdana" w:hAnsi="Verdana"/>
          <w:sz w:val="20"/>
          <w:szCs w:val="20"/>
        </w:rPr>
        <w:t>!]</w:t>
      </w:r>
      <w:r w:rsidR="005F27CD" w:rsidRPr="005F27CD">
        <w:rPr>
          <w:rFonts w:ascii="Verdana" w:hAnsi="Verdana"/>
          <w:sz w:val="20"/>
          <w:szCs w:val="20"/>
        </w:rPr>
        <w:t>.”</w:t>
      </w:r>
    </w:p>
    <w:p w:rsidR="00AE06D9" w:rsidRDefault="00AE06D9" w:rsidP="00AE06D9">
      <w:pPr>
        <w:ind w:right="-8"/>
        <w:jc w:val="both"/>
        <w:rPr>
          <w:rFonts w:ascii="Verdana" w:hAnsi="Verdana"/>
          <w:sz w:val="20"/>
          <w:szCs w:val="20"/>
        </w:rPr>
      </w:pPr>
    </w:p>
    <w:p w:rsidR="00DA1E39" w:rsidRPr="008220A6" w:rsidRDefault="00AE06D9" w:rsidP="00DA1E39">
      <w:pPr>
        <w:numPr>
          <w:ilvl w:val="0"/>
          <w:numId w:val="1"/>
        </w:numPr>
        <w:tabs>
          <w:tab w:val="clear" w:pos="644"/>
        </w:tabs>
        <w:ind w:left="0" w:right="-8" w:firstLine="0"/>
        <w:jc w:val="both"/>
        <w:rPr>
          <w:rFonts w:ascii="Verdana" w:hAnsi="Verdana"/>
          <w:sz w:val="20"/>
          <w:szCs w:val="20"/>
        </w:rPr>
      </w:pPr>
      <w:r>
        <w:rPr>
          <w:rFonts w:ascii="Verdana" w:hAnsi="Verdana"/>
          <w:sz w:val="20"/>
          <w:szCs w:val="20"/>
        </w:rPr>
        <w:t xml:space="preserve">En cuanto a llamadas telefónicas y mensajes de texto, la representación manifestó: a) </w:t>
      </w:r>
      <w:r w:rsidRPr="00007516">
        <w:rPr>
          <w:rFonts w:ascii="Verdana" w:hAnsi="Verdana"/>
          <w:sz w:val="20"/>
          <w:szCs w:val="20"/>
        </w:rPr>
        <w:t xml:space="preserve">el 4 de octubre de 2013 a las 13:44 horas y 17:33 horas, el señor Meléndez Quijano fue amenazado por medio de mensajes </w:t>
      </w:r>
      <w:r w:rsidR="00E85DB6">
        <w:rPr>
          <w:rFonts w:ascii="Verdana" w:hAnsi="Verdana"/>
          <w:sz w:val="20"/>
          <w:szCs w:val="20"/>
        </w:rPr>
        <w:t>enviados a su</w:t>
      </w:r>
      <w:r w:rsidR="00C35BA8">
        <w:rPr>
          <w:rFonts w:ascii="Verdana" w:hAnsi="Verdana"/>
          <w:sz w:val="20"/>
          <w:szCs w:val="20"/>
        </w:rPr>
        <w:t xml:space="preserve"> </w:t>
      </w:r>
      <w:r w:rsidRPr="00007516">
        <w:rPr>
          <w:rFonts w:ascii="Verdana" w:hAnsi="Verdana"/>
          <w:sz w:val="20"/>
          <w:szCs w:val="20"/>
        </w:rPr>
        <w:t>teléfono celular que decían</w:t>
      </w:r>
      <w:r w:rsidR="005F27CD" w:rsidRPr="005F27CD">
        <w:rPr>
          <w:rFonts w:ascii="Verdana" w:hAnsi="Verdana"/>
          <w:sz w:val="20"/>
          <w:szCs w:val="20"/>
        </w:rPr>
        <w:t>: “sombra: si seguís jodiendo o presentando denuncias contr</w:t>
      </w:r>
      <w:r w:rsidR="002316F9">
        <w:rPr>
          <w:rFonts w:ascii="Verdana" w:hAnsi="Verdana"/>
          <w:sz w:val="20"/>
          <w:szCs w:val="20"/>
        </w:rPr>
        <w:t xml:space="preserve">a los generales te matamos a </w:t>
      </w:r>
      <w:proofErr w:type="spellStart"/>
      <w:r w:rsidR="002316F9">
        <w:rPr>
          <w:rFonts w:ascii="Verdana" w:hAnsi="Verdana"/>
          <w:sz w:val="20"/>
          <w:szCs w:val="20"/>
        </w:rPr>
        <w:t>vo</w:t>
      </w:r>
      <w:proofErr w:type="spellEnd"/>
      <w:r w:rsidR="002316F9">
        <w:rPr>
          <w:rFonts w:ascii="Verdana" w:hAnsi="Verdana"/>
          <w:sz w:val="20"/>
          <w:szCs w:val="20"/>
        </w:rPr>
        <w:t>[s]</w:t>
      </w:r>
      <w:r w:rsidR="005F27CD" w:rsidRPr="005F27CD">
        <w:rPr>
          <w:rFonts w:ascii="Verdana" w:hAnsi="Verdana"/>
          <w:sz w:val="20"/>
          <w:szCs w:val="20"/>
        </w:rPr>
        <w:t xml:space="preserve"> y tu familia” y “sombra: te tenemos ubicado a vos y en los vehículos nacionales que anda tu familia ya pronto te tocará”,</w:t>
      </w:r>
      <w:r w:rsidRPr="004D7138">
        <w:rPr>
          <w:rFonts w:ascii="Verdana" w:hAnsi="Verdana"/>
          <w:sz w:val="20"/>
          <w:szCs w:val="20"/>
        </w:rPr>
        <w:t xml:space="preserve"> respectivamente. En ambos casos se informó al personal de seguridad y este a su ve</w:t>
      </w:r>
      <w:r w:rsidR="005F27CD" w:rsidRPr="005F27CD">
        <w:rPr>
          <w:rFonts w:ascii="Verdana" w:hAnsi="Verdana"/>
          <w:sz w:val="20"/>
          <w:szCs w:val="20"/>
        </w:rPr>
        <w:t>z</w:t>
      </w:r>
      <w:r>
        <w:rPr>
          <w:rFonts w:ascii="Verdana" w:hAnsi="Verdana"/>
          <w:sz w:val="20"/>
          <w:szCs w:val="20"/>
        </w:rPr>
        <w:t xml:space="preserve"> informó a la Policía Nacional; b) </w:t>
      </w:r>
      <w:r w:rsidR="00007516" w:rsidRPr="00007516">
        <w:rPr>
          <w:rFonts w:ascii="Verdana" w:hAnsi="Verdana"/>
          <w:sz w:val="20"/>
          <w:szCs w:val="20"/>
        </w:rPr>
        <w:t xml:space="preserve">en los meses de septiembre y octubre de 2013 </w:t>
      </w:r>
      <w:r>
        <w:rPr>
          <w:rFonts w:ascii="Verdana" w:hAnsi="Verdana"/>
          <w:sz w:val="20"/>
          <w:szCs w:val="20"/>
        </w:rPr>
        <w:t xml:space="preserve">se </w:t>
      </w:r>
      <w:r w:rsidR="00007516" w:rsidRPr="00007516">
        <w:rPr>
          <w:rFonts w:ascii="Verdana" w:hAnsi="Verdana"/>
          <w:sz w:val="20"/>
          <w:szCs w:val="20"/>
        </w:rPr>
        <w:t>recibieron cuatro llamadas telefónicas en la casa de la familia del Coronel, dos contestadas por él y dos contestadas por sus hijas, en las que les hablaban, no se identificaban y l</w:t>
      </w:r>
      <w:r>
        <w:rPr>
          <w:rFonts w:ascii="Verdana" w:hAnsi="Verdana"/>
          <w:sz w:val="20"/>
          <w:szCs w:val="20"/>
        </w:rPr>
        <w:t>es decían “se van arrepentir”; c</w:t>
      </w:r>
      <w:r w:rsidR="00007516" w:rsidRPr="00007516">
        <w:rPr>
          <w:rFonts w:ascii="Verdana" w:hAnsi="Verdana"/>
          <w:sz w:val="20"/>
          <w:szCs w:val="20"/>
        </w:rPr>
        <w:t>) los días 4 y 15 de noviembre y 5 y 15 de diciembre de 201</w:t>
      </w:r>
      <w:r w:rsidR="00E85DB6">
        <w:rPr>
          <w:rFonts w:ascii="Verdana" w:hAnsi="Verdana"/>
          <w:sz w:val="20"/>
          <w:szCs w:val="20"/>
        </w:rPr>
        <w:t>3</w:t>
      </w:r>
      <w:r w:rsidR="00007516" w:rsidRPr="00007516">
        <w:rPr>
          <w:rFonts w:ascii="Verdana" w:hAnsi="Verdana"/>
          <w:sz w:val="20"/>
          <w:szCs w:val="20"/>
        </w:rPr>
        <w:t xml:space="preserve">, por medio de mensaje de texto, uno en el teléfono celular de </w:t>
      </w:r>
      <w:r w:rsidR="000B0CFD">
        <w:rPr>
          <w:rFonts w:ascii="Verdana" w:hAnsi="Verdana"/>
          <w:sz w:val="20"/>
          <w:szCs w:val="20"/>
        </w:rPr>
        <w:t>Marina de Meléndez, esposa del C</w:t>
      </w:r>
      <w:r w:rsidR="00007516" w:rsidRPr="00007516">
        <w:rPr>
          <w:rFonts w:ascii="Verdana" w:hAnsi="Verdana"/>
          <w:sz w:val="20"/>
          <w:szCs w:val="20"/>
        </w:rPr>
        <w:t>oronel, y los otros tres en el teléfono de este, que decían: “s</w:t>
      </w:r>
      <w:r w:rsidR="00582DDD">
        <w:rPr>
          <w:rFonts w:ascii="Verdana" w:hAnsi="Verdana"/>
          <w:sz w:val="20"/>
          <w:szCs w:val="20"/>
        </w:rPr>
        <w:t xml:space="preserve">ombra: te tenemos ubicados a </w:t>
      </w:r>
      <w:proofErr w:type="spellStart"/>
      <w:r w:rsidR="00582DDD">
        <w:rPr>
          <w:rFonts w:ascii="Verdana" w:hAnsi="Verdana"/>
          <w:sz w:val="20"/>
          <w:szCs w:val="20"/>
        </w:rPr>
        <w:t>vo</w:t>
      </w:r>
      <w:proofErr w:type="spellEnd"/>
      <w:r w:rsidR="00582DDD">
        <w:rPr>
          <w:rFonts w:ascii="Verdana" w:hAnsi="Verdana"/>
          <w:sz w:val="20"/>
          <w:szCs w:val="20"/>
        </w:rPr>
        <w:t>[s]</w:t>
      </w:r>
      <w:r w:rsidR="00007516" w:rsidRPr="00007516">
        <w:rPr>
          <w:rFonts w:ascii="Verdana" w:hAnsi="Verdana"/>
          <w:sz w:val="20"/>
          <w:szCs w:val="20"/>
        </w:rPr>
        <w:t xml:space="preserve"> y en lo</w:t>
      </w:r>
      <w:r w:rsidR="00276650">
        <w:rPr>
          <w:rFonts w:ascii="Verdana" w:hAnsi="Verdana"/>
          <w:sz w:val="20"/>
          <w:szCs w:val="20"/>
        </w:rPr>
        <w:t>s</w:t>
      </w:r>
      <w:r w:rsidR="00007516" w:rsidRPr="00007516">
        <w:rPr>
          <w:rFonts w:ascii="Verdana" w:hAnsi="Verdana"/>
          <w:sz w:val="20"/>
          <w:szCs w:val="20"/>
        </w:rPr>
        <w:t xml:space="preserve"> vehículos que anda tu familia ya pronto te tocará”; “</w:t>
      </w:r>
      <w:r w:rsidR="000B0CFD">
        <w:rPr>
          <w:rFonts w:ascii="Verdana" w:hAnsi="Verdana"/>
          <w:sz w:val="20"/>
          <w:szCs w:val="20"/>
        </w:rPr>
        <w:t>te vas a arrepentir […]</w:t>
      </w:r>
      <w:r w:rsidR="00007516" w:rsidRPr="00007516">
        <w:rPr>
          <w:rFonts w:ascii="Verdana" w:hAnsi="Verdana"/>
          <w:sz w:val="20"/>
          <w:szCs w:val="20"/>
        </w:rPr>
        <w:t>, vamos a dar donde más te duele, con tus hijas”; “te vas a arrepentir” y “si, no te quer</w:t>
      </w:r>
      <w:r>
        <w:rPr>
          <w:rFonts w:ascii="Verdana" w:hAnsi="Verdana"/>
          <w:sz w:val="20"/>
          <w:szCs w:val="20"/>
        </w:rPr>
        <w:t>es arrepentir”, respectivamente, y</w:t>
      </w:r>
      <w:r w:rsidR="00007516" w:rsidRPr="00007516">
        <w:rPr>
          <w:rFonts w:ascii="Verdana" w:hAnsi="Verdana"/>
          <w:sz w:val="20"/>
          <w:szCs w:val="20"/>
        </w:rPr>
        <w:t xml:space="preserve"> </w:t>
      </w:r>
      <w:r>
        <w:rPr>
          <w:rFonts w:ascii="Verdana" w:hAnsi="Verdana"/>
          <w:sz w:val="20"/>
          <w:szCs w:val="20"/>
        </w:rPr>
        <w:t>d</w:t>
      </w:r>
      <w:r w:rsidR="00007516" w:rsidRPr="00007516">
        <w:rPr>
          <w:rFonts w:ascii="Verdana" w:hAnsi="Verdana"/>
          <w:sz w:val="20"/>
          <w:szCs w:val="20"/>
        </w:rPr>
        <w:t xml:space="preserve">) en los meses de febrero y marzo de 2014 se recibieron tres llamadas telefónicas en la casa </w:t>
      </w:r>
      <w:r w:rsidR="00DB399C">
        <w:rPr>
          <w:rFonts w:ascii="Verdana" w:hAnsi="Verdana"/>
          <w:sz w:val="20"/>
          <w:szCs w:val="20"/>
        </w:rPr>
        <w:t>en la cual habitaba</w:t>
      </w:r>
      <w:r w:rsidR="00B7017E">
        <w:rPr>
          <w:rFonts w:ascii="Verdana" w:hAnsi="Verdana"/>
          <w:sz w:val="20"/>
          <w:szCs w:val="20"/>
        </w:rPr>
        <w:t>n</w:t>
      </w:r>
      <w:r w:rsidR="00007516" w:rsidRPr="00007516">
        <w:rPr>
          <w:rFonts w:ascii="Verdana" w:hAnsi="Verdana"/>
          <w:sz w:val="20"/>
          <w:szCs w:val="20"/>
        </w:rPr>
        <w:t xml:space="preserve">, contestadas por las hijas del coronel y les manifestaron textualmente “se van a arrepentir” y también señalaron que se ha </w:t>
      </w:r>
      <w:r w:rsidR="00007516" w:rsidRPr="00007516">
        <w:rPr>
          <w:rFonts w:ascii="Verdana" w:hAnsi="Verdana"/>
          <w:sz w:val="20"/>
          <w:szCs w:val="20"/>
        </w:rPr>
        <w:lastRenderedPageBreak/>
        <w:t>detectado que algunas llamadas telefónicas entre algunos miembros de la familia son interceptadas y escuchadas</w:t>
      </w:r>
      <w:r w:rsidR="002C3071">
        <w:rPr>
          <w:rFonts w:ascii="Verdana" w:hAnsi="Verdana"/>
          <w:sz w:val="20"/>
          <w:szCs w:val="20"/>
        </w:rPr>
        <w:t>.</w:t>
      </w:r>
      <w:r w:rsidR="00007516" w:rsidRPr="00007516">
        <w:rPr>
          <w:rFonts w:ascii="Verdana" w:hAnsi="Verdana"/>
          <w:sz w:val="20"/>
          <w:szCs w:val="20"/>
        </w:rPr>
        <w:t xml:space="preserve"> </w:t>
      </w:r>
    </w:p>
    <w:p w:rsidR="00DA1E39" w:rsidRPr="008220A6" w:rsidRDefault="00DA1E39" w:rsidP="00DA1E39">
      <w:pPr>
        <w:ind w:right="-8"/>
        <w:jc w:val="both"/>
        <w:rPr>
          <w:rFonts w:ascii="Verdana" w:hAnsi="Verdana"/>
          <w:sz w:val="20"/>
          <w:szCs w:val="20"/>
        </w:rPr>
      </w:pPr>
    </w:p>
    <w:p w:rsidR="00995243" w:rsidRPr="008220A6" w:rsidRDefault="00007516" w:rsidP="00DA1E39">
      <w:pPr>
        <w:numPr>
          <w:ilvl w:val="0"/>
          <w:numId w:val="1"/>
        </w:numPr>
        <w:tabs>
          <w:tab w:val="clear" w:pos="644"/>
        </w:tabs>
        <w:ind w:left="0" w:right="-8" w:firstLine="0"/>
        <w:jc w:val="both"/>
        <w:rPr>
          <w:rFonts w:ascii="Verdana" w:hAnsi="Verdana"/>
          <w:sz w:val="20"/>
          <w:szCs w:val="20"/>
        </w:rPr>
      </w:pPr>
      <w:r w:rsidRPr="00007516">
        <w:rPr>
          <w:rFonts w:ascii="Verdana" w:hAnsi="Verdana"/>
          <w:sz w:val="20"/>
          <w:szCs w:val="20"/>
        </w:rPr>
        <w:t>Además la representación mostró su preocupación porque el Estado ha tomado una “actitud pasiva e insensible” ante las amenazas en las vidas del señor Meléndez Quijano y todos los beneficiarios de las medidas y ve la situación “con indiferencia y [les] traslada la responsabilidad de proporcionar un vehículo de la familia para transportar personal de seguridad”, a lo que se agrega el gasto adicional de combustible”, cuestión que informaron en la reunión celebrada el 4 de julio de 2014 al Ministerio de Relaciones Exteriores para que les ayudara a dar solución, sin resultado alguno.</w:t>
      </w:r>
    </w:p>
    <w:p w:rsidR="00DA1E39" w:rsidRPr="008220A6" w:rsidRDefault="00DA1E39" w:rsidP="00DA1E39">
      <w:pPr>
        <w:pStyle w:val="ListParagraph"/>
        <w:rPr>
          <w:rFonts w:ascii="Verdana" w:hAnsi="Verdana"/>
          <w:sz w:val="20"/>
          <w:szCs w:val="20"/>
        </w:rPr>
      </w:pPr>
    </w:p>
    <w:p w:rsidR="00951461" w:rsidRPr="008220A6" w:rsidRDefault="00007516" w:rsidP="00DA1E39">
      <w:pPr>
        <w:numPr>
          <w:ilvl w:val="0"/>
          <w:numId w:val="1"/>
        </w:numPr>
        <w:tabs>
          <w:tab w:val="clear" w:pos="644"/>
        </w:tabs>
        <w:ind w:left="0" w:right="-8" w:firstLine="0"/>
        <w:jc w:val="both"/>
        <w:rPr>
          <w:rFonts w:ascii="Verdana" w:hAnsi="Verdana"/>
          <w:sz w:val="20"/>
          <w:szCs w:val="20"/>
        </w:rPr>
      </w:pPr>
      <w:r w:rsidRPr="00007516">
        <w:rPr>
          <w:rFonts w:ascii="Verdana" w:hAnsi="Verdana"/>
          <w:sz w:val="20"/>
          <w:szCs w:val="20"/>
        </w:rPr>
        <w:t xml:space="preserve">En sus últimas observaciones presentadas el 3 de octubre de 2014, la representación se refirió a las reuniones que ha tenido con funcionarios estatales, para coordinar y gestionar la efectiva implementación de las presentes medidas provisionales y se refirió </w:t>
      </w:r>
      <w:r w:rsidR="000B0CFD">
        <w:rPr>
          <w:rFonts w:ascii="Verdana" w:hAnsi="Verdana"/>
          <w:sz w:val="20"/>
          <w:szCs w:val="20"/>
        </w:rPr>
        <w:t xml:space="preserve">nuevamente </w:t>
      </w:r>
      <w:r w:rsidRPr="00007516">
        <w:rPr>
          <w:rFonts w:ascii="Verdana" w:hAnsi="Verdana"/>
          <w:sz w:val="20"/>
          <w:szCs w:val="20"/>
        </w:rPr>
        <w:t xml:space="preserve">a la última reunión celebrada el 4 de julio de 2014, la cual </w:t>
      </w:r>
      <w:r w:rsidR="000B0CFD">
        <w:rPr>
          <w:rFonts w:ascii="Verdana" w:hAnsi="Verdana"/>
          <w:sz w:val="20"/>
          <w:szCs w:val="20"/>
        </w:rPr>
        <w:t>según el señor Meléndez fue solicitada por él</w:t>
      </w:r>
      <w:r w:rsidRPr="00007516">
        <w:rPr>
          <w:rFonts w:ascii="Verdana" w:hAnsi="Verdana"/>
          <w:sz w:val="20"/>
          <w:szCs w:val="20"/>
        </w:rPr>
        <w:t>, ya que El Salvador no había tratado de conocer las condiciones de los beneficiarios. En dicha reunión se concluyó que “cada institución retomaría los puntos planteados, coordinaciones solicitadas y reuniones que serían gestionadas, para la efectiva implementación de las medidas provisionales”, lo cual atañe remover los logos de cada auto dispuesto para la seguridad de los beneficiarios, su cambio o revisión técnico-mecánica, incrementar el personal de seguridad y realizar las investigaciones sobre las denuncias presentadas por la falta de diligencia en los requerimientos para protección personal y de la familia Meléndez Quijano.</w:t>
      </w:r>
    </w:p>
    <w:p w:rsidR="00DA1E39" w:rsidRPr="008220A6" w:rsidRDefault="00DA1E39" w:rsidP="00DA1E39">
      <w:pPr>
        <w:pStyle w:val="ListParagraph"/>
        <w:rPr>
          <w:rFonts w:ascii="Verdana" w:hAnsi="Verdana"/>
          <w:sz w:val="20"/>
          <w:szCs w:val="20"/>
        </w:rPr>
      </w:pPr>
    </w:p>
    <w:p w:rsidR="008220A6" w:rsidRPr="008220A6" w:rsidRDefault="00126E1D" w:rsidP="00043880">
      <w:pPr>
        <w:numPr>
          <w:ilvl w:val="0"/>
          <w:numId w:val="1"/>
        </w:numPr>
        <w:tabs>
          <w:tab w:val="clear" w:pos="644"/>
        </w:tabs>
        <w:ind w:left="0" w:right="-8" w:firstLine="0"/>
        <w:jc w:val="both"/>
        <w:rPr>
          <w:rFonts w:ascii="Verdana" w:hAnsi="Verdana"/>
          <w:sz w:val="16"/>
          <w:szCs w:val="16"/>
        </w:rPr>
      </w:pPr>
      <w:r w:rsidRPr="008220A6">
        <w:rPr>
          <w:rFonts w:ascii="Verdana" w:hAnsi="Verdana"/>
          <w:sz w:val="20"/>
          <w:szCs w:val="20"/>
        </w:rPr>
        <w:t xml:space="preserve">Además la representación hizo notar </w:t>
      </w:r>
      <w:r w:rsidR="00951461" w:rsidRPr="008220A6">
        <w:rPr>
          <w:rFonts w:ascii="Verdana" w:hAnsi="Verdana"/>
          <w:sz w:val="20"/>
          <w:szCs w:val="20"/>
        </w:rPr>
        <w:t>las inconsistencias entre lo sucedido</w:t>
      </w:r>
      <w:r w:rsidR="00474E11" w:rsidRPr="008220A6">
        <w:rPr>
          <w:rFonts w:ascii="Verdana" w:hAnsi="Verdana"/>
          <w:sz w:val="20"/>
          <w:szCs w:val="20"/>
        </w:rPr>
        <w:t xml:space="preserve"> desde el último informe</w:t>
      </w:r>
      <w:r w:rsidR="008220A6">
        <w:rPr>
          <w:rFonts w:ascii="Verdana" w:hAnsi="Verdana"/>
          <w:sz w:val="20"/>
          <w:szCs w:val="20"/>
        </w:rPr>
        <w:t xml:space="preserve"> estatal</w:t>
      </w:r>
      <w:r w:rsidR="00951461" w:rsidRPr="008220A6">
        <w:rPr>
          <w:rFonts w:ascii="Verdana" w:hAnsi="Verdana"/>
          <w:sz w:val="20"/>
          <w:szCs w:val="20"/>
        </w:rPr>
        <w:t xml:space="preserve"> y lo dicho por el </w:t>
      </w:r>
      <w:r w:rsidRPr="008220A6">
        <w:rPr>
          <w:rFonts w:ascii="Verdana" w:hAnsi="Verdana"/>
          <w:sz w:val="20"/>
          <w:szCs w:val="20"/>
        </w:rPr>
        <w:t>Estado frente a las medidas adopta</w:t>
      </w:r>
      <w:r w:rsidR="00951461" w:rsidRPr="008220A6">
        <w:rPr>
          <w:rFonts w:ascii="Verdana" w:hAnsi="Verdana"/>
          <w:sz w:val="20"/>
          <w:szCs w:val="20"/>
        </w:rPr>
        <w:t xml:space="preserve">das para proteger a los beneficiarios, </w:t>
      </w:r>
      <w:r w:rsidR="00AE58EF" w:rsidRPr="008220A6">
        <w:rPr>
          <w:rFonts w:ascii="Verdana" w:hAnsi="Verdana"/>
          <w:sz w:val="20"/>
          <w:szCs w:val="20"/>
        </w:rPr>
        <w:t>ya que no ha tomado en cuenta las denuncias presentadas</w:t>
      </w:r>
      <w:r w:rsidR="00951461" w:rsidRPr="008220A6">
        <w:rPr>
          <w:rFonts w:ascii="Verdana" w:hAnsi="Verdana"/>
          <w:sz w:val="20"/>
          <w:szCs w:val="20"/>
        </w:rPr>
        <w:t xml:space="preserve"> ni los datos ent</w:t>
      </w:r>
      <w:r w:rsidR="000B0CFD">
        <w:rPr>
          <w:rFonts w:ascii="Verdana" w:hAnsi="Verdana"/>
          <w:sz w:val="20"/>
          <w:szCs w:val="20"/>
        </w:rPr>
        <w:t>regados por el señor</w:t>
      </w:r>
      <w:r w:rsidR="006A6306" w:rsidRPr="008220A6">
        <w:rPr>
          <w:rFonts w:ascii="Verdana" w:hAnsi="Verdana"/>
          <w:sz w:val="20"/>
          <w:szCs w:val="20"/>
        </w:rPr>
        <w:t xml:space="preserve"> Meléndez</w:t>
      </w:r>
      <w:r w:rsidR="002C7FDC" w:rsidRPr="008220A6">
        <w:rPr>
          <w:rFonts w:ascii="Verdana" w:hAnsi="Verdana"/>
          <w:sz w:val="20"/>
          <w:szCs w:val="20"/>
        </w:rPr>
        <w:t xml:space="preserve"> en</w:t>
      </w:r>
      <w:r w:rsidR="00AE58EF" w:rsidRPr="008220A6">
        <w:rPr>
          <w:rFonts w:ascii="Verdana" w:hAnsi="Verdana"/>
          <w:sz w:val="20"/>
          <w:szCs w:val="20"/>
        </w:rPr>
        <w:t xml:space="preserve"> varios documentos</w:t>
      </w:r>
      <w:r w:rsidR="000B0CFD">
        <w:rPr>
          <w:rFonts w:ascii="Verdana" w:hAnsi="Verdana"/>
          <w:sz w:val="20"/>
          <w:szCs w:val="20"/>
        </w:rPr>
        <w:t>,</w:t>
      </w:r>
      <w:r w:rsidR="00AE58EF" w:rsidRPr="008220A6">
        <w:rPr>
          <w:rFonts w:ascii="Verdana" w:hAnsi="Verdana"/>
          <w:sz w:val="20"/>
          <w:szCs w:val="20"/>
        </w:rPr>
        <w:t xml:space="preserve"> mediante los cuales pretende probar las alegadas </w:t>
      </w:r>
      <w:r w:rsidR="002C7FDC" w:rsidRPr="008220A6">
        <w:rPr>
          <w:rFonts w:ascii="Verdana" w:hAnsi="Verdana"/>
          <w:sz w:val="20"/>
          <w:szCs w:val="20"/>
        </w:rPr>
        <w:t xml:space="preserve">amenazas </w:t>
      </w:r>
      <w:r w:rsidR="00951461" w:rsidRPr="008220A6">
        <w:rPr>
          <w:rFonts w:ascii="Verdana" w:hAnsi="Verdana"/>
          <w:sz w:val="20"/>
          <w:szCs w:val="20"/>
        </w:rPr>
        <w:t>recibida</w:t>
      </w:r>
      <w:r w:rsidR="002C7FDC" w:rsidRPr="008220A6">
        <w:rPr>
          <w:rFonts w:ascii="Verdana" w:hAnsi="Verdana"/>
          <w:sz w:val="20"/>
          <w:szCs w:val="20"/>
        </w:rPr>
        <w:t>s</w:t>
      </w:r>
      <w:r w:rsidR="00951461" w:rsidRPr="008220A6">
        <w:rPr>
          <w:rFonts w:ascii="Verdana" w:hAnsi="Verdana"/>
          <w:sz w:val="20"/>
          <w:szCs w:val="20"/>
        </w:rPr>
        <w:t xml:space="preserve"> en l</w:t>
      </w:r>
      <w:r w:rsidR="002C7FDC" w:rsidRPr="008220A6">
        <w:rPr>
          <w:rFonts w:ascii="Verdana" w:hAnsi="Verdana"/>
          <w:sz w:val="20"/>
          <w:szCs w:val="20"/>
        </w:rPr>
        <w:t>os</w:t>
      </w:r>
      <w:r w:rsidR="00951461" w:rsidRPr="008220A6">
        <w:rPr>
          <w:rFonts w:ascii="Verdana" w:hAnsi="Verdana"/>
          <w:sz w:val="20"/>
          <w:szCs w:val="20"/>
        </w:rPr>
        <w:t xml:space="preserve"> teléfono</w:t>
      </w:r>
      <w:r w:rsidR="002C7FDC" w:rsidRPr="008220A6">
        <w:rPr>
          <w:rFonts w:ascii="Verdana" w:hAnsi="Verdana"/>
          <w:sz w:val="20"/>
          <w:szCs w:val="20"/>
        </w:rPr>
        <w:t>s</w:t>
      </w:r>
      <w:r w:rsidR="00AE58EF" w:rsidRPr="008220A6">
        <w:rPr>
          <w:rFonts w:ascii="Verdana" w:hAnsi="Verdana"/>
          <w:sz w:val="20"/>
          <w:szCs w:val="20"/>
        </w:rPr>
        <w:t xml:space="preserve"> </w:t>
      </w:r>
      <w:r w:rsidR="00951461" w:rsidRPr="008220A6">
        <w:rPr>
          <w:rFonts w:ascii="Verdana" w:hAnsi="Verdana"/>
          <w:sz w:val="20"/>
          <w:szCs w:val="20"/>
        </w:rPr>
        <w:t>celular</w:t>
      </w:r>
      <w:r w:rsidR="00AE58EF" w:rsidRPr="008220A6">
        <w:rPr>
          <w:rFonts w:ascii="Verdana" w:hAnsi="Verdana"/>
          <w:sz w:val="20"/>
          <w:szCs w:val="20"/>
        </w:rPr>
        <w:t>es</w:t>
      </w:r>
      <w:r w:rsidR="00951461" w:rsidRPr="008220A6">
        <w:rPr>
          <w:rFonts w:ascii="Verdana" w:hAnsi="Verdana"/>
          <w:sz w:val="20"/>
          <w:szCs w:val="20"/>
        </w:rPr>
        <w:t xml:space="preserve"> del </w:t>
      </w:r>
      <w:r w:rsidR="00AE58EF" w:rsidRPr="008220A6">
        <w:rPr>
          <w:rFonts w:ascii="Verdana" w:hAnsi="Verdana"/>
          <w:sz w:val="20"/>
          <w:szCs w:val="20"/>
        </w:rPr>
        <w:t xml:space="preserve">señor </w:t>
      </w:r>
      <w:r w:rsidR="00951461" w:rsidRPr="008220A6">
        <w:rPr>
          <w:rFonts w:ascii="Verdana" w:hAnsi="Verdana"/>
          <w:sz w:val="20"/>
          <w:szCs w:val="20"/>
        </w:rPr>
        <w:t xml:space="preserve">Meléndez Quijano y </w:t>
      </w:r>
      <w:r w:rsidR="00AE58EF" w:rsidRPr="008220A6">
        <w:rPr>
          <w:rFonts w:ascii="Verdana" w:hAnsi="Verdana"/>
          <w:sz w:val="20"/>
          <w:szCs w:val="20"/>
        </w:rPr>
        <w:t xml:space="preserve">de su hija </w:t>
      </w:r>
      <w:r w:rsidR="00951461" w:rsidRPr="008220A6">
        <w:rPr>
          <w:rFonts w:ascii="Verdana" w:hAnsi="Verdana"/>
          <w:sz w:val="20"/>
          <w:szCs w:val="20"/>
        </w:rPr>
        <w:t>Estefani Marcela Mel</w:t>
      </w:r>
      <w:r w:rsidR="00AE58EF" w:rsidRPr="008220A6">
        <w:rPr>
          <w:rFonts w:ascii="Verdana" w:hAnsi="Verdana"/>
          <w:sz w:val="20"/>
          <w:szCs w:val="20"/>
        </w:rPr>
        <w:t>éndez García</w:t>
      </w:r>
      <w:r w:rsidR="00951461" w:rsidRPr="008220A6">
        <w:rPr>
          <w:rFonts w:ascii="Verdana" w:hAnsi="Verdana"/>
          <w:sz w:val="20"/>
          <w:szCs w:val="20"/>
        </w:rPr>
        <w:t>, las que</w:t>
      </w:r>
      <w:r w:rsidR="00AE58EF" w:rsidRPr="008220A6">
        <w:rPr>
          <w:rFonts w:ascii="Verdana" w:hAnsi="Verdana"/>
          <w:sz w:val="20"/>
          <w:szCs w:val="20"/>
        </w:rPr>
        <w:t xml:space="preserve"> según se señaló</w:t>
      </w:r>
      <w:r w:rsidR="00951461" w:rsidRPr="008220A6">
        <w:rPr>
          <w:rFonts w:ascii="Verdana" w:hAnsi="Verdana"/>
          <w:sz w:val="20"/>
          <w:szCs w:val="20"/>
        </w:rPr>
        <w:t xml:space="preserve"> también fueron</w:t>
      </w:r>
      <w:r w:rsidR="00895C8B">
        <w:rPr>
          <w:rFonts w:ascii="Verdana" w:hAnsi="Verdana"/>
          <w:sz w:val="20"/>
          <w:szCs w:val="20"/>
        </w:rPr>
        <w:t xml:space="preserve"> verificadas por los </w:t>
      </w:r>
      <w:r w:rsidR="005F27CD" w:rsidRPr="005F27CD">
        <w:rPr>
          <w:rFonts w:ascii="Verdana" w:hAnsi="Verdana"/>
          <w:sz w:val="20"/>
          <w:szCs w:val="20"/>
        </w:rPr>
        <w:t>agentes de seguridad</w:t>
      </w:r>
      <w:r w:rsidR="00951461" w:rsidRPr="008220A6">
        <w:rPr>
          <w:rFonts w:ascii="Verdana" w:hAnsi="Verdana"/>
          <w:sz w:val="20"/>
          <w:szCs w:val="20"/>
        </w:rPr>
        <w:t xml:space="preserve"> e informadas a la Policía.</w:t>
      </w:r>
      <w:r w:rsidR="00AE58EF" w:rsidRPr="008220A6">
        <w:rPr>
          <w:rFonts w:ascii="Verdana" w:hAnsi="Verdana"/>
          <w:sz w:val="20"/>
          <w:szCs w:val="20"/>
        </w:rPr>
        <w:t xml:space="preserve"> Agregó que hay otras inconsistencias al considerar que el Estado contradice </w:t>
      </w:r>
      <w:r w:rsidR="00566CA5" w:rsidRPr="008220A6">
        <w:rPr>
          <w:rFonts w:ascii="Verdana" w:hAnsi="Verdana"/>
          <w:sz w:val="20"/>
          <w:szCs w:val="20"/>
        </w:rPr>
        <w:t xml:space="preserve">los informes diarios de </w:t>
      </w:r>
      <w:r w:rsidR="00474E11" w:rsidRPr="008220A6">
        <w:rPr>
          <w:rFonts w:ascii="Verdana" w:hAnsi="Verdana"/>
          <w:sz w:val="20"/>
          <w:szCs w:val="20"/>
        </w:rPr>
        <w:t>las personas a cargo de su protección</w:t>
      </w:r>
      <w:r w:rsidR="00566CA5" w:rsidRPr="008220A6">
        <w:rPr>
          <w:rFonts w:ascii="Verdana" w:hAnsi="Verdana"/>
          <w:sz w:val="20"/>
          <w:szCs w:val="20"/>
        </w:rPr>
        <w:t>, ya que</w:t>
      </w:r>
      <w:r w:rsidR="00474E11" w:rsidRPr="008220A6">
        <w:rPr>
          <w:rFonts w:ascii="Verdana" w:hAnsi="Verdana"/>
          <w:sz w:val="20"/>
          <w:szCs w:val="20"/>
        </w:rPr>
        <w:t xml:space="preserve"> ha tomado </w:t>
      </w:r>
      <w:r w:rsidR="00AE58EF" w:rsidRPr="008220A6">
        <w:rPr>
          <w:rFonts w:ascii="Verdana" w:hAnsi="Verdana"/>
          <w:sz w:val="20"/>
          <w:szCs w:val="20"/>
        </w:rPr>
        <w:t xml:space="preserve">ciertos actos como normales y </w:t>
      </w:r>
      <w:r w:rsidR="00314EE7" w:rsidRPr="008220A6">
        <w:rPr>
          <w:rFonts w:ascii="Verdana" w:hAnsi="Verdana"/>
          <w:sz w:val="20"/>
          <w:szCs w:val="20"/>
        </w:rPr>
        <w:t xml:space="preserve">no ha dado </w:t>
      </w:r>
      <w:r w:rsidR="00AE58EF" w:rsidRPr="008220A6">
        <w:rPr>
          <w:rFonts w:ascii="Verdana" w:hAnsi="Verdana"/>
          <w:sz w:val="20"/>
          <w:szCs w:val="20"/>
        </w:rPr>
        <w:t>relevancia</w:t>
      </w:r>
      <w:r w:rsidR="00314EE7" w:rsidRPr="008220A6">
        <w:rPr>
          <w:rFonts w:ascii="Verdana" w:hAnsi="Verdana"/>
          <w:sz w:val="20"/>
          <w:szCs w:val="20"/>
        </w:rPr>
        <w:t xml:space="preserve"> a</w:t>
      </w:r>
      <w:r w:rsidR="00AE58EF" w:rsidRPr="008220A6">
        <w:rPr>
          <w:rFonts w:ascii="Verdana" w:hAnsi="Verdana"/>
          <w:sz w:val="20"/>
          <w:szCs w:val="20"/>
        </w:rPr>
        <w:t xml:space="preserve"> actos</w:t>
      </w:r>
      <w:r w:rsidR="00474E11" w:rsidRPr="008220A6">
        <w:rPr>
          <w:rFonts w:ascii="Verdana" w:hAnsi="Verdana"/>
          <w:sz w:val="20"/>
          <w:szCs w:val="20"/>
        </w:rPr>
        <w:t xml:space="preserve"> que pueden lesionar su seguridad.</w:t>
      </w:r>
      <w:r w:rsidR="00566CA5" w:rsidRPr="008220A6">
        <w:rPr>
          <w:rFonts w:ascii="Verdana" w:hAnsi="Verdana"/>
          <w:sz w:val="20"/>
          <w:szCs w:val="20"/>
        </w:rPr>
        <w:t xml:space="preserve"> </w:t>
      </w:r>
    </w:p>
    <w:p w:rsidR="00951461" w:rsidRPr="008220A6" w:rsidRDefault="00951461" w:rsidP="00043880">
      <w:pPr>
        <w:pStyle w:val="ListParagraph"/>
        <w:ind w:left="0" w:right="-8"/>
        <w:jc w:val="both"/>
        <w:rPr>
          <w:rFonts w:ascii="Verdana" w:hAnsi="Verdana"/>
          <w:sz w:val="18"/>
          <w:szCs w:val="18"/>
        </w:rPr>
      </w:pPr>
    </w:p>
    <w:p w:rsidR="0094198B" w:rsidRPr="008220A6" w:rsidRDefault="0094198B" w:rsidP="00043880">
      <w:pPr>
        <w:numPr>
          <w:ilvl w:val="0"/>
          <w:numId w:val="1"/>
        </w:numPr>
        <w:tabs>
          <w:tab w:val="clear" w:pos="644"/>
        </w:tabs>
        <w:ind w:left="0" w:right="-8" w:firstLine="0"/>
        <w:jc w:val="both"/>
        <w:rPr>
          <w:rFonts w:ascii="Verdana" w:hAnsi="Verdana"/>
          <w:sz w:val="20"/>
          <w:szCs w:val="20"/>
        </w:rPr>
      </w:pPr>
      <w:r w:rsidRPr="008220A6">
        <w:rPr>
          <w:rFonts w:ascii="Verdana" w:hAnsi="Verdana"/>
          <w:sz w:val="20"/>
          <w:szCs w:val="20"/>
        </w:rPr>
        <w:t>Por último señaló que el Estado debe realizar las investigaciones sobre las denuncias presentadas por la falta de diligencia en los requerimientos para protección personal y de la familia Meléndez Quijano</w:t>
      </w:r>
      <w:r w:rsidRPr="008220A6">
        <w:rPr>
          <w:rStyle w:val="FootnoteReference"/>
          <w:szCs w:val="20"/>
        </w:rPr>
        <w:footnoteReference w:id="12"/>
      </w:r>
      <w:r w:rsidRPr="008220A6">
        <w:rPr>
          <w:rFonts w:ascii="Verdana" w:hAnsi="Verdana"/>
          <w:sz w:val="20"/>
          <w:szCs w:val="20"/>
        </w:rPr>
        <w:t>.</w:t>
      </w:r>
    </w:p>
    <w:p w:rsidR="0094198B" w:rsidRPr="008220A6" w:rsidRDefault="0094198B" w:rsidP="00043880">
      <w:pPr>
        <w:pStyle w:val="ListParagraph"/>
        <w:ind w:left="0" w:right="-8"/>
        <w:jc w:val="both"/>
        <w:rPr>
          <w:rFonts w:ascii="Verdana" w:hAnsi="Verdana"/>
          <w:sz w:val="18"/>
          <w:szCs w:val="18"/>
        </w:rPr>
      </w:pPr>
    </w:p>
    <w:p w:rsidR="00BE2AFC" w:rsidRPr="00043880" w:rsidRDefault="00BE2AFC" w:rsidP="00043880">
      <w:pPr>
        <w:pStyle w:val="ListParagraph"/>
        <w:numPr>
          <w:ilvl w:val="0"/>
          <w:numId w:val="1"/>
        </w:numPr>
        <w:tabs>
          <w:tab w:val="clear" w:pos="644"/>
        </w:tabs>
        <w:ind w:left="0" w:right="-8" w:firstLine="0"/>
        <w:jc w:val="both"/>
        <w:rPr>
          <w:rFonts w:ascii="Verdana" w:hAnsi="Verdana"/>
          <w:sz w:val="18"/>
          <w:szCs w:val="18"/>
        </w:rPr>
      </w:pPr>
      <w:r w:rsidRPr="008220A6">
        <w:rPr>
          <w:rFonts w:ascii="Verdana" w:hAnsi="Verdana"/>
          <w:sz w:val="20"/>
          <w:szCs w:val="20"/>
        </w:rPr>
        <w:t xml:space="preserve">El </w:t>
      </w:r>
      <w:r w:rsidRPr="008220A6">
        <w:rPr>
          <w:rFonts w:ascii="Verdana" w:hAnsi="Verdana"/>
          <w:b/>
          <w:i/>
          <w:sz w:val="20"/>
          <w:szCs w:val="20"/>
        </w:rPr>
        <w:t>Estado</w:t>
      </w:r>
      <w:r w:rsidRPr="008220A6">
        <w:rPr>
          <w:rFonts w:ascii="Verdana" w:hAnsi="Verdana"/>
          <w:b/>
          <w:sz w:val="20"/>
          <w:szCs w:val="20"/>
        </w:rPr>
        <w:t xml:space="preserve"> </w:t>
      </w:r>
      <w:r w:rsidRPr="008220A6">
        <w:rPr>
          <w:rFonts w:ascii="Verdana" w:hAnsi="Verdana"/>
          <w:sz w:val="20"/>
          <w:szCs w:val="20"/>
        </w:rPr>
        <w:t>en cuanto a la implementación de la seguridad a favor de los beneficios de las medidas</w:t>
      </w:r>
      <w:r w:rsidR="00314EE7" w:rsidRPr="008220A6">
        <w:rPr>
          <w:rFonts w:ascii="Verdana" w:hAnsi="Verdana"/>
          <w:sz w:val="20"/>
          <w:szCs w:val="20"/>
        </w:rPr>
        <w:t xml:space="preserve"> señaló que la misma</w:t>
      </w:r>
      <w:r w:rsidRPr="008220A6">
        <w:rPr>
          <w:rFonts w:ascii="Verdana" w:hAnsi="Verdana"/>
          <w:sz w:val="20"/>
          <w:szCs w:val="20"/>
        </w:rPr>
        <w:t xml:space="preserve"> es coordinada por el Programa de </w:t>
      </w:r>
      <w:r w:rsidR="000B0CFD">
        <w:rPr>
          <w:rFonts w:ascii="Verdana" w:hAnsi="Verdana"/>
          <w:sz w:val="20"/>
          <w:szCs w:val="20"/>
        </w:rPr>
        <w:t>P</w:t>
      </w:r>
      <w:r w:rsidRPr="008220A6">
        <w:rPr>
          <w:rFonts w:ascii="Verdana" w:hAnsi="Verdana"/>
          <w:sz w:val="20"/>
          <w:szCs w:val="20"/>
        </w:rPr>
        <w:t>rotección de Víctimas y Testigos de la Unida</w:t>
      </w:r>
      <w:r w:rsidR="000B0CFD">
        <w:rPr>
          <w:rFonts w:ascii="Verdana" w:hAnsi="Verdana"/>
          <w:sz w:val="20"/>
          <w:szCs w:val="20"/>
        </w:rPr>
        <w:t>d Técnica Ejecutiva del Sector J</w:t>
      </w:r>
      <w:r w:rsidRPr="008220A6">
        <w:rPr>
          <w:rFonts w:ascii="Verdana" w:hAnsi="Verdana"/>
          <w:sz w:val="20"/>
          <w:szCs w:val="20"/>
        </w:rPr>
        <w:t xml:space="preserve">usticia (UTE) y ejecutada </w:t>
      </w:r>
      <w:r w:rsidR="00CA19DD" w:rsidRPr="008220A6">
        <w:rPr>
          <w:rFonts w:ascii="Verdana" w:hAnsi="Verdana"/>
          <w:sz w:val="20"/>
          <w:szCs w:val="20"/>
        </w:rPr>
        <w:t>operativamente con elementos de la Divis</w:t>
      </w:r>
      <w:r w:rsidR="000B0CFD">
        <w:rPr>
          <w:rFonts w:ascii="Verdana" w:hAnsi="Verdana"/>
          <w:sz w:val="20"/>
          <w:szCs w:val="20"/>
        </w:rPr>
        <w:t>ión de Protección a Víctimas y T</w:t>
      </w:r>
      <w:r w:rsidR="00CA19DD" w:rsidRPr="008220A6">
        <w:rPr>
          <w:rFonts w:ascii="Verdana" w:hAnsi="Verdana"/>
          <w:sz w:val="20"/>
          <w:szCs w:val="20"/>
        </w:rPr>
        <w:t>estigos de la Policía Nacional Civil</w:t>
      </w:r>
      <w:r w:rsidR="000B0CFD">
        <w:rPr>
          <w:rFonts w:ascii="Verdana" w:hAnsi="Verdana"/>
          <w:sz w:val="20"/>
          <w:szCs w:val="20"/>
        </w:rPr>
        <w:t xml:space="preserve"> (en adelante “PNC”)</w:t>
      </w:r>
      <w:r w:rsidR="00CA19DD" w:rsidRPr="008220A6">
        <w:rPr>
          <w:rFonts w:ascii="Verdana" w:hAnsi="Verdana"/>
          <w:sz w:val="20"/>
          <w:szCs w:val="20"/>
        </w:rPr>
        <w:t>. Agregó que la seguridad del señor Meléndez y su familia fue instalada desde el 2 de octubre de 2009 y actualmente el servicio</w:t>
      </w:r>
      <w:r w:rsidR="00895C8B">
        <w:rPr>
          <w:rFonts w:ascii="Verdana" w:hAnsi="Verdana"/>
          <w:sz w:val="20"/>
          <w:szCs w:val="20"/>
        </w:rPr>
        <w:t xml:space="preserve"> se realiza con</w:t>
      </w:r>
      <w:r w:rsidR="007A6DD9">
        <w:rPr>
          <w:rFonts w:ascii="Verdana" w:hAnsi="Verdana"/>
          <w:sz w:val="20"/>
          <w:szCs w:val="20"/>
        </w:rPr>
        <w:t xml:space="preserve"> ocho</w:t>
      </w:r>
      <w:r w:rsidR="00895C8B">
        <w:rPr>
          <w:rFonts w:ascii="Verdana" w:hAnsi="Verdana"/>
          <w:sz w:val="20"/>
          <w:szCs w:val="20"/>
        </w:rPr>
        <w:t xml:space="preserve"> </w:t>
      </w:r>
      <w:r w:rsidR="005F27CD" w:rsidRPr="005F27CD">
        <w:rPr>
          <w:rFonts w:ascii="Verdana" w:hAnsi="Verdana"/>
          <w:sz w:val="20"/>
          <w:szCs w:val="20"/>
        </w:rPr>
        <w:t>agentes de seguridad</w:t>
      </w:r>
      <w:r w:rsidR="00CA19DD" w:rsidRPr="00EB1D05">
        <w:rPr>
          <w:rFonts w:ascii="Verdana" w:hAnsi="Verdana"/>
          <w:sz w:val="20"/>
          <w:szCs w:val="20"/>
        </w:rPr>
        <w:t>,</w:t>
      </w:r>
      <w:r w:rsidR="00CA19DD" w:rsidRPr="008220A6">
        <w:rPr>
          <w:rFonts w:ascii="Verdana" w:hAnsi="Verdana"/>
          <w:sz w:val="20"/>
          <w:szCs w:val="20"/>
        </w:rPr>
        <w:t xml:space="preserve"> lo cual representa un costo económico de acuerdo al reporte de la PNC. A la vez el Estado hizo referencia a un informe de la Fiscalía General de la República (FGR) sobre el estado actual de las investigaciones acumuladas bajo las referencias 5625-UDV-2005</w:t>
      </w:r>
      <w:r w:rsidR="00070AFF" w:rsidRPr="008220A6">
        <w:rPr>
          <w:rFonts w:ascii="Verdana" w:hAnsi="Verdana"/>
          <w:sz w:val="20"/>
          <w:szCs w:val="20"/>
        </w:rPr>
        <w:t>;</w:t>
      </w:r>
      <w:r w:rsidR="00CA19DD" w:rsidRPr="008220A6">
        <w:rPr>
          <w:rFonts w:ascii="Verdana" w:hAnsi="Verdana"/>
          <w:sz w:val="20"/>
          <w:szCs w:val="20"/>
        </w:rPr>
        <w:t xml:space="preserve"> </w:t>
      </w:r>
      <w:r w:rsidR="00070AFF" w:rsidRPr="008220A6">
        <w:rPr>
          <w:rFonts w:ascii="Verdana" w:hAnsi="Verdana"/>
          <w:sz w:val="20"/>
          <w:szCs w:val="20"/>
        </w:rPr>
        <w:t>5439</w:t>
      </w:r>
      <w:r w:rsidR="00CA19DD" w:rsidRPr="008220A6">
        <w:rPr>
          <w:rFonts w:ascii="Verdana" w:hAnsi="Verdana"/>
          <w:sz w:val="20"/>
          <w:szCs w:val="20"/>
        </w:rPr>
        <w:t>-UDV</w:t>
      </w:r>
      <w:r w:rsidR="00070AFF" w:rsidRPr="008220A6">
        <w:rPr>
          <w:rFonts w:ascii="Verdana" w:hAnsi="Verdana"/>
          <w:sz w:val="20"/>
          <w:szCs w:val="20"/>
        </w:rPr>
        <w:t>-2006; 5833</w:t>
      </w:r>
      <w:r w:rsidR="00CA19DD" w:rsidRPr="008220A6">
        <w:rPr>
          <w:rFonts w:ascii="Verdana" w:hAnsi="Verdana"/>
          <w:sz w:val="20"/>
          <w:szCs w:val="20"/>
        </w:rPr>
        <w:t>-UDV</w:t>
      </w:r>
      <w:r w:rsidR="00070AFF" w:rsidRPr="008220A6">
        <w:rPr>
          <w:rFonts w:ascii="Verdana" w:hAnsi="Verdana"/>
          <w:sz w:val="20"/>
          <w:szCs w:val="20"/>
        </w:rPr>
        <w:t>-2006; 4221</w:t>
      </w:r>
      <w:r w:rsidR="00CA19DD" w:rsidRPr="008220A6">
        <w:rPr>
          <w:rFonts w:ascii="Verdana" w:hAnsi="Verdana"/>
          <w:sz w:val="20"/>
          <w:szCs w:val="20"/>
        </w:rPr>
        <w:t>-UDV</w:t>
      </w:r>
      <w:r w:rsidR="000B0CFD">
        <w:rPr>
          <w:rFonts w:ascii="Verdana" w:hAnsi="Verdana"/>
          <w:sz w:val="20"/>
          <w:szCs w:val="20"/>
        </w:rPr>
        <w:t>-2007, las cuales fueron acumulada</w:t>
      </w:r>
      <w:r w:rsidR="00070AFF" w:rsidRPr="008220A6">
        <w:rPr>
          <w:rFonts w:ascii="Verdana" w:hAnsi="Verdana"/>
          <w:sz w:val="20"/>
          <w:szCs w:val="20"/>
        </w:rPr>
        <w:t xml:space="preserve">s bajo la referencia 5439-UDV-2006 y adicionalmente el 29 de </w:t>
      </w:r>
      <w:r w:rsidR="00070AFF" w:rsidRPr="008220A6">
        <w:rPr>
          <w:rFonts w:ascii="Verdana" w:hAnsi="Verdana"/>
          <w:sz w:val="20"/>
          <w:szCs w:val="20"/>
        </w:rPr>
        <w:lastRenderedPageBreak/>
        <w:t xml:space="preserve">noviembre de 2009, la Unidad de Patrimonio Privado </w:t>
      </w:r>
      <w:r w:rsidR="000B0CFD">
        <w:rPr>
          <w:rFonts w:ascii="Verdana" w:hAnsi="Verdana"/>
          <w:sz w:val="20"/>
          <w:szCs w:val="20"/>
        </w:rPr>
        <w:t xml:space="preserve">(en adelante “UPP”) </w:t>
      </w:r>
      <w:r w:rsidR="00070AFF" w:rsidRPr="008220A6">
        <w:rPr>
          <w:rFonts w:ascii="Verdana" w:hAnsi="Verdana"/>
          <w:sz w:val="20"/>
          <w:szCs w:val="20"/>
        </w:rPr>
        <w:t>de la Fiscalía abrió el exped</w:t>
      </w:r>
      <w:r w:rsidR="000B0CFD">
        <w:rPr>
          <w:rFonts w:ascii="Verdana" w:hAnsi="Verdana"/>
          <w:sz w:val="20"/>
          <w:szCs w:val="20"/>
        </w:rPr>
        <w:t>iente 7579-UDPP-09, relacionado</w:t>
      </w:r>
      <w:r w:rsidR="00070AFF" w:rsidRPr="008220A6">
        <w:rPr>
          <w:rFonts w:ascii="Verdana" w:hAnsi="Verdana"/>
          <w:sz w:val="20"/>
          <w:szCs w:val="20"/>
        </w:rPr>
        <w:t xml:space="preserve"> con los hechos que dieron origen a las presentes medidas de protección y con las diferentes situaciones que han sido denunciadas por el señor Meléndez y su familia desde el año 2005 a la fecha.</w:t>
      </w:r>
      <w:r w:rsidR="00713506" w:rsidRPr="008220A6">
        <w:rPr>
          <w:rFonts w:ascii="Verdana" w:hAnsi="Verdana"/>
          <w:sz w:val="20"/>
          <w:szCs w:val="20"/>
        </w:rPr>
        <w:t xml:space="preserve"> </w:t>
      </w:r>
    </w:p>
    <w:p w:rsidR="00043880" w:rsidRPr="008220A6" w:rsidRDefault="00043880" w:rsidP="00043880">
      <w:pPr>
        <w:pStyle w:val="ListParagraph"/>
        <w:ind w:left="0" w:right="-8"/>
        <w:jc w:val="both"/>
        <w:rPr>
          <w:rFonts w:ascii="Verdana" w:hAnsi="Verdana"/>
          <w:sz w:val="18"/>
          <w:szCs w:val="18"/>
        </w:rPr>
      </w:pPr>
    </w:p>
    <w:p w:rsidR="00AE06D9" w:rsidRPr="00043880" w:rsidRDefault="00713506" w:rsidP="00043880">
      <w:pPr>
        <w:pStyle w:val="ListParagraph"/>
        <w:numPr>
          <w:ilvl w:val="0"/>
          <w:numId w:val="1"/>
        </w:numPr>
        <w:tabs>
          <w:tab w:val="clear" w:pos="644"/>
        </w:tabs>
        <w:ind w:left="0" w:right="-8" w:firstLine="0"/>
        <w:jc w:val="both"/>
        <w:rPr>
          <w:rFonts w:ascii="Verdana" w:hAnsi="Verdana"/>
          <w:sz w:val="18"/>
          <w:szCs w:val="18"/>
        </w:rPr>
      </w:pPr>
      <w:r w:rsidRPr="008220A6">
        <w:rPr>
          <w:rFonts w:ascii="Verdana" w:hAnsi="Verdana"/>
          <w:sz w:val="20"/>
          <w:szCs w:val="20"/>
        </w:rPr>
        <w:t>E</w:t>
      </w:r>
      <w:r w:rsidR="007F6210" w:rsidRPr="008220A6">
        <w:rPr>
          <w:rFonts w:ascii="Verdana" w:hAnsi="Verdana"/>
          <w:sz w:val="20"/>
          <w:szCs w:val="20"/>
        </w:rPr>
        <w:t>l E</w:t>
      </w:r>
      <w:r w:rsidRPr="008220A6">
        <w:rPr>
          <w:rFonts w:ascii="Verdana" w:hAnsi="Verdana"/>
          <w:sz w:val="20"/>
          <w:szCs w:val="20"/>
        </w:rPr>
        <w:t xml:space="preserve">stado </w:t>
      </w:r>
      <w:r w:rsidR="007F6210" w:rsidRPr="008220A6">
        <w:rPr>
          <w:rFonts w:ascii="Verdana" w:hAnsi="Verdana"/>
          <w:sz w:val="20"/>
          <w:szCs w:val="20"/>
        </w:rPr>
        <w:t>reiteró lo informado el 2</w:t>
      </w:r>
      <w:r w:rsidR="00EB1D05">
        <w:rPr>
          <w:rFonts w:ascii="Verdana" w:hAnsi="Verdana"/>
          <w:sz w:val="20"/>
          <w:szCs w:val="20"/>
        </w:rPr>
        <w:t>0</w:t>
      </w:r>
      <w:r w:rsidR="007F6210" w:rsidRPr="008220A6">
        <w:rPr>
          <w:rFonts w:ascii="Verdana" w:hAnsi="Verdana"/>
          <w:sz w:val="20"/>
          <w:szCs w:val="20"/>
        </w:rPr>
        <w:t xml:space="preserve"> de mayo de 2013, en el sentido que el personal de protección responsable de garantizar la seguridad para la evaluación del supuesto nivel de riesgo o peligro que es mantenido por la persona protegida, documenta su actividad y novedades, por lo que eso no persigue la obtención de informes negativos sobre el señor Meléndez y o su familia, ya que se limita a actividades de reporte interno ordinarias y necesarias en este tipo de servicios de protección. En cuanto al nivel de riesgo del señor Meléndez Quijano y para cada una de las personas beneficiarias de las medidas, el Estado consideró necesario referirse a los supuestos incidentes reportados por dicho señor, tomando como base los informes present</w:t>
      </w:r>
      <w:r w:rsidR="00895C8B">
        <w:rPr>
          <w:rFonts w:ascii="Verdana" w:hAnsi="Verdana"/>
          <w:sz w:val="20"/>
          <w:szCs w:val="20"/>
        </w:rPr>
        <w:t xml:space="preserve">ados por los agentes </w:t>
      </w:r>
      <w:r w:rsidR="005F27CD" w:rsidRPr="005F27CD">
        <w:rPr>
          <w:rFonts w:ascii="Verdana" w:hAnsi="Verdana"/>
          <w:sz w:val="20"/>
          <w:szCs w:val="20"/>
        </w:rPr>
        <w:t>de seguridad</w:t>
      </w:r>
      <w:r w:rsidR="007F6210" w:rsidRPr="00EB1D05">
        <w:rPr>
          <w:rFonts w:ascii="Verdana" w:hAnsi="Verdana"/>
          <w:sz w:val="20"/>
          <w:szCs w:val="20"/>
        </w:rPr>
        <w:t>.</w:t>
      </w:r>
      <w:r w:rsidR="007F6210" w:rsidRPr="008220A6">
        <w:rPr>
          <w:rFonts w:ascii="Verdana" w:hAnsi="Verdana"/>
          <w:sz w:val="20"/>
          <w:szCs w:val="20"/>
        </w:rPr>
        <w:t xml:space="preserve"> </w:t>
      </w:r>
    </w:p>
    <w:p w:rsidR="00043880" w:rsidRPr="00043880" w:rsidRDefault="00043880" w:rsidP="00043880">
      <w:pPr>
        <w:pStyle w:val="ListParagraph"/>
        <w:rPr>
          <w:rFonts w:ascii="Verdana" w:hAnsi="Verdana"/>
          <w:sz w:val="18"/>
          <w:szCs w:val="18"/>
        </w:rPr>
      </w:pPr>
    </w:p>
    <w:p w:rsidR="006F5228" w:rsidRPr="006F5228" w:rsidRDefault="007F6210" w:rsidP="00043880">
      <w:pPr>
        <w:pStyle w:val="ListParagraph"/>
        <w:numPr>
          <w:ilvl w:val="0"/>
          <w:numId w:val="1"/>
        </w:numPr>
        <w:tabs>
          <w:tab w:val="clear" w:pos="644"/>
        </w:tabs>
        <w:ind w:left="0" w:right="-8" w:firstLine="0"/>
        <w:jc w:val="both"/>
        <w:rPr>
          <w:rFonts w:ascii="Verdana" w:hAnsi="Verdana"/>
          <w:sz w:val="18"/>
          <w:szCs w:val="18"/>
        </w:rPr>
      </w:pPr>
      <w:r w:rsidRPr="008220A6">
        <w:rPr>
          <w:rFonts w:ascii="Verdana" w:hAnsi="Verdana"/>
          <w:sz w:val="20"/>
          <w:szCs w:val="20"/>
        </w:rPr>
        <w:t>En ese sentido señal</w:t>
      </w:r>
      <w:r w:rsidR="00AA46AB" w:rsidRPr="008220A6">
        <w:rPr>
          <w:rFonts w:ascii="Verdana" w:hAnsi="Verdana"/>
          <w:sz w:val="20"/>
          <w:szCs w:val="20"/>
        </w:rPr>
        <w:t>ó: a) en cuanto al hurto en la casa de la señora Gloria de Meléndez en la ciudad de San Miguel en septiembre de 2013, fue elabo</w:t>
      </w:r>
      <w:r w:rsidR="00AE06D9">
        <w:rPr>
          <w:rFonts w:ascii="Verdana" w:hAnsi="Verdana"/>
          <w:sz w:val="20"/>
          <w:szCs w:val="20"/>
        </w:rPr>
        <w:t>rado un reporte por el agente de seguridad</w:t>
      </w:r>
      <w:r w:rsidR="00AA46AB" w:rsidRPr="008220A6">
        <w:rPr>
          <w:rFonts w:ascii="Verdana" w:hAnsi="Verdana"/>
          <w:sz w:val="20"/>
          <w:szCs w:val="20"/>
        </w:rPr>
        <w:t xml:space="preserve">; b) en cuanto al hurto en octubre de 2013 en la casa de la misma señora en la ciudad de San Miguel el </w:t>
      </w:r>
      <w:r w:rsidR="00204819">
        <w:rPr>
          <w:rFonts w:ascii="Verdana" w:hAnsi="Verdana"/>
          <w:sz w:val="20"/>
          <w:szCs w:val="20"/>
        </w:rPr>
        <w:t>agente de seguridad</w:t>
      </w:r>
      <w:r w:rsidR="00AA46AB" w:rsidRPr="008220A6">
        <w:rPr>
          <w:rFonts w:ascii="Verdana" w:hAnsi="Verdana"/>
          <w:sz w:val="20"/>
          <w:szCs w:val="20"/>
        </w:rPr>
        <w:t xml:space="preserve"> que en la fecha acompañó al señor Meléndez no lo informó</w:t>
      </w:r>
      <w:r w:rsidR="000E2097">
        <w:rPr>
          <w:rFonts w:ascii="Verdana" w:hAnsi="Verdana"/>
          <w:sz w:val="20"/>
          <w:szCs w:val="20"/>
        </w:rPr>
        <w:t>,</w:t>
      </w:r>
      <w:r w:rsidR="00AA46AB" w:rsidRPr="008220A6">
        <w:rPr>
          <w:rFonts w:ascii="Verdana" w:hAnsi="Verdana"/>
          <w:sz w:val="20"/>
          <w:szCs w:val="20"/>
        </w:rPr>
        <w:t xml:space="preserve"> porque no podía dar fe de lo </w:t>
      </w:r>
      <w:r w:rsidR="000B0CFD">
        <w:rPr>
          <w:rFonts w:ascii="Verdana" w:hAnsi="Verdana"/>
          <w:sz w:val="20"/>
          <w:szCs w:val="20"/>
        </w:rPr>
        <w:t xml:space="preserve">que </w:t>
      </w:r>
      <w:r w:rsidR="00AA46AB" w:rsidRPr="008220A6">
        <w:rPr>
          <w:rFonts w:ascii="Verdana" w:hAnsi="Verdana"/>
          <w:sz w:val="20"/>
          <w:szCs w:val="20"/>
        </w:rPr>
        <w:t xml:space="preserve">sucedió, en tanto que el </w:t>
      </w:r>
      <w:r w:rsidR="000E2097">
        <w:rPr>
          <w:rFonts w:ascii="Verdana" w:hAnsi="Verdana"/>
          <w:sz w:val="20"/>
          <w:szCs w:val="20"/>
        </w:rPr>
        <w:t>Coronel se lo comentó durante el</w:t>
      </w:r>
      <w:r w:rsidR="00AA46AB" w:rsidRPr="008220A6">
        <w:rPr>
          <w:rFonts w:ascii="Verdana" w:hAnsi="Verdana"/>
          <w:sz w:val="20"/>
          <w:szCs w:val="20"/>
        </w:rPr>
        <w:t xml:space="preserve"> viaje</w:t>
      </w:r>
      <w:r w:rsidR="00247F20">
        <w:rPr>
          <w:rFonts w:ascii="Verdana" w:hAnsi="Verdana"/>
          <w:sz w:val="20"/>
          <w:szCs w:val="20"/>
        </w:rPr>
        <w:t xml:space="preserve"> al departamento de San Miguel</w:t>
      </w:r>
      <w:r w:rsidR="00AA46AB" w:rsidRPr="008220A6">
        <w:rPr>
          <w:rFonts w:ascii="Verdana" w:hAnsi="Verdana"/>
          <w:sz w:val="20"/>
          <w:szCs w:val="20"/>
        </w:rPr>
        <w:t>; c) en cuanto al incidente ocurrido el 24 de septiembre de 2013 a un</w:t>
      </w:r>
      <w:r w:rsidR="00C35BA8">
        <w:rPr>
          <w:rFonts w:ascii="Verdana" w:hAnsi="Verdana"/>
          <w:sz w:val="20"/>
          <w:szCs w:val="20"/>
        </w:rPr>
        <w:t xml:space="preserve"> </w:t>
      </w:r>
      <w:r w:rsidR="00E711E5">
        <w:rPr>
          <w:rFonts w:ascii="Verdana" w:hAnsi="Verdana"/>
          <w:sz w:val="20"/>
          <w:szCs w:val="20"/>
        </w:rPr>
        <w:t>agente de seguridad</w:t>
      </w:r>
      <w:r w:rsidR="00AA46AB" w:rsidRPr="008220A6">
        <w:rPr>
          <w:rFonts w:ascii="Verdana" w:hAnsi="Verdana"/>
          <w:sz w:val="20"/>
          <w:szCs w:val="20"/>
        </w:rPr>
        <w:t xml:space="preserve">, </w:t>
      </w:r>
      <w:r w:rsidR="00EB1D05">
        <w:rPr>
          <w:rFonts w:ascii="Verdana" w:hAnsi="Verdana"/>
          <w:sz w:val="20"/>
          <w:szCs w:val="20"/>
        </w:rPr>
        <w:t>é</w:t>
      </w:r>
      <w:r w:rsidR="00AA46AB" w:rsidRPr="008220A6">
        <w:rPr>
          <w:rFonts w:ascii="Verdana" w:hAnsi="Verdana"/>
          <w:sz w:val="20"/>
          <w:szCs w:val="20"/>
        </w:rPr>
        <w:t>ste inf</w:t>
      </w:r>
      <w:r w:rsidR="006B5F49">
        <w:rPr>
          <w:rFonts w:ascii="Verdana" w:hAnsi="Verdana"/>
          <w:sz w:val="20"/>
          <w:szCs w:val="20"/>
        </w:rPr>
        <w:t>ormó al Jefe de la División de P</w:t>
      </w:r>
      <w:r w:rsidR="00AA46AB" w:rsidRPr="008220A6">
        <w:rPr>
          <w:rFonts w:ascii="Verdana" w:hAnsi="Verdana"/>
          <w:sz w:val="20"/>
          <w:szCs w:val="20"/>
        </w:rPr>
        <w:t>rotección de Víctimas y Testigos que fue inter</w:t>
      </w:r>
      <w:r w:rsidR="00DE699D">
        <w:rPr>
          <w:rFonts w:ascii="Verdana" w:hAnsi="Verdana"/>
          <w:sz w:val="20"/>
          <w:szCs w:val="20"/>
        </w:rPr>
        <w:t xml:space="preserve">ceptado por supernumerarios de la División de </w:t>
      </w:r>
      <w:r w:rsidR="001E53BA">
        <w:rPr>
          <w:rFonts w:ascii="Verdana" w:hAnsi="Verdana"/>
          <w:sz w:val="20"/>
          <w:szCs w:val="20"/>
        </w:rPr>
        <w:t>P</w:t>
      </w:r>
      <w:r w:rsidR="00DE699D">
        <w:rPr>
          <w:rFonts w:ascii="Verdana" w:hAnsi="Verdana"/>
          <w:sz w:val="20"/>
          <w:szCs w:val="20"/>
        </w:rPr>
        <w:t>rotección a Personalidad Importantes (</w:t>
      </w:r>
      <w:r w:rsidR="00AA46AB" w:rsidRPr="008220A6">
        <w:rPr>
          <w:rFonts w:ascii="Verdana" w:hAnsi="Verdana"/>
          <w:sz w:val="20"/>
          <w:szCs w:val="20"/>
        </w:rPr>
        <w:t>PPI</w:t>
      </w:r>
      <w:r w:rsidR="00DE699D">
        <w:rPr>
          <w:rFonts w:ascii="Verdana" w:hAnsi="Verdana"/>
          <w:sz w:val="20"/>
          <w:szCs w:val="20"/>
        </w:rPr>
        <w:t>)</w:t>
      </w:r>
      <w:r w:rsidR="00AA46AB" w:rsidRPr="008220A6">
        <w:rPr>
          <w:rFonts w:ascii="Verdana" w:hAnsi="Verdana"/>
          <w:sz w:val="20"/>
          <w:szCs w:val="20"/>
        </w:rPr>
        <w:t xml:space="preserve"> para ser identificado, bajo amenazas y golpes y privado de libertad por un momento, por lo que descuidó la protección; d) en cuanto a los mensajes de texto </w:t>
      </w:r>
      <w:r w:rsidR="000E2097">
        <w:rPr>
          <w:rFonts w:ascii="Verdana" w:hAnsi="Verdana"/>
          <w:sz w:val="20"/>
          <w:szCs w:val="20"/>
        </w:rPr>
        <w:t>al celular del señor Meléndez de</w:t>
      </w:r>
      <w:r w:rsidR="00AA46AB" w:rsidRPr="008220A6">
        <w:rPr>
          <w:rFonts w:ascii="Verdana" w:hAnsi="Verdana"/>
          <w:sz w:val="20"/>
          <w:szCs w:val="20"/>
        </w:rPr>
        <w:t xml:space="preserve"> 4 de octubre de 2013 y</w:t>
      </w:r>
      <w:r w:rsidR="001B51A2" w:rsidRPr="008220A6">
        <w:rPr>
          <w:rFonts w:ascii="Verdana" w:hAnsi="Verdana"/>
          <w:sz w:val="20"/>
          <w:szCs w:val="20"/>
        </w:rPr>
        <w:t xml:space="preserve"> al celular de la señora Marina de Meléndez</w:t>
      </w:r>
      <w:r w:rsidR="00AA46AB" w:rsidRPr="008220A6">
        <w:rPr>
          <w:rFonts w:ascii="Verdana" w:hAnsi="Verdana"/>
          <w:sz w:val="20"/>
          <w:szCs w:val="20"/>
        </w:rPr>
        <w:t xml:space="preserve"> </w:t>
      </w:r>
      <w:r w:rsidR="00314EE7" w:rsidRPr="008220A6">
        <w:rPr>
          <w:rFonts w:ascii="Verdana" w:hAnsi="Verdana"/>
          <w:sz w:val="20"/>
          <w:szCs w:val="20"/>
        </w:rPr>
        <w:t>d</w:t>
      </w:r>
      <w:r w:rsidR="00AA46AB" w:rsidRPr="008220A6">
        <w:rPr>
          <w:rFonts w:ascii="Verdana" w:hAnsi="Verdana"/>
          <w:sz w:val="20"/>
          <w:szCs w:val="20"/>
        </w:rPr>
        <w:t xml:space="preserve">e 4 de noviembre de </w:t>
      </w:r>
      <w:r w:rsidR="001B51A2" w:rsidRPr="008220A6">
        <w:rPr>
          <w:rFonts w:ascii="Verdana" w:hAnsi="Verdana"/>
          <w:sz w:val="20"/>
          <w:szCs w:val="20"/>
        </w:rPr>
        <w:t>2013, se elaboró un informe por parte</w:t>
      </w:r>
      <w:r w:rsidR="00895C8B">
        <w:rPr>
          <w:rFonts w:ascii="Verdana" w:hAnsi="Verdana"/>
          <w:sz w:val="20"/>
          <w:szCs w:val="20"/>
        </w:rPr>
        <w:t xml:space="preserve"> de cada uno de los </w:t>
      </w:r>
      <w:r w:rsidR="005F27CD" w:rsidRPr="005F27CD">
        <w:rPr>
          <w:rFonts w:ascii="Verdana" w:hAnsi="Verdana"/>
          <w:sz w:val="20"/>
          <w:szCs w:val="20"/>
        </w:rPr>
        <w:t>agentes que brindan la seguridad</w:t>
      </w:r>
      <w:r w:rsidR="00895C8B">
        <w:rPr>
          <w:rFonts w:ascii="Verdana" w:hAnsi="Verdana"/>
          <w:sz w:val="20"/>
          <w:szCs w:val="20"/>
        </w:rPr>
        <w:t xml:space="preserve"> </w:t>
      </w:r>
      <w:r w:rsidR="001B51A2" w:rsidRPr="008220A6">
        <w:rPr>
          <w:rFonts w:ascii="Verdana" w:hAnsi="Verdana"/>
          <w:sz w:val="20"/>
          <w:szCs w:val="20"/>
        </w:rPr>
        <w:t>y se remitieron al equipo técnico evaluador. No exi</w:t>
      </w:r>
      <w:r w:rsidR="00895C8B">
        <w:rPr>
          <w:rFonts w:ascii="Verdana" w:hAnsi="Verdana"/>
          <w:sz w:val="20"/>
          <w:szCs w:val="20"/>
        </w:rPr>
        <w:t xml:space="preserve">sten reportes de los </w:t>
      </w:r>
      <w:r w:rsidR="005F27CD" w:rsidRPr="005F27CD">
        <w:rPr>
          <w:rFonts w:ascii="Verdana" w:hAnsi="Verdana"/>
          <w:sz w:val="20"/>
          <w:szCs w:val="20"/>
        </w:rPr>
        <w:t>agentes</w:t>
      </w:r>
      <w:r w:rsidR="001B51A2" w:rsidRPr="008220A6">
        <w:rPr>
          <w:rFonts w:ascii="Verdana" w:hAnsi="Verdana"/>
          <w:sz w:val="20"/>
          <w:szCs w:val="20"/>
        </w:rPr>
        <w:t xml:space="preserve"> sobre las supuestas llamadas telefónicas amenazando al señor Meléndez en septiembre, octubre, 15 de noviembre y 5 de diciembre de 2013</w:t>
      </w:r>
      <w:r w:rsidR="00314EE7" w:rsidRPr="008220A6">
        <w:rPr>
          <w:rFonts w:ascii="Verdana" w:hAnsi="Verdana"/>
          <w:sz w:val="20"/>
          <w:szCs w:val="20"/>
        </w:rPr>
        <w:t>, como t</w:t>
      </w:r>
      <w:r w:rsidR="001B51A2" w:rsidRPr="008220A6">
        <w:rPr>
          <w:rFonts w:ascii="Verdana" w:hAnsi="Verdana"/>
          <w:sz w:val="20"/>
          <w:szCs w:val="20"/>
        </w:rPr>
        <w:t>ampoco existe reporte de novedad de las supuestas amenazas recibidas por la hijas del señor Meléndez Quijano, a través de línea telefónica fija en febrero y marzo de 2014, y e)</w:t>
      </w:r>
      <w:r w:rsidR="000B0CFD">
        <w:rPr>
          <w:rFonts w:ascii="Verdana" w:hAnsi="Verdana"/>
          <w:sz w:val="20"/>
          <w:szCs w:val="20"/>
        </w:rPr>
        <w:t xml:space="preserve"> </w:t>
      </w:r>
      <w:r w:rsidR="001B51A2" w:rsidRPr="008220A6">
        <w:rPr>
          <w:rFonts w:ascii="Verdana" w:hAnsi="Verdana"/>
          <w:sz w:val="20"/>
          <w:szCs w:val="20"/>
        </w:rPr>
        <w:t>en cuanto al incidente ocurrido el 11 de diciembre de 2013 en el que sujetos que llegaron en motocicletas amenazaron verbalmente y con arma de fuego al personal que se encontraba en la residencia de la familia Meléndez Quijano en la ciudad de San Miguel, no existe ningún dato de novedad</w:t>
      </w:r>
      <w:r w:rsidR="00E0662D" w:rsidRPr="008220A6">
        <w:rPr>
          <w:rFonts w:ascii="Verdana" w:hAnsi="Verdana"/>
          <w:sz w:val="20"/>
          <w:szCs w:val="20"/>
        </w:rPr>
        <w:t>.</w:t>
      </w:r>
    </w:p>
    <w:p w:rsidR="00AE06D9" w:rsidRPr="00AE06D9" w:rsidRDefault="00AE06D9" w:rsidP="006F5228">
      <w:pPr>
        <w:pStyle w:val="ListParagraph"/>
        <w:ind w:left="0" w:right="-8"/>
        <w:jc w:val="both"/>
        <w:rPr>
          <w:rFonts w:ascii="Verdana" w:hAnsi="Verdana"/>
          <w:sz w:val="18"/>
          <w:szCs w:val="18"/>
        </w:rPr>
      </w:pPr>
    </w:p>
    <w:p w:rsidR="00070AFF" w:rsidRPr="006F5228" w:rsidRDefault="00E0662D" w:rsidP="00043880">
      <w:pPr>
        <w:pStyle w:val="ListParagraph"/>
        <w:numPr>
          <w:ilvl w:val="0"/>
          <w:numId w:val="1"/>
        </w:numPr>
        <w:tabs>
          <w:tab w:val="clear" w:pos="644"/>
        </w:tabs>
        <w:ind w:left="0" w:right="-8" w:firstLine="0"/>
        <w:jc w:val="both"/>
        <w:rPr>
          <w:rFonts w:ascii="Verdana" w:hAnsi="Verdana"/>
          <w:sz w:val="18"/>
          <w:szCs w:val="18"/>
        </w:rPr>
      </w:pPr>
      <w:r w:rsidRPr="008220A6">
        <w:rPr>
          <w:rFonts w:ascii="Verdana" w:hAnsi="Verdana"/>
          <w:sz w:val="20"/>
          <w:szCs w:val="20"/>
        </w:rPr>
        <w:t>En razón de lo anterior, e</w:t>
      </w:r>
      <w:r w:rsidR="000B0CFD">
        <w:rPr>
          <w:rFonts w:ascii="Verdana" w:hAnsi="Verdana"/>
          <w:sz w:val="20"/>
          <w:szCs w:val="20"/>
        </w:rPr>
        <w:t>n el informe de la División de P</w:t>
      </w:r>
      <w:r w:rsidRPr="008220A6">
        <w:rPr>
          <w:rFonts w:ascii="Verdana" w:hAnsi="Verdana"/>
          <w:sz w:val="20"/>
          <w:szCs w:val="20"/>
        </w:rPr>
        <w:t>rotección a Víct</w:t>
      </w:r>
      <w:r w:rsidR="000B0CFD">
        <w:rPr>
          <w:rFonts w:ascii="Verdana" w:hAnsi="Verdana"/>
          <w:sz w:val="20"/>
          <w:szCs w:val="20"/>
        </w:rPr>
        <w:t>imas de la PNC</w:t>
      </w:r>
      <w:r w:rsidRPr="008220A6">
        <w:rPr>
          <w:rFonts w:ascii="Verdana" w:hAnsi="Verdana"/>
          <w:sz w:val="20"/>
          <w:szCs w:val="20"/>
        </w:rPr>
        <w:t xml:space="preserve">, luego de revisar minuciosamente el expediente del señor Meléndez Quijano y su familia, se concluyó que “durante el servicio de protección no existen amenazas reales, por el caso que motivó la protección a favor del protegido”. Además, “los informes de los </w:t>
      </w:r>
      <w:r w:rsidR="00895C8B">
        <w:rPr>
          <w:rFonts w:ascii="Verdana" w:hAnsi="Verdana"/>
          <w:sz w:val="20"/>
          <w:szCs w:val="20"/>
        </w:rPr>
        <w:t>[</w:t>
      </w:r>
      <w:r w:rsidR="005F27CD" w:rsidRPr="005F27CD">
        <w:rPr>
          <w:rFonts w:ascii="Verdana" w:hAnsi="Verdana"/>
          <w:sz w:val="20"/>
          <w:szCs w:val="20"/>
        </w:rPr>
        <w:t>agentes de seguridad</w:t>
      </w:r>
      <w:r w:rsidR="00895C8B">
        <w:rPr>
          <w:rFonts w:ascii="Verdana" w:hAnsi="Verdana"/>
          <w:sz w:val="20"/>
          <w:szCs w:val="20"/>
        </w:rPr>
        <w:t xml:space="preserve">] </w:t>
      </w:r>
      <w:r w:rsidRPr="008220A6">
        <w:rPr>
          <w:rFonts w:ascii="Verdana" w:hAnsi="Verdana"/>
          <w:sz w:val="20"/>
          <w:szCs w:val="20"/>
        </w:rPr>
        <w:t>no permiten advertir la existencia de hechos concretos en los que se pueda sustentar la existencia de una amenaza real a la integridad o seguridad personal del señor Meléndez y su familia, por lo que el Estado advierte una intención del señor Meléndez Quijano de vincular cualquier incidente circunstancial a su alrededor o de su familia como una amenaza directa a su seguridad”</w:t>
      </w:r>
      <w:r w:rsidR="000B0CFD">
        <w:rPr>
          <w:rFonts w:ascii="Verdana" w:hAnsi="Verdana"/>
          <w:sz w:val="20"/>
          <w:szCs w:val="20"/>
        </w:rPr>
        <w:t>.</w:t>
      </w:r>
      <w:r w:rsidRPr="008220A6">
        <w:rPr>
          <w:rFonts w:ascii="Verdana" w:hAnsi="Verdana"/>
          <w:sz w:val="20"/>
          <w:szCs w:val="20"/>
        </w:rPr>
        <w:t xml:space="preserve">   </w:t>
      </w:r>
    </w:p>
    <w:p w:rsidR="006F5228" w:rsidRPr="006F5228" w:rsidRDefault="006F5228" w:rsidP="006F5228">
      <w:pPr>
        <w:pStyle w:val="ListParagraph"/>
        <w:rPr>
          <w:rFonts w:ascii="Verdana" w:hAnsi="Verdana"/>
          <w:sz w:val="18"/>
          <w:szCs w:val="18"/>
        </w:rPr>
      </w:pPr>
    </w:p>
    <w:p w:rsidR="006F5228" w:rsidRPr="006F5228" w:rsidRDefault="00070AFF" w:rsidP="006F5228">
      <w:pPr>
        <w:pStyle w:val="ListParagraph"/>
        <w:numPr>
          <w:ilvl w:val="0"/>
          <w:numId w:val="1"/>
        </w:numPr>
        <w:tabs>
          <w:tab w:val="clear" w:pos="644"/>
        </w:tabs>
        <w:ind w:left="0" w:right="-8" w:firstLine="0"/>
        <w:jc w:val="both"/>
        <w:rPr>
          <w:rFonts w:ascii="Verdana" w:hAnsi="Verdana"/>
          <w:sz w:val="18"/>
          <w:szCs w:val="18"/>
        </w:rPr>
      </w:pPr>
      <w:r w:rsidRPr="008220A6">
        <w:rPr>
          <w:rFonts w:ascii="Verdana" w:hAnsi="Verdana"/>
          <w:sz w:val="20"/>
          <w:szCs w:val="20"/>
        </w:rPr>
        <w:t xml:space="preserve">Asimismo el Estado en cuanto a la solicitud del levantamiento de las medidas expresó que la labor investigativa de la </w:t>
      </w:r>
      <w:r w:rsidR="000B0CFD">
        <w:rPr>
          <w:rFonts w:ascii="Verdana" w:hAnsi="Verdana"/>
          <w:sz w:val="20"/>
          <w:szCs w:val="20"/>
        </w:rPr>
        <w:t>Fiscalía General de la R</w:t>
      </w:r>
      <w:r w:rsidR="00713506" w:rsidRPr="008220A6">
        <w:rPr>
          <w:rFonts w:ascii="Verdana" w:hAnsi="Verdana"/>
          <w:sz w:val="20"/>
          <w:szCs w:val="20"/>
        </w:rPr>
        <w:t xml:space="preserve">epública no ha logrado encontrar elementos que sustenten la existencia de los hechos denunciados por el señor Meléndez Quijano como atentados en contra de su seguridad y de su familia, y que los </w:t>
      </w:r>
      <w:r w:rsidR="00B215F1" w:rsidRPr="008220A6">
        <w:rPr>
          <w:rFonts w:ascii="Verdana" w:hAnsi="Verdana"/>
          <w:sz w:val="20"/>
          <w:szCs w:val="20"/>
        </w:rPr>
        <w:t xml:space="preserve">referidos </w:t>
      </w:r>
      <w:r w:rsidR="00713506" w:rsidRPr="008220A6">
        <w:rPr>
          <w:rFonts w:ascii="Verdana" w:hAnsi="Verdana"/>
          <w:sz w:val="20"/>
          <w:szCs w:val="20"/>
        </w:rPr>
        <w:t>hechos no presentan tampoco un patrón definido, sino que constituyen hechos aislados, que no reflejan un riesgo directo para su persona o para su familia</w:t>
      </w:r>
      <w:r w:rsidR="00EB1D05">
        <w:rPr>
          <w:rFonts w:ascii="Verdana" w:hAnsi="Verdana"/>
          <w:sz w:val="20"/>
          <w:szCs w:val="20"/>
        </w:rPr>
        <w:t>.</w:t>
      </w:r>
      <w:r w:rsidR="00713506" w:rsidRPr="008220A6">
        <w:rPr>
          <w:rFonts w:ascii="Verdana" w:hAnsi="Verdana"/>
          <w:sz w:val="20"/>
          <w:szCs w:val="20"/>
        </w:rPr>
        <w:t xml:space="preserve"> </w:t>
      </w:r>
      <w:r w:rsidR="00E0662D" w:rsidRPr="008220A6">
        <w:rPr>
          <w:rFonts w:ascii="Verdana" w:hAnsi="Verdana"/>
          <w:sz w:val="20"/>
          <w:szCs w:val="20"/>
        </w:rPr>
        <w:t xml:space="preserve">Agregó que sobre la base de la implementación de la medidas provisionales </w:t>
      </w:r>
      <w:r w:rsidR="005336F5" w:rsidRPr="008220A6">
        <w:rPr>
          <w:rFonts w:ascii="Verdana" w:hAnsi="Verdana"/>
          <w:sz w:val="20"/>
          <w:szCs w:val="20"/>
        </w:rPr>
        <w:t xml:space="preserve">no considerará </w:t>
      </w:r>
      <w:r w:rsidR="005336F5" w:rsidRPr="008220A6">
        <w:rPr>
          <w:rFonts w:ascii="Verdana" w:hAnsi="Verdana"/>
          <w:sz w:val="20"/>
          <w:szCs w:val="20"/>
        </w:rPr>
        <w:lastRenderedPageBreak/>
        <w:t>requerimientos que no se encuentran vinculados a la garantía de su seguridad personal o de su familia, ni supeditará decisiones sobre su situación laboral o carrera militar, que dependan de su capacidad profesional, necesidades de servicio e intereses institucionales</w:t>
      </w:r>
      <w:r w:rsidR="005336F5" w:rsidRPr="008220A6">
        <w:rPr>
          <w:rStyle w:val="FootnoteReference"/>
          <w:szCs w:val="20"/>
        </w:rPr>
        <w:footnoteReference w:id="13"/>
      </w:r>
      <w:r w:rsidR="005336F5" w:rsidRPr="008220A6">
        <w:rPr>
          <w:rFonts w:ascii="Verdana" w:hAnsi="Verdana"/>
          <w:sz w:val="20"/>
          <w:szCs w:val="20"/>
        </w:rPr>
        <w:t>, a la</w:t>
      </w:r>
      <w:r w:rsidR="000B0CFD">
        <w:rPr>
          <w:rFonts w:ascii="Verdana" w:hAnsi="Verdana"/>
          <w:sz w:val="20"/>
          <w:szCs w:val="20"/>
        </w:rPr>
        <w:t xml:space="preserve"> actitud del mismo en relación con</w:t>
      </w:r>
      <w:r w:rsidR="005336F5" w:rsidRPr="008220A6">
        <w:rPr>
          <w:rFonts w:ascii="Verdana" w:hAnsi="Verdana"/>
          <w:sz w:val="20"/>
          <w:szCs w:val="20"/>
        </w:rPr>
        <w:t xml:space="preserve"> las presentes medidas provisionales que son objeto de supervisión por parte de la Corte</w:t>
      </w:r>
      <w:r w:rsidR="00F657C2" w:rsidRPr="008220A6">
        <w:rPr>
          <w:rFonts w:ascii="Verdana" w:hAnsi="Verdana"/>
          <w:sz w:val="20"/>
          <w:szCs w:val="20"/>
        </w:rPr>
        <w:t xml:space="preserve">. Por último, el Estado solicitó </w:t>
      </w:r>
      <w:r w:rsidR="000B0CFD">
        <w:rPr>
          <w:rFonts w:ascii="Verdana" w:hAnsi="Verdana"/>
          <w:sz w:val="20"/>
          <w:szCs w:val="20"/>
        </w:rPr>
        <w:t xml:space="preserve">a este Tribunal </w:t>
      </w:r>
      <w:r w:rsidR="00F657C2" w:rsidRPr="008220A6">
        <w:rPr>
          <w:rFonts w:ascii="Verdana" w:hAnsi="Verdana"/>
          <w:sz w:val="20"/>
          <w:szCs w:val="20"/>
        </w:rPr>
        <w:t>que valore la pertinencia de mantener aún vigentes las medidas provisionales, ya que los criterio</w:t>
      </w:r>
      <w:r w:rsidR="00B215F1" w:rsidRPr="008220A6">
        <w:rPr>
          <w:rFonts w:ascii="Verdana" w:hAnsi="Verdana"/>
          <w:sz w:val="20"/>
          <w:szCs w:val="20"/>
        </w:rPr>
        <w:t>s</w:t>
      </w:r>
      <w:r w:rsidR="00F657C2" w:rsidRPr="008220A6">
        <w:rPr>
          <w:rFonts w:ascii="Verdana" w:hAnsi="Verdana"/>
          <w:sz w:val="20"/>
          <w:szCs w:val="20"/>
        </w:rPr>
        <w:t xml:space="preserve"> de extrema gravedad y urgencia en las que se fundaron no son sostenibles bajo los argumentos e información detallada al respecto. </w:t>
      </w:r>
    </w:p>
    <w:p w:rsidR="00FF6F69" w:rsidRPr="008220A6" w:rsidRDefault="00FF6F69" w:rsidP="006F5228">
      <w:pPr>
        <w:pStyle w:val="ListParagraph"/>
        <w:ind w:left="0" w:right="-8"/>
        <w:jc w:val="both"/>
        <w:rPr>
          <w:rFonts w:ascii="Verdana" w:hAnsi="Verdana"/>
          <w:sz w:val="18"/>
          <w:szCs w:val="18"/>
        </w:rPr>
      </w:pPr>
    </w:p>
    <w:p w:rsidR="00FD66F7" w:rsidRDefault="00FD66F7" w:rsidP="006F5228">
      <w:pPr>
        <w:pStyle w:val="ListParagraph"/>
        <w:numPr>
          <w:ilvl w:val="0"/>
          <w:numId w:val="1"/>
        </w:numPr>
        <w:tabs>
          <w:tab w:val="clear" w:pos="644"/>
        </w:tabs>
        <w:ind w:left="0" w:right="-8" w:firstLine="0"/>
        <w:jc w:val="both"/>
        <w:rPr>
          <w:rFonts w:ascii="Verdana" w:hAnsi="Verdana"/>
          <w:sz w:val="18"/>
          <w:szCs w:val="18"/>
        </w:rPr>
      </w:pPr>
      <w:r w:rsidRPr="008220A6">
        <w:rPr>
          <w:rFonts w:ascii="Verdana" w:hAnsi="Verdana"/>
          <w:sz w:val="20"/>
          <w:szCs w:val="20"/>
        </w:rPr>
        <w:t>La</w:t>
      </w:r>
      <w:r w:rsidRPr="008220A6">
        <w:rPr>
          <w:rFonts w:ascii="Verdana" w:hAnsi="Verdana"/>
          <w:b/>
          <w:i/>
          <w:sz w:val="20"/>
          <w:szCs w:val="20"/>
        </w:rPr>
        <w:t xml:space="preserve"> Comisión </w:t>
      </w:r>
      <w:r w:rsidRPr="008220A6">
        <w:rPr>
          <w:rFonts w:ascii="Verdana" w:hAnsi="Verdana"/>
          <w:sz w:val="20"/>
          <w:szCs w:val="20"/>
        </w:rPr>
        <w:t>en su escrito presentado el 3 de octubre de 2014 no presentó observaciones en relación con las medidas provisionales vigentes</w:t>
      </w:r>
      <w:r w:rsidR="00927936">
        <w:rPr>
          <w:rFonts w:ascii="Verdana" w:hAnsi="Verdana"/>
          <w:sz w:val="20"/>
          <w:szCs w:val="20"/>
        </w:rPr>
        <w:t xml:space="preserve"> (</w:t>
      </w:r>
      <w:r w:rsidR="00927936">
        <w:rPr>
          <w:rFonts w:ascii="Verdana" w:hAnsi="Verdana"/>
          <w:i/>
          <w:sz w:val="20"/>
          <w:szCs w:val="20"/>
        </w:rPr>
        <w:t>supra</w:t>
      </w:r>
      <w:r w:rsidR="00927936">
        <w:rPr>
          <w:rFonts w:ascii="Verdana" w:hAnsi="Verdana"/>
          <w:sz w:val="20"/>
          <w:szCs w:val="20"/>
        </w:rPr>
        <w:t xml:space="preserve"> Visto 4)</w:t>
      </w:r>
      <w:r w:rsidRPr="008220A6">
        <w:rPr>
          <w:rFonts w:ascii="Verdana" w:hAnsi="Verdana"/>
          <w:sz w:val="20"/>
          <w:szCs w:val="20"/>
        </w:rPr>
        <w:t>.</w:t>
      </w:r>
    </w:p>
    <w:p w:rsidR="008220A6" w:rsidRPr="008220A6" w:rsidRDefault="008220A6" w:rsidP="006F5228">
      <w:pPr>
        <w:pStyle w:val="ListParagraph"/>
        <w:ind w:left="0" w:right="-8"/>
        <w:jc w:val="both"/>
        <w:rPr>
          <w:rFonts w:ascii="Verdana" w:hAnsi="Verdana"/>
          <w:sz w:val="18"/>
          <w:szCs w:val="18"/>
        </w:rPr>
      </w:pPr>
    </w:p>
    <w:p w:rsidR="0016058E" w:rsidRPr="008220A6" w:rsidRDefault="00A014AD" w:rsidP="006F5228">
      <w:pPr>
        <w:pStyle w:val="ListParagraph"/>
        <w:numPr>
          <w:ilvl w:val="0"/>
          <w:numId w:val="1"/>
        </w:numPr>
        <w:tabs>
          <w:tab w:val="clear" w:pos="644"/>
        </w:tabs>
        <w:ind w:left="0" w:right="-8" w:firstLine="0"/>
        <w:jc w:val="both"/>
        <w:rPr>
          <w:rFonts w:ascii="Verdana" w:hAnsi="Verdana"/>
          <w:sz w:val="18"/>
          <w:szCs w:val="18"/>
        </w:rPr>
      </w:pPr>
      <w:r w:rsidRPr="008220A6">
        <w:rPr>
          <w:rFonts w:ascii="Verdana" w:eastAsia="Times New Roman" w:hAnsi="Verdana" w:cs="Arial"/>
          <w:sz w:val="20"/>
        </w:rPr>
        <w:t xml:space="preserve">Este </w:t>
      </w:r>
      <w:r w:rsidRPr="008220A6">
        <w:rPr>
          <w:rFonts w:ascii="Verdana" w:eastAsia="Times New Roman" w:hAnsi="Verdana" w:cs="Arial"/>
          <w:b/>
          <w:i/>
          <w:sz w:val="20"/>
        </w:rPr>
        <w:t>Tribunal</w:t>
      </w:r>
      <w:r w:rsidRPr="008220A6">
        <w:rPr>
          <w:rFonts w:ascii="Verdana" w:eastAsia="Times New Roman" w:hAnsi="Verdana" w:cs="Arial"/>
          <w:sz w:val="20"/>
        </w:rPr>
        <w:t xml:space="preserve"> </w:t>
      </w:r>
      <w:r w:rsidRPr="008220A6">
        <w:rPr>
          <w:rFonts w:ascii="Verdana" w:hAnsi="Verdana"/>
          <w:sz w:val="18"/>
          <w:szCs w:val="18"/>
        </w:rPr>
        <w:t>p</w:t>
      </w:r>
      <w:r w:rsidR="00107375" w:rsidRPr="008220A6">
        <w:rPr>
          <w:rFonts w:ascii="Verdana" w:eastAsia="Times New Roman" w:hAnsi="Verdana" w:cs="Arial"/>
          <w:sz w:val="20"/>
        </w:rPr>
        <w:t xml:space="preserve">ara considerar la solicitud estatal de levantar las medidas provisionales y poder evaluar integralmente la efectividad de las presentes medidas provisionales, requirió al Estado la remisión de información completa y pormenorizada sobre </w:t>
      </w:r>
      <w:r w:rsidR="00B215F1" w:rsidRPr="008220A6">
        <w:rPr>
          <w:rFonts w:ascii="Verdana" w:eastAsia="Times New Roman" w:hAnsi="Verdana" w:cs="Arial"/>
          <w:sz w:val="20"/>
        </w:rPr>
        <w:t xml:space="preserve">la situación de riesgo actual de todos los beneficiarios de las </w:t>
      </w:r>
      <w:r w:rsidR="00107375" w:rsidRPr="008220A6">
        <w:rPr>
          <w:rFonts w:ascii="Verdana" w:eastAsia="Times New Roman" w:hAnsi="Verdana" w:cs="Arial"/>
          <w:sz w:val="20"/>
        </w:rPr>
        <w:t>medidas adoptadas</w:t>
      </w:r>
      <w:r w:rsidR="00AE0E8A" w:rsidRPr="008220A6">
        <w:rPr>
          <w:rFonts w:ascii="Verdana" w:eastAsia="Times New Roman" w:hAnsi="Verdana" w:cs="Arial"/>
          <w:sz w:val="20"/>
        </w:rPr>
        <w:t>, así como consideraciones específicas sobre la persistencia de la situación que dio origen</w:t>
      </w:r>
      <w:r w:rsidR="007D2F1F" w:rsidRPr="008220A6">
        <w:rPr>
          <w:rFonts w:ascii="Verdana" w:eastAsia="Times New Roman" w:hAnsi="Verdana" w:cs="Arial"/>
          <w:sz w:val="20"/>
        </w:rPr>
        <w:t>,</w:t>
      </w:r>
      <w:r w:rsidR="000B0CFD">
        <w:rPr>
          <w:rFonts w:ascii="Verdana" w:eastAsia="Times New Roman" w:hAnsi="Verdana" w:cs="Arial"/>
          <w:sz w:val="20"/>
        </w:rPr>
        <w:t xml:space="preserve"> hace más de siete</w:t>
      </w:r>
      <w:r w:rsidR="00AE0E8A" w:rsidRPr="008220A6">
        <w:rPr>
          <w:rFonts w:ascii="Verdana" w:eastAsia="Times New Roman" w:hAnsi="Verdana" w:cs="Arial"/>
          <w:sz w:val="20"/>
        </w:rPr>
        <w:t xml:space="preserve"> años</w:t>
      </w:r>
      <w:r w:rsidR="007D2F1F" w:rsidRPr="008220A6">
        <w:rPr>
          <w:rFonts w:ascii="Verdana" w:eastAsia="Times New Roman" w:hAnsi="Verdana" w:cs="Arial"/>
          <w:sz w:val="20"/>
        </w:rPr>
        <w:t>,</w:t>
      </w:r>
      <w:r w:rsidR="00AE0E8A" w:rsidRPr="008220A6">
        <w:rPr>
          <w:rFonts w:ascii="Verdana" w:eastAsia="Times New Roman" w:hAnsi="Verdana" w:cs="Arial"/>
          <w:sz w:val="20"/>
        </w:rPr>
        <w:t xml:space="preserve"> </w:t>
      </w:r>
      <w:r w:rsidR="005110AA" w:rsidRPr="008220A6">
        <w:rPr>
          <w:rFonts w:ascii="Verdana" w:eastAsia="Times New Roman" w:hAnsi="Verdana" w:cs="Arial"/>
          <w:sz w:val="20"/>
        </w:rPr>
        <w:t xml:space="preserve">a las medidas a favor de </w:t>
      </w:r>
      <w:r w:rsidR="00AE0E8A" w:rsidRPr="008220A6">
        <w:rPr>
          <w:rFonts w:ascii="Verdana" w:eastAsia="Times New Roman" w:hAnsi="Verdana" w:cs="Arial"/>
          <w:sz w:val="20"/>
        </w:rPr>
        <w:t xml:space="preserve">cada uno </w:t>
      </w:r>
      <w:r w:rsidR="005110AA" w:rsidRPr="008220A6">
        <w:rPr>
          <w:rFonts w:ascii="Verdana" w:eastAsia="Times New Roman" w:hAnsi="Verdana" w:cs="Arial"/>
          <w:sz w:val="20"/>
        </w:rPr>
        <w:t xml:space="preserve">de </w:t>
      </w:r>
      <w:r w:rsidR="00AE0E8A" w:rsidRPr="008220A6">
        <w:rPr>
          <w:rFonts w:ascii="Verdana" w:eastAsia="Times New Roman" w:hAnsi="Verdana" w:cs="Arial"/>
          <w:sz w:val="20"/>
        </w:rPr>
        <w:t>ellos y su vínculo con los distintos hechos que han referido. Además se requirió informaci</w:t>
      </w:r>
      <w:r w:rsidR="005110AA" w:rsidRPr="008220A6">
        <w:rPr>
          <w:rFonts w:ascii="Verdana" w:eastAsia="Times New Roman" w:hAnsi="Verdana" w:cs="Arial"/>
          <w:sz w:val="20"/>
        </w:rPr>
        <w:t>ón</w:t>
      </w:r>
      <w:r w:rsidR="00AE0E8A" w:rsidRPr="008220A6">
        <w:rPr>
          <w:rFonts w:ascii="Verdana" w:eastAsia="Times New Roman" w:hAnsi="Verdana" w:cs="Arial"/>
          <w:sz w:val="20"/>
        </w:rPr>
        <w:t xml:space="preserve"> y observaciones sobre la existencia de mecanismos internos para garantizar la seguridad de las personas beneficiarias</w:t>
      </w:r>
      <w:r w:rsidR="00B215F1" w:rsidRPr="008220A6">
        <w:rPr>
          <w:rFonts w:ascii="Verdana" w:eastAsia="Times New Roman" w:hAnsi="Verdana" w:cs="Arial"/>
          <w:sz w:val="20"/>
        </w:rPr>
        <w:t>.</w:t>
      </w:r>
      <w:r w:rsidR="00C414A5" w:rsidRPr="008220A6">
        <w:rPr>
          <w:rFonts w:ascii="Verdana" w:hAnsi="Verdana"/>
          <w:sz w:val="20"/>
          <w:szCs w:val="20"/>
        </w:rPr>
        <w:t xml:space="preserve"> </w:t>
      </w:r>
      <w:r w:rsidR="000D1F2E" w:rsidRPr="008220A6">
        <w:rPr>
          <w:rFonts w:ascii="Verdana" w:hAnsi="Verdana"/>
          <w:sz w:val="20"/>
          <w:szCs w:val="20"/>
        </w:rPr>
        <w:t>A</w:t>
      </w:r>
      <w:r w:rsidR="00C414A5" w:rsidRPr="008220A6">
        <w:rPr>
          <w:rFonts w:ascii="Verdana" w:hAnsi="Verdana"/>
          <w:sz w:val="20"/>
          <w:szCs w:val="20"/>
        </w:rPr>
        <w:t xml:space="preserve"> la representación de los beneficiarios</w:t>
      </w:r>
      <w:r w:rsidR="007B61AB" w:rsidRPr="008220A6">
        <w:rPr>
          <w:rFonts w:ascii="Verdana" w:hAnsi="Verdana"/>
          <w:sz w:val="20"/>
          <w:szCs w:val="20"/>
        </w:rPr>
        <w:t xml:space="preserve"> y</w:t>
      </w:r>
      <w:r w:rsidR="00C414A5" w:rsidRPr="008220A6">
        <w:rPr>
          <w:rFonts w:ascii="Verdana" w:hAnsi="Verdana"/>
          <w:sz w:val="20"/>
          <w:szCs w:val="20"/>
        </w:rPr>
        <w:t xml:space="preserve"> la Comisión</w:t>
      </w:r>
      <w:r w:rsidR="000D1F2E" w:rsidRPr="008220A6">
        <w:rPr>
          <w:rFonts w:ascii="Verdana" w:hAnsi="Verdana"/>
          <w:sz w:val="20"/>
          <w:szCs w:val="20"/>
        </w:rPr>
        <w:t xml:space="preserve"> se les solicitó que</w:t>
      </w:r>
      <w:r w:rsidR="00C414A5" w:rsidRPr="008220A6">
        <w:rPr>
          <w:rFonts w:ascii="Verdana" w:hAnsi="Verdana"/>
          <w:sz w:val="20"/>
          <w:szCs w:val="20"/>
        </w:rPr>
        <w:t xml:space="preserve"> presentaran su</w:t>
      </w:r>
      <w:r w:rsidR="00334001" w:rsidRPr="008220A6">
        <w:rPr>
          <w:rFonts w:ascii="Verdana" w:hAnsi="Verdana"/>
          <w:sz w:val="20"/>
          <w:szCs w:val="20"/>
        </w:rPr>
        <w:t>s</w:t>
      </w:r>
      <w:r w:rsidR="00C414A5" w:rsidRPr="008220A6">
        <w:rPr>
          <w:rFonts w:ascii="Verdana" w:hAnsi="Verdana"/>
          <w:sz w:val="20"/>
          <w:szCs w:val="20"/>
        </w:rPr>
        <w:t xml:space="preserve"> observaciones al respecto.</w:t>
      </w:r>
    </w:p>
    <w:p w:rsidR="00605889" w:rsidRPr="00605889" w:rsidRDefault="00605889" w:rsidP="006F5228">
      <w:pPr>
        <w:ind w:right="-8"/>
        <w:jc w:val="both"/>
        <w:rPr>
          <w:rFonts w:ascii="Verdana" w:hAnsi="Verdana"/>
          <w:sz w:val="18"/>
          <w:szCs w:val="18"/>
        </w:rPr>
      </w:pPr>
    </w:p>
    <w:p w:rsidR="00FC3C01" w:rsidRPr="000557C7" w:rsidRDefault="003901F9" w:rsidP="006F5228">
      <w:pPr>
        <w:pStyle w:val="ListParagraph"/>
        <w:numPr>
          <w:ilvl w:val="0"/>
          <w:numId w:val="1"/>
        </w:numPr>
        <w:tabs>
          <w:tab w:val="clear" w:pos="644"/>
        </w:tabs>
        <w:ind w:left="0" w:right="-8" w:firstLine="0"/>
        <w:jc w:val="both"/>
        <w:rPr>
          <w:rFonts w:ascii="Verdana" w:hAnsi="Verdana"/>
          <w:sz w:val="20"/>
          <w:szCs w:val="20"/>
          <w:lang w:val="es-CR"/>
        </w:rPr>
      </w:pPr>
      <w:r w:rsidRPr="00B232C9">
        <w:rPr>
          <w:rFonts w:ascii="Verdana" w:eastAsia="Times New Roman" w:hAnsi="Verdana" w:cs="Arial"/>
          <w:sz w:val="20"/>
        </w:rPr>
        <w:t xml:space="preserve">A la luz de lo </w:t>
      </w:r>
      <w:r w:rsidR="004448A6" w:rsidRPr="00B232C9">
        <w:rPr>
          <w:rFonts w:ascii="Verdana" w:eastAsia="Times New Roman" w:hAnsi="Verdana" w:cs="Arial"/>
          <w:sz w:val="20"/>
        </w:rPr>
        <w:t>expuesto por el Estado y la representaci</w:t>
      </w:r>
      <w:r w:rsidR="00702076" w:rsidRPr="00B232C9">
        <w:rPr>
          <w:rFonts w:ascii="Verdana" w:eastAsia="Times New Roman" w:hAnsi="Verdana" w:cs="Arial"/>
          <w:sz w:val="20"/>
        </w:rPr>
        <w:t>ón de los beneficiarios</w:t>
      </w:r>
      <w:r w:rsidR="00586DBC">
        <w:rPr>
          <w:rFonts w:ascii="Verdana" w:eastAsia="Times New Roman" w:hAnsi="Verdana" w:cs="Arial"/>
          <w:sz w:val="20"/>
        </w:rPr>
        <w:t>,</w:t>
      </w:r>
      <w:r w:rsidR="00702076" w:rsidRPr="00B232C9">
        <w:rPr>
          <w:rFonts w:ascii="Verdana" w:eastAsia="Times New Roman" w:hAnsi="Verdana" w:cs="Arial"/>
          <w:sz w:val="20"/>
        </w:rPr>
        <w:t xml:space="preserve"> </w:t>
      </w:r>
      <w:r w:rsidR="005F27CD" w:rsidRPr="005F27CD">
        <w:rPr>
          <w:rFonts w:ascii="Verdana" w:eastAsia="Times New Roman" w:hAnsi="Verdana" w:cs="Arial"/>
          <w:sz w:val="20"/>
        </w:rPr>
        <w:t xml:space="preserve">han ocurrido nuevos hechos, algunos de los cuales </w:t>
      </w:r>
      <w:r w:rsidR="005F27CD" w:rsidRPr="005F27CD">
        <w:rPr>
          <w:rFonts w:ascii="Verdana" w:hAnsi="Verdana"/>
          <w:sz w:val="20"/>
          <w:szCs w:val="20"/>
        </w:rPr>
        <w:t>por sus características o naturaleza no permiten colegir con certeza si tienen una relación con las circunstancias fácticas que dieron origen a las presentes medidas provisionales</w:t>
      </w:r>
      <w:r w:rsidR="005F27CD" w:rsidRPr="005F27CD">
        <w:rPr>
          <w:rFonts w:ascii="Verdana" w:eastAsia="Times New Roman" w:hAnsi="Verdana" w:cs="Arial"/>
          <w:sz w:val="20"/>
        </w:rPr>
        <w:t xml:space="preserve">. No obstante, han ocurrido </w:t>
      </w:r>
      <w:r w:rsidR="00F85FBB">
        <w:rPr>
          <w:rFonts w:ascii="Verdana" w:eastAsia="Times New Roman" w:hAnsi="Verdana" w:cs="Arial"/>
          <w:sz w:val="20"/>
        </w:rPr>
        <w:t>hechos</w:t>
      </w:r>
      <w:r w:rsidR="00586DBC">
        <w:rPr>
          <w:rFonts w:ascii="Verdana" w:eastAsia="Times New Roman" w:hAnsi="Verdana" w:cs="Arial"/>
          <w:b/>
          <w:sz w:val="20"/>
        </w:rPr>
        <w:t xml:space="preserve"> </w:t>
      </w:r>
      <w:r w:rsidR="00586DBC">
        <w:rPr>
          <w:rFonts w:ascii="Verdana" w:eastAsia="Times New Roman" w:hAnsi="Verdana" w:cs="Arial"/>
          <w:sz w:val="20"/>
        </w:rPr>
        <w:t xml:space="preserve">que constituyen amenazas </w:t>
      </w:r>
      <w:r w:rsidR="0029779F">
        <w:rPr>
          <w:rFonts w:ascii="Verdana" w:eastAsia="Times New Roman" w:hAnsi="Verdana" w:cs="Arial"/>
          <w:sz w:val="20"/>
        </w:rPr>
        <w:t>u hostigamientos</w:t>
      </w:r>
      <w:r w:rsidR="00586DBC">
        <w:rPr>
          <w:rFonts w:ascii="Verdana" w:eastAsia="Times New Roman" w:hAnsi="Verdana" w:cs="Arial"/>
          <w:sz w:val="20"/>
        </w:rPr>
        <w:t xml:space="preserve"> </w:t>
      </w:r>
      <w:proofErr w:type="gramStart"/>
      <w:r w:rsidR="00586DBC">
        <w:rPr>
          <w:rFonts w:ascii="Verdana" w:eastAsia="Times New Roman" w:hAnsi="Verdana" w:cs="Arial"/>
          <w:sz w:val="20"/>
        </w:rPr>
        <w:t>dirigidas</w:t>
      </w:r>
      <w:proofErr w:type="gramEnd"/>
      <w:r w:rsidR="00586DBC">
        <w:rPr>
          <w:rFonts w:ascii="Verdana" w:eastAsia="Times New Roman" w:hAnsi="Verdana" w:cs="Arial"/>
          <w:sz w:val="20"/>
        </w:rPr>
        <w:t xml:space="preserve"> directamente contra personas beneficiarias</w:t>
      </w:r>
      <w:r w:rsidR="005F27CD" w:rsidRPr="005F27CD">
        <w:rPr>
          <w:rFonts w:ascii="Verdana" w:eastAsia="Times New Roman" w:hAnsi="Verdana" w:cs="Arial"/>
          <w:sz w:val="20"/>
        </w:rPr>
        <w:t>.</w:t>
      </w:r>
      <w:r w:rsidR="00586DBC">
        <w:rPr>
          <w:rFonts w:ascii="Verdana" w:eastAsia="Times New Roman" w:hAnsi="Verdana" w:cs="Arial"/>
          <w:b/>
          <w:sz w:val="20"/>
        </w:rPr>
        <w:t xml:space="preserve"> </w:t>
      </w:r>
      <w:r w:rsidR="005F27CD" w:rsidRPr="005F27CD">
        <w:rPr>
          <w:rFonts w:ascii="Verdana" w:eastAsia="Times New Roman" w:hAnsi="Verdana" w:cs="Arial"/>
          <w:sz w:val="20"/>
        </w:rPr>
        <w:t>Consecuentemente</w:t>
      </w:r>
      <w:r w:rsidR="005201DF" w:rsidRPr="00F6178F">
        <w:rPr>
          <w:rFonts w:ascii="Verdana" w:eastAsia="Times New Roman" w:hAnsi="Verdana" w:cs="Arial"/>
          <w:sz w:val="20"/>
        </w:rPr>
        <w:t>,</w:t>
      </w:r>
      <w:r w:rsidRPr="00B232C9">
        <w:rPr>
          <w:rFonts w:ascii="Verdana" w:eastAsia="Times New Roman" w:hAnsi="Verdana" w:cs="Arial"/>
          <w:sz w:val="20"/>
        </w:rPr>
        <w:t xml:space="preserve"> </w:t>
      </w:r>
      <w:r w:rsidR="00A014AD" w:rsidRPr="00B232C9">
        <w:rPr>
          <w:rFonts w:ascii="Verdana" w:hAnsi="Verdana"/>
          <w:sz w:val="20"/>
          <w:szCs w:val="20"/>
        </w:rPr>
        <w:t>este Tribunal</w:t>
      </w:r>
      <w:r w:rsidR="00A014AD" w:rsidRPr="00B232C9">
        <w:rPr>
          <w:rFonts w:ascii="Verdana" w:eastAsia="Times New Roman" w:hAnsi="Verdana" w:cs="Arial"/>
          <w:sz w:val="20"/>
          <w:szCs w:val="20"/>
        </w:rPr>
        <w:t xml:space="preserve"> </w:t>
      </w:r>
      <w:r w:rsidR="00107375" w:rsidRPr="00B232C9">
        <w:rPr>
          <w:rFonts w:ascii="Verdana" w:eastAsia="Times New Roman" w:hAnsi="Verdana" w:cs="Arial"/>
          <w:sz w:val="20"/>
        </w:rPr>
        <w:t xml:space="preserve">considera necesario mantener las </w:t>
      </w:r>
      <w:r w:rsidR="00A014AD" w:rsidRPr="00B232C9">
        <w:rPr>
          <w:rFonts w:ascii="Verdana" w:eastAsia="Times New Roman" w:hAnsi="Verdana" w:cs="Arial"/>
          <w:sz w:val="20"/>
        </w:rPr>
        <w:t>presentes medidas provisionales</w:t>
      </w:r>
      <w:r w:rsidR="00A014AD" w:rsidRPr="00B232C9">
        <w:rPr>
          <w:rFonts w:ascii="Verdana" w:eastAsia="Times New Roman" w:hAnsi="Verdana" w:cs="Arial"/>
          <w:sz w:val="20"/>
          <w:szCs w:val="20"/>
        </w:rPr>
        <w:t xml:space="preserve"> </w:t>
      </w:r>
      <w:r w:rsidR="00A014AD" w:rsidRPr="00B232C9">
        <w:rPr>
          <w:rFonts w:ascii="Verdana" w:hAnsi="Verdana"/>
          <w:sz w:val="20"/>
          <w:szCs w:val="20"/>
        </w:rPr>
        <w:t xml:space="preserve">por un plazo adicional que vence el </w:t>
      </w:r>
      <w:r w:rsidR="005F27CD" w:rsidRPr="005F27CD">
        <w:rPr>
          <w:rFonts w:ascii="Verdana" w:hAnsi="Verdana"/>
          <w:sz w:val="20"/>
          <w:szCs w:val="20"/>
        </w:rPr>
        <w:t>15</w:t>
      </w:r>
      <w:r w:rsidR="00A014AD" w:rsidRPr="00F6178F">
        <w:rPr>
          <w:rFonts w:ascii="Verdana" w:hAnsi="Verdana"/>
          <w:sz w:val="20"/>
          <w:szCs w:val="20"/>
        </w:rPr>
        <w:t xml:space="preserve"> </w:t>
      </w:r>
      <w:r w:rsidR="00A014AD" w:rsidRPr="00B232C9">
        <w:rPr>
          <w:rFonts w:ascii="Verdana" w:hAnsi="Verdana"/>
          <w:sz w:val="20"/>
          <w:szCs w:val="20"/>
        </w:rPr>
        <w:t xml:space="preserve">de abril de 2015, luego de lo cual </w:t>
      </w:r>
      <w:r w:rsidR="00B06E15">
        <w:rPr>
          <w:rFonts w:ascii="Verdana" w:hAnsi="Verdana"/>
          <w:sz w:val="20"/>
          <w:szCs w:val="20"/>
        </w:rPr>
        <w:t xml:space="preserve">será </w:t>
      </w:r>
      <w:r w:rsidR="00A014AD" w:rsidRPr="00B232C9">
        <w:rPr>
          <w:rFonts w:ascii="Verdana" w:hAnsi="Verdana"/>
          <w:sz w:val="20"/>
          <w:szCs w:val="20"/>
        </w:rPr>
        <w:t>evalua</w:t>
      </w:r>
      <w:r w:rsidR="00B06E15">
        <w:rPr>
          <w:rFonts w:ascii="Verdana" w:hAnsi="Verdana"/>
          <w:sz w:val="20"/>
          <w:szCs w:val="20"/>
        </w:rPr>
        <w:t>da</w:t>
      </w:r>
      <w:r w:rsidR="00A014AD" w:rsidRPr="00B232C9">
        <w:rPr>
          <w:rFonts w:ascii="Verdana" w:hAnsi="Verdana"/>
          <w:sz w:val="20"/>
          <w:szCs w:val="20"/>
        </w:rPr>
        <w:t xml:space="preserve"> </w:t>
      </w:r>
      <w:r w:rsidR="00B06E15">
        <w:rPr>
          <w:rFonts w:ascii="Verdana" w:hAnsi="Verdana"/>
          <w:sz w:val="20"/>
          <w:szCs w:val="20"/>
        </w:rPr>
        <w:t>la prórroga de su vigencia.</w:t>
      </w:r>
    </w:p>
    <w:p w:rsidR="008220A6" w:rsidRDefault="008220A6" w:rsidP="006F5228">
      <w:pPr>
        <w:pStyle w:val="ListParagraph"/>
        <w:ind w:left="0" w:right="-8"/>
        <w:jc w:val="both"/>
        <w:rPr>
          <w:rFonts w:ascii="Verdana" w:hAnsi="Verdana"/>
          <w:sz w:val="20"/>
          <w:szCs w:val="20"/>
          <w:lang w:val="es-CR"/>
        </w:rPr>
      </w:pPr>
    </w:p>
    <w:p w:rsidR="00B232C9" w:rsidRPr="003901F9" w:rsidRDefault="003901F9" w:rsidP="006F5228">
      <w:pPr>
        <w:pStyle w:val="ListParagraph"/>
        <w:numPr>
          <w:ilvl w:val="0"/>
          <w:numId w:val="1"/>
        </w:numPr>
        <w:tabs>
          <w:tab w:val="clear" w:pos="644"/>
        </w:tabs>
        <w:ind w:left="0" w:right="-8" w:firstLine="0"/>
        <w:jc w:val="both"/>
        <w:rPr>
          <w:rFonts w:ascii="Verdana" w:hAnsi="Verdana"/>
          <w:sz w:val="20"/>
          <w:szCs w:val="20"/>
        </w:rPr>
      </w:pPr>
      <w:r w:rsidRPr="00B232C9">
        <w:rPr>
          <w:rFonts w:ascii="Verdana" w:hAnsi="Verdana"/>
          <w:sz w:val="20"/>
          <w:szCs w:val="20"/>
          <w:lang w:val="es-CR"/>
        </w:rPr>
        <w:t xml:space="preserve">Dado lo anterior se requiere que el Estado remita información completa y pormenorizada sobre la evolución de las medidas adoptadas en su conjunto y su impacto en la erradicación de la situación de riesgo de cada uno de los beneficiarios en los últimos seis meses, así como </w:t>
      </w:r>
      <w:r w:rsidR="00360CD0">
        <w:rPr>
          <w:rFonts w:ascii="Verdana" w:hAnsi="Verdana"/>
          <w:sz w:val="20"/>
          <w:szCs w:val="20"/>
          <w:lang w:val="es-CR"/>
        </w:rPr>
        <w:t>aquel</w:t>
      </w:r>
      <w:r w:rsidRPr="00B232C9">
        <w:rPr>
          <w:rFonts w:ascii="Verdana" w:hAnsi="Verdana"/>
          <w:sz w:val="20"/>
          <w:szCs w:val="20"/>
          <w:lang w:val="es-CR"/>
        </w:rPr>
        <w:t>las que podría adoptar a trav</w:t>
      </w:r>
      <w:r w:rsidR="005201DF" w:rsidRPr="00B232C9">
        <w:rPr>
          <w:rFonts w:ascii="Verdana" w:hAnsi="Verdana"/>
          <w:sz w:val="20"/>
          <w:szCs w:val="20"/>
          <w:lang w:val="es-CR"/>
        </w:rPr>
        <w:t>és de</w:t>
      </w:r>
      <w:r w:rsidRPr="00B232C9">
        <w:rPr>
          <w:rFonts w:ascii="Verdana" w:hAnsi="Verdana" w:cs="Helvetica"/>
          <w:sz w:val="20"/>
          <w:szCs w:val="20"/>
          <w:lang w:val="es-ES" w:bidi="en-US"/>
        </w:rPr>
        <w:t xml:space="preserve"> mecanismos internos concretos que ser</w:t>
      </w:r>
      <w:r w:rsidR="00360CD0">
        <w:rPr>
          <w:rFonts w:ascii="Verdana" w:hAnsi="Verdana" w:cs="Helvetica"/>
          <w:sz w:val="20"/>
          <w:szCs w:val="20"/>
          <w:lang w:val="es-ES" w:bidi="en-US"/>
        </w:rPr>
        <w:t>ían</w:t>
      </w:r>
      <w:r w:rsidRPr="00B232C9">
        <w:rPr>
          <w:rFonts w:ascii="Verdana" w:hAnsi="Verdana" w:cs="Helvetica"/>
          <w:sz w:val="20"/>
          <w:szCs w:val="20"/>
          <w:lang w:val="es-ES" w:bidi="en-US"/>
        </w:rPr>
        <w:t xml:space="preserve"> eficaces para garantizar la seguridad de las personas beneficiaria</w:t>
      </w:r>
      <w:r w:rsidRPr="00B232C9">
        <w:rPr>
          <w:rFonts w:ascii="Verdana" w:hAnsi="Verdana" w:cs="Helvetica"/>
          <w:sz w:val="20"/>
          <w:szCs w:val="20"/>
          <w:lang w:val="es-CR" w:bidi="en-US"/>
        </w:rPr>
        <w:t>s</w:t>
      </w:r>
      <w:r w:rsidRPr="00B232C9">
        <w:rPr>
          <w:rFonts w:ascii="Verdana" w:hAnsi="Verdana"/>
          <w:sz w:val="20"/>
          <w:szCs w:val="20"/>
          <w:lang w:val="es-CR"/>
        </w:rPr>
        <w:t xml:space="preserve"> </w:t>
      </w:r>
      <w:r w:rsidR="005201DF" w:rsidRPr="00B232C9">
        <w:rPr>
          <w:rFonts w:ascii="Verdana" w:hAnsi="Verdana"/>
          <w:sz w:val="20"/>
          <w:szCs w:val="20"/>
          <w:lang w:val="es-CR"/>
        </w:rPr>
        <w:t xml:space="preserve">de las presentes medidas. </w:t>
      </w:r>
      <w:r w:rsidRPr="00B232C9">
        <w:rPr>
          <w:rFonts w:ascii="Verdana" w:hAnsi="Verdana"/>
          <w:sz w:val="20"/>
          <w:szCs w:val="20"/>
          <w:lang w:val="es-CR"/>
        </w:rPr>
        <w:t>Asimismo, la Comisión Interamericana y los representantes podrán remitir sus observaciones y la información que consideren pertinente a este propósito.</w:t>
      </w:r>
      <w:r w:rsidR="00D967B3">
        <w:rPr>
          <w:rFonts w:ascii="Verdana" w:hAnsi="Verdana"/>
          <w:sz w:val="20"/>
          <w:szCs w:val="20"/>
          <w:lang w:val="es-CR"/>
        </w:rPr>
        <w:t xml:space="preserve"> </w:t>
      </w:r>
      <w:r w:rsidR="00F85FBB">
        <w:rPr>
          <w:rFonts w:ascii="Verdana" w:hAnsi="Verdana"/>
          <w:sz w:val="20"/>
          <w:szCs w:val="20"/>
        </w:rPr>
        <w:t>E</w:t>
      </w:r>
      <w:r w:rsidR="00B232C9">
        <w:rPr>
          <w:rFonts w:ascii="Verdana" w:hAnsi="Verdana"/>
          <w:sz w:val="20"/>
          <w:szCs w:val="20"/>
        </w:rPr>
        <w:t xml:space="preserve">l </w:t>
      </w:r>
      <w:r w:rsidR="00B232C9" w:rsidRPr="00702076">
        <w:rPr>
          <w:rFonts w:ascii="Verdana" w:eastAsia="Times New Roman" w:hAnsi="Verdana" w:cs="Arial"/>
          <w:sz w:val="20"/>
        </w:rPr>
        <w:t>Estado debe continuar realizando las gestiones pertinentes para que</w:t>
      </w:r>
      <w:r w:rsidR="00F85FBB">
        <w:rPr>
          <w:rFonts w:ascii="Verdana" w:eastAsia="Times New Roman" w:hAnsi="Verdana" w:cs="Arial"/>
          <w:sz w:val="20"/>
        </w:rPr>
        <w:t xml:space="preserve"> las medidas provisionales</w:t>
      </w:r>
      <w:r w:rsidR="00B232C9" w:rsidRPr="00702076">
        <w:rPr>
          <w:rFonts w:ascii="Verdana" w:eastAsia="Times New Roman" w:hAnsi="Verdana" w:cs="Arial"/>
          <w:sz w:val="20"/>
        </w:rPr>
        <w:t xml:space="preserve"> se planifiquen e implementen con la participación de los representantes de los</w:t>
      </w:r>
      <w:r w:rsidR="00B232C9" w:rsidRPr="00702076">
        <w:rPr>
          <w:rFonts w:ascii="Verdana" w:eastAsia="Times New Roman" w:hAnsi="Verdana" w:cs="Arial"/>
          <w:sz w:val="20"/>
          <w:szCs w:val="20"/>
        </w:rPr>
        <w:t xml:space="preserve"> beneficiarios</w:t>
      </w:r>
      <w:r w:rsidR="00B232C9" w:rsidRPr="00702076">
        <w:rPr>
          <w:rFonts w:ascii="Verdana" w:hAnsi="Verdana"/>
          <w:sz w:val="20"/>
          <w:szCs w:val="20"/>
        </w:rPr>
        <w:t xml:space="preserve"> y se supere</w:t>
      </w:r>
      <w:r w:rsidR="00E10CF7">
        <w:rPr>
          <w:rFonts w:ascii="Verdana" w:hAnsi="Verdana"/>
          <w:sz w:val="20"/>
          <w:szCs w:val="20"/>
        </w:rPr>
        <w:t>n</w:t>
      </w:r>
      <w:r w:rsidR="00B232C9" w:rsidRPr="00702076">
        <w:rPr>
          <w:rFonts w:ascii="Verdana" w:hAnsi="Verdana"/>
          <w:sz w:val="20"/>
          <w:szCs w:val="20"/>
        </w:rPr>
        <w:t xml:space="preserve"> las dificultades o desacuerdos que se evidencian en cuanto a su implementación</w:t>
      </w:r>
      <w:r w:rsidR="00B232C9" w:rsidRPr="00702076">
        <w:rPr>
          <w:rFonts w:ascii="Verdana" w:hAnsi="Verdana"/>
          <w:sz w:val="18"/>
          <w:szCs w:val="18"/>
        </w:rPr>
        <w:t>.</w:t>
      </w:r>
    </w:p>
    <w:p w:rsidR="003901F9" w:rsidRDefault="003901F9" w:rsidP="006F5228">
      <w:pPr>
        <w:pStyle w:val="ListParagraph"/>
        <w:ind w:left="0"/>
        <w:jc w:val="both"/>
        <w:rPr>
          <w:rFonts w:ascii="Verdana" w:hAnsi="Verdana"/>
          <w:sz w:val="20"/>
          <w:szCs w:val="20"/>
          <w:lang w:val="es-CR"/>
        </w:rPr>
      </w:pPr>
    </w:p>
    <w:p w:rsidR="008220A6" w:rsidRDefault="000557C7" w:rsidP="006F5228">
      <w:pPr>
        <w:pStyle w:val="ListParagraph"/>
        <w:ind w:left="0"/>
        <w:jc w:val="center"/>
        <w:rPr>
          <w:rFonts w:ascii="Verdana" w:hAnsi="Verdana"/>
          <w:sz w:val="20"/>
          <w:szCs w:val="20"/>
          <w:lang w:val="es-CR"/>
        </w:rPr>
      </w:pPr>
      <w:r>
        <w:rPr>
          <w:rFonts w:ascii="Verdana" w:hAnsi="Verdana"/>
          <w:sz w:val="20"/>
          <w:szCs w:val="20"/>
          <w:lang w:val="es-CR"/>
        </w:rPr>
        <w:sym w:font="Symbol" w:char="F02A"/>
      </w:r>
    </w:p>
    <w:p w:rsidR="000557C7" w:rsidRPr="005201DF" w:rsidRDefault="000557C7" w:rsidP="006F5228">
      <w:pPr>
        <w:pStyle w:val="ListParagraph"/>
        <w:ind w:left="0"/>
        <w:jc w:val="both"/>
        <w:rPr>
          <w:rFonts w:ascii="Verdana" w:hAnsi="Verdana"/>
          <w:sz w:val="20"/>
          <w:szCs w:val="20"/>
          <w:lang w:val="es-CR"/>
        </w:rPr>
      </w:pPr>
    </w:p>
    <w:p w:rsidR="00B232C9" w:rsidRDefault="000B71D8" w:rsidP="006F5228">
      <w:pPr>
        <w:pStyle w:val="ListParagraph"/>
        <w:ind w:left="0" w:right="-8"/>
        <w:jc w:val="both"/>
        <w:rPr>
          <w:rFonts w:ascii="Verdana" w:hAnsi="Verdana"/>
          <w:sz w:val="20"/>
          <w:szCs w:val="20"/>
        </w:rPr>
      </w:pPr>
      <w:r>
        <w:rPr>
          <w:rFonts w:ascii="Verdana" w:hAnsi="Verdana"/>
          <w:sz w:val="20"/>
          <w:szCs w:val="20"/>
        </w:rPr>
        <w:t>28</w:t>
      </w:r>
      <w:r w:rsidR="008220A6">
        <w:rPr>
          <w:rFonts w:ascii="Verdana" w:hAnsi="Verdana"/>
          <w:sz w:val="20"/>
          <w:szCs w:val="20"/>
        </w:rPr>
        <w:t>.</w:t>
      </w:r>
      <w:r w:rsidR="008220A6">
        <w:rPr>
          <w:rFonts w:ascii="Verdana" w:hAnsi="Verdana"/>
          <w:sz w:val="20"/>
          <w:szCs w:val="20"/>
        </w:rPr>
        <w:tab/>
      </w:r>
      <w:r w:rsidR="00702076" w:rsidRPr="00B232C9">
        <w:rPr>
          <w:rFonts w:ascii="Verdana" w:hAnsi="Verdana"/>
          <w:sz w:val="20"/>
          <w:szCs w:val="20"/>
        </w:rPr>
        <w:t xml:space="preserve">Por otra parte, </w:t>
      </w:r>
      <w:r w:rsidR="003901F9" w:rsidRPr="00B232C9">
        <w:rPr>
          <w:rFonts w:ascii="Verdana" w:hAnsi="Verdana"/>
          <w:sz w:val="20"/>
          <w:szCs w:val="20"/>
        </w:rPr>
        <w:t>dado que la representación de los beneficiarios ha</w:t>
      </w:r>
      <w:r w:rsidR="000557C7">
        <w:rPr>
          <w:rFonts w:ascii="Verdana" w:hAnsi="Verdana"/>
          <w:sz w:val="20"/>
          <w:szCs w:val="20"/>
        </w:rPr>
        <w:t xml:space="preserve"> hecho</w:t>
      </w:r>
      <w:r w:rsidR="003901F9" w:rsidRPr="00B232C9">
        <w:rPr>
          <w:rFonts w:ascii="Verdana" w:hAnsi="Verdana"/>
          <w:sz w:val="20"/>
          <w:szCs w:val="20"/>
        </w:rPr>
        <w:t xml:space="preserve"> </w:t>
      </w:r>
      <w:r w:rsidR="00B232C9" w:rsidRPr="00B232C9">
        <w:rPr>
          <w:rFonts w:ascii="Verdana" w:hAnsi="Verdana"/>
          <w:sz w:val="20"/>
          <w:szCs w:val="20"/>
        </w:rPr>
        <w:t>consideraciones sobre diversas investigaciones relacionadas con alg</w:t>
      </w:r>
      <w:r w:rsidR="0029779F">
        <w:rPr>
          <w:rFonts w:ascii="Verdana" w:hAnsi="Verdana"/>
          <w:sz w:val="20"/>
          <w:szCs w:val="20"/>
        </w:rPr>
        <w:t>unos de los hechos de amenazas u</w:t>
      </w:r>
      <w:r w:rsidR="00B232C9" w:rsidRPr="00B232C9">
        <w:rPr>
          <w:rFonts w:ascii="Verdana" w:hAnsi="Verdana"/>
          <w:sz w:val="20"/>
          <w:szCs w:val="20"/>
        </w:rPr>
        <w:t xml:space="preserve"> hostigamientos de que alegan han sido objeto, este Tribunal reitera</w:t>
      </w:r>
      <w:r w:rsidR="003323D0">
        <w:rPr>
          <w:rFonts w:ascii="Verdana" w:hAnsi="Verdana"/>
          <w:sz w:val="20"/>
          <w:szCs w:val="20"/>
        </w:rPr>
        <w:t>:</w:t>
      </w:r>
    </w:p>
    <w:p w:rsidR="006F5228" w:rsidRPr="00B232C9" w:rsidRDefault="006F5228" w:rsidP="006F5228">
      <w:pPr>
        <w:pStyle w:val="ListParagraph"/>
        <w:ind w:left="0" w:right="-8"/>
        <w:jc w:val="both"/>
        <w:rPr>
          <w:rFonts w:ascii="Verdana" w:hAnsi="Verdana"/>
          <w:sz w:val="20"/>
          <w:szCs w:val="20"/>
        </w:rPr>
      </w:pPr>
    </w:p>
    <w:p w:rsidR="00B232C9" w:rsidRPr="008220A6" w:rsidRDefault="00B232C9" w:rsidP="00B232C9">
      <w:pPr>
        <w:pStyle w:val="ListParagraph"/>
        <w:ind w:left="360" w:right="504"/>
        <w:contextualSpacing/>
        <w:jc w:val="both"/>
        <w:rPr>
          <w:rFonts w:ascii="Verdana" w:hAnsi="Verdana"/>
          <w:sz w:val="16"/>
          <w:szCs w:val="16"/>
          <w:lang w:val="es-CO"/>
        </w:rPr>
      </w:pPr>
      <w:proofErr w:type="gramStart"/>
      <w:r w:rsidRPr="008220A6">
        <w:rPr>
          <w:rFonts w:ascii="Verdana" w:hAnsi="Verdana"/>
          <w:sz w:val="16"/>
          <w:szCs w:val="16"/>
          <w:lang w:val="es-CO"/>
        </w:rPr>
        <w:lastRenderedPageBreak/>
        <w:t>una</w:t>
      </w:r>
      <w:proofErr w:type="gramEnd"/>
      <w:r w:rsidRPr="008220A6">
        <w:rPr>
          <w:rFonts w:ascii="Verdana" w:hAnsi="Verdana"/>
          <w:sz w:val="16"/>
          <w:szCs w:val="16"/>
          <w:lang w:val="es-CO"/>
        </w:rPr>
        <w:t xml:space="preserve"> supuesta falta de investigación por parte de un Estado no necesariamente constituye una circunstancia de extrema gravedad y urgencia que amerite el mantenimiento de las medidas provisionales</w:t>
      </w:r>
      <w:r w:rsidRPr="008220A6">
        <w:rPr>
          <w:rFonts w:ascii="Verdana" w:hAnsi="Verdana"/>
          <w:bCs/>
          <w:sz w:val="16"/>
          <w:szCs w:val="16"/>
          <w:lang w:val="es-CO"/>
        </w:rPr>
        <w:t xml:space="preserve">. Además, el deber de investigar en ciertas </w:t>
      </w:r>
      <w:r w:rsidRPr="008220A6">
        <w:rPr>
          <w:rFonts w:ascii="Verdana" w:hAnsi="Verdana"/>
          <w:sz w:val="16"/>
          <w:szCs w:val="16"/>
          <w:lang w:val="es-CL"/>
        </w:rPr>
        <w:t>ocasiones</w:t>
      </w:r>
      <w:r w:rsidRPr="008220A6">
        <w:rPr>
          <w:rFonts w:ascii="Verdana" w:hAnsi="Verdana"/>
          <w:bCs/>
          <w:sz w:val="16"/>
          <w:szCs w:val="16"/>
          <w:lang w:val="es-CO"/>
        </w:rPr>
        <w:t xml:space="preserve"> puede prolongarse por un período considerable de tiempo, durante el cual la amenaza o riesgo no necesariamente se mantiene extremo y urgente. </w:t>
      </w:r>
      <w:r w:rsidRPr="008220A6">
        <w:rPr>
          <w:rFonts w:ascii="Verdana" w:hAnsi="Verdana"/>
          <w:sz w:val="16"/>
          <w:szCs w:val="16"/>
          <w:lang w:val="es-CL"/>
        </w:rPr>
        <w:t>Asimismo</w:t>
      </w:r>
      <w:r w:rsidRPr="008220A6">
        <w:rPr>
          <w:rFonts w:ascii="Verdana" w:hAnsi="Verdana"/>
          <w:bCs/>
          <w:sz w:val="16"/>
          <w:szCs w:val="16"/>
          <w:lang w:val="es-CO"/>
        </w:rPr>
        <w:t xml:space="preserve">, esta Corte ha señalado que </w:t>
      </w:r>
      <w:r w:rsidRPr="008220A6">
        <w:rPr>
          <w:rFonts w:ascii="Verdana" w:hAnsi="Verdana"/>
          <w:sz w:val="16"/>
          <w:szCs w:val="16"/>
          <w:lang w:val="es-CO"/>
        </w:rPr>
        <w:t xml:space="preserve">el análisis de la efectividad de las investigaciones y procedimientos referentes a los hechos que motivan las medidas provisionales corresponde al examen del </w:t>
      </w:r>
      <w:r w:rsidRPr="008220A6">
        <w:rPr>
          <w:rFonts w:ascii="Verdana" w:hAnsi="Verdana" w:cs="MSReferenceSansSerif"/>
          <w:sz w:val="16"/>
          <w:szCs w:val="16"/>
          <w:lang w:val="es-ES"/>
        </w:rPr>
        <w:t>fondo del caso</w:t>
      </w:r>
      <w:r w:rsidRPr="008220A6">
        <w:rPr>
          <w:rFonts w:ascii="Verdana" w:hAnsi="Verdana" w:cs="MSReferenceSansSerif"/>
          <w:sz w:val="16"/>
          <w:szCs w:val="16"/>
          <w:vertAlign w:val="superscript"/>
          <w:lang w:val="es-ES"/>
        </w:rPr>
        <w:footnoteReference w:id="14"/>
      </w:r>
      <w:r w:rsidRPr="008220A6">
        <w:rPr>
          <w:rFonts w:ascii="Verdana" w:hAnsi="Verdana" w:cs="MSReferenceSansSerif"/>
          <w:sz w:val="16"/>
          <w:szCs w:val="16"/>
          <w:lang w:val="es-ES"/>
        </w:rPr>
        <w:t xml:space="preserve">. </w:t>
      </w:r>
      <w:r w:rsidRPr="008220A6">
        <w:rPr>
          <w:rFonts w:ascii="Verdana" w:hAnsi="Verdana"/>
          <w:sz w:val="16"/>
          <w:szCs w:val="16"/>
          <w:lang w:val="es-CO"/>
        </w:rPr>
        <w:t xml:space="preserve">En suma, el incumplimiento del deber de investigar no es </w:t>
      </w:r>
      <w:r w:rsidRPr="008220A6">
        <w:rPr>
          <w:rFonts w:ascii="Verdana" w:hAnsi="Verdana"/>
          <w:i/>
          <w:sz w:val="16"/>
          <w:szCs w:val="16"/>
          <w:lang w:val="es-CO"/>
        </w:rPr>
        <w:t>per se</w:t>
      </w:r>
      <w:r w:rsidRPr="008220A6">
        <w:rPr>
          <w:rFonts w:ascii="Verdana" w:hAnsi="Verdana"/>
          <w:sz w:val="16"/>
          <w:szCs w:val="16"/>
          <w:lang w:val="es-CO"/>
        </w:rPr>
        <w:t xml:space="preserve"> motivo suficiente para mantener las medidas provisionales</w:t>
      </w:r>
      <w:r w:rsidRPr="008220A6">
        <w:rPr>
          <w:rStyle w:val="FootnoteReference"/>
          <w:szCs w:val="16"/>
          <w:lang w:val="es-CO"/>
        </w:rPr>
        <w:footnoteReference w:id="15"/>
      </w:r>
      <w:r w:rsidRPr="008220A6">
        <w:rPr>
          <w:rFonts w:ascii="Verdana" w:hAnsi="Verdana"/>
          <w:sz w:val="16"/>
          <w:szCs w:val="16"/>
          <w:lang w:val="es-CO"/>
        </w:rPr>
        <w:t>.</w:t>
      </w:r>
    </w:p>
    <w:p w:rsidR="00B232C9" w:rsidRDefault="00B232C9" w:rsidP="00B232C9">
      <w:pPr>
        <w:pStyle w:val="ListParagraph"/>
        <w:ind w:left="0"/>
        <w:contextualSpacing/>
        <w:jc w:val="both"/>
        <w:rPr>
          <w:rFonts w:ascii="Verdana" w:hAnsi="Verdana"/>
          <w:sz w:val="16"/>
          <w:szCs w:val="16"/>
          <w:lang w:val="es-CO"/>
        </w:rPr>
      </w:pPr>
    </w:p>
    <w:p w:rsidR="006F5228" w:rsidRDefault="00074F48" w:rsidP="006F5228">
      <w:pPr>
        <w:pStyle w:val="ListParagraph"/>
        <w:numPr>
          <w:ilvl w:val="0"/>
          <w:numId w:val="14"/>
        </w:numPr>
        <w:ind w:left="0" w:right="-8" w:firstLine="0"/>
        <w:jc w:val="both"/>
        <w:rPr>
          <w:rFonts w:ascii="Verdana" w:hAnsi="Verdana"/>
          <w:sz w:val="20"/>
          <w:szCs w:val="20"/>
        </w:rPr>
      </w:pPr>
      <w:r w:rsidRPr="000B71D8">
        <w:rPr>
          <w:rFonts w:ascii="Verdana" w:hAnsi="Verdana"/>
          <w:sz w:val="20"/>
          <w:szCs w:val="20"/>
        </w:rPr>
        <w:t>Por último, la representación hizo ref</w:t>
      </w:r>
      <w:r w:rsidR="004C3DAD" w:rsidRPr="000B71D8">
        <w:rPr>
          <w:rFonts w:ascii="Verdana" w:hAnsi="Verdana"/>
          <w:sz w:val="20"/>
          <w:szCs w:val="20"/>
        </w:rPr>
        <w:t>erencia</w:t>
      </w:r>
      <w:r w:rsidR="00406BE6" w:rsidRPr="000B71D8">
        <w:rPr>
          <w:rFonts w:ascii="Verdana" w:hAnsi="Verdana"/>
          <w:sz w:val="20"/>
          <w:szCs w:val="20"/>
        </w:rPr>
        <w:t>,</w:t>
      </w:r>
      <w:r w:rsidR="004C3DAD" w:rsidRPr="000B71D8">
        <w:rPr>
          <w:rFonts w:ascii="Verdana" w:hAnsi="Verdana"/>
          <w:sz w:val="20"/>
          <w:szCs w:val="20"/>
        </w:rPr>
        <w:t xml:space="preserve"> entre otras, a diversas acciones realizadas por distintos funcionarios estatales y a su situación respecto a</w:t>
      </w:r>
      <w:r w:rsidRPr="000B71D8">
        <w:rPr>
          <w:rFonts w:ascii="Verdana" w:hAnsi="Verdana"/>
          <w:sz w:val="20"/>
          <w:szCs w:val="20"/>
        </w:rPr>
        <w:t xml:space="preserve"> sus actividades laborales relacionadas con su c</w:t>
      </w:r>
      <w:r w:rsidR="004C3DAD" w:rsidRPr="000B71D8">
        <w:rPr>
          <w:rFonts w:ascii="Verdana" w:hAnsi="Verdana"/>
          <w:sz w:val="20"/>
          <w:szCs w:val="20"/>
        </w:rPr>
        <w:t>argo o designación de un puesto, con fundamento en la alegada inseguridad personal del señor Meléndez. Por la naturaleza de los mismos, no corresponde a la Corte, en los términos del artículo 63.2 de la Convención,</w:t>
      </w:r>
      <w:r w:rsidRPr="000B71D8">
        <w:rPr>
          <w:rFonts w:ascii="Verdana" w:hAnsi="Verdana"/>
          <w:sz w:val="20"/>
          <w:szCs w:val="20"/>
        </w:rPr>
        <w:t xml:space="preserve"> </w:t>
      </w:r>
      <w:r w:rsidR="004C3DAD" w:rsidRPr="000B71D8">
        <w:rPr>
          <w:rFonts w:ascii="Verdana" w:hAnsi="Verdana"/>
          <w:sz w:val="20"/>
          <w:szCs w:val="20"/>
        </w:rPr>
        <w:t xml:space="preserve">pronunciarse al respecto </w:t>
      </w:r>
      <w:r w:rsidRPr="000B71D8">
        <w:rPr>
          <w:rFonts w:ascii="Verdana" w:hAnsi="Verdana"/>
          <w:sz w:val="20"/>
          <w:szCs w:val="20"/>
        </w:rPr>
        <w:t xml:space="preserve">en el trámite de las </w:t>
      </w:r>
      <w:r w:rsidR="004C3DAD" w:rsidRPr="000B71D8">
        <w:rPr>
          <w:rFonts w:ascii="Verdana" w:hAnsi="Verdana"/>
          <w:sz w:val="20"/>
          <w:szCs w:val="20"/>
        </w:rPr>
        <w:t>presentes medidas provisionales, ya que dichos hechos o argumentos podrían tener v</w:t>
      </w:r>
      <w:r w:rsidR="007E2F60" w:rsidRPr="000B71D8">
        <w:rPr>
          <w:rFonts w:ascii="Verdana" w:hAnsi="Verdana"/>
          <w:sz w:val="20"/>
          <w:szCs w:val="20"/>
        </w:rPr>
        <w:t>inculación con el fondo de un caso contencioso</w:t>
      </w:r>
      <w:r w:rsidR="004C3DAD" w:rsidRPr="000B71D8">
        <w:rPr>
          <w:rFonts w:ascii="Verdana" w:hAnsi="Verdana"/>
          <w:sz w:val="20"/>
          <w:szCs w:val="20"/>
        </w:rPr>
        <w:t>.</w:t>
      </w:r>
    </w:p>
    <w:p w:rsidR="006F5228" w:rsidRDefault="006F5228" w:rsidP="006F5228">
      <w:pPr>
        <w:pStyle w:val="ListParagraph"/>
        <w:ind w:left="0" w:right="-8"/>
        <w:jc w:val="both"/>
        <w:rPr>
          <w:rFonts w:ascii="Verdana" w:hAnsi="Verdana"/>
          <w:sz w:val="20"/>
          <w:szCs w:val="20"/>
        </w:rPr>
      </w:pPr>
    </w:p>
    <w:p w:rsidR="006F5228" w:rsidRDefault="006F5228" w:rsidP="006F5228">
      <w:pPr>
        <w:pStyle w:val="ListParagraph"/>
        <w:ind w:left="990"/>
        <w:jc w:val="both"/>
        <w:rPr>
          <w:rFonts w:ascii="Verdana" w:hAnsi="Verdana"/>
          <w:b/>
          <w:i/>
          <w:sz w:val="20"/>
          <w:szCs w:val="20"/>
        </w:rPr>
      </w:pPr>
      <w:r>
        <w:rPr>
          <w:rFonts w:ascii="Verdana" w:hAnsi="Verdana"/>
          <w:b/>
          <w:i/>
          <w:sz w:val="20"/>
          <w:szCs w:val="20"/>
        </w:rPr>
        <w:t xml:space="preserve">C. </w:t>
      </w:r>
      <w:r w:rsidRPr="00DF13AA">
        <w:rPr>
          <w:rFonts w:ascii="Verdana" w:hAnsi="Verdana"/>
          <w:b/>
          <w:i/>
          <w:sz w:val="20"/>
          <w:szCs w:val="20"/>
        </w:rPr>
        <w:t>Respecto a Roxana Jacqueline Mejía y Manuel Alejandro Meléndez Mejía</w:t>
      </w:r>
    </w:p>
    <w:p w:rsidR="006F5228" w:rsidRDefault="006F5228" w:rsidP="006F5228">
      <w:pPr>
        <w:pStyle w:val="ListParagraph"/>
        <w:ind w:left="0" w:right="-8"/>
        <w:jc w:val="both"/>
        <w:rPr>
          <w:rFonts w:ascii="Verdana" w:hAnsi="Verdana"/>
          <w:sz w:val="20"/>
          <w:szCs w:val="20"/>
        </w:rPr>
      </w:pPr>
    </w:p>
    <w:p w:rsidR="00FC3C01" w:rsidRPr="006F5228" w:rsidRDefault="004C10D2" w:rsidP="006F5228">
      <w:pPr>
        <w:pStyle w:val="ListParagraph"/>
        <w:numPr>
          <w:ilvl w:val="0"/>
          <w:numId w:val="14"/>
        </w:numPr>
        <w:ind w:left="0" w:right="-8" w:firstLine="0"/>
        <w:jc w:val="both"/>
        <w:rPr>
          <w:rFonts w:ascii="Verdana" w:hAnsi="Verdana"/>
          <w:sz w:val="20"/>
          <w:szCs w:val="20"/>
        </w:rPr>
      </w:pPr>
      <w:r w:rsidRPr="006F5228">
        <w:rPr>
          <w:rFonts w:ascii="Verdana" w:hAnsi="Verdana"/>
          <w:sz w:val="20"/>
          <w:szCs w:val="20"/>
        </w:rPr>
        <w:t>A la luz de la información presentada por el Estado y las observaciones de la representación de los beneficiarios y de la Comisión, esta Corte nota que no remitieron información ni observaciones sobre la situación de Roxana Jacqueline Mejía Torres y Manuel Alejandro</w:t>
      </w:r>
      <w:r w:rsidR="00D967B3">
        <w:rPr>
          <w:rFonts w:ascii="Verdana" w:hAnsi="Verdana"/>
          <w:sz w:val="20"/>
          <w:szCs w:val="20"/>
        </w:rPr>
        <w:t xml:space="preserve"> </w:t>
      </w:r>
      <w:r w:rsidR="00032A4C" w:rsidRPr="006F5228">
        <w:rPr>
          <w:rFonts w:ascii="Verdana" w:hAnsi="Verdana"/>
          <w:sz w:val="20"/>
          <w:szCs w:val="20"/>
        </w:rPr>
        <w:t>Meléndez</w:t>
      </w:r>
      <w:r w:rsidRPr="006F5228">
        <w:rPr>
          <w:rFonts w:ascii="Verdana" w:hAnsi="Verdana"/>
          <w:sz w:val="20"/>
          <w:szCs w:val="20"/>
        </w:rPr>
        <w:t xml:space="preserve">. </w:t>
      </w:r>
      <w:r w:rsidRPr="006F5228">
        <w:rPr>
          <w:rFonts w:ascii="Verdana" w:hAnsi="Verdana"/>
          <w:sz w:val="20"/>
          <w:szCs w:val="20"/>
          <w:lang w:val="es-CR"/>
        </w:rPr>
        <w:t>La Corte reconoce que la falta de amenazas no necesariamente implica que no haya riesgo para una persona. Sin embargo, ante el transcurso de cierto tiempo sin la ocurrencia de amenazas, este Tribunal debe analizar las causas por las que tales amenazas ya no se producen, para determinar si procede el mantenimiento de medidas provisionales, sin perder de vista el carácter esencialmente provisional y temporal que deben tener las medidas de protección.</w:t>
      </w:r>
    </w:p>
    <w:p w:rsidR="008228DD" w:rsidRPr="00A014AD" w:rsidRDefault="008228DD" w:rsidP="006F5228">
      <w:pPr>
        <w:pStyle w:val="ListParagraph"/>
        <w:ind w:left="0" w:right="-8"/>
        <w:jc w:val="both"/>
        <w:rPr>
          <w:rFonts w:ascii="Verdana" w:hAnsi="Verdana"/>
          <w:sz w:val="18"/>
          <w:szCs w:val="18"/>
        </w:rPr>
      </w:pPr>
    </w:p>
    <w:p w:rsidR="008228DD" w:rsidRPr="006F5228" w:rsidRDefault="00377182" w:rsidP="006F5228">
      <w:pPr>
        <w:pStyle w:val="ListParagraph"/>
        <w:numPr>
          <w:ilvl w:val="0"/>
          <w:numId w:val="14"/>
        </w:numPr>
        <w:ind w:left="0" w:right="-8" w:firstLine="0"/>
        <w:jc w:val="both"/>
        <w:rPr>
          <w:rFonts w:ascii="Verdana" w:hAnsi="Verdana"/>
          <w:sz w:val="20"/>
          <w:szCs w:val="20"/>
        </w:rPr>
      </w:pPr>
      <w:r w:rsidRPr="000B71D8">
        <w:rPr>
          <w:rFonts w:ascii="Verdana" w:hAnsi="Verdana"/>
          <w:sz w:val="20"/>
          <w:szCs w:val="20"/>
        </w:rPr>
        <w:t>Al respecto,</w:t>
      </w:r>
      <w:r w:rsidR="005B6A94" w:rsidRPr="000B71D8">
        <w:rPr>
          <w:rFonts w:ascii="Verdana" w:hAnsi="Verdana"/>
          <w:sz w:val="20"/>
          <w:szCs w:val="20"/>
        </w:rPr>
        <w:t xml:space="preserve"> la Corte al examinar las presentes medidas provisionales nota </w:t>
      </w:r>
      <w:r w:rsidRPr="000B71D8">
        <w:rPr>
          <w:rFonts w:ascii="Verdana" w:hAnsi="Verdana"/>
          <w:sz w:val="20"/>
          <w:szCs w:val="20"/>
        </w:rPr>
        <w:t xml:space="preserve">que </w:t>
      </w:r>
      <w:r w:rsidR="005B6A94" w:rsidRPr="000B71D8">
        <w:rPr>
          <w:rFonts w:ascii="Verdana" w:hAnsi="Verdana"/>
          <w:sz w:val="20"/>
          <w:szCs w:val="20"/>
        </w:rPr>
        <w:t>durante su</w:t>
      </w:r>
      <w:r w:rsidRPr="000B71D8">
        <w:rPr>
          <w:rFonts w:ascii="Verdana" w:hAnsi="Verdana"/>
          <w:sz w:val="20"/>
          <w:szCs w:val="20"/>
        </w:rPr>
        <w:t xml:space="preserve"> vigencia, ni las partes ni la Comisión han </w:t>
      </w:r>
      <w:r w:rsidR="008228DD" w:rsidRPr="000B71D8">
        <w:rPr>
          <w:rFonts w:ascii="Verdana" w:hAnsi="Verdana"/>
          <w:sz w:val="20"/>
          <w:szCs w:val="20"/>
        </w:rPr>
        <w:t>hecho referencia a la</w:t>
      </w:r>
      <w:r w:rsidRPr="000B71D8">
        <w:rPr>
          <w:rFonts w:ascii="Verdana" w:hAnsi="Verdana"/>
          <w:sz w:val="20"/>
          <w:szCs w:val="20"/>
        </w:rPr>
        <w:t xml:space="preserve"> situación</w:t>
      </w:r>
      <w:r w:rsidR="008228DD" w:rsidRPr="000B71D8">
        <w:rPr>
          <w:rFonts w:ascii="Verdana" w:hAnsi="Verdana"/>
          <w:sz w:val="20"/>
          <w:szCs w:val="20"/>
        </w:rPr>
        <w:t xml:space="preserve"> de dichos beneficiarios, ni han señalado que </w:t>
      </w:r>
      <w:r w:rsidR="005B6A94" w:rsidRPr="000B71D8">
        <w:rPr>
          <w:rFonts w:ascii="Verdana" w:hAnsi="Verdana"/>
          <w:sz w:val="20"/>
          <w:szCs w:val="20"/>
        </w:rPr>
        <w:t>hayan</w:t>
      </w:r>
      <w:r w:rsidRPr="000B71D8">
        <w:rPr>
          <w:rFonts w:ascii="Verdana" w:hAnsi="Verdana"/>
          <w:sz w:val="20"/>
          <w:szCs w:val="20"/>
        </w:rPr>
        <w:t xml:space="preserve"> sido objeto de algún acto de hostigamiento</w:t>
      </w:r>
      <w:r w:rsidR="00F716AA" w:rsidRPr="000B71D8">
        <w:rPr>
          <w:rFonts w:ascii="Verdana" w:hAnsi="Verdana"/>
          <w:sz w:val="20"/>
          <w:szCs w:val="20"/>
        </w:rPr>
        <w:t>, agresión</w:t>
      </w:r>
      <w:r w:rsidRPr="000B71D8">
        <w:rPr>
          <w:rFonts w:ascii="Verdana" w:hAnsi="Verdana"/>
          <w:sz w:val="20"/>
          <w:szCs w:val="20"/>
        </w:rPr>
        <w:t xml:space="preserve"> o amenaza. Por lo que se desprende que </w:t>
      </w:r>
      <w:r w:rsidR="00DF13AA" w:rsidRPr="000B71D8">
        <w:rPr>
          <w:rFonts w:ascii="Verdana" w:hAnsi="Verdana"/>
          <w:sz w:val="20"/>
          <w:szCs w:val="20"/>
        </w:rPr>
        <w:t xml:space="preserve">durante </w:t>
      </w:r>
      <w:r w:rsidRPr="000B71D8">
        <w:rPr>
          <w:rFonts w:ascii="Verdana" w:hAnsi="Verdana"/>
          <w:sz w:val="20"/>
          <w:szCs w:val="20"/>
        </w:rPr>
        <w:t>la vigencia de las presentes medidas provisionales</w:t>
      </w:r>
      <w:r w:rsidR="00F716AA" w:rsidRPr="000B71D8">
        <w:rPr>
          <w:rFonts w:ascii="Verdana" w:hAnsi="Verdana"/>
          <w:sz w:val="20"/>
          <w:szCs w:val="20"/>
        </w:rPr>
        <w:t>,</w:t>
      </w:r>
      <w:r w:rsidRPr="000B71D8">
        <w:rPr>
          <w:rFonts w:ascii="Verdana" w:hAnsi="Verdana"/>
          <w:sz w:val="20"/>
          <w:szCs w:val="20"/>
        </w:rPr>
        <w:t xml:space="preserve"> </w:t>
      </w:r>
      <w:r w:rsidR="004C10D2" w:rsidRPr="000B71D8">
        <w:rPr>
          <w:rFonts w:ascii="Verdana" w:hAnsi="Verdana"/>
          <w:sz w:val="20"/>
          <w:szCs w:val="20"/>
        </w:rPr>
        <w:t>por</w:t>
      </w:r>
      <w:r w:rsidR="00F716AA" w:rsidRPr="000B71D8">
        <w:rPr>
          <w:rFonts w:ascii="Verdana" w:hAnsi="Verdana"/>
          <w:sz w:val="20"/>
          <w:szCs w:val="20"/>
        </w:rPr>
        <w:t xml:space="preserve"> lo</w:t>
      </w:r>
      <w:r w:rsidR="004C10D2" w:rsidRPr="000B71D8">
        <w:rPr>
          <w:rFonts w:ascii="Verdana" w:hAnsi="Verdana"/>
          <w:sz w:val="20"/>
          <w:szCs w:val="20"/>
        </w:rPr>
        <w:t xml:space="preserve"> menos </w:t>
      </w:r>
      <w:r w:rsidR="00DF13AA" w:rsidRPr="000B71D8">
        <w:rPr>
          <w:rFonts w:ascii="Verdana" w:hAnsi="Verdana"/>
          <w:sz w:val="20"/>
          <w:szCs w:val="20"/>
        </w:rPr>
        <w:t>en los últimos dos años</w:t>
      </w:r>
      <w:r w:rsidR="00F716AA" w:rsidRPr="000B71D8">
        <w:rPr>
          <w:rFonts w:ascii="Verdana" w:hAnsi="Verdana"/>
          <w:sz w:val="20"/>
          <w:szCs w:val="20"/>
        </w:rPr>
        <w:t>,</w:t>
      </w:r>
      <w:r w:rsidR="00DF13AA" w:rsidRPr="000B71D8">
        <w:rPr>
          <w:rFonts w:ascii="Verdana" w:hAnsi="Verdana"/>
          <w:sz w:val="20"/>
          <w:szCs w:val="20"/>
        </w:rPr>
        <w:t xml:space="preserve"> </w:t>
      </w:r>
      <w:r w:rsidRPr="000B71D8">
        <w:rPr>
          <w:rFonts w:ascii="Verdana" w:hAnsi="Verdana"/>
          <w:sz w:val="20"/>
          <w:szCs w:val="20"/>
        </w:rPr>
        <w:t>no se ha acreditado que hayan sufrido incidentes directamente relacionados con el objeto de las presentes medidas.</w:t>
      </w:r>
      <w:r w:rsidR="008228DD" w:rsidRPr="000B71D8">
        <w:rPr>
          <w:rFonts w:ascii="Verdana" w:hAnsi="Verdana"/>
          <w:sz w:val="20"/>
          <w:szCs w:val="20"/>
          <w:lang w:val="es-CR"/>
        </w:rPr>
        <w:t xml:space="preserve"> </w:t>
      </w:r>
    </w:p>
    <w:p w:rsidR="006F5228" w:rsidRPr="006F5228" w:rsidRDefault="006F5228" w:rsidP="006F5228">
      <w:pPr>
        <w:pStyle w:val="ListParagraph"/>
        <w:rPr>
          <w:rFonts w:ascii="Verdana" w:hAnsi="Verdana"/>
          <w:sz w:val="20"/>
          <w:szCs w:val="20"/>
        </w:rPr>
      </w:pPr>
    </w:p>
    <w:p w:rsidR="00377182" w:rsidRPr="000B71D8" w:rsidRDefault="00377182" w:rsidP="006F5228">
      <w:pPr>
        <w:pStyle w:val="ListParagraph"/>
        <w:numPr>
          <w:ilvl w:val="0"/>
          <w:numId w:val="14"/>
        </w:numPr>
        <w:ind w:left="0" w:right="-8" w:firstLine="0"/>
        <w:jc w:val="both"/>
        <w:rPr>
          <w:rFonts w:ascii="Verdana" w:hAnsi="Verdana"/>
          <w:sz w:val="20"/>
          <w:szCs w:val="20"/>
        </w:rPr>
      </w:pPr>
      <w:r w:rsidRPr="000B71D8">
        <w:rPr>
          <w:rFonts w:ascii="Verdana" w:hAnsi="Verdana"/>
          <w:sz w:val="20"/>
          <w:szCs w:val="20"/>
        </w:rPr>
        <w:t>Por lo anterior, la Corte considera razonable presumir que la situación respecto de dichos beneficiarios ya no se enmarca dentro de los presupuestos señalados en el artículo 63.2 de la Convención. En consecuencia, este Tribunal estima pertinente levantar las medidas a favor de Roxana Jacqueline Mejía Torres y de Manuel Alejandro</w:t>
      </w:r>
      <w:r w:rsidR="006F5228">
        <w:rPr>
          <w:rFonts w:ascii="Verdana" w:hAnsi="Verdana"/>
          <w:sz w:val="20"/>
          <w:szCs w:val="20"/>
        </w:rPr>
        <w:t xml:space="preserve"> </w:t>
      </w:r>
      <w:r w:rsidR="009A5A81">
        <w:rPr>
          <w:rFonts w:ascii="Verdana" w:hAnsi="Verdana"/>
          <w:sz w:val="20"/>
          <w:szCs w:val="20"/>
        </w:rPr>
        <w:t>Meléndez</w:t>
      </w:r>
      <w:r w:rsidRPr="000B71D8">
        <w:rPr>
          <w:rFonts w:ascii="Verdana" w:hAnsi="Verdana"/>
          <w:sz w:val="20"/>
          <w:szCs w:val="20"/>
        </w:rPr>
        <w:t>.</w:t>
      </w:r>
    </w:p>
    <w:p w:rsidR="00AA49CF" w:rsidRDefault="00AA49CF" w:rsidP="00083E66">
      <w:pPr>
        <w:spacing w:before="60" w:after="60"/>
        <w:ind w:right="-8"/>
        <w:jc w:val="both"/>
        <w:rPr>
          <w:rFonts w:ascii="Verdana" w:hAnsi="Verdana"/>
          <w:b/>
          <w:sz w:val="18"/>
          <w:szCs w:val="18"/>
        </w:rPr>
      </w:pPr>
    </w:p>
    <w:p w:rsidR="008346F5" w:rsidRPr="000033CE" w:rsidRDefault="008346F5" w:rsidP="00083E66">
      <w:pPr>
        <w:spacing w:before="60" w:after="60"/>
        <w:ind w:right="-8"/>
        <w:jc w:val="both"/>
        <w:rPr>
          <w:rFonts w:ascii="Verdana" w:hAnsi="Verdana"/>
          <w:b/>
          <w:sz w:val="18"/>
          <w:szCs w:val="18"/>
        </w:rPr>
      </w:pPr>
    </w:p>
    <w:p w:rsidR="009207EA" w:rsidRDefault="00083E66" w:rsidP="00D3287B">
      <w:pPr>
        <w:spacing w:afterLines="60"/>
        <w:jc w:val="both"/>
        <w:rPr>
          <w:rFonts w:ascii="Verdana" w:hAnsi="Verdana"/>
          <w:b/>
          <w:smallCaps/>
          <w:sz w:val="20"/>
        </w:rPr>
      </w:pPr>
      <w:r>
        <w:rPr>
          <w:rFonts w:ascii="Verdana" w:hAnsi="Verdana"/>
          <w:b/>
          <w:smallCaps/>
          <w:sz w:val="20"/>
        </w:rPr>
        <w:t xml:space="preserve">POR TANTO: </w:t>
      </w:r>
    </w:p>
    <w:p w:rsidR="005F27CD" w:rsidRDefault="00083E66" w:rsidP="00D3287B">
      <w:pPr>
        <w:spacing w:afterLines="60"/>
        <w:jc w:val="both"/>
        <w:rPr>
          <w:rFonts w:ascii="Verdana" w:hAnsi="Verdana"/>
          <w:b/>
          <w:smallCaps/>
          <w:sz w:val="20"/>
        </w:rPr>
      </w:pPr>
      <w:r>
        <w:rPr>
          <w:rFonts w:ascii="Verdana" w:hAnsi="Verdana"/>
          <w:b/>
          <w:smallCaps/>
          <w:sz w:val="20"/>
        </w:rPr>
        <w:t>LA CORTE INTERAMERICANA DE DERECHOS HUMANOS</w:t>
      </w:r>
      <w:r w:rsidRPr="00C06602">
        <w:rPr>
          <w:rFonts w:ascii="Verdana" w:hAnsi="Verdana"/>
          <w:b/>
          <w:smallCaps/>
          <w:sz w:val="20"/>
        </w:rPr>
        <w:t xml:space="preserve">, </w:t>
      </w:r>
    </w:p>
    <w:p w:rsidR="00083E66" w:rsidRPr="00C06602" w:rsidRDefault="00083E66" w:rsidP="00083E66">
      <w:pPr>
        <w:jc w:val="both"/>
        <w:rPr>
          <w:rFonts w:ascii="Verdana" w:hAnsi="Verdana"/>
          <w:sz w:val="20"/>
        </w:rPr>
      </w:pPr>
    </w:p>
    <w:p w:rsidR="005F27CD" w:rsidRDefault="00083E66" w:rsidP="00D3287B">
      <w:pPr>
        <w:pStyle w:val="BodyText"/>
        <w:spacing w:afterLines="60"/>
        <w:jc w:val="both"/>
        <w:rPr>
          <w:rFonts w:ascii="Verdana" w:hAnsi="Verdana"/>
          <w:sz w:val="20"/>
        </w:rPr>
      </w:pPr>
      <w:r w:rsidRPr="00C06602">
        <w:rPr>
          <w:rFonts w:ascii="Verdana" w:hAnsi="Verdana"/>
          <w:sz w:val="20"/>
        </w:rPr>
        <w:t>En el ejercicio de las atribuciones que</w:t>
      </w:r>
      <w:r>
        <w:rPr>
          <w:rFonts w:ascii="Verdana" w:hAnsi="Verdana"/>
          <w:sz w:val="20"/>
        </w:rPr>
        <w:t>, de conformidad con el</w:t>
      </w:r>
      <w:r w:rsidRPr="00C06602">
        <w:rPr>
          <w:rFonts w:ascii="Verdana" w:hAnsi="Verdana"/>
          <w:sz w:val="20"/>
        </w:rPr>
        <w:t xml:space="preserve"> artículo 63.2 de la Convención Americana sobre Derechos Humanos</w:t>
      </w:r>
      <w:r>
        <w:rPr>
          <w:rFonts w:ascii="Verdana" w:hAnsi="Verdana"/>
          <w:sz w:val="20"/>
        </w:rPr>
        <w:t>,</w:t>
      </w:r>
      <w:r w:rsidRPr="00C06602">
        <w:rPr>
          <w:rFonts w:ascii="Verdana" w:hAnsi="Verdana"/>
          <w:sz w:val="20"/>
        </w:rPr>
        <w:t xml:space="preserve"> </w:t>
      </w:r>
      <w:r>
        <w:rPr>
          <w:rFonts w:ascii="Verdana" w:hAnsi="Verdana"/>
          <w:sz w:val="20"/>
        </w:rPr>
        <w:t xml:space="preserve">le confiere el artículo </w:t>
      </w:r>
      <w:r w:rsidRPr="00C06602">
        <w:rPr>
          <w:rFonts w:ascii="Verdana" w:hAnsi="Verdana"/>
          <w:sz w:val="20"/>
        </w:rPr>
        <w:t>27</w:t>
      </w:r>
      <w:r>
        <w:rPr>
          <w:rFonts w:ascii="Verdana" w:hAnsi="Verdana"/>
          <w:sz w:val="20"/>
        </w:rPr>
        <w:t xml:space="preserve"> </w:t>
      </w:r>
      <w:r w:rsidRPr="00C06602">
        <w:rPr>
          <w:rFonts w:ascii="Verdana" w:hAnsi="Verdana"/>
          <w:sz w:val="20"/>
        </w:rPr>
        <w:t>y 31 del Reglamento</w:t>
      </w:r>
      <w:r>
        <w:rPr>
          <w:rFonts w:ascii="Verdana" w:hAnsi="Verdana"/>
          <w:sz w:val="20"/>
        </w:rPr>
        <w:t xml:space="preserve"> de la Corte</w:t>
      </w:r>
      <w:r w:rsidRPr="00C06602">
        <w:rPr>
          <w:rFonts w:ascii="Verdana" w:hAnsi="Verdana"/>
          <w:sz w:val="20"/>
        </w:rPr>
        <w:t>,</w:t>
      </w:r>
    </w:p>
    <w:p w:rsidR="005F27CD" w:rsidRDefault="00083E66" w:rsidP="00D3287B">
      <w:pPr>
        <w:spacing w:afterLines="60"/>
        <w:jc w:val="both"/>
        <w:rPr>
          <w:rFonts w:ascii="Verdana" w:hAnsi="Verdana"/>
          <w:b/>
          <w:sz w:val="20"/>
        </w:rPr>
      </w:pPr>
      <w:r w:rsidRPr="00C06602">
        <w:rPr>
          <w:rFonts w:ascii="Verdana" w:hAnsi="Verdana"/>
          <w:b/>
          <w:smallCaps/>
          <w:sz w:val="20"/>
        </w:rPr>
        <w:lastRenderedPageBreak/>
        <w:t>RESUELVE:</w:t>
      </w:r>
    </w:p>
    <w:p w:rsidR="00083E66" w:rsidRPr="00CF70CE" w:rsidRDefault="00083E66" w:rsidP="00083E66">
      <w:pPr>
        <w:pStyle w:val="Textoindependiente1"/>
        <w:widowControl/>
        <w:rPr>
          <w:rFonts w:ascii="Verdana" w:hAnsi="Verdana"/>
          <w:b/>
          <w:sz w:val="20"/>
        </w:rPr>
      </w:pPr>
    </w:p>
    <w:p w:rsidR="005F27CD" w:rsidRDefault="00083E66" w:rsidP="00D3287B">
      <w:pPr>
        <w:numPr>
          <w:ilvl w:val="0"/>
          <w:numId w:val="5"/>
        </w:numPr>
        <w:spacing w:afterLines="60"/>
        <w:ind w:left="0" w:firstLine="0"/>
        <w:jc w:val="both"/>
        <w:rPr>
          <w:rFonts w:ascii="Verdana" w:hAnsi="Verdana"/>
          <w:sz w:val="20"/>
        </w:rPr>
      </w:pPr>
      <w:r>
        <w:rPr>
          <w:rFonts w:ascii="Verdana" w:hAnsi="Verdana"/>
          <w:sz w:val="20"/>
        </w:rPr>
        <w:t>Desestimar la solicitud de ampliación de medidas provisionales, de conformidad con lo</w:t>
      </w:r>
      <w:r w:rsidR="009B6065">
        <w:rPr>
          <w:rFonts w:ascii="Verdana" w:hAnsi="Verdana"/>
          <w:sz w:val="20"/>
        </w:rPr>
        <w:t xml:space="preserve"> indicado en los </w:t>
      </w:r>
      <w:r w:rsidR="00D967B3">
        <w:rPr>
          <w:rFonts w:ascii="Verdana" w:hAnsi="Verdana"/>
          <w:sz w:val="20"/>
        </w:rPr>
        <w:t>Considerandos 8</w:t>
      </w:r>
      <w:r w:rsidRPr="00406BE6">
        <w:rPr>
          <w:rFonts w:ascii="Verdana" w:hAnsi="Verdana"/>
          <w:sz w:val="20"/>
        </w:rPr>
        <w:t xml:space="preserve"> a 1</w:t>
      </w:r>
      <w:r w:rsidR="00406BE6" w:rsidRPr="00406BE6">
        <w:rPr>
          <w:rFonts w:ascii="Verdana" w:hAnsi="Verdana"/>
          <w:sz w:val="20"/>
        </w:rPr>
        <w:t>1</w:t>
      </w:r>
      <w:r>
        <w:rPr>
          <w:rFonts w:ascii="Verdana" w:hAnsi="Verdana"/>
          <w:sz w:val="20"/>
        </w:rPr>
        <w:t xml:space="preserve"> de la presente Resolución</w:t>
      </w:r>
      <w:r>
        <w:rPr>
          <w:rFonts w:ascii="Verdana" w:hAnsi="Verdana" w:cs="Verdana"/>
          <w:sz w:val="20"/>
          <w:szCs w:val="20"/>
          <w:lang w:val="es-ES"/>
        </w:rPr>
        <w:t>.</w:t>
      </w:r>
    </w:p>
    <w:p w:rsidR="005F27CD" w:rsidRDefault="000033CE" w:rsidP="00D3287B">
      <w:pPr>
        <w:numPr>
          <w:ilvl w:val="0"/>
          <w:numId w:val="5"/>
        </w:numPr>
        <w:spacing w:afterLines="60"/>
        <w:ind w:left="0" w:firstLine="0"/>
        <w:jc w:val="both"/>
        <w:rPr>
          <w:rFonts w:ascii="Verdana" w:hAnsi="Verdana"/>
          <w:sz w:val="20"/>
        </w:rPr>
      </w:pPr>
      <w:r w:rsidRPr="008228DD">
        <w:rPr>
          <w:rFonts w:ascii="Verdana" w:hAnsi="Verdana"/>
          <w:sz w:val="20"/>
          <w:szCs w:val="20"/>
        </w:rPr>
        <w:t>Mantener</w:t>
      </w:r>
      <w:r w:rsidRPr="008228DD">
        <w:rPr>
          <w:rFonts w:ascii="Verdana" w:hAnsi="Verdana"/>
          <w:sz w:val="20"/>
          <w:lang w:val="es-MX"/>
        </w:rPr>
        <w:t>, en lo pertinente,</w:t>
      </w:r>
      <w:r w:rsidRPr="008228DD">
        <w:rPr>
          <w:rFonts w:ascii="Verdana" w:hAnsi="Verdana"/>
          <w:sz w:val="20"/>
          <w:szCs w:val="20"/>
        </w:rPr>
        <w:t xml:space="preserve"> las medidas provisionales ordenadas por la Corte Interamericana de Derechos Humanos mediante sus Resoluciones</w:t>
      </w:r>
      <w:r w:rsidRPr="008228DD">
        <w:rPr>
          <w:rFonts w:ascii="Verdana" w:hAnsi="Verdana"/>
          <w:sz w:val="20"/>
          <w:lang w:val="es-MX"/>
        </w:rPr>
        <w:t xml:space="preserve"> de</w:t>
      </w:r>
      <w:r w:rsidRPr="008228DD">
        <w:rPr>
          <w:rFonts w:ascii="Verdana" w:hAnsi="Verdana"/>
          <w:sz w:val="20"/>
          <w:szCs w:val="20"/>
        </w:rPr>
        <w:t xml:space="preserve"> 12 de mayo de 2007, 26 de noviembre de 2007, 2 de febrero de 2010, y 21 de agosto de 2013,</w:t>
      </w:r>
      <w:r w:rsidR="00D967B3">
        <w:rPr>
          <w:rFonts w:ascii="Verdana" w:hAnsi="Verdana"/>
          <w:sz w:val="20"/>
          <w:lang w:val="es-MX"/>
        </w:rPr>
        <w:t xml:space="preserve"> a favor de Adrián </w:t>
      </w:r>
      <w:r w:rsidRPr="008228DD">
        <w:rPr>
          <w:rFonts w:ascii="Verdana" w:hAnsi="Verdana"/>
          <w:sz w:val="20"/>
          <w:lang w:val="es-MX"/>
        </w:rPr>
        <w:t xml:space="preserve">Meléndez Quijano, </w:t>
      </w:r>
      <w:r w:rsidRPr="008228DD">
        <w:rPr>
          <w:rFonts w:ascii="Verdana" w:hAnsi="Verdana"/>
          <w:sz w:val="20"/>
        </w:rPr>
        <w:t xml:space="preserve">Marina Elizabeth García de Meléndez, Andrea Elizabeth Meléndez García, </w:t>
      </w:r>
      <w:proofErr w:type="spellStart"/>
      <w:r w:rsidRPr="008228DD">
        <w:rPr>
          <w:rFonts w:ascii="Verdana" w:hAnsi="Verdana"/>
          <w:sz w:val="20"/>
        </w:rPr>
        <w:t>Estefani</w:t>
      </w:r>
      <w:proofErr w:type="spellEnd"/>
      <w:r w:rsidRPr="008228DD">
        <w:rPr>
          <w:rFonts w:ascii="Verdana" w:hAnsi="Verdana"/>
          <w:sz w:val="20"/>
        </w:rPr>
        <w:t xml:space="preserve"> Marcela Meléndez García, Pamela Michelle Meléndez García, Adriana María Meléndez García, Gloria Tránsito Quijano viuda de Meléndez, </w:t>
      </w:r>
      <w:r w:rsidR="00D967B3">
        <w:rPr>
          <w:rFonts w:ascii="Verdana" w:hAnsi="Verdana"/>
          <w:sz w:val="20"/>
        </w:rPr>
        <w:t xml:space="preserve">y </w:t>
      </w:r>
      <w:r w:rsidRPr="008228DD">
        <w:rPr>
          <w:rFonts w:ascii="Verdana" w:hAnsi="Verdana"/>
          <w:sz w:val="20"/>
        </w:rPr>
        <w:t xml:space="preserve">Sandra </w:t>
      </w:r>
      <w:proofErr w:type="spellStart"/>
      <w:r w:rsidRPr="008228DD">
        <w:rPr>
          <w:rFonts w:ascii="Verdana" w:hAnsi="Verdana"/>
          <w:sz w:val="20"/>
        </w:rPr>
        <w:t>Ivette</w:t>
      </w:r>
      <w:proofErr w:type="spellEnd"/>
      <w:r w:rsidRPr="008228DD">
        <w:rPr>
          <w:rFonts w:ascii="Verdana" w:hAnsi="Verdana"/>
          <w:sz w:val="20"/>
        </w:rPr>
        <w:t xml:space="preserve"> Meléndez Quijano, por un período adicional </w:t>
      </w:r>
      <w:r w:rsidRPr="008228DD">
        <w:rPr>
          <w:rFonts w:ascii="Verdana" w:hAnsi="Verdana" w:cs="Helvetica"/>
          <w:sz w:val="20"/>
          <w:lang w:val="es-MX"/>
        </w:rPr>
        <w:t>q</w:t>
      </w:r>
      <w:r w:rsidR="00FC3C01" w:rsidRPr="008228DD">
        <w:rPr>
          <w:rFonts w:ascii="Verdana" w:hAnsi="Verdana" w:cs="Helvetica"/>
          <w:sz w:val="20"/>
          <w:lang w:val="es-MX"/>
        </w:rPr>
        <w:t xml:space="preserve">ue vence </w:t>
      </w:r>
      <w:r w:rsidR="00FC3C01" w:rsidRPr="009A5A81">
        <w:rPr>
          <w:rFonts w:ascii="Verdana" w:hAnsi="Verdana" w:cs="Helvetica"/>
          <w:sz w:val="20"/>
          <w:lang w:val="es-MX"/>
        </w:rPr>
        <w:t xml:space="preserve">el </w:t>
      </w:r>
      <w:r w:rsidR="005F27CD" w:rsidRPr="005F27CD">
        <w:rPr>
          <w:rFonts w:ascii="Verdana" w:hAnsi="Verdana" w:cs="Helvetica"/>
          <w:sz w:val="20"/>
          <w:lang w:val="es-MX"/>
        </w:rPr>
        <w:t>15 de abril</w:t>
      </w:r>
      <w:r w:rsidR="00FC3C01" w:rsidRPr="008228DD">
        <w:rPr>
          <w:rFonts w:ascii="Verdana" w:hAnsi="Verdana" w:cs="Helvetica"/>
          <w:sz w:val="20"/>
          <w:lang w:val="es-MX"/>
        </w:rPr>
        <w:t xml:space="preserve"> de 2015</w:t>
      </w:r>
      <w:r w:rsidRPr="008228DD">
        <w:rPr>
          <w:rFonts w:ascii="Verdana" w:hAnsi="Verdana" w:cs="Helvetica"/>
          <w:sz w:val="20"/>
          <w:lang w:val="es-MX"/>
        </w:rPr>
        <w:t>,</w:t>
      </w:r>
      <w:r w:rsidR="004C3C25">
        <w:rPr>
          <w:rFonts w:ascii="Verdana" w:hAnsi="Verdana"/>
          <w:sz w:val="20"/>
        </w:rPr>
        <w:t xml:space="preserve"> luego del cual este</w:t>
      </w:r>
      <w:r w:rsidRPr="008228DD">
        <w:rPr>
          <w:rFonts w:ascii="Verdana" w:hAnsi="Verdana"/>
          <w:sz w:val="20"/>
        </w:rPr>
        <w:t xml:space="preserve"> Tribunal evaluará </w:t>
      </w:r>
      <w:r w:rsidR="00B06E15">
        <w:rPr>
          <w:rFonts w:ascii="Verdana" w:hAnsi="Verdana"/>
          <w:sz w:val="20"/>
        </w:rPr>
        <w:t xml:space="preserve">la prórroga de su vigencia </w:t>
      </w:r>
      <w:r w:rsidRPr="008228DD">
        <w:rPr>
          <w:rFonts w:ascii="Verdana" w:hAnsi="Verdana"/>
          <w:sz w:val="20"/>
        </w:rPr>
        <w:t>.</w:t>
      </w:r>
      <w:r w:rsidRPr="008228DD">
        <w:rPr>
          <w:rFonts w:ascii="Verdana" w:hAnsi="Verdana"/>
          <w:sz w:val="20"/>
          <w:lang w:val="es-MX"/>
        </w:rPr>
        <w:t xml:space="preserve"> </w:t>
      </w:r>
    </w:p>
    <w:p w:rsidR="005F27CD" w:rsidRDefault="008228DD" w:rsidP="00D3287B">
      <w:pPr>
        <w:numPr>
          <w:ilvl w:val="0"/>
          <w:numId w:val="5"/>
        </w:numPr>
        <w:spacing w:afterLines="60"/>
        <w:ind w:left="0" w:firstLine="0"/>
        <w:jc w:val="both"/>
        <w:rPr>
          <w:rFonts w:ascii="Verdana" w:hAnsi="Verdana"/>
          <w:sz w:val="20"/>
        </w:rPr>
      </w:pPr>
      <w:r w:rsidRPr="008228DD">
        <w:rPr>
          <w:rFonts w:ascii="Verdana" w:hAnsi="Verdana"/>
          <w:sz w:val="20"/>
          <w:lang w:val="es-MX"/>
        </w:rPr>
        <w:t xml:space="preserve">Levantar las medidas provisionales ordenadas por la Corte Interamericana de Derechos Humanos </w:t>
      </w:r>
      <w:r>
        <w:rPr>
          <w:rFonts w:ascii="Verdana" w:hAnsi="Verdana"/>
          <w:sz w:val="20"/>
          <w:lang w:val="es-MX"/>
        </w:rPr>
        <w:t xml:space="preserve">el 12 de mayo de 2007 </w:t>
      </w:r>
      <w:r w:rsidRPr="008228DD">
        <w:rPr>
          <w:rFonts w:ascii="Verdana" w:hAnsi="Verdana"/>
          <w:sz w:val="20"/>
          <w:lang w:val="es-MX"/>
        </w:rPr>
        <w:t xml:space="preserve">a favor de </w:t>
      </w:r>
      <w:r w:rsidRPr="008228DD">
        <w:rPr>
          <w:rFonts w:ascii="Verdana" w:hAnsi="Verdana"/>
          <w:sz w:val="20"/>
        </w:rPr>
        <w:t>Roxana Jacqueline Mejía Torres y Manuel Alejandro Meléndez Mejía</w:t>
      </w:r>
      <w:r w:rsidR="00406BE6">
        <w:rPr>
          <w:rFonts w:ascii="Verdana" w:hAnsi="Verdana"/>
          <w:sz w:val="20"/>
        </w:rPr>
        <w:t xml:space="preserve">, de conformidad con lo indicado en los Considerandos </w:t>
      </w:r>
      <w:r w:rsidR="00D967B3">
        <w:rPr>
          <w:rFonts w:ascii="Verdana" w:hAnsi="Verdana"/>
          <w:sz w:val="20"/>
        </w:rPr>
        <w:t>30 a</w:t>
      </w:r>
      <w:r w:rsidR="00C605DD">
        <w:rPr>
          <w:rFonts w:ascii="Verdana" w:hAnsi="Verdana"/>
          <w:sz w:val="20"/>
        </w:rPr>
        <w:t xml:space="preserve"> 32</w:t>
      </w:r>
      <w:r w:rsidR="00D967B3">
        <w:rPr>
          <w:rFonts w:ascii="Verdana" w:hAnsi="Verdana"/>
          <w:sz w:val="20"/>
        </w:rPr>
        <w:t xml:space="preserve"> </w:t>
      </w:r>
      <w:r w:rsidR="00406BE6">
        <w:rPr>
          <w:rFonts w:ascii="Verdana" w:hAnsi="Verdana"/>
          <w:sz w:val="20"/>
        </w:rPr>
        <w:t>de la presente Resolución</w:t>
      </w:r>
      <w:r w:rsidRPr="008228DD">
        <w:rPr>
          <w:rFonts w:ascii="Verdana" w:hAnsi="Verdana"/>
          <w:sz w:val="20"/>
        </w:rPr>
        <w:t>.</w:t>
      </w:r>
    </w:p>
    <w:p w:rsidR="005F27CD" w:rsidRDefault="000033CE" w:rsidP="00D3287B">
      <w:pPr>
        <w:pStyle w:val="ListParagraph"/>
        <w:numPr>
          <w:ilvl w:val="0"/>
          <w:numId w:val="5"/>
        </w:numPr>
        <w:spacing w:afterLines="80"/>
        <w:ind w:left="0" w:firstLine="0"/>
        <w:jc w:val="both"/>
        <w:rPr>
          <w:rFonts w:ascii="Verdana" w:hAnsi="Verdana"/>
          <w:sz w:val="20"/>
          <w:szCs w:val="18"/>
        </w:rPr>
      </w:pPr>
      <w:r w:rsidRPr="008228DD">
        <w:rPr>
          <w:rFonts w:ascii="Verdana" w:hAnsi="Verdana"/>
          <w:sz w:val="20"/>
          <w:szCs w:val="20"/>
        </w:rPr>
        <w:t xml:space="preserve">Requerir al Estado que, a más tardar, el </w:t>
      </w:r>
      <w:r w:rsidR="00043880">
        <w:rPr>
          <w:rFonts w:ascii="Verdana" w:hAnsi="Verdana"/>
          <w:sz w:val="20"/>
          <w:szCs w:val="20"/>
        </w:rPr>
        <w:t>19</w:t>
      </w:r>
      <w:r w:rsidRPr="008228DD">
        <w:rPr>
          <w:rFonts w:ascii="Verdana" w:hAnsi="Verdana"/>
          <w:sz w:val="20"/>
          <w:szCs w:val="20"/>
        </w:rPr>
        <w:t xml:space="preserve"> de enero de 2015, prese</w:t>
      </w:r>
      <w:r w:rsidR="00BA3B32">
        <w:rPr>
          <w:rFonts w:ascii="Verdana" w:hAnsi="Verdana"/>
          <w:sz w:val="20"/>
          <w:szCs w:val="20"/>
        </w:rPr>
        <w:t xml:space="preserve">nte </w:t>
      </w:r>
      <w:r w:rsidR="00BA3B32" w:rsidRPr="00B232C9">
        <w:rPr>
          <w:rFonts w:ascii="Verdana" w:hAnsi="Verdana"/>
          <w:sz w:val="20"/>
          <w:szCs w:val="20"/>
          <w:lang w:val="es-CR"/>
        </w:rPr>
        <w:t xml:space="preserve">información completa y pormenorizada sobre la evolución de las medidas adoptadas en su conjunto y su impacto en la erradicación de la situación de riesgo de cada uno de los beneficiarios </w:t>
      </w:r>
      <w:r w:rsidR="00BA3B32" w:rsidRPr="008228DD">
        <w:rPr>
          <w:rFonts w:ascii="Verdana" w:hAnsi="Verdana"/>
          <w:sz w:val="20"/>
        </w:rPr>
        <w:t>indicados en el punto resolutivo segundo de la presente Resolución</w:t>
      </w:r>
      <w:r w:rsidR="00BA3B32" w:rsidRPr="00B232C9">
        <w:rPr>
          <w:rFonts w:ascii="Verdana" w:hAnsi="Verdana"/>
          <w:sz w:val="20"/>
          <w:szCs w:val="20"/>
          <w:lang w:val="es-CR"/>
        </w:rPr>
        <w:t xml:space="preserve"> en los últimos seis meses, así como las medidas que podría adoptar a través de</w:t>
      </w:r>
      <w:r w:rsidR="00BA3B32" w:rsidRPr="00B232C9">
        <w:rPr>
          <w:rFonts w:ascii="Verdana" w:hAnsi="Verdana" w:cs="Helvetica"/>
          <w:sz w:val="20"/>
          <w:szCs w:val="20"/>
          <w:lang w:val="es-ES" w:bidi="en-US"/>
        </w:rPr>
        <w:t xml:space="preserve"> mecanismos internos concretos que podrían ser eficaces para garantizar la seguridad de las personas beneficiaria</w:t>
      </w:r>
      <w:r w:rsidR="00BA3B32" w:rsidRPr="00B232C9">
        <w:rPr>
          <w:rFonts w:ascii="Verdana" w:hAnsi="Verdana" w:cs="Helvetica"/>
          <w:sz w:val="20"/>
          <w:szCs w:val="20"/>
          <w:lang w:val="es-CR" w:bidi="en-US"/>
        </w:rPr>
        <w:t>s</w:t>
      </w:r>
      <w:r w:rsidR="00BA3B32" w:rsidRPr="00B232C9">
        <w:rPr>
          <w:rFonts w:ascii="Verdana" w:hAnsi="Verdana"/>
          <w:sz w:val="20"/>
          <w:szCs w:val="20"/>
          <w:lang w:val="es-CR"/>
        </w:rPr>
        <w:t xml:space="preserve"> de las presentes medida</w:t>
      </w:r>
      <w:r w:rsidR="00BA3B32">
        <w:rPr>
          <w:rFonts w:ascii="Verdana" w:hAnsi="Verdana"/>
          <w:sz w:val="20"/>
          <w:szCs w:val="20"/>
          <w:lang w:val="es-CR"/>
        </w:rPr>
        <w:t>s</w:t>
      </w:r>
      <w:r w:rsidRPr="008228DD">
        <w:rPr>
          <w:rFonts w:ascii="Verdana" w:hAnsi="Verdana"/>
          <w:sz w:val="20"/>
          <w:szCs w:val="20"/>
        </w:rPr>
        <w:t>, en los términos del Considerando 2</w:t>
      </w:r>
      <w:r w:rsidR="00C605DD">
        <w:rPr>
          <w:rFonts w:ascii="Verdana" w:hAnsi="Verdana"/>
          <w:sz w:val="20"/>
          <w:szCs w:val="20"/>
        </w:rPr>
        <w:t>7</w:t>
      </w:r>
      <w:r w:rsidRPr="008228DD">
        <w:rPr>
          <w:rFonts w:ascii="Verdana" w:hAnsi="Verdana"/>
          <w:sz w:val="20"/>
          <w:szCs w:val="20"/>
        </w:rPr>
        <w:t xml:space="preserve"> de la presente Resolución</w:t>
      </w:r>
      <w:r w:rsidR="00BA3B32">
        <w:rPr>
          <w:rFonts w:ascii="Verdana" w:hAnsi="Verdana"/>
          <w:sz w:val="20"/>
          <w:szCs w:val="20"/>
        </w:rPr>
        <w:t>.</w:t>
      </w:r>
    </w:p>
    <w:p w:rsidR="005F27CD" w:rsidRDefault="000033CE" w:rsidP="00D3287B">
      <w:pPr>
        <w:pStyle w:val="ListParagraph"/>
        <w:numPr>
          <w:ilvl w:val="0"/>
          <w:numId w:val="5"/>
        </w:numPr>
        <w:spacing w:afterLines="80"/>
        <w:ind w:left="0" w:firstLine="0"/>
        <w:jc w:val="both"/>
        <w:rPr>
          <w:rFonts w:ascii="Verdana" w:hAnsi="Verdana"/>
          <w:sz w:val="20"/>
          <w:szCs w:val="18"/>
        </w:rPr>
      </w:pPr>
      <w:r w:rsidRPr="008228DD">
        <w:rPr>
          <w:rFonts w:ascii="Verdana" w:hAnsi="Verdana"/>
          <w:sz w:val="20"/>
          <w:szCs w:val="20"/>
        </w:rPr>
        <w:t>Requerir al señor Adrián Meléndez Quijano que, en su nombre y en representación de los demás beneficiarios de las presentes medidas provisionales, en un plazo de cuatro semanas, contado a partir de la recepción del informe estatal, prese</w:t>
      </w:r>
      <w:r w:rsidR="00BA3B32">
        <w:rPr>
          <w:rFonts w:ascii="Verdana" w:hAnsi="Verdana"/>
          <w:sz w:val="20"/>
          <w:szCs w:val="20"/>
        </w:rPr>
        <w:t>nte sus observaciones al mismo,</w:t>
      </w:r>
      <w:r w:rsidR="00BA3B32" w:rsidRPr="00BA3B32">
        <w:rPr>
          <w:rFonts w:ascii="Verdana" w:hAnsi="Verdana"/>
          <w:sz w:val="20"/>
          <w:szCs w:val="18"/>
        </w:rPr>
        <w:t xml:space="preserve"> </w:t>
      </w:r>
      <w:r w:rsidR="00BA3B32">
        <w:rPr>
          <w:rFonts w:ascii="Verdana" w:hAnsi="Verdana"/>
          <w:sz w:val="20"/>
          <w:szCs w:val="18"/>
        </w:rPr>
        <w:t xml:space="preserve">de modo que se refiera a </w:t>
      </w:r>
      <w:r w:rsidR="00BA3B32" w:rsidRPr="008228DD">
        <w:rPr>
          <w:rFonts w:ascii="Verdana" w:hAnsi="Verdana"/>
          <w:sz w:val="20"/>
          <w:szCs w:val="18"/>
        </w:rPr>
        <w:t xml:space="preserve">la situación actual de cada uno de los beneficiarios </w:t>
      </w:r>
      <w:r w:rsidR="00BA3B32" w:rsidRPr="008228DD">
        <w:rPr>
          <w:rFonts w:ascii="Verdana" w:hAnsi="Verdana"/>
          <w:sz w:val="20"/>
        </w:rPr>
        <w:t>indicados en el punto resolutivo segundo de esta Resolución</w:t>
      </w:r>
      <w:r w:rsidRPr="008228DD">
        <w:rPr>
          <w:rFonts w:ascii="Verdana" w:hAnsi="Verdana"/>
          <w:sz w:val="20"/>
          <w:szCs w:val="20"/>
        </w:rPr>
        <w:t>, de con</w:t>
      </w:r>
      <w:r w:rsidR="00BA3B32">
        <w:rPr>
          <w:rFonts w:ascii="Verdana" w:hAnsi="Verdana"/>
          <w:sz w:val="20"/>
          <w:szCs w:val="20"/>
        </w:rPr>
        <w:t>formidad con el Considerando 2</w:t>
      </w:r>
      <w:r w:rsidR="00C605DD">
        <w:rPr>
          <w:rFonts w:ascii="Verdana" w:hAnsi="Verdana"/>
          <w:sz w:val="20"/>
          <w:szCs w:val="20"/>
        </w:rPr>
        <w:t>7</w:t>
      </w:r>
      <w:r w:rsidRPr="008228DD">
        <w:rPr>
          <w:rFonts w:ascii="Verdana" w:hAnsi="Verdana"/>
          <w:sz w:val="20"/>
          <w:szCs w:val="20"/>
        </w:rPr>
        <w:t xml:space="preserve"> de la presente Resolución</w:t>
      </w:r>
      <w:r w:rsidRPr="008228DD">
        <w:rPr>
          <w:rFonts w:ascii="Verdana" w:hAnsi="Verdana"/>
          <w:sz w:val="20"/>
        </w:rPr>
        <w:t>.</w:t>
      </w:r>
    </w:p>
    <w:p w:rsidR="005F27CD" w:rsidRDefault="000033CE" w:rsidP="00D3287B">
      <w:pPr>
        <w:pStyle w:val="ListParagraph"/>
        <w:numPr>
          <w:ilvl w:val="0"/>
          <w:numId w:val="5"/>
        </w:numPr>
        <w:spacing w:afterLines="80"/>
        <w:ind w:left="0" w:firstLine="0"/>
        <w:jc w:val="both"/>
        <w:rPr>
          <w:rFonts w:ascii="Verdana" w:hAnsi="Verdana"/>
          <w:sz w:val="20"/>
          <w:szCs w:val="18"/>
        </w:rPr>
      </w:pPr>
      <w:r w:rsidRPr="008228DD">
        <w:rPr>
          <w:rFonts w:ascii="Verdana" w:hAnsi="Verdana"/>
          <w:sz w:val="20"/>
        </w:rPr>
        <w:t>R</w:t>
      </w:r>
      <w:r w:rsidRPr="008228DD">
        <w:rPr>
          <w:rFonts w:ascii="Verdana" w:hAnsi="Verdana"/>
          <w:sz w:val="20"/>
          <w:szCs w:val="18"/>
        </w:rPr>
        <w:t>equerir a la Comisión Interamericana de Derechos Humanos que</w:t>
      </w:r>
      <w:r w:rsidRPr="008228DD">
        <w:rPr>
          <w:rFonts w:ascii="Verdana" w:hAnsi="Verdana"/>
          <w:sz w:val="20"/>
          <w:szCs w:val="20"/>
        </w:rPr>
        <w:t xml:space="preserve">, en un plazo de seis semanas, contado a partir de la </w:t>
      </w:r>
      <w:r w:rsidRPr="008228DD">
        <w:rPr>
          <w:rFonts w:ascii="Verdana" w:hAnsi="Verdana"/>
          <w:sz w:val="20"/>
          <w:szCs w:val="18"/>
        </w:rPr>
        <w:t xml:space="preserve">recepción </w:t>
      </w:r>
      <w:r w:rsidRPr="008228DD">
        <w:rPr>
          <w:rFonts w:ascii="Verdana" w:hAnsi="Verdana"/>
          <w:sz w:val="20"/>
          <w:szCs w:val="20"/>
        </w:rPr>
        <w:t xml:space="preserve">del informe estatal, </w:t>
      </w:r>
      <w:r w:rsidRPr="008228DD">
        <w:rPr>
          <w:rFonts w:ascii="Verdana" w:hAnsi="Verdana"/>
          <w:sz w:val="20"/>
          <w:szCs w:val="18"/>
        </w:rPr>
        <w:t xml:space="preserve">presente sus observaciones </w:t>
      </w:r>
      <w:r w:rsidR="00BA3B32">
        <w:rPr>
          <w:rFonts w:ascii="Verdana" w:hAnsi="Verdana"/>
          <w:sz w:val="20"/>
          <w:szCs w:val="18"/>
        </w:rPr>
        <w:t xml:space="preserve">al mismo </w:t>
      </w:r>
      <w:r w:rsidRPr="008228DD">
        <w:rPr>
          <w:rFonts w:ascii="Verdana" w:hAnsi="Verdana"/>
          <w:sz w:val="20"/>
          <w:szCs w:val="18"/>
        </w:rPr>
        <w:t>de manera detallad</w:t>
      </w:r>
      <w:r w:rsidR="00BA3B32">
        <w:rPr>
          <w:rFonts w:ascii="Verdana" w:hAnsi="Verdana"/>
          <w:sz w:val="20"/>
          <w:szCs w:val="18"/>
        </w:rPr>
        <w:t>a,</w:t>
      </w:r>
      <w:r w:rsidRPr="008228DD">
        <w:rPr>
          <w:rFonts w:ascii="Verdana" w:hAnsi="Verdana"/>
          <w:sz w:val="20"/>
          <w:szCs w:val="18"/>
        </w:rPr>
        <w:t xml:space="preserve"> </w:t>
      </w:r>
      <w:r w:rsidR="00BA3B32">
        <w:rPr>
          <w:rFonts w:ascii="Verdana" w:hAnsi="Verdana"/>
          <w:sz w:val="20"/>
          <w:szCs w:val="18"/>
        </w:rPr>
        <w:t xml:space="preserve">de modo que se refiera a </w:t>
      </w:r>
      <w:r w:rsidRPr="008228DD">
        <w:rPr>
          <w:rFonts w:ascii="Verdana" w:hAnsi="Verdana"/>
          <w:sz w:val="20"/>
          <w:szCs w:val="18"/>
        </w:rPr>
        <w:t xml:space="preserve">la situación actual de cada uno de los beneficiarios </w:t>
      </w:r>
      <w:r w:rsidRPr="008228DD">
        <w:rPr>
          <w:rFonts w:ascii="Verdana" w:hAnsi="Verdana"/>
          <w:sz w:val="20"/>
        </w:rPr>
        <w:t>indicados en el punto resolutivo segundo de esta Resolución,</w:t>
      </w:r>
      <w:r w:rsidR="00BA3B32" w:rsidRPr="00BA3B32">
        <w:rPr>
          <w:rFonts w:ascii="Verdana" w:hAnsi="Verdana"/>
          <w:sz w:val="20"/>
          <w:szCs w:val="20"/>
        </w:rPr>
        <w:t xml:space="preserve"> </w:t>
      </w:r>
      <w:r w:rsidR="00BA3B32" w:rsidRPr="008228DD">
        <w:rPr>
          <w:rFonts w:ascii="Verdana" w:hAnsi="Verdana"/>
          <w:sz w:val="20"/>
          <w:szCs w:val="20"/>
        </w:rPr>
        <w:t>en los términos del Considerando 2</w:t>
      </w:r>
      <w:r w:rsidR="00C605DD">
        <w:rPr>
          <w:rFonts w:ascii="Verdana" w:hAnsi="Verdana"/>
          <w:sz w:val="20"/>
          <w:szCs w:val="20"/>
        </w:rPr>
        <w:t>7</w:t>
      </w:r>
      <w:r w:rsidR="00BA3B32" w:rsidRPr="008228DD">
        <w:rPr>
          <w:rFonts w:ascii="Verdana" w:hAnsi="Verdana"/>
          <w:sz w:val="20"/>
          <w:szCs w:val="20"/>
        </w:rPr>
        <w:t xml:space="preserve"> de la presente Resolución</w:t>
      </w:r>
      <w:r w:rsidRPr="00BA3B32">
        <w:rPr>
          <w:rFonts w:ascii="Verdana" w:hAnsi="Verdana"/>
          <w:sz w:val="20"/>
          <w:szCs w:val="18"/>
        </w:rPr>
        <w:t>.</w:t>
      </w:r>
    </w:p>
    <w:p w:rsidR="005F27CD" w:rsidRDefault="000033CE" w:rsidP="00D3287B">
      <w:pPr>
        <w:pStyle w:val="ListParagraph"/>
        <w:numPr>
          <w:ilvl w:val="0"/>
          <w:numId w:val="5"/>
        </w:numPr>
        <w:spacing w:afterLines="80"/>
        <w:ind w:left="0" w:firstLine="0"/>
        <w:jc w:val="both"/>
        <w:rPr>
          <w:rFonts w:ascii="Verdana" w:hAnsi="Verdana"/>
          <w:sz w:val="20"/>
          <w:szCs w:val="18"/>
        </w:rPr>
      </w:pPr>
      <w:r w:rsidRPr="008228DD">
        <w:rPr>
          <w:rFonts w:ascii="Verdana" w:hAnsi="Verdana"/>
          <w:sz w:val="20"/>
          <w:szCs w:val="20"/>
        </w:rPr>
        <w:t>Requerir al Estado que</w:t>
      </w:r>
      <w:r w:rsidRPr="008228DD">
        <w:rPr>
          <w:rFonts w:ascii="Verdana" w:hAnsi="Verdana"/>
          <w:sz w:val="20"/>
          <w:lang w:val="es-MX"/>
        </w:rPr>
        <w:t xml:space="preserve"> contin</w:t>
      </w:r>
      <w:r w:rsidR="00773380">
        <w:rPr>
          <w:rFonts w:ascii="Verdana" w:hAnsi="Verdana"/>
          <w:sz w:val="20"/>
          <w:lang w:val="es-MX"/>
        </w:rPr>
        <w:t>ú</w:t>
      </w:r>
      <w:r w:rsidR="00C605DD">
        <w:rPr>
          <w:rFonts w:ascii="Verdana" w:hAnsi="Verdana"/>
          <w:sz w:val="20"/>
          <w:lang w:val="es-MX"/>
        </w:rPr>
        <w:t>e</w:t>
      </w:r>
      <w:r w:rsidRPr="008228DD">
        <w:rPr>
          <w:rFonts w:ascii="Verdana" w:hAnsi="Verdana"/>
          <w:sz w:val="20"/>
          <w:lang w:val="es-MX"/>
        </w:rPr>
        <w:t xml:space="preserve"> implementando las presentes medidas provisionales y </w:t>
      </w:r>
      <w:r w:rsidRPr="008228DD">
        <w:rPr>
          <w:rFonts w:ascii="Verdana" w:hAnsi="Verdana" w:cs="Verdana"/>
          <w:sz w:val="20"/>
          <w:szCs w:val="20"/>
          <w:lang w:val="es-ES"/>
        </w:rPr>
        <w:t>dé participación a los beneficiarios de estas medidas en la planificación e implementación de las mismas y que, en general, los mantenga informados sobre los avances en la ejecución de éstas.</w:t>
      </w:r>
      <w:r w:rsidRPr="008228DD">
        <w:rPr>
          <w:rFonts w:ascii="Verdana" w:hAnsi="Verdana"/>
          <w:sz w:val="20"/>
          <w:szCs w:val="20"/>
        </w:rPr>
        <w:t xml:space="preserve"> </w:t>
      </w:r>
    </w:p>
    <w:p w:rsidR="005F27CD" w:rsidRDefault="00083E66" w:rsidP="00D3287B">
      <w:pPr>
        <w:numPr>
          <w:ilvl w:val="0"/>
          <w:numId w:val="5"/>
        </w:numPr>
        <w:spacing w:afterLines="60"/>
        <w:ind w:left="0" w:firstLine="0"/>
        <w:jc w:val="both"/>
        <w:rPr>
          <w:rFonts w:ascii="Verdana" w:hAnsi="Verdana"/>
          <w:sz w:val="20"/>
        </w:rPr>
      </w:pPr>
      <w:r w:rsidRPr="00ED7328">
        <w:rPr>
          <w:rFonts w:ascii="Verdana" w:hAnsi="Verdana"/>
          <w:sz w:val="20"/>
        </w:rPr>
        <w:t>Disponer que la</w:t>
      </w:r>
      <w:r w:rsidRPr="00ED7328">
        <w:rPr>
          <w:rFonts w:ascii="Verdana" w:hAnsi="Verdana"/>
          <w:sz w:val="20"/>
          <w:lang w:val="es-MX"/>
        </w:rPr>
        <w:t xml:space="preserve"> Secretaría de la Corte Interamericana</w:t>
      </w:r>
      <w:r>
        <w:rPr>
          <w:rFonts w:ascii="Verdana" w:hAnsi="Verdana"/>
          <w:sz w:val="20"/>
          <w:lang w:val="es-MX"/>
        </w:rPr>
        <w:t xml:space="preserve"> de Derechos Humanos</w:t>
      </w:r>
      <w:r w:rsidRPr="00ED7328">
        <w:rPr>
          <w:rFonts w:ascii="Verdana" w:hAnsi="Verdana"/>
          <w:sz w:val="20"/>
          <w:lang w:val="es-MX"/>
        </w:rPr>
        <w:t xml:space="preserve"> notifique la presente a</w:t>
      </w:r>
      <w:r>
        <w:rPr>
          <w:rFonts w:ascii="Verdana" w:hAnsi="Verdana"/>
          <w:sz w:val="20"/>
          <w:lang w:val="es-MX"/>
        </w:rPr>
        <w:t>l Estado</w:t>
      </w:r>
      <w:r w:rsidRPr="00A04C79">
        <w:rPr>
          <w:rFonts w:ascii="Verdana" w:hAnsi="Verdana"/>
          <w:sz w:val="20"/>
          <w:lang w:val="es-MX"/>
        </w:rPr>
        <w:t xml:space="preserve"> de El Salvador, a la Comisión Interamericana de Derechos Humanos y a</w:t>
      </w:r>
      <w:r>
        <w:rPr>
          <w:rFonts w:ascii="Verdana" w:hAnsi="Verdana"/>
          <w:sz w:val="20"/>
          <w:lang w:val="es-MX"/>
        </w:rPr>
        <w:t xml:space="preserve"> </w:t>
      </w:r>
      <w:r w:rsidRPr="00A04C79">
        <w:rPr>
          <w:rFonts w:ascii="Verdana" w:hAnsi="Verdana"/>
          <w:sz w:val="20"/>
          <w:lang w:val="es-MX"/>
        </w:rPr>
        <w:t>l</w:t>
      </w:r>
      <w:r>
        <w:rPr>
          <w:rFonts w:ascii="Verdana" w:hAnsi="Verdana"/>
          <w:sz w:val="20"/>
          <w:lang w:val="es-MX"/>
        </w:rPr>
        <w:t>a representación de los beneficiarios</w:t>
      </w:r>
      <w:r w:rsidRPr="00ED7328">
        <w:rPr>
          <w:rFonts w:ascii="Verdana" w:hAnsi="Verdana"/>
          <w:sz w:val="20"/>
          <w:lang w:val="es-MX"/>
        </w:rPr>
        <w:t>.</w:t>
      </w:r>
    </w:p>
    <w:p w:rsidR="00083E66" w:rsidRDefault="00083E66" w:rsidP="00083E66">
      <w:pPr>
        <w:rPr>
          <w:rFonts w:ascii="Verdana" w:hAnsi="Verdana"/>
          <w:sz w:val="20"/>
          <w:lang w:val="es-ES"/>
        </w:rPr>
      </w:pPr>
    </w:p>
    <w:p w:rsidR="00083E66" w:rsidRDefault="00083E66" w:rsidP="00083E66">
      <w:pPr>
        <w:rPr>
          <w:rFonts w:ascii="Verdana" w:hAnsi="Verdana"/>
          <w:sz w:val="20"/>
          <w:lang w:val="es-ES"/>
        </w:rPr>
      </w:pPr>
    </w:p>
    <w:p w:rsidR="00083E66" w:rsidRDefault="00083E66" w:rsidP="00083E66">
      <w:pPr>
        <w:rPr>
          <w:rFonts w:ascii="Verdana" w:hAnsi="Verdana"/>
          <w:sz w:val="20"/>
          <w:lang w:val="es-ES"/>
        </w:rPr>
      </w:pPr>
    </w:p>
    <w:p w:rsidR="00083E66" w:rsidRDefault="00083E66" w:rsidP="00083E66">
      <w:pPr>
        <w:rPr>
          <w:rFonts w:ascii="Verdana" w:hAnsi="Verdana"/>
          <w:sz w:val="20"/>
          <w:lang w:val="es-ES"/>
        </w:rPr>
      </w:pPr>
    </w:p>
    <w:p w:rsidR="00083E66" w:rsidRDefault="00083E66" w:rsidP="00083E66">
      <w:pPr>
        <w:rPr>
          <w:rFonts w:ascii="Verdana" w:hAnsi="Verdana"/>
          <w:sz w:val="20"/>
          <w:lang w:val="es-ES"/>
        </w:rPr>
      </w:pPr>
    </w:p>
    <w:p w:rsidR="00083E66" w:rsidRDefault="00083E66" w:rsidP="00083E66">
      <w:pPr>
        <w:rPr>
          <w:rFonts w:ascii="Verdana" w:hAnsi="Verdana"/>
          <w:sz w:val="20"/>
          <w:lang w:val="es-ES"/>
        </w:rPr>
      </w:pPr>
    </w:p>
    <w:p w:rsidR="00083E66" w:rsidRPr="001438CC" w:rsidRDefault="00083E66" w:rsidP="00083E66">
      <w:pPr>
        <w:rPr>
          <w:rFonts w:ascii="Verdana" w:hAnsi="Verdana"/>
          <w:sz w:val="20"/>
          <w:lang w:val="es-ES"/>
        </w:rPr>
      </w:pPr>
    </w:p>
    <w:p w:rsidR="009002F4" w:rsidRDefault="009002F4" w:rsidP="00083E66">
      <w:pPr>
        <w:jc w:val="both"/>
        <w:rPr>
          <w:rFonts w:ascii="Verdana" w:hAnsi="Verdana"/>
          <w:sz w:val="20"/>
          <w:lang w:val="es-ES"/>
        </w:rPr>
      </w:pPr>
    </w:p>
    <w:p w:rsidR="009002F4" w:rsidRDefault="009002F4" w:rsidP="00083E66">
      <w:pPr>
        <w:jc w:val="both"/>
        <w:rPr>
          <w:rFonts w:ascii="Verdana" w:hAnsi="Verdana"/>
          <w:sz w:val="20"/>
          <w:lang w:val="es-ES"/>
        </w:rPr>
      </w:pPr>
    </w:p>
    <w:p w:rsidR="009002F4" w:rsidRDefault="009002F4" w:rsidP="00083E66">
      <w:pPr>
        <w:jc w:val="both"/>
        <w:rPr>
          <w:rFonts w:ascii="Verdana" w:hAnsi="Verdana"/>
          <w:sz w:val="20"/>
          <w:lang w:val="es-ES"/>
        </w:rPr>
      </w:pPr>
    </w:p>
    <w:p w:rsidR="009002F4" w:rsidRPr="00370276" w:rsidRDefault="009002F4" w:rsidP="00083E66">
      <w:pPr>
        <w:jc w:val="both"/>
        <w:rPr>
          <w:rFonts w:ascii="Verdana" w:hAnsi="Verdana"/>
          <w:sz w:val="20"/>
          <w:lang w:val="es-ES"/>
        </w:rPr>
      </w:pPr>
    </w:p>
    <w:p w:rsidR="00083E66" w:rsidRPr="00370276" w:rsidRDefault="00083E66" w:rsidP="00083E66">
      <w:pPr>
        <w:jc w:val="both"/>
        <w:rPr>
          <w:rFonts w:ascii="Verdana" w:hAnsi="Verdana"/>
          <w:sz w:val="20"/>
          <w:lang w:val="es-ES"/>
        </w:rPr>
      </w:pPr>
    </w:p>
    <w:p w:rsidR="009002F4" w:rsidRDefault="009002F4" w:rsidP="009002F4">
      <w:pPr>
        <w:jc w:val="center"/>
        <w:rPr>
          <w:rFonts w:ascii="Verdana" w:hAnsi="Verdana"/>
          <w:sz w:val="20"/>
          <w:lang w:val="es-ES"/>
        </w:rPr>
      </w:pPr>
      <w:r>
        <w:rPr>
          <w:rFonts w:ascii="Verdana" w:hAnsi="Verdana"/>
          <w:sz w:val="20"/>
          <w:lang w:val="es-ES"/>
        </w:rPr>
        <w:t>Humberto Antonio Sierra Porto</w:t>
      </w:r>
    </w:p>
    <w:p w:rsidR="009002F4" w:rsidRDefault="009002F4" w:rsidP="009002F4">
      <w:pPr>
        <w:jc w:val="center"/>
        <w:rPr>
          <w:rFonts w:ascii="Verdana" w:hAnsi="Verdana"/>
          <w:sz w:val="20"/>
          <w:lang w:val="es-ES"/>
        </w:rPr>
      </w:pPr>
      <w:r>
        <w:rPr>
          <w:rFonts w:ascii="Verdana" w:hAnsi="Verdana"/>
          <w:sz w:val="20"/>
          <w:lang w:val="es-ES"/>
        </w:rPr>
        <w:t>Presidente</w:t>
      </w:r>
    </w:p>
    <w:p w:rsidR="009002F4" w:rsidRDefault="009002F4" w:rsidP="00083E66">
      <w:pPr>
        <w:jc w:val="both"/>
        <w:rPr>
          <w:rFonts w:ascii="Verdana" w:hAnsi="Verdana"/>
          <w:sz w:val="20"/>
          <w:lang w:val="es-ES"/>
        </w:rPr>
      </w:pPr>
    </w:p>
    <w:p w:rsidR="009002F4" w:rsidRPr="00370276" w:rsidRDefault="009002F4" w:rsidP="00083E66">
      <w:pPr>
        <w:jc w:val="both"/>
        <w:rPr>
          <w:rFonts w:ascii="Verdana" w:hAnsi="Verdana"/>
          <w:sz w:val="20"/>
          <w:lang w:val="es-ES"/>
        </w:rPr>
      </w:pPr>
    </w:p>
    <w:p w:rsidR="00083E66" w:rsidRDefault="00083E66" w:rsidP="00083E66">
      <w:pPr>
        <w:jc w:val="both"/>
        <w:rPr>
          <w:rFonts w:ascii="Verdana" w:hAnsi="Verdana"/>
          <w:sz w:val="20"/>
          <w:lang w:val="es-ES"/>
        </w:rPr>
      </w:pPr>
    </w:p>
    <w:p w:rsidR="009002F4" w:rsidRDefault="009002F4" w:rsidP="00083E66">
      <w:pPr>
        <w:jc w:val="both"/>
        <w:rPr>
          <w:rFonts w:ascii="Verdana" w:hAnsi="Verdana"/>
          <w:sz w:val="20"/>
          <w:lang w:val="es-ES"/>
        </w:rPr>
      </w:pPr>
    </w:p>
    <w:p w:rsidR="009002F4" w:rsidRDefault="009002F4" w:rsidP="00083E66">
      <w:pPr>
        <w:jc w:val="both"/>
        <w:rPr>
          <w:rFonts w:ascii="Verdana" w:hAnsi="Verdana"/>
          <w:sz w:val="20"/>
          <w:lang w:val="es-ES"/>
        </w:rPr>
      </w:pPr>
    </w:p>
    <w:p w:rsidR="009002F4" w:rsidRDefault="009002F4" w:rsidP="00083E66">
      <w:pPr>
        <w:jc w:val="both"/>
        <w:rPr>
          <w:rFonts w:ascii="Verdana" w:hAnsi="Verdana"/>
          <w:sz w:val="20"/>
          <w:lang w:val="es-ES"/>
        </w:rPr>
      </w:pPr>
      <w:r>
        <w:rPr>
          <w:rFonts w:ascii="Verdana" w:hAnsi="Verdana"/>
          <w:sz w:val="20"/>
          <w:lang w:val="es-ES"/>
        </w:rPr>
        <w:t>Roberto F. Caldas</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Manuel E. Ventura Robles</w:t>
      </w:r>
    </w:p>
    <w:p w:rsidR="009002F4" w:rsidRDefault="009002F4" w:rsidP="00083E66">
      <w:pPr>
        <w:jc w:val="both"/>
        <w:rPr>
          <w:rFonts w:ascii="Verdana" w:hAnsi="Verdana"/>
          <w:sz w:val="20"/>
          <w:lang w:val="es-ES"/>
        </w:rPr>
      </w:pPr>
    </w:p>
    <w:p w:rsidR="009002F4" w:rsidRDefault="009002F4" w:rsidP="00083E66">
      <w:pPr>
        <w:jc w:val="both"/>
        <w:rPr>
          <w:rFonts w:ascii="Verdana" w:hAnsi="Verdana"/>
          <w:sz w:val="20"/>
          <w:lang w:val="es-ES"/>
        </w:rPr>
      </w:pPr>
    </w:p>
    <w:p w:rsidR="009002F4" w:rsidRDefault="009002F4" w:rsidP="00083E66">
      <w:pPr>
        <w:jc w:val="both"/>
        <w:rPr>
          <w:rFonts w:ascii="Verdana" w:hAnsi="Verdana"/>
          <w:sz w:val="20"/>
          <w:lang w:val="es-ES"/>
        </w:rPr>
      </w:pPr>
    </w:p>
    <w:p w:rsidR="009002F4" w:rsidRDefault="009002F4" w:rsidP="00083E66">
      <w:pPr>
        <w:jc w:val="both"/>
        <w:rPr>
          <w:rFonts w:ascii="Verdana" w:hAnsi="Verdana"/>
          <w:sz w:val="20"/>
          <w:lang w:val="es-ES"/>
        </w:rPr>
      </w:pPr>
    </w:p>
    <w:p w:rsidR="009002F4" w:rsidRDefault="009002F4" w:rsidP="00083E66">
      <w:pPr>
        <w:jc w:val="both"/>
        <w:rPr>
          <w:rFonts w:ascii="Verdana" w:hAnsi="Verdana"/>
          <w:sz w:val="20"/>
          <w:lang w:val="es-ES"/>
        </w:rPr>
      </w:pPr>
    </w:p>
    <w:p w:rsidR="009002F4" w:rsidRDefault="009002F4" w:rsidP="00083E66">
      <w:pPr>
        <w:jc w:val="both"/>
        <w:rPr>
          <w:rFonts w:ascii="Verdana" w:hAnsi="Verdana"/>
          <w:sz w:val="20"/>
          <w:lang w:val="es-ES"/>
        </w:rPr>
      </w:pPr>
      <w:r>
        <w:rPr>
          <w:rFonts w:ascii="Verdana" w:hAnsi="Verdana"/>
          <w:sz w:val="20"/>
          <w:lang w:val="es-ES"/>
        </w:rPr>
        <w:t>Diego García-Sayán</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Eduardo Vio Grossi</w:t>
      </w:r>
    </w:p>
    <w:p w:rsidR="009002F4" w:rsidRDefault="009002F4" w:rsidP="00083E66">
      <w:pPr>
        <w:jc w:val="both"/>
        <w:rPr>
          <w:rFonts w:ascii="Verdana" w:hAnsi="Verdana"/>
          <w:sz w:val="20"/>
          <w:lang w:val="es-ES"/>
        </w:rPr>
      </w:pPr>
    </w:p>
    <w:p w:rsidR="009002F4" w:rsidRDefault="009002F4" w:rsidP="00083E66">
      <w:pPr>
        <w:jc w:val="both"/>
        <w:rPr>
          <w:rFonts w:ascii="Verdana" w:hAnsi="Verdana"/>
          <w:sz w:val="20"/>
          <w:lang w:val="es-ES"/>
        </w:rPr>
      </w:pPr>
    </w:p>
    <w:p w:rsidR="009002F4" w:rsidRDefault="009002F4" w:rsidP="00083E66">
      <w:pPr>
        <w:jc w:val="both"/>
        <w:rPr>
          <w:rFonts w:ascii="Verdana" w:hAnsi="Verdana"/>
          <w:sz w:val="20"/>
          <w:lang w:val="es-ES"/>
        </w:rPr>
      </w:pPr>
    </w:p>
    <w:p w:rsidR="009002F4" w:rsidRDefault="009002F4" w:rsidP="00083E66">
      <w:pPr>
        <w:jc w:val="both"/>
        <w:rPr>
          <w:rFonts w:ascii="Verdana" w:hAnsi="Verdana"/>
          <w:sz w:val="20"/>
          <w:lang w:val="es-ES"/>
        </w:rPr>
      </w:pPr>
    </w:p>
    <w:p w:rsidR="009002F4" w:rsidRDefault="009002F4" w:rsidP="009002F4">
      <w:pPr>
        <w:jc w:val="center"/>
        <w:rPr>
          <w:rFonts w:ascii="Verdana" w:hAnsi="Verdana"/>
          <w:sz w:val="20"/>
          <w:lang w:val="es-ES"/>
        </w:rPr>
      </w:pPr>
      <w:r>
        <w:rPr>
          <w:rFonts w:ascii="Verdana" w:hAnsi="Verdana"/>
          <w:sz w:val="20"/>
          <w:lang w:val="es-ES"/>
        </w:rPr>
        <w:t xml:space="preserve">Eduardo Ferrer </w:t>
      </w:r>
      <w:proofErr w:type="spellStart"/>
      <w:r>
        <w:rPr>
          <w:rFonts w:ascii="Verdana" w:hAnsi="Verdana"/>
          <w:sz w:val="20"/>
          <w:lang w:val="es-ES"/>
        </w:rPr>
        <w:t>Mag-Gregor</w:t>
      </w:r>
      <w:proofErr w:type="spellEnd"/>
      <w:r>
        <w:rPr>
          <w:rFonts w:ascii="Verdana" w:hAnsi="Verdana"/>
          <w:sz w:val="20"/>
          <w:lang w:val="es-ES"/>
        </w:rPr>
        <w:t xml:space="preserve"> </w:t>
      </w:r>
      <w:proofErr w:type="spellStart"/>
      <w:r>
        <w:rPr>
          <w:rFonts w:ascii="Verdana" w:hAnsi="Verdana"/>
          <w:sz w:val="20"/>
          <w:lang w:val="es-ES"/>
        </w:rPr>
        <w:t>Poisot</w:t>
      </w:r>
      <w:proofErr w:type="spellEnd"/>
    </w:p>
    <w:p w:rsidR="009002F4" w:rsidRDefault="009002F4" w:rsidP="009002F4">
      <w:pPr>
        <w:jc w:val="center"/>
        <w:rPr>
          <w:rFonts w:ascii="Verdana" w:hAnsi="Verdana"/>
          <w:sz w:val="20"/>
          <w:lang w:val="es-ES"/>
        </w:rPr>
      </w:pPr>
    </w:p>
    <w:p w:rsidR="009002F4" w:rsidRDefault="009002F4" w:rsidP="009002F4">
      <w:pPr>
        <w:jc w:val="center"/>
        <w:rPr>
          <w:rFonts w:ascii="Verdana" w:hAnsi="Verdana"/>
          <w:sz w:val="20"/>
          <w:lang w:val="es-ES"/>
        </w:rPr>
      </w:pPr>
    </w:p>
    <w:p w:rsidR="009002F4" w:rsidRDefault="009002F4" w:rsidP="009002F4">
      <w:pPr>
        <w:jc w:val="center"/>
        <w:rPr>
          <w:rFonts w:ascii="Verdana" w:hAnsi="Verdana"/>
          <w:sz w:val="20"/>
          <w:lang w:val="es-ES"/>
        </w:rPr>
      </w:pPr>
    </w:p>
    <w:p w:rsidR="009002F4" w:rsidRDefault="009002F4" w:rsidP="009002F4">
      <w:pPr>
        <w:jc w:val="center"/>
        <w:rPr>
          <w:rFonts w:ascii="Verdana" w:hAnsi="Verdana"/>
          <w:sz w:val="20"/>
          <w:lang w:val="es-ES"/>
        </w:rPr>
      </w:pPr>
    </w:p>
    <w:p w:rsidR="009002F4" w:rsidRDefault="009002F4" w:rsidP="009002F4">
      <w:pPr>
        <w:jc w:val="center"/>
        <w:rPr>
          <w:rFonts w:ascii="Verdana" w:hAnsi="Verdana"/>
          <w:sz w:val="20"/>
          <w:lang w:val="es-ES"/>
        </w:rPr>
      </w:pPr>
    </w:p>
    <w:p w:rsidR="009002F4" w:rsidRDefault="009002F4" w:rsidP="009002F4">
      <w:pPr>
        <w:jc w:val="center"/>
        <w:rPr>
          <w:rFonts w:ascii="Verdana" w:hAnsi="Verdana"/>
          <w:sz w:val="20"/>
          <w:lang w:val="es-ES"/>
        </w:rPr>
      </w:pPr>
    </w:p>
    <w:p w:rsidR="009002F4" w:rsidRDefault="009002F4" w:rsidP="009002F4">
      <w:pPr>
        <w:jc w:val="center"/>
        <w:rPr>
          <w:rFonts w:ascii="Verdana" w:hAnsi="Verdana"/>
          <w:sz w:val="20"/>
          <w:lang w:val="es-ES"/>
        </w:rPr>
      </w:pPr>
      <w:r>
        <w:rPr>
          <w:rFonts w:ascii="Verdana" w:hAnsi="Verdana"/>
          <w:sz w:val="20"/>
          <w:lang w:val="es-ES"/>
        </w:rPr>
        <w:t>Pablo Saavedra Alessandri</w:t>
      </w:r>
    </w:p>
    <w:p w:rsidR="009002F4" w:rsidRDefault="009002F4" w:rsidP="009002F4">
      <w:pPr>
        <w:jc w:val="center"/>
        <w:rPr>
          <w:rFonts w:ascii="Verdana" w:hAnsi="Verdana"/>
          <w:sz w:val="20"/>
          <w:lang w:val="es-ES"/>
        </w:rPr>
      </w:pPr>
      <w:r w:rsidRPr="009002F4">
        <w:rPr>
          <w:rFonts w:ascii="Verdana" w:hAnsi="Verdana"/>
          <w:sz w:val="20"/>
          <w:lang w:val="es-ES"/>
        </w:rPr>
        <w:t>S</w:t>
      </w:r>
      <w:r>
        <w:rPr>
          <w:rFonts w:ascii="Verdana" w:hAnsi="Verdana"/>
          <w:sz w:val="20"/>
          <w:lang w:val="es-ES"/>
        </w:rPr>
        <w:t xml:space="preserve">ecretario </w:t>
      </w:r>
    </w:p>
    <w:p w:rsidR="009002F4" w:rsidRDefault="009002F4" w:rsidP="009002F4">
      <w:pPr>
        <w:rPr>
          <w:rFonts w:ascii="Verdana" w:hAnsi="Verdana"/>
          <w:sz w:val="20"/>
          <w:lang w:val="es-ES"/>
        </w:rPr>
      </w:pPr>
    </w:p>
    <w:p w:rsidR="009002F4" w:rsidRDefault="009002F4" w:rsidP="009002F4">
      <w:pPr>
        <w:rPr>
          <w:rFonts w:ascii="Verdana" w:hAnsi="Verdana"/>
          <w:sz w:val="20"/>
          <w:lang w:val="es-ES"/>
        </w:rPr>
      </w:pPr>
    </w:p>
    <w:p w:rsidR="009002F4" w:rsidRDefault="009002F4" w:rsidP="009002F4">
      <w:pPr>
        <w:rPr>
          <w:rFonts w:ascii="Verdana" w:hAnsi="Verdana"/>
          <w:sz w:val="20"/>
          <w:lang w:val="es-ES"/>
        </w:rPr>
      </w:pPr>
    </w:p>
    <w:p w:rsidR="009002F4" w:rsidRDefault="009002F4" w:rsidP="009002F4">
      <w:pPr>
        <w:rPr>
          <w:rFonts w:ascii="Verdana" w:hAnsi="Verdana"/>
          <w:sz w:val="20"/>
          <w:lang w:val="es-ES"/>
        </w:rPr>
      </w:pPr>
    </w:p>
    <w:p w:rsidR="009002F4" w:rsidRDefault="009002F4" w:rsidP="009002F4">
      <w:pPr>
        <w:rPr>
          <w:rFonts w:ascii="Verdana" w:hAnsi="Verdana"/>
          <w:sz w:val="20"/>
          <w:lang w:val="es-ES"/>
        </w:rPr>
      </w:pPr>
    </w:p>
    <w:p w:rsidR="009002F4" w:rsidRDefault="009002F4" w:rsidP="009002F4">
      <w:pPr>
        <w:rPr>
          <w:rFonts w:ascii="Verdana" w:hAnsi="Verdana"/>
          <w:sz w:val="20"/>
          <w:lang w:val="es-ES"/>
        </w:rPr>
      </w:pPr>
      <w:r>
        <w:rPr>
          <w:rFonts w:ascii="Verdana" w:hAnsi="Verdana"/>
          <w:sz w:val="20"/>
          <w:lang w:val="es-ES"/>
        </w:rPr>
        <w:t>Comuníquese y ejecútese,</w:t>
      </w:r>
    </w:p>
    <w:p w:rsidR="009002F4" w:rsidRDefault="009002F4" w:rsidP="009002F4">
      <w:pPr>
        <w:rPr>
          <w:rFonts w:ascii="Verdana" w:hAnsi="Verdana"/>
          <w:sz w:val="20"/>
          <w:lang w:val="es-ES"/>
        </w:rPr>
      </w:pPr>
    </w:p>
    <w:p w:rsidR="009002F4" w:rsidRDefault="009002F4" w:rsidP="009002F4">
      <w:pPr>
        <w:rPr>
          <w:rFonts w:ascii="Verdana" w:hAnsi="Verdana"/>
          <w:sz w:val="20"/>
          <w:lang w:val="es-ES"/>
        </w:rPr>
      </w:pPr>
    </w:p>
    <w:p w:rsidR="009002F4" w:rsidRDefault="009002F4" w:rsidP="009002F4">
      <w:pPr>
        <w:rPr>
          <w:rFonts w:ascii="Verdana" w:hAnsi="Verdana"/>
          <w:sz w:val="20"/>
          <w:lang w:val="es-ES"/>
        </w:rPr>
      </w:pPr>
    </w:p>
    <w:p w:rsidR="009002F4" w:rsidRDefault="009002F4" w:rsidP="009002F4">
      <w:pPr>
        <w:rPr>
          <w:rFonts w:ascii="Verdana" w:hAnsi="Verdana"/>
          <w:sz w:val="20"/>
          <w:lang w:val="es-ES"/>
        </w:rPr>
      </w:pPr>
    </w:p>
    <w:p w:rsidR="009002F4" w:rsidRDefault="009002F4" w:rsidP="009002F4">
      <w:pPr>
        <w:ind w:left="4956" w:firstLine="708"/>
        <w:rPr>
          <w:rFonts w:ascii="Verdana" w:hAnsi="Verdana"/>
          <w:sz w:val="20"/>
          <w:lang w:val="es-ES"/>
        </w:rPr>
      </w:pPr>
      <w:r>
        <w:rPr>
          <w:rFonts w:ascii="Verdana" w:hAnsi="Verdana"/>
          <w:sz w:val="20"/>
          <w:lang w:val="es-ES"/>
        </w:rPr>
        <w:t>Humberto Antonio Sierra Porto</w:t>
      </w:r>
    </w:p>
    <w:p w:rsidR="009002F4" w:rsidRDefault="009002F4" w:rsidP="009002F4">
      <w:pPr>
        <w:ind w:left="6372"/>
        <w:rPr>
          <w:rFonts w:ascii="Verdana" w:hAnsi="Verdana"/>
          <w:sz w:val="20"/>
          <w:lang w:val="es-ES"/>
        </w:rPr>
      </w:pPr>
      <w:r>
        <w:rPr>
          <w:rFonts w:ascii="Verdana" w:hAnsi="Verdana"/>
          <w:sz w:val="20"/>
          <w:lang w:val="es-ES"/>
        </w:rPr>
        <w:t>Presidente</w:t>
      </w:r>
    </w:p>
    <w:p w:rsidR="009002F4" w:rsidRDefault="009002F4" w:rsidP="009002F4">
      <w:pPr>
        <w:rPr>
          <w:rFonts w:ascii="Verdana" w:hAnsi="Verdana"/>
          <w:sz w:val="20"/>
          <w:lang w:val="es-ES"/>
        </w:rPr>
      </w:pPr>
    </w:p>
    <w:p w:rsidR="009002F4" w:rsidRDefault="009002F4" w:rsidP="009002F4">
      <w:pPr>
        <w:rPr>
          <w:rFonts w:ascii="Verdana" w:hAnsi="Verdana"/>
          <w:sz w:val="20"/>
          <w:lang w:val="es-ES"/>
        </w:rPr>
      </w:pPr>
    </w:p>
    <w:p w:rsidR="009002F4" w:rsidRDefault="009002F4" w:rsidP="009002F4">
      <w:pPr>
        <w:jc w:val="center"/>
        <w:rPr>
          <w:rFonts w:ascii="Verdana" w:hAnsi="Verdana"/>
          <w:sz w:val="20"/>
          <w:lang w:val="es-ES"/>
        </w:rPr>
      </w:pPr>
    </w:p>
    <w:p w:rsidR="009002F4" w:rsidRDefault="009002F4" w:rsidP="009002F4">
      <w:pPr>
        <w:jc w:val="center"/>
        <w:rPr>
          <w:rFonts w:ascii="Verdana" w:hAnsi="Verdana"/>
          <w:sz w:val="20"/>
          <w:lang w:val="es-ES"/>
        </w:rPr>
      </w:pPr>
    </w:p>
    <w:p w:rsidR="009002F4" w:rsidRDefault="009002F4" w:rsidP="009002F4">
      <w:pPr>
        <w:rPr>
          <w:rFonts w:ascii="Verdana" w:hAnsi="Verdana"/>
          <w:sz w:val="20"/>
          <w:lang w:val="es-ES"/>
        </w:rPr>
      </w:pPr>
      <w:r>
        <w:rPr>
          <w:rFonts w:ascii="Verdana" w:hAnsi="Verdana"/>
          <w:sz w:val="20"/>
          <w:lang w:val="es-ES"/>
        </w:rPr>
        <w:t>Pablo Saavedra Alessandri</w:t>
      </w:r>
    </w:p>
    <w:p w:rsidR="009002F4" w:rsidRDefault="009002F4" w:rsidP="009002F4">
      <w:pPr>
        <w:rPr>
          <w:rFonts w:ascii="Verdana" w:hAnsi="Verdana"/>
          <w:sz w:val="20"/>
          <w:lang w:val="es-ES"/>
        </w:rPr>
      </w:pPr>
      <w:r>
        <w:rPr>
          <w:rFonts w:ascii="Verdana" w:hAnsi="Verdana"/>
          <w:sz w:val="20"/>
          <w:lang w:val="es-ES"/>
        </w:rPr>
        <w:t xml:space="preserve">          </w:t>
      </w:r>
      <w:r w:rsidRPr="009002F4">
        <w:rPr>
          <w:rFonts w:ascii="Verdana" w:hAnsi="Verdana"/>
          <w:sz w:val="20"/>
          <w:lang w:val="es-ES"/>
        </w:rPr>
        <w:t>S</w:t>
      </w:r>
      <w:r>
        <w:rPr>
          <w:rFonts w:ascii="Verdana" w:hAnsi="Verdana"/>
          <w:sz w:val="20"/>
          <w:lang w:val="es-ES"/>
        </w:rPr>
        <w:t xml:space="preserve">ecretario </w:t>
      </w:r>
    </w:p>
    <w:p w:rsidR="009002F4" w:rsidRDefault="009002F4" w:rsidP="009002F4">
      <w:pPr>
        <w:rPr>
          <w:rFonts w:ascii="Verdana" w:hAnsi="Verdana"/>
          <w:sz w:val="20"/>
          <w:lang w:val="es-ES"/>
        </w:rPr>
      </w:pPr>
    </w:p>
    <w:p w:rsidR="009002F4" w:rsidRDefault="009002F4" w:rsidP="009002F4">
      <w:pPr>
        <w:rPr>
          <w:rFonts w:ascii="Verdana" w:hAnsi="Verdana"/>
          <w:sz w:val="20"/>
          <w:lang w:val="es-ES"/>
        </w:rPr>
      </w:pPr>
    </w:p>
    <w:p w:rsidR="009002F4" w:rsidRPr="00370276" w:rsidRDefault="009002F4" w:rsidP="009002F4">
      <w:pPr>
        <w:rPr>
          <w:rFonts w:ascii="Verdana" w:hAnsi="Verdana"/>
          <w:sz w:val="20"/>
          <w:lang w:val="es-ES"/>
        </w:rPr>
      </w:pPr>
    </w:p>
    <w:sectPr w:rsidR="009002F4" w:rsidRPr="00370276" w:rsidSect="008346F5">
      <w:headerReference w:type="default" r:id="rId8"/>
      <w:headerReference w:type="first" r:id="rId9"/>
      <w:pgSz w:w="12240" w:h="15840"/>
      <w:pgMar w:top="1008" w:right="1584" w:bottom="1008" w:left="1584"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687" w:rsidRDefault="00610687" w:rsidP="00083E66">
      <w:r>
        <w:separator/>
      </w:r>
    </w:p>
  </w:endnote>
  <w:endnote w:type="continuationSeparator" w:id="0">
    <w:p w:rsidR="00610687" w:rsidRDefault="00610687" w:rsidP="00083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Reference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687" w:rsidRDefault="00610687" w:rsidP="00083E66">
      <w:r>
        <w:separator/>
      </w:r>
    </w:p>
  </w:footnote>
  <w:footnote w:type="continuationSeparator" w:id="0">
    <w:p w:rsidR="00610687" w:rsidRDefault="00610687" w:rsidP="00083E66">
      <w:r>
        <w:continuationSeparator/>
      </w:r>
    </w:p>
  </w:footnote>
  <w:footnote w:id="1">
    <w:p w:rsidR="00AA49CF" w:rsidRPr="00DF67EA" w:rsidRDefault="00AA49CF">
      <w:pPr>
        <w:pStyle w:val="FootnoteText"/>
      </w:pPr>
      <w:r w:rsidRPr="00DF67EA">
        <w:rPr>
          <w:rStyle w:val="FootnoteReference"/>
        </w:rPr>
        <w:sym w:font="Symbol" w:char="F02A"/>
      </w:r>
      <w:r>
        <w:t xml:space="preserve"> </w:t>
      </w:r>
      <w:r>
        <w:rPr>
          <w:bCs/>
        </w:rPr>
        <w:t>E</w:t>
      </w:r>
      <w:r w:rsidRPr="00FA11AC">
        <w:rPr>
          <w:bCs/>
        </w:rPr>
        <w:t>l Juez Alberto Pérez Pérez no pudo participar de la deliberación de la presente Sentencia por razones de fuerza mayor</w:t>
      </w:r>
      <w:r>
        <w:rPr>
          <w:bCs/>
        </w:rPr>
        <w:t>.</w:t>
      </w:r>
    </w:p>
  </w:footnote>
  <w:footnote w:id="2">
    <w:p w:rsidR="00AA49CF" w:rsidRDefault="00AA49CF" w:rsidP="00116C3C">
      <w:pPr>
        <w:pStyle w:val="FootnoteText"/>
        <w:spacing w:after="0"/>
        <w:rPr>
          <w:lang w:val="es-ES"/>
        </w:rPr>
      </w:pPr>
      <w:r w:rsidRPr="00085997">
        <w:rPr>
          <w:rStyle w:val="FootnoteReference"/>
        </w:rPr>
        <w:footnoteRef/>
      </w:r>
      <w:r w:rsidRPr="00085997">
        <w:t xml:space="preserve"> </w:t>
      </w:r>
      <w:r>
        <w:t>E</w:t>
      </w:r>
      <w:r w:rsidRPr="006C6D74">
        <w:t>l 13 de junio de 2014 el Estado informó que l</w:t>
      </w:r>
      <w:r>
        <w:t>a “notificación” de la Resolución emitida por la Corte el 21 de agosto de 2013 “</w:t>
      </w:r>
      <w:r w:rsidRPr="006C6D74">
        <w:t>fue intentada e[l] 9 de septiembre de 2013 a [una dirección incorrecta]”</w:t>
      </w:r>
      <w:r>
        <w:t>. Debido a ello, los días 19 y 23 de junio de 2014</w:t>
      </w:r>
      <w:r w:rsidRPr="00085997">
        <w:t xml:space="preserve"> se “envi[ó] al […] Estado la Resolución emitida por e[l] Tribunal el 21 de agosto de 2013</w:t>
      </w:r>
      <w:r w:rsidRPr="006C6D74">
        <w:t xml:space="preserve"> y</w:t>
      </w:r>
      <w:r w:rsidRPr="00085997">
        <w:t xml:space="preserve"> [se le] transmiti[ó] la documentación tramitada</w:t>
      </w:r>
      <w:r>
        <w:t xml:space="preserve">” en el presente asunto. </w:t>
      </w:r>
      <w:r w:rsidRPr="00085997">
        <w:t>En la indicada comunicación de 19 de junio de 2014, siguiendo instrucciones del Presidente de</w:t>
      </w:r>
      <w:r>
        <w:t xml:space="preserve"> la Corte</w:t>
      </w:r>
      <w:r w:rsidRPr="00085997">
        <w:t>, se “conced[ió] al […] Estado un plazo [hasta] el 18 de agos</w:t>
      </w:r>
      <w:r>
        <w:t>to de 2014 […] para que present[ara] [el</w:t>
      </w:r>
      <w:r w:rsidRPr="00085997">
        <w:t>] informe […] indicado […] en el punto resolutivo tercero de la […] Resolución [de 21 de agosto de 201</w:t>
      </w:r>
      <w:r>
        <w:t xml:space="preserve">3]”. El 1 de septiembre de 2014 esta Secretaría reiteró al Estado la presentación del </w:t>
      </w:r>
      <w:r w:rsidRPr="00085997">
        <w:t>informe estatal referido</w:t>
      </w:r>
      <w:r>
        <w:t>,</w:t>
      </w:r>
      <w:r w:rsidRPr="00085997">
        <w:t xml:space="preserve"> </w:t>
      </w:r>
      <w:r>
        <w:t>ya que a esa fecha</w:t>
      </w:r>
      <w:r w:rsidRPr="00085997">
        <w:t xml:space="preserve"> </w:t>
      </w:r>
      <w:r>
        <w:t xml:space="preserve">no </w:t>
      </w:r>
      <w:r w:rsidRPr="00085997">
        <w:t>había sido recibido en la Secretaría</w:t>
      </w:r>
      <w:r>
        <w:t xml:space="preserve"> y se le concedió un plazo que vencía</w:t>
      </w:r>
      <w:r w:rsidRPr="00085997">
        <w:t xml:space="preserve"> “el 8 de septiembre de 2014</w:t>
      </w:r>
      <w:r>
        <w:rPr>
          <w:lang w:val="es-CR"/>
        </w:rPr>
        <w:t>”</w:t>
      </w:r>
      <w:r>
        <w:t xml:space="preserve"> p</w:t>
      </w:r>
      <w:r>
        <w:rPr>
          <w:lang w:val="es-ES"/>
        </w:rPr>
        <w:t>ara presentarlo. Posteriormente, e</w:t>
      </w:r>
      <w:r w:rsidRPr="00085997">
        <w:rPr>
          <w:lang w:val="es-ES"/>
        </w:rPr>
        <w:t xml:space="preserve">l 1 de septiembre de 2014 </w:t>
      </w:r>
      <w:r>
        <w:rPr>
          <w:lang w:val="es-ES"/>
        </w:rPr>
        <w:t xml:space="preserve">remitió al Estado y </w:t>
      </w:r>
      <w:r w:rsidRPr="00085997">
        <w:rPr>
          <w:lang w:val="es-ES"/>
        </w:rPr>
        <w:t>a la Comisión Interamericana de Derechos Humanos el escrito de la representación de los beneficiarios de 27 de agosto de 2014,</w:t>
      </w:r>
      <w:r>
        <w:rPr>
          <w:lang w:val="es-ES"/>
        </w:rPr>
        <w:t xml:space="preserve"> y se les solicitó la presentación de las observaciones que estimaran pertinentes</w:t>
      </w:r>
      <w:r w:rsidRPr="00085997">
        <w:rPr>
          <w:lang w:val="es-ES"/>
        </w:rPr>
        <w:t xml:space="preserve"> el 8 de septiembre de 2014.</w:t>
      </w:r>
    </w:p>
    <w:p w:rsidR="00AA49CF" w:rsidRPr="00D334CC" w:rsidRDefault="00AA49CF" w:rsidP="00116C3C">
      <w:pPr>
        <w:pStyle w:val="FootnoteText"/>
        <w:spacing w:after="0"/>
      </w:pPr>
    </w:p>
  </w:footnote>
  <w:footnote w:id="3">
    <w:p w:rsidR="00AA49CF" w:rsidRDefault="00AA49CF" w:rsidP="00E8446F">
      <w:pPr>
        <w:pStyle w:val="FootnoteText"/>
        <w:spacing w:after="0"/>
      </w:pPr>
      <w:r>
        <w:rPr>
          <w:rStyle w:val="FootnoteReference"/>
        </w:rPr>
        <w:footnoteRef/>
      </w:r>
      <w:r>
        <w:t xml:space="preserve"> El Estado, en el mismo escrito, presentó un informe que había sido requerido por la Corte en el punto resolutivo tercero de su Resolución de 21 de agosto de 2013. </w:t>
      </w:r>
    </w:p>
    <w:p w:rsidR="00AA49CF" w:rsidRPr="0013646E" w:rsidRDefault="00AA49CF" w:rsidP="00E8446F">
      <w:pPr>
        <w:pStyle w:val="FootnoteText"/>
        <w:spacing w:after="0"/>
      </w:pPr>
    </w:p>
  </w:footnote>
  <w:footnote w:id="4">
    <w:p w:rsidR="00AA49CF" w:rsidRDefault="00AA49CF" w:rsidP="00116C3C">
      <w:pPr>
        <w:pStyle w:val="FootnoteText"/>
        <w:spacing w:after="0"/>
      </w:pPr>
      <w:r w:rsidRPr="00644ED2">
        <w:rPr>
          <w:rStyle w:val="FootnoteReference"/>
        </w:rPr>
        <w:footnoteRef/>
      </w:r>
      <w:r>
        <w:t xml:space="preserve"> </w:t>
      </w:r>
      <w:r w:rsidRPr="00644ED2">
        <w:rPr>
          <w:i/>
        </w:rPr>
        <w:t>Caso Carpio Nicolle y otros</w:t>
      </w:r>
      <w:r w:rsidRPr="00644ED2">
        <w:t>. Medidas Provisionales respecto de Guatemala. Resolución de la Corte de 6 de julio de 20</w:t>
      </w:r>
      <w:r>
        <w:t xml:space="preserve">09, Considerando14, y </w:t>
      </w:r>
      <w:r w:rsidRPr="00A04C79">
        <w:rPr>
          <w:i/>
        </w:rPr>
        <w:t xml:space="preserve">Asunto </w:t>
      </w:r>
      <w:proofErr w:type="spellStart"/>
      <w:r w:rsidRPr="00A04C79">
        <w:rPr>
          <w:i/>
        </w:rPr>
        <w:t>Wong</w:t>
      </w:r>
      <w:proofErr w:type="spellEnd"/>
      <w:r w:rsidRPr="00A04C79">
        <w:rPr>
          <w:i/>
        </w:rPr>
        <w:t xml:space="preserve"> Ho </w:t>
      </w:r>
      <w:proofErr w:type="spellStart"/>
      <w:r w:rsidRPr="00A04C79">
        <w:rPr>
          <w:i/>
        </w:rPr>
        <w:t>Wing</w:t>
      </w:r>
      <w:proofErr w:type="spellEnd"/>
      <w:r w:rsidRPr="00644ED2">
        <w:rPr>
          <w:i/>
        </w:rPr>
        <w:t>.</w:t>
      </w:r>
      <w:r w:rsidRPr="00644ED2">
        <w:t xml:space="preserve"> Medidas provisionales respecto de Perú. Resolución de la Corte </w:t>
      </w:r>
      <w:r>
        <w:t>de 31 de marzo de 2014, C</w:t>
      </w:r>
      <w:r w:rsidRPr="00644ED2">
        <w:t>onsiderando</w:t>
      </w:r>
      <w:r>
        <w:t xml:space="preserve"> 3.</w:t>
      </w:r>
    </w:p>
    <w:p w:rsidR="00AA49CF" w:rsidRDefault="00AA49CF" w:rsidP="00116C3C">
      <w:pPr>
        <w:pStyle w:val="FootnoteText"/>
        <w:spacing w:after="0"/>
      </w:pPr>
    </w:p>
  </w:footnote>
  <w:footnote w:id="5">
    <w:p w:rsidR="00AA49CF" w:rsidRDefault="00AA49CF" w:rsidP="005B1881">
      <w:pPr>
        <w:pStyle w:val="FootnoteText"/>
        <w:spacing w:after="0"/>
        <w:rPr>
          <w:lang w:val="es-ES"/>
        </w:rPr>
      </w:pPr>
      <w:r>
        <w:rPr>
          <w:rStyle w:val="FootnoteReference"/>
        </w:rPr>
        <w:footnoteRef/>
      </w:r>
      <w:r>
        <w:t xml:space="preserve"> </w:t>
      </w:r>
      <w:r w:rsidRPr="00A04C79">
        <w:rPr>
          <w:i/>
          <w:lang w:val="es-ES"/>
        </w:rPr>
        <w:t>Cfr. Asunto James y otros</w:t>
      </w:r>
      <w:r w:rsidRPr="00A04C79">
        <w:rPr>
          <w:lang w:val="es-ES"/>
        </w:rPr>
        <w:t xml:space="preserve">. Medidas Provisionales respecto de Trinidad y Tobago. Resolución de la </w:t>
      </w:r>
      <w:r>
        <w:rPr>
          <w:lang w:val="es-ES"/>
        </w:rPr>
        <w:t>Corte de 29 de agosto de 1998, C</w:t>
      </w:r>
      <w:r w:rsidRPr="00A04C79">
        <w:rPr>
          <w:lang w:val="es-ES"/>
        </w:rPr>
        <w:t>onsiderando</w:t>
      </w:r>
      <w:r>
        <w:rPr>
          <w:lang w:val="es-ES"/>
        </w:rPr>
        <w:t xml:space="preserve"> 6</w:t>
      </w:r>
      <w:r w:rsidRPr="00A04C79">
        <w:rPr>
          <w:lang w:val="es-ES"/>
        </w:rPr>
        <w:t xml:space="preserve">, y </w:t>
      </w:r>
      <w:r w:rsidRPr="00A04C79">
        <w:rPr>
          <w:i/>
          <w:spacing w:val="-2"/>
        </w:rPr>
        <w:t>Asunto Familia Barrios</w:t>
      </w:r>
      <w:r w:rsidRPr="00A04C79">
        <w:rPr>
          <w:spacing w:val="-2"/>
        </w:rPr>
        <w:t xml:space="preserve">. Medidas Provisionales respecto de Venezuela. Resolución de la </w:t>
      </w:r>
      <w:r>
        <w:rPr>
          <w:spacing w:val="-2"/>
        </w:rPr>
        <w:t>Corte de 30 de mayo de 2013, C</w:t>
      </w:r>
      <w:r w:rsidRPr="00A04C79">
        <w:rPr>
          <w:spacing w:val="-2"/>
        </w:rPr>
        <w:t>onsiderando</w:t>
      </w:r>
      <w:r>
        <w:rPr>
          <w:spacing w:val="-2"/>
        </w:rPr>
        <w:t xml:space="preserve"> 4</w:t>
      </w:r>
      <w:r w:rsidRPr="00A04C79">
        <w:rPr>
          <w:spacing w:val="-2"/>
        </w:rPr>
        <w:t>.</w:t>
      </w:r>
    </w:p>
  </w:footnote>
  <w:footnote w:id="6">
    <w:p w:rsidR="00AA49CF" w:rsidRDefault="00AA49CF" w:rsidP="00116C3C">
      <w:pPr>
        <w:pStyle w:val="FootnoteText"/>
        <w:spacing w:after="0"/>
        <w:rPr>
          <w:lang w:val="es-CR"/>
        </w:rPr>
      </w:pPr>
      <w:r w:rsidRPr="00A31809">
        <w:rPr>
          <w:rStyle w:val="FootnoteReference"/>
        </w:rPr>
        <w:footnoteRef/>
      </w:r>
      <w:r w:rsidRPr="00A31809">
        <w:rPr>
          <w:lang w:val="es-CR"/>
        </w:rPr>
        <w:t xml:space="preserve"> También beneficiaria de las medidas provisionales ordenadas por la Corte (</w:t>
      </w:r>
      <w:r w:rsidRPr="00A31809">
        <w:rPr>
          <w:i/>
          <w:lang w:val="es-CR"/>
        </w:rPr>
        <w:t>supra</w:t>
      </w:r>
      <w:r w:rsidRPr="00A31809">
        <w:rPr>
          <w:lang w:val="es-CR"/>
        </w:rPr>
        <w:t xml:space="preserve"> Visto 1).</w:t>
      </w:r>
    </w:p>
    <w:p w:rsidR="00AA49CF" w:rsidRPr="00A31809" w:rsidRDefault="00AA49CF" w:rsidP="00116C3C">
      <w:pPr>
        <w:pStyle w:val="FootnoteText"/>
        <w:spacing w:after="0"/>
      </w:pPr>
    </w:p>
  </w:footnote>
  <w:footnote w:id="7">
    <w:p w:rsidR="00AA49CF" w:rsidRPr="00217495" w:rsidRDefault="00AA49CF" w:rsidP="00116C3C">
      <w:pPr>
        <w:pStyle w:val="FootnoteText"/>
        <w:spacing w:after="0"/>
      </w:pPr>
      <w:r>
        <w:rPr>
          <w:rStyle w:val="FootnoteReference"/>
        </w:rPr>
        <w:footnoteRef/>
      </w:r>
      <w:r>
        <w:t xml:space="preserve"> Además, expresó su “preocupación por [los] graves hechos de violencia” y “[r]econoc[ió] asimismo su responsabilidad, a través de los mecanismos internos y como parte de su deber de garantía, de asegurar la adecuada investigación de los mismos, para la individualización y localización de los responsables”. Informó también que “de acuerdo a [lo] inform[ado por] la Policía Nacional Civil, el mismo día de los hechos se hizo presente [en el] lugar personal del Laboratorio Técnico Científico de la División de Investigaciones de la Policía Nacional Civil, responsable del procesamiento de la escena del delito[, y que el] Coordinador de Actividades de la Región Central de la División de Protección a Víctimas y Testigos de la Policía Nacional Civil [verificó lo anterior y] se entrevistó con el señor Meléndez […] en el lugar”. Por último, manifestó que “los hechos ya se encuentran en conocimiento de la Fiscalía General de la República, institución que será la responsable de la investigación de los mismos, con el auxilio de la Policía Nacional Civil”.  </w:t>
      </w:r>
    </w:p>
  </w:footnote>
  <w:footnote w:id="8">
    <w:p w:rsidR="00AA49CF" w:rsidRDefault="00AA49CF" w:rsidP="00116C3C">
      <w:pPr>
        <w:pStyle w:val="FootnoteText"/>
        <w:spacing w:after="0"/>
        <w:rPr>
          <w:bCs/>
        </w:rPr>
      </w:pPr>
      <w:r>
        <w:rPr>
          <w:rStyle w:val="FootnoteReference"/>
        </w:rPr>
        <w:footnoteRef/>
      </w:r>
      <w:r>
        <w:t xml:space="preserve"> </w:t>
      </w:r>
      <w:r>
        <w:rPr>
          <w:i/>
        </w:rPr>
        <w:t xml:space="preserve">Cfr. </w:t>
      </w:r>
      <w:r w:rsidRPr="005C706C">
        <w:rPr>
          <w:bCs/>
          <w:i/>
        </w:rPr>
        <w:t>Asunto Fernández Ortega y otros</w:t>
      </w:r>
      <w:r>
        <w:rPr>
          <w:bCs/>
          <w:i/>
        </w:rPr>
        <w:t xml:space="preserve">. </w:t>
      </w:r>
      <w:r w:rsidRPr="005F27CD">
        <w:rPr>
          <w:bCs/>
        </w:rPr>
        <w:t>Medidas Provisionales respecto de México</w:t>
      </w:r>
      <w:r w:rsidRPr="005C706C">
        <w:rPr>
          <w:bCs/>
          <w:i/>
        </w:rPr>
        <w:t xml:space="preserve">. </w:t>
      </w:r>
      <w:r w:rsidRPr="005C706C">
        <w:rPr>
          <w:bCs/>
        </w:rPr>
        <w:t>Resolución de la Corte de 23 de noviembre de 2010</w:t>
      </w:r>
      <w:r>
        <w:rPr>
          <w:bCs/>
        </w:rPr>
        <w:t>, Considerando 8.</w:t>
      </w:r>
    </w:p>
    <w:p w:rsidR="00AA49CF" w:rsidRPr="005C706C" w:rsidRDefault="00AA49CF" w:rsidP="00116C3C">
      <w:pPr>
        <w:pStyle w:val="FootnoteText"/>
        <w:spacing w:after="0"/>
      </w:pPr>
    </w:p>
  </w:footnote>
  <w:footnote w:id="9">
    <w:p w:rsidR="00AA49CF" w:rsidRDefault="00AA49CF" w:rsidP="00116C3C">
      <w:pPr>
        <w:pStyle w:val="FootnoteText"/>
        <w:spacing w:after="0"/>
        <w:rPr>
          <w:bCs/>
        </w:rPr>
      </w:pPr>
      <w:r>
        <w:rPr>
          <w:rStyle w:val="FootnoteReference"/>
        </w:rPr>
        <w:footnoteRef/>
      </w:r>
      <w:r>
        <w:t xml:space="preserve"> </w:t>
      </w:r>
      <w:r w:rsidRPr="0081639C">
        <w:rPr>
          <w:bCs/>
          <w:i/>
        </w:rPr>
        <w:t>Asunto Adrián Meléndez Quijano y otros</w:t>
      </w:r>
      <w:r>
        <w:rPr>
          <w:bCs/>
          <w:i/>
        </w:rPr>
        <w:t xml:space="preserve">. </w:t>
      </w:r>
      <w:r w:rsidRPr="005F27CD">
        <w:rPr>
          <w:bCs/>
        </w:rPr>
        <w:t>Medidas Provisionales respecto de El Salvador</w:t>
      </w:r>
      <w:r w:rsidRPr="0081639C">
        <w:rPr>
          <w:bCs/>
          <w:i/>
        </w:rPr>
        <w:t>.</w:t>
      </w:r>
      <w:r w:rsidRPr="0081639C">
        <w:rPr>
          <w:bCs/>
        </w:rPr>
        <w:t xml:space="preserve"> Resolución de la Corte de 12 de mayo de 2007</w:t>
      </w:r>
      <w:r>
        <w:rPr>
          <w:bCs/>
        </w:rPr>
        <w:t>, Visto 2.</w:t>
      </w:r>
    </w:p>
    <w:p w:rsidR="00AA49CF" w:rsidRPr="0081639C" w:rsidRDefault="00AA49CF" w:rsidP="00116C3C">
      <w:pPr>
        <w:pStyle w:val="FootnoteText"/>
        <w:spacing w:after="0"/>
      </w:pPr>
      <w:r>
        <w:rPr>
          <w:bCs/>
        </w:rPr>
        <w:t xml:space="preserve"> </w:t>
      </w:r>
    </w:p>
  </w:footnote>
  <w:footnote w:id="10">
    <w:p w:rsidR="00AA49CF" w:rsidRDefault="00AA49CF" w:rsidP="00116C3C">
      <w:pPr>
        <w:pStyle w:val="FootnoteText"/>
        <w:spacing w:after="0"/>
        <w:rPr>
          <w:bCs/>
          <w:lang w:val="es-CR"/>
        </w:rPr>
      </w:pPr>
      <w:r>
        <w:rPr>
          <w:rStyle w:val="FootnoteReference"/>
        </w:rPr>
        <w:footnoteRef/>
      </w:r>
      <w:r>
        <w:t xml:space="preserve"> </w:t>
      </w:r>
      <w:r>
        <w:rPr>
          <w:i/>
        </w:rPr>
        <w:t xml:space="preserve">Cfr., mutatis mutandi, </w:t>
      </w:r>
      <w:r>
        <w:rPr>
          <w:i/>
          <w:iCs/>
        </w:rPr>
        <w:t xml:space="preserve">Caso Velásquez Rodríguez. </w:t>
      </w:r>
      <w:r w:rsidRPr="005F27CD">
        <w:t>Medidas Provisionales respecto de Honduras</w:t>
      </w:r>
      <w:r w:rsidRPr="0075654E">
        <w:rPr>
          <w:i/>
        </w:rPr>
        <w:t>.</w:t>
      </w:r>
      <w:r>
        <w:t xml:space="preserve"> Resolución de la Corte de 15 de enero de 1988, Considerando 3, y </w:t>
      </w:r>
      <w:r w:rsidRPr="005F27CD">
        <w:rPr>
          <w:bCs/>
          <w:i/>
        </w:rPr>
        <w:t>Asunto B</w:t>
      </w:r>
      <w:r>
        <w:rPr>
          <w:bCs/>
        </w:rPr>
        <w:t>. Medidas Provisionales respecto de El Salvador. Resoluci</w:t>
      </w:r>
      <w:r>
        <w:rPr>
          <w:bCs/>
          <w:lang w:val="es-CR"/>
        </w:rPr>
        <w:t>ón de la Corte de 19 de agosto de 2013, Considerando 15.</w:t>
      </w:r>
    </w:p>
    <w:p w:rsidR="00AA49CF" w:rsidRPr="00E41164" w:rsidRDefault="00AA49CF" w:rsidP="00116C3C">
      <w:pPr>
        <w:pStyle w:val="FootnoteText"/>
        <w:spacing w:after="0"/>
        <w:rPr>
          <w:lang w:val="es-CR"/>
        </w:rPr>
      </w:pPr>
    </w:p>
  </w:footnote>
  <w:footnote w:id="11">
    <w:p w:rsidR="00AA49CF" w:rsidRDefault="00AA49CF" w:rsidP="006F5228">
      <w:pPr>
        <w:pStyle w:val="FootnoteText"/>
        <w:spacing w:after="0"/>
      </w:pPr>
      <w:r>
        <w:rPr>
          <w:rStyle w:val="FootnoteReference"/>
        </w:rPr>
        <w:footnoteRef/>
      </w:r>
      <w:r>
        <w:t xml:space="preserve"> Las ocurridas a las 17:30 horas del 16 de julio de 2013 respecto a la señora Gloria de Meléndez que cuando ingresaba en su casa de habitación en San Salvador, junto con el personal de seguridad se percataron que en la entrada de la casa se encontraba un individuo sospechoso, quien tenía un arma.</w:t>
      </w:r>
    </w:p>
    <w:p w:rsidR="00AA49CF" w:rsidRPr="006351F4" w:rsidRDefault="00AA49CF" w:rsidP="006F5228">
      <w:pPr>
        <w:pStyle w:val="FootnoteText"/>
        <w:spacing w:after="0"/>
      </w:pPr>
    </w:p>
  </w:footnote>
  <w:footnote w:id="12">
    <w:p w:rsidR="00AA49CF" w:rsidRDefault="00AA49CF" w:rsidP="006F5228">
      <w:pPr>
        <w:pStyle w:val="FootnoteText"/>
        <w:spacing w:after="0"/>
      </w:pPr>
      <w:r>
        <w:rPr>
          <w:rStyle w:val="FootnoteReference"/>
        </w:rPr>
        <w:footnoteRef/>
      </w:r>
      <w:r>
        <w:t xml:space="preserve"> Al respecto, señaló que el Estado en su informe omitió referirse a que se han presentado denuncias contra algunos funcionarios judiciales para investigar la negligencia e ilegalidad en los trámites iniciados por los beneficiarios sobre los hechos señalados, en la mayoría de las cuales los fiscales han solicitado el sobreseimiento.</w:t>
      </w:r>
    </w:p>
    <w:p w:rsidR="00AA49CF" w:rsidRPr="001E1E61" w:rsidRDefault="00AA49CF" w:rsidP="0094198B">
      <w:pPr>
        <w:pStyle w:val="FootnoteText"/>
      </w:pPr>
    </w:p>
  </w:footnote>
  <w:footnote w:id="13">
    <w:p w:rsidR="00AA49CF" w:rsidRDefault="00AA49CF" w:rsidP="006F5228">
      <w:pPr>
        <w:pStyle w:val="FootnoteText"/>
        <w:spacing w:after="0"/>
      </w:pPr>
      <w:r>
        <w:rPr>
          <w:rStyle w:val="FootnoteReference"/>
        </w:rPr>
        <w:footnoteRef/>
      </w:r>
      <w:r>
        <w:t xml:space="preserve"> Según el Estado en la última reunión interinstitucional el señor Meléndez Quijano planteó aspectos no vinculados a la implementación de las medidas, relacionados con su actividad laboral, requerimiento de nombramiento en un cargo de conformidad a su grado y antigüedad, becas o designación como agregado militar, entre otras situaciones que de una manera forzada pretendió vincular con su supuesta situación de inseguridad personal.</w:t>
      </w:r>
    </w:p>
    <w:p w:rsidR="00AA49CF" w:rsidRPr="005336F5" w:rsidRDefault="00AA49CF" w:rsidP="006F5228">
      <w:pPr>
        <w:pStyle w:val="FootnoteText"/>
        <w:spacing w:after="0"/>
      </w:pPr>
    </w:p>
  </w:footnote>
  <w:footnote w:id="14">
    <w:p w:rsidR="00AA49CF" w:rsidRDefault="00AA49CF" w:rsidP="00B232C9">
      <w:pPr>
        <w:pStyle w:val="FootnoteText"/>
        <w:spacing w:after="0"/>
        <w:rPr>
          <w:lang w:val="es-ES"/>
        </w:rPr>
      </w:pPr>
      <w:r>
        <w:rPr>
          <w:rStyle w:val="FootnoteReference"/>
        </w:rPr>
        <w:footnoteRef/>
      </w:r>
      <w:r>
        <w:t xml:space="preserve"> </w:t>
      </w:r>
      <w:r w:rsidRPr="00A04C79">
        <w:rPr>
          <w:i/>
        </w:rPr>
        <w:t>Cfr. Asunto Pilar Noriega García y otros</w:t>
      </w:r>
      <w:r w:rsidRPr="00A04C79">
        <w:t xml:space="preserve">. </w:t>
      </w:r>
      <w:r w:rsidRPr="004B79F1">
        <w:t>Medidas Provisionales respecto de México.</w:t>
      </w:r>
      <w:r w:rsidRPr="00A04C79">
        <w:t xml:space="preserve"> </w:t>
      </w:r>
      <w:r w:rsidRPr="00A04C79">
        <w:rPr>
          <w:bCs/>
          <w:color w:val="000000"/>
        </w:rPr>
        <w:t xml:space="preserve">Resolución de la Corte </w:t>
      </w:r>
      <w:r>
        <w:t>de 6 de febrero de 2008, C</w:t>
      </w:r>
      <w:r w:rsidRPr="00A04C79">
        <w:t>onsiderando 14, y</w:t>
      </w:r>
      <w:r w:rsidRPr="00A04C79">
        <w:rPr>
          <w:i/>
          <w:lang w:val="es-ES"/>
        </w:rPr>
        <w:t xml:space="preserve"> </w:t>
      </w:r>
      <w:r w:rsidRPr="00A04C79">
        <w:rPr>
          <w:i/>
        </w:rPr>
        <w:t>Asunto Álvarez y otros</w:t>
      </w:r>
      <w:r w:rsidRPr="005F27CD">
        <w:t>, Medidas Provisionales respecto</w:t>
      </w:r>
      <w:r>
        <w:t xml:space="preserve"> </w:t>
      </w:r>
      <w:r w:rsidRPr="005F27CD">
        <w:t>de Colombia</w:t>
      </w:r>
      <w:r>
        <w:t xml:space="preserve">. Resolución de la Corte de 22 de mayo de </w:t>
      </w:r>
      <w:proofErr w:type="gramStart"/>
      <w:r>
        <w:t xml:space="preserve">2013 </w:t>
      </w:r>
      <w:r w:rsidRPr="00A04C79">
        <w:t>,</w:t>
      </w:r>
      <w:proofErr w:type="gramEnd"/>
      <w:r w:rsidRPr="00A04C79">
        <w:t xml:space="preserve"> Considerando </w:t>
      </w:r>
      <w:r>
        <w:t>103</w:t>
      </w:r>
      <w:r w:rsidRPr="00A04C79">
        <w:rPr>
          <w:lang w:val="es-ES"/>
        </w:rPr>
        <w:t>.</w:t>
      </w:r>
    </w:p>
    <w:p w:rsidR="00AA49CF" w:rsidRDefault="00AA49CF" w:rsidP="00B232C9">
      <w:pPr>
        <w:pStyle w:val="FootnoteText"/>
        <w:spacing w:after="0"/>
      </w:pPr>
      <w:r w:rsidRPr="00A04C79">
        <w:t xml:space="preserve">  </w:t>
      </w:r>
    </w:p>
  </w:footnote>
  <w:footnote w:id="15">
    <w:p w:rsidR="00AA49CF" w:rsidRDefault="00AA49CF" w:rsidP="00B232C9">
      <w:pPr>
        <w:pStyle w:val="FootnoteText"/>
        <w:spacing w:after="0"/>
      </w:pPr>
      <w:r>
        <w:rPr>
          <w:rStyle w:val="FootnoteReference"/>
        </w:rPr>
        <w:footnoteRef/>
      </w:r>
      <w:r>
        <w:t xml:space="preserve"> </w:t>
      </w:r>
      <w:r w:rsidRPr="00A04C79">
        <w:rPr>
          <w:i/>
        </w:rPr>
        <w:t>Cfr.</w:t>
      </w:r>
      <w:r w:rsidRPr="00A04C79">
        <w:t xml:space="preserve"> </w:t>
      </w:r>
      <w:r w:rsidRPr="00A04C79">
        <w:rPr>
          <w:i/>
        </w:rPr>
        <w:t>Caso Carpio Nicolle y otros, supra,</w:t>
      </w:r>
      <w:r w:rsidRPr="00A04C79">
        <w:t xml:space="preserve"> Considerando</w:t>
      </w:r>
      <w:r>
        <w:t>24</w:t>
      </w:r>
      <w:r w:rsidRPr="00A04C79">
        <w:t xml:space="preserve">, y </w:t>
      </w:r>
      <w:r w:rsidRPr="00A04C79">
        <w:rPr>
          <w:i/>
        </w:rPr>
        <w:t>Asunto Álvarez y otros, supra,</w:t>
      </w:r>
      <w:r w:rsidRPr="00A04C79">
        <w:t xml:space="preserve"> Considerando</w:t>
      </w:r>
      <w:r>
        <w:t>103</w:t>
      </w:r>
      <w:r w:rsidRPr="00A04C79">
        <w:rPr>
          <w:lang w:val="es-ES"/>
        </w:rPr>
        <w:t>.</w:t>
      </w:r>
      <w:r w:rsidRPr="00A04C79">
        <w:t xml:space="preserve">  </w:t>
      </w:r>
    </w:p>
    <w:p w:rsidR="00AA49CF" w:rsidRDefault="00AA49CF" w:rsidP="00B232C9">
      <w:pPr>
        <w:pStyle w:val="FootnoteText"/>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CF" w:rsidRDefault="00D3287B">
    <w:pPr>
      <w:pStyle w:val="Header"/>
      <w:jc w:val="center"/>
    </w:pPr>
    <w:fldSimple w:instr=" PAGE   \* MERGEFORMAT ">
      <w:r w:rsidR="00006212">
        <w:rPr>
          <w:noProof/>
        </w:rPr>
        <w:t>2</w:t>
      </w:r>
    </w:fldSimple>
  </w:p>
  <w:p w:rsidR="00AA49CF" w:rsidRDefault="00AA49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CF" w:rsidRDefault="00AA49CF">
    <w:pPr>
      <w:pStyle w:val="Header"/>
      <w:jc w:val="center"/>
    </w:pPr>
  </w:p>
  <w:p w:rsidR="00AA49CF" w:rsidRDefault="00AA49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960"/>
    <w:multiLevelType w:val="hybridMultilevel"/>
    <w:tmpl w:val="0B88AA00"/>
    <w:lvl w:ilvl="0" w:tplc="7152D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F70E4"/>
    <w:multiLevelType w:val="hybridMultilevel"/>
    <w:tmpl w:val="233651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EC605F7"/>
    <w:multiLevelType w:val="hybridMultilevel"/>
    <w:tmpl w:val="553EA674"/>
    <w:lvl w:ilvl="0" w:tplc="8B0CCF74">
      <w:start w:val="29"/>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24A57D5"/>
    <w:multiLevelType w:val="hybridMultilevel"/>
    <w:tmpl w:val="7DB05312"/>
    <w:lvl w:ilvl="0" w:tplc="44DACDD2">
      <w:start w:val="2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5562ADC"/>
    <w:multiLevelType w:val="hybridMultilevel"/>
    <w:tmpl w:val="9708B4EE"/>
    <w:lvl w:ilvl="0" w:tplc="E494C326">
      <w:start w:val="4"/>
      <w:numFmt w:val="decimal"/>
      <w:lvlText w:val="%1."/>
      <w:lvlJc w:val="left"/>
      <w:pPr>
        <w:tabs>
          <w:tab w:val="num" w:pos="720"/>
        </w:tabs>
        <w:ind w:left="720" w:hanging="720"/>
      </w:pPr>
      <w:rPr>
        <w:rFonts w:hint="default"/>
        <w:b w:val="0"/>
        <w:strike w:val="0"/>
      </w:rPr>
    </w:lvl>
    <w:lvl w:ilvl="1" w:tplc="700261C8">
      <w:start w:val="1"/>
      <w:numFmt w:val="lowerLetter"/>
      <w:lvlText w:val="%2)"/>
      <w:lvlJc w:val="left"/>
      <w:pPr>
        <w:tabs>
          <w:tab w:val="num" w:pos="1080"/>
        </w:tabs>
        <w:ind w:left="720" w:firstLine="0"/>
      </w:pPr>
      <w:rPr>
        <w:rFonts w:hint="default"/>
      </w:rPr>
    </w:lvl>
    <w:lvl w:ilvl="2" w:tplc="FFFFFFFF">
      <w:start w:val="1"/>
      <w:numFmt w:val="lowerRoman"/>
      <w:lvlText w:val="%3."/>
      <w:lvlJc w:val="right"/>
      <w:pPr>
        <w:tabs>
          <w:tab w:val="num" w:pos="1980"/>
        </w:tabs>
        <w:ind w:left="1980" w:hanging="360"/>
      </w:pPr>
    </w:lvl>
    <w:lvl w:ilvl="3" w:tplc="FFFFFFFF">
      <w:start w:val="1"/>
      <w:numFmt w:val="lowerLetter"/>
      <w:lvlText w:val="%4."/>
      <w:lvlJc w:val="left"/>
      <w:pPr>
        <w:tabs>
          <w:tab w:val="num" w:pos="360"/>
        </w:tabs>
        <w:ind w:left="360" w:hanging="360"/>
      </w:pPr>
      <w:rPr>
        <w:rFonts w:hint="default"/>
      </w:r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889A1F0E">
      <w:start w:val="1"/>
      <w:numFmt w:val="decimal"/>
      <w:lvlText w:val="%7."/>
      <w:lvlJc w:val="left"/>
      <w:pPr>
        <w:tabs>
          <w:tab w:val="num" w:pos="4680"/>
        </w:tabs>
        <w:ind w:left="4680" w:hanging="360"/>
      </w:pPr>
      <w:rPr>
        <w:b w:val="0"/>
        <w:strike w:val="0"/>
      </w:r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nsid w:val="15E52FA2"/>
    <w:multiLevelType w:val="hybridMultilevel"/>
    <w:tmpl w:val="ED5435E8"/>
    <w:lvl w:ilvl="0" w:tplc="514438D6">
      <w:start w:val="1"/>
      <w:numFmt w:val="decimal"/>
      <w:lvlText w:val="%1."/>
      <w:lvlJc w:val="left"/>
      <w:pPr>
        <w:tabs>
          <w:tab w:val="num" w:pos="680"/>
        </w:tabs>
        <w:ind w:left="0" w:firstLine="0"/>
      </w:pPr>
      <w:rPr>
        <w:rFonts w:hint="default"/>
        <w:b w:val="0"/>
        <w:i w:val="0"/>
        <w:strike w:val="0"/>
        <w:color w:val="auto"/>
        <w:sz w:val="20"/>
        <w:szCs w:val="20"/>
      </w:rPr>
    </w:lvl>
    <w:lvl w:ilvl="1" w:tplc="00190409">
      <w:start w:val="1"/>
      <w:numFmt w:val="lowerLetter"/>
      <w:lvlText w:val="%2."/>
      <w:lvlJc w:val="left"/>
      <w:pPr>
        <w:tabs>
          <w:tab w:val="num" w:pos="1440"/>
        </w:tabs>
        <w:ind w:left="1440" w:hanging="360"/>
      </w:pPr>
    </w:lvl>
    <w:lvl w:ilvl="2" w:tplc="C35646FE">
      <w:start w:val="1"/>
      <w:numFmt w:val="lowerRoman"/>
      <w:lvlText w:val="%3)"/>
      <w:lvlJc w:val="left"/>
      <w:pPr>
        <w:tabs>
          <w:tab w:val="num" w:pos="2700"/>
        </w:tabs>
        <w:ind w:left="2700" w:hanging="72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73B3CAD"/>
    <w:multiLevelType w:val="hybridMultilevel"/>
    <w:tmpl w:val="7EDAF8CC"/>
    <w:lvl w:ilvl="0" w:tplc="140A000F">
      <w:start w:val="2"/>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2CB602D"/>
    <w:multiLevelType w:val="hybridMultilevel"/>
    <w:tmpl w:val="C922CC28"/>
    <w:lvl w:ilvl="0" w:tplc="462672C4">
      <w:start w:val="1"/>
      <w:numFmt w:val="decimal"/>
      <w:lvlText w:val="%1."/>
      <w:lvlJc w:val="left"/>
      <w:pPr>
        <w:ind w:left="1080" w:hanging="720"/>
      </w:pPr>
      <w:rPr>
        <w:rFonts w:ascii="Verdana" w:eastAsia="MS Mincho" w:hAnsi="Verdana"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79D4984"/>
    <w:multiLevelType w:val="hybridMultilevel"/>
    <w:tmpl w:val="CDA007C4"/>
    <w:lvl w:ilvl="0" w:tplc="CC7422B4">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B137569"/>
    <w:multiLevelType w:val="hybridMultilevel"/>
    <w:tmpl w:val="14DA3610"/>
    <w:lvl w:ilvl="0" w:tplc="1376DB1A">
      <w:start w:val="1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A3B7185"/>
    <w:multiLevelType w:val="hybridMultilevel"/>
    <w:tmpl w:val="ABD23A1A"/>
    <w:lvl w:ilvl="0" w:tplc="B72C8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0D0138"/>
    <w:multiLevelType w:val="hybridMultilevel"/>
    <w:tmpl w:val="8C8A1C8E"/>
    <w:lvl w:ilvl="0" w:tplc="838046A4">
      <w:start w:val="1"/>
      <w:numFmt w:val="decimal"/>
      <w:lvlText w:val="%1."/>
      <w:lvlJc w:val="left"/>
      <w:pPr>
        <w:tabs>
          <w:tab w:val="num" w:pos="644"/>
        </w:tabs>
        <w:ind w:left="644" w:hanging="360"/>
      </w:pPr>
      <w:rPr>
        <w:rFonts w:ascii="Verdana" w:hAnsi="Verdana" w:hint="default"/>
        <w:b w:val="0"/>
        <w:i w:val="0"/>
        <w:color w:val="auto"/>
        <w:sz w:val="20"/>
        <w:szCs w:val="20"/>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75313376"/>
    <w:multiLevelType w:val="hybridMultilevel"/>
    <w:tmpl w:val="AB546A10"/>
    <w:lvl w:ilvl="0" w:tplc="3FFAA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E24336"/>
    <w:multiLevelType w:val="hybridMultilevel"/>
    <w:tmpl w:val="0D5CDE6E"/>
    <w:lvl w:ilvl="0" w:tplc="A462B298">
      <w:start w:val="1"/>
      <w:numFmt w:val="decimal"/>
      <w:lvlText w:val="%1."/>
      <w:lvlJc w:val="left"/>
      <w:pPr>
        <w:ind w:left="990" w:hanging="720"/>
      </w:pPr>
      <w:rPr>
        <w:rFonts w:ascii="Verdana" w:eastAsia="MS Mincho" w:hAnsi="Verdana" w:cs="Times New Roman"/>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13"/>
  </w:num>
  <w:num w:numId="5">
    <w:abstractNumId w:val="7"/>
  </w:num>
  <w:num w:numId="6">
    <w:abstractNumId w:val="12"/>
  </w:num>
  <w:num w:numId="7">
    <w:abstractNumId w:val="10"/>
  </w:num>
  <w:num w:numId="8">
    <w:abstractNumId w:val="0"/>
  </w:num>
  <w:num w:numId="9">
    <w:abstractNumId w:val="4"/>
  </w:num>
  <w:num w:numId="10">
    <w:abstractNumId w:val="5"/>
  </w:num>
  <w:num w:numId="11">
    <w:abstractNumId w:val="8"/>
  </w:num>
  <w:num w:numId="12">
    <w:abstractNumId w:val="3"/>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83E66"/>
    <w:rsid w:val="000033CE"/>
    <w:rsid w:val="00004F70"/>
    <w:rsid w:val="00006212"/>
    <w:rsid w:val="00007516"/>
    <w:rsid w:val="00020083"/>
    <w:rsid w:val="00031A24"/>
    <w:rsid w:val="00032A4C"/>
    <w:rsid w:val="00040C33"/>
    <w:rsid w:val="00043880"/>
    <w:rsid w:val="000557C7"/>
    <w:rsid w:val="00070AFF"/>
    <w:rsid w:val="00074F48"/>
    <w:rsid w:val="00080D5A"/>
    <w:rsid w:val="00083E66"/>
    <w:rsid w:val="00085997"/>
    <w:rsid w:val="00085F2D"/>
    <w:rsid w:val="00087CAC"/>
    <w:rsid w:val="000924AB"/>
    <w:rsid w:val="000B0CFD"/>
    <w:rsid w:val="000B403E"/>
    <w:rsid w:val="000B406E"/>
    <w:rsid w:val="000B71D8"/>
    <w:rsid w:val="000C0606"/>
    <w:rsid w:val="000D1F2E"/>
    <w:rsid w:val="000E2097"/>
    <w:rsid w:val="00106F55"/>
    <w:rsid w:val="00107375"/>
    <w:rsid w:val="00116C3C"/>
    <w:rsid w:val="001174CF"/>
    <w:rsid w:val="00124AAB"/>
    <w:rsid w:val="00126E1D"/>
    <w:rsid w:val="0016058E"/>
    <w:rsid w:val="00165DB5"/>
    <w:rsid w:val="00172145"/>
    <w:rsid w:val="00190916"/>
    <w:rsid w:val="001B51A2"/>
    <w:rsid w:val="001E1E61"/>
    <w:rsid w:val="001E53BA"/>
    <w:rsid w:val="0020003A"/>
    <w:rsid w:val="00204819"/>
    <w:rsid w:val="00213821"/>
    <w:rsid w:val="002316F9"/>
    <w:rsid w:val="002351AF"/>
    <w:rsid w:val="00247F20"/>
    <w:rsid w:val="002645B3"/>
    <w:rsid w:val="00271EC2"/>
    <w:rsid w:val="00276650"/>
    <w:rsid w:val="00282DCC"/>
    <w:rsid w:val="00284595"/>
    <w:rsid w:val="0029779F"/>
    <w:rsid w:val="002C3071"/>
    <w:rsid w:val="002C7FDC"/>
    <w:rsid w:val="002E1227"/>
    <w:rsid w:val="002F6035"/>
    <w:rsid w:val="00305583"/>
    <w:rsid w:val="00312D1D"/>
    <w:rsid w:val="00314EE7"/>
    <w:rsid w:val="003152FB"/>
    <w:rsid w:val="003169A7"/>
    <w:rsid w:val="003323D0"/>
    <w:rsid w:val="00334001"/>
    <w:rsid w:val="00334757"/>
    <w:rsid w:val="003476D8"/>
    <w:rsid w:val="00356BCB"/>
    <w:rsid w:val="0035712E"/>
    <w:rsid w:val="00360CD0"/>
    <w:rsid w:val="0036779F"/>
    <w:rsid w:val="003710BB"/>
    <w:rsid w:val="00377182"/>
    <w:rsid w:val="003901F9"/>
    <w:rsid w:val="00395E51"/>
    <w:rsid w:val="003A5AEB"/>
    <w:rsid w:val="003C6B15"/>
    <w:rsid w:val="003E0C77"/>
    <w:rsid w:val="00406BE6"/>
    <w:rsid w:val="00417599"/>
    <w:rsid w:val="00441DE3"/>
    <w:rsid w:val="00442E73"/>
    <w:rsid w:val="004448A6"/>
    <w:rsid w:val="00452C0F"/>
    <w:rsid w:val="00462C2D"/>
    <w:rsid w:val="00474E11"/>
    <w:rsid w:val="00476E1E"/>
    <w:rsid w:val="00480408"/>
    <w:rsid w:val="004B3C3C"/>
    <w:rsid w:val="004B79F1"/>
    <w:rsid w:val="004C10D2"/>
    <w:rsid w:val="004C3344"/>
    <w:rsid w:val="004C3C25"/>
    <w:rsid w:val="004C3DAD"/>
    <w:rsid w:val="004D0D96"/>
    <w:rsid w:val="004D7138"/>
    <w:rsid w:val="004E6CDE"/>
    <w:rsid w:val="004F542B"/>
    <w:rsid w:val="005110AA"/>
    <w:rsid w:val="005201DF"/>
    <w:rsid w:val="00531337"/>
    <w:rsid w:val="005336F5"/>
    <w:rsid w:val="0053540C"/>
    <w:rsid w:val="005425F2"/>
    <w:rsid w:val="005449FE"/>
    <w:rsid w:val="00552CC2"/>
    <w:rsid w:val="00566CA5"/>
    <w:rsid w:val="00571F18"/>
    <w:rsid w:val="00580519"/>
    <w:rsid w:val="00582DDD"/>
    <w:rsid w:val="005862A9"/>
    <w:rsid w:val="00586DBC"/>
    <w:rsid w:val="005B1076"/>
    <w:rsid w:val="005B1881"/>
    <w:rsid w:val="005B6A94"/>
    <w:rsid w:val="005D2DD6"/>
    <w:rsid w:val="005F27CD"/>
    <w:rsid w:val="005F2C8B"/>
    <w:rsid w:val="005F3DE8"/>
    <w:rsid w:val="00605889"/>
    <w:rsid w:val="00605DAC"/>
    <w:rsid w:val="006065FE"/>
    <w:rsid w:val="00610687"/>
    <w:rsid w:val="00633D06"/>
    <w:rsid w:val="00634FBB"/>
    <w:rsid w:val="006351F4"/>
    <w:rsid w:val="00635C8F"/>
    <w:rsid w:val="006453F1"/>
    <w:rsid w:val="006464E1"/>
    <w:rsid w:val="00665B43"/>
    <w:rsid w:val="0067271D"/>
    <w:rsid w:val="00672D3A"/>
    <w:rsid w:val="006804DC"/>
    <w:rsid w:val="00694C04"/>
    <w:rsid w:val="006A30E5"/>
    <w:rsid w:val="006A60E8"/>
    <w:rsid w:val="006A6306"/>
    <w:rsid w:val="006B5F49"/>
    <w:rsid w:val="006C6D74"/>
    <w:rsid w:val="006E7E08"/>
    <w:rsid w:val="006F5228"/>
    <w:rsid w:val="00702076"/>
    <w:rsid w:val="00705D3B"/>
    <w:rsid w:val="00713506"/>
    <w:rsid w:val="00714CBC"/>
    <w:rsid w:val="0071765C"/>
    <w:rsid w:val="00722AE9"/>
    <w:rsid w:val="00724F80"/>
    <w:rsid w:val="007472AE"/>
    <w:rsid w:val="0075654E"/>
    <w:rsid w:val="00756D94"/>
    <w:rsid w:val="007635C8"/>
    <w:rsid w:val="00767A10"/>
    <w:rsid w:val="00773380"/>
    <w:rsid w:val="00782445"/>
    <w:rsid w:val="007A6DD9"/>
    <w:rsid w:val="007B5702"/>
    <w:rsid w:val="007B61AB"/>
    <w:rsid w:val="007D2F1F"/>
    <w:rsid w:val="007E2F60"/>
    <w:rsid w:val="007E38FE"/>
    <w:rsid w:val="007E5CA6"/>
    <w:rsid w:val="007F6210"/>
    <w:rsid w:val="007F677D"/>
    <w:rsid w:val="00805FB5"/>
    <w:rsid w:val="008220A6"/>
    <w:rsid w:val="008228DD"/>
    <w:rsid w:val="0082612A"/>
    <w:rsid w:val="008346F5"/>
    <w:rsid w:val="00843E36"/>
    <w:rsid w:val="00847EFC"/>
    <w:rsid w:val="00871CB8"/>
    <w:rsid w:val="00883966"/>
    <w:rsid w:val="008840B5"/>
    <w:rsid w:val="008856D1"/>
    <w:rsid w:val="00895C8B"/>
    <w:rsid w:val="008B4565"/>
    <w:rsid w:val="008B47A8"/>
    <w:rsid w:val="008C18C7"/>
    <w:rsid w:val="008C2977"/>
    <w:rsid w:val="008C352E"/>
    <w:rsid w:val="008D1B0C"/>
    <w:rsid w:val="009002F4"/>
    <w:rsid w:val="00917BDE"/>
    <w:rsid w:val="009207EA"/>
    <w:rsid w:val="00927936"/>
    <w:rsid w:val="0094164A"/>
    <w:rsid w:val="0094198B"/>
    <w:rsid w:val="00951461"/>
    <w:rsid w:val="00953876"/>
    <w:rsid w:val="00967594"/>
    <w:rsid w:val="00995243"/>
    <w:rsid w:val="009A5A81"/>
    <w:rsid w:val="009B6065"/>
    <w:rsid w:val="009C0EBC"/>
    <w:rsid w:val="009C2221"/>
    <w:rsid w:val="009C2869"/>
    <w:rsid w:val="009D27FC"/>
    <w:rsid w:val="009E029C"/>
    <w:rsid w:val="009F0D40"/>
    <w:rsid w:val="00A014AD"/>
    <w:rsid w:val="00A0325C"/>
    <w:rsid w:val="00A174A6"/>
    <w:rsid w:val="00A3574D"/>
    <w:rsid w:val="00A36294"/>
    <w:rsid w:val="00A50DB2"/>
    <w:rsid w:val="00A92ED5"/>
    <w:rsid w:val="00AA3445"/>
    <w:rsid w:val="00AA46AB"/>
    <w:rsid w:val="00AA49CF"/>
    <w:rsid w:val="00AA687A"/>
    <w:rsid w:val="00AB5F57"/>
    <w:rsid w:val="00AC1C78"/>
    <w:rsid w:val="00AC7A59"/>
    <w:rsid w:val="00AC7DBB"/>
    <w:rsid w:val="00AD45E8"/>
    <w:rsid w:val="00AE06D9"/>
    <w:rsid w:val="00AE0E8A"/>
    <w:rsid w:val="00AE179E"/>
    <w:rsid w:val="00AE58EF"/>
    <w:rsid w:val="00AE6928"/>
    <w:rsid w:val="00B06013"/>
    <w:rsid w:val="00B06E15"/>
    <w:rsid w:val="00B215F1"/>
    <w:rsid w:val="00B232C9"/>
    <w:rsid w:val="00B262BE"/>
    <w:rsid w:val="00B37758"/>
    <w:rsid w:val="00B465DB"/>
    <w:rsid w:val="00B55502"/>
    <w:rsid w:val="00B7017E"/>
    <w:rsid w:val="00B804C7"/>
    <w:rsid w:val="00BA3B32"/>
    <w:rsid w:val="00BB1FA2"/>
    <w:rsid w:val="00BE06AD"/>
    <w:rsid w:val="00BE2AFC"/>
    <w:rsid w:val="00BE5C26"/>
    <w:rsid w:val="00BE5CC9"/>
    <w:rsid w:val="00BE5D1C"/>
    <w:rsid w:val="00BE6BE0"/>
    <w:rsid w:val="00BF7E4F"/>
    <w:rsid w:val="00C10DBE"/>
    <w:rsid w:val="00C1450D"/>
    <w:rsid w:val="00C34802"/>
    <w:rsid w:val="00C3594D"/>
    <w:rsid w:val="00C35BA8"/>
    <w:rsid w:val="00C414A5"/>
    <w:rsid w:val="00C44F0A"/>
    <w:rsid w:val="00C605DD"/>
    <w:rsid w:val="00C7032A"/>
    <w:rsid w:val="00C92668"/>
    <w:rsid w:val="00CA19DD"/>
    <w:rsid w:val="00CA2CEE"/>
    <w:rsid w:val="00CC343B"/>
    <w:rsid w:val="00D01164"/>
    <w:rsid w:val="00D10B93"/>
    <w:rsid w:val="00D3287B"/>
    <w:rsid w:val="00D334CC"/>
    <w:rsid w:val="00D35B76"/>
    <w:rsid w:val="00D60B86"/>
    <w:rsid w:val="00D67EB5"/>
    <w:rsid w:val="00D82F37"/>
    <w:rsid w:val="00D857B3"/>
    <w:rsid w:val="00D967B3"/>
    <w:rsid w:val="00DA1E39"/>
    <w:rsid w:val="00DB399C"/>
    <w:rsid w:val="00DB63F8"/>
    <w:rsid w:val="00DB6C60"/>
    <w:rsid w:val="00DE699D"/>
    <w:rsid w:val="00DF13AA"/>
    <w:rsid w:val="00DF67EA"/>
    <w:rsid w:val="00DF789F"/>
    <w:rsid w:val="00E0104C"/>
    <w:rsid w:val="00E01135"/>
    <w:rsid w:val="00E0662D"/>
    <w:rsid w:val="00E07310"/>
    <w:rsid w:val="00E1020F"/>
    <w:rsid w:val="00E10CF7"/>
    <w:rsid w:val="00E20F70"/>
    <w:rsid w:val="00E41164"/>
    <w:rsid w:val="00E41BEA"/>
    <w:rsid w:val="00E711E5"/>
    <w:rsid w:val="00E721DC"/>
    <w:rsid w:val="00E8174D"/>
    <w:rsid w:val="00E8446F"/>
    <w:rsid w:val="00E85DB6"/>
    <w:rsid w:val="00EB1D05"/>
    <w:rsid w:val="00EE5F7F"/>
    <w:rsid w:val="00EF05CD"/>
    <w:rsid w:val="00F00298"/>
    <w:rsid w:val="00F117F6"/>
    <w:rsid w:val="00F13EF8"/>
    <w:rsid w:val="00F44869"/>
    <w:rsid w:val="00F521C9"/>
    <w:rsid w:val="00F56B3B"/>
    <w:rsid w:val="00F6178F"/>
    <w:rsid w:val="00F657C2"/>
    <w:rsid w:val="00F716AA"/>
    <w:rsid w:val="00F727D1"/>
    <w:rsid w:val="00F85FBB"/>
    <w:rsid w:val="00FA6358"/>
    <w:rsid w:val="00FC3C01"/>
    <w:rsid w:val="00FD66F7"/>
    <w:rsid w:val="00FE47FB"/>
    <w:rsid w:val="00FF6F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66"/>
    <w:pPr>
      <w:spacing w:after="0" w:line="240" w:lineRule="auto"/>
    </w:pPr>
    <w:rPr>
      <w:rFonts w:ascii="Times New Roman" w:eastAsia="MS Mincho" w:hAnsi="Times New Roman" w:cs="Times New Roman"/>
      <w:sz w:val="24"/>
      <w:szCs w:val="24"/>
      <w:lang w:val="es-ES_tradnl"/>
    </w:rPr>
  </w:style>
  <w:style w:type="paragraph" w:styleId="Heading4">
    <w:name w:val="heading 4"/>
    <w:basedOn w:val="Normal"/>
    <w:next w:val="Normal"/>
    <w:link w:val="Heading4Char"/>
    <w:qFormat/>
    <w:rsid w:val="00083E66"/>
    <w:pPr>
      <w:keepNext/>
      <w:spacing w:before="240" w:after="60"/>
      <w:outlineLvl w:val="3"/>
    </w:pPr>
    <w:rPr>
      <w:rFonts w:eastAsia="Times"/>
      <w:b/>
      <w:sz w:val="28"/>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3E66"/>
    <w:rPr>
      <w:rFonts w:ascii="Times New Roman" w:eastAsia="Times" w:hAnsi="Times New Roman" w:cs="Times New Roman"/>
      <w:b/>
      <w:sz w:val="28"/>
      <w:szCs w:val="28"/>
      <w:lang w:val="es-ES_tradnl" w:eastAsia="es-ES"/>
    </w:rPr>
  </w:style>
  <w:style w:type="paragraph" w:styleId="FootnoteText">
    <w:name w:val="footnote text"/>
    <w:aliases w:val="Footnote Text Char Char Char Char Char,Footnote Text Char Char Char Char,Footnote reference,FA Fu,Footnote Text Char Char Char,Texto nota pie Car,FA Fu Car,FA Fu Car Car,Footnote Text Cha,FA Fußnotentext,FA Fuﬂnotentext,Ca,f1,FA Fu?notent"/>
    <w:basedOn w:val="Normal"/>
    <w:link w:val="FootnoteTextChar"/>
    <w:autoRedefine/>
    <w:qFormat/>
    <w:rsid w:val="00083E66"/>
    <w:pPr>
      <w:tabs>
        <w:tab w:val="left" w:pos="720"/>
      </w:tabs>
      <w:spacing w:after="120"/>
      <w:jc w:val="both"/>
    </w:pPr>
    <w:rPr>
      <w:rFonts w:ascii="Verdana" w:eastAsia="Calibri" w:hAnsi="Verdana"/>
      <w:sz w:val="16"/>
      <w:szCs w:val="16"/>
    </w:rPr>
  </w:style>
  <w:style w:type="character" w:customStyle="1" w:styleId="FootnoteTextChar">
    <w:name w:val="Footnote Text Char"/>
    <w:aliases w:val="Footnote Text Char Char Char Char Char Char,Footnote Text Char Char Char Char Char1,Footnote reference Char,FA Fu Char,Footnote Text Char Char Char Char1,Texto nota pie Car Char,FA Fu Car Char,FA Fu Car Car Char,Footnote Text Cha Char"/>
    <w:basedOn w:val="DefaultParagraphFont"/>
    <w:link w:val="FootnoteText"/>
    <w:rsid w:val="00083E66"/>
    <w:rPr>
      <w:rFonts w:ascii="Verdana" w:eastAsia="Calibri" w:hAnsi="Verdana" w:cs="Times New Roman"/>
      <w:sz w:val="16"/>
      <w:szCs w:val="16"/>
      <w:lang w:val="es-ES_tradnl"/>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rsid w:val="00083E66"/>
    <w:rPr>
      <w:rFonts w:ascii="Verdana" w:hAnsi="Verdana" w:cs="Times New Roman"/>
      <w:sz w:val="16"/>
      <w:vertAlign w:val="superscript"/>
    </w:rPr>
  </w:style>
  <w:style w:type="paragraph" w:styleId="BodyText3">
    <w:name w:val="Body Text 3"/>
    <w:basedOn w:val="Normal"/>
    <w:link w:val="BodyText3Char"/>
    <w:rsid w:val="00083E66"/>
    <w:pPr>
      <w:ind w:right="22"/>
      <w:jc w:val="center"/>
    </w:pPr>
    <w:rPr>
      <w:rFonts w:ascii="Garamond" w:eastAsia="Times" w:hAnsi="Garamond"/>
      <w:b/>
      <w:szCs w:val="20"/>
      <w:lang w:eastAsia="es-ES"/>
    </w:rPr>
  </w:style>
  <w:style w:type="character" w:customStyle="1" w:styleId="BodyText3Char">
    <w:name w:val="Body Text 3 Char"/>
    <w:basedOn w:val="DefaultParagraphFont"/>
    <w:link w:val="BodyText3"/>
    <w:rsid w:val="00083E66"/>
    <w:rPr>
      <w:rFonts w:ascii="Garamond" w:eastAsia="Times" w:hAnsi="Garamond" w:cs="Times New Roman"/>
      <w:b/>
      <w:sz w:val="24"/>
      <w:szCs w:val="20"/>
      <w:lang w:val="es-ES_tradnl" w:eastAsia="es-ES"/>
    </w:rPr>
  </w:style>
  <w:style w:type="paragraph" w:styleId="ListParagraph">
    <w:name w:val="List Paragraph"/>
    <w:basedOn w:val="Normal"/>
    <w:uiPriority w:val="34"/>
    <w:qFormat/>
    <w:rsid w:val="00083E66"/>
    <w:pPr>
      <w:ind w:left="720"/>
    </w:pPr>
  </w:style>
  <w:style w:type="character" w:styleId="CommentReference">
    <w:name w:val="annotation reference"/>
    <w:basedOn w:val="DefaultParagraphFont"/>
    <w:uiPriority w:val="99"/>
    <w:semiHidden/>
    <w:rsid w:val="00083E66"/>
    <w:rPr>
      <w:sz w:val="16"/>
      <w:szCs w:val="16"/>
    </w:rPr>
  </w:style>
  <w:style w:type="paragraph" w:styleId="CommentText">
    <w:name w:val="annotation text"/>
    <w:basedOn w:val="Normal"/>
    <w:link w:val="CommentTextChar"/>
    <w:uiPriority w:val="99"/>
    <w:semiHidden/>
    <w:rsid w:val="00083E66"/>
    <w:rPr>
      <w:sz w:val="20"/>
      <w:szCs w:val="20"/>
    </w:rPr>
  </w:style>
  <w:style w:type="character" w:customStyle="1" w:styleId="CommentTextChar">
    <w:name w:val="Comment Text Char"/>
    <w:basedOn w:val="DefaultParagraphFont"/>
    <w:link w:val="CommentText"/>
    <w:uiPriority w:val="99"/>
    <w:semiHidden/>
    <w:rsid w:val="00083E66"/>
    <w:rPr>
      <w:rFonts w:ascii="Times New Roman" w:eastAsia="MS Mincho" w:hAnsi="Times New Roman" w:cs="Times New Roman"/>
      <w:sz w:val="20"/>
      <w:szCs w:val="20"/>
      <w:lang w:val="es-ES_tradnl"/>
    </w:rPr>
  </w:style>
  <w:style w:type="paragraph" w:styleId="BodyText">
    <w:name w:val="Body Text"/>
    <w:basedOn w:val="Normal"/>
    <w:link w:val="BodyTextChar"/>
    <w:rsid w:val="00083E66"/>
    <w:pPr>
      <w:spacing w:after="120"/>
    </w:pPr>
    <w:rPr>
      <w:rFonts w:ascii="Times" w:eastAsia="Times" w:hAnsi="Times"/>
      <w:szCs w:val="20"/>
    </w:rPr>
  </w:style>
  <w:style w:type="character" w:customStyle="1" w:styleId="BodyTextChar">
    <w:name w:val="Body Text Char"/>
    <w:basedOn w:val="DefaultParagraphFont"/>
    <w:link w:val="BodyText"/>
    <w:rsid w:val="00083E66"/>
    <w:rPr>
      <w:rFonts w:ascii="Times" w:eastAsia="Times" w:hAnsi="Times" w:cs="Times New Roman"/>
      <w:sz w:val="24"/>
      <w:szCs w:val="20"/>
      <w:lang w:val="es-ES_tradnl"/>
    </w:rPr>
  </w:style>
  <w:style w:type="paragraph" w:customStyle="1" w:styleId="Textoindependiente1">
    <w:name w:val="Texto independiente1"/>
    <w:basedOn w:val="Normal"/>
    <w:rsid w:val="00083E66"/>
    <w:pPr>
      <w:widowControl w:val="0"/>
      <w:jc w:val="both"/>
    </w:pPr>
    <w:rPr>
      <w:rFonts w:ascii="New York" w:eastAsia="Times New Roman" w:hAnsi="New York"/>
      <w:szCs w:val="20"/>
    </w:rPr>
  </w:style>
  <w:style w:type="paragraph" w:styleId="Header">
    <w:name w:val="header"/>
    <w:basedOn w:val="Normal"/>
    <w:link w:val="HeaderChar"/>
    <w:uiPriority w:val="99"/>
    <w:rsid w:val="00083E66"/>
    <w:pPr>
      <w:tabs>
        <w:tab w:val="center" w:pos="4680"/>
        <w:tab w:val="right" w:pos="9360"/>
      </w:tabs>
    </w:pPr>
  </w:style>
  <w:style w:type="character" w:customStyle="1" w:styleId="HeaderChar">
    <w:name w:val="Header Char"/>
    <w:basedOn w:val="DefaultParagraphFont"/>
    <w:link w:val="Header"/>
    <w:uiPriority w:val="99"/>
    <w:rsid w:val="00083E66"/>
    <w:rPr>
      <w:rFonts w:ascii="Times New Roman" w:eastAsia="MS Mincho" w:hAnsi="Times New Roman" w:cs="Times New Roman"/>
      <w:sz w:val="24"/>
      <w:szCs w:val="24"/>
      <w:lang w:val="es-ES_tradnl"/>
    </w:rPr>
  </w:style>
  <w:style w:type="paragraph" w:styleId="BalloonText">
    <w:name w:val="Balloon Text"/>
    <w:basedOn w:val="Normal"/>
    <w:link w:val="BalloonTextChar"/>
    <w:uiPriority w:val="99"/>
    <w:semiHidden/>
    <w:unhideWhenUsed/>
    <w:rsid w:val="00083E66"/>
    <w:rPr>
      <w:rFonts w:ascii="Tahoma" w:hAnsi="Tahoma"/>
      <w:sz w:val="16"/>
      <w:szCs w:val="16"/>
    </w:rPr>
  </w:style>
  <w:style w:type="character" w:customStyle="1" w:styleId="BalloonTextChar">
    <w:name w:val="Balloon Text Char"/>
    <w:basedOn w:val="DefaultParagraphFont"/>
    <w:link w:val="BalloonText"/>
    <w:uiPriority w:val="99"/>
    <w:semiHidden/>
    <w:rsid w:val="00083E66"/>
    <w:rPr>
      <w:rFonts w:ascii="Tahoma" w:eastAsia="MS Mincho" w:hAnsi="Tahoma" w:cs="Times New Roman"/>
      <w:sz w:val="16"/>
      <w:szCs w:val="16"/>
      <w:lang w:val="es-ES_tradnl"/>
    </w:rPr>
  </w:style>
  <w:style w:type="paragraph" w:styleId="Footer">
    <w:name w:val="footer"/>
    <w:basedOn w:val="Normal"/>
    <w:link w:val="FooterChar"/>
    <w:uiPriority w:val="99"/>
    <w:semiHidden/>
    <w:unhideWhenUsed/>
    <w:rsid w:val="00CA2CEE"/>
    <w:pPr>
      <w:tabs>
        <w:tab w:val="center" w:pos="4419"/>
        <w:tab w:val="right" w:pos="8838"/>
      </w:tabs>
    </w:pPr>
  </w:style>
  <w:style w:type="character" w:customStyle="1" w:styleId="FooterChar">
    <w:name w:val="Footer Char"/>
    <w:basedOn w:val="DefaultParagraphFont"/>
    <w:link w:val="Footer"/>
    <w:uiPriority w:val="99"/>
    <w:semiHidden/>
    <w:rsid w:val="00CA2CEE"/>
    <w:rPr>
      <w:rFonts w:ascii="Times New Roman" w:eastAsia="MS Mincho" w:hAnsi="Times New Roman" w:cs="Times New Roman"/>
      <w:sz w:val="24"/>
      <w:szCs w:val="24"/>
      <w:lang w:val="es-ES_tradnl"/>
    </w:rPr>
  </w:style>
  <w:style w:type="paragraph" w:styleId="CommentSubject">
    <w:name w:val="annotation subject"/>
    <w:basedOn w:val="CommentText"/>
    <w:next w:val="CommentText"/>
    <w:link w:val="CommentSubjectChar"/>
    <w:uiPriority w:val="99"/>
    <w:semiHidden/>
    <w:unhideWhenUsed/>
    <w:rsid w:val="00566CA5"/>
    <w:rPr>
      <w:b/>
      <w:bCs/>
    </w:rPr>
  </w:style>
  <w:style w:type="character" w:customStyle="1" w:styleId="CommentSubjectChar">
    <w:name w:val="Comment Subject Char"/>
    <w:basedOn w:val="CommentTextChar"/>
    <w:link w:val="CommentSubject"/>
    <w:uiPriority w:val="99"/>
    <w:semiHidden/>
    <w:rsid w:val="00566CA5"/>
    <w:rPr>
      <w:b/>
      <w:bCs/>
    </w:rPr>
  </w:style>
  <w:style w:type="paragraph" w:styleId="EndnoteText">
    <w:name w:val="endnote text"/>
    <w:basedOn w:val="Normal"/>
    <w:link w:val="EndnoteTextChar"/>
    <w:uiPriority w:val="99"/>
    <w:semiHidden/>
    <w:unhideWhenUsed/>
    <w:rsid w:val="00DF67EA"/>
    <w:rPr>
      <w:sz w:val="20"/>
      <w:szCs w:val="20"/>
    </w:rPr>
  </w:style>
  <w:style w:type="character" w:customStyle="1" w:styleId="EndnoteTextChar">
    <w:name w:val="Endnote Text Char"/>
    <w:basedOn w:val="DefaultParagraphFont"/>
    <w:link w:val="EndnoteText"/>
    <w:uiPriority w:val="99"/>
    <w:semiHidden/>
    <w:rsid w:val="00DF67EA"/>
    <w:rPr>
      <w:rFonts w:ascii="Times New Roman" w:eastAsia="MS Mincho" w:hAnsi="Times New Roman" w:cs="Times New Roman"/>
      <w:sz w:val="20"/>
      <w:szCs w:val="20"/>
      <w:lang w:val="es-ES_tradnl"/>
    </w:rPr>
  </w:style>
  <w:style w:type="character" w:styleId="EndnoteReference">
    <w:name w:val="endnote reference"/>
    <w:basedOn w:val="DefaultParagraphFont"/>
    <w:uiPriority w:val="99"/>
    <w:semiHidden/>
    <w:unhideWhenUsed/>
    <w:rsid w:val="00DF67EA"/>
    <w:rPr>
      <w:vertAlign w:val="superscript"/>
    </w:rPr>
  </w:style>
</w:styles>
</file>

<file path=word/webSettings.xml><?xml version="1.0" encoding="utf-8"?>
<w:webSettings xmlns:r="http://schemas.openxmlformats.org/officeDocument/2006/relationships" xmlns:w="http://schemas.openxmlformats.org/wordprocessingml/2006/main">
  <w:divs>
    <w:div w:id="112867377">
      <w:bodyDiv w:val="1"/>
      <w:marLeft w:val="0"/>
      <w:marRight w:val="0"/>
      <w:marTop w:val="0"/>
      <w:marBottom w:val="0"/>
      <w:divBdr>
        <w:top w:val="none" w:sz="0" w:space="0" w:color="auto"/>
        <w:left w:val="none" w:sz="0" w:space="0" w:color="auto"/>
        <w:bottom w:val="none" w:sz="0" w:space="0" w:color="auto"/>
        <w:right w:val="none" w:sz="0" w:space="0" w:color="auto"/>
      </w:divBdr>
    </w:div>
    <w:div w:id="1352026520">
      <w:bodyDiv w:val="1"/>
      <w:marLeft w:val="0"/>
      <w:marRight w:val="0"/>
      <w:marTop w:val="0"/>
      <w:marBottom w:val="0"/>
      <w:divBdr>
        <w:top w:val="none" w:sz="0" w:space="0" w:color="auto"/>
        <w:left w:val="none" w:sz="0" w:space="0" w:color="auto"/>
        <w:bottom w:val="none" w:sz="0" w:space="0" w:color="auto"/>
        <w:right w:val="none" w:sz="0" w:space="0" w:color="auto"/>
      </w:divBdr>
    </w:div>
    <w:div w:id="204197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55E06-8381-4C05-BDC1-29E35B4A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5094</Words>
  <Characters>28022</Characters>
  <Application>Microsoft Office Word</Application>
  <DocSecurity>4</DocSecurity>
  <Lines>233</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2014-10-28T21:48:00Z</cp:lastPrinted>
  <dcterms:created xsi:type="dcterms:W3CDTF">2014-10-29T16:42:00Z</dcterms:created>
  <dcterms:modified xsi:type="dcterms:W3CDTF">2014-10-29T16:42:00Z</dcterms:modified>
</cp:coreProperties>
</file>