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884" w:rsidRDefault="00722884" w:rsidP="001F743D">
      <w:pPr>
        <w:tabs>
          <w:tab w:val="left" w:pos="720"/>
        </w:tabs>
        <w:jc w:val="center"/>
        <w:rPr>
          <w:rFonts w:ascii="Verdana" w:hAnsi="Verdana"/>
          <w:b/>
          <w:sz w:val="20"/>
          <w:szCs w:val="20"/>
          <w:lang w:val="es-ES"/>
        </w:rPr>
      </w:pPr>
    </w:p>
    <w:p w:rsidR="00722884" w:rsidRDefault="00722884" w:rsidP="001F743D">
      <w:pPr>
        <w:tabs>
          <w:tab w:val="left" w:pos="720"/>
        </w:tabs>
        <w:jc w:val="center"/>
        <w:rPr>
          <w:rFonts w:ascii="Verdana" w:hAnsi="Verdana"/>
          <w:b/>
          <w:sz w:val="20"/>
          <w:szCs w:val="20"/>
          <w:lang w:val="es-ES"/>
        </w:rPr>
      </w:pPr>
    </w:p>
    <w:p w:rsidR="00722884" w:rsidRDefault="00722884" w:rsidP="001F743D">
      <w:pPr>
        <w:tabs>
          <w:tab w:val="left" w:pos="720"/>
        </w:tabs>
        <w:jc w:val="center"/>
        <w:rPr>
          <w:rFonts w:ascii="Verdana" w:hAnsi="Verdana"/>
          <w:b/>
          <w:sz w:val="20"/>
          <w:szCs w:val="20"/>
          <w:lang w:val="es-ES"/>
        </w:rPr>
      </w:pPr>
    </w:p>
    <w:p w:rsidR="00722884" w:rsidRDefault="00722884" w:rsidP="001F743D">
      <w:pPr>
        <w:tabs>
          <w:tab w:val="left" w:pos="720"/>
        </w:tabs>
        <w:jc w:val="center"/>
        <w:rPr>
          <w:rFonts w:ascii="Verdana" w:hAnsi="Verdana"/>
          <w:b/>
          <w:sz w:val="20"/>
          <w:szCs w:val="20"/>
          <w:lang w:val="es-ES"/>
        </w:rPr>
      </w:pPr>
    </w:p>
    <w:p w:rsidR="00722884" w:rsidRDefault="00722884" w:rsidP="001F743D">
      <w:pPr>
        <w:tabs>
          <w:tab w:val="left" w:pos="720"/>
        </w:tabs>
        <w:jc w:val="center"/>
        <w:rPr>
          <w:rFonts w:ascii="Verdana" w:hAnsi="Verdana"/>
          <w:b/>
          <w:sz w:val="20"/>
          <w:szCs w:val="20"/>
          <w:lang w:val="es-ES"/>
        </w:rPr>
      </w:pPr>
    </w:p>
    <w:p w:rsidR="00722884" w:rsidRDefault="00722884" w:rsidP="001F743D">
      <w:pPr>
        <w:tabs>
          <w:tab w:val="left" w:pos="720"/>
        </w:tabs>
        <w:jc w:val="center"/>
        <w:rPr>
          <w:rFonts w:ascii="Verdana" w:hAnsi="Verdana"/>
          <w:b/>
          <w:sz w:val="20"/>
          <w:szCs w:val="20"/>
          <w:lang w:val="es-ES"/>
        </w:rPr>
      </w:pPr>
    </w:p>
    <w:p w:rsidR="0084066B" w:rsidRDefault="0084066B" w:rsidP="001F743D">
      <w:pPr>
        <w:tabs>
          <w:tab w:val="left" w:pos="720"/>
        </w:tabs>
        <w:jc w:val="center"/>
        <w:rPr>
          <w:rFonts w:ascii="Verdana" w:hAnsi="Verdana"/>
          <w:b/>
          <w:sz w:val="20"/>
          <w:szCs w:val="20"/>
          <w:lang w:val="es-ES"/>
        </w:rPr>
      </w:pPr>
    </w:p>
    <w:p w:rsidR="001F743D" w:rsidRPr="00646F5E" w:rsidRDefault="001F743D" w:rsidP="001F743D">
      <w:pPr>
        <w:tabs>
          <w:tab w:val="left" w:pos="720"/>
        </w:tabs>
        <w:jc w:val="center"/>
        <w:rPr>
          <w:rFonts w:ascii="Verdana" w:hAnsi="Verdana"/>
          <w:b/>
          <w:sz w:val="20"/>
          <w:szCs w:val="20"/>
          <w:lang w:val="es-ES"/>
        </w:rPr>
      </w:pPr>
      <w:r w:rsidRPr="00646F5E">
        <w:rPr>
          <w:rFonts w:ascii="Verdana" w:hAnsi="Verdana"/>
          <w:b/>
          <w:sz w:val="20"/>
          <w:szCs w:val="20"/>
          <w:lang w:val="es-ES"/>
        </w:rPr>
        <w:t>RESOLUCIÓN DE LA CORTE INTERAMERICANA DE DERECHOS HUMANOS</w:t>
      </w:r>
    </w:p>
    <w:p w:rsidR="001F743D" w:rsidRPr="00646F5E" w:rsidRDefault="00FC45D8" w:rsidP="001F743D">
      <w:pPr>
        <w:tabs>
          <w:tab w:val="left" w:pos="720"/>
        </w:tabs>
        <w:jc w:val="center"/>
        <w:rPr>
          <w:rFonts w:ascii="Verdana" w:hAnsi="Verdana"/>
          <w:b/>
          <w:sz w:val="20"/>
          <w:szCs w:val="20"/>
          <w:lang w:val="es-ES"/>
        </w:rPr>
      </w:pPr>
      <w:r>
        <w:rPr>
          <w:rFonts w:ascii="Verdana" w:hAnsi="Verdana"/>
          <w:b/>
          <w:sz w:val="20"/>
          <w:szCs w:val="20"/>
          <w:lang w:val="es-ES"/>
        </w:rPr>
        <w:t xml:space="preserve"> DE 26</w:t>
      </w:r>
      <w:r w:rsidR="00BF31B9">
        <w:rPr>
          <w:rFonts w:ascii="Verdana" w:hAnsi="Verdana"/>
          <w:b/>
          <w:sz w:val="20"/>
          <w:szCs w:val="20"/>
          <w:lang w:val="es-ES"/>
        </w:rPr>
        <w:t xml:space="preserve"> DE </w:t>
      </w:r>
      <w:r w:rsidR="0004597D">
        <w:rPr>
          <w:rFonts w:ascii="Verdana" w:hAnsi="Verdana"/>
          <w:b/>
          <w:sz w:val="20"/>
          <w:szCs w:val="20"/>
          <w:lang w:val="es-ES"/>
        </w:rPr>
        <w:t>SEPTIEMRE</w:t>
      </w:r>
      <w:r w:rsidR="00BF31B9">
        <w:rPr>
          <w:rFonts w:ascii="Verdana" w:hAnsi="Verdana"/>
          <w:b/>
          <w:sz w:val="20"/>
          <w:szCs w:val="20"/>
          <w:lang w:val="es-ES"/>
        </w:rPr>
        <w:t xml:space="preserve"> DE 2018</w:t>
      </w:r>
      <w:r w:rsidR="0004597D" w:rsidRPr="0043341E">
        <w:rPr>
          <w:szCs w:val="20"/>
        </w:rPr>
        <w:footnoteReference w:customMarkFollows="1" w:id="1"/>
        <w:t>*</w:t>
      </w:r>
    </w:p>
    <w:p w:rsidR="001F743D" w:rsidRPr="00646F5E" w:rsidRDefault="001F743D" w:rsidP="001F743D">
      <w:pPr>
        <w:tabs>
          <w:tab w:val="left" w:pos="720"/>
        </w:tabs>
        <w:rPr>
          <w:rFonts w:ascii="Verdana" w:hAnsi="Verdana"/>
          <w:b/>
          <w:sz w:val="20"/>
          <w:szCs w:val="20"/>
          <w:lang w:val="es-ES"/>
        </w:rPr>
      </w:pPr>
    </w:p>
    <w:p w:rsidR="001F743D" w:rsidRPr="00646F5E" w:rsidRDefault="001F743D" w:rsidP="001F743D">
      <w:pPr>
        <w:tabs>
          <w:tab w:val="left" w:pos="720"/>
        </w:tabs>
        <w:jc w:val="center"/>
        <w:rPr>
          <w:rFonts w:ascii="Verdana" w:hAnsi="Verdana"/>
          <w:b/>
          <w:sz w:val="20"/>
          <w:szCs w:val="20"/>
          <w:lang w:val="es-ES"/>
        </w:rPr>
      </w:pPr>
      <w:r w:rsidRPr="00646F5E">
        <w:rPr>
          <w:rFonts w:ascii="Verdana" w:hAnsi="Verdana"/>
          <w:b/>
          <w:sz w:val="20"/>
          <w:szCs w:val="20"/>
          <w:lang w:val="es-ES"/>
        </w:rPr>
        <w:t>MEDIDAS PROVISIONALES RESPECTO</w:t>
      </w:r>
    </w:p>
    <w:p w:rsidR="001F743D" w:rsidRPr="00646F5E" w:rsidRDefault="001F743D" w:rsidP="001F743D">
      <w:pPr>
        <w:tabs>
          <w:tab w:val="left" w:pos="720"/>
        </w:tabs>
        <w:jc w:val="center"/>
        <w:rPr>
          <w:rFonts w:ascii="Verdana" w:hAnsi="Verdana"/>
          <w:b/>
          <w:sz w:val="20"/>
          <w:szCs w:val="20"/>
          <w:lang w:val="es-ES"/>
        </w:rPr>
      </w:pPr>
      <w:r w:rsidRPr="00646F5E">
        <w:rPr>
          <w:rFonts w:ascii="Verdana" w:hAnsi="Verdana"/>
          <w:b/>
          <w:sz w:val="20"/>
          <w:szCs w:val="20"/>
          <w:lang w:val="es-ES"/>
        </w:rPr>
        <w:t>DE EL SALVADOR</w:t>
      </w:r>
    </w:p>
    <w:p w:rsidR="001F743D" w:rsidRPr="00646F5E" w:rsidRDefault="001F743D" w:rsidP="001F743D">
      <w:pPr>
        <w:tabs>
          <w:tab w:val="left" w:pos="720"/>
        </w:tabs>
        <w:jc w:val="center"/>
        <w:rPr>
          <w:rFonts w:ascii="Verdana" w:hAnsi="Verdana"/>
          <w:b/>
          <w:sz w:val="20"/>
          <w:szCs w:val="20"/>
          <w:lang w:val="es-ES"/>
        </w:rPr>
      </w:pPr>
    </w:p>
    <w:p w:rsidR="001F743D" w:rsidRPr="00646F5E" w:rsidRDefault="001F743D" w:rsidP="001F743D">
      <w:pPr>
        <w:tabs>
          <w:tab w:val="left" w:pos="720"/>
        </w:tabs>
        <w:jc w:val="center"/>
        <w:rPr>
          <w:rFonts w:ascii="Verdana" w:hAnsi="Verdana"/>
          <w:b/>
          <w:sz w:val="20"/>
          <w:szCs w:val="20"/>
          <w:lang w:val="es-ES"/>
        </w:rPr>
      </w:pPr>
      <w:r w:rsidRPr="00646F5E">
        <w:rPr>
          <w:rFonts w:ascii="Verdana" w:hAnsi="Verdana"/>
          <w:b/>
          <w:sz w:val="20"/>
          <w:szCs w:val="20"/>
          <w:lang w:val="es-ES"/>
        </w:rPr>
        <w:t>ASUNTO MELÉNDEZ QUIJANO Y OTROS</w:t>
      </w:r>
    </w:p>
    <w:p w:rsidR="001F743D" w:rsidRPr="00646F5E" w:rsidRDefault="001F743D" w:rsidP="001F743D">
      <w:pPr>
        <w:ind w:right="-8"/>
        <w:jc w:val="both"/>
        <w:rPr>
          <w:rFonts w:ascii="Verdana" w:hAnsi="Verdana"/>
          <w:b/>
          <w:sz w:val="20"/>
          <w:szCs w:val="20"/>
        </w:rPr>
      </w:pPr>
    </w:p>
    <w:p w:rsidR="001F743D" w:rsidRPr="00646F5E" w:rsidRDefault="001F743D" w:rsidP="001F743D">
      <w:pPr>
        <w:ind w:right="-8"/>
        <w:jc w:val="both"/>
        <w:rPr>
          <w:rFonts w:ascii="Verdana" w:hAnsi="Verdana"/>
          <w:b/>
          <w:sz w:val="20"/>
          <w:szCs w:val="20"/>
        </w:rPr>
      </w:pPr>
      <w:r w:rsidRPr="00646F5E">
        <w:rPr>
          <w:rFonts w:ascii="Verdana" w:hAnsi="Verdana"/>
          <w:b/>
          <w:sz w:val="20"/>
          <w:szCs w:val="20"/>
        </w:rPr>
        <w:t>VISTO:</w:t>
      </w:r>
    </w:p>
    <w:p w:rsidR="001F743D" w:rsidRPr="00646F5E" w:rsidRDefault="001F743D" w:rsidP="001F743D">
      <w:pPr>
        <w:ind w:right="-8"/>
        <w:jc w:val="both"/>
        <w:rPr>
          <w:rFonts w:ascii="Verdana" w:hAnsi="Verdana"/>
          <w:b/>
          <w:sz w:val="20"/>
          <w:szCs w:val="20"/>
        </w:rPr>
      </w:pPr>
    </w:p>
    <w:p w:rsidR="001F743D" w:rsidRPr="006A5BC6" w:rsidRDefault="001F743D" w:rsidP="00FB521D">
      <w:pPr>
        <w:pStyle w:val="Default"/>
        <w:numPr>
          <w:ilvl w:val="0"/>
          <w:numId w:val="2"/>
        </w:numPr>
        <w:ind w:left="0" w:firstLine="0"/>
        <w:jc w:val="both"/>
        <w:rPr>
          <w:sz w:val="20"/>
          <w:szCs w:val="20"/>
          <w:lang w:val="es-CR"/>
        </w:rPr>
      </w:pPr>
      <w:bookmarkStart w:id="0" w:name="_Ref357331584"/>
      <w:r w:rsidRPr="006A5BC6">
        <w:rPr>
          <w:sz w:val="20"/>
          <w:szCs w:val="20"/>
          <w:lang w:val="es-MX"/>
        </w:rPr>
        <w:t xml:space="preserve">Las Resoluciones de la </w:t>
      </w:r>
      <w:r w:rsidRPr="00CD2DD9">
        <w:rPr>
          <w:sz w:val="20"/>
          <w:szCs w:val="20"/>
          <w:lang w:val="es-MX"/>
        </w:rPr>
        <w:t>Corte Interamericana de Derechos Humanos (en adelante también “la Corte” o “el Tribunal”) emitidas los días</w:t>
      </w:r>
      <w:r w:rsidR="00F126FC" w:rsidRPr="00CD2DD9">
        <w:rPr>
          <w:sz w:val="20"/>
          <w:szCs w:val="20"/>
          <w:lang w:val="es-MX"/>
        </w:rPr>
        <w:t xml:space="preserve"> 23 de marzo de 2007</w:t>
      </w:r>
      <w:r w:rsidR="00C932AB">
        <w:rPr>
          <w:sz w:val="20"/>
          <w:szCs w:val="20"/>
          <w:lang w:val="es-MX"/>
        </w:rPr>
        <w:t>,</w:t>
      </w:r>
      <w:r w:rsidRPr="00CD2DD9">
        <w:rPr>
          <w:sz w:val="20"/>
          <w:szCs w:val="20"/>
          <w:lang w:val="es-MX"/>
        </w:rPr>
        <w:t xml:space="preserve"> 12 de mayo de 2007, 26 de noviembre de 2007, 2 de febrero de 2010, 21 de agosto de 2013, 14 de octubre de 2014, y 17 de abril y 30 de junio de 2015. </w:t>
      </w:r>
      <w:r w:rsidRPr="00CD2DD9">
        <w:rPr>
          <w:sz w:val="20"/>
          <w:szCs w:val="20"/>
          <w:lang w:val="es-CR"/>
        </w:rPr>
        <w:t xml:space="preserve">En esta última la Corte resolvió, </w:t>
      </w:r>
      <w:r w:rsidRPr="00CD2DD9">
        <w:rPr>
          <w:i/>
          <w:sz w:val="20"/>
          <w:szCs w:val="20"/>
          <w:lang w:val="es-CR"/>
        </w:rPr>
        <w:t xml:space="preserve">inter </w:t>
      </w:r>
      <w:proofErr w:type="spellStart"/>
      <w:r w:rsidRPr="00CD2DD9">
        <w:rPr>
          <w:i/>
          <w:sz w:val="20"/>
          <w:szCs w:val="20"/>
          <w:lang w:val="es-CR"/>
        </w:rPr>
        <w:t>alia</w:t>
      </w:r>
      <w:proofErr w:type="spellEnd"/>
      <w:r w:rsidRPr="00CD2DD9">
        <w:rPr>
          <w:sz w:val="20"/>
          <w:szCs w:val="20"/>
          <w:lang w:val="es-CR"/>
        </w:rPr>
        <w:t>:</w:t>
      </w:r>
      <w:bookmarkEnd w:id="0"/>
    </w:p>
    <w:p w:rsidR="001F743D" w:rsidRPr="006A5BC6" w:rsidRDefault="001F743D" w:rsidP="001F743D">
      <w:pPr>
        <w:pStyle w:val="Default"/>
        <w:ind w:left="1065"/>
        <w:jc w:val="both"/>
        <w:rPr>
          <w:sz w:val="20"/>
          <w:szCs w:val="20"/>
          <w:lang w:val="es-CR"/>
        </w:rPr>
      </w:pPr>
    </w:p>
    <w:p w:rsidR="001F743D" w:rsidRPr="00FC45D8" w:rsidRDefault="001F743D" w:rsidP="001F743D">
      <w:pPr>
        <w:pStyle w:val="ListParagraph"/>
        <w:numPr>
          <w:ilvl w:val="0"/>
          <w:numId w:val="1"/>
        </w:numPr>
        <w:ind w:left="567" w:right="567" w:firstLine="0"/>
        <w:jc w:val="both"/>
        <w:rPr>
          <w:rFonts w:ascii="Verdana" w:hAnsi="Verdana"/>
          <w:sz w:val="16"/>
          <w:szCs w:val="16"/>
          <w:lang w:val="es-ES"/>
        </w:rPr>
      </w:pPr>
      <w:r w:rsidRPr="00FC45D8">
        <w:rPr>
          <w:rFonts w:ascii="Verdana" w:hAnsi="Verdana"/>
          <w:sz w:val="16"/>
          <w:szCs w:val="16"/>
        </w:rPr>
        <w:t>Restablecer las medidas provisionales a favor de</w:t>
      </w:r>
      <w:r w:rsidRPr="00FC45D8">
        <w:rPr>
          <w:rFonts w:ascii="Verdana" w:hAnsi="Verdana"/>
          <w:sz w:val="16"/>
          <w:szCs w:val="16"/>
          <w:lang w:val="es-ES"/>
        </w:rPr>
        <w:t xml:space="preserve"> Gloria Tránsito Quijano viuda de Meléndez y Sandra Ivette Meléndez Quijano, </w:t>
      </w:r>
      <w:r w:rsidRPr="00FC45D8">
        <w:rPr>
          <w:rFonts w:ascii="Verdana" w:hAnsi="Verdana"/>
          <w:sz w:val="16"/>
          <w:szCs w:val="16"/>
        </w:rPr>
        <w:t>por un plazo adicional que vence el 27 de enero de 2016, luego de lo cual será evaluado el mantenimiento de las mismas.</w:t>
      </w:r>
    </w:p>
    <w:p w:rsidR="001F743D" w:rsidRPr="00FC45D8" w:rsidRDefault="001F743D" w:rsidP="001F743D">
      <w:pPr>
        <w:pStyle w:val="ListParagraph"/>
        <w:ind w:left="567" w:right="567"/>
        <w:jc w:val="both"/>
        <w:rPr>
          <w:rFonts w:ascii="Verdana" w:hAnsi="Verdana"/>
          <w:sz w:val="16"/>
          <w:szCs w:val="16"/>
          <w:lang w:val="es-ES"/>
        </w:rPr>
      </w:pPr>
    </w:p>
    <w:p w:rsidR="001F743D" w:rsidRPr="00FC45D8" w:rsidRDefault="001F743D" w:rsidP="001F743D">
      <w:pPr>
        <w:pStyle w:val="ListParagraph"/>
        <w:numPr>
          <w:ilvl w:val="0"/>
          <w:numId w:val="1"/>
        </w:numPr>
        <w:ind w:left="567" w:right="567" w:firstLine="0"/>
        <w:jc w:val="both"/>
        <w:rPr>
          <w:rFonts w:ascii="Verdana" w:hAnsi="Verdana"/>
          <w:sz w:val="16"/>
          <w:szCs w:val="16"/>
          <w:lang w:val="es-ES"/>
        </w:rPr>
      </w:pPr>
      <w:r w:rsidRPr="00FC45D8">
        <w:rPr>
          <w:rFonts w:ascii="Verdana" w:hAnsi="Verdana"/>
          <w:sz w:val="16"/>
          <w:szCs w:val="16"/>
          <w:lang w:val="es-ES"/>
        </w:rPr>
        <w:t>Requerir al Esta</w:t>
      </w:r>
      <w:r w:rsidR="00DA16C0">
        <w:rPr>
          <w:rFonts w:ascii="Verdana" w:hAnsi="Verdana"/>
          <w:sz w:val="16"/>
          <w:szCs w:val="16"/>
          <w:lang w:val="es-ES"/>
        </w:rPr>
        <w:t>do que adopte todas la medidas n</w:t>
      </w:r>
      <w:bookmarkStart w:id="1" w:name="_GoBack"/>
      <w:bookmarkEnd w:id="1"/>
      <w:r w:rsidRPr="00FC45D8">
        <w:rPr>
          <w:rFonts w:ascii="Verdana" w:hAnsi="Verdana"/>
          <w:sz w:val="16"/>
          <w:szCs w:val="16"/>
          <w:lang w:val="es-ES"/>
        </w:rPr>
        <w:t>ecesarias para proteger la vida e integridad personal de Gloria Tránsito Quijano viuda de Meléndez y Sandra Ivette Meléndez Quijano</w:t>
      </w:r>
    </w:p>
    <w:p w:rsidR="001F743D" w:rsidRPr="00FC45D8" w:rsidRDefault="001F743D" w:rsidP="001F743D">
      <w:pPr>
        <w:pStyle w:val="ListParagraph"/>
        <w:ind w:left="567" w:right="567"/>
        <w:jc w:val="both"/>
        <w:rPr>
          <w:rFonts w:ascii="Verdana" w:hAnsi="Verdana"/>
          <w:sz w:val="16"/>
          <w:szCs w:val="16"/>
          <w:lang w:val="es-ES"/>
        </w:rPr>
      </w:pPr>
    </w:p>
    <w:p w:rsidR="001F743D" w:rsidRPr="00FC45D8" w:rsidRDefault="001F743D" w:rsidP="001F743D">
      <w:pPr>
        <w:pStyle w:val="ListParagraph"/>
        <w:numPr>
          <w:ilvl w:val="0"/>
          <w:numId w:val="1"/>
        </w:numPr>
        <w:ind w:left="567" w:right="567" w:firstLine="0"/>
        <w:jc w:val="both"/>
        <w:rPr>
          <w:rFonts w:ascii="Verdana" w:hAnsi="Verdana"/>
          <w:sz w:val="16"/>
          <w:szCs w:val="16"/>
        </w:rPr>
      </w:pPr>
      <w:r w:rsidRPr="00FC45D8">
        <w:rPr>
          <w:rFonts w:ascii="Verdana" w:hAnsi="Verdana"/>
          <w:sz w:val="16"/>
          <w:szCs w:val="16"/>
        </w:rPr>
        <w:t xml:space="preserve">Requerir al Estado que, a más tardar el 5 de agosto de 2015, presente información completa, pormenorizada y actual sobre las diligencias efectuadas por las instancias internas pertinentes en relación con los nuevos hechos alegados ocurridos entre el 21 de abril y el 28 de mayo de 2015, respecto a </w:t>
      </w:r>
      <w:r w:rsidRPr="00FC45D8">
        <w:rPr>
          <w:rFonts w:ascii="Verdana" w:hAnsi="Verdana"/>
          <w:sz w:val="16"/>
          <w:szCs w:val="16"/>
          <w:lang w:val="es-ES"/>
        </w:rPr>
        <w:t>Gloria Tránsito Quijano de Meléndez y Sandra Ivette Meléndez Quijano y demás beneficiarios de las presentes medidas provisionales</w:t>
      </w:r>
      <w:r w:rsidRPr="00FC45D8">
        <w:rPr>
          <w:rStyle w:val="FootnoteReference"/>
          <w:szCs w:val="16"/>
          <w:lang w:val="es-ES"/>
        </w:rPr>
        <w:footnoteReference w:id="2"/>
      </w:r>
      <w:r w:rsidRPr="00FC45D8">
        <w:rPr>
          <w:rFonts w:ascii="Verdana" w:hAnsi="Verdana"/>
          <w:sz w:val="16"/>
          <w:szCs w:val="16"/>
          <w:lang w:val="es-ES"/>
        </w:rPr>
        <w:t>.</w:t>
      </w:r>
    </w:p>
    <w:p w:rsidR="001F743D" w:rsidRPr="00FC45D8" w:rsidRDefault="001F743D" w:rsidP="001F743D">
      <w:pPr>
        <w:pStyle w:val="ListParagraph"/>
        <w:ind w:left="567" w:right="567"/>
        <w:jc w:val="both"/>
        <w:rPr>
          <w:rFonts w:ascii="Verdana" w:hAnsi="Verdana"/>
          <w:sz w:val="16"/>
          <w:szCs w:val="16"/>
        </w:rPr>
      </w:pPr>
    </w:p>
    <w:p w:rsidR="001F743D" w:rsidRPr="00FC45D8" w:rsidRDefault="001F743D" w:rsidP="001F743D">
      <w:pPr>
        <w:pStyle w:val="ListParagraph"/>
        <w:numPr>
          <w:ilvl w:val="0"/>
          <w:numId w:val="1"/>
        </w:numPr>
        <w:ind w:left="567" w:right="567" w:firstLine="0"/>
        <w:jc w:val="both"/>
        <w:rPr>
          <w:rFonts w:ascii="Verdana" w:hAnsi="Verdana"/>
          <w:sz w:val="16"/>
          <w:szCs w:val="16"/>
        </w:rPr>
      </w:pPr>
      <w:r w:rsidRPr="00FC45D8">
        <w:rPr>
          <w:rFonts w:ascii="Verdana" w:hAnsi="Verdana"/>
          <w:sz w:val="16"/>
          <w:szCs w:val="16"/>
        </w:rPr>
        <w:t>Requerir a los representantes que, en un plazo de dos semanas, contado a partir de la recepción del informe estatal, presenten sus observaciones respecto a lo informado por el Estado</w:t>
      </w:r>
      <w:r w:rsidRPr="00FC45D8">
        <w:rPr>
          <w:rFonts w:ascii="Verdana" w:hAnsi="Verdana"/>
          <w:sz w:val="16"/>
          <w:szCs w:val="16"/>
          <w:lang w:val="es-ES"/>
        </w:rPr>
        <w:t>.</w:t>
      </w:r>
    </w:p>
    <w:p w:rsidR="001F743D" w:rsidRPr="00FC45D8" w:rsidRDefault="001F743D" w:rsidP="001F743D">
      <w:pPr>
        <w:pStyle w:val="ListParagraph"/>
        <w:ind w:left="567" w:right="567"/>
        <w:jc w:val="both"/>
        <w:rPr>
          <w:rFonts w:ascii="Verdana" w:hAnsi="Verdana"/>
          <w:sz w:val="16"/>
          <w:szCs w:val="16"/>
        </w:rPr>
      </w:pPr>
    </w:p>
    <w:p w:rsidR="001F743D" w:rsidRPr="00FC45D8" w:rsidRDefault="001F743D" w:rsidP="001F743D">
      <w:pPr>
        <w:pStyle w:val="ListParagraph"/>
        <w:numPr>
          <w:ilvl w:val="0"/>
          <w:numId w:val="1"/>
        </w:numPr>
        <w:ind w:left="567" w:right="567" w:firstLine="0"/>
        <w:jc w:val="both"/>
        <w:rPr>
          <w:rFonts w:ascii="Verdana" w:hAnsi="Verdana"/>
          <w:sz w:val="16"/>
          <w:szCs w:val="16"/>
        </w:rPr>
      </w:pPr>
      <w:r w:rsidRPr="00FC45D8">
        <w:rPr>
          <w:rFonts w:ascii="Verdana" w:hAnsi="Verdana"/>
          <w:sz w:val="16"/>
          <w:szCs w:val="16"/>
        </w:rPr>
        <w:t>Requerir a la Comisión Interamericana de Derechos Humanos que, en un plazo de cuatro semanas, contado a partir de la recepción del informe estatal, presente sus observaciones al respecto</w:t>
      </w:r>
      <w:r w:rsidRPr="00FC45D8">
        <w:rPr>
          <w:rFonts w:ascii="Verdana" w:hAnsi="Verdana"/>
          <w:sz w:val="16"/>
          <w:szCs w:val="16"/>
          <w:lang w:val="es-ES"/>
        </w:rPr>
        <w:t>.</w:t>
      </w:r>
    </w:p>
    <w:p w:rsidR="001F743D" w:rsidRPr="00FC45D8" w:rsidRDefault="001F743D" w:rsidP="001F743D">
      <w:pPr>
        <w:pStyle w:val="ListParagraph"/>
        <w:ind w:left="567" w:right="567"/>
        <w:jc w:val="both"/>
        <w:rPr>
          <w:rFonts w:ascii="Verdana" w:hAnsi="Verdana"/>
          <w:sz w:val="16"/>
          <w:szCs w:val="16"/>
        </w:rPr>
      </w:pPr>
    </w:p>
    <w:p w:rsidR="001F743D" w:rsidRPr="00FC45D8" w:rsidRDefault="001F743D" w:rsidP="001F743D">
      <w:pPr>
        <w:pStyle w:val="ListParagraph"/>
        <w:numPr>
          <w:ilvl w:val="0"/>
          <w:numId w:val="1"/>
        </w:numPr>
        <w:ind w:left="567" w:right="567" w:firstLine="0"/>
        <w:jc w:val="both"/>
        <w:rPr>
          <w:rFonts w:ascii="Verdana" w:hAnsi="Verdana"/>
          <w:sz w:val="16"/>
          <w:szCs w:val="16"/>
        </w:rPr>
      </w:pPr>
      <w:r w:rsidRPr="00FC45D8">
        <w:rPr>
          <w:rFonts w:ascii="Verdana" w:hAnsi="Verdana"/>
          <w:sz w:val="16"/>
          <w:szCs w:val="16"/>
        </w:rPr>
        <w:t>Requerir al Estado que, respecto a todas las personas beneficiarias,</w:t>
      </w:r>
      <w:r w:rsidRPr="00FC45D8">
        <w:rPr>
          <w:rFonts w:ascii="Verdana" w:hAnsi="Verdana"/>
          <w:sz w:val="16"/>
          <w:szCs w:val="16"/>
          <w:lang w:val="es-MX"/>
        </w:rPr>
        <w:t xml:space="preserve"> continúe implementando las presentes medidas provisionales, </w:t>
      </w:r>
      <w:r w:rsidRPr="00FC45D8">
        <w:rPr>
          <w:rFonts w:ascii="Verdana" w:hAnsi="Verdana" w:cs="Verdana"/>
          <w:sz w:val="16"/>
          <w:szCs w:val="16"/>
          <w:lang w:val="es-ES"/>
        </w:rPr>
        <w:t>dé participación a los beneficiarios de estas medidas en la planificación e implementación de las mismas y que, en general, los mantenga informados sobre los avances en la ejecución de éstas.</w:t>
      </w:r>
    </w:p>
    <w:p w:rsidR="001F743D" w:rsidRPr="00FC45D8" w:rsidRDefault="001F743D" w:rsidP="001F743D">
      <w:pPr>
        <w:pStyle w:val="ListParagraph"/>
        <w:ind w:left="567" w:right="567"/>
        <w:jc w:val="both"/>
        <w:rPr>
          <w:rFonts w:ascii="Verdana" w:hAnsi="Verdana"/>
          <w:sz w:val="16"/>
          <w:szCs w:val="16"/>
        </w:rPr>
      </w:pPr>
    </w:p>
    <w:p w:rsidR="00064B50" w:rsidRPr="00FC45D8" w:rsidRDefault="001F743D" w:rsidP="00FC45D8">
      <w:pPr>
        <w:pStyle w:val="ListParagraph"/>
        <w:ind w:left="540" w:right="567"/>
        <w:jc w:val="both"/>
        <w:rPr>
          <w:rFonts w:ascii="Verdana" w:hAnsi="Verdana"/>
          <w:sz w:val="16"/>
          <w:szCs w:val="16"/>
          <w:lang w:val="es-MX"/>
        </w:rPr>
      </w:pPr>
      <w:r w:rsidRPr="00FC45D8">
        <w:rPr>
          <w:rFonts w:ascii="Verdana" w:hAnsi="Verdana"/>
          <w:sz w:val="16"/>
          <w:szCs w:val="16"/>
        </w:rPr>
        <w:t>7.</w:t>
      </w:r>
      <w:r w:rsidR="0084066B">
        <w:rPr>
          <w:rFonts w:ascii="Verdana" w:hAnsi="Verdana"/>
          <w:sz w:val="16"/>
          <w:szCs w:val="16"/>
        </w:rPr>
        <w:tab/>
      </w:r>
      <w:r w:rsidRPr="00FC45D8">
        <w:rPr>
          <w:rFonts w:ascii="Verdana" w:hAnsi="Verdana"/>
          <w:sz w:val="16"/>
          <w:szCs w:val="16"/>
        </w:rPr>
        <w:tab/>
      </w:r>
      <w:r w:rsidRPr="00FC45D8">
        <w:rPr>
          <w:rFonts w:ascii="Verdana" w:hAnsi="Verdana"/>
          <w:sz w:val="16"/>
          <w:szCs w:val="16"/>
          <w:lang w:val="es-MX"/>
        </w:rPr>
        <w:t>Requerir al Estado que continúe informando sobre las medidas provisionales adoptadas respecto a todos los ben</w:t>
      </w:r>
      <w:r w:rsidR="00057885" w:rsidRPr="00FC45D8">
        <w:rPr>
          <w:rFonts w:ascii="Verdana" w:hAnsi="Verdana"/>
          <w:sz w:val="16"/>
          <w:szCs w:val="16"/>
          <w:lang w:val="es-MX"/>
        </w:rPr>
        <w:t>eficiarios, inclusive Gloria Trá</w:t>
      </w:r>
      <w:r w:rsidRPr="00FC45D8">
        <w:rPr>
          <w:rFonts w:ascii="Verdana" w:hAnsi="Verdana"/>
          <w:sz w:val="16"/>
          <w:szCs w:val="16"/>
          <w:lang w:val="es-MX"/>
        </w:rPr>
        <w:t xml:space="preserve">nsito Quijano de Meléndez y Sandra Ivette Meléndez Quijano, en los términos y plazos establecidos en el punto resolutivo séptimo de la Resolución de 17 de abril de 2015, y requerir a los representantes </w:t>
      </w:r>
      <w:r w:rsidRPr="00FC45D8">
        <w:rPr>
          <w:rFonts w:ascii="Verdana" w:hAnsi="Verdana"/>
          <w:sz w:val="16"/>
          <w:szCs w:val="16"/>
          <w:lang w:val="es-MX"/>
        </w:rPr>
        <w:lastRenderedPageBreak/>
        <w:t>de las personas beneficiarias y a la Comisión Interamericana de Derechos Humanos que presenten sus observaciones dentro de plazos de cuatro y seis semanas, respectivamente, contados a partir de la notificación de dichos informes estatales.</w:t>
      </w:r>
    </w:p>
    <w:p w:rsidR="001F743D" w:rsidRPr="00FC45D8" w:rsidRDefault="001F743D" w:rsidP="00FC45D8">
      <w:pPr>
        <w:pStyle w:val="ListParagraph"/>
        <w:ind w:left="540" w:right="567"/>
        <w:jc w:val="both"/>
        <w:rPr>
          <w:rFonts w:ascii="Verdana" w:hAnsi="Verdana"/>
          <w:sz w:val="16"/>
          <w:szCs w:val="16"/>
        </w:rPr>
      </w:pPr>
      <w:r w:rsidRPr="00FC45D8">
        <w:rPr>
          <w:rFonts w:ascii="Verdana" w:hAnsi="Verdana"/>
          <w:sz w:val="16"/>
          <w:szCs w:val="16"/>
        </w:rPr>
        <w:t xml:space="preserve"> </w:t>
      </w:r>
    </w:p>
    <w:p w:rsidR="001F743D" w:rsidRPr="00FC45D8" w:rsidRDefault="00064B50" w:rsidP="00FC45D8">
      <w:pPr>
        <w:pStyle w:val="Default"/>
        <w:ind w:left="540"/>
        <w:jc w:val="both"/>
        <w:rPr>
          <w:sz w:val="16"/>
          <w:szCs w:val="16"/>
          <w:lang w:val="es-CR"/>
        </w:rPr>
      </w:pPr>
      <w:r w:rsidRPr="00FC45D8">
        <w:rPr>
          <w:sz w:val="16"/>
          <w:szCs w:val="16"/>
          <w:lang w:val="es-CR"/>
        </w:rPr>
        <w:t>[…]</w:t>
      </w:r>
    </w:p>
    <w:p w:rsidR="00064B50" w:rsidRPr="006A5BC6" w:rsidRDefault="00064B50" w:rsidP="001F743D">
      <w:pPr>
        <w:pStyle w:val="Default"/>
        <w:jc w:val="both"/>
        <w:rPr>
          <w:sz w:val="20"/>
          <w:szCs w:val="20"/>
          <w:lang w:val="es-CR"/>
        </w:rPr>
      </w:pPr>
    </w:p>
    <w:p w:rsidR="008F33C8" w:rsidRPr="00CD2DD9" w:rsidRDefault="008F33C8" w:rsidP="00CD2DD9">
      <w:pPr>
        <w:pStyle w:val="Default"/>
        <w:numPr>
          <w:ilvl w:val="0"/>
          <w:numId w:val="2"/>
        </w:numPr>
        <w:ind w:left="0" w:firstLine="0"/>
        <w:jc w:val="both"/>
        <w:rPr>
          <w:sz w:val="20"/>
          <w:szCs w:val="20"/>
          <w:lang w:val="es-CR"/>
        </w:rPr>
      </w:pPr>
      <w:r w:rsidRPr="00CD2DD9">
        <w:rPr>
          <w:sz w:val="20"/>
          <w:szCs w:val="20"/>
          <w:lang w:val="es-ES"/>
        </w:rPr>
        <w:t xml:space="preserve">Los escritos presentados por la República de El Salvador (en adelante “el Estado”) los días </w:t>
      </w:r>
      <w:r w:rsidR="00E102AF">
        <w:rPr>
          <w:sz w:val="20"/>
          <w:szCs w:val="20"/>
          <w:lang w:val="es-ES"/>
        </w:rPr>
        <w:t>10</w:t>
      </w:r>
      <w:r w:rsidRPr="00CD2DD9">
        <w:rPr>
          <w:sz w:val="20"/>
          <w:szCs w:val="20"/>
          <w:lang w:val="es-ES"/>
        </w:rPr>
        <w:t xml:space="preserve"> de julio</w:t>
      </w:r>
      <w:r w:rsidRPr="00E87A31">
        <w:rPr>
          <w:sz w:val="16"/>
          <w:szCs w:val="16"/>
          <w:lang w:val="es-ES"/>
        </w:rPr>
        <w:t xml:space="preserve">, </w:t>
      </w:r>
      <w:r w:rsidRPr="00E87A31">
        <w:rPr>
          <w:sz w:val="20"/>
          <w:szCs w:val="20"/>
          <w:lang w:val="es-ES"/>
        </w:rPr>
        <w:t>24 de agosto</w:t>
      </w:r>
      <w:r w:rsidRPr="00E87A31">
        <w:rPr>
          <w:sz w:val="16"/>
          <w:szCs w:val="16"/>
          <w:lang w:val="es-ES"/>
        </w:rPr>
        <w:t xml:space="preserve">  </w:t>
      </w:r>
      <w:r w:rsidRPr="00E87A31">
        <w:rPr>
          <w:sz w:val="20"/>
          <w:szCs w:val="20"/>
          <w:lang w:val="es-ES"/>
        </w:rPr>
        <w:t>y 29 de diciembre de 2015</w:t>
      </w:r>
      <w:r w:rsidR="00167655" w:rsidRPr="00E87A31">
        <w:rPr>
          <w:sz w:val="20"/>
          <w:szCs w:val="20"/>
          <w:lang w:val="es-ES"/>
        </w:rPr>
        <w:t>;</w:t>
      </w:r>
      <w:r w:rsidRPr="00E87A31">
        <w:rPr>
          <w:sz w:val="16"/>
          <w:szCs w:val="16"/>
          <w:lang w:val="es-ES"/>
        </w:rPr>
        <w:t xml:space="preserve"> </w:t>
      </w:r>
      <w:r w:rsidRPr="00E87A31">
        <w:rPr>
          <w:sz w:val="20"/>
          <w:szCs w:val="20"/>
          <w:lang w:val="es-ES"/>
        </w:rPr>
        <w:t>14 de junio</w:t>
      </w:r>
      <w:r w:rsidRPr="00E87A31">
        <w:rPr>
          <w:sz w:val="16"/>
          <w:szCs w:val="16"/>
          <w:lang w:val="es-ES"/>
        </w:rPr>
        <w:t xml:space="preserve"> </w:t>
      </w:r>
      <w:r w:rsidR="006346D0">
        <w:rPr>
          <w:sz w:val="20"/>
          <w:szCs w:val="20"/>
          <w:lang w:val="es-ES"/>
        </w:rPr>
        <w:t xml:space="preserve"> y</w:t>
      </w:r>
      <w:r w:rsidR="001837EF">
        <w:rPr>
          <w:sz w:val="20"/>
          <w:szCs w:val="20"/>
          <w:lang w:val="es-ES"/>
        </w:rPr>
        <w:t xml:space="preserve"> 12 de octubre de 2016</w:t>
      </w:r>
      <w:r w:rsidR="00A75316" w:rsidRPr="00064B50">
        <w:rPr>
          <w:sz w:val="16"/>
          <w:szCs w:val="16"/>
          <w:lang w:val="es-ES"/>
        </w:rPr>
        <w:t>;</w:t>
      </w:r>
      <w:r w:rsidR="006346D0">
        <w:rPr>
          <w:sz w:val="20"/>
          <w:szCs w:val="20"/>
          <w:lang w:val="es-ES"/>
        </w:rPr>
        <w:t xml:space="preserve"> </w:t>
      </w:r>
      <w:r w:rsidR="00064B50">
        <w:rPr>
          <w:sz w:val="20"/>
          <w:szCs w:val="20"/>
          <w:lang w:val="es-ES"/>
        </w:rPr>
        <w:t>11 de julio de 2017</w:t>
      </w:r>
      <w:r w:rsidR="00CD2DD9" w:rsidRPr="00CD2DD9">
        <w:rPr>
          <w:sz w:val="20"/>
          <w:szCs w:val="20"/>
          <w:lang w:val="es-ES"/>
        </w:rPr>
        <w:t xml:space="preserve"> </w:t>
      </w:r>
      <w:r w:rsidRPr="00CD2DD9">
        <w:rPr>
          <w:sz w:val="20"/>
          <w:szCs w:val="20"/>
          <w:lang w:val="es-ES"/>
        </w:rPr>
        <w:t>y 1</w:t>
      </w:r>
      <w:r w:rsidR="00E102AF">
        <w:rPr>
          <w:sz w:val="20"/>
          <w:szCs w:val="20"/>
          <w:lang w:val="es-ES"/>
        </w:rPr>
        <w:t>4</w:t>
      </w:r>
      <w:r w:rsidRPr="00CD2DD9">
        <w:rPr>
          <w:sz w:val="20"/>
          <w:szCs w:val="20"/>
          <w:lang w:val="es-ES"/>
        </w:rPr>
        <w:t xml:space="preserve"> de agosto de 2018.</w:t>
      </w:r>
    </w:p>
    <w:p w:rsidR="008F33C8" w:rsidRPr="00CD2DD9" w:rsidRDefault="008F33C8" w:rsidP="00CD2DD9">
      <w:pPr>
        <w:pStyle w:val="Default"/>
        <w:jc w:val="both"/>
        <w:rPr>
          <w:sz w:val="20"/>
          <w:szCs w:val="20"/>
          <w:lang w:val="es-CR"/>
        </w:rPr>
      </w:pPr>
    </w:p>
    <w:p w:rsidR="00643BBE" w:rsidRPr="00CD2DD9" w:rsidRDefault="008F33C8" w:rsidP="00CD2DD9">
      <w:pPr>
        <w:pStyle w:val="Default"/>
        <w:numPr>
          <w:ilvl w:val="0"/>
          <w:numId w:val="2"/>
        </w:numPr>
        <w:ind w:left="0" w:firstLine="0"/>
        <w:jc w:val="both"/>
        <w:rPr>
          <w:sz w:val="20"/>
          <w:szCs w:val="20"/>
          <w:lang w:val="es-CR"/>
        </w:rPr>
      </w:pPr>
      <w:r w:rsidRPr="00CD2DD9">
        <w:rPr>
          <w:sz w:val="20"/>
          <w:szCs w:val="20"/>
          <w:lang w:val="es-ES"/>
        </w:rPr>
        <w:t xml:space="preserve">Los escritos presentados por </w:t>
      </w:r>
      <w:r w:rsidR="009B1FD2">
        <w:rPr>
          <w:sz w:val="20"/>
          <w:szCs w:val="20"/>
          <w:lang w:val="es-ES"/>
        </w:rPr>
        <w:t>el</w:t>
      </w:r>
      <w:r w:rsidRPr="00CD2DD9">
        <w:rPr>
          <w:sz w:val="20"/>
          <w:szCs w:val="20"/>
          <w:lang w:val="es-ES"/>
        </w:rPr>
        <w:t xml:space="preserve"> beneficiario Adrián Meléndez Quijano (en adelante también “señor Meléndez Quijano” o “señor Meléndez”</w:t>
      </w:r>
      <w:r w:rsidR="009B1FD2">
        <w:rPr>
          <w:sz w:val="20"/>
          <w:szCs w:val="20"/>
          <w:lang w:val="es-ES"/>
        </w:rPr>
        <w:t xml:space="preserve"> o </w:t>
      </w:r>
      <w:r w:rsidR="00AB47DC">
        <w:rPr>
          <w:sz w:val="20"/>
          <w:szCs w:val="20"/>
          <w:lang w:val="es-ES"/>
        </w:rPr>
        <w:t>“</w:t>
      </w:r>
      <w:r w:rsidR="009B1FD2">
        <w:rPr>
          <w:sz w:val="20"/>
          <w:szCs w:val="20"/>
          <w:lang w:val="es-ES"/>
        </w:rPr>
        <w:t>el representante</w:t>
      </w:r>
      <w:r w:rsidR="00AB47DC">
        <w:rPr>
          <w:sz w:val="20"/>
          <w:szCs w:val="20"/>
          <w:lang w:val="es-ES"/>
        </w:rPr>
        <w:t>”)</w:t>
      </w:r>
      <w:r w:rsidR="00E102AF">
        <w:rPr>
          <w:sz w:val="20"/>
          <w:szCs w:val="20"/>
          <w:lang w:val="es-ES"/>
        </w:rPr>
        <w:t xml:space="preserve"> </w:t>
      </w:r>
      <w:r w:rsidR="00064B50">
        <w:rPr>
          <w:sz w:val="20"/>
          <w:szCs w:val="20"/>
          <w:lang w:val="es-ES"/>
        </w:rPr>
        <w:t>los días 11 de agosto</w:t>
      </w:r>
      <w:r w:rsidRPr="00CD2DD9">
        <w:rPr>
          <w:b/>
          <w:sz w:val="20"/>
          <w:szCs w:val="20"/>
          <w:lang w:val="es-ES"/>
        </w:rPr>
        <w:t xml:space="preserve"> </w:t>
      </w:r>
      <w:r w:rsidRPr="00CD2DD9">
        <w:rPr>
          <w:sz w:val="20"/>
          <w:szCs w:val="20"/>
          <w:lang w:val="es-ES"/>
        </w:rPr>
        <w:t xml:space="preserve">y 13 de septiembre </w:t>
      </w:r>
      <w:r w:rsidR="00CD2DD9" w:rsidRPr="00CD2DD9">
        <w:rPr>
          <w:sz w:val="20"/>
          <w:szCs w:val="20"/>
          <w:lang w:val="es-ES"/>
        </w:rPr>
        <w:t>de 2015</w:t>
      </w:r>
      <w:r w:rsidR="00A75316">
        <w:rPr>
          <w:sz w:val="20"/>
          <w:szCs w:val="20"/>
          <w:lang w:val="es-ES"/>
        </w:rPr>
        <w:t>;</w:t>
      </w:r>
      <w:r w:rsidR="00064B50">
        <w:rPr>
          <w:sz w:val="20"/>
          <w:szCs w:val="20"/>
          <w:lang w:val="es-ES"/>
        </w:rPr>
        <w:t xml:space="preserve"> 12 de febrero</w:t>
      </w:r>
      <w:r w:rsidR="00A75316">
        <w:rPr>
          <w:sz w:val="20"/>
          <w:szCs w:val="20"/>
          <w:lang w:val="es-ES"/>
        </w:rPr>
        <w:t xml:space="preserve">, </w:t>
      </w:r>
      <w:r w:rsidRPr="00CD2DD9">
        <w:rPr>
          <w:sz w:val="20"/>
          <w:szCs w:val="20"/>
          <w:lang w:val="es-ES"/>
        </w:rPr>
        <w:t>15 de julio</w:t>
      </w:r>
      <w:r w:rsidR="00643BBE" w:rsidRPr="00CD2DD9">
        <w:rPr>
          <w:sz w:val="20"/>
          <w:szCs w:val="20"/>
          <w:lang w:val="es-ES"/>
        </w:rPr>
        <w:t xml:space="preserve"> </w:t>
      </w:r>
      <w:r w:rsidR="006346D0">
        <w:rPr>
          <w:sz w:val="20"/>
          <w:szCs w:val="20"/>
          <w:lang w:val="es-ES"/>
        </w:rPr>
        <w:t xml:space="preserve">y </w:t>
      </w:r>
      <w:r w:rsidRPr="00CD2DD9">
        <w:rPr>
          <w:sz w:val="20"/>
          <w:szCs w:val="20"/>
          <w:lang w:val="es-ES"/>
        </w:rPr>
        <w:t>29</w:t>
      </w:r>
      <w:r w:rsidR="00064B50">
        <w:rPr>
          <w:sz w:val="20"/>
          <w:szCs w:val="20"/>
          <w:lang w:val="es-ES"/>
        </w:rPr>
        <w:t xml:space="preserve"> de noviembre de 2016</w:t>
      </w:r>
      <w:r w:rsidR="00BB5D82">
        <w:rPr>
          <w:sz w:val="20"/>
          <w:szCs w:val="20"/>
          <w:lang w:val="es-ES"/>
        </w:rPr>
        <w:t>;</w:t>
      </w:r>
      <w:r w:rsidR="00643BBE" w:rsidRPr="00CD2DD9">
        <w:rPr>
          <w:sz w:val="20"/>
          <w:szCs w:val="20"/>
          <w:lang w:val="es-ES"/>
        </w:rPr>
        <w:t xml:space="preserve"> 15 de agosto de 2017</w:t>
      </w:r>
      <w:r w:rsidR="002F0ACD">
        <w:rPr>
          <w:b/>
          <w:sz w:val="16"/>
          <w:szCs w:val="16"/>
          <w:lang w:val="es-ES"/>
        </w:rPr>
        <w:t xml:space="preserve"> </w:t>
      </w:r>
      <w:r w:rsidR="002F0ACD" w:rsidRPr="002F0ACD">
        <w:rPr>
          <w:sz w:val="20"/>
          <w:szCs w:val="20"/>
          <w:lang w:val="es-ES"/>
        </w:rPr>
        <w:t>y 18</w:t>
      </w:r>
      <w:r w:rsidR="002F0ACD">
        <w:rPr>
          <w:sz w:val="20"/>
          <w:szCs w:val="20"/>
          <w:lang w:val="es-ES"/>
        </w:rPr>
        <w:t xml:space="preserve"> de septiembre de 2018</w:t>
      </w:r>
      <w:r w:rsidR="006C49C2" w:rsidRPr="00CD2DD9">
        <w:rPr>
          <w:sz w:val="20"/>
          <w:szCs w:val="20"/>
          <w:lang w:val="es-ES"/>
        </w:rPr>
        <w:t>.</w:t>
      </w:r>
      <w:r w:rsidR="006C49C2" w:rsidRPr="00E87A31" w:rsidDel="006C49C2">
        <w:rPr>
          <w:b/>
          <w:sz w:val="16"/>
          <w:szCs w:val="16"/>
          <w:lang w:val="es-ES"/>
        </w:rPr>
        <w:t xml:space="preserve"> </w:t>
      </w:r>
    </w:p>
    <w:p w:rsidR="00643BBE" w:rsidRPr="00CD2DD9" w:rsidRDefault="00643BBE" w:rsidP="00CD2DD9">
      <w:pPr>
        <w:pStyle w:val="ListParagraph"/>
        <w:rPr>
          <w:sz w:val="20"/>
          <w:szCs w:val="20"/>
        </w:rPr>
      </w:pPr>
    </w:p>
    <w:p w:rsidR="00643BBE" w:rsidRPr="00CD2DD9" w:rsidRDefault="00643BBE" w:rsidP="00CD2DD9">
      <w:pPr>
        <w:pStyle w:val="Default"/>
        <w:numPr>
          <w:ilvl w:val="0"/>
          <w:numId w:val="2"/>
        </w:numPr>
        <w:ind w:left="0" w:firstLine="0"/>
        <w:jc w:val="both"/>
        <w:rPr>
          <w:sz w:val="20"/>
          <w:szCs w:val="20"/>
          <w:lang w:val="es-CR"/>
        </w:rPr>
      </w:pPr>
      <w:r w:rsidRPr="00CD2DD9">
        <w:rPr>
          <w:sz w:val="20"/>
          <w:szCs w:val="20"/>
          <w:lang w:val="es-ES"/>
        </w:rPr>
        <w:t xml:space="preserve">Los escritos presentados por la Comisión Interamericana de Derechos Humanos (en adelante “la Comisión Interamericana” o “la Comisión”), recibidos el 21 de septiembre </w:t>
      </w:r>
      <w:r w:rsidR="006346D0">
        <w:rPr>
          <w:sz w:val="20"/>
          <w:szCs w:val="20"/>
          <w:lang w:val="es-ES"/>
        </w:rPr>
        <w:t>y 30 de octubre de 201</w:t>
      </w:r>
      <w:r w:rsidR="00064B50">
        <w:rPr>
          <w:sz w:val="20"/>
          <w:szCs w:val="20"/>
          <w:lang w:val="es-ES"/>
        </w:rPr>
        <w:t>5</w:t>
      </w:r>
      <w:r w:rsidR="006C49C2">
        <w:rPr>
          <w:sz w:val="20"/>
          <w:szCs w:val="20"/>
          <w:lang w:val="es-ES"/>
        </w:rPr>
        <w:t>;</w:t>
      </w:r>
      <w:r w:rsidRPr="00CD2DD9">
        <w:rPr>
          <w:b/>
          <w:sz w:val="20"/>
          <w:szCs w:val="20"/>
          <w:lang w:val="es-ES"/>
        </w:rPr>
        <w:t xml:space="preserve"> </w:t>
      </w:r>
      <w:r w:rsidRPr="00CD2DD9">
        <w:rPr>
          <w:sz w:val="20"/>
          <w:szCs w:val="20"/>
          <w:lang w:val="es-ES"/>
        </w:rPr>
        <w:t>17 de marzo</w:t>
      </w:r>
      <w:r w:rsidR="00E72973">
        <w:rPr>
          <w:b/>
          <w:sz w:val="16"/>
          <w:szCs w:val="16"/>
          <w:lang w:val="es-ES"/>
        </w:rPr>
        <w:t>,</w:t>
      </w:r>
      <w:r w:rsidR="00CD2DD9">
        <w:rPr>
          <w:b/>
          <w:sz w:val="20"/>
          <w:szCs w:val="20"/>
          <w:lang w:val="es-ES"/>
        </w:rPr>
        <w:t xml:space="preserve"> </w:t>
      </w:r>
      <w:r w:rsidR="00CD2DD9">
        <w:rPr>
          <w:sz w:val="20"/>
          <w:szCs w:val="20"/>
          <w:lang w:val="es-ES"/>
        </w:rPr>
        <w:t>9 de agosto</w:t>
      </w:r>
      <w:r w:rsidRPr="00CD2DD9">
        <w:rPr>
          <w:sz w:val="20"/>
          <w:szCs w:val="20"/>
          <w:lang w:val="es-ES"/>
        </w:rPr>
        <w:t xml:space="preserve"> de 2016</w:t>
      </w:r>
      <w:r w:rsidR="006346D0">
        <w:rPr>
          <w:sz w:val="20"/>
          <w:szCs w:val="20"/>
          <w:lang w:val="es-ES"/>
        </w:rPr>
        <w:t>,</w:t>
      </w:r>
      <w:r w:rsidRPr="00CD2DD9">
        <w:rPr>
          <w:sz w:val="20"/>
          <w:szCs w:val="20"/>
          <w:lang w:val="es-ES"/>
        </w:rPr>
        <w:t xml:space="preserve"> y 22 de mayo de 2017</w:t>
      </w:r>
      <w:r w:rsidR="006C49C2">
        <w:rPr>
          <w:b/>
          <w:sz w:val="16"/>
          <w:szCs w:val="16"/>
          <w:lang w:val="es-ES"/>
        </w:rPr>
        <w:t>.</w:t>
      </w:r>
      <w:r w:rsidRPr="00E87A31">
        <w:rPr>
          <w:sz w:val="16"/>
          <w:szCs w:val="16"/>
          <w:lang w:val="es-ES"/>
        </w:rPr>
        <w:t xml:space="preserve"> </w:t>
      </w:r>
    </w:p>
    <w:p w:rsidR="00CD2DD9" w:rsidRPr="00CD2DD9" w:rsidRDefault="00CD2DD9" w:rsidP="00CD2DD9">
      <w:pPr>
        <w:pStyle w:val="ListParagraph"/>
        <w:rPr>
          <w:sz w:val="20"/>
          <w:szCs w:val="20"/>
          <w:lang w:val="es-CR"/>
        </w:rPr>
      </w:pPr>
    </w:p>
    <w:p w:rsidR="008F33C8" w:rsidRPr="00CD2DD9" w:rsidRDefault="00643BBE" w:rsidP="00CD2DD9">
      <w:pPr>
        <w:pStyle w:val="Default"/>
        <w:numPr>
          <w:ilvl w:val="0"/>
          <w:numId w:val="2"/>
        </w:numPr>
        <w:ind w:left="0" w:firstLine="0"/>
        <w:jc w:val="both"/>
        <w:rPr>
          <w:sz w:val="20"/>
          <w:szCs w:val="20"/>
          <w:lang w:val="es-CR"/>
        </w:rPr>
      </w:pPr>
      <w:r w:rsidRPr="00CD2DD9">
        <w:rPr>
          <w:sz w:val="20"/>
          <w:szCs w:val="20"/>
          <w:lang w:val="es-ES"/>
        </w:rPr>
        <w:t>Las comunicaciones de la Secretaría de la Corte de 29 de enero de 2016, dirigidas al Estado, a los representantes y a la Comisión, en las que, siguiendo instrucciones del Presidente de la Corte, en relación con lo dispuesto en las Resoluciones de</w:t>
      </w:r>
      <w:r w:rsidR="006346D0">
        <w:rPr>
          <w:sz w:val="20"/>
          <w:szCs w:val="20"/>
          <w:lang w:val="es-ES"/>
        </w:rPr>
        <w:t xml:space="preserve"> este</w:t>
      </w:r>
      <w:r w:rsidRPr="00CD2DD9">
        <w:rPr>
          <w:sz w:val="20"/>
          <w:szCs w:val="20"/>
          <w:lang w:val="es-ES"/>
        </w:rPr>
        <w:t xml:space="preserve"> Tribunal de 17 de abril y 30 de junio de 2015 (</w:t>
      </w:r>
      <w:r w:rsidRPr="00CD2DD9">
        <w:rPr>
          <w:i/>
          <w:sz w:val="20"/>
          <w:szCs w:val="20"/>
          <w:lang w:val="es-ES"/>
        </w:rPr>
        <w:t>supra</w:t>
      </w:r>
      <w:r w:rsidRPr="00CD2DD9">
        <w:rPr>
          <w:sz w:val="20"/>
          <w:szCs w:val="20"/>
          <w:lang w:val="es-ES"/>
        </w:rPr>
        <w:t xml:space="preserve"> Considerando 1), se aclaró que “el Estado deberá mantener las medidas ordenadas hasta que la Corte oportunamente emita y notifique una decisión al respecto”. </w:t>
      </w:r>
    </w:p>
    <w:p w:rsidR="003F7A8C" w:rsidRPr="00CD2DD9" w:rsidRDefault="003F7A8C" w:rsidP="003F7A8C">
      <w:pPr>
        <w:pStyle w:val="Default"/>
        <w:jc w:val="both"/>
        <w:rPr>
          <w:sz w:val="20"/>
          <w:szCs w:val="20"/>
          <w:lang w:val="es-CR"/>
        </w:rPr>
      </w:pPr>
    </w:p>
    <w:p w:rsidR="003F7A8C" w:rsidRPr="00CD2DD9" w:rsidRDefault="003F7A8C" w:rsidP="003F7A8C">
      <w:pPr>
        <w:pStyle w:val="Default"/>
        <w:numPr>
          <w:ilvl w:val="0"/>
          <w:numId w:val="2"/>
        </w:numPr>
        <w:ind w:left="0" w:firstLine="0"/>
        <w:jc w:val="both"/>
        <w:rPr>
          <w:sz w:val="20"/>
          <w:szCs w:val="20"/>
          <w:lang w:val="es-CR"/>
        </w:rPr>
      </w:pPr>
      <w:r w:rsidRPr="00CD2DD9">
        <w:rPr>
          <w:sz w:val="20"/>
          <w:szCs w:val="20"/>
          <w:lang w:val="es-CR"/>
        </w:rPr>
        <w:t>La petición en el caso relacionado a las presentes medidas fu</w:t>
      </w:r>
      <w:r w:rsidR="007665B0" w:rsidRPr="00CD2DD9">
        <w:rPr>
          <w:sz w:val="20"/>
          <w:szCs w:val="20"/>
          <w:lang w:val="es-CR"/>
        </w:rPr>
        <w:t xml:space="preserve">e admitida por la Comisión </w:t>
      </w:r>
      <w:r w:rsidR="003F776D">
        <w:rPr>
          <w:sz w:val="20"/>
          <w:szCs w:val="20"/>
          <w:lang w:val="es-CR"/>
        </w:rPr>
        <w:t xml:space="preserve">Interamericana </w:t>
      </w:r>
      <w:r w:rsidR="007665B0" w:rsidRPr="00CD2DD9">
        <w:rPr>
          <w:sz w:val="20"/>
          <w:szCs w:val="20"/>
          <w:lang w:val="es-CR"/>
        </w:rPr>
        <w:t>el 25</w:t>
      </w:r>
      <w:r w:rsidRPr="00CD2DD9">
        <w:rPr>
          <w:sz w:val="20"/>
          <w:szCs w:val="20"/>
          <w:lang w:val="es-CR"/>
        </w:rPr>
        <w:t xml:space="preserve"> de </w:t>
      </w:r>
      <w:r w:rsidR="007665B0" w:rsidRPr="00CD2DD9">
        <w:rPr>
          <w:sz w:val="20"/>
          <w:szCs w:val="20"/>
          <w:lang w:val="es-CR"/>
        </w:rPr>
        <w:t>mayo</w:t>
      </w:r>
      <w:r w:rsidRPr="00CD2DD9">
        <w:rPr>
          <w:sz w:val="20"/>
          <w:szCs w:val="20"/>
          <w:lang w:val="es-CR"/>
        </w:rPr>
        <w:t xml:space="preserve"> de 201</w:t>
      </w:r>
      <w:r w:rsidR="0092062C" w:rsidRPr="00CD2DD9">
        <w:rPr>
          <w:sz w:val="20"/>
          <w:szCs w:val="20"/>
          <w:lang w:val="es-CR"/>
        </w:rPr>
        <w:t>7</w:t>
      </w:r>
      <w:r w:rsidR="007665B0" w:rsidRPr="00CD2DD9">
        <w:rPr>
          <w:rStyle w:val="FootnoteReference"/>
          <w:sz w:val="20"/>
          <w:szCs w:val="20"/>
          <w:lang w:val="es-CR"/>
        </w:rPr>
        <w:footnoteReference w:id="3"/>
      </w:r>
      <w:r w:rsidRPr="00CD2DD9">
        <w:rPr>
          <w:sz w:val="20"/>
          <w:szCs w:val="20"/>
          <w:lang w:val="es-CR"/>
        </w:rPr>
        <w:t xml:space="preserve">. </w:t>
      </w:r>
    </w:p>
    <w:p w:rsidR="001F743D" w:rsidRDefault="001F743D" w:rsidP="001F743D">
      <w:pPr>
        <w:pStyle w:val="Heading4"/>
        <w:spacing w:before="0" w:after="0"/>
        <w:rPr>
          <w:rFonts w:ascii="Verdana" w:hAnsi="Verdana"/>
          <w:caps/>
          <w:sz w:val="20"/>
        </w:rPr>
      </w:pPr>
    </w:p>
    <w:p w:rsidR="0084066B" w:rsidRPr="0084066B" w:rsidRDefault="0084066B" w:rsidP="0084066B">
      <w:pPr>
        <w:rPr>
          <w:lang w:eastAsia="es-ES"/>
        </w:rPr>
      </w:pPr>
    </w:p>
    <w:p w:rsidR="001F743D" w:rsidRPr="006A5BC6" w:rsidRDefault="001F743D" w:rsidP="001F743D">
      <w:pPr>
        <w:pStyle w:val="Heading4"/>
        <w:spacing w:before="0" w:after="0"/>
        <w:rPr>
          <w:rFonts w:ascii="Verdana" w:hAnsi="Verdana"/>
          <w:caps/>
          <w:sz w:val="20"/>
        </w:rPr>
      </w:pPr>
      <w:r w:rsidRPr="006A5BC6">
        <w:rPr>
          <w:rFonts w:ascii="Verdana" w:hAnsi="Verdana"/>
          <w:caps/>
          <w:sz w:val="20"/>
        </w:rPr>
        <w:t>Considerando que:</w:t>
      </w:r>
    </w:p>
    <w:p w:rsidR="001F743D" w:rsidRPr="006A5BC6" w:rsidRDefault="001F743D" w:rsidP="001F743D">
      <w:pPr>
        <w:rPr>
          <w:rFonts w:ascii="Verdana" w:hAnsi="Verdana"/>
          <w:sz w:val="20"/>
          <w:szCs w:val="20"/>
          <w:lang w:eastAsia="es-ES"/>
        </w:rPr>
      </w:pPr>
    </w:p>
    <w:p w:rsidR="001F743D" w:rsidRPr="006A5BC6" w:rsidRDefault="001F743D" w:rsidP="00FB521D">
      <w:pPr>
        <w:pStyle w:val="ListParagraph"/>
        <w:numPr>
          <w:ilvl w:val="0"/>
          <w:numId w:val="3"/>
        </w:numPr>
        <w:ind w:left="0" w:firstLine="0"/>
        <w:jc w:val="both"/>
        <w:rPr>
          <w:rFonts w:ascii="Verdana" w:hAnsi="Verdana"/>
          <w:sz w:val="20"/>
          <w:szCs w:val="20"/>
          <w:lang w:eastAsia="es-ES"/>
        </w:rPr>
      </w:pPr>
      <w:r w:rsidRPr="006A5BC6">
        <w:rPr>
          <w:rFonts w:ascii="Verdana" w:hAnsi="Verdana"/>
          <w:sz w:val="20"/>
          <w:szCs w:val="20"/>
        </w:rPr>
        <w:t>El artículo 63.2 de la Convención Americana dispone que “[e]n casos de extrema gravedad y urgencia, y cuando se haga necesario evitar daños irreparables a las personas, la Corte, en los asuntos que esté conociendo, podrá tomar las medidas provisionales que considere pertinentes. Si se tratare de asuntos que aún no estén sometidos a su conocimiento, podrá actuar a solicitud de la Comisión”. Esta disposición está a su vez regulada en el artículo 27 del Reglamento de la Corte.</w:t>
      </w:r>
    </w:p>
    <w:p w:rsidR="0050736A" w:rsidRPr="006A5BC6" w:rsidRDefault="0050736A" w:rsidP="00FB521D">
      <w:pPr>
        <w:pStyle w:val="ListParagraph"/>
        <w:ind w:left="0"/>
        <w:jc w:val="both"/>
        <w:rPr>
          <w:rFonts w:ascii="Verdana" w:hAnsi="Verdana"/>
          <w:sz w:val="20"/>
          <w:szCs w:val="20"/>
          <w:lang w:eastAsia="es-ES"/>
        </w:rPr>
      </w:pPr>
    </w:p>
    <w:p w:rsidR="001F743D" w:rsidRPr="006A5BC6" w:rsidRDefault="001F743D" w:rsidP="00FB521D">
      <w:pPr>
        <w:pStyle w:val="ListParagraph"/>
        <w:numPr>
          <w:ilvl w:val="0"/>
          <w:numId w:val="3"/>
        </w:numPr>
        <w:ind w:left="0" w:firstLine="0"/>
        <w:jc w:val="both"/>
        <w:rPr>
          <w:rFonts w:ascii="Verdana" w:hAnsi="Verdana"/>
          <w:sz w:val="20"/>
          <w:szCs w:val="20"/>
          <w:lang w:eastAsia="es-ES"/>
        </w:rPr>
      </w:pPr>
      <w:r w:rsidRPr="006A5BC6">
        <w:rPr>
          <w:rFonts w:ascii="Verdana" w:hAnsi="Verdana"/>
          <w:sz w:val="20"/>
          <w:szCs w:val="20"/>
        </w:rPr>
        <w:t>Las medidas provisionales tienen una naturaleza temporal y carácter excepcional, y son dictadas siempre y cuando se reúnan los requisitos básicos de extrema gravedad y urgencia, y necesidad de evitar daños irreparables a las personas. Estos tres requisitos son coexistentes y deben persistir para que la Corte mantenga la protección ordenada; si uno de ellos ha dejado de tener vigencia, corresponderá al Tribunal valorar la pertinencia de su continuación</w:t>
      </w:r>
      <w:r w:rsidRPr="006A5BC6">
        <w:rPr>
          <w:rStyle w:val="FootnoteReference"/>
          <w:sz w:val="20"/>
          <w:szCs w:val="20"/>
        </w:rPr>
        <w:footnoteReference w:id="4"/>
      </w:r>
      <w:r w:rsidRPr="006A5BC6">
        <w:rPr>
          <w:rFonts w:ascii="Verdana" w:hAnsi="Verdana"/>
          <w:sz w:val="20"/>
          <w:szCs w:val="20"/>
        </w:rPr>
        <w:t xml:space="preserve">. Así, a efectos de decidir si se mantiene la vigencia de las medidas provisionales, el Tribunal debe </w:t>
      </w:r>
      <w:r w:rsidRPr="006A5BC6">
        <w:rPr>
          <w:rFonts w:ascii="Verdana" w:hAnsi="Verdana"/>
          <w:sz w:val="20"/>
          <w:szCs w:val="20"/>
        </w:rPr>
        <w:lastRenderedPageBreak/>
        <w:t>analizar si persiste la situación que determinó su adopción, o bien si nuevas circunstancias igualmente graves y urgentes ameritan su mantenimiento</w:t>
      </w:r>
      <w:r w:rsidRPr="006A5BC6">
        <w:rPr>
          <w:rStyle w:val="FootnoteReference"/>
          <w:sz w:val="20"/>
          <w:szCs w:val="20"/>
        </w:rPr>
        <w:footnoteReference w:id="5"/>
      </w:r>
      <w:r w:rsidRPr="006A5BC6">
        <w:rPr>
          <w:rFonts w:ascii="Verdana" w:hAnsi="Verdana"/>
          <w:sz w:val="20"/>
          <w:szCs w:val="20"/>
        </w:rPr>
        <w:t>.</w:t>
      </w:r>
    </w:p>
    <w:p w:rsidR="0050736A" w:rsidRPr="006A5BC6" w:rsidRDefault="0050736A" w:rsidP="00FB521D">
      <w:pPr>
        <w:pStyle w:val="ListParagraph"/>
        <w:ind w:left="0"/>
        <w:jc w:val="both"/>
        <w:rPr>
          <w:rFonts w:ascii="Verdana" w:hAnsi="Verdana"/>
          <w:sz w:val="20"/>
          <w:szCs w:val="20"/>
          <w:lang w:eastAsia="es-ES"/>
        </w:rPr>
      </w:pPr>
    </w:p>
    <w:p w:rsidR="0050736A" w:rsidRPr="006A5BC6" w:rsidRDefault="0050736A" w:rsidP="00FB521D">
      <w:pPr>
        <w:pStyle w:val="ListParagraph"/>
        <w:numPr>
          <w:ilvl w:val="0"/>
          <w:numId w:val="3"/>
        </w:numPr>
        <w:ind w:left="0" w:firstLine="0"/>
        <w:jc w:val="both"/>
        <w:rPr>
          <w:rFonts w:ascii="Verdana" w:hAnsi="Verdana"/>
          <w:sz w:val="20"/>
          <w:szCs w:val="20"/>
          <w:lang w:eastAsia="es-ES"/>
        </w:rPr>
      </w:pPr>
      <w:r w:rsidRPr="006A5BC6">
        <w:rPr>
          <w:rFonts w:ascii="Verdana" w:hAnsi="Verdana"/>
          <w:sz w:val="20"/>
          <w:szCs w:val="20"/>
        </w:rPr>
        <w:t xml:space="preserve">Dadas las características de temporalidad y urgencia, la evaluación de la persistencia de la situación que dio origen a las medidas provisionales exige una evaluación cada vez más rigurosa por </w:t>
      </w:r>
      <w:r w:rsidRPr="00BF31B9">
        <w:rPr>
          <w:rFonts w:ascii="Verdana" w:hAnsi="Verdana"/>
          <w:sz w:val="20"/>
          <w:szCs w:val="20"/>
        </w:rPr>
        <w:t>parte de la Corte a medida que se va prolongando el tiempo en que dichas medidas han permanecido vigentes</w:t>
      </w:r>
      <w:r w:rsidRPr="00BF31B9">
        <w:rPr>
          <w:rStyle w:val="FootnoteReference"/>
          <w:sz w:val="20"/>
          <w:szCs w:val="20"/>
        </w:rPr>
        <w:footnoteReference w:id="6"/>
      </w:r>
      <w:r w:rsidRPr="00BF31B9">
        <w:rPr>
          <w:rFonts w:ascii="Verdana" w:hAnsi="Verdana"/>
          <w:sz w:val="20"/>
          <w:szCs w:val="20"/>
        </w:rPr>
        <w:t xml:space="preserve">. Este Tribunal ha señalado que, conforme a la Convención y al Reglamento, la carga procesal de demostrar </w:t>
      </w:r>
      <w:r w:rsidRPr="005F372F">
        <w:rPr>
          <w:rFonts w:ascii="Verdana" w:hAnsi="Verdana"/>
          <w:i/>
          <w:sz w:val="20"/>
          <w:szCs w:val="20"/>
        </w:rPr>
        <w:t>prima facie</w:t>
      </w:r>
      <w:r w:rsidRPr="00BF31B9">
        <w:rPr>
          <w:rFonts w:ascii="Verdana" w:hAnsi="Verdana"/>
          <w:sz w:val="20"/>
          <w:szCs w:val="20"/>
        </w:rPr>
        <w:t xml:space="preserve"> dichos requisitos recae en el solicitante</w:t>
      </w:r>
      <w:r w:rsidRPr="00BF31B9">
        <w:rPr>
          <w:rStyle w:val="FootnoteReference"/>
          <w:sz w:val="20"/>
          <w:szCs w:val="20"/>
        </w:rPr>
        <w:footnoteReference w:id="7"/>
      </w:r>
      <w:r w:rsidRPr="00BF31B9">
        <w:rPr>
          <w:rFonts w:ascii="Verdana" w:hAnsi="Verdana"/>
          <w:sz w:val="20"/>
          <w:szCs w:val="20"/>
        </w:rPr>
        <w:t>. A su vez, los representantes de los beneficiarios que deseen que las medidas continúen, deberán presentar prueba de las razones para ello</w:t>
      </w:r>
      <w:r w:rsidRPr="00BF31B9">
        <w:rPr>
          <w:rStyle w:val="FootnoteReference"/>
          <w:sz w:val="20"/>
          <w:szCs w:val="20"/>
        </w:rPr>
        <w:footnoteReference w:id="8"/>
      </w:r>
      <w:r w:rsidRPr="00BF31B9">
        <w:rPr>
          <w:rFonts w:ascii="Verdana" w:hAnsi="Verdana"/>
          <w:sz w:val="20"/>
          <w:szCs w:val="20"/>
        </w:rPr>
        <w:t>.</w:t>
      </w:r>
    </w:p>
    <w:p w:rsidR="002A1031" w:rsidRPr="006A5BC6" w:rsidRDefault="002A1031" w:rsidP="00FB521D">
      <w:pPr>
        <w:pStyle w:val="ListParagraph"/>
        <w:ind w:left="0"/>
        <w:rPr>
          <w:rFonts w:ascii="Verdana" w:hAnsi="Verdana"/>
          <w:sz w:val="20"/>
          <w:szCs w:val="20"/>
          <w:lang w:eastAsia="es-ES"/>
        </w:rPr>
      </w:pPr>
    </w:p>
    <w:p w:rsidR="002A1031" w:rsidRPr="0004597D" w:rsidRDefault="00532A09" w:rsidP="00FB521D">
      <w:pPr>
        <w:pStyle w:val="ListParagraph"/>
        <w:numPr>
          <w:ilvl w:val="0"/>
          <w:numId w:val="3"/>
        </w:numPr>
        <w:ind w:left="0" w:firstLine="0"/>
        <w:jc w:val="both"/>
        <w:rPr>
          <w:rFonts w:ascii="Verdana" w:hAnsi="Verdana"/>
          <w:strike/>
          <w:sz w:val="20"/>
          <w:szCs w:val="20"/>
          <w:lang w:eastAsia="es-ES"/>
        </w:rPr>
      </w:pPr>
      <w:r>
        <w:rPr>
          <w:rFonts w:ascii="Verdana" w:hAnsi="Verdana"/>
          <w:sz w:val="20"/>
          <w:szCs w:val="20"/>
        </w:rPr>
        <w:t>A su vez, si</w:t>
      </w:r>
      <w:r w:rsidR="002A1031" w:rsidRPr="006A5BC6">
        <w:rPr>
          <w:rFonts w:ascii="Verdana" w:hAnsi="Verdana"/>
          <w:sz w:val="20"/>
          <w:szCs w:val="20"/>
        </w:rPr>
        <w:t xml:space="preserve"> un Estado solicita el levantamiento o la modificación de las medidas provisionales ordenadas, deberá presentar la suficiente prueba y argumentación que permita al Tribunal apreciar que el riesgo o la amenaza ya no reúne los requisitos de extrema gravedad y urgencia </w:t>
      </w:r>
      <w:r w:rsidR="004315D4">
        <w:rPr>
          <w:rFonts w:ascii="Verdana" w:hAnsi="Verdana"/>
          <w:sz w:val="20"/>
          <w:szCs w:val="20"/>
        </w:rPr>
        <w:t>a fin de</w:t>
      </w:r>
      <w:r>
        <w:rPr>
          <w:rFonts w:ascii="Verdana" w:hAnsi="Verdana"/>
          <w:sz w:val="20"/>
          <w:szCs w:val="20"/>
        </w:rPr>
        <w:t xml:space="preserve"> evitar daños irreparables</w:t>
      </w:r>
      <w:r w:rsidR="002A1031" w:rsidRPr="00BF31B9">
        <w:rPr>
          <w:rStyle w:val="FootnoteReference"/>
          <w:sz w:val="20"/>
          <w:szCs w:val="20"/>
        </w:rPr>
        <w:footnoteReference w:id="9"/>
      </w:r>
      <w:r w:rsidR="008C67B9" w:rsidRPr="006A5BC6">
        <w:rPr>
          <w:rFonts w:ascii="Verdana" w:hAnsi="Verdana"/>
          <w:sz w:val="20"/>
          <w:szCs w:val="20"/>
        </w:rPr>
        <w:t>.</w:t>
      </w:r>
      <w:r w:rsidR="00BF31B9">
        <w:rPr>
          <w:rFonts w:ascii="Verdana" w:hAnsi="Verdana"/>
          <w:sz w:val="20"/>
          <w:szCs w:val="20"/>
        </w:rPr>
        <w:t xml:space="preserve"> </w:t>
      </w:r>
    </w:p>
    <w:p w:rsidR="008C67B9" w:rsidRPr="006A5BC6" w:rsidRDefault="008C67B9" w:rsidP="00FB521D">
      <w:pPr>
        <w:pStyle w:val="ListParagraph"/>
        <w:ind w:left="0"/>
        <w:rPr>
          <w:rFonts w:ascii="Verdana" w:hAnsi="Verdana"/>
          <w:sz w:val="20"/>
          <w:szCs w:val="20"/>
          <w:lang w:eastAsia="es-ES"/>
        </w:rPr>
      </w:pPr>
    </w:p>
    <w:p w:rsidR="008C67B9" w:rsidRPr="006A5BC6" w:rsidRDefault="008C67B9" w:rsidP="00FB521D">
      <w:pPr>
        <w:pStyle w:val="ListParagraph"/>
        <w:numPr>
          <w:ilvl w:val="0"/>
          <w:numId w:val="3"/>
        </w:numPr>
        <w:ind w:left="0" w:firstLine="0"/>
        <w:jc w:val="both"/>
        <w:rPr>
          <w:rFonts w:ascii="Verdana" w:hAnsi="Verdana"/>
          <w:sz w:val="20"/>
          <w:szCs w:val="20"/>
          <w:lang w:eastAsia="es-ES"/>
        </w:rPr>
      </w:pPr>
      <w:r w:rsidRPr="006A5BC6">
        <w:rPr>
          <w:rFonts w:ascii="Verdana" w:hAnsi="Verdana"/>
          <w:sz w:val="20"/>
          <w:szCs w:val="20"/>
        </w:rPr>
        <w:t>Asimismo, este Tribunal recuerda que</w:t>
      </w:r>
      <w:r w:rsidR="008E1F65">
        <w:rPr>
          <w:rFonts w:ascii="Verdana" w:hAnsi="Verdana"/>
          <w:sz w:val="20"/>
          <w:szCs w:val="20"/>
        </w:rPr>
        <w:t>,</w:t>
      </w:r>
      <w:r w:rsidRPr="006A5BC6">
        <w:rPr>
          <w:rFonts w:ascii="Verdana" w:hAnsi="Verdana"/>
          <w:sz w:val="20"/>
          <w:szCs w:val="20"/>
        </w:rPr>
        <w:t xml:space="preserve"> en razón de su competencia, en el marco de medidas provisionales debe considerar únicamente aquellos argumentos que se relacionen estricta y directamente con la extrema gravedad, urgencia y necesidad de evitar daños irreparables a las personas. Es así que, a efectos de decidir si se mantiene la vigencia de las medidas provisionales, este Tribunal debe analizar si persiste la situación que determinó su adopción, o bien si nuevas circunstancias igualmente graves y urgentes ameritan su mantenimiento</w:t>
      </w:r>
      <w:r w:rsidRPr="006A5BC6">
        <w:rPr>
          <w:rStyle w:val="FootnoteReference"/>
          <w:szCs w:val="20"/>
        </w:rPr>
        <w:footnoteReference w:id="10"/>
      </w:r>
      <w:r w:rsidRPr="006A5BC6">
        <w:rPr>
          <w:rFonts w:ascii="Verdana" w:hAnsi="Verdana"/>
          <w:sz w:val="20"/>
          <w:szCs w:val="20"/>
        </w:rPr>
        <w:t>. Cualquier otro hecho o argumento sólo puede ser analizado y resuelto por la Corte mediante la consideración del fondo de un caso contencioso o dentro del proceso de supervisión de cumplimiento de la sentencia respectiva</w:t>
      </w:r>
      <w:r w:rsidRPr="006A5BC6">
        <w:rPr>
          <w:rStyle w:val="FootnoteReference"/>
          <w:szCs w:val="20"/>
        </w:rPr>
        <w:footnoteReference w:id="11"/>
      </w:r>
      <w:r w:rsidRPr="006A5BC6">
        <w:rPr>
          <w:rFonts w:ascii="Verdana" w:hAnsi="Verdana"/>
          <w:sz w:val="20"/>
          <w:szCs w:val="20"/>
        </w:rPr>
        <w:t>.</w:t>
      </w:r>
    </w:p>
    <w:p w:rsidR="00FC45D8" w:rsidRPr="006A5BC6" w:rsidRDefault="00FC45D8" w:rsidP="00FB521D">
      <w:pPr>
        <w:pStyle w:val="ListParagraph"/>
        <w:ind w:left="0"/>
        <w:rPr>
          <w:rFonts w:ascii="Verdana" w:hAnsi="Verdana"/>
          <w:sz w:val="20"/>
          <w:szCs w:val="20"/>
          <w:lang w:eastAsia="es-ES"/>
        </w:rPr>
      </w:pPr>
    </w:p>
    <w:p w:rsidR="00E710F2" w:rsidRPr="006A5BC6" w:rsidRDefault="00E710F2" w:rsidP="00E710F2">
      <w:pPr>
        <w:pStyle w:val="ListParagraph"/>
        <w:numPr>
          <w:ilvl w:val="0"/>
          <w:numId w:val="5"/>
        </w:numPr>
        <w:jc w:val="both"/>
        <w:rPr>
          <w:rFonts w:ascii="Verdana" w:hAnsi="Verdana"/>
          <w:b/>
          <w:sz w:val="20"/>
          <w:szCs w:val="20"/>
        </w:rPr>
      </w:pPr>
      <w:r w:rsidRPr="006A5BC6">
        <w:rPr>
          <w:rFonts w:ascii="Verdana" w:hAnsi="Verdana"/>
          <w:b/>
          <w:sz w:val="20"/>
          <w:szCs w:val="20"/>
        </w:rPr>
        <w:t>Situación de riesgo para los beneficiaros</w:t>
      </w:r>
    </w:p>
    <w:p w:rsidR="00E710F2" w:rsidRPr="006A5BC6" w:rsidRDefault="00E710F2" w:rsidP="00E710F2">
      <w:pPr>
        <w:pStyle w:val="ListParagraph"/>
        <w:ind w:left="1080"/>
        <w:jc w:val="both"/>
        <w:rPr>
          <w:rFonts w:ascii="Verdana" w:hAnsi="Verdana"/>
          <w:b/>
          <w:sz w:val="20"/>
          <w:szCs w:val="20"/>
        </w:rPr>
      </w:pPr>
    </w:p>
    <w:p w:rsidR="00E710F2" w:rsidRPr="006A5BC6" w:rsidRDefault="00E710F2" w:rsidP="00E710F2">
      <w:pPr>
        <w:pStyle w:val="ListParagraph"/>
        <w:ind w:left="709"/>
        <w:jc w:val="both"/>
        <w:rPr>
          <w:rFonts w:ascii="Verdana" w:hAnsi="Verdana"/>
          <w:b/>
          <w:sz w:val="20"/>
          <w:szCs w:val="20"/>
        </w:rPr>
      </w:pPr>
      <w:r w:rsidRPr="006A5BC6">
        <w:rPr>
          <w:rFonts w:ascii="Verdana" w:hAnsi="Verdana"/>
          <w:b/>
          <w:sz w:val="20"/>
          <w:szCs w:val="20"/>
        </w:rPr>
        <w:t>A.1</w:t>
      </w:r>
      <w:r w:rsidR="00FA3062">
        <w:rPr>
          <w:rFonts w:ascii="Verdana" w:hAnsi="Verdana"/>
          <w:b/>
          <w:sz w:val="20"/>
          <w:szCs w:val="20"/>
        </w:rPr>
        <w:t>.</w:t>
      </w:r>
      <w:r w:rsidRPr="006A5BC6">
        <w:rPr>
          <w:rFonts w:ascii="Verdana" w:hAnsi="Verdana"/>
          <w:b/>
          <w:sz w:val="20"/>
          <w:szCs w:val="20"/>
        </w:rPr>
        <w:t xml:space="preserve">  Alegatos de las partes y la Comisión</w:t>
      </w:r>
    </w:p>
    <w:p w:rsidR="00E710F2" w:rsidRPr="00BF31B9" w:rsidRDefault="00E710F2" w:rsidP="00BF31B9">
      <w:pPr>
        <w:rPr>
          <w:rFonts w:ascii="Verdana" w:hAnsi="Verdana"/>
          <w:sz w:val="20"/>
          <w:szCs w:val="20"/>
          <w:lang w:eastAsia="es-ES"/>
        </w:rPr>
      </w:pPr>
    </w:p>
    <w:p w:rsidR="00A1286F" w:rsidRPr="006A5BC6" w:rsidRDefault="00BF31B9" w:rsidP="00BF31B9">
      <w:pPr>
        <w:pStyle w:val="ListParagraph"/>
        <w:numPr>
          <w:ilvl w:val="0"/>
          <w:numId w:val="3"/>
        </w:numPr>
        <w:ind w:left="0" w:firstLine="0"/>
        <w:jc w:val="both"/>
        <w:rPr>
          <w:rFonts w:ascii="Verdana" w:hAnsi="Verdana"/>
          <w:sz w:val="20"/>
          <w:szCs w:val="20"/>
          <w:lang w:eastAsia="es-ES"/>
        </w:rPr>
      </w:pPr>
      <w:r>
        <w:rPr>
          <w:rFonts w:ascii="Verdana" w:hAnsi="Verdana"/>
          <w:sz w:val="20"/>
          <w:szCs w:val="20"/>
          <w:lang w:eastAsia="es-ES"/>
        </w:rPr>
        <w:t xml:space="preserve">El </w:t>
      </w:r>
      <w:r w:rsidRPr="00FA3062">
        <w:rPr>
          <w:rFonts w:ascii="Verdana" w:hAnsi="Verdana"/>
          <w:b/>
          <w:sz w:val="20"/>
          <w:szCs w:val="20"/>
          <w:lang w:eastAsia="es-ES"/>
        </w:rPr>
        <w:t>Estado</w:t>
      </w:r>
      <w:r>
        <w:rPr>
          <w:rFonts w:ascii="Verdana" w:hAnsi="Verdana"/>
          <w:sz w:val="20"/>
          <w:szCs w:val="20"/>
          <w:lang w:eastAsia="es-ES"/>
        </w:rPr>
        <w:t xml:space="preserve"> solicitó</w:t>
      </w:r>
      <w:r w:rsidR="00E710F2" w:rsidRPr="006A5BC6">
        <w:rPr>
          <w:rFonts w:ascii="Verdana" w:hAnsi="Verdana"/>
          <w:sz w:val="20"/>
          <w:szCs w:val="20"/>
          <w:lang w:eastAsia="es-ES"/>
        </w:rPr>
        <w:t xml:space="preserve"> el levantamiento de las present</w:t>
      </w:r>
      <w:r>
        <w:rPr>
          <w:rFonts w:ascii="Verdana" w:hAnsi="Verdana"/>
          <w:sz w:val="20"/>
          <w:szCs w:val="20"/>
          <w:lang w:eastAsia="es-ES"/>
        </w:rPr>
        <w:t>es medidas provisionales con base en que</w:t>
      </w:r>
      <w:r w:rsidR="00A1286F" w:rsidRPr="006A5BC6">
        <w:rPr>
          <w:rFonts w:ascii="Verdana" w:hAnsi="Verdana"/>
          <w:sz w:val="20"/>
          <w:szCs w:val="20"/>
          <w:lang w:eastAsia="es-ES"/>
        </w:rPr>
        <w:t xml:space="preserve"> los patrones de conducta de los beneficiarios no encajan con los criterios de extrema gravedad, urgencia y prevención de daños irreparables que permitan la continuidad de las presentes medidas. Además</w:t>
      </w:r>
      <w:r>
        <w:rPr>
          <w:rFonts w:ascii="Verdana" w:hAnsi="Verdana"/>
          <w:sz w:val="20"/>
          <w:szCs w:val="20"/>
          <w:lang w:eastAsia="es-ES"/>
        </w:rPr>
        <w:t>,</w:t>
      </w:r>
      <w:r w:rsidR="00A1286F" w:rsidRPr="006A5BC6">
        <w:rPr>
          <w:rFonts w:ascii="Verdana" w:hAnsi="Verdana"/>
          <w:sz w:val="20"/>
          <w:szCs w:val="20"/>
          <w:lang w:eastAsia="es-ES"/>
        </w:rPr>
        <w:t xml:space="preserve"> señaló que las medidas provisionales tienen un carácter excepcional y temporal, lo cual contrasta con la adopción de las presentes medidas.</w:t>
      </w:r>
      <w:r w:rsidR="00F658B2">
        <w:rPr>
          <w:rFonts w:ascii="Verdana" w:hAnsi="Verdana"/>
          <w:sz w:val="20"/>
          <w:szCs w:val="20"/>
          <w:lang w:eastAsia="es-ES"/>
        </w:rPr>
        <w:t xml:space="preserve"> </w:t>
      </w:r>
      <w:r w:rsidR="00CD4B7F">
        <w:rPr>
          <w:rFonts w:ascii="Verdana" w:hAnsi="Verdana"/>
          <w:sz w:val="20"/>
          <w:szCs w:val="20"/>
          <w:lang w:eastAsia="es-ES"/>
        </w:rPr>
        <w:t>Asimismo</w:t>
      </w:r>
      <w:r w:rsidR="00F658B2">
        <w:rPr>
          <w:rFonts w:ascii="Verdana" w:hAnsi="Verdana"/>
          <w:sz w:val="20"/>
          <w:szCs w:val="20"/>
          <w:lang w:eastAsia="es-ES"/>
        </w:rPr>
        <w:t xml:space="preserve">, </w:t>
      </w:r>
      <w:r w:rsidR="000575C4">
        <w:rPr>
          <w:rFonts w:ascii="Verdana" w:hAnsi="Verdana"/>
          <w:sz w:val="20"/>
          <w:szCs w:val="20"/>
        </w:rPr>
        <w:t>e</w:t>
      </w:r>
      <w:r w:rsidR="000575C4" w:rsidRPr="00F54BAA">
        <w:rPr>
          <w:rFonts w:ascii="Verdana" w:hAnsi="Verdana"/>
          <w:sz w:val="20"/>
          <w:szCs w:val="20"/>
        </w:rPr>
        <w:t xml:space="preserve">n el </w:t>
      </w:r>
      <w:r w:rsidR="00CD4B7F">
        <w:rPr>
          <w:rFonts w:ascii="Verdana" w:hAnsi="Verdana"/>
          <w:sz w:val="20"/>
          <w:szCs w:val="20"/>
        </w:rPr>
        <w:t>I</w:t>
      </w:r>
      <w:r w:rsidR="000575C4" w:rsidRPr="00F54BAA">
        <w:rPr>
          <w:rFonts w:ascii="Verdana" w:hAnsi="Verdana"/>
          <w:sz w:val="20"/>
          <w:szCs w:val="20"/>
        </w:rPr>
        <w:t xml:space="preserve">nforme </w:t>
      </w:r>
      <w:r w:rsidR="000575C4" w:rsidRPr="00FC45D8">
        <w:rPr>
          <w:rFonts w:ascii="Verdana" w:hAnsi="Verdana"/>
          <w:sz w:val="20"/>
          <w:szCs w:val="20"/>
        </w:rPr>
        <w:t>de 1</w:t>
      </w:r>
      <w:r w:rsidR="00BB5D82" w:rsidRPr="00FC45D8">
        <w:rPr>
          <w:rFonts w:ascii="Verdana" w:hAnsi="Verdana"/>
          <w:sz w:val="20"/>
          <w:szCs w:val="20"/>
        </w:rPr>
        <w:t>4</w:t>
      </w:r>
      <w:r w:rsidR="000575C4" w:rsidRPr="00F54BAA">
        <w:rPr>
          <w:rFonts w:ascii="Verdana" w:hAnsi="Verdana"/>
          <w:sz w:val="20"/>
          <w:szCs w:val="20"/>
        </w:rPr>
        <w:t xml:space="preserve"> de agosto de 2018</w:t>
      </w:r>
      <w:r w:rsidR="000575C4">
        <w:rPr>
          <w:rFonts w:ascii="Verdana" w:hAnsi="Verdana"/>
          <w:sz w:val="20"/>
          <w:szCs w:val="20"/>
        </w:rPr>
        <w:t xml:space="preserve">, </w:t>
      </w:r>
      <w:r w:rsidR="000575C4">
        <w:rPr>
          <w:rFonts w:ascii="Verdana" w:hAnsi="Verdana"/>
          <w:sz w:val="20"/>
          <w:szCs w:val="20"/>
          <w:lang w:eastAsia="es-ES"/>
        </w:rPr>
        <w:t>el Estado señaló, de acuerdo a información recibida de los representantes, que</w:t>
      </w:r>
      <w:r w:rsidR="00F658B2">
        <w:rPr>
          <w:rFonts w:ascii="Verdana" w:hAnsi="Verdana"/>
          <w:sz w:val="20"/>
          <w:szCs w:val="20"/>
          <w:lang w:eastAsia="es-ES"/>
        </w:rPr>
        <w:t xml:space="preserve"> </w:t>
      </w:r>
      <w:r w:rsidR="000575C4" w:rsidRPr="00F54BAA">
        <w:rPr>
          <w:rFonts w:ascii="Verdana" w:hAnsi="Verdana"/>
          <w:sz w:val="20"/>
          <w:szCs w:val="20"/>
        </w:rPr>
        <w:t>los días 12 de septie</w:t>
      </w:r>
      <w:r w:rsidR="000575C4">
        <w:rPr>
          <w:rFonts w:ascii="Verdana" w:hAnsi="Verdana"/>
          <w:sz w:val="20"/>
          <w:szCs w:val="20"/>
        </w:rPr>
        <w:t xml:space="preserve">mbre y 15 de noviembre de 2017 los beneficiarios fueron objeto de </w:t>
      </w:r>
      <w:r w:rsidR="000575C4" w:rsidRPr="00F54BAA">
        <w:rPr>
          <w:rFonts w:ascii="Verdana" w:hAnsi="Verdana"/>
          <w:sz w:val="20"/>
          <w:szCs w:val="20"/>
        </w:rPr>
        <w:t>amenazas</w:t>
      </w:r>
      <w:r w:rsidR="001C2288" w:rsidRPr="003B2770">
        <w:rPr>
          <w:rStyle w:val="FootnoteReference"/>
          <w:sz w:val="20"/>
          <w:szCs w:val="20"/>
        </w:rPr>
        <w:footnoteReference w:id="12"/>
      </w:r>
      <w:r w:rsidR="003B2770" w:rsidRPr="003B2770">
        <w:rPr>
          <w:rFonts w:ascii="Verdana" w:hAnsi="Verdana"/>
          <w:sz w:val="20"/>
          <w:szCs w:val="20"/>
        </w:rPr>
        <w:t>.</w:t>
      </w:r>
      <w:r w:rsidR="000575C4" w:rsidRPr="00F54BAA">
        <w:rPr>
          <w:rFonts w:ascii="Verdana" w:hAnsi="Verdana"/>
          <w:sz w:val="20"/>
          <w:szCs w:val="20"/>
        </w:rPr>
        <w:t xml:space="preserve"> </w:t>
      </w:r>
    </w:p>
    <w:p w:rsidR="00A1286F" w:rsidRPr="006A5BC6" w:rsidRDefault="00A1286F" w:rsidP="00BF31B9">
      <w:pPr>
        <w:pStyle w:val="ListParagraph"/>
        <w:ind w:left="0"/>
        <w:jc w:val="both"/>
        <w:rPr>
          <w:rFonts w:ascii="Verdana" w:hAnsi="Verdana"/>
          <w:sz w:val="20"/>
          <w:szCs w:val="20"/>
          <w:lang w:eastAsia="es-ES"/>
        </w:rPr>
      </w:pPr>
    </w:p>
    <w:p w:rsidR="0009183E" w:rsidRPr="009B1FD2" w:rsidRDefault="009B1FD2" w:rsidP="009B1FD2">
      <w:pPr>
        <w:pStyle w:val="ListParagraph"/>
        <w:numPr>
          <w:ilvl w:val="0"/>
          <w:numId w:val="3"/>
        </w:numPr>
        <w:ind w:left="0" w:firstLine="0"/>
        <w:jc w:val="both"/>
        <w:rPr>
          <w:rFonts w:ascii="Verdana" w:hAnsi="Verdana"/>
          <w:sz w:val="20"/>
          <w:szCs w:val="20"/>
          <w:lang w:eastAsia="es-ES"/>
        </w:rPr>
      </w:pPr>
      <w:r>
        <w:rPr>
          <w:rFonts w:ascii="Verdana" w:hAnsi="Verdana"/>
          <w:sz w:val="20"/>
          <w:szCs w:val="20"/>
          <w:lang w:eastAsia="es-ES"/>
        </w:rPr>
        <w:t>El</w:t>
      </w:r>
      <w:r w:rsidR="001274E8" w:rsidRPr="006A5BC6">
        <w:rPr>
          <w:rFonts w:ascii="Verdana" w:hAnsi="Verdana"/>
          <w:sz w:val="20"/>
          <w:szCs w:val="20"/>
          <w:lang w:eastAsia="es-ES"/>
        </w:rPr>
        <w:t xml:space="preserve"> </w:t>
      </w:r>
      <w:r w:rsidR="001274E8" w:rsidRPr="00FA3062">
        <w:rPr>
          <w:rFonts w:ascii="Verdana" w:hAnsi="Verdana"/>
          <w:b/>
          <w:sz w:val="20"/>
          <w:szCs w:val="20"/>
          <w:lang w:eastAsia="es-ES"/>
        </w:rPr>
        <w:t>representante</w:t>
      </w:r>
      <w:r w:rsidR="00F658B2">
        <w:rPr>
          <w:rFonts w:ascii="Verdana" w:hAnsi="Verdana"/>
          <w:b/>
          <w:sz w:val="20"/>
          <w:szCs w:val="20"/>
          <w:lang w:eastAsia="es-ES"/>
        </w:rPr>
        <w:t>,</w:t>
      </w:r>
      <w:r w:rsidR="00F658B2">
        <w:rPr>
          <w:rFonts w:ascii="Verdana" w:hAnsi="Verdana"/>
          <w:sz w:val="20"/>
          <w:szCs w:val="20"/>
          <w:lang w:eastAsia="es-ES"/>
        </w:rPr>
        <w:t xml:space="preserve"> en sus observaciones de </w:t>
      </w:r>
      <w:r w:rsidR="00F658B2" w:rsidRPr="00037E36">
        <w:rPr>
          <w:rFonts w:ascii="Verdana" w:hAnsi="Verdana"/>
          <w:sz w:val="20"/>
          <w:szCs w:val="20"/>
          <w:lang w:eastAsia="es-ES"/>
        </w:rPr>
        <w:t>15 agosto de 2017</w:t>
      </w:r>
      <w:r w:rsidR="00F658B2">
        <w:rPr>
          <w:rFonts w:ascii="Verdana" w:hAnsi="Verdana"/>
          <w:sz w:val="20"/>
          <w:szCs w:val="20"/>
          <w:lang w:eastAsia="es-ES"/>
        </w:rPr>
        <w:t xml:space="preserve">, </w:t>
      </w:r>
      <w:r w:rsidR="001274E8" w:rsidRPr="006A5BC6">
        <w:rPr>
          <w:rFonts w:ascii="Verdana" w:hAnsi="Verdana"/>
          <w:sz w:val="20"/>
          <w:szCs w:val="20"/>
          <w:lang w:eastAsia="es-ES"/>
        </w:rPr>
        <w:t>aleg</w:t>
      </w:r>
      <w:r>
        <w:rPr>
          <w:rFonts w:ascii="Verdana" w:hAnsi="Verdana"/>
          <w:sz w:val="20"/>
          <w:szCs w:val="20"/>
          <w:lang w:eastAsia="es-ES"/>
        </w:rPr>
        <w:t>ó</w:t>
      </w:r>
      <w:r w:rsidR="001274E8" w:rsidRPr="006A5BC6">
        <w:rPr>
          <w:rFonts w:ascii="Verdana" w:hAnsi="Verdana"/>
          <w:sz w:val="20"/>
          <w:szCs w:val="20"/>
          <w:lang w:eastAsia="es-ES"/>
        </w:rPr>
        <w:t xml:space="preserve"> que el nivel de riesgo que dio origen a las presentes medidas para los beneficiarios en la </w:t>
      </w:r>
      <w:r w:rsidR="00532A09">
        <w:rPr>
          <w:rFonts w:ascii="Verdana" w:hAnsi="Verdana"/>
          <w:sz w:val="20"/>
          <w:szCs w:val="20"/>
          <w:lang w:eastAsia="es-ES"/>
        </w:rPr>
        <w:t>actualidad todavía persiste</w:t>
      </w:r>
      <w:r w:rsidR="001274E8" w:rsidRPr="006A5BC6">
        <w:rPr>
          <w:rFonts w:ascii="Verdana" w:hAnsi="Verdana"/>
          <w:sz w:val="20"/>
          <w:szCs w:val="20"/>
          <w:lang w:eastAsia="es-ES"/>
        </w:rPr>
        <w:t xml:space="preserve"> pues la situación de inseguridad no ha desaparecido, ya que la</w:t>
      </w:r>
      <w:r w:rsidR="000969E1">
        <w:rPr>
          <w:rFonts w:ascii="Verdana" w:hAnsi="Verdana"/>
          <w:sz w:val="20"/>
          <w:szCs w:val="20"/>
          <w:lang w:eastAsia="es-ES"/>
        </w:rPr>
        <w:t>s amenazas de muerte contra el c</w:t>
      </w:r>
      <w:r w:rsidR="001274E8" w:rsidRPr="006A5BC6">
        <w:rPr>
          <w:rFonts w:ascii="Verdana" w:hAnsi="Verdana"/>
          <w:sz w:val="20"/>
          <w:szCs w:val="20"/>
          <w:lang w:eastAsia="es-ES"/>
        </w:rPr>
        <w:t>oronel Adrián Meléndez Quijano</w:t>
      </w:r>
      <w:r w:rsidR="00BF31B9">
        <w:rPr>
          <w:rFonts w:ascii="Verdana" w:hAnsi="Verdana"/>
          <w:sz w:val="20"/>
          <w:szCs w:val="20"/>
          <w:lang w:eastAsia="es-ES"/>
        </w:rPr>
        <w:t xml:space="preserve"> y su familia continúan. Indic</w:t>
      </w:r>
      <w:r>
        <w:rPr>
          <w:rFonts w:ascii="Verdana" w:hAnsi="Verdana"/>
          <w:sz w:val="20"/>
          <w:szCs w:val="20"/>
          <w:lang w:eastAsia="es-ES"/>
        </w:rPr>
        <w:t>ó</w:t>
      </w:r>
      <w:r w:rsidR="001274E8" w:rsidRPr="006A5BC6">
        <w:rPr>
          <w:rFonts w:ascii="Verdana" w:hAnsi="Verdana"/>
          <w:sz w:val="20"/>
          <w:szCs w:val="20"/>
          <w:lang w:eastAsia="es-ES"/>
        </w:rPr>
        <w:t xml:space="preserve"> que duran</w:t>
      </w:r>
      <w:r w:rsidR="0092062C">
        <w:rPr>
          <w:rFonts w:ascii="Verdana" w:hAnsi="Verdana"/>
          <w:sz w:val="20"/>
          <w:szCs w:val="20"/>
          <w:lang w:eastAsia="es-ES"/>
        </w:rPr>
        <w:t>te el año 2016 recibieron 15</w:t>
      </w:r>
      <w:r w:rsidR="001274E8" w:rsidRPr="006A5BC6">
        <w:rPr>
          <w:rFonts w:ascii="Verdana" w:hAnsi="Verdana"/>
          <w:sz w:val="20"/>
          <w:szCs w:val="20"/>
          <w:lang w:eastAsia="es-ES"/>
        </w:rPr>
        <w:t xml:space="preserve"> amenazas y un</w:t>
      </w:r>
      <w:r w:rsidR="00F658B2">
        <w:rPr>
          <w:rFonts w:ascii="Verdana" w:hAnsi="Verdana"/>
          <w:sz w:val="20"/>
          <w:szCs w:val="20"/>
          <w:lang w:eastAsia="es-ES"/>
        </w:rPr>
        <w:t xml:space="preserve"> seguimiento. Asimismo,</w:t>
      </w:r>
      <w:r w:rsidR="00037E36">
        <w:rPr>
          <w:rFonts w:ascii="Verdana" w:hAnsi="Verdana"/>
          <w:sz w:val="20"/>
          <w:szCs w:val="20"/>
          <w:lang w:eastAsia="es-ES"/>
        </w:rPr>
        <w:t xml:space="preserve"> </w:t>
      </w:r>
      <w:r w:rsidR="001D0075">
        <w:rPr>
          <w:rFonts w:ascii="Verdana" w:hAnsi="Verdana"/>
          <w:sz w:val="20"/>
          <w:szCs w:val="20"/>
          <w:lang w:eastAsia="es-ES"/>
        </w:rPr>
        <w:t>manifes</w:t>
      </w:r>
      <w:r>
        <w:rPr>
          <w:rFonts w:ascii="Verdana" w:hAnsi="Verdana"/>
          <w:sz w:val="20"/>
          <w:szCs w:val="20"/>
          <w:lang w:eastAsia="es-ES"/>
        </w:rPr>
        <w:t>tó</w:t>
      </w:r>
      <w:r w:rsidR="00AE092A">
        <w:rPr>
          <w:rFonts w:ascii="Verdana" w:hAnsi="Verdana"/>
          <w:sz w:val="20"/>
          <w:szCs w:val="20"/>
          <w:lang w:eastAsia="es-ES"/>
        </w:rPr>
        <w:t xml:space="preserve"> </w:t>
      </w:r>
      <w:r w:rsidR="001274E8" w:rsidRPr="006A5BC6">
        <w:rPr>
          <w:rFonts w:ascii="Verdana" w:hAnsi="Verdana"/>
          <w:sz w:val="20"/>
          <w:szCs w:val="20"/>
          <w:lang w:eastAsia="es-ES"/>
        </w:rPr>
        <w:t>que</w:t>
      </w:r>
      <w:r w:rsidR="00037E36">
        <w:rPr>
          <w:rFonts w:ascii="Verdana" w:hAnsi="Verdana"/>
          <w:sz w:val="20"/>
          <w:szCs w:val="20"/>
          <w:lang w:eastAsia="es-ES"/>
        </w:rPr>
        <w:t xml:space="preserve"> dos meses antes</w:t>
      </w:r>
      <w:r w:rsidR="00F658B2">
        <w:rPr>
          <w:rFonts w:ascii="Verdana" w:hAnsi="Verdana"/>
          <w:sz w:val="20"/>
          <w:szCs w:val="20"/>
          <w:lang w:eastAsia="es-ES"/>
        </w:rPr>
        <w:t xml:space="preserve"> a sus </w:t>
      </w:r>
      <w:r w:rsidR="00D877ED">
        <w:rPr>
          <w:rFonts w:ascii="Verdana" w:hAnsi="Verdana"/>
          <w:sz w:val="20"/>
          <w:szCs w:val="20"/>
          <w:lang w:eastAsia="es-ES"/>
        </w:rPr>
        <w:t>observaciones</w:t>
      </w:r>
      <w:r w:rsidR="00037E36">
        <w:rPr>
          <w:rFonts w:ascii="Verdana" w:hAnsi="Verdana"/>
          <w:sz w:val="20"/>
          <w:szCs w:val="20"/>
          <w:lang w:eastAsia="es-ES"/>
        </w:rPr>
        <w:t>,</w:t>
      </w:r>
      <w:r w:rsidR="001274E8" w:rsidRPr="006A5BC6">
        <w:rPr>
          <w:rFonts w:ascii="Verdana" w:hAnsi="Verdana"/>
          <w:sz w:val="20"/>
          <w:szCs w:val="20"/>
          <w:lang w:eastAsia="es-ES"/>
        </w:rPr>
        <w:t xml:space="preserve"> e</w:t>
      </w:r>
      <w:r w:rsidR="0092062C">
        <w:rPr>
          <w:rFonts w:ascii="Verdana" w:hAnsi="Verdana"/>
          <w:sz w:val="20"/>
          <w:szCs w:val="20"/>
          <w:lang w:eastAsia="es-ES"/>
        </w:rPr>
        <w:t>l 16 de junio de 2017 el señor</w:t>
      </w:r>
      <w:r w:rsidR="001274E8" w:rsidRPr="006A5BC6">
        <w:rPr>
          <w:rFonts w:ascii="Verdana" w:hAnsi="Verdana"/>
          <w:sz w:val="20"/>
          <w:szCs w:val="20"/>
          <w:lang w:eastAsia="es-ES"/>
        </w:rPr>
        <w:t xml:space="preserve"> Meléndez Quijano habría recibido una llamada telefónica </w:t>
      </w:r>
      <w:r w:rsidR="003C456A" w:rsidRPr="006A5BC6">
        <w:rPr>
          <w:rFonts w:ascii="Verdana" w:hAnsi="Verdana"/>
          <w:sz w:val="20"/>
          <w:szCs w:val="20"/>
          <w:lang w:eastAsia="es-ES"/>
        </w:rPr>
        <w:t xml:space="preserve">que </w:t>
      </w:r>
      <w:r w:rsidR="001274E8" w:rsidRPr="006A5BC6">
        <w:rPr>
          <w:rFonts w:ascii="Verdana" w:hAnsi="Verdana"/>
          <w:sz w:val="20"/>
          <w:szCs w:val="20"/>
          <w:lang w:eastAsia="es-ES"/>
        </w:rPr>
        <w:t>amenazaba con matarlo. Al respecto</w:t>
      </w:r>
      <w:r w:rsidR="0092062C">
        <w:rPr>
          <w:rFonts w:ascii="Verdana" w:hAnsi="Verdana"/>
          <w:sz w:val="20"/>
          <w:szCs w:val="20"/>
          <w:lang w:eastAsia="es-ES"/>
        </w:rPr>
        <w:t>,</w:t>
      </w:r>
      <w:r w:rsidR="001274E8" w:rsidRPr="006A5BC6">
        <w:rPr>
          <w:rFonts w:ascii="Verdana" w:hAnsi="Verdana"/>
          <w:sz w:val="20"/>
          <w:szCs w:val="20"/>
          <w:lang w:eastAsia="es-ES"/>
        </w:rPr>
        <w:t xml:space="preserve"> aleg</w:t>
      </w:r>
      <w:r>
        <w:rPr>
          <w:rFonts w:ascii="Verdana" w:hAnsi="Verdana"/>
          <w:sz w:val="20"/>
          <w:szCs w:val="20"/>
          <w:lang w:eastAsia="es-ES"/>
        </w:rPr>
        <w:t>ó</w:t>
      </w:r>
      <w:r w:rsidR="001274E8" w:rsidRPr="006A5BC6">
        <w:rPr>
          <w:rFonts w:ascii="Verdana" w:hAnsi="Verdana"/>
          <w:sz w:val="20"/>
          <w:szCs w:val="20"/>
          <w:lang w:eastAsia="es-ES"/>
        </w:rPr>
        <w:t xml:space="preserve"> que </w:t>
      </w:r>
      <w:r w:rsidR="00AE092A">
        <w:rPr>
          <w:rFonts w:ascii="Verdana" w:hAnsi="Verdana"/>
          <w:sz w:val="20"/>
          <w:szCs w:val="20"/>
          <w:lang w:eastAsia="es-ES"/>
        </w:rPr>
        <w:t>a pesar de haber realizado las denuncias correspondientes ante la F</w:t>
      </w:r>
      <w:r w:rsidR="001D0075">
        <w:rPr>
          <w:rFonts w:ascii="Verdana" w:hAnsi="Verdana"/>
          <w:sz w:val="20"/>
          <w:szCs w:val="20"/>
          <w:lang w:eastAsia="es-ES"/>
        </w:rPr>
        <w:t>is</w:t>
      </w:r>
      <w:r w:rsidR="00AE092A">
        <w:rPr>
          <w:rFonts w:ascii="Verdana" w:hAnsi="Verdana"/>
          <w:sz w:val="20"/>
          <w:szCs w:val="20"/>
          <w:lang w:eastAsia="es-ES"/>
        </w:rPr>
        <w:t>cal</w:t>
      </w:r>
      <w:r w:rsidR="001D0075">
        <w:rPr>
          <w:rFonts w:ascii="Verdana" w:hAnsi="Verdana"/>
          <w:sz w:val="20"/>
          <w:szCs w:val="20"/>
          <w:lang w:eastAsia="es-ES"/>
        </w:rPr>
        <w:t>í</w:t>
      </w:r>
      <w:r w:rsidR="00AE092A">
        <w:rPr>
          <w:rFonts w:ascii="Verdana" w:hAnsi="Verdana"/>
          <w:sz w:val="20"/>
          <w:szCs w:val="20"/>
          <w:lang w:eastAsia="es-ES"/>
        </w:rPr>
        <w:t>a General de la Rep</w:t>
      </w:r>
      <w:r w:rsidR="001D0075">
        <w:rPr>
          <w:rFonts w:ascii="Verdana" w:hAnsi="Verdana"/>
          <w:sz w:val="20"/>
          <w:szCs w:val="20"/>
          <w:lang w:eastAsia="es-ES"/>
        </w:rPr>
        <w:t>ú</w:t>
      </w:r>
      <w:r w:rsidR="00AE092A">
        <w:rPr>
          <w:rFonts w:ascii="Verdana" w:hAnsi="Verdana"/>
          <w:sz w:val="20"/>
          <w:szCs w:val="20"/>
          <w:lang w:eastAsia="es-ES"/>
        </w:rPr>
        <w:t xml:space="preserve">blica </w:t>
      </w:r>
      <w:r w:rsidR="001274E8" w:rsidRPr="006A5BC6">
        <w:rPr>
          <w:rFonts w:ascii="Verdana" w:hAnsi="Verdana"/>
          <w:sz w:val="20"/>
          <w:szCs w:val="20"/>
          <w:lang w:eastAsia="es-ES"/>
        </w:rPr>
        <w:t>hasta la fecha las investigaciones realizadas no arrojan resultados.</w:t>
      </w:r>
      <w:r w:rsidR="00BF31B9">
        <w:rPr>
          <w:rFonts w:ascii="Verdana" w:hAnsi="Verdana"/>
          <w:sz w:val="20"/>
          <w:szCs w:val="20"/>
          <w:lang w:eastAsia="es-ES"/>
        </w:rPr>
        <w:t xml:space="preserve"> Señal</w:t>
      </w:r>
      <w:r>
        <w:rPr>
          <w:rFonts w:ascii="Verdana" w:hAnsi="Verdana"/>
          <w:sz w:val="20"/>
          <w:szCs w:val="20"/>
          <w:lang w:eastAsia="es-ES"/>
        </w:rPr>
        <w:t>ó</w:t>
      </w:r>
      <w:r w:rsidR="003C456A" w:rsidRPr="006A5BC6">
        <w:rPr>
          <w:rFonts w:ascii="Verdana" w:hAnsi="Verdana"/>
          <w:sz w:val="20"/>
          <w:szCs w:val="20"/>
          <w:lang w:eastAsia="es-ES"/>
        </w:rPr>
        <w:t xml:space="preserve"> que la pasividad, negligencia y omisión de </w:t>
      </w:r>
      <w:r w:rsidR="00BF31B9">
        <w:rPr>
          <w:rFonts w:ascii="Verdana" w:hAnsi="Verdana"/>
          <w:sz w:val="20"/>
          <w:szCs w:val="20"/>
          <w:lang w:eastAsia="es-ES"/>
        </w:rPr>
        <w:t xml:space="preserve">la </w:t>
      </w:r>
      <w:r w:rsidR="003C456A" w:rsidRPr="006A5BC6">
        <w:rPr>
          <w:rFonts w:ascii="Verdana" w:hAnsi="Verdana"/>
          <w:sz w:val="20"/>
          <w:szCs w:val="20"/>
          <w:lang w:eastAsia="es-ES"/>
        </w:rPr>
        <w:t xml:space="preserve">investigación por parte de las autoridades sitúa </w:t>
      </w:r>
      <w:r w:rsidR="0092062C">
        <w:rPr>
          <w:rFonts w:ascii="Verdana" w:hAnsi="Verdana"/>
          <w:sz w:val="20"/>
          <w:szCs w:val="20"/>
          <w:lang w:eastAsia="es-ES"/>
        </w:rPr>
        <w:t xml:space="preserve">a </w:t>
      </w:r>
      <w:r w:rsidR="003C456A" w:rsidRPr="006A5BC6">
        <w:rPr>
          <w:rFonts w:ascii="Verdana" w:hAnsi="Verdana"/>
          <w:sz w:val="20"/>
          <w:szCs w:val="20"/>
          <w:lang w:eastAsia="es-ES"/>
        </w:rPr>
        <w:t>los beneficiarios en un grado de riesgo.</w:t>
      </w:r>
      <w:r w:rsidR="00FC45D8">
        <w:rPr>
          <w:rFonts w:ascii="Verdana" w:hAnsi="Verdana"/>
          <w:sz w:val="20"/>
          <w:szCs w:val="20"/>
          <w:lang w:eastAsia="es-ES"/>
        </w:rPr>
        <w:t xml:space="preserve"> </w:t>
      </w:r>
      <w:r w:rsidRPr="00A35F67">
        <w:rPr>
          <w:rFonts w:ascii="Verdana" w:hAnsi="Verdana"/>
          <w:sz w:val="20"/>
          <w:szCs w:val="20"/>
          <w:lang w:eastAsia="es-ES"/>
        </w:rPr>
        <w:t>Además</w:t>
      </w:r>
      <w:r w:rsidR="00A35F67">
        <w:rPr>
          <w:rFonts w:ascii="Verdana" w:hAnsi="Verdana"/>
          <w:b/>
          <w:sz w:val="16"/>
          <w:szCs w:val="16"/>
          <w:lang w:eastAsia="es-ES"/>
        </w:rPr>
        <w:t>,</w:t>
      </w:r>
      <w:r w:rsidR="005F372F" w:rsidRPr="009B1FD2">
        <w:rPr>
          <w:rFonts w:ascii="Verdana" w:hAnsi="Verdana"/>
          <w:sz w:val="20"/>
          <w:szCs w:val="20"/>
          <w:lang w:eastAsia="es-ES"/>
        </w:rPr>
        <w:t xml:space="preserve"> </w:t>
      </w:r>
      <w:r w:rsidRPr="009B1FD2">
        <w:rPr>
          <w:rFonts w:ascii="Verdana" w:hAnsi="Verdana"/>
          <w:sz w:val="20"/>
          <w:szCs w:val="20"/>
          <w:lang w:eastAsia="es-ES"/>
        </w:rPr>
        <w:t>el</w:t>
      </w:r>
      <w:r w:rsidR="00037E36" w:rsidRPr="009B1FD2">
        <w:rPr>
          <w:rFonts w:ascii="Verdana" w:hAnsi="Verdana"/>
          <w:sz w:val="20"/>
          <w:szCs w:val="20"/>
          <w:lang w:eastAsia="es-ES"/>
        </w:rPr>
        <w:t xml:space="preserve"> representante </w:t>
      </w:r>
      <w:r w:rsidR="00F658B2" w:rsidRPr="009B1FD2">
        <w:rPr>
          <w:rFonts w:ascii="Verdana" w:hAnsi="Verdana"/>
          <w:sz w:val="20"/>
          <w:szCs w:val="20"/>
          <w:lang w:eastAsia="es-ES"/>
        </w:rPr>
        <w:t>indic</w:t>
      </w:r>
      <w:r w:rsidRPr="009B1FD2">
        <w:rPr>
          <w:rFonts w:ascii="Verdana" w:hAnsi="Verdana"/>
          <w:sz w:val="20"/>
          <w:szCs w:val="20"/>
          <w:lang w:eastAsia="es-ES"/>
        </w:rPr>
        <w:t>ó</w:t>
      </w:r>
      <w:r w:rsidR="005F372F" w:rsidRPr="009B1FD2">
        <w:rPr>
          <w:rFonts w:ascii="Verdana" w:hAnsi="Verdana"/>
          <w:sz w:val="20"/>
          <w:szCs w:val="20"/>
          <w:lang w:eastAsia="es-ES"/>
        </w:rPr>
        <w:t xml:space="preserve"> que en vista de las diversas denuncias interpuestas con anterioridad por el señor Meléndez Quijano contra distintos funcionarios públicos y del Ejército</w:t>
      </w:r>
      <w:r w:rsidR="005F372F" w:rsidRPr="00037E36">
        <w:rPr>
          <w:rStyle w:val="FootnoteReference"/>
          <w:sz w:val="20"/>
          <w:szCs w:val="20"/>
          <w:lang w:eastAsia="es-ES"/>
        </w:rPr>
        <w:footnoteReference w:id="13"/>
      </w:r>
      <w:r w:rsidR="005F372F" w:rsidRPr="009B1FD2">
        <w:rPr>
          <w:rFonts w:ascii="Verdana" w:hAnsi="Verdana"/>
          <w:sz w:val="20"/>
          <w:szCs w:val="20"/>
          <w:lang w:eastAsia="es-ES"/>
        </w:rPr>
        <w:t xml:space="preserve">, colocan a dicho señor y a su familia en un nivel de riesgo, </w:t>
      </w:r>
      <w:r w:rsidR="00037E36" w:rsidRPr="009B1FD2">
        <w:rPr>
          <w:rFonts w:ascii="Verdana" w:hAnsi="Verdana"/>
          <w:sz w:val="20"/>
          <w:szCs w:val="20"/>
          <w:lang w:eastAsia="es-ES"/>
        </w:rPr>
        <w:t xml:space="preserve">que persistía en </w:t>
      </w:r>
      <w:r w:rsidR="00FC45D8">
        <w:rPr>
          <w:rFonts w:ascii="Verdana" w:hAnsi="Verdana"/>
          <w:sz w:val="20"/>
          <w:szCs w:val="20"/>
          <w:lang w:eastAsia="es-ES"/>
        </w:rPr>
        <w:t>ese momento.</w:t>
      </w:r>
      <w:r w:rsidR="0009183E" w:rsidRPr="009B1FD2">
        <w:rPr>
          <w:rFonts w:ascii="Verdana" w:hAnsi="Verdana"/>
          <w:b/>
          <w:sz w:val="16"/>
          <w:szCs w:val="16"/>
          <w:lang w:eastAsia="es-ES"/>
        </w:rPr>
        <w:t xml:space="preserve"> </w:t>
      </w:r>
      <w:r w:rsidR="0009183E" w:rsidRPr="009B1FD2">
        <w:rPr>
          <w:rFonts w:ascii="Verdana" w:hAnsi="Verdana"/>
          <w:sz w:val="20"/>
          <w:szCs w:val="16"/>
          <w:lang w:eastAsia="es-ES"/>
        </w:rPr>
        <w:t xml:space="preserve">De igual manera, </w:t>
      </w:r>
      <w:r w:rsidRPr="009B1FD2">
        <w:rPr>
          <w:rFonts w:ascii="Verdana" w:hAnsi="Verdana"/>
          <w:sz w:val="20"/>
          <w:szCs w:val="16"/>
          <w:lang w:eastAsia="es-ES"/>
        </w:rPr>
        <w:t>el</w:t>
      </w:r>
      <w:r w:rsidR="0009183E" w:rsidRPr="009B1FD2">
        <w:rPr>
          <w:rFonts w:ascii="Verdana" w:hAnsi="Verdana"/>
          <w:sz w:val="20"/>
          <w:szCs w:val="16"/>
          <w:lang w:eastAsia="es-ES"/>
        </w:rPr>
        <w:t xml:space="preserve"> representante señal</w:t>
      </w:r>
      <w:r w:rsidRPr="009B1FD2">
        <w:rPr>
          <w:rFonts w:ascii="Verdana" w:hAnsi="Verdana"/>
          <w:sz w:val="20"/>
          <w:szCs w:val="16"/>
          <w:lang w:eastAsia="es-ES"/>
        </w:rPr>
        <w:t>ó</w:t>
      </w:r>
      <w:r w:rsidR="0009183E" w:rsidRPr="009B1FD2">
        <w:rPr>
          <w:rFonts w:ascii="Verdana" w:hAnsi="Verdana"/>
          <w:sz w:val="20"/>
          <w:szCs w:val="16"/>
          <w:lang w:eastAsia="es-ES"/>
        </w:rPr>
        <w:t xml:space="preserve"> que durante el per</w:t>
      </w:r>
      <w:r w:rsidRPr="00A35F67">
        <w:rPr>
          <w:rFonts w:ascii="Verdana" w:hAnsi="Verdana"/>
          <w:sz w:val="20"/>
          <w:szCs w:val="16"/>
          <w:lang w:eastAsia="es-ES"/>
        </w:rPr>
        <w:t>í</w:t>
      </w:r>
      <w:r w:rsidR="0009183E" w:rsidRPr="00A35F67">
        <w:rPr>
          <w:rFonts w:ascii="Verdana" w:hAnsi="Verdana"/>
          <w:sz w:val="20"/>
          <w:szCs w:val="16"/>
          <w:lang w:eastAsia="es-ES"/>
        </w:rPr>
        <w:t>odo de agosto de 2017 a julio de 2018 los beneficiarios habrían recibidos 20 amenazas.</w:t>
      </w:r>
      <w:r>
        <w:rPr>
          <w:rFonts w:ascii="Verdana" w:hAnsi="Verdana"/>
          <w:sz w:val="20"/>
          <w:szCs w:val="16"/>
          <w:lang w:eastAsia="es-ES"/>
        </w:rPr>
        <w:t xml:space="preserve"> Finalmente, </w:t>
      </w:r>
      <w:r w:rsidR="00A35F67">
        <w:rPr>
          <w:rFonts w:ascii="Verdana" w:hAnsi="Verdana"/>
          <w:sz w:val="20"/>
          <w:szCs w:val="20"/>
        </w:rPr>
        <w:t xml:space="preserve">en sus observaciones de 18 de septiembre de 2018, </w:t>
      </w:r>
      <w:r>
        <w:rPr>
          <w:rFonts w:ascii="Verdana" w:hAnsi="Verdana"/>
          <w:sz w:val="20"/>
          <w:szCs w:val="20"/>
        </w:rPr>
        <w:t>el representante informó que la señora Sandra Ivette Meléndez Quijano falleció el 16 de mayo de 2018 a causa de una prolongada enfermedad.</w:t>
      </w:r>
    </w:p>
    <w:p w:rsidR="00FA3062" w:rsidRPr="00FA3062" w:rsidRDefault="00FA3062" w:rsidP="00FA3062">
      <w:pPr>
        <w:pStyle w:val="ListParagraph"/>
        <w:rPr>
          <w:rFonts w:ascii="Verdana" w:hAnsi="Verdana"/>
          <w:sz w:val="20"/>
          <w:szCs w:val="20"/>
          <w:lang w:eastAsia="es-ES"/>
        </w:rPr>
      </w:pPr>
    </w:p>
    <w:p w:rsidR="00490585" w:rsidRPr="00A35F67" w:rsidRDefault="005F372F" w:rsidP="00490585">
      <w:pPr>
        <w:pStyle w:val="ListParagraph"/>
        <w:numPr>
          <w:ilvl w:val="0"/>
          <w:numId w:val="3"/>
        </w:numPr>
        <w:ind w:left="0" w:firstLine="0"/>
        <w:jc w:val="both"/>
        <w:rPr>
          <w:rFonts w:ascii="Verdana" w:hAnsi="Verdana"/>
          <w:sz w:val="20"/>
          <w:szCs w:val="20"/>
          <w:lang w:eastAsia="es-ES"/>
        </w:rPr>
      </w:pPr>
      <w:r w:rsidRPr="005F372F">
        <w:rPr>
          <w:rFonts w:ascii="Verdana" w:hAnsi="Verdana"/>
          <w:sz w:val="20"/>
          <w:szCs w:val="20"/>
          <w:lang w:eastAsia="es-ES"/>
        </w:rPr>
        <w:t>En sus observaciones de 22 de mayo de 2017, l</w:t>
      </w:r>
      <w:r w:rsidR="00FA3062" w:rsidRPr="005F372F">
        <w:rPr>
          <w:rFonts w:ascii="Verdana" w:hAnsi="Verdana"/>
          <w:sz w:val="20"/>
          <w:szCs w:val="20"/>
          <w:lang w:eastAsia="es-ES"/>
        </w:rPr>
        <w:t xml:space="preserve">a </w:t>
      </w:r>
      <w:r w:rsidR="00FA3062" w:rsidRPr="005F372F">
        <w:rPr>
          <w:rFonts w:ascii="Verdana" w:hAnsi="Verdana"/>
          <w:b/>
          <w:sz w:val="20"/>
          <w:szCs w:val="20"/>
          <w:lang w:eastAsia="es-ES"/>
        </w:rPr>
        <w:t>Comisión</w:t>
      </w:r>
      <w:r w:rsidR="00E46192" w:rsidRPr="005F372F">
        <w:rPr>
          <w:rFonts w:ascii="Verdana" w:hAnsi="Verdana"/>
          <w:b/>
          <w:sz w:val="20"/>
          <w:szCs w:val="20"/>
          <w:lang w:eastAsia="es-ES"/>
        </w:rPr>
        <w:t xml:space="preserve"> </w:t>
      </w:r>
      <w:r w:rsidR="00E46192" w:rsidRPr="005F372F">
        <w:rPr>
          <w:rFonts w:ascii="Verdana" w:hAnsi="Verdana"/>
          <w:sz w:val="20"/>
          <w:szCs w:val="20"/>
          <w:lang w:eastAsia="es-ES"/>
        </w:rPr>
        <w:t>indicó que el Estado contin</w:t>
      </w:r>
      <w:r w:rsidR="001D0075" w:rsidRPr="005F372F">
        <w:rPr>
          <w:rFonts w:ascii="Verdana" w:hAnsi="Verdana"/>
          <w:sz w:val="20"/>
          <w:szCs w:val="20"/>
          <w:lang w:eastAsia="es-ES"/>
        </w:rPr>
        <w:t>ú</w:t>
      </w:r>
      <w:r w:rsidR="00E46192" w:rsidRPr="005F372F">
        <w:rPr>
          <w:rFonts w:ascii="Verdana" w:hAnsi="Verdana"/>
          <w:sz w:val="20"/>
          <w:szCs w:val="20"/>
          <w:lang w:eastAsia="es-ES"/>
        </w:rPr>
        <w:t>a sin presentar información detallada sobre la situación de cada una de las personas beneficiarias y su eventual situación de riesgo</w:t>
      </w:r>
      <w:r w:rsidR="00E46192" w:rsidRPr="00C234D1">
        <w:rPr>
          <w:rFonts w:ascii="Verdana" w:hAnsi="Verdana"/>
          <w:sz w:val="20"/>
          <w:szCs w:val="20"/>
          <w:lang w:eastAsia="es-ES"/>
        </w:rPr>
        <w:t xml:space="preserve">. </w:t>
      </w:r>
    </w:p>
    <w:p w:rsidR="005F372F" w:rsidRPr="005F372F" w:rsidRDefault="005F372F" w:rsidP="005F372F">
      <w:pPr>
        <w:pStyle w:val="ListParagraph"/>
        <w:ind w:left="0"/>
        <w:jc w:val="both"/>
        <w:rPr>
          <w:rFonts w:ascii="Verdana" w:hAnsi="Verdana"/>
          <w:sz w:val="20"/>
          <w:szCs w:val="20"/>
          <w:lang w:eastAsia="es-ES"/>
        </w:rPr>
      </w:pPr>
    </w:p>
    <w:p w:rsidR="00490585" w:rsidRDefault="00FA3062" w:rsidP="00490585">
      <w:pPr>
        <w:pStyle w:val="ListParagraph"/>
        <w:ind w:left="426"/>
        <w:jc w:val="both"/>
        <w:rPr>
          <w:rFonts w:ascii="Verdana" w:hAnsi="Verdana"/>
          <w:b/>
          <w:sz w:val="20"/>
          <w:szCs w:val="20"/>
          <w:lang w:eastAsia="es-ES"/>
        </w:rPr>
      </w:pPr>
      <w:r>
        <w:rPr>
          <w:rFonts w:ascii="Verdana" w:hAnsi="Verdana"/>
          <w:b/>
          <w:sz w:val="20"/>
          <w:szCs w:val="20"/>
          <w:lang w:eastAsia="es-ES"/>
        </w:rPr>
        <w:t xml:space="preserve">A.2. </w:t>
      </w:r>
      <w:r w:rsidR="00490585" w:rsidRPr="006A5BC6">
        <w:rPr>
          <w:rFonts w:ascii="Verdana" w:hAnsi="Verdana"/>
          <w:b/>
          <w:sz w:val="20"/>
          <w:szCs w:val="20"/>
          <w:lang w:eastAsia="es-ES"/>
        </w:rPr>
        <w:t>Consideraciones de la Corte</w:t>
      </w:r>
    </w:p>
    <w:p w:rsidR="003B2770" w:rsidRPr="006A5BC6" w:rsidRDefault="003B2770" w:rsidP="00490585">
      <w:pPr>
        <w:pStyle w:val="ListParagraph"/>
        <w:ind w:left="426"/>
        <w:jc w:val="both"/>
        <w:rPr>
          <w:rFonts w:ascii="Verdana" w:hAnsi="Verdana"/>
          <w:b/>
          <w:sz w:val="20"/>
          <w:szCs w:val="20"/>
          <w:lang w:eastAsia="es-ES"/>
        </w:rPr>
      </w:pPr>
    </w:p>
    <w:p w:rsidR="0009183E" w:rsidRDefault="002A1DE8" w:rsidP="00A35F67">
      <w:pPr>
        <w:pStyle w:val="ListParagraph"/>
        <w:numPr>
          <w:ilvl w:val="0"/>
          <w:numId w:val="3"/>
        </w:numPr>
        <w:ind w:left="0" w:firstLine="0"/>
        <w:jc w:val="both"/>
        <w:rPr>
          <w:rFonts w:ascii="Verdana" w:hAnsi="Verdana"/>
          <w:sz w:val="20"/>
          <w:szCs w:val="20"/>
        </w:rPr>
      </w:pPr>
      <w:r w:rsidRPr="006A5BC6">
        <w:rPr>
          <w:rFonts w:ascii="Verdana" w:hAnsi="Verdana"/>
          <w:sz w:val="20"/>
          <w:szCs w:val="20"/>
        </w:rPr>
        <w:t>L</w:t>
      </w:r>
      <w:r w:rsidR="00490585" w:rsidRPr="006A5BC6">
        <w:rPr>
          <w:rFonts w:ascii="Verdana" w:hAnsi="Verdana"/>
          <w:sz w:val="20"/>
          <w:szCs w:val="20"/>
        </w:rPr>
        <w:t xml:space="preserve">as presentes medidas fueron dictadas debido a la apreciación </w:t>
      </w:r>
      <w:r w:rsidR="00490585" w:rsidRPr="00FA3062">
        <w:rPr>
          <w:rFonts w:ascii="Verdana" w:hAnsi="Verdana"/>
          <w:i/>
          <w:sz w:val="20"/>
          <w:szCs w:val="20"/>
        </w:rPr>
        <w:t>prima facie</w:t>
      </w:r>
      <w:r w:rsidR="00490585" w:rsidRPr="006A5BC6">
        <w:rPr>
          <w:rFonts w:ascii="Verdana" w:hAnsi="Verdana"/>
          <w:sz w:val="20"/>
          <w:szCs w:val="20"/>
        </w:rPr>
        <w:t xml:space="preserve"> de amenaza a los derechos a la</w:t>
      </w:r>
      <w:r w:rsidR="00521349">
        <w:rPr>
          <w:rFonts w:ascii="Verdana" w:hAnsi="Verdana"/>
          <w:sz w:val="20"/>
          <w:szCs w:val="20"/>
        </w:rPr>
        <w:t xml:space="preserve"> vida, integridad personal de los beneficiario</w:t>
      </w:r>
      <w:r w:rsidR="00490585" w:rsidRPr="006A5BC6">
        <w:rPr>
          <w:rFonts w:ascii="Verdana" w:hAnsi="Verdana"/>
          <w:sz w:val="20"/>
          <w:szCs w:val="20"/>
        </w:rPr>
        <w:t>s establecido</w:t>
      </w:r>
      <w:r w:rsidR="003D041B" w:rsidRPr="006A5BC6">
        <w:rPr>
          <w:rFonts w:ascii="Verdana" w:hAnsi="Verdana"/>
          <w:sz w:val="20"/>
          <w:szCs w:val="20"/>
        </w:rPr>
        <w:t>s en la</w:t>
      </w:r>
      <w:r w:rsidR="00521349">
        <w:rPr>
          <w:rFonts w:ascii="Verdana" w:hAnsi="Verdana"/>
          <w:sz w:val="20"/>
          <w:szCs w:val="20"/>
        </w:rPr>
        <w:t>s Resoluciones</w:t>
      </w:r>
      <w:r w:rsidR="003D041B" w:rsidRPr="006A5BC6">
        <w:rPr>
          <w:rFonts w:ascii="Verdana" w:hAnsi="Verdana"/>
          <w:sz w:val="20"/>
          <w:szCs w:val="20"/>
        </w:rPr>
        <w:t xml:space="preserve"> </w:t>
      </w:r>
      <w:r w:rsidR="003D041B" w:rsidRPr="003B2770">
        <w:rPr>
          <w:rFonts w:ascii="Verdana" w:hAnsi="Verdana"/>
          <w:sz w:val="20"/>
          <w:szCs w:val="20"/>
        </w:rPr>
        <w:t>emitida</w:t>
      </w:r>
      <w:r w:rsidR="000D6DCF">
        <w:rPr>
          <w:rFonts w:ascii="Verdana" w:hAnsi="Verdana"/>
          <w:sz w:val="20"/>
          <w:szCs w:val="20"/>
        </w:rPr>
        <w:t>s</w:t>
      </w:r>
      <w:r w:rsidR="003D041B" w:rsidRPr="003B2770">
        <w:rPr>
          <w:rFonts w:ascii="Verdana" w:hAnsi="Verdana"/>
          <w:sz w:val="20"/>
          <w:szCs w:val="20"/>
        </w:rPr>
        <w:t xml:space="preserve"> el 23</w:t>
      </w:r>
      <w:r w:rsidR="00490585" w:rsidRPr="003B2770">
        <w:rPr>
          <w:rFonts w:ascii="Verdana" w:hAnsi="Verdana"/>
          <w:sz w:val="20"/>
          <w:szCs w:val="20"/>
        </w:rPr>
        <w:t xml:space="preserve"> de </w:t>
      </w:r>
      <w:r w:rsidR="003D041B" w:rsidRPr="003B2770">
        <w:rPr>
          <w:rFonts w:ascii="Verdana" w:hAnsi="Verdana"/>
          <w:sz w:val="20"/>
          <w:szCs w:val="20"/>
        </w:rPr>
        <w:t>marzo de 2007</w:t>
      </w:r>
      <w:r w:rsidR="001C2288">
        <w:rPr>
          <w:rFonts w:ascii="Verdana" w:hAnsi="Verdana"/>
          <w:sz w:val="20"/>
          <w:szCs w:val="20"/>
        </w:rPr>
        <w:t xml:space="preserve">, </w:t>
      </w:r>
      <w:r w:rsidR="001C2288" w:rsidRPr="003B2770">
        <w:rPr>
          <w:rFonts w:ascii="Verdana" w:hAnsi="Verdana"/>
          <w:sz w:val="20"/>
          <w:szCs w:val="20"/>
          <w:lang w:val="es-MX"/>
        </w:rPr>
        <w:t>12 de mayo de 2007, 26 de noviembre de 2007, 2 de febrero de 2010, 21 de agosto de 2013, 14 de octubre de 2014, y 17</w:t>
      </w:r>
      <w:r w:rsidR="003B2770">
        <w:rPr>
          <w:rFonts w:ascii="Verdana" w:hAnsi="Verdana"/>
          <w:sz w:val="20"/>
          <w:szCs w:val="20"/>
          <w:lang w:val="es-MX"/>
        </w:rPr>
        <w:t xml:space="preserve"> de abril y 30 de junio de 2015,</w:t>
      </w:r>
      <w:r w:rsidR="001C2288" w:rsidRPr="003B2770">
        <w:rPr>
          <w:rFonts w:ascii="Verdana" w:hAnsi="Verdana"/>
          <w:sz w:val="20"/>
          <w:szCs w:val="20"/>
          <w:lang w:val="es-MX"/>
        </w:rPr>
        <w:t xml:space="preserve"> </w:t>
      </w:r>
      <w:r w:rsidR="00490585" w:rsidRPr="006A5BC6">
        <w:rPr>
          <w:rFonts w:ascii="Verdana" w:hAnsi="Verdana"/>
          <w:sz w:val="20"/>
          <w:szCs w:val="20"/>
        </w:rPr>
        <w:t xml:space="preserve">teniendo en cuenta, </w:t>
      </w:r>
      <w:r w:rsidR="00490585" w:rsidRPr="00FA3062">
        <w:rPr>
          <w:rFonts w:ascii="Verdana" w:hAnsi="Verdana"/>
          <w:i/>
          <w:sz w:val="20"/>
          <w:szCs w:val="20"/>
        </w:rPr>
        <w:t xml:space="preserve">inter </w:t>
      </w:r>
      <w:proofErr w:type="spellStart"/>
      <w:r w:rsidR="00490585" w:rsidRPr="00FA3062">
        <w:rPr>
          <w:rFonts w:ascii="Verdana" w:hAnsi="Verdana"/>
          <w:i/>
          <w:sz w:val="20"/>
          <w:szCs w:val="20"/>
        </w:rPr>
        <w:t>alia</w:t>
      </w:r>
      <w:proofErr w:type="spellEnd"/>
      <w:r w:rsidR="00490585" w:rsidRPr="006A5BC6">
        <w:rPr>
          <w:rFonts w:ascii="Verdana" w:hAnsi="Verdana"/>
          <w:sz w:val="20"/>
          <w:szCs w:val="20"/>
        </w:rPr>
        <w:t>, las alegadas llamadas telefón</w:t>
      </w:r>
      <w:r w:rsidR="003D041B" w:rsidRPr="006A5BC6">
        <w:rPr>
          <w:rFonts w:ascii="Verdana" w:hAnsi="Verdana"/>
          <w:sz w:val="20"/>
          <w:szCs w:val="20"/>
        </w:rPr>
        <w:t xml:space="preserve">icas, </w:t>
      </w:r>
      <w:r w:rsidR="00490585" w:rsidRPr="006A5BC6">
        <w:rPr>
          <w:rFonts w:ascii="Verdana" w:hAnsi="Verdana"/>
          <w:sz w:val="20"/>
          <w:szCs w:val="20"/>
        </w:rPr>
        <w:t>correos electrónicos amenazantes –que inc</w:t>
      </w:r>
      <w:r w:rsidR="004D0E86">
        <w:rPr>
          <w:rFonts w:ascii="Verdana" w:hAnsi="Verdana"/>
          <w:sz w:val="20"/>
          <w:szCs w:val="20"/>
        </w:rPr>
        <w:t>luían varias amenazas de muerte-</w:t>
      </w:r>
      <w:r w:rsidR="00490585" w:rsidRPr="006A5BC6">
        <w:rPr>
          <w:rFonts w:ascii="Verdana" w:hAnsi="Verdana"/>
          <w:sz w:val="20"/>
          <w:szCs w:val="20"/>
        </w:rPr>
        <w:t xml:space="preserve"> y </w:t>
      </w:r>
      <w:r w:rsidR="00FA3062">
        <w:rPr>
          <w:rFonts w:ascii="Verdana" w:hAnsi="Verdana"/>
          <w:sz w:val="20"/>
          <w:szCs w:val="20"/>
        </w:rPr>
        <w:t>seguimientos en contra del señor Adrián Melé</w:t>
      </w:r>
      <w:r w:rsidR="003D041B" w:rsidRPr="006A5BC6">
        <w:rPr>
          <w:rFonts w:ascii="Verdana" w:hAnsi="Verdana"/>
          <w:sz w:val="20"/>
          <w:szCs w:val="20"/>
        </w:rPr>
        <w:t>ndez Quijano</w:t>
      </w:r>
      <w:r w:rsidR="00490585" w:rsidRPr="006A5BC6">
        <w:rPr>
          <w:rFonts w:ascii="Verdana" w:hAnsi="Verdana"/>
          <w:sz w:val="20"/>
          <w:szCs w:val="20"/>
        </w:rPr>
        <w:t xml:space="preserve"> y </w:t>
      </w:r>
      <w:r w:rsidR="003D041B" w:rsidRPr="006A5BC6">
        <w:rPr>
          <w:rFonts w:ascii="Verdana" w:hAnsi="Verdana"/>
          <w:sz w:val="20"/>
          <w:szCs w:val="20"/>
        </w:rPr>
        <w:t>su</w:t>
      </w:r>
      <w:r w:rsidR="004D0E86">
        <w:rPr>
          <w:rFonts w:ascii="Verdana" w:hAnsi="Verdana"/>
          <w:sz w:val="20"/>
          <w:szCs w:val="20"/>
        </w:rPr>
        <w:t>s</w:t>
      </w:r>
      <w:r w:rsidR="003D041B" w:rsidRPr="006A5BC6">
        <w:rPr>
          <w:rFonts w:ascii="Verdana" w:hAnsi="Verdana"/>
          <w:sz w:val="20"/>
          <w:szCs w:val="20"/>
        </w:rPr>
        <w:t xml:space="preserve"> familia</w:t>
      </w:r>
      <w:r w:rsidR="004D0E86">
        <w:rPr>
          <w:rFonts w:ascii="Verdana" w:hAnsi="Verdana"/>
          <w:sz w:val="20"/>
          <w:szCs w:val="20"/>
        </w:rPr>
        <w:t>res</w:t>
      </w:r>
      <w:r w:rsidR="003D041B" w:rsidRPr="006A5BC6">
        <w:rPr>
          <w:rFonts w:ascii="Verdana" w:hAnsi="Verdana"/>
          <w:sz w:val="20"/>
          <w:szCs w:val="20"/>
        </w:rPr>
        <w:t>.</w:t>
      </w:r>
      <w:r w:rsidR="00A35F67">
        <w:rPr>
          <w:rFonts w:ascii="Verdana" w:hAnsi="Verdana"/>
          <w:sz w:val="20"/>
          <w:szCs w:val="20"/>
        </w:rPr>
        <w:t xml:space="preserve"> En la última R</w:t>
      </w:r>
      <w:r w:rsidR="001C2288">
        <w:rPr>
          <w:rFonts w:ascii="Verdana" w:hAnsi="Verdana"/>
          <w:sz w:val="20"/>
          <w:szCs w:val="20"/>
        </w:rPr>
        <w:t xml:space="preserve">esolución de 30 de junio de 2015, se establecieron como beneficiarios de las medidas a </w:t>
      </w:r>
      <w:r w:rsidR="001C2288" w:rsidRPr="00E5033E">
        <w:rPr>
          <w:rFonts w:ascii="Verdana" w:hAnsi="Verdana"/>
          <w:sz w:val="20"/>
          <w:szCs w:val="20"/>
        </w:rPr>
        <w:t xml:space="preserve">Adrián Meléndez </w:t>
      </w:r>
      <w:r w:rsidR="001C2288">
        <w:rPr>
          <w:rFonts w:ascii="Verdana" w:hAnsi="Verdana"/>
          <w:sz w:val="20"/>
          <w:szCs w:val="20"/>
        </w:rPr>
        <w:t xml:space="preserve">Quijano, </w:t>
      </w:r>
      <w:r w:rsidR="001C2288" w:rsidRPr="00C35504">
        <w:rPr>
          <w:rFonts w:ascii="Verdana" w:hAnsi="Verdana"/>
          <w:sz w:val="20"/>
          <w:szCs w:val="20"/>
        </w:rPr>
        <w:t xml:space="preserve">Gloria </w:t>
      </w:r>
      <w:r w:rsidR="001C2288">
        <w:rPr>
          <w:rFonts w:ascii="Verdana" w:hAnsi="Verdana"/>
          <w:sz w:val="20"/>
          <w:szCs w:val="20"/>
        </w:rPr>
        <w:t>Trá</w:t>
      </w:r>
      <w:r w:rsidR="001C2288" w:rsidRPr="00C35504">
        <w:rPr>
          <w:rFonts w:ascii="Verdana" w:hAnsi="Verdana"/>
          <w:sz w:val="20"/>
          <w:szCs w:val="20"/>
        </w:rPr>
        <w:t>nsito Quijano, Sandra Ivette Meléndez Quijano, Marina Elizabeth García</w:t>
      </w:r>
      <w:r w:rsidR="001C2288" w:rsidRPr="000575C4">
        <w:rPr>
          <w:rFonts w:ascii="Verdana" w:hAnsi="Verdana"/>
          <w:sz w:val="20"/>
          <w:szCs w:val="20"/>
        </w:rPr>
        <w:t xml:space="preserve"> de Meléndez y sus hijas, Andrea Elizabeth Meléndez García, </w:t>
      </w:r>
      <w:proofErr w:type="spellStart"/>
      <w:r w:rsidR="001C2288" w:rsidRPr="000575C4">
        <w:rPr>
          <w:rFonts w:ascii="Verdana" w:hAnsi="Verdana"/>
          <w:sz w:val="20"/>
          <w:szCs w:val="20"/>
        </w:rPr>
        <w:t>Estefani</w:t>
      </w:r>
      <w:proofErr w:type="spellEnd"/>
      <w:r w:rsidR="001C2288" w:rsidRPr="000575C4">
        <w:rPr>
          <w:rFonts w:ascii="Verdana" w:hAnsi="Verdana"/>
          <w:sz w:val="20"/>
          <w:szCs w:val="20"/>
        </w:rPr>
        <w:t xml:space="preserve"> Marcela Meléndez García, Pamela Michelle Meléndez García y Adriana María Meléndez García</w:t>
      </w:r>
      <w:r w:rsidR="00603307">
        <w:rPr>
          <w:rFonts w:ascii="Verdana" w:hAnsi="Verdana"/>
          <w:sz w:val="20"/>
          <w:szCs w:val="20"/>
        </w:rPr>
        <w:t>.</w:t>
      </w:r>
      <w:r w:rsidR="0009183E">
        <w:rPr>
          <w:rFonts w:ascii="Verdana" w:hAnsi="Verdana"/>
          <w:sz w:val="20"/>
          <w:szCs w:val="20"/>
        </w:rPr>
        <w:t xml:space="preserve"> </w:t>
      </w:r>
      <w:r w:rsidR="003F776D">
        <w:rPr>
          <w:rFonts w:ascii="Verdana" w:hAnsi="Verdana"/>
          <w:sz w:val="20"/>
          <w:szCs w:val="20"/>
        </w:rPr>
        <w:t>E</w:t>
      </w:r>
      <w:r w:rsidR="00A35F67">
        <w:rPr>
          <w:rFonts w:ascii="Verdana" w:hAnsi="Verdana"/>
          <w:sz w:val="20"/>
          <w:szCs w:val="20"/>
        </w:rPr>
        <w:t>l Estado ha solicitado el levantamiento de las referidas medidas provisionales.</w:t>
      </w:r>
    </w:p>
    <w:p w:rsidR="002A1DE8" w:rsidRPr="006A5BC6" w:rsidRDefault="002A1DE8" w:rsidP="00FB521D">
      <w:pPr>
        <w:pStyle w:val="ListParagraph"/>
        <w:ind w:left="0"/>
        <w:jc w:val="both"/>
        <w:rPr>
          <w:rFonts w:ascii="Verdana" w:hAnsi="Verdana"/>
          <w:sz w:val="20"/>
          <w:szCs w:val="20"/>
        </w:rPr>
      </w:pPr>
    </w:p>
    <w:p w:rsidR="000778A1" w:rsidRPr="00A35F67" w:rsidRDefault="00FA3062" w:rsidP="00FB521D">
      <w:pPr>
        <w:pStyle w:val="ListParagraph"/>
        <w:numPr>
          <w:ilvl w:val="0"/>
          <w:numId w:val="3"/>
        </w:numPr>
        <w:ind w:left="0" w:firstLine="0"/>
        <w:jc w:val="both"/>
        <w:rPr>
          <w:rFonts w:ascii="Verdana" w:hAnsi="Verdana"/>
          <w:sz w:val="20"/>
          <w:szCs w:val="20"/>
        </w:rPr>
      </w:pPr>
      <w:r w:rsidRPr="00A35F67">
        <w:rPr>
          <w:rFonts w:ascii="Verdana" w:hAnsi="Verdana"/>
          <w:sz w:val="20"/>
          <w:szCs w:val="20"/>
        </w:rPr>
        <w:t>La Corte nota</w:t>
      </w:r>
      <w:r w:rsidR="002A1DE8" w:rsidRPr="00A35F67">
        <w:rPr>
          <w:rFonts w:ascii="Verdana" w:hAnsi="Verdana"/>
          <w:sz w:val="20"/>
          <w:szCs w:val="20"/>
        </w:rPr>
        <w:t xml:space="preserve"> que</w:t>
      </w:r>
      <w:r w:rsidR="008E1F65">
        <w:rPr>
          <w:rFonts w:ascii="Verdana" w:hAnsi="Verdana"/>
          <w:sz w:val="20"/>
          <w:szCs w:val="20"/>
        </w:rPr>
        <w:t>,</w:t>
      </w:r>
      <w:r w:rsidR="002A1DE8" w:rsidRPr="00A35F67">
        <w:rPr>
          <w:rFonts w:ascii="Verdana" w:hAnsi="Verdana"/>
          <w:sz w:val="20"/>
          <w:szCs w:val="20"/>
        </w:rPr>
        <w:t xml:space="preserve"> </w:t>
      </w:r>
      <w:r w:rsidR="00F658B2" w:rsidRPr="00A35F67">
        <w:rPr>
          <w:rFonts w:ascii="Verdana" w:hAnsi="Verdana"/>
          <w:sz w:val="20"/>
          <w:szCs w:val="20"/>
        </w:rPr>
        <w:t xml:space="preserve">de la información aportada por </w:t>
      </w:r>
      <w:r w:rsidR="000778A1" w:rsidRPr="00A35F67">
        <w:rPr>
          <w:rFonts w:ascii="Verdana" w:hAnsi="Verdana"/>
          <w:sz w:val="20"/>
          <w:szCs w:val="20"/>
        </w:rPr>
        <w:t>el Estado el 1</w:t>
      </w:r>
      <w:r w:rsidR="00035D51">
        <w:rPr>
          <w:rFonts w:ascii="Verdana" w:hAnsi="Verdana"/>
          <w:sz w:val="20"/>
          <w:szCs w:val="20"/>
        </w:rPr>
        <w:t>4</w:t>
      </w:r>
      <w:r w:rsidR="000778A1" w:rsidRPr="00A35F67">
        <w:rPr>
          <w:rFonts w:ascii="Verdana" w:hAnsi="Verdana"/>
          <w:sz w:val="20"/>
          <w:szCs w:val="20"/>
        </w:rPr>
        <w:t xml:space="preserve"> agosto de 2018</w:t>
      </w:r>
      <w:r w:rsidR="008E1F65">
        <w:rPr>
          <w:rFonts w:ascii="Verdana" w:hAnsi="Verdana"/>
          <w:sz w:val="20"/>
          <w:szCs w:val="20"/>
        </w:rPr>
        <w:t>,</w:t>
      </w:r>
      <w:r w:rsidR="000778A1" w:rsidRPr="00A35F67">
        <w:rPr>
          <w:rFonts w:ascii="Verdana" w:hAnsi="Verdana"/>
          <w:sz w:val="20"/>
          <w:szCs w:val="20"/>
        </w:rPr>
        <w:t xml:space="preserve"> </w:t>
      </w:r>
      <w:r w:rsidR="00A35F67" w:rsidRPr="00A35F67">
        <w:rPr>
          <w:rFonts w:ascii="Verdana" w:hAnsi="Verdana"/>
          <w:sz w:val="20"/>
          <w:szCs w:val="20"/>
        </w:rPr>
        <w:t xml:space="preserve">los </w:t>
      </w:r>
      <w:r w:rsidR="00D877ED" w:rsidRPr="00A35F67">
        <w:rPr>
          <w:rFonts w:ascii="Verdana" w:hAnsi="Verdana"/>
          <w:sz w:val="20"/>
          <w:szCs w:val="20"/>
        </w:rPr>
        <w:t xml:space="preserve">últimos incidentes de riesgos o </w:t>
      </w:r>
      <w:r w:rsidR="004D0E86" w:rsidRPr="00A35F67">
        <w:rPr>
          <w:rFonts w:ascii="Verdana" w:hAnsi="Verdana"/>
          <w:sz w:val="20"/>
          <w:szCs w:val="20"/>
        </w:rPr>
        <w:t>peligro hacia los beneficiarios</w:t>
      </w:r>
      <w:r w:rsidR="00D877ED" w:rsidRPr="00A35F67">
        <w:rPr>
          <w:rFonts w:ascii="Verdana" w:hAnsi="Verdana"/>
          <w:sz w:val="20"/>
          <w:szCs w:val="20"/>
        </w:rPr>
        <w:t xml:space="preserve"> se circunscriben en amenazas </w:t>
      </w:r>
      <w:r w:rsidR="00883D55" w:rsidRPr="00A35F67">
        <w:rPr>
          <w:rFonts w:ascii="Verdana" w:hAnsi="Verdana"/>
          <w:sz w:val="20"/>
          <w:szCs w:val="20"/>
        </w:rPr>
        <w:t xml:space="preserve">recibidas el 12 de septiembre de 2017 al correo personal del </w:t>
      </w:r>
      <w:r w:rsidR="00603307" w:rsidRPr="00A35F67">
        <w:rPr>
          <w:rFonts w:ascii="Verdana" w:hAnsi="Verdana"/>
          <w:sz w:val="20"/>
          <w:szCs w:val="20"/>
        </w:rPr>
        <w:t>señor</w:t>
      </w:r>
      <w:r w:rsidR="00883D55" w:rsidRPr="00A35F67">
        <w:rPr>
          <w:rFonts w:ascii="Verdana" w:hAnsi="Verdana"/>
          <w:sz w:val="20"/>
          <w:szCs w:val="20"/>
        </w:rPr>
        <w:t xml:space="preserve"> </w:t>
      </w:r>
      <w:r w:rsidR="0099102D" w:rsidRPr="00A35F67">
        <w:rPr>
          <w:rFonts w:ascii="Verdana" w:hAnsi="Verdana"/>
          <w:sz w:val="20"/>
          <w:szCs w:val="20"/>
        </w:rPr>
        <w:t>A</w:t>
      </w:r>
      <w:r w:rsidR="00C234D1" w:rsidRPr="00A35F67">
        <w:rPr>
          <w:rFonts w:ascii="Verdana" w:hAnsi="Verdana"/>
          <w:sz w:val="20"/>
          <w:szCs w:val="20"/>
        </w:rPr>
        <w:t>driá</w:t>
      </w:r>
      <w:r w:rsidR="0099102D" w:rsidRPr="00A35F67">
        <w:rPr>
          <w:rFonts w:ascii="Verdana" w:hAnsi="Verdana"/>
          <w:sz w:val="20"/>
          <w:szCs w:val="20"/>
        </w:rPr>
        <w:t>n</w:t>
      </w:r>
      <w:r w:rsidR="00883D55" w:rsidRPr="00A35F67">
        <w:rPr>
          <w:rFonts w:ascii="Verdana" w:hAnsi="Verdana"/>
          <w:sz w:val="20"/>
          <w:szCs w:val="20"/>
        </w:rPr>
        <w:t xml:space="preserve"> Mel</w:t>
      </w:r>
      <w:r w:rsidR="00603307" w:rsidRPr="00A35F67">
        <w:rPr>
          <w:rFonts w:ascii="Verdana" w:hAnsi="Verdana"/>
          <w:sz w:val="20"/>
          <w:szCs w:val="20"/>
        </w:rPr>
        <w:t>é</w:t>
      </w:r>
      <w:r w:rsidR="00883D55" w:rsidRPr="00A35F67">
        <w:rPr>
          <w:rFonts w:ascii="Verdana" w:hAnsi="Verdana"/>
          <w:sz w:val="20"/>
          <w:szCs w:val="20"/>
        </w:rPr>
        <w:t xml:space="preserve">ndez Quijano y </w:t>
      </w:r>
      <w:r w:rsidR="00603307" w:rsidRPr="00A35F67">
        <w:rPr>
          <w:rFonts w:ascii="Verdana" w:hAnsi="Verdana"/>
          <w:sz w:val="20"/>
          <w:szCs w:val="20"/>
        </w:rPr>
        <w:t xml:space="preserve">el </w:t>
      </w:r>
      <w:r w:rsidR="00883D55" w:rsidRPr="00A35F67">
        <w:rPr>
          <w:rFonts w:ascii="Verdana" w:hAnsi="Verdana"/>
          <w:sz w:val="20"/>
          <w:szCs w:val="20"/>
        </w:rPr>
        <w:t>15 de noviembre de 2017 al correo electrónico de dos de sus hijas.</w:t>
      </w:r>
      <w:r w:rsidR="00603307" w:rsidRPr="00A35F67">
        <w:rPr>
          <w:rFonts w:ascii="Verdana" w:hAnsi="Verdana"/>
          <w:sz w:val="20"/>
          <w:szCs w:val="20"/>
        </w:rPr>
        <w:t xml:space="preserve"> D</w:t>
      </w:r>
      <w:r w:rsidR="00020607" w:rsidRPr="00A35F67">
        <w:rPr>
          <w:rFonts w:ascii="Verdana" w:hAnsi="Verdana"/>
          <w:sz w:val="20"/>
          <w:szCs w:val="20"/>
        </w:rPr>
        <w:t>e igual manera</w:t>
      </w:r>
      <w:r w:rsidR="00836E2C" w:rsidRPr="00A35F67">
        <w:rPr>
          <w:rFonts w:ascii="Verdana" w:hAnsi="Verdana"/>
          <w:sz w:val="20"/>
          <w:szCs w:val="20"/>
        </w:rPr>
        <w:t xml:space="preserve"> en</w:t>
      </w:r>
      <w:r w:rsidR="00F658B2" w:rsidRPr="00A35F67">
        <w:rPr>
          <w:rFonts w:ascii="Verdana" w:hAnsi="Verdana"/>
          <w:sz w:val="20"/>
          <w:szCs w:val="20"/>
        </w:rPr>
        <w:t xml:space="preserve"> </w:t>
      </w:r>
      <w:r w:rsidR="000778A1" w:rsidRPr="00A35F67">
        <w:rPr>
          <w:rFonts w:ascii="Verdana" w:hAnsi="Verdana"/>
          <w:sz w:val="20"/>
          <w:szCs w:val="20"/>
        </w:rPr>
        <w:t xml:space="preserve">las observaciones de </w:t>
      </w:r>
      <w:r w:rsidR="00FE5233" w:rsidRPr="00A35F67">
        <w:rPr>
          <w:rFonts w:ascii="Verdana" w:hAnsi="Verdana"/>
          <w:sz w:val="20"/>
          <w:szCs w:val="20"/>
        </w:rPr>
        <w:t>15 de agosto de 2017</w:t>
      </w:r>
      <w:r w:rsidR="00603307" w:rsidRPr="00A35F67">
        <w:rPr>
          <w:rFonts w:ascii="Verdana" w:hAnsi="Verdana"/>
          <w:sz w:val="20"/>
          <w:szCs w:val="20"/>
        </w:rPr>
        <w:t>,</w:t>
      </w:r>
      <w:r w:rsidR="004D0E86" w:rsidRPr="00A35F67">
        <w:rPr>
          <w:rFonts w:ascii="Verdana" w:hAnsi="Verdana"/>
          <w:sz w:val="20"/>
          <w:szCs w:val="20"/>
        </w:rPr>
        <w:t xml:space="preserve"> </w:t>
      </w:r>
      <w:r w:rsidR="009B1FD2" w:rsidRPr="00A35F67">
        <w:rPr>
          <w:rFonts w:ascii="Verdana" w:hAnsi="Verdana"/>
          <w:sz w:val="20"/>
          <w:szCs w:val="20"/>
        </w:rPr>
        <w:t>el</w:t>
      </w:r>
      <w:r w:rsidR="000778A1" w:rsidRPr="00A35F67">
        <w:rPr>
          <w:rFonts w:ascii="Verdana" w:hAnsi="Verdana"/>
          <w:sz w:val="20"/>
          <w:szCs w:val="20"/>
        </w:rPr>
        <w:t xml:space="preserve"> representante </w:t>
      </w:r>
      <w:r w:rsidR="00FE5233" w:rsidRPr="00A35F67">
        <w:rPr>
          <w:rFonts w:ascii="Verdana" w:hAnsi="Verdana"/>
          <w:sz w:val="20"/>
          <w:szCs w:val="20"/>
        </w:rPr>
        <w:t>señal</w:t>
      </w:r>
      <w:r w:rsidR="009B1FD2" w:rsidRPr="00A35F67">
        <w:rPr>
          <w:rFonts w:ascii="Verdana" w:hAnsi="Verdana"/>
          <w:sz w:val="20"/>
          <w:szCs w:val="20"/>
        </w:rPr>
        <w:t>ó</w:t>
      </w:r>
      <w:r w:rsidR="00FE5233" w:rsidRPr="00A35F67">
        <w:rPr>
          <w:rFonts w:ascii="Verdana" w:hAnsi="Verdana"/>
          <w:sz w:val="20"/>
          <w:szCs w:val="20"/>
        </w:rPr>
        <w:t xml:space="preserve"> </w:t>
      </w:r>
      <w:r w:rsidRPr="00A35F67">
        <w:rPr>
          <w:rFonts w:ascii="Verdana" w:hAnsi="Verdana"/>
          <w:sz w:val="20"/>
          <w:szCs w:val="20"/>
        </w:rPr>
        <w:t>que el nivel</w:t>
      </w:r>
      <w:r w:rsidR="00F658B2" w:rsidRPr="00A35F67">
        <w:rPr>
          <w:rFonts w:ascii="Verdana" w:hAnsi="Verdana"/>
          <w:sz w:val="20"/>
          <w:szCs w:val="20"/>
        </w:rPr>
        <w:t xml:space="preserve"> de riesgo persistía, con base</w:t>
      </w:r>
      <w:r w:rsidRPr="00A35F67">
        <w:rPr>
          <w:rFonts w:ascii="Verdana" w:hAnsi="Verdana"/>
          <w:sz w:val="20"/>
          <w:szCs w:val="20"/>
        </w:rPr>
        <w:t>: a</w:t>
      </w:r>
      <w:r w:rsidR="00F20C09" w:rsidRPr="00A35F67">
        <w:rPr>
          <w:rFonts w:ascii="Verdana" w:hAnsi="Verdana"/>
          <w:sz w:val="20"/>
          <w:szCs w:val="20"/>
        </w:rPr>
        <w:t>) 15 amenazas recibidas y un seguimiento en el año 2016</w:t>
      </w:r>
      <w:r w:rsidRPr="00A35F67">
        <w:rPr>
          <w:rFonts w:ascii="Verdana" w:hAnsi="Verdana"/>
          <w:sz w:val="20"/>
          <w:szCs w:val="20"/>
        </w:rPr>
        <w:t>; b</w:t>
      </w:r>
      <w:r w:rsidR="00F20C09" w:rsidRPr="00A35F67">
        <w:rPr>
          <w:rFonts w:ascii="Verdana" w:hAnsi="Verdana"/>
          <w:sz w:val="20"/>
          <w:szCs w:val="20"/>
        </w:rPr>
        <w:t>)</w:t>
      </w:r>
      <w:r w:rsidRPr="00A35F67">
        <w:rPr>
          <w:rFonts w:ascii="Verdana" w:hAnsi="Verdana"/>
          <w:sz w:val="20"/>
          <w:szCs w:val="20"/>
        </w:rPr>
        <w:t xml:space="preserve"> </w:t>
      </w:r>
      <w:r w:rsidR="00037E36" w:rsidRPr="00A35F67">
        <w:rPr>
          <w:rFonts w:ascii="Verdana" w:hAnsi="Verdana"/>
          <w:sz w:val="20"/>
          <w:szCs w:val="20"/>
        </w:rPr>
        <w:t xml:space="preserve">una </w:t>
      </w:r>
      <w:r w:rsidR="00E46192" w:rsidRPr="00A35F67">
        <w:rPr>
          <w:rFonts w:ascii="Verdana" w:hAnsi="Verdana"/>
          <w:sz w:val="20"/>
          <w:szCs w:val="20"/>
        </w:rPr>
        <w:t xml:space="preserve">amenaza telefónica recibida </w:t>
      </w:r>
      <w:r w:rsidR="00F20C09" w:rsidRPr="00A35F67">
        <w:rPr>
          <w:rFonts w:ascii="Verdana" w:hAnsi="Verdana"/>
          <w:sz w:val="20"/>
          <w:szCs w:val="20"/>
        </w:rPr>
        <w:t xml:space="preserve">el </w:t>
      </w:r>
      <w:r w:rsidR="00F658B2" w:rsidRPr="00A35F67">
        <w:rPr>
          <w:rFonts w:ascii="Verdana" w:hAnsi="Verdana"/>
          <w:sz w:val="20"/>
          <w:szCs w:val="20"/>
        </w:rPr>
        <w:t>16 de j</w:t>
      </w:r>
      <w:r w:rsidR="00E46192" w:rsidRPr="00A35F67">
        <w:rPr>
          <w:rFonts w:ascii="Verdana" w:hAnsi="Verdana"/>
          <w:sz w:val="20"/>
          <w:szCs w:val="20"/>
        </w:rPr>
        <w:t xml:space="preserve">unio de </w:t>
      </w:r>
      <w:r w:rsidR="00F20C09" w:rsidRPr="00A35F67">
        <w:rPr>
          <w:rFonts w:ascii="Verdana" w:hAnsi="Verdana"/>
          <w:sz w:val="20"/>
          <w:szCs w:val="20"/>
        </w:rPr>
        <w:t>2017</w:t>
      </w:r>
      <w:r w:rsidR="00A35F67" w:rsidRPr="00A35F67">
        <w:rPr>
          <w:rFonts w:ascii="Verdana" w:hAnsi="Verdana"/>
          <w:sz w:val="20"/>
          <w:szCs w:val="20"/>
        </w:rPr>
        <w:t xml:space="preserve">. A su vez, en las observaciones presentadas el 18 de septiembre de 2018 el representante alegó que el nivel de </w:t>
      </w:r>
      <w:r w:rsidR="00A35F67" w:rsidRPr="00A35F67">
        <w:rPr>
          <w:rFonts w:ascii="Verdana" w:hAnsi="Verdana"/>
          <w:sz w:val="20"/>
          <w:szCs w:val="20"/>
        </w:rPr>
        <w:lastRenderedPageBreak/>
        <w:t>riesgo persiste, ya que durante el período de agosto de 2017 a julio de 2018 los beneficiarios habrían recibido 20 amenazas</w:t>
      </w:r>
      <w:r w:rsidR="00057885" w:rsidRPr="00A35F67">
        <w:rPr>
          <w:rFonts w:ascii="Verdana" w:hAnsi="Verdana"/>
          <w:sz w:val="20"/>
          <w:szCs w:val="20"/>
        </w:rPr>
        <w:t>; c</w:t>
      </w:r>
      <w:r w:rsidR="00F91117" w:rsidRPr="00A35F67">
        <w:rPr>
          <w:rFonts w:ascii="Verdana" w:hAnsi="Verdana"/>
          <w:sz w:val="20"/>
          <w:szCs w:val="20"/>
        </w:rPr>
        <w:t>)</w:t>
      </w:r>
      <w:r w:rsidR="00C33A39" w:rsidRPr="00A35F67">
        <w:rPr>
          <w:rFonts w:ascii="Verdana" w:hAnsi="Verdana"/>
          <w:sz w:val="20"/>
          <w:szCs w:val="20"/>
        </w:rPr>
        <w:t xml:space="preserve"> </w:t>
      </w:r>
      <w:r w:rsidR="00F91117" w:rsidRPr="00A35F67">
        <w:rPr>
          <w:rFonts w:ascii="Verdana" w:hAnsi="Verdana"/>
          <w:sz w:val="20"/>
          <w:szCs w:val="20"/>
        </w:rPr>
        <w:t>las</w:t>
      </w:r>
      <w:r w:rsidR="00057885" w:rsidRPr="00A35F67">
        <w:rPr>
          <w:rFonts w:ascii="Verdana" w:hAnsi="Verdana"/>
          <w:sz w:val="20"/>
          <w:szCs w:val="20"/>
        </w:rPr>
        <w:t xml:space="preserve"> denuncias realizadas por el señor</w:t>
      </w:r>
      <w:r w:rsidR="00F91117" w:rsidRPr="00A35F67">
        <w:rPr>
          <w:rFonts w:ascii="Verdana" w:hAnsi="Verdana"/>
          <w:sz w:val="20"/>
          <w:szCs w:val="20"/>
        </w:rPr>
        <w:t xml:space="preserve"> Meléndez </w:t>
      </w:r>
      <w:r w:rsidR="00057885" w:rsidRPr="00A35F67">
        <w:rPr>
          <w:rFonts w:ascii="Verdana" w:hAnsi="Verdana"/>
          <w:sz w:val="20"/>
          <w:szCs w:val="20"/>
        </w:rPr>
        <w:t xml:space="preserve">Quijano </w:t>
      </w:r>
      <w:r w:rsidR="00F91117" w:rsidRPr="00A35F67">
        <w:rPr>
          <w:rFonts w:ascii="Verdana" w:hAnsi="Verdana"/>
          <w:sz w:val="20"/>
          <w:szCs w:val="20"/>
        </w:rPr>
        <w:t>contra funcionarios públicos</w:t>
      </w:r>
      <w:r w:rsidR="00C33A39" w:rsidRPr="00A35F67">
        <w:rPr>
          <w:rFonts w:ascii="Verdana" w:hAnsi="Verdana"/>
          <w:sz w:val="20"/>
          <w:szCs w:val="20"/>
        </w:rPr>
        <w:t>, y d) la falta d</w:t>
      </w:r>
      <w:r w:rsidR="00037E36" w:rsidRPr="00A35F67">
        <w:rPr>
          <w:rFonts w:ascii="Verdana" w:hAnsi="Verdana"/>
          <w:sz w:val="20"/>
          <w:szCs w:val="20"/>
        </w:rPr>
        <w:t>e resultado en las investigaciones</w:t>
      </w:r>
      <w:r w:rsidR="00C33A39" w:rsidRPr="00A35F67">
        <w:rPr>
          <w:rFonts w:ascii="Verdana" w:hAnsi="Verdana"/>
          <w:sz w:val="20"/>
          <w:szCs w:val="20"/>
        </w:rPr>
        <w:t xml:space="preserve"> por tales hechos</w:t>
      </w:r>
      <w:r w:rsidR="00F91117" w:rsidRPr="00A35F67">
        <w:rPr>
          <w:rFonts w:ascii="Verdana" w:hAnsi="Verdana"/>
          <w:sz w:val="20"/>
          <w:szCs w:val="20"/>
        </w:rPr>
        <w:t>.</w:t>
      </w:r>
      <w:r w:rsidR="00EF4B20" w:rsidRPr="00A35F67">
        <w:rPr>
          <w:rFonts w:ascii="Verdana" w:hAnsi="Verdana"/>
          <w:sz w:val="20"/>
          <w:szCs w:val="20"/>
        </w:rPr>
        <w:t xml:space="preserve"> </w:t>
      </w:r>
      <w:r w:rsidR="00AF0610" w:rsidRPr="00A35F67">
        <w:rPr>
          <w:rFonts w:ascii="Verdana" w:hAnsi="Verdana"/>
          <w:sz w:val="20"/>
          <w:szCs w:val="20"/>
        </w:rPr>
        <w:t xml:space="preserve"> </w:t>
      </w:r>
    </w:p>
    <w:p w:rsidR="000778A1" w:rsidRPr="000778A1" w:rsidRDefault="000778A1" w:rsidP="000778A1">
      <w:pPr>
        <w:pStyle w:val="ListParagraph"/>
        <w:rPr>
          <w:rFonts w:ascii="Verdana" w:hAnsi="Verdana"/>
          <w:sz w:val="20"/>
          <w:szCs w:val="20"/>
        </w:rPr>
      </w:pPr>
    </w:p>
    <w:p w:rsidR="00876257" w:rsidRPr="00D31BB6" w:rsidRDefault="002C0CF4" w:rsidP="00D31BB6">
      <w:pPr>
        <w:pStyle w:val="ListParagraph"/>
        <w:numPr>
          <w:ilvl w:val="0"/>
          <w:numId w:val="3"/>
        </w:numPr>
        <w:ind w:left="0" w:firstLine="0"/>
        <w:jc w:val="both"/>
        <w:rPr>
          <w:rFonts w:ascii="Verdana" w:hAnsi="Verdana"/>
          <w:sz w:val="20"/>
          <w:szCs w:val="20"/>
        </w:rPr>
      </w:pPr>
      <w:r w:rsidRPr="00A35F67">
        <w:rPr>
          <w:rFonts w:ascii="Verdana" w:hAnsi="Verdana"/>
          <w:sz w:val="20"/>
          <w:szCs w:val="20"/>
        </w:rPr>
        <w:t xml:space="preserve">En primer lugar, en lo que respecta a las amenazas recibidas por los beneficiarios los días 12 de septiembre y 15 de noviembre de 2017, indicadas por el Estado en su </w:t>
      </w:r>
      <w:r w:rsidR="001633A9">
        <w:rPr>
          <w:rFonts w:ascii="Verdana" w:hAnsi="Verdana"/>
          <w:sz w:val="20"/>
          <w:szCs w:val="20"/>
        </w:rPr>
        <w:t>I</w:t>
      </w:r>
      <w:r w:rsidRPr="00A35F67">
        <w:rPr>
          <w:rFonts w:ascii="Verdana" w:hAnsi="Verdana"/>
          <w:sz w:val="20"/>
          <w:szCs w:val="20"/>
        </w:rPr>
        <w:t>nforme de 1</w:t>
      </w:r>
      <w:r w:rsidR="00035D51">
        <w:rPr>
          <w:rFonts w:ascii="Verdana" w:hAnsi="Verdana"/>
          <w:sz w:val="20"/>
          <w:szCs w:val="20"/>
        </w:rPr>
        <w:t>4</w:t>
      </w:r>
      <w:r w:rsidRPr="00A35F67">
        <w:rPr>
          <w:rFonts w:ascii="Verdana" w:hAnsi="Verdana"/>
          <w:sz w:val="20"/>
          <w:szCs w:val="20"/>
        </w:rPr>
        <w:t xml:space="preserve"> de agosto de 2018, la Corte</w:t>
      </w:r>
      <w:r w:rsidR="00C234D1" w:rsidRPr="00A35F67">
        <w:rPr>
          <w:rFonts w:ascii="Verdana" w:hAnsi="Verdana"/>
          <w:sz w:val="20"/>
          <w:szCs w:val="20"/>
        </w:rPr>
        <w:t xml:space="preserve"> nota que el Estado informó</w:t>
      </w:r>
      <w:r w:rsidRPr="00A35F67">
        <w:rPr>
          <w:rFonts w:ascii="Verdana" w:hAnsi="Verdana"/>
          <w:sz w:val="20"/>
          <w:szCs w:val="20"/>
        </w:rPr>
        <w:t xml:space="preserve"> dichos sucesos nueve meses después de su ocurrencia y que los representantes nunca informaron a l</w:t>
      </w:r>
      <w:r w:rsidR="008E1F65">
        <w:rPr>
          <w:rFonts w:ascii="Verdana" w:hAnsi="Verdana"/>
          <w:sz w:val="20"/>
          <w:szCs w:val="20"/>
        </w:rPr>
        <w:t>a Corte de dichas amenazas,</w:t>
      </w:r>
      <w:r w:rsidRPr="00A35F67">
        <w:rPr>
          <w:rFonts w:ascii="Verdana" w:hAnsi="Verdana"/>
          <w:sz w:val="20"/>
          <w:szCs w:val="20"/>
        </w:rPr>
        <w:t xml:space="preserve"> circunstancia </w:t>
      </w:r>
      <w:r w:rsidR="008E1F65">
        <w:rPr>
          <w:rFonts w:ascii="Verdana" w:hAnsi="Verdana"/>
          <w:sz w:val="20"/>
          <w:szCs w:val="20"/>
        </w:rPr>
        <w:t xml:space="preserve">que </w:t>
      </w:r>
      <w:r w:rsidRPr="00A35F67">
        <w:rPr>
          <w:rFonts w:ascii="Verdana" w:hAnsi="Verdana"/>
          <w:sz w:val="20"/>
          <w:szCs w:val="20"/>
        </w:rPr>
        <w:t>pone en duda la urgencia que podría derivarse de dicho hecho como sustento para el mantenimiento de las medidas provisionales</w:t>
      </w:r>
      <w:r w:rsidRPr="00A35F67">
        <w:rPr>
          <w:rStyle w:val="FootnoteReference"/>
          <w:sz w:val="20"/>
          <w:szCs w:val="20"/>
        </w:rPr>
        <w:footnoteReference w:id="14"/>
      </w:r>
      <w:r w:rsidRPr="00A35F67">
        <w:rPr>
          <w:rFonts w:ascii="Verdana" w:hAnsi="Verdana"/>
          <w:sz w:val="20"/>
          <w:szCs w:val="20"/>
        </w:rPr>
        <w:t xml:space="preserve">. En segundo lugar, en lo que respecta a los puntos a) y b) del párrafo anterior, se desprende que </w:t>
      </w:r>
      <w:r w:rsidR="007B74D1" w:rsidRPr="00A35F67">
        <w:rPr>
          <w:rFonts w:ascii="Verdana" w:hAnsi="Verdana"/>
          <w:sz w:val="20"/>
          <w:szCs w:val="20"/>
        </w:rPr>
        <w:t>las alegadas situaciones de riesgo del año 2016 no corresponden ser analizadas</w:t>
      </w:r>
      <w:r w:rsidR="008E1F65">
        <w:rPr>
          <w:rFonts w:ascii="Verdana" w:hAnsi="Verdana"/>
          <w:sz w:val="20"/>
          <w:szCs w:val="20"/>
        </w:rPr>
        <w:t>,</w:t>
      </w:r>
      <w:r w:rsidR="007B74D1" w:rsidRPr="00A35F67">
        <w:rPr>
          <w:rFonts w:ascii="Verdana" w:hAnsi="Verdana"/>
          <w:sz w:val="20"/>
          <w:szCs w:val="20"/>
        </w:rPr>
        <w:t xml:space="preserve"> ya que por el transcurso del tiempo sucedido perdieron el carácter de urgencia requeridos</w:t>
      </w:r>
      <w:r w:rsidR="00876257" w:rsidRPr="00A35F67">
        <w:rPr>
          <w:rFonts w:ascii="Verdana" w:hAnsi="Verdana"/>
          <w:sz w:val="20"/>
          <w:szCs w:val="20"/>
        </w:rPr>
        <w:t xml:space="preserve"> para</w:t>
      </w:r>
      <w:r w:rsidR="007B74D1" w:rsidRPr="00A35F67">
        <w:rPr>
          <w:rFonts w:ascii="Verdana" w:hAnsi="Verdana"/>
          <w:sz w:val="20"/>
          <w:szCs w:val="20"/>
        </w:rPr>
        <w:t xml:space="preserve"> </w:t>
      </w:r>
      <w:r w:rsidR="00876257" w:rsidRPr="00A35F67">
        <w:rPr>
          <w:rFonts w:ascii="Verdana" w:hAnsi="Verdana"/>
          <w:sz w:val="20"/>
          <w:szCs w:val="20"/>
        </w:rPr>
        <w:t xml:space="preserve">el mantenimiento de </w:t>
      </w:r>
      <w:r w:rsidR="007B74D1" w:rsidRPr="00A35F67">
        <w:rPr>
          <w:rFonts w:ascii="Verdana" w:hAnsi="Verdana"/>
          <w:sz w:val="20"/>
          <w:szCs w:val="20"/>
        </w:rPr>
        <w:t>las presentes medidas. En cuanto a la amenaza recibida el 16 de junio de 2017, la Corte recuerda que los representantes de los beneficiarios que deseen que las medidas continúen, deberán presentar prueba de las razones para ello</w:t>
      </w:r>
      <w:r w:rsidR="007B74D1" w:rsidRPr="00A35F67">
        <w:rPr>
          <w:rStyle w:val="FootnoteReference"/>
          <w:sz w:val="20"/>
          <w:szCs w:val="20"/>
        </w:rPr>
        <w:footnoteReference w:id="15"/>
      </w:r>
      <w:r w:rsidR="00B944E1" w:rsidRPr="00A35F67">
        <w:rPr>
          <w:rFonts w:ascii="Verdana" w:hAnsi="Verdana"/>
          <w:sz w:val="20"/>
          <w:szCs w:val="20"/>
        </w:rPr>
        <w:t xml:space="preserve"> y que el mantenimiento de las medidas de protección exige una evaluación más rigurosa de este Tribunal en cuanto a la persistencia de la situación que dio origen a las mismas</w:t>
      </w:r>
      <w:r w:rsidR="00B944E1" w:rsidRPr="00A35F67">
        <w:rPr>
          <w:rStyle w:val="FootnoteReference"/>
          <w:sz w:val="20"/>
          <w:szCs w:val="20"/>
        </w:rPr>
        <w:footnoteReference w:id="16"/>
      </w:r>
      <w:r w:rsidR="00B944E1" w:rsidRPr="00A35F67">
        <w:rPr>
          <w:rFonts w:ascii="Verdana" w:hAnsi="Verdana"/>
          <w:sz w:val="20"/>
          <w:szCs w:val="20"/>
        </w:rPr>
        <w:t>, por lo que la Corte considera que</w:t>
      </w:r>
      <w:r w:rsidR="008E1F65">
        <w:rPr>
          <w:rFonts w:ascii="Verdana" w:hAnsi="Verdana"/>
          <w:sz w:val="20"/>
          <w:szCs w:val="20"/>
        </w:rPr>
        <w:t>,</w:t>
      </w:r>
      <w:r w:rsidR="00B944E1" w:rsidRPr="00A35F67">
        <w:rPr>
          <w:rFonts w:ascii="Verdana" w:hAnsi="Verdana"/>
          <w:sz w:val="20"/>
          <w:szCs w:val="20"/>
        </w:rPr>
        <w:t xml:space="preserve"> luego de 11 años de</w:t>
      </w:r>
      <w:r w:rsidR="00B944E1">
        <w:rPr>
          <w:rFonts w:ascii="Verdana" w:hAnsi="Verdana"/>
          <w:sz w:val="20"/>
          <w:szCs w:val="20"/>
        </w:rPr>
        <w:t xml:space="preserve"> otorgadas las medidas de protección a favor de los beneficiarios</w:t>
      </w:r>
      <w:r w:rsidR="00876257">
        <w:rPr>
          <w:rFonts w:ascii="Verdana" w:hAnsi="Verdana"/>
          <w:sz w:val="20"/>
          <w:szCs w:val="20"/>
        </w:rPr>
        <w:t xml:space="preserve">, la </w:t>
      </w:r>
      <w:r w:rsidR="009B1FD2">
        <w:rPr>
          <w:rFonts w:ascii="Verdana" w:hAnsi="Verdana"/>
          <w:sz w:val="20"/>
          <w:szCs w:val="20"/>
        </w:rPr>
        <w:t>sola</w:t>
      </w:r>
      <w:r w:rsidR="00876257">
        <w:rPr>
          <w:rFonts w:ascii="Verdana" w:hAnsi="Verdana"/>
          <w:sz w:val="20"/>
          <w:szCs w:val="20"/>
        </w:rPr>
        <w:t xml:space="preserve"> alegación de una llamada telefónica amenazante no es suficiente para acreditar la gravedad y urgencia necesaria para el mantenimiento de las medidas.</w:t>
      </w:r>
      <w:r w:rsidR="00876257" w:rsidRPr="00143B39">
        <w:rPr>
          <w:rFonts w:ascii="Verdana" w:hAnsi="Verdana" w:cstheme="minorHAnsi"/>
          <w:sz w:val="20"/>
          <w:szCs w:val="20"/>
          <w:lang w:val="es-ES"/>
        </w:rPr>
        <w:t xml:space="preserve"> </w:t>
      </w:r>
      <w:r w:rsidR="00A35F67">
        <w:rPr>
          <w:rFonts w:ascii="Verdana" w:hAnsi="Verdana" w:cstheme="minorHAnsi"/>
          <w:sz w:val="20"/>
          <w:szCs w:val="20"/>
          <w:lang w:val="es-ES"/>
        </w:rPr>
        <w:t>En cuanto a las amenazas alegadas en las observaciones del 18 de septiembre de 2018, esta Corte estima que dichos sucesos no tienen el suficiente grado de gravedad y urgencia para mantener las presentes medidas.</w:t>
      </w:r>
      <w:r w:rsidR="00A35F67" w:rsidRPr="00143B39">
        <w:rPr>
          <w:rFonts w:ascii="Verdana" w:hAnsi="Verdana"/>
          <w:sz w:val="20"/>
          <w:szCs w:val="20"/>
        </w:rPr>
        <w:t xml:space="preserve"> </w:t>
      </w:r>
      <w:r w:rsidR="00876257" w:rsidRPr="00143B39">
        <w:rPr>
          <w:rFonts w:ascii="Verdana" w:hAnsi="Verdana"/>
          <w:sz w:val="20"/>
          <w:szCs w:val="20"/>
        </w:rPr>
        <w:t xml:space="preserve">En tercer lugar, con respecto al punto c) </w:t>
      </w:r>
      <w:r w:rsidR="00876257">
        <w:rPr>
          <w:rFonts w:ascii="Verdana" w:hAnsi="Verdana"/>
          <w:sz w:val="20"/>
          <w:szCs w:val="20"/>
        </w:rPr>
        <w:t xml:space="preserve">sobre </w:t>
      </w:r>
      <w:r w:rsidR="00876257" w:rsidRPr="00143B39">
        <w:rPr>
          <w:rFonts w:ascii="Verdana" w:hAnsi="Verdana"/>
          <w:sz w:val="20"/>
          <w:szCs w:val="20"/>
        </w:rPr>
        <w:t xml:space="preserve">el nivel de riesgo actual relacionado con las denuncias presentadas contra ex funcionarios públicos, la Corte destaca que no denotan de forma directa o clara </w:t>
      </w:r>
      <w:r w:rsidR="00BD4EB2">
        <w:rPr>
          <w:rFonts w:ascii="Verdana" w:hAnsi="Verdana"/>
          <w:sz w:val="20"/>
          <w:szCs w:val="20"/>
        </w:rPr>
        <w:t xml:space="preserve">de </w:t>
      </w:r>
      <w:r w:rsidR="00876257" w:rsidRPr="00143B39">
        <w:rPr>
          <w:rFonts w:ascii="Verdana" w:hAnsi="Verdana"/>
          <w:sz w:val="20"/>
          <w:szCs w:val="20"/>
        </w:rPr>
        <w:t>tal estado de riesgo; por el contrario, el riesgo se pretende vincular a tales hechos de modo meramente hipotético o conjetural.</w:t>
      </w:r>
      <w:r w:rsidR="00AF0610" w:rsidRPr="00AF0610">
        <w:rPr>
          <w:rFonts w:ascii="Verdana" w:hAnsi="Verdana" w:cstheme="minorHAnsi"/>
          <w:sz w:val="20"/>
          <w:szCs w:val="20"/>
          <w:lang w:val="es-ES"/>
        </w:rPr>
        <w:t xml:space="preserve"> </w:t>
      </w:r>
      <w:r w:rsidR="00876257">
        <w:rPr>
          <w:rFonts w:ascii="Verdana" w:hAnsi="Verdana" w:cstheme="minorHAnsi"/>
          <w:sz w:val="20"/>
          <w:szCs w:val="20"/>
          <w:lang w:val="es-ES"/>
        </w:rPr>
        <w:t>Por lo tanto</w:t>
      </w:r>
      <w:r w:rsidR="00876257" w:rsidRPr="00143B39">
        <w:rPr>
          <w:rFonts w:ascii="Verdana" w:hAnsi="Verdana" w:cstheme="minorHAnsi"/>
          <w:sz w:val="20"/>
          <w:szCs w:val="20"/>
          <w:lang w:val="es-ES"/>
        </w:rPr>
        <w:t xml:space="preserve">, de acuerdo con la información proporcionada, este Tribunal considera razonable presumir que </w:t>
      </w:r>
      <w:r w:rsidR="00876257">
        <w:rPr>
          <w:rFonts w:ascii="Verdana" w:hAnsi="Verdana" w:cstheme="minorHAnsi"/>
          <w:sz w:val="20"/>
          <w:szCs w:val="20"/>
          <w:lang w:val="es-ES"/>
        </w:rPr>
        <w:t xml:space="preserve">la </w:t>
      </w:r>
      <w:r w:rsidR="00876257" w:rsidRPr="00143B39">
        <w:rPr>
          <w:rFonts w:ascii="Verdana" w:hAnsi="Verdana" w:cstheme="minorHAnsi"/>
          <w:sz w:val="20"/>
          <w:szCs w:val="20"/>
          <w:lang w:val="es-ES"/>
        </w:rPr>
        <w:t xml:space="preserve">situación </w:t>
      </w:r>
      <w:r w:rsidR="00876257">
        <w:rPr>
          <w:rFonts w:ascii="Verdana" w:hAnsi="Verdana" w:cstheme="minorHAnsi"/>
          <w:sz w:val="20"/>
          <w:szCs w:val="20"/>
          <w:lang w:val="es-ES"/>
        </w:rPr>
        <w:t xml:space="preserve">de los beneficiarios de las presentes medidas provisionales, </w:t>
      </w:r>
      <w:r w:rsidR="00876257" w:rsidRPr="00143B39">
        <w:rPr>
          <w:rFonts w:ascii="Verdana" w:hAnsi="Verdana" w:cstheme="minorHAnsi"/>
          <w:sz w:val="20"/>
          <w:szCs w:val="20"/>
          <w:lang w:val="es-ES"/>
        </w:rPr>
        <w:t>ya no se enmarca dentro de los presupuestos señalados por el artículo 63.2 de la Convención</w:t>
      </w:r>
      <w:r w:rsidR="00876257">
        <w:rPr>
          <w:rFonts w:ascii="Verdana" w:hAnsi="Verdana" w:cstheme="minorHAnsi"/>
          <w:sz w:val="20"/>
          <w:szCs w:val="20"/>
          <w:lang w:val="es-ES"/>
        </w:rPr>
        <w:t xml:space="preserve"> Americana</w:t>
      </w:r>
      <w:r w:rsidR="00876257" w:rsidRPr="00143B39">
        <w:rPr>
          <w:rFonts w:ascii="Verdana" w:hAnsi="Verdana" w:cstheme="minorHAnsi"/>
          <w:sz w:val="20"/>
          <w:szCs w:val="20"/>
          <w:lang w:val="es-ES"/>
        </w:rPr>
        <w:t xml:space="preserve">. </w:t>
      </w:r>
    </w:p>
    <w:p w:rsidR="00C35504" w:rsidRPr="00C35504" w:rsidRDefault="00C35504" w:rsidP="00C234D1"/>
    <w:p w:rsidR="003F113B" w:rsidRDefault="008E1F65" w:rsidP="003F113B">
      <w:pPr>
        <w:pStyle w:val="ListParagraph"/>
        <w:numPr>
          <w:ilvl w:val="0"/>
          <w:numId w:val="3"/>
        </w:numPr>
        <w:ind w:left="0" w:firstLine="0"/>
        <w:jc w:val="both"/>
        <w:rPr>
          <w:rFonts w:ascii="Verdana" w:hAnsi="Verdana"/>
          <w:sz w:val="20"/>
          <w:szCs w:val="20"/>
        </w:rPr>
      </w:pPr>
      <w:r>
        <w:rPr>
          <w:rFonts w:ascii="Verdana" w:hAnsi="Verdana"/>
          <w:sz w:val="20"/>
          <w:szCs w:val="20"/>
        </w:rPr>
        <w:t xml:space="preserve"> L</w:t>
      </w:r>
      <w:r w:rsidR="00A12120">
        <w:rPr>
          <w:rFonts w:ascii="Verdana" w:hAnsi="Verdana"/>
          <w:sz w:val="20"/>
        </w:rPr>
        <w:t xml:space="preserve">a Corte </w:t>
      </w:r>
      <w:r w:rsidR="003F113B" w:rsidRPr="003F113B">
        <w:rPr>
          <w:rFonts w:ascii="Verdana" w:hAnsi="Verdana"/>
          <w:sz w:val="20"/>
        </w:rPr>
        <w:t xml:space="preserve">estima procedente disponer el levantamiento de las medidas provisionales a favor del señor </w:t>
      </w:r>
      <w:r w:rsidR="003F113B" w:rsidRPr="003F113B">
        <w:rPr>
          <w:rFonts w:ascii="Verdana" w:hAnsi="Verdana"/>
          <w:sz w:val="20"/>
          <w:szCs w:val="20"/>
        </w:rPr>
        <w:t xml:space="preserve">Adrián Meléndez Quijano y </w:t>
      </w:r>
      <w:r w:rsidR="003F113B" w:rsidRPr="00C35504">
        <w:rPr>
          <w:rFonts w:ascii="Verdana" w:hAnsi="Verdana"/>
          <w:sz w:val="20"/>
          <w:szCs w:val="20"/>
        </w:rPr>
        <w:t>sus familiares</w:t>
      </w:r>
      <w:r w:rsidR="00C35504">
        <w:rPr>
          <w:rFonts w:ascii="Verdana" w:hAnsi="Verdana"/>
          <w:sz w:val="20"/>
          <w:szCs w:val="20"/>
        </w:rPr>
        <w:t>:</w:t>
      </w:r>
      <w:r w:rsidR="00454085" w:rsidRPr="00C35504">
        <w:rPr>
          <w:rFonts w:ascii="Verdana" w:hAnsi="Verdana"/>
          <w:sz w:val="20"/>
          <w:szCs w:val="20"/>
        </w:rPr>
        <w:t xml:space="preserve"> Gloria </w:t>
      </w:r>
      <w:r w:rsidR="00C35504">
        <w:rPr>
          <w:rFonts w:ascii="Verdana" w:hAnsi="Verdana"/>
          <w:sz w:val="20"/>
          <w:szCs w:val="20"/>
        </w:rPr>
        <w:t>Trá</w:t>
      </w:r>
      <w:r w:rsidR="00A35F67">
        <w:rPr>
          <w:rFonts w:ascii="Verdana" w:hAnsi="Verdana"/>
          <w:sz w:val="20"/>
          <w:szCs w:val="20"/>
        </w:rPr>
        <w:t>nsito Quijano,</w:t>
      </w:r>
      <w:r w:rsidR="00454085" w:rsidRPr="00C35504">
        <w:rPr>
          <w:rFonts w:ascii="Verdana" w:hAnsi="Verdana"/>
          <w:sz w:val="20"/>
          <w:szCs w:val="20"/>
        </w:rPr>
        <w:t xml:space="preserve"> Marina Elizabeth García</w:t>
      </w:r>
      <w:r w:rsidR="00454085" w:rsidRPr="000575C4">
        <w:rPr>
          <w:rFonts w:ascii="Verdana" w:hAnsi="Verdana"/>
          <w:sz w:val="20"/>
          <w:szCs w:val="20"/>
        </w:rPr>
        <w:t xml:space="preserve"> de Meléndez y sus hijas, Andrea Elizabeth Meléndez García, </w:t>
      </w:r>
      <w:proofErr w:type="spellStart"/>
      <w:r w:rsidR="00454085" w:rsidRPr="000575C4">
        <w:rPr>
          <w:rFonts w:ascii="Verdana" w:hAnsi="Verdana"/>
          <w:sz w:val="20"/>
          <w:szCs w:val="20"/>
        </w:rPr>
        <w:t>Estefani</w:t>
      </w:r>
      <w:proofErr w:type="spellEnd"/>
      <w:r w:rsidR="00454085" w:rsidRPr="000575C4">
        <w:rPr>
          <w:rFonts w:ascii="Verdana" w:hAnsi="Verdana"/>
          <w:sz w:val="20"/>
          <w:szCs w:val="20"/>
        </w:rPr>
        <w:t xml:space="preserve"> Marcela Meléndez García, Pamela Michelle Meléndez García y Adriana María Meléndez García</w:t>
      </w:r>
      <w:r w:rsidR="003F113B" w:rsidRPr="003F113B">
        <w:rPr>
          <w:rFonts w:ascii="Verdana" w:hAnsi="Verdana"/>
          <w:sz w:val="20"/>
        </w:rPr>
        <w:t xml:space="preserve">, ya que </w:t>
      </w:r>
      <w:r w:rsidR="003F113B" w:rsidRPr="003F113B">
        <w:rPr>
          <w:rFonts w:ascii="Verdana" w:hAnsi="Verdana"/>
          <w:sz w:val="20"/>
          <w:szCs w:val="20"/>
        </w:rPr>
        <w:t>no se desprende que en la actualidad se configure una situación de grado “extremo” de “gravedad” y “urgencia” que se encuadre en los términos exigidos en el artículo 63.2 de la Convención</w:t>
      </w:r>
      <w:r w:rsidR="00A12120">
        <w:rPr>
          <w:rFonts w:ascii="Verdana" w:hAnsi="Verdana"/>
          <w:sz w:val="20"/>
          <w:szCs w:val="20"/>
        </w:rPr>
        <w:t xml:space="preserve"> Americana</w:t>
      </w:r>
      <w:r w:rsidR="003F113B" w:rsidRPr="001439DC">
        <w:rPr>
          <w:rStyle w:val="FootnoteReference"/>
          <w:sz w:val="20"/>
          <w:szCs w:val="20"/>
        </w:rPr>
        <w:footnoteReference w:id="17"/>
      </w:r>
      <w:r w:rsidR="003F113B" w:rsidRPr="003F113B">
        <w:rPr>
          <w:rFonts w:ascii="Verdana" w:hAnsi="Verdana"/>
          <w:sz w:val="20"/>
          <w:szCs w:val="20"/>
        </w:rPr>
        <w:t>.</w:t>
      </w:r>
    </w:p>
    <w:p w:rsidR="009B1FD2" w:rsidRPr="00A35F67" w:rsidRDefault="009B1FD2" w:rsidP="00A35F67">
      <w:pPr>
        <w:pStyle w:val="ListParagraph"/>
        <w:rPr>
          <w:rFonts w:ascii="Verdana" w:hAnsi="Verdana"/>
          <w:sz w:val="20"/>
          <w:szCs w:val="20"/>
        </w:rPr>
      </w:pPr>
    </w:p>
    <w:p w:rsidR="009B1FD2" w:rsidRPr="00315A4D" w:rsidRDefault="009B1FD2" w:rsidP="00A35F67">
      <w:pPr>
        <w:pStyle w:val="ListParagraph"/>
        <w:numPr>
          <w:ilvl w:val="0"/>
          <w:numId w:val="3"/>
        </w:numPr>
        <w:ind w:left="0" w:firstLine="0"/>
        <w:jc w:val="both"/>
        <w:rPr>
          <w:rFonts w:ascii="Verdana" w:hAnsi="Verdana"/>
          <w:sz w:val="20"/>
          <w:szCs w:val="20"/>
          <w:lang w:val="es-ES"/>
        </w:rPr>
      </w:pPr>
      <w:r w:rsidRPr="009B1FD2">
        <w:rPr>
          <w:rFonts w:ascii="Verdana" w:hAnsi="Verdana"/>
          <w:sz w:val="20"/>
          <w:szCs w:val="20"/>
        </w:rPr>
        <w:lastRenderedPageBreak/>
        <w:t xml:space="preserve"> </w:t>
      </w:r>
      <w:r w:rsidRPr="009B1FD2">
        <w:rPr>
          <w:rFonts w:ascii="Verdana" w:hAnsi="Verdana"/>
          <w:sz w:val="20"/>
          <w:szCs w:val="20"/>
          <w:lang w:val="es-ES"/>
        </w:rPr>
        <w:t xml:space="preserve">En </w:t>
      </w:r>
      <w:r w:rsidR="00532A09">
        <w:rPr>
          <w:rFonts w:ascii="Verdana" w:hAnsi="Verdana"/>
          <w:sz w:val="20"/>
          <w:szCs w:val="20"/>
          <w:lang w:val="es-ES"/>
        </w:rPr>
        <w:t>relación</w:t>
      </w:r>
      <w:r>
        <w:rPr>
          <w:rFonts w:ascii="Verdana" w:hAnsi="Verdana"/>
          <w:sz w:val="20"/>
          <w:szCs w:val="20"/>
          <w:lang w:val="es-ES"/>
        </w:rPr>
        <w:t xml:space="preserve"> a la información del representante del fallecimiento </w:t>
      </w:r>
      <w:r w:rsidR="00A35F67">
        <w:rPr>
          <w:rFonts w:ascii="Verdana" w:hAnsi="Verdana"/>
          <w:sz w:val="20"/>
          <w:szCs w:val="20"/>
          <w:lang w:val="es-ES"/>
        </w:rPr>
        <w:t>d</w:t>
      </w:r>
      <w:r>
        <w:rPr>
          <w:rFonts w:ascii="Verdana" w:hAnsi="Verdana"/>
          <w:sz w:val="20"/>
          <w:szCs w:val="20"/>
          <w:lang w:val="es-ES"/>
        </w:rPr>
        <w:t>e l</w:t>
      </w:r>
      <w:r>
        <w:rPr>
          <w:rFonts w:ascii="Verdana" w:hAnsi="Verdana"/>
          <w:sz w:val="20"/>
          <w:szCs w:val="20"/>
        </w:rPr>
        <w:t>a señora Sandra Ivette Meléndez Quijano el 16 de mayo de</w:t>
      </w:r>
      <w:r w:rsidR="003F776D">
        <w:rPr>
          <w:rFonts w:ascii="Verdana" w:hAnsi="Verdana"/>
          <w:sz w:val="20"/>
          <w:szCs w:val="20"/>
        </w:rPr>
        <w:t xml:space="preserve"> 2018</w:t>
      </w:r>
      <w:r w:rsidRPr="00210597">
        <w:rPr>
          <w:rFonts w:ascii="Verdana" w:hAnsi="Verdana"/>
          <w:sz w:val="20"/>
          <w:szCs w:val="20"/>
          <w:lang w:val="es-ES"/>
        </w:rPr>
        <w:t>,</w:t>
      </w:r>
      <w:r w:rsidR="003F776D">
        <w:rPr>
          <w:rFonts w:ascii="Verdana" w:hAnsi="Verdana"/>
          <w:sz w:val="20"/>
          <w:szCs w:val="20"/>
          <w:lang w:val="es-ES"/>
        </w:rPr>
        <w:t xml:space="preserve"> la Corte</w:t>
      </w:r>
      <w:r>
        <w:rPr>
          <w:rFonts w:ascii="Verdana" w:hAnsi="Verdana"/>
          <w:sz w:val="20"/>
          <w:szCs w:val="20"/>
          <w:lang w:val="es-ES"/>
        </w:rPr>
        <w:t xml:space="preserve"> </w:t>
      </w:r>
      <w:r w:rsidRPr="00210597">
        <w:rPr>
          <w:rFonts w:ascii="Verdana" w:hAnsi="Verdana" w:cstheme="minorHAnsi"/>
          <w:sz w:val="20"/>
          <w:szCs w:val="20"/>
          <w:lang w:val="es-ES"/>
        </w:rPr>
        <w:t xml:space="preserve">resuelve que las medidas provisionales a </w:t>
      </w:r>
      <w:r>
        <w:rPr>
          <w:rFonts w:ascii="Verdana" w:hAnsi="Verdana" w:cstheme="minorHAnsi"/>
          <w:sz w:val="20"/>
          <w:szCs w:val="20"/>
          <w:lang w:val="es-ES"/>
        </w:rPr>
        <w:t xml:space="preserve">su </w:t>
      </w:r>
      <w:r w:rsidRPr="00210597">
        <w:rPr>
          <w:rFonts w:ascii="Verdana" w:hAnsi="Verdana" w:cstheme="minorHAnsi"/>
          <w:sz w:val="20"/>
          <w:szCs w:val="20"/>
          <w:lang w:val="es-ES"/>
        </w:rPr>
        <w:t>favor quedan sin efecto</w:t>
      </w:r>
      <w:r w:rsidR="00315A4D" w:rsidRPr="00210597">
        <w:rPr>
          <w:rFonts w:ascii="Verdana" w:hAnsi="Verdana" w:cstheme="minorHAnsi"/>
          <w:sz w:val="20"/>
          <w:szCs w:val="20"/>
          <w:lang w:val="es-ES"/>
        </w:rPr>
        <w:t>.</w:t>
      </w:r>
    </w:p>
    <w:p w:rsidR="00315A4D" w:rsidRPr="00315A4D" w:rsidRDefault="00315A4D" w:rsidP="00315A4D">
      <w:pPr>
        <w:pStyle w:val="ListParagraph"/>
        <w:rPr>
          <w:rFonts w:ascii="Verdana" w:hAnsi="Verdana"/>
          <w:sz w:val="20"/>
          <w:szCs w:val="20"/>
          <w:lang w:val="es-ES"/>
        </w:rPr>
      </w:pPr>
    </w:p>
    <w:p w:rsidR="00315A4D" w:rsidRPr="00315A4D" w:rsidRDefault="00532A09" w:rsidP="00315A4D">
      <w:pPr>
        <w:pStyle w:val="ListParagraph"/>
        <w:numPr>
          <w:ilvl w:val="0"/>
          <w:numId w:val="3"/>
        </w:numPr>
        <w:ind w:left="0" w:firstLine="0"/>
        <w:jc w:val="both"/>
        <w:rPr>
          <w:rFonts w:ascii="Verdana" w:hAnsi="Verdana"/>
          <w:sz w:val="20"/>
          <w:szCs w:val="20"/>
          <w:lang w:val="es-ES"/>
        </w:rPr>
      </w:pPr>
      <w:r>
        <w:rPr>
          <w:rFonts w:ascii="Verdana" w:hAnsi="Verdana"/>
          <w:sz w:val="20"/>
          <w:szCs w:val="20"/>
          <w:lang w:val="es-ES"/>
        </w:rPr>
        <w:t xml:space="preserve">Respecto </w:t>
      </w:r>
      <w:r w:rsidR="00315A4D">
        <w:rPr>
          <w:rFonts w:ascii="Verdana" w:hAnsi="Verdana"/>
          <w:sz w:val="20"/>
          <w:szCs w:val="20"/>
        </w:rPr>
        <w:t>a la implementación de las medidas</w:t>
      </w:r>
      <w:r w:rsidR="00BD4EB2">
        <w:rPr>
          <w:rFonts w:ascii="Verdana" w:hAnsi="Verdana"/>
          <w:sz w:val="20"/>
          <w:szCs w:val="20"/>
        </w:rPr>
        <w:t xml:space="preserve">, </w:t>
      </w:r>
      <w:r w:rsidR="00315A4D">
        <w:rPr>
          <w:rFonts w:ascii="Verdana" w:hAnsi="Verdana"/>
          <w:sz w:val="20"/>
          <w:szCs w:val="20"/>
        </w:rPr>
        <w:t xml:space="preserve">en su </w:t>
      </w:r>
      <w:r w:rsidR="00BD4EB2">
        <w:rPr>
          <w:rFonts w:ascii="Verdana" w:hAnsi="Verdana"/>
          <w:sz w:val="20"/>
          <w:szCs w:val="20"/>
        </w:rPr>
        <w:t>I</w:t>
      </w:r>
      <w:r w:rsidR="00315A4D">
        <w:rPr>
          <w:rFonts w:ascii="Verdana" w:hAnsi="Verdana"/>
          <w:sz w:val="20"/>
          <w:szCs w:val="20"/>
        </w:rPr>
        <w:t>nforme de 14 de agosto de 2018</w:t>
      </w:r>
      <w:r w:rsidR="00BD4EB2">
        <w:rPr>
          <w:rFonts w:ascii="Verdana" w:hAnsi="Verdana"/>
          <w:sz w:val="20"/>
          <w:szCs w:val="20"/>
        </w:rPr>
        <w:t xml:space="preserve"> </w:t>
      </w:r>
      <w:r w:rsidR="00662FB5">
        <w:rPr>
          <w:rFonts w:ascii="Verdana" w:hAnsi="Verdana"/>
          <w:sz w:val="20"/>
          <w:szCs w:val="20"/>
        </w:rPr>
        <w:t xml:space="preserve">el Estado </w:t>
      </w:r>
      <w:r w:rsidR="00315A4D">
        <w:rPr>
          <w:rFonts w:ascii="Verdana" w:hAnsi="Verdana"/>
          <w:sz w:val="20"/>
          <w:szCs w:val="20"/>
        </w:rPr>
        <w:t>informó</w:t>
      </w:r>
      <w:r w:rsidR="00BD4EB2">
        <w:rPr>
          <w:rFonts w:ascii="Verdana" w:hAnsi="Verdana"/>
          <w:sz w:val="20"/>
          <w:szCs w:val="20"/>
        </w:rPr>
        <w:t xml:space="preserve"> </w:t>
      </w:r>
      <w:r w:rsidR="00315A4D">
        <w:rPr>
          <w:rFonts w:ascii="Verdana" w:hAnsi="Verdana"/>
          <w:sz w:val="20"/>
          <w:szCs w:val="20"/>
        </w:rPr>
        <w:t>que</w:t>
      </w:r>
      <w:r w:rsidR="008E1F65">
        <w:rPr>
          <w:rFonts w:ascii="Verdana" w:hAnsi="Verdana"/>
          <w:sz w:val="20"/>
          <w:szCs w:val="20"/>
        </w:rPr>
        <w:t>,</w:t>
      </w:r>
      <w:r w:rsidR="00315A4D">
        <w:rPr>
          <w:rFonts w:ascii="Verdana" w:hAnsi="Verdana"/>
          <w:sz w:val="20"/>
          <w:szCs w:val="20"/>
        </w:rPr>
        <w:t xml:space="preserve"> con base a los acuerdos alcanzados con los beneficiarios, se implementaron medidas de seguridad orientadas a la protección personal y residencial  de l</w:t>
      </w:r>
      <w:r w:rsidR="0004597D">
        <w:rPr>
          <w:rFonts w:ascii="Verdana" w:hAnsi="Verdana"/>
          <w:sz w:val="20"/>
          <w:szCs w:val="20"/>
        </w:rPr>
        <w:t xml:space="preserve">os mismos y que actualmente el equipo de agentes protectores </w:t>
      </w:r>
      <w:r w:rsidR="00315A4D">
        <w:rPr>
          <w:rFonts w:ascii="Verdana" w:hAnsi="Verdana"/>
          <w:sz w:val="20"/>
          <w:szCs w:val="20"/>
        </w:rPr>
        <w:t xml:space="preserve">se encuentra conformado por nueve agentes. </w:t>
      </w:r>
      <w:r w:rsidR="00346483">
        <w:rPr>
          <w:rFonts w:ascii="Verdana" w:hAnsi="Verdana"/>
          <w:sz w:val="20"/>
          <w:szCs w:val="20"/>
        </w:rPr>
        <w:t>Si bien e</w:t>
      </w:r>
      <w:r w:rsidR="00315A4D">
        <w:rPr>
          <w:rFonts w:ascii="Verdana" w:hAnsi="Verdana"/>
          <w:sz w:val="20"/>
          <w:szCs w:val="20"/>
        </w:rPr>
        <w:t>n sus observaciones de 18 de septiembre de 2018</w:t>
      </w:r>
      <w:r w:rsidR="00205453" w:rsidRPr="0004597D">
        <w:rPr>
          <w:rStyle w:val="FootnoteReference"/>
          <w:sz w:val="20"/>
          <w:szCs w:val="20"/>
        </w:rPr>
        <w:footnoteReference w:id="18"/>
      </w:r>
      <w:r w:rsidR="0004597D">
        <w:rPr>
          <w:rFonts w:ascii="Verdana" w:hAnsi="Verdana"/>
          <w:sz w:val="20"/>
          <w:szCs w:val="20"/>
        </w:rPr>
        <w:t>, el representante</w:t>
      </w:r>
      <w:r w:rsidR="00315A4D">
        <w:rPr>
          <w:rFonts w:ascii="Verdana" w:hAnsi="Verdana"/>
          <w:sz w:val="20"/>
          <w:szCs w:val="20"/>
        </w:rPr>
        <w:t xml:space="preserve"> </w:t>
      </w:r>
      <w:r w:rsidR="0004597D">
        <w:rPr>
          <w:rFonts w:ascii="Verdana" w:hAnsi="Verdana"/>
          <w:sz w:val="20"/>
          <w:szCs w:val="20"/>
        </w:rPr>
        <w:t>señaló</w:t>
      </w:r>
      <w:r w:rsidR="00315A4D">
        <w:rPr>
          <w:rFonts w:ascii="Verdana" w:hAnsi="Verdana"/>
          <w:sz w:val="20"/>
          <w:szCs w:val="20"/>
        </w:rPr>
        <w:t xml:space="preserve"> </w:t>
      </w:r>
      <w:r w:rsidR="00205453">
        <w:rPr>
          <w:rFonts w:ascii="Verdana" w:hAnsi="Verdana"/>
          <w:sz w:val="20"/>
          <w:szCs w:val="20"/>
        </w:rPr>
        <w:t>incumplimientos puntuales del Estado en relación con algunas medidas</w:t>
      </w:r>
      <w:r w:rsidR="00346483">
        <w:rPr>
          <w:rFonts w:ascii="Verdana" w:hAnsi="Verdana"/>
          <w:sz w:val="20"/>
          <w:szCs w:val="20"/>
        </w:rPr>
        <w:t>,</w:t>
      </w:r>
      <w:r w:rsidR="00315A4D">
        <w:rPr>
          <w:rFonts w:ascii="Verdana" w:hAnsi="Verdana"/>
          <w:sz w:val="20"/>
          <w:szCs w:val="20"/>
        </w:rPr>
        <w:t xml:space="preserve"> </w:t>
      </w:r>
      <w:r w:rsidR="00346483">
        <w:rPr>
          <w:rFonts w:ascii="Verdana" w:hAnsi="Verdana"/>
          <w:sz w:val="20"/>
          <w:szCs w:val="20"/>
        </w:rPr>
        <w:t>l</w:t>
      </w:r>
      <w:r w:rsidR="00315A4D">
        <w:rPr>
          <w:rFonts w:ascii="Verdana" w:hAnsi="Verdana"/>
          <w:sz w:val="20"/>
          <w:szCs w:val="20"/>
        </w:rPr>
        <w:t>a Corte valora el esfuerzo</w:t>
      </w:r>
      <w:r w:rsidR="000F6D8A">
        <w:rPr>
          <w:rFonts w:ascii="Verdana" w:hAnsi="Verdana"/>
          <w:sz w:val="20"/>
          <w:szCs w:val="20"/>
        </w:rPr>
        <w:t xml:space="preserve"> d</w:t>
      </w:r>
      <w:r w:rsidR="00315A4D">
        <w:rPr>
          <w:rFonts w:ascii="Verdana" w:hAnsi="Verdana"/>
          <w:sz w:val="20"/>
          <w:szCs w:val="20"/>
        </w:rPr>
        <w:t xml:space="preserve">el Estado </w:t>
      </w:r>
      <w:r w:rsidR="00205453">
        <w:rPr>
          <w:rFonts w:ascii="Verdana" w:hAnsi="Verdana"/>
          <w:sz w:val="20"/>
          <w:szCs w:val="20"/>
        </w:rPr>
        <w:t>a lo largo d</w:t>
      </w:r>
      <w:r w:rsidR="00346483">
        <w:rPr>
          <w:rFonts w:ascii="Verdana" w:hAnsi="Verdana"/>
          <w:sz w:val="20"/>
          <w:szCs w:val="20"/>
        </w:rPr>
        <w:t>e</w:t>
      </w:r>
      <w:r w:rsidR="00205453">
        <w:rPr>
          <w:rFonts w:ascii="Verdana" w:hAnsi="Verdana"/>
          <w:sz w:val="20"/>
          <w:szCs w:val="20"/>
        </w:rPr>
        <w:t xml:space="preserve"> </w:t>
      </w:r>
      <w:r w:rsidR="00346483">
        <w:rPr>
          <w:rFonts w:ascii="Verdana" w:hAnsi="Verdana"/>
          <w:sz w:val="20"/>
          <w:szCs w:val="20"/>
        </w:rPr>
        <w:t>los</w:t>
      </w:r>
      <w:r w:rsidR="00205453">
        <w:rPr>
          <w:rFonts w:ascii="Verdana" w:hAnsi="Verdana"/>
          <w:sz w:val="20"/>
          <w:szCs w:val="20"/>
        </w:rPr>
        <w:t xml:space="preserve"> once años en que </w:t>
      </w:r>
      <w:r w:rsidR="000F6D8A">
        <w:rPr>
          <w:rFonts w:ascii="Verdana" w:hAnsi="Verdana"/>
          <w:sz w:val="20"/>
          <w:szCs w:val="20"/>
        </w:rPr>
        <w:t xml:space="preserve">las medidas </w:t>
      </w:r>
      <w:r w:rsidR="00205453">
        <w:rPr>
          <w:rFonts w:ascii="Verdana" w:hAnsi="Verdana"/>
          <w:sz w:val="20"/>
          <w:szCs w:val="20"/>
        </w:rPr>
        <w:t>han permanecido vigentes para la protección de la vida e integridad personal de los beneficiarios</w:t>
      </w:r>
      <w:r w:rsidR="00315A4D">
        <w:rPr>
          <w:rFonts w:ascii="Verdana" w:hAnsi="Verdana"/>
          <w:sz w:val="20"/>
          <w:szCs w:val="20"/>
        </w:rPr>
        <w:t>.</w:t>
      </w:r>
    </w:p>
    <w:p w:rsidR="00C35504" w:rsidRPr="00A35F67" w:rsidRDefault="00C35504" w:rsidP="00A35F67">
      <w:pPr>
        <w:rPr>
          <w:rFonts w:ascii="Verdana" w:hAnsi="Verdana"/>
          <w:sz w:val="20"/>
          <w:szCs w:val="20"/>
        </w:rPr>
      </w:pPr>
    </w:p>
    <w:p w:rsidR="00C35504" w:rsidRPr="00C35504" w:rsidRDefault="00C35504" w:rsidP="00C35504">
      <w:pPr>
        <w:pStyle w:val="ListParagraph"/>
        <w:numPr>
          <w:ilvl w:val="0"/>
          <w:numId w:val="3"/>
        </w:numPr>
        <w:ind w:left="0" w:firstLine="0"/>
        <w:jc w:val="both"/>
        <w:rPr>
          <w:rFonts w:ascii="Verdana" w:hAnsi="Verdana"/>
          <w:sz w:val="20"/>
          <w:szCs w:val="20"/>
        </w:rPr>
      </w:pPr>
      <w:r>
        <w:rPr>
          <w:rFonts w:ascii="Verdana" w:hAnsi="Verdana"/>
          <w:sz w:val="20"/>
          <w:szCs w:val="20"/>
        </w:rPr>
        <w:t xml:space="preserve">En cuanto </w:t>
      </w:r>
      <w:r w:rsidR="000778A1" w:rsidRPr="00C35504">
        <w:rPr>
          <w:rFonts w:ascii="Verdana" w:hAnsi="Verdana"/>
          <w:sz w:val="20"/>
          <w:szCs w:val="20"/>
        </w:rPr>
        <w:t xml:space="preserve">a la falta de resultado en las investigaciones con respecto a las amenazas, la Corte ha señalado con anterioridad que una supuesta falta de investigación por parte de un Estado no necesariamente constituye una </w:t>
      </w:r>
      <w:r w:rsidR="000778A1" w:rsidRPr="002F137D">
        <w:rPr>
          <w:rFonts w:ascii="Verdana" w:hAnsi="Verdana"/>
          <w:sz w:val="20"/>
          <w:szCs w:val="20"/>
        </w:rPr>
        <w:t>circunstancia de extrema gravedad y urgencia que amerite el mantenimiento de las medidas provisionales</w:t>
      </w:r>
      <w:r w:rsidR="00A3235D" w:rsidRPr="002F137D">
        <w:rPr>
          <w:rStyle w:val="FootnoteReference"/>
          <w:sz w:val="20"/>
          <w:szCs w:val="20"/>
        </w:rPr>
        <w:footnoteReference w:id="19"/>
      </w:r>
      <w:r w:rsidR="000778A1" w:rsidRPr="002F137D">
        <w:rPr>
          <w:rFonts w:ascii="Verdana" w:hAnsi="Verdana"/>
          <w:sz w:val="20"/>
          <w:szCs w:val="20"/>
        </w:rPr>
        <w:t>. Además, el deber de investigar en ciertas ocasiones puede prolongarse por un p</w:t>
      </w:r>
      <w:r w:rsidR="008E1F65">
        <w:rPr>
          <w:rFonts w:ascii="Verdana" w:hAnsi="Verdana"/>
          <w:sz w:val="20"/>
          <w:szCs w:val="20"/>
        </w:rPr>
        <w:t xml:space="preserve">eríodo considerable de tiempo, </w:t>
      </w:r>
      <w:r w:rsidR="000778A1" w:rsidRPr="002F137D">
        <w:rPr>
          <w:rFonts w:ascii="Verdana" w:hAnsi="Verdana"/>
          <w:sz w:val="20"/>
          <w:szCs w:val="20"/>
        </w:rPr>
        <w:t>durante el cual la amenaza o riesgo no necesariamente se mantiene extrema y urgente</w:t>
      </w:r>
      <w:r w:rsidR="000778A1" w:rsidRPr="002F137D">
        <w:rPr>
          <w:rStyle w:val="FootnoteReference"/>
          <w:sz w:val="20"/>
          <w:szCs w:val="20"/>
        </w:rPr>
        <w:footnoteReference w:id="20"/>
      </w:r>
      <w:r w:rsidR="000778A1" w:rsidRPr="002F137D">
        <w:rPr>
          <w:rFonts w:ascii="Verdana" w:hAnsi="Verdana"/>
          <w:sz w:val="20"/>
          <w:szCs w:val="20"/>
        </w:rPr>
        <w:t>. A su vez ante la falta de nuevas amenazas por un razonable período de tiempo, el hecho de que una investigación no haya brindado resultados concretos podría ser insuficiente para determinar si el riesgo, aun en el supuesto que exista, es extremadamente grave y urgente</w:t>
      </w:r>
      <w:r w:rsidR="000778A1" w:rsidRPr="002F137D">
        <w:rPr>
          <w:rStyle w:val="FootnoteReference"/>
          <w:sz w:val="20"/>
          <w:szCs w:val="20"/>
        </w:rPr>
        <w:footnoteReference w:id="21"/>
      </w:r>
      <w:r w:rsidR="000778A1" w:rsidRPr="002F137D">
        <w:rPr>
          <w:rFonts w:ascii="Verdana" w:hAnsi="Verdana"/>
          <w:sz w:val="20"/>
          <w:szCs w:val="20"/>
        </w:rPr>
        <w:t>.</w:t>
      </w:r>
    </w:p>
    <w:p w:rsidR="000778A1" w:rsidRPr="00C35504" w:rsidRDefault="000778A1" w:rsidP="00C35504">
      <w:pPr>
        <w:pStyle w:val="ListParagraph"/>
        <w:ind w:left="0"/>
        <w:jc w:val="both"/>
        <w:rPr>
          <w:rFonts w:ascii="Verdana" w:hAnsi="Verdana"/>
          <w:sz w:val="20"/>
          <w:szCs w:val="20"/>
        </w:rPr>
      </w:pPr>
      <w:r w:rsidRPr="00C35504">
        <w:rPr>
          <w:rFonts w:ascii="Verdana" w:hAnsi="Verdana"/>
          <w:sz w:val="20"/>
          <w:szCs w:val="20"/>
        </w:rPr>
        <w:t xml:space="preserve"> </w:t>
      </w:r>
    </w:p>
    <w:p w:rsidR="00C35504" w:rsidRPr="00C35504" w:rsidRDefault="00C35504" w:rsidP="00C35504">
      <w:pPr>
        <w:pStyle w:val="ListParagraph"/>
        <w:numPr>
          <w:ilvl w:val="0"/>
          <w:numId w:val="3"/>
        </w:numPr>
        <w:ind w:left="0" w:firstLine="0"/>
        <w:jc w:val="both"/>
        <w:rPr>
          <w:rFonts w:ascii="Verdana" w:hAnsi="Verdana"/>
          <w:sz w:val="20"/>
          <w:szCs w:val="20"/>
        </w:rPr>
      </w:pPr>
      <w:r>
        <w:rPr>
          <w:rFonts w:ascii="Verdana" w:hAnsi="Verdana"/>
          <w:sz w:val="20"/>
          <w:szCs w:val="20"/>
        </w:rPr>
        <w:t>Por último</w:t>
      </w:r>
      <w:r w:rsidRPr="00C35504">
        <w:rPr>
          <w:rFonts w:ascii="Verdana" w:hAnsi="Verdana"/>
          <w:sz w:val="20"/>
          <w:szCs w:val="20"/>
        </w:rPr>
        <w:t>, el levantamiento de las presentes medidas no implica que el Estado quede relevado de sus obligaciones generales de protección, contenidas en el artículo 1.1 de la Convención, en el marco de las cuales el Estado se encuentra especialmente obligado a garantizar los derechos de las personas en situación de riesgo y, en su caso, a impulsar las investigaciones necesarias para establecer los hechos, seguidas de las consecuencias que la legislación pertinente establezca</w:t>
      </w:r>
      <w:r w:rsidRPr="00C35504">
        <w:rPr>
          <w:rStyle w:val="FootnoteReference"/>
          <w:sz w:val="20"/>
          <w:szCs w:val="20"/>
        </w:rPr>
        <w:footnoteReference w:id="22"/>
      </w:r>
      <w:r w:rsidRPr="00C35504">
        <w:rPr>
          <w:rFonts w:ascii="Verdana" w:hAnsi="Verdana"/>
          <w:sz w:val="20"/>
          <w:szCs w:val="20"/>
        </w:rPr>
        <w:t>.</w:t>
      </w:r>
    </w:p>
    <w:p w:rsidR="000778A1" w:rsidRPr="00E5033E" w:rsidRDefault="000778A1" w:rsidP="00E5033E">
      <w:pPr>
        <w:pStyle w:val="ListParagraph"/>
        <w:ind w:left="0"/>
        <w:jc w:val="both"/>
        <w:rPr>
          <w:rFonts w:ascii="Verdana" w:hAnsi="Verdana"/>
          <w:sz w:val="20"/>
          <w:szCs w:val="20"/>
        </w:rPr>
      </w:pPr>
    </w:p>
    <w:p w:rsidR="002C0A4A" w:rsidRPr="006A5BC6" w:rsidRDefault="002C0A4A" w:rsidP="00FB521D">
      <w:pPr>
        <w:pStyle w:val="ListParagraph"/>
        <w:ind w:left="0"/>
        <w:jc w:val="both"/>
        <w:rPr>
          <w:rFonts w:ascii="Verdana" w:hAnsi="Verdana"/>
          <w:sz w:val="20"/>
          <w:szCs w:val="20"/>
        </w:rPr>
      </w:pPr>
      <w:r w:rsidRPr="006A5BC6">
        <w:rPr>
          <w:rFonts w:ascii="Verdana" w:hAnsi="Verdana"/>
          <w:b/>
          <w:sz w:val="20"/>
          <w:szCs w:val="20"/>
        </w:rPr>
        <w:t xml:space="preserve">POR TANTO </w:t>
      </w:r>
    </w:p>
    <w:p w:rsidR="002C0A4A" w:rsidRPr="00FB521D" w:rsidRDefault="002C0A4A" w:rsidP="00FB521D">
      <w:pPr>
        <w:jc w:val="both"/>
        <w:rPr>
          <w:rFonts w:ascii="Verdana" w:hAnsi="Verdana"/>
          <w:b/>
          <w:sz w:val="20"/>
          <w:szCs w:val="20"/>
        </w:rPr>
      </w:pPr>
    </w:p>
    <w:p w:rsidR="002C0A4A" w:rsidRPr="006A5BC6" w:rsidRDefault="002C0A4A" w:rsidP="00FB521D">
      <w:pPr>
        <w:jc w:val="both"/>
        <w:rPr>
          <w:rFonts w:ascii="Verdana" w:hAnsi="Verdana"/>
          <w:b/>
          <w:sz w:val="20"/>
          <w:szCs w:val="20"/>
        </w:rPr>
      </w:pPr>
      <w:r w:rsidRPr="006A5BC6">
        <w:rPr>
          <w:rFonts w:ascii="Verdana" w:hAnsi="Verdana"/>
          <w:b/>
          <w:sz w:val="20"/>
          <w:szCs w:val="20"/>
        </w:rPr>
        <w:t>LA CORTE INTERAMERICANA DE DERECHOS HUMANOS,</w:t>
      </w:r>
    </w:p>
    <w:p w:rsidR="002C0A4A" w:rsidRPr="00FB521D" w:rsidRDefault="002C0A4A" w:rsidP="00FB521D">
      <w:pPr>
        <w:jc w:val="both"/>
        <w:rPr>
          <w:rFonts w:ascii="Verdana" w:hAnsi="Verdana"/>
          <w:b/>
          <w:sz w:val="20"/>
          <w:szCs w:val="20"/>
        </w:rPr>
      </w:pPr>
    </w:p>
    <w:p w:rsidR="002C0A4A" w:rsidRDefault="00825369" w:rsidP="00FB521D">
      <w:pPr>
        <w:pStyle w:val="ListParagraph"/>
        <w:ind w:left="0"/>
        <w:jc w:val="both"/>
        <w:rPr>
          <w:rFonts w:ascii="Verdana" w:hAnsi="Verdana"/>
          <w:sz w:val="20"/>
          <w:szCs w:val="20"/>
        </w:rPr>
      </w:pPr>
      <w:r>
        <w:rPr>
          <w:rFonts w:ascii="Verdana" w:hAnsi="Verdana"/>
          <w:sz w:val="20"/>
          <w:szCs w:val="20"/>
        </w:rPr>
        <w:t>e</w:t>
      </w:r>
      <w:r w:rsidR="002C0A4A" w:rsidRPr="00E5033E">
        <w:rPr>
          <w:rFonts w:ascii="Verdana" w:hAnsi="Verdana"/>
          <w:sz w:val="20"/>
          <w:szCs w:val="20"/>
        </w:rPr>
        <w:t>n el ejercicio de las atribuciones que le confieren los artículos 63.2 de la Convención Americana sobre Derechos Humanos, y 27 y 31 del Reglamento de la Corte,</w:t>
      </w:r>
    </w:p>
    <w:p w:rsidR="002F137D" w:rsidRPr="00E5033E" w:rsidRDefault="002F137D" w:rsidP="00FB521D">
      <w:pPr>
        <w:pStyle w:val="ListParagraph"/>
        <w:ind w:left="0"/>
        <w:jc w:val="both"/>
        <w:rPr>
          <w:rFonts w:ascii="Verdana" w:hAnsi="Verdana"/>
          <w:sz w:val="20"/>
          <w:szCs w:val="20"/>
        </w:rPr>
      </w:pPr>
    </w:p>
    <w:p w:rsidR="002C0A4A" w:rsidRPr="00E5033E" w:rsidRDefault="002C0A4A" w:rsidP="00FB521D">
      <w:pPr>
        <w:pStyle w:val="ListParagraph"/>
        <w:ind w:left="0"/>
        <w:jc w:val="both"/>
        <w:rPr>
          <w:rFonts w:ascii="Verdana" w:hAnsi="Verdana"/>
          <w:sz w:val="20"/>
          <w:szCs w:val="20"/>
        </w:rPr>
      </w:pPr>
    </w:p>
    <w:p w:rsidR="002C0A4A" w:rsidRPr="00E5033E" w:rsidRDefault="002C0A4A" w:rsidP="00FB521D">
      <w:pPr>
        <w:pStyle w:val="ListParagraph"/>
        <w:ind w:left="0"/>
        <w:jc w:val="both"/>
        <w:rPr>
          <w:rFonts w:ascii="Verdana" w:hAnsi="Verdana"/>
          <w:b/>
          <w:sz w:val="20"/>
          <w:szCs w:val="20"/>
        </w:rPr>
      </w:pPr>
      <w:r w:rsidRPr="00E5033E">
        <w:rPr>
          <w:rFonts w:ascii="Verdana" w:hAnsi="Verdana"/>
          <w:b/>
          <w:sz w:val="20"/>
          <w:szCs w:val="20"/>
        </w:rPr>
        <w:t>RESUELVE:</w:t>
      </w:r>
    </w:p>
    <w:p w:rsidR="003A00D2" w:rsidRPr="00722884" w:rsidRDefault="003A00D2" w:rsidP="00FB521D">
      <w:pPr>
        <w:pStyle w:val="ListParagraph"/>
        <w:ind w:left="0"/>
        <w:jc w:val="both"/>
        <w:rPr>
          <w:rFonts w:ascii="Verdana" w:hAnsi="Verdana"/>
          <w:b/>
          <w:sz w:val="20"/>
          <w:szCs w:val="20"/>
        </w:rPr>
      </w:pPr>
    </w:p>
    <w:p w:rsidR="002C0A4A" w:rsidRPr="00722884" w:rsidRDefault="003A00D2" w:rsidP="00722884">
      <w:pPr>
        <w:pStyle w:val="ListParagraph"/>
        <w:numPr>
          <w:ilvl w:val="0"/>
          <w:numId w:val="8"/>
        </w:numPr>
        <w:ind w:left="0" w:firstLine="0"/>
        <w:jc w:val="both"/>
        <w:rPr>
          <w:rFonts w:ascii="Verdana" w:hAnsi="Verdana"/>
          <w:sz w:val="20"/>
          <w:szCs w:val="20"/>
        </w:rPr>
      </w:pPr>
      <w:r w:rsidRPr="00722884">
        <w:rPr>
          <w:rFonts w:ascii="Verdana" w:hAnsi="Verdana"/>
          <w:sz w:val="20"/>
          <w:szCs w:val="20"/>
        </w:rPr>
        <w:t xml:space="preserve">Levantar las medidas provisionales ordenadas por la Corte Interamericana de Derechos Humanos el </w:t>
      </w:r>
      <w:r w:rsidRPr="00722884">
        <w:rPr>
          <w:rFonts w:ascii="Verdana" w:hAnsi="Verdana"/>
          <w:sz w:val="20"/>
          <w:szCs w:val="20"/>
          <w:lang w:val="es-MX"/>
        </w:rPr>
        <w:t xml:space="preserve">12 de mayo de 2007, 26 de noviembre de 2007, 2 de </w:t>
      </w:r>
      <w:r w:rsidRPr="00722884">
        <w:rPr>
          <w:rFonts w:ascii="Verdana" w:hAnsi="Verdana"/>
          <w:sz w:val="20"/>
          <w:szCs w:val="20"/>
          <w:lang w:val="es-MX"/>
        </w:rPr>
        <w:lastRenderedPageBreak/>
        <w:t>febrero de 2010, 21 de agosto de 2013, 14 de octubre de 2014, y 17 de abril y 30 de junio de 2015 a</w:t>
      </w:r>
      <w:r w:rsidR="000969E1" w:rsidRPr="00722884">
        <w:rPr>
          <w:rFonts w:ascii="Verdana" w:hAnsi="Verdana"/>
          <w:sz w:val="20"/>
          <w:szCs w:val="20"/>
        </w:rPr>
        <w:t xml:space="preserve"> favor del señor Adrián</w:t>
      </w:r>
      <w:r w:rsidRPr="00722884">
        <w:rPr>
          <w:rFonts w:ascii="Verdana" w:hAnsi="Verdana"/>
          <w:sz w:val="20"/>
          <w:szCs w:val="20"/>
        </w:rPr>
        <w:t xml:space="preserve"> Meléndez Quijano y </w:t>
      </w:r>
      <w:r w:rsidR="00E53622" w:rsidRPr="00722884">
        <w:rPr>
          <w:rFonts w:ascii="Verdana" w:hAnsi="Verdana"/>
          <w:sz w:val="20"/>
          <w:szCs w:val="20"/>
        </w:rPr>
        <w:t xml:space="preserve">de </w:t>
      </w:r>
      <w:r w:rsidRPr="00722884">
        <w:rPr>
          <w:rFonts w:ascii="Verdana" w:hAnsi="Verdana"/>
          <w:sz w:val="20"/>
          <w:szCs w:val="20"/>
        </w:rPr>
        <w:t>su</w:t>
      </w:r>
      <w:r w:rsidR="000969E1" w:rsidRPr="00722884">
        <w:rPr>
          <w:rFonts w:ascii="Verdana" w:hAnsi="Verdana"/>
          <w:sz w:val="20"/>
          <w:szCs w:val="20"/>
        </w:rPr>
        <w:t>s</w:t>
      </w:r>
      <w:r w:rsidRPr="00722884">
        <w:rPr>
          <w:rFonts w:ascii="Verdana" w:hAnsi="Verdana"/>
          <w:sz w:val="20"/>
          <w:szCs w:val="20"/>
        </w:rPr>
        <w:t xml:space="preserve"> familia</w:t>
      </w:r>
      <w:r w:rsidR="000969E1" w:rsidRPr="00722884">
        <w:rPr>
          <w:rFonts w:ascii="Verdana" w:hAnsi="Verdana"/>
          <w:sz w:val="20"/>
          <w:szCs w:val="20"/>
        </w:rPr>
        <w:t>res</w:t>
      </w:r>
      <w:r w:rsidR="00C35504" w:rsidRPr="00722884">
        <w:rPr>
          <w:rFonts w:ascii="Verdana" w:hAnsi="Verdana"/>
          <w:sz w:val="20"/>
          <w:szCs w:val="20"/>
        </w:rPr>
        <w:t>: Gloria Trá</w:t>
      </w:r>
      <w:r w:rsidR="00722884" w:rsidRPr="00722884">
        <w:rPr>
          <w:rFonts w:ascii="Verdana" w:hAnsi="Verdana"/>
          <w:sz w:val="20"/>
          <w:szCs w:val="20"/>
        </w:rPr>
        <w:t>nsito Quijano,</w:t>
      </w:r>
      <w:r w:rsidR="00C35504" w:rsidRPr="00722884">
        <w:rPr>
          <w:rFonts w:ascii="Verdana" w:hAnsi="Verdana"/>
          <w:sz w:val="20"/>
          <w:szCs w:val="20"/>
        </w:rPr>
        <w:t xml:space="preserve"> Marina</w:t>
      </w:r>
      <w:r w:rsidR="002F137D">
        <w:rPr>
          <w:rFonts w:ascii="Verdana" w:hAnsi="Verdana"/>
          <w:sz w:val="20"/>
          <w:szCs w:val="20"/>
        </w:rPr>
        <w:t xml:space="preserve"> Elizabeth García de Meléndez, </w:t>
      </w:r>
      <w:r w:rsidR="00C35504" w:rsidRPr="00722884">
        <w:rPr>
          <w:rFonts w:ascii="Verdana" w:hAnsi="Verdana"/>
          <w:sz w:val="20"/>
          <w:szCs w:val="20"/>
        </w:rPr>
        <w:t xml:space="preserve">Andrea Elizabeth Meléndez García, </w:t>
      </w:r>
      <w:proofErr w:type="spellStart"/>
      <w:r w:rsidR="00C35504" w:rsidRPr="00722884">
        <w:rPr>
          <w:rFonts w:ascii="Verdana" w:hAnsi="Verdana"/>
          <w:sz w:val="20"/>
          <w:szCs w:val="20"/>
        </w:rPr>
        <w:t>Estefani</w:t>
      </w:r>
      <w:proofErr w:type="spellEnd"/>
      <w:r w:rsidR="00C35504" w:rsidRPr="00722884">
        <w:rPr>
          <w:rFonts w:ascii="Verdana" w:hAnsi="Verdana"/>
          <w:sz w:val="20"/>
          <w:szCs w:val="20"/>
        </w:rPr>
        <w:t xml:space="preserve"> Marcela Meléndez García, Pamela Michelle Meléndez García y Adriana María Meléndez García</w:t>
      </w:r>
      <w:r w:rsidRPr="00722884">
        <w:rPr>
          <w:rFonts w:ascii="Verdana" w:hAnsi="Verdana"/>
          <w:sz w:val="20"/>
          <w:szCs w:val="20"/>
        </w:rPr>
        <w:t>.</w:t>
      </w:r>
    </w:p>
    <w:p w:rsidR="00722884" w:rsidRPr="00722884" w:rsidRDefault="00722884" w:rsidP="00722884">
      <w:pPr>
        <w:pStyle w:val="ListParagraph"/>
        <w:ind w:left="0"/>
        <w:jc w:val="both"/>
        <w:rPr>
          <w:rFonts w:ascii="Verdana" w:hAnsi="Verdana"/>
          <w:sz w:val="20"/>
          <w:szCs w:val="20"/>
        </w:rPr>
      </w:pPr>
    </w:p>
    <w:p w:rsidR="009B1FD2" w:rsidRPr="00722884" w:rsidRDefault="009B1FD2" w:rsidP="00722884">
      <w:pPr>
        <w:pStyle w:val="ListParagraph"/>
        <w:numPr>
          <w:ilvl w:val="0"/>
          <w:numId w:val="8"/>
        </w:numPr>
        <w:ind w:left="0" w:firstLine="0"/>
        <w:contextualSpacing/>
        <w:jc w:val="both"/>
        <w:rPr>
          <w:rFonts w:ascii="Verdana" w:hAnsi="Verdana"/>
          <w:sz w:val="20"/>
          <w:szCs w:val="20"/>
          <w:lang w:val="es-MX"/>
        </w:rPr>
      </w:pPr>
      <w:r w:rsidRPr="00722884">
        <w:rPr>
          <w:rFonts w:ascii="Verdana" w:hAnsi="Verdana" w:cs="Verdana"/>
          <w:sz w:val="20"/>
          <w:szCs w:val="20"/>
          <w:lang w:val="es-ES"/>
        </w:rPr>
        <w:t xml:space="preserve">Declarar que las medidas provisionales otorgadas a favor de </w:t>
      </w:r>
      <w:r w:rsidR="00A35F67" w:rsidRPr="00722884">
        <w:rPr>
          <w:rFonts w:ascii="Verdana" w:hAnsi="Verdana"/>
          <w:sz w:val="20"/>
          <w:szCs w:val="20"/>
        </w:rPr>
        <w:t>Sandra Ivette Meléndez Quijano</w:t>
      </w:r>
      <w:r w:rsidRPr="00722884">
        <w:rPr>
          <w:rFonts w:ascii="Verdana" w:hAnsi="Verdana" w:cstheme="minorHAnsi"/>
          <w:sz w:val="20"/>
          <w:szCs w:val="20"/>
          <w:lang w:val="es-ES"/>
        </w:rPr>
        <w:t xml:space="preserve">, han quedado sin efecto, de </w:t>
      </w:r>
      <w:r w:rsidR="00A35F67" w:rsidRPr="00722884">
        <w:rPr>
          <w:rFonts w:ascii="Verdana" w:hAnsi="Verdana" w:cstheme="minorHAnsi"/>
          <w:sz w:val="20"/>
          <w:szCs w:val="20"/>
          <w:lang w:val="es-ES"/>
        </w:rPr>
        <w:t>conformidad con el Considerando</w:t>
      </w:r>
      <w:r w:rsidRPr="00722884">
        <w:rPr>
          <w:rFonts w:ascii="Verdana" w:hAnsi="Verdana" w:cstheme="minorHAnsi"/>
          <w:sz w:val="20"/>
          <w:szCs w:val="20"/>
          <w:lang w:val="es-ES"/>
        </w:rPr>
        <w:t xml:space="preserve"> </w:t>
      </w:r>
      <w:r w:rsidR="002F137D">
        <w:rPr>
          <w:rFonts w:ascii="Verdana" w:hAnsi="Verdana" w:cstheme="minorHAnsi"/>
          <w:sz w:val="20"/>
          <w:szCs w:val="20"/>
          <w:lang w:val="es-ES"/>
        </w:rPr>
        <w:t xml:space="preserve">14 </w:t>
      </w:r>
      <w:r w:rsidRPr="00722884">
        <w:rPr>
          <w:rFonts w:ascii="Verdana" w:hAnsi="Verdana" w:cstheme="minorHAnsi"/>
          <w:sz w:val="20"/>
          <w:szCs w:val="20"/>
          <w:lang w:val="es-ES"/>
        </w:rPr>
        <w:t>de la presente Resolución.</w:t>
      </w:r>
    </w:p>
    <w:p w:rsidR="003A00D2" w:rsidRPr="00722884" w:rsidRDefault="003A00D2" w:rsidP="00FB521D">
      <w:pPr>
        <w:pStyle w:val="ListParagraph"/>
        <w:ind w:left="0"/>
        <w:jc w:val="both"/>
        <w:rPr>
          <w:rFonts w:ascii="Verdana" w:hAnsi="Verdana"/>
          <w:sz w:val="20"/>
          <w:szCs w:val="20"/>
        </w:rPr>
      </w:pPr>
    </w:p>
    <w:p w:rsidR="003A00D2" w:rsidRPr="00722884" w:rsidRDefault="003A00D2" w:rsidP="00722884">
      <w:pPr>
        <w:pStyle w:val="ListParagraph"/>
        <w:numPr>
          <w:ilvl w:val="0"/>
          <w:numId w:val="8"/>
        </w:numPr>
        <w:ind w:left="0" w:firstLine="0"/>
        <w:jc w:val="both"/>
        <w:rPr>
          <w:rFonts w:ascii="Verdana" w:hAnsi="Verdana"/>
          <w:sz w:val="20"/>
          <w:szCs w:val="20"/>
        </w:rPr>
      </w:pPr>
      <w:r w:rsidRPr="00722884">
        <w:rPr>
          <w:rFonts w:ascii="Verdana" w:hAnsi="Verdana"/>
          <w:sz w:val="20"/>
          <w:szCs w:val="20"/>
        </w:rPr>
        <w:t xml:space="preserve">En los términos del artículo 1.1. </w:t>
      </w:r>
      <w:r w:rsidR="00F76026" w:rsidRPr="00722884">
        <w:rPr>
          <w:rFonts w:ascii="Verdana" w:hAnsi="Verdana"/>
          <w:sz w:val="20"/>
          <w:szCs w:val="20"/>
        </w:rPr>
        <w:t>de</w:t>
      </w:r>
      <w:r w:rsidRPr="00722884">
        <w:rPr>
          <w:rFonts w:ascii="Verdana" w:hAnsi="Verdana"/>
          <w:sz w:val="20"/>
          <w:szCs w:val="20"/>
        </w:rPr>
        <w:t xml:space="preserve"> la Convención Americana</w:t>
      </w:r>
      <w:r w:rsidR="00E5033E" w:rsidRPr="00722884">
        <w:rPr>
          <w:rFonts w:ascii="Verdana" w:hAnsi="Verdana"/>
          <w:sz w:val="20"/>
          <w:szCs w:val="20"/>
        </w:rPr>
        <w:t xml:space="preserve"> sobre Derechos Humanos</w:t>
      </w:r>
      <w:r w:rsidRPr="00722884">
        <w:rPr>
          <w:rFonts w:ascii="Verdana" w:hAnsi="Verdana"/>
          <w:sz w:val="20"/>
          <w:szCs w:val="20"/>
        </w:rPr>
        <w:t>, el levantamiento de las medidas provisionales en este caso no implica que el Estado quede relevado de sus obligaciones convencionales de protección, de co</w:t>
      </w:r>
      <w:r w:rsidR="001439DC" w:rsidRPr="00722884">
        <w:rPr>
          <w:rFonts w:ascii="Verdana" w:hAnsi="Verdana"/>
          <w:sz w:val="20"/>
          <w:szCs w:val="20"/>
        </w:rPr>
        <w:t xml:space="preserve">nformidad con el Considerando </w:t>
      </w:r>
      <w:r w:rsidR="00C56293" w:rsidRPr="00722884">
        <w:rPr>
          <w:rFonts w:ascii="Verdana" w:hAnsi="Verdana"/>
          <w:sz w:val="20"/>
          <w:szCs w:val="20"/>
        </w:rPr>
        <w:t>1</w:t>
      </w:r>
      <w:r w:rsidR="002F137D">
        <w:rPr>
          <w:rFonts w:ascii="Verdana" w:hAnsi="Verdana"/>
          <w:sz w:val="20"/>
          <w:szCs w:val="20"/>
        </w:rPr>
        <w:t>7</w:t>
      </w:r>
      <w:r w:rsidR="000F3C18" w:rsidRPr="00722884">
        <w:rPr>
          <w:rFonts w:ascii="Verdana" w:hAnsi="Verdana"/>
          <w:sz w:val="20"/>
          <w:szCs w:val="20"/>
        </w:rPr>
        <w:t xml:space="preserve"> </w:t>
      </w:r>
      <w:r w:rsidRPr="00722884">
        <w:rPr>
          <w:rFonts w:ascii="Verdana" w:hAnsi="Verdana"/>
          <w:sz w:val="20"/>
          <w:szCs w:val="20"/>
        </w:rPr>
        <w:t>de la presente Resolución.</w:t>
      </w:r>
    </w:p>
    <w:p w:rsidR="003A00D2" w:rsidRPr="00722884" w:rsidRDefault="003A00D2" w:rsidP="00722884">
      <w:pPr>
        <w:pStyle w:val="ListParagraph"/>
        <w:ind w:left="0"/>
        <w:rPr>
          <w:rFonts w:ascii="Verdana" w:hAnsi="Verdana"/>
          <w:sz w:val="20"/>
          <w:szCs w:val="20"/>
        </w:rPr>
      </w:pPr>
    </w:p>
    <w:p w:rsidR="003A00D2" w:rsidRPr="00722884" w:rsidRDefault="003A00D2" w:rsidP="00722884">
      <w:pPr>
        <w:pStyle w:val="ListParagraph"/>
        <w:numPr>
          <w:ilvl w:val="0"/>
          <w:numId w:val="8"/>
        </w:numPr>
        <w:ind w:left="0" w:firstLine="0"/>
        <w:jc w:val="both"/>
        <w:rPr>
          <w:rFonts w:ascii="Verdana" w:hAnsi="Verdana"/>
          <w:sz w:val="20"/>
          <w:szCs w:val="20"/>
        </w:rPr>
      </w:pPr>
      <w:r w:rsidRPr="00722884">
        <w:rPr>
          <w:rFonts w:ascii="Verdana" w:hAnsi="Verdana"/>
          <w:sz w:val="20"/>
          <w:szCs w:val="20"/>
        </w:rPr>
        <w:t>Disponer que la Secretaría de la Corte Interamericana de Derechos Humanos notifique la presente Resolución a El Salvador, a la Comisión Interameri</w:t>
      </w:r>
      <w:r w:rsidR="00722884" w:rsidRPr="00722884">
        <w:rPr>
          <w:rFonts w:ascii="Verdana" w:hAnsi="Verdana"/>
          <w:sz w:val="20"/>
          <w:szCs w:val="20"/>
        </w:rPr>
        <w:t>cana de Derechos Humanos y al representante de los beneficiarios</w:t>
      </w:r>
      <w:r w:rsidRPr="00722884">
        <w:rPr>
          <w:rFonts w:ascii="Verdana" w:hAnsi="Verdana"/>
          <w:sz w:val="20"/>
          <w:szCs w:val="20"/>
        </w:rPr>
        <w:t>.</w:t>
      </w:r>
    </w:p>
    <w:p w:rsidR="001439DC" w:rsidRPr="00722884" w:rsidRDefault="001439DC" w:rsidP="00722884">
      <w:pPr>
        <w:pStyle w:val="ListParagraph"/>
        <w:ind w:left="0"/>
        <w:jc w:val="both"/>
        <w:rPr>
          <w:rFonts w:ascii="Verdana" w:hAnsi="Verdana"/>
          <w:sz w:val="20"/>
          <w:szCs w:val="20"/>
        </w:rPr>
      </w:pPr>
    </w:p>
    <w:p w:rsidR="003A00D2" w:rsidRPr="00722884" w:rsidRDefault="003A00D2" w:rsidP="00722884">
      <w:pPr>
        <w:pStyle w:val="ListParagraph"/>
        <w:numPr>
          <w:ilvl w:val="0"/>
          <w:numId w:val="8"/>
        </w:numPr>
        <w:ind w:left="0" w:firstLine="0"/>
        <w:jc w:val="both"/>
        <w:rPr>
          <w:rFonts w:ascii="Verdana" w:hAnsi="Verdana"/>
          <w:sz w:val="20"/>
          <w:szCs w:val="20"/>
        </w:rPr>
      </w:pPr>
      <w:r w:rsidRPr="00722884">
        <w:rPr>
          <w:rFonts w:ascii="Verdana" w:hAnsi="Verdana"/>
          <w:sz w:val="20"/>
          <w:szCs w:val="20"/>
        </w:rPr>
        <w:t>Archivar este expediente</w:t>
      </w:r>
      <w:r w:rsidR="006A5BC6" w:rsidRPr="00722884">
        <w:rPr>
          <w:rFonts w:ascii="Verdana" w:hAnsi="Verdana"/>
          <w:sz w:val="20"/>
          <w:szCs w:val="20"/>
        </w:rPr>
        <w:t>.</w:t>
      </w:r>
    </w:p>
    <w:p w:rsidR="0084066B" w:rsidRDefault="0084066B">
      <w:pPr>
        <w:spacing w:after="160" w:line="259" w:lineRule="auto"/>
        <w:rPr>
          <w:rFonts w:ascii="Verdana" w:hAnsi="Verdana"/>
          <w:b/>
          <w:sz w:val="20"/>
          <w:szCs w:val="20"/>
          <w:lang w:eastAsia="x-none"/>
        </w:rPr>
      </w:pPr>
      <w:r>
        <w:rPr>
          <w:rFonts w:ascii="Verdana" w:hAnsi="Verdana"/>
          <w:b/>
          <w:sz w:val="20"/>
          <w:szCs w:val="20"/>
        </w:rPr>
        <w:br w:type="page"/>
      </w:r>
    </w:p>
    <w:p w:rsidR="0089594B" w:rsidRPr="008F69D4" w:rsidRDefault="0089594B" w:rsidP="0089594B">
      <w:pPr>
        <w:keepNext/>
        <w:jc w:val="both"/>
        <w:outlineLvl w:val="0"/>
        <w:rPr>
          <w:rFonts w:ascii="Verdana" w:hAnsi="Verdana" w:cs="Verdana"/>
          <w:b/>
          <w:bCs/>
          <w:sz w:val="20"/>
          <w:lang w:val="es-ES"/>
        </w:rPr>
      </w:pPr>
      <w:r>
        <w:rPr>
          <w:rFonts w:ascii="Verdana" w:hAnsi="Verdana" w:cs="Courier New"/>
          <w:noProof/>
          <w:sz w:val="20"/>
          <w:lang w:val="es-AR"/>
        </w:rPr>
        <w:lastRenderedPageBreak/>
        <w:t>Cort</w:t>
      </w:r>
      <w:r w:rsidRPr="008F69D4">
        <w:rPr>
          <w:rFonts w:ascii="Verdana" w:hAnsi="Verdana" w:cs="Courier New"/>
          <w:noProof/>
          <w:sz w:val="20"/>
          <w:lang w:val="es-AR"/>
        </w:rPr>
        <w:t xml:space="preserve">e IDH. </w:t>
      </w:r>
      <w:r>
        <w:rPr>
          <w:rFonts w:ascii="Verdana" w:hAnsi="Verdana"/>
          <w:bCs/>
          <w:i/>
          <w:sz w:val="20"/>
          <w:lang w:val="es-CR"/>
        </w:rPr>
        <w:t xml:space="preserve">Asunto Meléndez Quijano y otros respecto de El Salvador. </w:t>
      </w:r>
      <w:r>
        <w:rPr>
          <w:rFonts w:ascii="Verdana" w:hAnsi="Verdana"/>
          <w:bCs/>
          <w:sz w:val="20"/>
          <w:lang w:val="es-CR"/>
        </w:rPr>
        <w:t xml:space="preserve">Resolución de la Corte </w:t>
      </w:r>
      <w:r w:rsidRPr="008F69D4">
        <w:rPr>
          <w:rFonts w:ascii="Verdana" w:hAnsi="Verdana"/>
          <w:sz w:val="20"/>
          <w:lang w:val="es-ES"/>
        </w:rPr>
        <w:t xml:space="preserve">Interamericana de Derechos Humanos de </w:t>
      </w:r>
      <w:r>
        <w:rPr>
          <w:rFonts w:ascii="Verdana" w:hAnsi="Verdana"/>
          <w:sz w:val="20"/>
          <w:lang w:val="es-CR"/>
        </w:rPr>
        <w:t>26</w:t>
      </w:r>
      <w:r w:rsidRPr="008F69D4">
        <w:rPr>
          <w:rFonts w:ascii="Verdana" w:hAnsi="Verdana"/>
          <w:sz w:val="20"/>
          <w:lang w:val="es-CR"/>
        </w:rPr>
        <w:t xml:space="preserve"> de </w:t>
      </w:r>
      <w:r>
        <w:rPr>
          <w:rFonts w:ascii="Verdana" w:hAnsi="Verdana"/>
          <w:sz w:val="20"/>
          <w:lang w:val="es-CR"/>
        </w:rPr>
        <w:t>septiembre de 2018</w:t>
      </w:r>
      <w:r w:rsidRPr="008F69D4">
        <w:rPr>
          <w:rFonts w:ascii="Verdana" w:hAnsi="Verdana"/>
          <w:sz w:val="20"/>
          <w:lang w:val="es-ES"/>
        </w:rPr>
        <w:t xml:space="preserve">. </w:t>
      </w:r>
    </w:p>
    <w:p w:rsidR="0089594B" w:rsidRDefault="0089594B" w:rsidP="0089594B">
      <w:pPr>
        <w:jc w:val="center"/>
        <w:rPr>
          <w:rFonts w:ascii="Verdana" w:hAnsi="Verdana"/>
          <w:sz w:val="20"/>
          <w:lang w:val="es-ES"/>
        </w:rPr>
      </w:pPr>
    </w:p>
    <w:p w:rsidR="0089594B" w:rsidRDefault="0089594B" w:rsidP="0089594B">
      <w:pPr>
        <w:jc w:val="center"/>
        <w:rPr>
          <w:rFonts w:ascii="Verdana" w:hAnsi="Verdana"/>
          <w:sz w:val="20"/>
          <w:lang w:val="es-ES"/>
        </w:rPr>
      </w:pPr>
    </w:p>
    <w:p w:rsidR="0089594B" w:rsidRDefault="0089594B" w:rsidP="0089594B">
      <w:pPr>
        <w:rPr>
          <w:rFonts w:ascii="Verdana" w:eastAsia="Calibri" w:hAnsi="Verdana"/>
          <w:b/>
          <w:i/>
          <w:sz w:val="20"/>
          <w:lang w:val="es-CR"/>
        </w:rPr>
      </w:pPr>
    </w:p>
    <w:p w:rsidR="0089594B" w:rsidRDefault="0089594B" w:rsidP="0089594B">
      <w:pPr>
        <w:rPr>
          <w:rFonts w:ascii="Verdana" w:eastAsia="Calibri" w:hAnsi="Verdana"/>
          <w:b/>
          <w:i/>
          <w:sz w:val="20"/>
          <w:lang w:val="es-CR"/>
        </w:rPr>
      </w:pPr>
    </w:p>
    <w:p w:rsidR="0089594B" w:rsidRDefault="0089594B" w:rsidP="0089594B">
      <w:pPr>
        <w:rPr>
          <w:rFonts w:ascii="Verdana" w:eastAsia="Calibri" w:hAnsi="Verdana"/>
          <w:b/>
          <w:i/>
          <w:sz w:val="20"/>
          <w:lang w:val="es-CR"/>
        </w:rPr>
      </w:pPr>
    </w:p>
    <w:p w:rsidR="0089594B" w:rsidRDefault="0089594B" w:rsidP="0089594B">
      <w:pPr>
        <w:rPr>
          <w:rFonts w:ascii="Verdana" w:hAnsi="Verdana"/>
          <w:sz w:val="20"/>
          <w:lang w:val="es-MX"/>
        </w:rPr>
      </w:pPr>
    </w:p>
    <w:p w:rsidR="0089594B" w:rsidRPr="004B7A1D" w:rsidRDefault="0089594B" w:rsidP="0089594B">
      <w:pPr>
        <w:jc w:val="center"/>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p>
    <w:p w:rsidR="0089594B" w:rsidRPr="004B7A1D" w:rsidRDefault="0089594B" w:rsidP="0089594B">
      <w:pPr>
        <w:jc w:val="center"/>
        <w:rPr>
          <w:rFonts w:ascii="Verdana" w:hAnsi="Verdana"/>
          <w:sz w:val="20"/>
          <w:lang w:val="es-ES"/>
        </w:rPr>
      </w:pPr>
      <w:r w:rsidRPr="004B7A1D">
        <w:rPr>
          <w:rFonts w:ascii="Verdana" w:hAnsi="Verdana"/>
          <w:sz w:val="20"/>
          <w:lang w:val="es-ES"/>
        </w:rPr>
        <w:t xml:space="preserve">Presidente </w:t>
      </w:r>
    </w:p>
    <w:p w:rsidR="0089594B" w:rsidRPr="004B7A1D" w:rsidRDefault="0089594B" w:rsidP="0089594B">
      <w:pPr>
        <w:jc w:val="both"/>
        <w:rPr>
          <w:rFonts w:ascii="Verdana" w:hAnsi="Verdana"/>
          <w:sz w:val="20"/>
          <w:lang w:val="es-ES"/>
        </w:rPr>
      </w:pPr>
    </w:p>
    <w:p w:rsidR="0089594B" w:rsidRPr="004B7A1D" w:rsidRDefault="0089594B" w:rsidP="0089594B">
      <w:pPr>
        <w:tabs>
          <w:tab w:val="left" w:pos="1485"/>
        </w:tabs>
        <w:jc w:val="both"/>
        <w:rPr>
          <w:rFonts w:ascii="Verdana" w:hAnsi="Verdana"/>
          <w:sz w:val="20"/>
          <w:lang w:val="es-ES"/>
        </w:rPr>
      </w:pPr>
      <w:r>
        <w:rPr>
          <w:rFonts w:ascii="Verdana" w:hAnsi="Verdana"/>
          <w:sz w:val="20"/>
          <w:lang w:val="es-ES"/>
        </w:rPr>
        <w:tab/>
      </w:r>
    </w:p>
    <w:p w:rsidR="0089594B" w:rsidRPr="004B7A1D" w:rsidRDefault="0089594B" w:rsidP="0089594B">
      <w:pPr>
        <w:jc w:val="both"/>
        <w:rPr>
          <w:rFonts w:ascii="Verdana" w:hAnsi="Verdana"/>
          <w:sz w:val="20"/>
          <w:lang w:val="es-ES"/>
        </w:rPr>
      </w:pPr>
    </w:p>
    <w:p w:rsidR="0089594B"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Default="0089594B" w:rsidP="0089594B">
      <w:pPr>
        <w:jc w:val="both"/>
        <w:rPr>
          <w:rFonts w:ascii="Verdana" w:hAnsi="Verdana"/>
          <w:sz w:val="20"/>
          <w:lang w:val="es-ES"/>
        </w:rPr>
      </w:pPr>
      <w:r>
        <w:rPr>
          <w:rFonts w:ascii="Verdana" w:hAnsi="Verdana"/>
          <w:sz w:val="20"/>
          <w:lang w:val="es-ES"/>
        </w:rPr>
        <w:t>Eduardo Vio Grossi</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Humberto A. Sierra Porto</w:t>
      </w:r>
    </w:p>
    <w:p w:rsidR="0089594B"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Pr="004B7A1D" w:rsidRDefault="0089594B" w:rsidP="0089594B">
      <w:pPr>
        <w:rPr>
          <w:rFonts w:ascii="Verdana" w:hAnsi="Verdana"/>
          <w:sz w:val="20"/>
          <w:lang w:val="es-ES"/>
        </w:rPr>
      </w:pPr>
      <w:r>
        <w:rPr>
          <w:rFonts w:ascii="Verdana" w:hAnsi="Verdana"/>
          <w:sz w:val="20"/>
          <w:lang w:val="es-ES"/>
        </w:rPr>
        <w:t xml:space="preserve">Eugenio Raúl </w:t>
      </w:r>
      <w:proofErr w:type="spellStart"/>
      <w:r>
        <w:rPr>
          <w:rFonts w:ascii="Verdana" w:hAnsi="Verdana"/>
          <w:sz w:val="20"/>
          <w:lang w:val="es-ES"/>
        </w:rPr>
        <w:t>Zaffaroni</w:t>
      </w:r>
      <w:proofErr w:type="spellEnd"/>
      <w:r w:rsidRPr="004B7A1D">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t>L. Patricio Pazmiño Freire</w:t>
      </w:r>
    </w:p>
    <w:p w:rsidR="0089594B" w:rsidRDefault="0089594B" w:rsidP="0089594B">
      <w:pPr>
        <w:jc w:val="both"/>
        <w:rPr>
          <w:rFonts w:ascii="Verdana" w:hAnsi="Verdana"/>
          <w:sz w:val="20"/>
          <w:lang w:val="es-ES"/>
        </w:rPr>
      </w:pPr>
    </w:p>
    <w:p w:rsidR="0089594B" w:rsidRDefault="0089594B" w:rsidP="0089594B">
      <w:pPr>
        <w:jc w:val="both"/>
        <w:rPr>
          <w:rFonts w:ascii="Verdana" w:hAnsi="Verdana"/>
          <w:sz w:val="20"/>
          <w:lang w:val="es-ES"/>
        </w:rPr>
      </w:pPr>
    </w:p>
    <w:p w:rsidR="0089594B" w:rsidRDefault="0089594B" w:rsidP="0089594B">
      <w:pPr>
        <w:jc w:val="both"/>
        <w:rPr>
          <w:rFonts w:ascii="Verdana" w:hAnsi="Verdana"/>
          <w:sz w:val="20"/>
          <w:lang w:val="es-ES"/>
        </w:rPr>
      </w:pPr>
    </w:p>
    <w:p w:rsidR="0089594B" w:rsidRDefault="0089594B" w:rsidP="0089594B">
      <w:pPr>
        <w:jc w:val="both"/>
        <w:rPr>
          <w:rFonts w:ascii="Verdana" w:hAnsi="Verdana"/>
          <w:sz w:val="20"/>
          <w:lang w:val="es-ES"/>
        </w:rPr>
      </w:pPr>
    </w:p>
    <w:p w:rsidR="0089594B"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Pr="004B7A1D" w:rsidRDefault="0089594B" w:rsidP="0089594B">
      <w:pPr>
        <w:jc w:val="center"/>
        <w:rPr>
          <w:rFonts w:ascii="Verdana" w:hAnsi="Verdana"/>
          <w:sz w:val="20"/>
          <w:lang w:val="es-ES"/>
        </w:rPr>
      </w:pPr>
      <w:r w:rsidRPr="004B7A1D">
        <w:rPr>
          <w:rFonts w:ascii="Verdana" w:hAnsi="Verdana"/>
          <w:sz w:val="20"/>
          <w:lang w:val="es-ES"/>
        </w:rPr>
        <w:t>Pablo Saavedra Alessandri</w:t>
      </w:r>
    </w:p>
    <w:p w:rsidR="0089594B" w:rsidRPr="004B7A1D" w:rsidRDefault="0089594B" w:rsidP="0089594B">
      <w:pPr>
        <w:jc w:val="center"/>
        <w:rPr>
          <w:rFonts w:ascii="Verdana" w:hAnsi="Verdana"/>
          <w:sz w:val="20"/>
          <w:lang w:val="es-ES"/>
        </w:rPr>
      </w:pPr>
      <w:r w:rsidRPr="004B7A1D">
        <w:rPr>
          <w:rFonts w:ascii="Verdana" w:hAnsi="Verdana"/>
          <w:sz w:val="20"/>
          <w:lang w:val="es-ES"/>
        </w:rPr>
        <w:t>Secretario</w:t>
      </w:r>
    </w:p>
    <w:p w:rsidR="0089594B" w:rsidRPr="004B7A1D" w:rsidRDefault="0089594B" w:rsidP="0089594B">
      <w:pPr>
        <w:rPr>
          <w:rFonts w:ascii="Verdana" w:hAnsi="Verdana"/>
          <w:sz w:val="20"/>
          <w:lang w:val="es-ES"/>
        </w:rPr>
      </w:pPr>
    </w:p>
    <w:p w:rsidR="0089594B" w:rsidRDefault="0089594B" w:rsidP="0089594B">
      <w:pPr>
        <w:pStyle w:val="FootnoteText"/>
        <w:rPr>
          <w:lang w:val="es-ES"/>
        </w:rPr>
      </w:pPr>
    </w:p>
    <w:p w:rsidR="0089594B" w:rsidRDefault="0089594B" w:rsidP="0089594B">
      <w:pPr>
        <w:pStyle w:val="FootnoteText"/>
        <w:rPr>
          <w:lang w:val="es-ES"/>
        </w:rPr>
      </w:pPr>
    </w:p>
    <w:p w:rsidR="0089594B" w:rsidRPr="004B7A1D" w:rsidRDefault="0089594B" w:rsidP="0089594B">
      <w:pPr>
        <w:pStyle w:val="FootnoteText"/>
        <w:rPr>
          <w:lang w:val="es-ES"/>
        </w:rPr>
      </w:pPr>
    </w:p>
    <w:p w:rsidR="0089594B" w:rsidRPr="004B7A1D" w:rsidRDefault="0089594B" w:rsidP="0089594B">
      <w:pPr>
        <w:jc w:val="both"/>
        <w:rPr>
          <w:rFonts w:ascii="Verdana" w:hAnsi="Verdana"/>
          <w:sz w:val="20"/>
          <w:lang w:val="es-ES"/>
        </w:rPr>
      </w:pPr>
      <w:r w:rsidRPr="004B7A1D">
        <w:rPr>
          <w:rFonts w:ascii="Verdana" w:hAnsi="Verdana"/>
          <w:sz w:val="20"/>
          <w:lang w:val="es-ES"/>
        </w:rPr>
        <w:t>Comuníquese y ejecútese,</w:t>
      </w:r>
    </w:p>
    <w:p w:rsidR="0089594B" w:rsidRPr="004B7A1D"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Default="0089594B" w:rsidP="0089594B">
      <w:pPr>
        <w:jc w:val="both"/>
        <w:rPr>
          <w:rFonts w:ascii="Verdana" w:hAnsi="Verdana"/>
          <w:sz w:val="20"/>
          <w:lang w:val="es-ES"/>
        </w:rPr>
      </w:pPr>
    </w:p>
    <w:p w:rsidR="0089594B"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Pr="004B7A1D" w:rsidRDefault="0089594B" w:rsidP="0089594B">
      <w:pPr>
        <w:ind w:left="4956"/>
        <w:jc w:val="center"/>
        <w:rPr>
          <w:rFonts w:ascii="Verdana" w:hAnsi="Verdana"/>
          <w:sz w:val="20"/>
          <w:lang w:val="es-ES"/>
        </w:rPr>
      </w:pPr>
      <w:r>
        <w:rPr>
          <w:rFonts w:ascii="Verdana" w:hAnsi="Verdana"/>
          <w:sz w:val="20"/>
          <w:lang w:val="es-ES"/>
        </w:rPr>
        <w:t>Eduardo Ferrer Mac-</w:t>
      </w:r>
      <w:proofErr w:type="spellStart"/>
      <w:r>
        <w:rPr>
          <w:rFonts w:ascii="Verdana" w:hAnsi="Verdana"/>
          <w:sz w:val="20"/>
          <w:lang w:val="es-ES"/>
        </w:rPr>
        <w:t>Gregor</w:t>
      </w:r>
      <w:proofErr w:type="spellEnd"/>
      <w:r>
        <w:rPr>
          <w:rFonts w:ascii="Verdana" w:hAnsi="Verdana"/>
          <w:sz w:val="20"/>
          <w:lang w:val="es-ES"/>
        </w:rPr>
        <w:t xml:space="preserve"> </w:t>
      </w:r>
      <w:proofErr w:type="spellStart"/>
      <w:r>
        <w:rPr>
          <w:rFonts w:ascii="Verdana" w:hAnsi="Verdana"/>
          <w:sz w:val="20"/>
          <w:lang w:val="es-ES"/>
        </w:rPr>
        <w:t>Poisot</w:t>
      </w:r>
      <w:proofErr w:type="spellEnd"/>
      <w:r w:rsidRPr="004B7A1D">
        <w:rPr>
          <w:rFonts w:ascii="Verdana" w:hAnsi="Verdana"/>
          <w:sz w:val="20"/>
          <w:lang w:val="es-ES"/>
        </w:rPr>
        <w:tab/>
      </w:r>
    </w:p>
    <w:p w:rsidR="0089594B" w:rsidRPr="004B7A1D" w:rsidRDefault="0089594B" w:rsidP="0089594B">
      <w:pPr>
        <w:ind w:left="4956" w:firstLine="708"/>
        <w:rPr>
          <w:rFonts w:ascii="Verdana" w:hAnsi="Verdana"/>
          <w:sz w:val="20"/>
          <w:lang w:val="es-ES"/>
        </w:rPr>
      </w:pPr>
      <w:r>
        <w:rPr>
          <w:rFonts w:ascii="Verdana" w:hAnsi="Verdana"/>
          <w:sz w:val="20"/>
          <w:lang w:val="es-ES"/>
        </w:rPr>
        <w:t xml:space="preserve">        </w:t>
      </w:r>
      <w:r w:rsidRPr="004B7A1D">
        <w:rPr>
          <w:rFonts w:ascii="Verdana" w:hAnsi="Verdana"/>
          <w:sz w:val="20"/>
          <w:lang w:val="es-ES"/>
        </w:rPr>
        <w:t xml:space="preserve">Presidente </w:t>
      </w:r>
    </w:p>
    <w:p w:rsidR="0089594B" w:rsidRPr="004B7A1D"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p>
    <w:p w:rsidR="0089594B" w:rsidRPr="004B7A1D" w:rsidRDefault="0089594B" w:rsidP="0089594B">
      <w:pPr>
        <w:jc w:val="both"/>
        <w:rPr>
          <w:rFonts w:ascii="Verdana" w:hAnsi="Verdana"/>
          <w:sz w:val="20"/>
          <w:lang w:val="es-ES"/>
        </w:rPr>
      </w:pPr>
      <w:r w:rsidRPr="004B7A1D">
        <w:rPr>
          <w:rFonts w:ascii="Verdana" w:hAnsi="Verdana"/>
          <w:sz w:val="20"/>
          <w:lang w:val="es-ES"/>
        </w:rPr>
        <w:t>Pablo Saavedra Alessandri</w:t>
      </w:r>
    </w:p>
    <w:p w:rsidR="0089594B" w:rsidRPr="007C328B" w:rsidRDefault="0089594B" w:rsidP="0089594B">
      <w:pPr>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rsidR="0089594B" w:rsidRDefault="0089594B" w:rsidP="0089594B"/>
    <w:p w:rsidR="00FB521D" w:rsidRPr="001439DC" w:rsidRDefault="00FB521D" w:rsidP="00FB521D">
      <w:pPr>
        <w:pStyle w:val="ListParagraph"/>
        <w:ind w:left="0"/>
        <w:jc w:val="both"/>
        <w:rPr>
          <w:rFonts w:ascii="Verdana" w:hAnsi="Verdana"/>
          <w:b/>
          <w:sz w:val="20"/>
          <w:szCs w:val="20"/>
        </w:rPr>
      </w:pPr>
    </w:p>
    <w:sectPr w:rsidR="00FB521D" w:rsidRPr="001439DC" w:rsidSect="0084066B">
      <w:headerReference w:type="default" r:id="rId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DD9" w:rsidRDefault="00FC0DD9" w:rsidP="001F743D">
      <w:r>
        <w:separator/>
      </w:r>
    </w:p>
  </w:endnote>
  <w:endnote w:type="continuationSeparator" w:id="0">
    <w:p w:rsidR="00FC0DD9" w:rsidRDefault="00FC0DD9" w:rsidP="001F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DD9" w:rsidRDefault="00FC0DD9" w:rsidP="001F743D">
      <w:r>
        <w:separator/>
      </w:r>
    </w:p>
  </w:footnote>
  <w:footnote w:type="continuationSeparator" w:id="0">
    <w:p w:rsidR="00FC0DD9" w:rsidRDefault="00FC0DD9" w:rsidP="001F743D">
      <w:r>
        <w:continuationSeparator/>
      </w:r>
    </w:p>
  </w:footnote>
  <w:footnote w:id="1">
    <w:p w:rsidR="0004597D" w:rsidRPr="0043341E" w:rsidRDefault="0004597D" w:rsidP="0004597D">
      <w:pPr>
        <w:pStyle w:val="FootnoteText"/>
      </w:pPr>
      <w:r w:rsidRPr="0043341E">
        <w:rPr>
          <w:rStyle w:val="FootnoteReference"/>
          <w:lang w:val="es-CR"/>
        </w:rPr>
        <w:t>*</w:t>
      </w:r>
      <w:r w:rsidRPr="0043341E">
        <w:rPr>
          <w:lang w:val="es-CR"/>
        </w:rPr>
        <w:t xml:space="preserve"> </w:t>
      </w:r>
      <w:r w:rsidRPr="0043341E">
        <w:rPr>
          <w:lang w:val="es-CR"/>
        </w:rPr>
        <w:tab/>
      </w:r>
      <w:r w:rsidRPr="007452CC">
        <w:rPr>
          <w:rFonts w:cs="Arial"/>
          <w:spacing w:val="-4"/>
          <w:lang w:val="es-CR"/>
        </w:rPr>
        <w:t xml:space="preserve">La </w:t>
      </w:r>
      <w:r w:rsidRPr="007452CC">
        <w:t xml:space="preserve">Jueza </w:t>
      </w:r>
      <w:r w:rsidRPr="007452CC">
        <w:rPr>
          <w:rFonts w:cs="Verdana"/>
          <w:spacing w:val="-4"/>
          <w:lang w:val="es-CR"/>
        </w:rPr>
        <w:t>Elizabeth Odio Benito</w:t>
      </w:r>
      <w:r w:rsidRPr="007452CC">
        <w:t xml:space="preserve">, por razones de fuerza mayor aceptadas por el Pleno del Tribunal, no participó en la deliberación </w:t>
      </w:r>
      <w:r w:rsidR="008E1F65">
        <w:t>y firma de la presente Resolución</w:t>
      </w:r>
      <w:r w:rsidRPr="007452CC">
        <w:t>.</w:t>
      </w:r>
    </w:p>
  </w:footnote>
  <w:footnote w:id="2">
    <w:p w:rsidR="001F743D" w:rsidRPr="00BD391B" w:rsidRDefault="001F743D" w:rsidP="00F658B2">
      <w:pPr>
        <w:pStyle w:val="FootnoteText"/>
        <w:rPr>
          <w:lang w:val="es-CR"/>
        </w:rPr>
      </w:pPr>
      <w:r w:rsidRPr="009D1DF5">
        <w:rPr>
          <w:rStyle w:val="FootnoteReference"/>
        </w:rPr>
        <w:footnoteRef/>
      </w:r>
      <w:r w:rsidRPr="009D1DF5">
        <w:t xml:space="preserve"> </w:t>
      </w:r>
      <w:r>
        <w:tab/>
      </w:r>
      <w:r>
        <w:rPr>
          <w:lang w:val="es-ES"/>
        </w:rPr>
        <w:t>S</w:t>
      </w:r>
      <w:r w:rsidRPr="009D1DF5">
        <w:rPr>
          <w:lang w:val="es-ES"/>
        </w:rPr>
        <w:t>urge de</w:t>
      </w:r>
      <w:r w:rsidRPr="009D1DF5">
        <w:rPr>
          <w:lang w:val="es-CR"/>
        </w:rPr>
        <w:t xml:space="preserve"> las Resoluciones de la Corte de 17 de abril y 30 de junio de 2015 que, </w:t>
      </w:r>
      <w:r w:rsidRPr="009D1DF5">
        <w:t xml:space="preserve">además de </w:t>
      </w:r>
      <w:r w:rsidRPr="009D1DF5">
        <w:rPr>
          <w:lang w:val="es-ES"/>
        </w:rPr>
        <w:t xml:space="preserve">Gloria Tránsito Quijano de Meléndez y Sandra Ivette Meléndez Quijano, madre y hermana, respectivamente, de Adrián Meléndez Quijano, </w:t>
      </w:r>
      <w:r w:rsidRPr="009D1DF5">
        <w:rPr>
          <w:lang w:val="es-CR"/>
        </w:rPr>
        <w:t>son beneficiarios de las medidas</w:t>
      </w:r>
      <w:r>
        <w:rPr>
          <w:lang w:val="es-CR"/>
        </w:rPr>
        <w:t xml:space="preserve"> provisionales el propio </w:t>
      </w:r>
      <w:r>
        <w:rPr>
          <w:lang w:val="es-MX"/>
        </w:rPr>
        <w:t>Adrián Meléndez Quijano y sus familiares:</w:t>
      </w:r>
      <w:r w:rsidRPr="009D1BB7">
        <w:rPr>
          <w:lang w:val="es-MX"/>
        </w:rPr>
        <w:t xml:space="preserve"> </w:t>
      </w:r>
      <w:r w:rsidRPr="009D1BB7">
        <w:t>Marina Elizabeth García de Meléndez</w:t>
      </w:r>
      <w:r>
        <w:t xml:space="preserve"> (esposa), y</w:t>
      </w:r>
      <w:r w:rsidRPr="009D1BB7">
        <w:t xml:space="preserve"> Andrea Elizabeth Meléndez García</w:t>
      </w:r>
      <w:r>
        <w:t xml:space="preserve">, </w:t>
      </w:r>
      <w:proofErr w:type="spellStart"/>
      <w:r w:rsidRPr="009D1BB7">
        <w:t>Estefani</w:t>
      </w:r>
      <w:proofErr w:type="spellEnd"/>
      <w:r w:rsidRPr="009D1BB7">
        <w:t xml:space="preserve"> Marcela Meléndez García, Pamela Michelle Meléndez García</w:t>
      </w:r>
      <w:r>
        <w:t xml:space="preserve"> </w:t>
      </w:r>
      <w:r w:rsidRPr="009D1BB7">
        <w:t>y Adriana María Meléndez García</w:t>
      </w:r>
      <w:r>
        <w:t xml:space="preserve"> (hijas).</w:t>
      </w:r>
    </w:p>
  </w:footnote>
  <w:footnote w:id="3">
    <w:p w:rsidR="00F53AF5" w:rsidRDefault="007665B0" w:rsidP="00521349">
      <w:pPr>
        <w:pStyle w:val="FootnoteText"/>
        <w:spacing w:after="0"/>
      </w:pPr>
      <w:r>
        <w:rPr>
          <w:rStyle w:val="FootnoteReference"/>
        </w:rPr>
        <w:footnoteRef/>
      </w:r>
      <w:r>
        <w:t xml:space="preserve"> </w:t>
      </w:r>
      <w:r w:rsidR="0092062C">
        <w:tab/>
      </w:r>
      <w:r w:rsidR="00CD2DD9">
        <w:t xml:space="preserve">De acuerdo a revisión realizada por esta Secretaría se constató </w:t>
      </w:r>
      <w:r w:rsidR="008E1F3C">
        <w:t xml:space="preserve">que el 5 de marzo de 2007 los representantes presentaron el caso ante la Comisión. A su vez el 25 de mayo de 2017 se </w:t>
      </w:r>
      <w:r w:rsidR="00CD2DD9">
        <w:t>emi</w:t>
      </w:r>
      <w:r w:rsidR="00C234D1">
        <w:t>tió</w:t>
      </w:r>
      <w:r w:rsidR="00E102AF">
        <w:t xml:space="preserve"> </w:t>
      </w:r>
      <w:r w:rsidR="00CD2DD9">
        <w:t xml:space="preserve">el </w:t>
      </w:r>
      <w:r>
        <w:t>Informe de Admisibilidad</w:t>
      </w:r>
      <w:r w:rsidR="006346D0">
        <w:t xml:space="preserve"> del caso de</w:t>
      </w:r>
      <w:r>
        <w:t xml:space="preserve"> Adrián Meléndez Quijano y familia </w:t>
      </w:r>
      <w:r w:rsidR="00532A09">
        <w:t xml:space="preserve">Vs. </w:t>
      </w:r>
      <w:r>
        <w:t>El Salvador,</w:t>
      </w:r>
    </w:p>
    <w:p w:rsidR="00CD2DD9" w:rsidRPr="007665B0" w:rsidRDefault="00CD2DD9" w:rsidP="00521349">
      <w:pPr>
        <w:pStyle w:val="FootnoteText"/>
        <w:spacing w:after="0"/>
      </w:pPr>
      <w:r>
        <w:t xml:space="preserve">el cual se encuentra disponible: </w:t>
      </w:r>
      <w:hyperlink r:id="rId1" w:history="1">
        <w:r w:rsidRPr="001F6D6B">
          <w:rPr>
            <w:rStyle w:val="Hyperlink"/>
          </w:rPr>
          <w:t>https://www.oas.org/es/cidh/decisiones/2017/ESAD242-07ES.pdf</w:t>
        </w:r>
      </w:hyperlink>
    </w:p>
  </w:footnote>
  <w:footnote w:id="4">
    <w:p w:rsidR="001F743D" w:rsidRPr="001F743D" w:rsidRDefault="001F743D" w:rsidP="00521349">
      <w:pPr>
        <w:pStyle w:val="FootnoteText"/>
        <w:spacing w:after="0"/>
        <w:rPr>
          <w:lang w:val="es-ES"/>
        </w:rPr>
      </w:pPr>
      <w:r>
        <w:rPr>
          <w:rStyle w:val="FootnoteReference"/>
        </w:rPr>
        <w:footnoteRef/>
      </w:r>
      <w:r>
        <w:t xml:space="preserve"> </w:t>
      </w:r>
      <w:r w:rsidR="00FB521D">
        <w:tab/>
      </w:r>
      <w:r w:rsidRPr="006346D0">
        <w:rPr>
          <w:i/>
        </w:rPr>
        <w:t>Cfr. Asunto Álvarez y otros.</w:t>
      </w:r>
      <w:r w:rsidRPr="00FB521D">
        <w:t xml:space="preserve"> Medidas Provisionales respecto de Colombia</w:t>
      </w:r>
      <w:r>
        <w:t>. Resolución de l</w:t>
      </w:r>
      <w:r w:rsidR="0092062C">
        <w:t>a Corte de 22 de mayo de 2013, C</w:t>
      </w:r>
      <w:r>
        <w:t xml:space="preserve">onsiderando 2, y </w:t>
      </w:r>
      <w:r w:rsidRPr="006346D0">
        <w:rPr>
          <w:i/>
        </w:rPr>
        <w:t xml:space="preserve">Asunto </w:t>
      </w:r>
      <w:r w:rsidR="00920E54">
        <w:rPr>
          <w:i/>
        </w:rPr>
        <w:t>Luisiana Ríos y Otros</w:t>
      </w:r>
      <w:r w:rsidRPr="006346D0">
        <w:rPr>
          <w:i/>
        </w:rPr>
        <w:t>.</w:t>
      </w:r>
      <w:r w:rsidRPr="00FB521D">
        <w:t xml:space="preserve"> Medidas Provisionales respecto de Venezuela</w:t>
      </w:r>
      <w:r>
        <w:t>. Resolución de la Cor</w:t>
      </w:r>
      <w:r w:rsidR="0092062C">
        <w:t xml:space="preserve">te de </w:t>
      </w:r>
      <w:r w:rsidR="00920E54">
        <w:t>22</w:t>
      </w:r>
      <w:r w:rsidR="0092062C">
        <w:t xml:space="preserve"> de </w:t>
      </w:r>
      <w:r w:rsidR="00920E54">
        <w:t>agosto</w:t>
      </w:r>
      <w:r w:rsidR="0092062C">
        <w:t xml:space="preserve"> de 201</w:t>
      </w:r>
      <w:r w:rsidR="00920E54">
        <w:t>8</w:t>
      </w:r>
      <w:r w:rsidR="0092062C">
        <w:t>, C</w:t>
      </w:r>
      <w:r>
        <w:t xml:space="preserve">onsiderando </w:t>
      </w:r>
      <w:r w:rsidR="00920E54">
        <w:t>2</w:t>
      </w:r>
      <w:r w:rsidR="00FB521D">
        <w:t>.</w:t>
      </w:r>
    </w:p>
  </w:footnote>
  <w:footnote w:id="5">
    <w:p w:rsidR="001F743D" w:rsidRPr="001F743D" w:rsidRDefault="001F743D" w:rsidP="00521349">
      <w:pPr>
        <w:pStyle w:val="FootnoteText"/>
        <w:spacing w:after="0"/>
        <w:rPr>
          <w:lang w:val="es-ES"/>
        </w:rPr>
      </w:pPr>
      <w:r>
        <w:rPr>
          <w:rStyle w:val="FootnoteReference"/>
        </w:rPr>
        <w:footnoteRef/>
      </w:r>
      <w:r>
        <w:t xml:space="preserve"> </w:t>
      </w:r>
      <w:r w:rsidR="00FB521D">
        <w:tab/>
      </w:r>
      <w:r w:rsidRPr="006346D0">
        <w:rPr>
          <w:i/>
        </w:rPr>
        <w:t>Cfr. Asunto Gladys Lanza Ochoa</w:t>
      </w:r>
      <w:r w:rsidRPr="00FB521D">
        <w:t>. Medidas Provisionales respecto de Honduras</w:t>
      </w:r>
      <w:r>
        <w:t>. Resolución de la Cor</w:t>
      </w:r>
      <w:r w:rsidR="006346D0">
        <w:t>te de 23 de noviembre de 2016, C</w:t>
      </w:r>
      <w:r>
        <w:t>onsiderando 3, y</w:t>
      </w:r>
      <w:r w:rsidR="00920E54">
        <w:t xml:space="preserve"> </w:t>
      </w:r>
      <w:r w:rsidR="00920E54" w:rsidRPr="006346D0">
        <w:rPr>
          <w:i/>
        </w:rPr>
        <w:t xml:space="preserve">Asunto </w:t>
      </w:r>
      <w:r w:rsidR="00920E54">
        <w:rPr>
          <w:i/>
        </w:rPr>
        <w:t>Luisiana Ríos y Otros</w:t>
      </w:r>
      <w:r w:rsidR="00920E54">
        <w:t>, Considerando 2.</w:t>
      </w:r>
    </w:p>
  </w:footnote>
  <w:footnote w:id="6">
    <w:p w:rsidR="0050736A" w:rsidRPr="0050736A" w:rsidRDefault="0050736A" w:rsidP="00521349">
      <w:pPr>
        <w:pStyle w:val="FootnoteText"/>
        <w:spacing w:after="0"/>
        <w:rPr>
          <w:lang w:val="es-ES"/>
        </w:rPr>
      </w:pPr>
      <w:r>
        <w:rPr>
          <w:rStyle w:val="FootnoteReference"/>
        </w:rPr>
        <w:footnoteRef/>
      </w:r>
      <w:r>
        <w:t xml:space="preserve"> </w:t>
      </w:r>
      <w:r w:rsidR="00FB521D">
        <w:tab/>
      </w:r>
      <w:r w:rsidRPr="006346D0">
        <w:rPr>
          <w:i/>
        </w:rPr>
        <w:t>Cfr. Asunto James y Otros</w:t>
      </w:r>
      <w:r w:rsidRPr="00FB521D">
        <w:t>. Medidas Provisionales respecto de Trinidad y Tobago.</w:t>
      </w:r>
      <w:r>
        <w:t xml:space="preserve"> Resolución de la Corte </w:t>
      </w:r>
      <w:r w:rsidR="00FB521D">
        <w:t>de 29 de agosto de 1998, C</w:t>
      </w:r>
      <w:r>
        <w:t>onsiderando 6, y</w:t>
      </w:r>
      <w:r w:rsidR="00920E54">
        <w:t xml:space="preserve"> </w:t>
      </w:r>
      <w:r w:rsidR="00920E54" w:rsidRPr="006346D0">
        <w:rPr>
          <w:i/>
        </w:rPr>
        <w:t xml:space="preserve">Asunto </w:t>
      </w:r>
      <w:r w:rsidR="00920E54">
        <w:rPr>
          <w:i/>
        </w:rPr>
        <w:t>Luisiana Ríos y Otros</w:t>
      </w:r>
      <w:r w:rsidR="00920E54">
        <w:t>, Considerando 3.</w:t>
      </w:r>
    </w:p>
  </w:footnote>
  <w:footnote w:id="7">
    <w:p w:rsidR="0050736A" w:rsidRPr="0050736A" w:rsidRDefault="0050736A" w:rsidP="00521349">
      <w:pPr>
        <w:pStyle w:val="FootnoteText"/>
        <w:spacing w:after="0"/>
        <w:rPr>
          <w:lang w:val="es-ES"/>
        </w:rPr>
      </w:pPr>
      <w:r>
        <w:rPr>
          <w:rStyle w:val="FootnoteReference"/>
        </w:rPr>
        <w:footnoteRef/>
      </w:r>
      <w:r>
        <w:t xml:space="preserve"> </w:t>
      </w:r>
      <w:r w:rsidR="00FB521D">
        <w:tab/>
      </w:r>
      <w:r w:rsidRPr="006346D0">
        <w:rPr>
          <w:i/>
        </w:rPr>
        <w:t xml:space="preserve">Cfr. Asunto Belfort </w:t>
      </w:r>
      <w:proofErr w:type="spellStart"/>
      <w:r w:rsidRPr="006346D0">
        <w:rPr>
          <w:i/>
        </w:rPr>
        <w:t>Istúriz</w:t>
      </w:r>
      <w:proofErr w:type="spellEnd"/>
      <w:r w:rsidRPr="006346D0">
        <w:rPr>
          <w:i/>
        </w:rPr>
        <w:t xml:space="preserve"> y otros</w:t>
      </w:r>
      <w:r w:rsidRPr="00FB521D">
        <w:t>. Medidas Provisionales respecto de Venezuela</w:t>
      </w:r>
      <w:r>
        <w:t xml:space="preserve">. Resolución de la Corte </w:t>
      </w:r>
      <w:r w:rsidR="00FB521D">
        <w:t>de 15 de abril de 2010, C</w:t>
      </w:r>
      <w:r>
        <w:t>onsiderando 5, y</w:t>
      </w:r>
      <w:r w:rsidR="00920E54">
        <w:t xml:space="preserve"> </w:t>
      </w:r>
      <w:r w:rsidR="00920E54" w:rsidRPr="006346D0">
        <w:rPr>
          <w:i/>
        </w:rPr>
        <w:t xml:space="preserve">Asunto </w:t>
      </w:r>
      <w:r w:rsidR="00920E54">
        <w:rPr>
          <w:i/>
        </w:rPr>
        <w:t>Luisiana Ríos y Otros</w:t>
      </w:r>
      <w:r w:rsidR="00920E54">
        <w:t>, Considerando 3</w:t>
      </w:r>
      <w:r>
        <w:t>.</w:t>
      </w:r>
    </w:p>
  </w:footnote>
  <w:footnote w:id="8">
    <w:p w:rsidR="0050736A" w:rsidRPr="0050736A" w:rsidRDefault="0050736A" w:rsidP="00521349">
      <w:pPr>
        <w:pStyle w:val="FootnoteText"/>
        <w:spacing w:after="0"/>
        <w:rPr>
          <w:lang w:val="es-ES"/>
        </w:rPr>
      </w:pPr>
      <w:r>
        <w:rPr>
          <w:rStyle w:val="FootnoteReference"/>
        </w:rPr>
        <w:footnoteRef/>
      </w:r>
      <w:r>
        <w:t xml:space="preserve"> </w:t>
      </w:r>
      <w:r w:rsidR="00FB521D">
        <w:tab/>
      </w:r>
      <w:r w:rsidRPr="006346D0">
        <w:rPr>
          <w:i/>
        </w:rPr>
        <w:t xml:space="preserve">Cfr. Caso Carpio </w:t>
      </w:r>
      <w:proofErr w:type="spellStart"/>
      <w:r w:rsidRPr="006346D0">
        <w:rPr>
          <w:i/>
        </w:rPr>
        <w:t>Nicolle</w:t>
      </w:r>
      <w:proofErr w:type="spellEnd"/>
      <w:r w:rsidRPr="006346D0">
        <w:rPr>
          <w:i/>
        </w:rPr>
        <w:t>.</w:t>
      </w:r>
      <w:r w:rsidRPr="00FB521D">
        <w:t xml:space="preserve"> Medidas Provisionales respecto de Guatemala</w:t>
      </w:r>
      <w:r>
        <w:t xml:space="preserve">. Resolución de la Corte </w:t>
      </w:r>
      <w:r w:rsidR="00FB521D">
        <w:t>de 6 de julio de 2009, C</w:t>
      </w:r>
      <w:r>
        <w:t xml:space="preserve">onsiderando 18, </w:t>
      </w:r>
      <w:r w:rsidRPr="00FB521D">
        <w:t xml:space="preserve">y </w:t>
      </w:r>
      <w:r w:rsidR="00920E54" w:rsidRPr="006346D0">
        <w:rPr>
          <w:i/>
        </w:rPr>
        <w:t xml:space="preserve">Asunto </w:t>
      </w:r>
      <w:r w:rsidR="00920E54">
        <w:rPr>
          <w:i/>
        </w:rPr>
        <w:t>Luisiana Ríos y Otros</w:t>
      </w:r>
      <w:r w:rsidR="00920E54">
        <w:t>, Considerando 3.</w:t>
      </w:r>
    </w:p>
  </w:footnote>
  <w:footnote w:id="9">
    <w:p w:rsidR="002A1031" w:rsidRPr="002A1031" w:rsidRDefault="002A1031" w:rsidP="00521349">
      <w:pPr>
        <w:pStyle w:val="FootnoteText"/>
        <w:spacing w:after="0"/>
        <w:rPr>
          <w:lang w:val="es-ES"/>
        </w:rPr>
      </w:pPr>
      <w:r>
        <w:rPr>
          <w:rStyle w:val="FootnoteReference"/>
        </w:rPr>
        <w:footnoteRef/>
      </w:r>
      <w:r>
        <w:t xml:space="preserve"> </w:t>
      </w:r>
      <w:r w:rsidR="00FB521D">
        <w:tab/>
      </w:r>
      <w:r w:rsidRPr="00FB521D">
        <w:rPr>
          <w:i/>
        </w:rPr>
        <w:t>Cfr. Caso Integrantes del Equipo de Estudios Comunitarios y Acción Psicosocial (ECAP)</w:t>
      </w:r>
      <w:r>
        <w:t xml:space="preserve">. Medidas Provisionales respecto de Guatemala. Resolución de la Corte de 8 de julio de 2009, Considerando 5, y </w:t>
      </w:r>
      <w:r w:rsidR="00920E54" w:rsidRPr="006346D0">
        <w:rPr>
          <w:i/>
        </w:rPr>
        <w:t xml:space="preserve">Asunto </w:t>
      </w:r>
      <w:r w:rsidR="00920E54">
        <w:rPr>
          <w:i/>
        </w:rPr>
        <w:t>Luisiana Ríos y Otros</w:t>
      </w:r>
      <w:r w:rsidR="00FC45D8">
        <w:rPr>
          <w:i/>
        </w:rPr>
        <w:t>,</w:t>
      </w:r>
      <w:r w:rsidR="002F137D">
        <w:rPr>
          <w:i/>
        </w:rPr>
        <w:t xml:space="preserve"> </w:t>
      </w:r>
      <w:r w:rsidR="00920E54">
        <w:t>Considerando 3.</w:t>
      </w:r>
    </w:p>
  </w:footnote>
  <w:footnote w:id="10">
    <w:p w:rsidR="008C67B9" w:rsidRPr="008C67B9" w:rsidRDefault="008C67B9" w:rsidP="00521349">
      <w:pPr>
        <w:pStyle w:val="FootnoteText"/>
        <w:spacing w:after="0"/>
        <w:rPr>
          <w:lang w:val="es-ES"/>
        </w:rPr>
      </w:pPr>
      <w:r>
        <w:rPr>
          <w:rStyle w:val="FootnoteReference"/>
        </w:rPr>
        <w:footnoteRef/>
      </w:r>
      <w:r>
        <w:t xml:space="preserve"> </w:t>
      </w:r>
      <w:r w:rsidR="00FB521D">
        <w:tab/>
      </w:r>
      <w:r w:rsidRPr="00FB521D">
        <w:rPr>
          <w:i/>
        </w:rPr>
        <w:t>Cfr. Asunto James y otros.</w:t>
      </w:r>
      <w:r>
        <w:t xml:space="preserve"> Medidas Provisionales respecto de Trinidad y Tobago. Resolución de la Corte de 29 de agosto de 1998, Considerando 6, y </w:t>
      </w:r>
      <w:r w:rsidR="00920E54" w:rsidRPr="006346D0">
        <w:rPr>
          <w:i/>
        </w:rPr>
        <w:t xml:space="preserve">Asunto </w:t>
      </w:r>
      <w:r w:rsidR="00920E54">
        <w:rPr>
          <w:i/>
        </w:rPr>
        <w:t>Luisiana Ríos y Otros</w:t>
      </w:r>
      <w:r w:rsidR="00920E54">
        <w:t>, Considerando 2.</w:t>
      </w:r>
    </w:p>
  </w:footnote>
  <w:footnote w:id="11">
    <w:p w:rsidR="008C67B9" w:rsidRPr="008C67B9" w:rsidRDefault="008C67B9" w:rsidP="00521349">
      <w:pPr>
        <w:pStyle w:val="FootnoteText"/>
        <w:spacing w:after="0"/>
        <w:rPr>
          <w:lang w:val="es-ES"/>
        </w:rPr>
      </w:pPr>
      <w:r>
        <w:rPr>
          <w:rStyle w:val="FootnoteReference"/>
        </w:rPr>
        <w:footnoteRef/>
      </w:r>
      <w:r>
        <w:t xml:space="preserve"> </w:t>
      </w:r>
      <w:r w:rsidR="00FB521D">
        <w:tab/>
      </w:r>
      <w:r w:rsidRPr="00FB521D">
        <w:rPr>
          <w:i/>
        </w:rPr>
        <w:t>Cfr. Asunto James y otros</w:t>
      </w:r>
      <w:r>
        <w:t xml:space="preserve">, Considerando 6, y </w:t>
      </w:r>
      <w:r w:rsidRPr="00FB521D">
        <w:rPr>
          <w:i/>
        </w:rPr>
        <w:t xml:space="preserve">Caso </w:t>
      </w:r>
      <w:r w:rsidR="004315D4">
        <w:rPr>
          <w:i/>
        </w:rPr>
        <w:t>Rome</w:t>
      </w:r>
      <w:r w:rsidR="00CD4B7F">
        <w:rPr>
          <w:i/>
        </w:rPr>
        <w:t>r</w:t>
      </w:r>
      <w:r w:rsidR="004315D4">
        <w:rPr>
          <w:i/>
        </w:rPr>
        <w:t xml:space="preserve">o </w:t>
      </w:r>
      <w:proofErr w:type="spellStart"/>
      <w:r w:rsidR="004315D4">
        <w:rPr>
          <w:i/>
        </w:rPr>
        <w:t>Feris</w:t>
      </w:r>
      <w:proofErr w:type="spellEnd"/>
      <w:r w:rsidR="004315D4">
        <w:rPr>
          <w:i/>
        </w:rPr>
        <w:t>.</w:t>
      </w:r>
      <w:r w:rsidR="001363F8">
        <w:t xml:space="preserve"> Medidas P</w:t>
      </w:r>
      <w:r>
        <w:t xml:space="preserve">rovisionales respecto de </w:t>
      </w:r>
      <w:r w:rsidR="004315D4">
        <w:t>Argentina</w:t>
      </w:r>
      <w:r>
        <w:t>. Resolución de la Corte de 2</w:t>
      </w:r>
      <w:r w:rsidR="004315D4">
        <w:t>2</w:t>
      </w:r>
      <w:r>
        <w:t xml:space="preserve"> de </w:t>
      </w:r>
      <w:r w:rsidR="004315D4">
        <w:t>agosto</w:t>
      </w:r>
      <w:r>
        <w:t xml:space="preserve"> de 201</w:t>
      </w:r>
      <w:r w:rsidR="004315D4">
        <w:t>8</w:t>
      </w:r>
      <w:r>
        <w:t xml:space="preserve">, Considerando </w:t>
      </w:r>
      <w:r w:rsidR="004315D4">
        <w:t>2</w:t>
      </w:r>
      <w:r>
        <w:t>.</w:t>
      </w:r>
    </w:p>
  </w:footnote>
  <w:footnote w:id="12">
    <w:p w:rsidR="001C2288" w:rsidRPr="001C2288" w:rsidRDefault="001C2288" w:rsidP="003B2770">
      <w:pPr>
        <w:pStyle w:val="FootnoteText"/>
        <w:spacing w:after="0"/>
      </w:pPr>
      <w:r>
        <w:rPr>
          <w:rStyle w:val="FootnoteReference"/>
        </w:rPr>
        <w:footnoteRef/>
      </w:r>
      <w:r>
        <w:t xml:space="preserve"> </w:t>
      </w:r>
      <w:r w:rsidR="003B2770">
        <w:tab/>
      </w:r>
      <w:r>
        <w:t xml:space="preserve">Según el </w:t>
      </w:r>
      <w:r w:rsidR="00CD4B7F">
        <w:t>I</w:t>
      </w:r>
      <w:r>
        <w:t xml:space="preserve">nforme del Estado, el 12 de septiembre de 2017 el </w:t>
      </w:r>
      <w:r w:rsidR="003B2770">
        <w:t xml:space="preserve">señor </w:t>
      </w:r>
      <w:r w:rsidR="00883D55">
        <w:t>Meléndez</w:t>
      </w:r>
      <w:r>
        <w:t xml:space="preserve"> Quijano </w:t>
      </w:r>
      <w:r w:rsidR="00883D55">
        <w:t>habría</w:t>
      </w:r>
      <w:r>
        <w:t xml:space="preserve"> recibido amenazas en su correo personal. A su vez</w:t>
      </w:r>
      <w:r w:rsidR="003B2770">
        <w:t>,</w:t>
      </w:r>
      <w:r>
        <w:t xml:space="preserve"> el 15 de noviembre de 2017 dos hijas del </w:t>
      </w:r>
      <w:r w:rsidR="003B2770">
        <w:t>señor</w:t>
      </w:r>
      <w:r>
        <w:t xml:space="preserve"> </w:t>
      </w:r>
      <w:r w:rsidR="00883D55">
        <w:t>Meléndez</w:t>
      </w:r>
      <w:r>
        <w:t xml:space="preserve"> Quijano habrían recibido amenazas en sus correos electrónicos.</w:t>
      </w:r>
      <w:r w:rsidR="00E53622">
        <w:t xml:space="preserve"> </w:t>
      </w:r>
      <w:r w:rsidR="00E53622" w:rsidRPr="00E53622">
        <w:rPr>
          <w:i/>
        </w:rPr>
        <w:t>Cfr.</w:t>
      </w:r>
      <w:r w:rsidR="00883D55">
        <w:t xml:space="preserve"> Informe </w:t>
      </w:r>
      <w:r w:rsidR="003B2770">
        <w:t xml:space="preserve">de </w:t>
      </w:r>
      <w:r w:rsidR="00883D55">
        <w:t>14 de agosto de 2018 del Estado a la Corte, respecto a la implementación de medidas provisionales dictadas a favor del señor Adrián Meléndez Quijano y otros.</w:t>
      </w:r>
    </w:p>
  </w:footnote>
  <w:footnote w:id="13">
    <w:p w:rsidR="005F372F" w:rsidRPr="00F658B2" w:rsidRDefault="005F372F" w:rsidP="003B2770">
      <w:pPr>
        <w:pStyle w:val="FootnoteText"/>
        <w:spacing w:after="0"/>
      </w:pPr>
      <w:r w:rsidRPr="00F658B2">
        <w:rPr>
          <w:rStyle w:val="FootnoteReference"/>
        </w:rPr>
        <w:footnoteRef/>
      </w:r>
      <w:r w:rsidRPr="00F658B2">
        <w:t xml:space="preserve"> </w:t>
      </w:r>
      <w:r w:rsidRPr="00F658B2">
        <w:rPr>
          <w:lang w:eastAsia="es-ES"/>
        </w:rPr>
        <w:t xml:space="preserve"> </w:t>
      </w:r>
      <w:r w:rsidR="003B2770">
        <w:rPr>
          <w:lang w:eastAsia="es-ES"/>
        </w:rPr>
        <w:tab/>
        <w:t>L</w:t>
      </w:r>
      <w:r w:rsidRPr="00F658B2">
        <w:rPr>
          <w:lang w:eastAsia="es-ES"/>
        </w:rPr>
        <w:t xml:space="preserve">os representantes se refieren a denuncias </w:t>
      </w:r>
      <w:r w:rsidR="003B2770">
        <w:rPr>
          <w:lang w:eastAsia="es-ES"/>
        </w:rPr>
        <w:t xml:space="preserve">presentadas </w:t>
      </w:r>
      <w:r w:rsidRPr="00F658B2">
        <w:rPr>
          <w:lang w:eastAsia="es-ES"/>
        </w:rPr>
        <w:t xml:space="preserve">contra dos Ex Presidentes, tres </w:t>
      </w:r>
      <w:r w:rsidR="002F137D">
        <w:rPr>
          <w:lang w:eastAsia="es-ES"/>
        </w:rPr>
        <w:t>e</w:t>
      </w:r>
      <w:r w:rsidRPr="00F658B2">
        <w:rPr>
          <w:lang w:eastAsia="es-ES"/>
        </w:rPr>
        <w:t>x Ministros de Defensa, dos Vice Ministros de Defensa, Jefes del Estado Mayor Conjunto de</w:t>
      </w:r>
      <w:r w:rsidR="001633A9">
        <w:rPr>
          <w:lang w:eastAsia="es-ES"/>
        </w:rPr>
        <w:t xml:space="preserve"> </w:t>
      </w:r>
      <w:r w:rsidRPr="00F658B2">
        <w:rPr>
          <w:lang w:eastAsia="es-ES"/>
        </w:rPr>
        <w:t>la Fuerza Armada, Altos Jefes de Inteligencia</w:t>
      </w:r>
      <w:r w:rsidR="00F658B2" w:rsidRPr="00F658B2">
        <w:rPr>
          <w:lang w:eastAsia="es-ES"/>
        </w:rPr>
        <w:t xml:space="preserve">, pero no indican </w:t>
      </w:r>
      <w:r w:rsidR="003B2770">
        <w:rPr>
          <w:lang w:eastAsia="es-ES"/>
        </w:rPr>
        <w:t>expresamente la fecha,</w:t>
      </w:r>
      <w:r w:rsidR="00F658B2" w:rsidRPr="00F658B2">
        <w:rPr>
          <w:lang w:eastAsia="es-ES"/>
        </w:rPr>
        <w:t xml:space="preserve"> ni el</w:t>
      </w:r>
      <w:r w:rsidRPr="00F658B2">
        <w:rPr>
          <w:lang w:eastAsia="es-ES"/>
        </w:rPr>
        <w:t xml:space="preserve"> motivo de la denuncia.</w:t>
      </w:r>
    </w:p>
  </w:footnote>
  <w:footnote w:id="14">
    <w:p w:rsidR="002C0CF4" w:rsidRPr="00954DA2" w:rsidRDefault="002C0CF4" w:rsidP="002C0CF4">
      <w:pPr>
        <w:pStyle w:val="FootnoteText"/>
        <w:spacing w:after="0"/>
        <w:rPr>
          <w:lang w:val="es-ES"/>
        </w:rPr>
      </w:pPr>
      <w:r>
        <w:rPr>
          <w:rStyle w:val="FootnoteReference"/>
        </w:rPr>
        <w:footnoteRef/>
      </w:r>
      <w:r>
        <w:t xml:space="preserve"> </w:t>
      </w:r>
      <w:r>
        <w:tab/>
      </w:r>
      <w:r w:rsidRPr="00C35504">
        <w:rPr>
          <w:i/>
        </w:rPr>
        <w:t xml:space="preserve">Cfr. Asunto de los Niños y Adolescentes Privados de Libertad en el "Complexo do </w:t>
      </w:r>
      <w:proofErr w:type="spellStart"/>
      <w:r w:rsidRPr="00C35504">
        <w:rPr>
          <w:i/>
        </w:rPr>
        <w:t>Tatuapé</w:t>
      </w:r>
      <w:proofErr w:type="spellEnd"/>
      <w:r w:rsidRPr="00C35504">
        <w:rPr>
          <w:i/>
        </w:rPr>
        <w:t>” da FEBEM.</w:t>
      </w:r>
      <w:r>
        <w:t xml:space="preserve"> Medidas Provisionales respecto Brasil. Resolución de la Corte de 4 de</w:t>
      </w:r>
      <w:r w:rsidR="00954DA2">
        <w:t xml:space="preserve"> julio de 2006, Considerando 21 y </w:t>
      </w:r>
      <w:r w:rsidR="00954DA2" w:rsidRPr="003541D7">
        <w:rPr>
          <w:i/>
        </w:rPr>
        <w:t>Caso Rosendo Cantú y otra</w:t>
      </w:r>
      <w:r w:rsidR="00B569A4">
        <w:rPr>
          <w:i/>
        </w:rPr>
        <w:t>.</w:t>
      </w:r>
      <w:r w:rsidR="00954DA2" w:rsidRPr="003541D7">
        <w:rPr>
          <w:i/>
        </w:rPr>
        <w:t xml:space="preserve"> </w:t>
      </w:r>
      <w:r w:rsidR="00954DA2" w:rsidRPr="002F137D">
        <w:t>Medidas Provisionales</w:t>
      </w:r>
      <w:r w:rsidR="002F137D">
        <w:t xml:space="preserve"> r</w:t>
      </w:r>
      <w:r w:rsidR="00954DA2">
        <w:t>especto de México. Resolución de la Corte de 23 de febrero de 2016, Considerando 22.</w:t>
      </w:r>
    </w:p>
  </w:footnote>
  <w:footnote w:id="15">
    <w:p w:rsidR="007B74D1" w:rsidRPr="002F137D" w:rsidRDefault="007B74D1" w:rsidP="00C234D1">
      <w:pPr>
        <w:pStyle w:val="FootnoteText"/>
        <w:spacing w:after="0"/>
        <w:rPr>
          <w:lang w:val="es-ES"/>
        </w:rPr>
      </w:pPr>
      <w:r>
        <w:rPr>
          <w:rStyle w:val="FootnoteReference"/>
        </w:rPr>
        <w:footnoteRef/>
      </w:r>
      <w:r>
        <w:t xml:space="preserve"> </w:t>
      </w:r>
      <w:r w:rsidR="00B944E1">
        <w:t xml:space="preserve">          </w:t>
      </w:r>
      <w:r w:rsidRPr="00C234D1">
        <w:rPr>
          <w:i/>
        </w:rPr>
        <w:t xml:space="preserve">Cfr. </w:t>
      </w:r>
      <w:r w:rsidR="00035AEB" w:rsidRPr="00035AEB">
        <w:rPr>
          <w:i/>
        </w:rPr>
        <w:t xml:space="preserve">Caso Carpio </w:t>
      </w:r>
      <w:proofErr w:type="spellStart"/>
      <w:r w:rsidR="00035AEB" w:rsidRPr="00035AEB">
        <w:rPr>
          <w:i/>
        </w:rPr>
        <w:t>Nicolle</w:t>
      </w:r>
      <w:proofErr w:type="spellEnd"/>
      <w:r>
        <w:t xml:space="preserve">. Medidas Provisionales respecto de Guatemala. Resolución de la Corte de </w:t>
      </w:r>
      <w:r w:rsidR="00BD4EB2">
        <w:t>6</w:t>
      </w:r>
      <w:r>
        <w:t xml:space="preserve"> de julio de 2009, Considerando </w:t>
      </w:r>
      <w:r w:rsidR="00BD4EB2">
        <w:t>18</w:t>
      </w:r>
      <w:r>
        <w:t>, y</w:t>
      </w:r>
      <w:r w:rsidR="00BD4EB2">
        <w:t xml:space="preserve"> </w:t>
      </w:r>
      <w:r w:rsidR="00BD4EB2" w:rsidRPr="006346D0">
        <w:rPr>
          <w:i/>
        </w:rPr>
        <w:t xml:space="preserve">Asunto </w:t>
      </w:r>
      <w:r w:rsidR="00BD4EB2">
        <w:rPr>
          <w:i/>
        </w:rPr>
        <w:t>Luisiana Ríos y Otros</w:t>
      </w:r>
      <w:r w:rsidR="00BD4EB2">
        <w:t>, Considerando 3</w:t>
      </w:r>
      <w:r w:rsidR="00C234D1">
        <w:t>.</w:t>
      </w:r>
      <w:r w:rsidR="00C234D1">
        <w:tab/>
      </w:r>
    </w:p>
  </w:footnote>
  <w:footnote w:id="16">
    <w:p w:rsidR="00B944E1" w:rsidRPr="00B944E1" w:rsidRDefault="00B944E1" w:rsidP="007F414A">
      <w:pPr>
        <w:pStyle w:val="FootnoteText"/>
        <w:spacing w:after="0"/>
      </w:pPr>
      <w:r>
        <w:rPr>
          <w:rStyle w:val="FootnoteReference"/>
        </w:rPr>
        <w:footnoteRef/>
      </w:r>
      <w:r>
        <w:t xml:space="preserve"> </w:t>
      </w:r>
      <w:r w:rsidR="00E53622">
        <w:t xml:space="preserve"> </w:t>
      </w:r>
      <w:r w:rsidR="00747985" w:rsidRPr="00747985">
        <w:rPr>
          <w:i/>
        </w:rPr>
        <w:t xml:space="preserve"> </w:t>
      </w:r>
      <w:r w:rsidR="00747985" w:rsidRPr="00954DA2">
        <w:rPr>
          <w:i/>
        </w:rPr>
        <w:t xml:space="preserve">Cfr. Asunto </w:t>
      </w:r>
      <w:proofErr w:type="spellStart"/>
      <w:r w:rsidR="00747985" w:rsidRPr="00954DA2">
        <w:rPr>
          <w:i/>
        </w:rPr>
        <w:t>Millacura</w:t>
      </w:r>
      <w:proofErr w:type="spellEnd"/>
      <w:r w:rsidR="00747985" w:rsidRPr="00954DA2">
        <w:rPr>
          <w:i/>
        </w:rPr>
        <w:t xml:space="preserve"> </w:t>
      </w:r>
      <w:proofErr w:type="spellStart"/>
      <w:r w:rsidR="00747985" w:rsidRPr="00954DA2">
        <w:rPr>
          <w:i/>
        </w:rPr>
        <w:t>Llaipén</w:t>
      </w:r>
      <w:proofErr w:type="spellEnd"/>
      <w:r w:rsidR="00747985" w:rsidRPr="00954DA2">
        <w:rPr>
          <w:i/>
        </w:rPr>
        <w:t xml:space="preserve"> y otros.</w:t>
      </w:r>
      <w:r w:rsidR="00747985" w:rsidRPr="00954DA2">
        <w:t xml:space="preserve"> Medidas Provisionales respecto de Argentina. Resolución de la Corte de 6 de febrero de 2008, punto resolutivo cuarto,</w:t>
      </w:r>
      <w:r w:rsidR="00747985" w:rsidRPr="002F137D">
        <w:t xml:space="preserve"> </w:t>
      </w:r>
      <w:r w:rsidR="00035D51" w:rsidRPr="002F137D">
        <w:t>y</w:t>
      </w:r>
      <w:r w:rsidR="00747985" w:rsidRPr="00954DA2">
        <w:t xml:space="preserve"> </w:t>
      </w:r>
      <w:r w:rsidR="00747985" w:rsidRPr="00954DA2">
        <w:rPr>
          <w:i/>
        </w:rPr>
        <w:t>Caso</w:t>
      </w:r>
      <w:r w:rsidR="00BD4EB2" w:rsidRPr="00BD4EB2">
        <w:t xml:space="preserve"> </w:t>
      </w:r>
      <w:r w:rsidR="00BD4EB2">
        <w:rPr>
          <w:i/>
        </w:rPr>
        <w:t>de la Masacre de Rochela</w:t>
      </w:r>
      <w:r w:rsidR="00747985" w:rsidRPr="00954DA2">
        <w:t xml:space="preserve">. Medidas Provisionales respecto de </w:t>
      </w:r>
      <w:r w:rsidR="00BD4EB2">
        <w:t>Colombia</w:t>
      </w:r>
      <w:r w:rsidR="00747985" w:rsidRPr="00954DA2">
        <w:t xml:space="preserve">. Resolución de la Corte de </w:t>
      </w:r>
      <w:r w:rsidR="00BD4EB2">
        <w:t>16</w:t>
      </w:r>
      <w:r w:rsidR="00747985" w:rsidRPr="00954DA2">
        <w:t xml:space="preserve"> de febre</w:t>
      </w:r>
      <w:r w:rsidR="00BD4EB2">
        <w:t>ro</w:t>
      </w:r>
      <w:r w:rsidR="00747985" w:rsidRPr="00954DA2">
        <w:t xml:space="preserve"> de 201</w:t>
      </w:r>
      <w:r w:rsidR="00BD4EB2">
        <w:t>7</w:t>
      </w:r>
      <w:r w:rsidR="00747985" w:rsidRPr="00954DA2">
        <w:t xml:space="preserve">, Considerando </w:t>
      </w:r>
      <w:r w:rsidR="00BD4EB2">
        <w:t>38</w:t>
      </w:r>
      <w:r w:rsidR="00747985" w:rsidRPr="00954DA2">
        <w:t>.</w:t>
      </w:r>
    </w:p>
  </w:footnote>
  <w:footnote w:id="17">
    <w:p w:rsidR="003F113B" w:rsidRPr="00BF66B1" w:rsidRDefault="003F113B" w:rsidP="007F414A">
      <w:pPr>
        <w:pStyle w:val="FootnoteText"/>
        <w:spacing w:after="0"/>
        <w:rPr>
          <w:lang w:val="es-ES"/>
        </w:rPr>
      </w:pPr>
      <w:r>
        <w:rPr>
          <w:rStyle w:val="FootnoteReference"/>
        </w:rPr>
        <w:footnoteRef/>
      </w:r>
      <w:r>
        <w:t xml:space="preserve"> </w:t>
      </w:r>
      <w:r>
        <w:tab/>
      </w:r>
      <w:r w:rsidRPr="00791C3D">
        <w:rPr>
          <w:i/>
          <w:lang w:val="es-ES"/>
        </w:rPr>
        <w:t>Cfr. Caso García Prieto y otros</w:t>
      </w:r>
      <w:r>
        <w:rPr>
          <w:lang w:val="es-ES"/>
        </w:rPr>
        <w:t>. Medidas Provisionales respecto de El Salvador. R</w:t>
      </w:r>
      <w:r w:rsidR="00E53622">
        <w:rPr>
          <w:lang w:val="es-ES"/>
        </w:rPr>
        <w:t>esolución de la Corte de 20 de n</w:t>
      </w:r>
      <w:r>
        <w:rPr>
          <w:lang w:val="es-ES"/>
        </w:rPr>
        <w:t>oviembre de 2015, Considerando 27.</w:t>
      </w:r>
    </w:p>
  </w:footnote>
  <w:footnote w:id="18">
    <w:p w:rsidR="00A3235D" w:rsidRPr="00205453" w:rsidRDefault="00205453" w:rsidP="00BB5D82">
      <w:pPr>
        <w:pStyle w:val="FootnoteText"/>
        <w:spacing w:after="0"/>
      </w:pPr>
      <w:r>
        <w:rPr>
          <w:rStyle w:val="FootnoteReference"/>
        </w:rPr>
        <w:footnoteRef/>
      </w:r>
      <w:r>
        <w:t xml:space="preserve"> </w:t>
      </w:r>
      <w:r w:rsidR="0004597D">
        <w:tab/>
        <w:t>El representante indicó</w:t>
      </w:r>
      <w:r>
        <w:t xml:space="preserve"> que el Estado </w:t>
      </w:r>
      <w:r w:rsidRPr="00205453">
        <w:t xml:space="preserve">no ha cumplido con: a) </w:t>
      </w:r>
      <w:r>
        <w:t>la asignación de una</w:t>
      </w:r>
      <w:r w:rsidRPr="00205453">
        <w:t xml:space="preserve"> protectora femenina; b) </w:t>
      </w:r>
      <w:r w:rsidR="00035AEB">
        <w:t>la entrega de</w:t>
      </w:r>
      <w:r w:rsidR="00035D51">
        <w:t xml:space="preserve"> </w:t>
      </w:r>
      <w:r w:rsidRPr="00205453">
        <w:t xml:space="preserve"> 4 radios ofrecidos en el año 2010</w:t>
      </w:r>
      <w:r w:rsidR="002F137D">
        <w:t>, y</w:t>
      </w:r>
      <w:r w:rsidRPr="00205453">
        <w:t xml:space="preserve"> c) la </w:t>
      </w:r>
      <w:r>
        <w:t xml:space="preserve">asignación de </w:t>
      </w:r>
      <w:r w:rsidRPr="00205453">
        <w:t>2 vehículos desde el 3 de julio de 2018, por supuestos problemas técnicos de los mismos.</w:t>
      </w:r>
    </w:p>
  </w:footnote>
  <w:footnote w:id="19">
    <w:p w:rsidR="00A3235D" w:rsidRPr="00825369" w:rsidRDefault="00A3235D" w:rsidP="002F137D">
      <w:pPr>
        <w:pStyle w:val="FootnoteText"/>
        <w:spacing w:after="0"/>
      </w:pPr>
      <w:r>
        <w:rPr>
          <w:rStyle w:val="FootnoteReference"/>
        </w:rPr>
        <w:footnoteRef/>
      </w:r>
      <w:r>
        <w:t xml:space="preserve">         </w:t>
      </w:r>
      <w:r w:rsidRPr="002F137D">
        <w:rPr>
          <w:i/>
        </w:rPr>
        <w:t>Cfr. Caso Tribunal Constitucional</w:t>
      </w:r>
      <w:r w:rsidRPr="00A3235D">
        <w:t>. Medidas Provisionales respecto del Perú. Resolución de la Corte de 14 de marzo de 2001, Considerando 4, y</w:t>
      </w:r>
      <w:r>
        <w:t xml:space="preserve"> </w:t>
      </w:r>
      <w:r w:rsidRPr="002F137D">
        <w:rPr>
          <w:i/>
        </w:rPr>
        <w:t>Caso Rosendo Cantú y otra</w:t>
      </w:r>
      <w:r>
        <w:t>, Considerando 21.</w:t>
      </w:r>
    </w:p>
  </w:footnote>
  <w:footnote w:id="20">
    <w:p w:rsidR="000778A1" w:rsidRPr="008D1184" w:rsidRDefault="000778A1" w:rsidP="002F137D">
      <w:pPr>
        <w:pStyle w:val="FootnoteText"/>
        <w:spacing w:after="0"/>
        <w:rPr>
          <w:lang w:val="es-ES"/>
        </w:rPr>
      </w:pPr>
      <w:r>
        <w:rPr>
          <w:rStyle w:val="FootnoteReference"/>
        </w:rPr>
        <w:footnoteRef/>
      </w:r>
      <w:r>
        <w:t xml:space="preserve"> </w:t>
      </w:r>
      <w:r>
        <w:tab/>
      </w:r>
      <w:r w:rsidR="00B94ACD" w:rsidRPr="003541D7">
        <w:rPr>
          <w:i/>
        </w:rPr>
        <w:t>Cfr. Asunto Pilar Noriega García y otros</w:t>
      </w:r>
      <w:r w:rsidR="00B94ACD">
        <w:t>. Medidas Provisionales respecto de México. Resolución de la Corte de 6 de f</w:t>
      </w:r>
      <w:r w:rsidR="00E53622">
        <w:t>eb</w:t>
      </w:r>
      <w:r w:rsidR="00954DA2">
        <w:t xml:space="preserve">rero de 2008, Considerando 14, </w:t>
      </w:r>
      <w:r w:rsidR="00747985">
        <w:t>y</w:t>
      </w:r>
      <w:r w:rsidR="00B94ACD" w:rsidRPr="00747985">
        <w:t xml:space="preserve"> </w:t>
      </w:r>
      <w:r w:rsidR="00B94ACD" w:rsidRPr="003541D7">
        <w:rPr>
          <w:i/>
        </w:rPr>
        <w:t>Caso Rosendo Cantú y otr</w:t>
      </w:r>
      <w:r w:rsidR="002F137D">
        <w:rPr>
          <w:i/>
        </w:rPr>
        <w:t>a</w:t>
      </w:r>
      <w:r w:rsidR="003541D7">
        <w:t>,</w:t>
      </w:r>
      <w:r w:rsidR="00B94ACD">
        <w:t xml:space="preserve"> Considerando 21</w:t>
      </w:r>
      <w:r w:rsidR="003541D7">
        <w:t>.</w:t>
      </w:r>
    </w:p>
  </w:footnote>
  <w:footnote w:id="21">
    <w:p w:rsidR="000778A1" w:rsidRPr="008D1184" w:rsidRDefault="000778A1" w:rsidP="003F113B">
      <w:pPr>
        <w:pStyle w:val="FootnoteText"/>
        <w:spacing w:after="0"/>
        <w:rPr>
          <w:lang w:val="es-ES"/>
        </w:rPr>
      </w:pPr>
      <w:r>
        <w:rPr>
          <w:rStyle w:val="FootnoteReference"/>
        </w:rPr>
        <w:footnoteRef/>
      </w:r>
      <w:r>
        <w:t xml:space="preserve"> </w:t>
      </w:r>
      <w:r>
        <w:tab/>
      </w:r>
      <w:r w:rsidRPr="00791C3D">
        <w:rPr>
          <w:i/>
        </w:rPr>
        <w:t>Cfr. Asunto Liliana Ortega y otras.</w:t>
      </w:r>
      <w:r>
        <w:t xml:space="preserve"> Medidas Provisionales respecto de Venezuela. Resolución de la Corte de 9 de julio de 2009, Considerando 1</w:t>
      </w:r>
      <w:r w:rsidR="00B94ACD">
        <w:t>7</w:t>
      </w:r>
      <w:r w:rsidR="00747985">
        <w:t>, y</w:t>
      </w:r>
      <w:r w:rsidR="00B94ACD" w:rsidRPr="00747985">
        <w:t xml:space="preserve"> </w:t>
      </w:r>
      <w:r w:rsidR="00B94ACD" w:rsidRPr="003541D7">
        <w:rPr>
          <w:i/>
        </w:rPr>
        <w:t>Caso Rosendo Cantú y otra</w:t>
      </w:r>
      <w:r w:rsidR="002F137D">
        <w:rPr>
          <w:i/>
        </w:rPr>
        <w:t xml:space="preserve">, </w:t>
      </w:r>
      <w:r w:rsidR="00B94ACD">
        <w:t>Considerando 21</w:t>
      </w:r>
      <w:r w:rsidR="002F137D">
        <w:t>.</w:t>
      </w:r>
    </w:p>
  </w:footnote>
  <w:footnote w:id="22">
    <w:p w:rsidR="00C35504" w:rsidRPr="003F113B" w:rsidRDefault="00C35504" w:rsidP="00C35504">
      <w:pPr>
        <w:pStyle w:val="FootnoteText"/>
        <w:spacing w:after="0"/>
        <w:rPr>
          <w:lang w:val="es-ES"/>
        </w:rPr>
      </w:pPr>
      <w:r>
        <w:rPr>
          <w:rStyle w:val="FootnoteReference"/>
        </w:rPr>
        <w:footnoteRef/>
      </w:r>
      <w:r>
        <w:t xml:space="preserve"> </w:t>
      </w:r>
      <w:r>
        <w:tab/>
      </w:r>
      <w:r w:rsidRPr="003F113B">
        <w:rPr>
          <w:i/>
        </w:rPr>
        <w:t>Cfr. Caso Velásquez Rodríguez. Medidas Provisionales respecto de Honduras</w:t>
      </w:r>
      <w:r>
        <w:t>. Resolución de la Corte de 15 d</w:t>
      </w:r>
      <w:r w:rsidR="003541D7">
        <w:t>e enero de 1988, Considerando 3, y</w:t>
      </w:r>
      <w:r w:rsidRPr="003F113B">
        <w:rPr>
          <w:i/>
          <w:lang w:val="es-ES"/>
        </w:rPr>
        <w:t xml:space="preserve"> Asunto Luisiana Ríos y otros</w:t>
      </w:r>
      <w:r>
        <w:rPr>
          <w:lang w:val="es-ES"/>
        </w:rPr>
        <w:t>, Considerando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492789"/>
      <w:docPartObj>
        <w:docPartGallery w:val="Page Numbers (Top of Page)"/>
        <w:docPartUnique/>
      </w:docPartObj>
    </w:sdtPr>
    <w:sdtEndPr>
      <w:rPr>
        <w:noProof/>
      </w:rPr>
    </w:sdtEndPr>
    <w:sdtContent>
      <w:p w:rsidR="0084066B" w:rsidRDefault="0084066B">
        <w:pPr>
          <w:pStyle w:val="Header"/>
          <w:jc w:val="center"/>
        </w:pPr>
        <w:r>
          <w:fldChar w:fldCharType="begin"/>
        </w:r>
        <w:r>
          <w:instrText xml:space="preserve"> PAGE   \* MERGEFORMAT </w:instrText>
        </w:r>
        <w:r>
          <w:fldChar w:fldCharType="separate"/>
        </w:r>
        <w:r w:rsidR="00DA16C0">
          <w:rPr>
            <w:noProof/>
          </w:rPr>
          <w:t>2</w:t>
        </w:r>
        <w:r>
          <w:rPr>
            <w:noProof/>
          </w:rPr>
          <w:fldChar w:fldCharType="end"/>
        </w:r>
      </w:p>
    </w:sdtContent>
  </w:sdt>
  <w:p w:rsidR="0084066B" w:rsidRDefault="00840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05E"/>
    <w:multiLevelType w:val="hybridMultilevel"/>
    <w:tmpl w:val="11ECD5D2"/>
    <w:lvl w:ilvl="0" w:tplc="07BC19A4">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C1A6EEF"/>
    <w:multiLevelType w:val="hybridMultilevel"/>
    <w:tmpl w:val="55D2C172"/>
    <w:lvl w:ilvl="0" w:tplc="78F0EC1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11192FCF"/>
    <w:multiLevelType w:val="hybridMultilevel"/>
    <w:tmpl w:val="CD9A2742"/>
    <w:lvl w:ilvl="0" w:tplc="7AD0E85E">
      <w:start w:val="1"/>
      <w:numFmt w:val="decimal"/>
      <w:lvlText w:val="%1."/>
      <w:lvlJc w:val="left"/>
      <w:pPr>
        <w:ind w:left="720" w:hanging="360"/>
      </w:pPr>
      <w:rPr>
        <w:rFonts w:ascii="Verdana" w:hAnsi="Verdana" w:hint="default"/>
        <w:sz w:val="20"/>
        <w:szCs w:val="20"/>
        <w:lang w:val="es-ES"/>
      </w:rPr>
    </w:lvl>
    <w:lvl w:ilvl="1" w:tplc="04090019">
      <w:start w:val="1"/>
      <w:numFmt w:val="lowerLetter"/>
      <w:lvlText w:val="%2."/>
      <w:lvlJc w:val="left"/>
      <w:pPr>
        <w:ind w:left="1440" w:hanging="360"/>
      </w:pPr>
    </w:lvl>
    <w:lvl w:ilvl="2" w:tplc="04090015">
      <w:start w:val="1"/>
      <w:numFmt w:val="upperLetter"/>
      <w:lvlText w:val="%3."/>
      <w:lvlJc w:val="left"/>
      <w:pPr>
        <w:ind w:left="1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E61AD"/>
    <w:multiLevelType w:val="hybridMultilevel"/>
    <w:tmpl w:val="F0D6E232"/>
    <w:lvl w:ilvl="0" w:tplc="5D2E186A">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FF23CB6"/>
    <w:multiLevelType w:val="hybridMultilevel"/>
    <w:tmpl w:val="BD7E23AA"/>
    <w:lvl w:ilvl="0" w:tplc="D23CD2A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73B3CAD"/>
    <w:multiLevelType w:val="hybridMultilevel"/>
    <w:tmpl w:val="647A1674"/>
    <w:lvl w:ilvl="0" w:tplc="BCF8FAC6">
      <w:start w:val="2"/>
      <w:numFmt w:val="decimal"/>
      <w:lvlText w:val="%1."/>
      <w:lvlJc w:val="left"/>
      <w:pPr>
        <w:ind w:left="360" w:hanging="360"/>
      </w:pPr>
      <w:rPr>
        <w:rFonts w:cs="Times New Roman"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F835789"/>
    <w:multiLevelType w:val="hybridMultilevel"/>
    <w:tmpl w:val="AB542B7C"/>
    <w:lvl w:ilvl="0" w:tplc="9E026076">
      <w:start w:val="1"/>
      <w:numFmt w:val="decimal"/>
      <w:lvlText w:val="%1."/>
      <w:lvlJc w:val="left"/>
      <w:pPr>
        <w:ind w:left="720" w:hanging="360"/>
      </w:pPr>
      <w:rPr>
        <w:rFonts w:hint="default"/>
        <w:strike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A17989"/>
    <w:multiLevelType w:val="hybridMultilevel"/>
    <w:tmpl w:val="055CE3C2"/>
    <w:lvl w:ilvl="0" w:tplc="D1F2CC7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16E59"/>
    <w:multiLevelType w:val="hybridMultilevel"/>
    <w:tmpl w:val="B35E993E"/>
    <w:lvl w:ilvl="0" w:tplc="325C6846">
      <w:start w:val="1"/>
      <w:numFmt w:val="decimal"/>
      <w:lvlText w:val="%1."/>
      <w:lvlJc w:val="left"/>
      <w:pPr>
        <w:ind w:left="786" w:hanging="360"/>
      </w:pPr>
      <w:rPr>
        <w:rFonts w:ascii="Times New Roman" w:hAnsi="Times New Roman" w:hint="default"/>
        <w:sz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
  </w:num>
  <w:num w:numId="2">
    <w:abstractNumId w:val="4"/>
  </w:num>
  <w:num w:numId="3">
    <w:abstractNumId w:val="6"/>
  </w:num>
  <w:num w:numId="4">
    <w:abstractNumId w:val="1"/>
  </w:num>
  <w:num w:numId="5">
    <w:abstractNumId w:val="0"/>
  </w:num>
  <w:num w:numId="6">
    <w:abstractNumId w:val="8"/>
  </w:num>
  <w:num w:numId="7">
    <w:abstractNumId w:val="5"/>
  </w:num>
  <w:num w:numId="8">
    <w:abstractNumId w:val="7"/>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sar Maslub">
    <w15:presenceInfo w15:providerId="AD" w15:userId="S-1-5-21-817481412-993182657-3041463273-50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3D"/>
    <w:rsid w:val="00002AE2"/>
    <w:rsid w:val="00013DD0"/>
    <w:rsid w:val="00014CD2"/>
    <w:rsid w:val="00020607"/>
    <w:rsid w:val="000325C6"/>
    <w:rsid w:val="00035AEB"/>
    <w:rsid w:val="00035D51"/>
    <w:rsid w:val="00037E36"/>
    <w:rsid w:val="0004597D"/>
    <w:rsid w:val="000575C4"/>
    <w:rsid w:val="00057885"/>
    <w:rsid w:val="00060167"/>
    <w:rsid w:val="00064B50"/>
    <w:rsid w:val="000778A1"/>
    <w:rsid w:val="0009183E"/>
    <w:rsid w:val="00091B22"/>
    <w:rsid w:val="000969E1"/>
    <w:rsid w:val="000D6DCF"/>
    <w:rsid w:val="000D767D"/>
    <w:rsid w:val="000E0A86"/>
    <w:rsid w:val="000F3C18"/>
    <w:rsid w:val="000F6D8A"/>
    <w:rsid w:val="001178F7"/>
    <w:rsid w:val="001274E8"/>
    <w:rsid w:val="00132C17"/>
    <w:rsid w:val="001363F8"/>
    <w:rsid w:val="00140DD6"/>
    <w:rsid w:val="001439DC"/>
    <w:rsid w:val="00143B39"/>
    <w:rsid w:val="001633A9"/>
    <w:rsid w:val="00167655"/>
    <w:rsid w:val="001715B2"/>
    <w:rsid w:val="00175809"/>
    <w:rsid w:val="001837EF"/>
    <w:rsid w:val="001C2288"/>
    <w:rsid w:val="001C2BBA"/>
    <w:rsid w:val="001D0075"/>
    <w:rsid w:val="001F743D"/>
    <w:rsid w:val="00205453"/>
    <w:rsid w:val="00221624"/>
    <w:rsid w:val="0025788E"/>
    <w:rsid w:val="002804E4"/>
    <w:rsid w:val="002921EB"/>
    <w:rsid w:val="002928BA"/>
    <w:rsid w:val="0029616C"/>
    <w:rsid w:val="002A1031"/>
    <w:rsid w:val="002A1DE8"/>
    <w:rsid w:val="002A4237"/>
    <w:rsid w:val="002C0A4A"/>
    <w:rsid w:val="002C0CF4"/>
    <w:rsid w:val="002E048B"/>
    <w:rsid w:val="002E2E17"/>
    <w:rsid w:val="002F0ACD"/>
    <w:rsid w:val="002F137D"/>
    <w:rsid w:val="00314C34"/>
    <w:rsid w:val="00315A4D"/>
    <w:rsid w:val="00346483"/>
    <w:rsid w:val="003541D7"/>
    <w:rsid w:val="00382F48"/>
    <w:rsid w:val="003A00D2"/>
    <w:rsid w:val="003B1657"/>
    <w:rsid w:val="003B2770"/>
    <w:rsid w:val="003B7C5E"/>
    <w:rsid w:val="003C456A"/>
    <w:rsid w:val="003D041B"/>
    <w:rsid w:val="003D4FED"/>
    <w:rsid w:val="003E0404"/>
    <w:rsid w:val="003F113B"/>
    <w:rsid w:val="003F4437"/>
    <w:rsid w:val="003F776D"/>
    <w:rsid w:val="003F7A8C"/>
    <w:rsid w:val="004315D4"/>
    <w:rsid w:val="00437474"/>
    <w:rsid w:val="00442EAC"/>
    <w:rsid w:val="00454085"/>
    <w:rsid w:val="00476EC2"/>
    <w:rsid w:val="0048695A"/>
    <w:rsid w:val="004902FD"/>
    <w:rsid w:val="00490585"/>
    <w:rsid w:val="004A7070"/>
    <w:rsid w:val="004C0045"/>
    <w:rsid w:val="004D0E86"/>
    <w:rsid w:val="0050736A"/>
    <w:rsid w:val="005079B8"/>
    <w:rsid w:val="00521349"/>
    <w:rsid w:val="00532A09"/>
    <w:rsid w:val="005506BD"/>
    <w:rsid w:val="005B4E4D"/>
    <w:rsid w:val="005F372F"/>
    <w:rsid w:val="005F670A"/>
    <w:rsid w:val="00603307"/>
    <w:rsid w:val="00605CB3"/>
    <w:rsid w:val="006346D0"/>
    <w:rsid w:val="00634F34"/>
    <w:rsid w:val="00643BBE"/>
    <w:rsid w:val="00662FB5"/>
    <w:rsid w:val="006A5BC6"/>
    <w:rsid w:val="006B18C0"/>
    <w:rsid w:val="006C241A"/>
    <w:rsid w:val="006C49C2"/>
    <w:rsid w:val="006D5AAE"/>
    <w:rsid w:val="0071003C"/>
    <w:rsid w:val="00722884"/>
    <w:rsid w:val="00747985"/>
    <w:rsid w:val="00764C25"/>
    <w:rsid w:val="007665B0"/>
    <w:rsid w:val="00791C3D"/>
    <w:rsid w:val="007B74D1"/>
    <w:rsid w:val="007F414A"/>
    <w:rsid w:val="008023E1"/>
    <w:rsid w:val="00825369"/>
    <w:rsid w:val="00836E2C"/>
    <w:rsid w:val="0084052E"/>
    <w:rsid w:val="0084066B"/>
    <w:rsid w:val="00866A70"/>
    <w:rsid w:val="00876257"/>
    <w:rsid w:val="00883D55"/>
    <w:rsid w:val="00887386"/>
    <w:rsid w:val="0089594B"/>
    <w:rsid w:val="008B6C3A"/>
    <w:rsid w:val="008C67B9"/>
    <w:rsid w:val="008D1184"/>
    <w:rsid w:val="008E0007"/>
    <w:rsid w:val="008E1F3C"/>
    <w:rsid w:val="008E1F65"/>
    <w:rsid w:val="008F33C8"/>
    <w:rsid w:val="0092062C"/>
    <w:rsid w:val="00920E54"/>
    <w:rsid w:val="00931B63"/>
    <w:rsid w:val="00944D53"/>
    <w:rsid w:val="00947E65"/>
    <w:rsid w:val="00954DA2"/>
    <w:rsid w:val="00956625"/>
    <w:rsid w:val="0099102D"/>
    <w:rsid w:val="009B1FD2"/>
    <w:rsid w:val="009B5769"/>
    <w:rsid w:val="009D3AC2"/>
    <w:rsid w:val="00A12120"/>
    <w:rsid w:val="00A1286F"/>
    <w:rsid w:val="00A218A7"/>
    <w:rsid w:val="00A26CED"/>
    <w:rsid w:val="00A3235D"/>
    <w:rsid w:val="00A35F67"/>
    <w:rsid w:val="00A6118B"/>
    <w:rsid w:val="00A75316"/>
    <w:rsid w:val="00AB47DC"/>
    <w:rsid w:val="00AE092A"/>
    <w:rsid w:val="00AF0610"/>
    <w:rsid w:val="00B33CB6"/>
    <w:rsid w:val="00B3566B"/>
    <w:rsid w:val="00B569A4"/>
    <w:rsid w:val="00B57B07"/>
    <w:rsid w:val="00B76BA3"/>
    <w:rsid w:val="00B944E1"/>
    <w:rsid w:val="00B94ACD"/>
    <w:rsid w:val="00BB5D82"/>
    <w:rsid w:val="00BB703A"/>
    <w:rsid w:val="00BD4EB2"/>
    <w:rsid w:val="00BF31B9"/>
    <w:rsid w:val="00BF66B1"/>
    <w:rsid w:val="00C16230"/>
    <w:rsid w:val="00C234D1"/>
    <w:rsid w:val="00C33A39"/>
    <w:rsid w:val="00C35504"/>
    <w:rsid w:val="00C56293"/>
    <w:rsid w:val="00C640EC"/>
    <w:rsid w:val="00C81526"/>
    <w:rsid w:val="00C932AB"/>
    <w:rsid w:val="00CC5A0C"/>
    <w:rsid w:val="00CD2DD9"/>
    <w:rsid w:val="00CD4303"/>
    <w:rsid w:val="00CD4B7F"/>
    <w:rsid w:val="00CE554B"/>
    <w:rsid w:val="00D00445"/>
    <w:rsid w:val="00D17A18"/>
    <w:rsid w:val="00D23C1E"/>
    <w:rsid w:val="00D31BB6"/>
    <w:rsid w:val="00D47EC0"/>
    <w:rsid w:val="00D877ED"/>
    <w:rsid w:val="00DA16C0"/>
    <w:rsid w:val="00DC300F"/>
    <w:rsid w:val="00E01D38"/>
    <w:rsid w:val="00E102AF"/>
    <w:rsid w:val="00E46192"/>
    <w:rsid w:val="00E5033E"/>
    <w:rsid w:val="00E53622"/>
    <w:rsid w:val="00E61349"/>
    <w:rsid w:val="00E64270"/>
    <w:rsid w:val="00E710F2"/>
    <w:rsid w:val="00E72973"/>
    <w:rsid w:val="00E73F71"/>
    <w:rsid w:val="00E80ECB"/>
    <w:rsid w:val="00E8130E"/>
    <w:rsid w:val="00E87A31"/>
    <w:rsid w:val="00EC0BCE"/>
    <w:rsid w:val="00EC63C6"/>
    <w:rsid w:val="00ED49A5"/>
    <w:rsid w:val="00EF4B20"/>
    <w:rsid w:val="00F126FC"/>
    <w:rsid w:val="00F20C09"/>
    <w:rsid w:val="00F255EC"/>
    <w:rsid w:val="00F53AF5"/>
    <w:rsid w:val="00F54BAA"/>
    <w:rsid w:val="00F658B2"/>
    <w:rsid w:val="00F70871"/>
    <w:rsid w:val="00F76026"/>
    <w:rsid w:val="00F91117"/>
    <w:rsid w:val="00F93645"/>
    <w:rsid w:val="00FA3062"/>
    <w:rsid w:val="00FB521D"/>
    <w:rsid w:val="00FC0DD9"/>
    <w:rsid w:val="00FC45D8"/>
    <w:rsid w:val="00FC66CE"/>
    <w:rsid w:val="00FD2F36"/>
    <w:rsid w:val="00FE5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3D"/>
    <w:pPr>
      <w:spacing w:after="0" w:line="240" w:lineRule="auto"/>
    </w:pPr>
    <w:rPr>
      <w:rFonts w:ascii="Times New Roman" w:eastAsia="MS Mincho" w:hAnsi="Times New Roman" w:cs="Times New Roman"/>
      <w:sz w:val="24"/>
      <w:szCs w:val="24"/>
      <w:lang w:val="es-ES_tradnl"/>
    </w:rPr>
  </w:style>
  <w:style w:type="paragraph" w:styleId="Heading4">
    <w:name w:val="heading 4"/>
    <w:basedOn w:val="Normal"/>
    <w:next w:val="Normal"/>
    <w:link w:val="Heading4Char"/>
    <w:qFormat/>
    <w:rsid w:val="001F743D"/>
    <w:pPr>
      <w:keepNext/>
      <w:spacing w:before="240" w:after="60"/>
      <w:outlineLvl w:val="3"/>
    </w:pPr>
    <w:rPr>
      <w:rFonts w:eastAsia="Times"/>
      <w:b/>
      <w:sz w:val="28"/>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43D"/>
    <w:pPr>
      <w:autoSpaceDE w:val="0"/>
      <w:autoSpaceDN w:val="0"/>
      <w:adjustRightInd w:val="0"/>
      <w:spacing w:after="0" w:line="240" w:lineRule="auto"/>
    </w:pPr>
    <w:rPr>
      <w:rFonts w:ascii="Verdana" w:eastAsia="Calibri" w:hAnsi="Verdana" w:cs="Verdana"/>
      <w:color w:val="000000"/>
      <w:sz w:val="24"/>
      <w:szCs w:val="24"/>
      <w:lang w:val="en-U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1,FA Fu?notent,FA Fu?notentext,ft"/>
    <w:basedOn w:val="Normal"/>
    <w:link w:val="FootnoteTextChar"/>
    <w:autoRedefine/>
    <w:qFormat/>
    <w:rsid w:val="00F658B2"/>
    <w:pPr>
      <w:tabs>
        <w:tab w:val="left" w:pos="720"/>
      </w:tabs>
      <w:spacing w:after="120"/>
      <w:jc w:val="both"/>
    </w:pPr>
    <w:rPr>
      <w:rFonts w:ascii="Verdana" w:eastAsia="Calibri" w:hAnsi="Verdana"/>
      <w:sz w:val="16"/>
      <w:szCs w:val="16"/>
    </w:rPr>
  </w:style>
  <w:style w:type="character" w:customStyle="1" w:styleId="TextonotapieCar">
    <w:name w:val="Texto nota pie Car"/>
    <w:basedOn w:val="DefaultParagraphFont"/>
    <w:uiPriority w:val="99"/>
    <w:semiHidden/>
    <w:rsid w:val="001F743D"/>
    <w:rPr>
      <w:rFonts w:ascii="Times New Roman" w:eastAsia="MS Mincho" w:hAnsi="Times New Roman" w:cs="Times New Roman"/>
      <w:sz w:val="20"/>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A Fu Car Char,FA Fu Car Car Char,Footnote Text Cha Char,FA Fußnotentext Char"/>
    <w:basedOn w:val="DefaultParagraphFont"/>
    <w:link w:val="FootnoteText"/>
    <w:qFormat/>
    <w:rsid w:val="00F658B2"/>
    <w:rPr>
      <w:rFonts w:ascii="Verdana" w:eastAsia="Calibri" w:hAnsi="Verdana" w:cs="Times New Roman"/>
      <w:sz w:val="16"/>
      <w:szCs w:val="16"/>
      <w:lang w:val="es-ES_tradnl"/>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1F743D"/>
    <w:rPr>
      <w:rFonts w:ascii="Verdana" w:hAnsi="Verdana" w:cs="Times New Roman"/>
      <w:sz w:val="16"/>
      <w:vertAlign w:val="superscript"/>
    </w:rPr>
  </w:style>
  <w:style w:type="paragraph" w:styleId="ListParagraph">
    <w:name w:val="List Paragraph"/>
    <w:aliases w:val="Colorful List - Accent 11,Footnote"/>
    <w:basedOn w:val="Normal"/>
    <w:link w:val="ListParagraphChar"/>
    <w:uiPriority w:val="34"/>
    <w:qFormat/>
    <w:rsid w:val="001F743D"/>
    <w:pPr>
      <w:ind w:left="720"/>
    </w:pPr>
    <w:rPr>
      <w:lang w:eastAsia="x-none"/>
    </w:rPr>
  </w:style>
  <w:style w:type="character" w:customStyle="1" w:styleId="ListParagraphChar">
    <w:name w:val="List Paragraph Char"/>
    <w:aliases w:val="Colorful List - Accent 11 Char,Footnote Char"/>
    <w:link w:val="ListParagraph"/>
    <w:uiPriority w:val="34"/>
    <w:locked/>
    <w:rsid w:val="001F743D"/>
    <w:rPr>
      <w:rFonts w:ascii="Times New Roman" w:eastAsia="MS Mincho" w:hAnsi="Times New Roman" w:cs="Times New Roman"/>
      <w:sz w:val="24"/>
      <w:szCs w:val="24"/>
      <w:lang w:val="es-ES_tradnl" w:eastAsia="x-none"/>
    </w:rPr>
  </w:style>
  <w:style w:type="character" w:customStyle="1" w:styleId="Heading4Char">
    <w:name w:val="Heading 4 Char"/>
    <w:basedOn w:val="DefaultParagraphFont"/>
    <w:link w:val="Heading4"/>
    <w:rsid w:val="001F743D"/>
    <w:rPr>
      <w:rFonts w:ascii="Times New Roman" w:eastAsia="Times" w:hAnsi="Times New Roman" w:cs="Times New Roman"/>
      <w:b/>
      <w:sz w:val="28"/>
      <w:szCs w:val="28"/>
      <w:lang w:val="es-ES_tradnl" w:eastAsia="es-ES"/>
    </w:rPr>
  </w:style>
  <w:style w:type="character" w:styleId="CommentReference">
    <w:name w:val="annotation reference"/>
    <w:basedOn w:val="DefaultParagraphFont"/>
    <w:uiPriority w:val="99"/>
    <w:semiHidden/>
    <w:unhideWhenUsed/>
    <w:rsid w:val="00BF31B9"/>
    <w:rPr>
      <w:sz w:val="16"/>
      <w:szCs w:val="16"/>
    </w:rPr>
  </w:style>
  <w:style w:type="paragraph" w:styleId="CommentText">
    <w:name w:val="annotation text"/>
    <w:basedOn w:val="Normal"/>
    <w:link w:val="CommentTextChar"/>
    <w:uiPriority w:val="99"/>
    <w:semiHidden/>
    <w:unhideWhenUsed/>
    <w:rsid w:val="00BF31B9"/>
    <w:rPr>
      <w:sz w:val="20"/>
      <w:szCs w:val="20"/>
    </w:rPr>
  </w:style>
  <w:style w:type="character" w:customStyle="1" w:styleId="CommentTextChar">
    <w:name w:val="Comment Text Char"/>
    <w:basedOn w:val="DefaultParagraphFont"/>
    <w:link w:val="CommentText"/>
    <w:uiPriority w:val="99"/>
    <w:semiHidden/>
    <w:rsid w:val="00BF31B9"/>
    <w:rPr>
      <w:rFonts w:ascii="Times New Roman" w:eastAsia="MS Mincho"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BF31B9"/>
    <w:rPr>
      <w:b/>
      <w:bCs/>
    </w:rPr>
  </w:style>
  <w:style w:type="character" w:customStyle="1" w:styleId="CommentSubjectChar">
    <w:name w:val="Comment Subject Char"/>
    <w:basedOn w:val="CommentTextChar"/>
    <w:link w:val="CommentSubject"/>
    <w:uiPriority w:val="99"/>
    <w:semiHidden/>
    <w:rsid w:val="00BF31B9"/>
    <w:rPr>
      <w:rFonts w:ascii="Times New Roman" w:eastAsia="MS Mincho" w:hAnsi="Times New Roman" w:cs="Times New Roman"/>
      <w:b/>
      <w:bCs/>
      <w:sz w:val="20"/>
      <w:szCs w:val="20"/>
      <w:lang w:val="es-ES_tradnl"/>
    </w:rPr>
  </w:style>
  <w:style w:type="paragraph" w:styleId="BalloonText">
    <w:name w:val="Balloon Text"/>
    <w:basedOn w:val="Normal"/>
    <w:link w:val="BalloonTextChar"/>
    <w:uiPriority w:val="99"/>
    <w:semiHidden/>
    <w:unhideWhenUsed/>
    <w:rsid w:val="00BF31B9"/>
    <w:rPr>
      <w:rFonts w:ascii="Tahoma" w:hAnsi="Tahoma" w:cs="Tahoma"/>
      <w:sz w:val="16"/>
      <w:szCs w:val="16"/>
    </w:rPr>
  </w:style>
  <w:style w:type="character" w:customStyle="1" w:styleId="BalloonTextChar">
    <w:name w:val="Balloon Text Char"/>
    <w:basedOn w:val="DefaultParagraphFont"/>
    <w:link w:val="BalloonText"/>
    <w:uiPriority w:val="99"/>
    <w:semiHidden/>
    <w:rsid w:val="00BF31B9"/>
    <w:rPr>
      <w:rFonts w:ascii="Tahoma" w:eastAsia="MS Mincho" w:hAnsi="Tahoma" w:cs="Tahoma"/>
      <w:sz w:val="16"/>
      <w:szCs w:val="16"/>
      <w:lang w:val="es-ES_tradnl"/>
    </w:rPr>
  </w:style>
  <w:style w:type="character" w:styleId="Strong">
    <w:name w:val="Strong"/>
    <w:basedOn w:val="DefaultParagraphFont"/>
    <w:uiPriority w:val="22"/>
    <w:qFormat/>
    <w:rsid w:val="00E5033E"/>
    <w:rPr>
      <w:b/>
      <w:bCs/>
    </w:rPr>
  </w:style>
  <w:style w:type="character" w:styleId="Hyperlink">
    <w:name w:val="Hyperlink"/>
    <w:basedOn w:val="DefaultParagraphFont"/>
    <w:uiPriority w:val="99"/>
    <w:unhideWhenUsed/>
    <w:rsid w:val="00CD2DD9"/>
    <w:rPr>
      <w:color w:val="0563C1" w:themeColor="hyperlink"/>
      <w:u w:val="single"/>
    </w:rPr>
  </w:style>
  <w:style w:type="character" w:styleId="FollowedHyperlink">
    <w:name w:val="FollowedHyperlink"/>
    <w:basedOn w:val="DefaultParagraphFont"/>
    <w:uiPriority w:val="99"/>
    <w:semiHidden/>
    <w:unhideWhenUsed/>
    <w:rsid w:val="00A26CED"/>
    <w:rPr>
      <w:color w:val="954F72"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4597D"/>
    <w:pPr>
      <w:jc w:val="both"/>
    </w:pPr>
    <w:rPr>
      <w:rFonts w:ascii="Verdana" w:eastAsiaTheme="minorHAnsi" w:hAnsi="Verdana"/>
      <w:sz w:val="16"/>
      <w:szCs w:val="22"/>
      <w:vertAlign w:val="superscript"/>
      <w:lang w:val="es-ES"/>
    </w:rPr>
  </w:style>
  <w:style w:type="character" w:styleId="LineNumber">
    <w:name w:val="line number"/>
    <w:basedOn w:val="DefaultParagraphFont"/>
    <w:uiPriority w:val="99"/>
    <w:semiHidden/>
    <w:unhideWhenUsed/>
    <w:rsid w:val="0004597D"/>
  </w:style>
  <w:style w:type="paragraph" w:styleId="Header">
    <w:name w:val="header"/>
    <w:basedOn w:val="Normal"/>
    <w:link w:val="HeaderChar"/>
    <w:uiPriority w:val="99"/>
    <w:unhideWhenUsed/>
    <w:rsid w:val="0084066B"/>
    <w:pPr>
      <w:tabs>
        <w:tab w:val="center" w:pos="4680"/>
        <w:tab w:val="right" w:pos="9360"/>
      </w:tabs>
    </w:pPr>
  </w:style>
  <w:style w:type="character" w:customStyle="1" w:styleId="HeaderChar">
    <w:name w:val="Header Char"/>
    <w:basedOn w:val="DefaultParagraphFont"/>
    <w:link w:val="Header"/>
    <w:uiPriority w:val="99"/>
    <w:rsid w:val="0084066B"/>
    <w:rPr>
      <w:rFonts w:ascii="Times New Roman" w:eastAsia="MS Mincho" w:hAnsi="Times New Roman" w:cs="Times New Roman"/>
      <w:sz w:val="24"/>
      <w:szCs w:val="24"/>
      <w:lang w:val="es-ES_tradnl"/>
    </w:rPr>
  </w:style>
  <w:style w:type="paragraph" w:styleId="Footer">
    <w:name w:val="footer"/>
    <w:basedOn w:val="Normal"/>
    <w:link w:val="FooterChar"/>
    <w:uiPriority w:val="99"/>
    <w:unhideWhenUsed/>
    <w:rsid w:val="0084066B"/>
    <w:pPr>
      <w:tabs>
        <w:tab w:val="center" w:pos="4680"/>
        <w:tab w:val="right" w:pos="9360"/>
      </w:tabs>
    </w:pPr>
  </w:style>
  <w:style w:type="character" w:customStyle="1" w:styleId="FooterChar">
    <w:name w:val="Footer Char"/>
    <w:basedOn w:val="DefaultParagraphFont"/>
    <w:link w:val="Footer"/>
    <w:uiPriority w:val="99"/>
    <w:rsid w:val="0084066B"/>
    <w:rPr>
      <w:rFonts w:ascii="Times New Roman" w:eastAsia="MS Mincho" w:hAnsi="Times New Roman" w:cs="Times New Roman"/>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43D"/>
    <w:pPr>
      <w:spacing w:after="0" w:line="240" w:lineRule="auto"/>
    </w:pPr>
    <w:rPr>
      <w:rFonts w:ascii="Times New Roman" w:eastAsia="MS Mincho" w:hAnsi="Times New Roman" w:cs="Times New Roman"/>
      <w:sz w:val="24"/>
      <w:szCs w:val="24"/>
      <w:lang w:val="es-ES_tradnl"/>
    </w:rPr>
  </w:style>
  <w:style w:type="paragraph" w:styleId="Heading4">
    <w:name w:val="heading 4"/>
    <w:basedOn w:val="Normal"/>
    <w:next w:val="Normal"/>
    <w:link w:val="Heading4Char"/>
    <w:qFormat/>
    <w:rsid w:val="001F743D"/>
    <w:pPr>
      <w:keepNext/>
      <w:spacing w:before="240" w:after="60"/>
      <w:outlineLvl w:val="3"/>
    </w:pPr>
    <w:rPr>
      <w:rFonts w:eastAsia="Times"/>
      <w:b/>
      <w:sz w:val="28"/>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743D"/>
    <w:pPr>
      <w:autoSpaceDE w:val="0"/>
      <w:autoSpaceDN w:val="0"/>
      <w:adjustRightInd w:val="0"/>
      <w:spacing w:after="0" w:line="240" w:lineRule="auto"/>
    </w:pPr>
    <w:rPr>
      <w:rFonts w:ascii="Verdana" w:eastAsia="Calibri" w:hAnsi="Verdana" w:cs="Verdana"/>
      <w:color w:val="000000"/>
      <w:sz w:val="24"/>
      <w:szCs w:val="24"/>
      <w:lang w:val="en-US"/>
    </w:rPr>
  </w:style>
  <w:style w:type="paragraph" w:styleId="FootnoteText">
    <w:name w:val="footnote text"/>
    <w:aliases w:val="Footnote Text Char Char Char Char Char,Footnote Text Char Char Char Char,Footnote reference,FA Fu,Footnote Text Char Char Char,FA Fu Car,FA Fu Car Car,Footnote Text Cha,FA Fußnotentext,FA Fuﬂnotentext,Ca,f1,FA Fu?notent,FA Fu?notentext,ft"/>
    <w:basedOn w:val="Normal"/>
    <w:link w:val="FootnoteTextChar"/>
    <w:autoRedefine/>
    <w:qFormat/>
    <w:rsid w:val="00F658B2"/>
    <w:pPr>
      <w:tabs>
        <w:tab w:val="left" w:pos="720"/>
      </w:tabs>
      <w:spacing w:after="120"/>
      <w:jc w:val="both"/>
    </w:pPr>
    <w:rPr>
      <w:rFonts w:ascii="Verdana" w:eastAsia="Calibri" w:hAnsi="Verdana"/>
      <w:sz w:val="16"/>
      <w:szCs w:val="16"/>
    </w:rPr>
  </w:style>
  <w:style w:type="character" w:customStyle="1" w:styleId="TextonotapieCar">
    <w:name w:val="Texto nota pie Car"/>
    <w:basedOn w:val="DefaultParagraphFont"/>
    <w:uiPriority w:val="99"/>
    <w:semiHidden/>
    <w:rsid w:val="001F743D"/>
    <w:rPr>
      <w:rFonts w:ascii="Times New Roman" w:eastAsia="MS Mincho" w:hAnsi="Times New Roman" w:cs="Times New Roman"/>
      <w:sz w:val="20"/>
      <w:szCs w:val="20"/>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A Fu Car Char,FA Fu Car Car Char,Footnote Text Cha Char,FA Fußnotentext Char"/>
    <w:basedOn w:val="DefaultParagraphFont"/>
    <w:link w:val="FootnoteText"/>
    <w:qFormat/>
    <w:rsid w:val="00F658B2"/>
    <w:rPr>
      <w:rFonts w:ascii="Verdana" w:eastAsia="Calibri" w:hAnsi="Verdana" w:cs="Times New Roman"/>
      <w:sz w:val="16"/>
      <w:szCs w:val="16"/>
      <w:lang w:val="es-ES_tradnl"/>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iPriority w:val="99"/>
    <w:qFormat/>
    <w:rsid w:val="001F743D"/>
    <w:rPr>
      <w:rFonts w:ascii="Verdana" w:hAnsi="Verdana" w:cs="Times New Roman"/>
      <w:sz w:val="16"/>
      <w:vertAlign w:val="superscript"/>
    </w:rPr>
  </w:style>
  <w:style w:type="paragraph" w:styleId="ListParagraph">
    <w:name w:val="List Paragraph"/>
    <w:aliases w:val="Colorful List - Accent 11,Footnote"/>
    <w:basedOn w:val="Normal"/>
    <w:link w:val="ListParagraphChar"/>
    <w:uiPriority w:val="34"/>
    <w:qFormat/>
    <w:rsid w:val="001F743D"/>
    <w:pPr>
      <w:ind w:left="720"/>
    </w:pPr>
    <w:rPr>
      <w:lang w:eastAsia="x-none"/>
    </w:rPr>
  </w:style>
  <w:style w:type="character" w:customStyle="1" w:styleId="ListParagraphChar">
    <w:name w:val="List Paragraph Char"/>
    <w:aliases w:val="Colorful List - Accent 11 Char,Footnote Char"/>
    <w:link w:val="ListParagraph"/>
    <w:uiPriority w:val="34"/>
    <w:locked/>
    <w:rsid w:val="001F743D"/>
    <w:rPr>
      <w:rFonts w:ascii="Times New Roman" w:eastAsia="MS Mincho" w:hAnsi="Times New Roman" w:cs="Times New Roman"/>
      <w:sz w:val="24"/>
      <w:szCs w:val="24"/>
      <w:lang w:val="es-ES_tradnl" w:eastAsia="x-none"/>
    </w:rPr>
  </w:style>
  <w:style w:type="character" w:customStyle="1" w:styleId="Heading4Char">
    <w:name w:val="Heading 4 Char"/>
    <w:basedOn w:val="DefaultParagraphFont"/>
    <w:link w:val="Heading4"/>
    <w:rsid w:val="001F743D"/>
    <w:rPr>
      <w:rFonts w:ascii="Times New Roman" w:eastAsia="Times" w:hAnsi="Times New Roman" w:cs="Times New Roman"/>
      <w:b/>
      <w:sz w:val="28"/>
      <w:szCs w:val="28"/>
      <w:lang w:val="es-ES_tradnl" w:eastAsia="es-ES"/>
    </w:rPr>
  </w:style>
  <w:style w:type="character" w:styleId="CommentReference">
    <w:name w:val="annotation reference"/>
    <w:basedOn w:val="DefaultParagraphFont"/>
    <w:uiPriority w:val="99"/>
    <w:semiHidden/>
    <w:unhideWhenUsed/>
    <w:rsid w:val="00BF31B9"/>
    <w:rPr>
      <w:sz w:val="16"/>
      <w:szCs w:val="16"/>
    </w:rPr>
  </w:style>
  <w:style w:type="paragraph" w:styleId="CommentText">
    <w:name w:val="annotation text"/>
    <w:basedOn w:val="Normal"/>
    <w:link w:val="CommentTextChar"/>
    <w:uiPriority w:val="99"/>
    <w:semiHidden/>
    <w:unhideWhenUsed/>
    <w:rsid w:val="00BF31B9"/>
    <w:rPr>
      <w:sz w:val="20"/>
      <w:szCs w:val="20"/>
    </w:rPr>
  </w:style>
  <w:style w:type="character" w:customStyle="1" w:styleId="CommentTextChar">
    <w:name w:val="Comment Text Char"/>
    <w:basedOn w:val="DefaultParagraphFont"/>
    <w:link w:val="CommentText"/>
    <w:uiPriority w:val="99"/>
    <w:semiHidden/>
    <w:rsid w:val="00BF31B9"/>
    <w:rPr>
      <w:rFonts w:ascii="Times New Roman" w:eastAsia="MS Mincho" w:hAnsi="Times New Roman" w:cs="Times New Roman"/>
      <w:sz w:val="20"/>
      <w:szCs w:val="20"/>
      <w:lang w:val="es-ES_tradnl"/>
    </w:rPr>
  </w:style>
  <w:style w:type="paragraph" w:styleId="CommentSubject">
    <w:name w:val="annotation subject"/>
    <w:basedOn w:val="CommentText"/>
    <w:next w:val="CommentText"/>
    <w:link w:val="CommentSubjectChar"/>
    <w:uiPriority w:val="99"/>
    <w:semiHidden/>
    <w:unhideWhenUsed/>
    <w:rsid w:val="00BF31B9"/>
    <w:rPr>
      <w:b/>
      <w:bCs/>
    </w:rPr>
  </w:style>
  <w:style w:type="character" w:customStyle="1" w:styleId="CommentSubjectChar">
    <w:name w:val="Comment Subject Char"/>
    <w:basedOn w:val="CommentTextChar"/>
    <w:link w:val="CommentSubject"/>
    <w:uiPriority w:val="99"/>
    <w:semiHidden/>
    <w:rsid w:val="00BF31B9"/>
    <w:rPr>
      <w:rFonts w:ascii="Times New Roman" w:eastAsia="MS Mincho" w:hAnsi="Times New Roman" w:cs="Times New Roman"/>
      <w:b/>
      <w:bCs/>
      <w:sz w:val="20"/>
      <w:szCs w:val="20"/>
      <w:lang w:val="es-ES_tradnl"/>
    </w:rPr>
  </w:style>
  <w:style w:type="paragraph" w:styleId="BalloonText">
    <w:name w:val="Balloon Text"/>
    <w:basedOn w:val="Normal"/>
    <w:link w:val="BalloonTextChar"/>
    <w:uiPriority w:val="99"/>
    <w:semiHidden/>
    <w:unhideWhenUsed/>
    <w:rsid w:val="00BF31B9"/>
    <w:rPr>
      <w:rFonts w:ascii="Tahoma" w:hAnsi="Tahoma" w:cs="Tahoma"/>
      <w:sz w:val="16"/>
      <w:szCs w:val="16"/>
    </w:rPr>
  </w:style>
  <w:style w:type="character" w:customStyle="1" w:styleId="BalloonTextChar">
    <w:name w:val="Balloon Text Char"/>
    <w:basedOn w:val="DefaultParagraphFont"/>
    <w:link w:val="BalloonText"/>
    <w:uiPriority w:val="99"/>
    <w:semiHidden/>
    <w:rsid w:val="00BF31B9"/>
    <w:rPr>
      <w:rFonts w:ascii="Tahoma" w:eastAsia="MS Mincho" w:hAnsi="Tahoma" w:cs="Tahoma"/>
      <w:sz w:val="16"/>
      <w:szCs w:val="16"/>
      <w:lang w:val="es-ES_tradnl"/>
    </w:rPr>
  </w:style>
  <w:style w:type="character" w:styleId="Strong">
    <w:name w:val="Strong"/>
    <w:basedOn w:val="DefaultParagraphFont"/>
    <w:uiPriority w:val="22"/>
    <w:qFormat/>
    <w:rsid w:val="00E5033E"/>
    <w:rPr>
      <w:b/>
      <w:bCs/>
    </w:rPr>
  </w:style>
  <w:style w:type="character" w:styleId="Hyperlink">
    <w:name w:val="Hyperlink"/>
    <w:basedOn w:val="DefaultParagraphFont"/>
    <w:uiPriority w:val="99"/>
    <w:unhideWhenUsed/>
    <w:rsid w:val="00CD2DD9"/>
    <w:rPr>
      <w:color w:val="0563C1" w:themeColor="hyperlink"/>
      <w:u w:val="single"/>
    </w:rPr>
  </w:style>
  <w:style w:type="character" w:styleId="FollowedHyperlink">
    <w:name w:val="FollowedHyperlink"/>
    <w:basedOn w:val="DefaultParagraphFont"/>
    <w:uiPriority w:val="99"/>
    <w:semiHidden/>
    <w:unhideWhenUsed/>
    <w:rsid w:val="00A26CED"/>
    <w:rPr>
      <w:color w:val="954F72" w:themeColor="followed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04597D"/>
    <w:pPr>
      <w:jc w:val="both"/>
    </w:pPr>
    <w:rPr>
      <w:rFonts w:ascii="Verdana" w:eastAsiaTheme="minorHAnsi" w:hAnsi="Verdana"/>
      <w:sz w:val="16"/>
      <w:szCs w:val="22"/>
      <w:vertAlign w:val="superscript"/>
      <w:lang w:val="es-ES"/>
    </w:rPr>
  </w:style>
  <w:style w:type="character" w:styleId="LineNumber">
    <w:name w:val="line number"/>
    <w:basedOn w:val="DefaultParagraphFont"/>
    <w:uiPriority w:val="99"/>
    <w:semiHidden/>
    <w:unhideWhenUsed/>
    <w:rsid w:val="0004597D"/>
  </w:style>
  <w:style w:type="paragraph" w:styleId="Header">
    <w:name w:val="header"/>
    <w:basedOn w:val="Normal"/>
    <w:link w:val="HeaderChar"/>
    <w:uiPriority w:val="99"/>
    <w:unhideWhenUsed/>
    <w:rsid w:val="0084066B"/>
    <w:pPr>
      <w:tabs>
        <w:tab w:val="center" w:pos="4680"/>
        <w:tab w:val="right" w:pos="9360"/>
      </w:tabs>
    </w:pPr>
  </w:style>
  <w:style w:type="character" w:customStyle="1" w:styleId="HeaderChar">
    <w:name w:val="Header Char"/>
    <w:basedOn w:val="DefaultParagraphFont"/>
    <w:link w:val="Header"/>
    <w:uiPriority w:val="99"/>
    <w:rsid w:val="0084066B"/>
    <w:rPr>
      <w:rFonts w:ascii="Times New Roman" w:eastAsia="MS Mincho" w:hAnsi="Times New Roman" w:cs="Times New Roman"/>
      <w:sz w:val="24"/>
      <w:szCs w:val="24"/>
      <w:lang w:val="es-ES_tradnl"/>
    </w:rPr>
  </w:style>
  <w:style w:type="paragraph" w:styleId="Footer">
    <w:name w:val="footer"/>
    <w:basedOn w:val="Normal"/>
    <w:link w:val="FooterChar"/>
    <w:uiPriority w:val="99"/>
    <w:unhideWhenUsed/>
    <w:rsid w:val="0084066B"/>
    <w:pPr>
      <w:tabs>
        <w:tab w:val="center" w:pos="4680"/>
        <w:tab w:val="right" w:pos="9360"/>
      </w:tabs>
    </w:pPr>
  </w:style>
  <w:style w:type="character" w:customStyle="1" w:styleId="FooterChar">
    <w:name w:val="Footer Char"/>
    <w:basedOn w:val="DefaultParagraphFont"/>
    <w:link w:val="Footer"/>
    <w:uiPriority w:val="99"/>
    <w:rsid w:val="0084066B"/>
    <w:rPr>
      <w:rFonts w:ascii="Times New Roman" w:eastAsia="MS Mincho" w:hAnsi="Times New Roman"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4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s/cidh/decisiones/2017/ESAD242-07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7B1AB-DC0D-4EE2-A5C3-60452B8F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2852</Words>
  <Characters>15690</Characters>
  <Application>Microsoft Office Word</Application>
  <DocSecurity>4</DocSecurity>
  <Lines>130</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2018-10-05T16:48:00Z</cp:lastPrinted>
  <dcterms:created xsi:type="dcterms:W3CDTF">2018-10-06T00:06:00Z</dcterms:created>
  <dcterms:modified xsi:type="dcterms:W3CDTF">2018-10-06T00:06:00Z</dcterms:modified>
</cp:coreProperties>
</file>