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24C" w:rsidRDefault="000D224C" w:rsidP="00771DF4">
      <w:pPr>
        <w:tabs>
          <w:tab w:val="left" w:pos="567"/>
        </w:tabs>
        <w:spacing w:after="0" w:line="240" w:lineRule="auto"/>
        <w:jc w:val="center"/>
        <w:rPr>
          <w:rFonts w:ascii="Verdana" w:hAnsi="Verdana"/>
          <w:b/>
          <w:spacing w:val="-4"/>
          <w:sz w:val="20"/>
          <w:lang w:val="es-MX"/>
        </w:rPr>
      </w:pPr>
      <w:bookmarkStart w:id="0" w:name="_GoBack"/>
      <w:bookmarkEnd w:id="0"/>
    </w:p>
    <w:p w:rsidR="000D224C" w:rsidRDefault="000D224C" w:rsidP="00771DF4">
      <w:pPr>
        <w:tabs>
          <w:tab w:val="left" w:pos="567"/>
        </w:tabs>
        <w:spacing w:after="0" w:line="240" w:lineRule="auto"/>
        <w:jc w:val="center"/>
        <w:rPr>
          <w:rFonts w:ascii="Verdana" w:hAnsi="Verdana"/>
          <w:b/>
          <w:spacing w:val="-4"/>
          <w:sz w:val="20"/>
          <w:lang w:val="es-MX"/>
        </w:rPr>
      </w:pPr>
    </w:p>
    <w:p w:rsidR="000D224C" w:rsidRDefault="000D224C" w:rsidP="00771DF4">
      <w:pPr>
        <w:tabs>
          <w:tab w:val="left" w:pos="567"/>
        </w:tabs>
        <w:spacing w:after="0" w:line="240" w:lineRule="auto"/>
        <w:jc w:val="center"/>
        <w:rPr>
          <w:rFonts w:ascii="Verdana" w:hAnsi="Verdana"/>
          <w:b/>
          <w:spacing w:val="-4"/>
          <w:sz w:val="20"/>
          <w:lang w:val="es-MX"/>
        </w:rPr>
      </w:pPr>
    </w:p>
    <w:p w:rsidR="000D224C" w:rsidRDefault="000D224C" w:rsidP="00771DF4">
      <w:pPr>
        <w:tabs>
          <w:tab w:val="left" w:pos="567"/>
        </w:tabs>
        <w:spacing w:after="0" w:line="240" w:lineRule="auto"/>
        <w:jc w:val="center"/>
        <w:rPr>
          <w:rFonts w:ascii="Verdana" w:hAnsi="Verdana"/>
          <w:b/>
          <w:spacing w:val="-4"/>
          <w:sz w:val="20"/>
          <w:lang w:val="es-MX"/>
        </w:rPr>
      </w:pPr>
    </w:p>
    <w:p w:rsidR="000D224C" w:rsidRDefault="000D224C" w:rsidP="00771DF4">
      <w:pPr>
        <w:tabs>
          <w:tab w:val="left" w:pos="567"/>
        </w:tabs>
        <w:spacing w:after="0" w:line="240" w:lineRule="auto"/>
        <w:jc w:val="center"/>
        <w:rPr>
          <w:rFonts w:ascii="Verdana" w:hAnsi="Verdana"/>
          <w:b/>
          <w:spacing w:val="-4"/>
          <w:sz w:val="20"/>
          <w:lang w:val="es-MX"/>
        </w:rPr>
      </w:pPr>
    </w:p>
    <w:p w:rsidR="000D224C" w:rsidRDefault="000D224C" w:rsidP="00771DF4">
      <w:pPr>
        <w:tabs>
          <w:tab w:val="left" w:pos="567"/>
        </w:tabs>
        <w:spacing w:after="0" w:line="240" w:lineRule="auto"/>
        <w:jc w:val="center"/>
        <w:rPr>
          <w:rFonts w:ascii="Verdana" w:hAnsi="Verdana"/>
          <w:b/>
          <w:spacing w:val="-4"/>
          <w:sz w:val="20"/>
          <w:lang w:val="es-MX"/>
        </w:rPr>
      </w:pPr>
    </w:p>
    <w:p w:rsidR="00557B48" w:rsidRDefault="00557B48" w:rsidP="00771DF4">
      <w:pPr>
        <w:tabs>
          <w:tab w:val="left" w:pos="567"/>
        </w:tabs>
        <w:spacing w:after="0" w:line="240" w:lineRule="auto"/>
        <w:jc w:val="center"/>
        <w:rPr>
          <w:rFonts w:ascii="Verdana" w:hAnsi="Verdana"/>
          <w:b/>
          <w:spacing w:val="-4"/>
          <w:sz w:val="20"/>
          <w:lang w:val="es-MX"/>
        </w:rPr>
      </w:pPr>
      <w:r>
        <w:rPr>
          <w:rFonts w:ascii="Verdana" w:hAnsi="Verdana"/>
          <w:b/>
          <w:spacing w:val="-4"/>
          <w:sz w:val="20"/>
          <w:lang w:val="es-MX"/>
        </w:rPr>
        <w:t xml:space="preserve">RESOLUCIÓN DE LA </w:t>
      </w:r>
    </w:p>
    <w:p w:rsidR="00557B48" w:rsidRDefault="00557B48" w:rsidP="00771DF4">
      <w:pPr>
        <w:tabs>
          <w:tab w:val="left" w:pos="567"/>
        </w:tabs>
        <w:spacing w:after="0" w:line="240" w:lineRule="auto"/>
        <w:jc w:val="center"/>
        <w:rPr>
          <w:rFonts w:ascii="Verdana" w:hAnsi="Verdana"/>
          <w:b/>
          <w:spacing w:val="-4"/>
          <w:sz w:val="20"/>
          <w:lang w:val="es-MX"/>
        </w:rPr>
      </w:pPr>
      <w:r>
        <w:rPr>
          <w:rFonts w:ascii="Verdana" w:hAnsi="Verdana"/>
          <w:b/>
          <w:spacing w:val="-4"/>
          <w:sz w:val="20"/>
          <w:lang w:val="es-MX"/>
        </w:rPr>
        <w:t>CORTE INTERAMERICANA DE DERECHOS HUMANOS</w:t>
      </w:r>
    </w:p>
    <w:p w:rsidR="00771DF4" w:rsidRPr="00643621" w:rsidRDefault="00771DF4" w:rsidP="00771DF4">
      <w:pPr>
        <w:tabs>
          <w:tab w:val="left" w:pos="567"/>
        </w:tabs>
        <w:spacing w:after="0" w:line="240" w:lineRule="auto"/>
        <w:jc w:val="center"/>
        <w:rPr>
          <w:rFonts w:ascii="Garamond" w:hAnsi="Garamond"/>
          <w:b/>
          <w:spacing w:val="-4"/>
          <w:sz w:val="24"/>
          <w:lang w:val="es-ES_tradnl"/>
        </w:rPr>
      </w:pPr>
    </w:p>
    <w:p w:rsidR="00557B48" w:rsidRDefault="00557B48" w:rsidP="00771DF4">
      <w:pPr>
        <w:tabs>
          <w:tab w:val="left" w:pos="567"/>
        </w:tabs>
        <w:spacing w:after="0" w:line="240" w:lineRule="auto"/>
        <w:jc w:val="center"/>
        <w:rPr>
          <w:rFonts w:ascii="Verdana" w:hAnsi="Verdana"/>
          <w:b/>
          <w:spacing w:val="-4"/>
          <w:sz w:val="20"/>
          <w:lang w:val="es-MX"/>
        </w:rPr>
      </w:pPr>
      <w:r w:rsidRPr="00A51E73">
        <w:rPr>
          <w:rFonts w:ascii="Verdana" w:hAnsi="Verdana"/>
          <w:b/>
          <w:spacing w:val="-4"/>
          <w:sz w:val="20"/>
          <w:lang w:val="es-MX"/>
        </w:rPr>
        <w:t xml:space="preserve">DE </w:t>
      </w:r>
      <w:r w:rsidR="00237414">
        <w:rPr>
          <w:rFonts w:ascii="Verdana" w:hAnsi="Verdana"/>
          <w:b/>
          <w:spacing w:val="-4"/>
          <w:sz w:val="20"/>
          <w:lang w:val="es-GT"/>
        </w:rPr>
        <w:t>1</w:t>
      </w:r>
      <w:r w:rsidR="00A51E73">
        <w:rPr>
          <w:rFonts w:ascii="Verdana" w:hAnsi="Verdana"/>
          <w:b/>
          <w:spacing w:val="-4"/>
          <w:sz w:val="20"/>
          <w:lang w:val="es-GT"/>
        </w:rPr>
        <w:t xml:space="preserve"> DE </w:t>
      </w:r>
      <w:r w:rsidR="00485F28">
        <w:rPr>
          <w:rFonts w:ascii="Verdana" w:hAnsi="Verdana"/>
          <w:b/>
          <w:spacing w:val="-4"/>
          <w:sz w:val="20"/>
          <w:lang w:val="es-GT"/>
        </w:rPr>
        <w:t>SEPTIEMBRE</w:t>
      </w:r>
      <w:r w:rsidR="00643621" w:rsidRPr="00A51E73">
        <w:rPr>
          <w:rFonts w:ascii="Verdana" w:hAnsi="Verdana"/>
          <w:b/>
          <w:spacing w:val="-4"/>
          <w:sz w:val="20"/>
          <w:lang w:val="es-MX"/>
        </w:rPr>
        <w:t xml:space="preserve"> DE 2016</w:t>
      </w:r>
    </w:p>
    <w:p w:rsidR="00771DF4" w:rsidRPr="00A51E73" w:rsidRDefault="00771DF4" w:rsidP="00771DF4">
      <w:pPr>
        <w:tabs>
          <w:tab w:val="left" w:pos="567"/>
        </w:tabs>
        <w:spacing w:after="0" w:line="240" w:lineRule="auto"/>
        <w:jc w:val="center"/>
        <w:rPr>
          <w:rFonts w:ascii="Verdana" w:hAnsi="Verdana"/>
          <w:b/>
          <w:spacing w:val="-4"/>
          <w:sz w:val="20"/>
          <w:lang w:val="es-MX"/>
        </w:rPr>
      </w:pPr>
    </w:p>
    <w:p w:rsidR="000857BA" w:rsidRDefault="00557B48" w:rsidP="00771DF4">
      <w:pPr>
        <w:tabs>
          <w:tab w:val="left" w:pos="567"/>
        </w:tabs>
        <w:spacing w:after="0" w:line="240" w:lineRule="auto"/>
        <w:jc w:val="center"/>
        <w:rPr>
          <w:rFonts w:ascii="Verdana" w:hAnsi="Verdana"/>
          <w:b/>
          <w:spacing w:val="-4"/>
          <w:sz w:val="20"/>
          <w:lang w:val="es-MX"/>
        </w:rPr>
      </w:pPr>
      <w:r w:rsidRPr="00A728EA">
        <w:rPr>
          <w:rFonts w:ascii="Verdana" w:hAnsi="Verdana"/>
          <w:b/>
          <w:spacing w:val="-4"/>
          <w:sz w:val="20"/>
          <w:lang w:val="es-MX"/>
        </w:rPr>
        <w:t>SOLICITUD</w:t>
      </w:r>
      <w:r>
        <w:rPr>
          <w:rFonts w:ascii="Verdana" w:hAnsi="Verdana"/>
          <w:b/>
          <w:spacing w:val="-4"/>
          <w:sz w:val="20"/>
          <w:lang w:val="es-MX"/>
        </w:rPr>
        <w:t xml:space="preserve"> DE MEDIDAS PROVISIONALES </w:t>
      </w:r>
    </w:p>
    <w:p w:rsidR="00557B48" w:rsidRDefault="000857BA" w:rsidP="00771DF4">
      <w:pPr>
        <w:tabs>
          <w:tab w:val="left" w:pos="567"/>
        </w:tabs>
        <w:spacing w:after="0" w:line="240" w:lineRule="auto"/>
        <w:jc w:val="center"/>
        <w:rPr>
          <w:rFonts w:ascii="Verdana" w:hAnsi="Verdana"/>
          <w:b/>
          <w:spacing w:val="-4"/>
          <w:sz w:val="20"/>
          <w:lang w:val="es-MX"/>
        </w:rPr>
      </w:pPr>
      <w:r>
        <w:rPr>
          <w:rFonts w:ascii="Verdana" w:hAnsi="Verdana"/>
          <w:b/>
          <w:spacing w:val="-4"/>
          <w:sz w:val="20"/>
          <w:lang w:val="es-MX"/>
        </w:rPr>
        <w:t>RESPECTO NICARAGUA</w:t>
      </w:r>
    </w:p>
    <w:p w:rsidR="000857BA" w:rsidRDefault="000857BA" w:rsidP="00771DF4">
      <w:pPr>
        <w:tabs>
          <w:tab w:val="left" w:pos="567"/>
        </w:tabs>
        <w:spacing w:after="0" w:line="240" w:lineRule="auto"/>
        <w:jc w:val="center"/>
        <w:rPr>
          <w:rFonts w:ascii="Verdana" w:hAnsi="Verdana"/>
          <w:b/>
          <w:spacing w:val="-4"/>
          <w:sz w:val="20"/>
          <w:lang w:val="es-MX"/>
        </w:rPr>
      </w:pPr>
    </w:p>
    <w:p w:rsidR="000857BA" w:rsidRDefault="000857BA" w:rsidP="00771DF4">
      <w:pPr>
        <w:tabs>
          <w:tab w:val="left" w:pos="567"/>
        </w:tabs>
        <w:spacing w:after="0" w:line="240" w:lineRule="auto"/>
        <w:jc w:val="center"/>
        <w:rPr>
          <w:rFonts w:ascii="Verdana" w:hAnsi="Verdana"/>
          <w:b/>
          <w:spacing w:val="-4"/>
          <w:sz w:val="20"/>
          <w:lang w:val="es-MX"/>
        </w:rPr>
      </w:pPr>
      <w:r>
        <w:rPr>
          <w:rFonts w:ascii="Verdana" w:hAnsi="Verdana"/>
          <w:b/>
          <w:spacing w:val="-4"/>
          <w:sz w:val="20"/>
          <w:lang w:val="es-MX"/>
        </w:rPr>
        <w:t xml:space="preserve">ASUNTO </w:t>
      </w:r>
      <w:r w:rsidR="00643621">
        <w:rPr>
          <w:rFonts w:ascii="Verdana" w:hAnsi="Verdana"/>
          <w:b/>
          <w:spacing w:val="-4"/>
          <w:sz w:val="20"/>
          <w:lang w:val="es-MX"/>
        </w:rPr>
        <w:t>POBLADORES DE LAS COMUNIDADES DEL PUEBLO IND</w:t>
      </w:r>
      <w:r w:rsidR="00CA4FC6">
        <w:rPr>
          <w:rFonts w:ascii="Verdana" w:hAnsi="Verdana"/>
          <w:b/>
          <w:spacing w:val="-4"/>
          <w:sz w:val="20"/>
          <w:lang w:val="es-MX"/>
        </w:rPr>
        <w:t>Í</w:t>
      </w:r>
      <w:r w:rsidR="00643621">
        <w:rPr>
          <w:rFonts w:ascii="Verdana" w:hAnsi="Verdana"/>
          <w:b/>
          <w:spacing w:val="-4"/>
          <w:sz w:val="20"/>
          <w:lang w:val="es-MX"/>
        </w:rPr>
        <w:t xml:space="preserve">GENA MISKITU </w:t>
      </w:r>
    </w:p>
    <w:p w:rsidR="00557B48" w:rsidRDefault="000857BA" w:rsidP="00771DF4">
      <w:pPr>
        <w:tabs>
          <w:tab w:val="left" w:pos="567"/>
        </w:tabs>
        <w:spacing w:after="0" w:line="240" w:lineRule="auto"/>
        <w:jc w:val="center"/>
        <w:rPr>
          <w:rFonts w:ascii="Verdana" w:hAnsi="Verdana"/>
          <w:b/>
          <w:spacing w:val="-4"/>
          <w:sz w:val="20"/>
          <w:lang w:val="es-GT"/>
        </w:rPr>
      </w:pPr>
      <w:r>
        <w:rPr>
          <w:rFonts w:ascii="Verdana" w:hAnsi="Verdana"/>
          <w:b/>
          <w:spacing w:val="-4"/>
          <w:sz w:val="20"/>
          <w:lang w:val="es-MX"/>
        </w:rPr>
        <w:t>DE LA REGIÓN COSTA CARIBE NORTE</w:t>
      </w:r>
    </w:p>
    <w:p w:rsidR="00643621" w:rsidRPr="00643621" w:rsidRDefault="00643621" w:rsidP="00B45E2D">
      <w:pPr>
        <w:tabs>
          <w:tab w:val="left" w:pos="567"/>
        </w:tabs>
        <w:jc w:val="center"/>
        <w:rPr>
          <w:rFonts w:ascii="Verdana" w:hAnsi="Verdana"/>
          <w:b/>
          <w:spacing w:val="-4"/>
          <w:sz w:val="20"/>
          <w:lang w:val="es-GT"/>
        </w:rPr>
      </w:pPr>
    </w:p>
    <w:p w:rsidR="00557B48" w:rsidRDefault="00557B48" w:rsidP="00F76DD6">
      <w:pPr>
        <w:tabs>
          <w:tab w:val="left" w:pos="567"/>
        </w:tabs>
        <w:spacing w:after="0" w:line="240" w:lineRule="auto"/>
        <w:jc w:val="both"/>
        <w:rPr>
          <w:rFonts w:ascii="Verdana" w:hAnsi="Verdana"/>
          <w:b/>
          <w:spacing w:val="-4"/>
          <w:sz w:val="20"/>
          <w:lang w:val="es-MX"/>
        </w:rPr>
      </w:pPr>
      <w:r>
        <w:rPr>
          <w:rFonts w:ascii="Verdana" w:hAnsi="Verdana"/>
          <w:b/>
          <w:spacing w:val="-4"/>
          <w:sz w:val="20"/>
          <w:lang w:val="es-MX"/>
        </w:rPr>
        <w:t>VISTO:</w:t>
      </w:r>
    </w:p>
    <w:p w:rsidR="00F76DD6" w:rsidRPr="000F28C4" w:rsidRDefault="00F76DD6" w:rsidP="00F76DD6">
      <w:pPr>
        <w:tabs>
          <w:tab w:val="left" w:pos="567"/>
        </w:tabs>
        <w:spacing w:after="0" w:line="240" w:lineRule="auto"/>
        <w:jc w:val="both"/>
        <w:rPr>
          <w:rFonts w:ascii="Verdana" w:hAnsi="Verdana"/>
          <w:b/>
          <w:spacing w:val="-4"/>
          <w:sz w:val="20"/>
          <w:lang w:val="es-ES_tradnl"/>
        </w:rPr>
      </w:pPr>
    </w:p>
    <w:p w:rsidR="00A54CCC" w:rsidRDefault="00A54CCC" w:rsidP="00F76DD6">
      <w:pPr>
        <w:tabs>
          <w:tab w:val="left" w:pos="567"/>
        </w:tabs>
        <w:spacing w:after="0" w:line="240" w:lineRule="auto"/>
        <w:jc w:val="both"/>
        <w:rPr>
          <w:rFonts w:ascii="Verdana" w:hAnsi="Verdana"/>
          <w:spacing w:val="-4"/>
          <w:sz w:val="20"/>
          <w:lang w:val="es-MX"/>
        </w:rPr>
      </w:pPr>
      <w:r w:rsidRPr="00A54CCC">
        <w:rPr>
          <w:rFonts w:ascii="Verdana" w:hAnsi="Verdana"/>
          <w:spacing w:val="-4"/>
          <w:sz w:val="20"/>
          <w:lang w:val="es-MX"/>
        </w:rPr>
        <w:t>1.</w:t>
      </w:r>
      <w:r w:rsidRPr="00A54CCC">
        <w:rPr>
          <w:rFonts w:ascii="Verdana" w:hAnsi="Verdana"/>
          <w:spacing w:val="-4"/>
          <w:sz w:val="20"/>
          <w:lang w:val="es-MX"/>
        </w:rPr>
        <w:tab/>
      </w:r>
      <w:r w:rsidR="00A93064">
        <w:rPr>
          <w:rFonts w:ascii="Verdana" w:eastAsia="MS Mincho" w:hAnsi="Verdana"/>
          <w:sz w:val="20"/>
          <w:szCs w:val="20"/>
          <w:lang w:val="es-VE"/>
        </w:rPr>
        <w:t>El escrito de 19</w:t>
      </w:r>
      <w:r>
        <w:rPr>
          <w:rFonts w:ascii="Verdana" w:eastAsia="MS Mincho" w:hAnsi="Verdana"/>
          <w:sz w:val="20"/>
          <w:szCs w:val="20"/>
          <w:lang w:val="es-VE"/>
        </w:rPr>
        <w:t xml:space="preserve"> de agosto de 2016</w:t>
      </w:r>
      <w:r>
        <w:rPr>
          <w:rFonts w:ascii="Verdana" w:eastAsia="MS Mincho" w:hAnsi="Verdana"/>
          <w:sz w:val="20"/>
          <w:szCs w:val="20"/>
          <w:lang w:val="es-GT"/>
        </w:rPr>
        <w:t xml:space="preserve">, </w:t>
      </w:r>
      <w:r w:rsidRPr="00A54CCC">
        <w:rPr>
          <w:rFonts w:ascii="Verdana" w:eastAsia="MS Mincho" w:hAnsi="Verdana"/>
          <w:sz w:val="20"/>
          <w:szCs w:val="20"/>
          <w:lang w:val="es-GT"/>
        </w:rPr>
        <w:t xml:space="preserve">mediante el cual </w:t>
      </w:r>
      <w:r>
        <w:rPr>
          <w:rFonts w:ascii="Verdana" w:hAnsi="Verdana"/>
          <w:spacing w:val="-4"/>
          <w:sz w:val="20"/>
          <w:lang w:val="es-MX"/>
        </w:rPr>
        <w:t>l</w:t>
      </w:r>
      <w:r w:rsidRPr="00A54CCC">
        <w:rPr>
          <w:rFonts w:ascii="Verdana" w:hAnsi="Verdana"/>
          <w:spacing w:val="-4"/>
          <w:sz w:val="20"/>
          <w:lang w:val="es-MX"/>
        </w:rPr>
        <w:t>a Comisión Interamericana de Derechos Humanos (en adelante “la Comisión”, “la Comisión Int</w:t>
      </w:r>
      <w:r>
        <w:rPr>
          <w:rFonts w:ascii="Verdana" w:hAnsi="Verdana"/>
          <w:spacing w:val="-4"/>
          <w:sz w:val="20"/>
          <w:lang w:val="es-MX"/>
        </w:rPr>
        <w:t>eramericana” o “la CIDH”) sometió</w:t>
      </w:r>
      <w:r w:rsidRPr="00A54CCC">
        <w:rPr>
          <w:rFonts w:ascii="Verdana" w:hAnsi="Verdana"/>
          <w:spacing w:val="-4"/>
          <w:sz w:val="20"/>
          <w:lang w:val="es-MX"/>
        </w:rPr>
        <w:t xml:space="preserve"> a la Corte Interamericana de Derechos Humanos (en adelante “la Corte Interamericana” o “la Corte”) una solicitud de medidas provisionales, de conformidad con los artículos 63.2 de la Convención Americana sobre Derechos Humanos (en adelante “la Convención Americana” o “la Convención”) y </w:t>
      </w:r>
      <w:r w:rsidRPr="000857BA">
        <w:rPr>
          <w:rFonts w:ascii="Verdana" w:hAnsi="Verdana"/>
          <w:spacing w:val="-4"/>
          <w:sz w:val="20"/>
          <w:lang w:val="es-MX"/>
        </w:rPr>
        <w:t>27</w:t>
      </w:r>
      <w:r w:rsidRPr="00A54CCC">
        <w:rPr>
          <w:rFonts w:ascii="Verdana" w:hAnsi="Verdana"/>
          <w:spacing w:val="-4"/>
          <w:sz w:val="20"/>
          <w:lang w:val="es-MX"/>
        </w:rPr>
        <w:t xml:space="preserve"> del Reglamento de la Corte Interamericana de Derechos Humanos (en adelante “la Corte Interamerican</w:t>
      </w:r>
      <w:r>
        <w:rPr>
          <w:rFonts w:ascii="Verdana" w:hAnsi="Verdana"/>
          <w:spacing w:val="-4"/>
          <w:sz w:val="20"/>
          <w:lang w:val="es-MX"/>
        </w:rPr>
        <w:t>a”, “la Corte” o “el Tribunal”)</w:t>
      </w:r>
      <w:r w:rsidRPr="00A54CCC">
        <w:rPr>
          <w:rFonts w:ascii="Verdana" w:hAnsi="Verdana"/>
          <w:spacing w:val="-4"/>
          <w:sz w:val="20"/>
          <w:lang w:val="es-MX"/>
        </w:rPr>
        <w:t xml:space="preserve">, con la finalidad de que </w:t>
      </w:r>
      <w:r>
        <w:rPr>
          <w:rFonts w:ascii="Verdana" w:hAnsi="Verdana"/>
          <w:spacing w:val="-4"/>
          <w:sz w:val="20"/>
          <w:lang w:val="es-MX"/>
        </w:rPr>
        <w:t xml:space="preserve">ésta </w:t>
      </w:r>
      <w:r w:rsidRPr="00A54CCC">
        <w:rPr>
          <w:rFonts w:ascii="Verdana" w:hAnsi="Verdana"/>
          <w:spacing w:val="-4"/>
          <w:sz w:val="20"/>
          <w:lang w:val="es-MX"/>
        </w:rPr>
        <w:t xml:space="preserve">ordene al Estado de Nicaragua (en adelante “el Estado”, “el Estado nicaragüense” o “Nicaragua”) </w:t>
      </w:r>
      <w:r w:rsidRPr="00A93064">
        <w:rPr>
          <w:rFonts w:ascii="Verdana" w:hAnsi="Verdana"/>
          <w:spacing w:val="-4"/>
          <w:sz w:val="20"/>
          <w:lang w:val="es-MX"/>
        </w:rPr>
        <w:t xml:space="preserve">proteger la vida e integridad personal de los pobladores de las comunidades indígenas de </w:t>
      </w:r>
      <w:proofErr w:type="spellStart"/>
      <w:r w:rsidRPr="00A93064">
        <w:rPr>
          <w:rFonts w:ascii="Verdana" w:hAnsi="Verdana"/>
          <w:i/>
          <w:spacing w:val="-4"/>
          <w:sz w:val="20"/>
          <w:lang w:val="es-MX"/>
        </w:rPr>
        <w:t>Klisnak</w:t>
      </w:r>
      <w:proofErr w:type="spellEnd"/>
      <w:r w:rsidRPr="00A93064">
        <w:rPr>
          <w:rFonts w:ascii="Verdana" w:hAnsi="Verdana"/>
          <w:i/>
          <w:spacing w:val="-4"/>
          <w:sz w:val="20"/>
          <w:lang w:val="es-MX"/>
        </w:rPr>
        <w:t xml:space="preserve">, Wisconsin, </w:t>
      </w:r>
      <w:proofErr w:type="spellStart"/>
      <w:r w:rsidRPr="00A93064">
        <w:rPr>
          <w:rFonts w:ascii="Verdana" w:hAnsi="Verdana"/>
          <w:i/>
          <w:spacing w:val="-4"/>
          <w:sz w:val="20"/>
          <w:lang w:val="es-MX"/>
        </w:rPr>
        <w:t>Wiwinak</w:t>
      </w:r>
      <w:proofErr w:type="spellEnd"/>
      <w:r w:rsidRPr="00A93064">
        <w:rPr>
          <w:rFonts w:ascii="Verdana" w:hAnsi="Verdana"/>
          <w:i/>
          <w:spacing w:val="-4"/>
          <w:sz w:val="20"/>
          <w:lang w:val="es-MX"/>
        </w:rPr>
        <w:t xml:space="preserve">, San Jerónimo y Francia </w:t>
      </w:r>
      <w:proofErr w:type="spellStart"/>
      <w:r w:rsidRPr="00A93064">
        <w:rPr>
          <w:rFonts w:ascii="Verdana" w:hAnsi="Verdana"/>
          <w:i/>
          <w:spacing w:val="-4"/>
          <w:sz w:val="20"/>
          <w:lang w:val="es-MX"/>
        </w:rPr>
        <w:t>Sirpi</w:t>
      </w:r>
      <w:proofErr w:type="spellEnd"/>
      <w:r w:rsidRPr="00A93064">
        <w:rPr>
          <w:rFonts w:ascii="Verdana" w:hAnsi="Verdana"/>
          <w:spacing w:val="-4"/>
          <w:sz w:val="20"/>
          <w:lang w:val="es-MX"/>
        </w:rPr>
        <w:t xml:space="preserve"> del pueblo indígena </w:t>
      </w:r>
      <w:proofErr w:type="spellStart"/>
      <w:r w:rsidRPr="00A93064">
        <w:rPr>
          <w:rFonts w:ascii="Verdana" w:hAnsi="Verdana"/>
          <w:i/>
          <w:spacing w:val="-4"/>
          <w:sz w:val="20"/>
          <w:lang w:val="es-MX"/>
        </w:rPr>
        <w:t>Miskitu</w:t>
      </w:r>
      <w:proofErr w:type="spellEnd"/>
      <w:r w:rsidRPr="00A93064">
        <w:rPr>
          <w:rFonts w:ascii="Verdana" w:hAnsi="Verdana"/>
          <w:spacing w:val="-4"/>
          <w:sz w:val="20"/>
          <w:lang w:val="es-MX"/>
        </w:rPr>
        <w:t>, localizadas en la Región del Caribe Norte de Nicaragua.</w:t>
      </w:r>
    </w:p>
    <w:p w:rsidR="00F76DD6" w:rsidRPr="00A54CCC" w:rsidRDefault="00F76DD6" w:rsidP="00F76DD6">
      <w:pPr>
        <w:tabs>
          <w:tab w:val="left" w:pos="567"/>
        </w:tabs>
        <w:spacing w:after="0" w:line="240" w:lineRule="auto"/>
        <w:jc w:val="both"/>
        <w:rPr>
          <w:rFonts w:ascii="Verdana" w:hAnsi="Verdana"/>
          <w:spacing w:val="-4"/>
          <w:sz w:val="20"/>
          <w:lang w:val="es-MX"/>
        </w:rPr>
      </w:pPr>
    </w:p>
    <w:p w:rsidR="00557B48" w:rsidRDefault="00557B48" w:rsidP="00F76DD6">
      <w:pPr>
        <w:numPr>
          <w:ilvl w:val="0"/>
          <w:numId w:val="6"/>
        </w:numPr>
        <w:tabs>
          <w:tab w:val="left" w:pos="0"/>
        </w:tabs>
        <w:spacing w:after="0" w:line="240" w:lineRule="auto"/>
        <w:ind w:left="0" w:right="18" w:firstLine="0"/>
        <w:jc w:val="both"/>
        <w:rPr>
          <w:rFonts w:ascii="Verdana" w:eastAsia="MS Mincho" w:hAnsi="Verdana"/>
          <w:sz w:val="20"/>
          <w:szCs w:val="20"/>
          <w:lang w:val="es-VE"/>
        </w:rPr>
      </w:pPr>
      <w:r w:rsidRPr="00291BBD">
        <w:rPr>
          <w:rFonts w:ascii="Verdana" w:eastAsia="MS Mincho" w:hAnsi="Verdana"/>
          <w:sz w:val="20"/>
          <w:szCs w:val="20"/>
          <w:lang w:val="es-VE"/>
        </w:rPr>
        <w:t>La nota de la Secretaría de la Corte (en</w:t>
      </w:r>
      <w:r w:rsidR="00F831A0">
        <w:rPr>
          <w:rFonts w:ascii="Verdana" w:eastAsia="MS Mincho" w:hAnsi="Verdana"/>
          <w:sz w:val="20"/>
          <w:szCs w:val="20"/>
          <w:lang w:val="es-VE"/>
        </w:rPr>
        <w:t xml:space="preserve"> adelante “la Secretaría”) de 22</w:t>
      </w:r>
      <w:r w:rsidRPr="00291BBD">
        <w:rPr>
          <w:rFonts w:ascii="Verdana" w:eastAsia="MS Mincho" w:hAnsi="Verdana"/>
          <w:sz w:val="20"/>
          <w:szCs w:val="20"/>
          <w:lang w:val="es-VE"/>
        </w:rPr>
        <w:t xml:space="preserve"> de </w:t>
      </w:r>
      <w:r w:rsidR="003A6DDA">
        <w:rPr>
          <w:rFonts w:ascii="Verdana" w:eastAsia="MS Mincho" w:hAnsi="Verdana"/>
          <w:sz w:val="20"/>
          <w:szCs w:val="20"/>
          <w:lang w:val="es-VE"/>
        </w:rPr>
        <w:t>agosto</w:t>
      </w:r>
      <w:r w:rsidR="00A54CCC" w:rsidRPr="00291BBD">
        <w:rPr>
          <w:rFonts w:ascii="Verdana" w:eastAsia="MS Mincho" w:hAnsi="Verdana"/>
          <w:sz w:val="20"/>
          <w:szCs w:val="20"/>
          <w:lang w:val="es-VE"/>
        </w:rPr>
        <w:t xml:space="preserve"> de 2016</w:t>
      </w:r>
      <w:r w:rsidRPr="00291BBD">
        <w:rPr>
          <w:rFonts w:ascii="Verdana" w:eastAsia="MS Mincho" w:hAnsi="Verdana"/>
          <w:sz w:val="20"/>
          <w:szCs w:val="20"/>
          <w:lang w:val="es-VE"/>
        </w:rPr>
        <w:t xml:space="preserve">, mediante la cual, siguiendo instrucciones del </w:t>
      </w:r>
      <w:r w:rsidR="00A54CCC" w:rsidRPr="00291BBD">
        <w:rPr>
          <w:rFonts w:ascii="Verdana" w:eastAsia="MS Mincho" w:hAnsi="Verdana"/>
          <w:sz w:val="20"/>
          <w:szCs w:val="20"/>
          <w:lang w:val="es-VE"/>
        </w:rPr>
        <w:t xml:space="preserve">Pleno </w:t>
      </w:r>
      <w:r w:rsidRPr="00291BBD">
        <w:rPr>
          <w:rFonts w:ascii="Verdana" w:eastAsia="MS Mincho" w:hAnsi="Verdana"/>
          <w:sz w:val="20"/>
          <w:szCs w:val="20"/>
          <w:lang w:val="es-VE"/>
        </w:rPr>
        <w:t xml:space="preserve">del Tribunal, se solicitó al Estado </w:t>
      </w:r>
      <w:r w:rsidR="00F831A0">
        <w:rPr>
          <w:rFonts w:ascii="Verdana" w:eastAsia="MS Mincho" w:hAnsi="Verdana"/>
          <w:sz w:val="20"/>
          <w:szCs w:val="20"/>
          <w:lang w:val="es-VE"/>
        </w:rPr>
        <w:t>que, a más tardar el 29</w:t>
      </w:r>
      <w:r w:rsidRPr="00291BBD">
        <w:rPr>
          <w:rFonts w:ascii="Verdana" w:eastAsia="MS Mincho" w:hAnsi="Verdana"/>
          <w:sz w:val="20"/>
          <w:szCs w:val="20"/>
          <w:lang w:val="es-VE"/>
        </w:rPr>
        <w:t xml:space="preserve"> de </w:t>
      </w:r>
      <w:r w:rsidR="00F831A0">
        <w:rPr>
          <w:rFonts w:ascii="Verdana" w:eastAsia="MS Mincho" w:hAnsi="Verdana"/>
          <w:sz w:val="20"/>
          <w:szCs w:val="20"/>
          <w:lang w:val="es-VE"/>
        </w:rPr>
        <w:t xml:space="preserve">agosto </w:t>
      </w:r>
      <w:r w:rsidRPr="00291BBD">
        <w:rPr>
          <w:rFonts w:ascii="Verdana" w:eastAsia="MS Mincho" w:hAnsi="Verdana"/>
          <w:sz w:val="20"/>
          <w:szCs w:val="20"/>
          <w:lang w:val="es-VE"/>
        </w:rPr>
        <w:t xml:space="preserve">de 2016, </w:t>
      </w:r>
      <w:r w:rsidR="00F831A0">
        <w:rPr>
          <w:rFonts w:ascii="Verdana" w:eastAsia="MS Mincho" w:hAnsi="Verdana"/>
          <w:sz w:val="20"/>
          <w:szCs w:val="20"/>
          <w:lang w:val="es-VE"/>
        </w:rPr>
        <w:t xml:space="preserve">remitiera información precisa sobre la situación planteada por la Comisión, así como sobre las medidas específicas adoptadas por el Estado al respecto. Asimismo, se </w:t>
      </w:r>
      <w:r w:rsidR="0081357B">
        <w:rPr>
          <w:rFonts w:ascii="Verdana" w:eastAsia="MS Mincho" w:hAnsi="Verdana"/>
          <w:sz w:val="20"/>
          <w:szCs w:val="20"/>
          <w:lang w:val="es-VE"/>
        </w:rPr>
        <w:t xml:space="preserve">le </w:t>
      </w:r>
      <w:r w:rsidR="00F831A0">
        <w:rPr>
          <w:rFonts w:ascii="Verdana" w:eastAsia="MS Mincho" w:hAnsi="Verdana"/>
          <w:sz w:val="20"/>
          <w:szCs w:val="20"/>
          <w:lang w:val="es-VE"/>
        </w:rPr>
        <w:t xml:space="preserve">recordó </w:t>
      </w:r>
      <w:r w:rsidR="0081357B">
        <w:rPr>
          <w:rFonts w:ascii="Verdana" w:eastAsia="MS Mincho" w:hAnsi="Verdana"/>
          <w:sz w:val="20"/>
          <w:szCs w:val="20"/>
          <w:lang w:val="es-VE"/>
        </w:rPr>
        <w:t xml:space="preserve">sus obligaciones </w:t>
      </w:r>
      <w:r w:rsidR="00F831A0">
        <w:rPr>
          <w:rFonts w:ascii="Verdana" w:eastAsia="MS Mincho" w:hAnsi="Verdana"/>
          <w:sz w:val="20"/>
          <w:szCs w:val="20"/>
          <w:lang w:val="es-VE"/>
        </w:rPr>
        <w:t xml:space="preserve">generales </w:t>
      </w:r>
      <w:r w:rsidR="00A51E73">
        <w:rPr>
          <w:rFonts w:ascii="Verdana" w:eastAsia="MS Mincho" w:hAnsi="Verdana"/>
          <w:sz w:val="20"/>
          <w:szCs w:val="20"/>
          <w:lang w:val="es-VE"/>
        </w:rPr>
        <w:t xml:space="preserve">derivadas </w:t>
      </w:r>
      <w:r w:rsidR="0081357B">
        <w:rPr>
          <w:rFonts w:ascii="Verdana" w:eastAsia="MS Mincho" w:hAnsi="Verdana"/>
          <w:sz w:val="20"/>
          <w:szCs w:val="20"/>
          <w:lang w:val="es-VE"/>
        </w:rPr>
        <w:t>del artículo 1.1 de la Convención, a fin de garantizar el</w:t>
      </w:r>
      <w:r w:rsidR="00F831A0">
        <w:rPr>
          <w:rFonts w:ascii="Verdana" w:eastAsia="MS Mincho" w:hAnsi="Verdana"/>
          <w:sz w:val="20"/>
          <w:szCs w:val="20"/>
          <w:lang w:val="es-VE"/>
        </w:rPr>
        <w:t xml:space="preserve"> libre y pleno ejercicio a toda persona que esté sujeta a su jurisdicción en toda </w:t>
      </w:r>
      <w:r w:rsidR="0081357B" w:rsidRPr="009D2166">
        <w:rPr>
          <w:rFonts w:ascii="Verdana" w:eastAsia="MS Mincho" w:hAnsi="Verdana"/>
          <w:sz w:val="20"/>
          <w:szCs w:val="20"/>
          <w:lang w:val="es-VE"/>
        </w:rPr>
        <w:t>circunstancia</w:t>
      </w:r>
      <w:r w:rsidR="00F831A0" w:rsidRPr="009D2166">
        <w:rPr>
          <w:rFonts w:ascii="Verdana" w:eastAsia="MS Mincho" w:hAnsi="Verdana"/>
          <w:sz w:val="20"/>
          <w:szCs w:val="20"/>
          <w:lang w:val="es-VE"/>
        </w:rPr>
        <w:t>.</w:t>
      </w:r>
      <w:r w:rsidR="00F831A0">
        <w:rPr>
          <w:rFonts w:ascii="Verdana" w:eastAsia="MS Mincho" w:hAnsi="Verdana"/>
          <w:sz w:val="20"/>
          <w:szCs w:val="20"/>
          <w:lang w:val="es-VE"/>
        </w:rPr>
        <w:t xml:space="preserve"> </w:t>
      </w:r>
    </w:p>
    <w:p w:rsidR="00291BBD" w:rsidRPr="00291BBD" w:rsidRDefault="00291BBD" w:rsidP="00F76DD6">
      <w:pPr>
        <w:tabs>
          <w:tab w:val="left" w:pos="0"/>
        </w:tabs>
        <w:spacing w:after="0" w:line="240" w:lineRule="auto"/>
        <w:ind w:right="18"/>
        <w:jc w:val="both"/>
        <w:rPr>
          <w:rFonts w:ascii="Verdana" w:eastAsia="MS Mincho" w:hAnsi="Verdana"/>
          <w:sz w:val="20"/>
          <w:szCs w:val="20"/>
          <w:lang w:val="es-VE"/>
        </w:rPr>
      </w:pPr>
    </w:p>
    <w:p w:rsidR="00557B48" w:rsidRPr="0081357B" w:rsidRDefault="0081357B" w:rsidP="00F76DD6">
      <w:pPr>
        <w:numPr>
          <w:ilvl w:val="0"/>
          <w:numId w:val="6"/>
        </w:numPr>
        <w:spacing w:after="0" w:line="240" w:lineRule="auto"/>
        <w:ind w:left="0" w:right="18" w:firstLine="0"/>
        <w:jc w:val="both"/>
        <w:rPr>
          <w:rFonts w:ascii="Verdana" w:hAnsi="Verdana"/>
          <w:spacing w:val="-4"/>
          <w:sz w:val="20"/>
          <w:lang w:val="es-CR"/>
        </w:rPr>
      </w:pPr>
      <w:r w:rsidRPr="0081357B">
        <w:rPr>
          <w:rFonts w:ascii="Verdana" w:eastAsia="MS Mincho" w:hAnsi="Verdana"/>
          <w:sz w:val="20"/>
          <w:szCs w:val="20"/>
          <w:lang w:val="es-VE"/>
        </w:rPr>
        <w:t xml:space="preserve">Una vez cumplido el plazo anterior, la Corte verificó que el Estado de Nicaragua no remitió la información </w:t>
      </w:r>
      <w:r w:rsidR="00A51E73">
        <w:rPr>
          <w:rFonts w:ascii="Verdana" w:eastAsia="MS Mincho" w:hAnsi="Verdana"/>
          <w:sz w:val="20"/>
          <w:szCs w:val="20"/>
          <w:lang w:val="es-VE"/>
        </w:rPr>
        <w:t>requerida</w:t>
      </w:r>
      <w:r w:rsidRPr="0081357B">
        <w:rPr>
          <w:rFonts w:ascii="Verdana" w:eastAsia="MS Mincho" w:hAnsi="Verdana"/>
          <w:sz w:val="20"/>
          <w:szCs w:val="20"/>
          <w:lang w:val="es-VE"/>
        </w:rPr>
        <w:t xml:space="preserve">. </w:t>
      </w:r>
    </w:p>
    <w:p w:rsidR="0081357B" w:rsidRPr="0081357B" w:rsidRDefault="0081357B" w:rsidP="00F76DD6">
      <w:pPr>
        <w:spacing w:after="0" w:line="240" w:lineRule="auto"/>
        <w:ind w:right="18"/>
        <w:jc w:val="both"/>
        <w:rPr>
          <w:rFonts w:ascii="Verdana" w:hAnsi="Verdana"/>
          <w:strike/>
          <w:spacing w:val="-4"/>
          <w:sz w:val="20"/>
          <w:lang w:val="es-CR"/>
        </w:rPr>
      </w:pPr>
    </w:p>
    <w:p w:rsidR="00557B48" w:rsidRDefault="00557B48" w:rsidP="00F76DD6">
      <w:pPr>
        <w:tabs>
          <w:tab w:val="left" w:pos="567"/>
        </w:tabs>
        <w:spacing w:after="0" w:line="240" w:lineRule="auto"/>
        <w:jc w:val="both"/>
        <w:rPr>
          <w:rFonts w:ascii="Verdana" w:hAnsi="Verdana"/>
          <w:b/>
          <w:spacing w:val="-4"/>
          <w:sz w:val="20"/>
          <w:lang w:val="es-MX"/>
        </w:rPr>
      </w:pPr>
      <w:r>
        <w:rPr>
          <w:rFonts w:ascii="Verdana" w:hAnsi="Verdana"/>
          <w:b/>
          <w:spacing w:val="-4"/>
          <w:sz w:val="20"/>
          <w:lang w:val="es-MX"/>
        </w:rPr>
        <w:t xml:space="preserve">CONSIDERANDO QUE: </w:t>
      </w:r>
    </w:p>
    <w:p w:rsidR="00F76DD6" w:rsidRPr="00B76B91" w:rsidRDefault="00F76DD6" w:rsidP="00F76DD6">
      <w:pPr>
        <w:tabs>
          <w:tab w:val="left" w:pos="567"/>
        </w:tabs>
        <w:spacing w:after="0" w:line="240" w:lineRule="auto"/>
        <w:jc w:val="both"/>
        <w:rPr>
          <w:rFonts w:ascii="Verdana" w:hAnsi="Verdana"/>
          <w:b/>
          <w:spacing w:val="-4"/>
          <w:sz w:val="20"/>
          <w:lang w:val="es-MX"/>
        </w:rPr>
      </w:pPr>
    </w:p>
    <w:p w:rsidR="00557B48" w:rsidRPr="00BE0312" w:rsidRDefault="00BE0312" w:rsidP="00F76DD6">
      <w:pPr>
        <w:pStyle w:val="Prrafodelista1"/>
        <w:numPr>
          <w:ilvl w:val="0"/>
          <w:numId w:val="7"/>
        </w:numPr>
        <w:tabs>
          <w:tab w:val="num" w:pos="0"/>
        </w:tabs>
        <w:ind w:left="0" w:firstLine="0"/>
        <w:jc w:val="both"/>
        <w:rPr>
          <w:sz w:val="20"/>
          <w:szCs w:val="20"/>
        </w:rPr>
      </w:pPr>
      <w:r w:rsidRPr="00BE0312">
        <w:rPr>
          <w:sz w:val="20"/>
          <w:szCs w:val="20"/>
        </w:rPr>
        <w:t>Nicaragua</w:t>
      </w:r>
      <w:r w:rsidR="00557B48" w:rsidRPr="00BE0312">
        <w:rPr>
          <w:sz w:val="20"/>
          <w:szCs w:val="20"/>
        </w:rPr>
        <w:t xml:space="preserve"> ratificó la Convención Americana sobre Derechos Humanos </w:t>
      </w:r>
      <w:r w:rsidR="00557B48" w:rsidRPr="00BE0312">
        <w:rPr>
          <w:sz w:val="20"/>
          <w:lang w:val="es-ES_tradnl"/>
        </w:rPr>
        <w:t xml:space="preserve">(en adelante también “la Convención Americana” o “la Convención”) </w:t>
      </w:r>
      <w:r w:rsidR="00557B48" w:rsidRPr="00BE0312">
        <w:rPr>
          <w:sz w:val="20"/>
          <w:szCs w:val="20"/>
        </w:rPr>
        <w:t xml:space="preserve">el </w:t>
      </w:r>
      <w:r w:rsidRPr="00BE0312">
        <w:rPr>
          <w:sz w:val="20"/>
          <w:szCs w:val="20"/>
        </w:rPr>
        <w:t>25</w:t>
      </w:r>
      <w:r w:rsidR="00557B48" w:rsidRPr="00BE0312">
        <w:rPr>
          <w:sz w:val="20"/>
          <w:szCs w:val="20"/>
        </w:rPr>
        <w:t xml:space="preserve"> de </w:t>
      </w:r>
      <w:r w:rsidRPr="00BE0312">
        <w:rPr>
          <w:sz w:val="20"/>
          <w:szCs w:val="20"/>
        </w:rPr>
        <w:t>septiembre de 1979</w:t>
      </w:r>
      <w:r w:rsidR="00557B48" w:rsidRPr="00BE0312">
        <w:rPr>
          <w:sz w:val="20"/>
          <w:szCs w:val="20"/>
        </w:rPr>
        <w:t xml:space="preserve"> y, de acuerdo con su a</w:t>
      </w:r>
      <w:r w:rsidR="00557B48" w:rsidRPr="00A51E73">
        <w:rPr>
          <w:sz w:val="20"/>
          <w:szCs w:val="20"/>
        </w:rPr>
        <w:t>rtículo 62, reconoció la competenc</w:t>
      </w:r>
      <w:r w:rsidRPr="00A51E73">
        <w:rPr>
          <w:sz w:val="20"/>
          <w:szCs w:val="20"/>
        </w:rPr>
        <w:t>ia contenciosa de la Corte el 12</w:t>
      </w:r>
      <w:r w:rsidR="00557B48" w:rsidRPr="00A51E73">
        <w:rPr>
          <w:sz w:val="20"/>
          <w:szCs w:val="20"/>
        </w:rPr>
        <w:t xml:space="preserve"> de </w:t>
      </w:r>
      <w:r w:rsidRPr="00A51E73">
        <w:rPr>
          <w:sz w:val="20"/>
          <w:szCs w:val="20"/>
        </w:rPr>
        <w:t xml:space="preserve">febrero </w:t>
      </w:r>
      <w:r w:rsidR="00A51E73" w:rsidRPr="00A51E73">
        <w:rPr>
          <w:sz w:val="20"/>
          <w:szCs w:val="20"/>
        </w:rPr>
        <w:t>de 1991</w:t>
      </w:r>
      <w:r w:rsidR="00557B48" w:rsidRPr="00A51E73">
        <w:rPr>
          <w:sz w:val="20"/>
          <w:szCs w:val="20"/>
        </w:rPr>
        <w:t>.</w:t>
      </w:r>
    </w:p>
    <w:p w:rsidR="00557B48" w:rsidRDefault="00557B48" w:rsidP="00F76DD6">
      <w:pPr>
        <w:pStyle w:val="Prrafodelista1"/>
        <w:jc w:val="both"/>
        <w:rPr>
          <w:sz w:val="20"/>
          <w:szCs w:val="20"/>
        </w:rPr>
      </w:pPr>
    </w:p>
    <w:p w:rsidR="00557B48" w:rsidRDefault="00557B48" w:rsidP="00F76DD6">
      <w:pPr>
        <w:pStyle w:val="Prrafodelista1"/>
        <w:numPr>
          <w:ilvl w:val="0"/>
          <w:numId w:val="7"/>
        </w:numPr>
        <w:tabs>
          <w:tab w:val="num" w:pos="0"/>
        </w:tabs>
        <w:ind w:left="0" w:firstLine="0"/>
        <w:jc w:val="both"/>
        <w:rPr>
          <w:sz w:val="20"/>
          <w:szCs w:val="20"/>
        </w:rPr>
      </w:pPr>
      <w:r>
        <w:rPr>
          <w:sz w:val="20"/>
        </w:rPr>
        <w:t>E</w:t>
      </w:r>
      <w:r>
        <w:rPr>
          <w:sz w:val="20"/>
          <w:lang w:val="es-ES_tradnl"/>
        </w:rPr>
        <w:t xml:space="preserve">l artículo 63.2 de la Convención establece que </w:t>
      </w:r>
      <w:r>
        <w:rPr>
          <w:i/>
          <w:sz w:val="20"/>
          <w:lang w:val="es-ES_tradnl"/>
        </w:rPr>
        <w:t>“</w:t>
      </w:r>
      <w:r>
        <w:rPr>
          <w:sz w:val="20"/>
          <w:lang w:val="es-ES_tradnl"/>
        </w:rPr>
        <w:t xml:space="preserve">[e]n casos de extrema gravedad y urgencia, y cuando se haga necesario evitar daños irreparables a las personas”, la Corte </w:t>
      </w:r>
      <w:r>
        <w:rPr>
          <w:sz w:val="20"/>
          <w:lang w:val="es-ES_tradnl"/>
        </w:rPr>
        <w:lastRenderedPageBreak/>
        <w:t>podrá tomar, a solicitud de la Comisión, las medidas provisionales que considere pertinentes en los asuntos que aún no estén sometidos a su conocimiento</w:t>
      </w:r>
      <w:r w:rsidR="00B76B91">
        <w:rPr>
          <w:sz w:val="20"/>
          <w:lang w:val="es-ES_tradnl"/>
        </w:rPr>
        <w:t xml:space="preserve"> </w:t>
      </w:r>
      <w:r w:rsidR="00B76B91">
        <w:rPr>
          <w:sz w:val="20"/>
          <w:lang w:val="es-GT"/>
        </w:rPr>
        <w:t>[…]</w:t>
      </w:r>
      <w:r>
        <w:rPr>
          <w:sz w:val="20"/>
          <w:lang w:val="es-ES_tradnl"/>
        </w:rPr>
        <w:t>.</w:t>
      </w:r>
    </w:p>
    <w:p w:rsidR="00557B48" w:rsidRDefault="00557B48" w:rsidP="00F76DD6">
      <w:pPr>
        <w:pStyle w:val="ListParagraph"/>
        <w:rPr>
          <w:sz w:val="20"/>
        </w:rPr>
      </w:pPr>
    </w:p>
    <w:p w:rsidR="00557B48" w:rsidRDefault="00B76B91" w:rsidP="00F76DD6">
      <w:pPr>
        <w:pStyle w:val="Prrafodelista1"/>
        <w:numPr>
          <w:ilvl w:val="0"/>
          <w:numId w:val="7"/>
        </w:numPr>
        <w:tabs>
          <w:tab w:val="num" w:pos="0"/>
        </w:tabs>
        <w:ind w:left="0" w:firstLine="0"/>
        <w:jc w:val="both"/>
        <w:rPr>
          <w:sz w:val="20"/>
        </w:rPr>
      </w:pPr>
      <w:r>
        <w:rPr>
          <w:sz w:val="20"/>
        </w:rPr>
        <w:t>Asimismo, e</w:t>
      </w:r>
      <w:r w:rsidR="00557B48" w:rsidRPr="00A21899">
        <w:rPr>
          <w:sz w:val="20"/>
        </w:rPr>
        <w:t xml:space="preserve">l </w:t>
      </w:r>
      <w:r w:rsidR="005F5A48" w:rsidRPr="00A21899">
        <w:rPr>
          <w:sz w:val="20"/>
        </w:rPr>
        <w:t>artículo 27.2</w:t>
      </w:r>
      <w:r w:rsidR="00557B48" w:rsidRPr="00A21899">
        <w:rPr>
          <w:sz w:val="20"/>
        </w:rPr>
        <w:t xml:space="preserve"> del Reglamento de la Corte señala que:</w:t>
      </w:r>
      <w:r w:rsidR="005F5A48" w:rsidRPr="00A21899">
        <w:rPr>
          <w:sz w:val="20"/>
        </w:rPr>
        <w:t xml:space="preserve"> </w:t>
      </w:r>
      <w:r w:rsidR="001C605D" w:rsidRPr="00A21899">
        <w:rPr>
          <w:sz w:val="20"/>
        </w:rPr>
        <w:t>“</w:t>
      </w:r>
      <w:r w:rsidR="00016749" w:rsidRPr="00A21899">
        <w:rPr>
          <w:sz w:val="20"/>
        </w:rPr>
        <w:t xml:space="preserve">Si se tratare de asuntos aún no </w:t>
      </w:r>
      <w:r w:rsidR="00DE5BC1" w:rsidRPr="00A21899">
        <w:rPr>
          <w:sz w:val="20"/>
        </w:rPr>
        <w:t>sometidos a su conocimiento, la Corte podrá actu</w:t>
      </w:r>
      <w:r w:rsidR="005F5A48" w:rsidRPr="00A21899">
        <w:rPr>
          <w:sz w:val="20"/>
        </w:rPr>
        <w:t>ar a solicitud de la Comisión”</w:t>
      </w:r>
      <w:r w:rsidR="00016749" w:rsidRPr="00A21899">
        <w:rPr>
          <w:sz w:val="20"/>
        </w:rPr>
        <w:t>.</w:t>
      </w:r>
    </w:p>
    <w:p w:rsidR="00AA7D0B" w:rsidRDefault="00AA7D0B" w:rsidP="00F76DD6">
      <w:pPr>
        <w:pStyle w:val="ListParagraph"/>
        <w:rPr>
          <w:sz w:val="20"/>
        </w:rPr>
      </w:pPr>
    </w:p>
    <w:p w:rsidR="00AA7D0B" w:rsidRDefault="00AA7D0B" w:rsidP="00F76DD6">
      <w:pPr>
        <w:pStyle w:val="Prrafodelista1"/>
        <w:numPr>
          <w:ilvl w:val="0"/>
          <w:numId w:val="7"/>
        </w:numPr>
        <w:tabs>
          <w:tab w:val="num" w:pos="0"/>
        </w:tabs>
        <w:ind w:left="0" w:firstLine="0"/>
        <w:jc w:val="both"/>
        <w:rPr>
          <w:sz w:val="20"/>
          <w:lang w:val="es-GT"/>
        </w:rPr>
      </w:pPr>
      <w:r w:rsidRPr="00AA7D0B">
        <w:rPr>
          <w:sz w:val="20"/>
          <w:lang w:val="es-GT"/>
        </w:rPr>
        <w:t>En el Derecho Internacional de los Derechos Humanos las medidas provisionales tienen un carácter no sólo cautelar, en el sentido de que preservan una situación jurídica, sino fundamentalmente tutelar, por cuanto protegen derechos humanos</w:t>
      </w:r>
      <w:r w:rsidRPr="00677EB1">
        <w:rPr>
          <w:sz w:val="20"/>
          <w:lang w:val="es-GT"/>
        </w:rPr>
        <w:t xml:space="preserve">, </w:t>
      </w:r>
      <w:r w:rsidR="009D2166" w:rsidRPr="00677EB1">
        <w:rPr>
          <w:sz w:val="20"/>
          <w:lang w:val="es-GT"/>
        </w:rPr>
        <w:t>en tanto</w:t>
      </w:r>
      <w:r w:rsidRPr="00677EB1">
        <w:rPr>
          <w:sz w:val="20"/>
          <w:lang w:val="es-GT"/>
        </w:rPr>
        <w:t xml:space="preserve"> que buscan evitar daños irreparables a las personas. </w:t>
      </w:r>
      <w:r w:rsidR="000A4814">
        <w:rPr>
          <w:sz w:val="20"/>
          <w:lang w:val="es-GT"/>
        </w:rPr>
        <w:t>É</w:t>
      </w:r>
      <w:r w:rsidR="009D2166" w:rsidRPr="00677EB1">
        <w:rPr>
          <w:sz w:val="20"/>
          <w:lang w:val="es-GT"/>
        </w:rPr>
        <w:t>stas se</w:t>
      </w:r>
      <w:r w:rsidRPr="00677EB1">
        <w:rPr>
          <w:sz w:val="20"/>
          <w:lang w:val="es-GT"/>
        </w:rPr>
        <w:t xml:space="preserve"> aplican siempre y</w:t>
      </w:r>
      <w:r w:rsidRPr="00AA7D0B">
        <w:rPr>
          <w:sz w:val="20"/>
          <w:lang w:val="es-GT"/>
        </w:rPr>
        <w:t xml:space="preserve"> cuando se reúnan los requisitos básicos de extrema gravedad y urgencia y de la prevención de daños irreparables a las personas. De esta manera, las medidas provisionales se transforman en una verdadera garantía jurisdiccional de carácter preventivo</w:t>
      </w:r>
      <w:r w:rsidR="00580BA4">
        <w:rPr>
          <w:rStyle w:val="FootnoteReference"/>
          <w:sz w:val="20"/>
          <w:lang w:val="es-GT"/>
        </w:rPr>
        <w:footnoteReference w:id="1"/>
      </w:r>
      <w:r>
        <w:rPr>
          <w:rStyle w:val="FootnoteReference"/>
          <w:sz w:val="20"/>
        </w:rPr>
        <w:footnoteReference w:id="2"/>
      </w:r>
      <w:r w:rsidRPr="00AA7D0B">
        <w:rPr>
          <w:sz w:val="20"/>
          <w:lang w:val="es-GT"/>
        </w:rPr>
        <w:t xml:space="preserve">. </w:t>
      </w:r>
    </w:p>
    <w:p w:rsidR="00AA7D0B" w:rsidRPr="00AA7D0B" w:rsidRDefault="00AA7D0B" w:rsidP="00F76DD6">
      <w:pPr>
        <w:pStyle w:val="Prrafodelista1"/>
        <w:jc w:val="both"/>
        <w:rPr>
          <w:sz w:val="20"/>
          <w:lang w:val="es-GT"/>
        </w:rPr>
      </w:pPr>
    </w:p>
    <w:p w:rsidR="00AA7D0B" w:rsidRPr="00AA7D0B" w:rsidRDefault="00AA7D0B" w:rsidP="00F76DD6">
      <w:pPr>
        <w:pStyle w:val="Prrafodelista1"/>
        <w:numPr>
          <w:ilvl w:val="0"/>
          <w:numId w:val="7"/>
        </w:numPr>
        <w:tabs>
          <w:tab w:val="num" w:pos="0"/>
        </w:tabs>
        <w:ind w:left="0" w:firstLine="0"/>
        <w:jc w:val="both"/>
        <w:rPr>
          <w:sz w:val="20"/>
          <w:lang w:val="es-GT"/>
        </w:rPr>
      </w:pPr>
      <w:r w:rsidRPr="00AA7D0B">
        <w:rPr>
          <w:sz w:val="20"/>
          <w:lang w:val="es-GT"/>
        </w:rPr>
        <w:t>La disposición establecida en el artículo 63.2 de la Convención confiere un carácter obligatorio a la adopción, por parte del Estado, de las medidas provisionales que le ordene este Tribunal</w:t>
      </w:r>
      <w:r w:rsidR="009D2166">
        <w:rPr>
          <w:sz w:val="20"/>
          <w:lang w:val="es-GT"/>
        </w:rPr>
        <w:t xml:space="preserve"> </w:t>
      </w:r>
      <w:r w:rsidR="009D2166" w:rsidRPr="0017798D">
        <w:rPr>
          <w:sz w:val="20"/>
          <w:lang w:val="es-GT"/>
        </w:rPr>
        <w:t xml:space="preserve">conforme el </w:t>
      </w:r>
      <w:r w:rsidRPr="0017798D">
        <w:rPr>
          <w:sz w:val="20"/>
          <w:lang w:val="es-GT"/>
        </w:rPr>
        <w:t xml:space="preserve">principio básico del derecho de la responsabilidad </w:t>
      </w:r>
      <w:r w:rsidR="009D2166" w:rsidRPr="0017798D">
        <w:rPr>
          <w:sz w:val="20"/>
          <w:lang w:val="es-GT"/>
        </w:rPr>
        <w:t>internacional</w:t>
      </w:r>
      <w:r w:rsidR="009D2166">
        <w:rPr>
          <w:sz w:val="20"/>
          <w:lang w:val="es-GT"/>
        </w:rPr>
        <w:t xml:space="preserve"> </w:t>
      </w:r>
      <w:r w:rsidRPr="00AA7D0B">
        <w:rPr>
          <w:sz w:val="20"/>
          <w:lang w:val="es-GT"/>
        </w:rPr>
        <w:t>del Estado, respaldado por la jurisprudencia internacional, ha señalado que los Estados deben cumplir sus obligaciones convencionales de buena fe (</w:t>
      </w:r>
      <w:r w:rsidRPr="00AA7D0B">
        <w:rPr>
          <w:i/>
          <w:sz w:val="20"/>
          <w:lang w:val="es-GT"/>
        </w:rPr>
        <w:t xml:space="preserve">pacta </w:t>
      </w:r>
      <w:proofErr w:type="spellStart"/>
      <w:r w:rsidRPr="00AA7D0B">
        <w:rPr>
          <w:i/>
          <w:sz w:val="20"/>
          <w:lang w:val="es-GT"/>
        </w:rPr>
        <w:t>sunt</w:t>
      </w:r>
      <w:proofErr w:type="spellEnd"/>
      <w:r w:rsidRPr="00AA7D0B">
        <w:rPr>
          <w:i/>
          <w:sz w:val="20"/>
          <w:lang w:val="es-GT"/>
        </w:rPr>
        <w:t xml:space="preserve"> </w:t>
      </w:r>
      <w:proofErr w:type="spellStart"/>
      <w:r w:rsidRPr="00AA7D0B">
        <w:rPr>
          <w:i/>
          <w:sz w:val="20"/>
          <w:lang w:val="es-GT"/>
        </w:rPr>
        <w:t>servanda</w:t>
      </w:r>
      <w:proofErr w:type="spellEnd"/>
      <w:r w:rsidRPr="00AA7D0B">
        <w:rPr>
          <w:sz w:val="20"/>
          <w:lang w:val="es-GT"/>
        </w:rPr>
        <w:t>)</w:t>
      </w:r>
      <w:r>
        <w:rPr>
          <w:rStyle w:val="FootnoteReference"/>
          <w:sz w:val="20"/>
        </w:rPr>
        <w:footnoteReference w:id="3"/>
      </w:r>
      <w:r w:rsidRPr="00AA7D0B">
        <w:rPr>
          <w:sz w:val="20"/>
          <w:lang w:val="es-GT"/>
        </w:rPr>
        <w:t>.</w:t>
      </w:r>
    </w:p>
    <w:p w:rsidR="00AA7D0B" w:rsidRDefault="00AA7D0B" w:rsidP="00F76DD6">
      <w:pPr>
        <w:pStyle w:val="Prrafodelista1"/>
        <w:jc w:val="both"/>
        <w:rPr>
          <w:sz w:val="20"/>
          <w:lang w:val="es-GT"/>
        </w:rPr>
      </w:pPr>
    </w:p>
    <w:p w:rsidR="00811A5F" w:rsidRPr="001C59D9" w:rsidRDefault="00811A5F" w:rsidP="00F76DD6">
      <w:pPr>
        <w:pStyle w:val="Prrafodelista1"/>
        <w:numPr>
          <w:ilvl w:val="0"/>
          <w:numId w:val="7"/>
        </w:numPr>
        <w:tabs>
          <w:tab w:val="num" w:pos="0"/>
        </w:tabs>
        <w:ind w:left="0" w:firstLine="0"/>
        <w:jc w:val="both"/>
        <w:rPr>
          <w:sz w:val="20"/>
          <w:lang w:val="es-ES_tradnl"/>
        </w:rPr>
      </w:pPr>
      <w:r w:rsidRPr="001C59D9">
        <w:rPr>
          <w:rFonts w:eastAsia="Times"/>
          <w:sz w:val="20"/>
          <w:szCs w:val="20"/>
          <w:lang w:val="es-ES_tradnl" w:eastAsia="es-ES"/>
        </w:rPr>
        <w:t xml:space="preserve">A manera preliminar, </w:t>
      </w:r>
      <w:r w:rsidR="001C59D9" w:rsidRPr="001C59D9">
        <w:rPr>
          <w:rFonts w:eastAsia="Times"/>
          <w:sz w:val="20"/>
          <w:szCs w:val="20"/>
          <w:lang w:val="es-ES_tradnl" w:eastAsia="es-ES"/>
        </w:rPr>
        <w:t xml:space="preserve">la Corte </w:t>
      </w:r>
      <w:r w:rsidR="001C59D9">
        <w:rPr>
          <w:rFonts w:eastAsia="Times"/>
          <w:sz w:val="20"/>
          <w:szCs w:val="20"/>
          <w:lang w:val="es-ES_tradnl" w:eastAsia="es-ES"/>
        </w:rPr>
        <w:t>verifica</w:t>
      </w:r>
      <w:r w:rsidR="001C59D9" w:rsidRPr="001C59D9">
        <w:rPr>
          <w:rFonts w:eastAsia="Times"/>
          <w:sz w:val="20"/>
          <w:szCs w:val="20"/>
          <w:lang w:val="es-ES_tradnl" w:eastAsia="es-ES"/>
        </w:rPr>
        <w:t xml:space="preserve"> que l</w:t>
      </w:r>
      <w:r w:rsidRPr="00811A5F">
        <w:rPr>
          <w:rFonts w:eastAsia="Times"/>
          <w:sz w:val="20"/>
          <w:szCs w:val="20"/>
          <w:lang w:val="es-ES_tradnl" w:eastAsia="es-ES"/>
        </w:rPr>
        <w:t>a presente solicitud de medidas provisionales no se relaciona con un c</w:t>
      </w:r>
      <w:r w:rsidR="001C59D9">
        <w:rPr>
          <w:rFonts w:eastAsia="Times"/>
          <w:sz w:val="20"/>
          <w:szCs w:val="20"/>
          <w:lang w:val="es-ES_tradnl" w:eastAsia="es-ES"/>
        </w:rPr>
        <w:t>aso en conocimiento de la Corte</w:t>
      </w:r>
      <w:r w:rsidRPr="00811A5F">
        <w:rPr>
          <w:rFonts w:eastAsia="Times"/>
          <w:sz w:val="20"/>
          <w:szCs w:val="20"/>
          <w:lang w:val="es-ES_tradnl" w:eastAsia="es-ES"/>
        </w:rPr>
        <w:t xml:space="preserve">. </w:t>
      </w:r>
      <w:r w:rsidRPr="001C59D9">
        <w:rPr>
          <w:rFonts w:eastAsia="Times"/>
          <w:sz w:val="20"/>
          <w:szCs w:val="20"/>
          <w:lang w:val="es-ES_tradnl" w:eastAsia="es-ES"/>
        </w:rPr>
        <w:t>Asimismo, la Comisi</w:t>
      </w:r>
      <w:r w:rsidR="001C59D9" w:rsidRPr="001C59D9">
        <w:rPr>
          <w:rFonts w:eastAsia="Times"/>
          <w:sz w:val="20"/>
          <w:szCs w:val="20"/>
          <w:lang w:val="es-ES_tradnl" w:eastAsia="es-ES"/>
        </w:rPr>
        <w:t xml:space="preserve">ón informó que no </w:t>
      </w:r>
      <w:r w:rsidR="001C59D9">
        <w:rPr>
          <w:rFonts w:eastAsia="Times"/>
          <w:sz w:val="20"/>
          <w:szCs w:val="20"/>
          <w:lang w:val="es-ES_tradnl" w:eastAsia="es-ES"/>
        </w:rPr>
        <w:t>ha recibido una</w:t>
      </w:r>
      <w:r w:rsidR="001C59D9" w:rsidRPr="00811A5F">
        <w:rPr>
          <w:rFonts w:eastAsia="Times"/>
          <w:sz w:val="20"/>
          <w:szCs w:val="20"/>
          <w:lang w:val="es-ES_tradnl" w:eastAsia="es-ES"/>
        </w:rPr>
        <w:t xml:space="preserve"> petición </w:t>
      </w:r>
      <w:r w:rsidR="001C59D9">
        <w:rPr>
          <w:rFonts w:eastAsia="Times"/>
          <w:sz w:val="20"/>
          <w:szCs w:val="20"/>
          <w:lang w:val="es-ES_tradnl" w:eastAsia="es-ES"/>
        </w:rPr>
        <w:t>individual sobre el fondo del ca</w:t>
      </w:r>
      <w:r w:rsidR="00A51E73">
        <w:rPr>
          <w:rFonts w:eastAsia="Times"/>
          <w:sz w:val="20"/>
          <w:szCs w:val="20"/>
          <w:lang w:val="es-ES_tradnl" w:eastAsia="es-ES"/>
        </w:rPr>
        <w:t>so, por lo que la medida atendería</w:t>
      </w:r>
      <w:r w:rsidR="001C59D9">
        <w:rPr>
          <w:rFonts w:eastAsia="Times"/>
          <w:sz w:val="20"/>
          <w:szCs w:val="20"/>
          <w:lang w:val="es-ES_tradnl" w:eastAsia="es-ES"/>
        </w:rPr>
        <w:t xml:space="preserve"> a la dimensión tutelar de dicho mecanismo. </w:t>
      </w:r>
    </w:p>
    <w:p w:rsidR="00557B48" w:rsidRDefault="00557B48" w:rsidP="00F76DD6">
      <w:pPr>
        <w:pStyle w:val="ListParagraph"/>
        <w:tabs>
          <w:tab w:val="left" w:pos="567"/>
        </w:tabs>
        <w:ind w:left="502"/>
        <w:jc w:val="both"/>
        <w:rPr>
          <w:rFonts w:ascii="Verdana" w:hAnsi="Verdana"/>
          <w:spacing w:val="-4"/>
          <w:sz w:val="20"/>
          <w:lang w:val="es-MX"/>
        </w:rPr>
      </w:pPr>
    </w:p>
    <w:p w:rsidR="00557B48" w:rsidRDefault="00557B48" w:rsidP="00BE0312">
      <w:pPr>
        <w:pStyle w:val="ListParagraph"/>
        <w:numPr>
          <w:ilvl w:val="0"/>
          <w:numId w:val="10"/>
        </w:numPr>
        <w:tabs>
          <w:tab w:val="left" w:pos="567"/>
        </w:tabs>
        <w:jc w:val="both"/>
        <w:rPr>
          <w:rFonts w:ascii="Verdana" w:hAnsi="Verdana"/>
          <w:b/>
          <w:i/>
          <w:spacing w:val="-4"/>
          <w:sz w:val="20"/>
          <w:lang w:val="es-MX"/>
        </w:rPr>
      </w:pPr>
      <w:r>
        <w:rPr>
          <w:rFonts w:ascii="Verdana" w:hAnsi="Verdana"/>
          <w:b/>
          <w:i/>
          <w:spacing w:val="-4"/>
          <w:sz w:val="20"/>
          <w:lang w:val="es-MX"/>
        </w:rPr>
        <w:t xml:space="preserve">Solicitud presentada por </w:t>
      </w:r>
      <w:r w:rsidR="00B45E2D">
        <w:rPr>
          <w:rFonts w:ascii="Verdana" w:hAnsi="Verdana"/>
          <w:b/>
          <w:i/>
          <w:spacing w:val="-4"/>
          <w:sz w:val="20"/>
          <w:lang w:val="es-MX"/>
        </w:rPr>
        <w:t>la Comisión</w:t>
      </w:r>
    </w:p>
    <w:p w:rsidR="00BE0312" w:rsidRPr="0053062D" w:rsidRDefault="00BE0312" w:rsidP="00BE0312">
      <w:pPr>
        <w:pStyle w:val="ListParagraph"/>
        <w:tabs>
          <w:tab w:val="left" w:pos="567"/>
        </w:tabs>
        <w:ind w:left="1068"/>
        <w:jc w:val="both"/>
        <w:rPr>
          <w:rFonts w:ascii="Verdana" w:eastAsia="Batang" w:hAnsi="Verdana"/>
          <w:sz w:val="20"/>
          <w:szCs w:val="22"/>
        </w:rPr>
      </w:pPr>
    </w:p>
    <w:p w:rsidR="00E53EEE" w:rsidRDefault="00E53EEE" w:rsidP="00E53EEE">
      <w:pPr>
        <w:pStyle w:val="Prrafodelista1"/>
        <w:numPr>
          <w:ilvl w:val="0"/>
          <w:numId w:val="7"/>
        </w:numPr>
        <w:tabs>
          <w:tab w:val="num" w:pos="0"/>
        </w:tabs>
        <w:ind w:left="0" w:firstLine="0"/>
        <w:jc w:val="both"/>
        <w:rPr>
          <w:sz w:val="20"/>
          <w:lang w:val="es-ES_tradnl"/>
        </w:rPr>
      </w:pPr>
      <w:r>
        <w:rPr>
          <w:sz w:val="20"/>
          <w:lang w:val="es-ES_tradnl"/>
        </w:rPr>
        <w:t>Primeramente, l</w:t>
      </w:r>
      <w:r w:rsidR="00BE0312" w:rsidRPr="0053062D">
        <w:rPr>
          <w:sz w:val="20"/>
          <w:lang w:val="es-ES_tradnl"/>
        </w:rPr>
        <w:t>a Comisión</w:t>
      </w:r>
      <w:r>
        <w:rPr>
          <w:sz w:val="20"/>
          <w:lang w:val="es-ES_tradnl"/>
        </w:rPr>
        <w:t xml:space="preserve"> hizo referencia a la </w:t>
      </w:r>
      <w:r w:rsidRPr="00E53EEE">
        <w:rPr>
          <w:sz w:val="20"/>
          <w:lang w:val="es-ES_tradnl"/>
        </w:rPr>
        <w:t xml:space="preserve">existencia de un contexto general de riesgo que </w:t>
      </w:r>
      <w:r w:rsidR="003A6DDA" w:rsidRPr="003A6DDA">
        <w:rPr>
          <w:sz w:val="20"/>
          <w:lang w:val="es-GT"/>
        </w:rPr>
        <w:t>“</w:t>
      </w:r>
      <w:r w:rsidRPr="00E53EEE">
        <w:rPr>
          <w:sz w:val="20"/>
          <w:lang w:val="es-ES_tradnl"/>
        </w:rPr>
        <w:t xml:space="preserve">ha venido siendo monitoreado por la Comisión desde </w:t>
      </w:r>
      <w:r w:rsidRPr="000A2D19">
        <w:rPr>
          <w:sz w:val="20"/>
          <w:lang w:val="es-ES_tradnl"/>
        </w:rPr>
        <w:t>hace más de un año</w:t>
      </w:r>
      <w:r w:rsidRPr="00E53EEE">
        <w:rPr>
          <w:sz w:val="20"/>
          <w:lang w:val="es-ES_tradnl"/>
        </w:rPr>
        <w:t xml:space="preserve"> para las comunidades indígenas de la Zona de la Costa del Caribe Norte de Nicaragua en el cual existe un conflicto de territorios entre integrantes de tales comunidades y terceros o “colonos” que ha tenido como consecuencia múltiples hechos de violencia que incluyen asesinatos, secuestros, lesiones, violaciones sexuales, destrucción de bienes y el desplazamiento de los integrantes de algunas comunidades</w:t>
      </w:r>
      <w:r w:rsidR="003A6DDA">
        <w:rPr>
          <w:sz w:val="20"/>
          <w:lang w:val="es-ES_tradnl"/>
        </w:rPr>
        <w:t xml:space="preserve">”. </w:t>
      </w:r>
      <w:r w:rsidR="006245E8">
        <w:rPr>
          <w:sz w:val="20"/>
          <w:lang w:val="es-ES_tradnl"/>
        </w:rPr>
        <w:t xml:space="preserve">Lo anterior se ha presentado en el marco de procesos de saneamiento y reivindicación de sus territorios ancestrales y la falta de protección por parte del Estado en este proceso. </w:t>
      </w:r>
      <w:r w:rsidR="00662DA9">
        <w:rPr>
          <w:sz w:val="20"/>
          <w:lang w:val="es-ES_tradnl"/>
        </w:rPr>
        <w:t>Frente a ello,</w:t>
      </w:r>
      <w:r w:rsidR="003A6DDA">
        <w:rPr>
          <w:sz w:val="20"/>
          <w:lang w:val="es-GT"/>
        </w:rPr>
        <w:t xml:space="preserve"> </w:t>
      </w:r>
      <w:r w:rsidR="000912AE">
        <w:rPr>
          <w:sz w:val="20"/>
          <w:lang w:val="es-GT"/>
        </w:rPr>
        <w:t>los días 14 de octubre de 2015; 16 de enero y 8 de agosto de 2016, la Comis</w:t>
      </w:r>
      <w:r w:rsidR="00237414">
        <w:rPr>
          <w:sz w:val="20"/>
          <w:lang w:val="es-GT"/>
        </w:rPr>
        <w:t>ión otorgó medidas cautelares a</w:t>
      </w:r>
      <w:r w:rsidR="000912AE">
        <w:rPr>
          <w:sz w:val="20"/>
          <w:lang w:val="es-GT"/>
        </w:rPr>
        <w:t xml:space="preserve"> favor de 12 comunidades localizadas en dicha región</w:t>
      </w:r>
      <w:r w:rsidR="00662DA9" w:rsidRPr="00662DA9">
        <w:rPr>
          <w:rFonts w:ascii="Cambria" w:eastAsia="MS Mincho" w:hAnsi="Cambria"/>
          <w:sz w:val="22"/>
          <w:vertAlign w:val="superscript"/>
          <w:lang w:val="es-CL"/>
        </w:rPr>
        <w:footnoteReference w:id="4"/>
      </w:r>
      <w:r w:rsidR="000912AE">
        <w:rPr>
          <w:sz w:val="20"/>
          <w:lang w:val="es-GT"/>
        </w:rPr>
        <w:t xml:space="preserve">. </w:t>
      </w:r>
      <w:r w:rsidR="000912AE" w:rsidRPr="00165816">
        <w:rPr>
          <w:sz w:val="20"/>
          <w:lang w:val="es-GT"/>
        </w:rPr>
        <w:t>En esta oportunidad</w:t>
      </w:r>
      <w:r w:rsidR="00662DA9" w:rsidRPr="00165816">
        <w:rPr>
          <w:sz w:val="20"/>
          <w:lang w:val="es-GT"/>
        </w:rPr>
        <w:t>,</w:t>
      </w:r>
      <w:r w:rsidR="000912AE" w:rsidRPr="00165816">
        <w:rPr>
          <w:sz w:val="20"/>
          <w:lang w:val="es-GT"/>
        </w:rPr>
        <w:t xml:space="preserve"> la Comisión </w:t>
      </w:r>
      <w:r w:rsidR="00662DA9" w:rsidRPr="00165816">
        <w:rPr>
          <w:sz w:val="20"/>
          <w:lang w:val="es-GT"/>
        </w:rPr>
        <w:t>ha solicitado</w:t>
      </w:r>
      <w:r w:rsidR="000912AE" w:rsidRPr="00165816">
        <w:rPr>
          <w:sz w:val="20"/>
          <w:lang w:val="es-GT"/>
        </w:rPr>
        <w:t xml:space="preserve"> a la Corte medidas provisionales </w:t>
      </w:r>
      <w:r w:rsidR="006A2334" w:rsidRPr="00165816">
        <w:rPr>
          <w:sz w:val="20"/>
          <w:lang w:val="es-GT"/>
        </w:rPr>
        <w:t>para</w:t>
      </w:r>
      <w:r w:rsidR="009F208B" w:rsidRPr="00165816">
        <w:rPr>
          <w:sz w:val="20"/>
          <w:lang w:val="es-GT"/>
        </w:rPr>
        <w:t xml:space="preserve"> </w:t>
      </w:r>
      <w:r w:rsidR="000912AE" w:rsidRPr="00165816">
        <w:rPr>
          <w:sz w:val="20"/>
          <w:lang w:val="es-GT"/>
        </w:rPr>
        <w:t xml:space="preserve">los pobladores </w:t>
      </w:r>
      <w:r w:rsidR="00A51E73" w:rsidRPr="00165816">
        <w:rPr>
          <w:sz w:val="20"/>
          <w:lang w:val="es-GT"/>
        </w:rPr>
        <w:t>“</w:t>
      </w:r>
      <w:r w:rsidR="000912AE" w:rsidRPr="00165816">
        <w:rPr>
          <w:sz w:val="20"/>
          <w:lang w:val="es-GT"/>
        </w:rPr>
        <w:t xml:space="preserve">de </w:t>
      </w:r>
      <w:r w:rsidR="00662DA9" w:rsidRPr="00165816">
        <w:rPr>
          <w:sz w:val="20"/>
          <w:lang w:val="es-GT"/>
        </w:rPr>
        <w:t xml:space="preserve">cinco </w:t>
      </w:r>
      <w:r w:rsidR="000912AE" w:rsidRPr="00165816">
        <w:rPr>
          <w:sz w:val="20"/>
          <w:lang w:val="es-GT"/>
        </w:rPr>
        <w:lastRenderedPageBreak/>
        <w:t>comunidades respecto de las cuales se cuenta con información más reciente sobre su situación de riesgo extremo</w:t>
      </w:r>
      <w:r w:rsidR="00A51E73" w:rsidRPr="00165816">
        <w:rPr>
          <w:sz w:val="20"/>
          <w:lang w:val="es-GT"/>
        </w:rPr>
        <w:t>”</w:t>
      </w:r>
      <w:r w:rsidR="000912AE">
        <w:rPr>
          <w:sz w:val="20"/>
          <w:lang w:val="es-GT"/>
        </w:rPr>
        <w:t xml:space="preserve">. </w:t>
      </w:r>
      <w:r w:rsidR="00662DA9">
        <w:rPr>
          <w:sz w:val="20"/>
          <w:lang w:val="es-GT"/>
        </w:rPr>
        <w:t>La Comisión señaló que, lo anterior, sin perjuicio de que ante un recrudecimiento del rie</w:t>
      </w:r>
      <w:r w:rsidR="001B1593">
        <w:rPr>
          <w:sz w:val="20"/>
          <w:lang w:val="es-GT"/>
        </w:rPr>
        <w:t>s</w:t>
      </w:r>
      <w:r w:rsidR="00662DA9">
        <w:rPr>
          <w:sz w:val="20"/>
          <w:lang w:val="es-GT"/>
        </w:rPr>
        <w:t xml:space="preserve">go en </w:t>
      </w:r>
      <w:r w:rsidR="00B76B91">
        <w:rPr>
          <w:sz w:val="20"/>
          <w:lang w:val="es-GT"/>
        </w:rPr>
        <w:t>las demás</w:t>
      </w:r>
      <w:r w:rsidR="00662DA9">
        <w:rPr>
          <w:sz w:val="20"/>
          <w:lang w:val="es-GT"/>
        </w:rPr>
        <w:t xml:space="preserve"> comunidades solicite una ampliación de </w:t>
      </w:r>
      <w:r w:rsidR="00B76B91">
        <w:rPr>
          <w:sz w:val="20"/>
          <w:lang w:val="es-GT"/>
        </w:rPr>
        <w:t>las</w:t>
      </w:r>
      <w:r w:rsidR="00662DA9">
        <w:rPr>
          <w:sz w:val="20"/>
          <w:lang w:val="es-GT"/>
        </w:rPr>
        <w:t xml:space="preserve"> medidas. </w:t>
      </w:r>
    </w:p>
    <w:p w:rsidR="00E53EEE" w:rsidRDefault="00E53EEE" w:rsidP="00E53EEE">
      <w:pPr>
        <w:pStyle w:val="Prrafodelista1"/>
        <w:ind w:left="360"/>
        <w:jc w:val="both"/>
        <w:rPr>
          <w:sz w:val="20"/>
          <w:lang w:val="es-ES_tradnl"/>
        </w:rPr>
      </w:pPr>
    </w:p>
    <w:p w:rsidR="00557B48" w:rsidRPr="00E53EEE" w:rsidRDefault="00E53EEE" w:rsidP="00557B48">
      <w:pPr>
        <w:pStyle w:val="Prrafodelista1"/>
        <w:numPr>
          <w:ilvl w:val="0"/>
          <w:numId w:val="7"/>
        </w:numPr>
        <w:tabs>
          <w:tab w:val="num" w:pos="0"/>
        </w:tabs>
        <w:ind w:left="0" w:firstLine="0"/>
        <w:jc w:val="both"/>
        <w:rPr>
          <w:sz w:val="20"/>
          <w:lang w:val="es-ES_tradnl"/>
        </w:rPr>
      </w:pPr>
      <w:r>
        <w:rPr>
          <w:sz w:val="20"/>
          <w:lang w:val="es-ES_tradnl"/>
        </w:rPr>
        <w:t xml:space="preserve">En particular, la Comisión </w:t>
      </w:r>
      <w:r w:rsidR="005D2D9A">
        <w:rPr>
          <w:sz w:val="20"/>
          <w:lang w:val="es-ES_tradnl"/>
        </w:rPr>
        <w:t>alegó</w:t>
      </w:r>
      <w:r w:rsidR="00557B48" w:rsidRPr="0053062D">
        <w:rPr>
          <w:sz w:val="20"/>
          <w:lang w:val="es-ES_tradnl"/>
        </w:rPr>
        <w:t xml:space="preserve"> la </w:t>
      </w:r>
      <w:r w:rsidR="00BE0312" w:rsidRPr="0053062D">
        <w:rPr>
          <w:sz w:val="20"/>
          <w:lang w:val="es-ES_tradnl"/>
        </w:rPr>
        <w:t xml:space="preserve">presunta existencia de una situación de extrema gravedad y urgencia y un riesgo inminente de que se materialice un daño irreparable a los derechos a la vida e integridad personal de las personas que permanecen en las comunidades indígenas </w:t>
      </w:r>
      <w:proofErr w:type="spellStart"/>
      <w:r w:rsidR="00B76B91" w:rsidRPr="006A2334">
        <w:rPr>
          <w:i/>
          <w:sz w:val="20"/>
          <w:lang w:val="es-ES_tradnl"/>
        </w:rPr>
        <w:t>M</w:t>
      </w:r>
      <w:r w:rsidR="00BE0312" w:rsidRPr="006A2334">
        <w:rPr>
          <w:i/>
          <w:sz w:val="20"/>
          <w:lang w:val="es-ES_tradnl"/>
        </w:rPr>
        <w:t>iskitu</w:t>
      </w:r>
      <w:proofErr w:type="spellEnd"/>
      <w:r w:rsidR="00BE0312" w:rsidRPr="0053062D">
        <w:rPr>
          <w:sz w:val="20"/>
          <w:lang w:val="es-ES_tradnl"/>
        </w:rPr>
        <w:t xml:space="preserve"> de </w:t>
      </w:r>
      <w:proofErr w:type="spellStart"/>
      <w:r w:rsidR="00BE0312" w:rsidRPr="004F0DDD">
        <w:rPr>
          <w:i/>
          <w:sz w:val="20"/>
          <w:lang w:val="es-ES_tradnl"/>
        </w:rPr>
        <w:t>Klisnak</w:t>
      </w:r>
      <w:proofErr w:type="spellEnd"/>
      <w:r w:rsidR="00BE0312" w:rsidRPr="004F0DDD">
        <w:rPr>
          <w:i/>
          <w:sz w:val="20"/>
          <w:lang w:val="es-ES_tradnl"/>
        </w:rPr>
        <w:t xml:space="preserve">, Wisconsin, </w:t>
      </w:r>
      <w:proofErr w:type="spellStart"/>
      <w:r w:rsidR="00BE0312" w:rsidRPr="004F0DDD">
        <w:rPr>
          <w:i/>
          <w:sz w:val="20"/>
          <w:lang w:val="es-ES_tradnl"/>
        </w:rPr>
        <w:t>Wiwinak</w:t>
      </w:r>
      <w:proofErr w:type="spellEnd"/>
      <w:r w:rsidR="00BE0312" w:rsidRPr="004F0DDD">
        <w:rPr>
          <w:i/>
          <w:sz w:val="20"/>
          <w:lang w:val="es-ES_tradnl"/>
        </w:rPr>
        <w:t xml:space="preserve">, San Jerónimo y Francia </w:t>
      </w:r>
      <w:proofErr w:type="spellStart"/>
      <w:r w:rsidR="00BE0312" w:rsidRPr="004F0DDD">
        <w:rPr>
          <w:i/>
          <w:sz w:val="20"/>
          <w:lang w:val="es-ES_tradnl"/>
        </w:rPr>
        <w:t>Sirpi</w:t>
      </w:r>
      <w:proofErr w:type="spellEnd"/>
      <w:r w:rsidR="00BE0312" w:rsidRPr="004F0DDD">
        <w:rPr>
          <w:sz w:val="20"/>
          <w:lang w:val="es-ES_tradnl"/>
        </w:rPr>
        <w:t>,</w:t>
      </w:r>
      <w:r w:rsidR="00BE0312" w:rsidRPr="0053062D">
        <w:rPr>
          <w:sz w:val="20"/>
          <w:lang w:val="es-ES_tradnl"/>
        </w:rPr>
        <w:t xml:space="preserve"> </w:t>
      </w:r>
      <w:r w:rsidR="005D2D9A">
        <w:rPr>
          <w:sz w:val="20"/>
          <w:lang w:val="es-ES_tradnl"/>
        </w:rPr>
        <w:t xml:space="preserve">respecto de las cuales se habría recrudecido </w:t>
      </w:r>
      <w:r w:rsidR="006A2334">
        <w:rPr>
          <w:sz w:val="20"/>
          <w:lang w:val="es-ES_tradnl"/>
        </w:rPr>
        <w:t>la situación de</w:t>
      </w:r>
      <w:r w:rsidR="005D2D9A">
        <w:rPr>
          <w:sz w:val="20"/>
          <w:lang w:val="es-ES_tradnl"/>
        </w:rPr>
        <w:t xml:space="preserve"> riesgo </w:t>
      </w:r>
      <w:r w:rsidR="00A51E73">
        <w:rPr>
          <w:sz w:val="20"/>
          <w:lang w:val="es-ES_tradnl"/>
        </w:rPr>
        <w:t xml:space="preserve">entre 2015 y el </w:t>
      </w:r>
      <w:r w:rsidRPr="0053062D">
        <w:rPr>
          <w:sz w:val="20"/>
          <w:lang w:val="es-ES_tradnl"/>
        </w:rPr>
        <w:t>presente año</w:t>
      </w:r>
      <w:r>
        <w:rPr>
          <w:sz w:val="20"/>
          <w:lang w:val="es-ES_tradnl"/>
        </w:rPr>
        <w:t xml:space="preserve"> 2016, </w:t>
      </w:r>
      <w:r w:rsidR="00BE0312" w:rsidRPr="0053062D">
        <w:rPr>
          <w:sz w:val="20"/>
          <w:lang w:val="es-ES_tradnl"/>
        </w:rPr>
        <w:t xml:space="preserve">destacando </w:t>
      </w:r>
      <w:r w:rsidR="00BE0312" w:rsidRPr="00315AE7">
        <w:rPr>
          <w:i/>
          <w:sz w:val="20"/>
          <w:lang w:val="es-ES_tradnl"/>
        </w:rPr>
        <w:t xml:space="preserve">inter </w:t>
      </w:r>
      <w:proofErr w:type="spellStart"/>
      <w:r w:rsidR="00BE0312" w:rsidRPr="00315AE7">
        <w:rPr>
          <w:i/>
          <w:sz w:val="20"/>
          <w:lang w:val="es-ES_tradnl"/>
        </w:rPr>
        <w:t>alia</w:t>
      </w:r>
      <w:proofErr w:type="spellEnd"/>
      <w:r w:rsidR="00BE0312" w:rsidRPr="0053062D">
        <w:rPr>
          <w:sz w:val="20"/>
          <w:lang w:val="es-ES_tradnl"/>
        </w:rPr>
        <w:t xml:space="preserve">, </w:t>
      </w:r>
      <w:r w:rsidR="00557B48" w:rsidRPr="0053062D">
        <w:rPr>
          <w:sz w:val="20"/>
          <w:lang w:val="es-ES_tradnl"/>
        </w:rPr>
        <w:t>los siguientes hechos y alegatos:</w:t>
      </w:r>
    </w:p>
    <w:p w:rsidR="00557B48" w:rsidRPr="00315AE7" w:rsidRDefault="00557B48" w:rsidP="00557B48">
      <w:pPr>
        <w:spacing w:after="0" w:line="240" w:lineRule="auto"/>
        <w:ind w:left="720"/>
        <w:jc w:val="both"/>
        <w:rPr>
          <w:rFonts w:ascii="Verdana" w:eastAsia="MS Mincho" w:hAnsi="Verdana" w:cs="Times New Roman"/>
          <w:sz w:val="18"/>
          <w:szCs w:val="18"/>
          <w:lang w:val="es-ES_tradnl"/>
        </w:rPr>
      </w:pPr>
    </w:p>
    <w:p w:rsidR="00557B48" w:rsidRPr="005D2D9A" w:rsidRDefault="00A51E73" w:rsidP="005D2D9A">
      <w:pPr>
        <w:numPr>
          <w:ilvl w:val="0"/>
          <w:numId w:val="2"/>
        </w:numPr>
        <w:spacing w:after="0" w:line="240" w:lineRule="auto"/>
        <w:ind w:left="720" w:hanging="360"/>
        <w:jc w:val="both"/>
        <w:rPr>
          <w:rFonts w:ascii="Verdana" w:eastAsia="MS Mincho" w:hAnsi="Verdana" w:cs="Times New Roman"/>
          <w:sz w:val="20"/>
          <w:szCs w:val="18"/>
          <w:lang w:val="es-ES_tradnl"/>
        </w:rPr>
      </w:pPr>
      <w:r>
        <w:rPr>
          <w:rFonts w:ascii="Verdana" w:eastAsia="MS Mincho" w:hAnsi="Verdana" w:cs="Times New Roman"/>
          <w:sz w:val="20"/>
          <w:szCs w:val="18"/>
          <w:lang w:val="es-ES_tradnl"/>
        </w:rPr>
        <w:t>Se han presentado s</w:t>
      </w:r>
      <w:r w:rsidR="005D2D9A">
        <w:rPr>
          <w:rFonts w:ascii="Verdana" w:eastAsia="MS Mincho" w:hAnsi="Verdana" w:cs="Times New Roman"/>
          <w:sz w:val="20"/>
          <w:szCs w:val="18"/>
          <w:lang w:val="es-ES_tradnl"/>
        </w:rPr>
        <w:t>ituaciones</w:t>
      </w:r>
      <w:r w:rsidR="009D63B4" w:rsidRPr="00662DA9">
        <w:rPr>
          <w:rFonts w:ascii="Verdana" w:eastAsia="MS Mincho" w:hAnsi="Verdana" w:cs="Times New Roman"/>
          <w:sz w:val="20"/>
          <w:szCs w:val="18"/>
          <w:lang w:val="es-ES_tradnl"/>
        </w:rPr>
        <w:t xml:space="preserve"> específica</w:t>
      </w:r>
      <w:r w:rsidR="00557B48" w:rsidRPr="00662DA9">
        <w:rPr>
          <w:rFonts w:ascii="Verdana" w:eastAsia="MS Mincho" w:hAnsi="Verdana" w:cs="Times New Roman"/>
          <w:sz w:val="20"/>
          <w:szCs w:val="18"/>
          <w:lang w:val="es-ES_tradnl"/>
        </w:rPr>
        <w:t xml:space="preserve">s de grave violencia presuntamente perpetrados por “colonos” que ya han ocurrido dentro de las comunidades donde se encuentran los pobladores propuestos como beneficiarios, a saber: </w:t>
      </w:r>
      <w:r w:rsidR="00557B48" w:rsidRPr="005D2D9A">
        <w:rPr>
          <w:rFonts w:ascii="Verdana" w:eastAsia="MS Mincho" w:hAnsi="Verdana" w:cs="Times New Roman"/>
          <w:sz w:val="20"/>
          <w:szCs w:val="18"/>
          <w:lang w:val="es-ES_tradnl"/>
        </w:rPr>
        <w:t xml:space="preserve">a) en la </w:t>
      </w:r>
      <w:r w:rsidR="00557B48" w:rsidRPr="000772AE">
        <w:rPr>
          <w:rFonts w:ascii="Verdana" w:eastAsia="MS Mincho" w:hAnsi="Verdana" w:cs="Times New Roman"/>
          <w:sz w:val="20"/>
          <w:szCs w:val="18"/>
          <w:lang w:val="es-ES_tradnl"/>
        </w:rPr>
        <w:t>Comunidad de</w:t>
      </w:r>
      <w:r w:rsidR="00557B48" w:rsidRPr="000772AE">
        <w:rPr>
          <w:rFonts w:ascii="Verdana" w:eastAsia="MS Mincho" w:hAnsi="Verdana" w:cs="Times New Roman"/>
          <w:i/>
          <w:sz w:val="20"/>
          <w:szCs w:val="18"/>
          <w:lang w:val="es-ES_tradnl"/>
        </w:rPr>
        <w:t xml:space="preserve"> </w:t>
      </w:r>
      <w:proofErr w:type="spellStart"/>
      <w:r w:rsidR="00557B48" w:rsidRPr="000772AE">
        <w:rPr>
          <w:rFonts w:ascii="Verdana" w:eastAsia="MS Mincho" w:hAnsi="Verdana" w:cs="Times New Roman"/>
          <w:i/>
          <w:sz w:val="20"/>
          <w:szCs w:val="18"/>
          <w:lang w:val="es-ES_tradnl"/>
        </w:rPr>
        <w:t>Klisnak</w:t>
      </w:r>
      <w:proofErr w:type="spellEnd"/>
      <w:r w:rsidR="00557B48" w:rsidRPr="000772AE">
        <w:rPr>
          <w:rFonts w:ascii="Verdana" w:eastAsia="MS Mincho" w:hAnsi="Verdana" w:cs="Times New Roman"/>
          <w:i/>
          <w:sz w:val="20"/>
          <w:szCs w:val="18"/>
          <w:lang w:val="es-ES_tradnl"/>
        </w:rPr>
        <w:t xml:space="preserve">, </w:t>
      </w:r>
      <w:r w:rsidR="00557B48" w:rsidRPr="000772AE">
        <w:rPr>
          <w:rFonts w:ascii="Verdana" w:eastAsia="MS Mincho" w:hAnsi="Verdana" w:cs="Times New Roman"/>
          <w:sz w:val="20"/>
          <w:szCs w:val="18"/>
          <w:lang w:val="es-ES_tradnl"/>
        </w:rPr>
        <w:t>asesinatos, amedrentamientos a las patrullas comunitarias que realizan los recorridos perimetrales, el secuestro y violación sexual de una pobladora, así como el desplazamiento de la mayoría de los miembros de la comunidad; b) en la Comunidad de</w:t>
      </w:r>
      <w:r w:rsidR="00557B48" w:rsidRPr="000772AE">
        <w:rPr>
          <w:rFonts w:ascii="Verdana" w:eastAsia="MS Mincho" w:hAnsi="Verdana" w:cs="Times New Roman"/>
          <w:i/>
          <w:sz w:val="20"/>
          <w:szCs w:val="18"/>
          <w:lang w:val="es-ES_tradnl"/>
        </w:rPr>
        <w:t xml:space="preserve"> Wisconsin,</w:t>
      </w:r>
      <w:r w:rsidR="00557B48" w:rsidRPr="000772AE">
        <w:rPr>
          <w:rFonts w:ascii="Verdana" w:eastAsia="MS Mincho" w:hAnsi="Verdana" w:cs="Times New Roman"/>
          <w:sz w:val="20"/>
          <w:szCs w:val="18"/>
          <w:lang w:val="es-ES_tradnl"/>
        </w:rPr>
        <w:t xml:space="preserve"> una emboscada a un poblador por 10 “colonos” y su posterior asesinato, enfrentamientos con “colonos” con el resultado de pobladores heridos, incendio de viviendas, destrucción de alimentos, robo de animales y ataques a la patrulla comunitaria que realiza la vigilancia perimetral; c) en la Comunidad de</w:t>
      </w:r>
      <w:r w:rsidR="00557B48" w:rsidRPr="000772AE">
        <w:rPr>
          <w:rFonts w:ascii="Verdana" w:eastAsia="MS Mincho" w:hAnsi="Verdana" w:cs="Times New Roman"/>
          <w:i/>
          <w:sz w:val="20"/>
          <w:szCs w:val="18"/>
          <w:lang w:val="es-ES_tradnl"/>
        </w:rPr>
        <w:t xml:space="preserve"> </w:t>
      </w:r>
      <w:proofErr w:type="spellStart"/>
      <w:r w:rsidR="00557B48" w:rsidRPr="000772AE">
        <w:rPr>
          <w:rFonts w:ascii="Verdana" w:eastAsia="MS Mincho" w:hAnsi="Verdana" w:cs="Times New Roman"/>
          <w:i/>
          <w:sz w:val="20"/>
          <w:szCs w:val="18"/>
          <w:lang w:val="es-ES_tradnl"/>
        </w:rPr>
        <w:t>Wiwinak</w:t>
      </w:r>
      <w:proofErr w:type="spellEnd"/>
      <w:r w:rsidR="00557B48" w:rsidRPr="000772AE">
        <w:rPr>
          <w:rFonts w:ascii="Verdana" w:eastAsia="MS Mincho" w:hAnsi="Verdana" w:cs="Times New Roman"/>
          <w:i/>
          <w:sz w:val="20"/>
          <w:szCs w:val="18"/>
          <w:lang w:val="es-ES_tradnl"/>
        </w:rPr>
        <w:t xml:space="preserve">, </w:t>
      </w:r>
      <w:r w:rsidR="00557B48" w:rsidRPr="000772AE">
        <w:rPr>
          <w:rFonts w:ascii="Verdana" w:eastAsia="MS Mincho" w:hAnsi="Verdana" w:cs="Times New Roman"/>
          <w:sz w:val="20"/>
          <w:szCs w:val="18"/>
          <w:lang w:val="es-ES_tradnl"/>
        </w:rPr>
        <w:t>el asesinato de un poblador por “colonos”, el secuestro de 7 miembros de la comunidad por siete días y la presunta violación sexual de dos pobladoras; d) en la Comunidad de</w:t>
      </w:r>
      <w:r w:rsidR="00557B48" w:rsidRPr="000772AE">
        <w:rPr>
          <w:rFonts w:ascii="Verdana" w:eastAsia="MS Mincho" w:hAnsi="Verdana" w:cs="Times New Roman"/>
          <w:i/>
          <w:sz w:val="20"/>
          <w:szCs w:val="18"/>
          <w:lang w:val="es-ES_tradnl"/>
        </w:rPr>
        <w:t xml:space="preserve"> San Jerónimo, </w:t>
      </w:r>
      <w:r w:rsidR="00557B48" w:rsidRPr="000772AE">
        <w:rPr>
          <w:rFonts w:ascii="Verdana" w:eastAsia="MS Mincho" w:hAnsi="Verdana" w:cs="Times New Roman"/>
          <w:sz w:val="20"/>
          <w:szCs w:val="18"/>
          <w:lang w:val="es-ES_tradnl"/>
        </w:rPr>
        <w:t>el asesinato de un agricultor y ataques contra la patrulla comunitaria de vigilancia, quema de parcelas enteras, talado desmedido de bosques y amedrentamientos para realizar el cuidado de sus parcelas; y e) en la Comunidad de</w:t>
      </w:r>
      <w:r w:rsidR="00557B48" w:rsidRPr="000772AE">
        <w:rPr>
          <w:rFonts w:ascii="Verdana" w:eastAsia="MS Mincho" w:hAnsi="Verdana" w:cs="Times New Roman"/>
          <w:i/>
          <w:sz w:val="20"/>
          <w:szCs w:val="18"/>
          <w:lang w:val="es-ES_tradnl"/>
        </w:rPr>
        <w:t xml:space="preserve"> Francia </w:t>
      </w:r>
      <w:proofErr w:type="spellStart"/>
      <w:r w:rsidR="00557B48" w:rsidRPr="000772AE">
        <w:rPr>
          <w:rFonts w:ascii="Verdana" w:eastAsia="MS Mincho" w:hAnsi="Verdana" w:cs="Times New Roman"/>
          <w:i/>
          <w:sz w:val="20"/>
          <w:szCs w:val="18"/>
          <w:lang w:val="es-ES_tradnl"/>
        </w:rPr>
        <w:t>Sirpi</w:t>
      </w:r>
      <w:proofErr w:type="spellEnd"/>
      <w:r w:rsidR="00557B48" w:rsidRPr="000772AE">
        <w:rPr>
          <w:rFonts w:ascii="Verdana" w:eastAsia="MS Mincho" w:hAnsi="Verdana" w:cs="Times New Roman"/>
          <w:sz w:val="20"/>
          <w:szCs w:val="18"/>
          <w:lang w:val="es-ES_tradnl"/>
        </w:rPr>
        <w:t>, el secuestro del “anciano comunal”, la quema de la casa del líder local, ataques armados</w:t>
      </w:r>
      <w:r w:rsidR="00557B48" w:rsidRPr="005D2D9A">
        <w:rPr>
          <w:rFonts w:ascii="Verdana" w:eastAsia="MS Mincho" w:hAnsi="Verdana" w:cs="Times New Roman"/>
          <w:sz w:val="20"/>
          <w:szCs w:val="18"/>
          <w:lang w:val="es-ES_tradnl"/>
        </w:rPr>
        <w:t xml:space="preserve"> en los que han resultado heridos diversos pobladores, disparos indiscriminados contra las viviendas de los pobladores y una carta con un ultimátum para entregar sus territorios. </w:t>
      </w:r>
    </w:p>
    <w:p w:rsidR="00557B48" w:rsidRPr="00662DA9" w:rsidRDefault="00557B48" w:rsidP="00557B48">
      <w:pPr>
        <w:spacing w:after="0" w:line="240" w:lineRule="auto"/>
        <w:ind w:left="720"/>
        <w:jc w:val="both"/>
        <w:rPr>
          <w:rFonts w:ascii="Verdana" w:eastAsia="MS Mincho" w:hAnsi="Verdana" w:cs="Times New Roman"/>
          <w:sz w:val="20"/>
          <w:szCs w:val="18"/>
          <w:lang w:val="es-ES_tradnl"/>
        </w:rPr>
      </w:pPr>
    </w:p>
    <w:p w:rsidR="00557B48" w:rsidRPr="00662DA9" w:rsidRDefault="00557B48" w:rsidP="00557B48">
      <w:pPr>
        <w:numPr>
          <w:ilvl w:val="0"/>
          <w:numId w:val="2"/>
        </w:numPr>
        <w:spacing w:after="0" w:line="240" w:lineRule="auto"/>
        <w:ind w:left="720" w:hanging="360"/>
        <w:jc w:val="both"/>
        <w:rPr>
          <w:rFonts w:ascii="Verdana" w:eastAsia="MS Mincho" w:hAnsi="Verdana" w:cs="Times New Roman"/>
          <w:sz w:val="20"/>
          <w:szCs w:val="18"/>
          <w:lang w:val="es-ES_tradnl"/>
        </w:rPr>
      </w:pPr>
      <w:r w:rsidRPr="00662DA9">
        <w:rPr>
          <w:rFonts w:ascii="Verdana" w:eastAsia="MS Mincho" w:hAnsi="Verdana" w:cs="Arial"/>
          <w:sz w:val="20"/>
          <w:szCs w:val="18"/>
          <w:lang w:val="es-CL"/>
        </w:rPr>
        <w:t xml:space="preserve">La amplia capacidad de actuación de los terceros o “colonos”, acreditada en la posesión de armas de fuego, movilidad en la zona y la frecuencia de los ataques sin que se cuente con información alguna sobre medidas estatales para contrarrestar la actuación de dichas personas. La ausencia de medidas no sólo se limita a la falta de respuesta oportuna frente a cada uno de los hechos individualmente considerados, sino que refleja una aparente total indiferencia frente al riesgo continuo derivado de la situación de violencia estructural de la zona. En efecto, la información disponible indica que el Estado no ha realizado un diagnóstico serio sobre el conflicto territorial que tiene lugar en este espacio geográfico claramente delimitado y con actores también claramente identificados. </w:t>
      </w:r>
    </w:p>
    <w:p w:rsidR="00557B48" w:rsidRPr="00662DA9" w:rsidRDefault="00557B48" w:rsidP="00557B48">
      <w:pPr>
        <w:spacing w:after="0" w:line="240" w:lineRule="auto"/>
        <w:ind w:left="720"/>
        <w:jc w:val="both"/>
        <w:rPr>
          <w:rFonts w:ascii="Verdana" w:eastAsia="MS Mincho" w:hAnsi="Verdana" w:cs="Times New Roman"/>
          <w:sz w:val="20"/>
          <w:szCs w:val="18"/>
          <w:lang w:val="es-ES_tradnl"/>
        </w:rPr>
      </w:pPr>
    </w:p>
    <w:p w:rsidR="00557B48" w:rsidRPr="00662DA9" w:rsidRDefault="00557B48" w:rsidP="00557B48">
      <w:pPr>
        <w:numPr>
          <w:ilvl w:val="0"/>
          <w:numId w:val="2"/>
        </w:numPr>
        <w:spacing w:after="0" w:line="240" w:lineRule="auto"/>
        <w:ind w:left="720" w:hanging="360"/>
        <w:jc w:val="both"/>
        <w:rPr>
          <w:rFonts w:ascii="Verdana" w:eastAsia="MS Mincho" w:hAnsi="Verdana" w:cs="Times New Roman"/>
          <w:sz w:val="20"/>
          <w:szCs w:val="18"/>
          <w:lang w:val="es-ES_tradnl"/>
        </w:rPr>
      </w:pPr>
      <w:r w:rsidRPr="00662DA9">
        <w:rPr>
          <w:rFonts w:ascii="Verdana" w:eastAsia="MS Mincho" w:hAnsi="Verdana" w:cs="Times New Roman"/>
          <w:sz w:val="20"/>
          <w:szCs w:val="18"/>
          <w:lang w:val="es-ES_tradnl"/>
        </w:rPr>
        <w:t xml:space="preserve">La destrucción de viviendas, cultivos, cosechas y el robo de ganado por la actuación de “colonos”, situación que sumada al efecto amedrentador de las agresiones y ataques, han generado temor de los pobladores de cuidar sus parcelas o de realizar actividades de caza. Todo ello, ha alterado la forma natural de vida de las comunidades, afectando sus condiciones culturales, económicas y sociales, colocando a las comunidades en una situación de </w:t>
      </w:r>
      <w:r w:rsidRPr="00662DA9">
        <w:rPr>
          <w:rFonts w:ascii="Verdana" w:eastAsia="MS Mincho" w:hAnsi="Verdana" w:cs="Arial"/>
          <w:sz w:val="20"/>
          <w:szCs w:val="18"/>
          <w:lang w:val="es-CL"/>
        </w:rPr>
        <w:t xml:space="preserve">inminente emergencia de seguridad alimentaria, lo que se constituye en un factor agravante del riesgo a la vida y a la integridad personal de los propuestos beneficiarios. </w:t>
      </w:r>
    </w:p>
    <w:p w:rsidR="00557B48" w:rsidRPr="00662DA9" w:rsidRDefault="00557B48" w:rsidP="00557B48">
      <w:pPr>
        <w:spacing w:after="0" w:line="240" w:lineRule="auto"/>
        <w:rPr>
          <w:rFonts w:ascii="Verdana" w:eastAsia="MS Mincho" w:hAnsi="Verdana" w:cs="Times New Roman"/>
          <w:sz w:val="20"/>
          <w:szCs w:val="18"/>
          <w:lang w:val="es-ES"/>
        </w:rPr>
      </w:pPr>
    </w:p>
    <w:p w:rsidR="00557B48" w:rsidRPr="002A0FDB" w:rsidRDefault="00557B48" w:rsidP="002A0FDB">
      <w:pPr>
        <w:numPr>
          <w:ilvl w:val="0"/>
          <w:numId w:val="2"/>
        </w:numPr>
        <w:spacing w:after="0" w:line="240" w:lineRule="auto"/>
        <w:ind w:left="720" w:hanging="360"/>
        <w:jc w:val="both"/>
        <w:rPr>
          <w:rFonts w:ascii="Verdana" w:eastAsia="MS Mincho" w:hAnsi="Verdana" w:cs="Times New Roman"/>
          <w:sz w:val="20"/>
          <w:szCs w:val="18"/>
          <w:lang w:val="es-ES_tradnl"/>
        </w:rPr>
      </w:pPr>
      <w:r w:rsidRPr="002A0FDB">
        <w:rPr>
          <w:rFonts w:ascii="Verdana" w:eastAsia="MS Mincho" w:hAnsi="Verdana" w:cs="Times New Roman"/>
          <w:sz w:val="20"/>
          <w:szCs w:val="18"/>
          <w:lang w:val="es-ES_tradnl"/>
        </w:rPr>
        <w:lastRenderedPageBreak/>
        <w:t xml:space="preserve">El riesgo de desplazamiento forzado y consecuente riesgo de abandono de los territorios que reivindican como su propiedad ancestral, el cual ya se ha materializado en otras comunidades ante los hechos de violencia similares. </w:t>
      </w:r>
      <w:r w:rsidR="002A0FDB" w:rsidRPr="000A2D19">
        <w:rPr>
          <w:rFonts w:ascii="Verdana" w:eastAsia="MS Mincho" w:hAnsi="Verdana" w:cs="Arial"/>
          <w:sz w:val="20"/>
          <w:szCs w:val="18"/>
          <w:lang w:val="es-CL"/>
        </w:rPr>
        <w:t>Esta situación podría tener por consecuencia, en un período breve de tiempo, el completo abandono de los territorios, incrementando su situación de vulnerabilidad.</w:t>
      </w:r>
    </w:p>
    <w:p w:rsidR="00557B48" w:rsidRPr="00662DA9" w:rsidRDefault="00557B48" w:rsidP="00557B48">
      <w:pPr>
        <w:spacing w:after="0" w:line="240" w:lineRule="auto"/>
        <w:rPr>
          <w:rFonts w:ascii="Verdana" w:eastAsia="MS Mincho" w:hAnsi="Verdana" w:cs="Times New Roman"/>
          <w:sz w:val="20"/>
          <w:szCs w:val="18"/>
          <w:lang w:val="es-ES_tradnl"/>
        </w:rPr>
      </w:pPr>
    </w:p>
    <w:p w:rsidR="00557B48" w:rsidRPr="00662DA9" w:rsidRDefault="00557B48" w:rsidP="003F4890">
      <w:pPr>
        <w:numPr>
          <w:ilvl w:val="0"/>
          <w:numId w:val="2"/>
        </w:numPr>
        <w:spacing w:after="0" w:line="240" w:lineRule="auto"/>
        <w:ind w:left="720" w:hanging="360"/>
        <w:jc w:val="both"/>
        <w:rPr>
          <w:rFonts w:ascii="Verdana" w:eastAsia="MS Mincho" w:hAnsi="Verdana" w:cs="Arial"/>
          <w:sz w:val="20"/>
          <w:szCs w:val="18"/>
          <w:lang w:val="es-CL"/>
        </w:rPr>
      </w:pPr>
      <w:r w:rsidRPr="00662DA9">
        <w:rPr>
          <w:rFonts w:ascii="Verdana" w:eastAsia="MS Mincho" w:hAnsi="Verdana" w:cs="Arial"/>
          <w:sz w:val="20"/>
          <w:szCs w:val="18"/>
          <w:lang w:val="es-CL"/>
        </w:rPr>
        <w:t xml:space="preserve">En suma, la situación planteada acredita el extremo riesgo de daño irreparable a la vida e integridad personal de los pobladores de </w:t>
      </w:r>
      <w:r w:rsidR="002A0FDB">
        <w:rPr>
          <w:rFonts w:ascii="Verdana" w:eastAsia="MS Mincho" w:hAnsi="Verdana" w:cs="Arial"/>
          <w:sz w:val="20"/>
          <w:szCs w:val="18"/>
          <w:lang w:val="es-CL"/>
        </w:rPr>
        <w:t xml:space="preserve">estas </w:t>
      </w:r>
      <w:r w:rsidRPr="00662DA9">
        <w:rPr>
          <w:rFonts w:ascii="Verdana" w:eastAsia="MS Mincho" w:hAnsi="Verdana" w:cs="Arial"/>
          <w:sz w:val="20"/>
          <w:szCs w:val="18"/>
          <w:lang w:val="es-CL"/>
        </w:rPr>
        <w:t>comunidades, así como la posible pérdida del territorio que reivindican como su propiedad ancestral.</w:t>
      </w:r>
    </w:p>
    <w:p w:rsidR="00557B48" w:rsidRPr="00662DA9" w:rsidRDefault="00557B48" w:rsidP="003F4890">
      <w:pPr>
        <w:spacing w:after="0" w:line="240" w:lineRule="auto"/>
        <w:ind w:left="720"/>
        <w:jc w:val="both"/>
        <w:rPr>
          <w:rFonts w:ascii="Verdana" w:eastAsia="MS Mincho" w:hAnsi="Verdana" w:cs="Arial"/>
          <w:sz w:val="20"/>
          <w:szCs w:val="18"/>
          <w:lang w:val="es-CL"/>
        </w:rPr>
      </w:pPr>
    </w:p>
    <w:p w:rsidR="00557B48" w:rsidRPr="002A0FDB" w:rsidRDefault="00557B48" w:rsidP="002A0FDB">
      <w:pPr>
        <w:numPr>
          <w:ilvl w:val="0"/>
          <w:numId w:val="2"/>
        </w:numPr>
        <w:spacing w:after="0" w:line="240" w:lineRule="auto"/>
        <w:ind w:left="720" w:hanging="360"/>
        <w:jc w:val="both"/>
        <w:rPr>
          <w:rFonts w:ascii="Verdana" w:eastAsia="MS Mincho" w:hAnsi="Verdana" w:cs="Arial"/>
          <w:sz w:val="20"/>
          <w:szCs w:val="18"/>
          <w:lang w:val="es-CL"/>
        </w:rPr>
      </w:pPr>
      <w:r w:rsidRPr="00662DA9">
        <w:rPr>
          <w:rFonts w:ascii="Verdana" w:eastAsia="MS Mincho" w:hAnsi="Verdana" w:cs="Arial"/>
          <w:sz w:val="20"/>
          <w:szCs w:val="18"/>
          <w:lang w:val="es-CL"/>
        </w:rPr>
        <w:t>En cuanto a la respuesta estatal frente a estos hechos de</w:t>
      </w:r>
      <w:r w:rsidR="00DB65F1" w:rsidRPr="00662DA9">
        <w:rPr>
          <w:rFonts w:ascii="Verdana" w:eastAsia="MS Mincho" w:hAnsi="Verdana" w:cs="Arial"/>
          <w:sz w:val="20"/>
          <w:szCs w:val="18"/>
          <w:lang w:val="es-CL"/>
        </w:rPr>
        <w:t xml:space="preserve"> violencia, la Comisión alegó</w:t>
      </w:r>
      <w:r w:rsidRPr="00662DA9">
        <w:rPr>
          <w:rFonts w:ascii="Verdana" w:eastAsia="MS Mincho" w:hAnsi="Verdana" w:cs="Arial"/>
          <w:sz w:val="20"/>
          <w:szCs w:val="18"/>
          <w:lang w:val="es-CL"/>
        </w:rPr>
        <w:t xml:space="preserve"> que, a pesar de la adopción de medidas cautelares, no se cuenta con información del Estado sobre medidas efectivamente adoptadas para proteger la vida e integridad personal de los pobladores propuestos como beneficiarios, así como para investigar los hechos de violencia descritos. </w:t>
      </w:r>
      <w:r w:rsidRPr="000857BA">
        <w:rPr>
          <w:rFonts w:ascii="Verdana" w:eastAsia="MS Mincho" w:hAnsi="Verdana" w:cs="Arial"/>
          <w:sz w:val="20"/>
          <w:szCs w:val="18"/>
          <w:lang w:val="es-CL"/>
        </w:rPr>
        <w:t xml:space="preserve">La falta de respuesta del Estado de Nicaragua, </w:t>
      </w:r>
      <w:r w:rsidRPr="006A2334">
        <w:rPr>
          <w:rFonts w:ascii="Verdana" w:eastAsia="MS Mincho" w:hAnsi="Verdana" w:cs="Arial"/>
          <w:sz w:val="20"/>
          <w:szCs w:val="18"/>
          <w:lang w:val="es-CL"/>
        </w:rPr>
        <w:t>no obstante las múltiples denuncias interpuestas por los miembros de las comunidades,</w:t>
      </w:r>
      <w:r w:rsidRPr="000857BA">
        <w:rPr>
          <w:rFonts w:ascii="Verdana" w:eastAsia="MS Mincho" w:hAnsi="Verdana" w:cs="Arial"/>
          <w:sz w:val="20"/>
          <w:szCs w:val="18"/>
          <w:lang w:val="es-CL"/>
        </w:rPr>
        <w:t xml:space="preserve"> el comunicado de prensa emitido denunciando la preocupante situación</w:t>
      </w:r>
      <w:r w:rsidR="006245E8" w:rsidRPr="000857BA">
        <w:rPr>
          <w:rStyle w:val="FootnoteReference"/>
          <w:rFonts w:ascii="Cambria" w:hAnsi="Cambria"/>
          <w:lang w:val="es-CL"/>
        </w:rPr>
        <w:footnoteReference w:id="5"/>
      </w:r>
      <w:r w:rsidRPr="000857BA">
        <w:rPr>
          <w:rFonts w:ascii="Verdana" w:eastAsia="MS Mincho" w:hAnsi="Verdana" w:cs="Arial"/>
          <w:sz w:val="20"/>
          <w:szCs w:val="18"/>
          <w:lang w:val="es-CL"/>
        </w:rPr>
        <w:t xml:space="preserve"> y el pronunciamiento de la Relatora Especial de las Naciones Unidas</w:t>
      </w:r>
      <w:r w:rsidR="002A0FDB" w:rsidRPr="000857BA">
        <w:rPr>
          <w:rFonts w:ascii="Cambria" w:eastAsia="MS Mincho" w:hAnsi="Cambria" w:cs="Times New Roman"/>
          <w:vertAlign w:val="superscript"/>
          <w:lang w:val="es-CL"/>
        </w:rPr>
        <w:footnoteReference w:id="6"/>
      </w:r>
      <w:r w:rsidRPr="000857BA">
        <w:rPr>
          <w:rFonts w:ascii="Verdana" w:eastAsia="MS Mincho" w:hAnsi="Verdana" w:cs="Arial"/>
          <w:sz w:val="20"/>
          <w:szCs w:val="18"/>
          <w:lang w:val="es-CL"/>
        </w:rPr>
        <w:t>,</w:t>
      </w:r>
      <w:r w:rsidRPr="00662DA9">
        <w:rPr>
          <w:rFonts w:ascii="Verdana" w:eastAsia="MS Mincho" w:hAnsi="Verdana" w:cs="Arial"/>
          <w:sz w:val="20"/>
          <w:szCs w:val="18"/>
          <w:lang w:val="es-CL"/>
        </w:rPr>
        <w:t xml:space="preserve"> resulta un elemento relevante de análisis en virtud de que impide a la Comisión contar con información oficial sobre la situación aportada por los representantes y obstaculiza dar seguimiento a la situación de extrema gravedad en que se encuentran </w:t>
      </w:r>
      <w:r w:rsidR="002A0FDB">
        <w:rPr>
          <w:rFonts w:ascii="Verdana" w:eastAsia="MS Mincho" w:hAnsi="Verdana" w:cs="Arial"/>
          <w:sz w:val="20"/>
          <w:szCs w:val="18"/>
          <w:lang w:val="es-CL"/>
        </w:rPr>
        <w:t>dichos pobladores.</w:t>
      </w:r>
    </w:p>
    <w:p w:rsidR="00557B48" w:rsidRPr="00662DA9" w:rsidRDefault="00557B48" w:rsidP="003F4890">
      <w:pPr>
        <w:spacing w:after="0" w:line="240" w:lineRule="auto"/>
        <w:ind w:left="720"/>
        <w:jc w:val="both"/>
        <w:rPr>
          <w:rFonts w:ascii="Verdana" w:eastAsia="MS Mincho" w:hAnsi="Verdana" w:cs="Arial"/>
          <w:sz w:val="20"/>
          <w:szCs w:val="18"/>
          <w:lang w:val="es-CL"/>
        </w:rPr>
      </w:pPr>
    </w:p>
    <w:p w:rsidR="00A21899" w:rsidRPr="00345B22" w:rsidRDefault="00557B48" w:rsidP="00345B22">
      <w:pPr>
        <w:numPr>
          <w:ilvl w:val="0"/>
          <w:numId w:val="2"/>
        </w:numPr>
        <w:spacing w:after="0" w:line="240" w:lineRule="auto"/>
        <w:ind w:left="720" w:hanging="360"/>
        <w:jc w:val="both"/>
        <w:rPr>
          <w:rFonts w:ascii="Verdana" w:eastAsia="MS Mincho" w:hAnsi="Verdana" w:cs="Arial"/>
          <w:sz w:val="20"/>
          <w:szCs w:val="18"/>
          <w:lang w:val="es-CL"/>
        </w:rPr>
      </w:pPr>
      <w:r w:rsidRPr="00662DA9">
        <w:rPr>
          <w:rFonts w:ascii="Verdana" w:eastAsia="MS Mincho" w:hAnsi="Verdana" w:cs="Arial"/>
          <w:sz w:val="20"/>
          <w:szCs w:val="18"/>
          <w:lang w:val="es-CL"/>
        </w:rPr>
        <w:t xml:space="preserve">Finalmente, la Comisión </w:t>
      </w:r>
      <w:r w:rsidR="00345B22">
        <w:rPr>
          <w:rFonts w:ascii="Verdana" w:eastAsia="MS Mincho" w:hAnsi="Verdana" w:cs="Arial"/>
          <w:sz w:val="20"/>
          <w:szCs w:val="18"/>
          <w:lang w:val="es-CL"/>
        </w:rPr>
        <w:t>enfatizó</w:t>
      </w:r>
      <w:r w:rsidRPr="00662DA9">
        <w:rPr>
          <w:rFonts w:ascii="Verdana" w:eastAsia="MS Mincho" w:hAnsi="Verdana" w:cs="Arial"/>
          <w:sz w:val="20"/>
          <w:szCs w:val="18"/>
          <w:lang w:val="es-CL"/>
        </w:rPr>
        <w:t xml:space="preserve"> que ante la falta de respuesta estatal, el mecanismo de medidas provisional</w:t>
      </w:r>
      <w:r w:rsidR="00DB65F1" w:rsidRPr="00662DA9">
        <w:rPr>
          <w:rFonts w:ascii="Verdana" w:eastAsia="MS Mincho" w:hAnsi="Verdana" w:cs="Arial"/>
          <w:sz w:val="20"/>
          <w:szCs w:val="18"/>
          <w:lang w:val="es-CL"/>
        </w:rPr>
        <w:t>es previsto en el artículo 63.2</w:t>
      </w:r>
      <w:r w:rsidRPr="00662DA9">
        <w:rPr>
          <w:rFonts w:ascii="Verdana" w:eastAsia="MS Mincho" w:hAnsi="Verdana" w:cs="Arial"/>
          <w:sz w:val="20"/>
          <w:szCs w:val="18"/>
          <w:lang w:val="es-CL"/>
        </w:rPr>
        <w:t xml:space="preserve"> de la Convención constituye la única vía de protección disponible para los pobladores que continúan residiendo en las comunidades de </w:t>
      </w:r>
      <w:proofErr w:type="spellStart"/>
      <w:r w:rsidRPr="006245E8">
        <w:rPr>
          <w:rFonts w:ascii="Verdana" w:eastAsia="MS Mincho" w:hAnsi="Verdana" w:cs="Arial"/>
          <w:i/>
          <w:sz w:val="20"/>
          <w:szCs w:val="18"/>
          <w:lang w:val="es-CL"/>
        </w:rPr>
        <w:t>Klisnak</w:t>
      </w:r>
      <w:proofErr w:type="spellEnd"/>
      <w:r w:rsidRPr="006245E8">
        <w:rPr>
          <w:rFonts w:ascii="Verdana" w:eastAsia="MS Mincho" w:hAnsi="Verdana" w:cs="Arial"/>
          <w:i/>
          <w:sz w:val="20"/>
          <w:szCs w:val="18"/>
          <w:lang w:val="es-CL"/>
        </w:rPr>
        <w:t xml:space="preserve">, Wisconsin, </w:t>
      </w:r>
      <w:proofErr w:type="spellStart"/>
      <w:r w:rsidRPr="006245E8">
        <w:rPr>
          <w:rFonts w:ascii="Verdana" w:eastAsia="MS Mincho" w:hAnsi="Verdana" w:cs="Arial"/>
          <w:i/>
          <w:sz w:val="20"/>
          <w:szCs w:val="18"/>
          <w:lang w:val="es-CL"/>
        </w:rPr>
        <w:t>Wiwinak</w:t>
      </w:r>
      <w:proofErr w:type="spellEnd"/>
      <w:r w:rsidRPr="006245E8">
        <w:rPr>
          <w:rFonts w:ascii="Verdana" w:eastAsia="MS Mincho" w:hAnsi="Verdana" w:cs="Arial"/>
          <w:i/>
          <w:sz w:val="20"/>
          <w:szCs w:val="18"/>
          <w:lang w:val="es-CL"/>
        </w:rPr>
        <w:t xml:space="preserve">, San Jerónimo  y Francia </w:t>
      </w:r>
      <w:proofErr w:type="spellStart"/>
      <w:r w:rsidRPr="006245E8">
        <w:rPr>
          <w:rFonts w:ascii="Verdana" w:eastAsia="MS Mincho" w:hAnsi="Verdana" w:cs="Arial"/>
          <w:i/>
          <w:sz w:val="20"/>
          <w:szCs w:val="18"/>
          <w:lang w:val="es-CL"/>
        </w:rPr>
        <w:t>Sirpi</w:t>
      </w:r>
      <w:proofErr w:type="spellEnd"/>
      <w:r w:rsidRPr="00662DA9">
        <w:rPr>
          <w:rFonts w:ascii="Verdana" w:eastAsia="MS Mincho" w:hAnsi="Verdana" w:cs="Arial"/>
          <w:sz w:val="20"/>
          <w:szCs w:val="18"/>
          <w:lang w:val="es-CL"/>
        </w:rPr>
        <w:t xml:space="preserve">. Por lo </w:t>
      </w:r>
      <w:r w:rsidR="002C4E7C" w:rsidRPr="00662DA9">
        <w:rPr>
          <w:rFonts w:ascii="Verdana" w:eastAsia="MS Mincho" w:hAnsi="Verdana" w:cs="Arial"/>
          <w:sz w:val="20"/>
          <w:szCs w:val="18"/>
          <w:lang w:val="es-CL"/>
        </w:rPr>
        <w:t>que la Comisión solicitó</w:t>
      </w:r>
      <w:r w:rsidRPr="00662DA9">
        <w:rPr>
          <w:rFonts w:ascii="Verdana" w:eastAsia="MS Mincho" w:hAnsi="Verdana" w:cs="Arial"/>
          <w:sz w:val="20"/>
          <w:szCs w:val="18"/>
          <w:lang w:val="es-CL"/>
        </w:rPr>
        <w:t xml:space="preserve"> su inmediata adopción. </w:t>
      </w:r>
    </w:p>
    <w:p w:rsidR="00E85530" w:rsidRPr="00E85530" w:rsidRDefault="00E85530" w:rsidP="00A21899">
      <w:pPr>
        <w:spacing w:before="20" w:after="20" w:line="240" w:lineRule="auto"/>
        <w:ind w:right="14"/>
        <w:jc w:val="both"/>
        <w:rPr>
          <w:rFonts w:ascii="Verdana" w:hAnsi="Verdana"/>
          <w:sz w:val="20"/>
          <w:szCs w:val="20"/>
          <w:lang w:val="es-ES_tradnl"/>
        </w:rPr>
      </w:pPr>
    </w:p>
    <w:p w:rsidR="00A21899" w:rsidRDefault="00A21899" w:rsidP="00A728EA">
      <w:pPr>
        <w:pStyle w:val="ListParagraph"/>
        <w:numPr>
          <w:ilvl w:val="0"/>
          <w:numId w:val="10"/>
        </w:numPr>
        <w:tabs>
          <w:tab w:val="left" w:pos="567"/>
        </w:tabs>
        <w:jc w:val="both"/>
        <w:rPr>
          <w:rFonts w:ascii="Verdana" w:hAnsi="Verdana"/>
          <w:b/>
          <w:i/>
          <w:spacing w:val="-4"/>
          <w:sz w:val="20"/>
          <w:lang w:val="es-MX"/>
        </w:rPr>
      </w:pPr>
      <w:r>
        <w:rPr>
          <w:rFonts w:ascii="Verdana" w:hAnsi="Verdana"/>
          <w:b/>
          <w:i/>
          <w:spacing w:val="-4"/>
          <w:sz w:val="20"/>
          <w:lang w:val="es-MX"/>
        </w:rPr>
        <w:t xml:space="preserve">Consideraciones de la Corte </w:t>
      </w:r>
    </w:p>
    <w:p w:rsidR="00A21899" w:rsidRDefault="00A21899" w:rsidP="00A21899">
      <w:pPr>
        <w:spacing w:before="20" w:after="20" w:line="240" w:lineRule="auto"/>
        <w:ind w:right="14"/>
        <w:jc w:val="both"/>
        <w:rPr>
          <w:rFonts w:ascii="Verdana" w:hAnsi="Verdana"/>
          <w:sz w:val="20"/>
          <w:szCs w:val="20"/>
          <w:lang w:val="es-ES_tradnl"/>
        </w:rPr>
      </w:pPr>
    </w:p>
    <w:p w:rsidR="00A21899" w:rsidRPr="00816960" w:rsidRDefault="00A21899" w:rsidP="00A21899">
      <w:pPr>
        <w:pStyle w:val="Prrafodelista1"/>
        <w:numPr>
          <w:ilvl w:val="0"/>
          <w:numId w:val="7"/>
        </w:numPr>
        <w:tabs>
          <w:tab w:val="num" w:pos="0"/>
        </w:tabs>
        <w:ind w:left="0" w:firstLine="0"/>
        <w:jc w:val="both"/>
        <w:rPr>
          <w:sz w:val="20"/>
          <w:szCs w:val="20"/>
        </w:rPr>
      </w:pPr>
      <w:r>
        <w:rPr>
          <w:sz w:val="20"/>
          <w:szCs w:val="20"/>
        </w:rPr>
        <w:t>La Corte re</w:t>
      </w:r>
      <w:r w:rsidR="00345B22">
        <w:rPr>
          <w:sz w:val="20"/>
          <w:szCs w:val="20"/>
        </w:rPr>
        <w:t>itera</w:t>
      </w:r>
      <w:r>
        <w:rPr>
          <w:sz w:val="20"/>
          <w:szCs w:val="20"/>
        </w:rPr>
        <w:t xml:space="preserve"> que l</w:t>
      </w:r>
      <w:r w:rsidRPr="00816960">
        <w:rPr>
          <w:sz w:val="20"/>
          <w:szCs w:val="20"/>
        </w:rPr>
        <w:t>as tres condiciones exigidas por el artículo 63.2 de la Convención para que la Corte pueda disponer de medidas provisionales deben concurrir en toda situación en la que se soliciten</w:t>
      </w:r>
      <w:r w:rsidRPr="00816960">
        <w:rPr>
          <w:rStyle w:val="FootnoteReference"/>
          <w:sz w:val="20"/>
          <w:szCs w:val="20"/>
        </w:rPr>
        <w:footnoteReference w:id="7"/>
      </w:r>
      <w:r w:rsidRPr="00816960">
        <w:rPr>
          <w:sz w:val="20"/>
          <w:szCs w:val="20"/>
        </w:rPr>
        <w:t>. E</w:t>
      </w:r>
      <w:r w:rsidRPr="00816960">
        <w:rPr>
          <w:bCs/>
          <w:sz w:val="20"/>
          <w:szCs w:val="20"/>
          <w:lang w:val="es-MX"/>
        </w:rPr>
        <w:t>n razón de su competencia, en el marco de medidas provisionales corresponde a la Corte considerar única y estrictamente aquellos argumentos que se relacionan directamente con la extrema gravedad, urgencia y la necesidad de evitar daños irreparables a personas. Cualquier otro hecho o argumento sólo puede ser analizado y resuelto, en su caso, durante la consideración del fondo de un caso contencioso</w:t>
      </w:r>
      <w:r w:rsidRPr="00816960">
        <w:rPr>
          <w:rStyle w:val="FootnoteReference"/>
          <w:bCs/>
          <w:sz w:val="20"/>
          <w:szCs w:val="20"/>
          <w:lang w:val="es-MX"/>
        </w:rPr>
        <w:footnoteReference w:id="8"/>
      </w:r>
      <w:r w:rsidRPr="00816960">
        <w:rPr>
          <w:bCs/>
          <w:sz w:val="20"/>
          <w:szCs w:val="20"/>
          <w:lang w:val="es-MX"/>
        </w:rPr>
        <w:t>.</w:t>
      </w:r>
      <w:bookmarkStart w:id="1" w:name="_Ref234930684"/>
      <w:r w:rsidRPr="00816960">
        <w:rPr>
          <w:bCs/>
          <w:sz w:val="20"/>
          <w:szCs w:val="20"/>
          <w:lang w:val="es-MX"/>
        </w:rPr>
        <w:t xml:space="preserve"> </w:t>
      </w:r>
      <w:bookmarkEnd w:id="1"/>
    </w:p>
    <w:p w:rsidR="00E5169F" w:rsidRPr="00E5169F" w:rsidRDefault="00E5169F" w:rsidP="00E5169F">
      <w:pPr>
        <w:pStyle w:val="Prrafodelista1"/>
        <w:tabs>
          <w:tab w:val="left" w:pos="0"/>
        </w:tabs>
        <w:ind w:right="4"/>
        <w:contextualSpacing w:val="0"/>
        <w:jc w:val="both"/>
        <w:rPr>
          <w:sz w:val="20"/>
        </w:rPr>
      </w:pPr>
    </w:p>
    <w:p w:rsidR="00A21899" w:rsidRPr="006318FC" w:rsidRDefault="000857BA" w:rsidP="00A21899">
      <w:pPr>
        <w:pStyle w:val="Prrafodelista1"/>
        <w:numPr>
          <w:ilvl w:val="0"/>
          <w:numId w:val="7"/>
        </w:numPr>
        <w:tabs>
          <w:tab w:val="num" w:pos="0"/>
        </w:tabs>
        <w:ind w:left="0" w:firstLine="0"/>
        <w:jc w:val="both"/>
        <w:rPr>
          <w:sz w:val="20"/>
          <w:szCs w:val="20"/>
        </w:rPr>
      </w:pPr>
      <w:r>
        <w:rPr>
          <w:sz w:val="20"/>
          <w:szCs w:val="20"/>
          <w:lang w:val="es-ES_tradnl"/>
        </w:rPr>
        <w:t xml:space="preserve"> </w:t>
      </w:r>
      <w:r w:rsidR="000F28C4">
        <w:rPr>
          <w:sz w:val="20"/>
          <w:szCs w:val="20"/>
          <w:lang w:val="es-ES_tradnl"/>
        </w:rPr>
        <w:t>P</w:t>
      </w:r>
      <w:r w:rsidR="00A21899" w:rsidRPr="00816960">
        <w:rPr>
          <w:sz w:val="20"/>
          <w:szCs w:val="20"/>
        </w:rPr>
        <w:t xml:space="preserve">ara determinar si la situación de extrema gravedad y urgencia para evitar daños irreparables existe, es posible valorar el conjunto de factores o circunstancias políticas, históricas, culturales o de cualquier otra índole que afectan al beneficiario o lo colocan en </w:t>
      </w:r>
      <w:r w:rsidR="00A21899" w:rsidRPr="00816960">
        <w:rPr>
          <w:sz w:val="20"/>
          <w:szCs w:val="20"/>
        </w:rPr>
        <w:lastRenderedPageBreak/>
        <w:t>una situación de vulnerabilidad en un determinado momento y lo expone a recibir lesiones a sus derechos. Esta situación puede crecer o decrecer en el tiempo dependiendo de un sinnúmero de variables</w:t>
      </w:r>
      <w:r w:rsidR="00A21899" w:rsidRPr="00816960">
        <w:rPr>
          <w:sz w:val="20"/>
          <w:szCs w:val="20"/>
          <w:vertAlign w:val="superscript"/>
        </w:rPr>
        <w:footnoteReference w:id="9"/>
      </w:r>
      <w:r w:rsidR="00A21899" w:rsidRPr="00816960">
        <w:rPr>
          <w:sz w:val="20"/>
          <w:szCs w:val="20"/>
        </w:rPr>
        <w:t>.</w:t>
      </w:r>
      <w:r w:rsidR="00087755">
        <w:rPr>
          <w:sz w:val="20"/>
          <w:szCs w:val="20"/>
        </w:rPr>
        <w:t xml:space="preserve"> </w:t>
      </w:r>
      <w:r w:rsidR="00087755" w:rsidRPr="00087755">
        <w:rPr>
          <w:sz w:val="20"/>
          <w:szCs w:val="20"/>
          <w:lang w:val="es-GT"/>
        </w:rPr>
        <w:t>Por otra parte, la Corte ha sostenido que pueden existir un conjunto de factores o circunstancias que revelen graves agresiones contra un grupo de personas en particular, que sitúe a estas personas en una situación de extrema gravedad y urgenc</w:t>
      </w:r>
      <w:r w:rsidR="00A51E73">
        <w:rPr>
          <w:sz w:val="20"/>
          <w:szCs w:val="20"/>
          <w:lang w:val="es-GT"/>
        </w:rPr>
        <w:t>ia de sufrir daños irreparables</w:t>
      </w:r>
      <w:r w:rsidR="00087755" w:rsidRPr="001B444E">
        <w:rPr>
          <w:sz w:val="20"/>
          <w:szCs w:val="20"/>
          <w:vertAlign w:val="superscript"/>
        </w:rPr>
        <w:footnoteReference w:id="10"/>
      </w:r>
      <w:r w:rsidR="00087755" w:rsidRPr="00087755">
        <w:rPr>
          <w:sz w:val="20"/>
          <w:szCs w:val="20"/>
          <w:lang w:val="es-GT"/>
        </w:rPr>
        <w:t>.</w:t>
      </w:r>
    </w:p>
    <w:p w:rsidR="006318FC" w:rsidRDefault="006318FC" w:rsidP="006318FC">
      <w:pPr>
        <w:pStyle w:val="ListParagraph"/>
        <w:rPr>
          <w:sz w:val="20"/>
        </w:rPr>
      </w:pPr>
    </w:p>
    <w:p w:rsidR="006318FC" w:rsidRDefault="000857BA" w:rsidP="00A21899">
      <w:pPr>
        <w:pStyle w:val="Prrafodelista1"/>
        <w:numPr>
          <w:ilvl w:val="0"/>
          <w:numId w:val="7"/>
        </w:numPr>
        <w:tabs>
          <w:tab w:val="num" w:pos="0"/>
        </w:tabs>
        <w:ind w:left="0" w:firstLine="0"/>
        <w:jc w:val="both"/>
        <w:rPr>
          <w:sz w:val="20"/>
          <w:szCs w:val="20"/>
        </w:rPr>
      </w:pPr>
      <w:r>
        <w:rPr>
          <w:sz w:val="20"/>
          <w:szCs w:val="20"/>
        </w:rPr>
        <w:t xml:space="preserve"> </w:t>
      </w:r>
      <w:r w:rsidR="006318FC" w:rsidRPr="000857BA">
        <w:rPr>
          <w:sz w:val="20"/>
          <w:szCs w:val="20"/>
        </w:rPr>
        <w:t xml:space="preserve">Respecto de tales requisitos, la Corte toma nota del contexto de violencia presentado en la región Costa Caribe Norte de Nicaragua, así como el recrudecimiento de la situación presentada desde el año 2015 hasta la fecha. En particular, </w:t>
      </w:r>
      <w:r w:rsidR="00C65E05" w:rsidRPr="000857BA">
        <w:rPr>
          <w:sz w:val="20"/>
          <w:szCs w:val="20"/>
        </w:rPr>
        <w:t xml:space="preserve">se han presentado diversos </w:t>
      </w:r>
      <w:r w:rsidR="006318FC" w:rsidRPr="000857BA">
        <w:rPr>
          <w:sz w:val="20"/>
          <w:szCs w:val="20"/>
        </w:rPr>
        <w:t xml:space="preserve">hechos acontecidos respecto de las comunidades materia de esta solicitud, </w:t>
      </w:r>
      <w:r w:rsidR="004F0DDD">
        <w:rPr>
          <w:sz w:val="20"/>
          <w:szCs w:val="20"/>
        </w:rPr>
        <w:t>especialmente:</w:t>
      </w:r>
      <w:r w:rsidR="006318FC" w:rsidRPr="000857BA">
        <w:rPr>
          <w:sz w:val="20"/>
          <w:szCs w:val="20"/>
        </w:rPr>
        <w:t xml:space="preserve"> </w:t>
      </w:r>
      <w:r w:rsidR="00C65E05" w:rsidRPr="000857BA">
        <w:rPr>
          <w:sz w:val="20"/>
          <w:szCs w:val="20"/>
        </w:rPr>
        <w:t xml:space="preserve">supuestos </w:t>
      </w:r>
      <w:r w:rsidR="00B76B91" w:rsidRPr="000857BA">
        <w:rPr>
          <w:sz w:val="20"/>
          <w:szCs w:val="20"/>
        </w:rPr>
        <w:t>secuestros</w:t>
      </w:r>
      <w:r w:rsidR="00B76B91" w:rsidRPr="00A51E73">
        <w:rPr>
          <w:sz w:val="20"/>
          <w:szCs w:val="20"/>
        </w:rPr>
        <w:t>, asesinato</w:t>
      </w:r>
      <w:r w:rsidR="00A51E73" w:rsidRPr="00A51E73">
        <w:rPr>
          <w:sz w:val="20"/>
          <w:szCs w:val="20"/>
        </w:rPr>
        <w:t>s</w:t>
      </w:r>
      <w:r w:rsidR="00B76B91" w:rsidRPr="000857BA">
        <w:rPr>
          <w:sz w:val="20"/>
          <w:szCs w:val="20"/>
        </w:rPr>
        <w:t>, agresiones</w:t>
      </w:r>
      <w:r w:rsidR="006318FC" w:rsidRPr="000857BA">
        <w:rPr>
          <w:sz w:val="20"/>
          <w:szCs w:val="20"/>
        </w:rPr>
        <w:t xml:space="preserve"> sexual</w:t>
      </w:r>
      <w:r w:rsidR="00B76B91" w:rsidRPr="000857BA">
        <w:rPr>
          <w:sz w:val="20"/>
          <w:szCs w:val="20"/>
        </w:rPr>
        <w:t>es</w:t>
      </w:r>
      <w:r w:rsidR="006318FC" w:rsidRPr="000857BA">
        <w:rPr>
          <w:sz w:val="20"/>
          <w:szCs w:val="20"/>
        </w:rPr>
        <w:t xml:space="preserve">, </w:t>
      </w:r>
      <w:r w:rsidR="00C65E05" w:rsidRPr="000857BA">
        <w:rPr>
          <w:sz w:val="20"/>
          <w:szCs w:val="20"/>
        </w:rPr>
        <w:t>amenazas, incendios</w:t>
      </w:r>
      <w:r w:rsidR="00B76B91" w:rsidRPr="000857BA">
        <w:rPr>
          <w:sz w:val="20"/>
          <w:szCs w:val="20"/>
        </w:rPr>
        <w:t xml:space="preserve"> de viviendas</w:t>
      </w:r>
      <w:r w:rsidR="00C65E05" w:rsidRPr="000857BA">
        <w:rPr>
          <w:sz w:val="20"/>
          <w:szCs w:val="20"/>
        </w:rPr>
        <w:t>, robos, emboscadas y ataqu</w:t>
      </w:r>
      <w:r w:rsidR="00345B22" w:rsidRPr="000857BA">
        <w:rPr>
          <w:sz w:val="20"/>
          <w:szCs w:val="20"/>
        </w:rPr>
        <w:t xml:space="preserve">es a pobladores, y con motivo </w:t>
      </w:r>
      <w:r w:rsidR="00C65E05" w:rsidRPr="000857BA">
        <w:rPr>
          <w:sz w:val="20"/>
          <w:szCs w:val="20"/>
        </w:rPr>
        <w:t xml:space="preserve">de ello el abandono de diversas comunidades </w:t>
      </w:r>
      <w:r w:rsidR="00345B22" w:rsidRPr="000857BA">
        <w:rPr>
          <w:sz w:val="20"/>
          <w:szCs w:val="20"/>
        </w:rPr>
        <w:t xml:space="preserve">por sus pobladores </w:t>
      </w:r>
      <w:r w:rsidR="00C65E05" w:rsidRPr="000857BA">
        <w:rPr>
          <w:sz w:val="20"/>
          <w:szCs w:val="20"/>
        </w:rPr>
        <w:t>(</w:t>
      </w:r>
      <w:r w:rsidR="00C65E05" w:rsidRPr="000857BA">
        <w:rPr>
          <w:i/>
          <w:sz w:val="20"/>
          <w:szCs w:val="20"/>
        </w:rPr>
        <w:t>supra</w:t>
      </w:r>
      <w:r w:rsidR="00E70845">
        <w:rPr>
          <w:i/>
          <w:sz w:val="20"/>
          <w:szCs w:val="20"/>
        </w:rPr>
        <w:t xml:space="preserve"> </w:t>
      </w:r>
      <w:r w:rsidR="00E70845" w:rsidRPr="00ED3940">
        <w:rPr>
          <w:sz w:val="20"/>
          <w:szCs w:val="20"/>
        </w:rPr>
        <w:t>párr.</w:t>
      </w:r>
      <w:r w:rsidR="00E70845">
        <w:rPr>
          <w:i/>
          <w:sz w:val="20"/>
          <w:szCs w:val="20"/>
        </w:rPr>
        <w:t xml:space="preserve"> </w:t>
      </w:r>
      <w:r w:rsidR="00E70845" w:rsidRPr="00ED3940">
        <w:rPr>
          <w:sz w:val="20"/>
          <w:szCs w:val="20"/>
        </w:rPr>
        <w:t>8</w:t>
      </w:r>
      <w:r w:rsidR="00C65E05" w:rsidRPr="000857BA">
        <w:rPr>
          <w:sz w:val="20"/>
          <w:szCs w:val="20"/>
        </w:rPr>
        <w:t>)</w:t>
      </w:r>
      <w:r w:rsidR="00345B22" w:rsidRPr="000857BA">
        <w:rPr>
          <w:sz w:val="20"/>
          <w:szCs w:val="20"/>
        </w:rPr>
        <w:t>. A</w:t>
      </w:r>
      <w:r w:rsidR="00AD3886">
        <w:rPr>
          <w:sz w:val="20"/>
          <w:szCs w:val="20"/>
        </w:rPr>
        <w:t xml:space="preserve"> </w:t>
      </w:r>
      <w:r w:rsidR="00C65E05" w:rsidRPr="000857BA">
        <w:rPr>
          <w:sz w:val="20"/>
          <w:szCs w:val="20"/>
        </w:rPr>
        <w:t>criterio de este Tribunal</w:t>
      </w:r>
      <w:r w:rsidR="00345B22" w:rsidRPr="000857BA">
        <w:rPr>
          <w:sz w:val="20"/>
          <w:szCs w:val="20"/>
        </w:rPr>
        <w:t>, tales hechos</w:t>
      </w:r>
      <w:r w:rsidR="00C65E05" w:rsidRPr="000857BA">
        <w:rPr>
          <w:sz w:val="20"/>
          <w:szCs w:val="20"/>
        </w:rPr>
        <w:t xml:space="preserve"> </w:t>
      </w:r>
      <w:r w:rsidR="006318FC" w:rsidRPr="000857BA">
        <w:rPr>
          <w:sz w:val="20"/>
          <w:szCs w:val="20"/>
        </w:rPr>
        <w:t xml:space="preserve">reflejan una clara situación de extrema gravedad y urgencia y la posibilidad </w:t>
      </w:r>
      <w:r w:rsidR="00345B22" w:rsidRPr="000857BA">
        <w:rPr>
          <w:sz w:val="20"/>
          <w:szCs w:val="20"/>
        </w:rPr>
        <w:t xml:space="preserve">razonable </w:t>
      </w:r>
      <w:r w:rsidR="006318FC" w:rsidRPr="000857BA">
        <w:rPr>
          <w:sz w:val="20"/>
          <w:szCs w:val="20"/>
        </w:rPr>
        <w:t xml:space="preserve">de </w:t>
      </w:r>
      <w:r w:rsidR="00345B22" w:rsidRPr="000857BA">
        <w:rPr>
          <w:sz w:val="20"/>
          <w:szCs w:val="20"/>
        </w:rPr>
        <w:t>que se continúen materializando</w:t>
      </w:r>
      <w:r w:rsidR="006318FC" w:rsidRPr="000857BA">
        <w:rPr>
          <w:sz w:val="20"/>
          <w:szCs w:val="20"/>
        </w:rPr>
        <w:t xml:space="preserve"> daños de carácter irreparable. </w:t>
      </w:r>
    </w:p>
    <w:p w:rsidR="00AD3886" w:rsidRDefault="00AD3886" w:rsidP="00AD3886">
      <w:pPr>
        <w:pStyle w:val="ListParagraph"/>
        <w:rPr>
          <w:sz w:val="20"/>
        </w:rPr>
      </w:pPr>
    </w:p>
    <w:p w:rsidR="00AD3886" w:rsidRPr="00AD3886" w:rsidRDefault="00AD3886" w:rsidP="00AD3886">
      <w:pPr>
        <w:pStyle w:val="Prrafodelista1"/>
        <w:numPr>
          <w:ilvl w:val="0"/>
          <w:numId w:val="7"/>
        </w:numPr>
        <w:tabs>
          <w:tab w:val="num" w:pos="0"/>
        </w:tabs>
        <w:ind w:left="0" w:firstLine="0"/>
        <w:jc w:val="both"/>
        <w:rPr>
          <w:rFonts w:eastAsia="Times"/>
          <w:sz w:val="20"/>
          <w:szCs w:val="20"/>
          <w:lang w:val="es-ES_tradnl" w:eastAsia="es-ES"/>
        </w:rPr>
      </w:pPr>
      <w:r>
        <w:rPr>
          <w:rFonts w:eastAsia="Times"/>
          <w:sz w:val="20"/>
          <w:szCs w:val="20"/>
        </w:rPr>
        <w:t xml:space="preserve"> A</w:t>
      </w:r>
      <w:r w:rsidR="004F0DDD">
        <w:rPr>
          <w:rFonts w:eastAsia="Times"/>
          <w:sz w:val="20"/>
          <w:szCs w:val="20"/>
        </w:rPr>
        <w:t>simismo</w:t>
      </w:r>
      <w:r>
        <w:rPr>
          <w:rFonts w:eastAsia="Times"/>
          <w:sz w:val="20"/>
          <w:szCs w:val="20"/>
        </w:rPr>
        <w:t>,</w:t>
      </w:r>
      <w:r w:rsidRPr="00C454FD">
        <w:rPr>
          <w:rFonts w:eastAsia="Times"/>
          <w:sz w:val="20"/>
          <w:szCs w:val="20"/>
          <w:lang w:val="es-ES_tradnl" w:eastAsia="es-ES"/>
        </w:rPr>
        <w:t xml:space="preserve"> </w:t>
      </w:r>
      <w:r w:rsidR="002140D3">
        <w:rPr>
          <w:rFonts w:eastAsia="Times"/>
          <w:sz w:val="20"/>
          <w:szCs w:val="20"/>
          <w:lang w:val="es-ES_tradnl" w:eastAsia="es-ES"/>
        </w:rPr>
        <w:t xml:space="preserve">la Corte recuerda que </w:t>
      </w:r>
      <w:r w:rsidRPr="00C454FD">
        <w:rPr>
          <w:rFonts w:eastAsia="Times"/>
          <w:sz w:val="20"/>
          <w:szCs w:val="20"/>
          <w:lang w:val="es-ES_tradnl" w:eastAsia="es-ES"/>
        </w:rPr>
        <w:t>para garantizar efectivamente los derechos consagrados en la Convención Americana, el Estado Parte tiene la obligación,</w:t>
      </w:r>
      <w:r w:rsidRPr="00C454FD">
        <w:rPr>
          <w:rFonts w:eastAsia="Times"/>
          <w:i/>
          <w:sz w:val="20"/>
          <w:szCs w:val="20"/>
          <w:lang w:val="es-ES_tradnl" w:eastAsia="es-ES"/>
        </w:rPr>
        <w:t xml:space="preserve"> erga omnes</w:t>
      </w:r>
      <w:r w:rsidRPr="00C454FD">
        <w:rPr>
          <w:rFonts w:eastAsia="Times"/>
          <w:sz w:val="20"/>
          <w:szCs w:val="20"/>
          <w:lang w:val="es-ES_tradnl" w:eastAsia="es-ES"/>
        </w:rPr>
        <w:t>, de proteger a todas las personas que se en</w:t>
      </w:r>
      <w:r w:rsidR="00607333">
        <w:rPr>
          <w:rFonts w:eastAsia="Times"/>
          <w:sz w:val="20"/>
          <w:szCs w:val="20"/>
          <w:lang w:val="es-ES_tradnl" w:eastAsia="es-ES"/>
        </w:rPr>
        <w:t xml:space="preserve">cuentren bajo su jurisdicción. </w:t>
      </w:r>
      <w:r w:rsidRPr="00C454FD">
        <w:rPr>
          <w:rFonts w:eastAsia="Times"/>
          <w:sz w:val="20"/>
          <w:szCs w:val="20"/>
          <w:lang w:val="es-ES_tradnl" w:eastAsia="es-ES"/>
        </w:rPr>
        <w:t xml:space="preserve">Esto significa, como lo ha dicho la Corte, que tal obligación general se impone no sólo en relación con el poder del Estado sino también en relación con actuaciones de terceros particulares, </w:t>
      </w:r>
      <w:r w:rsidR="001305C7">
        <w:rPr>
          <w:rFonts w:eastAsia="Times"/>
          <w:sz w:val="20"/>
          <w:szCs w:val="20"/>
          <w:lang w:val="es-ES_tradnl" w:eastAsia="es-ES"/>
        </w:rPr>
        <w:t xml:space="preserve">así como de otros </w:t>
      </w:r>
      <w:r w:rsidRPr="00C454FD">
        <w:rPr>
          <w:rFonts w:eastAsia="Times"/>
          <w:sz w:val="20"/>
          <w:szCs w:val="20"/>
          <w:lang w:val="es-ES_tradnl" w:eastAsia="es-ES"/>
        </w:rPr>
        <w:t>grupos de cualquier naturaleza</w:t>
      </w:r>
      <w:r w:rsidRPr="00C454FD">
        <w:rPr>
          <w:rFonts w:eastAsia="Times"/>
          <w:sz w:val="20"/>
          <w:vertAlign w:val="superscript"/>
          <w:lang w:val="es-ES_tradnl" w:eastAsia="es-ES"/>
        </w:rPr>
        <w:footnoteReference w:id="11"/>
      </w:r>
      <w:r>
        <w:rPr>
          <w:rFonts w:eastAsia="Times"/>
          <w:sz w:val="20"/>
          <w:szCs w:val="20"/>
          <w:lang w:val="es-ES_tradnl" w:eastAsia="es-ES"/>
        </w:rPr>
        <w:t xml:space="preserve">. </w:t>
      </w:r>
    </w:p>
    <w:p w:rsidR="00A21899" w:rsidRDefault="00A21899" w:rsidP="00A21899">
      <w:pPr>
        <w:pStyle w:val="Prrafodelista1"/>
        <w:jc w:val="both"/>
        <w:rPr>
          <w:sz w:val="20"/>
          <w:szCs w:val="20"/>
        </w:rPr>
      </w:pPr>
    </w:p>
    <w:p w:rsidR="00813F47" w:rsidRDefault="000857BA" w:rsidP="00A21899">
      <w:pPr>
        <w:pStyle w:val="Prrafodelista1"/>
        <w:numPr>
          <w:ilvl w:val="0"/>
          <w:numId w:val="7"/>
        </w:numPr>
        <w:tabs>
          <w:tab w:val="num" w:pos="0"/>
        </w:tabs>
        <w:ind w:left="0" w:firstLine="0"/>
        <w:jc w:val="both"/>
        <w:rPr>
          <w:sz w:val="20"/>
          <w:szCs w:val="20"/>
        </w:rPr>
      </w:pPr>
      <w:r>
        <w:rPr>
          <w:sz w:val="20"/>
          <w:szCs w:val="20"/>
        </w:rPr>
        <w:t xml:space="preserve"> </w:t>
      </w:r>
      <w:r w:rsidR="004F0DDD">
        <w:rPr>
          <w:sz w:val="20"/>
          <w:szCs w:val="20"/>
        </w:rPr>
        <w:t>Adicionalmente</w:t>
      </w:r>
      <w:r w:rsidR="00636910" w:rsidRPr="00A21CB9">
        <w:rPr>
          <w:sz w:val="20"/>
          <w:szCs w:val="20"/>
        </w:rPr>
        <w:t xml:space="preserve">, </w:t>
      </w:r>
      <w:r w:rsidR="00345B22">
        <w:rPr>
          <w:sz w:val="20"/>
          <w:szCs w:val="20"/>
        </w:rPr>
        <w:t xml:space="preserve">la Corte ha reiterado </w:t>
      </w:r>
      <w:r w:rsidR="00636910" w:rsidRPr="00A21CB9">
        <w:rPr>
          <w:sz w:val="20"/>
          <w:szCs w:val="20"/>
        </w:rPr>
        <w:t xml:space="preserve">la </w:t>
      </w:r>
      <w:r w:rsidR="002B44AF" w:rsidRPr="00A21CB9">
        <w:rPr>
          <w:sz w:val="20"/>
          <w:szCs w:val="20"/>
        </w:rPr>
        <w:t>estrecha relación que los indígenas mantienen con la tierra</w:t>
      </w:r>
      <w:r w:rsidR="00636910" w:rsidRPr="00A21CB9">
        <w:rPr>
          <w:sz w:val="20"/>
          <w:szCs w:val="20"/>
        </w:rPr>
        <w:t>, la cual</w:t>
      </w:r>
      <w:r w:rsidR="002B44AF" w:rsidRPr="00A21CB9">
        <w:rPr>
          <w:sz w:val="20"/>
          <w:szCs w:val="20"/>
        </w:rPr>
        <w:t xml:space="preserve"> debe ser reconocida y comprendida como la base fundamental de su cultura, vida espiritual, integridad y sistema económico. La cultura de los miembros de las comunidades indígenas corresponde a una forma de vida particular de ser, ver y actuar en el mundo, constituido a partir de su estrecha relación con sus tierras tradicionales y recursos naturales, no sólo por ser estos su principal medio de subsistencia, sino además porque constituyen un elemento integrante de su cosmovisión, religiosidad y, por ende, de su identidad cultural</w:t>
      </w:r>
      <w:r w:rsidR="002B44AF" w:rsidRPr="00A21CB9">
        <w:rPr>
          <w:sz w:val="20"/>
          <w:szCs w:val="20"/>
          <w:vertAlign w:val="superscript"/>
        </w:rPr>
        <w:footnoteReference w:id="12"/>
      </w:r>
      <w:r w:rsidR="002B44AF" w:rsidRPr="00A21CB9">
        <w:rPr>
          <w:sz w:val="20"/>
          <w:szCs w:val="20"/>
        </w:rPr>
        <w:t>.</w:t>
      </w:r>
      <w:bookmarkStart w:id="2" w:name="_ftnref1"/>
      <w:bookmarkEnd w:id="2"/>
      <w:r w:rsidR="002B44AF" w:rsidRPr="00A21CB9">
        <w:rPr>
          <w:sz w:val="20"/>
          <w:szCs w:val="20"/>
        </w:rPr>
        <w:t xml:space="preserve"> </w:t>
      </w:r>
      <w:r w:rsidR="00A21CB9">
        <w:rPr>
          <w:sz w:val="20"/>
          <w:szCs w:val="20"/>
        </w:rPr>
        <w:t>En este sentido</w:t>
      </w:r>
      <w:r w:rsidR="00A21CB9" w:rsidRPr="00A21CB9">
        <w:rPr>
          <w:sz w:val="20"/>
          <w:szCs w:val="20"/>
        </w:rPr>
        <w:t>, l</w:t>
      </w:r>
      <w:r w:rsidR="002C76B6" w:rsidRPr="00A21CB9">
        <w:rPr>
          <w:sz w:val="20"/>
          <w:szCs w:val="20"/>
        </w:rPr>
        <w:t xml:space="preserve">a Corte ha </w:t>
      </w:r>
      <w:r w:rsidR="00345B22">
        <w:rPr>
          <w:sz w:val="20"/>
          <w:szCs w:val="20"/>
        </w:rPr>
        <w:t>establecido</w:t>
      </w:r>
      <w:r w:rsidR="002C76B6" w:rsidRPr="00A21CB9">
        <w:rPr>
          <w:sz w:val="20"/>
          <w:szCs w:val="20"/>
        </w:rPr>
        <w:t xml:space="preserve"> la obligación del Estado de garantizar el uso y goce efectivo del derecho a la propiedad indígena o tribal, para lo cual pueden adoptarse diversas medidas, entre ellas el saneamiento</w:t>
      </w:r>
      <w:r w:rsidR="002C76B6" w:rsidRPr="00A21CB9">
        <w:rPr>
          <w:rStyle w:val="FootnoteReference"/>
          <w:sz w:val="20"/>
          <w:szCs w:val="20"/>
        </w:rPr>
        <w:footnoteReference w:id="13"/>
      </w:r>
      <w:r w:rsidR="002C76B6" w:rsidRPr="00A21CB9">
        <w:rPr>
          <w:sz w:val="20"/>
          <w:szCs w:val="20"/>
        </w:rPr>
        <w:t>.</w:t>
      </w:r>
      <w:r w:rsidR="00813F47">
        <w:rPr>
          <w:sz w:val="20"/>
          <w:szCs w:val="20"/>
        </w:rPr>
        <w:t xml:space="preserve"> </w:t>
      </w:r>
    </w:p>
    <w:p w:rsidR="00813F47" w:rsidRDefault="00813F47" w:rsidP="00813F47">
      <w:pPr>
        <w:pStyle w:val="ListParagraph"/>
        <w:rPr>
          <w:sz w:val="20"/>
        </w:rPr>
      </w:pPr>
    </w:p>
    <w:p w:rsidR="002B44AF" w:rsidRPr="00A21CB9" w:rsidRDefault="000857BA" w:rsidP="00A21899">
      <w:pPr>
        <w:pStyle w:val="Prrafodelista1"/>
        <w:numPr>
          <w:ilvl w:val="0"/>
          <w:numId w:val="7"/>
        </w:numPr>
        <w:tabs>
          <w:tab w:val="num" w:pos="0"/>
        </w:tabs>
        <w:ind w:left="0" w:firstLine="0"/>
        <w:jc w:val="both"/>
        <w:rPr>
          <w:sz w:val="20"/>
          <w:szCs w:val="20"/>
        </w:rPr>
      </w:pPr>
      <w:r>
        <w:rPr>
          <w:sz w:val="20"/>
          <w:szCs w:val="20"/>
        </w:rPr>
        <w:t xml:space="preserve"> </w:t>
      </w:r>
      <w:r w:rsidR="00813F47">
        <w:rPr>
          <w:sz w:val="20"/>
          <w:szCs w:val="20"/>
        </w:rPr>
        <w:t>En vista de ello, para efectos del presente caso</w:t>
      </w:r>
      <w:r w:rsidR="004F0DDD">
        <w:rPr>
          <w:sz w:val="20"/>
          <w:szCs w:val="20"/>
        </w:rPr>
        <w:t>,</w:t>
      </w:r>
      <w:r w:rsidR="00813F47">
        <w:rPr>
          <w:sz w:val="20"/>
          <w:szCs w:val="20"/>
        </w:rPr>
        <w:t xml:space="preserve"> resulta indispensable que el Estado tome </w:t>
      </w:r>
      <w:r w:rsidR="00237380">
        <w:rPr>
          <w:sz w:val="20"/>
          <w:szCs w:val="20"/>
        </w:rPr>
        <w:t xml:space="preserve">además </w:t>
      </w:r>
      <w:r w:rsidR="00813F47">
        <w:rPr>
          <w:sz w:val="20"/>
          <w:szCs w:val="20"/>
        </w:rPr>
        <w:t xml:space="preserve">las medidas necesarias para garantizar </w:t>
      </w:r>
      <w:r w:rsidR="00237380">
        <w:rPr>
          <w:sz w:val="20"/>
          <w:szCs w:val="20"/>
        </w:rPr>
        <w:t xml:space="preserve">la </w:t>
      </w:r>
      <w:r w:rsidR="00813F47">
        <w:rPr>
          <w:sz w:val="20"/>
          <w:szCs w:val="20"/>
        </w:rPr>
        <w:t xml:space="preserve">integridad </w:t>
      </w:r>
      <w:r w:rsidR="00165816">
        <w:rPr>
          <w:sz w:val="20"/>
          <w:szCs w:val="20"/>
        </w:rPr>
        <w:t xml:space="preserve">territorial </w:t>
      </w:r>
      <w:r w:rsidR="00813F47">
        <w:rPr>
          <w:sz w:val="20"/>
          <w:szCs w:val="20"/>
        </w:rPr>
        <w:t xml:space="preserve">e identidad </w:t>
      </w:r>
      <w:r w:rsidR="00813F47">
        <w:rPr>
          <w:sz w:val="20"/>
          <w:szCs w:val="20"/>
        </w:rPr>
        <w:lastRenderedPageBreak/>
        <w:t>cultural como pueblo indígena</w:t>
      </w:r>
      <w:r w:rsidR="00237380">
        <w:rPr>
          <w:sz w:val="20"/>
          <w:szCs w:val="20"/>
        </w:rPr>
        <w:t xml:space="preserve"> de dichas comunidades, a través de la protección del</w:t>
      </w:r>
      <w:r w:rsidR="00813F47">
        <w:rPr>
          <w:sz w:val="20"/>
          <w:szCs w:val="20"/>
        </w:rPr>
        <w:t xml:space="preserve"> uso y goce de su territorio</w:t>
      </w:r>
      <w:r w:rsidR="00237380">
        <w:rPr>
          <w:sz w:val="20"/>
          <w:szCs w:val="20"/>
        </w:rPr>
        <w:t xml:space="preserve"> tradicional</w:t>
      </w:r>
      <w:r w:rsidR="00813F47">
        <w:rPr>
          <w:sz w:val="20"/>
          <w:szCs w:val="20"/>
        </w:rPr>
        <w:t xml:space="preserve">. </w:t>
      </w:r>
    </w:p>
    <w:p w:rsidR="00C454FD" w:rsidRPr="00C454FD" w:rsidRDefault="00C454FD" w:rsidP="00A21899">
      <w:pPr>
        <w:pStyle w:val="Prrafodelista1"/>
        <w:jc w:val="both"/>
        <w:rPr>
          <w:sz w:val="20"/>
          <w:szCs w:val="20"/>
          <w:lang w:val="es-ES_tradnl"/>
        </w:rPr>
      </w:pPr>
    </w:p>
    <w:p w:rsidR="00A21899" w:rsidRPr="00A21899" w:rsidRDefault="000857BA" w:rsidP="00A21899">
      <w:pPr>
        <w:pStyle w:val="Prrafodelista1"/>
        <w:numPr>
          <w:ilvl w:val="0"/>
          <w:numId w:val="7"/>
        </w:numPr>
        <w:tabs>
          <w:tab w:val="num" w:pos="0"/>
        </w:tabs>
        <w:ind w:left="0" w:firstLine="0"/>
        <w:jc w:val="both"/>
        <w:rPr>
          <w:rFonts w:eastAsia="Times"/>
          <w:sz w:val="20"/>
          <w:szCs w:val="20"/>
          <w:lang w:val="es-ES_tradnl"/>
        </w:rPr>
      </w:pPr>
      <w:r>
        <w:rPr>
          <w:rFonts w:eastAsia="Times"/>
          <w:sz w:val="20"/>
          <w:szCs w:val="20"/>
        </w:rPr>
        <w:t xml:space="preserve"> </w:t>
      </w:r>
      <w:r w:rsidR="00A21899">
        <w:rPr>
          <w:rFonts w:eastAsia="Times"/>
          <w:sz w:val="20"/>
          <w:szCs w:val="20"/>
          <w:lang w:val="es-CL"/>
        </w:rPr>
        <w:t>Por otra parte, a</w:t>
      </w:r>
      <w:r w:rsidR="00A21899" w:rsidRPr="00A21899">
        <w:rPr>
          <w:rFonts w:eastAsia="Times"/>
          <w:sz w:val="20"/>
          <w:szCs w:val="20"/>
          <w:lang w:val="es-CL"/>
        </w:rPr>
        <w:t>l ordenar medidas provisionales esta Corte ha considerado indispensable, como regla general, la individualización de las personas que corren peligro de sufrir daños irreparables a efectos de otorgarles medidas de protección</w:t>
      </w:r>
      <w:r w:rsidR="00A21899" w:rsidRPr="00A21899">
        <w:rPr>
          <w:rFonts w:eastAsia="Times"/>
          <w:sz w:val="20"/>
          <w:szCs w:val="20"/>
          <w:lang w:val="es-ES_tradnl"/>
        </w:rPr>
        <w:t>. E</w:t>
      </w:r>
      <w:r w:rsidR="00A21899" w:rsidRPr="00A21899">
        <w:rPr>
          <w:rFonts w:eastAsia="Times"/>
          <w:sz w:val="20"/>
          <w:szCs w:val="20"/>
          <w:lang w:val="es-CL"/>
        </w:rPr>
        <w:t>n varias oportunidades, sin embargo, ha ordenado la protección de una pluralidad de personas que no han sido previamente nominadas, pero que sí son identificables y determinables y que se encuentran en una situación de grave peligro en razón de su pertenencia a un grupo o comunidad</w:t>
      </w:r>
      <w:r w:rsidR="00A21899" w:rsidRPr="00A21899">
        <w:rPr>
          <w:rFonts w:eastAsia="Times"/>
          <w:sz w:val="20"/>
          <w:szCs w:val="20"/>
          <w:vertAlign w:val="superscript"/>
          <w:lang w:val="es-ES_tradnl"/>
        </w:rPr>
        <w:footnoteReference w:id="14"/>
      </w:r>
      <w:r w:rsidR="00A21899" w:rsidRPr="00A21899">
        <w:rPr>
          <w:rFonts w:eastAsia="Times"/>
          <w:sz w:val="20"/>
          <w:szCs w:val="20"/>
          <w:lang w:val="es-CL"/>
        </w:rPr>
        <w:t xml:space="preserve">. Al adoptar medidas provisionales en este sentido, el Tribunal lo hace </w:t>
      </w:r>
      <w:r w:rsidR="00A21899" w:rsidRPr="00A21899">
        <w:rPr>
          <w:rFonts w:eastAsia="Times"/>
          <w:sz w:val="20"/>
          <w:szCs w:val="20"/>
          <w:lang w:val="es-ES_tradnl"/>
        </w:rPr>
        <w:t xml:space="preserve">bajo criterios objetivos que permitirán individualizar a los beneficiarios a la hora de ejecutar las medidas. Estos criterios atienden por un lado, a vínculos de pertenencia y, por otro, a una </w:t>
      </w:r>
      <w:r w:rsidR="00A21899" w:rsidRPr="00A21899">
        <w:rPr>
          <w:rFonts w:eastAsia="Times"/>
          <w:sz w:val="20"/>
          <w:szCs w:val="20"/>
          <w:lang w:val="es-CL"/>
        </w:rPr>
        <w:t>situación de grave peligro común para los integrantes del grupo, en razón de dicha pertenencia</w:t>
      </w:r>
      <w:r w:rsidR="00A21899" w:rsidRPr="00A21899">
        <w:rPr>
          <w:rFonts w:eastAsia="Times"/>
          <w:sz w:val="20"/>
          <w:szCs w:val="20"/>
          <w:vertAlign w:val="superscript"/>
          <w:lang w:val="es-ES_tradnl"/>
        </w:rPr>
        <w:footnoteReference w:id="15"/>
      </w:r>
      <w:r w:rsidR="00A21899" w:rsidRPr="00A21899">
        <w:rPr>
          <w:rFonts w:eastAsia="Times"/>
          <w:sz w:val="20"/>
          <w:szCs w:val="20"/>
          <w:lang w:val="es-ES_tradnl"/>
        </w:rPr>
        <w:t>.</w:t>
      </w:r>
    </w:p>
    <w:p w:rsidR="00A21899" w:rsidRPr="00A21899" w:rsidRDefault="00A21899" w:rsidP="00A21899">
      <w:pPr>
        <w:spacing w:after="0" w:line="240" w:lineRule="auto"/>
        <w:jc w:val="both"/>
        <w:rPr>
          <w:rFonts w:ascii="Verdana" w:eastAsia="Times" w:hAnsi="Verdana" w:cs="Times New Roman"/>
          <w:sz w:val="20"/>
          <w:szCs w:val="20"/>
          <w:lang w:val="es-ES_tradnl"/>
        </w:rPr>
      </w:pPr>
      <w:r w:rsidRPr="00A21899">
        <w:rPr>
          <w:rFonts w:ascii="Verdana" w:eastAsia="Times" w:hAnsi="Verdana" w:cs="Times New Roman"/>
          <w:sz w:val="20"/>
          <w:szCs w:val="20"/>
          <w:lang w:val="es-ES_tradnl"/>
        </w:rPr>
        <w:t xml:space="preserve"> </w:t>
      </w:r>
    </w:p>
    <w:p w:rsidR="004D6683" w:rsidRDefault="000857BA" w:rsidP="00E5169F">
      <w:pPr>
        <w:pStyle w:val="Prrafodelista1"/>
        <w:numPr>
          <w:ilvl w:val="0"/>
          <w:numId w:val="7"/>
        </w:numPr>
        <w:tabs>
          <w:tab w:val="num" w:pos="0"/>
        </w:tabs>
        <w:ind w:left="0" w:firstLine="0"/>
        <w:jc w:val="both"/>
        <w:rPr>
          <w:rFonts w:eastAsia="Times"/>
          <w:sz w:val="20"/>
          <w:szCs w:val="20"/>
          <w:lang w:val="es-ES_tradnl"/>
        </w:rPr>
      </w:pPr>
      <w:r>
        <w:rPr>
          <w:rFonts w:eastAsia="Times"/>
          <w:sz w:val="20"/>
          <w:szCs w:val="20"/>
          <w:lang w:val="es-CL"/>
        </w:rPr>
        <w:t xml:space="preserve"> </w:t>
      </w:r>
      <w:r w:rsidR="004E3220" w:rsidRPr="00421F11">
        <w:rPr>
          <w:rFonts w:eastAsia="Times"/>
          <w:sz w:val="20"/>
          <w:szCs w:val="20"/>
          <w:lang w:val="es-CL"/>
        </w:rPr>
        <w:t>Al r</w:t>
      </w:r>
      <w:r w:rsidR="002C51C3" w:rsidRPr="00421F11">
        <w:rPr>
          <w:rFonts w:eastAsia="Times"/>
          <w:sz w:val="20"/>
          <w:szCs w:val="20"/>
          <w:lang w:val="es-CL"/>
        </w:rPr>
        <w:t xml:space="preserve">especto, </w:t>
      </w:r>
      <w:r w:rsidR="004E3220" w:rsidRPr="00421F11">
        <w:rPr>
          <w:rFonts w:eastAsia="Times"/>
          <w:sz w:val="20"/>
          <w:szCs w:val="20"/>
          <w:lang w:val="es-CL"/>
        </w:rPr>
        <w:t xml:space="preserve">la Comisión no individualizó ni precisó el número de posibles beneficiarios. Sin embargo, </w:t>
      </w:r>
      <w:r w:rsidR="00A21899" w:rsidRPr="00421F11">
        <w:rPr>
          <w:rFonts w:eastAsia="Times"/>
          <w:sz w:val="20"/>
          <w:szCs w:val="20"/>
          <w:lang w:val="es-ES_tradnl"/>
        </w:rPr>
        <w:t xml:space="preserve">según lo indicado por la Comisión, los pobladores de las comunidades de </w:t>
      </w:r>
      <w:proofErr w:type="spellStart"/>
      <w:r w:rsidR="00A21899" w:rsidRPr="00421F11">
        <w:rPr>
          <w:rFonts w:eastAsia="Times"/>
          <w:i/>
          <w:sz w:val="20"/>
          <w:szCs w:val="20"/>
          <w:lang w:val="es-ES_tradnl"/>
        </w:rPr>
        <w:t>Klisnak</w:t>
      </w:r>
      <w:proofErr w:type="spellEnd"/>
      <w:r w:rsidR="00A21899" w:rsidRPr="00421F11">
        <w:rPr>
          <w:rFonts w:eastAsia="Times"/>
          <w:i/>
          <w:sz w:val="20"/>
          <w:szCs w:val="20"/>
          <w:lang w:val="es-ES_tradnl"/>
        </w:rPr>
        <w:t xml:space="preserve">, Wisconsin, </w:t>
      </w:r>
      <w:proofErr w:type="spellStart"/>
      <w:r w:rsidR="00A21899" w:rsidRPr="00421F11">
        <w:rPr>
          <w:rFonts w:eastAsia="Times"/>
          <w:i/>
          <w:sz w:val="20"/>
          <w:szCs w:val="20"/>
          <w:lang w:val="es-ES_tradnl"/>
        </w:rPr>
        <w:t>Wiwinak</w:t>
      </w:r>
      <w:proofErr w:type="spellEnd"/>
      <w:r w:rsidR="00A21899" w:rsidRPr="00421F11">
        <w:rPr>
          <w:rFonts w:eastAsia="Times"/>
          <w:i/>
          <w:sz w:val="20"/>
          <w:szCs w:val="20"/>
          <w:lang w:val="es-ES_tradnl"/>
        </w:rPr>
        <w:t xml:space="preserve">, San Jerónimo y Francia </w:t>
      </w:r>
      <w:proofErr w:type="spellStart"/>
      <w:r w:rsidR="00A21899" w:rsidRPr="00421F11">
        <w:rPr>
          <w:rFonts w:eastAsia="Times"/>
          <w:i/>
          <w:sz w:val="20"/>
          <w:szCs w:val="20"/>
          <w:lang w:val="es-ES_tradnl"/>
        </w:rPr>
        <w:t>Sirpi</w:t>
      </w:r>
      <w:proofErr w:type="spellEnd"/>
      <w:r w:rsidR="00A21899" w:rsidRPr="00421F11">
        <w:rPr>
          <w:rFonts w:eastAsia="Times"/>
          <w:sz w:val="20"/>
          <w:szCs w:val="20"/>
          <w:lang w:val="es-ES_tradnl"/>
        </w:rPr>
        <w:t xml:space="preserve"> </w:t>
      </w:r>
      <w:r w:rsidR="002C51C3" w:rsidRPr="00421F11">
        <w:rPr>
          <w:rFonts w:eastAsia="Times"/>
          <w:sz w:val="20"/>
          <w:szCs w:val="20"/>
          <w:lang w:val="es-ES_tradnl"/>
        </w:rPr>
        <w:t xml:space="preserve">son </w:t>
      </w:r>
      <w:r w:rsidR="00A21899" w:rsidRPr="00421F11">
        <w:rPr>
          <w:rFonts w:eastAsia="Times"/>
          <w:sz w:val="20"/>
          <w:szCs w:val="20"/>
          <w:lang w:val="es-ES_tradnl"/>
        </w:rPr>
        <w:t xml:space="preserve">pertenecientes al pueblo indígena </w:t>
      </w:r>
      <w:proofErr w:type="spellStart"/>
      <w:r w:rsidR="00A21899" w:rsidRPr="00421F11">
        <w:rPr>
          <w:rFonts w:eastAsia="Times"/>
          <w:i/>
          <w:sz w:val="20"/>
          <w:szCs w:val="20"/>
          <w:lang w:val="es-ES_tradnl"/>
        </w:rPr>
        <w:t>Miskitu</w:t>
      </w:r>
      <w:proofErr w:type="spellEnd"/>
      <w:r w:rsidR="002C51C3" w:rsidRPr="00421F11">
        <w:rPr>
          <w:rFonts w:eastAsia="Times"/>
          <w:sz w:val="20"/>
          <w:szCs w:val="20"/>
          <w:lang w:val="es-ES_tradnl"/>
        </w:rPr>
        <w:t>. Asimismo,</w:t>
      </w:r>
      <w:r w:rsidR="00A21899" w:rsidRPr="00421F11">
        <w:rPr>
          <w:rFonts w:eastAsia="Times"/>
          <w:sz w:val="20"/>
          <w:szCs w:val="20"/>
          <w:lang w:val="es-ES_tradnl"/>
        </w:rPr>
        <w:t xml:space="preserve"> </w:t>
      </w:r>
      <w:r w:rsidR="00C65E05" w:rsidRPr="00421F11">
        <w:rPr>
          <w:rFonts w:eastAsia="Times"/>
          <w:sz w:val="20"/>
          <w:szCs w:val="20"/>
          <w:lang w:val="es-ES_tradnl"/>
        </w:rPr>
        <w:t xml:space="preserve">por sus características como pueblos indígenas, </w:t>
      </w:r>
      <w:r w:rsidR="00A21899" w:rsidRPr="00421F11">
        <w:rPr>
          <w:rFonts w:eastAsia="Times"/>
          <w:sz w:val="20"/>
          <w:szCs w:val="20"/>
          <w:lang w:val="es-ES_tradnl"/>
        </w:rPr>
        <w:t>constituyen comunidades organizadas, ubicadas en un lugar geográfico determinado en la Costa Caribe Norte, cuyos miembros pueden ser i</w:t>
      </w:r>
      <w:r w:rsidR="004E3220" w:rsidRPr="00421F11">
        <w:rPr>
          <w:rFonts w:eastAsia="Times"/>
          <w:sz w:val="20"/>
          <w:szCs w:val="20"/>
          <w:lang w:val="es-ES_tradnl"/>
        </w:rPr>
        <w:t xml:space="preserve">dentificados e individualizados. En este sentido, </w:t>
      </w:r>
      <w:r w:rsidR="00A21899" w:rsidRPr="00421F11">
        <w:rPr>
          <w:rFonts w:eastAsia="Times"/>
          <w:sz w:val="20"/>
          <w:szCs w:val="20"/>
          <w:lang w:val="es-ES_tradnl"/>
        </w:rPr>
        <w:t xml:space="preserve">y </w:t>
      </w:r>
      <w:r w:rsidR="004E3220" w:rsidRPr="00421F11">
        <w:rPr>
          <w:rFonts w:eastAsia="Times"/>
          <w:sz w:val="20"/>
          <w:szCs w:val="20"/>
          <w:lang w:val="es-ES_tradnl"/>
        </w:rPr>
        <w:t xml:space="preserve">frente a los requisitos previamente analizados, la Corte estima que, ya sea en lo individual o colectivo, los miembros de </w:t>
      </w:r>
      <w:r w:rsidR="00A21899" w:rsidRPr="00421F11">
        <w:rPr>
          <w:rFonts w:eastAsia="Times"/>
          <w:sz w:val="20"/>
          <w:szCs w:val="20"/>
          <w:lang w:val="es-ES_tradnl"/>
        </w:rPr>
        <w:t>dichas comunidades</w:t>
      </w:r>
      <w:r w:rsidR="004E3220" w:rsidRPr="00421F11">
        <w:rPr>
          <w:rFonts w:eastAsia="Times"/>
          <w:sz w:val="20"/>
          <w:szCs w:val="20"/>
          <w:lang w:val="es-ES_tradnl"/>
        </w:rPr>
        <w:t xml:space="preserve"> </w:t>
      </w:r>
      <w:r w:rsidR="00A21899" w:rsidRPr="00421F11">
        <w:rPr>
          <w:rFonts w:eastAsia="Times"/>
          <w:sz w:val="20"/>
          <w:szCs w:val="20"/>
          <w:lang w:val="es-ES_tradnl"/>
        </w:rPr>
        <w:t xml:space="preserve">se encuentran en una situación de riesgo de sufrir actos de agresión contra su </w:t>
      </w:r>
      <w:r w:rsidR="00237380" w:rsidRPr="00421F11">
        <w:rPr>
          <w:rFonts w:eastAsia="Times"/>
          <w:sz w:val="20"/>
          <w:szCs w:val="20"/>
          <w:lang w:val="es-ES_tradnl"/>
        </w:rPr>
        <w:t xml:space="preserve">vida e </w:t>
      </w:r>
      <w:r w:rsidR="00A21899" w:rsidRPr="00421F11">
        <w:rPr>
          <w:rFonts w:eastAsia="Times"/>
          <w:sz w:val="20"/>
          <w:szCs w:val="20"/>
          <w:lang w:val="es-ES_tradnl"/>
        </w:rPr>
        <w:t>integridad personal</w:t>
      </w:r>
      <w:r w:rsidR="00237380" w:rsidRPr="00421F11">
        <w:rPr>
          <w:rFonts w:eastAsia="Times"/>
          <w:sz w:val="20"/>
          <w:szCs w:val="20"/>
          <w:lang w:val="es-ES_tradnl"/>
        </w:rPr>
        <w:t xml:space="preserve"> y colectividad</w:t>
      </w:r>
      <w:r w:rsidR="00A21899" w:rsidRPr="00421F11">
        <w:rPr>
          <w:rFonts w:eastAsia="Times"/>
          <w:sz w:val="20"/>
          <w:szCs w:val="20"/>
          <w:lang w:val="es-ES_tradnl"/>
        </w:rPr>
        <w:t xml:space="preserve">. </w:t>
      </w:r>
    </w:p>
    <w:p w:rsidR="00E5169F" w:rsidRPr="00E5169F" w:rsidRDefault="00E5169F" w:rsidP="00E5169F">
      <w:pPr>
        <w:pStyle w:val="Prrafodelista1"/>
        <w:jc w:val="both"/>
        <w:rPr>
          <w:rFonts w:eastAsia="Times"/>
          <w:sz w:val="20"/>
          <w:szCs w:val="20"/>
          <w:lang w:val="es-ES_tradnl"/>
        </w:rPr>
      </w:pPr>
    </w:p>
    <w:p w:rsidR="00EE6E43" w:rsidRPr="00EE6E43" w:rsidRDefault="000857BA" w:rsidP="00F846FB">
      <w:pPr>
        <w:pStyle w:val="Prrafodelista1"/>
        <w:numPr>
          <w:ilvl w:val="0"/>
          <w:numId w:val="7"/>
        </w:numPr>
        <w:tabs>
          <w:tab w:val="num" w:pos="0"/>
        </w:tabs>
        <w:ind w:left="0" w:firstLine="0"/>
        <w:jc w:val="both"/>
        <w:rPr>
          <w:sz w:val="20"/>
        </w:rPr>
      </w:pPr>
      <w:r>
        <w:rPr>
          <w:rFonts w:eastAsia="Times"/>
          <w:sz w:val="20"/>
          <w:szCs w:val="20"/>
          <w:lang w:val="es-ES_tradnl"/>
        </w:rPr>
        <w:t xml:space="preserve"> </w:t>
      </w:r>
      <w:r w:rsidR="004E3220" w:rsidRPr="00421F11">
        <w:rPr>
          <w:rFonts w:eastAsia="Times"/>
          <w:sz w:val="20"/>
          <w:szCs w:val="20"/>
          <w:lang w:val="es-ES_tradnl"/>
        </w:rPr>
        <w:t xml:space="preserve">En vista de lo anterior, esta Corte considera </w:t>
      </w:r>
      <w:r w:rsidR="002B44AF" w:rsidRPr="00421F11">
        <w:rPr>
          <w:rFonts w:eastAsia="Times"/>
          <w:sz w:val="20"/>
          <w:szCs w:val="20"/>
          <w:lang w:val="es-ES_tradnl"/>
        </w:rPr>
        <w:t>pertinente</w:t>
      </w:r>
      <w:r w:rsidR="00A81721">
        <w:rPr>
          <w:rFonts w:eastAsia="Times"/>
          <w:sz w:val="20"/>
          <w:szCs w:val="20"/>
          <w:lang w:val="es-ES_tradnl"/>
        </w:rPr>
        <w:t xml:space="preserve"> </w:t>
      </w:r>
      <w:r w:rsidR="00A81721" w:rsidRPr="00165816">
        <w:rPr>
          <w:rFonts w:eastAsia="Times"/>
          <w:sz w:val="20"/>
          <w:szCs w:val="20"/>
          <w:lang w:val="es-ES_tradnl"/>
        </w:rPr>
        <w:t>disponer</w:t>
      </w:r>
      <w:r w:rsidR="00A21899" w:rsidRPr="00421F11">
        <w:rPr>
          <w:rFonts w:eastAsia="Times"/>
          <w:sz w:val="20"/>
          <w:szCs w:val="20"/>
          <w:lang w:val="es-ES_tradnl"/>
        </w:rPr>
        <w:t xml:space="preserve"> medidas provisionales de protección</w:t>
      </w:r>
      <w:r w:rsidR="00A21899" w:rsidRPr="00421F11">
        <w:rPr>
          <w:rFonts w:eastAsia="Times"/>
          <w:b/>
          <w:sz w:val="20"/>
          <w:szCs w:val="20"/>
          <w:lang w:val="es-ES_tradnl"/>
        </w:rPr>
        <w:t xml:space="preserve"> </w:t>
      </w:r>
      <w:r w:rsidR="00A51E73">
        <w:rPr>
          <w:rFonts w:eastAsia="Times"/>
          <w:sz w:val="20"/>
          <w:szCs w:val="20"/>
          <w:lang w:val="es-ES_tradnl"/>
        </w:rPr>
        <w:t>en</w:t>
      </w:r>
      <w:r w:rsidR="00A21899" w:rsidRPr="00421F11">
        <w:rPr>
          <w:rFonts w:eastAsia="Times"/>
          <w:sz w:val="20"/>
          <w:szCs w:val="20"/>
          <w:lang w:val="es-ES_tradnl"/>
        </w:rPr>
        <w:t xml:space="preserve"> favor de </w:t>
      </w:r>
      <w:r w:rsidR="004E3220" w:rsidRPr="00421F11">
        <w:rPr>
          <w:rFonts w:eastAsia="Times"/>
          <w:sz w:val="20"/>
          <w:szCs w:val="20"/>
          <w:lang w:val="es-ES_tradnl"/>
        </w:rPr>
        <w:t xml:space="preserve">todos </w:t>
      </w:r>
      <w:r w:rsidR="00A21899" w:rsidRPr="00421F11">
        <w:rPr>
          <w:rFonts w:eastAsia="Times"/>
          <w:sz w:val="20"/>
          <w:szCs w:val="20"/>
          <w:lang w:val="es-ES_tradnl"/>
        </w:rPr>
        <w:t xml:space="preserve">los miembros del pueblo indígena </w:t>
      </w:r>
      <w:proofErr w:type="spellStart"/>
      <w:r w:rsidR="00A21899" w:rsidRPr="00A51E73">
        <w:rPr>
          <w:rFonts w:eastAsia="Times"/>
          <w:i/>
          <w:sz w:val="20"/>
          <w:szCs w:val="20"/>
          <w:lang w:val="es-ES_tradnl"/>
        </w:rPr>
        <w:t>Miskitu</w:t>
      </w:r>
      <w:proofErr w:type="spellEnd"/>
      <w:r w:rsidR="00A21899" w:rsidRPr="00421F11">
        <w:rPr>
          <w:rFonts w:eastAsia="Times"/>
          <w:sz w:val="20"/>
          <w:szCs w:val="20"/>
          <w:lang w:val="es-ES_tradnl"/>
        </w:rPr>
        <w:t xml:space="preserve"> que habiten </w:t>
      </w:r>
      <w:r w:rsidR="002B44AF" w:rsidRPr="00421F11">
        <w:rPr>
          <w:rFonts w:eastAsia="Times"/>
          <w:sz w:val="20"/>
          <w:szCs w:val="20"/>
          <w:lang w:val="es-ES_tradnl"/>
        </w:rPr>
        <w:t xml:space="preserve">en </w:t>
      </w:r>
      <w:r w:rsidR="004E3220" w:rsidRPr="00421F11">
        <w:rPr>
          <w:rFonts w:eastAsia="Times"/>
          <w:sz w:val="20"/>
          <w:szCs w:val="20"/>
          <w:lang w:val="es-ES_tradnl"/>
        </w:rPr>
        <w:t>las</w:t>
      </w:r>
      <w:r w:rsidR="00A21899" w:rsidRPr="00421F11">
        <w:rPr>
          <w:rFonts w:eastAsia="Times"/>
          <w:sz w:val="20"/>
          <w:szCs w:val="20"/>
          <w:lang w:val="es-ES_tradnl"/>
        </w:rPr>
        <w:t xml:space="preserve"> comunidades de </w:t>
      </w:r>
      <w:proofErr w:type="spellStart"/>
      <w:r w:rsidR="00A21899" w:rsidRPr="00421F11">
        <w:rPr>
          <w:rFonts w:eastAsia="Times"/>
          <w:i/>
          <w:sz w:val="20"/>
          <w:szCs w:val="20"/>
          <w:lang w:val="es-ES_tradnl"/>
        </w:rPr>
        <w:t>Klisnak</w:t>
      </w:r>
      <w:proofErr w:type="spellEnd"/>
      <w:r w:rsidR="00A21899" w:rsidRPr="00421F11">
        <w:rPr>
          <w:rFonts w:eastAsia="Times"/>
          <w:i/>
          <w:sz w:val="20"/>
          <w:szCs w:val="20"/>
          <w:lang w:val="es-ES_tradnl"/>
        </w:rPr>
        <w:t xml:space="preserve">, Wisconsin, </w:t>
      </w:r>
      <w:proofErr w:type="spellStart"/>
      <w:r w:rsidR="00A21899" w:rsidRPr="00421F11">
        <w:rPr>
          <w:rFonts w:eastAsia="Times"/>
          <w:i/>
          <w:sz w:val="20"/>
          <w:szCs w:val="20"/>
          <w:lang w:val="es-ES_tradnl"/>
        </w:rPr>
        <w:t>Wiwinak</w:t>
      </w:r>
      <w:proofErr w:type="spellEnd"/>
      <w:r w:rsidR="00A21899" w:rsidRPr="00421F11">
        <w:rPr>
          <w:rFonts w:eastAsia="Times"/>
          <w:i/>
          <w:sz w:val="20"/>
          <w:szCs w:val="20"/>
          <w:lang w:val="es-ES_tradnl"/>
        </w:rPr>
        <w:t xml:space="preserve">, San Jerónimo y Francia </w:t>
      </w:r>
      <w:proofErr w:type="spellStart"/>
      <w:r w:rsidR="00A21899" w:rsidRPr="00421F11">
        <w:rPr>
          <w:rFonts w:eastAsia="Times"/>
          <w:i/>
          <w:sz w:val="20"/>
          <w:szCs w:val="20"/>
          <w:lang w:val="es-ES_tradnl"/>
        </w:rPr>
        <w:t>Sirpi</w:t>
      </w:r>
      <w:proofErr w:type="spellEnd"/>
      <w:r w:rsidR="002B44AF" w:rsidRPr="00421F11">
        <w:rPr>
          <w:rFonts w:eastAsia="Times"/>
          <w:sz w:val="20"/>
          <w:szCs w:val="20"/>
          <w:lang w:val="es-ES_tradnl"/>
        </w:rPr>
        <w:t xml:space="preserve">, </w:t>
      </w:r>
      <w:r w:rsidR="002B44AF" w:rsidRPr="00771DF4">
        <w:rPr>
          <w:rFonts w:eastAsia="Times"/>
          <w:sz w:val="20"/>
          <w:szCs w:val="20"/>
          <w:lang w:val="es-ES_tradnl"/>
        </w:rPr>
        <w:t>así como</w:t>
      </w:r>
      <w:r w:rsidR="002B44AF" w:rsidRPr="00421F11">
        <w:rPr>
          <w:rFonts w:eastAsia="Times"/>
          <w:sz w:val="20"/>
          <w:szCs w:val="20"/>
          <w:u w:val="single"/>
          <w:lang w:val="es-ES_tradnl"/>
        </w:rPr>
        <w:t xml:space="preserve"> </w:t>
      </w:r>
      <w:r w:rsidR="002B44AF" w:rsidRPr="001B1593">
        <w:rPr>
          <w:rFonts w:eastAsia="Times"/>
          <w:sz w:val="20"/>
          <w:szCs w:val="20"/>
          <w:lang w:val="es-ES_tradnl"/>
        </w:rPr>
        <w:t xml:space="preserve">respecto de las personas que presuntamente hayan tenido que abandonar dichas comunidades </w:t>
      </w:r>
      <w:r w:rsidR="002B44AF" w:rsidRPr="00677EB1">
        <w:rPr>
          <w:rFonts w:eastAsia="Times"/>
          <w:sz w:val="20"/>
          <w:szCs w:val="20"/>
          <w:lang w:val="es-ES_tradnl"/>
        </w:rPr>
        <w:t>y deseen re</w:t>
      </w:r>
      <w:r w:rsidR="006A2334" w:rsidRPr="00677EB1">
        <w:rPr>
          <w:rFonts w:eastAsia="Times"/>
          <w:sz w:val="20"/>
          <w:szCs w:val="20"/>
          <w:lang w:val="es-ES_tradnl"/>
        </w:rPr>
        <w:t>gresar</w:t>
      </w:r>
      <w:r w:rsidR="002B44AF" w:rsidRPr="00677EB1">
        <w:rPr>
          <w:rFonts w:eastAsia="Times"/>
          <w:sz w:val="20"/>
          <w:szCs w:val="20"/>
          <w:vertAlign w:val="superscript"/>
          <w:lang w:val="es-ES_tradnl"/>
        </w:rPr>
        <w:footnoteReference w:id="16"/>
      </w:r>
      <w:r w:rsidR="002B44AF" w:rsidRPr="00677EB1">
        <w:rPr>
          <w:rFonts w:eastAsia="Times"/>
          <w:sz w:val="20"/>
          <w:szCs w:val="20"/>
          <w:lang w:val="es-ES_tradnl"/>
        </w:rPr>
        <w:t>, a fin de garantiza</w:t>
      </w:r>
      <w:r w:rsidR="00773BEC" w:rsidRPr="00677EB1">
        <w:rPr>
          <w:rFonts w:eastAsia="Times"/>
          <w:sz w:val="20"/>
          <w:szCs w:val="20"/>
          <w:lang w:val="es-ES_tradnl"/>
        </w:rPr>
        <w:t>r su vida, integridad personal</w:t>
      </w:r>
      <w:r w:rsidR="00165816" w:rsidRPr="00677EB1">
        <w:rPr>
          <w:rFonts w:eastAsia="Times"/>
          <w:sz w:val="20"/>
          <w:szCs w:val="20"/>
          <w:lang w:val="es-ES_tradnl"/>
        </w:rPr>
        <w:t xml:space="preserve"> y territorial</w:t>
      </w:r>
      <w:r w:rsidR="00773BEC" w:rsidRPr="00677EB1">
        <w:rPr>
          <w:rFonts w:eastAsia="Times"/>
          <w:sz w:val="20"/>
          <w:szCs w:val="20"/>
          <w:lang w:val="es-ES_tradnl"/>
        </w:rPr>
        <w:t>,</w:t>
      </w:r>
      <w:r w:rsidR="002B44AF" w:rsidRPr="00677EB1">
        <w:rPr>
          <w:rFonts w:eastAsia="Times"/>
          <w:sz w:val="20"/>
          <w:szCs w:val="20"/>
          <w:lang w:val="es-ES_tradnl"/>
        </w:rPr>
        <w:t xml:space="preserve"> seguridad</w:t>
      </w:r>
      <w:r w:rsidR="00237380" w:rsidRPr="00677EB1">
        <w:rPr>
          <w:rFonts w:eastAsia="Times"/>
          <w:sz w:val="20"/>
          <w:szCs w:val="20"/>
          <w:lang w:val="es-ES_tradnl"/>
        </w:rPr>
        <w:t xml:space="preserve"> colectiva</w:t>
      </w:r>
      <w:r w:rsidR="009E433F" w:rsidRPr="00677EB1">
        <w:rPr>
          <w:rFonts w:eastAsia="Times"/>
          <w:sz w:val="20"/>
          <w:szCs w:val="20"/>
          <w:lang w:val="es-ES_tradnl"/>
        </w:rPr>
        <w:t xml:space="preserve"> de </w:t>
      </w:r>
      <w:r w:rsidR="000F28C4" w:rsidRPr="00677EB1">
        <w:rPr>
          <w:rFonts w:eastAsia="Times"/>
          <w:sz w:val="20"/>
          <w:szCs w:val="20"/>
          <w:lang w:val="es-ES_tradnl"/>
        </w:rPr>
        <w:t xml:space="preserve">todos sus miembros, </w:t>
      </w:r>
      <w:r w:rsidR="00F6757C">
        <w:rPr>
          <w:rFonts w:eastAsia="Times"/>
          <w:sz w:val="20"/>
          <w:szCs w:val="20"/>
          <w:lang w:val="es-ES_tradnl"/>
        </w:rPr>
        <w:t>particularmente</w:t>
      </w:r>
      <w:r w:rsidR="000F28C4" w:rsidRPr="00677EB1">
        <w:rPr>
          <w:rFonts w:eastAsia="Times"/>
          <w:sz w:val="20"/>
          <w:szCs w:val="20"/>
          <w:lang w:val="es-ES_tradnl"/>
        </w:rPr>
        <w:t xml:space="preserve"> </w:t>
      </w:r>
      <w:r w:rsidR="009E433F" w:rsidRPr="00677EB1">
        <w:rPr>
          <w:rFonts w:eastAsia="Times"/>
          <w:sz w:val="20"/>
          <w:szCs w:val="20"/>
          <w:lang w:val="es-ES_tradnl"/>
        </w:rPr>
        <w:t>las mujeres</w:t>
      </w:r>
      <w:r w:rsidR="000F28C4" w:rsidRPr="00677EB1">
        <w:rPr>
          <w:rFonts w:eastAsia="Times"/>
          <w:sz w:val="20"/>
          <w:szCs w:val="20"/>
          <w:lang w:val="es-ES_tradnl"/>
        </w:rPr>
        <w:t xml:space="preserve"> y los niños y niñas</w:t>
      </w:r>
      <w:r w:rsidR="00165816" w:rsidRPr="00677EB1">
        <w:rPr>
          <w:rFonts w:eastAsia="Times"/>
          <w:sz w:val="20"/>
          <w:szCs w:val="20"/>
          <w:lang w:val="es-ES_tradnl"/>
        </w:rPr>
        <w:t>.</w:t>
      </w:r>
      <w:r w:rsidR="00F846FB">
        <w:rPr>
          <w:rFonts w:eastAsia="Times"/>
          <w:sz w:val="20"/>
          <w:szCs w:val="20"/>
          <w:lang w:val="es-ES_tradnl"/>
        </w:rPr>
        <w:t xml:space="preserve"> </w:t>
      </w:r>
    </w:p>
    <w:p w:rsidR="00EE6E43" w:rsidRPr="00EE6E43" w:rsidRDefault="00EE6E43" w:rsidP="00EE6E43">
      <w:pPr>
        <w:pStyle w:val="Prrafodelista1"/>
        <w:jc w:val="both"/>
        <w:rPr>
          <w:sz w:val="20"/>
        </w:rPr>
      </w:pPr>
    </w:p>
    <w:p w:rsidR="00F846FB" w:rsidRPr="0015708E" w:rsidRDefault="00EE6E43" w:rsidP="00F846FB">
      <w:pPr>
        <w:pStyle w:val="Prrafodelista1"/>
        <w:numPr>
          <w:ilvl w:val="0"/>
          <w:numId w:val="7"/>
        </w:numPr>
        <w:tabs>
          <w:tab w:val="num" w:pos="0"/>
        </w:tabs>
        <w:ind w:left="0" w:firstLine="0"/>
        <w:jc w:val="both"/>
        <w:rPr>
          <w:sz w:val="20"/>
        </w:rPr>
      </w:pPr>
      <w:r w:rsidRPr="00ED3940">
        <w:rPr>
          <w:rFonts w:eastAsia="Times"/>
          <w:sz w:val="20"/>
          <w:szCs w:val="20"/>
          <w:lang w:val="es-ES_tradnl"/>
        </w:rPr>
        <w:t xml:space="preserve"> Asimismo, debido a que la situación descrita se enmarca en un </w:t>
      </w:r>
      <w:r w:rsidR="00A15B87" w:rsidRPr="00ED3940">
        <w:rPr>
          <w:rFonts w:eastAsia="Times"/>
          <w:sz w:val="20"/>
          <w:szCs w:val="20"/>
          <w:lang w:val="es-ES_tradnl"/>
        </w:rPr>
        <w:t xml:space="preserve">grave </w:t>
      </w:r>
      <w:r w:rsidRPr="00ED3940">
        <w:rPr>
          <w:rFonts w:eastAsia="Times"/>
          <w:sz w:val="20"/>
          <w:szCs w:val="20"/>
          <w:lang w:val="es-ES_tradnl"/>
        </w:rPr>
        <w:t>conflicto social</w:t>
      </w:r>
      <w:r w:rsidR="00F66DE0" w:rsidRPr="00ED3940">
        <w:rPr>
          <w:rFonts w:eastAsia="Times"/>
          <w:sz w:val="20"/>
          <w:szCs w:val="20"/>
          <w:lang w:val="es-ES_tradnl"/>
        </w:rPr>
        <w:t>,</w:t>
      </w:r>
      <w:r w:rsidR="00F846FB" w:rsidRPr="0015708E">
        <w:rPr>
          <w:rFonts w:eastAsia="Times"/>
          <w:sz w:val="20"/>
          <w:szCs w:val="20"/>
          <w:lang w:val="es-ES_tradnl"/>
        </w:rPr>
        <w:t xml:space="preserve"> </w:t>
      </w:r>
      <w:r w:rsidR="00F846FB" w:rsidRPr="00ED3940">
        <w:rPr>
          <w:rFonts w:eastAsia="Times"/>
          <w:sz w:val="20"/>
          <w:szCs w:val="20"/>
          <w:lang w:val="es-ES_tradnl"/>
        </w:rPr>
        <w:t>resulta relevante que el Estado</w:t>
      </w:r>
      <w:r w:rsidRPr="0015708E">
        <w:rPr>
          <w:rFonts w:eastAsia="Times"/>
          <w:sz w:val="20"/>
          <w:szCs w:val="20"/>
          <w:lang w:val="es-ES_tradnl"/>
        </w:rPr>
        <w:t xml:space="preserve"> </w:t>
      </w:r>
      <w:r w:rsidR="00F846FB" w:rsidRPr="00ED3940">
        <w:rPr>
          <w:sz w:val="20"/>
          <w:lang w:val="es-GT"/>
        </w:rPr>
        <w:t>establezca una instancia u órgano interdisciplinario</w:t>
      </w:r>
      <w:r w:rsidR="00DB2374" w:rsidRPr="00ED3940">
        <w:rPr>
          <w:sz w:val="20"/>
          <w:lang w:val="es-GT"/>
        </w:rPr>
        <w:t xml:space="preserve">, integrado, </w:t>
      </w:r>
      <w:r w:rsidR="00DB2374" w:rsidRPr="00ED3940">
        <w:rPr>
          <w:i/>
          <w:sz w:val="20"/>
          <w:lang w:val="es-GT"/>
        </w:rPr>
        <w:t xml:space="preserve">inter </w:t>
      </w:r>
      <w:proofErr w:type="spellStart"/>
      <w:r w:rsidR="00DB2374" w:rsidRPr="00ED3940">
        <w:rPr>
          <w:i/>
          <w:sz w:val="20"/>
          <w:lang w:val="es-GT"/>
        </w:rPr>
        <w:t>alia</w:t>
      </w:r>
      <w:proofErr w:type="spellEnd"/>
      <w:r w:rsidR="00DB2374" w:rsidRPr="00ED3940">
        <w:rPr>
          <w:i/>
          <w:sz w:val="20"/>
          <w:lang w:val="es-GT"/>
        </w:rPr>
        <w:t>,</w:t>
      </w:r>
      <w:r w:rsidR="00DB2374" w:rsidRPr="00ED3940">
        <w:rPr>
          <w:sz w:val="20"/>
          <w:lang w:val="es-GT"/>
        </w:rPr>
        <w:t xml:space="preserve"> con sociólogos y antropólogos, </w:t>
      </w:r>
      <w:r w:rsidR="00F846FB" w:rsidRPr="00ED3940">
        <w:rPr>
          <w:sz w:val="20"/>
          <w:lang w:val="es-GT"/>
        </w:rPr>
        <w:t xml:space="preserve"> con el fin de identificar las fuentes del conflicto y proponer soluciones para brindar las medidas de seguridad necesaria</w:t>
      </w:r>
      <w:r w:rsidR="00A15B87" w:rsidRPr="00ED3940">
        <w:rPr>
          <w:sz w:val="20"/>
          <w:lang w:val="es-GT"/>
        </w:rPr>
        <w:t>s</w:t>
      </w:r>
      <w:r w:rsidR="00F846FB" w:rsidRPr="00ED3940">
        <w:rPr>
          <w:sz w:val="20"/>
          <w:lang w:val="es-GT"/>
        </w:rPr>
        <w:t xml:space="preserve"> y erradicar la violencia</w:t>
      </w:r>
      <w:r w:rsidRPr="00ED3940">
        <w:rPr>
          <w:sz w:val="20"/>
          <w:lang w:val="es-GT"/>
        </w:rPr>
        <w:t>, en el cual participen</w:t>
      </w:r>
      <w:r w:rsidR="00A15B87" w:rsidRPr="00ED3940">
        <w:rPr>
          <w:sz w:val="20"/>
          <w:lang w:val="es-GT"/>
        </w:rPr>
        <w:t>, entre otros,</w:t>
      </w:r>
      <w:r w:rsidRPr="00ED3940">
        <w:rPr>
          <w:sz w:val="20"/>
          <w:lang w:val="es-GT"/>
        </w:rPr>
        <w:t xml:space="preserve"> las comunidades indígenas afectadas</w:t>
      </w:r>
      <w:r w:rsidR="00F846FB" w:rsidRPr="00ED3940">
        <w:rPr>
          <w:sz w:val="20"/>
          <w:lang w:val="es-GT"/>
        </w:rPr>
        <w:t xml:space="preserve">. </w:t>
      </w:r>
    </w:p>
    <w:p w:rsidR="00C93612" w:rsidRDefault="00C93612">
      <w:pPr>
        <w:pStyle w:val="Prrafodelista1"/>
        <w:jc w:val="both"/>
        <w:rPr>
          <w:sz w:val="20"/>
        </w:rPr>
      </w:pPr>
    </w:p>
    <w:p w:rsidR="00F846FB" w:rsidRPr="00F846FB" w:rsidRDefault="0015708E" w:rsidP="00A01661">
      <w:pPr>
        <w:pStyle w:val="Prrafodelista1"/>
        <w:numPr>
          <w:ilvl w:val="0"/>
          <w:numId w:val="7"/>
        </w:numPr>
        <w:tabs>
          <w:tab w:val="num" w:pos="0"/>
        </w:tabs>
        <w:ind w:left="0" w:firstLine="0"/>
        <w:jc w:val="both"/>
        <w:rPr>
          <w:rFonts w:eastAsia="Times"/>
          <w:sz w:val="20"/>
          <w:szCs w:val="20"/>
          <w:lang w:val="es-ES_tradnl"/>
        </w:rPr>
      </w:pPr>
      <w:r>
        <w:rPr>
          <w:rFonts w:eastAsia="Times"/>
          <w:sz w:val="20"/>
          <w:szCs w:val="20"/>
          <w:lang w:val="es-ES_tradnl"/>
        </w:rPr>
        <w:t xml:space="preserve"> </w:t>
      </w:r>
      <w:r w:rsidR="000772AE" w:rsidRPr="00F846FB">
        <w:rPr>
          <w:rFonts w:eastAsia="Times"/>
          <w:sz w:val="20"/>
          <w:szCs w:val="20"/>
          <w:lang w:val="es-ES_tradnl"/>
        </w:rPr>
        <w:t>Cabe precisar que l</w:t>
      </w:r>
      <w:r w:rsidR="009F41EB" w:rsidRPr="00F846FB">
        <w:rPr>
          <w:rFonts w:eastAsia="Times"/>
          <w:sz w:val="20"/>
          <w:szCs w:val="20"/>
          <w:lang w:val="es-ES_tradnl"/>
        </w:rPr>
        <w:t>a adopción de las presentes medidas</w:t>
      </w:r>
      <w:r w:rsidR="000772AE" w:rsidRPr="00F846FB">
        <w:rPr>
          <w:rFonts w:eastAsia="Times"/>
          <w:sz w:val="20"/>
          <w:szCs w:val="20"/>
          <w:lang w:val="es-ES_tradnl"/>
        </w:rPr>
        <w:t xml:space="preserve"> tienen como finalidad </w:t>
      </w:r>
      <w:r w:rsidR="00677EB1" w:rsidRPr="00F846FB">
        <w:rPr>
          <w:rFonts w:eastAsia="Times"/>
          <w:sz w:val="20"/>
          <w:szCs w:val="20"/>
          <w:lang w:val="es-ES_tradnl"/>
        </w:rPr>
        <w:t xml:space="preserve">coadyuvar </w:t>
      </w:r>
      <w:r w:rsidR="00F66DE0">
        <w:rPr>
          <w:rFonts w:eastAsia="Times"/>
          <w:sz w:val="20"/>
          <w:szCs w:val="20"/>
          <w:lang w:val="es-ES_tradnl"/>
        </w:rPr>
        <w:t xml:space="preserve">con el Estado de Nicaragua en la solución de una situación de conflictividad. Por lo tanto, estas no implican un prejuzgamiento o imputación al Estado, sino la posibilidad de </w:t>
      </w:r>
      <w:r w:rsidR="00F66DE0">
        <w:rPr>
          <w:rFonts w:eastAsia="Times"/>
          <w:sz w:val="20"/>
          <w:szCs w:val="20"/>
          <w:lang w:val="es-ES_tradnl"/>
        </w:rPr>
        <w:lastRenderedPageBreak/>
        <w:t xml:space="preserve">brindar elementos que generen trasformaciones en la esfera interna que impidan la vulneración de derechos. </w:t>
      </w:r>
    </w:p>
    <w:p w:rsidR="0018206B" w:rsidRPr="00677EB1" w:rsidRDefault="0018206B" w:rsidP="00F846FB">
      <w:pPr>
        <w:pStyle w:val="Prrafodelista1"/>
        <w:jc w:val="both"/>
        <w:rPr>
          <w:rFonts w:eastAsia="Times"/>
          <w:sz w:val="20"/>
          <w:szCs w:val="20"/>
          <w:lang w:val="es-ES_tradnl"/>
        </w:rPr>
      </w:pPr>
    </w:p>
    <w:p w:rsidR="0018206B" w:rsidRPr="00677EB1" w:rsidRDefault="000772AE" w:rsidP="009D2166">
      <w:pPr>
        <w:pStyle w:val="Prrafodelista1"/>
        <w:numPr>
          <w:ilvl w:val="0"/>
          <w:numId w:val="7"/>
        </w:numPr>
        <w:tabs>
          <w:tab w:val="num" w:pos="0"/>
        </w:tabs>
        <w:ind w:left="0" w:firstLine="0"/>
        <w:jc w:val="both"/>
        <w:rPr>
          <w:sz w:val="20"/>
          <w:szCs w:val="20"/>
          <w:lang w:val="es-CL"/>
        </w:rPr>
      </w:pPr>
      <w:r w:rsidRPr="00677EB1">
        <w:rPr>
          <w:sz w:val="20"/>
          <w:szCs w:val="20"/>
          <w:lang w:val="es-ES_tradnl"/>
        </w:rPr>
        <w:t xml:space="preserve"> E</w:t>
      </w:r>
      <w:r w:rsidR="0079720D" w:rsidRPr="00677EB1">
        <w:rPr>
          <w:sz w:val="20"/>
          <w:szCs w:val="20"/>
          <w:lang w:val="es-ES_tradnl"/>
        </w:rPr>
        <w:t>n relación con la particular situación de las</w:t>
      </w:r>
      <w:r w:rsidR="0018206B" w:rsidRPr="00677EB1">
        <w:rPr>
          <w:sz w:val="20"/>
          <w:szCs w:val="20"/>
          <w:lang w:val="es-ES_tradnl"/>
        </w:rPr>
        <w:t xml:space="preserve"> otras siete comunidades señaladas por la Comisión (</w:t>
      </w:r>
      <w:r w:rsidR="0018206B" w:rsidRPr="00677EB1">
        <w:rPr>
          <w:i/>
          <w:sz w:val="20"/>
          <w:szCs w:val="20"/>
          <w:lang w:val="es-ES_tradnl"/>
        </w:rPr>
        <w:t>supra</w:t>
      </w:r>
      <w:r w:rsidR="0018206B" w:rsidRPr="00677EB1">
        <w:rPr>
          <w:sz w:val="20"/>
          <w:szCs w:val="20"/>
          <w:lang w:val="es-ES_tradnl"/>
        </w:rPr>
        <w:t xml:space="preserve"> párr. 7)</w:t>
      </w:r>
      <w:r w:rsidR="0079720D" w:rsidRPr="00677EB1">
        <w:rPr>
          <w:sz w:val="20"/>
          <w:szCs w:val="20"/>
          <w:lang w:val="es-ES_tradnl"/>
        </w:rPr>
        <w:t>,</w:t>
      </w:r>
      <w:r w:rsidR="0018206B" w:rsidRPr="00677EB1">
        <w:rPr>
          <w:sz w:val="20"/>
          <w:szCs w:val="20"/>
          <w:lang w:val="es-ES_tradnl"/>
        </w:rPr>
        <w:t xml:space="preserve"> </w:t>
      </w:r>
      <w:r w:rsidR="0079720D" w:rsidRPr="00677EB1">
        <w:rPr>
          <w:sz w:val="20"/>
          <w:szCs w:val="20"/>
          <w:lang w:val="es-ES_tradnl"/>
        </w:rPr>
        <w:t>y que</w:t>
      </w:r>
      <w:r w:rsidR="0018206B" w:rsidRPr="00677EB1">
        <w:rPr>
          <w:sz w:val="20"/>
          <w:szCs w:val="20"/>
          <w:lang w:val="es-ES_tradnl"/>
        </w:rPr>
        <w:t xml:space="preserve"> aún no ha sido sometida al conocimiento de esta Corte, este Tribunal</w:t>
      </w:r>
      <w:r w:rsidR="0018206B" w:rsidRPr="00677EB1">
        <w:rPr>
          <w:sz w:val="20"/>
          <w:szCs w:val="20"/>
          <w:lang w:val="es-CL"/>
        </w:rPr>
        <w:t xml:space="preserve"> recuerda que los Estados tienen el deber constante y permanente de cumplir con las obligaciones generales que le corresponden bajo el artículo 1.1 de la Convención, de respetar los derechos y libertades en ella reconocidos y de garantizar su libre y pleno ejercicio a toda persona </w:t>
      </w:r>
      <w:r w:rsidR="0079720D" w:rsidRPr="00677EB1">
        <w:rPr>
          <w:sz w:val="20"/>
          <w:szCs w:val="20"/>
          <w:lang w:val="es-CL"/>
        </w:rPr>
        <w:t>y/o grupos sujetos</w:t>
      </w:r>
      <w:r w:rsidR="0018206B" w:rsidRPr="00677EB1">
        <w:rPr>
          <w:sz w:val="20"/>
          <w:szCs w:val="20"/>
          <w:lang w:val="es-CL"/>
        </w:rPr>
        <w:t xml:space="preserve"> a su jurisdicción</w:t>
      </w:r>
      <w:r w:rsidR="0018206B" w:rsidRPr="00677EB1">
        <w:rPr>
          <w:sz w:val="20"/>
          <w:szCs w:val="20"/>
          <w:vertAlign w:val="superscript"/>
          <w:lang w:val="es-CL"/>
        </w:rPr>
        <w:footnoteReference w:id="17"/>
      </w:r>
      <w:r w:rsidR="0018206B" w:rsidRPr="00677EB1">
        <w:rPr>
          <w:sz w:val="20"/>
          <w:szCs w:val="20"/>
          <w:lang w:val="es-CL"/>
        </w:rPr>
        <w:t>.</w:t>
      </w:r>
    </w:p>
    <w:p w:rsidR="00A21CB9" w:rsidRPr="00421F11" w:rsidRDefault="00A21CB9" w:rsidP="00A01661">
      <w:pPr>
        <w:pStyle w:val="Prrafodelista1"/>
        <w:jc w:val="both"/>
      </w:pPr>
    </w:p>
    <w:p w:rsidR="00E85530" w:rsidRPr="00421F11" w:rsidRDefault="000857BA" w:rsidP="00A21CB9">
      <w:pPr>
        <w:pStyle w:val="Prrafodelista1"/>
        <w:numPr>
          <w:ilvl w:val="0"/>
          <w:numId w:val="7"/>
        </w:numPr>
        <w:tabs>
          <w:tab w:val="num" w:pos="0"/>
        </w:tabs>
        <w:ind w:left="0" w:firstLine="0"/>
        <w:jc w:val="both"/>
        <w:rPr>
          <w:rFonts w:eastAsia="Times"/>
          <w:sz w:val="20"/>
          <w:szCs w:val="20"/>
          <w:lang w:val="es-ES_tradnl"/>
        </w:rPr>
      </w:pPr>
      <w:r>
        <w:rPr>
          <w:sz w:val="20"/>
          <w:szCs w:val="20"/>
          <w:lang w:val="es-ES_tradnl"/>
        </w:rPr>
        <w:t xml:space="preserve"> </w:t>
      </w:r>
      <w:r w:rsidR="00A21CB9" w:rsidRPr="00421F11">
        <w:rPr>
          <w:sz w:val="20"/>
          <w:szCs w:val="20"/>
          <w:lang w:val="es-ES_tradnl"/>
        </w:rPr>
        <w:t xml:space="preserve">Finalmente, </w:t>
      </w:r>
      <w:r w:rsidR="00165816">
        <w:rPr>
          <w:sz w:val="20"/>
          <w:szCs w:val="20"/>
          <w:lang w:val="es-GT"/>
        </w:rPr>
        <w:t>respecto de</w:t>
      </w:r>
      <w:r w:rsidR="00E85530" w:rsidRPr="00421F11">
        <w:rPr>
          <w:sz w:val="20"/>
          <w:szCs w:val="20"/>
          <w:lang w:val="es-GT"/>
        </w:rPr>
        <w:t xml:space="preserve"> la falta de respuesta a las observaciones requeridas al Estado, </w:t>
      </w:r>
      <w:r w:rsidR="00E85530" w:rsidRPr="00421F11">
        <w:rPr>
          <w:rFonts w:eastAsia="Calibri" w:cs="Times"/>
          <w:sz w:val="20"/>
          <w:szCs w:val="20"/>
          <w:lang w:val="es-ES_tradnl"/>
        </w:rPr>
        <w:t>la Corte advierte que el deber de informar constituye una obligación que requiere para su efectivo cumplimiento la presentación formal de un documento en plazo y la referencia material específica, cierta, actual y detallada a los temas sobre los cuales recae dicha obligación, por lo que resulta de gran relevancia que, en un proceso de solicitud de medidas provisionales como el presente, el Estado brinde la información pertinente para que la Corte pueda valorar la situación en su conjunto</w:t>
      </w:r>
      <w:r w:rsidR="00237380" w:rsidRPr="00421F11">
        <w:rPr>
          <w:rStyle w:val="FootnoteReference"/>
          <w:rFonts w:eastAsia="Calibri" w:cs="Times"/>
          <w:sz w:val="20"/>
          <w:szCs w:val="20"/>
          <w:lang w:val="es-ES_tradnl"/>
        </w:rPr>
        <w:footnoteReference w:id="18"/>
      </w:r>
      <w:r w:rsidR="00E85530" w:rsidRPr="00421F11">
        <w:rPr>
          <w:rFonts w:eastAsia="Calibri" w:cs="Times"/>
          <w:sz w:val="20"/>
          <w:szCs w:val="20"/>
          <w:lang w:val="es-ES_tradnl"/>
        </w:rPr>
        <w:t xml:space="preserve">. </w:t>
      </w:r>
    </w:p>
    <w:p w:rsidR="00E53EEE" w:rsidRDefault="00E53EEE" w:rsidP="00557B48">
      <w:pPr>
        <w:tabs>
          <w:tab w:val="left" w:pos="680"/>
        </w:tabs>
        <w:spacing w:before="20" w:after="20"/>
        <w:ind w:right="18"/>
        <w:jc w:val="both"/>
        <w:rPr>
          <w:rFonts w:ascii="Verdana" w:hAnsi="Verdana"/>
          <w:b/>
          <w:sz w:val="20"/>
          <w:lang w:val="es-GT"/>
        </w:rPr>
      </w:pPr>
    </w:p>
    <w:p w:rsidR="00557B48" w:rsidRPr="00557B48" w:rsidRDefault="00557B48" w:rsidP="00557B48">
      <w:pPr>
        <w:tabs>
          <w:tab w:val="left" w:pos="680"/>
        </w:tabs>
        <w:spacing w:before="20" w:after="20"/>
        <w:ind w:right="18"/>
        <w:jc w:val="both"/>
        <w:rPr>
          <w:rFonts w:ascii="Verdana" w:hAnsi="Verdana"/>
          <w:b/>
          <w:sz w:val="20"/>
          <w:lang w:val="es-GT"/>
        </w:rPr>
      </w:pPr>
      <w:r w:rsidRPr="00557B48">
        <w:rPr>
          <w:rFonts w:ascii="Verdana" w:hAnsi="Verdana"/>
          <w:b/>
          <w:sz w:val="20"/>
          <w:lang w:val="es-GT"/>
        </w:rPr>
        <w:t>POR TANTO:</w:t>
      </w:r>
    </w:p>
    <w:p w:rsidR="00557B48" w:rsidRDefault="00557B48" w:rsidP="00557B48">
      <w:pPr>
        <w:spacing w:before="20" w:after="20"/>
        <w:ind w:right="18"/>
        <w:jc w:val="both"/>
        <w:rPr>
          <w:rFonts w:ascii="Verdana" w:hAnsi="Verdana"/>
          <w:b/>
          <w:sz w:val="20"/>
          <w:lang w:val="es-GT"/>
        </w:rPr>
      </w:pPr>
      <w:r w:rsidRPr="00557B48">
        <w:rPr>
          <w:rFonts w:ascii="Verdana" w:hAnsi="Verdana"/>
          <w:b/>
          <w:sz w:val="20"/>
          <w:lang w:val="es-GT"/>
        </w:rPr>
        <w:t>LA CORTE INTERAMERICANA DE DERECHOS HUMANOS,</w:t>
      </w:r>
    </w:p>
    <w:p w:rsidR="00556EFF" w:rsidRPr="00556EFF" w:rsidRDefault="00556EFF" w:rsidP="00557B48">
      <w:pPr>
        <w:spacing w:before="20" w:after="20"/>
        <w:ind w:right="18"/>
        <w:jc w:val="both"/>
        <w:rPr>
          <w:rFonts w:ascii="Verdana" w:hAnsi="Verdana"/>
          <w:b/>
          <w:sz w:val="20"/>
          <w:lang w:val="es-GT"/>
        </w:rPr>
      </w:pPr>
    </w:p>
    <w:p w:rsidR="00557B48" w:rsidRPr="00A21899" w:rsidRDefault="00557B48" w:rsidP="00A21899">
      <w:pPr>
        <w:jc w:val="both"/>
        <w:rPr>
          <w:rFonts w:ascii="Verdana" w:hAnsi="Verdana"/>
          <w:sz w:val="20"/>
          <w:lang w:val="es-MX"/>
        </w:rPr>
      </w:pPr>
      <w:r>
        <w:rPr>
          <w:rFonts w:ascii="Verdana" w:hAnsi="Verdana"/>
          <w:sz w:val="20"/>
          <w:lang w:val="es-MX"/>
        </w:rPr>
        <w:t>en uso de las atribuciones que le confieren el artículo 63.2 de la Convención Americana, y los artículos 27 y</w:t>
      </w:r>
      <w:r>
        <w:rPr>
          <w:rFonts w:ascii="Verdana" w:hAnsi="Verdana"/>
          <w:color w:val="00B050"/>
          <w:sz w:val="20"/>
          <w:lang w:val="es-MX"/>
        </w:rPr>
        <w:t xml:space="preserve"> </w:t>
      </w:r>
      <w:r>
        <w:rPr>
          <w:rFonts w:ascii="Verdana" w:hAnsi="Verdana"/>
          <w:sz w:val="20"/>
          <w:lang w:val="es-MX"/>
        </w:rPr>
        <w:t>31 del Reglamento,</w:t>
      </w:r>
    </w:p>
    <w:p w:rsidR="00557B48" w:rsidRDefault="00557B48" w:rsidP="00557B48">
      <w:pPr>
        <w:tabs>
          <w:tab w:val="left" w:pos="680"/>
        </w:tabs>
        <w:spacing w:before="20" w:after="20"/>
        <w:ind w:right="18"/>
        <w:jc w:val="both"/>
        <w:rPr>
          <w:rFonts w:ascii="Verdana" w:hAnsi="Verdana"/>
          <w:b/>
          <w:sz w:val="20"/>
        </w:rPr>
      </w:pPr>
      <w:r>
        <w:rPr>
          <w:rFonts w:ascii="Verdana" w:hAnsi="Verdana"/>
          <w:b/>
          <w:sz w:val="20"/>
        </w:rPr>
        <w:t>RESUELVE:</w:t>
      </w:r>
    </w:p>
    <w:p w:rsidR="00557B48" w:rsidRDefault="00557B48" w:rsidP="00557B48">
      <w:pPr>
        <w:tabs>
          <w:tab w:val="left" w:pos="680"/>
        </w:tabs>
        <w:spacing w:before="20" w:after="20"/>
        <w:ind w:right="18"/>
        <w:jc w:val="both"/>
        <w:rPr>
          <w:rFonts w:ascii="Verdana" w:hAnsi="Verdana"/>
          <w:b/>
          <w:sz w:val="20"/>
        </w:rPr>
      </w:pPr>
    </w:p>
    <w:p w:rsidR="000153E2" w:rsidRPr="00677EB1" w:rsidRDefault="00285A3B" w:rsidP="000153E2">
      <w:pPr>
        <w:numPr>
          <w:ilvl w:val="0"/>
          <w:numId w:val="8"/>
        </w:numPr>
        <w:spacing w:before="20" w:after="20" w:line="240" w:lineRule="auto"/>
        <w:ind w:left="0" w:right="18" w:firstLine="0"/>
        <w:jc w:val="both"/>
        <w:rPr>
          <w:rFonts w:ascii="Verdana" w:hAnsi="Verdana"/>
          <w:sz w:val="20"/>
          <w:lang w:val="es-GT"/>
        </w:rPr>
      </w:pPr>
      <w:r w:rsidRPr="00677EB1">
        <w:rPr>
          <w:rFonts w:ascii="Verdana" w:hAnsi="Verdana"/>
          <w:sz w:val="20"/>
          <w:lang w:val="es-MX"/>
        </w:rPr>
        <w:t>Disponer, como medida provisional, la adopción</w:t>
      </w:r>
      <w:r w:rsidR="0017705B" w:rsidRPr="00677EB1">
        <w:rPr>
          <w:rFonts w:ascii="Verdana" w:hAnsi="Verdana"/>
          <w:sz w:val="20"/>
          <w:lang w:val="es-MX"/>
        </w:rPr>
        <w:t>, de manera inmediata,</w:t>
      </w:r>
      <w:r w:rsidRPr="00677EB1">
        <w:rPr>
          <w:rFonts w:ascii="Verdana" w:hAnsi="Verdana"/>
          <w:sz w:val="20"/>
          <w:lang w:val="es-MX"/>
        </w:rPr>
        <w:t xml:space="preserve"> por parte del Estado de Nicaragua</w:t>
      </w:r>
      <w:r w:rsidR="00247019" w:rsidRPr="00677EB1">
        <w:rPr>
          <w:rFonts w:ascii="Verdana" w:hAnsi="Verdana"/>
          <w:sz w:val="20"/>
          <w:lang w:val="es-MX"/>
        </w:rPr>
        <w:t>,</w:t>
      </w:r>
      <w:r w:rsidRPr="00677EB1">
        <w:rPr>
          <w:rFonts w:ascii="Verdana" w:hAnsi="Verdana"/>
          <w:sz w:val="20"/>
          <w:lang w:val="es-MX"/>
        </w:rPr>
        <w:t xml:space="preserve"> de </w:t>
      </w:r>
      <w:r w:rsidR="009F41EB" w:rsidRPr="00677EB1">
        <w:rPr>
          <w:rFonts w:ascii="Verdana" w:hAnsi="Verdana"/>
          <w:sz w:val="20"/>
          <w:lang w:val="es-MX"/>
        </w:rPr>
        <w:t xml:space="preserve">todas las </w:t>
      </w:r>
      <w:r w:rsidR="00F66DE0" w:rsidRPr="00ED3940">
        <w:rPr>
          <w:rFonts w:ascii="Verdana" w:hAnsi="Verdana"/>
          <w:sz w:val="20"/>
          <w:lang w:val="es-MX"/>
        </w:rPr>
        <w:t>acciones</w:t>
      </w:r>
      <w:r w:rsidRPr="0015708E">
        <w:rPr>
          <w:rFonts w:ascii="Verdana" w:hAnsi="Verdana"/>
          <w:sz w:val="20"/>
          <w:lang w:val="es-MX"/>
        </w:rPr>
        <w:t xml:space="preserve"> </w:t>
      </w:r>
      <w:r w:rsidR="00F66DE0" w:rsidRPr="0015708E">
        <w:rPr>
          <w:rFonts w:ascii="Verdana" w:hAnsi="Verdana"/>
          <w:sz w:val="20"/>
          <w:lang w:val="es-MX"/>
        </w:rPr>
        <w:t>destinadas</w:t>
      </w:r>
      <w:r w:rsidR="009F41EB" w:rsidRPr="0015708E">
        <w:rPr>
          <w:rFonts w:ascii="Verdana" w:hAnsi="Verdana"/>
          <w:sz w:val="20"/>
          <w:lang w:val="es-MX"/>
        </w:rPr>
        <w:t xml:space="preserve"> a</w:t>
      </w:r>
      <w:r w:rsidR="001474A7" w:rsidRPr="0015708E">
        <w:rPr>
          <w:rFonts w:ascii="Verdana" w:hAnsi="Verdana"/>
          <w:sz w:val="20"/>
          <w:lang w:val="es-MX"/>
        </w:rPr>
        <w:t xml:space="preserve"> </w:t>
      </w:r>
      <w:r w:rsidR="00677EB1" w:rsidRPr="00ED3940">
        <w:rPr>
          <w:rFonts w:ascii="Verdana" w:hAnsi="Verdana"/>
          <w:sz w:val="20"/>
          <w:lang w:val="es-MX"/>
        </w:rPr>
        <w:t>erradicar</w:t>
      </w:r>
      <w:r w:rsidR="001474A7" w:rsidRPr="0015708E">
        <w:rPr>
          <w:rFonts w:ascii="Verdana" w:hAnsi="Verdana"/>
          <w:sz w:val="20"/>
          <w:lang w:val="es-MX"/>
        </w:rPr>
        <w:t xml:space="preserve"> la violencia </w:t>
      </w:r>
      <w:r w:rsidR="00165816" w:rsidRPr="0015708E">
        <w:rPr>
          <w:rFonts w:ascii="Verdana" w:hAnsi="Verdana"/>
          <w:sz w:val="20"/>
          <w:lang w:val="es-MX"/>
        </w:rPr>
        <w:t>existente, así como proteger y</w:t>
      </w:r>
      <w:r w:rsidR="001474A7" w:rsidRPr="007311A9">
        <w:rPr>
          <w:rFonts w:ascii="Verdana" w:hAnsi="Verdana"/>
          <w:sz w:val="20"/>
          <w:lang w:val="es-MX"/>
        </w:rPr>
        <w:t xml:space="preserve"> ga</w:t>
      </w:r>
      <w:r w:rsidR="00727CE2" w:rsidRPr="00675BAB">
        <w:rPr>
          <w:rFonts w:ascii="Verdana" w:hAnsi="Verdana"/>
          <w:sz w:val="20"/>
          <w:lang w:val="es-MX"/>
        </w:rPr>
        <w:t xml:space="preserve">rantizar el respeto a la vida, </w:t>
      </w:r>
      <w:r w:rsidR="001474A7" w:rsidRPr="00675BAB">
        <w:rPr>
          <w:rFonts w:ascii="Verdana" w:hAnsi="Verdana"/>
          <w:sz w:val="20"/>
          <w:lang w:val="es-MX"/>
        </w:rPr>
        <w:t>integridad personal</w:t>
      </w:r>
      <w:r w:rsidR="00165816" w:rsidRPr="00675BAB">
        <w:rPr>
          <w:rFonts w:ascii="Verdana" w:hAnsi="Verdana"/>
          <w:sz w:val="20"/>
          <w:lang w:val="es-MX"/>
        </w:rPr>
        <w:t xml:space="preserve"> y</w:t>
      </w:r>
      <w:r w:rsidR="00727CE2" w:rsidRPr="00675BAB">
        <w:rPr>
          <w:rFonts w:ascii="Verdana" w:hAnsi="Verdana"/>
          <w:sz w:val="20"/>
          <w:lang w:val="es-MX"/>
        </w:rPr>
        <w:t xml:space="preserve"> territorial e identidad cultural, </w:t>
      </w:r>
      <w:r w:rsidR="009F41EB" w:rsidRPr="00ED3940">
        <w:rPr>
          <w:rFonts w:ascii="Verdana" w:hAnsi="Verdana"/>
          <w:sz w:val="20"/>
          <w:lang w:val="es-MX"/>
        </w:rPr>
        <w:t xml:space="preserve">en favor de </w:t>
      </w:r>
      <w:r w:rsidR="009F41EB" w:rsidRPr="00ED3940">
        <w:rPr>
          <w:rFonts w:ascii="Verdana" w:eastAsia="Times" w:hAnsi="Verdana" w:cs="Times New Roman"/>
          <w:sz w:val="20"/>
          <w:szCs w:val="20"/>
          <w:lang w:val="es-ES_tradnl"/>
        </w:rPr>
        <w:t xml:space="preserve">los miembros del pueblo indígena </w:t>
      </w:r>
      <w:proofErr w:type="spellStart"/>
      <w:r w:rsidR="009F41EB" w:rsidRPr="00ED3940">
        <w:rPr>
          <w:rFonts w:ascii="Verdana" w:eastAsia="Times" w:hAnsi="Verdana" w:cs="Times New Roman"/>
          <w:i/>
          <w:sz w:val="20"/>
          <w:szCs w:val="20"/>
          <w:lang w:val="es-ES_tradnl"/>
        </w:rPr>
        <w:t>Miskitu</w:t>
      </w:r>
      <w:proofErr w:type="spellEnd"/>
      <w:r w:rsidR="009F41EB" w:rsidRPr="00ED3940">
        <w:rPr>
          <w:rFonts w:ascii="Verdana" w:eastAsia="Times" w:hAnsi="Verdana" w:cs="Times New Roman"/>
          <w:i/>
          <w:sz w:val="20"/>
          <w:szCs w:val="20"/>
          <w:lang w:val="es-ES_tradnl"/>
        </w:rPr>
        <w:t xml:space="preserve"> </w:t>
      </w:r>
      <w:r w:rsidR="0017705B" w:rsidRPr="00ED3940">
        <w:rPr>
          <w:rFonts w:ascii="Verdana" w:eastAsia="Times" w:hAnsi="Verdana" w:cs="Times New Roman"/>
          <w:sz w:val="20"/>
          <w:szCs w:val="20"/>
          <w:lang w:val="es-ES_tradnl"/>
        </w:rPr>
        <w:t>que habita</w:t>
      </w:r>
      <w:r w:rsidR="009F41EB" w:rsidRPr="00ED3940">
        <w:rPr>
          <w:rFonts w:ascii="Verdana" w:eastAsia="Times" w:hAnsi="Verdana" w:cs="Times New Roman"/>
          <w:sz w:val="20"/>
          <w:szCs w:val="20"/>
          <w:lang w:val="es-ES_tradnl"/>
        </w:rPr>
        <w:t xml:space="preserve">n </w:t>
      </w:r>
      <w:r w:rsidR="009F41EB" w:rsidRPr="00ED3940">
        <w:rPr>
          <w:rFonts w:ascii="Verdana" w:eastAsia="Times" w:hAnsi="Verdana"/>
          <w:sz w:val="20"/>
          <w:szCs w:val="20"/>
          <w:lang w:val="es-ES_tradnl"/>
        </w:rPr>
        <w:t>en las</w:t>
      </w:r>
      <w:r w:rsidR="009F41EB" w:rsidRPr="00ED3940">
        <w:rPr>
          <w:rFonts w:ascii="Verdana" w:eastAsia="Times" w:hAnsi="Verdana" w:cs="Times New Roman"/>
          <w:sz w:val="20"/>
          <w:szCs w:val="20"/>
          <w:lang w:val="es-ES_tradnl"/>
        </w:rPr>
        <w:t xml:space="preserve"> comunidades de </w:t>
      </w:r>
      <w:proofErr w:type="spellStart"/>
      <w:r w:rsidR="009F41EB" w:rsidRPr="00ED3940">
        <w:rPr>
          <w:rFonts w:ascii="Verdana" w:eastAsia="Times" w:hAnsi="Verdana" w:cs="Times New Roman"/>
          <w:i/>
          <w:sz w:val="20"/>
          <w:szCs w:val="20"/>
          <w:lang w:val="es-ES_tradnl"/>
        </w:rPr>
        <w:t>Klisnak</w:t>
      </w:r>
      <w:proofErr w:type="spellEnd"/>
      <w:r w:rsidR="009F41EB" w:rsidRPr="00ED3940">
        <w:rPr>
          <w:rFonts w:ascii="Verdana" w:eastAsia="Times" w:hAnsi="Verdana" w:cs="Times New Roman"/>
          <w:i/>
          <w:sz w:val="20"/>
          <w:szCs w:val="20"/>
          <w:lang w:val="es-ES_tradnl"/>
        </w:rPr>
        <w:t xml:space="preserve">, Wisconsin, </w:t>
      </w:r>
      <w:proofErr w:type="spellStart"/>
      <w:r w:rsidR="009F41EB" w:rsidRPr="00ED3940">
        <w:rPr>
          <w:rFonts w:ascii="Verdana" w:eastAsia="Times" w:hAnsi="Verdana" w:cs="Times New Roman"/>
          <w:i/>
          <w:sz w:val="20"/>
          <w:szCs w:val="20"/>
          <w:lang w:val="es-ES_tradnl"/>
        </w:rPr>
        <w:t>Wiwinak</w:t>
      </w:r>
      <w:proofErr w:type="spellEnd"/>
      <w:r w:rsidR="009F41EB" w:rsidRPr="00ED3940">
        <w:rPr>
          <w:rFonts w:ascii="Verdana" w:eastAsia="Times" w:hAnsi="Verdana" w:cs="Times New Roman"/>
          <w:i/>
          <w:sz w:val="20"/>
          <w:szCs w:val="20"/>
          <w:lang w:val="es-ES_tradnl"/>
        </w:rPr>
        <w:t xml:space="preserve">, San Jerónimo y Francia </w:t>
      </w:r>
      <w:proofErr w:type="spellStart"/>
      <w:r w:rsidR="009F41EB" w:rsidRPr="00ED3940">
        <w:rPr>
          <w:rFonts w:ascii="Verdana" w:eastAsia="Times" w:hAnsi="Verdana" w:cs="Times New Roman"/>
          <w:i/>
          <w:sz w:val="20"/>
          <w:szCs w:val="20"/>
          <w:lang w:val="es-ES_tradnl"/>
        </w:rPr>
        <w:t>Sirpi</w:t>
      </w:r>
      <w:proofErr w:type="spellEnd"/>
      <w:r w:rsidR="009F41EB" w:rsidRPr="00ED3940">
        <w:rPr>
          <w:rFonts w:ascii="Verdana" w:eastAsia="Times" w:hAnsi="Verdana"/>
          <w:sz w:val="20"/>
          <w:szCs w:val="20"/>
          <w:lang w:val="es-ES_tradnl"/>
        </w:rPr>
        <w:t xml:space="preserve">, </w:t>
      </w:r>
      <w:r w:rsidR="00677EB1" w:rsidRPr="00ED3940">
        <w:rPr>
          <w:rFonts w:ascii="Verdana" w:eastAsia="Times" w:hAnsi="Verdana"/>
          <w:sz w:val="20"/>
          <w:szCs w:val="20"/>
          <w:lang w:val="es-ES_tradnl"/>
        </w:rPr>
        <w:t>y de</w:t>
      </w:r>
      <w:r w:rsidR="009F41EB" w:rsidRPr="0015708E">
        <w:rPr>
          <w:rFonts w:ascii="Verdana" w:eastAsia="Times" w:hAnsi="Verdana"/>
          <w:sz w:val="20"/>
          <w:szCs w:val="20"/>
          <w:lang w:val="es-ES_tradnl"/>
        </w:rPr>
        <w:t xml:space="preserve"> las personas que presuntamente </w:t>
      </w:r>
      <w:r w:rsidR="009F41EB" w:rsidRPr="007311A9">
        <w:rPr>
          <w:rFonts w:ascii="Verdana" w:eastAsia="Times" w:hAnsi="Verdana" w:cs="Times New Roman"/>
          <w:sz w:val="20"/>
          <w:szCs w:val="20"/>
          <w:lang w:val="es-ES_tradnl"/>
        </w:rPr>
        <w:t xml:space="preserve">hayan </w:t>
      </w:r>
      <w:r w:rsidR="009F41EB" w:rsidRPr="00675BAB">
        <w:rPr>
          <w:rFonts w:ascii="Verdana" w:eastAsia="Times" w:hAnsi="Verdana"/>
          <w:sz w:val="20"/>
          <w:szCs w:val="20"/>
          <w:lang w:val="es-ES_tradnl"/>
        </w:rPr>
        <w:t>tenido que abandonar dichas comunidades y deseen</w:t>
      </w:r>
      <w:r w:rsidR="009F41EB" w:rsidRPr="00677EB1">
        <w:rPr>
          <w:rFonts w:ascii="Verdana" w:eastAsia="Times" w:hAnsi="Verdana"/>
          <w:sz w:val="20"/>
          <w:szCs w:val="20"/>
          <w:lang w:val="es-ES_tradnl"/>
        </w:rPr>
        <w:t xml:space="preserve"> regresar</w:t>
      </w:r>
      <w:r w:rsidR="001474A7" w:rsidRPr="00677EB1">
        <w:rPr>
          <w:rFonts w:ascii="Verdana" w:hAnsi="Verdana"/>
          <w:sz w:val="20"/>
          <w:szCs w:val="20"/>
          <w:lang w:val="es-GT"/>
        </w:rPr>
        <w:t>,</w:t>
      </w:r>
      <w:r w:rsidR="001474A7" w:rsidRPr="00677EB1">
        <w:rPr>
          <w:sz w:val="20"/>
          <w:szCs w:val="20"/>
          <w:lang w:val="es-GT"/>
        </w:rPr>
        <w:t xml:space="preserve"> </w:t>
      </w:r>
      <w:r w:rsidR="00557B48" w:rsidRPr="00677EB1">
        <w:rPr>
          <w:rFonts w:ascii="Verdana" w:hAnsi="Verdana"/>
          <w:bCs/>
          <w:sz w:val="20"/>
          <w:lang w:val="es-ES_tradnl"/>
        </w:rPr>
        <w:t>de conformidad con lo</w:t>
      </w:r>
      <w:r w:rsidR="00556EFF" w:rsidRPr="00677EB1">
        <w:rPr>
          <w:rFonts w:ascii="Verdana" w:hAnsi="Verdana"/>
          <w:bCs/>
          <w:sz w:val="20"/>
          <w:lang w:val="es-ES_tradnl"/>
        </w:rPr>
        <w:t xml:space="preserve">s Considerandos </w:t>
      </w:r>
      <w:r w:rsidR="00773BEC" w:rsidRPr="00677EB1">
        <w:rPr>
          <w:rFonts w:ascii="Verdana" w:hAnsi="Verdana"/>
          <w:bCs/>
          <w:sz w:val="20"/>
          <w:lang w:val="es-ES_tradnl"/>
        </w:rPr>
        <w:t>1</w:t>
      </w:r>
      <w:r w:rsidR="003B2AAF">
        <w:rPr>
          <w:rFonts w:ascii="Verdana" w:hAnsi="Verdana"/>
          <w:bCs/>
          <w:sz w:val="20"/>
          <w:lang w:val="es-ES_tradnl"/>
        </w:rPr>
        <w:t>1</w:t>
      </w:r>
      <w:r w:rsidR="00773BEC" w:rsidRPr="00677EB1">
        <w:rPr>
          <w:rFonts w:ascii="Verdana" w:hAnsi="Verdana"/>
          <w:bCs/>
          <w:sz w:val="20"/>
          <w:lang w:val="es-ES_tradnl"/>
        </w:rPr>
        <w:t xml:space="preserve"> a 1</w:t>
      </w:r>
      <w:r w:rsidR="003B2AAF">
        <w:rPr>
          <w:rFonts w:ascii="Verdana" w:hAnsi="Verdana"/>
          <w:bCs/>
          <w:sz w:val="20"/>
          <w:lang w:val="es-ES_tradnl"/>
        </w:rPr>
        <w:t>7</w:t>
      </w:r>
      <w:r w:rsidR="00556EFF" w:rsidRPr="00677EB1">
        <w:rPr>
          <w:rFonts w:ascii="Verdana" w:hAnsi="Verdana"/>
          <w:bCs/>
          <w:sz w:val="20"/>
          <w:lang w:val="es-GT"/>
        </w:rPr>
        <w:t xml:space="preserve"> de </w:t>
      </w:r>
      <w:r w:rsidR="00557B48" w:rsidRPr="00677EB1">
        <w:rPr>
          <w:rFonts w:ascii="Verdana" w:hAnsi="Verdana"/>
          <w:bCs/>
          <w:sz w:val="20"/>
          <w:lang w:val="es-ES_tradnl"/>
        </w:rPr>
        <w:t>la presente Resolución</w:t>
      </w:r>
      <w:r w:rsidR="00557B48" w:rsidRPr="00677EB1">
        <w:rPr>
          <w:rFonts w:ascii="Verdana" w:hAnsi="Verdana"/>
          <w:sz w:val="20"/>
          <w:lang w:val="es-ES_tradnl"/>
        </w:rPr>
        <w:t xml:space="preserve">. </w:t>
      </w:r>
    </w:p>
    <w:p w:rsidR="000153E2" w:rsidRPr="00A01661" w:rsidRDefault="000153E2" w:rsidP="00A01661">
      <w:pPr>
        <w:spacing w:before="20" w:after="20" w:line="240" w:lineRule="auto"/>
        <w:ind w:right="18"/>
        <w:jc w:val="both"/>
        <w:rPr>
          <w:rFonts w:ascii="Verdana" w:hAnsi="Verdana"/>
          <w:sz w:val="20"/>
          <w:lang w:val="es-GT"/>
        </w:rPr>
      </w:pPr>
    </w:p>
    <w:p w:rsidR="0015708E" w:rsidRPr="0015708E" w:rsidRDefault="00F66DE0" w:rsidP="0015708E">
      <w:pPr>
        <w:numPr>
          <w:ilvl w:val="0"/>
          <w:numId w:val="8"/>
        </w:numPr>
        <w:spacing w:before="20" w:after="20" w:line="240" w:lineRule="auto"/>
        <w:ind w:left="0" w:right="18" w:firstLine="0"/>
        <w:jc w:val="both"/>
        <w:rPr>
          <w:rFonts w:ascii="Verdana" w:hAnsi="Verdana"/>
          <w:sz w:val="20"/>
          <w:lang w:val="es-GT"/>
        </w:rPr>
      </w:pPr>
      <w:r w:rsidRPr="00F66DE0">
        <w:rPr>
          <w:rFonts w:ascii="Verdana" w:hAnsi="Verdana"/>
          <w:sz w:val="20"/>
          <w:lang w:val="es-MX"/>
        </w:rPr>
        <w:t>Sin</w:t>
      </w:r>
      <w:r w:rsidR="001474A7" w:rsidRPr="00677EB1">
        <w:rPr>
          <w:rFonts w:ascii="Verdana" w:hAnsi="Verdana"/>
          <w:sz w:val="20"/>
          <w:lang w:val="es-GT"/>
        </w:rPr>
        <w:t xml:space="preserve"> perjuicio de lo anterior, y dado que los hechos se </w:t>
      </w:r>
      <w:r w:rsidR="00247019" w:rsidRPr="00677EB1">
        <w:rPr>
          <w:rFonts w:ascii="Verdana" w:hAnsi="Verdana"/>
          <w:sz w:val="20"/>
          <w:lang w:val="es-GT"/>
        </w:rPr>
        <w:t>habrían producido</w:t>
      </w:r>
      <w:r w:rsidR="001474A7" w:rsidRPr="00677EB1">
        <w:rPr>
          <w:rFonts w:ascii="Verdana" w:hAnsi="Verdana"/>
          <w:sz w:val="20"/>
          <w:lang w:val="es-GT"/>
        </w:rPr>
        <w:t xml:space="preserve"> en un marco de conflictividad mayor, la Corte </w:t>
      </w:r>
      <w:r w:rsidR="00CC4584" w:rsidRPr="00F6757C">
        <w:rPr>
          <w:rFonts w:ascii="Verdana" w:hAnsi="Verdana"/>
          <w:sz w:val="20"/>
          <w:lang w:val="es-GT"/>
        </w:rPr>
        <w:t>dispone</w:t>
      </w:r>
      <w:r w:rsidR="0079720D" w:rsidRPr="00F6757C">
        <w:rPr>
          <w:rFonts w:ascii="Verdana" w:hAnsi="Verdana"/>
          <w:sz w:val="20"/>
          <w:lang w:val="es-GT"/>
        </w:rPr>
        <w:t xml:space="preserve"> </w:t>
      </w:r>
      <w:r w:rsidR="0079720D" w:rsidRPr="00677EB1">
        <w:rPr>
          <w:rFonts w:ascii="Verdana" w:hAnsi="Verdana"/>
          <w:sz w:val="20"/>
          <w:lang w:val="es-GT"/>
        </w:rPr>
        <w:t xml:space="preserve">que el Estado </w:t>
      </w:r>
      <w:r w:rsidRPr="00ED3940">
        <w:rPr>
          <w:rFonts w:ascii="Verdana" w:hAnsi="Verdana"/>
          <w:sz w:val="20"/>
          <w:lang w:val="es-GT"/>
        </w:rPr>
        <w:t>establezca la instancia u órgano</w:t>
      </w:r>
      <w:r w:rsidR="00F3175B" w:rsidRPr="00ED3940">
        <w:rPr>
          <w:rFonts w:ascii="Verdana" w:hAnsi="Verdana"/>
          <w:sz w:val="20"/>
          <w:lang w:val="es-GT"/>
        </w:rPr>
        <w:t xml:space="preserve"> que</w:t>
      </w:r>
      <w:r w:rsidRPr="00ED3940">
        <w:rPr>
          <w:rFonts w:ascii="Verdana" w:hAnsi="Verdana"/>
          <w:sz w:val="20"/>
          <w:lang w:val="es-GT"/>
        </w:rPr>
        <w:t xml:space="preserve">, con </w:t>
      </w:r>
      <w:r w:rsidR="00F3175B" w:rsidRPr="00ED3940">
        <w:rPr>
          <w:rFonts w:ascii="Verdana" w:hAnsi="Verdana"/>
          <w:sz w:val="20"/>
          <w:lang w:val="es-GT"/>
        </w:rPr>
        <w:t xml:space="preserve">la </w:t>
      </w:r>
      <w:r w:rsidRPr="00ED3940">
        <w:rPr>
          <w:rFonts w:ascii="Verdana" w:hAnsi="Verdana"/>
          <w:sz w:val="20"/>
          <w:lang w:val="es-GT"/>
        </w:rPr>
        <w:t>participación de</w:t>
      </w:r>
      <w:r w:rsidR="00677EB1" w:rsidRPr="0015708E">
        <w:rPr>
          <w:rFonts w:ascii="Verdana" w:hAnsi="Verdana"/>
          <w:sz w:val="20"/>
          <w:lang w:val="es-GT"/>
        </w:rPr>
        <w:t xml:space="preserve"> </w:t>
      </w:r>
      <w:r w:rsidR="001474A7" w:rsidRPr="0015708E">
        <w:rPr>
          <w:rFonts w:ascii="Verdana" w:hAnsi="Verdana"/>
          <w:sz w:val="20"/>
          <w:lang w:val="es-GT"/>
        </w:rPr>
        <w:t xml:space="preserve">representantes del </w:t>
      </w:r>
      <w:r w:rsidRPr="00ED3940">
        <w:rPr>
          <w:rFonts w:ascii="Verdana" w:hAnsi="Verdana"/>
          <w:sz w:val="20"/>
          <w:lang w:val="es-GT"/>
        </w:rPr>
        <w:t>gobierno</w:t>
      </w:r>
      <w:r w:rsidR="001474A7" w:rsidRPr="0015708E">
        <w:rPr>
          <w:rFonts w:ascii="Verdana" w:hAnsi="Verdana"/>
          <w:sz w:val="20"/>
          <w:lang w:val="es-GT"/>
        </w:rPr>
        <w:t xml:space="preserve">, de las comunidades y de los colonos afincados desde </w:t>
      </w:r>
      <w:r w:rsidR="000153E2" w:rsidRPr="0015708E">
        <w:rPr>
          <w:rFonts w:ascii="Verdana" w:hAnsi="Verdana"/>
          <w:sz w:val="20"/>
          <w:lang w:val="es-GT"/>
        </w:rPr>
        <w:t xml:space="preserve">hace </w:t>
      </w:r>
      <w:r w:rsidR="001474A7" w:rsidRPr="0015708E">
        <w:rPr>
          <w:rFonts w:ascii="Verdana" w:hAnsi="Verdana"/>
          <w:sz w:val="20"/>
          <w:lang w:val="es-GT"/>
        </w:rPr>
        <w:t xml:space="preserve">tiempo, </w:t>
      </w:r>
      <w:r w:rsidR="000153E2" w:rsidRPr="0015708E">
        <w:rPr>
          <w:rFonts w:ascii="Verdana" w:hAnsi="Verdana"/>
          <w:sz w:val="20"/>
          <w:lang w:val="es-GT"/>
        </w:rPr>
        <w:t xml:space="preserve">así como </w:t>
      </w:r>
      <w:r w:rsidR="001474A7" w:rsidRPr="0015708E">
        <w:rPr>
          <w:rFonts w:ascii="Verdana" w:hAnsi="Verdana"/>
          <w:sz w:val="20"/>
          <w:lang w:val="es-GT"/>
        </w:rPr>
        <w:t>antropólogos y sociólogos</w:t>
      </w:r>
      <w:r w:rsidR="000153E2" w:rsidRPr="0015708E">
        <w:rPr>
          <w:rFonts w:ascii="Verdana" w:hAnsi="Verdana"/>
          <w:sz w:val="20"/>
          <w:lang w:val="es-GT"/>
        </w:rPr>
        <w:t xml:space="preserve">, </w:t>
      </w:r>
      <w:r w:rsidRPr="00ED3940">
        <w:rPr>
          <w:rFonts w:ascii="Verdana" w:hAnsi="Verdana"/>
          <w:sz w:val="20"/>
          <w:lang w:val="es-GT"/>
        </w:rPr>
        <w:t>reúna en el</w:t>
      </w:r>
      <w:r w:rsidR="00677EB1" w:rsidRPr="0015708E">
        <w:rPr>
          <w:rFonts w:ascii="Verdana" w:hAnsi="Verdana"/>
          <w:sz w:val="20"/>
          <w:lang w:val="es-GT"/>
        </w:rPr>
        <w:t xml:space="preserve"> </w:t>
      </w:r>
      <w:r w:rsidR="000153E2" w:rsidRPr="0015708E">
        <w:rPr>
          <w:rFonts w:ascii="Verdana" w:hAnsi="Verdana"/>
          <w:sz w:val="20"/>
          <w:lang w:val="es-GT"/>
        </w:rPr>
        <w:t xml:space="preserve">menor tiempo posible la información disponible, diagnostique las fuentes del conflicto y </w:t>
      </w:r>
      <w:r w:rsidRPr="00ED3940">
        <w:rPr>
          <w:rFonts w:ascii="Verdana" w:hAnsi="Verdana"/>
          <w:sz w:val="20"/>
          <w:lang w:val="es-GT"/>
        </w:rPr>
        <w:t>proponga</w:t>
      </w:r>
      <w:r w:rsidR="00677EB1" w:rsidRPr="0015708E">
        <w:rPr>
          <w:rFonts w:ascii="Verdana" w:hAnsi="Verdana"/>
          <w:sz w:val="20"/>
          <w:lang w:val="es-GT"/>
        </w:rPr>
        <w:t xml:space="preserve"> </w:t>
      </w:r>
      <w:r w:rsidR="000153E2" w:rsidRPr="0015708E">
        <w:rPr>
          <w:rFonts w:ascii="Verdana" w:hAnsi="Verdana"/>
          <w:sz w:val="20"/>
          <w:lang w:val="es-GT"/>
        </w:rPr>
        <w:t xml:space="preserve">las </w:t>
      </w:r>
      <w:r w:rsidR="000153E2" w:rsidRPr="00677EB1">
        <w:rPr>
          <w:rFonts w:ascii="Verdana" w:hAnsi="Verdana"/>
          <w:sz w:val="20"/>
          <w:lang w:val="es-GT"/>
        </w:rPr>
        <w:t>posibles vías de pacificación y solución del conflicto</w:t>
      </w:r>
      <w:r w:rsidR="0015708E">
        <w:rPr>
          <w:rFonts w:ascii="Verdana" w:hAnsi="Verdana"/>
          <w:sz w:val="20"/>
          <w:lang w:val="es-GT"/>
        </w:rPr>
        <w:t xml:space="preserve">, </w:t>
      </w:r>
      <w:r w:rsidR="0015708E" w:rsidRPr="0015708E">
        <w:rPr>
          <w:rFonts w:ascii="Verdana" w:hAnsi="Verdana"/>
          <w:bCs/>
          <w:sz w:val="20"/>
          <w:lang w:val="es-ES_tradnl"/>
        </w:rPr>
        <w:t>de conformidad con los Considerandos 1</w:t>
      </w:r>
      <w:r w:rsidR="0015708E">
        <w:rPr>
          <w:rFonts w:ascii="Verdana" w:hAnsi="Verdana"/>
          <w:bCs/>
          <w:sz w:val="20"/>
          <w:lang w:val="es-ES_tradnl"/>
        </w:rPr>
        <w:t>8 y</w:t>
      </w:r>
      <w:r w:rsidR="0015708E" w:rsidRPr="0015708E">
        <w:rPr>
          <w:rFonts w:ascii="Verdana" w:hAnsi="Verdana"/>
          <w:bCs/>
          <w:sz w:val="20"/>
          <w:lang w:val="es-ES_tradnl"/>
        </w:rPr>
        <w:t xml:space="preserve"> 1</w:t>
      </w:r>
      <w:r w:rsidR="0015708E">
        <w:rPr>
          <w:rFonts w:ascii="Verdana" w:hAnsi="Verdana"/>
          <w:bCs/>
          <w:sz w:val="20"/>
          <w:lang w:val="es-ES_tradnl"/>
        </w:rPr>
        <w:t>9</w:t>
      </w:r>
      <w:r w:rsidR="0015708E" w:rsidRPr="0015708E">
        <w:rPr>
          <w:rFonts w:ascii="Verdana" w:hAnsi="Verdana"/>
          <w:bCs/>
          <w:sz w:val="20"/>
          <w:lang w:val="es-GT"/>
        </w:rPr>
        <w:t xml:space="preserve"> de </w:t>
      </w:r>
      <w:r w:rsidR="0015708E" w:rsidRPr="0015708E">
        <w:rPr>
          <w:rFonts w:ascii="Verdana" w:hAnsi="Verdana"/>
          <w:bCs/>
          <w:sz w:val="20"/>
          <w:lang w:val="es-ES_tradnl"/>
        </w:rPr>
        <w:t>la presente Resolución</w:t>
      </w:r>
      <w:r w:rsidR="0015708E" w:rsidRPr="0015708E">
        <w:rPr>
          <w:rFonts w:ascii="Verdana" w:hAnsi="Verdana"/>
          <w:sz w:val="20"/>
          <w:lang w:val="es-ES_tradnl"/>
        </w:rPr>
        <w:t xml:space="preserve">. </w:t>
      </w:r>
    </w:p>
    <w:p w:rsidR="00237380" w:rsidRDefault="0015708E" w:rsidP="00237380">
      <w:pPr>
        <w:spacing w:before="20" w:after="20" w:line="240" w:lineRule="auto"/>
        <w:ind w:right="18"/>
        <w:jc w:val="both"/>
        <w:rPr>
          <w:rFonts w:ascii="Verdana" w:hAnsi="Verdana"/>
          <w:sz w:val="20"/>
          <w:highlight w:val="yellow"/>
          <w:lang w:val="es-GT"/>
        </w:rPr>
      </w:pPr>
      <w:r>
        <w:rPr>
          <w:rFonts w:ascii="Verdana" w:hAnsi="Verdana"/>
          <w:sz w:val="20"/>
          <w:lang w:val="es-GT"/>
        </w:rPr>
        <w:t xml:space="preserve"> </w:t>
      </w:r>
    </w:p>
    <w:p w:rsidR="00237380" w:rsidRPr="00237380" w:rsidRDefault="00556EFF" w:rsidP="00421F11">
      <w:pPr>
        <w:numPr>
          <w:ilvl w:val="0"/>
          <w:numId w:val="8"/>
        </w:numPr>
        <w:spacing w:before="20" w:after="20" w:line="240" w:lineRule="auto"/>
        <w:ind w:left="0" w:right="18" w:firstLine="0"/>
        <w:jc w:val="both"/>
        <w:rPr>
          <w:rFonts w:ascii="Verdana" w:hAnsi="Verdana"/>
          <w:sz w:val="20"/>
          <w:szCs w:val="20"/>
          <w:lang w:val="es-GT"/>
        </w:rPr>
      </w:pPr>
      <w:r>
        <w:rPr>
          <w:rFonts w:ascii="Verdana" w:hAnsi="Verdana"/>
          <w:sz w:val="20"/>
          <w:szCs w:val="20"/>
          <w:lang w:val="es-GT"/>
        </w:rPr>
        <w:lastRenderedPageBreak/>
        <w:t xml:space="preserve">Requerir al </w:t>
      </w:r>
      <w:r w:rsidR="00237380" w:rsidRPr="00237380">
        <w:rPr>
          <w:rFonts w:ascii="Verdana" w:hAnsi="Verdana"/>
          <w:sz w:val="20"/>
          <w:szCs w:val="20"/>
          <w:lang w:val="es-GT"/>
        </w:rPr>
        <w:t>Estado</w:t>
      </w:r>
      <w:r>
        <w:rPr>
          <w:rFonts w:ascii="Verdana" w:hAnsi="Verdana"/>
          <w:sz w:val="20"/>
          <w:szCs w:val="20"/>
          <w:lang w:val="es-GT"/>
        </w:rPr>
        <w:t xml:space="preserve"> que</w:t>
      </w:r>
      <w:r w:rsidR="00237380" w:rsidRPr="00237380">
        <w:rPr>
          <w:rFonts w:ascii="Verdana" w:hAnsi="Verdana"/>
          <w:sz w:val="20"/>
          <w:szCs w:val="20"/>
          <w:lang w:val="es-GT"/>
        </w:rPr>
        <w:t xml:space="preserve"> realice las gestiones pertinentes para que las medidas de protección ordenadas en la presente Resolución se planifiquen e implementen con la participación de l</w:t>
      </w:r>
      <w:r w:rsidR="00421F11">
        <w:rPr>
          <w:rFonts w:ascii="Verdana" w:hAnsi="Verdana"/>
          <w:sz w:val="20"/>
          <w:szCs w:val="20"/>
          <w:lang w:val="es-GT"/>
        </w:rPr>
        <w:t xml:space="preserve">os </w:t>
      </w:r>
      <w:r w:rsidR="00237380" w:rsidRPr="00237380">
        <w:rPr>
          <w:rFonts w:ascii="Verdana" w:hAnsi="Verdana"/>
          <w:sz w:val="20"/>
          <w:szCs w:val="20"/>
          <w:lang w:val="es-GT"/>
        </w:rPr>
        <w:t>beneficiari</w:t>
      </w:r>
      <w:r w:rsidR="00421F11">
        <w:rPr>
          <w:rFonts w:ascii="Verdana" w:hAnsi="Verdana"/>
          <w:sz w:val="20"/>
          <w:szCs w:val="20"/>
          <w:lang w:val="es-GT"/>
        </w:rPr>
        <w:t>os</w:t>
      </w:r>
      <w:r w:rsidR="00237380" w:rsidRPr="00237380">
        <w:rPr>
          <w:rFonts w:ascii="Verdana" w:hAnsi="Verdana"/>
          <w:sz w:val="20"/>
          <w:szCs w:val="20"/>
          <w:lang w:val="es-GT"/>
        </w:rPr>
        <w:t xml:space="preserve"> de las mismas o sus representantes, de manera tal que las referidas medidas se brinden de forma diligente y efectiva</w:t>
      </w:r>
      <w:r w:rsidR="00285A3B">
        <w:rPr>
          <w:rFonts w:ascii="Verdana" w:hAnsi="Verdana"/>
          <w:sz w:val="20"/>
          <w:szCs w:val="20"/>
          <w:lang w:val="es-GT"/>
        </w:rPr>
        <w:t xml:space="preserve">, </w:t>
      </w:r>
      <w:r w:rsidR="00285A3B" w:rsidRPr="00EE6E43">
        <w:rPr>
          <w:rFonts w:ascii="Verdana" w:hAnsi="Verdana"/>
          <w:sz w:val="20"/>
          <w:szCs w:val="20"/>
          <w:lang w:val="es-GT"/>
        </w:rPr>
        <w:t xml:space="preserve">tomando en cuenta la perspectiva </w:t>
      </w:r>
      <w:r w:rsidR="001474A7" w:rsidRPr="00EE6E43">
        <w:rPr>
          <w:rFonts w:ascii="Verdana" w:hAnsi="Verdana"/>
          <w:sz w:val="20"/>
          <w:szCs w:val="20"/>
          <w:lang w:val="es-GT"/>
        </w:rPr>
        <w:t>indígena y de género, así como</w:t>
      </w:r>
      <w:r w:rsidR="00237380" w:rsidRPr="00237380">
        <w:rPr>
          <w:rFonts w:ascii="Verdana" w:hAnsi="Verdana"/>
          <w:sz w:val="20"/>
          <w:szCs w:val="20"/>
          <w:lang w:val="es-GT"/>
        </w:rPr>
        <w:t xml:space="preserve"> les mantenga informados sobre el avance de su ejecución. </w:t>
      </w:r>
    </w:p>
    <w:p w:rsidR="00237380" w:rsidRDefault="00237380" w:rsidP="00237380">
      <w:pPr>
        <w:pStyle w:val="ListParagraph"/>
        <w:rPr>
          <w:rFonts w:ascii="Verdana" w:hAnsi="Verdana"/>
          <w:sz w:val="20"/>
        </w:rPr>
      </w:pPr>
    </w:p>
    <w:p w:rsidR="00237380" w:rsidRPr="00237380" w:rsidRDefault="000153E2" w:rsidP="00421F11">
      <w:pPr>
        <w:numPr>
          <w:ilvl w:val="0"/>
          <w:numId w:val="8"/>
        </w:numPr>
        <w:spacing w:before="20" w:after="20" w:line="240" w:lineRule="auto"/>
        <w:ind w:left="0" w:right="18" w:firstLine="0"/>
        <w:jc w:val="both"/>
        <w:rPr>
          <w:rFonts w:ascii="Verdana" w:hAnsi="Verdana"/>
          <w:sz w:val="20"/>
          <w:szCs w:val="20"/>
          <w:lang w:val="es-GT"/>
        </w:rPr>
      </w:pPr>
      <w:r w:rsidRPr="00E5169F">
        <w:rPr>
          <w:rFonts w:ascii="Verdana" w:hAnsi="Verdana"/>
          <w:sz w:val="20"/>
          <w:szCs w:val="20"/>
          <w:lang w:val="es-ES_tradnl"/>
        </w:rPr>
        <w:t xml:space="preserve">Ordenar </w:t>
      </w:r>
      <w:r w:rsidR="00556EFF">
        <w:rPr>
          <w:rFonts w:ascii="Verdana" w:hAnsi="Verdana"/>
          <w:sz w:val="20"/>
          <w:szCs w:val="20"/>
          <w:lang w:val="es-ES_tradnl"/>
        </w:rPr>
        <w:t xml:space="preserve">al </w:t>
      </w:r>
      <w:r w:rsidR="00237380" w:rsidRPr="00237380">
        <w:rPr>
          <w:rFonts w:ascii="Verdana" w:hAnsi="Verdana"/>
          <w:sz w:val="20"/>
          <w:szCs w:val="20"/>
          <w:lang w:val="es-GT"/>
        </w:rPr>
        <w:t xml:space="preserve">Estado </w:t>
      </w:r>
      <w:r w:rsidR="00556EFF">
        <w:rPr>
          <w:rFonts w:ascii="Verdana" w:hAnsi="Verdana"/>
          <w:sz w:val="20"/>
          <w:szCs w:val="20"/>
          <w:lang w:val="es-GT"/>
        </w:rPr>
        <w:t xml:space="preserve">que </w:t>
      </w:r>
      <w:r w:rsidR="00237380" w:rsidRPr="00237380">
        <w:rPr>
          <w:rFonts w:ascii="Verdana" w:hAnsi="Verdana"/>
          <w:sz w:val="20"/>
          <w:szCs w:val="20"/>
          <w:lang w:val="es-GT"/>
        </w:rPr>
        <w:t>presente un informe completo y pormenorizado sobre las actuaciones realizadas para dar cumplimiento a las medidas provisionales decretadas</w:t>
      </w:r>
      <w:r w:rsidR="001931A0">
        <w:rPr>
          <w:rFonts w:ascii="Verdana" w:hAnsi="Verdana"/>
          <w:sz w:val="20"/>
          <w:szCs w:val="20"/>
          <w:lang w:val="es-GT"/>
        </w:rPr>
        <w:t>,</w:t>
      </w:r>
      <w:r w:rsidR="00237380" w:rsidRPr="00237380">
        <w:rPr>
          <w:rFonts w:ascii="Verdana" w:hAnsi="Verdana"/>
          <w:sz w:val="20"/>
          <w:szCs w:val="20"/>
          <w:lang w:val="es-GT"/>
        </w:rPr>
        <w:t xml:space="preserve"> </w:t>
      </w:r>
      <w:r w:rsidR="001931A0">
        <w:rPr>
          <w:rFonts w:ascii="Verdana" w:hAnsi="Verdana"/>
          <w:sz w:val="20"/>
          <w:szCs w:val="20"/>
          <w:lang w:val="es-GT"/>
        </w:rPr>
        <w:t xml:space="preserve">a más tardar </w:t>
      </w:r>
      <w:r w:rsidR="00DB2374" w:rsidRPr="00ED3940">
        <w:rPr>
          <w:rFonts w:ascii="Verdana" w:hAnsi="Verdana"/>
          <w:sz w:val="20"/>
          <w:szCs w:val="20"/>
          <w:lang w:val="es-GT"/>
        </w:rPr>
        <w:t>el 3</w:t>
      </w:r>
      <w:r w:rsidR="001931A0" w:rsidRPr="00ED3940">
        <w:rPr>
          <w:rFonts w:ascii="Verdana" w:hAnsi="Verdana"/>
          <w:sz w:val="20"/>
          <w:szCs w:val="20"/>
          <w:lang w:val="es-GT"/>
        </w:rPr>
        <w:t xml:space="preserve"> de </w:t>
      </w:r>
      <w:r w:rsidR="00DB2374" w:rsidRPr="00ED3940">
        <w:rPr>
          <w:rFonts w:ascii="Verdana" w:hAnsi="Verdana"/>
          <w:sz w:val="20"/>
          <w:szCs w:val="20"/>
          <w:lang w:val="es-GT"/>
        </w:rPr>
        <w:t>octubre</w:t>
      </w:r>
      <w:r w:rsidR="001931A0" w:rsidRPr="00ED3940">
        <w:rPr>
          <w:rFonts w:ascii="Verdana" w:hAnsi="Verdana"/>
          <w:sz w:val="20"/>
          <w:szCs w:val="20"/>
          <w:lang w:val="es-GT"/>
        </w:rPr>
        <w:t xml:space="preserve"> de 2016</w:t>
      </w:r>
      <w:r w:rsidR="001931A0" w:rsidRPr="0015708E">
        <w:rPr>
          <w:rFonts w:ascii="Verdana" w:hAnsi="Verdana"/>
          <w:sz w:val="20"/>
          <w:szCs w:val="20"/>
          <w:lang w:val="es-GT"/>
        </w:rPr>
        <w:t>.</w:t>
      </w:r>
      <w:r w:rsidR="001931A0" w:rsidRPr="007311A9">
        <w:rPr>
          <w:rFonts w:ascii="Verdana" w:hAnsi="Verdana"/>
          <w:sz w:val="20"/>
          <w:szCs w:val="20"/>
          <w:lang w:val="es-GT"/>
        </w:rPr>
        <w:t xml:space="preserve"> Asimismo, realice</w:t>
      </w:r>
      <w:r w:rsidR="00237380" w:rsidRPr="007311A9">
        <w:rPr>
          <w:rFonts w:ascii="Verdana" w:hAnsi="Verdana"/>
          <w:sz w:val="20"/>
          <w:szCs w:val="20"/>
          <w:lang w:val="es-GT"/>
        </w:rPr>
        <w:t xml:space="preserve"> un </w:t>
      </w:r>
      <w:r w:rsidR="00237380" w:rsidRPr="00ED3940">
        <w:rPr>
          <w:rFonts w:ascii="Verdana" w:hAnsi="Verdana"/>
          <w:sz w:val="20"/>
          <w:szCs w:val="20"/>
          <w:lang w:val="es-GT"/>
        </w:rPr>
        <w:t>diagnóstico sobre la situación actua</w:t>
      </w:r>
      <w:r w:rsidR="00A51E73" w:rsidRPr="00ED3940">
        <w:rPr>
          <w:rFonts w:ascii="Verdana" w:hAnsi="Verdana"/>
          <w:sz w:val="20"/>
          <w:szCs w:val="20"/>
          <w:lang w:val="es-GT"/>
        </w:rPr>
        <w:t>l de riesgo</w:t>
      </w:r>
      <w:r w:rsidR="009E433F" w:rsidRPr="00ED3940">
        <w:rPr>
          <w:rFonts w:ascii="Verdana" w:hAnsi="Verdana"/>
          <w:sz w:val="20"/>
          <w:szCs w:val="20"/>
          <w:lang w:val="es-GT"/>
        </w:rPr>
        <w:t xml:space="preserve"> de dichas comunidades</w:t>
      </w:r>
      <w:r w:rsidR="001931A0" w:rsidRPr="0015708E">
        <w:rPr>
          <w:rFonts w:ascii="Verdana" w:hAnsi="Verdana"/>
          <w:sz w:val="20"/>
          <w:szCs w:val="20"/>
          <w:lang w:val="es-GT"/>
        </w:rPr>
        <w:t xml:space="preserve"> e informe a la Corte, a más tardar </w:t>
      </w:r>
      <w:r w:rsidR="00DB2374" w:rsidRPr="00ED3940">
        <w:rPr>
          <w:rFonts w:ascii="Verdana" w:hAnsi="Verdana"/>
          <w:sz w:val="20"/>
          <w:szCs w:val="20"/>
          <w:lang w:val="es-GT"/>
        </w:rPr>
        <w:t xml:space="preserve">el </w:t>
      </w:r>
      <w:r w:rsidR="0015708E" w:rsidRPr="00ED3940">
        <w:rPr>
          <w:rFonts w:ascii="Verdana" w:hAnsi="Verdana"/>
          <w:sz w:val="20"/>
          <w:szCs w:val="20"/>
          <w:lang w:val="es-GT"/>
        </w:rPr>
        <w:t>21</w:t>
      </w:r>
      <w:r w:rsidR="001931A0" w:rsidRPr="00ED3940">
        <w:rPr>
          <w:rFonts w:ascii="Verdana" w:hAnsi="Verdana"/>
          <w:sz w:val="20"/>
          <w:szCs w:val="20"/>
          <w:lang w:val="es-GT"/>
        </w:rPr>
        <w:t xml:space="preserve"> de </w:t>
      </w:r>
      <w:r w:rsidR="00DB2374" w:rsidRPr="00ED3940">
        <w:rPr>
          <w:rFonts w:ascii="Verdana" w:hAnsi="Verdana"/>
          <w:sz w:val="20"/>
          <w:szCs w:val="20"/>
          <w:lang w:val="es-GT"/>
        </w:rPr>
        <w:t>noviembre</w:t>
      </w:r>
      <w:r w:rsidR="001931A0" w:rsidRPr="00ED3940">
        <w:rPr>
          <w:rFonts w:ascii="Verdana" w:hAnsi="Verdana"/>
          <w:sz w:val="20"/>
          <w:szCs w:val="20"/>
          <w:lang w:val="es-GT"/>
        </w:rPr>
        <w:t xml:space="preserve"> de 2016</w:t>
      </w:r>
      <w:r w:rsidR="001931A0" w:rsidRPr="0015708E">
        <w:rPr>
          <w:rFonts w:ascii="Verdana" w:hAnsi="Verdana"/>
          <w:sz w:val="20"/>
          <w:szCs w:val="20"/>
          <w:lang w:val="es-GT"/>
        </w:rPr>
        <w:t>.</w:t>
      </w:r>
    </w:p>
    <w:p w:rsidR="00237380" w:rsidRPr="007E6B9A" w:rsidRDefault="00237380" w:rsidP="00237380">
      <w:pPr>
        <w:pStyle w:val="ListParagraph"/>
        <w:rPr>
          <w:rFonts w:ascii="Verdana" w:hAnsi="Verdana"/>
          <w:sz w:val="20"/>
        </w:rPr>
      </w:pPr>
    </w:p>
    <w:p w:rsidR="00237380" w:rsidRPr="00421F11" w:rsidRDefault="00556EFF" w:rsidP="00421F11">
      <w:pPr>
        <w:numPr>
          <w:ilvl w:val="0"/>
          <w:numId w:val="8"/>
        </w:numPr>
        <w:spacing w:before="20" w:after="20" w:line="240" w:lineRule="auto"/>
        <w:ind w:left="0" w:right="18" w:firstLine="0"/>
        <w:jc w:val="both"/>
        <w:rPr>
          <w:rFonts w:ascii="Verdana" w:hAnsi="Verdana"/>
          <w:sz w:val="20"/>
          <w:szCs w:val="20"/>
          <w:lang w:val="es-GT"/>
        </w:rPr>
      </w:pPr>
      <w:r>
        <w:rPr>
          <w:rFonts w:ascii="Verdana" w:hAnsi="Verdana"/>
          <w:sz w:val="20"/>
          <w:szCs w:val="20"/>
          <w:lang w:val="es-GT"/>
        </w:rPr>
        <w:t xml:space="preserve">Requerir al </w:t>
      </w:r>
      <w:r w:rsidR="00237380" w:rsidRPr="00237380">
        <w:rPr>
          <w:rFonts w:ascii="Verdana" w:hAnsi="Verdana"/>
          <w:sz w:val="20"/>
          <w:szCs w:val="20"/>
          <w:lang w:val="es-GT"/>
        </w:rPr>
        <w:t xml:space="preserve">Estado </w:t>
      </w:r>
      <w:r>
        <w:rPr>
          <w:rFonts w:ascii="Verdana" w:hAnsi="Verdana"/>
          <w:sz w:val="20"/>
          <w:szCs w:val="20"/>
          <w:lang w:val="es-GT"/>
        </w:rPr>
        <w:t xml:space="preserve"> que </w:t>
      </w:r>
      <w:r w:rsidR="00237380" w:rsidRPr="00237380">
        <w:rPr>
          <w:rFonts w:ascii="Verdana" w:hAnsi="Verdana"/>
          <w:sz w:val="20"/>
          <w:szCs w:val="20"/>
          <w:lang w:val="es-GT"/>
        </w:rPr>
        <w:t xml:space="preserve">continúe informando a la Corte cada </w:t>
      </w:r>
      <w:r w:rsidR="00237380" w:rsidRPr="00421F11">
        <w:rPr>
          <w:rFonts w:ascii="Verdana" w:hAnsi="Verdana"/>
          <w:sz w:val="20"/>
          <w:szCs w:val="20"/>
          <w:lang w:val="es-GT"/>
        </w:rPr>
        <w:t>tres meses, contados a partir de la remisión de su último informe</w:t>
      </w:r>
      <w:r w:rsidR="00237380" w:rsidRPr="00421F11">
        <w:rPr>
          <w:rFonts w:ascii="Verdana" w:hAnsi="Verdana" w:cs="Arial"/>
          <w:sz w:val="20"/>
          <w:szCs w:val="20"/>
          <w:lang w:val="es-GT"/>
        </w:rPr>
        <w:t>, sobre las medidas provisionales adoptadas.</w:t>
      </w:r>
    </w:p>
    <w:p w:rsidR="00237380" w:rsidRPr="00421F11" w:rsidRDefault="00237380" w:rsidP="00237380">
      <w:pPr>
        <w:pStyle w:val="ListParagraph"/>
        <w:rPr>
          <w:rFonts w:ascii="Verdana" w:hAnsi="Verdana" w:cs="Arial"/>
          <w:sz w:val="20"/>
          <w:lang w:val="es-ES"/>
        </w:rPr>
      </w:pPr>
    </w:p>
    <w:p w:rsidR="00237380" w:rsidRPr="00421F11" w:rsidRDefault="00556EFF" w:rsidP="00421F11">
      <w:pPr>
        <w:numPr>
          <w:ilvl w:val="0"/>
          <w:numId w:val="8"/>
        </w:numPr>
        <w:spacing w:before="20" w:after="20" w:line="240" w:lineRule="auto"/>
        <w:ind w:left="0" w:right="18" w:firstLine="0"/>
        <w:jc w:val="both"/>
        <w:rPr>
          <w:rFonts w:ascii="Verdana" w:hAnsi="Verdana"/>
          <w:sz w:val="20"/>
          <w:lang w:val="es-GT"/>
        </w:rPr>
      </w:pPr>
      <w:r>
        <w:rPr>
          <w:rFonts w:ascii="Verdana" w:hAnsi="Verdana" w:cs="Arial"/>
          <w:sz w:val="20"/>
          <w:szCs w:val="20"/>
          <w:lang w:val="es-ES"/>
        </w:rPr>
        <w:t xml:space="preserve">Solicitar a </w:t>
      </w:r>
      <w:r w:rsidR="00ED3940">
        <w:rPr>
          <w:rFonts w:ascii="Verdana" w:hAnsi="Verdana" w:cs="Arial"/>
          <w:sz w:val="20"/>
          <w:szCs w:val="20"/>
          <w:lang w:val="es-ES"/>
        </w:rPr>
        <w:t>la representación</w:t>
      </w:r>
      <w:r w:rsidR="00237380" w:rsidRPr="00421F11">
        <w:rPr>
          <w:rFonts w:ascii="Verdana" w:hAnsi="Verdana" w:cs="Arial"/>
          <w:sz w:val="20"/>
          <w:szCs w:val="20"/>
          <w:lang w:val="es-ES"/>
        </w:rPr>
        <w:t xml:space="preserve"> de </w:t>
      </w:r>
      <w:r w:rsidR="00ED3940">
        <w:rPr>
          <w:rFonts w:ascii="Verdana" w:hAnsi="Verdana" w:cs="Arial"/>
          <w:sz w:val="20"/>
          <w:szCs w:val="20"/>
          <w:lang w:val="es-ES"/>
        </w:rPr>
        <w:t>los beneficiarios</w:t>
      </w:r>
      <w:r w:rsidR="00237380" w:rsidRPr="00421F11">
        <w:rPr>
          <w:rFonts w:ascii="Verdana" w:hAnsi="Verdana" w:cs="Arial"/>
          <w:sz w:val="20"/>
          <w:szCs w:val="20"/>
          <w:lang w:val="es-ES"/>
        </w:rPr>
        <w:t xml:space="preserve"> </w:t>
      </w:r>
      <w:r w:rsidR="00ED3940">
        <w:rPr>
          <w:rFonts w:ascii="Verdana" w:hAnsi="Verdana" w:cs="Arial"/>
          <w:sz w:val="20"/>
          <w:szCs w:val="20"/>
          <w:lang w:val="es-ES"/>
        </w:rPr>
        <w:t xml:space="preserve">que </w:t>
      </w:r>
      <w:r w:rsidR="00237380" w:rsidRPr="00421F11">
        <w:rPr>
          <w:rFonts w:ascii="Verdana" w:hAnsi="Verdana" w:cs="Arial"/>
          <w:sz w:val="20"/>
          <w:szCs w:val="20"/>
          <w:lang w:val="es-ES"/>
        </w:rPr>
        <w:t>presenten sus observaciones dentro de un plazo de cuatro semanas contadas a partir de la notificación de los informes del Estado, así como a la Comisión Interamericana de Derechos Humanos que presente sus observaciones a dichos informes del Estado dentro de un plazo de dos semanas contadas a partir de la recepción de las observaciones de los representantes.</w:t>
      </w:r>
    </w:p>
    <w:p w:rsidR="00557B48" w:rsidRPr="00421F11" w:rsidRDefault="00237380" w:rsidP="00237380">
      <w:pPr>
        <w:tabs>
          <w:tab w:val="left" w:pos="8590"/>
        </w:tabs>
        <w:spacing w:before="20" w:after="20"/>
        <w:ind w:right="18"/>
        <w:jc w:val="both"/>
        <w:rPr>
          <w:rFonts w:ascii="Verdana" w:hAnsi="Verdana"/>
          <w:sz w:val="20"/>
          <w:lang w:val="es-MX"/>
        </w:rPr>
      </w:pPr>
      <w:r w:rsidRPr="00421F11">
        <w:rPr>
          <w:rFonts w:ascii="Verdana" w:hAnsi="Verdana"/>
          <w:sz w:val="20"/>
          <w:lang w:val="es-MX"/>
        </w:rPr>
        <w:tab/>
      </w:r>
    </w:p>
    <w:p w:rsidR="00E03721" w:rsidRPr="00E03721" w:rsidRDefault="0017705B" w:rsidP="00E03721">
      <w:pPr>
        <w:numPr>
          <w:ilvl w:val="0"/>
          <w:numId w:val="8"/>
        </w:numPr>
        <w:spacing w:before="20" w:after="20" w:line="240" w:lineRule="auto"/>
        <w:ind w:left="0" w:right="18" w:firstLine="0"/>
        <w:jc w:val="both"/>
        <w:rPr>
          <w:rFonts w:ascii="Verdana" w:hAnsi="Verdana"/>
          <w:sz w:val="20"/>
          <w:lang w:val="es-ES"/>
        </w:rPr>
      </w:pPr>
      <w:r w:rsidRPr="0017705B">
        <w:rPr>
          <w:rFonts w:ascii="Verdana" w:hAnsi="Verdana"/>
          <w:sz w:val="20"/>
          <w:szCs w:val="20"/>
          <w:lang w:val="es-GT"/>
        </w:rPr>
        <w:t>Que</w:t>
      </w:r>
      <w:r w:rsidR="00557B48" w:rsidRPr="0017705B">
        <w:rPr>
          <w:rFonts w:ascii="Verdana" w:hAnsi="Verdana"/>
          <w:sz w:val="20"/>
          <w:lang w:val="es-MX"/>
        </w:rPr>
        <w:t xml:space="preserve"> </w:t>
      </w:r>
      <w:r w:rsidR="00557B48" w:rsidRPr="00421F11">
        <w:rPr>
          <w:rFonts w:ascii="Verdana" w:hAnsi="Verdana"/>
          <w:sz w:val="20"/>
          <w:lang w:val="es-MX"/>
        </w:rPr>
        <w:t xml:space="preserve">la Secretaría de la Corte notifique la presente Resolución a los representantes, al Estado de </w:t>
      </w:r>
      <w:r w:rsidR="00A21CB9" w:rsidRPr="00421F11">
        <w:rPr>
          <w:rFonts w:ascii="Verdana" w:hAnsi="Verdana"/>
          <w:sz w:val="20"/>
          <w:lang w:val="es-MX"/>
        </w:rPr>
        <w:t>Nicaragua</w:t>
      </w:r>
      <w:r w:rsidR="00557B48" w:rsidRPr="00421F11">
        <w:rPr>
          <w:rFonts w:ascii="Verdana" w:hAnsi="Verdana"/>
          <w:sz w:val="20"/>
          <w:lang w:val="es-MX"/>
        </w:rPr>
        <w:t xml:space="preserve"> y a la Comisión</w:t>
      </w:r>
      <w:r w:rsidR="000D271B">
        <w:rPr>
          <w:rFonts w:ascii="Verdana" w:hAnsi="Verdana"/>
          <w:sz w:val="20"/>
          <w:lang w:val="es-MX"/>
        </w:rPr>
        <w:t xml:space="preserve"> </w:t>
      </w:r>
      <w:r w:rsidR="00E03721">
        <w:rPr>
          <w:rFonts w:ascii="Verdana" w:hAnsi="Verdana"/>
          <w:sz w:val="20"/>
          <w:lang w:val="es-MX"/>
        </w:rPr>
        <w:t xml:space="preserve">Interamericana Derechos Humanos, </w:t>
      </w:r>
      <w:r w:rsidR="00E03721">
        <w:rPr>
          <w:rFonts w:ascii="Verdana" w:hAnsi="Verdana"/>
          <w:sz w:val="20"/>
          <w:lang w:val="es-CR"/>
        </w:rPr>
        <w:t>a</w:t>
      </w:r>
      <w:r w:rsidR="00E03721" w:rsidRPr="00E03721">
        <w:rPr>
          <w:rFonts w:ascii="Verdana" w:hAnsi="Verdana"/>
          <w:sz w:val="20"/>
          <w:lang w:val="es-CR"/>
        </w:rPr>
        <w:t>sí com</w:t>
      </w:r>
      <w:r w:rsidR="00E03721">
        <w:rPr>
          <w:rFonts w:ascii="Verdana" w:hAnsi="Verdana"/>
          <w:sz w:val="20"/>
          <w:lang w:val="es-CR"/>
        </w:rPr>
        <w:t>o</w:t>
      </w:r>
      <w:r w:rsidR="00E03721" w:rsidRPr="00E03721">
        <w:rPr>
          <w:rFonts w:ascii="Verdana" w:hAnsi="Verdana"/>
          <w:sz w:val="20"/>
          <w:lang w:val="es-CR"/>
        </w:rPr>
        <w:t xml:space="preserve">, </w:t>
      </w:r>
      <w:r w:rsidR="00E03721">
        <w:rPr>
          <w:rFonts w:ascii="Verdana" w:hAnsi="Verdana"/>
          <w:sz w:val="20"/>
          <w:lang w:val="es-CR"/>
        </w:rPr>
        <w:t>por intermedio de ésta, a la representación de los</w:t>
      </w:r>
      <w:r w:rsidR="00E03721" w:rsidRPr="00E03721">
        <w:rPr>
          <w:rFonts w:ascii="Verdana" w:hAnsi="Verdana"/>
          <w:sz w:val="20"/>
          <w:lang w:val="es-CR"/>
        </w:rPr>
        <w:t xml:space="preserve"> beneficiario</w:t>
      </w:r>
      <w:r w:rsidR="00E03721">
        <w:rPr>
          <w:rFonts w:ascii="Verdana" w:hAnsi="Verdana"/>
          <w:sz w:val="20"/>
          <w:lang w:val="es-CR"/>
        </w:rPr>
        <w:t>s</w:t>
      </w:r>
      <w:r w:rsidR="00E03721" w:rsidRPr="00E03721">
        <w:rPr>
          <w:rFonts w:ascii="Verdana" w:hAnsi="Verdana"/>
          <w:sz w:val="20"/>
          <w:lang w:val="es-CR"/>
        </w:rPr>
        <w:t>.</w:t>
      </w:r>
    </w:p>
    <w:p w:rsidR="00557B48" w:rsidRDefault="00557B48" w:rsidP="00421F11">
      <w:pPr>
        <w:jc w:val="both"/>
        <w:rPr>
          <w:rFonts w:ascii="Verdana" w:hAnsi="Verdana"/>
          <w:sz w:val="20"/>
          <w:lang w:val="es-ES"/>
        </w:rPr>
      </w:pPr>
    </w:p>
    <w:p w:rsidR="00FB1F7C" w:rsidRPr="00580BA4" w:rsidRDefault="00FB1F7C" w:rsidP="00FB1F7C">
      <w:pPr>
        <w:rPr>
          <w:rFonts w:ascii="Verdana" w:hAnsi="Verdana"/>
          <w:sz w:val="20"/>
          <w:lang w:val="es-CR"/>
        </w:rPr>
      </w:pPr>
      <w:r w:rsidRPr="00580BA4">
        <w:rPr>
          <w:rFonts w:ascii="Verdana" w:hAnsi="Verdana"/>
          <w:sz w:val="20"/>
          <w:lang w:val="es-CR"/>
        </w:rPr>
        <w:br w:type="page"/>
      </w:r>
    </w:p>
    <w:p w:rsidR="00FB1F7C" w:rsidRPr="00274D2F" w:rsidRDefault="00FB1F7C" w:rsidP="00FB1F7C">
      <w:pPr>
        <w:jc w:val="both"/>
        <w:rPr>
          <w:rFonts w:ascii="Verdana" w:hAnsi="Verdana"/>
          <w:sz w:val="20"/>
          <w:lang w:val="es-CR"/>
        </w:rPr>
      </w:pPr>
      <w:r>
        <w:rPr>
          <w:rFonts w:ascii="Verdana" w:hAnsi="Verdana"/>
          <w:sz w:val="20"/>
          <w:lang w:val="es-CR"/>
        </w:rPr>
        <w:lastRenderedPageBreak/>
        <w:t xml:space="preserve">Resolución de la Corte Interamericana de Derechos Humanos. Solicitud de Medidas Provisionales respecto de Nicaragua. Asunto Pobladores de las Comunidades del Pueblo Indígena </w:t>
      </w:r>
      <w:proofErr w:type="spellStart"/>
      <w:r>
        <w:rPr>
          <w:rFonts w:ascii="Verdana" w:hAnsi="Verdana"/>
          <w:sz w:val="20"/>
          <w:lang w:val="es-CR"/>
        </w:rPr>
        <w:t>Miskitu</w:t>
      </w:r>
      <w:proofErr w:type="spellEnd"/>
      <w:r>
        <w:rPr>
          <w:rFonts w:ascii="Verdana" w:hAnsi="Verdana"/>
          <w:sz w:val="20"/>
          <w:lang w:val="es-CR"/>
        </w:rPr>
        <w:t xml:space="preserve"> de la Región Costa Caribe Norte</w:t>
      </w:r>
      <w:r w:rsidR="003230FA">
        <w:rPr>
          <w:rFonts w:ascii="Verdana" w:hAnsi="Verdana"/>
          <w:sz w:val="20"/>
          <w:lang w:val="es-CR"/>
        </w:rPr>
        <w:t>.</w:t>
      </w:r>
    </w:p>
    <w:p w:rsidR="00FB1F7C" w:rsidRPr="00580BA4" w:rsidRDefault="00FB1F7C" w:rsidP="00FB1F7C">
      <w:pPr>
        <w:rPr>
          <w:rFonts w:ascii="Verdana" w:hAnsi="Verdana"/>
          <w:sz w:val="20"/>
          <w:lang w:val="es-CR"/>
        </w:rPr>
      </w:pPr>
    </w:p>
    <w:p w:rsidR="00FB1F7C" w:rsidRPr="00580BA4" w:rsidRDefault="00FB1F7C" w:rsidP="00FB1F7C">
      <w:pPr>
        <w:spacing w:after="0" w:line="240" w:lineRule="auto"/>
        <w:rPr>
          <w:rFonts w:ascii="Verdana" w:hAnsi="Verdana"/>
          <w:sz w:val="20"/>
          <w:lang w:val="es-CR"/>
        </w:rPr>
      </w:pPr>
    </w:p>
    <w:p w:rsidR="00FB1F7C" w:rsidRPr="00580BA4" w:rsidRDefault="00FB1F7C" w:rsidP="00FB1F7C">
      <w:pPr>
        <w:spacing w:after="0" w:line="240" w:lineRule="auto"/>
        <w:rPr>
          <w:rFonts w:ascii="Verdana" w:hAnsi="Verdana"/>
          <w:sz w:val="20"/>
          <w:lang w:val="es-CR"/>
        </w:rPr>
      </w:pPr>
    </w:p>
    <w:p w:rsidR="00FB1F7C" w:rsidRPr="00580BA4" w:rsidRDefault="00FB1F7C" w:rsidP="00FB1F7C">
      <w:pPr>
        <w:spacing w:after="0" w:line="240" w:lineRule="auto"/>
        <w:jc w:val="center"/>
        <w:rPr>
          <w:rFonts w:ascii="Verdana" w:hAnsi="Verdana"/>
          <w:sz w:val="20"/>
          <w:lang w:val="es-CR"/>
        </w:rPr>
      </w:pPr>
      <w:r>
        <w:rPr>
          <w:rFonts w:ascii="Verdana" w:hAnsi="Verdana"/>
          <w:sz w:val="20"/>
          <w:lang w:val="es-CR"/>
        </w:rPr>
        <w:t>Roberto F. Caldas</w:t>
      </w:r>
    </w:p>
    <w:p w:rsidR="00FB1F7C" w:rsidRPr="00580BA4" w:rsidRDefault="00FB1F7C" w:rsidP="00FB1F7C">
      <w:pPr>
        <w:spacing w:after="0" w:line="240" w:lineRule="auto"/>
        <w:jc w:val="center"/>
        <w:rPr>
          <w:rFonts w:ascii="Verdana" w:hAnsi="Verdana"/>
          <w:sz w:val="20"/>
          <w:lang w:val="es-CR"/>
        </w:rPr>
      </w:pPr>
      <w:r w:rsidRPr="00580BA4">
        <w:rPr>
          <w:rFonts w:ascii="Verdana" w:hAnsi="Verdana"/>
          <w:sz w:val="20"/>
          <w:lang w:val="es-CR"/>
        </w:rPr>
        <w:t xml:space="preserve">Presidente </w:t>
      </w:r>
    </w:p>
    <w:p w:rsidR="00FB1F7C" w:rsidRPr="00580BA4" w:rsidRDefault="00FB1F7C" w:rsidP="00FB1F7C">
      <w:pPr>
        <w:spacing w:after="0" w:line="240" w:lineRule="auto"/>
        <w:jc w:val="both"/>
        <w:rPr>
          <w:rFonts w:ascii="Verdana" w:hAnsi="Verdana"/>
          <w:sz w:val="20"/>
          <w:lang w:val="es-CR"/>
        </w:rPr>
      </w:pPr>
    </w:p>
    <w:p w:rsidR="00FB1F7C" w:rsidRPr="00580BA4" w:rsidRDefault="00FB1F7C" w:rsidP="00FB1F7C">
      <w:pPr>
        <w:spacing w:after="0" w:line="240" w:lineRule="auto"/>
        <w:jc w:val="both"/>
        <w:rPr>
          <w:rFonts w:ascii="Verdana" w:hAnsi="Verdana"/>
          <w:sz w:val="20"/>
          <w:lang w:val="es-CR"/>
        </w:rPr>
      </w:pPr>
    </w:p>
    <w:p w:rsidR="00FB1F7C" w:rsidRPr="00580BA4" w:rsidRDefault="00FB1F7C" w:rsidP="00FB1F7C">
      <w:pPr>
        <w:spacing w:after="0" w:line="240" w:lineRule="auto"/>
        <w:jc w:val="both"/>
        <w:rPr>
          <w:rFonts w:ascii="Verdana" w:hAnsi="Verdana"/>
          <w:sz w:val="20"/>
          <w:lang w:val="es-CR"/>
        </w:rPr>
      </w:pPr>
    </w:p>
    <w:p w:rsidR="00FB1F7C" w:rsidRDefault="00FB1F7C" w:rsidP="00FB1F7C">
      <w:pPr>
        <w:spacing w:after="0" w:line="240" w:lineRule="auto"/>
        <w:jc w:val="both"/>
        <w:rPr>
          <w:rFonts w:ascii="Verdana" w:hAnsi="Verdana"/>
          <w:sz w:val="20"/>
          <w:lang w:val="es-CR"/>
        </w:rPr>
      </w:pPr>
      <w:r>
        <w:rPr>
          <w:rFonts w:ascii="Verdana" w:hAnsi="Verdana"/>
          <w:sz w:val="20"/>
          <w:lang w:val="es-CR"/>
        </w:rPr>
        <w:t>Eduardo Ferrer Mac-</w:t>
      </w:r>
      <w:proofErr w:type="spellStart"/>
      <w:r>
        <w:rPr>
          <w:rFonts w:ascii="Verdana" w:hAnsi="Verdana"/>
          <w:sz w:val="20"/>
          <w:lang w:val="es-CR"/>
        </w:rPr>
        <w:t>Gregor</w:t>
      </w:r>
      <w:proofErr w:type="spellEnd"/>
      <w:r>
        <w:rPr>
          <w:rFonts w:ascii="Verdana" w:hAnsi="Verdana"/>
          <w:sz w:val="20"/>
          <w:lang w:val="es-CR"/>
        </w:rPr>
        <w:t xml:space="preserve"> </w:t>
      </w:r>
      <w:proofErr w:type="spellStart"/>
      <w:r>
        <w:rPr>
          <w:rFonts w:ascii="Verdana" w:hAnsi="Verdana"/>
          <w:sz w:val="20"/>
          <w:lang w:val="es-CR"/>
        </w:rPr>
        <w:t>Poisot</w:t>
      </w:r>
      <w:proofErr w:type="spellEnd"/>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t xml:space="preserve">   Eduardo Vio Grossi</w:t>
      </w:r>
    </w:p>
    <w:p w:rsidR="00FB1F7C" w:rsidRDefault="00FB1F7C" w:rsidP="00FB1F7C">
      <w:pPr>
        <w:spacing w:after="0" w:line="240" w:lineRule="auto"/>
        <w:jc w:val="both"/>
        <w:rPr>
          <w:rFonts w:ascii="Verdana" w:hAnsi="Verdana"/>
          <w:sz w:val="20"/>
          <w:lang w:val="es-CR"/>
        </w:rPr>
      </w:pPr>
    </w:p>
    <w:p w:rsidR="00FB1F7C" w:rsidRDefault="00FB1F7C" w:rsidP="00FB1F7C">
      <w:pPr>
        <w:spacing w:after="0" w:line="240" w:lineRule="auto"/>
        <w:jc w:val="both"/>
        <w:rPr>
          <w:rFonts w:ascii="Verdana" w:hAnsi="Verdana"/>
          <w:sz w:val="20"/>
          <w:lang w:val="es-CR"/>
        </w:rPr>
      </w:pPr>
    </w:p>
    <w:p w:rsidR="00D1384E" w:rsidRDefault="00D1384E" w:rsidP="00FB1F7C">
      <w:pPr>
        <w:spacing w:after="0" w:line="240" w:lineRule="auto"/>
        <w:jc w:val="both"/>
        <w:rPr>
          <w:rFonts w:ascii="Verdana" w:hAnsi="Verdana"/>
          <w:sz w:val="20"/>
          <w:lang w:val="es-CR"/>
        </w:rPr>
      </w:pPr>
    </w:p>
    <w:p w:rsidR="00D1384E" w:rsidRDefault="00D1384E" w:rsidP="00FB1F7C">
      <w:pPr>
        <w:spacing w:after="0" w:line="240" w:lineRule="auto"/>
        <w:jc w:val="both"/>
        <w:rPr>
          <w:rFonts w:ascii="Verdana" w:hAnsi="Verdana"/>
          <w:sz w:val="20"/>
          <w:lang w:val="es-CR"/>
        </w:rPr>
      </w:pPr>
    </w:p>
    <w:p w:rsidR="00D1384E" w:rsidRDefault="00D1384E" w:rsidP="00FB1F7C">
      <w:pPr>
        <w:spacing w:after="0" w:line="240" w:lineRule="auto"/>
        <w:jc w:val="both"/>
        <w:rPr>
          <w:rFonts w:ascii="Verdana" w:hAnsi="Verdana"/>
          <w:sz w:val="20"/>
          <w:lang w:val="es-CR"/>
        </w:rPr>
      </w:pPr>
    </w:p>
    <w:p w:rsidR="00D1384E" w:rsidRDefault="00D1384E" w:rsidP="00FB1F7C">
      <w:pPr>
        <w:spacing w:after="0" w:line="240" w:lineRule="auto"/>
        <w:jc w:val="both"/>
        <w:rPr>
          <w:rFonts w:ascii="Verdana" w:hAnsi="Verdana"/>
          <w:sz w:val="20"/>
          <w:lang w:val="es-CR"/>
        </w:rPr>
      </w:pPr>
    </w:p>
    <w:p w:rsidR="00D1384E" w:rsidRDefault="00D1384E" w:rsidP="00FB1F7C">
      <w:pPr>
        <w:spacing w:after="0" w:line="240" w:lineRule="auto"/>
        <w:jc w:val="both"/>
        <w:rPr>
          <w:rFonts w:ascii="Verdana" w:hAnsi="Verdana"/>
          <w:sz w:val="20"/>
          <w:lang w:val="es-CR"/>
        </w:rPr>
      </w:pPr>
    </w:p>
    <w:p w:rsidR="00D1384E" w:rsidRDefault="00D1384E" w:rsidP="00FB1F7C">
      <w:pPr>
        <w:spacing w:after="0" w:line="240" w:lineRule="auto"/>
        <w:jc w:val="both"/>
        <w:rPr>
          <w:rFonts w:ascii="Verdana" w:hAnsi="Verdana"/>
          <w:sz w:val="20"/>
          <w:lang w:val="es-CR"/>
        </w:rPr>
      </w:pPr>
    </w:p>
    <w:p w:rsidR="00FB1F7C" w:rsidRDefault="00FB1F7C" w:rsidP="00FB1F7C">
      <w:pPr>
        <w:spacing w:after="0" w:line="240" w:lineRule="auto"/>
        <w:jc w:val="both"/>
        <w:rPr>
          <w:rFonts w:ascii="Verdana" w:hAnsi="Verdana"/>
          <w:sz w:val="20"/>
          <w:lang w:val="es-CR"/>
        </w:rPr>
      </w:pPr>
    </w:p>
    <w:p w:rsidR="00FB1F7C" w:rsidRPr="003D7CEE" w:rsidRDefault="00FB1F7C" w:rsidP="00FB1F7C">
      <w:pPr>
        <w:spacing w:after="0" w:line="240" w:lineRule="auto"/>
        <w:jc w:val="both"/>
        <w:rPr>
          <w:rFonts w:ascii="Verdana" w:hAnsi="Verdana"/>
          <w:sz w:val="20"/>
          <w:lang w:val="es-CR"/>
        </w:rPr>
      </w:pPr>
      <w:r>
        <w:rPr>
          <w:rFonts w:ascii="Verdana" w:hAnsi="Verdana"/>
          <w:sz w:val="20"/>
          <w:lang w:val="es-CR"/>
        </w:rPr>
        <w:t>Humberto Antonio Sierra Porto</w:t>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t>Elizabeth Odio Benito</w:t>
      </w:r>
    </w:p>
    <w:p w:rsidR="00FB1F7C" w:rsidRPr="00580BA4" w:rsidRDefault="00FB1F7C" w:rsidP="00FB1F7C">
      <w:pPr>
        <w:spacing w:after="0" w:line="240" w:lineRule="auto"/>
        <w:jc w:val="center"/>
        <w:rPr>
          <w:rFonts w:ascii="Verdana" w:hAnsi="Verdana"/>
          <w:sz w:val="20"/>
          <w:lang w:val="es-CR"/>
        </w:rPr>
      </w:pPr>
    </w:p>
    <w:p w:rsidR="00FB1F7C" w:rsidRPr="00580BA4" w:rsidRDefault="00FB1F7C" w:rsidP="00FB1F7C">
      <w:pPr>
        <w:spacing w:after="0" w:line="240" w:lineRule="auto"/>
        <w:jc w:val="center"/>
        <w:rPr>
          <w:rFonts w:ascii="Verdana" w:hAnsi="Verdana"/>
          <w:sz w:val="20"/>
          <w:lang w:val="es-CR"/>
        </w:rPr>
      </w:pPr>
    </w:p>
    <w:p w:rsidR="00FB1F7C" w:rsidRPr="00580BA4" w:rsidRDefault="00FB1F7C" w:rsidP="00FB1F7C">
      <w:pPr>
        <w:spacing w:after="0" w:line="240" w:lineRule="auto"/>
        <w:jc w:val="center"/>
        <w:rPr>
          <w:rFonts w:ascii="Verdana" w:hAnsi="Verdana"/>
          <w:sz w:val="20"/>
          <w:lang w:val="es-CR"/>
        </w:rPr>
      </w:pPr>
    </w:p>
    <w:p w:rsidR="00FB1F7C" w:rsidRDefault="00FB1F7C" w:rsidP="009B05E2">
      <w:pPr>
        <w:spacing w:after="0" w:line="240" w:lineRule="auto"/>
        <w:jc w:val="right"/>
        <w:rPr>
          <w:rFonts w:ascii="Verdana" w:hAnsi="Verdana"/>
          <w:sz w:val="20"/>
          <w:lang w:val="es-CR"/>
        </w:rPr>
      </w:pPr>
      <w:r>
        <w:rPr>
          <w:rFonts w:ascii="Verdana" w:hAnsi="Verdana"/>
          <w:sz w:val="20"/>
          <w:lang w:val="es-CR"/>
        </w:rPr>
        <w:tab/>
      </w:r>
      <w:r>
        <w:rPr>
          <w:rFonts w:ascii="Verdana" w:hAnsi="Verdana"/>
          <w:sz w:val="20"/>
          <w:lang w:val="es-CR"/>
        </w:rPr>
        <w:tab/>
      </w:r>
      <w:r w:rsidR="0087148F">
        <w:rPr>
          <w:rFonts w:ascii="Verdana" w:hAnsi="Verdana"/>
          <w:sz w:val="20"/>
          <w:lang w:val="es-CR"/>
        </w:rPr>
        <w:tab/>
      </w:r>
      <w:r w:rsidR="0087148F">
        <w:rPr>
          <w:rFonts w:ascii="Verdana" w:hAnsi="Verdana"/>
          <w:sz w:val="20"/>
          <w:lang w:val="es-CR"/>
        </w:rPr>
        <w:tab/>
      </w:r>
      <w:r w:rsidR="0087148F">
        <w:rPr>
          <w:rFonts w:ascii="Verdana" w:hAnsi="Verdana"/>
          <w:sz w:val="20"/>
          <w:lang w:val="es-CR"/>
        </w:rPr>
        <w:tab/>
      </w:r>
      <w:r w:rsidR="0087148F">
        <w:rPr>
          <w:rFonts w:ascii="Verdana" w:hAnsi="Verdana"/>
          <w:sz w:val="20"/>
          <w:lang w:val="es-CR"/>
        </w:rPr>
        <w:tab/>
      </w:r>
      <w:r w:rsidR="0087148F">
        <w:rPr>
          <w:rFonts w:ascii="Verdana" w:hAnsi="Verdana"/>
          <w:sz w:val="20"/>
          <w:lang w:val="es-CR"/>
        </w:rPr>
        <w:tab/>
      </w:r>
      <w:r w:rsidR="0087148F">
        <w:rPr>
          <w:rFonts w:ascii="Verdana" w:hAnsi="Verdana"/>
          <w:sz w:val="20"/>
          <w:lang w:val="es-CR"/>
        </w:rPr>
        <w:tab/>
      </w:r>
      <w:r w:rsidR="0087148F">
        <w:rPr>
          <w:rFonts w:ascii="Verdana" w:hAnsi="Verdana"/>
          <w:sz w:val="20"/>
          <w:lang w:val="es-CR"/>
        </w:rPr>
        <w:tab/>
      </w:r>
    </w:p>
    <w:p w:rsidR="00FB1F7C" w:rsidRDefault="00FB1F7C" w:rsidP="00580BA4">
      <w:pPr>
        <w:spacing w:after="0" w:line="240" w:lineRule="auto"/>
        <w:jc w:val="center"/>
        <w:rPr>
          <w:rFonts w:ascii="Verdana" w:hAnsi="Verdana"/>
          <w:sz w:val="20"/>
          <w:lang w:val="es-CR"/>
        </w:rPr>
      </w:pPr>
      <w:r>
        <w:rPr>
          <w:rFonts w:ascii="Verdana" w:hAnsi="Verdana"/>
          <w:sz w:val="20"/>
          <w:lang w:val="es-CR"/>
        </w:rPr>
        <w:t xml:space="preserve">Eugenio Raúl </w:t>
      </w:r>
      <w:proofErr w:type="spellStart"/>
      <w:r>
        <w:rPr>
          <w:rFonts w:ascii="Verdana" w:hAnsi="Verdana"/>
          <w:sz w:val="20"/>
          <w:lang w:val="es-CR"/>
        </w:rPr>
        <w:t>Zaffaroni</w:t>
      </w:r>
      <w:proofErr w:type="spellEnd"/>
    </w:p>
    <w:p w:rsidR="00FB1F7C" w:rsidRDefault="00FB1F7C" w:rsidP="00FB1F7C">
      <w:pPr>
        <w:tabs>
          <w:tab w:val="left" w:pos="8460"/>
          <w:tab w:val="left" w:pos="8640"/>
        </w:tabs>
        <w:spacing w:after="0" w:line="240" w:lineRule="auto"/>
        <w:jc w:val="both"/>
        <w:rPr>
          <w:rFonts w:ascii="Verdana" w:hAnsi="Verdana"/>
          <w:sz w:val="20"/>
          <w:lang w:val="es-CR"/>
        </w:rPr>
      </w:pPr>
    </w:p>
    <w:p w:rsidR="00D1384E" w:rsidRDefault="00D1384E" w:rsidP="00FB1F7C">
      <w:pPr>
        <w:tabs>
          <w:tab w:val="left" w:pos="8460"/>
          <w:tab w:val="left" w:pos="8640"/>
        </w:tabs>
        <w:spacing w:after="0" w:line="240" w:lineRule="auto"/>
        <w:jc w:val="both"/>
        <w:rPr>
          <w:rFonts w:ascii="Verdana" w:hAnsi="Verdana"/>
          <w:sz w:val="20"/>
          <w:lang w:val="es-CR"/>
        </w:rPr>
      </w:pPr>
    </w:p>
    <w:p w:rsidR="00D1384E" w:rsidRDefault="00D1384E" w:rsidP="00FB1F7C">
      <w:pPr>
        <w:tabs>
          <w:tab w:val="left" w:pos="8460"/>
          <w:tab w:val="left" w:pos="8640"/>
        </w:tabs>
        <w:spacing w:after="0" w:line="240" w:lineRule="auto"/>
        <w:jc w:val="both"/>
        <w:rPr>
          <w:rFonts w:ascii="Verdana" w:hAnsi="Verdana"/>
          <w:sz w:val="20"/>
          <w:lang w:val="es-CR"/>
        </w:rPr>
      </w:pPr>
    </w:p>
    <w:p w:rsidR="00D1384E" w:rsidRDefault="00D1384E" w:rsidP="00FB1F7C">
      <w:pPr>
        <w:tabs>
          <w:tab w:val="left" w:pos="8460"/>
          <w:tab w:val="left" w:pos="8640"/>
        </w:tabs>
        <w:spacing w:after="0" w:line="240" w:lineRule="auto"/>
        <w:jc w:val="both"/>
        <w:rPr>
          <w:rFonts w:ascii="Verdana" w:hAnsi="Verdana"/>
          <w:sz w:val="20"/>
          <w:lang w:val="es-CR"/>
        </w:rPr>
      </w:pPr>
    </w:p>
    <w:p w:rsidR="00D1384E" w:rsidRDefault="00D1384E" w:rsidP="00FB1F7C">
      <w:pPr>
        <w:tabs>
          <w:tab w:val="left" w:pos="8460"/>
          <w:tab w:val="left" w:pos="8640"/>
        </w:tabs>
        <w:spacing w:after="0" w:line="240" w:lineRule="auto"/>
        <w:jc w:val="both"/>
        <w:rPr>
          <w:rFonts w:ascii="Verdana" w:hAnsi="Verdana"/>
          <w:sz w:val="20"/>
          <w:lang w:val="es-CR"/>
        </w:rPr>
      </w:pPr>
    </w:p>
    <w:p w:rsidR="00D1384E" w:rsidRDefault="00D1384E" w:rsidP="00FB1F7C">
      <w:pPr>
        <w:tabs>
          <w:tab w:val="left" w:pos="8460"/>
          <w:tab w:val="left" w:pos="8640"/>
        </w:tabs>
        <w:spacing w:after="0" w:line="240" w:lineRule="auto"/>
        <w:jc w:val="both"/>
        <w:rPr>
          <w:rFonts w:ascii="Verdana" w:hAnsi="Verdana"/>
          <w:sz w:val="20"/>
          <w:lang w:val="es-CR"/>
        </w:rPr>
      </w:pPr>
    </w:p>
    <w:p w:rsidR="00D1384E" w:rsidRDefault="00D1384E" w:rsidP="00FB1F7C">
      <w:pPr>
        <w:tabs>
          <w:tab w:val="left" w:pos="8460"/>
          <w:tab w:val="left" w:pos="8640"/>
        </w:tabs>
        <w:spacing w:after="0" w:line="240" w:lineRule="auto"/>
        <w:jc w:val="both"/>
        <w:rPr>
          <w:rFonts w:ascii="Verdana" w:hAnsi="Verdana"/>
          <w:sz w:val="20"/>
          <w:lang w:val="es-CR"/>
        </w:rPr>
      </w:pPr>
    </w:p>
    <w:p w:rsidR="00D1384E" w:rsidRDefault="00D1384E" w:rsidP="00FB1F7C">
      <w:pPr>
        <w:tabs>
          <w:tab w:val="left" w:pos="8460"/>
          <w:tab w:val="left" w:pos="8640"/>
        </w:tabs>
        <w:spacing w:after="0" w:line="240" w:lineRule="auto"/>
        <w:jc w:val="both"/>
        <w:rPr>
          <w:rFonts w:ascii="Verdana" w:hAnsi="Verdana"/>
          <w:sz w:val="20"/>
          <w:lang w:val="es-CR"/>
        </w:rPr>
      </w:pPr>
    </w:p>
    <w:p w:rsidR="00FB1F7C" w:rsidRPr="00274D2F" w:rsidRDefault="00FB1F7C" w:rsidP="00FB1F7C">
      <w:pPr>
        <w:tabs>
          <w:tab w:val="left" w:pos="8460"/>
          <w:tab w:val="left" w:pos="8640"/>
        </w:tabs>
        <w:spacing w:after="0" w:line="240" w:lineRule="auto"/>
        <w:jc w:val="both"/>
        <w:rPr>
          <w:rFonts w:ascii="Verdana" w:hAnsi="Verdana"/>
          <w:sz w:val="20"/>
          <w:lang w:val="es-CR"/>
        </w:rPr>
      </w:pPr>
    </w:p>
    <w:p w:rsidR="00FB1F7C" w:rsidRPr="00580BA4" w:rsidRDefault="00FB1F7C" w:rsidP="00FB1F7C">
      <w:pPr>
        <w:tabs>
          <w:tab w:val="left" w:pos="8460"/>
          <w:tab w:val="left" w:pos="8640"/>
        </w:tabs>
        <w:spacing w:after="0" w:line="240" w:lineRule="auto"/>
        <w:jc w:val="center"/>
        <w:rPr>
          <w:rFonts w:ascii="Verdana" w:hAnsi="Verdana"/>
          <w:sz w:val="20"/>
          <w:lang w:val="es-CR"/>
        </w:rPr>
      </w:pPr>
      <w:r w:rsidRPr="00580BA4">
        <w:rPr>
          <w:rFonts w:ascii="Verdana" w:hAnsi="Verdana"/>
          <w:sz w:val="20"/>
          <w:lang w:val="es-CR"/>
        </w:rPr>
        <w:t>Pablo Saavedra Alessandri</w:t>
      </w:r>
    </w:p>
    <w:p w:rsidR="00FB1F7C" w:rsidRPr="00580BA4" w:rsidRDefault="00FB1F7C" w:rsidP="00FB1F7C">
      <w:pPr>
        <w:tabs>
          <w:tab w:val="left" w:pos="8460"/>
          <w:tab w:val="left" w:pos="8640"/>
        </w:tabs>
        <w:spacing w:after="0" w:line="240" w:lineRule="auto"/>
        <w:jc w:val="center"/>
        <w:rPr>
          <w:rFonts w:ascii="Verdana" w:hAnsi="Verdana"/>
          <w:sz w:val="20"/>
          <w:lang w:val="es-CR"/>
        </w:rPr>
      </w:pPr>
      <w:r w:rsidRPr="00580BA4">
        <w:rPr>
          <w:rFonts w:ascii="Verdana" w:hAnsi="Verdana"/>
          <w:sz w:val="20"/>
          <w:lang w:val="es-CR"/>
        </w:rPr>
        <w:t>Secretario</w:t>
      </w:r>
    </w:p>
    <w:p w:rsidR="00FB1F7C" w:rsidRPr="00580BA4" w:rsidRDefault="00FB1F7C" w:rsidP="00FB1F7C">
      <w:pPr>
        <w:tabs>
          <w:tab w:val="left" w:pos="8460"/>
          <w:tab w:val="left" w:pos="8640"/>
        </w:tabs>
        <w:spacing w:after="0" w:line="240" w:lineRule="auto"/>
        <w:jc w:val="both"/>
        <w:rPr>
          <w:rFonts w:ascii="Verdana" w:hAnsi="Verdana"/>
          <w:sz w:val="20"/>
          <w:lang w:val="es-CR"/>
        </w:rPr>
      </w:pPr>
    </w:p>
    <w:p w:rsidR="00FB1F7C" w:rsidRPr="00580BA4" w:rsidRDefault="00FB1F7C" w:rsidP="00FB1F7C">
      <w:pPr>
        <w:spacing w:after="0" w:line="240" w:lineRule="auto"/>
        <w:jc w:val="both"/>
        <w:rPr>
          <w:rFonts w:ascii="Verdana" w:hAnsi="Verdana"/>
          <w:sz w:val="20"/>
          <w:lang w:val="es-CR"/>
        </w:rPr>
      </w:pPr>
    </w:p>
    <w:p w:rsidR="00FB1F7C" w:rsidRPr="00580BA4" w:rsidRDefault="00FB1F7C" w:rsidP="00FB1F7C">
      <w:pPr>
        <w:tabs>
          <w:tab w:val="left" w:pos="8460"/>
          <w:tab w:val="left" w:pos="8640"/>
        </w:tabs>
        <w:spacing w:after="0" w:line="240" w:lineRule="auto"/>
        <w:jc w:val="both"/>
        <w:rPr>
          <w:rFonts w:ascii="Verdana" w:hAnsi="Verdana"/>
          <w:sz w:val="20"/>
          <w:lang w:val="es-CR"/>
        </w:rPr>
      </w:pPr>
      <w:r w:rsidRPr="00580BA4">
        <w:rPr>
          <w:rFonts w:ascii="Verdana" w:hAnsi="Verdana"/>
          <w:sz w:val="20"/>
          <w:lang w:val="es-CR"/>
        </w:rPr>
        <w:t>Comuníquese y ejecútese,</w:t>
      </w:r>
    </w:p>
    <w:p w:rsidR="00FB1F7C" w:rsidRPr="00580BA4" w:rsidRDefault="00FB1F7C" w:rsidP="00FB1F7C">
      <w:pPr>
        <w:tabs>
          <w:tab w:val="left" w:pos="8460"/>
          <w:tab w:val="left" w:pos="8640"/>
        </w:tabs>
        <w:spacing w:after="0" w:line="240" w:lineRule="auto"/>
        <w:jc w:val="both"/>
        <w:rPr>
          <w:rFonts w:ascii="Verdana" w:hAnsi="Verdana"/>
          <w:sz w:val="20"/>
          <w:lang w:val="es-CR"/>
        </w:rPr>
      </w:pPr>
    </w:p>
    <w:p w:rsidR="00FB1F7C" w:rsidRPr="00580BA4" w:rsidRDefault="00FB1F7C" w:rsidP="00FB1F7C">
      <w:pPr>
        <w:tabs>
          <w:tab w:val="left" w:pos="8460"/>
          <w:tab w:val="left" w:pos="8640"/>
        </w:tabs>
        <w:spacing w:after="0" w:line="240" w:lineRule="auto"/>
        <w:jc w:val="both"/>
        <w:rPr>
          <w:rFonts w:ascii="Verdana" w:hAnsi="Verdana"/>
          <w:sz w:val="20"/>
          <w:lang w:val="es-CR"/>
        </w:rPr>
      </w:pPr>
    </w:p>
    <w:p w:rsidR="00FB1F7C" w:rsidRPr="00580BA4" w:rsidRDefault="00FB1F7C" w:rsidP="00FB1F7C">
      <w:pPr>
        <w:tabs>
          <w:tab w:val="left" w:pos="8460"/>
          <w:tab w:val="left" w:pos="8640"/>
        </w:tabs>
        <w:spacing w:after="0" w:line="240" w:lineRule="auto"/>
        <w:jc w:val="both"/>
        <w:rPr>
          <w:rFonts w:ascii="Verdana" w:hAnsi="Verdana"/>
          <w:sz w:val="20"/>
          <w:lang w:val="es-CR"/>
        </w:rPr>
      </w:pPr>
    </w:p>
    <w:p w:rsidR="00FB1F7C" w:rsidRPr="00580BA4" w:rsidRDefault="00FB1F7C" w:rsidP="00FB1F7C">
      <w:pPr>
        <w:spacing w:after="0" w:line="240" w:lineRule="auto"/>
        <w:ind w:firstLine="720"/>
        <w:jc w:val="right"/>
        <w:rPr>
          <w:rFonts w:ascii="Verdana" w:hAnsi="Verdana"/>
          <w:sz w:val="20"/>
          <w:lang w:val="es-CR"/>
        </w:rPr>
      </w:pPr>
      <w:r>
        <w:rPr>
          <w:rFonts w:ascii="Verdana" w:hAnsi="Verdana"/>
          <w:sz w:val="20"/>
          <w:lang w:val="es-CR"/>
        </w:rPr>
        <w:t xml:space="preserve">       Roberto F. Caldas</w:t>
      </w:r>
    </w:p>
    <w:p w:rsidR="00FB1F7C" w:rsidRPr="00D1384E" w:rsidRDefault="00FB1F7C" w:rsidP="00FB1F7C">
      <w:pPr>
        <w:spacing w:after="0" w:line="240" w:lineRule="auto"/>
        <w:ind w:right="360"/>
        <w:jc w:val="right"/>
        <w:rPr>
          <w:rFonts w:ascii="Verdana" w:hAnsi="Verdana"/>
          <w:sz w:val="20"/>
          <w:lang w:val="es-CR"/>
        </w:rPr>
      </w:pPr>
      <w:r w:rsidRPr="00D1384E">
        <w:rPr>
          <w:rFonts w:ascii="Verdana" w:hAnsi="Verdana"/>
          <w:sz w:val="20"/>
          <w:lang w:val="es-CR"/>
        </w:rPr>
        <w:t xml:space="preserve">Presidente </w:t>
      </w:r>
    </w:p>
    <w:p w:rsidR="00FB1F7C" w:rsidRPr="00D1384E" w:rsidRDefault="00FB1F7C" w:rsidP="00FB1F7C">
      <w:pPr>
        <w:tabs>
          <w:tab w:val="left" w:pos="8460"/>
          <w:tab w:val="left" w:pos="8640"/>
        </w:tabs>
        <w:spacing w:after="0" w:line="240" w:lineRule="auto"/>
        <w:jc w:val="both"/>
        <w:rPr>
          <w:rFonts w:ascii="Verdana" w:hAnsi="Verdana"/>
          <w:sz w:val="20"/>
          <w:lang w:val="es-CR"/>
        </w:rPr>
      </w:pPr>
    </w:p>
    <w:p w:rsidR="00FB1F7C" w:rsidRPr="00D1384E" w:rsidRDefault="00FB1F7C" w:rsidP="00FB1F7C">
      <w:pPr>
        <w:tabs>
          <w:tab w:val="left" w:pos="8460"/>
          <w:tab w:val="left" w:pos="8640"/>
        </w:tabs>
        <w:spacing w:after="0" w:line="240" w:lineRule="auto"/>
        <w:jc w:val="both"/>
        <w:rPr>
          <w:rFonts w:ascii="Verdana" w:hAnsi="Verdana"/>
          <w:sz w:val="20"/>
          <w:lang w:val="es-CR"/>
        </w:rPr>
      </w:pPr>
    </w:p>
    <w:p w:rsidR="00FB1F7C" w:rsidRPr="00D1384E" w:rsidRDefault="00FB1F7C" w:rsidP="00FB1F7C">
      <w:pPr>
        <w:tabs>
          <w:tab w:val="left" w:pos="8460"/>
          <w:tab w:val="left" w:pos="8640"/>
        </w:tabs>
        <w:spacing w:after="0" w:line="240" w:lineRule="auto"/>
        <w:jc w:val="both"/>
        <w:rPr>
          <w:rFonts w:ascii="Verdana" w:hAnsi="Verdana"/>
          <w:sz w:val="20"/>
          <w:lang w:val="es-CR"/>
        </w:rPr>
      </w:pPr>
    </w:p>
    <w:p w:rsidR="00FB1F7C" w:rsidRPr="00D1384E" w:rsidRDefault="00FB1F7C" w:rsidP="00FB1F7C">
      <w:pPr>
        <w:tabs>
          <w:tab w:val="left" w:pos="8460"/>
          <w:tab w:val="left" w:pos="8640"/>
        </w:tabs>
        <w:spacing w:after="0" w:line="240" w:lineRule="auto"/>
        <w:jc w:val="both"/>
        <w:rPr>
          <w:rFonts w:ascii="Verdana" w:hAnsi="Verdana"/>
          <w:sz w:val="20"/>
          <w:lang w:val="es-CR"/>
        </w:rPr>
      </w:pPr>
      <w:r w:rsidRPr="00D1384E">
        <w:rPr>
          <w:rFonts w:ascii="Verdana" w:hAnsi="Verdana"/>
          <w:sz w:val="20"/>
          <w:lang w:val="es-CR"/>
        </w:rPr>
        <w:t>Pablo Saavedra Alessandri</w:t>
      </w:r>
    </w:p>
    <w:p w:rsidR="00FB1F7C" w:rsidRPr="00230DAA" w:rsidRDefault="00FB1F7C" w:rsidP="00044C47">
      <w:pPr>
        <w:tabs>
          <w:tab w:val="left" w:pos="8640"/>
        </w:tabs>
        <w:spacing w:after="0" w:line="240" w:lineRule="auto"/>
        <w:ind w:left="720"/>
        <w:rPr>
          <w:rFonts w:ascii="Verdana" w:hAnsi="Verdana"/>
          <w:sz w:val="20"/>
          <w:lang w:val="es-ES"/>
        </w:rPr>
      </w:pPr>
      <w:r w:rsidRPr="00D1384E">
        <w:rPr>
          <w:rFonts w:ascii="Verdana" w:hAnsi="Verdana"/>
          <w:sz w:val="20"/>
          <w:lang w:val="es-CR"/>
        </w:rPr>
        <w:t xml:space="preserve">  Secretario</w:t>
      </w:r>
    </w:p>
    <w:sectPr w:rsidR="00FB1F7C" w:rsidRPr="00230DAA" w:rsidSect="00ED3940">
      <w:head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AA4" w:rsidRDefault="000D6AA4" w:rsidP="00557B48">
      <w:pPr>
        <w:spacing w:after="0" w:line="240" w:lineRule="auto"/>
      </w:pPr>
      <w:r>
        <w:separator/>
      </w:r>
    </w:p>
  </w:endnote>
  <w:endnote w:type="continuationSeparator" w:id="0">
    <w:p w:rsidR="000D6AA4" w:rsidRDefault="000D6AA4" w:rsidP="00557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TE3AB8378t00">
    <w:panose1 w:val="00000000000000000000"/>
    <w:charset w:val="00"/>
    <w:family w:val="auto"/>
    <w:notTrueType/>
    <w:pitch w:val="default"/>
    <w:sig w:usb0="00000003" w:usb1="00000000" w:usb2="00000000" w:usb3="00000000" w:csb0="00000001" w:csb1="00000000"/>
  </w:font>
  <w:font w:name="Verdana-Bold">
    <w:altName w:val="Verdan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AA4" w:rsidRDefault="000D6AA4" w:rsidP="00557B48">
      <w:pPr>
        <w:spacing w:after="0" w:line="240" w:lineRule="auto"/>
      </w:pPr>
      <w:r>
        <w:separator/>
      </w:r>
    </w:p>
  </w:footnote>
  <w:footnote w:type="continuationSeparator" w:id="0">
    <w:p w:rsidR="000D6AA4" w:rsidRDefault="000D6AA4" w:rsidP="00557B48">
      <w:pPr>
        <w:spacing w:after="0" w:line="240" w:lineRule="auto"/>
      </w:pPr>
      <w:r>
        <w:continuationSeparator/>
      </w:r>
    </w:p>
  </w:footnote>
  <w:footnote w:id="1">
    <w:p w:rsidR="00580BA4" w:rsidRPr="00580BA4" w:rsidRDefault="00580BA4">
      <w:pPr>
        <w:pStyle w:val="FootnoteText"/>
        <w:rPr>
          <w:lang w:val="es-CR"/>
        </w:rPr>
      </w:pPr>
      <w:r>
        <w:rPr>
          <w:rStyle w:val="FootnoteReference"/>
        </w:rPr>
        <w:footnoteRef/>
      </w:r>
      <w:r w:rsidRPr="00580BA4">
        <w:rPr>
          <w:lang w:val="es-CR"/>
        </w:rPr>
        <w:t xml:space="preserve"> </w:t>
      </w:r>
      <w:r>
        <w:rPr>
          <w:lang w:val="es-CR"/>
        </w:rPr>
        <w:tab/>
      </w:r>
      <w:r w:rsidRPr="00580BA4">
        <w:rPr>
          <w:rFonts w:ascii="Verdana" w:hAnsi="Verdana"/>
          <w:sz w:val="16"/>
          <w:szCs w:val="16"/>
          <w:lang w:val="es-CR"/>
        </w:rPr>
        <w:t xml:space="preserve">El Juez L. Patricio Pazmiño Freire </w:t>
      </w:r>
      <w:r w:rsidR="006C537F">
        <w:rPr>
          <w:rFonts w:ascii="Verdana" w:hAnsi="Verdana"/>
          <w:sz w:val="16"/>
          <w:szCs w:val="16"/>
          <w:lang w:val="es-CR"/>
        </w:rPr>
        <w:t xml:space="preserve">por motivos personales </w:t>
      </w:r>
      <w:r w:rsidRPr="00580BA4">
        <w:rPr>
          <w:rFonts w:ascii="Verdana" w:hAnsi="Verdana"/>
          <w:sz w:val="16"/>
          <w:szCs w:val="16"/>
          <w:lang w:val="es-CR"/>
        </w:rPr>
        <w:t>no participó en la deliberación de la presente</w:t>
      </w:r>
      <w:r w:rsidR="006C537F">
        <w:rPr>
          <w:rFonts w:ascii="Verdana" w:hAnsi="Verdana"/>
          <w:sz w:val="16"/>
          <w:szCs w:val="16"/>
          <w:lang w:val="es-CR"/>
        </w:rPr>
        <w:t xml:space="preserve"> </w:t>
      </w:r>
      <w:r w:rsidRPr="00580BA4">
        <w:rPr>
          <w:rFonts w:ascii="Verdana" w:hAnsi="Verdana"/>
          <w:sz w:val="16"/>
          <w:szCs w:val="16"/>
          <w:lang w:val="es-CR"/>
        </w:rPr>
        <w:t>Resolución.</w:t>
      </w:r>
    </w:p>
  </w:footnote>
  <w:footnote w:id="2">
    <w:p w:rsidR="00165816" w:rsidRPr="0058770C" w:rsidRDefault="00165816" w:rsidP="00152597">
      <w:pPr>
        <w:pStyle w:val="FootnoteText"/>
        <w:ind w:right="-316"/>
        <w:jc w:val="both"/>
        <w:rPr>
          <w:rFonts w:ascii="Verdana" w:hAnsi="Verdana"/>
          <w:sz w:val="16"/>
          <w:szCs w:val="16"/>
          <w:lang w:val="es-CR"/>
        </w:rPr>
      </w:pPr>
      <w:r w:rsidRPr="0058770C">
        <w:rPr>
          <w:rStyle w:val="FootnoteReference"/>
          <w:rFonts w:ascii="Verdana" w:hAnsi="Verdana"/>
          <w:sz w:val="16"/>
          <w:szCs w:val="16"/>
          <w:lang w:val="es-CR"/>
        </w:rPr>
        <w:footnoteRef/>
      </w:r>
      <w:r w:rsidR="000F28C4">
        <w:rPr>
          <w:rFonts w:ascii="Verdana" w:hAnsi="Verdana"/>
          <w:sz w:val="16"/>
          <w:szCs w:val="16"/>
          <w:lang w:val="es-CR"/>
        </w:rPr>
        <w:t xml:space="preserve"> </w:t>
      </w:r>
      <w:r w:rsidR="00CA4FC6">
        <w:rPr>
          <w:rFonts w:ascii="Verdana" w:hAnsi="Verdana"/>
          <w:sz w:val="16"/>
          <w:szCs w:val="16"/>
          <w:lang w:val="es-CR"/>
        </w:rPr>
        <w:tab/>
      </w:r>
      <w:r w:rsidRPr="0058770C">
        <w:rPr>
          <w:rFonts w:ascii="Verdana" w:hAnsi="Verdana"/>
          <w:i/>
          <w:sz w:val="16"/>
          <w:szCs w:val="16"/>
          <w:lang w:val="es-CR"/>
        </w:rPr>
        <w:t>Cfr.</w:t>
      </w:r>
      <w:r w:rsidRPr="0058770C">
        <w:rPr>
          <w:rFonts w:ascii="Verdana" w:hAnsi="Verdana"/>
          <w:sz w:val="16"/>
          <w:szCs w:val="16"/>
          <w:lang w:val="es-CR"/>
        </w:rPr>
        <w:t xml:space="preserve"> </w:t>
      </w:r>
      <w:r w:rsidRPr="0058770C">
        <w:rPr>
          <w:rFonts w:ascii="Verdana" w:hAnsi="Verdana"/>
          <w:i/>
          <w:sz w:val="16"/>
          <w:szCs w:val="16"/>
          <w:lang w:val="es-CR"/>
        </w:rPr>
        <w:t>Caso del Periódico “La Nación”.</w:t>
      </w:r>
      <w:r w:rsidRPr="0058770C">
        <w:rPr>
          <w:rFonts w:ascii="Verdana" w:hAnsi="Verdana"/>
          <w:sz w:val="16"/>
          <w:szCs w:val="16"/>
          <w:lang w:val="es-CR"/>
        </w:rPr>
        <w:t xml:space="preserve"> Medidas Provisionales respecto de Costa Rica. Resolución de la Corte Interamericana de Derechos Humanos de 7 de septiembre de 2001, Considerando cuarto; </w:t>
      </w:r>
      <w:r w:rsidRPr="0058770C">
        <w:rPr>
          <w:rFonts w:ascii="Verdana" w:hAnsi="Verdana"/>
          <w:bCs/>
          <w:color w:val="000000"/>
          <w:sz w:val="16"/>
          <w:szCs w:val="16"/>
          <w:lang w:val="es-CR"/>
        </w:rPr>
        <w:t xml:space="preserve">y </w:t>
      </w:r>
      <w:r w:rsidRPr="0058770C">
        <w:rPr>
          <w:rFonts w:ascii="Verdana" w:hAnsi="Verdana"/>
          <w:bCs/>
          <w:i/>
          <w:color w:val="000000"/>
          <w:sz w:val="16"/>
          <w:szCs w:val="16"/>
          <w:lang w:val="es-CR"/>
        </w:rPr>
        <w:t>Asunto Natera Balboa.</w:t>
      </w:r>
      <w:r w:rsidRPr="0058770C">
        <w:rPr>
          <w:rFonts w:ascii="Verdana" w:hAnsi="Verdana"/>
          <w:bCs/>
          <w:color w:val="000000"/>
          <w:sz w:val="16"/>
          <w:szCs w:val="16"/>
          <w:lang w:val="es-CR"/>
        </w:rPr>
        <w:t xml:space="preserve"> Medidas provisionales respecto de Venezuela. Resolución de la </w:t>
      </w:r>
      <w:r w:rsidRPr="0058770C">
        <w:rPr>
          <w:rFonts w:ascii="Verdana" w:hAnsi="Verdana"/>
          <w:sz w:val="16"/>
          <w:szCs w:val="16"/>
          <w:lang w:val="es-CR"/>
        </w:rPr>
        <w:t>Corte Interamericana de Derechos Humanos de 1 de febrero de 2010, Considerando séptimo.</w:t>
      </w:r>
    </w:p>
  </w:footnote>
  <w:footnote w:id="3">
    <w:p w:rsidR="00165816" w:rsidRPr="0058770C" w:rsidRDefault="00165816">
      <w:pPr>
        <w:pStyle w:val="FootnoteText"/>
        <w:ind w:right="-316"/>
        <w:jc w:val="both"/>
        <w:rPr>
          <w:rFonts w:ascii="Verdana" w:hAnsi="Verdana"/>
          <w:sz w:val="16"/>
          <w:szCs w:val="16"/>
          <w:lang w:val="es-CR"/>
        </w:rPr>
      </w:pPr>
      <w:r w:rsidRPr="0058770C">
        <w:rPr>
          <w:rStyle w:val="FootnoteReference"/>
          <w:rFonts w:ascii="Verdana" w:hAnsi="Verdana"/>
          <w:sz w:val="16"/>
          <w:szCs w:val="16"/>
          <w:lang w:val="es-CR"/>
        </w:rPr>
        <w:footnoteRef/>
      </w:r>
      <w:r w:rsidR="000F28C4">
        <w:rPr>
          <w:rFonts w:ascii="Verdana" w:hAnsi="Verdana"/>
          <w:sz w:val="16"/>
          <w:szCs w:val="16"/>
          <w:lang w:val="es-CR"/>
        </w:rPr>
        <w:t xml:space="preserve"> </w:t>
      </w:r>
      <w:r w:rsidR="00CA4FC6">
        <w:rPr>
          <w:rFonts w:ascii="Verdana" w:hAnsi="Verdana"/>
          <w:sz w:val="16"/>
          <w:szCs w:val="16"/>
          <w:lang w:val="es-CR"/>
        </w:rPr>
        <w:tab/>
      </w:r>
      <w:r w:rsidRPr="00EE6E43">
        <w:rPr>
          <w:rFonts w:ascii="Verdana" w:hAnsi="Verdana"/>
          <w:sz w:val="16"/>
          <w:szCs w:val="16"/>
          <w:lang w:val="es-CR"/>
        </w:rPr>
        <w:t>Artículo 26 de la Convención de Viena sobre Derechos de los Tratados</w:t>
      </w:r>
      <w:r w:rsidRPr="00FA4FDE">
        <w:rPr>
          <w:rFonts w:ascii="Verdana" w:hAnsi="Verdana"/>
          <w:sz w:val="16"/>
          <w:szCs w:val="16"/>
          <w:lang w:val="es-CR"/>
        </w:rPr>
        <w:t xml:space="preserve">. </w:t>
      </w:r>
      <w:r w:rsidRPr="00ED3940">
        <w:rPr>
          <w:rFonts w:ascii="Verdana" w:hAnsi="Verdana"/>
          <w:sz w:val="16"/>
          <w:szCs w:val="16"/>
          <w:lang w:val="es-MX"/>
        </w:rPr>
        <w:t xml:space="preserve">U.N. </w:t>
      </w:r>
      <w:proofErr w:type="spellStart"/>
      <w:r w:rsidRPr="00ED3940">
        <w:rPr>
          <w:rFonts w:ascii="Verdana" w:hAnsi="Verdana"/>
          <w:sz w:val="16"/>
          <w:szCs w:val="16"/>
          <w:lang w:val="es-MX"/>
        </w:rPr>
        <w:t>Doc</w:t>
      </w:r>
      <w:proofErr w:type="spellEnd"/>
      <w:r w:rsidRPr="00ED3940">
        <w:rPr>
          <w:rFonts w:ascii="Verdana" w:hAnsi="Verdana"/>
          <w:sz w:val="16"/>
          <w:szCs w:val="16"/>
          <w:lang w:val="es-MX"/>
        </w:rPr>
        <w:t xml:space="preserve"> A/CONF.39/27 (1969), 1155 U.N.T.S. 331,  entro en vigor el 27 de enero de 1980</w:t>
      </w:r>
      <w:r w:rsidR="00152597">
        <w:rPr>
          <w:rFonts w:ascii="Verdana" w:hAnsi="Verdana"/>
          <w:sz w:val="16"/>
          <w:szCs w:val="16"/>
          <w:lang w:val="es-MX"/>
        </w:rPr>
        <w:t>;</w:t>
      </w:r>
      <w:r w:rsidRPr="00ED3940">
        <w:rPr>
          <w:rFonts w:ascii="Verdana" w:hAnsi="Verdana"/>
          <w:sz w:val="16"/>
          <w:szCs w:val="16"/>
          <w:lang w:val="es-MX"/>
        </w:rPr>
        <w:t xml:space="preserve"> </w:t>
      </w:r>
      <w:r w:rsidRPr="00FA4FDE">
        <w:rPr>
          <w:rFonts w:ascii="Verdana" w:hAnsi="Verdana"/>
          <w:i/>
          <w:iCs/>
          <w:sz w:val="16"/>
          <w:szCs w:val="16"/>
          <w:lang w:val="es-CR"/>
        </w:rPr>
        <w:t xml:space="preserve">Asunto James y otros. </w:t>
      </w:r>
      <w:r w:rsidRPr="00FA4FDE">
        <w:rPr>
          <w:rFonts w:ascii="Verdana" w:hAnsi="Verdana"/>
          <w:sz w:val="16"/>
          <w:szCs w:val="16"/>
          <w:lang w:val="es-CR"/>
        </w:rPr>
        <w:t xml:space="preserve">Medidas Provisionales respecto de Trinidad y Tobago. </w:t>
      </w:r>
      <w:r w:rsidRPr="00765517">
        <w:rPr>
          <w:rFonts w:ascii="Verdana" w:hAnsi="Verdana"/>
          <w:bCs/>
          <w:color w:val="000000"/>
          <w:sz w:val="16"/>
          <w:szCs w:val="16"/>
          <w:lang w:val="es-CR"/>
        </w:rPr>
        <w:t>Resolución de la Corte Interamericana de Derechos Humanos</w:t>
      </w:r>
      <w:r w:rsidRPr="000540EF">
        <w:rPr>
          <w:rFonts w:ascii="Verdana" w:hAnsi="Verdana"/>
          <w:sz w:val="16"/>
          <w:szCs w:val="16"/>
          <w:lang w:val="es-CR"/>
        </w:rPr>
        <w:t xml:space="preserve"> de 14 de junio</w:t>
      </w:r>
      <w:r w:rsidRPr="0058770C">
        <w:rPr>
          <w:rFonts w:ascii="Verdana" w:hAnsi="Verdana"/>
          <w:sz w:val="16"/>
          <w:szCs w:val="16"/>
          <w:lang w:val="es-CR"/>
        </w:rPr>
        <w:t xml:space="preserve"> de 1998, Considerando sexto; </w:t>
      </w:r>
      <w:r w:rsidRPr="0058770C">
        <w:rPr>
          <w:rFonts w:ascii="Verdana" w:hAnsi="Verdana"/>
          <w:bCs/>
          <w:i/>
          <w:color w:val="000000"/>
          <w:sz w:val="16"/>
          <w:szCs w:val="16"/>
          <w:lang w:val="es-CR"/>
        </w:rPr>
        <w:t xml:space="preserve">Asunto Ramírez </w:t>
      </w:r>
      <w:proofErr w:type="spellStart"/>
      <w:r w:rsidRPr="0058770C">
        <w:rPr>
          <w:rFonts w:ascii="Verdana" w:hAnsi="Verdana"/>
          <w:bCs/>
          <w:i/>
          <w:color w:val="000000"/>
          <w:sz w:val="16"/>
          <w:szCs w:val="16"/>
          <w:lang w:val="es-CR"/>
        </w:rPr>
        <w:t>Hinostroza</w:t>
      </w:r>
      <w:proofErr w:type="spellEnd"/>
      <w:r w:rsidRPr="0058770C">
        <w:rPr>
          <w:rFonts w:ascii="Verdana" w:hAnsi="Verdana"/>
          <w:bCs/>
          <w:i/>
          <w:color w:val="000000"/>
          <w:sz w:val="16"/>
          <w:szCs w:val="16"/>
          <w:lang w:val="es-CR"/>
        </w:rPr>
        <w:t xml:space="preserve"> y otros.</w:t>
      </w:r>
      <w:r w:rsidRPr="0058770C">
        <w:rPr>
          <w:rFonts w:ascii="Verdana" w:hAnsi="Verdana"/>
          <w:bCs/>
          <w:color w:val="000000"/>
          <w:sz w:val="16"/>
          <w:szCs w:val="16"/>
          <w:lang w:val="es-CR"/>
        </w:rPr>
        <w:t xml:space="preserve"> </w:t>
      </w:r>
      <w:r w:rsidRPr="0058770C">
        <w:rPr>
          <w:rFonts w:ascii="Verdana" w:hAnsi="Verdana"/>
          <w:sz w:val="16"/>
          <w:szCs w:val="16"/>
          <w:lang w:val="es-CR"/>
        </w:rPr>
        <w:t xml:space="preserve">Medidas Provisionales respecto del Perú. </w:t>
      </w:r>
      <w:r w:rsidRPr="0058770C">
        <w:rPr>
          <w:rFonts w:ascii="Verdana" w:hAnsi="Verdana"/>
          <w:bCs/>
          <w:color w:val="000000"/>
          <w:sz w:val="16"/>
          <w:szCs w:val="16"/>
          <w:lang w:val="es-CR"/>
        </w:rPr>
        <w:t>Resolución de la Corte Interamericana de Derechos Humanos</w:t>
      </w:r>
      <w:r w:rsidRPr="0058770C">
        <w:rPr>
          <w:rFonts w:ascii="Verdana" w:hAnsi="Verdana"/>
          <w:sz w:val="16"/>
          <w:szCs w:val="16"/>
          <w:lang w:val="es-CR"/>
        </w:rPr>
        <w:t xml:space="preserve"> de 3 de febrero de 201</w:t>
      </w:r>
      <w:r>
        <w:rPr>
          <w:rFonts w:ascii="Verdana" w:hAnsi="Verdana"/>
          <w:sz w:val="16"/>
          <w:szCs w:val="16"/>
          <w:lang w:val="es-CR"/>
        </w:rPr>
        <w:t>0, Considerando quinto.</w:t>
      </w:r>
      <w:r w:rsidR="000F28C4">
        <w:rPr>
          <w:rFonts w:ascii="Verdana" w:hAnsi="Verdana"/>
          <w:sz w:val="16"/>
          <w:szCs w:val="16"/>
          <w:lang w:val="es-CR"/>
        </w:rPr>
        <w:t xml:space="preserve"> </w:t>
      </w:r>
    </w:p>
  </w:footnote>
  <w:footnote w:id="4">
    <w:p w:rsidR="00165816" w:rsidRPr="0058770C" w:rsidRDefault="00165816">
      <w:pPr>
        <w:spacing w:after="0" w:line="240" w:lineRule="auto"/>
        <w:jc w:val="both"/>
        <w:rPr>
          <w:rFonts w:ascii="Verdana" w:hAnsi="Verdana" w:cs="Arial"/>
          <w:sz w:val="16"/>
          <w:szCs w:val="16"/>
          <w:lang w:val="es-CL"/>
        </w:rPr>
      </w:pPr>
      <w:r w:rsidRPr="0058770C">
        <w:rPr>
          <w:rStyle w:val="FootnoteReference"/>
          <w:rFonts w:ascii="Verdana" w:hAnsi="Verdana"/>
          <w:sz w:val="16"/>
          <w:szCs w:val="16"/>
        </w:rPr>
        <w:footnoteRef/>
      </w:r>
      <w:r w:rsidRPr="0058770C">
        <w:rPr>
          <w:rFonts w:ascii="Verdana" w:hAnsi="Verdana"/>
          <w:sz w:val="16"/>
          <w:szCs w:val="16"/>
          <w:lang w:val="es-MX"/>
        </w:rPr>
        <w:t xml:space="preserve"> </w:t>
      </w:r>
      <w:r w:rsidR="00CA4FC6">
        <w:rPr>
          <w:rFonts w:ascii="Verdana" w:hAnsi="Verdana"/>
          <w:sz w:val="16"/>
          <w:szCs w:val="16"/>
          <w:lang w:val="es-MX"/>
        </w:rPr>
        <w:tab/>
      </w:r>
      <w:r w:rsidRPr="0058770C">
        <w:rPr>
          <w:rFonts w:ascii="Verdana" w:hAnsi="Verdana"/>
          <w:sz w:val="16"/>
          <w:szCs w:val="16"/>
          <w:lang w:val="es-MX"/>
        </w:rPr>
        <w:t xml:space="preserve">Las comunidades beneficiarias son las siguientes: </w:t>
      </w:r>
      <w:r w:rsidRPr="00A51E73">
        <w:rPr>
          <w:rFonts w:ascii="Verdana" w:hAnsi="Verdana" w:cs="Arial"/>
          <w:i/>
          <w:sz w:val="16"/>
          <w:szCs w:val="16"/>
          <w:lang w:val="es-CL"/>
        </w:rPr>
        <w:t xml:space="preserve">(i) La Esperanza, (ii) Santa Clara, (iii) Wisconsin y (iv)Francia </w:t>
      </w:r>
      <w:proofErr w:type="spellStart"/>
      <w:r w:rsidRPr="00A51E73">
        <w:rPr>
          <w:rFonts w:ascii="Verdana" w:hAnsi="Verdana" w:cs="Arial"/>
          <w:i/>
          <w:sz w:val="16"/>
          <w:szCs w:val="16"/>
          <w:lang w:val="es-CL"/>
        </w:rPr>
        <w:t>Sirpi</w:t>
      </w:r>
      <w:proofErr w:type="spellEnd"/>
      <w:r w:rsidRPr="00A51E73">
        <w:rPr>
          <w:rFonts w:ascii="Verdana" w:hAnsi="Verdana" w:cs="Arial"/>
          <w:i/>
          <w:sz w:val="16"/>
          <w:szCs w:val="16"/>
          <w:lang w:val="es-CL"/>
        </w:rPr>
        <w:t xml:space="preserve">, del pueblo indígena </w:t>
      </w:r>
      <w:proofErr w:type="spellStart"/>
      <w:r w:rsidRPr="00A51E73">
        <w:rPr>
          <w:rFonts w:ascii="Verdana" w:hAnsi="Verdana" w:cs="Arial"/>
          <w:i/>
          <w:sz w:val="16"/>
          <w:szCs w:val="16"/>
          <w:lang w:val="es-CL"/>
        </w:rPr>
        <w:t>Miskitu</w:t>
      </w:r>
      <w:proofErr w:type="spellEnd"/>
      <w:r w:rsidRPr="00A51E73">
        <w:rPr>
          <w:rFonts w:ascii="Verdana" w:hAnsi="Verdana" w:cs="Arial"/>
          <w:i/>
          <w:sz w:val="16"/>
          <w:szCs w:val="16"/>
          <w:lang w:val="es-CL"/>
        </w:rPr>
        <w:t xml:space="preserve"> de </w:t>
      </w:r>
      <w:proofErr w:type="spellStart"/>
      <w:r w:rsidRPr="00A51E73">
        <w:rPr>
          <w:rFonts w:ascii="Verdana" w:hAnsi="Verdana" w:cs="Arial"/>
          <w:i/>
          <w:sz w:val="16"/>
          <w:szCs w:val="16"/>
          <w:lang w:val="es-CL"/>
        </w:rPr>
        <w:t>Wangki</w:t>
      </w:r>
      <w:proofErr w:type="spellEnd"/>
      <w:r w:rsidRPr="00A51E73">
        <w:rPr>
          <w:rFonts w:ascii="Verdana" w:hAnsi="Verdana" w:cs="Arial"/>
          <w:i/>
          <w:sz w:val="16"/>
          <w:szCs w:val="16"/>
          <w:lang w:val="es-CL"/>
        </w:rPr>
        <w:t xml:space="preserve"> </w:t>
      </w:r>
      <w:proofErr w:type="spellStart"/>
      <w:r w:rsidRPr="00A51E73">
        <w:rPr>
          <w:rFonts w:ascii="Verdana" w:hAnsi="Verdana" w:cs="Arial"/>
          <w:i/>
          <w:sz w:val="16"/>
          <w:szCs w:val="16"/>
          <w:lang w:val="es-CL"/>
        </w:rPr>
        <w:t>Twi-Tasba</w:t>
      </w:r>
      <w:proofErr w:type="spellEnd"/>
      <w:r w:rsidRPr="00A51E73">
        <w:rPr>
          <w:rFonts w:ascii="Verdana" w:hAnsi="Verdana" w:cs="Arial"/>
          <w:i/>
          <w:sz w:val="16"/>
          <w:szCs w:val="16"/>
          <w:lang w:val="es-CL"/>
        </w:rPr>
        <w:t xml:space="preserve"> Raya; (v) Santa Fe, (vi) Esperanza Río Coco, (vii) San Jerónimo, (viii) Polo </w:t>
      </w:r>
      <w:proofErr w:type="spellStart"/>
      <w:r w:rsidRPr="00A51E73">
        <w:rPr>
          <w:rFonts w:ascii="Verdana" w:hAnsi="Verdana" w:cs="Arial"/>
          <w:i/>
          <w:sz w:val="16"/>
          <w:szCs w:val="16"/>
          <w:lang w:val="es-CL"/>
        </w:rPr>
        <w:t>Paiwas</w:t>
      </w:r>
      <w:proofErr w:type="spellEnd"/>
      <w:r w:rsidRPr="00A51E73">
        <w:rPr>
          <w:rFonts w:ascii="Verdana" w:hAnsi="Verdana" w:cs="Arial"/>
          <w:i/>
          <w:sz w:val="16"/>
          <w:szCs w:val="16"/>
          <w:lang w:val="es-CL"/>
        </w:rPr>
        <w:t xml:space="preserve">, (ix) </w:t>
      </w:r>
      <w:proofErr w:type="spellStart"/>
      <w:r w:rsidRPr="00A51E73">
        <w:rPr>
          <w:rFonts w:ascii="Verdana" w:hAnsi="Verdana" w:cs="Arial"/>
          <w:i/>
          <w:sz w:val="16"/>
          <w:szCs w:val="16"/>
          <w:lang w:val="es-CL"/>
        </w:rPr>
        <w:t>Klisnak</w:t>
      </w:r>
      <w:proofErr w:type="spellEnd"/>
      <w:r w:rsidRPr="00A51E73">
        <w:rPr>
          <w:rFonts w:ascii="Verdana" w:hAnsi="Verdana" w:cs="Arial"/>
          <w:i/>
          <w:sz w:val="16"/>
          <w:szCs w:val="16"/>
          <w:lang w:val="es-CL"/>
        </w:rPr>
        <w:t xml:space="preserve"> del territorio indígena </w:t>
      </w:r>
      <w:proofErr w:type="spellStart"/>
      <w:r w:rsidRPr="00A51E73">
        <w:rPr>
          <w:rFonts w:ascii="Verdana" w:hAnsi="Verdana" w:cs="Arial"/>
          <w:i/>
          <w:sz w:val="16"/>
          <w:szCs w:val="16"/>
          <w:lang w:val="es-CL"/>
        </w:rPr>
        <w:t>miskitu</w:t>
      </w:r>
      <w:proofErr w:type="spellEnd"/>
      <w:r w:rsidRPr="00A51E73">
        <w:rPr>
          <w:rFonts w:ascii="Verdana" w:hAnsi="Verdana" w:cs="Arial"/>
          <w:i/>
          <w:sz w:val="16"/>
          <w:szCs w:val="16"/>
          <w:lang w:val="es-CL"/>
        </w:rPr>
        <w:t xml:space="preserve"> </w:t>
      </w:r>
      <w:proofErr w:type="spellStart"/>
      <w:r w:rsidRPr="00A51E73">
        <w:rPr>
          <w:rFonts w:ascii="Verdana" w:hAnsi="Verdana" w:cs="Arial"/>
          <w:i/>
          <w:sz w:val="16"/>
          <w:szCs w:val="16"/>
          <w:lang w:val="es-CL"/>
        </w:rPr>
        <w:t>Wanki</w:t>
      </w:r>
      <w:proofErr w:type="spellEnd"/>
      <w:r w:rsidRPr="00A51E73">
        <w:rPr>
          <w:rFonts w:ascii="Verdana" w:hAnsi="Verdana" w:cs="Arial"/>
          <w:i/>
          <w:sz w:val="16"/>
          <w:szCs w:val="16"/>
          <w:lang w:val="es-CL"/>
        </w:rPr>
        <w:t xml:space="preserve"> Li </w:t>
      </w:r>
      <w:proofErr w:type="spellStart"/>
      <w:r w:rsidRPr="00A51E73">
        <w:rPr>
          <w:rFonts w:ascii="Verdana" w:hAnsi="Verdana" w:cs="Arial"/>
          <w:i/>
          <w:sz w:val="16"/>
          <w:szCs w:val="16"/>
          <w:lang w:val="es-CL"/>
        </w:rPr>
        <w:t>Aubra</w:t>
      </w:r>
      <w:proofErr w:type="spellEnd"/>
      <w:r w:rsidRPr="00A51E73">
        <w:rPr>
          <w:rFonts w:ascii="Verdana" w:hAnsi="Verdana" w:cs="Arial"/>
          <w:i/>
          <w:sz w:val="16"/>
          <w:szCs w:val="16"/>
          <w:lang w:val="es-CL"/>
        </w:rPr>
        <w:t xml:space="preserve">, y (x) </w:t>
      </w:r>
      <w:proofErr w:type="spellStart"/>
      <w:r w:rsidRPr="00A51E73">
        <w:rPr>
          <w:rFonts w:ascii="Verdana" w:hAnsi="Verdana" w:cs="Arial"/>
          <w:i/>
          <w:sz w:val="16"/>
          <w:szCs w:val="16"/>
          <w:lang w:val="es-CL"/>
        </w:rPr>
        <w:t>Wiwinak</w:t>
      </w:r>
      <w:proofErr w:type="spellEnd"/>
      <w:r w:rsidRPr="00A51E73">
        <w:rPr>
          <w:rFonts w:ascii="Verdana" w:hAnsi="Verdana" w:cs="Arial"/>
          <w:i/>
          <w:sz w:val="16"/>
          <w:szCs w:val="16"/>
          <w:lang w:val="es-CL"/>
        </w:rPr>
        <w:t xml:space="preserve"> del territorio in</w:t>
      </w:r>
      <w:r w:rsidR="000A4814">
        <w:rPr>
          <w:rFonts w:ascii="Verdana" w:hAnsi="Verdana" w:cs="Arial"/>
          <w:i/>
          <w:sz w:val="16"/>
          <w:szCs w:val="16"/>
          <w:lang w:val="es-CL"/>
        </w:rPr>
        <w:t>dí</w:t>
      </w:r>
      <w:r w:rsidRPr="00A51E73">
        <w:rPr>
          <w:rFonts w:ascii="Verdana" w:hAnsi="Verdana" w:cs="Arial"/>
          <w:i/>
          <w:sz w:val="16"/>
          <w:szCs w:val="16"/>
          <w:lang w:val="es-CL"/>
        </w:rPr>
        <w:t xml:space="preserve">gena </w:t>
      </w:r>
      <w:proofErr w:type="spellStart"/>
      <w:r w:rsidRPr="00A51E73">
        <w:rPr>
          <w:rFonts w:ascii="Verdana" w:hAnsi="Verdana" w:cs="Arial"/>
          <w:i/>
          <w:sz w:val="16"/>
          <w:szCs w:val="16"/>
          <w:lang w:val="es-CL"/>
        </w:rPr>
        <w:t>miskitu</w:t>
      </w:r>
      <w:proofErr w:type="spellEnd"/>
      <w:r w:rsidRPr="00A51E73">
        <w:rPr>
          <w:rFonts w:ascii="Verdana" w:hAnsi="Verdana" w:cs="Arial"/>
          <w:i/>
          <w:sz w:val="16"/>
          <w:szCs w:val="16"/>
          <w:lang w:val="es-CL"/>
        </w:rPr>
        <w:t xml:space="preserve"> Li </w:t>
      </w:r>
      <w:proofErr w:type="spellStart"/>
      <w:r w:rsidRPr="00A51E73">
        <w:rPr>
          <w:rFonts w:ascii="Verdana" w:hAnsi="Verdana" w:cs="Arial"/>
          <w:i/>
          <w:sz w:val="16"/>
          <w:szCs w:val="16"/>
          <w:lang w:val="es-CL"/>
        </w:rPr>
        <w:t>Lamni</w:t>
      </w:r>
      <w:proofErr w:type="spellEnd"/>
      <w:r w:rsidRPr="00A51E73">
        <w:rPr>
          <w:rFonts w:ascii="Verdana" w:hAnsi="Verdana" w:cs="Arial"/>
          <w:i/>
          <w:sz w:val="16"/>
          <w:szCs w:val="16"/>
          <w:lang w:val="es-CL"/>
        </w:rPr>
        <w:t xml:space="preserve"> </w:t>
      </w:r>
      <w:proofErr w:type="spellStart"/>
      <w:r w:rsidRPr="00A51E73">
        <w:rPr>
          <w:rFonts w:ascii="Verdana" w:hAnsi="Verdana" w:cs="Arial"/>
          <w:i/>
          <w:sz w:val="16"/>
          <w:szCs w:val="16"/>
          <w:lang w:val="es-CL"/>
        </w:rPr>
        <w:t>Tasbaika</w:t>
      </w:r>
      <w:proofErr w:type="spellEnd"/>
      <w:r w:rsidRPr="00A51E73">
        <w:rPr>
          <w:rFonts w:ascii="Verdana" w:hAnsi="Verdana" w:cs="Arial"/>
          <w:i/>
          <w:sz w:val="16"/>
          <w:szCs w:val="16"/>
          <w:lang w:val="es-CL"/>
        </w:rPr>
        <w:t xml:space="preserve"> </w:t>
      </w:r>
      <w:proofErr w:type="spellStart"/>
      <w:r w:rsidRPr="00A51E73">
        <w:rPr>
          <w:rFonts w:ascii="Verdana" w:hAnsi="Verdana" w:cs="Arial"/>
          <w:i/>
          <w:sz w:val="16"/>
          <w:szCs w:val="16"/>
          <w:lang w:val="es-CL"/>
        </w:rPr>
        <w:t>Kum</w:t>
      </w:r>
      <w:proofErr w:type="spellEnd"/>
      <w:r w:rsidRPr="00A51E73">
        <w:rPr>
          <w:rFonts w:ascii="Verdana" w:hAnsi="Verdana" w:cs="Arial"/>
          <w:i/>
          <w:sz w:val="16"/>
          <w:szCs w:val="16"/>
          <w:lang w:val="es-CL"/>
        </w:rPr>
        <w:t>; (xi) el Naranjal y  (xii) Cocal.</w:t>
      </w:r>
    </w:p>
  </w:footnote>
  <w:footnote w:id="5">
    <w:p w:rsidR="00165816" w:rsidRPr="0058770C" w:rsidRDefault="00165816">
      <w:pPr>
        <w:pStyle w:val="FootnoteText"/>
        <w:jc w:val="both"/>
        <w:rPr>
          <w:rFonts w:ascii="Verdana" w:hAnsi="Verdana"/>
          <w:sz w:val="16"/>
          <w:szCs w:val="16"/>
          <w:lang w:val="es-MX"/>
        </w:rPr>
      </w:pPr>
      <w:r w:rsidRPr="0058770C">
        <w:rPr>
          <w:rStyle w:val="FootnoteReference"/>
          <w:rFonts w:ascii="Verdana" w:hAnsi="Verdana"/>
          <w:sz w:val="16"/>
          <w:szCs w:val="16"/>
        </w:rPr>
        <w:footnoteRef/>
      </w:r>
      <w:r w:rsidRPr="0058770C">
        <w:rPr>
          <w:rFonts w:ascii="Verdana" w:hAnsi="Verdana"/>
          <w:sz w:val="16"/>
          <w:szCs w:val="16"/>
          <w:lang w:val="es-MX"/>
        </w:rPr>
        <w:t xml:space="preserve"> </w:t>
      </w:r>
      <w:r w:rsidR="00765517">
        <w:rPr>
          <w:rFonts w:ascii="Verdana" w:hAnsi="Verdana"/>
          <w:sz w:val="16"/>
          <w:szCs w:val="16"/>
          <w:lang w:val="es-MX"/>
        </w:rPr>
        <w:tab/>
      </w:r>
      <w:r w:rsidRPr="0058770C">
        <w:rPr>
          <w:rFonts w:ascii="Verdana" w:hAnsi="Verdana"/>
          <w:sz w:val="16"/>
          <w:szCs w:val="16"/>
          <w:lang w:val="es-MX"/>
        </w:rPr>
        <w:t>CIDH, Anexo al Comunicado de Prensa 120/15 Informe sobre el 156 Período de Sesiones de la CIDH, 24 de diciembre de 2015. Disponible en: http://www.oas.org/es/cidh/prensa/comunicados/2015/120A.asp</w:t>
      </w:r>
    </w:p>
  </w:footnote>
  <w:footnote w:id="6">
    <w:p w:rsidR="00165816" w:rsidRPr="0058770C" w:rsidRDefault="00165816" w:rsidP="00ED3940">
      <w:pPr>
        <w:pStyle w:val="FootnoteText"/>
        <w:jc w:val="both"/>
        <w:rPr>
          <w:rFonts w:ascii="Verdana" w:hAnsi="Verdana"/>
          <w:sz w:val="16"/>
          <w:szCs w:val="16"/>
          <w:lang w:val="es-MX"/>
        </w:rPr>
      </w:pPr>
      <w:r w:rsidRPr="0058770C">
        <w:rPr>
          <w:rStyle w:val="FootnoteReference"/>
          <w:rFonts w:ascii="Verdana" w:hAnsi="Verdana"/>
          <w:sz w:val="16"/>
          <w:szCs w:val="16"/>
        </w:rPr>
        <w:footnoteRef/>
      </w:r>
      <w:r w:rsidRPr="0058770C">
        <w:rPr>
          <w:rFonts w:ascii="Verdana" w:hAnsi="Verdana"/>
          <w:sz w:val="16"/>
          <w:szCs w:val="16"/>
          <w:lang w:val="es-MX"/>
        </w:rPr>
        <w:t xml:space="preserve"> </w:t>
      </w:r>
      <w:r w:rsidR="00765517">
        <w:rPr>
          <w:rFonts w:ascii="Verdana" w:hAnsi="Verdana"/>
          <w:sz w:val="16"/>
          <w:szCs w:val="16"/>
          <w:lang w:val="es-MX"/>
        </w:rPr>
        <w:tab/>
      </w:r>
      <w:r w:rsidRPr="0058770C">
        <w:rPr>
          <w:rFonts w:ascii="Verdana" w:hAnsi="Verdana"/>
          <w:sz w:val="16"/>
          <w:szCs w:val="16"/>
          <w:lang w:val="es-MX"/>
        </w:rPr>
        <w:t>OACNUDH, Nicaragua: Experta de la ONU exhorta a la calma ante la creciente situación de violencia en la Región Autónoma del Atlántico Norte, 1 de diciembre de 2015. Disponible en: http://www.ohchr.org/sp/NewsEvents/Pages/DisplayNews.aspx?NewsID=16828&amp;LangID=S</w:t>
      </w:r>
    </w:p>
  </w:footnote>
  <w:footnote w:id="7">
    <w:p w:rsidR="00165816" w:rsidRPr="0058770C" w:rsidRDefault="00165816">
      <w:pPr>
        <w:pStyle w:val="FootnoteText"/>
        <w:jc w:val="both"/>
        <w:rPr>
          <w:rFonts w:ascii="Verdana" w:hAnsi="Verdana"/>
          <w:sz w:val="16"/>
          <w:szCs w:val="16"/>
          <w:lang w:val="es-CR"/>
        </w:rPr>
      </w:pPr>
      <w:r w:rsidRPr="0058770C">
        <w:rPr>
          <w:rStyle w:val="FootnoteReference"/>
          <w:rFonts w:ascii="Verdana" w:hAnsi="Verdana" w:cs="Arial"/>
          <w:sz w:val="16"/>
          <w:szCs w:val="16"/>
        </w:rPr>
        <w:footnoteRef/>
      </w:r>
      <w:r w:rsidRPr="0058770C">
        <w:rPr>
          <w:rFonts w:ascii="Verdana" w:hAnsi="Verdana"/>
          <w:sz w:val="16"/>
          <w:szCs w:val="16"/>
          <w:lang w:val="es-CR"/>
        </w:rPr>
        <w:tab/>
      </w:r>
      <w:r w:rsidRPr="0058770C">
        <w:rPr>
          <w:rFonts w:ascii="Verdana" w:hAnsi="Verdana"/>
          <w:i/>
          <w:sz w:val="16"/>
          <w:szCs w:val="16"/>
          <w:lang w:val="es-CR"/>
        </w:rPr>
        <w:t xml:space="preserve">Cfr. </w:t>
      </w:r>
      <w:r w:rsidRPr="0058770C">
        <w:rPr>
          <w:rFonts w:ascii="Verdana" w:hAnsi="Verdana"/>
          <w:i/>
          <w:sz w:val="16"/>
          <w:szCs w:val="16"/>
          <w:lang w:val="es-CR" w:bidi="en-US"/>
        </w:rPr>
        <w:t xml:space="preserve">Caso Carpio </w:t>
      </w:r>
      <w:proofErr w:type="spellStart"/>
      <w:r w:rsidRPr="0058770C">
        <w:rPr>
          <w:rFonts w:ascii="Verdana" w:hAnsi="Verdana"/>
          <w:i/>
          <w:sz w:val="16"/>
          <w:szCs w:val="16"/>
          <w:lang w:val="es-CR" w:bidi="en-US"/>
        </w:rPr>
        <w:t>Nicolle</w:t>
      </w:r>
      <w:proofErr w:type="spellEnd"/>
      <w:r w:rsidRPr="0058770C">
        <w:rPr>
          <w:rFonts w:ascii="Verdana" w:hAnsi="Verdana"/>
          <w:i/>
          <w:sz w:val="16"/>
          <w:szCs w:val="16"/>
          <w:lang w:val="es-CR" w:bidi="en-US"/>
        </w:rPr>
        <w:t xml:space="preserve">. </w:t>
      </w:r>
      <w:r w:rsidRPr="0058770C">
        <w:rPr>
          <w:rFonts w:ascii="Verdana" w:hAnsi="Verdana"/>
          <w:sz w:val="16"/>
          <w:szCs w:val="16"/>
          <w:lang w:val="es-CR" w:bidi="en-US"/>
        </w:rPr>
        <w:t xml:space="preserve">Medidas Provisionales respecto de Guatemala. Resolución de la Corte de 6 de julio de 2009, Considerando </w:t>
      </w:r>
      <w:r w:rsidRPr="0058770C">
        <w:rPr>
          <w:rFonts w:ascii="Verdana" w:hAnsi="Verdana"/>
          <w:sz w:val="16"/>
          <w:szCs w:val="16"/>
          <w:lang w:val="es-GT"/>
        </w:rPr>
        <w:t>décimo cuarto</w:t>
      </w:r>
      <w:r w:rsidR="00152597">
        <w:rPr>
          <w:rFonts w:ascii="Verdana" w:hAnsi="Verdana"/>
          <w:sz w:val="16"/>
          <w:szCs w:val="16"/>
          <w:lang w:val="es-GT"/>
        </w:rPr>
        <w:t>;</w:t>
      </w:r>
      <w:r w:rsidRPr="0058770C">
        <w:rPr>
          <w:rFonts w:ascii="Verdana" w:hAnsi="Verdana"/>
          <w:sz w:val="16"/>
          <w:szCs w:val="16"/>
          <w:lang w:val="es-GT"/>
        </w:rPr>
        <w:t xml:space="preserve"> y </w:t>
      </w:r>
      <w:r w:rsidRPr="0058770C">
        <w:rPr>
          <w:rFonts w:ascii="Verdana" w:hAnsi="Verdana" w:cs="Arial"/>
          <w:i/>
          <w:color w:val="262626"/>
          <w:sz w:val="16"/>
          <w:szCs w:val="16"/>
          <w:shd w:val="clear" w:color="auto" w:fill="FFFFFF"/>
          <w:lang w:val="es-GT"/>
        </w:rPr>
        <w:t>Caso Ávila Moreno y otros (Caso Operación Génesis)</w:t>
      </w:r>
      <w:r w:rsidRPr="0058770C">
        <w:rPr>
          <w:rFonts w:ascii="Verdana" w:hAnsi="Verdana" w:cs="Arial"/>
          <w:color w:val="262626"/>
          <w:sz w:val="16"/>
          <w:szCs w:val="16"/>
          <w:shd w:val="clear" w:color="auto" w:fill="FFFFFF"/>
          <w:lang w:val="es-GT"/>
        </w:rPr>
        <w:t>. Solicitud de Medidas Provisionales respecto de Colombia. Resolución de la Corte Interamericana de Derechos Humanos del 30 de mayo de 2013, Considerando sexto.</w:t>
      </w:r>
    </w:p>
  </w:footnote>
  <w:footnote w:id="8">
    <w:p w:rsidR="00165816" w:rsidRPr="0058770C" w:rsidRDefault="00165816">
      <w:pPr>
        <w:pStyle w:val="FootnoteText"/>
        <w:jc w:val="both"/>
        <w:rPr>
          <w:rFonts w:ascii="Verdana" w:hAnsi="Verdana"/>
          <w:sz w:val="16"/>
          <w:szCs w:val="16"/>
          <w:lang w:val="es-CR"/>
        </w:rPr>
      </w:pPr>
      <w:r w:rsidRPr="0058770C">
        <w:rPr>
          <w:rStyle w:val="FootnoteReference"/>
          <w:rFonts w:ascii="Verdana" w:hAnsi="Verdana" w:cs="Arial"/>
          <w:sz w:val="16"/>
          <w:szCs w:val="16"/>
        </w:rPr>
        <w:footnoteRef/>
      </w:r>
      <w:r w:rsidRPr="0058770C">
        <w:rPr>
          <w:rFonts w:ascii="Verdana" w:hAnsi="Verdana"/>
          <w:sz w:val="16"/>
          <w:szCs w:val="16"/>
          <w:lang w:val="es-GT"/>
        </w:rPr>
        <w:t xml:space="preserve"> </w:t>
      </w:r>
      <w:r w:rsidRPr="0058770C">
        <w:rPr>
          <w:rFonts w:ascii="Verdana" w:hAnsi="Verdana"/>
          <w:sz w:val="16"/>
          <w:szCs w:val="16"/>
          <w:lang w:val="es-GT"/>
        </w:rPr>
        <w:tab/>
      </w:r>
      <w:r w:rsidRPr="0058770C">
        <w:rPr>
          <w:rFonts w:ascii="Verdana" w:hAnsi="Verdana"/>
          <w:i/>
          <w:sz w:val="16"/>
          <w:szCs w:val="16"/>
          <w:lang w:val="es-ES"/>
        </w:rPr>
        <w:t>Cfr.</w:t>
      </w:r>
      <w:r w:rsidRPr="0058770C">
        <w:rPr>
          <w:rFonts w:ascii="Verdana" w:hAnsi="Verdana"/>
          <w:sz w:val="16"/>
          <w:szCs w:val="16"/>
          <w:lang w:val="es-ES"/>
        </w:rPr>
        <w:t xml:space="preserve"> </w:t>
      </w:r>
      <w:r w:rsidRPr="0058770C">
        <w:rPr>
          <w:rFonts w:ascii="Verdana" w:hAnsi="Verdana"/>
          <w:i/>
          <w:sz w:val="16"/>
          <w:szCs w:val="16"/>
          <w:lang w:val="es-ES"/>
        </w:rPr>
        <w:t xml:space="preserve">Asunto James y otros. </w:t>
      </w:r>
      <w:r w:rsidRPr="0058770C">
        <w:rPr>
          <w:rFonts w:ascii="Verdana" w:hAnsi="Verdana"/>
          <w:sz w:val="16"/>
          <w:szCs w:val="16"/>
          <w:lang w:val="es-ES"/>
        </w:rPr>
        <w:t>Medidas Provisionales respecto de Trinidad y Tobago</w:t>
      </w:r>
      <w:r w:rsidRPr="0058770C">
        <w:rPr>
          <w:rFonts w:ascii="Verdana" w:hAnsi="Verdana"/>
          <w:i/>
          <w:sz w:val="16"/>
          <w:szCs w:val="16"/>
          <w:lang w:val="es-ES"/>
        </w:rPr>
        <w:t xml:space="preserve">. </w:t>
      </w:r>
      <w:r w:rsidRPr="0058770C">
        <w:rPr>
          <w:rFonts w:ascii="Verdana" w:hAnsi="Verdana"/>
          <w:bCs/>
          <w:color w:val="000000"/>
          <w:sz w:val="16"/>
          <w:szCs w:val="16"/>
          <w:lang w:val="es-ES"/>
        </w:rPr>
        <w:t>Resolución de la Corte Interamericana de Derechos Humanos</w:t>
      </w:r>
      <w:r w:rsidRPr="0058770C">
        <w:rPr>
          <w:rFonts w:ascii="Verdana" w:hAnsi="Verdana"/>
          <w:sz w:val="16"/>
          <w:szCs w:val="16"/>
          <w:lang w:val="es-ES"/>
        </w:rPr>
        <w:t xml:space="preserve"> de 29 de agosto de 1998, Considerando sexto</w:t>
      </w:r>
      <w:r w:rsidR="00152597">
        <w:rPr>
          <w:rFonts w:ascii="Verdana" w:hAnsi="Verdana"/>
          <w:sz w:val="16"/>
          <w:szCs w:val="16"/>
          <w:lang w:val="es-ES"/>
        </w:rPr>
        <w:t>;</w:t>
      </w:r>
      <w:r w:rsidRPr="0058770C">
        <w:rPr>
          <w:rFonts w:ascii="Verdana" w:hAnsi="Verdana"/>
          <w:sz w:val="16"/>
          <w:szCs w:val="16"/>
          <w:lang w:val="es-ES"/>
        </w:rPr>
        <w:t xml:space="preserve"> y </w:t>
      </w:r>
      <w:r w:rsidRPr="0058770C">
        <w:rPr>
          <w:rFonts w:ascii="Verdana" w:hAnsi="Verdana" w:cs="Arial"/>
          <w:i/>
          <w:color w:val="262626"/>
          <w:sz w:val="16"/>
          <w:szCs w:val="16"/>
          <w:shd w:val="clear" w:color="auto" w:fill="FFFFFF"/>
          <w:lang w:val="es-GT"/>
        </w:rPr>
        <w:t xml:space="preserve">Caso Ávila Moreno y otros (Caso Operación Génesis), supra, </w:t>
      </w:r>
      <w:r w:rsidRPr="0058770C">
        <w:rPr>
          <w:rFonts w:ascii="Verdana" w:hAnsi="Verdana" w:cs="Arial"/>
          <w:color w:val="262626"/>
          <w:sz w:val="16"/>
          <w:szCs w:val="16"/>
          <w:shd w:val="clear" w:color="auto" w:fill="FFFFFF"/>
          <w:lang w:val="es-GT"/>
        </w:rPr>
        <w:t>Considerando sexto.</w:t>
      </w:r>
    </w:p>
  </w:footnote>
  <w:footnote w:id="9">
    <w:p w:rsidR="00165816" w:rsidRPr="0058770C" w:rsidRDefault="00165816">
      <w:pPr>
        <w:pStyle w:val="FootnoteText"/>
        <w:jc w:val="both"/>
        <w:rPr>
          <w:rFonts w:ascii="Verdana" w:hAnsi="Verdana"/>
          <w:sz w:val="16"/>
          <w:szCs w:val="16"/>
          <w:lang w:val="es-GT"/>
        </w:rPr>
      </w:pPr>
      <w:r w:rsidRPr="0058770C">
        <w:rPr>
          <w:rStyle w:val="FootnoteReference"/>
          <w:rFonts w:ascii="Verdana" w:hAnsi="Verdana" w:cs="Arial"/>
          <w:sz w:val="16"/>
          <w:szCs w:val="16"/>
        </w:rPr>
        <w:footnoteRef/>
      </w:r>
      <w:r w:rsidRPr="0058770C">
        <w:rPr>
          <w:rFonts w:ascii="Verdana" w:hAnsi="Verdana"/>
          <w:sz w:val="16"/>
          <w:szCs w:val="16"/>
          <w:lang w:val="es-GT"/>
        </w:rPr>
        <w:t xml:space="preserve"> </w:t>
      </w:r>
      <w:r w:rsidRPr="0058770C">
        <w:rPr>
          <w:rFonts w:ascii="Verdana" w:hAnsi="Verdana"/>
          <w:sz w:val="16"/>
          <w:szCs w:val="16"/>
          <w:lang w:val="es-GT"/>
        </w:rPr>
        <w:tab/>
      </w:r>
      <w:r w:rsidRPr="0058770C">
        <w:rPr>
          <w:rFonts w:ascii="Verdana" w:hAnsi="Verdana"/>
          <w:i/>
          <w:sz w:val="16"/>
          <w:szCs w:val="16"/>
          <w:lang w:val="es-GT"/>
        </w:rPr>
        <w:t>Cfr.</w:t>
      </w:r>
      <w:r w:rsidRPr="0058770C">
        <w:rPr>
          <w:rFonts w:ascii="Verdana" w:hAnsi="Verdana"/>
          <w:sz w:val="16"/>
          <w:szCs w:val="16"/>
          <w:lang w:val="es-GT"/>
        </w:rPr>
        <w:t xml:space="preserve"> </w:t>
      </w:r>
      <w:r w:rsidRPr="0058770C">
        <w:rPr>
          <w:rFonts w:ascii="Verdana" w:hAnsi="Verdana"/>
          <w:i/>
          <w:sz w:val="16"/>
          <w:szCs w:val="16"/>
          <w:lang w:val="es-GT"/>
        </w:rPr>
        <w:t xml:space="preserve">Caso Carpio </w:t>
      </w:r>
      <w:proofErr w:type="spellStart"/>
      <w:r w:rsidRPr="0058770C">
        <w:rPr>
          <w:rFonts w:ascii="Verdana" w:hAnsi="Verdana"/>
          <w:i/>
          <w:sz w:val="16"/>
          <w:szCs w:val="16"/>
          <w:lang w:val="es-GT"/>
        </w:rPr>
        <w:t>Nicolle</w:t>
      </w:r>
      <w:proofErr w:type="spellEnd"/>
      <w:r w:rsidRPr="0058770C">
        <w:rPr>
          <w:rFonts w:ascii="Verdana" w:hAnsi="Verdana"/>
          <w:sz w:val="16"/>
          <w:szCs w:val="16"/>
          <w:lang w:val="es-GT"/>
        </w:rPr>
        <w:t xml:space="preserve">, </w:t>
      </w:r>
      <w:r w:rsidRPr="0058770C">
        <w:rPr>
          <w:rFonts w:ascii="Verdana" w:hAnsi="Verdana"/>
          <w:i/>
          <w:sz w:val="16"/>
          <w:szCs w:val="16"/>
          <w:lang w:val="es-GT"/>
        </w:rPr>
        <w:t xml:space="preserve">supra, </w:t>
      </w:r>
      <w:r w:rsidRPr="0058770C">
        <w:rPr>
          <w:rFonts w:ascii="Verdana" w:hAnsi="Verdana"/>
          <w:sz w:val="16"/>
          <w:szCs w:val="16"/>
          <w:lang w:val="es-GT"/>
        </w:rPr>
        <w:t>Considerando vigésimo sexto</w:t>
      </w:r>
      <w:r w:rsidR="00F43971">
        <w:rPr>
          <w:rFonts w:ascii="Verdana" w:hAnsi="Verdana"/>
          <w:sz w:val="16"/>
          <w:szCs w:val="16"/>
          <w:lang w:val="es-GT"/>
        </w:rPr>
        <w:t>;</w:t>
      </w:r>
      <w:r w:rsidRPr="0058770C">
        <w:rPr>
          <w:rFonts w:ascii="Verdana" w:hAnsi="Verdana"/>
          <w:sz w:val="16"/>
          <w:szCs w:val="16"/>
          <w:lang w:val="es-ES"/>
        </w:rPr>
        <w:t xml:space="preserve"> </w:t>
      </w:r>
      <w:r w:rsidRPr="0058770C">
        <w:rPr>
          <w:rFonts w:ascii="Verdana" w:hAnsi="Verdana" w:cs="Arial"/>
          <w:i/>
          <w:color w:val="262626"/>
          <w:sz w:val="16"/>
          <w:szCs w:val="16"/>
          <w:shd w:val="clear" w:color="auto" w:fill="FFFFFF"/>
          <w:lang w:val="es-GT"/>
        </w:rPr>
        <w:t xml:space="preserve">Caso Ávila Moreno y otros (Caso Operación Génesis), supra, </w:t>
      </w:r>
      <w:r>
        <w:rPr>
          <w:rFonts w:ascii="Verdana" w:hAnsi="Verdana" w:cs="Arial"/>
          <w:color w:val="262626"/>
          <w:sz w:val="16"/>
          <w:szCs w:val="16"/>
          <w:shd w:val="clear" w:color="auto" w:fill="FFFFFF"/>
          <w:lang w:val="es-GT"/>
        </w:rPr>
        <w:t>Considerando noveno</w:t>
      </w:r>
      <w:r w:rsidR="00152597">
        <w:rPr>
          <w:rFonts w:ascii="Verdana" w:hAnsi="Verdana" w:cs="Arial"/>
          <w:color w:val="262626"/>
          <w:sz w:val="16"/>
          <w:szCs w:val="16"/>
          <w:shd w:val="clear" w:color="auto" w:fill="FFFFFF"/>
          <w:lang w:val="es-GT"/>
        </w:rPr>
        <w:t>;</w:t>
      </w:r>
      <w:r w:rsidR="00F43971">
        <w:rPr>
          <w:rFonts w:ascii="Verdana" w:hAnsi="Verdana" w:cs="Arial"/>
          <w:color w:val="262626"/>
          <w:sz w:val="16"/>
          <w:szCs w:val="16"/>
          <w:shd w:val="clear" w:color="auto" w:fill="FFFFFF"/>
          <w:lang w:val="es-GT"/>
        </w:rPr>
        <w:t xml:space="preserve"> y</w:t>
      </w:r>
      <w:r w:rsidRPr="00A51E73">
        <w:rPr>
          <w:rStyle w:val="Strong"/>
          <w:rFonts w:ascii="Verdana" w:hAnsi="Verdana"/>
          <w:b w:val="0"/>
          <w:color w:val="000000"/>
          <w:sz w:val="16"/>
          <w:szCs w:val="16"/>
          <w:shd w:val="clear" w:color="auto" w:fill="FFFFFF"/>
          <w:lang w:val="es-GT"/>
        </w:rPr>
        <w:t xml:space="preserve"> </w:t>
      </w:r>
      <w:r w:rsidRPr="0058770C">
        <w:rPr>
          <w:rStyle w:val="Strong"/>
          <w:rFonts w:ascii="Verdana" w:hAnsi="Verdana"/>
          <w:b w:val="0"/>
          <w:color w:val="000000"/>
          <w:sz w:val="16"/>
          <w:szCs w:val="16"/>
          <w:shd w:val="clear" w:color="auto" w:fill="FFFFFF"/>
          <w:lang w:val="es-GT"/>
        </w:rPr>
        <w:t xml:space="preserve">Caso del </w:t>
      </w:r>
      <w:r w:rsidRPr="00D61BFB">
        <w:rPr>
          <w:rStyle w:val="Strong"/>
          <w:rFonts w:ascii="Verdana" w:hAnsi="Verdana"/>
          <w:b w:val="0"/>
          <w:i/>
          <w:color w:val="000000"/>
          <w:sz w:val="16"/>
          <w:szCs w:val="16"/>
          <w:shd w:val="clear" w:color="auto" w:fill="FFFFFF"/>
          <w:lang w:val="es-GT"/>
        </w:rPr>
        <w:t xml:space="preserve">Pueblo de </w:t>
      </w:r>
      <w:proofErr w:type="spellStart"/>
      <w:r w:rsidRPr="00D61BFB">
        <w:rPr>
          <w:rStyle w:val="Strong"/>
          <w:rFonts w:ascii="Verdana" w:hAnsi="Verdana"/>
          <w:b w:val="0"/>
          <w:i/>
          <w:color w:val="000000"/>
          <w:sz w:val="16"/>
          <w:szCs w:val="16"/>
          <w:shd w:val="clear" w:color="auto" w:fill="FFFFFF"/>
          <w:lang w:val="es-GT"/>
        </w:rPr>
        <w:t>Saramaka</w:t>
      </w:r>
      <w:proofErr w:type="spellEnd"/>
      <w:r w:rsidRPr="00D61BFB">
        <w:rPr>
          <w:rStyle w:val="Strong"/>
          <w:rFonts w:ascii="Verdana" w:hAnsi="Verdana"/>
          <w:b w:val="0"/>
          <w:i/>
          <w:color w:val="000000"/>
          <w:sz w:val="16"/>
          <w:szCs w:val="16"/>
          <w:shd w:val="clear" w:color="auto" w:fill="FFFFFF"/>
          <w:lang w:val="es-GT"/>
        </w:rPr>
        <w:t xml:space="preserve"> Vs. Surinam. </w:t>
      </w:r>
      <w:r w:rsidRPr="0058770C">
        <w:rPr>
          <w:rStyle w:val="Strong"/>
          <w:rFonts w:ascii="Verdana" w:hAnsi="Verdana"/>
          <w:b w:val="0"/>
          <w:color w:val="000000"/>
          <w:sz w:val="16"/>
          <w:szCs w:val="16"/>
          <w:shd w:val="clear" w:color="auto" w:fill="FFFFFF"/>
          <w:lang w:val="es-GT"/>
        </w:rPr>
        <w:t>Solicitud de medidas provisionales. Resolución de la Corte Interamericana de Derechos Humanos de 4 de septiembre de 2013</w:t>
      </w:r>
      <w:r w:rsidR="000540EF">
        <w:rPr>
          <w:rStyle w:val="Strong"/>
          <w:rFonts w:ascii="Verdana" w:hAnsi="Verdana"/>
          <w:b w:val="0"/>
          <w:color w:val="000000"/>
          <w:sz w:val="16"/>
          <w:szCs w:val="16"/>
          <w:shd w:val="clear" w:color="auto" w:fill="FFFFFF"/>
          <w:lang w:val="es-GT"/>
        </w:rPr>
        <w:t>,</w:t>
      </w:r>
      <w:r w:rsidRPr="0058770C">
        <w:rPr>
          <w:rStyle w:val="Strong"/>
          <w:rFonts w:ascii="Verdana" w:hAnsi="Verdana"/>
          <w:b w:val="0"/>
          <w:color w:val="000000"/>
          <w:sz w:val="16"/>
          <w:szCs w:val="16"/>
          <w:shd w:val="clear" w:color="auto" w:fill="FFFFFF"/>
          <w:lang w:val="es-GT"/>
        </w:rPr>
        <w:t xml:space="preserve"> </w:t>
      </w:r>
      <w:r w:rsidR="000540EF">
        <w:rPr>
          <w:rStyle w:val="Strong"/>
          <w:rFonts w:ascii="Verdana" w:hAnsi="Verdana"/>
          <w:b w:val="0"/>
          <w:color w:val="000000"/>
          <w:sz w:val="16"/>
          <w:szCs w:val="16"/>
          <w:shd w:val="clear" w:color="auto" w:fill="FFFFFF"/>
          <w:lang w:val="es-GT"/>
        </w:rPr>
        <w:t>Considerando octavo</w:t>
      </w:r>
      <w:r w:rsidRPr="0058770C">
        <w:rPr>
          <w:rStyle w:val="Strong"/>
          <w:rFonts w:ascii="Verdana" w:hAnsi="Verdana"/>
          <w:b w:val="0"/>
          <w:color w:val="000000"/>
          <w:sz w:val="16"/>
          <w:szCs w:val="16"/>
          <w:shd w:val="clear" w:color="auto" w:fill="FFFFFF"/>
          <w:lang w:val="es-GT"/>
        </w:rPr>
        <w:t>.</w:t>
      </w:r>
    </w:p>
  </w:footnote>
  <w:footnote w:id="10">
    <w:p w:rsidR="00165816" w:rsidRPr="0058770C" w:rsidRDefault="00165816" w:rsidP="00ED3940">
      <w:pPr>
        <w:pStyle w:val="FootnoteText"/>
        <w:jc w:val="both"/>
        <w:rPr>
          <w:rFonts w:ascii="Verdana" w:hAnsi="Verdana"/>
          <w:sz w:val="16"/>
          <w:szCs w:val="16"/>
          <w:lang w:val="es-GT"/>
        </w:rPr>
      </w:pPr>
      <w:r w:rsidRPr="0058770C">
        <w:rPr>
          <w:rStyle w:val="FootnoteReference"/>
          <w:rFonts w:ascii="Verdana" w:hAnsi="Verdana"/>
          <w:sz w:val="16"/>
          <w:szCs w:val="16"/>
        </w:rPr>
        <w:footnoteRef/>
      </w:r>
      <w:r w:rsidRPr="0058770C">
        <w:rPr>
          <w:rFonts w:ascii="Verdana" w:hAnsi="Verdana"/>
          <w:sz w:val="16"/>
          <w:szCs w:val="16"/>
          <w:lang w:val="es-GT"/>
        </w:rPr>
        <w:t xml:space="preserve"> </w:t>
      </w:r>
      <w:r w:rsidRPr="0058770C">
        <w:rPr>
          <w:rFonts w:ascii="Verdana" w:hAnsi="Verdana"/>
          <w:sz w:val="16"/>
          <w:szCs w:val="16"/>
          <w:lang w:val="es-GT"/>
        </w:rPr>
        <w:tab/>
      </w:r>
      <w:r w:rsidRPr="0058770C">
        <w:rPr>
          <w:rFonts w:ascii="Verdana" w:hAnsi="Verdana"/>
          <w:i/>
          <w:sz w:val="16"/>
          <w:szCs w:val="16"/>
          <w:lang w:val="es-GT"/>
        </w:rPr>
        <w:t>Cfr.</w:t>
      </w:r>
      <w:r w:rsidRPr="0058770C">
        <w:rPr>
          <w:rFonts w:ascii="Verdana" w:hAnsi="Verdana"/>
          <w:sz w:val="16"/>
          <w:szCs w:val="16"/>
          <w:lang w:val="es-GT"/>
        </w:rPr>
        <w:t xml:space="preserve"> </w:t>
      </w:r>
      <w:r w:rsidRPr="0058770C">
        <w:rPr>
          <w:rFonts w:ascii="Verdana" w:hAnsi="Verdana"/>
          <w:i/>
          <w:sz w:val="16"/>
          <w:szCs w:val="16"/>
          <w:lang w:val="es-GT"/>
        </w:rPr>
        <w:t xml:space="preserve">Asunto Carpio </w:t>
      </w:r>
      <w:proofErr w:type="spellStart"/>
      <w:r w:rsidRPr="0058770C">
        <w:rPr>
          <w:rFonts w:ascii="Verdana" w:hAnsi="Verdana"/>
          <w:i/>
          <w:sz w:val="16"/>
          <w:szCs w:val="16"/>
          <w:lang w:val="es-GT"/>
        </w:rPr>
        <w:t>Nicolle</w:t>
      </w:r>
      <w:proofErr w:type="spellEnd"/>
      <w:r w:rsidRPr="0058770C">
        <w:rPr>
          <w:rFonts w:ascii="Verdana" w:hAnsi="Verdana"/>
          <w:i/>
          <w:sz w:val="16"/>
          <w:szCs w:val="16"/>
          <w:lang w:val="es-GT"/>
        </w:rPr>
        <w:t>, supra</w:t>
      </w:r>
      <w:r w:rsidRPr="0058770C">
        <w:rPr>
          <w:rFonts w:ascii="Verdana" w:hAnsi="Verdana"/>
          <w:sz w:val="16"/>
          <w:szCs w:val="16"/>
          <w:lang w:val="es-GT"/>
        </w:rPr>
        <w:t>, Considerando vigesimoséptimo</w:t>
      </w:r>
      <w:r w:rsidR="00152597">
        <w:rPr>
          <w:rFonts w:ascii="Verdana" w:hAnsi="Verdana"/>
          <w:sz w:val="16"/>
          <w:szCs w:val="16"/>
          <w:lang w:val="es-GT"/>
        </w:rPr>
        <w:t>;</w:t>
      </w:r>
      <w:r w:rsidRPr="0058770C">
        <w:rPr>
          <w:rFonts w:ascii="Verdana" w:hAnsi="Verdana"/>
          <w:sz w:val="16"/>
          <w:szCs w:val="16"/>
          <w:lang w:val="es-GT"/>
        </w:rPr>
        <w:t xml:space="preserve"> y </w:t>
      </w:r>
      <w:r w:rsidR="00DD592C" w:rsidRPr="00ED3940">
        <w:rPr>
          <w:rFonts w:ascii="Verdana" w:hAnsi="Verdana"/>
          <w:bCs/>
          <w:i/>
          <w:sz w:val="16"/>
          <w:szCs w:val="16"/>
          <w:lang w:val="es-CR"/>
        </w:rPr>
        <w:t>Asunto Castro Rodríguez</w:t>
      </w:r>
      <w:r w:rsidR="00DD592C">
        <w:rPr>
          <w:rFonts w:ascii="Verdana" w:hAnsi="Verdana"/>
          <w:bCs/>
          <w:sz w:val="16"/>
          <w:szCs w:val="16"/>
          <w:lang w:val="es-CR"/>
        </w:rPr>
        <w:t>.</w:t>
      </w:r>
      <w:r w:rsidR="00DD592C" w:rsidRPr="00ED3940">
        <w:rPr>
          <w:rFonts w:ascii="Verdana" w:hAnsi="Verdana"/>
          <w:bCs/>
          <w:sz w:val="16"/>
          <w:szCs w:val="16"/>
          <w:lang w:val="es-CR"/>
        </w:rPr>
        <w:t xml:space="preserve"> Medidas Provisionales</w:t>
      </w:r>
      <w:r w:rsidR="00DD592C">
        <w:rPr>
          <w:rFonts w:ascii="Verdana" w:hAnsi="Verdana"/>
          <w:bCs/>
          <w:sz w:val="16"/>
          <w:szCs w:val="16"/>
          <w:lang w:val="es-CR"/>
        </w:rPr>
        <w:t xml:space="preserve"> </w:t>
      </w:r>
      <w:r w:rsidR="00DD592C" w:rsidRPr="00C27333">
        <w:rPr>
          <w:rFonts w:ascii="Verdana" w:hAnsi="Verdana"/>
          <w:bCs/>
          <w:sz w:val="16"/>
          <w:szCs w:val="16"/>
          <w:lang w:val="es-CR"/>
        </w:rPr>
        <w:t>respecto de México.</w:t>
      </w:r>
      <w:r w:rsidR="00DD592C" w:rsidRPr="00ED3940">
        <w:rPr>
          <w:rFonts w:ascii="Verdana" w:hAnsi="Verdana"/>
          <w:bCs/>
          <w:sz w:val="16"/>
          <w:szCs w:val="16"/>
          <w:lang w:val="es-CR"/>
        </w:rPr>
        <w:t xml:space="preserve"> Resolución de la Corte Interamericana de Derechos Humanos de 13 de febrero de 2013</w:t>
      </w:r>
      <w:r w:rsidRPr="0058770C">
        <w:rPr>
          <w:rFonts w:ascii="Verdana" w:hAnsi="Verdana"/>
          <w:sz w:val="16"/>
          <w:szCs w:val="16"/>
          <w:lang w:val="es-GT"/>
        </w:rPr>
        <w:t xml:space="preserve">, </w:t>
      </w:r>
      <w:r w:rsidR="00F43971">
        <w:rPr>
          <w:rFonts w:ascii="Verdana" w:hAnsi="Verdana"/>
          <w:sz w:val="16"/>
          <w:szCs w:val="16"/>
          <w:lang w:val="es-GT"/>
        </w:rPr>
        <w:t>C</w:t>
      </w:r>
      <w:r w:rsidRPr="0058770C">
        <w:rPr>
          <w:rFonts w:ascii="Verdana" w:hAnsi="Verdana"/>
          <w:sz w:val="16"/>
          <w:szCs w:val="16"/>
          <w:lang w:val="es-GT"/>
        </w:rPr>
        <w:t xml:space="preserve">onsiderando décimo primero. </w:t>
      </w:r>
    </w:p>
  </w:footnote>
  <w:footnote w:id="11">
    <w:p w:rsidR="00165816" w:rsidRPr="00C454FD" w:rsidRDefault="00165816">
      <w:pPr>
        <w:pStyle w:val="FootnoteText"/>
        <w:jc w:val="both"/>
        <w:rPr>
          <w:rFonts w:ascii="Verdana" w:hAnsi="Verdana"/>
          <w:sz w:val="16"/>
          <w:lang w:val="es-ES"/>
        </w:rPr>
      </w:pPr>
      <w:r>
        <w:rPr>
          <w:rStyle w:val="FootnoteReference"/>
          <w:rFonts w:ascii="Verdana" w:hAnsi="Verdana"/>
          <w:sz w:val="16"/>
        </w:rPr>
        <w:footnoteRef/>
      </w:r>
      <w:r w:rsidRPr="00C454FD">
        <w:rPr>
          <w:rFonts w:ascii="Verdana" w:hAnsi="Verdana"/>
          <w:sz w:val="16"/>
          <w:lang w:val="es-ES"/>
        </w:rPr>
        <w:t xml:space="preserve"> </w:t>
      </w:r>
      <w:r w:rsidRPr="00C454FD">
        <w:rPr>
          <w:rFonts w:ascii="Verdana" w:hAnsi="Verdana"/>
          <w:sz w:val="16"/>
          <w:lang w:val="es-ES"/>
        </w:rPr>
        <w:tab/>
      </w:r>
      <w:r>
        <w:rPr>
          <w:rFonts w:ascii="Verdana" w:hAnsi="Verdana"/>
          <w:i/>
          <w:sz w:val="16"/>
          <w:lang w:val="es-ES"/>
        </w:rPr>
        <w:t>Cfr.</w:t>
      </w:r>
      <w:r>
        <w:rPr>
          <w:rFonts w:ascii="Verdana" w:hAnsi="Verdana"/>
          <w:sz w:val="16"/>
          <w:lang w:val="es-ES"/>
        </w:rPr>
        <w:t xml:space="preserve"> </w:t>
      </w:r>
      <w:r>
        <w:rPr>
          <w:rFonts w:ascii="Verdana" w:hAnsi="Verdana"/>
          <w:i/>
          <w:sz w:val="16"/>
          <w:lang w:val="es-ES"/>
        </w:rPr>
        <w:t xml:space="preserve">Caso de las Comunidades del </w:t>
      </w:r>
      <w:proofErr w:type="spellStart"/>
      <w:r>
        <w:rPr>
          <w:rFonts w:ascii="Verdana" w:hAnsi="Verdana"/>
          <w:i/>
          <w:sz w:val="16"/>
          <w:lang w:val="es-ES"/>
        </w:rPr>
        <w:t>Jiguamiandó</w:t>
      </w:r>
      <w:proofErr w:type="spellEnd"/>
      <w:r>
        <w:rPr>
          <w:rFonts w:ascii="Verdana" w:hAnsi="Verdana"/>
          <w:i/>
          <w:sz w:val="16"/>
          <w:lang w:val="es-ES"/>
        </w:rPr>
        <w:t xml:space="preserve"> y del </w:t>
      </w:r>
      <w:proofErr w:type="spellStart"/>
      <w:r>
        <w:rPr>
          <w:rFonts w:ascii="Verdana" w:hAnsi="Verdana"/>
          <w:i/>
          <w:sz w:val="16"/>
          <w:lang w:val="es-ES"/>
        </w:rPr>
        <w:t>Curbaradó</w:t>
      </w:r>
      <w:proofErr w:type="spellEnd"/>
      <w:r>
        <w:rPr>
          <w:rFonts w:ascii="Verdana" w:hAnsi="Verdana"/>
          <w:i/>
          <w:sz w:val="16"/>
          <w:lang w:val="es-ES"/>
        </w:rPr>
        <w:t xml:space="preserve">. </w:t>
      </w:r>
      <w:r>
        <w:rPr>
          <w:rFonts w:ascii="Verdana" w:hAnsi="Verdana"/>
          <w:sz w:val="16"/>
          <w:lang w:val="es-ES"/>
        </w:rPr>
        <w:t>Medidas Provisionales</w:t>
      </w:r>
      <w:r w:rsidR="00F43971">
        <w:rPr>
          <w:rFonts w:ascii="Verdana" w:hAnsi="Verdana"/>
          <w:sz w:val="16"/>
          <w:lang w:val="es-ES"/>
        </w:rPr>
        <w:t xml:space="preserve"> respecto de Colombia</w:t>
      </w:r>
      <w:r>
        <w:rPr>
          <w:rFonts w:ascii="Verdana" w:hAnsi="Verdana"/>
          <w:sz w:val="16"/>
          <w:lang w:val="es-ES"/>
        </w:rPr>
        <w:t xml:space="preserve">. Resolución de la Corte Interamericana de Derechos Humanos de 6 de marzo de 2003, </w:t>
      </w:r>
      <w:r w:rsidR="00F43971">
        <w:rPr>
          <w:rFonts w:ascii="Verdana" w:hAnsi="Verdana"/>
          <w:sz w:val="16"/>
          <w:lang w:val="es-ES"/>
        </w:rPr>
        <w:t>C</w:t>
      </w:r>
      <w:r>
        <w:rPr>
          <w:rFonts w:ascii="Verdana" w:hAnsi="Verdana"/>
          <w:sz w:val="16"/>
          <w:lang w:val="es-ES"/>
        </w:rPr>
        <w:t xml:space="preserve">onsiderando undécimo; </w:t>
      </w:r>
      <w:r>
        <w:rPr>
          <w:rFonts w:ascii="Verdana" w:hAnsi="Verdana"/>
          <w:i/>
          <w:sz w:val="16"/>
          <w:lang w:val="es-ES"/>
        </w:rPr>
        <w:t>Caso de la Comunidad de Paz de San José de Apartadó.</w:t>
      </w:r>
      <w:r>
        <w:rPr>
          <w:rFonts w:ascii="Verdana" w:hAnsi="Verdana"/>
          <w:sz w:val="16"/>
          <w:lang w:val="es-ES"/>
        </w:rPr>
        <w:t xml:space="preserve"> Medidas Provisionales</w:t>
      </w:r>
      <w:r w:rsidR="00F43971">
        <w:rPr>
          <w:rFonts w:ascii="Verdana" w:hAnsi="Verdana"/>
          <w:sz w:val="16"/>
          <w:lang w:val="es-ES"/>
        </w:rPr>
        <w:t xml:space="preserve"> respecto de Colombia</w:t>
      </w:r>
      <w:r>
        <w:rPr>
          <w:rFonts w:ascii="Verdana" w:hAnsi="Verdana"/>
          <w:sz w:val="16"/>
          <w:lang w:val="es-ES"/>
        </w:rPr>
        <w:t xml:space="preserve">. Resolución de la Corte Interamericana de Derechos Humanos de 18 de junio de 2002, </w:t>
      </w:r>
      <w:r w:rsidR="00F43971">
        <w:rPr>
          <w:rFonts w:ascii="Verdana" w:hAnsi="Verdana"/>
          <w:sz w:val="16"/>
          <w:lang w:val="es-ES"/>
        </w:rPr>
        <w:t>C</w:t>
      </w:r>
      <w:r>
        <w:rPr>
          <w:rFonts w:ascii="Verdana" w:hAnsi="Verdana"/>
          <w:sz w:val="16"/>
          <w:lang w:val="es-ES"/>
        </w:rPr>
        <w:t xml:space="preserve">onsiderando </w:t>
      </w:r>
      <w:r w:rsidR="00F43971">
        <w:rPr>
          <w:rFonts w:ascii="Verdana" w:hAnsi="Verdana"/>
          <w:sz w:val="16"/>
          <w:lang w:val="es-ES"/>
        </w:rPr>
        <w:t>décimo primero; y</w:t>
      </w:r>
      <w:r>
        <w:rPr>
          <w:rFonts w:ascii="Verdana" w:hAnsi="Verdana"/>
          <w:sz w:val="16"/>
          <w:lang w:val="es-ES"/>
        </w:rPr>
        <w:t xml:space="preserve"> </w:t>
      </w:r>
      <w:r w:rsidR="00F43971" w:rsidRPr="00ED3940">
        <w:rPr>
          <w:rFonts w:ascii="Verdana" w:hAnsi="Verdana"/>
          <w:bCs/>
          <w:i/>
          <w:sz w:val="16"/>
          <w:lang w:val="es-CR"/>
        </w:rPr>
        <w:t xml:space="preserve">Asunto Pueblo Indígena </w:t>
      </w:r>
      <w:proofErr w:type="spellStart"/>
      <w:r w:rsidR="00F43971" w:rsidRPr="00ED3940">
        <w:rPr>
          <w:rFonts w:ascii="Verdana" w:hAnsi="Verdana"/>
          <w:bCs/>
          <w:i/>
          <w:sz w:val="16"/>
          <w:lang w:val="es-CR"/>
        </w:rPr>
        <w:t>Sarayaku</w:t>
      </w:r>
      <w:proofErr w:type="spellEnd"/>
      <w:r w:rsidR="00F43971" w:rsidRPr="00ED3940">
        <w:rPr>
          <w:rFonts w:ascii="Verdana" w:hAnsi="Verdana"/>
          <w:bCs/>
          <w:sz w:val="16"/>
          <w:lang w:val="es-CR"/>
        </w:rPr>
        <w:t>. Medidas Provisionales</w:t>
      </w:r>
      <w:r w:rsidR="00F43971">
        <w:rPr>
          <w:rFonts w:ascii="Verdana" w:hAnsi="Verdana"/>
          <w:bCs/>
          <w:sz w:val="16"/>
          <w:lang w:val="es-CR"/>
        </w:rPr>
        <w:t xml:space="preserve"> respecto de Ecuador</w:t>
      </w:r>
      <w:r w:rsidR="00F43971" w:rsidRPr="00ED3940">
        <w:rPr>
          <w:rFonts w:ascii="Verdana" w:hAnsi="Verdana"/>
          <w:bCs/>
          <w:sz w:val="16"/>
          <w:lang w:val="es-CR"/>
        </w:rPr>
        <w:t>. Resolución de la Corte Interamericana de Derechos Humanos de 6 de julio de 2004</w:t>
      </w:r>
      <w:r w:rsidR="00F43971">
        <w:rPr>
          <w:rFonts w:ascii="Verdana" w:hAnsi="Verdana"/>
          <w:bCs/>
          <w:sz w:val="16"/>
          <w:lang w:val="es-CR"/>
        </w:rPr>
        <w:t xml:space="preserve">, </w:t>
      </w:r>
      <w:r w:rsidR="00F43971">
        <w:rPr>
          <w:rFonts w:ascii="Verdana" w:hAnsi="Verdana"/>
          <w:sz w:val="16"/>
          <w:lang w:val="es-ES"/>
        </w:rPr>
        <w:t>Considerando décimo</w:t>
      </w:r>
      <w:r>
        <w:rPr>
          <w:rFonts w:ascii="Verdana" w:hAnsi="Verdana"/>
          <w:sz w:val="16"/>
          <w:lang w:val="es-ES"/>
        </w:rPr>
        <w:t>.</w:t>
      </w:r>
    </w:p>
  </w:footnote>
  <w:footnote w:id="12">
    <w:p w:rsidR="00165816" w:rsidRPr="0058770C" w:rsidRDefault="00165816" w:rsidP="00ED3940">
      <w:pPr>
        <w:pStyle w:val="FootnoteText"/>
        <w:jc w:val="both"/>
        <w:rPr>
          <w:rFonts w:ascii="Verdana" w:hAnsi="Verdana"/>
          <w:sz w:val="16"/>
          <w:szCs w:val="16"/>
          <w:lang w:val="es-GT"/>
        </w:rPr>
      </w:pPr>
      <w:r w:rsidRPr="0058770C">
        <w:rPr>
          <w:rStyle w:val="FootnoteReference"/>
          <w:rFonts w:ascii="Verdana" w:hAnsi="Verdana"/>
          <w:sz w:val="16"/>
          <w:szCs w:val="16"/>
        </w:rPr>
        <w:footnoteRef/>
      </w:r>
      <w:r w:rsidRPr="0058770C">
        <w:rPr>
          <w:rFonts w:ascii="Verdana" w:hAnsi="Verdana"/>
          <w:sz w:val="16"/>
          <w:szCs w:val="16"/>
          <w:lang w:val="es-GT"/>
        </w:rPr>
        <w:tab/>
      </w:r>
      <w:r w:rsidRPr="0058770C">
        <w:rPr>
          <w:rFonts w:ascii="Verdana" w:hAnsi="Verdana"/>
          <w:i/>
          <w:sz w:val="16"/>
          <w:szCs w:val="16"/>
          <w:lang w:val="es-GT"/>
        </w:rPr>
        <w:t xml:space="preserve">Cfr. Caso Comunidad Indígena </w:t>
      </w:r>
      <w:proofErr w:type="spellStart"/>
      <w:r w:rsidRPr="0058770C">
        <w:rPr>
          <w:rFonts w:ascii="Verdana" w:hAnsi="Verdana"/>
          <w:i/>
          <w:sz w:val="16"/>
          <w:szCs w:val="16"/>
          <w:lang w:val="es-GT"/>
        </w:rPr>
        <w:t>Yakye</w:t>
      </w:r>
      <w:proofErr w:type="spellEnd"/>
      <w:r w:rsidRPr="0058770C">
        <w:rPr>
          <w:rFonts w:ascii="Verdana" w:hAnsi="Verdana"/>
          <w:i/>
          <w:sz w:val="16"/>
          <w:szCs w:val="16"/>
          <w:lang w:val="es-GT"/>
        </w:rPr>
        <w:t xml:space="preserve"> Axa Vs. Paraguay. Fondo, Reparaciones y Costas</w:t>
      </w:r>
      <w:r w:rsidRPr="0058770C">
        <w:rPr>
          <w:rFonts w:ascii="Verdana" w:hAnsi="Verdana"/>
          <w:sz w:val="16"/>
          <w:szCs w:val="16"/>
          <w:lang w:val="es-GT"/>
        </w:rPr>
        <w:t xml:space="preserve">. Sentencia de 17 de junio de 2005. Serie C No. 125, párr. 135, y </w:t>
      </w:r>
      <w:r w:rsidRPr="0058770C">
        <w:rPr>
          <w:rFonts w:ascii="Verdana" w:hAnsi="Verdana"/>
          <w:i/>
          <w:sz w:val="16"/>
          <w:szCs w:val="16"/>
          <w:lang w:val="es-GT"/>
        </w:rPr>
        <w:t>Caso Comunidad Garífuna de Punta Piedra y sus miembros</w:t>
      </w:r>
      <w:r w:rsidR="00881B0B">
        <w:rPr>
          <w:rFonts w:ascii="Verdana" w:hAnsi="Verdana"/>
          <w:bCs/>
          <w:i/>
          <w:sz w:val="16"/>
          <w:szCs w:val="16"/>
          <w:lang w:val="es-GT"/>
        </w:rPr>
        <w:t xml:space="preserve"> </w:t>
      </w:r>
      <w:r w:rsidR="00881B0B" w:rsidRPr="00ED3940">
        <w:rPr>
          <w:rFonts w:ascii="Verdana" w:hAnsi="Verdana"/>
          <w:bCs/>
          <w:i/>
          <w:sz w:val="16"/>
          <w:szCs w:val="16"/>
          <w:lang w:val="es-CR"/>
        </w:rPr>
        <w:t xml:space="preserve">Vs. Honduras. Excepciones Preliminares, Fondo, Reparaciones y Costas. </w:t>
      </w:r>
      <w:r w:rsidR="00881B0B" w:rsidRPr="00ED3940">
        <w:rPr>
          <w:rFonts w:ascii="Verdana" w:hAnsi="Verdana"/>
          <w:bCs/>
          <w:sz w:val="16"/>
          <w:szCs w:val="16"/>
          <w:lang w:val="es-CR"/>
        </w:rPr>
        <w:t>Sentencia de 08 de octubre de 2015. Serie C No. 304</w:t>
      </w:r>
      <w:r w:rsidRPr="0058770C">
        <w:rPr>
          <w:rFonts w:ascii="Verdana" w:hAnsi="Verdana"/>
          <w:sz w:val="16"/>
          <w:szCs w:val="16"/>
          <w:lang w:val="es-GT"/>
        </w:rPr>
        <w:t>, párr. 166.</w:t>
      </w:r>
    </w:p>
  </w:footnote>
  <w:footnote w:id="13">
    <w:p w:rsidR="00165816" w:rsidRPr="0058770C" w:rsidRDefault="00165816" w:rsidP="00ED3940">
      <w:pPr>
        <w:pStyle w:val="FootnoteText"/>
        <w:jc w:val="both"/>
        <w:rPr>
          <w:rFonts w:ascii="Verdana" w:hAnsi="Verdana"/>
          <w:sz w:val="16"/>
          <w:szCs w:val="16"/>
          <w:lang w:val="es-GT"/>
        </w:rPr>
      </w:pPr>
      <w:r w:rsidRPr="0058770C">
        <w:rPr>
          <w:rStyle w:val="FootnoteReference"/>
          <w:rFonts w:ascii="Verdana" w:hAnsi="Verdana"/>
          <w:sz w:val="16"/>
          <w:szCs w:val="16"/>
        </w:rPr>
        <w:footnoteRef/>
      </w:r>
      <w:r w:rsidRPr="0058770C">
        <w:rPr>
          <w:rFonts w:ascii="Verdana" w:hAnsi="Verdana"/>
          <w:sz w:val="16"/>
          <w:szCs w:val="16"/>
          <w:lang w:val="es-GT"/>
        </w:rPr>
        <w:t xml:space="preserve"> </w:t>
      </w:r>
      <w:r w:rsidRPr="0058770C">
        <w:rPr>
          <w:rFonts w:ascii="Verdana" w:hAnsi="Verdana"/>
          <w:sz w:val="16"/>
          <w:szCs w:val="16"/>
          <w:lang w:val="es-GT"/>
        </w:rPr>
        <w:tab/>
      </w:r>
      <w:r w:rsidRPr="0058770C">
        <w:rPr>
          <w:rFonts w:ascii="Verdana" w:hAnsi="Verdana"/>
          <w:i/>
          <w:sz w:val="16"/>
          <w:szCs w:val="16"/>
          <w:lang w:val="es-GT"/>
        </w:rPr>
        <w:t>Caso Comunidad Garífuna de Punta Piedra y sus miembros, supra</w:t>
      </w:r>
      <w:r w:rsidRPr="0058770C">
        <w:rPr>
          <w:rFonts w:ascii="Verdana" w:hAnsi="Verdana"/>
          <w:sz w:val="16"/>
          <w:szCs w:val="16"/>
          <w:lang w:val="es-GT"/>
        </w:rPr>
        <w:t xml:space="preserve">, párr. 181. </w:t>
      </w:r>
    </w:p>
  </w:footnote>
  <w:footnote w:id="14">
    <w:p w:rsidR="00165816" w:rsidRPr="00D61BFB" w:rsidRDefault="00165816">
      <w:pPr>
        <w:pStyle w:val="FootnoteText"/>
        <w:jc w:val="both"/>
        <w:rPr>
          <w:rFonts w:ascii="Verdana" w:hAnsi="Verdana"/>
          <w:sz w:val="16"/>
          <w:szCs w:val="16"/>
          <w:lang w:val="es-GT"/>
        </w:rPr>
      </w:pPr>
      <w:r w:rsidRPr="0058770C">
        <w:rPr>
          <w:rStyle w:val="FootnoteReference"/>
          <w:rFonts w:ascii="Verdana" w:hAnsi="Verdana"/>
          <w:sz w:val="16"/>
          <w:szCs w:val="16"/>
        </w:rPr>
        <w:footnoteRef/>
      </w:r>
      <w:r w:rsidRPr="0058770C">
        <w:rPr>
          <w:rFonts w:ascii="Verdana" w:hAnsi="Verdana"/>
          <w:sz w:val="16"/>
          <w:szCs w:val="16"/>
          <w:lang w:val="es-GT"/>
        </w:rPr>
        <w:tab/>
      </w:r>
      <w:r w:rsidRPr="0058770C">
        <w:rPr>
          <w:rFonts w:ascii="Verdana" w:hAnsi="Verdana"/>
          <w:i/>
          <w:sz w:val="16"/>
          <w:szCs w:val="16"/>
          <w:lang w:val="es-GT"/>
        </w:rPr>
        <w:t xml:space="preserve">Cfr. Asunto de la Comunidad de Paz de San José de Apartadó. </w:t>
      </w:r>
      <w:r w:rsidRPr="00ED3940">
        <w:rPr>
          <w:rFonts w:ascii="Verdana" w:hAnsi="Verdana"/>
          <w:sz w:val="16"/>
          <w:szCs w:val="16"/>
          <w:lang w:val="es-GT"/>
        </w:rPr>
        <w:t>Medidas Provisionales respecto de Colombia.</w:t>
      </w:r>
      <w:r w:rsidRPr="0058770C">
        <w:rPr>
          <w:rFonts w:ascii="Verdana" w:hAnsi="Verdana"/>
          <w:sz w:val="16"/>
          <w:szCs w:val="16"/>
          <w:lang w:val="es-GT"/>
        </w:rPr>
        <w:t xml:space="preserve"> Resolución de la Corte Interamericana de Derechos Humanos de 24 de noviembr</w:t>
      </w:r>
      <w:r>
        <w:rPr>
          <w:rFonts w:ascii="Verdana" w:hAnsi="Verdana"/>
          <w:sz w:val="16"/>
          <w:szCs w:val="16"/>
          <w:lang w:val="es-GT"/>
        </w:rPr>
        <w:t>e de 2000, Considerando séptimo</w:t>
      </w:r>
      <w:r w:rsidR="00152597">
        <w:rPr>
          <w:rFonts w:ascii="Verdana" w:hAnsi="Verdana"/>
          <w:sz w:val="16"/>
          <w:szCs w:val="16"/>
          <w:lang w:val="es-GT"/>
        </w:rPr>
        <w:t>;</w:t>
      </w:r>
      <w:r>
        <w:rPr>
          <w:rFonts w:ascii="Verdana" w:hAnsi="Verdana"/>
          <w:sz w:val="16"/>
          <w:szCs w:val="16"/>
          <w:lang w:val="es-GT"/>
        </w:rPr>
        <w:t xml:space="preserve"> y</w:t>
      </w:r>
      <w:r w:rsidRPr="0058770C">
        <w:rPr>
          <w:rFonts w:ascii="Verdana" w:hAnsi="Verdana"/>
          <w:sz w:val="16"/>
          <w:szCs w:val="16"/>
          <w:lang w:val="es-GT"/>
        </w:rPr>
        <w:t xml:space="preserve"> </w:t>
      </w:r>
      <w:r w:rsidRPr="0058770C">
        <w:rPr>
          <w:rFonts w:ascii="Verdana" w:hAnsi="Verdana" w:cs="TTE3AB8378t00"/>
          <w:i/>
          <w:sz w:val="16"/>
          <w:szCs w:val="16"/>
          <w:lang w:val="es-GT"/>
        </w:rPr>
        <w:t>Asunto del Internado Judicial Capital El Rodeo I y El Rodeo II</w:t>
      </w:r>
      <w:r w:rsidRPr="00ED3940">
        <w:rPr>
          <w:rFonts w:ascii="Verdana" w:hAnsi="Verdana" w:cs="Verdana-Bold"/>
          <w:bCs/>
          <w:sz w:val="16"/>
          <w:szCs w:val="16"/>
          <w:lang w:val="es-GT"/>
        </w:rPr>
        <w:t>.</w:t>
      </w:r>
      <w:r w:rsidRPr="00ED3940">
        <w:rPr>
          <w:rFonts w:ascii="Verdana" w:hAnsi="Verdana"/>
          <w:sz w:val="16"/>
          <w:szCs w:val="16"/>
          <w:lang w:val="es-GT"/>
        </w:rPr>
        <w:t xml:space="preserve"> </w:t>
      </w:r>
      <w:r w:rsidR="00601A41" w:rsidRPr="00ED3940">
        <w:rPr>
          <w:rFonts w:ascii="Verdana" w:hAnsi="Verdana"/>
          <w:bCs/>
          <w:sz w:val="16"/>
          <w:szCs w:val="16"/>
          <w:lang w:val="es-CR"/>
        </w:rPr>
        <w:t>Medidas Provisionales respecto de Venezuela. Resolución de la Corte Interamericana de Derechos Humanos</w:t>
      </w:r>
      <w:r w:rsidR="00601A41">
        <w:rPr>
          <w:rFonts w:ascii="Verdana" w:hAnsi="Verdana"/>
          <w:b/>
          <w:bCs/>
          <w:i/>
          <w:sz w:val="16"/>
          <w:szCs w:val="16"/>
          <w:lang w:val="es-CR"/>
        </w:rPr>
        <w:t xml:space="preserve"> </w:t>
      </w:r>
      <w:r w:rsidRPr="0058770C">
        <w:rPr>
          <w:rFonts w:ascii="Verdana" w:hAnsi="Verdana"/>
          <w:sz w:val="16"/>
          <w:szCs w:val="16"/>
          <w:lang w:val="es-GT"/>
        </w:rPr>
        <w:t>de 8 de febrero de 2008</w:t>
      </w:r>
      <w:r>
        <w:rPr>
          <w:rFonts w:ascii="Verdana" w:hAnsi="Verdana"/>
          <w:i/>
          <w:sz w:val="16"/>
          <w:szCs w:val="16"/>
          <w:lang w:val="es-GT"/>
        </w:rPr>
        <w:t xml:space="preserve">, </w:t>
      </w:r>
      <w:r>
        <w:rPr>
          <w:rFonts w:ascii="Verdana" w:hAnsi="Verdana"/>
          <w:sz w:val="16"/>
          <w:szCs w:val="16"/>
          <w:lang w:val="es-GT"/>
        </w:rPr>
        <w:t>Considerando vigésimo primero.</w:t>
      </w:r>
    </w:p>
  </w:footnote>
  <w:footnote w:id="15">
    <w:p w:rsidR="00165816" w:rsidRPr="000D271B" w:rsidRDefault="00165816">
      <w:pPr>
        <w:pStyle w:val="FootnoteText"/>
        <w:jc w:val="both"/>
        <w:rPr>
          <w:rFonts w:ascii="Verdana" w:hAnsi="Verdana"/>
          <w:bCs/>
          <w:color w:val="000000"/>
          <w:sz w:val="16"/>
          <w:szCs w:val="16"/>
          <w:shd w:val="clear" w:color="auto" w:fill="FFFFFF"/>
          <w:lang w:val="es-GT"/>
        </w:rPr>
      </w:pPr>
      <w:r w:rsidRPr="0058770C">
        <w:rPr>
          <w:rStyle w:val="FootnoteReference"/>
          <w:rFonts w:ascii="Verdana" w:hAnsi="Verdana"/>
          <w:sz w:val="16"/>
          <w:szCs w:val="16"/>
        </w:rPr>
        <w:footnoteRef/>
      </w:r>
      <w:r w:rsidRPr="0058770C">
        <w:rPr>
          <w:rFonts w:ascii="Verdana" w:hAnsi="Verdana"/>
          <w:sz w:val="16"/>
          <w:szCs w:val="16"/>
          <w:lang w:val="es-GT"/>
        </w:rPr>
        <w:t xml:space="preserve"> </w:t>
      </w:r>
      <w:r w:rsidR="00735948">
        <w:rPr>
          <w:rFonts w:ascii="Verdana" w:hAnsi="Verdana"/>
          <w:sz w:val="16"/>
          <w:szCs w:val="16"/>
          <w:lang w:val="es-GT"/>
        </w:rPr>
        <w:tab/>
      </w:r>
      <w:r w:rsidR="00735948" w:rsidRPr="00ED3940">
        <w:rPr>
          <w:rFonts w:ascii="Verdana" w:hAnsi="Verdana"/>
          <w:i/>
          <w:sz w:val="16"/>
          <w:szCs w:val="16"/>
          <w:lang w:val="es-GT"/>
        </w:rPr>
        <w:t>Cfr.</w:t>
      </w:r>
      <w:r w:rsidR="00735948">
        <w:rPr>
          <w:rFonts w:ascii="Verdana" w:hAnsi="Verdana"/>
          <w:sz w:val="16"/>
          <w:szCs w:val="16"/>
          <w:lang w:val="es-GT"/>
        </w:rPr>
        <w:t xml:space="preserve"> </w:t>
      </w:r>
      <w:r w:rsidRPr="00ED3940">
        <w:rPr>
          <w:rFonts w:ascii="Verdana" w:hAnsi="Verdana"/>
          <w:bCs/>
          <w:i/>
          <w:color w:val="000000"/>
          <w:sz w:val="16"/>
          <w:szCs w:val="16"/>
          <w:shd w:val="clear" w:color="auto" w:fill="FFFFFF"/>
          <w:lang w:val="es-GT"/>
        </w:rPr>
        <w:t>Asunto de la Comunidad de Paz de San José de Apartadó</w:t>
      </w:r>
      <w:r>
        <w:rPr>
          <w:rFonts w:ascii="Verdana" w:hAnsi="Verdana"/>
          <w:bCs/>
          <w:color w:val="000000"/>
          <w:sz w:val="16"/>
          <w:szCs w:val="16"/>
          <w:shd w:val="clear" w:color="auto" w:fill="FFFFFF"/>
          <w:lang w:val="es-GT"/>
        </w:rPr>
        <w:t>,</w:t>
      </w:r>
      <w:r w:rsidRPr="0058770C">
        <w:rPr>
          <w:rFonts w:ascii="Verdana" w:hAnsi="Verdana"/>
          <w:bCs/>
          <w:color w:val="000000"/>
          <w:sz w:val="16"/>
          <w:szCs w:val="16"/>
          <w:shd w:val="clear" w:color="auto" w:fill="FFFFFF"/>
          <w:lang w:val="es-GT"/>
        </w:rPr>
        <w:t xml:space="preserve"> de 24 de noviembre de 2000, </w:t>
      </w:r>
      <w:r w:rsidRPr="00ED3940">
        <w:rPr>
          <w:rFonts w:ascii="Verdana" w:hAnsi="Verdana"/>
          <w:bCs/>
          <w:i/>
          <w:color w:val="000000"/>
          <w:sz w:val="16"/>
          <w:szCs w:val="16"/>
          <w:shd w:val="clear" w:color="auto" w:fill="FFFFFF"/>
          <w:lang w:val="es-GT"/>
        </w:rPr>
        <w:t>supra</w:t>
      </w:r>
      <w:r>
        <w:rPr>
          <w:rFonts w:ascii="Verdana" w:hAnsi="Verdana"/>
          <w:bCs/>
          <w:color w:val="000000"/>
          <w:sz w:val="16"/>
          <w:szCs w:val="16"/>
          <w:shd w:val="clear" w:color="auto" w:fill="FFFFFF"/>
          <w:lang w:val="es-GT"/>
        </w:rPr>
        <w:t xml:space="preserve">, </w:t>
      </w:r>
      <w:r w:rsidR="00735948">
        <w:rPr>
          <w:rFonts w:ascii="Verdana" w:hAnsi="Verdana"/>
          <w:bCs/>
          <w:color w:val="000000"/>
          <w:sz w:val="16"/>
          <w:szCs w:val="16"/>
          <w:shd w:val="clear" w:color="auto" w:fill="FFFFFF"/>
          <w:lang w:val="es-GT"/>
        </w:rPr>
        <w:t>Considerando séptimo</w:t>
      </w:r>
      <w:r w:rsidR="00152597">
        <w:rPr>
          <w:rFonts w:ascii="Verdana" w:hAnsi="Verdana"/>
          <w:bCs/>
          <w:color w:val="000000"/>
          <w:sz w:val="16"/>
          <w:szCs w:val="16"/>
          <w:shd w:val="clear" w:color="auto" w:fill="FFFFFF"/>
          <w:lang w:val="es-GT"/>
        </w:rPr>
        <w:t>;</w:t>
      </w:r>
      <w:r>
        <w:rPr>
          <w:rFonts w:ascii="Verdana" w:hAnsi="Verdana"/>
          <w:bCs/>
          <w:color w:val="000000"/>
          <w:sz w:val="16"/>
          <w:szCs w:val="16"/>
          <w:shd w:val="clear" w:color="auto" w:fill="FFFFFF"/>
          <w:lang w:val="es-GT"/>
        </w:rPr>
        <w:t xml:space="preserve"> </w:t>
      </w:r>
      <w:r w:rsidRPr="008474C5">
        <w:rPr>
          <w:rFonts w:ascii="Verdana" w:hAnsi="Verdana"/>
          <w:bCs/>
          <w:i/>
          <w:color w:val="000000"/>
          <w:sz w:val="16"/>
          <w:szCs w:val="16"/>
          <w:shd w:val="clear" w:color="auto" w:fill="FFFFFF"/>
          <w:lang w:val="es-GT"/>
        </w:rPr>
        <w:t xml:space="preserve">Asunto Pueblo Indígena </w:t>
      </w:r>
      <w:proofErr w:type="spellStart"/>
      <w:r w:rsidRPr="008474C5">
        <w:rPr>
          <w:rFonts w:ascii="Verdana" w:hAnsi="Verdana"/>
          <w:bCs/>
          <w:i/>
          <w:color w:val="000000"/>
          <w:sz w:val="16"/>
          <w:szCs w:val="16"/>
          <w:shd w:val="clear" w:color="auto" w:fill="FFFFFF"/>
          <w:lang w:val="es-GT"/>
        </w:rPr>
        <w:t>Sarayaku</w:t>
      </w:r>
      <w:proofErr w:type="spellEnd"/>
      <w:r w:rsidR="00735948">
        <w:rPr>
          <w:rFonts w:ascii="Verdana" w:hAnsi="Verdana"/>
          <w:bCs/>
          <w:i/>
          <w:color w:val="000000"/>
          <w:sz w:val="16"/>
          <w:szCs w:val="16"/>
          <w:shd w:val="clear" w:color="auto" w:fill="FFFFFF"/>
          <w:lang w:val="es-GT"/>
        </w:rPr>
        <w:t>, supra, Considerando noveno</w:t>
      </w:r>
      <w:r w:rsidR="00735948">
        <w:rPr>
          <w:rFonts w:ascii="Verdana" w:hAnsi="Verdana"/>
          <w:bCs/>
          <w:color w:val="000000"/>
          <w:sz w:val="16"/>
          <w:szCs w:val="16"/>
          <w:shd w:val="clear" w:color="auto" w:fill="FFFFFF"/>
          <w:lang w:val="es-GT"/>
        </w:rPr>
        <w:t>;</w:t>
      </w:r>
      <w:r w:rsidRPr="0058770C">
        <w:rPr>
          <w:rFonts w:ascii="Verdana" w:hAnsi="Verdana"/>
          <w:bCs/>
          <w:color w:val="000000"/>
          <w:sz w:val="16"/>
          <w:szCs w:val="16"/>
          <w:shd w:val="clear" w:color="auto" w:fill="FFFFFF"/>
          <w:lang w:val="es-GT"/>
        </w:rPr>
        <w:t xml:space="preserve"> </w:t>
      </w:r>
      <w:r w:rsidRPr="008474C5">
        <w:rPr>
          <w:rFonts w:ascii="Verdana" w:hAnsi="Verdana"/>
          <w:bCs/>
          <w:i/>
          <w:color w:val="000000"/>
          <w:sz w:val="16"/>
          <w:szCs w:val="16"/>
          <w:shd w:val="clear" w:color="auto" w:fill="FFFFFF"/>
          <w:lang w:val="es-GT"/>
        </w:rPr>
        <w:t xml:space="preserve">Caso del Pueblo de </w:t>
      </w:r>
      <w:proofErr w:type="spellStart"/>
      <w:r w:rsidRPr="008474C5">
        <w:rPr>
          <w:rFonts w:ascii="Verdana" w:hAnsi="Verdana"/>
          <w:bCs/>
          <w:i/>
          <w:color w:val="000000"/>
          <w:sz w:val="16"/>
          <w:szCs w:val="16"/>
          <w:shd w:val="clear" w:color="auto" w:fill="FFFFFF"/>
          <w:lang w:val="es-GT"/>
        </w:rPr>
        <w:t>Saramaka</w:t>
      </w:r>
      <w:proofErr w:type="spellEnd"/>
      <w:r w:rsidRPr="008474C5">
        <w:rPr>
          <w:rFonts w:ascii="Verdana" w:hAnsi="Verdana"/>
          <w:bCs/>
          <w:i/>
          <w:color w:val="000000"/>
          <w:sz w:val="16"/>
          <w:szCs w:val="16"/>
          <w:shd w:val="clear" w:color="auto" w:fill="FFFFFF"/>
          <w:lang w:val="es-GT"/>
        </w:rPr>
        <w:t xml:space="preserve"> Vs. Surinam</w:t>
      </w:r>
      <w:r w:rsidR="00735948">
        <w:rPr>
          <w:rFonts w:ascii="Verdana" w:hAnsi="Verdana"/>
          <w:bCs/>
          <w:i/>
          <w:color w:val="000000"/>
          <w:sz w:val="16"/>
          <w:szCs w:val="16"/>
          <w:shd w:val="clear" w:color="auto" w:fill="FFFFFF"/>
          <w:lang w:val="es-GT"/>
        </w:rPr>
        <w:t>,</w:t>
      </w:r>
      <w:r w:rsidRPr="0058770C">
        <w:rPr>
          <w:rFonts w:ascii="Verdana" w:hAnsi="Verdana"/>
          <w:bCs/>
          <w:color w:val="000000"/>
          <w:sz w:val="16"/>
          <w:szCs w:val="16"/>
          <w:shd w:val="clear" w:color="auto" w:fill="FFFFFF"/>
          <w:lang w:val="es-GT"/>
        </w:rPr>
        <w:t xml:space="preserve"> </w:t>
      </w:r>
      <w:r w:rsidR="00735948">
        <w:rPr>
          <w:rFonts w:ascii="Verdana" w:hAnsi="Verdana"/>
          <w:bCs/>
          <w:color w:val="000000"/>
          <w:sz w:val="16"/>
          <w:szCs w:val="16"/>
          <w:shd w:val="clear" w:color="auto" w:fill="FFFFFF"/>
          <w:lang w:val="es-GT"/>
        </w:rPr>
        <w:t>supra</w:t>
      </w:r>
      <w:r w:rsidRPr="0058770C">
        <w:rPr>
          <w:rFonts w:ascii="Verdana" w:hAnsi="Verdana"/>
          <w:bCs/>
          <w:color w:val="000000"/>
          <w:sz w:val="16"/>
          <w:szCs w:val="16"/>
          <w:shd w:val="clear" w:color="auto" w:fill="FFFFFF"/>
          <w:lang w:val="es-GT"/>
        </w:rPr>
        <w:t xml:space="preserve">, </w:t>
      </w:r>
      <w:r w:rsidR="00735948">
        <w:rPr>
          <w:rFonts w:ascii="Verdana" w:hAnsi="Verdana"/>
          <w:bCs/>
          <w:color w:val="000000"/>
          <w:sz w:val="16"/>
          <w:szCs w:val="16"/>
          <w:shd w:val="clear" w:color="auto" w:fill="FFFFFF"/>
          <w:lang w:val="es-GT"/>
        </w:rPr>
        <w:t xml:space="preserve">Considerandos quinto </w:t>
      </w:r>
      <w:proofErr w:type="spellStart"/>
      <w:r w:rsidR="00735948">
        <w:rPr>
          <w:rFonts w:ascii="Verdana" w:hAnsi="Verdana"/>
          <w:bCs/>
          <w:color w:val="000000"/>
          <w:sz w:val="16"/>
          <w:szCs w:val="16"/>
          <w:shd w:val="clear" w:color="auto" w:fill="FFFFFF"/>
          <w:lang w:val="es-GT"/>
        </w:rPr>
        <w:t>a</w:t>
      </w:r>
      <w:proofErr w:type="spellEnd"/>
      <w:r w:rsidR="00735948">
        <w:rPr>
          <w:rFonts w:ascii="Verdana" w:hAnsi="Verdana"/>
          <w:bCs/>
          <w:color w:val="000000"/>
          <w:sz w:val="16"/>
          <w:szCs w:val="16"/>
          <w:shd w:val="clear" w:color="auto" w:fill="FFFFFF"/>
          <w:lang w:val="es-GT"/>
        </w:rPr>
        <w:t xml:space="preserve"> octavo;</w:t>
      </w:r>
      <w:r w:rsidRPr="0058770C">
        <w:rPr>
          <w:rFonts w:ascii="Verdana" w:hAnsi="Verdana"/>
          <w:bCs/>
          <w:color w:val="000000"/>
          <w:sz w:val="16"/>
          <w:szCs w:val="16"/>
          <w:shd w:val="clear" w:color="auto" w:fill="FFFFFF"/>
          <w:lang w:val="es-GT"/>
        </w:rPr>
        <w:t xml:space="preserve"> </w:t>
      </w:r>
      <w:r w:rsidR="00152597">
        <w:rPr>
          <w:rFonts w:ascii="Verdana" w:hAnsi="Verdana"/>
          <w:bCs/>
          <w:color w:val="000000"/>
          <w:sz w:val="16"/>
          <w:szCs w:val="16"/>
          <w:shd w:val="clear" w:color="auto" w:fill="FFFFFF"/>
          <w:lang w:val="es-GT"/>
        </w:rPr>
        <w:t xml:space="preserve">y </w:t>
      </w:r>
      <w:r w:rsidRPr="008474C5">
        <w:rPr>
          <w:rFonts w:ascii="Verdana" w:hAnsi="Verdana"/>
          <w:bCs/>
          <w:i/>
          <w:color w:val="000000"/>
          <w:sz w:val="16"/>
          <w:szCs w:val="16"/>
          <w:shd w:val="clear" w:color="auto" w:fill="FFFFFF"/>
          <w:lang w:val="es-GT"/>
        </w:rPr>
        <w:t xml:space="preserve">Asunto del Complejo Penitenciario de </w:t>
      </w:r>
      <w:proofErr w:type="spellStart"/>
      <w:r w:rsidRPr="008474C5">
        <w:rPr>
          <w:rFonts w:ascii="Verdana" w:hAnsi="Verdana"/>
          <w:bCs/>
          <w:i/>
          <w:color w:val="000000"/>
          <w:sz w:val="16"/>
          <w:szCs w:val="16"/>
          <w:shd w:val="clear" w:color="auto" w:fill="FFFFFF"/>
          <w:lang w:val="es-GT"/>
        </w:rPr>
        <w:t>Pedrinhas</w:t>
      </w:r>
      <w:proofErr w:type="spellEnd"/>
      <w:r w:rsidRPr="008474C5">
        <w:rPr>
          <w:rFonts w:ascii="Verdana" w:hAnsi="Verdana"/>
          <w:bCs/>
          <w:i/>
          <w:color w:val="000000"/>
          <w:sz w:val="16"/>
          <w:szCs w:val="16"/>
          <w:shd w:val="clear" w:color="auto" w:fill="FFFFFF"/>
          <w:lang w:val="es-GT"/>
        </w:rPr>
        <w:t>.</w:t>
      </w:r>
      <w:r w:rsidRPr="0058770C">
        <w:rPr>
          <w:rFonts w:ascii="Verdana" w:hAnsi="Verdana"/>
          <w:bCs/>
          <w:color w:val="000000"/>
          <w:sz w:val="16"/>
          <w:szCs w:val="16"/>
          <w:shd w:val="clear" w:color="auto" w:fill="FFFFFF"/>
          <w:lang w:val="es-GT"/>
        </w:rPr>
        <w:t xml:space="preserve"> Medidas Provisionales</w:t>
      </w:r>
      <w:r w:rsidR="003B2AAF">
        <w:rPr>
          <w:rFonts w:ascii="Verdana" w:hAnsi="Verdana"/>
          <w:bCs/>
          <w:color w:val="000000"/>
          <w:sz w:val="16"/>
          <w:szCs w:val="16"/>
          <w:shd w:val="clear" w:color="auto" w:fill="FFFFFF"/>
          <w:lang w:val="es-GT"/>
        </w:rPr>
        <w:t xml:space="preserve"> respecto de Brasil</w:t>
      </w:r>
      <w:r w:rsidRPr="0058770C">
        <w:rPr>
          <w:rFonts w:ascii="Verdana" w:hAnsi="Verdana"/>
          <w:bCs/>
          <w:color w:val="000000"/>
          <w:sz w:val="16"/>
          <w:szCs w:val="16"/>
          <w:shd w:val="clear" w:color="auto" w:fill="FFFFFF"/>
          <w:lang w:val="es-GT"/>
        </w:rPr>
        <w:t>. Resolución Corte Interamericana de Derechos Humanos de 14 de noviembre de 2014</w:t>
      </w:r>
      <w:r w:rsidR="00735948">
        <w:rPr>
          <w:rFonts w:ascii="Verdana" w:hAnsi="Verdana"/>
          <w:bCs/>
          <w:color w:val="000000"/>
          <w:sz w:val="16"/>
          <w:szCs w:val="16"/>
          <w:shd w:val="clear" w:color="auto" w:fill="FFFFFF"/>
          <w:lang w:val="es-GT"/>
        </w:rPr>
        <w:t>, Considerando quinto</w:t>
      </w:r>
      <w:r w:rsidRPr="0058770C">
        <w:rPr>
          <w:rFonts w:ascii="Verdana" w:hAnsi="Verdana"/>
          <w:bCs/>
          <w:color w:val="000000"/>
          <w:sz w:val="16"/>
          <w:szCs w:val="16"/>
          <w:shd w:val="clear" w:color="auto" w:fill="FFFFFF"/>
          <w:lang w:val="es-GT"/>
        </w:rPr>
        <w:t>.</w:t>
      </w:r>
      <w:r>
        <w:rPr>
          <w:rFonts w:ascii="Verdana" w:hAnsi="Verdana"/>
          <w:bCs/>
          <w:color w:val="000000"/>
          <w:sz w:val="16"/>
          <w:szCs w:val="16"/>
          <w:shd w:val="clear" w:color="auto" w:fill="FFFFFF"/>
          <w:lang w:val="es-GT"/>
        </w:rPr>
        <w:t xml:space="preserve"> </w:t>
      </w:r>
    </w:p>
  </w:footnote>
  <w:footnote w:id="16">
    <w:p w:rsidR="00165816" w:rsidRPr="0058770C" w:rsidRDefault="00165816">
      <w:pPr>
        <w:pStyle w:val="FootnoteText"/>
        <w:jc w:val="both"/>
        <w:rPr>
          <w:rFonts w:ascii="Verdana" w:hAnsi="Verdana"/>
          <w:sz w:val="16"/>
          <w:szCs w:val="16"/>
          <w:lang w:val="es-CR"/>
        </w:rPr>
      </w:pPr>
      <w:r w:rsidRPr="0058770C">
        <w:rPr>
          <w:rStyle w:val="FootnoteReference"/>
          <w:rFonts w:ascii="Verdana" w:hAnsi="Verdana"/>
          <w:sz w:val="16"/>
          <w:szCs w:val="16"/>
        </w:rPr>
        <w:footnoteRef/>
      </w:r>
      <w:r w:rsidRPr="0058770C">
        <w:rPr>
          <w:rFonts w:ascii="Verdana" w:hAnsi="Verdana"/>
          <w:sz w:val="16"/>
          <w:szCs w:val="16"/>
          <w:lang w:val="es-GT"/>
        </w:rPr>
        <w:t xml:space="preserve"> </w:t>
      </w:r>
      <w:r w:rsidRPr="0058770C">
        <w:rPr>
          <w:rFonts w:ascii="Verdana" w:hAnsi="Verdana"/>
          <w:sz w:val="16"/>
          <w:szCs w:val="16"/>
          <w:lang w:val="es-GT"/>
        </w:rPr>
        <w:tab/>
      </w:r>
      <w:r w:rsidRPr="0058770C">
        <w:rPr>
          <w:rFonts w:ascii="Verdana" w:hAnsi="Verdana"/>
          <w:i/>
          <w:sz w:val="16"/>
          <w:szCs w:val="16"/>
          <w:lang w:val="es-GT"/>
        </w:rPr>
        <w:t>Cfr.</w:t>
      </w:r>
      <w:r w:rsidRPr="0058770C">
        <w:rPr>
          <w:rFonts w:ascii="Verdana" w:hAnsi="Verdana"/>
          <w:sz w:val="16"/>
          <w:szCs w:val="16"/>
          <w:lang w:val="es-GT"/>
        </w:rPr>
        <w:t xml:space="preserve"> </w:t>
      </w:r>
      <w:r w:rsidRPr="00A51E73">
        <w:rPr>
          <w:rFonts w:ascii="Verdana" w:hAnsi="Verdana"/>
          <w:bCs/>
          <w:i/>
          <w:sz w:val="16"/>
          <w:szCs w:val="16"/>
          <w:lang w:val="es-GT"/>
        </w:rPr>
        <w:t xml:space="preserve">Asunto Pueblo Indígena </w:t>
      </w:r>
      <w:proofErr w:type="spellStart"/>
      <w:r w:rsidRPr="00A51E73">
        <w:rPr>
          <w:rFonts w:ascii="Verdana" w:hAnsi="Verdana"/>
          <w:bCs/>
          <w:i/>
          <w:sz w:val="16"/>
          <w:szCs w:val="16"/>
          <w:lang w:val="es-GT"/>
        </w:rPr>
        <w:t>Sarayaku</w:t>
      </w:r>
      <w:proofErr w:type="spellEnd"/>
      <w:r w:rsidR="003B2AAF">
        <w:rPr>
          <w:rFonts w:ascii="Verdana" w:hAnsi="Verdana"/>
          <w:bCs/>
          <w:i/>
          <w:sz w:val="16"/>
          <w:szCs w:val="16"/>
          <w:lang w:val="es-GT"/>
        </w:rPr>
        <w:t xml:space="preserve">, </w:t>
      </w:r>
      <w:r w:rsidR="003B2AAF" w:rsidRPr="00ED3940">
        <w:rPr>
          <w:rFonts w:ascii="Verdana" w:hAnsi="Verdana"/>
          <w:bCs/>
          <w:i/>
          <w:sz w:val="16"/>
          <w:szCs w:val="16"/>
          <w:lang w:val="es-GT"/>
        </w:rPr>
        <w:t>supra</w:t>
      </w:r>
      <w:r>
        <w:rPr>
          <w:rFonts w:ascii="Verdana" w:hAnsi="Verdana"/>
          <w:bCs/>
          <w:sz w:val="16"/>
          <w:szCs w:val="16"/>
          <w:lang w:val="es-GT"/>
        </w:rPr>
        <w:t xml:space="preserve">, </w:t>
      </w:r>
      <w:r w:rsidR="003B2AAF">
        <w:rPr>
          <w:rFonts w:ascii="Verdana" w:hAnsi="Verdana"/>
          <w:bCs/>
          <w:sz w:val="16"/>
          <w:szCs w:val="16"/>
          <w:lang w:val="es-GT"/>
        </w:rPr>
        <w:t>Considerando décimo</w:t>
      </w:r>
      <w:r>
        <w:rPr>
          <w:rFonts w:ascii="Verdana" w:hAnsi="Verdana"/>
          <w:bCs/>
          <w:sz w:val="16"/>
          <w:szCs w:val="16"/>
          <w:lang w:val="es-GT"/>
        </w:rPr>
        <w:t>.</w:t>
      </w:r>
    </w:p>
  </w:footnote>
  <w:footnote w:id="17">
    <w:p w:rsidR="00165816" w:rsidRDefault="00165816" w:rsidP="00ED3940">
      <w:pPr>
        <w:pStyle w:val="FootnoteText"/>
        <w:jc w:val="both"/>
        <w:rPr>
          <w:rFonts w:ascii="Verdana" w:hAnsi="Verdana"/>
          <w:sz w:val="16"/>
          <w:szCs w:val="16"/>
          <w:lang w:val="es-ES_tradnl"/>
        </w:rPr>
      </w:pPr>
      <w:r>
        <w:rPr>
          <w:rStyle w:val="FootnoteReference"/>
          <w:rFonts w:ascii="Verdana" w:hAnsi="Verdana"/>
          <w:sz w:val="16"/>
          <w:szCs w:val="16"/>
        </w:rPr>
        <w:footnoteRef/>
      </w:r>
      <w:r w:rsidRPr="00A01661">
        <w:rPr>
          <w:rFonts w:ascii="Verdana" w:hAnsi="Verdana"/>
          <w:sz w:val="16"/>
          <w:szCs w:val="16"/>
          <w:lang w:val="es-GT"/>
        </w:rPr>
        <w:t xml:space="preserve"> </w:t>
      </w:r>
      <w:r w:rsidRPr="00A01661">
        <w:rPr>
          <w:rFonts w:ascii="Verdana" w:hAnsi="Verdana"/>
          <w:sz w:val="16"/>
          <w:szCs w:val="16"/>
          <w:lang w:val="es-GT"/>
        </w:rPr>
        <w:tab/>
      </w:r>
      <w:r w:rsidRPr="00A01661">
        <w:rPr>
          <w:rFonts w:ascii="Verdana" w:hAnsi="Verdana"/>
          <w:i/>
          <w:sz w:val="16"/>
          <w:szCs w:val="16"/>
          <w:lang w:val="es-GT"/>
        </w:rPr>
        <w:t>Cfr. Asunto de la Comisión Colombiana de Juristas.</w:t>
      </w:r>
      <w:r w:rsidR="00152597">
        <w:rPr>
          <w:rFonts w:ascii="Verdana" w:hAnsi="Verdana"/>
          <w:i/>
          <w:sz w:val="16"/>
          <w:szCs w:val="16"/>
          <w:lang w:val="es-GT"/>
        </w:rPr>
        <w:t xml:space="preserve"> </w:t>
      </w:r>
      <w:r w:rsidR="00152597" w:rsidRPr="00ED3940">
        <w:rPr>
          <w:rFonts w:ascii="Verdana" w:hAnsi="Verdana"/>
          <w:sz w:val="16"/>
          <w:szCs w:val="16"/>
          <w:lang w:val="es-GT"/>
        </w:rPr>
        <w:t>Medida</w:t>
      </w:r>
      <w:r w:rsidR="00152597">
        <w:rPr>
          <w:rFonts w:ascii="Verdana" w:hAnsi="Verdana"/>
          <w:sz w:val="16"/>
          <w:szCs w:val="16"/>
          <w:lang w:val="es-GT"/>
        </w:rPr>
        <w:t>s</w:t>
      </w:r>
      <w:r w:rsidR="00152597" w:rsidRPr="00ED3940">
        <w:rPr>
          <w:rFonts w:ascii="Verdana" w:hAnsi="Verdana"/>
          <w:sz w:val="16"/>
          <w:szCs w:val="16"/>
          <w:lang w:val="es-GT"/>
        </w:rPr>
        <w:t xml:space="preserve"> Provisional</w:t>
      </w:r>
      <w:r w:rsidR="00152597">
        <w:rPr>
          <w:rFonts w:ascii="Verdana" w:hAnsi="Verdana"/>
          <w:sz w:val="16"/>
          <w:szCs w:val="16"/>
          <w:lang w:val="es-GT"/>
        </w:rPr>
        <w:t>es</w:t>
      </w:r>
      <w:r w:rsidR="00152597" w:rsidRPr="00ED3940">
        <w:rPr>
          <w:rFonts w:ascii="Verdana" w:hAnsi="Verdana"/>
          <w:sz w:val="16"/>
          <w:szCs w:val="16"/>
          <w:lang w:val="es-GT"/>
        </w:rPr>
        <w:t xml:space="preserve"> respecto de Colombia.</w:t>
      </w:r>
      <w:r w:rsidRPr="00A01661">
        <w:rPr>
          <w:rFonts w:ascii="Verdana" w:hAnsi="Verdana"/>
          <w:sz w:val="16"/>
          <w:szCs w:val="16"/>
          <w:lang w:val="es-GT"/>
        </w:rPr>
        <w:t xml:space="preserve"> Resolución de la Corte Interamericana de Derechos Humanos de 25 de noviembre de 2010, </w:t>
      </w:r>
      <w:r w:rsidR="003B2AAF">
        <w:rPr>
          <w:rFonts w:ascii="Verdana" w:hAnsi="Verdana"/>
          <w:sz w:val="16"/>
          <w:szCs w:val="16"/>
          <w:lang w:val="es-GT"/>
        </w:rPr>
        <w:t>Considerando vigesimocuarto</w:t>
      </w:r>
      <w:r w:rsidRPr="00A01661">
        <w:rPr>
          <w:rFonts w:ascii="Verdana" w:hAnsi="Verdana"/>
          <w:sz w:val="16"/>
          <w:szCs w:val="16"/>
          <w:lang w:val="es-GT"/>
        </w:rPr>
        <w:t xml:space="preserve">, y </w:t>
      </w:r>
      <w:r w:rsidRPr="00A01661">
        <w:rPr>
          <w:rFonts w:ascii="Verdana" w:hAnsi="Verdana"/>
          <w:i/>
          <w:sz w:val="16"/>
          <w:szCs w:val="16"/>
          <w:lang w:val="es-GT"/>
        </w:rPr>
        <w:t>Asunto Comunidad Garífuna de Punta Piedra y sus miembros respecto de Honduras</w:t>
      </w:r>
      <w:r w:rsidRPr="00A01661">
        <w:rPr>
          <w:rFonts w:ascii="Verdana" w:hAnsi="Verdana"/>
          <w:sz w:val="16"/>
          <w:szCs w:val="16"/>
          <w:lang w:val="es-GT"/>
        </w:rPr>
        <w:t>.</w:t>
      </w:r>
      <w:r w:rsidR="00A61F08">
        <w:rPr>
          <w:rFonts w:ascii="Verdana" w:hAnsi="Verdana"/>
          <w:sz w:val="16"/>
          <w:szCs w:val="16"/>
          <w:lang w:val="es-GT"/>
        </w:rPr>
        <w:t xml:space="preserve"> Solicitud de medidas provisionales.</w:t>
      </w:r>
      <w:r w:rsidRPr="00A01661">
        <w:rPr>
          <w:rFonts w:ascii="Verdana" w:hAnsi="Verdana"/>
          <w:sz w:val="16"/>
          <w:szCs w:val="16"/>
          <w:lang w:val="es-GT"/>
        </w:rPr>
        <w:t xml:space="preserve"> Resolución de la Corte Interamericana de Derechos Humanos de 14 de noviembre de 2014, </w:t>
      </w:r>
      <w:r w:rsidR="003B2AAF">
        <w:rPr>
          <w:rFonts w:ascii="Verdana" w:hAnsi="Verdana"/>
          <w:sz w:val="16"/>
          <w:szCs w:val="16"/>
          <w:lang w:val="es-GT"/>
        </w:rPr>
        <w:t>Considerando décimo séptimo</w:t>
      </w:r>
      <w:r w:rsidRPr="0079720D">
        <w:rPr>
          <w:rFonts w:ascii="Verdana" w:hAnsi="Verdana"/>
          <w:sz w:val="16"/>
          <w:szCs w:val="16"/>
          <w:lang w:val="es-MX"/>
        </w:rPr>
        <w:t xml:space="preserve">. </w:t>
      </w:r>
    </w:p>
  </w:footnote>
  <w:footnote w:id="18">
    <w:p w:rsidR="00165816" w:rsidRPr="00771DF4" w:rsidRDefault="00165816">
      <w:pPr>
        <w:pStyle w:val="FootnoteText"/>
        <w:jc w:val="both"/>
        <w:rPr>
          <w:rFonts w:ascii="Verdana" w:eastAsia="Times New Roman" w:hAnsi="Verdana"/>
          <w:sz w:val="16"/>
          <w:szCs w:val="16"/>
          <w:lang w:val="es-GT"/>
        </w:rPr>
      </w:pPr>
      <w:r w:rsidRPr="0058770C">
        <w:rPr>
          <w:rStyle w:val="FootnoteReference"/>
          <w:rFonts w:ascii="Verdana" w:hAnsi="Verdana"/>
          <w:sz w:val="16"/>
          <w:szCs w:val="16"/>
        </w:rPr>
        <w:footnoteRef/>
      </w:r>
      <w:r w:rsidRPr="0058770C">
        <w:rPr>
          <w:rFonts w:ascii="Verdana" w:hAnsi="Verdana"/>
          <w:sz w:val="16"/>
          <w:szCs w:val="16"/>
          <w:lang w:val="es-GT"/>
        </w:rPr>
        <w:t xml:space="preserve">  </w:t>
      </w:r>
      <w:r w:rsidRPr="0058770C">
        <w:rPr>
          <w:rFonts w:ascii="Verdana" w:hAnsi="Verdana"/>
          <w:sz w:val="16"/>
          <w:szCs w:val="16"/>
          <w:lang w:val="es-GT"/>
        </w:rPr>
        <w:tab/>
      </w:r>
      <w:r w:rsidRPr="0058770C">
        <w:rPr>
          <w:rFonts w:ascii="Verdana" w:hAnsi="Verdana"/>
          <w:i/>
          <w:sz w:val="16"/>
          <w:szCs w:val="16"/>
          <w:lang w:val="es-GT"/>
        </w:rPr>
        <w:t>Cfr.</w:t>
      </w:r>
      <w:r w:rsidRPr="0058770C">
        <w:rPr>
          <w:rFonts w:ascii="Verdana" w:hAnsi="Verdana"/>
          <w:sz w:val="16"/>
          <w:szCs w:val="16"/>
          <w:lang w:val="es-GT"/>
        </w:rPr>
        <w:t xml:space="preserve"> </w:t>
      </w:r>
      <w:r w:rsidRPr="0058770C">
        <w:rPr>
          <w:rFonts w:ascii="Verdana" w:hAnsi="Verdana"/>
          <w:i/>
          <w:sz w:val="16"/>
          <w:szCs w:val="16"/>
          <w:lang w:val="es-GT"/>
        </w:rPr>
        <w:t>Asunto Liliana Ortega y otros.</w:t>
      </w:r>
      <w:r w:rsidRPr="0058770C">
        <w:rPr>
          <w:rFonts w:ascii="Verdana" w:hAnsi="Verdana"/>
          <w:sz w:val="16"/>
          <w:szCs w:val="16"/>
          <w:lang w:val="es-GT"/>
        </w:rPr>
        <w:t xml:space="preserve"> </w:t>
      </w:r>
      <w:r w:rsidR="00A61F08">
        <w:rPr>
          <w:rFonts w:ascii="Verdana" w:hAnsi="Verdana"/>
          <w:sz w:val="16"/>
          <w:szCs w:val="16"/>
          <w:lang w:val="es-GT"/>
        </w:rPr>
        <w:t xml:space="preserve">Medidas Provisionales respecto de Venezuela. </w:t>
      </w:r>
      <w:r w:rsidRPr="0058770C">
        <w:rPr>
          <w:rFonts w:ascii="Verdana" w:hAnsi="Verdana"/>
          <w:sz w:val="16"/>
          <w:szCs w:val="16"/>
          <w:lang w:val="es-GT"/>
        </w:rPr>
        <w:t xml:space="preserve">Resolución de la Corte Interamericana de Derechos Humanos de 2 de diciembre de 2003, </w:t>
      </w:r>
      <w:r>
        <w:rPr>
          <w:rFonts w:ascii="Verdana" w:hAnsi="Verdana"/>
          <w:sz w:val="16"/>
          <w:szCs w:val="16"/>
          <w:lang w:val="es-GT"/>
        </w:rPr>
        <w:t xml:space="preserve">y </w:t>
      </w:r>
      <w:r w:rsidRPr="00771DF4">
        <w:rPr>
          <w:rFonts w:ascii="Verdana" w:hAnsi="Verdana"/>
          <w:i/>
          <w:sz w:val="16"/>
          <w:szCs w:val="16"/>
          <w:lang w:val="es-GT"/>
        </w:rPr>
        <w:t xml:space="preserve">Caso </w:t>
      </w:r>
      <w:proofErr w:type="spellStart"/>
      <w:r w:rsidRPr="00771DF4">
        <w:rPr>
          <w:rFonts w:ascii="Verdana" w:hAnsi="Verdana"/>
          <w:i/>
          <w:sz w:val="16"/>
          <w:szCs w:val="16"/>
          <w:lang w:val="es-GT"/>
        </w:rPr>
        <w:t>Nadege</w:t>
      </w:r>
      <w:proofErr w:type="spellEnd"/>
      <w:r w:rsidRPr="00771DF4">
        <w:rPr>
          <w:rFonts w:ascii="Verdana" w:hAnsi="Verdana"/>
          <w:i/>
          <w:sz w:val="16"/>
          <w:szCs w:val="16"/>
          <w:lang w:val="es-GT"/>
        </w:rPr>
        <w:t xml:space="preserve"> </w:t>
      </w:r>
      <w:proofErr w:type="spellStart"/>
      <w:r w:rsidRPr="00771DF4">
        <w:rPr>
          <w:rFonts w:ascii="Verdana" w:hAnsi="Verdana"/>
          <w:i/>
          <w:sz w:val="16"/>
          <w:szCs w:val="16"/>
          <w:lang w:val="es-GT"/>
        </w:rPr>
        <w:t>Dorzema</w:t>
      </w:r>
      <w:proofErr w:type="spellEnd"/>
      <w:r w:rsidRPr="00771DF4">
        <w:rPr>
          <w:rFonts w:ascii="Verdana" w:hAnsi="Verdana"/>
          <w:i/>
          <w:sz w:val="16"/>
          <w:szCs w:val="16"/>
          <w:lang w:val="es-GT"/>
        </w:rPr>
        <w:t xml:space="preserve"> y otros Vs. República Dominicana.</w:t>
      </w:r>
      <w:r w:rsidRPr="00771DF4">
        <w:rPr>
          <w:rFonts w:ascii="Verdana" w:hAnsi="Verdana"/>
          <w:sz w:val="16"/>
          <w:szCs w:val="16"/>
          <w:lang w:val="es-GT"/>
        </w:rPr>
        <w:t xml:space="preserve"> Solicitud de medidas provisionales. Resolución de la Corte Interamericana de Derechos Humanos de 23 de febrero de 2016</w:t>
      </w:r>
      <w:r w:rsidR="00A61F08">
        <w:rPr>
          <w:rFonts w:ascii="Verdana" w:hAnsi="Verdana"/>
          <w:sz w:val="16"/>
          <w:szCs w:val="16"/>
          <w:lang w:val="es-GT"/>
        </w:rPr>
        <w:t>,</w:t>
      </w:r>
      <w:r>
        <w:rPr>
          <w:rFonts w:ascii="Verdana" w:hAnsi="Verdana"/>
          <w:sz w:val="16"/>
          <w:szCs w:val="16"/>
          <w:lang w:val="es-GT"/>
        </w:rPr>
        <w:t xml:space="preserve"> Considerando </w:t>
      </w:r>
      <w:r w:rsidR="00A61F08">
        <w:rPr>
          <w:rFonts w:ascii="Verdana" w:hAnsi="Verdana"/>
          <w:sz w:val="16"/>
          <w:szCs w:val="16"/>
          <w:lang w:val="es-GT"/>
        </w:rPr>
        <w:t>décimo primero</w:t>
      </w:r>
      <w:r>
        <w:rPr>
          <w:rFonts w:ascii="Verdana" w:hAnsi="Verdana"/>
          <w:sz w:val="16"/>
          <w:szCs w:val="16"/>
          <w:lang w:val="es-GT"/>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918368"/>
      <w:docPartObj>
        <w:docPartGallery w:val="Page Numbers (Top of Page)"/>
        <w:docPartUnique/>
      </w:docPartObj>
    </w:sdtPr>
    <w:sdtEndPr>
      <w:rPr>
        <w:rFonts w:ascii="Verdana" w:hAnsi="Verdana"/>
        <w:noProof/>
        <w:sz w:val="20"/>
        <w:szCs w:val="20"/>
      </w:rPr>
    </w:sdtEndPr>
    <w:sdtContent>
      <w:p w:rsidR="00165816" w:rsidRPr="00A21CB9" w:rsidRDefault="00421141">
        <w:pPr>
          <w:pStyle w:val="Header"/>
          <w:jc w:val="center"/>
          <w:rPr>
            <w:rFonts w:ascii="Verdana" w:hAnsi="Verdana"/>
            <w:sz w:val="20"/>
            <w:szCs w:val="20"/>
          </w:rPr>
        </w:pPr>
        <w:r>
          <w:fldChar w:fldCharType="begin"/>
        </w:r>
        <w:r w:rsidR="00F6757C">
          <w:instrText xml:space="preserve"> PAGE   \* MERGEFORMAT </w:instrText>
        </w:r>
        <w:r>
          <w:fldChar w:fldCharType="separate"/>
        </w:r>
        <w:r w:rsidR="00331780" w:rsidRPr="00331780">
          <w:rPr>
            <w:rFonts w:ascii="Verdana" w:hAnsi="Verdana"/>
            <w:noProof/>
            <w:sz w:val="20"/>
            <w:szCs w:val="20"/>
          </w:rPr>
          <w:t>2</w:t>
        </w:r>
        <w:r>
          <w:rPr>
            <w:rFonts w:ascii="Verdana" w:hAnsi="Verdana"/>
            <w:noProof/>
            <w:sz w:val="20"/>
            <w:szCs w:val="20"/>
          </w:rPr>
          <w:fldChar w:fldCharType="end"/>
        </w:r>
      </w:p>
    </w:sdtContent>
  </w:sdt>
  <w:p w:rsidR="00165816" w:rsidRDefault="001658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2078B"/>
    <w:multiLevelType w:val="hybridMultilevel"/>
    <w:tmpl w:val="880A4D4C"/>
    <w:lvl w:ilvl="0" w:tplc="849CD9DC">
      <w:start w:val="1"/>
      <w:numFmt w:val="decimal"/>
      <w:lvlText w:val="%1."/>
      <w:lvlJc w:val="left"/>
      <w:pPr>
        <w:ind w:left="1065" w:hanging="70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47E50E9"/>
    <w:multiLevelType w:val="hybridMultilevel"/>
    <w:tmpl w:val="4FD87780"/>
    <w:lvl w:ilvl="0" w:tplc="ECECC2E4">
      <w:start w:val="1"/>
      <w:numFmt w:val="decimal"/>
      <w:lvlText w:val="%1."/>
      <w:lvlJc w:val="left"/>
      <w:pPr>
        <w:ind w:left="1500" w:hanging="114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5CF656A"/>
    <w:multiLevelType w:val="hybridMultilevel"/>
    <w:tmpl w:val="B5DC6D04"/>
    <w:lvl w:ilvl="0" w:tplc="C50AC5C2">
      <w:start w:val="1"/>
      <w:numFmt w:val="decimal"/>
      <w:lvlText w:val="%1."/>
      <w:lvlJc w:val="left"/>
      <w:pPr>
        <w:ind w:left="720" w:hanging="360"/>
      </w:pPr>
      <w:rPr>
        <w:rFonts w:ascii="Verdana" w:hAnsi="Verdana" w:hint="default"/>
        <w:b w:val="0"/>
        <w:color w:val="auto"/>
        <w:sz w:val="20"/>
        <w:szCs w:val="2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
    <w:nsid w:val="26136221"/>
    <w:multiLevelType w:val="hybridMultilevel"/>
    <w:tmpl w:val="A4664982"/>
    <w:lvl w:ilvl="0" w:tplc="17E29A52">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nsid w:val="321915B6"/>
    <w:multiLevelType w:val="hybridMultilevel"/>
    <w:tmpl w:val="3B0470B6"/>
    <w:lvl w:ilvl="0" w:tplc="9A84467C">
      <w:start w:val="2"/>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B936DAF"/>
    <w:multiLevelType w:val="hybridMultilevel"/>
    <w:tmpl w:val="FC3297E4"/>
    <w:lvl w:ilvl="0" w:tplc="9B1E4ED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CD40139"/>
    <w:multiLevelType w:val="hybridMultilevel"/>
    <w:tmpl w:val="0EB0C392"/>
    <w:lvl w:ilvl="0" w:tplc="9E62A57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450298B"/>
    <w:multiLevelType w:val="hybridMultilevel"/>
    <w:tmpl w:val="5DF0310C"/>
    <w:lvl w:ilvl="0" w:tplc="0922DE9A">
      <w:start w:val="1"/>
      <w:numFmt w:val="decimal"/>
      <w:lvlText w:val="%1."/>
      <w:lvlJc w:val="left"/>
      <w:pPr>
        <w:ind w:left="1530" w:hanging="360"/>
      </w:pPr>
      <w:rPr>
        <w:rFonts w:ascii="Verdana" w:hAnsi="Verdana" w:hint="default"/>
        <w:b w:val="0"/>
        <w:i w:val="0"/>
        <w:strike w:val="0"/>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6D2B51EF"/>
    <w:multiLevelType w:val="hybridMultilevel"/>
    <w:tmpl w:val="6D9C561E"/>
    <w:lvl w:ilvl="0" w:tplc="140A000F">
      <w:start w:val="1"/>
      <w:numFmt w:val="decimal"/>
      <w:lvlText w:val="%1."/>
      <w:lvlJc w:val="left"/>
      <w:pPr>
        <w:ind w:left="502"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9">
    <w:nsid w:val="6F0B5B5B"/>
    <w:multiLevelType w:val="hybridMultilevel"/>
    <w:tmpl w:val="A4664982"/>
    <w:lvl w:ilvl="0" w:tplc="17E29A52">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72F90059"/>
    <w:multiLevelType w:val="hybridMultilevel"/>
    <w:tmpl w:val="26C4852A"/>
    <w:lvl w:ilvl="0" w:tplc="05C6F594">
      <w:start w:val="1"/>
      <w:numFmt w:val="decimal"/>
      <w:lvlText w:val="%1."/>
      <w:lvlJc w:val="left"/>
      <w:pPr>
        <w:tabs>
          <w:tab w:val="num" w:pos="1080"/>
        </w:tabs>
        <w:ind w:left="1080" w:hanging="360"/>
      </w:pPr>
      <w:rPr>
        <w:rFonts w:ascii="Cambria" w:hAnsi="Cambria" w:hint="default"/>
        <w:b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44010E1"/>
    <w:multiLevelType w:val="hybridMultilevel"/>
    <w:tmpl w:val="1F0A1BE6"/>
    <w:lvl w:ilvl="0" w:tplc="F172E020">
      <w:start w:val="1"/>
      <w:numFmt w:val="decimal"/>
      <w:lvlText w:val="%1."/>
      <w:lvlJc w:val="left"/>
      <w:pPr>
        <w:tabs>
          <w:tab w:val="num" w:pos="360"/>
        </w:tabs>
        <w:ind w:left="360" w:hanging="360"/>
      </w:pPr>
      <w:rPr>
        <w:rFonts w:ascii="Verdana" w:hAnsi="Verdana" w:hint="default"/>
        <w:b w:val="0"/>
        <w:sz w:val="20"/>
      </w:rPr>
    </w:lvl>
    <w:lvl w:ilvl="1" w:tplc="0409000F">
      <w:start w:val="1"/>
      <w:numFmt w:val="decimal"/>
      <w:lvlText w:val="%2."/>
      <w:lvlJc w:val="left"/>
      <w:pPr>
        <w:tabs>
          <w:tab w:val="num" w:pos="1440"/>
        </w:tabs>
        <w:ind w:left="1440" w:hanging="360"/>
      </w:pPr>
      <w:rPr>
        <w:b w:val="0"/>
      </w:rPr>
    </w:lvl>
    <w:lvl w:ilvl="2" w:tplc="92DEE256">
      <w:start w:val="1"/>
      <w:numFmt w:val="lowerLetter"/>
      <w:lvlText w:val="%3."/>
      <w:lvlJc w:val="left"/>
      <w:pPr>
        <w:tabs>
          <w:tab w:val="num" w:pos="2340"/>
        </w:tabs>
        <w:ind w:left="2340" w:hanging="360"/>
      </w:pPr>
    </w:lvl>
    <w:lvl w:ilvl="3" w:tplc="A9E0C762">
      <w:start w:val="1"/>
      <w:numFmt w:val="lowerLetter"/>
      <w:lvlText w:val="%4)"/>
      <w:lvlJc w:val="left"/>
      <w:pPr>
        <w:tabs>
          <w:tab w:val="num" w:pos="1440"/>
        </w:tabs>
        <w:ind w:left="144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76FB4048"/>
    <w:multiLevelType w:val="hybridMultilevel"/>
    <w:tmpl w:val="C75212EC"/>
    <w:lvl w:ilvl="0" w:tplc="E654E304">
      <w:start w:val="1"/>
      <w:numFmt w:val="lowerRoman"/>
      <w:lvlText w:val="%1)"/>
      <w:lvlJc w:val="left"/>
      <w:pPr>
        <w:ind w:left="1260" w:hanging="72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0"/>
  </w:num>
  <w:num w:numId="2">
    <w:abstractNumId w:val="1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9"/>
  </w:num>
  <w:num w:numId="12">
    <w:abstractNumId w:val="11"/>
  </w:num>
  <w:num w:numId="13">
    <w:abstractNumId w:val="6"/>
  </w:num>
  <w:num w:numId="14">
    <w:abstractNumId w:val="7"/>
  </w:num>
  <w:num w:numId="15">
    <w:abstractNumId w:val="5"/>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B48"/>
    <w:rsid w:val="000153E2"/>
    <w:rsid w:val="00016749"/>
    <w:rsid w:val="000238B5"/>
    <w:rsid w:val="00034839"/>
    <w:rsid w:val="00044C47"/>
    <w:rsid w:val="000540EF"/>
    <w:rsid w:val="000772AE"/>
    <w:rsid w:val="000857BA"/>
    <w:rsid w:val="00087755"/>
    <w:rsid w:val="000912AE"/>
    <w:rsid w:val="000A2D19"/>
    <w:rsid w:val="000A4814"/>
    <w:rsid w:val="000A56EE"/>
    <w:rsid w:val="000B26A2"/>
    <w:rsid w:val="000D224C"/>
    <w:rsid w:val="000D271B"/>
    <w:rsid w:val="000D6AA4"/>
    <w:rsid w:val="000D758E"/>
    <w:rsid w:val="000D7AA9"/>
    <w:rsid w:val="000F28C4"/>
    <w:rsid w:val="0011020A"/>
    <w:rsid w:val="0012278E"/>
    <w:rsid w:val="001305C7"/>
    <w:rsid w:val="001474A7"/>
    <w:rsid w:val="00152597"/>
    <w:rsid w:val="0015708E"/>
    <w:rsid w:val="00165816"/>
    <w:rsid w:val="0017705B"/>
    <w:rsid w:val="0017798D"/>
    <w:rsid w:val="0018206B"/>
    <w:rsid w:val="00191502"/>
    <w:rsid w:val="001931A0"/>
    <w:rsid w:val="001A6F88"/>
    <w:rsid w:val="001B1593"/>
    <w:rsid w:val="001C59D9"/>
    <w:rsid w:val="001C605D"/>
    <w:rsid w:val="001F3955"/>
    <w:rsid w:val="002140D3"/>
    <w:rsid w:val="00222880"/>
    <w:rsid w:val="00230DAA"/>
    <w:rsid w:val="00232ECB"/>
    <w:rsid w:val="00237380"/>
    <w:rsid w:val="00237414"/>
    <w:rsid w:val="00247019"/>
    <w:rsid w:val="00263743"/>
    <w:rsid w:val="00267D40"/>
    <w:rsid w:val="00285A3B"/>
    <w:rsid w:val="00291BBD"/>
    <w:rsid w:val="00292CE4"/>
    <w:rsid w:val="00293A28"/>
    <w:rsid w:val="002A0FDB"/>
    <w:rsid w:val="002A30D1"/>
    <w:rsid w:val="002B0DD6"/>
    <w:rsid w:val="002B44AF"/>
    <w:rsid w:val="002C4E7C"/>
    <w:rsid w:val="002C51C3"/>
    <w:rsid w:val="002C76B6"/>
    <w:rsid w:val="00315AE7"/>
    <w:rsid w:val="003230FA"/>
    <w:rsid w:val="00331780"/>
    <w:rsid w:val="00335E8B"/>
    <w:rsid w:val="00345B22"/>
    <w:rsid w:val="003A6DDA"/>
    <w:rsid w:val="003B2AAF"/>
    <w:rsid w:val="003E7918"/>
    <w:rsid w:val="003F4890"/>
    <w:rsid w:val="00421141"/>
    <w:rsid w:val="00421F11"/>
    <w:rsid w:val="00457C75"/>
    <w:rsid w:val="00485F28"/>
    <w:rsid w:val="004B1DCF"/>
    <w:rsid w:val="004D6683"/>
    <w:rsid w:val="004E3220"/>
    <w:rsid w:val="004F0DDD"/>
    <w:rsid w:val="00523EF9"/>
    <w:rsid w:val="0053062D"/>
    <w:rsid w:val="005518E8"/>
    <w:rsid w:val="00556EFF"/>
    <w:rsid w:val="00557B48"/>
    <w:rsid w:val="0056599B"/>
    <w:rsid w:val="00580BA4"/>
    <w:rsid w:val="0058770C"/>
    <w:rsid w:val="00587B7B"/>
    <w:rsid w:val="005C19F7"/>
    <w:rsid w:val="005D2D9A"/>
    <w:rsid w:val="005F5A48"/>
    <w:rsid w:val="00601A41"/>
    <w:rsid w:val="00606679"/>
    <w:rsid w:val="00607333"/>
    <w:rsid w:val="006245E8"/>
    <w:rsid w:val="006318FC"/>
    <w:rsid w:val="00636910"/>
    <w:rsid w:val="00643621"/>
    <w:rsid w:val="00662DA9"/>
    <w:rsid w:val="00675BAB"/>
    <w:rsid w:val="00677EB1"/>
    <w:rsid w:val="006A2334"/>
    <w:rsid w:val="006C537F"/>
    <w:rsid w:val="00727CE2"/>
    <w:rsid w:val="007311A9"/>
    <w:rsid w:val="00735440"/>
    <w:rsid w:val="00735948"/>
    <w:rsid w:val="00765517"/>
    <w:rsid w:val="00771DF4"/>
    <w:rsid w:val="00772290"/>
    <w:rsid w:val="00773BEC"/>
    <w:rsid w:val="00776968"/>
    <w:rsid w:val="007809A8"/>
    <w:rsid w:val="0079720D"/>
    <w:rsid w:val="007D1E9C"/>
    <w:rsid w:val="00811A5F"/>
    <w:rsid w:val="0081357B"/>
    <w:rsid w:val="00813F47"/>
    <w:rsid w:val="008474C5"/>
    <w:rsid w:val="0087148F"/>
    <w:rsid w:val="00881B0B"/>
    <w:rsid w:val="008D07DF"/>
    <w:rsid w:val="008F7AB5"/>
    <w:rsid w:val="00957406"/>
    <w:rsid w:val="009879A6"/>
    <w:rsid w:val="009907F9"/>
    <w:rsid w:val="009979F4"/>
    <w:rsid w:val="009B05E2"/>
    <w:rsid w:val="009D2166"/>
    <w:rsid w:val="009D63B4"/>
    <w:rsid w:val="009E433F"/>
    <w:rsid w:val="009F208B"/>
    <w:rsid w:val="009F41EB"/>
    <w:rsid w:val="00A01661"/>
    <w:rsid w:val="00A0193A"/>
    <w:rsid w:val="00A10FB9"/>
    <w:rsid w:val="00A15B87"/>
    <w:rsid w:val="00A21899"/>
    <w:rsid w:val="00A21CB9"/>
    <w:rsid w:val="00A2212E"/>
    <w:rsid w:val="00A45C68"/>
    <w:rsid w:val="00A51E73"/>
    <w:rsid w:val="00A54CCC"/>
    <w:rsid w:val="00A607B1"/>
    <w:rsid w:val="00A61F08"/>
    <w:rsid w:val="00A728EA"/>
    <w:rsid w:val="00A81721"/>
    <w:rsid w:val="00A93064"/>
    <w:rsid w:val="00AA7D0B"/>
    <w:rsid w:val="00AD3886"/>
    <w:rsid w:val="00AE0CD9"/>
    <w:rsid w:val="00B45E2D"/>
    <w:rsid w:val="00B76B91"/>
    <w:rsid w:val="00BC1BFA"/>
    <w:rsid w:val="00BD28F9"/>
    <w:rsid w:val="00BD4AB9"/>
    <w:rsid w:val="00BE0312"/>
    <w:rsid w:val="00C011CE"/>
    <w:rsid w:val="00C454FD"/>
    <w:rsid w:val="00C51022"/>
    <w:rsid w:val="00C65E05"/>
    <w:rsid w:val="00C726E7"/>
    <w:rsid w:val="00C93612"/>
    <w:rsid w:val="00C96A85"/>
    <w:rsid w:val="00CA4FC6"/>
    <w:rsid w:val="00CB4E04"/>
    <w:rsid w:val="00CB4EBE"/>
    <w:rsid w:val="00CC4584"/>
    <w:rsid w:val="00CD293E"/>
    <w:rsid w:val="00D1384E"/>
    <w:rsid w:val="00D414BE"/>
    <w:rsid w:val="00D61BFB"/>
    <w:rsid w:val="00DB2374"/>
    <w:rsid w:val="00DB51FB"/>
    <w:rsid w:val="00DB65F1"/>
    <w:rsid w:val="00DD0147"/>
    <w:rsid w:val="00DD592C"/>
    <w:rsid w:val="00DE5BC1"/>
    <w:rsid w:val="00E03721"/>
    <w:rsid w:val="00E4309F"/>
    <w:rsid w:val="00E50FFA"/>
    <w:rsid w:val="00E5169F"/>
    <w:rsid w:val="00E53EEE"/>
    <w:rsid w:val="00E637BA"/>
    <w:rsid w:val="00E70845"/>
    <w:rsid w:val="00E85530"/>
    <w:rsid w:val="00E86559"/>
    <w:rsid w:val="00ED3940"/>
    <w:rsid w:val="00EE6E43"/>
    <w:rsid w:val="00F3175B"/>
    <w:rsid w:val="00F36D70"/>
    <w:rsid w:val="00F43971"/>
    <w:rsid w:val="00F52E2A"/>
    <w:rsid w:val="00F62673"/>
    <w:rsid w:val="00F66DE0"/>
    <w:rsid w:val="00F6757C"/>
    <w:rsid w:val="00F76DD6"/>
    <w:rsid w:val="00F831A0"/>
    <w:rsid w:val="00F846FB"/>
    <w:rsid w:val="00FA4FDE"/>
    <w:rsid w:val="00FB10A1"/>
    <w:rsid w:val="00FB1F7C"/>
    <w:rsid w:val="00FC79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F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basedOn w:val="Normal"/>
    <w:link w:val="FootnoteTextChar"/>
    <w:qFormat/>
    <w:rsid w:val="00557B48"/>
    <w:pPr>
      <w:spacing w:after="0" w:line="240" w:lineRule="auto"/>
    </w:pPr>
    <w:rPr>
      <w:rFonts w:ascii="Times New Roman" w:eastAsia="MS Mincho" w:hAnsi="Times New Roman" w:cs="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rsid w:val="00557B48"/>
    <w:rPr>
      <w:rFonts w:ascii="Times New Roman" w:eastAsia="MS Mincho" w:hAnsi="Times New Roman" w:cs="Times New Roman"/>
      <w:sz w:val="20"/>
      <w:szCs w:val="20"/>
    </w:rPr>
  </w:style>
  <w:style w:type="character" w:styleId="FootnoteReference">
    <w:name w:val="footnote reference"/>
    <w:aliases w:val="Footnotes refss,Texto de nota al pie,Appel note de bas de page,Footnote number,referencia nota al pie,BVI fnr,f,Footnote symbol,Footnote,Ref. de nota al pie.,4_G,16 Point,Superscript 6 Point,Texto nota al pie,Ref,de nota al pie,norma"/>
    <w:uiPriority w:val="99"/>
    <w:qFormat/>
    <w:rsid w:val="00557B48"/>
    <w:rPr>
      <w:rFonts w:cs="Times New Roman"/>
      <w:vertAlign w:val="superscript"/>
    </w:rPr>
  </w:style>
  <w:style w:type="character" w:styleId="Hyperlink">
    <w:name w:val="Hyperlink"/>
    <w:basedOn w:val="DefaultParagraphFont"/>
    <w:uiPriority w:val="99"/>
    <w:semiHidden/>
    <w:unhideWhenUsed/>
    <w:rsid w:val="00557B48"/>
    <w:rPr>
      <w:color w:val="0000FF" w:themeColor="hyperlink"/>
      <w:u w:val="single"/>
    </w:rPr>
  </w:style>
  <w:style w:type="paragraph" w:styleId="ListParagraph">
    <w:name w:val="List Paragraph"/>
    <w:aliases w:val="Colorful List - Accent 11,List Paragraph2,List Paragraph1,Lista vistosa - Énfasis 11"/>
    <w:basedOn w:val="Normal"/>
    <w:link w:val="ListParagraphChar"/>
    <w:uiPriority w:val="34"/>
    <w:qFormat/>
    <w:rsid w:val="00557B48"/>
    <w:pPr>
      <w:spacing w:after="0" w:line="240" w:lineRule="auto"/>
      <w:ind w:left="720"/>
      <w:contextualSpacing/>
    </w:pPr>
    <w:rPr>
      <w:rFonts w:ascii="Garamond" w:eastAsia="Times" w:hAnsi="Garamond" w:cs="Times New Roman"/>
      <w:sz w:val="24"/>
      <w:szCs w:val="20"/>
      <w:lang w:val="es-ES_tradnl"/>
    </w:rPr>
  </w:style>
  <w:style w:type="character" w:customStyle="1" w:styleId="ListParagraphChar">
    <w:name w:val="List Paragraph Char"/>
    <w:aliases w:val="Colorful List - Accent 11 Char,List Paragraph2 Char,List Paragraph1 Char,Lista vistosa - Énfasis 11 Char"/>
    <w:link w:val="ListParagraph"/>
    <w:uiPriority w:val="99"/>
    <w:locked/>
    <w:rsid w:val="00557B48"/>
    <w:rPr>
      <w:rFonts w:ascii="Garamond" w:eastAsia="Times" w:hAnsi="Garamond" w:cs="Times New Roman"/>
      <w:sz w:val="24"/>
      <w:szCs w:val="20"/>
      <w:lang w:val="es-ES_tradnl"/>
    </w:rPr>
  </w:style>
  <w:style w:type="paragraph" w:customStyle="1" w:styleId="Prrafodelista1">
    <w:name w:val="Párrafo de lista1"/>
    <w:basedOn w:val="Normal"/>
    <w:qFormat/>
    <w:rsid w:val="00557B48"/>
    <w:pPr>
      <w:spacing w:after="0" w:line="240" w:lineRule="auto"/>
      <w:contextualSpacing/>
    </w:pPr>
    <w:rPr>
      <w:rFonts w:ascii="Verdana" w:eastAsia="Batang" w:hAnsi="Verdana" w:cs="Times New Roman"/>
      <w:sz w:val="16"/>
      <w:lang w:val="es-ES"/>
    </w:rPr>
  </w:style>
  <w:style w:type="character" w:styleId="Strong">
    <w:name w:val="Strong"/>
    <w:basedOn w:val="DefaultParagraphFont"/>
    <w:uiPriority w:val="22"/>
    <w:qFormat/>
    <w:rsid w:val="00A21899"/>
    <w:rPr>
      <w:b/>
      <w:bCs/>
    </w:rPr>
  </w:style>
  <w:style w:type="character" w:customStyle="1" w:styleId="eacep">
    <w:name w:val="eacep"/>
    <w:basedOn w:val="DefaultParagraphFont"/>
    <w:rsid w:val="00A21899"/>
  </w:style>
  <w:style w:type="character" w:customStyle="1" w:styleId="apple-converted-space">
    <w:name w:val="apple-converted-space"/>
    <w:basedOn w:val="DefaultParagraphFont"/>
    <w:rsid w:val="002B44AF"/>
  </w:style>
  <w:style w:type="character" w:customStyle="1" w:styleId="apple-style-span">
    <w:name w:val="apple-style-span"/>
    <w:basedOn w:val="DefaultParagraphFont"/>
    <w:rsid w:val="002B44AF"/>
    <w:rPr>
      <w:rFonts w:cs="Times New Roman"/>
    </w:rPr>
  </w:style>
  <w:style w:type="paragraph" w:styleId="Header">
    <w:name w:val="header"/>
    <w:basedOn w:val="Normal"/>
    <w:link w:val="HeaderChar"/>
    <w:uiPriority w:val="99"/>
    <w:unhideWhenUsed/>
    <w:rsid w:val="00A21C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CB9"/>
  </w:style>
  <w:style w:type="paragraph" w:styleId="Footer">
    <w:name w:val="footer"/>
    <w:basedOn w:val="Normal"/>
    <w:link w:val="FooterChar"/>
    <w:uiPriority w:val="99"/>
    <w:unhideWhenUsed/>
    <w:rsid w:val="00A21C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CB9"/>
  </w:style>
  <w:style w:type="paragraph" w:styleId="BalloonText">
    <w:name w:val="Balloon Text"/>
    <w:basedOn w:val="Normal"/>
    <w:link w:val="BalloonTextChar"/>
    <w:uiPriority w:val="99"/>
    <w:semiHidden/>
    <w:unhideWhenUsed/>
    <w:rsid w:val="00285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A3B"/>
    <w:rPr>
      <w:rFonts w:ascii="Tahoma" w:hAnsi="Tahoma" w:cs="Tahoma"/>
      <w:sz w:val="16"/>
      <w:szCs w:val="16"/>
    </w:rPr>
  </w:style>
  <w:style w:type="character" w:styleId="LineNumber">
    <w:name w:val="line number"/>
    <w:basedOn w:val="DefaultParagraphFont"/>
    <w:uiPriority w:val="99"/>
    <w:semiHidden/>
    <w:unhideWhenUsed/>
    <w:rsid w:val="005C19F7"/>
  </w:style>
  <w:style w:type="character" w:styleId="CommentReference">
    <w:name w:val="annotation reference"/>
    <w:basedOn w:val="DefaultParagraphFont"/>
    <w:uiPriority w:val="99"/>
    <w:semiHidden/>
    <w:unhideWhenUsed/>
    <w:rsid w:val="000F28C4"/>
    <w:rPr>
      <w:sz w:val="18"/>
      <w:szCs w:val="18"/>
    </w:rPr>
  </w:style>
  <w:style w:type="paragraph" w:styleId="CommentText">
    <w:name w:val="annotation text"/>
    <w:basedOn w:val="Normal"/>
    <w:link w:val="CommentTextChar"/>
    <w:uiPriority w:val="99"/>
    <w:semiHidden/>
    <w:unhideWhenUsed/>
    <w:rsid w:val="000F28C4"/>
    <w:pPr>
      <w:spacing w:line="240" w:lineRule="auto"/>
    </w:pPr>
    <w:rPr>
      <w:sz w:val="24"/>
      <w:szCs w:val="24"/>
    </w:rPr>
  </w:style>
  <w:style w:type="character" w:customStyle="1" w:styleId="CommentTextChar">
    <w:name w:val="Comment Text Char"/>
    <w:basedOn w:val="DefaultParagraphFont"/>
    <w:link w:val="CommentText"/>
    <w:uiPriority w:val="99"/>
    <w:semiHidden/>
    <w:rsid w:val="000F28C4"/>
    <w:rPr>
      <w:sz w:val="24"/>
      <w:szCs w:val="24"/>
    </w:rPr>
  </w:style>
  <w:style w:type="paragraph" w:styleId="CommentSubject">
    <w:name w:val="annotation subject"/>
    <w:basedOn w:val="CommentText"/>
    <w:next w:val="CommentText"/>
    <w:link w:val="CommentSubjectChar"/>
    <w:uiPriority w:val="99"/>
    <w:semiHidden/>
    <w:unhideWhenUsed/>
    <w:rsid w:val="000F28C4"/>
    <w:rPr>
      <w:b/>
      <w:bCs/>
      <w:sz w:val="20"/>
      <w:szCs w:val="20"/>
    </w:rPr>
  </w:style>
  <w:style w:type="character" w:customStyle="1" w:styleId="CommentSubjectChar">
    <w:name w:val="Comment Subject Char"/>
    <w:basedOn w:val="CommentTextChar"/>
    <w:link w:val="CommentSubject"/>
    <w:uiPriority w:val="99"/>
    <w:semiHidden/>
    <w:rsid w:val="000F28C4"/>
    <w:rPr>
      <w:b/>
      <w:bCs/>
      <w:sz w:val="20"/>
      <w:szCs w:val="20"/>
    </w:rPr>
  </w:style>
  <w:style w:type="paragraph" w:styleId="Revision">
    <w:name w:val="Revision"/>
    <w:hidden/>
    <w:uiPriority w:val="99"/>
    <w:semiHidden/>
    <w:rsid w:val="00ED39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F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basedOn w:val="Normal"/>
    <w:link w:val="FootnoteTextChar"/>
    <w:qFormat/>
    <w:rsid w:val="00557B48"/>
    <w:pPr>
      <w:spacing w:after="0" w:line="240" w:lineRule="auto"/>
    </w:pPr>
    <w:rPr>
      <w:rFonts w:ascii="Times New Roman" w:eastAsia="MS Mincho" w:hAnsi="Times New Roman" w:cs="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rsid w:val="00557B48"/>
    <w:rPr>
      <w:rFonts w:ascii="Times New Roman" w:eastAsia="MS Mincho" w:hAnsi="Times New Roman" w:cs="Times New Roman"/>
      <w:sz w:val="20"/>
      <w:szCs w:val="20"/>
    </w:rPr>
  </w:style>
  <w:style w:type="character" w:styleId="FootnoteReference">
    <w:name w:val="footnote reference"/>
    <w:aliases w:val="Footnotes refss,Texto de nota al pie,Appel note de bas de page,Footnote number,referencia nota al pie,BVI fnr,f,Footnote symbol,Footnote,Ref. de nota al pie.,4_G,16 Point,Superscript 6 Point,Texto nota al pie,Ref,de nota al pie,norma"/>
    <w:uiPriority w:val="99"/>
    <w:qFormat/>
    <w:rsid w:val="00557B48"/>
    <w:rPr>
      <w:rFonts w:cs="Times New Roman"/>
      <w:vertAlign w:val="superscript"/>
    </w:rPr>
  </w:style>
  <w:style w:type="character" w:styleId="Hyperlink">
    <w:name w:val="Hyperlink"/>
    <w:basedOn w:val="DefaultParagraphFont"/>
    <w:uiPriority w:val="99"/>
    <w:semiHidden/>
    <w:unhideWhenUsed/>
    <w:rsid w:val="00557B48"/>
    <w:rPr>
      <w:color w:val="0000FF" w:themeColor="hyperlink"/>
      <w:u w:val="single"/>
    </w:rPr>
  </w:style>
  <w:style w:type="paragraph" w:styleId="ListParagraph">
    <w:name w:val="List Paragraph"/>
    <w:aliases w:val="Colorful List - Accent 11,List Paragraph2,List Paragraph1,Lista vistosa - Énfasis 11"/>
    <w:basedOn w:val="Normal"/>
    <w:link w:val="ListParagraphChar"/>
    <w:uiPriority w:val="34"/>
    <w:qFormat/>
    <w:rsid w:val="00557B48"/>
    <w:pPr>
      <w:spacing w:after="0" w:line="240" w:lineRule="auto"/>
      <w:ind w:left="720"/>
      <w:contextualSpacing/>
    </w:pPr>
    <w:rPr>
      <w:rFonts w:ascii="Garamond" w:eastAsia="Times" w:hAnsi="Garamond" w:cs="Times New Roman"/>
      <w:sz w:val="24"/>
      <w:szCs w:val="20"/>
      <w:lang w:val="es-ES_tradnl"/>
    </w:rPr>
  </w:style>
  <w:style w:type="character" w:customStyle="1" w:styleId="ListParagraphChar">
    <w:name w:val="List Paragraph Char"/>
    <w:aliases w:val="Colorful List - Accent 11 Char,List Paragraph2 Char,List Paragraph1 Char,Lista vistosa - Énfasis 11 Char"/>
    <w:link w:val="ListParagraph"/>
    <w:uiPriority w:val="99"/>
    <w:locked/>
    <w:rsid w:val="00557B48"/>
    <w:rPr>
      <w:rFonts w:ascii="Garamond" w:eastAsia="Times" w:hAnsi="Garamond" w:cs="Times New Roman"/>
      <w:sz w:val="24"/>
      <w:szCs w:val="20"/>
      <w:lang w:val="es-ES_tradnl"/>
    </w:rPr>
  </w:style>
  <w:style w:type="paragraph" w:customStyle="1" w:styleId="Prrafodelista1">
    <w:name w:val="Párrafo de lista1"/>
    <w:basedOn w:val="Normal"/>
    <w:qFormat/>
    <w:rsid w:val="00557B48"/>
    <w:pPr>
      <w:spacing w:after="0" w:line="240" w:lineRule="auto"/>
      <w:contextualSpacing/>
    </w:pPr>
    <w:rPr>
      <w:rFonts w:ascii="Verdana" w:eastAsia="Batang" w:hAnsi="Verdana" w:cs="Times New Roman"/>
      <w:sz w:val="16"/>
      <w:lang w:val="es-ES"/>
    </w:rPr>
  </w:style>
  <w:style w:type="character" w:styleId="Strong">
    <w:name w:val="Strong"/>
    <w:basedOn w:val="DefaultParagraphFont"/>
    <w:uiPriority w:val="22"/>
    <w:qFormat/>
    <w:rsid w:val="00A21899"/>
    <w:rPr>
      <w:b/>
      <w:bCs/>
    </w:rPr>
  </w:style>
  <w:style w:type="character" w:customStyle="1" w:styleId="eacep">
    <w:name w:val="eacep"/>
    <w:basedOn w:val="DefaultParagraphFont"/>
    <w:rsid w:val="00A21899"/>
  </w:style>
  <w:style w:type="character" w:customStyle="1" w:styleId="apple-converted-space">
    <w:name w:val="apple-converted-space"/>
    <w:basedOn w:val="DefaultParagraphFont"/>
    <w:rsid w:val="002B44AF"/>
  </w:style>
  <w:style w:type="character" w:customStyle="1" w:styleId="apple-style-span">
    <w:name w:val="apple-style-span"/>
    <w:basedOn w:val="DefaultParagraphFont"/>
    <w:rsid w:val="002B44AF"/>
    <w:rPr>
      <w:rFonts w:cs="Times New Roman"/>
    </w:rPr>
  </w:style>
  <w:style w:type="paragraph" w:styleId="Header">
    <w:name w:val="header"/>
    <w:basedOn w:val="Normal"/>
    <w:link w:val="HeaderChar"/>
    <w:uiPriority w:val="99"/>
    <w:unhideWhenUsed/>
    <w:rsid w:val="00A21C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CB9"/>
  </w:style>
  <w:style w:type="paragraph" w:styleId="Footer">
    <w:name w:val="footer"/>
    <w:basedOn w:val="Normal"/>
    <w:link w:val="FooterChar"/>
    <w:uiPriority w:val="99"/>
    <w:unhideWhenUsed/>
    <w:rsid w:val="00A21C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CB9"/>
  </w:style>
  <w:style w:type="paragraph" w:styleId="BalloonText">
    <w:name w:val="Balloon Text"/>
    <w:basedOn w:val="Normal"/>
    <w:link w:val="BalloonTextChar"/>
    <w:uiPriority w:val="99"/>
    <w:semiHidden/>
    <w:unhideWhenUsed/>
    <w:rsid w:val="00285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A3B"/>
    <w:rPr>
      <w:rFonts w:ascii="Tahoma" w:hAnsi="Tahoma" w:cs="Tahoma"/>
      <w:sz w:val="16"/>
      <w:szCs w:val="16"/>
    </w:rPr>
  </w:style>
  <w:style w:type="character" w:styleId="LineNumber">
    <w:name w:val="line number"/>
    <w:basedOn w:val="DefaultParagraphFont"/>
    <w:uiPriority w:val="99"/>
    <w:semiHidden/>
    <w:unhideWhenUsed/>
    <w:rsid w:val="005C19F7"/>
  </w:style>
  <w:style w:type="character" w:styleId="CommentReference">
    <w:name w:val="annotation reference"/>
    <w:basedOn w:val="DefaultParagraphFont"/>
    <w:uiPriority w:val="99"/>
    <w:semiHidden/>
    <w:unhideWhenUsed/>
    <w:rsid w:val="000F28C4"/>
    <w:rPr>
      <w:sz w:val="18"/>
      <w:szCs w:val="18"/>
    </w:rPr>
  </w:style>
  <w:style w:type="paragraph" w:styleId="CommentText">
    <w:name w:val="annotation text"/>
    <w:basedOn w:val="Normal"/>
    <w:link w:val="CommentTextChar"/>
    <w:uiPriority w:val="99"/>
    <w:semiHidden/>
    <w:unhideWhenUsed/>
    <w:rsid w:val="000F28C4"/>
    <w:pPr>
      <w:spacing w:line="240" w:lineRule="auto"/>
    </w:pPr>
    <w:rPr>
      <w:sz w:val="24"/>
      <w:szCs w:val="24"/>
    </w:rPr>
  </w:style>
  <w:style w:type="character" w:customStyle="1" w:styleId="CommentTextChar">
    <w:name w:val="Comment Text Char"/>
    <w:basedOn w:val="DefaultParagraphFont"/>
    <w:link w:val="CommentText"/>
    <w:uiPriority w:val="99"/>
    <w:semiHidden/>
    <w:rsid w:val="000F28C4"/>
    <w:rPr>
      <w:sz w:val="24"/>
      <w:szCs w:val="24"/>
    </w:rPr>
  </w:style>
  <w:style w:type="paragraph" w:styleId="CommentSubject">
    <w:name w:val="annotation subject"/>
    <w:basedOn w:val="CommentText"/>
    <w:next w:val="CommentText"/>
    <w:link w:val="CommentSubjectChar"/>
    <w:uiPriority w:val="99"/>
    <w:semiHidden/>
    <w:unhideWhenUsed/>
    <w:rsid w:val="000F28C4"/>
    <w:rPr>
      <w:b/>
      <w:bCs/>
      <w:sz w:val="20"/>
      <w:szCs w:val="20"/>
    </w:rPr>
  </w:style>
  <w:style w:type="character" w:customStyle="1" w:styleId="CommentSubjectChar">
    <w:name w:val="Comment Subject Char"/>
    <w:basedOn w:val="CommentTextChar"/>
    <w:link w:val="CommentSubject"/>
    <w:uiPriority w:val="99"/>
    <w:semiHidden/>
    <w:rsid w:val="000F28C4"/>
    <w:rPr>
      <w:b/>
      <w:bCs/>
      <w:sz w:val="20"/>
      <w:szCs w:val="20"/>
    </w:rPr>
  </w:style>
  <w:style w:type="paragraph" w:styleId="Revision">
    <w:name w:val="Revision"/>
    <w:hidden/>
    <w:uiPriority w:val="99"/>
    <w:semiHidden/>
    <w:rsid w:val="00ED39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0928">
      <w:bodyDiv w:val="1"/>
      <w:marLeft w:val="0"/>
      <w:marRight w:val="0"/>
      <w:marTop w:val="0"/>
      <w:marBottom w:val="0"/>
      <w:divBdr>
        <w:top w:val="none" w:sz="0" w:space="0" w:color="auto"/>
        <w:left w:val="none" w:sz="0" w:space="0" w:color="auto"/>
        <w:bottom w:val="none" w:sz="0" w:space="0" w:color="auto"/>
        <w:right w:val="none" w:sz="0" w:space="0" w:color="auto"/>
      </w:divBdr>
    </w:div>
    <w:div w:id="214045495">
      <w:bodyDiv w:val="1"/>
      <w:marLeft w:val="0"/>
      <w:marRight w:val="0"/>
      <w:marTop w:val="0"/>
      <w:marBottom w:val="0"/>
      <w:divBdr>
        <w:top w:val="none" w:sz="0" w:space="0" w:color="auto"/>
        <w:left w:val="none" w:sz="0" w:space="0" w:color="auto"/>
        <w:bottom w:val="none" w:sz="0" w:space="0" w:color="auto"/>
        <w:right w:val="none" w:sz="0" w:space="0" w:color="auto"/>
      </w:divBdr>
    </w:div>
    <w:div w:id="370570286">
      <w:bodyDiv w:val="1"/>
      <w:marLeft w:val="0"/>
      <w:marRight w:val="0"/>
      <w:marTop w:val="0"/>
      <w:marBottom w:val="0"/>
      <w:divBdr>
        <w:top w:val="none" w:sz="0" w:space="0" w:color="auto"/>
        <w:left w:val="none" w:sz="0" w:space="0" w:color="auto"/>
        <w:bottom w:val="none" w:sz="0" w:space="0" w:color="auto"/>
        <w:right w:val="none" w:sz="0" w:space="0" w:color="auto"/>
      </w:divBdr>
    </w:div>
    <w:div w:id="526454108">
      <w:bodyDiv w:val="1"/>
      <w:marLeft w:val="0"/>
      <w:marRight w:val="0"/>
      <w:marTop w:val="0"/>
      <w:marBottom w:val="0"/>
      <w:divBdr>
        <w:top w:val="none" w:sz="0" w:space="0" w:color="auto"/>
        <w:left w:val="none" w:sz="0" w:space="0" w:color="auto"/>
        <w:bottom w:val="none" w:sz="0" w:space="0" w:color="auto"/>
        <w:right w:val="none" w:sz="0" w:space="0" w:color="auto"/>
      </w:divBdr>
    </w:div>
    <w:div w:id="1116826741">
      <w:bodyDiv w:val="1"/>
      <w:marLeft w:val="0"/>
      <w:marRight w:val="0"/>
      <w:marTop w:val="0"/>
      <w:marBottom w:val="0"/>
      <w:divBdr>
        <w:top w:val="none" w:sz="0" w:space="0" w:color="auto"/>
        <w:left w:val="none" w:sz="0" w:space="0" w:color="auto"/>
        <w:bottom w:val="none" w:sz="0" w:space="0" w:color="auto"/>
        <w:right w:val="none" w:sz="0" w:space="0" w:color="auto"/>
      </w:divBdr>
    </w:div>
    <w:div w:id="1148475745">
      <w:bodyDiv w:val="1"/>
      <w:marLeft w:val="0"/>
      <w:marRight w:val="0"/>
      <w:marTop w:val="0"/>
      <w:marBottom w:val="0"/>
      <w:divBdr>
        <w:top w:val="none" w:sz="0" w:space="0" w:color="auto"/>
        <w:left w:val="none" w:sz="0" w:space="0" w:color="auto"/>
        <w:bottom w:val="none" w:sz="0" w:space="0" w:color="auto"/>
        <w:right w:val="none" w:sz="0" w:space="0" w:color="auto"/>
      </w:divBdr>
    </w:div>
    <w:div w:id="1160121488">
      <w:bodyDiv w:val="1"/>
      <w:marLeft w:val="0"/>
      <w:marRight w:val="0"/>
      <w:marTop w:val="0"/>
      <w:marBottom w:val="0"/>
      <w:divBdr>
        <w:top w:val="none" w:sz="0" w:space="0" w:color="auto"/>
        <w:left w:val="none" w:sz="0" w:space="0" w:color="auto"/>
        <w:bottom w:val="none" w:sz="0" w:space="0" w:color="auto"/>
        <w:right w:val="none" w:sz="0" w:space="0" w:color="auto"/>
      </w:divBdr>
    </w:div>
    <w:div w:id="1211263664">
      <w:bodyDiv w:val="1"/>
      <w:marLeft w:val="0"/>
      <w:marRight w:val="0"/>
      <w:marTop w:val="0"/>
      <w:marBottom w:val="0"/>
      <w:divBdr>
        <w:top w:val="none" w:sz="0" w:space="0" w:color="auto"/>
        <w:left w:val="none" w:sz="0" w:space="0" w:color="auto"/>
        <w:bottom w:val="none" w:sz="0" w:space="0" w:color="auto"/>
        <w:right w:val="none" w:sz="0" w:space="0" w:color="auto"/>
      </w:divBdr>
    </w:div>
    <w:div w:id="1447651390">
      <w:bodyDiv w:val="1"/>
      <w:marLeft w:val="0"/>
      <w:marRight w:val="0"/>
      <w:marTop w:val="0"/>
      <w:marBottom w:val="0"/>
      <w:divBdr>
        <w:top w:val="none" w:sz="0" w:space="0" w:color="auto"/>
        <w:left w:val="none" w:sz="0" w:space="0" w:color="auto"/>
        <w:bottom w:val="none" w:sz="0" w:space="0" w:color="auto"/>
        <w:right w:val="none" w:sz="0" w:space="0" w:color="auto"/>
      </w:divBdr>
    </w:div>
    <w:div w:id="1502967415">
      <w:bodyDiv w:val="1"/>
      <w:marLeft w:val="0"/>
      <w:marRight w:val="0"/>
      <w:marTop w:val="0"/>
      <w:marBottom w:val="0"/>
      <w:divBdr>
        <w:top w:val="none" w:sz="0" w:space="0" w:color="auto"/>
        <w:left w:val="none" w:sz="0" w:space="0" w:color="auto"/>
        <w:bottom w:val="none" w:sz="0" w:space="0" w:color="auto"/>
        <w:right w:val="none" w:sz="0" w:space="0" w:color="auto"/>
      </w:divBdr>
    </w:div>
    <w:div w:id="1623876246">
      <w:bodyDiv w:val="1"/>
      <w:marLeft w:val="0"/>
      <w:marRight w:val="0"/>
      <w:marTop w:val="0"/>
      <w:marBottom w:val="0"/>
      <w:divBdr>
        <w:top w:val="none" w:sz="0" w:space="0" w:color="auto"/>
        <w:left w:val="none" w:sz="0" w:space="0" w:color="auto"/>
        <w:bottom w:val="none" w:sz="0" w:space="0" w:color="auto"/>
        <w:right w:val="none" w:sz="0" w:space="0" w:color="auto"/>
      </w:divBdr>
    </w:div>
    <w:div w:id="1882744159">
      <w:bodyDiv w:val="1"/>
      <w:marLeft w:val="0"/>
      <w:marRight w:val="0"/>
      <w:marTop w:val="0"/>
      <w:marBottom w:val="0"/>
      <w:divBdr>
        <w:top w:val="none" w:sz="0" w:space="0" w:color="auto"/>
        <w:left w:val="none" w:sz="0" w:space="0" w:color="auto"/>
        <w:bottom w:val="none" w:sz="0" w:space="0" w:color="auto"/>
        <w:right w:val="none" w:sz="0" w:space="0" w:color="auto"/>
      </w:divBdr>
    </w:div>
    <w:div w:id="1921209559">
      <w:bodyDiv w:val="1"/>
      <w:marLeft w:val="0"/>
      <w:marRight w:val="0"/>
      <w:marTop w:val="0"/>
      <w:marBottom w:val="0"/>
      <w:divBdr>
        <w:top w:val="none" w:sz="0" w:space="0" w:color="auto"/>
        <w:left w:val="none" w:sz="0" w:space="0" w:color="auto"/>
        <w:bottom w:val="none" w:sz="0" w:space="0" w:color="auto"/>
        <w:right w:val="none" w:sz="0" w:space="0" w:color="auto"/>
      </w:divBdr>
    </w:div>
    <w:div w:id="206047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05ED2-BFB0-4C26-B793-37D59DB31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3479</Words>
  <Characters>18826</Characters>
  <Application>Microsoft Office Word</Application>
  <DocSecurity>4</DocSecurity>
  <Lines>384</Lines>
  <Paragraphs>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 &lt;corteidh@corteidh.or.cr&gt;</dc:creator>
  <cp:lastModifiedBy>Julliana Saborio</cp:lastModifiedBy>
  <cp:revision>2</cp:revision>
  <cp:lastPrinted>2016-09-02T18:07:00Z</cp:lastPrinted>
  <dcterms:created xsi:type="dcterms:W3CDTF">2016-09-02T20:05:00Z</dcterms:created>
  <dcterms:modified xsi:type="dcterms:W3CDTF">2016-09-02T20:05:00Z</dcterms:modified>
</cp:coreProperties>
</file>