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2E047" w14:textId="77777777" w:rsidR="00D22A86" w:rsidRDefault="00D22A86" w:rsidP="00B75B22">
      <w:pPr>
        <w:tabs>
          <w:tab w:val="left" w:pos="567"/>
        </w:tabs>
        <w:spacing w:after="0" w:line="240" w:lineRule="auto"/>
        <w:jc w:val="center"/>
        <w:rPr>
          <w:rFonts w:ascii="Verdana" w:hAnsi="Verdana"/>
          <w:b/>
          <w:spacing w:val="-4"/>
          <w:sz w:val="20"/>
          <w:szCs w:val="20"/>
          <w:lang w:val="es-MX"/>
        </w:rPr>
      </w:pPr>
    </w:p>
    <w:p w14:paraId="4B02F54F" w14:textId="77777777" w:rsidR="00D22A86" w:rsidRDefault="00D22A86" w:rsidP="00B75B22">
      <w:pPr>
        <w:tabs>
          <w:tab w:val="left" w:pos="567"/>
        </w:tabs>
        <w:spacing w:after="0" w:line="240" w:lineRule="auto"/>
        <w:jc w:val="center"/>
        <w:rPr>
          <w:rFonts w:ascii="Verdana" w:hAnsi="Verdana"/>
          <w:b/>
          <w:spacing w:val="-4"/>
          <w:sz w:val="20"/>
          <w:szCs w:val="20"/>
          <w:lang w:val="es-MX"/>
        </w:rPr>
      </w:pPr>
    </w:p>
    <w:p w14:paraId="4B89B8BB" w14:textId="77777777" w:rsidR="00D22A86" w:rsidRDefault="00D22A86" w:rsidP="00B75B22">
      <w:pPr>
        <w:tabs>
          <w:tab w:val="left" w:pos="567"/>
        </w:tabs>
        <w:spacing w:after="0" w:line="240" w:lineRule="auto"/>
        <w:jc w:val="center"/>
        <w:rPr>
          <w:rFonts w:ascii="Verdana" w:hAnsi="Verdana"/>
          <w:b/>
          <w:spacing w:val="-4"/>
          <w:sz w:val="20"/>
          <w:szCs w:val="20"/>
          <w:lang w:val="es-MX"/>
        </w:rPr>
      </w:pPr>
    </w:p>
    <w:p w14:paraId="7D80C063" w14:textId="77777777" w:rsidR="00D22A86" w:rsidRDefault="00D22A86" w:rsidP="00B75B22">
      <w:pPr>
        <w:tabs>
          <w:tab w:val="left" w:pos="567"/>
        </w:tabs>
        <w:spacing w:after="0" w:line="240" w:lineRule="auto"/>
        <w:jc w:val="center"/>
        <w:rPr>
          <w:rFonts w:ascii="Verdana" w:hAnsi="Verdana"/>
          <w:b/>
          <w:spacing w:val="-4"/>
          <w:sz w:val="20"/>
          <w:szCs w:val="20"/>
          <w:lang w:val="es-MX"/>
        </w:rPr>
      </w:pPr>
    </w:p>
    <w:p w14:paraId="4F6189BA" w14:textId="77777777" w:rsidR="00D22A86" w:rsidRDefault="00D22A86" w:rsidP="00B75B22">
      <w:pPr>
        <w:tabs>
          <w:tab w:val="left" w:pos="567"/>
        </w:tabs>
        <w:spacing w:after="0" w:line="240" w:lineRule="auto"/>
        <w:jc w:val="center"/>
        <w:rPr>
          <w:rFonts w:ascii="Verdana" w:hAnsi="Verdana"/>
          <w:b/>
          <w:spacing w:val="-4"/>
          <w:sz w:val="20"/>
          <w:szCs w:val="20"/>
          <w:lang w:val="es-MX"/>
        </w:rPr>
      </w:pPr>
    </w:p>
    <w:p w14:paraId="04E258F4"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RESOLUCIÓN DE LA </w:t>
      </w:r>
    </w:p>
    <w:p w14:paraId="7A7B349F"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CORTE INTERAMERICANA DE DERECHOS HUMANOS</w:t>
      </w:r>
    </w:p>
    <w:p w14:paraId="639EA980" w14:textId="77777777" w:rsidR="00B75B22" w:rsidRPr="008818D3" w:rsidRDefault="00B75B22" w:rsidP="00B75B22">
      <w:pPr>
        <w:tabs>
          <w:tab w:val="left" w:pos="567"/>
        </w:tabs>
        <w:spacing w:after="0" w:line="240" w:lineRule="auto"/>
        <w:jc w:val="center"/>
        <w:rPr>
          <w:rFonts w:ascii="Verdana" w:hAnsi="Verdana"/>
          <w:b/>
          <w:spacing w:val="-4"/>
          <w:sz w:val="20"/>
          <w:szCs w:val="20"/>
          <w:lang w:val="es-ES_tradnl"/>
        </w:rPr>
      </w:pPr>
    </w:p>
    <w:p w14:paraId="58D9895C" w14:textId="70F271C3"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DE </w:t>
      </w:r>
      <w:r w:rsidR="003016DF">
        <w:rPr>
          <w:rFonts w:ascii="Verdana" w:hAnsi="Verdana"/>
          <w:b/>
          <w:spacing w:val="-4"/>
          <w:sz w:val="20"/>
          <w:szCs w:val="20"/>
          <w:lang w:val="es-GT"/>
        </w:rPr>
        <w:t>23</w:t>
      </w:r>
      <w:r w:rsidR="003016DF" w:rsidRPr="008818D3">
        <w:rPr>
          <w:rFonts w:ascii="Verdana" w:hAnsi="Verdana"/>
          <w:b/>
          <w:spacing w:val="-4"/>
          <w:sz w:val="20"/>
          <w:szCs w:val="20"/>
          <w:lang w:val="es-GT"/>
        </w:rPr>
        <w:t xml:space="preserve"> </w:t>
      </w:r>
      <w:r w:rsidRPr="008818D3">
        <w:rPr>
          <w:rFonts w:ascii="Verdana" w:hAnsi="Verdana"/>
          <w:b/>
          <w:spacing w:val="-4"/>
          <w:sz w:val="20"/>
          <w:szCs w:val="20"/>
          <w:lang w:val="es-GT"/>
        </w:rPr>
        <w:t xml:space="preserve">DE </w:t>
      </w:r>
      <w:r w:rsidR="004700EE" w:rsidRPr="000C401F">
        <w:rPr>
          <w:rFonts w:ascii="Verdana" w:hAnsi="Verdana"/>
          <w:b/>
          <w:spacing w:val="-4"/>
          <w:sz w:val="20"/>
          <w:szCs w:val="20"/>
          <w:lang w:val="es-GT"/>
        </w:rPr>
        <w:t>NOVIEMBRE</w:t>
      </w:r>
      <w:r w:rsidR="004700EE" w:rsidRPr="000C401F">
        <w:rPr>
          <w:rFonts w:ascii="Verdana" w:hAnsi="Verdana"/>
          <w:b/>
          <w:spacing w:val="-4"/>
          <w:sz w:val="20"/>
          <w:szCs w:val="20"/>
          <w:lang w:val="es-MX"/>
        </w:rPr>
        <w:t xml:space="preserve"> </w:t>
      </w:r>
      <w:r w:rsidRPr="008818D3">
        <w:rPr>
          <w:rFonts w:ascii="Verdana" w:hAnsi="Verdana"/>
          <w:b/>
          <w:spacing w:val="-4"/>
          <w:sz w:val="20"/>
          <w:szCs w:val="20"/>
          <w:lang w:val="es-MX"/>
        </w:rPr>
        <w:t>DE 2016</w:t>
      </w:r>
    </w:p>
    <w:p w14:paraId="2C7783E9"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p>
    <w:p w14:paraId="000C544B" w14:textId="3F475D52"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MEDIDAS PROVISIONALES </w:t>
      </w:r>
    </w:p>
    <w:p w14:paraId="740A8222"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RESPECTO NICARAGUA</w:t>
      </w:r>
    </w:p>
    <w:p w14:paraId="522F37BB"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p>
    <w:p w14:paraId="7879DF44"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ASUNTO POBLADORES DE LAS COMUNIDADES DEL PUEBLO INDÍGENA MISKITU </w:t>
      </w:r>
    </w:p>
    <w:p w14:paraId="767727D7" w14:textId="77777777" w:rsidR="00B75B22" w:rsidRPr="008818D3" w:rsidRDefault="00B75B22" w:rsidP="00B75B22">
      <w:pPr>
        <w:tabs>
          <w:tab w:val="left" w:pos="567"/>
        </w:tabs>
        <w:spacing w:after="0" w:line="240" w:lineRule="auto"/>
        <w:jc w:val="center"/>
        <w:rPr>
          <w:rFonts w:ascii="Verdana" w:hAnsi="Verdana"/>
          <w:b/>
          <w:spacing w:val="-4"/>
          <w:sz w:val="20"/>
          <w:szCs w:val="20"/>
          <w:lang w:val="es-GT"/>
        </w:rPr>
      </w:pPr>
      <w:r w:rsidRPr="008818D3">
        <w:rPr>
          <w:rFonts w:ascii="Verdana" w:hAnsi="Verdana"/>
          <w:b/>
          <w:spacing w:val="-4"/>
          <w:sz w:val="20"/>
          <w:szCs w:val="20"/>
          <w:lang w:val="es-MX"/>
        </w:rPr>
        <w:t>DE LA REGIÓN COSTA CARIBE NORTE</w:t>
      </w:r>
    </w:p>
    <w:p w14:paraId="544051C6" w14:textId="1080185A" w:rsidR="00B75B22" w:rsidRPr="008818D3" w:rsidRDefault="00B75B22" w:rsidP="00B75B22">
      <w:pPr>
        <w:tabs>
          <w:tab w:val="left" w:pos="567"/>
        </w:tabs>
        <w:jc w:val="center"/>
        <w:rPr>
          <w:rFonts w:ascii="Verdana" w:hAnsi="Verdana"/>
          <w:b/>
          <w:spacing w:val="-4"/>
          <w:sz w:val="20"/>
          <w:szCs w:val="20"/>
          <w:lang w:val="es-GT"/>
        </w:rPr>
      </w:pPr>
    </w:p>
    <w:p w14:paraId="428DFDB5" w14:textId="77777777" w:rsidR="00B75B22" w:rsidRPr="008818D3" w:rsidRDefault="00B75B22" w:rsidP="00B75B22">
      <w:pPr>
        <w:tabs>
          <w:tab w:val="left" w:pos="567"/>
        </w:tabs>
        <w:spacing w:after="0" w:line="240" w:lineRule="auto"/>
        <w:jc w:val="both"/>
        <w:rPr>
          <w:rFonts w:ascii="Verdana" w:hAnsi="Verdana"/>
          <w:b/>
          <w:spacing w:val="-4"/>
          <w:sz w:val="20"/>
          <w:szCs w:val="20"/>
          <w:lang w:val="es-MX"/>
        </w:rPr>
      </w:pPr>
      <w:r w:rsidRPr="008818D3">
        <w:rPr>
          <w:rFonts w:ascii="Verdana" w:hAnsi="Verdana"/>
          <w:b/>
          <w:spacing w:val="-4"/>
          <w:sz w:val="20"/>
          <w:szCs w:val="20"/>
          <w:lang w:val="es-MX"/>
        </w:rPr>
        <w:t>VISTO:</w:t>
      </w:r>
    </w:p>
    <w:p w14:paraId="5C4AEE5B" w14:textId="77777777" w:rsidR="00B75B22" w:rsidRPr="008818D3" w:rsidRDefault="00B75B22" w:rsidP="00B75B22">
      <w:pPr>
        <w:tabs>
          <w:tab w:val="left" w:pos="567"/>
        </w:tabs>
        <w:spacing w:after="0" w:line="240" w:lineRule="auto"/>
        <w:jc w:val="both"/>
        <w:rPr>
          <w:rFonts w:ascii="Verdana" w:hAnsi="Verdana"/>
          <w:b/>
          <w:spacing w:val="-4"/>
          <w:sz w:val="20"/>
          <w:szCs w:val="20"/>
          <w:lang w:val="es-ES_tradnl"/>
        </w:rPr>
      </w:pPr>
    </w:p>
    <w:p w14:paraId="41A6FE96" w14:textId="434FCAE0" w:rsidR="00B75B22" w:rsidRPr="008818D3" w:rsidRDefault="00B75B22" w:rsidP="00B75B22">
      <w:pPr>
        <w:numPr>
          <w:ilvl w:val="0"/>
          <w:numId w:val="2"/>
        </w:numPr>
        <w:tabs>
          <w:tab w:val="left" w:pos="0"/>
        </w:tabs>
        <w:spacing w:after="0" w:line="240" w:lineRule="auto"/>
        <w:ind w:left="0" w:right="18" w:firstLine="0"/>
        <w:jc w:val="both"/>
        <w:rPr>
          <w:rFonts w:ascii="Verdana" w:hAnsi="Verdana"/>
          <w:spacing w:val="-4"/>
          <w:sz w:val="20"/>
          <w:szCs w:val="20"/>
          <w:lang w:val="es-MX"/>
        </w:rPr>
      </w:pPr>
      <w:r w:rsidRPr="008818D3">
        <w:rPr>
          <w:rFonts w:ascii="Verdana" w:eastAsia="MS Mincho" w:hAnsi="Verdana"/>
          <w:sz w:val="20"/>
          <w:szCs w:val="20"/>
          <w:lang w:val="es-VE"/>
        </w:rPr>
        <w:t>La</w:t>
      </w:r>
      <w:r w:rsidRPr="008818D3">
        <w:rPr>
          <w:rFonts w:ascii="Verdana" w:hAnsi="Verdana"/>
          <w:spacing w:val="-4"/>
          <w:sz w:val="20"/>
          <w:szCs w:val="20"/>
          <w:lang w:val="es-MX"/>
        </w:rPr>
        <w:t xml:space="preserve"> Resolución de</w:t>
      </w:r>
      <w:r w:rsidR="005B5390">
        <w:rPr>
          <w:rFonts w:ascii="Verdana" w:hAnsi="Verdana"/>
          <w:spacing w:val="-4"/>
          <w:sz w:val="20"/>
          <w:szCs w:val="20"/>
          <w:lang w:val="es-MX"/>
        </w:rPr>
        <w:t xml:space="preserve"> la Corte Interamericana de Dere</w:t>
      </w:r>
      <w:r w:rsidR="008D67B4">
        <w:rPr>
          <w:rFonts w:ascii="Verdana" w:hAnsi="Verdana"/>
          <w:spacing w:val="-4"/>
          <w:sz w:val="20"/>
          <w:szCs w:val="20"/>
          <w:lang w:val="es-MX"/>
        </w:rPr>
        <w:t>_</w:t>
      </w:r>
      <w:bookmarkStart w:id="0" w:name="_GoBack"/>
      <w:bookmarkEnd w:id="0"/>
      <w:r w:rsidRPr="008818D3">
        <w:rPr>
          <w:rFonts w:ascii="Verdana" w:hAnsi="Verdana"/>
          <w:spacing w:val="-4"/>
          <w:sz w:val="20"/>
          <w:szCs w:val="20"/>
          <w:lang w:val="es-MX"/>
        </w:rPr>
        <w:t xml:space="preserve">chos Humanos (en adelante </w:t>
      </w:r>
      <w:r w:rsidR="004076AF" w:rsidRPr="008818D3">
        <w:rPr>
          <w:rFonts w:ascii="Verdana" w:hAnsi="Verdana"/>
          <w:spacing w:val="-4"/>
          <w:sz w:val="20"/>
          <w:szCs w:val="20"/>
          <w:lang w:val="es-MX"/>
        </w:rPr>
        <w:t xml:space="preserve">también </w:t>
      </w:r>
      <w:r w:rsidRPr="008818D3">
        <w:rPr>
          <w:rFonts w:ascii="Verdana" w:hAnsi="Verdana"/>
          <w:spacing w:val="-4"/>
          <w:sz w:val="20"/>
          <w:szCs w:val="20"/>
          <w:lang w:val="es-MX"/>
        </w:rPr>
        <w:t>“la Corte Interamericana</w:t>
      </w:r>
      <w:r w:rsidR="00BD3C92" w:rsidRPr="008818D3">
        <w:rPr>
          <w:rFonts w:ascii="Verdana" w:hAnsi="Verdana"/>
          <w:spacing w:val="-4"/>
          <w:sz w:val="20"/>
          <w:szCs w:val="20"/>
          <w:lang w:val="es-MX"/>
        </w:rPr>
        <w:t>”</w:t>
      </w:r>
      <w:r w:rsidRPr="008818D3">
        <w:rPr>
          <w:rFonts w:ascii="Verdana" w:hAnsi="Verdana"/>
          <w:spacing w:val="-4"/>
          <w:sz w:val="20"/>
          <w:szCs w:val="20"/>
          <w:lang w:val="es-MX"/>
        </w:rPr>
        <w:t>, “la Corte” o “el Tribunal”) de 1 de septiembre de 2016</w:t>
      </w:r>
      <w:r w:rsidR="00541A74" w:rsidRPr="008818D3">
        <w:rPr>
          <w:rStyle w:val="FootnoteReference"/>
          <w:rFonts w:ascii="Verdana" w:hAnsi="Verdana"/>
          <w:sz w:val="20"/>
          <w:szCs w:val="20"/>
          <w:lang w:val="es-GT"/>
        </w:rPr>
        <w:footnoteReference w:id="1"/>
      </w:r>
      <w:r w:rsidRPr="008818D3">
        <w:rPr>
          <w:rFonts w:ascii="Verdana" w:hAnsi="Verdana"/>
          <w:spacing w:val="-4"/>
          <w:sz w:val="20"/>
          <w:szCs w:val="20"/>
          <w:lang w:val="es-MX"/>
        </w:rPr>
        <w:t>, mediante la cual ordenó</w:t>
      </w:r>
      <w:r w:rsidR="00541A74">
        <w:rPr>
          <w:rFonts w:ascii="Verdana" w:hAnsi="Verdana"/>
          <w:spacing w:val="-4"/>
          <w:sz w:val="20"/>
          <w:szCs w:val="20"/>
          <w:lang w:val="es-MX"/>
        </w:rPr>
        <w:t>,</w:t>
      </w:r>
      <w:r w:rsidRPr="008818D3">
        <w:rPr>
          <w:rFonts w:ascii="Verdana" w:hAnsi="Verdana"/>
          <w:spacing w:val="-4"/>
          <w:sz w:val="20"/>
          <w:szCs w:val="20"/>
          <w:lang w:val="es-MX"/>
        </w:rPr>
        <w:t xml:space="preserve"> </w:t>
      </w:r>
      <w:r w:rsidRPr="008818D3">
        <w:rPr>
          <w:rFonts w:ascii="Verdana" w:hAnsi="Verdana"/>
          <w:i/>
          <w:spacing w:val="-4"/>
          <w:sz w:val="20"/>
          <w:szCs w:val="20"/>
          <w:lang w:val="es-MX"/>
        </w:rPr>
        <w:t xml:space="preserve">inter </w:t>
      </w:r>
      <w:proofErr w:type="spellStart"/>
      <w:r w:rsidRPr="008818D3">
        <w:rPr>
          <w:rFonts w:ascii="Verdana" w:hAnsi="Verdana"/>
          <w:i/>
          <w:spacing w:val="-4"/>
          <w:sz w:val="20"/>
          <w:szCs w:val="20"/>
          <w:lang w:val="es-MX"/>
        </w:rPr>
        <w:t>alia</w:t>
      </w:r>
      <w:proofErr w:type="spellEnd"/>
      <w:r w:rsidRPr="008818D3">
        <w:rPr>
          <w:rFonts w:ascii="Verdana" w:hAnsi="Verdana"/>
          <w:spacing w:val="-4"/>
          <w:sz w:val="20"/>
          <w:szCs w:val="20"/>
          <w:lang w:val="es-MX"/>
        </w:rPr>
        <w:t xml:space="preserve">: </w:t>
      </w:r>
    </w:p>
    <w:p w14:paraId="3E819F0D" w14:textId="77777777" w:rsidR="00B75B22" w:rsidRPr="008818D3" w:rsidRDefault="00B75B22" w:rsidP="00B75B22">
      <w:pPr>
        <w:tabs>
          <w:tab w:val="left" w:pos="567"/>
        </w:tabs>
        <w:spacing w:after="0" w:line="240" w:lineRule="auto"/>
        <w:jc w:val="both"/>
        <w:rPr>
          <w:rFonts w:ascii="Verdana" w:eastAsia="MS Mincho" w:hAnsi="Verdana"/>
          <w:sz w:val="20"/>
          <w:szCs w:val="20"/>
          <w:lang w:val="es-MX"/>
        </w:rPr>
      </w:pPr>
    </w:p>
    <w:p w14:paraId="0DBF9868" w14:textId="77777777" w:rsidR="00B75B22" w:rsidRPr="008818D3" w:rsidRDefault="00B75B22" w:rsidP="00B75B22">
      <w:pPr>
        <w:numPr>
          <w:ilvl w:val="0"/>
          <w:numId w:val="4"/>
        </w:numPr>
        <w:spacing w:before="20" w:after="20" w:line="240" w:lineRule="auto"/>
        <w:ind w:left="680" w:right="18" w:firstLine="0"/>
        <w:jc w:val="both"/>
        <w:rPr>
          <w:rFonts w:ascii="Verdana" w:hAnsi="Verdana"/>
          <w:sz w:val="18"/>
          <w:szCs w:val="18"/>
          <w:lang w:val="es-GT"/>
        </w:rPr>
      </w:pPr>
      <w:r w:rsidRPr="008818D3">
        <w:rPr>
          <w:rFonts w:ascii="Verdana" w:hAnsi="Verdana"/>
          <w:sz w:val="18"/>
          <w:szCs w:val="18"/>
          <w:lang w:val="es-MX"/>
        </w:rPr>
        <w:t xml:space="preserve">Disponer, como medida provisional, la adopción, de manera inmediata, por parte del Estado de Nicaragua, de todas las acciones destinadas a erradicar la violencia existente, así como proteger y garantizar el respeto a la vida, integridad personal y territorial e identidad cultural, en favor de </w:t>
      </w:r>
      <w:r w:rsidRPr="008818D3">
        <w:rPr>
          <w:rFonts w:ascii="Verdana" w:eastAsia="Times" w:hAnsi="Verdana" w:cs="Times New Roman"/>
          <w:sz w:val="18"/>
          <w:szCs w:val="18"/>
          <w:lang w:val="es-ES_tradnl"/>
        </w:rPr>
        <w:t xml:space="preserve">los miembros del pueblo indígena </w:t>
      </w:r>
      <w:r w:rsidRPr="008818D3">
        <w:rPr>
          <w:rFonts w:ascii="Verdana" w:eastAsia="Times" w:hAnsi="Verdana" w:cs="Times New Roman"/>
          <w:i/>
          <w:sz w:val="18"/>
          <w:szCs w:val="18"/>
          <w:lang w:val="es-ES_tradnl"/>
        </w:rPr>
        <w:t xml:space="preserve">Miskitu </w:t>
      </w:r>
      <w:r w:rsidRPr="008818D3">
        <w:rPr>
          <w:rFonts w:ascii="Verdana" w:eastAsia="Times" w:hAnsi="Verdana" w:cs="Times New Roman"/>
          <w:sz w:val="18"/>
          <w:szCs w:val="18"/>
          <w:lang w:val="es-ES_tradnl"/>
        </w:rPr>
        <w:t xml:space="preserve">que habitan </w:t>
      </w:r>
      <w:r w:rsidRPr="008818D3">
        <w:rPr>
          <w:rFonts w:ascii="Verdana" w:eastAsia="Times" w:hAnsi="Verdana"/>
          <w:sz w:val="18"/>
          <w:szCs w:val="18"/>
          <w:lang w:val="es-ES_tradnl"/>
        </w:rPr>
        <w:t>en las</w:t>
      </w:r>
      <w:r w:rsidRPr="008818D3">
        <w:rPr>
          <w:rFonts w:ascii="Verdana" w:eastAsia="Times" w:hAnsi="Verdana" w:cs="Times New Roman"/>
          <w:sz w:val="18"/>
          <w:szCs w:val="18"/>
          <w:lang w:val="es-ES_tradnl"/>
        </w:rPr>
        <w:t xml:space="preserve"> comunidades de </w:t>
      </w:r>
      <w:r w:rsidRPr="008818D3">
        <w:rPr>
          <w:rFonts w:ascii="Verdana" w:eastAsia="Times" w:hAnsi="Verdana" w:cs="Times New Roman"/>
          <w:i/>
          <w:sz w:val="18"/>
          <w:szCs w:val="18"/>
          <w:lang w:val="es-ES_tradnl"/>
        </w:rPr>
        <w:t>Klisnak, Wisconsin, Wiwinak, San Jerónimo y Francia Sirpi</w:t>
      </w:r>
      <w:r w:rsidRPr="008818D3">
        <w:rPr>
          <w:rFonts w:ascii="Verdana" w:eastAsia="Times" w:hAnsi="Verdana"/>
          <w:sz w:val="18"/>
          <w:szCs w:val="18"/>
          <w:lang w:val="es-ES_tradnl"/>
        </w:rPr>
        <w:t xml:space="preserve">, y de las personas que presuntamente </w:t>
      </w:r>
      <w:r w:rsidRPr="008818D3">
        <w:rPr>
          <w:rFonts w:ascii="Verdana" w:eastAsia="Times" w:hAnsi="Verdana" w:cs="Times New Roman"/>
          <w:sz w:val="18"/>
          <w:szCs w:val="18"/>
          <w:lang w:val="es-ES_tradnl"/>
        </w:rPr>
        <w:t xml:space="preserve">hayan </w:t>
      </w:r>
      <w:r w:rsidRPr="008818D3">
        <w:rPr>
          <w:rFonts w:ascii="Verdana" w:eastAsia="Times" w:hAnsi="Verdana"/>
          <w:sz w:val="18"/>
          <w:szCs w:val="18"/>
          <w:lang w:val="es-ES_tradnl"/>
        </w:rPr>
        <w:t>tenido que abandonar dichas comunidades y deseen regresar</w:t>
      </w:r>
      <w:r w:rsidRPr="008818D3">
        <w:rPr>
          <w:rFonts w:ascii="Verdana" w:hAnsi="Verdana"/>
          <w:sz w:val="18"/>
          <w:szCs w:val="18"/>
          <w:lang w:val="es-GT"/>
        </w:rPr>
        <w:t xml:space="preserve">, </w:t>
      </w:r>
      <w:r w:rsidRPr="008818D3">
        <w:rPr>
          <w:rFonts w:ascii="Verdana" w:hAnsi="Verdana"/>
          <w:bCs/>
          <w:sz w:val="18"/>
          <w:szCs w:val="18"/>
          <w:lang w:val="es-ES_tradnl"/>
        </w:rPr>
        <w:t>de conformidad con los Considerandos 11 a 17</w:t>
      </w:r>
      <w:r w:rsidRPr="008818D3">
        <w:rPr>
          <w:rFonts w:ascii="Verdana" w:hAnsi="Verdana"/>
          <w:bCs/>
          <w:sz w:val="18"/>
          <w:szCs w:val="18"/>
          <w:lang w:val="es-GT"/>
        </w:rPr>
        <w:t xml:space="preserve"> de </w:t>
      </w:r>
      <w:r w:rsidRPr="008818D3">
        <w:rPr>
          <w:rFonts w:ascii="Verdana" w:hAnsi="Verdana"/>
          <w:bCs/>
          <w:sz w:val="18"/>
          <w:szCs w:val="18"/>
          <w:lang w:val="es-ES_tradnl"/>
        </w:rPr>
        <w:t>la presente Resolución</w:t>
      </w:r>
      <w:r w:rsidRPr="008818D3">
        <w:rPr>
          <w:rFonts w:ascii="Verdana" w:hAnsi="Verdana"/>
          <w:sz w:val="18"/>
          <w:szCs w:val="18"/>
          <w:lang w:val="es-ES_tradnl"/>
        </w:rPr>
        <w:t xml:space="preserve">. </w:t>
      </w:r>
    </w:p>
    <w:p w14:paraId="0A4689BA" w14:textId="77777777" w:rsidR="00B75B22" w:rsidRPr="008818D3" w:rsidRDefault="00B75B22" w:rsidP="00B75B22">
      <w:pPr>
        <w:spacing w:before="20" w:after="20" w:line="240" w:lineRule="auto"/>
        <w:ind w:left="680" w:right="18"/>
        <w:jc w:val="both"/>
        <w:rPr>
          <w:rFonts w:ascii="Verdana" w:hAnsi="Verdana"/>
          <w:sz w:val="18"/>
          <w:szCs w:val="18"/>
          <w:lang w:val="es-GT"/>
        </w:rPr>
      </w:pPr>
    </w:p>
    <w:p w14:paraId="4F1E6409" w14:textId="77777777" w:rsidR="00B75B22" w:rsidRPr="008818D3" w:rsidRDefault="00B75B22" w:rsidP="00B75B22">
      <w:pPr>
        <w:numPr>
          <w:ilvl w:val="0"/>
          <w:numId w:val="4"/>
        </w:numPr>
        <w:spacing w:before="20" w:after="20" w:line="240" w:lineRule="auto"/>
        <w:ind w:left="680" w:right="18" w:firstLine="0"/>
        <w:jc w:val="both"/>
        <w:rPr>
          <w:rFonts w:ascii="Verdana" w:hAnsi="Verdana"/>
          <w:sz w:val="18"/>
          <w:szCs w:val="18"/>
          <w:lang w:val="es-GT"/>
        </w:rPr>
      </w:pPr>
      <w:r w:rsidRPr="008818D3">
        <w:rPr>
          <w:rFonts w:ascii="Verdana" w:hAnsi="Verdana"/>
          <w:sz w:val="18"/>
          <w:szCs w:val="18"/>
          <w:lang w:val="es-MX"/>
        </w:rPr>
        <w:t>Sin</w:t>
      </w:r>
      <w:r w:rsidRPr="008818D3">
        <w:rPr>
          <w:rFonts w:ascii="Verdana" w:hAnsi="Verdana"/>
          <w:sz w:val="18"/>
          <w:szCs w:val="18"/>
          <w:lang w:val="es-GT"/>
        </w:rPr>
        <w:t xml:space="preserve"> perjuicio de lo anterior, y dado que los hechos se habrían producido en un marco de conflictividad mayor, la Corte dispone que el Estado establezca la instancia u órgano que, con la participación de representantes del gobierno, de las comunidades y de los colonos afincados desde hace tiempo, así como antropólogos y sociólogos, reúna en el menor tiempo posible la información disponible, diagnostique las fuentes del conflicto y proponga las posibles vías de pacificación y solución del conflicto, </w:t>
      </w:r>
      <w:r w:rsidRPr="008818D3">
        <w:rPr>
          <w:rFonts w:ascii="Verdana" w:hAnsi="Verdana"/>
          <w:bCs/>
          <w:sz w:val="18"/>
          <w:szCs w:val="18"/>
          <w:lang w:val="es-ES_tradnl"/>
        </w:rPr>
        <w:t>de conformidad con los Considerandos 18 y 19</w:t>
      </w:r>
      <w:r w:rsidRPr="008818D3">
        <w:rPr>
          <w:rFonts w:ascii="Verdana" w:hAnsi="Verdana"/>
          <w:bCs/>
          <w:sz w:val="18"/>
          <w:szCs w:val="18"/>
          <w:lang w:val="es-GT"/>
        </w:rPr>
        <w:t xml:space="preserve"> de </w:t>
      </w:r>
      <w:r w:rsidRPr="008818D3">
        <w:rPr>
          <w:rFonts w:ascii="Verdana" w:hAnsi="Verdana"/>
          <w:bCs/>
          <w:sz w:val="18"/>
          <w:szCs w:val="18"/>
          <w:lang w:val="es-ES_tradnl"/>
        </w:rPr>
        <w:t>la presente Resolución</w:t>
      </w:r>
      <w:r w:rsidRPr="008818D3">
        <w:rPr>
          <w:rFonts w:ascii="Verdana" w:hAnsi="Verdana"/>
          <w:sz w:val="18"/>
          <w:szCs w:val="18"/>
          <w:lang w:val="es-ES_tradnl"/>
        </w:rPr>
        <w:t xml:space="preserve">. </w:t>
      </w:r>
    </w:p>
    <w:p w14:paraId="5BF08156" w14:textId="77777777" w:rsidR="00B75B22" w:rsidRPr="008818D3" w:rsidRDefault="00B75B22" w:rsidP="00B75B22">
      <w:pPr>
        <w:spacing w:before="20" w:after="20" w:line="240" w:lineRule="auto"/>
        <w:ind w:left="680" w:right="18"/>
        <w:jc w:val="both"/>
        <w:rPr>
          <w:rFonts w:ascii="Verdana" w:hAnsi="Verdana"/>
          <w:sz w:val="18"/>
          <w:szCs w:val="18"/>
          <w:lang w:val="es-GT"/>
        </w:rPr>
      </w:pPr>
      <w:r w:rsidRPr="008818D3">
        <w:rPr>
          <w:rFonts w:ascii="Verdana" w:hAnsi="Verdana"/>
          <w:sz w:val="18"/>
          <w:szCs w:val="18"/>
          <w:lang w:val="es-GT"/>
        </w:rPr>
        <w:t xml:space="preserve"> </w:t>
      </w:r>
    </w:p>
    <w:p w14:paraId="349EB8CE" w14:textId="77777777" w:rsidR="00B75B22" w:rsidRDefault="00B75B22" w:rsidP="00B75B22">
      <w:pPr>
        <w:numPr>
          <w:ilvl w:val="0"/>
          <w:numId w:val="4"/>
        </w:numPr>
        <w:spacing w:before="20" w:after="20" w:line="240" w:lineRule="auto"/>
        <w:ind w:left="680" w:right="18" w:firstLine="0"/>
        <w:jc w:val="both"/>
        <w:rPr>
          <w:rFonts w:ascii="Verdana" w:hAnsi="Verdana"/>
          <w:sz w:val="18"/>
          <w:szCs w:val="18"/>
          <w:lang w:val="es-GT"/>
        </w:rPr>
      </w:pPr>
      <w:r w:rsidRPr="008818D3">
        <w:rPr>
          <w:rFonts w:ascii="Verdana" w:hAnsi="Verdana"/>
          <w:sz w:val="18"/>
          <w:szCs w:val="18"/>
          <w:lang w:val="es-GT"/>
        </w:rPr>
        <w:t xml:space="preserve">Requerir al Estado que realice las gestiones pertinentes para que las medidas de protección ordenadas en la presente Resolución se planifiquen e implementen con la participación de los beneficiarios de las mismas o sus representantes, de manera tal que las referidas medidas se brinden de forma diligente y efectiva, tomando en cuenta la perspectiva indígena y de género, así como les mantenga informados sobre el avance de su ejecución. </w:t>
      </w:r>
    </w:p>
    <w:p w14:paraId="2276E8C6" w14:textId="77777777" w:rsidR="00EB2F8A" w:rsidRDefault="00EB2F8A" w:rsidP="00541A74">
      <w:pPr>
        <w:spacing w:before="20" w:after="20" w:line="240" w:lineRule="auto"/>
        <w:ind w:right="18" w:firstLine="680"/>
        <w:jc w:val="both"/>
        <w:rPr>
          <w:rFonts w:ascii="Verdana" w:hAnsi="Verdana"/>
          <w:sz w:val="18"/>
          <w:szCs w:val="18"/>
          <w:lang w:val="es-GT"/>
        </w:rPr>
      </w:pPr>
    </w:p>
    <w:p w14:paraId="0FF22DFF" w14:textId="77777777" w:rsidR="000178DC" w:rsidRDefault="000178DC" w:rsidP="00EB2F8A">
      <w:pPr>
        <w:spacing w:before="20" w:after="20" w:line="240" w:lineRule="auto"/>
        <w:ind w:left="680" w:right="18"/>
        <w:jc w:val="both"/>
        <w:rPr>
          <w:rFonts w:ascii="Verdana" w:hAnsi="Verdana"/>
          <w:sz w:val="18"/>
          <w:szCs w:val="18"/>
          <w:lang w:val="es-GT"/>
        </w:rPr>
      </w:pPr>
      <w:r w:rsidRPr="000178DC">
        <w:rPr>
          <w:rFonts w:ascii="Verdana" w:hAnsi="Verdana"/>
          <w:sz w:val="18"/>
          <w:szCs w:val="18"/>
          <w:lang w:val="es-GT"/>
        </w:rPr>
        <w:t>4.</w:t>
      </w:r>
      <w:r w:rsidRPr="000178DC">
        <w:rPr>
          <w:rFonts w:ascii="Verdana" w:hAnsi="Verdana"/>
          <w:sz w:val="18"/>
          <w:szCs w:val="18"/>
          <w:lang w:val="es-GT"/>
        </w:rPr>
        <w:tab/>
        <w:t xml:space="preserve">Ordenar al Estado que presente un informe completo y pormenorizado sobre las actuaciones realizadas para dar cumplimiento a las medidas provisionales decretadas, a más tardar el 3 de octubre de 2016. Asimismo, realice un diagnóstico sobre la situación actual de riesgo de dichas comunidades e informe a la Corte, a más tardar el 21 de noviembre de 2016. </w:t>
      </w:r>
    </w:p>
    <w:p w14:paraId="52438B1D" w14:textId="77777777" w:rsidR="000178DC" w:rsidRDefault="000178DC" w:rsidP="00EB2F8A">
      <w:pPr>
        <w:spacing w:before="20" w:after="20" w:line="240" w:lineRule="auto"/>
        <w:ind w:left="680" w:right="18"/>
        <w:jc w:val="both"/>
        <w:rPr>
          <w:rFonts w:ascii="Verdana" w:hAnsi="Verdana"/>
          <w:sz w:val="18"/>
          <w:szCs w:val="18"/>
          <w:lang w:val="es-GT"/>
        </w:rPr>
      </w:pPr>
    </w:p>
    <w:p w14:paraId="207C4AB6" w14:textId="58DB3B2B" w:rsidR="001D6DD3" w:rsidRPr="00EB2F8A" w:rsidRDefault="001D6DD3" w:rsidP="00EB2F8A">
      <w:pPr>
        <w:spacing w:before="20" w:after="20" w:line="240" w:lineRule="auto"/>
        <w:ind w:left="680" w:right="18"/>
        <w:jc w:val="both"/>
        <w:rPr>
          <w:rFonts w:ascii="Verdana" w:hAnsi="Verdana"/>
          <w:sz w:val="18"/>
          <w:szCs w:val="18"/>
          <w:lang w:val="es-GT"/>
        </w:rPr>
      </w:pPr>
      <w:r>
        <w:rPr>
          <w:rFonts w:ascii="Verdana" w:hAnsi="Verdana"/>
          <w:sz w:val="18"/>
          <w:szCs w:val="18"/>
          <w:lang w:val="es-GT"/>
        </w:rPr>
        <w:t>[…]</w:t>
      </w:r>
    </w:p>
    <w:p w14:paraId="092E1926" w14:textId="77777777" w:rsidR="00B75B22" w:rsidRPr="008818D3" w:rsidRDefault="00B75B22" w:rsidP="00B75B22">
      <w:pPr>
        <w:tabs>
          <w:tab w:val="left" w:pos="567"/>
        </w:tabs>
        <w:spacing w:after="0" w:line="240" w:lineRule="auto"/>
        <w:jc w:val="both"/>
        <w:rPr>
          <w:rFonts w:ascii="Verdana" w:eastAsia="MS Mincho" w:hAnsi="Verdana"/>
          <w:sz w:val="20"/>
          <w:szCs w:val="20"/>
          <w:lang w:val="es-MX"/>
        </w:rPr>
      </w:pPr>
      <w:r w:rsidRPr="008818D3">
        <w:rPr>
          <w:rFonts w:ascii="Verdana" w:hAnsi="Verdana"/>
          <w:sz w:val="20"/>
          <w:szCs w:val="20"/>
          <w:lang w:val="es-MX"/>
        </w:rPr>
        <w:lastRenderedPageBreak/>
        <w:tab/>
      </w:r>
    </w:p>
    <w:p w14:paraId="48877A21" w14:textId="0FE9374B" w:rsidR="00B75B22" w:rsidRPr="008818D3" w:rsidRDefault="00B75B22" w:rsidP="00B75B22">
      <w:pPr>
        <w:numPr>
          <w:ilvl w:val="0"/>
          <w:numId w:val="2"/>
        </w:numPr>
        <w:tabs>
          <w:tab w:val="left" w:pos="0"/>
        </w:tabs>
        <w:spacing w:after="0" w:line="240" w:lineRule="auto"/>
        <w:ind w:left="0" w:right="18" w:firstLine="0"/>
        <w:jc w:val="both"/>
        <w:rPr>
          <w:rFonts w:ascii="Verdana" w:hAnsi="Verdana"/>
          <w:spacing w:val="-4"/>
          <w:sz w:val="20"/>
          <w:szCs w:val="20"/>
          <w:lang w:val="es-MX"/>
        </w:rPr>
      </w:pPr>
      <w:r w:rsidRPr="008818D3">
        <w:rPr>
          <w:rFonts w:ascii="Verdana" w:hAnsi="Verdana"/>
          <w:spacing w:val="-4"/>
          <w:sz w:val="20"/>
          <w:szCs w:val="20"/>
          <w:lang w:val="es-MX"/>
        </w:rPr>
        <w:t xml:space="preserve">El </w:t>
      </w:r>
      <w:r w:rsidR="00F62D69" w:rsidRPr="008818D3">
        <w:rPr>
          <w:rFonts w:ascii="Verdana" w:hAnsi="Verdana"/>
          <w:spacing w:val="-4"/>
          <w:sz w:val="20"/>
          <w:szCs w:val="20"/>
          <w:lang w:val="es-MX"/>
        </w:rPr>
        <w:t xml:space="preserve">escrito </w:t>
      </w:r>
      <w:r w:rsidR="004471B3" w:rsidRPr="008818D3">
        <w:rPr>
          <w:rFonts w:ascii="Verdana" w:hAnsi="Verdana"/>
          <w:spacing w:val="-4"/>
          <w:sz w:val="20"/>
          <w:szCs w:val="20"/>
          <w:lang w:val="es-MX"/>
        </w:rPr>
        <w:t xml:space="preserve">de 27 de septiembre de 2016, mediante el cual </w:t>
      </w:r>
      <w:r w:rsidR="0032527A" w:rsidRPr="008818D3">
        <w:rPr>
          <w:rFonts w:ascii="Verdana" w:hAnsi="Verdana"/>
          <w:spacing w:val="-4"/>
          <w:sz w:val="20"/>
          <w:szCs w:val="20"/>
          <w:lang w:val="es-MX"/>
        </w:rPr>
        <w:t>la República</w:t>
      </w:r>
      <w:r w:rsidR="004A2E59" w:rsidRPr="008818D3">
        <w:rPr>
          <w:rFonts w:ascii="Verdana" w:hAnsi="Verdana"/>
          <w:spacing w:val="-4"/>
          <w:sz w:val="20"/>
          <w:szCs w:val="20"/>
          <w:lang w:val="es-MX"/>
        </w:rPr>
        <w:t xml:space="preserve"> de Nicar</w:t>
      </w:r>
      <w:r w:rsidR="00804558" w:rsidRPr="008818D3">
        <w:rPr>
          <w:rFonts w:ascii="Verdana" w:hAnsi="Verdana"/>
          <w:spacing w:val="-4"/>
          <w:sz w:val="20"/>
          <w:szCs w:val="20"/>
          <w:lang w:val="es-MX"/>
        </w:rPr>
        <w:t>a</w:t>
      </w:r>
      <w:r w:rsidR="004A2E59" w:rsidRPr="008818D3">
        <w:rPr>
          <w:rFonts w:ascii="Verdana" w:hAnsi="Verdana"/>
          <w:spacing w:val="-4"/>
          <w:sz w:val="20"/>
          <w:szCs w:val="20"/>
          <w:lang w:val="es-MX"/>
        </w:rPr>
        <w:t xml:space="preserve">gua </w:t>
      </w:r>
      <w:r w:rsidR="000D3CDD" w:rsidRPr="008818D3">
        <w:rPr>
          <w:rFonts w:ascii="Verdana" w:hAnsi="Verdana"/>
          <w:spacing w:val="-4"/>
          <w:sz w:val="20"/>
          <w:szCs w:val="20"/>
          <w:lang w:val="es-MX"/>
        </w:rPr>
        <w:t xml:space="preserve">(en adelante “el Estado” o “Nicaragua”) remitió su </w:t>
      </w:r>
      <w:r w:rsidRPr="008818D3">
        <w:rPr>
          <w:rFonts w:ascii="Verdana" w:hAnsi="Verdana"/>
          <w:spacing w:val="-4"/>
          <w:sz w:val="20"/>
          <w:szCs w:val="20"/>
          <w:lang w:val="es-MX"/>
        </w:rPr>
        <w:t>Informe</w:t>
      </w:r>
      <w:r w:rsidR="00254A41" w:rsidRPr="008818D3">
        <w:rPr>
          <w:rFonts w:ascii="Verdana" w:hAnsi="Verdana"/>
          <w:spacing w:val="-4"/>
          <w:sz w:val="20"/>
          <w:szCs w:val="20"/>
          <w:lang w:val="es-MX"/>
        </w:rPr>
        <w:t xml:space="preserve"> sobre las acciones adoptadas para acatar las medidas provisionales</w:t>
      </w:r>
      <w:r w:rsidRPr="008818D3">
        <w:rPr>
          <w:rFonts w:ascii="Verdana" w:hAnsi="Verdana"/>
          <w:spacing w:val="-4"/>
          <w:sz w:val="20"/>
          <w:szCs w:val="20"/>
          <w:lang w:val="es-MX"/>
        </w:rPr>
        <w:t xml:space="preserve">. </w:t>
      </w:r>
    </w:p>
    <w:p w14:paraId="10652E17" w14:textId="77777777" w:rsidR="00B75B22" w:rsidRPr="008818D3" w:rsidRDefault="00B75B22" w:rsidP="00B75B22">
      <w:pPr>
        <w:pStyle w:val="ListParagraph"/>
        <w:rPr>
          <w:rFonts w:ascii="Verdana" w:hAnsi="Verdana"/>
          <w:spacing w:val="-4"/>
          <w:sz w:val="20"/>
          <w:lang w:val="es-MX"/>
        </w:rPr>
      </w:pPr>
    </w:p>
    <w:p w14:paraId="5B5354C2" w14:textId="1A8FA6B3" w:rsidR="00EE093B" w:rsidRPr="008818D3" w:rsidRDefault="00EE093B" w:rsidP="00B75B22">
      <w:pPr>
        <w:numPr>
          <w:ilvl w:val="0"/>
          <w:numId w:val="2"/>
        </w:numPr>
        <w:tabs>
          <w:tab w:val="left" w:pos="0"/>
        </w:tabs>
        <w:spacing w:after="0" w:line="240" w:lineRule="auto"/>
        <w:ind w:left="0" w:right="18" w:firstLine="0"/>
        <w:jc w:val="both"/>
        <w:rPr>
          <w:rFonts w:ascii="Verdana" w:hAnsi="Verdana"/>
          <w:spacing w:val="-4"/>
          <w:sz w:val="20"/>
          <w:szCs w:val="20"/>
          <w:lang w:val="es-MX"/>
        </w:rPr>
      </w:pPr>
      <w:r w:rsidRPr="008818D3">
        <w:rPr>
          <w:rFonts w:ascii="Verdana" w:eastAsia="MS Mincho" w:hAnsi="Verdana"/>
          <w:sz w:val="20"/>
          <w:szCs w:val="20"/>
          <w:lang w:val="es-VE"/>
        </w:rPr>
        <w:t>La nota de Secretaría de la Corte (en adelante “la Secretaría”) de 4 de octubre de 2016</w:t>
      </w:r>
      <w:r w:rsidR="004471B3" w:rsidRPr="008818D3">
        <w:rPr>
          <w:rFonts w:ascii="Verdana" w:eastAsia="MS Mincho" w:hAnsi="Verdana"/>
          <w:sz w:val="20"/>
          <w:szCs w:val="20"/>
          <w:lang w:val="es-VE"/>
        </w:rPr>
        <w:t>, mediante la cual</w:t>
      </w:r>
      <w:r w:rsidRPr="008818D3">
        <w:rPr>
          <w:rFonts w:ascii="Verdana" w:eastAsia="MS Mincho" w:hAnsi="Verdana"/>
          <w:sz w:val="20"/>
          <w:szCs w:val="20"/>
          <w:lang w:val="es-VE"/>
        </w:rPr>
        <w:t xml:space="preserve"> </w:t>
      </w:r>
      <w:r w:rsidR="001D6DD3">
        <w:rPr>
          <w:rFonts w:ascii="Verdana" w:eastAsia="MS Mincho" w:hAnsi="Verdana"/>
          <w:sz w:val="20"/>
          <w:szCs w:val="20"/>
          <w:lang w:val="es-VE"/>
        </w:rPr>
        <w:t xml:space="preserve">se </w:t>
      </w:r>
      <w:r w:rsidR="000D3CDD" w:rsidRPr="008818D3">
        <w:rPr>
          <w:rFonts w:ascii="Verdana" w:eastAsia="MS Mincho" w:hAnsi="Verdana"/>
          <w:sz w:val="20"/>
          <w:szCs w:val="20"/>
          <w:lang w:val="es-VE"/>
        </w:rPr>
        <w:t xml:space="preserve">solicitó </w:t>
      </w:r>
      <w:r w:rsidRPr="008818D3">
        <w:rPr>
          <w:rFonts w:ascii="Verdana" w:eastAsia="MS Mincho" w:hAnsi="Verdana"/>
          <w:sz w:val="20"/>
          <w:szCs w:val="20"/>
          <w:lang w:val="es-VE"/>
        </w:rPr>
        <w:t>a</w:t>
      </w:r>
      <w:r w:rsidRPr="008818D3">
        <w:rPr>
          <w:rFonts w:ascii="Verdana" w:hAnsi="Verdana"/>
          <w:color w:val="000000"/>
          <w:sz w:val="20"/>
          <w:szCs w:val="20"/>
          <w:lang w:val="es-CR"/>
        </w:rPr>
        <w:t xml:space="preserve">l Estado </w:t>
      </w:r>
      <w:r w:rsidR="000D3CDD" w:rsidRPr="008818D3">
        <w:rPr>
          <w:rFonts w:ascii="Verdana" w:hAnsi="Verdana"/>
          <w:color w:val="000000"/>
          <w:sz w:val="20"/>
          <w:szCs w:val="20"/>
          <w:lang w:val="es-CR"/>
        </w:rPr>
        <w:t xml:space="preserve">que </w:t>
      </w:r>
      <w:r w:rsidRPr="008818D3">
        <w:rPr>
          <w:rFonts w:ascii="Verdana" w:hAnsi="Verdana"/>
          <w:color w:val="000000"/>
          <w:sz w:val="20"/>
          <w:szCs w:val="20"/>
          <w:lang w:val="es-CR"/>
        </w:rPr>
        <w:t>remit</w:t>
      </w:r>
      <w:r w:rsidR="000D3CDD" w:rsidRPr="008818D3">
        <w:rPr>
          <w:rFonts w:ascii="Verdana" w:hAnsi="Verdana"/>
          <w:color w:val="000000"/>
          <w:sz w:val="20"/>
          <w:szCs w:val="20"/>
          <w:lang w:val="es-CR"/>
        </w:rPr>
        <w:t>ier</w:t>
      </w:r>
      <w:r w:rsidRPr="008818D3">
        <w:rPr>
          <w:rFonts w:ascii="Verdana" w:hAnsi="Verdana"/>
          <w:color w:val="000000"/>
          <w:sz w:val="20"/>
          <w:szCs w:val="20"/>
          <w:lang w:val="es-CR"/>
        </w:rPr>
        <w:t>a a la Corte el denominado “Plan de Atención de la Situación de los Comunitarios y los Colonos en Comunidades del Territorio del Destacamento Militar Norte”</w:t>
      </w:r>
      <w:r w:rsidR="006E490C">
        <w:rPr>
          <w:rFonts w:ascii="Verdana" w:hAnsi="Verdana"/>
          <w:color w:val="000000"/>
          <w:sz w:val="20"/>
          <w:szCs w:val="20"/>
          <w:lang w:val="es-CR"/>
        </w:rPr>
        <w:t xml:space="preserve"> (en adelante Plan de Atención)</w:t>
      </w:r>
      <w:r w:rsidRPr="008818D3">
        <w:rPr>
          <w:rFonts w:ascii="Verdana" w:hAnsi="Verdana"/>
          <w:color w:val="000000"/>
          <w:sz w:val="20"/>
          <w:szCs w:val="20"/>
          <w:lang w:val="es-CR"/>
        </w:rPr>
        <w:t>, al que hizo alusión en su Informe</w:t>
      </w:r>
      <w:r w:rsidR="001D6DD3">
        <w:rPr>
          <w:rFonts w:ascii="Verdana" w:hAnsi="Verdana"/>
          <w:color w:val="000000"/>
          <w:sz w:val="20"/>
          <w:szCs w:val="20"/>
          <w:lang w:val="es-CR"/>
        </w:rPr>
        <w:t xml:space="preserve"> y se requirió a los representantes que remitieran sus observaciones al Informe en un plazo de cuatro semanas</w:t>
      </w:r>
      <w:r w:rsidR="00B015AE" w:rsidRPr="008818D3">
        <w:rPr>
          <w:rFonts w:ascii="Verdana" w:hAnsi="Verdana"/>
          <w:color w:val="000000"/>
          <w:sz w:val="20"/>
          <w:szCs w:val="20"/>
          <w:lang w:val="es-CR"/>
        </w:rPr>
        <w:t>.</w:t>
      </w:r>
    </w:p>
    <w:p w14:paraId="17C4057D" w14:textId="77777777" w:rsidR="00EE093B" w:rsidRPr="008818D3" w:rsidRDefault="00EE093B" w:rsidP="00EE093B">
      <w:pPr>
        <w:pStyle w:val="ListParagraph"/>
        <w:rPr>
          <w:rFonts w:ascii="Verdana" w:eastAsia="MS Mincho" w:hAnsi="Verdana"/>
          <w:sz w:val="20"/>
          <w:lang w:val="es-VE"/>
        </w:rPr>
      </w:pPr>
    </w:p>
    <w:p w14:paraId="14A5E3A0" w14:textId="62806330" w:rsidR="00B75B22" w:rsidRPr="008818D3" w:rsidRDefault="00B75B22" w:rsidP="00B75B22">
      <w:pPr>
        <w:numPr>
          <w:ilvl w:val="0"/>
          <w:numId w:val="2"/>
        </w:numPr>
        <w:tabs>
          <w:tab w:val="left" w:pos="0"/>
        </w:tabs>
        <w:spacing w:after="0" w:line="240" w:lineRule="auto"/>
        <w:ind w:left="0" w:right="18" w:firstLine="0"/>
        <w:jc w:val="both"/>
        <w:rPr>
          <w:rFonts w:ascii="Verdana" w:hAnsi="Verdana"/>
          <w:spacing w:val="-4"/>
          <w:sz w:val="20"/>
          <w:szCs w:val="20"/>
          <w:lang w:val="es-MX"/>
        </w:rPr>
      </w:pPr>
      <w:r w:rsidRPr="008818D3">
        <w:rPr>
          <w:rFonts w:ascii="Verdana" w:eastAsia="MS Mincho" w:hAnsi="Verdana"/>
          <w:sz w:val="20"/>
          <w:szCs w:val="20"/>
          <w:lang w:val="es-VE"/>
        </w:rPr>
        <w:t xml:space="preserve">El escrito </w:t>
      </w:r>
      <w:r w:rsidR="003941CD" w:rsidRPr="008818D3">
        <w:rPr>
          <w:rFonts w:ascii="Verdana" w:eastAsia="MS Mincho" w:hAnsi="Verdana"/>
          <w:sz w:val="20"/>
          <w:szCs w:val="20"/>
          <w:lang w:val="es-VE"/>
        </w:rPr>
        <w:t>de</w:t>
      </w:r>
      <w:r w:rsidRPr="008818D3">
        <w:rPr>
          <w:rFonts w:ascii="Verdana" w:eastAsia="MS Mincho" w:hAnsi="Verdana"/>
          <w:sz w:val="20"/>
          <w:szCs w:val="20"/>
          <w:lang w:val="es-GT"/>
        </w:rPr>
        <w:t xml:space="preserve"> 11 de octubre </w:t>
      </w:r>
      <w:r w:rsidR="003941CD" w:rsidRPr="008818D3">
        <w:rPr>
          <w:rFonts w:ascii="Verdana" w:eastAsia="MS Mincho" w:hAnsi="Verdana"/>
          <w:sz w:val="20"/>
          <w:szCs w:val="20"/>
          <w:lang w:val="es-GT"/>
        </w:rPr>
        <w:t>de 2016</w:t>
      </w:r>
      <w:r w:rsidRPr="008818D3">
        <w:rPr>
          <w:rFonts w:ascii="Verdana" w:eastAsia="MS Mincho" w:hAnsi="Verdana"/>
          <w:sz w:val="20"/>
          <w:szCs w:val="20"/>
          <w:lang w:val="es-GT"/>
        </w:rPr>
        <w:t xml:space="preserve">, mediante el cual </w:t>
      </w:r>
      <w:r w:rsidRPr="008818D3">
        <w:rPr>
          <w:rFonts w:ascii="Verdana" w:hAnsi="Verdana"/>
          <w:spacing w:val="-4"/>
          <w:sz w:val="20"/>
          <w:szCs w:val="20"/>
          <w:lang w:val="es-MX"/>
        </w:rPr>
        <w:t>la Comisión Interamericana de Derechos Humanos (en adelante</w:t>
      </w:r>
      <w:r w:rsidR="004B12A7" w:rsidRPr="008818D3">
        <w:rPr>
          <w:rFonts w:ascii="Verdana" w:hAnsi="Verdana"/>
          <w:spacing w:val="-4"/>
          <w:sz w:val="20"/>
          <w:szCs w:val="20"/>
          <w:lang w:val="es-MX"/>
        </w:rPr>
        <w:t xml:space="preserve"> también</w:t>
      </w:r>
      <w:r w:rsidRPr="008818D3">
        <w:rPr>
          <w:rFonts w:ascii="Verdana" w:hAnsi="Verdana"/>
          <w:spacing w:val="-4"/>
          <w:sz w:val="20"/>
          <w:szCs w:val="20"/>
          <w:lang w:val="es-MX"/>
        </w:rPr>
        <w:t xml:space="preserve"> “la Comisión</w:t>
      </w:r>
      <w:r w:rsidR="00541A74" w:rsidRPr="008818D3">
        <w:rPr>
          <w:rFonts w:ascii="Verdana" w:hAnsi="Verdana"/>
          <w:spacing w:val="-4"/>
          <w:sz w:val="20"/>
          <w:szCs w:val="20"/>
          <w:lang w:val="es-MX"/>
        </w:rPr>
        <w:t>”</w:t>
      </w:r>
      <w:r w:rsidR="00541A74">
        <w:rPr>
          <w:rFonts w:ascii="Verdana" w:hAnsi="Verdana"/>
          <w:spacing w:val="-4"/>
          <w:sz w:val="20"/>
          <w:szCs w:val="20"/>
          <w:lang w:val="es-MX"/>
        </w:rPr>
        <w:t xml:space="preserve"> o</w:t>
      </w:r>
      <w:r w:rsidR="00541A74" w:rsidRPr="008818D3">
        <w:rPr>
          <w:rFonts w:ascii="Verdana" w:hAnsi="Verdana"/>
          <w:spacing w:val="-4"/>
          <w:sz w:val="20"/>
          <w:szCs w:val="20"/>
          <w:lang w:val="es-MX"/>
        </w:rPr>
        <w:t xml:space="preserve"> </w:t>
      </w:r>
      <w:r w:rsidRPr="008818D3">
        <w:rPr>
          <w:rFonts w:ascii="Verdana" w:hAnsi="Verdana"/>
          <w:spacing w:val="-4"/>
          <w:sz w:val="20"/>
          <w:szCs w:val="20"/>
          <w:lang w:val="es-MX"/>
        </w:rPr>
        <w:t xml:space="preserve">“la Comisión Interamericana”) presentó una solicitud de ampliación de medidas provisionales conforme al artículo 63.2 de la Convención Americana sobre Derechos Humanos (en adelante “la Convención Americana” o “la Convención”) y el artículo 27 del Reglamento de la Corte, con la finalidad de que ésta </w:t>
      </w:r>
      <w:r w:rsidR="000E5EDA" w:rsidRPr="008818D3">
        <w:rPr>
          <w:rFonts w:ascii="Verdana" w:hAnsi="Verdana"/>
          <w:spacing w:val="-4"/>
          <w:sz w:val="20"/>
          <w:szCs w:val="20"/>
          <w:lang w:val="es-MX"/>
        </w:rPr>
        <w:t>“</w:t>
      </w:r>
      <w:proofErr w:type="spellStart"/>
      <w:r w:rsidRPr="008818D3">
        <w:rPr>
          <w:rFonts w:ascii="Verdana" w:hAnsi="Verdana"/>
          <w:spacing w:val="-4"/>
          <w:sz w:val="20"/>
          <w:szCs w:val="20"/>
          <w:lang w:val="es-MX"/>
        </w:rPr>
        <w:t>orde</w:t>
      </w:r>
      <w:proofErr w:type="spellEnd"/>
      <w:r w:rsidR="004471B3" w:rsidRPr="008818D3">
        <w:rPr>
          <w:rFonts w:ascii="Verdana" w:hAnsi="Verdana"/>
          <w:spacing w:val="-4"/>
          <w:sz w:val="20"/>
          <w:szCs w:val="20"/>
          <w:lang w:val="es-MX"/>
        </w:rPr>
        <w:t>[</w:t>
      </w:r>
      <w:proofErr w:type="spellStart"/>
      <w:r w:rsidR="004471B3" w:rsidRPr="008818D3">
        <w:rPr>
          <w:rFonts w:ascii="Verdana" w:hAnsi="Verdana"/>
          <w:spacing w:val="-4"/>
          <w:sz w:val="20"/>
          <w:szCs w:val="20"/>
          <w:lang w:val="es-MX"/>
        </w:rPr>
        <w:t>nara</w:t>
      </w:r>
      <w:proofErr w:type="spellEnd"/>
      <w:r w:rsidR="004471B3" w:rsidRPr="008818D3">
        <w:rPr>
          <w:rFonts w:ascii="Verdana" w:hAnsi="Verdana"/>
          <w:spacing w:val="-4"/>
          <w:sz w:val="20"/>
          <w:szCs w:val="20"/>
          <w:lang w:val="es-MX"/>
        </w:rPr>
        <w:t>]</w:t>
      </w:r>
      <w:r w:rsidRPr="008818D3">
        <w:rPr>
          <w:rFonts w:ascii="Verdana" w:hAnsi="Verdana"/>
          <w:spacing w:val="-4"/>
          <w:sz w:val="20"/>
          <w:szCs w:val="20"/>
          <w:lang w:val="es-MX"/>
        </w:rPr>
        <w:t xml:space="preserve"> al Estado de Nicaragua </w:t>
      </w:r>
      <w:r w:rsidR="000E5EDA" w:rsidRPr="008818D3">
        <w:rPr>
          <w:rFonts w:ascii="Verdana" w:hAnsi="Verdana"/>
          <w:spacing w:val="-4"/>
          <w:sz w:val="20"/>
          <w:szCs w:val="20"/>
          <w:lang w:val="es-MX"/>
        </w:rPr>
        <w:t xml:space="preserve">[…] </w:t>
      </w:r>
      <w:r w:rsidRPr="008818D3">
        <w:rPr>
          <w:rFonts w:ascii="Verdana" w:hAnsi="Verdana"/>
          <w:spacing w:val="-4"/>
          <w:sz w:val="20"/>
          <w:szCs w:val="20"/>
          <w:lang w:val="es-MX"/>
        </w:rPr>
        <w:t xml:space="preserve">proteger la vida e integridad personal de los pobladores de la </w:t>
      </w:r>
      <w:r w:rsidRPr="008818D3">
        <w:rPr>
          <w:rFonts w:ascii="Verdana" w:hAnsi="Verdana"/>
          <w:i/>
          <w:spacing w:val="-4"/>
          <w:sz w:val="20"/>
          <w:szCs w:val="20"/>
          <w:lang w:val="es-MX"/>
        </w:rPr>
        <w:t xml:space="preserve">Comunidad Indígena Miskitu de Esperanza Río Coco </w:t>
      </w:r>
      <w:r w:rsidRPr="008818D3">
        <w:rPr>
          <w:rFonts w:ascii="Verdana" w:hAnsi="Verdana"/>
          <w:spacing w:val="-4"/>
          <w:sz w:val="20"/>
          <w:szCs w:val="20"/>
          <w:lang w:val="es-MX"/>
        </w:rPr>
        <w:t>ubicada en la región de la Costa Caribe Norte de Nicaragua</w:t>
      </w:r>
      <w:r w:rsidR="000E5EDA" w:rsidRPr="008818D3">
        <w:rPr>
          <w:rFonts w:ascii="Verdana" w:hAnsi="Verdana"/>
          <w:spacing w:val="-4"/>
          <w:sz w:val="20"/>
          <w:szCs w:val="20"/>
          <w:lang w:val="es-MX"/>
        </w:rPr>
        <w:t>”</w:t>
      </w:r>
      <w:r w:rsidRPr="008818D3">
        <w:rPr>
          <w:rFonts w:ascii="Verdana" w:hAnsi="Verdana"/>
          <w:spacing w:val="-4"/>
          <w:sz w:val="20"/>
          <w:szCs w:val="20"/>
          <w:lang w:val="es-MX"/>
        </w:rPr>
        <w:t xml:space="preserve">. </w:t>
      </w:r>
    </w:p>
    <w:p w14:paraId="3B1A3E9A" w14:textId="77777777" w:rsidR="00B75B22" w:rsidRPr="008818D3" w:rsidRDefault="00B75B22" w:rsidP="00B75B22">
      <w:pPr>
        <w:tabs>
          <w:tab w:val="left" w:pos="0"/>
        </w:tabs>
        <w:spacing w:after="0" w:line="240" w:lineRule="auto"/>
        <w:ind w:right="18"/>
        <w:jc w:val="both"/>
        <w:rPr>
          <w:rFonts w:ascii="Verdana" w:eastAsia="MS Mincho" w:hAnsi="Verdana"/>
          <w:sz w:val="20"/>
          <w:szCs w:val="20"/>
          <w:lang w:val="es-VE"/>
        </w:rPr>
      </w:pPr>
    </w:p>
    <w:p w14:paraId="78E06CBD" w14:textId="7C6BEBB3" w:rsidR="00B75B22" w:rsidRPr="00095453" w:rsidRDefault="00B75B22" w:rsidP="002A301B">
      <w:pPr>
        <w:numPr>
          <w:ilvl w:val="0"/>
          <w:numId w:val="2"/>
        </w:numPr>
        <w:spacing w:after="0" w:line="240" w:lineRule="auto"/>
        <w:ind w:left="0" w:right="18" w:firstLine="0"/>
        <w:jc w:val="both"/>
        <w:rPr>
          <w:rFonts w:ascii="Verdana" w:eastAsia="MS Mincho" w:hAnsi="Verdana"/>
          <w:sz w:val="20"/>
          <w:szCs w:val="20"/>
          <w:lang w:val="es-VE"/>
        </w:rPr>
      </w:pPr>
      <w:r w:rsidRPr="008818D3">
        <w:rPr>
          <w:rFonts w:ascii="Verdana" w:eastAsia="MS Mincho" w:hAnsi="Verdana"/>
          <w:sz w:val="20"/>
          <w:szCs w:val="20"/>
          <w:lang w:val="es-VE"/>
        </w:rPr>
        <w:t xml:space="preserve">La nota de Secretaría </w:t>
      </w:r>
      <w:r w:rsidR="004B12A7" w:rsidRPr="008818D3">
        <w:rPr>
          <w:rFonts w:ascii="Verdana" w:eastAsia="MS Mincho" w:hAnsi="Verdana"/>
          <w:sz w:val="20"/>
          <w:szCs w:val="20"/>
          <w:lang w:val="es-VE"/>
        </w:rPr>
        <w:t>de</w:t>
      </w:r>
      <w:r w:rsidR="004E3598">
        <w:rPr>
          <w:rFonts w:ascii="Verdana" w:eastAsia="MS Mincho" w:hAnsi="Verdana"/>
          <w:sz w:val="20"/>
          <w:szCs w:val="20"/>
          <w:lang w:val="es-VE"/>
        </w:rPr>
        <w:t xml:space="preserve"> 12 de octubre de 2016</w:t>
      </w:r>
      <w:r w:rsidRPr="008818D3">
        <w:rPr>
          <w:rFonts w:ascii="Verdana" w:eastAsia="MS Mincho" w:hAnsi="Verdana"/>
          <w:sz w:val="20"/>
          <w:szCs w:val="20"/>
          <w:lang w:val="es-VE"/>
        </w:rPr>
        <w:t xml:space="preserve"> mediante la cual, </w:t>
      </w:r>
      <w:r w:rsidRPr="008818D3">
        <w:rPr>
          <w:rFonts w:ascii="Verdana" w:hAnsi="Verdana"/>
          <w:spacing w:val="-4"/>
          <w:sz w:val="20"/>
          <w:szCs w:val="20"/>
          <w:lang w:val="es-CR"/>
        </w:rPr>
        <w:t>siguiendo</w:t>
      </w:r>
      <w:r w:rsidRPr="008818D3">
        <w:rPr>
          <w:rFonts w:ascii="Verdana" w:eastAsia="MS Mincho" w:hAnsi="Verdana"/>
          <w:sz w:val="20"/>
          <w:szCs w:val="20"/>
          <w:lang w:val="es-VE"/>
        </w:rPr>
        <w:t xml:space="preserve"> instrucciones del Presidente del Tribunal, se remitió al Estado la solicitud de ampliación de medidas provisionales</w:t>
      </w:r>
      <w:r w:rsidR="00254A41" w:rsidRPr="008818D3">
        <w:rPr>
          <w:rFonts w:ascii="Verdana" w:hAnsi="Verdana"/>
          <w:spacing w:val="-4"/>
          <w:sz w:val="20"/>
          <w:szCs w:val="20"/>
          <w:lang w:val="es-MX"/>
        </w:rPr>
        <w:t xml:space="preserve"> </w:t>
      </w:r>
      <w:r w:rsidR="002A301B" w:rsidRPr="008818D3">
        <w:rPr>
          <w:rFonts w:ascii="Verdana" w:hAnsi="Verdana"/>
          <w:spacing w:val="-4"/>
          <w:sz w:val="20"/>
          <w:szCs w:val="20"/>
          <w:lang w:val="es-MX"/>
        </w:rPr>
        <w:t xml:space="preserve">y </w:t>
      </w:r>
      <w:r w:rsidRPr="008818D3">
        <w:rPr>
          <w:rFonts w:ascii="Verdana" w:hAnsi="Verdana"/>
          <w:spacing w:val="-4"/>
          <w:sz w:val="20"/>
          <w:szCs w:val="20"/>
          <w:lang w:val="es-MX"/>
        </w:rPr>
        <w:t xml:space="preserve">se otorgó un plazo </w:t>
      </w:r>
      <w:r w:rsidRPr="008818D3">
        <w:rPr>
          <w:rFonts w:ascii="Verdana" w:eastAsia="MS Mincho" w:hAnsi="Verdana"/>
          <w:sz w:val="20"/>
          <w:szCs w:val="20"/>
          <w:lang w:val="es-VE"/>
        </w:rPr>
        <w:t>hasta el 19 octubre de 2016 para que remit</w:t>
      </w:r>
      <w:r w:rsidR="002A301B" w:rsidRPr="008818D3">
        <w:rPr>
          <w:rFonts w:ascii="Verdana" w:eastAsia="MS Mincho" w:hAnsi="Verdana"/>
          <w:sz w:val="20"/>
          <w:szCs w:val="20"/>
          <w:lang w:val="es-VE"/>
        </w:rPr>
        <w:t>ier</w:t>
      </w:r>
      <w:r w:rsidRPr="008818D3">
        <w:rPr>
          <w:rFonts w:ascii="Verdana" w:eastAsia="MS Mincho" w:hAnsi="Verdana"/>
          <w:sz w:val="20"/>
          <w:szCs w:val="20"/>
          <w:lang w:val="es-VE"/>
        </w:rPr>
        <w:t>a a la Corte información precisa sobre la situación planteada por la Comisión</w:t>
      </w:r>
      <w:r w:rsidR="002A301B" w:rsidRPr="008818D3">
        <w:rPr>
          <w:rFonts w:ascii="Verdana" w:eastAsia="MS Mincho" w:hAnsi="Verdana"/>
          <w:sz w:val="20"/>
          <w:szCs w:val="20"/>
          <w:lang w:val="es-VE"/>
        </w:rPr>
        <w:t>, así como el denominado Plan de Atención</w:t>
      </w:r>
      <w:r w:rsidRPr="008818D3">
        <w:rPr>
          <w:rFonts w:ascii="Verdana" w:eastAsia="MS Mincho" w:hAnsi="Verdana"/>
          <w:sz w:val="20"/>
          <w:szCs w:val="20"/>
          <w:lang w:val="es-VE"/>
        </w:rPr>
        <w:t xml:space="preserve">. </w:t>
      </w:r>
    </w:p>
    <w:p w14:paraId="54B883D9" w14:textId="77777777" w:rsidR="00B75B22" w:rsidRPr="000C401F" w:rsidRDefault="00B75B22" w:rsidP="00B75B22">
      <w:pPr>
        <w:pStyle w:val="ListParagraph"/>
        <w:rPr>
          <w:rFonts w:ascii="Verdana" w:hAnsi="Verdana"/>
          <w:color w:val="000000"/>
          <w:sz w:val="20"/>
          <w:lang w:val="es-CR"/>
        </w:rPr>
      </w:pPr>
    </w:p>
    <w:p w14:paraId="45A6F8F8" w14:textId="622A8C7D" w:rsidR="00B75B22" w:rsidRPr="008818D3" w:rsidRDefault="00DE4092" w:rsidP="00B75B22">
      <w:pPr>
        <w:numPr>
          <w:ilvl w:val="0"/>
          <w:numId w:val="2"/>
        </w:numPr>
        <w:spacing w:after="0" w:line="240" w:lineRule="auto"/>
        <w:ind w:left="0" w:right="18" w:firstLine="0"/>
        <w:jc w:val="both"/>
        <w:rPr>
          <w:rFonts w:ascii="Verdana" w:hAnsi="Verdana"/>
          <w:spacing w:val="-4"/>
          <w:sz w:val="20"/>
          <w:szCs w:val="20"/>
          <w:lang w:val="es-CR"/>
        </w:rPr>
      </w:pPr>
      <w:r w:rsidRPr="008818D3">
        <w:rPr>
          <w:rFonts w:ascii="Verdana" w:hAnsi="Verdana"/>
          <w:spacing w:val="-4"/>
          <w:sz w:val="20"/>
          <w:szCs w:val="20"/>
          <w:lang w:val="es-CR"/>
        </w:rPr>
        <w:t>La comunicación del Estado de 12 de octubre de 2016, mediante la cual remitió e</w:t>
      </w:r>
      <w:r w:rsidR="00B75B22" w:rsidRPr="008818D3">
        <w:rPr>
          <w:rFonts w:ascii="Verdana" w:hAnsi="Verdana"/>
          <w:spacing w:val="-4"/>
          <w:sz w:val="20"/>
          <w:szCs w:val="20"/>
          <w:lang w:val="es-CR"/>
        </w:rPr>
        <w:t>l Plan de Atención</w:t>
      </w:r>
      <w:r w:rsidR="00571BE1" w:rsidRPr="008818D3">
        <w:rPr>
          <w:rFonts w:ascii="Verdana" w:hAnsi="Verdana"/>
          <w:spacing w:val="-4"/>
          <w:sz w:val="20"/>
          <w:szCs w:val="20"/>
          <w:lang w:val="es-CR"/>
        </w:rPr>
        <w:t>.</w:t>
      </w:r>
      <w:r w:rsidR="00B75B22" w:rsidRPr="008818D3">
        <w:rPr>
          <w:rFonts w:ascii="Verdana" w:hAnsi="Verdana"/>
          <w:spacing w:val="-4"/>
          <w:sz w:val="20"/>
          <w:szCs w:val="20"/>
          <w:lang w:val="es-CR"/>
        </w:rPr>
        <w:t xml:space="preserve"> </w:t>
      </w:r>
    </w:p>
    <w:p w14:paraId="31AA1378" w14:textId="77777777" w:rsidR="00B75B22" w:rsidRPr="008818D3" w:rsidRDefault="00B75B22" w:rsidP="00B75B22">
      <w:pPr>
        <w:pStyle w:val="ListParagraph"/>
        <w:rPr>
          <w:rFonts w:ascii="Verdana" w:hAnsi="Verdana"/>
          <w:spacing w:val="-4"/>
          <w:sz w:val="20"/>
          <w:lang w:val="es-CR"/>
        </w:rPr>
      </w:pPr>
    </w:p>
    <w:p w14:paraId="5226B16B" w14:textId="294B3E18" w:rsidR="00254A41" w:rsidRPr="008818D3" w:rsidRDefault="00DE4092" w:rsidP="00B75B22">
      <w:pPr>
        <w:numPr>
          <w:ilvl w:val="0"/>
          <w:numId w:val="2"/>
        </w:numPr>
        <w:spacing w:after="0" w:line="240" w:lineRule="auto"/>
        <w:ind w:left="0" w:right="18" w:firstLine="0"/>
        <w:jc w:val="both"/>
        <w:rPr>
          <w:rFonts w:ascii="Verdana" w:hAnsi="Verdana"/>
          <w:spacing w:val="-4"/>
          <w:sz w:val="20"/>
          <w:szCs w:val="20"/>
          <w:lang w:val="es-CR"/>
        </w:rPr>
      </w:pPr>
      <w:r w:rsidRPr="008818D3">
        <w:rPr>
          <w:rFonts w:ascii="Verdana" w:hAnsi="Verdana"/>
          <w:spacing w:val="-4"/>
          <w:sz w:val="20"/>
          <w:szCs w:val="20"/>
          <w:lang w:val="es-CR"/>
        </w:rPr>
        <w:t>La comunicación de</w:t>
      </w:r>
      <w:r w:rsidR="000717DC" w:rsidRPr="008818D3">
        <w:rPr>
          <w:rFonts w:ascii="Verdana" w:hAnsi="Verdana"/>
          <w:spacing w:val="-4"/>
          <w:sz w:val="20"/>
          <w:szCs w:val="20"/>
          <w:lang w:val="es-CR"/>
        </w:rPr>
        <w:t xml:space="preserve"> 18 de octubre de 2016, </w:t>
      </w:r>
      <w:r w:rsidRPr="008818D3">
        <w:rPr>
          <w:rFonts w:ascii="Verdana" w:hAnsi="Verdana"/>
          <w:spacing w:val="-4"/>
          <w:sz w:val="20"/>
          <w:szCs w:val="20"/>
          <w:lang w:val="es-CR"/>
        </w:rPr>
        <w:t xml:space="preserve">mediante la cual </w:t>
      </w:r>
      <w:r w:rsidR="000717DC" w:rsidRPr="008818D3">
        <w:rPr>
          <w:rFonts w:ascii="Verdana" w:hAnsi="Verdana"/>
          <w:spacing w:val="-4"/>
          <w:sz w:val="20"/>
          <w:szCs w:val="20"/>
          <w:lang w:val="es-CR"/>
        </w:rPr>
        <w:t>el Estado solicit</w:t>
      </w:r>
      <w:r w:rsidRPr="008818D3">
        <w:rPr>
          <w:rFonts w:ascii="Verdana" w:hAnsi="Verdana"/>
          <w:spacing w:val="-4"/>
          <w:sz w:val="20"/>
          <w:szCs w:val="20"/>
          <w:lang w:val="es-CR"/>
        </w:rPr>
        <w:t>ó</w:t>
      </w:r>
      <w:r w:rsidR="000717DC" w:rsidRPr="008818D3">
        <w:rPr>
          <w:rFonts w:ascii="Verdana" w:hAnsi="Verdana"/>
          <w:spacing w:val="-4"/>
          <w:sz w:val="20"/>
          <w:szCs w:val="20"/>
          <w:lang w:val="es-CR"/>
        </w:rPr>
        <w:t xml:space="preserve"> </w:t>
      </w:r>
      <w:r w:rsidR="004471B3" w:rsidRPr="008818D3">
        <w:rPr>
          <w:rFonts w:ascii="Verdana" w:hAnsi="Verdana"/>
          <w:spacing w:val="-4"/>
          <w:sz w:val="20"/>
          <w:szCs w:val="20"/>
          <w:lang w:val="es-CR"/>
        </w:rPr>
        <w:t>una prórroga</w:t>
      </w:r>
      <w:r w:rsidR="000717DC" w:rsidRPr="008818D3">
        <w:rPr>
          <w:rFonts w:ascii="Verdana" w:hAnsi="Verdana"/>
          <w:spacing w:val="-4"/>
          <w:sz w:val="20"/>
          <w:szCs w:val="20"/>
          <w:lang w:val="es-CR"/>
        </w:rPr>
        <w:t xml:space="preserve"> prudencial de 30 días para presentar la información sobre la situación planteada, en consideración </w:t>
      </w:r>
      <w:r w:rsidRPr="008818D3">
        <w:rPr>
          <w:rFonts w:ascii="Verdana" w:hAnsi="Verdana"/>
          <w:spacing w:val="-4"/>
          <w:sz w:val="20"/>
          <w:szCs w:val="20"/>
          <w:lang w:val="es-CR"/>
        </w:rPr>
        <w:t>de “</w:t>
      </w:r>
      <w:r w:rsidR="000717DC" w:rsidRPr="008818D3">
        <w:rPr>
          <w:rFonts w:ascii="Verdana" w:hAnsi="Verdana"/>
          <w:spacing w:val="-4"/>
          <w:sz w:val="20"/>
          <w:szCs w:val="20"/>
          <w:lang w:val="es-CR"/>
        </w:rPr>
        <w:t xml:space="preserve">la ubicación geográfica de las comunidades y la época </w:t>
      </w:r>
      <w:r w:rsidR="00B41991">
        <w:rPr>
          <w:rFonts w:ascii="Verdana" w:hAnsi="Verdana"/>
          <w:spacing w:val="-4"/>
          <w:sz w:val="20"/>
          <w:szCs w:val="20"/>
          <w:lang w:val="es-CR"/>
        </w:rPr>
        <w:t>lluviosa</w:t>
      </w:r>
      <w:r w:rsidR="000717DC" w:rsidRPr="008818D3">
        <w:rPr>
          <w:rFonts w:ascii="Verdana" w:hAnsi="Verdana"/>
          <w:spacing w:val="-4"/>
          <w:sz w:val="20"/>
          <w:szCs w:val="20"/>
          <w:lang w:val="es-CR"/>
        </w:rPr>
        <w:t>, circunstancias que limitan la comunicación</w:t>
      </w:r>
      <w:r w:rsidRPr="008818D3">
        <w:rPr>
          <w:rFonts w:ascii="Verdana" w:hAnsi="Verdana"/>
          <w:spacing w:val="-4"/>
          <w:sz w:val="20"/>
          <w:szCs w:val="20"/>
          <w:lang w:val="es-CR"/>
        </w:rPr>
        <w:t>”</w:t>
      </w:r>
      <w:r w:rsidR="000717DC" w:rsidRPr="008818D3">
        <w:rPr>
          <w:rFonts w:ascii="Verdana" w:hAnsi="Verdana"/>
          <w:spacing w:val="-4"/>
          <w:sz w:val="20"/>
          <w:szCs w:val="20"/>
          <w:lang w:val="es-CR"/>
        </w:rPr>
        <w:t xml:space="preserve">. </w:t>
      </w:r>
    </w:p>
    <w:p w14:paraId="75223D83" w14:textId="77777777" w:rsidR="000717DC" w:rsidRPr="008818D3" w:rsidRDefault="000717DC" w:rsidP="00445863">
      <w:pPr>
        <w:pStyle w:val="ListParagraph"/>
        <w:rPr>
          <w:rFonts w:ascii="Verdana" w:hAnsi="Verdana"/>
          <w:spacing w:val="-4"/>
          <w:sz w:val="20"/>
          <w:lang w:val="es-CR"/>
        </w:rPr>
      </w:pPr>
    </w:p>
    <w:p w14:paraId="42313746" w14:textId="7A985191" w:rsidR="000717DC" w:rsidRPr="008818D3" w:rsidRDefault="000717DC" w:rsidP="00B75B22">
      <w:pPr>
        <w:numPr>
          <w:ilvl w:val="0"/>
          <w:numId w:val="2"/>
        </w:numPr>
        <w:spacing w:after="0" w:line="240" w:lineRule="auto"/>
        <w:ind w:left="0" w:right="18" w:firstLine="0"/>
        <w:jc w:val="both"/>
        <w:rPr>
          <w:rFonts w:ascii="Verdana" w:hAnsi="Verdana"/>
          <w:spacing w:val="-4"/>
          <w:sz w:val="20"/>
          <w:szCs w:val="20"/>
          <w:lang w:val="es-CR"/>
        </w:rPr>
      </w:pPr>
      <w:r w:rsidRPr="008818D3">
        <w:rPr>
          <w:rFonts w:ascii="Verdana" w:hAnsi="Verdana"/>
          <w:spacing w:val="-4"/>
          <w:sz w:val="20"/>
          <w:szCs w:val="20"/>
          <w:lang w:val="es-CR"/>
        </w:rPr>
        <w:t xml:space="preserve">La nota de Secretaría de </w:t>
      </w:r>
      <w:r w:rsidR="003C091E" w:rsidRPr="008818D3">
        <w:rPr>
          <w:rFonts w:ascii="Verdana" w:hAnsi="Verdana"/>
          <w:spacing w:val="-4"/>
          <w:sz w:val="20"/>
          <w:szCs w:val="20"/>
          <w:lang w:val="es-CR"/>
        </w:rPr>
        <w:t xml:space="preserve">20 </w:t>
      </w:r>
      <w:r w:rsidRPr="008818D3">
        <w:rPr>
          <w:rFonts w:ascii="Verdana" w:hAnsi="Verdana"/>
          <w:spacing w:val="-4"/>
          <w:sz w:val="20"/>
          <w:szCs w:val="20"/>
          <w:lang w:val="es-CR"/>
        </w:rPr>
        <w:t xml:space="preserve">de octubre de 2016, </w:t>
      </w:r>
      <w:r w:rsidR="00DE4092" w:rsidRPr="008818D3">
        <w:rPr>
          <w:rFonts w:ascii="Verdana" w:hAnsi="Verdana"/>
          <w:spacing w:val="-4"/>
          <w:sz w:val="20"/>
          <w:szCs w:val="20"/>
          <w:lang w:val="es-CR"/>
        </w:rPr>
        <w:t>mediante la cual</w:t>
      </w:r>
      <w:r w:rsidR="00967598">
        <w:rPr>
          <w:rFonts w:ascii="Verdana" w:hAnsi="Verdana"/>
          <w:spacing w:val="-4"/>
          <w:sz w:val="20"/>
          <w:szCs w:val="20"/>
          <w:lang w:val="es-CR"/>
        </w:rPr>
        <w:t>,</w:t>
      </w:r>
      <w:r w:rsidR="00445863" w:rsidRPr="00967598">
        <w:rPr>
          <w:rFonts w:ascii="Verdana" w:hAnsi="Verdana"/>
          <w:spacing w:val="-4"/>
          <w:sz w:val="20"/>
          <w:szCs w:val="20"/>
          <w:lang w:val="es-CR"/>
        </w:rPr>
        <w:t xml:space="preserve"> </w:t>
      </w:r>
      <w:r w:rsidR="00967598">
        <w:rPr>
          <w:rFonts w:ascii="Verdana" w:hAnsi="Verdana"/>
          <w:spacing w:val="-4"/>
          <w:sz w:val="20"/>
          <w:szCs w:val="20"/>
          <w:lang w:val="es-CR"/>
        </w:rPr>
        <w:t>siguiendo instrucciones del Pleno del Tribunal,</w:t>
      </w:r>
      <w:r w:rsidR="00967598" w:rsidRPr="00967598">
        <w:rPr>
          <w:rFonts w:ascii="Verdana" w:hAnsi="Verdana"/>
          <w:spacing w:val="-4"/>
          <w:sz w:val="20"/>
          <w:szCs w:val="20"/>
          <w:lang w:val="es-CR"/>
        </w:rPr>
        <w:t xml:space="preserve"> </w:t>
      </w:r>
      <w:r w:rsidR="004E3598">
        <w:rPr>
          <w:rFonts w:ascii="Verdana" w:hAnsi="Verdana"/>
          <w:spacing w:val="-4"/>
          <w:sz w:val="20"/>
          <w:szCs w:val="20"/>
          <w:lang w:val="es-CR"/>
        </w:rPr>
        <w:t xml:space="preserve">se </w:t>
      </w:r>
      <w:r w:rsidR="00967598">
        <w:rPr>
          <w:rFonts w:ascii="Verdana" w:hAnsi="Verdana"/>
          <w:spacing w:val="-4"/>
          <w:sz w:val="20"/>
          <w:szCs w:val="20"/>
          <w:lang w:val="es-CR"/>
        </w:rPr>
        <w:t>concedió</w:t>
      </w:r>
      <w:r w:rsidR="00967598" w:rsidRPr="00967598">
        <w:rPr>
          <w:rFonts w:ascii="Verdana" w:hAnsi="Verdana"/>
          <w:spacing w:val="-4"/>
          <w:sz w:val="20"/>
          <w:szCs w:val="20"/>
          <w:lang w:val="es-CR"/>
        </w:rPr>
        <w:t xml:space="preserve"> </w:t>
      </w:r>
      <w:r w:rsidR="00445863" w:rsidRPr="00967598">
        <w:rPr>
          <w:rFonts w:ascii="Verdana" w:hAnsi="Verdana"/>
          <w:spacing w:val="-4"/>
          <w:sz w:val="20"/>
          <w:szCs w:val="20"/>
          <w:lang w:val="es-CR"/>
        </w:rPr>
        <w:t>al Estado</w:t>
      </w:r>
      <w:r w:rsidR="00967598">
        <w:rPr>
          <w:rFonts w:ascii="Verdana" w:hAnsi="Verdana"/>
          <w:spacing w:val="-4"/>
          <w:sz w:val="20"/>
          <w:szCs w:val="20"/>
          <w:lang w:val="es-CR"/>
        </w:rPr>
        <w:t xml:space="preserve"> una prórroga para que</w:t>
      </w:r>
      <w:r w:rsidR="00ED5A0D">
        <w:rPr>
          <w:rFonts w:ascii="Verdana" w:hAnsi="Verdana"/>
          <w:spacing w:val="-4"/>
          <w:sz w:val="20"/>
          <w:szCs w:val="20"/>
          <w:lang w:val="es-CR"/>
        </w:rPr>
        <w:t xml:space="preserve"> </w:t>
      </w:r>
      <w:r w:rsidR="00967598">
        <w:rPr>
          <w:rFonts w:ascii="Verdana" w:hAnsi="Verdana"/>
          <w:spacing w:val="-4"/>
          <w:sz w:val="20"/>
          <w:szCs w:val="20"/>
          <w:lang w:val="es-CR"/>
        </w:rPr>
        <w:t>presentara</w:t>
      </w:r>
      <w:r w:rsidR="00ED5A0D">
        <w:rPr>
          <w:rFonts w:ascii="Verdana" w:hAnsi="Verdana"/>
          <w:spacing w:val="-4"/>
          <w:sz w:val="20"/>
          <w:szCs w:val="20"/>
          <w:lang w:val="es-CR"/>
        </w:rPr>
        <w:t xml:space="preserve"> </w:t>
      </w:r>
      <w:r w:rsidR="00967598">
        <w:rPr>
          <w:rFonts w:ascii="Verdana" w:hAnsi="Verdana"/>
          <w:spacing w:val="-4"/>
          <w:sz w:val="20"/>
          <w:szCs w:val="20"/>
          <w:lang w:val="es-CR"/>
        </w:rPr>
        <w:t>información sobre la solicitud de la Comisión para la ampliación de medidas provisionales</w:t>
      </w:r>
      <w:r w:rsidR="00DA6DE2">
        <w:rPr>
          <w:rFonts w:ascii="Verdana" w:hAnsi="Verdana"/>
          <w:spacing w:val="-4"/>
          <w:sz w:val="20"/>
          <w:szCs w:val="20"/>
          <w:lang w:val="es-CR"/>
        </w:rPr>
        <w:t>, a más tardar el 3 de noviembre de 2016</w:t>
      </w:r>
      <w:r w:rsidR="00967598">
        <w:rPr>
          <w:rFonts w:ascii="Verdana" w:hAnsi="Verdana"/>
          <w:spacing w:val="-4"/>
          <w:sz w:val="20"/>
          <w:szCs w:val="20"/>
          <w:lang w:val="es-CR"/>
        </w:rPr>
        <w:t>.</w:t>
      </w:r>
      <w:r w:rsidR="00D26C7A">
        <w:rPr>
          <w:rFonts w:ascii="Verdana" w:hAnsi="Verdana"/>
          <w:spacing w:val="-4"/>
          <w:sz w:val="20"/>
          <w:szCs w:val="20"/>
          <w:lang w:val="es-CR"/>
        </w:rPr>
        <w:t xml:space="preserve"> </w:t>
      </w:r>
    </w:p>
    <w:p w14:paraId="262DE82D" w14:textId="77777777" w:rsidR="003C091E" w:rsidRPr="008818D3" w:rsidRDefault="003C091E" w:rsidP="002C4BEB">
      <w:pPr>
        <w:pStyle w:val="ListParagraph"/>
        <w:rPr>
          <w:rFonts w:ascii="Verdana" w:hAnsi="Verdana"/>
          <w:spacing w:val="-4"/>
          <w:sz w:val="20"/>
          <w:lang w:val="es-CR"/>
        </w:rPr>
      </w:pPr>
    </w:p>
    <w:p w14:paraId="20A99E62" w14:textId="3813F3AE" w:rsidR="003C091E" w:rsidRPr="00B41991" w:rsidRDefault="003C091E" w:rsidP="00B75B22">
      <w:pPr>
        <w:numPr>
          <w:ilvl w:val="0"/>
          <w:numId w:val="2"/>
        </w:numPr>
        <w:spacing w:after="0" w:line="240" w:lineRule="auto"/>
        <w:ind w:left="0" w:right="18" w:firstLine="0"/>
        <w:jc w:val="both"/>
        <w:rPr>
          <w:rFonts w:ascii="Verdana" w:hAnsi="Verdana"/>
          <w:spacing w:val="-4"/>
          <w:sz w:val="20"/>
          <w:szCs w:val="20"/>
          <w:lang w:val="es-CR"/>
        </w:rPr>
      </w:pPr>
      <w:r w:rsidRPr="00095453">
        <w:rPr>
          <w:rFonts w:ascii="Verdana" w:hAnsi="Verdana"/>
          <w:spacing w:val="-4"/>
          <w:sz w:val="20"/>
          <w:szCs w:val="20"/>
          <w:lang w:val="es-CR"/>
        </w:rPr>
        <w:t>La comunicación de 2 de noviembre de 2016, mediante la cual el Estado remiti</w:t>
      </w:r>
      <w:r w:rsidR="00C8668C" w:rsidRPr="00095453">
        <w:rPr>
          <w:rFonts w:ascii="Verdana" w:hAnsi="Verdana"/>
          <w:spacing w:val="-4"/>
          <w:sz w:val="20"/>
          <w:szCs w:val="20"/>
          <w:lang w:val="es-CR"/>
        </w:rPr>
        <w:t xml:space="preserve">ó </w:t>
      </w:r>
      <w:r w:rsidR="0006480B">
        <w:rPr>
          <w:rFonts w:ascii="Verdana" w:hAnsi="Verdana"/>
          <w:spacing w:val="-4"/>
          <w:sz w:val="20"/>
          <w:szCs w:val="20"/>
          <w:lang w:val="es-CR"/>
        </w:rPr>
        <w:t xml:space="preserve">su </w:t>
      </w:r>
      <w:r w:rsidR="00565B5E" w:rsidRPr="00095453">
        <w:rPr>
          <w:rFonts w:ascii="Verdana" w:hAnsi="Verdana"/>
          <w:spacing w:val="-4"/>
          <w:sz w:val="20"/>
          <w:szCs w:val="20"/>
          <w:lang w:val="es-CR"/>
        </w:rPr>
        <w:t xml:space="preserve">Informe sobre la Ampliación de Medidas Provisionales, </w:t>
      </w:r>
      <w:r w:rsidR="00095453">
        <w:rPr>
          <w:rFonts w:ascii="Verdana" w:hAnsi="Verdana"/>
          <w:spacing w:val="-4"/>
          <w:sz w:val="20"/>
          <w:szCs w:val="20"/>
          <w:lang w:val="es-CR"/>
        </w:rPr>
        <w:t xml:space="preserve">en respuesta a </w:t>
      </w:r>
      <w:r w:rsidRPr="00095453">
        <w:rPr>
          <w:rFonts w:ascii="Verdana" w:hAnsi="Verdana"/>
          <w:spacing w:val="-4"/>
          <w:sz w:val="20"/>
          <w:szCs w:val="20"/>
          <w:lang w:val="es-CR"/>
        </w:rPr>
        <w:t xml:space="preserve">la </w:t>
      </w:r>
      <w:r w:rsidR="00565B5E" w:rsidRPr="00095453">
        <w:rPr>
          <w:rFonts w:ascii="Verdana" w:hAnsi="Verdana"/>
          <w:spacing w:val="-4"/>
          <w:sz w:val="20"/>
          <w:szCs w:val="20"/>
          <w:lang w:val="es-CR"/>
        </w:rPr>
        <w:t>situación planteada</w:t>
      </w:r>
      <w:r w:rsidR="00C10537" w:rsidRPr="00095453">
        <w:rPr>
          <w:rFonts w:ascii="Verdana" w:hAnsi="Verdana"/>
          <w:spacing w:val="-4"/>
          <w:sz w:val="20"/>
          <w:szCs w:val="20"/>
          <w:lang w:val="es-MX"/>
        </w:rPr>
        <w:t xml:space="preserve"> por la Comisión</w:t>
      </w:r>
      <w:r w:rsidRPr="00095453">
        <w:rPr>
          <w:rFonts w:ascii="Verdana" w:hAnsi="Verdana"/>
          <w:spacing w:val="-4"/>
          <w:sz w:val="20"/>
          <w:szCs w:val="20"/>
          <w:lang w:val="es-MX"/>
        </w:rPr>
        <w:t>.</w:t>
      </w:r>
      <w:r w:rsidR="00D26C7A">
        <w:rPr>
          <w:rFonts w:ascii="Verdana" w:hAnsi="Verdana"/>
          <w:spacing w:val="-4"/>
          <w:sz w:val="20"/>
          <w:szCs w:val="20"/>
          <w:lang w:val="es-MX"/>
        </w:rPr>
        <w:t xml:space="preserve"> </w:t>
      </w:r>
    </w:p>
    <w:p w14:paraId="6972FCBD" w14:textId="77777777" w:rsidR="00B41991" w:rsidRDefault="00B41991" w:rsidP="00B41991">
      <w:pPr>
        <w:pStyle w:val="ListParagraph"/>
        <w:rPr>
          <w:rFonts w:ascii="Verdana" w:hAnsi="Verdana"/>
          <w:spacing w:val="-4"/>
          <w:sz w:val="20"/>
          <w:lang w:val="es-CR"/>
        </w:rPr>
      </w:pPr>
    </w:p>
    <w:p w14:paraId="51349633" w14:textId="3331939E" w:rsidR="00B41991" w:rsidRPr="002C4BEB" w:rsidRDefault="00B41991" w:rsidP="00B75B22">
      <w:pPr>
        <w:numPr>
          <w:ilvl w:val="0"/>
          <w:numId w:val="2"/>
        </w:numPr>
        <w:spacing w:after="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t>La comunicación de 2 de noviembre de 2016</w:t>
      </w:r>
      <w:r w:rsidR="004E3598">
        <w:rPr>
          <w:rFonts w:ascii="Verdana" w:hAnsi="Verdana"/>
          <w:spacing w:val="-4"/>
          <w:sz w:val="20"/>
          <w:szCs w:val="20"/>
          <w:lang w:val="es-CR"/>
        </w:rPr>
        <w:t>,</w:t>
      </w:r>
      <w:r>
        <w:rPr>
          <w:rFonts w:ascii="Verdana" w:hAnsi="Verdana"/>
          <w:spacing w:val="-4"/>
          <w:sz w:val="20"/>
          <w:szCs w:val="20"/>
          <w:lang w:val="es-CR"/>
        </w:rPr>
        <w:t xml:space="preserve"> </w:t>
      </w:r>
      <w:r w:rsidR="000178DC">
        <w:rPr>
          <w:rFonts w:ascii="Verdana" w:hAnsi="Verdana"/>
          <w:spacing w:val="-4"/>
          <w:sz w:val="20"/>
          <w:szCs w:val="20"/>
          <w:lang w:val="es-CR"/>
        </w:rPr>
        <w:t>mediante</w:t>
      </w:r>
      <w:r>
        <w:rPr>
          <w:rFonts w:ascii="Verdana" w:hAnsi="Verdana"/>
          <w:spacing w:val="-4"/>
          <w:sz w:val="20"/>
          <w:szCs w:val="20"/>
          <w:lang w:val="es-CR"/>
        </w:rPr>
        <w:t xml:space="preserve"> la cual los representantes </w:t>
      </w:r>
      <w:r w:rsidR="00E44F32">
        <w:rPr>
          <w:rFonts w:ascii="Verdana" w:hAnsi="Verdana"/>
          <w:spacing w:val="-4"/>
          <w:sz w:val="20"/>
          <w:szCs w:val="20"/>
          <w:lang w:val="es-CR"/>
        </w:rPr>
        <w:t xml:space="preserve">de los beneficiarios </w:t>
      </w:r>
      <w:r>
        <w:rPr>
          <w:rFonts w:ascii="Verdana" w:hAnsi="Verdana"/>
          <w:spacing w:val="-4"/>
          <w:sz w:val="20"/>
          <w:szCs w:val="20"/>
          <w:lang w:val="es-CR"/>
        </w:rPr>
        <w:t>solicitaron una prórroga de siete días para presentar sus observaciones al Informe del Estado sobre las medidas provisionales ordenadas (</w:t>
      </w:r>
      <w:r>
        <w:rPr>
          <w:rFonts w:ascii="Verdana" w:hAnsi="Verdana"/>
          <w:i/>
          <w:spacing w:val="-4"/>
          <w:sz w:val="20"/>
          <w:szCs w:val="20"/>
          <w:lang w:val="es-CR"/>
        </w:rPr>
        <w:t xml:space="preserve">supra </w:t>
      </w:r>
      <w:r w:rsidR="00B21FD0">
        <w:rPr>
          <w:rFonts w:ascii="Verdana" w:hAnsi="Verdana"/>
          <w:spacing w:val="-4"/>
          <w:sz w:val="20"/>
          <w:szCs w:val="20"/>
          <w:lang w:val="es-CR"/>
        </w:rPr>
        <w:t xml:space="preserve">Visto </w:t>
      </w:r>
      <w:r>
        <w:rPr>
          <w:rFonts w:ascii="Verdana" w:hAnsi="Verdana"/>
          <w:spacing w:val="-4"/>
          <w:sz w:val="20"/>
          <w:szCs w:val="20"/>
          <w:lang w:val="es-CR"/>
        </w:rPr>
        <w:t>2).</w:t>
      </w:r>
    </w:p>
    <w:p w14:paraId="697166B6" w14:textId="32D62050" w:rsidR="0006480B" w:rsidRDefault="0006480B" w:rsidP="002C4BEB">
      <w:pPr>
        <w:pStyle w:val="ListParagraph"/>
        <w:rPr>
          <w:rFonts w:ascii="Verdana" w:hAnsi="Verdana"/>
          <w:spacing w:val="-4"/>
          <w:sz w:val="20"/>
          <w:lang w:val="es-CR"/>
        </w:rPr>
      </w:pPr>
    </w:p>
    <w:p w14:paraId="152C8EDD" w14:textId="57DED99D" w:rsidR="0006480B" w:rsidRDefault="00EB2F8A" w:rsidP="00B75B22">
      <w:pPr>
        <w:numPr>
          <w:ilvl w:val="0"/>
          <w:numId w:val="2"/>
        </w:numPr>
        <w:spacing w:after="0" w:line="240" w:lineRule="auto"/>
        <w:ind w:left="0" w:right="18" w:firstLine="0"/>
        <w:jc w:val="both"/>
        <w:rPr>
          <w:rFonts w:ascii="Verdana" w:hAnsi="Verdana"/>
          <w:spacing w:val="-4"/>
          <w:sz w:val="20"/>
          <w:szCs w:val="20"/>
          <w:lang w:val="es-CR"/>
        </w:rPr>
      </w:pPr>
      <w:r w:rsidRPr="00B41991">
        <w:rPr>
          <w:rFonts w:ascii="Verdana" w:hAnsi="Verdana"/>
          <w:spacing w:val="-4"/>
          <w:sz w:val="20"/>
          <w:szCs w:val="20"/>
          <w:lang w:val="es-CR"/>
        </w:rPr>
        <w:t>La nota de Secretaría de 3 de no</w:t>
      </w:r>
      <w:r w:rsidR="00B41991" w:rsidRPr="00B41991">
        <w:rPr>
          <w:rFonts w:ascii="Verdana" w:hAnsi="Verdana"/>
          <w:spacing w:val="-4"/>
          <w:sz w:val="20"/>
          <w:szCs w:val="20"/>
          <w:lang w:val="es-CR"/>
        </w:rPr>
        <w:t>v</w:t>
      </w:r>
      <w:r w:rsidRPr="00B41991">
        <w:rPr>
          <w:rFonts w:ascii="Verdana" w:hAnsi="Verdana"/>
          <w:spacing w:val="-4"/>
          <w:sz w:val="20"/>
          <w:szCs w:val="20"/>
          <w:lang w:val="es-CR"/>
        </w:rPr>
        <w:t xml:space="preserve">iembre de 2016, </w:t>
      </w:r>
      <w:r w:rsidR="000178DC">
        <w:rPr>
          <w:rFonts w:ascii="Verdana" w:hAnsi="Verdana"/>
          <w:spacing w:val="-4"/>
          <w:sz w:val="20"/>
          <w:szCs w:val="20"/>
          <w:lang w:val="es-CR"/>
        </w:rPr>
        <w:t>mediante</w:t>
      </w:r>
      <w:r w:rsidRPr="00B41991">
        <w:rPr>
          <w:rFonts w:ascii="Verdana" w:hAnsi="Verdana"/>
          <w:spacing w:val="-4"/>
          <w:sz w:val="20"/>
          <w:szCs w:val="20"/>
          <w:lang w:val="es-CR"/>
        </w:rPr>
        <w:t xml:space="preserve"> la cual</w:t>
      </w:r>
      <w:r w:rsidR="00B41991">
        <w:rPr>
          <w:rFonts w:ascii="Verdana" w:hAnsi="Verdana"/>
          <w:spacing w:val="-4"/>
          <w:sz w:val="20"/>
          <w:szCs w:val="20"/>
          <w:lang w:val="es-CR"/>
        </w:rPr>
        <w:t>, siguiendo instrucciones del Presidente de la Corte, se concedió una prórroga para que</w:t>
      </w:r>
      <w:r w:rsidR="004E3598">
        <w:rPr>
          <w:rFonts w:ascii="Verdana" w:hAnsi="Verdana"/>
          <w:spacing w:val="-4"/>
          <w:sz w:val="20"/>
          <w:szCs w:val="20"/>
          <w:lang w:val="es-CR"/>
        </w:rPr>
        <w:t>,</w:t>
      </w:r>
      <w:r w:rsidR="00B41991">
        <w:rPr>
          <w:rFonts w:ascii="Verdana" w:hAnsi="Verdana"/>
          <w:spacing w:val="-4"/>
          <w:sz w:val="20"/>
          <w:szCs w:val="20"/>
          <w:lang w:val="es-CR"/>
        </w:rPr>
        <w:t xml:space="preserve"> a más tardar el 14 de noviembre de</w:t>
      </w:r>
      <w:r w:rsidR="000178DC">
        <w:rPr>
          <w:rFonts w:ascii="Verdana" w:hAnsi="Verdana"/>
          <w:spacing w:val="-4"/>
          <w:sz w:val="20"/>
          <w:szCs w:val="20"/>
          <w:lang w:val="es-CR"/>
        </w:rPr>
        <w:t xml:space="preserve"> 2016</w:t>
      </w:r>
      <w:r w:rsidR="004E3598">
        <w:rPr>
          <w:rFonts w:ascii="Verdana" w:hAnsi="Verdana"/>
          <w:spacing w:val="-4"/>
          <w:sz w:val="20"/>
          <w:szCs w:val="20"/>
          <w:lang w:val="es-CR"/>
        </w:rPr>
        <w:t>,</w:t>
      </w:r>
      <w:r w:rsidR="000178DC">
        <w:rPr>
          <w:rFonts w:ascii="Verdana" w:hAnsi="Verdana"/>
          <w:spacing w:val="-4"/>
          <w:sz w:val="20"/>
          <w:szCs w:val="20"/>
          <w:lang w:val="es-CR"/>
        </w:rPr>
        <w:t xml:space="preserve"> los representantes incluyera</w:t>
      </w:r>
      <w:r w:rsidR="00B41991">
        <w:rPr>
          <w:rFonts w:ascii="Verdana" w:hAnsi="Verdana"/>
          <w:spacing w:val="-4"/>
          <w:sz w:val="20"/>
          <w:szCs w:val="20"/>
          <w:lang w:val="es-CR"/>
        </w:rPr>
        <w:t>n en sus observaciones lo que estim</w:t>
      </w:r>
      <w:r w:rsidR="000178DC">
        <w:rPr>
          <w:rFonts w:ascii="Verdana" w:hAnsi="Verdana"/>
          <w:spacing w:val="-4"/>
          <w:sz w:val="20"/>
          <w:szCs w:val="20"/>
          <w:lang w:val="es-CR"/>
        </w:rPr>
        <w:t>ara</w:t>
      </w:r>
      <w:r w:rsidR="00B41991">
        <w:rPr>
          <w:rFonts w:ascii="Verdana" w:hAnsi="Verdana"/>
          <w:spacing w:val="-4"/>
          <w:sz w:val="20"/>
          <w:szCs w:val="20"/>
          <w:lang w:val="es-CR"/>
        </w:rPr>
        <w:t>n pertinente, en relación con el informe del Estado de 2 de noviembre de 2016 (</w:t>
      </w:r>
      <w:r w:rsidR="00B41991" w:rsidRPr="00B21FD0">
        <w:rPr>
          <w:rFonts w:ascii="Verdana" w:hAnsi="Verdana"/>
          <w:i/>
          <w:spacing w:val="-4"/>
          <w:sz w:val="20"/>
          <w:szCs w:val="20"/>
          <w:lang w:val="es-CR"/>
        </w:rPr>
        <w:t>supra</w:t>
      </w:r>
      <w:r w:rsidR="00B41991">
        <w:rPr>
          <w:rFonts w:ascii="Verdana" w:hAnsi="Verdana"/>
          <w:spacing w:val="-4"/>
          <w:sz w:val="20"/>
          <w:szCs w:val="20"/>
          <w:lang w:val="es-CR"/>
        </w:rPr>
        <w:t xml:space="preserve"> </w:t>
      </w:r>
      <w:r w:rsidR="00B21FD0" w:rsidRPr="00B21FD0">
        <w:rPr>
          <w:rFonts w:ascii="Verdana" w:hAnsi="Verdana"/>
          <w:spacing w:val="-4"/>
          <w:sz w:val="20"/>
          <w:szCs w:val="20"/>
          <w:lang w:val="es-CR"/>
        </w:rPr>
        <w:t>Visto</w:t>
      </w:r>
      <w:r w:rsidR="00B21FD0">
        <w:rPr>
          <w:rFonts w:ascii="Verdana" w:hAnsi="Verdana"/>
          <w:i/>
          <w:spacing w:val="-4"/>
          <w:sz w:val="20"/>
          <w:szCs w:val="20"/>
          <w:lang w:val="es-CR"/>
        </w:rPr>
        <w:t xml:space="preserve"> </w:t>
      </w:r>
      <w:r w:rsidR="00B41991" w:rsidRPr="00B41991">
        <w:rPr>
          <w:rFonts w:ascii="Verdana" w:hAnsi="Verdana"/>
          <w:spacing w:val="-4"/>
          <w:sz w:val="20"/>
          <w:szCs w:val="20"/>
          <w:lang w:val="es-CR"/>
        </w:rPr>
        <w:t>9</w:t>
      </w:r>
      <w:r w:rsidR="00B41991">
        <w:rPr>
          <w:rFonts w:ascii="Verdana" w:hAnsi="Verdana"/>
          <w:spacing w:val="-4"/>
          <w:sz w:val="20"/>
          <w:szCs w:val="20"/>
          <w:lang w:val="es-CR"/>
        </w:rPr>
        <w:t>).</w:t>
      </w:r>
      <w:r w:rsidRPr="00B41991">
        <w:rPr>
          <w:rFonts w:ascii="Verdana" w:hAnsi="Verdana"/>
          <w:spacing w:val="-4"/>
          <w:sz w:val="20"/>
          <w:szCs w:val="20"/>
          <w:lang w:val="es-CR"/>
        </w:rPr>
        <w:t xml:space="preserve"> </w:t>
      </w:r>
    </w:p>
    <w:p w14:paraId="7288FED7" w14:textId="77777777" w:rsidR="00B41991" w:rsidRDefault="00B41991" w:rsidP="00B41991">
      <w:pPr>
        <w:pStyle w:val="ListParagraph"/>
        <w:rPr>
          <w:rFonts w:ascii="Verdana" w:hAnsi="Verdana"/>
          <w:spacing w:val="-4"/>
          <w:sz w:val="20"/>
          <w:lang w:val="es-CR"/>
        </w:rPr>
      </w:pPr>
    </w:p>
    <w:p w14:paraId="42CAA0D6" w14:textId="1B4F367A" w:rsidR="00B41991" w:rsidRDefault="00B41991" w:rsidP="00B21FD0">
      <w:pPr>
        <w:numPr>
          <w:ilvl w:val="0"/>
          <w:numId w:val="2"/>
        </w:numPr>
        <w:spacing w:after="0" w:line="240" w:lineRule="auto"/>
        <w:ind w:left="0" w:right="18" w:firstLine="0"/>
        <w:jc w:val="both"/>
        <w:rPr>
          <w:rFonts w:ascii="Verdana" w:hAnsi="Verdana"/>
          <w:spacing w:val="-4"/>
          <w:sz w:val="20"/>
          <w:szCs w:val="20"/>
          <w:lang w:val="es-CR"/>
        </w:rPr>
      </w:pPr>
      <w:r w:rsidRPr="00B41991">
        <w:rPr>
          <w:rFonts w:ascii="Verdana" w:hAnsi="Verdana"/>
          <w:spacing w:val="-4"/>
          <w:sz w:val="20"/>
          <w:szCs w:val="20"/>
          <w:lang w:val="es-CR"/>
        </w:rPr>
        <w:lastRenderedPageBreak/>
        <w:t>La comunicación de 14 de noviembre de 2016</w:t>
      </w:r>
      <w:r w:rsidR="004E3598">
        <w:rPr>
          <w:rFonts w:ascii="Verdana" w:hAnsi="Verdana"/>
          <w:spacing w:val="-4"/>
          <w:sz w:val="20"/>
          <w:szCs w:val="20"/>
          <w:lang w:val="es-CR"/>
        </w:rPr>
        <w:t>,</w:t>
      </w:r>
      <w:r w:rsidRPr="00B41991">
        <w:rPr>
          <w:rFonts w:ascii="Verdana" w:hAnsi="Verdana"/>
          <w:spacing w:val="-4"/>
          <w:sz w:val="20"/>
          <w:szCs w:val="20"/>
          <w:lang w:val="es-CR"/>
        </w:rPr>
        <w:t xml:space="preserve"> </w:t>
      </w:r>
      <w:r w:rsidR="000178DC">
        <w:rPr>
          <w:rFonts w:ascii="Verdana" w:hAnsi="Verdana"/>
          <w:spacing w:val="-4"/>
          <w:sz w:val="20"/>
          <w:szCs w:val="20"/>
          <w:lang w:val="es-CR"/>
        </w:rPr>
        <w:t>mediante</w:t>
      </w:r>
      <w:r w:rsidRPr="00B41991">
        <w:rPr>
          <w:rFonts w:ascii="Verdana" w:hAnsi="Verdana"/>
          <w:spacing w:val="-4"/>
          <w:sz w:val="20"/>
          <w:szCs w:val="20"/>
          <w:lang w:val="es-CR"/>
        </w:rPr>
        <w:t xml:space="preserve"> la cual los representantes presentaron sus observaciones a los informes </w:t>
      </w:r>
      <w:r w:rsidR="004D24FE">
        <w:rPr>
          <w:rFonts w:ascii="Verdana" w:hAnsi="Verdana"/>
          <w:spacing w:val="-4"/>
          <w:sz w:val="20"/>
          <w:szCs w:val="20"/>
          <w:lang w:val="es-CR"/>
        </w:rPr>
        <w:t xml:space="preserve">presentados por </w:t>
      </w:r>
      <w:r w:rsidRPr="00B41991">
        <w:rPr>
          <w:rFonts w:ascii="Verdana" w:hAnsi="Verdana"/>
          <w:spacing w:val="-4"/>
          <w:sz w:val="20"/>
          <w:szCs w:val="20"/>
          <w:lang w:val="es-CR"/>
        </w:rPr>
        <w:t xml:space="preserve">el Estado </w:t>
      </w:r>
      <w:r w:rsidR="004D24FE">
        <w:rPr>
          <w:rFonts w:ascii="Verdana" w:hAnsi="Verdana"/>
          <w:spacing w:val="-4"/>
          <w:sz w:val="20"/>
          <w:szCs w:val="20"/>
          <w:lang w:val="es-CR"/>
        </w:rPr>
        <w:t xml:space="preserve">el 27 de septiembre </w:t>
      </w:r>
      <w:r>
        <w:rPr>
          <w:rFonts w:ascii="Verdana" w:hAnsi="Verdana"/>
          <w:spacing w:val="-4"/>
          <w:sz w:val="20"/>
          <w:szCs w:val="20"/>
          <w:lang w:val="es-CR"/>
        </w:rPr>
        <w:t>(</w:t>
      </w:r>
      <w:r>
        <w:rPr>
          <w:rFonts w:ascii="Verdana" w:hAnsi="Verdana"/>
          <w:i/>
          <w:spacing w:val="-4"/>
          <w:sz w:val="20"/>
          <w:szCs w:val="20"/>
          <w:lang w:val="es-CR"/>
        </w:rPr>
        <w:t xml:space="preserve">supra </w:t>
      </w:r>
      <w:r w:rsidR="00B21FD0">
        <w:rPr>
          <w:rFonts w:ascii="Verdana" w:hAnsi="Verdana"/>
          <w:spacing w:val="-4"/>
          <w:sz w:val="20"/>
          <w:szCs w:val="20"/>
          <w:lang w:val="es-CR"/>
        </w:rPr>
        <w:t>Visto</w:t>
      </w:r>
      <w:r>
        <w:rPr>
          <w:rFonts w:ascii="Verdana" w:hAnsi="Verdana"/>
          <w:spacing w:val="-4"/>
          <w:sz w:val="20"/>
          <w:szCs w:val="20"/>
          <w:lang w:val="es-CR"/>
        </w:rPr>
        <w:t xml:space="preserve"> 2)</w:t>
      </w:r>
      <w:r w:rsidRPr="00B41991">
        <w:rPr>
          <w:rFonts w:ascii="Verdana" w:hAnsi="Verdana"/>
          <w:spacing w:val="-4"/>
          <w:sz w:val="20"/>
          <w:szCs w:val="20"/>
          <w:lang w:val="es-CR"/>
        </w:rPr>
        <w:t xml:space="preserve"> y </w:t>
      </w:r>
      <w:r w:rsidR="004D24FE">
        <w:rPr>
          <w:rFonts w:ascii="Verdana" w:hAnsi="Verdana"/>
          <w:spacing w:val="-4"/>
          <w:sz w:val="20"/>
          <w:szCs w:val="20"/>
          <w:lang w:val="es-CR"/>
        </w:rPr>
        <w:t>el 2 de noviembre del presente año (</w:t>
      </w:r>
      <w:r w:rsidR="004D24FE">
        <w:rPr>
          <w:rFonts w:ascii="Verdana" w:hAnsi="Verdana"/>
          <w:i/>
          <w:spacing w:val="-4"/>
          <w:sz w:val="20"/>
          <w:szCs w:val="20"/>
          <w:lang w:val="es-CR"/>
        </w:rPr>
        <w:t xml:space="preserve">supra </w:t>
      </w:r>
      <w:r w:rsidR="00B21FD0">
        <w:rPr>
          <w:rFonts w:ascii="Verdana" w:hAnsi="Verdana"/>
          <w:spacing w:val="-4"/>
          <w:sz w:val="20"/>
          <w:szCs w:val="20"/>
          <w:lang w:val="es-CR"/>
        </w:rPr>
        <w:t xml:space="preserve">Visto </w:t>
      </w:r>
      <w:r w:rsidR="004D24FE">
        <w:rPr>
          <w:rFonts w:ascii="Verdana" w:hAnsi="Verdana"/>
          <w:spacing w:val="-4"/>
          <w:sz w:val="20"/>
          <w:szCs w:val="20"/>
          <w:lang w:val="es-CR"/>
        </w:rPr>
        <w:t>9).</w:t>
      </w:r>
      <w:r w:rsidR="00502D9E">
        <w:rPr>
          <w:rFonts w:ascii="Verdana" w:hAnsi="Verdana"/>
          <w:spacing w:val="-4"/>
          <w:sz w:val="20"/>
          <w:szCs w:val="20"/>
          <w:lang w:val="es-CR"/>
        </w:rPr>
        <w:t xml:space="preserve"> </w:t>
      </w:r>
    </w:p>
    <w:p w14:paraId="0E8360D1" w14:textId="77777777" w:rsidR="00A5657D" w:rsidRDefault="00A5657D" w:rsidP="00B21FD0">
      <w:pPr>
        <w:pStyle w:val="ListParagraph"/>
        <w:rPr>
          <w:rFonts w:ascii="Verdana" w:hAnsi="Verdana"/>
          <w:spacing w:val="-4"/>
          <w:sz w:val="20"/>
          <w:lang w:val="es-CR"/>
        </w:rPr>
      </w:pPr>
    </w:p>
    <w:p w14:paraId="3F3FD2B6" w14:textId="12B36CA2" w:rsidR="00A5657D" w:rsidRPr="009554C4" w:rsidRDefault="00A5657D" w:rsidP="00B21FD0">
      <w:pPr>
        <w:numPr>
          <w:ilvl w:val="0"/>
          <w:numId w:val="2"/>
        </w:numPr>
        <w:spacing w:after="0" w:line="240" w:lineRule="auto"/>
        <w:ind w:left="0" w:right="18" w:firstLine="0"/>
        <w:jc w:val="both"/>
        <w:rPr>
          <w:rFonts w:ascii="Verdana" w:hAnsi="Verdana"/>
          <w:spacing w:val="-4"/>
          <w:sz w:val="20"/>
          <w:szCs w:val="20"/>
          <w:lang w:val="es-CR"/>
        </w:rPr>
      </w:pPr>
      <w:r w:rsidRPr="00A10616">
        <w:rPr>
          <w:rFonts w:ascii="Verdana" w:hAnsi="Verdana"/>
          <w:spacing w:val="-4"/>
          <w:sz w:val="20"/>
          <w:szCs w:val="20"/>
          <w:lang w:val="es-CR"/>
        </w:rPr>
        <w:t xml:space="preserve">La comunicación de </w:t>
      </w:r>
      <w:r w:rsidR="00502D9E" w:rsidRPr="00A10616">
        <w:rPr>
          <w:rFonts w:ascii="Verdana" w:hAnsi="Verdana"/>
          <w:spacing w:val="-4"/>
          <w:sz w:val="20"/>
          <w:szCs w:val="20"/>
          <w:lang w:val="es-CR"/>
        </w:rPr>
        <w:t xml:space="preserve">14 de noviembre del año en curso, </w:t>
      </w:r>
      <w:r w:rsidR="000178DC" w:rsidRPr="00A10616">
        <w:rPr>
          <w:rFonts w:ascii="Verdana" w:hAnsi="Verdana"/>
          <w:spacing w:val="-4"/>
          <w:sz w:val="20"/>
          <w:szCs w:val="20"/>
          <w:lang w:val="es-CR"/>
        </w:rPr>
        <w:t>mediante</w:t>
      </w:r>
      <w:r w:rsidR="00502D9E" w:rsidRPr="004163C5">
        <w:rPr>
          <w:rFonts w:ascii="Verdana" w:hAnsi="Verdana"/>
          <w:spacing w:val="-4"/>
          <w:sz w:val="20"/>
          <w:szCs w:val="20"/>
          <w:lang w:val="es-CR"/>
        </w:rPr>
        <w:t xml:space="preserve"> la cual el Estado de Nicaragua solicitó una ampliación de</w:t>
      </w:r>
      <w:r w:rsidR="000178DC" w:rsidRPr="009554C4">
        <w:rPr>
          <w:rFonts w:ascii="Verdana" w:hAnsi="Verdana"/>
          <w:spacing w:val="-4"/>
          <w:sz w:val="20"/>
          <w:szCs w:val="20"/>
          <w:lang w:val="es-CR"/>
        </w:rPr>
        <w:t>l</w:t>
      </w:r>
      <w:r w:rsidR="00502D9E" w:rsidRPr="009554C4">
        <w:rPr>
          <w:rFonts w:ascii="Verdana" w:hAnsi="Verdana"/>
          <w:spacing w:val="-4"/>
          <w:sz w:val="20"/>
          <w:szCs w:val="20"/>
          <w:lang w:val="es-CR"/>
        </w:rPr>
        <w:t xml:space="preserve"> plazo </w:t>
      </w:r>
      <w:r w:rsidR="000178DC" w:rsidRPr="009554C4">
        <w:rPr>
          <w:rFonts w:ascii="Verdana" w:hAnsi="Verdana"/>
          <w:spacing w:val="-4"/>
          <w:sz w:val="20"/>
          <w:szCs w:val="20"/>
          <w:lang w:val="es-CR"/>
        </w:rPr>
        <w:t>dispuesto en el Resolutivo 4 de la Resolución de 1 de septiembre de 2016 de esta Corte (</w:t>
      </w:r>
      <w:r w:rsidR="000178DC" w:rsidRPr="009554C4">
        <w:rPr>
          <w:rFonts w:ascii="Verdana" w:hAnsi="Verdana"/>
          <w:i/>
          <w:spacing w:val="-4"/>
          <w:sz w:val="20"/>
          <w:szCs w:val="20"/>
          <w:lang w:val="es-CR"/>
        </w:rPr>
        <w:t xml:space="preserve">supra </w:t>
      </w:r>
      <w:r w:rsidR="000178DC" w:rsidRPr="009554C4">
        <w:rPr>
          <w:rFonts w:ascii="Verdana" w:hAnsi="Verdana"/>
          <w:spacing w:val="-4"/>
          <w:sz w:val="20"/>
          <w:szCs w:val="20"/>
          <w:lang w:val="es-CR"/>
        </w:rPr>
        <w:t>Visto 1)</w:t>
      </w:r>
      <w:r w:rsidR="00502D9E" w:rsidRPr="009554C4">
        <w:rPr>
          <w:rFonts w:ascii="Verdana" w:hAnsi="Verdana"/>
          <w:spacing w:val="-4"/>
          <w:sz w:val="20"/>
          <w:szCs w:val="20"/>
          <w:lang w:val="es-CR"/>
        </w:rPr>
        <w:t xml:space="preserve"> para presentar el </w:t>
      </w:r>
      <w:r w:rsidR="00A10616" w:rsidRPr="00A10616">
        <w:rPr>
          <w:rFonts w:ascii="Verdana" w:hAnsi="Verdana"/>
          <w:sz w:val="20"/>
          <w:szCs w:val="20"/>
          <w:lang w:val="es-GT"/>
        </w:rPr>
        <w:t>diagnóstico sobre la situación actual de riesgo de las comunidades objeto de las medidas</w:t>
      </w:r>
      <w:r w:rsidR="00502D9E" w:rsidRPr="004163C5">
        <w:rPr>
          <w:rFonts w:ascii="Verdana" w:hAnsi="Verdana"/>
          <w:spacing w:val="-4"/>
          <w:sz w:val="20"/>
          <w:szCs w:val="20"/>
          <w:lang w:val="es-CR"/>
        </w:rPr>
        <w:t xml:space="preserve">. </w:t>
      </w:r>
    </w:p>
    <w:p w14:paraId="4D17F866" w14:textId="77777777" w:rsidR="000178DC" w:rsidRDefault="000178DC" w:rsidP="000178DC">
      <w:pPr>
        <w:pStyle w:val="ListParagraph"/>
        <w:rPr>
          <w:rFonts w:ascii="Verdana" w:hAnsi="Verdana"/>
          <w:spacing w:val="-4"/>
          <w:sz w:val="20"/>
          <w:lang w:val="es-CR"/>
        </w:rPr>
      </w:pPr>
    </w:p>
    <w:p w14:paraId="396AB113" w14:textId="0E17D4AF" w:rsidR="000178DC" w:rsidRPr="00B41991" w:rsidRDefault="000178DC" w:rsidP="00B21FD0">
      <w:pPr>
        <w:numPr>
          <w:ilvl w:val="0"/>
          <w:numId w:val="2"/>
        </w:numPr>
        <w:spacing w:after="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t>La nota de Secretaría de 17 de noviembre de 2016</w:t>
      </w:r>
      <w:r w:rsidR="004E3598">
        <w:rPr>
          <w:rFonts w:ascii="Verdana" w:hAnsi="Verdana"/>
          <w:spacing w:val="-4"/>
          <w:sz w:val="20"/>
          <w:szCs w:val="20"/>
          <w:lang w:val="es-CR"/>
        </w:rPr>
        <w:t>,</w:t>
      </w:r>
      <w:r>
        <w:rPr>
          <w:rFonts w:ascii="Verdana" w:hAnsi="Verdana"/>
          <w:spacing w:val="-4"/>
          <w:sz w:val="20"/>
          <w:szCs w:val="20"/>
          <w:lang w:val="es-CR"/>
        </w:rPr>
        <w:t xml:space="preserve"> mediante la cual se concedió </w:t>
      </w:r>
      <w:r w:rsidR="004E3598">
        <w:rPr>
          <w:rFonts w:ascii="Verdana" w:hAnsi="Verdana"/>
          <w:spacing w:val="-4"/>
          <w:sz w:val="20"/>
          <w:szCs w:val="20"/>
          <w:lang w:val="es-CR"/>
        </w:rPr>
        <w:t xml:space="preserve">la prórroga </w:t>
      </w:r>
      <w:r>
        <w:rPr>
          <w:rFonts w:ascii="Verdana" w:hAnsi="Verdana"/>
          <w:spacing w:val="-4"/>
          <w:sz w:val="20"/>
          <w:szCs w:val="20"/>
          <w:lang w:val="es-CR"/>
        </w:rPr>
        <w:t xml:space="preserve">al 15 de diciembre de 2016 para que el Estado presentara el </w:t>
      </w:r>
      <w:r w:rsidR="004163C5" w:rsidRPr="00A10616">
        <w:rPr>
          <w:rFonts w:ascii="Verdana" w:hAnsi="Verdana"/>
          <w:sz w:val="20"/>
          <w:szCs w:val="20"/>
          <w:lang w:val="es-GT"/>
        </w:rPr>
        <w:t>diagnóstico sobre la situación actual de riesgo de las comunidades objeto de las medidas</w:t>
      </w:r>
      <w:r>
        <w:rPr>
          <w:rFonts w:ascii="Verdana" w:hAnsi="Verdana"/>
          <w:spacing w:val="-4"/>
          <w:sz w:val="20"/>
          <w:szCs w:val="20"/>
          <w:lang w:val="es-CR"/>
        </w:rPr>
        <w:t xml:space="preserve">. </w:t>
      </w:r>
    </w:p>
    <w:p w14:paraId="0D13B221" w14:textId="77777777" w:rsidR="0006480B" w:rsidRPr="00095453" w:rsidRDefault="0006480B" w:rsidP="002C4BEB">
      <w:pPr>
        <w:spacing w:after="0" w:line="240" w:lineRule="auto"/>
        <w:ind w:right="18"/>
        <w:jc w:val="both"/>
        <w:rPr>
          <w:rFonts w:ascii="Verdana" w:hAnsi="Verdana"/>
          <w:spacing w:val="-4"/>
          <w:sz w:val="20"/>
          <w:szCs w:val="20"/>
          <w:lang w:val="es-CR"/>
        </w:rPr>
      </w:pPr>
    </w:p>
    <w:p w14:paraId="79A0185A" w14:textId="77777777" w:rsidR="00B75B22" w:rsidRPr="008818D3" w:rsidRDefault="00B75B22" w:rsidP="00B75B22">
      <w:pPr>
        <w:tabs>
          <w:tab w:val="left" w:pos="567"/>
        </w:tabs>
        <w:spacing w:after="0" w:line="240" w:lineRule="auto"/>
        <w:jc w:val="both"/>
        <w:rPr>
          <w:rFonts w:ascii="Verdana" w:hAnsi="Verdana"/>
          <w:b/>
          <w:spacing w:val="-4"/>
          <w:sz w:val="20"/>
          <w:szCs w:val="20"/>
          <w:lang w:val="es-MX"/>
        </w:rPr>
      </w:pPr>
      <w:r w:rsidRPr="008818D3">
        <w:rPr>
          <w:rFonts w:ascii="Verdana" w:hAnsi="Verdana"/>
          <w:b/>
          <w:spacing w:val="-4"/>
          <w:sz w:val="20"/>
          <w:szCs w:val="20"/>
          <w:lang w:val="es-MX"/>
        </w:rPr>
        <w:t xml:space="preserve">CONSIDERANDO QUE: </w:t>
      </w:r>
    </w:p>
    <w:p w14:paraId="0DD33520" w14:textId="77777777" w:rsidR="00B75B22" w:rsidRPr="00095453" w:rsidRDefault="00B75B22" w:rsidP="00B75B22">
      <w:pPr>
        <w:tabs>
          <w:tab w:val="left" w:pos="567"/>
        </w:tabs>
        <w:spacing w:after="0" w:line="240" w:lineRule="auto"/>
        <w:jc w:val="both"/>
        <w:rPr>
          <w:rFonts w:ascii="Verdana" w:hAnsi="Verdana"/>
          <w:b/>
          <w:spacing w:val="-4"/>
          <w:sz w:val="20"/>
          <w:szCs w:val="20"/>
          <w:lang w:val="es-MX"/>
        </w:rPr>
      </w:pPr>
    </w:p>
    <w:p w14:paraId="473460BB" w14:textId="77777777" w:rsidR="0035553A" w:rsidRPr="008818D3" w:rsidRDefault="0035553A" w:rsidP="000717DC">
      <w:pPr>
        <w:pStyle w:val="Prrafodelista1"/>
        <w:numPr>
          <w:ilvl w:val="0"/>
          <w:numId w:val="3"/>
        </w:numPr>
        <w:tabs>
          <w:tab w:val="clear" w:pos="1068"/>
          <w:tab w:val="left" w:pos="720"/>
        </w:tabs>
        <w:ind w:left="0" w:firstLine="0"/>
        <w:jc w:val="both"/>
        <w:rPr>
          <w:sz w:val="20"/>
          <w:szCs w:val="20"/>
        </w:rPr>
      </w:pPr>
      <w:r w:rsidRPr="00967598">
        <w:rPr>
          <w:sz w:val="20"/>
          <w:szCs w:val="20"/>
        </w:rPr>
        <w:t xml:space="preserve">Nicaragua ratificó la Convención Americana sobre Derechos Humanos (en adelante también “la Convención Americana” o “la Convención”) el 25 de septiembre de 1979 y, de acuerdo </w:t>
      </w:r>
      <w:r w:rsidRPr="000C401F">
        <w:rPr>
          <w:sz w:val="20"/>
          <w:szCs w:val="20"/>
        </w:rPr>
        <w:t>con su artículo 62, reconoció la competencia contenciosa de la Corte el 12 de febrero de 1991.</w:t>
      </w:r>
    </w:p>
    <w:p w14:paraId="3F6FC026" w14:textId="77777777" w:rsidR="0035553A" w:rsidRPr="008818D3" w:rsidRDefault="0035553A" w:rsidP="00D95D81">
      <w:pPr>
        <w:pStyle w:val="Prrafodelista1"/>
        <w:tabs>
          <w:tab w:val="num" w:pos="360"/>
        </w:tabs>
        <w:ind w:left="360"/>
        <w:jc w:val="both"/>
        <w:rPr>
          <w:sz w:val="20"/>
          <w:szCs w:val="20"/>
        </w:rPr>
      </w:pPr>
    </w:p>
    <w:p w14:paraId="3D2B3FF5" w14:textId="0DF3F85D" w:rsidR="0035553A" w:rsidRPr="008818D3" w:rsidRDefault="0035553A" w:rsidP="007C2355">
      <w:pPr>
        <w:pStyle w:val="Prrafodelista1"/>
        <w:numPr>
          <w:ilvl w:val="0"/>
          <w:numId w:val="3"/>
        </w:numPr>
        <w:tabs>
          <w:tab w:val="clear" w:pos="1068"/>
          <w:tab w:val="left" w:pos="720"/>
        </w:tabs>
        <w:ind w:left="0" w:firstLine="0"/>
        <w:jc w:val="both"/>
        <w:rPr>
          <w:sz w:val="20"/>
          <w:szCs w:val="20"/>
        </w:rPr>
      </w:pPr>
      <w:r w:rsidRPr="008818D3">
        <w:rPr>
          <w:sz w:val="20"/>
          <w:szCs w:val="20"/>
        </w:rPr>
        <w:t xml:space="preserve">El artículo 63.2 de la Convención establece que </w:t>
      </w:r>
      <w:r w:rsidR="007C2355" w:rsidRPr="008818D3">
        <w:rPr>
          <w:sz w:val="20"/>
          <w:szCs w:val="20"/>
        </w:rPr>
        <w:t>“[</w:t>
      </w:r>
      <w:r w:rsidRPr="008818D3">
        <w:rPr>
          <w:sz w:val="20"/>
          <w:szCs w:val="20"/>
        </w:rPr>
        <w:t>e]n casos de extrema gravedad y urgencia, y cuando se haga necesario evitar daños irreparables a las personas</w:t>
      </w:r>
      <w:r w:rsidR="007C2355" w:rsidRPr="008818D3">
        <w:rPr>
          <w:sz w:val="20"/>
          <w:szCs w:val="20"/>
        </w:rPr>
        <w:t xml:space="preserve">”, </w:t>
      </w:r>
      <w:r w:rsidRPr="008818D3">
        <w:rPr>
          <w:sz w:val="20"/>
          <w:szCs w:val="20"/>
        </w:rPr>
        <w:t>la Corte podrá tomar, a solicitud de la Comisión, las medidas provisionales que considere pertinentes en los asuntos que aún no estén sometidos a su conocimiento. Asimismo, el artículo 27.2 del Reglamento de la Corte señala que: “</w:t>
      </w:r>
      <w:r w:rsidR="00632144" w:rsidRPr="008818D3">
        <w:rPr>
          <w:sz w:val="20"/>
          <w:szCs w:val="20"/>
        </w:rPr>
        <w:t>[s]</w:t>
      </w:r>
      <w:r w:rsidRPr="008818D3">
        <w:rPr>
          <w:sz w:val="20"/>
          <w:szCs w:val="20"/>
        </w:rPr>
        <w:t>i se tratare de asuntos aún no sometidos a su conocimiento, la Corte podrá actuar a solicitud de la Comisión”.</w:t>
      </w:r>
    </w:p>
    <w:p w14:paraId="1A9A4323" w14:textId="77777777" w:rsidR="0035553A" w:rsidRDefault="0035553A" w:rsidP="00003D0B">
      <w:pPr>
        <w:pStyle w:val="Prrafodelista1"/>
        <w:tabs>
          <w:tab w:val="left" w:pos="720"/>
        </w:tabs>
        <w:jc w:val="both"/>
        <w:rPr>
          <w:sz w:val="20"/>
          <w:szCs w:val="20"/>
        </w:rPr>
      </w:pPr>
    </w:p>
    <w:p w14:paraId="553FD0F5" w14:textId="3FCC0704" w:rsidR="00003D0B" w:rsidRDefault="00003D0B" w:rsidP="00003D0B">
      <w:pPr>
        <w:pStyle w:val="Prrafodelista1"/>
        <w:numPr>
          <w:ilvl w:val="0"/>
          <w:numId w:val="3"/>
        </w:numPr>
        <w:tabs>
          <w:tab w:val="clear" w:pos="1068"/>
          <w:tab w:val="left" w:pos="720"/>
        </w:tabs>
        <w:ind w:left="0" w:firstLine="0"/>
        <w:jc w:val="both"/>
        <w:rPr>
          <w:sz w:val="20"/>
          <w:szCs w:val="20"/>
        </w:rPr>
      </w:pPr>
      <w:r w:rsidRPr="00003D0B">
        <w:rPr>
          <w:sz w:val="20"/>
          <w:szCs w:val="20"/>
        </w:rPr>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Pr>
          <w:rStyle w:val="FootnoteReference"/>
          <w:sz w:val="20"/>
          <w:szCs w:val="20"/>
        </w:rPr>
        <w:footnoteReference w:id="2"/>
      </w:r>
      <w:r w:rsidRPr="00003D0B">
        <w:rPr>
          <w:sz w:val="20"/>
          <w:szCs w:val="20"/>
        </w:rPr>
        <w:t xml:space="preserve">. </w:t>
      </w:r>
    </w:p>
    <w:p w14:paraId="1366CE13" w14:textId="77777777" w:rsidR="00003D0B" w:rsidRDefault="00003D0B" w:rsidP="00003D0B">
      <w:pPr>
        <w:pStyle w:val="ListParagraph"/>
        <w:rPr>
          <w:sz w:val="20"/>
        </w:rPr>
      </w:pPr>
    </w:p>
    <w:p w14:paraId="48B4ED16" w14:textId="683C140B" w:rsidR="00DE4092" w:rsidRDefault="00DE4092" w:rsidP="00350920">
      <w:pPr>
        <w:pStyle w:val="Prrafodelista1"/>
        <w:numPr>
          <w:ilvl w:val="0"/>
          <w:numId w:val="3"/>
        </w:numPr>
        <w:tabs>
          <w:tab w:val="clear" w:pos="1068"/>
          <w:tab w:val="left" w:pos="720"/>
        </w:tabs>
        <w:ind w:left="0" w:firstLine="0"/>
        <w:jc w:val="both"/>
        <w:rPr>
          <w:sz w:val="20"/>
          <w:szCs w:val="20"/>
          <w:lang w:val="es-CL"/>
        </w:rPr>
      </w:pPr>
      <w:r w:rsidRPr="008818D3">
        <w:rPr>
          <w:sz w:val="20"/>
          <w:szCs w:val="20"/>
        </w:rPr>
        <w:t>En su Resolución de 1 de septiembre de 2016, l</w:t>
      </w:r>
      <w:r w:rsidR="0035553A" w:rsidRPr="008818D3">
        <w:rPr>
          <w:sz w:val="20"/>
          <w:szCs w:val="20"/>
        </w:rPr>
        <w:t xml:space="preserve">a Corte </w:t>
      </w:r>
      <w:r w:rsidR="003941CD" w:rsidRPr="008818D3">
        <w:rPr>
          <w:sz w:val="20"/>
          <w:szCs w:val="20"/>
        </w:rPr>
        <w:t>dispuso</w:t>
      </w:r>
      <w:r w:rsidRPr="008818D3">
        <w:rPr>
          <w:sz w:val="20"/>
          <w:szCs w:val="20"/>
        </w:rPr>
        <w:t xml:space="preserve"> que </w:t>
      </w:r>
      <w:r w:rsidR="00481B3F" w:rsidRPr="008818D3">
        <w:rPr>
          <w:sz w:val="20"/>
          <w:szCs w:val="20"/>
        </w:rPr>
        <w:t>“[</w:t>
      </w:r>
      <w:r w:rsidRPr="008818D3">
        <w:rPr>
          <w:sz w:val="20"/>
          <w:szCs w:val="20"/>
        </w:rPr>
        <w:t>e</w:t>
      </w:r>
      <w:r w:rsidR="00481B3F" w:rsidRPr="008818D3">
        <w:rPr>
          <w:sz w:val="20"/>
          <w:szCs w:val="20"/>
        </w:rPr>
        <w:t>]</w:t>
      </w:r>
      <w:r w:rsidRPr="008818D3">
        <w:rPr>
          <w:sz w:val="20"/>
          <w:szCs w:val="20"/>
        </w:rPr>
        <w:t>n relación con</w:t>
      </w:r>
      <w:r w:rsidR="00481B3F" w:rsidRPr="008818D3">
        <w:rPr>
          <w:sz w:val="20"/>
          <w:szCs w:val="20"/>
        </w:rPr>
        <w:t xml:space="preserve"> la particular situación de</w:t>
      </w:r>
      <w:r w:rsidRPr="008818D3">
        <w:rPr>
          <w:sz w:val="20"/>
          <w:szCs w:val="20"/>
        </w:rPr>
        <w:t xml:space="preserve"> las otras </w:t>
      </w:r>
      <w:r w:rsidR="00481B3F" w:rsidRPr="008818D3">
        <w:rPr>
          <w:sz w:val="20"/>
          <w:szCs w:val="20"/>
        </w:rPr>
        <w:t>siete</w:t>
      </w:r>
      <w:r w:rsidRPr="008818D3">
        <w:rPr>
          <w:sz w:val="20"/>
          <w:szCs w:val="20"/>
        </w:rPr>
        <w:t xml:space="preserve"> comunidades </w:t>
      </w:r>
      <w:r w:rsidR="003941CD" w:rsidRPr="008818D3">
        <w:rPr>
          <w:sz w:val="20"/>
          <w:szCs w:val="20"/>
        </w:rPr>
        <w:t xml:space="preserve">señaladas </w:t>
      </w:r>
      <w:r w:rsidRPr="008818D3">
        <w:rPr>
          <w:sz w:val="20"/>
          <w:szCs w:val="20"/>
        </w:rPr>
        <w:t>por la Comisión</w:t>
      </w:r>
      <w:r w:rsidR="003941CD" w:rsidRPr="008818D3">
        <w:rPr>
          <w:rStyle w:val="FootnoteReference"/>
          <w:sz w:val="20"/>
          <w:szCs w:val="20"/>
        </w:rPr>
        <w:footnoteReference w:id="3"/>
      </w:r>
      <w:r w:rsidR="00571BE1" w:rsidRPr="008818D3">
        <w:rPr>
          <w:sz w:val="20"/>
          <w:szCs w:val="20"/>
        </w:rPr>
        <w:t xml:space="preserve"> […]</w:t>
      </w:r>
      <w:r w:rsidR="003941CD" w:rsidRPr="008818D3">
        <w:rPr>
          <w:sz w:val="20"/>
          <w:szCs w:val="20"/>
        </w:rPr>
        <w:t xml:space="preserve"> </w:t>
      </w:r>
      <w:r w:rsidRPr="008818D3">
        <w:rPr>
          <w:sz w:val="20"/>
          <w:szCs w:val="20"/>
          <w:lang w:val="es-ES_tradnl"/>
        </w:rPr>
        <w:t>y que aún no ha</w:t>
      </w:r>
      <w:r w:rsidR="003941CD" w:rsidRPr="008818D3">
        <w:rPr>
          <w:sz w:val="20"/>
          <w:szCs w:val="20"/>
          <w:lang w:val="es-ES_tradnl"/>
        </w:rPr>
        <w:t>[</w:t>
      </w:r>
      <w:proofErr w:type="spellStart"/>
      <w:r w:rsidR="003941CD" w:rsidRPr="008818D3">
        <w:rPr>
          <w:sz w:val="20"/>
          <w:szCs w:val="20"/>
          <w:lang w:val="es-ES_tradnl"/>
        </w:rPr>
        <w:t>bían</w:t>
      </w:r>
      <w:proofErr w:type="spellEnd"/>
      <w:r w:rsidR="003941CD" w:rsidRPr="008818D3">
        <w:rPr>
          <w:sz w:val="20"/>
          <w:szCs w:val="20"/>
          <w:lang w:val="es-ES_tradnl"/>
        </w:rPr>
        <w:t>]</w:t>
      </w:r>
      <w:r w:rsidRPr="008818D3">
        <w:rPr>
          <w:sz w:val="20"/>
          <w:szCs w:val="20"/>
          <w:lang w:val="es-ES_tradnl"/>
        </w:rPr>
        <w:t xml:space="preserve"> sido sometida</w:t>
      </w:r>
      <w:r w:rsidR="00481B3F" w:rsidRPr="008818D3">
        <w:rPr>
          <w:sz w:val="20"/>
          <w:szCs w:val="20"/>
          <w:lang w:val="es-ES_tradnl"/>
        </w:rPr>
        <w:t>[</w:t>
      </w:r>
      <w:r w:rsidR="003941CD" w:rsidRPr="008818D3">
        <w:rPr>
          <w:sz w:val="20"/>
          <w:szCs w:val="20"/>
          <w:lang w:val="es-ES_tradnl"/>
        </w:rPr>
        <w:t>s</w:t>
      </w:r>
      <w:r w:rsidR="00481B3F" w:rsidRPr="008818D3">
        <w:rPr>
          <w:sz w:val="20"/>
          <w:szCs w:val="20"/>
          <w:lang w:val="es-ES_tradnl"/>
        </w:rPr>
        <w:t>]</w:t>
      </w:r>
      <w:r w:rsidRPr="008818D3">
        <w:rPr>
          <w:sz w:val="20"/>
          <w:szCs w:val="20"/>
          <w:lang w:val="es-ES_tradnl"/>
        </w:rPr>
        <w:t xml:space="preserve"> al conocimiento de </w:t>
      </w:r>
      <w:r w:rsidR="003941CD" w:rsidRPr="008818D3">
        <w:rPr>
          <w:sz w:val="20"/>
          <w:szCs w:val="20"/>
          <w:lang w:val="es-ES_tradnl"/>
        </w:rPr>
        <w:t>[la]</w:t>
      </w:r>
      <w:r w:rsidRPr="008818D3">
        <w:rPr>
          <w:sz w:val="20"/>
          <w:szCs w:val="20"/>
          <w:lang w:val="es-ES_tradnl"/>
        </w:rPr>
        <w:t xml:space="preserve"> Corte</w:t>
      </w:r>
      <w:r w:rsidR="00481B3F" w:rsidRPr="008818D3">
        <w:rPr>
          <w:sz w:val="20"/>
          <w:szCs w:val="20"/>
          <w:lang w:val="es-ES_tradnl"/>
        </w:rPr>
        <w:t xml:space="preserve"> […]</w:t>
      </w:r>
      <w:r w:rsidRPr="008818D3">
        <w:rPr>
          <w:sz w:val="20"/>
          <w:szCs w:val="20"/>
          <w:lang w:val="es-ES_tradnl"/>
        </w:rPr>
        <w:t xml:space="preserve"> </w:t>
      </w:r>
      <w:r w:rsidRPr="008818D3">
        <w:rPr>
          <w:sz w:val="20"/>
          <w:szCs w:val="20"/>
          <w:lang w:val="es-CL"/>
        </w:rPr>
        <w:t>los Estados tienen el deber constante y permanente de cumplir con las obligaciones generales que le corresponden bajo el artículo 1.1 de la Convención, de respetar los derechos y libertades en ella reconocidos y de garantizar su libre y pleno ejercicio a toda persona y/o grupos sujetos a su jurisdicción</w:t>
      </w:r>
      <w:r w:rsidR="00481B3F" w:rsidRPr="008818D3">
        <w:rPr>
          <w:sz w:val="20"/>
          <w:szCs w:val="20"/>
          <w:lang w:val="es-CL"/>
        </w:rPr>
        <w:t>”</w:t>
      </w:r>
      <w:r w:rsidR="003941CD" w:rsidRPr="008818D3">
        <w:rPr>
          <w:rStyle w:val="FootnoteReference"/>
          <w:sz w:val="20"/>
          <w:szCs w:val="20"/>
        </w:rPr>
        <w:footnoteReference w:id="4"/>
      </w:r>
      <w:r w:rsidRPr="008818D3">
        <w:rPr>
          <w:sz w:val="20"/>
          <w:szCs w:val="20"/>
          <w:lang w:val="es-CL"/>
        </w:rPr>
        <w:t>.</w:t>
      </w:r>
    </w:p>
    <w:p w14:paraId="7592187B" w14:textId="77777777" w:rsidR="000178DC" w:rsidRDefault="000178DC" w:rsidP="000178DC">
      <w:pPr>
        <w:pStyle w:val="ListParagraph"/>
        <w:rPr>
          <w:sz w:val="20"/>
          <w:lang w:val="es-CL"/>
        </w:rPr>
      </w:pPr>
    </w:p>
    <w:p w14:paraId="2CDB567F" w14:textId="434706DB" w:rsidR="000178DC" w:rsidRPr="008818D3" w:rsidRDefault="000178DC" w:rsidP="00350920">
      <w:pPr>
        <w:pStyle w:val="Prrafodelista1"/>
        <w:numPr>
          <w:ilvl w:val="0"/>
          <w:numId w:val="3"/>
        </w:numPr>
        <w:tabs>
          <w:tab w:val="clear" w:pos="1068"/>
          <w:tab w:val="left" w:pos="720"/>
        </w:tabs>
        <w:ind w:left="0" w:firstLine="0"/>
        <w:jc w:val="both"/>
        <w:rPr>
          <w:sz w:val="20"/>
          <w:szCs w:val="20"/>
          <w:lang w:val="es-CL"/>
        </w:rPr>
      </w:pPr>
      <w:r w:rsidRPr="00700517">
        <w:rPr>
          <w:rFonts w:cs="Verdana"/>
          <w:bCs/>
          <w:color w:val="000000"/>
          <w:sz w:val="20"/>
          <w:szCs w:val="20"/>
          <w:lang w:val="es-ES_tradnl"/>
        </w:rPr>
        <w:lastRenderedPageBreak/>
        <w:t>En vista de la información remitida</w:t>
      </w:r>
      <w:r w:rsidR="004E3598">
        <w:rPr>
          <w:rFonts w:cs="Verdana"/>
          <w:bCs/>
          <w:color w:val="000000"/>
          <w:sz w:val="20"/>
          <w:szCs w:val="20"/>
          <w:lang w:val="es-ES_tradnl"/>
        </w:rPr>
        <w:t>, a continuación</w:t>
      </w:r>
      <w:r w:rsidRPr="00700517">
        <w:rPr>
          <w:rFonts w:cs="Verdana"/>
          <w:bCs/>
          <w:color w:val="000000"/>
          <w:sz w:val="20"/>
          <w:szCs w:val="20"/>
          <w:lang w:val="es-ES_tradnl"/>
        </w:rPr>
        <w:t xml:space="preserve"> la Corte se pronunciará sobre</w:t>
      </w:r>
      <w:r>
        <w:rPr>
          <w:rFonts w:cs="Verdana"/>
          <w:bCs/>
          <w:color w:val="000000"/>
          <w:sz w:val="20"/>
          <w:szCs w:val="20"/>
          <w:lang w:val="es-ES_tradnl"/>
        </w:rPr>
        <w:t>:</w:t>
      </w:r>
      <w:r w:rsidRPr="00700517">
        <w:rPr>
          <w:rFonts w:cs="Verdana"/>
          <w:bCs/>
          <w:color w:val="000000"/>
          <w:sz w:val="20"/>
          <w:szCs w:val="20"/>
          <w:lang w:val="es-ES_tradnl"/>
        </w:rPr>
        <w:t xml:space="preserve"> a) </w:t>
      </w:r>
      <w:r>
        <w:rPr>
          <w:rFonts w:cs="Verdana"/>
          <w:bCs/>
          <w:color w:val="000000"/>
          <w:sz w:val="20"/>
          <w:szCs w:val="20"/>
          <w:lang w:val="es-ES_tradnl"/>
        </w:rPr>
        <w:t xml:space="preserve">la solicitud de ampliación de las medidas provisionales en favor de la </w:t>
      </w:r>
      <w:r>
        <w:rPr>
          <w:rFonts w:cs="Verdana"/>
          <w:bCs/>
          <w:i/>
          <w:color w:val="000000"/>
          <w:sz w:val="20"/>
          <w:szCs w:val="20"/>
          <w:lang w:val="es-ES_tradnl"/>
        </w:rPr>
        <w:t>Comunidad Esperanza Río Coco</w:t>
      </w:r>
      <w:r w:rsidR="003221CE">
        <w:rPr>
          <w:color w:val="000000"/>
          <w:sz w:val="20"/>
          <w:szCs w:val="20"/>
          <w:lang w:val="es-ES_tradnl"/>
        </w:rPr>
        <w:t>, y</w:t>
      </w:r>
      <w:r>
        <w:rPr>
          <w:color w:val="000000"/>
          <w:sz w:val="20"/>
          <w:szCs w:val="20"/>
        </w:rPr>
        <w:t xml:space="preserve"> </w:t>
      </w:r>
      <w:r w:rsidRPr="00700517">
        <w:rPr>
          <w:color w:val="000000"/>
          <w:sz w:val="20"/>
          <w:szCs w:val="20"/>
        </w:rPr>
        <w:t xml:space="preserve">b) la </w:t>
      </w:r>
      <w:r w:rsidRPr="00700517">
        <w:rPr>
          <w:rFonts w:cs="Verdana"/>
          <w:bCs/>
          <w:color w:val="000000"/>
          <w:sz w:val="20"/>
          <w:szCs w:val="20"/>
          <w:lang w:val="es-ES_tradnl"/>
        </w:rPr>
        <w:t>implementación de las medidas provisionales</w:t>
      </w:r>
      <w:r w:rsidR="009554C4">
        <w:rPr>
          <w:rFonts w:cs="Verdana"/>
          <w:bCs/>
          <w:color w:val="000000"/>
          <w:sz w:val="20"/>
          <w:szCs w:val="20"/>
          <w:lang w:val="es-ES_tradnl"/>
        </w:rPr>
        <w:t xml:space="preserve"> ordenadas</w:t>
      </w:r>
      <w:r w:rsidR="003221CE">
        <w:rPr>
          <w:rFonts w:cs="Verdana"/>
          <w:bCs/>
          <w:color w:val="000000"/>
          <w:sz w:val="20"/>
          <w:szCs w:val="20"/>
          <w:lang w:val="es-ES_tradnl"/>
        </w:rPr>
        <w:t>.</w:t>
      </w:r>
    </w:p>
    <w:p w14:paraId="047FFEA6" w14:textId="77777777" w:rsidR="007E404F" w:rsidRPr="008818D3" w:rsidRDefault="007E404F" w:rsidP="007E404F">
      <w:pPr>
        <w:pStyle w:val="Prrafodelista1"/>
        <w:jc w:val="both"/>
        <w:rPr>
          <w:sz w:val="20"/>
          <w:szCs w:val="20"/>
        </w:rPr>
      </w:pPr>
    </w:p>
    <w:p w14:paraId="5F242121" w14:textId="64DF24E7" w:rsidR="00B75B22" w:rsidRPr="008818D3" w:rsidRDefault="008416DA" w:rsidP="00850BE8">
      <w:pPr>
        <w:pStyle w:val="Prrafodelista1"/>
        <w:numPr>
          <w:ilvl w:val="0"/>
          <w:numId w:val="11"/>
        </w:numPr>
        <w:jc w:val="both"/>
        <w:rPr>
          <w:b/>
          <w:i/>
          <w:sz w:val="20"/>
          <w:szCs w:val="20"/>
        </w:rPr>
      </w:pPr>
      <w:r w:rsidRPr="008818D3">
        <w:rPr>
          <w:b/>
          <w:i/>
          <w:sz w:val="20"/>
          <w:szCs w:val="20"/>
        </w:rPr>
        <w:t xml:space="preserve">Solicitud </w:t>
      </w:r>
      <w:r w:rsidR="00850BE8">
        <w:rPr>
          <w:b/>
          <w:i/>
          <w:sz w:val="20"/>
          <w:szCs w:val="20"/>
        </w:rPr>
        <w:t>de ampliación de medidas provisionales</w:t>
      </w:r>
    </w:p>
    <w:p w14:paraId="17AD8E95" w14:textId="77777777" w:rsidR="00B75B22" w:rsidRPr="008818D3" w:rsidRDefault="00B75B22" w:rsidP="00B75B22">
      <w:pPr>
        <w:pStyle w:val="Default"/>
        <w:ind w:left="360"/>
        <w:jc w:val="both"/>
        <w:rPr>
          <w:sz w:val="20"/>
          <w:szCs w:val="20"/>
          <w:lang w:val="es-ES"/>
        </w:rPr>
      </w:pPr>
    </w:p>
    <w:p w14:paraId="78439EA7" w14:textId="013025C5" w:rsidR="00B75B22" w:rsidRPr="008818D3" w:rsidRDefault="003941CD" w:rsidP="00C67F7B">
      <w:pPr>
        <w:pStyle w:val="Prrafodelista1"/>
        <w:numPr>
          <w:ilvl w:val="0"/>
          <w:numId w:val="3"/>
        </w:numPr>
        <w:tabs>
          <w:tab w:val="clear" w:pos="1068"/>
          <w:tab w:val="left" w:pos="720"/>
        </w:tabs>
        <w:ind w:left="0" w:firstLine="0"/>
        <w:jc w:val="both"/>
        <w:rPr>
          <w:sz w:val="20"/>
          <w:szCs w:val="20"/>
        </w:rPr>
      </w:pPr>
      <w:r w:rsidRPr="008818D3">
        <w:rPr>
          <w:sz w:val="20"/>
          <w:szCs w:val="20"/>
        </w:rPr>
        <w:t>L</w:t>
      </w:r>
      <w:r w:rsidR="00B75B22" w:rsidRPr="008818D3">
        <w:rPr>
          <w:sz w:val="20"/>
          <w:szCs w:val="20"/>
        </w:rPr>
        <w:t xml:space="preserve">a </w:t>
      </w:r>
      <w:r w:rsidR="00B75B22" w:rsidRPr="008448C6">
        <w:rPr>
          <w:b/>
          <w:i/>
          <w:sz w:val="20"/>
          <w:szCs w:val="20"/>
        </w:rPr>
        <w:t>Comisión</w:t>
      </w:r>
      <w:r w:rsidR="00B75B22" w:rsidRPr="008818D3">
        <w:rPr>
          <w:sz w:val="20"/>
          <w:szCs w:val="20"/>
        </w:rPr>
        <w:t xml:space="preserve"> hizo del conocimiento de la Corte graves hechos ocurridos en la </w:t>
      </w:r>
      <w:r w:rsidR="00B75B22" w:rsidRPr="008818D3">
        <w:rPr>
          <w:i/>
          <w:sz w:val="20"/>
          <w:szCs w:val="20"/>
        </w:rPr>
        <w:t>Comunidad de Esperanza Río Coco</w:t>
      </w:r>
      <w:r w:rsidR="004E3598">
        <w:rPr>
          <w:i/>
          <w:sz w:val="20"/>
          <w:szCs w:val="20"/>
        </w:rPr>
        <w:t>,</w:t>
      </w:r>
      <w:r w:rsidR="00B75B22" w:rsidRPr="008818D3">
        <w:rPr>
          <w:i/>
          <w:sz w:val="20"/>
          <w:szCs w:val="20"/>
        </w:rPr>
        <w:t xml:space="preserve"> </w:t>
      </w:r>
      <w:r w:rsidR="00B75B22" w:rsidRPr="008818D3">
        <w:rPr>
          <w:sz w:val="20"/>
          <w:szCs w:val="20"/>
        </w:rPr>
        <w:t xml:space="preserve">consistentes en el secuestro y posterior asesinato, decapitación y descuartizamiento de dos de sus pobladores que demuestran la continuidad en la situación de violencia dentro del contexto de conflictividad existente en la región de la Costa Caribe Norte de Nicaragua entre miembros de los pueblos indígenas </w:t>
      </w:r>
      <w:proofErr w:type="spellStart"/>
      <w:r w:rsidR="002A581F">
        <w:rPr>
          <w:i/>
          <w:sz w:val="20"/>
          <w:szCs w:val="20"/>
        </w:rPr>
        <w:t>M</w:t>
      </w:r>
      <w:r w:rsidR="002A581F" w:rsidRPr="008818D3">
        <w:rPr>
          <w:i/>
          <w:sz w:val="20"/>
          <w:szCs w:val="20"/>
        </w:rPr>
        <w:t>iskitus</w:t>
      </w:r>
      <w:proofErr w:type="spellEnd"/>
      <w:r w:rsidR="002A581F" w:rsidRPr="008818D3">
        <w:rPr>
          <w:i/>
          <w:sz w:val="20"/>
          <w:szCs w:val="20"/>
        </w:rPr>
        <w:t xml:space="preserve"> </w:t>
      </w:r>
      <w:r w:rsidR="00B75B22" w:rsidRPr="008818D3">
        <w:rPr>
          <w:sz w:val="20"/>
          <w:szCs w:val="20"/>
        </w:rPr>
        <w:t xml:space="preserve">y terceros o “colonos”. Todo ello en el contexto de reivindicación de los territorios ancestrales del pueblo indígena </w:t>
      </w:r>
      <w:r w:rsidR="002A581F">
        <w:rPr>
          <w:i/>
          <w:sz w:val="20"/>
          <w:szCs w:val="20"/>
        </w:rPr>
        <w:t>M</w:t>
      </w:r>
      <w:r w:rsidR="002A581F" w:rsidRPr="008818D3">
        <w:rPr>
          <w:i/>
          <w:sz w:val="20"/>
          <w:szCs w:val="20"/>
        </w:rPr>
        <w:t xml:space="preserve">iskitu </w:t>
      </w:r>
      <w:r w:rsidR="00B75B22" w:rsidRPr="008818D3">
        <w:rPr>
          <w:sz w:val="20"/>
          <w:szCs w:val="20"/>
        </w:rPr>
        <w:t xml:space="preserve">y los procesos de saneamiento que tienen lugar en dicha zona. </w:t>
      </w:r>
    </w:p>
    <w:p w14:paraId="552A532B" w14:textId="77777777" w:rsidR="00B75B22" w:rsidRPr="008818D3" w:rsidRDefault="00B75B22" w:rsidP="00B75B22">
      <w:pPr>
        <w:pStyle w:val="ListParagraph"/>
        <w:rPr>
          <w:rFonts w:ascii="Verdana" w:hAnsi="Verdana"/>
          <w:sz w:val="20"/>
        </w:rPr>
      </w:pPr>
    </w:p>
    <w:p w14:paraId="53C5850B" w14:textId="4E4A5349" w:rsidR="00B75B22" w:rsidRPr="008818D3" w:rsidRDefault="00B75B22" w:rsidP="00473D63">
      <w:pPr>
        <w:pStyle w:val="Prrafodelista1"/>
        <w:numPr>
          <w:ilvl w:val="0"/>
          <w:numId w:val="3"/>
        </w:numPr>
        <w:tabs>
          <w:tab w:val="clear" w:pos="1068"/>
          <w:tab w:val="left" w:pos="720"/>
        </w:tabs>
        <w:ind w:left="0" w:firstLine="0"/>
        <w:jc w:val="both"/>
        <w:rPr>
          <w:sz w:val="20"/>
          <w:szCs w:val="20"/>
          <w:lang w:val="es-ES_tradnl"/>
        </w:rPr>
      </w:pPr>
      <w:r w:rsidRPr="008818D3">
        <w:rPr>
          <w:sz w:val="20"/>
          <w:szCs w:val="20"/>
          <w:lang w:val="es-ES_tradnl"/>
        </w:rPr>
        <w:t xml:space="preserve">La información </w:t>
      </w:r>
      <w:r w:rsidR="00541A74">
        <w:rPr>
          <w:sz w:val="20"/>
          <w:szCs w:val="20"/>
          <w:lang w:val="es-ES_tradnl"/>
        </w:rPr>
        <w:t>proporcionada</w:t>
      </w:r>
      <w:r w:rsidR="00541A74" w:rsidRPr="00095453">
        <w:rPr>
          <w:sz w:val="20"/>
          <w:szCs w:val="20"/>
          <w:lang w:val="es-ES_tradnl"/>
        </w:rPr>
        <w:t xml:space="preserve"> </w:t>
      </w:r>
      <w:r w:rsidRPr="00095453">
        <w:rPr>
          <w:sz w:val="20"/>
          <w:szCs w:val="20"/>
          <w:lang w:val="es-ES_tradnl"/>
        </w:rPr>
        <w:t>por los representantes a la Comisión indic</w:t>
      </w:r>
      <w:r w:rsidR="003941CD" w:rsidRPr="00967598">
        <w:rPr>
          <w:sz w:val="20"/>
          <w:szCs w:val="20"/>
          <w:lang w:val="es-ES_tradnl"/>
        </w:rPr>
        <w:t>ó</w:t>
      </w:r>
      <w:r w:rsidRPr="00967598">
        <w:rPr>
          <w:sz w:val="20"/>
          <w:szCs w:val="20"/>
          <w:lang w:val="es-ES_tradnl"/>
        </w:rPr>
        <w:t xml:space="preserve"> que en la </w:t>
      </w:r>
      <w:r w:rsidRPr="000C401F">
        <w:rPr>
          <w:i/>
          <w:sz w:val="20"/>
          <w:szCs w:val="20"/>
          <w:lang w:val="es-ES_tradnl"/>
        </w:rPr>
        <w:t xml:space="preserve">Comunidad de Esperanza Río Coco </w:t>
      </w:r>
      <w:r w:rsidRPr="000C401F">
        <w:rPr>
          <w:sz w:val="20"/>
          <w:szCs w:val="20"/>
        </w:rPr>
        <w:t>persisten los actos de agresión por parte de los “colonos”, los cuales han escalado y tenido la más grave naturaleza al involucrar, presuntamente, mensajes amenazantes, secuestro de pobladores y su asesinato en condiciones de extrema crueldad</w:t>
      </w:r>
      <w:r w:rsidRPr="008818D3">
        <w:rPr>
          <w:sz w:val="20"/>
          <w:szCs w:val="20"/>
        </w:rPr>
        <w:t xml:space="preserve">. </w:t>
      </w:r>
      <w:r w:rsidRPr="008818D3">
        <w:rPr>
          <w:sz w:val="20"/>
          <w:szCs w:val="20"/>
          <w:lang w:val="es-ES_tradnl"/>
        </w:rPr>
        <w:t>En particular, la Comisión refirió que los últimos hechos informados a ésta</w:t>
      </w:r>
      <w:r w:rsidR="004471B3" w:rsidRPr="008818D3">
        <w:rPr>
          <w:sz w:val="20"/>
          <w:szCs w:val="20"/>
          <w:lang w:val="es-ES_tradnl"/>
        </w:rPr>
        <w:t>, los cuales</w:t>
      </w:r>
      <w:r w:rsidRPr="008818D3">
        <w:rPr>
          <w:sz w:val="20"/>
          <w:szCs w:val="20"/>
          <w:lang w:val="es-ES_tradnl"/>
        </w:rPr>
        <w:t xml:space="preserve"> motivaron la solicitud de ampliación de medidas provisionales a favor de los miembros de la </w:t>
      </w:r>
      <w:r w:rsidRPr="008818D3">
        <w:rPr>
          <w:i/>
          <w:sz w:val="20"/>
          <w:szCs w:val="20"/>
          <w:lang w:val="es-ES_tradnl"/>
        </w:rPr>
        <w:t>Comunidad de Esperanza Río Coco</w:t>
      </w:r>
      <w:r w:rsidR="004471B3" w:rsidRPr="008818D3">
        <w:rPr>
          <w:i/>
          <w:sz w:val="20"/>
          <w:szCs w:val="20"/>
          <w:lang w:val="es-ES_tradnl"/>
        </w:rPr>
        <w:t>,</w:t>
      </w:r>
      <w:r w:rsidRPr="008818D3">
        <w:rPr>
          <w:i/>
          <w:sz w:val="20"/>
          <w:szCs w:val="20"/>
          <w:lang w:val="es-ES_tradnl"/>
        </w:rPr>
        <w:t xml:space="preserve"> </w:t>
      </w:r>
      <w:r w:rsidRPr="008818D3">
        <w:rPr>
          <w:sz w:val="20"/>
          <w:szCs w:val="20"/>
          <w:lang w:val="es-ES_tradnl"/>
        </w:rPr>
        <w:t>fueron los siguientes</w:t>
      </w:r>
      <w:r w:rsidR="009F3F87" w:rsidRPr="008818D3">
        <w:rPr>
          <w:rStyle w:val="FootnoteReference"/>
          <w:sz w:val="20"/>
          <w:szCs w:val="20"/>
          <w:lang w:val="es-ES_tradnl"/>
        </w:rPr>
        <w:footnoteReference w:id="5"/>
      </w:r>
      <w:r w:rsidRPr="008818D3">
        <w:rPr>
          <w:sz w:val="20"/>
          <w:szCs w:val="20"/>
          <w:lang w:val="es-ES_tradnl"/>
        </w:rPr>
        <w:t xml:space="preserve">: </w:t>
      </w:r>
    </w:p>
    <w:p w14:paraId="5B8DCA77" w14:textId="77777777" w:rsidR="00B75B22" w:rsidRPr="008818D3" w:rsidRDefault="00B75B22" w:rsidP="00B75B22">
      <w:pPr>
        <w:pStyle w:val="ListParagraph"/>
        <w:rPr>
          <w:rFonts w:ascii="Verdana" w:hAnsi="Verdana"/>
          <w:sz w:val="20"/>
        </w:rPr>
      </w:pPr>
    </w:p>
    <w:p w14:paraId="699D1E68" w14:textId="00B4E9E5" w:rsidR="00B75B22" w:rsidRPr="00764B69" w:rsidRDefault="00B75B22" w:rsidP="00B75B22">
      <w:pPr>
        <w:pStyle w:val="ListParagraph"/>
        <w:numPr>
          <w:ilvl w:val="0"/>
          <w:numId w:val="7"/>
        </w:numPr>
        <w:spacing w:before="20" w:after="20"/>
        <w:ind w:right="18"/>
        <w:jc w:val="both"/>
        <w:rPr>
          <w:rFonts w:ascii="Verdana" w:eastAsia="MS Mincho" w:hAnsi="Verdana"/>
          <w:sz w:val="18"/>
          <w:szCs w:val="18"/>
        </w:rPr>
      </w:pPr>
      <w:r w:rsidRPr="00417032">
        <w:rPr>
          <w:rFonts w:ascii="Verdana" w:hAnsi="Verdana"/>
          <w:sz w:val="18"/>
          <w:szCs w:val="18"/>
        </w:rPr>
        <w:t xml:space="preserve">El 18 </w:t>
      </w:r>
      <w:r w:rsidRPr="00417032">
        <w:rPr>
          <w:rFonts w:ascii="Verdana" w:eastAsia="MS Mincho" w:hAnsi="Verdana"/>
          <w:sz w:val="18"/>
          <w:szCs w:val="18"/>
        </w:rPr>
        <w:t xml:space="preserve">de agosto, tres comunitarios </w:t>
      </w:r>
      <w:r w:rsidR="00F4742B" w:rsidRPr="00417032">
        <w:rPr>
          <w:rFonts w:ascii="Verdana" w:eastAsia="MS Mincho" w:hAnsi="Verdana"/>
          <w:sz w:val="18"/>
          <w:szCs w:val="18"/>
        </w:rPr>
        <w:t>[</w:t>
      </w:r>
      <w:r w:rsidR="00F4742B" w:rsidRPr="00417032">
        <w:rPr>
          <w:rFonts w:ascii="Verdana" w:hAnsi="Verdana"/>
          <w:sz w:val="18"/>
          <w:szCs w:val="18"/>
        </w:rPr>
        <w:t>–</w:t>
      </w:r>
      <w:proofErr w:type="gramStart"/>
      <w:r w:rsidR="00F4742B" w:rsidRPr="00417032">
        <w:rPr>
          <w:rFonts w:ascii="Verdana" w:hAnsi="Verdana"/>
          <w:sz w:val="18"/>
          <w:szCs w:val="18"/>
        </w:rPr>
        <w:t>]</w:t>
      </w:r>
      <w:r w:rsidRPr="00417032">
        <w:rPr>
          <w:rFonts w:ascii="Verdana" w:eastAsia="MS Mincho" w:hAnsi="Verdana"/>
          <w:sz w:val="18"/>
          <w:szCs w:val="18"/>
        </w:rPr>
        <w:t>Gerardo</w:t>
      </w:r>
      <w:proofErr w:type="gramEnd"/>
      <w:r w:rsidRPr="00417032">
        <w:rPr>
          <w:rFonts w:ascii="Verdana" w:eastAsia="MS Mincho" w:hAnsi="Verdana"/>
          <w:sz w:val="18"/>
          <w:szCs w:val="18"/>
        </w:rPr>
        <w:t xml:space="preserve"> Chale Allen de 30 años, </w:t>
      </w:r>
      <w:proofErr w:type="spellStart"/>
      <w:r w:rsidRPr="00417032">
        <w:rPr>
          <w:rFonts w:ascii="Verdana" w:eastAsia="MS Mincho" w:hAnsi="Verdana"/>
          <w:sz w:val="18"/>
          <w:szCs w:val="18"/>
        </w:rPr>
        <w:t>Nelin</w:t>
      </w:r>
      <w:proofErr w:type="spellEnd"/>
      <w:r w:rsidRPr="00417032">
        <w:rPr>
          <w:rFonts w:ascii="Verdana" w:eastAsia="MS Mincho" w:hAnsi="Verdana"/>
          <w:sz w:val="18"/>
          <w:szCs w:val="18"/>
        </w:rPr>
        <w:t xml:space="preserve"> Pedro Parista de 28 años y Eddy Osorio de 27 años</w:t>
      </w:r>
      <w:r w:rsidR="0047173C" w:rsidRPr="00417032">
        <w:rPr>
          <w:rFonts w:ascii="Verdana" w:eastAsia="MS Mincho" w:hAnsi="Verdana"/>
          <w:sz w:val="18"/>
          <w:szCs w:val="18"/>
        </w:rPr>
        <w:t>[</w:t>
      </w:r>
      <w:r w:rsidR="0047173C" w:rsidRPr="00417032">
        <w:rPr>
          <w:rFonts w:ascii="Verdana" w:hAnsi="Verdana"/>
          <w:sz w:val="18"/>
          <w:szCs w:val="18"/>
        </w:rPr>
        <w:t>–]</w:t>
      </w:r>
      <w:r w:rsidRPr="00417032">
        <w:rPr>
          <w:rFonts w:ascii="Verdana" w:eastAsia="MS Mincho" w:hAnsi="Verdana"/>
          <w:sz w:val="18"/>
          <w:szCs w:val="18"/>
        </w:rPr>
        <w:t xml:space="preserve"> habrían salido de sus casas con dirección a sus parcelas de tierra ubicadas en la </w:t>
      </w:r>
      <w:r w:rsidRPr="002409ED">
        <w:rPr>
          <w:rFonts w:ascii="Verdana" w:eastAsia="MS Mincho" w:hAnsi="Verdana"/>
          <w:i/>
          <w:sz w:val="18"/>
          <w:szCs w:val="18"/>
        </w:rPr>
        <w:t xml:space="preserve">Comunidad de Esperanza Río Coco </w:t>
      </w:r>
      <w:r w:rsidRPr="002409ED">
        <w:rPr>
          <w:rFonts w:ascii="Verdana" w:eastAsia="MS Mincho" w:hAnsi="Verdana"/>
          <w:sz w:val="18"/>
          <w:szCs w:val="18"/>
        </w:rPr>
        <w:t xml:space="preserve">en busca de alimentos para sus familias. En el camino, habrían sido emboscados por un grupo de “colonos”. Según los representantes, Gerardo Chale y </w:t>
      </w:r>
      <w:proofErr w:type="spellStart"/>
      <w:r w:rsidRPr="002409ED">
        <w:rPr>
          <w:rFonts w:ascii="Verdana" w:eastAsia="MS Mincho" w:hAnsi="Verdana"/>
          <w:sz w:val="18"/>
          <w:szCs w:val="18"/>
        </w:rPr>
        <w:t>Nelin</w:t>
      </w:r>
      <w:proofErr w:type="spellEnd"/>
      <w:r w:rsidRPr="002409ED">
        <w:rPr>
          <w:rFonts w:ascii="Verdana" w:eastAsia="MS Mincho" w:hAnsi="Verdana"/>
          <w:sz w:val="18"/>
          <w:szCs w:val="18"/>
        </w:rPr>
        <w:t xml:space="preserve"> Pedro Parista fueron secuestrados y únicamente Eddy Osorio logró escapar y dar aviso a los líderes de </w:t>
      </w:r>
      <w:r w:rsidRPr="00764B69">
        <w:rPr>
          <w:rFonts w:ascii="Verdana" w:eastAsia="MS Mincho" w:hAnsi="Verdana"/>
          <w:sz w:val="18"/>
          <w:szCs w:val="18"/>
        </w:rPr>
        <w:t xml:space="preserve">la comunidad. </w:t>
      </w:r>
    </w:p>
    <w:p w14:paraId="4BA45A31" w14:textId="77777777" w:rsidR="00B75B22" w:rsidRPr="001B07D6" w:rsidRDefault="00B75B22" w:rsidP="00B75B22">
      <w:pPr>
        <w:pStyle w:val="ListParagraph"/>
        <w:jc w:val="both"/>
        <w:rPr>
          <w:rFonts w:ascii="Verdana" w:eastAsia="MS Mincho" w:hAnsi="Verdana"/>
          <w:sz w:val="18"/>
          <w:szCs w:val="18"/>
        </w:rPr>
      </w:pPr>
    </w:p>
    <w:p w14:paraId="7B24DE8B" w14:textId="63D19810" w:rsidR="00B75B22" w:rsidRPr="000178DC" w:rsidRDefault="00B75B22" w:rsidP="00B75B22">
      <w:pPr>
        <w:pStyle w:val="ListParagraph"/>
        <w:numPr>
          <w:ilvl w:val="0"/>
          <w:numId w:val="7"/>
        </w:numPr>
        <w:jc w:val="both"/>
        <w:rPr>
          <w:rFonts w:ascii="Verdana" w:eastAsia="MS Mincho" w:hAnsi="Verdana"/>
          <w:sz w:val="18"/>
          <w:szCs w:val="18"/>
        </w:rPr>
      </w:pPr>
      <w:r w:rsidRPr="001F2299">
        <w:rPr>
          <w:rFonts w:ascii="Verdana" w:eastAsia="MS Mincho" w:hAnsi="Verdana"/>
          <w:sz w:val="18"/>
          <w:szCs w:val="18"/>
        </w:rPr>
        <w:t xml:space="preserve">El 19 de agosto de 2016 una comisión conformada por los líderes de la Comunidad, se habría dirigido a las cercanías de la comunidad de </w:t>
      </w:r>
      <w:proofErr w:type="spellStart"/>
      <w:r w:rsidRPr="007051DA">
        <w:rPr>
          <w:rFonts w:ascii="Verdana" w:eastAsia="MS Mincho" w:hAnsi="Verdana"/>
          <w:i/>
          <w:sz w:val="18"/>
          <w:szCs w:val="18"/>
        </w:rPr>
        <w:t>Wasput</w:t>
      </w:r>
      <w:proofErr w:type="spellEnd"/>
      <w:r w:rsidRPr="007051DA">
        <w:rPr>
          <w:rFonts w:ascii="Verdana" w:eastAsia="MS Mincho" w:hAnsi="Verdana"/>
          <w:i/>
          <w:sz w:val="18"/>
          <w:szCs w:val="18"/>
        </w:rPr>
        <w:t xml:space="preserve"> Ta, </w:t>
      </w:r>
      <w:r w:rsidRPr="007051DA">
        <w:rPr>
          <w:rFonts w:ascii="Verdana" w:eastAsia="MS Mincho" w:hAnsi="Verdana"/>
          <w:sz w:val="18"/>
          <w:szCs w:val="18"/>
        </w:rPr>
        <w:t xml:space="preserve">donde el </w:t>
      </w:r>
      <w:r w:rsidR="002A581F" w:rsidRPr="007051DA">
        <w:rPr>
          <w:rFonts w:ascii="Verdana" w:eastAsia="MS Mincho" w:hAnsi="Verdana"/>
          <w:sz w:val="18"/>
          <w:szCs w:val="18"/>
        </w:rPr>
        <w:t xml:space="preserve">[ejército] </w:t>
      </w:r>
      <w:r w:rsidRPr="007051DA">
        <w:rPr>
          <w:rFonts w:ascii="Verdana" w:eastAsia="MS Mincho" w:hAnsi="Verdana"/>
          <w:sz w:val="18"/>
          <w:szCs w:val="18"/>
        </w:rPr>
        <w:t xml:space="preserve">estaría construyendo una base </w:t>
      </w:r>
      <w:r w:rsidR="007663F8" w:rsidRPr="007051DA">
        <w:rPr>
          <w:rFonts w:ascii="Verdana" w:eastAsia="MS Mincho" w:hAnsi="Verdana"/>
          <w:sz w:val="18"/>
          <w:szCs w:val="18"/>
        </w:rPr>
        <w:t>[militar]</w:t>
      </w:r>
      <w:r w:rsidRPr="007051DA">
        <w:rPr>
          <w:rFonts w:ascii="Verdana" w:eastAsia="MS Mincho" w:hAnsi="Verdana"/>
          <w:sz w:val="18"/>
          <w:szCs w:val="18"/>
        </w:rPr>
        <w:t xml:space="preserve"> con el fin de solicitar su apoyo para la búsqueda de las personas secuestradas. Sin embargo, los militares les habrían indicado que contaban con poco personal y no podrían “entrar a la montaña” sin orden de sus superiores.</w:t>
      </w:r>
      <w:r w:rsidR="007663F8" w:rsidRPr="007051DA">
        <w:rPr>
          <w:rFonts w:ascii="Verdana" w:eastAsia="MS Mincho" w:hAnsi="Verdana"/>
          <w:b/>
          <w:sz w:val="18"/>
          <w:szCs w:val="18"/>
        </w:rPr>
        <w:t xml:space="preserve"> </w:t>
      </w:r>
    </w:p>
    <w:p w14:paraId="507A650B" w14:textId="77777777" w:rsidR="00B75B22" w:rsidRPr="000178DC" w:rsidRDefault="00B75B22" w:rsidP="00B75B22">
      <w:pPr>
        <w:pStyle w:val="ListParagraph"/>
        <w:rPr>
          <w:rFonts w:ascii="Verdana" w:eastAsia="MS Mincho" w:hAnsi="Verdana"/>
          <w:sz w:val="18"/>
          <w:szCs w:val="18"/>
        </w:rPr>
      </w:pPr>
    </w:p>
    <w:p w14:paraId="02833C14" w14:textId="4015BF4C" w:rsidR="00B75B22" w:rsidRPr="00162D3C" w:rsidRDefault="00B75B22" w:rsidP="00B75B22">
      <w:pPr>
        <w:pStyle w:val="ListParagraph"/>
        <w:numPr>
          <w:ilvl w:val="0"/>
          <w:numId w:val="7"/>
        </w:numPr>
        <w:jc w:val="both"/>
        <w:rPr>
          <w:rFonts w:ascii="Verdana" w:eastAsia="MS Mincho" w:hAnsi="Verdana"/>
          <w:sz w:val="18"/>
          <w:szCs w:val="18"/>
        </w:rPr>
      </w:pPr>
      <w:r w:rsidRPr="00850BE8">
        <w:rPr>
          <w:rFonts w:ascii="Verdana" w:eastAsia="MS Mincho" w:hAnsi="Verdana"/>
          <w:sz w:val="18"/>
          <w:szCs w:val="18"/>
        </w:rPr>
        <w:t xml:space="preserve">El 20 de agosto de 2016 los miembros de la comunidad habrían realizado una búsqueda de las personas secuestradas sin éxito. </w:t>
      </w:r>
    </w:p>
    <w:p w14:paraId="7FA48003" w14:textId="77777777" w:rsidR="00B75B22" w:rsidRPr="003D3E2C" w:rsidRDefault="00B75B22" w:rsidP="00B75B22">
      <w:pPr>
        <w:pStyle w:val="ListParagraph"/>
        <w:rPr>
          <w:rFonts w:ascii="Verdana" w:eastAsia="MS Mincho" w:hAnsi="Verdana"/>
          <w:sz w:val="18"/>
          <w:szCs w:val="18"/>
        </w:rPr>
      </w:pPr>
    </w:p>
    <w:p w14:paraId="64CFEE7F" w14:textId="552F345B" w:rsidR="00B75B22" w:rsidRPr="009461DB" w:rsidRDefault="00B75B22" w:rsidP="00B75B22">
      <w:pPr>
        <w:pStyle w:val="ListParagraph"/>
        <w:numPr>
          <w:ilvl w:val="0"/>
          <w:numId w:val="7"/>
        </w:numPr>
        <w:jc w:val="both"/>
        <w:rPr>
          <w:rFonts w:ascii="Verdana" w:eastAsia="MS Mincho" w:hAnsi="Verdana"/>
          <w:sz w:val="18"/>
          <w:szCs w:val="18"/>
        </w:rPr>
      </w:pPr>
      <w:r w:rsidRPr="00BF5186">
        <w:rPr>
          <w:rFonts w:ascii="Verdana" w:eastAsia="MS Mincho" w:hAnsi="Verdana"/>
          <w:sz w:val="18"/>
          <w:szCs w:val="18"/>
        </w:rPr>
        <w:t xml:space="preserve">El 22 de agosto de 2016, 7 guardabosques comunitarios habrían emprendido una nueva búsqueda, durante la cual habrían </w:t>
      </w:r>
      <w:r w:rsidRPr="00EC7626">
        <w:rPr>
          <w:rFonts w:ascii="Verdana" w:eastAsia="MS Mincho" w:hAnsi="Verdana"/>
          <w:sz w:val="18"/>
          <w:szCs w:val="18"/>
        </w:rPr>
        <w:t>encontrado al lleg</w:t>
      </w:r>
      <w:r w:rsidRPr="00B34007">
        <w:rPr>
          <w:rFonts w:ascii="Verdana" w:eastAsia="MS Mincho" w:hAnsi="Verdana"/>
          <w:sz w:val="18"/>
          <w:szCs w:val="18"/>
        </w:rPr>
        <w:t>ar al lugar de los hechos un papel con el siguiente texto:</w:t>
      </w:r>
      <w:r w:rsidR="007663F8" w:rsidRPr="00B34007">
        <w:rPr>
          <w:rFonts w:ascii="Verdana" w:eastAsia="MS Mincho" w:hAnsi="Verdana"/>
          <w:sz w:val="18"/>
          <w:szCs w:val="18"/>
        </w:rPr>
        <w:t xml:space="preserve"> </w:t>
      </w:r>
    </w:p>
    <w:p w14:paraId="17FD7533" w14:textId="77777777" w:rsidR="00B75B22" w:rsidRPr="009461DB" w:rsidRDefault="00B75B22" w:rsidP="00B75B22">
      <w:pPr>
        <w:pStyle w:val="ListParagraph"/>
        <w:rPr>
          <w:rFonts w:ascii="Verdana" w:eastAsia="MS Mincho" w:hAnsi="Verdana"/>
          <w:sz w:val="18"/>
          <w:szCs w:val="18"/>
        </w:rPr>
      </w:pPr>
    </w:p>
    <w:p w14:paraId="7185F10D" w14:textId="3B8214E1" w:rsidR="00B75B22" w:rsidRPr="008448C6" w:rsidRDefault="00B75B22" w:rsidP="008448C6">
      <w:pPr>
        <w:pStyle w:val="ListParagraph"/>
        <w:ind w:left="1416"/>
        <w:jc w:val="both"/>
        <w:rPr>
          <w:rFonts w:ascii="Verdana" w:eastAsia="MS Mincho" w:hAnsi="Verdana"/>
          <w:sz w:val="18"/>
          <w:szCs w:val="18"/>
        </w:rPr>
      </w:pPr>
      <w:r w:rsidRPr="009461DB">
        <w:rPr>
          <w:rFonts w:ascii="Verdana" w:eastAsia="MS Mincho" w:hAnsi="Verdana"/>
          <w:sz w:val="18"/>
          <w:szCs w:val="18"/>
        </w:rPr>
        <w:t xml:space="preserve">“estimado </w:t>
      </w:r>
      <w:proofErr w:type="spellStart"/>
      <w:r w:rsidRPr="009461DB">
        <w:rPr>
          <w:rFonts w:ascii="Verdana" w:eastAsia="MS Mincho" w:hAnsi="Verdana"/>
          <w:sz w:val="18"/>
          <w:szCs w:val="18"/>
        </w:rPr>
        <w:t>c</w:t>
      </w:r>
      <w:r w:rsidR="007663F8" w:rsidRPr="009461DB">
        <w:rPr>
          <w:rFonts w:ascii="Verdana" w:eastAsia="MS Mincho" w:hAnsi="Verdana"/>
          <w:sz w:val="18"/>
          <w:szCs w:val="18"/>
        </w:rPr>
        <w:t>a</w:t>
      </w:r>
      <w:r w:rsidRPr="003221CE">
        <w:rPr>
          <w:rFonts w:ascii="Verdana" w:eastAsia="MS Mincho" w:hAnsi="Verdana"/>
          <w:sz w:val="18"/>
          <w:szCs w:val="18"/>
        </w:rPr>
        <w:t>mara</w:t>
      </w:r>
      <w:proofErr w:type="spellEnd"/>
      <w:r w:rsidRPr="003221CE">
        <w:rPr>
          <w:rFonts w:ascii="Verdana" w:eastAsia="MS Mincho" w:hAnsi="Verdana"/>
          <w:sz w:val="18"/>
          <w:szCs w:val="18"/>
        </w:rPr>
        <w:t xml:space="preserve"> espero </w:t>
      </w:r>
      <w:proofErr w:type="spellStart"/>
      <w:r w:rsidRPr="003221CE">
        <w:rPr>
          <w:rFonts w:ascii="Verdana" w:eastAsia="MS Mincho" w:hAnsi="Verdana"/>
          <w:sz w:val="18"/>
          <w:szCs w:val="18"/>
        </w:rPr>
        <w:t>est</w:t>
      </w:r>
      <w:proofErr w:type="spellEnd"/>
      <w:r w:rsidR="00FD674E" w:rsidRPr="003221CE">
        <w:rPr>
          <w:rFonts w:ascii="Verdana" w:eastAsia="MS Mincho" w:hAnsi="Verdana"/>
          <w:sz w:val="18"/>
          <w:szCs w:val="18"/>
        </w:rPr>
        <w:t>[é]</w:t>
      </w:r>
      <w:r w:rsidRPr="003221CE">
        <w:rPr>
          <w:rFonts w:ascii="Verdana" w:eastAsia="MS Mincho" w:hAnsi="Verdana"/>
          <w:sz w:val="18"/>
          <w:szCs w:val="18"/>
        </w:rPr>
        <w:t xml:space="preserve"> bien </w:t>
      </w:r>
      <w:proofErr w:type="spellStart"/>
      <w:r w:rsidRPr="003221CE">
        <w:rPr>
          <w:rFonts w:ascii="Verdana" w:eastAsia="MS Mincho" w:hAnsi="Verdana"/>
          <w:sz w:val="18"/>
          <w:szCs w:val="18"/>
        </w:rPr>
        <w:t>despu</w:t>
      </w:r>
      <w:proofErr w:type="spellEnd"/>
      <w:r w:rsidR="007663F8" w:rsidRPr="003221CE">
        <w:rPr>
          <w:rFonts w:ascii="Verdana" w:eastAsia="MS Mincho" w:hAnsi="Verdana"/>
          <w:sz w:val="18"/>
          <w:szCs w:val="18"/>
        </w:rPr>
        <w:t>[</w:t>
      </w:r>
      <w:r w:rsidRPr="003221CE">
        <w:rPr>
          <w:rFonts w:ascii="Verdana" w:eastAsia="MS Mincho" w:hAnsi="Verdana"/>
          <w:sz w:val="18"/>
          <w:szCs w:val="18"/>
        </w:rPr>
        <w:t>é</w:t>
      </w:r>
      <w:r w:rsidR="007663F8" w:rsidRPr="003221CE">
        <w:rPr>
          <w:rFonts w:ascii="Verdana" w:eastAsia="MS Mincho" w:hAnsi="Verdana"/>
          <w:sz w:val="18"/>
          <w:szCs w:val="18"/>
        </w:rPr>
        <w:t>]</w:t>
      </w:r>
      <w:r w:rsidRPr="003221CE">
        <w:rPr>
          <w:rFonts w:ascii="Verdana" w:eastAsia="MS Mincho" w:hAnsi="Verdana"/>
          <w:sz w:val="18"/>
          <w:szCs w:val="18"/>
        </w:rPr>
        <w:t>s de estos saludo</w:t>
      </w:r>
      <w:r w:rsidR="007663F8" w:rsidRPr="003221CE">
        <w:rPr>
          <w:rFonts w:ascii="Verdana" w:eastAsia="MS Mincho" w:hAnsi="Verdana"/>
          <w:sz w:val="18"/>
          <w:szCs w:val="18"/>
        </w:rPr>
        <w:t>[</w:t>
      </w:r>
      <w:r w:rsidRPr="003221CE">
        <w:rPr>
          <w:rFonts w:ascii="Verdana" w:eastAsia="MS Mincho" w:hAnsi="Verdana"/>
          <w:sz w:val="18"/>
          <w:szCs w:val="18"/>
        </w:rPr>
        <w:t>s</w:t>
      </w:r>
      <w:r w:rsidR="007663F8" w:rsidRPr="003221CE">
        <w:rPr>
          <w:rFonts w:ascii="Verdana" w:eastAsia="MS Mincho" w:hAnsi="Verdana"/>
          <w:sz w:val="18"/>
          <w:szCs w:val="18"/>
        </w:rPr>
        <w:t>]</w:t>
      </w:r>
      <w:r w:rsidRPr="003221CE">
        <w:rPr>
          <w:rFonts w:ascii="Verdana" w:eastAsia="MS Mincho" w:hAnsi="Verdana"/>
          <w:sz w:val="18"/>
          <w:szCs w:val="18"/>
        </w:rPr>
        <w:t>, quiero de</w:t>
      </w:r>
      <w:r w:rsidR="007663F8" w:rsidRPr="003221CE">
        <w:rPr>
          <w:rFonts w:ascii="Verdana" w:eastAsia="MS Mincho" w:hAnsi="Verdana"/>
          <w:sz w:val="18"/>
          <w:szCs w:val="18"/>
        </w:rPr>
        <w:t>[</w:t>
      </w:r>
      <w:r w:rsidRPr="003221CE">
        <w:rPr>
          <w:rFonts w:ascii="Verdana" w:eastAsia="MS Mincho" w:hAnsi="Verdana"/>
          <w:sz w:val="18"/>
          <w:szCs w:val="18"/>
        </w:rPr>
        <w:t>c</w:t>
      </w:r>
      <w:r w:rsidR="007663F8" w:rsidRPr="003221CE">
        <w:rPr>
          <w:rFonts w:ascii="Verdana" w:eastAsia="MS Mincho" w:hAnsi="Verdana"/>
          <w:sz w:val="18"/>
          <w:szCs w:val="18"/>
        </w:rPr>
        <w:t>]</w:t>
      </w:r>
      <w:r w:rsidRPr="003221CE">
        <w:rPr>
          <w:rFonts w:ascii="Verdana" w:eastAsia="MS Mincho" w:hAnsi="Verdana"/>
          <w:sz w:val="18"/>
          <w:szCs w:val="18"/>
        </w:rPr>
        <w:t>ir</w:t>
      </w:r>
      <w:r w:rsidR="007663F8" w:rsidRPr="003221CE">
        <w:rPr>
          <w:rFonts w:ascii="Verdana" w:eastAsia="MS Mincho" w:hAnsi="Verdana"/>
          <w:sz w:val="18"/>
          <w:szCs w:val="18"/>
        </w:rPr>
        <w:t>les</w:t>
      </w:r>
      <w:r w:rsidRPr="003221CE">
        <w:rPr>
          <w:rFonts w:ascii="Verdana" w:eastAsia="MS Mincho" w:hAnsi="Verdana"/>
          <w:sz w:val="18"/>
          <w:szCs w:val="18"/>
        </w:rPr>
        <w:t xml:space="preserve"> que ya </w:t>
      </w:r>
      <w:proofErr w:type="spellStart"/>
      <w:r w:rsidRPr="003221CE">
        <w:rPr>
          <w:rFonts w:ascii="Verdana" w:eastAsia="MS Mincho" w:hAnsi="Verdana"/>
          <w:sz w:val="18"/>
          <w:szCs w:val="18"/>
        </w:rPr>
        <w:t>est</w:t>
      </w:r>
      <w:proofErr w:type="spellEnd"/>
      <w:r w:rsidR="007663F8" w:rsidRPr="008448C6">
        <w:rPr>
          <w:rFonts w:ascii="Verdana" w:eastAsia="MS Mincho" w:hAnsi="Verdana"/>
          <w:sz w:val="18"/>
          <w:szCs w:val="18"/>
        </w:rPr>
        <w:t>[</w:t>
      </w:r>
      <w:r w:rsidRPr="008448C6">
        <w:rPr>
          <w:rFonts w:ascii="Verdana" w:eastAsia="MS Mincho" w:hAnsi="Verdana"/>
          <w:sz w:val="18"/>
          <w:szCs w:val="18"/>
        </w:rPr>
        <w:t>á</w:t>
      </w:r>
      <w:r w:rsidR="007663F8" w:rsidRPr="008448C6">
        <w:rPr>
          <w:rFonts w:ascii="Verdana" w:eastAsia="MS Mincho" w:hAnsi="Verdana"/>
          <w:sz w:val="18"/>
          <w:szCs w:val="18"/>
        </w:rPr>
        <w:t>]</w:t>
      </w:r>
      <w:r w:rsidRPr="008448C6">
        <w:rPr>
          <w:rFonts w:ascii="Verdana" w:eastAsia="MS Mincho" w:hAnsi="Verdana"/>
          <w:sz w:val="18"/>
          <w:szCs w:val="18"/>
        </w:rPr>
        <w:t xml:space="preserve">n dos aquí con nosotros solo falta uno para </w:t>
      </w:r>
      <w:r w:rsidR="00FD674E" w:rsidRPr="008448C6">
        <w:rPr>
          <w:rFonts w:ascii="Verdana" w:eastAsia="MS Mincho" w:hAnsi="Verdana"/>
          <w:sz w:val="18"/>
          <w:szCs w:val="18"/>
        </w:rPr>
        <w:t>[este empate]</w:t>
      </w:r>
      <w:r w:rsidRPr="008448C6">
        <w:rPr>
          <w:rFonts w:ascii="Verdana" w:eastAsia="MS Mincho" w:hAnsi="Verdana"/>
          <w:sz w:val="18"/>
          <w:szCs w:val="18"/>
        </w:rPr>
        <w:t xml:space="preserve"> </w:t>
      </w:r>
      <w:r w:rsidR="007663F8" w:rsidRPr="008448C6">
        <w:rPr>
          <w:rFonts w:ascii="Verdana" w:eastAsia="MS Mincho" w:hAnsi="Verdana"/>
          <w:sz w:val="18"/>
          <w:szCs w:val="18"/>
        </w:rPr>
        <w:t>[</w:t>
      </w:r>
      <w:r w:rsidRPr="008448C6">
        <w:rPr>
          <w:rFonts w:ascii="Verdana" w:eastAsia="MS Mincho" w:hAnsi="Verdana"/>
          <w:sz w:val="18"/>
          <w:szCs w:val="18"/>
        </w:rPr>
        <w:t>d</w:t>
      </w:r>
      <w:r w:rsidR="007663F8" w:rsidRPr="008448C6">
        <w:rPr>
          <w:rFonts w:ascii="Verdana" w:eastAsia="MS Mincho" w:hAnsi="Verdana"/>
          <w:sz w:val="18"/>
          <w:szCs w:val="18"/>
        </w:rPr>
        <w:t>]</w:t>
      </w:r>
      <w:r w:rsidRPr="008448C6">
        <w:rPr>
          <w:rFonts w:ascii="Verdana" w:eastAsia="MS Mincho" w:hAnsi="Verdana"/>
          <w:sz w:val="18"/>
          <w:szCs w:val="18"/>
        </w:rPr>
        <w:t>el partido solo falta</w:t>
      </w:r>
      <w:r w:rsidR="00FD674E" w:rsidRPr="008448C6">
        <w:rPr>
          <w:rFonts w:ascii="Verdana" w:eastAsia="MS Mincho" w:hAnsi="Verdana"/>
          <w:sz w:val="18"/>
          <w:szCs w:val="18"/>
        </w:rPr>
        <w:t>[n]</w:t>
      </w:r>
      <w:r w:rsidRPr="008448C6">
        <w:rPr>
          <w:rFonts w:ascii="Verdana" w:eastAsia="MS Mincho" w:hAnsi="Verdana"/>
          <w:sz w:val="18"/>
          <w:szCs w:val="18"/>
        </w:rPr>
        <w:t xml:space="preserve"> los macho </w:t>
      </w:r>
      <w:r w:rsidR="00FD674E" w:rsidRPr="008448C6">
        <w:rPr>
          <w:rFonts w:ascii="Verdana" w:eastAsia="MS Mincho" w:hAnsi="Verdana"/>
          <w:sz w:val="18"/>
          <w:szCs w:val="18"/>
        </w:rPr>
        <w:t>[y la]</w:t>
      </w:r>
      <w:r w:rsidRPr="008448C6">
        <w:rPr>
          <w:rFonts w:ascii="Verdana" w:eastAsia="MS Mincho" w:hAnsi="Verdana"/>
          <w:sz w:val="18"/>
          <w:szCs w:val="18"/>
        </w:rPr>
        <w:t xml:space="preserve"> pistola bla</w:t>
      </w:r>
      <w:r w:rsidR="007663F8" w:rsidRPr="008448C6">
        <w:rPr>
          <w:rFonts w:ascii="Verdana" w:eastAsia="MS Mincho" w:hAnsi="Verdana"/>
          <w:sz w:val="18"/>
          <w:szCs w:val="18"/>
        </w:rPr>
        <w:t>n</w:t>
      </w:r>
      <w:r w:rsidRPr="008448C6">
        <w:rPr>
          <w:rFonts w:ascii="Verdana" w:eastAsia="MS Mincho" w:hAnsi="Verdana"/>
          <w:sz w:val="18"/>
          <w:szCs w:val="18"/>
        </w:rPr>
        <w:t xml:space="preserve">ca </w:t>
      </w:r>
      <w:r w:rsidR="00FD674E" w:rsidRPr="008448C6">
        <w:rPr>
          <w:rFonts w:ascii="Verdana" w:eastAsia="MS Mincho" w:hAnsi="Verdana"/>
          <w:sz w:val="18"/>
          <w:szCs w:val="18"/>
        </w:rPr>
        <w:t>[y la]</w:t>
      </w:r>
      <w:r w:rsidRPr="008448C6">
        <w:rPr>
          <w:rFonts w:ascii="Verdana" w:eastAsia="MS Mincho" w:hAnsi="Verdana"/>
          <w:sz w:val="18"/>
          <w:szCs w:val="18"/>
        </w:rPr>
        <w:t xml:space="preserve"> 38 negra</w:t>
      </w:r>
      <w:r w:rsidR="007663F8" w:rsidRPr="008448C6">
        <w:rPr>
          <w:rFonts w:ascii="Verdana" w:eastAsia="MS Mincho" w:hAnsi="Verdana"/>
          <w:sz w:val="18"/>
          <w:szCs w:val="18"/>
        </w:rPr>
        <w:t>.</w:t>
      </w:r>
      <w:r w:rsidRPr="008448C6">
        <w:rPr>
          <w:rFonts w:ascii="Verdana" w:eastAsia="MS Mincho" w:hAnsi="Verdana"/>
          <w:sz w:val="18"/>
          <w:szCs w:val="18"/>
        </w:rPr>
        <w:t xml:space="preserve"> RESPETEN EL KARIL </w:t>
      </w:r>
      <w:r w:rsidR="00FD674E" w:rsidRPr="008448C6">
        <w:rPr>
          <w:rFonts w:ascii="Verdana" w:eastAsia="MS Mincho" w:hAnsi="Verdana"/>
          <w:sz w:val="18"/>
          <w:szCs w:val="18"/>
        </w:rPr>
        <w:t>[y]</w:t>
      </w:r>
      <w:r w:rsidRPr="008448C6">
        <w:rPr>
          <w:rFonts w:ascii="Verdana" w:eastAsia="MS Mincho" w:hAnsi="Verdana"/>
          <w:sz w:val="18"/>
          <w:szCs w:val="18"/>
        </w:rPr>
        <w:t xml:space="preserve"> el </w:t>
      </w:r>
      <w:proofErr w:type="spellStart"/>
      <w:r w:rsidRPr="008448C6">
        <w:rPr>
          <w:rFonts w:ascii="Verdana" w:eastAsia="MS Mincho" w:hAnsi="Verdana"/>
          <w:sz w:val="18"/>
          <w:szCs w:val="18"/>
        </w:rPr>
        <w:t>pr</w:t>
      </w:r>
      <w:proofErr w:type="spellEnd"/>
      <w:r w:rsidR="007663F8" w:rsidRPr="008448C6">
        <w:rPr>
          <w:rFonts w:ascii="Verdana" w:eastAsia="MS Mincho" w:hAnsi="Verdana"/>
          <w:sz w:val="18"/>
          <w:szCs w:val="18"/>
        </w:rPr>
        <w:t>[</w:t>
      </w:r>
      <w:proofErr w:type="spellStart"/>
      <w:r w:rsidRPr="008448C6">
        <w:rPr>
          <w:rFonts w:ascii="Verdana" w:eastAsia="MS Mincho" w:hAnsi="Verdana"/>
          <w:sz w:val="18"/>
          <w:szCs w:val="18"/>
        </w:rPr>
        <w:t>ó</w:t>
      </w:r>
      <w:proofErr w:type="spellEnd"/>
      <w:r w:rsidR="007663F8" w:rsidRPr="008448C6">
        <w:rPr>
          <w:rFonts w:ascii="Verdana" w:eastAsia="MS Mincho" w:hAnsi="Verdana"/>
          <w:sz w:val="18"/>
          <w:szCs w:val="18"/>
        </w:rPr>
        <w:t>]</w:t>
      </w:r>
      <w:proofErr w:type="spellStart"/>
      <w:r w:rsidRPr="008448C6">
        <w:rPr>
          <w:rFonts w:ascii="Verdana" w:eastAsia="MS Mincho" w:hAnsi="Verdana"/>
          <w:sz w:val="18"/>
          <w:szCs w:val="18"/>
        </w:rPr>
        <w:t>ximo</w:t>
      </w:r>
      <w:proofErr w:type="spellEnd"/>
      <w:r w:rsidRPr="008448C6">
        <w:rPr>
          <w:rFonts w:ascii="Verdana" w:eastAsia="MS Mincho" w:hAnsi="Verdana"/>
          <w:sz w:val="18"/>
          <w:szCs w:val="18"/>
        </w:rPr>
        <w:t xml:space="preserve"> </w:t>
      </w:r>
      <w:r w:rsidR="007663F8" w:rsidRPr="008448C6">
        <w:rPr>
          <w:rFonts w:ascii="Verdana" w:eastAsia="MS Mincho" w:hAnsi="Verdana"/>
          <w:sz w:val="18"/>
          <w:szCs w:val="18"/>
        </w:rPr>
        <w:t xml:space="preserve">año </w:t>
      </w:r>
      <w:r w:rsidRPr="008448C6">
        <w:rPr>
          <w:rFonts w:ascii="Verdana" w:eastAsia="MS Mincho" w:hAnsi="Verdana"/>
          <w:sz w:val="18"/>
          <w:szCs w:val="18"/>
        </w:rPr>
        <w:t>siembren yu</w:t>
      </w:r>
      <w:r w:rsidR="007663F8" w:rsidRPr="008448C6">
        <w:rPr>
          <w:rFonts w:ascii="Verdana" w:eastAsia="MS Mincho" w:hAnsi="Verdana"/>
          <w:sz w:val="18"/>
          <w:szCs w:val="18"/>
        </w:rPr>
        <w:t>c</w:t>
      </w:r>
      <w:r w:rsidRPr="008448C6">
        <w:rPr>
          <w:rFonts w:ascii="Verdana" w:eastAsia="MS Mincho" w:hAnsi="Verdana"/>
          <w:sz w:val="18"/>
          <w:szCs w:val="18"/>
        </w:rPr>
        <w:t>a”.</w:t>
      </w:r>
      <w:r w:rsidR="007663F8" w:rsidRPr="008448C6">
        <w:rPr>
          <w:rFonts w:ascii="Verdana" w:eastAsia="MS Mincho" w:hAnsi="Verdana"/>
          <w:sz w:val="18"/>
          <w:szCs w:val="18"/>
        </w:rPr>
        <w:t xml:space="preserve"> </w:t>
      </w:r>
    </w:p>
    <w:p w14:paraId="3A7D8386" w14:textId="77777777" w:rsidR="00B75B22" w:rsidRPr="008448C6" w:rsidRDefault="00B75B22" w:rsidP="00B75B22">
      <w:pPr>
        <w:pStyle w:val="ListParagraph"/>
        <w:rPr>
          <w:rFonts w:ascii="Verdana" w:eastAsia="MS Mincho" w:hAnsi="Verdana"/>
          <w:sz w:val="18"/>
          <w:szCs w:val="18"/>
        </w:rPr>
      </w:pPr>
    </w:p>
    <w:p w14:paraId="7C2B72A2" w14:textId="659E47FD" w:rsidR="00B75B22" w:rsidRPr="008448C6" w:rsidRDefault="00B75B22" w:rsidP="00B75B22">
      <w:pPr>
        <w:pStyle w:val="ListParagraph"/>
        <w:numPr>
          <w:ilvl w:val="0"/>
          <w:numId w:val="7"/>
        </w:numPr>
        <w:jc w:val="both"/>
        <w:rPr>
          <w:rFonts w:ascii="Verdana" w:eastAsia="MS Mincho" w:hAnsi="Verdana"/>
          <w:sz w:val="18"/>
          <w:szCs w:val="18"/>
        </w:rPr>
      </w:pPr>
      <w:r w:rsidRPr="008448C6">
        <w:rPr>
          <w:rFonts w:ascii="Verdana" w:eastAsia="MS Mincho" w:hAnsi="Verdana"/>
          <w:sz w:val="18"/>
          <w:szCs w:val="18"/>
        </w:rPr>
        <w:t>El 27 de agosto de 2016 22 guardabosques comunitarios habrían emprendido una tercera búsqueda. Según los representantes, durante el recorrido los guardabosques habrían encontrado un rastro de sangre cercano al lugar de los hechos.</w:t>
      </w:r>
      <w:r w:rsidR="007663F8" w:rsidRPr="008448C6">
        <w:rPr>
          <w:rFonts w:ascii="Verdana" w:eastAsia="MS Mincho" w:hAnsi="Verdana"/>
          <w:sz w:val="18"/>
          <w:szCs w:val="18"/>
        </w:rPr>
        <w:t xml:space="preserve"> </w:t>
      </w:r>
    </w:p>
    <w:p w14:paraId="29D9B194" w14:textId="77777777" w:rsidR="00B75B22" w:rsidRPr="008448C6" w:rsidRDefault="00B75B22" w:rsidP="00B75B22">
      <w:pPr>
        <w:pStyle w:val="ListParagraph"/>
        <w:jc w:val="both"/>
        <w:rPr>
          <w:rFonts w:ascii="Verdana" w:eastAsia="MS Mincho" w:hAnsi="Verdana"/>
          <w:sz w:val="18"/>
          <w:szCs w:val="18"/>
        </w:rPr>
      </w:pPr>
    </w:p>
    <w:p w14:paraId="1F7E56DB" w14:textId="7B2EFD46" w:rsidR="00B75B22" w:rsidRPr="003D3E2C" w:rsidRDefault="00B75B22" w:rsidP="00254F4C">
      <w:pPr>
        <w:pStyle w:val="ListParagraph"/>
        <w:numPr>
          <w:ilvl w:val="0"/>
          <w:numId w:val="7"/>
        </w:numPr>
        <w:jc w:val="both"/>
        <w:rPr>
          <w:rFonts w:ascii="Verdana" w:eastAsia="MS Mincho" w:hAnsi="Verdana"/>
          <w:sz w:val="18"/>
          <w:szCs w:val="18"/>
        </w:rPr>
      </w:pPr>
      <w:r w:rsidRPr="008448C6">
        <w:rPr>
          <w:rFonts w:ascii="Verdana" w:eastAsia="MS Mincho" w:hAnsi="Verdana"/>
          <w:sz w:val="18"/>
          <w:szCs w:val="18"/>
        </w:rPr>
        <w:lastRenderedPageBreak/>
        <w:t>El 28 de agosto de 2016 los guardabosques</w:t>
      </w:r>
      <w:r w:rsidR="00025F74">
        <w:rPr>
          <w:rFonts w:ascii="Verdana" w:eastAsia="MS Mincho" w:hAnsi="Verdana"/>
          <w:sz w:val="18"/>
          <w:szCs w:val="18"/>
        </w:rPr>
        <w:t>,</w:t>
      </w:r>
      <w:r w:rsidRPr="00025F74">
        <w:rPr>
          <w:rFonts w:ascii="Verdana" w:eastAsia="MS Mincho" w:hAnsi="Verdana"/>
          <w:sz w:val="18"/>
          <w:szCs w:val="18"/>
        </w:rPr>
        <w:t xml:space="preserve"> tras seguir el rastro de sangre habrían encontrado partes de los cuerpos de Gerardo Chale Allen y </w:t>
      </w:r>
      <w:proofErr w:type="spellStart"/>
      <w:r w:rsidRPr="00025F74">
        <w:rPr>
          <w:rFonts w:ascii="Verdana" w:eastAsia="MS Mincho" w:hAnsi="Verdana"/>
          <w:sz w:val="18"/>
          <w:szCs w:val="18"/>
        </w:rPr>
        <w:t>Nelin</w:t>
      </w:r>
      <w:proofErr w:type="spellEnd"/>
      <w:r w:rsidRPr="00025F74">
        <w:rPr>
          <w:rFonts w:ascii="Verdana" w:eastAsia="MS Mincho" w:hAnsi="Verdana"/>
          <w:sz w:val="18"/>
          <w:szCs w:val="18"/>
        </w:rPr>
        <w:t xml:space="preserve"> Pedro Parista en un estado de descomposición, descuartizamiento y decapitados. Los representantes indicaron q</w:t>
      </w:r>
      <w:r w:rsidRPr="00DE1DA0">
        <w:rPr>
          <w:rFonts w:ascii="Verdana" w:eastAsia="MS Mincho" w:hAnsi="Verdana"/>
          <w:sz w:val="18"/>
          <w:szCs w:val="18"/>
        </w:rPr>
        <w:t>ue los cuerpos lograron ser identificados por sus familiares por las ropas que portaban.</w:t>
      </w:r>
      <w:r w:rsidR="007663F8" w:rsidRPr="00887568">
        <w:rPr>
          <w:rFonts w:ascii="Verdana" w:eastAsia="MS Mincho" w:hAnsi="Verdana"/>
          <w:sz w:val="18"/>
          <w:szCs w:val="18"/>
        </w:rPr>
        <w:t xml:space="preserve"> </w:t>
      </w:r>
    </w:p>
    <w:p w14:paraId="4CD6CC1A" w14:textId="77777777" w:rsidR="00B75B22" w:rsidRDefault="00B75B22" w:rsidP="00742B46">
      <w:pPr>
        <w:spacing w:after="0"/>
        <w:rPr>
          <w:rFonts w:ascii="Verdana" w:eastAsia="MS Mincho" w:hAnsi="Verdana"/>
          <w:sz w:val="20"/>
          <w:szCs w:val="20"/>
          <w:lang w:val="es-MX"/>
        </w:rPr>
      </w:pPr>
    </w:p>
    <w:p w14:paraId="0100DE80" w14:textId="50F3A5F3" w:rsidR="00850BE8" w:rsidRPr="002A5410" w:rsidRDefault="00850BE8" w:rsidP="00850BE8">
      <w:pPr>
        <w:pStyle w:val="Prrafodelista1"/>
        <w:numPr>
          <w:ilvl w:val="0"/>
          <w:numId w:val="3"/>
        </w:numPr>
        <w:tabs>
          <w:tab w:val="clear" w:pos="1068"/>
          <w:tab w:val="left" w:pos="720"/>
        </w:tabs>
        <w:ind w:left="0" w:firstLine="0"/>
        <w:jc w:val="both"/>
        <w:rPr>
          <w:rFonts w:eastAsia="MS Mincho"/>
          <w:sz w:val="20"/>
          <w:lang w:val="es-CR"/>
        </w:rPr>
      </w:pPr>
      <w:r w:rsidRPr="008818D3">
        <w:rPr>
          <w:spacing w:val="-4"/>
          <w:sz w:val="20"/>
          <w:szCs w:val="20"/>
          <w:lang w:val="es-MX"/>
        </w:rPr>
        <w:t>E</w:t>
      </w:r>
      <w:r>
        <w:rPr>
          <w:spacing w:val="-4"/>
          <w:sz w:val="20"/>
          <w:szCs w:val="20"/>
          <w:lang w:val="es-MX"/>
        </w:rPr>
        <w:t xml:space="preserve">l </w:t>
      </w:r>
      <w:r w:rsidRPr="00850BE8">
        <w:rPr>
          <w:b/>
          <w:i/>
          <w:spacing w:val="-4"/>
          <w:sz w:val="20"/>
          <w:szCs w:val="20"/>
          <w:lang w:val="es-MX"/>
        </w:rPr>
        <w:t>Estado</w:t>
      </w:r>
      <w:r>
        <w:rPr>
          <w:spacing w:val="-4"/>
          <w:sz w:val="20"/>
          <w:szCs w:val="20"/>
          <w:lang w:val="es-MX"/>
        </w:rPr>
        <w:t>, e</w:t>
      </w:r>
      <w:r w:rsidRPr="008818D3">
        <w:rPr>
          <w:spacing w:val="-4"/>
          <w:sz w:val="20"/>
          <w:szCs w:val="20"/>
          <w:lang w:val="es-MX"/>
        </w:rPr>
        <w:t xml:space="preserve">n su </w:t>
      </w:r>
      <w:r>
        <w:rPr>
          <w:spacing w:val="-4"/>
          <w:sz w:val="20"/>
          <w:szCs w:val="20"/>
          <w:lang w:val="es-MX"/>
        </w:rPr>
        <w:t>informe sobre la</w:t>
      </w:r>
      <w:r w:rsidRPr="002A5410">
        <w:rPr>
          <w:spacing w:val="-4"/>
          <w:sz w:val="20"/>
          <w:szCs w:val="20"/>
          <w:lang w:val="es-MX"/>
        </w:rPr>
        <w:t xml:space="preserve"> ampliación de medidas</w:t>
      </w:r>
      <w:r>
        <w:rPr>
          <w:spacing w:val="-4"/>
          <w:sz w:val="20"/>
          <w:szCs w:val="20"/>
          <w:lang w:val="es-MX"/>
        </w:rPr>
        <w:t>, remitido en respuesta a la situación</w:t>
      </w:r>
      <w:r w:rsidRPr="002A5410">
        <w:rPr>
          <w:spacing w:val="-4"/>
          <w:sz w:val="20"/>
          <w:szCs w:val="20"/>
          <w:lang w:val="es-MX"/>
        </w:rPr>
        <w:t xml:space="preserve"> de la </w:t>
      </w:r>
      <w:r w:rsidRPr="002A5410">
        <w:rPr>
          <w:i/>
          <w:spacing w:val="-4"/>
          <w:sz w:val="20"/>
          <w:szCs w:val="20"/>
          <w:lang w:val="es-MX"/>
        </w:rPr>
        <w:t xml:space="preserve">Comunidad de Esperanza Río Coco </w:t>
      </w:r>
      <w:r>
        <w:rPr>
          <w:spacing w:val="-4"/>
          <w:sz w:val="20"/>
          <w:szCs w:val="20"/>
          <w:lang w:val="es-MX"/>
        </w:rPr>
        <w:t xml:space="preserve">planteada por la Comisión </w:t>
      </w:r>
      <w:r w:rsidRPr="002A5410">
        <w:rPr>
          <w:spacing w:val="-4"/>
          <w:sz w:val="20"/>
          <w:szCs w:val="20"/>
          <w:lang w:val="es-MX"/>
        </w:rPr>
        <w:t>(</w:t>
      </w:r>
      <w:r w:rsidRPr="002A5410">
        <w:rPr>
          <w:i/>
          <w:spacing w:val="-4"/>
          <w:sz w:val="20"/>
          <w:szCs w:val="20"/>
          <w:lang w:val="es-MX"/>
        </w:rPr>
        <w:t xml:space="preserve">supra </w:t>
      </w:r>
      <w:r>
        <w:rPr>
          <w:spacing w:val="-4"/>
          <w:sz w:val="20"/>
          <w:szCs w:val="20"/>
          <w:lang w:val="es-MX"/>
        </w:rPr>
        <w:t>Visto</w:t>
      </w:r>
      <w:r w:rsidRPr="002A5410">
        <w:rPr>
          <w:spacing w:val="-4"/>
          <w:sz w:val="20"/>
          <w:szCs w:val="20"/>
          <w:lang w:val="es-MX"/>
        </w:rPr>
        <w:t xml:space="preserve"> 9)</w:t>
      </w:r>
      <w:r w:rsidRPr="002A5410">
        <w:rPr>
          <w:i/>
          <w:spacing w:val="-4"/>
          <w:sz w:val="20"/>
          <w:szCs w:val="20"/>
          <w:lang w:val="es-MX"/>
        </w:rPr>
        <w:t xml:space="preserve">, </w:t>
      </w:r>
      <w:r w:rsidRPr="002A5410">
        <w:rPr>
          <w:rFonts w:eastAsia="MS Mincho"/>
          <w:sz w:val="20"/>
          <w:lang w:val="es-CR"/>
        </w:rPr>
        <w:t>hizo referencia a las condiciones de seguridad y conflictos que se viven en la zona de la Costa Caribe Norte objeto de las medidas provisionales y a la multiplicidad de factores que indicen en la situación. Además</w:t>
      </w:r>
      <w:r>
        <w:rPr>
          <w:rFonts w:eastAsia="MS Mincho"/>
          <w:sz w:val="20"/>
          <w:lang w:val="es-CR"/>
        </w:rPr>
        <w:t>,</w:t>
      </w:r>
      <w:r w:rsidRPr="00B23996">
        <w:rPr>
          <w:rFonts w:eastAsia="MS Mincho"/>
          <w:sz w:val="20"/>
          <w:lang w:val="es-CR"/>
        </w:rPr>
        <w:t xml:space="preserve"> </w:t>
      </w:r>
      <w:r w:rsidRPr="00B23996">
        <w:rPr>
          <w:spacing w:val="-4"/>
          <w:sz w:val="20"/>
          <w:szCs w:val="20"/>
          <w:lang w:val="es-MX"/>
        </w:rPr>
        <w:t>reafirmó su reconocimiento, oblig</w:t>
      </w:r>
      <w:r w:rsidRPr="002A5410">
        <w:rPr>
          <w:spacing w:val="-4"/>
          <w:sz w:val="20"/>
          <w:szCs w:val="20"/>
          <w:lang w:val="es-MX"/>
        </w:rPr>
        <w:t>ación y compromiso de continuar desarrollando los principios constitucionales de la Carta Magna en los que se declara el reconocimiento a las comunidades originarias y afrodescendientes a su propia identidad, especialmente sus derechos colectivos.</w:t>
      </w:r>
    </w:p>
    <w:p w14:paraId="196478C5" w14:textId="77777777" w:rsidR="00850BE8" w:rsidRPr="00967598" w:rsidRDefault="00850BE8" w:rsidP="00850BE8">
      <w:pPr>
        <w:pStyle w:val="Prrafodelista1"/>
        <w:tabs>
          <w:tab w:val="left" w:pos="720"/>
        </w:tabs>
        <w:jc w:val="both"/>
        <w:rPr>
          <w:rFonts w:eastAsia="MS Mincho"/>
          <w:sz w:val="20"/>
          <w:lang w:val="es-CR"/>
        </w:rPr>
      </w:pPr>
    </w:p>
    <w:p w14:paraId="3E79CDBF" w14:textId="3854E941" w:rsidR="00850BE8" w:rsidRPr="001250F6" w:rsidRDefault="00850BE8" w:rsidP="00850BE8">
      <w:pPr>
        <w:pStyle w:val="Prrafodelista1"/>
        <w:numPr>
          <w:ilvl w:val="0"/>
          <w:numId w:val="3"/>
        </w:numPr>
        <w:tabs>
          <w:tab w:val="clear" w:pos="1068"/>
          <w:tab w:val="left" w:pos="720"/>
        </w:tabs>
        <w:ind w:left="0" w:firstLine="0"/>
        <w:jc w:val="both"/>
        <w:rPr>
          <w:rFonts w:eastAsia="MS Mincho"/>
          <w:sz w:val="20"/>
          <w:lang w:val="es-CR"/>
        </w:rPr>
      </w:pPr>
      <w:r w:rsidRPr="000C401F">
        <w:rPr>
          <w:rFonts w:eastAsia="MS Mincho"/>
          <w:sz w:val="20"/>
          <w:lang w:val="es-CR"/>
        </w:rPr>
        <w:t>En el contexto de</w:t>
      </w:r>
      <w:r w:rsidR="00025F74">
        <w:rPr>
          <w:rFonts w:eastAsia="MS Mincho"/>
          <w:sz w:val="20"/>
          <w:lang w:val="es-CR"/>
        </w:rPr>
        <w:t>l</w:t>
      </w:r>
      <w:r w:rsidRPr="000C401F">
        <w:rPr>
          <w:rFonts w:eastAsia="MS Mincho"/>
          <w:sz w:val="20"/>
          <w:lang w:val="es-CR"/>
        </w:rPr>
        <w:t xml:space="preserve"> restablecimiento y protección de </w:t>
      </w:r>
      <w:r w:rsidR="00025F74">
        <w:rPr>
          <w:rFonts w:eastAsia="MS Mincho"/>
          <w:sz w:val="20"/>
          <w:lang w:val="es-CR"/>
        </w:rPr>
        <w:t xml:space="preserve">los </w:t>
      </w:r>
      <w:r w:rsidRPr="000C401F">
        <w:rPr>
          <w:rFonts w:eastAsia="MS Mincho"/>
          <w:sz w:val="20"/>
          <w:lang w:val="es-CR"/>
        </w:rPr>
        <w:t xml:space="preserve">derechos humanos aludido, y en relación con la </w:t>
      </w:r>
      <w:r w:rsidRPr="008818D3">
        <w:rPr>
          <w:rFonts w:eastAsia="MS Mincho"/>
          <w:sz w:val="20"/>
          <w:lang w:val="es-CR"/>
        </w:rPr>
        <w:t xml:space="preserve">situación particular de la </w:t>
      </w:r>
      <w:r w:rsidRPr="008818D3">
        <w:rPr>
          <w:rFonts w:eastAsia="MS Mincho"/>
          <w:i/>
          <w:sz w:val="20"/>
          <w:lang w:val="es-CR"/>
        </w:rPr>
        <w:t>Comunidad Indígena de Esperanza Río Coco</w:t>
      </w:r>
      <w:r>
        <w:rPr>
          <w:rFonts w:eastAsia="MS Mincho"/>
          <w:i/>
          <w:sz w:val="20"/>
          <w:lang w:val="es-CR"/>
        </w:rPr>
        <w:t>,</w:t>
      </w:r>
      <w:r w:rsidRPr="002A5410">
        <w:rPr>
          <w:rFonts w:eastAsia="MS Mincho"/>
          <w:i/>
          <w:sz w:val="20"/>
          <w:lang w:val="es-CR"/>
        </w:rPr>
        <w:t xml:space="preserve"> </w:t>
      </w:r>
      <w:r w:rsidRPr="00DB0476">
        <w:rPr>
          <w:rFonts w:eastAsia="MS Mincho"/>
          <w:sz w:val="20"/>
          <w:lang w:val="es-CR"/>
        </w:rPr>
        <w:t>el Estado</w:t>
      </w:r>
      <w:r>
        <w:rPr>
          <w:rFonts w:eastAsia="MS Mincho"/>
          <w:sz w:val="20"/>
          <w:lang w:val="es-CR"/>
        </w:rPr>
        <w:t>,</w:t>
      </w:r>
      <w:r w:rsidRPr="00DB0476">
        <w:rPr>
          <w:rFonts w:eastAsia="MS Mincho"/>
          <w:sz w:val="20"/>
          <w:lang w:val="es-CR"/>
        </w:rPr>
        <w:t xml:space="preserve"> </w:t>
      </w:r>
      <w:r w:rsidRPr="002A5410">
        <w:rPr>
          <w:rFonts w:eastAsia="MS Mincho"/>
          <w:sz w:val="20"/>
          <w:lang w:val="es-CR"/>
        </w:rPr>
        <w:t xml:space="preserve">en su contestación, </w:t>
      </w:r>
      <w:r w:rsidRPr="002A5410">
        <w:rPr>
          <w:spacing w:val="-4"/>
          <w:sz w:val="20"/>
          <w:szCs w:val="20"/>
          <w:lang w:val="es-MX"/>
        </w:rPr>
        <w:t xml:space="preserve">comunicó que </w:t>
      </w:r>
      <w:r w:rsidR="00025F74">
        <w:rPr>
          <w:spacing w:val="-4"/>
          <w:sz w:val="20"/>
          <w:szCs w:val="20"/>
          <w:lang w:val="es-MX"/>
        </w:rPr>
        <w:t>esta comunidad</w:t>
      </w:r>
      <w:r w:rsidRPr="002A5410">
        <w:rPr>
          <w:spacing w:val="-4"/>
          <w:sz w:val="20"/>
          <w:szCs w:val="20"/>
          <w:lang w:val="es-MX"/>
        </w:rPr>
        <w:t xml:space="preserve"> se </w:t>
      </w:r>
      <w:r w:rsidR="00025F74">
        <w:rPr>
          <w:spacing w:val="-4"/>
          <w:sz w:val="20"/>
          <w:szCs w:val="20"/>
          <w:lang w:val="es-MX"/>
        </w:rPr>
        <w:t>ha incluido</w:t>
      </w:r>
      <w:r w:rsidRPr="002A5410">
        <w:rPr>
          <w:spacing w:val="-4"/>
          <w:sz w:val="20"/>
          <w:szCs w:val="20"/>
          <w:lang w:val="es-MX"/>
        </w:rPr>
        <w:t xml:space="preserve"> dentro de las </w:t>
      </w:r>
      <w:r>
        <w:rPr>
          <w:spacing w:val="-4"/>
          <w:sz w:val="20"/>
          <w:szCs w:val="20"/>
          <w:lang w:val="es-MX"/>
        </w:rPr>
        <w:t>“</w:t>
      </w:r>
      <w:r w:rsidRPr="002A5410">
        <w:rPr>
          <w:spacing w:val="-4"/>
          <w:sz w:val="20"/>
          <w:szCs w:val="20"/>
          <w:lang w:val="es-MX"/>
        </w:rPr>
        <w:t>[a]</w:t>
      </w:r>
      <w:proofErr w:type="spellStart"/>
      <w:r w:rsidRPr="001250F6">
        <w:rPr>
          <w:spacing w:val="-4"/>
          <w:sz w:val="20"/>
          <w:szCs w:val="20"/>
          <w:lang w:val="es-MX"/>
        </w:rPr>
        <w:t>cciones</w:t>
      </w:r>
      <w:proofErr w:type="spellEnd"/>
      <w:r w:rsidRPr="001250F6">
        <w:rPr>
          <w:spacing w:val="-4"/>
          <w:sz w:val="20"/>
          <w:szCs w:val="20"/>
          <w:lang w:val="es-MX"/>
        </w:rPr>
        <w:t xml:space="preserve"> contra la violencia para proteger y garantizar el respeto a la vida e integridad personal y territorial e identidad cultural del pueblo indígena </w:t>
      </w:r>
      <w:proofErr w:type="spellStart"/>
      <w:r w:rsidRPr="001250F6">
        <w:rPr>
          <w:spacing w:val="-4"/>
          <w:sz w:val="20"/>
          <w:szCs w:val="20"/>
          <w:lang w:val="es-MX"/>
        </w:rPr>
        <w:t>Miskitu</w:t>
      </w:r>
      <w:proofErr w:type="spellEnd"/>
      <w:r w:rsidRPr="001250F6">
        <w:rPr>
          <w:spacing w:val="-4"/>
          <w:sz w:val="20"/>
          <w:szCs w:val="20"/>
          <w:lang w:val="es-MX"/>
        </w:rPr>
        <w:t>”</w:t>
      </w:r>
      <w:r w:rsidRPr="00967598">
        <w:rPr>
          <w:spacing w:val="-4"/>
          <w:sz w:val="20"/>
          <w:szCs w:val="20"/>
          <w:lang w:val="es-MX"/>
        </w:rPr>
        <w:t xml:space="preserve"> </w:t>
      </w:r>
      <w:r w:rsidR="00025F74" w:rsidRPr="001250F6">
        <w:rPr>
          <w:spacing w:val="-4"/>
          <w:sz w:val="20"/>
          <w:szCs w:val="20"/>
          <w:lang w:val="es-MX"/>
        </w:rPr>
        <w:t>(</w:t>
      </w:r>
      <w:r w:rsidR="00025F74">
        <w:rPr>
          <w:i/>
          <w:spacing w:val="-4"/>
          <w:sz w:val="20"/>
          <w:szCs w:val="20"/>
          <w:lang w:val="es-MX"/>
        </w:rPr>
        <w:t xml:space="preserve">infra </w:t>
      </w:r>
      <w:r w:rsidR="00025F74">
        <w:rPr>
          <w:spacing w:val="-4"/>
          <w:sz w:val="20"/>
          <w:szCs w:val="20"/>
          <w:lang w:val="es-MX"/>
        </w:rPr>
        <w:t xml:space="preserve">Considerando </w:t>
      </w:r>
      <w:r w:rsidR="003B3581">
        <w:rPr>
          <w:spacing w:val="-4"/>
          <w:sz w:val="20"/>
          <w:szCs w:val="20"/>
          <w:lang w:val="es-MX"/>
        </w:rPr>
        <w:t>24</w:t>
      </w:r>
      <w:r w:rsidR="003B3581" w:rsidRPr="001250F6">
        <w:rPr>
          <w:spacing w:val="-4"/>
          <w:sz w:val="20"/>
          <w:szCs w:val="20"/>
          <w:lang w:val="es-MX"/>
        </w:rPr>
        <w:t>)</w:t>
      </w:r>
      <w:r w:rsidR="003B3581" w:rsidRPr="001250F6">
        <w:rPr>
          <w:b/>
          <w:spacing w:val="-4"/>
          <w:sz w:val="20"/>
          <w:szCs w:val="20"/>
          <w:lang w:val="es-MX"/>
        </w:rPr>
        <w:t xml:space="preserve"> </w:t>
      </w:r>
      <w:r w:rsidRPr="00967598">
        <w:rPr>
          <w:spacing w:val="-4"/>
          <w:sz w:val="20"/>
          <w:szCs w:val="20"/>
          <w:lang w:val="es-MX"/>
        </w:rPr>
        <w:t xml:space="preserve">puestas en conocimiento de la Corte en el </w:t>
      </w:r>
      <w:r w:rsidRPr="000C401F">
        <w:rPr>
          <w:spacing w:val="-4"/>
          <w:sz w:val="20"/>
          <w:szCs w:val="20"/>
          <w:lang w:val="es-MX"/>
        </w:rPr>
        <w:t>Informe remitido en atención a las medidas dispuestas por est</w:t>
      </w:r>
      <w:r>
        <w:rPr>
          <w:spacing w:val="-4"/>
          <w:sz w:val="20"/>
          <w:szCs w:val="20"/>
          <w:lang w:val="es-MX"/>
        </w:rPr>
        <w:t>e Tribunal</w:t>
      </w:r>
      <w:r w:rsidRPr="001250F6">
        <w:rPr>
          <w:spacing w:val="-4"/>
          <w:sz w:val="20"/>
          <w:szCs w:val="20"/>
          <w:lang w:val="es-MX"/>
        </w:rPr>
        <w:t xml:space="preserve"> </w:t>
      </w:r>
      <w:r w:rsidRPr="001250F6">
        <w:rPr>
          <w:rFonts w:eastAsia="MS Mincho"/>
          <w:sz w:val="20"/>
          <w:lang w:val="es-CR"/>
        </w:rPr>
        <w:t xml:space="preserve">. </w:t>
      </w:r>
    </w:p>
    <w:p w14:paraId="57AF1CC9" w14:textId="52D6F198" w:rsidR="00850BE8" w:rsidRDefault="00850BE8" w:rsidP="00850BE8">
      <w:pPr>
        <w:pStyle w:val="Prrafodelista1"/>
        <w:ind w:left="720"/>
        <w:jc w:val="both"/>
        <w:rPr>
          <w:rFonts w:eastAsia="MS Mincho"/>
          <w:b/>
          <w:sz w:val="20"/>
          <w:szCs w:val="20"/>
          <w:lang w:val="es-CR"/>
        </w:rPr>
      </w:pPr>
    </w:p>
    <w:p w14:paraId="0982C1A6" w14:textId="79963F81" w:rsidR="00850BE8" w:rsidRPr="00117231" w:rsidRDefault="00850BE8" w:rsidP="00850BE8">
      <w:pPr>
        <w:pStyle w:val="Prrafodelista1"/>
        <w:numPr>
          <w:ilvl w:val="0"/>
          <w:numId w:val="3"/>
        </w:numPr>
        <w:tabs>
          <w:tab w:val="clear" w:pos="1068"/>
          <w:tab w:val="left" w:pos="720"/>
        </w:tabs>
        <w:ind w:left="0" w:firstLine="0"/>
        <w:jc w:val="both"/>
        <w:rPr>
          <w:spacing w:val="-4"/>
          <w:sz w:val="20"/>
          <w:szCs w:val="20"/>
          <w:lang w:val="es-MX"/>
        </w:rPr>
      </w:pPr>
      <w:r w:rsidRPr="00117231">
        <w:rPr>
          <w:spacing w:val="-4"/>
          <w:sz w:val="20"/>
          <w:szCs w:val="20"/>
          <w:lang w:val="es-MX"/>
        </w:rPr>
        <w:t xml:space="preserve">Los </w:t>
      </w:r>
      <w:r w:rsidRPr="00850BE8">
        <w:rPr>
          <w:b/>
          <w:i/>
          <w:spacing w:val="-4"/>
          <w:sz w:val="20"/>
          <w:szCs w:val="20"/>
          <w:lang w:val="es-MX"/>
        </w:rPr>
        <w:t>representantes</w:t>
      </w:r>
      <w:r w:rsidRPr="00117231">
        <w:rPr>
          <w:spacing w:val="-4"/>
          <w:sz w:val="20"/>
          <w:szCs w:val="20"/>
          <w:lang w:val="es-MX"/>
        </w:rPr>
        <w:t xml:space="preserve"> consideraron que </w:t>
      </w:r>
      <w:r>
        <w:rPr>
          <w:spacing w:val="-4"/>
          <w:sz w:val="20"/>
          <w:szCs w:val="20"/>
          <w:lang w:val="es-MX"/>
        </w:rPr>
        <w:t xml:space="preserve">en </w:t>
      </w:r>
      <w:r w:rsidRPr="00117231">
        <w:rPr>
          <w:spacing w:val="-4"/>
          <w:sz w:val="20"/>
          <w:szCs w:val="20"/>
          <w:lang w:val="es-MX"/>
        </w:rPr>
        <w:t>el</w:t>
      </w:r>
      <w:r>
        <w:rPr>
          <w:spacing w:val="-4"/>
          <w:sz w:val="20"/>
          <w:szCs w:val="20"/>
          <w:lang w:val="es-MX"/>
        </w:rPr>
        <w:t xml:space="preserve"> informe aportado por el Estado</w:t>
      </w:r>
      <w:r w:rsidRPr="00117231">
        <w:rPr>
          <w:spacing w:val="-4"/>
          <w:sz w:val="20"/>
          <w:szCs w:val="20"/>
          <w:lang w:val="es-MX"/>
        </w:rPr>
        <w:t xml:space="preserve"> respecto de la situación reportada por la Comisión para la ampliación de las medidas provisionales </w:t>
      </w:r>
      <w:r w:rsidR="004831A7">
        <w:rPr>
          <w:spacing w:val="-4"/>
          <w:sz w:val="20"/>
          <w:szCs w:val="20"/>
          <w:lang w:val="es-MX"/>
        </w:rPr>
        <w:t>no</w:t>
      </w:r>
      <w:r w:rsidRPr="00117231">
        <w:rPr>
          <w:spacing w:val="-4"/>
          <w:sz w:val="20"/>
          <w:szCs w:val="20"/>
          <w:lang w:val="es-MX"/>
        </w:rPr>
        <w:t xml:space="preserve"> </w:t>
      </w:r>
      <w:r w:rsidR="003B3581">
        <w:rPr>
          <w:spacing w:val="-4"/>
          <w:sz w:val="20"/>
          <w:szCs w:val="20"/>
          <w:lang w:val="es-MX"/>
        </w:rPr>
        <w:t xml:space="preserve">aporta información completa y pormenorizada sobre las actuaciones supuestamente realizadas para erradicar la violencia y garantizar el ejercicio de los derechos humanos de las personas que integran la comunidad de </w:t>
      </w:r>
      <w:r w:rsidR="003B3581">
        <w:rPr>
          <w:i/>
          <w:spacing w:val="-4"/>
          <w:sz w:val="20"/>
          <w:szCs w:val="20"/>
          <w:lang w:val="es-MX"/>
        </w:rPr>
        <w:t xml:space="preserve">Esperanza Río Coco, </w:t>
      </w:r>
      <w:r w:rsidR="003B3581">
        <w:rPr>
          <w:spacing w:val="-4"/>
          <w:sz w:val="20"/>
          <w:szCs w:val="20"/>
          <w:lang w:val="es-MX"/>
        </w:rPr>
        <w:t xml:space="preserve">ni </w:t>
      </w:r>
      <w:r w:rsidRPr="00117231">
        <w:rPr>
          <w:spacing w:val="-4"/>
          <w:sz w:val="20"/>
          <w:szCs w:val="20"/>
          <w:lang w:val="es-MX"/>
        </w:rPr>
        <w:t>se hace referencia específica, cierta, actual y detallada de los hechos de violencia que han sido denunciados.</w:t>
      </w:r>
      <w:r>
        <w:rPr>
          <w:spacing w:val="-4"/>
          <w:sz w:val="20"/>
          <w:szCs w:val="20"/>
          <w:lang w:val="es-MX"/>
        </w:rPr>
        <w:t xml:space="preserve"> </w:t>
      </w:r>
    </w:p>
    <w:p w14:paraId="784BC65B" w14:textId="77777777" w:rsidR="00850BE8" w:rsidRDefault="00850BE8" w:rsidP="00850BE8">
      <w:pPr>
        <w:pStyle w:val="ListParagraph"/>
        <w:rPr>
          <w:rFonts w:eastAsia="MS Mincho"/>
          <w:b/>
          <w:i/>
          <w:sz w:val="20"/>
        </w:rPr>
      </w:pPr>
    </w:p>
    <w:p w14:paraId="0E059516" w14:textId="08E9AEA1" w:rsidR="00850BE8" w:rsidRPr="00117231" w:rsidRDefault="00025F74" w:rsidP="00850BE8">
      <w:pPr>
        <w:pStyle w:val="Prrafodelista1"/>
        <w:numPr>
          <w:ilvl w:val="0"/>
          <w:numId w:val="3"/>
        </w:numPr>
        <w:tabs>
          <w:tab w:val="clear" w:pos="1068"/>
          <w:tab w:val="left" w:pos="720"/>
        </w:tabs>
        <w:ind w:left="0" w:firstLine="0"/>
        <w:jc w:val="both"/>
        <w:rPr>
          <w:rFonts w:eastAsia="MS Mincho"/>
          <w:i/>
          <w:sz w:val="20"/>
        </w:rPr>
      </w:pPr>
      <w:r>
        <w:rPr>
          <w:rFonts w:eastAsia="MS Mincho"/>
          <w:sz w:val="20"/>
        </w:rPr>
        <w:t>R</w:t>
      </w:r>
      <w:r w:rsidR="00850BE8" w:rsidRPr="00117231">
        <w:rPr>
          <w:rFonts w:eastAsia="MS Mincho"/>
          <w:sz w:val="20"/>
        </w:rPr>
        <w:t xml:space="preserve">especto de la situación denunciada por los </w:t>
      </w:r>
      <w:r w:rsidR="00850BE8" w:rsidRPr="00025F74">
        <w:rPr>
          <w:rFonts w:eastAsia="MS Mincho"/>
          <w:sz w:val="20"/>
        </w:rPr>
        <w:t>representantes</w:t>
      </w:r>
      <w:r w:rsidR="00850BE8" w:rsidRPr="00117231">
        <w:rPr>
          <w:rFonts w:eastAsia="MS Mincho"/>
          <w:sz w:val="20"/>
        </w:rPr>
        <w:t xml:space="preserve"> a la Comisión</w:t>
      </w:r>
      <w:r w:rsidR="004E3598">
        <w:rPr>
          <w:rFonts w:eastAsia="MS Mincho"/>
          <w:sz w:val="20"/>
        </w:rPr>
        <w:t>,</w:t>
      </w:r>
      <w:r w:rsidR="00850BE8" w:rsidRPr="00117231">
        <w:rPr>
          <w:rFonts w:eastAsia="MS Mincho"/>
          <w:sz w:val="20"/>
        </w:rPr>
        <w:t xml:space="preserve"> manifestaron que desconocen si se han realizado investigaciones sobre tales hechos pues, según la información recabada por </w:t>
      </w:r>
      <w:r w:rsidR="00850BE8">
        <w:rPr>
          <w:rFonts w:eastAsia="MS Mincho"/>
          <w:sz w:val="20"/>
        </w:rPr>
        <w:t>el CEJUDHCAN</w:t>
      </w:r>
      <w:r w:rsidR="00850BE8" w:rsidRPr="00117231">
        <w:rPr>
          <w:rFonts w:eastAsia="MS Mincho"/>
          <w:sz w:val="20"/>
        </w:rPr>
        <w:t>, la Policía Nacional no se ha presentado ante la comunidad. Manifestaron que la comunidad y los familiares de las personas víctimas de las emboscadas, muertes y secuestros no han recibido apoyo por parte de la Policía Nacional para la investigación de los hechos</w:t>
      </w:r>
      <w:r w:rsidR="00850BE8">
        <w:rPr>
          <w:rFonts w:eastAsia="MS Mincho"/>
          <w:sz w:val="20"/>
        </w:rPr>
        <w:t>.</w:t>
      </w:r>
      <w:r w:rsidR="00850BE8" w:rsidRPr="00117231">
        <w:rPr>
          <w:rFonts w:eastAsia="MS Mincho"/>
          <w:sz w:val="20"/>
        </w:rPr>
        <w:t xml:space="preserve"> </w:t>
      </w:r>
    </w:p>
    <w:p w14:paraId="0735226B" w14:textId="77777777" w:rsidR="00850BE8" w:rsidRDefault="00850BE8" w:rsidP="00850BE8">
      <w:pPr>
        <w:pStyle w:val="ListParagraph"/>
        <w:rPr>
          <w:rFonts w:eastAsia="MS Mincho"/>
          <w:i/>
          <w:sz w:val="20"/>
        </w:rPr>
      </w:pPr>
    </w:p>
    <w:p w14:paraId="1C7629E8" w14:textId="45E559A0" w:rsidR="00850BE8" w:rsidRPr="00117231" w:rsidRDefault="00850BE8" w:rsidP="00850BE8">
      <w:pPr>
        <w:pStyle w:val="Prrafodelista1"/>
        <w:numPr>
          <w:ilvl w:val="0"/>
          <w:numId w:val="3"/>
        </w:numPr>
        <w:tabs>
          <w:tab w:val="clear" w:pos="1068"/>
          <w:tab w:val="left" w:pos="720"/>
        </w:tabs>
        <w:ind w:left="0" w:firstLine="0"/>
        <w:jc w:val="both"/>
        <w:rPr>
          <w:rFonts w:eastAsia="MS Mincho"/>
          <w:i/>
          <w:sz w:val="20"/>
        </w:rPr>
      </w:pPr>
      <w:r>
        <w:rPr>
          <w:rFonts w:eastAsia="MS Mincho"/>
          <w:sz w:val="20"/>
        </w:rPr>
        <w:t xml:space="preserve">En relación con la situación de extrema gravedad y urgencia que existe, constatada por los nuevos hechos acontecidos, los representantes requirieron a la Corte que se amplíen las medidas provisionales a favor de la </w:t>
      </w:r>
      <w:r w:rsidRPr="00947352">
        <w:rPr>
          <w:rFonts w:eastAsia="MS Mincho"/>
          <w:i/>
          <w:sz w:val="20"/>
        </w:rPr>
        <w:t xml:space="preserve">Comunidad de </w:t>
      </w:r>
      <w:r w:rsidRPr="00117231">
        <w:rPr>
          <w:rFonts w:eastAsia="MS Mincho"/>
          <w:i/>
          <w:sz w:val="20"/>
        </w:rPr>
        <w:t>Esperanza Río Coco</w:t>
      </w:r>
      <w:r>
        <w:rPr>
          <w:rFonts w:eastAsia="MS Mincho"/>
          <w:sz w:val="20"/>
        </w:rPr>
        <w:t xml:space="preserve">. </w:t>
      </w:r>
    </w:p>
    <w:p w14:paraId="6AE25FD1" w14:textId="77777777" w:rsidR="00850BE8" w:rsidRDefault="00850BE8" w:rsidP="00850BE8">
      <w:pPr>
        <w:pStyle w:val="Prrafodelista1"/>
        <w:ind w:left="720"/>
        <w:jc w:val="both"/>
        <w:rPr>
          <w:rFonts w:eastAsia="MS Mincho"/>
          <w:b/>
          <w:sz w:val="20"/>
          <w:szCs w:val="20"/>
        </w:rPr>
      </w:pPr>
    </w:p>
    <w:p w14:paraId="597BB4E5" w14:textId="77777777" w:rsidR="00DE1DA0" w:rsidRDefault="00DE1DA0" w:rsidP="00DE1DA0">
      <w:pPr>
        <w:pStyle w:val="Prrafodelista1"/>
        <w:widowControl w:val="0"/>
        <w:autoSpaceDE w:val="0"/>
        <w:autoSpaceDN w:val="0"/>
        <w:adjustRightInd w:val="0"/>
        <w:jc w:val="both"/>
        <w:rPr>
          <w:rFonts w:cs="Verdana"/>
          <w:b/>
          <w:i/>
          <w:sz w:val="20"/>
          <w:szCs w:val="20"/>
          <w:lang w:val="es-MX"/>
        </w:rPr>
      </w:pPr>
      <w:r>
        <w:rPr>
          <w:rFonts w:cs="Verdana"/>
          <w:b/>
          <w:i/>
          <w:sz w:val="20"/>
          <w:szCs w:val="20"/>
          <w:lang w:val="es-MX"/>
        </w:rPr>
        <w:t xml:space="preserve">Consideraciones de la Corte </w:t>
      </w:r>
    </w:p>
    <w:p w14:paraId="79D78B48" w14:textId="77777777" w:rsidR="00DE1DA0" w:rsidRDefault="00DE1DA0" w:rsidP="00DE1DA0">
      <w:pPr>
        <w:pStyle w:val="Prrafodelista1"/>
        <w:tabs>
          <w:tab w:val="left" w:pos="720"/>
        </w:tabs>
        <w:jc w:val="both"/>
        <w:rPr>
          <w:sz w:val="20"/>
          <w:szCs w:val="20"/>
        </w:rPr>
      </w:pPr>
    </w:p>
    <w:p w14:paraId="5D073E0B" w14:textId="54C16A4A" w:rsidR="00DE1DA0" w:rsidRPr="000C401F" w:rsidRDefault="00DE1DA0" w:rsidP="00DE1DA0">
      <w:pPr>
        <w:pStyle w:val="Prrafodelista1"/>
        <w:numPr>
          <w:ilvl w:val="0"/>
          <w:numId w:val="3"/>
        </w:numPr>
        <w:tabs>
          <w:tab w:val="clear" w:pos="1068"/>
          <w:tab w:val="left" w:pos="720"/>
        </w:tabs>
        <w:ind w:left="0" w:firstLine="0"/>
        <w:jc w:val="both"/>
        <w:rPr>
          <w:sz w:val="20"/>
          <w:szCs w:val="20"/>
        </w:rPr>
      </w:pPr>
      <w:r>
        <w:rPr>
          <w:sz w:val="20"/>
          <w:szCs w:val="20"/>
        </w:rPr>
        <w:t xml:space="preserve">En </w:t>
      </w:r>
      <w:r w:rsidRPr="008818D3">
        <w:rPr>
          <w:sz w:val="20"/>
          <w:szCs w:val="20"/>
        </w:rPr>
        <w:t>la Resolución de 1 de septiembre de 2016 la Corte tomó nota del contexto de violencia presentado en la región Costa Caribe Norte de Nicaragua, así como el recrudecimiento de la situación presentada desde el año 2015 hasta la fecha. En particular, con motivo de los hechos acontecidos en la solicitud inicial de medidas provisionales, especialmente: supuestos secuestros, asesinatos, agresiones sexuales, amenazas, incendios de viviendas, robos, emboscadas y ataques a pobladores, y con motivo de ello el abandono de diversas comunidades por sus pobladores</w:t>
      </w:r>
      <w:r w:rsidRPr="000C401F">
        <w:rPr>
          <w:rStyle w:val="FootnoteReference"/>
          <w:sz w:val="20"/>
          <w:szCs w:val="20"/>
        </w:rPr>
        <w:footnoteReference w:id="6"/>
      </w:r>
      <w:r w:rsidRPr="000C401F">
        <w:rPr>
          <w:sz w:val="20"/>
          <w:szCs w:val="20"/>
        </w:rPr>
        <w:t>. En dicha resolución se consideró que los hechos expuestos “</w:t>
      </w:r>
      <w:proofErr w:type="gramStart"/>
      <w:r w:rsidRPr="000C401F">
        <w:rPr>
          <w:sz w:val="20"/>
          <w:szCs w:val="20"/>
        </w:rPr>
        <w:t>refleja</w:t>
      </w:r>
      <w:r w:rsidRPr="008818D3">
        <w:rPr>
          <w:sz w:val="20"/>
          <w:szCs w:val="20"/>
        </w:rPr>
        <w:t>[</w:t>
      </w:r>
      <w:proofErr w:type="spellStart"/>
      <w:proofErr w:type="gramEnd"/>
      <w:r w:rsidRPr="008818D3">
        <w:rPr>
          <w:sz w:val="20"/>
          <w:szCs w:val="20"/>
        </w:rPr>
        <w:t>ban</w:t>
      </w:r>
      <w:proofErr w:type="spellEnd"/>
      <w:r w:rsidRPr="008818D3">
        <w:rPr>
          <w:sz w:val="20"/>
          <w:szCs w:val="20"/>
        </w:rPr>
        <w:t xml:space="preserve">] una clara situación de extrema gravedad y urgencia y la </w:t>
      </w:r>
      <w:r w:rsidRPr="008818D3">
        <w:rPr>
          <w:sz w:val="20"/>
          <w:szCs w:val="20"/>
        </w:rPr>
        <w:lastRenderedPageBreak/>
        <w:t xml:space="preserve">posibilidad razonable de que se </w:t>
      </w:r>
      <w:proofErr w:type="spellStart"/>
      <w:r w:rsidRPr="008818D3">
        <w:rPr>
          <w:sz w:val="20"/>
          <w:szCs w:val="20"/>
        </w:rPr>
        <w:t>contin</w:t>
      </w:r>
      <w:proofErr w:type="spellEnd"/>
      <w:r w:rsidRPr="008818D3">
        <w:rPr>
          <w:sz w:val="20"/>
          <w:szCs w:val="20"/>
        </w:rPr>
        <w:t>[</w:t>
      </w:r>
      <w:proofErr w:type="spellStart"/>
      <w:r w:rsidRPr="008818D3">
        <w:rPr>
          <w:sz w:val="20"/>
          <w:szCs w:val="20"/>
        </w:rPr>
        <w:t>uaran</w:t>
      </w:r>
      <w:proofErr w:type="spellEnd"/>
      <w:r w:rsidRPr="008818D3">
        <w:rPr>
          <w:sz w:val="20"/>
          <w:szCs w:val="20"/>
        </w:rPr>
        <w:t>] materializando daños de carácter irreparable”</w:t>
      </w:r>
      <w:r w:rsidRPr="000C401F">
        <w:rPr>
          <w:rStyle w:val="FootnoteReference"/>
          <w:sz w:val="20"/>
          <w:szCs w:val="20"/>
        </w:rPr>
        <w:footnoteReference w:id="7"/>
      </w:r>
      <w:r w:rsidRPr="000C401F">
        <w:rPr>
          <w:sz w:val="20"/>
          <w:szCs w:val="20"/>
        </w:rPr>
        <w:t xml:space="preserve">. </w:t>
      </w:r>
    </w:p>
    <w:p w14:paraId="79E4139E" w14:textId="77777777" w:rsidR="00DE1DA0" w:rsidRPr="008818D3" w:rsidRDefault="00DE1DA0" w:rsidP="00DE1DA0">
      <w:pPr>
        <w:pStyle w:val="Prrafodelista1"/>
        <w:jc w:val="both"/>
        <w:rPr>
          <w:sz w:val="20"/>
          <w:szCs w:val="20"/>
        </w:rPr>
      </w:pPr>
    </w:p>
    <w:p w14:paraId="3DD19C9E" w14:textId="04F0DE91" w:rsidR="00DE1DA0" w:rsidRPr="000C401F" w:rsidRDefault="00DE1DA0" w:rsidP="00DE1DA0">
      <w:pPr>
        <w:pStyle w:val="Prrafodelista1"/>
        <w:numPr>
          <w:ilvl w:val="0"/>
          <w:numId w:val="3"/>
        </w:numPr>
        <w:tabs>
          <w:tab w:val="clear" w:pos="1068"/>
          <w:tab w:val="left" w:pos="720"/>
        </w:tabs>
        <w:ind w:left="0" w:firstLine="0"/>
        <w:jc w:val="both"/>
        <w:rPr>
          <w:sz w:val="20"/>
          <w:lang w:val="es-ES_tradnl"/>
        </w:rPr>
      </w:pPr>
      <w:r w:rsidRPr="008818D3">
        <w:rPr>
          <w:sz w:val="20"/>
          <w:szCs w:val="20"/>
        </w:rPr>
        <w:t xml:space="preserve">Mediante dicha Resolución, la Corte constató que la Comisión solicitó la adopción de medidas provisionales para los pobladores </w:t>
      </w:r>
      <w:r w:rsidRPr="008818D3">
        <w:rPr>
          <w:sz w:val="20"/>
          <w:lang w:val="es-GT"/>
        </w:rPr>
        <w:t>“de cinco comunidades respecto de las cuales [contaba] con información más reciente sobre su situación de riesgo extremo”. La Comisión señaló que</w:t>
      </w:r>
      <w:r w:rsidR="00677991">
        <w:rPr>
          <w:sz w:val="20"/>
          <w:lang w:val="es-GT"/>
        </w:rPr>
        <w:t xml:space="preserve"> requirió</w:t>
      </w:r>
      <w:r w:rsidR="00677991" w:rsidRPr="008818D3">
        <w:rPr>
          <w:sz w:val="20"/>
          <w:lang w:val="es-GT"/>
        </w:rPr>
        <w:t xml:space="preserve"> </w:t>
      </w:r>
      <w:r w:rsidRPr="008818D3">
        <w:rPr>
          <w:sz w:val="20"/>
          <w:lang w:val="es-GT"/>
        </w:rPr>
        <w:t xml:space="preserve">lo anterior, “sin perjuicio de que ante un recrudecimiento del riesgo en las demás comunidades </w:t>
      </w:r>
      <w:proofErr w:type="spellStart"/>
      <w:proofErr w:type="gramStart"/>
      <w:r w:rsidRPr="008818D3">
        <w:rPr>
          <w:sz w:val="20"/>
          <w:lang w:val="es-GT"/>
        </w:rPr>
        <w:t>solicit</w:t>
      </w:r>
      <w:proofErr w:type="spellEnd"/>
      <w:r w:rsidRPr="008818D3">
        <w:rPr>
          <w:sz w:val="20"/>
          <w:lang w:val="es-GT"/>
        </w:rPr>
        <w:t>[</w:t>
      </w:r>
      <w:proofErr w:type="gramEnd"/>
      <w:r w:rsidRPr="008818D3">
        <w:rPr>
          <w:sz w:val="20"/>
          <w:lang w:val="es-GT"/>
        </w:rPr>
        <w:t>ara] una ampliación de las medidas”</w:t>
      </w:r>
      <w:r w:rsidRPr="000C401F">
        <w:rPr>
          <w:rStyle w:val="FootnoteReference"/>
          <w:sz w:val="20"/>
          <w:szCs w:val="20"/>
        </w:rPr>
        <w:footnoteReference w:id="8"/>
      </w:r>
      <w:r w:rsidRPr="000C401F">
        <w:rPr>
          <w:sz w:val="20"/>
          <w:lang w:val="es-GT"/>
        </w:rPr>
        <w:t xml:space="preserve">. </w:t>
      </w:r>
      <w:r w:rsidRPr="000C401F">
        <w:rPr>
          <w:sz w:val="20"/>
          <w:szCs w:val="20"/>
        </w:rPr>
        <w:t xml:space="preserve">Las comunidades que se mantuvieron como beneficiarias de medidas cautelares </w:t>
      </w:r>
      <w:r w:rsidRPr="008818D3">
        <w:rPr>
          <w:sz w:val="20"/>
          <w:szCs w:val="20"/>
        </w:rPr>
        <w:t xml:space="preserve">ante la Comisión fueron: (i) La Esperanza, (ii) Santa Clara, (iii) Santa Fe, (iv) </w:t>
      </w:r>
      <w:r w:rsidRPr="002856E3">
        <w:rPr>
          <w:sz w:val="20"/>
          <w:szCs w:val="20"/>
        </w:rPr>
        <w:t>Esperanza Río Coco,</w:t>
      </w:r>
      <w:r w:rsidRPr="00A73B3B">
        <w:rPr>
          <w:sz w:val="20"/>
          <w:szCs w:val="20"/>
        </w:rPr>
        <w:t xml:space="preserve"> </w:t>
      </w:r>
      <w:r w:rsidRPr="008818D3">
        <w:rPr>
          <w:sz w:val="20"/>
          <w:szCs w:val="20"/>
        </w:rPr>
        <w:t xml:space="preserve">(v) Polo </w:t>
      </w:r>
      <w:proofErr w:type="spellStart"/>
      <w:r w:rsidRPr="008818D3">
        <w:rPr>
          <w:sz w:val="20"/>
          <w:szCs w:val="20"/>
        </w:rPr>
        <w:t>Paiwas</w:t>
      </w:r>
      <w:proofErr w:type="spellEnd"/>
      <w:r w:rsidRPr="008818D3">
        <w:rPr>
          <w:sz w:val="20"/>
          <w:szCs w:val="20"/>
        </w:rPr>
        <w:t>, (vi) el Naranjal y (vii) Cocal</w:t>
      </w:r>
      <w:r w:rsidRPr="000C401F">
        <w:rPr>
          <w:rStyle w:val="FootnoteReference"/>
          <w:sz w:val="20"/>
          <w:szCs w:val="20"/>
        </w:rPr>
        <w:footnoteReference w:id="9"/>
      </w:r>
      <w:r w:rsidRPr="000C401F">
        <w:rPr>
          <w:sz w:val="20"/>
          <w:szCs w:val="20"/>
        </w:rPr>
        <w:t>.</w:t>
      </w:r>
    </w:p>
    <w:p w14:paraId="2D723BC8" w14:textId="77777777" w:rsidR="00DE1DA0" w:rsidRPr="008818D3" w:rsidRDefault="00DE1DA0" w:rsidP="00DE1DA0">
      <w:pPr>
        <w:spacing w:after="0" w:line="240" w:lineRule="auto"/>
        <w:rPr>
          <w:rFonts w:ascii="Verdana" w:eastAsia="MS Mincho" w:hAnsi="Verdana"/>
          <w:b/>
          <w:lang w:val="es-ES"/>
        </w:rPr>
      </w:pPr>
    </w:p>
    <w:p w14:paraId="126C2E18" w14:textId="6C51324B" w:rsidR="00DE1DA0" w:rsidRPr="008818D3" w:rsidRDefault="00DE1DA0" w:rsidP="00DE1DA0">
      <w:pPr>
        <w:pStyle w:val="Prrafodelista1"/>
        <w:numPr>
          <w:ilvl w:val="0"/>
          <w:numId w:val="3"/>
        </w:numPr>
        <w:tabs>
          <w:tab w:val="clear" w:pos="1068"/>
          <w:tab w:val="left" w:pos="720"/>
        </w:tabs>
        <w:ind w:left="0" w:firstLine="0"/>
        <w:jc w:val="both"/>
        <w:rPr>
          <w:sz w:val="20"/>
          <w:szCs w:val="20"/>
        </w:rPr>
      </w:pPr>
      <w:r w:rsidRPr="008818D3">
        <w:rPr>
          <w:sz w:val="20"/>
          <w:szCs w:val="20"/>
        </w:rPr>
        <w:t>Esta Corte ha considerado como un criterio para otorgar la ampliación de medidas provisionales que los hechos alegados en la solicitud tengan una conexión fáctica con los eventos que justificaron la adopción de medidas provisionales</w:t>
      </w:r>
      <w:r w:rsidRPr="008818D3">
        <w:rPr>
          <w:rStyle w:val="FootnoteReference"/>
          <w:sz w:val="20"/>
          <w:szCs w:val="20"/>
        </w:rPr>
        <w:footnoteReference w:id="10"/>
      </w:r>
      <w:r w:rsidRPr="008818D3">
        <w:rPr>
          <w:sz w:val="20"/>
          <w:szCs w:val="20"/>
        </w:rPr>
        <w:t xml:space="preserve">. Además, ha señalado que si bien es cierto los hechos que motivan una solicitud de medidas provisionales o ampliación de las mismas no requieren estar plenamente comprobados, sí se requiere un mínimo de detalle e información que permitan al Tribunal apreciar </w:t>
      </w:r>
      <w:r w:rsidRPr="008818D3">
        <w:rPr>
          <w:i/>
          <w:sz w:val="20"/>
          <w:szCs w:val="20"/>
        </w:rPr>
        <w:t xml:space="preserve">prima facie </w:t>
      </w:r>
      <w:r w:rsidRPr="00095453">
        <w:rPr>
          <w:sz w:val="20"/>
          <w:szCs w:val="20"/>
        </w:rPr>
        <w:t>una situación de extrema gravedad y urgencia</w:t>
      </w:r>
      <w:r w:rsidRPr="008818D3">
        <w:rPr>
          <w:rStyle w:val="FootnoteReference"/>
          <w:sz w:val="20"/>
          <w:szCs w:val="20"/>
        </w:rPr>
        <w:footnoteReference w:id="11"/>
      </w:r>
      <w:r w:rsidRPr="008818D3">
        <w:rPr>
          <w:sz w:val="20"/>
          <w:szCs w:val="20"/>
        </w:rPr>
        <w:t>.</w:t>
      </w:r>
    </w:p>
    <w:p w14:paraId="5B30F84D" w14:textId="77777777" w:rsidR="00DE1DA0" w:rsidRPr="008818D3" w:rsidRDefault="00DE1DA0" w:rsidP="00DE1DA0">
      <w:pPr>
        <w:pStyle w:val="ListParagraph"/>
        <w:rPr>
          <w:rFonts w:ascii="Verdana" w:hAnsi="Verdana"/>
          <w:sz w:val="20"/>
        </w:rPr>
      </w:pPr>
    </w:p>
    <w:p w14:paraId="00B29AE9" w14:textId="5282D38D" w:rsidR="00DE1DA0" w:rsidRPr="008818D3" w:rsidRDefault="00DE1DA0" w:rsidP="00DE1DA0">
      <w:pPr>
        <w:pStyle w:val="Prrafodelista1"/>
        <w:numPr>
          <w:ilvl w:val="0"/>
          <w:numId w:val="3"/>
        </w:numPr>
        <w:tabs>
          <w:tab w:val="clear" w:pos="1068"/>
          <w:tab w:val="left" w:pos="720"/>
        </w:tabs>
        <w:ind w:left="0" w:firstLine="0"/>
        <w:jc w:val="both"/>
        <w:rPr>
          <w:sz w:val="20"/>
          <w:szCs w:val="20"/>
        </w:rPr>
      </w:pPr>
      <w:r w:rsidRPr="00095453">
        <w:rPr>
          <w:sz w:val="20"/>
          <w:szCs w:val="20"/>
        </w:rPr>
        <w:t xml:space="preserve">De la información presentada a este Tribunal, se </w:t>
      </w:r>
      <w:r w:rsidRPr="00B23996">
        <w:rPr>
          <w:sz w:val="20"/>
          <w:szCs w:val="20"/>
        </w:rPr>
        <w:t xml:space="preserve">desprende que el riesgo en la </w:t>
      </w:r>
      <w:r w:rsidRPr="00B23996">
        <w:rPr>
          <w:i/>
          <w:sz w:val="20"/>
          <w:szCs w:val="20"/>
        </w:rPr>
        <w:t>Comunidad de Esperanza Río Coco</w:t>
      </w:r>
      <w:r w:rsidRPr="00967598">
        <w:rPr>
          <w:sz w:val="20"/>
          <w:szCs w:val="20"/>
        </w:rPr>
        <w:t xml:space="preserve"> </w:t>
      </w:r>
      <w:r w:rsidRPr="000C401F">
        <w:rPr>
          <w:sz w:val="20"/>
          <w:szCs w:val="20"/>
        </w:rPr>
        <w:t xml:space="preserve">se ha agravado con hechos </w:t>
      </w:r>
      <w:r w:rsidRPr="008E33D8">
        <w:rPr>
          <w:sz w:val="20"/>
          <w:szCs w:val="20"/>
        </w:rPr>
        <w:t>como el secuestro y posterior asesinato, decapitación y descuartizamiento de dos de sus pobladores</w:t>
      </w:r>
      <w:r w:rsidRPr="008818D3">
        <w:rPr>
          <w:sz w:val="20"/>
          <w:szCs w:val="20"/>
        </w:rPr>
        <w:t xml:space="preserve">. De lo anterior se constatan elementos que reflejan una situación de extrema gravedad y urgencia, con la posibilidad razonable de que se continúen materializando daños irreparables a los derechos a la vida e integridad personal de los miembros de dicha comunidad. En particular, reviste especial atención </w:t>
      </w:r>
      <w:r>
        <w:rPr>
          <w:sz w:val="20"/>
          <w:szCs w:val="20"/>
        </w:rPr>
        <w:t>la situación</w:t>
      </w:r>
      <w:r w:rsidRPr="008818D3">
        <w:rPr>
          <w:sz w:val="20"/>
          <w:szCs w:val="20"/>
        </w:rPr>
        <w:t xml:space="preserve"> del señor </w:t>
      </w:r>
      <w:r w:rsidRPr="008818D3">
        <w:rPr>
          <w:rFonts w:eastAsia="MS Mincho"/>
          <w:sz w:val="20"/>
          <w:szCs w:val="20"/>
        </w:rPr>
        <w:t xml:space="preserve">Eddy Osorio quien, según se desprende de la prueba, </w:t>
      </w:r>
      <w:r w:rsidR="006E490C">
        <w:rPr>
          <w:rFonts w:eastAsia="MS Mincho"/>
          <w:sz w:val="20"/>
          <w:szCs w:val="20"/>
        </w:rPr>
        <w:t xml:space="preserve">habría </w:t>
      </w:r>
      <w:r w:rsidRPr="00992255">
        <w:rPr>
          <w:rFonts w:eastAsia="MS Mincho"/>
          <w:sz w:val="20"/>
          <w:szCs w:val="20"/>
        </w:rPr>
        <w:t>escapa</w:t>
      </w:r>
      <w:r w:rsidR="006C51C5" w:rsidRPr="00992255">
        <w:rPr>
          <w:rFonts w:eastAsia="MS Mincho"/>
          <w:sz w:val="20"/>
          <w:szCs w:val="20"/>
        </w:rPr>
        <w:t xml:space="preserve">do de un intento de secuestro </w:t>
      </w:r>
      <w:r w:rsidRPr="00992255">
        <w:rPr>
          <w:rFonts w:eastAsia="MS Mincho"/>
          <w:sz w:val="20"/>
          <w:szCs w:val="20"/>
        </w:rPr>
        <w:t>para dar aviso</w:t>
      </w:r>
      <w:r w:rsidRPr="008818D3">
        <w:rPr>
          <w:rFonts w:eastAsia="MS Mincho"/>
          <w:sz w:val="20"/>
          <w:szCs w:val="20"/>
        </w:rPr>
        <w:t xml:space="preserve"> a los líderes de la comunidad, lo cual lo coloca en una situación de vulnerabilidad y riesgo. </w:t>
      </w:r>
    </w:p>
    <w:p w14:paraId="5EED9690" w14:textId="77777777" w:rsidR="00DE1DA0" w:rsidRPr="008818D3" w:rsidRDefault="00DE1DA0" w:rsidP="00DE1DA0">
      <w:pPr>
        <w:pStyle w:val="ListParagraph"/>
        <w:rPr>
          <w:rFonts w:ascii="Verdana" w:hAnsi="Verdana"/>
          <w:sz w:val="20"/>
        </w:rPr>
      </w:pPr>
    </w:p>
    <w:p w14:paraId="5BB5FBD0" w14:textId="77777777" w:rsidR="00DE1DA0" w:rsidRPr="008818D3" w:rsidRDefault="00DE1DA0" w:rsidP="00DE1DA0">
      <w:pPr>
        <w:pStyle w:val="Prrafodelista1"/>
        <w:numPr>
          <w:ilvl w:val="0"/>
          <w:numId w:val="3"/>
        </w:numPr>
        <w:tabs>
          <w:tab w:val="clear" w:pos="1068"/>
          <w:tab w:val="left" w:pos="720"/>
        </w:tabs>
        <w:ind w:left="0" w:firstLine="0"/>
        <w:jc w:val="both"/>
        <w:rPr>
          <w:sz w:val="20"/>
          <w:szCs w:val="20"/>
        </w:rPr>
      </w:pPr>
      <w:r w:rsidRPr="008818D3">
        <w:rPr>
          <w:sz w:val="20"/>
          <w:szCs w:val="20"/>
        </w:rPr>
        <w:t xml:space="preserve">Asimismo,  los graves hechos reportados tienen una conexión fáctica con las medidas provisionales otorgadas el 1 de septiembre de 2016 al compartir una fuente común de riesgo, resultante del contexto de violencia presentado en la región Costa Caribe Norte de Nicaragua y la conflictividad existente con terceros o “colonos” en el marco de la reivindicación de los territorios ancestrales del pueblo indígena </w:t>
      </w:r>
      <w:r>
        <w:rPr>
          <w:i/>
          <w:sz w:val="20"/>
          <w:szCs w:val="20"/>
        </w:rPr>
        <w:t>M</w:t>
      </w:r>
      <w:r w:rsidRPr="008818D3">
        <w:rPr>
          <w:i/>
          <w:sz w:val="20"/>
          <w:szCs w:val="20"/>
        </w:rPr>
        <w:t>iskitu</w:t>
      </w:r>
      <w:r w:rsidRPr="008818D3">
        <w:rPr>
          <w:sz w:val="20"/>
          <w:szCs w:val="20"/>
        </w:rPr>
        <w:t xml:space="preserve">, así como los procesos de saneamiento que tienen lugar en dicha zona. </w:t>
      </w:r>
    </w:p>
    <w:p w14:paraId="6F8A3646" w14:textId="77777777" w:rsidR="00DE1DA0" w:rsidRPr="002C4BEB" w:rsidRDefault="00DE1DA0" w:rsidP="00DE1DA0">
      <w:pPr>
        <w:pStyle w:val="ListParagraph"/>
        <w:rPr>
          <w:rFonts w:ascii="Verdana" w:hAnsi="Verdana"/>
          <w:sz w:val="20"/>
        </w:rPr>
      </w:pPr>
    </w:p>
    <w:p w14:paraId="245101DC" w14:textId="6CF2487B" w:rsidR="00DE1DA0" w:rsidRPr="008818D3" w:rsidRDefault="00DE1DA0" w:rsidP="00DE1DA0">
      <w:pPr>
        <w:pStyle w:val="Prrafodelista1"/>
        <w:numPr>
          <w:ilvl w:val="0"/>
          <w:numId w:val="3"/>
        </w:numPr>
        <w:tabs>
          <w:tab w:val="clear" w:pos="1068"/>
          <w:tab w:val="left" w:pos="720"/>
        </w:tabs>
        <w:ind w:left="0" w:firstLine="0"/>
        <w:jc w:val="both"/>
        <w:rPr>
          <w:sz w:val="20"/>
          <w:szCs w:val="20"/>
        </w:rPr>
      </w:pPr>
      <w:r w:rsidRPr="008818D3">
        <w:rPr>
          <w:sz w:val="20"/>
          <w:szCs w:val="20"/>
        </w:rPr>
        <w:t xml:space="preserve">En vista de ello, en aplicación del estándar </w:t>
      </w:r>
      <w:r w:rsidRPr="00095453">
        <w:rPr>
          <w:i/>
          <w:sz w:val="20"/>
          <w:szCs w:val="20"/>
        </w:rPr>
        <w:t xml:space="preserve">prima facie, </w:t>
      </w:r>
      <w:r w:rsidR="003D2798">
        <w:rPr>
          <w:sz w:val="20"/>
          <w:szCs w:val="20"/>
        </w:rPr>
        <w:t xml:space="preserve">este Tribunal considera que </w:t>
      </w:r>
      <w:r w:rsidRPr="00B23996">
        <w:rPr>
          <w:sz w:val="20"/>
          <w:szCs w:val="20"/>
        </w:rPr>
        <w:t xml:space="preserve">se encuentran reunidos los requisitos de extrema gravedad, urgencia y peligro inminente de daño irreparable a los derechos de los miembros de la </w:t>
      </w:r>
      <w:r w:rsidRPr="00967598">
        <w:rPr>
          <w:i/>
          <w:sz w:val="20"/>
          <w:szCs w:val="20"/>
        </w:rPr>
        <w:t xml:space="preserve">Comunidad de Esperanza Río Coco </w:t>
      </w:r>
      <w:r w:rsidRPr="000C401F">
        <w:rPr>
          <w:sz w:val="20"/>
          <w:szCs w:val="20"/>
        </w:rPr>
        <w:t xml:space="preserve">que requiere su protección a través del mecanismo de medidas provisionales. </w:t>
      </w:r>
    </w:p>
    <w:p w14:paraId="52C11416" w14:textId="77777777" w:rsidR="00DE1DA0" w:rsidRPr="008818D3" w:rsidRDefault="00DE1DA0" w:rsidP="00DE1DA0">
      <w:pPr>
        <w:pStyle w:val="Prrafodelista1"/>
        <w:tabs>
          <w:tab w:val="left" w:pos="720"/>
        </w:tabs>
        <w:jc w:val="both"/>
        <w:rPr>
          <w:sz w:val="20"/>
          <w:szCs w:val="20"/>
        </w:rPr>
      </w:pPr>
    </w:p>
    <w:p w14:paraId="542C6E8D" w14:textId="7FFAA522" w:rsidR="00DE1DA0" w:rsidRPr="008818D3" w:rsidRDefault="00DE1DA0" w:rsidP="00DE1DA0">
      <w:pPr>
        <w:pStyle w:val="Prrafodelista1"/>
        <w:numPr>
          <w:ilvl w:val="0"/>
          <w:numId w:val="3"/>
        </w:numPr>
        <w:tabs>
          <w:tab w:val="clear" w:pos="1068"/>
          <w:tab w:val="left" w:pos="720"/>
        </w:tabs>
        <w:ind w:left="0" w:firstLine="0"/>
        <w:jc w:val="both"/>
        <w:rPr>
          <w:sz w:val="20"/>
          <w:szCs w:val="20"/>
        </w:rPr>
      </w:pPr>
      <w:r w:rsidRPr="008818D3">
        <w:rPr>
          <w:rFonts w:eastAsia="MS Mincho"/>
          <w:sz w:val="20"/>
          <w:szCs w:val="20"/>
          <w:lang w:val="es-ES_tradnl"/>
        </w:rPr>
        <w:t xml:space="preserve">Ante estos nuevos hechos </w:t>
      </w:r>
      <w:r w:rsidRPr="008818D3">
        <w:rPr>
          <w:rFonts w:eastAsia="MS Mincho"/>
          <w:sz w:val="20"/>
          <w:szCs w:val="20"/>
        </w:rPr>
        <w:t xml:space="preserve">y el contexto de violencia en el que se presentaron, el cual ha sido constatado por </w:t>
      </w:r>
      <w:r w:rsidR="003D2798">
        <w:rPr>
          <w:rFonts w:eastAsia="MS Mincho"/>
          <w:sz w:val="20"/>
          <w:szCs w:val="20"/>
        </w:rPr>
        <w:t>este Tribunal</w:t>
      </w:r>
      <w:r w:rsidRPr="008818D3">
        <w:rPr>
          <w:rFonts w:eastAsia="MS Mincho"/>
          <w:sz w:val="20"/>
          <w:szCs w:val="20"/>
        </w:rPr>
        <w:t xml:space="preserve"> con anterioridad</w:t>
      </w:r>
      <w:r w:rsidRPr="008818D3">
        <w:rPr>
          <w:rStyle w:val="FootnoteReference"/>
          <w:rFonts w:eastAsia="MS Mincho"/>
          <w:sz w:val="20"/>
          <w:szCs w:val="20"/>
        </w:rPr>
        <w:footnoteReference w:id="12"/>
      </w:r>
      <w:r w:rsidRPr="008818D3">
        <w:rPr>
          <w:rFonts w:eastAsia="MS Mincho"/>
          <w:sz w:val="20"/>
          <w:szCs w:val="20"/>
        </w:rPr>
        <w:t xml:space="preserve">, </w:t>
      </w:r>
      <w:r w:rsidRPr="00B23996">
        <w:rPr>
          <w:rFonts w:eastAsia="MS Mincho"/>
          <w:sz w:val="20"/>
          <w:szCs w:val="20"/>
        </w:rPr>
        <w:t xml:space="preserve">la Corte considera pertinente </w:t>
      </w:r>
      <w:r w:rsidRPr="00967598">
        <w:rPr>
          <w:rFonts w:eastAsia="MS Mincho"/>
          <w:sz w:val="20"/>
          <w:szCs w:val="20"/>
        </w:rPr>
        <w:t>ampliar las</w:t>
      </w:r>
      <w:r w:rsidRPr="000C401F">
        <w:rPr>
          <w:rFonts w:eastAsia="MS Mincho"/>
          <w:sz w:val="20"/>
          <w:szCs w:val="20"/>
        </w:rPr>
        <w:t xml:space="preserve"> medidas provisionales de protección en relación con todos los miem</w:t>
      </w:r>
      <w:r w:rsidRPr="008E33D8">
        <w:rPr>
          <w:rFonts w:eastAsia="MS Mincho"/>
          <w:sz w:val="20"/>
          <w:szCs w:val="20"/>
        </w:rPr>
        <w:t xml:space="preserve">bros del pueblo indígena </w:t>
      </w:r>
      <w:r w:rsidRPr="008818D3">
        <w:rPr>
          <w:rFonts w:eastAsia="MS Mincho"/>
          <w:i/>
          <w:sz w:val="20"/>
          <w:szCs w:val="20"/>
        </w:rPr>
        <w:t xml:space="preserve">Miskitu </w:t>
      </w:r>
      <w:r w:rsidRPr="008818D3">
        <w:rPr>
          <w:rFonts w:eastAsia="MS Mincho"/>
          <w:sz w:val="20"/>
          <w:szCs w:val="20"/>
        </w:rPr>
        <w:t xml:space="preserve">que habitan en la </w:t>
      </w:r>
      <w:r w:rsidRPr="008818D3">
        <w:rPr>
          <w:rFonts w:eastAsia="MS Mincho"/>
          <w:i/>
          <w:sz w:val="20"/>
          <w:szCs w:val="20"/>
        </w:rPr>
        <w:t xml:space="preserve">Comunidad de Esperanza Río Coco, </w:t>
      </w:r>
      <w:r w:rsidRPr="008818D3">
        <w:rPr>
          <w:rFonts w:eastAsia="MS Mincho"/>
          <w:sz w:val="20"/>
          <w:szCs w:val="20"/>
        </w:rPr>
        <w:t>así como respecto de las personas que presuntamente haya</w:t>
      </w:r>
      <w:r>
        <w:rPr>
          <w:rFonts w:eastAsia="MS Mincho"/>
          <w:sz w:val="20"/>
          <w:szCs w:val="20"/>
        </w:rPr>
        <w:t>n</w:t>
      </w:r>
      <w:r w:rsidRPr="008818D3">
        <w:rPr>
          <w:rFonts w:eastAsia="MS Mincho"/>
          <w:sz w:val="20"/>
          <w:szCs w:val="20"/>
        </w:rPr>
        <w:t xml:space="preserve"> tenido que abandonar dicha comunidad y deseen regresar, a fin de garantizar su vida, integridad personal y territorial, seguridad colectiva de todos sus miembros, particularmente las mujeres y los niños y niñas. </w:t>
      </w:r>
    </w:p>
    <w:p w14:paraId="4799F9E7" w14:textId="77777777" w:rsidR="00DE1DA0" w:rsidRPr="008818D3" w:rsidRDefault="00DE1DA0" w:rsidP="00DE1DA0">
      <w:pPr>
        <w:pStyle w:val="Prrafodelista1"/>
        <w:jc w:val="both"/>
        <w:rPr>
          <w:sz w:val="20"/>
          <w:szCs w:val="20"/>
        </w:rPr>
      </w:pPr>
    </w:p>
    <w:p w14:paraId="7914F539" w14:textId="3D88BAA9" w:rsidR="00DE1DA0" w:rsidRPr="00095453" w:rsidRDefault="00DE1DA0" w:rsidP="00DE1DA0">
      <w:pPr>
        <w:pStyle w:val="Prrafodelista1"/>
        <w:numPr>
          <w:ilvl w:val="0"/>
          <w:numId w:val="3"/>
        </w:numPr>
        <w:tabs>
          <w:tab w:val="clear" w:pos="1068"/>
          <w:tab w:val="left" w:pos="720"/>
        </w:tabs>
        <w:ind w:left="0" w:firstLine="0"/>
        <w:jc w:val="both"/>
        <w:rPr>
          <w:sz w:val="20"/>
          <w:szCs w:val="20"/>
          <w:lang w:val="es-CL"/>
        </w:rPr>
      </w:pPr>
      <w:r w:rsidRPr="008818D3">
        <w:rPr>
          <w:sz w:val="20"/>
          <w:szCs w:val="20"/>
          <w:lang w:val="es-ES_tradnl"/>
        </w:rPr>
        <w:t xml:space="preserve"> La Corte reitera que, </w:t>
      </w:r>
      <w:r w:rsidRPr="008818D3">
        <w:rPr>
          <w:rFonts w:eastAsia="MS Mincho"/>
          <w:sz w:val="20"/>
          <w:szCs w:val="20"/>
          <w:lang w:val="es-ES_tradnl"/>
        </w:rPr>
        <w:t>en</w:t>
      </w:r>
      <w:r w:rsidRPr="008818D3">
        <w:rPr>
          <w:sz w:val="20"/>
          <w:szCs w:val="20"/>
          <w:lang w:val="es-ES_tradnl"/>
        </w:rPr>
        <w:t xml:space="preserve"> relación con la particular situación de las otras </w:t>
      </w:r>
      <w:r>
        <w:rPr>
          <w:sz w:val="20"/>
          <w:szCs w:val="20"/>
          <w:lang w:val="es-ES_tradnl"/>
        </w:rPr>
        <w:t>seis</w:t>
      </w:r>
      <w:r w:rsidRPr="00B23996">
        <w:rPr>
          <w:sz w:val="20"/>
          <w:szCs w:val="20"/>
          <w:lang w:val="es-ES_tradnl"/>
        </w:rPr>
        <w:t xml:space="preserve"> </w:t>
      </w:r>
      <w:r w:rsidRPr="00967598">
        <w:rPr>
          <w:sz w:val="20"/>
          <w:szCs w:val="20"/>
          <w:lang w:val="es-ES_tradnl"/>
        </w:rPr>
        <w:t>comunidades señaladas por la Comisión (</w:t>
      </w:r>
      <w:r w:rsidRPr="000C401F">
        <w:rPr>
          <w:i/>
          <w:sz w:val="20"/>
          <w:szCs w:val="20"/>
          <w:lang w:val="es-ES_tradnl"/>
        </w:rPr>
        <w:t>supra</w:t>
      </w:r>
      <w:r w:rsidRPr="000C401F">
        <w:rPr>
          <w:sz w:val="20"/>
          <w:szCs w:val="20"/>
          <w:lang w:val="es-ES_tradnl"/>
        </w:rPr>
        <w:t xml:space="preserve"> </w:t>
      </w:r>
      <w:r w:rsidR="00F13B86">
        <w:rPr>
          <w:sz w:val="20"/>
          <w:szCs w:val="20"/>
          <w:lang w:val="es-ES_tradnl"/>
        </w:rPr>
        <w:t>Considerando 4</w:t>
      </w:r>
      <w:r w:rsidRPr="000C401F">
        <w:rPr>
          <w:sz w:val="20"/>
          <w:szCs w:val="20"/>
          <w:lang w:val="es-ES_tradnl"/>
        </w:rPr>
        <w:t xml:space="preserve">), y que aún no ha sido sometida al conocimiento de esta Corte, </w:t>
      </w:r>
      <w:r w:rsidRPr="008818D3">
        <w:rPr>
          <w:sz w:val="20"/>
          <w:szCs w:val="20"/>
          <w:lang w:val="es-ES_tradnl"/>
        </w:rPr>
        <w:t>el</w:t>
      </w:r>
      <w:r w:rsidRPr="008818D3">
        <w:rPr>
          <w:sz w:val="20"/>
          <w:szCs w:val="20"/>
          <w:lang w:val="es-CL"/>
        </w:rPr>
        <w:t xml:space="preserve"> Estado tiene el deber constante y permanente de cumplir con las obligaciones generales que le corresponden bajo el artículo 1.1 de la Convención, de respetar los derechos y libertades en ella reconocidos y de garantizar su libre y pleno ejercicio a toda persona y/o grupos sujetos a su jurisdicción</w:t>
      </w:r>
      <w:r w:rsidRPr="008818D3">
        <w:rPr>
          <w:sz w:val="20"/>
          <w:szCs w:val="20"/>
          <w:vertAlign w:val="superscript"/>
          <w:lang w:val="es-CL"/>
        </w:rPr>
        <w:footnoteReference w:id="13"/>
      </w:r>
      <w:r w:rsidRPr="008818D3">
        <w:rPr>
          <w:sz w:val="20"/>
          <w:szCs w:val="20"/>
          <w:lang w:val="es-CL"/>
        </w:rPr>
        <w:t xml:space="preserve">. </w:t>
      </w:r>
    </w:p>
    <w:p w14:paraId="34107189" w14:textId="77777777" w:rsidR="00DE1DA0" w:rsidRPr="00967598" w:rsidRDefault="00DE1DA0" w:rsidP="00DE1DA0">
      <w:pPr>
        <w:pStyle w:val="Prrafodelista1"/>
        <w:jc w:val="both"/>
        <w:rPr>
          <w:sz w:val="20"/>
          <w:szCs w:val="20"/>
        </w:rPr>
      </w:pPr>
    </w:p>
    <w:p w14:paraId="75E068E9" w14:textId="14C069A9" w:rsidR="00DE1DA0" w:rsidRPr="002A5410" w:rsidRDefault="004E3598" w:rsidP="00DE1DA0">
      <w:pPr>
        <w:pStyle w:val="Prrafodelista1"/>
        <w:numPr>
          <w:ilvl w:val="0"/>
          <w:numId w:val="3"/>
        </w:numPr>
        <w:tabs>
          <w:tab w:val="clear" w:pos="1068"/>
          <w:tab w:val="left" w:pos="720"/>
        </w:tabs>
        <w:ind w:left="0" w:firstLine="0"/>
        <w:jc w:val="both"/>
        <w:rPr>
          <w:spacing w:val="-4"/>
          <w:sz w:val="20"/>
          <w:szCs w:val="20"/>
          <w:lang w:val="es-MX"/>
        </w:rPr>
      </w:pPr>
      <w:r>
        <w:rPr>
          <w:rFonts w:eastAsia="MS Mincho"/>
          <w:sz w:val="20"/>
          <w:szCs w:val="20"/>
        </w:rPr>
        <w:t>Este Tribunal considera</w:t>
      </w:r>
      <w:r w:rsidR="00DE1DA0" w:rsidRPr="000C401F">
        <w:rPr>
          <w:spacing w:val="-4"/>
          <w:sz w:val="20"/>
          <w:szCs w:val="20"/>
          <w:lang w:val="es-MX"/>
        </w:rPr>
        <w:t xml:space="preserve"> los esfuerzos que está realizando el Estado </w:t>
      </w:r>
      <w:r w:rsidR="00DE1DA0" w:rsidRPr="008E33D8">
        <w:rPr>
          <w:sz w:val="20"/>
          <w:szCs w:val="20"/>
          <w:lang w:val="es-CL"/>
        </w:rPr>
        <w:t xml:space="preserve">de </w:t>
      </w:r>
      <w:r w:rsidR="00DE1DA0" w:rsidRPr="008818D3">
        <w:rPr>
          <w:sz w:val="20"/>
          <w:szCs w:val="20"/>
          <w:lang w:val="es-CL"/>
        </w:rPr>
        <w:t>Nicaragua</w:t>
      </w:r>
      <w:r w:rsidR="00DE1DA0" w:rsidRPr="008818D3">
        <w:rPr>
          <w:spacing w:val="-4"/>
          <w:sz w:val="20"/>
          <w:szCs w:val="20"/>
          <w:lang w:val="es-MX"/>
        </w:rPr>
        <w:t xml:space="preserve"> para proteger y garantizar el respeto a la vida, integridad personal, territorial e identidad cultural de las comunidades </w:t>
      </w:r>
      <w:r w:rsidR="00DE1DA0" w:rsidRPr="008818D3">
        <w:rPr>
          <w:i/>
          <w:spacing w:val="-4"/>
          <w:sz w:val="20"/>
          <w:szCs w:val="20"/>
          <w:lang w:val="es-MX"/>
        </w:rPr>
        <w:t>Miskitu</w:t>
      </w:r>
      <w:r w:rsidR="00DE1DA0" w:rsidRPr="008818D3">
        <w:rPr>
          <w:spacing w:val="-4"/>
          <w:sz w:val="20"/>
          <w:szCs w:val="20"/>
          <w:lang w:val="es-MX"/>
        </w:rPr>
        <w:t xml:space="preserve"> en la Costa Caribe Norte, que constan en el Informe del Estado de la República de Nicaragua sobre las Medidas Provisionales</w:t>
      </w:r>
      <w:r w:rsidR="00DE1DA0">
        <w:rPr>
          <w:spacing w:val="-4"/>
          <w:sz w:val="20"/>
          <w:szCs w:val="20"/>
          <w:lang w:val="es-MX"/>
        </w:rPr>
        <w:t>;</w:t>
      </w:r>
      <w:r w:rsidR="00D22A86">
        <w:rPr>
          <w:spacing w:val="-4"/>
          <w:sz w:val="20"/>
          <w:szCs w:val="20"/>
          <w:lang w:val="es-MX"/>
        </w:rPr>
        <w:t xml:space="preserve"> en el Plan de Atención</w:t>
      </w:r>
      <w:r w:rsidR="00DE1DA0">
        <w:rPr>
          <w:spacing w:val="-4"/>
          <w:sz w:val="20"/>
          <w:szCs w:val="20"/>
          <w:lang w:val="es-MX"/>
        </w:rPr>
        <w:t>, y en el Informe sobre la Ampliación de Medidas Provisionales relacionado con la situación planteada por la Comisión</w:t>
      </w:r>
      <w:r w:rsidR="00DE1DA0" w:rsidRPr="002A5410">
        <w:rPr>
          <w:spacing w:val="-4"/>
          <w:sz w:val="20"/>
          <w:szCs w:val="20"/>
          <w:lang w:val="es-MX"/>
        </w:rPr>
        <w:t xml:space="preserve">. </w:t>
      </w:r>
      <w:r w:rsidR="00DE1DA0">
        <w:rPr>
          <w:spacing w:val="-4"/>
          <w:sz w:val="20"/>
          <w:szCs w:val="20"/>
          <w:lang w:val="es-MX"/>
        </w:rPr>
        <w:t>El Tribunal estima</w:t>
      </w:r>
      <w:r w:rsidR="00DE1DA0" w:rsidRPr="002A5410">
        <w:rPr>
          <w:spacing w:val="-4"/>
          <w:sz w:val="20"/>
          <w:szCs w:val="20"/>
          <w:lang w:val="es-MX"/>
        </w:rPr>
        <w:t xml:space="preserve"> pertinente que el Estado incluya a la </w:t>
      </w:r>
      <w:r w:rsidR="00DE1DA0" w:rsidRPr="002A5410">
        <w:rPr>
          <w:i/>
          <w:spacing w:val="-4"/>
          <w:sz w:val="20"/>
          <w:szCs w:val="20"/>
          <w:lang w:val="es-MX"/>
        </w:rPr>
        <w:t xml:space="preserve">Comunidad de Esperanza Río Coco </w:t>
      </w:r>
      <w:r w:rsidR="00DE1DA0" w:rsidRPr="002A5410">
        <w:rPr>
          <w:spacing w:val="-4"/>
          <w:sz w:val="20"/>
          <w:szCs w:val="20"/>
          <w:lang w:val="es-MX"/>
        </w:rPr>
        <w:t xml:space="preserve">en las </w:t>
      </w:r>
      <w:r>
        <w:rPr>
          <w:spacing w:val="-4"/>
          <w:sz w:val="20"/>
          <w:szCs w:val="20"/>
          <w:lang w:val="es-MX"/>
        </w:rPr>
        <w:t xml:space="preserve">presentes </w:t>
      </w:r>
      <w:r w:rsidR="00DE1DA0" w:rsidRPr="002A5410">
        <w:rPr>
          <w:spacing w:val="-4"/>
          <w:sz w:val="20"/>
          <w:szCs w:val="20"/>
          <w:lang w:val="es-MX"/>
        </w:rPr>
        <w:t>medidas.</w:t>
      </w:r>
    </w:p>
    <w:p w14:paraId="1F2B417A" w14:textId="77777777" w:rsidR="00DE1DA0" w:rsidRPr="00DE1DA0" w:rsidRDefault="00DE1DA0" w:rsidP="00850BE8">
      <w:pPr>
        <w:pStyle w:val="Prrafodelista1"/>
        <w:ind w:left="720"/>
        <w:jc w:val="both"/>
        <w:rPr>
          <w:rFonts w:eastAsia="MS Mincho"/>
          <w:b/>
          <w:sz w:val="20"/>
          <w:szCs w:val="20"/>
          <w:lang w:val="es-MX"/>
        </w:rPr>
      </w:pPr>
    </w:p>
    <w:p w14:paraId="288645E6" w14:textId="1348C0C7" w:rsidR="008416DA" w:rsidRPr="008818D3" w:rsidRDefault="00850BE8" w:rsidP="00850BE8">
      <w:pPr>
        <w:pStyle w:val="ListParagraph"/>
        <w:numPr>
          <w:ilvl w:val="0"/>
          <w:numId w:val="11"/>
        </w:numPr>
        <w:jc w:val="both"/>
        <w:rPr>
          <w:rFonts w:ascii="Verdana" w:eastAsia="MS Mincho" w:hAnsi="Verdana"/>
          <w:b/>
          <w:i/>
          <w:sz w:val="20"/>
        </w:rPr>
      </w:pPr>
      <w:r>
        <w:rPr>
          <w:rFonts w:ascii="Verdana" w:eastAsia="MS Mincho" w:hAnsi="Verdana"/>
          <w:b/>
          <w:i/>
          <w:sz w:val="20"/>
        </w:rPr>
        <w:t xml:space="preserve"> Implementación de las medidas provisionales</w:t>
      </w:r>
    </w:p>
    <w:p w14:paraId="7BC80C69" w14:textId="77777777" w:rsidR="008416DA" w:rsidRDefault="008416DA" w:rsidP="008416DA">
      <w:pPr>
        <w:pStyle w:val="ListParagraph"/>
        <w:rPr>
          <w:rFonts w:ascii="Verdana" w:eastAsia="MS Mincho" w:hAnsi="Verdana"/>
          <w:b/>
          <w:i/>
          <w:sz w:val="20"/>
        </w:rPr>
      </w:pPr>
    </w:p>
    <w:p w14:paraId="0323A067" w14:textId="4C4BDDC1" w:rsidR="008416DA" w:rsidRPr="002409ED" w:rsidRDefault="00D84824" w:rsidP="00B82C88">
      <w:pPr>
        <w:pStyle w:val="Prrafodelista1"/>
        <w:numPr>
          <w:ilvl w:val="0"/>
          <w:numId w:val="3"/>
        </w:numPr>
        <w:tabs>
          <w:tab w:val="clear" w:pos="1068"/>
          <w:tab w:val="left" w:pos="720"/>
        </w:tabs>
        <w:ind w:left="0" w:firstLine="0"/>
        <w:jc w:val="both"/>
        <w:rPr>
          <w:rFonts w:eastAsia="Times"/>
          <w:sz w:val="20"/>
          <w:szCs w:val="20"/>
          <w:lang w:val="es-ES_tradnl"/>
        </w:rPr>
      </w:pPr>
      <w:r w:rsidRPr="00B82C88">
        <w:rPr>
          <w:spacing w:val="-4"/>
          <w:sz w:val="20"/>
          <w:szCs w:val="20"/>
          <w:lang w:val="es-MX"/>
        </w:rPr>
        <w:t>E</w:t>
      </w:r>
      <w:r w:rsidR="00DE1DA0">
        <w:rPr>
          <w:spacing w:val="-4"/>
          <w:sz w:val="20"/>
          <w:szCs w:val="20"/>
          <w:lang w:val="es-MX"/>
        </w:rPr>
        <w:t xml:space="preserve">l </w:t>
      </w:r>
      <w:r w:rsidR="00DE1DA0" w:rsidRPr="00DE1DA0">
        <w:rPr>
          <w:b/>
          <w:i/>
          <w:spacing w:val="-4"/>
          <w:sz w:val="20"/>
          <w:szCs w:val="20"/>
          <w:lang w:val="es-MX"/>
        </w:rPr>
        <w:t>Estado</w:t>
      </w:r>
      <w:r w:rsidR="00DE1DA0">
        <w:rPr>
          <w:spacing w:val="-4"/>
          <w:sz w:val="20"/>
          <w:szCs w:val="20"/>
          <w:lang w:val="es-MX"/>
        </w:rPr>
        <w:t xml:space="preserve"> </w:t>
      </w:r>
      <w:r w:rsidR="00B82C88" w:rsidRPr="002409ED">
        <w:rPr>
          <w:spacing w:val="-4"/>
          <w:sz w:val="20"/>
          <w:szCs w:val="20"/>
          <w:lang w:val="es-MX"/>
        </w:rPr>
        <w:t>in</w:t>
      </w:r>
      <w:r w:rsidR="002409ED">
        <w:rPr>
          <w:spacing w:val="-4"/>
          <w:sz w:val="20"/>
          <w:szCs w:val="20"/>
          <w:lang w:val="es-MX"/>
        </w:rPr>
        <w:t>dicó</w:t>
      </w:r>
      <w:r w:rsidR="004E3598">
        <w:rPr>
          <w:spacing w:val="-4"/>
          <w:sz w:val="20"/>
          <w:szCs w:val="20"/>
          <w:lang w:val="es-MX"/>
        </w:rPr>
        <w:t xml:space="preserve"> </w:t>
      </w:r>
      <w:r w:rsidR="00B82C88" w:rsidRPr="002409ED">
        <w:rPr>
          <w:spacing w:val="-4"/>
          <w:sz w:val="20"/>
          <w:szCs w:val="20"/>
          <w:lang w:val="es-MX"/>
        </w:rPr>
        <w:t>los trabajos que ha venido desarrollando para la creación gradual de condicionales legales, sociales y materiales para garantizar el disfrute de los derechos humanos</w:t>
      </w:r>
      <w:r w:rsidR="006571A2">
        <w:rPr>
          <w:spacing w:val="-4"/>
          <w:sz w:val="20"/>
          <w:szCs w:val="20"/>
          <w:lang w:val="es-MX"/>
        </w:rPr>
        <w:t xml:space="preserve"> de todos los y las nicaragüenses. </w:t>
      </w:r>
      <w:r w:rsidR="00DE1DA0">
        <w:rPr>
          <w:spacing w:val="-4"/>
          <w:sz w:val="20"/>
          <w:szCs w:val="20"/>
          <w:lang w:val="es-MX"/>
        </w:rPr>
        <w:t>E</w:t>
      </w:r>
      <w:r w:rsidR="00887568">
        <w:rPr>
          <w:spacing w:val="-4"/>
          <w:sz w:val="20"/>
          <w:szCs w:val="20"/>
          <w:lang w:val="es-MX"/>
        </w:rPr>
        <w:t xml:space="preserve">n </w:t>
      </w:r>
      <w:r w:rsidR="003C3B27">
        <w:rPr>
          <w:spacing w:val="-4"/>
          <w:sz w:val="20"/>
          <w:szCs w:val="20"/>
          <w:lang w:val="es-MX"/>
        </w:rPr>
        <w:t>su informe sobre implementación de las medidas (</w:t>
      </w:r>
      <w:r w:rsidR="003C3B27">
        <w:rPr>
          <w:i/>
          <w:spacing w:val="-4"/>
          <w:sz w:val="20"/>
          <w:szCs w:val="20"/>
          <w:lang w:val="es-MX"/>
        </w:rPr>
        <w:t xml:space="preserve">supra </w:t>
      </w:r>
      <w:r w:rsidR="003C3B27">
        <w:rPr>
          <w:spacing w:val="-4"/>
          <w:sz w:val="20"/>
          <w:szCs w:val="20"/>
          <w:lang w:val="es-MX"/>
        </w:rPr>
        <w:t>Visto 2)</w:t>
      </w:r>
      <w:r w:rsidR="006571A2">
        <w:rPr>
          <w:spacing w:val="-4"/>
          <w:sz w:val="20"/>
          <w:szCs w:val="20"/>
          <w:lang w:val="es-MX"/>
        </w:rPr>
        <w:t xml:space="preserve"> o</w:t>
      </w:r>
      <w:r w:rsidR="00B82C88" w:rsidRPr="002409ED">
        <w:rPr>
          <w:spacing w:val="-4"/>
          <w:sz w:val="20"/>
          <w:szCs w:val="20"/>
          <w:lang w:val="es-MX"/>
        </w:rPr>
        <w:t xml:space="preserve">freció información </w:t>
      </w:r>
      <w:r w:rsidR="00093845" w:rsidRPr="002409ED">
        <w:rPr>
          <w:spacing w:val="-4"/>
          <w:sz w:val="20"/>
          <w:szCs w:val="20"/>
          <w:lang w:val="es-MX"/>
        </w:rPr>
        <w:t>respecto de los siguientes temas: (i) titulaci</w:t>
      </w:r>
      <w:r w:rsidR="00093845" w:rsidRPr="006571A2">
        <w:rPr>
          <w:spacing w:val="-4"/>
          <w:sz w:val="20"/>
          <w:szCs w:val="20"/>
          <w:lang w:val="es-MX"/>
        </w:rPr>
        <w:t>ón y saneamiento de las propiedades de las comunidades indígenas y afrodescendientes; (ii) seguridad ciudadana, y (iii) acceso a la justic</w:t>
      </w:r>
      <w:r w:rsidR="00D22A86">
        <w:rPr>
          <w:spacing w:val="-4"/>
          <w:sz w:val="20"/>
          <w:szCs w:val="20"/>
          <w:lang w:val="es-MX"/>
        </w:rPr>
        <w:t>ia</w:t>
      </w:r>
      <w:r w:rsidR="00093845" w:rsidRPr="006571A2">
        <w:rPr>
          <w:spacing w:val="-4"/>
          <w:sz w:val="20"/>
          <w:szCs w:val="20"/>
          <w:lang w:val="es-MX"/>
        </w:rPr>
        <w:t>.</w:t>
      </w:r>
      <w:r w:rsidR="00B82C88">
        <w:rPr>
          <w:spacing w:val="-4"/>
          <w:sz w:val="20"/>
          <w:szCs w:val="20"/>
          <w:lang w:val="es-MX"/>
        </w:rPr>
        <w:t xml:space="preserve"> </w:t>
      </w:r>
    </w:p>
    <w:p w14:paraId="208C3DAA" w14:textId="77777777" w:rsidR="00093845" w:rsidRPr="00093845" w:rsidRDefault="00093845" w:rsidP="00093845">
      <w:pPr>
        <w:pStyle w:val="Prrafodelista1"/>
        <w:tabs>
          <w:tab w:val="left" w:pos="720"/>
        </w:tabs>
        <w:jc w:val="both"/>
        <w:rPr>
          <w:rFonts w:eastAsia="Times"/>
          <w:sz w:val="20"/>
          <w:szCs w:val="20"/>
          <w:lang w:val="es-ES_tradnl"/>
        </w:rPr>
      </w:pPr>
    </w:p>
    <w:p w14:paraId="58F3F1A2" w14:textId="42A1D44D" w:rsidR="00EC723D" w:rsidRPr="00F93B06" w:rsidRDefault="00EC723D" w:rsidP="00F93B06">
      <w:pPr>
        <w:pStyle w:val="Prrafodelista1"/>
        <w:numPr>
          <w:ilvl w:val="0"/>
          <w:numId w:val="3"/>
        </w:numPr>
        <w:tabs>
          <w:tab w:val="clear" w:pos="1068"/>
          <w:tab w:val="left" w:pos="720"/>
        </w:tabs>
        <w:ind w:left="0" w:firstLine="0"/>
        <w:jc w:val="both"/>
        <w:rPr>
          <w:rFonts w:eastAsia="Times"/>
          <w:sz w:val="20"/>
          <w:szCs w:val="20"/>
          <w:lang w:val="es-ES_tradnl"/>
        </w:rPr>
      </w:pPr>
      <w:r w:rsidRPr="008818D3">
        <w:rPr>
          <w:spacing w:val="-4"/>
          <w:sz w:val="20"/>
          <w:szCs w:val="20"/>
          <w:lang w:val="es-MX"/>
        </w:rPr>
        <w:t xml:space="preserve">Dentro </w:t>
      </w:r>
      <w:r w:rsidR="002409ED">
        <w:rPr>
          <w:spacing w:val="-4"/>
          <w:sz w:val="20"/>
          <w:szCs w:val="20"/>
          <w:lang w:val="es-MX"/>
        </w:rPr>
        <w:t>del tema de seguridad ciudadana</w:t>
      </w:r>
      <w:r w:rsidRPr="008818D3">
        <w:rPr>
          <w:spacing w:val="-4"/>
          <w:sz w:val="20"/>
          <w:szCs w:val="20"/>
          <w:lang w:val="es-MX"/>
        </w:rPr>
        <w:t>,</w:t>
      </w:r>
      <w:r w:rsidR="00FD674E" w:rsidRPr="008818D3">
        <w:rPr>
          <w:spacing w:val="-4"/>
          <w:sz w:val="20"/>
          <w:szCs w:val="20"/>
          <w:lang w:val="es-MX"/>
        </w:rPr>
        <w:t xml:space="preserve"> el Estado hizo referencia al</w:t>
      </w:r>
      <w:r w:rsidR="00FD674E" w:rsidRPr="008818D3">
        <w:rPr>
          <w:spacing w:val="-4"/>
          <w:sz w:val="20"/>
          <w:szCs w:val="20"/>
          <w:lang w:val="es-ES_tradnl"/>
        </w:rPr>
        <w:t xml:space="preserve"> </w:t>
      </w:r>
      <w:r w:rsidR="008416DA" w:rsidRPr="008818D3">
        <w:rPr>
          <w:spacing w:val="-4"/>
          <w:sz w:val="20"/>
          <w:szCs w:val="20"/>
          <w:lang w:val="es-CR"/>
        </w:rPr>
        <w:t>P</w:t>
      </w:r>
      <w:r w:rsidR="00F93B06">
        <w:rPr>
          <w:spacing w:val="-4"/>
          <w:sz w:val="20"/>
          <w:szCs w:val="20"/>
          <w:lang w:val="es-CR"/>
        </w:rPr>
        <w:t>lan de Atención</w:t>
      </w:r>
      <w:r w:rsidR="00FD674E" w:rsidRPr="00F93B06">
        <w:rPr>
          <w:spacing w:val="-4"/>
          <w:sz w:val="20"/>
          <w:szCs w:val="20"/>
          <w:lang w:val="es-CR"/>
        </w:rPr>
        <w:t xml:space="preserve"> </w:t>
      </w:r>
      <w:r w:rsidRPr="00F93B06">
        <w:rPr>
          <w:spacing w:val="-4"/>
          <w:sz w:val="20"/>
          <w:szCs w:val="20"/>
          <w:lang w:val="es-CR"/>
        </w:rPr>
        <w:t xml:space="preserve">implementado por el Ejército de Nicaragua en el </w:t>
      </w:r>
      <w:r w:rsidRPr="00F93B06">
        <w:rPr>
          <w:spacing w:val="-4"/>
          <w:sz w:val="20"/>
          <w:szCs w:val="20"/>
          <w:lang w:val="es-MX"/>
        </w:rPr>
        <w:t xml:space="preserve">marco de </w:t>
      </w:r>
      <w:r w:rsidR="00171E07" w:rsidRPr="00F93B06">
        <w:rPr>
          <w:spacing w:val="-4"/>
          <w:sz w:val="20"/>
          <w:szCs w:val="20"/>
          <w:lang w:val="es-MX"/>
        </w:rPr>
        <w:t>sus</w:t>
      </w:r>
      <w:r w:rsidRPr="00F93B06">
        <w:rPr>
          <w:spacing w:val="-4"/>
          <w:sz w:val="20"/>
          <w:szCs w:val="20"/>
          <w:lang w:val="es-MX"/>
        </w:rPr>
        <w:t xml:space="preserve"> atribuciones</w:t>
      </w:r>
      <w:r w:rsidR="002409ED" w:rsidRPr="00F93B06">
        <w:rPr>
          <w:spacing w:val="-4"/>
          <w:sz w:val="20"/>
          <w:szCs w:val="20"/>
          <w:lang w:val="es-MX"/>
        </w:rPr>
        <w:t>.</w:t>
      </w:r>
      <w:r w:rsidR="002B2DC5" w:rsidRPr="00F93B06">
        <w:rPr>
          <w:spacing w:val="-4"/>
          <w:sz w:val="20"/>
          <w:szCs w:val="20"/>
          <w:lang w:val="es-MX"/>
        </w:rPr>
        <w:t xml:space="preserve"> </w:t>
      </w:r>
      <w:r w:rsidR="002409ED" w:rsidRPr="00F93B06">
        <w:rPr>
          <w:spacing w:val="-4"/>
          <w:sz w:val="20"/>
          <w:szCs w:val="20"/>
          <w:lang w:val="es-MX"/>
        </w:rPr>
        <w:t xml:space="preserve">Respecto del referido </w:t>
      </w:r>
      <w:r w:rsidR="009A205F" w:rsidRPr="00F93B06">
        <w:rPr>
          <w:spacing w:val="-4"/>
          <w:sz w:val="20"/>
          <w:szCs w:val="20"/>
          <w:lang w:val="es-MX"/>
        </w:rPr>
        <w:t>Plan</w:t>
      </w:r>
      <w:r w:rsidR="00DE1DA0" w:rsidRPr="008818D3">
        <w:rPr>
          <w:rStyle w:val="FootnoteReference"/>
          <w:spacing w:val="-4"/>
          <w:sz w:val="20"/>
          <w:szCs w:val="20"/>
          <w:lang w:val="es-CR"/>
        </w:rPr>
        <w:footnoteReference w:id="14"/>
      </w:r>
      <w:r w:rsidR="002409ED" w:rsidRPr="00F93B06">
        <w:rPr>
          <w:spacing w:val="-4"/>
          <w:sz w:val="20"/>
          <w:szCs w:val="20"/>
          <w:lang w:val="es-MX"/>
        </w:rPr>
        <w:t>, es de destacarse</w:t>
      </w:r>
      <w:r w:rsidR="002B2DC5" w:rsidRPr="00F93B06">
        <w:rPr>
          <w:spacing w:val="-4"/>
          <w:sz w:val="20"/>
          <w:szCs w:val="20"/>
          <w:lang w:val="es-MX"/>
        </w:rPr>
        <w:t xml:space="preserve"> </w:t>
      </w:r>
      <w:r w:rsidRPr="00F93B06">
        <w:rPr>
          <w:spacing w:val="-4"/>
          <w:sz w:val="20"/>
          <w:szCs w:val="20"/>
          <w:lang w:val="es-CR"/>
        </w:rPr>
        <w:t>l</w:t>
      </w:r>
      <w:r w:rsidR="0037367D" w:rsidRPr="00F93B06">
        <w:rPr>
          <w:spacing w:val="-4"/>
          <w:sz w:val="20"/>
          <w:szCs w:val="20"/>
          <w:lang w:val="es-CR"/>
        </w:rPr>
        <w:t>o</w:t>
      </w:r>
      <w:r w:rsidRPr="00F93B06">
        <w:rPr>
          <w:spacing w:val="-4"/>
          <w:sz w:val="20"/>
          <w:szCs w:val="20"/>
          <w:lang w:val="es-CR"/>
        </w:rPr>
        <w:t xml:space="preserve"> siguiente: </w:t>
      </w:r>
    </w:p>
    <w:p w14:paraId="1FE23026" w14:textId="77777777" w:rsidR="00EC723D" w:rsidRPr="008818D3" w:rsidRDefault="00EC723D" w:rsidP="00EC723D">
      <w:pPr>
        <w:pStyle w:val="Prrafodelista1"/>
        <w:tabs>
          <w:tab w:val="left" w:pos="720"/>
        </w:tabs>
        <w:jc w:val="both"/>
        <w:rPr>
          <w:spacing w:val="-4"/>
          <w:sz w:val="20"/>
          <w:szCs w:val="20"/>
          <w:lang w:val="es-ES_tradnl"/>
        </w:rPr>
      </w:pPr>
    </w:p>
    <w:p w14:paraId="64BFCDF9" w14:textId="7C172025" w:rsidR="00675635" w:rsidRPr="008818D3" w:rsidRDefault="0037367D" w:rsidP="006D16B7">
      <w:pPr>
        <w:pStyle w:val="Prrafodelista1"/>
        <w:numPr>
          <w:ilvl w:val="4"/>
          <w:numId w:val="12"/>
        </w:numPr>
        <w:tabs>
          <w:tab w:val="left" w:pos="720"/>
        </w:tabs>
        <w:ind w:left="720"/>
        <w:jc w:val="both"/>
        <w:rPr>
          <w:spacing w:val="-4"/>
          <w:sz w:val="20"/>
          <w:szCs w:val="20"/>
          <w:lang w:val="es-CR"/>
        </w:rPr>
      </w:pPr>
      <w:r w:rsidRPr="008818D3">
        <w:rPr>
          <w:spacing w:val="-4"/>
          <w:sz w:val="20"/>
          <w:szCs w:val="20"/>
          <w:lang w:val="es-CR"/>
        </w:rPr>
        <w:t xml:space="preserve">Como </w:t>
      </w:r>
      <w:r w:rsidR="00092AFB" w:rsidRPr="008818D3">
        <w:rPr>
          <w:spacing w:val="-4"/>
          <w:sz w:val="20"/>
          <w:szCs w:val="20"/>
          <w:lang w:val="es-CR"/>
        </w:rPr>
        <w:t xml:space="preserve">Objetivo </w:t>
      </w:r>
      <w:r w:rsidRPr="008818D3">
        <w:rPr>
          <w:spacing w:val="-4"/>
          <w:sz w:val="20"/>
          <w:szCs w:val="20"/>
          <w:lang w:val="es-CR"/>
        </w:rPr>
        <w:t xml:space="preserve">General del Destacamento Militar Norte, se plantea </w:t>
      </w:r>
      <w:r w:rsidR="00CE2FEC" w:rsidRPr="008818D3">
        <w:rPr>
          <w:spacing w:val="-4"/>
          <w:sz w:val="20"/>
          <w:szCs w:val="20"/>
          <w:lang w:val="es-CR"/>
        </w:rPr>
        <w:t>“</w:t>
      </w:r>
      <w:r w:rsidRPr="008818D3">
        <w:rPr>
          <w:spacing w:val="-4"/>
          <w:sz w:val="20"/>
          <w:szCs w:val="20"/>
          <w:lang w:val="es-CR"/>
        </w:rPr>
        <w:t xml:space="preserve">participar en la comisión de trabajo integrada por </w:t>
      </w:r>
      <w:r w:rsidR="00FA1C30">
        <w:rPr>
          <w:spacing w:val="-4"/>
          <w:sz w:val="20"/>
          <w:szCs w:val="20"/>
          <w:lang w:val="es-CR"/>
        </w:rPr>
        <w:t>[diversas]</w:t>
      </w:r>
      <w:r w:rsidR="00FA1C30" w:rsidRPr="008818D3">
        <w:rPr>
          <w:spacing w:val="-4"/>
          <w:sz w:val="20"/>
          <w:szCs w:val="20"/>
          <w:lang w:val="es-CR"/>
        </w:rPr>
        <w:t xml:space="preserve"> </w:t>
      </w:r>
      <w:r w:rsidRPr="008818D3">
        <w:rPr>
          <w:spacing w:val="-4"/>
          <w:sz w:val="20"/>
          <w:szCs w:val="20"/>
          <w:lang w:val="es-CR"/>
        </w:rPr>
        <w:t>autoridades</w:t>
      </w:r>
      <w:r w:rsidR="003A634B">
        <w:rPr>
          <w:spacing w:val="-4"/>
          <w:sz w:val="20"/>
          <w:szCs w:val="20"/>
          <w:lang w:val="es-CR"/>
        </w:rPr>
        <w:t xml:space="preserve"> </w:t>
      </w:r>
      <w:r w:rsidR="00FA1C30">
        <w:rPr>
          <w:spacing w:val="-4"/>
          <w:sz w:val="20"/>
          <w:szCs w:val="20"/>
          <w:lang w:val="es-CR"/>
        </w:rPr>
        <w:t>[…]</w:t>
      </w:r>
      <w:r w:rsidR="00CE2FEC" w:rsidRPr="008818D3">
        <w:rPr>
          <w:spacing w:val="-4"/>
          <w:sz w:val="20"/>
          <w:szCs w:val="20"/>
          <w:lang w:val="es-CR"/>
        </w:rPr>
        <w:t xml:space="preserve"> </w:t>
      </w:r>
      <w:r w:rsidRPr="008818D3">
        <w:rPr>
          <w:spacing w:val="-4"/>
          <w:sz w:val="20"/>
          <w:szCs w:val="20"/>
          <w:lang w:val="es-CR"/>
        </w:rPr>
        <w:t>a fin de atender la situación de los comunitarios y colonos en comunidades del territorio</w:t>
      </w:r>
      <w:r w:rsidR="00CE2FEC" w:rsidRPr="008818D3">
        <w:rPr>
          <w:spacing w:val="-4"/>
          <w:sz w:val="20"/>
          <w:szCs w:val="20"/>
          <w:lang w:val="es-CR"/>
        </w:rPr>
        <w:t>”</w:t>
      </w:r>
      <w:r w:rsidRPr="008818D3">
        <w:rPr>
          <w:spacing w:val="-4"/>
          <w:sz w:val="20"/>
          <w:szCs w:val="20"/>
          <w:lang w:val="es-CR"/>
        </w:rPr>
        <w:t xml:space="preserve">. </w:t>
      </w:r>
    </w:p>
    <w:p w14:paraId="79C942AE" w14:textId="2D4DB641" w:rsidR="0037367D" w:rsidRPr="008818D3" w:rsidRDefault="0037367D" w:rsidP="00F432A3">
      <w:pPr>
        <w:pStyle w:val="Prrafodelista1"/>
        <w:tabs>
          <w:tab w:val="left" w:pos="720"/>
        </w:tabs>
        <w:ind w:left="720"/>
        <w:jc w:val="both"/>
        <w:rPr>
          <w:spacing w:val="-4"/>
          <w:sz w:val="20"/>
          <w:szCs w:val="20"/>
          <w:lang w:val="es-CR"/>
        </w:rPr>
      </w:pPr>
      <w:r w:rsidRPr="008818D3">
        <w:rPr>
          <w:spacing w:val="-4"/>
          <w:sz w:val="20"/>
          <w:szCs w:val="20"/>
          <w:lang w:val="es-CR"/>
        </w:rPr>
        <w:lastRenderedPageBreak/>
        <w:t xml:space="preserve">  </w:t>
      </w:r>
    </w:p>
    <w:p w14:paraId="4F076259" w14:textId="0FC6D931" w:rsidR="008416DA" w:rsidRPr="008818D3" w:rsidRDefault="0037367D" w:rsidP="006D16B7">
      <w:pPr>
        <w:pStyle w:val="Prrafodelista1"/>
        <w:numPr>
          <w:ilvl w:val="4"/>
          <w:numId w:val="12"/>
        </w:numPr>
        <w:tabs>
          <w:tab w:val="left" w:pos="720"/>
        </w:tabs>
        <w:ind w:left="720"/>
        <w:jc w:val="both"/>
        <w:rPr>
          <w:spacing w:val="-4"/>
          <w:sz w:val="20"/>
          <w:szCs w:val="20"/>
          <w:lang w:val="es-CR"/>
        </w:rPr>
      </w:pPr>
      <w:r w:rsidRPr="008818D3">
        <w:rPr>
          <w:spacing w:val="-4"/>
          <w:sz w:val="20"/>
          <w:szCs w:val="20"/>
          <w:lang w:val="es-CR"/>
        </w:rPr>
        <w:t xml:space="preserve">Dentro de los </w:t>
      </w:r>
      <w:r w:rsidR="00092AFB" w:rsidRPr="008818D3">
        <w:rPr>
          <w:spacing w:val="-4"/>
          <w:sz w:val="20"/>
          <w:szCs w:val="20"/>
          <w:lang w:val="es-CR"/>
        </w:rPr>
        <w:t xml:space="preserve">Objetivos Específicos </w:t>
      </w:r>
      <w:r w:rsidR="004E3598">
        <w:rPr>
          <w:spacing w:val="-4"/>
          <w:sz w:val="20"/>
          <w:szCs w:val="20"/>
          <w:lang w:val="es-CR"/>
        </w:rPr>
        <w:t>se menciona</w:t>
      </w:r>
      <w:r w:rsidRPr="008818D3">
        <w:rPr>
          <w:spacing w:val="-4"/>
          <w:sz w:val="20"/>
          <w:szCs w:val="20"/>
          <w:lang w:val="es-CR"/>
        </w:rPr>
        <w:t xml:space="preserve"> el de </w:t>
      </w:r>
      <w:r w:rsidR="008416DA" w:rsidRPr="008818D3">
        <w:rPr>
          <w:spacing w:val="-4"/>
          <w:sz w:val="20"/>
          <w:szCs w:val="20"/>
          <w:lang w:val="es-CR"/>
        </w:rPr>
        <w:t>“[c]</w:t>
      </w:r>
      <w:proofErr w:type="spellStart"/>
      <w:r w:rsidR="008416DA" w:rsidRPr="008818D3">
        <w:rPr>
          <w:spacing w:val="-4"/>
          <w:sz w:val="20"/>
          <w:szCs w:val="20"/>
          <w:lang w:val="es-CR"/>
        </w:rPr>
        <w:t>oadyuvar</w:t>
      </w:r>
      <w:proofErr w:type="spellEnd"/>
      <w:r w:rsidR="008416DA" w:rsidRPr="008818D3">
        <w:rPr>
          <w:spacing w:val="-4"/>
          <w:sz w:val="20"/>
          <w:szCs w:val="20"/>
          <w:lang w:val="es-CR"/>
        </w:rPr>
        <w:t xml:space="preserve"> en el marco de su competencia con las autoridades e instituciones en la atención de la situación </w:t>
      </w:r>
      <w:r w:rsidR="00623AC0" w:rsidRPr="008818D3">
        <w:rPr>
          <w:spacing w:val="-4"/>
          <w:sz w:val="20"/>
          <w:szCs w:val="20"/>
          <w:lang w:val="es-CR"/>
        </w:rPr>
        <w:t xml:space="preserve">de </w:t>
      </w:r>
      <w:r w:rsidR="008416DA" w:rsidRPr="008818D3">
        <w:rPr>
          <w:spacing w:val="-4"/>
          <w:sz w:val="20"/>
          <w:szCs w:val="20"/>
          <w:lang w:val="es-CR"/>
        </w:rPr>
        <w:t xml:space="preserve">seguridad y estabilidad en las comunidades, particularmente de </w:t>
      </w:r>
      <w:r w:rsidR="008416DA" w:rsidRPr="00D14338">
        <w:rPr>
          <w:spacing w:val="-4"/>
          <w:sz w:val="20"/>
          <w:szCs w:val="20"/>
          <w:lang w:val="es-CR"/>
        </w:rPr>
        <w:t>Francia Sirpi, Klisnak, Wisconsin,</w:t>
      </w:r>
      <w:r w:rsidR="008416DA" w:rsidRPr="008818D3">
        <w:rPr>
          <w:spacing w:val="-4"/>
          <w:sz w:val="20"/>
          <w:szCs w:val="20"/>
          <w:lang w:val="es-CR"/>
        </w:rPr>
        <w:t xml:space="preserve"> Wiwinak y San Jerónimo”</w:t>
      </w:r>
      <w:r w:rsidR="0006784E" w:rsidRPr="008818D3">
        <w:rPr>
          <w:rStyle w:val="FootnoteReference"/>
          <w:spacing w:val="-4"/>
          <w:sz w:val="20"/>
          <w:szCs w:val="20"/>
          <w:lang w:val="es-CR"/>
        </w:rPr>
        <w:t xml:space="preserve"> </w:t>
      </w:r>
      <w:r w:rsidR="008416DA" w:rsidRPr="008818D3">
        <w:rPr>
          <w:spacing w:val="-4"/>
          <w:sz w:val="20"/>
          <w:szCs w:val="20"/>
          <w:lang w:val="es-CR"/>
        </w:rPr>
        <w:t>así como “[d]</w:t>
      </w:r>
      <w:proofErr w:type="spellStart"/>
      <w:r w:rsidR="008416DA" w:rsidRPr="008818D3">
        <w:rPr>
          <w:spacing w:val="-4"/>
          <w:sz w:val="20"/>
          <w:szCs w:val="20"/>
          <w:lang w:val="es-CR"/>
        </w:rPr>
        <w:t>esplegar</w:t>
      </w:r>
      <w:proofErr w:type="spellEnd"/>
      <w:r w:rsidR="008416DA" w:rsidRPr="008818D3">
        <w:rPr>
          <w:spacing w:val="-4"/>
          <w:sz w:val="20"/>
          <w:szCs w:val="20"/>
          <w:lang w:val="es-CR"/>
        </w:rPr>
        <w:t xml:space="preserve"> pequeñas unidades de forma temporal con la misión de implementar medidas de protección y seguridad de las áreas objeto de atención”. </w:t>
      </w:r>
    </w:p>
    <w:p w14:paraId="2958F200" w14:textId="77777777" w:rsidR="00675635" w:rsidRPr="002C4BEB" w:rsidRDefault="00675635" w:rsidP="00F432A3">
      <w:pPr>
        <w:pStyle w:val="ListParagraph"/>
        <w:rPr>
          <w:rFonts w:ascii="Verdana" w:hAnsi="Verdana"/>
          <w:spacing w:val="-4"/>
          <w:sz w:val="20"/>
          <w:lang w:val="es-CR"/>
        </w:rPr>
      </w:pPr>
    </w:p>
    <w:p w14:paraId="01F3DDC8" w14:textId="100CBB71" w:rsidR="0037367D" w:rsidRPr="000C401F" w:rsidRDefault="0037367D" w:rsidP="006D16B7">
      <w:pPr>
        <w:pStyle w:val="Prrafodelista1"/>
        <w:numPr>
          <w:ilvl w:val="4"/>
          <w:numId w:val="12"/>
        </w:numPr>
        <w:tabs>
          <w:tab w:val="left" w:pos="720"/>
        </w:tabs>
        <w:ind w:left="720"/>
        <w:jc w:val="both"/>
        <w:rPr>
          <w:spacing w:val="-4"/>
          <w:sz w:val="20"/>
          <w:szCs w:val="20"/>
          <w:lang w:val="es-CR"/>
        </w:rPr>
      </w:pPr>
      <w:r w:rsidRPr="008818D3">
        <w:rPr>
          <w:spacing w:val="-4"/>
          <w:sz w:val="20"/>
          <w:szCs w:val="20"/>
          <w:lang w:val="es-CR"/>
        </w:rPr>
        <w:t>Se incluyen</w:t>
      </w:r>
      <w:r w:rsidR="00F432A3" w:rsidRPr="008818D3">
        <w:rPr>
          <w:spacing w:val="-4"/>
          <w:sz w:val="20"/>
          <w:szCs w:val="20"/>
          <w:lang w:val="es-CR"/>
        </w:rPr>
        <w:t>,</w:t>
      </w:r>
      <w:r w:rsidRPr="00095453">
        <w:rPr>
          <w:spacing w:val="-4"/>
          <w:sz w:val="20"/>
          <w:szCs w:val="20"/>
          <w:lang w:val="es-CR"/>
        </w:rPr>
        <w:t xml:space="preserve"> </w:t>
      </w:r>
      <w:r w:rsidR="006D16B7" w:rsidRPr="00B23996">
        <w:rPr>
          <w:spacing w:val="-4"/>
          <w:sz w:val="20"/>
          <w:szCs w:val="20"/>
          <w:lang w:val="es-CR"/>
        </w:rPr>
        <w:t>en las</w:t>
      </w:r>
      <w:r w:rsidRPr="00B23996">
        <w:rPr>
          <w:spacing w:val="-4"/>
          <w:sz w:val="20"/>
          <w:szCs w:val="20"/>
          <w:lang w:val="es-CR"/>
        </w:rPr>
        <w:t xml:space="preserve"> acciones a ejecutar</w:t>
      </w:r>
      <w:r w:rsidR="00F432A3" w:rsidRPr="00B23996">
        <w:rPr>
          <w:spacing w:val="-4"/>
          <w:sz w:val="20"/>
          <w:szCs w:val="20"/>
          <w:lang w:val="es-CR"/>
        </w:rPr>
        <w:t>,</w:t>
      </w:r>
      <w:r w:rsidRPr="002A5410">
        <w:rPr>
          <w:spacing w:val="-4"/>
          <w:sz w:val="20"/>
          <w:szCs w:val="20"/>
          <w:lang w:val="es-CR"/>
        </w:rPr>
        <w:t xml:space="preserve"> coordinaciones interinstitucionales para “prevenir, disuadir, educar, requisar y capturar a elementos que afecten las áreas protegidas, garantizando la veda forestal y evitando el impacto negativo al medio ambiente y recursos naturales”</w:t>
      </w:r>
      <w:r w:rsidRPr="00DA6DE2">
        <w:rPr>
          <w:spacing w:val="-4"/>
          <w:sz w:val="20"/>
          <w:szCs w:val="20"/>
          <w:lang w:val="es-CR"/>
        </w:rPr>
        <w:t xml:space="preserve">. </w:t>
      </w:r>
    </w:p>
    <w:p w14:paraId="1DF18D32" w14:textId="77777777" w:rsidR="00F432A3" w:rsidRPr="008818D3" w:rsidRDefault="00F432A3" w:rsidP="00F432A3">
      <w:pPr>
        <w:pStyle w:val="Prrafodelista1"/>
        <w:tabs>
          <w:tab w:val="left" w:pos="720"/>
        </w:tabs>
        <w:ind w:left="720"/>
        <w:jc w:val="both"/>
        <w:rPr>
          <w:spacing w:val="-4"/>
          <w:sz w:val="20"/>
          <w:szCs w:val="20"/>
          <w:lang w:val="es-CR"/>
        </w:rPr>
      </w:pPr>
    </w:p>
    <w:p w14:paraId="67002422" w14:textId="1C542AAE" w:rsidR="00092AFB" w:rsidRPr="008818D3" w:rsidRDefault="00092AFB" w:rsidP="006D16B7">
      <w:pPr>
        <w:pStyle w:val="Prrafodelista1"/>
        <w:numPr>
          <w:ilvl w:val="4"/>
          <w:numId w:val="12"/>
        </w:numPr>
        <w:tabs>
          <w:tab w:val="left" w:pos="720"/>
        </w:tabs>
        <w:ind w:left="720"/>
        <w:jc w:val="both"/>
        <w:rPr>
          <w:spacing w:val="-4"/>
          <w:sz w:val="20"/>
          <w:szCs w:val="20"/>
          <w:lang w:val="es-CR"/>
        </w:rPr>
      </w:pPr>
      <w:r w:rsidRPr="00685654">
        <w:rPr>
          <w:spacing w:val="-4"/>
          <w:sz w:val="20"/>
          <w:szCs w:val="20"/>
          <w:lang w:val="es-CR"/>
        </w:rPr>
        <w:t>Algunas de las medidas de organización que se mencionan consisten en</w:t>
      </w:r>
      <w:r w:rsidR="00E52E5B" w:rsidRPr="00685654">
        <w:rPr>
          <w:spacing w:val="-4"/>
          <w:sz w:val="20"/>
          <w:szCs w:val="20"/>
          <w:lang w:val="es-CR"/>
        </w:rPr>
        <w:t>:</w:t>
      </w:r>
      <w:r w:rsidRPr="00685654">
        <w:rPr>
          <w:spacing w:val="-4"/>
          <w:sz w:val="20"/>
          <w:szCs w:val="20"/>
          <w:lang w:val="es-CR"/>
        </w:rPr>
        <w:t xml:space="preserve"> coordinación con la comisión de trabajo con el fin de “concentrar los esfuerzos principales en la creación de las condiciones necesarias para el trabajo y la movilidad de la Comisión de Diálogo y Entendimiento”; </w:t>
      </w:r>
      <w:r w:rsidR="00864018" w:rsidRPr="00685654">
        <w:rPr>
          <w:spacing w:val="-4"/>
          <w:sz w:val="20"/>
          <w:szCs w:val="20"/>
          <w:lang w:val="es-CR"/>
        </w:rPr>
        <w:t>“</w:t>
      </w:r>
      <w:r w:rsidRPr="008818D3">
        <w:rPr>
          <w:spacing w:val="-4"/>
          <w:sz w:val="20"/>
          <w:szCs w:val="20"/>
          <w:lang w:val="es-CR"/>
        </w:rPr>
        <w:t>implementación de un conjunto de acciones coordinadas de diálogo</w:t>
      </w:r>
      <w:r w:rsidR="00864018" w:rsidRPr="008818D3">
        <w:rPr>
          <w:spacing w:val="-4"/>
          <w:sz w:val="20"/>
          <w:szCs w:val="20"/>
          <w:lang w:val="es-CR"/>
        </w:rPr>
        <w:t>”</w:t>
      </w:r>
      <w:r w:rsidRPr="008818D3">
        <w:rPr>
          <w:spacing w:val="-4"/>
          <w:sz w:val="20"/>
          <w:szCs w:val="20"/>
          <w:lang w:val="es-CR"/>
        </w:rPr>
        <w:t xml:space="preserve"> para crear condiciones con el fin de “mantener y fortalecer la situación de seguridad comunitaria en las comunidades afectadas”</w:t>
      </w:r>
      <w:r w:rsidR="008D4007" w:rsidRPr="008818D3">
        <w:rPr>
          <w:spacing w:val="-4"/>
          <w:sz w:val="20"/>
          <w:szCs w:val="20"/>
          <w:lang w:val="es-CR"/>
        </w:rPr>
        <w:t xml:space="preserve">; </w:t>
      </w:r>
      <w:r w:rsidR="006B379E" w:rsidRPr="008818D3">
        <w:rPr>
          <w:spacing w:val="-4"/>
          <w:sz w:val="20"/>
          <w:szCs w:val="20"/>
          <w:lang w:val="es-CR"/>
        </w:rPr>
        <w:t>“</w:t>
      </w:r>
      <w:r w:rsidR="00561690" w:rsidRPr="008818D3">
        <w:rPr>
          <w:spacing w:val="-4"/>
          <w:sz w:val="20"/>
          <w:szCs w:val="20"/>
          <w:lang w:val="es-CR"/>
        </w:rPr>
        <w:t>[</w:t>
      </w:r>
      <w:r w:rsidR="006B379E" w:rsidRPr="008818D3">
        <w:rPr>
          <w:spacing w:val="-4"/>
          <w:sz w:val="20"/>
          <w:szCs w:val="20"/>
          <w:lang w:val="es-CR"/>
        </w:rPr>
        <w:t>a</w:t>
      </w:r>
      <w:r w:rsidR="00561690" w:rsidRPr="008818D3">
        <w:rPr>
          <w:spacing w:val="-4"/>
          <w:sz w:val="20"/>
          <w:szCs w:val="20"/>
          <w:lang w:val="es-CR"/>
        </w:rPr>
        <w:t>]</w:t>
      </w:r>
      <w:r w:rsidR="006B379E" w:rsidRPr="008818D3">
        <w:rPr>
          <w:spacing w:val="-4"/>
          <w:sz w:val="20"/>
          <w:szCs w:val="20"/>
          <w:lang w:val="es-CR"/>
        </w:rPr>
        <w:t>poyar […] los proyectos de desarrollo socio-económicos que impulsa el gobierno central en estos territorios como parte de las medidas de asistencia a la población</w:t>
      </w:r>
      <w:r w:rsidR="00561690" w:rsidRPr="008818D3">
        <w:rPr>
          <w:spacing w:val="-4"/>
          <w:sz w:val="20"/>
          <w:szCs w:val="20"/>
          <w:lang w:val="es-CR"/>
        </w:rPr>
        <w:t>”;</w:t>
      </w:r>
      <w:r w:rsidR="006B379E" w:rsidRPr="008818D3">
        <w:rPr>
          <w:spacing w:val="-4"/>
          <w:sz w:val="20"/>
          <w:szCs w:val="20"/>
          <w:lang w:val="es-CR"/>
        </w:rPr>
        <w:t xml:space="preserve"> </w:t>
      </w:r>
      <w:r w:rsidR="00561690" w:rsidRPr="008818D3">
        <w:rPr>
          <w:spacing w:val="-4"/>
          <w:sz w:val="20"/>
          <w:szCs w:val="20"/>
          <w:lang w:val="es-CR"/>
        </w:rPr>
        <w:t>“[i]</w:t>
      </w:r>
      <w:proofErr w:type="spellStart"/>
      <w:r w:rsidR="00561690" w:rsidRPr="008818D3">
        <w:rPr>
          <w:spacing w:val="-4"/>
          <w:sz w:val="20"/>
          <w:szCs w:val="20"/>
          <w:lang w:val="es-CR"/>
        </w:rPr>
        <w:t>m</w:t>
      </w:r>
      <w:r w:rsidR="00B77DBD" w:rsidRPr="008818D3">
        <w:rPr>
          <w:spacing w:val="-4"/>
          <w:sz w:val="20"/>
          <w:szCs w:val="20"/>
          <w:lang w:val="es-CR"/>
        </w:rPr>
        <w:t>p</w:t>
      </w:r>
      <w:r w:rsidR="00561690" w:rsidRPr="008818D3">
        <w:rPr>
          <w:spacing w:val="-4"/>
          <w:sz w:val="20"/>
          <w:szCs w:val="20"/>
          <w:lang w:val="es-CR"/>
        </w:rPr>
        <w:t>ulsar</w:t>
      </w:r>
      <w:proofErr w:type="spellEnd"/>
      <w:r w:rsidR="00561690" w:rsidRPr="008818D3">
        <w:rPr>
          <w:spacing w:val="-4"/>
          <w:sz w:val="20"/>
          <w:szCs w:val="20"/>
          <w:lang w:val="es-CR"/>
        </w:rPr>
        <w:t xml:space="preserve"> en el seno de la comisión todas aquella</w:t>
      </w:r>
      <w:r w:rsidR="00B77DBD" w:rsidRPr="008818D3">
        <w:rPr>
          <w:spacing w:val="-4"/>
          <w:sz w:val="20"/>
          <w:szCs w:val="20"/>
          <w:lang w:val="es-CR"/>
        </w:rPr>
        <w:t>s acciones que promuevan el diá</w:t>
      </w:r>
      <w:r w:rsidR="00561690" w:rsidRPr="008818D3">
        <w:rPr>
          <w:spacing w:val="-4"/>
          <w:sz w:val="20"/>
          <w:szCs w:val="20"/>
          <w:lang w:val="es-CR"/>
        </w:rPr>
        <w:t xml:space="preserve">logo y entendimiento entre los líderes territoriales, comunales y otros actores, con el propósito de evitar acciones </w:t>
      </w:r>
      <w:proofErr w:type="spellStart"/>
      <w:r w:rsidR="00561690" w:rsidRPr="008818D3">
        <w:rPr>
          <w:spacing w:val="-4"/>
          <w:sz w:val="20"/>
          <w:szCs w:val="20"/>
          <w:lang w:val="es-CR"/>
        </w:rPr>
        <w:t>confrontativas</w:t>
      </w:r>
      <w:proofErr w:type="spellEnd"/>
      <w:r w:rsidR="00561690" w:rsidRPr="008818D3">
        <w:rPr>
          <w:spacing w:val="-4"/>
          <w:sz w:val="20"/>
          <w:szCs w:val="20"/>
          <w:lang w:val="es-CR"/>
        </w:rPr>
        <w:t>”</w:t>
      </w:r>
      <w:r w:rsidR="00E52E5B">
        <w:rPr>
          <w:spacing w:val="-4"/>
          <w:sz w:val="20"/>
          <w:szCs w:val="20"/>
          <w:lang w:val="es-CR"/>
        </w:rPr>
        <w:t>,</w:t>
      </w:r>
      <w:r w:rsidR="00561690" w:rsidRPr="008818D3">
        <w:rPr>
          <w:spacing w:val="-4"/>
          <w:sz w:val="20"/>
          <w:szCs w:val="20"/>
          <w:lang w:val="es-CR"/>
        </w:rPr>
        <w:t xml:space="preserve"> y “[f]</w:t>
      </w:r>
      <w:proofErr w:type="spellStart"/>
      <w:r w:rsidR="00561690" w:rsidRPr="008818D3">
        <w:rPr>
          <w:spacing w:val="-4"/>
          <w:sz w:val="20"/>
          <w:szCs w:val="20"/>
          <w:lang w:val="es-CR"/>
        </w:rPr>
        <w:t>ortalecer</w:t>
      </w:r>
      <w:proofErr w:type="spellEnd"/>
      <w:r w:rsidR="00561690" w:rsidRPr="008818D3">
        <w:rPr>
          <w:spacing w:val="-4"/>
          <w:sz w:val="20"/>
          <w:szCs w:val="20"/>
          <w:lang w:val="es-CR"/>
        </w:rPr>
        <w:t xml:space="preserve"> la capacitación del personal en materia de Derechos Humanos, Derecho Internacional Humanitario y otros inst</w:t>
      </w:r>
      <w:r w:rsidR="00E55E69" w:rsidRPr="008818D3">
        <w:rPr>
          <w:spacing w:val="-4"/>
          <w:sz w:val="20"/>
          <w:szCs w:val="20"/>
          <w:lang w:val="es-CR"/>
        </w:rPr>
        <w:t>r</w:t>
      </w:r>
      <w:r w:rsidR="00561690" w:rsidRPr="008818D3">
        <w:rPr>
          <w:spacing w:val="-4"/>
          <w:sz w:val="20"/>
          <w:szCs w:val="20"/>
          <w:lang w:val="es-CR"/>
        </w:rPr>
        <w:t>umentos de Derecho Internacional Público ratificados y aprobados por Nicaragua”</w:t>
      </w:r>
      <w:r w:rsidRPr="008818D3">
        <w:rPr>
          <w:spacing w:val="-4"/>
          <w:sz w:val="20"/>
          <w:szCs w:val="20"/>
          <w:lang w:val="es-CR"/>
        </w:rPr>
        <w:t xml:space="preserve">. </w:t>
      </w:r>
    </w:p>
    <w:p w14:paraId="38FCE288" w14:textId="77777777" w:rsidR="00F432A3" w:rsidRPr="008818D3" w:rsidRDefault="00F432A3" w:rsidP="00F432A3">
      <w:pPr>
        <w:pStyle w:val="Prrafodelista1"/>
        <w:tabs>
          <w:tab w:val="left" w:pos="720"/>
        </w:tabs>
        <w:ind w:left="720"/>
        <w:jc w:val="both"/>
        <w:rPr>
          <w:spacing w:val="-4"/>
          <w:sz w:val="20"/>
          <w:szCs w:val="20"/>
          <w:lang w:val="es-CR"/>
        </w:rPr>
      </w:pPr>
    </w:p>
    <w:p w14:paraId="11A65E4C" w14:textId="2FBCB229" w:rsidR="006D16B7" w:rsidRPr="008818D3" w:rsidRDefault="006D16B7" w:rsidP="006D16B7">
      <w:pPr>
        <w:pStyle w:val="Prrafodelista1"/>
        <w:numPr>
          <w:ilvl w:val="4"/>
          <w:numId w:val="12"/>
        </w:numPr>
        <w:tabs>
          <w:tab w:val="left" w:pos="720"/>
        </w:tabs>
        <w:ind w:left="720"/>
        <w:jc w:val="both"/>
        <w:rPr>
          <w:spacing w:val="-4"/>
          <w:sz w:val="20"/>
          <w:szCs w:val="20"/>
          <w:lang w:val="es-CR"/>
        </w:rPr>
      </w:pPr>
      <w:r w:rsidRPr="008818D3">
        <w:rPr>
          <w:spacing w:val="-4"/>
          <w:sz w:val="20"/>
          <w:szCs w:val="20"/>
          <w:lang w:val="es-CR"/>
        </w:rPr>
        <w:t>Se plantean como misiones, entre otras</w:t>
      </w:r>
      <w:r w:rsidR="004E3598">
        <w:rPr>
          <w:spacing w:val="-4"/>
          <w:sz w:val="20"/>
          <w:szCs w:val="20"/>
          <w:lang w:val="es-CR"/>
        </w:rPr>
        <w:t>,</w:t>
      </w:r>
      <w:r w:rsidR="00AB146D" w:rsidRPr="008818D3">
        <w:rPr>
          <w:spacing w:val="-4"/>
          <w:sz w:val="20"/>
          <w:szCs w:val="20"/>
          <w:lang w:val="es-CR"/>
        </w:rPr>
        <w:t xml:space="preserve"> “[m]</w:t>
      </w:r>
      <w:proofErr w:type="spellStart"/>
      <w:r w:rsidR="00AB146D" w:rsidRPr="008818D3">
        <w:rPr>
          <w:spacing w:val="-4"/>
          <w:sz w:val="20"/>
          <w:szCs w:val="20"/>
          <w:lang w:val="es-CR"/>
        </w:rPr>
        <w:t>antener</w:t>
      </w:r>
      <w:proofErr w:type="spellEnd"/>
      <w:r w:rsidR="00AB146D" w:rsidRPr="008818D3">
        <w:rPr>
          <w:spacing w:val="-4"/>
          <w:sz w:val="20"/>
          <w:szCs w:val="20"/>
          <w:lang w:val="es-CR"/>
        </w:rPr>
        <w:t xml:space="preserve"> el despliegue de las pequeñas unidades en el tendido territorial de tropas con la misi</w:t>
      </w:r>
      <w:r w:rsidR="00F432A3" w:rsidRPr="008818D3">
        <w:rPr>
          <w:spacing w:val="-4"/>
          <w:sz w:val="20"/>
          <w:szCs w:val="20"/>
          <w:lang w:val="es-CR"/>
        </w:rPr>
        <w:t>ón d</w:t>
      </w:r>
      <w:r w:rsidR="00AB146D" w:rsidRPr="008818D3">
        <w:rPr>
          <w:spacing w:val="-4"/>
          <w:sz w:val="20"/>
          <w:szCs w:val="20"/>
          <w:lang w:val="es-CR"/>
        </w:rPr>
        <w:t>e</w:t>
      </w:r>
      <w:r w:rsidR="00F432A3" w:rsidRPr="008818D3">
        <w:rPr>
          <w:spacing w:val="-4"/>
          <w:sz w:val="20"/>
          <w:szCs w:val="20"/>
          <w:lang w:val="es-CR"/>
        </w:rPr>
        <w:t xml:space="preserve"> </w:t>
      </w:r>
      <w:r w:rsidR="00AB146D" w:rsidRPr="008818D3">
        <w:rPr>
          <w:spacing w:val="-4"/>
          <w:sz w:val="20"/>
          <w:szCs w:val="20"/>
          <w:lang w:val="es-CR"/>
        </w:rPr>
        <w:t xml:space="preserve">implementar medidas de prevención, protección y seguridad en el territorio de responsabilidad”; </w:t>
      </w:r>
      <w:r w:rsidR="00893FDE" w:rsidRPr="008818D3">
        <w:rPr>
          <w:spacing w:val="-4"/>
          <w:sz w:val="20"/>
          <w:szCs w:val="20"/>
          <w:lang w:val="es-CR"/>
        </w:rPr>
        <w:t>“</w:t>
      </w:r>
      <w:r w:rsidR="00AB146D" w:rsidRPr="008818D3">
        <w:rPr>
          <w:spacing w:val="-4"/>
          <w:sz w:val="20"/>
          <w:szCs w:val="20"/>
          <w:lang w:val="es-CR"/>
        </w:rPr>
        <w:t>[d]</w:t>
      </w:r>
      <w:proofErr w:type="spellStart"/>
      <w:r w:rsidR="00AB146D" w:rsidRPr="008818D3">
        <w:rPr>
          <w:spacing w:val="-4"/>
          <w:sz w:val="20"/>
          <w:szCs w:val="20"/>
          <w:lang w:val="es-CR"/>
        </w:rPr>
        <w:t>irigir</w:t>
      </w:r>
      <w:proofErr w:type="spellEnd"/>
      <w:r w:rsidR="00AB146D" w:rsidRPr="008818D3">
        <w:rPr>
          <w:spacing w:val="-4"/>
          <w:sz w:val="20"/>
          <w:szCs w:val="20"/>
          <w:lang w:val="es-CR"/>
        </w:rPr>
        <w:t xml:space="preserve"> esfuerzos en el levantamiento y verificación de información en sectores afectados, en apoyo a la Policía Nacional en la búsqueda, ubicación y captura de elementos vinculados a la delincuencia organizada y narcoactividad</w:t>
      </w:r>
      <w:r w:rsidR="00893FDE" w:rsidRPr="008818D3">
        <w:rPr>
          <w:spacing w:val="-4"/>
          <w:sz w:val="20"/>
          <w:szCs w:val="20"/>
          <w:lang w:val="es-CR"/>
        </w:rPr>
        <w:t xml:space="preserve">”, </w:t>
      </w:r>
      <w:r w:rsidR="00E52E5B">
        <w:rPr>
          <w:spacing w:val="-4"/>
          <w:sz w:val="20"/>
          <w:szCs w:val="20"/>
          <w:lang w:val="es-CR"/>
        </w:rPr>
        <w:t>y</w:t>
      </w:r>
      <w:r w:rsidR="00893FDE" w:rsidRPr="008818D3">
        <w:rPr>
          <w:spacing w:val="-4"/>
          <w:sz w:val="20"/>
          <w:szCs w:val="20"/>
          <w:lang w:val="es-CR"/>
        </w:rPr>
        <w:t xml:space="preserve"> “[r]</w:t>
      </w:r>
      <w:proofErr w:type="spellStart"/>
      <w:r w:rsidR="00893FDE" w:rsidRPr="008818D3">
        <w:rPr>
          <w:spacing w:val="-4"/>
          <w:sz w:val="20"/>
          <w:szCs w:val="20"/>
          <w:lang w:val="es-CR"/>
        </w:rPr>
        <w:t>ealizar</w:t>
      </w:r>
      <w:proofErr w:type="spellEnd"/>
      <w:r w:rsidR="00893FDE" w:rsidRPr="008818D3">
        <w:rPr>
          <w:spacing w:val="-4"/>
          <w:sz w:val="20"/>
          <w:szCs w:val="20"/>
          <w:lang w:val="es-CR"/>
        </w:rPr>
        <w:t xml:space="preserve"> evaluaciones y análisis entre los órganos competentes sobre posibles señales e indicios que se registren en el territorio”</w:t>
      </w:r>
      <w:r w:rsidR="00AB146D" w:rsidRPr="008818D3">
        <w:rPr>
          <w:spacing w:val="-4"/>
          <w:sz w:val="20"/>
          <w:szCs w:val="20"/>
          <w:lang w:val="es-CR"/>
        </w:rPr>
        <w:t xml:space="preserve">. </w:t>
      </w:r>
    </w:p>
    <w:p w14:paraId="506E878E" w14:textId="77777777" w:rsidR="008A199D" w:rsidRDefault="008A199D" w:rsidP="00350920">
      <w:pPr>
        <w:spacing w:after="0" w:line="240" w:lineRule="auto"/>
        <w:rPr>
          <w:rFonts w:ascii="Verdana" w:eastAsia="MS Mincho" w:hAnsi="Verdana"/>
          <w:b/>
          <w:i/>
          <w:sz w:val="20"/>
          <w:lang w:val="es-CR"/>
        </w:rPr>
      </w:pPr>
    </w:p>
    <w:p w14:paraId="748FE343" w14:textId="061721B7" w:rsidR="00887568" w:rsidRDefault="00887568" w:rsidP="00887568">
      <w:pPr>
        <w:pStyle w:val="Prrafodelista1"/>
        <w:numPr>
          <w:ilvl w:val="0"/>
          <w:numId w:val="3"/>
        </w:numPr>
        <w:tabs>
          <w:tab w:val="clear" w:pos="1068"/>
          <w:tab w:val="left" w:pos="720"/>
        </w:tabs>
        <w:ind w:left="0" w:firstLine="0"/>
        <w:jc w:val="both"/>
        <w:rPr>
          <w:rFonts w:eastAsia="MS Mincho"/>
          <w:b/>
          <w:i/>
          <w:sz w:val="20"/>
          <w:lang w:val="es-CR"/>
        </w:rPr>
      </w:pPr>
      <w:r>
        <w:rPr>
          <w:spacing w:val="-4"/>
          <w:sz w:val="20"/>
          <w:szCs w:val="20"/>
          <w:lang w:val="es-CR"/>
        </w:rPr>
        <w:t>Adicionalmente,</w:t>
      </w:r>
      <w:r w:rsidRPr="002409ED">
        <w:rPr>
          <w:spacing w:val="-4"/>
          <w:sz w:val="20"/>
          <w:szCs w:val="20"/>
          <w:lang w:val="es-MX"/>
        </w:rPr>
        <w:t xml:space="preserve"> </w:t>
      </w:r>
      <w:r>
        <w:rPr>
          <w:spacing w:val="-4"/>
          <w:sz w:val="20"/>
          <w:szCs w:val="20"/>
          <w:lang w:val="es-MX"/>
        </w:rPr>
        <w:t xml:space="preserve">Nicaragua </w:t>
      </w:r>
      <w:r w:rsidRPr="002409ED">
        <w:rPr>
          <w:spacing w:val="-4"/>
          <w:sz w:val="20"/>
          <w:szCs w:val="20"/>
          <w:lang w:val="es-MX"/>
        </w:rPr>
        <w:t xml:space="preserve">puso en conocimiento del Tribunal las </w:t>
      </w:r>
      <w:r>
        <w:rPr>
          <w:spacing w:val="-4"/>
          <w:sz w:val="20"/>
          <w:szCs w:val="20"/>
          <w:lang w:val="es-MX"/>
        </w:rPr>
        <w:t>“</w:t>
      </w:r>
      <w:r w:rsidRPr="002409ED">
        <w:rPr>
          <w:spacing w:val="-4"/>
          <w:sz w:val="20"/>
          <w:szCs w:val="20"/>
          <w:lang w:val="es-MX"/>
        </w:rPr>
        <w:t xml:space="preserve">acciones  a ejecutar por </w:t>
      </w:r>
      <w:r>
        <w:rPr>
          <w:spacing w:val="-4"/>
          <w:sz w:val="20"/>
          <w:szCs w:val="20"/>
          <w:lang w:val="es-MX"/>
        </w:rPr>
        <w:t>las</w:t>
      </w:r>
      <w:r w:rsidRPr="002409ED">
        <w:rPr>
          <w:spacing w:val="-4"/>
          <w:sz w:val="20"/>
          <w:szCs w:val="20"/>
          <w:lang w:val="es-MX"/>
        </w:rPr>
        <w:t xml:space="preserve"> instituciones</w:t>
      </w:r>
      <w:r>
        <w:rPr>
          <w:spacing w:val="-4"/>
          <w:sz w:val="20"/>
          <w:szCs w:val="20"/>
          <w:lang w:val="es-MX"/>
        </w:rPr>
        <w:t xml:space="preserve"> del Estado contra la</w:t>
      </w:r>
      <w:r w:rsidRPr="002409ED">
        <w:rPr>
          <w:spacing w:val="-4"/>
          <w:sz w:val="20"/>
          <w:szCs w:val="20"/>
          <w:lang w:val="es-MX"/>
        </w:rPr>
        <w:t xml:space="preserve"> violencia</w:t>
      </w:r>
      <w:r>
        <w:rPr>
          <w:spacing w:val="-4"/>
          <w:sz w:val="20"/>
          <w:szCs w:val="20"/>
          <w:lang w:val="es-MX"/>
        </w:rPr>
        <w:t xml:space="preserve"> para</w:t>
      </w:r>
      <w:r w:rsidRPr="002409ED">
        <w:rPr>
          <w:spacing w:val="-4"/>
          <w:sz w:val="20"/>
          <w:szCs w:val="20"/>
          <w:lang w:val="es-MX"/>
        </w:rPr>
        <w:t xml:space="preserve"> proteger y garantizar el respeto a la vida</w:t>
      </w:r>
      <w:r w:rsidRPr="006571A2">
        <w:rPr>
          <w:spacing w:val="-4"/>
          <w:sz w:val="20"/>
          <w:szCs w:val="20"/>
          <w:lang w:val="es-MX"/>
        </w:rPr>
        <w:t xml:space="preserve"> e integridad personal y territorial e identidad cultural del pueblo indígena </w:t>
      </w:r>
      <w:proofErr w:type="spellStart"/>
      <w:r w:rsidRPr="002856E3">
        <w:rPr>
          <w:spacing w:val="-4"/>
          <w:sz w:val="20"/>
          <w:szCs w:val="20"/>
          <w:lang w:val="es-MX"/>
        </w:rPr>
        <w:t>Miskitu</w:t>
      </w:r>
      <w:proofErr w:type="spellEnd"/>
      <w:r w:rsidRPr="006571A2">
        <w:rPr>
          <w:spacing w:val="-4"/>
          <w:sz w:val="20"/>
          <w:szCs w:val="20"/>
          <w:lang w:val="es-MX"/>
        </w:rPr>
        <w:t>”</w:t>
      </w:r>
      <w:r>
        <w:rPr>
          <w:rStyle w:val="FootnoteReference"/>
          <w:spacing w:val="-4"/>
          <w:sz w:val="20"/>
          <w:szCs w:val="20"/>
          <w:lang w:val="es-MX"/>
        </w:rPr>
        <w:footnoteReference w:id="15"/>
      </w:r>
      <w:r w:rsidRPr="002409ED">
        <w:rPr>
          <w:spacing w:val="-4"/>
          <w:sz w:val="20"/>
          <w:szCs w:val="20"/>
          <w:lang w:val="es-MX"/>
        </w:rPr>
        <w:t>.</w:t>
      </w:r>
    </w:p>
    <w:p w14:paraId="04A16D49" w14:textId="77777777" w:rsidR="008A199D" w:rsidRPr="00967598" w:rsidRDefault="008A199D" w:rsidP="00350920">
      <w:pPr>
        <w:pStyle w:val="Prrafodelista1"/>
        <w:tabs>
          <w:tab w:val="left" w:pos="720"/>
        </w:tabs>
        <w:jc w:val="both"/>
        <w:rPr>
          <w:rFonts w:eastAsia="MS Mincho"/>
          <w:sz w:val="20"/>
          <w:lang w:val="es-CR"/>
        </w:rPr>
      </w:pPr>
    </w:p>
    <w:p w14:paraId="5575F70F" w14:textId="50726267" w:rsidR="00E94376" w:rsidRPr="002A4BA1" w:rsidRDefault="005047D5" w:rsidP="009D4F0A">
      <w:pPr>
        <w:pStyle w:val="Prrafodelista1"/>
        <w:numPr>
          <w:ilvl w:val="0"/>
          <w:numId w:val="3"/>
        </w:numPr>
        <w:tabs>
          <w:tab w:val="clear" w:pos="1068"/>
          <w:tab w:val="left" w:pos="720"/>
        </w:tabs>
        <w:ind w:left="0" w:firstLine="0"/>
        <w:jc w:val="both"/>
        <w:rPr>
          <w:b/>
          <w:spacing w:val="-4"/>
          <w:sz w:val="20"/>
          <w:szCs w:val="20"/>
          <w:lang w:val="es-MX"/>
        </w:rPr>
      </w:pPr>
      <w:r>
        <w:rPr>
          <w:spacing w:val="-4"/>
          <w:sz w:val="20"/>
          <w:szCs w:val="20"/>
          <w:lang w:val="es-CR"/>
        </w:rPr>
        <w:t>L</w:t>
      </w:r>
      <w:r w:rsidR="00887568">
        <w:rPr>
          <w:spacing w:val="-4"/>
          <w:sz w:val="20"/>
          <w:szCs w:val="20"/>
          <w:lang w:val="es-MX"/>
        </w:rPr>
        <w:t xml:space="preserve">os </w:t>
      </w:r>
      <w:r w:rsidR="00887568">
        <w:rPr>
          <w:b/>
          <w:i/>
          <w:spacing w:val="-4"/>
          <w:sz w:val="20"/>
          <w:szCs w:val="20"/>
          <w:lang w:val="es-MX"/>
        </w:rPr>
        <w:t xml:space="preserve">representantes </w:t>
      </w:r>
      <w:r w:rsidR="00887568">
        <w:rPr>
          <w:spacing w:val="-4"/>
          <w:sz w:val="20"/>
          <w:szCs w:val="20"/>
          <w:lang w:val="es-MX"/>
        </w:rPr>
        <w:t xml:space="preserve">consideraron que </w:t>
      </w:r>
      <w:r w:rsidR="00F1252C">
        <w:rPr>
          <w:spacing w:val="-4"/>
          <w:sz w:val="20"/>
          <w:szCs w:val="20"/>
          <w:lang w:val="es-MX"/>
        </w:rPr>
        <w:t xml:space="preserve">el </w:t>
      </w:r>
      <w:r w:rsidR="003221CE">
        <w:rPr>
          <w:spacing w:val="-4"/>
          <w:sz w:val="20"/>
          <w:szCs w:val="20"/>
          <w:lang w:val="es-MX"/>
        </w:rPr>
        <w:t>i</w:t>
      </w:r>
      <w:r w:rsidR="00F1252C">
        <w:rPr>
          <w:spacing w:val="-4"/>
          <w:sz w:val="20"/>
          <w:szCs w:val="20"/>
          <w:lang w:val="es-MX"/>
        </w:rPr>
        <w:t xml:space="preserve">nforme </w:t>
      </w:r>
      <w:r w:rsidR="00887568" w:rsidRPr="009D4F0A">
        <w:rPr>
          <w:spacing w:val="-4"/>
          <w:sz w:val="20"/>
          <w:szCs w:val="20"/>
          <w:lang w:val="es-MX"/>
        </w:rPr>
        <w:t xml:space="preserve">presentado por el Estado </w:t>
      </w:r>
      <w:r w:rsidR="00887568">
        <w:rPr>
          <w:spacing w:val="-4"/>
          <w:sz w:val="20"/>
          <w:szCs w:val="20"/>
          <w:lang w:val="es-MX"/>
        </w:rPr>
        <w:t>sobre la implementación de medidas provisionales</w:t>
      </w:r>
      <w:r w:rsidR="00887568" w:rsidRPr="009D4F0A">
        <w:rPr>
          <w:spacing w:val="-4"/>
          <w:sz w:val="20"/>
          <w:szCs w:val="20"/>
          <w:lang w:val="es-MX"/>
        </w:rPr>
        <w:t xml:space="preserve"> </w:t>
      </w:r>
      <w:r w:rsidR="00F1252C">
        <w:rPr>
          <w:spacing w:val="-4"/>
          <w:sz w:val="20"/>
          <w:szCs w:val="20"/>
          <w:lang w:val="es-MX"/>
        </w:rPr>
        <w:t xml:space="preserve">no responde a lo ordenado por este Tribunal, al </w:t>
      </w:r>
      <w:r w:rsidR="00E94376" w:rsidRPr="009D4F0A">
        <w:rPr>
          <w:spacing w:val="-4"/>
          <w:sz w:val="20"/>
          <w:szCs w:val="20"/>
          <w:lang w:val="es-MX"/>
        </w:rPr>
        <w:t xml:space="preserve">no </w:t>
      </w:r>
      <w:r w:rsidR="009D4F0A" w:rsidRPr="009D4F0A">
        <w:rPr>
          <w:spacing w:val="-4"/>
          <w:sz w:val="20"/>
          <w:szCs w:val="20"/>
          <w:lang w:val="es-MX"/>
        </w:rPr>
        <w:t>establecer</w:t>
      </w:r>
      <w:r w:rsidR="00E94376" w:rsidRPr="009D4F0A">
        <w:rPr>
          <w:spacing w:val="-4"/>
          <w:sz w:val="20"/>
          <w:szCs w:val="20"/>
          <w:lang w:val="es-MX"/>
        </w:rPr>
        <w:t xml:space="preserve"> </w:t>
      </w:r>
      <w:r w:rsidR="00F1252C">
        <w:rPr>
          <w:spacing w:val="-4"/>
          <w:sz w:val="20"/>
          <w:szCs w:val="20"/>
          <w:lang w:val="es-MX"/>
        </w:rPr>
        <w:t>“</w:t>
      </w:r>
      <w:r w:rsidR="00E94376" w:rsidRPr="00887568">
        <w:rPr>
          <w:spacing w:val="-4"/>
          <w:sz w:val="20"/>
          <w:szCs w:val="20"/>
          <w:lang w:val="es-MX"/>
        </w:rPr>
        <w:t>información completa y pormenorizada</w:t>
      </w:r>
      <w:r w:rsidR="00E94376" w:rsidRPr="009D4F0A">
        <w:rPr>
          <w:spacing w:val="-4"/>
          <w:sz w:val="20"/>
          <w:szCs w:val="20"/>
          <w:lang w:val="es-MX"/>
        </w:rPr>
        <w:t xml:space="preserve"> sobre</w:t>
      </w:r>
      <w:r w:rsidR="009D4F0A" w:rsidRPr="009D4F0A">
        <w:rPr>
          <w:spacing w:val="-4"/>
          <w:sz w:val="20"/>
          <w:szCs w:val="20"/>
          <w:lang w:val="es-MX"/>
        </w:rPr>
        <w:t xml:space="preserve"> </w:t>
      </w:r>
      <w:r w:rsidR="00E94376" w:rsidRPr="009D4F0A">
        <w:rPr>
          <w:spacing w:val="-4"/>
          <w:sz w:val="20"/>
          <w:szCs w:val="20"/>
          <w:lang w:val="es-MX"/>
        </w:rPr>
        <w:t>las actuaciones realizadas para erradicar la violencia y garantizar el ejercicio de los</w:t>
      </w:r>
      <w:r w:rsidR="009D4F0A" w:rsidRPr="009D4F0A">
        <w:rPr>
          <w:spacing w:val="-4"/>
          <w:sz w:val="20"/>
          <w:szCs w:val="20"/>
          <w:lang w:val="es-MX"/>
        </w:rPr>
        <w:t xml:space="preserve"> </w:t>
      </w:r>
      <w:r w:rsidR="00E94376" w:rsidRPr="009D4F0A">
        <w:rPr>
          <w:spacing w:val="-4"/>
          <w:sz w:val="20"/>
          <w:szCs w:val="20"/>
          <w:lang w:val="es-MX"/>
        </w:rPr>
        <w:t xml:space="preserve">derechos humanos de quienes integran las </w:t>
      </w:r>
      <w:r w:rsidR="00E94376" w:rsidRPr="009D4F0A">
        <w:rPr>
          <w:spacing w:val="-4"/>
          <w:sz w:val="20"/>
          <w:szCs w:val="20"/>
          <w:lang w:val="es-MX"/>
        </w:rPr>
        <w:lastRenderedPageBreak/>
        <w:t>comunidades beneficiarias</w:t>
      </w:r>
      <w:r w:rsidR="00F1252C">
        <w:rPr>
          <w:spacing w:val="-4"/>
          <w:sz w:val="20"/>
          <w:szCs w:val="20"/>
          <w:lang w:val="es-MX"/>
        </w:rPr>
        <w:t>”</w:t>
      </w:r>
      <w:r w:rsidR="009D4F0A">
        <w:rPr>
          <w:spacing w:val="-4"/>
          <w:sz w:val="20"/>
          <w:szCs w:val="20"/>
          <w:lang w:val="es-MX"/>
        </w:rPr>
        <w:t xml:space="preserve"> de las medidas provisionales</w:t>
      </w:r>
      <w:r w:rsidR="00E94376" w:rsidRPr="009D4F0A">
        <w:rPr>
          <w:spacing w:val="-4"/>
          <w:sz w:val="20"/>
          <w:szCs w:val="20"/>
          <w:lang w:val="es-MX"/>
        </w:rPr>
        <w:t xml:space="preserve">. </w:t>
      </w:r>
      <w:r w:rsidR="00845C77">
        <w:rPr>
          <w:spacing w:val="-4"/>
          <w:sz w:val="20"/>
          <w:szCs w:val="20"/>
          <w:lang w:val="es-MX"/>
        </w:rPr>
        <w:t>E</w:t>
      </w:r>
      <w:r w:rsidR="00FA1C30">
        <w:rPr>
          <w:spacing w:val="-4"/>
          <w:sz w:val="20"/>
          <w:szCs w:val="20"/>
          <w:lang w:val="es-MX"/>
        </w:rPr>
        <w:t>n particular,</w:t>
      </w:r>
      <w:r w:rsidR="00845C77">
        <w:rPr>
          <w:spacing w:val="-4"/>
          <w:sz w:val="20"/>
          <w:szCs w:val="20"/>
          <w:lang w:val="es-MX"/>
        </w:rPr>
        <w:t xml:space="preserve"> </w:t>
      </w:r>
      <w:r w:rsidR="003D3E2C">
        <w:rPr>
          <w:spacing w:val="-4"/>
          <w:sz w:val="20"/>
          <w:szCs w:val="20"/>
          <w:lang w:val="es-MX"/>
        </w:rPr>
        <w:t xml:space="preserve">en sus observaciones al Informe, </w:t>
      </w:r>
      <w:r w:rsidR="00845C77">
        <w:rPr>
          <w:spacing w:val="-4"/>
          <w:sz w:val="20"/>
          <w:szCs w:val="20"/>
          <w:lang w:val="es-MX"/>
        </w:rPr>
        <w:t>destacaron</w:t>
      </w:r>
      <w:r w:rsidR="00FA1C30">
        <w:rPr>
          <w:spacing w:val="-4"/>
          <w:sz w:val="20"/>
          <w:szCs w:val="20"/>
          <w:lang w:val="es-MX"/>
        </w:rPr>
        <w:t xml:space="preserve"> los siguientes aspectos:</w:t>
      </w:r>
    </w:p>
    <w:p w14:paraId="164041A3" w14:textId="77777777" w:rsidR="009D4F0A" w:rsidRDefault="009D4F0A" w:rsidP="00F543D1">
      <w:pPr>
        <w:pStyle w:val="Prrafodelista1"/>
        <w:tabs>
          <w:tab w:val="left" w:pos="720"/>
        </w:tabs>
        <w:jc w:val="both"/>
        <w:rPr>
          <w:b/>
          <w:spacing w:val="-4"/>
          <w:sz w:val="20"/>
          <w:szCs w:val="20"/>
          <w:lang w:val="es-MX"/>
        </w:rPr>
      </w:pPr>
    </w:p>
    <w:p w14:paraId="4C991F06" w14:textId="08DF569A" w:rsidR="00FA1C30" w:rsidRDefault="004E3598" w:rsidP="002A4BA1">
      <w:pPr>
        <w:pStyle w:val="Prrafodelista1"/>
        <w:numPr>
          <w:ilvl w:val="0"/>
          <w:numId w:val="14"/>
        </w:numPr>
        <w:tabs>
          <w:tab w:val="left" w:pos="720"/>
        </w:tabs>
        <w:ind w:left="720"/>
        <w:jc w:val="both"/>
        <w:rPr>
          <w:b/>
          <w:spacing w:val="-4"/>
          <w:sz w:val="20"/>
          <w:szCs w:val="20"/>
          <w:lang w:val="es-MX"/>
        </w:rPr>
      </w:pPr>
      <w:r>
        <w:rPr>
          <w:spacing w:val="-4"/>
          <w:sz w:val="20"/>
          <w:szCs w:val="20"/>
          <w:lang w:val="es-MX"/>
        </w:rPr>
        <w:t>Sobre</w:t>
      </w:r>
      <w:r w:rsidR="009D4F0A">
        <w:rPr>
          <w:spacing w:val="-4"/>
          <w:sz w:val="20"/>
          <w:szCs w:val="20"/>
          <w:lang w:val="es-MX"/>
        </w:rPr>
        <w:t xml:space="preserve"> la </w:t>
      </w:r>
      <w:r w:rsidR="009D4F0A" w:rsidRPr="002856E3">
        <w:rPr>
          <w:spacing w:val="-4"/>
          <w:sz w:val="20"/>
          <w:szCs w:val="20"/>
          <w:lang w:val="es-MX"/>
        </w:rPr>
        <w:t>exclusión social y el desplazamiento en la Costa Caribe Norte</w:t>
      </w:r>
      <w:r w:rsidR="009D4F0A">
        <w:rPr>
          <w:spacing w:val="-4"/>
          <w:sz w:val="20"/>
          <w:szCs w:val="20"/>
          <w:lang w:val="es-MX"/>
        </w:rPr>
        <w:t>, hicieron alusión a las precarias condiciones sociales en las que se encuentran las poblaciones afectadas, condiciones que</w:t>
      </w:r>
      <w:r w:rsidR="002821E4">
        <w:rPr>
          <w:spacing w:val="-4"/>
          <w:sz w:val="20"/>
          <w:szCs w:val="20"/>
          <w:lang w:val="es-MX"/>
        </w:rPr>
        <w:t>,</w:t>
      </w:r>
      <w:r w:rsidR="009D4F0A">
        <w:rPr>
          <w:spacing w:val="-4"/>
          <w:sz w:val="20"/>
          <w:szCs w:val="20"/>
          <w:lang w:val="es-MX"/>
        </w:rPr>
        <w:t xml:space="preserve"> </w:t>
      </w:r>
      <w:r w:rsidR="00F543D1">
        <w:rPr>
          <w:spacing w:val="-4"/>
          <w:sz w:val="20"/>
          <w:szCs w:val="20"/>
          <w:lang w:val="es-MX"/>
        </w:rPr>
        <w:t xml:space="preserve">según </w:t>
      </w:r>
      <w:r w:rsidR="009D4F0A">
        <w:rPr>
          <w:spacing w:val="-4"/>
          <w:sz w:val="20"/>
          <w:szCs w:val="20"/>
          <w:lang w:val="es-MX"/>
        </w:rPr>
        <w:t>refirieron</w:t>
      </w:r>
      <w:r w:rsidR="002821E4">
        <w:rPr>
          <w:spacing w:val="-4"/>
          <w:sz w:val="20"/>
          <w:szCs w:val="20"/>
          <w:lang w:val="es-MX"/>
        </w:rPr>
        <w:t>,</w:t>
      </w:r>
      <w:r w:rsidR="009D4F0A">
        <w:rPr>
          <w:spacing w:val="-4"/>
          <w:sz w:val="20"/>
          <w:szCs w:val="20"/>
          <w:lang w:val="es-MX"/>
        </w:rPr>
        <w:t xml:space="preserve"> se han agravado por la situación de violencia en la región</w:t>
      </w:r>
      <w:r w:rsidR="00887568">
        <w:rPr>
          <w:rStyle w:val="FootnoteReference"/>
          <w:spacing w:val="-4"/>
          <w:sz w:val="20"/>
          <w:szCs w:val="20"/>
          <w:lang w:val="es-MX"/>
        </w:rPr>
        <w:footnoteReference w:id="16"/>
      </w:r>
      <w:r w:rsidR="00CC2E11" w:rsidRPr="00CC2E11">
        <w:rPr>
          <w:spacing w:val="-4"/>
          <w:sz w:val="20"/>
          <w:szCs w:val="20"/>
          <w:lang w:val="es-MX"/>
        </w:rPr>
        <w:t>.</w:t>
      </w:r>
      <w:r w:rsidR="00CC2E11">
        <w:rPr>
          <w:spacing w:val="-4"/>
          <w:sz w:val="20"/>
          <w:szCs w:val="20"/>
          <w:lang w:val="es-MX"/>
        </w:rPr>
        <w:t xml:space="preserve"> Al respecto</w:t>
      </w:r>
      <w:r w:rsidR="00162D3C">
        <w:rPr>
          <w:spacing w:val="-4"/>
          <w:sz w:val="20"/>
          <w:szCs w:val="20"/>
          <w:lang w:val="es-MX"/>
        </w:rPr>
        <w:t>,</w:t>
      </w:r>
      <w:r w:rsidR="000B4D95" w:rsidRPr="000B4D95">
        <w:rPr>
          <w:spacing w:val="-4"/>
          <w:sz w:val="20"/>
          <w:szCs w:val="20"/>
          <w:lang w:val="es-MX"/>
        </w:rPr>
        <w:t xml:space="preserve"> solicitaron</w:t>
      </w:r>
      <w:r w:rsidR="00F543D1">
        <w:rPr>
          <w:spacing w:val="-4"/>
          <w:sz w:val="20"/>
          <w:szCs w:val="20"/>
          <w:lang w:val="es-MX"/>
        </w:rPr>
        <w:t xml:space="preserve"> a la Corte que requiriera al Estado que presente </w:t>
      </w:r>
      <w:r w:rsidR="00F543D1" w:rsidRPr="00162D3C">
        <w:rPr>
          <w:spacing w:val="-4"/>
          <w:sz w:val="20"/>
          <w:szCs w:val="20"/>
          <w:lang w:val="es-MX"/>
        </w:rPr>
        <w:t>información actualizada y detallada</w:t>
      </w:r>
      <w:r w:rsidR="00F543D1">
        <w:rPr>
          <w:spacing w:val="-4"/>
          <w:sz w:val="20"/>
          <w:szCs w:val="20"/>
          <w:lang w:val="es-MX"/>
        </w:rPr>
        <w:t xml:space="preserve"> sobre las condiciones actuales de las personas forzosamente desplazadas de las comunidades beneficiarias de las medidas y las acciones que está llevando a cabo para revertir dicha situación. </w:t>
      </w:r>
    </w:p>
    <w:p w14:paraId="4A4F8C7F" w14:textId="77777777" w:rsidR="00FA1C30" w:rsidRPr="002A4BA1" w:rsidRDefault="00FA1C30" w:rsidP="002A4BA1">
      <w:pPr>
        <w:pStyle w:val="Prrafodelista1"/>
        <w:tabs>
          <w:tab w:val="left" w:pos="720"/>
        </w:tabs>
        <w:ind w:left="720"/>
        <w:jc w:val="both"/>
        <w:rPr>
          <w:b/>
          <w:spacing w:val="-4"/>
          <w:sz w:val="20"/>
          <w:szCs w:val="20"/>
          <w:lang w:val="es-MX"/>
        </w:rPr>
      </w:pPr>
    </w:p>
    <w:p w14:paraId="44CA7FB2" w14:textId="7B0A0FE8" w:rsidR="00FA1C30" w:rsidRPr="003D3E2C" w:rsidRDefault="00F543D1" w:rsidP="002A4BA1">
      <w:pPr>
        <w:pStyle w:val="Prrafodelista1"/>
        <w:numPr>
          <w:ilvl w:val="0"/>
          <w:numId w:val="14"/>
        </w:numPr>
        <w:tabs>
          <w:tab w:val="left" w:pos="720"/>
        </w:tabs>
        <w:ind w:left="720"/>
        <w:jc w:val="both"/>
        <w:rPr>
          <w:b/>
          <w:spacing w:val="-4"/>
          <w:sz w:val="20"/>
          <w:szCs w:val="20"/>
          <w:lang w:val="es-MX"/>
        </w:rPr>
      </w:pPr>
      <w:r w:rsidRPr="00162D3C">
        <w:rPr>
          <w:spacing w:val="-4"/>
          <w:sz w:val="20"/>
          <w:szCs w:val="20"/>
          <w:lang w:val="es-MX"/>
        </w:rPr>
        <w:t xml:space="preserve">En cuanto a la </w:t>
      </w:r>
      <w:r w:rsidRPr="002856E3">
        <w:rPr>
          <w:spacing w:val="-4"/>
          <w:sz w:val="20"/>
          <w:szCs w:val="20"/>
          <w:lang w:val="es-MX"/>
        </w:rPr>
        <w:t>titulación y saneamiento de los territorios</w:t>
      </w:r>
      <w:r w:rsidRPr="00162D3C">
        <w:rPr>
          <w:spacing w:val="-4"/>
          <w:sz w:val="20"/>
          <w:szCs w:val="20"/>
          <w:lang w:val="es-MX"/>
        </w:rPr>
        <w:t>, observaron que el Estado no aportó información concreta, pormenor</w:t>
      </w:r>
      <w:r w:rsidRPr="003D3E2C">
        <w:rPr>
          <w:spacing w:val="-4"/>
          <w:sz w:val="20"/>
          <w:szCs w:val="20"/>
          <w:lang w:val="es-MX"/>
        </w:rPr>
        <w:t>izada y corroborada respecto de las acciones supuestamente llevadas a cabo para lograr el saneamiento efectivo de las comunidades beneficiarias de las medidas</w:t>
      </w:r>
      <w:r w:rsidR="00162D3C" w:rsidRPr="00BF5186">
        <w:rPr>
          <w:rStyle w:val="FootnoteReference"/>
          <w:spacing w:val="-4"/>
          <w:sz w:val="20"/>
          <w:szCs w:val="20"/>
          <w:lang w:val="es-MX"/>
        </w:rPr>
        <w:footnoteReference w:id="17"/>
      </w:r>
      <w:r w:rsidRPr="00BF5186">
        <w:rPr>
          <w:spacing w:val="-4"/>
          <w:sz w:val="20"/>
          <w:szCs w:val="20"/>
          <w:lang w:val="es-MX"/>
        </w:rPr>
        <w:t xml:space="preserve">. Por tal razón, </w:t>
      </w:r>
      <w:r w:rsidR="000F1CC1" w:rsidRPr="00BF5186">
        <w:rPr>
          <w:spacing w:val="-4"/>
          <w:sz w:val="20"/>
          <w:szCs w:val="20"/>
          <w:lang w:val="es-MX"/>
        </w:rPr>
        <w:t>pidieron que</w:t>
      </w:r>
      <w:r w:rsidRPr="00EC7626">
        <w:rPr>
          <w:spacing w:val="-4"/>
          <w:sz w:val="20"/>
          <w:szCs w:val="20"/>
          <w:lang w:val="es-MX"/>
        </w:rPr>
        <w:t xml:space="preserve"> este Tribunal requiera al Estado que aporte </w:t>
      </w:r>
      <w:r w:rsidRPr="00162D3C">
        <w:rPr>
          <w:spacing w:val="-4"/>
          <w:sz w:val="20"/>
          <w:szCs w:val="20"/>
          <w:lang w:val="es-MX"/>
        </w:rPr>
        <w:t>información actualizada y pormenorizada sobre las acciones que supuestamente está llevando a cabo para sanear los territorios de las comunidades beneficiarias</w:t>
      </w:r>
      <w:r w:rsidRPr="003D3E2C">
        <w:rPr>
          <w:spacing w:val="-4"/>
          <w:sz w:val="20"/>
          <w:szCs w:val="20"/>
          <w:lang w:val="es-MX"/>
        </w:rPr>
        <w:t xml:space="preserve">. </w:t>
      </w:r>
    </w:p>
    <w:p w14:paraId="6EB5D679" w14:textId="77777777" w:rsidR="00F543D1" w:rsidRDefault="00F543D1" w:rsidP="000B4D95">
      <w:pPr>
        <w:pStyle w:val="ListParagraph"/>
        <w:rPr>
          <w:b/>
          <w:spacing w:val="-4"/>
          <w:sz w:val="20"/>
          <w:lang w:val="es-MX"/>
        </w:rPr>
      </w:pPr>
    </w:p>
    <w:p w14:paraId="156A040B" w14:textId="4C113FCD" w:rsidR="003D3E2C" w:rsidRDefault="003D3E2C" w:rsidP="003D3E2C">
      <w:pPr>
        <w:pStyle w:val="Prrafodelista1"/>
        <w:numPr>
          <w:ilvl w:val="0"/>
          <w:numId w:val="14"/>
        </w:numPr>
        <w:tabs>
          <w:tab w:val="left" w:pos="720"/>
        </w:tabs>
        <w:ind w:left="720"/>
        <w:jc w:val="both"/>
        <w:rPr>
          <w:b/>
          <w:spacing w:val="-4"/>
          <w:sz w:val="20"/>
          <w:szCs w:val="20"/>
          <w:lang w:val="es-MX"/>
        </w:rPr>
      </w:pPr>
      <w:r w:rsidRPr="00FA1C30">
        <w:rPr>
          <w:spacing w:val="-4"/>
          <w:sz w:val="20"/>
          <w:szCs w:val="20"/>
          <w:lang w:val="es-MX"/>
        </w:rPr>
        <w:t xml:space="preserve">Por lo que respecta a la </w:t>
      </w:r>
      <w:r w:rsidRPr="002856E3">
        <w:rPr>
          <w:spacing w:val="-4"/>
          <w:sz w:val="20"/>
          <w:szCs w:val="20"/>
          <w:lang w:val="es-MX"/>
        </w:rPr>
        <w:t>seguridad ciudadana y el acceso a la justicia</w:t>
      </w:r>
      <w:r w:rsidRPr="00FA1C30">
        <w:rPr>
          <w:spacing w:val="-4"/>
          <w:sz w:val="20"/>
          <w:szCs w:val="20"/>
          <w:lang w:val="es-MX"/>
        </w:rPr>
        <w:t xml:space="preserve">, en </w:t>
      </w:r>
      <w:r>
        <w:rPr>
          <w:spacing w:val="-4"/>
          <w:sz w:val="20"/>
          <w:szCs w:val="20"/>
          <w:lang w:val="es-MX"/>
        </w:rPr>
        <w:t>específico</w:t>
      </w:r>
      <w:r w:rsidRPr="00FA1C30">
        <w:rPr>
          <w:spacing w:val="-4"/>
          <w:sz w:val="20"/>
          <w:szCs w:val="20"/>
          <w:lang w:val="es-MX"/>
        </w:rPr>
        <w:t xml:space="preserve"> respecto a las unidades militares desplegadas en las zonas</w:t>
      </w:r>
      <w:r>
        <w:rPr>
          <w:spacing w:val="-4"/>
          <w:sz w:val="20"/>
          <w:szCs w:val="20"/>
          <w:lang w:val="es-MX"/>
        </w:rPr>
        <w:t xml:space="preserve"> afectadas</w:t>
      </w:r>
      <w:r w:rsidRPr="002A4BA1">
        <w:rPr>
          <w:spacing w:val="-4"/>
          <w:sz w:val="20"/>
          <w:szCs w:val="20"/>
          <w:lang w:val="es-MX"/>
        </w:rPr>
        <w:t>, los representantes manifestaron que “</w:t>
      </w:r>
      <w:r w:rsidRPr="00C526EC">
        <w:rPr>
          <w:spacing w:val="-4"/>
          <w:sz w:val="20"/>
          <w:szCs w:val="20"/>
          <w:lang w:val="es-MX"/>
        </w:rPr>
        <w:t xml:space="preserve">cuando los comunitarios se han acercado a dichas unidades para solicitar protección y seguridad, la respuesta ha sido negativa”. </w:t>
      </w:r>
    </w:p>
    <w:p w14:paraId="416F786C" w14:textId="77777777" w:rsidR="003D3E2C" w:rsidRDefault="003D3E2C" w:rsidP="003D3E2C">
      <w:pPr>
        <w:pStyle w:val="ListParagraph"/>
        <w:rPr>
          <w:b/>
          <w:spacing w:val="-4"/>
          <w:sz w:val="20"/>
          <w:lang w:val="es-MX"/>
        </w:rPr>
      </w:pPr>
    </w:p>
    <w:p w14:paraId="4EF38157" w14:textId="3F26F788" w:rsidR="00F543D1" w:rsidRPr="003D3E2C" w:rsidRDefault="00F543D1" w:rsidP="002A4BA1">
      <w:pPr>
        <w:pStyle w:val="Prrafodelista1"/>
        <w:numPr>
          <w:ilvl w:val="0"/>
          <w:numId w:val="14"/>
        </w:numPr>
        <w:tabs>
          <w:tab w:val="left" w:pos="720"/>
        </w:tabs>
        <w:ind w:left="720"/>
        <w:jc w:val="both"/>
        <w:rPr>
          <w:spacing w:val="-4"/>
          <w:sz w:val="20"/>
          <w:szCs w:val="20"/>
          <w:lang w:val="es-MX"/>
        </w:rPr>
      </w:pPr>
      <w:r w:rsidRPr="00162D3C">
        <w:rPr>
          <w:spacing w:val="-4"/>
          <w:sz w:val="20"/>
          <w:szCs w:val="20"/>
          <w:lang w:val="es-MX"/>
        </w:rPr>
        <w:t xml:space="preserve">Sobre la investigación de los hechos y el acceso a la justicia, </w:t>
      </w:r>
      <w:r w:rsidR="004E3598">
        <w:rPr>
          <w:spacing w:val="-4"/>
          <w:sz w:val="20"/>
          <w:szCs w:val="20"/>
          <w:lang w:val="es-MX"/>
        </w:rPr>
        <w:t xml:space="preserve">específicamente </w:t>
      </w:r>
      <w:r w:rsidR="000B4D95" w:rsidRPr="00162D3C">
        <w:rPr>
          <w:spacing w:val="-4"/>
          <w:sz w:val="20"/>
          <w:szCs w:val="20"/>
          <w:lang w:val="es-MX"/>
        </w:rPr>
        <w:t>la afirmación d</w:t>
      </w:r>
      <w:r w:rsidRPr="00162D3C">
        <w:rPr>
          <w:spacing w:val="-4"/>
          <w:sz w:val="20"/>
          <w:szCs w:val="20"/>
          <w:lang w:val="es-MX"/>
        </w:rPr>
        <w:t xml:space="preserve">el Estado </w:t>
      </w:r>
      <w:r w:rsidR="000B4D95" w:rsidRPr="003D3E2C">
        <w:rPr>
          <w:spacing w:val="-4"/>
          <w:sz w:val="20"/>
          <w:szCs w:val="20"/>
          <w:lang w:val="es-MX"/>
        </w:rPr>
        <w:t xml:space="preserve">sobre la inexistencia de </w:t>
      </w:r>
      <w:r w:rsidRPr="003D3E2C">
        <w:rPr>
          <w:spacing w:val="-4"/>
          <w:sz w:val="20"/>
          <w:szCs w:val="20"/>
          <w:lang w:val="es-MX"/>
        </w:rPr>
        <w:t xml:space="preserve">denuncias relacionadas con los hechos que dan origen a las medidas, </w:t>
      </w:r>
      <w:r w:rsidR="000B4D95" w:rsidRPr="00BF5186">
        <w:rPr>
          <w:spacing w:val="-4"/>
          <w:sz w:val="20"/>
          <w:szCs w:val="20"/>
          <w:lang w:val="es-MX"/>
        </w:rPr>
        <w:t xml:space="preserve">los representares pusieron en conocimiento de esta Corte </w:t>
      </w:r>
      <w:r w:rsidRPr="00BF5186">
        <w:rPr>
          <w:spacing w:val="-4"/>
          <w:sz w:val="20"/>
          <w:szCs w:val="20"/>
          <w:lang w:val="es-MX"/>
        </w:rPr>
        <w:t xml:space="preserve">diversas denuncias que se han realizado </w:t>
      </w:r>
      <w:r w:rsidR="000B4D95" w:rsidRPr="00EC7626">
        <w:rPr>
          <w:spacing w:val="-4"/>
          <w:sz w:val="20"/>
          <w:szCs w:val="20"/>
          <w:lang w:val="es-MX"/>
        </w:rPr>
        <w:t>en este sentido</w:t>
      </w:r>
      <w:r w:rsidR="000B4D95" w:rsidRPr="003D3E2C">
        <w:rPr>
          <w:rStyle w:val="FootnoteReference"/>
          <w:spacing w:val="-4"/>
          <w:sz w:val="20"/>
          <w:szCs w:val="20"/>
          <w:lang w:val="es-MX"/>
        </w:rPr>
        <w:footnoteReference w:id="18"/>
      </w:r>
      <w:r w:rsidR="0048292C" w:rsidRPr="003D3E2C">
        <w:rPr>
          <w:spacing w:val="-4"/>
          <w:sz w:val="20"/>
          <w:szCs w:val="20"/>
          <w:lang w:val="es-MX"/>
        </w:rPr>
        <w:t xml:space="preserve">, a </w:t>
      </w:r>
      <w:r w:rsidR="000B4D95" w:rsidRPr="003D3E2C">
        <w:rPr>
          <w:spacing w:val="-4"/>
          <w:sz w:val="20"/>
          <w:szCs w:val="20"/>
          <w:lang w:val="es-MX"/>
        </w:rPr>
        <w:t xml:space="preserve">ello adicionaron que los hechos que ocurren son de público conocimiento. </w:t>
      </w:r>
      <w:r w:rsidR="000B4D95" w:rsidRPr="00BF5186">
        <w:rPr>
          <w:spacing w:val="-4"/>
          <w:sz w:val="20"/>
          <w:szCs w:val="20"/>
          <w:lang w:val="es-MX"/>
        </w:rPr>
        <w:t xml:space="preserve">En virtud de lo </w:t>
      </w:r>
      <w:r w:rsidR="00162D3C">
        <w:rPr>
          <w:spacing w:val="-4"/>
          <w:sz w:val="20"/>
          <w:szCs w:val="20"/>
          <w:lang w:val="es-MX"/>
        </w:rPr>
        <w:t>aludido</w:t>
      </w:r>
      <w:r w:rsidR="00244C96" w:rsidRPr="00162D3C">
        <w:rPr>
          <w:spacing w:val="-4"/>
          <w:sz w:val="20"/>
          <w:szCs w:val="20"/>
          <w:lang w:val="es-MX"/>
        </w:rPr>
        <w:t>,</w:t>
      </w:r>
      <w:r w:rsidR="000B4D95" w:rsidRPr="00162D3C">
        <w:rPr>
          <w:spacing w:val="-4"/>
          <w:sz w:val="20"/>
          <w:szCs w:val="20"/>
          <w:lang w:val="es-MX"/>
        </w:rPr>
        <w:t xml:space="preserve"> solicitaron que este Tribunal requiera al Estado información actualizada y pormenorizada sobre las diligencias que está llevando a cabo para investigar cada uno de los hechos denunciados en el marco de estas medidas. </w:t>
      </w:r>
      <w:r w:rsidR="000B4D95" w:rsidRPr="003D3E2C">
        <w:rPr>
          <w:spacing w:val="-4"/>
          <w:sz w:val="20"/>
          <w:szCs w:val="20"/>
          <w:lang w:val="es-MX"/>
        </w:rPr>
        <w:t xml:space="preserve"> </w:t>
      </w:r>
    </w:p>
    <w:p w14:paraId="09BA50AA" w14:textId="77777777" w:rsidR="002A4BA1" w:rsidRPr="002A4BA1" w:rsidRDefault="002A4BA1" w:rsidP="002A4BA1">
      <w:pPr>
        <w:pStyle w:val="Prrafodelista1"/>
        <w:tabs>
          <w:tab w:val="left" w:pos="720"/>
        </w:tabs>
        <w:jc w:val="both"/>
        <w:rPr>
          <w:b/>
          <w:spacing w:val="-4"/>
          <w:sz w:val="20"/>
          <w:szCs w:val="20"/>
          <w:lang w:val="es-MX"/>
        </w:rPr>
      </w:pPr>
    </w:p>
    <w:p w14:paraId="4FD68D38" w14:textId="2A12ECF8" w:rsidR="002A4BA1" w:rsidRDefault="002A4BA1" w:rsidP="002A4BA1">
      <w:pPr>
        <w:pStyle w:val="Prrafodelista1"/>
        <w:numPr>
          <w:ilvl w:val="0"/>
          <w:numId w:val="3"/>
        </w:numPr>
        <w:tabs>
          <w:tab w:val="clear" w:pos="1068"/>
          <w:tab w:val="left" w:pos="720"/>
        </w:tabs>
        <w:ind w:left="0" w:firstLine="0"/>
        <w:jc w:val="both"/>
        <w:rPr>
          <w:rFonts w:eastAsia="MS Mincho"/>
          <w:sz w:val="20"/>
        </w:rPr>
      </w:pPr>
      <w:r>
        <w:rPr>
          <w:rFonts w:eastAsia="MS Mincho"/>
          <w:sz w:val="20"/>
        </w:rPr>
        <w:t xml:space="preserve">Asimismo, los representantes observaron que el Estado no ha facilitado espacios de diálogo para que las medidas se planifiquen e implementen con la participación de los beneficiarios </w:t>
      </w:r>
      <w:r w:rsidR="00875A76">
        <w:rPr>
          <w:rFonts w:eastAsia="MS Mincho"/>
          <w:sz w:val="20"/>
        </w:rPr>
        <w:t xml:space="preserve">o sus representantes </w:t>
      </w:r>
      <w:r>
        <w:rPr>
          <w:rFonts w:eastAsia="MS Mincho"/>
          <w:sz w:val="20"/>
        </w:rPr>
        <w:t xml:space="preserve">y resaltaron que no han sido </w:t>
      </w:r>
      <w:r w:rsidR="00875A76">
        <w:rPr>
          <w:rFonts w:eastAsia="MS Mincho"/>
          <w:sz w:val="20"/>
        </w:rPr>
        <w:t xml:space="preserve">convocados por el Estado </w:t>
      </w:r>
      <w:r>
        <w:rPr>
          <w:rFonts w:eastAsia="MS Mincho"/>
          <w:sz w:val="20"/>
        </w:rPr>
        <w:t>para la conformación de la instancia interinstitucional a que se hace referencia en el Resolutivo 2 de la Resoluci</w:t>
      </w:r>
      <w:r w:rsidR="00003D0B">
        <w:rPr>
          <w:rFonts w:eastAsia="MS Mincho"/>
          <w:sz w:val="20"/>
        </w:rPr>
        <w:t>ón de este</w:t>
      </w:r>
      <w:r>
        <w:rPr>
          <w:rFonts w:eastAsia="MS Mincho"/>
          <w:sz w:val="20"/>
        </w:rPr>
        <w:t xml:space="preserve"> Tribunal por la que se ordena la adopción de las medidas provisionales</w:t>
      </w:r>
      <w:r w:rsidR="00003D0B">
        <w:rPr>
          <w:rFonts w:eastAsia="MS Mincho"/>
          <w:sz w:val="20"/>
        </w:rPr>
        <w:t xml:space="preserve"> en el presente asunto</w:t>
      </w:r>
      <w:r>
        <w:rPr>
          <w:rFonts w:eastAsia="MS Mincho"/>
          <w:sz w:val="20"/>
        </w:rPr>
        <w:t>.</w:t>
      </w:r>
    </w:p>
    <w:p w14:paraId="74F46E6A" w14:textId="77777777" w:rsidR="002A4BA1" w:rsidRDefault="002A4BA1" w:rsidP="002A4BA1">
      <w:pPr>
        <w:pStyle w:val="Prrafodelista1"/>
        <w:tabs>
          <w:tab w:val="left" w:pos="720"/>
        </w:tabs>
        <w:jc w:val="both"/>
        <w:rPr>
          <w:rFonts w:eastAsia="MS Mincho"/>
          <w:sz w:val="20"/>
        </w:rPr>
      </w:pPr>
    </w:p>
    <w:p w14:paraId="603CC6E0" w14:textId="7817F5BC" w:rsidR="002A4BA1" w:rsidRDefault="002A4BA1" w:rsidP="002A4BA1">
      <w:pPr>
        <w:pStyle w:val="Prrafodelista1"/>
        <w:numPr>
          <w:ilvl w:val="0"/>
          <w:numId w:val="3"/>
        </w:numPr>
        <w:tabs>
          <w:tab w:val="clear" w:pos="1068"/>
          <w:tab w:val="left" w:pos="720"/>
        </w:tabs>
        <w:ind w:left="0" w:firstLine="0"/>
        <w:jc w:val="both"/>
        <w:rPr>
          <w:rFonts w:eastAsia="MS Mincho"/>
          <w:sz w:val="20"/>
        </w:rPr>
      </w:pPr>
      <w:r>
        <w:rPr>
          <w:rFonts w:eastAsia="MS Mincho"/>
          <w:sz w:val="20"/>
        </w:rPr>
        <w:t>Considerando lo</w:t>
      </w:r>
      <w:r w:rsidR="00443C48">
        <w:rPr>
          <w:rFonts w:eastAsia="MS Mincho"/>
          <w:sz w:val="20"/>
        </w:rPr>
        <w:t xml:space="preserve"> dicho</w:t>
      </w:r>
      <w:r>
        <w:rPr>
          <w:rFonts w:eastAsia="MS Mincho"/>
          <w:sz w:val="20"/>
        </w:rPr>
        <w:t xml:space="preserve">, solicitaron a esta Corte que reitere al Estado su obligación de cumplir con las medidas y, en tal sentido, convoque a las víctimas y organizaciones representantes a una reunión con el objetivo de definir las medidas de protección para que estas sean implementadas de inmediato y en forma efectiva, así como para definir la </w:t>
      </w:r>
      <w:r>
        <w:rPr>
          <w:rFonts w:eastAsia="MS Mincho"/>
          <w:sz w:val="20"/>
        </w:rPr>
        <w:lastRenderedPageBreak/>
        <w:t>conformación de la instancia que tendría como fin abordar las causas estructurales del conflicto.</w:t>
      </w:r>
    </w:p>
    <w:p w14:paraId="72635DAA" w14:textId="77777777" w:rsidR="002A4BA1" w:rsidRDefault="002A4BA1" w:rsidP="002A4BA1">
      <w:pPr>
        <w:pStyle w:val="Prrafodelista1"/>
        <w:tabs>
          <w:tab w:val="left" w:pos="720"/>
        </w:tabs>
        <w:jc w:val="both"/>
        <w:rPr>
          <w:spacing w:val="-4"/>
          <w:sz w:val="20"/>
          <w:szCs w:val="20"/>
          <w:lang w:val="es-MX"/>
        </w:rPr>
      </w:pPr>
    </w:p>
    <w:p w14:paraId="78ADF8A3" w14:textId="7DB6DA51" w:rsidR="008416DA" w:rsidRPr="003D3E2C" w:rsidRDefault="008416DA" w:rsidP="008448C6">
      <w:pPr>
        <w:spacing w:after="0"/>
        <w:rPr>
          <w:rFonts w:ascii="Verdana" w:eastAsia="MS Mincho" w:hAnsi="Verdana"/>
          <w:b/>
          <w:i/>
          <w:sz w:val="20"/>
        </w:rPr>
      </w:pPr>
      <w:r w:rsidRPr="002856E3">
        <w:rPr>
          <w:rFonts w:ascii="Verdana" w:eastAsia="MS Mincho" w:hAnsi="Verdana"/>
          <w:b/>
          <w:i/>
          <w:sz w:val="20"/>
          <w:lang w:val="es-CR"/>
        </w:rPr>
        <w:t>Consideraciones</w:t>
      </w:r>
      <w:r w:rsidRPr="003D3E2C">
        <w:rPr>
          <w:rFonts w:ascii="Verdana" w:eastAsia="MS Mincho" w:hAnsi="Verdana"/>
          <w:b/>
          <w:i/>
          <w:sz w:val="20"/>
        </w:rPr>
        <w:t xml:space="preserve"> de la Corte</w:t>
      </w:r>
    </w:p>
    <w:p w14:paraId="3DE6B361" w14:textId="77777777" w:rsidR="008416DA" w:rsidRDefault="008416DA" w:rsidP="008416DA">
      <w:pPr>
        <w:pStyle w:val="ListParagraph"/>
        <w:rPr>
          <w:rFonts w:ascii="Verdana" w:eastAsia="MS Mincho" w:hAnsi="Verdana"/>
          <w:b/>
          <w:sz w:val="20"/>
        </w:rPr>
      </w:pPr>
    </w:p>
    <w:p w14:paraId="142E7146" w14:textId="161E5F8A" w:rsidR="0048292C" w:rsidRPr="0048292C" w:rsidRDefault="003221CE" w:rsidP="00C67F7B">
      <w:pPr>
        <w:pStyle w:val="Prrafodelista1"/>
        <w:numPr>
          <w:ilvl w:val="0"/>
          <w:numId w:val="3"/>
        </w:numPr>
        <w:tabs>
          <w:tab w:val="clear" w:pos="1068"/>
          <w:tab w:val="left" w:pos="720"/>
        </w:tabs>
        <w:ind w:left="0" w:firstLine="0"/>
        <w:jc w:val="both"/>
        <w:rPr>
          <w:sz w:val="20"/>
          <w:szCs w:val="20"/>
        </w:rPr>
      </w:pPr>
      <w:r>
        <w:rPr>
          <w:spacing w:val="-4"/>
          <w:sz w:val="20"/>
          <w:szCs w:val="20"/>
          <w:lang w:val="es-MX"/>
        </w:rPr>
        <w:t xml:space="preserve">La </w:t>
      </w:r>
      <w:r w:rsidR="0048292C" w:rsidRPr="003D3E2C">
        <w:rPr>
          <w:spacing w:val="-4"/>
          <w:sz w:val="20"/>
          <w:szCs w:val="20"/>
          <w:lang w:val="es-MX"/>
        </w:rPr>
        <w:t>Corte</w:t>
      </w:r>
      <w:r w:rsidR="0048292C">
        <w:rPr>
          <w:spacing w:val="-4"/>
          <w:sz w:val="20"/>
          <w:szCs w:val="20"/>
          <w:lang w:val="es-MX"/>
        </w:rPr>
        <w:t xml:space="preserve"> </w:t>
      </w:r>
      <w:r w:rsidR="00B258D1">
        <w:rPr>
          <w:spacing w:val="-4"/>
          <w:sz w:val="20"/>
          <w:szCs w:val="20"/>
          <w:lang w:val="es-MX"/>
        </w:rPr>
        <w:t>destaca</w:t>
      </w:r>
      <w:r w:rsidR="0048292C" w:rsidRPr="000C401F">
        <w:rPr>
          <w:spacing w:val="-4"/>
          <w:sz w:val="20"/>
          <w:szCs w:val="20"/>
          <w:lang w:val="es-MX"/>
        </w:rPr>
        <w:t xml:space="preserve"> los esfuerzos que </w:t>
      </w:r>
      <w:r w:rsidR="00947352" w:rsidRPr="000C401F">
        <w:rPr>
          <w:spacing w:val="-4"/>
          <w:sz w:val="20"/>
          <w:szCs w:val="20"/>
          <w:lang w:val="es-MX"/>
        </w:rPr>
        <w:t xml:space="preserve">el Estado </w:t>
      </w:r>
      <w:r w:rsidR="00947352" w:rsidRPr="008E33D8">
        <w:rPr>
          <w:sz w:val="20"/>
          <w:szCs w:val="20"/>
          <w:lang w:val="es-CL"/>
        </w:rPr>
        <w:t xml:space="preserve">de </w:t>
      </w:r>
      <w:r w:rsidR="00947352" w:rsidRPr="008818D3">
        <w:rPr>
          <w:sz w:val="20"/>
          <w:szCs w:val="20"/>
          <w:lang w:val="es-CL"/>
        </w:rPr>
        <w:t>Nicaragua</w:t>
      </w:r>
      <w:r w:rsidR="00947352" w:rsidRPr="008818D3">
        <w:rPr>
          <w:spacing w:val="-4"/>
          <w:sz w:val="20"/>
          <w:szCs w:val="20"/>
          <w:lang w:val="es-MX"/>
        </w:rPr>
        <w:t xml:space="preserve"> </w:t>
      </w:r>
      <w:r w:rsidR="0048292C" w:rsidRPr="000C401F">
        <w:rPr>
          <w:spacing w:val="-4"/>
          <w:sz w:val="20"/>
          <w:szCs w:val="20"/>
          <w:lang w:val="es-MX"/>
        </w:rPr>
        <w:t xml:space="preserve">está realizando </w:t>
      </w:r>
      <w:r w:rsidR="0048292C" w:rsidRPr="008818D3">
        <w:rPr>
          <w:spacing w:val="-4"/>
          <w:sz w:val="20"/>
          <w:szCs w:val="20"/>
          <w:lang w:val="es-MX"/>
        </w:rPr>
        <w:t xml:space="preserve">para </w:t>
      </w:r>
      <w:r w:rsidR="00F93B06">
        <w:rPr>
          <w:spacing w:val="-4"/>
          <w:sz w:val="20"/>
          <w:szCs w:val="20"/>
          <w:lang w:val="es-MX"/>
        </w:rPr>
        <w:t>cumplimentar las medidas dispuesta</w:t>
      </w:r>
      <w:r w:rsidR="0057151E">
        <w:rPr>
          <w:spacing w:val="-4"/>
          <w:sz w:val="20"/>
          <w:szCs w:val="20"/>
          <w:lang w:val="es-MX"/>
        </w:rPr>
        <w:t>s</w:t>
      </w:r>
      <w:r w:rsidR="0048292C" w:rsidRPr="008818D3">
        <w:rPr>
          <w:spacing w:val="-4"/>
          <w:sz w:val="20"/>
          <w:szCs w:val="20"/>
          <w:lang w:val="es-MX"/>
        </w:rPr>
        <w:t>, que constan en el Informe del Estado de la República de Nicaragua sobre las Medidas Provisionales</w:t>
      </w:r>
      <w:r w:rsidR="00BF5186">
        <w:rPr>
          <w:spacing w:val="-4"/>
          <w:sz w:val="20"/>
          <w:szCs w:val="20"/>
          <w:lang w:val="es-MX"/>
        </w:rPr>
        <w:t>, particularmente a través d</w:t>
      </w:r>
      <w:r w:rsidR="0048292C" w:rsidRPr="002A5410">
        <w:rPr>
          <w:spacing w:val="-4"/>
          <w:sz w:val="20"/>
          <w:szCs w:val="20"/>
          <w:lang w:val="es-MX"/>
        </w:rPr>
        <w:t xml:space="preserve">el Plan de </w:t>
      </w:r>
      <w:proofErr w:type="gramStart"/>
      <w:r w:rsidR="0048292C" w:rsidRPr="002A5410">
        <w:rPr>
          <w:spacing w:val="-4"/>
          <w:sz w:val="20"/>
          <w:szCs w:val="20"/>
          <w:lang w:val="es-MX"/>
        </w:rPr>
        <w:t xml:space="preserve">Atención </w:t>
      </w:r>
      <w:r w:rsidR="006F0269">
        <w:rPr>
          <w:spacing w:val="-4"/>
          <w:sz w:val="20"/>
          <w:szCs w:val="20"/>
          <w:lang w:val="es-MX"/>
        </w:rPr>
        <w:t>.</w:t>
      </w:r>
      <w:proofErr w:type="gramEnd"/>
      <w:r w:rsidR="006E490C" w:rsidRPr="006E490C">
        <w:rPr>
          <w:rFonts w:eastAsia="Times"/>
          <w:sz w:val="20"/>
          <w:szCs w:val="20"/>
          <w:lang w:val="es-ES_tradnl"/>
        </w:rPr>
        <w:t xml:space="preserve"> </w:t>
      </w:r>
      <w:r w:rsidR="006E490C">
        <w:rPr>
          <w:rFonts w:eastAsia="Times"/>
          <w:sz w:val="20"/>
          <w:szCs w:val="20"/>
          <w:lang w:val="es-ES_tradnl"/>
        </w:rPr>
        <w:t xml:space="preserve">Con el fin de analizar si el Estado ha cumplido con las disposiciones </w:t>
      </w:r>
      <w:r w:rsidR="002D1FD8">
        <w:rPr>
          <w:rFonts w:eastAsia="Times"/>
          <w:sz w:val="20"/>
          <w:szCs w:val="20"/>
          <w:lang w:val="es-ES_tradnl"/>
        </w:rPr>
        <w:t>dispuestas en la</w:t>
      </w:r>
      <w:r w:rsidR="006E490C">
        <w:rPr>
          <w:rFonts w:eastAsia="Times"/>
          <w:sz w:val="20"/>
          <w:szCs w:val="20"/>
          <w:lang w:val="es-ES_tradnl"/>
        </w:rPr>
        <w:t xml:space="preserve"> Resolución de 1 de septiembre de 2016, a continuación esta Corte realizará un análisis de los requerimientos ordenados, tomando en cuenta lo manifestado por</w:t>
      </w:r>
      <w:r w:rsidR="002D1FD8">
        <w:rPr>
          <w:rFonts w:eastAsia="Times"/>
          <w:sz w:val="20"/>
          <w:szCs w:val="20"/>
          <w:lang w:val="es-ES_tradnl"/>
        </w:rPr>
        <w:t xml:space="preserve"> los involucrados</w:t>
      </w:r>
      <w:r w:rsidR="006E490C">
        <w:rPr>
          <w:rFonts w:eastAsia="Times"/>
          <w:sz w:val="20"/>
          <w:szCs w:val="20"/>
          <w:lang w:val="es-ES_tradnl"/>
        </w:rPr>
        <w:t>.</w:t>
      </w:r>
    </w:p>
    <w:p w14:paraId="57CA5A7B" w14:textId="77777777" w:rsidR="0048292C" w:rsidRPr="0048292C" w:rsidRDefault="0048292C" w:rsidP="0048292C">
      <w:pPr>
        <w:pStyle w:val="Prrafodelista1"/>
        <w:tabs>
          <w:tab w:val="left" w:pos="720"/>
        </w:tabs>
        <w:jc w:val="both"/>
        <w:rPr>
          <w:sz w:val="20"/>
          <w:szCs w:val="20"/>
        </w:rPr>
      </w:pPr>
    </w:p>
    <w:p w14:paraId="4EDFF84F" w14:textId="7C885D4F" w:rsidR="00BF5186" w:rsidRDefault="00BF5186" w:rsidP="00270680">
      <w:pPr>
        <w:pStyle w:val="Prrafodelista1"/>
        <w:numPr>
          <w:ilvl w:val="0"/>
          <w:numId w:val="3"/>
        </w:numPr>
        <w:tabs>
          <w:tab w:val="clear" w:pos="1068"/>
          <w:tab w:val="left" w:pos="720"/>
        </w:tabs>
        <w:ind w:left="0" w:firstLine="0"/>
        <w:jc w:val="both"/>
        <w:rPr>
          <w:rFonts w:eastAsia="Times"/>
          <w:sz w:val="20"/>
          <w:szCs w:val="20"/>
          <w:lang w:val="es-ES_tradnl"/>
        </w:rPr>
      </w:pPr>
      <w:r>
        <w:rPr>
          <w:rFonts w:eastAsia="Times"/>
          <w:sz w:val="20"/>
          <w:szCs w:val="20"/>
          <w:lang w:val="es-ES_tradnl"/>
        </w:rPr>
        <w:t xml:space="preserve">Por lo que respecta al deber de adoptar acciones para </w:t>
      </w:r>
      <w:r w:rsidRPr="00EC7626">
        <w:rPr>
          <w:sz w:val="20"/>
          <w:lang w:val="es-MX"/>
        </w:rPr>
        <w:t xml:space="preserve">erradicar la violencia existente, así como proteger y garantizar el respeto a la vida, integridad personal y territorial e identidad cultural, en favor de </w:t>
      </w:r>
      <w:r w:rsidRPr="00EC7626">
        <w:rPr>
          <w:rFonts w:eastAsia="Times"/>
          <w:sz w:val="20"/>
          <w:szCs w:val="20"/>
          <w:lang w:val="es-ES_tradnl"/>
        </w:rPr>
        <w:t xml:space="preserve">los miembros del pueblo indígena </w:t>
      </w:r>
      <w:r w:rsidRPr="00EC7626">
        <w:rPr>
          <w:rFonts w:eastAsia="Times"/>
          <w:i/>
          <w:sz w:val="20"/>
          <w:szCs w:val="20"/>
          <w:lang w:val="es-ES_tradnl"/>
        </w:rPr>
        <w:t xml:space="preserve">Miskitu </w:t>
      </w:r>
      <w:r w:rsidRPr="00EC7626">
        <w:rPr>
          <w:rFonts w:eastAsia="Times"/>
          <w:sz w:val="20"/>
          <w:szCs w:val="20"/>
          <w:lang w:val="es-ES_tradnl"/>
        </w:rPr>
        <w:t xml:space="preserve">que habitan en las comunidades </w:t>
      </w:r>
      <w:r w:rsidR="002D1FD8">
        <w:rPr>
          <w:rFonts w:eastAsia="Times"/>
          <w:sz w:val="20"/>
          <w:szCs w:val="20"/>
          <w:lang w:val="es-ES_tradnl"/>
        </w:rPr>
        <w:t>beneficiarias de las medidas</w:t>
      </w:r>
      <w:r w:rsidRPr="00EC7626">
        <w:rPr>
          <w:rFonts w:eastAsia="Times"/>
          <w:sz w:val="20"/>
          <w:szCs w:val="20"/>
          <w:lang w:val="es-ES_tradnl"/>
        </w:rPr>
        <w:t>, y de las personas que presuntamente hayan tenido que abandonar dichas comunidades y deseen regresar</w:t>
      </w:r>
      <w:r w:rsidR="00F93B06">
        <w:rPr>
          <w:rFonts w:eastAsia="Times"/>
          <w:sz w:val="20"/>
          <w:szCs w:val="20"/>
          <w:lang w:val="es-ES_tradnl"/>
        </w:rPr>
        <w:t xml:space="preserve"> </w:t>
      </w:r>
      <w:r w:rsidR="00F93B06">
        <w:rPr>
          <w:sz w:val="20"/>
          <w:lang w:val="es-GT"/>
        </w:rPr>
        <w:t>(</w:t>
      </w:r>
      <w:r w:rsidR="00F93B06" w:rsidRPr="008448C6">
        <w:rPr>
          <w:i/>
          <w:sz w:val="20"/>
          <w:lang w:val="es-GT"/>
        </w:rPr>
        <w:t>supra</w:t>
      </w:r>
      <w:r w:rsidR="00F93B06">
        <w:rPr>
          <w:sz w:val="20"/>
          <w:lang w:val="es-GT"/>
        </w:rPr>
        <w:t xml:space="preserve"> </w:t>
      </w:r>
      <w:r w:rsidR="002D1FD8">
        <w:rPr>
          <w:sz w:val="20"/>
          <w:lang w:val="es-GT"/>
        </w:rPr>
        <w:t>Visto 1</w:t>
      </w:r>
      <w:r w:rsidR="00F93B06">
        <w:rPr>
          <w:sz w:val="20"/>
          <w:lang w:val="es-GT"/>
        </w:rPr>
        <w:t>)</w:t>
      </w:r>
      <w:r w:rsidRPr="00BF5186">
        <w:rPr>
          <w:rFonts w:eastAsia="Times"/>
          <w:sz w:val="20"/>
          <w:szCs w:val="20"/>
          <w:lang w:val="es-ES_tradnl"/>
        </w:rPr>
        <w:t>,</w:t>
      </w:r>
      <w:r>
        <w:rPr>
          <w:rFonts w:eastAsia="Times"/>
          <w:sz w:val="20"/>
          <w:szCs w:val="20"/>
          <w:lang w:val="es-ES_tradnl"/>
        </w:rPr>
        <w:t xml:space="preserve"> si bien el Estado ha puesto en práctica diversas acciones para lograr tal fin, el Tribunal observa que ni en sus </w:t>
      </w:r>
      <w:r w:rsidR="003221CE">
        <w:rPr>
          <w:rFonts w:eastAsia="Times"/>
          <w:sz w:val="20"/>
          <w:szCs w:val="20"/>
          <w:lang w:val="es-ES_tradnl"/>
        </w:rPr>
        <w:t>i</w:t>
      </w:r>
      <w:r>
        <w:rPr>
          <w:rFonts w:eastAsia="Times"/>
          <w:sz w:val="20"/>
          <w:szCs w:val="20"/>
          <w:lang w:val="es-ES_tradnl"/>
        </w:rPr>
        <w:t xml:space="preserve">nformes presentados, ni en el Plan de Atención, se reportaron acciones específicas para la protección de las personas que </w:t>
      </w:r>
      <w:r w:rsidR="006E490C">
        <w:rPr>
          <w:rFonts w:eastAsia="Times"/>
          <w:sz w:val="20"/>
          <w:szCs w:val="20"/>
          <w:lang w:val="es-ES_tradnl"/>
        </w:rPr>
        <w:t>hayan tenido que abandonar</w:t>
      </w:r>
      <w:r>
        <w:rPr>
          <w:rFonts w:eastAsia="Times"/>
          <w:sz w:val="20"/>
          <w:szCs w:val="20"/>
          <w:lang w:val="es-ES_tradnl"/>
        </w:rPr>
        <w:t xml:space="preserve"> las comunidades </w:t>
      </w:r>
      <w:r w:rsidR="006E490C">
        <w:rPr>
          <w:rFonts w:eastAsia="Times"/>
          <w:sz w:val="20"/>
          <w:szCs w:val="20"/>
          <w:lang w:val="es-ES_tradnl"/>
        </w:rPr>
        <w:t>y deseen regresar</w:t>
      </w:r>
      <w:r>
        <w:rPr>
          <w:rFonts w:eastAsia="Times"/>
          <w:sz w:val="20"/>
          <w:szCs w:val="20"/>
          <w:lang w:val="es-ES_tradnl"/>
        </w:rPr>
        <w:t xml:space="preserve">. </w:t>
      </w:r>
    </w:p>
    <w:p w14:paraId="7DDCB559" w14:textId="77777777" w:rsidR="004E3598" w:rsidRDefault="004E3598" w:rsidP="004E3598">
      <w:pPr>
        <w:pStyle w:val="Prrafodelista1"/>
        <w:tabs>
          <w:tab w:val="left" w:pos="720"/>
        </w:tabs>
        <w:jc w:val="both"/>
        <w:rPr>
          <w:rFonts w:eastAsia="Times"/>
          <w:sz w:val="20"/>
          <w:szCs w:val="20"/>
          <w:lang w:val="es-ES_tradnl"/>
        </w:rPr>
      </w:pPr>
    </w:p>
    <w:p w14:paraId="1537BF17" w14:textId="76B3C381" w:rsidR="004E3598" w:rsidRPr="0048292C" w:rsidRDefault="004E3598" w:rsidP="004E3598">
      <w:pPr>
        <w:pStyle w:val="Prrafodelista1"/>
        <w:numPr>
          <w:ilvl w:val="0"/>
          <w:numId w:val="3"/>
        </w:numPr>
        <w:tabs>
          <w:tab w:val="clear" w:pos="1068"/>
          <w:tab w:val="left" w:pos="720"/>
        </w:tabs>
        <w:ind w:left="0" w:firstLine="0"/>
        <w:jc w:val="both"/>
        <w:rPr>
          <w:sz w:val="20"/>
          <w:szCs w:val="20"/>
        </w:rPr>
      </w:pPr>
      <w:r>
        <w:rPr>
          <w:sz w:val="20"/>
          <w:szCs w:val="20"/>
          <w:lang w:val="es-ES_tradnl"/>
        </w:rPr>
        <w:t>De igual forma, por lo que respecta a la situación de las unidades del ejército que, según mencionan los representantes, no han atendido las solicitudes de los comunitarios (</w:t>
      </w:r>
      <w:r w:rsidRPr="002856E3">
        <w:rPr>
          <w:i/>
          <w:sz w:val="20"/>
          <w:szCs w:val="20"/>
          <w:lang w:val="es-ES_tradnl"/>
        </w:rPr>
        <w:t>supra</w:t>
      </w:r>
      <w:r>
        <w:rPr>
          <w:sz w:val="20"/>
          <w:szCs w:val="20"/>
          <w:lang w:val="es-ES_tradnl"/>
        </w:rPr>
        <w:t xml:space="preserve"> </w:t>
      </w:r>
      <w:r w:rsidR="00A94179">
        <w:rPr>
          <w:sz w:val="20"/>
          <w:szCs w:val="20"/>
          <w:lang w:val="es-ES_tradnl"/>
        </w:rPr>
        <w:t>Considerando 25</w:t>
      </w:r>
      <w:r>
        <w:rPr>
          <w:sz w:val="20"/>
          <w:szCs w:val="20"/>
          <w:lang w:val="es-ES_tradnl"/>
        </w:rPr>
        <w:t xml:space="preserve">), esta Corte estima necesario enfatizar que </w:t>
      </w:r>
      <w:r w:rsidRPr="005C3FDF">
        <w:rPr>
          <w:sz w:val="20"/>
          <w:szCs w:val="20"/>
          <w:lang w:val="es-ES_tradnl"/>
        </w:rPr>
        <w:t>es deber del Estado no sólo crear las condiciones legales y formales</w:t>
      </w:r>
      <w:r>
        <w:rPr>
          <w:sz w:val="20"/>
          <w:szCs w:val="20"/>
          <w:lang w:val="es-ES_tradnl"/>
        </w:rPr>
        <w:t xml:space="preserve"> ordenadas mediante las presentes medidas provisionales</w:t>
      </w:r>
      <w:r w:rsidRPr="005C3FDF">
        <w:rPr>
          <w:sz w:val="20"/>
          <w:szCs w:val="20"/>
          <w:lang w:val="es-ES_tradnl"/>
        </w:rPr>
        <w:t xml:space="preserve">, sino también garantizar las condiciones fácticas </w:t>
      </w:r>
      <w:r>
        <w:rPr>
          <w:sz w:val="20"/>
          <w:szCs w:val="20"/>
          <w:lang w:val="es-ES_tradnl"/>
        </w:rPr>
        <w:t>para su adecuada implementación</w:t>
      </w:r>
      <w:r w:rsidR="00A94179">
        <w:rPr>
          <w:rStyle w:val="FootnoteReference"/>
          <w:sz w:val="20"/>
          <w:szCs w:val="20"/>
          <w:lang w:val="es-ES_tradnl"/>
        </w:rPr>
        <w:footnoteReference w:id="19"/>
      </w:r>
      <w:r>
        <w:rPr>
          <w:sz w:val="20"/>
          <w:szCs w:val="20"/>
          <w:lang w:val="es-ES_tradnl"/>
        </w:rPr>
        <w:t>. Además de ello, e</w:t>
      </w:r>
      <w:r w:rsidRPr="00931335">
        <w:rPr>
          <w:sz w:val="20"/>
          <w:szCs w:val="20"/>
          <w:lang w:val="es-ES_tradnl"/>
        </w:rPr>
        <w:t xml:space="preserve">s oportuno </w:t>
      </w:r>
      <w:r w:rsidR="00CB4E94">
        <w:rPr>
          <w:sz w:val="20"/>
          <w:szCs w:val="20"/>
          <w:lang w:val="es-ES_tradnl"/>
        </w:rPr>
        <w:t>reiterar</w:t>
      </w:r>
      <w:r w:rsidR="00CB4E94" w:rsidRPr="00931335">
        <w:rPr>
          <w:sz w:val="20"/>
          <w:szCs w:val="20"/>
          <w:lang w:val="es-ES_tradnl"/>
        </w:rPr>
        <w:t xml:space="preserve"> </w:t>
      </w:r>
      <w:r w:rsidRPr="00931335">
        <w:rPr>
          <w:sz w:val="20"/>
          <w:szCs w:val="20"/>
          <w:lang w:val="es-ES_tradnl"/>
        </w:rPr>
        <w:t>que el artículo 1.1 de la Convención establece las obligaciones generales que tienen los Estados Parte de respetar los derechos y libertades en ella reconocidos y de garantizar su libre y pleno ejercicio a toda persona que esté sujeta a su jurisdicción, las cuales se imponen no sólo en relación con el poder del Estado</w:t>
      </w:r>
      <w:r w:rsidR="00CB4E94">
        <w:rPr>
          <w:sz w:val="20"/>
          <w:szCs w:val="20"/>
          <w:lang w:val="es-ES_tradnl"/>
        </w:rPr>
        <w:t>,</w:t>
      </w:r>
      <w:r w:rsidRPr="00931335">
        <w:rPr>
          <w:sz w:val="20"/>
          <w:szCs w:val="20"/>
          <w:lang w:val="es-ES_tradnl"/>
        </w:rPr>
        <w:t xml:space="preserve"> sino también en relación con actuaciones de terceros particulares</w:t>
      </w:r>
      <w:r>
        <w:rPr>
          <w:rStyle w:val="FootnoteReference"/>
          <w:sz w:val="20"/>
          <w:szCs w:val="20"/>
          <w:lang w:val="es-ES_tradnl"/>
        </w:rPr>
        <w:footnoteReference w:id="20"/>
      </w:r>
      <w:r w:rsidRPr="00931335">
        <w:rPr>
          <w:sz w:val="20"/>
          <w:szCs w:val="20"/>
          <w:lang w:val="es-ES_tradnl"/>
        </w:rPr>
        <w:t>.</w:t>
      </w:r>
    </w:p>
    <w:p w14:paraId="64432387" w14:textId="77777777" w:rsidR="006E490C" w:rsidRDefault="006E490C" w:rsidP="00992255">
      <w:pPr>
        <w:pStyle w:val="Prrafodelista1"/>
        <w:tabs>
          <w:tab w:val="left" w:pos="720"/>
        </w:tabs>
        <w:jc w:val="both"/>
        <w:rPr>
          <w:rFonts w:eastAsia="Times"/>
          <w:sz w:val="20"/>
          <w:szCs w:val="20"/>
          <w:lang w:val="es-ES_tradnl"/>
        </w:rPr>
      </w:pPr>
    </w:p>
    <w:p w14:paraId="5D4319F2" w14:textId="0C32A607" w:rsidR="006E490C" w:rsidRDefault="006E490C" w:rsidP="006E490C">
      <w:pPr>
        <w:pStyle w:val="Prrafodelista1"/>
        <w:numPr>
          <w:ilvl w:val="0"/>
          <w:numId w:val="3"/>
        </w:numPr>
        <w:tabs>
          <w:tab w:val="clear" w:pos="1068"/>
          <w:tab w:val="left" w:pos="720"/>
        </w:tabs>
        <w:ind w:left="0" w:firstLine="0"/>
        <w:jc w:val="both"/>
        <w:rPr>
          <w:sz w:val="20"/>
          <w:lang w:val="es-GT"/>
        </w:rPr>
      </w:pPr>
      <w:r w:rsidRPr="00B34007">
        <w:rPr>
          <w:rFonts w:eastAsia="Times"/>
          <w:sz w:val="20"/>
          <w:szCs w:val="20"/>
          <w:lang w:val="es-ES_tradnl"/>
        </w:rPr>
        <w:t xml:space="preserve">En relación con el deber de crear una instancia </w:t>
      </w:r>
      <w:r>
        <w:rPr>
          <w:rFonts w:eastAsia="Times"/>
          <w:sz w:val="20"/>
          <w:szCs w:val="20"/>
          <w:lang w:val="es-ES_tradnl"/>
        </w:rPr>
        <w:t xml:space="preserve">u órgano </w:t>
      </w:r>
      <w:r w:rsidRPr="00B34007">
        <w:rPr>
          <w:rFonts w:eastAsia="Times"/>
          <w:sz w:val="20"/>
          <w:szCs w:val="20"/>
          <w:lang w:val="es-ES_tradnl"/>
        </w:rPr>
        <w:t>que</w:t>
      </w:r>
      <w:r w:rsidRPr="00B34007">
        <w:rPr>
          <w:sz w:val="20"/>
          <w:lang w:val="es-GT"/>
        </w:rPr>
        <w:t xml:space="preserve"> proponga las posibles vías de pacificación y solución del conflicto</w:t>
      </w:r>
      <w:r w:rsidRPr="00B34007">
        <w:rPr>
          <w:rFonts w:eastAsia="Times"/>
          <w:sz w:val="20"/>
          <w:szCs w:val="20"/>
          <w:lang w:val="es-ES_tradnl"/>
        </w:rPr>
        <w:t xml:space="preserve"> </w:t>
      </w:r>
      <w:r>
        <w:rPr>
          <w:sz w:val="20"/>
          <w:lang w:val="es-GT"/>
        </w:rPr>
        <w:t>(</w:t>
      </w:r>
      <w:r w:rsidRPr="008448C6">
        <w:rPr>
          <w:i/>
          <w:sz w:val="20"/>
          <w:lang w:val="es-GT"/>
        </w:rPr>
        <w:t>supra</w:t>
      </w:r>
      <w:r>
        <w:rPr>
          <w:sz w:val="20"/>
          <w:lang w:val="es-GT"/>
        </w:rPr>
        <w:t xml:space="preserve"> </w:t>
      </w:r>
      <w:r w:rsidR="00E726DF">
        <w:rPr>
          <w:sz w:val="20"/>
          <w:lang w:val="es-GT"/>
        </w:rPr>
        <w:t>Visto 1</w:t>
      </w:r>
      <w:r>
        <w:rPr>
          <w:sz w:val="20"/>
          <w:lang w:val="es-GT"/>
        </w:rPr>
        <w:t>)</w:t>
      </w:r>
      <w:r w:rsidRPr="00B34007">
        <w:rPr>
          <w:sz w:val="20"/>
          <w:lang w:val="es-GT"/>
        </w:rPr>
        <w:t xml:space="preserve">, </w:t>
      </w:r>
      <w:r>
        <w:rPr>
          <w:sz w:val="20"/>
          <w:lang w:val="es-GT"/>
        </w:rPr>
        <w:t xml:space="preserve">así como </w:t>
      </w:r>
      <w:r w:rsidR="00A97281">
        <w:rPr>
          <w:sz w:val="20"/>
          <w:lang w:val="es-GT"/>
        </w:rPr>
        <w:t xml:space="preserve">el deber de </w:t>
      </w:r>
      <w:r w:rsidRPr="00B34007">
        <w:rPr>
          <w:sz w:val="20"/>
          <w:lang w:val="es-GT"/>
        </w:rPr>
        <w:t>planificar e implementar las medidas de protección con la participación de los beneficiarios de las mismas o sus representantes</w:t>
      </w:r>
      <w:r>
        <w:rPr>
          <w:sz w:val="20"/>
          <w:lang w:val="es-GT"/>
        </w:rPr>
        <w:t xml:space="preserve"> (</w:t>
      </w:r>
      <w:r w:rsidRPr="00563344">
        <w:rPr>
          <w:i/>
          <w:sz w:val="20"/>
          <w:lang w:val="es-GT"/>
        </w:rPr>
        <w:t>supra</w:t>
      </w:r>
      <w:r>
        <w:rPr>
          <w:sz w:val="20"/>
          <w:lang w:val="es-GT"/>
        </w:rPr>
        <w:t xml:space="preserve"> </w:t>
      </w:r>
      <w:r w:rsidR="00E726DF">
        <w:rPr>
          <w:sz w:val="20"/>
          <w:lang w:val="es-GT"/>
        </w:rPr>
        <w:t>Visto 1</w:t>
      </w:r>
      <w:r>
        <w:rPr>
          <w:sz w:val="20"/>
          <w:lang w:val="es-GT"/>
        </w:rPr>
        <w:t>),</w:t>
      </w:r>
      <w:r w:rsidRPr="00B34007">
        <w:rPr>
          <w:rFonts w:eastAsia="Times"/>
          <w:sz w:val="20"/>
          <w:szCs w:val="20"/>
          <w:lang w:val="es-ES_tradnl"/>
        </w:rPr>
        <w:t xml:space="preserve"> si bien en </w:t>
      </w:r>
      <w:r w:rsidRPr="00B34007">
        <w:rPr>
          <w:spacing w:val="-4"/>
          <w:sz w:val="20"/>
          <w:szCs w:val="20"/>
          <w:lang w:val="es-CR"/>
        </w:rPr>
        <w:t>el Estado hizo referencia</w:t>
      </w:r>
      <w:r w:rsidR="00E726DF">
        <w:rPr>
          <w:spacing w:val="-4"/>
          <w:sz w:val="20"/>
          <w:szCs w:val="20"/>
          <w:lang w:val="es-CR"/>
        </w:rPr>
        <w:t>,</w:t>
      </w:r>
      <w:r w:rsidRPr="00B34007">
        <w:rPr>
          <w:spacing w:val="-4"/>
          <w:sz w:val="20"/>
          <w:szCs w:val="20"/>
          <w:lang w:val="es-CR"/>
        </w:rPr>
        <w:t xml:space="preserve"> </w:t>
      </w:r>
      <w:r w:rsidR="00E726DF">
        <w:rPr>
          <w:spacing w:val="-4"/>
          <w:sz w:val="20"/>
          <w:szCs w:val="20"/>
          <w:lang w:val="es-CR"/>
        </w:rPr>
        <w:t xml:space="preserve">en su Plan de Atención de la Situación, </w:t>
      </w:r>
      <w:r w:rsidRPr="00B34007">
        <w:rPr>
          <w:spacing w:val="-4"/>
          <w:sz w:val="20"/>
          <w:szCs w:val="20"/>
          <w:lang w:val="es-CR"/>
        </w:rPr>
        <w:t xml:space="preserve">a la </w:t>
      </w:r>
      <w:r w:rsidR="00B258D1" w:rsidRPr="00E726DF">
        <w:rPr>
          <w:spacing w:val="-4"/>
          <w:sz w:val="20"/>
          <w:szCs w:val="20"/>
          <w:lang w:val="es-CR"/>
        </w:rPr>
        <w:t>C</w:t>
      </w:r>
      <w:r w:rsidRPr="00E726DF">
        <w:rPr>
          <w:spacing w:val="-4"/>
          <w:sz w:val="20"/>
          <w:szCs w:val="20"/>
          <w:lang w:val="es-CR"/>
        </w:rPr>
        <w:t xml:space="preserve">omisión de </w:t>
      </w:r>
      <w:r w:rsidR="00E726DF">
        <w:rPr>
          <w:spacing w:val="-4"/>
          <w:sz w:val="20"/>
          <w:szCs w:val="20"/>
          <w:lang w:val="es-CR"/>
        </w:rPr>
        <w:t>T</w:t>
      </w:r>
      <w:r w:rsidR="00E726DF" w:rsidRPr="00E726DF">
        <w:rPr>
          <w:spacing w:val="-4"/>
          <w:sz w:val="20"/>
          <w:szCs w:val="20"/>
          <w:lang w:val="es-CR"/>
        </w:rPr>
        <w:t>rabajo</w:t>
      </w:r>
      <w:r w:rsidR="00E726DF" w:rsidRPr="00B34007">
        <w:rPr>
          <w:spacing w:val="-4"/>
          <w:sz w:val="20"/>
          <w:szCs w:val="20"/>
          <w:lang w:val="es-CR"/>
        </w:rPr>
        <w:t xml:space="preserve"> </w:t>
      </w:r>
      <w:r w:rsidRPr="00B34007">
        <w:rPr>
          <w:spacing w:val="-4"/>
          <w:sz w:val="20"/>
          <w:szCs w:val="20"/>
          <w:lang w:val="es-CR"/>
        </w:rPr>
        <w:t>integrada por diversas autoridades para atender la situación de los comunitarios y colonos en comunidades del territorio,</w:t>
      </w:r>
      <w:r w:rsidR="00E726DF">
        <w:rPr>
          <w:spacing w:val="-4"/>
          <w:sz w:val="20"/>
          <w:szCs w:val="20"/>
          <w:lang w:val="es-CR"/>
        </w:rPr>
        <w:t xml:space="preserve"> así como a una Comisión de Diálogo y Entendimiento, para impulsar aquellas acciones que promuevan el diálogo y entendimiento entre los líderes territoriales, comunales y otros actores, con el propósito de evitar acciones </w:t>
      </w:r>
      <w:proofErr w:type="spellStart"/>
      <w:r w:rsidR="00E726DF">
        <w:rPr>
          <w:spacing w:val="-4"/>
          <w:sz w:val="20"/>
          <w:szCs w:val="20"/>
          <w:lang w:val="es-CR"/>
        </w:rPr>
        <w:t>confrontativas</w:t>
      </w:r>
      <w:proofErr w:type="spellEnd"/>
      <w:r w:rsidR="00BB4DF1">
        <w:rPr>
          <w:spacing w:val="-4"/>
          <w:sz w:val="20"/>
          <w:szCs w:val="20"/>
          <w:lang w:val="es-CR"/>
        </w:rPr>
        <w:t xml:space="preserve"> (</w:t>
      </w:r>
      <w:r w:rsidR="00BB4DF1">
        <w:rPr>
          <w:i/>
          <w:spacing w:val="-4"/>
          <w:sz w:val="20"/>
          <w:szCs w:val="20"/>
          <w:lang w:val="es-CR"/>
        </w:rPr>
        <w:t xml:space="preserve">supra </w:t>
      </w:r>
      <w:r w:rsidR="00BB4DF1">
        <w:rPr>
          <w:spacing w:val="-4"/>
          <w:sz w:val="20"/>
          <w:szCs w:val="20"/>
          <w:lang w:val="es-CR"/>
        </w:rPr>
        <w:t>Considerando 2</w:t>
      </w:r>
      <w:r w:rsidR="00800466">
        <w:rPr>
          <w:spacing w:val="-4"/>
          <w:sz w:val="20"/>
          <w:szCs w:val="20"/>
          <w:lang w:val="es-CR"/>
        </w:rPr>
        <w:t>3</w:t>
      </w:r>
      <w:r w:rsidR="00BB4DF1">
        <w:rPr>
          <w:spacing w:val="-4"/>
          <w:sz w:val="20"/>
          <w:szCs w:val="20"/>
          <w:lang w:val="es-CR"/>
        </w:rPr>
        <w:t>)</w:t>
      </w:r>
      <w:r w:rsidR="00E726DF">
        <w:rPr>
          <w:spacing w:val="-4"/>
          <w:sz w:val="20"/>
          <w:szCs w:val="20"/>
          <w:lang w:val="es-CR"/>
        </w:rPr>
        <w:t>,</w:t>
      </w:r>
      <w:r w:rsidRPr="00B34007">
        <w:rPr>
          <w:spacing w:val="-4"/>
          <w:sz w:val="20"/>
          <w:szCs w:val="20"/>
          <w:lang w:val="es-CR"/>
        </w:rPr>
        <w:t xml:space="preserve"> los representantes </w:t>
      </w:r>
      <w:r w:rsidR="00A97281">
        <w:rPr>
          <w:spacing w:val="-4"/>
          <w:sz w:val="20"/>
          <w:szCs w:val="20"/>
          <w:lang w:val="es-CR"/>
        </w:rPr>
        <w:t>manifestaron</w:t>
      </w:r>
      <w:r w:rsidRPr="00B34007">
        <w:rPr>
          <w:spacing w:val="-4"/>
          <w:sz w:val="20"/>
          <w:szCs w:val="20"/>
          <w:lang w:val="es-CR"/>
        </w:rPr>
        <w:t xml:space="preserve"> que no han </w:t>
      </w:r>
      <w:r>
        <w:rPr>
          <w:spacing w:val="-4"/>
          <w:sz w:val="20"/>
          <w:szCs w:val="20"/>
          <w:lang w:val="es-CR"/>
        </w:rPr>
        <w:t xml:space="preserve">sido convocados para la conformación de </w:t>
      </w:r>
      <w:r w:rsidR="00685654">
        <w:rPr>
          <w:spacing w:val="-4"/>
          <w:sz w:val="20"/>
          <w:szCs w:val="20"/>
          <w:lang w:val="es-CR"/>
        </w:rPr>
        <w:t>la instancia dispuesta por la Corte</w:t>
      </w:r>
      <w:r w:rsidR="00BB4DF1">
        <w:rPr>
          <w:spacing w:val="-4"/>
          <w:sz w:val="20"/>
          <w:szCs w:val="20"/>
          <w:lang w:val="es-CR"/>
        </w:rPr>
        <w:t xml:space="preserve"> (</w:t>
      </w:r>
      <w:r w:rsidR="00BB4DF1">
        <w:rPr>
          <w:i/>
          <w:spacing w:val="-4"/>
          <w:sz w:val="20"/>
          <w:szCs w:val="20"/>
          <w:lang w:val="es-CR"/>
        </w:rPr>
        <w:t xml:space="preserve">supra </w:t>
      </w:r>
      <w:r w:rsidR="00BB4DF1">
        <w:rPr>
          <w:spacing w:val="-4"/>
          <w:sz w:val="20"/>
          <w:szCs w:val="20"/>
          <w:lang w:val="es-CR"/>
        </w:rPr>
        <w:t>Considerando 26)</w:t>
      </w:r>
      <w:r w:rsidRPr="00B34007">
        <w:rPr>
          <w:spacing w:val="-4"/>
          <w:sz w:val="20"/>
          <w:szCs w:val="20"/>
          <w:lang w:val="es-CR"/>
        </w:rPr>
        <w:t xml:space="preserve">. </w:t>
      </w:r>
      <w:r w:rsidR="004E3598">
        <w:rPr>
          <w:rFonts w:eastAsia="Times"/>
          <w:sz w:val="20"/>
          <w:szCs w:val="20"/>
          <w:lang w:val="es-ES_tradnl"/>
        </w:rPr>
        <w:t>E</w:t>
      </w:r>
      <w:r w:rsidRPr="00B34007">
        <w:rPr>
          <w:rFonts w:eastAsia="Times"/>
          <w:sz w:val="20"/>
          <w:szCs w:val="20"/>
          <w:lang w:val="es-ES_tradnl"/>
        </w:rPr>
        <w:t xml:space="preserve">l Tribunal enfatiza la necesidad de que </w:t>
      </w:r>
      <w:r w:rsidRPr="00B34007">
        <w:rPr>
          <w:sz w:val="20"/>
          <w:lang w:val="es-GT"/>
        </w:rPr>
        <w:t>las comunidades afectadas</w:t>
      </w:r>
      <w:r w:rsidRPr="00B34007">
        <w:rPr>
          <w:rFonts w:eastAsia="Times"/>
          <w:sz w:val="20"/>
          <w:szCs w:val="20"/>
          <w:lang w:val="es-ES_tradnl"/>
        </w:rPr>
        <w:t xml:space="preserve"> participen </w:t>
      </w:r>
      <w:r>
        <w:rPr>
          <w:rFonts w:eastAsia="Times"/>
          <w:sz w:val="20"/>
          <w:szCs w:val="20"/>
          <w:lang w:val="es-ES_tradnl"/>
        </w:rPr>
        <w:t>con el Estado,</w:t>
      </w:r>
      <w:r w:rsidRPr="00B34007">
        <w:rPr>
          <w:sz w:val="20"/>
          <w:lang w:val="es-GT"/>
        </w:rPr>
        <w:t xml:space="preserve"> </w:t>
      </w:r>
      <w:r>
        <w:rPr>
          <w:sz w:val="20"/>
          <w:lang w:val="es-GT"/>
        </w:rPr>
        <w:t>a fin de que se tome en cuenta su opinión en las</w:t>
      </w:r>
      <w:r w:rsidRPr="00B34007">
        <w:rPr>
          <w:sz w:val="20"/>
          <w:lang w:val="es-GT"/>
        </w:rPr>
        <w:t xml:space="preserve"> </w:t>
      </w:r>
      <w:r w:rsidRPr="00B34007">
        <w:rPr>
          <w:sz w:val="20"/>
          <w:lang w:val="es-GT"/>
        </w:rPr>
        <w:lastRenderedPageBreak/>
        <w:t xml:space="preserve">soluciones </w:t>
      </w:r>
      <w:r>
        <w:rPr>
          <w:sz w:val="20"/>
          <w:lang w:val="es-GT"/>
        </w:rPr>
        <w:t xml:space="preserve">que se propongan </w:t>
      </w:r>
      <w:r w:rsidRPr="00B34007">
        <w:rPr>
          <w:sz w:val="20"/>
          <w:lang w:val="es-GT"/>
        </w:rPr>
        <w:t>para brindar las medidas de seguridad necesarias</w:t>
      </w:r>
      <w:r>
        <w:rPr>
          <w:sz w:val="20"/>
          <w:lang w:val="es-GT"/>
        </w:rPr>
        <w:t>, así como que</w:t>
      </w:r>
      <w:r w:rsidRPr="00B34007">
        <w:rPr>
          <w:sz w:val="20"/>
          <w:lang w:val="es-GT"/>
        </w:rPr>
        <w:t xml:space="preserve"> el Estado propicie los espacios de diálogo necesario</w:t>
      </w:r>
      <w:r>
        <w:rPr>
          <w:sz w:val="20"/>
          <w:lang w:val="es-GT"/>
        </w:rPr>
        <w:t>s</w:t>
      </w:r>
      <w:r w:rsidRPr="00B34007">
        <w:rPr>
          <w:sz w:val="20"/>
          <w:lang w:val="es-GT"/>
        </w:rPr>
        <w:t xml:space="preserve"> para que los beneficiarios o sus representantes participen en la implementación de las medidas</w:t>
      </w:r>
      <w:r>
        <w:rPr>
          <w:sz w:val="20"/>
          <w:lang w:val="es-GT"/>
        </w:rPr>
        <w:t>.</w:t>
      </w:r>
      <w:r w:rsidRPr="00B34007">
        <w:rPr>
          <w:sz w:val="20"/>
          <w:lang w:val="es-GT"/>
        </w:rPr>
        <w:t xml:space="preserve"> </w:t>
      </w:r>
    </w:p>
    <w:p w14:paraId="74B26010" w14:textId="77777777" w:rsidR="00B258D1" w:rsidRPr="002856E3" w:rsidRDefault="00B258D1" w:rsidP="002856E3">
      <w:pPr>
        <w:pStyle w:val="Prrafodelista1"/>
        <w:tabs>
          <w:tab w:val="left" w:pos="720"/>
        </w:tabs>
        <w:jc w:val="both"/>
        <w:rPr>
          <w:rFonts w:eastAsia="Times"/>
          <w:sz w:val="20"/>
          <w:szCs w:val="20"/>
          <w:lang w:val="es-ES_tradnl"/>
        </w:rPr>
      </w:pPr>
    </w:p>
    <w:p w14:paraId="45051193" w14:textId="623915C8" w:rsidR="00EC7626" w:rsidRPr="00EC7626" w:rsidRDefault="00EC7626" w:rsidP="00EC7626">
      <w:pPr>
        <w:pStyle w:val="Prrafodelista1"/>
        <w:numPr>
          <w:ilvl w:val="0"/>
          <w:numId w:val="3"/>
        </w:numPr>
        <w:tabs>
          <w:tab w:val="clear" w:pos="1068"/>
          <w:tab w:val="left" w:pos="720"/>
        </w:tabs>
        <w:ind w:left="0" w:firstLine="0"/>
        <w:jc w:val="both"/>
        <w:rPr>
          <w:rFonts w:eastAsia="Times"/>
          <w:sz w:val="20"/>
          <w:szCs w:val="20"/>
          <w:lang w:val="es-ES_tradnl"/>
        </w:rPr>
      </w:pPr>
      <w:r>
        <w:rPr>
          <w:spacing w:val="-4"/>
          <w:sz w:val="20"/>
          <w:szCs w:val="20"/>
          <w:lang w:val="es-MX"/>
        </w:rPr>
        <w:t xml:space="preserve">Adicionalmente, </w:t>
      </w:r>
      <w:r w:rsidR="00BB4DF1">
        <w:rPr>
          <w:spacing w:val="-4"/>
          <w:sz w:val="20"/>
          <w:szCs w:val="20"/>
          <w:lang w:val="es-MX"/>
        </w:rPr>
        <w:t xml:space="preserve">por lo que ve </w:t>
      </w:r>
      <w:r>
        <w:rPr>
          <w:spacing w:val="-4"/>
          <w:sz w:val="20"/>
          <w:szCs w:val="20"/>
          <w:lang w:val="es-MX"/>
        </w:rPr>
        <w:t>la necesidad de contar con información completa y pormenorizada</w:t>
      </w:r>
      <w:r w:rsidR="00BB4DF1">
        <w:rPr>
          <w:spacing w:val="-4"/>
          <w:sz w:val="20"/>
          <w:szCs w:val="20"/>
          <w:lang w:val="es-MX"/>
        </w:rPr>
        <w:t xml:space="preserve"> sobre la implementación de las medidas ordenadas</w:t>
      </w:r>
      <w:r>
        <w:rPr>
          <w:spacing w:val="-4"/>
          <w:sz w:val="20"/>
          <w:szCs w:val="20"/>
          <w:lang w:val="es-MX"/>
        </w:rPr>
        <w:t>,</w:t>
      </w:r>
      <w:r w:rsidRPr="00323CD3">
        <w:rPr>
          <w:spacing w:val="-4"/>
          <w:sz w:val="20"/>
          <w:szCs w:val="20"/>
          <w:lang w:val="es-MX"/>
        </w:rPr>
        <w:t xml:space="preserve"> </w:t>
      </w:r>
      <w:r w:rsidRPr="00270680">
        <w:rPr>
          <w:spacing w:val="-4"/>
          <w:sz w:val="20"/>
          <w:szCs w:val="20"/>
          <w:lang w:val="es-MX"/>
        </w:rPr>
        <w:t xml:space="preserve">el Tribunal resalta que </w:t>
      </w:r>
      <w:r w:rsidRPr="00270680">
        <w:rPr>
          <w:rFonts w:eastAsia="Calibri" w:cs="Times"/>
          <w:sz w:val="20"/>
          <w:szCs w:val="20"/>
          <w:lang w:val="es-ES_tradnl"/>
        </w:rPr>
        <w:t>el deber de informar constituye una obligación que requiere para su efectivo cumplimiento la presentación formal de un documento en plazo y la referencia material específica, cierta, actual y detallada a los temas sobre los cuales recae dicha obligación</w:t>
      </w:r>
      <w:r w:rsidRPr="00270680">
        <w:rPr>
          <w:rStyle w:val="FootnoteReference"/>
          <w:rFonts w:eastAsia="Calibri" w:cs="Times"/>
          <w:sz w:val="20"/>
        </w:rPr>
        <w:footnoteReference w:id="21"/>
      </w:r>
      <w:r w:rsidRPr="00270680">
        <w:rPr>
          <w:rFonts w:eastAsia="Calibri" w:cs="Times"/>
          <w:sz w:val="20"/>
          <w:szCs w:val="20"/>
          <w:lang w:val="es-ES_tradnl"/>
        </w:rPr>
        <w:t xml:space="preserve">, por lo que </w:t>
      </w:r>
      <w:r>
        <w:rPr>
          <w:rFonts w:eastAsia="Calibri" w:cs="Times"/>
          <w:sz w:val="20"/>
          <w:szCs w:val="20"/>
          <w:lang w:val="es-ES_tradnl"/>
        </w:rPr>
        <w:t xml:space="preserve">resulta de gran relevancia que </w:t>
      </w:r>
      <w:r w:rsidRPr="00270680">
        <w:rPr>
          <w:rFonts w:eastAsia="Calibri" w:cs="Times"/>
          <w:sz w:val="20"/>
          <w:szCs w:val="20"/>
          <w:lang w:val="es-ES_tradnl"/>
        </w:rPr>
        <w:t>el Estado brinde la información pertinente</w:t>
      </w:r>
      <w:r>
        <w:rPr>
          <w:rFonts w:eastAsia="Calibri" w:cs="Times"/>
          <w:sz w:val="20"/>
          <w:szCs w:val="20"/>
          <w:lang w:val="es-ES_tradnl"/>
        </w:rPr>
        <w:t>, precisa</w:t>
      </w:r>
      <w:r w:rsidRPr="00270680">
        <w:rPr>
          <w:rFonts w:eastAsia="Calibri" w:cs="Times"/>
          <w:sz w:val="20"/>
          <w:szCs w:val="20"/>
          <w:lang w:val="es-ES_tradnl"/>
        </w:rPr>
        <w:t xml:space="preserve"> </w:t>
      </w:r>
      <w:r>
        <w:rPr>
          <w:rFonts w:eastAsia="Calibri" w:cs="Times"/>
          <w:sz w:val="20"/>
          <w:szCs w:val="20"/>
          <w:lang w:val="es-ES_tradnl"/>
        </w:rPr>
        <w:t xml:space="preserve">y detallada </w:t>
      </w:r>
      <w:r w:rsidRPr="00270680">
        <w:rPr>
          <w:rFonts w:eastAsia="Calibri" w:cs="Times"/>
          <w:sz w:val="20"/>
          <w:szCs w:val="20"/>
          <w:lang w:val="es-ES_tradnl"/>
        </w:rPr>
        <w:t>para que la Corte pueda valorar</w:t>
      </w:r>
      <w:r>
        <w:rPr>
          <w:rFonts w:eastAsia="Calibri" w:cs="Times"/>
          <w:sz w:val="20"/>
          <w:szCs w:val="20"/>
          <w:lang w:val="es-ES_tradnl"/>
        </w:rPr>
        <w:t xml:space="preserve"> la efectividad de las medidas implementadas</w:t>
      </w:r>
      <w:r w:rsidRPr="00270680">
        <w:rPr>
          <w:rFonts w:eastAsia="Calibri" w:cs="Times"/>
          <w:sz w:val="20"/>
          <w:szCs w:val="20"/>
          <w:lang w:val="es-ES_tradnl"/>
        </w:rPr>
        <w:t xml:space="preserve">. </w:t>
      </w:r>
    </w:p>
    <w:p w14:paraId="44E17FFD" w14:textId="77777777" w:rsidR="00EC7626" w:rsidRDefault="00EC7626" w:rsidP="00EC7626">
      <w:pPr>
        <w:pStyle w:val="ListParagraph"/>
        <w:rPr>
          <w:sz w:val="20"/>
        </w:rPr>
      </w:pPr>
    </w:p>
    <w:p w14:paraId="64002CDC" w14:textId="64720F67" w:rsidR="009461DB" w:rsidRPr="009461DB" w:rsidRDefault="006E490C" w:rsidP="003D3E2C">
      <w:pPr>
        <w:pStyle w:val="Prrafodelista1"/>
        <w:numPr>
          <w:ilvl w:val="0"/>
          <w:numId w:val="3"/>
        </w:numPr>
        <w:tabs>
          <w:tab w:val="clear" w:pos="1068"/>
          <w:tab w:val="left" w:pos="720"/>
        </w:tabs>
        <w:ind w:left="0" w:firstLine="0"/>
        <w:jc w:val="both"/>
        <w:rPr>
          <w:sz w:val="20"/>
          <w:lang w:val="es-GT"/>
        </w:rPr>
      </w:pPr>
      <w:r>
        <w:rPr>
          <w:sz w:val="20"/>
          <w:lang w:val="es-GT"/>
        </w:rPr>
        <w:t>Cabe señalar que</w:t>
      </w:r>
      <w:r w:rsidR="00992255">
        <w:rPr>
          <w:sz w:val="20"/>
          <w:lang w:val="es-GT"/>
        </w:rPr>
        <w:t>,</w:t>
      </w:r>
      <w:r>
        <w:rPr>
          <w:sz w:val="20"/>
          <w:lang w:val="es-GT"/>
        </w:rPr>
        <w:t xml:space="preserve"> </w:t>
      </w:r>
      <w:r w:rsidR="003221CE">
        <w:rPr>
          <w:sz w:val="20"/>
          <w:lang w:val="es-GT"/>
        </w:rPr>
        <w:t xml:space="preserve">mediante nota de Secretaría, </w:t>
      </w:r>
      <w:r w:rsidR="009461DB" w:rsidRPr="009461DB">
        <w:rPr>
          <w:sz w:val="20"/>
          <w:lang w:val="es-GT"/>
        </w:rPr>
        <w:t>la Corte estim</w:t>
      </w:r>
      <w:r w:rsidR="003221CE">
        <w:rPr>
          <w:sz w:val="20"/>
          <w:lang w:val="es-GT"/>
        </w:rPr>
        <w:t>ó</w:t>
      </w:r>
      <w:r w:rsidR="009461DB" w:rsidRPr="009461DB">
        <w:rPr>
          <w:sz w:val="20"/>
          <w:lang w:val="es-GT"/>
        </w:rPr>
        <w:t xml:space="preserve"> pertinente otorgar una prórroga para que el Estado presente el </w:t>
      </w:r>
      <w:r w:rsidR="00BB4DF1">
        <w:rPr>
          <w:sz w:val="20"/>
          <w:lang w:val="es-GT"/>
        </w:rPr>
        <w:t>d</w:t>
      </w:r>
      <w:r w:rsidR="00BB4DF1" w:rsidRPr="009461DB">
        <w:rPr>
          <w:sz w:val="20"/>
          <w:lang w:val="es-GT"/>
        </w:rPr>
        <w:t xml:space="preserve">iagnóstico </w:t>
      </w:r>
      <w:r w:rsidR="004E3598">
        <w:rPr>
          <w:sz w:val="20"/>
          <w:lang w:val="es-GT"/>
        </w:rPr>
        <w:t xml:space="preserve">sobre situación de riesgo </w:t>
      </w:r>
      <w:r w:rsidR="009461DB">
        <w:rPr>
          <w:spacing w:val="-4"/>
          <w:sz w:val="20"/>
          <w:szCs w:val="20"/>
          <w:lang w:val="es-CR"/>
        </w:rPr>
        <w:t xml:space="preserve">de las </w:t>
      </w:r>
      <w:r w:rsidR="00BB4DF1">
        <w:rPr>
          <w:spacing w:val="-4"/>
          <w:sz w:val="20"/>
          <w:szCs w:val="20"/>
          <w:lang w:val="es-CR"/>
        </w:rPr>
        <w:t>comunidades beneficiarias</w:t>
      </w:r>
      <w:r w:rsidR="009461DB" w:rsidRPr="009461DB">
        <w:rPr>
          <w:sz w:val="20"/>
          <w:lang w:val="es-GT"/>
        </w:rPr>
        <w:t xml:space="preserve">. Al respecto el Tribunal enfatiza la necesidad de contar con el </w:t>
      </w:r>
      <w:r w:rsidR="00BB4DF1">
        <w:rPr>
          <w:sz w:val="20"/>
          <w:lang w:val="es-GT"/>
        </w:rPr>
        <w:t>d</w:t>
      </w:r>
      <w:r w:rsidR="00BB4DF1" w:rsidRPr="009461DB">
        <w:rPr>
          <w:sz w:val="20"/>
          <w:lang w:val="es-GT"/>
        </w:rPr>
        <w:t xml:space="preserve">iagnóstico </w:t>
      </w:r>
      <w:r w:rsidR="009461DB">
        <w:rPr>
          <w:sz w:val="20"/>
          <w:lang w:val="es-GT"/>
        </w:rPr>
        <w:t xml:space="preserve">referido, </w:t>
      </w:r>
      <w:r w:rsidR="00BB4DF1">
        <w:rPr>
          <w:sz w:val="20"/>
          <w:lang w:val="es-GT"/>
        </w:rPr>
        <w:t xml:space="preserve">en el menor tiempo posible, </w:t>
      </w:r>
      <w:r w:rsidR="009461DB" w:rsidRPr="009461DB">
        <w:rPr>
          <w:sz w:val="20"/>
          <w:lang w:val="es-GT"/>
        </w:rPr>
        <w:t xml:space="preserve">con la finalidad de </w:t>
      </w:r>
      <w:r w:rsidR="009461DB">
        <w:rPr>
          <w:sz w:val="20"/>
          <w:lang w:val="es-GT"/>
        </w:rPr>
        <w:t>identificar la situación actual de riesgo a la que se enfrentan las comunidades beneficiarias</w:t>
      </w:r>
      <w:r w:rsidR="00B258D1">
        <w:rPr>
          <w:sz w:val="20"/>
          <w:lang w:val="es-GT"/>
        </w:rPr>
        <w:t xml:space="preserve"> y así tomar las medidas más adecuadas</w:t>
      </w:r>
      <w:r w:rsidR="00BB4DF1">
        <w:rPr>
          <w:sz w:val="20"/>
          <w:lang w:val="es-GT"/>
        </w:rPr>
        <w:t xml:space="preserve"> para su protección</w:t>
      </w:r>
      <w:r w:rsidR="00B258D1">
        <w:rPr>
          <w:sz w:val="20"/>
          <w:lang w:val="es-GT"/>
        </w:rPr>
        <w:t>.</w:t>
      </w:r>
    </w:p>
    <w:p w14:paraId="65C13A22" w14:textId="77777777" w:rsidR="009461DB" w:rsidRDefault="009461DB" w:rsidP="009461DB">
      <w:pPr>
        <w:pStyle w:val="ListParagraph"/>
        <w:rPr>
          <w:spacing w:val="-4"/>
          <w:sz w:val="20"/>
          <w:lang w:val="es-CR"/>
        </w:rPr>
      </w:pPr>
    </w:p>
    <w:p w14:paraId="51A738DA" w14:textId="1CBBF631" w:rsidR="003D3E2C" w:rsidRDefault="00FB1B65" w:rsidP="003D3E2C">
      <w:pPr>
        <w:pStyle w:val="Prrafodelista1"/>
        <w:numPr>
          <w:ilvl w:val="0"/>
          <w:numId w:val="3"/>
        </w:numPr>
        <w:tabs>
          <w:tab w:val="clear" w:pos="1068"/>
          <w:tab w:val="left" w:pos="720"/>
        </w:tabs>
        <w:ind w:left="0" w:firstLine="0"/>
        <w:jc w:val="both"/>
        <w:rPr>
          <w:spacing w:val="-4"/>
          <w:sz w:val="20"/>
          <w:szCs w:val="20"/>
          <w:lang w:val="es-CR"/>
        </w:rPr>
      </w:pPr>
      <w:r w:rsidRPr="00B34007">
        <w:rPr>
          <w:sz w:val="20"/>
          <w:lang w:val="es-GT"/>
        </w:rPr>
        <w:t>Finalmente</w:t>
      </w:r>
      <w:r>
        <w:rPr>
          <w:rFonts w:eastAsia="Calibri" w:cs="Times"/>
          <w:sz w:val="20"/>
          <w:szCs w:val="20"/>
          <w:lang w:val="es-ES_tradnl"/>
        </w:rPr>
        <w:t>, en relación con</w:t>
      </w:r>
      <w:r w:rsidR="003D3E2C" w:rsidRPr="00764B69">
        <w:rPr>
          <w:rFonts w:eastAsia="Calibri" w:cs="Times"/>
          <w:sz w:val="20"/>
          <w:szCs w:val="20"/>
          <w:lang w:val="es-ES_tradnl"/>
        </w:rPr>
        <w:t xml:space="preserve"> la </w:t>
      </w:r>
      <w:r w:rsidR="0086675C">
        <w:rPr>
          <w:rFonts w:eastAsia="Calibri" w:cs="Times"/>
          <w:sz w:val="20"/>
          <w:szCs w:val="20"/>
          <w:lang w:val="es-ES_tradnl"/>
        </w:rPr>
        <w:t xml:space="preserve">falta de </w:t>
      </w:r>
      <w:r w:rsidR="003D3E2C" w:rsidRPr="00764B69">
        <w:rPr>
          <w:rFonts w:eastAsia="Calibri" w:cs="Times"/>
          <w:sz w:val="20"/>
          <w:szCs w:val="20"/>
          <w:lang w:val="es-ES_tradnl"/>
        </w:rPr>
        <w:t>investigación de los hechos</w:t>
      </w:r>
      <w:r>
        <w:rPr>
          <w:rFonts w:eastAsia="Calibri" w:cs="Times"/>
          <w:sz w:val="20"/>
          <w:szCs w:val="20"/>
          <w:lang w:val="es-ES_tradnl"/>
        </w:rPr>
        <w:t xml:space="preserve"> manifestada por los representantes</w:t>
      </w:r>
      <w:r w:rsidR="003D3E2C" w:rsidRPr="00764B69">
        <w:rPr>
          <w:rFonts w:eastAsia="Calibri" w:cs="Times"/>
          <w:sz w:val="20"/>
          <w:szCs w:val="20"/>
          <w:lang w:val="es-ES_tradnl"/>
        </w:rPr>
        <w:t>, la Corte reitera que, conforme a su jurisprudencia, el análisis de la efectividad del cumplimiento</w:t>
      </w:r>
      <w:r w:rsidR="003D3E2C">
        <w:rPr>
          <w:spacing w:val="-4"/>
          <w:sz w:val="20"/>
          <w:szCs w:val="20"/>
        </w:rPr>
        <w:t xml:space="preserve"> del deber de investigar los hechos que motivan las medidas provisionales corresponde a un examen de fondo</w:t>
      </w:r>
      <w:r w:rsidR="003D3E2C">
        <w:rPr>
          <w:spacing w:val="-4"/>
          <w:sz w:val="20"/>
          <w:szCs w:val="20"/>
          <w:vertAlign w:val="superscript"/>
        </w:rPr>
        <w:footnoteReference w:id="22"/>
      </w:r>
      <w:r w:rsidR="003D3E2C">
        <w:rPr>
          <w:spacing w:val="-4"/>
          <w:sz w:val="20"/>
          <w:szCs w:val="20"/>
        </w:rPr>
        <w:t xml:space="preserve">. </w:t>
      </w:r>
    </w:p>
    <w:p w14:paraId="2C371037" w14:textId="77777777" w:rsidR="0038509A" w:rsidRPr="00E01DA6" w:rsidRDefault="0038509A" w:rsidP="0038509A">
      <w:pPr>
        <w:pStyle w:val="Prrafodelista1"/>
        <w:jc w:val="both"/>
        <w:rPr>
          <w:sz w:val="20"/>
          <w:szCs w:val="20"/>
          <w:lang w:val="es-MX"/>
        </w:rPr>
      </w:pPr>
    </w:p>
    <w:p w14:paraId="7DD726D0" w14:textId="77777777" w:rsidR="00B75B22" w:rsidRPr="008E33D8" w:rsidRDefault="00B75B22" w:rsidP="00B75B22">
      <w:pPr>
        <w:tabs>
          <w:tab w:val="left" w:pos="680"/>
        </w:tabs>
        <w:spacing w:before="20" w:after="20"/>
        <w:ind w:right="18"/>
        <w:jc w:val="both"/>
        <w:rPr>
          <w:rFonts w:ascii="Verdana" w:hAnsi="Verdana"/>
          <w:b/>
          <w:sz w:val="20"/>
          <w:szCs w:val="20"/>
          <w:lang w:val="es-GT"/>
        </w:rPr>
      </w:pPr>
      <w:r w:rsidRPr="000C401F">
        <w:rPr>
          <w:rFonts w:ascii="Verdana" w:hAnsi="Verdana"/>
          <w:b/>
          <w:sz w:val="20"/>
          <w:szCs w:val="20"/>
          <w:lang w:val="es-GT"/>
        </w:rPr>
        <w:t>POR TAN</w:t>
      </w:r>
      <w:r w:rsidRPr="008E33D8">
        <w:rPr>
          <w:rFonts w:ascii="Verdana" w:hAnsi="Verdana"/>
          <w:b/>
          <w:sz w:val="20"/>
          <w:szCs w:val="20"/>
          <w:lang w:val="es-GT"/>
        </w:rPr>
        <w:t>TO:</w:t>
      </w:r>
    </w:p>
    <w:p w14:paraId="592C927C" w14:textId="77777777" w:rsidR="002A581F" w:rsidRDefault="002A581F" w:rsidP="00B75B22">
      <w:pPr>
        <w:spacing w:before="20" w:after="20"/>
        <w:ind w:right="18"/>
        <w:jc w:val="both"/>
        <w:rPr>
          <w:rFonts w:ascii="Verdana" w:hAnsi="Verdana"/>
          <w:b/>
          <w:sz w:val="20"/>
          <w:szCs w:val="20"/>
          <w:lang w:val="es-GT"/>
        </w:rPr>
      </w:pPr>
    </w:p>
    <w:p w14:paraId="41F8E8FB" w14:textId="77777777" w:rsidR="00B75B22" w:rsidRPr="008818D3" w:rsidRDefault="00B75B22" w:rsidP="00B75B22">
      <w:pPr>
        <w:spacing w:before="20" w:after="20"/>
        <w:ind w:right="18"/>
        <w:jc w:val="both"/>
        <w:rPr>
          <w:rFonts w:ascii="Verdana" w:hAnsi="Verdana"/>
          <w:b/>
          <w:sz w:val="20"/>
          <w:szCs w:val="20"/>
          <w:lang w:val="es-GT"/>
        </w:rPr>
      </w:pPr>
      <w:r w:rsidRPr="008818D3">
        <w:rPr>
          <w:rFonts w:ascii="Verdana" w:hAnsi="Verdana"/>
          <w:b/>
          <w:sz w:val="20"/>
          <w:szCs w:val="20"/>
          <w:lang w:val="es-GT"/>
        </w:rPr>
        <w:t>LA CORTE INTERAMERICANA DE DERECHOS HUMANOS,</w:t>
      </w:r>
    </w:p>
    <w:p w14:paraId="050EC2EC" w14:textId="77777777" w:rsidR="00B75B22" w:rsidRPr="008818D3" w:rsidRDefault="00B75B22" w:rsidP="00B75B22">
      <w:pPr>
        <w:spacing w:before="20" w:after="20"/>
        <w:ind w:right="18"/>
        <w:jc w:val="both"/>
        <w:rPr>
          <w:rFonts w:ascii="Verdana" w:hAnsi="Verdana"/>
          <w:b/>
          <w:sz w:val="20"/>
          <w:szCs w:val="20"/>
          <w:lang w:val="es-GT"/>
        </w:rPr>
      </w:pPr>
    </w:p>
    <w:p w14:paraId="22589421" w14:textId="77777777" w:rsidR="00B75B22" w:rsidRPr="008818D3" w:rsidRDefault="00B75B22" w:rsidP="00B75B22">
      <w:pPr>
        <w:jc w:val="both"/>
        <w:rPr>
          <w:rFonts w:ascii="Verdana" w:hAnsi="Verdana"/>
          <w:sz w:val="20"/>
          <w:szCs w:val="20"/>
          <w:lang w:val="es-MX"/>
        </w:rPr>
      </w:pPr>
      <w:r w:rsidRPr="008818D3">
        <w:rPr>
          <w:rFonts w:ascii="Verdana" w:hAnsi="Verdana"/>
          <w:sz w:val="20"/>
          <w:szCs w:val="20"/>
          <w:lang w:val="es-MX"/>
        </w:rPr>
        <w:t>en uso de las atribuciones que le confieren el artículo 63.2 de la Convención Americana, y los artículos 27 y</w:t>
      </w:r>
      <w:r w:rsidRPr="008818D3">
        <w:rPr>
          <w:rFonts w:ascii="Verdana" w:hAnsi="Verdana"/>
          <w:color w:val="00B050"/>
          <w:sz w:val="20"/>
          <w:szCs w:val="20"/>
          <w:lang w:val="es-MX"/>
        </w:rPr>
        <w:t xml:space="preserve"> </w:t>
      </w:r>
      <w:r w:rsidRPr="008818D3">
        <w:rPr>
          <w:rFonts w:ascii="Verdana" w:hAnsi="Verdana"/>
          <w:sz w:val="20"/>
          <w:szCs w:val="20"/>
          <w:lang w:val="es-MX"/>
        </w:rPr>
        <w:t>31 del Reglamento de la Corte,</w:t>
      </w:r>
    </w:p>
    <w:p w14:paraId="3B3778E6" w14:textId="77777777" w:rsidR="00B75B22" w:rsidRPr="008818D3" w:rsidRDefault="00B75B22" w:rsidP="00B75B22">
      <w:pPr>
        <w:tabs>
          <w:tab w:val="left" w:pos="680"/>
        </w:tabs>
        <w:spacing w:before="20" w:after="20"/>
        <w:ind w:right="18"/>
        <w:jc w:val="both"/>
        <w:rPr>
          <w:rFonts w:ascii="Verdana" w:hAnsi="Verdana"/>
          <w:b/>
          <w:sz w:val="20"/>
          <w:szCs w:val="20"/>
        </w:rPr>
      </w:pPr>
      <w:r w:rsidRPr="008818D3">
        <w:rPr>
          <w:rFonts w:ascii="Verdana" w:hAnsi="Verdana"/>
          <w:b/>
          <w:sz w:val="20"/>
          <w:szCs w:val="20"/>
        </w:rPr>
        <w:t>RESUELVE:</w:t>
      </w:r>
    </w:p>
    <w:p w14:paraId="7A3024CA" w14:textId="20E84920" w:rsidR="002A4BA1" w:rsidRPr="00323CD3" w:rsidRDefault="002A4BA1" w:rsidP="00323CD3">
      <w:pPr>
        <w:spacing w:before="20" w:after="20" w:line="240" w:lineRule="auto"/>
        <w:ind w:right="18"/>
        <w:jc w:val="both"/>
        <w:rPr>
          <w:rFonts w:ascii="Verdana" w:hAnsi="Verdana"/>
          <w:sz w:val="20"/>
          <w:szCs w:val="20"/>
          <w:lang w:val="es-GT"/>
        </w:rPr>
      </w:pPr>
    </w:p>
    <w:p w14:paraId="7CA56BC8" w14:textId="4515F7F6" w:rsidR="00B75B22" w:rsidRPr="008E33D8" w:rsidRDefault="00B75B22" w:rsidP="00B75B22">
      <w:pPr>
        <w:numPr>
          <w:ilvl w:val="0"/>
          <w:numId w:val="9"/>
        </w:numPr>
        <w:spacing w:before="20" w:after="20" w:line="240" w:lineRule="auto"/>
        <w:ind w:left="0" w:right="18" w:firstLine="0"/>
        <w:jc w:val="both"/>
        <w:rPr>
          <w:rFonts w:ascii="Verdana" w:hAnsi="Verdana"/>
          <w:sz w:val="20"/>
          <w:szCs w:val="20"/>
          <w:lang w:val="es-GT"/>
        </w:rPr>
      </w:pPr>
      <w:r w:rsidRPr="008818D3">
        <w:rPr>
          <w:rFonts w:ascii="Verdana" w:hAnsi="Verdana"/>
          <w:sz w:val="20"/>
          <w:szCs w:val="20"/>
          <w:lang w:val="es-MX"/>
        </w:rPr>
        <w:t xml:space="preserve">Ampliar las medidas provisionales emitidas en el presente asunto, de tal forma que el Estado de Nicaragua incluya de manera inmediata dentro de las medidas ordenadas mediante Resolución de 1 de septiembre de 2016, a </w:t>
      </w:r>
      <w:r w:rsidRPr="008818D3">
        <w:rPr>
          <w:rFonts w:ascii="Verdana" w:eastAsia="Times" w:hAnsi="Verdana" w:cs="Times New Roman"/>
          <w:sz w:val="20"/>
          <w:szCs w:val="20"/>
          <w:lang w:val="es-ES_tradnl"/>
        </w:rPr>
        <w:t xml:space="preserve">los miembros del pueblo indígena </w:t>
      </w:r>
      <w:r w:rsidRPr="008818D3">
        <w:rPr>
          <w:rFonts w:ascii="Verdana" w:eastAsia="Times" w:hAnsi="Verdana" w:cs="Times New Roman"/>
          <w:i/>
          <w:sz w:val="20"/>
          <w:szCs w:val="20"/>
          <w:lang w:val="es-ES_tradnl"/>
        </w:rPr>
        <w:t xml:space="preserve">Miskitu </w:t>
      </w:r>
      <w:r w:rsidRPr="008818D3">
        <w:rPr>
          <w:rFonts w:ascii="Verdana" w:eastAsia="Times" w:hAnsi="Verdana" w:cs="Times New Roman"/>
          <w:sz w:val="20"/>
          <w:szCs w:val="20"/>
          <w:lang w:val="es-ES_tradnl"/>
        </w:rPr>
        <w:t xml:space="preserve">que habitan </w:t>
      </w:r>
      <w:r w:rsidRPr="008818D3">
        <w:rPr>
          <w:rFonts w:ascii="Verdana" w:eastAsia="Times" w:hAnsi="Verdana"/>
          <w:sz w:val="20"/>
          <w:szCs w:val="20"/>
          <w:lang w:val="es-ES_tradnl"/>
        </w:rPr>
        <w:t>en la</w:t>
      </w:r>
      <w:r w:rsidRPr="008818D3">
        <w:rPr>
          <w:rFonts w:ascii="Verdana" w:eastAsia="Times" w:hAnsi="Verdana" w:cs="Times New Roman"/>
          <w:sz w:val="20"/>
          <w:szCs w:val="20"/>
          <w:lang w:val="es-ES_tradnl"/>
        </w:rPr>
        <w:t xml:space="preserve"> </w:t>
      </w:r>
      <w:r w:rsidR="002B2DC5" w:rsidRPr="002C4BEB">
        <w:rPr>
          <w:rFonts w:ascii="Verdana" w:eastAsia="Times" w:hAnsi="Verdana" w:cs="Times New Roman"/>
          <w:i/>
          <w:sz w:val="20"/>
          <w:szCs w:val="20"/>
          <w:lang w:val="es-ES_tradnl"/>
        </w:rPr>
        <w:t>C</w:t>
      </w:r>
      <w:r w:rsidRPr="002C4BEB">
        <w:rPr>
          <w:rFonts w:ascii="Verdana" w:eastAsia="Times" w:hAnsi="Verdana" w:cs="Times New Roman"/>
          <w:i/>
          <w:sz w:val="20"/>
          <w:szCs w:val="20"/>
          <w:lang w:val="es-ES_tradnl"/>
        </w:rPr>
        <w:t>omunidad de</w:t>
      </w:r>
      <w:r w:rsidRPr="008818D3">
        <w:rPr>
          <w:rFonts w:ascii="Verdana" w:eastAsia="Times" w:hAnsi="Verdana" w:cs="Times New Roman"/>
          <w:sz w:val="20"/>
          <w:szCs w:val="20"/>
          <w:lang w:val="es-ES_tradnl"/>
        </w:rPr>
        <w:t xml:space="preserve"> </w:t>
      </w:r>
      <w:r w:rsidRPr="008818D3">
        <w:rPr>
          <w:rFonts w:ascii="Verdana" w:eastAsia="Times" w:hAnsi="Verdana" w:cs="Times New Roman"/>
          <w:i/>
          <w:sz w:val="20"/>
          <w:szCs w:val="20"/>
          <w:lang w:val="es-ES_tradnl"/>
        </w:rPr>
        <w:t>Esperanza Río Coco</w:t>
      </w:r>
      <w:r w:rsidR="00470D48">
        <w:rPr>
          <w:rFonts w:ascii="Verdana" w:eastAsia="Times" w:hAnsi="Verdana" w:cs="Times New Roman"/>
          <w:sz w:val="20"/>
          <w:szCs w:val="20"/>
          <w:lang w:val="es-ES_tradnl"/>
        </w:rPr>
        <w:t>,</w:t>
      </w:r>
      <w:r w:rsidR="00470D48" w:rsidRPr="00470D48">
        <w:rPr>
          <w:rFonts w:eastAsia="MS Mincho"/>
          <w:sz w:val="20"/>
          <w:szCs w:val="20"/>
          <w:lang w:val="es-MX"/>
        </w:rPr>
        <w:t xml:space="preserve"> </w:t>
      </w:r>
      <w:r w:rsidR="00470D48" w:rsidRPr="00470D48">
        <w:rPr>
          <w:rFonts w:ascii="Verdana" w:eastAsia="Times" w:hAnsi="Verdana" w:cs="Times New Roman"/>
          <w:sz w:val="20"/>
          <w:szCs w:val="20"/>
          <w:lang w:val="es-ES_tradnl"/>
        </w:rPr>
        <w:t xml:space="preserve">así como </w:t>
      </w:r>
      <w:r w:rsidR="00470D48">
        <w:rPr>
          <w:rFonts w:ascii="Verdana" w:eastAsia="Times" w:hAnsi="Verdana" w:cs="Times New Roman"/>
          <w:sz w:val="20"/>
          <w:szCs w:val="20"/>
          <w:lang w:val="es-ES_tradnl"/>
        </w:rPr>
        <w:t xml:space="preserve">a </w:t>
      </w:r>
      <w:r w:rsidR="00470D48" w:rsidRPr="00470D48">
        <w:rPr>
          <w:rFonts w:ascii="Verdana" w:eastAsia="Times" w:hAnsi="Verdana" w:cs="Times New Roman"/>
          <w:sz w:val="20"/>
          <w:szCs w:val="20"/>
          <w:lang w:val="es-ES_tradnl"/>
        </w:rPr>
        <w:t>las personas que presuntamente hayan tenido que abandonar dicha comunidad y deseen regresar</w:t>
      </w:r>
      <w:r w:rsidRPr="00470D48">
        <w:rPr>
          <w:rFonts w:ascii="Verdana" w:eastAsia="Times" w:hAnsi="Verdana" w:cs="Times New Roman"/>
          <w:sz w:val="20"/>
          <w:szCs w:val="20"/>
          <w:lang w:val="es-ES_tradnl"/>
        </w:rPr>
        <w:t>.</w:t>
      </w:r>
      <w:r w:rsidRPr="008E33D8">
        <w:rPr>
          <w:rFonts w:ascii="Verdana" w:hAnsi="Verdana"/>
          <w:sz w:val="20"/>
          <w:szCs w:val="20"/>
          <w:lang w:val="es-ES_tradnl"/>
        </w:rPr>
        <w:t xml:space="preserve"> </w:t>
      </w:r>
    </w:p>
    <w:p w14:paraId="7124CCB1" w14:textId="77777777" w:rsidR="00B75B22" w:rsidRPr="008818D3" w:rsidRDefault="00B75B22" w:rsidP="00B75B22">
      <w:pPr>
        <w:spacing w:before="20" w:after="20" w:line="240" w:lineRule="auto"/>
        <w:ind w:right="18"/>
        <w:jc w:val="both"/>
        <w:rPr>
          <w:rFonts w:ascii="Verdana" w:hAnsi="Verdana"/>
          <w:sz w:val="20"/>
          <w:szCs w:val="20"/>
          <w:lang w:val="es-GT"/>
        </w:rPr>
      </w:pPr>
    </w:p>
    <w:p w14:paraId="15B17485" w14:textId="4C7CC946" w:rsidR="00E01DA6" w:rsidRPr="00E01DA6" w:rsidRDefault="00E01DA6" w:rsidP="00E01DA6">
      <w:pPr>
        <w:numPr>
          <w:ilvl w:val="0"/>
          <w:numId w:val="9"/>
        </w:numPr>
        <w:spacing w:before="20" w:after="20" w:line="240" w:lineRule="auto"/>
        <w:ind w:left="0" w:right="18" w:firstLine="0"/>
        <w:jc w:val="both"/>
        <w:rPr>
          <w:rFonts w:ascii="Verdana" w:hAnsi="Verdana"/>
          <w:sz w:val="20"/>
          <w:szCs w:val="20"/>
          <w:lang w:val="es-GT"/>
        </w:rPr>
      </w:pPr>
      <w:r w:rsidRPr="008818D3">
        <w:rPr>
          <w:rFonts w:ascii="Verdana" w:hAnsi="Verdana"/>
          <w:sz w:val="20"/>
          <w:szCs w:val="20"/>
          <w:lang w:val="es-GT"/>
        </w:rPr>
        <w:t xml:space="preserve">Requerir al Estado adoptar las medidas necesarias, a fin de incluir a los </w:t>
      </w:r>
      <w:r w:rsidR="001F4A29">
        <w:rPr>
          <w:rFonts w:ascii="Verdana" w:hAnsi="Verdana"/>
          <w:sz w:val="20"/>
          <w:szCs w:val="20"/>
          <w:lang w:val="es-GT"/>
        </w:rPr>
        <w:t>beneficiarios de la presente ampliación,</w:t>
      </w:r>
      <w:r w:rsidRPr="008818D3">
        <w:rPr>
          <w:rFonts w:ascii="Verdana" w:eastAsia="Times" w:hAnsi="Verdana" w:cs="Times New Roman"/>
          <w:sz w:val="20"/>
          <w:szCs w:val="20"/>
          <w:lang w:val="es-ES_tradnl"/>
        </w:rPr>
        <w:t xml:space="preserve"> en las demás medidas dispuestas por la Corte en su Resolución de 1 de septiembre de 2016, de conformidad con los Puntos Resolutivos 2, 3</w:t>
      </w:r>
      <w:r w:rsidR="006E490C">
        <w:rPr>
          <w:rFonts w:ascii="Verdana" w:eastAsia="Times" w:hAnsi="Verdana" w:cs="Times New Roman"/>
          <w:sz w:val="20"/>
          <w:szCs w:val="20"/>
          <w:lang w:val="es-ES_tradnl"/>
        </w:rPr>
        <w:t>, 4</w:t>
      </w:r>
      <w:r w:rsidRPr="008818D3">
        <w:rPr>
          <w:rFonts w:ascii="Verdana" w:eastAsia="Times" w:hAnsi="Verdana" w:cs="Times New Roman"/>
          <w:sz w:val="20"/>
          <w:szCs w:val="20"/>
          <w:lang w:val="es-ES_tradnl"/>
        </w:rPr>
        <w:t xml:space="preserve"> y 5 de la misma</w:t>
      </w:r>
      <w:r w:rsidR="00B258D1">
        <w:rPr>
          <w:rFonts w:ascii="Verdana" w:eastAsia="Times" w:hAnsi="Verdana" w:cs="Times New Roman"/>
          <w:sz w:val="20"/>
          <w:szCs w:val="20"/>
          <w:lang w:val="es-ES_tradnl"/>
        </w:rPr>
        <w:t xml:space="preserve">, especialmente mediante la debida implementación de </w:t>
      </w:r>
      <w:r w:rsidR="00685654">
        <w:rPr>
          <w:rFonts w:ascii="Verdana" w:eastAsia="Times" w:hAnsi="Verdana" w:cs="Times New Roman"/>
          <w:sz w:val="20"/>
          <w:szCs w:val="20"/>
          <w:lang w:val="es-ES_tradnl"/>
        </w:rPr>
        <w:t>la</w:t>
      </w:r>
      <w:r w:rsidR="002856E3">
        <w:rPr>
          <w:rFonts w:ascii="Verdana" w:eastAsia="Times" w:hAnsi="Verdana" w:cs="Times New Roman"/>
          <w:sz w:val="20"/>
          <w:szCs w:val="20"/>
          <w:lang w:val="es-ES_tradnl"/>
        </w:rPr>
        <w:t>s respectivas C</w:t>
      </w:r>
      <w:r w:rsidR="00685654">
        <w:rPr>
          <w:rFonts w:ascii="Verdana" w:eastAsia="Times" w:hAnsi="Verdana" w:cs="Times New Roman"/>
          <w:sz w:val="20"/>
          <w:szCs w:val="20"/>
          <w:lang w:val="es-ES_tradnl"/>
        </w:rPr>
        <w:t>omisiones</w:t>
      </w:r>
      <w:r w:rsidR="002856E3">
        <w:rPr>
          <w:rFonts w:ascii="Verdana" w:eastAsia="Times" w:hAnsi="Verdana" w:cs="Times New Roman"/>
          <w:sz w:val="20"/>
          <w:szCs w:val="20"/>
          <w:lang w:val="es-ES_tradnl"/>
        </w:rPr>
        <w:t xml:space="preserve">, </w:t>
      </w:r>
      <w:r w:rsidR="00B258D1">
        <w:rPr>
          <w:rFonts w:ascii="Verdana" w:eastAsia="Times" w:hAnsi="Verdana" w:cs="Times New Roman"/>
          <w:sz w:val="20"/>
          <w:szCs w:val="20"/>
          <w:lang w:val="es-ES_tradnl"/>
        </w:rPr>
        <w:t xml:space="preserve">tomando en cuenta la participación de las comunidades afectadas. </w:t>
      </w:r>
    </w:p>
    <w:p w14:paraId="53CFC9EA" w14:textId="77777777" w:rsidR="00E01DA6" w:rsidRPr="008818D3" w:rsidRDefault="00E01DA6" w:rsidP="00E01DA6">
      <w:pPr>
        <w:spacing w:before="20" w:after="20" w:line="240" w:lineRule="auto"/>
        <w:ind w:right="18"/>
        <w:jc w:val="both"/>
        <w:rPr>
          <w:rFonts w:ascii="Verdana" w:hAnsi="Verdana"/>
          <w:sz w:val="20"/>
          <w:szCs w:val="20"/>
          <w:lang w:val="es-GT"/>
        </w:rPr>
      </w:pPr>
    </w:p>
    <w:p w14:paraId="2BCD97DD" w14:textId="106D02A3" w:rsidR="00B75B22" w:rsidRDefault="00B75B22" w:rsidP="00B75B22">
      <w:pPr>
        <w:numPr>
          <w:ilvl w:val="0"/>
          <w:numId w:val="9"/>
        </w:numPr>
        <w:spacing w:before="20" w:after="20" w:line="240" w:lineRule="auto"/>
        <w:ind w:left="0" w:right="18" w:firstLine="0"/>
        <w:jc w:val="both"/>
        <w:rPr>
          <w:rFonts w:ascii="Verdana" w:hAnsi="Verdana"/>
          <w:sz w:val="20"/>
          <w:szCs w:val="20"/>
          <w:lang w:val="es-GT"/>
        </w:rPr>
      </w:pPr>
      <w:r w:rsidRPr="008818D3">
        <w:rPr>
          <w:rFonts w:ascii="Verdana" w:hAnsi="Verdana"/>
          <w:sz w:val="20"/>
          <w:szCs w:val="20"/>
          <w:lang w:val="es-GT"/>
        </w:rPr>
        <w:lastRenderedPageBreak/>
        <w:t>Re</w:t>
      </w:r>
      <w:r w:rsidR="006E490C">
        <w:rPr>
          <w:rFonts w:ascii="Verdana" w:hAnsi="Verdana"/>
          <w:sz w:val="20"/>
          <w:szCs w:val="20"/>
          <w:lang w:val="es-GT"/>
        </w:rPr>
        <w:t>iterar</w:t>
      </w:r>
      <w:r w:rsidRPr="008818D3">
        <w:rPr>
          <w:rFonts w:ascii="Verdana" w:hAnsi="Verdana"/>
          <w:sz w:val="20"/>
          <w:szCs w:val="20"/>
          <w:lang w:val="es-GT"/>
        </w:rPr>
        <w:t xml:space="preserve"> al Estado que</w:t>
      </w:r>
      <w:r w:rsidR="00214FF8" w:rsidRPr="008818D3">
        <w:rPr>
          <w:rFonts w:ascii="Verdana" w:hAnsi="Verdana"/>
          <w:sz w:val="20"/>
          <w:szCs w:val="20"/>
          <w:lang w:val="es-GT"/>
        </w:rPr>
        <w:t xml:space="preserve"> remita </w:t>
      </w:r>
      <w:r w:rsidRPr="008818D3">
        <w:rPr>
          <w:rFonts w:ascii="Verdana" w:hAnsi="Verdana"/>
          <w:sz w:val="20"/>
          <w:szCs w:val="20"/>
          <w:lang w:val="es-GT"/>
        </w:rPr>
        <w:t xml:space="preserve">información </w:t>
      </w:r>
      <w:r w:rsidR="002A4BA1">
        <w:rPr>
          <w:rFonts w:ascii="Verdana" w:hAnsi="Verdana"/>
          <w:sz w:val="20"/>
          <w:szCs w:val="20"/>
          <w:lang w:val="es-GT"/>
        </w:rPr>
        <w:t xml:space="preserve">completa y pormenorizada </w:t>
      </w:r>
      <w:r w:rsidRPr="008818D3">
        <w:rPr>
          <w:rFonts w:ascii="Verdana" w:hAnsi="Verdana"/>
          <w:sz w:val="20"/>
          <w:szCs w:val="20"/>
          <w:lang w:val="es-GT"/>
        </w:rPr>
        <w:t>sobre la implementación de las medidas provisionales adoptadas de conformidad con esta decisión y sus efectos</w:t>
      </w:r>
      <w:r w:rsidR="00214FF8" w:rsidRPr="008818D3">
        <w:rPr>
          <w:rFonts w:ascii="Verdana" w:hAnsi="Verdana"/>
          <w:sz w:val="20"/>
          <w:szCs w:val="20"/>
          <w:lang w:val="es-GT"/>
        </w:rPr>
        <w:t>, la cual</w:t>
      </w:r>
      <w:r w:rsidRPr="008818D3">
        <w:rPr>
          <w:rFonts w:ascii="Verdana" w:hAnsi="Verdana"/>
          <w:sz w:val="20"/>
          <w:szCs w:val="20"/>
          <w:lang w:val="es-GT"/>
        </w:rPr>
        <w:t xml:space="preserve"> deberá acompañar al diagnóstico sobre la situación actual de riesgo de las comunidades </w:t>
      </w:r>
      <w:r w:rsidR="00992255">
        <w:rPr>
          <w:rFonts w:ascii="Verdana" w:hAnsi="Verdana"/>
          <w:sz w:val="20"/>
          <w:szCs w:val="20"/>
          <w:lang w:val="es-GT"/>
        </w:rPr>
        <w:t xml:space="preserve">referentes, </w:t>
      </w:r>
      <w:r w:rsidRPr="008818D3">
        <w:rPr>
          <w:rFonts w:ascii="Verdana" w:hAnsi="Verdana"/>
          <w:sz w:val="20"/>
          <w:szCs w:val="20"/>
          <w:lang w:val="es-GT"/>
        </w:rPr>
        <w:t>que debe</w:t>
      </w:r>
      <w:r w:rsidR="00992255">
        <w:rPr>
          <w:rFonts w:ascii="Verdana" w:hAnsi="Verdana"/>
          <w:sz w:val="20"/>
          <w:szCs w:val="20"/>
          <w:lang w:val="es-GT"/>
        </w:rPr>
        <w:t>rá</w:t>
      </w:r>
      <w:r w:rsidRPr="008818D3">
        <w:rPr>
          <w:rFonts w:ascii="Verdana" w:hAnsi="Verdana"/>
          <w:sz w:val="20"/>
          <w:szCs w:val="20"/>
          <w:lang w:val="es-GT"/>
        </w:rPr>
        <w:t xml:space="preserve"> presentar a más tardar el </w:t>
      </w:r>
      <w:r w:rsidR="003D3E2C">
        <w:rPr>
          <w:rFonts w:ascii="Verdana" w:hAnsi="Verdana"/>
          <w:sz w:val="20"/>
          <w:szCs w:val="20"/>
          <w:lang w:val="es-GT"/>
        </w:rPr>
        <w:t>15</w:t>
      </w:r>
      <w:r w:rsidR="002A4BA1" w:rsidRPr="008818D3">
        <w:rPr>
          <w:rFonts w:ascii="Verdana" w:hAnsi="Verdana"/>
          <w:sz w:val="20"/>
          <w:szCs w:val="20"/>
          <w:lang w:val="es-GT"/>
        </w:rPr>
        <w:t xml:space="preserve"> </w:t>
      </w:r>
      <w:r w:rsidRPr="008818D3">
        <w:rPr>
          <w:rFonts w:ascii="Verdana" w:hAnsi="Verdana"/>
          <w:sz w:val="20"/>
          <w:szCs w:val="20"/>
          <w:lang w:val="es-GT"/>
        </w:rPr>
        <w:t xml:space="preserve">de </w:t>
      </w:r>
      <w:r w:rsidR="003D3E2C">
        <w:rPr>
          <w:rFonts w:ascii="Verdana" w:hAnsi="Verdana"/>
          <w:sz w:val="20"/>
          <w:szCs w:val="20"/>
          <w:lang w:val="es-GT"/>
        </w:rPr>
        <w:t>diciembre</w:t>
      </w:r>
      <w:r w:rsidR="002A4BA1" w:rsidRPr="008818D3">
        <w:rPr>
          <w:rFonts w:ascii="Verdana" w:hAnsi="Verdana"/>
          <w:sz w:val="20"/>
          <w:szCs w:val="20"/>
          <w:lang w:val="es-GT"/>
        </w:rPr>
        <w:t xml:space="preserve"> </w:t>
      </w:r>
      <w:r w:rsidRPr="008818D3">
        <w:rPr>
          <w:rFonts w:ascii="Verdana" w:hAnsi="Verdana"/>
          <w:sz w:val="20"/>
          <w:szCs w:val="20"/>
          <w:lang w:val="es-GT"/>
        </w:rPr>
        <w:t xml:space="preserve">de 2016, </w:t>
      </w:r>
      <w:r w:rsidR="00214FF8" w:rsidRPr="008818D3">
        <w:rPr>
          <w:rFonts w:ascii="Verdana" w:hAnsi="Verdana"/>
          <w:sz w:val="20"/>
          <w:szCs w:val="20"/>
          <w:lang w:val="es-GT"/>
        </w:rPr>
        <w:t>de conformidad con</w:t>
      </w:r>
      <w:r w:rsidRPr="008818D3">
        <w:rPr>
          <w:rFonts w:ascii="Verdana" w:hAnsi="Verdana"/>
          <w:sz w:val="20"/>
          <w:szCs w:val="20"/>
          <w:lang w:val="es-GT"/>
        </w:rPr>
        <w:t xml:space="preserve"> lo dispuesto en </w:t>
      </w:r>
      <w:r w:rsidR="001F4A29">
        <w:rPr>
          <w:rFonts w:ascii="Verdana" w:hAnsi="Verdana"/>
          <w:sz w:val="20"/>
          <w:szCs w:val="20"/>
          <w:lang w:val="es-GT"/>
        </w:rPr>
        <w:t xml:space="preserve">el </w:t>
      </w:r>
      <w:r w:rsidR="00800466">
        <w:rPr>
          <w:rFonts w:ascii="Verdana" w:hAnsi="Verdana"/>
          <w:sz w:val="20"/>
          <w:szCs w:val="20"/>
          <w:lang w:val="es-GT"/>
        </w:rPr>
        <w:t>Visto 14</w:t>
      </w:r>
      <w:r w:rsidR="001F4A29">
        <w:rPr>
          <w:rFonts w:ascii="Verdana" w:hAnsi="Verdana"/>
          <w:sz w:val="20"/>
          <w:szCs w:val="20"/>
          <w:lang w:val="es-GT"/>
        </w:rPr>
        <w:t xml:space="preserve"> </w:t>
      </w:r>
      <w:r w:rsidR="00992255">
        <w:rPr>
          <w:rFonts w:ascii="Verdana" w:hAnsi="Verdana"/>
          <w:sz w:val="20"/>
          <w:szCs w:val="20"/>
          <w:lang w:val="es-GT"/>
        </w:rPr>
        <w:t>de la presente Resolución</w:t>
      </w:r>
      <w:r w:rsidRPr="008818D3">
        <w:rPr>
          <w:rFonts w:ascii="Verdana" w:hAnsi="Verdana"/>
          <w:sz w:val="20"/>
          <w:szCs w:val="20"/>
          <w:lang w:val="es-GT"/>
        </w:rPr>
        <w:t>.</w:t>
      </w:r>
    </w:p>
    <w:p w14:paraId="3098352D" w14:textId="77777777" w:rsidR="00992255" w:rsidRDefault="00992255" w:rsidP="00992255">
      <w:pPr>
        <w:pStyle w:val="ListParagraph"/>
        <w:rPr>
          <w:rFonts w:ascii="Verdana" w:hAnsi="Verdana"/>
          <w:sz w:val="20"/>
          <w:lang w:val="es-GT"/>
        </w:rPr>
      </w:pPr>
    </w:p>
    <w:p w14:paraId="367766D4" w14:textId="56B72DB0" w:rsidR="00992255" w:rsidRDefault="00992255" w:rsidP="00992255">
      <w:pPr>
        <w:numPr>
          <w:ilvl w:val="0"/>
          <w:numId w:val="9"/>
        </w:numPr>
        <w:spacing w:before="20" w:after="20" w:line="240" w:lineRule="auto"/>
        <w:ind w:left="0" w:right="18" w:firstLine="0"/>
        <w:jc w:val="both"/>
        <w:rPr>
          <w:rFonts w:ascii="Verdana" w:hAnsi="Verdana"/>
          <w:sz w:val="20"/>
          <w:szCs w:val="20"/>
          <w:lang w:val="es-CR"/>
        </w:rPr>
      </w:pPr>
      <w:r w:rsidRPr="00992255">
        <w:rPr>
          <w:rFonts w:ascii="Verdana" w:hAnsi="Verdana"/>
          <w:sz w:val="20"/>
          <w:szCs w:val="20"/>
          <w:lang w:val="es-CR"/>
        </w:rPr>
        <w:t xml:space="preserve">Requerir al Estado que continúe informando a la Corte cada </w:t>
      </w:r>
      <w:r w:rsidR="00685654" w:rsidRPr="002856E3">
        <w:rPr>
          <w:rFonts w:ascii="Verdana" w:hAnsi="Verdana"/>
          <w:sz w:val="20"/>
          <w:szCs w:val="20"/>
          <w:lang w:val="es-CR"/>
        </w:rPr>
        <w:t>tres</w:t>
      </w:r>
      <w:r w:rsidRPr="002856E3">
        <w:rPr>
          <w:rFonts w:ascii="Verdana" w:hAnsi="Verdana"/>
          <w:sz w:val="20"/>
          <w:szCs w:val="20"/>
          <w:lang w:val="es-CR"/>
        </w:rPr>
        <w:t xml:space="preserve"> </w:t>
      </w:r>
      <w:r w:rsidRPr="00992255">
        <w:rPr>
          <w:rFonts w:ascii="Verdana" w:hAnsi="Verdana"/>
          <w:sz w:val="20"/>
          <w:szCs w:val="20"/>
          <w:lang w:val="es-CR"/>
        </w:rPr>
        <w:t xml:space="preserve">meses, contados a partir de la remisión de su último informe, sobre las </w:t>
      </w:r>
      <w:r>
        <w:rPr>
          <w:rFonts w:ascii="Verdana" w:hAnsi="Verdana"/>
          <w:sz w:val="20"/>
          <w:szCs w:val="20"/>
          <w:lang w:val="es-CR"/>
        </w:rPr>
        <w:t xml:space="preserve">medidas provisionales adoptadas, así como remitir </w:t>
      </w:r>
      <w:r w:rsidR="001F4A29">
        <w:rPr>
          <w:rFonts w:ascii="Verdana" w:hAnsi="Verdana"/>
          <w:sz w:val="20"/>
          <w:szCs w:val="20"/>
          <w:lang w:val="es-CR"/>
        </w:rPr>
        <w:t>dicha información</w:t>
      </w:r>
      <w:r>
        <w:rPr>
          <w:rFonts w:ascii="Verdana" w:hAnsi="Verdana"/>
          <w:sz w:val="20"/>
          <w:szCs w:val="20"/>
          <w:lang w:val="es-CR"/>
        </w:rPr>
        <w:t xml:space="preserve"> tanto </w:t>
      </w:r>
      <w:r w:rsidR="001F4A29">
        <w:rPr>
          <w:rFonts w:ascii="Verdana" w:hAnsi="Verdana"/>
          <w:sz w:val="20"/>
          <w:szCs w:val="20"/>
          <w:lang w:val="es-CR"/>
        </w:rPr>
        <w:t xml:space="preserve">a </w:t>
      </w:r>
      <w:r>
        <w:rPr>
          <w:rFonts w:ascii="Verdana" w:hAnsi="Verdana"/>
          <w:sz w:val="20"/>
          <w:szCs w:val="20"/>
          <w:lang w:val="es-CR"/>
        </w:rPr>
        <w:t xml:space="preserve">los representantes como </w:t>
      </w:r>
      <w:r w:rsidR="001F4A29">
        <w:rPr>
          <w:rFonts w:ascii="Verdana" w:hAnsi="Verdana"/>
          <w:sz w:val="20"/>
          <w:szCs w:val="20"/>
          <w:lang w:val="es-CR"/>
        </w:rPr>
        <w:t xml:space="preserve">a </w:t>
      </w:r>
      <w:r>
        <w:rPr>
          <w:rFonts w:ascii="Verdana" w:hAnsi="Verdana"/>
          <w:sz w:val="20"/>
          <w:szCs w:val="20"/>
          <w:lang w:val="es-CR"/>
        </w:rPr>
        <w:t xml:space="preserve">la Comisión Interamericana. </w:t>
      </w:r>
    </w:p>
    <w:p w14:paraId="517D8C1E" w14:textId="77777777" w:rsidR="00992255" w:rsidRPr="00992255" w:rsidRDefault="00992255" w:rsidP="00992255">
      <w:pPr>
        <w:spacing w:before="20" w:after="20" w:line="240" w:lineRule="auto"/>
        <w:ind w:right="18"/>
        <w:jc w:val="both"/>
        <w:rPr>
          <w:rFonts w:ascii="Verdana" w:hAnsi="Verdana"/>
          <w:sz w:val="20"/>
          <w:szCs w:val="20"/>
          <w:lang w:val="es-CR"/>
        </w:rPr>
      </w:pPr>
    </w:p>
    <w:p w14:paraId="42D963D1" w14:textId="5EC34DE2" w:rsidR="00B75B22" w:rsidRPr="002A5410" w:rsidRDefault="00B75B22" w:rsidP="00B75B22">
      <w:pPr>
        <w:numPr>
          <w:ilvl w:val="0"/>
          <w:numId w:val="9"/>
        </w:numPr>
        <w:spacing w:before="20" w:after="20" w:line="240" w:lineRule="auto"/>
        <w:ind w:left="0" w:right="18" w:firstLine="0"/>
        <w:jc w:val="both"/>
        <w:rPr>
          <w:rFonts w:ascii="Verdana" w:hAnsi="Verdana"/>
          <w:sz w:val="20"/>
          <w:szCs w:val="20"/>
          <w:lang w:val="es-ES"/>
        </w:rPr>
      </w:pPr>
      <w:r w:rsidRPr="008818D3">
        <w:rPr>
          <w:rFonts w:ascii="Verdana" w:hAnsi="Verdana"/>
          <w:sz w:val="20"/>
          <w:szCs w:val="20"/>
          <w:lang w:val="es-GT"/>
        </w:rPr>
        <w:t>Disponer que</w:t>
      </w:r>
      <w:r w:rsidRPr="008818D3">
        <w:rPr>
          <w:rFonts w:ascii="Verdana" w:hAnsi="Verdana"/>
          <w:sz w:val="20"/>
          <w:szCs w:val="20"/>
          <w:lang w:val="es-MX"/>
        </w:rPr>
        <w:t xml:space="preserve"> la Secretaría de la Corte notifique la presente Resolución al Estado de Nicaragua, a la Comisión Interamericana </w:t>
      </w:r>
      <w:r w:rsidR="008A199D" w:rsidRPr="00095453">
        <w:rPr>
          <w:rFonts w:ascii="Verdana" w:hAnsi="Verdana"/>
          <w:sz w:val="20"/>
          <w:szCs w:val="20"/>
          <w:lang w:val="es-MX"/>
        </w:rPr>
        <w:t xml:space="preserve">y </w:t>
      </w:r>
      <w:r w:rsidRPr="00B23996">
        <w:rPr>
          <w:rFonts w:ascii="Verdana" w:hAnsi="Verdana"/>
          <w:sz w:val="20"/>
          <w:szCs w:val="20"/>
          <w:lang w:val="es-CR"/>
        </w:rPr>
        <w:t>a la representación de los beneficiarios.</w:t>
      </w:r>
    </w:p>
    <w:p w14:paraId="28D72611" w14:textId="77777777" w:rsidR="00B75B22" w:rsidRPr="00967598" w:rsidRDefault="00B75B22" w:rsidP="00B75B22">
      <w:pPr>
        <w:pStyle w:val="ListParagraph"/>
        <w:rPr>
          <w:rFonts w:ascii="Verdana" w:hAnsi="Verdana"/>
          <w:sz w:val="20"/>
          <w:lang w:val="es-ES"/>
        </w:rPr>
      </w:pPr>
    </w:p>
    <w:p w14:paraId="4BEBD37F" w14:textId="78B03025" w:rsidR="00EE28FF" w:rsidRDefault="00EE28FF">
      <w:pPr>
        <w:rPr>
          <w:rFonts w:ascii="Verdana" w:hAnsi="Verdana"/>
          <w:sz w:val="20"/>
          <w:szCs w:val="20"/>
          <w:lang w:val="es-CR"/>
        </w:rPr>
      </w:pPr>
      <w:r>
        <w:rPr>
          <w:rFonts w:ascii="Verdana" w:hAnsi="Verdana"/>
          <w:sz w:val="20"/>
          <w:szCs w:val="20"/>
          <w:lang w:val="es-CR"/>
        </w:rPr>
        <w:br w:type="page"/>
      </w:r>
    </w:p>
    <w:p w14:paraId="5874AD3D" w14:textId="77777777" w:rsidR="00EE28FF" w:rsidRPr="00EE28FF" w:rsidRDefault="00EE28FF" w:rsidP="00EE28FF">
      <w:pPr>
        <w:spacing w:after="0" w:line="240" w:lineRule="auto"/>
        <w:jc w:val="both"/>
        <w:rPr>
          <w:rFonts w:ascii="Verdana" w:hAnsi="Verdana"/>
          <w:sz w:val="20"/>
          <w:lang w:val="es-CR"/>
        </w:rPr>
      </w:pPr>
      <w:r w:rsidRPr="007170C5">
        <w:rPr>
          <w:rFonts w:ascii="Verdana" w:hAnsi="Verdana"/>
          <w:sz w:val="20"/>
          <w:lang w:val="es-CR"/>
        </w:rPr>
        <w:lastRenderedPageBreak/>
        <w:t>Resolución de la Corte Interamericana de Derechos Humanos. Medidas Pro</w:t>
      </w:r>
      <w:r>
        <w:rPr>
          <w:rFonts w:ascii="Verdana" w:hAnsi="Verdana"/>
          <w:sz w:val="20"/>
          <w:lang w:val="es-CR"/>
        </w:rPr>
        <w:t>visionales respecto de Nicaragua</w:t>
      </w:r>
      <w:r w:rsidRPr="007170C5">
        <w:rPr>
          <w:rFonts w:ascii="Verdana" w:hAnsi="Verdana"/>
          <w:sz w:val="20"/>
          <w:lang w:val="es-CR"/>
        </w:rPr>
        <w:t xml:space="preserve">. </w:t>
      </w:r>
      <w:r>
        <w:rPr>
          <w:rFonts w:ascii="Verdana" w:hAnsi="Verdana"/>
          <w:sz w:val="20"/>
          <w:lang w:val="es-CR"/>
        </w:rPr>
        <w:t xml:space="preserve">Asunto Pobladores de las Comunidades del Pueblo Indígena </w:t>
      </w:r>
      <w:proofErr w:type="spellStart"/>
      <w:r>
        <w:rPr>
          <w:rFonts w:ascii="Verdana" w:hAnsi="Verdana"/>
          <w:sz w:val="20"/>
          <w:lang w:val="es-CR"/>
        </w:rPr>
        <w:t>Miskitu</w:t>
      </w:r>
      <w:proofErr w:type="spellEnd"/>
      <w:r>
        <w:rPr>
          <w:rFonts w:ascii="Verdana" w:hAnsi="Verdana"/>
          <w:sz w:val="20"/>
          <w:lang w:val="es-CR"/>
        </w:rPr>
        <w:t xml:space="preserve"> de la Región Costa Caribe Norte.</w:t>
      </w:r>
    </w:p>
    <w:p w14:paraId="0F26D6ED" w14:textId="77777777" w:rsidR="00EE28FF" w:rsidRPr="00EE28FF" w:rsidRDefault="00EE28FF" w:rsidP="00EE28FF">
      <w:pPr>
        <w:spacing w:after="0" w:line="240" w:lineRule="auto"/>
        <w:rPr>
          <w:rFonts w:ascii="Verdana" w:hAnsi="Verdana"/>
          <w:sz w:val="20"/>
          <w:lang w:val="es-CR"/>
        </w:rPr>
      </w:pPr>
    </w:p>
    <w:p w14:paraId="60100CCD" w14:textId="77777777" w:rsidR="00EE28FF" w:rsidRPr="00EE28FF" w:rsidRDefault="00EE28FF" w:rsidP="00EE28FF">
      <w:pPr>
        <w:spacing w:after="0" w:line="240" w:lineRule="auto"/>
        <w:rPr>
          <w:rFonts w:ascii="Verdana" w:hAnsi="Verdana"/>
          <w:sz w:val="20"/>
          <w:lang w:val="es-CR"/>
        </w:rPr>
      </w:pPr>
    </w:p>
    <w:p w14:paraId="62C7F1FB" w14:textId="77777777" w:rsidR="00EE28FF" w:rsidRPr="00EE28FF" w:rsidRDefault="00EE28FF" w:rsidP="00EE28FF">
      <w:pPr>
        <w:spacing w:after="0" w:line="240" w:lineRule="auto"/>
        <w:rPr>
          <w:rFonts w:ascii="Verdana" w:hAnsi="Verdana"/>
          <w:sz w:val="20"/>
          <w:lang w:val="es-CR"/>
        </w:rPr>
      </w:pPr>
    </w:p>
    <w:p w14:paraId="2B9B1E66" w14:textId="77777777" w:rsidR="00EE28FF" w:rsidRPr="00EE28FF" w:rsidRDefault="00EE28FF" w:rsidP="00EE28FF">
      <w:pPr>
        <w:spacing w:after="0" w:line="240" w:lineRule="auto"/>
        <w:rPr>
          <w:rFonts w:ascii="Verdana" w:hAnsi="Verdana"/>
          <w:sz w:val="20"/>
          <w:lang w:val="es-CR"/>
        </w:rPr>
      </w:pPr>
    </w:p>
    <w:p w14:paraId="78E9FE53" w14:textId="77777777" w:rsidR="00EE28FF" w:rsidRPr="00EE28FF" w:rsidRDefault="00EE28FF" w:rsidP="00EE28FF">
      <w:pPr>
        <w:spacing w:after="0" w:line="240" w:lineRule="auto"/>
        <w:rPr>
          <w:rFonts w:ascii="Verdana" w:hAnsi="Verdana"/>
          <w:sz w:val="20"/>
          <w:lang w:val="es-CR"/>
        </w:rPr>
      </w:pPr>
    </w:p>
    <w:p w14:paraId="43CEBD19" w14:textId="77777777" w:rsidR="00EE28FF" w:rsidRPr="00EE28FF" w:rsidRDefault="00EE28FF" w:rsidP="00EE28FF">
      <w:pPr>
        <w:spacing w:after="0" w:line="240" w:lineRule="auto"/>
        <w:jc w:val="center"/>
        <w:rPr>
          <w:rFonts w:ascii="Verdana" w:hAnsi="Verdana"/>
          <w:sz w:val="20"/>
          <w:lang w:val="es-CR"/>
        </w:rPr>
      </w:pPr>
      <w:r>
        <w:rPr>
          <w:rFonts w:ascii="Verdana" w:hAnsi="Verdana"/>
          <w:sz w:val="20"/>
          <w:lang w:val="es-CR"/>
        </w:rPr>
        <w:t>Roberto F. Caldas</w:t>
      </w:r>
    </w:p>
    <w:p w14:paraId="6D39472A" w14:textId="77777777" w:rsidR="00EE28FF" w:rsidRPr="00EE28FF" w:rsidRDefault="00EE28FF" w:rsidP="00EE28FF">
      <w:pPr>
        <w:spacing w:after="0" w:line="240" w:lineRule="auto"/>
        <w:jc w:val="center"/>
        <w:rPr>
          <w:rFonts w:ascii="Verdana" w:hAnsi="Verdana"/>
          <w:sz w:val="20"/>
          <w:lang w:val="es-CR"/>
        </w:rPr>
      </w:pPr>
      <w:r w:rsidRPr="00EE28FF">
        <w:rPr>
          <w:rFonts w:ascii="Verdana" w:hAnsi="Verdana"/>
          <w:sz w:val="20"/>
          <w:lang w:val="es-CR"/>
        </w:rPr>
        <w:t xml:space="preserve">Presidente </w:t>
      </w:r>
    </w:p>
    <w:p w14:paraId="496C035A" w14:textId="77777777" w:rsidR="00EE28FF" w:rsidRPr="00EE28FF" w:rsidRDefault="00EE28FF" w:rsidP="00EE28FF">
      <w:pPr>
        <w:spacing w:after="0" w:line="240" w:lineRule="auto"/>
        <w:jc w:val="both"/>
        <w:rPr>
          <w:rFonts w:ascii="Verdana" w:hAnsi="Verdana"/>
          <w:sz w:val="20"/>
          <w:lang w:val="es-CR"/>
        </w:rPr>
      </w:pPr>
    </w:p>
    <w:p w14:paraId="4FC97F84" w14:textId="77777777" w:rsidR="00EE28FF" w:rsidRPr="00EE28FF" w:rsidRDefault="00EE28FF" w:rsidP="00EE28FF">
      <w:pPr>
        <w:spacing w:after="0" w:line="240" w:lineRule="auto"/>
        <w:jc w:val="both"/>
        <w:rPr>
          <w:rFonts w:ascii="Verdana" w:hAnsi="Verdana"/>
          <w:sz w:val="20"/>
          <w:lang w:val="es-CR"/>
        </w:rPr>
      </w:pPr>
    </w:p>
    <w:p w14:paraId="002DD368" w14:textId="77777777" w:rsidR="00EE28FF" w:rsidRPr="00EE28FF" w:rsidRDefault="00EE28FF" w:rsidP="00EE28FF">
      <w:pPr>
        <w:spacing w:after="0" w:line="240" w:lineRule="auto"/>
        <w:jc w:val="both"/>
        <w:rPr>
          <w:rFonts w:ascii="Verdana" w:hAnsi="Verdana"/>
          <w:sz w:val="20"/>
          <w:lang w:val="es-CR"/>
        </w:rPr>
      </w:pPr>
    </w:p>
    <w:p w14:paraId="7913F832" w14:textId="77777777" w:rsidR="00EE28FF" w:rsidRPr="00EE28FF" w:rsidRDefault="00EE28FF" w:rsidP="00EE28FF">
      <w:pPr>
        <w:spacing w:after="0" w:line="240" w:lineRule="auto"/>
        <w:jc w:val="both"/>
        <w:rPr>
          <w:rFonts w:ascii="Verdana" w:hAnsi="Verdana"/>
          <w:sz w:val="20"/>
          <w:lang w:val="es-CR"/>
        </w:rPr>
      </w:pPr>
    </w:p>
    <w:p w14:paraId="0E2597F2" w14:textId="77777777" w:rsidR="00EE28FF" w:rsidRPr="00EE28FF" w:rsidRDefault="00EE28FF" w:rsidP="00EE28FF">
      <w:pPr>
        <w:spacing w:after="0" w:line="240" w:lineRule="auto"/>
        <w:jc w:val="both"/>
        <w:rPr>
          <w:rFonts w:ascii="Verdana" w:hAnsi="Verdana"/>
          <w:sz w:val="20"/>
          <w:lang w:val="es-CR"/>
        </w:rPr>
      </w:pPr>
    </w:p>
    <w:p w14:paraId="5342D17D" w14:textId="77777777" w:rsidR="00EE28FF" w:rsidRDefault="00EE28FF" w:rsidP="00EE28FF">
      <w:pPr>
        <w:spacing w:after="0" w:line="240" w:lineRule="auto"/>
        <w:jc w:val="both"/>
        <w:rPr>
          <w:rFonts w:ascii="Verdana" w:hAnsi="Verdana"/>
          <w:sz w:val="20"/>
          <w:lang w:val="es-CR"/>
        </w:rPr>
      </w:pPr>
      <w:r>
        <w:rPr>
          <w:rFonts w:ascii="Verdana" w:hAnsi="Verdana"/>
          <w:sz w:val="20"/>
          <w:lang w:val="es-CR"/>
        </w:rPr>
        <w:t>Eduardo Ferrer Mac-Gregor Poisot</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Eduardo Vio Grossi</w:t>
      </w:r>
    </w:p>
    <w:p w14:paraId="456B998D" w14:textId="77777777" w:rsidR="00EE28FF" w:rsidRDefault="00EE28FF" w:rsidP="00EE28FF">
      <w:pPr>
        <w:spacing w:after="0" w:line="240" w:lineRule="auto"/>
        <w:jc w:val="both"/>
        <w:rPr>
          <w:rFonts w:ascii="Verdana" w:hAnsi="Verdana"/>
          <w:sz w:val="20"/>
          <w:lang w:val="es-CR"/>
        </w:rPr>
      </w:pPr>
    </w:p>
    <w:p w14:paraId="4BEE9AB3" w14:textId="77777777" w:rsidR="00EE28FF" w:rsidRDefault="00EE28FF" w:rsidP="00EE28FF">
      <w:pPr>
        <w:spacing w:after="0" w:line="240" w:lineRule="auto"/>
        <w:jc w:val="both"/>
        <w:rPr>
          <w:rFonts w:ascii="Verdana" w:hAnsi="Verdana"/>
          <w:sz w:val="20"/>
          <w:lang w:val="es-CR"/>
        </w:rPr>
      </w:pPr>
    </w:p>
    <w:p w14:paraId="1BB1B51F" w14:textId="77777777" w:rsidR="00EE28FF" w:rsidRDefault="00EE28FF" w:rsidP="00EE28FF">
      <w:pPr>
        <w:spacing w:after="0" w:line="240" w:lineRule="auto"/>
        <w:jc w:val="both"/>
        <w:rPr>
          <w:rFonts w:ascii="Verdana" w:hAnsi="Verdana"/>
          <w:sz w:val="20"/>
          <w:lang w:val="es-CR"/>
        </w:rPr>
      </w:pPr>
    </w:p>
    <w:p w14:paraId="0B7E35EA" w14:textId="77777777" w:rsidR="00EE28FF" w:rsidRDefault="00EE28FF" w:rsidP="00EE28FF">
      <w:pPr>
        <w:spacing w:after="0" w:line="240" w:lineRule="auto"/>
        <w:jc w:val="both"/>
        <w:rPr>
          <w:rFonts w:ascii="Verdana" w:hAnsi="Verdana"/>
          <w:sz w:val="20"/>
          <w:lang w:val="es-CR"/>
        </w:rPr>
      </w:pPr>
    </w:p>
    <w:p w14:paraId="03E708B6" w14:textId="77777777" w:rsidR="00EE28FF" w:rsidRDefault="00EE28FF" w:rsidP="00EE28FF">
      <w:pPr>
        <w:spacing w:after="0" w:line="240" w:lineRule="auto"/>
        <w:jc w:val="both"/>
        <w:rPr>
          <w:rFonts w:ascii="Verdana" w:hAnsi="Verdana"/>
          <w:sz w:val="20"/>
          <w:lang w:val="es-CR"/>
        </w:rPr>
      </w:pPr>
    </w:p>
    <w:p w14:paraId="5145D228" w14:textId="77777777" w:rsidR="00EE28FF" w:rsidRPr="003D7CEE" w:rsidRDefault="00EE28FF" w:rsidP="00EE28FF">
      <w:pPr>
        <w:spacing w:after="0" w:line="240" w:lineRule="auto"/>
        <w:jc w:val="both"/>
        <w:rPr>
          <w:rFonts w:ascii="Verdana" w:hAnsi="Verdana"/>
          <w:sz w:val="20"/>
          <w:lang w:val="es-CR"/>
        </w:rPr>
      </w:pPr>
      <w:r>
        <w:rPr>
          <w:rFonts w:ascii="Verdana" w:hAnsi="Verdana"/>
          <w:sz w:val="20"/>
          <w:lang w:val="es-CR"/>
        </w:rPr>
        <w:t>Humberto Antonio Sierra Porto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Elizabeth Odio Benito</w:t>
      </w:r>
    </w:p>
    <w:p w14:paraId="7E9C3087" w14:textId="77777777" w:rsidR="00EE28FF" w:rsidRPr="00EE28FF" w:rsidRDefault="00EE28FF" w:rsidP="00EE28FF">
      <w:pPr>
        <w:spacing w:after="0" w:line="240" w:lineRule="auto"/>
        <w:jc w:val="center"/>
        <w:rPr>
          <w:rFonts w:ascii="Verdana" w:hAnsi="Verdana"/>
          <w:sz w:val="20"/>
          <w:lang w:val="es-CR"/>
        </w:rPr>
      </w:pPr>
    </w:p>
    <w:p w14:paraId="48FEAFBE" w14:textId="77777777" w:rsidR="00EE28FF" w:rsidRPr="00EE28FF" w:rsidRDefault="00EE28FF" w:rsidP="00EE28FF">
      <w:pPr>
        <w:spacing w:after="0" w:line="240" w:lineRule="auto"/>
        <w:jc w:val="center"/>
        <w:rPr>
          <w:rFonts w:ascii="Verdana" w:hAnsi="Verdana"/>
          <w:sz w:val="20"/>
          <w:lang w:val="es-CR"/>
        </w:rPr>
      </w:pPr>
    </w:p>
    <w:p w14:paraId="6DA8D9DF" w14:textId="77777777" w:rsidR="00EE28FF" w:rsidRPr="00EE28FF" w:rsidRDefault="00EE28FF" w:rsidP="00EE28FF">
      <w:pPr>
        <w:spacing w:after="0" w:line="240" w:lineRule="auto"/>
        <w:jc w:val="center"/>
        <w:rPr>
          <w:rFonts w:ascii="Verdana" w:hAnsi="Verdana"/>
          <w:sz w:val="20"/>
          <w:lang w:val="es-CR"/>
        </w:rPr>
      </w:pPr>
    </w:p>
    <w:p w14:paraId="01BB35A7" w14:textId="77777777" w:rsidR="00EE28FF" w:rsidRPr="00EE28FF" w:rsidRDefault="00EE28FF" w:rsidP="00EE28FF">
      <w:pPr>
        <w:spacing w:after="0" w:line="240" w:lineRule="auto"/>
        <w:jc w:val="center"/>
        <w:rPr>
          <w:rFonts w:ascii="Verdana" w:hAnsi="Verdana"/>
          <w:sz w:val="20"/>
          <w:lang w:val="es-CR"/>
        </w:rPr>
      </w:pPr>
    </w:p>
    <w:p w14:paraId="060601E4" w14:textId="77777777" w:rsidR="00EE28FF" w:rsidRDefault="00EE28FF" w:rsidP="00EE28FF">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p>
    <w:p w14:paraId="2F83407A" w14:textId="77777777" w:rsidR="00EE28FF" w:rsidRDefault="00EE28FF" w:rsidP="00EE28FF">
      <w:pPr>
        <w:spacing w:after="0" w:line="240" w:lineRule="auto"/>
        <w:rPr>
          <w:rFonts w:ascii="Verdana" w:hAnsi="Verdana"/>
          <w:sz w:val="20"/>
          <w:lang w:val="es-CR"/>
        </w:rPr>
      </w:pPr>
      <w:r>
        <w:rPr>
          <w:rFonts w:ascii="Verdana" w:hAnsi="Verdana"/>
          <w:sz w:val="20"/>
          <w:lang w:val="es-CR"/>
        </w:rPr>
        <w:t xml:space="preserve">Eugenio Raúl </w:t>
      </w:r>
      <w:proofErr w:type="spellStart"/>
      <w:r>
        <w:rPr>
          <w:rFonts w:ascii="Verdana" w:hAnsi="Verdana"/>
          <w:sz w:val="20"/>
          <w:lang w:val="es-CR"/>
        </w:rPr>
        <w:t>Zaffaroni</w:t>
      </w:r>
      <w:proofErr w:type="spellEnd"/>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L. Patricio Pazmiño Freire</w:t>
      </w:r>
    </w:p>
    <w:p w14:paraId="594D5F15" w14:textId="77777777" w:rsidR="00EE28FF" w:rsidRDefault="00EE28FF" w:rsidP="00EE28FF">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084587DE" w14:textId="77777777" w:rsidR="00EE28FF" w:rsidRDefault="00EE28FF" w:rsidP="00EE28FF">
      <w:pPr>
        <w:spacing w:after="0" w:line="240" w:lineRule="auto"/>
        <w:rPr>
          <w:rFonts w:ascii="Verdana" w:hAnsi="Verdana"/>
          <w:sz w:val="20"/>
          <w:lang w:val="es-CR"/>
        </w:rPr>
      </w:pPr>
    </w:p>
    <w:p w14:paraId="6E79FDF4" w14:textId="77777777" w:rsidR="00EE28FF" w:rsidRDefault="00EE28FF" w:rsidP="00EE28FF">
      <w:pPr>
        <w:spacing w:after="0" w:line="240" w:lineRule="auto"/>
        <w:rPr>
          <w:rFonts w:ascii="Verdana" w:hAnsi="Verdana"/>
          <w:sz w:val="20"/>
          <w:lang w:val="es-CR"/>
        </w:rPr>
      </w:pPr>
    </w:p>
    <w:p w14:paraId="59105D38" w14:textId="77777777" w:rsidR="00EE28FF" w:rsidRDefault="00EE28FF" w:rsidP="00EE28FF">
      <w:pPr>
        <w:tabs>
          <w:tab w:val="left" w:pos="8460"/>
          <w:tab w:val="left" w:pos="8640"/>
        </w:tabs>
        <w:spacing w:after="0" w:line="240" w:lineRule="auto"/>
        <w:jc w:val="both"/>
        <w:rPr>
          <w:rFonts w:ascii="Verdana" w:hAnsi="Verdana"/>
          <w:sz w:val="20"/>
          <w:lang w:val="es-CR"/>
        </w:rPr>
      </w:pPr>
    </w:p>
    <w:p w14:paraId="63D5169E" w14:textId="77777777" w:rsidR="00EE28FF" w:rsidRPr="00274D2F" w:rsidRDefault="00EE28FF" w:rsidP="00EE28FF">
      <w:pPr>
        <w:tabs>
          <w:tab w:val="left" w:pos="8460"/>
          <w:tab w:val="left" w:pos="8640"/>
        </w:tabs>
        <w:spacing w:after="0" w:line="240" w:lineRule="auto"/>
        <w:jc w:val="both"/>
        <w:rPr>
          <w:rFonts w:ascii="Verdana" w:hAnsi="Verdana"/>
          <w:sz w:val="20"/>
          <w:lang w:val="es-CR"/>
        </w:rPr>
      </w:pPr>
    </w:p>
    <w:p w14:paraId="00D18D1C" w14:textId="77777777" w:rsidR="00EE28FF" w:rsidRPr="00EE28FF" w:rsidRDefault="00EE28FF" w:rsidP="00EE28FF">
      <w:pPr>
        <w:tabs>
          <w:tab w:val="left" w:pos="8460"/>
          <w:tab w:val="left" w:pos="8640"/>
        </w:tabs>
        <w:spacing w:after="0" w:line="240" w:lineRule="auto"/>
        <w:jc w:val="center"/>
        <w:rPr>
          <w:rFonts w:ascii="Verdana" w:hAnsi="Verdana"/>
          <w:sz w:val="20"/>
          <w:lang w:val="es-CR"/>
        </w:rPr>
      </w:pPr>
      <w:r w:rsidRPr="00EE28FF">
        <w:rPr>
          <w:rFonts w:ascii="Verdana" w:hAnsi="Verdana"/>
          <w:sz w:val="20"/>
          <w:lang w:val="es-CR"/>
        </w:rPr>
        <w:t>Pablo Saavedra Alessandri</w:t>
      </w:r>
    </w:p>
    <w:p w14:paraId="021F1942" w14:textId="77777777" w:rsidR="00EE28FF" w:rsidRPr="00EE28FF" w:rsidRDefault="00EE28FF" w:rsidP="00EE28FF">
      <w:pPr>
        <w:tabs>
          <w:tab w:val="left" w:pos="8460"/>
          <w:tab w:val="left" w:pos="8640"/>
        </w:tabs>
        <w:spacing w:after="0" w:line="240" w:lineRule="auto"/>
        <w:jc w:val="center"/>
        <w:rPr>
          <w:rFonts w:ascii="Verdana" w:hAnsi="Verdana"/>
          <w:sz w:val="20"/>
          <w:lang w:val="es-CR"/>
        </w:rPr>
      </w:pPr>
      <w:r w:rsidRPr="00EE28FF">
        <w:rPr>
          <w:rFonts w:ascii="Verdana" w:hAnsi="Verdana"/>
          <w:sz w:val="20"/>
          <w:lang w:val="es-CR"/>
        </w:rPr>
        <w:t>Secretario</w:t>
      </w:r>
    </w:p>
    <w:p w14:paraId="7E18A149"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11F06E96" w14:textId="77777777" w:rsidR="00EE28FF" w:rsidRPr="00EE28FF" w:rsidRDefault="00EE28FF" w:rsidP="00EE28FF">
      <w:pPr>
        <w:spacing w:after="0" w:line="240" w:lineRule="auto"/>
        <w:jc w:val="both"/>
        <w:rPr>
          <w:rFonts w:ascii="Verdana" w:hAnsi="Verdana"/>
          <w:sz w:val="20"/>
          <w:lang w:val="es-CR"/>
        </w:rPr>
      </w:pPr>
    </w:p>
    <w:p w14:paraId="4FCF1B6D"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r w:rsidRPr="00EE28FF">
        <w:rPr>
          <w:rFonts w:ascii="Verdana" w:hAnsi="Verdana"/>
          <w:sz w:val="20"/>
          <w:lang w:val="es-CR"/>
        </w:rPr>
        <w:t>Comuníquese y ejecútese,</w:t>
      </w:r>
    </w:p>
    <w:p w14:paraId="575C0182"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7FB2BB0E"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06BEF855"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67498C19"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0B909645" w14:textId="77777777" w:rsidR="00EE28FF" w:rsidRPr="00EE28FF" w:rsidRDefault="00EE28FF" w:rsidP="00EE28FF">
      <w:pPr>
        <w:spacing w:after="0" w:line="240" w:lineRule="auto"/>
        <w:ind w:firstLine="720"/>
        <w:jc w:val="right"/>
        <w:rPr>
          <w:rFonts w:ascii="Verdana" w:hAnsi="Verdana"/>
          <w:sz w:val="20"/>
          <w:lang w:val="es-CR"/>
        </w:rPr>
      </w:pPr>
      <w:r>
        <w:rPr>
          <w:rFonts w:ascii="Verdana" w:hAnsi="Verdana"/>
          <w:sz w:val="20"/>
          <w:lang w:val="es-CR"/>
        </w:rPr>
        <w:t xml:space="preserve">                  Roberto F. Caldas</w:t>
      </w:r>
    </w:p>
    <w:p w14:paraId="44E179DB" w14:textId="77777777" w:rsidR="00EE28FF" w:rsidRPr="00EE28FF" w:rsidRDefault="00EE28FF" w:rsidP="00EE28FF">
      <w:pPr>
        <w:spacing w:after="0" w:line="240" w:lineRule="auto"/>
        <w:ind w:right="360"/>
        <w:jc w:val="right"/>
        <w:rPr>
          <w:rFonts w:ascii="Verdana" w:hAnsi="Verdana"/>
          <w:sz w:val="20"/>
          <w:lang w:val="es-CR"/>
        </w:rPr>
      </w:pPr>
      <w:r w:rsidRPr="00EE28FF">
        <w:rPr>
          <w:rFonts w:ascii="Verdana" w:hAnsi="Verdana"/>
          <w:sz w:val="20"/>
          <w:lang w:val="es-CR"/>
        </w:rPr>
        <w:t xml:space="preserve">Presidente </w:t>
      </w:r>
    </w:p>
    <w:p w14:paraId="190CA785"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15834E72"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69651692"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661FD0DA"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p>
    <w:p w14:paraId="6D9C3806" w14:textId="77777777" w:rsidR="00EE28FF" w:rsidRPr="00EE28FF" w:rsidRDefault="00EE28FF" w:rsidP="00EE28FF">
      <w:pPr>
        <w:tabs>
          <w:tab w:val="left" w:pos="8460"/>
          <w:tab w:val="left" w:pos="8640"/>
        </w:tabs>
        <w:spacing w:after="0" w:line="240" w:lineRule="auto"/>
        <w:jc w:val="both"/>
        <w:rPr>
          <w:rFonts w:ascii="Verdana" w:hAnsi="Verdana"/>
          <w:sz w:val="20"/>
          <w:lang w:val="es-CR"/>
        </w:rPr>
      </w:pPr>
      <w:r w:rsidRPr="00EE28FF">
        <w:rPr>
          <w:rFonts w:ascii="Verdana" w:hAnsi="Verdana"/>
          <w:sz w:val="20"/>
          <w:lang w:val="es-CR"/>
        </w:rPr>
        <w:t>Pablo Saavedra Alessandri</w:t>
      </w:r>
    </w:p>
    <w:p w14:paraId="1D1E2F8C" w14:textId="77777777" w:rsidR="00EE28FF" w:rsidRDefault="00EE28FF" w:rsidP="00EE28FF">
      <w:pPr>
        <w:tabs>
          <w:tab w:val="left" w:pos="8640"/>
        </w:tabs>
        <w:spacing w:after="0" w:line="240" w:lineRule="auto"/>
        <w:ind w:left="720"/>
        <w:rPr>
          <w:rFonts w:ascii="Verdana" w:hAnsi="Verdana"/>
          <w:sz w:val="20"/>
        </w:rPr>
      </w:pPr>
      <w:r w:rsidRPr="00EE28FF">
        <w:rPr>
          <w:rFonts w:ascii="Verdana" w:hAnsi="Verdana"/>
          <w:sz w:val="20"/>
          <w:lang w:val="es-CR"/>
        </w:rPr>
        <w:t xml:space="preserve">  </w:t>
      </w:r>
      <w:proofErr w:type="spellStart"/>
      <w:r>
        <w:rPr>
          <w:rFonts w:ascii="Verdana" w:hAnsi="Verdana"/>
          <w:sz w:val="20"/>
        </w:rPr>
        <w:t>Secretario</w:t>
      </w:r>
      <w:proofErr w:type="spellEnd"/>
    </w:p>
    <w:p w14:paraId="1A340370" w14:textId="77777777" w:rsidR="00316F5E" w:rsidRPr="000C401F" w:rsidRDefault="00316F5E" w:rsidP="00B75B22">
      <w:pPr>
        <w:jc w:val="both"/>
        <w:rPr>
          <w:rFonts w:ascii="Verdana" w:hAnsi="Verdana"/>
          <w:sz w:val="20"/>
          <w:szCs w:val="20"/>
          <w:lang w:val="es-CR"/>
        </w:rPr>
      </w:pPr>
    </w:p>
    <w:p w14:paraId="750F9E10" w14:textId="4CD92436" w:rsidR="00F40FAC" w:rsidRPr="006C51C5" w:rsidRDefault="00F40FAC" w:rsidP="00350920">
      <w:pPr>
        <w:tabs>
          <w:tab w:val="left" w:pos="8640"/>
        </w:tabs>
        <w:spacing w:after="0" w:line="240" w:lineRule="auto"/>
        <w:ind w:left="720"/>
        <w:rPr>
          <w:rFonts w:ascii="Verdana" w:hAnsi="Verdana"/>
          <w:sz w:val="20"/>
          <w:szCs w:val="20"/>
          <w:lang w:val="es-ES"/>
        </w:rPr>
      </w:pPr>
    </w:p>
    <w:sectPr w:rsidR="00F40FAC" w:rsidRPr="006C51C5" w:rsidSect="002856E3">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F9E15" w14:textId="77777777" w:rsidR="00A97281" w:rsidRDefault="00A97281" w:rsidP="002A7E0E">
      <w:pPr>
        <w:spacing w:after="0" w:line="240" w:lineRule="auto"/>
      </w:pPr>
      <w:r>
        <w:separator/>
      </w:r>
    </w:p>
  </w:endnote>
  <w:endnote w:type="continuationSeparator" w:id="0">
    <w:p w14:paraId="750F9E16" w14:textId="77777777" w:rsidR="00A97281" w:rsidRDefault="00A97281" w:rsidP="002A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F9E13" w14:textId="77777777" w:rsidR="00A97281" w:rsidRDefault="00A97281" w:rsidP="002A7E0E">
      <w:pPr>
        <w:spacing w:after="0" w:line="240" w:lineRule="auto"/>
      </w:pPr>
      <w:r>
        <w:separator/>
      </w:r>
    </w:p>
  </w:footnote>
  <w:footnote w:type="continuationSeparator" w:id="0">
    <w:p w14:paraId="750F9E14" w14:textId="77777777" w:rsidR="00A97281" w:rsidRDefault="00A97281" w:rsidP="002A7E0E">
      <w:pPr>
        <w:spacing w:after="0" w:line="240" w:lineRule="auto"/>
      </w:pPr>
      <w:r>
        <w:continuationSeparator/>
      </w:r>
    </w:p>
  </w:footnote>
  <w:footnote w:id="1">
    <w:p w14:paraId="555E129B" w14:textId="46D41927" w:rsidR="00A97281" w:rsidRPr="00B34007" w:rsidRDefault="00A97281" w:rsidP="00B34007">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FB1B65">
        <w:rPr>
          <w:rFonts w:ascii="Verdana" w:hAnsi="Verdana"/>
          <w:sz w:val="16"/>
          <w:szCs w:val="16"/>
          <w:lang w:val="es-CR"/>
        </w:rPr>
        <w:tab/>
      </w:r>
      <w:r w:rsidRPr="009461DB">
        <w:rPr>
          <w:rFonts w:ascii="Verdana" w:hAnsi="Verdana"/>
          <w:i/>
          <w:sz w:val="16"/>
          <w:szCs w:val="16"/>
          <w:lang w:val="es-MX"/>
        </w:rPr>
        <w:t xml:space="preserve">Asunto Pobladores de las Comunidades del Pueblo Indígena Miskitu de la Región Costa Caribe Norte respecto de Nicaragua. </w:t>
      </w:r>
      <w:r w:rsidRPr="009461DB">
        <w:rPr>
          <w:rFonts w:ascii="Verdana" w:hAnsi="Verdana"/>
          <w:sz w:val="16"/>
          <w:szCs w:val="16"/>
          <w:lang w:val="es-MX"/>
        </w:rPr>
        <w:t xml:space="preserve">Solicitud de medidas provisionales. Resolución de la Corte Interamericana de Derechos Humanos de 1 de septiembre de 2016, Resolutivos </w:t>
      </w:r>
      <w:r w:rsidRPr="00B34007">
        <w:rPr>
          <w:rFonts w:ascii="Verdana" w:hAnsi="Verdana"/>
          <w:sz w:val="16"/>
          <w:szCs w:val="16"/>
          <w:lang w:val="es-MX"/>
        </w:rPr>
        <w:t>1 a 4.</w:t>
      </w:r>
    </w:p>
  </w:footnote>
  <w:footnote w:id="2">
    <w:p w14:paraId="1135F561" w14:textId="52CEA1AD" w:rsidR="00A97281" w:rsidRPr="00B34007" w:rsidRDefault="00A97281" w:rsidP="00FB1B65">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FB1B65">
        <w:rPr>
          <w:rFonts w:ascii="Verdana" w:hAnsi="Verdana"/>
          <w:sz w:val="16"/>
          <w:szCs w:val="16"/>
          <w:lang w:val="es-MX"/>
        </w:rPr>
        <w:tab/>
      </w:r>
      <w:r w:rsidRPr="00FB1B65">
        <w:rPr>
          <w:rFonts w:ascii="Verdana" w:hAnsi="Verdana"/>
          <w:i/>
          <w:sz w:val="16"/>
          <w:szCs w:val="16"/>
          <w:lang w:val="es-MX"/>
        </w:rPr>
        <w:t xml:space="preserve">Cfr. Caso del Periódico “La Nación”. </w:t>
      </w:r>
      <w:r w:rsidRPr="002856E3">
        <w:rPr>
          <w:rFonts w:ascii="Verdana" w:hAnsi="Verdana"/>
          <w:sz w:val="16"/>
          <w:szCs w:val="16"/>
          <w:lang w:val="es-MX"/>
        </w:rPr>
        <w:t>Medidas Provisionales respecto de Costa Rica.</w:t>
      </w:r>
      <w:r w:rsidRPr="009461DB">
        <w:rPr>
          <w:rFonts w:ascii="Verdana" w:hAnsi="Verdana"/>
          <w:i/>
          <w:sz w:val="16"/>
          <w:szCs w:val="16"/>
          <w:lang w:val="es-MX"/>
        </w:rPr>
        <w:t xml:space="preserve"> </w:t>
      </w:r>
      <w:r w:rsidRPr="009461DB">
        <w:rPr>
          <w:rFonts w:ascii="Verdana" w:hAnsi="Verdana"/>
          <w:sz w:val="16"/>
          <w:szCs w:val="16"/>
          <w:lang w:val="es-MX"/>
        </w:rPr>
        <w:t xml:space="preserve">Resolución de la Corte Interamericana de Derechos Humanos de 7 de septiembre de 2001, Considerando </w:t>
      </w:r>
      <w:r w:rsidRPr="00B34007">
        <w:rPr>
          <w:rFonts w:ascii="Verdana" w:hAnsi="Verdana"/>
          <w:sz w:val="16"/>
          <w:szCs w:val="16"/>
          <w:lang w:val="es-MX"/>
        </w:rPr>
        <w:t xml:space="preserve">4, y </w:t>
      </w:r>
      <w:r w:rsidRPr="00B34007">
        <w:rPr>
          <w:rFonts w:ascii="Verdana" w:hAnsi="Verdana"/>
          <w:i/>
          <w:sz w:val="16"/>
          <w:szCs w:val="16"/>
          <w:lang w:val="es-MX"/>
        </w:rPr>
        <w:t>Asunto Pobladores de las Comunidades del Pueblo Indígena Miskitu de la Región Costa Caribe Norte respecto de Nicaragua, supra</w:t>
      </w:r>
      <w:r w:rsidRPr="00B34007">
        <w:rPr>
          <w:rFonts w:ascii="Verdana" w:hAnsi="Verdana"/>
          <w:sz w:val="16"/>
          <w:szCs w:val="16"/>
          <w:lang w:val="es-MX"/>
        </w:rPr>
        <w:t xml:space="preserve"> Considerando 4</w:t>
      </w:r>
      <w:r w:rsidRPr="00B34007">
        <w:rPr>
          <w:rFonts w:ascii="Verdana" w:hAnsi="Verdana"/>
          <w:i/>
          <w:sz w:val="16"/>
          <w:szCs w:val="16"/>
          <w:lang w:val="es-MX"/>
        </w:rPr>
        <w:t>.</w:t>
      </w:r>
    </w:p>
  </w:footnote>
  <w:footnote w:id="3">
    <w:p w14:paraId="3CB3F7F2" w14:textId="32B74F4C" w:rsidR="00A97281" w:rsidRPr="009461DB" w:rsidRDefault="00A97281" w:rsidP="009461DB">
      <w:pPr>
        <w:spacing w:after="0" w:line="240" w:lineRule="auto"/>
        <w:jc w:val="both"/>
        <w:rPr>
          <w:rFonts w:ascii="Verdana" w:hAnsi="Verdana" w:cs="Arial"/>
          <w:sz w:val="16"/>
          <w:szCs w:val="16"/>
          <w:lang w:val="es-CL"/>
        </w:rPr>
      </w:pPr>
      <w:r w:rsidRPr="00B34007">
        <w:rPr>
          <w:rStyle w:val="FootnoteReference"/>
          <w:rFonts w:ascii="Verdana" w:hAnsi="Verdana"/>
          <w:sz w:val="16"/>
          <w:szCs w:val="16"/>
        </w:rPr>
        <w:footnoteRef/>
      </w:r>
      <w:r w:rsidRPr="00B34007">
        <w:rPr>
          <w:rFonts w:ascii="Verdana" w:hAnsi="Verdana"/>
          <w:sz w:val="16"/>
          <w:szCs w:val="16"/>
          <w:lang w:val="es-CR"/>
        </w:rPr>
        <w:t xml:space="preserve"> </w:t>
      </w:r>
      <w:r w:rsidRPr="00B34007">
        <w:rPr>
          <w:rFonts w:ascii="Verdana" w:hAnsi="Verdana"/>
          <w:sz w:val="16"/>
          <w:szCs w:val="16"/>
          <w:lang w:val="es-CR"/>
        </w:rPr>
        <w:tab/>
      </w:r>
      <w:r w:rsidRPr="00B34007">
        <w:rPr>
          <w:rFonts w:ascii="Verdana" w:hAnsi="Verdana"/>
          <w:sz w:val="16"/>
          <w:szCs w:val="16"/>
          <w:lang w:val="es-MX"/>
        </w:rPr>
        <w:t xml:space="preserve">Las comunidades beneficiarias eran las siguientes: </w:t>
      </w:r>
      <w:r w:rsidRPr="00FB1B65">
        <w:rPr>
          <w:rFonts w:ascii="Verdana" w:hAnsi="Verdana" w:cs="Arial"/>
          <w:i/>
          <w:sz w:val="16"/>
          <w:szCs w:val="16"/>
          <w:lang w:val="es-CL"/>
        </w:rPr>
        <w:t xml:space="preserve">(i) La Esperanza, (ii) Santa Clara (iii) Santa Fe, </w:t>
      </w:r>
      <w:r w:rsidRPr="002856E3">
        <w:rPr>
          <w:rFonts w:ascii="Verdana" w:hAnsi="Verdana" w:cs="Arial"/>
          <w:i/>
          <w:sz w:val="16"/>
          <w:szCs w:val="16"/>
          <w:lang w:val="es-CL"/>
        </w:rPr>
        <w:t>(iv) Esperanza Río Coco,</w:t>
      </w:r>
      <w:r w:rsidRPr="009461DB">
        <w:rPr>
          <w:rFonts w:ascii="Verdana" w:hAnsi="Verdana" w:cs="Arial"/>
          <w:i/>
          <w:sz w:val="16"/>
          <w:szCs w:val="16"/>
          <w:lang w:val="es-CL"/>
        </w:rPr>
        <w:t xml:space="preserve">  (v) Polo </w:t>
      </w:r>
      <w:proofErr w:type="spellStart"/>
      <w:r w:rsidRPr="009461DB">
        <w:rPr>
          <w:rFonts w:ascii="Verdana" w:hAnsi="Verdana" w:cs="Arial"/>
          <w:i/>
          <w:sz w:val="16"/>
          <w:szCs w:val="16"/>
          <w:lang w:val="es-CL"/>
        </w:rPr>
        <w:t>Paiwas</w:t>
      </w:r>
      <w:proofErr w:type="spellEnd"/>
      <w:r w:rsidRPr="009461DB">
        <w:rPr>
          <w:rFonts w:ascii="Verdana" w:hAnsi="Verdana" w:cs="Arial"/>
          <w:i/>
          <w:sz w:val="16"/>
          <w:szCs w:val="16"/>
          <w:lang w:val="es-CL"/>
        </w:rPr>
        <w:t>, (vi) el Naranjal y  (vii) Cocal.</w:t>
      </w:r>
    </w:p>
  </w:footnote>
  <w:footnote w:id="4">
    <w:p w14:paraId="3ED1A309" w14:textId="414F1052" w:rsidR="00A97281" w:rsidRPr="00B34007" w:rsidRDefault="00A97281" w:rsidP="009461DB">
      <w:pPr>
        <w:pStyle w:val="FootnoteText"/>
        <w:jc w:val="both"/>
        <w:rPr>
          <w:rFonts w:ascii="Verdana" w:hAnsi="Verdana"/>
          <w:sz w:val="16"/>
          <w:szCs w:val="16"/>
          <w:lang w:val="es-MX"/>
        </w:rPr>
      </w:pPr>
      <w:r w:rsidRPr="00B34007">
        <w:rPr>
          <w:rStyle w:val="FootnoteReference"/>
          <w:rFonts w:ascii="Verdana" w:eastAsiaTheme="minorHAnsi"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FB1B65">
        <w:rPr>
          <w:rFonts w:ascii="Verdana" w:hAnsi="Verdana"/>
          <w:i/>
          <w:sz w:val="16"/>
          <w:szCs w:val="16"/>
          <w:lang w:val="es-MX"/>
        </w:rPr>
        <w:t>Asunto Pobladores de las Comunidades del Pueblo Indígena Miskitu de la Región Costa Caribe Norte respecto de Nicaragua, supra</w:t>
      </w:r>
      <w:r w:rsidRPr="009461DB">
        <w:rPr>
          <w:rFonts w:ascii="Verdana" w:hAnsi="Verdana"/>
          <w:sz w:val="16"/>
          <w:szCs w:val="16"/>
          <w:lang w:val="es-MX"/>
        </w:rPr>
        <w:t xml:space="preserve"> Considerando </w:t>
      </w:r>
      <w:r w:rsidRPr="00B34007">
        <w:rPr>
          <w:rFonts w:ascii="Verdana" w:hAnsi="Verdana"/>
          <w:sz w:val="16"/>
          <w:szCs w:val="16"/>
          <w:lang w:val="es-MX"/>
        </w:rPr>
        <w:t>20.</w:t>
      </w:r>
    </w:p>
  </w:footnote>
  <w:footnote w:id="5">
    <w:p w14:paraId="6248B3DD" w14:textId="25523969" w:rsidR="00A97281" w:rsidRPr="009461DB" w:rsidRDefault="00A97281" w:rsidP="009461DB">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FB1B65">
        <w:rPr>
          <w:rFonts w:ascii="Verdana" w:eastAsiaTheme="minorHAnsi" w:hAnsi="Verdana" w:cs="Arial"/>
          <w:i/>
          <w:sz w:val="16"/>
          <w:szCs w:val="16"/>
          <w:lang w:val="es-CL"/>
        </w:rPr>
        <w:t xml:space="preserve">Cfr. </w:t>
      </w:r>
      <w:r w:rsidRPr="00FB1B65">
        <w:rPr>
          <w:rFonts w:ascii="Verdana" w:eastAsiaTheme="minorHAnsi" w:hAnsi="Verdana" w:cs="Arial"/>
          <w:sz w:val="16"/>
          <w:szCs w:val="16"/>
          <w:lang w:val="es-CL"/>
        </w:rPr>
        <w:t xml:space="preserve">Comunicación Ref.: Pueblo Indígena </w:t>
      </w:r>
      <w:proofErr w:type="spellStart"/>
      <w:r w:rsidRPr="00FB1B65">
        <w:rPr>
          <w:rFonts w:ascii="Verdana" w:eastAsiaTheme="minorHAnsi" w:hAnsi="Verdana" w:cs="Arial"/>
          <w:sz w:val="16"/>
          <w:szCs w:val="16"/>
          <w:lang w:val="es-CL"/>
        </w:rPr>
        <w:t>Miskitu</w:t>
      </w:r>
      <w:proofErr w:type="spellEnd"/>
      <w:r w:rsidRPr="00FB1B65">
        <w:rPr>
          <w:rFonts w:ascii="Verdana" w:eastAsiaTheme="minorHAnsi" w:hAnsi="Verdana" w:cs="Arial"/>
          <w:sz w:val="16"/>
          <w:szCs w:val="16"/>
          <w:lang w:val="es-CL"/>
        </w:rPr>
        <w:t xml:space="preserve"> de </w:t>
      </w:r>
      <w:proofErr w:type="spellStart"/>
      <w:r w:rsidRPr="00FB1B65">
        <w:rPr>
          <w:rFonts w:ascii="Verdana" w:eastAsiaTheme="minorHAnsi" w:hAnsi="Verdana" w:cs="Arial"/>
          <w:sz w:val="16"/>
          <w:szCs w:val="16"/>
          <w:lang w:val="es-CL"/>
        </w:rPr>
        <w:t>Wangki</w:t>
      </w:r>
      <w:proofErr w:type="spellEnd"/>
      <w:r w:rsidRPr="00FB1B65">
        <w:rPr>
          <w:rFonts w:ascii="Verdana" w:eastAsiaTheme="minorHAnsi" w:hAnsi="Verdana" w:cs="Arial"/>
          <w:sz w:val="16"/>
          <w:szCs w:val="16"/>
          <w:lang w:val="es-CL"/>
        </w:rPr>
        <w:t xml:space="preserve"> </w:t>
      </w:r>
      <w:proofErr w:type="spellStart"/>
      <w:r w:rsidRPr="00FB1B65">
        <w:rPr>
          <w:rFonts w:ascii="Verdana" w:eastAsiaTheme="minorHAnsi" w:hAnsi="Verdana" w:cs="Arial"/>
          <w:sz w:val="16"/>
          <w:szCs w:val="16"/>
          <w:lang w:val="es-CL"/>
        </w:rPr>
        <w:t>Twi-Tasba</w:t>
      </w:r>
      <w:proofErr w:type="spellEnd"/>
      <w:r w:rsidRPr="00FB1B65">
        <w:rPr>
          <w:rFonts w:ascii="Verdana" w:eastAsiaTheme="minorHAnsi" w:hAnsi="Verdana" w:cs="Arial"/>
          <w:sz w:val="16"/>
          <w:szCs w:val="16"/>
          <w:lang w:val="es-CL"/>
        </w:rPr>
        <w:t xml:space="preserve"> Raya, del Centro por la Justicia y </w:t>
      </w:r>
      <w:r>
        <w:rPr>
          <w:rFonts w:ascii="Verdana" w:eastAsiaTheme="minorHAnsi" w:hAnsi="Verdana" w:cs="Arial"/>
          <w:sz w:val="16"/>
          <w:szCs w:val="16"/>
          <w:lang w:val="es-CL"/>
        </w:rPr>
        <w:t xml:space="preserve">los </w:t>
      </w:r>
      <w:r w:rsidRPr="00FB1B65">
        <w:rPr>
          <w:rFonts w:ascii="Verdana" w:eastAsiaTheme="minorHAnsi" w:hAnsi="Verdana" w:cs="Arial"/>
          <w:sz w:val="16"/>
          <w:szCs w:val="16"/>
          <w:lang w:val="es-CL"/>
        </w:rPr>
        <w:t>Derechos Humanos de la Costa Atlántica de Nicar</w:t>
      </w:r>
      <w:r w:rsidRPr="009461DB">
        <w:rPr>
          <w:rFonts w:ascii="Verdana" w:eastAsiaTheme="minorHAnsi" w:hAnsi="Verdana" w:cs="Arial"/>
          <w:sz w:val="16"/>
          <w:szCs w:val="16"/>
          <w:lang w:val="es-CL"/>
        </w:rPr>
        <w:t xml:space="preserve">agua </w:t>
      </w:r>
      <w:r>
        <w:rPr>
          <w:rFonts w:ascii="Verdana" w:eastAsiaTheme="minorHAnsi" w:hAnsi="Verdana" w:cs="Arial"/>
          <w:sz w:val="16"/>
          <w:szCs w:val="16"/>
          <w:lang w:val="es-CL"/>
        </w:rPr>
        <w:t xml:space="preserve">(CEJUDHCAN) </w:t>
      </w:r>
      <w:r w:rsidRPr="009461DB">
        <w:rPr>
          <w:rFonts w:ascii="Verdana" w:eastAsiaTheme="minorHAnsi" w:hAnsi="Verdana" w:cs="Arial"/>
          <w:sz w:val="16"/>
          <w:szCs w:val="16"/>
          <w:lang w:val="es-CL"/>
        </w:rPr>
        <w:t xml:space="preserve">y </w:t>
      </w:r>
      <w:r>
        <w:rPr>
          <w:rFonts w:ascii="Verdana" w:eastAsiaTheme="minorHAnsi" w:hAnsi="Verdana" w:cs="Arial"/>
          <w:sz w:val="16"/>
          <w:szCs w:val="16"/>
          <w:lang w:val="es-CL"/>
        </w:rPr>
        <w:t xml:space="preserve">del </w:t>
      </w:r>
      <w:r w:rsidRPr="009461DB">
        <w:rPr>
          <w:rFonts w:ascii="Verdana" w:eastAsiaTheme="minorHAnsi" w:hAnsi="Verdana" w:cs="Arial"/>
          <w:sz w:val="16"/>
          <w:szCs w:val="16"/>
          <w:lang w:val="es-CL"/>
        </w:rPr>
        <w:t>Centro por la Justicia y el Derecho Internacional</w:t>
      </w:r>
      <w:r>
        <w:rPr>
          <w:rFonts w:ascii="Verdana" w:eastAsiaTheme="minorHAnsi" w:hAnsi="Verdana" w:cs="Arial"/>
          <w:sz w:val="16"/>
          <w:szCs w:val="16"/>
          <w:lang w:val="es-CL"/>
        </w:rPr>
        <w:t xml:space="preserve"> (CEJIL)</w:t>
      </w:r>
      <w:r w:rsidRPr="009461DB">
        <w:rPr>
          <w:rFonts w:ascii="Verdana" w:eastAsiaTheme="minorHAnsi" w:hAnsi="Verdana" w:cs="Arial"/>
          <w:sz w:val="16"/>
          <w:szCs w:val="16"/>
          <w:lang w:val="es-CL"/>
        </w:rPr>
        <w:t>, de fecha 08 de septiembre de 2016 (anexos a la solicitud de la Comisión, folios 433 a 435).</w:t>
      </w:r>
    </w:p>
  </w:footnote>
  <w:footnote w:id="6">
    <w:p w14:paraId="3D25B22C" w14:textId="77777777" w:rsidR="00A97281" w:rsidRPr="009461DB" w:rsidRDefault="00A97281" w:rsidP="009461DB">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FB1B65">
        <w:rPr>
          <w:rFonts w:ascii="Verdana" w:hAnsi="Verdana"/>
          <w:sz w:val="16"/>
          <w:szCs w:val="16"/>
          <w:lang w:val="es-CR"/>
        </w:rPr>
        <w:tab/>
      </w:r>
      <w:r w:rsidRPr="00FB1B65">
        <w:rPr>
          <w:rFonts w:ascii="Verdana" w:hAnsi="Verdana"/>
          <w:i/>
          <w:sz w:val="16"/>
          <w:szCs w:val="16"/>
          <w:lang w:val="es-MX"/>
        </w:rPr>
        <w:t>Cfr.</w:t>
      </w:r>
      <w:r w:rsidRPr="009461DB">
        <w:rPr>
          <w:rFonts w:ascii="Verdana" w:hAnsi="Verdana"/>
          <w:sz w:val="16"/>
          <w:szCs w:val="16"/>
          <w:lang w:val="es-MX"/>
        </w:rPr>
        <w:t xml:space="preserve"> </w:t>
      </w:r>
      <w:r w:rsidRPr="009461DB">
        <w:rPr>
          <w:rFonts w:ascii="Verdana" w:hAnsi="Verdana"/>
          <w:i/>
          <w:sz w:val="16"/>
          <w:szCs w:val="16"/>
          <w:lang w:val="es-MX"/>
        </w:rPr>
        <w:t>Asunto Pobladores de las Comunidades del Pueblo Indígena Miskitu de la Región Costa Caribe Norte respecto de Nicaragua, supra</w:t>
      </w:r>
      <w:r w:rsidRPr="009461DB">
        <w:rPr>
          <w:rFonts w:ascii="Verdana" w:hAnsi="Verdana"/>
          <w:sz w:val="16"/>
          <w:szCs w:val="16"/>
          <w:lang w:val="es-MX"/>
        </w:rPr>
        <w:t xml:space="preserve"> Considerandos 8 y 11.</w:t>
      </w:r>
    </w:p>
  </w:footnote>
  <w:footnote w:id="7">
    <w:p w14:paraId="6A3121AA" w14:textId="77777777" w:rsidR="00A97281" w:rsidRPr="00B34007" w:rsidRDefault="00A97281" w:rsidP="009461DB">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FB1B65">
        <w:rPr>
          <w:rFonts w:ascii="Verdana" w:hAnsi="Verdana"/>
          <w:sz w:val="16"/>
          <w:szCs w:val="16"/>
          <w:lang w:val="es-CR"/>
        </w:rPr>
        <w:tab/>
      </w:r>
      <w:r w:rsidRPr="00FB1B65">
        <w:rPr>
          <w:rFonts w:ascii="Verdana" w:hAnsi="Verdana"/>
          <w:i/>
          <w:sz w:val="16"/>
          <w:szCs w:val="16"/>
          <w:lang w:val="es-MX"/>
        </w:rPr>
        <w:t>Asunto Pobladores de las Comunidades del Pueblo Indígena Miskitu de la Región Costa Caribe Norte respecto de Nicaragua</w:t>
      </w:r>
      <w:r w:rsidRPr="009461DB">
        <w:rPr>
          <w:rFonts w:ascii="Verdana" w:hAnsi="Verdana"/>
          <w:sz w:val="16"/>
          <w:szCs w:val="16"/>
          <w:lang w:val="es-MX"/>
        </w:rPr>
        <w:t xml:space="preserve">, </w:t>
      </w:r>
      <w:r w:rsidRPr="009461DB">
        <w:rPr>
          <w:rFonts w:ascii="Verdana" w:hAnsi="Verdana"/>
          <w:i/>
          <w:sz w:val="16"/>
          <w:szCs w:val="16"/>
          <w:lang w:val="es-MX"/>
        </w:rPr>
        <w:t xml:space="preserve">supra </w:t>
      </w:r>
      <w:r w:rsidRPr="00B34007">
        <w:rPr>
          <w:rFonts w:ascii="Verdana" w:hAnsi="Verdana"/>
          <w:sz w:val="16"/>
          <w:szCs w:val="16"/>
          <w:lang w:val="es-MX"/>
        </w:rPr>
        <w:t>Considerando 11.</w:t>
      </w:r>
    </w:p>
  </w:footnote>
  <w:footnote w:id="8">
    <w:p w14:paraId="79E5753C" w14:textId="016BAF85" w:rsidR="00A97281" w:rsidRPr="009461DB"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9461DB">
        <w:rPr>
          <w:rFonts w:ascii="Verdana" w:hAnsi="Verdana"/>
          <w:i/>
          <w:sz w:val="16"/>
          <w:szCs w:val="16"/>
          <w:lang w:val="es-MX"/>
        </w:rPr>
        <w:t>Asunto Pobladores de las Comunidades del Pueblo Indígena Miskitu de la Región Costa Caribe Norte respecto de Nicaragua</w:t>
      </w:r>
      <w:r w:rsidRPr="009461DB">
        <w:rPr>
          <w:rFonts w:ascii="Verdana" w:hAnsi="Verdana"/>
          <w:sz w:val="16"/>
          <w:szCs w:val="16"/>
          <w:lang w:val="es-MX"/>
        </w:rPr>
        <w:t xml:space="preserve">, </w:t>
      </w:r>
      <w:r>
        <w:rPr>
          <w:rFonts w:ascii="Verdana" w:hAnsi="Verdana"/>
          <w:i/>
          <w:sz w:val="16"/>
          <w:szCs w:val="16"/>
          <w:lang w:val="es-MX"/>
        </w:rPr>
        <w:t xml:space="preserve">supra </w:t>
      </w:r>
      <w:r w:rsidRPr="009461DB">
        <w:rPr>
          <w:rFonts w:ascii="Verdana" w:hAnsi="Verdana"/>
          <w:sz w:val="16"/>
          <w:szCs w:val="16"/>
          <w:lang w:val="es-MX"/>
        </w:rPr>
        <w:t>Considerando 7.</w:t>
      </w:r>
    </w:p>
  </w:footnote>
  <w:footnote w:id="9">
    <w:p w14:paraId="72CF7003" w14:textId="77777777" w:rsidR="00A97281" w:rsidRPr="00B34007"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t>La Comisión otorgó las primeras medidas cautela</w:t>
      </w:r>
      <w:r w:rsidRPr="00FB1B65">
        <w:rPr>
          <w:rFonts w:ascii="Verdana" w:hAnsi="Verdana"/>
          <w:sz w:val="16"/>
          <w:szCs w:val="16"/>
          <w:lang w:val="es-MX"/>
        </w:rPr>
        <w:t xml:space="preserve">res el 14 de octubre de 2015, medidas que fueron posteriormente ampliadas el 16 de enero de 2016 y, después, el 8 de agosto de 2016, para pobladores de diversas comunidades integrantes del pueblo indígena </w:t>
      </w:r>
      <w:r w:rsidRPr="009461DB">
        <w:rPr>
          <w:rFonts w:ascii="Verdana" w:hAnsi="Verdana"/>
          <w:i/>
          <w:sz w:val="16"/>
          <w:szCs w:val="16"/>
          <w:lang w:val="es-MX"/>
        </w:rPr>
        <w:t xml:space="preserve">Miskitu. Cfr. </w:t>
      </w:r>
      <w:r w:rsidRPr="009461DB">
        <w:rPr>
          <w:rFonts w:ascii="Verdana" w:hAnsi="Verdana"/>
          <w:sz w:val="16"/>
          <w:szCs w:val="16"/>
          <w:lang w:val="es-MX"/>
        </w:rPr>
        <w:t>CIDH, Resolución 37/15, Medida Cautel</w:t>
      </w:r>
      <w:r w:rsidRPr="00B34007">
        <w:rPr>
          <w:rFonts w:ascii="Verdana" w:hAnsi="Verdana"/>
          <w:sz w:val="16"/>
          <w:szCs w:val="16"/>
          <w:lang w:val="es-MX"/>
        </w:rPr>
        <w:t xml:space="preserve">ar No. 505-15, Pueblo Indígena </w:t>
      </w:r>
      <w:proofErr w:type="spellStart"/>
      <w:r w:rsidRPr="00B34007">
        <w:rPr>
          <w:rFonts w:ascii="Verdana" w:hAnsi="Verdana"/>
          <w:i/>
          <w:sz w:val="16"/>
          <w:szCs w:val="16"/>
          <w:lang w:val="es-MX"/>
        </w:rPr>
        <w:t>Miskitu</w:t>
      </w:r>
      <w:proofErr w:type="spellEnd"/>
      <w:r w:rsidRPr="00B34007">
        <w:rPr>
          <w:rFonts w:ascii="Verdana" w:hAnsi="Verdana"/>
          <w:sz w:val="16"/>
          <w:szCs w:val="16"/>
          <w:lang w:val="es-MX"/>
        </w:rPr>
        <w:t xml:space="preserve"> de </w:t>
      </w:r>
      <w:proofErr w:type="spellStart"/>
      <w:r w:rsidRPr="00B34007">
        <w:rPr>
          <w:rFonts w:ascii="Verdana" w:hAnsi="Verdana"/>
          <w:sz w:val="16"/>
          <w:szCs w:val="16"/>
          <w:lang w:val="es-MX"/>
        </w:rPr>
        <w:t>Wangki</w:t>
      </w:r>
      <w:proofErr w:type="spellEnd"/>
      <w:r w:rsidRPr="00B34007">
        <w:rPr>
          <w:rFonts w:ascii="Verdana" w:hAnsi="Verdana"/>
          <w:sz w:val="16"/>
          <w:szCs w:val="16"/>
          <w:lang w:val="es-MX"/>
        </w:rPr>
        <w:t xml:space="preserve"> </w:t>
      </w:r>
      <w:proofErr w:type="spellStart"/>
      <w:r w:rsidRPr="00B34007">
        <w:rPr>
          <w:rFonts w:ascii="Verdana" w:hAnsi="Verdana"/>
          <w:sz w:val="16"/>
          <w:szCs w:val="16"/>
          <w:lang w:val="es-MX"/>
        </w:rPr>
        <w:t>Twi-Tasba</w:t>
      </w:r>
      <w:proofErr w:type="spellEnd"/>
      <w:r w:rsidRPr="00B34007">
        <w:rPr>
          <w:rFonts w:ascii="Verdana" w:hAnsi="Verdana"/>
          <w:sz w:val="16"/>
          <w:szCs w:val="16"/>
          <w:lang w:val="es-MX"/>
        </w:rPr>
        <w:t xml:space="preserve"> Raya respecto de Nicaragua, 14 de octubre de 2015; CIDH, Resolución 2/2016, Medida Cautelar No. 505-15, Ampliación de beneficiarios Pueblo Indígena </w:t>
      </w:r>
      <w:proofErr w:type="spellStart"/>
      <w:r w:rsidRPr="00B34007">
        <w:rPr>
          <w:rFonts w:ascii="Verdana" w:hAnsi="Verdana"/>
          <w:i/>
          <w:sz w:val="16"/>
          <w:szCs w:val="16"/>
          <w:lang w:val="es-MX"/>
        </w:rPr>
        <w:t>Miskitu</w:t>
      </w:r>
      <w:proofErr w:type="spellEnd"/>
      <w:r w:rsidRPr="00B34007">
        <w:rPr>
          <w:rFonts w:ascii="Verdana" w:hAnsi="Verdana"/>
          <w:sz w:val="16"/>
          <w:szCs w:val="16"/>
          <w:lang w:val="es-MX"/>
        </w:rPr>
        <w:t xml:space="preserve"> de </w:t>
      </w:r>
      <w:proofErr w:type="spellStart"/>
      <w:r w:rsidRPr="00B34007">
        <w:rPr>
          <w:rFonts w:ascii="Verdana" w:hAnsi="Verdana"/>
          <w:sz w:val="16"/>
          <w:szCs w:val="16"/>
          <w:lang w:val="es-MX"/>
        </w:rPr>
        <w:t>Wangki</w:t>
      </w:r>
      <w:proofErr w:type="spellEnd"/>
      <w:r w:rsidRPr="00B34007">
        <w:rPr>
          <w:rFonts w:ascii="Verdana" w:hAnsi="Verdana"/>
          <w:sz w:val="16"/>
          <w:szCs w:val="16"/>
          <w:lang w:val="es-MX"/>
        </w:rPr>
        <w:t xml:space="preserve"> </w:t>
      </w:r>
      <w:proofErr w:type="spellStart"/>
      <w:r w:rsidRPr="00B34007">
        <w:rPr>
          <w:rFonts w:ascii="Verdana" w:hAnsi="Verdana"/>
          <w:sz w:val="16"/>
          <w:szCs w:val="16"/>
          <w:lang w:val="es-MX"/>
        </w:rPr>
        <w:t>Twi-Tasba</w:t>
      </w:r>
      <w:proofErr w:type="spellEnd"/>
      <w:r w:rsidRPr="00B34007">
        <w:rPr>
          <w:rFonts w:ascii="Verdana" w:hAnsi="Verdana"/>
          <w:sz w:val="16"/>
          <w:szCs w:val="16"/>
          <w:lang w:val="es-MX"/>
        </w:rPr>
        <w:t xml:space="preserve"> Raya respecto de Nicaragua, 16 de enero de 2016, y CIDH, Resolución 44/2016, Medida Cautelar No. 505-15, Ampliación de beneficiarios Pueblo Indígena </w:t>
      </w:r>
      <w:proofErr w:type="spellStart"/>
      <w:r w:rsidRPr="00B34007">
        <w:rPr>
          <w:rFonts w:ascii="Verdana" w:hAnsi="Verdana"/>
          <w:i/>
          <w:sz w:val="16"/>
          <w:szCs w:val="16"/>
          <w:lang w:val="es-MX"/>
        </w:rPr>
        <w:t>Miskitu</w:t>
      </w:r>
      <w:proofErr w:type="spellEnd"/>
      <w:r w:rsidRPr="00B34007">
        <w:rPr>
          <w:rFonts w:ascii="Verdana" w:hAnsi="Verdana"/>
          <w:sz w:val="16"/>
          <w:szCs w:val="16"/>
          <w:lang w:val="es-MX"/>
        </w:rPr>
        <w:t xml:space="preserve"> de </w:t>
      </w:r>
      <w:proofErr w:type="spellStart"/>
      <w:r w:rsidRPr="00B34007">
        <w:rPr>
          <w:rFonts w:ascii="Verdana" w:hAnsi="Verdana"/>
          <w:sz w:val="16"/>
          <w:szCs w:val="16"/>
          <w:lang w:val="es-MX"/>
        </w:rPr>
        <w:t>Wangki</w:t>
      </w:r>
      <w:proofErr w:type="spellEnd"/>
      <w:r w:rsidRPr="00B34007">
        <w:rPr>
          <w:rFonts w:ascii="Verdana" w:hAnsi="Verdana"/>
          <w:sz w:val="16"/>
          <w:szCs w:val="16"/>
          <w:lang w:val="es-MX"/>
        </w:rPr>
        <w:t xml:space="preserve"> </w:t>
      </w:r>
      <w:proofErr w:type="spellStart"/>
      <w:r w:rsidRPr="00B34007">
        <w:rPr>
          <w:rFonts w:ascii="Verdana" w:hAnsi="Verdana"/>
          <w:sz w:val="16"/>
          <w:szCs w:val="16"/>
          <w:lang w:val="es-MX"/>
        </w:rPr>
        <w:t>Twi-Tasba</w:t>
      </w:r>
      <w:proofErr w:type="spellEnd"/>
      <w:r w:rsidRPr="00B34007">
        <w:rPr>
          <w:rFonts w:ascii="Verdana" w:hAnsi="Verdana"/>
          <w:sz w:val="16"/>
          <w:szCs w:val="16"/>
          <w:lang w:val="es-MX"/>
        </w:rPr>
        <w:t xml:space="preserve"> Raya respecto de Nicaragua, 8 de agosto de 2016 (anexos a la solicitud de la Comisión, folios 349 a 364). </w:t>
      </w:r>
    </w:p>
  </w:footnote>
  <w:footnote w:id="10">
    <w:p w14:paraId="6A7DD622" w14:textId="114C7C3F" w:rsidR="00A97281" w:rsidRPr="00575C20"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FB1B65">
        <w:rPr>
          <w:rFonts w:ascii="Verdana" w:hAnsi="Verdana"/>
          <w:i/>
          <w:sz w:val="16"/>
          <w:szCs w:val="16"/>
          <w:lang w:val="es-MX"/>
        </w:rPr>
        <w:t xml:space="preserve">Cfr. </w:t>
      </w:r>
      <w:r>
        <w:rPr>
          <w:rFonts w:ascii="Verdana" w:hAnsi="Verdana"/>
          <w:i/>
          <w:sz w:val="16"/>
          <w:szCs w:val="16"/>
          <w:lang w:val="es-MX"/>
        </w:rPr>
        <w:t xml:space="preserve">Caso </w:t>
      </w:r>
      <w:r w:rsidRPr="00FB1B65">
        <w:rPr>
          <w:rFonts w:ascii="Verdana" w:hAnsi="Verdana"/>
          <w:i/>
          <w:sz w:val="16"/>
          <w:szCs w:val="16"/>
          <w:lang w:val="es-MX"/>
        </w:rPr>
        <w:t xml:space="preserve">Fernández Ortega y </w:t>
      </w:r>
      <w:r>
        <w:rPr>
          <w:rFonts w:ascii="Verdana" w:hAnsi="Verdana"/>
          <w:i/>
          <w:sz w:val="16"/>
          <w:szCs w:val="16"/>
          <w:lang w:val="es-MX"/>
        </w:rPr>
        <w:t>o</w:t>
      </w:r>
      <w:r w:rsidRPr="00FB1B65">
        <w:rPr>
          <w:rFonts w:ascii="Verdana" w:hAnsi="Verdana"/>
          <w:i/>
          <w:sz w:val="16"/>
          <w:szCs w:val="16"/>
          <w:lang w:val="es-MX"/>
        </w:rPr>
        <w:t xml:space="preserve">tros </w:t>
      </w:r>
      <w:r>
        <w:rPr>
          <w:rFonts w:ascii="Verdana" w:hAnsi="Verdana"/>
          <w:i/>
          <w:sz w:val="16"/>
          <w:szCs w:val="16"/>
          <w:lang w:val="es-MX"/>
        </w:rPr>
        <w:t>Vs. México</w:t>
      </w:r>
      <w:r w:rsidRPr="00FB1B65">
        <w:rPr>
          <w:rFonts w:ascii="Verdana" w:hAnsi="Verdana"/>
          <w:i/>
          <w:sz w:val="16"/>
          <w:szCs w:val="16"/>
          <w:lang w:val="es-MX"/>
        </w:rPr>
        <w:t xml:space="preserve">. </w:t>
      </w:r>
      <w:r w:rsidRPr="00FB1B65">
        <w:rPr>
          <w:rFonts w:ascii="Verdana" w:hAnsi="Verdana"/>
          <w:sz w:val="16"/>
          <w:szCs w:val="16"/>
          <w:lang w:val="es-MX"/>
        </w:rPr>
        <w:t xml:space="preserve">Medidas Provisionales. </w:t>
      </w:r>
      <w:r w:rsidRPr="009461DB">
        <w:rPr>
          <w:rFonts w:ascii="Verdana" w:hAnsi="Verdana"/>
          <w:bCs/>
          <w:sz w:val="16"/>
          <w:szCs w:val="16"/>
          <w:lang w:val="es-MX"/>
        </w:rPr>
        <w:t xml:space="preserve">Resolución de la Corte Interamericana de Derechos Humanos </w:t>
      </w:r>
      <w:r w:rsidRPr="009461DB">
        <w:rPr>
          <w:rFonts w:ascii="Verdana" w:hAnsi="Verdana"/>
          <w:sz w:val="16"/>
          <w:szCs w:val="16"/>
          <w:lang w:val="es-MX"/>
        </w:rPr>
        <w:t xml:space="preserve">de 23 de noviembre de 2010, Considerando 11. </w:t>
      </w:r>
    </w:p>
  </w:footnote>
  <w:footnote w:id="11">
    <w:p w14:paraId="458269B0" w14:textId="0A8FC658" w:rsidR="00A97281" w:rsidRPr="009461DB" w:rsidRDefault="00A97281">
      <w:pPr>
        <w:pStyle w:val="FootnoteText"/>
        <w:jc w:val="both"/>
        <w:rPr>
          <w:rFonts w:ascii="Verdana" w:hAnsi="Verdana"/>
          <w:sz w:val="16"/>
          <w:szCs w:val="16"/>
          <w:lang w:val="es-MX"/>
        </w:rPr>
      </w:pPr>
      <w:r w:rsidRPr="00B34007">
        <w:rPr>
          <w:rFonts w:ascii="Verdana" w:hAnsi="Verdana"/>
          <w:sz w:val="16"/>
          <w:szCs w:val="16"/>
          <w:vertAlign w:val="superscript"/>
          <w:lang w:val="es-MX"/>
        </w:rPr>
        <w:footnoteRef/>
      </w:r>
      <w:r w:rsidRPr="00B34007">
        <w:rPr>
          <w:rFonts w:ascii="Verdana" w:hAnsi="Verdana"/>
          <w:sz w:val="16"/>
          <w:szCs w:val="16"/>
          <w:vertAlign w:val="superscript"/>
          <w:lang w:val="es-MX"/>
        </w:rPr>
        <w:t xml:space="preserve"> </w:t>
      </w:r>
      <w:r w:rsidRPr="00FB1B65">
        <w:rPr>
          <w:rFonts w:ascii="Verdana" w:hAnsi="Verdana"/>
          <w:sz w:val="16"/>
          <w:szCs w:val="16"/>
          <w:lang w:val="es-MX"/>
        </w:rPr>
        <w:tab/>
      </w:r>
      <w:r>
        <w:rPr>
          <w:rFonts w:ascii="Verdana" w:hAnsi="Verdana"/>
          <w:i/>
          <w:sz w:val="16"/>
          <w:szCs w:val="16"/>
          <w:lang w:val="es-MX"/>
        </w:rPr>
        <w:t xml:space="preserve">Cfr. </w:t>
      </w:r>
      <w:r w:rsidRPr="00FB1B65">
        <w:rPr>
          <w:rFonts w:ascii="Verdana" w:hAnsi="Verdana"/>
          <w:bCs/>
          <w:i/>
          <w:sz w:val="16"/>
          <w:szCs w:val="16"/>
          <w:lang w:val="es-MX"/>
        </w:rPr>
        <w:t>Asunto de los niños y adolesce</w:t>
      </w:r>
      <w:r w:rsidRPr="009461DB">
        <w:rPr>
          <w:rFonts w:ascii="Verdana" w:hAnsi="Verdana"/>
          <w:bCs/>
          <w:i/>
          <w:sz w:val="16"/>
          <w:szCs w:val="16"/>
          <w:lang w:val="es-MX"/>
        </w:rPr>
        <w:t xml:space="preserve">ntes privados de libertad en el "Complexo do </w:t>
      </w:r>
      <w:proofErr w:type="spellStart"/>
      <w:r w:rsidRPr="009461DB">
        <w:rPr>
          <w:rFonts w:ascii="Verdana" w:hAnsi="Verdana"/>
          <w:bCs/>
          <w:i/>
          <w:sz w:val="16"/>
          <w:szCs w:val="16"/>
          <w:lang w:val="es-MX"/>
        </w:rPr>
        <w:t>Tatuapé</w:t>
      </w:r>
      <w:proofErr w:type="spellEnd"/>
      <w:r w:rsidRPr="009461DB">
        <w:rPr>
          <w:rFonts w:ascii="Verdana" w:hAnsi="Verdana"/>
          <w:bCs/>
          <w:i/>
          <w:sz w:val="16"/>
          <w:szCs w:val="16"/>
          <w:lang w:val="es-MX"/>
        </w:rPr>
        <w:t>” da FEBEM respecto Brasil</w:t>
      </w:r>
      <w:r w:rsidRPr="009461DB">
        <w:rPr>
          <w:rFonts w:ascii="Verdana" w:hAnsi="Verdana"/>
          <w:bCs/>
          <w:sz w:val="16"/>
          <w:szCs w:val="16"/>
          <w:lang w:val="es-MX"/>
        </w:rPr>
        <w:t>. Medidas Provisionales. Resolución de la Corte Interamericana de Derechos Humanos de 4 de julio de 2006</w:t>
      </w:r>
      <w:r w:rsidRPr="009461DB">
        <w:rPr>
          <w:rFonts w:ascii="Verdana" w:hAnsi="Verdana"/>
          <w:sz w:val="16"/>
          <w:szCs w:val="16"/>
          <w:lang w:val="es-MX"/>
        </w:rPr>
        <w:t>, Considerando 23</w:t>
      </w:r>
      <w:r>
        <w:rPr>
          <w:rFonts w:ascii="Verdana" w:hAnsi="Verdana"/>
          <w:sz w:val="16"/>
          <w:szCs w:val="16"/>
          <w:lang w:val="es-MX"/>
        </w:rPr>
        <w:t xml:space="preserve"> y </w:t>
      </w:r>
      <w:r w:rsidRPr="002856E3">
        <w:rPr>
          <w:rFonts w:ascii="Verdana" w:hAnsi="Verdana"/>
          <w:i/>
          <w:sz w:val="16"/>
          <w:szCs w:val="16"/>
          <w:lang w:val="es-MX"/>
        </w:rPr>
        <w:t xml:space="preserve">Asunto Cuatro Comunidades Indígenas </w:t>
      </w:r>
      <w:proofErr w:type="spellStart"/>
      <w:r w:rsidRPr="002856E3">
        <w:rPr>
          <w:rFonts w:ascii="Verdana" w:hAnsi="Verdana"/>
          <w:i/>
          <w:sz w:val="16"/>
          <w:szCs w:val="16"/>
          <w:lang w:val="es-MX"/>
        </w:rPr>
        <w:t>Ngöbe</w:t>
      </w:r>
      <w:proofErr w:type="spellEnd"/>
      <w:r w:rsidRPr="002856E3">
        <w:rPr>
          <w:rFonts w:ascii="Verdana" w:hAnsi="Verdana"/>
          <w:i/>
          <w:sz w:val="16"/>
          <w:szCs w:val="16"/>
          <w:lang w:val="es-MX"/>
        </w:rPr>
        <w:t xml:space="preserve"> y sus miembros respecto Panamá</w:t>
      </w:r>
      <w:r w:rsidRPr="0047728F">
        <w:rPr>
          <w:rFonts w:ascii="Verdana" w:hAnsi="Verdana"/>
          <w:sz w:val="16"/>
          <w:szCs w:val="16"/>
          <w:lang w:val="es-MX"/>
        </w:rPr>
        <w:t>. Medidas Provisionales. Resolución de la Corte Interamericana de Derechos Humanos de 28 de mayo de 2010</w:t>
      </w:r>
      <w:r>
        <w:rPr>
          <w:rFonts w:ascii="Verdana" w:hAnsi="Verdana"/>
          <w:sz w:val="16"/>
          <w:szCs w:val="16"/>
          <w:lang w:val="es-MX"/>
        </w:rPr>
        <w:t>, Considerando 11</w:t>
      </w:r>
      <w:r w:rsidRPr="009461DB">
        <w:rPr>
          <w:rFonts w:ascii="Verdana" w:hAnsi="Verdana"/>
          <w:sz w:val="16"/>
          <w:szCs w:val="16"/>
          <w:lang w:val="es-MX"/>
        </w:rPr>
        <w:t xml:space="preserve">. </w:t>
      </w:r>
    </w:p>
  </w:footnote>
  <w:footnote w:id="12">
    <w:p w14:paraId="371D57CF" w14:textId="3E473276" w:rsidR="00A97281" w:rsidRPr="00B34007"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FB1B65">
        <w:rPr>
          <w:rFonts w:ascii="Verdana" w:hAnsi="Verdana"/>
          <w:i/>
          <w:sz w:val="16"/>
          <w:szCs w:val="16"/>
          <w:lang w:val="es-MX"/>
        </w:rPr>
        <w:t>Cfr.</w:t>
      </w:r>
      <w:r w:rsidRPr="009461DB">
        <w:rPr>
          <w:rFonts w:ascii="Verdana" w:hAnsi="Verdana"/>
          <w:sz w:val="16"/>
          <w:szCs w:val="16"/>
          <w:lang w:val="es-MX"/>
        </w:rPr>
        <w:t xml:space="preserve"> </w:t>
      </w:r>
      <w:r w:rsidRPr="009461DB">
        <w:rPr>
          <w:rFonts w:ascii="Verdana" w:hAnsi="Verdana"/>
          <w:i/>
          <w:sz w:val="16"/>
          <w:szCs w:val="16"/>
          <w:lang w:val="es-MX"/>
        </w:rPr>
        <w:t>Asunto Pobladores de las Comunidades del Pueblo Indígena Miskitu de la Región Costa Caribe Norte respecto de Nicaragua</w:t>
      </w:r>
      <w:r w:rsidRPr="009461DB">
        <w:rPr>
          <w:rFonts w:ascii="Verdana" w:hAnsi="Verdana"/>
          <w:sz w:val="16"/>
          <w:szCs w:val="16"/>
          <w:lang w:val="es-MX"/>
        </w:rPr>
        <w:t xml:space="preserve">, </w:t>
      </w:r>
      <w:r w:rsidRPr="009461DB">
        <w:rPr>
          <w:rFonts w:ascii="Verdana" w:hAnsi="Verdana"/>
          <w:i/>
          <w:sz w:val="16"/>
          <w:szCs w:val="16"/>
          <w:lang w:val="es-MX"/>
        </w:rPr>
        <w:t xml:space="preserve">supra </w:t>
      </w:r>
      <w:r w:rsidRPr="00B34007">
        <w:rPr>
          <w:rFonts w:ascii="Verdana" w:hAnsi="Verdana"/>
          <w:sz w:val="16"/>
          <w:szCs w:val="16"/>
          <w:lang w:val="es-MX"/>
        </w:rPr>
        <w:t xml:space="preserve">Considerando </w:t>
      </w:r>
      <w:r>
        <w:rPr>
          <w:rFonts w:ascii="Verdana" w:hAnsi="Verdana"/>
          <w:sz w:val="16"/>
          <w:szCs w:val="16"/>
          <w:lang w:val="es-MX"/>
        </w:rPr>
        <w:t>1</w:t>
      </w:r>
      <w:r w:rsidRPr="00B34007">
        <w:rPr>
          <w:rFonts w:ascii="Verdana" w:hAnsi="Verdana"/>
          <w:sz w:val="16"/>
          <w:szCs w:val="16"/>
          <w:lang w:val="es-MX"/>
        </w:rPr>
        <w:t>1.</w:t>
      </w:r>
    </w:p>
  </w:footnote>
  <w:footnote w:id="13">
    <w:p w14:paraId="7BBE75FD" w14:textId="40599B18" w:rsidR="00A97281" w:rsidRPr="00B34007"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GT"/>
        </w:rPr>
        <w:t xml:space="preserve"> </w:t>
      </w:r>
      <w:r w:rsidRPr="00B34007">
        <w:rPr>
          <w:rFonts w:ascii="Verdana" w:hAnsi="Verdana"/>
          <w:sz w:val="16"/>
          <w:szCs w:val="16"/>
          <w:lang w:val="es-GT"/>
        </w:rPr>
        <w:tab/>
      </w:r>
      <w:r w:rsidRPr="00FB1B65">
        <w:rPr>
          <w:rFonts w:ascii="Verdana" w:hAnsi="Verdana"/>
          <w:i/>
          <w:sz w:val="16"/>
          <w:szCs w:val="16"/>
          <w:lang w:val="es-GT"/>
        </w:rPr>
        <w:t xml:space="preserve">Cfr. </w:t>
      </w:r>
      <w:r w:rsidRPr="00A73B3B">
        <w:rPr>
          <w:rFonts w:ascii="Verdana" w:hAnsi="Verdana"/>
          <w:i/>
          <w:sz w:val="16"/>
          <w:szCs w:val="16"/>
          <w:lang w:val="es-GT"/>
        </w:rPr>
        <w:t xml:space="preserve">Caso Velásquez Rodríguez respecto Honduras. </w:t>
      </w:r>
      <w:r w:rsidRPr="002856E3">
        <w:rPr>
          <w:rFonts w:ascii="Verdana" w:hAnsi="Verdana"/>
          <w:sz w:val="16"/>
          <w:szCs w:val="16"/>
          <w:lang w:val="es-GT"/>
        </w:rPr>
        <w:t>Medidas Provisionales. Resolución de la Corte Interamericana de Derechos Humanos de 15 de enero de 1988</w:t>
      </w:r>
      <w:r w:rsidRPr="009461DB">
        <w:rPr>
          <w:rFonts w:ascii="Verdana" w:hAnsi="Verdana"/>
          <w:sz w:val="16"/>
          <w:szCs w:val="16"/>
          <w:lang w:val="es-GT"/>
        </w:rPr>
        <w:t xml:space="preserve">, Considerando </w:t>
      </w:r>
      <w:r>
        <w:rPr>
          <w:rFonts w:ascii="Verdana" w:hAnsi="Verdana"/>
          <w:sz w:val="16"/>
          <w:szCs w:val="16"/>
          <w:lang w:val="es-GT"/>
        </w:rPr>
        <w:t>3</w:t>
      </w:r>
      <w:r w:rsidRPr="009461DB">
        <w:rPr>
          <w:rFonts w:ascii="Verdana" w:hAnsi="Verdana"/>
          <w:sz w:val="16"/>
          <w:szCs w:val="16"/>
          <w:lang w:val="es-GT"/>
        </w:rPr>
        <w:t xml:space="preserve">, y </w:t>
      </w:r>
      <w:r w:rsidRPr="009461DB">
        <w:rPr>
          <w:rFonts w:ascii="Verdana" w:hAnsi="Verdana"/>
          <w:i/>
          <w:sz w:val="16"/>
          <w:szCs w:val="16"/>
          <w:lang w:val="es-MX"/>
        </w:rPr>
        <w:t>Asunto Pobladores de las Comunidades del Pueblo Indígena Miskitu de la Región Costa Caribe Norte respecto de Nicaragua</w:t>
      </w:r>
      <w:r w:rsidRPr="00B34007">
        <w:rPr>
          <w:rFonts w:ascii="Verdana" w:hAnsi="Verdana"/>
          <w:sz w:val="16"/>
          <w:szCs w:val="16"/>
          <w:lang w:val="es-MX"/>
        </w:rPr>
        <w:t xml:space="preserve">, </w:t>
      </w:r>
      <w:r w:rsidRPr="00B34007">
        <w:rPr>
          <w:rFonts w:ascii="Verdana" w:hAnsi="Verdana"/>
          <w:i/>
          <w:sz w:val="16"/>
          <w:szCs w:val="16"/>
          <w:lang w:val="es-MX"/>
        </w:rPr>
        <w:t xml:space="preserve">supra </w:t>
      </w:r>
      <w:r w:rsidRPr="00B34007">
        <w:rPr>
          <w:rFonts w:ascii="Verdana" w:hAnsi="Verdana"/>
          <w:sz w:val="16"/>
          <w:szCs w:val="16"/>
          <w:lang w:val="es-MX"/>
        </w:rPr>
        <w:t xml:space="preserve">Considerando 20. </w:t>
      </w:r>
    </w:p>
  </w:footnote>
  <w:footnote w:id="14">
    <w:p w14:paraId="1FFF84CB" w14:textId="77777777" w:rsidR="00A97281" w:rsidRPr="009461DB"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FB1B65">
        <w:rPr>
          <w:rFonts w:ascii="Verdana" w:hAnsi="Verdana"/>
          <w:i/>
          <w:sz w:val="16"/>
          <w:szCs w:val="16"/>
          <w:lang w:val="es-MX"/>
        </w:rPr>
        <w:t xml:space="preserve">Cfr. </w:t>
      </w:r>
      <w:r w:rsidRPr="009461DB">
        <w:rPr>
          <w:rFonts w:ascii="Verdana" w:hAnsi="Verdana"/>
          <w:sz w:val="16"/>
          <w:szCs w:val="16"/>
          <w:lang w:val="es-MX"/>
        </w:rPr>
        <w:t xml:space="preserve">Plan de Atención de la Situación de los Comunitarios y Colonos en Comunidades del Territorio del Destacamento Militar Norte del Ejército de Nicaragua (folios 449 a 452). </w:t>
      </w:r>
    </w:p>
  </w:footnote>
  <w:footnote w:id="15">
    <w:p w14:paraId="77258A5A" w14:textId="66EB55F9" w:rsidR="00A97281" w:rsidRPr="00B34007"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t xml:space="preserve">Las acciones precisadas </w:t>
      </w:r>
      <w:r w:rsidRPr="00FB1B65">
        <w:rPr>
          <w:rFonts w:ascii="Verdana" w:hAnsi="Verdana"/>
          <w:sz w:val="16"/>
          <w:szCs w:val="16"/>
          <w:lang w:val="es-MX"/>
        </w:rPr>
        <w:t>consisten en</w:t>
      </w:r>
      <w:r w:rsidRPr="009461DB">
        <w:rPr>
          <w:rFonts w:ascii="Verdana" w:hAnsi="Verdana"/>
          <w:sz w:val="16"/>
          <w:szCs w:val="16"/>
          <w:lang w:val="es-MX"/>
        </w:rPr>
        <w:t>: investigación y persecución de los delitos; fortalecimiento de los Planes de vigilancia y patrullaje policial; despliegue de unidades del Ejército</w:t>
      </w:r>
      <w:r>
        <w:rPr>
          <w:rFonts w:ascii="Verdana" w:hAnsi="Verdana"/>
          <w:sz w:val="16"/>
          <w:szCs w:val="16"/>
          <w:lang w:val="es-MX"/>
        </w:rPr>
        <w:t xml:space="preserve"> en las áreas objeto de atención</w:t>
      </w:r>
      <w:r w:rsidRPr="009461DB">
        <w:rPr>
          <w:rFonts w:ascii="Verdana" w:hAnsi="Verdana"/>
          <w:sz w:val="16"/>
          <w:szCs w:val="16"/>
          <w:lang w:val="es-MX"/>
        </w:rPr>
        <w:t>; reforzamiento del sistema de vigilancia fronteriza y fluvial; fortalecimiento de los Puestos de Control Ecológicos del Batallón “</w:t>
      </w:r>
      <w:proofErr w:type="spellStart"/>
      <w:r w:rsidRPr="009461DB">
        <w:rPr>
          <w:rFonts w:ascii="Verdana" w:hAnsi="Verdana"/>
          <w:sz w:val="16"/>
          <w:szCs w:val="16"/>
          <w:lang w:val="es-MX"/>
        </w:rPr>
        <w:t>Bosawas</w:t>
      </w:r>
      <w:proofErr w:type="spellEnd"/>
      <w:r w:rsidRPr="009461DB">
        <w:rPr>
          <w:rFonts w:ascii="Verdana" w:hAnsi="Verdana"/>
          <w:sz w:val="16"/>
          <w:szCs w:val="16"/>
          <w:lang w:val="es-MX"/>
        </w:rPr>
        <w:t>”; continuar impidiendo el tráfico ilegal de tierras comunales; declaración de nulidad de títulos supletorios y de reforma agraria expedidos posterior a la puesta en vigilancia de la Ley 445; análisis y ordenamiento de tierras de</w:t>
      </w:r>
      <w:r>
        <w:rPr>
          <w:rFonts w:ascii="Verdana" w:hAnsi="Verdana"/>
          <w:sz w:val="16"/>
          <w:szCs w:val="16"/>
          <w:lang w:val="es-MX"/>
        </w:rPr>
        <w:t xml:space="preserve"> las</w:t>
      </w:r>
      <w:r w:rsidRPr="009461DB">
        <w:rPr>
          <w:rFonts w:ascii="Verdana" w:hAnsi="Verdana"/>
          <w:sz w:val="16"/>
          <w:szCs w:val="16"/>
          <w:lang w:val="es-MX"/>
        </w:rPr>
        <w:t xml:space="preserve"> comunidades con </w:t>
      </w:r>
      <w:r>
        <w:rPr>
          <w:rFonts w:ascii="Verdana" w:hAnsi="Verdana"/>
          <w:sz w:val="16"/>
          <w:szCs w:val="16"/>
          <w:lang w:val="es-MX"/>
        </w:rPr>
        <w:t xml:space="preserve">mayor </w:t>
      </w:r>
      <w:r w:rsidRPr="009461DB">
        <w:rPr>
          <w:rFonts w:ascii="Verdana" w:hAnsi="Verdana"/>
          <w:sz w:val="16"/>
          <w:szCs w:val="16"/>
          <w:lang w:val="es-MX"/>
        </w:rPr>
        <w:t>invasión de colonos; fortalecimiento del Sistema de Administración de Justicia de las Comunidades Indígenas; capacitación a operadores de justicia de la regió</w:t>
      </w:r>
      <w:r w:rsidRPr="00B34007">
        <w:rPr>
          <w:rFonts w:ascii="Verdana" w:hAnsi="Verdana"/>
          <w:sz w:val="16"/>
          <w:szCs w:val="16"/>
          <w:lang w:val="es-MX"/>
        </w:rPr>
        <w:t xml:space="preserve">n; fortalecimiento de capacidades de las autoridades comunales; desarrollo de acciones en los Puestos de Control Ecológicos, y ejecución de acciones interinstitucionales de prevención, disuasión, incautación y decomiso de bienes e investigación y persecución de personas que afecten las áreas protegidas.  </w:t>
      </w:r>
    </w:p>
  </w:footnote>
  <w:footnote w:id="16">
    <w:p w14:paraId="586243A2" w14:textId="4AA855A7" w:rsidR="00A97281" w:rsidRPr="00B34007"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FB1B65">
        <w:rPr>
          <w:rFonts w:ascii="Verdana" w:hAnsi="Verdana"/>
          <w:sz w:val="16"/>
          <w:szCs w:val="16"/>
          <w:lang w:val="es-MX"/>
        </w:rPr>
        <w:tab/>
        <w:t>S</w:t>
      </w:r>
      <w:r>
        <w:rPr>
          <w:rFonts w:ascii="Verdana" w:hAnsi="Verdana"/>
          <w:sz w:val="16"/>
          <w:szCs w:val="16"/>
          <w:lang w:val="es-MX"/>
        </w:rPr>
        <w:t xml:space="preserve">eñalaron que cerca de 3,000 personas han sido forzadas a dejar sus hogares y, dentro de dichos desplazamientos forzados, </w:t>
      </w:r>
      <w:r w:rsidRPr="009461DB">
        <w:rPr>
          <w:rFonts w:ascii="Verdana" w:hAnsi="Verdana"/>
          <w:sz w:val="16"/>
          <w:szCs w:val="16"/>
          <w:lang w:val="es-MX"/>
        </w:rPr>
        <w:t>mencionaron que se han reportado al menos 4 niños y niñas desplazados que han fallecido por desnutrici</w:t>
      </w:r>
      <w:r w:rsidRPr="00B34007">
        <w:rPr>
          <w:rFonts w:ascii="Verdana" w:hAnsi="Verdana"/>
          <w:sz w:val="16"/>
          <w:szCs w:val="16"/>
          <w:lang w:val="es-MX"/>
        </w:rPr>
        <w:t xml:space="preserve">ón crónica en territorio hondureño. </w:t>
      </w:r>
    </w:p>
  </w:footnote>
  <w:footnote w:id="17">
    <w:p w14:paraId="5F9593F3" w14:textId="35096A16" w:rsidR="00A97281" w:rsidRPr="009461DB" w:rsidRDefault="00A97281">
      <w:pPr>
        <w:pStyle w:val="FootnoteText"/>
        <w:jc w:val="both"/>
        <w:rPr>
          <w:rFonts w:ascii="Verdana" w:hAnsi="Verdana"/>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t>En este punto los representantes señalaron que las comunidades beneficiarias desconocen el “Manual del proceso metodológico para la implementación de la eta</w:t>
      </w:r>
      <w:r w:rsidRPr="009461DB">
        <w:rPr>
          <w:rFonts w:ascii="Verdana" w:hAnsi="Verdana"/>
          <w:sz w:val="16"/>
          <w:szCs w:val="16"/>
          <w:lang w:val="es-MX"/>
        </w:rPr>
        <w:t>pa de saneamiento” a que hace referencia el Estado en su Informe.</w:t>
      </w:r>
    </w:p>
  </w:footnote>
  <w:footnote w:id="18">
    <w:p w14:paraId="0EE11E9E" w14:textId="50B332F2" w:rsidR="00A97281" w:rsidRPr="00B34007" w:rsidRDefault="00A97281">
      <w:pPr>
        <w:pStyle w:val="FootnoteText"/>
        <w:jc w:val="both"/>
        <w:rPr>
          <w:rFonts w:ascii="Verdana" w:hAnsi="Verdana"/>
          <w:sz w:val="16"/>
          <w:szCs w:val="16"/>
          <w:lang w:val="es-MX"/>
        </w:rPr>
      </w:pPr>
      <w:r w:rsidRPr="00A97281">
        <w:rPr>
          <w:rFonts w:ascii="Verdana" w:hAnsi="Verdana"/>
          <w:sz w:val="16"/>
          <w:szCs w:val="16"/>
          <w:vertAlign w:val="superscript"/>
          <w:lang w:val="es-MX"/>
        </w:rPr>
        <w:footnoteRef/>
      </w:r>
      <w:r w:rsidRPr="00A97281">
        <w:rPr>
          <w:rFonts w:ascii="Verdana" w:hAnsi="Verdana"/>
          <w:sz w:val="16"/>
          <w:szCs w:val="16"/>
          <w:lang w:val="es-MX"/>
        </w:rPr>
        <w:t xml:space="preserve"> </w:t>
      </w:r>
      <w:r w:rsidRPr="00A97281">
        <w:rPr>
          <w:rFonts w:ascii="Verdana" w:hAnsi="Verdana"/>
          <w:sz w:val="16"/>
          <w:szCs w:val="16"/>
          <w:lang w:val="es-MX"/>
        </w:rPr>
        <w:tab/>
      </w:r>
      <w:r w:rsidRPr="00A97281">
        <w:rPr>
          <w:rFonts w:ascii="Verdana" w:hAnsi="Verdana"/>
          <w:i/>
          <w:sz w:val="16"/>
          <w:szCs w:val="16"/>
          <w:lang w:val="es-MX"/>
        </w:rPr>
        <w:t>Cfr.</w:t>
      </w:r>
      <w:r w:rsidRPr="00A97281">
        <w:rPr>
          <w:rFonts w:ascii="Verdana" w:hAnsi="Verdana"/>
          <w:sz w:val="16"/>
          <w:szCs w:val="16"/>
          <w:lang w:val="es-MX"/>
        </w:rPr>
        <w:t xml:space="preserve"> Denuncia ante la Policía Nacional, en la ciudad de </w:t>
      </w:r>
      <w:proofErr w:type="spellStart"/>
      <w:r w:rsidRPr="00A97281">
        <w:rPr>
          <w:rFonts w:ascii="Verdana" w:hAnsi="Verdana"/>
          <w:sz w:val="16"/>
          <w:szCs w:val="16"/>
          <w:lang w:val="es-MX"/>
        </w:rPr>
        <w:t>Waspam</w:t>
      </w:r>
      <w:proofErr w:type="spellEnd"/>
      <w:r w:rsidRPr="00A97281">
        <w:rPr>
          <w:rFonts w:ascii="Verdana" w:hAnsi="Verdana"/>
          <w:sz w:val="16"/>
          <w:szCs w:val="16"/>
          <w:lang w:val="es-MX"/>
        </w:rPr>
        <w:t xml:space="preserve"> de 15 de julio de 2015; denuncia ante la Policía Nacional, en la ciudad de </w:t>
      </w:r>
      <w:proofErr w:type="spellStart"/>
      <w:r w:rsidRPr="00A97281">
        <w:rPr>
          <w:rFonts w:ascii="Verdana" w:hAnsi="Verdana"/>
          <w:sz w:val="16"/>
          <w:szCs w:val="16"/>
          <w:lang w:val="es-MX"/>
        </w:rPr>
        <w:t>Waspam</w:t>
      </w:r>
      <w:proofErr w:type="spellEnd"/>
      <w:r w:rsidRPr="00A97281">
        <w:rPr>
          <w:rFonts w:ascii="Verdana" w:hAnsi="Verdana"/>
          <w:sz w:val="16"/>
          <w:szCs w:val="16"/>
          <w:lang w:val="es-MX"/>
        </w:rPr>
        <w:t xml:space="preserve"> de 21 de diciembre de 2015, y cuadro de denuncias elaborado por CEJUDHCAN (anexos a las observaciones de los representantes folios ** a **)</w:t>
      </w:r>
    </w:p>
  </w:footnote>
  <w:footnote w:id="19">
    <w:p w14:paraId="1CCE6915" w14:textId="75EC0BBB" w:rsidR="00A97281" w:rsidRPr="00A94179" w:rsidRDefault="00A97281" w:rsidP="00A94179">
      <w:pPr>
        <w:pStyle w:val="FootnoteText"/>
        <w:jc w:val="both"/>
        <w:rPr>
          <w:rFonts w:ascii="Verdana" w:hAnsi="Verdana"/>
          <w:sz w:val="16"/>
          <w:szCs w:val="16"/>
          <w:lang w:val="es-MX"/>
        </w:rPr>
      </w:pPr>
      <w:r w:rsidRPr="00A94179">
        <w:rPr>
          <w:rStyle w:val="FootnoteReference"/>
          <w:rFonts w:ascii="Verdana" w:hAnsi="Verdana"/>
          <w:sz w:val="16"/>
          <w:szCs w:val="16"/>
        </w:rPr>
        <w:footnoteRef/>
      </w:r>
      <w:r w:rsidRPr="00A94179">
        <w:rPr>
          <w:rFonts w:ascii="Verdana" w:hAnsi="Verdana"/>
          <w:sz w:val="16"/>
          <w:szCs w:val="16"/>
          <w:lang w:val="es-MX"/>
        </w:rPr>
        <w:t xml:space="preserve"> </w:t>
      </w:r>
      <w:r w:rsidRPr="00A94179">
        <w:rPr>
          <w:rFonts w:ascii="Verdana" w:hAnsi="Verdana"/>
          <w:sz w:val="16"/>
          <w:szCs w:val="16"/>
          <w:lang w:val="es-MX"/>
        </w:rPr>
        <w:tab/>
      </w:r>
      <w:r w:rsidRPr="00A94179">
        <w:rPr>
          <w:rFonts w:ascii="Verdana" w:hAnsi="Verdana"/>
          <w:i/>
          <w:iCs/>
          <w:sz w:val="16"/>
          <w:szCs w:val="16"/>
          <w:lang w:val="es-MX"/>
        </w:rPr>
        <w:t xml:space="preserve">Cfr. </w:t>
      </w:r>
      <w:r w:rsidRPr="00CB4E94">
        <w:rPr>
          <w:rFonts w:ascii="Verdana" w:hAnsi="Verdana"/>
          <w:i/>
          <w:iCs/>
          <w:sz w:val="16"/>
          <w:szCs w:val="16"/>
          <w:lang w:val="es-MX"/>
        </w:rPr>
        <w:t xml:space="preserve">Mutatis </w:t>
      </w:r>
      <w:proofErr w:type="spellStart"/>
      <w:r w:rsidRPr="00CB4E94">
        <w:rPr>
          <w:rFonts w:ascii="Verdana" w:hAnsi="Verdana"/>
          <w:i/>
          <w:iCs/>
          <w:sz w:val="16"/>
          <w:szCs w:val="16"/>
          <w:lang w:val="es-MX"/>
        </w:rPr>
        <w:t>mutandi</w:t>
      </w:r>
      <w:proofErr w:type="spellEnd"/>
      <w:r w:rsidRPr="00CB4E94">
        <w:rPr>
          <w:rFonts w:ascii="Verdana" w:hAnsi="Verdana"/>
          <w:i/>
          <w:iCs/>
          <w:sz w:val="16"/>
          <w:szCs w:val="16"/>
          <w:lang w:val="es-MX"/>
        </w:rPr>
        <w:t xml:space="preserve">, </w:t>
      </w:r>
      <w:r w:rsidRPr="00A94179">
        <w:rPr>
          <w:rFonts w:ascii="Verdana" w:hAnsi="Verdana"/>
          <w:i/>
          <w:iCs/>
          <w:sz w:val="16"/>
          <w:szCs w:val="16"/>
          <w:lang w:val="es-MX"/>
        </w:rPr>
        <w:t>Caso García y Familiares Vs. Guatemala. Fondo, Reparaciones y Costas</w:t>
      </w:r>
      <w:r w:rsidRPr="00A94179">
        <w:rPr>
          <w:rFonts w:ascii="Verdana" w:hAnsi="Verdana"/>
          <w:sz w:val="16"/>
          <w:szCs w:val="16"/>
          <w:lang w:val="es-MX"/>
        </w:rPr>
        <w:t xml:space="preserve">. Sentencia de 29 noviembre de 2012. Serie C No. 258, párr. 182,  y </w:t>
      </w:r>
      <w:r w:rsidRPr="00A94179">
        <w:rPr>
          <w:rFonts w:ascii="Verdana" w:hAnsi="Verdana"/>
          <w:i/>
          <w:sz w:val="16"/>
          <w:szCs w:val="16"/>
          <w:lang w:val="es-MX"/>
        </w:rPr>
        <w:t>Asuntos de determinados Centros Penitenciarios de Venezuela. Humberto Prado. Marianela Sánchez Ortiz y familia respecto de Venezuela.</w:t>
      </w:r>
      <w:r w:rsidRPr="00A94179">
        <w:rPr>
          <w:rFonts w:ascii="Verdana" w:hAnsi="Verdana"/>
          <w:sz w:val="16"/>
          <w:szCs w:val="16"/>
          <w:lang w:val="es-MX"/>
        </w:rPr>
        <w:t xml:space="preserve"> Medidas Provisionales. Resolución de la Corte Interamericana de Derechos Humanos de 13 de noviembre de 2015</w:t>
      </w:r>
      <w:r>
        <w:rPr>
          <w:rFonts w:ascii="Verdana" w:hAnsi="Verdana"/>
          <w:sz w:val="16"/>
          <w:szCs w:val="16"/>
          <w:lang w:val="es-MX"/>
        </w:rPr>
        <w:t>, Considerando 49</w:t>
      </w:r>
      <w:r w:rsidRPr="00A94179">
        <w:rPr>
          <w:rFonts w:ascii="Verdana" w:hAnsi="Verdana"/>
          <w:sz w:val="16"/>
          <w:szCs w:val="16"/>
          <w:lang w:val="es-MX"/>
        </w:rPr>
        <w:t>.</w:t>
      </w:r>
    </w:p>
  </w:footnote>
  <w:footnote w:id="20">
    <w:p w14:paraId="16AAA3F5" w14:textId="76942426" w:rsidR="00A97281" w:rsidRPr="00CB4E94" w:rsidRDefault="00A97281" w:rsidP="004E3598">
      <w:pPr>
        <w:pStyle w:val="FootnoteText"/>
        <w:jc w:val="both"/>
        <w:rPr>
          <w:rFonts w:ascii="Verdana" w:hAnsi="Verdana"/>
          <w:i/>
          <w:sz w:val="16"/>
          <w:szCs w:val="16"/>
          <w:lang w:val="es-MX"/>
        </w:rPr>
      </w:pPr>
      <w:r w:rsidRPr="00B34007">
        <w:rPr>
          <w:rStyle w:val="FootnoteReference"/>
          <w:rFonts w:ascii="Verdana" w:hAnsi="Verdana"/>
          <w:sz w:val="16"/>
          <w:szCs w:val="16"/>
        </w:rPr>
        <w:footnoteRef/>
      </w:r>
      <w:r w:rsidRPr="00B34007">
        <w:rPr>
          <w:rFonts w:ascii="Verdana" w:hAnsi="Verdana"/>
          <w:sz w:val="16"/>
          <w:szCs w:val="16"/>
          <w:lang w:val="es-MX"/>
        </w:rPr>
        <w:t xml:space="preserve"> </w:t>
      </w:r>
      <w:r w:rsidRPr="00B34007">
        <w:rPr>
          <w:rFonts w:ascii="Verdana" w:hAnsi="Verdana"/>
          <w:sz w:val="16"/>
          <w:szCs w:val="16"/>
          <w:lang w:val="es-MX"/>
        </w:rPr>
        <w:tab/>
      </w:r>
      <w:r w:rsidRPr="00B34007">
        <w:rPr>
          <w:rFonts w:ascii="Verdana" w:hAnsi="Verdana"/>
          <w:i/>
          <w:sz w:val="16"/>
          <w:szCs w:val="16"/>
          <w:lang w:val="es-MX"/>
        </w:rPr>
        <w:t xml:space="preserve">Cfr. </w:t>
      </w:r>
      <w:r w:rsidRPr="00B34007">
        <w:rPr>
          <w:rFonts w:ascii="Verdana" w:hAnsi="Verdana"/>
          <w:i/>
          <w:iCs/>
          <w:sz w:val="16"/>
          <w:szCs w:val="16"/>
          <w:lang w:val="es-MX"/>
        </w:rPr>
        <w:t xml:space="preserve">Caso de la Comunidad de Paz de San José de Apartadó, </w:t>
      </w:r>
      <w:r w:rsidRPr="00B34007">
        <w:rPr>
          <w:rFonts w:ascii="Verdana" w:hAnsi="Verdana"/>
          <w:sz w:val="16"/>
          <w:szCs w:val="16"/>
          <w:lang w:val="es-MX"/>
        </w:rPr>
        <w:t>Medidas Provisionales respecto de Colombia. Resolución de la Corte Interamericana de Derechos Humanos de 18 de junio de 2002, Considerando</w:t>
      </w:r>
      <w:r>
        <w:rPr>
          <w:rFonts w:ascii="Verdana" w:hAnsi="Verdana"/>
          <w:sz w:val="16"/>
          <w:szCs w:val="16"/>
          <w:lang w:val="es-MX"/>
        </w:rPr>
        <w:t>s</w:t>
      </w:r>
      <w:r w:rsidRPr="00B34007">
        <w:rPr>
          <w:rFonts w:ascii="Verdana" w:hAnsi="Verdana"/>
          <w:sz w:val="16"/>
          <w:szCs w:val="16"/>
          <w:lang w:val="es-MX"/>
        </w:rPr>
        <w:t xml:space="preserve"> 10</w:t>
      </w:r>
      <w:r>
        <w:rPr>
          <w:rFonts w:ascii="Verdana" w:hAnsi="Verdana"/>
          <w:sz w:val="16"/>
          <w:szCs w:val="16"/>
          <w:lang w:val="es-MX"/>
        </w:rPr>
        <w:t xml:space="preserve"> y 11</w:t>
      </w:r>
      <w:r w:rsidRPr="00B34007">
        <w:rPr>
          <w:rFonts w:ascii="Verdana" w:hAnsi="Verdana"/>
          <w:sz w:val="16"/>
          <w:szCs w:val="16"/>
          <w:lang w:val="es-MX"/>
        </w:rPr>
        <w:t xml:space="preserve">, y </w:t>
      </w:r>
      <w:r w:rsidRPr="00CB4E94">
        <w:rPr>
          <w:rFonts w:ascii="Verdana" w:hAnsi="Verdana"/>
          <w:i/>
          <w:sz w:val="16"/>
          <w:szCs w:val="16"/>
          <w:lang w:val="es-MX"/>
        </w:rPr>
        <w:t>Caso Rosendo Cantú y otra Vs. México.</w:t>
      </w:r>
      <w:r w:rsidRPr="002856E3">
        <w:rPr>
          <w:rFonts w:ascii="Verdana" w:hAnsi="Verdana"/>
          <w:sz w:val="16"/>
          <w:szCs w:val="16"/>
          <w:lang w:val="es-MX"/>
        </w:rPr>
        <w:t xml:space="preserve"> Medidas Provisionales. Resolución de la Corte Interamericana de Derechos Humanos de 23 de febrero de 2016</w:t>
      </w:r>
      <w:r>
        <w:rPr>
          <w:rFonts w:ascii="Verdana" w:hAnsi="Verdana"/>
          <w:sz w:val="16"/>
          <w:szCs w:val="16"/>
          <w:lang w:val="es-MX"/>
        </w:rPr>
        <w:t>, Considerando 26</w:t>
      </w:r>
      <w:r w:rsidRPr="002856E3">
        <w:rPr>
          <w:rFonts w:ascii="Verdana" w:hAnsi="Verdana"/>
          <w:sz w:val="16"/>
          <w:szCs w:val="16"/>
          <w:lang w:val="es-MX"/>
        </w:rPr>
        <w:t>.</w:t>
      </w:r>
    </w:p>
  </w:footnote>
  <w:footnote w:id="21">
    <w:p w14:paraId="6E800F70" w14:textId="08F6A42D" w:rsidR="00A97281" w:rsidRPr="00B34007" w:rsidRDefault="00A97281">
      <w:pPr>
        <w:pStyle w:val="FootnoteText"/>
        <w:jc w:val="both"/>
        <w:rPr>
          <w:rFonts w:ascii="Verdana" w:eastAsia="Times New Roman" w:hAnsi="Verdana"/>
          <w:sz w:val="16"/>
          <w:szCs w:val="16"/>
          <w:lang w:val="es-GT"/>
        </w:rPr>
      </w:pPr>
      <w:r w:rsidRPr="00B34007">
        <w:rPr>
          <w:rStyle w:val="FootnoteReference"/>
          <w:rFonts w:ascii="Verdana" w:hAnsi="Verdana"/>
          <w:sz w:val="16"/>
          <w:szCs w:val="16"/>
        </w:rPr>
        <w:footnoteRef/>
      </w:r>
      <w:r w:rsidRPr="00B34007">
        <w:rPr>
          <w:rFonts w:ascii="Verdana" w:hAnsi="Verdana"/>
          <w:sz w:val="16"/>
          <w:szCs w:val="16"/>
          <w:lang w:val="es-GT"/>
        </w:rPr>
        <w:t xml:space="preserve">  </w:t>
      </w:r>
      <w:r w:rsidRPr="00B34007">
        <w:rPr>
          <w:rFonts w:ascii="Verdana" w:hAnsi="Verdana"/>
          <w:sz w:val="16"/>
          <w:szCs w:val="16"/>
          <w:lang w:val="es-GT"/>
        </w:rPr>
        <w:tab/>
      </w:r>
      <w:r w:rsidRPr="00B34007">
        <w:rPr>
          <w:rFonts w:ascii="Verdana" w:hAnsi="Verdana"/>
          <w:i/>
          <w:sz w:val="16"/>
          <w:szCs w:val="16"/>
          <w:lang w:val="es-GT"/>
        </w:rPr>
        <w:t>Cfr.</w:t>
      </w:r>
      <w:r w:rsidRPr="00B34007">
        <w:rPr>
          <w:rFonts w:ascii="Verdana" w:hAnsi="Verdana"/>
          <w:sz w:val="16"/>
          <w:szCs w:val="16"/>
          <w:lang w:val="es-GT"/>
        </w:rPr>
        <w:t xml:space="preserve"> </w:t>
      </w:r>
      <w:r w:rsidRPr="00B34007">
        <w:rPr>
          <w:rFonts w:ascii="Verdana" w:hAnsi="Verdana"/>
          <w:i/>
          <w:sz w:val="16"/>
          <w:szCs w:val="16"/>
          <w:lang w:val="es-GT"/>
        </w:rPr>
        <w:t>Asunto Liliana Ortega y otros.</w:t>
      </w:r>
      <w:r w:rsidRPr="00B34007">
        <w:rPr>
          <w:rFonts w:ascii="Verdana" w:hAnsi="Verdana"/>
          <w:sz w:val="16"/>
          <w:szCs w:val="16"/>
          <w:lang w:val="es-GT"/>
        </w:rPr>
        <w:t xml:space="preserve"> Medidas Provisionales respecto de Venezuela. Resolución de la Corte Interamericana de Derechos Humanos de 2 de diciemb</w:t>
      </w:r>
      <w:r w:rsidRPr="009461DB">
        <w:rPr>
          <w:rFonts w:ascii="Verdana" w:hAnsi="Verdana"/>
          <w:sz w:val="16"/>
          <w:szCs w:val="16"/>
          <w:lang w:val="es-GT"/>
        </w:rPr>
        <w:t>re de 2003, y</w:t>
      </w:r>
      <w:r>
        <w:rPr>
          <w:rFonts w:ascii="Verdana" w:hAnsi="Verdana"/>
          <w:sz w:val="16"/>
          <w:szCs w:val="16"/>
          <w:lang w:val="es-MX"/>
        </w:rPr>
        <w:t xml:space="preserve"> </w:t>
      </w:r>
      <w:r w:rsidRPr="00B34007">
        <w:rPr>
          <w:rFonts w:ascii="Verdana" w:hAnsi="Verdana"/>
          <w:i/>
          <w:sz w:val="16"/>
          <w:szCs w:val="16"/>
          <w:lang w:val="es-MX"/>
        </w:rPr>
        <w:t xml:space="preserve">Asunto Pobladores de las Comunidades del Pueblo Indígena </w:t>
      </w:r>
      <w:proofErr w:type="spellStart"/>
      <w:r w:rsidRPr="00B34007">
        <w:rPr>
          <w:rFonts w:ascii="Verdana" w:hAnsi="Verdana"/>
          <w:i/>
          <w:sz w:val="16"/>
          <w:szCs w:val="16"/>
          <w:lang w:val="es-MX"/>
        </w:rPr>
        <w:t>Miskitu</w:t>
      </w:r>
      <w:proofErr w:type="spellEnd"/>
      <w:r w:rsidRPr="00B34007">
        <w:rPr>
          <w:rFonts w:ascii="Verdana" w:hAnsi="Verdana"/>
          <w:i/>
          <w:sz w:val="16"/>
          <w:szCs w:val="16"/>
          <w:lang w:val="es-MX"/>
        </w:rPr>
        <w:t xml:space="preserve"> de la Región Costa Caribe Norte respecto de Nicaragua, supra</w:t>
      </w:r>
      <w:r w:rsidRPr="00B34007">
        <w:rPr>
          <w:rFonts w:ascii="Verdana" w:hAnsi="Verdana"/>
          <w:sz w:val="16"/>
          <w:szCs w:val="16"/>
          <w:lang w:val="es-MX"/>
        </w:rPr>
        <w:t xml:space="preserve"> </w:t>
      </w:r>
      <w:r>
        <w:rPr>
          <w:rFonts w:ascii="Verdana" w:hAnsi="Verdana"/>
          <w:sz w:val="16"/>
          <w:szCs w:val="16"/>
          <w:lang w:val="es-MX"/>
        </w:rPr>
        <w:t>Considerando 21</w:t>
      </w:r>
      <w:r w:rsidRPr="00B34007">
        <w:rPr>
          <w:rFonts w:ascii="Verdana" w:hAnsi="Verdana"/>
          <w:sz w:val="16"/>
          <w:szCs w:val="16"/>
          <w:lang w:val="es-GT"/>
        </w:rPr>
        <w:t xml:space="preserve">. </w:t>
      </w:r>
    </w:p>
  </w:footnote>
  <w:footnote w:id="22">
    <w:p w14:paraId="173CF670" w14:textId="1B46630E" w:rsidR="00A97281" w:rsidRPr="009461DB" w:rsidRDefault="00A97281" w:rsidP="00B34007">
      <w:pPr>
        <w:pStyle w:val="FootnoteText"/>
        <w:tabs>
          <w:tab w:val="left" w:pos="567"/>
        </w:tabs>
        <w:spacing w:after="60"/>
        <w:jc w:val="both"/>
        <w:rPr>
          <w:rFonts w:ascii="Verdana" w:hAnsi="Verdana"/>
          <w:spacing w:val="-4"/>
          <w:sz w:val="16"/>
          <w:szCs w:val="16"/>
          <w:lang w:val="es-ES_tradnl"/>
        </w:rPr>
      </w:pPr>
      <w:r w:rsidRPr="00B34007">
        <w:rPr>
          <w:rStyle w:val="FootnoteReference"/>
          <w:rFonts w:ascii="Verdana" w:hAnsi="Verdana" w:cs="Arial"/>
          <w:spacing w:val="-4"/>
          <w:sz w:val="16"/>
          <w:szCs w:val="16"/>
        </w:rPr>
        <w:footnoteRef/>
      </w:r>
      <w:r w:rsidRPr="00B34007">
        <w:rPr>
          <w:rFonts w:ascii="Verdana" w:hAnsi="Verdana" w:cs="Arial"/>
          <w:spacing w:val="-4"/>
          <w:sz w:val="16"/>
          <w:szCs w:val="16"/>
          <w:lang w:val="es-CR"/>
        </w:rPr>
        <w:t xml:space="preserve"> </w:t>
      </w:r>
      <w:r w:rsidRPr="00B34007">
        <w:rPr>
          <w:rFonts w:ascii="Verdana" w:hAnsi="Verdana" w:cs="Arial"/>
          <w:spacing w:val="-4"/>
          <w:sz w:val="16"/>
          <w:szCs w:val="16"/>
          <w:lang w:val="es-MX"/>
        </w:rPr>
        <w:tab/>
      </w:r>
      <w:r>
        <w:rPr>
          <w:rFonts w:ascii="Verdana" w:hAnsi="Verdana" w:cs="Arial"/>
          <w:spacing w:val="-4"/>
          <w:sz w:val="16"/>
          <w:szCs w:val="16"/>
          <w:lang w:val="es-MX"/>
        </w:rPr>
        <w:tab/>
      </w:r>
      <w:r w:rsidRPr="00B34007">
        <w:rPr>
          <w:rFonts w:ascii="Verdana" w:hAnsi="Verdana" w:cs="Arial"/>
          <w:i/>
          <w:spacing w:val="-4"/>
          <w:sz w:val="16"/>
          <w:szCs w:val="16"/>
          <w:lang w:val="es-ES"/>
        </w:rPr>
        <w:t xml:space="preserve">Cfr. </w:t>
      </w:r>
      <w:r w:rsidRPr="00B34007">
        <w:rPr>
          <w:rFonts w:ascii="Verdana" w:hAnsi="Verdana"/>
          <w:i/>
          <w:spacing w:val="-4"/>
          <w:sz w:val="16"/>
          <w:szCs w:val="16"/>
          <w:lang w:val="es-DO"/>
        </w:rPr>
        <w:t>Asunto del Internado Judicial de Monagas (“La Pica”)</w:t>
      </w:r>
      <w:r w:rsidRPr="00B34007">
        <w:rPr>
          <w:rFonts w:ascii="Verdana" w:hAnsi="Verdana"/>
          <w:spacing w:val="-4"/>
          <w:sz w:val="16"/>
          <w:szCs w:val="16"/>
          <w:lang w:val="es-DO"/>
        </w:rPr>
        <w:t>. Medidas Provisionales respecto de Venezuela. Resolución de 3 de julio de 2007, Considerando 23, y</w:t>
      </w:r>
      <w:r w:rsidRPr="009461DB">
        <w:rPr>
          <w:rFonts w:ascii="Verdana" w:hAnsi="Verdana" w:cs="Arial"/>
          <w:spacing w:val="-4"/>
          <w:sz w:val="16"/>
          <w:szCs w:val="16"/>
          <w:lang w:val="es-ES"/>
        </w:rPr>
        <w:t xml:space="preserve"> </w:t>
      </w:r>
      <w:r w:rsidRPr="009461DB">
        <w:rPr>
          <w:rFonts w:ascii="Verdana" w:hAnsi="Verdana"/>
          <w:i/>
          <w:sz w:val="16"/>
          <w:szCs w:val="16"/>
          <w:lang w:val="es-GT"/>
        </w:rPr>
        <w:t>Caso Rosendo Cantú y otra Vs. México.</w:t>
      </w:r>
      <w:r w:rsidRPr="009461DB">
        <w:rPr>
          <w:rFonts w:ascii="Verdana" w:hAnsi="Verdana"/>
          <w:sz w:val="16"/>
          <w:szCs w:val="16"/>
          <w:lang w:val="es-GT"/>
        </w:rPr>
        <w:t xml:space="preserve"> Medidas Provisionales. Resolución de la Corte Interamericana de Derechos Humanos de 23 de febrero de 2016, </w:t>
      </w:r>
      <w:r w:rsidRPr="009461DB">
        <w:rPr>
          <w:rFonts w:ascii="Verdana" w:hAnsi="Verdana"/>
          <w:sz w:val="16"/>
          <w:szCs w:val="16"/>
          <w:lang w:val="es-MX"/>
        </w:rPr>
        <w:t>Considerando 21</w:t>
      </w:r>
      <w:r w:rsidRPr="009461DB">
        <w:rPr>
          <w:rFonts w:ascii="Verdana" w:hAnsi="Verdana" w:cs="Arial"/>
          <w:bCs/>
          <w:spacing w:val="-4"/>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18368"/>
      <w:docPartObj>
        <w:docPartGallery w:val="Page Numbers (Top of Page)"/>
        <w:docPartUnique/>
      </w:docPartObj>
    </w:sdtPr>
    <w:sdtEndPr>
      <w:rPr>
        <w:rFonts w:ascii="Verdana" w:hAnsi="Verdana"/>
        <w:noProof/>
        <w:sz w:val="20"/>
        <w:szCs w:val="20"/>
      </w:rPr>
    </w:sdtEndPr>
    <w:sdtContent>
      <w:p w14:paraId="750F9E17" w14:textId="77777777" w:rsidR="00A97281" w:rsidRPr="00A21CB9" w:rsidRDefault="00A97281">
        <w:pPr>
          <w:pStyle w:val="Header"/>
          <w:jc w:val="center"/>
          <w:rPr>
            <w:rFonts w:ascii="Verdana" w:hAnsi="Verdana"/>
            <w:sz w:val="20"/>
            <w:szCs w:val="20"/>
          </w:rPr>
        </w:pPr>
        <w:r>
          <w:fldChar w:fldCharType="begin"/>
        </w:r>
        <w:r>
          <w:instrText xml:space="preserve"> PAGE   \* MERGEFORMAT </w:instrText>
        </w:r>
        <w:r>
          <w:fldChar w:fldCharType="separate"/>
        </w:r>
        <w:r w:rsidR="005B5390" w:rsidRPr="005B5390">
          <w:rPr>
            <w:rFonts w:ascii="Verdana" w:hAnsi="Verdana"/>
            <w:noProof/>
            <w:sz w:val="20"/>
            <w:szCs w:val="20"/>
          </w:rPr>
          <w:t>2</w:t>
        </w:r>
        <w:r>
          <w:rPr>
            <w:rFonts w:ascii="Verdana" w:hAnsi="Verdana"/>
            <w:noProof/>
            <w:sz w:val="20"/>
            <w:szCs w:val="20"/>
          </w:rPr>
          <w:fldChar w:fldCharType="end"/>
        </w:r>
      </w:p>
    </w:sdtContent>
  </w:sdt>
  <w:p w14:paraId="750F9E18" w14:textId="77777777" w:rsidR="00A97281" w:rsidRDefault="00A97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8EB8" w14:textId="77777777" w:rsidR="00A97281" w:rsidRPr="00B75B22" w:rsidRDefault="00A97281" w:rsidP="00DE4092">
    <w:pPr>
      <w:pStyle w:val="Head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370A"/>
    <w:multiLevelType w:val="hybridMultilevel"/>
    <w:tmpl w:val="077464F0"/>
    <w:lvl w:ilvl="0" w:tplc="6098196E">
      <w:start w:val="20"/>
      <w:numFmt w:val="bullet"/>
      <w:lvlText w:val="-"/>
      <w:lvlJc w:val="left"/>
      <w:pPr>
        <w:ind w:left="720" w:hanging="360"/>
      </w:pPr>
      <w:rPr>
        <w:rFonts w:ascii="Verdana" w:eastAsia="MS Mincho"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136221"/>
    <w:multiLevelType w:val="hybridMultilevel"/>
    <w:tmpl w:val="A4664982"/>
    <w:lvl w:ilvl="0" w:tplc="17E29A52">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1915B6"/>
    <w:multiLevelType w:val="hybridMultilevel"/>
    <w:tmpl w:val="D4A07520"/>
    <w:lvl w:ilvl="0" w:tplc="1578F2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F404BE8"/>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747762"/>
    <w:multiLevelType w:val="hybridMultilevel"/>
    <w:tmpl w:val="B7502C70"/>
    <w:lvl w:ilvl="0" w:tplc="28441B1C">
      <w:start w:val="1"/>
      <w:numFmt w:val="decimal"/>
      <w:lvlText w:val="%1."/>
      <w:lvlJc w:val="left"/>
      <w:pPr>
        <w:tabs>
          <w:tab w:val="num" w:pos="567"/>
        </w:tabs>
        <w:ind w:left="0" w:firstLine="0"/>
      </w:pPr>
      <w:rPr>
        <w:rFonts w:ascii="Verdana" w:hAnsi="Verdana" w:hint="default"/>
        <w:b w:val="0"/>
        <w:i w:val="0"/>
        <w:strike w:val="0"/>
        <w:dstrike w:val="0"/>
        <w:color w:val="auto"/>
        <w:sz w:val="20"/>
        <w:szCs w:val="20"/>
        <w:u w:val="none"/>
        <w:effect w:val="none"/>
        <w:lang w:val="es-PR"/>
      </w:rPr>
    </w:lvl>
    <w:lvl w:ilvl="1" w:tplc="AB4AEBC6">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b w:val="0"/>
        <w:i w:val="0"/>
        <w:strike w:val="0"/>
        <w:dstrike w:val="0"/>
        <w:sz w:val="20"/>
        <w:szCs w:val="20"/>
        <w:u w:val="none"/>
        <w:effect w:val="none"/>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44552A0C"/>
    <w:multiLevelType w:val="hybridMultilevel"/>
    <w:tmpl w:val="6D8E6FA0"/>
    <w:lvl w:ilvl="0" w:tplc="688C1A3A">
      <w:start w:val="1"/>
      <w:numFmt w:val="lowerLetter"/>
      <w:lvlText w:val="%1)"/>
      <w:lvlJc w:val="left"/>
      <w:pPr>
        <w:ind w:left="720" w:hanging="360"/>
      </w:pPr>
      <w:rPr>
        <w:rFonts w:asciiTheme="minorHAnsi" w:hAnsiTheme="minorHAnsi" w:cstheme="minorBidi" w:hint="default"/>
        <w:b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A9E0C762">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CB1780"/>
    <w:multiLevelType w:val="hybridMultilevel"/>
    <w:tmpl w:val="3F32F15A"/>
    <w:lvl w:ilvl="0" w:tplc="A3D0F1B8">
      <w:start w:val="1"/>
      <w:numFmt w:val="lowerLetter"/>
      <w:lvlText w:val="%1)"/>
      <w:lvlJc w:val="left"/>
      <w:pPr>
        <w:ind w:left="360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50E1E14"/>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2">
    <w:nsid w:val="76FB4048"/>
    <w:multiLevelType w:val="hybridMultilevel"/>
    <w:tmpl w:val="8DA8129E"/>
    <w:lvl w:ilvl="0" w:tplc="080A0001">
      <w:start w:val="1"/>
      <w:numFmt w:val="bullet"/>
      <w:lvlText w:val=""/>
      <w:lvlJc w:val="left"/>
      <w:pPr>
        <w:ind w:left="1260" w:hanging="72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4"/>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1"/>
  </w:num>
  <w:num w:numId="9">
    <w:abstractNumId w:val="9"/>
  </w:num>
  <w:num w:numId="10">
    <w:abstractNumId w:val="10"/>
  </w:num>
  <w:num w:numId="11">
    <w:abstractNumId w:val="3"/>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0E"/>
    <w:rsid w:val="000029AD"/>
    <w:rsid w:val="00003D0B"/>
    <w:rsid w:val="00014F8D"/>
    <w:rsid w:val="00015F17"/>
    <w:rsid w:val="000165F8"/>
    <w:rsid w:val="000178DC"/>
    <w:rsid w:val="000223A5"/>
    <w:rsid w:val="00025F74"/>
    <w:rsid w:val="00051BAC"/>
    <w:rsid w:val="0006480B"/>
    <w:rsid w:val="00065394"/>
    <w:rsid w:val="0006784E"/>
    <w:rsid w:val="000717DC"/>
    <w:rsid w:val="00087D60"/>
    <w:rsid w:val="00092AFB"/>
    <w:rsid w:val="00093845"/>
    <w:rsid w:val="00095453"/>
    <w:rsid w:val="000A284E"/>
    <w:rsid w:val="000B34C3"/>
    <w:rsid w:val="000B3CA2"/>
    <w:rsid w:val="000B4D95"/>
    <w:rsid w:val="000B7735"/>
    <w:rsid w:val="000C0B9B"/>
    <w:rsid w:val="000C35C6"/>
    <w:rsid w:val="000C401F"/>
    <w:rsid w:val="000C6E91"/>
    <w:rsid w:val="000D3CDD"/>
    <w:rsid w:val="000E5EDA"/>
    <w:rsid w:val="000F1CC1"/>
    <w:rsid w:val="000F488D"/>
    <w:rsid w:val="00111A1A"/>
    <w:rsid w:val="00117231"/>
    <w:rsid w:val="00123D91"/>
    <w:rsid w:val="001250F6"/>
    <w:rsid w:val="00137DE9"/>
    <w:rsid w:val="001452B8"/>
    <w:rsid w:val="00162D3C"/>
    <w:rsid w:val="00171338"/>
    <w:rsid w:val="00171E07"/>
    <w:rsid w:val="00176557"/>
    <w:rsid w:val="00177116"/>
    <w:rsid w:val="001821C8"/>
    <w:rsid w:val="001A16F2"/>
    <w:rsid w:val="001A5CFD"/>
    <w:rsid w:val="001B07D6"/>
    <w:rsid w:val="001D6DD3"/>
    <w:rsid w:val="001F2299"/>
    <w:rsid w:val="001F4A29"/>
    <w:rsid w:val="0021158E"/>
    <w:rsid w:val="00214FF8"/>
    <w:rsid w:val="00232BDE"/>
    <w:rsid w:val="002409ED"/>
    <w:rsid w:val="00244C96"/>
    <w:rsid w:val="00250D05"/>
    <w:rsid w:val="00254A41"/>
    <w:rsid w:val="00254F4C"/>
    <w:rsid w:val="00256550"/>
    <w:rsid w:val="00260B1C"/>
    <w:rsid w:val="00270680"/>
    <w:rsid w:val="00273DF3"/>
    <w:rsid w:val="00274072"/>
    <w:rsid w:val="00275399"/>
    <w:rsid w:val="002821E4"/>
    <w:rsid w:val="00282BC8"/>
    <w:rsid w:val="002856E3"/>
    <w:rsid w:val="002954ED"/>
    <w:rsid w:val="002A301B"/>
    <w:rsid w:val="002A3437"/>
    <w:rsid w:val="002A4BA1"/>
    <w:rsid w:val="002A5410"/>
    <w:rsid w:val="002A581F"/>
    <w:rsid w:val="002A7E0E"/>
    <w:rsid w:val="002B2DC5"/>
    <w:rsid w:val="002C4BEB"/>
    <w:rsid w:val="002D1FD8"/>
    <w:rsid w:val="002F22CB"/>
    <w:rsid w:val="003016DF"/>
    <w:rsid w:val="003023FF"/>
    <w:rsid w:val="0030443A"/>
    <w:rsid w:val="00313686"/>
    <w:rsid w:val="00316F5E"/>
    <w:rsid w:val="003221CE"/>
    <w:rsid w:val="003221E8"/>
    <w:rsid w:val="00323CD3"/>
    <w:rsid w:val="0032527A"/>
    <w:rsid w:val="00342BDC"/>
    <w:rsid w:val="00350224"/>
    <w:rsid w:val="00350920"/>
    <w:rsid w:val="0035553A"/>
    <w:rsid w:val="003574AD"/>
    <w:rsid w:val="00371919"/>
    <w:rsid w:val="0037367D"/>
    <w:rsid w:val="00374A14"/>
    <w:rsid w:val="00377535"/>
    <w:rsid w:val="003831C9"/>
    <w:rsid w:val="0038509A"/>
    <w:rsid w:val="00385C60"/>
    <w:rsid w:val="003941CD"/>
    <w:rsid w:val="003A634B"/>
    <w:rsid w:val="003B3581"/>
    <w:rsid w:val="003C091E"/>
    <w:rsid w:val="003C3B27"/>
    <w:rsid w:val="003D002D"/>
    <w:rsid w:val="003D2798"/>
    <w:rsid w:val="003D3E2C"/>
    <w:rsid w:val="003E5580"/>
    <w:rsid w:val="004076AF"/>
    <w:rsid w:val="00407DB1"/>
    <w:rsid w:val="00412AD1"/>
    <w:rsid w:val="004163C5"/>
    <w:rsid w:val="00417032"/>
    <w:rsid w:val="00421058"/>
    <w:rsid w:val="0043687D"/>
    <w:rsid w:val="0044106A"/>
    <w:rsid w:val="00443C48"/>
    <w:rsid w:val="00445863"/>
    <w:rsid w:val="004471B3"/>
    <w:rsid w:val="00467106"/>
    <w:rsid w:val="004700EE"/>
    <w:rsid w:val="00470D48"/>
    <w:rsid w:val="0047173C"/>
    <w:rsid w:val="00471E73"/>
    <w:rsid w:val="00473D63"/>
    <w:rsid w:val="0047728F"/>
    <w:rsid w:val="00481B3F"/>
    <w:rsid w:val="0048292C"/>
    <w:rsid w:val="004831A7"/>
    <w:rsid w:val="004944F2"/>
    <w:rsid w:val="004A2E59"/>
    <w:rsid w:val="004A33FD"/>
    <w:rsid w:val="004B0135"/>
    <w:rsid w:val="004B12A7"/>
    <w:rsid w:val="004D24FE"/>
    <w:rsid w:val="004E13E0"/>
    <w:rsid w:val="004E3598"/>
    <w:rsid w:val="004E3B78"/>
    <w:rsid w:val="004E62C9"/>
    <w:rsid w:val="004F0301"/>
    <w:rsid w:val="004F56DD"/>
    <w:rsid w:val="00502D9E"/>
    <w:rsid w:val="005047D5"/>
    <w:rsid w:val="00504E0E"/>
    <w:rsid w:val="00506CA4"/>
    <w:rsid w:val="00531C67"/>
    <w:rsid w:val="00541A74"/>
    <w:rsid w:val="00561690"/>
    <w:rsid w:val="00565B5E"/>
    <w:rsid w:val="0057151E"/>
    <w:rsid w:val="00571BE1"/>
    <w:rsid w:val="00575C20"/>
    <w:rsid w:val="00584067"/>
    <w:rsid w:val="005840B9"/>
    <w:rsid w:val="00585865"/>
    <w:rsid w:val="005905F0"/>
    <w:rsid w:val="0059131E"/>
    <w:rsid w:val="00597FAD"/>
    <w:rsid w:val="005A1238"/>
    <w:rsid w:val="005A1E03"/>
    <w:rsid w:val="005B2AC8"/>
    <w:rsid w:val="005B36A5"/>
    <w:rsid w:val="005B5390"/>
    <w:rsid w:val="005B7003"/>
    <w:rsid w:val="005C1978"/>
    <w:rsid w:val="005C3FDF"/>
    <w:rsid w:val="005C437A"/>
    <w:rsid w:val="005C76D0"/>
    <w:rsid w:val="005D2316"/>
    <w:rsid w:val="005E2603"/>
    <w:rsid w:val="005E4D35"/>
    <w:rsid w:val="00612D81"/>
    <w:rsid w:val="00623AC0"/>
    <w:rsid w:val="00632144"/>
    <w:rsid w:val="006571A2"/>
    <w:rsid w:val="006645F5"/>
    <w:rsid w:val="00675635"/>
    <w:rsid w:val="00677991"/>
    <w:rsid w:val="00685654"/>
    <w:rsid w:val="006B379E"/>
    <w:rsid w:val="006C0970"/>
    <w:rsid w:val="006C51C5"/>
    <w:rsid w:val="006D0ED2"/>
    <w:rsid w:val="006D16B7"/>
    <w:rsid w:val="006E490C"/>
    <w:rsid w:val="006F0269"/>
    <w:rsid w:val="006F1BCF"/>
    <w:rsid w:val="006F5043"/>
    <w:rsid w:val="007051DA"/>
    <w:rsid w:val="00711738"/>
    <w:rsid w:val="00723DDD"/>
    <w:rsid w:val="00731DBA"/>
    <w:rsid w:val="00742B46"/>
    <w:rsid w:val="00746CF2"/>
    <w:rsid w:val="00764B69"/>
    <w:rsid w:val="007663F8"/>
    <w:rsid w:val="00773718"/>
    <w:rsid w:val="00782102"/>
    <w:rsid w:val="00783F69"/>
    <w:rsid w:val="007847A5"/>
    <w:rsid w:val="007A03C3"/>
    <w:rsid w:val="007C2355"/>
    <w:rsid w:val="007E3CCF"/>
    <w:rsid w:val="007E404F"/>
    <w:rsid w:val="00800466"/>
    <w:rsid w:val="008018EA"/>
    <w:rsid w:val="008036D4"/>
    <w:rsid w:val="00804558"/>
    <w:rsid w:val="008132CE"/>
    <w:rsid w:val="00823211"/>
    <w:rsid w:val="008416DA"/>
    <w:rsid w:val="008448C6"/>
    <w:rsid w:val="0084589F"/>
    <w:rsid w:val="00845C77"/>
    <w:rsid w:val="00850BE8"/>
    <w:rsid w:val="00864018"/>
    <w:rsid w:val="0086675C"/>
    <w:rsid w:val="00875A76"/>
    <w:rsid w:val="008818D3"/>
    <w:rsid w:val="0088198B"/>
    <w:rsid w:val="00887568"/>
    <w:rsid w:val="00887661"/>
    <w:rsid w:val="008939EA"/>
    <w:rsid w:val="00893FDE"/>
    <w:rsid w:val="008967C3"/>
    <w:rsid w:val="008A199D"/>
    <w:rsid w:val="008A42E6"/>
    <w:rsid w:val="008A5FEE"/>
    <w:rsid w:val="008B29E5"/>
    <w:rsid w:val="008D4007"/>
    <w:rsid w:val="008D433A"/>
    <w:rsid w:val="008D67B4"/>
    <w:rsid w:val="008E0B02"/>
    <w:rsid w:val="008E33D8"/>
    <w:rsid w:val="0092383B"/>
    <w:rsid w:val="00931335"/>
    <w:rsid w:val="00933085"/>
    <w:rsid w:val="009461DB"/>
    <w:rsid w:val="00947352"/>
    <w:rsid w:val="00952BF1"/>
    <w:rsid w:val="009554C4"/>
    <w:rsid w:val="00967598"/>
    <w:rsid w:val="00975F5F"/>
    <w:rsid w:val="00990776"/>
    <w:rsid w:val="00992255"/>
    <w:rsid w:val="0099630C"/>
    <w:rsid w:val="009A205F"/>
    <w:rsid w:val="009B469C"/>
    <w:rsid w:val="009B6FBC"/>
    <w:rsid w:val="009B7029"/>
    <w:rsid w:val="009D4F0A"/>
    <w:rsid w:val="009F3F87"/>
    <w:rsid w:val="009F7B32"/>
    <w:rsid w:val="00A03821"/>
    <w:rsid w:val="00A03D7E"/>
    <w:rsid w:val="00A054DB"/>
    <w:rsid w:val="00A10616"/>
    <w:rsid w:val="00A50636"/>
    <w:rsid w:val="00A5657D"/>
    <w:rsid w:val="00A65F89"/>
    <w:rsid w:val="00A7056B"/>
    <w:rsid w:val="00A73B3B"/>
    <w:rsid w:val="00A73E3D"/>
    <w:rsid w:val="00A857BE"/>
    <w:rsid w:val="00A917F0"/>
    <w:rsid w:val="00A94179"/>
    <w:rsid w:val="00A9493A"/>
    <w:rsid w:val="00A97281"/>
    <w:rsid w:val="00AA0E1F"/>
    <w:rsid w:val="00AA5A9D"/>
    <w:rsid w:val="00AB1417"/>
    <w:rsid w:val="00AB146D"/>
    <w:rsid w:val="00AC1250"/>
    <w:rsid w:val="00AE4ACA"/>
    <w:rsid w:val="00B015AE"/>
    <w:rsid w:val="00B13410"/>
    <w:rsid w:val="00B21FD0"/>
    <w:rsid w:val="00B23996"/>
    <w:rsid w:val="00B258D1"/>
    <w:rsid w:val="00B2724D"/>
    <w:rsid w:val="00B31870"/>
    <w:rsid w:val="00B34007"/>
    <w:rsid w:val="00B365AB"/>
    <w:rsid w:val="00B41991"/>
    <w:rsid w:val="00B557C4"/>
    <w:rsid w:val="00B65646"/>
    <w:rsid w:val="00B703DA"/>
    <w:rsid w:val="00B70C05"/>
    <w:rsid w:val="00B75B22"/>
    <w:rsid w:val="00B77DBD"/>
    <w:rsid w:val="00B77FC6"/>
    <w:rsid w:val="00B8120E"/>
    <w:rsid w:val="00B82C88"/>
    <w:rsid w:val="00B87602"/>
    <w:rsid w:val="00BB4DF1"/>
    <w:rsid w:val="00BC6F5F"/>
    <w:rsid w:val="00BC744D"/>
    <w:rsid w:val="00BD29CD"/>
    <w:rsid w:val="00BD3C92"/>
    <w:rsid w:val="00BD4BB8"/>
    <w:rsid w:val="00BE1548"/>
    <w:rsid w:val="00BE67E7"/>
    <w:rsid w:val="00BF404F"/>
    <w:rsid w:val="00BF5186"/>
    <w:rsid w:val="00C10537"/>
    <w:rsid w:val="00C12AF8"/>
    <w:rsid w:val="00C329D5"/>
    <w:rsid w:val="00C67F7B"/>
    <w:rsid w:val="00C74C13"/>
    <w:rsid w:val="00C75064"/>
    <w:rsid w:val="00C76183"/>
    <w:rsid w:val="00C8668C"/>
    <w:rsid w:val="00CA2234"/>
    <w:rsid w:val="00CA5C71"/>
    <w:rsid w:val="00CB4E94"/>
    <w:rsid w:val="00CB570D"/>
    <w:rsid w:val="00CC2E11"/>
    <w:rsid w:val="00CE15E8"/>
    <w:rsid w:val="00CE2FEC"/>
    <w:rsid w:val="00CF3E7C"/>
    <w:rsid w:val="00D05A63"/>
    <w:rsid w:val="00D07E0C"/>
    <w:rsid w:val="00D14338"/>
    <w:rsid w:val="00D16FBB"/>
    <w:rsid w:val="00D22A86"/>
    <w:rsid w:val="00D26C7A"/>
    <w:rsid w:val="00D30D83"/>
    <w:rsid w:val="00D62507"/>
    <w:rsid w:val="00D66D5D"/>
    <w:rsid w:val="00D70A55"/>
    <w:rsid w:val="00D84824"/>
    <w:rsid w:val="00D95D81"/>
    <w:rsid w:val="00DA6DE2"/>
    <w:rsid w:val="00DB0A38"/>
    <w:rsid w:val="00DE1876"/>
    <w:rsid w:val="00DE1DA0"/>
    <w:rsid w:val="00DE4092"/>
    <w:rsid w:val="00E01DA6"/>
    <w:rsid w:val="00E1009F"/>
    <w:rsid w:val="00E31631"/>
    <w:rsid w:val="00E36CE8"/>
    <w:rsid w:val="00E44F32"/>
    <w:rsid w:val="00E52227"/>
    <w:rsid w:val="00E52E5B"/>
    <w:rsid w:val="00E55E69"/>
    <w:rsid w:val="00E63235"/>
    <w:rsid w:val="00E726DF"/>
    <w:rsid w:val="00E772ED"/>
    <w:rsid w:val="00E85964"/>
    <w:rsid w:val="00E92D34"/>
    <w:rsid w:val="00E94203"/>
    <w:rsid w:val="00E94376"/>
    <w:rsid w:val="00EB2F8A"/>
    <w:rsid w:val="00EB774B"/>
    <w:rsid w:val="00EB7EBB"/>
    <w:rsid w:val="00EC1D86"/>
    <w:rsid w:val="00EC723D"/>
    <w:rsid w:val="00EC7626"/>
    <w:rsid w:val="00ED5A0D"/>
    <w:rsid w:val="00EE093B"/>
    <w:rsid w:val="00EE28FF"/>
    <w:rsid w:val="00EE457C"/>
    <w:rsid w:val="00EF26C1"/>
    <w:rsid w:val="00F1252C"/>
    <w:rsid w:val="00F13B86"/>
    <w:rsid w:val="00F35BBE"/>
    <w:rsid w:val="00F40FAC"/>
    <w:rsid w:val="00F432A3"/>
    <w:rsid w:val="00F4742B"/>
    <w:rsid w:val="00F543D1"/>
    <w:rsid w:val="00F62D69"/>
    <w:rsid w:val="00F63C71"/>
    <w:rsid w:val="00F73149"/>
    <w:rsid w:val="00F77C31"/>
    <w:rsid w:val="00F93B06"/>
    <w:rsid w:val="00FA1C30"/>
    <w:rsid w:val="00FB1B65"/>
    <w:rsid w:val="00FB30AF"/>
    <w:rsid w:val="00FD6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2A7E0E"/>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A7E0E"/>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2A7E0E"/>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2A7E0E"/>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2A7E0E"/>
    <w:rPr>
      <w:rFonts w:ascii="Garamond" w:eastAsia="Times" w:hAnsi="Garamond" w:cs="Times New Roman"/>
      <w:sz w:val="24"/>
      <w:szCs w:val="20"/>
      <w:lang w:val="es-ES_tradnl"/>
    </w:rPr>
  </w:style>
  <w:style w:type="paragraph" w:customStyle="1" w:styleId="Prrafodelista1">
    <w:name w:val="Párrafo de lista1"/>
    <w:basedOn w:val="Normal"/>
    <w:qFormat/>
    <w:rsid w:val="002A7E0E"/>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2A7E0E"/>
    <w:rPr>
      <w:b/>
      <w:bCs/>
    </w:rPr>
  </w:style>
  <w:style w:type="paragraph" w:styleId="Header">
    <w:name w:val="header"/>
    <w:basedOn w:val="Normal"/>
    <w:link w:val="HeaderChar"/>
    <w:uiPriority w:val="99"/>
    <w:unhideWhenUsed/>
    <w:rsid w:val="002A7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0E"/>
    <w:rPr>
      <w:lang w:val="en-US"/>
    </w:rPr>
  </w:style>
  <w:style w:type="paragraph" w:customStyle="1" w:styleId="Default">
    <w:name w:val="Default"/>
    <w:rsid w:val="000F488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711738"/>
    <w:rPr>
      <w:sz w:val="16"/>
      <w:szCs w:val="16"/>
    </w:rPr>
  </w:style>
  <w:style w:type="paragraph" w:styleId="CommentText">
    <w:name w:val="annotation text"/>
    <w:basedOn w:val="Normal"/>
    <w:link w:val="CommentTextChar"/>
    <w:uiPriority w:val="99"/>
    <w:semiHidden/>
    <w:unhideWhenUsed/>
    <w:rsid w:val="00711738"/>
    <w:pPr>
      <w:spacing w:line="240" w:lineRule="auto"/>
    </w:pPr>
    <w:rPr>
      <w:sz w:val="20"/>
      <w:szCs w:val="20"/>
    </w:rPr>
  </w:style>
  <w:style w:type="character" w:customStyle="1" w:styleId="CommentTextChar">
    <w:name w:val="Comment Text Char"/>
    <w:basedOn w:val="DefaultParagraphFont"/>
    <w:link w:val="CommentText"/>
    <w:uiPriority w:val="99"/>
    <w:semiHidden/>
    <w:rsid w:val="00711738"/>
    <w:rPr>
      <w:sz w:val="20"/>
      <w:szCs w:val="20"/>
      <w:lang w:val="en-US"/>
    </w:rPr>
  </w:style>
  <w:style w:type="paragraph" w:styleId="CommentSubject">
    <w:name w:val="annotation subject"/>
    <w:basedOn w:val="CommentText"/>
    <w:next w:val="CommentText"/>
    <w:link w:val="CommentSubjectChar"/>
    <w:uiPriority w:val="99"/>
    <w:semiHidden/>
    <w:unhideWhenUsed/>
    <w:rsid w:val="00711738"/>
    <w:rPr>
      <w:b/>
      <w:bCs/>
    </w:rPr>
  </w:style>
  <w:style w:type="character" w:customStyle="1" w:styleId="CommentSubjectChar">
    <w:name w:val="Comment Subject Char"/>
    <w:basedOn w:val="CommentTextChar"/>
    <w:link w:val="CommentSubject"/>
    <w:uiPriority w:val="99"/>
    <w:semiHidden/>
    <w:rsid w:val="00711738"/>
    <w:rPr>
      <w:b/>
      <w:bCs/>
      <w:sz w:val="20"/>
      <w:szCs w:val="20"/>
      <w:lang w:val="en-US"/>
    </w:rPr>
  </w:style>
  <w:style w:type="paragraph" w:styleId="BalloonText">
    <w:name w:val="Balloon Text"/>
    <w:basedOn w:val="Normal"/>
    <w:link w:val="BalloonTextChar"/>
    <w:uiPriority w:val="99"/>
    <w:semiHidden/>
    <w:unhideWhenUsed/>
    <w:rsid w:val="007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38"/>
    <w:rPr>
      <w:rFonts w:ascii="Tahoma" w:hAnsi="Tahoma" w:cs="Tahoma"/>
      <w:sz w:val="16"/>
      <w:szCs w:val="16"/>
      <w:lang w:val="en-US"/>
    </w:rPr>
  </w:style>
  <w:style w:type="paragraph" w:styleId="Footer">
    <w:name w:val="footer"/>
    <w:basedOn w:val="Normal"/>
    <w:link w:val="FooterChar"/>
    <w:uiPriority w:val="99"/>
    <w:unhideWhenUsed/>
    <w:rsid w:val="005C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D0"/>
    <w:rPr>
      <w:lang w:val="en-US"/>
    </w:rPr>
  </w:style>
  <w:style w:type="character" w:styleId="Hyperlink">
    <w:name w:val="Hyperlink"/>
    <w:basedOn w:val="DefaultParagraphFont"/>
    <w:uiPriority w:val="99"/>
    <w:unhideWhenUsed/>
    <w:rsid w:val="000165F8"/>
    <w:rPr>
      <w:color w:val="0000FF" w:themeColor="hyperlink"/>
      <w:u w:val="single"/>
    </w:rPr>
  </w:style>
  <w:style w:type="paragraph" w:styleId="BodyText">
    <w:name w:val="Body Text"/>
    <w:basedOn w:val="Normal"/>
    <w:link w:val="BodyTextChar"/>
    <w:uiPriority w:val="99"/>
    <w:semiHidden/>
    <w:unhideWhenUsed/>
    <w:rsid w:val="00350224"/>
    <w:pPr>
      <w:spacing w:after="120" w:line="240" w:lineRule="auto"/>
    </w:pPr>
    <w:rPr>
      <w:rFonts w:ascii="Times" w:hAnsi="Times" w:cs="Times"/>
      <w:sz w:val="24"/>
      <w:szCs w:val="24"/>
      <w:lang w:val="es-MX"/>
    </w:rPr>
  </w:style>
  <w:style w:type="character" w:customStyle="1" w:styleId="BodyTextChar">
    <w:name w:val="Body Text Char"/>
    <w:basedOn w:val="DefaultParagraphFont"/>
    <w:link w:val="BodyText"/>
    <w:uiPriority w:val="99"/>
    <w:semiHidden/>
    <w:rsid w:val="00350224"/>
    <w:rPr>
      <w:rFonts w:ascii="Times" w:hAnsi="Times" w:cs="Times"/>
      <w:sz w:val="24"/>
      <w:szCs w:val="24"/>
    </w:rPr>
  </w:style>
  <w:style w:type="character" w:styleId="LineNumber">
    <w:name w:val="line number"/>
    <w:basedOn w:val="DefaultParagraphFont"/>
    <w:uiPriority w:val="99"/>
    <w:semiHidden/>
    <w:unhideWhenUsed/>
    <w:rsid w:val="006E4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2A7E0E"/>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A7E0E"/>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2A7E0E"/>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2A7E0E"/>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2A7E0E"/>
    <w:rPr>
      <w:rFonts w:ascii="Garamond" w:eastAsia="Times" w:hAnsi="Garamond" w:cs="Times New Roman"/>
      <w:sz w:val="24"/>
      <w:szCs w:val="20"/>
      <w:lang w:val="es-ES_tradnl"/>
    </w:rPr>
  </w:style>
  <w:style w:type="paragraph" w:customStyle="1" w:styleId="Prrafodelista1">
    <w:name w:val="Párrafo de lista1"/>
    <w:basedOn w:val="Normal"/>
    <w:qFormat/>
    <w:rsid w:val="002A7E0E"/>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2A7E0E"/>
    <w:rPr>
      <w:b/>
      <w:bCs/>
    </w:rPr>
  </w:style>
  <w:style w:type="paragraph" w:styleId="Header">
    <w:name w:val="header"/>
    <w:basedOn w:val="Normal"/>
    <w:link w:val="HeaderChar"/>
    <w:uiPriority w:val="99"/>
    <w:unhideWhenUsed/>
    <w:rsid w:val="002A7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0E"/>
    <w:rPr>
      <w:lang w:val="en-US"/>
    </w:rPr>
  </w:style>
  <w:style w:type="paragraph" w:customStyle="1" w:styleId="Default">
    <w:name w:val="Default"/>
    <w:rsid w:val="000F488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711738"/>
    <w:rPr>
      <w:sz w:val="16"/>
      <w:szCs w:val="16"/>
    </w:rPr>
  </w:style>
  <w:style w:type="paragraph" w:styleId="CommentText">
    <w:name w:val="annotation text"/>
    <w:basedOn w:val="Normal"/>
    <w:link w:val="CommentTextChar"/>
    <w:uiPriority w:val="99"/>
    <w:semiHidden/>
    <w:unhideWhenUsed/>
    <w:rsid w:val="00711738"/>
    <w:pPr>
      <w:spacing w:line="240" w:lineRule="auto"/>
    </w:pPr>
    <w:rPr>
      <w:sz w:val="20"/>
      <w:szCs w:val="20"/>
    </w:rPr>
  </w:style>
  <w:style w:type="character" w:customStyle="1" w:styleId="CommentTextChar">
    <w:name w:val="Comment Text Char"/>
    <w:basedOn w:val="DefaultParagraphFont"/>
    <w:link w:val="CommentText"/>
    <w:uiPriority w:val="99"/>
    <w:semiHidden/>
    <w:rsid w:val="00711738"/>
    <w:rPr>
      <w:sz w:val="20"/>
      <w:szCs w:val="20"/>
      <w:lang w:val="en-US"/>
    </w:rPr>
  </w:style>
  <w:style w:type="paragraph" w:styleId="CommentSubject">
    <w:name w:val="annotation subject"/>
    <w:basedOn w:val="CommentText"/>
    <w:next w:val="CommentText"/>
    <w:link w:val="CommentSubjectChar"/>
    <w:uiPriority w:val="99"/>
    <w:semiHidden/>
    <w:unhideWhenUsed/>
    <w:rsid w:val="00711738"/>
    <w:rPr>
      <w:b/>
      <w:bCs/>
    </w:rPr>
  </w:style>
  <w:style w:type="character" w:customStyle="1" w:styleId="CommentSubjectChar">
    <w:name w:val="Comment Subject Char"/>
    <w:basedOn w:val="CommentTextChar"/>
    <w:link w:val="CommentSubject"/>
    <w:uiPriority w:val="99"/>
    <w:semiHidden/>
    <w:rsid w:val="00711738"/>
    <w:rPr>
      <w:b/>
      <w:bCs/>
      <w:sz w:val="20"/>
      <w:szCs w:val="20"/>
      <w:lang w:val="en-US"/>
    </w:rPr>
  </w:style>
  <w:style w:type="paragraph" w:styleId="BalloonText">
    <w:name w:val="Balloon Text"/>
    <w:basedOn w:val="Normal"/>
    <w:link w:val="BalloonTextChar"/>
    <w:uiPriority w:val="99"/>
    <w:semiHidden/>
    <w:unhideWhenUsed/>
    <w:rsid w:val="007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38"/>
    <w:rPr>
      <w:rFonts w:ascii="Tahoma" w:hAnsi="Tahoma" w:cs="Tahoma"/>
      <w:sz w:val="16"/>
      <w:szCs w:val="16"/>
      <w:lang w:val="en-US"/>
    </w:rPr>
  </w:style>
  <w:style w:type="paragraph" w:styleId="Footer">
    <w:name w:val="footer"/>
    <w:basedOn w:val="Normal"/>
    <w:link w:val="FooterChar"/>
    <w:uiPriority w:val="99"/>
    <w:unhideWhenUsed/>
    <w:rsid w:val="005C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D0"/>
    <w:rPr>
      <w:lang w:val="en-US"/>
    </w:rPr>
  </w:style>
  <w:style w:type="character" w:styleId="Hyperlink">
    <w:name w:val="Hyperlink"/>
    <w:basedOn w:val="DefaultParagraphFont"/>
    <w:uiPriority w:val="99"/>
    <w:unhideWhenUsed/>
    <w:rsid w:val="000165F8"/>
    <w:rPr>
      <w:color w:val="0000FF" w:themeColor="hyperlink"/>
      <w:u w:val="single"/>
    </w:rPr>
  </w:style>
  <w:style w:type="paragraph" w:styleId="BodyText">
    <w:name w:val="Body Text"/>
    <w:basedOn w:val="Normal"/>
    <w:link w:val="BodyTextChar"/>
    <w:uiPriority w:val="99"/>
    <w:semiHidden/>
    <w:unhideWhenUsed/>
    <w:rsid w:val="00350224"/>
    <w:pPr>
      <w:spacing w:after="120" w:line="240" w:lineRule="auto"/>
    </w:pPr>
    <w:rPr>
      <w:rFonts w:ascii="Times" w:hAnsi="Times" w:cs="Times"/>
      <w:sz w:val="24"/>
      <w:szCs w:val="24"/>
      <w:lang w:val="es-MX"/>
    </w:rPr>
  </w:style>
  <w:style w:type="character" w:customStyle="1" w:styleId="BodyTextChar">
    <w:name w:val="Body Text Char"/>
    <w:basedOn w:val="DefaultParagraphFont"/>
    <w:link w:val="BodyText"/>
    <w:uiPriority w:val="99"/>
    <w:semiHidden/>
    <w:rsid w:val="00350224"/>
    <w:rPr>
      <w:rFonts w:ascii="Times" w:hAnsi="Times" w:cs="Times"/>
      <w:sz w:val="24"/>
      <w:szCs w:val="24"/>
    </w:rPr>
  </w:style>
  <w:style w:type="character" w:styleId="LineNumber">
    <w:name w:val="line number"/>
    <w:basedOn w:val="DefaultParagraphFont"/>
    <w:uiPriority w:val="99"/>
    <w:semiHidden/>
    <w:unhideWhenUsed/>
    <w:rsid w:val="006E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966">
      <w:bodyDiv w:val="1"/>
      <w:marLeft w:val="0"/>
      <w:marRight w:val="0"/>
      <w:marTop w:val="0"/>
      <w:marBottom w:val="0"/>
      <w:divBdr>
        <w:top w:val="none" w:sz="0" w:space="0" w:color="auto"/>
        <w:left w:val="none" w:sz="0" w:space="0" w:color="auto"/>
        <w:bottom w:val="none" w:sz="0" w:space="0" w:color="auto"/>
        <w:right w:val="none" w:sz="0" w:space="0" w:color="auto"/>
      </w:divBdr>
    </w:div>
    <w:div w:id="84348478">
      <w:bodyDiv w:val="1"/>
      <w:marLeft w:val="0"/>
      <w:marRight w:val="0"/>
      <w:marTop w:val="0"/>
      <w:marBottom w:val="0"/>
      <w:divBdr>
        <w:top w:val="none" w:sz="0" w:space="0" w:color="auto"/>
        <w:left w:val="none" w:sz="0" w:space="0" w:color="auto"/>
        <w:bottom w:val="none" w:sz="0" w:space="0" w:color="auto"/>
        <w:right w:val="none" w:sz="0" w:space="0" w:color="auto"/>
      </w:divBdr>
    </w:div>
    <w:div w:id="580411595">
      <w:bodyDiv w:val="1"/>
      <w:marLeft w:val="0"/>
      <w:marRight w:val="0"/>
      <w:marTop w:val="0"/>
      <w:marBottom w:val="0"/>
      <w:divBdr>
        <w:top w:val="none" w:sz="0" w:space="0" w:color="auto"/>
        <w:left w:val="none" w:sz="0" w:space="0" w:color="auto"/>
        <w:bottom w:val="none" w:sz="0" w:space="0" w:color="auto"/>
        <w:right w:val="none" w:sz="0" w:space="0" w:color="auto"/>
      </w:divBdr>
    </w:div>
    <w:div w:id="586773574">
      <w:bodyDiv w:val="1"/>
      <w:marLeft w:val="0"/>
      <w:marRight w:val="0"/>
      <w:marTop w:val="0"/>
      <w:marBottom w:val="0"/>
      <w:divBdr>
        <w:top w:val="none" w:sz="0" w:space="0" w:color="auto"/>
        <w:left w:val="none" w:sz="0" w:space="0" w:color="auto"/>
        <w:bottom w:val="none" w:sz="0" w:space="0" w:color="auto"/>
        <w:right w:val="none" w:sz="0" w:space="0" w:color="auto"/>
      </w:divBdr>
    </w:div>
    <w:div w:id="627005593">
      <w:bodyDiv w:val="1"/>
      <w:marLeft w:val="0"/>
      <w:marRight w:val="0"/>
      <w:marTop w:val="0"/>
      <w:marBottom w:val="0"/>
      <w:divBdr>
        <w:top w:val="none" w:sz="0" w:space="0" w:color="auto"/>
        <w:left w:val="none" w:sz="0" w:space="0" w:color="auto"/>
        <w:bottom w:val="none" w:sz="0" w:space="0" w:color="auto"/>
        <w:right w:val="none" w:sz="0" w:space="0" w:color="auto"/>
      </w:divBdr>
    </w:div>
    <w:div w:id="843055258">
      <w:bodyDiv w:val="1"/>
      <w:marLeft w:val="0"/>
      <w:marRight w:val="0"/>
      <w:marTop w:val="0"/>
      <w:marBottom w:val="0"/>
      <w:divBdr>
        <w:top w:val="none" w:sz="0" w:space="0" w:color="auto"/>
        <w:left w:val="none" w:sz="0" w:space="0" w:color="auto"/>
        <w:bottom w:val="none" w:sz="0" w:space="0" w:color="auto"/>
        <w:right w:val="none" w:sz="0" w:space="0" w:color="auto"/>
      </w:divBdr>
    </w:div>
    <w:div w:id="927008185">
      <w:bodyDiv w:val="1"/>
      <w:marLeft w:val="0"/>
      <w:marRight w:val="0"/>
      <w:marTop w:val="0"/>
      <w:marBottom w:val="0"/>
      <w:divBdr>
        <w:top w:val="none" w:sz="0" w:space="0" w:color="auto"/>
        <w:left w:val="none" w:sz="0" w:space="0" w:color="auto"/>
        <w:bottom w:val="none" w:sz="0" w:space="0" w:color="auto"/>
        <w:right w:val="none" w:sz="0" w:space="0" w:color="auto"/>
      </w:divBdr>
    </w:div>
    <w:div w:id="1113014973">
      <w:bodyDiv w:val="1"/>
      <w:marLeft w:val="0"/>
      <w:marRight w:val="0"/>
      <w:marTop w:val="0"/>
      <w:marBottom w:val="0"/>
      <w:divBdr>
        <w:top w:val="none" w:sz="0" w:space="0" w:color="auto"/>
        <w:left w:val="none" w:sz="0" w:space="0" w:color="auto"/>
        <w:bottom w:val="none" w:sz="0" w:space="0" w:color="auto"/>
        <w:right w:val="none" w:sz="0" w:space="0" w:color="auto"/>
      </w:divBdr>
    </w:div>
    <w:div w:id="1294628469">
      <w:bodyDiv w:val="1"/>
      <w:marLeft w:val="0"/>
      <w:marRight w:val="0"/>
      <w:marTop w:val="0"/>
      <w:marBottom w:val="0"/>
      <w:divBdr>
        <w:top w:val="none" w:sz="0" w:space="0" w:color="auto"/>
        <w:left w:val="none" w:sz="0" w:space="0" w:color="auto"/>
        <w:bottom w:val="none" w:sz="0" w:space="0" w:color="auto"/>
        <w:right w:val="none" w:sz="0" w:space="0" w:color="auto"/>
      </w:divBdr>
    </w:div>
    <w:div w:id="1327246471">
      <w:bodyDiv w:val="1"/>
      <w:marLeft w:val="0"/>
      <w:marRight w:val="0"/>
      <w:marTop w:val="0"/>
      <w:marBottom w:val="0"/>
      <w:divBdr>
        <w:top w:val="none" w:sz="0" w:space="0" w:color="auto"/>
        <w:left w:val="none" w:sz="0" w:space="0" w:color="auto"/>
        <w:bottom w:val="none" w:sz="0" w:space="0" w:color="auto"/>
        <w:right w:val="none" w:sz="0" w:space="0" w:color="auto"/>
      </w:divBdr>
    </w:div>
    <w:div w:id="1355955280">
      <w:bodyDiv w:val="1"/>
      <w:marLeft w:val="0"/>
      <w:marRight w:val="0"/>
      <w:marTop w:val="0"/>
      <w:marBottom w:val="0"/>
      <w:divBdr>
        <w:top w:val="none" w:sz="0" w:space="0" w:color="auto"/>
        <w:left w:val="none" w:sz="0" w:space="0" w:color="auto"/>
        <w:bottom w:val="none" w:sz="0" w:space="0" w:color="auto"/>
        <w:right w:val="none" w:sz="0" w:space="0" w:color="auto"/>
      </w:divBdr>
    </w:div>
    <w:div w:id="1473254881">
      <w:bodyDiv w:val="1"/>
      <w:marLeft w:val="0"/>
      <w:marRight w:val="0"/>
      <w:marTop w:val="0"/>
      <w:marBottom w:val="0"/>
      <w:divBdr>
        <w:top w:val="none" w:sz="0" w:space="0" w:color="auto"/>
        <w:left w:val="none" w:sz="0" w:space="0" w:color="auto"/>
        <w:bottom w:val="none" w:sz="0" w:space="0" w:color="auto"/>
        <w:right w:val="none" w:sz="0" w:space="0" w:color="auto"/>
      </w:divBdr>
    </w:div>
    <w:div w:id="1492870108">
      <w:bodyDiv w:val="1"/>
      <w:marLeft w:val="0"/>
      <w:marRight w:val="0"/>
      <w:marTop w:val="0"/>
      <w:marBottom w:val="0"/>
      <w:divBdr>
        <w:top w:val="none" w:sz="0" w:space="0" w:color="auto"/>
        <w:left w:val="none" w:sz="0" w:space="0" w:color="auto"/>
        <w:bottom w:val="none" w:sz="0" w:space="0" w:color="auto"/>
        <w:right w:val="none" w:sz="0" w:space="0" w:color="auto"/>
      </w:divBdr>
    </w:div>
    <w:div w:id="1706714722">
      <w:bodyDiv w:val="1"/>
      <w:marLeft w:val="0"/>
      <w:marRight w:val="0"/>
      <w:marTop w:val="0"/>
      <w:marBottom w:val="0"/>
      <w:divBdr>
        <w:top w:val="none" w:sz="0" w:space="0" w:color="auto"/>
        <w:left w:val="none" w:sz="0" w:space="0" w:color="auto"/>
        <w:bottom w:val="none" w:sz="0" w:space="0" w:color="auto"/>
        <w:right w:val="none" w:sz="0" w:space="0" w:color="auto"/>
      </w:divBdr>
    </w:div>
    <w:div w:id="1961568245">
      <w:bodyDiv w:val="1"/>
      <w:marLeft w:val="0"/>
      <w:marRight w:val="0"/>
      <w:marTop w:val="0"/>
      <w:marBottom w:val="0"/>
      <w:divBdr>
        <w:top w:val="none" w:sz="0" w:space="0" w:color="auto"/>
        <w:left w:val="none" w:sz="0" w:space="0" w:color="auto"/>
        <w:bottom w:val="none" w:sz="0" w:space="0" w:color="auto"/>
        <w:right w:val="none" w:sz="0" w:space="0" w:color="auto"/>
      </w:divBdr>
    </w:div>
    <w:div w:id="1978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A6FD-9E01-40E9-965C-2545407E9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E17B52-261E-4B9F-B279-95D4F2B222D6}">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6410375-98CD-4A62-8480-C148EA730742}">
  <ds:schemaRefs>
    <ds:schemaRef ds:uri="http://schemas.microsoft.com/sharepoint/v3/contenttype/forms"/>
  </ds:schemaRefs>
</ds:datastoreItem>
</file>

<file path=customXml/itemProps4.xml><?xml version="1.0" encoding="utf-8"?>
<ds:datastoreItem xmlns:ds="http://schemas.openxmlformats.org/officeDocument/2006/customXml" ds:itemID="{F648FB9C-E17A-4BF5-A951-905A01E2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5301</Words>
  <Characters>29161</Characters>
  <Application>Microsoft Office Word</Application>
  <DocSecurity>0</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2016-11-25T22:52:00Z</cp:lastPrinted>
  <dcterms:created xsi:type="dcterms:W3CDTF">2016-11-25T22:55:00Z</dcterms:created>
  <dcterms:modified xsi:type="dcterms:W3CDTF">2016-11-25T22:55:00Z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