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8A2D2" w14:textId="77777777" w:rsidR="003E7D29" w:rsidRDefault="003E7D29" w:rsidP="003E7D29">
      <w:pPr>
        <w:tabs>
          <w:tab w:val="left" w:pos="567"/>
        </w:tabs>
        <w:jc w:val="center"/>
        <w:rPr>
          <w:rFonts w:ascii="Verdana" w:hAnsi="Verdana"/>
          <w:b/>
          <w:spacing w:val="-4"/>
          <w:sz w:val="20"/>
          <w:lang w:val="es-MX"/>
        </w:rPr>
      </w:pPr>
      <w:bookmarkStart w:id="0" w:name="_GoBack"/>
      <w:bookmarkEnd w:id="0"/>
    </w:p>
    <w:p w14:paraId="0D4B4D66" w14:textId="77777777" w:rsidR="003E7D29" w:rsidRDefault="003E7D29" w:rsidP="003E7D29">
      <w:pPr>
        <w:tabs>
          <w:tab w:val="left" w:pos="567"/>
        </w:tabs>
        <w:jc w:val="center"/>
        <w:rPr>
          <w:rFonts w:ascii="Verdana" w:hAnsi="Verdana"/>
          <w:b/>
          <w:spacing w:val="-4"/>
          <w:sz w:val="20"/>
          <w:lang w:val="es-MX"/>
        </w:rPr>
      </w:pPr>
      <w:r>
        <w:rPr>
          <w:rFonts w:ascii="Verdana" w:hAnsi="Verdana"/>
          <w:b/>
          <w:spacing w:val="-4"/>
          <w:sz w:val="20"/>
          <w:lang w:val="es-MX"/>
        </w:rPr>
        <w:t xml:space="preserve">RESOLUCIÓN DEL PRESIDENTE DE LA </w:t>
      </w:r>
    </w:p>
    <w:p w14:paraId="1CE50651" w14:textId="77777777" w:rsidR="003E7D29" w:rsidRDefault="003E7D29" w:rsidP="003E7D29">
      <w:pPr>
        <w:tabs>
          <w:tab w:val="left" w:pos="567"/>
        </w:tabs>
        <w:jc w:val="center"/>
        <w:rPr>
          <w:rFonts w:ascii="Garamond" w:hAnsi="Garamond"/>
          <w:b/>
          <w:spacing w:val="-4"/>
          <w:sz w:val="24"/>
          <w:lang w:val="es-ES_tradnl"/>
        </w:rPr>
      </w:pPr>
      <w:r>
        <w:rPr>
          <w:rFonts w:ascii="Verdana" w:hAnsi="Verdana"/>
          <w:b/>
          <w:spacing w:val="-4"/>
          <w:sz w:val="20"/>
          <w:lang w:val="es-MX"/>
        </w:rPr>
        <w:t>CORTE INTERAMERICANA DE DERECHOS HUMANOS</w:t>
      </w:r>
    </w:p>
    <w:p w14:paraId="1930171D" w14:textId="342298EB" w:rsidR="003E7D29" w:rsidRPr="008818D3" w:rsidRDefault="003E7D29" w:rsidP="003E7D29">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DE </w:t>
      </w:r>
      <w:r w:rsidR="00494CE6" w:rsidRPr="00824C1F">
        <w:rPr>
          <w:rFonts w:ascii="Verdana" w:hAnsi="Verdana"/>
          <w:b/>
          <w:spacing w:val="-4"/>
          <w:sz w:val="20"/>
          <w:szCs w:val="20"/>
          <w:lang w:val="es-GT"/>
        </w:rPr>
        <w:t>30</w:t>
      </w:r>
      <w:r w:rsidRPr="008818D3">
        <w:rPr>
          <w:rFonts w:ascii="Verdana" w:hAnsi="Verdana"/>
          <w:b/>
          <w:spacing w:val="-4"/>
          <w:sz w:val="20"/>
          <w:szCs w:val="20"/>
          <w:lang w:val="es-GT"/>
        </w:rPr>
        <w:t xml:space="preserve"> DE </w:t>
      </w:r>
      <w:r>
        <w:rPr>
          <w:rFonts w:ascii="Verdana" w:hAnsi="Verdana"/>
          <w:b/>
          <w:spacing w:val="-4"/>
          <w:sz w:val="20"/>
          <w:szCs w:val="20"/>
          <w:lang w:val="es-GT"/>
        </w:rPr>
        <w:t xml:space="preserve">JUNIO </w:t>
      </w:r>
      <w:r>
        <w:rPr>
          <w:rFonts w:ascii="Verdana" w:hAnsi="Verdana"/>
          <w:b/>
          <w:spacing w:val="-4"/>
          <w:sz w:val="20"/>
          <w:szCs w:val="20"/>
          <w:lang w:val="es-MX"/>
        </w:rPr>
        <w:t>DE 2017</w:t>
      </w:r>
    </w:p>
    <w:p w14:paraId="64F36429" w14:textId="77777777" w:rsidR="003E7D29" w:rsidRPr="008818D3" w:rsidRDefault="003E7D29" w:rsidP="003E7D29">
      <w:pPr>
        <w:tabs>
          <w:tab w:val="left" w:pos="567"/>
        </w:tabs>
        <w:spacing w:after="0" w:line="240" w:lineRule="auto"/>
        <w:jc w:val="center"/>
        <w:rPr>
          <w:rFonts w:ascii="Verdana" w:hAnsi="Verdana"/>
          <w:b/>
          <w:spacing w:val="-4"/>
          <w:sz w:val="20"/>
          <w:szCs w:val="20"/>
          <w:lang w:val="es-MX"/>
        </w:rPr>
      </w:pPr>
    </w:p>
    <w:p w14:paraId="685674AD" w14:textId="17BC1CDE" w:rsidR="003E7D29" w:rsidRPr="008818D3" w:rsidRDefault="0046631C" w:rsidP="003E7D29">
      <w:pPr>
        <w:tabs>
          <w:tab w:val="left" w:pos="567"/>
        </w:tabs>
        <w:spacing w:after="0" w:line="240" w:lineRule="auto"/>
        <w:jc w:val="center"/>
        <w:rPr>
          <w:rFonts w:ascii="Verdana" w:hAnsi="Verdana"/>
          <w:b/>
          <w:spacing w:val="-4"/>
          <w:sz w:val="20"/>
          <w:szCs w:val="20"/>
          <w:lang w:val="es-MX"/>
        </w:rPr>
      </w:pPr>
      <w:r>
        <w:rPr>
          <w:rFonts w:ascii="Verdana" w:hAnsi="Verdana"/>
          <w:b/>
          <w:spacing w:val="-4"/>
          <w:sz w:val="20"/>
          <w:szCs w:val="20"/>
          <w:lang w:val="es-MX"/>
        </w:rPr>
        <w:t xml:space="preserve">AMPLIACIÓN DE </w:t>
      </w:r>
      <w:r w:rsidR="003E7D29" w:rsidRPr="008818D3">
        <w:rPr>
          <w:rFonts w:ascii="Verdana" w:hAnsi="Verdana"/>
          <w:b/>
          <w:spacing w:val="-4"/>
          <w:sz w:val="20"/>
          <w:szCs w:val="20"/>
          <w:lang w:val="es-MX"/>
        </w:rPr>
        <w:t xml:space="preserve">MEDIDAS PROVISIONALES </w:t>
      </w:r>
    </w:p>
    <w:p w14:paraId="57C6ED62" w14:textId="77777777" w:rsidR="003E7D29" w:rsidRPr="008818D3" w:rsidRDefault="003E7D29" w:rsidP="003E7D29">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RESPECTO NICARAGUA</w:t>
      </w:r>
    </w:p>
    <w:p w14:paraId="058DAEF5" w14:textId="77777777" w:rsidR="003E7D29" w:rsidRPr="008818D3" w:rsidRDefault="003E7D29" w:rsidP="003E7D29">
      <w:pPr>
        <w:tabs>
          <w:tab w:val="left" w:pos="567"/>
        </w:tabs>
        <w:spacing w:after="0" w:line="240" w:lineRule="auto"/>
        <w:jc w:val="center"/>
        <w:rPr>
          <w:rFonts w:ascii="Verdana" w:hAnsi="Verdana"/>
          <w:b/>
          <w:spacing w:val="-4"/>
          <w:sz w:val="20"/>
          <w:szCs w:val="20"/>
          <w:lang w:val="es-MX"/>
        </w:rPr>
      </w:pPr>
    </w:p>
    <w:p w14:paraId="277DA521" w14:textId="77777777" w:rsidR="003E7D29" w:rsidRPr="008818D3" w:rsidRDefault="003E7D29" w:rsidP="003E7D29">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ASUNTO POBLADORES DE LAS COMUNIDADES DEL PUEBLO INDÍGENA MISKITU </w:t>
      </w:r>
    </w:p>
    <w:p w14:paraId="1A349857" w14:textId="77777777" w:rsidR="003E7D29" w:rsidRPr="008818D3" w:rsidRDefault="003E7D29" w:rsidP="003E7D29">
      <w:pPr>
        <w:tabs>
          <w:tab w:val="left" w:pos="567"/>
        </w:tabs>
        <w:spacing w:after="0" w:line="240" w:lineRule="auto"/>
        <w:jc w:val="center"/>
        <w:rPr>
          <w:rFonts w:ascii="Verdana" w:hAnsi="Verdana"/>
          <w:b/>
          <w:spacing w:val="-4"/>
          <w:sz w:val="20"/>
          <w:szCs w:val="20"/>
          <w:lang w:val="es-GT"/>
        </w:rPr>
      </w:pPr>
      <w:r w:rsidRPr="008818D3">
        <w:rPr>
          <w:rFonts w:ascii="Verdana" w:hAnsi="Verdana"/>
          <w:b/>
          <w:spacing w:val="-4"/>
          <w:sz w:val="20"/>
          <w:szCs w:val="20"/>
          <w:lang w:val="es-MX"/>
        </w:rPr>
        <w:t>DE LA REGIÓN COSTA CARIBE NORTE</w:t>
      </w:r>
    </w:p>
    <w:p w14:paraId="6EC501AB" w14:textId="77777777" w:rsidR="00A9169B" w:rsidRPr="003E7D29" w:rsidRDefault="00A9169B" w:rsidP="00A9169B">
      <w:pPr>
        <w:pStyle w:val="Prrafodelista1"/>
        <w:widowControl w:val="0"/>
        <w:autoSpaceDE w:val="0"/>
        <w:autoSpaceDN w:val="0"/>
        <w:adjustRightInd w:val="0"/>
        <w:jc w:val="both"/>
        <w:rPr>
          <w:rFonts w:cs="Verdana"/>
          <w:b/>
          <w:i/>
          <w:sz w:val="20"/>
          <w:szCs w:val="20"/>
          <w:lang w:val="es-GT"/>
        </w:rPr>
      </w:pPr>
    </w:p>
    <w:p w14:paraId="16DDE294" w14:textId="77777777" w:rsidR="00A9169B" w:rsidRDefault="00A9169B" w:rsidP="00A9169B">
      <w:pPr>
        <w:pStyle w:val="Prrafodelista1"/>
        <w:widowControl w:val="0"/>
        <w:autoSpaceDE w:val="0"/>
        <w:autoSpaceDN w:val="0"/>
        <w:adjustRightInd w:val="0"/>
        <w:jc w:val="both"/>
        <w:rPr>
          <w:rFonts w:cs="Verdana"/>
          <w:b/>
          <w:i/>
          <w:sz w:val="20"/>
          <w:szCs w:val="20"/>
          <w:lang w:val="es-MX"/>
        </w:rPr>
      </w:pPr>
    </w:p>
    <w:p w14:paraId="5949F8FE" w14:textId="77777777" w:rsidR="00A9169B" w:rsidRDefault="00A9169B" w:rsidP="00A9169B">
      <w:pPr>
        <w:pStyle w:val="Prrafodelista1"/>
        <w:widowControl w:val="0"/>
        <w:autoSpaceDE w:val="0"/>
        <w:autoSpaceDN w:val="0"/>
        <w:adjustRightInd w:val="0"/>
        <w:jc w:val="both"/>
        <w:rPr>
          <w:rFonts w:cs="Verdana"/>
          <w:b/>
          <w:i/>
          <w:sz w:val="20"/>
          <w:szCs w:val="20"/>
          <w:lang w:val="es-MX"/>
        </w:rPr>
      </w:pPr>
    </w:p>
    <w:p w14:paraId="05E20F14" w14:textId="3FCE6272" w:rsidR="003E7D29" w:rsidRDefault="004E0E39" w:rsidP="00A9169B">
      <w:pPr>
        <w:pStyle w:val="Prrafodelista1"/>
        <w:widowControl w:val="0"/>
        <w:autoSpaceDE w:val="0"/>
        <w:autoSpaceDN w:val="0"/>
        <w:adjustRightInd w:val="0"/>
        <w:jc w:val="both"/>
        <w:rPr>
          <w:rFonts w:cs="Verdana"/>
          <w:b/>
          <w:sz w:val="20"/>
          <w:szCs w:val="20"/>
          <w:lang w:val="es-MX"/>
        </w:rPr>
      </w:pPr>
      <w:r w:rsidRPr="00DE692F">
        <w:rPr>
          <w:rFonts w:cs="Verdana"/>
          <w:b/>
          <w:sz w:val="20"/>
          <w:szCs w:val="20"/>
          <w:lang w:val="es-MX"/>
        </w:rPr>
        <w:t>VISTOS</w:t>
      </w:r>
    </w:p>
    <w:p w14:paraId="2FC6C033" w14:textId="77777777" w:rsidR="00DE692F" w:rsidRDefault="00DE692F" w:rsidP="00A9169B">
      <w:pPr>
        <w:pStyle w:val="Prrafodelista1"/>
        <w:widowControl w:val="0"/>
        <w:autoSpaceDE w:val="0"/>
        <w:autoSpaceDN w:val="0"/>
        <w:adjustRightInd w:val="0"/>
        <w:jc w:val="both"/>
        <w:rPr>
          <w:rFonts w:cs="Verdana"/>
          <w:b/>
          <w:sz w:val="20"/>
          <w:szCs w:val="20"/>
          <w:lang w:val="es-MX"/>
        </w:rPr>
      </w:pPr>
    </w:p>
    <w:p w14:paraId="4D8B2D41" w14:textId="155A8A1D" w:rsidR="00DE692F" w:rsidRPr="00357BD1" w:rsidRDefault="00DE692F" w:rsidP="00DE692F">
      <w:pPr>
        <w:numPr>
          <w:ilvl w:val="0"/>
          <w:numId w:val="4"/>
        </w:numPr>
        <w:tabs>
          <w:tab w:val="left" w:pos="0"/>
        </w:tabs>
        <w:spacing w:after="0" w:line="240" w:lineRule="auto"/>
        <w:ind w:left="0" w:right="18" w:firstLine="0"/>
        <w:jc w:val="both"/>
        <w:rPr>
          <w:rFonts w:ascii="Verdana" w:hAnsi="Verdana"/>
          <w:spacing w:val="-4"/>
          <w:sz w:val="20"/>
          <w:szCs w:val="20"/>
          <w:lang w:val="es-MX"/>
        </w:rPr>
      </w:pPr>
      <w:r w:rsidRPr="00DE692F">
        <w:rPr>
          <w:rFonts w:ascii="Verdana" w:eastAsia="MS Mincho" w:hAnsi="Verdana"/>
          <w:sz w:val="20"/>
          <w:szCs w:val="20"/>
          <w:lang w:val="es-VE"/>
        </w:rPr>
        <w:t>La</w:t>
      </w:r>
      <w:r w:rsidRPr="00DE692F">
        <w:rPr>
          <w:rFonts w:ascii="Verdana" w:hAnsi="Verdana"/>
          <w:spacing w:val="-4"/>
          <w:sz w:val="20"/>
          <w:szCs w:val="20"/>
          <w:lang w:val="es-MX"/>
        </w:rPr>
        <w:t xml:space="preserve"> Resolución de la Corte Interamericana de Derechos Humanos (en adelante también “la Corte Interamericana”, “la Corte” o “el Tribunal”) de 1 de septiembre de 2016, mediante la cual ordenó</w:t>
      </w:r>
      <w:r w:rsidR="00C86C8E" w:rsidRPr="00C86C8E">
        <w:rPr>
          <w:rFonts w:ascii="Verdana" w:hAnsi="Verdana"/>
          <w:spacing w:val="-4"/>
          <w:sz w:val="20"/>
          <w:szCs w:val="20"/>
          <w:lang w:val="es-MX"/>
        </w:rPr>
        <w:t xml:space="preserve"> </w:t>
      </w:r>
      <w:r w:rsidR="00C86C8E">
        <w:rPr>
          <w:rFonts w:ascii="Verdana" w:hAnsi="Verdana"/>
          <w:spacing w:val="-4"/>
          <w:sz w:val="20"/>
          <w:szCs w:val="20"/>
          <w:lang w:val="es-MX"/>
        </w:rPr>
        <w:t xml:space="preserve">al </w:t>
      </w:r>
      <w:r w:rsidR="00C86C8E" w:rsidRPr="00357BD1">
        <w:rPr>
          <w:rFonts w:ascii="Verdana" w:hAnsi="Verdana"/>
          <w:spacing w:val="-4"/>
          <w:sz w:val="20"/>
          <w:szCs w:val="20"/>
          <w:lang w:val="es-MX"/>
        </w:rPr>
        <w:t>Estado de Nicaragua</w:t>
      </w:r>
      <w:r w:rsidR="00357BD1">
        <w:rPr>
          <w:rFonts w:ascii="Verdana" w:hAnsi="Verdana"/>
          <w:spacing w:val="-4"/>
          <w:sz w:val="20"/>
          <w:szCs w:val="20"/>
          <w:lang w:val="es-MX"/>
        </w:rPr>
        <w:t>,</w:t>
      </w:r>
      <w:r w:rsidRPr="00DE692F">
        <w:rPr>
          <w:rFonts w:ascii="Verdana" w:hAnsi="Verdana"/>
          <w:spacing w:val="-4"/>
          <w:sz w:val="20"/>
          <w:szCs w:val="20"/>
          <w:lang w:val="es-MX"/>
        </w:rPr>
        <w:t xml:space="preserve"> </w:t>
      </w:r>
      <w:r w:rsidR="00357BD1">
        <w:rPr>
          <w:rFonts w:ascii="Verdana" w:hAnsi="Verdana"/>
          <w:i/>
          <w:spacing w:val="-4"/>
          <w:sz w:val="20"/>
          <w:szCs w:val="20"/>
          <w:lang w:val="es-MX"/>
        </w:rPr>
        <w:t>inter alia:</w:t>
      </w:r>
      <w:r w:rsidR="00357BD1">
        <w:rPr>
          <w:rFonts w:ascii="Verdana" w:hAnsi="Verdana"/>
          <w:spacing w:val="-4"/>
          <w:sz w:val="20"/>
          <w:szCs w:val="20"/>
          <w:lang w:val="es-MX"/>
        </w:rPr>
        <w:t xml:space="preserve"> </w:t>
      </w:r>
      <w:r w:rsidR="00C86C8E">
        <w:rPr>
          <w:rFonts w:ascii="Verdana" w:hAnsi="Verdana"/>
          <w:spacing w:val="-4"/>
          <w:sz w:val="20"/>
          <w:szCs w:val="20"/>
          <w:lang w:val="es-MX"/>
        </w:rPr>
        <w:t xml:space="preserve">i) </w:t>
      </w:r>
      <w:r w:rsidRPr="00357BD1">
        <w:rPr>
          <w:rFonts w:ascii="Verdana" w:hAnsi="Verdana"/>
          <w:spacing w:val="-4"/>
          <w:sz w:val="20"/>
          <w:szCs w:val="20"/>
          <w:lang w:val="es-MX"/>
        </w:rPr>
        <w:t xml:space="preserve">erradicar la violencia y proteger la vida, integridad personal y territorial e identidad cultural </w:t>
      </w:r>
      <w:r w:rsidRPr="00357BD1">
        <w:rPr>
          <w:rFonts w:ascii="Verdana" w:hAnsi="Verdana"/>
          <w:sz w:val="20"/>
          <w:szCs w:val="20"/>
          <w:lang w:val="es-MX"/>
        </w:rPr>
        <w:t xml:space="preserve">en favor de </w:t>
      </w:r>
      <w:r w:rsidRPr="00357BD1">
        <w:rPr>
          <w:rFonts w:ascii="Verdana" w:eastAsia="Times" w:hAnsi="Verdana" w:cs="Times New Roman"/>
          <w:sz w:val="20"/>
          <w:szCs w:val="20"/>
          <w:lang w:val="es-ES_tradnl"/>
        </w:rPr>
        <w:t xml:space="preserve">los miembros del pueblo indígena </w:t>
      </w:r>
      <w:r w:rsidRPr="00357BD1">
        <w:rPr>
          <w:rFonts w:ascii="Verdana" w:eastAsia="Times" w:hAnsi="Verdana" w:cs="Times New Roman"/>
          <w:i/>
          <w:sz w:val="20"/>
          <w:szCs w:val="20"/>
          <w:lang w:val="es-ES_tradnl"/>
        </w:rPr>
        <w:t xml:space="preserve">Miskitu </w:t>
      </w:r>
      <w:r w:rsidRPr="00357BD1">
        <w:rPr>
          <w:rFonts w:ascii="Verdana" w:eastAsia="Times" w:hAnsi="Verdana" w:cs="Times New Roman"/>
          <w:sz w:val="20"/>
          <w:szCs w:val="20"/>
          <w:lang w:val="es-ES_tradnl"/>
        </w:rPr>
        <w:t xml:space="preserve">que habitan </w:t>
      </w:r>
      <w:r w:rsidRPr="00357BD1">
        <w:rPr>
          <w:rFonts w:ascii="Verdana" w:eastAsia="Times" w:hAnsi="Verdana"/>
          <w:sz w:val="20"/>
          <w:szCs w:val="20"/>
          <w:lang w:val="es-ES_tradnl"/>
        </w:rPr>
        <w:t>en las</w:t>
      </w:r>
      <w:r w:rsidRPr="00357BD1">
        <w:rPr>
          <w:rFonts w:ascii="Verdana" w:eastAsia="Times" w:hAnsi="Verdana" w:cs="Times New Roman"/>
          <w:sz w:val="20"/>
          <w:szCs w:val="20"/>
          <w:lang w:val="es-ES_tradnl"/>
        </w:rPr>
        <w:t xml:space="preserve"> comunidades de </w:t>
      </w:r>
      <w:r w:rsidRPr="00357BD1">
        <w:rPr>
          <w:rFonts w:ascii="Verdana" w:eastAsia="Times" w:hAnsi="Verdana" w:cs="Times New Roman"/>
          <w:i/>
          <w:sz w:val="20"/>
          <w:szCs w:val="20"/>
          <w:lang w:val="es-ES_tradnl"/>
        </w:rPr>
        <w:t>Klisnak, Wisconsin, Wiwinak, San Jerónimo y Francia Sirpi</w:t>
      </w:r>
      <w:r w:rsidR="00C86C8E">
        <w:rPr>
          <w:rFonts w:ascii="Verdana" w:eastAsia="Times" w:hAnsi="Verdana"/>
          <w:sz w:val="20"/>
          <w:szCs w:val="20"/>
          <w:lang w:val="es-ES_tradnl"/>
        </w:rPr>
        <w:t xml:space="preserve">; ii) establecer una instancia u órgano que </w:t>
      </w:r>
      <w:r w:rsidRPr="00357BD1">
        <w:rPr>
          <w:rFonts w:ascii="Verdana" w:hAnsi="Verdana"/>
          <w:sz w:val="20"/>
          <w:szCs w:val="20"/>
          <w:lang w:val="es-GT"/>
        </w:rPr>
        <w:t>diagnosti</w:t>
      </w:r>
      <w:r w:rsidR="00C86C8E">
        <w:rPr>
          <w:rFonts w:ascii="Verdana" w:hAnsi="Verdana"/>
          <w:sz w:val="20"/>
          <w:szCs w:val="20"/>
          <w:lang w:val="es-GT"/>
        </w:rPr>
        <w:t>que</w:t>
      </w:r>
      <w:r w:rsidRPr="00357BD1">
        <w:rPr>
          <w:rFonts w:ascii="Verdana" w:hAnsi="Verdana"/>
          <w:sz w:val="20"/>
          <w:szCs w:val="20"/>
          <w:lang w:val="es-GT"/>
        </w:rPr>
        <w:t xml:space="preserve"> las fuentes del conflicto y propon</w:t>
      </w:r>
      <w:r w:rsidR="00C86C8E">
        <w:rPr>
          <w:rFonts w:ascii="Verdana" w:hAnsi="Verdana"/>
          <w:sz w:val="20"/>
          <w:szCs w:val="20"/>
          <w:lang w:val="es-GT"/>
        </w:rPr>
        <w:t>ga</w:t>
      </w:r>
      <w:r w:rsidRPr="00357BD1">
        <w:rPr>
          <w:rFonts w:ascii="Verdana" w:hAnsi="Verdana"/>
          <w:sz w:val="20"/>
          <w:szCs w:val="20"/>
          <w:lang w:val="es-GT"/>
        </w:rPr>
        <w:t xml:space="preserve"> las posibles vías de pacif</w:t>
      </w:r>
      <w:r w:rsidR="004F77AC" w:rsidRPr="00357BD1">
        <w:rPr>
          <w:rFonts w:ascii="Verdana" w:hAnsi="Verdana"/>
          <w:sz w:val="20"/>
          <w:szCs w:val="20"/>
          <w:lang w:val="es-GT"/>
        </w:rPr>
        <w:t xml:space="preserve">icación y solución del conflicto, </w:t>
      </w:r>
      <w:r w:rsidR="00C86C8E">
        <w:rPr>
          <w:rFonts w:ascii="Verdana" w:hAnsi="Verdana"/>
          <w:sz w:val="20"/>
          <w:szCs w:val="20"/>
          <w:lang w:val="es-GT"/>
        </w:rPr>
        <w:t>y</w:t>
      </w:r>
      <w:r w:rsidR="004F77AC" w:rsidRPr="00357BD1">
        <w:rPr>
          <w:rFonts w:ascii="Verdana" w:hAnsi="Verdana"/>
          <w:sz w:val="20"/>
          <w:szCs w:val="20"/>
          <w:lang w:val="es-GT"/>
        </w:rPr>
        <w:t xml:space="preserve"> </w:t>
      </w:r>
      <w:r w:rsidR="00C86C8E">
        <w:rPr>
          <w:rFonts w:ascii="Verdana" w:hAnsi="Verdana"/>
          <w:sz w:val="20"/>
          <w:szCs w:val="20"/>
          <w:lang w:val="es-GT"/>
        </w:rPr>
        <w:t xml:space="preserve">iii) </w:t>
      </w:r>
      <w:r w:rsidR="004F77AC" w:rsidRPr="00357BD1">
        <w:rPr>
          <w:rFonts w:ascii="Verdana" w:hAnsi="Verdana"/>
          <w:sz w:val="20"/>
          <w:szCs w:val="20"/>
          <w:lang w:val="es-GT"/>
        </w:rPr>
        <w:t>presentar un informe completo y pormenorizado sobre las actuaciones realizadas para dar cumplimiento a las medidas provisionales decretadas</w:t>
      </w:r>
      <w:r w:rsidRPr="004F77AC">
        <w:rPr>
          <w:rStyle w:val="FootnoteReference"/>
          <w:rFonts w:ascii="Verdana" w:hAnsi="Verdana"/>
          <w:sz w:val="20"/>
          <w:szCs w:val="20"/>
          <w:lang w:val="es-GT"/>
        </w:rPr>
        <w:footnoteReference w:id="1"/>
      </w:r>
      <w:r w:rsidR="00C86C8E">
        <w:rPr>
          <w:rFonts w:ascii="Verdana" w:hAnsi="Verdana"/>
          <w:sz w:val="20"/>
          <w:szCs w:val="20"/>
          <w:lang w:val="es-GT"/>
        </w:rPr>
        <w:t xml:space="preserve">. </w:t>
      </w:r>
      <w:r w:rsidRPr="00357BD1">
        <w:rPr>
          <w:rFonts w:ascii="Verdana" w:hAnsi="Verdana"/>
          <w:spacing w:val="-4"/>
          <w:sz w:val="20"/>
          <w:szCs w:val="20"/>
          <w:lang w:val="es-MX"/>
        </w:rPr>
        <w:t xml:space="preserve"> </w:t>
      </w:r>
    </w:p>
    <w:p w14:paraId="6F53F16C" w14:textId="77777777" w:rsidR="00DE692F" w:rsidRPr="000F7FBC" w:rsidRDefault="00DE692F" w:rsidP="00DE692F">
      <w:pPr>
        <w:tabs>
          <w:tab w:val="left" w:pos="0"/>
        </w:tabs>
        <w:spacing w:after="0" w:line="240" w:lineRule="auto"/>
        <w:ind w:right="18"/>
        <w:jc w:val="both"/>
        <w:rPr>
          <w:rFonts w:ascii="Verdana" w:hAnsi="Verdana"/>
          <w:spacing w:val="-4"/>
          <w:sz w:val="20"/>
          <w:szCs w:val="20"/>
          <w:lang w:val="es-MX"/>
        </w:rPr>
      </w:pPr>
    </w:p>
    <w:p w14:paraId="0261C223" w14:textId="0A8054F2" w:rsidR="00DE692F" w:rsidRPr="00DE692F" w:rsidRDefault="004F77AC" w:rsidP="00DE692F">
      <w:pPr>
        <w:numPr>
          <w:ilvl w:val="0"/>
          <w:numId w:val="4"/>
        </w:numPr>
        <w:tabs>
          <w:tab w:val="left" w:pos="0"/>
        </w:tabs>
        <w:spacing w:after="0" w:line="240" w:lineRule="auto"/>
        <w:ind w:left="0" w:right="18" w:firstLine="0"/>
        <w:jc w:val="both"/>
        <w:rPr>
          <w:rFonts w:ascii="Verdana" w:hAnsi="Verdana"/>
          <w:b/>
          <w:spacing w:val="-4"/>
          <w:sz w:val="20"/>
          <w:szCs w:val="20"/>
          <w:lang w:val="es-MX"/>
        </w:rPr>
      </w:pPr>
      <w:r>
        <w:rPr>
          <w:rFonts w:ascii="Verdana" w:hAnsi="Verdana"/>
          <w:spacing w:val="-4"/>
          <w:sz w:val="20"/>
          <w:szCs w:val="20"/>
          <w:lang w:val="es-MX"/>
        </w:rPr>
        <w:t xml:space="preserve"> L</w:t>
      </w:r>
      <w:r w:rsidR="00DE692F" w:rsidRPr="00DE692F">
        <w:rPr>
          <w:rFonts w:ascii="Verdana" w:hAnsi="Verdana"/>
          <w:spacing w:val="-4"/>
          <w:sz w:val="20"/>
          <w:szCs w:val="20"/>
          <w:lang w:val="es-MX"/>
        </w:rPr>
        <w:t>a resolución de la Corte de 23 de noviembre de 2016</w:t>
      </w:r>
      <w:r w:rsidR="00DE692F" w:rsidRPr="00DE692F">
        <w:rPr>
          <w:rStyle w:val="FootnoteReference"/>
          <w:rFonts w:ascii="Verdana" w:hAnsi="Verdana"/>
          <w:spacing w:val="-4"/>
          <w:sz w:val="20"/>
          <w:szCs w:val="20"/>
          <w:lang w:val="es-MX"/>
        </w:rPr>
        <w:footnoteReference w:id="2"/>
      </w:r>
      <w:r w:rsidR="00DE692F" w:rsidRPr="00DE692F">
        <w:rPr>
          <w:rFonts w:ascii="Verdana" w:hAnsi="Verdana"/>
          <w:spacing w:val="-4"/>
          <w:sz w:val="20"/>
          <w:szCs w:val="20"/>
          <w:lang w:val="es-MX"/>
        </w:rPr>
        <w:t xml:space="preserve">, mediante la cual </w:t>
      </w:r>
      <w:r>
        <w:rPr>
          <w:rFonts w:ascii="Verdana" w:hAnsi="Verdana"/>
          <w:spacing w:val="-4"/>
          <w:sz w:val="20"/>
          <w:szCs w:val="20"/>
          <w:lang w:val="es-MX"/>
        </w:rPr>
        <w:t xml:space="preserve">se </w:t>
      </w:r>
      <w:r w:rsidR="00DE692F" w:rsidRPr="00DE692F">
        <w:rPr>
          <w:rFonts w:ascii="Verdana" w:hAnsi="Verdana"/>
          <w:spacing w:val="-4"/>
          <w:sz w:val="20"/>
          <w:szCs w:val="20"/>
          <w:lang w:val="es-MX"/>
        </w:rPr>
        <w:t>res</w:t>
      </w:r>
      <w:r w:rsidR="00C86C8E">
        <w:rPr>
          <w:rFonts w:ascii="Verdana" w:hAnsi="Verdana"/>
          <w:spacing w:val="-4"/>
          <w:sz w:val="20"/>
          <w:szCs w:val="20"/>
          <w:lang w:val="es-MX"/>
        </w:rPr>
        <w:t>olvió</w:t>
      </w:r>
      <w:r w:rsidR="00DE692F" w:rsidRPr="00DE692F">
        <w:rPr>
          <w:rFonts w:ascii="Verdana" w:hAnsi="Verdana"/>
          <w:spacing w:val="-4"/>
          <w:sz w:val="20"/>
          <w:szCs w:val="20"/>
          <w:lang w:val="es-MX"/>
        </w:rPr>
        <w:t>:</w:t>
      </w:r>
    </w:p>
    <w:p w14:paraId="7B615C9A" w14:textId="77777777" w:rsidR="00DE692F" w:rsidRPr="00782034" w:rsidRDefault="00DE692F" w:rsidP="00DE692F">
      <w:pPr>
        <w:tabs>
          <w:tab w:val="left" w:pos="0"/>
        </w:tabs>
        <w:spacing w:after="0" w:line="240" w:lineRule="auto"/>
        <w:ind w:right="18"/>
        <w:jc w:val="both"/>
        <w:rPr>
          <w:rFonts w:ascii="Verdana" w:hAnsi="Verdana"/>
          <w:b/>
          <w:spacing w:val="-4"/>
          <w:sz w:val="20"/>
          <w:szCs w:val="20"/>
          <w:lang w:val="es-MX"/>
        </w:rPr>
      </w:pPr>
    </w:p>
    <w:p w14:paraId="612A805F" w14:textId="77777777" w:rsidR="00DE692F" w:rsidRPr="00782034" w:rsidRDefault="00DE692F" w:rsidP="00C86C8E">
      <w:pPr>
        <w:pStyle w:val="ListParagraph"/>
        <w:numPr>
          <w:ilvl w:val="0"/>
          <w:numId w:val="5"/>
        </w:numPr>
        <w:spacing w:before="20" w:after="20"/>
        <w:ind w:left="993" w:right="144" w:firstLine="0"/>
        <w:jc w:val="both"/>
        <w:rPr>
          <w:rFonts w:ascii="Verdana" w:hAnsi="Verdana"/>
          <w:sz w:val="18"/>
          <w:szCs w:val="18"/>
          <w:lang w:val="es-GT"/>
        </w:rPr>
      </w:pPr>
      <w:r w:rsidRPr="00782034">
        <w:rPr>
          <w:rFonts w:ascii="Verdana" w:hAnsi="Verdana"/>
          <w:sz w:val="18"/>
          <w:szCs w:val="18"/>
          <w:lang w:val="es-MX"/>
        </w:rPr>
        <w:t xml:space="preserve">Ampliar las medidas provisionales emitidas en el presente asunto, de tal forma que el Estado de Nicaragua incluya de manera inmediata dentro de las medidas ordenadas mediante Resolución de 1 de septiembre de 2016, a </w:t>
      </w:r>
      <w:r w:rsidRPr="00782034">
        <w:rPr>
          <w:rFonts w:ascii="Verdana" w:hAnsi="Verdana"/>
          <w:sz w:val="18"/>
          <w:szCs w:val="18"/>
        </w:rPr>
        <w:t xml:space="preserve">los miembros del pueblo indígena </w:t>
      </w:r>
      <w:r w:rsidRPr="00782034">
        <w:rPr>
          <w:rFonts w:ascii="Verdana" w:hAnsi="Verdana"/>
          <w:i/>
          <w:sz w:val="18"/>
          <w:szCs w:val="18"/>
        </w:rPr>
        <w:t xml:space="preserve">Miskitu </w:t>
      </w:r>
      <w:r w:rsidRPr="00782034">
        <w:rPr>
          <w:rFonts w:ascii="Verdana" w:hAnsi="Verdana"/>
          <w:sz w:val="18"/>
          <w:szCs w:val="18"/>
        </w:rPr>
        <w:t xml:space="preserve">que habitan en la </w:t>
      </w:r>
      <w:r w:rsidRPr="00782034">
        <w:rPr>
          <w:rFonts w:ascii="Verdana" w:hAnsi="Verdana"/>
          <w:i/>
          <w:sz w:val="18"/>
          <w:szCs w:val="18"/>
        </w:rPr>
        <w:t>Comunidad de</w:t>
      </w:r>
      <w:r w:rsidRPr="00782034">
        <w:rPr>
          <w:rFonts w:ascii="Verdana" w:hAnsi="Verdana"/>
          <w:sz w:val="18"/>
          <w:szCs w:val="18"/>
        </w:rPr>
        <w:t xml:space="preserve"> </w:t>
      </w:r>
      <w:r w:rsidRPr="00782034">
        <w:rPr>
          <w:rFonts w:ascii="Verdana" w:hAnsi="Verdana"/>
          <w:i/>
          <w:sz w:val="18"/>
          <w:szCs w:val="18"/>
        </w:rPr>
        <w:t>Esperanza Río Coco</w:t>
      </w:r>
      <w:r w:rsidRPr="00782034">
        <w:rPr>
          <w:rFonts w:ascii="Verdana" w:hAnsi="Verdana"/>
          <w:sz w:val="18"/>
          <w:szCs w:val="18"/>
        </w:rPr>
        <w:t>,</w:t>
      </w:r>
      <w:r w:rsidRPr="00782034">
        <w:rPr>
          <w:rFonts w:eastAsia="MS Mincho"/>
          <w:sz w:val="18"/>
          <w:szCs w:val="18"/>
          <w:lang w:val="es-MX"/>
        </w:rPr>
        <w:t xml:space="preserve"> </w:t>
      </w:r>
      <w:r w:rsidRPr="00782034">
        <w:rPr>
          <w:rFonts w:ascii="Verdana" w:hAnsi="Verdana"/>
          <w:sz w:val="18"/>
          <w:szCs w:val="18"/>
        </w:rPr>
        <w:t xml:space="preserve">así como a las personas que presuntamente hayan tenido que abandonar dicha comunidad y deseen regresar. </w:t>
      </w:r>
    </w:p>
    <w:p w14:paraId="368BBA04" w14:textId="77777777" w:rsidR="00DE692F" w:rsidRPr="00782034" w:rsidRDefault="00DE692F" w:rsidP="00C86C8E">
      <w:pPr>
        <w:spacing w:before="20" w:after="20" w:line="240" w:lineRule="auto"/>
        <w:ind w:left="993" w:right="144"/>
        <w:jc w:val="both"/>
        <w:rPr>
          <w:rFonts w:ascii="Verdana" w:hAnsi="Verdana"/>
          <w:sz w:val="18"/>
          <w:szCs w:val="18"/>
          <w:lang w:val="es-GT"/>
        </w:rPr>
      </w:pPr>
    </w:p>
    <w:p w14:paraId="296C0ECF" w14:textId="77777777" w:rsidR="00DE692F" w:rsidRPr="00782034" w:rsidRDefault="00DE692F" w:rsidP="00C86C8E">
      <w:pPr>
        <w:pStyle w:val="ListParagraph"/>
        <w:numPr>
          <w:ilvl w:val="0"/>
          <w:numId w:val="5"/>
        </w:numPr>
        <w:spacing w:before="20" w:after="20"/>
        <w:ind w:left="993" w:right="144" w:firstLine="0"/>
        <w:jc w:val="both"/>
        <w:rPr>
          <w:rFonts w:ascii="Verdana" w:hAnsi="Verdana"/>
          <w:sz w:val="18"/>
          <w:szCs w:val="18"/>
          <w:lang w:val="es-GT"/>
        </w:rPr>
      </w:pPr>
      <w:r w:rsidRPr="00782034">
        <w:rPr>
          <w:rFonts w:ascii="Verdana" w:hAnsi="Verdana"/>
          <w:sz w:val="18"/>
          <w:szCs w:val="18"/>
          <w:lang w:val="es-GT"/>
        </w:rPr>
        <w:t>Requerir al Estado adoptar las medidas necesarias, a fin de incluir a los beneficiarios de la presente ampliación,</w:t>
      </w:r>
      <w:r w:rsidRPr="00782034">
        <w:rPr>
          <w:rFonts w:ascii="Verdana" w:hAnsi="Verdana"/>
          <w:sz w:val="18"/>
          <w:szCs w:val="18"/>
        </w:rPr>
        <w:t xml:space="preserve"> en las demás medidas dispuestas por la Corte en su Resolución de 1 de septiembre de 2016, de conformidad con los Puntos Resolutivos 2, 3, 4 y 5 de la misma, especialmente mediante la debida implementación de las respectivas comisiones tomando en cuenta la participación de las comunidades afectadas. </w:t>
      </w:r>
    </w:p>
    <w:p w14:paraId="3180EF7F" w14:textId="77777777" w:rsidR="00DE692F" w:rsidRPr="00782034" w:rsidRDefault="00DE692F" w:rsidP="00C86C8E">
      <w:pPr>
        <w:spacing w:before="20" w:after="20" w:line="240" w:lineRule="auto"/>
        <w:ind w:left="993" w:right="144"/>
        <w:jc w:val="both"/>
        <w:rPr>
          <w:rFonts w:ascii="Verdana" w:hAnsi="Verdana"/>
          <w:sz w:val="18"/>
          <w:szCs w:val="18"/>
          <w:lang w:val="es-GT"/>
        </w:rPr>
      </w:pPr>
    </w:p>
    <w:p w14:paraId="3A709BE0" w14:textId="77777777" w:rsidR="00DE692F" w:rsidRPr="00AD51D9" w:rsidRDefault="00DE692F" w:rsidP="00C86C8E">
      <w:pPr>
        <w:pStyle w:val="ListParagraph"/>
        <w:numPr>
          <w:ilvl w:val="0"/>
          <w:numId w:val="5"/>
        </w:numPr>
        <w:tabs>
          <w:tab w:val="left" w:pos="0"/>
        </w:tabs>
        <w:spacing w:before="20" w:after="20"/>
        <w:ind w:left="993" w:right="144" w:firstLine="0"/>
        <w:jc w:val="both"/>
        <w:rPr>
          <w:rFonts w:ascii="Verdana" w:hAnsi="Verdana"/>
          <w:b/>
          <w:spacing w:val="-4"/>
          <w:sz w:val="18"/>
          <w:szCs w:val="18"/>
          <w:lang w:val="es-MX"/>
        </w:rPr>
      </w:pPr>
      <w:r w:rsidRPr="00782034">
        <w:rPr>
          <w:rFonts w:ascii="Verdana" w:hAnsi="Verdana"/>
          <w:sz w:val="18"/>
          <w:szCs w:val="18"/>
          <w:lang w:val="es-GT"/>
        </w:rPr>
        <w:t>Reiterar al Estado que remita información completa y pormenorizada sobre la implementación de las medidas provisionales adoptadas de conformidad con esta decisión y sus efectos, la cual deberá acompañar al diagnóstico sobre la situación actual de riesgo de las comunidades referentes, que deberá presentar a más tardar el 15 de diciembre de 2016, de conformidad con lo dispuesto en el Visto 14 de la presente Resolución</w:t>
      </w:r>
      <w:r>
        <w:rPr>
          <w:rFonts w:ascii="Verdana" w:hAnsi="Verdana"/>
          <w:sz w:val="18"/>
          <w:szCs w:val="18"/>
          <w:lang w:val="es-GT"/>
        </w:rPr>
        <w:t>.</w:t>
      </w:r>
    </w:p>
    <w:p w14:paraId="0D18B7D2" w14:textId="77777777" w:rsidR="00DE692F" w:rsidRPr="00AD51D9" w:rsidRDefault="00DE692F" w:rsidP="00DE692F">
      <w:pPr>
        <w:pStyle w:val="ListParagraph"/>
        <w:rPr>
          <w:rFonts w:ascii="Verdana" w:hAnsi="Verdana"/>
          <w:b/>
          <w:spacing w:val="-4"/>
          <w:sz w:val="18"/>
          <w:szCs w:val="18"/>
          <w:lang w:val="es-MX"/>
        </w:rPr>
      </w:pPr>
    </w:p>
    <w:p w14:paraId="0850A5CB" w14:textId="77777777" w:rsidR="00DE692F" w:rsidRDefault="00DE692F" w:rsidP="00DE692F">
      <w:pPr>
        <w:spacing w:before="20" w:after="20" w:line="240" w:lineRule="auto"/>
        <w:ind w:left="997" w:right="18" w:firstLine="40"/>
        <w:jc w:val="both"/>
        <w:rPr>
          <w:rFonts w:ascii="Verdana" w:hAnsi="Verdana"/>
          <w:sz w:val="18"/>
          <w:szCs w:val="18"/>
          <w:lang w:val="es-GT"/>
        </w:rPr>
      </w:pPr>
      <w:r>
        <w:rPr>
          <w:rFonts w:ascii="Verdana" w:hAnsi="Verdana"/>
          <w:sz w:val="18"/>
          <w:szCs w:val="18"/>
          <w:lang w:val="es-GT"/>
        </w:rPr>
        <w:lastRenderedPageBreak/>
        <w:t>[…]</w:t>
      </w:r>
    </w:p>
    <w:p w14:paraId="65CA8E6C" w14:textId="77777777" w:rsidR="00DE692F" w:rsidRDefault="00DE692F" w:rsidP="00DE692F">
      <w:pPr>
        <w:spacing w:before="20" w:after="20" w:line="240" w:lineRule="auto"/>
        <w:ind w:left="997" w:right="18" w:firstLine="40"/>
        <w:jc w:val="both"/>
        <w:rPr>
          <w:rFonts w:ascii="Verdana" w:hAnsi="Verdana"/>
          <w:sz w:val="18"/>
          <w:szCs w:val="18"/>
          <w:lang w:val="es-GT"/>
        </w:rPr>
      </w:pPr>
    </w:p>
    <w:p w14:paraId="18F5208F" w14:textId="7847814E" w:rsidR="00DE692F" w:rsidRPr="00DE692F" w:rsidRDefault="00DE692F" w:rsidP="00DE692F">
      <w:pPr>
        <w:pStyle w:val="ListParagraph"/>
        <w:numPr>
          <w:ilvl w:val="0"/>
          <w:numId w:val="4"/>
        </w:numPr>
        <w:spacing w:before="20" w:after="20"/>
        <w:ind w:left="0" w:right="18" w:firstLine="0"/>
        <w:jc w:val="both"/>
        <w:rPr>
          <w:rFonts w:ascii="Verdana" w:hAnsi="Verdana"/>
          <w:sz w:val="20"/>
          <w:lang w:val="es-GT"/>
        </w:rPr>
      </w:pPr>
      <w:r w:rsidRPr="00DE692F">
        <w:rPr>
          <w:rFonts w:ascii="Verdana" w:eastAsia="MS Mincho" w:hAnsi="Verdana"/>
          <w:sz w:val="20"/>
          <w:lang w:val="es-VE"/>
        </w:rPr>
        <w:t>El escrito de</w:t>
      </w:r>
      <w:r w:rsidRPr="00DE692F">
        <w:rPr>
          <w:rFonts w:ascii="Verdana" w:eastAsia="MS Mincho" w:hAnsi="Verdana"/>
          <w:sz w:val="20"/>
          <w:lang w:val="es-GT"/>
        </w:rPr>
        <w:t xml:space="preserve"> 16 de junio de 2017, mediante el cual </w:t>
      </w:r>
      <w:r w:rsidRPr="00DE692F">
        <w:rPr>
          <w:rFonts w:ascii="Verdana" w:hAnsi="Verdana"/>
          <w:spacing w:val="-4"/>
          <w:sz w:val="20"/>
          <w:lang w:val="es-MX"/>
        </w:rPr>
        <w:t>la Comisión Interamericana de Derechos Humanos (en adelante también “la Comisión” o “la Comisión Interamericana”) presentó una solicitud de ampliación de medidas provisionales conforme al artículo 63.2 de la Convención Americana sobre Derechos Humanos (en adelante “la Convención Americana” o “la Convención”) y los artículos 27.1 y 27.2 del Reglamento de la Corte, con la finalidad de que ésta “orde[nara] al Estado de Nicaragua proteger y garantizar la vida, integridad personal y territorial e identidad cultural en favor [de] los miembros de la Comunidad de Esperanza Río Wawa”</w:t>
      </w:r>
      <w:r w:rsidR="00C86C8E">
        <w:rPr>
          <w:rFonts w:ascii="Verdana" w:hAnsi="Verdana"/>
          <w:spacing w:val="-4"/>
          <w:sz w:val="20"/>
          <w:lang w:val="es-MX"/>
        </w:rPr>
        <w:t>.</w:t>
      </w:r>
    </w:p>
    <w:p w14:paraId="0EEED030" w14:textId="77777777" w:rsidR="00DE692F" w:rsidRPr="00DE692F" w:rsidRDefault="00DE692F" w:rsidP="00DE692F">
      <w:pPr>
        <w:pStyle w:val="ListParagraph"/>
        <w:spacing w:before="20" w:after="20"/>
        <w:ind w:left="0" w:right="18"/>
        <w:jc w:val="both"/>
        <w:rPr>
          <w:rFonts w:ascii="Verdana" w:hAnsi="Verdana"/>
          <w:sz w:val="20"/>
          <w:lang w:val="es-GT"/>
        </w:rPr>
      </w:pPr>
    </w:p>
    <w:p w14:paraId="69165A2D" w14:textId="77777777" w:rsidR="00DE692F" w:rsidRPr="00DE692F" w:rsidRDefault="00DE692F" w:rsidP="00DE692F">
      <w:pPr>
        <w:pStyle w:val="ListParagraph"/>
        <w:numPr>
          <w:ilvl w:val="0"/>
          <w:numId w:val="4"/>
        </w:numPr>
        <w:spacing w:before="20" w:after="20"/>
        <w:ind w:left="0" w:right="18" w:firstLine="0"/>
        <w:jc w:val="both"/>
        <w:rPr>
          <w:rFonts w:ascii="Verdana" w:eastAsiaTheme="minorHAnsi" w:hAnsi="Verdana"/>
          <w:sz w:val="20"/>
          <w:lang w:val="es-GT"/>
        </w:rPr>
      </w:pPr>
      <w:r w:rsidRPr="00DE692F">
        <w:rPr>
          <w:rFonts w:ascii="Verdana" w:eastAsia="MS Mincho" w:hAnsi="Verdana"/>
          <w:sz w:val="20"/>
          <w:lang w:val="es-VE"/>
        </w:rPr>
        <w:t xml:space="preserve">La nota de Secretaría de 19 de junio de 2017 mediante la cual, </w:t>
      </w:r>
      <w:r w:rsidRPr="00DE692F">
        <w:rPr>
          <w:rFonts w:ascii="Verdana" w:hAnsi="Verdana"/>
          <w:spacing w:val="-4"/>
          <w:sz w:val="20"/>
          <w:lang w:val="es-CR"/>
        </w:rPr>
        <w:t>siguiendo</w:t>
      </w:r>
      <w:r w:rsidRPr="00DE692F">
        <w:rPr>
          <w:rFonts w:ascii="Verdana" w:eastAsia="MS Mincho" w:hAnsi="Verdana"/>
          <w:sz w:val="20"/>
          <w:lang w:val="es-VE"/>
        </w:rPr>
        <w:t xml:space="preserve"> instrucciones del Presidente del Tribunal, se remitió al Estado de </w:t>
      </w:r>
      <w:r w:rsidRPr="00DE692F">
        <w:rPr>
          <w:rFonts w:ascii="Verdana" w:hAnsi="Verdana"/>
          <w:spacing w:val="-4"/>
          <w:sz w:val="20"/>
          <w:lang w:val="es-MX"/>
        </w:rPr>
        <w:t>Nicaragua (en adelante “el Estado” o “Nicaragua”)</w:t>
      </w:r>
      <w:r w:rsidRPr="00DE692F">
        <w:rPr>
          <w:rFonts w:ascii="Verdana" w:eastAsia="MS Mincho" w:hAnsi="Verdana"/>
          <w:sz w:val="20"/>
          <w:lang w:val="es-VE"/>
        </w:rPr>
        <w:t xml:space="preserve"> la solicitud de ampliación de medidas provisionales</w:t>
      </w:r>
      <w:r w:rsidRPr="00DE692F">
        <w:rPr>
          <w:rFonts w:ascii="Verdana" w:hAnsi="Verdana"/>
          <w:spacing w:val="-4"/>
          <w:sz w:val="20"/>
          <w:lang w:val="es-MX"/>
        </w:rPr>
        <w:t xml:space="preserve"> y se otorgó un plazo </w:t>
      </w:r>
      <w:r w:rsidRPr="00DE692F">
        <w:rPr>
          <w:rFonts w:ascii="Verdana" w:eastAsia="MS Mincho" w:hAnsi="Verdana"/>
          <w:sz w:val="20"/>
          <w:lang w:val="es-VE"/>
        </w:rPr>
        <w:t>hasta el 26 de junio de 2017 para que remitiera a la Corte información precisa sobre la situación planteada por la Comisión, así como sobre las medidas específicas adoptadas por el Estado al respecto.</w:t>
      </w:r>
    </w:p>
    <w:p w14:paraId="04A3CF63" w14:textId="77777777" w:rsidR="00DE692F" w:rsidRPr="00DE692F" w:rsidRDefault="00DE692F" w:rsidP="00DE692F">
      <w:pPr>
        <w:pStyle w:val="ListParagraph"/>
        <w:rPr>
          <w:rFonts w:ascii="Verdana" w:hAnsi="Verdana"/>
          <w:spacing w:val="-4"/>
          <w:sz w:val="20"/>
          <w:lang w:val="es-CR"/>
        </w:rPr>
      </w:pPr>
    </w:p>
    <w:p w14:paraId="27493D2B" w14:textId="2676885C" w:rsidR="00C86C8E" w:rsidRPr="00417F64" w:rsidRDefault="00DE692F" w:rsidP="00417F64">
      <w:pPr>
        <w:pStyle w:val="ListParagraph"/>
        <w:widowControl w:val="0"/>
        <w:numPr>
          <w:ilvl w:val="0"/>
          <w:numId w:val="4"/>
        </w:numPr>
        <w:autoSpaceDE w:val="0"/>
        <w:autoSpaceDN w:val="0"/>
        <w:adjustRightInd w:val="0"/>
        <w:spacing w:before="20" w:after="20"/>
        <w:ind w:left="0" w:right="18" w:firstLine="0"/>
        <w:jc w:val="both"/>
        <w:rPr>
          <w:rFonts w:ascii="Verdana" w:eastAsiaTheme="minorHAnsi" w:hAnsi="Verdana"/>
          <w:sz w:val="20"/>
          <w:lang w:val="es-GT"/>
        </w:rPr>
      </w:pPr>
      <w:r w:rsidRPr="00417F64">
        <w:rPr>
          <w:rFonts w:ascii="Verdana" w:hAnsi="Verdana"/>
          <w:spacing w:val="-4"/>
          <w:sz w:val="20"/>
          <w:lang w:val="es-CR"/>
        </w:rPr>
        <w:t>La comunicación de 27 de junio de</w:t>
      </w:r>
      <w:r w:rsidR="00C86C8E" w:rsidRPr="00417F64">
        <w:rPr>
          <w:rFonts w:ascii="Verdana" w:hAnsi="Verdana"/>
          <w:spacing w:val="-4"/>
          <w:sz w:val="20"/>
          <w:lang w:val="es-CR"/>
        </w:rPr>
        <w:t xml:space="preserve"> 2017</w:t>
      </w:r>
      <w:r w:rsidRPr="00417F64">
        <w:rPr>
          <w:rFonts w:ascii="Verdana" w:hAnsi="Verdana"/>
          <w:spacing w:val="-4"/>
          <w:sz w:val="20"/>
          <w:lang w:val="es-CR"/>
        </w:rPr>
        <w:t xml:space="preserve">, mediante la cual el Estado </w:t>
      </w:r>
      <w:r w:rsidR="00C86C8E" w:rsidRPr="00417F64">
        <w:rPr>
          <w:rFonts w:ascii="Verdana" w:hAnsi="Verdana"/>
          <w:spacing w:val="-4"/>
          <w:sz w:val="20"/>
          <w:lang w:val="es-CR"/>
        </w:rPr>
        <w:t xml:space="preserve">remitió </w:t>
      </w:r>
      <w:r w:rsidRPr="00417F64">
        <w:rPr>
          <w:rFonts w:ascii="Verdana" w:hAnsi="Verdana"/>
          <w:spacing w:val="-4"/>
          <w:sz w:val="20"/>
          <w:lang w:val="es-CR"/>
        </w:rPr>
        <w:t xml:space="preserve">el Informe </w:t>
      </w:r>
      <w:r w:rsidR="00C86C8E">
        <w:rPr>
          <w:rFonts w:ascii="Verdana" w:hAnsi="Verdana"/>
          <w:spacing w:val="-4"/>
          <w:sz w:val="20"/>
          <w:lang w:val="es-CR"/>
        </w:rPr>
        <w:t xml:space="preserve">periódico </w:t>
      </w:r>
      <w:r w:rsidRPr="00417F64">
        <w:rPr>
          <w:rFonts w:ascii="Verdana" w:hAnsi="Verdana"/>
          <w:spacing w:val="-4"/>
          <w:sz w:val="20"/>
          <w:lang w:val="es-CR"/>
        </w:rPr>
        <w:t xml:space="preserve">del Estado de Nicaragua sobre el cumplimiento de las medidas provisionales </w:t>
      </w:r>
      <w:r w:rsidR="00C86C8E" w:rsidRPr="00417F64">
        <w:rPr>
          <w:rFonts w:ascii="Verdana" w:hAnsi="Verdana"/>
          <w:spacing w:val="-4"/>
          <w:sz w:val="20"/>
          <w:lang w:val="es-CR"/>
        </w:rPr>
        <w:t xml:space="preserve">a favor </w:t>
      </w:r>
      <w:r w:rsidRPr="00417F64">
        <w:rPr>
          <w:rFonts w:ascii="Verdana" w:hAnsi="Verdana"/>
          <w:spacing w:val="-4"/>
          <w:sz w:val="20"/>
          <w:lang w:val="es-CR"/>
        </w:rPr>
        <w:t xml:space="preserve">de las comunidades del </w:t>
      </w:r>
      <w:r w:rsidR="00C86C8E" w:rsidRPr="00417F64">
        <w:rPr>
          <w:rFonts w:ascii="Verdana" w:hAnsi="Verdana"/>
          <w:spacing w:val="-4"/>
          <w:sz w:val="20"/>
          <w:lang w:val="es-CR"/>
        </w:rPr>
        <w:t>P</w:t>
      </w:r>
      <w:r w:rsidRPr="00417F64">
        <w:rPr>
          <w:rFonts w:ascii="Verdana" w:hAnsi="Verdana"/>
          <w:spacing w:val="-4"/>
          <w:sz w:val="20"/>
          <w:lang w:val="es-CR"/>
        </w:rPr>
        <w:t xml:space="preserve">ueblo </w:t>
      </w:r>
      <w:r w:rsidR="00C86C8E" w:rsidRPr="00417F64">
        <w:rPr>
          <w:rFonts w:ascii="Verdana" w:hAnsi="Verdana"/>
          <w:spacing w:val="-4"/>
          <w:sz w:val="20"/>
          <w:lang w:val="es-CR"/>
        </w:rPr>
        <w:t>I</w:t>
      </w:r>
      <w:r w:rsidRPr="00417F64">
        <w:rPr>
          <w:rFonts w:ascii="Verdana" w:hAnsi="Verdana"/>
          <w:spacing w:val="-4"/>
          <w:sz w:val="20"/>
          <w:lang w:val="es-CR"/>
        </w:rPr>
        <w:t xml:space="preserve">ndígena Miskitu </w:t>
      </w:r>
      <w:r w:rsidR="00C86C8E" w:rsidRPr="00417F64">
        <w:rPr>
          <w:rFonts w:ascii="Verdana" w:hAnsi="Verdana"/>
          <w:spacing w:val="-4"/>
          <w:sz w:val="20"/>
          <w:lang w:val="es-CR"/>
        </w:rPr>
        <w:t>de</w:t>
      </w:r>
      <w:r w:rsidRPr="00417F64">
        <w:rPr>
          <w:rFonts w:ascii="Verdana" w:hAnsi="Verdana"/>
          <w:spacing w:val="-4"/>
          <w:sz w:val="20"/>
          <w:lang w:val="es-CR"/>
        </w:rPr>
        <w:t xml:space="preserve"> la </w:t>
      </w:r>
      <w:r w:rsidR="00C86C8E" w:rsidRPr="00417F64">
        <w:rPr>
          <w:rFonts w:ascii="Verdana" w:hAnsi="Verdana"/>
          <w:spacing w:val="-4"/>
          <w:sz w:val="20"/>
          <w:lang w:val="es-CR"/>
        </w:rPr>
        <w:t>C</w:t>
      </w:r>
      <w:r w:rsidRPr="00417F64">
        <w:rPr>
          <w:rFonts w:ascii="Verdana" w:hAnsi="Verdana"/>
          <w:spacing w:val="-4"/>
          <w:sz w:val="20"/>
          <w:lang w:val="es-CR"/>
        </w:rPr>
        <w:t>osta Caribe</w:t>
      </w:r>
      <w:r w:rsidR="00C86C8E">
        <w:rPr>
          <w:rFonts w:ascii="Verdana" w:hAnsi="Verdana"/>
          <w:spacing w:val="-4"/>
          <w:sz w:val="20"/>
          <w:lang w:val="es-CR"/>
        </w:rPr>
        <w:t xml:space="preserve">. Asimismo, se pronunció sobre </w:t>
      </w:r>
      <w:r w:rsidRPr="00417F64">
        <w:rPr>
          <w:rFonts w:ascii="Verdana" w:hAnsi="Verdana"/>
          <w:spacing w:val="-4"/>
          <w:sz w:val="20"/>
          <w:lang w:val="es-CR"/>
        </w:rPr>
        <w:t xml:space="preserve"> la </w:t>
      </w:r>
      <w:r w:rsidR="00C86C8E">
        <w:rPr>
          <w:rFonts w:ascii="Verdana" w:hAnsi="Verdana"/>
          <w:spacing w:val="-4"/>
          <w:sz w:val="20"/>
          <w:lang w:val="es-CR"/>
        </w:rPr>
        <w:t xml:space="preserve">solicitud de </w:t>
      </w:r>
      <w:r w:rsidRPr="00417F64">
        <w:rPr>
          <w:rFonts w:ascii="Verdana" w:hAnsi="Verdana"/>
          <w:spacing w:val="-4"/>
          <w:sz w:val="20"/>
          <w:lang w:val="es-CR"/>
        </w:rPr>
        <w:t>ampliación de las medidas provisionales a favor de la Comunidad Indígena Miskitu de La Esperanza Río Wawa</w:t>
      </w:r>
      <w:r w:rsidR="00C86C8E" w:rsidRPr="00417F64">
        <w:rPr>
          <w:rFonts w:ascii="Verdana" w:hAnsi="Verdana"/>
          <w:spacing w:val="-4"/>
          <w:sz w:val="20"/>
          <w:lang w:val="es-CR"/>
        </w:rPr>
        <w:t>.</w:t>
      </w:r>
      <w:r w:rsidRPr="00417F64">
        <w:rPr>
          <w:rFonts w:ascii="Verdana" w:hAnsi="Verdana"/>
          <w:spacing w:val="-4"/>
          <w:sz w:val="20"/>
          <w:lang w:val="es-CR"/>
        </w:rPr>
        <w:t xml:space="preserve"> </w:t>
      </w:r>
    </w:p>
    <w:p w14:paraId="5E5E41C1" w14:textId="77777777" w:rsidR="004E0E39" w:rsidRPr="00C86C8E" w:rsidRDefault="004E0E39" w:rsidP="00417F64">
      <w:pPr>
        <w:pStyle w:val="ListParagraph"/>
        <w:widowControl w:val="0"/>
        <w:autoSpaceDE w:val="0"/>
        <w:autoSpaceDN w:val="0"/>
        <w:adjustRightInd w:val="0"/>
        <w:spacing w:before="20" w:after="20"/>
        <w:ind w:left="0" w:right="18"/>
        <w:jc w:val="both"/>
        <w:rPr>
          <w:rFonts w:cs="Verdana"/>
          <w:b/>
          <w:sz w:val="20"/>
          <w:highlight w:val="yellow"/>
          <w:lang w:val="es-MX"/>
        </w:rPr>
      </w:pPr>
    </w:p>
    <w:p w14:paraId="6F4328A9" w14:textId="7E7BBBAD" w:rsidR="004E0E39" w:rsidRDefault="004E0E39" w:rsidP="00A9169B">
      <w:pPr>
        <w:pStyle w:val="Prrafodelista1"/>
        <w:widowControl w:val="0"/>
        <w:autoSpaceDE w:val="0"/>
        <w:autoSpaceDN w:val="0"/>
        <w:adjustRightInd w:val="0"/>
        <w:jc w:val="both"/>
        <w:rPr>
          <w:rFonts w:cs="Verdana"/>
          <w:b/>
          <w:sz w:val="20"/>
          <w:szCs w:val="20"/>
          <w:lang w:val="es-MX"/>
        </w:rPr>
      </w:pPr>
      <w:r w:rsidRPr="00DE692F">
        <w:rPr>
          <w:rFonts w:cs="Verdana"/>
          <w:b/>
          <w:sz w:val="20"/>
          <w:szCs w:val="20"/>
          <w:lang w:val="es-MX"/>
        </w:rPr>
        <w:t>CONSIDERANDO QUE:</w:t>
      </w:r>
      <w:r w:rsidRPr="004E0E39">
        <w:rPr>
          <w:rFonts w:cs="Verdana"/>
          <w:b/>
          <w:sz w:val="20"/>
          <w:szCs w:val="20"/>
          <w:lang w:val="es-MX"/>
        </w:rPr>
        <w:t xml:space="preserve"> </w:t>
      </w:r>
    </w:p>
    <w:p w14:paraId="69BA2EF9" w14:textId="77777777" w:rsidR="00DE692F" w:rsidRPr="00095453" w:rsidRDefault="00DE692F" w:rsidP="00DE692F">
      <w:pPr>
        <w:tabs>
          <w:tab w:val="left" w:pos="567"/>
        </w:tabs>
        <w:spacing w:after="0" w:line="240" w:lineRule="auto"/>
        <w:jc w:val="both"/>
        <w:rPr>
          <w:rFonts w:ascii="Verdana" w:hAnsi="Verdana"/>
          <w:b/>
          <w:spacing w:val="-4"/>
          <w:sz w:val="20"/>
          <w:szCs w:val="20"/>
          <w:lang w:val="es-MX"/>
        </w:rPr>
      </w:pPr>
    </w:p>
    <w:p w14:paraId="26A8F0B5" w14:textId="77777777" w:rsidR="00DE692F" w:rsidRPr="00DE692F" w:rsidRDefault="00DE692F" w:rsidP="00DE692F">
      <w:pPr>
        <w:pStyle w:val="Prrafodelista1"/>
        <w:numPr>
          <w:ilvl w:val="0"/>
          <w:numId w:val="1"/>
        </w:numPr>
        <w:tabs>
          <w:tab w:val="clear" w:pos="1068"/>
          <w:tab w:val="left" w:pos="720"/>
        </w:tabs>
        <w:ind w:left="0" w:firstLine="0"/>
        <w:jc w:val="both"/>
        <w:rPr>
          <w:sz w:val="20"/>
          <w:szCs w:val="20"/>
        </w:rPr>
      </w:pPr>
      <w:r w:rsidRPr="00DE692F">
        <w:rPr>
          <w:sz w:val="20"/>
          <w:szCs w:val="20"/>
        </w:rPr>
        <w:t>Nicaragua ratificó la Convención Americana sobre Derechos Humanos (en adelante también “la Convención Americana” o “la Convención”) el 25 de septiembre de 1979 y, de acuerdo con su artículo 62, reconoció la competencia contenciosa de la Corte el 12 de febrero de 1991.</w:t>
      </w:r>
    </w:p>
    <w:p w14:paraId="3A2718F6" w14:textId="77777777" w:rsidR="00DE692F" w:rsidRPr="00DE692F" w:rsidRDefault="00DE692F" w:rsidP="00DE692F">
      <w:pPr>
        <w:pStyle w:val="Prrafodelista1"/>
        <w:tabs>
          <w:tab w:val="num" w:pos="360"/>
        </w:tabs>
        <w:ind w:left="360"/>
        <w:jc w:val="both"/>
        <w:rPr>
          <w:sz w:val="20"/>
          <w:szCs w:val="20"/>
        </w:rPr>
      </w:pPr>
    </w:p>
    <w:p w14:paraId="08F55A9B" w14:textId="77777777" w:rsidR="00DE692F" w:rsidRPr="00DE692F" w:rsidRDefault="00DE692F" w:rsidP="00DE692F">
      <w:pPr>
        <w:pStyle w:val="Prrafodelista1"/>
        <w:numPr>
          <w:ilvl w:val="0"/>
          <w:numId w:val="1"/>
        </w:numPr>
        <w:tabs>
          <w:tab w:val="clear" w:pos="1068"/>
          <w:tab w:val="left" w:pos="720"/>
        </w:tabs>
        <w:ind w:left="0" w:firstLine="0"/>
        <w:jc w:val="both"/>
        <w:rPr>
          <w:sz w:val="20"/>
          <w:szCs w:val="20"/>
        </w:rPr>
      </w:pPr>
      <w:r w:rsidRPr="00DE692F">
        <w:rPr>
          <w:sz w:val="20"/>
          <w:szCs w:val="20"/>
        </w:rPr>
        <w:t>El artículo 63.2 de la Convención establece que “[e]n casos de extrema gravedad y urgencia, y cuando se haga necesario evitar daños irreparables a las personas”, la Corte podrá tomar, a solicitud de la Comisión, las medidas provisionales que considere pertinentes en los asuntos que aún no estén sometidos a su conocimiento. Asimismo, el artículo 27.2 del Reglamento de la Corte señala que: “[s]i se tratare de asuntos aún no sometidos a su conocimiento, la Corte podrá actuar a solicitud de la Comisión”.</w:t>
      </w:r>
    </w:p>
    <w:p w14:paraId="47A1997D" w14:textId="77777777" w:rsidR="00DE692F" w:rsidRPr="00DE692F" w:rsidRDefault="00DE692F" w:rsidP="00DE692F">
      <w:pPr>
        <w:pStyle w:val="Prrafodelista1"/>
        <w:tabs>
          <w:tab w:val="left" w:pos="720"/>
        </w:tabs>
        <w:jc w:val="both"/>
        <w:rPr>
          <w:sz w:val="20"/>
          <w:szCs w:val="20"/>
        </w:rPr>
      </w:pPr>
    </w:p>
    <w:p w14:paraId="1D8A3E8F" w14:textId="77777777" w:rsidR="00DE692F" w:rsidRPr="00DE692F" w:rsidRDefault="00DE692F" w:rsidP="00DE692F">
      <w:pPr>
        <w:pStyle w:val="Prrafodelista1"/>
        <w:numPr>
          <w:ilvl w:val="0"/>
          <w:numId w:val="1"/>
        </w:numPr>
        <w:tabs>
          <w:tab w:val="clear" w:pos="1068"/>
          <w:tab w:val="left" w:pos="720"/>
        </w:tabs>
        <w:ind w:left="0" w:firstLine="0"/>
        <w:jc w:val="both"/>
        <w:rPr>
          <w:sz w:val="20"/>
          <w:szCs w:val="20"/>
        </w:rPr>
      </w:pPr>
      <w:r w:rsidRPr="00DE692F">
        <w:rPr>
          <w:sz w:val="20"/>
          <w:szCs w:val="20"/>
        </w:rPr>
        <w:t>En el Derecho Internacional de los Derechos Humanos las medidas provisionales 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 la prevención de daños irreparables a las personas. De esta manera, las medidas provisionales se transforman en una verdadera garantía jurisdiccional de carácter preventivo</w:t>
      </w:r>
      <w:r w:rsidRPr="00DE692F">
        <w:rPr>
          <w:rStyle w:val="FootnoteReference"/>
          <w:sz w:val="20"/>
          <w:szCs w:val="20"/>
        </w:rPr>
        <w:footnoteReference w:id="3"/>
      </w:r>
      <w:r w:rsidRPr="00DE692F">
        <w:rPr>
          <w:sz w:val="20"/>
          <w:szCs w:val="20"/>
        </w:rPr>
        <w:t xml:space="preserve">. </w:t>
      </w:r>
    </w:p>
    <w:p w14:paraId="5B8EA7E0" w14:textId="77777777" w:rsidR="00DE692F" w:rsidRPr="00DE692F" w:rsidRDefault="00DE692F" w:rsidP="00DE692F">
      <w:pPr>
        <w:pStyle w:val="ListParagraph"/>
        <w:rPr>
          <w:sz w:val="20"/>
          <w:lang w:val="es-MX"/>
        </w:rPr>
      </w:pPr>
    </w:p>
    <w:p w14:paraId="490CE5E6" w14:textId="77777777" w:rsidR="00DE692F" w:rsidRPr="00DE692F" w:rsidRDefault="00DE692F" w:rsidP="00DE692F">
      <w:pPr>
        <w:pStyle w:val="ListParagraph"/>
        <w:rPr>
          <w:rFonts w:cs="Verdana"/>
          <w:bCs/>
          <w:color w:val="000000"/>
          <w:sz w:val="20"/>
        </w:rPr>
      </w:pPr>
    </w:p>
    <w:p w14:paraId="0EDC925B" w14:textId="47677C5F" w:rsidR="00DE692F" w:rsidRPr="00DE692F" w:rsidRDefault="00DE692F" w:rsidP="00DE692F">
      <w:pPr>
        <w:pStyle w:val="Prrafodelista1"/>
        <w:numPr>
          <w:ilvl w:val="0"/>
          <w:numId w:val="1"/>
        </w:numPr>
        <w:tabs>
          <w:tab w:val="clear" w:pos="1068"/>
          <w:tab w:val="left" w:pos="720"/>
        </w:tabs>
        <w:ind w:left="0" w:firstLine="0"/>
        <w:jc w:val="both"/>
        <w:rPr>
          <w:sz w:val="20"/>
          <w:szCs w:val="20"/>
          <w:lang w:val="es-CL"/>
        </w:rPr>
      </w:pPr>
      <w:r w:rsidRPr="00DE692F">
        <w:rPr>
          <w:rFonts w:cs="Verdana"/>
          <w:bCs/>
          <w:color w:val="000000"/>
          <w:sz w:val="20"/>
          <w:szCs w:val="20"/>
          <w:lang w:val="es-ES_tradnl"/>
        </w:rPr>
        <w:lastRenderedPageBreak/>
        <w:t>En vista de la información remitida, a continuación la Corte se pronunciará sobre</w:t>
      </w:r>
      <w:r w:rsidR="00C86C8E">
        <w:rPr>
          <w:rFonts w:cs="Verdana"/>
          <w:bCs/>
          <w:color w:val="000000"/>
          <w:sz w:val="20"/>
          <w:szCs w:val="20"/>
          <w:lang w:val="es-ES_tradnl"/>
        </w:rPr>
        <w:t xml:space="preserve"> </w:t>
      </w:r>
      <w:r w:rsidRPr="00DE692F">
        <w:rPr>
          <w:rFonts w:cs="Verdana"/>
          <w:bCs/>
          <w:color w:val="000000"/>
          <w:sz w:val="20"/>
          <w:szCs w:val="20"/>
          <w:lang w:val="es-ES_tradnl"/>
        </w:rPr>
        <w:t xml:space="preserve">la solicitud de ampliación de las medidas provisionales en favor de la </w:t>
      </w:r>
      <w:r w:rsidRPr="00DE692F">
        <w:rPr>
          <w:rFonts w:cs="Verdana"/>
          <w:bCs/>
          <w:i/>
          <w:color w:val="000000"/>
          <w:sz w:val="20"/>
          <w:szCs w:val="20"/>
          <w:lang w:val="es-ES_tradnl"/>
        </w:rPr>
        <w:t>Comunidad Esperanza Río Wawa</w:t>
      </w:r>
      <w:r w:rsidR="00C86C8E">
        <w:rPr>
          <w:color w:val="000000"/>
          <w:sz w:val="20"/>
          <w:szCs w:val="20"/>
          <w:lang w:val="es-ES_tradnl"/>
        </w:rPr>
        <w:t>.</w:t>
      </w:r>
    </w:p>
    <w:p w14:paraId="61833E48" w14:textId="77777777" w:rsidR="003E7D29" w:rsidRDefault="003E7D29" w:rsidP="00A9169B">
      <w:pPr>
        <w:pStyle w:val="Prrafodelista1"/>
        <w:widowControl w:val="0"/>
        <w:autoSpaceDE w:val="0"/>
        <w:autoSpaceDN w:val="0"/>
        <w:adjustRightInd w:val="0"/>
        <w:jc w:val="both"/>
        <w:rPr>
          <w:rFonts w:cs="Verdana"/>
          <w:sz w:val="20"/>
          <w:szCs w:val="20"/>
          <w:lang w:val="es-CL"/>
        </w:rPr>
      </w:pPr>
    </w:p>
    <w:p w14:paraId="2901BB5A" w14:textId="77777777" w:rsidR="00172ADD" w:rsidRPr="008818D3" w:rsidRDefault="00172ADD" w:rsidP="00172ADD">
      <w:pPr>
        <w:pStyle w:val="Prrafodelista1"/>
        <w:numPr>
          <w:ilvl w:val="0"/>
          <w:numId w:val="7"/>
        </w:numPr>
        <w:jc w:val="both"/>
        <w:rPr>
          <w:b/>
          <w:i/>
          <w:sz w:val="20"/>
          <w:szCs w:val="20"/>
        </w:rPr>
      </w:pPr>
      <w:r w:rsidRPr="008818D3">
        <w:rPr>
          <w:b/>
          <w:i/>
          <w:sz w:val="20"/>
          <w:szCs w:val="20"/>
        </w:rPr>
        <w:t xml:space="preserve">Solicitud </w:t>
      </w:r>
      <w:r>
        <w:rPr>
          <w:b/>
          <w:i/>
          <w:sz w:val="20"/>
          <w:szCs w:val="20"/>
        </w:rPr>
        <w:t>de ampliación de medidas provisionales</w:t>
      </w:r>
    </w:p>
    <w:p w14:paraId="427D2FE1" w14:textId="77777777" w:rsidR="00172ADD" w:rsidRPr="008818D3" w:rsidRDefault="00172ADD" w:rsidP="00172ADD">
      <w:pPr>
        <w:pStyle w:val="Default"/>
        <w:ind w:left="360"/>
        <w:jc w:val="both"/>
        <w:rPr>
          <w:sz w:val="20"/>
          <w:szCs w:val="20"/>
          <w:lang w:val="es-ES"/>
        </w:rPr>
      </w:pPr>
    </w:p>
    <w:p w14:paraId="57A2AFD1" w14:textId="0D040F88" w:rsidR="00172ADD" w:rsidRPr="00B633A2" w:rsidRDefault="00172ADD" w:rsidP="00172ADD">
      <w:pPr>
        <w:pStyle w:val="Prrafodelista1"/>
        <w:numPr>
          <w:ilvl w:val="0"/>
          <w:numId w:val="1"/>
        </w:numPr>
        <w:tabs>
          <w:tab w:val="clear" w:pos="1068"/>
          <w:tab w:val="left" w:pos="720"/>
        </w:tabs>
        <w:ind w:left="0" w:firstLine="0"/>
        <w:jc w:val="both"/>
        <w:rPr>
          <w:sz w:val="20"/>
          <w:szCs w:val="20"/>
        </w:rPr>
      </w:pPr>
      <w:r w:rsidRPr="00860757">
        <w:rPr>
          <w:sz w:val="20"/>
          <w:szCs w:val="20"/>
        </w:rPr>
        <w:t xml:space="preserve">La </w:t>
      </w:r>
      <w:r w:rsidRPr="00860757">
        <w:rPr>
          <w:b/>
          <w:i/>
          <w:sz w:val="20"/>
          <w:szCs w:val="20"/>
        </w:rPr>
        <w:t>Comisión</w:t>
      </w:r>
      <w:r w:rsidRPr="00860757">
        <w:rPr>
          <w:sz w:val="20"/>
          <w:szCs w:val="20"/>
        </w:rPr>
        <w:t xml:space="preserve"> hizo del conocimiento de la Corte graves hechos ocurridos en la </w:t>
      </w:r>
      <w:r w:rsidRPr="00860757">
        <w:rPr>
          <w:i/>
          <w:sz w:val="20"/>
          <w:szCs w:val="20"/>
        </w:rPr>
        <w:t xml:space="preserve">Comunidad de Esperanza Río Wawa, </w:t>
      </w:r>
      <w:r w:rsidRPr="00860757">
        <w:rPr>
          <w:sz w:val="20"/>
          <w:szCs w:val="20"/>
        </w:rPr>
        <w:t xml:space="preserve">consistentes en la presencia de hombres armados que habrían disparado contra personas de la comunidad, incluidos niños, y la incursión de aproximadamente 200 “colonos” que habrían generado el desplazamiento de 20 familias </w:t>
      </w:r>
      <w:r w:rsidRPr="00B633A2">
        <w:rPr>
          <w:sz w:val="20"/>
          <w:szCs w:val="20"/>
        </w:rPr>
        <w:t xml:space="preserve">indígenas. Todo ello, en el contexto de reivindicación de los territorios ancestrales del pueblo indígena </w:t>
      </w:r>
      <w:r w:rsidRPr="00B633A2">
        <w:rPr>
          <w:i/>
          <w:sz w:val="20"/>
          <w:szCs w:val="20"/>
        </w:rPr>
        <w:t>Miskitu</w:t>
      </w:r>
      <w:r w:rsidRPr="00B633A2">
        <w:rPr>
          <w:sz w:val="20"/>
          <w:szCs w:val="20"/>
        </w:rPr>
        <w:t xml:space="preserve"> y los procesos de saneamiento que tienen lugar en dicha zona</w:t>
      </w:r>
      <w:r w:rsidR="00824C1F">
        <w:rPr>
          <w:sz w:val="20"/>
          <w:szCs w:val="20"/>
        </w:rPr>
        <w:t>.</w:t>
      </w:r>
    </w:p>
    <w:p w14:paraId="173FC00B" w14:textId="77777777" w:rsidR="00172ADD" w:rsidRPr="00B633A2" w:rsidRDefault="00172ADD" w:rsidP="00172ADD">
      <w:pPr>
        <w:pStyle w:val="ListParagraph"/>
        <w:rPr>
          <w:rFonts w:ascii="Verdana" w:hAnsi="Verdana"/>
          <w:sz w:val="20"/>
        </w:rPr>
      </w:pPr>
    </w:p>
    <w:p w14:paraId="03B714AE" w14:textId="6D96977D" w:rsidR="00172ADD" w:rsidRPr="00C80AF6" w:rsidRDefault="00172ADD" w:rsidP="00172ADD">
      <w:pPr>
        <w:pStyle w:val="Prrafodelista1"/>
        <w:numPr>
          <w:ilvl w:val="0"/>
          <w:numId w:val="1"/>
        </w:numPr>
        <w:tabs>
          <w:tab w:val="clear" w:pos="1068"/>
          <w:tab w:val="left" w:pos="720"/>
        </w:tabs>
        <w:ind w:left="0" w:firstLine="0"/>
        <w:jc w:val="both"/>
        <w:rPr>
          <w:sz w:val="20"/>
          <w:szCs w:val="20"/>
          <w:lang w:val="es-ES_tradnl"/>
        </w:rPr>
      </w:pPr>
      <w:r w:rsidRPr="00B633A2">
        <w:rPr>
          <w:sz w:val="20"/>
          <w:szCs w:val="20"/>
          <w:lang w:val="es-ES_tradnl"/>
        </w:rPr>
        <w:t xml:space="preserve">La información proporcionada por los representantes a la Comisión indicó que en la </w:t>
      </w:r>
      <w:r w:rsidRPr="00B633A2">
        <w:rPr>
          <w:i/>
          <w:sz w:val="20"/>
          <w:szCs w:val="20"/>
          <w:lang w:val="es-ES_tradnl"/>
        </w:rPr>
        <w:t xml:space="preserve">Comunidad de Esperanza Río Wawa </w:t>
      </w:r>
      <w:r w:rsidRPr="00B633A2">
        <w:rPr>
          <w:sz w:val="20"/>
          <w:szCs w:val="20"/>
        </w:rPr>
        <w:t xml:space="preserve">persisten los actos de agresión por parte de los “colonos”, </w:t>
      </w:r>
      <w:r>
        <w:rPr>
          <w:sz w:val="20"/>
          <w:szCs w:val="20"/>
        </w:rPr>
        <w:t>incluyendo amenazas a miembros de la Comunidad con armas de fuego, ataques con armas de fuego a miembros, inclusive niños, uno de los cuales habría sido lesionado, así como irrupciones y desplazamientos de comunitarios de su territorio</w:t>
      </w:r>
      <w:r w:rsidRPr="00B633A2">
        <w:rPr>
          <w:sz w:val="20"/>
          <w:szCs w:val="20"/>
        </w:rPr>
        <w:t xml:space="preserve">. </w:t>
      </w:r>
      <w:r w:rsidRPr="00B633A2">
        <w:rPr>
          <w:sz w:val="20"/>
          <w:szCs w:val="20"/>
          <w:lang w:val="es-ES_tradnl"/>
        </w:rPr>
        <w:t xml:space="preserve">En particular, la Comisión refirió que los últimos hechos informados a ésta, los cuales motivaron la solicitud de ampliación de medidas </w:t>
      </w:r>
      <w:r w:rsidRPr="00C80AF6">
        <w:rPr>
          <w:sz w:val="20"/>
          <w:szCs w:val="20"/>
          <w:lang w:val="es-ES_tradnl"/>
        </w:rPr>
        <w:t xml:space="preserve">provisionales a favor de los miembros de la </w:t>
      </w:r>
      <w:r w:rsidRPr="00C80AF6">
        <w:rPr>
          <w:i/>
          <w:sz w:val="20"/>
          <w:szCs w:val="20"/>
          <w:lang w:val="es-ES_tradnl"/>
        </w:rPr>
        <w:t xml:space="preserve">Comunidad de Esperanza Río Wawa, </w:t>
      </w:r>
      <w:r w:rsidRPr="00C80AF6">
        <w:rPr>
          <w:sz w:val="20"/>
          <w:szCs w:val="20"/>
          <w:lang w:val="es-ES_tradnl"/>
        </w:rPr>
        <w:t>fueron los siguientes</w:t>
      </w:r>
      <w:r w:rsidRPr="00C80AF6">
        <w:rPr>
          <w:rStyle w:val="FootnoteReference"/>
          <w:lang w:val="es-ES_tradnl"/>
        </w:rPr>
        <w:footnoteReference w:id="4"/>
      </w:r>
      <w:r w:rsidRPr="00824C1F">
        <w:rPr>
          <w:sz w:val="20"/>
          <w:szCs w:val="20"/>
          <w:lang w:val="es-ES_tradnl"/>
        </w:rPr>
        <w:t>:</w:t>
      </w:r>
      <w:r w:rsidRPr="00C80AF6">
        <w:rPr>
          <w:sz w:val="20"/>
          <w:szCs w:val="20"/>
          <w:lang w:val="es-ES_tradnl"/>
        </w:rPr>
        <w:t xml:space="preserve"> </w:t>
      </w:r>
    </w:p>
    <w:p w14:paraId="21A110E8" w14:textId="77777777" w:rsidR="00172ADD" w:rsidRPr="00C80AF6" w:rsidRDefault="00172ADD" w:rsidP="00172ADD">
      <w:pPr>
        <w:pStyle w:val="ListParagraph"/>
        <w:rPr>
          <w:rFonts w:ascii="Verdana" w:hAnsi="Verdana"/>
          <w:sz w:val="20"/>
        </w:rPr>
      </w:pPr>
    </w:p>
    <w:p w14:paraId="6F79F1DD" w14:textId="5A0B45A7" w:rsidR="00172ADD" w:rsidRPr="0046631C" w:rsidRDefault="00172ADD" w:rsidP="00417F64">
      <w:pPr>
        <w:pStyle w:val="ListParagraph"/>
        <w:numPr>
          <w:ilvl w:val="0"/>
          <w:numId w:val="6"/>
        </w:numPr>
        <w:spacing w:before="20" w:after="20"/>
        <w:ind w:right="18"/>
        <w:jc w:val="both"/>
        <w:rPr>
          <w:rFonts w:ascii="Verdana" w:hAnsi="Verdana"/>
          <w:sz w:val="18"/>
          <w:szCs w:val="18"/>
        </w:rPr>
      </w:pPr>
      <w:r w:rsidRPr="0046631C">
        <w:rPr>
          <w:rFonts w:ascii="Verdana" w:hAnsi="Verdana"/>
          <w:sz w:val="18"/>
          <w:szCs w:val="18"/>
        </w:rPr>
        <w:t xml:space="preserve">El 27 de febrero de 2017, el señor Felipe Lampson Castillo (43 años), su hijo Jimmy Lampson Panting (12 años) y los niños </w:t>
      </w:r>
      <w:r w:rsidR="00C86C8E" w:rsidRPr="0046631C">
        <w:rPr>
          <w:rFonts w:ascii="Verdana" w:hAnsi="Verdana"/>
          <w:sz w:val="18"/>
          <w:szCs w:val="18"/>
        </w:rPr>
        <w:t xml:space="preserve">R </w:t>
      </w:r>
      <w:r w:rsidRPr="0046631C">
        <w:rPr>
          <w:rFonts w:ascii="Verdana" w:hAnsi="Verdana"/>
          <w:sz w:val="18"/>
          <w:szCs w:val="18"/>
        </w:rPr>
        <w:t xml:space="preserve">y </w:t>
      </w:r>
      <w:r w:rsidR="00C86C8E" w:rsidRPr="0046631C">
        <w:rPr>
          <w:rFonts w:ascii="Verdana" w:hAnsi="Verdana"/>
          <w:sz w:val="18"/>
          <w:szCs w:val="18"/>
        </w:rPr>
        <w:t>R.R.M.</w:t>
      </w:r>
      <w:r w:rsidRPr="0046631C">
        <w:rPr>
          <w:rFonts w:ascii="Verdana" w:hAnsi="Verdana"/>
          <w:sz w:val="18"/>
          <w:szCs w:val="18"/>
        </w:rPr>
        <w:t xml:space="preserve"> (12 y 15 años, respectivamente), miembros de la </w:t>
      </w:r>
      <w:r w:rsidRPr="0046631C">
        <w:rPr>
          <w:rFonts w:ascii="Verdana" w:hAnsi="Verdana"/>
          <w:i/>
          <w:sz w:val="18"/>
          <w:szCs w:val="18"/>
        </w:rPr>
        <w:t>Comunidad Esperanza Río Wawa</w:t>
      </w:r>
      <w:r w:rsidRPr="0046631C">
        <w:rPr>
          <w:rFonts w:ascii="Verdana" w:hAnsi="Verdana"/>
          <w:sz w:val="18"/>
          <w:szCs w:val="18"/>
        </w:rPr>
        <w:t xml:space="preserve">, habrían estado navegando por el río Wawa para dirigirse a su cultivo cuando habrían sido llamados por un grupo de colonos quienes preguntaban la razón de su presencia en la zona. El señor Lampson habría respondido que iba a su parcela de trabajo, a lo que los “colonos” habrían pedido que todos se pusieran de pie, mientras varios hombres les estarían apuntando con armas de fuego desde la montaña y otro desde aproximadamente cinco metros. Por el miedo a ser asesinados, el señor y los niños habrían saltado al agua para huir. Los hombres armados les habrían disparado mientras los comunitarios escapaban. El señor Lampson Castillo habría sido herido en un glúteo y el niño </w:t>
      </w:r>
      <w:r w:rsidR="00C86C8E" w:rsidRPr="0046631C">
        <w:rPr>
          <w:rFonts w:ascii="Verdana" w:hAnsi="Verdana"/>
          <w:sz w:val="18"/>
          <w:szCs w:val="18"/>
        </w:rPr>
        <w:t>R.R.M</w:t>
      </w:r>
      <w:r w:rsidR="00C86C8E" w:rsidRPr="0046631C" w:rsidDel="00C86C8E">
        <w:rPr>
          <w:rFonts w:ascii="Verdana" w:hAnsi="Verdana"/>
          <w:sz w:val="18"/>
          <w:szCs w:val="18"/>
        </w:rPr>
        <w:t xml:space="preserve"> </w:t>
      </w:r>
      <w:r w:rsidRPr="0046631C">
        <w:rPr>
          <w:rFonts w:ascii="Verdana" w:hAnsi="Verdana"/>
          <w:sz w:val="18"/>
          <w:szCs w:val="18"/>
        </w:rPr>
        <w:t xml:space="preserve">habría sido herido en un brazo, luego, habrían sido socorridos por otros comunitarios. El niño </w:t>
      </w:r>
      <w:r w:rsidR="00C86C8E" w:rsidRPr="0046631C">
        <w:rPr>
          <w:rFonts w:ascii="Verdana" w:hAnsi="Verdana"/>
          <w:sz w:val="18"/>
          <w:szCs w:val="18"/>
        </w:rPr>
        <w:t>R.R.M</w:t>
      </w:r>
      <w:r w:rsidR="00C86C8E" w:rsidRPr="0046631C" w:rsidDel="00C86C8E">
        <w:rPr>
          <w:rFonts w:ascii="Verdana" w:hAnsi="Verdana"/>
          <w:sz w:val="18"/>
          <w:szCs w:val="18"/>
        </w:rPr>
        <w:t xml:space="preserve"> </w:t>
      </w:r>
      <w:r w:rsidRPr="0046631C">
        <w:rPr>
          <w:rFonts w:ascii="Verdana" w:hAnsi="Verdana"/>
          <w:sz w:val="18"/>
          <w:szCs w:val="18"/>
        </w:rPr>
        <w:t>habría nadado hacia otra dirección después de saltar al agua y habría pasado la noche</w:t>
      </w:r>
      <w:r w:rsidR="00C86C8E" w:rsidRPr="0046631C">
        <w:rPr>
          <w:rFonts w:ascii="Verdana" w:hAnsi="Verdana"/>
          <w:sz w:val="18"/>
          <w:szCs w:val="18"/>
        </w:rPr>
        <w:t xml:space="preserve"> escondido solo en el bosque.</w:t>
      </w:r>
    </w:p>
    <w:p w14:paraId="3440AC03" w14:textId="77777777" w:rsidR="00172ADD" w:rsidRPr="0046631C" w:rsidRDefault="00172ADD" w:rsidP="00172ADD">
      <w:pPr>
        <w:pStyle w:val="ListParagraph"/>
        <w:jc w:val="both"/>
        <w:rPr>
          <w:rFonts w:ascii="Verdana" w:eastAsia="MS Mincho" w:hAnsi="Verdana"/>
          <w:sz w:val="18"/>
          <w:szCs w:val="18"/>
        </w:rPr>
      </w:pPr>
    </w:p>
    <w:p w14:paraId="2C876E76" w14:textId="7D7C0F7A" w:rsidR="00172ADD" w:rsidRPr="0046631C" w:rsidRDefault="00172ADD" w:rsidP="00417F64">
      <w:pPr>
        <w:pStyle w:val="ListParagraph"/>
        <w:numPr>
          <w:ilvl w:val="0"/>
          <w:numId w:val="6"/>
        </w:numPr>
        <w:jc w:val="both"/>
        <w:rPr>
          <w:rFonts w:ascii="Verdana" w:eastAsia="MS Mincho" w:hAnsi="Verdana"/>
          <w:b/>
          <w:sz w:val="18"/>
          <w:szCs w:val="18"/>
        </w:rPr>
      </w:pPr>
      <w:r w:rsidRPr="0046631C">
        <w:rPr>
          <w:rFonts w:ascii="Verdana" w:hAnsi="Verdana"/>
          <w:sz w:val="18"/>
          <w:szCs w:val="18"/>
        </w:rPr>
        <w:t xml:space="preserve">El 16 de marzo de 2017, según información que obtuvo CEJUDHCAN, cerca de 200 colonos habrían llegado a la comunidad para agredir a los pobladores y varias familias indígenas habrían huido a las montañas o a la Comunidad de Santa Clara. </w:t>
      </w:r>
    </w:p>
    <w:p w14:paraId="62A57E55" w14:textId="77777777" w:rsidR="00172ADD" w:rsidRPr="005E462F" w:rsidRDefault="00172ADD" w:rsidP="00172ADD">
      <w:pPr>
        <w:pStyle w:val="ListParagraph"/>
        <w:ind w:left="1440" w:right="720"/>
        <w:jc w:val="both"/>
        <w:rPr>
          <w:rFonts w:ascii="Verdana" w:eastAsia="MS Mincho" w:hAnsi="Verdana"/>
          <w:sz w:val="18"/>
          <w:szCs w:val="18"/>
        </w:rPr>
      </w:pPr>
    </w:p>
    <w:p w14:paraId="01EC6F14" w14:textId="6BA9D43E" w:rsidR="00172ADD" w:rsidRDefault="00C86C8E" w:rsidP="00172ADD">
      <w:pPr>
        <w:pStyle w:val="Prrafodelista1"/>
        <w:numPr>
          <w:ilvl w:val="0"/>
          <w:numId w:val="1"/>
        </w:numPr>
        <w:tabs>
          <w:tab w:val="clear" w:pos="1068"/>
          <w:tab w:val="left" w:pos="720"/>
        </w:tabs>
        <w:ind w:left="0" w:firstLine="0"/>
        <w:jc w:val="both"/>
        <w:rPr>
          <w:rFonts w:eastAsia="MS Mincho"/>
          <w:sz w:val="20"/>
          <w:lang w:val="es-CR"/>
        </w:rPr>
      </w:pPr>
      <w:r>
        <w:rPr>
          <w:rFonts w:eastAsia="MS Mincho"/>
          <w:sz w:val="20"/>
          <w:lang w:val="es-CR"/>
        </w:rPr>
        <w:t>Adicionalmente, l</w:t>
      </w:r>
      <w:r w:rsidR="00172ADD">
        <w:rPr>
          <w:rFonts w:eastAsia="MS Mincho"/>
          <w:sz w:val="20"/>
          <w:lang w:val="es-CR"/>
        </w:rPr>
        <w:t>a Comisión destacó que</w:t>
      </w:r>
      <w:r w:rsidR="007B40BD">
        <w:rPr>
          <w:rFonts w:eastAsia="MS Mincho"/>
          <w:sz w:val="20"/>
          <w:lang w:val="es-CR"/>
        </w:rPr>
        <w:t>,</w:t>
      </w:r>
      <w:r w:rsidR="00172ADD">
        <w:rPr>
          <w:rFonts w:eastAsia="MS Mincho"/>
          <w:sz w:val="20"/>
          <w:lang w:val="es-CR"/>
        </w:rPr>
        <w:t xml:space="preserve"> </w:t>
      </w:r>
      <w:r w:rsidR="007B40BD">
        <w:rPr>
          <w:rFonts w:eastAsia="MS Mincho"/>
          <w:sz w:val="20"/>
          <w:lang w:val="es-CR"/>
        </w:rPr>
        <w:t xml:space="preserve">mediante Resolución del 9 de junio de 2017, </w:t>
      </w:r>
      <w:r w:rsidR="00172ADD">
        <w:rPr>
          <w:rFonts w:eastAsia="MS Mincho"/>
          <w:sz w:val="20"/>
          <w:lang w:val="es-CR"/>
        </w:rPr>
        <w:t>decidió ampliar las medidas cautelares a Lottie Cunningham, Presidenta del Centro por la Justicia y los Derechos Humanos de la Costa Atlántica de Nicaragua (CEJUDHCAN), ya que estaba siendo objeto de amenazas contra su vida y hostigamientos por el labor que realiza su organización a favor de las comunidades indígenas Miskitu</w:t>
      </w:r>
    </w:p>
    <w:p w14:paraId="666E10D4" w14:textId="77777777" w:rsidR="00172ADD" w:rsidRDefault="00172ADD" w:rsidP="00172ADD">
      <w:pPr>
        <w:pStyle w:val="Prrafodelista1"/>
        <w:tabs>
          <w:tab w:val="left" w:pos="720"/>
        </w:tabs>
        <w:jc w:val="both"/>
        <w:rPr>
          <w:rFonts w:eastAsia="MS Mincho"/>
          <w:sz w:val="20"/>
          <w:lang w:val="es-CR"/>
        </w:rPr>
      </w:pPr>
    </w:p>
    <w:p w14:paraId="6EB88F0D" w14:textId="2E699613" w:rsidR="007B40BD" w:rsidRPr="00417F64" w:rsidRDefault="007B40BD" w:rsidP="00417F64">
      <w:pPr>
        <w:pStyle w:val="Prrafodelista1"/>
        <w:numPr>
          <w:ilvl w:val="0"/>
          <w:numId w:val="1"/>
        </w:numPr>
        <w:tabs>
          <w:tab w:val="clear" w:pos="1068"/>
          <w:tab w:val="left" w:pos="720"/>
        </w:tabs>
        <w:ind w:left="0" w:firstLine="0"/>
        <w:jc w:val="both"/>
        <w:rPr>
          <w:rFonts w:eastAsia="MS Mincho"/>
          <w:sz w:val="20"/>
          <w:lang w:val="es-CR"/>
        </w:rPr>
      </w:pPr>
      <w:r>
        <w:rPr>
          <w:rFonts w:eastAsia="MS Mincho"/>
          <w:sz w:val="20"/>
          <w:lang w:val="es-CR"/>
        </w:rPr>
        <w:t>La Comisión informó que l</w:t>
      </w:r>
      <w:r w:rsidR="00172ADD">
        <w:rPr>
          <w:rFonts w:eastAsia="MS Mincho"/>
          <w:sz w:val="20"/>
          <w:lang w:val="es-CR"/>
        </w:rPr>
        <w:t xml:space="preserve">os </w:t>
      </w:r>
      <w:r w:rsidR="00172ADD" w:rsidRPr="00417F64">
        <w:rPr>
          <w:rFonts w:eastAsia="MS Mincho"/>
          <w:sz w:val="20"/>
          <w:lang w:val="es-CR"/>
        </w:rPr>
        <w:t>representantes</w:t>
      </w:r>
      <w:r w:rsidR="00172ADD" w:rsidRPr="007B40BD">
        <w:rPr>
          <w:rFonts w:eastAsia="MS Mincho"/>
          <w:sz w:val="20"/>
          <w:lang w:val="es-CR"/>
        </w:rPr>
        <w:t>,</w:t>
      </w:r>
      <w:r w:rsidR="00172ADD">
        <w:rPr>
          <w:rFonts w:eastAsia="MS Mincho"/>
          <w:sz w:val="20"/>
          <w:lang w:val="es-CR"/>
        </w:rPr>
        <w:t xml:space="preserve"> en su comunicación de 17 de abril de 2017, reiteraron su solicitud para que la Comisión solicite a la Corte la adopción de medidas provisionales. En este sentido, alega</w:t>
      </w:r>
      <w:r>
        <w:rPr>
          <w:rFonts w:eastAsia="MS Mincho"/>
          <w:sz w:val="20"/>
          <w:lang w:val="es-CR"/>
        </w:rPr>
        <w:t>ron</w:t>
      </w:r>
      <w:r w:rsidR="00172ADD">
        <w:rPr>
          <w:rFonts w:eastAsia="MS Mincho"/>
          <w:sz w:val="20"/>
          <w:lang w:val="es-CR"/>
        </w:rPr>
        <w:t xml:space="preserve"> que el Estado no ha visitado la Comunidad para brindar atención medica; que los niños no asisten a la escuela al estar atemorizados de la violencia realizada por los “colonos”, que existe una crisis alimentaria y reprobaron la </w:t>
      </w:r>
      <w:r w:rsidR="00172ADD">
        <w:rPr>
          <w:rFonts w:eastAsia="MS Mincho"/>
          <w:sz w:val="20"/>
          <w:lang w:val="es-CR"/>
        </w:rPr>
        <w:lastRenderedPageBreak/>
        <w:t xml:space="preserve">distribución de los programas productivos, considerándola inequitativa. Además, comunicaron que el señor Gonzalo Richard, </w:t>
      </w:r>
      <w:r w:rsidR="00172ADD">
        <w:rPr>
          <w:rFonts w:eastAsia="MS Mincho"/>
          <w:i/>
          <w:sz w:val="20"/>
          <w:lang w:val="es-CR"/>
        </w:rPr>
        <w:t>wihta</w:t>
      </w:r>
      <w:r w:rsidR="00172ADD">
        <w:rPr>
          <w:rFonts w:eastAsia="MS Mincho"/>
          <w:sz w:val="20"/>
          <w:lang w:val="es-CR"/>
        </w:rPr>
        <w:t xml:space="preserve"> de la Comunidad, les comentó que “algunas familias creen que el Estado no les dará respuesta a sus solicitudes de saneamiento de los territorios y consideran que para resguardar sus vidas y buscar alimentos deben abandonar sus</w:t>
      </w:r>
      <w:r w:rsidR="00824C1F">
        <w:rPr>
          <w:rFonts w:eastAsia="MS Mincho"/>
          <w:sz w:val="20"/>
          <w:lang w:val="es-CR"/>
        </w:rPr>
        <w:t xml:space="preserve"> casas”</w:t>
      </w:r>
      <w:r w:rsidR="00172ADD">
        <w:rPr>
          <w:rFonts w:eastAsia="MS Mincho"/>
          <w:sz w:val="20"/>
          <w:lang w:val="es-CR"/>
        </w:rPr>
        <w:t>. También resaltaron que no tienen conocimiento de la investigación de los hechos denunciados en contra del señor Felipe Lampson Castillo y los niños que lo acompañaban el día de la agresión</w:t>
      </w:r>
      <w:r>
        <w:rPr>
          <w:rStyle w:val="FootnoteReference"/>
          <w:rFonts w:eastAsia="MS Mincho"/>
          <w:sz w:val="20"/>
          <w:lang w:val="es-CR"/>
        </w:rPr>
        <w:footnoteReference w:id="5"/>
      </w:r>
      <w:r w:rsidR="00172ADD">
        <w:rPr>
          <w:rFonts w:eastAsia="MS Mincho"/>
          <w:sz w:val="20"/>
          <w:lang w:val="es-CR"/>
        </w:rPr>
        <w:t xml:space="preserve">. </w:t>
      </w:r>
    </w:p>
    <w:p w14:paraId="21198E6D" w14:textId="77777777" w:rsidR="005300EA" w:rsidRDefault="005300EA" w:rsidP="005300EA">
      <w:pPr>
        <w:pStyle w:val="Prrafodelista1"/>
        <w:tabs>
          <w:tab w:val="left" w:pos="720"/>
        </w:tabs>
        <w:jc w:val="both"/>
        <w:rPr>
          <w:rFonts w:eastAsia="MS Mincho"/>
          <w:sz w:val="20"/>
          <w:lang w:val="es-CR"/>
        </w:rPr>
      </w:pPr>
    </w:p>
    <w:p w14:paraId="49636CC1" w14:textId="3EA1257B" w:rsidR="0046631C" w:rsidRPr="002A5410" w:rsidRDefault="0046631C" w:rsidP="0046631C">
      <w:pPr>
        <w:pStyle w:val="Prrafodelista1"/>
        <w:numPr>
          <w:ilvl w:val="0"/>
          <w:numId w:val="1"/>
        </w:numPr>
        <w:tabs>
          <w:tab w:val="clear" w:pos="1068"/>
          <w:tab w:val="left" w:pos="720"/>
        </w:tabs>
        <w:ind w:left="0" w:firstLine="0"/>
        <w:jc w:val="both"/>
        <w:rPr>
          <w:rFonts w:eastAsia="MS Mincho"/>
          <w:sz w:val="20"/>
          <w:lang w:val="es-CR"/>
        </w:rPr>
      </w:pPr>
      <w:r w:rsidRPr="008818D3">
        <w:rPr>
          <w:spacing w:val="-4"/>
          <w:sz w:val="20"/>
          <w:szCs w:val="20"/>
          <w:lang w:val="es-MX"/>
        </w:rPr>
        <w:t>E</w:t>
      </w:r>
      <w:r>
        <w:rPr>
          <w:spacing w:val="-4"/>
          <w:sz w:val="20"/>
          <w:szCs w:val="20"/>
          <w:lang w:val="es-MX"/>
        </w:rPr>
        <w:t xml:space="preserve">l </w:t>
      </w:r>
      <w:r w:rsidRPr="00850BE8">
        <w:rPr>
          <w:b/>
          <w:i/>
          <w:spacing w:val="-4"/>
          <w:sz w:val="20"/>
          <w:szCs w:val="20"/>
          <w:lang w:val="es-MX"/>
        </w:rPr>
        <w:t>Estado</w:t>
      </w:r>
      <w:r>
        <w:rPr>
          <w:spacing w:val="-4"/>
          <w:sz w:val="20"/>
          <w:szCs w:val="20"/>
          <w:lang w:val="es-MX"/>
        </w:rPr>
        <w:t>, e</w:t>
      </w:r>
      <w:r w:rsidRPr="008818D3">
        <w:rPr>
          <w:spacing w:val="-4"/>
          <w:sz w:val="20"/>
          <w:szCs w:val="20"/>
          <w:lang w:val="es-MX"/>
        </w:rPr>
        <w:t xml:space="preserve">n su </w:t>
      </w:r>
      <w:r>
        <w:rPr>
          <w:spacing w:val="-4"/>
          <w:sz w:val="20"/>
          <w:szCs w:val="20"/>
          <w:lang w:val="es-MX"/>
        </w:rPr>
        <w:t>informe periódico sobre la implementación de las medidas provisionales en el presente asunto, se pronunció también sobre solicitud de la Comisión para ampliación de las medidas provisionales a favor de la</w:t>
      </w:r>
      <w:r w:rsidRPr="002A5410">
        <w:rPr>
          <w:spacing w:val="-4"/>
          <w:sz w:val="20"/>
          <w:szCs w:val="20"/>
          <w:lang w:val="es-MX"/>
        </w:rPr>
        <w:t xml:space="preserve"> </w:t>
      </w:r>
      <w:r w:rsidRPr="002A5410">
        <w:rPr>
          <w:i/>
          <w:spacing w:val="-4"/>
          <w:sz w:val="20"/>
          <w:szCs w:val="20"/>
          <w:lang w:val="es-MX"/>
        </w:rPr>
        <w:t xml:space="preserve">Comunidad de Esperanza Río </w:t>
      </w:r>
      <w:r>
        <w:rPr>
          <w:i/>
          <w:spacing w:val="-4"/>
          <w:sz w:val="20"/>
          <w:szCs w:val="20"/>
          <w:lang w:val="es-MX"/>
        </w:rPr>
        <w:t>Wawa</w:t>
      </w:r>
      <w:r w:rsidRPr="002A5410">
        <w:rPr>
          <w:i/>
          <w:spacing w:val="-4"/>
          <w:sz w:val="20"/>
          <w:szCs w:val="20"/>
          <w:lang w:val="es-MX"/>
        </w:rPr>
        <w:t xml:space="preserve"> </w:t>
      </w:r>
      <w:r w:rsidRPr="002A5410">
        <w:rPr>
          <w:spacing w:val="-4"/>
          <w:sz w:val="20"/>
          <w:szCs w:val="20"/>
          <w:lang w:val="es-MX"/>
        </w:rPr>
        <w:t>(</w:t>
      </w:r>
      <w:r w:rsidRPr="002A5410">
        <w:rPr>
          <w:i/>
          <w:spacing w:val="-4"/>
          <w:sz w:val="20"/>
          <w:szCs w:val="20"/>
          <w:lang w:val="es-MX"/>
        </w:rPr>
        <w:t xml:space="preserve">supra </w:t>
      </w:r>
      <w:r>
        <w:rPr>
          <w:spacing w:val="-4"/>
          <w:sz w:val="20"/>
          <w:szCs w:val="20"/>
          <w:lang w:val="es-MX"/>
        </w:rPr>
        <w:t>Visto</w:t>
      </w:r>
      <w:r w:rsidRPr="002A5410">
        <w:rPr>
          <w:spacing w:val="-4"/>
          <w:sz w:val="20"/>
          <w:szCs w:val="20"/>
          <w:lang w:val="es-MX"/>
        </w:rPr>
        <w:t xml:space="preserve"> </w:t>
      </w:r>
      <w:r>
        <w:rPr>
          <w:spacing w:val="-4"/>
          <w:sz w:val="20"/>
          <w:szCs w:val="20"/>
          <w:lang w:val="es-MX"/>
        </w:rPr>
        <w:t>5</w:t>
      </w:r>
      <w:r w:rsidRPr="002A5410">
        <w:rPr>
          <w:spacing w:val="-4"/>
          <w:sz w:val="20"/>
          <w:szCs w:val="20"/>
          <w:lang w:val="es-MX"/>
        </w:rPr>
        <w:t>)</w:t>
      </w:r>
      <w:r>
        <w:rPr>
          <w:i/>
          <w:spacing w:val="-4"/>
          <w:sz w:val="20"/>
          <w:szCs w:val="20"/>
          <w:lang w:val="es-MX"/>
        </w:rPr>
        <w:t>.</w:t>
      </w:r>
      <w:r w:rsidRPr="002A5410">
        <w:rPr>
          <w:i/>
          <w:spacing w:val="-4"/>
          <w:sz w:val="20"/>
          <w:szCs w:val="20"/>
          <w:lang w:val="es-MX"/>
        </w:rPr>
        <w:t xml:space="preserve"> </w:t>
      </w:r>
      <w:r>
        <w:rPr>
          <w:spacing w:val="-4"/>
          <w:sz w:val="20"/>
          <w:szCs w:val="20"/>
          <w:lang w:val="es-MX"/>
        </w:rPr>
        <w:t xml:space="preserve">Al respecto, </w:t>
      </w:r>
      <w:r w:rsidRPr="002A5410">
        <w:rPr>
          <w:rFonts w:eastAsia="MS Mincho"/>
          <w:sz w:val="20"/>
          <w:lang w:val="es-CR"/>
        </w:rPr>
        <w:t xml:space="preserve">hizo referencia a </w:t>
      </w:r>
      <w:r>
        <w:rPr>
          <w:rFonts w:eastAsia="MS Mincho"/>
          <w:sz w:val="20"/>
          <w:lang w:val="es-CR"/>
        </w:rPr>
        <w:t xml:space="preserve">las acciones para fortalecer la seguridad ciudadana que el Estado ha implementado y otros programas de desarrollo humano dedicados a, </w:t>
      </w:r>
      <w:r>
        <w:rPr>
          <w:rFonts w:eastAsia="MS Mincho"/>
          <w:i/>
          <w:sz w:val="20"/>
          <w:lang w:val="es-CR"/>
        </w:rPr>
        <w:t>inter alia</w:t>
      </w:r>
      <w:r>
        <w:rPr>
          <w:rFonts w:eastAsia="MS Mincho"/>
          <w:sz w:val="20"/>
          <w:lang w:val="es-CR"/>
        </w:rPr>
        <w:t>, la educación, producción y comercialización de alimentos</w:t>
      </w:r>
      <w:r w:rsidRPr="002A5410">
        <w:rPr>
          <w:rFonts w:eastAsia="MS Mincho"/>
          <w:sz w:val="20"/>
          <w:lang w:val="es-CR"/>
        </w:rPr>
        <w:t xml:space="preserve">. </w:t>
      </w:r>
      <w:r>
        <w:rPr>
          <w:rFonts w:eastAsia="MS Mincho"/>
          <w:sz w:val="20"/>
          <w:lang w:val="es-CR"/>
        </w:rPr>
        <w:t xml:space="preserve">Además señaló que se ha fortalecido las formas tradicionales de gobierno de la Comunidades del Territorio de </w:t>
      </w:r>
      <w:r w:rsidRPr="00EF139D">
        <w:rPr>
          <w:rFonts w:eastAsia="MS Mincho"/>
          <w:i/>
          <w:sz w:val="20"/>
          <w:lang w:val="es-CR"/>
        </w:rPr>
        <w:t>Wangki Twi-Tasba Raya</w:t>
      </w:r>
      <w:r>
        <w:rPr>
          <w:rFonts w:eastAsia="MS Mincho"/>
          <w:sz w:val="20"/>
          <w:lang w:val="es-CR"/>
        </w:rPr>
        <w:t xml:space="preserve">, donde se ubica la </w:t>
      </w:r>
      <w:r w:rsidRPr="00CE7AC1">
        <w:rPr>
          <w:rFonts w:eastAsia="MS Mincho"/>
          <w:i/>
          <w:sz w:val="20"/>
          <w:lang w:val="es-CR"/>
        </w:rPr>
        <w:t>Comunidad de Esperanza Río Wawa</w:t>
      </w:r>
      <w:r>
        <w:rPr>
          <w:rFonts w:eastAsia="MS Mincho"/>
          <w:sz w:val="20"/>
          <w:lang w:val="es-CR"/>
        </w:rPr>
        <w:t>. También destacó que está programada la construcción de redes de distribución de energía eléctrica para finales del año 2017</w:t>
      </w:r>
      <w:r>
        <w:rPr>
          <w:rStyle w:val="FootnoteReference"/>
          <w:rFonts w:eastAsia="MS Mincho"/>
          <w:sz w:val="20"/>
          <w:lang w:val="es-CR"/>
        </w:rPr>
        <w:footnoteReference w:id="6"/>
      </w:r>
      <w:r>
        <w:rPr>
          <w:rFonts w:eastAsia="MS Mincho"/>
          <w:sz w:val="20"/>
          <w:lang w:val="es-CR"/>
        </w:rPr>
        <w:t xml:space="preserve">. </w:t>
      </w:r>
    </w:p>
    <w:p w14:paraId="54E9BE4C" w14:textId="4A481299" w:rsidR="007B40BD" w:rsidRDefault="007B40BD" w:rsidP="00417F64">
      <w:pPr>
        <w:pStyle w:val="Prrafodelista1"/>
        <w:tabs>
          <w:tab w:val="left" w:pos="720"/>
        </w:tabs>
        <w:jc w:val="both"/>
        <w:rPr>
          <w:spacing w:val="-4"/>
          <w:sz w:val="20"/>
          <w:szCs w:val="20"/>
          <w:lang w:val="es-MX"/>
        </w:rPr>
      </w:pPr>
    </w:p>
    <w:p w14:paraId="7235AA4E" w14:textId="660A2E75" w:rsidR="00172ADD" w:rsidRPr="00D92820" w:rsidRDefault="00172ADD" w:rsidP="00417F64">
      <w:pPr>
        <w:pStyle w:val="Prrafodelista1"/>
        <w:numPr>
          <w:ilvl w:val="0"/>
          <w:numId w:val="1"/>
        </w:numPr>
        <w:tabs>
          <w:tab w:val="clear" w:pos="1068"/>
          <w:tab w:val="left" w:pos="720"/>
        </w:tabs>
        <w:ind w:left="0" w:firstLine="0"/>
        <w:jc w:val="both"/>
        <w:rPr>
          <w:spacing w:val="-4"/>
          <w:sz w:val="20"/>
          <w:szCs w:val="20"/>
          <w:lang w:val="es-MX"/>
        </w:rPr>
      </w:pPr>
      <w:r>
        <w:rPr>
          <w:spacing w:val="-4"/>
          <w:sz w:val="20"/>
          <w:szCs w:val="20"/>
          <w:lang w:val="es-MX"/>
        </w:rPr>
        <w:t xml:space="preserve">En relación a los hechos denunciados respecto a la agresión sufrida por el señor Felipe Lampson Castillo y </w:t>
      </w:r>
      <w:r w:rsidR="007B40BD" w:rsidRPr="006E1C4F">
        <w:rPr>
          <w:spacing w:val="-4"/>
          <w:sz w:val="20"/>
          <w:szCs w:val="20"/>
          <w:lang w:val="es-MX"/>
        </w:rPr>
        <w:t>dos</w:t>
      </w:r>
      <w:r>
        <w:rPr>
          <w:spacing w:val="-4"/>
          <w:sz w:val="20"/>
          <w:szCs w:val="20"/>
          <w:lang w:val="es-MX"/>
        </w:rPr>
        <w:t xml:space="preserve"> niños, el Estado expresó que “desde el mismo día” de dicha agresión la Policía ha estado investigando para</w:t>
      </w:r>
      <w:r w:rsidR="00824C1F">
        <w:rPr>
          <w:spacing w:val="-4"/>
          <w:sz w:val="20"/>
          <w:szCs w:val="20"/>
          <w:lang w:val="es-MX"/>
        </w:rPr>
        <w:t xml:space="preserve"> identificar a los responsables</w:t>
      </w:r>
      <w:r>
        <w:rPr>
          <w:spacing w:val="-4"/>
          <w:sz w:val="20"/>
          <w:szCs w:val="20"/>
          <w:lang w:val="es-MX"/>
        </w:rPr>
        <w:t xml:space="preserve">. </w:t>
      </w:r>
    </w:p>
    <w:p w14:paraId="0FD35505" w14:textId="77777777" w:rsidR="00172ADD" w:rsidRDefault="00172ADD" w:rsidP="00172ADD">
      <w:pPr>
        <w:pStyle w:val="ListParagraph"/>
        <w:rPr>
          <w:spacing w:val="-4"/>
          <w:sz w:val="20"/>
          <w:lang w:val="es-MX"/>
        </w:rPr>
      </w:pPr>
    </w:p>
    <w:p w14:paraId="39715CD6" w14:textId="684EBA61" w:rsidR="00172ADD" w:rsidRPr="00D92820" w:rsidRDefault="00172ADD" w:rsidP="00172ADD">
      <w:pPr>
        <w:pStyle w:val="Prrafodelista1"/>
        <w:numPr>
          <w:ilvl w:val="0"/>
          <w:numId w:val="1"/>
        </w:numPr>
        <w:tabs>
          <w:tab w:val="clear" w:pos="1068"/>
          <w:tab w:val="left" w:pos="720"/>
        </w:tabs>
        <w:ind w:left="0" w:firstLine="0"/>
        <w:jc w:val="both"/>
        <w:rPr>
          <w:rFonts w:eastAsia="MS Mincho"/>
          <w:sz w:val="20"/>
          <w:lang w:val="es-CR"/>
        </w:rPr>
      </w:pPr>
      <w:r>
        <w:rPr>
          <w:rFonts w:eastAsia="MS Mincho"/>
          <w:sz w:val="20"/>
          <w:lang w:val="es-CR"/>
        </w:rPr>
        <w:t xml:space="preserve">En su informe el Estado manifestó que no está de acuerdo con la solicitud de ampliación de las medidas provisionales de la Comisión a favor de </w:t>
      </w:r>
      <w:r>
        <w:rPr>
          <w:spacing w:val="-4"/>
          <w:sz w:val="20"/>
          <w:szCs w:val="20"/>
          <w:lang w:val="es-MX"/>
        </w:rPr>
        <w:t>la</w:t>
      </w:r>
      <w:r w:rsidRPr="002A5410">
        <w:rPr>
          <w:spacing w:val="-4"/>
          <w:sz w:val="20"/>
          <w:szCs w:val="20"/>
          <w:lang w:val="es-MX"/>
        </w:rPr>
        <w:t xml:space="preserve"> </w:t>
      </w:r>
      <w:r w:rsidRPr="002A5410">
        <w:rPr>
          <w:i/>
          <w:spacing w:val="-4"/>
          <w:sz w:val="20"/>
          <w:szCs w:val="20"/>
          <w:lang w:val="es-MX"/>
        </w:rPr>
        <w:t xml:space="preserve">Comunidad de Esperanza Río </w:t>
      </w:r>
      <w:r>
        <w:rPr>
          <w:i/>
          <w:spacing w:val="-4"/>
          <w:sz w:val="20"/>
          <w:szCs w:val="20"/>
          <w:lang w:val="es-MX"/>
        </w:rPr>
        <w:t>Wawa</w:t>
      </w:r>
      <w:r>
        <w:rPr>
          <w:spacing w:val="-4"/>
          <w:sz w:val="20"/>
          <w:szCs w:val="20"/>
          <w:lang w:val="es-MX"/>
        </w:rPr>
        <w:t xml:space="preserve">. En este sentido, explicó que “de manera previa a la acción de la [Comisión], las instituciones del Estado han venido trabajando gradualmente en la restitución de derechos de ésta y otras </w:t>
      </w:r>
      <w:r w:rsidR="00824C1F">
        <w:rPr>
          <w:spacing w:val="-4"/>
          <w:sz w:val="20"/>
          <w:szCs w:val="20"/>
          <w:lang w:val="es-MX"/>
        </w:rPr>
        <w:t>Comunidades de la Costa Caribe”</w:t>
      </w:r>
      <w:r>
        <w:rPr>
          <w:spacing w:val="-4"/>
          <w:sz w:val="20"/>
          <w:szCs w:val="20"/>
          <w:lang w:val="es-MX"/>
        </w:rPr>
        <w:t xml:space="preserve">. </w:t>
      </w:r>
    </w:p>
    <w:p w14:paraId="35AF8157" w14:textId="77777777" w:rsidR="00172ADD" w:rsidRPr="00172ADD" w:rsidRDefault="00172ADD" w:rsidP="00A9169B">
      <w:pPr>
        <w:pStyle w:val="Prrafodelista1"/>
        <w:widowControl w:val="0"/>
        <w:autoSpaceDE w:val="0"/>
        <w:autoSpaceDN w:val="0"/>
        <w:adjustRightInd w:val="0"/>
        <w:jc w:val="both"/>
        <w:rPr>
          <w:rFonts w:cs="Verdana"/>
          <w:sz w:val="20"/>
          <w:szCs w:val="20"/>
          <w:lang w:val="es-CL"/>
        </w:rPr>
      </w:pPr>
    </w:p>
    <w:p w14:paraId="02F94C8B" w14:textId="77777777" w:rsidR="00A9169B" w:rsidRDefault="00A9169B" w:rsidP="00417F64">
      <w:pPr>
        <w:pStyle w:val="Prrafodelista1"/>
        <w:numPr>
          <w:ilvl w:val="0"/>
          <w:numId w:val="7"/>
        </w:numPr>
        <w:jc w:val="both"/>
        <w:rPr>
          <w:rFonts w:cs="Verdana"/>
          <w:b/>
          <w:i/>
          <w:sz w:val="20"/>
          <w:szCs w:val="20"/>
          <w:lang w:val="es-MX"/>
        </w:rPr>
      </w:pPr>
      <w:r w:rsidRPr="00417F64">
        <w:rPr>
          <w:b/>
          <w:i/>
          <w:sz w:val="20"/>
          <w:szCs w:val="20"/>
        </w:rPr>
        <w:t>Consideraciones</w:t>
      </w:r>
      <w:r>
        <w:rPr>
          <w:rFonts w:cs="Verdana"/>
          <w:b/>
          <w:i/>
          <w:sz w:val="20"/>
          <w:szCs w:val="20"/>
          <w:lang w:val="es-MX"/>
        </w:rPr>
        <w:t xml:space="preserve"> de la Corte </w:t>
      </w:r>
    </w:p>
    <w:p w14:paraId="0A52DA8A" w14:textId="77777777" w:rsidR="0046631C" w:rsidRDefault="0046631C" w:rsidP="0046631C">
      <w:pPr>
        <w:pStyle w:val="Prrafodelista1"/>
        <w:tabs>
          <w:tab w:val="left" w:pos="720"/>
        </w:tabs>
        <w:jc w:val="both"/>
        <w:rPr>
          <w:sz w:val="20"/>
          <w:szCs w:val="20"/>
        </w:rPr>
      </w:pPr>
    </w:p>
    <w:p w14:paraId="293C683B" w14:textId="0F231D7C" w:rsidR="0046631C" w:rsidRPr="00E6573C" w:rsidRDefault="0046631C" w:rsidP="0046631C">
      <w:pPr>
        <w:pStyle w:val="Prrafodelista1"/>
        <w:numPr>
          <w:ilvl w:val="0"/>
          <w:numId w:val="1"/>
        </w:numPr>
        <w:tabs>
          <w:tab w:val="clear" w:pos="1068"/>
          <w:tab w:val="left" w:pos="720"/>
        </w:tabs>
        <w:ind w:left="0" w:firstLine="0"/>
        <w:jc w:val="both"/>
        <w:rPr>
          <w:sz w:val="20"/>
          <w:lang w:val="es-ES_tradnl"/>
        </w:rPr>
      </w:pPr>
      <w:r>
        <w:rPr>
          <w:sz w:val="20"/>
          <w:szCs w:val="20"/>
        </w:rPr>
        <w:t xml:space="preserve">Primeramente, se recuerda que originalmente </w:t>
      </w:r>
      <w:r w:rsidRPr="008818D3">
        <w:rPr>
          <w:sz w:val="20"/>
          <w:szCs w:val="20"/>
        </w:rPr>
        <w:t xml:space="preserve">la Comisión solicitó la adopción de medidas provisionales para los pobladores </w:t>
      </w:r>
      <w:r w:rsidRPr="008818D3">
        <w:rPr>
          <w:sz w:val="20"/>
          <w:lang w:val="es-GT"/>
        </w:rPr>
        <w:t xml:space="preserve">“de cinco comunidades respecto de las cuales [contaba] con información más reciente sobre su situación de riesgo extremo”. </w:t>
      </w:r>
      <w:r>
        <w:rPr>
          <w:sz w:val="20"/>
          <w:lang w:val="es-GT"/>
        </w:rPr>
        <w:t>No obstante, l</w:t>
      </w:r>
      <w:r w:rsidRPr="008818D3">
        <w:rPr>
          <w:sz w:val="20"/>
          <w:lang w:val="es-GT"/>
        </w:rPr>
        <w:t>a Comisión señaló que</w:t>
      </w:r>
      <w:r>
        <w:rPr>
          <w:sz w:val="20"/>
          <w:lang w:val="es-GT"/>
        </w:rPr>
        <w:t xml:space="preserve"> requirió</w:t>
      </w:r>
      <w:r w:rsidRPr="008818D3">
        <w:rPr>
          <w:sz w:val="20"/>
          <w:lang w:val="es-GT"/>
        </w:rPr>
        <w:t xml:space="preserve"> lo anterior, “sin perjuicio de que ante un recrudecimiento del riesgo en las demás comunidades solicit[ara] una ampliación de las medidas”</w:t>
      </w:r>
      <w:r w:rsidRPr="000C401F">
        <w:rPr>
          <w:rStyle w:val="FootnoteReference"/>
        </w:rPr>
        <w:footnoteReference w:id="7"/>
      </w:r>
      <w:r w:rsidRPr="000C401F">
        <w:rPr>
          <w:sz w:val="20"/>
          <w:lang w:val="es-GT"/>
        </w:rPr>
        <w:t xml:space="preserve">. </w:t>
      </w:r>
      <w:r w:rsidRPr="000C401F">
        <w:rPr>
          <w:sz w:val="20"/>
          <w:szCs w:val="20"/>
        </w:rPr>
        <w:t xml:space="preserve">Las comunidades que se mantuvieron como beneficiarias de </w:t>
      </w:r>
      <w:r w:rsidRPr="00E6573C">
        <w:rPr>
          <w:i/>
          <w:sz w:val="20"/>
          <w:szCs w:val="20"/>
        </w:rPr>
        <w:t>medidas cautelares</w:t>
      </w:r>
      <w:r w:rsidRPr="000C401F">
        <w:rPr>
          <w:sz w:val="20"/>
          <w:szCs w:val="20"/>
        </w:rPr>
        <w:t xml:space="preserve"> </w:t>
      </w:r>
      <w:r w:rsidRPr="008818D3">
        <w:rPr>
          <w:sz w:val="20"/>
          <w:szCs w:val="20"/>
        </w:rPr>
        <w:t>ante la Comisión fueron: (i) La Esperanza</w:t>
      </w:r>
      <w:r>
        <w:rPr>
          <w:sz w:val="20"/>
          <w:szCs w:val="20"/>
        </w:rPr>
        <w:t xml:space="preserve"> (Río Wawa)</w:t>
      </w:r>
      <w:r w:rsidRPr="008818D3">
        <w:rPr>
          <w:sz w:val="20"/>
          <w:szCs w:val="20"/>
        </w:rPr>
        <w:t xml:space="preserve">, (ii) Santa Clara, (iii) Santa Fe, (iv) </w:t>
      </w:r>
      <w:r w:rsidRPr="002856E3">
        <w:rPr>
          <w:sz w:val="20"/>
          <w:szCs w:val="20"/>
        </w:rPr>
        <w:t>Esperanza Río Coco,</w:t>
      </w:r>
      <w:r w:rsidRPr="00A73B3B">
        <w:rPr>
          <w:sz w:val="20"/>
          <w:szCs w:val="20"/>
        </w:rPr>
        <w:t xml:space="preserve"> </w:t>
      </w:r>
      <w:r w:rsidRPr="008818D3">
        <w:rPr>
          <w:sz w:val="20"/>
          <w:szCs w:val="20"/>
        </w:rPr>
        <w:t>(v) Polo Paiwas, (vi) el Naranjal y (vii) Cocal</w:t>
      </w:r>
      <w:r w:rsidRPr="000C401F">
        <w:rPr>
          <w:rStyle w:val="FootnoteReference"/>
        </w:rPr>
        <w:footnoteReference w:id="8"/>
      </w:r>
      <w:r w:rsidRPr="000C401F">
        <w:rPr>
          <w:sz w:val="20"/>
          <w:szCs w:val="20"/>
        </w:rPr>
        <w:t>.</w:t>
      </w:r>
      <w:r>
        <w:rPr>
          <w:sz w:val="20"/>
          <w:szCs w:val="20"/>
        </w:rPr>
        <w:t xml:space="preserve">  Al respecto, la Corte </w:t>
      </w:r>
      <w:r>
        <w:rPr>
          <w:sz w:val="20"/>
          <w:szCs w:val="20"/>
        </w:rPr>
        <w:lastRenderedPageBreak/>
        <w:t xml:space="preserve">adoptó </w:t>
      </w:r>
      <w:r w:rsidRPr="00E6573C">
        <w:rPr>
          <w:i/>
          <w:sz w:val="20"/>
          <w:szCs w:val="20"/>
        </w:rPr>
        <w:t>medidas provisionales</w:t>
      </w:r>
      <w:r>
        <w:rPr>
          <w:sz w:val="20"/>
          <w:szCs w:val="20"/>
        </w:rPr>
        <w:t xml:space="preserve"> a favor de cinco comunidades (</w:t>
      </w:r>
      <w:r w:rsidRPr="00357BD1">
        <w:rPr>
          <w:rFonts w:eastAsia="Times"/>
          <w:i/>
          <w:sz w:val="20"/>
          <w:szCs w:val="20"/>
          <w:lang w:val="es-ES_tradnl"/>
        </w:rPr>
        <w:t>Klisnak, Wisconsin, Wiwinak, San Jerónimo y Francia Sirpi</w:t>
      </w:r>
      <w:r>
        <w:rPr>
          <w:rFonts w:eastAsia="Times"/>
          <w:i/>
          <w:sz w:val="20"/>
          <w:szCs w:val="20"/>
          <w:lang w:val="es-ES_tradnl"/>
        </w:rPr>
        <w:t xml:space="preserve">), </w:t>
      </w:r>
      <w:r w:rsidRPr="00E6573C">
        <w:rPr>
          <w:rFonts w:eastAsia="Times"/>
          <w:sz w:val="20"/>
          <w:szCs w:val="20"/>
          <w:lang w:val="es-ES_tradnl"/>
        </w:rPr>
        <w:t>con motivo de los graves hechos ocurridos</w:t>
      </w:r>
      <w:r>
        <w:rPr>
          <w:rFonts w:eastAsia="Times"/>
          <w:sz w:val="20"/>
          <w:szCs w:val="20"/>
          <w:lang w:val="es-ES_tradnl"/>
        </w:rPr>
        <w:t xml:space="preserve"> en tales comunidades</w:t>
      </w:r>
      <w:r>
        <w:rPr>
          <w:rFonts w:eastAsia="Times"/>
          <w:i/>
          <w:sz w:val="20"/>
          <w:szCs w:val="20"/>
          <w:lang w:val="es-ES_tradnl"/>
        </w:rPr>
        <w:t xml:space="preserve">. </w:t>
      </w:r>
      <w:r w:rsidRPr="00E6573C">
        <w:rPr>
          <w:rFonts w:eastAsia="Times"/>
          <w:sz w:val="20"/>
          <w:szCs w:val="20"/>
          <w:lang w:val="es-ES_tradnl"/>
        </w:rPr>
        <w:t>Posteriormente,</w:t>
      </w:r>
      <w:r>
        <w:rPr>
          <w:rFonts w:eastAsia="Times"/>
          <w:i/>
          <w:sz w:val="20"/>
          <w:szCs w:val="20"/>
          <w:lang w:val="es-ES_tradnl"/>
        </w:rPr>
        <w:t xml:space="preserve"> </w:t>
      </w:r>
      <w:r>
        <w:rPr>
          <w:sz w:val="20"/>
          <w:szCs w:val="20"/>
        </w:rPr>
        <w:t xml:space="preserve">mediante Resolución de 23 de noviembre de 2016, la Corte amplió las medidas en favor de la </w:t>
      </w:r>
      <w:r w:rsidRPr="002A5410">
        <w:rPr>
          <w:i/>
          <w:spacing w:val="-4"/>
          <w:sz w:val="20"/>
          <w:szCs w:val="20"/>
          <w:lang w:val="es-MX"/>
        </w:rPr>
        <w:t>Comunidad de Esperanza Río Coco</w:t>
      </w:r>
      <w:r>
        <w:rPr>
          <w:i/>
          <w:spacing w:val="-4"/>
          <w:sz w:val="20"/>
          <w:szCs w:val="20"/>
          <w:lang w:val="es-MX"/>
        </w:rPr>
        <w:t xml:space="preserve">, </w:t>
      </w:r>
      <w:r w:rsidRPr="003E7D29">
        <w:rPr>
          <w:spacing w:val="-4"/>
          <w:sz w:val="20"/>
          <w:szCs w:val="20"/>
          <w:lang w:val="es-MX"/>
        </w:rPr>
        <w:t>al considerar</w:t>
      </w:r>
      <w:r>
        <w:rPr>
          <w:i/>
          <w:spacing w:val="-4"/>
          <w:sz w:val="20"/>
          <w:szCs w:val="20"/>
          <w:lang w:val="es-MX"/>
        </w:rPr>
        <w:t xml:space="preserve"> </w:t>
      </w:r>
      <w:r>
        <w:rPr>
          <w:spacing w:val="-4"/>
          <w:sz w:val="20"/>
          <w:szCs w:val="20"/>
          <w:lang w:val="es-MX"/>
        </w:rPr>
        <w:t xml:space="preserve">el </w:t>
      </w:r>
      <w:r w:rsidRPr="003E7D29">
        <w:rPr>
          <w:spacing w:val="-4"/>
          <w:sz w:val="20"/>
          <w:szCs w:val="20"/>
          <w:lang w:val="es-MX"/>
        </w:rPr>
        <w:t xml:space="preserve">recrudecimiento de hechos </w:t>
      </w:r>
      <w:r>
        <w:rPr>
          <w:spacing w:val="-4"/>
          <w:sz w:val="20"/>
          <w:szCs w:val="20"/>
          <w:lang w:val="es-MX"/>
        </w:rPr>
        <w:t>derivado d</w:t>
      </w:r>
      <w:r w:rsidRPr="00A9169B">
        <w:rPr>
          <w:sz w:val="20"/>
          <w:szCs w:val="20"/>
        </w:rPr>
        <w:t>el secuestro y posterior asesinato, decapitación y descuartizamiento de dos de sus pobladores</w:t>
      </w:r>
      <w:r>
        <w:rPr>
          <w:rStyle w:val="FootnoteReference"/>
          <w:sz w:val="20"/>
          <w:szCs w:val="20"/>
        </w:rPr>
        <w:footnoteReference w:id="9"/>
      </w:r>
      <w:r w:rsidRPr="00A9169B">
        <w:rPr>
          <w:sz w:val="20"/>
          <w:szCs w:val="20"/>
        </w:rPr>
        <w:t>.</w:t>
      </w:r>
      <w:r>
        <w:rPr>
          <w:sz w:val="20"/>
          <w:szCs w:val="20"/>
        </w:rPr>
        <w:t xml:space="preserve"> La presente solicitud de ampliación representa la segunda respecto de una comunidad que ya cuenta con medidas cautelares ante la Comisión. </w:t>
      </w:r>
    </w:p>
    <w:p w14:paraId="569B39FD" w14:textId="77777777" w:rsidR="0046631C" w:rsidRDefault="0046631C" w:rsidP="0046631C">
      <w:pPr>
        <w:pStyle w:val="Prrafodelista1"/>
        <w:tabs>
          <w:tab w:val="left" w:pos="720"/>
        </w:tabs>
        <w:jc w:val="both"/>
        <w:rPr>
          <w:sz w:val="20"/>
          <w:szCs w:val="20"/>
        </w:rPr>
      </w:pPr>
    </w:p>
    <w:p w14:paraId="048578B1" w14:textId="49ED4CAA" w:rsidR="00A9169B" w:rsidRPr="000C401F" w:rsidRDefault="00A9169B" w:rsidP="00A9169B">
      <w:pPr>
        <w:pStyle w:val="Prrafodelista1"/>
        <w:numPr>
          <w:ilvl w:val="0"/>
          <w:numId w:val="1"/>
        </w:numPr>
        <w:tabs>
          <w:tab w:val="clear" w:pos="1068"/>
          <w:tab w:val="left" w:pos="720"/>
        </w:tabs>
        <w:ind w:left="0" w:firstLine="0"/>
        <w:jc w:val="both"/>
        <w:rPr>
          <w:sz w:val="20"/>
          <w:szCs w:val="20"/>
        </w:rPr>
      </w:pPr>
      <w:r>
        <w:rPr>
          <w:sz w:val="20"/>
          <w:szCs w:val="20"/>
        </w:rPr>
        <w:t xml:space="preserve">En </w:t>
      </w:r>
      <w:r w:rsidR="007B40BD">
        <w:rPr>
          <w:sz w:val="20"/>
          <w:szCs w:val="20"/>
        </w:rPr>
        <w:t>sus</w:t>
      </w:r>
      <w:r w:rsidRPr="008818D3">
        <w:rPr>
          <w:sz w:val="20"/>
          <w:szCs w:val="20"/>
        </w:rPr>
        <w:t xml:space="preserve"> Resoluci</w:t>
      </w:r>
      <w:r>
        <w:rPr>
          <w:sz w:val="20"/>
          <w:szCs w:val="20"/>
        </w:rPr>
        <w:t>ones</w:t>
      </w:r>
      <w:r w:rsidRPr="008818D3">
        <w:rPr>
          <w:sz w:val="20"/>
          <w:szCs w:val="20"/>
        </w:rPr>
        <w:t xml:space="preserve"> de 1 de septiembre</w:t>
      </w:r>
      <w:r>
        <w:rPr>
          <w:sz w:val="20"/>
          <w:szCs w:val="20"/>
        </w:rPr>
        <w:t xml:space="preserve"> y 23 de noviembre</w:t>
      </w:r>
      <w:r w:rsidRPr="008818D3">
        <w:rPr>
          <w:sz w:val="20"/>
          <w:szCs w:val="20"/>
        </w:rPr>
        <w:t xml:space="preserve"> de 2016 la Corte tomó nota del contexto de violencia presentado en la región Costa Caribe Norte de Nicaragua, así como el recrudecimiento de la situación presentada desde el año 2015 hasta la fecha. En particular, con motivo de los hechos acontecidos en la solicitud inicial de medidas provisionales, especialmente: supuestos secuestros, asesinatos, agresiones sexuales, amenazas, incendios de viviendas, robos, emboscadas y ataques a pobladores, y con motivo de ello el abandono de diversas comunidades por sus pobladores</w:t>
      </w:r>
      <w:r w:rsidRPr="000C401F">
        <w:rPr>
          <w:rStyle w:val="FootnoteReference"/>
        </w:rPr>
        <w:footnoteReference w:id="10"/>
      </w:r>
      <w:r w:rsidRPr="000C401F">
        <w:rPr>
          <w:sz w:val="20"/>
          <w:szCs w:val="20"/>
        </w:rPr>
        <w:t>. En dicha</w:t>
      </w:r>
      <w:r>
        <w:rPr>
          <w:sz w:val="20"/>
          <w:szCs w:val="20"/>
        </w:rPr>
        <w:t>s</w:t>
      </w:r>
      <w:r w:rsidRPr="000C401F">
        <w:rPr>
          <w:sz w:val="20"/>
          <w:szCs w:val="20"/>
        </w:rPr>
        <w:t xml:space="preserve"> resoluci</w:t>
      </w:r>
      <w:r>
        <w:rPr>
          <w:sz w:val="20"/>
          <w:szCs w:val="20"/>
        </w:rPr>
        <w:t>ones</w:t>
      </w:r>
      <w:r w:rsidRPr="000C401F">
        <w:rPr>
          <w:sz w:val="20"/>
          <w:szCs w:val="20"/>
        </w:rPr>
        <w:t xml:space="preserve"> se consideró que los hechos expuestos “refleja</w:t>
      </w:r>
      <w:r w:rsidRPr="008818D3">
        <w:rPr>
          <w:sz w:val="20"/>
          <w:szCs w:val="20"/>
        </w:rPr>
        <w:t>[ban] una clara situación de extrema gravedad y urgencia y la posibilidad razonable de que se contin[uaran] materializando daños de carácter irreparable”</w:t>
      </w:r>
      <w:r w:rsidRPr="000C401F">
        <w:rPr>
          <w:rStyle w:val="FootnoteReference"/>
        </w:rPr>
        <w:footnoteReference w:id="11"/>
      </w:r>
      <w:r w:rsidRPr="000C401F">
        <w:rPr>
          <w:sz w:val="20"/>
          <w:szCs w:val="20"/>
        </w:rPr>
        <w:t xml:space="preserve">. </w:t>
      </w:r>
    </w:p>
    <w:p w14:paraId="70F2FC28" w14:textId="77777777" w:rsidR="00A9169B" w:rsidRPr="008818D3" w:rsidRDefault="00A9169B" w:rsidP="00A9169B">
      <w:pPr>
        <w:spacing w:after="0" w:line="240" w:lineRule="auto"/>
        <w:rPr>
          <w:rFonts w:ascii="Verdana" w:eastAsia="MS Mincho" w:hAnsi="Verdana"/>
          <w:b/>
          <w:lang w:val="es-ES"/>
        </w:rPr>
      </w:pPr>
    </w:p>
    <w:p w14:paraId="34C079DF" w14:textId="6F4CCF8F" w:rsidR="00A9169B" w:rsidRPr="008818D3" w:rsidRDefault="007B40BD" w:rsidP="00A9169B">
      <w:pPr>
        <w:pStyle w:val="Prrafodelista1"/>
        <w:numPr>
          <w:ilvl w:val="0"/>
          <w:numId w:val="1"/>
        </w:numPr>
        <w:tabs>
          <w:tab w:val="clear" w:pos="1068"/>
          <w:tab w:val="left" w:pos="720"/>
        </w:tabs>
        <w:ind w:left="0" w:firstLine="0"/>
        <w:jc w:val="both"/>
        <w:rPr>
          <w:sz w:val="20"/>
          <w:szCs w:val="20"/>
        </w:rPr>
      </w:pPr>
      <w:r>
        <w:rPr>
          <w:sz w:val="20"/>
          <w:szCs w:val="20"/>
        </w:rPr>
        <w:t xml:space="preserve">La </w:t>
      </w:r>
      <w:r w:rsidR="00A9169B" w:rsidRPr="008818D3">
        <w:rPr>
          <w:sz w:val="20"/>
          <w:szCs w:val="20"/>
        </w:rPr>
        <w:t>Corte ha considerado como un criterio para otorgar la ampliación de medidas provisionales que los hechos alegados en la solicitud tengan una conexión fáctica con los eventos que justificaron la adopción de medidas provisionales</w:t>
      </w:r>
      <w:r w:rsidR="00A9169B" w:rsidRPr="008818D3">
        <w:rPr>
          <w:rStyle w:val="FootnoteReference"/>
        </w:rPr>
        <w:footnoteReference w:id="12"/>
      </w:r>
      <w:r w:rsidR="00A9169B" w:rsidRPr="008818D3">
        <w:rPr>
          <w:sz w:val="20"/>
          <w:szCs w:val="20"/>
        </w:rPr>
        <w:t xml:space="preserve">. Además, ha señalado que si bien es cierto los hechos que motivan una solicitud de medidas provisionales o ampliación de las mismas no requieren estar plenamente comprobados, sí se requiere un mínimo de detalle e información que permitan al Tribunal apreciar </w:t>
      </w:r>
      <w:r w:rsidR="00A9169B" w:rsidRPr="008818D3">
        <w:rPr>
          <w:i/>
          <w:sz w:val="20"/>
          <w:szCs w:val="20"/>
        </w:rPr>
        <w:t xml:space="preserve">prima facie </w:t>
      </w:r>
      <w:r w:rsidR="00A9169B" w:rsidRPr="00095453">
        <w:rPr>
          <w:sz w:val="20"/>
          <w:szCs w:val="20"/>
        </w:rPr>
        <w:t>una situación de extrema gravedad y urgencia</w:t>
      </w:r>
      <w:r w:rsidR="00A9169B" w:rsidRPr="008818D3">
        <w:rPr>
          <w:rStyle w:val="FootnoteReference"/>
        </w:rPr>
        <w:footnoteReference w:id="13"/>
      </w:r>
      <w:r w:rsidR="00A9169B" w:rsidRPr="008818D3">
        <w:rPr>
          <w:sz w:val="20"/>
          <w:szCs w:val="20"/>
        </w:rPr>
        <w:t>.</w:t>
      </w:r>
    </w:p>
    <w:p w14:paraId="57102F0F" w14:textId="77777777" w:rsidR="00A9169B" w:rsidRPr="008818D3" w:rsidRDefault="00A9169B" w:rsidP="00A9169B">
      <w:pPr>
        <w:pStyle w:val="ListParagraph"/>
        <w:rPr>
          <w:rFonts w:ascii="Verdana" w:hAnsi="Verdana"/>
          <w:sz w:val="20"/>
        </w:rPr>
      </w:pPr>
    </w:p>
    <w:p w14:paraId="22EA447E" w14:textId="38C3722E" w:rsidR="00413486" w:rsidRPr="00043F66" w:rsidRDefault="00A9169B" w:rsidP="003E7D29">
      <w:pPr>
        <w:pStyle w:val="Prrafodelista1"/>
        <w:numPr>
          <w:ilvl w:val="0"/>
          <w:numId w:val="1"/>
        </w:numPr>
        <w:tabs>
          <w:tab w:val="clear" w:pos="1068"/>
          <w:tab w:val="left" w:pos="720"/>
        </w:tabs>
        <w:ind w:left="0" w:firstLine="0"/>
        <w:jc w:val="both"/>
        <w:rPr>
          <w:sz w:val="20"/>
          <w:szCs w:val="20"/>
        </w:rPr>
      </w:pPr>
      <w:r w:rsidRPr="0046631C">
        <w:rPr>
          <w:sz w:val="20"/>
          <w:szCs w:val="20"/>
        </w:rPr>
        <w:t xml:space="preserve">De la información presentada, se desprende que en la </w:t>
      </w:r>
      <w:r w:rsidRPr="0046631C">
        <w:rPr>
          <w:i/>
          <w:sz w:val="20"/>
          <w:szCs w:val="20"/>
        </w:rPr>
        <w:t xml:space="preserve">Comunidad de Esperanza Río </w:t>
      </w:r>
      <w:r w:rsidR="002A5792" w:rsidRPr="0046631C">
        <w:rPr>
          <w:i/>
          <w:sz w:val="20"/>
          <w:szCs w:val="20"/>
        </w:rPr>
        <w:t>Wawa</w:t>
      </w:r>
      <w:r w:rsidR="002A5792" w:rsidRPr="0046631C">
        <w:rPr>
          <w:sz w:val="20"/>
          <w:szCs w:val="20"/>
        </w:rPr>
        <w:t xml:space="preserve"> </w:t>
      </w:r>
      <w:r w:rsidR="0046631C" w:rsidRPr="0046631C">
        <w:rPr>
          <w:sz w:val="20"/>
          <w:szCs w:val="20"/>
        </w:rPr>
        <w:t>han existido situación recientes de riesgo</w:t>
      </w:r>
      <w:r w:rsidRPr="00F57CB8">
        <w:rPr>
          <w:sz w:val="20"/>
          <w:szCs w:val="20"/>
        </w:rPr>
        <w:t xml:space="preserve"> </w:t>
      </w:r>
      <w:r w:rsidR="00043F66" w:rsidRPr="00F57CB8">
        <w:rPr>
          <w:sz w:val="20"/>
          <w:szCs w:val="20"/>
        </w:rPr>
        <w:t xml:space="preserve">derivado de </w:t>
      </w:r>
      <w:r w:rsidR="002A5792" w:rsidRPr="00F57CB8">
        <w:rPr>
          <w:sz w:val="20"/>
          <w:szCs w:val="20"/>
        </w:rPr>
        <w:t>agresiones con arma de fuego a un adulto y dos niños, quienes sufrieron lesiones</w:t>
      </w:r>
      <w:r w:rsidR="00043F66" w:rsidRPr="00F57CB8">
        <w:rPr>
          <w:sz w:val="20"/>
          <w:szCs w:val="20"/>
        </w:rPr>
        <w:t xml:space="preserve"> </w:t>
      </w:r>
      <w:r w:rsidR="002A5792" w:rsidRPr="00F57CB8">
        <w:rPr>
          <w:sz w:val="20"/>
          <w:szCs w:val="20"/>
        </w:rPr>
        <w:t xml:space="preserve">en </w:t>
      </w:r>
      <w:r w:rsidR="00043F66" w:rsidRPr="00F57CB8">
        <w:rPr>
          <w:sz w:val="20"/>
          <w:szCs w:val="20"/>
        </w:rPr>
        <w:t>el mes de febrero de este año</w:t>
      </w:r>
      <w:r w:rsidR="002A5792" w:rsidRPr="00F57CB8">
        <w:rPr>
          <w:sz w:val="20"/>
          <w:szCs w:val="20"/>
        </w:rPr>
        <w:t xml:space="preserve">, </w:t>
      </w:r>
      <w:r w:rsidR="00F50F33" w:rsidRPr="00F57CB8">
        <w:rPr>
          <w:sz w:val="20"/>
          <w:szCs w:val="20"/>
        </w:rPr>
        <w:t xml:space="preserve">y </w:t>
      </w:r>
      <w:r w:rsidR="00043F66" w:rsidRPr="00F57CB8">
        <w:rPr>
          <w:sz w:val="20"/>
          <w:szCs w:val="20"/>
          <w:lang w:val="es-CR"/>
        </w:rPr>
        <w:t xml:space="preserve">la presunta irrupción </w:t>
      </w:r>
      <w:r w:rsidR="00F50F33" w:rsidRPr="00F57CB8">
        <w:rPr>
          <w:sz w:val="20"/>
          <w:szCs w:val="20"/>
          <w:lang w:val="es-CR"/>
        </w:rPr>
        <w:t xml:space="preserve">por parte de </w:t>
      </w:r>
      <w:r w:rsidR="007B40BD">
        <w:rPr>
          <w:sz w:val="20"/>
          <w:szCs w:val="20"/>
          <w:lang w:val="es-CR"/>
        </w:rPr>
        <w:t xml:space="preserve">200 </w:t>
      </w:r>
      <w:r w:rsidR="00F50F33" w:rsidRPr="00F57CB8">
        <w:rPr>
          <w:sz w:val="20"/>
          <w:szCs w:val="20"/>
          <w:lang w:val="es-CR"/>
        </w:rPr>
        <w:t>colonos en esta</w:t>
      </w:r>
      <w:r w:rsidR="002A5792" w:rsidRPr="00F57CB8">
        <w:rPr>
          <w:sz w:val="20"/>
          <w:szCs w:val="20"/>
          <w:lang w:val="es-CR"/>
        </w:rPr>
        <w:t xml:space="preserve"> comunidad</w:t>
      </w:r>
      <w:r w:rsidR="00043F66" w:rsidRPr="00F57CB8">
        <w:rPr>
          <w:sz w:val="20"/>
          <w:szCs w:val="20"/>
          <w:lang w:val="es-CR"/>
        </w:rPr>
        <w:t xml:space="preserve"> </w:t>
      </w:r>
      <w:r w:rsidR="00F50F33" w:rsidRPr="00F57CB8">
        <w:rPr>
          <w:sz w:val="20"/>
          <w:szCs w:val="20"/>
          <w:lang w:val="es-CR"/>
        </w:rPr>
        <w:t xml:space="preserve">en el mes de marzo de este año, </w:t>
      </w:r>
      <w:r w:rsidR="00043F66" w:rsidRPr="00F57CB8">
        <w:rPr>
          <w:sz w:val="20"/>
          <w:szCs w:val="20"/>
          <w:lang w:val="es-CR"/>
        </w:rPr>
        <w:t>donde presuntamente se habría</w:t>
      </w:r>
      <w:r w:rsidR="002A5792" w:rsidRPr="00F57CB8">
        <w:rPr>
          <w:sz w:val="20"/>
          <w:szCs w:val="20"/>
          <w:lang w:val="es-CR"/>
        </w:rPr>
        <w:t xml:space="preserve"> llegado a agredir a la comunidad y varias personas habrían </w:t>
      </w:r>
      <w:r w:rsidR="007B40BD">
        <w:rPr>
          <w:sz w:val="20"/>
          <w:szCs w:val="20"/>
          <w:lang w:val="es-CR"/>
        </w:rPr>
        <w:t>abandonado</w:t>
      </w:r>
      <w:r w:rsidR="007B40BD" w:rsidRPr="00F57CB8">
        <w:rPr>
          <w:sz w:val="20"/>
          <w:szCs w:val="20"/>
          <w:lang w:val="es-CR"/>
        </w:rPr>
        <w:t xml:space="preserve"> </w:t>
      </w:r>
      <w:r w:rsidR="002A5792" w:rsidRPr="00F57CB8">
        <w:rPr>
          <w:sz w:val="20"/>
          <w:szCs w:val="20"/>
          <w:lang w:val="es-CR"/>
        </w:rPr>
        <w:t xml:space="preserve">la misma. </w:t>
      </w:r>
      <w:r w:rsidR="0046631C">
        <w:rPr>
          <w:sz w:val="20"/>
          <w:szCs w:val="20"/>
          <w:lang w:val="es-CR"/>
        </w:rPr>
        <w:t>Con motivo de ello, los niños se han ausentado de la escuela debido al temor por la violencia presentada.</w:t>
      </w:r>
      <w:r w:rsidR="0046631C" w:rsidRPr="00F57CB8">
        <w:rPr>
          <w:sz w:val="20"/>
          <w:szCs w:val="20"/>
          <w:lang w:val="es-CR"/>
        </w:rPr>
        <w:t xml:space="preserve"> </w:t>
      </w:r>
      <w:r w:rsidR="00043F66" w:rsidRPr="00F57CB8">
        <w:rPr>
          <w:sz w:val="20"/>
          <w:szCs w:val="20"/>
          <w:lang w:val="es-CR"/>
        </w:rPr>
        <w:t xml:space="preserve">A criterio de esta Presidencia, </w:t>
      </w:r>
      <w:r w:rsidR="00043F66" w:rsidRPr="00F57CB8">
        <w:rPr>
          <w:sz w:val="20"/>
          <w:szCs w:val="20"/>
        </w:rPr>
        <w:t>lo anterior</w:t>
      </w:r>
      <w:r w:rsidR="002A5792" w:rsidRPr="00F57CB8">
        <w:rPr>
          <w:sz w:val="20"/>
          <w:szCs w:val="20"/>
        </w:rPr>
        <w:t xml:space="preserve"> </w:t>
      </w:r>
      <w:r w:rsidRPr="00F57CB8">
        <w:rPr>
          <w:sz w:val="20"/>
          <w:szCs w:val="20"/>
        </w:rPr>
        <w:t xml:space="preserve">refleja una situación de extrema gravedad y urgencia, </w:t>
      </w:r>
      <w:r w:rsidR="00CE052D">
        <w:rPr>
          <w:sz w:val="20"/>
          <w:szCs w:val="20"/>
        </w:rPr>
        <w:t xml:space="preserve">lo que a su vez representa un </w:t>
      </w:r>
      <w:r w:rsidR="00CE052D">
        <w:rPr>
          <w:sz w:val="20"/>
          <w:szCs w:val="20"/>
        </w:rPr>
        <w:lastRenderedPageBreak/>
        <w:t xml:space="preserve">recrudecimiento del riesgo de esa población, </w:t>
      </w:r>
      <w:r w:rsidRPr="00F57CB8">
        <w:rPr>
          <w:sz w:val="20"/>
          <w:szCs w:val="20"/>
        </w:rPr>
        <w:t>con la posibilidad razonable de que se continúen materializando daños irreparables a los derechos a la vida e integridad personal de los miembros de dicha comunidad</w:t>
      </w:r>
      <w:r w:rsidRPr="00043F66">
        <w:rPr>
          <w:sz w:val="20"/>
          <w:szCs w:val="20"/>
        </w:rPr>
        <w:t xml:space="preserve">. </w:t>
      </w:r>
      <w:r w:rsidR="00F50F33">
        <w:rPr>
          <w:sz w:val="20"/>
          <w:szCs w:val="20"/>
        </w:rPr>
        <w:t>[</w:t>
      </w:r>
      <w:r w:rsidR="00413486" w:rsidRPr="00043F66">
        <w:rPr>
          <w:sz w:val="20"/>
          <w:szCs w:val="20"/>
        </w:rPr>
        <w:t xml:space="preserve">Llama la atención que en vista de las fuentes de riesgo </w:t>
      </w:r>
      <w:r w:rsidR="007B40BD">
        <w:rPr>
          <w:sz w:val="20"/>
          <w:szCs w:val="20"/>
        </w:rPr>
        <w:t xml:space="preserve">que se presentaron </w:t>
      </w:r>
      <w:r w:rsidR="00413486" w:rsidRPr="00043F66">
        <w:rPr>
          <w:sz w:val="20"/>
          <w:szCs w:val="20"/>
        </w:rPr>
        <w:t>en los meses de febrero y marzo</w:t>
      </w:r>
      <w:r w:rsidR="00043F66">
        <w:rPr>
          <w:sz w:val="20"/>
          <w:szCs w:val="20"/>
        </w:rPr>
        <w:t xml:space="preserve"> del presente año</w:t>
      </w:r>
      <w:r w:rsidR="00413486" w:rsidRPr="00043F66">
        <w:rPr>
          <w:sz w:val="20"/>
          <w:szCs w:val="20"/>
        </w:rPr>
        <w:t>, la Comisión presentó esta solicitud hasta el mes de junio</w:t>
      </w:r>
      <w:r w:rsidR="003E7D29">
        <w:rPr>
          <w:sz w:val="20"/>
          <w:szCs w:val="20"/>
        </w:rPr>
        <w:t>]</w:t>
      </w:r>
      <w:r w:rsidR="00413486" w:rsidRPr="00043F66">
        <w:rPr>
          <w:sz w:val="20"/>
          <w:szCs w:val="20"/>
        </w:rPr>
        <w:t xml:space="preserve">. </w:t>
      </w:r>
    </w:p>
    <w:p w14:paraId="10525AC9" w14:textId="77777777" w:rsidR="00413486" w:rsidRPr="003E7D29" w:rsidRDefault="00413486" w:rsidP="003E7D29">
      <w:pPr>
        <w:pStyle w:val="ListParagraph"/>
        <w:rPr>
          <w:rFonts w:ascii="Verdana" w:hAnsi="Verdana"/>
          <w:sz w:val="20"/>
        </w:rPr>
      </w:pPr>
    </w:p>
    <w:p w14:paraId="42718FA9" w14:textId="39C6846E" w:rsidR="00A9169B" w:rsidRPr="007B40BD" w:rsidRDefault="00413486" w:rsidP="007B40BD">
      <w:pPr>
        <w:pStyle w:val="Prrafodelista1"/>
        <w:numPr>
          <w:ilvl w:val="0"/>
          <w:numId w:val="1"/>
        </w:numPr>
        <w:tabs>
          <w:tab w:val="clear" w:pos="1068"/>
          <w:tab w:val="left" w:pos="720"/>
        </w:tabs>
        <w:ind w:left="0" w:firstLine="0"/>
        <w:jc w:val="both"/>
        <w:rPr>
          <w:sz w:val="20"/>
          <w:szCs w:val="20"/>
        </w:rPr>
      </w:pPr>
      <w:r w:rsidRPr="00043F66">
        <w:rPr>
          <w:sz w:val="20"/>
          <w:szCs w:val="20"/>
        </w:rPr>
        <w:t xml:space="preserve">Por su parte, </w:t>
      </w:r>
      <w:r w:rsidR="0046631C">
        <w:rPr>
          <w:sz w:val="20"/>
          <w:szCs w:val="20"/>
        </w:rPr>
        <w:t xml:space="preserve">respecto de la solicitud de ampliación, </w:t>
      </w:r>
      <w:r w:rsidRPr="00043F66">
        <w:rPr>
          <w:sz w:val="20"/>
          <w:szCs w:val="20"/>
        </w:rPr>
        <w:t xml:space="preserve">el Estado </w:t>
      </w:r>
      <w:r w:rsidR="00043F66">
        <w:rPr>
          <w:sz w:val="20"/>
          <w:szCs w:val="20"/>
        </w:rPr>
        <w:t xml:space="preserve">se limitó a señalar que en relación con </w:t>
      </w:r>
      <w:r w:rsidRPr="00043F66">
        <w:rPr>
          <w:sz w:val="20"/>
          <w:szCs w:val="20"/>
        </w:rPr>
        <w:t xml:space="preserve">los hechos denunciados </w:t>
      </w:r>
      <w:r w:rsidR="00043F66" w:rsidRPr="003E7D29">
        <w:rPr>
          <w:sz w:val="20"/>
          <w:szCs w:val="20"/>
        </w:rPr>
        <w:t xml:space="preserve">la Policía abrió un expediente de investigación a fin de identificar los autores de la agresión de </w:t>
      </w:r>
      <w:r w:rsidRPr="00043F66">
        <w:rPr>
          <w:sz w:val="20"/>
          <w:szCs w:val="20"/>
        </w:rPr>
        <w:t xml:space="preserve">un adulto y dos niños </w:t>
      </w:r>
      <w:r w:rsidR="003E7D29">
        <w:rPr>
          <w:sz w:val="20"/>
          <w:szCs w:val="20"/>
        </w:rPr>
        <w:t>desde el mismo</w:t>
      </w:r>
      <w:r w:rsidRPr="00043F66">
        <w:rPr>
          <w:sz w:val="20"/>
          <w:szCs w:val="20"/>
        </w:rPr>
        <w:t xml:space="preserve"> día</w:t>
      </w:r>
      <w:r w:rsidR="003E7D29">
        <w:rPr>
          <w:sz w:val="20"/>
          <w:szCs w:val="20"/>
        </w:rPr>
        <w:t xml:space="preserve"> de los </w:t>
      </w:r>
      <w:r w:rsidR="007B40BD">
        <w:rPr>
          <w:sz w:val="20"/>
          <w:szCs w:val="20"/>
        </w:rPr>
        <w:t>hechos</w:t>
      </w:r>
      <w:r w:rsidR="00043F66" w:rsidRPr="003E7D29">
        <w:rPr>
          <w:sz w:val="20"/>
          <w:szCs w:val="20"/>
        </w:rPr>
        <w:t>.</w:t>
      </w:r>
      <w:r w:rsidRPr="00043F66">
        <w:rPr>
          <w:sz w:val="20"/>
          <w:szCs w:val="20"/>
        </w:rPr>
        <w:t xml:space="preserve"> </w:t>
      </w:r>
      <w:r w:rsidR="00043F66" w:rsidRPr="00043F66">
        <w:rPr>
          <w:sz w:val="20"/>
          <w:szCs w:val="20"/>
        </w:rPr>
        <w:t>Sin</w:t>
      </w:r>
      <w:r w:rsidR="00043F66">
        <w:rPr>
          <w:sz w:val="20"/>
          <w:szCs w:val="20"/>
        </w:rPr>
        <w:t xml:space="preserve"> </w:t>
      </w:r>
      <w:r w:rsidR="00043F66" w:rsidRPr="00043F66">
        <w:rPr>
          <w:sz w:val="20"/>
          <w:szCs w:val="20"/>
        </w:rPr>
        <w:t>emb</w:t>
      </w:r>
      <w:r w:rsidR="00043F66">
        <w:rPr>
          <w:sz w:val="20"/>
          <w:szCs w:val="20"/>
        </w:rPr>
        <w:t>a</w:t>
      </w:r>
      <w:r w:rsidR="00043F66" w:rsidRPr="00043F66">
        <w:rPr>
          <w:sz w:val="20"/>
          <w:szCs w:val="20"/>
        </w:rPr>
        <w:t>rgo</w:t>
      </w:r>
      <w:r w:rsidR="00043F66" w:rsidRPr="003E7D29">
        <w:rPr>
          <w:sz w:val="20"/>
          <w:szCs w:val="20"/>
        </w:rPr>
        <w:t xml:space="preserve">, </w:t>
      </w:r>
      <w:r w:rsidR="003E7D29">
        <w:rPr>
          <w:sz w:val="20"/>
          <w:szCs w:val="20"/>
        </w:rPr>
        <w:t xml:space="preserve">el Estado </w:t>
      </w:r>
      <w:r w:rsidR="00043F66" w:rsidRPr="003E7D29">
        <w:rPr>
          <w:sz w:val="20"/>
          <w:szCs w:val="20"/>
        </w:rPr>
        <w:t>n</w:t>
      </w:r>
      <w:r w:rsidRPr="00043F66">
        <w:rPr>
          <w:sz w:val="20"/>
          <w:szCs w:val="20"/>
        </w:rPr>
        <w:t xml:space="preserve">o se pronunció respecto la presunta irrupción por parte de </w:t>
      </w:r>
      <w:r w:rsidR="007B40BD">
        <w:rPr>
          <w:sz w:val="20"/>
          <w:szCs w:val="20"/>
        </w:rPr>
        <w:t xml:space="preserve">200 </w:t>
      </w:r>
      <w:r w:rsidRPr="00043F66">
        <w:rPr>
          <w:sz w:val="20"/>
          <w:szCs w:val="20"/>
        </w:rPr>
        <w:t xml:space="preserve">colonos </w:t>
      </w:r>
      <w:r w:rsidR="007B40BD">
        <w:rPr>
          <w:spacing w:val="-4"/>
          <w:sz w:val="20"/>
          <w:szCs w:val="20"/>
          <w:lang w:val="es-MX"/>
        </w:rPr>
        <w:t>en la c</w:t>
      </w:r>
      <w:r w:rsidR="007B40BD" w:rsidRPr="00D92820">
        <w:rPr>
          <w:spacing w:val="-4"/>
          <w:sz w:val="20"/>
          <w:szCs w:val="20"/>
          <w:lang w:val="es-MX"/>
        </w:rPr>
        <w:t>omunidad donde se alega que habrían llegado a agredir a la comunidad</w:t>
      </w:r>
      <w:r w:rsidR="007B40BD">
        <w:rPr>
          <w:spacing w:val="-4"/>
          <w:sz w:val="20"/>
          <w:szCs w:val="20"/>
          <w:lang w:val="es-MX"/>
        </w:rPr>
        <w:t xml:space="preserve"> y que resultó en el desplazamiento de varias familias indígenas.</w:t>
      </w:r>
      <w:r w:rsidR="007B40BD" w:rsidRPr="00043F66" w:rsidDel="007B40BD">
        <w:rPr>
          <w:sz w:val="20"/>
        </w:rPr>
        <w:t xml:space="preserve"> </w:t>
      </w:r>
      <w:r w:rsidR="00043F66" w:rsidRPr="007B40BD">
        <w:rPr>
          <w:sz w:val="20"/>
          <w:szCs w:val="20"/>
        </w:rPr>
        <w:t xml:space="preserve">Tampoco se pronunció </w:t>
      </w:r>
      <w:r w:rsidR="007B40BD">
        <w:rPr>
          <w:sz w:val="20"/>
          <w:szCs w:val="20"/>
        </w:rPr>
        <w:t xml:space="preserve">de manera concreta </w:t>
      </w:r>
      <w:r w:rsidR="00043F66" w:rsidRPr="007B40BD">
        <w:rPr>
          <w:sz w:val="20"/>
          <w:szCs w:val="20"/>
        </w:rPr>
        <w:t xml:space="preserve">respecto de medidas </w:t>
      </w:r>
      <w:r w:rsidR="007B40BD">
        <w:rPr>
          <w:sz w:val="20"/>
          <w:szCs w:val="20"/>
        </w:rPr>
        <w:t xml:space="preserve">efectivas </w:t>
      </w:r>
      <w:r w:rsidR="00043F66" w:rsidRPr="007B40BD">
        <w:rPr>
          <w:sz w:val="20"/>
          <w:szCs w:val="20"/>
        </w:rPr>
        <w:t xml:space="preserve">de seguridad que estuviera adoptando, a fin de controlar el riesgo en </w:t>
      </w:r>
      <w:r w:rsidR="003E7D29" w:rsidRPr="007B40BD">
        <w:rPr>
          <w:sz w:val="20"/>
          <w:szCs w:val="20"/>
        </w:rPr>
        <w:t xml:space="preserve">la </w:t>
      </w:r>
      <w:r w:rsidR="00043F66" w:rsidRPr="007B40BD">
        <w:rPr>
          <w:sz w:val="20"/>
          <w:szCs w:val="20"/>
        </w:rPr>
        <w:t>comunidad</w:t>
      </w:r>
      <w:r w:rsidR="003E7D29" w:rsidRPr="007B40BD">
        <w:rPr>
          <w:sz w:val="20"/>
          <w:szCs w:val="20"/>
        </w:rPr>
        <w:t xml:space="preserve"> en cuestión</w:t>
      </w:r>
      <w:r w:rsidR="00043F66" w:rsidRPr="007B40BD">
        <w:rPr>
          <w:sz w:val="20"/>
          <w:szCs w:val="20"/>
        </w:rPr>
        <w:t>, más allá de mencionar la implementación de acciones para fortalecer la seguridad ciudadana y diferentes programas de desarrollo humano</w:t>
      </w:r>
      <w:r w:rsidR="00F57CB8" w:rsidRPr="007B40BD">
        <w:rPr>
          <w:sz w:val="20"/>
          <w:szCs w:val="20"/>
        </w:rPr>
        <w:t>.</w:t>
      </w:r>
    </w:p>
    <w:p w14:paraId="19A11A8B" w14:textId="77777777" w:rsidR="00A9169B" w:rsidRPr="00043F66" w:rsidRDefault="00A9169B" w:rsidP="00A9169B">
      <w:pPr>
        <w:pStyle w:val="ListParagraph"/>
        <w:rPr>
          <w:rFonts w:ascii="Verdana" w:hAnsi="Verdana"/>
          <w:sz w:val="20"/>
        </w:rPr>
      </w:pPr>
    </w:p>
    <w:p w14:paraId="5483F94C" w14:textId="77777777" w:rsidR="00A9169B" w:rsidRPr="008818D3" w:rsidRDefault="00A9169B" w:rsidP="00A9169B">
      <w:pPr>
        <w:pStyle w:val="Prrafodelista1"/>
        <w:numPr>
          <w:ilvl w:val="0"/>
          <w:numId w:val="1"/>
        </w:numPr>
        <w:tabs>
          <w:tab w:val="clear" w:pos="1068"/>
          <w:tab w:val="left" w:pos="720"/>
        </w:tabs>
        <w:ind w:left="0" w:firstLine="0"/>
        <w:jc w:val="both"/>
        <w:rPr>
          <w:sz w:val="20"/>
          <w:szCs w:val="20"/>
        </w:rPr>
      </w:pPr>
      <w:r w:rsidRPr="008818D3">
        <w:rPr>
          <w:sz w:val="20"/>
          <w:szCs w:val="20"/>
        </w:rPr>
        <w:t>Asimismo, los graves hechos reportados tienen una conexión fáctica con las medidas provisionales otorgadas el 1 de septiembre</w:t>
      </w:r>
      <w:r w:rsidR="00413486">
        <w:rPr>
          <w:sz w:val="20"/>
          <w:szCs w:val="20"/>
        </w:rPr>
        <w:t xml:space="preserve"> y 23 de noviembre</w:t>
      </w:r>
      <w:r w:rsidRPr="008818D3">
        <w:rPr>
          <w:sz w:val="20"/>
          <w:szCs w:val="20"/>
        </w:rPr>
        <w:t xml:space="preserve"> de 2016 al compartir una fuente común de riesgo, resultante del contexto de violencia presentado en la región Costa Caribe Norte de Nicaragua y la conflictividad existente con terceros o “colonos” en el marco de la reivindicación de los territorios ancestrales del pueblo indígena </w:t>
      </w:r>
      <w:r>
        <w:rPr>
          <w:i/>
          <w:sz w:val="20"/>
          <w:szCs w:val="20"/>
        </w:rPr>
        <w:t>M</w:t>
      </w:r>
      <w:r w:rsidRPr="008818D3">
        <w:rPr>
          <w:i/>
          <w:sz w:val="20"/>
          <w:szCs w:val="20"/>
        </w:rPr>
        <w:t>iskitu</w:t>
      </w:r>
      <w:r w:rsidRPr="008818D3">
        <w:rPr>
          <w:sz w:val="20"/>
          <w:szCs w:val="20"/>
        </w:rPr>
        <w:t xml:space="preserve">, así como los procesos de saneamiento que tienen lugar en dicha zona. </w:t>
      </w:r>
    </w:p>
    <w:p w14:paraId="65FFB84A" w14:textId="77777777" w:rsidR="00A9169B" w:rsidRPr="002C4BEB" w:rsidRDefault="00A9169B" w:rsidP="00A9169B">
      <w:pPr>
        <w:pStyle w:val="ListParagraph"/>
        <w:rPr>
          <w:rFonts w:ascii="Verdana" w:hAnsi="Verdana"/>
          <w:sz w:val="20"/>
        </w:rPr>
      </w:pPr>
    </w:p>
    <w:p w14:paraId="1E4DED5D" w14:textId="4934C580" w:rsidR="00A9169B" w:rsidRPr="008818D3" w:rsidRDefault="00A9169B" w:rsidP="00A9169B">
      <w:pPr>
        <w:pStyle w:val="Prrafodelista1"/>
        <w:numPr>
          <w:ilvl w:val="0"/>
          <w:numId w:val="1"/>
        </w:numPr>
        <w:tabs>
          <w:tab w:val="clear" w:pos="1068"/>
          <w:tab w:val="left" w:pos="720"/>
        </w:tabs>
        <w:ind w:left="0" w:firstLine="0"/>
        <w:jc w:val="both"/>
        <w:rPr>
          <w:sz w:val="20"/>
          <w:szCs w:val="20"/>
        </w:rPr>
      </w:pPr>
      <w:r w:rsidRPr="008818D3">
        <w:rPr>
          <w:sz w:val="20"/>
          <w:szCs w:val="20"/>
        </w:rPr>
        <w:t xml:space="preserve">En vista de </w:t>
      </w:r>
      <w:r w:rsidR="00402985">
        <w:rPr>
          <w:sz w:val="20"/>
          <w:szCs w:val="20"/>
        </w:rPr>
        <w:t>la información recibida</w:t>
      </w:r>
      <w:r w:rsidRPr="008818D3">
        <w:rPr>
          <w:sz w:val="20"/>
          <w:szCs w:val="20"/>
        </w:rPr>
        <w:t xml:space="preserve">, en aplicación del estándar </w:t>
      </w:r>
      <w:r w:rsidRPr="00095453">
        <w:rPr>
          <w:i/>
          <w:sz w:val="20"/>
          <w:szCs w:val="20"/>
        </w:rPr>
        <w:t xml:space="preserve">prima facie, </w:t>
      </w:r>
      <w:r w:rsidR="003E7D29">
        <w:rPr>
          <w:sz w:val="20"/>
          <w:szCs w:val="20"/>
        </w:rPr>
        <w:t>esta Presidencia</w:t>
      </w:r>
      <w:r>
        <w:rPr>
          <w:sz w:val="20"/>
          <w:szCs w:val="20"/>
        </w:rPr>
        <w:t xml:space="preserve"> considera que </w:t>
      </w:r>
      <w:r w:rsidRPr="00B23996">
        <w:rPr>
          <w:sz w:val="20"/>
          <w:szCs w:val="20"/>
        </w:rPr>
        <w:t xml:space="preserve">se encuentran </w:t>
      </w:r>
      <w:r w:rsidR="00402985">
        <w:rPr>
          <w:sz w:val="20"/>
          <w:szCs w:val="20"/>
        </w:rPr>
        <w:t xml:space="preserve">acreditados </w:t>
      </w:r>
      <w:r w:rsidRPr="00B23996">
        <w:rPr>
          <w:sz w:val="20"/>
          <w:szCs w:val="20"/>
        </w:rPr>
        <w:t xml:space="preserve">los requisitos de extrema gravedad, urgencia y peligro inminente de daño irreparable a los derechos de los miembros de la </w:t>
      </w:r>
      <w:r w:rsidRPr="00967598">
        <w:rPr>
          <w:i/>
          <w:sz w:val="20"/>
          <w:szCs w:val="20"/>
        </w:rPr>
        <w:t xml:space="preserve">Comunidad de Esperanza Río </w:t>
      </w:r>
      <w:r w:rsidR="00413486">
        <w:rPr>
          <w:i/>
          <w:sz w:val="20"/>
          <w:szCs w:val="20"/>
        </w:rPr>
        <w:t>Wawa</w:t>
      </w:r>
      <w:r w:rsidRPr="00967598">
        <w:rPr>
          <w:i/>
          <w:sz w:val="20"/>
          <w:szCs w:val="20"/>
        </w:rPr>
        <w:t xml:space="preserve"> </w:t>
      </w:r>
      <w:r w:rsidRPr="000C401F">
        <w:rPr>
          <w:sz w:val="20"/>
          <w:szCs w:val="20"/>
        </w:rPr>
        <w:t xml:space="preserve">que requiere su protección a través del mecanismo de medidas provisionales. </w:t>
      </w:r>
    </w:p>
    <w:p w14:paraId="2E97D3A4" w14:textId="77777777" w:rsidR="00A9169B" w:rsidRPr="008818D3" w:rsidRDefault="00A9169B" w:rsidP="00A9169B">
      <w:pPr>
        <w:pStyle w:val="Prrafodelista1"/>
        <w:tabs>
          <w:tab w:val="left" w:pos="720"/>
        </w:tabs>
        <w:jc w:val="both"/>
        <w:rPr>
          <w:sz w:val="20"/>
          <w:szCs w:val="20"/>
        </w:rPr>
      </w:pPr>
    </w:p>
    <w:p w14:paraId="119EFFAA" w14:textId="6E61288D" w:rsidR="00A9169B" w:rsidRPr="0046631C" w:rsidRDefault="00A9169B" w:rsidP="0046631C">
      <w:pPr>
        <w:pStyle w:val="Prrafodelista1"/>
        <w:numPr>
          <w:ilvl w:val="0"/>
          <w:numId w:val="1"/>
        </w:numPr>
        <w:tabs>
          <w:tab w:val="clear" w:pos="1068"/>
          <w:tab w:val="left" w:pos="720"/>
        </w:tabs>
        <w:ind w:left="0" w:firstLine="0"/>
        <w:jc w:val="both"/>
        <w:rPr>
          <w:sz w:val="20"/>
          <w:szCs w:val="20"/>
        </w:rPr>
      </w:pPr>
      <w:r w:rsidRPr="008818D3">
        <w:rPr>
          <w:rFonts w:eastAsia="MS Mincho"/>
          <w:sz w:val="20"/>
          <w:szCs w:val="20"/>
          <w:lang w:val="es-ES_tradnl"/>
        </w:rPr>
        <w:t xml:space="preserve">Ante estos nuevos hechos </w:t>
      </w:r>
      <w:r w:rsidRPr="008818D3">
        <w:rPr>
          <w:rFonts w:eastAsia="MS Mincho"/>
          <w:sz w:val="20"/>
          <w:szCs w:val="20"/>
        </w:rPr>
        <w:t xml:space="preserve">y el contexto de violencia en el que se presentaron, el cual ha sido constatado por </w:t>
      </w:r>
      <w:r>
        <w:rPr>
          <w:rFonts w:eastAsia="MS Mincho"/>
          <w:sz w:val="20"/>
          <w:szCs w:val="20"/>
        </w:rPr>
        <w:t>este Tribunal</w:t>
      </w:r>
      <w:r w:rsidRPr="008818D3">
        <w:rPr>
          <w:rFonts w:eastAsia="MS Mincho"/>
          <w:sz w:val="20"/>
          <w:szCs w:val="20"/>
        </w:rPr>
        <w:t xml:space="preserve"> con anterioridad</w:t>
      </w:r>
      <w:r w:rsidRPr="008818D3">
        <w:rPr>
          <w:rStyle w:val="FootnoteReference"/>
        </w:rPr>
        <w:footnoteReference w:id="14"/>
      </w:r>
      <w:r w:rsidRPr="008818D3">
        <w:rPr>
          <w:rFonts w:eastAsia="MS Mincho"/>
          <w:sz w:val="20"/>
          <w:szCs w:val="20"/>
        </w:rPr>
        <w:t xml:space="preserve">, </w:t>
      </w:r>
      <w:r w:rsidR="007B40BD">
        <w:rPr>
          <w:rFonts w:eastAsia="MS Mincho"/>
          <w:sz w:val="20"/>
          <w:szCs w:val="20"/>
        </w:rPr>
        <w:t>esta Presidencia</w:t>
      </w:r>
      <w:r w:rsidRPr="00B23996">
        <w:rPr>
          <w:rFonts w:eastAsia="MS Mincho"/>
          <w:sz w:val="20"/>
          <w:szCs w:val="20"/>
        </w:rPr>
        <w:t xml:space="preserve"> considera pertinente </w:t>
      </w:r>
      <w:r w:rsidRPr="00967598">
        <w:rPr>
          <w:rFonts w:eastAsia="MS Mincho"/>
          <w:sz w:val="20"/>
          <w:szCs w:val="20"/>
        </w:rPr>
        <w:t>ampliar las</w:t>
      </w:r>
      <w:r w:rsidRPr="000C401F">
        <w:rPr>
          <w:rFonts w:eastAsia="MS Mincho"/>
          <w:sz w:val="20"/>
          <w:szCs w:val="20"/>
        </w:rPr>
        <w:t xml:space="preserve"> medidas provisionales de protección en relación con todos los miem</w:t>
      </w:r>
      <w:r w:rsidRPr="008E33D8">
        <w:rPr>
          <w:rFonts w:eastAsia="MS Mincho"/>
          <w:sz w:val="20"/>
          <w:szCs w:val="20"/>
        </w:rPr>
        <w:t xml:space="preserve">bros del pueblo indígena </w:t>
      </w:r>
      <w:r w:rsidRPr="008818D3">
        <w:rPr>
          <w:rFonts w:eastAsia="MS Mincho"/>
          <w:i/>
          <w:sz w:val="20"/>
          <w:szCs w:val="20"/>
        </w:rPr>
        <w:t xml:space="preserve">Miskitu </w:t>
      </w:r>
      <w:r w:rsidRPr="008818D3">
        <w:rPr>
          <w:rFonts w:eastAsia="MS Mincho"/>
          <w:sz w:val="20"/>
          <w:szCs w:val="20"/>
        </w:rPr>
        <w:t xml:space="preserve">que habitan en la </w:t>
      </w:r>
      <w:r w:rsidRPr="008818D3">
        <w:rPr>
          <w:rFonts w:eastAsia="MS Mincho"/>
          <w:i/>
          <w:sz w:val="20"/>
          <w:szCs w:val="20"/>
        </w:rPr>
        <w:t xml:space="preserve">Comunidad de Esperanza Río </w:t>
      </w:r>
      <w:r w:rsidR="00413486">
        <w:rPr>
          <w:rFonts w:eastAsia="MS Mincho"/>
          <w:i/>
          <w:sz w:val="20"/>
          <w:szCs w:val="20"/>
        </w:rPr>
        <w:t>Wawa</w:t>
      </w:r>
      <w:r w:rsidRPr="008818D3">
        <w:rPr>
          <w:rFonts w:eastAsia="MS Mincho"/>
          <w:i/>
          <w:sz w:val="20"/>
          <w:szCs w:val="20"/>
        </w:rPr>
        <w:t xml:space="preserve">, </w:t>
      </w:r>
      <w:r w:rsidRPr="008818D3">
        <w:rPr>
          <w:rFonts w:eastAsia="MS Mincho"/>
          <w:sz w:val="20"/>
          <w:szCs w:val="20"/>
        </w:rPr>
        <w:t xml:space="preserve">así como </w:t>
      </w:r>
      <w:r w:rsidR="0046631C">
        <w:rPr>
          <w:rFonts w:eastAsia="MS Mincho"/>
          <w:sz w:val="20"/>
          <w:szCs w:val="20"/>
        </w:rPr>
        <w:t xml:space="preserve">a favor de </w:t>
      </w:r>
      <w:r w:rsidRPr="008818D3">
        <w:rPr>
          <w:rFonts w:eastAsia="MS Mincho"/>
          <w:sz w:val="20"/>
          <w:szCs w:val="20"/>
        </w:rPr>
        <w:t>las personas que presuntamente haya</w:t>
      </w:r>
      <w:r>
        <w:rPr>
          <w:rFonts w:eastAsia="MS Mincho"/>
          <w:sz w:val="20"/>
          <w:szCs w:val="20"/>
        </w:rPr>
        <w:t>n</w:t>
      </w:r>
      <w:r w:rsidRPr="008818D3">
        <w:rPr>
          <w:rFonts w:eastAsia="MS Mincho"/>
          <w:sz w:val="20"/>
          <w:szCs w:val="20"/>
        </w:rPr>
        <w:t xml:space="preserve"> tenido que abandonar dicha comunidad y deseen regresar, </w:t>
      </w:r>
      <w:r w:rsidR="0046631C">
        <w:rPr>
          <w:rFonts w:eastAsia="MS Mincho"/>
          <w:sz w:val="20"/>
          <w:szCs w:val="20"/>
        </w:rPr>
        <w:t>respecto de los cuales se brinden medidas de seguridad y protección.</w:t>
      </w:r>
    </w:p>
    <w:p w14:paraId="3CDA7186" w14:textId="034A1F70" w:rsidR="00043F66" w:rsidRPr="00095453" w:rsidRDefault="00043F66" w:rsidP="003E7D29">
      <w:pPr>
        <w:pStyle w:val="Prrafodelista1"/>
        <w:tabs>
          <w:tab w:val="left" w:pos="720"/>
        </w:tabs>
        <w:jc w:val="both"/>
        <w:rPr>
          <w:sz w:val="20"/>
          <w:szCs w:val="20"/>
          <w:lang w:val="es-CL"/>
        </w:rPr>
      </w:pPr>
    </w:p>
    <w:p w14:paraId="2341FDD8" w14:textId="609C642F" w:rsidR="00A9169B" w:rsidRPr="002A5410" w:rsidRDefault="00A9169B" w:rsidP="003E7D29">
      <w:pPr>
        <w:pStyle w:val="Prrafodelista1"/>
        <w:numPr>
          <w:ilvl w:val="0"/>
          <w:numId w:val="1"/>
        </w:numPr>
        <w:tabs>
          <w:tab w:val="clear" w:pos="1068"/>
          <w:tab w:val="left" w:pos="720"/>
        </w:tabs>
        <w:ind w:left="0" w:firstLine="0"/>
        <w:jc w:val="both"/>
        <w:rPr>
          <w:spacing w:val="-4"/>
          <w:sz w:val="20"/>
          <w:szCs w:val="20"/>
          <w:lang w:val="es-MX"/>
        </w:rPr>
      </w:pPr>
      <w:r>
        <w:rPr>
          <w:rFonts w:eastAsia="MS Mincho"/>
          <w:sz w:val="20"/>
          <w:szCs w:val="20"/>
        </w:rPr>
        <w:t>Est</w:t>
      </w:r>
      <w:r w:rsidR="007B40BD">
        <w:rPr>
          <w:rFonts w:eastAsia="MS Mincho"/>
          <w:sz w:val="20"/>
          <w:szCs w:val="20"/>
        </w:rPr>
        <w:t>a</w:t>
      </w:r>
      <w:r>
        <w:rPr>
          <w:rFonts w:eastAsia="MS Mincho"/>
          <w:sz w:val="20"/>
          <w:szCs w:val="20"/>
        </w:rPr>
        <w:t xml:space="preserve"> </w:t>
      </w:r>
      <w:r w:rsidR="00043F66">
        <w:rPr>
          <w:rFonts w:eastAsia="MS Mincho"/>
          <w:sz w:val="20"/>
          <w:szCs w:val="20"/>
        </w:rPr>
        <w:t xml:space="preserve">Presidencia </w:t>
      </w:r>
      <w:r>
        <w:rPr>
          <w:rFonts w:eastAsia="MS Mincho"/>
          <w:sz w:val="20"/>
          <w:szCs w:val="20"/>
        </w:rPr>
        <w:t>considera</w:t>
      </w:r>
      <w:r w:rsidRPr="000C401F">
        <w:rPr>
          <w:spacing w:val="-4"/>
          <w:sz w:val="20"/>
          <w:szCs w:val="20"/>
          <w:lang w:val="es-MX"/>
        </w:rPr>
        <w:t xml:space="preserve"> los esfuerzos que está realizando el Estado </w:t>
      </w:r>
      <w:r w:rsidRPr="008E33D8">
        <w:rPr>
          <w:sz w:val="20"/>
          <w:szCs w:val="20"/>
          <w:lang w:val="es-CL"/>
        </w:rPr>
        <w:t xml:space="preserve">de </w:t>
      </w:r>
      <w:r w:rsidRPr="008818D3">
        <w:rPr>
          <w:sz w:val="20"/>
          <w:szCs w:val="20"/>
          <w:lang w:val="es-CL"/>
        </w:rPr>
        <w:t>Nicaragua</w:t>
      </w:r>
      <w:r w:rsidRPr="008818D3">
        <w:rPr>
          <w:spacing w:val="-4"/>
          <w:sz w:val="20"/>
          <w:szCs w:val="20"/>
          <w:lang w:val="es-MX"/>
        </w:rPr>
        <w:t xml:space="preserve"> para proteger y garantizar el respeto a la vida, integridad personal, territorial e identidad cultural de las comunidades </w:t>
      </w:r>
      <w:r w:rsidRPr="008818D3">
        <w:rPr>
          <w:i/>
          <w:spacing w:val="-4"/>
          <w:sz w:val="20"/>
          <w:szCs w:val="20"/>
          <w:lang w:val="es-MX"/>
        </w:rPr>
        <w:t>Miskitu</w:t>
      </w:r>
      <w:r w:rsidRPr="008818D3">
        <w:rPr>
          <w:spacing w:val="-4"/>
          <w:sz w:val="20"/>
          <w:szCs w:val="20"/>
          <w:lang w:val="es-MX"/>
        </w:rPr>
        <w:t xml:space="preserve"> en la Costa Caribe No</w:t>
      </w:r>
      <w:r w:rsidRPr="003E7D29">
        <w:rPr>
          <w:spacing w:val="-4"/>
          <w:sz w:val="20"/>
          <w:szCs w:val="20"/>
          <w:lang w:val="es-MX"/>
        </w:rPr>
        <w:t xml:space="preserve">rte; </w:t>
      </w:r>
      <w:r w:rsidR="00043F66" w:rsidRPr="00043F66">
        <w:rPr>
          <w:spacing w:val="-4"/>
          <w:sz w:val="20"/>
          <w:szCs w:val="20"/>
          <w:lang w:val="es-MX"/>
        </w:rPr>
        <w:t xml:space="preserve">destacando un Plan de Acción para la implementación de las mismas, a la luz del diagnóstico de riesgo realizado por el </w:t>
      </w:r>
      <w:r w:rsidR="00043F66">
        <w:rPr>
          <w:spacing w:val="-4"/>
          <w:sz w:val="20"/>
          <w:szCs w:val="20"/>
          <w:lang w:val="es-MX"/>
        </w:rPr>
        <w:t>Estado</w:t>
      </w:r>
      <w:r w:rsidR="00043F66" w:rsidRPr="00043F66">
        <w:rPr>
          <w:spacing w:val="-4"/>
          <w:sz w:val="20"/>
          <w:szCs w:val="20"/>
          <w:lang w:val="es-MX"/>
        </w:rPr>
        <w:t>,</w:t>
      </w:r>
      <w:r w:rsidR="00043F66" w:rsidRPr="003E7D29">
        <w:rPr>
          <w:spacing w:val="-4"/>
          <w:sz w:val="20"/>
          <w:szCs w:val="20"/>
          <w:lang w:val="es-MX"/>
        </w:rPr>
        <w:t xml:space="preserve"> </w:t>
      </w:r>
      <w:r w:rsidRPr="00C70021">
        <w:rPr>
          <w:spacing w:val="-4"/>
          <w:sz w:val="20"/>
          <w:szCs w:val="20"/>
          <w:lang w:val="es-MX"/>
        </w:rPr>
        <w:t xml:space="preserve">y </w:t>
      </w:r>
      <w:r w:rsidR="003E7D29">
        <w:rPr>
          <w:spacing w:val="-4"/>
          <w:sz w:val="20"/>
          <w:szCs w:val="20"/>
          <w:lang w:val="es-MX"/>
        </w:rPr>
        <w:t xml:space="preserve">los demás elementos señalados en </w:t>
      </w:r>
      <w:r w:rsidRPr="00C70021">
        <w:rPr>
          <w:spacing w:val="-4"/>
          <w:sz w:val="20"/>
          <w:szCs w:val="20"/>
          <w:lang w:val="es-MX"/>
        </w:rPr>
        <w:t xml:space="preserve">el Informe </w:t>
      </w:r>
      <w:r w:rsidR="00043F66" w:rsidRPr="003E7D29">
        <w:rPr>
          <w:spacing w:val="-4"/>
          <w:sz w:val="20"/>
          <w:szCs w:val="20"/>
          <w:lang w:val="es-MX"/>
        </w:rPr>
        <w:t xml:space="preserve">estatal </w:t>
      </w:r>
      <w:r w:rsidR="00413486" w:rsidRPr="003E7D29">
        <w:rPr>
          <w:spacing w:val="-4"/>
          <w:sz w:val="20"/>
          <w:szCs w:val="20"/>
          <w:lang w:val="es-MX"/>
        </w:rPr>
        <w:t>actualizado al 27 de junio del presente año</w:t>
      </w:r>
      <w:r w:rsidRPr="00043F66">
        <w:rPr>
          <w:spacing w:val="-4"/>
          <w:sz w:val="20"/>
          <w:szCs w:val="20"/>
          <w:lang w:val="es-MX"/>
        </w:rPr>
        <w:t>.</w:t>
      </w:r>
      <w:r w:rsidRPr="002A5410">
        <w:rPr>
          <w:spacing w:val="-4"/>
          <w:sz w:val="20"/>
          <w:szCs w:val="20"/>
          <w:lang w:val="es-MX"/>
        </w:rPr>
        <w:t xml:space="preserve"> </w:t>
      </w:r>
      <w:r w:rsidR="00043F66">
        <w:rPr>
          <w:spacing w:val="-4"/>
          <w:sz w:val="20"/>
          <w:szCs w:val="20"/>
          <w:lang w:val="es-MX"/>
        </w:rPr>
        <w:t>Sin perjuicio de lo anterior, esta Presidencia</w:t>
      </w:r>
      <w:r>
        <w:rPr>
          <w:spacing w:val="-4"/>
          <w:sz w:val="20"/>
          <w:szCs w:val="20"/>
          <w:lang w:val="es-MX"/>
        </w:rPr>
        <w:t xml:space="preserve"> estima</w:t>
      </w:r>
      <w:r w:rsidRPr="002A5410">
        <w:rPr>
          <w:spacing w:val="-4"/>
          <w:sz w:val="20"/>
          <w:szCs w:val="20"/>
          <w:lang w:val="es-MX"/>
        </w:rPr>
        <w:t xml:space="preserve"> pertinente que el Estado incluya a la </w:t>
      </w:r>
      <w:r w:rsidRPr="002A5410">
        <w:rPr>
          <w:i/>
          <w:spacing w:val="-4"/>
          <w:sz w:val="20"/>
          <w:szCs w:val="20"/>
          <w:lang w:val="es-MX"/>
        </w:rPr>
        <w:t xml:space="preserve">Comunidad de Esperanza Río </w:t>
      </w:r>
      <w:r w:rsidR="00413486">
        <w:rPr>
          <w:i/>
          <w:spacing w:val="-4"/>
          <w:sz w:val="20"/>
          <w:szCs w:val="20"/>
          <w:lang w:val="es-MX"/>
        </w:rPr>
        <w:t>Wawa</w:t>
      </w:r>
      <w:r w:rsidR="00413486" w:rsidRPr="002A5410">
        <w:rPr>
          <w:i/>
          <w:spacing w:val="-4"/>
          <w:sz w:val="20"/>
          <w:szCs w:val="20"/>
          <w:lang w:val="es-MX"/>
        </w:rPr>
        <w:t xml:space="preserve"> </w:t>
      </w:r>
      <w:r w:rsidRPr="002A5410">
        <w:rPr>
          <w:spacing w:val="-4"/>
          <w:sz w:val="20"/>
          <w:szCs w:val="20"/>
          <w:lang w:val="es-MX"/>
        </w:rPr>
        <w:t xml:space="preserve">en las </w:t>
      </w:r>
      <w:r>
        <w:rPr>
          <w:spacing w:val="-4"/>
          <w:sz w:val="20"/>
          <w:szCs w:val="20"/>
          <w:lang w:val="es-MX"/>
        </w:rPr>
        <w:t xml:space="preserve">presentes </w:t>
      </w:r>
      <w:r w:rsidRPr="002A5410">
        <w:rPr>
          <w:spacing w:val="-4"/>
          <w:sz w:val="20"/>
          <w:szCs w:val="20"/>
          <w:lang w:val="es-MX"/>
        </w:rPr>
        <w:t>medidas</w:t>
      </w:r>
      <w:r w:rsidR="00C70021">
        <w:rPr>
          <w:spacing w:val="-4"/>
          <w:sz w:val="20"/>
          <w:szCs w:val="20"/>
          <w:lang w:val="es-MX"/>
        </w:rPr>
        <w:t xml:space="preserve"> y tome las acciones pertinentes para disminuir el riesgo</w:t>
      </w:r>
      <w:r w:rsidR="00FC5FB9">
        <w:rPr>
          <w:spacing w:val="-4"/>
          <w:sz w:val="20"/>
          <w:szCs w:val="20"/>
          <w:lang w:val="es-MX"/>
        </w:rPr>
        <w:t xml:space="preserve">, a fin de evitar que </w:t>
      </w:r>
      <w:r w:rsidR="00C70021">
        <w:rPr>
          <w:spacing w:val="-4"/>
          <w:sz w:val="20"/>
          <w:szCs w:val="20"/>
          <w:lang w:val="es-MX"/>
        </w:rPr>
        <w:t xml:space="preserve">otros hechos de agresión se repitan. </w:t>
      </w:r>
    </w:p>
    <w:p w14:paraId="35B40AFB" w14:textId="77777777" w:rsidR="004E0A85" w:rsidRDefault="004E0A85">
      <w:pPr>
        <w:rPr>
          <w:lang w:val="es-MX"/>
        </w:rPr>
      </w:pPr>
    </w:p>
    <w:p w14:paraId="6CB8010E" w14:textId="77777777" w:rsidR="00FC08F6" w:rsidRDefault="00FC08F6">
      <w:pPr>
        <w:rPr>
          <w:lang w:val="es-MX"/>
        </w:rPr>
      </w:pPr>
    </w:p>
    <w:p w14:paraId="00DC91D9" w14:textId="77777777" w:rsidR="009D685D" w:rsidRDefault="009D685D" w:rsidP="00C70021">
      <w:pPr>
        <w:tabs>
          <w:tab w:val="left" w:pos="680"/>
        </w:tabs>
        <w:spacing w:before="20" w:after="20"/>
        <w:ind w:right="18"/>
        <w:jc w:val="both"/>
        <w:rPr>
          <w:rFonts w:ascii="Verdana" w:hAnsi="Verdana"/>
          <w:b/>
          <w:sz w:val="20"/>
          <w:szCs w:val="20"/>
          <w:lang w:val="es-GT"/>
        </w:rPr>
      </w:pPr>
    </w:p>
    <w:p w14:paraId="57160BE9" w14:textId="77777777" w:rsidR="00C70021" w:rsidRPr="008E33D8" w:rsidRDefault="00C70021" w:rsidP="00C70021">
      <w:pPr>
        <w:tabs>
          <w:tab w:val="left" w:pos="680"/>
        </w:tabs>
        <w:spacing w:before="20" w:after="20"/>
        <w:ind w:right="18"/>
        <w:jc w:val="both"/>
        <w:rPr>
          <w:rFonts w:ascii="Verdana" w:hAnsi="Verdana"/>
          <w:b/>
          <w:sz w:val="20"/>
          <w:szCs w:val="20"/>
          <w:lang w:val="es-GT"/>
        </w:rPr>
      </w:pPr>
      <w:r w:rsidRPr="000C401F">
        <w:rPr>
          <w:rFonts w:ascii="Verdana" w:hAnsi="Verdana"/>
          <w:b/>
          <w:sz w:val="20"/>
          <w:szCs w:val="20"/>
          <w:lang w:val="es-GT"/>
        </w:rPr>
        <w:t>POR TAN</w:t>
      </w:r>
      <w:r w:rsidRPr="008E33D8">
        <w:rPr>
          <w:rFonts w:ascii="Verdana" w:hAnsi="Verdana"/>
          <w:b/>
          <w:sz w:val="20"/>
          <w:szCs w:val="20"/>
          <w:lang w:val="es-GT"/>
        </w:rPr>
        <w:t>TO:</w:t>
      </w:r>
    </w:p>
    <w:p w14:paraId="03D3C37D" w14:textId="77777777" w:rsidR="00C70021" w:rsidRDefault="00C70021" w:rsidP="00C70021">
      <w:pPr>
        <w:spacing w:before="20" w:after="20"/>
        <w:ind w:right="18"/>
        <w:jc w:val="both"/>
        <w:rPr>
          <w:rFonts w:ascii="Verdana" w:hAnsi="Verdana"/>
          <w:b/>
          <w:sz w:val="20"/>
          <w:szCs w:val="20"/>
          <w:lang w:val="es-GT"/>
        </w:rPr>
      </w:pPr>
    </w:p>
    <w:p w14:paraId="6DFF3DB7" w14:textId="77777777" w:rsidR="00C70021" w:rsidRPr="008818D3" w:rsidRDefault="00C70021" w:rsidP="00C70021">
      <w:pPr>
        <w:spacing w:before="20" w:after="20"/>
        <w:ind w:right="18"/>
        <w:jc w:val="both"/>
        <w:rPr>
          <w:rFonts w:ascii="Verdana" w:hAnsi="Verdana"/>
          <w:b/>
          <w:sz w:val="20"/>
          <w:szCs w:val="20"/>
          <w:lang w:val="es-GT"/>
        </w:rPr>
      </w:pPr>
      <w:r>
        <w:rPr>
          <w:rFonts w:ascii="Verdana" w:hAnsi="Verdana"/>
          <w:b/>
          <w:sz w:val="20"/>
          <w:szCs w:val="20"/>
          <w:lang w:val="es-GT"/>
        </w:rPr>
        <w:t xml:space="preserve">EL PRESIDENTE DE </w:t>
      </w:r>
      <w:r w:rsidRPr="008818D3">
        <w:rPr>
          <w:rFonts w:ascii="Verdana" w:hAnsi="Verdana"/>
          <w:b/>
          <w:sz w:val="20"/>
          <w:szCs w:val="20"/>
          <w:lang w:val="es-GT"/>
        </w:rPr>
        <w:t>LA CORTE INTERAMERICANA DE DERECHOS HUMANOS,</w:t>
      </w:r>
    </w:p>
    <w:p w14:paraId="73EF953B" w14:textId="77777777" w:rsidR="00C70021" w:rsidRPr="008818D3" w:rsidRDefault="00C70021" w:rsidP="00C70021">
      <w:pPr>
        <w:spacing w:before="20" w:after="20"/>
        <w:ind w:right="18"/>
        <w:jc w:val="both"/>
        <w:rPr>
          <w:rFonts w:ascii="Verdana" w:hAnsi="Verdana"/>
          <w:b/>
          <w:sz w:val="20"/>
          <w:szCs w:val="20"/>
          <w:lang w:val="es-GT"/>
        </w:rPr>
      </w:pPr>
    </w:p>
    <w:p w14:paraId="493CED19" w14:textId="31AE0E2B" w:rsidR="00C70021" w:rsidRPr="008818D3" w:rsidRDefault="00C70021" w:rsidP="00C70021">
      <w:pPr>
        <w:jc w:val="both"/>
        <w:rPr>
          <w:rFonts w:ascii="Verdana" w:hAnsi="Verdana"/>
          <w:sz w:val="20"/>
          <w:szCs w:val="20"/>
          <w:lang w:val="es-MX"/>
        </w:rPr>
      </w:pPr>
      <w:r w:rsidRPr="00AA2D75">
        <w:rPr>
          <w:rFonts w:ascii="Verdana" w:hAnsi="Verdana"/>
          <w:sz w:val="20"/>
          <w:szCs w:val="20"/>
          <w:lang w:val="es-MX"/>
        </w:rPr>
        <w:t>en uso de las atribuciones que le confieren el artículo 63.2 de la Convenci</w:t>
      </w:r>
      <w:r w:rsidR="003E7D29" w:rsidRPr="00AA2D75">
        <w:rPr>
          <w:rFonts w:ascii="Verdana" w:hAnsi="Verdana"/>
          <w:sz w:val="20"/>
          <w:szCs w:val="20"/>
          <w:lang w:val="es-MX"/>
        </w:rPr>
        <w:t xml:space="preserve">ón Americana, y </w:t>
      </w:r>
      <w:r w:rsidR="00AA2D75" w:rsidRPr="00AA2D75">
        <w:rPr>
          <w:rFonts w:ascii="Verdana" w:hAnsi="Verdana"/>
          <w:sz w:val="20"/>
          <w:szCs w:val="20"/>
          <w:lang w:val="es-MX"/>
        </w:rPr>
        <w:t>el artículo</w:t>
      </w:r>
      <w:r w:rsidRPr="00AA2D75">
        <w:rPr>
          <w:rFonts w:ascii="Verdana" w:hAnsi="Verdana"/>
          <w:color w:val="00B050"/>
          <w:sz w:val="20"/>
          <w:szCs w:val="20"/>
          <w:lang w:val="es-MX"/>
        </w:rPr>
        <w:t xml:space="preserve"> </w:t>
      </w:r>
      <w:r w:rsidR="003E7D29" w:rsidRPr="00AA2D75">
        <w:rPr>
          <w:rFonts w:ascii="Verdana" w:hAnsi="Verdana"/>
          <w:sz w:val="20"/>
          <w:szCs w:val="20"/>
          <w:lang w:val="es-MX"/>
        </w:rPr>
        <w:t>25.2 del Estatuto de la Corte y los artículos</w:t>
      </w:r>
      <w:r w:rsidR="00AA2D75" w:rsidRPr="00AA2D75">
        <w:rPr>
          <w:rFonts w:ascii="Verdana" w:hAnsi="Verdana"/>
          <w:sz w:val="20"/>
          <w:szCs w:val="20"/>
          <w:lang w:val="es-MX"/>
        </w:rPr>
        <w:t xml:space="preserve"> </w:t>
      </w:r>
      <w:r w:rsidR="003E7D29" w:rsidRPr="00AA2D75">
        <w:rPr>
          <w:rFonts w:ascii="Verdana" w:hAnsi="Verdana"/>
          <w:sz w:val="20"/>
          <w:szCs w:val="20"/>
          <w:lang w:val="es-MX"/>
        </w:rPr>
        <w:t xml:space="preserve">4, 27 y 31.2 </w:t>
      </w:r>
      <w:r w:rsidRPr="00AA2D75">
        <w:rPr>
          <w:rFonts w:ascii="Verdana" w:hAnsi="Verdana"/>
          <w:sz w:val="20"/>
          <w:szCs w:val="20"/>
          <w:lang w:val="es-MX"/>
        </w:rPr>
        <w:t>del Reglamento de la Corte,</w:t>
      </w:r>
    </w:p>
    <w:p w14:paraId="4160AAE1" w14:textId="77777777" w:rsidR="00C70021" w:rsidRPr="008818D3" w:rsidRDefault="00C70021" w:rsidP="00C70021">
      <w:pPr>
        <w:tabs>
          <w:tab w:val="left" w:pos="680"/>
        </w:tabs>
        <w:spacing w:before="20" w:after="20"/>
        <w:ind w:right="18"/>
        <w:jc w:val="both"/>
        <w:rPr>
          <w:rFonts w:ascii="Verdana" w:hAnsi="Verdana"/>
          <w:b/>
          <w:sz w:val="20"/>
          <w:szCs w:val="20"/>
        </w:rPr>
      </w:pPr>
      <w:r w:rsidRPr="008818D3">
        <w:rPr>
          <w:rFonts w:ascii="Verdana" w:hAnsi="Verdana"/>
          <w:b/>
          <w:sz w:val="20"/>
          <w:szCs w:val="20"/>
        </w:rPr>
        <w:t>RESUELVE:</w:t>
      </w:r>
    </w:p>
    <w:p w14:paraId="34884890" w14:textId="77777777" w:rsidR="00C70021" w:rsidRPr="00323CD3" w:rsidRDefault="00C70021" w:rsidP="00C70021">
      <w:pPr>
        <w:spacing w:before="20" w:after="20" w:line="240" w:lineRule="auto"/>
        <w:ind w:right="18"/>
        <w:jc w:val="both"/>
        <w:rPr>
          <w:rFonts w:ascii="Verdana" w:hAnsi="Verdana"/>
          <w:sz w:val="20"/>
          <w:szCs w:val="20"/>
          <w:lang w:val="es-GT"/>
        </w:rPr>
      </w:pPr>
    </w:p>
    <w:p w14:paraId="1FC7E6D7" w14:textId="69D10964" w:rsidR="0046631C" w:rsidRPr="0046631C" w:rsidRDefault="00C70021" w:rsidP="0046631C">
      <w:pPr>
        <w:numPr>
          <w:ilvl w:val="0"/>
          <w:numId w:val="2"/>
        </w:numPr>
        <w:spacing w:before="20" w:after="20" w:line="240" w:lineRule="auto"/>
        <w:ind w:left="0" w:right="18" w:firstLine="0"/>
        <w:jc w:val="both"/>
        <w:rPr>
          <w:rFonts w:ascii="Verdana" w:hAnsi="Verdana"/>
          <w:sz w:val="20"/>
          <w:szCs w:val="20"/>
          <w:lang w:val="es-CR"/>
        </w:rPr>
      </w:pPr>
      <w:r w:rsidRPr="008818D3">
        <w:rPr>
          <w:rFonts w:ascii="Verdana" w:hAnsi="Verdana"/>
          <w:sz w:val="20"/>
          <w:szCs w:val="20"/>
          <w:lang w:val="es-MX"/>
        </w:rPr>
        <w:t xml:space="preserve">Ampliar las medidas provisionales emitidas en el presente asunto, de tal forma que el Estado de Nicaragua incluya de manera inmediata dentro de las medidas ordenadas mediante </w:t>
      </w:r>
      <w:r w:rsidR="003E7D29">
        <w:rPr>
          <w:rFonts w:ascii="Verdana" w:hAnsi="Verdana"/>
          <w:sz w:val="20"/>
          <w:szCs w:val="20"/>
          <w:lang w:val="es-MX"/>
        </w:rPr>
        <w:t>las Resoluciones</w:t>
      </w:r>
      <w:r w:rsidRPr="008818D3">
        <w:rPr>
          <w:rFonts w:ascii="Verdana" w:hAnsi="Verdana"/>
          <w:sz w:val="20"/>
          <w:szCs w:val="20"/>
          <w:lang w:val="es-MX"/>
        </w:rPr>
        <w:t xml:space="preserve"> de 1</w:t>
      </w:r>
      <w:r w:rsidR="00824C1F">
        <w:rPr>
          <w:rFonts w:ascii="Verdana" w:hAnsi="Verdana"/>
          <w:sz w:val="20"/>
          <w:szCs w:val="20"/>
          <w:lang w:val="es-MX"/>
        </w:rPr>
        <w:t>º</w:t>
      </w:r>
      <w:r w:rsidRPr="008818D3">
        <w:rPr>
          <w:rFonts w:ascii="Verdana" w:hAnsi="Verdana"/>
          <w:sz w:val="20"/>
          <w:szCs w:val="20"/>
          <w:lang w:val="es-MX"/>
        </w:rPr>
        <w:t xml:space="preserve"> de septiembre </w:t>
      </w:r>
      <w:r w:rsidR="003E7D29">
        <w:rPr>
          <w:rFonts w:ascii="Verdana" w:hAnsi="Verdana"/>
          <w:sz w:val="20"/>
          <w:szCs w:val="20"/>
          <w:lang w:val="es-MX"/>
        </w:rPr>
        <w:t xml:space="preserve">y 23 de noviembre </w:t>
      </w:r>
      <w:r w:rsidRPr="008818D3">
        <w:rPr>
          <w:rFonts w:ascii="Verdana" w:hAnsi="Verdana"/>
          <w:sz w:val="20"/>
          <w:szCs w:val="20"/>
          <w:lang w:val="es-MX"/>
        </w:rPr>
        <w:t xml:space="preserve">de 2016, a </w:t>
      </w:r>
      <w:r w:rsidRPr="008818D3">
        <w:rPr>
          <w:rFonts w:ascii="Verdana" w:eastAsia="Times" w:hAnsi="Verdana" w:cs="Times New Roman"/>
          <w:sz w:val="20"/>
          <w:szCs w:val="20"/>
          <w:lang w:val="es-ES_tradnl"/>
        </w:rPr>
        <w:t xml:space="preserve">los miembros del pueblo indígena </w:t>
      </w:r>
      <w:r w:rsidRPr="008818D3">
        <w:rPr>
          <w:rFonts w:ascii="Verdana" w:eastAsia="Times" w:hAnsi="Verdana" w:cs="Times New Roman"/>
          <w:i/>
          <w:sz w:val="20"/>
          <w:szCs w:val="20"/>
          <w:lang w:val="es-ES_tradnl"/>
        </w:rPr>
        <w:t xml:space="preserve">Miskitu </w:t>
      </w:r>
      <w:r w:rsidRPr="008818D3">
        <w:rPr>
          <w:rFonts w:ascii="Verdana" w:eastAsia="Times" w:hAnsi="Verdana" w:cs="Times New Roman"/>
          <w:sz w:val="20"/>
          <w:szCs w:val="20"/>
          <w:lang w:val="es-ES_tradnl"/>
        </w:rPr>
        <w:t xml:space="preserve">que habitan </w:t>
      </w:r>
      <w:r w:rsidRPr="008818D3">
        <w:rPr>
          <w:rFonts w:ascii="Verdana" w:eastAsia="Times" w:hAnsi="Verdana"/>
          <w:sz w:val="20"/>
          <w:szCs w:val="20"/>
          <w:lang w:val="es-ES_tradnl"/>
        </w:rPr>
        <w:t>en la</w:t>
      </w:r>
      <w:r w:rsidRPr="008818D3">
        <w:rPr>
          <w:rFonts w:ascii="Verdana" w:eastAsia="Times" w:hAnsi="Verdana" w:cs="Times New Roman"/>
          <w:sz w:val="20"/>
          <w:szCs w:val="20"/>
          <w:lang w:val="es-ES_tradnl"/>
        </w:rPr>
        <w:t xml:space="preserve"> </w:t>
      </w:r>
      <w:r w:rsidRPr="002C4BEB">
        <w:rPr>
          <w:rFonts w:ascii="Verdana" w:eastAsia="Times" w:hAnsi="Verdana" w:cs="Times New Roman"/>
          <w:i/>
          <w:sz w:val="20"/>
          <w:szCs w:val="20"/>
          <w:lang w:val="es-ES_tradnl"/>
        </w:rPr>
        <w:t>Comunidad de</w:t>
      </w:r>
      <w:r w:rsidRPr="008818D3">
        <w:rPr>
          <w:rFonts w:ascii="Verdana" w:eastAsia="Times" w:hAnsi="Verdana" w:cs="Times New Roman"/>
          <w:sz w:val="20"/>
          <w:szCs w:val="20"/>
          <w:lang w:val="es-ES_tradnl"/>
        </w:rPr>
        <w:t xml:space="preserve"> </w:t>
      </w:r>
      <w:r>
        <w:rPr>
          <w:rFonts w:ascii="Verdana" w:eastAsia="Times" w:hAnsi="Verdana" w:cs="Times New Roman"/>
          <w:i/>
          <w:sz w:val="20"/>
          <w:szCs w:val="20"/>
          <w:lang w:val="es-ES_tradnl"/>
        </w:rPr>
        <w:t xml:space="preserve">Esperanza Río </w:t>
      </w:r>
      <w:r w:rsidR="003E7D29">
        <w:rPr>
          <w:rFonts w:ascii="Verdana" w:eastAsia="Times" w:hAnsi="Verdana" w:cs="Times New Roman"/>
          <w:i/>
          <w:sz w:val="20"/>
          <w:szCs w:val="20"/>
          <w:lang w:val="es-ES_tradnl"/>
        </w:rPr>
        <w:t>Waw</w:t>
      </w:r>
      <w:r>
        <w:rPr>
          <w:rFonts w:ascii="Verdana" w:eastAsia="Times" w:hAnsi="Verdana" w:cs="Times New Roman"/>
          <w:i/>
          <w:sz w:val="20"/>
          <w:szCs w:val="20"/>
          <w:lang w:val="es-ES_tradnl"/>
        </w:rPr>
        <w:t>a</w:t>
      </w:r>
      <w:r>
        <w:rPr>
          <w:rFonts w:ascii="Verdana" w:eastAsia="Times" w:hAnsi="Verdana" w:cs="Times New Roman"/>
          <w:sz w:val="20"/>
          <w:szCs w:val="20"/>
          <w:lang w:val="es-ES_tradnl"/>
        </w:rPr>
        <w:t>,</w:t>
      </w:r>
      <w:r w:rsidRPr="00470D48">
        <w:rPr>
          <w:rFonts w:eastAsia="MS Mincho"/>
          <w:sz w:val="20"/>
          <w:szCs w:val="20"/>
          <w:lang w:val="es-MX"/>
        </w:rPr>
        <w:t xml:space="preserve"> </w:t>
      </w:r>
      <w:r w:rsidRPr="00470D48">
        <w:rPr>
          <w:rFonts w:ascii="Verdana" w:eastAsia="Times" w:hAnsi="Verdana" w:cs="Times New Roman"/>
          <w:sz w:val="20"/>
          <w:szCs w:val="20"/>
          <w:lang w:val="es-ES_tradnl"/>
        </w:rPr>
        <w:t xml:space="preserve">así como </w:t>
      </w:r>
      <w:r>
        <w:rPr>
          <w:rFonts w:ascii="Verdana" w:eastAsia="Times" w:hAnsi="Verdana" w:cs="Times New Roman"/>
          <w:sz w:val="20"/>
          <w:szCs w:val="20"/>
          <w:lang w:val="es-ES_tradnl"/>
        </w:rPr>
        <w:t xml:space="preserve">a </w:t>
      </w:r>
      <w:r w:rsidRPr="00470D48">
        <w:rPr>
          <w:rFonts w:ascii="Verdana" w:eastAsia="Times" w:hAnsi="Verdana" w:cs="Times New Roman"/>
          <w:sz w:val="20"/>
          <w:szCs w:val="20"/>
          <w:lang w:val="es-ES_tradnl"/>
        </w:rPr>
        <w:t xml:space="preserve">las personas que presuntamente hayan tenido que abandonar dicha comunidad y deseen </w:t>
      </w:r>
      <w:r w:rsidRPr="0046631C">
        <w:rPr>
          <w:rFonts w:ascii="Verdana" w:eastAsia="Times" w:hAnsi="Verdana" w:cs="Times New Roman"/>
          <w:sz w:val="20"/>
          <w:szCs w:val="20"/>
          <w:lang w:val="es-ES_tradnl"/>
        </w:rPr>
        <w:t>regresar</w:t>
      </w:r>
      <w:r w:rsidR="0046631C" w:rsidRPr="0046631C">
        <w:rPr>
          <w:rFonts w:ascii="Verdana" w:hAnsi="Verdana"/>
          <w:sz w:val="20"/>
          <w:szCs w:val="20"/>
          <w:lang w:val="es-ES_tradnl"/>
        </w:rPr>
        <w:t xml:space="preserve">, </w:t>
      </w:r>
      <w:r w:rsidR="0046631C" w:rsidRPr="0046631C">
        <w:rPr>
          <w:rFonts w:ascii="Verdana" w:eastAsia="MS Mincho" w:hAnsi="Verdana"/>
          <w:sz w:val="20"/>
          <w:szCs w:val="20"/>
          <w:lang w:val="es-CR"/>
        </w:rPr>
        <w:t>respecto de los cuales se brinden medidas de seguridad y protección</w:t>
      </w:r>
      <w:r w:rsidR="0046631C">
        <w:rPr>
          <w:rFonts w:ascii="Verdana" w:eastAsia="MS Mincho" w:hAnsi="Verdana"/>
          <w:sz w:val="20"/>
          <w:szCs w:val="20"/>
          <w:lang w:val="es-CR"/>
        </w:rPr>
        <w:t xml:space="preserve"> para su retorno</w:t>
      </w:r>
      <w:r w:rsidR="0046631C" w:rsidRPr="0046631C">
        <w:rPr>
          <w:rFonts w:ascii="Verdana" w:eastAsia="MS Mincho" w:hAnsi="Verdana"/>
          <w:sz w:val="20"/>
          <w:szCs w:val="20"/>
          <w:lang w:val="es-CR"/>
        </w:rPr>
        <w:t>.</w:t>
      </w:r>
    </w:p>
    <w:p w14:paraId="7F69FACF" w14:textId="77777777" w:rsidR="0046631C" w:rsidRPr="0046631C" w:rsidRDefault="0046631C" w:rsidP="00C70021">
      <w:pPr>
        <w:spacing w:before="20" w:after="20" w:line="240" w:lineRule="auto"/>
        <w:ind w:right="18"/>
        <w:jc w:val="both"/>
        <w:rPr>
          <w:rFonts w:ascii="Verdana" w:hAnsi="Verdana"/>
          <w:sz w:val="20"/>
          <w:szCs w:val="20"/>
          <w:lang w:val="es-ES"/>
        </w:rPr>
      </w:pPr>
    </w:p>
    <w:p w14:paraId="4C4C6FAF" w14:textId="6ABC4F8A" w:rsidR="00C70021" w:rsidRPr="00E01DA6" w:rsidRDefault="00C70021" w:rsidP="00C70021">
      <w:pPr>
        <w:numPr>
          <w:ilvl w:val="0"/>
          <w:numId w:val="2"/>
        </w:numPr>
        <w:spacing w:before="20" w:after="20" w:line="240" w:lineRule="auto"/>
        <w:ind w:left="0" w:right="18" w:firstLine="0"/>
        <w:jc w:val="both"/>
        <w:rPr>
          <w:rFonts w:ascii="Verdana" w:hAnsi="Verdana"/>
          <w:sz w:val="20"/>
          <w:szCs w:val="20"/>
          <w:lang w:val="es-GT"/>
        </w:rPr>
      </w:pPr>
      <w:r w:rsidRPr="008818D3">
        <w:rPr>
          <w:rFonts w:ascii="Verdana" w:hAnsi="Verdana"/>
          <w:sz w:val="20"/>
          <w:szCs w:val="20"/>
          <w:lang w:val="es-GT"/>
        </w:rPr>
        <w:t xml:space="preserve">Requerir al Estado adoptar las medidas necesarias, a fin de incluir a los </w:t>
      </w:r>
      <w:r>
        <w:rPr>
          <w:rFonts w:ascii="Verdana" w:hAnsi="Verdana"/>
          <w:sz w:val="20"/>
          <w:szCs w:val="20"/>
          <w:lang w:val="es-GT"/>
        </w:rPr>
        <w:t>beneficiarios de la presente ampliación,</w:t>
      </w:r>
      <w:r w:rsidRPr="008818D3">
        <w:rPr>
          <w:rFonts w:ascii="Verdana" w:eastAsia="Times" w:hAnsi="Verdana" w:cs="Times New Roman"/>
          <w:sz w:val="20"/>
          <w:szCs w:val="20"/>
          <w:lang w:val="es-ES_tradnl"/>
        </w:rPr>
        <w:t xml:space="preserve"> en las demás medidas dispuestas por la Corte en su Resolución de 1</w:t>
      </w:r>
      <w:r w:rsidR="00494CE6">
        <w:rPr>
          <w:rFonts w:ascii="Verdana" w:eastAsia="Times" w:hAnsi="Verdana" w:cs="Times New Roman"/>
          <w:sz w:val="20"/>
          <w:szCs w:val="20"/>
          <w:lang w:val="es-ES_tradnl"/>
        </w:rPr>
        <w:t xml:space="preserve">º </w:t>
      </w:r>
      <w:r w:rsidRPr="008818D3">
        <w:rPr>
          <w:rFonts w:ascii="Verdana" w:eastAsia="Times" w:hAnsi="Verdana" w:cs="Times New Roman"/>
          <w:sz w:val="20"/>
          <w:szCs w:val="20"/>
          <w:lang w:val="es-ES_tradnl"/>
        </w:rPr>
        <w:t>de septiembre de 2016, de conformidad con los Puntos Resolutivos 2, 3</w:t>
      </w:r>
      <w:r>
        <w:rPr>
          <w:rFonts w:ascii="Verdana" w:eastAsia="Times" w:hAnsi="Verdana" w:cs="Times New Roman"/>
          <w:sz w:val="20"/>
          <w:szCs w:val="20"/>
          <w:lang w:val="es-ES_tradnl"/>
        </w:rPr>
        <w:t>, 4</w:t>
      </w:r>
      <w:r w:rsidRPr="008818D3">
        <w:rPr>
          <w:rFonts w:ascii="Verdana" w:eastAsia="Times" w:hAnsi="Verdana" w:cs="Times New Roman"/>
          <w:sz w:val="20"/>
          <w:szCs w:val="20"/>
          <w:lang w:val="es-ES_tradnl"/>
        </w:rPr>
        <w:t xml:space="preserve"> y 5 de la misma</w:t>
      </w:r>
      <w:r>
        <w:rPr>
          <w:rFonts w:ascii="Verdana" w:eastAsia="Times" w:hAnsi="Verdana" w:cs="Times New Roman"/>
          <w:sz w:val="20"/>
          <w:szCs w:val="20"/>
          <w:lang w:val="es-ES_tradnl"/>
        </w:rPr>
        <w:t xml:space="preserve">, especialmente mediante la debida implementación de las respectivas Comisiones, tomando en cuenta la participación de las comunidades afectadas. </w:t>
      </w:r>
    </w:p>
    <w:p w14:paraId="2B656B49" w14:textId="77777777" w:rsidR="00C70021" w:rsidRPr="008818D3" w:rsidRDefault="00C70021" w:rsidP="00C70021">
      <w:pPr>
        <w:spacing w:before="20" w:after="20" w:line="240" w:lineRule="auto"/>
        <w:ind w:right="18"/>
        <w:jc w:val="both"/>
        <w:rPr>
          <w:rFonts w:ascii="Verdana" w:hAnsi="Verdana"/>
          <w:sz w:val="20"/>
          <w:szCs w:val="20"/>
          <w:lang w:val="es-GT"/>
        </w:rPr>
      </w:pPr>
    </w:p>
    <w:p w14:paraId="6CD199C5" w14:textId="4424E4C5" w:rsidR="00C70021" w:rsidRPr="003E7D29" w:rsidRDefault="00C70021" w:rsidP="003E7D29">
      <w:pPr>
        <w:numPr>
          <w:ilvl w:val="0"/>
          <w:numId w:val="2"/>
        </w:numPr>
        <w:spacing w:before="20" w:after="20" w:line="240" w:lineRule="auto"/>
        <w:ind w:left="0" w:right="18" w:firstLine="0"/>
        <w:jc w:val="both"/>
        <w:rPr>
          <w:rFonts w:ascii="Verdana" w:hAnsi="Verdana"/>
          <w:sz w:val="20"/>
          <w:lang w:val="es-GT"/>
        </w:rPr>
      </w:pPr>
      <w:r w:rsidRPr="00C70021">
        <w:rPr>
          <w:rFonts w:ascii="Verdana" w:hAnsi="Verdana"/>
          <w:sz w:val="20"/>
          <w:szCs w:val="20"/>
          <w:lang w:val="es-GT"/>
        </w:rPr>
        <w:t>Reiterar al Estado que incluya a esta Comunidad en el diagnóstico sobre la situación actual de riesgo de las comunidades referente</w:t>
      </w:r>
      <w:r>
        <w:rPr>
          <w:rFonts w:ascii="Verdana" w:hAnsi="Verdana"/>
          <w:sz w:val="20"/>
          <w:szCs w:val="20"/>
          <w:lang w:val="es-GT"/>
        </w:rPr>
        <w:t>s</w:t>
      </w:r>
      <w:r w:rsidR="00CA1D9C">
        <w:rPr>
          <w:rFonts w:ascii="Verdana" w:hAnsi="Verdana"/>
          <w:sz w:val="20"/>
          <w:szCs w:val="20"/>
          <w:lang w:val="es-GT"/>
        </w:rPr>
        <w:t xml:space="preserve"> e informe a la Corte al respecto en su próximo informe. </w:t>
      </w:r>
    </w:p>
    <w:p w14:paraId="40051AFE" w14:textId="77777777" w:rsidR="003E7D29" w:rsidRPr="00C70021" w:rsidRDefault="003E7D29" w:rsidP="003E7D29">
      <w:pPr>
        <w:spacing w:before="20" w:after="20" w:line="240" w:lineRule="auto"/>
        <w:ind w:right="18"/>
        <w:jc w:val="both"/>
        <w:rPr>
          <w:rFonts w:ascii="Verdana" w:hAnsi="Verdana"/>
          <w:sz w:val="20"/>
          <w:lang w:val="es-GT"/>
        </w:rPr>
      </w:pPr>
    </w:p>
    <w:p w14:paraId="1EE968DA" w14:textId="2EEA05B9" w:rsidR="00C70021" w:rsidRDefault="00C70021" w:rsidP="00C70021">
      <w:pPr>
        <w:numPr>
          <w:ilvl w:val="0"/>
          <w:numId w:val="2"/>
        </w:numPr>
        <w:spacing w:before="20" w:after="20" w:line="240" w:lineRule="auto"/>
        <w:ind w:left="0" w:right="18" w:firstLine="0"/>
        <w:jc w:val="both"/>
        <w:rPr>
          <w:rFonts w:ascii="Verdana" w:hAnsi="Verdana"/>
          <w:sz w:val="20"/>
          <w:szCs w:val="20"/>
          <w:lang w:val="es-CR"/>
        </w:rPr>
      </w:pPr>
      <w:r w:rsidRPr="00992255">
        <w:rPr>
          <w:rFonts w:ascii="Verdana" w:hAnsi="Verdana"/>
          <w:sz w:val="20"/>
          <w:szCs w:val="20"/>
          <w:lang w:val="es-CR"/>
        </w:rPr>
        <w:t xml:space="preserve">Requerir al Estado que continúe informando a la Corte cada </w:t>
      </w:r>
      <w:r w:rsidRPr="002856E3">
        <w:rPr>
          <w:rFonts w:ascii="Verdana" w:hAnsi="Verdana"/>
          <w:sz w:val="20"/>
          <w:szCs w:val="20"/>
          <w:lang w:val="es-CR"/>
        </w:rPr>
        <w:t xml:space="preserve">tres </w:t>
      </w:r>
      <w:r w:rsidRPr="00992255">
        <w:rPr>
          <w:rFonts w:ascii="Verdana" w:hAnsi="Verdana"/>
          <w:sz w:val="20"/>
          <w:szCs w:val="20"/>
          <w:lang w:val="es-CR"/>
        </w:rPr>
        <w:t>meses, contados a partir de la remisión de su último informe, sobre la</w:t>
      </w:r>
      <w:r w:rsidR="00494CE6">
        <w:rPr>
          <w:rFonts w:ascii="Verdana" w:hAnsi="Verdana"/>
          <w:sz w:val="20"/>
          <w:szCs w:val="20"/>
          <w:lang w:val="es-CR"/>
        </w:rPr>
        <w:t xml:space="preserve"> efectiva adopción de las </w:t>
      </w:r>
      <w:r>
        <w:rPr>
          <w:rFonts w:ascii="Verdana" w:hAnsi="Verdana"/>
          <w:sz w:val="20"/>
          <w:szCs w:val="20"/>
          <w:lang w:val="es-CR"/>
        </w:rPr>
        <w:t>m</w:t>
      </w:r>
      <w:r w:rsidR="003E7D29">
        <w:rPr>
          <w:rFonts w:ascii="Verdana" w:hAnsi="Verdana"/>
          <w:sz w:val="20"/>
          <w:szCs w:val="20"/>
          <w:lang w:val="es-CR"/>
        </w:rPr>
        <w:t>edidas provisionales</w:t>
      </w:r>
      <w:r w:rsidR="00494CE6">
        <w:rPr>
          <w:rFonts w:ascii="Verdana" w:hAnsi="Verdana"/>
          <w:sz w:val="20"/>
          <w:szCs w:val="20"/>
          <w:lang w:val="es-CR"/>
        </w:rPr>
        <w:t xml:space="preserve"> determinadas en el presente asunto</w:t>
      </w:r>
      <w:r w:rsidR="003E7D29">
        <w:rPr>
          <w:rFonts w:ascii="Verdana" w:hAnsi="Verdana"/>
          <w:sz w:val="20"/>
          <w:szCs w:val="20"/>
          <w:lang w:val="es-CR"/>
        </w:rPr>
        <w:t>.</w:t>
      </w:r>
    </w:p>
    <w:p w14:paraId="7B684038" w14:textId="77777777" w:rsidR="00C70021" w:rsidRDefault="00C70021" w:rsidP="00C70021">
      <w:pPr>
        <w:spacing w:before="20" w:after="20" w:line="240" w:lineRule="auto"/>
        <w:ind w:right="18"/>
        <w:jc w:val="both"/>
        <w:rPr>
          <w:rFonts w:ascii="Verdana" w:hAnsi="Verdana"/>
          <w:sz w:val="20"/>
          <w:szCs w:val="20"/>
          <w:lang w:val="es-CR"/>
        </w:rPr>
      </w:pPr>
    </w:p>
    <w:p w14:paraId="69749A0E" w14:textId="77777777" w:rsidR="00F50F33" w:rsidRDefault="00F50F33" w:rsidP="003E7D29">
      <w:pPr>
        <w:numPr>
          <w:ilvl w:val="0"/>
          <w:numId w:val="2"/>
        </w:numPr>
        <w:spacing w:before="20" w:after="20" w:line="240" w:lineRule="auto"/>
        <w:ind w:left="0" w:right="18" w:firstLine="0"/>
        <w:jc w:val="both"/>
        <w:rPr>
          <w:rFonts w:ascii="Verdana" w:hAnsi="Verdana"/>
          <w:sz w:val="20"/>
          <w:lang w:val="es-GT"/>
        </w:rPr>
      </w:pPr>
      <w:r>
        <w:rPr>
          <w:rFonts w:ascii="Verdana" w:hAnsi="Verdana" w:cs="Arial"/>
          <w:sz w:val="20"/>
          <w:szCs w:val="20"/>
          <w:lang w:val="es-ES"/>
        </w:rPr>
        <w:t>Solicitar a la representación de los beneficiarios que presenten sus observaciones dentro de un plazo de cuatro semanas contadas a partir de la notificación de los informes del Estado, así como a la Comisión Interamericana de Derechos Humanos que presente sus observaciones a dichos informes del Estado dentro de un plazo de dos semanas contadas a partir de la recepción de las observaciones de los representantes.</w:t>
      </w:r>
    </w:p>
    <w:p w14:paraId="3946F2B6" w14:textId="77777777" w:rsidR="00F50F33" w:rsidRPr="003E7D29" w:rsidRDefault="00F50F33" w:rsidP="00C70021">
      <w:pPr>
        <w:spacing w:before="20" w:after="20" w:line="240" w:lineRule="auto"/>
        <w:ind w:right="18"/>
        <w:jc w:val="both"/>
        <w:rPr>
          <w:rFonts w:ascii="Verdana" w:hAnsi="Verdana"/>
          <w:sz w:val="20"/>
          <w:szCs w:val="20"/>
          <w:lang w:val="es-GT"/>
        </w:rPr>
      </w:pPr>
    </w:p>
    <w:p w14:paraId="71DA11F9" w14:textId="77777777" w:rsidR="00043F66" w:rsidRPr="003E7D29" w:rsidRDefault="00C70021" w:rsidP="003E7D29">
      <w:pPr>
        <w:numPr>
          <w:ilvl w:val="0"/>
          <w:numId w:val="2"/>
        </w:numPr>
        <w:spacing w:before="20" w:after="20" w:line="240" w:lineRule="auto"/>
        <w:ind w:left="0" w:right="18" w:firstLine="0"/>
        <w:jc w:val="both"/>
        <w:rPr>
          <w:rFonts w:ascii="Verdana" w:hAnsi="Verdana"/>
          <w:sz w:val="20"/>
          <w:szCs w:val="20"/>
          <w:lang w:val="es-ES"/>
        </w:rPr>
      </w:pPr>
      <w:r w:rsidRPr="008818D3">
        <w:rPr>
          <w:rFonts w:ascii="Verdana" w:hAnsi="Verdana"/>
          <w:sz w:val="20"/>
          <w:szCs w:val="20"/>
          <w:lang w:val="es-GT"/>
        </w:rPr>
        <w:t>Disponer que</w:t>
      </w:r>
      <w:r w:rsidRPr="008818D3">
        <w:rPr>
          <w:rFonts w:ascii="Verdana" w:hAnsi="Verdana"/>
          <w:sz w:val="20"/>
          <w:szCs w:val="20"/>
          <w:lang w:val="es-MX"/>
        </w:rPr>
        <w:t xml:space="preserve"> la Secretaría de la Corte notifique la presente Resolución al Estado de Nicaragua, a la Comisión Interamericana </w:t>
      </w:r>
      <w:r w:rsidRPr="00095453">
        <w:rPr>
          <w:rFonts w:ascii="Verdana" w:hAnsi="Verdana"/>
          <w:sz w:val="20"/>
          <w:szCs w:val="20"/>
          <w:lang w:val="es-MX"/>
        </w:rPr>
        <w:t xml:space="preserve">y </w:t>
      </w:r>
      <w:r w:rsidRPr="00B23996">
        <w:rPr>
          <w:rFonts w:ascii="Verdana" w:hAnsi="Verdana"/>
          <w:sz w:val="20"/>
          <w:szCs w:val="20"/>
          <w:lang w:val="es-CR"/>
        </w:rPr>
        <w:t>a la representación de los beneficiarios.</w:t>
      </w:r>
    </w:p>
    <w:p w14:paraId="55F05FD6" w14:textId="77777777" w:rsidR="003E7D29" w:rsidRDefault="003E7D29" w:rsidP="003E7D29">
      <w:pPr>
        <w:pStyle w:val="ListParagraph"/>
        <w:rPr>
          <w:rFonts w:ascii="Verdana" w:hAnsi="Verdana"/>
          <w:sz w:val="20"/>
          <w:lang w:val="es-ES"/>
        </w:rPr>
      </w:pPr>
    </w:p>
    <w:p w14:paraId="4BD8CEFE" w14:textId="56D6690B" w:rsidR="003E7D29" w:rsidRDefault="003E7D29" w:rsidP="00AA2D75">
      <w:pPr>
        <w:rPr>
          <w:rFonts w:ascii="Verdana" w:hAnsi="Verdana"/>
          <w:sz w:val="20"/>
          <w:lang w:val="es-CR"/>
        </w:rPr>
      </w:pPr>
    </w:p>
    <w:p w14:paraId="5789B1BA" w14:textId="77777777" w:rsidR="003E7D29" w:rsidRDefault="003E7D29" w:rsidP="003E7D29">
      <w:pPr>
        <w:rPr>
          <w:rFonts w:ascii="Verdana" w:hAnsi="Verdana"/>
          <w:sz w:val="20"/>
          <w:lang w:val="es-CR"/>
        </w:rPr>
      </w:pPr>
    </w:p>
    <w:p w14:paraId="508D537E" w14:textId="77777777" w:rsidR="00824C1F" w:rsidRDefault="00824C1F" w:rsidP="003E7D29">
      <w:pPr>
        <w:rPr>
          <w:rFonts w:ascii="Verdana" w:hAnsi="Verdana"/>
          <w:sz w:val="20"/>
          <w:lang w:val="es-CR"/>
        </w:rPr>
      </w:pPr>
    </w:p>
    <w:p w14:paraId="06B1E08B" w14:textId="77777777" w:rsidR="008E4144" w:rsidRDefault="008E4144" w:rsidP="009D685D">
      <w:pPr>
        <w:spacing w:after="0" w:line="240" w:lineRule="auto"/>
        <w:rPr>
          <w:rFonts w:ascii="Verdana" w:hAnsi="Verdana"/>
          <w:sz w:val="20"/>
          <w:lang w:val="es-CR"/>
        </w:rPr>
      </w:pPr>
    </w:p>
    <w:p w14:paraId="2CCFFC8A" w14:textId="09B0D1DD" w:rsidR="00824C1F" w:rsidRDefault="00824C1F" w:rsidP="009D685D">
      <w:pPr>
        <w:spacing w:after="0" w:line="240" w:lineRule="auto"/>
        <w:rPr>
          <w:rFonts w:ascii="Verdana" w:hAnsi="Verdana"/>
          <w:sz w:val="20"/>
          <w:lang w:val="es-CR"/>
        </w:rPr>
      </w:pPr>
    </w:p>
    <w:p w14:paraId="0B33BB2D" w14:textId="7A13A11B" w:rsidR="009D685D" w:rsidRDefault="009D685D" w:rsidP="009D685D">
      <w:pPr>
        <w:spacing w:after="0" w:line="240" w:lineRule="auto"/>
        <w:rPr>
          <w:rFonts w:ascii="Verdana" w:hAnsi="Verdana"/>
          <w:sz w:val="20"/>
          <w:lang w:val="es-CR"/>
        </w:rPr>
      </w:pPr>
    </w:p>
    <w:p w14:paraId="5AA075BA" w14:textId="1269D54D" w:rsidR="009D685D" w:rsidRDefault="009D685D" w:rsidP="009D685D">
      <w:pPr>
        <w:spacing w:after="0" w:line="240" w:lineRule="auto"/>
        <w:rPr>
          <w:rFonts w:ascii="Verdana" w:hAnsi="Verdana"/>
          <w:sz w:val="20"/>
          <w:lang w:val="es-CR"/>
        </w:rPr>
      </w:pPr>
    </w:p>
    <w:p w14:paraId="5C2165A1" w14:textId="77777777" w:rsidR="003D5CF6" w:rsidRDefault="003D5CF6" w:rsidP="009D685D">
      <w:pPr>
        <w:spacing w:after="0" w:line="240" w:lineRule="auto"/>
        <w:rPr>
          <w:rFonts w:ascii="Verdana" w:hAnsi="Verdana"/>
          <w:sz w:val="20"/>
          <w:lang w:val="es-CR"/>
        </w:rPr>
      </w:pPr>
    </w:p>
    <w:p w14:paraId="0844BC57" w14:textId="77777777" w:rsidR="003D5CF6" w:rsidRDefault="003D5CF6" w:rsidP="009D685D">
      <w:pPr>
        <w:spacing w:after="0" w:line="240" w:lineRule="auto"/>
        <w:rPr>
          <w:rFonts w:ascii="Verdana" w:hAnsi="Verdana"/>
          <w:sz w:val="20"/>
          <w:lang w:val="es-CR"/>
        </w:rPr>
      </w:pPr>
    </w:p>
    <w:p w14:paraId="4FFA09D4" w14:textId="77777777" w:rsidR="003D5CF6" w:rsidRDefault="003D5CF6" w:rsidP="009D685D">
      <w:pPr>
        <w:spacing w:after="0" w:line="240" w:lineRule="auto"/>
        <w:rPr>
          <w:rFonts w:ascii="Verdana" w:hAnsi="Verdana"/>
          <w:sz w:val="20"/>
          <w:lang w:val="es-CR"/>
        </w:rPr>
      </w:pPr>
    </w:p>
    <w:p w14:paraId="58D14C3E" w14:textId="0845C919" w:rsidR="009D685D" w:rsidRDefault="009D685D" w:rsidP="009D685D">
      <w:pPr>
        <w:spacing w:after="0" w:line="240" w:lineRule="auto"/>
        <w:rPr>
          <w:rFonts w:ascii="Verdana" w:hAnsi="Verdana"/>
          <w:sz w:val="20"/>
          <w:lang w:val="es-CR"/>
        </w:rPr>
      </w:pPr>
    </w:p>
    <w:p w14:paraId="0DFBF7A4" w14:textId="2E87341C" w:rsidR="00AA2D75" w:rsidRDefault="00AA2D75" w:rsidP="00B05BC3">
      <w:pPr>
        <w:spacing w:after="0" w:line="240" w:lineRule="auto"/>
        <w:ind w:left="4410" w:firstLine="720"/>
        <w:jc w:val="center"/>
        <w:rPr>
          <w:rFonts w:ascii="Verdana" w:hAnsi="Verdana"/>
          <w:sz w:val="20"/>
          <w:lang w:val="es-ES"/>
        </w:rPr>
      </w:pPr>
      <w:r>
        <w:rPr>
          <w:rFonts w:ascii="Verdana" w:hAnsi="Verdana"/>
          <w:sz w:val="20"/>
          <w:lang w:val="es-ES"/>
        </w:rPr>
        <w:t>Roberto F. Caldas</w:t>
      </w:r>
    </w:p>
    <w:p w14:paraId="1657FB3D" w14:textId="77777777" w:rsidR="00AA2D75" w:rsidRDefault="00AA2D75" w:rsidP="00B05BC3">
      <w:pPr>
        <w:spacing w:after="0" w:line="240" w:lineRule="auto"/>
        <w:ind w:left="4590" w:firstLine="720"/>
        <w:jc w:val="center"/>
        <w:rPr>
          <w:rFonts w:ascii="Verdana" w:hAnsi="Verdana"/>
          <w:sz w:val="20"/>
          <w:lang w:val="es-ES"/>
        </w:rPr>
      </w:pPr>
      <w:r>
        <w:rPr>
          <w:rFonts w:ascii="Verdana" w:hAnsi="Verdana"/>
          <w:sz w:val="20"/>
          <w:lang w:val="es-ES"/>
        </w:rPr>
        <w:t xml:space="preserve">Presidente </w:t>
      </w:r>
    </w:p>
    <w:p w14:paraId="050281E2" w14:textId="1D005182" w:rsidR="008E4144" w:rsidRDefault="008E4144" w:rsidP="00B05BC3">
      <w:pPr>
        <w:spacing w:after="0" w:line="240" w:lineRule="auto"/>
        <w:ind w:left="4590" w:firstLine="720"/>
        <w:jc w:val="center"/>
        <w:rPr>
          <w:rFonts w:ascii="Verdana" w:hAnsi="Verdana"/>
          <w:sz w:val="20"/>
          <w:lang w:val="es-ES"/>
        </w:rPr>
      </w:pPr>
    </w:p>
    <w:p w14:paraId="70FFEBA4" w14:textId="0239AFA3" w:rsidR="008E4144" w:rsidRDefault="008E4144" w:rsidP="00B05BC3">
      <w:pPr>
        <w:spacing w:after="0" w:line="240" w:lineRule="auto"/>
        <w:ind w:left="4590" w:firstLine="720"/>
        <w:jc w:val="center"/>
        <w:rPr>
          <w:rFonts w:ascii="Verdana" w:hAnsi="Verdana"/>
          <w:sz w:val="20"/>
          <w:lang w:val="es-ES"/>
        </w:rPr>
      </w:pPr>
    </w:p>
    <w:p w14:paraId="4C3D7CF7" w14:textId="77777777" w:rsidR="008E4144" w:rsidRDefault="008E4144" w:rsidP="00B05BC3">
      <w:pPr>
        <w:spacing w:after="0" w:line="240" w:lineRule="auto"/>
        <w:ind w:left="4590" w:firstLine="720"/>
        <w:jc w:val="center"/>
        <w:rPr>
          <w:rFonts w:ascii="Verdana" w:hAnsi="Verdana"/>
          <w:sz w:val="20"/>
          <w:lang w:val="es-ES"/>
        </w:rPr>
      </w:pPr>
    </w:p>
    <w:p w14:paraId="5BC66682" w14:textId="77777777" w:rsidR="003D5CF6" w:rsidRDefault="003D5CF6" w:rsidP="00B05BC3">
      <w:pPr>
        <w:spacing w:after="0" w:line="240" w:lineRule="auto"/>
        <w:ind w:left="4590" w:firstLine="720"/>
        <w:jc w:val="center"/>
        <w:rPr>
          <w:rFonts w:ascii="Verdana" w:hAnsi="Verdana"/>
          <w:sz w:val="20"/>
          <w:lang w:val="es-ES"/>
        </w:rPr>
      </w:pPr>
    </w:p>
    <w:p w14:paraId="65577CD7" w14:textId="77777777" w:rsidR="003D5CF6" w:rsidRDefault="003D5CF6" w:rsidP="00B05BC3">
      <w:pPr>
        <w:spacing w:after="0" w:line="240" w:lineRule="auto"/>
        <w:ind w:left="4590" w:firstLine="720"/>
        <w:jc w:val="center"/>
        <w:rPr>
          <w:rFonts w:ascii="Verdana" w:hAnsi="Verdana"/>
          <w:sz w:val="20"/>
          <w:lang w:val="es-ES"/>
        </w:rPr>
      </w:pPr>
    </w:p>
    <w:p w14:paraId="685D285B" w14:textId="77777777" w:rsidR="003D5CF6" w:rsidRDefault="003D5CF6" w:rsidP="00B05BC3">
      <w:pPr>
        <w:spacing w:after="0" w:line="240" w:lineRule="auto"/>
        <w:ind w:left="4590" w:firstLine="720"/>
        <w:jc w:val="center"/>
        <w:rPr>
          <w:rFonts w:ascii="Verdana" w:hAnsi="Verdana"/>
          <w:sz w:val="20"/>
          <w:lang w:val="es-ES"/>
        </w:rPr>
      </w:pPr>
    </w:p>
    <w:p w14:paraId="04950FA1" w14:textId="77777777" w:rsidR="00AA2D75" w:rsidRDefault="00AA2D75" w:rsidP="009D685D">
      <w:pPr>
        <w:spacing w:after="0" w:line="240" w:lineRule="auto"/>
        <w:rPr>
          <w:rFonts w:ascii="Verdana" w:hAnsi="Verdana"/>
          <w:sz w:val="20"/>
          <w:lang w:val="es-ES"/>
        </w:rPr>
      </w:pPr>
    </w:p>
    <w:p w14:paraId="65853B59" w14:textId="463D8E90" w:rsidR="00AA2D75" w:rsidRDefault="00AA2D75" w:rsidP="009D685D">
      <w:pPr>
        <w:spacing w:after="0" w:line="240" w:lineRule="auto"/>
        <w:rPr>
          <w:rFonts w:ascii="Verdana" w:hAnsi="Verdana"/>
          <w:sz w:val="20"/>
          <w:lang w:val="es-ES"/>
        </w:rPr>
      </w:pPr>
    </w:p>
    <w:p w14:paraId="4342B773" w14:textId="64BE0ECC" w:rsidR="00AA2D75" w:rsidRDefault="00AA2D75" w:rsidP="009D685D">
      <w:pPr>
        <w:spacing w:after="0" w:line="240" w:lineRule="auto"/>
        <w:rPr>
          <w:rFonts w:ascii="Verdana" w:hAnsi="Verdana"/>
          <w:sz w:val="20"/>
          <w:lang w:val="es-ES"/>
        </w:rPr>
      </w:pPr>
      <w:r>
        <w:rPr>
          <w:rFonts w:ascii="Verdana" w:hAnsi="Verdana"/>
          <w:sz w:val="20"/>
          <w:lang w:val="es-ES"/>
        </w:rPr>
        <w:t>Pablo Saavedra Alessandri</w:t>
      </w:r>
    </w:p>
    <w:p w14:paraId="718482C0" w14:textId="77777777" w:rsidR="00AA2D75" w:rsidRDefault="00AA2D75" w:rsidP="009D685D">
      <w:pPr>
        <w:spacing w:after="0" w:line="240" w:lineRule="auto"/>
        <w:rPr>
          <w:rFonts w:ascii="Verdana" w:hAnsi="Verdana"/>
          <w:sz w:val="20"/>
          <w:lang w:val="es-ES"/>
        </w:rPr>
      </w:pPr>
      <w:r>
        <w:rPr>
          <w:rFonts w:ascii="Verdana" w:hAnsi="Verdana"/>
          <w:sz w:val="20"/>
          <w:lang w:val="es-ES"/>
        </w:rPr>
        <w:t xml:space="preserve">          Secretario </w:t>
      </w:r>
    </w:p>
    <w:p w14:paraId="03990700" w14:textId="43DF758E" w:rsidR="00AA2D75" w:rsidRDefault="00AA2D75" w:rsidP="009D685D">
      <w:pPr>
        <w:spacing w:after="0" w:line="240" w:lineRule="auto"/>
        <w:jc w:val="center"/>
        <w:rPr>
          <w:rFonts w:ascii="Verdana" w:hAnsi="Verdana"/>
          <w:sz w:val="20"/>
          <w:lang w:val="es-ES"/>
        </w:rPr>
      </w:pPr>
    </w:p>
    <w:p w14:paraId="58740309" w14:textId="6671DC4D" w:rsidR="003E7D29" w:rsidRDefault="003E7D29" w:rsidP="009D685D">
      <w:pPr>
        <w:spacing w:after="0" w:line="240" w:lineRule="auto"/>
        <w:rPr>
          <w:rFonts w:ascii="Verdana" w:hAnsi="Verdana"/>
          <w:sz w:val="20"/>
          <w:lang w:val="es-CR"/>
        </w:rPr>
      </w:pPr>
    </w:p>
    <w:p w14:paraId="75A561A2" w14:textId="77777777" w:rsidR="003E7D29" w:rsidRDefault="003E7D29" w:rsidP="009D685D">
      <w:pPr>
        <w:spacing w:after="0" w:line="240" w:lineRule="auto"/>
        <w:rPr>
          <w:rFonts w:ascii="Verdana" w:hAnsi="Verdana"/>
          <w:sz w:val="20"/>
          <w:lang w:val="es-CR"/>
        </w:rPr>
      </w:pPr>
    </w:p>
    <w:p w14:paraId="649F7D3C" w14:textId="2867813F" w:rsidR="003E7D29" w:rsidRDefault="003E7D29" w:rsidP="009D685D">
      <w:pPr>
        <w:spacing w:after="0" w:line="240" w:lineRule="auto"/>
        <w:rPr>
          <w:rFonts w:ascii="Verdana" w:hAnsi="Verdana"/>
          <w:sz w:val="20"/>
          <w:lang w:val="es-CR"/>
        </w:rPr>
      </w:pPr>
      <w:r>
        <w:rPr>
          <w:rFonts w:ascii="Verdana" w:hAnsi="Verdana"/>
          <w:sz w:val="20"/>
          <w:lang w:val="es-CR"/>
        </w:rPr>
        <w:t>Comuníquese y ejecútese,</w:t>
      </w:r>
    </w:p>
    <w:p w14:paraId="55944A87" w14:textId="75D46358" w:rsidR="003E7D29" w:rsidRDefault="003E7D29" w:rsidP="009D685D">
      <w:pPr>
        <w:spacing w:after="0" w:line="240" w:lineRule="auto"/>
        <w:jc w:val="center"/>
        <w:rPr>
          <w:rFonts w:ascii="Verdana" w:hAnsi="Verdana"/>
          <w:sz w:val="20"/>
          <w:lang w:val="es-CR"/>
        </w:rPr>
      </w:pPr>
    </w:p>
    <w:p w14:paraId="7558A208" w14:textId="77777777" w:rsidR="003D5CF6" w:rsidRDefault="003D5CF6" w:rsidP="009D685D">
      <w:pPr>
        <w:spacing w:after="0" w:line="240" w:lineRule="auto"/>
        <w:jc w:val="center"/>
        <w:rPr>
          <w:rFonts w:ascii="Verdana" w:hAnsi="Verdana"/>
          <w:sz w:val="20"/>
          <w:lang w:val="es-CR"/>
        </w:rPr>
      </w:pPr>
    </w:p>
    <w:p w14:paraId="644D15F3" w14:textId="77777777" w:rsidR="003D5CF6" w:rsidRDefault="003D5CF6" w:rsidP="009D685D">
      <w:pPr>
        <w:spacing w:after="0" w:line="240" w:lineRule="auto"/>
        <w:jc w:val="center"/>
        <w:rPr>
          <w:rFonts w:ascii="Verdana" w:hAnsi="Verdana"/>
          <w:sz w:val="20"/>
          <w:lang w:val="es-CR"/>
        </w:rPr>
      </w:pPr>
    </w:p>
    <w:p w14:paraId="7C4FEDA8" w14:textId="77777777" w:rsidR="003D5CF6" w:rsidRDefault="003D5CF6" w:rsidP="009D685D">
      <w:pPr>
        <w:spacing w:after="0" w:line="240" w:lineRule="auto"/>
        <w:jc w:val="center"/>
        <w:rPr>
          <w:rFonts w:ascii="Verdana" w:hAnsi="Verdana"/>
          <w:sz w:val="20"/>
          <w:lang w:val="es-CR"/>
        </w:rPr>
      </w:pPr>
    </w:p>
    <w:p w14:paraId="1FAEC088" w14:textId="77777777" w:rsidR="003E7D29" w:rsidRDefault="003E7D29" w:rsidP="009D685D">
      <w:pPr>
        <w:spacing w:after="0" w:line="240" w:lineRule="auto"/>
        <w:rPr>
          <w:rFonts w:ascii="Verdana" w:hAnsi="Verdana"/>
          <w:sz w:val="20"/>
          <w:lang w:val="es-ES"/>
        </w:rPr>
      </w:pPr>
    </w:p>
    <w:p w14:paraId="0E1CD243" w14:textId="6266FD73" w:rsidR="003E7D29" w:rsidRDefault="003E7D29" w:rsidP="009D685D">
      <w:pPr>
        <w:spacing w:after="0" w:line="240" w:lineRule="auto"/>
        <w:jc w:val="center"/>
        <w:rPr>
          <w:rFonts w:ascii="Verdana" w:hAnsi="Verdana"/>
          <w:sz w:val="20"/>
          <w:lang w:val="es-ES"/>
        </w:rPr>
      </w:pPr>
    </w:p>
    <w:p w14:paraId="02BB184E" w14:textId="77777777" w:rsidR="003E7D29" w:rsidRDefault="003E7D29" w:rsidP="008E4144">
      <w:pPr>
        <w:spacing w:after="0" w:line="240" w:lineRule="auto"/>
        <w:ind w:left="4770" w:firstLine="720"/>
        <w:jc w:val="center"/>
        <w:rPr>
          <w:rFonts w:ascii="Verdana" w:hAnsi="Verdana"/>
          <w:sz w:val="20"/>
          <w:lang w:val="es-ES"/>
        </w:rPr>
      </w:pPr>
      <w:r>
        <w:rPr>
          <w:rFonts w:ascii="Verdana" w:hAnsi="Verdana"/>
          <w:sz w:val="20"/>
          <w:lang w:val="es-ES"/>
        </w:rPr>
        <w:t>Roberto F. Caldas</w:t>
      </w:r>
    </w:p>
    <w:p w14:paraId="5EA01225" w14:textId="24CA5DDB" w:rsidR="003E7D29" w:rsidRDefault="003E7D29" w:rsidP="008E4144">
      <w:pPr>
        <w:spacing w:after="0" w:line="240" w:lineRule="auto"/>
        <w:ind w:left="4950" w:firstLine="720"/>
        <w:jc w:val="center"/>
        <w:rPr>
          <w:rFonts w:ascii="Verdana" w:hAnsi="Verdana"/>
          <w:sz w:val="20"/>
          <w:lang w:val="es-ES"/>
        </w:rPr>
      </w:pPr>
      <w:r>
        <w:rPr>
          <w:rFonts w:ascii="Verdana" w:hAnsi="Verdana"/>
          <w:sz w:val="20"/>
          <w:lang w:val="es-ES"/>
        </w:rPr>
        <w:t xml:space="preserve">Presidente </w:t>
      </w:r>
    </w:p>
    <w:p w14:paraId="4B7654CD" w14:textId="6FF41795" w:rsidR="003E7D29" w:rsidRDefault="003E7D29" w:rsidP="009D685D">
      <w:pPr>
        <w:spacing w:after="0" w:line="240" w:lineRule="auto"/>
        <w:rPr>
          <w:rFonts w:ascii="Verdana" w:hAnsi="Verdana"/>
          <w:sz w:val="20"/>
          <w:lang w:val="es-ES"/>
        </w:rPr>
      </w:pPr>
    </w:p>
    <w:p w14:paraId="548AB099" w14:textId="24A7070E" w:rsidR="00B05BC3" w:rsidRDefault="00B05BC3" w:rsidP="009D685D">
      <w:pPr>
        <w:spacing w:after="0" w:line="240" w:lineRule="auto"/>
        <w:rPr>
          <w:rFonts w:ascii="Verdana" w:hAnsi="Verdana"/>
          <w:sz w:val="20"/>
          <w:lang w:val="es-ES"/>
        </w:rPr>
      </w:pPr>
    </w:p>
    <w:p w14:paraId="67A5B6BF" w14:textId="0E2DC647" w:rsidR="00B05BC3" w:rsidRDefault="00B05BC3" w:rsidP="009D685D">
      <w:pPr>
        <w:spacing w:after="0" w:line="240" w:lineRule="auto"/>
        <w:rPr>
          <w:rFonts w:ascii="Verdana" w:hAnsi="Verdana"/>
          <w:sz w:val="20"/>
          <w:lang w:val="es-ES"/>
        </w:rPr>
      </w:pPr>
    </w:p>
    <w:p w14:paraId="72836ABE" w14:textId="77777777" w:rsidR="003D5CF6" w:rsidRDefault="003D5CF6" w:rsidP="009D685D">
      <w:pPr>
        <w:spacing w:after="0" w:line="240" w:lineRule="auto"/>
        <w:rPr>
          <w:rFonts w:ascii="Verdana" w:hAnsi="Verdana"/>
          <w:sz w:val="20"/>
          <w:lang w:val="es-ES"/>
        </w:rPr>
      </w:pPr>
    </w:p>
    <w:p w14:paraId="36A2F90E" w14:textId="77777777" w:rsidR="003D5CF6" w:rsidRDefault="003D5CF6" w:rsidP="009D685D">
      <w:pPr>
        <w:spacing w:after="0" w:line="240" w:lineRule="auto"/>
        <w:rPr>
          <w:rFonts w:ascii="Verdana" w:hAnsi="Verdana"/>
          <w:sz w:val="20"/>
          <w:lang w:val="es-ES"/>
        </w:rPr>
      </w:pPr>
    </w:p>
    <w:p w14:paraId="6FBB2A52" w14:textId="77777777" w:rsidR="008E4144" w:rsidRDefault="008E4144" w:rsidP="009D685D">
      <w:pPr>
        <w:spacing w:after="0" w:line="240" w:lineRule="auto"/>
        <w:rPr>
          <w:rFonts w:ascii="Verdana" w:hAnsi="Verdana"/>
          <w:sz w:val="20"/>
          <w:lang w:val="es-ES"/>
        </w:rPr>
      </w:pPr>
    </w:p>
    <w:p w14:paraId="7A536CF8" w14:textId="77777777" w:rsidR="008E4144" w:rsidRDefault="008E4144" w:rsidP="009D685D">
      <w:pPr>
        <w:spacing w:after="0" w:line="240" w:lineRule="auto"/>
        <w:rPr>
          <w:rFonts w:ascii="Verdana" w:hAnsi="Verdana"/>
          <w:sz w:val="20"/>
          <w:lang w:val="es-ES"/>
        </w:rPr>
      </w:pPr>
    </w:p>
    <w:p w14:paraId="15A02959" w14:textId="77777777" w:rsidR="003E7D29" w:rsidRDefault="003E7D29" w:rsidP="009D685D">
      <w:pPr>
        <w:spacing w:after="0" w:line="240" w:lineRule="auto"/>
        <w:rPr>
          <w:rFonts w:ascii="Verdana" w:hAnsi="Verdana"/>
          <w:sz w:val="20"/>
          <w:lang w:val="es-ES"/>
        </w:rPr>
      </w:pPr>
      <w:r>
        <w:rPr>
          <w:rFonts w:ascii="Verdana" w:hAnsi="Verdana"/>
          <w:sz w:val="20"/>
          <w:lang w:val="es-ES"/>
        </w:rPr>
        <w:t>Pablo Saavedra Alessandri</w:t>
      </w:r>
    </w:p>
    <w:p w14:paraId="3C5EEBE3" w14:textId="77777777" w:rsidR="003E7D29" w:rsidRDefault="003E7D29" w:rsidP="009D685D">
      <w:pPr>
        <w:spacing w:after="0" w:line="240" w:lineRule="auto"/>
        <w:rPr>
          <w:rFonts w:ascii="Verdana" w:hAnsi="Verdana"/>
          <w:sz w:val="20"/>
          <w:lang w:val="es-ES"/>
        </w:rPr>
      </w:pPr>
      <w:r>
        <w:rPr>
          <w:rFonts w:ascii="Verdana" w:hAnsi="Verdana"/>
          <w:sz w:val="20"/>
          <w:lang w:val="es-ES"/>
        </w:rPr>
        <w:t xml:space="preserve">          Secretario </w:t>
      </w:r>
    </w:p>
    <w:p w14:paraId="3D63BEAA" w14:textId="77777777" w:rsidR="003E7D29" w:rsidRPr="003E7D29" w:rsidRDefault="003E7D29" w:rsidP="009D685D">
      <w:pPr>
        <w:spacing w:after="0" w:line="240" w:lineRule="auto"/>
        <w:ind w:right="18"/>
        <w:jc w:val="both"/>
        <w:rPr>
          <w:rFonts w:ascii="Verdana" w:hAnsi="Verdana"/>
          <w:sz w:val="20"/>
          <w:szCs w:val="20"/>
          <w:lang w:val="es-ES"/>
        </w:rPr>
      </w:pPr>
    </w:p>
    <w:sectPr w:rsidR="003E7D29" w:rsidRPr="003E7D29" w:rsidSect="009E2FBA">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C8924" w14:textId="77777777" w:rsidR="00402985" w:rsidRDefault="00402985" w:rsidP="00A9169B">
      <w:pPr>
        <w:spacing w:after="0" w:line="240" w:lineRule="auto"/>
      </w:pPr>
      <w:r>
        <w:separator/>
      </w:r>
    </w:p>
  </w:endnote>
  <w:endnote w:type="continuationSeparator" w:id="0">
    <w:p w14:paraId="52B517F4" w14:textId="77777777" w:rsidR="00402985" w:rsidRDefault="00402985" w:rsidP="00A9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C40F4" w14:textId="77777777" w:rsidR="00402985" w:rsidRDefault="00402985" w:rsidP="00A9169B">
      <w:pPr>
        <w:spacing w:after="0" w:line="240" w:lineRule="auto"/>
      </w:pPr>
      <w:r>
        <w:separator/>
      </w:r>
    </w:p>
  </w:footnote>
  <w:footnote w:type="continuationSeparator" w:id="0">
    <w:p w14:paraId="62A1EA72" w14:textId="77777777" w:rsidR="00402985" w:rsidRDefault="00402985" w:rsidP="00A9169B">
      <w:pPr>
        <w:spacing w:after="0" w:line="240" w:lineRule="auto"/>
      </w:pPr>
      <w:r>
        <w:continuationSeparator/>
      </w:r>
    </w:p>
  </w:footnote>
  <w:footnote w:id="1">
    <w:p w14:paraId="16F8CF62" w14:textId="77777777" w:rsidR="00402985" w:rsidRPr="00417F64" w:rsidRDefault="00402985" w:rsidP="00417F64">
      <w:pPr>
        <w:pStyle w:val="FootnoteText"/>
        <w:jc w:val="both"/>
        <w:rPr>
          <w:rFonts w:ascii="Verdana" w:hAnsi="Verdana"/>
          <w:sz w:val="16"/>
          <w:szCs w:val="16"/>
          <w:lang w:val="es-MX"/>
        </w:rPr>
      </w:pPr>
      <w:r w:rsidRPr="00893FDE">
        <w:rPr>
          <w:rStyle w:val="FootnoteReference"/>
          <w:rFonts w:ascii="Verdana" w:hAnsi="Verdana"/>
          <w:sz w:val="16"/>
          <w:szCs w:val="16"/>
        </w:rPr>
        <w:footnoteRef/>
      </w:r>
      <w:r w:rsidRPr="00893FDE">
        <w:rPr>
          <w:rFonts w:ascii="Verdana" w:hAnsi="Verdana"/>
          <w:sz w:val="16"/>
          <w:szCs w:val="16"/>
          <w:lang w:val="es-MX"/>
        </w:rPr>
        <w:t xml:space="preserve"> </w:t>
      </w:r>
      <w:r w:rsidRPr="000C35C6">
        <w:rPr>
          <w:rFonts w:ascii="Verdana" w:hAnsi="Verdana"/>
          <w:sz w:val="16"/>
          <w:szCs w:val="16"/>
          <w:lang w:val="es-CR"/>
        </w:rPr>
        <w:tab/>
      </w:r>
      <w:r w:rsidRPr="00417F64">
        <w:rPr>
          <w:rFonts w:ascii="Verdana" w:hAnsi="Verdana"/>
          <w:i/>
          <w:sz w:val="16"/>
          <w:szCs w:val="16"/>
          <w:lang w:val="es-MX"/>
        </w:rPr>
        <w:t xml:space="preserve">Asunto Pobladores de las Comunidades del Pueblo Indígena Miskitu de la Región Costa Caribe Norte respecto de Nicaragua. </w:t>
      </w:r>
      <w:r w:rsidRPr="00417F64">
        <w:rPr>
          <w:rFonts w:ascii="Verdana" w:hAnsi="Verdana"/>
          <w:sz w:val="16"/>
          <w:szCs w:val="16"/>
          <w:lang w:val="es-MX"/>
        </w:rPr>
        <w:t>Solicitud de medidas provisionales. Resolución de la Corte Interamericana de Derechos Humanos de 1 de septiembre de 2016, Resolutivos 1 a 4.</w:t>
      </w:r>
    </w:p>
  </w:footnote>
  <w:footnote w:id="2">
    <w:p w14:paraId="62388F7B" w14:textId="77777777" w:rsidR="00402985" w:rsidRPr="00417F64" w:rsidRDefault="00402985"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 xml:space="preserve">Asunto Pobladores de las Comunidades del Pueblo Indígena Miskitu de la Región Costa Caribe Norte respecto de Nicaragua. </w:t>
      </w:r>
      <w:r w:rsidRPr="00417F64">
        <w:rPr>
          <w:rFonts w:ascii="Verdana" w:hAnsi="Verdana"/>
          <w:sz w:val="16"/>
          <w:szCs w:val="16"/>
          <w:lang w:val="es-MX"/>
        </w:rPr>
        <w:t>Solicitud de medidas provisionales. Resolución de la Corte Interamericana de Derechos Humanos de 23 de noviembre de 2016, Resolutivos 1 a 3.</w:t>
      </w:r>
    </w:p>
    <w:p w14:paraId="2EE55A52" w14:textId="77777777" w:rsidR="00402985" w:rsidRPr="00417F64" w:rsidRDefault="00402985" w:rsidP="00417F64">
      <w:pPr>
        <w:pStyle w:val="FootnoteText"/>
        <w:jc w:val="both"/>
        <w:rPr>
          <w:rFonts w:ascii="Verdana" w:hAnsi="Verdana"/>
          <w:sz w:val="16"/>
          <w:szCs w:val="16"/>
          <w:lang w:val="es-MX"/>
        </w:rPr>
      </w:pPr>
    </w:p>
  </w:footnote>
  <w:footnote w:id="3">
    <w:p w14:paraId="3EE772D1" w14:textId="65CB331E" w:rsidR="00402985" w:rsidRPr="00417F64" w:rsidRDefault="00402985"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 xml:space="preserve">Cfr. Caso del Periódico “La Nación”. </w:t>
      </w:r>
      <w:r w:rsidRPr="00417F64">
        <w:rPr>
          <w:rFonts w:ascii="Verdana" w:hAnsi="Verdana"/>
          <w:sz w:val="16"/>
          <w:szCs w:val="16"/>
          <w:lang w:val="es-MX"/>
        </w:rPr>
        <w:t>Medidas Provisionales respecto de Costa Rica.</w:t>
      </w:r>
      <w:r w:rsidRPr="00417F64">
        <w:rPr>
          <w:rFonts w:ascii="Verdana" w:hAnsi="Verdana"/>
          <w:i/>
          <w:sz w:val="16"/>
          <w:szCs w:val="16"/>
          <w:lang w:val="es-MX"/>
        </w:rPr>
        <w:t xml:space="preserve"> </w:t>
      </w:r>
      <w:r w:rsidRPr="00417F64">
        <w:rPr>
          <w:rFonts w:ascii="Verdana" w:hAnsi="Verdana"/>
          <w:sz w:val="16"/>
          <w:szCs w:val="16"/>
          <w:lang w:val="es-MX"/>
        </w:rPr>
        <w:t xml:space="preserve">Resolución de la Corte Interamericana de Derechos Humanos de 7 de septiembre de 2001, Considerando 4, y </w:t>
      </w:r>
      <w:r w:rsidRPr="00417F64">
        <w:rPr>
          <w:rFonts w:ascii="Verdana" w:hAnsi="Verdana"/>
          <w:i/>
          <w:sz w:val="16"/>
          <w:szCs w:val="16"/>
          <w:lang w:val="es-MX"/>
        </w:rPr>
        <w:t xml:space="preserve">Asunto Pobladores de las Comunidades del Pueblo Indígena Miskitu de la Región Costa Caribe Norte respecto de Nicaragua, </w:t>
      </w:r>
      <w:r w:rsidRPr="00417F64">
        <w:rPr>
          <w:rFonts w:ascii="Verdana" w:hAnsi="Verdana"/>
          <w:sz w:val="16"/>
          <w:szCs w:val="16"/>
          <w:lang w:val="es-MX"/>
        </w:rPr>
        <w:t xml:space="preserve">23 de noviembre de 2016, </w:t>
      </w:r>
      <w:r w:rsidRPr="00417F64">
        <w:rPr>
          <w:rFonts w:ascii="Verdana" w:hAnsi="Verdana"/>
          <w:i/>
          <w:sz w:val="16"/>
          <w:szCs w:val="16"/>
          <w:lang w:val="es-MX"/>
        </w:rPr>
        <w:t>supra</w:t>
      </w:r>
      <w:r w:rsidRPr="00417F64">
        <w:rPr>
          <w:rFonts w:ascii="Verdana" w:hAnsi="Verdana"/>
          <w:sz w:val="16"/>
          <w:szCs w:val="16"/>
          <w:lang w:val="es-MX"/>
        </w:rPr>
        <w:t xml:space="preserve"> Considerando 4</w:t>
      </w:r>
      <w:r w:rsidRPr="00417F64">
        <w:rPr>
          <w:rFonts w:ascii="Verdana" w:hAnsi="Verdana"/>
          <w:i/>
          <w:sz w:val="16"/>
          <w:szCs w:val="16"/>
          <w:lang w:val="es-MX"/>
        </w:rPr>
        <w:t>.</w:t>
      </w:r>
    </w:p>
  </w:footnote>
  <w:footnote w:id="4">
    <w:p w14:paraId="4D03442D" w14:textId="77777777" w:rsidR="00402985" w:rsidRPr="00417F64" w:rsidRDefault="00402985"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eastAsiaTheme="minorHAnsi" w:hAnsi="Verdana" w:cs="Arial"/>
          <w:i/>
          <w:sz w:val="16"/>
          <w:szCs w:val="16"/>
          <w:lang w:val="es-CL"/>
        </w:rPr>
        <w:t xml:space="preserve">Cfr. </w:t>
      </w:r>
      <w:r w:rsidRPr="00417F64">
        <w:rPr>
          <w:rFonts w:ascii="Verdana" w:eastAsiaTheme="minorHAnsi" w:hAnsi="Verdana" w:cs="Arial"/>
          <w:sz w:val="16"/>
          <w:szCs w:val="16"/>
          <w:lang w:val="es-CL"/>
        </w:rPr>
        <w:t>Comunicaciones Ref.: Pueblo Indígena Miskitu de Wangki Twi-Tasba Raya, del Centro por la Justicia y Derechos Humanos de la Costa Atlántica de Nicaragua y Centro por la Justicia y el Derecho Internacional, de fecha 08 de marzo de 2017 y de 20 de marzo de 2017 (anexos 5 y 6 a la solicitud de la Comisión, folios 1138 a 1172).</w:t>
      </w:r>
    </w:p>
  </w:footnote>
  <w:footnote w:id="5">
    <w:p w14:paraId="07C67521" w14:textId="3628A6A2" w:rsidR="00402985" w:rsidRPr="00824C1F" w:rsidRDefault="00402985" w:rsidP="00824C1F">
      <w:pPr>
        <w:pStyle w:val="Prrafodelista1"/>
        <w:tabs>
          <w:tab w:val="left" w:pos="720"/>
        </w:tabs>
        <w:jc w:val="both"/>
        <w:rPr>
          <w:rFonts w:eastAsia="MS Mincho"/>
          <w:szCs w:val="16"/>
          <w:lang w:val="es-CR"/>
        </w:rPr>
      </w:pPr>
      <w:r w:rsidRPr="00417F64">
        <w:rPr>
          <w:rStyle w:val="FootnoteReference"/>
          <w:szCs w:val="16"/>
        </w:rPr>
        <w:footnoteRef/>
      </w:r>
      <w:r w:rsidRPr="00417F64">
        <w:rPr>
          <w:szCs w:val="16"/>
        </w:rPr>
        <w:t xml:space="preserve">  </w:t>
      </w:r>
      <w:r w:rsidRPr="00417F64">
        <w:rPr>
          <w:rFonts w:eastAsia="MS Mincho"/>
          <w:szCs w:val="16"/>
          <w:lang w:val="es-CR"/>
        </w:rPr>
        <w:t>En lo concerniente a la Presidenta de CEJUDHCAN, Lottie Cunningham, los representantes identificaron nuevas amenazas contra la defensora. En particular, identificaron un mensaje que la señora Cunningham recibió de un perfil de Facebook en nombre de un “Nazchi Guirre”, donde la organización y los defensores s</w:t>
      </w:r>
      <w:r w:rsidR="00824C1F">
        <w:rPr>
          <w:rFonts w:eastAsia="MS Mincho"/>
          <w:szCs w:val="16"/>
          <w:lang w:val="es-CR"/>
        </w:rPr>
        <w:t>e llaman varias veces “basuras”.</w:t>
      </w:r>
    </w:p>
  </w:footnote>
  <w:footnote w:id="6">
    <w:p w14:paraId="064FF990" w14:textId="77777777" w:rsidR="0046631C" w:rsidRPr="00417F64" w:rsidRDefault="0046631C" w:rsidP="0046631C">
      <w:pPr>
        <w:pStyle w:val="FootnoteText"/>
        <w:jc w:val="both"/>
        <w:rPr>
          <w:rFonts w:ascii="Verdana" w:hAnsi="Verdana"/>
          <w:sz w:val="16"/>
          <w:szCs w:val="16"/>
          <w:lang w:val="es-CR"/>
        </w:rPr>
      </w:pPr>
      <w:r w:rsidRPr="00417F64">
        <w:rPr>
          <w:rStyle w:val="FootnoteReference"/>
          <w:rFonts w:ascii="Verdana" w:hAnsi="Verdana"/>
          <w:sz w:val="16"/>
          <w:szCs w:val="16"/>
        </w:rPr>
        <w:footnoteRef/>
      </w:r>
      <w:r w:rsidRPr="00417F64">
        <w:rPr>
          <w:rFonts w:ascii="Verdana" w:hAnsi="Verdana"/>
          <w:sz w:val="16"/>
          <w:szCs w:val="16"/>
          <w:lang w:val="es-CR"/>
        </w:rPr>
        <w:t xml:space="preserve"> </w:t>
      </w:r>
      <w:r w:rsidRPr="00417F64">
        <w:rPr>
          <w:rFonts w:ascii="Verdana" w:hAnsi="Verdana"/>
          <w:sz w:val="16"/>
          <w:szCs w:val="16"/>
          <w:lang w:val="es-CR"/>
        </w:rPr>
        <w:tab/>
        <w:t>En el contexto del restablecimiento y protección de los derechos humanos aludidos, el Estado, en su contestación, comunicó que en relación a las amenazas a la señora Lottie Cunningham nunca recibió una denuncia. Sin embargo, el Estado declaró que la Policía Nacional realizó actos de investigación y concluyó que el referido perfil responsable por las amenazas “es una fachada creada para intentar incriminar a determinado grupo político” (pág. 24).</w:t>
      </w:r>
    </w:p>
  </w:footnote>
  <w:footnote w:id="7">
    <w:p w14:paraId="0D777B4D" w14:textId="77777777" w:rsidR="0046631C" w:rsidRPr="00417F64" w:rsidRDefault="0046631C" w:rsidP="0046631C">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Asunto Pobladores de las Comunidades del Pueblo Indígena Miskitu de la Región Costa Caribe Norte respecto de Nicaragua</w:t>
      </w:r>
      <w:r w:rsidRPr="00417F64">
        <w:rPr>
          <w:rFonts w:ascii="Verdana" w:hAnsi="Verdana"/>
          <w:sz w:val="16"/>
          <w:szCs w:val="16"/>
          <w:lang w:val="es-MX"/>
        </w:rPr>
        <w:t xml:space="preserve">, </w:t>
      </w:r>
      <w:r w:rsidRPr="00417F64">
        <w:rPr>
          <w:rFonts w:ascii="Verdana" w:hAnsi="Verdana"/>
          <w:i/>
          <w:sz w:val="16"/>
          <w:szCs w:val="16"/>
          <w:lang w:val="es-MX"/>
        </w:rPr>
        <w:t xml:space="preserve">supra </w:t>
      </w:r>
      <w:r w:rsidRPr="00417F64">
        <w:rPr>
          <w:rFonts w:ascii="Verdana" w:hAnsi="Verdana"/>
          <w:sz w:val="16"/>
          <w:szCs w:val="16"/>
          <w:lang w:val="es-MX"/>
        </w:rPr>
        <w:t>Considerando 7.</w:t>
      </w:r>
    </w:p>
  </w:footnote>
  <w:footnote w:id="8">
    <w:p w14:paraId="3BC1E09C" w14:textId="77777777" w:rsidR="0046631C" w:rsidRPr="00417F64" w:rsidRDefault="0046631C" w:rsidP="0046631C">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t xml:space="preserve">La Comisión otorgó las primeras medidas cautelares el 14 de octubre de 2015, medidas que fueron posteriormente ampliadas el 16 de enero de 2016 y, después, el 8 de agosto de 2016, para pobladores de diversas comunidades integrantes del pueblo indígena </w:t>
      </w:r>
      <w:r w:rsidRPr="00417F64">
        <w:rPr>
          <w:rFonts w:ascii="Verdana" w:hAnsi="Verdana"/>
          <w:i/>
          <w:sz w:val="16"/>
          <w:szCs w:val="16"/>
          <w:lang w:val="es-MX"/>
        </w:rPr>
        <w:t xml:space="preserve">Miskitu. Cfr. </w:t>
      </w:r>
      <w:r w:rsidRPr="00417F64">
        <w:rPr>
          <w:rFonts w:ascii="Verdana" w:hAnsi="Verdana"/>
          <w:sz w:val="16"/>
          <w:szCs w:val="16"/>
          <w:lang w:val="es-MX"/>
        </w:rPr>
        <w:t xml:space="preserve">CIDH, Resolución 37/15, Medida Cautelar No. 505-15, Pueblo Indígena </w:t>
      </w:r>
      <w:r w:rsidRPr="00417F64">
        <w:rPr>
          <w:rFonts w:ascii="Verdana" w:hAnsi="Verdana"/>
          <w:i/>
          <w:sz w:val="16"/>
          <w:szCs w:val="16"/>
          <w:lang w:val="es-MX"/>
        </w:rPr>
        <w:t>Miskitu</w:t>
      </w:r>
      <w:r w:rsidRPr="00417F64">
        <w:rPr>
          <w:rFonts w:ascii="Verdana" w:hAnsi="Verdana"/>
          <w:sz w:val="16"/>
          <w:szCs w:val="16"/>
          <w:lang w:val="es-MX"/>
        </w:rPr>
        <w:t xml:space="preserve"> de Wangki Twi-Tasba Raya respecto de Nicaragua, 14 de octubre de 2015; CIDH, Resolución 2/2016, Medida Cautelar No. 505-15, Ampliación de beneficiarios Pueblo Indígena </w:t>
      </w:r>
      <w:r w:rsidRPr="00417F64">
        <w:rPr>
          <w:rFonts w:ascii="Verdana" w:hAnsi="Verdana"/>
          <w:i/>
          <w:sz w:val="16"/>
          <w:szCs w:val="16"/>
          <w:lang w:val="es-MX"/>
        </w:rPr>
        <w:t>Miskitu</w:t>
      </w:r>
      <w:r w:rsidRPr="00417F64">
        <w:rPr>
          <w:rFonts w:ascii="Verdana" w:hAnsi="Verdana"/>
          <w:sz w:val="16"/>
          <w:szCs w:val="16"/>
          <w:lang w:val="es-MX"/>
        </w:rPr>
        <w:t xml:space="preserve"> de Wangki Twi-Tasba Raya respecto de Nicaragua, 16 de enero de 2016, y CIDH, Resolución 44/2016, Medida Cautelar No. 505-15, Ampliación de beneficiarios Pueblo Indígena </w:t>
      </w:r>
      <w:r w:rsidRPr="00417F64">
        <w:rPr>
          <w:rFonts w:ascii="Verdana" w:hAnsi="Verdana"/>
          <w:i/>
          <w:sz w:val="16"/>
          <w:szCs w:val="16"/>
          <w:lang w:val="es-MX"/>
        </w:rPr>
        <w:t>Miskitu</w:t>
      </w:r>
      <w:r w:rsidRPr="00417F64">
        <w:rPr>
          <w:rFonts w:ascii="Verdana" w:hAnsi="Verdana"/>
          <w:sz w:val="16"/>
          <w:szCs w:val="16"/>
          <w:lang w:val="es-MX"/>
        </w:rPr>
        <w:t xml:space="preserve"> de Wangki Twi-Tasba Raya respecto de Nicaragua, 8 de agosto de 2016 (anexos a la solicitud de la Comisión, folios 349 a 364). </w:t>
      </w:r>
    </w:p>
  </w:footnote>
  <w:footnote w:id="9">
    <w:p w14:paraId="17D29DE3" w14:textId="77777777" w:rsidR="0046631C" w:rsidRPr="00417F64" w:rsidRDefault="0046631C" w:rsidP="0046631C">
      <w:pPr>
        <w:pStyle w:val="FootnoteText"/>
        <w:jc w:val="both"/>
        <w:rPr>
          <w:rFonts w:ascii="Verdana" w:hAnsi="Verdana"/>
          <w:sz w:val="16"/>
          <w:szCs w:val="16"/>
          <w:lang w:val="es-CR"/>
        </w:rPr>
      </w:pPr>
      <w:r w:rsidRPr="00417F64">
        <w:rPr>
          <w:rStyle w:val="FootnoteReference"/>
          <w:rFonts w:ascii="Verdana" w:hAnsi="Verdana"/>
          <w:sz w:val="16"/>
          <w:szCs w:val="16"/>
        </w:rPr>
        <w:footnoteRef/>
      </w:r>
      <w:r w:rsidRPr="00417F64">
        <w:rPr>
          <w:rFonts w:ascii="Verdana" w:hAnsi="Verdana"/>
          <w:sz w:val="16"/>
          <w:szCs w:val="16"/>
          <w:lang w:val="es-CR"/>
        </w:rPr>
        <w:t xml:space="preserve"> </w:t>
      </w:r>
      <w:r w:rsidRPr="00417F64">
        <w:rPr>
          <w:rFonts w:ascii="Verdana" w:hAnsi="Verdana"/>
          <w:sz w:val="16"/>
          <w:szCs w:val="16"/>
          <w:lang w:val="es-CR"/>
        </w:rPr>
        <w:tab/>
      </w:r>
      <w:r w:rsidRPr="00417F64">
        <w:rPr>
          <w:rFonts w:ascii="Verdana" w:hAnsi="Verdana"/>
          <w:i/>
          <w:sz w:val="16"/>
          <w:szCs w:val="16"/>
          <w:lang w:val="es-CR"/>
        </w:rPr>
        <w:t xml:space="preserve">Asunto Pobladores de las Comunidades del Pueblo Indígena Miskitu de la Región Costa Caribe Norte respecto de Nicaragua </w:t>
      </w:r>
      <w:r w:rsidRPr="00417F64">
        <w:rPr>
          <w:rFonts w:ascii="Verdana" w:hAnsi="Verdana"/>
          <w:sz w:val="16"/>
          <w:szCs w:val="16"/>
          <w:lang w:val="es-CR"/>
        </w:rPr>
        <w:t xml:space="preserve">de 23 de noviembre de 2016. Considerando 16. </w:t>
      </w:r>
    </w:p>
  </w:footnote>
  <w:footnote w:id="10">
    <w:p w14:paraId="218440EB" w14:textId="77777777" w:rsidR="00402985" w:rsidRPr="00417F64" w:rsidRDefault="00402985"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CR"/>
        </w:rPr>
        <w:tab/>
      </w:r>
      <w:r w:rsidRPr="00417F64">
        <w:rPr>
          <w:rFonts w:ascii="Verdana" w:hAnsi="Verdana"/>
          <w:i/>
          <w:sz w:val="16"/>
          <w:szCs w:val="16"/>
          <w:lang w:val="es-MX"/>
        </w:rPr>
        <w:t>Cfr.</w:t>
      </w:r>
      <w:r w:rsidRPr="00417F64">
        <w:rPr>
          <w:rFonts w:ascii="Verdana" w:hAnsi="Verdana"/>
          <w:sz w:val="16"/>
          <w:szCs w:val="16"/>
          <w:lang w:val="es-MX"/>
        </w:rPr>
        <w:t xml:space="preserve"> </w:t>
      </w:r>
      <w:r w:rsidRPr="00417F64">
        <w:rPr>
          <w:rFonts w:ascii="Verdana" w:hAnsi="Verdana"/>
          <w:i/>
          <w:sz w:val="16"/>
          <w:szCs w:val="16"/>
          <w:lang w:val="es-MX"/>
        </w:rPr>
        <w:t>Asunto Pobladores de las Comunidades del Pueblo Indígena Miskitu de la Región Costa Caribe Norte respecto de Nicaragua, supra</w:t>
      </w:r>
      <w:r w:rsidRPr="00417F64">
        <w:rPr>
          <w:rFonts w:ascii="Verdana" w:hAnsi="Verdana"/>
          <w:sz w:val="16"/>
          <w:szCs w:val="16"/>
          <w:lang w:val="es-MX"/>
        </w:rPr>
        <w:t xml:space="preserve"> Considerandos 8 y 11.</w:t>
      </w:r>
    </w:p>
  </w:footnote>
  <w:footnote w:id="11">
    <w:p w14:paraId="69BB3064" w14:textId="77777777" w:rsidR="00402985" w:rsidRPr="00417F64" w:rsidRDefault="00402985"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CR"/>
        </w:rPr>
        <w:tab/>
      </w:r>
      <w:r w:rsidRPr="00417F64">
        <w:rPr>
          <w:rFonts w:ascii="Verdana" w:hAnsi="Verdana"/>
          <w:i/>
          <w:sz w:val="16"/>
          <w:szCs w:val="16"/>
          <w:lang w:val="es-MX"/>
        </w:rPr>
        <w:t>Asunto Pobladores de las Comunidades del Pueblo Indígena Miskitu de la Región Costa Caribe Norte respecto de Nicaragua</w:t>
      </w:r>
      <w:r w:rsidRPr="00417F64">
        <w:rPr>
          <w:rFonts w:ascii="Verdana" w:hAnsi="Verdana"/>
          <w:sz w:val="16"/>
          <w:szCs w:val="16"/>
          <w:lang w:val="es-MX"/>
        </w:rPr>
        <w:t xml:space="preserve">, </w:t>
      </w:r>
      <w:r w:rsidRPr="00417F64">
        <w:rPr>
          <w:rFonts w:ascii="Verdana" w:hAnsi="Verdana"/>
          <w:i/>
          <w:sz w:val="16"/>
          <w:szCs w:val="16"/>
          <w:lang w:val="es-MX"/>
        </w:rPr>
        <w:t xml:space="preserve">supra </w:t>
      </w:r>
      <w:r w:rsidRPr="00417F64">
        <w:rPr>
          <w:rFonts w:ascii="Verdana" w:hAnsi="Verdana"/>
          <w:sz w:val="16"/>
          <w:szCs w:val="16"/>
          <w:lang w:val="es-MX"/>
        </w:rPr>
        <w:t xml:space="preserve">Considerando 11. </w:t>
      </w:r>
      <w:r w:rsidRPr="00417F64">
        <w:rPr>
          <w:rFonts w:ascii="Verdana" w:hAnsi="Verdana"/>
          <w:i/>
          <w:sz w:val="16"/>
          <w:szCs w:val="16"/>
          <w:lang w:val="es-CR"/>
        </w:rPr>
        <w:t>Asunto Pobladores de las Comunidades del Pueblo Indígena Miskitu de la Región Costa Caribe Norte respecto de Nicaragua.</w:t>
      </w:r>
      <w:r w:rsidRPr="00417F64">
        <w:rPr>
          <w:rFonts w:ascii="Verdana" w:hAnsi="Verdana"/>
          <w:sz w:val="16"/>
          <w:szCs w:val="16"/>
          <w:lang w:val="es-CR"/>
        </w:rPr>
        <w:t xml:space="preserve"> Medidas Provisionales. Resolución de la Corte Interamericana de Derechos Humanos de 23 de noviembre de 2016.</w:t>
      </w:r>
    </w:p>
  </w:footnote>
  <w:footnote w:id="12">
    <w:p w14:paraId="4A7DDA2A" w14:textId="77777777" w:rsidR="00402985" w:rsidRPr="00417F64" w:rsidRDefault="00402985"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 xml:space="preserve">Cfr. Caso Fernández Ortega y otros Vs. México. </w:t>
      </w:r>
      <w:r w:rsidRPr="00417F64">
        <w:rPr>
          <w:rFonts w:ascii="Verdana" w:hAnsi="Verdana"/>
          <w:sz w:val="16"/>
          <w:szCs w:val="16"/>
          <w:lang w:val="es-MX"/>
        </w:rPr>
        <w:t xml:space="preserve">Medidas Provisionales. </w:t>
      </w:r>
      <w:r w:rsidRPr="00417F64">
        <w:rPr>
          <w:rFonts w:ascii="Verdana" w:hAnsi="Verdana"/>
          <w:bCs/>
          <w:sz w:val="16"/>
          <w:szCs w:val="16"/>
          <w:lang w:val="es-MX"/>
        </w:rPr>
        <w:t xml:space="preserve">Resolución de la Corte Interamericana de Derechos Humanos </w:t>
      </w:r>
      <w:r w:rsidRPr="00417F64">
        <w:rPr>
          <w:rFonts w:ascii="Verdana" w:hAnsi="Verdana"/>
          <w:sz w:val="16"/>
          <w:szCs w:val="16"/>
          <w:lang w:val="es-MX"/>
        </w:rPr>
        <w:t xml:space="preserve">de 23 de noviembre de 2010, Considerando 11.  </w:t>
      </w:r>
      <w:r w:rsidRPr="00417F64">
        <w:rPr>
          <w:rFonts w:ascii="Verdana" w:hAnsi="Verdana"/>
          <w:i/>
          <w:sz w:val="16"/>
          <w:szCs w:val="16"/>
          <w:lang w:val="es-CR"/>
        </w:rPr>
        <w:t xml:space="preserve">Asunto Pobladores de las Comunidades del Pueblo Indígena Miskitu de la Región Costa Caribe Norte respecto de Nicaragua. </w:t>
      </w:r>
      <w:r w:rsidRPr="00417F64">
        <w:rPr>
          <w:rFonts w:ascii="Verdana" w:hAnsi="Verdana"/>
          <w:sz w:val="16"/>
          <w:szCs w:val="16"/>
          <w:lang w:val="es-CR"/>
        </w:rPr>
        <w:t xml:space="preserve">23 de noviembre de 2016. </w:t>
      </w:r>
      <w:r w:rsidRPr="00417F64">
        <w:rPr>
          <w:rFonts w:ascii="Verdana" w:hAnsi="Verdana"/>
          <w:i/>
          <w:sz w:val="16"/>
          <w:szCs w:val="16"/>
          <w:lang w:val="es-CR"/>
        </w:rPr>
        <w:t xml:space="preserve">Supra, </w:t>
      </w:r>
      <w:r w:rsidRPr="00417F64">
        <w:rPr>
          <w:rFonts w:ascii="Verdana" w:hAnsi="Verdana"/>
          <w:sz w:val="16"/>
          <w:szCs w:val="16"/>
          <w:lang w:val="es-MX"/>
        </w:rPr>
        <w:t>Considerando 15.</w:t>
      </w:r>
    </w:p>
  </w:footnote>
  <w:footnote w:id="13">
    <w:p w14:paraId="592752F9" w14:textId="77777777" w:rsidR="00402985" w:rsidRPr="00417F64" w:rsidRDefault="00402985" w:rsidP="00417F64">
      <w:pPr>
        <w:pStyle w:val="FootnoteText"/>
        <w:jc w:val="both"/>
        <w:rPr>
          <w:rFonts w:ascii="Verdana" w:hAnsi="Verdana"/>
          <w:sz w:val="16"/>
          <w:szCs w:val="16"/>
          <w:lang w:val="es-MX"/>
        </w:rPr>
      </w:pPr>
      <w:r w:rsidRPr="00417F64">
        <w:rPr>
          <w:rFonts w:ascii="Verdana" w:hAnsi="Verdana"/>
          <w:sz w:val="16"/>
          <w:szCs w:val="16"/>
          <w:vertAlign w:val="superscript"/>
          <w:lang w:val="es-MX"/>
        </w:rPr>
        <w:footnoteRef/>
      </w:r>
      <w:r w:rsidRPr="00417F64">
        <w:rPr>
          <w:rFonts w:ascii="Verdana" w:hAnsi="Verdana"/>
          <w:sz w:val="16"/>
          <w:szCs w:val="16"/>
          <w:vertAlign w:val="superscript"/>
          <w:lang w:val="es-MX"/>
        </w:rPr>
        <w:t xml:space="preserve"> </w:t>
      </w:r>
      <w:r w:rsidRPr="00417F64">
        <w:rPr>
          <w:rFonts w:ascii="Verdana" w:hAnsi="Verdana"/>
          <w:sz w:val="16"/>
          <w:szCs w:val="16"/>
          <w:lang w:val="es-MX"/>
        </w:rPr>
        <w:tab/>
      </w:r>
      <w:r w:rsidRPr="00417F64">
        <w:rPr>
          <w:rFonts w:ascii="Verdana" w:hAnsi="Verdana"/>
          <w:i/>
          <w:sz w:val="16"/>
          <w:szCs w:val="16"/>
          <w:lang w:val="es-MX"/>
        </w:rPr>
        <w:t xml:space="preserve">Cfr. </w:t>
      </w:r>
      <w:r w:rsidRPr="00417F64">
        <w:rPr>
          <w:rFonts w:ascii="Verdana" w:hAnsi="Verdana"/>
          <w:bCs/>
          <w:i/>
          <w:sz w:val="16"/>
          <w:szCs w:val="16"/>
          <w:lang w:val="es-MX"/>
        </w:rPr>
        <w:t>Asunto de los niños y adolescentes privados de libertad en el "Complexo do Tatuapé” da FEBEM respecto Brasil</w:t>
      </w:r>
      <w:r w:rsidRPr="00417F64">
        <w:rPr>
          <w:rFonts w:ascii="Verdana" w:hAnsi="Verdana"/>
          <w:bCs/>
          <w:sz w:val="16"/>
          <w:szCs w:val="16"/>
          <w:lang w:val="es-MX"/>
        </w:rPr>
        <w:t>. Medidas Provisionales. Resolución de la Corte Interamericana de Derechos Humanos de 4 de julio de 2006</w:t>
      </w:r>
      <w:r w:rsidRPr="00417F64">
        <w:rPr>
          <w:rFonts w:ascii="Verdana" w:hAnsi="Verdana"/>
          <w:sz w:val="16"/>
          <w:szCs w:val="16"/>
          <w:lang w:val="es-MX"/>
        </w:rPr>
        <w:t xml:space="preserve">, Considerando 23 y </w:t>
      </w:r>
      <w:r w:rsidRPr="00417F64">
        <w:rPr>
          <w:rFonts w:ascii="Verdana" w:hAnsi="Verdana"/>
          <w:i/>
          <w:sz w:val="16"/>
          <w:szCs w:val="16"/>
          <w:lang w:val="es-MX"/>
        </w:rPr>
        <w:t>Asunto Cuatro Comunidades Indígenas Ngöbe y sus miembros respecto Panamá</w:t>
      </w:r>
      <w:r w:rsidRPr="00417F64">
        <w:rPr>
          <w:rFonts w:ascii="Verdana" w:hAnsi="Verdana"/>
          <w:sz w:val="16"/>
          <w:szCs w:val="16"/>
          <w:lang w:val="es-MX"/>
        </w:rPr>
        <w:t xml:space="preserve">. Medidas Provisionales. Resolución de la Corte Interamericana de Derechos Humanos de 28 de mayo de 2010, Considerando 11. </w:t>
      </w:r>
    </w:p>
  </w:footnote>
  <w:footnote w:id="14">
    <w:p w14:paraId="54A712DE" w14:textId="77777777" w:rsidR="00402985" w:rsidRPr="00417F64" w:rsidRDefault="00402985"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Cfr.</w:t>
      </w:r>
      <w:r w:rsidRPr="00417F64">
        <w:rPr>
          <w:rFonts w:ascii="Verdana" w:hAnsi="Verdana"/>
          <w:sz w:val="16"/>
          <w:szCs w:val="16"/>
          <w:lang w:val="es-MX"/>
        </w:rPr>
        <w:t xml:space="preserve"> </w:t>
      </w:r>
      <w:r w:rsidRPr="00417F64">
        <w:rPr>
          <w:rFonts w:ascii="Verdana" w:hAnsi="Verdana"/>
          <w:i/>
          <w:sz w:val="16"/>
          <w:szCs w:val="16"/>
          <w:lang w:val="es-MX"/>
        </w:rPr>
        <w:t>Asunto Pobladores de las Comunidades del Pueblo Indígena Miskitu de la Región Costa Caribe Norte respecto de Nicaragua</w:t>
      </w:r>
      <w:r w:rsidRPr="00417F64">
        <w:rPr>
          <w:rFonts w:ascii="Verdana" w:hAnsi="Verdana"/>
          <w:sz w:val="16"/>
          <w:szCs w:val="16"/>
          <w:lang w:val="es-MX"/>
        </w:rPr>
        <w:t xml:space="preserve">, </w:t>
      </w:r>
      <w:r w:rsidRPr="00417F64">
        <w:rPr>
          <w:rFonts w:ascii="Verdana" w:hAnsi="Verdana"/>
          <w:i/>
          <w:sz w:val="16"/>
          <w:szCs w:val="16"/>
          <w:lang w:val="es-MX"/>
        </w:rPr>
        <w:t xml:space="preserve">supra </w:t>
      </w:r>
      <w:r w:rsidRPr="00417F64">
        <w:rPr>
          <w:rFonts w:ascii="Verdana" w:hAnsi="Verdana"/>
          <w:sz w:val="16"/>
          <w:szCs w:val="16"/>
          <w:lang w:val="es-MX"/>
        </w:rPr>
        <w:t xml:space="preserve">Considerando 11. </w:t>
      </w:r>
      <w:r w:rsidRPr="00417F64">
        <w:rPr>
          <w:rFonts w:ascii="Verdana" w:hAnsi="Verdana"/>
          <w:i/>
          <w:sz w:val="16"/>
          <w:szCs w:val="16"/>
          <w:lang w:val="es-CR"/>
        </w:rPr>
        <w:t xml:space="preserve">Asunto Pobladores de las Comunidades del Pueblo Indígena Miskitu de la Región Costa Caribe Norte respecto de Nicaragua. </w:t>
      </w:r>
      <w:r w:rsidRPr="00417F64">
        <w:rPr>
          <w:rFonts w:ascii="Verdana" w:hAnsi="Verdana"/>
          <w:sz w:val="16"/>
          <w:szCs w:val="16"/>
          <w:lang w:val="es-CR"/>
        </w:rPr>
        <w:t>23 de noviembre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48570"/>
      <w:docPartObj>
        <w:docPartGallery w:val="Page Numbers (Top of Page)"/>
        <w:docPartUnique/>
      </w:docPartObj>
    </w:sdtPr>
    <w:sdtEndPr>
      <w:rPr>
        <w:rFonts w:ascii="Verdana" w:hAnsi="Verdana"/>
        <w:sz w:val="20"/>
        <w:szCs w:val="20"/>
      </w:rPr>
    </w:sdtEndPr>
    <w:sdtContent>
      <w:p w14:paraId="3978F119" w14:textId="77777777" w:rsidR="00402985" w:rsidRPr="00824C1F" w:rsidRDefault="00402985">
        <w:pPr>
          <w:pStyle w:val="Header"/>
          <w:jc w:val="center"/>
          <w:rPr>
            <w:rFonts w:ascii="Verdana" w:hAnsi="Verdana"/>
            <w:sz w:val="20"/>
            <w:szCs w:val="20"/>
          </w:rPr>
        </w:pPr>
        <w:r w:rsidRPr="00824C1F">
          <w:rPr>
            <w:rFonts w:ascii="Verdana" w:hAnsi="Verdana"/>
            <w:sz w:val="20"/>
            <w:szCs w:val="20"/>
          </w:rPr>
          <w:fldChar w:fldCharType="begin"/>
        </w:r>
        <w:r w:rsidRPr="00824C1F">
          <w:rPr>
            <w:rFonts w:ascii="Verdana" w:hAnsi="Verdana"/>
            <w:sz w:val="20"/>
            <w:szCs w:val="20"/>
          </w:rPr>
          <w:instrText>PAGE   \* MERGEFORMAT</w:instrText>
        </w:r>
        <w:r w:rsidRPr="00824C1F">
          <w:rPr>
            <w:rFonts w:ascii="Verdana" w:hAnsi="Verdana"/>
            <w:sz w:val="20"/>
            <w:szCs w:val="20"/>
          </w:rPr>
          <w:fldChar w:fldCharType="separate"/>
        </w:r>
        <w:r w:rsidR="00703582" w:rsidRPr="00703582">
          <w:rPr>
            <w:rFonts w:ascii="Verdana" w:hAnsi="Verdana"/>
            <w:noProof/>
            <w:sz w:val="20"/>
            <w:szCs w:val="20"/>
            <w:lang w:val="es-ES"/>
          </w:rPr>
          <w:t>2</w:t>
        </w:r>
        <w:r w:rsidRPr="00824C1F">
          <w:rPr>
            <w:rFonts w:ascii="Verdana" w:hAnsi="Verdana"/>
            <w:sz w:val="20"/>
            <w:szCs w:val="20"/>
          </w:rPr>
          <w:fldChar w:fldCharType="end"/>
        </w:r>
      </w:p>
    </w:sdtContent>
  </w:sdt>
  <w:p w14:paraId="6FC628C4" w14:textId="77777777" w:rsidR="00402985" w:rsidRDefault="00402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78B"/>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C655593"/>
    <w:multiLevelType w:val="hybridMultilevel"/>
    <w:tmpl w:val="8D9E7374"/>
    <w:lvl w:ilvl="0" w:tplc="3878DD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1915B6"/>
    <w:multiLevelType w:val="hybridMultilevel"/>
    <w:tmpl w:val="D714DBA0"/>
    <w:lvl w:ilvl="0" w:tplc="F6689468">
      <w:start w:val="1"/>
      <w:numFmt w:val="decimal"/>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F404BE8"/>
    <w:multiLevelType w:val="hybridMultilevel"/>
    <w:tmpl w:val="C5D2A30A"/>
    <w:lvl w:ilvl="0" w:tplc="549EBA66">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744010E1"/>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6">
    <w:nsid w:val="7FFA73B5"/>
    <w:multiLevelType w:val="hybridMultilevel"/>
    <w:tmpl w:val="50204DA8"/>
    <w:lvl w:ilvl="0" w:tplc="0409000F">
      <w:start w:val="1"/>
      <w:numFmt w:val="decimal"/>
      <w:lvlText w:val="%1."/>
      <w:lvlJc w:val="left"/>
      <w:pPr>
        <w:ind w:left="1397" w:hanging="360"/>
      </w:p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9B"/>
    <w:rsid w:val="00007FA3"/>
    <w:rsid w:val="00031B29"/>
    <w:rsid w:val="00043F66"/>
    <w:rsid w:val="000D088B"/>
    <w:rsid w:val="00172ADD"/>
    <w:rsid w:val="001B273D"/>
    <w:rsid w:val="00237985"/>
    <w:rsid w:val="002A5792"/>
    <w:rsid w:val="00357BD1"/>
    <w:rsid w:val="003D5CF6"/>
    <w:rsid w:val="003E7D29"/>
    <w:rsid w:val="00402985"/>
    <w:rsid w:val="00413486"/>
    <w:rsid w:val="00417F64"/>
    <w:rsid w:val="0046631C"/>
    <w:rsid w:val="00473978"/>
    <w:rsid w:val="00494CE6"/>
    <w:rsid w:val="004E0A85"/>
    <w:rsid w:val="004E0E39"/>
    <w:rsid w:val="004F77AC"/>
    <w:rsid w:val="00510AB5"/>
    <w:rsid w:val="005300EA"/>
    <w:rsid w:val="00532893"/>
    <w:rsid w:val="005A50E4"/>
    <w:rsid w:val="006E1C4F"/>
    <w:rsid w:val="00703582"/>
    <w:rsid w:val="007354C7"/>
    <w:rsid w:val="007B40BD"/>
    <w:rsid w:val="00824C1F"/>
    <w:rsid w:val="008344B8"/>
    <w:rsid w:val="008E4144"/>
    <w:rsid w:val="00912194"/>
    <w:rsid w:val="009311C2"/>
    <w:rsid w:val="009D685D"/>
    <w:rsid w:val="009E2FBA"/>
    <w:rsid w:val="00A9169B"/>
    <w:rsid w:val="00AA2D75"/>
    <w:rsid w:val="00AC65C9"/>
    <w:rsid w:val="00B05BC3"/>
    <w:rsid w:val="00BA329F"/>
    <w:rsid w:val="00C70021"/>
    <w:rsid w:val="00C86C8E"/>
    <w:rsid w:val="00CA1D9C"/>
    <w:rsid w:val="00CE052D"/>
    <w:rsid w:val="00D3042B"/>
    <w:rsid w:val="00D5109C"/>
    <w:rsid w:val="00DE692F"/>
    <w:rsid w:val="00E178B7"/>
    <w:rsid w:val="00EB41C3"/>
    <w:rsid w:val="00F50F33"/>
    <w:rsid w:val="00F57CB8"/>
    <w:rsid w:val="00FC08F6"/>
    <w:rsid w:val="00FC5FB9"/>
    <w:rsid w:val="00FD398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qFormat/>
    <w:rsid w:val="00A9169B"/>
    <w:pPr>
      <w:spacing w:after="0" w:line="240" w:lineRule="auto"/>
    </w:pPr>
    <w:rPr>
      <w:rFonts w:ascii="Times New Roman" w:eastAsia="MS Mincho" w:hAnsi="Times New Roman" w:cs="Times New Roman"/>
      <w:sz w:val="20"/>
      <w:szCs w:val="20"/>
    </w:rPr>
  </w:style>
  <w:style w:type="character" w:customStyle="1" w:styleId="TextonotapieCar">
    <w:name w:val="Texto nota pie Car"/>
    <w:basedOn w:val="DefaultParagraphFont"/>
    <w:uiPriority w:val="99"/>
    <w:semiHidden/>
    <w:rsid w:val="00A9169B"/>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A9169B"/>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A9169B"/>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A9169B"/>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A9169B"/>
    <w:rPr>
      <w:rFonts w:ascii="Garamond" w:eastAsia="Times" w:hAnsi="Garamond" w:cs="Times New Roman"/>
      <w:sz w:val="24"/>
      <w:szCs w:val="20"/>
      <w:lang w:val="es-ES_tradnl"/>
    </w:rPr>
  </w:style>
  <w:style w:type="paragraph" w:customStyle="1" w:styleId="Prrafodelista1">
    <w:name w:val="Párrafo de lista1"/>
    <w:basedOn w:val="Normal"/>
    <w:qFormat/>
    <w:rsid w:val="00A9169B"/>
    <w:pPr>
      <w:spacing w:after="0" w:line="240" w:lineRule="auto"/>
      <w:contextualSpacing/>
    </w:pPr>
    <w:rPr>
      <w:rFonts w:ascii="Verdana" w:eastAsia="Batang" w:hAnsi="Verdana" w:cs="Times New Roman"/>
      <w:sz w:val="16"/>
      <w:lang w:val="es-ES"/>
    </w:rPr>
  </w:style>
  <w:style w:type="paragraph" w:styleId="BalloonText">
    <w:name w:val="Balloon Text"/>
    <w:basedOn w:val="Normal"/>
    <w:link w:val="BalloonTextChar"/>
    <w:uiPriority w:val="99"/>
    <w:semiHidden/>
    <w:unhideWhenUsed/>
    <w:rsid w:val="00A9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69B"/>
    <w:rPr>
      <w:rFonts w:ascii="Tahoma" w:hAnsi="Tahoma" w:cs="Tahoma"/>
      <w:sz w:val="16"/>
      <w:szCs w:val="16"/>
      <w:lang w:val="en-US"/>
    </w:rPr>
  </w:style>
  <w:style w:type="paragraph" w:styleId="Header">
    <w:name w:val="header"/>
    <w:basedOn w:val="Normal"/>
    <w:link w:val="HeaderChar"/>
    <w:uiPriority w:val="99"/>
    <w:unhideWhenUsed/>
    <w:rsid w:val="003E7D29"/>
    <w:pPr>
      <w:tabs>
        <w:tab w:val="center" w:pos="4419"/>
        <w:tab w:val="right" w:pos="8838"/>
      </w:tabs>
      <w:spacing w:after="0" w:line="240" w:lineRule="auto"/>
    </w:pPr>
  </w:style>
  <w:style w:type="character" w:customStyle="1" w:styleId="HeaderChar">
    <w:name w:val="Header Char"/>
    <w:basedOn w:val="DefaultParagraphFont"/>
    <w:link w:val="Header"/>
    <w:uiPriority w:val="99"/>
    <w:rsid w:val="003E7D29"/>
    <w:rPr>
      <w:lang w:val="en-US"/>
    </w:rPr>
  </w:style>
  <w:style w:type="paragraph" w:styleId="Footer">
    <w:name w:val="footer"/>
    <w:basedOn w:val="Normal"/>
    <w:link w:val="FooterChar"/>
    <w:uiPriority w:val="99"/>
    <w:unhideWhenUsed/>
    <w:rsid w:val="003E7D29"/>
    <w:pPr>
      <w:tabs>
        <w:tab w:val="center" w:pos="4419"/>
        <w:tab w:val="right" w:pos="8838"/>
      </w:tabs>
      <w:spacing w:after="0" w:line="240" w:lineRule="auto"/>
    </w:pPr>
  </w:style>
  <w:style w:type="character" w:customStyle="1" w:styleId="FooterChar">
    <w:name w:val="Footer Char"/>
    <w:basedOn w:val="DefaultParagraphFont"/>
    <w:link w:val="Footer"/>
    <w:uiPriority w:val="99"/>
    <w:rsid w:val="003E7D29"/>
    <w:rPr>
      <w:lang w:val="en-US"/>
    </w:rPr>
  </w:style>
  <w:style w:type="paragraph" w:customStyle="1" w:styleId="Default">
    <w:name w:val="Default"/>
    <w:rsid w:val="00172ADD"/>
    <w:pPr>
      <w:autoSpaceDE w:val="0"/>
      <w:autoSpaceDN w:val="0"/>
      <w:adjustRightInd w:val="0"/>
      <w:spacing w:after="0" w:line="240" w:lineRule="auto"/>
    </w:pPr>
    <w:rPr>
      <w:rFonts w:ascii="Verdana" w:hAnsi="Verdana" w:cs="Verdana"/>
      <w:color w:val="000000"/>
      <w:sz w:val="24"/>
      <w:szCs w:val="24"/>
      <w:lang w:val="es-MX"/>
    </w:rPr>
  </w:style>
  <w:style w:type="character" w:styleId="CommentReference">
    <w:name w:val="annotation reference"/>
    <w:basedOn w:val="DefaultParagraphFont"/>
    <w:uiPriority w:val="99"/>
    <w:semiHidden/>
    <w:unhideWhenUsed/>
    <w:rsid w:val="00CE052D"/>
    <w:rPr>
      <w:sz w:val="16"/>
      <w:szCs w:val="16"/>
    </w:rPr>
  </w:style>
  <w:style w:type="paragraph" w:styleId="CommentText">
    <w:name w:val="annotation text"/>
    <w:basedOn w:val="Normal"/>
    <w:link w:val="CommentTextChar"/>
    <w:uiPriority w:val="99"/>
    <w:semiHidden/>
    <w:unhideWhenUsed/>
    <w:rsid w:val="00CE052D"/>
    <w:pPr>
      <w:spacing w:line="240" w:lineRule="auto"/>
    </w:pPr>
    <w:rPr>
      <w:sz w:val="20"/>
      <w:szCs w:val="20"/>
    </w:rPr>
  </w:style>
  <w:style w:type="character" w:customStyle="1" w:styleId="CommentTextChar">
    <w:name w:val="Comment Text Char"/>
    <w:basedOn w:val="DefaultParagraphFont"/>
    <w:link w:val="CommentText"/>
    <w:uiPriority w:val="99"/>
    <w:semiHidden/>
    <w:rsid w:val="00CE052D"/>
    <w:rPr>
      <w:sz w:val="20"/>
      <w:szCs w:val="20"/>
      <w:lang w:val="en-US"/>
    </w:rPr>
  </w:style>
  <w:style w:type="paragraph" w:styleId="CommentSubject">
    <w:name w:val="annotation subject"/>
    <w:basedOn w:val="CommentText"/>
    <w:next w:val="CommentText"/>
    <w:link w:val="CommentSubjectChar"/>
    <w:uiPriority w:val="99"/>
    <w:semiHidden/>
    <w:unhideWhenUsed/>
    <w:rsid w:val="00CE052D"/>
    <w:rPr>
      <w:b/>
      <w:bCs/>
    </w:rPr>
  </w:style>
  <w:style w:type="character" w:customStyle="1" w:styleId="CommentSubjectChar">
    <w:name w:val="Comment Subject Char"/>
    <w:basedOn w:val="CommentTextChar"/>
    <w:link w:val="CommentSubject"/>
    <w:uiPriority w:val="99"/>
    <w:semiHidden/>
    <w:rsid w:val="00CE052D"/>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qFormat/>
    <w:rsid w:val="00A9169B"/>
    <w:pPr>
      <w:spacing w:after="0" w:line="240" w:lineRule="auto"/>
    </w:pPr>
    <w:rPr>
      <w:rFonts w:ascii="Times New Roman" w:eastAsia="MS Mincho" w:hAnsi="Times New Roman" w:cs="Times New Roman"/>
      <w:sz w:val="20"/>
      <w:szCs w:val="20"/>
    </w:rPr>
  </w:style>
  <w:style w:type="character" w:customStyle="1" w:styleId="TextonotapieCar">
    <w:name w:val="Texto nota pie Car"/>
    <w:basedOn w:val="DefaultParagraphFont"/>
    <w:uiPriority w:val="99"/>
    <w:semiHidden/>
    <w:rsid w:val="00A9169B"/>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A9169B"/>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A9169B"/>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A9169B"/>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A9169B"/>
    <w:rPr>
      <w:rFonts w:ascii="Garamond" w:eastAsia="Times" w:hAnsi="Garamond" w:cs="Times New Roman"/>
      <w:sz w:val="24"/>
      <w:szCs w:val="20"/>
      <w:lang w:val="es-ES_tradnl"/>
    </w:rPr>
  </w:style>
  <w:style w:type="paragraph" w:customStyle="1" w:styleId="Prrafodelista1">
    <w:name w:val="Párrafo de lista1"/>
    <w:basedOn w:val="Normal"/>
    <w:qFormat/>
    <w:rsid w:val="00A9169B"/>
    <w:pPr>
      <w:spacing w:after="0" w:line="240" w:lineRule="auto"/>
      <w:contextualSpacing/>
    </w:pPr>
    <w:rPr>
      <w:rFonts w:ascii="Verdana" w:eastAsia="Batang" w:hAnsi="Verdana" w:cs="Times New Roman"/>
      <w:sz w:val="16"/>
      <w:lang w:val="es-ES"/>
    </w:rPr>
  </w:style>
  <w:style w:type="paragraph" w:styleId="BalloonText">
    <w:name w:val="Balloon Text"/>
    <w:basedOn w:val="Normal"/>
    <w:link w:val="BalloonTextChar"/>
    <w:uiPriority w:val="99"/>
    <w:semiHidden/>
    <w:unhideWhenUsed/>
    <w:rsid w:val="00A9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69B"/>
    <w:rPr>
      <w:rFonts w:ascii="Tahoma" w:hAnsi="Tahoma" w:cs="Tahoma"/>
      <w:sz w:val="16"/>
      <w:szCs w:val="16"/>
      <w:lang w:val="en-US"/>
    </w:rPr>
  </w:style>
  <w:style w:type="paragraph" w:styleId="Header">
    <w:name w:val="header"/>
    <w:basedOn w:val="Normal"/>
    <w:link w:val="HeaderChar"/>
    <w:uiPriority w:val="99"/>
    <w:unhideWhenUsed/>
    <w:rsid w:val="003E7D29"/>
    <w:pPr>
      <w:tabs>
        <w:tab w:val="center" w:pos="4419"/>
        <w:tab w:val="right" w:pos="8838"/>
      </w:tabs>
      <w:spacing w:after="0" w:line="240" w:lineRule="auto"/>
    </w:pPr>
  </w:style>
  <w:style w:type="character" w:customStyle="1" w:styleId="HeaderChar">
    <w:name w:val="Header Char"/>
    <w:basedOn w:val="DefaultParagraphFont"/>
    <w:link w:val="Header"/>
    <w:uiPriority w:val="99"/>
    <w:rsid w:val="003E7D29"/>
    <w:rPr>
      <w:lang w:val="en-US"/>
    </w:rPr>
  </w:style>
  <w:style w:type="paragraph" w:styleId="Footer">
    <w:name w:val="footer"/>
    <w:basedOn w:val="Normal"/>
    <w:link w:val="FooterChar"/>
    <w:uiPriority w:val="99"/>
    <w:unhideWhenUsed/>
    <w:rsid w:val="003E7D29"/>
    <w:pPr>
      <w:tabs>
        <w:tab w:val="center" w:pos="4419"/>
        <w:tab w:val="right" w:pos="8838"/>
      </w:tabs>
      <w:spacing w:after="0" w:line="240" w:lineRule="auto"/>
    </w:pPr>
  </w:style>
  <w:style w:type="character" w:customStyle="1" w:styleId="FooterChar">
    <w:name w:val="Footer Char"/>
    <w:basedOn w:val="DefaultParagraphFont"/>
    <w:link w:val="Footer"/>
    <w:uiPriority w:val="99"/>
    <w:rsid w:val="003E7D29"/>
    <w:rPr>
      <w:lang w:val="en-US"/>
    </w:rPr>
  </w:style>
  <w:style w:type="paragraph" w:customStyle="1" w:styleId="Default">
    <w:name w:val="Default"/>
    <w:rsid w:val="00172ADD"/>
    <w:pPr>
      <w:autoSpaceDE w:val="0"/>
      <w:autoSpaceDN w:val="0"/>
      <w:adjustRightInd w:val="0"/>
      <w:spacing w:after="0" w:line="240" w:lineRule="auto"/>
    </w:pPr>
    <w:rPr>
      <w:rFonts w:ascii="Verdana" w:hAnsi="Verdana" w:cs="Verdana"/>
      <w:color w:val="000000"/>
      <w:sz w:val="24"/>
      <w:szCs w:val="24"/>
      <w:lang w:val="es-MX"/>
    </w:rPr>
  </w:style>
  <w:style w:type="character" w:styleId="CommentReference">
    <w:name w:val="annotation reference"/>
    <w:basedOn w:val="DefaultParagraphFont"/>
    <w:uiPriority w:val="99"/>
    <w:semiHidden/>
    <w:unhideWhenUsed/>
    <w:rsid w:val="00CE052D"/>
    <w:rPr>
      <w:sz w:val="16"/>
      <w:szCs w:val="16"/>
    </w:rPr>
  </w:style>
  <w:style w:type="paragraph" w:styleId="CommentText">
    <w:name w:val="annotation text"/>
    <w:basedOn w:val="Normal"/>
    <w:link w:val="CommentTextChar"/>
    <w:uiPriority w:val="99"/>
    <w:semiHidden/>
    <w:unhideWhenUsed/>
    <w:rsid w:val="00CE052D"/>
    <w:pPr>
      <w:spacing w:line="240" w:lineRule="auto"/>
    </w:pPr>
    <w:rPr>
      <w:sz w:val="20"/>
      <w:szCs w:val="20"/>
    </w:rPr>
  </w:style>
  <w:style w:type="character" w:customStyle="1" w:styleId="CommentTextChar">
    <w:name w:val="Comment Text Char"/>
    <w:basedOn w:val="DefaultParagraphFont"/>
    <w:link w:val="CommentText"/>
    <w:uiPriority w:val="99"/>
    <w:semiHidden/>
    <w:rsid w:val="00CE052D"/>
    <w:rPr>
      <w:sz w:val="20"/>
      <w:szCs w:val="20"/>
      <w:lang w:val="en-US"/>
    </w:rPr>
  </w:style>
  <w:style w:type="paragraph" w:styleId="CommentSubject">
    <w:name w:val="annotation subject"/>
    <w:basedOn w:val="CommentText"/>
    <w:next w:val="CommentText"/>
    <w:link w:val="CommentSubjectChar"/>
    <w:uiPriority w:val="99"/>
    <w:semiHidden/>
    <w:unhideWhenUsed/>
    <w:rsid w:val="00CE052D"/>
    <w:rPr>
      <w:b/>
      <w:bCs/>
    </w:rPr>
  </w:style>
  <w:style w:type="character" w:customStyle="1" w:styleId="CommentSubjectChar">
    <w:name w:val="Comment Subject Char"/>
    <w:basedOn w:val="CommentTextChar"/>
    <w:link w:val="CommentSubject"/>
    <w:uiPriority w:val="99"/>
    <w:semiHidden/>
    <w:rsid w:val="00CE052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96">
      <w:bodyDiv w:val="1"/>
      <w:marLeft w:val="0"/>
      <w:marRight w:val="0"/>
      <w:marTop w:val="0"/>
      <w:marBottom w:val="0"/>
      <w:divBdr>
        <w:top w:val="none" w:sz="0" w:space="0" w:color="auto"/>
        <w:left w:val="none" w:sz="0" w:space="0" w:color="auto"/>
        <w:bottom w:val="none" w:sz="0" w:space="0" w:color="auto"/>
        <w:right w:val="none" w:sz="0" w:space="0" w:color="auto"/>
      </w:divBdr>
    </w:div>
    <w:div w:id="707074221">
      <w:bodyDiv w:val="1"/>
      <w:marLeft w:val="0"/>
      <w:marRight w:val="0"/>
      <w:marTop w:val="0"/>
      <w:marBottom w:val="0"/>
      <w:divBdr>
        <w:top w:val="none" w:sz="0" w:space="0" w:color="auto"/>
        <w:left w:val="none" w:sz="0" w:space="0" w:color="auto"/>
        <w:bottom w:val="none" w:sz="0" w:space="0" w:color="auto"/>
        <w:right w:val="none" w:sz="0" w:space="0" w:color="auto"/>
      </w:divBdr>
    </w:div>
    <w:div w:id="867065491">
      <w:bodyDiv w:val="1"/>
      <w:marLeft w:val="0"/>
      <w:marRight w:val="0"/>
      <w:marTop w:val="0"/>
      <w:marBottom w:val="0"/>
      <w:divBdr>
        <w:top w:val="none" w:sz="0" w:space="0" w:color="auto"/>
        <w:left w:val="none" w:sz="0" w:space="0" w:color="auto"/>
        <w:bottom w:val="none" w:sz="0" w:space="0" w:color="auto"/>
        <w:right w:val="none" w:sz="0" w:space="0" w:color="auto"/>
      </w:divBdr>
    </w:div>
    <w:div w:id="907419121">
      <w:bodyDiv w:val="1"/>
      <w:marLeft w:val="0"/>
      <w:marRight w:val="0"/>
      <w:marTop w:val="0"/>
      <w:marBottom w:val="0"/>
      <w:divBdr>
        <w:top w:val="none" w:sz="0" w:space="0" w:color="auto"/>
        <w:left w:val="none" w:sz="0" w:space="0" w:color="auto"/>
        <w:bottom w:val="none" w:sz="0" w:space="0" w:color="auto"/>
        <w:right w:val="none" w:sz="0" w:space="0" w:color="auto"/>
      </w:divBdr>
    </w:div>
    <w:div w:id="908199307">
      <w:bodyDiv w:val="1"/>
      <w:marLeft w:val="0"/>
      <w:marRight w:val="0"/>
      <w:marTop w:val="0"/>
      <w:marBottom w:val="0"/>
      <w:divBdr>
        <w:top w:val="none" w:sz="0" w:space="0" w:color="auto"/>
        <w:left w:val="none" w:sz="0" w:space="0" w:color="auto"/>
        <w:bottom w:val="none" w:sz="0" w:space="0" w:color="auto"/>
        <w:right w:val="none" w:sz="0" w:space="0" w:color="auto"/>
      </w:divBdr>
    </w:div>
    <w:div w:id="917834510">
      <w:bodyDiv w:val="1"/>
      <w:marLeft w:val="0"/>
      <w:marRight w:val="0"/>
      <w:marTop w:val="0"/>
      <w:marBottom w:val="0"/>
      <w:divBdr>
        <w:top w:val="none" w:sz="0" w:space="0" w:color="auto"/>
        <w:left w:val="none" w:sz="0" w:space="0" w:color="auto"/>
        <w:bottom w:val="none" w:sz="0" w:space="0" w:color="auto"/>
        <w:right w:val="none" w:sz="0" w:space="0" w:color="auto"/>
      </w:divBdr>
    </w:div>
    <w:div w:id="960266098">
      <w:bodyDiv w:val="1"/>
      <w:marLeft w:val="0"/>
      <w:marRight w:val="0"/>
      <w:marTop w:val="0"/>
      <w:marBottom w:val="0"/>
      <w:divBdr>
        <w:top w:val="none" w:sz="0" w:space="0" w:color="auto"/>
        <w:left w:val="none" w:sz="0" w:space="0" w:color="auto"/>
        <w:bottom w:val="none" w:sz="0" w:space="0" w:color="auto"/>
        <w:right w:val="none" w:sz="0" w:space="0" w:color="auto"/>
      </w:divBdr>
    </w:div>
    <w:div w:id="1145661182">
      <w:bodyDiv w:val="1"/>
      <w:marLeft w:val="0"/>
      <w:marRight w:val="0"/>
      <w:marTop w:val="0"/>
      <w:marBottom w:val="0"/>
      <w:divBdr>
        <w:top w:val="none" w:sz="0" w:space="0" w:color="auto"/>
        <w:left w:val="none" w:sz="0" w:space="0" w:color="auto"/>
        <w:bottom w:val="none" w:sz="0" w:space="0" w:color="auto"/>
        <w:right w:val="none" w:sz="0" w:space="0" w:color="auto"/>
      </w:divBdr>
    </w:div>
    <w:div w:id="1325203892">
      <w:bodyDiv w:val="1"/>
      <w:marLeft w:val="0"/>
      <w:marRight w:val="0"/>
      <w:marTop w:val="0"/>
      <w:marBottom w:val="0"/>
      <w:divBdr>
        <w:top w:val="none" w:sz="0" w:space="0" w:color="auto"/>
        <w:left w:val="none" w:sz="0" w:space="0" w:color="auto"/>
        <w:bottom w:val="none" w:sz="0" w:space="0" w:color="auto"/>
        <w:right w:val="none" w:sz="0" w:space="0" w:color="auto"/>
      </w:divBdr>
    </w:div>
    <w:div w:id="1952323017">
      <w:bodyDiv w:val="1"/>
      <w:marLeft w:val="0"/>
      <w:marRight w:val="0"/>
      <w:marTop w:val="0"/>
      <w:marBottom w:val="0"/>
      <w:divBdr>
        <w:top w:val="none" w:sz="0" w:space="0" w:color="auto"/>
        <w:left w:val="none" w:sz="0" w:space="0" w:color="auto"/>
        <w:bottom w:val="none" w:sz="0" w:space="0" w:color="auto"/>
        <w:right w:val="none" w:sz="0" w:space="0" w:color="auto"/>
      </w:divBdr>
    </w:div>
    <w:div w:id="20029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E1B3-6BC2-4A3C-A92D-454F75BBB037}">
  <ds:schemaRefs>
    <ds:schemaRef ds:uri="http://schemas.microsoft.com/sharepoint/v3/contenttype/forms"/>
  </ds:schemaRefs>
</ds:datastoreItem>
</file>

<file path=customXml/itemProps2.xml><?xml version="1.0" encoding="utf-8"?>
<ds:datastoreItem xmlns:ds="http://schemas.openxmlformats.org/officeDocument/2006/customXml" ds:itemID="{9B411911-44F7-4FE7-9CD6-1A9D9694EF61}">
  <ds:schemaRefs>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39F70C79-BEF8-4709-AC7C-B964F4A16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A50184-DD19-46D4-89F1-20F197EE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3086</Words>
  <Characters>16977</Characters>
  <Application>Microsoft Office Word</Application>
  <DocSecurity>4</DocSecurity>
  <Lines>141</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cp:lastPrinted>2017-06-30T22:57:00Z</cp:lastPrinted>
  <dcterms:created xsi:type="dcterms:W3CDTF">2017-06-30T22:59:00Z</dcterms:created>
  <dcterms:modified xsi:type="dcterms:W3CDTF">2017-06-30T22:59:00Z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