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958FA" w14:textId="77777777" w:rsidR="0000645F" w:rsidRDefault="0000645F" w:rsidP="00B75B22">
      <w:pPr>
        <w:tabs>
          <w:tab w:val="left" w:pos="567"/>
        </w:tabs>
        <w:spacing w:after="0" w:line="240" w:lineRule="auto"/>
        <w:jc w:val="center"/>
        <w:rPr>
          <w:rFonts w:ascii="Verdana" w:hAnsi="Verdana"/>
          <w:b/>
          <w:spacing w:val="-4"/>
          <w:sz w:val="20"/>
          <w:szCs w:val="20"/>
          <w:lang w:val="es-MX"/>
        </w:rPr>
      </w:pPr>
      <w:bookmarkStart w:id="0" w:name="_GoBack"/>
      <w:bookmarkEnd w:id="0"/>
    </w:p>
    <w:p w14:paraId="050720F4" w14:textId="77777777" w:rsidR="0000645F" w:rsidRDefault="0000645F" w:rsidP="00B75B22">
      <w:pPr>
        <w:tabs>
          <w:tab w:val="left" w:pos="567"/>
        </w:tabs>
        <w:spacing w:after="0" w:line="240" w:lineRule="auto"/>
        <w:jc w:val="center"/>
        <w:rPr>
          <w:rFonts w:ascii="Verdana" w:hAnsi="Verdana"/>
          <w:b/>
          <w:spacing w:val="-4"/>
          <w:sz w:val="20"/>
          <w:szCs w:val="20"/>
          <w:lang w:val="es-MX"/>
        </w:rPr>
      </w:pPr>
    </w:p>
    <w:p w14:paraId="7D87D19B" w14:textId="77777777" w:rsidR="0000645F" w:rsidRDefault="0000645F" w:rsidP="00B75B22">
      <w:pPr>
        <w:tabs>
          <w:tab w:val="left" w:pos="567"/>
        </w:tabs>
        <w:spacing w:after="0" w:line="240" w:lineRule="auto"/>
        <w:jc w:val="center"/>
        <w:rPr>
          <w:rFonts w:ascii="Verdana" w:hAnsi="Verdana"/>
          <w:b/>
          <w:spacing w:val="-4"/>
          <w:sz w:val="20"/>
          <w:szCs w:val="20"/>
          <w:lang w:val="es-MX"/>
        </w:rPr>
      </w:pPr>
    </w:p>
    <w:p w14:paraId="5E812483" w14:textId="77777777" w:rsidR="0000645F" w:rsidRDefault="0000645F" w:rsidP="00B75B22">
      <w:pPr>
        <w:tabs>
          <w:tab w:val="left" w:pos="567"/>
        </w:tabs>
        <w:spacing w:after="0" w:line="240" w:lineRule="auto"/>
        <w:jc w:val="center"/>
        <w:rPr>
          <w:rFonts w:ascii="Verdana" w:hAnsi="Verdana"/>
          <w:b/>
          <w:spacing w:val="-4"/>
          <w:sz w:val="20"/>
          <w:szCs w:val="20"/>
          <w:lang w:val="es-MX"/>
        </w:rPr>
      </w:pPr>
    </w:p>
    <w:p w14:paraId="1B62A383" w14:textId="77777777" w:rsidR="0000645F" w:rsidRDefault="0000645F" w:rsidP="00B75B22">
      <w:pPr>
        <w:tabs>
          <w:tab w:val="left" w:pos="567"/>
        </w:tabs>
        <w:spacing w:after="0" w:line="240" w:lineRule="auto"/>
        <w:jc w:val="center"/>
        <w:rPr>
          <w:rFonts w:ascii="Verdana" w:hAnsi="Verdana"/>
          <w:b/>
          <w:spacing w:val="-4"/>
          <w:sz w:val="20"/>
          <w:szCs w:val="20"/>
          <w:lang w:val="es-MX"/>
        </w:rPr>
      </w:pPr>
    </w:p>
    <w:p w14:paraId="32279DFA" w14:textId="77777777" w:rsidR="0000645F" w:rsidRDefault="0000645F" w:rsidP="00B75B22">
      <w:pPr>
        <w:tabs>
          <w:tab w:val="left" w:pos="567"/>
        </w:tabs>
        <w:spacing w:after="0" w:line="240" w:lineRule="auto"/>
        <w:jc w:val="center"/>
        <w:rPr>
          <w:rFonts w:ascii="Verdana" w:hAnsi="Verdana"/>
          <w:b/>
          <w:spacing w:val="-4"/>
          <w:sz w:val="20"/>
          <w:szCs w:val="20"/>
          <w:lang w:val="es-MX"/>
        </w:rPr>
      </w:pPr>
    </w:p>
    <w:p w14:paraId="04E258F4" w14:textId="77777777" w:rsidR="00B75B22" w:rsidRPr="008818D3" w:rsidRDefault="00B75B22" w:rsidP="00B75B22">
      <w:pPr>
        <w:tabs>
          <w:tab w:val="left" w:pos="567"/>
        </w:tabs>
        <w:spacing w:after="0" w:line="240" w:lineRule="auto"/>
        <w:jc w:val="center"/>
        <w:rPr>
          <w:rFonts w:ascii="Verdana" w:hAnsi="Verdana"/>
          <w:b/>
          <w:spacing w:val="-4"/>
          <w:sz w:val="20"/>
          <w:szCs w:val="20"/>
          <w:lang w:val="es-MX"/>
        </w:rPr>
      </w:pPr>
      <w:r w:rsidRPr="008818D3">
        <w:rPr>
          <w:rFonts w:ascii="Verdana" w:hAnsi="Verdana"/>
          <w:b/>
          <w:spacing w:val="-4"/>
          <w:sz w:val="20"/>
          <w:szCs w:val="20"/>
          <w:lang w:val="es-MX"/>
        </w:rPr>
        <w:t xml:space="preserve">RESOLUCIÓN DE LA </w:t>
      </w:r>
    </w:p>
    <w:p w14:paraId="7A7B349F" w14:textId="77777777" w:rsidR="00B75B22" w:rsidRPr="008818D3" w:rsidRDefault="00B75B22" w:rsidP="00B75B22">
      <w:pPr>
        <w:tabs>
          <w:tab w:val="left" w:pos="567"/>
        </w:tabs>
        <w:spacing w:after="0" w:line="240" w:lineRule="auto"/>
        <w:jc w:val="center"/>
        <w:rPr>
          <w:rFonts w:ascii="Verdana" w:hAnsi="Verdana"/>
          <w:b/>
          <w:spacing w:val="-4"/>
          <w:sz w:val="20"/>
          <w:szCs w:val="20"/>
          <w:lang w:val="es-MX"/>
        </w:rPr>
      </w:pPr>
      <w:r w:rsidRPr="008818D3">
        <w:rPr>
          <w:rFonts w:ascii="Verdana" w:hAnsi="Verdana"/>
          <w:b/>
          <w:spacing w:val="-4"/>
          <w:sz w:val="20"/>
          <w:szCs w:val="20"/>
          <w:lang w:val="es-MX"/>
        </w:rPr>
        <w:t>CORTE INTERAMERICANA DE DERECHOS HUMANOS</w:t>
      </w:r>
    </w:p>
    <w:p w14:paraId="639EA980" w14:textId="77777777" w:rsidR="00B75B22" w:rsidRPr="008818D3" w:rsidRDefault="00B75B22" w:rsidP="00B75B22">
      <w:pPr>
        <w:tabs>
          <w:tab w:val="left" w:pos="567"/>
        </w:tabs>
        <w:spacing w:after="0" w:line="240" w:lineRule="auto"/>
        <w:jc w:val="center"/>
        <w:rPr>
          <w:rFonts w:ascii="Verdana" w:hAnsi="Verdana"/>
          <w:b/>
          <w:spacing w:val="-4"/>
          <w:sz w:val="20"/>
          <w:szCs w:val="20"/>
          <w:lang w:val="es-ES_tradnl"/>
        </w:rPr>
      </w:pPr>
    </w:p>
    <w:p w14:paraId="58D9895C" w14:textId="5EA768B3" w:rsidR="00B75B22" w:rsidRPr="008818D3" w:rsidRDefault="00B75B22" w:rsidP="00B75B22">
      <w:pPr>
        <w:tabs>
          <w:tab w:val="left" w:pos="567"/>
        </w:tabs>
        <w:spacing w:after="0" w:line="240" w:lineRule="auto"/>
        <w:jc w:val="center"/>
        <w:rPr>
          <w:rFonts w:ascii="Verdana" w:hAnsi="Verdana"/>
          <w:b/>
          <w:spacing w:val="-4"/>
          <w:sz w:val="20"/>
          <w:szCs w:val="20"/>
          <w:lang w:val="es-MX"/>
        </w:rPr>
      </w:pPr>
      <w:r w:rsidRPr="008818D3">
        <w:rPr>
          <w:rFonts w:ascii="Verdana" w:hAnsi="Verdana"/>
          <w:b/>
          <w:spacing w:val="-4"/>
          <w:sz w:val="20"/>
          <w:szCs w:val="20"/>
          <w:lang w:val="es-MX"/>
        </w:rPr>
        <w:t xml:space="preserve">DE </w:t>
      </w:r>
      <w:r w:rsidR="0093502F" w:rsidRPr="00945353">
        <w:rPr>
          <w:rFonts w:ascii="Verdana" w:hAnsi="Verdana"/>
          <w:b/>
          <w:spacing w:val="-4"/>
          <w:sz w:val="20"/>
          <w:szCs w:val="20"/>
          <w:lang w:val="es-GT"/>
        </w:rPr>
        <w:t>23</w:t>
      </w:r>
      <w:r w:rsidRPr="008818D3">
        <w:rPr>
          <w:rFonts w:ascii="Verdana" w:hAnsi="Verdana"/>
          <w:b/>
          <w:spacing w:val="-4"/>
          <w:sz w:val="20"/>
          <w:szCs w:val="20"/>
          <w:lang w:val="es-GT"/>
        </w:rPr>
        <w:t xml:space="preserve"> DE </w:t>
      </w:r>
      <w:r w:rsidR="002A2853">
        <w:rPr>
          <w:rFonts w:ascii="Verdana" w:hAnsi="Verdana"/>
          <w:b/>
          <w:spacing w:val="-4"/>
          <w:sz w:val="20"/>
          <w:szCs w:val="20"/>
          <w:lang w:val="es-GT"/>
        </w:rPr>
        <w:t xml:space="preserve">AGOSTO </w:t>
      </w:r>
      <w:r w:rsidR="000732B9">
        <w:rPr>
          <w:rFonts w:ascii="Verdana" w:hAnsi="Verdana"/>
          <w:b/>
          <w:spacing w:val="-4"/>
          <w:sz w:val="20"/>
          <w:szCs w:val="20"/>
          <w:lang w:val="es-MX"/>
        </w:rPr>
        <w:t>DE 2018</w:t>
      </w:r>
    </w:p>
    <w:p w14:paraId="2C7783E9" w14:textId="77777777" w:rsidR="00B75B22" w:rsidRPr="008818D3" w:rsidRDefault="00B75B22" w:rsidP="00B75B22">
      <w:pPr>
        <w:tabs>
          <w:tab w:val="left" w:pos="567"/>
        </w:tabs>
        <w:spacing w:after="0" w:line="240" w:lineRule="auto"/>
        <w:jc w:val="center"/>
        <w:rPr>
          <w:rFonts w:ascii="Verdana" w:hAnsi="Verdana"/>
          <w:b/>
          <w:spacing w:val="-4"/>
          <w:sz w:val="20"/>
          <w:szCs w:val="20"/>
          <w:lang w:val="es-MX"/>
        </w:rPr>
      </w:pPr>
    </w:p>
    <w:p w14:paraId="6A125EC2" w14:textId="77777777" w:rsidR="002A2853" w:rsidRPr="0044710F" w:rsidRDefault="002A2853" w:rsidP="002A2853">
      <w:pPr>
        <w:tabs>
          <w:tab w:val="left" w:pos="567"/>
        </w:tabs>
        <w:spacing w:after="0" w:line="240" w:lineRule="auto"/>
        <w:jc w:val="center"/>
        <w:rPr>
          <w:rFonts w:ascii="Verdana" w:hAnsi="Verdana"/>
          <w:b/>
          <w:spacing w:val="-4"/>
          <w:sz w:val="20"/>
          <w:szCs w:val="20"/>
          <w:lang w:val="es-MX"/>
        </w:rPr>
      </w:pPr>
      <w:r w:rsidRPr="0044710F">
        <w:rPr>
          <w:rFonts w:ascii="Verdana" w:hAnsi="Verdana"/>
          <w:b/>
          <w:spacing w:val="-4"/>
          <w:sz w:val="20"/>
          <w:szCs w:val="20"/>
          <w:lang w:val="es-MX"/>
        </w:rPr>
        <w:t xml:space="preserve">AMPLIACIÓN DE MEDIDAS PROVISIONALES </w:t>
      </w:r>
    </w:p>
    <w:p w14:paraId="740A8222" w14:textId="77777777" w:rsidR="00B75B22" w:rsidRPr="008818D3" w:rsidRDefault="00B75B22" w:rsidP="00B75B22">
      <w:pPr>
        <w:tabs>
          <w:tab w:val="left" w:pos="567"/>
        </w:tabs>
        <w:spacing w:after="0" w:line="240" w:lineRule="auto"/>
        <w:jc w:val="center"/>
        <w:rPr>
          <w:rFonts w:ascii="Verdana" w:hAnsi="Verdana"/>
          <w:b/>
          <w:spacing w:val="-4"/>
          <w:sz w:val="20"/>
          <w:szCs w:val="20"/>
          <w:lang w:val="es-MX"/>
        </w:rPr>
      </w:pPr>
      <w:r w:rsidRPr="008818D3">
        <w:rPr>
          <w:rFonts w:ascii="Verdana" w:hAnsi="Verdana"/>
          <w:b/>
          <w:spacing w:val="-4"/>
          <w:sz w:val="20"/>
          <w:szCs w:val="20"/>
          <w:lang w:val="es-MX"/>
        </w:rPr>
        <w:t>RESPECTO NICARAGUA</w:t>
      </w:r>
    </w:p>
    <w:p w14:paraId="522F37BB" w14:textId="77777777" w:rsidR="00B75B22" w:rsidRPr="008818D3" w:rsidRDefault="00B75B22" w:rsidP="00B75B22">
      <w:pPr>
        <w:tabs>
          <w:tab w:val="left" w:pos="567"/>
        </w:tabs>
        <w:spacing w:after="0" w:line="240" w:lineRule="auto"/>
        <w:jc w:val="center"/>
        <w:rPr>
          <w:rFonts w:ascii="Verdana" w:hAnsi="Verdana"/>
          <w:b/>
          <w:spacing w:val="-4"/>
          <w:sz w:val="20"/>
          <w:szCs w:val="20"/>
          <w:lang w:val="es-MX"/>
        </w:rPr>
      </w:pPr>
    </w:p>
    <w:p w14:paraId="7879DF44" w14:textId="77777777" w:rsidR="00B75B22" w:rsidRPr="008818D3" w:rsidRDefault="00B75B22" w:rsidP="00B75B22">
      <w:pPr>
        <w:tabs>
          <w:tab w:val="left" w:pos="567"/>
        </w:tabs>
        <w:spacing w:after="0" w:line="240" w:lineRule="auto"/>
        <w:jc w:val="center"/>
        <w:rPr>
          <w:rFonts w:ascii="Verdana" w:hAnsi="Verdana"/>
          <w:b/>
          <w:spacing w:val="-4"/>
          <w:sz w:val="20"/>
          <w:szCs w:val="20"/>
          <w:lang w:val="es-MX"/>
        </w:rPr>
      </w:pPr>
      <w:r w:rsidRPr="008818D3">
        <w:rPr>
          <w:rFonts w:ascii="Verdana" w:hAnsi="Verdana"/>
          <w:b/>
          <w:spacing w:val="-4"/>
          <w:sz w:val="20"/>
          <w:szCs w:val="20"/>
          <w:lang w:val="es-MX"/>
        </w:rPr>
        <w:t xml:space="preserve">ASUNTO POBLADORES DE LAS COMUNIDADES DEL PUEBLO INDÍGENA MISKITU </w:t>
      </w:r>
    </w:p>
    <w:p w14:paraId="767727D7" w14:textId="77777777" w:rsidR="00B75B22" w:rsidRPr="008818D3" w:rsidRDefault="00B75B22" w:rsidP="00B75B22">
      <w:pPr>
        <w:tabs>
          <w:tab w:val="left" w:pos="567"/>
        </w:tabs>
        <w:spacing w:after="0" w:line="240" w:lineRule="auto"/>
        <w:jc w:val="center"/>
        <w:rPr>
          <w:rFonts w:ascii="Verdana" w:hAnsi="Verdana"/>
          <w:b/>
          <w:spacing w:val="-4"/>
          <w:sz w:val="20"/>
          <w:szCs w:val="20"/>
          <w:lang w:val="es-GT"/>
        </w:rPr>
      </w:pPr>
      <w:r w:rsidRPr="008818D3">
        <w:rPr>
          <w:rFonts w:ascii="Verdana" w:hAnsi="Verdana"/>
          <w:b/>
          <w:spacing w:val="-4"/>
          <w:sz w:val="20"/>
          <w:szCs w:val="20"/>
          <w:lang w:val="es-MX"/>
        </w:rPr>
        <w:t>DE LA REGIÓN COSTA CARIBE NORTE</w:t>
      </w:r>
    </w:p>
    <w:p w14:paraId="544051C6" w14:textId="1080185A" w:rsidR="00B75B22" w:rsidRPr="008818D3" w:rsidRDefault="00B75B22" w:rsidP="00B75B22">
      <w:pPr>
        <w:tabs>
          <w:tab w:val="left" w:pos="567"/>
        </w:tabs>
        <w:jc w:val="center"/>
        <w:rPr>
          <w:rFonts w:ascii="Verdana" w:hAnsi="Verdana"/>
          <w:b/>
          <w:spacing w:val="-4"/>
          <w:sz w:val="20"/>
          <w:szCs w:val="20"/>
          <w:lang w:val="es-GT"/>
        </w:rPr>
      </w:pPr>
    </w:p>
    <w:p w14:paraId="428DFDB5" w14:textId="77777777" w:rsidR="00B75B22" w:rsidRPr="008818D3" w:rsidRDefault="00B75B22" w:rsidP="00B75B22">
      <w:pPr>
        <w:tabs>
          <w:tab w:val="left" w:pos="567"/>
        </w:tabs>
        <w:spacing w:after="0" w:line="240" w:lineRule="auto"/>
        <w:jc w:val="both"/>
        <w:rPr>
          <w:rFonts w:ascii="Verdana" w:hAnsi="Verdana"/>
          <w:b/>
          <w:spacing w:val="-4"/>
          <w:sz w:val="20"/>
          <w:szCs w:val="20"/>
          <w:lang w:val="es-MX"/>
        </w:rPr>
      </w:pPr>
      <w:r w:rsidRPr="008818D3">
        <w:rPr>
          <w:rFonts w:ascii="Verdana" w:hAnsi="Verdana"/>
          <w:b/>
          <w:spacing w:val="-4"/>
          <w:sz w:val="20"/>
          <w:szCs w:val="20"/>
          <w:lang w:val="es-MX"/>
        </w:rPr>
        <w:t>VISTO:</w:t>
      </w:r>
    </w:p>
    <w:p w14:paraId="5C4AEE5B" w14:textId="77777777" w:rsidR="00B75B22" w:rsidRPr="008818D3" w:rsidRDefault="00B75B22" w:rsidP="00B75B22">
      <w:pPr>
        <w:tabs>
          <w:tab w:val="left" w:pos="567"/>
        </w:tabs>
        <w:spacing w:after="0" w:line="240" w:lineRule="auto"/>
        <w:jc w:val="both"/>
        <w:rPr>
          <w:rFonts w:ascii="Verdana" w:hAnsi="Verdana"/>
          <w:b/>
          <w:spacing w:val="-4"/>
          <w:sz w:val="20"/>
          <w:szCs w:val="20"/>
          <w:lang w:val="es-ES_tradnl"/>
        </w:rPr>
      </w:pPr>
    </w:p>
    <w:p w14:paraId="0777FBCC" w14:textId="53797F57" w:rsidR="00617493" w:rsidRPr="002C4CF2" w:rsidRDefault="006A27F9" w:rsidP="002C4CF2">
      <w:pPr>
        <w:numPr>
          <w:ilvl w:val="0"/>
          <w:numId w:val="2"/>
        </w:numPr>
        <w:tabs>
          <w:tab w:val="left" w:pos="0"/>
        </w:tabs>
        <w:spacing w:after="0" w:line="240" w:lineRule="auto"/>
        <w:ind w:left="0" w:right="18" w:firstLine="0"/>
        <w:jc w:val="both"/>
        <w:rPr>
          <w:rFonts w:ascii="Verdana" w:hAnsi="Verdana"/>
          <w:spacing w:val="-4"/>
          <w:sz w:val="20"/>
          <w:szCs w:val="20"/>
          <w:lang w:val="es-MX"/>
        </w:rPr>
      </w:pPr>
      <w:r w:rsidRPr="00617493">
        <w:rPr>
          <w:rFonts w:ascii="Verdana" w:eastAsia="MS Mincho" w:hAnsi="Verdana"/>
          <w:sz w:val="20"/>
          <w:szCs w:val="20"/>
          <w:lang w:val="es-VE"/>
        </w:rPr>
        <w:t>La</w:t>
      </w:r>
      <w:r w:rsidRPr="00617493">
        <w:rPr>
          <w:rFonts w:ascii="Verdana" w:hAnsi="Verdana"/>
          <w:spacing w:val="-4"/>
          <w:sz w:val="20"/>
          <w:szCs w:val="20"/>
          <w:lang w:val="es-MX"/>
        </w:rPr>
        <w:t xml:space="preserve"> Resoluci</w:t>
      </w:r>
      <w:r w:rsidR="00617493">
        <w:rPr>
          <w:rFonts w:ascii="Verdana" w:hAnsi="Verdana"/>
          <w:spacing w:val="-4"/>
          <w:sz w:val="20"/>
          <w:szCs w:val="20"/>
          <w:lang w:val="es-MX"/>
        </w:rPr>
        <w:t xml:space="preserve">ón </w:t>
      </w:r>
      <w:r w:rsidRPr="00617493">
        <w:rPr>
          <w:rFonts w:ascii="Verdana" w:hAnsi="Verdana"/>
          <w:spacing w:val="-4"/>
          <w:sz w:val="20"/>
          <w:szCs w:val="20"/>
          <w:lang w:val="es-MX"/>
        </w:rPr>
        <w:t xml:space="preserve">de la Corte Interamericana de Derechos Humanos (en adelante también “la Corte Interamericana”, “la Corte” o “el Tribunal”) de 1 de septiembre de 2016, mediante la cual ordenó al Estado de Nicaragua, </w:t>
      </w:r>
      <w:r w:rsidRPr="00617493">
        <w:rPr>
          <w:rFonts w:ascii="Verdana" w:hAnsi="Verdana"/>
          <w:i/>
          <w:spacing w:val="-4"/>
          <w:sz w:val="20"/>
          <w:szCs w:val="20"/>
          <w:lang w:val="es-MX"/>
        </w:rPr>
        <w:t>inter alia:</w:t>
      </w:r>
      <w:r w:rsidRPr="00617493">
        <w:rPr>
          <w:rFonts w:ascii="Verdana" w:hAnsi="Verdana"/>
          <w:spacing w:val="-4"/>
          <w:sz w:val="20"/>
          <w:szCs w:val="20"/>
          <w:lang w:val="es-MX"/>
        </w:rPr>
        <w:t xml:space="preserve"> i) erradicar la violencia y proteger la vida, integridad personal y territorial e identidad cultural </w:t>
      </w:r>
      <w:r w:rsidRPr="00CD2D3A">
        <w:rPr>
          <w:rFonts w:ascii="Verdana" w:hAnsi="Verdana"/>
          <w:sz w:val="20"/>
          <w:szCs w:val="20"/>
          <w:lang w:val="es-MX"/>
        </w:rPr>
        <w:t xml:space="preserve">en favor de </w:t>
      </w:r>
      <w:r w:rsidRPr="00CD2D3A">
        <w:rPr>
          <w:rFonts w:ascii="Verdana" w:eastAsia="Times" w:hAnsi="Verdana" w:cs="Times New Roman"/>
          <w:sz w:val="20"/>
          <w:szCs w:val="20"/>
          <w:lang w:val="es-ES_tradnl"/>
        </w:rPr>
        <w:t xml:space="preserve">los miembros del pueblo indígena </w:t>
      </w:r>
      <w:r w:rsidRPr="00CD2D3A">
        <w:rPr>
          <w:rFonts w:ascii="Verdana" w:eastAsia="Times" w:hAnsi="Verdana" w:cs="Times New Roman"/>
          <w:i/>
          <w:sz w:val="20"/>
          <w:szCs w:val="20"/>
          <w:lang w:val="es-ES_tradnl"/>
        </w:rPr>
        <w:t xml:space="preserve">Miskitu </w:t>
      </w:r>
      <w:r w:rsidRPr="00CD2D3A">
        <w:rPr>
          <w:rFonts w:ascii="Verdana" w:eastAsia="Times" w:hAnsi="Verdana" w:cs="Times New Roman"/>
          <w:sz w:val="20"/>
          <w:szCs w:val="20"/>
          <w:lang w:val="es-ES_tradnl"/>
        </w:rPr>
        <w:t xml:space="preserve">que habitan </w:t>
      </w:r>
      <w:r w:rsidRPr="00CD2D3A">
        <w:rPr>
          <w:rFonts w:ascii="Verdana" w:eastAsia="Times" w:hAnsi="Verdana"/>
          <w:sz w:val="20"/>
          <w:szCs w:val="20"/>
          <w:lang w:val="es-ES_tradnl"/>
        </w:rPr>
        <w:t>en las</w:t>
      </w:r>
      <w:r w:rsidRPr="00CD2D3A">
        <w:rPr>
          <w:rFonts w:ascii="Verdana" w:eastAsia="Times" w:hAnsi="Verdana" w:cs="Times New Roman"/>
          <w:sz w:val="20"/>
          <w:szCs w:val="20"/>
          <w:lang w:val="es-ES_tradnl"/>
        </w:rPr>
        <w:t xml:space="preserve"> comunidades de </w:t>
      </w:r>
      <w:r w:rsidRPr="00CD2D3A">
        <w:rPr>
          <w:rFonts w:ascii="Verdana" w:eastAsia="Times" w:hAnsi="Verdana" w:cs="Times New Roman"/>
          <w:i/>
          <w:sz w:val="20"/>
          <w:szCs w:val="20"/>
          <w:lang w:val="es-ES_tradnl"/>
        </w:rPr>
        <w:t>Klisnak, Wisconsin, Wiwinak, San Jerónimo y Francia Sirpi</w:t>
      </w:r>
      <w:r w:rsidRPr="00CD2D3A">
        <w:rPr>
          <w:rFonts w:ascii="Verdana" w:eastAsia="Times" w:hAnsi="Verdana"/>
          <w:sz w:val="20"/>
          <w:szCs w:val="20"/>
          <w:lang w:val="es-ES_tradnl"/>
        </w:rPr>
        <w:t xml:space="preserve">; ii) establecer una instancia u órgano que </w:t>
      </w:r>
      <w:r w:rsidRPr="00CD2D3A">
        <w:rPr>
          <w:rFonts w:ascii="Verdana" w:hAnsi="Verdana"/>
          <w:sz w:val="20"/>
          <w:szCs w:val="20"/>
          <w:lang w:val="es-GT"/>
        </w:rPr>
        <w:t>diagnostique las fuentes del conflicto y proponga las posibles vías de pacificación y solución del conflicto, y iii) presentar un informe completo y pormenorizado sobre las actuaciones realizadas para dar cumplimiento a las medidas provisionales decretadas</w:t>
      </w:r>
      <w:r w:rsidRPr="004F77AC">
        <w:rPr>
          <w:rStyle w:val="FootnoteReference"/>
          <w:rFonts w:ascii="Verdana" w:hAnsi="Verdana"/>
          <w:sz w:val="20"/>
          <w:szCs w:val="20"/>
          <w:lang w:val="es-GT"/>
        </w:rPr>
        <w:footnoteReference w:id="1"/>
      </w:r>
      <w:r w:rsidR="00617493">
        <w:rPr>
          <w:rFonts w:ascii="Verdana" w:hAnsi="Verdana"/>
          <w:sz w:val="20"/>
          <w:szCs w:val="20"/>
          <w:lang w:val="es-GT"/>
        </w:rPr>
        <w:t xml:space="preserve">. </w:t>
      </w:r>
    </w:p>
    <w:p w14:paraId="0534D69A" w14:textId="77777777" w:rsidR="00CD2D3A" w:rsidRPr="002C4CF2" w:rsidRDefault="00CD2D3A" w:rsidP="00CD2D3A">
      <w:pPr>
        <w:tabs>
          <w:tab w:val="left" w:pos="0"/>
        </w:tabs>
        <w:spacing w:after="0" w:line="240" w:lineRule="auto"/>
        <w:ind w:right="18"/>
        <w:jc w:val="both"/>
        <w:rPr>
          <w:rFonts w:ascii="Verdana" w:hAnsi="Verdana"/>
          <w:spacing w:val="-4"/>
          <w:sz w:val="20"/>
          <w:szCs w:val="20"/>
          <w:lang w:val="es-MX"/>
        </w:rPr>
      </w:pPr>
    </w:p>
    <w:p w14:paraId="7A0016C4" w14:textId="6965F009" w:rsidR="00CD2D3A" w:rsidRDefault="00CD2D3A" w:rsidP="002C4CF2">
      <w:pPr>
        <w:numPr>
          <w:ilvl w:val="0"/>
          <w:numId w:val="2"/>
        </w:numPr>
        <w:tabs>
          <w:tab w:val="left" w:pos="0"/>
        </w:tabs>
        <w:spacing w:after="0" w:line="240" w:lineRule="auto"/>
        <w:ind w:left="0" w:right="18" w:firstLine="0"/>
        <w:jc w:val="both"/>
        <w:rPr>
          <w:rFonts w:ascii="Verdana" w:hAnsi="Verdana"/>
          <w:spacing w:val="-4"/>
          <w:sz w:val="20"/>
          <w:szCs w:val="20"/>
          <w:lang w:val="es-MX"/>
        </w:rPr>
      </w:pPr>
      <w:r>
        <w:rPr>
          <w:rFonts w:ascii="Verdana" w:hAnsi="Verdana"/>
          <w:spacing w:val="-4"/>
          <w:sz w:val="20"/>
          <w:szCs w:val="20"/>
          <w:lang w:val="es-MX"/>
        </w:rPr>
        <w:t>Las Resoluciones</w:t>
      </w:r>
      <w:r w:rsidRPr="00CD2D3A">
        <w:rPr>
          <w:rFonts w:ascii="Verdana" w:hAnsi="Verdana"/>
          <w:spacing w:val="-4"/>
          <w:sz w:val="20"/>
          <w:szCs w:val="20"/>
          <w:lang w:val="es-MX"/>
        </w:rPr>
        <w:t xml:space="preserve"> de 23 de noviembre de 2016,</w:t>
      </w:r>
      <w:r>
        <w:rPr>
          <w:rFonts w:ascii="Verdana" w:hAnsi="Verdana"/>
          <w:spacing w:val="-4"/>
          <w:sz w:val="20"/>
          <w:szCs w:val="20"/>
          <w:lang w:val="es-MX"/>
        </w:rPr>
        <w:t xml:space="preserve"> </w:t>
      </w:r>
      <w:r w:rsidRPr="00CD2D3A">
        <w:rPr>
          <w:rFonts w:ascii="Verdana" w:hAnsi="Verdana"/>
          <w:spacing w:val="-4"/>
          <w:sz w:val="20"/>
          <w:szCs w:val="20"/>
          <w:lang w:val="es-MX"/>
        </w:rPr>
        <w:t xml:space="preserve">30 de junio </w:t>
      </w:r>
      <w:r>
        <w:rPr>
          <w:rFonts w:ascii="Verdana" w:hAnsi="Verdana"/>
          <w:spacing w:val="-4"/>
          <w:sz w:val="20"/>
          <w:szCs w:val="20"/>
          <w:lang w:val="es-MX"/>
        </w:rPr>
        <w:t xml:space="preserve">y </w:t>
      </w:r>
      <w:r w:rsidRPr="00CD2D3A">
        <w:rPr>
          <w:rFonts w:ascii="Verdana" w:hAnsi="Verdana"/>
          <w:spacing w:val="-4"/>
          <w:sz w:val="20"/>
          <w:szCs w:val="20"/>
          <w:lang w:val="es-MX"/>
        </w:rPr>
        <w:t>22 de agosto de 2017</w:t>
      </w:r>
      <w:r>
        <w:rPr>
          <w:rFonts w:ascii="Verdana" w:hAnsi="Verdana"/>
          <w:spacing w:val="-4"/>
          <w:sz w:val="20"/>
          <w:szCs w:val="20"/>
          <w:lang w:val="es-MX"/>
        </w:rPr>
        <w:t xml:space="preserve">, mediante las cuales </w:t>
      </w:r>
      <w:r w:rsidRPr="00CD2D3A">
        <w:rPr>
          <w:rFonts w:ascii="Verdana" w:hAnsi="Verdana"/>
          <w:spacing w:val="-4"/>
          <w:sz w:val="20"/>
          <w:szCs w:val="20"/>
          <w:lang w:val="es-MX"/>
        </w:rPr>
        <w:t>resolvió</w:t>
      </w:r>
      <w:r>
        <w:rPr>
          <w:rFonts w:ascii="Verdana" w:hAnsi="Verdana"/>
          <w:spacing w:val="-4"/>
          <w:sz w:val="20"/>
          <w:szCs w:val="20"/>
          <w:lang w:val="es-MX"/>
        </w:rPr>
        <w:t>, respectivamente</w:t>
      </w:r>
      <w:r w:rsidRPr="00CD2D3A">
        <w:rPr>
          <w:rFonts w:ascii="Verdana" w:hAnsi="Verdana"/>
          <w:spacing w:val="-4"/>
          <w:sz w:val="20"/>
          <w:szCs w:val="20"/>
          <w:lang w:val="es-MX"/>
        </w:rPr>
        <w:t xml:space="preserve">, </w:t>
      </w:r>
      <w:r w:rsidRPr="002C4CF2">
        <w:rPr>
          <w:rFonts w:ascii="Verdana" w:hAnsi="Verdana"/>
          <w:i/>
          <w:spacing w:val="-4"/>
          <w:sz w:val="20"/>
          <w:szCs w:val="20"/>
          <w:lang w:val="es-MX"/>
        </w:rPr>
        <w:t>inter alia</w:t>
      </w:r>
      <w:r w:rsidRPr="00CD2D3A">
        <w:rPr>
          <w:rFonts w:ascii="Verdana" w:hAnsi="Verdana"/>
          <w:spacing w:val="-4"/>
          <w:sz w:val="20"/>
          <w:szCs w:val="20"/>
          <w:lang w:val="es-MX"/>
        </w:rPr>
        <w:t xml:space="preserve">: i) ampliar las </w:t>
      </w:r>
      <w:r w:rsidRPr="002C4CF2">
        <w:rPr>
          <w:rFonts w:ascii="Verdana" w:eastAsia="MS Mincho" w:hAnsi="Verdana"/>
          <w:sz w:val="20"/>
          <w:szCs w:val="20"/>
          <w:lang w:val="es-VE"/>
        </w:rPr>
        <w:t>medidas</w:t>
      </w:r>
      <w:r w:rsidRPr="00CD2D3A">
        <w:rPr>
          <w:rFonts w:ascii="Verdana" w:hAnsi="Verdana"/>
          <w:spacing w:val="-4"/>
          <w:sz w:val="20"/>
          <w:szCs w:val="20"/>
          <w:lang w:val="es-MX"/>
        </w:rPr>
        <w:t xml:space="preserve"> provisionales de forma que se incluya a los miembros del pueblo indígena Miskitu que habitan en </w:t>
      </w:r>
      <w:r>
        <w:rPr>
          <w:rFonts w:ascii="Verdana" w:hAnsi="Verdana"/>
          <w:spacing w:val="-4"/>
          <w:sz w:val="20"/>
          <w:szCs w:val="20"/>
          <w:lang w:val="es-MX"/>
        </w:rPr>
        <w:t xml:space="preserve">la </w:t>
      </w:r>
      <w:r w:rsidRPr="00CB4120">
        <w:rPr>
          <w:rFonts w:ascii="Verdana" w:hAnsi="Verdana"/>
          <w:i/>
          <w:spacing w:val="-4"/>
          <w:sz w:val="20"/>
          <w:szCs w:val="20"/>
          <w:lang w:val="es-MX"/>
        </w:rPr>
        <w:t xml:space="preserve">Comunidad Esperanza Río Coco </w:t>
      </w:r>
      <w:r>
        <w:rPr>
          <w:rFonts w:ascii="Verdana" w:hAnsi="Verdana"/>
          <w:spacing w:val="-4"/>
          <w:sz w:val="20"/>
          <w:szCs w:val="20"/>
          <w:lang w:val="es-MX"/>
        </w:rPr>
        <w:t>y</w:t>
      </w:r>
      <w:r w:rsidRPr="00CD2D3A">
        <w:rPr>
          <w:rFonts w:ascii="Verdana" w:hAnsi="Verdana"/>
          <w:spacing w:val="-4"/>
          <w:sz w:val="20"/>
          <w:szCs w:val="20"/>
          <w:lang w:val="es-MX"/>
        </w:rPr>
        <w:t xml:space="preserve"> </w:t>
      </w:r>
      <w:r w:rsidRPr="00CB4120">
        <w:rPr>
          <w:rFonts w:ascii="Verdana" w:hAnsi="Verdana"/>
          <w:i/>
          <w:spacing w:val="-4"/>
          <w:sz w:val="20"/>
          <w:szCs w:val="20"/>
          <w:lang w:val="es-MX"/>
        </w:rPr>
        <w:t>Comunidad Esperanza Río Wawa</w:t>
      </w:r>
      <w:r>
        <w:rPr>
          <w:rFonts w:ascii="Verdana" w:hAnsi="Verdana"/>
          <w:spacing w:val="-4"/>
          <w:sz w:val="20"/>
          <w:szCs w:val="20"/>
          <w:lang w:val="es-MX"/>
        </w:rPr>
        <w:t xml:space="preserve">, </w:t>
      </w:r>
      <w:r w:rsidRPr="00CD2D3A">
        <w:rPr>
          <w:rFonts w:ascii="Verdana" w:hAnsi="Verdana"/>
          <w:spacing w:val="-4"/>
          <w:sz w:val="20"/>
          <w:szCs w:val="20"/>
          <w:lang w:val="es-MX"/>
        </w:rPr>
        <w:t>así como a las personas que presuntamente hayan tenido que abandonar di</w:t>
      </w:r>
      <w:r>
        <w:rPr>
          <w:rFonts w:ascii="Verdana" w:hAnsi="Verdana"/>
          <w:spacing w:val="-4"/>
          <w:sz w:val="20"/>
          <w:szCs w:val="20"/>
          <w:lang w:val="es-MX"/>
        </w:rPr>
        <w:t>cha comunidad y deseen regresar,</w:t>
      </w:r>
      <w:r w:rsidR="002C4CF2">
        <w:rPr>
          <w:rFonts w:ascii="Verdana" w:hAnsi="Verdana"/>
          <w:spacing w:val="-4"/>
          <w:sz w:val="20"/>
          <w:szCs w:val="20"/>
          <w:lang w:val="es-MX"/>
        </w:rPr>
        <w:t xml:space="preserve"> y</w:t>
      </w:r>
      <w:r>
        <w:rPr>
          <w:rFonts w:ascii="Verdana" w:hAnsi="Verdana"/>
          <w:spacing w:val="-4"/>
          <w:sz w:val="20"/>
          <w:szCs w:val="20"/>
          <w:lang w:val="es-MX"/>
        </w:rPr>
        <w:t xml:space="preserve"> ii) </w:t>
      </w:r>
      <w:r w:rsidR="002C4CF2">
        <w:rPr>
          <w:rFonts w:ascii="Verdana" w:hAnsi="Verdana"/>
          <w:spacing w:val="-4"/>
          <w:sz w:val="20"/>
          <w:szCs w:val="20"/>
          <w:lang w:val="es-MX"/>
        </w:rPr>
        <w:t xml:space="preserve">solicitó </w:t>
      </w:r>
      <w:r w:rsidRPr="00CD2D3A">
        <w:rPr>
          <w:rFonts w:ascii="Verdana" w:hAnsi="Verdana"/>
          <w:spacing w:val="-4"/>
          <w:sz w:val="20"/>
          <w:szCs w:val="20"/>
          <w:lang w:val="es-MX"/>
        </w:rPr>
        <w:t>al Estado que incluya a esta</w:t>
      </w:r>
      <w:r>
        <w:rPr>
          <w:rFonts w:ascii="Verdana" w:hAnsi="Verdana"/>
          <w:spacing w:val="-4"/>
          <w:sz w:val="20"/>
          <w:szCs w:val="20"/>
          <w:lang w:val="es-MX"/>
        </w:rPr>
        <w:t>s</w:t>
      </w:r>
      <w:r w:rsidR="002C4CF2">
        <w:rPr>
          <w:rFonts w:ascii="Verdana" w:hAnsi="Verdana"/>
          <w:spacing w:val="-4"/>
          <w:sz w:val="20"/>
          <w:szCs w:val="20"/>
          <w:lang w:val="es-MX"/>
        </w:rPr>
        <w:t xml:space="preserve"> c</w:t>
      </w:r>
      <w:r w:rsidRPr="00CD2D3A">
        <w:rPr>
          <w:rFonts w:ascii="Verdana" w:hAnsi="Verdana"/>
          <w:spacing w:val="-4"/>
          <w:sz w:val="20"/>
          <w:szCs w:val="20"/>
          <w:lang w:val="es-MX"/>
        </w:rPr>
        <w:t>omunidad</w:t>
      </w:r>
      <w:r>
        <w:rPr>
          <w:rFonts w:ascii="Verdana" w:hAnsi="Verdana"/>
          <w:spacing w:val="-4"/>
          <w:sz w:val="20"/>
          <w:szCs w:val="20"/>
          <w:lang w:val="es-MX"/>
        </w:rPr>
        <w:t>es</w:t>
      </w:r>
      <w:r w:rsidRPr="00CD2D3A">
        <w:rPr>
          <w:rFonts w:ascii="Verdana" w:hAnsi="Verdana"/>
          <w:spacing w:val="-4"/>
          <w:sz w:val="20"/>
          <w:szCs w:val="20"/>
          <w:lang w:val="es-MX"/>
        </w:rPr>
        <w:t xml:space="preserve"> en el diagnóstico sobre la situación actual de riesgo de las comunidades referentes e</w:t>
      </w:r>
      <w:r w:rsidR="002C4CF2">
        <w:rPr>
          <w:rFonts w:ascii="Verdana" w:hAnsi="Verdana"/>
          <w:spacing w:val="-4"/>
          <w:sz w:val="20"/>
          <w:szCs w:val="20"/>
          <w:lang w:val="es-MX"/>
        </w:rPr>
        <w:t>n el</w:t>
      </w:r>
      <w:r w:rsidRPr="00CD2D3A">
        <w:rPr>
          <w:rFonts w:ascii="Verdana" w:hAnsi="Verdana"/>
          <w:spacing w:val="-4"/>
          <w:sz w:val="20"/>
          <w:szCs w:val="20"/>
          <w:lang w:val="es-MX"/>
        </w:rPr>
        <w:t xml:space="preserve"> informe a</w:t>
      </w:r>
      <w:r w:rsidR="002C4CF2">
        <w:rPr>
          <w:rFonts w:ascii="Verdana" w:hAnsi="Verdana"/>
          <w:spacing w:val="-4"/>
          <w:sz w:val="20"/>
          <w:szCs w:val="20"/>
          <w:lang w:val="es-MX"/>
        </w:rPr>
        <w:t>nte</w:t>
      </w:r>
      <w:r w:rsidRPr="00CD2D3A">
        <w:rPr>
          <w:rFonts w:ascii="Verdana" w:hAnsi="Verdana"/>
          <w:spacing w:val="-4"/>
          <w:sz w:val="20"/>
          <w:szCs w:val="20"/>
          <w:lang w:val="es-MX"/>
        </w:rPr>
        <w:t xml:space="preserve"> la Corte. </w:t>
      </w:r>
    </w:p>
    <w:p w14:paraId="40FD732E" w14:textId="5A4DE81E" w:rsidR="00B31A28" w:rsidRDefault="00B31A28" w:rsidP="00F36DD1">
      <w:pPr>
        <w:tabs>
          <w:tab w:val="left" w:pos="0"/>
        </w:tabs>
        <w:spacing w:after="0" w:line="240" w:lineRule="auto"/>
        <w:ind w:right="18"/>
        <w:jc w:val="both"/>
        <w:rPr>
          <w:rFonts w:ascii="Verdana" w:hAnsi="Verdana"/>
          <w:spacing w:val="-4"/>
          <w:sz w:val="20"/>
          <w:szCs w:val="20"/>
          <w:lang w:val="es-MX"/>
        </w:rPr>
      </w:pPr>
    </w:p>
    <w:p w14:paraId="3CF3A99E" w14:textId="3B7AA463" w:rsidR="00B31A28" w:rsidRPr="00B31A28" w:rsidRDefault="00B31A28" w:rsidP="00B31A28">
      <w:pPr>
        <w:numPr>
          <w:ilvl w:val="0"/>
          <w:numId w:val="2"/>
        </w:numPr>
        <w:tabs>
          <w:tab w:val="left" w:pos="0"/>
        </w:tabs>
        <w:spacing w:after="0" w:line="240" w:lineRule="auto"/>
        <w:ind w:left="0" w:right="18" w:firstLine="0"/>
        <w:jc w:val="both"/>
        <w:rPr>
          <w:rFonts w:ascii="Verdana" w:hAnsi="Verdana"/>
          <w:spacing w:val="-4"/>
          <w:sz w:val="20"/>
          <w:szCs w:val="20"/>
          <w:lang w:val="es-MX"/>
        </w:rPr>
      </w:pPr>
      <w:r>
        <w:rPr>
          <w:rFonts w:ascii="Verdana" w:hAnsi="Verdana"/>
          <w:spacing w:val="-4"/>
          <w:sz w:val="20"/>
          <w:szCs w:val="20"/>
          <w:lang w:val="es-MX"/>
        </w:rPr>
        <w:t xml:space="preserve">La nota de Secretaría de la Corte de 25 de enero de 2018, mediante la cual se informó a las partes que, </w:t>
      </w:r>
      <w:r>
        <w:rPr>
          <w:rFonts w:ascii="Verdana" w:hAnsi="Verdana"/>
          <w:sz w:val="20"/>
          <w:lang w:val="es-CR"/>
        </w:rPr>
        <w:t>r</w:t>
      </w:r>
      <w:r w:rsidRPr="00F36DD1">
        <w:rPr>
          <w:rFonts w:ascii="Verdana" w:hAnsi="Verdana"/>
          <w:sz w:val="20"/>
          <w:lang w:val="es-CR"/>
        </w:rPr>
        <w:t xml:space="preserve">especto de su solicitud para que la Corte realice una visita </w:t>
      </w:r>
      <w:r w:rsidRPr="00F36DD1">
        <w:rPr>
          <w:rFonts w:ascii="Verdana" w:hAnsi="Verdana"/>
          <w:i/>
          <w:sz w:val="20"/>
          <w:lang w:val="es-CR"/>
        </w:rPr>
        <w:t>in situ</w:t>
      </w:r>
      <w:r w:rsidRPr="00F36DD1">
        <w:rPr>
          <w:rFonts w:ascii="Verdana" w:hAnsi="Verdana"/>
          <w:sz w:val="20"/>
          <w:lang w:val="es-CR"/>
        </w:rPr>
        <w:t xml:space="preserve"> a los ter</w:t>
      </w:r>
      <w:r w:rsidRPr="00B31A28">
        <w:rPr>
          <w:rFonts w:ascii="Verdana" w:hAnsi="Verdana"/>
          <w:sz w:val="20"/>
          <w:lang w:val="es-CR"/>
        </w:rPr>
        <w:t>ritorios en conflicto o convo</w:t>
      </w:r>
      <w:r>
        <w:rPr>
          <w:rFonts w:ascii="Verdana" w:hAnsi="Verdana"/>
          <w:sz w:val="20"/>
          <w:lang w:val="es-CR"/>
        </w:rPr>
        <w:t>car</w:t>
      </w:r>
      <w:r w:rsidRPr="00F36DD1">
        <w:rPr>
          <w:rFonts w:ascii="Verdana" w:hAnsi="Verdana"/>
          <w:sz w:val="20"/>
          <w:lang w:val="es-CR"/>
        </w:rPr>
        <w:t xml:space="preserve"> una audiencia, </w:t>
      </w:r>
      <w:r w:rsidRPr="00B31A28">
        <w:rPr>
          <w:rFonts w:ascii="Verdana" w:hAnsi="Verdana"/>
          <w:sz w:val="20"/>
          <w:lang w:val="es-CR"/>
        </w:rPr>
        <w:t>el Tribunal realizar</w:t>
      </w:r>
      <w:r>
        <w:rPr>
          <w:rFonts w:ascii="Verdana" w:hAnsi="Verdana"/>
          <w:sz w:val="20"/>
          <w:lang w:val="es-CR"/>
        </w:rPr>
        <w:t>ía</w:t>
      </w:r>
      <w:r w:rsidRPr="00F36DD1">
        <w:rPr>
          <w:rFonts w:ascii="Verdana" w:hAnsi="Verdana"/>
          <w:sz w:val="20"/>
          <w:lang w:val="es-CR"/>
        </w:rPr>
        <w:t xml:space="preserve"> una audiencia en el presente asunto durante el segundo semestre del </w:t>
      </w:r>
      <w:r w:rsidR="005B03F9">
        <w:rPr>
          <w:rFonts w:ascii="Verdana" w:hAnsi="Verdana"/>
          <w:sz w:val="20"/>
          <w:lang w:val="es-CR"/>
        </w:rPr>
        <w:t xml:space="preserve">año </w:t>
      </w:r>
      <w:r w:rsidRPr="00F36DD1">
        <w:rPr>
          <w:rFonts w:ascii="Verdana" w:hAnsi="Verdana"/>
          <w:sz w:val="20"/>
          <w:lang w:val="es-CR"/>
        </w:rPr>
        <w:t>2018.</w:t>
      </w:r>
    </w:p>
    <w:p w14:paraId="4665657F" w14:textId="77777777" w:rsidR="00B31A28" w:rsidRPr="00B7305C" w:rsidRDefault="00B31A28" w:rsidP="00C555DD">
      <w:pPr>
        <w:tabs>
          <w:tab w:val="left" w:pos="0"/>
        </w:tabs>
        <w:spacing w:after="0" w:line="240" w:lineRule="auto"/>
        <w:ind w:right="18"/>
        <w:jc w:val="both"/>
        <w:rPr>
          <w:rFonts w:ascii="Verdana" w:hAnsi="Verdana"/>
          <w:b/>
          <w:spacing w:val="-4"/>
          <w:sz w:val="18"/>
          <w:szCs w:val="18"/>
          <w:lang w:val="es-MX"/>
        </w:rPr>
      </w:pPr>
    </w:p>
    <w:p w14:paraId="34BCA2CC" w14:textId="0791EAC3" w:rsidR="00CD2D3A" w:rsidRPr="002C4CF2" w:rsidRDefault="00CD2D3A" w:rsidP="00CD2D3A">
      <w:pPr>
        <w:pStyle w:val="ListParagraph"/>
        <w:numPr>
          <w:ilvl w:val="0"/>
          <w:numId w:val="2"/>
        </w:numPr>
        <w:ind w:left="0" w:right="18" w:firstLine="0"/>
        <w:jc w:val="both"/>
        <w:rPr>
          <w:rFonts w:ascii="Verdana" w:hAnsi="Verdana"/>
          <w:spacing w:val="-4"/>
          <w:sz w:val="20"/>
          <w:lang w:val="es-CR"/>
        </w:rPr>
      </w:pPr>
      <w:r w:rsidRPr="002C4CF2">
        <w:rPr>
          <w:rFonts w:ascii="Verdana" w:hAnsi="Verdana"/>
          <w:spacing w:val="-4"/>
          <w:sz w:val="20"/>
          <w:lang w:val="es-CR"/>
        </w:rPr>
        <w:t>La comunicación de 9 de agosto de 201</w:t>
      </w:r>
      <w:r w:rsidR="0093502F">
        <w:rPr>
          <w:rFonts w:ascii="Verdana" w:hAnsi="Verdana"/>
          <w:spacing w:val="-4"/>
          <w:sz w:val="20"/>
          <w:lang w:val="es-CR"/>
        </w:rPr>
        <w:t>8</w:t>
      </w:r>
      <w:r w:rsidRPr="002C4CF2">
        <w:rPr>
          <w:rFonts w:ascii="Verdana" w:hAnsi="Verdana"/>
          <w:spacing w:val="-4"/>
          <w:sz w:val="20"/>
          <w:lang w:val="es-CR"/>
        </w:rPr>
        <w:t xml:space="preserve">, mediante la cual </w:t>
      </w:r>
      <w:r w:rsidR="00B31A28" w:rsidRPr="00DE692F">
        <w:rPr>
          <w:rFonts w:ascii="Verdana" w:hAnsi="Verdana"/>
          <w:spacing w:val="-4"/>
          <w:sz w:val="20"/>
          <w:lang w:val="es-MX"/>
        </w:rPr>
        <w:t xml:space="preserve">la Comisión Interamericana de Derechos Humanos (en adelante también “la Comisión” o “la Comisión Interamericana”) presentó una solicitud de ampliación de medidas provisionales conforme al artículo 63.2 de la Convención Americana sobre Derechos Humanos (en adelante “la Convención Americana” o “la Convención”) y los artículos 27.1 y 27.2 del Reglamento de la Corte, </w:t>
      </w:r>
      <w:r w:rsidR="00987B0F">
        <w:rPr>
          <w:rFonts w:ascii="Verdana" w:hAnsi="Verdana"/>
          <w:spacing w:val="-4"/>
          <w:sz w:val="20"/>
          <w:lang w:val="es-MX"/>
        </w:rPr>
        <w:t xml:space="preserve">a fin de proteger y </w:t>
      </w:r>
      <w:r w:rsidR="00987B0F">
        <w:rPr>
          <w:rFonts w:ascii="Verdana" w:hAnsi="Verdana"/>
          <w:spacing w:val="-4"/>
          <w:sz w:val="20"/>
          <w:lang w:val="es-MX"/>
        </w:rPr>
        <w:lastRenderedPageBreak/>
        <w:t xml:space="preserve">garantizar la vida e integridad personal a favor de los defensores de derechos humanos </w:t>
      </w:r>
      <w:r w:rsidRPr="002C4CF2">
        <w:rPr>
          <w:rFonts w:ascii="Verdana" w:hAnsi="Verdana"/>
          <w:sz w:val="20"/>
        </w:rPr>
        <w:t>Lottie Cunningham Wrem y José Coleman</w:t>
      </w:r>
      <w:r w:rsidR="001C7AF7">
        <w:rPr>
          <w:rFonts w:ascii="Verdana" w:hAnsi="Verdana"/>
          <w:sz w:val="20"/>
        </w:rPr>
        <w:t>.</w:t>
      </w:r>
    </w:p>
    <w:p w14:paraId="43BE3AEF" w14:textId="77777777" w:rsidR="00CD2D3A" w:rsidRPr="002C4CF2" w:rsidRDefault="00CD2D3A" w:rsidP="00CD2D3A">
      <w:pPr>
        <w:pStyle w:val="ListParagraph"/>
        <w:rPr>
          <w:rFonts w:ascii="Verdana" w:hAnsi="Verdana"/>
          <w:spacing w:val="-4"/>
          <w:sz w:val="20"/>
          <w:lang w:val="es-CR"/>
        </w:rPr>
      </w:pPr>
    </w:p>
    <w:p w14:paraId="73E7BFF5" w14:textId="21927525" w:rsidR="00CD2D3A" w:rsidRPr="002C4CF2" w:rsidRDefault="00CD2D3A" w:rsidP="0000645F">
      <w:pPr>
        <w:pStyle w:val="ListParagraph"/>
        <w:numPr>
          <w:ilvl w:val="0"/>
          <w:numId w:val="2"/>
        </w:numPr>
        <w:ind w:left="0" w:right="18" w:firstLine="0"/>
        <w:jc w:val="both"/>
        <w:rPr>
          <w:rFonts w:ascii="Verdana" w:hAnsi="Verdana"/>
          <w:spacing w:val="-4"/>
          <w:sz w:val="20"/>
          <w:lang w:val="es-CR"/>
        </w:rPr>
      </w:pPr>
      <w:r w:rsidRPr="002C4CF2">
        <w:rPr>
          <w:rFonts w:ascii="Verdana" w:hAnsi="Verdana"/>
          <w:spacing w:val="-4"/>
          <w:sz w:val="20"/>
          <w:lang w:val="es-CR"/>
        </w:rPr>
        <w:t xml:space="preserve">La nota de </w:t>
      </w:r>
      <w:r w:rsidR="00B31A28">
        <w:rPr>
          <w:rFonts w:ascii="Verdana" w:hAnsi="Verdana"/>
          <w:spacing w:val="-4"/>
          <w:sz w:val="20"/>
          <w:lang w:val="es-CR"/>
        </w:rPr>
        <w:t>S</w:t>
      </w:r>
      <w:r w:rsidRPr="002C4CF2">
        <w:rPr>
          <w:rFonts w:ascii="Verdana" w:hAnsi="Verdana"/>
          <w:spacing w:val="-4"/>
          <w:sz w:val="20"/>
          <w:lang w:val="es-CR"/>
        </w:rPr>
        <w:t xml:space="preserve">ecretaría de 10 de agosto de 2018, mediante la cual se </w:t>
      </w:r>
      <w:r w:rsidR="005B03F9">
        <w:rPr>
          <w:rFonts w:ascii="Verdana" w:hAnsi="Verdana"/>
          <w:spacing w:val="-4"/>
          <w:sz w:val="20"/>
          <w:lang w:val="es-CR"/>
        </w:rPr>
        <w:t>requirió</w:t>
      </w:r>
      <w:r w:rsidRPr="002C4CF2">
        <w:rPr>
          <w:rFonts w:ascii="Verdana" w:hAnsi="Verdana"/>
          <w:spacing w:val="-4"/>
          <w:sz w:val="20"/>
          <w:lang w:val="es-CR"/>
        </w:rPr>
        <w:t xml:space="preserve"> al Estado remitir a más tardar el 16 de agosto de 2018 sus observaciones a la solicitud de ampliación de medidas provisionales. Al respecto, el Estad</w:t>
      </w:r>
      <w:r w:rsidR="002C4CF2" w:rsidRPr="002C4CF2">
        <w:rPr>
          <w:rFonts w:ascii="Verdana" w:hAnsi="Verdana"/>
          <w:spacing w:val="-4"/>
          <w:sz w:val="20"/>
          <w:lang w:val="es-CR"/>
        </w:rPr>
        <w:t>o no remitió sus observaciones</w:t>
      </w:r>
      <w:r w:rsidR="001C7AF7">
        <w:rPr>
          <w:rFonts w:ascii="Verdana" w:hAnsi="Verdana"/>
          <w:spacing w:val="-4"/>
          <w:sz w:val="20"/>
          <w:lang w:val="es-CR"/>
        </w:rPr>
        <w:t>.</w:t>
      </w:r>
      <w:r w:rsidR="002C4CF2">
        <w:rPr>
          <w:rFonts w:ascii="Verdana" w:hAnsi="Verdana"/>
          <w:spacing w:val="-4"/>
          <w:sz w:val="20"/>
          <w:lang w:val="es-CR"/>
        </w:rPr>
        <w:t xml:space="preserve"> </w:t>
      </w:r>
    </w:p>
    <w:p w14:paraId="696D4BE6" w14:textId="77777777" w:rsidR="005E7DFD" w:rsidRPr="002C4CF2" w:rsidRDefault="005E7DFD" w:rsidP="0000645F">
      <w:pPr>
        <w:spacing w:after="0" w:line="240" w:lineRule="auto"/>
        <w:ind w:right="18"/>
        <w:jc w:val="both"/>
        <w:rPr>
          <w:rFonts w:ascii="Verdana" w:hAnsi="Verdana"/>
          <w:spacing w:val="-4"/>
          <w:sz w:val="20"/>
          <w:lang w:val="es-CR"/>
        </w:rPr>
      </w:pPr>
    </w:p>
    <w:p w14:paraId="79A0185A" w14:textId="77777777" w:rsidR="00B75B22" w:rsidRPr="008818D3" w:rsidRDefault="00B75B22" w:rsidP="0000645F">
      <w:pPr>
        <w:tabs>
          <w:tab w:val="left" w:pos="567"/>
        </w:tabs>
        <w:spacing w:after="0" w:line="240" w:lineRule="auto"/>
        <w:jc w:val="both"/>
        <w:rPr>
          <w:rFonts w:ascii="Verdana" w:hAnsi="Verdana"/>
          <w:b/>
          <w:spacing w:val="-4"/>
          <w:sz w:val="20"/>
          <w:szCs w:val="20"/>
          <w:lang w:val="es-MX"/>
        </w:rPr>
      </w:pPr>
      <w:r w:rsidRPr="008818D3">
        <w:rPr>
          <w:rFonts w:ascii="Verdana" w:hAnsi="Verdana"/>
          <w:b/>
          <w:spacing w:val="-4"/>
          <w:sz w:val="20"/>
          <w:szCs w:val="20"/>
          <w:lang w:val="es-MX"/>
        </w:rPr>
        <w:t xml:space="preserve">CONSIDERANDO QUE: </w:t>
      </w:r>
    </w:p>
    <w:p w14:paraId="0DD33520" w14:textId="77777777" w:rsidR="00B75B22" w:rsidRPr="00095453" w:rsidRDefault="00B75B22" w:rsidP="00B75B22">
      <w:pPr>
        <w:tabs>
          <w:tab w:val="left" w:pos="567"/>
        </w:tabs>
        <w:spacing w:after="0" w:line="240" w:lineRule="auto"/>
        <w:jc w:val="both"/>
        <w:rPr>
          <w:rFonts w:ascii="Verdana" w:hAnsi="Verdana"/>
          <w:b/>
          <w:spacing w:val="-4"/>
          <w:sz w:val="20"/>
          <w:szCs w:val="20"/>
          <w:lang w:val="es-MX"/>
        </w:rPr>
      </w:pPr>
    </w:p>
    <w:p w14:paraId="473460BB" w14:textId="77777777" w:rsidR="0035553A" w:rsidRPr="008818D3" w:rsidRDefault="0035553A" w:rsidP="000717DC">
      <w:pPr>
        <w:pStyle w:val="Prrafodelista1"/>
        <w:numPr>
          <w:ilvl w:val="0"/>
          <w:numId w:val="3"/>
        </w:numPr>
        <w:tabs>
          <w:tab w:val="clear" w:pos="1068"/>
          <w:tab w:val="left" w:pos="720"/>
        </w:tabs>
        <w:ind w:left="0" w:firstLine="0"/>
        <w:jc w:val="both"/>
        <w:rPr>
          <w:sz w:val="20"/>
          <w:szCs w:val="20"/>
        </w:rPr>
      </w:pPr>
      <w:r w:rsidRPr="00967598">
        <w:rPr>
          <w:sz w:val="20"/>
          <w:szCs w:val="20"/>
        </w:rPr>
        <w:t xml:space="preserve">Nicaragua ratificó la Convención Americana sobre Derechos Humanos (en adelante también “la Convención Americana” o “la Convención”) el 25 de septiembre de 1979 y, de acuerdo </w:t>
      </w:r>
      <w:r w:rsidRPr="000C401F">
        <w:rPr>
          <w:sz w:val="20"/>
          <w:szCs w:val="20"/>
        </w:rPr>
        <w:t>con su artículo 62, reconoció la competencia contenciosa de la Corte el 12 de febrero de 1991.</w:t>
      </w:r>
    </w:p>
    <w:p w14:paraId="3F6FC026" w14:textId="77777777" w:rsidR="0035553A" w:rsidRPr="008818D3" w:rsidRDefault="0035553A" w:rsidP="00D95D81">
      <w:pPr>
        <w:pStyle w:val="Prrafodelista1"/>
        <w:tabs>
          <w:tab w:val="num" w:pos="360"/>
        </w:tabs>
        <w:ind w:left="360"/>
        <w:jc w:val="both"/>
        <w:rPr>
          <w:sz w:val="20"/>
          <w:szCs w:val="20"/>
        </w:rPr>
      </w:pPr>
    </w:p>
    <w:p w14:paraId="3D2B3FF5" w14:textId="0DF3F85D" w:rsidR="0035553A" w:rsidRPr="008818D3" w:rsidRDefault="0035553A" w:rsidP="007C2355">
      <w:pPr>
        <w:pStyle w:val="Prrafodelista1"/>
        <w:numPr>
          <w:ilvl w:val="0"/>
          <w:numId w:val="3"/>
        </w:numPr>
        <w:tabs>
          <w:tab w:val="clear" w:pos="1068"/>
          <w:tab w:val="left" w:pos="720"/>
        </w:tabs>
        <w:ind w:left="0" w:firstLine="0"/>
        <w:jc w:val="both"/>
        <w:rPr>
          <w:sz w:val="20"/>
          <w:szCs w:val="20"/>
        </w:rPr>
      </w:pPr>
      <w:r w:rsidRPr="008818D3">
        <w:rPr>
          <w:sz w:val="20"/>
          <w:szCs w:val="20"/>
        </w:rPr>
        <w:t xml:space="preserve">El artículo 63.2 de la Convención establece que </w:t>
      </w:r>
      <w:r w:rsidR="007C2355" w:rsidRPr="008818D3">
        <w:rPr>
          <w:sz w:val="20"/>
          <w:szCs w:val="20"/>
        </w:rPr>
        <w:t>“[</w:t>
      </w:r>
      <w:r w:rsidRPr="008818D3">
        <w:rPr>
          <w:sz w:val="20"/>
          <w:szCs w:val="20"/>
        </w:rPr>
        <w:t>e]n casos de extrema gravedad y urgencia, y cuando se haga necesario evitar daños irreparables a las personas</w:t>
      </w:r>
      <w:r w:rsidR="007C2355" w:rsidRPr="008818D3">
        <w:rPr>
          <w:sz w:val="20"/>
          <w:szCs w:val="20"/>
        </w:rPr>
        <w:t xml:space="preserve">”, </w:t>
      </w:r>
      <w:r w:rsidRPr="008818D3">
        <w:rPr>
          <w:sz w:val="20"/>
          <w:szCs w:val="20"/>
        </w:rPr>
        <w:t>la Corte podrá tomar, a solicitud de la Comisión, las medidas provisionales que considere pertinentes en los asuntos que aún no estén sometidos a su conocimiento. Asimismo, el artículo 27.2 del Reglamento de la Corte señala que: “</w:t>
      </w:r>
      <w:r w:rsidR="00632144" w:rsidRPr="008818D3">
        <w:rPr>
          <w:sz w:val="20"/>
          <w:szCs w:val="20"/>
        </w:rPr>
        <w:t>[s]</w:t>
      </w:r>
      <w:r w:rsidRPr="008818D3">
        <w:rPr>
          <w:sz w:val="20"/>
          <w:szCs w:val="20"/>
        </w:rPr>
        <w:t>i se tratare de asuntos aún no sometidos a su conocimiento, la Corte podrá actuar a solicitud de la Comisión”.</w:t>
      </w:r>
    </w:p>
    <w:p w14:paraId="1A9A4323" w14:textId="77777777" w:rsidR="0035553A" w:rsidRDefault="0035553A" w:rsidP="00003D0B">
      <w:pPr>
        <w:pStyle w:val="Prrafodelista1"/>
        <w:tabs>
          <w:tab w:val="left" w:pos="720"/>
        </w:tabs>
        <w:jc w:val="both"/>
        <w:rPr>
          <w:sz w:val="20"/>
          <w:szCs w:val="20"/>
        </w:rPr>
      </w:pPr>
    </w:p>
    <w:p w14:paraId="553FD0F5" w14:textId="7DD4599F" w:rsidR="00003D0B" w:rsidRDefault="00003D0B" w:rsidP="00003D0B">
      <w:pPr>
        <w:pStyle w:val="Prrafodelista1"/>
        <w:numPr>
          <w:ilvl w:val="0"/>
          <w:numId w:val="3"/>
        </w:numPr>
        <w:tabs>
          <w:tab w:val="clear" w:pos="1068"/>
          <w:tab w:val="left" w:pos="720"/>
        </w:tabs>
        <w:ind w:left="0" w:firstLine="0"/>
        <w:jc w:val="both"/>
        <w:rPr>
          <w:sz w:val="20"/>
          <w:szCs w:val="20"/>
        </w:rPr>
      </w:pPr>
      <w:r w:rsidRPr="00003D0B">
        <w:rPr>
          <w:sz w:val="20"/>
          <w:szCs w:val="20"/>
        </w:rPr>
        <w:t xml:space="preserve">En el Derecho Internacional de los Derechos Humanos las medidas provisionales tienen un carácter no sólo cautelar, en el sentido de que preservan una situación jurídica, sino fundamentalmente tutelar, por cuanto protegen derechos humanos, en tanto que buscan evitar daños irreparables a las personas. Éstas se aplican siempre y cuando se reúnan los requisitos básicos de extrema gravedad y urgencia y de la prevención de daños irreparables a las personas. De esta manera, las medidas provisionales se transforman en una verdadera garantía jurisdiccional de carácter preventivo. </w:t>
      </w:r>
    </w:p>
    <w:p w14:paraId="10EDAF81" w14:textId="77777777" w:rsidR="002A2853" w:rsidRDefault="002A2853" w:rsidP="002C4CF2">
      <w:pPr>
        <w:pStyle w:val="Prrafodelista1"/>
        <w:tabs>
          <w:tab w:val="left" w:pos="720"/>
        </w:tabs>
        <w:jc w:val="both"/>
        <w:rPr>
          <w:sz w:val="20"/>
          <w:szCs w:val="20"/>
        </w:rPr>
      </w:pPr>
    </w:p>
    <w:p w14:paraId="047FFEA6" w14:textId="7B54FED2" w:rsidR="007E404F" w:rsidRPr="00CD2D3A" w:rsidRDefault="000178DC" w:rsidP="007E404F">
      <w:pPr>
        <w:pStyle w:val="Prrafodelista1"/>
        <w:numPr>
          <w:ilvl w:val="0"/>
          <w:numId w:val="3"/>
        </w:numPr>
        <w:tabs>
          <w:tab w:val="clear" w:pos="1068"/>
          <w:tab w:val="left" w:pos="720"/>
        </w:tabs>
        <w:ind w:left="0" w:firstLine="0"/>
        <w:jc w:val="both"/>
        <w:rPr>
          <w:sz w:val="20"/>
          <w:szCs w:val="20"/>
        </w:rPr>
      </w:pPr>
      <w:r w:rsidRPr="00CD2D3A">
        <w:rPr>
          <w:rFonts w:cs="Verdana"/>
          <w:bCs/>
          <w:color w:val="000000"/>
          <w:sz w:val="20"/>
          <w:szCs w:val="20"/>
          <w:lang w:val="es-ES_tradnl"/>
        </w:rPr>
        <w:t xml:space="preserve">En vista de la </w:t>
      </w:r>
      <w:r w:rsidRPr="002C4CF2">
        <w:rPr>
          <w:rFonts w:cs="Verdana"/>
          <w:bCs/>
          <w:color w:val="000000"/>
          <w:sz w:val="20"/>
          <w:szCs w:val="20"/>
          <w:lang w:val="es-ES_tradnl"/>
        </w:rPr>
        <w:t>información remitida</w:t>
      </w:r>
      <w:r w:rsidR="004E3598" w:rsidRPr="002C4CF2">
        <w:rPr>
          <w:rFonts w:cs="Verdana"/>
          <w:bCs/>
          <w:color w:val="000000"/>
          <w:sz w:val="20"/>
          <w:szCs w:val="20"/>
          <w:lang w:val="es-ES_tradnl"/>
        </w:rPr>
        <w:t xml:space="preserve"> por </w:t>
      </w:r>
      <w:r w:rsidR="000732B9" w:rsidRPr="002C4CF2">
        <w:rPr>
          <w:rFonts w:cs="Verdana"/>
          <w:bCs/>
          <w:color w:val="000000"/>
          <w:sz w:val="20"/>
          <w:szCs w:val="20"/>
          <w:lang w:val="es-ES_tradnl"/>
        </w:rPr>
        <w:t>la Comisión</w:t>
      </w:r>
      <w:r w:rsidR="004E3598" w:rsidRPr="002C4CF2">
        <w:rPr>
          <w:rFonts w:cs="Verdana"/>
          <w:bCs/>
          <w:color w:val="000000"/>
          <w:sz w:val="20"/>
          <w:szCs w:val="20"/>
          <w:lang w:val="es-ES_tradnl"/>
        </w:rPr>
        <w:t>, a continuación</w:t>
      </w:r>
      <w:r w:rsidRPr="002C4CF2">
        <w:rPr>
          <w:rFonts w:cs="Verdana"/>
          <w:bCs/>
          <w:color w:val="000000"/>
          <w:sz w:val="20"/>
          <w:szCs w:val="20"/>
          <w:lang w:val="es-ES_tradnl"/>
        </w:rPr>
        <w:t xml:space="preserve"> l</w:t>
      </w:r>
      <w:r w:rsidR="00A433D3" w:rsidRPr="002C4CF2">
        <w:rPr>
          <w:rFonts w:cs="Verdana"/>
          <w:bCs/>
          <w:color w:val="000000"/>
          <w:sz w:val="20"/>
          <w:szCs w:val="20"/>
          <w:lang w:val="es-ES_tradnl"/>
        </w:rPr>
        <w:t>a Corte se pronunciará sobre la</w:t>
      </w:r>
      <w:r w:rsidRPr="002C4CF2">
        <w:rPr>
          <w:rFonts w:cs="Verdana"/>
          <w:bCs/>
          <w:color w:val="000000"/>
          <w:sz w:val="20"/>
          <w:szCs w:val="20"/>
          <w:lang w:val="es-ES_tradnl"/>
        </w:rPr>
        <w:t xml:space="preserve"> </w:t>
      </w:r>
      <w:r w:rsidR="007162FA" w:rsidRPr="002C4CF2">
        <w:rPr>
          <w:sz w:val="20"/>
          <w:szCs w:val="20"/>
        </w:rPr>
        <w:t>solicitud de ampliación de medidas provisionales para los defensores Lottie Cunning</w:t>
      </w:r>
      <w:r w:rsidR="001C7AF7">
        <w:rPr>
          <w:sz w:val="20"/>
          <w:szCs w:val="20"/>
        </w:rPr>
        <w:t>ham Wrem y José Medrana Coleman.</w:t>
      </w:r>
      <w:r w:rsidR="007162FA" w:rsidRPr="002C4CF2">
        <w:rPr>
          <w:sz w:val="20"/>
          <w:szCs w:val="20"/>
        </w:rPr>
        <w:t xml:space="preserve"> </w:t>
      </w:r>
    </w:p>
    <w:p w14:paraId="0F1A3E3F" w14:textId="77777777" w:rsidR="00A433D3" w:rsidRDefault="00A433D3" w:rsidP="00A433D3">
      <w:pPr>
        <w:pStyle w:val="ListParagraph"/>
        <w:rPr>
          <w:sz w:val="20"/>
        </w:rPr>
      </w:pPr>
    </w:p>
    <w:p w14:paraId="5F242121" w14:textId="64DF24E7" w:rsidR="00B75B22" w:rsidRPr="008818D3" w:rsidRDefault="008416DA" w:rsidP="00850BE8">
      <w:pPr>
        <w:pStyle w:val="Prrafodelista1"/>
        <w:numPr>
          <w:ilvl w:val="0"/>
          <w:numId w:val="11"/>
        </w:numPr>
        <w:jc w:val="both"/>
        <w:rPr>
          <w:b/>
          <w:i/>
          <w:sz w:val="20"/>
          <w:szCs w:val="20"/>
        </w:rPr>
      </w:pPr>
      <w:r w:rsidRPr="008818D3">
        <w:rPr>
          <w:b/>
          <w:i/>
          <w:sz w:val="20"/>
          <w:szCs w:val="20"/>
        </w:rPr>
        <w:t xml:space="preserve">Solicitud </w:t>
      </w:r>
      <w:r w:rsidR="00850BE8">
        <w:rPr>
          <w:b/>
          <w:i/>
          <w:sz w:val="20"/>
          <w:szCs w:val="20"/>
        </w:rPr>
        <w:t>de ampliación de medidas provisionales</w:t>
      </w:r>
    </w:p>
    <w:p w14:paraId="17AD8E95" w14:textId="77777777" w:rsidR="00B75B22" w:rsidRPr="008818D3" w:rsidRDefault="00B75B22" w:rsidP="00B75B22">
      <w:pPr>
        <w:pStyle w:val="Default"/>
        <w:ind w:left="360"/>
        <w:jc w:val="both"/>
        <w:rPr>
          <w:sz w:val="20"/>
          <w:szCs w:val="20"/>
          <w:lang w:val="es-ES"/>
        </w:rPr>
      </w:pPr>
    </w:p>
    <w:p w14:paraId="0607E530" w14:textId="18566FC0" w:rsidR="005B03F9" w:rsidRDefault="00483F10" w:rsidP="00CB4120">
      <w:pPr>
        <w:pStyle w:val="Prrafodelista1"/>
        <w:numPr>
          <w:ilvl w:val="0"/>
          <w:numId w:val="3"/>
        </w:numPr>
        <w:tabs>
          <w:tab w:val="clear" w:pos="1068"/>
          <w:tab w:val="num" w:pos="0"/>
          <w:tab w:val="left" w:pos="720"/>
        </w:tabs>
        <w:ind w:left="0" w:firstLine="0"/>
        <w:jc w:val="both"/>
        <w:rPr>
          <w:spacing w:val="-4"/>
          <w:sz w:val="20"/>
          <w:szCs w:val="20"/>
          <w:lang w:val="es-MX"/>
        </w:rPr>
      </w:pPr>
      <w:r w:rsidRPr="002C4CF2">
        <w:rPr>
          <w:b/>
          <w:i/>
          <w:spacing w:val="-4"/>
          <w:sz w:val="20"/>
          <w:szCs w:val="20"/>
          <w:lang w:val="es-MX"/>
        </w:rPr>
        <w:t>La Comisión</w:t>
      </w:r>
      <w:r w:rsidRPr="00A433D3">
        <w:rPr>
          <w:spacing w:val="-4"/>
          <w:sz w:val="20"/>
          <w:szCs w:val="20"/>
          <w:lang w:val="es-MX"/>
        </w:rPr>
        <w:t xml:space="preserve"> sustenta la solicitud de ampliación en las graves amenazas a la vida y la integridad a través de hostigamientos por declaraciones de una autoridad pública y fotografías amenazantes circuladas en medios digitales y radial incitando a la violencia y la agresión contra los defensores mencionados anteriormente; todo esto, bajo el contexto actual de los conflictos territoriales de la Región de la Costa Caribe y las protestas sociales y la represión vi</w:t>
      </w:r>
      <w:r w:rsidR="001C7AF7">
        <w:rPr>
          <w:spacing w:val="-4"/>
          <w:sz w:val="20"/>
          <w:szCs w:val="20"/>
          <w:lang w:val="es-MX"/>
        </w:rPr>
        <w:t xml:space="preserve">olenta que ocurre en Nicaragua. </w:t>
      </w:r>
      <w:r w:rsidR="005B03F9">
        <w:rPr>
          <w:spacing w:val="-4"/>
          <w:sz w:val="20"/>
          <w:szCs w:val="20"/>
          <w:lang w:val="es-MX"/>
        </w:rPr>
        <w:t>Asimismo, s</w:t>
      </w:r>
      <w:r w:rsidR="007C7FBE">
        <w:rPr>
          <w:spacing w:val="-4"/>
          <w:sz w:val="20"/>
          <w:szCs w:val="20"/>
          <w:lang w:val="es-MX"/>
        </w:rPr>
        <w:t>eñala</w:t>
      </w:r>
      <w:r w:rsidR="005B03F9">
        <w:rPr>
          <w:spacing w:val="-4"/>
          <w:sz w:val="20"/>
          <w:szCs w:val="20"/>
          <w:lang w:val="es-MX"/>
        </w:rPr>
        <w:t>ron</w:t>
      </w:r>
      <w:r w:rsidR="007C7FBE">
        <w:rPr>
          <w:spacing w:val="-4"/>
          <w:sz w:val="20"/>
          <w:szCs w:val="20"/>
          <w:lang w:val="es-MX"/>
        </w:rPr>
        <w:t xml:space="preserve"> un recrudecimiento en las amenazas </w:t>
      </w:r>
      <w:r w:rsidR="005B03F9">
        <w:rPr>
          <w:spacing w:val="-4"/>
          <w:sz w:val="20"/>
          <w:szCs w:val="20"/>
          <w:lang w:val="es-MX"/>
        </w:rPr>
        <w:t>o</w:t>
      </w:r>
      <w:r w:rsidR="007C7FBE">
        <w:rPr>
          <w:spacing w:val="-4"/>
          <w:sz w:val="20"/>
          <w:szCs w:val="20"/>
          <w:lang w:val="es-MX"/>
        </w:rPr>
        <w:t xml:space="preserve"> amedrentamientos contra la defensora Lottie Cunningham y el defensor Jos</w:t>
      </w:r>
      <w:r w:rsidR="00640FD9">
        <w:rPr>
          <w:spacing w:val="-4"/>
          <w:sz w:val="20"/>
          <w:szCs w:val="20"/>
          <w:lang w:val="es-MX"/>
        </w:rPr>
        <w:t xml:space="preserve">é Coleman. </w:t>
      </w:r>
    </w:p>
    <w:p w14:paraId="1B9259B6" w14:textId="77777777" w:rsidR="005B03F9" w:rsidRDefault="005B03F9" w:rsidP="00CB4120">
      <w:pPr>
        <w:pStyle w:val="Prrafodelista1"/>
        <w:tabs>
          <w:tab w:val="left" w:pos="720"/>
        </w:tabs>
        <w:jc w:val="both"/>
        <w:rPr>
          <w:spacing w:val="-4"/>
          <w:sz w:val="20"/>
          <w:szCs w:val="20"/>
          <w:lang w:val="es-MX"/>
        </w:rPr>
      </w:pPr>
    </w:p>
    <w:p w14:paraId="00609D42" w14:textId="4DE244E5" w:rsidR="00640FD9" w:rsidRPr="001C7AF7" w:rsidRDefault="00640FD9" w:rsidP="00DF62E0">
      <w:pPr>
        <w:pStyle w:val="Prrafodelista1"/>
        <w:numPr>
          <w:ilvl w:val="0"/>
          <w:numId w:val="3"/>
        </w:numPr>
        <w:tabs>
          <w:tab w:val="clear" w:pos="1068"/>
          <w:tab w:val="num" w:pos="0"/>
          <w:tab w:val="left" w:pos="720"/>
        </w:tabs>
        <w:ind w:left="0" w:firstLine="0"/>
        <w:jc w:val="both"/>
        <w:rPr>
          <w:spacing w:val="-4"/>
          <w:sz w:val="20"/>
          <w:szCs w:val="20"/>
          <w:lang w:val="es-MX"/>
        </w:rPr>
      </w:pPr>
      <w:r w:rsidRPr="001C7AF7">
        <w:rPr>
          <w:spacing w:val="-4"/>
          <w:sz w:val="20"/>
          <w:szCs w:val="20"/>
          <w:lang w:val="es-MX"/>
        </w:rPr>
        <w:t>En cuanto a hechos relacionados a Lottie Cunningham</w:t>
      </w:r>
      <w:r w:rsidR="001923C8">
        <w:rPr>
          <w:rStyle w:val="FootnoteReference"/>
          <w:spacing w:val="-4"/>
          <w:sz w:val="20"/>
          <w:szCs w:val="20"/>
          <w:lang w:val="es-MX"/>
        </w:rPr>
        <w:footnoteReference w:id="2"/>
      </w:r>
      <w:r w:rsidRPr="001C7AF7">
        <w:rPr>
          <w:spacing w:val="-4"/>
          <w:sz w:val="20"/>
          <w:szCs w:val="20"/>
          <w:lang w:val="es-MX"/>
        </w:rPr>
        <w:t xml:space="preserve"> mencionan los siguientes: </w:t>
      </w:r>
      <w:r w:rsidR="007C7FBE" w:rsidRPr="001C7AF7">
        <w:rPr>
          <w:spacing w:val="-4"/>
          <w:sz w:val="20"/>
          <w:szCs w:val="20"/>
          <w:lang w:val="es-MX"/>
        </w:rPr>
        <w:t xml:space="preserve"> i) manifestación pública de la alcaldesa de Waspam en la que indica que la defensora Cunningham tiene “problemas mentales” y que había utilizado a las comunidades indígenas para enriquecerse; estas declaraciones habrían sido repetidas </w:t>
      </w:r>
      <w:r w:rsidR="00535C6C" w:rsidRPr="001C7AF7">
        <w:rPr>
          <w:spacing w:val="-4"/>
          <w:sz w:val="20"/>
          <w:szCs w:val="20"/>
          <w:lang w:val="es-MX"/>
        </w:rPr>
        <w:t>en una reunión en la comunidad de San Jerónimo en la que la alcaldesa habría indicado a los pobladores</w:t>
      </w:r>
      <w:r w:rsidR="00265004" w:rsidRPr="001C7AF7">
        <w:rPr>
          <w:spacing w:val="-4"/>
          <w:sz w:val="20"/>
          <w:szCs w:val="20"/>
          <w:lang w:val="es-MX"/>
        </w:rPr>
        <w:t xml:space="preserve"> que se mantuvieran alejados de ella dado que solo buscaría enriquecerse con el conflicto;</w:t>
      </w:r>
      <w:r w:rsidR="00EB116A" w:rsidRPr="001C7AF7">
        <w:rPr>
          <w:b/>
          <w:spacing w:val="-4"/>
          <w:sz w:val="20"/>
          <w:szCs w:val="20"/>
          <w:lang w:val="es-MX"/>
        </w:rPr>
        <w:t xml:space="preserve"> </w:t>
      </w:r>
      <w:r w:rsidR="00265004" w:rsidRPr="001C7AF7">
        <w:rPr>
          <w:spacing w:val="-4"/>
          <w:sz w:val="20"/>
          <w:szCs w:val="20"/>
          <w:lang w:val="es-MX"/>
        </w:rPr>
        <w:t xml:space="preserve">ii) el señor Stedman Fagoth, dueño de la emisora “Il Bila”, identificada por CEJUDHCAN como una radio adscrita al </w:t>
      </w:r>
      <w:r w:rsidR="00265004" w:rsidRPr="001C7AF7">
        <w:rPr>
          <w:spacing w:val="-4"/>
          <w:sz w:val="20"/>
          <w:szCs w:val="20"/>
          <w:lang w:val="es-MX"/>
        </w:rPr>
        <w:lastRenderedPageBreak/>
        <w:t>gobierno del Frente Sandinista de Liberación Nacional habría difamado a Lottie Cunningham en varios de sus programas;</w:t>
      </w:r>
      <w:r w:rsidR="00EB116A" w:rsidRPr="001C7AF7">
        <w:rPr>
          <w:b/>
          <w:spacing w:val="-4"/>
          <w:sz w:val="20"/>
          <w:szCs w:val="20"/>
          <w:lang w:val="es-MX"/>
        </w:rPr>
        <w:t xml:space="preserve"> </w:t>
      </w:r>
      <w:r w:rsidR="00265004" w:rsidRPr="001C7AF7">
        <w:rPr>
          <w:spacing w:val="-4"/>
          <w:sz w:val="20"/>
          <w:szCs w:val="20"/>
          <w:lang w:val="es-MX"/>
        </w:rPr>
        <w:t>iii) imágenes circuladas contra Lottie Cunningham a través de las plataformas digitales Facebook y WhatsApp en las que se puede</w:t>
      </w:r>
      <w:r w:rsidR="00DF62E0" w:rsidRPr="001C7AF7">
        <w:rPr>
          <w:spacing w:val="-4"/>
          <w:sz w:val="20"/>
          <w:szCs w:val="20"/>
          <w:lang w:val="es-MX"/>
        </w:rPr>
        <w:t>n</w:t>
      </w:r>
      <w:r w:rsidR="00265004" w:rsidRPr="001C7AF7">
        <w:rPr>
          <w:spacing w:val="-4"/>
          <w:sz w:val="20"/>
          <w:szCs w:val="20"/>
          <w:lang w:val="es-MX"/>
        </w:rPr>
        <w:t xml:space="preserve"> observar </w:t>
      </w:r>
      <w:r w:rsidR="00DF62E0" w:rsidRPr="001C7AF7">
        <w:rPr>
          <w:spacing w:val="-4"/>
          <w:sz w:val="20"/>
          <w:szCs w:val="20"/>
          <w:lang w:val="es-MX"/>
        </w:rPr>
        <w:t xml:space="preserve">mensajes como “esta mujer anda en las comunidades con un millón de dólares pagando a la gente para armar el caos, si la miran quítenle todo el dinero que ande”. </w:t>
      </w:r>
      <w:r w:rsidR="00EB116A" w:rsidRPr="001C7AF7">
        <w:rPr>
          <w:spacing w:val="-4"/>
          <w:sz w:val="20"/>
          <w:szCs w:val="20"/>
          <w:lang w:val="es-MX"/>
        </w:rPr>
        <w:t>Además, dejan en evidencia mensajes compartidos en los que se brinda la ubicación de la casa de la defensora Cunningham, de igual manera de una nueva publicación de Facebook consignando mensajes sobre el dinero de la defensora y que “ésta y su manada de terroris</w:t>
      </w:r>
      <w:r w:rsidR="001C7AF7" w:rsidRPr="001C7AF7">
        <w:rPr>
          <w:spacing w:val="-4"/>
          <w:sz w:val="20"/>
          <w:szCs w:val="20"/>
          <w:lang w:val="es-MX"/>
        </w:rPr>
        <w:t xml:space="preserve">tas” empezarán a hacer alboroto. </w:t>
      </w:r>
      <w:r w:rsidR="00EB116A" w:rsidRPr="001C7AF7">
        <w:rPr>
          <w:spacing w:val="-4"/>
          <w:sz w:val="20"/>
          <w:szCs w:val="20"/>
          <w:lang w:val="es-MX"/>
        </w:rPr>
        <w:t>Por último, informaron sobre la quema de viviendas ale</w:t>
      </w:r>
      <w:r w:rsidRPr="001C7AF7">
        <w:rPr>
          <w:spacing w:val="-4"/>
          <w:sz w:val="20"/>
          <w:szCs w:val="20"/>
          <w:lang w:val="es-MX"/>
        </w:rPr>
        <w:t xml:space="preserve">dañas a la de Lottie Cunningham, en lo que califican como amedrentamiento. </w:t>
      </w:r>
    </w:p>
    <w:p w14:paraId="4CEE4230" w14:textId="77777777" w:rsidR="001C7AF7" w:rsidRPr="001C7AF7" w:rsidRDefault="001C7AF7" w:rsidP="001C7AF7">
      <w:pPr>
        <w:pStyle w:val="Prrafodelista1"/>
        <w:tabs>
          <w:tab w:val="left" w:pos="720"/>
        </w:tabs>
        <w:jc w:val="both"/>
        <w:rPr>
          <w:spacing w:val="-4"/>
          <w:sz w:val="20"/>
          <w:szCs w:val="20"/>
          <w:lang w:val="es-MX"/>
        </w:rPr>
      </w:pPr>
    </w:p>
    <w:p w14:paraId="3AFD3FCF" w14:textId="5DCACE3B" w:rsidR="00640FD9" w:rsidRPr="00BC19C5" w:rsidRDefault="005B03F9" w:rsidP="00640FD9">
      <w:pPr>
        <w:pStyle w:val="Prrafodelista1"/>
        <w:numPr>
          <w:ilvl w:val="0"/>
          <w:numId w:val="3"/>
        </w:numPr>
        <w:tabs>
          <w:tab w:val="clear" w:pos="1068"/>
          <w:tab w:val="num" w:pos="0"/>
          <w:tab w:val="left" w:pos="720"/>
        </w:tabs>
        <w:ind w:left="0" w:firstLine="0"/>
        <w:jc w:val="both"/>
        <w:rPr>
          <w:spacing w:val="-4"/>
          <w:sz w:val="20"/>
          <w:szCs w:val="20"/>
          <w:lang w:val="es-MX"/>
        </w:rPr>
      </w:pPr>
      <w:r>
        <w:rPr>
          <w:spacing w:val="-4"/>
          <w:sz w:val="20"/>
          <w:szCs w:val="20"/>
          <w:lang w:val="es-MX"/>
        </w:rPr>
        <w:t xml:space="preserve">Respecto de </w:t>
      </w:r>
      <w:r w:rsidR="00640FD9">
        <w:rPr>
          <w:spacing w:val="-4"/>
          <w:sz w:val="20"/>
          <w:szCs w:val="20"/>
          <w:lang w:val="es-MX"/>
        </w:rPr>
        <w:t>José Coleman</w:t>
      </w:r>
      <w:r w:rsidR="00FC51A6">
        <w:rPr>
          <w:rStyle w:val="FootnoteReference"/>
          <w:spacing w:val="-4"/>
          <w:sz w:val="20"/>
          <w:szCs w:val="20"/>
          <w:lang w:val="es-MX"/>
        </w:rPr>
        <w:footnoteReference w:id="3"/>
      </w:r>
      <w:r w:rsidR="00640FD9">
        <w:rPr>
          <w:spacing w:val="-4"/>
          <w:sz w:val="20"/>
          <w:szCs w:val="20"/>
          <w:lang w:val="es-MX"/>
        </w:rPr>
        <w:t xml:space="preserve">, </w:t>
      </w:r>
      <w:r w:rsidR="00640FD9" w:rsidRPr="002C4CF2">
        <w:rPr>
          <w:spacing w:val="-4"/>
          <w:sz w:val="20"/>
          <w:szCs w:val="20"/>
          <w:lang w:val="es-MX"/>
        </w:rPr>
        <w:t>la Comisión</w:t>
      </w:r>
      <w:r w:rsidR="00640FD9" w:rsidRPr="00640FD9">
        <w:rPr>
          <w:b/>
          <w:spacing w:val="-4"/>
          <w:sz w:val="20"/>
          <w:szCs w:val="20"/>
          <w:lang w:val="es-MX"/>
        </w:rPr>
        <w:t xml:space="preserve"> </w:t>
      </w:r>
      <w:r w:rsidR="00640FD9">
        <w:rPr>
          <w:spacing w:val="-4"/>
          <w:sz w:val="20"/>
          <w:szCs w:val="20"/>
          <w:lang w:val="es-MX"/>
        </w:rPr>
        <w:t>señal</w:t>
      </w:r>
      <w:r>
        <w:rPr>
          <w:spacing w:val="-4"/>
          <w:sz w:val="20"/>
          <w:szCs w:val="20"/>
          <w:lang w:val="es-MX"/>
        </w:rPr>
        <w:t>ó</w:t>
      </w:r>
      <w:r w:rsidR="00640FD9">
        <w:rPr>
          <w:spacing w:val="-4"/>
          <w:sz w:val="20"/>
          <w:szCs w:val="20"/>
          <w:lang w:val="es-MX"/>
        </w:rPr>
        <w:t xml:space="preserve"> los siguientes hechos: i) habría sido amenazado a través de una publicación difundida en la que se le califica como “escoria” que “promueve el san[ea]miento de sangre en la comunidad mis[k]itas” y al final indica “muerte</w:t>
      </w:r>
      <w:r w:rsidR="001C7AF7">
        <w:rPr>
          <w:spacing w:val="-4"/>
          <w:sz w:val="20"/>
          <w:szCs w:val="20"/>
          <w:lang w:val="es-MX"/>
        </w:rPr>
        <w:t xml:space="preserve"> a los enemigos del desarrollo”; </w:t>
      </w:r>
      <w:r w:rsidR="00640FD9">
        <w:rPr>
          <w:spacing w:val="-4"/>
          <w:sz w:val="20"/>
          <w:szCs w:val="20"/>
          <w:lang w:val="es-MX"/>
        </w:rPr>
        <w:t xml:space="preserve">ii) </w:t>
      </w:r>
      <w:r w:rsidR="00BC19C5">
        <w:rPr>
          <w:spacing w:val="-4"/>
          <w:sz w:val="20"/>
          <w:szCs w:val="20"/>
          <w:lang w:val="es-MX"/>
        </w:rPr>
        <w:t xml:space="preserve">desde el mismo perfil de la publicación anterior, fue publicada una fotografía de José Coleman la cual, de acuerdo con los representantes, habría sido tomada sin </w:t>
      </w:r>
      <w:r>
        <w:rPr>
          <w:spacing w:val="-4"/>
          <w:sz w:val="20"/>
          <w:szCs w:val="20"/>
          <w:lang w:val="es-MX"/>
        </w:rPr>
        <w:t>su</w:t>
      </w:r>
      <w:r w:rsidR="00BC19C5">
        <w:rPr>
          <w:spacing w:val="-4"/>
          <w:sz w:val="20"/>
          <w:szCs w:val="20"/>
          <w:lang w:val="es-MX"/>
        </w:rPr>
        <w:t xml:space="preserve"> consentimiento cuando salía de su domicilio. Por último, de acuerdo con lo denunciado ante la Comisión, el perfil del cual estas publicaciones fueron difundidas, sería de alguien que es parte del gobierno. </w:t>
      </w:r>
    </w:p>
    <w:p w14:paraId="66EE424D" w14:textId="77777777" w:rsidR="00BC19C5" w:rsidRPr="00BC19C5" w:rsidRDefault="00BC19C5" w:rsidP="00BC19C5">
      <w:pPr>
        <w:pStyle w:val="Prrafodelista1"/>
        <w:tabs>
          <w:tab w:val="left" w:pos="720"/>
        </w:tabs>
        <w:jc w:val="both"/>
        <w:rPr>
          <w:spacing w:val="-4"/>
          <w:sz w:val="20"/>
          <w:szCs w:val="20"/>
          <w:lang w:val="es-MX"/>
        </w:rPr>
      </w:pPr>
    </w:p>
    <w:p w14:paraId="4D71821D" w14:textId="4FF3F523" w:rsidR="00AB6838" w:rsidRPr="00EB116A" w:rsidRDefault="00987B0F" w:rsidP="0000645F">
      <w:pPr>
        <w:pStyle w:val="Prrafodelista1"/>
        <w:numPr>
          <w:ilvl w:val="0"/>
          <w:numId w:val="3"/>
        </w:numPr>
        <w:tabs>
          <w:tab w:val="clear" w:pos="1068"/>
          <w:tab w:val="num" w:pos="0"/>
          <w:tab w:val="left" w:pos="720"/>
        </w:tabs>
        <w:ind w:left="0" w:firstLine="0"/>
        <w:jc w:val="both"/>
        <w:rPr>
          <w:spacing w:val="-4"/>
          <w:sz w:val="20"/>
          <w:szCs w:val="20"/>
          <w:lang w:val="es-MX"/>
        </w:rPr>
      </w:pPr>
      <w:r>
        <w:rPr>
          <w:spacing w:val="-4"/>
          <w:sz w:val="20"/>
          <w:szCs w:val="20"/>
          <w:lang w:val="es-MX"/>
        </w:rPr>
        <w:t>E</w:t>
      </w:r>
      <w:r w:rsidRPr="00F36DD1">
        <w:rPr>
          <w:spacing w:val="-4"/>
          <w:sz w:val="20"/>
          <w:szCs w:val="20"/>
          <w:lang w:val="es-MX"/>
        </w:rPr>
        <w:t xml:space="preserve">l </w:t>
      </w:r>
      <w:r w:rsidRPr="00F36DD1">
        <w:rPr>
          <w:b/>
          <w:i/>
          <w:spacing w:val="-4"/>
          <w:sz w:val="20"/>
          <w:szCs w:val="20"/>
          <w:lang w:val="es-MX"/>
        </w:rPr>
        <w:t>Estado</w:t>
      </w:r>
      <w:r w:rsidRPr="00F36DD1">
        <w:rPr>
          <w:spacing w:val="-4"/>
          <w:sz w:val="20"/>
          <w:szCs w:val="20"/>
          <w:lang w:val="es-MX"/>
        </w:rPr>
        <w:t xml:space="preserve"> no remitió observaciones ante esta Corte</w:t>
      </w:r>
      <w:r>
        <w:rPr>
          <w:spacing w:val="-4"/>
          <w:sz w:val="20"/>
          <w:szCs w:val="20"/>
          <w:lang w:val="es-MX"/>
        </w:rPr>
        <w:t xml:space="preserve"> (</w:t>
      </w:r>
      <w:r w:rsidRPr="00CB4120">
        <w:rPr>
          <w:i/>
          <w:spacing w:val="-4"/>
          <w:sz w:val="20"/>
          <w:szCs w:val="20"/>
          <w:lang w:val="es-MX"/>
        </w:rPr>
        <w:t>supra</w:t>
      </w:r>
      <w:r>
        <w:rPr>
          <w:spacing w:val="-4"/>
          <w:sz w:val="20"/>
          <w:szCs w:val="20"/>
          <w:lang w:val="es-MX"/>
        </w:rPr>
        <w:t xml:space="preserve"> Visto </w:t>
      </w:r>
      <w:r w:rsidR="0083384A">
        <w:rPr>
          <w:spacing w:val="-4"/>
          <w:sz w:val="20"/>
          <w:szCs w:val="20"/>
          <w:lang w:val="es-MX"/>
        </w:rPr>
        <w:t>5</w:t>
      </w:r>
      <w:r>
        <w:rPr>
          <w:spacing w:val="-4"/>
          <w:sz w:val="20"/>
          <w:szCs w:val="20"/>
          <w:lang w:val="es-MX"/>
        </w:rPr>
        <w:t xml:space="preserve">). No obstante, </w:t>
      </w:r>
      <w:r w:rsidR="00BC19C5">
        <w:rPr>
          <w:spacing w:val="-4"/>
          <w:sz w:val="20"/>
          <w:szCs w:val="20"/>
          <w:lang w:val="es-MX"/>
        </w:rPr>
        <w:t xml:space="preserve">ante la solicitud de observaciones </w:t>
      </w:r>
      <w:r w:rsidR="002A2853">
        <w:rPr>
          <w:spacing w:val="-4"/>
          <w:sz w:val="20"/>
          <w:szCs w:val="20"/>
          <w:lang w:val="es-MX"/>
        </w:rPr>
        <w:t xml:space="preserve">realizada por la Comisión </w:t>
      </w:r>
      <w:r w:rsidR="00BC19C5">
        <w:rPr>
          <w:spacing w:val="-4"/>
          <w:sz w:val="20"/>
          <w:szCs w:val="20"/>
          <w:lang w:val="es-MX"/>
        </w:rPr>
        <w:t xml:space="preserve">sobre los alegatos de los </w:t>
      </w:r>
      <w:r w:rsidR="002A2853">
        <w:rPr>
          <w:spacing w:val="-4"/>
          <w:sz w:val="20"/>
          <w:szCs w:val="20"/>
          <w:lang w:val="es-MX"/>
        </w:rPr>
        <w:t>r</w:t>
      </w:r>
      <w:r w:rsidR="00BC19C5">
        <w:rPr>
          <w:spacing w:val="-4"/>
          <w:sz w:val="20"/>
          <w:szCs w:val="20"/>
          <w:lang w:val="es-MX"/>
        </w:rPr>
        <w:t>epresentantes</w:t>
      </w:r>
      <w:r>
        <w:rPr>
          <w:spacing w:val="-4"/>
          <w:sz w:val="20"/>
          <w:szCs w:val="20"/>
          <w:lang w:val="es-MX"/>
        </w:rPr>
        <w:t xml:space="preserve"> (16 de junio de 2018)</w:t>
      </w:r>
      <w:r w:rsidR="00BC19C5">
        <w:rPr>
          <w:spacing w:val="-4"/>
          <w:sz w:val="20"/>
          <w:szCs w:val="20"/>
          <w:lang w:val="es-MX"/>
        </w:rPr>
        <w:t xml:space="preserve">, </w:t>
      </w:r>
      <w:r>
        <w:rPr>
          <w:spacing w:val="-4"/>
          <w:sz w:val="20"/>
          <w:szCs w:val="20"/>
          <w:lang w:val="es-MX"/>
        </w:rPr>
        <w:t xml:space="preserve">el Estado </w:t>
      </w:r>
      <w:r w:rsidR="00BC19C5" w:rsidRPr="001923C8">
        <w:rPr>
          <w:spacing w:val="-4"/>
          <w:sz w:val="20"/>
          <w:szCs w:val="20"/>
          <w:lang w:val="es-MX"/>
        </w:rPr>
        <w:t>indicó que había retomado de oficio</w:t>
      </w:r>
      <w:r w:rsidR="005B03F9">
        <w:rPr>
          <w:spacing w:val="-4"/>
          <w:sz w:val="20"/>
          <w:szCs w:val="20"/>
          <w:lang w:val="es-MX"/>
        </w:rPr>
        <w:t xml:space="preserve"> el seguimiento de</w:t>
      </w:r>
      <w:r w:rsidR="00BC19C5" w:rsidRPr="001923C8">
        <w:rPr>
          <w:spacing w:val="-4"/>
          <w:sz w:val="20"/>
          <w:szCs w:val="20"/>
          <w:lang w:val="es-MX"/>
        </w:rPr>
        <w:t xml:space="preserve"> los hechos denunciados ante la Comisión por lo que consider</w:t>
      </w:r>
      <w:r w:rsidR="005B03F9">
        <w:rPr>
          <w:spacing w:val="-4"/>
          <w:sz w:val="20"/>
          <w:szCs w:val="20"/>
          <w:lang w:val="es-MX"/>
        </w:rPr>
        <w:t>ó</w:t>
      </w:r>
      <w:r w:rsidR="00BC19C5" w:rsidRPr="001923C8">
        <w:rPr>
          <w:spacing w:val="-4"/>
          <w:sz w:val="20"/>
          <w:szCs w:val="20"/>
          <w:lang w:val="es-MX"/>
        </w:rPr>
        <w:t xml:space="preserve"> que no procede la solicitud de Medidas Provisionales</w:t>
      </w:r>
      <w:r w:rsidR="001C7AF7">
        <w:rPr>
          <w:spacing w:val="-4"/>
          <w:sz w:val="20"/>
          <w:szCs w:val="20"/>
          <w:lang w:val="es-MX"/>
        </w:rPr>
        <w:t xml:space="preserve">. </w:t>
      </w:r>
      <w:r w:rsidR="00BC19C5" w:rsidRPr="001923C8">
        <w:rPr>
          <w:spacing w:val="-4"/>
          <w:sz w:val="20"/>
          <w:szCs w:val="20"/>
          <w:lang w:val="es-MX"/>
        </w:rPr>
        <w:t>En el mismo sentido,</w:t>
      </w:r>
      <w:r w:rsidR="00BC19C5">
        <w:rPr>
          <w:spacing w:val="-4"/>
          <w:sz w:val="20"/>
          <w:szCs w:val="20"/>
          <w:lang w:val="es-MX"/>
        </w:rPr>
        <w:t xml:space="preserve"> el Estado indicó que la señora Cunningham ejerce libremente todos sus derechos y se moviliza en todo el territorio </w:t>
      </w:r>
      <w:r w:rsidR="00AB6838">
        <w:rPr>
          <w:spacing w:val="-4"/>
          <w:sz w:val="20"/>
          <w:szCs w:val="20"/>
          <w:lang w:val="es-MX"/>
        </w:rPr>
        <w:t>nacional, sin que hasta la fecha se haya producido ningún hecho concreto que en la práctica pusiera en riesgo su vida. Además, el Estado consign</w:t>
      </w:r>
      <w:r w:rsidR="002A2853">
        <w:rPr>
          <w:spacing w:val="-4"/>
          <w:sz w:val="20"/>
          <w:szCs w:val="20"/>
          <w:lang w:val="es-MX"/>
        </w:rPr>
        <w:t>ó</w:t>
      </w:r>
      <w:r w:rsidR="00AB6838">
        <w:rPr>
          <w:spacing w:val="-4"/>
          <w:sz w:val="20"/>
          <w:szCs w:val="20"/>
          <w:lang w:val="es-MX"/>
        </w:rPr>
        <w:t xml:space="preserve"> que la señora Cunningham presentó una denuncia por las publicaciones en redes sociales pero en dicha denuncia no se incluyeron “los presuntos hechos que relacionan l</w:t>
      </w:r>
      <w:r w:rsidR="001C7AF7">
        <w:rPr>
          <w:spacing w:val="-4"/>
          <w:sz w:val="20"/>
          <w:szCs w:val="20"/>
          <w:lang w:val="es-MX"/>
        </w:rPr>
        <w:t xml:space="preserve">os peticionarios”. </w:t>
      </w:r>
      <w:r w:rsidR="00AB6838">
        <w:rPr>
          <w:spacing w:val="-4"/>
          <w:sz w:val="20"/>
          <w:szCs w:val="20"/>
          <w:lang w:val="es-MX"/>
        </w:rPr>
        <w:t xml:space="preserve">En relación con José Coleman, </w:t>
      </w:r>
      <w:r w:rsidR="00AB6838" w:rsidRPr="002C4CF2">
        <w:rPr>
          <w:spacing w:val="-4"/>
          <w:sz w:val="20"/>
          <w:szCs w:val="20"/>
          <w:lang w:val="es-MX"/>
        </w:rPr>
        <w:t>el Estado</w:t>
      </w:r>
      <w:r w:rsidR="00AB6838">
        <w:rPr>
          <w:spacing w:val="-4"/>
          <w:sz w:val="20"/>
          <w:szCs w:val="20"/>
          <w:lang w:val="es-MX"/>
        </w:rPr>
        <w:t xml:space="preserve"> indicó no tener conocimiento de que era beneficiario de medidas cautelares otorgadas por la Comisión y que su caso debía ser tratado en otro proceso distinto. Agregó, además, que los hechos descritos no han </w:t>
      </w:r>
      <w:r w:rsidR="0083384A">
        <w:rPr>
          <w:spacing w:val="-4"/>
          <w:sz w:val="20"/>
          <w:szCs w:val="20"/>
          <w:lang w:val="es-MX"/>
        </w:rPr>
        <w:t xml:space="preserve">sido </w:t>
      </w:r>
      <w:r w:rsidR="00AB6838">
        <w:rPr>
          <w:spacing w:val="-4"/>
          <w:sz w:val="20"/>
          <w:szCs w:val="20"/>
          <w:lang w:val="es-MX"/>
        </w:rPr>
        <w:t xml:space="preserve">denunciados ante autoridad competente. </w:t>
      </w:r>
      <w:r>
        <w:rPr>
          <w:spacing w:val="-4"/>
          <w:sz w:val="20"/>
          <w:szCs w:val="20"/>
          <w:lang w:val="es-MX"/>
        </w:rPr>
        <w:t xml:space="preserve">Informó que desde febrero de 2018, adoptó de forma indefinida el “Protocolo de actuación de la Policía Nacional - </w:t>
      </w:r>
      <w:r w:rsidR="005B03F9">
        <w:rPr>
          <w:spacing w:val="-4"/>
          <w:sz w:val="20"/>
          <w:szCs w:val="20"/>
          <w:lang w:val="es-MX"/>
        </w:rPr>
        <w:t>M</w:t>
      </w:r>
      <w:r>
        <w:rPr>
          <w:spacing w:val="-4"/>
          <w:sz w:val="20"/>
          <w:szCs w:val="20"/>
          <w:lang w:val="es-MX"/>
        </w:rPr>
        <w:t>edidas especiales de protección y seguridad a activistas de derechos humanos”</w:t>
      </w:r>
      <w:r w:rsidR="001923C8">
        <w:rPr>
          <w:spacing w:val="-4"/>
          <w:sz w:val="20"/>
          <w:szCs w:val="20"/>
          <w:lang w:val="es-MX"/>
        </w:rPr>
        <w:t xml:space="preserve">. </w:t>
      </w:r>
    </w:p>
    <w:p w14:paraId="50D3A3A2" w14:textId="77777777" w:rsidR="00BC19C5" w:rsidRPr="00BC19C5" w:rsidRDefault="00BC19C5" w:rsidP="0000645F">
      <w:pPr>
        <w:spacing w:after="0" w:line="240" w:lineRule="auto"/>
        <w:rPr>
          <w:rFonts w:ascii="Verdana" w:eastAsia="MS Mincho" w:hAnsi="Verdana"/>
          <w:sz w:val="20"/>
          <w:lang w:val="es-CR"/>
        </w:rPr>
      </w:pPr>
    </w:p>
    <w:p w14:paraId="78ADF8A3" w14:textId="7DB6DA51" w:rsidR="008416DA" w:rsidRPr="007C7FBE" w:rsidRDefault="008416DA" w:rsidP="0000645F">
      <w:pPr>
        <w:spacing w:after="0" w:line="240" w:lineRule="auto"/>
        <w:rPr>
          <w:rFonts w:ascii="Verdana" w:eastAsia="MS Mincho" w:hAnsi="Verdana"/>
          <w:b/>
          <w:i/>
          <w:sz w:val="20"/>
          <w:lang w:val="es-CR"/>
        </w:rPr>
      </w:pPr>
      <w:r w:rsidRPr="007C7FBE">
        <w:rPr>
          <w:rFonts w:ascii="Verdana" w:eastAsia="MS Mincho" w:hAnsi="Verdana"/>
          <w:b/>
          <w:i/>
          <w:sz w:val="20"/>
          <w:lang w:val="es-CR"/>
        </w:rPr>
        <w:t>Consideraciones de la Corte</w:t>
      </w:r>
    </w:p>
    <w:p w14:paraId="637199EF" w14:textId="77777777" w:rsidR="000732B9" w:rsidRPr="000732B9" w:rsidRDefault="000732B9" w:rsidP="0000645F">
      <w:pPr>
        <w:pStyle w:val="Prrafodelista1"/>
        <w:tabs>
          <w:tab w:val="left" w:pos="720"/>
        </w:tabs>
        <w:jc w:val="both"/>
        <w:rPr>
          <w:sz w:val="20"/>
          <w:szCs w:val="20"/>
        </w:rPr>
      </w:pPr>
    </w:p>
    <w:p w14:paraId="43A18AB6" w14:textId="104FAB8B" w:rsidR="00CD2D3A" w:rsidRDefault="00CD2D3A" w:rsidP="00CD2D3A">
      <w:pPr>
        <w:pStyle w:val="Prrafodelista1"/>
        <w:numPr>
          <w:ilvl w:val="0"/>
          <w:numId w:val="3"/>
        </w:numPr>
        <w:tabs>
          <w:tab w:val="clear" w:pos="1068"/>
          <w:tab w:val="left" w:pos="720"/>
        </w:tabs>
        <w:ind w:left="0" w:firstLine="0"/>
        <w:jc w:val="both"/>
        <w:rPr>
          <w:sz w:val="20"/>
        </w:rPr>
      </w:pPr>
      <w:r>
        <w:rPr>
          <w:sz w:val="20"/>
        </w:rPr>
        <w:t xml:space="preserve">La Corte recuerda que en el presente asunto se han adoptado medidas </w:t>
      </w:r>
      <w:r w:rsidR="002A2853">
        <w:rPr>
          <w:sz w:val="20"/>
        </w:rPr>
        <w:t xml:space="preserve">provisionales </w:t>
      </w:r>
      <w:r>
        <w:rPr>
          <w:sz w:val="20"/>
        </w:rPr>
        <w:t xml:space="preserve">respecto de </w:t>
      </w:r>
      <w:r w:rsidR="005B03F9">
        <w:rPr>
          <w:sz w:val="20"/>
        </w:rPr>
        <w:t xml:space="preserve">los miembros de </w:t>
      </w:r>
      <w:r>
        <w:rPr>
          <w:sz w:val="20"/>
        </w:rPr>
        <w:t xml:space="preserve">siete comunidades </w:t>
      </w:r>
      <w:r w:rsidRPr="008818D3">
        <w:rPr>
          <w:rFonts w:eastAsia="Times"/>
          <w:sz w:val="20"/>
          <w:szCs w:val="20"/>
          <w:lang w:val="es-ES_tradnl"/>
        </w:rPr>
        <w:t xml:space="preserve">indígena </w:t>
      </w:r>
      <w:r w:rsidRPr="008818D3">
        <w:rPr>
          <w:rFonts w:eastAsia="Times"/>
          <w:i/>
          <w:sz w:val="20"/>
          <w:szCs w:val="20"/>
          <w:lang w:val="es-ES_tradnl"/>
        </w:rPr>
        <w:t>Miskitu</w:t>
      </w:r>
      <w:r>
        <w:rPr>
          <w:rFonts w:eastAsia="Times"/>
          <w:i/>
          <w:sz w:val="20"/>
          <w:szCs w:val="20"/>
          <w:lang w:val="es-ES_tradnl"/>
        </w:rPr>
        <w:t xml:space="preserve"> </w:t>
      </w:r>
      <w:r>
        <w:rPr>
          <w:rFonts w:eastAsia="Times"/>
          <w:sz w:val="20"/>
          <w:szCs w:val="20"/>
          <w:lang w:val="es-ES_tradnl"/>
        </w:rPr>
        <w:t xml:space="preserve">de la zona. Asimismo, mediantes sus diversas Resoluciones </w:t>
      </w:r>
      <w:r w:rsidR="002C4CF2">
        <w:rPr>
          <w:rFonts w:eastAsia="Times"/>
          <w:sz w:val="20"/>
          <w:szCs w:val="20"/>
          <w:lang w:val="es-ES_tradnl"/>
        </w:rPr>
        <w:t>(</w:t>
      </w:r>
      <w:r w:rsidR="002C4CF2" w:rsidRPr="000E6C67">
        <w:rPr>
          <w:rFonts w:eastAsia="Times"/>
          <w:i/>
          <w:sz w:val="20"/>
          <w:szCs w:val="20"/>
          <w:lang w:val="es-ES_tradnl"/>
        </w:rPr>
        <w:t>supra</w:t>
      </w:r>
      <w:r w:rsidR="002C4CF2">
        <w:rPr>
          <w:rFonts w:eastAsia="Times"/>
          <w:sz w:val="20"/>
          <w:szCs w:val="20"/>
          <w:lang w:val="es-ES_tradnl"/>
        </w:rPr>
        <w:t xml:space="preserve"> Vistos 1 y 2), </w:t>
      </w:r>
      <w:r>
        <w:rPr>
          <w:rFonts w:eastAsia="Times"/>
          <w:sz w:val="20"/>
          <w:szCs w:val="20"/>
          <w:lang w:val="es-ES_tradnl"/>
        </w:rPr>
        <w:t>la Corte ha verificado el recrudecimiento de la situación de riesgo que se presenta en tales comunidades</w:t>
      </w:r>
      <w:r w:rsidR="00AC69CD">
        <w:rPr>
          <w:rFonts w:eastAsia="Times"/>
          <w:sz w:val="20"/>
          <w:szCs w:val="20"/>
          <w:lang w:val="es-ES_tradnl"/>
        </w:rPr>
        <w:t xml:space="preserve"> con motivo del proceso de saneamiento territorial</w:t>
      </w:r>
      <w:r>
        <w:rPr>
          <w:rFonts w:eastAsia="Times"/>
          <w:sz w:val="20"/>
          <w:szCs w:val="20"/>
          <w:lang w:val="es-ES_tradnl"/>
        </w:rPr>
        <w:t xml:space="preserve">.  </w:t>
      </w:r>
    </w:p>
    <w:p w14:paraId="04FC6153" w14:textId="77777777" w:rsidR="00B7305C" w:rsidRPr="002C4CF2" w:rsidRDefault="00B7305C" w:rsidP="0038509A">
      <w:pPr>
        <w:pStyle w:val="Prrafodelista1"/>
        <w:jc w:val="both"/>
        <w:rPr>
          <w:sz w:val="20"/>
          <w:szCs w:val="20"/>
        </w:rPr>
      </w:pPr>
    </w:p>
    <w:p w14:paraId="17D61329" w14:textId="3D9DEA8D" w:rsidR="00B7305C" w:rsidRPr="002C4CF2" w:rsidRDefault="00FF4D55" w:rsidP="00B7305C">
      <w:pPr>
        <w:pStyle w:val="Prrafodelista1"/>
        <w:numPr>
          <w:ilvl w:val="0"/>
          <w:numId w:val="3"/>
        </w:numPr>
        <w:tabs>
          <w:tab w:val="clear" w:pos="1068"/>
          <w:tab w:val="left" w:pos="720"/>
        </w:tabs>
        <w:ind w:left="0" w:firstLine="0"/>
        <w:jc w:val="both"/>
        <w:rPr>
          <w:sz w:val="20"/>
          <w:szCs w:val="20"/>
        </w:rPr>
      </w:pPr>
      <w:r w:rsidRPr="002C4CF2">
        <w:rPr>
          <w:sz w:val="20"/>
          <w:szCs w:val="20"/>
        </w:rPr>
        <w:t>Primeramente, l</w:t>
      </w:r>
      <w:r w:rsidR="00B7305C" w:rsidRPr="002C4CF2">
        <w:rPr>
          <w:sz w:val="20"/>
          <w:szCs w:val="20"/>
        </w:rPr>
        <w:t xml:space="preserve">a Corte nota que mediante Resolución </w:t>
      </w:r>
      <w:r w:rsidR="005B03F9">
        <w:rPr>
          <w:sz w:val="20"/>
          <w:szCs w:val="20"/>
        </w:rPr>
        <w:t xml:space="preserve">de Medidas Cautelares </w:t>
      </w:r>
      <w:r w:rsidR="00B7305C" w:rsidRPr="002C4CF2">
        <w:rPr>
          <w:sz w:val="20"/>
          <w:szCs w:val="20"/>
        </w:rPr>
        <w:t>16/2017</w:t>
      </w:r>
      <w:r w:rsidR="002A2853">
        <w:rPr>
          <w:sz w:val="20"/>
          <w:szCs w:val="20"/>
        </w:rPr>
        <w:t>, de 11 de ju</w:t>
      </w:r>
      <w:r w:rsidR="0093502F">
        <w:rPr>
          <w:sz w:val="20"/>
          <w:szCs w:val="20"/>
        </w:rPr>
        <w:t>n</w:t>
      </w:r>
      <w:r w:rsidR="002A2853">
        <w:rPr>
          <w:sz w:val="20"/>
          <w:szCs w:val="20"/>
        </w:rPr>
        <w:t>io de 2017,</w:t>
      </w:r>
      <w:r w:rsidR="00B7305C" w:rsidRPr="002C4CF2">
        <w:rPr>
          <w:sz w:val="20"/>
          <w:szCs w:val="20"/>
        </w:rPr>
        <w:t xml:space="preserve"> la Comisión </w:t>
      </w:r>
      <w:r w:rsidR="002C4CF2">
        <w:rPr>
          <w:sz w:val="20"/>
          <w:szCs w:val="20"/>
        </w:rPr>
        <w:t xml:space="preserve">Interamericana </w:t>
      </w:r>
      <w:r w:rsidR="00B7305C" w:rsidRPr="002C4CF2">
        <w:rPr>
          <w:sz w:val="20"/>
          <w:szCs w:val="20"/>
        </w:rPr>
        <w:t>amplió sus medidas relativas al pueblo Miskitu a favor de la señora Lottie Cunningham, al considerar que existían amenaza en su contra difundidas en redes sociales</w:t>
      </w:r>
      <w:r w:rsidR="001C7AF7">
        <w:rPr>
          <w:b/>
          <w:sz w:val="20"/>
          <w:szCs w:val="20"/>
        </w:rPr>
        <w:t>.</w:t>
      </w:r>
      <w:r w:rsidR="00B7305C" w:rsidRPr="002C4CF2">
        <w:rPr>
          <w:sz w:val="20"/>
          <w:szCs w:val="20"/>
        </w:rPr>
        <w:t xml:space="preserve"> También se hizo referencia a otras amenazas en perjuicio de miembros de</w:t>
      </w:r>
      <w:r w:rsidR="0093502F">
        <w:rPr>
          <w:sz w:val="20"/>
          <w:szCs w:val="20"/>
        </w:rPr>
        <w:t>l</w:t>
      </w:r>
      <w:r w:rsidR="00B7305C" w:rsidRPr="002C4CF2">
        <w:rPr>
          <w:sz w:val="20"/>
          <w:szCs w:val="20"/>
        </w:rPr>
        <w:t xml:space="preserve"> CEJUDHCAN. Por su parte, mediante Resolución de Medidas Cautelares No. 44/20</w:t>
      </w:r>
      <w:r w:rsidR="0093502F">
        <w:rPr>
          <w:sz w:val="20"/>
          <w:szCs w:val="20"/>
        </w:rPr>
        <w:t>1</w:t>
      </w:r>
      <w:r w:rsidR="00B7305C" w:rsidRPr="002C4CF2">
        <w:rPr>
          <w:sz w:val="20"/>
          <w:szCs w:val="20"/>
        </w:rPr>
        <w:t xml:space="preserve">6 – de 8 de agosto de 2016, la Comisión amplió sus medidas </w:t>
      </w:r>
      <w:r w:rsidR="00B7305C" w:rsidRPr="002C4CF2">
        <w:rPr>
          <w:sz w:val="20"/>
          <w:szCs w:val="20"/>
        </w:rPr>
        <w:lastRenderedPageBreak/>
        <w:t>a favor de miembros de</w:t>
      </w:r>
      <w:r w:rsidR="0083384A">
        <w:rPr>
          <w:sz w:val="20"/>
          <w:szCs w:val="20"/>
        </w:rPr>
        <w:t>l</w:t>
      </w:r>
      <w:r w:rsidR="00B7305C" w:rsidRPr="002C4CF2">
        <w:rPr>
          <w:sz w:val="20"/>
          <w:szCs w:val="20"/>
        </w:rPr>
        <w:t xml:space="preserve"> CEJUDHCAN, entre ellos, respecto del señor</w:t>
      </w:r>
      <w:r w:rsidR="001C7AF7">
        <w:rPr>
          <w:sz w:val="20"/>
          <w:szCs w:val="20"/>
        </w:rPr>
        <w:t xml:space="preserve"> José Medrana Coleman Alejandro</w:t>
      </w:r>
      <w:r w:rsidR="00B7305C" w:rsidRPr="002C4CF2">
        <w:rPr>
          <w:sz w:val="20"/>
          <w:szCs w:val="20"/>
        </w:rPr>
        <w:t xml:space="preserve">, con motivo de situaciones de amedrentamiento que estarían enfrentando derivado de los conflictos territoriales </w:t>
      </w:r>
      <w:r w:rsidR="001C7AF7">
        <w:rPr>
          <w:sz w:val="20"/>
          <w:szCs w:val="20"/>
        </w:rPr>
        <w:t xml:space="preserve">indígenas. </w:t>
      </w:r>
      <w:r w:rsidR="00B7305C" w:rsidRPr="002C4CF2">
        <w:rPr>
          <w:sz w:val="20"/>
          <w:szCs w:val="20"/>
        </w:rPr>
        <w:t xml:space="preserve"> </w:t>
      </w:r>
    </w:p>
    <w:p w14:paraId="45874AD6" w14:textId="77777777" w:rsidR="00FF4D55" w:rsidRPr="002C4CF2" w:rsidRDefault="00FF4D55" w:rsidP="002C4CF2">
      <w:pPr>
        <w:pStyle w:val="Prrafodelista1"/>
        <w:tabs>
          <w:tab w:val="left" w:pos="720"/>
        </w:tabs>
        <w:jc w:val="both"/>
        <w:rPr>
          <w:sz w:val="20"/>
          <w:szCs w:val="20"/>
        </w:rPr>
      </w:pPr>
    </w:p>
    <w:p w14:paraId="0DE170CC" w14:textId="131A70DD" w:rsidR="00FF4D55" w:rsidRPr="002C4CF2" w:rsidRDefault="00FF4D55" w:rsidP="00B7305C">
      <w:pPr>
        <w:pStyle w:val="Prrafodelista1"/>
        <w:numPr>
          <w:ilvl w:val="0"/>
          <w:numId w:val="3"/>
        </w:numPr>
        <w:tabs>
          <w:tab w:val="clear" w:pos="1068"/>
          <w:tab w:val="left" w:pos="720"/>
        </w:tabs>
        <w:ind w:left="0" w:firstLine="0"/>
        <w:jc w:val="both"/>
        <w:rPr>
          <w:sz w:val="20"/>
          <w:szCs w:val="20"/>
        </w:rPr>
      </w:pPr>
      <w:r w:rsidRPr="002C4CF2">
        <w:rPr>
          <w:sz w:val="20"/>
          <w:szCs w:val="20"/>
        </w:rPr>
        <w:t xml:space="preserve">Respecto de la situación de extrema gravedad y urgencia, </w:t>
      </w:r>
      <w:r w:rsidR="002C4CF2">
        <w:rPr>
          <w:sz w:val="20"/>
          <w:szCs w:val="20"/>
        </w:rPr>
        <w:t xml:space="preserve">a la luz de los elementos </w:t>
      </w:r>
      <w:r w:rsidR="005B03F9">
        <w:rPr>
          <w:sz w:val="20"/>
          <w:szCs w:val="20"/>
        </w:rPr>
        <w:t xml:space="preserve">de prueba remitidos al </w:t>
      </w:r>
      <w:r w:rsidR="002C4CF2">
        <w:rPr>
          <w:sz w:val="20"/>
          <w:szCs w:val="20"/>
        </w:rPr>
        <w:t xml:space="preserve">Tribunal, </w:t>
      </w:r>
      <w:r w:rsidRPr="002C4CF2">
        <w:rPr>
          <w:sz w:val="20"/>
          <w:szCs w:val="20"/>
        </w:rPr>
        <w:t xml:space="preserve">la Corte </w:t>
      </w:r>
      <w:r w:rsidR="002C4CF2">
        <w:rPr>
          <w:sz w:val="20"/>
          <w:szCs w:val="20"/>
        </w:rPr>
        <w:t>estima</w:t>
      </w:r>
      <w:r w:rsidR="002C4CF2" w:rsidRPr="002C4CF2">
        <w:rPr>
          <w:sz w:val="20"/>
          <w:szCs w:val="20"/>
        </w:rPr>
        <w:t xml:space="preserve"> </w:t>
      </w:r>
      <w:r w:rsidRPr="002C4CF2">
        <w:rPr>
          <w:sz w:val="20"/>
          <w:szCs w:val="20"/>
        </w:rPr>
        <w:t xml:space="preserve">que las </w:t>
      </w:r>
      <w:r w:rsidR="00971F01" w:rsidRPr="002C4CF2">
        <w:rPr>
          <w:sz w:val="20"/>
          <w:szCs w:val="20"/>
        </w:rPr>
        <w:t xml:space="preserve">publicaciones amedrentadoras en redes sociales y las alegadas </w:t>
      </w:r>
      <w:r w:rsidRPr="002C4CF2">
        <w:rPr>
          <w:sz w:val="20"/>
          <w:szCs w:val="20"/>
        </w:rPr>
        <w:t>declaraciones públicas por parte de funcionarios de gobierno llamando a desacreditar el trabajo de los defensores, puede poner en una situación de grave r</w:t>
      </w:r>
      <w:r w:rsidR="00971F01" w:rsidRPr="002C4CF2">
        <w:rPr>
          <w:sz w:val="20"/>
          <w:szCs w:val="20"/>
        </w:rPr>
        <w:t>iesgo a éstos</w:t>
      </w:r>
      <w:r w:rsidR="00AC69CD" w:rsidRPr="002C4CF2">
        <w:rPr>
          <w:sz w:val="20"/>
          <w:szCs w:val="20"/>
        </w:rPr>
        <w:t xml:space="preserve">, </w:t>
      </w:r>
      <w:r w:rsidR="00971F01" w:rsidRPr="002C4CF2">
        <w:rPr>
          <w:sz w:val="20"/>
          <w:szCs w:val="20"/>
        </w:rPr>
        <w:t xml:space="preserve">particularmente respecto de su vida o integridad personal. Lo anterior aunado al contexto de riesgo </w:t>
      </w:r>
      <w:r w:rsidR="00AC69CD" w:rsidRPr="002C4CF2">
        <w:rPr>
          <w:sz w:val="20"/>
          <w:szCs w:val="20"/>
        </w:rPr>
        <w:t>que se ha presentado en el proceso de saneamiento de las comunidades indígenas. Por lo que esta Corte encuentra acreditada la situación de riesgo en perjuicio</w:t>
      </w:r>
      <w:r w:rsidR="005B03F9">
        <w:rPr>
          <w:sz w:val="20"/>
          <w:szCs w:val="20"/>
        </w:rPr>
        <w:t xml:space="preserve"> de los solicitantes</w:t>
      </w:r>
      <w:r w:rsidR="00AC69CD" w:rsidRPr="002C4CF2">
        <w:rPr>
          <w:sz w:val="20"/>
          <w:szCs w:val="20"/>
        </w:rPr>
        <w:t xml:space="preserve">. </w:t>
      </w:r>
    </w:p>
    <w:p w14:paraId="26C7E5FD" w14:textId="77777777" w:rsidR="00B7305C" w:rsidRPr="0083384A" w:rsidRDefault="00B7305C" w:rsidP="0038509A">
      <w:pPr>
        <w:pStyle w:val="Prrafodelista1"/>
        <w:jc w:val="both"/>
        <w:rPr>
          <w:sz w:val="20"/>
          <w:szCs w:val="20"/>
        </w:rPr>
      </w:pPr>
    </w:p>
    <w:p w14:paraId="075FB548" w14:textId="78689CA8" w:rsidR="00971F01" w:rsidRPr="006C21E0" w:rsidRDefault="00971F01" w:rsidP="002C4CF2">
      <w:pPr>
        <w:pStyle w:val="Prrafodelista1"/>
        <w:numPr>
          <w:ilvl w:val="0"/>
          <w:numId w:val="3"/>
        </w:numPr>
        <w:tabs>
          <w:tab w:val="clear" w:pos="1068"/>
          <w:tab w:val="left" w:pos="720"/>
        </w:tabs>
        <w:ind w:left="0" w:firstLine="0"/>
        <w:jc w:val="both"/>
        <w:rPr>
          <w:rFonts w:eastAsia="Times"/>
          <w:sz w:val="20"/>
          <w:szCs w:val="20"/>
          <w:lang w:val="es-ES_tradnl"/>
        </w:rPr>
      </w:pPr>
      <w:r w:rsidRPr="006C21E0">
        <w:rPr>
          <w:rFonts w:eastAsia="Times"/>
          <w:sz w:val="20"/>
          <w:szCs w:val="20"/>
          <w:lang w:val="es-ES_tradnl"/>
        </w:rPr>
        <w:t xml:space="preserve">Al respecto, la Corte </w:t>
      </w:r>
      <w:r w:rsidR="0083384A" w:rsidRPr="006C21E0">
        <w:rPr>
          <w:rFonts w:eastAsia="Times"/>
          <w:sz w:val="20"/>
          <w:szCs w:val="20"/>
          <w:lang w:val="es-ES_tradnl"/>
        </w:rPr>
        <w:t xml:space="preserve">recuerda que en una sociedad democrática los </w:t>
      </w:r>
      <w:r w:rsidRPr="006C21E0">
        <w:rPr>
          <w:rFonts w:eastAsia="Times"/>
          <w:sz w:val="20"/>
          <w:szCs w:val="20"/>
          <w:lang w:val="es-ES_tradnl"/>
        </w:rPr>
        <w:t>funcionarios públicos tienen una posición de garante de los derechos fundamentales de las personas y, por tanto, sus declaraciones no pueden desconocer éstos</w:t>
      </w:r>
      <w:r w:rsidRPr="006C21E0">
        <w:rPr>
          <w:rFonts w:eastAsia="Times"/>
          <w:sz w:val="20"/>
          <w:szCs w:val="20"/>
          <w:vertAlign w:val="superscript"/>
          <w:lang w:val="es-ES_tradnl"/>
        </w:rPr>
        <w:footnoteReference w:id="4"/>
      </w:r>
      <w:r w:rsidRPr="006C21E0">
        <w:rPr>
          <w:rFonts w:eastAsia="Times"/>
          <w:sz w:val="20"/>
          <w:szCs w:val="20"/>
          <w:lang w:val="es-ES_tradnl"/>
        </w:rPr>
        <w:t xml:space="preserve"> ni constituirse en formas de injerencia directa o indirecta e</w:t>
      </w:r>
      <w:r w:rsidR="0083384A">
        <w:rPr>
          <w:rFonts w:eastAsia="Times"/>
          <w:sz w:val="20"/>
          <w:szCs w:val="20"/>
          <w:lang w:val="es-ES_tradnl"/>
        </w:rPr>
        <w:t xml:space="preserve">n </w:t>
      </w:r>
      <w:r w:rsidRPr="006C21E0">
        <w:rPr>
          <w:rFonts w:eastAsia="Times"/>
          <w:sz w:val="20"/>
          <w:szCs w:val="20"/>
          <w:lang w:val="es-ES_tradnl"/>
        </w:rPr>
        <w:t xml:space="preserve">quienes pretenden contribuir </w:t>
      </w:r>
      <w:r w:rsidR="0083384A" w:rsidRPr="006C21E0">
        <w:rPr>
          <w:rFonts w:eastAsia="Times"/>
          <w:sz w:val="20"/>
          <w:szCs w:val="20"/>
          <w:lang w:val="es-ES_tradnl"/>
        </w:rPr>
        <w:t xml:space="preserve">en la defensa de derechos humanos. </w:t>
      </w:r>
      <w:r w:rsidRPr="006C21E0">
        <w:rPr>
          <w:rFonts w:eastAsia="Times"/>
          <w:sz w:val="20"/>
          <w:szCs w:val="20"/>
          <w:lang w:val="es-ES_tradnl"/>
        </w:rPr>
        <w:t>Este deber de especial cuidado se ve particularmente acentuado en situaciones de mayor conflictividad social</w:t>
      </w:r>
      <w:r w:rsidR="0083384A" w:rsidRPr="006C21E0">
        <w:rPr>
          <w:rFonts w:eastAsia="Times"/>
          <w:sz w:val="20"/>
          <w:szCs w:val="20"/>
          <w:lang w:val="es-ES_tradnl"/>
        </w:rPr>
        <w:t xml:space="preserve">, </w:t>
      </w:r>
      <w:r w:rsidRPr="006C21E0">
        <w:rPr>
          <w:rFonts w:eastAsia="Times"/>
          <w:sz w:val="20"/>
          <w:szCs w:val="20"/>
          <w:lang w:val="es-ES_tradnl"/>
        </w:rPr>
        <w:t>o polarización social o política, precisamente por el conjunto de riesgos que pueden implicar para determinadas personas o grupos en un momento dado</w:t>
      </w:r>
      <w:r w:rsidRPr="006C21E0">
        <w:rPr>
          <w:rStyle w:val="FootnoteReference"/>
          <w:rFonts w:eastAsia="Times"/>
          <w:sz w:val="20"/>
          <w:szCs w:val="20"/>
          <w:lang w:val="es-ES_tradnl"/>
        </w:rPr>
        <w:footnoteReference w:id="5"/>
      </w:r>
      <w:r w:rsidR="0083384A">
        <w:rPr>
          <w:rFonts w:eastAsia="Times"/>
          <w:sz w:val="20"/>
          <w:szCs w:val="20"/>
          <w:lang w:val="es-ES_tradnl"/>
        </w:rPr>
        <w:t xml:space="preserve">. Por </w:t>
      </w:r>
      <w:r w:rsidR="005B03F9">
        <w:rPr>
          <w:rFonts w:eastAsia="Times"/>
          <w:sz w:val="20"/>
          <w:szCs w:val="20"/>
          <w:lang w:val="es-ES_tradnl"/>
        </w:rPr>
        <w:t>tanto,</w:t>
      </w:r>
      <w:r w:rsidR="0083384A">
        <w:rPr>
          <w:rFonts w:eastAsia="Times"/>
          <w:sz w:val="20"/>
          <w:szCs w:val="20"/>
          <w:lang w:val="es-ES_tradnl"/>
        </w:rPr>
        <w:t xml:space="preserve"> no sólo compete a las autoridades </w:t>
      </w:r>
      <w:r w:rsidR="00176162">
        <w:rPr>
          <w:rFonts w:eastAsia="Times"/>
          <w:sz w:val="20"/>
          <w:szCs w:val="20"/>
          <w:lang w:val="es-ES_tradnl"/>
        </w:rPr>
        <w:t xml:space="preserve">estatales </w:t>
      </w:r>
      <w:r w:rsidR="0083384A">
        <w:rPr>
          <w:rFonts w:eastAsia="Times"/>
          <w:sz w:val="20"/>
          <w:szCs w:val="20"/>
          <w:lang w:val="es-ES_tradnl"/>
        </w:rPr>
        <w:t xml:space="preserve">respetar tales derechos sino también garantizarlos, inclusive frente a terceros. </w:t>
      </w:r>
    </w:p>
    <w:p w14:paraId="61DF043E" w14:textId="77777777" w:rsidR="00AC69CD" w:rsidRDefault="00AC69CD" w:rsidP="0038509A">
      <w:pPr>
        <w:pStyle w:val="Prrafodelista1"/>
        <w:jc w:val="both"/>
        <w:rPr>
          <w:sz w:val="20"/>
          <w:szCs w:val="20"/>
          <w:highlight w:val="yellow"/>
          <w:lang w:val="es-ES_tradnl"/>
        </w:rPr>
      </w:pPr>
    </w:p>
    <w:p w14:paraId="1CC91381" w14:textId="5BBFE6CA" w:rsidR="00AC69CD" w:rsidRDefault="00AC69CD" w:rsidP="00AC69CD">
      <w:pPr>
        <w:pStyle w:val="Prrafodelista1"/>
        <w:numPr>
          <w:ilvl w:val="0"/>
          <w:numId w:val="3"/>
        </w:numPr>
        <w:tabs>
          <w:tab w:val="clear" w:pos="1068"/>
          <w:tab w:val="left" w:pos="720"/>
        </w:tabs>
        <w:ind w:left="0" w:firstLine="0"/>
        <w:jc w:val="both"/>
        <w:rPr>
          <w:sz w:val="20"/>
          <w:szCs w:val="20"/>
        </w:rPr>
      </w:pPr>
      <w:r>
        <w:rPr>
          <w:sz w:val="20"/>
          <w:szCs w:val="20"/>
        </w:rPr>
        <w:t xml:space="preserve">Por otra parte, la </w:t>
      </w:r>
      <w:r w:rsidRPr="008818D3">
        <w:rPr>
          <w:sz w:val="20"/>
          <w:szCs w:val="20"/>
        </w:rPr>
        <w:t>Corte ha considerado como un criterio para otorgar la ampliación de medidas provisionales que los hechos alegados en la solicitud tengan una conexión fáctica con los eventos que justificaron la adopción de medidas provisionales</w:t>
      </w:r>
      <w:r w:rsidRPr="008818D3">
        <w:rPr>
          <w:rStyle w:val="FootnoteReference"/>
        </w:rPr>
        <w:footnoteReference w:id="6"/>
      </w:r>
      <w:r w:rsidRPr="008818D3">
        <w:rPr>
          <w:sz w:val="20"/>
          <w:szCs w:val="20"/>
        </w:rPr>
        <w:t xml:space="preserve">. Además, ha señalado que si bien es cierto </w:t>
      </w:r>
      <w:r>
        <w:rPr>
          <w:sz w:val="20"/>
          <w:szCs w:val="20"/>
        </w:rPr>
        <w:t xml:space="preserve">que </w:t>
      </w:r>
      <w:r w:rsidRPr="008818D3">
        <w:rPr>
          <w:sz w:val="20"/>
          <w:szCs w:val="20"/>
        </w:rPr>
        <w:t xml:space="preserve">los hechos que motivan una solicitud de medidas provisionales o ampliación de las mismas no requieren estar plenamente comprobados, sí se requiere un mínimo de detalle e información que permitan al Tribunal apreciar </w:t>
      </w:r>
      <w:r w:rsidRPr="008818D3">
        <w:rPr>
          <w:i/>
          <w:sz w:val="20"/>
          <w:szCs w:val="20"/>
        </w:rPr>
        <w:t xml:space="preserve">prima facie </w:t>
      </w:r>
      <w:r w:rsidRPr="00095453">
        <w:rPr>
          <w:sz w:val="20"/>
          <w:szCs w:val="20"/>
        </w:rPr>
        <w:t>una situación de extrema gravedad y urgencia</w:t>
      </w:r>
      <w:r w:rsidRPr="008818D3">
        <w:rPr>
          <w:rStyle w:val="FootnoteReference"/>
        </w:rPr>
        <w:footnoteReference w:id="7"/>
      </w:r>
      <w:r w:rsidRPr="008818D3">
        <w:rPr>
          <w:sz w:val="20"/>
          <w:szCs w:val="20"/>
        </w:rPr>
        <w:t>.</w:t>
      </w:r>
    </w:p>
    <w:p w14:paraId="01A08337" w14:textId="77777777" w:rsidR="002A2853" w:rsidRDefault="002A2853" w:rsidP="002C4CF2">
      <w:pPr>
        <w:pStyle w:val="Prrafodelista1"/>
        <w:tabs>
          <w:tab w:val="left" w:pos="720"/>
        </w:tabs>
        <w:jc w:val="both"/>
        <w:rPr>
          <w:sz w:val="20"/>
          <w:szCs w:val="20"/>
        </w:rPr>
      </w:pPr>
    </w:p>
    <w:p w14:paraId="00E80764" w14:textId="28EE9A5F" w:rsidR="00AC69CD" w:rsidRDefault="00AC69CD" w:rsidP="00AC69CD">
      <w:pPr>
        <w:pStyle w:val="Prrafodelista1"/>
        <w:numPr>
          <w:ilvl w:val="0"/>
          <w:numId w:val="3"/>
        </w:numPr>
        <w:tabs>
          <w:tab w:val="clear" w:pos="1068"/>
          <w:tab w:val="left" w:pos="720"/>
        </w:tabs>
        <w:ind w:left="0" w:firstLine="0"/>
        <w:jc w:val="both"/>
        <w:rPr>
          <w:sz w:val="20"/>
          <w:szCs w:val="20"/>
        </w:rPr>
      </w:pPr>
      <w:r w:rsidRPr="004C4071">
        <w:rPr>
          <w:sz w:val="20"/>
          <w:szCs w:val="20"/>
        </w:rPr>
        <w:t>Al respecto, la Corte advierte que, de la información presentada, y no controvertida por el Estado, se desprende que ambas personas serían representantes de las comunidades beneficiarias en las actuales medidas provisionales</w:t>
      </w:r>
      <w:r w:rsidR="001923C8">
        <w:rPr>
          <w:rStyle w:val="FootnoteReference"/>
          <w:sz w:val="20"/>
          <w:szCs w:val="20"/>
        </w:rPr>
        <w:footnoteReference w:id="8"/>
      </w:r>
      <w:r w:rsidRPr="004C4071">
        <w:rPr>
          <w:sz w:val="20"/>
          <w:szCs w:val="20"/>
        </w:rPr>
        <w:t>, y que los actos de hostigamiento o amenazas estarían relacionados con su labor en la defensa de tales territorios indígenas en conflicto. En este sentido, el Tribunal encuentra que la fuente de riesgo</w:t>
      </w:r>
      <w:r w:rsidR="005B03F9">
        <w:rPr>
          <w:sz w:val="20"/>
          <w:szCs w:val="20"/>
        </w:rPr>
        <w:t>,</w:t>
      </w:r>
      <w:r w:rsidRPr="004C4071">
        <w:rPr>
          <w:sz w:val="20"/>
          <w:szCs w:val="20"/>
        </w:rPr>
        <w:t xml:space="preserve"> </w:t>
      </w:r>
      <w:r w:rsidR="005B03F9">
        <w:rPr>
          <w:sz w:val="20"/>
          <w:szCs w:val="20"/>
        </w:rPr>
        <w:t xml:space="preserve">ya </w:t>
      </w:r>
      <w:r w:rsidRPr="004C4071">
        <w:rPr>
          <w:sz w:val="20"/>
          <w:szCs w:val="20"/>
        </w:rPr>
        <w:t xml:space="preserve">acreditada </w:t>
      </w:r>
      <w:r w:rsidR="005B03F9">
        <w:rPr>
          <w:sz w:val="20"/>
          <w:szCs w:val="20"/>
        </w:rPr>
        <w:t xml:space="preserve">ante esta Corte </w:t>
      </w:r>
      <w:r w:rsidRPr="004C4071">
        <w:rPr>
          <w:sz w:val="20"/>
          <w:szCs w:val="20"/>
        </w:rPr>
        <w:t>para las comunidades beneficiarias</w:t>
      </w:r>
      <w:r w:rsidR="005B03F9">
        <w:rPr>
          <w:sz w:val="20"/>
          <w:szCs w:val="20"/>
        </w:rPr>
        <w:t>,</w:t>
      </w:r>
      <w:r w:rsidRPr="004C4071">
        <w:rPr>
          <w:sz w:val="20"/>
          <w:szCs w:val="20"/>
        </w:rPr>
        <w:t xml:space="preserve"> puede también impactar en la seguridad de </w:t>
      </w:r>
      <w:r w:rsidRPr="004C4071">
        <w:rPr>
          <w:sz w:val="20"/>
          <w:szCs w:val="20"/>
        </w:rPr>
        <w:lastRenderedPageBreak/>
        <w:t xml:space="preserve">sus representantes. No obstante, en las situaciones descritas se presentan </w:t>
      </w:r>
      <w:r w:rsidR="002C4CF2">
        <w:rPr>
          <w:sz w:val="20"/>
          <w:szCs w:val="20"/>
        </w:rPr>
        <w:t xml:space="preserve">adicionalmente </w:t>
      </w:r>
      <w:r w:rsidRPr="004C4071">
        <w:rPr>
          <w:sz w:val="20"/>
          <w:szCs w:val="20"/>
        </w:rPr>
        <w:t>acciones específicas de hostigamiento contra dichos defensores que pon</w:t>
      </w:r>
      <w:r w:rsidRPr="00AC69CD">
        <w:rPr>
          <w:sz w:val="20"/>
          <w:szCs w:val="20"/>
        </w:rPr>
        <w:t xml:space="preserve">en su labor </w:t>
      </w:r>
      <w:r w:rsidRPr="004C4071">
        <w:rPr>
          <w:sz w:val="20"/>
          <w:szCs w:val="20"/>
        </w:rPr>
        <w:t>en una situación de extrema gravedad y urgencia</w:t>
      </w:r>
      <w:r w:rsidR="005B03F9">
        <w:rPr>
          <w:sz w:val="20"/>
          <w:szCs w:val="20"/>
        </w:rPr>
        <w:t xml:space="preserve"> (</w:t>
      </w:r>
      <w:r w:rsidR="005B03F9" w:rsidRPr="00CB4120">
        <w:rPr>
          <w:i/>
          <w:sz w:val="20"/>
          <w:szCs w:val="20"/>
        </w:rPr>
        <w:t>supra</w:t>
      </w:r>
      <w:r w:rsidR="005B03F9">
        <w:rPr>
          <w:sz w:val="20"/>
          <w:szCs w:val="20"/>
        </w:rPr>
        <w:t xml:space="preserve"> Considerando</w:t>
      </w:r>
      <w:r w:rsidR="0093502F">
        <w:rPr>
          <w:sz w:val="20"/>
          <w:szCs w:val="20"/>
        </w:rPr>
        <w:t>s</w:t>
      </w:r>
      <w:r w:rsidR="005B03F9">
        <w:rPr>
          <w:sz w:val="20"/>
          <w:szCs w:val="20"/>
        </w:rPr>
        <w:t xml:space="preserve"> </w:t>
      </w:r>
      <w:r w:rsidR="0093502F">
        <w:rPr>
          <w:sz w:val="20"/>
          <w:szCs w:val="20"/>
        </w:rPr>
        <w:t>6 y 7</w:t>
      </w:r>
      <w:r w:rsidR="005B03F9">
        <w:rPr>
          <w:sz w:val="20"/>
          <w:szCs w:val="20"/>
        </w:rPr>
        <w:t>)</w:t>
      </w:r>
      <w:r w:rsidRPr="004C4071">
        <w:rPr>
          <w:sz w:val="20"/>
          <w:szCs w:val="20"/>
        </w:rPr>
        <w:t>.</w:t>
      </w:r>
    </w:p>
    <w:p w14:paraId="5A42730C" w14:textId="77777777" w:rsidR="000732B9" w:rsidRDefault="000732B9" w:rsidP="0038509A">
      <w:pPr>
        <w:pStyle w:val="Prrafodelista1"/>
        <w:jc w:val="both"/>
        <w:rPr>
          <w:sz w:val="20"/>
          <w:szCs w:val="20"/>
          <w:lang w:val="es-MX"/>
        </w:rPr>
      </w:pPr>
    </w:p>
    <w:p w14:paraId="132348A8" w14:textId="64A4E6EE" w:rsidR="003B3DE6" w:rsidRPr="002C4CF2" w:rsidRDefault="003B3DE6" w:rsidP="002C4CF2">
      <w:pPr>
        <w:pStyle w:val="Prrafodelista1"/>
        <w:numPr>
          <w:ilvl w:val="0"/>
          <w:numId w:val="3"/>
        </w:numPr>
        <w:tabs>
          <w:tab w:val="clear" w:pos="1068"/>
          <w:tab w:val="left" w:pos="720"/>
        </w:tabs>
        <w:ind w:left="0" w:firstLine="0"/>
        <w:jc w:val="both"/>
        <w:rPr>
          <w:sz w:val="20"/>
          <w:szCs w:val="20"/>
          <w:lang w:val="es-CR"/>
        </w:rPr>
      </w:pPr>
      <w:r w:rsidRPr="00D033A9">
        <w:rPr>
          <w:sz w:val="20"/>
          <w:szCs w:val="20"/>
          <w:lang w:val="es-CR"/>
        </w:rPr>
        <w:t xml:space="preserve">En </w:t>
      </w:r>
      <w:r w:rsidRPr="002C4CF2">
        <w:rPr>
          <w:sz w:val="20"/>
          <w:szCs w:val="20"/>
        </w:rPr>
        <w:t>consecuencia</w:t>
      </w:r>
      <w:r w:rsidRPr="00D033A9">
        <w:rPr>
          <w:sz w:val="20"/>
          <w:szCs w:val="20"/>
          <w:lang w:val="es-CR"/>
        </w:rPr>
        <w:t xml:space="preserve">, si bien, la mera pertenencia al grupo de defensores de </w:t>
      </w:r>
      <w:r>
        <w:rPr>
          <w:sz w:val="20"/>
          <w:szCs w:val="20"/>
          <w:lang w:val="es-CR"/>
        </w:rPr>
        <w:t xml:space="preserve">las comunidades no </w:t>
      </w:r>
      <w:r w:rsidR="002C4CF2">
        <w:rPr>
          <w:sz w:val="20"/>
          <w:szCs w:val="20"/>
          <w:lang w:val="es-CR"/>
        </w:rPr>
        <w:t>es</w:t>
      </w:r>
      <w:r w:rsidR="002C4CF2" w:rsidRPr="00D033A9">
        <w:rPr>
          <w:sz w:val="20"/>
          <w:szCs w:val="20"/>
          <w:lang w:val="es-CR"/>
        </w:rPr>
        <w:t xml:space="preserve"> </w:t>
      </w:r>
      <w:r w:rsidRPr="00D033A9">
        <w:rPr>
          <w:sz w:val="20"/>
          <w:szCs w:val="20"/>
          <w:lang w:val="es-CR"/>
        </w:rPr>
        <w:t xml:space="preserve">suficientemente meritoria para el otorgamiento de medidas provisionales, lo cierto es que </w:t>
      </w:r>
      <w:r>
        <w:rPr>
          <w:sz w:val="20"/>
          <w:szCs w:val="20"/>
          <w:lang w:val="es-CR"/>
        </w:rPr>
        <w:t>el tipo de hostigamientos y/o amenazas recibidos por los solicitantes</w:t>
      </w:r>
      <w:r w:rsidR="00514AE5">
        <w:rPr>
          <w:rStyle w:val="FootnoteReference"/>
          <w:sz w:val="20"/>
          <w:szCs w:val="20"/>
        </w:rPr>
        <w:footnoteReference w:id="9"/>
      </w:r>
      <w:r>
        <w:rPr>
          <w:sz w:val="20"/>
          <w:szCs w:val="20"/>
          <w:lang w:val="es-CR"/>
        </w:rPr>
        <w:t xml:space="preserve">, </w:t>
      </w:r>
      <w:r w:rsidRPr="00D033A9">
        <w:rPr>
          <w:sz w:val="20"/>
          <w:szCs w:val="20"/>
          <w:lang w:val="es-CR"/>
        </w:rPr>
        <w:t xml:space="preserve">se relaciona, específicamente, con la labor que </w:t>
      </w:r>
      <w:r>
        <w:rPr>
          <w:sz w:val="20"/>
          <w:szCs w:val="20"/>
          <w:lang w:val="es-CR"/>
        </w:rPr>
        <w:t xml:space="preserve">éstos </w:t>
      </w:r>
      <w:r w:rsidRPr="00D033A9">
        <w:rPr>
          <w:sz w:val="20"/>
          <w:szCs w:val="20"/>
          <w:lang w:val="es-CR"/>
        </w:rPr>
        <w:t>realiza</w:t>
      </w:r>
      <w:r>
        <w:rPr>
          <w:sz w:val="20"/>
          <w:szCs w:val="20"/>
          <w:lang w:val="es-CR"/>
        </w:rPr>
        <w:t>n</w:t>
      </w:r>
      <w:r w:rsidRPr="00D033A9">
        <w:rPr>
          <w:sz w:val="20"/>
          <w:szCs w:val="20"/>
          <w:lang w:val="es-CR"/>
        </w:rPr>
        <w:t xml:space="preserve"> en calidad de </w:t>
      </w:r>
      <w:r>
        <w:rPr>
          <w:sz w:val="20"/>
          <w:szCs w:val="20"/>
          <w:lang w:val="es-CR"/>
        </w:rPr>
        <w:t xml:space="preserve">representantes de las comunidades indígenas en el proceso del saneamiento territorial, a través de </w:t>
      </w:r>
      <w:r w:rsidR="002C4CF2">
        <w:rPr>
          <w:sz w:val="20"/>
          <w:szCs w:val="20"/>
          <w:lang w:val="es-CR"/>
        </w:rPr>
        <w:t xml:space="preserve">su labor en </w:t>
      </w:r>
      <w:r>
        <w:rPr>
          <w:sz w:val="20"/>
          <w:szCs w:val="20"/>
          <w:lang w:val="es-CR"/>
        </w:rPr>
        <w:t xml:space="preserve">la </w:t>
      </w:r>
      <w:r w:rsidRPr="007A1905">
        <w:rPr>
          <w:sz w:val="20"/>
          <w:szCs w:val="20"/>
        </w:rPr>
        <w:t>CEJUDHCAN</w:t>
      </w:r>
      <w:r>
        <w:rPr>
          <w:sz w:val="20"/>
          <w:szCs w:val="20"/>
        </w:rPr>
        <w:t>,</w:t>
      </w:r>
      <w:r>
        <w:rPr>
          <w:sz w:val="20"/>
          <w:szCs w:val="20"/>
          <w:lang w:val="es-CR"/>
        </w:rPr>
        <w:t xml:space="preserve"> </w:t>
      </w:r>
      <w:r w:rsidRPr="00D033A9">
        <w:rPr>
          <w:sz w:val="20"/>
          <w:szCs w:val="20"/>
          <w:lang w:val="es-CR"/>
        </w:rPr>
        <w:t>organización que representa a los beneficiarios</w:t>
      </w:r>
      <w:r>
        <w:rPr>
          <w:sz w:val="20"/>
          <w:szCs w:val="20"/>
          <w:lang w:val="es-CR"/>
        </w:rPr>
        <w:t xml:space="preserve"> en el presente asunto</w:t>
      </w:r>
      <w:r w:rsidR="00AC69CD">
        <w:rPr>
          <w:sz w:val="20"/>
          <w:szCs w:val="20"/>
          <w:lang w:val="es-CR"/>
        </w:rPr>
        <w:t xml:space="preserve"> a nivel </w:t>
      </w:r>
      <w:r w:rsidR="00514AE5">
        <w:rPr>
          <w:sz w:val="20"/>
          <w:szCs w:val="20"/>
          <w:lang w:val="es-CR"/>
        </w:rPr>
        <w:t>interno</w:t>
      </w:r>
      <w:r w:rsidR="005B03F9">
        <w:rPr>
          <w:sz w:val="20"/>
          <w:szCs w:val="20"/>
          <w:lang w:val="es-CR"/>
        </w:rPr>
        <w:t xml:space="preserve"> e </w:t>
      </w:r>
      <w:r w:rsidR="004A1284">
        <w:rPr>
          <w:sz w:val="20"/>
          <w:szCs w:val="20"/>
          <w:lang w:val="es-CR"/>
        </w:rPr>
        <w:t>internacional</w:t>
      </w:r>
      <w:r w:rsidR="00514AE5">
        <w:rPr>
          <w:sz w:val="20"/>
          <w:szCs w:val="20"/>
          <w:lang w:val="es-CR"/>
        </w:rPr>
        <w:t>.</w:t>
      </w:r>
    </w:p>
    <w:p w14:paraId="0D25AA78" w14:textId="77777777" w:rsidR="003B3DE6" w:rsidRDefault="003B3DE6" w:rsidP="0038509A">
      <w:pPr>
        <w:pStyle w:val="Prrafodelista1"/>
        <w:jc w:val="both"/>
        <w:rPr>
          <w:sz w:val="20"/>
          <w:szCs w:val="20"/>
        </w:rPr>
      </w:pPr>
    </w:p>
    <w:p w14:paraId="3CB9E441" w14:textId="7445AA7D" w:rsidR="00F338A3" w:rsidRDefault="00AC69CD" w:rsidP="0038509A">
      <w:pPr>
        <w:pStyle w:val="Prrafodelista1"/>
        <w:numPr>
          <w:ilvl w:val="0"/>
          <w:numId w:val="3"/>
        </w:numPr>
        <w:tabs>
          <w:tab w:val="clear" w:pos="1068"/>
          <w:tab w:val="left" w:pos="720"/>
        </w:tabs>
        <w:ind w:left="0" w:firstLine="0"/>
        <w:jc w:val="both"/>
        <w:rPr>
          <w:sz w:val="20"/>
          <w:szCs w:val="20"/>
          <w:lang w:val="es-MX"/>
        </w:rPr>
      </w:pPr>
      <w:r>
        <w:rPr>
          <w:sz w:val="20"/>
          <w:szCs w:val="20"/>
          <w:lang w:val="es-MX"/>
        </w:rPr>
        <w:t>Finalmente, l</w:t>
      </w:r>
      <w:r w:rsidR="00F338A3" w:rsidRPr="00A909D2">
        <w:rPr>
          <w:sz w:val="20"/>
          <w:szCs w:val="20"/>
          <w:lang w:val="es-MX"/>
        </w:rPr>
        <w:t xml:space="preserve">a </w:t>
      </w:r>
      <w:r w:rsidR="00F338A3" w:rsidRPr="00691989">
        <w:rPr>
          <w:sz w:val="20"/>
          <w:szCs w:val="20"/>
          <w:lang w:val="es-CL"/>
        </w:rPr>
        <w:t>Corte</w:t>
      </w:r>
      <w:r w:rsidR="00F338A3" w:rsidRPr="00A909D2">
        <w:rPr>
          <w:sz w:val="20"/>
          <w:szCs w:val="20"/>
          <w:lang w:val="es-MX"/>
        </w:rPr>
        <w:t xml:space="preserve"> </w:t>
      </w:r>
      <w:r w:rsidR="00F338A3">
        <w:rPr>
          <w:sz w:val="20"/>
          <w:szCs w:val="20"/>
          <w:lang w:val="es-MX"/>
        </w:rPr>
        <w:t>recuerda</w:t>
      </w:r>
      <w:r w:rsidR="00F338A3" w:rsidRPr="00A909D2">
        <w:rPr>
          <w:sz w:val="20"/>
          <w:szCs w:val="20"/>
          <w:lang w:val="es-MX"/>
        </w:rPr>
        <w:t xml:space="preserve"> que la defensa de los derechos humanos sólo puede ejercerse libremente cuando las personas que la realizan no son víctimas de amenazas ni de cualquier tipo de agresiones físicas, psíquicas o morales u otros actos de hostigamiento. Para tales efectos, es deber del Estado no sólo crear las condiciones legales y formales, sino también garantizar las condiciones fácticas en las cuales los defensores de derechos humanos puedan desarrollar libremente su función. A su vez, los Estados deben facilitar los medios necesarios para que las personas defensoras de derechos humanos o que cumplan una función pública respecto de la cual se encuentren amenazados o en situación de riesgo o denuncien violaciones a derechos humanos, puedan realizar libremente sus actividades</w:t>
      </w:r>
      <w:r w:rsidR="00304173">
        <w:rPr>
          <w:rStyle w:val="FootnoteReference"/>
          <w:sz w:val="20"/>
          <w:szCs w:val="20"/>
          <w:lang w:val="es-MX"/>
        </w:rPr>
        <w:footnoteReference w:id="10"/>
      </w:r>
      <w:r w:rsidR="00F338A3" w:rsidRPr="00A909D2">
        <w:rPr>
          <w:sz w:val="20"/>
          <w:szCs w:val="20"/>
          <w:lang w:val="es-MX"/>
        </w:rPr>
        <w:t>; protegerlos cuando son objeto de amenazas para evitar los atentados a su vida e integridad; generar las condiciones para la erradicación de violaciones por parte de agentes estatales o de particulares; abstenerse de imponer obstáculos que dificulten la realización de su labor, e investigar seria y eficazmente las violaciones cometidas en su contra, combatiendo la impunidad</w:t>
      </w:r>
      <w:r w:rsidR="004A1284" w:rsidRPr="00A909D2">
        <w:rPr>
          <w:sz w:val="20"/>
          <w:szCs w:val="20"/>
          <w:vertAlign w:val="superscript"/>
          <w:lang w:val="es-MX"/>
        </w:rPr>
        <w:footnoteReference w:id="11"/>
      </w:r>
      <w:r w:rsidR="00F338A3" w:rsidRPr="00A909D2">
        <w:rPr>
          <w:sz w:val="20"/>
          <w:szCs w:val="20"/>
          <w:lang w:val="es-MX"/>
        </w:rPr>
        <w:t>. En definitiva, la obligación del Estado de garantizar los derechos a la vida e integridad personal de las personas se ve reforzada cuando se trata de un defensor o defensora de derechos humanos</w:t>
      </w:r>
      <w:r w:rsidR="005B03F9">
        <w:rPr>
          <w:sz w:val="20"/>
          <w:szCs w:val="20"/>
          <w:lang w:val="es-MX"/>
        </w:rPr>
        <w:t>.</w:t>
      </w:r>
    </w:p>
    <w:p w14:paraId="2FAA670F" w14:textId="77777777" w:rsidR="00AC56CD" w:rsidRDefault="00AC56CD" w:rsidP="00AC56CD">
      <w:pPr>
        <w:pStyle w:val="Prrafodelista1"/>
        <w:tabs>
          <w:tab w:val="left" w:pos="720"/>
        </w:tabs>
        <w:jc w:val="both"/>
        <w:rPr>
          <w:sz w:val="20"/>
          <w:szCs w:val="20"/>
          <w:lang w:val="es-MX"/>
        </w:rPr>
      </w:pPr>
    </w:p>
    <w:p w14:paraId="6EAAFB74" w14:textId="77777777" w:rsidR="00AC56CD" w:rsidRPr="00AC56CD" w:rsidRDefault="00AC56CD" w:rsidP="00AC56CD">
      <w:pPr>
        <w:pStyle w:val="Prrafodelista1"/>
        <w:tabs>
          <w:tab w:val="left" w:pos="720"/>
        </w:tabs>
        <w:jc w:val="both"/>
        <w:rPr>
          <w:sz w:val="20"/>
          <w:szCs w:val="20"/>
          <w:lang w:val="es-MX"/>
        </w:rPr>
      </w:pPr>
    </w:p>
    <w:p w14:paraId="7DD726D0" w14:textId="77777777" w:rsidR="00B75B22" w:rsidRPr="008E33D8" w:rsidRDefault="00B75B22" w:rsidP="00B75B22">
      <w:pPr>
        <w:tabs>
          <w:tab w:val="left" w:pos="680"/>
        </w:tabs>
        <w:spacing w:before="20" w:after="20"/>
        <w:ind w:right="18"/>
        <w:jc w:val="both"/>
        <w:rPr>
          <w:rFonts w:ascii="Verdana" w:hAnsi="Verdana"/>
          <w:b/>
          <w:sz w:val="20"/>
          <w:szCs w:val="20"/>
          <w:lang w:val="es-GT"/>
        </w:rPr>
      </w:pPr>
      <w:r w:rsidRPr="000C401F">
        <w:rPr>
          <w:rFonts w:ascii="Verdana" w:hAnsi="Verdana"/>
          <w:b/>
          <w:sz w:val="20"/>
          <w:szCs w:val="20"/>
          <w:lang w:val="es-GT"/>
        </w:rPr>
        <w:lastRenderedPageBreak/>
        <w:t>POR TAN</w:t>
      </w:r>
      <w:r w:rsidRPr="008E33D8">
        <w:rPr>
          <w:rFonts w:ascii="Verdana" w:hAnsi="Verdana"/>
          <w:b/>
          <w:sz w:val="20"/>
          <w:szCs w:val="20"/>
          <w:lang w:val="es-GT"/>
        </w:rPr>
        <w:t>TO:</w:t>
      </w:r>
    </w:p>
    <w:p w14:paraId="592C927C" w14:textId="77777777" w:rsidR="002A581F" w:rsidRDefault="002A581F" w:rsidP="00B75B22">
      <w:pPr>
        <w:spacing w:before="20" w:after="20"/>
        <w:ind w:right="18"/>
        <w:jc w:val="both"/>
        <w:rPr>
          <w:rFonts w:ascii="Verdana" w:hAnsi="Verdana"/>
          <w:b/>
          <w:sz w:val="20"/>
          <w:szCs w:val="20"/>
          <w:lang w:val="es-GT"/>
        </w:rPr>
      </w:pPr>
    </w:p>
    <w:p w14:paraId="41F8E8FB" w14:textId="77777777" w:rsidR="00B75B22" w:rsidRPr="008818D3" w:rsidRDefault="00B75B22" w:rsidP="00B75B22">
      <w:pPr>
        <w:spacing w:before="20" w:after="20"/>
        <w:ind w:right="18"/>
        <w:jc w:val="both"/>
        <w:rPr>
          <w:rFonts w:ascii="Verdana" w:hAnsi="Verdana"/>
          <w:b/>
          <w:sz w:val="20"/>
          <w:szCs w:val="20"/>
          <w:lang w:val="es-GT"/>
        </w:rPr>
      </w:pPr>
      <w:r w:rsidRPr="008818D3">
        <w:rPr>
          <w:rFonts w:ascii="Verdana" w:hAnsi="Verdana"/>
          <w:b/>
          <w:sz w:val="20"/>
          <w:szCs w:val="20"/>
          <w:lang w:val="es-GT"/>
        </w:rPr>
        <w:t>LA CORTE INTERAMERICANA DE DERECHOS HUMANOS,</w:t>
      </w:r>
    </w:p>
    <w:p w14:paraId="050EC2EC" w14:textId="77777777" w:rsidR="00B75B22" w:rsidRPr="008818D3" w:rsidRDefault="00B75B22" w:rsidP="00B75B22">
      <w:pPr>
        <w:spacing w:before="20" w:after="20"/>
        <w:ind w:right="18"/>
        <w:jc w:val="both"/>
        <w:rPr>
          <w:rFonts w:ascii="Verdana" w:hAnsi="Verdana"/>
          <w:b/>
          <w:sz w:val="20"/>
          <w:szCs w:val="20"/>
          <w:lang w:val="es-GT"/>
        </w:rPr>
      </w:pPr>
    </w:p>
    <w:p w14:paraId="22589421" w14:textId="4D9F6DBD" w:rsidR="00B75B22" w:rsidRPr="008818D3" w:rsidRDefault="000732B9" w:rsidP="00B75B22">
      <w:pPr>
        <w:jc w:val="both"/>
        <w:rPr>
          <w:rFonts w:ascii="Verdana" w:hAnsi="Verdana"/>
          <w:sz w:val="20"/>
          <w:szCs w:val="20"/>
          <w:lang w:val="es-MX"/>
        </w:rPr>
      </w:pPr>
      <w:r>
        <w:rPr>
          <w:rFonts w:ascii="Verdana" w:hAnsi="Verdana"/>
          <w:sz w:val="20"/>
          <w:szCs w:val="20"/>
          <w:lang w:val="es-GT"/>
        </w:rPr>
        <w:t>E</w:t>
      </w:r>
      <w:r w:rsidR="00B75B22" w:rsidRPr="008818D3">
        <w:rPr>
          <w:rFonts w:ascii="Verdana" w:hAnsi="Verdana"/>
          <w:sz w:val="20"/>
          <w:szCs w:val="20"/>
          <w:lang w:val="es-MX"/>
        </w:rPr>
        <w:t>n uso de las atribuciones que le confieren el artículo 63.2 de la Convención Americana, y los artículos 27 y</w:t>
      </w:r>
      <w:r w:rsidR="00B75B22" w:rsidRPr="008818D3">
        <w:rPr>
          <w:rFonts w:ascii="Verdana" w:hAnsi="Verdana"/>
          <w:color w:val="00B050"/>
          <w:sz w:val="20"/>
          <w:szCs w:val="20"/>
          <w:lang w:val="es-MX"/>
        </w:rPr>
        <w:t xml:space="preserve"> </w:t>
      </w:r>
      <w:r w:rsidR="00B75B22" w:rsidRPr="008818D3">
        <w:rPr>
          <w:rFonts w:ascii="Verdana" w:hAnsi="Verdana"/>
          <w:sz w:val="20"/>
          <w:szCs w:val="20"/>
          <w:lang w:val="es-MX"/>
        </w:rPr>
        <w:t>31 del Reglamento de la Corte,</w:t>
      </w:r>
    </w:p>
    <w:p w14:paraId="3B3778E6" w14:textId="77777777" w:rsidR="00B75B22" w:rsidRPr="008818D3" w:rsidRDefault="00B75B22" w:rsidP="00B75B22">
      <w:pPr>
        <w:tabs>
          <w:tab w:val="left" w:pos="680"/>
        </w:tabs>
        <w:spacing w:before="20" w:after="20"/>
        <w:ind w:right="18"/>
        <w:jc w:val="both"/>
        <w:rPr>
          <w:rFonts w:ascii="Verdana" w:hAnsi="Verdana"/>
          <w:b/>
          <w:sz w:val="20"/>
          <w:szCs w:val="20"/>
        </w:rPr>
      </w:pPr>
      <w:r w:rsidRPr="008818D3">
        <w:rPr>
          <w:rFonts w:ascii="Verdana" w:hAnsi="Verdana"/>
          <w:b/>
          <w:sz w:val="20"/>
          <w:szCs w:val="20"/>
        </w:rPr>
        <w:t>RESUELVE:</w:t>
      </w:r>
    </w:p>
    <w:p w14:paraId="7A3024CA" w14:textId="20E84920" w:rsidR="002A4BA1" w:rsidRPr="00323CD3" w:rsidRDefault="002A4BA1" w:rsidP="00323CD3">
      <w:pPr>
        <w:spacing w:before="20" w:after="20" w:line="240" w:lineRule="auto"/>
        <w:ind w:right="18"/>
        <w:jc w:val="both"/>
        <w:rPr>
          <w:rFonts w:ascii="Verdana" w:hAnsi="Verdana"/>
          <w:sz w:val="20"/>
          <w:szCs w:val="20"/>
          <w:lang w:val="es-GT"/>
        </w:rPr>
      </w:pPr>
    </w:p>
    <w:p w14:paraId="7124CCB1" w14:textId="4BEAE4CD" w:rsidR="00B75B22" w:rsidRPr="00A433D3" w:rsidRDefault="00B75B22" w:rsidP="008873C1">
      <w:pPr>
        <w:numPr>
          <w:ilvl w:val="0"/>
          <w:numId w:val="23"/>
        </w:numPr>
        <w:spacing w:before="20" w:after="20" w:line="240" w:lineRule="auto"/>
        <w:ind w:left="0" w:right="18" w:firstLine="0"/>
        <w:jc w:val="both"/>
        <w:rPr>
          <w:rFonts w:ascii="Verdana" w:hAnsi="Verdana"/>
          <w:sz w:val="20"/>
          <w:lang w:val="es-GT"/>
        </w:rPr>
      </w:pPr>
      <w:r w:rsidRPr="008873C1">
        <w:rPr>
          <w:rFonts w:ascii="Verdana" w:hAnsi="Verdana"/>
          <w:sz w:val="20"/>
          <w:szCs w:val="20"/>
          <w:lang w:val="es-GT"/>
        </w:rPr>
        <w:t>Ampliar</w:t>
      </w:r>
      <w:r w:rsidRPr="00A433D3">
        <w:rPr>
          <w:rFonts w:ascii="Verdana" w:hAnsi="Verdana"/>
          <w:sz w:val="20"/>
          <w:lang w:val="es-MX"/>
        </w:rPr>
        <w:t xml:space="preserve"> las medidas provisionales emitidas en el presente asunto, </w:t>
      </w:r>
      <w:r w:rsidR="00514AE5">
        <w:rPr>
          <w:rFonts w:ascii="Verdana" w:hAnsi="Verdana"/>
          <w:sz w:val="20"/>
          <w:lang w:val="es-MX"/>
        </w:rPr>
        <w:t xml:space="preserve">en favor de </w:t>
      </w:r>
      <w:r w:rsidR="00514AE5" w:rsidRPr="00CB4120">
        <w:rPr>
          <w:rFonts w:ascii="Verdana" w:hAnsi="Verdana"/>
          <w:sz w:val="20"/>
          <w:lang w:val="es-CR"/>
        </w:rPr>
        <w:t xml:space="preserve">Lottie Cunningham Wrem y José Medrana Coleman, </w:t>
      </w:r>
      <w:r w:rsidRPr="00A433D3">
        <w:rPr>
          <w:rFonts w:ascii="Verdana" w:hAnsi="Verdana"/>
          <w:sz w:val="20"/>
          <w:lang w:val="es-MX"/>
        </w:rPr>
        <w:t xml:space="preserve">de tal forma que el Estado de Nicaragua </w:t>
      </w:r>
      <w:r w:rsidR="00514AE5">
        <w:rPr>
          <w:rFonts w:ascii="Verdana" w:hAnsi="Verdana"/>
          <w:sz w:val="20"/>
          <w:lang w:val="es-MX"/>
        </w:rPr>
        <w:t xml:space="preserve">las </w:t>
      </w:r>
      <w:r w:rsidRPr="00A433D3">
        <w:rPr>
          <w:rFonts w:ascii="Verdana" w:hAnsi="Verdana"/>
          <w:sz w:val="20"/>
          <w:lang w:val="es-MX"/>
        </w:rPr>
        <w:t xml:space="preserve">incluya de manera inmediata dentro de las medidas ordenadas mediante </w:t>
      </w:r>
      <w:r w:rsidR="005B03F9">
        <w:rPr>
          <w:rFonts w:ascii="Verdana" w:hAnsi="Verdana"/>
          <w:sz w:val="20"/>
          <w:lang w:val="es-MX"/>
        </w:rPr>
        <w:t xml:space="preserve">sus </w:t>
      </w:r>
      <w:r w:rsidRPr="00A433D3">
        <w:rPr>
          <w:rFonts w:ascii="Verdana" w:hAnsi="Verdana"/>
          <w:sz w:val="20"/>
          <w:lang w:val="es-MX"/>
        </w:rPr>
        <w:t>Resoluci</w:t>
      </w:r>
      <w:r w:rsidR="005B03F9">
        <w:rPr>
          <w:rFonts w:ascii="Verdana" w:hAnsi="Verdana"/>
          <w:sz w:val="20"/>
          <w:lang w:val="es-MX"/>
        </w:rPr>
        <w:t>ones</w:t>
      </w:r>
      <w:r w:rsidRPr="00A433D3">
        <w:rPr>
          <w:rFonts w:ascii="Verdana" w:hAnsi="Verdana"/>
          <w:sz w:val="20"/>
          <w:lang w:val="es-MX"/>
        </w:rPr>
        <w:t xml:space="preserve"> de 1 de septiembre de 2016</w:t>
      </w:r>
      <w:r w:rsidR="00514AE5">
        <w:rPr>
          <w:rFonts w:ascii="Verdana" w:hAnsi="Verdana"/>
          <w:sz w:val="20"/>
          <w:lang w:val="es-MX"/>
        </w:rPr>
        <w:t xml:space="preserve"> y siguientes</w:t>
      </w:r>
      <w:r w:rsidR="005B03F9">
        <w:rPr>
          <w:rFonts w:ascii="Verdana" w:hAnsi="Verdana"/>
          <w:sz w:val="20"/>
          <w:lang w:val="es-MX"/>
        </w:rPr>
        <w:t xml:space="preserve"> (</w:t>
      </w:r>
      <w:r w:rsidR="005B03F9" w:rsidRPr="00CB4120">
        <w:rPr>
          <w:rFonts w:ascii="Verdana" w:hAnsi="Verdana"/>
          <w:i/>
          <w:sz w:val="20"/>
          <w:lang w:val="es-MX"/>
        </w:rPr>
        <w:t>supra</w:t>
      </w:r>
      <w:r w:rsidR="005B03F9">
        <w:rPr>
          <w:rFonts w:ascii="Verdana" w:hAnsi="Verdana"/>
          <w:sz w:val="20"/>
          <w:lang w:val="es-MX"/>
        </w:rPr>
        <w:t xml:space="preserve"> Visto 2)</w:t>
      </w:r>
      <w:r w:rsidR="00514AE5">
        <w:rPr>
          <w:rFonts w:ascii="Verdana" w:hAnsi="Verdana"/>
          <w:sz w:val="20"/>
          <w:lang w:val="es-MX"/>
        </w:rPr>
        <w:t>.</w:t>
      </w:r>
    </w:p>
    <w:p w14:paraId="21F824E5" w14:textId="77777777" w:rsidR="000732B9" w:rsidRPr="000732B9" w:rsidRDefault="000732B9" w:rsidP="00A433D3">
      <w:pPr>
        <w:spacing w:before="20" w:after="20" w:line="240" w:lineRule="auto"/>
        <w:ind w:right="18"/>
        <w:jc w:val="both"/>
        <w:rPr>
          <w:rFonts w:ascii="Verdana" w:hAnsi="Verdana"/>
          <w:sz w:val="20"/>
          <w:szCs w:val="20"/>
          <w:lang w:val="es-GT"/>
        </w:rPr>
      </w:pPr>
    </w:p>
    <w:p w14:paraId="7C16D88F" w14:textId="2AE754A1" w:rsidR="00514AE5" w:rsidRPr="00F36DD1" w:rsidRDefault="00E01DA6" w:rsidP="008873C1">
      <w:pPr>
        <w:numPr>
          <w:ilvl w:val="0"/>
          <w:numId w:val="23"/>
        </w:numPr>
        <w:spacing w:before="20" w:after="20" w:line="240" w:lineRule="auto"/>
        <w:ind w:left="0" w:right="18" w:firstLine="0"/>
        <w:jc w:val="both"/>
        <w:rPr>
          <w:rFonts w:ascii="Verdana" w:hAnsi="Verdana"/>
          <w:sz w:val="20"/>
          <w:szCs w:val="20"/>
          <w:lang w:val="es-GT"/>
        </w:rPr>
      </w:pPr>
      <w:r w:rsidRPr="00514AE5">
        <w:rPr>
          <w:rFonts w:ascii="Verdana" w:hAnsi="Verdana"/>
          <w:sz w:val="20"/>
          <w:szCs w:val="20"/>
          <w:lang w:val="es-GT"/>
        </w:rPr>
        <w:t>Requerir al Estado adoptar las medidas</w:t>
      </w:r>
      <w:r w:rsidR="00514AE5" w:rsidRPr="00514AE5">
        <w:rPr>
          <w:rFonts w:ascii="Verdana" w:hAnsi="Verdana"/>
          <w:sz w:val="20"/>
          <w:szCs w:val="20"/>
          <w:lang w:val="es-GT"/>
        </w:rPr>
        <w:t xml:space="preserve"> suficientes y</w:t>
      </w:r>
      <w:r w:rsidRPr="00514AE5">
        <w:rPr>
          <w:rFonts w:ascii="Verdana" w:hAnsi="Verdana"/>
          <w:sz w:val="20"/>
          <w:szCs w:val="20"/>
          <w:lang w:val="es-GT"/>
        </w:rPr>
        <w:t xml:space="preserve"> necesarias, a fin de </w:t>
      </w:r>
      <w:r w:rsidR="00514AE5" w:rsidRPr="00514AE5">
        <w:rPr>
          <w:rFonts w:ascii="Verdana" w:hAnsi="Verdana"/>
          <w:sz w:val="20"/>
          <w:szCs w:val="20"/>
          <w:lang w:val="es-GT"/>
        </w:rPr>
        <w:t xml:space="preserve">proteger la vida e integridad </w:t>
      </w:r>
      <w:r w:rsidR="005B03F9">
        <w:rPr>
          <w:rFonts w:ascii="Verdana" w:hAnsi="Verdana"/>
          <w:sz w:val="20"/>
          <w:szCs w:val="20"/>
          <w:lang w:val="es-GT"/>
        </w:rPr>
        <w:t xml:space="preserve">personal </w:t>
      </w:r>
      <w:r w:rsidR="00514AE5" w:rsidRPr="00514AE5">
        <w:rPr>
          <w:rFonts w:ascii="Verdana" w:hAnsi="Verdana"/>
          <w:sz w:val="20"/>
          <w:szCs w:val="20"/>
          <w:lang w:val="es-GT"/>
        </w:rPr>
        <w:t>de</w:t>
      </w:r>
      <w:r w:rsidR="00514AE5" w:rsidRPr="00514AE5">
        <w:rPr>
          <w:rFonts w:ascii="Verdana" w:hAnsi="Verdana"/>
          <w:sz w:val="20"/>
          <w:lang w:val="es-MX"/>
        </w:rPr>
        <w:t xml:space="preserve"> </w:t>
      </w:r>
      <w:r w:rsidR="00514AE5" w:rsidRPr="00F36DD1">
        <w:rPr>
          <w:rFonts w:ascii="Verdana" w:hAnsi="Verdana"/>
          <w:sz w:val="20"/>
          <w:lang w:val="es-CR"/>
        </w:rPr>
        <w:t>Lottie Cunningham Wrem y José Medrana Coleman</w:t>
      </w:r>
      <w:r w:rsidR="00514AE5" w:rsidRPr="00514AE5">
        <w:rPr>
          <w:rFonts w:ascii="Verdana" w:hAnsi="Verdana"/>
          <w:sz w:val="20"/>
          <w:lang w:val="es-CR"/>
        </w:rPr>
        <w:t xml:space="preserve">, así como </w:t>
      </w:r>
      <w:r w:rsidR="005B03F9">
        <w:rPr>
          <w:rFonts w:ascii="Verdana" w:hAnsi="Verdana"/>
          <w:sz w:val="20"/>
          <w:lang w:val="es-CR"/>
        </w:rPr>
        <w:t xml:space="preserve">garantizar </w:t>
      </w:r>
      <w:r w:rsidR="00514AE5" w:rsidRPr="00514AE5">
        <w:rPr>
          <w:rFonts w:ascii="Verdana" w:hAnsi="Verdana"/>
          <w:sz w:val="20"/>
          <w:lang w:val="es-CR"/>
        </w:rPr>
        <w:t xml:space="preserve">su participación en </w:t>
      </w:r>
      <w:r w:rsidR="00514AE5" w:rsidRPr="00514AE5">
        <w:rPr>
          <w:rFonts w:ascii="Verdana" w:hAnsi="Verdana"/>
          <w:sz w:val="20"/>
          <w:szCs w:val="20"/>
          <w:lang w:val="es-GT"/>
        </w:rPr>
        <w:t xml:space="preserve">la implementación de las presentes </w:t>
      </w:r>
      <w:r w:rsidRPr="00514AE5">
        <w:rPr>
          <w:rFonts w:ascii="Verdana" w:eastAsia="Times" w:hAnsi="Verdana" w:cs="Times New Roman"/>
          <w:sz w:val="20"/>
          <w:szCs w:val="20"/>
          <w:lang w:val="es-ES_tradnl"/>
        </w:rPr>
        <w:t>medidas</w:t>
      </w:r>
      <w:r w:rsidR="00514AE5">
        <w:rPr>
          <w:rFonts w:ascii="Verdana" w:eastAsia="Times" w:hAnsi="Verdana" w:cs="Times New Roman"/>
          <w:sz w:val="20"/>
          <w:szCs w:val="20"/>
          <w:lang w:val="es-ES_tradnl"/>
        </w:rPr>
        <w:t>.</w:t>
      </w:r>
      <w:r w:rsidRPr="00514AE5">
        <w:rPr>
          <w:rFonts w:ascii="Verdana" w:eastAsia="Times" w:hAnsi="Verdana" w:cs="Times New Roman"/>
          <w:sz w:val="20"/>
          <w:szCs w:val="20"/>
          <w:lang w:val="es-ES_tradnl"/>
        </w:rPr>
        <w:t xml:space="preserve"> </w:t>
      </w:r>
    </w:p>
    <w:p w14:paraId="53CFC9EA" w14:textId="77777777" w:rsidR="00E01DA6" w:rsidRPr="00514AE5" w:rsidRDefault="00E01DA6" w:rsidP="00514AE5">
      <w:pPr>
        <w:spacing w:before="20" w:after="20" w:line="240" w:lineRule="auto"/>
        <w:ind w:right="18"/>
        <w:jc w:val="both"/>
        <w:rPr>
          <w:rFonts w:ascii="Verdana" w:hAnsi="Verdana"/>
          <w:sz w:val="20"/>
          <w:szCs w:val="20"/>
          <w:lang w:val="es-GT"/>
        </w:rPr>
      </w:pPr>
    </w:p>
    <w:p w14:paraId="72D50B19" w14:textId="253C300C" w:rsidR="006C21E0" w:rsidRPr="00945353" w:rsidRDefault="00514AE5" w:rsidP="008873C1">
      <w:pPr>
        <w:numPr>
          <w:ilvl w:val="0"/>
          <w:numId w:val="23"/>
        </w:numPr>
        <w:spacing w:before="20" w:after="20" w:line="240" w:lineRule="auto"/>
        <w:ind w:left="0" w:right="18" w:firstLine="0"/>
        <w:jc w:val="both"/>
        <w:rPr>
          <w:rFonts w:ascii="Verdana" w:hAnsi="Verdana"/>
          <w:sz w:val="20"/>
          <w:szCs w:val="20"/>
          <w:lang w:val="es-GT"/>
        </w:rPr>
      </w:pPr>
      <w:r>
        <w:rPr>
          <w:rFonts w:ascii="Verdana" w:hAnsi="Verdana"/>
          <w:sz w:val="20"/>
          <w:szCs w:val="20"/>
          <w:lang w:val="es-GT"/>
        </w:rPr>
        <w:t xml:space="preserve">Convocar al Estado, </w:t>
      </w:r>
      <w:r w:rsidRPr="008818D3">
        <w:rPr>
          <w:rFonts w:ascii="Verdana" w:hAnsi="Verdana"/>
          <w:sz w:val="20"/>
          <w:szCs w:val="20"/>
          <w:lang w:val="es-MX"/>
        </w:rPr>
        <w:t xml:space="preserve">a la Comisión Interamericana </w:t>
      </w:r>
      <w:r w:rsidRPr="00095453">
        <w:rPr>
          <w:rFonts w:ascii="Verdana" w:hAnsi="Verdana"/>
          <w:sz w:val="20"/>
          <w:szCs w:val="20"/>
          <w:lang w:val="es-MX"/>
        </w:rPr>
        <w:t xml:space="preserve">y </w:t>
      </w:r>
      <w:r w:rsidRPr="00B23996">
        <w:rPr>
          <w:rFonts w:ascii="Verdana" w:hAnsi="Verdana"/>
          <w:sz w:val="20"/>
          <w:szCs w:val="20"/>
          <w:lang w:val="es-CR"/>
        </w:rPr>
        <w:t>a la representación de los beneficiarios</w:t>
      </w:r>
      <w:r>
        <w:rPr>
          <w:rFonts w:ascii="Verdana" w:hAnsi="Verdana"/>
          <w:sz w:val="20"/>
          <w:szCs w:val="20"/>
          <w:lang w:val="es-CR"/>
        </w:rPr>
        <w:t xml:space="preserve"> a una audiencia pública </w:t>
      </w:r>
      <w:r w:rsidR="00B31A28">
        <w:rPr>
          <w:rFonts w:ascii="Verdana" w:hAnsi="Verdana"/>
          <w:sz w:val="20"/>
          <w:szCs w:val="20"/>
          <w:lang w:val="es-CR"/>
        </w:rPr>
        <w:t xml:space="preserve">de monitoreo de medidas provisionales a celebrarse en la sede de la Corte IDH el </w:t>
      </w:r>
      <w:r w:rsidR="004A1284" w:rsidRPr="00945353">
        <w:rPr>
          <w:rFonts w:ascii="Verdana" w:hAnsi="Verdana"/>
          <w:sz w:val="20"/>
          <w:szCs w:val="20"/>
          <w:lang w:val="es-CR"/>
        </w:rPr>
        <w:t>27</w:t>
      </w:r>
      <w:r w:rsidR="00B31A28">
        <w:rPr>
          <w:rFonts w:ascii="Verdana" w:hAnsi="Verdana"/>
          <w:sz w:val="20"/>
          <w:szCs w:val="20"/>
          <w:lang w:val="es-CR"/>
        </w:rPr>
        <w:t xml:space="preserve"> de septiembre de 2018,</w:t>
      </w:r>
      <w:r w:rsidR="004A1284">
        <w:rPr>
          <w:rFonts w:ascii="Verdana" w:hAnsi="Verdana"/>
          <w:sz w:val="20"/>
          <w:szCs w:val="20"/>
          <w:lang w:val="es-CR"/>
        </w:rPr>
        <w:t xml:space="preserve"> de las 09:00 horas a las 10:30 horas,</w:t>
      </w:r>
      <w:r w:rsidR="00B31A28">
        <w:rPr>
          <w:rFonts w:ascii="Verdana" w:hAnsi="Verdana"/>
          <w:sz w:val="20"/>
          <w:szCs w:val="20"/>
          <w:lang w:val="es-CR"/>
        </w:rPr>
        <w:t xml:space="preserve"> de conformidad con el Visto 3 de la presente Resolución. </w:t>
      </w:r>
    </w:p>
    <w:p w14:paraId="75D51445" w14:textId="77777777" w:rsidR="004A1284" w:rsidRPr="008873C1" w:rsidRDefault="004A1284" w:rsidP="00945353">
      <w:pPr>
        <w:spacing w:before="20" w:after="20" w:line="240" w:lineRule="auto"/>
        <w:ind w:right="18"/>
        <w:jc w:val="both"/>
        <w:rPr>
          <w:rFonts w:ascii="Verdana" w:hAnsi="Verdana"/>
          <w:sz w:val="20"/>
          <w:szCs w:val="20"/>
          <w:lang w:val="es-GT"/>
        </w:rPr>
      </w:pPr>
    </w:p>
    <w:p w14:paraId="3EAA5DF2" w14:textId="7D7C3567" w:rsidR="006C21E0" w:rsidRDefault="008873C1" w:rsidP="008873C1">
      <w:pPr>
        <w:numPr>
          <w:ilvl w:val="0"/>
          <w:numId w:val="23"/>
        </w:numPr>
        <w:spacing w:before="20" w:after="20" w:line="240" w:lineRule="auto"/>
        <w:ind w:left="0" w:right="18" w:firstLine="0"/>
        <w:jc w:val="both"/>
        <w:rPr>
          <w:rFonts w:ascii="Verdana" w:hAnsi="Verdana"/>
          <w:sz w:val="20"/>
          <w:szCs w:val="20"/>
          <w:lang w:val="es-GT"/>
        </w:rPr>
      </w:pPr>
      <w:r>
        <w:rPr>
          <w:rFonts w:ascii="Verdana" w:hAnsi="Verdana"/>
          <w:sz w:val="20"/>
          <w:szCs w:val="20"/>
          <w:lang w:val="es-GT"/>
        </w:rPr>
        <w:t>Solicitar</w:t>
      </w:r>
      <w:r w:rsidR="006C21E0" w:rsidRPr="00514AE5">
        <w:rPr>
          <w:rFonts w:ascii="Verdana" w:hAnsi="Verdana"/>
          <w:sz w:val="20"/>
          <w:szCs w:val="20"/>
          <w:lang w:val="es-GT"/>
        </w:rPr>
        <w:t xml:space="preserve"> al Estado que </w:t>
      </w:r>
      <w:r>
        <w:rPr>
          <w:rFonts w:ascii="Verdana" w:hAnsi="Verdana"/>
          <w:sz w:val="20"/>
          <w:szCs w:val="20"/>
          <w:lang w:val="es-GT"/>
        </w:rPr>
        <w:t>en la audiencia pública informe a la Corte,</w:t>
      </w:r>
      <w:r w:rsidR="006C21E0" w:rsidRPr="00514AE5">
        <w:rPr>
          <w:rFonts w:ascii="Verdana" w:hAnsi="Verdana"/>
          <w:sz w:val="20"/>
          <w:szCs w:val="20"/>
          <w:lang w:val="es-GT"/>
        </w:rPr>
        <w:t xml:space="preserve"> </w:t>
      </w:r>
      <w:r w:rsidR="006C21E0">
        <w:rPr>
          <w:rFonts w:ascii="Verdana" w:hAnsi="Verdana"/>
          <w:sz w:val="20"/>
          <w:szCs w:val="20"/>
          <w:lang w:val="es-GT"/>
        </w:rPr>
        <w:t xml:space="preserve">de manera </w:t>
      </w:r>
      <w:r w:rsidR="006C21E0" w:rsidRPr="00514AE5">
        <w:rPr>
          <w:rFonts w:ascii="Verdana" w:hAnsi="Verdana"/>
          <w:sz w:val="20"/>
          <w:szCs w:val="20"/>
          <w:lang w:val="es-GT"/>
        </w:rPr>
        <w:t>completa y pormenorizada</w:t>
      </w:r>
      <w:r>
        <w:rPr>
          <w:rFonts w:ascii="Verdana" w:hAnsi="Verdana"/>
          <w:sz w:val="20"/>
          <w:szCs w:val="20"/>
          <w:lang w:val="es-GT"/>
        </w:rPr>
        <w:t>,</w:t>
      </w:r>
      <w:r w:rsidR="006C21E0" w:rsidRPr="00514AE5">
        <w:rPr>
          <w:rFonts w:ascii="Verdana" w:hAnsi="Verdana"/>
          <w:sz w:val="20"/>
          <w:szCs w:val="20"/>
          <w:lang w:val="es-GT"/>
        </w:rPr>
        <w:t xml:space="preserve"> sobre la implementación de </w:t>
      </w:r>
      <w:r>
        <w:rPr>
          <w:rFonts w:ascii="Verdana" w:hAnsi="Verdana"/>
          <w:sz w:val="20"/>
          <w:szCs w:val="20"/>
          <w:lang w:val="es-GT"/>
        </w:rPr>
        <w:t xml:space="preserve">cada una de </w:t>
      </w:r>
      <w:r w:rsidR="006C21E0" w:rsidRPr="00514AE5">
        <w:rPr>
          <w:rFonts w:ascii="Verdana" w:hAnsi="Verdana"/>
          <w:sz w:val="20"/>
          <w:szCs w:val="20"/>
          <w:lang w:val="es-GT"/>
        </w:rPr>
        <w:t xml:space="preserve">las </w:t>
      </w:r>
      <w:r w:rsidR="006C21E0">
        <w:rPr>
          <w:rFonts w:ascii="Verdana" w:hAnsi="Verdana"/>
          <w:sz w:val="20"/>
          <w:szCs w:val="20"/>
          <w:lang w:val="es-GT"/>
        </w:rPr>
        <w:t xml:space="preserve">medidas </w:t>
      </w:r>
      <w:r>
        <w:rPr>
          <w:rFonts w:ascii="Verdana" w:hAnsi="Verdana"/>
          <w:sz w:val="20"/>
          <w:szCs w:val="20"/>
          <w:lang w:val="es-GT"/>
        </w:rPr>
        <w:t>requeridas por el Tribunal</w:t>
      </w:r>
      <w:r w:rsidR="006C21E0">
        <w:rPr>
          <w:rFonts w:ascii="Verdana" w:hAnsi="Verdana"/>
          <w:sz w:val="20"/>
          <w:szCs w:val="20"/>
          <w:lang w:val="es-GT"/>
        </w:rPr>
        <w:t xml:space="preserve">, mediante </w:t>
      </w:r>
      <w:r>
        <w:rPr>
          <w:rFonts w:ascii="Verdana" w:hAnsi="Verdana"/>
          <w:sz w:val="20"/>
          <w:szCs w:val="20"/>
          <w:lang w:val="es-GT"/>
        </w:rPr>
        <w:t xml:space="preserve">sus </w:t>
      </w:r>
      <w:r w:rsidR="006C21E0">
        <w:rPr>
          <w:rFonts w:ascii="Verdana" w:hAnsi="Verdana"/>
          <w:sz w:val="20"/>
          <w:szCs w:val="20"/>
          <w:lang w:val="es-GT"/>
        </w:rPr>
        <w:t>diversas resoluciones,</w:t>
      </w:r>
      <w:r w:rsidR="006C21E0" w:rsidRPr="00514AE5">
        <w:rPr>
          <w:rFonts w:ascii="Verdana" w:hAnsi="Verdana"/>
          <w:sz w:val="20"/>
          <w:szCs w:val="20"/>
          <w:lang w:val="es-GT"/>
        </w:rPr>
        <w:t xml:space="preserve"> la cual</w:t>
      </w:r>
      <w:r w:rsidR="006C21E0">
        <w:rPr>
          <w:rFonts w:ascii="Verdana" w:hAnsi="Verdana"/>
          <w:sz w:val="20"/>
          <w:szCs w:val="20"/>
          <w:lang w:val="es-GT"/>
        </w:rPr>
        <w:t xml:space="preserve"> deberá acompañar </w:t>
      </w:r>
      <w:r>
        <w:rPr>
          <w:rFonts w:ascii="Verdana" w:hAnsi="Verdana"/>
          <w:sz w:val="20"/>
          <w:szCs w:val="20"/>
          <w:lang w:val="es-GT"/>
        </w:rPr>
        <w:t xml:space="preserve">el </w:t>
      </w:r>
      <w:r w:rsidR="006C21E0" w:rsidRPr="00514AE5">
        <w:rPr>
          <w:rFonts w:ascii="Verdana" w:hAnsi="Verdana"/>
          <w:sz w:val="20"/>
          <w:szCs w:val="20"/>
          <w:lang w:val="es-GT"/>
        </w:rPr>
        <w:t>diagnóstico sobre la situación actual de riesgo de</w:t>
      </w:r>
      <w:r>
        <w:rPr>
          <w:rFonts w:ascii="Verdana" w:hAnsi="Verdana"/>
          <w:sz w:val="20"/>
          <w:szCs w:val="20"/>
          <w:lang w:val="es-GT"/>
        </w:rPr>
        <w:t xml:space="preserve"> los beneficiarios de la presente Resolución. Asimismo, los representantes y la Comisión podrán presentar sus observaciones al respecto. </w:t>
      </w:r>
    </w:p>
    <w:p w14:paraId="7BAFC771" w14:textId="77777777" w:rsidR="006C21E0" w:rsidRPr="006C21E0" w:rsidRDefault="006C21E0" w:rsidP="008873C1">
      <w:pPr>
        <w:spacing w:before="20" w:after="20" w:line="240" w:lineRule="auto"/>
        <w:ind w:right="18"/>
        <w:jc w:val="both"/>
        <w:rPr>
          <w:rFonts w:ascii="Verdana" w:hAnsi="Verdana"/>
          <w:sz w:val="20"/>
          <w:szCs w:val="20"/>
          <w:lang w:val="es-GT"/>
        </w:rPr>
      </w:pPr>
    </w:p>
    <w:p w14:paraId="7622C489" w14:textId="0045D2CE" w:rsidR="006C21E0" w:rsidRPr="008873C1" w:rsidRDefault="006C21E0" w:rsidP="008873C1">
      <w:pPr>
        <w:numPr>
          <w:ilvl w:val="0"/>
          <w:numId w:val="23"/>
        </w:numPr>
        <w:spacing w:before="20" w:after="20" w:line="240" w:lineRule="auto"/>
        <w:ind w:left="0" w:right="18" w:firstLine="0"/>
        <w:jc w:val="both"/>
        <w:rPr>
          <w:rFonts w:ascii="Verdana" w:hAnsi="Verdana"/>
          <w:sz w:val="20"/>
          <w:szCs w:val="20"/>
          <w:lang w:val="es-CR"/>
        </w:rPr>
      </w:pPr>
      <w:r w:rsidRPr="006C21E0">
        <w:rPr>
          <w:rFonts w:ascii="Verdana" w:hAnsi="Verdana"/>
          <w:sz w:val="20"/>
          <w:szCs w:val="20"/>
          <w:lang w:val="es-CR"/>
        </w:rPr>
        <w:t>Requerir al Estado que continúe informando a la Corte cada tres meses, contados a</w:t>
      </w:r>
      <w:r>
        <w:rPr>
          <w:rFonts w:ascii="Verdana" w:hAnsi="Verdana"/>
          <w:sz w:val="20"/>
          <w:szCs w:val="20"/>
          <w:lang w:val="es-CR"/>
        </w:rPr>
        <w:t xml:space="preserve"> </w:t>
      </w:r>
      <w:r w:rsidRPr="006C21E0">
        <w:rPr>
          <w:rFonts w:ascii="Verdana" w:hAnsi="Verdana"/>
          <w:sz w:val="20"/>
          <w:szCs w:val="20"/>
          <w:lang w:val="es-CR"/>
        </w:rPr>
        <w:t xml:space="preserve">partir </w:t>
      </w:r>
      <w:r w:rsidR="008873C1">
        <w:rPr>
          <w:rFonts w:ascii="Verdana" w:hAnsi="Verdana"/>
          <w:sz w:val="20"/>
          <w:szCs w:val="20"/>
          <w:lang w:val="es-CR"/>
        </w:rPr>
        <w:t>de la celebración de la próxima audiencia</w:t>
      </w:r>
      <w:r w:rsidRPr="006C21E0">
        <w:rPr>
          <w:rFonts w:ascii="Verdana" w:hAnsi="Verdana"/>
          <w:sz w:val="20"/>
          <w:szCs w:val="20"/>
          <w:lang w:val="es-CR"/>
        </w:rPr>
        <w:t>, sobre la efectiva adopción de las medidas</w:t>
      </w:r>
      <w:r>
        <w:rPr>
          <w:rFonts w:ascii="Verdana" w:hAnsi="Verdana"/>
          <w:sz w:val="20"/>
          <w:szCs w:val="20"/>
          <w:lang w:val="es-CR"/>
        </w:rPr>
        <w:t xml:space="preserve"> </w:t>
      </w:r>
      <w:r w:rsidRPr="006C21E0">
        <w:rPr>
          <w:rFonts w:ascii="Verdana" w:hAnsi="Verdana"/>
          <w:sz w:val="20"/>
          <w:szCs w:val="20"/>
          <w:lang w:val="es-CR"/>
        </w:rPr>
        <w:t>provisionales determinadas en el presente asunto.</w:t>
      </w:r>
    </w:p>
    <w:p w14:paraId="5D60CDBE" w14:textId="77777777" w:rsidR="006C21E0" w:rsidRPr="006C21E0" w:rsidRDefault="006C21E0" w:rsidP="006C21E0">
      <w:pPr>
        <w:spacing w:before="20" w:after="20" w:line="240" w:lineRule="auto"/>
        <w:ind w:right="18"/>
        <w:jc w:val="both"/>
        <w:rPr>
          <w:rFonts w:ascii="Verdana" w:hAnsi="Verdana"/>
          <w:sz w:val="20"/>
          <w:szCs w:val="20"/>
          <w:lang w:val="es-CR"/>
        </w:rPr>
      </w:pPr>
    </w:p>
    <w:p w14:paraId="46B8E8F0" w14:textId="42D22EAA" w:rsidR="006C21E0" w:rsidRDefault="006C21E0" w:rsidP="002B6B04">
      <w:pPr>
        <w:spacing w:before="20" w:after="20" w:line="240" w:lineRule="auto"/>
        <w:ind w:right="18"/>
        <w:jc w:val="both"/>
        <w:rPr>
          <w:rFonts w:ascii="Verdana" w:hAnsi="Verdana"/>
          <w:sz w:val="20"/>
          <w:szCs w:val="20"/>
          <w:lang w:val="es-CR"/>
        </w:rPr>
      </w:pPr>
      <w:r w:rsidRPr="006C21E0">
        <w:rPr>
          <w:rFonts w:ascii="Verdana" w:hAnsi="Verdana"/>
          <w:sz w:val="20"/>
          <w:szCs w:val="20"/>
          <w:lang w:val="es-CR"/>
        </w:rPr>
        <w:t>6.</w:t>
      </w:r>
      <w:r>
        <w:rPr>
          <w:rFonts w:ascii="Verdana" w:hAnsi="Verdana"/>
          <w:sz w:val="20"/>
          <w:szCs w:val="20"/>
          <w:lang w:val="es-CR"/>
        </w:rPr>
        <w:tab/>
      </w:r>
      <w:r w:rsidRPr="006C21E0">
        <w:rPr>
          <w:rFonts w:ascii="Verdana" w:hAnsi="Verdana"/>
          <w:sz w:val="20"/>
          <w:szCs w:val="20"/>
          <w:lang w:val="es-CR"/>
        </w:rPr>
        <w:t xml:space="preserve"> Solicitar a la representación de los beneficiarios que presenten sus observaciones</w:t>
      </w:r>
      <w:r w:rsidR="002B6B04">
        <w:rPr>
          <w:rFonts w:ascii="Verdana" w:hAnsi="Verdana"/>
          <w:sz w:val="20"/>
          <w:szCs w:val="20"/>
          <w:lang w:val="es-CR"/>
        </w:rPr>
        <w:t xml:space="preserve"> </w:t>
      </w:r>
      <w:r w:rsidRPr="006C21E0">
        <w:rPr>
          <w:rFonts w:ascii="Verdana" w:hAnsi="Verdana"/>
          <w:sz w:val="20"/>
          <w:szCs w:val="20"/>
          <w:lang w:val="es-CR"/>
        </w:rPr>
        <w:t xml:space="preserve">dentro de un plazo de cuatro semanas contadas a partir de </w:t>
      </w:r>
      <w:r w:rsidR="002B6B04">
        <w:rPr>
          <w:rFonts w:ascii="Verdana" w:hAnsi="Verdana"/>
          <w:sz w:val="20"/>
          <w:szCs w:val="20"/>
          <w:lang w:val="es-CR"/>
        </w:rPr>
        <w:t xml:space="preserve">la notificación de los informes </w:t>
      </w:r>
      <w:r w:rsidRPr="006C21E0">
        <w:rPr>
          <w:rFonts w:ascii="Verdana" w:hAnsi="Verdana"/>
          <w:sz w:val="20"/>
          <w:szCs w:val="20"/>
          <w:lang w:val="es-CR"/>
        </w:rPr>
        <w:t>del Estado, así como a la Comisión Interamericana de Derec</w:t>
      </w:r>
      <w:r w:rsidR="002B6B04">
        <w:rPr>
          <w:rFonts w:ascii="Verdana" w:hAnsi="Verdana"/>
          <w:sz w:val="20"/>
          <w:szCs w:val="20"/>
          <w:lang w:val="es-CR"/>
        </w:rPr>
        <w:t xml:space="preserve">hos Humanos que presente sus </w:t>
      </w:r>
      <w:r w:rsidRPr="006C21E0">
        <w:rPr>
          <w:rFonts w:ascii="Verdana" w:hAnsi="Verdana"/>
          <w:sz w:val="20"/>
          <w:szCs w:val="20"/>
          <w:lang w:val="es-CR"/>
        </w:rPr>
        <w:t xml:space="preserve">observaciones a dichos informes del Estado dentro de un </w:t>
      </w:r>
      <w:r w:rsidR="002B6B04">
        <w:rPr>
          <w:rFonts w:ascii="Verdana" w:hAnsi="Verdana"/>
          <w:sz w:val="20"/>
          <w:szCs w:val="20"/>
          <w:lang w:val="es-CR"/>
        </w:rPr>
        <w:t xml:space="preserve">plazo de dos semanas contadas a </w:t>
      </w:r>
      <w:r w:rsidRPr="006C21E0">
        <w:rPr>
          <w:rFonts w:ascii="Verdana" w:hAnsi="Verdana"/>
          <w:sz w:val="20"/>
          <w:szCs w:val="20"/>
          <w:lang w:val="es-CR"/>
        </w:rPr>
        <w:t>partir de la recepción de las observaciones de los representantes.</w:t>
      </w:r>
    </w:p>
    <w:p w14:paraId="3119D149" w14:textId="77777777" w:rsidR="006C21E0" w:rsidRPr="006C21E0" w:rsidRDefault="006C21E0" w:rsidP="006C21E0">
      <w:pPr>
        <w:spacing w:before="20" w:after="20" w:line="240" w:lineRule="auto"/>
        <w:ind w:right="18"/>
        <w:jc w:val="both"/>
        <w:rPr>
          <w:rFonts w:ascii="Verdana" w:hAnsi="Verdana"/>
          <w:sz w:val="20"/>
          <w:szCs w:val="20"/>
          <w:lang w:val="es-CR"/>
        </w:rPr>
      </w:pPr>
    </w:p>
    <w:p w14:paraId="6A61DCD9" w14:textId="77777777" w:rsidR="002B6B04" w:rsidRDefault="00B75B22" w:rsidP="00514AE5">
      <w:pPr>
        <w:spacing w:after="0" w:line="240" w:lineRule="auto"/>
        <w:jc w:val="both"/>
        <w:rPr>
          <w:rFonts w:ascii="Verdana" w:hAnsi="Verdana"/>
          <w:sz w:val="20"/>
          <w:szCs w:val="20"/>
          <w:lang w:val="es-CR"/>
        </w:rPr>
      </w:pPr>
      <w:r w:rsidRPr="008818D3">
        <w:rPr>
          <w:rFonts w:ascii="Verdana" w:hAnsi="Verdana"/>
          <w:sz w:val="20"/>
          <w:szCs w:val="20"/>
          <w:lang w:val="es-GT"/>
        </w:rPr>
        <w:t>Disponer que</w:t>
      </w:r>
      <w:r w:rsidRPr="008818D3">
        <w:rPr>
          <w:rFonts w:ascii="Verdana" w:hAnsi="Verdana"/>
          <w:sz w:val="20"/>
          <w:szCs w:val="20"/>
          <w:lang w:val="es-MX"/>
        </w:rPr>
        <w:t xml:space="preserve"> la Secretaría de la Corte notifique la presente Resolución al Estado de Nicaragua, a la Comisión Interamericana </w:t>
      </w:r>
      <w:r w:rsidR="008A199D" w:rsidRPr="00095453">
        <w:rPr>
          <w:rFonts w:ascii="Verdana" w:hAnsi="Verdana"/>
          <w:sz w:val="20"/>
          <w:szCs w:val="20"/>
          <w:lang w:val="es-MX"/>
        </w:rPr>
        <w:t xml:space="preserve">y </w:t>
      </w:r>
      <w:r w:rsidRPr="00B23996">
        <w:rPr>
          <w:rFonts w:ascii="Verdana" w:hAnsi="Verdana"/>
          <w:sz w:val="20"/>
          <w:szCs w:val="20"/>
          <w:lang w:val="es-CR"/>
        </w:rPr>
        <w:t>a la representación de los beneficiarios.</w:t>
      </w:r>
      <w:r w:rsidR="002B6B04">
        <w:rPr>
          <w:rFonts w:ascii="Verdana" w:hAnsi="Verdana"/>
          <w:sz w:val="20"/>
          <w:szCs w:val="20"/>
          <w:lang w:val="es-CR"/>
        </w:rPr>
        <w:t xml:space="preserve"> </w:t>
      </w:r>
    </w:p>
    <w:p w14:paraId="69A30ABF" w14:textId="77777777" w:rsidR="002B6B04" w:rsidRDefault="002B6B04" w:rsidP="00514AE5">
      <w:pPr>
        <w:spacing w:after="0" w:line="240" w:lineRule="auto"/>
        <w:jc w:val="both"/>
        <w:rPr>
          <w:rFonts w:ascii="Verdana" w:hAnsi="Verdana"/>
          <w:sz w:val="20"/>
          <w:szCs w:val="20"/>
          <w:lang w:val="es-CR"/>
        </w:rPr>
      </w:pPr>
    </w:p>
    <w:p w14:paraId="02BDF69A" w14:textId="77777777" w:rsidR="002B6B04" w:rsidRDefault="002B6B04" w:rsidP="00514AE5">
      <w:pPr>
        <w:spacing w:after="0" w:line="240" w:lineRule="auto"/>
        <w:jc w:val="both"/>
        <w:rPr>
          <w:rFonts w:ascii="Verdana" w:hAnsi="Verdana"/>
          <w:sz w:val="20"/>
          <w:szCs w:val="20"/>
          <w:lang w:val="es-CR"/>
        </w:rPr>
      </w:pPr>
    </w:p>
    <w:p w14:paraId="24686BBA" w14:textId="77777777" w:rsidR="002B6B04" w:rsidRDefault="002B6B04" w:rsidP="00514AE5">
      <w:pPr>
        <w:spacing w:after="0" w:line="240" w:lineRule="auto"/>
        <w:jc w:val="both"/>
        <w:rPr>
          <w:rFonts w:ascii="Verdana" w:hAnsi="Verdana"/>
          <w:sz w:val="20"/>
          <w:szCs w:val="20"/>
          <w:lang w:val="es-CR"/>
        </w:rPr>
      </w:pPr>
    </w:p>
    <w:p w14:paraId="4C444E4D" w14:textId="77777777" w:rsidR="002B6B04" w:rsidRDefault="002B6B04" w:rsidP="00514AE5">
      <w:pPr>
        <w:spacing w:after="0" w:line="240" w:lineRule="auto"/>
        <w:jc w:val="both"/>
        <w:rPr>
          <w:rFonts w:ascii="Verdana" w:hAnsi="Verdana"/>
          <w:sz w:val="20"/>
          <w:szCs w:val="20"/>
          <w:lang w:val="es-CR"/>
        </w:rPr>
      </w:pPr>
    </w:p>
    <w:p w14:paraId="431A948A" w14:textId="77777777" w:rsidR="0000645F" w:rsidRDefault="0000645F" w:rsidP="00514AE5">
      <w:pPr>
        <w:spacing w:after="0" w:line="240" w:lineRule="auto"/>
        <w:jc w:val="both"/>
        <w:rPr>
          <w:rFonts w:ascii="Verdana" w:hAnsi="Verdana"/>
          <w:sz w:val="20"/>
          <w:lang w:val="es-CR"/>
        </w:rPr>
      </w:pPr>
    </w:p>
    <w:p w14:paraId="4E8DC62B" w14:textId="77777777" w:rsidR="009E4BCD" w:rsidRDefault="009E4BCD" w:rsidP="00514AE5">
      <w:pPr>
        <w:spacing w:after="0" w:line="240" w:lineRule="auto"/>
        <w:jc w:val="both"/>
        <w:rPr>
          <w:rFonts w:ascii="Verdana" w:hAnsi="Verdana"/>
          <w:sz w:val="20"/>
          <w:lang w:val="es-CR"/>
        </w:rPr>
      </w:pPr>
    </w:p>
    <w:p w14:paraId="2FF83DF5" w14:textId="77777777" w:rsidR="009E4BCD" w:rsidRDefault="009E4BCD" w:rsidP="00514AE5">
      <w:pPr>
        <w:spacing w:after="0" w:line="240" w:lineRule="auto"/>
        <w:jc w:val="both"/>
        <w:rPr>
          <w:rFonts w:ascii="Verdana" w:hAnsi="Verdana"/>
          <w:sz w:val="20"/>
          <w:lang w:val="es-CR"/>
        </w:rPr>
      </w:pPr>
    </w:p>
    <w:p w14:paraId="616DADC7" w14:textId="77777777" w:rsidR="009E4BCD" w:rsidRDefault="009E4BCD" w:rsidP="00514AE5">
      <w:pPr>
        <w:spacing w:after="0" w:line="240" w:lineRule="auto"/>
        <w:jc w:val="both"/>
        <w:rPr>
          <w:rFonts w:ascii="Verdana" w:hAnsi="Verdana"/>
          <w:sz w:val="20"/>
          <w:lang w:val="es-CR"/>
        </w:rPr>
      </w:pPr>
    </w:p>
    <w:p w14:paraId="47B099F6" w14:textId="77777777" w:rsidR="009E4BCD" w:rsidRDefault="009E4BCD" w:rsidP="00514AE5">
      <w:pPr>
        <w:spacing w:after="0" w:line="240" w:lineRule="auto"/>
        <w:jc w:val="both"/>
        <w:rPr>
          <w:rFonts w:ascii="Verdana" w:hAnsi="Verdana"/>
          <w:sz w:val="20"/>
          <w:lang w:val="es-CR"/>
        </w:rPr>
      </w:pPr>
    </w:p>
    <w:p w14:paraId="6DC138CA" w14:textId="77777777" w:rsidR="0000645F" w:rsidRDefault="0000645F" w:rsidP="00514AE5">
      <w:pPr>
        <w:spacing w:after="0" w:line="240" w:lineRule="auto"/>
        <w:jc w:val="both"/>
        <w:rPr>
          <w:rFonts w:ascii="Verdana" w:hAnsi="Verdana"/>
          <w:sz w:val="20"/>
          <w:lang w:val="es-CR"/>
        </w:rPr>
      </w:pPr>
    </w:p>
    <w:p w14:paraId="337D2585" w14:textId="4DD189D9" w:rsidR="0000645F" w:rsidRDefault="0000645F" w:rsidP="0000645F">
      <w:pPr>
        <w:spacing w:after="0" w:line="240" w:lineRule="auto"/>
        <w:jc w:val="both"/>
        <w:rPr>
          <w:rFonts w:ascii="Verdana" w:hAnsi="Verdana"/>
          <w:sz w:val="20"/>
          <w:lang w:val="es-CR"/>
        </w:rPr>
      </w:pPr>
      <w:r w:rsidRPr="007170C5">
        <w:rPr>
          <w:rFonts w:ascii="Verdana" w:hAnsi="Verdana"/>
          <w:sz w:val="20"/>
          <w:lang w:val="es-CR"/>
        </w:rPr>
        <w:t xml:space="preserve">Resolución de la Corte Interamericana de Derechos Humanos. </w:t>
      </w:r>
      <w:r>
        <w:rPr>
          <w:rFonts w:ascii="Verdana" w:hAnsi="Verdana"/>
          <w:sz w:val="20"/>
          <w:lang w:val="es-CR"/>
        </w:rPr>
        <w:t xml:space="preserve">Ampliación de </w:t>
      </w:r>
      <w:r w:rsidRPr="007170C5">
        <w:rPr>
          <w:rFonts w:ascii="Verdana" w:hAnsi="Verdana"/>
          <w:sz w:val="20"/>
          <w:lang w:val="es-CR"/>
        </w:rPr>
        <w:t>Medidas Pro</w:t>
      </w:r>
      <w:r>
        <w:rPr>
          <w:rFonts w:ascii="Verdana" w:hAnsi="Verdana"/>
          <w:sz w:val="20"/>
          <w:lang w:val="es-CR"/>
        </w:rPr>
        <w:t>visionales respecto de Nicaragua</w:t>
      </w:r>
      <w:r w:rsidRPr="007170C5">
        <w:rPr>
          <w:rFonts w:ascii="Verdana" w:hAnsi="Verdana"/>
          <w:sz w:val="20"/>
          <w:lang w:val="es-CR"/>
        </w:rPr>
        <w:t xml:space="preserve">. </w:t>
      </w:r>
      <w:r>
        <w:rPr>
          <w:rFonts w:ascii="Verdana" w:hAnsi="Verdana"/>
          <w:sz w:val="20"/>
          <w:lang w:val="es-CR"/>
        </w:rPr>
        <w:t>Asunto Pobladores de las Comunidades del Pueblo Indígena Miskitu de la Región Costa Caribe Norte.</w:t>
      </w:r>
      <w:r w:rsidR="003366F0">
        <w:rPr>
          <w:rFonts w:ascii="Verdana" w:hAnsi="Verdana"/>
          <w:sz w:val="20"/>
          <w:lang w:val="es-CR"/>
        </w:rPr>
        <w:t xml:space="preserve"> 23 de agosto de 2018.</w:t>
      </w:r>
    </w:p>
    <w:p w14:paraId="471CE386" w14:textId="77777777" w:rsidR="003366F0" w:rsidRDefault="003366F0" w:rsidP="003366F0">
      <w:pPr>
        <w:spacing w:after="0" w:line="240" w:lineRule="auto"/>
        <w:rPr>
          <w:rFonts w:ascii="Verdana" w:hAnsi="Verdana"/>
          <w:sz w:val="20"/>
          <w:lang w:val="es-CR"/>
        </w:rPr>
      </w:pPr>
    </w:p>
    <w:p w14:paraId="0E79AE63" w14:textId="77777777" w:rsidR="002276EC" w:rsidRDefault="002276EC" w:rsidP="003366F0">
      <w:pPr>
        <w:spacing w:after="0" w:line="240" w:lineRule="auto"/>
        <w:rPr>
          <w:rFonts w:ascii="Verdana" w:hAnsi="Verdana"/>
          <w:sz w:val="20"/>
          <w:lang w:val="es-CR"/>
        </w:rPr>
      </w:pPr>
    </w:p>
    <w:p w14:paraId="6D23C8E1" w14:textId="77777777" w:rsidR="002276EC" w:rsidRDefault="002276EC" w:rsidP="003366F0">
      <w:pPr>
        <w:spacing w:after="0" w:line="240" w:lineRule="auto"/>
        <w:rPr>
          <w:rFonts w:ascii="Verdana" w:hAnsi="Verdana"/>
          <w:sz w:val="20"/>
          <w:lang w:val="es-CR"/>
        </w:rPr>
      </w:pPr>
    </w:p>
    <w:p w14:paraId="10DE536E" w14:textId="77777777" w:rsidR="002276EC" w:rsidRPr="002B79FB" w:rsidRDefault="002276EC" w:rsidP="003366F0">
      <w:pPr>
        <w:spacing w:after="0" w:line="240" w:lineRule="auto"/>
        <w:rPr>
          <w:rFonts w:ascii="Verdana" w:hAnsi="Verdana"/>
          <w:sz w:val="20"/>
          <w:lang w:val="es-CR"/>
        </w:rPr>
      </w:pPr>
    </w:p>
    <w:p w14:paraId="0B5417E0" w14:textId="50078AC1" w:rsidR="003366F0" w:rsidRPr="002B79FB" w:rsidRDefault="003366F0" w:rsidP="003362B1">
      <w:pPr>
        <w:spacing w:after="0" w:line="240" w:lineRule="auto"/>
        <w:jc w:val="center"/>
        <w:rPr>
          <w:rFonts w:ascii="Verdana" w:hAnsi="Verdana"/>
          <w:sz w:val="20"/>
          <w:lang w:val="es-CR"/>
        </w:rPr>
      </w:pPr>
    </w:p>
    <w:p w14:paraId="3424A698" w14:textId="3CAEE795" w:rsidR="003366F0" w:rsidRPr="002B79FB" w:rsidRDefault="003366F0" w:rsidP="003366F0">
      <w:pPr>
        <w:spacing w:after="0" w:line="240" w:lineRule="auto"/>
        <w:jc w:val="center"/>
        <w:rPr>
          <w:rFonts w:ascii="Verdana" w:hAnsi="Verdana"/>
          <w:sz w:val="20"/>
          <w:lang w:val="es-CR"/>
        </w:rPr>
      </w:pPr>
      <w:r>
        <w:rPr>
          <w:rFonts w:ascii="Verdana" w:hAnsi="Verdana"/>
          <w:sz w:val="20"/>
          <w:lang w:val="es-CR"/>
        </w:rPr>
        <w:t xml:space="preserve">Eduardo Ferrer Mac-Gregor Poisot </w:t>
      </w:r>
    </w:p>
    <w:p w14:paraId="7D17F439" w14:textId="0952E192" w:rsidR="003366F0" w:rsidRPr="002B79FB" w:rsidRDefault="003366F0" w:rsidP="003366F0">
      <w:pPr>
        <w:spacing w:after="0" w:line="240" w:lineRule="auto"/>
        <w:jc w:val="center"/>
        <w:rPr>
          <w:rFonts w:ascii="Verdana" w:hAnsi="Verdana"/>
          <w:sz w:val="20"/>
          <w:lang w:val="es-CR"/>
        </w:rPr>
      </w:pPr>
      <w:r w:rsidRPr="002B79FB">
        <w:rPr>
          <w:rFonts w:ascii="Verdana" w:hAnsi="Verdana"/>
          <w:sz w:val="20"/>
          <w:lang w:val="es-CR"/>
        </w:rPr>
        <w:t xml:space="preserve">Presidente </w:t>
      </w:r>
    </w:p>
    <w:p w14:paraId="1B013B33" w14:textId="2E0669FA" w:rsidR="003366F0" w:rsidRPr="002B79FB" w:rsidRDefault="003366F0" w:rsidP="003366F0">
      <w:pPr>
        <w:spacing w:after="0" w:line="240" w:lineRule="auto"/>
        <w:jc w:val="both"/>
        <w:rPr>
          <w:rFonts w:ascii="Verdana" w:hAnsi="Verdana"/>
          <w:sz w:val="20"/>
          <w:lang w:val="es-CR"/>
        </w:rPr>
      </w:pPr>
    </w:p>
    <w:p w14:paraId="1948DD2F" w14:textId="7AA23A99" w:rsidR="003366F0" w:rsidRDefault="003366F0" w:rsidP="003366F0">
      <w:pPr>
        <w:spacing w:after="0" w:line="240" w:lineRule="auto"/>
        <w:jc w:val="both"/>
        <w:rPr>
          <w:rFonts w:ascii="Verdana" w:hAnsi="Verdana"/>
          <w:sz w:val="20"/>
          <w:lang w:val="es-CR"/>
        </w:rPr>
      </w:pPr>
    </w:p>
    <w:p w14:paraId="55A05ECB" w14:textId="77777777" w:rsidR="002276EC" w:rsidRPr="002B79FB" w:rsidRDefault="002276EC" w:rsidP="003366F0">
      <w:pPr>
        <w:spacing w:after="0" w:line="240" w:lineRule="auto"/>
        <w:jc w:val="both"/>
        <w:rPr>
          <w:rFonts w:ascii="Verdana" w:hAnsi="Verdana"/>
          <w:sz w:val="20"/>
          <w:lang w:val="es-CR"/>
        </w:rPr>
      </w:pPr>
    </w:p>
    <w:p w14:paraId="6B0DF94B" w14:textId="77777777" w:rsidR="003366F0" w:rsidRPr="002B79FB" w:rsidRDefault="003366F0" w:rsidP="003366F0">
      <w:pPr>
        <w:spacing w:after="0" w:line="240" w:lineRule="auto"/>
        <w:jc w:val="both"/>
        <w:rPr>
          <w:rFonts w:ascii="Verdana" w:hAnsi="Verdana"/>
          <w:sz w:val="20"/>
          <w:lang w:val="es-CR"/>
        </w:rPr>
      </w:pPr>
    </w:p>
    <w:p w14:paraId="1221A2A4" w14:textId="7792ABAA" w:rsidR="003366F0" w:rsidRPr="002B79FB" w:rsidRDefault="00135A61" w:rsidP="00135A61">
      <w:pPr>
        <w:spacing w:after="0" w:line="240" w:lineRule="auto"/>
        <w:rPr>
          <w:rFonts w:ascii="Verdana" w:hAnsi="Verdana"/>
          <w:sz w:val="20"/>
          <w:lang w:val="es-CR"/>
        </w:rPr>
      </w:pP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p>
    <w:p w14:paraId="2F6932BD" w14:textId="4F322C01" w:rsidR="003366F0" w:rsidRDefault="003366F0" w:rsidP="003366F0">
      <w:pPr>
        <w:spacing w:after="0" w:line="240" w:lineRule="auto"/>
        <w:jc w:val="both"/>
        <w:rPr>
          <w:rFonts w:ascii="Verdana" w:hAnsi="Verdana"/>
          <w:sz w:val="20"/>
          <w:lang w:val="es-CR"/>
        </w:rPr>
      </w:pPr>
      <w:r>
        <w:rPr>
          <w:rFonts w:ascii="Verdana" w:hAnsi="Verdana"/>
          <w:sz w:val="20"/>
          <w:lang w:val="es-CR"/>
        </w:rPr>
        <w:t>Humberto Antonio Sierra Porto</w:t>
      </w:r>
      <w:r w:rsidRPr="003366F0">
        <w:rPr>
          <w:rFonts w:ascii="Verdana" w:hAnsi="Verdana"/>
          <w:sz w:val="20"/>
          <w:lang w:val="es-CR"/>
        </w:rPr>
        <w:t xml:space="preserve"> </w:t>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 xml:space="preserve"> Elizabeth Odio Benito</w:t>
      </w:r>
    </w:p>
    <w:p w14:paraId="71CC493C" w14:textId="1CF71D77" w:rsidR="003366F0" w:rsidRDefault="003366F0" w:rsidP="003366F0">
      <w:pPr>
        <w:spacing w:after="0" w:line="240" w:lineRule="auto"/>
        <w:jc w:val="both"/>
        <w:rPr>
          <w:rFonts w:ascii="Verdana" w:hAnsi="Verdana"/>
          <w:sz w:val="20"/>
          <w:lang w:val="es-CR"/>
        </w:rPr>
      </w:pPr>
    </w:p>
    <w:p w14:paraId="45227510" w14:textId="77777777" w:rsidR="003366F0" w:rsidRDefault="003366F0" w:rsidP="003366F0">
      <w:pPr>
        <w:spacing w:after="0" w:line="240" w:lineRule="auto"/>
        <w:jc w:val="both"/>
        <w:rPr>
          <w:rFonts w:ascii="Verdana" w:hAnsi="Verdana"/>
          <w:sz w:val="20"/>
          <w:lang w:val="es-CR"/>
        </w:rPr>
      </w:pPr>
    </w:p>
    <w:p w14:paraId="0D4E8AB1" w14:textId="77777777" w:rsidR="002276EC" w:rsidRDefault="002276EC" w:rsidP="003366F0">
      <w:pPr>
        <w:spacing w:after="0" w:line="240" w:lineRule="auto"/>
        <w:jc w:val="both"/>
        <w:rPr>
          <w:rFonts w:ascii="Verdana" w:hAnsi="Verdana"/>
          <w:sz w:val="20"/>
          <w:lang w:val="es-CR"/>
        </w:rPr>
      </w:pPr>
    </w:p>
    <w:p w14:paraId="55F1C0CD" w14:textId="4507B29D" w:rsidR="003366F0" w:rsidRDefault="003366F0" w:rsidP="003366F0">
      <w:pPr>
        <w:spacing w:after="0" w:line="240" w:lineRule="auto"/>
        <w:jc w:val="both"/>
        <w:rPr>
          <w:rFonts w:ascii="Verdana" w:hAnsi="Verdana"/>
          <w:sz w:val="20"/>
          <w:lang w:val="es-CR"/>
        </w:rPr>
      </w:pPr>
    </w:p>
    <w:p w14:paraId="367E5815" w14:textId="52CF1108" w:rsidR="003366F0" w:rsidRDefault="003362B1" w:rsidP="003366F0">
      <w:pPr>
        <w:spacing w:after="0" w:line="240" w:lineRule="auto"/>
        <w:jc w:val="both"/>
        <w:rPr>
          <w:rFonts w:ascii="Verdana" w:hAnsi="Verdana"/>
          <w:sz w:val="20"/>
          <w:lang w:val="es-CR"/>
        </w:rPr>
      </w:pP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p>
    <w:p w14:paraId="596AA10C" w14:textId="517CAB36" w:rsidR="003366F0" w:rsidRDefault="003366F0" w:rsidP="003366F0">
      <w:pPr>
        <w:spacing w:after="0" w:line="240" w:lineRule="auto"/>
        <w:jc w:val="both"/>
        <w:rPr>
          <w:rFonts w:ascii="Verdana" w:hAnsi="Verdana"/>
          <w:sz w:val="20"/>
          <w:lang w:val="es-CR"/>
        </w:rPr>
      </w:pPr>
      <w:r>
        <w:rPr>
          <w:rFonts w:ascii="Verdana" w:hAnsi="Verdana"/>
          <w:sz w:val="20"/>
          <w:lang w:val="es-CR"/>
        </w:rPr>
        <w:t>Eugenio Raúl Zaffaroni</w:t>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 xml:space="preserve">      L. Patricio Pazmiño Freire</w:t>
      </w:r>
    </w:p>
    <w:p w14:paraId="6AB1272B" w14:textId="77777777" w:rsidR="003366F0" w:rsidRDefault="003366F0" w:rsidP="003366F0">
      <w:pPr>
        <w:spacing w:after="0" w:line="240" w:lineRule="auto"/>
        <w:rPr>
          <w:rFonts w:ascii="Verdana" w:hAnsi="Verdana"/>
          <w:sz w:val="20"/>
          <w:lang w:val="es-CR"/>
        </w:rPr>
      </w:pPr>
      <w:r>
        <w:rPr>
          <w:rFonts w:ascii="Verdana" w:hAnsi="Verdana"/>
          <w:sz w:val="20"/>
          <w:lang w:val="es-CR"/>
        </w:rPr>
        <w:tab/>
      </w:r>
      <w:r>
        <w:rPr>
          <w:rFonts w:ascii="Verdana" w:hAnsi="Verdana"/>
          <w:sz w:val="20"/>
          <w:lang w:val="es-CR"/>
        </w:rPr>
        <w:tab/>
      </w:r>
      <w:r>
        <w:rPr>
          <w:rFonts w:ascii="Verdana" w:hAnsi="Verdana"/>
          <w:sz w:val="20"/>
          <w:lang w:val="es-CR"/>
        </w:rPr>
        <w:tab/>
      </w:r>
    </w:p>
    <w:p w14:paraId="7886C31E" w14:textId="77777777" w:rsidR="003366F0" w:rsidRDefault="003366F0" w:rsidP="003366F0">
      <w:pPr>
        <w:spacing w:after="0" w:line="240" w:lineRule="auto"/>
        <w:rPr>
          <w:rFonts w:ascii="Verdana" w:hAnsi="Verdana"/>
          <w:sz w:val="20"/>
          <w:lang w:val="es-CR"/>
        </w:rPr>
      </w:pPr>
    </w:p>
    <w:p w14:paraId="64F85E57" w14:textId="77777777" w:rsidR="003366F0" w:rsidRDefault="003366F0" w:rsidP="003366F0">
      <w:pPr>
        <w:tabs>
          <w:tab w:val="left" w:pos="8460"/>
          <w:tab w:val="left" w:pos="8640"/>
        </w:tabs>
        <w:spacing w:after="0" w:line="240" w:lineRule="auto"/>
        <w:jc w:val="both"/>
        <w:rPr>
          <w:rFonts w:ascii="Verdana" w:hAnsi="Verdana"/>
          <w:sz w:val="20"/>
          <w:lang w:val="es-CR"/>
        </w:rPr>
      </w:pPr>
    </w:p>
    <w:p w14:paraId="729082FF" w14:textId="77777777" w:rsidR="002276EC" w:rsidRDefault="002276EC" w:rsidP="003366F0">
      <w:pPr>
        <w:tabs>
          <w:tab w:val="left" w:pos="8460"/>
          <w:tab w:val="left" w:pos="8640"/>
        </w:tabs>
        <w:spacing w:after="0" w:line="240" w:lineRule="auto"/>
        <w:jc w:val="both"/>
        <w:rPr>
          <w:rFonts w:ascii="Verdana" w:hAnsi="Verdana"/>
          <w:sz w:val="20"/>
          <w:lang w:val="es-CR"/>
        </w:rPr>
      </w:pPr>
    </w:p>
    <w:p w14:paraId="274826F8" w14:textId="33B7B408" w:rsidR="003366F0" w:rsidRPr="00274D2F" w:rsidRDefault="003366F0" w:rsidP="003366F0">
      <w:pPr>
        <w:tabs>
          <w:tab w:val="left" w:pos="8460"/>
          <w:tab w:val="left" w:pos="8640"/>
        </w:tabs>
        <w:spacing w:after="0" w:line="240" w:lineRule="auto"/>
        <w:jc w:val="both"/>
        <w:rPr>
          <w:rFonts w:ascii="Verdana" w:hAnsi="Verdana"/>
          <w:sz w:val="20"/>
          <w:lang w:val="es-CR"/>
        </w:rPr>
      </w:pPr>
    </w:p>
    <w:p w14:paraId="160BB922" w14:textId="77777777" w:rsidR="003366F0" w:rsidRPr="002B79FB" w:rsidRDefault="003366F0" w:rsidP="003366F0">
      <w:pPr>
        <w:tabs>
          <w:tab w:val="left" w:pos="8460"/>
          <w:tab w:val="left" w:pos="8640"/>
        </w:tabs>
        <w:spacing w:after="0" w:line="240" w:lineRule="auto"/>
        <w:jc w:val="center"/>
        <w:rPr>
          <w:rFonts w:ascii="Verdana" w:hAnsi="Verdana"/>
          <w:sz w:val="20"/>
          <w:lang w:val="es-CR"/>
        </w:rPr>
      </w:pPr>
      <w:r w:rsidRPr="002B79FB">
        <w:rPr>
          <w:rFonts w:ascii="Verdana" w:hAnsi="Verdana"/>
          <w:sz w:val="20"/>
          <w:lang w:val="es-CR"/>
        </w:rPr>
        <w:t>Pablo Saavedra Alessandri</w:t>
      </w:r>
    </w:p>
    <w:p w14:paraId="5ACA1A4D" w14:textId="0FC6B313" w:rsidR="003366F0" w:rsidRPr="003366F0" w:rsidRDefault="003366F0" w:rsidP="003366F0">
      <w:pPr>
        <w:tabs>
          <w:tab w:val="left" w:pos="8460"/>
          <w:tab w:val="left" w:pos="8640"/>
        </w:tabs>
        <w:spacing w:after="0" w:line="240" w:lineRule="auto"/>
        <w:jc w:val="center"/>
        <w:rPr>
          <w:rFonts w:ascii="Verdana" w:hAnsi="Verdana"/>
          <w:sz w:val="20"/>
          <w:lang w:val="es-CR"/>
        </w:rPr>
      </w:pPr>
      <w:r w:rsidRPr="003366F0">
        <w:rPr>
          <w:rFonts w:ascii="Verdana" w:hAnsi="Verdana"/>
          <w:sz w:val="20"/>
          <w:lang w:val="es-CR"/>
        </w:rPr>
        <w:t>Secretario</w:t>
      </w:r>
    </w:p>
    <w:p w14:paraId="165FEAB8" w14:textId="6CCD449C" w:rsidR="003366F0" w:rsidRPr="003366F0" w:rsidRDefault="003366F0" w:rsidP="003366F0">
      <w:pPr>
        <w:tabs>
          <w:tab w:val="left" w:pos="8460"/>
          <w:tab w:val="left" w:pos="8640"/>
        </w:tabs>
        <w:spacing w:after="0" w:line="240" w:lineRule="auto"/>
        <w:jc w:val="both"/>
        <w:rPr>
          <w:rFonts w:ascii="Verdana" w:hAnsi="Verdana"/>
          <w:sz w:val="20"/>
          <w:lang w:val="es-CR"/>
        </w:rPr>
      </w:pPr>
    </w:p>
    <w:p w14:paraId="78BC5A26" w14:textId="77777777" w:rsidR="003366F0" w:rsidRPr="003366F0" w:rsidRDefault="003366F0" w:rsidP="003366F0">
      <w:pPr>
        <w:spacing w:after="0" w:line="240" w:lineRule="auto"/>
        <w:jc w:val="both"/>
        <w:rPr>
          <w:rFonts w:ascii="Verdana" w:hAnsi="Verdana"/>
          <w:sz w:val="20"/>
          <w:lang w:val="es-CR"/>
        </w:rPr>
      </w:pPr>
    </w:p>
    <w:p w14:paraId="6CDB64AE" w14:textId="77777777" w:rsidR="003366F0" w:rsidRPr="003366F0" w:rsidRDefault="003366F0" w:rsidP="003366F0">
      <w:pPr>
        <w:tabs>
          <w:tab w:val="left" w:pos="8460"/>
          <w:tab w:val="left" w:pos="8640"/>
        </w:tabs>
        <w:spacing w:after="0" w:line="240" w:lineRule="auto"/>
        <w:jc w:val="both"/>
        <w:rPr>
          <w:rFonts w:ascii="Verdana" w:hAnsi="Verdana"/>
          <w:sz w:val="20"/>
          <w:lang w:val="es-CR"/>
        </w:rPr>
      </w:pPr>
      <w:r w:rsidRPr="003366F0">
        <w:rPr>
          <w:rFonts w:ascii="Verdana" w:hAnsi="Verdana"/>
          <w:sz w:val="20"/>
          <w:lang w:val="es-CR"/>
        </w:rPr>
        <w:t>Comuníquese y ejecútese,</w:t>
      </w:r>
    </w:p>
    <w:p w14:paraId="4EE34589" w14:textId="77777777" w:rsidR="003366F0" w:rsidRPr="003366F0" w:rsidRDefault="003366F0" w:rsidP="003366F0">
      <w:pPr>
        <w:tabs>
          <w:tab w:val="left" w:pos="8460"/>
          <w:tab w:val="left" w:pos="8640"/>
        </w:tabs>
        <w:spacing w:after="0" w:line="240" w:lineRule="auto"/>
        <w:jc w:val="both"/>
        <w:rPr>
          <w:rFonts w:ascii="Verdana" w:hAnsi="Verdana"/>
          <w:sz w:val="20"/>
          <w:lang w:val="es-CR"/>
        </w:rPr>
      </w:pPr>
    </w:p>
    <w:p w14:paraId="7FEF7155" w14:textId="19CDF34F" w:rsidR="003366F0" w:rsidRPr="003366F0" w:rsidRDefault="003366F0" w:rsidP="003366F0">
      <w:pPr>
        <w:tabs>
          <w:tab w:val="left" w:pos="8460"/>
          <w:tab w:val="left" w:pos="8640"/>
        </w:tabs>
        <w:spacing w:after="0" w:line="240" w:lineRule="auto"/>
        <w:jc w:val="both"/>
        <w:rPr>
          <w:rFonts w:ascii="Verdana" w:hAnsi="Verdana"/>
          <w:sz w:val="20"/>
          <w:lang w:val="es-CR"/>
        </w:rPr>
      </w:pPr>
    </w:p>
    <w:p w14:paraId="1FDBBE8B" w14:textId="5B40C20F" w:rsidR="003366F0" w:rsidRPr="003366F0" w:rsidRDefault="003366F0" w:rsidP="003366F0">
      <w:pPr>
        <w:tabs>
          <w:tab w:val="left" w:pos="8460"/>
          <w:tab w:val="left" w:pos="8640"/>
        </w:tabs>
        <w:spacing w:after="0" w:line="240" w:lineRule="auto"/>
        <w:jc w:val="both"/>
        <w:rPr>
          <w:rFonts w:ascii="Verdana" w:hAnsi="Verdana"/>
          <w:sz w:val="20"/>
          <w:lang w:val="es-CR"/>
        </w:rPr>
      </w:pPr>
    </w:p>
    <w:p w14:paraId="4C29AD4B" w14:textId="77777777" w:rsidR="003366F0" w:rsidRPr="002B79FB" w:rsidRDefault="003366F0" w:rsidP="003366F0">
      <w:pPr>
        <w:spacing w:after="0" w:line="240" w:lineRule="auto"/>
        <w:jc w:val="right"/>
        <w:rPr>
          <w:rFonts w:ascii="Verdana" w:hAnsi="Verdana"/>
          <w:sz w:val="20"/>
          <w:lang w:val="es-CR"/>
        </w:rPr>
      </w:pPr>
      <w:r>
        <w:rPr>
          <w:rFonts w:ascii="Verdana" w:hAnsi="Verdana"/>
          <w:sz w:val="20"/>
          <w:lang w:val="es-CR"/>
        </w:rPr>
        <w:t>Eduardo Ferrer Mac-Gregor Poisot</w:t>
      </w:r>
    </w:p>
    <w:p w14:paraId="75E9E511" w14:textId="38C33C20" w:rsidR="003366F0" w:rsidRPr="002B79FB" w:rsidRDefault="003366F0" w:rsidP="003366F0">
      <w:pPr>
        <w:spacing w:after="0" w:line="240" w:lineRule="auto"/>
        <w:ind w:right="1170"/>
        <w:jc w:val="right"/>
        <w:rPr>
          <w:rFonts w:ascii="Verdana" w:hAnsi="Verdana"/>
          <w:sz w:val="20"/>
          <w:lang w:val="es-CR"/>
        </w:rPr>
      </w:pPr>
      <w:r w:rsidRPr="002B79FB">
        <w:rPr>
          <w:rFonts w:ascii="Verdana" w:hAnsi="Verdana"/>
          <w:sz w:val="20"/>
          <w:lang w:val="es-CR"/>
        </w:rPr>
        <w:t xml:space="preserve">Presidente </w:t>
      </w:r>
    </w:p>
    <w:p w14:paraId="2905C0AD" w14:textId="77777777" w:rsidR="003366F0" w:rsidRPr="002B79FB" w:rsidRDefault="003366F0" w:rsidP="003366F0">
      <w:pPr>
        <w:tabs>
          <w:tab w:val="left" w:pos="8460"/>
          <w:tab w:val="left" w:pos="8640"/>
        </w:tabs>
        <w:spacing w:after="0" w:line="240" w:lineRule="auto"/>
        <w:jc w:val="both"/>
        <w:rPr>
          <w:rFonts w:ascii="Verdana" w:hAnsi="Verdana"/>
          <w:sz w:val="20"/>
          <w:lang w:val="es-CR"/>
        </w:rPr>
      </w:pPr>
    </w:p>
    <w:p w14:paraId="5CBD7E4B" w14:textId="77777777" w:rsidR="003366F0" w:rsidRPr="002B79FB" w:rsidRDefault="003366F0" w:rsidP="003366F0">
      <w:pPr>
        <w:tabs>
          <w:tab w:val="left" w:pos="8460"/>
          <w:tab w:val="left" w:pos="8640"/>
        </w:tabs>
        <w:spacing w:after="0" w:line="240" w:lineRule="auto"/>
        <w:jc w:val="both"/>
        <w:rPr>
          <w:rFonts w:ascii="Verdana" w:hAnsi="Verdana"/>
          <w:sz w:val="20"/>
          <w:lang w:val="es-CR"/>
        </w:rPr>
      </w:pPr>
    </w:p>
    <w:p w14:paraId="6CA2EE17" w14:textId="77777777" w:rsidR="003366F0" w:rsidRPr="002B79FB" w:rsidRDefault="003366F0" w:rsidP="003366F0">
      <w:pPr>
        <w:tabs>
          <w:tab w:val="left" w:pos="8460"/>
          <w:tab w:val="left" w:pos="8640"/>
        </w:tabs>
        <w:spacing w:after="0" w:line="240" w:lineRule="auto"/>
        <w:jc w:val="both"/>
        <w:rPr>
          <w:rFonts w:ascii="Verdana" w:hAnsi="Verdana"/>
          <w:sz w:val="20"/>
          <w:lang w:val="es-CR"/>
        </w:rPr>
      </w:pPr>
    </w:p>
    <w:p w14:paraId="4194E94F" w14:textId="1E992763" w:rsidR="003366F0" w:rsidRPr="002B79FB" w:rsidRDefault="003366F0" w:rsidP="003366F0">
      <w:pPr>
        <w:tabs>
          <w:tab w:val="left" w:pos="8460"/>
          <w:tab w:val="left" w:pos="8640"/>
        </w:tabs>
        <w:spacing w:after="0" w:line="240" w:lineRule="auto"/>
        <w:jc w:val="both"/>
        <w:rPr>
          <w:rFonts w:ascii="Verdana" w:hAnsi="Verdana"/>
          <w:sz w:val="20"/>
          <w:lang w:val="es-CR"/>
        </w:rPr>
      </w:pPr>
    </w:p>
    <w:p w14:paraId="08C74668" w14:textId="77777777" w:rsidR="003366F0" w:rsidRPr="003366F0" w:rsidRDefault="003366F0" w:rsidP="003366F0">
      <w:pPr>
        <w:tabs>
          <w:tab w:val="left" w:pos="8460"/>
          <w:tab w:val="left" w:pos="8640"/>
        </w:tabs>
        <w:spacing w:after="0" w:line="240" w:lineRule="auto"/>
        <w:jc w:val="both"/>
        <w:rPr>
          <w:rFonts w:ascii="Verdana" w:hAnsi="Verdana"/>
          <w:sz w:val="20"/>
          <w:lang w:val="es-CR"/>
        </w:rPr>
      </w:pPr>
      <w:r w:rsidRPr="003366F0">
        <w:rPr>
          <w:rFonts w:ascii="Verdana" w:hAnsi="Verdana"/>
          <w:sz w:val="20"/>
          <w:lang w:val="es-CR"/>
        </w:rPr>
        <w:t>Pablo Saavedra Alessandri</w:t>
      </w:r>
    </w:p>
    <w:p w14:paraId="5FE4BAED" w14:textId="77777777" w:rsidR="003366F0" w:rsidRDefault="003366F0" w:rsidP="003366F0">
      <w:pPr>
        <w:tabs>
          <w:tab w:val="left" w:pos="8640"/>
        </w:tabs>
        <w:spacing w:after="0" w:line="240" w:lineRule="auto"/>
        <w:ind w:left="720"/>
        <w:rPr>
          <w:rFonts w:ascii="Verdana" w:hAnsi="Verdana"/>
          <w:sz w:val="20"/>
        </w:rPr>
      </w:pPr>
      <w:r w:rsidRPr="003366F0">
        <w:rPr>
          <w:rFonts w:ascii="Verdana" w:hAnsi="Verdana"/>
          <w:sz w:val="20"/>
          <w:lang w:val="es-CR"/>
        </w:rPr>
        <w:t xml:space="preserve">  </w:t>
      </w:r>
      <w:r>
        <w:rPr>
          <w:rFonts w:ascii="Verdana" w:hAnsi="Verdana"/>
          <w:sz w:val="20"/>
        </w:rPr>
        <w:t>Secretario</w:t>
      </w:r>
    </w:p>
    <w:p w14:paraId="64E40A4F" w14:textId="77777777" w:rsidR="003366F0" w:rsidRDefault="003366F0" w:rsidP="003366F0">
      <w:pPr>
        <w:tabs>
          <w:tab w:val="left" w:pos="8640"/>
        </w:tabs>
        <w:ind w:left="720"/>
        <w:rPr>
          <w:rFonts w:ascii="Verdana" w:hAnsi="Verdana"/>
          <w:sz w:val="20"/>
        </w:rPr>
      </w:pPr>
    </w:p>
    <w:p w14:paraId="1B6C6E57" w14:textId="77777777" w:rsidR="003366F0" w:rsidRDefault="003366F0" w:rsidP="003366F0">
      <w:pPr>
        <w:rPr>
          <w:rFonts w:ascii="Verdana" w:hAnsi="Verdana"/>
          <w:sz w:val="20"/>
        </w:rPr>
      </w:pPr>
    </w:p>
    <w:p w14:paraId="7D0D245D" w14:textId="77777777" w:rsidR="0000645F" w:rsidRPr="00B6529B" w:rsidRDefault="0000645F" w:rsidP="00514AE5">
      <w:pPr>
        <w:spacing w:after="0" w:line="240" w:lineRule="auto"/>
        <w:jc w:val="both"/>
        <w:rPr>
          <w:rFonts w:ascii="Verdana" w:hAnsi="Verdana"/>
          <w:sz w:val="20"/>
          <w:lang w:val="es-CR"/>
        </w:rPr>
      </w:pPr>
    </w:p>
    <w:p w14:paraId="556C51F4" w14:textId="25DE7FE2" w:rsidR="007C4142" w:rsidRPr="006C51C5" w:rsidRDefault="007C4142" w:rsidP="00861117">
      <w:pPr>
        <w:tabs>
          <w:tab w:val="left" w:pos="8640"/>
        </w:tabs>
        <w:spacing w:after="0" w:line="240" w:lineRule="auto"/>
        <w:rPr>
          <w:rFonts w:ascii="Verdana" w:hAnsi="Verdana"/>
          <w:sz w:val="20"/>
          <w:szCs w:val="20"/>
          <w:lang w:val="es-ES"/>
        </w:rPr>
      </w:pPr>
    </w:p>
    <w:sectPr w:rsidR="007C4142" w:rsidRPr="006C51C5" w:rsidSect="00FC4474">
      <w:headerReference w:type="default" r:id="rId12"/>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3F11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178A1" w14:textId="77777777" w:rsidR="00304173" w:rsidRDefault="00304173" w:rsidP="002A7E0E">
      <w:pPr>
        <w:spacing w:after="0" w:line="240" w:lineRule="auto"/>
      </w:pPr>
      <w:r>
        <w:separator/>
      </w:r>
    </w:p>
  </w:endnote>
  <w:endnote w:type="continuationSeparator" w:id="0">
    <w:p w14:paraId="12E310C5" w14:textId="77777777" w:rsidR="00304173" w:rsidRDefault="00304173" w:rsidP="002A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699A2" w14:textId="77777777" w:rsidR="00304173" w:rsidRDefault="00304173" w:rsidP="002A7E0E">
      <w:pPr>
        <w:spacing w:after="0" w:line="240" w:lineRule="auto"/>
      </w:pPr>
      <w:r>
        <w:separator/>
      </w:r>
    </w:p>
  </w:footnote>
  <w:footnote w:type="continuationSeparator" w:id="0">
    <w:p w14:paraId="631914E4" w14:textId="77777777" w:rsidR="00304173" w:rsidRDefault="00304173" w:rsidP="002A7E0E">
      <w:pPr>
        <w:spacing w:after="0" w:line="240" w:lineRule="auto"/>
      </w:pPr>
      <w:r>
        <w:continuationSeparator/>
      </w:r>
    </w:p>
  </w:footnote>
  <w:footnote w:id="1">
    <w:p w14:paraId="3F2457A5" w14:textId="5594AC65" w:rsidR="00304173" w:rsidRPr="001923C8" w:rsidRDefault="00304173" w:rsidP="005D450B">
      <w:pPr>
        <w:pStyle w:val="FootnoteText"/>
        <w:jc w:val="both"/>
        <w:rPr>
          <w:rFonts w:ascii="Verdana" w:hAnsi="Verdana"/>
          <w:sz w:val="16"/>
          <w:szCs w:val="16"/>
          <w:lang w:val="es-MX"/>
        </w:rPr>
      </w:pPr>
      <w:r w:rsidRPr="001923C8">
        <w:rPr>
          <w:rStyle w:val="FootnoteReference"/>
          <w:rFonts w:ascii="Verdana" w:hAnsi="Verdana"/>
          <w:sz w:val="16"/>
          <w:szCs w:val="16"/>
        </w:rPr>
        <w:footnoteRef/>
      </w:r>
      <w:r w:rsidRPr="001923C8">
        <w:rPr>
          <w:rFonts w:ascii="Verdana" w:hAnsi="Verdana"/>
          <w:sz w:val="16"/>
          <w:szCs w:val="16"/>
          <w:lang w:val="es-MX"/>
        </w:rPr>
        <w:t xml:space="preserve"> </w:t>
      </w:r>
      <w:r w:rsidRPr="001923C8">
        <w:rPr>
          <w:rFonts w:ascii="Verdana" w:hAnsi="Verdana"/>
          <w:sz w:val="16"/>
          <w:szCs w:val="16"/>
          <w:lang w:val="es-CR"/>
        </w:rPr>
        <w:tab/>
      </w:r>
      <w:r w:rsidRPr="001923C8">
        <w:rPr>
          <w:rFonts w:ascii="Verdana" w:hAnsi="Verdana"/>
          <w:i/>
          <w:sz w:val="16"/>
          <w:szCs w:val="16"/>
          <w:lang w:val="es-MX"/>
        </w:rPr>
        <w:t xml:space="preserve">Asunto Pobladores de las Comunidades del Pueblo Indígena Miskitu de la Región Costa Caribe Norte respecto de Nicaragua. </w:t>
      </w:r>
      <w:r w:rsidRPr="001923C8">
        <w:rPr>
          <w:rFonts w:ascii="Verdana" w:hAnsi="Verdana"/>
          <w:sz w:val="16"/>
          <w:szCs w:val="16"/>
          <w:lang w:val="es-MX"/>
        </w:rPr>
        <w:t xml:space="preserve">Solicitud de medidas provisionales. Resolución de la Corte </w:t>
      </w:r>
      <w:r w:rsidR="001C7AF7">
        <w:rPr>
          <w:rFonts w:ascii="Verdana" w:hAnsi="Verdana"/>
          <w:sz w:val="16"/>
          <w:szCs w:val="16"/>
          <w:lang w:val="es-MX"/>
        </w:rPr>
        <w:t>IDH</w:t>
      </w:r>
      <w:r w:rsidRPr="001923C8">
        <w:rPr>
          <w:rFonts w:ascii="Verdana" w:hAnsi="Verdana"/>
          <w:sz w:val="16"/>
          <w:szCs w:val="16"/>
          <w:lang w:val="es-MX"/>
        </w:rPr>
        <w:t xml:space="preserve"> de 1 de septiembre de 2016, Resolutivos 1 a 4.</w:t>
      </w:r>
    </w:p>
  </w:footnote>
  <w:footnote w:id="2">
    <w:p w14:paraId="49930C8A" w14:textId="3082D061" w:rsidR="00304173" w:rsidRPr="00F36DD1" w:rsidRDefault="00304173" w:rsidP="005D450B">
      <w:pPr>
        <w:pStyle w:val="FootnoteText"/>
        <w:rPr>
          <w:lang w:val="es-CR"/>
        </w:rPr>
      </w:pPr>
      <w:r>
        <w:rPr>
          <w:rStyle w:val="FootnoteReference"/>
        </w:rPr>
        <w:footnoteRef/>
      </w:r>
      <w:r w:rsidRPr="00F36DD1">
        <w:rPr>
          <w:lang w:val="es-CR"/>
        </w:rPr>
        <w:t xml:space="preserve"> </w:t>
      </w:r>
      <w:r>
        <w:rPr>
          <w:lang w:val="es-CR"/>
        </w:rPr>
        <w:tab/>
      </w:r>
      <w:r w:rsidRPr="00C66560">
        <w:rPr>
          <w:rFonts w:ascii="Verdana" w:hAnsi="Verdana"/>
          <w:sz w:val="16"/>
          <w:szCs w:val="16"/>
          <w:lang w:val="es-CR"/>
        </w:rPr>
        <w:t>Lottie Cunningham se presenta en calidad de Presidenta de</w:t>
      </w:r>
      <w:r>
        <w:rPr>
          <w:rFonts w:ascii="Verdana" w:hAnsi="Verdana"/>
          <w:sz w:val="16"/>
          <w:szCs w:val="16"/>
          <w:lang w:val="es-CR"/>
        </w:rPr>
        <w:t>l Centro por la Justicia y Derechos Humanos de la Costa Atlántica de Nicaragua (</w:t>
      </w:r>
      <w:r w:rsidRPr="00C66560">
        <w:rPr>
          <w:rFonts w:ascii="Verdana" w:hAnsi="Verdana"/>
          <w:sz w:val="16"/>
          <w:szCs w:val="16"/>
          <w:lang w:val="es-CR"/>
        </w:rPr>
        <w:t>CEJ</w:t>
      </w:r>
      <w:r>
        <w:rPr>
          <w:rFonts w:ascii="Verdana" w:hAnsi="Verdana"/>
          <w:sz w:val="16"/>
          <w:szCs w:val="16"/>
          <w:lang w:val="es-CR"/>
        </w:rPr>
        <w:t xml:space="preserve">UDHCAN). </w:t>
      </w:r>
    </w:p>
  </w:footnote>
  <w:footnote w:id="3">
    <w:p w14:paraId="57D93507" w14:textId="3DBAA0C7" w:rsidR="00304173" w:rsidRPr="00F36DD1" w:rsidRDefault="00304173" w:rsidP="005D450B">
      <w:pPr>
        <w:pStyle w:val="FootnoteText"/>
        <w:jc w:val="both"/>
        <w:rPr>
          <w:rFonts w:ascii="Verdana" w:hAnsi="Verdana"/>
          <w:sz w:val="16"/>
          <w:szCs w:val="16"/>
          <w:lang w:val="es-ES"/>
        </w:rPr>
      </w:pPr>
      <w:r w:rsidRPr="00F36DD1">
        <w:rPr>
          <w:rStyle w:val="FootnoteReference"/>
          <w:rFonts w:ascii="Verdana" w:hAnsi="Verdana"/>
          <w:sz w:val="16"/>
          <w:szCs w:val="16"/>
        </w:rPr>
        <w:footnoteRef/>
      </w:r>
      <w:r w:rsidRPr="00F36DD1">
        <w:rPr>
          <w:rFonts w:ascii="Verdana" w:hAnsi="Verdana"/>
          <w:sz w:val="16"/>
          <w:szCs w:val="16"/>
          <w:lang w:val="es-CR"/>
        </w:rPr>
        <w:t xml:space="preserve"> </w:t>
      </w:r>
      <w:r w:rsidR="009B6948">
        <w:rPr>
          <w:rFonts w:ascii="Verdana" w:hAnsi="Verdana"/>
          <w:sz w:val="16"/>
          <w:szCs w:val="16"/>
          <w:lang w:val="es-CR"/>
        </w:rPr>
        <w:tab/>
      </w:r>
      <w:r w:rsidRPr="00F36DD1">
        <w:rPr>
          <w:rFonts w:ascii="Verdana" w:hAnsi="Verdana"/>
          <w:sz w:val="16"/>
          <w:szCs w:val="16"/>
          <w:lang w:val="es-ES"/>
        </w:rPr>
        <w:t>José Coleman es integrante y Coordinador de Proyectos de</w:t>
      </w:r>
      <w:r>
        <w:rPr>
          <w:rFonts w:ascii="Verdana" w:hAnsi="Verdana"/>
          <w:sz w:val="16"/>
          <w:szCs w:val="16"/>
          <w:lang w:val="es-ES"/>
        </w:rPr>
        <w:t xml:space="preserve">l </w:t>
      </w:r>
      <w:r w:rsidR="00027E49">
        <w:rPr>
          <w:rFonts w:ascii="Verdana" w:hAnsi="Verdana"/>
          <w:sz w:val="16"/>
          <w:szCs w:val="16"/>
          <w:lang w:val="es-ES"/>
        </w:rPr>
        <w:t>CEJUDHCAN.</w:t>
      </w:r>
      <w:r w:rsidRPr="00F36DD1">
        <w:rPr>
          <w:rFonts w:ascii="Verdana" w:hAnsi="Verdana"/>
          <w:sz w:val="16"/>
          <w:szCs w:val="16"/>
          <w:lang w:val="es-ES"/>
        </w:rPr>
        <w:t xml:space="preserve"> Asimismo, es beneficiario de medidas </w:t>
      </w:r>
      <w:r>
        <w:rPr>
          <w:rFonts w:ascii="Verdana" w:hAnsi="Verdana"/>
          <w:sz w:val="16"/>
          <w:szCs w:val="16"/>
          <w:lang w:val="es-ES"/>
        </w:rPr>
        <w:t xml:space="preserve">cautelares </w:t>
      </w:r>
      <w:r w:rsidRPr="00F36DD1">
        <w:rPr>
          <w:rFonts w:ascii="Verdana" w:hAnsi="Verdana"/>
          <w:sz w:val="16"/>
          <w:szCs w:val="16"/>
          <w:lang w:val="es-ES"/>
        </w:rPr>
        <w:t>por parte de la Comisión debido a su labores de</w:t>
      </w:r>
      <w:r w:rsidR="00027E49">
        <w:rPr>
          <w:rFonts w:ascii="Verdana" w:hAnsi="Verdana"/>
          <w:sz w:val="16"/>
          <w:szCs w:val="16"/>
          <w:lang w:val="es-ES"/>
        </w:rPr>
        <w:t>ntro de la organización</w:t>
      </w:r>
      <w:r>
        <w:rPr>
          <w:rFonts w:ascii="Verdana" w:hAnsi="Verdana"/>
          <w:sz w:val="16"/>
          <w:szCs w:val="16"/>
          <w:lang w:val="es-ES"/>
        </w:rPr>
        <w:t>.</w:t>
      </w:r>
    </w:p>
  </w:footnote>
  <w:footnote w:id="4">
    <w:p w14:paraId="2944574B" w14:textId="406BB1A4" w:rsidR="00304173" w:rsidRPr="001923C8" w:rsidRDefault="00304173" w:rsidP="005D450B">
      <w:pPr>
        <w:pStyle w:val="FootnoteText"/>
        <w:jc w:val="both"/>
        <w:rPr>
          <w:rFonts w:ascii="Verdana" w:hAnsi="Verdana"/>
          <w:sz w:val="16"/>
          <w:szCs w:val="16"/>
          <w:lang w:val="es-CR"/>
        </w:rPr>
      </w:pPr>
      <w:r w:rsidRPr="001923C8">
        <w:rPr>
          <w:rStyle w:val="FootnoteReference"/>
          <w:rFonts w:ascii="Verdana" w:hAnsi="Verdana"/>
          <w:sz w:val="16"/>
          <w:szCs w:val="16"/>
        </w:rPr>
        <w:footnoteRef/>
      </w:r>
      <w:r w:rsidRPr="001923C8">
        <w:rPr>
          <w:rFonts w:ascii="Verdana" w:hAnsi="Verdana"/>
          <w:sz w:val="16"/>
          <w:szCs w:val="16"/>
          <w:lang w:val="es-CR"/>
        </w:rPr>
        <w:t xml:space="preserve"> </w:t>
      </w:r>
      <w:r w:rsidRPr="001923C8">
        <w:rPr>
          <w:rFonts w:ascii="Verdana" w:hAnsi="Verdana"/>
          <w:sz w:val="16"/>
          <w:szCs w:val="16"/>
          <w:lang w:val="es-CR"/>
        </w:rPr>
        <w:tab/>
      </w:r>
      <w:r w:rsidRPr="001923C8">
        <w:rPr>
          <w:rFonts w:ascii="Verdana" w:hAnsi="Verdana"/>
          <w:i/>
          <w:sz w:val="16"/>
          <w:szCs w:val="16"/>
          <w:lang w:val="es-ES_tradnl"/>
        </w:rPr>
        <w:t xml:space="preserve">Cfr. </w:t>
      </w:r>
      <w:r w:rsidRPr="001923C8">
        <w:rPr>
          <w:rFonts w:ascii="Verdana" w:hAnsi="Verdana"/>
          <w:i/>
          <w:sz w:val="16"/>
          <w:szCs w:val="16"/>
          <w:lang w:val="es-CR"/>
        </w:rPr>
        <w:t>Caso Apitz Barbera y otros (“Corte Primera de lo Contencioso Administrativo”) Vs. Venezuela</w:t>
      </w:r>
      <w:r>
        <w:rPr>
          <w:rFonts w:ascii="Verdana" w:hAnsi="Verdana"/>
          <w:i/>
          <w:sz w:val="16"/>
          <w:szCs w:val="16"/>
          <w:lang w:val="es-CR"/>
        </w:rPr>
        <w:t xml:space="preserve">. </w:t>
      </w:r>
      <w:r w:rsidRPr="001C7AF7">
        <w:rPr>
          <w:rFonts w:ascii="Verdana" w:hAnsi="Verdana"/>
          <w:i/>
          <w:sz w:val="16"/>
          <w:szCs w:val="16"/>
          <w:lang w:val="es-CR"/>
        </w:rPr>
        <w:t>Excepción Preliminar, Fondo, Reparaciones y Costas</w:t>
      </w:r>
      <w:r w:rsidR="009B6948">
        <w:rPr>
          <w:rFonts w:ascii="Verdana" w:hAnsi="Verdana"/>
          <w:sz w:val="16"/>
          <w:szCs w:val="16"/>
          <w:lang w:val="es-CR"/>
        </w:rPr>
        <w:t xml:space="preserve">. Sentencia de </w:t>
      </w:r>
      <w:r w:rsidRPr="004A13EE">
        <w:rPr>
          <w:rFonts w:ascii="Verdana" w:hAnsi="Verdana"/>
          <w:sz w:val="16"/>
          <w:szCs w:val="16"/>
          <w:lang w:val="es-CR"/>
        </w:rPr>
        <w:t>5 de agosto de 2008. Serie C No. 182</w:t>
      </w:r>
      <w:r w:rsidRPr="001923C8">
        <w:rPr>
          <w:rFonts w:ascii="Verdana" w:hAnsi="Verdana"/>
          <w:sz w:val="16"/>
          <w:szCs w:val="16"/>
          <w:lang w:val="es-CR"/>
        </w:rPr>
        <w:t>, párr. 131.</w:t>
      </w:r>
    </w:p>
  </w:footnote>
  <w:footnote w:id="5">
    <w:p w14:paraId="13BF5B2F" w14:textId="3F785DD4" w:rsidR="00304173" w:rsidRPr="00F36DD1" w:rsidRDefault="00304173" w:rsidP="005D450B">
      <w:pPr>
        <w:pStyle w:val="FootnoteText"/>
        <w:jc w:val="both"/>
        <w:rPr>
          <w:rFonts w:ascii="Verdana" w:hAnsi="Verdana"/>
          <w:sz w:val="16"/>
          <w:szCs w:val="16"/>
          <w:lang w:val="es-CR"/>
        </w:rPr>
      </w:pPr>
      <w:r w:rsidRPr="00F36DD1">
        <w:rPr>
          <w:rStyle w:val="FootnoteReference"/>
          <w:rFonts w:ascii="Verdana" w:hAnsi="Verdana"/>
          <w:sz w:val="16"/>
          <w:szCs w:val="16"/>
        </w:rPr>
        <w:footnoteRef/>
      </w:r>
      <w:r w:rsidRPr="00F36DD1">
        <w:rPr>
          <w:rFonts w:ascii="Verdana" w:hAnsi="Verdana"/>
          <w:sz w:val="16"/>
          <w:szCs w:val="16"/>
          <w:lang w:val="es-CR"/>
        </w:rPr>
        <w:t xml:space="preserve"> </w:t>
      </w:r>
      <w:r w:rsidRPr="00F36DD1">
        <w:rPr>
          <w:rFonts w:ascii="Verdana" w:hAnsi="Verdana"/>
          <w:sz w:val="16"/>
          <w:szCs w:val="16"/>
          <w:lang w:val="es-CR"/>
        </w:rPr>
        <w:tab/>
      </w:r>
      <w:r w:rsidRPr="00CB4120">
        <w:rPr>
          <w:rFonts w:ascii="Verdana" w:hAnsi="Verdana"/>
          <w:i/>
          <w:sz w:val="16"/>
          <w:szCs w:val="16"/>
          <w:lang w:val="es-CR"/>
        </w:rPr>
        <w:t xml:space="preserve">Caso Perozo y otros Vs. Venezuela. Excepciones Preliminares, Fondo, Reparaciones y Costas. </w:t>
      </w:r>
      <w:r w:rsidRPr="00F36DD1">
        <w:rPr>
          <w:rFonts w:ascii="Verdana" w:hAnsi="Verdana"/>
          <w:sz w:val="16"/>
          <w:szCs w:val="16"/>
          <w:lang w:val="es-CR"/>
        </w:rPr>
        <w:t xml:space="preserve">Sentencia de 28 de enero de 2009. Serie C No. 195, párr. 151. </w:t>
      </w:r>
    </w:p>
  </w:footnote>
  <w:footnote w:id="6">
    <w:p w14:paraId="68FDFF12" w14:textId="63101F2E" w:rsidR="00304173" w:rsidRPr="00F36DD1" w:rsidRDefault="00304173" w:rsidP="005D450B">
      <w:pPr>
        <w:pStyle w:val="FootnoteText"/>
        <w:jc w:val="both"/>
        <w:rPr>
          <w:rFonts w:ascii="Verdana" w:hAnsi="Verdana"/>
          <w:sz w:val="16"/>
          <w:szCs w:val="16"/>
          <w:lang w:val="es-MX"/>
        </w:rPr>
      </w:pPr>
      <w:r w:rsidRPr="001923C8">
        <w:rPr>
          <w:rStyle w:val="FootnoteReference"/>
          <w:rFonts w:ascii="Verdana" w:hAnsi="Verdana"/>
          <w:sz w:val="16"/>
          <w:szCs w:val="16"/>
        </w:rPr>
        <w:footnoteRef/>
      </w:r>
      <w:r w:rsidRPr="001923C8">
        <w:rPr>
          <w:rFonts w:ascii="Verdana" w:hAnsi="Verdana"/>
          <w:sz w:val="16"/>
          <w:szCs w:val="16"/>
          <w:lang w:val="es-MX"/>
        </w:rPr>
        <w:t xml:space="preserve"> </w:t>
      </w:r>
      <w:r w:rsidRPr="001923C8">
        <w:rPr>
          <w:rFonts w:ascii="Verdana" w:hAnsi="Verdana"/>
          <w:sz w:val="16"/>
          <w:szCs w:val="16"/>
          <w:lang w:val="es-MX"/>
        </w:rPr>
        <w:tab/>
      </w:r>
      <w:r w:rsidRPr="001923C8">
        <w:rPr>
          <w:rFonts w:ascii="Verdana" w:hAnsi="Verdana"/>
          <w:i/>
          <w:sz w:val="16"/>
          <w:szCs w:val="16"/>
          <w:lang w:val="es-MX"/>
        </w:rPr>
        <w:t xml:space="preserve">Cfr. Caso Fernández Ortega y otros Vs. México. </w:t>
      </w:r>
      <w:r w:rsidRPr="001724B9">
        <w:rPr>
          <w:rFonts w:ascii="Verdana" w:hAnsi="Verdana"/>
          <w:i/>
          <w:sz w:val="16"/>
          <w:szCs w:val="16"/>
          <w:lang w:val="es-MX"/>
        </w:rPr>
        <w:t>Medidas Provisionales</w:t>
      </w:r>
      <w:r w:rsidRPr="001923C8">
        <w:rPr>
          <w:rFonts w:ascii="Verdana" w:hAnsi="Verdana"/>
          <w:sz w:val="16"/>
          <w:szCs w:val="16"/>
          <w:lang w:val="es-MX"/>
        </w:rPr>
        <w:t xml:space="preserve">. </w:t>
      </w:r>
      <w:r w:rsidRPr="001923C8">
        <w:rPr>
          <w:rFonts w:ascii="Verdana" w:hAnsi="Verdana"/>
          <w:bCs/>
          <w:sz w:val="16"/>
          <w:szCs w:val="16"/>
          <w:lang w:val="es-MX"/>
        </w:rPr>
        <w:t xml:space="preserve">Resolución de la Corte </w:t>
      </w:r>
      <w:r w:rsidR="0082272B">
        <w:rPr>
          <w:rFonts w:ascii="Verdana" w:hAnsi="Verdana"/>
          <w:bCs/>
          <w:sz w:val="16"/>
          <w:szCs w:val="16"/>
          <w:lang w:val="es-MX"/>
        </w:rPr>
        <w:t>IDH</w:t>
      </w:r>
      <w:r w:rsidRPr="001923C8">
        <w:rPr>
          <w:rFonts w:ascii="Verdana" w:hAnsi="Verdana"/>
          <w:bCs/>
          <w:sz w:val="16"/>
          <w:szCs w:val="16"/>
          <w:lang w:val="es-MX"/>
        </w:rPr>
        <w:t xml:space="preserve"> </w:t>
      </w:r>
      <w:r w:rsidRPr="001923C8">
        <w:rPr>
          <w:rFonts w:ascii="Verdana" w:hAnsi="Verdana"/>
          <w:sz w:val="16"/>
          <w:szCs w:val="16"/>
          <w:lang w:val="es-MX"/>
        </w:rPr>
        <w:t>de 23 de noviembre de 2010, Considerando 11</w:t>
      </w:r>
      <w:r w:rsidR="0082272B">
        <w:rPr>
          <w:rFonts w:ascii="Verdana" w:hAnsi="Verdana"/>
          <w:sz w:val="16"/>
          <w:szCs w:val="16"/>
          <w:lang w:val="es-MX"/>
        </w:rPr>
        <w:t>,</w:t>
      </w:r>
      <w:r>
        <w:rPr>
          <w:rFonts w:ascii="Verdana" w:hAnsi="Verdana"/>
          <w:sz w:val="16"/>
          <w:szCs w:val="16"/>
          <w:lang w:val="es-MX"/>
        </w:rPr>
        <w:t xml:space="preserve"> y</w:t>
      </w:r>
      <w:r w:rsidRPr="001923C8">
        <w:rPr>
          <w:rFonts w:ascii="Verdana" w:hAnsi="Verdana"/>
          <w:sz w:val="16"/>
          <w:szCs w:val="16"/>
          <w:lang w:val="es-MX"/>
        </w:rPr>
        <w:t xml:space="preserve"> </w:t>
      </w:r>
      <w:r w:rsidRPr="001923C8">
        <w:rPr>
          <w:rFonts w:ascii="Verdana" w:hAnsi="Verdana"/>
          <w:i/>
          <w:sz w:val="16"/>
          <w:szCs w:val="16"/>
          <w:lang w:val="es-CR"/>
        </w:rPr>
        <w:t>Asunto Pobladores de las Comunidades del Puebl</w:t>
      </w:r>
      <w:r w:rsidRPr="00F36DD1">
        <w:rPr>
          <w:rFonts w:ascii="Verdana" w:hAnsi="Verdana"/>
          <w:i/>
          <w:sz w:val="16"/>
          <w:szCs w:val="16"/>
          <w:lang w:val="es-CR"/>
        </w:rPr>
        <w:t xml:space="preserve">o Indígena Miskitu de la Región Costa Caribe Norte respecto de Nicaragua. </w:t>
      </w:r>
      <w:r w:rsidRPr="00945353">
        <w:rPr>
          <w:rFonts w:ascii="Verdana" w:hAnsi="Verdana"/>
          <w:sz w:val="16"/>
          <w:szCs w:val="16"/>
          <w:lang w:val="es-CR"/>
        </w:rPr>
        <w:t xml:space="preserve">Resolución de la Corte </w:t>
      </w:r>
      <w:r w:rsidR="0082272B">
        <w:rPr>
          <w:rFonts w:ascii="Verdana" w:hAnsi="Verdana"/>
          <w:sz w:val="16"/>
          <w:szCs w:val="16"/>
          <w:lang w:val="es-CR"/>
        </w:rPr>
        <w:t>IDH</w:t>
      </w:r>
      <w:r w:rsidRPr="00945353">
        <w:rPr>
          <w:rFonts w:ascii="Verdana" w:hAnsi="Verdana"/>
          <w:sz w:val="16"/>
          <w:szCs w:val="16"/>
          <w:lang w:val="es-CR"/>
        </w:rPr>
        <w:t xml:space="preserve"> de</w:t>
      </w:r>
      <w:r>
        <w:rPr>
          <w:rFonts w:ascii="Verdana" w:hAnsi="Verdana"/>
          <w:i/>
          <w:sz w:val="16"/>
          <w:szCs w:val="16"/>
          <w:lang w:val="es-CR"/>
        </w:rPr>
        <w:t xml:space="preserve"> </w:t>
      </w:r>
      <w:r w:rsidRPr="00F36DD1">
        <w:rPr>
          <w:rFonts w:ascii="Verdana" w:hAnsi="Verdana"/>
          <w:sz w:val="16"/>
          <w:szCs w:val="16"/>
          <w:lang w:val="es-CR"/>
        </w:rPr>
        <w:t>23 de noviembre de 2016</w:t>
      </w:r>
      <w:r w:rsidR="0082272B">
        <w:rPr>
          <w:rFonts w:ascii="Verdana" w:hAnsi="Verdana"/>
          <w:i/>
          <w:sz w:val="16"/>
          <w:szCs w:val="16"/>
          <w:lang w:val="es-CR"/>
        </w:rPr>
        <w:t xml:space="preserve">, </w:t>
      </w:r>
      <w:r w:rsidRPr="00F36DD1">
        <w:rPr>
          <w:rFonts w:ascii="Verdana" w:hAnsi="Verdana"/>
          <w:sz w:val="16"/>
          <w:szCs w:val="16"/>
          <w:lang w:val="es-MX"/>
        </w:rPr>
        <w:t>Considerando 15.</w:t>
      </w:r>
    </w:p>
  </w:footnote>
  <w:footnote w:id="7">
    <w:p w14:paraId="732F531E" w14:textId="16596214" w:rsidR="00304173" w:rsidRPr="00F36DD1" w:rsidRDefault="00304173" w:rsidP="005D450B">
      <w:pPr>
        <w:pStyle w:val="FootnoteText"/>
        <w:jc w:val="both"/>
        <w:rPr>
          <w:rFonts w:ascii="Verdana" w:hAnsi="Verdana"/>
          <w:sz w:val="16"/>
          <w:szCs w:val="16"/>
          <w:lang w:val="es-MX"/>
        </w:rPr>
      </w:pPr>
      <w:r w:rsidRPr="001923C8">
        <w:rPr>
          <w:rFonts w:ascii="Verdana" w:hAnsi="Verdana"/>
          <w:sz w:val="16"/>
          <w:szCs w:val="16"/>
          <w:vertAlign w:val="superscript"/>
          <w:lang w:val="es-MX"/>
        </w:rPr>
        <w:footnoteRef/>
      </w:r>
      <w:r w:rsidRPr="001923C8">
        <w:rPr>
          <w:rFonts w:ascii="Verdana" w:hAnsi="Verdana"/>
          <w:sz w:val="16"/>
          <w:szCs w:val="16"/>
          <w:vertAlign w:val="superscript"/>
          <w:lang w:val="es-MX"/>
        </w:rPr>
        <w:t xml:space="preserve"> </w:t>
      </w:r>
      <w:r w:rsidRPr="001923C8">
        <w:rPr>
          <w:rFonts w:ascii="Verdana" w:hAnsi="Verdana"/>
          <w:sz w:val="16"/>
          <w:szCs w:val="16"/>
          <w:lang w:val="es-MX"/>
        </w:rPr>
        <w:tab/>
      </w:r>
      <w:r w:rsidRPr="001923C8">
        <w:rPr>
          <w:rFonts w:ascii="Verdana" w:hAnsi="Verdana"/>
          <w:i/>
          <w:sz w:val="16"/>
          <w:szCs w:val="16"/>
          <w:lang w:val="es-MX"/>
        </w:rPr>
        <w:t xml:space="preserve">Cfr. </w:t>
      </w:r>
      <w:r w:rsidRPr="001923C8">
        <w:rPr>
          <w:rFonts w:ascii="Verdana" w:hAnsi="Verdana"/>
          <w:bCs/>
          <w:i/>
          <w:sz w:val="16"/>
          <w:szCs w:val="16"/>
          <w:lang w:val="es-MX"/>
        </w:rPr>
        <w:t>Asunto de los niños y adolescentes privados de libertad en el "Complexo do Tatuapé” da FEBEM respecto Brasil</w:t>
      </w:r>
      <w:r w:rsidRPr="001923C8">
        <w:rPr>
          <w:rFonts w:ascii="Verdana" w:hAnsi="Verdana"/>
          <w:bCs/>
          <w:sz w:val="16"/>
          <w:szCs w:val="16"/>
          <w:lang w:val="es-MX"/>
        </w:rPr>
        <w:t xml:space="preserve">. </w:t>
      </w:r>
      <w:r w:rsidRPr="00A80C04">
        <w:rPr>
          <w:rFonts w:ascii="Verdana" w:hAnsi="Verdana"/>
          <w:bCs/>
          <w:i/>
          <w:sz w:val="16"/>
          <w:szCs w:val="16"/>
          <w:lang w:val="es-MX"/>
        </w:rPr>
        <w:t>Medidas Provisionales</w:t>
      </w:r>
      <w:r w:rsidRPr="001923C8">
        <w:rPr>
          <w:rFonts w:ascii="Verdana" w:hAnsi="Verdana"/>
          <w:bCs/>
          <w:sz w:val="16"/>
          <w:szCs w:val="16"/>
          <w:lang w:val="es-MX"/>
        </w:rPr>
        <w:t xml:space="preserve">. Resolución de la Corte </w:t>
      </w:r>
      <w:r w:rsidR="0082272B">
        <w:rPr>
          <w:rFonts w:ascii="Verdana" w:hAnsi="Verdana"/>
          <w:bCs/>
          <w:sz w:val="16"/>
          <w:szCs w:val="16"/>
          <w:lang w:val="es-MX"/>
        </w:rPr>
        <w:t>IDH</w:t>
      </w:r>
      <w:r w:rsidRPr="001923C8">
        <w:rPr>
          <w:rFonts w:ascii="Verdana" w:hAnsi="Verdana"/>
          <w:bCs/>
          <w:sz w:val="16"/>
          <w:szCs w:val="16"/>
          <w:lang w:val="es-MX"/>
        </w:rPr>
        <w:t xml:space="preserve"> de 4 de julio de 2006</w:t>
      </w:r>
      <w:r w:rsidRPr="00F36DD1">
        <w:rPr>
          <w:rFonts w:ascii="Verdana" w:hAnsi="Verdana"/>
          <w:sz w:val="16"/>
          <w:szCs w:val="16"/>
          <w:lang w:val="es-MX"/>
        </w:rPr>
        <w:t>, Considerando 23</w:t>
      </w:r>
      <w:r w:rsidR="0082272B">
        <w:rPr>
          <w:rFonts w:ascii="Verdana" w:hAnsi="Verdana"/>
          <w:sz w:val="16"/>
          <w:szCs w:val="16"/>
          <w:lang w:val="es-MX"/>
        </w:rPr>
        <w:t>,</w:t>
      </w:r>
      <w:r w:rsidRPr="00F36DD1">
        <w:rPr>
          <w:rFonts w:ascii="Verdana" w:hAnsi="Verdana"/>
          <w:sz w:val="16"/>
          <w:szCs w:val="16"/>
          <w:lang w:val="es-MX"/>
        </w:rPr>
        <w:t xml:space="preserve"> y </w:t>
      </w:r>
      <w:r w:rsidRPr="00F36DD1">
        <w:rPr>
          <w:rFonts w:ascii="Verdana" w:hAnsi="Verdana"/>
          <w:i/>
          <w:sz w:val="16"/>
          <w:szCs w:val="16"/>
          <w:lang w:val="es-MX"/>
        </w:rPr>
        <w:t>Asunto Cuatro Comunidades Indígenas Ngöbe y sus miembros respecto Panamá</w:t>
      </w:r>
      <w:r w:rsidRPr="00F36DD1">
        <w:rPr>
          <w:rFonts w:ascii="Verdana" w:hAnsi="Verdana"/>
          <w:sz w:val="16"/>
          <w:szCs w:val="16"/>
          <w:lang w:val="es-MX"/>
        </w:rPr>
        <w:t xml:space="preserve">. </w:t>
      </w:r>
      <w:r w:rsidRPr="00A80C04">
        <w:rPr>
          <w:rFonts w:ascii="Verdana" w:hAnsi="Verdana"/>
          <w:i/>
          <w:sz w:val="16"/>
          <w:szCs w:val="16"/>
          <w:lang w:val="es-MX"/>
        </w:rPr>
        <w:t>Medidas Provisionales</w:t>
      </w:r>
      <w:r w:rsidRPr="00F36DD1">
        <w:rPr>
          <w:rFonts w:ascii="Verdana" w:hAnsi="Verdana"/>
          <w:sz w:val="16"/>
          <w:szCs w:val="16"/>
          <w:lang w:val="es-MX"/>
        </w:rPr>
        <w:t xml:space="preserve">. Resolución de la Corte </w:t>
      </w:r>
      <w:r w:rsidR="0082272B">
        <w:rPr>
          <w:rFonts w:ascii="Verdana" w:hAnsi="Verdana"/>
          <w:sz w:val="16"/>
          <w:szCs w:val="16"/>
          <w:lang w:val="es-MX"/>
        </w:rPr>
        <w:t>IDH</w:t>
      </w:r>
      <w:r w:rsidRPr="00F36DD1">
        <w:rPr>
          <w:rFonts w:ascii="Verdana" w:hAnsi="Verdana"/>
          <w:sz w:val="16"/>
          <w:szCs w:val="16"/>
          <w:lang w:val="es-MX"/>
        </w:rPr>
        <w:t xml:space="preserve"> de 28 de mayo de 2010, Considerando 11. </w:t>
      </w:r>
    </w:p>
  </w:footnote>
  <w:footnote w:id="8">
    <w:p w14:paraId="24324B56" w14:textId="5F03E7A6" w:rsidR="00304173" w:rsidRPr="00F36DD1" w:rsidRDefault="00304173" w:rsidP="005D450B">
      <w:pPr>
        <w:pStyle w:val="FootnoteText"/>
        <w:jc w:val="both"/>
        <w:rPr>
          <w:rFonts w:ascii="Verdana" w:hAnsi="Verdana"/>
          <w:sz w:val="16"/>
          <w:szCs w:val="16"/>
          <w:lang w:val="es-CR"/>
        </w:rPr>
      </w:pPr>
      <w:r w:rsidRPr="00F36DD1">
        <w:rPr>
          <w:rStyle w:val="FootnoteReference"/>
          <w:rFonts w:ascii="Verdana" w:hAnsi="Verdana"/>
          <w:sz w:val="16"/>
          <w:szCs w:val="16"/>
        </w:rPr>
        <w:footnoteRef/>
      </w:r>
      <w:r w:rsidRPr="00F36DD1">
        <w:rPr>
          <w:rFonts w:ascii="Verdana" w:hAnsi="Verdana"/>
          <w:sz w:val="16"/>
          <w:szCs w:val="16"/>
          <w:lang w:val="es-CR"/>
        </w:rPr>
        <w:t xml:space="preserve"> </w:t>
      </w:r>
      <w:r w:rsidRPr="00F36DD1">
        <w:rPr>
          <w:rFonts w:ascii="Verdana" w:hAnsi="Verdana"/>
          <w:sz w:val="16"/>
          <w:szCs w:val="16"/>
          <w:lang w:val="es-CR"/>
        </w:rPr>
        <w:tab/>
        <w:t>La Corte destaca que de acuerdo a la solicitud de Medidas Provisionales presentada por la Comisión, las organizaciones que informaron sobre los hechos que motivan la solicitud son el Centro por la Justicia y Derechos Humanos de la Costa Atlántica de Nicaragua (CEJUDHCAN) y el Centro por la Justicia y e</w:t>
      </w:r>
      <w:r w:rsidRPr="001923C8">
        <w:rPr>
          <w:rFonts w:ascii="Verdana" w:hAnsi="Verdana"/>
          <w:sz w:val="16"/>
          <w:szCs w:val="16"/>
          <w:lang w:val="es-CR"/>
        </w:rPr>
        <w:t>l Derecho Internacional (CEJIL)</w:t>
      </w:r>
      <w:r w:rsidRPr="00F36DD1">
        <w:rPr>
          <w:rFonts w:ascii="Verdana" w:hAnsi="Verdana"/>
          <w:sz w:val="16"/>
          <w:szCs w:val="16"/>
          <w:lang w:val="es-CR"/>
        </w:rPr>
        <w:t>. Además, desde la solicitud inicial de medidas cautelares ante la Comisión, esta fue suscrita en conjunto por el CEJUDHCAN y CEJIL como representantes; y su participación como tales ha sido reconocida incluso por la Comisión.</w:t>
      </w:r>
    </w:p>
  </w:footnote>
  <w:footnote w:id="9">
    <w:p w14:paraId="322F7E59" w14:textId="45150759" w:rsidR="00304173" w:rsidRPr="00F36DD1" w:rsidRDefault="00304173" w:rsidP="005D450B">
      <w:pPr>
        <w:pStyle w:val="NormalWeb"/>
        <w:spacing w:before="0" w:beforeAutospacing="0" w:after="0" w:afterAutospacing="0"/>
        <w:jc w:val="both"/>
        <w:rPr>
          <w:rFonts w:ascii="Verdana" w:hAnsi="Verdana"/>
          <w:sz w:val="16"/>
          <w:szCs w:val="16"/>
          <w:lang w:val="es-CR"/>
        </w:rPr>
      </w:pPr>
      <w:r w:rsidRPr="00F36DD1">
        <w:rPr>
          <w:rStyle w:val="FootnoteReference"/>
          <w:rFonts w:ascii="Verdana" w:hAnsi="Verdana"/>
          <w:sz w:val="16"/>
          <w:szCs w:val="16"/>
        </w:rPr>
        <w:footnoteRef/>
      </w:r>
      <w:r w:rsidRPr="00F36DD1">
        <w:rPr>
          <w:rFonts w:ascii="Verdana" w:hAnsi="Verdana"/>
          <w:sz w:val="16"/>
          <w:szCs w:val="16"/>
          <w:lang w:val="es-CR"/>
        </w:rPr>
        <w:t xml:space="preserve"> </w:t>
      </w:r>
      <w:r>
        <w:rPr>
          <w:rFonts w:ascii="Verdana" w:hAnsi="Verdana"/>
          <w:sz w:val="16"/>
          <w:szCs w:val="16"/>
          <w:lang w:val="es-CR"/>
        </w:rPr>
        <w:tab/>
      </w:r>
      <w:r w:rsidRPr="00F36DD1">
        <w:rPr>
          <w:rFonts w:ascii="Verdana" w:hAnsi="Verdana"/>
          <w:i/>
          <w:sz w:val="16"/>
          <w:szCs w:val="16"/>
          <w:lang w:val="es-CR"/>
        </w:rPr>
        <w:t>Cfr.</w:t>
      </w:r>
      <w:r w:rsidRPr="00F36DD1">
        <w:rPr>
          <w:rFonts w:ascii="Verdana" w:hAnsi="Verdana"/>
          <w:sz w:val="16"/>
          <w:szCs w:val="16"/>
          <w:lang w:val="es-CR"/>
        </w:rPr>
        <w:t xml:space="preserve"> </w:t>
      </w:r>
      <w:r w:rsidRPr="00CB4120">
        <w:rPr>
          <w:rFonts w:ascii="Verdana" w:hAnsi="Verdana"/>
          <w:i/>
          <w:sz w:val="16"/>
          <w:szCs w:val="16"/>
          <w:lang w:val="es-CR"/>
        </w:rPr>
        <w:t>Asunto del Internado Judicial de Monagas (“La Pica”) respecto de Venezuela. Solicitud de ampliación de medidas provisionales a favor de Marianela Sánchez Ortiz y familia</w:t>
      </w:r>
      <w:r w:rsidRPr="00F36DD1">
        <w:rPr>
          <w:rFonts w:ascii="Verdana" w:hAnsi="Verdana"/>
          <w:sz w:val="16"/>
          <w:szCs w:val="16"/>
          <w:lang w:val="es-CR"/>
        </w:rPr>
        <w:t xml:space="preserve">. Resolución de la Corte </w:t>
      </w:r>
      <w:r w:rsidR="0082272B">
        <w:rPr>
          <w:rFonts w:ascii="Verdana" w:hAnsi="Verdana"/>
          <w:sz w:val="16"/>
          <w:szCs w:val="16"/>
          <w:lang w:val="es-CR"/>
        </w:rPr>
        <w:t>IDH</w:t>
      </w:r>
      <w:r w:rsidR="005D52CB">
        <w:rPr>
          <w:rFonts w:ascii="Verdana" w:hAnsi="Verdana"/>
          <w:sz w:val="16"/>
          <w:szCs w:val="16"/>
          <w:lang w:val="es-CR"/>
        </w:rPr>
        <w:t xml:space="preserve"> de 6 de septiembre de 2012, p</w:t>
      </w:r>
      <w:r w:rsidRPr="00F36DD1">
        <w:rPr>
          <w:rFonts w:ascii="Verdana" w:hAnsi="Verdana"/>
          <w:sz w:val="16"/>
          <w:szCs w:val="16"/>
          <w:lang w:val="es-CR"/>
        </w:rPr>
        <w:t>árr. 14.</w:t>
      </w:r>
    </w:p>
  </w:footnote>
  <w:footnote w:id="10">
    <w:p w14:paraId="1D643187" w14:textId="5C8A610E" w:rsidR="00304173" w:rsidRPr="00A30ADA" w:rsidRDefault="00304173" w:rsidP="005D450B">
      <w:pPr>
        <w:autoSpaceDE w:val="0"/>
        <w:autoSpaceDN w:val="0"/>
        <w:adjustRightInd w:val="0"/>
        <w:spacing w:after="0"/>
        <w:jc w:val="both"/>
        <w:rPr>
          <w:rFonts w:ascii="Verdana" w:hAnsi="Verdana"/>
          <w:sz w:val="16"/>
          <w:szCs w:val="16"/>
          <w:lang w:val="es-PR"/>
        </w:rPr>
      </w:pPr>
      <w:r>
        <w:rPr>
          <w:rStyle w:val="FootnoteReference"/>
        </w:rPr>
        <w:footnoteRef/>
      </w:r>
      <w:r w:rsidRPr="00945353">
        <w:rPr>
          <w:lang w:val="es-CR"/>
        </w:rPr>
        <w:t xml:space="preserve"> </w:t>
      </w:r>
      <w:r w:rsidR="00A30ADA">
        <w:rPr>
          <w:lang w:val="es-CR"/>
        </w:rPr>
        <w:tab/>
      </w:r>
      <w:r w:rsidR="00A30ADA" w:rsidRPr="00A30ADA">
        <w:rPr>
          <w:rFonts w:ascii="Verdana" w:hAnsi="Verdana"/>
          <w:sz w:val="16"/>
          <w:szCs w:val="16"/>
          <w:lang w:val="es-CR"/>
        </w:rPr>
        <w:t xml:space="preserve">OEA. </w:t>
      </w:r>
      <w:r w:rsidR="00A30ADA" w:rsidRPr="00A30ADA">
        <w:rPr>
          <w:rFonts w:ascii="Verdana" w:hAnsi="Verdana"/>
          <w:i/>
          <w:iCs/>
          <w:sz w:val="16"/>
          <w:szCs w:val="16"/>
          <w:lang w:val="es-CR"/>
        </w:rPr>
        <w:t>Defensores de derechos humanos en las Américas: Apoyo a las tareas que desarrollan las personas, grupos y organizaciones de la sociedad civil para la promoción y protección de los derechos humanos en las Américas.</w:t>
      </w:r>
      <w:r w:rsidR="009B6948">
        <w:rPr>
          <w:rFonts w:ascii="Verdana" w:hAnsi="Verdana"/>
          <w:sz w:val="16"/>
          <w:lang w:val="es-CR"/>
        </w:rPr>
        <w:t xml:space="preserve"> AG/RES. 1818 (XXXI-O/01), de </w:t>
      </w:r>
      <w:r w:rsidR="00A30ADA">
        <w:rPr>
          <w:rFonts w:ascii="Verdana" w:hAnsi="Verdana"/>
          <w:sz w:val="16"/>
          <w:lang w:val="es-CR"/>
        </w:rPr>
        <w:t xml:space="preserve">5 de junio de 2001, y </w:t>
      </w:r>
      <w:r w:rsidR="00A30ADA" w:rsidRPr="00A30ADA">
        <w:rPr>
          <w:rFonts w:ascii="Verdana" w:hAnsi="Verdana"/>
          <w:sz w:val="16"/>
          <w:szCs w:val="16"/>
          <w:lang w:val="es-CR"/>
        </w:rPr>
        <w:t xml:space="preserve">OEA. </w:t>
      </w:r>
      <w:r w:rsidR="00A30ADA" w:rsidRPr="00A30ADA">
        <w:rPr>
          <w:rFonts w:ascii="Verdana" w:hAnsi="Verdana"/>
          <w:i/>
          <w:iCs/>
          <w:sz w:val="16"/>
          <w:szCs w:val="16"/>
          <w:lang w:val="es-CR"/>
        </w:rPr>
        <w:t>Defensores de derechos humanos en las Américas: Apoyo a las tareas que desarrollan las personas, grupos y organizaciones de la sociedad civil para la promoción y protección de los derechos humanos en las Américas.</w:t>
      </w:r>
      <w:r w:rsidR="009B6948">
        <w:rPr>
          <w:rFonts w:ascii="Verdana" w:hAnsi="Verdana"/>
          <w:sz w:val="16"/>
          <w:lang w:val="es-CR"/>
        </w:rPr>
        <w:t xml:space="preserve"> AG/RES. 1842 (XXXI-O/02), de </w:t>
      </w:r>
      <w:r w:rsidR="00A30ADA">
        <w:rPr>
          <w:rFonts w:ascii="Verdana" w:hAnsi="Verdana"/>
          <w:sz w:val="16"/>
          <w:lang w:val="es-CR"/>
        </w:rPr>
        <w:t xml:space="preserve">4 de junio de 2002, </w:t>
      </w:r>
      <w:r w:rsidR="00A30ADA" w:rsidRPr="00945353">
        <w:rPr>
          <w:rFonts w:ascii="Verdana" w:hAnsi="Verdana"/>
          <w:sz w:val="16"/>
          <w:szCs w:val="16"/>
          <w:lang w:val="es-CR"/>
        </w:rPr>
        <w:t xml:space="preserve">mediante las cuales resolvió: “Exhortar a los Estados Miembros a que intensifiquen los esfuerzos para la adopción de las medidas necesarias para garantizar la vida, la integridad personal y la libertad de expresión de los mismos, de acuerdo con su legislación nacional y de conformidad con los principios y normas </w:t>
      </w:r>
      <w:r w:rsidR="00A30ADA">
        <w:rPr>
          <w:rFonts w:ascii="Verdana" w:hAnsi="Verdana"/>
          <w:sz w:val="16"/>
          <w:szCs w:val="16"/>
          <w:lang w:val="es-CR"/>
        </w:rPr>
        <w:t>reconocidos internacionalmente”. Véase también,</w:t>
      </w:r>
      <w:r w:rsidR="00DA7032">
        <w:rPr>
          <w:rFonts w:ascii="Verdana" w:hAnsi="Verdana"/>
          <w:sz w:val="16"/>
          <w:szCs w:val="16"/>
          <w:lang w:val="es-CR"/>
        </w:rPr>
        <w:t xml:space="preserve"> ONU.</w:t>
      </w:r>
      <w:r w:rsidR="00DA7032" w:rsidRPr="00945353">
        <w:rPr>
          <w:rFonts w:ascii="Verdana" w:hAnsi="Verdana"/>
          <w:sz w:val="16"/>
          <w:szCs w:val="16"/>
          <w:lang w:val="es-CR"/>
        </w:rPr>
        <w:t xml:space="preserve"> </w:t>
      </w:r>
      <w:r w:rsidR="00DA7032" w:rsidRPr="00945353">
        <w:rPr>
          <w:rFonts w:ascii="Verdana" w:hAnsi="Verdana"/>
          <w:i/>
          <w:sz w:val="16"/>
          <w:szCs w:val="16"/>
          <w:lang w:val="es-CR"/>
        </w:rPr>
        <w:t>Declaración sobre el derecho y el deber de los individuos, los grupos y las instituciones de promover y proteger los derechos humanos y las libertades fundamentales universalmente reconocidos</w:t>
      </w:r>
      <w:r w:rsidR="00DA7032">
        <w:rPr>
          <w:rFonts w:ascii="Verdana" w:hAnsi="Verdana"/>
          <w:sz w:val="16"/>
          <w:szCs w:val="16"/>
          <w:lang w:val="es-CR"/>
        </w:rPr>
        <w:t>. A/RES/53/144, de 8 de marzo de 1999, art. 12.2, y</w:t>
      </w:r>
      <w:r w:rsidR="00A30ADA">
        <w:rPr>
          <w:rFonts w:ascii="Verdana" w:hAnsi="Verdana"/>
          <w:sz w:val="16"/>
          <w:szCs w:val="16"/>
          <w:lang w:val="es-CR"/>
        </w:rPr>
        <w:t xml:space="preserve"> </w:t>
      </w:r>
      <w:r w:rsidRPr="00945353">
        <w:rPr>
          <w:rFonts w:ascii="Verdana" w:hAnsi="Verdana"/>
          <w:sz w:val="16"/>
          <w:lang w:val="es-CR"/>
        </w:rPr>
        <w:t xml:space="preserve">OEA. </w:t>
      </w:r>
      <w:r w:rsidRPr="00945353">
        <w:rPr>
          <w:rFonts w:ascii="Verdana" w:hAnsi="Verdana"/>
          <w:i/>
          <w:sz w:val="16"/>
          <w:lang w:val="es-CR"/>
        </w:rPr>
        <w:t>Defensoras y Defensores de Derechos Humanos: Apoyo a las tareas que desarrollan las personas, grupos y organiza</w:t>
      </w:r>
      <w:r w:rsidR="007C4CC2">
        <w:rPr>
          <w:rFonts w:ascii="Verdana" w:hAnsi="Verdana"/>
          <w:i/>
          <w:sz w:val="16"/>
          <w:lang w:val="es-CR"/>
        </w:rPr>
        <w:t>c</w:t>
      </w:r>
      <w:r w:rsidRPr="00945353">
        <w:rPr>
          <w:rFonts w:ascii="Verdana" w:hAnsi="Verdana"/>
          <w:i/>
          <w:sz w:val="16"/>
          <w:lang w:val="es-CR"/>
        </w:rPr>
        <w:t xml:space="preserve">iones de la sociedad civil para la promoción y protección de los Derechos Humanos en las Américas. </w:t>
      </w:r>
      <w:r w:rsidR="009B6948">
        <w:rPr>
          <w:rFonts w:ascii="Verdana" w:hAnsi="Verdana"/>
          <w:sz w:val="16"/>
          <w:lang w:val="es-CR"/>
        </w:rPr>
        <w:t xml:space="preserve">AG/RES. 2412 (XXXVIII-O/08), de </w:t>
      </w:r>
      <w:r w:rsidR="0082272B">
        <w:rPr>
          <w:rFonts w:ascii="Verdana" w:hAnsi="Verdana"/>
          <w:sz w:val="16"/>
          <w:lang w:val="es-CR"/>
        </w:rPr>
        <w:t>3 de junio de 2018</w:t>
      </w:r>
      <w:r w:rsidR="00F70D38" w:rsidRPr="00945353">
        <w:rPr>
          <w:rFonts w:ascii="Verdana" w:hAnsi="Verdana"/>
          <w:sz w:val="16"/>
          <w:lang w:val="es-CR"/>
        </w:rPr>
        <w:t>.</w:t>
      </w:r>
      <w:r w:rsidR="00A30ADA">
        <w:rPr>
          <w:sz w:val="16"/>
          <w:lang w:val="es-CR"/>
        </w:rPr>
        <w:t xml:space="preserve"> </w:t>
      </w:r>
    </w:p>
  </w:footnote>
  <w:footnote w:id="11">
    <w:p w14:paraId="3E50C591" w14:textId="0D2AC65E" w:rsidR="00304173" w:rsidRPr="00DA7032" w:rsidRDefault="00304173" w:rsidP="005D450B">
      <w:pPr>
        <w:autoSpaceDE w:val="0"/>
        <w:autoSpaceDN w:val="0"/>
        <w:adjustRightInd w:val="0"/>
        <w:spacing w:after="0"/>
        <w:jc w:val="both"/>
        <w:rPr>
          <w:rFonts w:ascii="Verdana" w:hAnsi="Verdana"/>
          <w:sz w:val="16"/>
          <w:szCs w:val="16"/>
          <w:lang w:val="es-CR"/>
        </w:rPr>
      </w:pPr>
      <w:r w:rsidRPr="00A909D2">
        <w:rPr>
          <w:rStyle w:val="FootnoteReference"/>
          <w:rFonts w:ascii="Verdana" w:eastAsia="MS Gothic" w:hAnsi="Verdana"/>
          <w:sz w:val="16"/>
          <w:szCs w:val="16"/>
        </w:rPr>
        <w:footnoteRef/>
      </w:r>
      <w:r w:rsidRPr="00A909D2">
        <w:rPr>
          <w:rFonts w:ascii="Verdana" w:hAnsi="Verdana"/>
          <w:sz w:val="16"/>
          <w:szCs w:val="16"/>
          <w:lang w:val="pt-BR"/>
        </w:rPr>
        <w:tab/>
      </w:r>
      <w:r w:rsidRPr="00A909D2">
        <w:rPr>
          <w:rFonts w:ascii="Verdana" w:hAnsi="Verdana"/>
          <w:i/>
          <w:sz w:val="16"/>
          <w:szCs w:val="16"/>
          <w:lang w:val="pt-BR"/>
        </w:rPr>
        <w:t>Cfr.</w:t>
      </w:r>
      <w:r w:rsidRPr="00A909D2">
        <w:rPr>
          <w:rFonts w:ascii="Verdana" w:hAnsi="Verdana"/>
          <w:sz w:val="16"/>
          <w:szCs w:val="16"/>
          <w:lang w:val="pt-BR"/>
        </w:rPr>
        <w:t xml:space="preserve"> </w:t>
      </w:r>
      <w:r w:rsidRPr="00A909D2">
        <w:rPr>
          <w:rFonts w:ascii="Verdana" w:hAnsi="Verdana"/>
          <w:i/>
          <w:sz w:val="16"/>
          <w:szCs w:val="16"/>
          <w:lang w:val="pt-BR"/>
        </w:rPr>
        <w:t xml:space="preserve">Caso Nogueira de </w:t>
      </w:r>
      <w:r w:rsidRPr="006A69F2">
        <w:rPr>
          <w:rFonts w:ascii="Verdana" w:hAnsi="Verdana"/>
          <w:i/>
          <w:sz w:val="16"/>
          <w:szCs w:val="16"/>
          <w:lang w:val="pt-BR"/>
        </w:rPr>
        <w:t xml:space="preserve">Carvalho y otro Vs. Brasil. </w:t>
      </w:r>
      <w:r w:rsidRPr="0082272B">
        <w:rPr>
          <w:rFonts w:ascii="Verdana" w:hAnsi="Verdana"/>
          <w:i/>
          <w:sz w:val="16"/>
          <w:szCs w:val="16"/>
          <w:lang w:val="pt-BR"/>
        </w:rPr>
        <w:t>Excepciones Preliminares y Fondo</w:t>
      </w:r>
      <w:r w:rsidRPr="006A69F2">
        <w:rPr>
          <w:rFonts w:ascii="Verdana" w:hAnsi="Verdana"/>
          <w:i/>
          <w:sz w:val="16"/>
          <w:szCs w:val="16"/>
          <w:lang w:val="pt-BR"/>
        </w:rPr>
        <w:t xml:space="preserve">. </w:t>
      </w:r>
      <w:r w:rsidRPr="006A69F2">
        <w:rPr>
          <w:rFonts w:ascii="Verdana" w:hAnsi="Verdana"/>
          <w:sz w:val="16"/>
          <w:szCs w:val="16"/>
          <w:lang w:val="pt-BR"/>
        </w:rPr>
        <w:t xml:space="preserve">Sentencia de 28 de Noviembre de 2006. Serie C No. 161, párr. </w:t>
      </w:r>
      <w:r w:rsidRPr="00945353">
        <w:rPr>
          <w:rFonts w:ascii="Verdana" w:hAnsi="Verdana"/>
          <w:sz w:val="16"/>
          <w:szCs w:val="16"/>
          <w:lang w:val="es-CR"/>
        </w:rPr>
        <w:t xml:space="preserve">77, y </w:t>
      </w:r>
      <w:r w:rsidRPr="00720811">
        <w:rPr>
          <w:rFonts w:ascii="Verdana" w:eastAsia="Batang" w:hAnsi="Verdana"/>
          <w:i/>
          <w:iCs/>
          <w:sz w:val="16"/>
          <w:szCs w:val="16"/>
          <w:lang w:val="es-ES_tradnl"/>
        </w:rPr>
        <w:t>Cfr</w:t>
      </w:r>
      <w:r>
        <w:rPr>
          <w:rFonts w:ascii="Verdana" w:eastAsia="Batang" w:hAnsi="Verdana"/>
          <w:i/>
          <w:iCs/>
          <w:sz w:val="16"/>
          <w:szCs w:val="16"/>
          <w:lang w:val="es-ES_tradnl"/>
        </w:rPr>
        <w:t xml:space="preserve">. Asuntos de Determinados Centros Penitenciarios de Venezuela. Humberto Prado. Marianela Sánchez Ortiz y familia de Venezuela. Medidas Provisionales. </w:t>
      </w:r>
      <w:r w:rsidRPr="0082272B">
        <w:rPr>
          <w:rFonts w:ascii="Verdana" w:eastAsia="Batang" w:hAnsi="Verdana"/>
          <w:iCs/>
          <w:sz w:val="16"/>
          <w:szCs w:val="16"/>
          <w:lang w:val="es-ES_tradnl"/>
        </w:rPr>
        <w:t xml:space="preserve">Resolución de la Corte </w:t>
      </w:r>
      <w:r w:rsidR="0082272B" w:rsidRPr="0082272B">
        <w:rPr>
          <w:rFonts w:ascii="Verdana" w:eastAsia="Batang" w:hAnsi="Verdana"/>
          <w:iCs/>
          <w:sz w:val="16"/>
          <w:szCs w:val="16"/>
          <w:lang w:val="es-ES_tradnl"/>
        </w:rPr>
        <w:t>IDH</w:t>
      </w:r>
      <w:r w:rsidR="0082272B">
        <w:rPr>
          <w:rFonts w:ascii="Verdana" w:eastAsia="Batang" w:hAnsi="Verdana"/>
          <w:iCs/>
          <w:sz w:val="16"/>
          <w:szCs w:val="16"/>
          <w:lang w:val="es-ES_tradnl"/>
        </w:rPr>
        <w:t xml:space="preserve"> de 13 de noviembre de 2015, p</w:t>
      </w:r>
      <w:r w:rsidRPr="0082272B">
        <w:rPr>
          <w:rFonts w:ascii="Verdana" w:eastAsia="Batang" w:hAnsi="Verdana"/>
          <w:iCs/>
          <w:sz w:val="16"/>
          <w:szCs w:val="16"/>
          <w:lang w:val="es-ES_tradnl"/>
        </w:rPr>
        <w:t>árr. 91.</w:t>
      </w:r>
      <w:r>
        <w:rPr>
          <w:rFonts w:ascii="Verdana" w:eastAsia="Batang" w:hAnsi="Verdana"/>
          <w:i/>
          <w:iCs/>
          <w:sz w:val="16"/>
          <w:szCs w:val="16"/>
          <w:lang w:val="es-ES_tradnl"/>
        </w:rPr>
        <w:t xml:space="preserve"> </w:t>
      </w:r>
      <w:r w:rsidR="00DA7032">
        <w:rPr>
          <w:rFonts w:ascii="Verdana" w:hAnsi="Verdana"/>
          <w:sz w:val="16"/>
          <w:szCs w:val="16"/>
          <w:lang w:val="es-CR"/>
        </w:rPr>
        <w:t xml:space="preserve">En el mismo sentido, véase, </w:t>
      </w:r>
      <w:r w:rsidR="00DA7032">
        <w:rPr>
          <w:rFonts w:ascii="Verdana" w:hAnsi="Verdana"/>
          <w:i/>
          <w:sz w:val="16"/>
          <w:szCs w:val="16"/>
          <w:lang w:val="es-CR"/>
        </w:rPr>
        <w:t xml:space="preserve">Asunto Mery Naranjo y otros respecto Colombia. Medidas Provisionales. </w:t>
      </w:r>
      <w:r w:rsidR="00DA7032">
        <w:rPr>
          <w:rFonts w:ascii="Verdana" w:hAnsi="Verdana"/>
          <w:sz w:val="16"/>
          <w:szCs w:val="16"/>
          <w:lang w:val="es-CR"/>
        </w:rPr>
        <w:t xml:space="preserve">Resolución de la Corte IDH de 5 de julio de 2006, Considerando 8, y </w:t>
      </w:r>
      <w:r w:rsidR="00DA7032">
        <w:rPr>
          <w:rFonts w:ascii="Verdana" w:hAnsi="Verdana"/>
          <w:i/>
          <w:sz w:val="16"/>
          <w:szCs w:val="16"/>
          <w:lang w:val="es-CR"/>
        </w:rPr>
        <w:t xml:space="preserve">Caso Álvarez y otros respecto de Colombia. Medidas Provisionales. </w:t>
      </w:r>
      <w:r w:rsidR="00DA7032">
        <w:rPr>
          <w:rFonts w:ascii="Verdana" w:hAnsi="Verdana"/>
          <w:sz w:val="16"/>
          <w:szCs w:val="16"/>
          <w:lang w:val="es-CR"/>
        </w:rPr>
        <w:t xml:space="preserve">Resolución de la Corte IDH de 8 de febrero de 2008, Considerando 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918368"/>
      <w:docPartObj>
        <w:docPartGallery w:val="Page Numbers (Top of Page)"/>
        <w:docPartUnique/>
      </w:docPartObj>
    </w:sdtPr>
    <w:sdtEndPr>
      <w:rPr>
        <w:rFonts w:ascii="Verdana" w:hAnsi="Verdana"/>
        <w:noProof/>
        <w:sz w:val="20"/>
        <w:szCs w:val="20"/>
      </w:rPr>
    </w:sdtEndPr>
    <w:sdtContent>
      <w:p w14:paraId="750F9E17" w14:textId="77777777" w:rsidR="00304173" w:rsidRPr="00A21CB9" w:rsidRDefault="00304173">
        <w:pPr>
          <w:pStyle w:val="Header"/>
          <w:jc w:val="center"/>
          <w:rPr>
            <w:rFonts w:ascii="Verdana" w:hAnsi="Verdana"/>
            <w:sz w:val="20"/>
            <w:szCs w:val="20"/>
          </w:rPr>
        </w:pPr>
        <w:r>
          <w:fldChar w:fldCharType="begin"/>
        </w:r>
        <w:r>
          <w:instrText xml:space="preserve"> PAGE   \* MERGEFORMAT </w:instrText>
        </w:r>
        <w:r>
          <w:fldChar w:fldCharType="separate"/>
        </w:r>
        <w:r w:rsidR="008E49DD" w:rsidRPr="008E49DD">
          <w:rPr>
            <w:rFonts w:ascii="Verdana" w:hAnsi="Verdana"/>
            <w:noProof/>
            <w:sz w:val="20"/>
            <w:szCs w:val="20"/>
          </w:rPr>
          <w:t>2</w:t>
        </w:r>
        <w:r>
          <w:rPr>
            <w:rFonts w:ascii="Verdana" w:hAnsi="Verdana"/>
            <w:noProof/>
            <w:sz w:val="20"/>
            <w:szCs w:val="20"/>
          </w:rPr>
          <w:fldChar w:fldCharType="end"/>
        </w:r>
      </w:p>
    </w:sdtContent>
  </w:sdt>
  <w:p w14:paraId="750F9E18" w14:textId="77777777" w:rsidR="00304173" w:rsidRDefault="003041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8370A"/>
    <w:multiLevelType w:val="hybridMultilevel"/>
    <w:tmpl w:val="077464F0"/>
    <w:lvl w:ilvl="0" w:tplc="6098196E">
      <w:start w:val="20"/>
      <w:numFmt w:val="bullet"/>
      <w:lvlText w:val="-"/>
      <w:lvlJc w:val="left"/>
      <w:pPr>
        <w:ind w:left="720" w:hanging="360"/>
      </w:pPr>
      <w:rPr>
        <w:rFonts w:ascii="Verdana" w:eastAsia="MS Mincho" w:hAnsi="Verdan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72078B"/>
    <w:multiLevelType w:val="hybridMultilevel"/>
    <w:tmpl w:val="880A4D4C"/>
    <w:lvl w:ilvl="0" w:tplc="849CD9DC">
      <w:start w:val="1"/>
      <w:numFmt w:val="decimal"/>
      <w:lvlText w:val="%1."/>
      <w:lvlJc w:val="left"/>
      <w:pPr>
        <w:ind w:left="1065" w:hanging="7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E0569CF"/>
    <w:multiLevelType w:val="multilevel"/>
    <w:tmpl w:val="0CB60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136221"/>
    <w:multiLevelType w:val="hybridMultilevel"/>
    <w:tmpl w:val="A4664982"/>
    <w:lvl w:ilvl="0" w:tplc="17E29A52">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27953890"/>
    <w:multiLevelType w:val="hybridMultilevel"/>
    <w:tmpl w:val="641AD168"/>
    <w:lvl w:ilvl="0" w:tplc="040A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2C655593"/>
    <w:multiLevelType w:val="hybridMultilevel"/>
    <w:tmpl w:val="8D9E7374"/>
    <w:lvl w:ilvl="0" w:tplc="3878DD5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04F76D2"/>
    <w:multiLevelType w:val="multilevel"/>
    <w:tmpl w:val="5702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1915B6"/>
    <w:multiLevelType w:val="hybridMultilevel"/>
    <w:tmpl w:val="D4A07520"/>
    <w:lvl w:ilvl="0" w:tplc="1578F21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3D070759"/>
    <w:multiLevelType w:val="hybridMultilevel"/>
    <w:tmpl w:val="035AF7B2"/>
    <w:lvl w:ilvl="0" w:tplc="040A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404BE8"/>
    <w:multiLevelType w:val="hybridMultilevel"/>
    <w:tmpl w:val="D8502A72"/>
    <w:lvl w:ilvl="0" w:tplc="0409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747762"/>
    <w:multiLevelType w:val="hybridMultilevel"/>
    <w:tmpl w:val="B7502C70"/>
    <w:lvl w:ilvl="0" w:tplc="28441B1C">
      <w:start w:val="1"/>
      <w:numFmt w:val="decimal"/>
      <w:lvlText w:val="%1."/>
      <w:lvlJc w:val="left"/>
      <w:pPr>
        <w:tabs>
          <w:tab w:val="num" w:pos="567"/>
        </w:tabs>
        <w:ind w:left="0" w:firstLine="0"/>
      </w:pPr>
      <w:rPr>
        <w:rFonts w:ascii="Verdana" w:hAnsi="Verdana" w:hint="default"/>
        <w:b w:val="0"/>
        <w:i w:val="0"/>
        <w:strike w:val="0"/>
        <w:dstrike w:val="0"/>
        <w:color w:val="auto"/>
        <w:sz w:val="20"/>
        <w:szCs w:val="20"/>
        <w:u w:val="none"/>
        <w:effect w:val="none"/>
        <w:lang w:val="es-PR"/>
      </w:rPr>
    </w:lvl>
    <w:lvl w:ilvl="1" w:tplc="AB4AEBC6">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rPr>
        <w:b w:val="0"/>
        <w:i w:val="0"/>
        <w:strike w:val="0"/>
        <w:dstrike w:val="0"/>
        <w:sz w:val="20"/>
        <w:szCs w:val="20"/>
        <w:u w:val="none"/>
        <w:effect w:val="none"/>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44552A0C"/>
    <w:multiLevelType w:val="hybridMultilevel"/>
    <w:tmpl w:val="6D8E6FA0"/>
    <w:lvl w:ilvl="0" w:tplc="688C1A3A">
      <w:start w:val="1"/>
      <w:numFmt w:val="lowerLetter"/>
      <w:lvlText w:val="%1)"/>
      <w:lvlJc w:val="left"/>
      <w:pPr>
        <w:ind w:left="720" w:hanging="360"/>
      </w:pPr>
      <w:rPr>
        <w:rFonts w:asciiTheme="minorHAnsi" w:hAnsiTheme="minorHAnsi" w:cstheme="minorBidi" w:hint="default"/>
        <w:b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A9E0C762">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6CB1780"/>
    <w:multiLevelType w:val="hybridMultilevel"/>
    <w:tmpl w:val="3F32F15A"/>
    <w:lvl w:ilvl="0" w:tplc="A3D0F1B8">
      <w:start w:val="1"/>
      <w:numFmt w:val="lowerLetter"/>
      <w:lvlText w:val="%1)"/>
      <w:lvlJc w:val="left"/>
      <w:pPr>
        <w:ind w:left="360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F03689F"/>
    <w:multiLevelType w:val="hybridMultilevel"/>
    <w:tmpl w:val="906AC0D2"/>
    <w:lvl w:ilvl="0" w:tplc="CD220BFE">
      <w:start w:val="1"/>
      <w:numFmt w:val="decimal"/>
      <w:lvlText w:val="%1."/>
      <w:lvlJc w:val="left"/>
      <w:pPr>
        <w:tabs>
          <w:tab w:val="num" w:pos="851"/>
        </w:tabs>
        <w:ind w:left="0" w:firstLine="0"/>
      </w:pPr>
      <w:rPr>
        <w:rFonts w:ascii="Verdana" w:hAnsi="Verdana" w:hint="default"/>
        <w:b w:val="0"/>
        <w:color w:val="auto"/>
        <w:sz w:val="20"/>
        <w:szCs w:val="20"/>
        <w:lang w:val="es-ES_tradnl"/>
      </w:rPr>
    </w:lvl>
    <w:lvl w:ilvl="1" w:tplc="75B8E952">
      <w:start w:val="1"/>
      <w:numFmt w:val="decimal"/>
      <w:lvlText w:val="%2."/>
      <w:lvlJc w:val="left"/>
      <w:pPr>
        <w:tabs>
          <w:tab w:val="num" w:pos="1418"/>
        </w:tabs>
        <w:ind w:left="0" w:firstLine="1080"/>
      </w:pPr>
      <w:rPr>
        <w:rFonts w:hint="default"/>
      </w:rPr>
    </w:lvl>
    <w:lvl w:ilvl="2" w:tplc="BF5A881A">
      <w:start w:val="1"/>
      <w:numFmt w:val="lowerLetter"/>
      <w:lvlText w:val="%3)"/>
      <w:lvlJc w:val="left"/>
      <w:pPr>
        <w:tabs>
          <w:tab w:val="num" w:pos="2340"/>
        </w:tabs>
        <w:ind w:left="2340" w:hanging="360"/>
      </w:pPr>
      <w:rPr>
        <w:rFonts w:hint="default"/>
      </w:r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4">
    <w:nsid w:val="527E72E5"/>
    <w:multiLevelType w:val="hybridMultilevel"/>
    <w:tmpl w:val="880A4D4C"/>
    <w:lvl w:ilvl="0" w:tplc="849CD9DC">
      <w:start w:val="1"/>
      <w:numFmt w:val="decimal"/>
      <w:lvlText w:val="%1."/>
      <w:lvlJc w:val="left"/>
      <w:pPr>
        <w:ind w:left="705" w:hanging="70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650E1E14"/>
    <w:multiLevelType w:val="hybridMultilevel"/>
    <w:tmpl w:val="880A4D4C"/>
    <w:lvl w:ilvl="0" w:tplc="849CD9DC">
      <w:start w:val="1"/>
      <w:numFmt w:val="decimal"/>
      <w:lvlText w:val="%1."/>
      <w:lvlJc w:val="left"/>
      <w:pPr>
        <w:ind w:left="1065" w:hanging="7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5AB2930"/>
    <w:multiLevelType w:val="hybridMultilevel"/>
    <w:tmpl w:val="7F30DBD2"/>
    <w:lvl w:ilvl="0" w:tplc="C520F6C4">
      <w:start w:val="1"/>
      <w:numFmt w:val="decimal"/>
      <w:lvlText w:val="%1."/>
      <w:lvlJc w:val="left"/>
      <w:pPr>
        <w:tabs>
          <w:tab w:val="num" w:pos="1068"/>
        </w:tabs>
        <w:ind w:left="1068" w:hanging="360"/>
      </w:pPr>
      <w:rPr>
        <w:rFonts w:ascii="Verdana" w:hAnsi="Verdana" w:hint="default"/>
        <w:b w:val="0"/>
        <w:i w:val="0"/>
        <w:sz w:val="20"/>
        <w:lang w:val="es-ES"/>
      </w:rPr>
    </w:lvl>
    <w:lvl w:ilvl="1" w:tplc="0409000F">
      <w:start w:val="1"/>
      <w:numFmt w:val="decimal"/>
      <w:lvlText w:val="%2."/>
      <w:lvlJc w:val="left"/>
      <w:pPr>
        <w:tabs>
          <w:tab w:val="num" w:pos="2148"/>
        </w:tabs>
        <w:ind w:left="2148" w:hanging="360"/>
      </w:pPr>
      <w:rPr>
        <w:b w:val="0"/>
      </w:rPr>
    </w:lvl>
    <w:lvl w:ilvl="2" w:tplc="92DEE256">
      <w:start w:val="1"/>
      <w:numFmt w:val="lowerLetter"/>
      <w:lvlText w:val="%3."/>
      <w:lvlJc w:val="left"/>
      <w:pPr>
        <w:tabs>
          <w:tab w:val="num" w:pos="3048"/>
        </w:tabs>
        <w:ind w:left="3048" w:hanging="360"/>
      </w:pPr>
    </w:lvl>
    <w:lvl w:ilvl="3" w:tplc="A9E0C762">
      <w:start w:val="1"/>
      <w:numFmt w:val="lowerLetter"/>
      <w:lvlText w:val="%4)"/>
      <w:lvlJc w:val="left"/>
      <w:pPr>
        <w:tabs>
          <w:tab w:val="num" w:pos="2148"/>
        </w:tabs>
        <w:ind w:left="2148" w:hanging="360"/>
      </w:pPr>
    </w:lvl>
    <w:lvl w:ilvl="4" w:tplc="04090019">
      <w:start w:val="1"/>
      <w:numFmt w:val="lowerLetter"/>
      <w:lvlText w:val="%5."/>
      <w:lvlJc w:val="left"/>
      <w:pPr>
        <w:tabs>
          <w:tab w:val="num" w:pos="4308"/>
        </w:tabs>
        <w:ind w:left="4308" w:hanging="360"/>
      </w:pPr>
    </w:lvl>
    <w:lvl w:ilvl="5" w:tplc="0409001B">
      <w:start w:val="1"/>
      <w:numFmt w:val="lowerRoman"/>
      <w:lvlText w:val="%6."/>
      <w:lvlJc w:val="right"/>
      <w:pPr>
        <w:tabs>
          <w:tab w:val="num" w:pos="5028"/>
        </w:tabs>
        <w:ind w:left="5028" w:hanging="180"/>
      </w:pPr>
    </w:lvl>
    <w:lvl w:ilvl="6" w:tplc="0409000F">
      <w:start w:val="1"/>
      <w:numFmt w:val="decimal"/>
      <w:lvlText w:val="%7."/>
      <w:lvlJc w:val="left"/>
      <w:pPr>
        <w:tabs>
          <w:tab w:val="num" w:pos="5748"/>
        </w:tabs>
        <w:ind w:left="5748" w:hanging="360"/>
      </w:pPr>
    </w:lvl>
    <w:lvl w:ilvl="7" w:tplc="04090019">
      <w:start w:val="1"/>
      <w:numFmt w:val="lowerLetter"/>
      <w:lvlText w:val="%8."/>
      <w:lvlJc w:val="left"/>
      <w:pPr>
        <w:tabs>
          <w:tab w:val="num" w:pos="6468"/>
        </w:tabs>
        <w:ind w:left="6468" w:hanging="360"/>
      </w:pPr>
    </w:lvl>
    <w:lvl w:ilvl="8" w:tplc="0409001B">
      <w:start w:val="1"/>
      <w:numFmt w:val="lowerRoman"/>
      <w:lvlText w:val="%9."/>
      <w:lvlJc w:val="right"/>
      <w:pPr>
        <w:tabs>
          <w:tab w:val="num" w:pos="7188"/>
        </w:tabs>
        <w:ind w:left="7188" w:hanging="180"/>
      </w:pPr>
    </w:lvl>
  </w:abstractNum>
  <w:abstractNum w:abstractNumId="17">
    <w:nsid w:val="744010E1"/>
    <w:multiLevelType w:val="hybridMultilevel"/>
    <w:tmpl w:val="7F30DBD2"/>
    <w:lvl w:ilvl="0" w:tplc="C520F6C4">
      <w:start w:val="1"/>
      <w:numFmt w:val="decimal"/>
      <w:lvlText w:val="%1."/>
      <w:lvlJc w:val="left"/>
      <w:pPr>
        <w:tabs>
          <w:tab w:val="num" w:pos="1068"/>
        </w:tabs>
        <w:ind w:left="1068" w:hanging="360"/>
      </w:pPr>
      <w:rPr>
        <w:rFonts w:ascii="Verdana" w:hAnsi="Verdana" w:hint="default"/>
        <w:b w:val="0"/>
        <w:i w:val="0"/>
        <w:sz w:val="20"/>
        <w:lang w:val="es-ES"/>
      </w:rPr>
    </w:lvl>
    <w:lvl w:ilvl="1" w:tplc="0409000F">
      <w:start w:val="1"/>
      <w:numFmt w:val="decimal"/>
      <w:lvlText w:val="%2."/>
      <w:lvlJc w:val="left"/>
      <w:pPr>
        <w:tabs>
          <w:tab w:val="num" w:pos="2148"/>
        </w:tabs>
        <w:ind w:left="2148" w:hanging="360"/>
      </w:pPr>
      <w:rPr>
        <w:b w:val="0"/>
      </w:rPr>
    </w:lvl>
    <w:lvl w:ilvl="2" w:tplc="92DEE256">
      <w:start w:val="1"/>
      <w:numFmt w:val="lowerLetter"/>
      <w:lvlText w:val="%3."/>
      <w:lvlJc w:val="left"/>
      <w:pPr>
        <w:tabs>
          <w:tab w:val="num" w:pos="3048"/>
        </w:tabs>
        <w:ind w:left="3048" w:hanging="360"/>
      </w:pPr>
    </w:lvl>
    <w:lvl w:ilvl="3" w:tplc="A9E0C762">
      <w:start w:val="1"/>
      <w:numFmt w:val="lowerLetter"/>
      <w:lvlText w:val="%4)"/>
      <w:lvlJc w:val="left"/>
      <w:pPr>
        <w:tabs>
          <w:tab w:val="num" w:pos="2148"/>
        </w:tabs>
        <w:ind w:left="2148" w:hanging="360"/>
      </w:pPr>
    </w:lvl>
    <w:lvl w:ilvl="4" w:tplc="04090019">
      <w:start w:val="1"/>
      <w:numFmt w:val="lowerLetter"/>
      <w:lvlText w:val="%5."/>
      <w:lvlJc w:val="left"/>
      <w:pPr>
        <w:tabs>
          <w:tab w:val="num" w:pos="4308"/>
        </w:tabs>
        <w:ind w:left="4308" w:hanging="360"/>
      </w:pPr>
    </w:lvl>
    <w:lvl w:ilvl="5" w:tplc="0409001B">
      <w:start w:val="1"/>
      <w:numFmt w:val="lowerRoman"/>
      <w:lvlText w:val="%6."/>
      <w:lvlJc w:val="right"/>
      <w:pPr>
        <w:tabs>
          <w:tab w:val="num" w:pos="5028"/>
        </w:tabs>
        <w:ind w:left="5028" w:hanging="180"/>
      </w:pPr>
    </w:lvl>
    <w:lvl w:ilvl="6" w:tplc="0409000F">
      <w:start w:val="1"/>
      <w:numFmt w:val="decimal"/>
      <w:lvlText w:val="%7."/>
      <w:lvlJc w:val="left"/>
      <w:pPr>
        <w:tabs>
          <w:tab w:val="num" w:pos="5748"/>
        </w:tabs>
        <w:ind w:left="5748" w:hanging="360"/>
      </w:pPr>
    </w:lvl>
    <w:lvl w:ilvl="7" w:tplc="04090019">
      <w:start w:val="1"/>
      <w:numFmt w:val="lowerLetter"/>
      <w:lvlText w:val="%8."/>
      <w:lvlJc w:val="left"/>
      <w:pPr>
        <w:tabs>
          <w:tab w:val="num" w:pos="6468"/>
        </w:tabs>
        <w:ind w:left="6468" w:hanging="360"/>
      </w:pPr>
    </w:lvl>
    <w:lvl w:ilvl="8" w:tplc="0409001B">
      <w:start w:val="1"/>
      <w:numFmt w:val="lowerRoman"/>
      <w:lvlText w:val="%9."/>
      <w:lvlJc w:val="right"/>
      <w:pPr>
        <w:tabs>
          <w:tab w:val="num" w:pos="7188"/>
        </w:tabs>
        <w:ind w:left="7188" w:hanging="180"/>
      </w:pPr>
    </w:lvl>
  </w:abstractNum>
  <w:abstractNum w:abstractNumId="18">
    <w:nsid w:val="76FB4048"/>
    <w:multiLevelType w:val="hybridMultilevel"/>
    <w:tmpl w:val="8DA8129E"/>
    <w:lvl w:ilvl="0" w:tplc="080A0001">
      <w:start w:val="1"/>
      <w:numFmt w:val="bullet"/>
      <w:lvlText w:val=""/>
      <w:lvlJc w:val="left"/>
      <w:pPr>
        <w:ind w:left="1260" w:hanging="720"/>
      </w:pPr>
      <w:rPr>
        <w:rFonts w:ascii="Symbol" w:hAnsi="Symbol"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FFA73B5"/>
    <w:multiLevelType w:val="hybridMultilevel"/>
    <w:tmpl w:val="50204DA8"/>
    <w:lvl w:ilvl="0" w:tplc="0409000F">
      <w:start w:val="1"/>
      <w:numFmt w:val="decimal"/>
      <w:lvlText w:val="%1."/>
      <w:lvlJc w:val="left"/>
      <w:pPr>
        <w:ind w:left="1397" w:hanging="360"/>
      </w:pPr>
    </w:lvl>
    <w:lvl w:ilvl="1" w:tplc="04090019" w:tentative="1">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num w:numId="1">
    <w:abstractNumId w:val="18"/>
  </w:num>
  <w:num w:numId="2">
    <w:abstractNumId w:val="7"/>
  </w:num>
  <w:num w:numId="3">
    <w:abstractNumId w:val="1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9"/>
  </w:num>
  <w:num w:numId="8">
    <w:abstractNumId w:val="1"/>
  </w:num>
  <w:num w:numId="9">
    <w:abstractNumId w:val="14"/>
  </w:num>
  <w:num w:numId="10">
    <w:abstractNumId w:val="15"/>
  </w:num>
  <w:num w:numId="11">
    <w:abstractNumId w:val="5"/>
  </w:num>
  <w:num w:numId="12">
    <w:abstractNumId w:val="1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
  </w:num>
  <w:num w:numId="19">
    <w:abstractNumId w:val="8"/>
  </w:num>
  <w:num w:numId="20">
    <w:abstractNumId w:val="6"/>
  </w:num>
  <w:num w:numId="21">
    <w:abstractNumId w:val="4"/>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0E"/>
    <w:rsid w:val="000029AD"/>
    <w:rsid w:val="00003D0B"/>
    <w:rsid w:val="0000645F"/>
    <w:rsid w:val="00014F8D"/>
    <w:rsid w:val="00015F17"/>
    <w:rsid w:val="000165F8"/>
    <w:rsid w:val="000178DC"/>
    <w:rsid w:val="000223A5"/>
    <w:rsid w:val="00025F74"/>
    <w:rsid w:val="00027E49"/>
    <w:rsid w:val="0005170D"/>
    <w:rsid w:val="00051BAC"/>
    <w:rsid w:val="0006480B"/>
    <w:rsid w:val="0006784E"/>
    <w:rsid w:val="000717DC"/>
    <w:rsid w:val="000732B9"/>
    <w:rsid w:val="00087D60"/>
    <w:rsid w:val="00092AFB"/>
    <w:rsid w:val="00093845"/>
    <w:rsid w:val="00095453"/>
    <w:rsid w:val="000A284E"/>
    <w:rsid w:val="000B34C3"/>
    <w:rsid w:val="000B3CA2"/>
    <w:rsid w:val="000B4D95"/>
    <w:rsid w:val="000B7735"/>
    <w:rsid w:val="000C0B9B"/>
    <w:rsid w:val="000C35C6"/>
    <w:rsid w:val="000C401F"/>
    <w:rsid w:val="000C6E91"/>
    <w:rsid w:val="000D3CDD"/>
    <w:rsid w:val="000E5EDA"/>
    <w:rsid w:val="000F1CC1"/>
    <w:rsid w:val="000F488D"/>
    <w:rsid w:val="001007BA"/>
    <w:rsid w:val="00111A1A"/>
    <w:rsid w:val="00117231"/>
    <w:rsid w:val="00123D91"/>
    <w:rsid w:val="001250F6"/>
    <w:rsid w:val="00135A61"/>
    <w:rsid w:val="001361C8"/>
    <w:rsid w:val="00137DE9"/>
    <w:rsid w:val="00162D3C"/>
    <w:rsid w:val="00171338"/>
    <w:rsid w:val="001716D7"/>
    <w:rsid w:val="00171E07"/>
    <w:rsid w:val="001724B9"/>
    <w:rsid w:val="00176162"/>
    <w:rsid w:val="00176557"/>
    <w:rsid w:val="00177116"/>
    <w:rsid w:val="001821C8"/>
    <w:rsid w:val="0018307D"/>
    <w:rsid w:val="001923C8"/>
    <w:rsid w:val="001A5CFD"/>
    <w:rsid w:val="001B07D6"/>
    <w:rsid w:val="001C7AF7"/>
    <w:rsid w:val="001D4C12"/>
    <w:rsid w:val="001D6DD3"/>
    <w:rsid w:val="001F2299"/>
    <w:rsid w:val="0021158E"/>
    <w:rsid w:val="00214FF8"/>
    <w:rsid w:val="002276EC"/>
    <w:rsid w:val="00232BDE"/>
    <w:rsid w:val="002409ED"/>
    <w:rsid w:val="00244C96"/>
    <w:rsid w:val="00250D05"/>
    <w:rsid w:val="00254A41"/>
    <w:rsid w:val="00254F4C"/>
    <w:rsid w:val="00256550"/>
    <w:rsid w:val="00257A95"/>
    <w:rsid w:val="00260B1C"/>
    <w:rsid w:val="00265004"/>
    <w:rsid w:val="00270680"/>
    <w:rsid w:val="00273DF3"/>
    <w:rsid w:val="00275399"/>
    <w:rsid w:val="002821E4"/>
    <w:rsid w:val="00282BC8"/>
    <w:rsid w:val="002954ED"/>
    <w:rsid w:val="002A2853"/>
    <w:rsid w:val="002A301B"/>
    <w:rsid w:val="002A4BA1"/>
    <w:rsid w:val="002A5410"/>
    <w:rsid w:val="002A581F"/>
    <w:rsid w:val="002A7E0E"/>
    <w:rsid w:val="002B1DF9"/>
    <w:rsid w:val="002B2DC5"/>
    <w:rsid w:val="002B36CA"/>
    <w:rsid w:val="002B6B04"/>
    <w:rsid w:val="002C4BEB"/>
    <w:rsid w:val="002C4CF2"/>
    <w:rsid w:val="002F22CB"/>
    <w:rsid w:val="003023FF"/>
    <w:rsid w:val="00304173"/>
    <w:rsid w:val="0030443A"/>
    <w:rsid w:val="00313686"/>
    <w:rsid w:val="00316F5E"/>
    <w:rsid w:val="003221CE"/>
    <w:rsid w:val="00323CD3"/>
    <w:rsid w:val="0032527A"/>
    <w:rsid w:val="003362B1"/>
    <w:rsid w:val="003366F0"/>
    <w:rsid w:val="00342BDC"/>
    <w:rsid w:val="00350224"/>
    <w:rsid w:val="00350920"/>
    <w:rsid w:val="0035553A"/>
    <w:rsid w:val="003574AD"/>
    <w:rsid w:val="003670A4"/>
    <w:rsid w:val="00371919"/>
    <w:rsid w:val="0037367D"/>
    <w:rsid w:val="00374A14"/>
    <w:rsid w:val="00377535"/>
    <w:rsid w:val="003831C9"/>
    <w:rsid w:val="0038509A"/>
    <w:rsid w:val="00385C60"/>
    <w:rsid w:val="003941CD"/>
    <w:rsid w:val="003B3DE6"/>
    <w:rsid w:val="003C091E"/>
    <w:rsid w:val="003D002D"/>
    <w:rsid w:val="003D3E2C"/>
    <w:rsid w:val="003E5580"/>
    <w:rsid w:val="003F75AF"/>
    <w:rsid w:val="004076AF"/>
    <w:rsid w:val="00407DB1"/>
    <w:rsid w:val="00412AD1"/>
    <w:rsid w:val="00417032"/>
    <w:rsid w:val="00421058"/>
    <w:rsid w:val="0043687D"/>
    <w:rsid w:val="0044106A"/>
    <w:rsid w:val="00443C48"/>
    <w:rsid w:val="00445863"/>
    <w:rsid w:val="004471B3"/>
    <w:rsid w:val="00467106"/>
    <w:rsid w:val="004700EE"/>
    <w:rsid w:val="0047173C"/>
    <w:rsid w:val="00473D63"/>
    <w:rsid w:val="00481B3F"/>
    <w:rsid w:val="0048292C"/>
    <w:rsid w:val="004831A7"/>
    <w:rsid w:val="00483F10"/>
    <w:rsid w:val="004944F2"/>
    <w:rsid w:val="004A1284"/>
    <w:rsid w:val="004A13EE"/>
    <w:rsid w:val="004A2E59"/>
    <w:rsid w:val="004A33FD"/>
    <w:rsid w:val="004B0135"/>
    <w:rsid w:val="004B12A7"/>
    <w:rsid w:val="004D24FE"/>
    <w:rsid w:val="004E13E0"/>
    <w:rsid w:val="004E3598"/>
    <w:rsid w:val="004E3B78"/>
    <w:rsid w:val="004E62C9"/>
    <w:rsid w:val="004E6756"/>
    <w:rsid w:val="004F56DD"/>
    <w:rsid w:val="00502D9E"/>
    <w:rsid w:val="00504E0E"/>
    <w:rsid w:val="00514AE5"/>
    <w:rsid w:val="00531C67"/>
    <w:rsid w:val="00535C6C"/>
    <w:rsid w:val="00541742"/>
    <w:rsid w:val="00541A74"/>
    <w:rsid w:val="00561690"/>
    <w:rsid w:val="00565B5E"/>
    <w:rsid w:val="00571BE1"/>
    <w:rsid w:val="00584067"/>
    <w:rsid w:val="005840B9"/>
    <w:rsid w:val="00585865"/>
    <w:rsid w:val="005905F0"/>
    <w:rsid w:val="0059131E"/>
    <w:rsid w:val="00597FAD"/>
    <w:rsid w:val="005A1238"/>
    <w:rsid w:val="005A1E03"/>
    <w:rsid w:val="005A56B4"/>
    <w:rsid w:val="005B03F9"/>
    <w:rsid w:val="005B2AC8"/>
    <w:rsid w:val="005B36A5"/>
    <w:rsid w:val="005B7003"/>
    <w:rsid w:val="005C1978"/>
    <w:rsid w:val="005C3FDF"/>
    <w:rsid w:val="005C437A"/>
    <w:rsid w:val="005C76D0"/>
    <w:rsid w:val="005D2316"/>
    <w:rsid w:val="005D450B"/>
    <w:rsid w:val="005D52CB"/>
    <w:rsid w:val="005E4D35"/>
    <w:rsid w:val="005E7DFD"/>
    <w:rsid w:val="00612D81"/>
    <w:rsid w:val="00617493"/>
    <w:rsid w:val="00623AC0"/>
    <w:rsid w:val="00632144"/>
    <w:rsid w:val="00640FD9"/>
    <w:rsid w:val="006571A2"/>
    <w:rsid w:val="006645F5"/>
    <w:rsid w:val="00664F9B"/>
    <w:rsid w:val="00675635"/>
    <w:rsid w:val="006A27F9"/>
    <w:rsid w:val="006B379E"/>
    <w:rsid w:val="006C0970"/>
    <w:rsid w:val="006C21E0"/>
    <w:rsid w:val="006C51C5"/>
    <w:rsid w:val="006D0ED2"/>
    <w:rsid w:val="006D16B7"/>
    <w:rsid w:val="006D59AB"/>
    <w:rsid w:val="006E490C"/>
    <w:rsid w:val="006F0269"/>
    <w:rsid w:val="006F1BCF"/>
    <w:rsid w:val="006F5043"/>
    <w:rsid w:val="007051DA"/>
    <w:rsid w:val="00711738"/>
    <w:rsid w:val="007162FA"/>
    <w:rsid w:val="00723DDD"/>
    <w:rsid w:val="00731DBA"/>
    <w:rsid w:val="00742B46"/>
    <w:rsid w:val="00746CF2"/>
    <w:rsid w:val="00764B69"/>
    <w:rsid w:val="007663F8"/>
    <w:rsid w:val="00766997"/>
    <w:rsid w:val="00773718"/>
    <w:rsid w:val="00782102"/>
    <w:rsid w:val="00783F69"/>
    <w:rsid w:val="00784483"/>
    <w:rsid w:val="007847A5"/>
    <w:rsid w:val="007A03C3"/>
    <w:rsid w:val="007A1905"/>
    <w:rsid w:val="007C2355"/>
    <w:rsid w:val="007C4142"/>
    <w:rsid w:val="007C4CC2"/>
    <w:rsid w:val="007C7FBE"/>
    <w:rsid w:val="007E0A9A"/>
    <w:rsid w:val="007E3CCF"/>
    <w:rsid w:val="007E404F"/>
    <w:rsid w:val="007E6F81"/>
    <w:rsid w:val="007F238D"/>
    <w:rsid w:val="008010C9"/>
    <w:rsid w:val="008018EA"/>
    <w:rsid w:val="008036D4"/>
    <w:rsid w:val="00804558"/>
    <w:rsid w:val="008132CE"/>
    <w:rsid w:val="0082272B"/>
    <w:rsid w:val="00823211"/>
    <w:rsid w:val="0083384A"/>
    <w:rsid w:val="008416DA"/>
    <w:rsid w:val="008448C6"/>
    <w:rsid w:val="0084589F"/>
    <w:rsid w:val="00845C77"/>
    <w:rsid w:val="00850BE8"/>
    <w:rsid w:val="00857267"/>
    <w:rsid w:val="00861117"/>
    <w:rsid w:val="00864018"/>
    <w:rsid w:val="008818D3"/>
    <w:rsid w:val="0088198B"/>
    <w:rsid w:val="008873C1"/>
    <w:rsid w:val="00887568"/>
    <w:rsid w:val="00887661"/>
    <w:rsid w:val="008939EA"/>
    <w:rsid w:val="00893FDE"/>
    <w:rsid w:val="008957DB"/>
    <w:rsid w:val="008967C3"/>
    <w:rsid w:val="008A199D"/>
    <w:rsid w:val="008A42E6"/>
    <w:rsid w:val="008A5FEE"/>
    <w:rsid w:val="008A752F"/>
    <w:rsid w:val="008B29E5"/>
    <w:rsid w:val="008D4007"/>
    <w:rsid w:val="008E0B02"/>
    <w:rsid w:val="008E33D8"/>
    <w:rsid w:val="008E49DD"/>
    <w:rsid w:val="0092383B"/>
    <w:rsid w:val="009245EE"/>
    <w:rsid w:val="00931335"/>
    <w:rsid w:val="00933085"/>
    <w:rsid w:val="0093502F"/>
    <w:rsid w:val="00945353"/>
    <w:rsid w:val="009461DB"/>
    <w:rsid w:val="00947352"/>
    <w:rsid w:val="00952BF1"/>
    <w:rsid w:val="00967598"/>
    <w:rsid w:val="00971F01"/>
    <w:rsid w:val="00987B0F"/>
    <w:rsid w:val="00990776"/>
    <w:rsid w:val="00992255"/>
    <w:rsid w:val="009A205F"/>
    <w:rsid w:val="009B469C"/>
    <w:rsid w:val="009B6948"/>
    <w:rsid w:val="009B6FBC"/>
    <w:rsid w:val="009B7029"/>
    <w:rsid w:val="009D4F0A"/>
    <w:rsid w:val="009E4BCD"/>
    <w:rsid w:val="009F3F87"/>
    <w:rsid w:val="009F7B32"/>
    <w:rsid w:val="00A03821"/>
    <w:rsid w:val="00A03D7E"/>
    <w:rsid w:val="00A054DB"/>
    <w:rsid w:val="00A12D4A"/>
    <w:rsid w:val="00A30ADA"/>
    <w:rsid w:val="00A433D3"/>
    <w:rsid w:val="00A50636"/>
    <w:rsid w:val="00A5657D"/>
    <w:rsid w:val="00A65F89"/>
    <w:rsid w:val="00A7056B"/>
    <w:rsid w:val="00A73E3D"/>
    <w:rsid w:val="00A80C04"/>
    <w:rsid w:val="00A857BE"/>
    <w:rsid w:val="00A917F0"/>
    <w:rsid w:val="00A9493A"/>
    <w:rsid w:val="00AA0E1F"/>
    <w:rsid w:val="00AA5A9D"/>
    <w:rsid w:val="00AB1417"/>
    <w:rsid w:val="00AB146D"/>
    <w:rsid w:val="00AB149F"/>
    <w:rsid w:val="00AB6838"/>
    <w:rsid w:val="00AC1250"/>
    <w:rsid w:val="00AC23A2"/>
    <w:rsid w:val="00AC56CD"/>
    <w:rsid w:val="00AC69CD"/>
    <w:rsid w:val="00AE4ACA"/>
    <w:rsid w:val="00AE65DF"/>
    <w:rsid w:val="00B015AE"/>
    <w:rsid w:val="00B13410"/>
    <w:rsid w:val="00B21FD0"/>
    <w:rsid w:val="00B23996"/>
    <w:rsid w:val="00B2724D"/>
    <w:rsid w:val="00B31870"/>
    <w:rsid w:val="00B31A28"/>
    <w:rsid w:val="00B34007"/>
    <w:rsid w:val="00B365AB"/>
    <w:rsid w:val="00B41991"/>
    <w:rsid w:val="00B557C4"/>
    <w:rsid w:val="00B65646"/>
    <w:rsid w:val="00B703DA"/>
    <w:rsid w:val="00B70C05"/>
    <w:rsid w:val="00B7305C"/>
    <w:rsid w:val="00B75B22"/>
    <w:rsid w:val="00B77DBD"/>
    <w:rsid w:val="00B77FC6"/>
    <w:rsid w:val="00B8120E"/>
    <w:rsid w:val="00B82C88"/>
    <w:rsid w:val="00B87602"/>
    <w:rsid w:val="00BC19C5"/>
    <w:rsid w:val="00BC60B5"/>
    <w:rsid w:val="00BC6F5F"/>
    <w:rsid w:val="00BC744D"/>
    <w:rsid w:val="00BD29CD"/>
    <w:rsid w:val="00BD3C92"/>
    <w:rsid w:val="00BD4BB8"/>
    <w:rsid w:val="00BE1548"/>
    <w:rsid w:val="00BE67E7"/>
    <w:rsid w:val="00BF5186"/>
    <w:rsid w:val="00C10537"/>
    <w:rsid w:val="00C12AF8"/>
    <w:rsid w:val="00C329D5"/>
    <w:rsid w:val="00C555DD"/>
    <w:rsid w:val="00C56747"/>
    <w:rsid w:val="00C67F7B"/>
    <w:rsid w:val="00C73750"/>
    <w:rsid w:val="00C74C13"/>
    <w:rsid w:val="00C75064"/>
    <w:rsid w:val="00C76183"/>
    <w:rsid w:val="00C86299"/>
    <w:rsid w:val="00C8668C"/>
    <w:rsid w:val="00CA2234"/>
    <w:rsid w:val="00CA5C71"/>
    <w:rsid w:val="00CB4120"/>
    <w:rsid w:val="00CB570D"/>
    <w:rsid w:val="00CC0B72"/>
    <w:rsid w:val="00CC2E11"/>
    <w:rsid w:val="00CD2D3A"/>
    <w:rsid w:val="00CE15E8"/>
    <w:rsid w:val="00CE2FEC"/>
    <w:rsid w:val="00D033A9"/>
    <w:rsid w:val="00D05A63"/>
    <w:rsid w:val="00D07E0C"/>
    <w:rsid w:val="00D14338"/>
    <w:rsid w:val="00D16FBB"/>
    <w:rsid w:val="00D26C7A"/>
    <w:rsid w:val="00D30D83"/>
    <w:rsid w:val="00D374E9"/>
    <w:rsid w:val="00D5084D"/>
    <w:rsid w:val="00D62507"/>
    <w:rsid w:val="00D70A55"/>
    <w:rsid w:val="00D71CAB"/>
    <w:rsid w:val="00D8252D"/>
    <w:rsid w:val="00D84824"/>
    <w:rsid w:val="00D95D81"/>
    <w:rsid w:val="00DA6DE2"/>
    <w:rsid w:val="00DA7032"/>
    <w:rsid w:val="00DB0A38"/>
    <w:rsid w:val="00DE1876"/>
    <w:rsid w:val="00DE1DA0"/>
    <w:rsid w:val="00DE4092"/>
    <w:rsid w:val="00DE5179"/>
    <w:rsid w:val="00DF62E0"/>
    <w:rsid w:val="00E01DA6"/>
    <w:rsid w:val="00E1009F"/>
    <w:rsid w:val="00E36CE8"/>
    <w:rsid w:val="00E52227"/>
    <w:rsid w:val="00E52E5B"/>
    <w:rsid w:val="00E55E69"/>
    <w:rsid w:val="00E63235"/>
    <w:rsid w:val="00E772ED"/>
    <w:rsid w:val="00E85964"/>
    <w:rsid w:val="00E92D34"/>
    <w:rsid w:val="00E94203"/>
    <w:rsid w:val="00E94376"/>
    <w:rsid w:val="00EB116A"/>
    <w:rsid w:val="00EB2F8A"/>
    <w:rsid w:val="00EB774B"/>
    <w:rsid w:val="00EB7EBB"/>
    <w:rsid w:val="00EC1D86"/>
    <w:rsid w:val="00EC3FBD"/>
    <w:rsid w:val="00EC46E4"/>
    <w:rsid w:val="00EC723D"/>
    <w:rsid w:val="00EC7626"/>
    <w:rsid w:val="00ED5A0D"/>
    <w:rsid w:val="00EE093B"/>
    <w:rsid w:val="00EE457C"/>
    <w:rsid w:val="00F1252C"/>
    <w:rsid w:val="00F338A3"/>
    <w:rsid w:val="00F36DD1"/>
    <w:rsid w:val="00F40FAC"/>
    <w:rsid w:val="00F432A3"/>
    <w:rsid w:val="00F4742B"/>
    <w:rsid w:val="00F543D1"/>
    <w:rsid w:val="00F62D69"/>
    <w:rsid w:val="00F63C71"/>
    <w:rsid w:val="00F65914"/>
    <w:rsid w:val="00F70D38"/>
    <w:rsid w:val="00F73149"/>
    <w:rsid w:val="00F77C31"/>
    <w:rsid w:val="00F93B06"/>
    <w:rsid w:val="00FA1C30"/>
    <w:rsid w:val="00FA4C6B"/>
    <w:rsid w:val="00FB1B65"/>
    <w:rsid w:val="00FB30AF"/>
    <w:rsid w:val="00FB5C10"/>
    <w:rsid w:val="00FC4474"/>
    <w:rsid w:val="00FC51A6"/>
    <w:rsid w:val="00FD674E"/>
    <w:rsid w:val="00FF1426"/>
    <w:rsid w:val="00FF4D55"/>
    <w:rsid w:val="00FF5D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0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basedOn w:val="Normal"/>
    <w:link w:val="FootnoteTextChar"/>
    <w:qFormat/>
    <w:rsid w:val="002A7E0E"/>
    <w:pPr>
      <w:spacing w:after="0" w:line="240" w:lineRule="auto"/>
    </w:pPr>
    <w:rPr>
      <w:rFonts w:ascii="Times New Roman" w:eastAsia="MS Mincho" w:hAnsi="Times New Roman"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2A7E0E"/>
    <w:rPr>
      <w:rFonts w:ascii="Times New Roman" w:eastAsia="MS Mincho" w:hAnsi="Times New Roman" w:cs="Times New Roman"/>
      <w:sz w:val="20"/>
      <w:szCs w:val="20"/>
      <w:lang w:val="en-US"/>
    </w:rPr>
  </w:style>
  <w:style w:type="character" w:styleId="FootnoteReference">
    <w:name w:val="footnote reference"/>
    <w:aliases w:val="Footnotes refss,Texto de nota al pie,Appel note de bas de page,Footnote number,referencia nota al pie,BVI fnr,f,Footnote symbol,Footnote,Ref. de nota al pie.,4_G,16 Point,Superscript 6 Point,Texto nota al pie,Ref,de nota al pie,norma"/>
    <w:qFormat/>
    <w:rsid w:val="002A7E0E"/>
    <w:rPr>
      <w:rFonts w:cs="Times New Roman"/>
      <w:vertAlign w:val="superscript"/>
    </w:rPr>
  </w:style>
  <w:style w:type="paragraph" w:styleId="ListParagraph">
    <w:name w:val="List Paragraph"/>
    <w:aliases w:val="Colorful List - Accent 11,List Paragraph2,List Paragraph1,Lista vistosa - Énfasis 11"/>
    <w:basedOn w:val="Normal"/>
    <w:link w:val="ListParagraphChar"/>
    <w:uiPriority w:val="34"/>
    <w:qFormat/>
    <w:rsid w:val="002A7E0E"/>
    <w:pPr>
      <w:spacing w:after="0" w:line="240" w:lineRule="auto"/>
      <w:ind w:left="720"/>
      <w:contextualSpacing/>
    </w:pPr>
    <w:rPr>
      <w:rFonts w:ascii="Garamond" w:eastAsia="Times" w:hAnsi="Garamond" w:cs="Times New Roman"/>
      <w:sz w:val="24"/>
      <w:szCs w:val="20"/>
      <w:lang w:val="es-ES_tradnl"/>
    </w:rPr>
  </w:style>
  <w:style w:type="character" w:customStyle="1" w:styleId="ListParagraphChar">
    <w:name w:val="List Paragraph Char"/>
    <w:aliases w:val="Colorful List - Accent 11 Char,List Paragraph2 Char,List Paragraph1 Char,Lista vistosa - Énfasis 11 Char"/>
    <w:link w:val="ListParagraph"/>
    <w:uiPriority w:val="34"/>
    <w:locked/>
    <w:rsid w:val="002A7E0E"/>
    <w:rPr>
      <w:rFonts w:ascii="Garamond" w:eastAsia="Times" w:hAnsi="Garamond" w:cs="Times New Roman"/>
      <w:sz w:val="24"/>
      <w:szCs w:val="20"/>
      <w:lang w:val="es-ES_tradnl"/>
    </w:rPr>
  </w:style>
  <w:style w:type="paragraph" w:customStyle="1" w:styleId="Prrafodelista1">
    <w:name w:val="Párrafo de lista1"/>
    <w:basedOn w:val="Normal"/>
    <w:qFormat/>
    <w:rsid w:val="002A7E0E"/>
    <w:pPr>
      <w:spacing w:after="0" w:line="240" w:lineRule="auto"/>
      <w:contextualSpacing/>
    </w:pPr>
    <w:rPr>
      <w:rFonts w:ascii="Verdana" w:eastAsia="Batang" w:hAnsi="Verdana" w:cs="Times New Roman"/>
      <w:sz w:val="16"/>
      <w:lang w:val="es-ES"/>
    </w:rPr>
  </w:style>
  <w:style w:type="character" w:styleId="Strong">
    <w:name w:val="Strong"/>
    <w:basedOn w:val="DefaultParagraphFont"/>
    <w:uiPriority w:val="22"/>
    <w:qFormat/>
    <w:rsid w:val="002A7E0E"/>
    <w:rPr>
      <w:b/>
      <w:bCs/>
    </w:rPr>
  </w:style>
  <w:style w:type="paragraph" w:styleId="Header">
    <w:name w:val="header"/>
    <w:basedOn w:val="Normal"/>
    <w:link w:val="HeaderChar"/>
    <w:uiPriority w:val="99"/>
    <w:unhideWhenUsed/>
    <w:rsid w:val="002A7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E0E"/>
    <w:rPr>
      <w:lang w:val="en-US"/>
    </w:rPr>
  </w:style>
  <w:style w:type="paragraph" w:customStyle="1" w:styleId="Default">
    <w:name w:val="Default"/>
    <w:rsid w:val="000F488D"/>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711738"/>
    <w:rPr>
      <w:sz w:val="16"/>
      <w:szCs w:val="16"/>
    </w:rPr>
  </w:style>
  <w:style w:type="paragraph" w:styleId="CommentText">
    <w:name w:val="annotation text"/>
    <w:basedOn w:val="Normal"/>
    <w:link w:val="CommentTextChar"/>
    <w:uiPriority w:val="99"/>
    <w:semiHidden/>
    <w:unhideWhenUsed/>
    <w:rsid w:val="00711738"/>
    <w:pPr>
      <w:spacing w:line="240" w:lineRule="auto"/>
    </w:pPr>
    <w:rPr>
      <w:sz w:val="20"/>
      <w:szCs w:val="20"/>
    </w:rPr>
  </w:style>
  <w:style w:type="character" w:customStyle="1" w:styleId="CommentTextChar">
    <w:name w:val="Comment Text Char"/>
    <w:basedOn w:val="DefaultParagraphFont"/>
    <w:link w:val="CommentText"/>
    <w:uiPriority w:val="99"/>
    <w:semiHidden/>
    <w:rsid w:val="00711738"/>
    <w:rPr>
      <w:sz w:val="20"/>
      <w:szCs w:val="20"/>
      <w:lang w:val="en-US"/>
    </w:rPr>
  </w:style>
  <w:style w:type="paragraph" w:styleId="CommentSubject">
    <w:name w:val="annotation subject"/>
    <w:basedOn w:val="CommentText"/>
    <w:next w:val="CommentText"/>
    <w:link w:val="CommentSubjectChar"/>
    <w:uiPriority w:val="99"/>
    <w:semiHidden/>
    <w:unhideWhenUsed/>
    <w:rsid w:val="00711738"/>
    <w:rPr>
      <w:b/>
      <w:bCs/>
    </w:rPr>
  </w:style>
  <w:style w:type="character" w:customStyle="1" w:styleId="CommentSubjectChar">
    <w:name w:val="Comment Subject Char"/>
    <w:basedOn w:val="CommentTextChar"/>
    <w:link w:val="CommentSubject"/>
    <w:uiPriority w:val="99"/>
    <w:semiHidden/>
    <w:rsid w:val="00711738"/>
    <w:rPr>
      <w:b/>
      <w:bCs/>
      <w:sz w:val="20"/>
      <w:szCs w:val="20"/>
      <w:lang w:val="en-US"/>
    </w:rPr>
  </w:style>
  <w:style w:type="paragraph" w:styleId="BalloonText">
    <w:name w:val="Balloon Text"/>
    <w:basedOn w:val="Normal"/>
    <w:link w:val="BalloonTextChar"/>
    <w:uiPriority w:val="99"/>
    <w:semiHidden/>
    <w:unhideWhenUsed/>
    <w:rsid w:val="00711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738"/>
    <w:rPr>
      <w:rFonts w:ascii="Tahoma" w:hAnsi="Tahoma" w:cs="Tahoma"/>
      <w:sz w:val="16"/>
      <w:szCs w:val="16"/>
      <w:lang w:val="en-US"/>
    </w:rPr>
  </w:style>
  <w:style w:type="paragraph" w:styleId="Footer">
    <w:name w:val="footer"/>
    <w:basedOn w:val="Normal"/>
    <w:link w:val="FooterChar"/>
    <w:uiPriority w:val="99"/>
    <w:unhideWhenUsed/>
    <w:rsid w:val="005C7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6D0"/>
    <w:rPr>
      <w:lang w:val="en-US"/>
    </w:rPr>
  </w:style>
  <w:style w:type="character" w:styleId="Hyperlink">
    <w:name w:val="Hyperlink"/>
    <w:basedOn w:val="DefaultParagraphFont"/>
    <w:uiPriority w:val="99"/>
    <w:unhideWhenUsed/>
    <w:rsid w:val="000165F8"/>
    <w:rPr>
      <w:color w:val="0000FF" w:themeColor="hyperlink"/>
      <w:u w:val="single"/>
    </w:rPr>
  </w:style>
  <w:style w:type="paragraph" w:styleId="BodyText">
    <w:name w:val="Body Text"/>
    <w:basedOn w:val="Normal"/>
    <w:link w:val="BodyTextChar"/>
    <w:uiPriority w:val="99"/>
    <w:semiHidden/>
    <w:unhideWhenUsed/>
    <w:rsid w:val="00350224"/>
    <w:pPr>
      <w:spacing w:after="120" w:line="240" w:lineRule="auto"/>
    </w:pPr>
    <w:rPr>
      <w:rFonts w:ascii="Times" w:hAnsi="Times" w:cs="Times"/>
      <w:sz w:val="24"/>
      <w:szCs w:val="24"/>
      <w:lang w:val="es-MX"/>
    </w:rPr>
  </w:style>
  <w:style w:type="character" w:customStyle="1" w:styleId="BodyTextChar">
    <w:name w:val="Body Text Char"/>
    <w:basedOn w:val="DefaultParagraphFont"/>
    <w:link w:val="BodyText"/>
    <w:uiPriority w:val="99"/>
    <w:semiHidden/>
    <w:rsid w:val="00350224"/>
    <w:rPr>
      <w:rFonts w:ascii="Times" w:hAnsi="Times" w:cs="Times"/>
      <w:sz w:val="24"/>
      <w:szCs w:val="24"/>
    </w:rPr>
  </w:style>
  <w:style w:type="character" w:styleId="LineNumber">
    <w:name w:val="line number"/>
    <w:basedOn w:val="DefaultParagraphFont"/>
    <w:uiPriority w:val="99"/>
    <w:semiHidden/>
    <w:unhideWhenUsed/>
    <w:rsid w:val="006E490C"/>
  </w:style>
  <w:style w:type="paragraph" w:styleId="NormalWeb">
    <w:name w:val="Normal (Web)"/>
    <w:basedOn w:val="Normal"/>
    <w:uiPriority w:val="99"/>
    <w:unhideWhenUsed/>
    <w:rsid w:val="005A56B4"/>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C555DD"/>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0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basedOn w:val="Normal"/>
    <w:link w:val="FootnoteTextChar"/>
    <w:qFormat/>
    <w:rsid w:val="002A7E0E"/>
    <w:pPr>
      <w:spacing w:after="0" w:line="240" w:lineRule="auto"/>
    </w:pPr>
    <w:rPr>
      <w:rFonts w:ascii="Times New Roman" w:eastAsia="MS Mincho" w:hAnsi="Times New Roman"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2A7E0E"/>
    <w:rPr>
      <w:rFonts w:ascii="Times New Roman" w:eastAsia="MS Mincho" w:hAnsi="Times New Roman" w:cs="Times New Roman"/>
      <w:sz w:val="20"/>
      <w:szCs w:val="20"/>
      <w:lang w:val="en-US"/>
    </w:rPr>
  </w:style>
  <w:style w:type="character" w:styleId="FootnoteReference">
    <w:name w:val="footnote reference"/>
    <w:aliases w:val="Footnotes refss,Texto de nota al pie,Appel note de bas de page,Footnote number,referencia nota al pie,BVI fnr,f,Footnote symbol,Footnote,Ref. de nota al pie.,4_G,16 Point,Superscript 6 Point,Texto nota al pie,Ref,de nota al pie,norma"/>
    <w:qFormat/>
    <w:rsid w:val="002A7E0E"/>
    <w:rPr>
      <w:rFonts w:cs="Times New Roman"/>
      <w:vertAlign w:val="superscript"/>
    </w:rPr>
  </w:style>
  <w:style w:type="paragraph" w:styleId="ListParagraph">
    <w:name w:val="List Paragraph"/>
    <w:aliases w:val="Colorful List - Accent 11,List Paragraph2,List Paragraph1,Lista vistosa - Énfasis 11"/>
    <w:basedOn w:val="Normal"/>
    <w:link w:val="ListParagraphChar"/>
    <w:uiPriority w:val="34"/>
    <w:qFormat/>
    <w:rsid w:val="002A7E0E"/>
    <w:pPr>
      <w:spacing w:after="0" w:line="240" w:lineRule="auto"/>
      <w:ind w:left="720"/>
      <w:contextualSpacing/>
    </w:pPr>
    <w:rPr>
      <w:rFonts w:ascii="Garamond" w:eastAsia="Times" w:hAnsi="Garamond" w:cs="Times New Roman"/>
      <w:sz w:val="24"/>
      <w:szCs w:val="20"/>
      <w:lang w:val="es-ES_tradnl"/>
    </w:rPr>
  </w:style>
  <w:style w:type="character" w:customStyle="1" w:styleId="ListParagraphChar">
    <w:name w:val="List Paragraph Char"/>
    <w:aliases w:val="Colorful List - Accent 11 Char,List Paragraph2 Char,List Paragraph1 Char,Lista vistosa - Énfasis 11 Char"/>
    <w:link w:val="ListParagraph"/>
    <w:uiPriority w:val="34"/>
    <w:locked/>
    <w:rsid w:val="002A7E0E"/>
    <w:rPr>
      <w:rFonts w:ascii="Garamond" w:eastAsia="Times" w:hAnsi="Garamond" w:cs="Times New Roman"/>
      <w:sz w:val="24"/>
      <w:szCs w:val="20"/>
      <w:lang w:val="es-ES_tradnl"/>
    </w:rPr>
  </w:style>
  <w:style w:type="paragraph" w:customStyle="1" w:styleId="Prrafodelista1">
    <w:name w:val="Párrafo de lista1"/>
    <w:basedOn w:val="Normal"/>
    <w:qFormat/>
    <w:rsid w:val="002A7E0E"/>
    <w:pPr>
      <w:spacing w:after="0" w:line="240" w:lineRule="auto"/>
      <w:contextualSpacing/>
    </w:pPr>
    <w:rPr>
      <w:rFonts w:ascii="Verdana" w:eastAsia="Batang" w:hAnsi="Verdana" w:cs="Times New Roman"/>
      <w:sz w:val="16"/>
      <w:lang w:val="es-ES"/>
    </w:rPr>
  </w:style>
  <w:style w:type="character" w:styleId="Strong">
    <w:name w:val="Strong"/>
    <w:basedOn w:val="DefaultParagraphFont"/>
    <w:uiPriority w:val="22"/>
    <w:qFormat/>
    <w:rsid w:val="002A7E0E"/>
    <w:rPr>
      <w:b/>
      <w:bCs/>
    </w:rPr>
  </w:style>
  <w:style w:type="paragraph" w:styleId="Header">
    <w:name w:val="header"/>
    <w:basedOn w:val="Normal"/>
    <w:link w:val="HeaderChar"/>
    <w:uiPriority w:val="99"/>
    <w:unhideWhenUsed/>
    <w:rsid w:val="002A7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E0E"/>
    <w:rPr>
      <w:lang w:val="en-US"/>
    </w:rPr>
  </w:style>
  <w:style w:type="paragraph" w:customStyle="1" w:styleId="Default">
    <w:name w:val="Default"/>
    <w:rsid w:val="000F488D"/>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711738"/>
    <w:rPr>
      <w:sz w:val="16"/>
      <w:szCs w:val="16"/>
    </w:rPr>
  </w:style>
  <w:style w:type="paragraph" w:styleId="CommentText">
    <w:name w:val="annotation text"/>
    <w:basedOn w:val="Normal"/>
    <w:link w:val="CommentTextChar"/>
    <w:uiPriority w:val="99"/>
    <w:semiHidden/>
    <w:unhideWhenUsed/>
    <w:rsid w:val="00711738"/>
    <w:pPr>
      <w:spacing w:line="240" w:lineRule="auto"/>
    </w:pPr>
    <w:rPr>
      <w:sz w:val="20"/>
      <w:szCs w:val="20"/>
    </w:rPr>
  </w:style>
  <w:style w:type="character" w:customStyle="1" w:styleId="CommentTextChar">
    <w:name w:val="Comment Text Char"/>
    <w:basedOn w:val="DefaultParagraphFont"/>
    <w:link w:val="CommentText"/>
    <w:uiPriority w:val="99"/>
    <w:semiHidden/>
    <w:rsid w:val="00711738"/>
    <w:rPr>
      <w:sz w:val="20"/>
      <w:szCs w:val="20"/>
      <w:lang w:val="en-US"/>
    </w:rPr>
  </w:style>
  <w:style w:type="paragraph" w:styleId="CommentSubject">
    <w:name w:val="annotation subject"/>
    <w:basedOn w:val="CommentText"/>
    <w:next w:val="CommentText"/>
    <w:link w:val="CommentSubjectChar"/>
    <w:uiPriority w:val="99"/>
    <w:semiHidden/>
    <w:unhideWhenUsed/>
    <w:rsid w:val="00711738"/>
    <w:rPr>
      <w:b/>
      <w:bCs/>
    </w:rPr>
  </w:style>
  <w:style w:type="character" w:customStyle="1" w:styleId="CommentSubjectChar">
    <w:name w:val="Comment Subject Char"/>
    <w:basedOn w:val="CommentTextChar"/>
    <w:link w:val="CommentSubject"/>
    <w:uiPriority w:val="99"/>
    <w:semiHidden/>
    <w:rsid w:val="00711738"/>
    <w:rPr>
      <w:b/>
      <w:bCs/>
      <w:sz w:val="20"/>
      <w:szCs w:val="20"/>
      <w:lang w:val="en-US"/>
    </w:rPr>
  </w:style>
  <w:style w:type="paragraph" w:styleId="BalloonText">
    <w:name w:val="Balloon Text"/>
    <w:basedOn w:val="Normal"/>
    <w:link w:val="BalloonTextChar"/>
    <w:uiPriority w:val="99"/>
    <w:semiHidden/>
    <w:unhideWhenUsed/>
    <w:rsid w:val="00711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738"/>
    <w:rPr>
      <w:rFonts w:ascii="Tahoma" w:hAnsi="Tahoma" w:cs="Tahoma"/>
      <w:sz w:val="16"/>
      <w:szCs w:val="16"/>
      <w:lang w:val="en-US"/>
    </w:rPr>
  </w:style>
  <w:style w:type="paragraph" w:styleId="Footer">
    <w:name w:val="footer"/>
    <w:basedOn w:val="Normal"/>
    <w:link w:val="FooterChar"/>
    <w:uiPriority w:val="99"/>
    <w:unhideWhenUsed/>
    <w:rsid w:val="005C7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6D0"/>
    <w:rPr>
      <w:lang w:val="en-US"/>
    </w:rPr>
  </w:style>
  <w:style w:type="character" w:styleId="Hyperlink">
    <w:name w:val="Hyperlink"/>
    <w:basedOn w:val="DefaultParagraphFont"/>
    <w:uiPriority w:val="99"/>
    <w:unhideWhenUsed/>
    <w:rsid w:val="000165F8"/>
    <w:rPr>
      <w:color w:val="0000FF" w:themeColor="hyperlink"/>
      <w:u w:val="single"/>
    </w:rPr>
  </w:style>
  <w:style w:type="paragraph" w:styleId="BodyText">
    <w:name w:val="Body Text"/>
    <w:basedOn w:val="Normal"/>
    <w:link w:val="BodyTextChar"/>
    <w:uiPriority w:val="99"/>
    <w:semiHidden/>
    <w:unhideWhenUsed/>
    <w:rsid w:val="00350224"/>
    <w:pPr>
      <w:spacing w:after="120" w:line="240" w:lineRule="auto"/>
    </w:pPr>
    <w:rPr>
      <w:rFonts w:ascii="Times" w:hAnsi="Times" w:cs="Times"/>
      <w:sz w:val="24"/>
      <w:szCs w:val="24"/>
      <w:lang w:val="es-MX"/>
    </w:rPr>
  </w:style>
  <w:style w:type="character" w:customStyle="1" w:styleId="BodyTextChar">
    <w:name w:val="Body Text Char"/>
    <w:basedOn w:val="DefaultParagraphFont"/>
    <w:link w:val="BodyText"/>
    <w:uiPriority w:val="99"/>
    <w:semiHidden/>
    <w:rsid w:val="00350224"/>
    <w:rPr>
      <w:rFonts w:ascii="Times" w:hAnsi="Times" w:cs="Times"/>
      <w:sz w:val="24"/>
      <w:szCs w:val="24"/>
    </w:rPr>
  </w:style>
  <w:style w:type="character" w:styleId="LineNumber">
    <w:name w:val="line number"/>
    <w:basedOn w:val="DefaultParagraphFont"/>
    <w:uiPriority w:val="99"/>
    <w:semiHidden/>
    <w:unhideWhenUsed/>
    <w:rsid w:val="006E490C"/>
  </w:style>
  <w:style w:type="paragraph" w:styleId="NormalWeb">
    <w:name w:val="Normal (Web)"/>
    <w:basedOn w:val="Normal"/>
    <w:uiPriority w:val="99"/>
    <w:unhideWhenUsed/>
    <w:rsid w:val="005A56B4"/>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C555D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6966">
      <w:bodyDiv w:val="1"/>
      <w:marLeft w:val="0"/>
      <w:marRight w:val="0"/>
      <w:marTop w:val="0"/>
      <w:marBottom w:val="0"/>
      <w:divBdr>
        <w:top w:val="none" w:sz="0" w:space="0" w:color="auto"/>
        <w:left w:val="none" w:sz="0" w:space="0" w:color="auto"/>
        <w:bottom w:val="none" w:sz="0" w:space="0" w:color="auto"/>
        <w:right w:val="none" w:sz="0" w:space="0" w:color="auto"/>
      </w:divBdr>
    </w:div>
    <w:div w:id="84348478">
      <w:bodyDiv w:val="1"/>
      <w:marLeft w:val="0"/>
      <w:marRight w:val="0"/>
      <w:marTop w:val="0"/>
      <w:marBottom w:val="0"/>
      <w:divBdr>
        <w:top w:val="none" w:sz="0" w:space="0" w:color="auto"/>
        <w:left w:val="none" w:sz="0" w:space="0" w:color="auto"/>
        <w:bottom w:val="none" w:sz="0" w:space="0" w:color="auto"/>
        <w:right w:val="none" w:sz="0" w:space="0" w:color="auto"/>
      </w:divBdr>
    </w:div>
    <w:div w:id="138112078">
      <w:bodyDiv w:val="1"/>
      <w:marLeft w:val="0"/>
      <w:marRight w:val="0"/>
      <w:marTop w:val="0"/>
      <w:marBottom w:val="0"/>
      <w:divBdr>
        <w:top w:val="none" w:sz="0" w:space="0" w:color="auto"/>
        <w:left w:val="none" w:sz="0" w:space="0" w:color="auto"/>
        <w:bottom w:val="none" w:sz="0" w:space="0" w:color="auto"/>
        <w:right w:val="none" w:sz="0" w:space="0" w:color="auto"/>
      </w:divBdr>
      <w:divsChild>
        <w:div w:id="1579056527">
          <w:marLeft w:val="0"/>
          <w:marRight w:val="0"/>
          <w:marTop w:val="0"/>
          <w:marBottom w:val="0"/>
          <w:divBdr>
            <w:top w:val="none" w:sz="0" w:space="0" w:color="auto"/>
            <w:left w:val="none" w:sz="0" w:space="0" w:color="auto"/>
            <w:bottom w:val="none" w:sz="0" w:space="0" w:color="auto"/>
            <w:right w:val="none" w:sz="0" w:space="0" w:color="auto"/>
          </w:divBdr>
          <w:divsChild>
            <w:div w:id="1631520370">
              <w:marLeft w:val="0"/>
              <w:marRight w:val="0"/>
              <w:marTop w:val="0"/>
              <w:marBottom w:val="0"/>
              <w:divBdr>
                <w:top w:val="none" w:sz="0" w:space="0" w:color="auto"/>
                <w:left w:val="none" w:sz="0" w:space="0" w:color="auto"/>
                <w:bottom w:val="none" w:sz="0" w:space="0" w:color="auto"/>
                <w:right w:val="none" w:sz="0" w:space="0" w:color="auto"/>
              </w:divBdr>
              <w:divsChild>
                <w:div w:id="15007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860172">
      <w:bodyDiv w:val="1"/>
      <w:marLeft w:val="0"/>
      <w:marRight w:val="0"/>
      <w:marTop w:val="0"/>
      <w:marBottom w:val="0"/>
      <w:divBdr>
        <w:top w:val="none" w:sz="0" w:space="0" w:color="auto"/>
        <w:left w:val="none" w:sz="0" w:space="0" w:color="auto"/>
        <w:bottom w:val="none" w:sz="0" w:space="0" w:color="auto"/>
        <w:right w:val="none" w:sz="0" w:space="0" w:color="auto"/>
      </w:divBdr>
    </w:div>
    <w:div w:id="409231709">
      <w:bodyDiv w:val="1"/>
      <w:marLeft w:val="0"/>
      <w:marRight w:val="0"/>
      <w:marTop w:val="0"/>
      <w:marBottom w:val="0"/>
      <w:divBdr>
        <w:top w:val="none" w:sz="0" w:space="0" w:color="auto"/>
        <w:left w:val="none" w:sz="0" w:space="0" w:color="auto"/>
        <w:bottom w:val="none" w:sz="0" w:space="0" w:color="auto"/>
        <w:right w:val="none" w:sz="0" w:space="0" w:color="auto"/>
      </w:divBdr>
      <w:divsChild>
        <w:div w:id="635600195">
          <w:marLeft w:val="0"/>
          <w:marRight w:val="0"/>
          <w:marTop w:val="0"/>
          <w:marBottom w:val="0"/>
          <w:divBdr>
            <w:top w:val="none" w:sz="0" w:space="0" w:color="auto"/>
            <w:left w:val="none" w:sz="0" w:space="0" w:color="auto"/>
            <w:bottom w:val="none" w:sz="0" w:space="0" w:color="auto"/>
            <w:right w:val="none" w:sz="0" w:space="0" w:color="auto"/>
          </w:divBdr>
          <w:divsChild>
            <w:div w:id="469979192">
              <w:marLeft w:val="0"/>
              <w:marRight w:val="0"/>
              <w:marTop w:val="0"/>
              <w:marBottom w:val="0"/>
              <w:divBdr>
                <w:top w:val="none" w:sz="0" w:space="0" w:color="auto"/>
                <w:left w:val="none" w:sz="0" w:space="0" w:color="auto"/>
                <w:bottom w:val="none" w:sz="0" w:space="0" w:color="auto"/>
                <w:right w:val="none" w:sz="0" w:space="0" w:color="auto"/>
              </w:divBdr>
              <w:divsChild>
                <w:div w:id="71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34079">
      <w:bodyDiv w:val="1"/>
      <w:marLeft w:val="0"/>
      <w:marRight w:val="0"/>
      <w:marTop w:val="0"/>
      <w:marBottom w:val="0"/>
      <w:divBdr>
        <w:top w:val="none" w:sz="0" w:space="0" w:color="auto"/>
        <w:left w:val="none" w:sz="0" w:space="0" w:color="auto"/>
        <w:bottom w:val="none" w:sz="0" w:space="0" w:color="auto"/>
        <w:right w:val="none" w:sz="0" w:space="0" w:color="auto"/>
      </w:divBdr>
      <w:divsChild>
        <w:div w:id="372997306">
          <w:marLeft w:val="0"/>
          <w:marRight w:val="0"/>
          <w:marTop w:val="0"/>
          <w:marBottom w:val="0"/>
          <w:divBdr>
            <w:top w:val="none" w:sz="0" w:space="0" w:color="auto"/>
            <w:left w:val="none" w:sz="0" w:space="0" w:color="auto"/>
            <w:bottom w:val="none" w:sz="0" w:space="0" w:color="auto"/>
            <w:right w:val="none" w:sz="0" w:space="0" w:color="auto"/>
          </w:divBdr>
          <w:divsChild>
            <w:div w:id="1516263297">
              <w:marLeft w:val="0"/>
              <w:marRight w:val="0"/>
              <w:marTop w:val="0"/>
              <w:marBottom w:val="0"/>
              <w:divBdr>
                <w:top w:val="none" w:sz="0" w:space="0" w:color="auto"/>
                <w:left w:val="none" w:sz="0" w:space="0" w:color="auto"/>
                <w:bottom w:val="none" w:sz="0" w:space="0" w:color="auto"/>
                <w:right w:val="none" w:sz="0" w:space="0" w:color="auto"/>
              </w:divBdr>
              <w:divsChild>
                <w:div w:id="15196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9315">
      <w:bodyDiv w:val="1"/>
      <w:marLeft w:val="0"/>
      <w:marRight w:val="0"/>
      <w:marTop w:val="0"/>
      <w:marBottom w:val="0"/>
      <w:divBdr>
        <w:top w:val="none" w:sz="0" w:space="0" w:color="auto"/>
        <w:left w:val="none" w:sz="0" w:space="0" w:color="auto"/>
        <w:bottom w:val="none" w:sz="0" w:space="0" w:color="auto"/>
        <w:right w:val="none" w:sz="0" w:space="0" w:color="auto"/>
      </w:divBdr>
    </w:div>
    <w:div w:id="580411595">
      <w:bodyDiv w:val="1"/>
      <w:marLeft w:val="0"/>
      <w:marRight w:val="0"/>
      <w:marTop w:val="0"/>
      <w:marBottom w:val="0"/>
      <w:divBdr>
        <w:top w:val="none" w:sz="0" w:space="0" w:color="auto"/>
        <w:left w:val="none" w:sz="0" w:space="0" w:color="auto"/>
        <w:bottom w:val="none" w:sz="0" w:space="0" w:color="auto"/>
        <w:right w:val="none" w:sz="0" w:space="0" w:color="auto"/>
      </w:divBdr>
    </w:div>
    <w:div w:id="586773574">
      <w:bodyDiv w:val="1"/>
      <w:marLeft w:val="0"/>
      <w:marRight w:val="0"/>
      <w:marTop w:val="0"/>
      <w:marBottom w:val="0"/>
      <w:divBdr>
        <w:top w:val="none" w:sz="0" w:space="0" w:color="auto"/>
        <w:left w:val="none" w:sz="0" w:space="0" w:color="auto"/>
        <w:bottom w:val="none" w:sz="0" w:space="0" w:color="auto"/>
        <w:right w:val="none" w:sz="0" w:space="0" w:color="auto"/>
      </w:divBdr>
    </w:div>
    <w:div w:id="627005593">
      <w:bodyDiv w:val="1"/>
      <w:marLeft w:val="0"/>
      <w:marRight w:val="0"/>
      <w:marTop w:val="0"/>
      <w:marBottom w:val="0"/>
      <w:divBdr>
        <w:top w:val="none" w:sz="0" w:space="0" w:color="auto"/>
        <w:left w:val="none" w:sz="0" w:space="0" w:color="auto"/>
        <w:bottom w:val="none" w:sz="0" w:space="0" w:color="auto"/>
        <w:right w:val="none" w:sz="0" w:space="0" w:color="auto"/>
      </w:divBdr>
    </w:div>
    <w:div w:id="717899421">
      <w:bodyDiv w:val="1"/>
      <w:marLeft w:val="0"/>
      <w:marRight w:val="0"/>
      <w:marTop w:val="0"/>
      <w:marBottom w:val="0"/>
      <w:divBdr>
        <w:top w:val="none" w:sz="0" w:space="0" w:color="auto"/>
        <w:left w:val="none" w:sz="0" w:space="0" w:color="auto"/>
        <w:bottom w:val="none" w:sz="0" w:space="0" w:color="auto"/>
        <w:right w:val="none" w:sz="0" w:space="0" w:color="auto"/>
      </w:divBdr>
      <w:divsChild>
        <w:div w:id="813253808">
          <w:marLeft w:val="0"/>
          <w:marRight w:val="0"/>
          <w:marTop w:val="0"/>
          <w:marBottom w:val="0"/>
          <w:divBdr>
            <w:top w:val="none" w:sz="0" w:space="0" w:color="auto"/>
            <w:left w:val="none" w:sz="0" w:space="0" w:color="auto"/>
            <w:bottom w:val="none" w:sz="0" w:space="0" w:color="auto"/>
            <w:right w:val="none" w:sz="0" w:space="0" w:color="auto"/>
          </w:divBdr>
          <w:divsChild>
            <w:div w:id="559679049">
              <w:marLeft w:val="0"/>
              <w:marRight w:val="0"/>
              <w:marTop w:val="0"/>
              <w:marBottom w:val="0"/>
              <w:divBdr>
                <w:top w:val="none" w:sz="0" w:space="0" w:color="auto"/>
                <w:left w:val="none" w:sz="0" w:space="0" w:color="auto"/>
                <w:bottom w:val="none" w:sz="0" w:space="0" w:color="auto"/>
                <w:right w:val="none" w:sz="0" w:space="0" w:color="auto"/>
              </w:divBdr>
              <w:divsChild>
                <w:div w:id="6850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628598">
      <w:bodyDiv w:val="1"/>
      <w:marLeft w:val="0"/>
      <w:marRight w:val="0"/>
      <w:marTop w:val="0"/>
      <w:marBottom w:val="0"/>
      <w:divBdr>
        <w:top w:val="none" w:sz="0" w:space="0" w:color="auto"/>
        <w:left w:val="none" w:sz="0" w:space="0" w:color="auto"/>
        <w:bottom w:val="none" w:sz="0" w:space="0" w:color="auto"/>
        <w:right w:val="none" w:sz="0" w:space="0" w:color="auto"/>
      </w:divBdr>
      <w:divsChild>
        <w:div w:id="642276063">
          <w:marLeft w:val="0"/>
          <w:marRight w:val="0"/>
          <w:marTop w:val="0"/>
          <w:marBottom w:val="0"/>
          <w:divBdr>
            <w:top w:val="none" w:sz="0" w:space="0" w:color="auto"/>
            <w:left w:val="none" w:sz="0" w:space="0" w:color="auto"/>
            <w:bottom w:val="none" w:sz="0" w:space="0" w:color="auto"/>
            <w:right w:val="none" w:sz="0" w:space="0" w:color="auto"/>
          </w:divBdr>
          <w:divsChild>
            <w:div w:id="149564116">
              <w:marLeft w:val="0"/>
              <w:marRight w:val="0"/>
              <w:marTop w:val="0"/>
              <w:marBottom w:val="0"/>
              <w:divBdr>
                <w:top w:val="none" w:sz="0" w:space="0" w:color="auto"/>
                <w:left w:val="none" w:sz="0" w:space="0" w:color="auto"/>
                <w:bottom w:val="none" w:sz="0" w:space="0" w:color="auto"/>
                <w:right w:val="none" w:sz="0" w:space="0" w:color="auto"/>
              </w:divBdr>
              <w:divsChild>
                <w:div w:id="1106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55258">
      <w:bodyDiv w:val="1"/>
      <w:marLeft w:val="0"/>
      <w:marRight w:val="0"/>
      <w:marTop w:val="0"/>
      <w:marBottom w:val="0"/>
      <w:divBdr>
        <w:top w:val="none" w:sz="0" w:space="0" w:color="auto"/>
        <w:left w:val="none" w:sz="0" w:space="0" w:color="auto"/>
        <w:bottom w:val="none" w:sz="0" w:space="0" w:color="auto"/>
        <w:right w:val="none" w:sz="0" w:space="0" w:color="auto"/>
      </w:divBdr>
    </w:div>
    <w:div w:id="927008185">
      <w:bodyDiv w:val="1"/>
      <w:marLeft w:val="0"/>
      <w:marRight w:val="0"/>
      <w:marTop w:val="0"/>
      <w:marBottom w:val="0"/>
      <w:divBdr>
        <w:top w:val="none" w:sz="0" w:space="0" w:color="auto"/>
        <w:left w:val="none" w:sz="0" w:space="0" w:color="auto"/>
        <w:bottom w:val="none" w:sz="0" w:space="0" w:color="auto"/>
        <w:right w:val="none" w:sz="0" w:space="0" w:color="auto"/>
      </w:divBdr>
    </w:div>
    <w:div w:id="955481682">
      <w:bodyDiv w:val="1"/>
      <w:marLeft w:val="0"/>
      <w:marRight w:val="0"/>
      <w:marTop w:val="0"/>
      <w:marBottom w:val="0"/>
      <w:divBdr>
        <w:top w:val="none" w:sz="0" w:space="0" w:color="auto"/>
        <w:left w:val="none" w:sz="0" w:space="0" w:color="auto"/>
        <w:bottom w:val="none" w:sz="0" w:space="0" w:color="auto"/>
        <w:right w:val="none" w:sz="0" w:space="0" w:color="auto"/>
      </w:divBdr>
    </w:div>
    <w:div w:id="1113014973">
      <w:bodyDiv w:val="1"/>
      <w:marLeft w:val="0"/>
      <w:marRight w:val="0"/>
      <w:marTop w:val="0"/>
      <w:marBottom w:val="0"/>
      <w:divBdr>
        <w:top w:val="none" w:sz="0" w:space="0" w:color="auto"/>
        <w:left w:val="none" w:sz="0" w:space="0" w:color="auto"/>
        <w:bottom w:val="none" w:sz="0" w:space="0" w:color="auto"/>
        <w:right w:val="none" w:sz="0" w:space="0" w:color="auto"/>
      </w:divBdr>
    </w:div>
    <w:div w:id="1255741551">
      <w:bodyDiv w:val="1"/>
      <w:marLeft w:val="0"/>
      <w:marRight w:val="0"/>
      <w:marTop w:val="0"/>
      <w:marBottom w:val="0"/>
      <w:divBdr>
        <w:top w:val="none" w:sz="0" w:space="0" w:color="auto"/>
        <w:left w:val="none" w:sz="0" w:space="0" w:color="auto"/>
        <w:bottom w:val="none" w:sz="0" w:space="0" w:color="auto"/>
        <w:right w:val="none" w:sz="0" w:space="0" w:color="auto"/>
      </w:divBdr>
      <w:divsChild>
        <w:div w:id="416446237">
          <w:marLeft w:val="0"/>
          <w:marRight w:val="0"/>
          <w:marTop w:val="0"/>
          <w:marBottom w:val="0"/>
          <w:divBdr>
            <w:top w:val="none" w:sz="0" w:space="0" w:color="auto"/>
            <w:left w:val="none" w:sz="0" w:space="0" w:color="auto"/>
            <w:bottom w:val="none" w:sz="0" w:space="0" w:color="auto"/>
            <w:right w:val="none" w:sz="0" w:space="0" w:color="auto"/>
          </w:divBdr>
          <w:divsChild>
            <w:div w:id="1054818252">
              <w:marLeft w:val="0"/>
              <w:marRight w:val="0"/>
              <w:marTop w:val="0"/>
              <w:marBottom w:val="0"/>
              <w:divBdr>
                <w:top w:val="none" w:sz="0" w:space="0" w:color="auto"/>
                <w:left w:val="none" w:sz="0" w:space="0" w:color="auto"/>
                <w:bottom w:val="none" w:sz="0" w:space="0" w:color="auto"/>
                <w:right w:val="none" w:sz="0" w:space="0" w:color="auto"/>
              </w:divBdr>
              <w:divsChild>
                <w:div w:id="11541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28469">
      <w:bodyDiv w:val="1"/>
      <w:marLeft w:val="0"/>
      <w:marRight w:val="0"/>
      <w:marTop w:val="0"/>
      <w:marBottom w:val="0"/>
      <w:divBdr>
        <w:top w:val="none" w:sz="0" w:space="0" w:color="auto"/>
        <w:left w:val="none" w:sz="0" w:space="0" w:color="auto"/>
        <w:bottom w:val="none" w:sz="0" w:space="0" w:color="auto"/>
        <w:right w:val="none" w:sz="0" w:space="0" w:color="auto"/>
      </w:divBdr>
    </w:div>
    <w:div w:id="1327246471">
      <w:bodyDiv w:val="1"/>
      <w:marLeft w:val="0"/>
      <w:marRight w:val="0"/>
      <w:marTop w:val="0"/>
      <w:marBottom w:val="0"/>
      <w:divBdr>
        <w:top w:val="none" w:sz="0" w:space="0" w:color="auto"/>
        <w:left w:val="none" w:sz="0" w:space="0" w:color="auto"/>
        <w:bottom w:val="none" w:sz="0" w:space="0" w:color="auto"/>
        <w:right w:val="none" w:sz="0" w:space="0" w:color="auto"/>
      </w:divBdr>
    </w:div>
    <w:div w:id="1355955280">
      <w:bodyDiv w:val="1"/>
      <w:marLeft w:val="0"/>
      <w:marRight w:val="0"/>
      <w:marTop w:val="0"/>
      <w:marBottom w:val="0"/>
      <w:divBdr>
        <w:top w:val="none" w:sz="0" w:space="0" w:color="auto"/>
        <w:left w:val="none" w:sz="0" w:space="0" w:color="auto"/>
        <w:bottom w:val="none" w:sz="0" w:space="0" w:color="auto"/>
        <w:right w:val="none" w:sz="0" w:space="0" w:color="auto"/>
      </w:divBdr>
    </w:div>
    <w:div w:id="1384787019">
      <w:bodyDiv w:val="1"/>
      <w:marLeft w:val="0"/>
      <w:marRight w:val="0"/>
      <w:marTop w:val="0"/>
      <w:marBottom w:val="0"/>
      <w:divBdr>
        <w:top w:val="none" w:sz="0" w:space="0" w:color="auto"/>
        <w:left w:val="none" w:sz="0" w:space="0" w:color="auto"/>
        <w:bottom w:val="none" w:sz="0" w:space="0" w:color="auto"/>
        <w:right w:val="none" w:sz="0" w:space="0" w:color="auto"/>
      </w:divBdr>
      <w:divsChild>
        <w:div w:id="612446270">
          <w:marLeft w:val="0"/>
          <w:marRight w:val="0"/>
          <w:marTop w:val="0"/>
          <w:marBottom w:val="0"/>
          <w:divBdr>
            <w:top w:val="none" w:sz="0" w:space="0" w:color="auto"/>
            <w:left w:val="none" w:sz="0" w:space="0" w:color="auto"/>
            <w:bottom w:val="none" w:sz="0" w:space="0" w:color="auto"/>
            <w:right w:val="none" w:sz="0" w:space="0" w:color="auto"/>
          </w:divBdr>
          <w:divsChild>
            <w:div w:id="1452045538">
              <w:marLeft w:val="0"/>
              <w:marRight w:val="0"/>
              <w:marTop w:val="0"/>
              <w:marBottom w:val="0"/>
              <w:divBdr>
                <w:top w:val="none" w:sz="0" w:space="0" w:color="auto"/>
                <w:left w:val="none" w:sz="0" w:space="0" w:color="auto"/>
                <w:bottom w:val="none" w:sz="0" w:space="0" w:color="auto"/>
                <w:right w:val="none" w:sz="0" w:space="0" w:color="auto"/>
              </w:divBdr>
              <w:divsChild>
                <w:div w:id="12558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49610">
      <w:bodyDiv w:val="1"/>
      <w:marLeft w:val="0"/>
      <w:marRight w:val="0"/>
      <w:marTop w:val="0"/>
      <w:marBottom w:val="0"/>
      <w:divBdr>
        <w:top w:val="none" w:sz="0" w:space="0" w:color="auto"/>
        <w:left w:val="none" w:sz="0" w:space="0" w:color="auto"/>
        <w:bottom w:val="none" w:sz="0" w:space="0" w:color="auto"/>
        <w:right w:val="none" w:sz="0" w:space="0" w:color="auto"/>
      </w:divBdr>
    </w:div>
    <w:div w:id="1460880169">
      <w:bodyDiv w:val="1"/>
      <w:marLeft w:val="0"/>
      <w:marRight w:val="0"/>
      <w:marTop w:val="0"/>
      <w:marBottom w:val="0"/>
      <w:divBdr>
        <w:top w:val="none" w:sz="0" w:space="0" w:color="auto"/>
        <w:left w:val="none" w:sz="0" w:space="0" w:color="auto"/>
        <w:bottom w:val="none" w:sz="0" w:space="0" w:color="auto"/>
        <w:right w:val="none" w:sz="0" w:space="0" w:color="auto"/>
      </w:divBdr>
      <w:divsChild>
        <w:div w:id="2107462961">
          <w:marLeft w:val="0"/>
          <w:marRight w:val="0"/>
          <w:marTop w:val="0"/>
          <w:marBottom w:val="0"/>
          <w:divBdr>
            <w:top w:val="none" w:sz="0" w:space="0" w:color="auto"/>
            <w:left w:val="none" w:sz="0" w:space="0" w:color="auto"/>
            <w:bottom w:val="none" w:sz="0" w:space="0" w:color="auto"/>
            <w:right w:val="none" w:sz="0" w:space="0" w:color="auto"/>
          </w:divBdr>
          <w:divsChild>
            <w:div w:id="804196006">
              <w:marLeft w:val="0"/>
              <w:marRight w:val="0"/>
              <w:marTop w:val="0"/>
              <w:marBottom w:val="0"/>
              <w:divBdr>
                <w:top w:val="none" w:sz="0" w:space="0" w:color="auto"/>
                <w:left w:val="none" w:sz="0" w:space="0" w:color="auto"/>
                <w:bottom w:val="none" w:sz="0" w:space="0" w:color="auto"/>
                <w:right w:val="none" w:sz="0" w:space="0" w:color="auto"/>
              </w:divBdr>
              <w:divsChild>
                <w:div w:id="15116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4881">
      <w:bodyDiv w:val="1"/>
      <w:marLeft w:val="0"/>
      <w:marRight w:val="0"/>
      <w:marTop w:val="0"/>
      <w:marBottom w:val="0"/>
      <w:divBdr>
        <w:top w:val="none" w:sz="0" w:space="0" w:color="auto"/>
        <w:left w:val="none" w:sz="0" w:space="0" w:color="auto"/>
        <w:bottom w:val="none" w:sz="0" w:space="0" w:color="auto"/>
        <w:right w:val="none" w:sz="0" w:space="0" w:color="auto"/>
      </w:divBdr>
    </w:div>
    <w:div w:id="1492870108">
      <w:bodyDiv w:val="1"/>
      <w:marLeft w:val="0"/>
      <w:marRight w:val="0"/>
      <w:marTop w:val="0"/>
      <w:marBottom w:val="0"/>
      <w:divBdr>
        <w:top w:val="none" w:sz="0" w:space="0" w:color="auto"/>
        <w:left w:val="none" w:sz="0" w:space="0" w:color="auto"/>
        <w:bottom w:val="none" w:sz="0" w:space="0" w:color="auto"/>
        <w:right w:val="none" w:sz="0" w:space="0" w:color="auto"/>
      </w:divBdr>
    </w:div>
    <w:div w:id="1522627484">
      <w:bodyDiv w:val="1"/>
      <w:marLeft w:val="0"/>
      <w:marRight w:val="0"/>
      <w:marTop w:val="0"/>
      <w:marBottom w:val="0"/>
      <w:divBdr>
        <w:top w:val="none" w:sz="0" w:space="0" w:color="auto"/>
        <w:left w:val="none" w:sz="0" w:space="0" w:color="auto"/>
        <w:bottom w:val="none" w:sz="0" w:space="0" w:color="auto"/>
        <w:right w:val="none" w:sz="0" w:space="0" w:color="auto"/>
      </w:divBdr>
    </w:div>
    <w:div w:id="1665157432">
      <w:bodyDiv w:val="1"/>
      <w:marLeft w:val="0"/>
      <w:marRight w:val="0"/>
      <w:marTop w:val="0"/>
      <w:marBottom w:val="0"/>
      <w:divBdr>
        <w:top w:val="none" w:sz="0" w:space="0" w:color="auto"/>
        <w:left w:val="none" w:sz="0" w:space="0" w:color="auto"/>
        <w:bottom w:val="none" w:sz="0" w:space="0" w:color="auto"/>
        <w:right w:val="none" w:sz="0" w:space="0" w:color="auto"/>
      </w:divBdr>
      <w:divsChild>
        <w:div w:id="1960378641">
          <w:marLeft w:val="0"/>
          <w:marRight w:val="0"/>
          <w:marTop w:val="0"/>
          <w:marBottom w:val="0"/>
          <w:divBdr>
            <w:top w:val="none" w:sz="0" w:space="0" w:color="auto"/>
            <w:left w:val="none" w:sz="0" w:space="0" w:color="auto"/>
            <w:bottom w:val="none" w:sz="0" w:space="0" w:color="auto"/>
            <w:right w:val="none" w:sz="0" w:space="0" w:color="auto"/>
          </w:divBdr>
          <w:divsChild>
            <w:div w:id="1431858120">
              <w:marLeft w:val="0"/>
              <w:marRight w:val="0"/>
              <w:marTop w:val="0"/>
              <w:marBottom w:val="0"/>
              <w:divBdr>
                <w:top w:val="none" w:sz="0" w:space="0" w:color="auto"/>
                <w:left w:val="none" w:sz="0" w:space="0" w:color="auto"/>
                <w:bottom w:val="none" w:sz="0" w:space="0" w:color="auto"/>
                <w:right w:val="none" w:sz="0" w:space="0" w:color="auto"/>
              </w:divBdr>
              <w:divsChild>
                <w:div w:id="1837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4722">
      <w:bodyDiv w:val="1"/>
      <w:marLeft w:val="0"/>
      <w:marRight w:val="0"/>
      <w:marTop w:val="0"/>
      <w:marBottom w:val="0"/>
      <w:divBdr>
        <w:top w:val="none" w:sz="0" w:space="0" w:color="auto"/>
        <w:left w:val="none" w:sz="0" w:space="0" w:color="auto"/>
        <w:bottom w:val="none" w:sz="0" w:space="0" w:color="auto"/>
        <w:right w:val="none" w:sz="0" w:space="0" w:color="auto"/>
      </w:divBdr>
    </w:div>
    <w:div w:id="1961568245">
      <w:bodyDiv w:val="1"/>
      <w:marLeft w:val="0"/>
      <w:marRight w:val="0"/>
      <w:marTop w:val="0"/>
      <w:marBottom w:val="0"/>
      <w:divBdr>
        <w:top w:val="none" w:sz="0" w:space="0" w:color="auto"/>
        <w:left w:val="none" w:sz="0" w:space="0" w:color="auto"/>
        <w:bottom w:val="none" w:sz="0" w:space="0" w:color="auto"/>
        <w:right w:val="none" w:sz="0" w:space="0" w:color="auto"/>
      </w:divBdr>
    </w:div>
    <w:div w:id="19785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15BEBE2BF87F40A76A9C926EBECC0C" ma:contentTypeVersion="0" ma:contentTypeDescription="Create a new document." ma:contentTypeScope="" ma:versionID="ad8069bb81a7b5dc5c766ad6aa2648b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10375-98CD-4A62-8480-C148EA730742}">
  <ds:schemaRefs>
    <ds:schemaRef ds:uri="http://schemas.microsoft.com/sharepoint/v3/contenttype/forms"/>
  </ds:schemaRefs>
</ds:datastoreItem>
</file>

<file path=customXml/itemProps2.xml><?xml version="1.0" encoding="utf-8"?>
<ds:datastoreItem xmlns:ds="http://schemas.openxmlformats.org/officeDocument/2006/customXml" ds:itemID="{21E17B52-261E-4B9F-B279-95D4F2B222D6}">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71EA6FD-9E01-40E9-965C-2545407E9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122F8E0-C67F-40C0-AA60-E6936D50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2668</Words>
  <Characters>14675</Characters>
  <Application>Microsoft Office Word</Application>
  <DocSecurity>4</DocSecurity>
  <Lines>122</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Julliana Saborio</cp:lastModifiedBy>
  <cp:revision>2</cp:revision>
  <cp:lastPrinted>2018-08-24T23:27:00Z</cp:lastPrinted>
  <dcterms:created xsi:type="dcterms:W3CDTF">2018-08-24T23:32:00Z</dcterms:created>
  <dcterms:modified xsi:type="dcterms:W3CDTF">2018-08-24T23:32:00Z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0x010100D015BEBE2BF87F40A76A9C926EBECC0C</vt:lpwstr>
  </property>
</Properties>
</file>