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CEF0"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6C86C343"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0F076024" w14:textId="77777777" w:rsidR="0048575A" w:rsidRDefault="0048575A" w:rsidP="00E604E5">
      <w:pPr>
        <w:tabs>
          <w:tab w:val="left" w:pos="567"/>
        </w:tabs>
        <w:spacing w:after="0" w:line="240" w:lineRule="auto"/>
        <w:jc w:val="center"/>
        <w:rPr>
          <w:rFonts w:ascii="Verdana" w:hAnsi="Verdana"/>
          <w:b/>
          <w:spacing w:val="-4"/>
          <w:sz w:val="20"/>
          <w:szCs w:val="20"/>
          <w:lang w:val="es-MX"/>
        </w:rPr>
      </w:pPr>
    </w:p>
    <w:p w14:paraId="18BD13BB" w14:textId="08FDE358" w:rsidR="0038765A" w:rsidRPr="007865FC" w:rsidRDefault="0038765A"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RESOLUCIÓN DE LA</w:t>
      </w:r>
    </w:p>
    <w:p w14:paraId="28AAB9BD" w14:textId="77777777" w:rsidR="0038765A" w:rsidRPr="007865FC" w:rsidRDefault="0038765A"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CORTE INTERAMERICANA DE DERECHOS HUMANOS</w:t>
      </w:r>
    </w:p>
    <w:p w14:paraId="38A4421B" w14:textId="77777777" w:rsidR="0038765A" w:rsidRPr="007865FC" w:rsidRDefault="0038765A" w:rsidP="00E604E5">
      <w:pPr>
        <w:tabs>
          <w:tab w:val="left" w:pos="567"/>
        </w:tabs>
        <w:spacing w:after="0" w:line="240" w:lineRule="auto"/>
        <w:jc w:val="center"/>
        <w:rPr>
          <w:rFonts w:ascii="Verdana" w:hAnsi="Verdana"/>
          <w:b/>
          <w:spacing w:val="-4"/>
          <w:sz w:val="20"/>
          <w:szCs w:val="20"/>
          <w:lang w:val="es-ES_tradnl"/>
        </w:rPr>
      </w:pPr>
    </w:p>
    <w:p w14:paraId="1088D35D" w14:textId="393942C5" w:rsidR="0038765A" w:rsidRPr="007865FC" w:rsidRDefault="0038765A"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DE</w:t>
      </w:r>
      <w:r w:rsidR="00275EBB" w:rsidRPr="007865FC">
        <w:rPr>
          <w:rFonts w:ascii="Verdana" w:hAnsi="Verdana"/>
          <w:b/>
          <w:spacing w:val="-4"/>
          <w:sz w:val="20"/>
          <w:szCs w:val="20"/>
          <w:lang w:val="es-MX"/>
        </w:rPr>
        <w:t xml:space="preserve"> </w:t>
      </w:r>
      <w:r w:rsidR="00C20199">
        <w:rPr>
          <w:rFonts w:ascii="Verdana" w:hAnsi="Verdana"/>
          <w:b/>
          <w:spacing w:val="-4"/>
          <w:sz w:val="20"/>
          <w:szCs w:val="20"/>
          <w:lang w:val="es-MX"/>
        </w:rPr>
        <w:t>06</w:t>
      </w:r>
      <w:r w:rsidR="00275EBB" w:rsidRPr="007865FC">
        <w:rPr>
          <w:rFonts w:ascii="Verdana" w:hAnsi="Verdana"/>
          <w:b/>
          <w:spacing w:val="-4"/>
          <w:sz w:val="20"/>
          <w:szCs w:val="20"/>
          <w:lang w:val="es-MX"/>
        </w:rPr>
        <w:t xml:space="preserve"> </w:t>
      </w:r>
      <w:r w:rsidRPr="007865FC">
        <w:rPr>
          <w:rFonts w:ascii="Verdana" w:hAnsi="Verdana"/>
          <w:b/>
          <w:spacing w:val="-4"/>
          <w:sz w:val="20"/>
          <w:szCs w:val="20"/>
          <w:lang w:val="es-GT"/>
        </w:rPr>
        <w:t xml:space="preserve">DE </w:t>
      </w:r>
      <w:r w:rsidR="009D6BBC">
        <w:rPr>
          <w:rFonts w:ascii="Verdana" w:hAnsi="Verdana"/>
          <w:b/>
          <w:spacing w:val="-4"/>
          <w:sz w:val="20"/>
          <w:szCs w:val="20"/>
          <w:lang w:val="es-GT"/>
        </w:rPr>
        <w:t>FEBRERO</w:t>
      </w:r>
      <w:r w:rsidRPr="007865FC">
        <w:rPr>
          <w:rFonts w:ascii="Verdana" w:hAnsi="Verdana"/>
          <w:b/>
          <w:spacing w:val="-4"/>
          <w:sz w:val="20"/>
          <w:szCs w:val="20"/>
          <w:lang w:val="es-MX"/>
        </w:rPr>
        <w:t xml:space="preserve"> </w:t>
      </w:r>
      <w:r w:rsidR="00275EBB" w:rsidRPr="007865FC">
        <w:rPr>
          <w:rFonts w:ascii="Verdana" w:hAnsi="Verdana"/>
          <w:b/>
          <w:spacing w:val="-4"/>
          <w:sz w:val="20"/>
          <w:szCs w:val="20"/>
          <w:lang w:val="es-MX"/>
        </w:rPr>
        <w:t>DE 2020</w:t>
      </w:r>
    </w:p>
    <w:p w14:paraId="6C214A2F" w14:textId="77777777" w:rsidR="0038765A" w:rsidRPr="007865FC" w:rsidRDefault="0038765A" w:rsidP="00E604E5">
      <w:pPr>
        <w:tabs>
          <w:tab w:val="left" w:pos="567"/>
        </w:tabs>
        <w:spacing w:after="0" w:line="240" w:lineRule="auto"/>
        <w:jc w:val="center"/>
        <w:rPr>
          <w:rFonts w:ascii="Verdana" w:hAnsi="Verdana"/>
          <w:b/>
          <w:spacing w:val="-4"/>
          <w:sz w:val="20"/>
          <w:szCs w:val="20"/>
          <w:lang w:val="es-MX"/>
        </w:rPr>
      </w:pPr>
    </w:p>
    <w:p w14:paraId="5427DE24" w14:textId="77777777" w:rsidR="00DD29C1" w:rsidRPr="007865FC" w:rsidRDefault="00DD29C1"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AMPLIACIÓN DE MEDIDAS PROVISIONALES</w:t>
      </w:r>
    </w:p>
    <w:p w14:paraId="1881E8AB" w14:textId="5DCE7F6A" w:rsidR="00DD29C1" w:rsidRPr="007865FC" w:rsidRDefault="00B40384"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RESPECTO DE</w:t>
      </w:r>
      <w:r w:rsidR="00DD29C1" w:rsidRPr="007865FC">
        <w:rPr>
          <w:rFonts w:ascii="Verdana" w:hAnsi="Verdana"/>
          <w:b/>
          <w:spacing w:val="-4"/>
          <w:sz w:val="20"/>
          <w:szCs w:val="20"/>
          <w:lang w:val="es-MX"/>
        </w:rPr>
        <w:t xml:space="preserve"> NICARAGUA</w:t>
      </w:r>
    </w:p>
    <w:p w14:paraId="4AC79694" w14:textId="77777777" w:rsidR="00DD29C1" w:rsidRPr="007865FC" w:rsidRDefault="00DD29C1" w:rsidP="00E604E5">
      <w:pPr>
        <w:tabs>
          <w:tab w:val="left" w:pos="567"/>
        </w:tabs>
        <w:spacing w:after="0" w:line="240" w:lineRule="auto"/>
        <w:jc w:val="center"/>
        <w:rPr>
          <w:rFonts w:ascii="Verdana" w:hAnsi="Verdana"/>
          <w:b/>
          <w:spacing w:val="-4"/>
          <w:sz w:val="20"/>
          <w:szCs w:val="20"/>
          <w:lang w:val="es-MX"/>
        </w:rPr>
      </w:pPr>
    </w:p>
    <w:p w14:paraId="65E876EB" w14:textId="77777777" w:rsidR="00DD29C1" w:rsidRPr="007865FC" w:rsidRDefault="00DD29C1"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ASUNTO POBLADORES DE LAS COMUNIDADES DEL PUEBLO INDÍGENA MISKITU</w:t>
      </w:r>
    </w:p>
    <w:p w14:paraId="2226F655" w14:textId="77777777" w:rsidR="0038765A" w:rsidRPr="007865FC" w:rsidRDefault="00DD29C1" w:rsidP="00E604E5">
      <w:pPr>
        <w:tabs>
          <w:tab w:val="left" w:pos="567"/>
        </w:tabs>
        <w:spacing w:after="0" w:line="240" w:lineRule="auto"/>
        <w:jc w:val="center"/>
        <w:rPr>
          <w:rFonts w:ascii="Verdana" w:hAnsi="Verdana"/>
          <w:b/>
          <w:spacing w:val="-4"/>
          <w:sz w:val="20"/>
          <w:szCs w:val="20"/>
          <w:lang w:val="es-MX"/>
        </w:rPr>
      </w:pPr>
      <w:r w:rsidRPr="007865FC">
        <w:rPr>
          <w:rFonts w:ascii="Verdana" w:hAnsi="Verdana"/>
          <w:b/>
          <w:spacing w:val="-4"/>
          <w:sz w:val="20"/>
          <w:szCs w:val="20"/>
          <w:lang w:val="es-MX"/>
        </w:rPr>
        <w:t>DE LA REGIÓN COSTA CARIBE NORTE</w:t>
      </w:r>
    </w:p>
    <w:p w14:paraId="4BC4D001" w14:textId="77777777" w:rsidR="0038765A" w:rsidRPr="007865FC" w:rsidRDefault="0038765A" w:rsidP="00E604E5">
      <w:pPr>
        <w:tabs>
          <w:tab w:val="left" w:pos="567"/>
        </w:tabs>
        <w:spacing w:after="0" w:line="240" w:lineRule="auto"/>
        <w:jc w:val="both"/>
        <w:rPr>
          <w:rFonts w:ascii="Verdana" w:hAnsi="Verdana"/>
          <w:b/>
          <w:spacing w:val="-4"/>
          <w:sz w:val="20"/>
          <w:szCs w:val="20"/>
          <w:lang w:val="es-GT"/>
        </w:rPr>
      </w:pPr>
    </w:p>
    <w:p w14:paraId="586C87E2" w14:textId="77777777" w:rsidR="0038765A" w:rsidRPr="007865FC" w:rsidRDefault="0038765A" w:rsidP="00E604E5">
      <w:pPr>
        <w:tabs>
          <w:tab w:val="left" w:pos="567"/>
        </w:tabs>
        <w:spacing w:after="0" w:line="240" w:lineRule="auto"/>
        <w:jc w:val="both"/>
        <w:rPr>
          <w:rFonts w:ascii="Verdana" w:hAnsi="Verdana"/>
          <w:b/>
          <w:spacing w:val="-4"/>
          <w:sz w:val="20"/>
          <w:szCs w:val="20"/>
          <w:lang w:val="es-MX"/>
        </w:rPr>
      </w:pPr>
      <w:r w:rsidRPr="007865FC">
        <w:rPr>
          <w:rFonts w:ascii="Verdana" w:hAnsi="Verdana"/>
          <w:b/>
          <w:spacing w:val="-4"/>
          <w:sz w:val="20"/>
          <w:szCs w:val="20"/>
          <w:lang w:val="es-MX"/>
        </w:rPr>
        <w:t>VISTO:</w:t>
      </w:r>
    </w:p>
    <w:p w14:paraId="56A5DAEB" w14:textId="77777777" w:rsidR="0038765A" w:rsidRPr="007865FC" w:rsidRDefault="0038765A" w:rsidP="00E604E5">
      <w:pPr>
        <w:tabs>
          <w:tab w:val="left" w:pos="567"/>
        </w:tabs>
        <w:spacing w:after="0" w:line="240" w:lineRule="auto"/>
        <w:jc w:val="both"/>
        <w:rPr>
          <w:rFonts w:ascii="Verdana" w:hAnsi="Verdana"/>
          <w:b/>
          <w:spacing w:val="-4"/>
          <w:sz w:val="20"/>
          <w:szCs w:val="20"/>
          <w:lang w:val="es-ES_tradnl"/>
        </w:rPr>
      </w:pPr>
    </w:p>
    <w:p w14:paraId="33CC3FD7" w14:textId="77777777" w:rsidR="002F7DE6" w:rsidRPr="007865FC" w:rsidRDefault="002F7DE6" w:rsidP="00E604E5">
      <w:pPr>
        <w:numPr>
          <w:ilvl w:val="0"/>
          <w:numId w:val="9"/>
        </w:numPr>
        <w:tabs>
          <w:tab w:val="left" w:pos="0"/>
        </w:tabs>
        <w:spacing w:after="0" w:line="240" w:lineRule="auto"/>
        <w:ind w:left="0" w:right="18" w:firstLine="0"/>
        <w:jc w:val="both"/>
        <w:rPr>
          <w:rFonts w:ascii="Verdana" w:hAnsi="Verdana"/>
          <w:spacing w:val="-4"/>
          <w:sz w:val="20"/>
          <w:szCs w:val="20"/>
          <w:lang w:val="es-MX"/>
        </w:rPr>
      </w:pPr>
      <w:r w:rsidRPr="007865FC">
        <w:rPr>
          <w:rFonts w:ascii="Verdana" w:eastAsia="MS Mincho" w:hAnsi="Verdana"/>
          <w:sz w:val="20"/>
          <w:szCs w:val="20"/>
          <w:lang w:val="es-VE"/>
        </w:rPr>
        <w:t>La</w:t>
      </w:r>
      <w:r w:rsidRPr="007865FC">
        <w:rPr>
          <w:rFonts w:ascii="Verdana" w:hAnsi="Verdana"/>
          <w:spacing w:val="-4"/>
          <w:sz w:val="20"/>
          <w:szCs w:val="20"/>
          <w:lang w:val="es-MX"/>
        </w:rPr>
        <w:t xml:space="preserve"> Resolución de la Corte Interamericana de Derechos Humanos (en adelante también “la Corte Interamericana”, “la Corte” o “el Tribunal”) de 1 de septiembre de 2016, mediante la cual ordenó al Estado de Nicaragua, </w:t>
      </w:r>
      <w:r w:rsidRPr="007865FC">
        <w:rPr>
          <w:rFonts w:ascii="Verdana" w:hAnsi="Verdana"/>
          <w:i/>
          <w:spacing w:val="-4"/>
          <w:sz w:val="20"/>
          <w:szCs w:val="20"/>
          <w:lang w:val="es-MX"/>
        </w:rPr>
        <w:t xml:space="preserve">inter </w:t>
      </w:r>
      <w:proofErr w:type="spellStart"/>
      <w:r w:rsidRPr="007865FC">
        <w:rPr>
          <w:rFonts w:ascii="Verdana" w:hAnsi="Verdana"/>
          <w:i/>
          <w:spacing w:val="-4"/>
          <w:sz w:val="20"/>
          <w:szCs w:val="20"/>
          <w:lang w:val="es-MX"/>
        </w:rPr>
        <w:t>alia</w:t>
      </w:r>
      <w:proofErr w:type="spellEnd"/>
      <w:r w:rsidRPr="007865FC">
        <w:rPr>
          <w:rFonts w:ascii="Verdana" w:hAnsi="Verdana"/>
          <w:i/>
          <w:spacing w:val="-4"/>
          <w:sz w:val="20"/>
          <w:szCs w:val="20"/>
          <w:lang w:val="es-MX"/>
        </w:rPr>
        <w:t>:</w:t>
      </w:r>
      <w:r w:rsidRPr="007865FC">
        <w:rPr>
          <w:rFonts w:ascii="Verdana" w:hAnsi="Verdana"/>
          <w:spacing w:val="-4"/>
          <w:sz w:val="20"/>
          <w:szCs w:val="20"/>
          <w:lang w:val="es-MX"/>
        </w:rPr>
        <w:t xml:space="preserve"> i) erradicar la violencia y proteger la vida, integridad personal y territorial e identidad cultural </w:t>
      </w:r>
      <w:r w:rsidRPr="007865FC">
        <w:rPr>
          <w:rFonts w:ascii="Verdana" w:hAnsi="Verdana"/>
          <w:sz w:val="20"/>
          <w:szCs w:val="20"/>
          <w:lang w:val="es-MX"/>
        </w:rPr>
        <w:t xml:space="preserve">en favor de </w:t>
      </w:r>
      <w:r w:rsidRPr="007865FC">
        <w:rPr>
          <w:rFonts w:ascii="Verdana" w:eastAsia="Times" w:hAnsi="Verdana" w:cs="Times New Roman"/>
          <w:sz w:val="20"/>
          <w:szCs w:val="20"/>
          <w:lang w:val="es-ES_tradnl"/>
        </w:rPr>
        <w:t xml:space="preserve">los miembros del pueblo indígena </w:t>
      </w:r>
      <w:proofErr w:type="spellStart"/>
      <w:r w:rsidRPr="007865FC">
        <w:rPr>
          <w:rFonts w:ascii="Verdana" w:eastAsia="Times" w:hAnsi="Verdana" w:cs="Times New Roman"/>
          <w:i/>
          <w:sz w:val="20"/>
          <w:szCs w:val="20"/>
          <w:lang w:val="es-ES_tradnl"/>
        </w:rPr>
        <w:t>Miskitu</w:t>
      </w:r>
      <w:proofErr w:type="spellEnd"/>
      <w:r w:rsidRPr="007865FC">
        <w:rPr>
          <w:rFonts w:ascii="Verdana" w:eastAsia="Times" w:hAnsi="Verdana" w:cs="Times New Roman"/>
          <w:i/>
          <w:sz w:val="20"/>
          <w:szCs w:val="20"/>
          <w:lang w:val="es-ES_tradnl"/>
        </w:rPr>
        <w:t xml:space="preserve"> </w:t>
      </w:r>
      <w:r w:rsidRPr="007865FC">
        <w:rPr>
          <w:rFonts w:ascii="Verdana" w:eastAsia="Times" w:hAnsi="Verdana" w:cs="Times New Roman"/>
          <w:sz w:val="20"/>
          <w:szCs w:val="20"/>
          <w:lang w:val="es-ES_tradnl"/>
        </w:rPr>
        <w:t xml:space="preserve">que habitan </w:t>
      </w:r>
      <w:r w:rsidRPr="007865FC">
        <w:rPr>
          <w:rFonts w:ascii="Verdana" w:eastAsia="Times" w:hAnsi="Verdana"/>
          <w:sz w:val="20"/>
          <w:szCs w:val="20"/>
          <w:lang w:val="es-ES_tradnl"/>
        </w:rPr>
        <w:t>en las</w:t>
      </w:r>
      <w:r w:rsidRPr="007865FC">
        <w:rPr>
          <w:rFonts w:ascii="Verdana" w:eastAsia="Times" w:hAnsi="Verdana" w:cs="Times New Roman"/>
          <w:sz w:val="20"/>
          <w:szCs w:val="20"/>
          <w:lang w:val="es-ES_tradnl"/>
        </w:rPr>
        <w:t xml:space="preserve"> comunidades de </w:t>
      </w:r>
      <w:proofErr w:type="spellStart"/>
      <w:r w:rsidRPr="007865FC">
        <w:rPr>
          <w:rFonts w:ascii="Verdana" w:eastAsia="Times" w:hAnsi="Verdana" w:cs="Times New Roman"/>
          <w:i/>
          <w:sz w:val="20"/>
          <w:szCs w:val="20"/>
          <w:lang w:val="es-ES_tradnl"/>
        </w:rPr>
        <w:t>Klisnak</w:t>
      </w:r>
      <w:proofErr w:type="spellEnd"/>
      <w:r w:rsidRPr="007865FC">
        <w:rPr>
          <w:rFonts w:ascii="Verdana" w:eastAsia="Times" w:hAnsi="Verdana" w:cs="Times New Roman"/>
          <w:i/>
          <w:sz w:val="20"/>
          <w:szCs w:val="20"/>
          <w:lang w:val="es-ES_tradnl"/>
        </w:rPr>
        <w:t xml:space="preserve">, Wisconsin, Wiwinak, San Jerónimo </w:t>
      </w:r>
      <w:r w:rsidRPr="007865FC">
        <w:rPr>
          <w:rFonts w:ascii="Verdana" w:eastAsia="Times" w:hAnsi="Verdana" w:cs="Times New Roman"/>
          <w:sz w:val="20"/>
          <w:szCs w:val="20"/>
          <w:lang w:val="es-ES_tradnl"/>
        </w:rPr>
        <w:t xml:space="preserve">y </w:t>
      </w:r>
      <w:r w:rsidRPr="007865FC">
        <w:rPr>
          <w:rFonts w:ascii="Verdana" w:eastAsia="Times" w:hAnsi="Verdana" w:cs="Times New Roman"/>
          <w:i/>
          <w:sz w:val="20"/>
          <w:szCs w:val="20"/>
          <w:lang w:val="es-ES_tradnl"/>
        </w:rPr>
        <w:t xml:space="preserve">Francia </w:t>
      </w:r>
      <w:proofErr w:type="spellStart"/>
      <w:r w:rsidRPr="007865FC">
        <w:rPr>
          <w:rFonts w:ascii="Verdana" w:eastAsia="Times" w:hAnsi="Verdana" w:cs="Times New Roman"/>
          <w:i/>
          <w:sz w:val="20"/>
          <w:szCs w:val="20"/>
          <w:lang w:val="es-ES_tradnl"/>
        </w:rPr>
        <w:t>Sirpi</w:t>
      </w:r>
      <w:proofErr w:type="spellEnd"/>
      <w:r w:rsidRPr="007865FC">
        <w:rPr>
          <w:rFonts w:ascii="Verdana" w:eastAsia="Times" w:hAnsi="Verdana"/>
          <w:sz w:val="20"/>
          <w:szCs w:val="20"/>
          <w:lang w:val="es-ES_tradnl"/>
        </w:rPr>
        <w:t xml:space="preserve">; </w:t>
      </w:r>
      <w:proofErr w:type="spellStart"/>
      <w:r w:rsidRPr="007865FC">
        <w:rPr>
          <w:rFonts w:ascii="Verdana" w:eastAsia="Times" w:hAnsi="Verdana"/>
          <w:sz w:val="20"/>
          <w:szCs w:val="20"/>
          <w:lang w:val="es-ES_tradnl"/>
        </w:rPr>
        <w:t>ii</w:t>
      </w:r>
      <w:proofErr w:type="spellEnd"/>
      <w:r w:rsidRPr="007865FC">
        <w:rPr>
          <w:rFonts w:ascii="Verdana" w:eastAsia="Times" w:hAnsi="Verdana"/>
          <w:sz w:val="20"/>
          <w:szCs w:val="20"/>
          <w:lang w:val="es-ES_tradnl"/>
        </w:rPr>
        <w:t xml:space="preserve">) establecer una instancia u órgano que </w:t>
      </w:r>
      <w:r w:rsidRPr="007865FC">
        <w:rPr>
          <w:rFonts w:ascii="Verdana" w:hAnsi="Verdana"/>
          <w:sz w:val="20"/>
          <w:szCs w:val="20"/>
          <w:lang w:val="es-GT"/>
        </w:rPr>
        <w:t>diagnostique las fuentes del conflicto y proponga las posibles vías de pacificación y solución del conflicto, y iii) presentar un informe completo y pormenorizado sobre las actuaciones realizadas para dar cumplimiento a las medidas provisionales decretadas</w:t>
      </w:r>
      <w:r w:rsidRPr="007865FC">
        <w:rPr>
          <w:rStyle w:val="Refdenotaalpie"/>
          <w:rFonts w:ascii="Verdana" w:hAnsi="Verdana"/>
          <w:sz w:val="20"/>
          <w:szCs w:val="20"/>
          <w:lang w:val="es-GT"/>
        </w:rPr>
        <w:footnoteReference w:id="1"/>
      </w:r>
      <w:r w:rsidRPr="007865FC">
        <w:rPr>
          <w:rFonts w:ascii="Verdana" w:hAnsi="Verdana"/>
          <w:sz w:val="20"/>
          <w:szCs w:val="20"/>
          <w:lang w:val="es-GT"/>
        </w:rPr>
        <w:t xml:space="preserve">. </w:t>
      </w:r>
    </w:p>
    <w:p w14:paraId="3DB9E61C" w14:textId="77777777" w:rsidR="002F7DE6" w:rsidRPr="007865FC" w:rsidRDefault="002F7DE6" w:rsidP="00E604E5">
      <w:pPr>
        <w:tabs>
          <w:tab w:val="left" w:pos="0"/>
        </w:tabs>
        <w:spacing w:after="0" w:line="240" w:lineRule="auto"/>
        <w:ind w:right="18"/>
        <w:jc w:val="both"/>
        <w:rPr>
          <w:rFonts w:ascii="Verdana" w:hAnsi="Verdana"/>
          <w:spacing w:val="-4"/>
          <w:sz w:val="20"/>
          <w:szCs w:val="20"/>
          <w:lang w:val="es-MX"/>
        </w:rPr>
      </w:pPr>
    </w:p>
    <w:p w14:paraId="1FBD9332" w14:textId="58A1F52B" w:rsidR="002F7DE6" w:rsidRPr="007865FC" w:rsidRDefault="002F7DE6" w:rsidP="00E604E5">
      <w:pPr>
        <w:numPr>
          <w:ilvl w:val="0"/>
          <w:numId w:val="9"/>
        </w:numPr>
        <w:tabs>
          <w:tab w:val="left" w:pos="0"/>
        </w:tabs>
        <w:spacing w:after="0" w:line="240" w:lineRule="auto"/>
        <w:ind w:left="0" w:right="18" w:firstLine="0"/>
        <w:jc w:val="both"/>
        <w:rPr>
          <w:rFonts w:ascii="Verdana" w:hAnsi="Verdana"/>
          <w:spacing w:val="-4"/>
          <w:sz w:val="20"/>
          <w:szCs w:val="20"/>
          <w:lang w:val="es-MX"/>
        </w:rPr>
      </w:pPr>
      <w:r w:rsidRPr="007865FC">
        <w:rPr>
          <w:rFonts w:ascii="Verdana" w:hAnsi="Verdana"/>
          <w:spacing w:val="-4"/>
          <w:sz w:val="20"/>
          <w:szCs w:val="20"/>
          <w:lang w:val="es-MX"/>
        </w:rPr>
        <w:t xml:space="preserve">Las Resoluciones de 23 de </w:t>
      </w:r>
      <w:r w:rsidR="00DF0642" w:rsidRPr="007865FC">
        <w:rPr>
          <w:rFonts w:ascii="Verdana" w:hAnsi="Verdana"/>
          <w:spacing w:val="-4"/>
          <w:sz w:val="20"/>
          <w:szCs w:val="20"/>
          <w:lang w:val="es-MX"/>
        </w:rPr>
        <w:t>noviembre de 2016, 30 de junio</w:t>
      </w:r>
      <w:r w:rsidR="00DF7AE8">
        <w:rPr>
          <w:rFonts w:ascii="Verdana" w:hAnsi="Verdana"/>
          <w:spacing w:val="-4"/>
          <w:sz w:val="20"/>
          <w:szCs w:val="20"/>
          <w:lang w:val="es-MX"/>
        </w:rPr>
        <w:t xml:space="preserve"> de 2017</w:t>
      </w:r>
      <w:r w:rsidR="00DF0642" w:rsidRPr="007865FC">
        <w:rPr>
          <w:rFonts w:ascii="Verdana" w:hAnsi="Verdana"/>
          <w:spacing w:val="-4"/>
          <w:sz w:val="20"/>
          <w:szCs w:val="20"/>
          <w:lang w:val="es-MX"/>
        </w:rPr>
        <w:t>,</w:t>
      </w:r>
      <w:r w:rsidRPr="007865FC">
        <w:rPr>
          <w:rFonts w:ascii="Verdana" w:hAnsi="Verdana"/>
          <w:spacing w:val="-4"/>
          <w:sz w:val="20"/>
          <w:szCs w:val="20"/>
          <w:lang w:val="es-MX"/>
        </w:rPr>
        <w:t xml:space="preserve"> 22 de agosto de 2017, </w:t>
      </w:r>
      <w:r w:rsidR="00DF0642" w:rsidRPr="007865FC">
        <w:rPr>
          <w:rFonts w:ascii="Verdana" w:hAnsi="Verdana"/>
          <w:spacing w:val="-4"/>
          <w:sz w:val="20"/>
          <w:szCs w:val="20"/>
          <w:lang w:val="es-MX"/>
        </w:rPr>
        <w:t xml:space="preserve">y 23 de agosto de 2018, </w:t>
      </w:r>
      <w:r w:rsidRPr="007865FC">
        <w:rPr>
          <w:rFonts w:ascii="Verdana" w:hAnsi="Verdana"/>
          <w:spacing w:val="-4"/>
          <w:sz w:val="20"/>
          <w:szCs w:val="20"/>
          <w:lang w:val="es-MX"/>
        </w:rPr>
        <w:t xml:space="preserve">mediante las cuales la Corte resolvió, respectivamente, </w:t>
      </w:r>
      <w:r w:rsidRPr="007865FC">
        <w:rPr>
          <w:rFonts w:ascii="Verdana" w:hAnsi="Verdana"/>
          <w:i/>
          <w:spacing w:val="-4"/>
          <w:sz w:val="20"/>
          <w:szCs w:val="20"/>
          <w:lang w:val="es-MX"/>
        </w:rPr>
        <w:t xml:space="preserve">inter </w:t>
      </w:r>
      <w:proofErr w:type="spellStart"/>
      <w:r w:rsidRPr="007865FC">
        <w:rPr>
          <w:rFonts w:ascii="Verdana" w:hAnsi="Verdana"/>
          <w:i/>
          <w:spacing w:val="-4"/>
          <w:sz w:val="20"/>
          <w:szCs w:val="20"/>
          <w:lang w:val="es-MX"/>
        </w:rPr>
        <w:t>alia</w:t>
      </w:r>
      <w:proofErr w:type="spellEnd"/>
      <w:r w:rsidR="00F70F05" w:rsidRPr="007865FC">
        <w:rPr>
          <w:rFonts w:ascii="Verdana" w:hAnsi="Verdana"/>
          <w:i/>
          <w:spacing w:val="-4"/>
          <w:sz w:val="20"/>
          <w:szCs w:val="20"/>
          <w:lang w:val="es-MX"/>
        </w:rPr>
        <w:t xml:space="preserve">, </w:t>
      </w:r>
      <w:r w:rsidR="00F70F05" w:rsidRPr="007865FC">
        <w:rPr>
          <w:rFonts w:ascii="Verdana" w:hAnsi="Verdana"/>
          <w:spacing w:val="-4"/>
          <w:sz w:val="20"/>
          <w:szCs w:val="20"/>
          <w:lang w:val="es-MX"/>
        </w:rPr>
        <w:t>lo siguiente</w:t>
      </w:r>
      <w:r w:rsidRPr="007865FC">
        <w:rPr>
          <w:rFonts w:ascii="Verdana" w:hAnsi="Verdana"/>
          <w:spacing w:val="-4"/>
          <w:sz w:val="20"/>
          <w:szCs w:val="20"/>
          <w:lang w:val="es-MX"/>
        </w:rPr>
        <w:t xml:space="preserve">: i) ampliar las </w:t>
      </w:r>
      <w:r w:rsidRPr="007865FC">
        <w:rPr>
          <w:rFonts w:ascii="Verdana" w:eastAsia="MS Mincho" w:hAnsi="Verdana"/>
          <w:sz w:val="20"/>
          <w:szCs w:val="20"/>
          <w:lang w:val="es-VE"/>
        </w:rPr>
        <w:t>medidas</w:t>
      </w:r>
      <w:r w:rsidRPr="007865FC">
        <w:rPr>
          <w:rFonts w:ascii="Verdana" w:hAnsi="Verdana"/>
          <w:spacing w:val="-4"/>
          <w:sz w:val="20"/>
          <w:szCs w:val="20"/>
          <w:lang w:val="es-MX"/>
        </w:rPr>
        <w:t xml:space="preserve"> provisionales de forma que se incluya a los miembros del pueblo indígena </w:t>
      </w:r>
      <w:proofErr w:type="spellStart"/>
      <w:r w:rsidRPr="007865FC">
        <w:rPr>
          <w:rFonts w:ascii="Verdana" w:hAnsi="Verdana"/>
          <w:spacing w:val="-4"/>
          <w:sz w:val="20"/>
          <w:szCs w:val="20"/>
          <w:lang w:val="es-MX"/>
        </w:rPr>
        <w:t>Miskitu</w:t>
      </w:r>
      <w:proofErr w:type="spellEnd"/>
      <w:r w:rsidRPr="007865FC">
        <w:rPr>
          <w:rFonts w:ascii="Verdana" w:hAnsi="Verdana"/>
          <w:spacing w:val="-4"/>
          <w:sz w:val="20"/>
          <w:szCs w:val="20"/>
          <w:lang w:val="es-MX"/>
        </w:rPr>
        <w:t xml:space="preserve"> que habitan en la </w:t>
      </w:r>
      <w:r w:rsidRPr="007865FC">
        <w:rPr>
          <w:rFonts w:ascii="Verdana" w:hAnsi="Verdana"/>
          <w:i/>
          <w:spacing w:val="-4"/>
          <w:sz w:val="20"/>
          <w:szCs w:val="20"/>
          <w:lang w:val="es-MX"/>
        </w:rPr>
        <w:t xml:space="preserve">Comunidad Esperanza Río Coco </w:t>
      </w:r>
      <w:r w:rsidRPr="007865FC">
        <w:rPr>
          <w:rFonts w:ascii="Verdana" w:hAnsi="Verdana"/>
          <w:spacing w:val="-4"/>
          <w:sz w:val="20"/>
          <w:szCs w:val="20"/>
          <w:lang w:val="es-MX"/>
        </w:rPr>
        <w:t xml:space="preserve">y </w:t>
      </w:r>
      <w:r w:rsidRPr="007865FC">
        <w:rPr>
          <w:rFonts w:ascii="Verdana" w:hAnsi="Verdana"/>
          <w:i/>
          <w:spacing w:val="-4"/>
          <w:sz w:val="20"/>
          <w:szCs w:val="20"/>
          <w:lang w:val="es-MX"/>
        </w:rPr>
        <w:t>Comunidad Esperanza Río Wawa</w:t>
      </w:r>
      <w:r w:rsidRPr="007865FC">
        <w:rPr>
          <w:rFonts w:ascii="Verdana" w:hAnsi="Verdana"/>
          <w:spacing w:val="-4"/>
          <w:sz w:val="20"/>
          <w:szCs w:val="20"/>
          <w:lang w:val="es-MX"/>
        </w:rPr>
        <w:t>, así como a las personas que presuntamente hayan tenido que abandonar dicha comunidad y deseen r</w:t>
      </w:r>
      <w:r w:rsidR="00DF0642" w:rsidRPr="007865FC">
        <w:rPr>
          <w:rFonts w:ascii="Verdana" w:hAnsi="Verdana"/>
          <w:spacing w:val="-4"/>
          <w:sz w:val="20"/>
          <w:szCs w:val="20"/>
          <w:lang w:val="es-MX"/>
        </w:rPr>
        <w:t>egresar,</w:t>
      </w:r>
      <w:r w:rsidRPr="007865FC">
        <w:rPr>
          <w:rFonts w:ascii="Verdana" w:hAnsi="Verdana"/>
          <w:spacing w:val="-4"/>
          <w:sz w:val="20"/>
          <w:szCs w:val="20"/>
          <w:lang w:val="es-MX"/>
        </w:rPr>
        <w:t xml:space="preserve"> ii) </w:t>
      </w:r>
      <w:r w:rsidR="00F70F05" w:rsidRPr="007865FC">
        <w:rPr>
          <w:rFonts w:ascii="Verdana" w:hAnsi="Verdana"/>
          <w:spacing w:val="-4"/>
          <w:sz w:val="20"/>
          <w:szCs w:val="20"/>
          <w:lang w:val="es-MX"/>
        </w:rPr>
        <w:t>solicitar</w:t>
      </w:r>
      <w:r w:rsidRPr="007865FC">
        <w:rPr>
          <w:rFonts w:ascii="Verdana" w:hAnsi="Verdana"/>
          <w:spacing w:val="-4"/>
          <w:sz w:val="20"/>
          <w:szCs w:val="20"/>
          <w:lang w:val="es-MX"/>
        </w:rPr>
        <w:t xml:space="preserve"> al Estado que incluya a estas comunidades en el diagnóstico sobre la situación actual de riesgo de las comunidades referentes en el informe ante la Corte</w:t>
      </w:r>
      <w:r w:rsidR="00DF0642" w:rsidRPr="007865FC">
        <w:rPr>
          <w:rFonts w:ascii="Verdana" w:hAnsi="Verdana"/>
          <w:spacing w:val="-4"/>
          <w:sz w:val="20"/>
          <w:szCs w:val="20"/>
          <w:lang w:val="es-MX"/>
        </w:rPr>
        <w:t xml:space="preserve">, y iii) </w:t>
      </w:r>
      <w:r w:rsidR="00DF0642" w:rsidRPr="007865FC">
        <w:rPr>
          <w:rFonts w:ascii="Verdana" w:hAnsi="Verdana"/>
          <w:sz w:val="20"/>
          <w:szCs w:val="20"/>
          <w:lang w:val="es-DO"/>
        </w:rPr>
        <w:t xml:space="preserve">ampliar las medidas provisionales de manera tal que incluyan a los señores </w:t>
      </w:r>
      <w:proofErr w:type="spellStart"/>
      <w:r w:rsidR="00DF0642" w:rsidRPr="007865FC">
        <w:rPr>
          <w:rFonts w:ascii="Verdana" w:hAnsi="Verdana"/>
          <w:sz w:val="20"/>
          <w:szCs w:val="20"/>
          <w:lang w:val="es-DO"/>
        </w:rPr>
        <w:t>Lottie</w:t>
      </w:r>
      <w:proofErr w:type="spellEnd"/>
      <w:r w:rsidR="003A22E5" w:rsidRPr="007865FC">
        <w:rPr>
          <w:rFonts w:ascii="Verdana" w:hAnsi="Verdana"/>
          <w:sz w:val="20"/>
          <w:szCs w:val="20"/>
          <w:lang w:val="es-DO"/>
        </w:rPr>
        <w:t xml:space="preserve"> Cunningham</w:t>
      </w:r>
      <w:r w:rsidR="002D18B3" w:rsidRPr="007865FC">
        <w:rPr>
          <w:rFonts w:ascii="Verdana" w:hAnsi="Verdana"/>
          <w:sz w:val="20"/>
          <w:szCs w:val="20"/>
          <w:lang w:val="es-DO"/>
        </w:rPr>
        <w:t xml:space="preserve"> </w:t>
      </w:r>
      <w:proofErr w:type="spellStart"/>
      <w:r w:rsidR="002D18B3" w:rsidRPr="007865FC">
        <w:rPr>
          <w:rFonts w:ascii="Verdana" w:hAnsi="Verdana"/>
          <w:sz w:val="20"/>
          <w:szCs w:val="20"/>
          <w:lang w:val="es-DO"/>
        </w:rPr>
        <w:t>Wrem</w:t>
      </w:r>
      <w:proofErr w:type="spellEnd"/>
      <w:r w:rsidR="002D18B3" w:rsidRPr="007865FC">
        <w:rPr>
          <w:rFonts w:ascii="Verdana" w:hAnsi="Verdana"/>
          <w:sz w:val="20"/>
          <w:szCs w:val="20"/>
          <w:lang w:val="es-DO"/>
        </w:rPr>
        <w:t xml:space="preserve"> y José Medrano </w:t>
      </w:r>
      <w:r w:rsidR="00DF0642" w:rsidRPr="007865FC">
        <w:rPr>
          <w:rFonts w:ascii="Verdana" w:hAnsi="Verdana"/>
          <w:sz w:val="20"/>
          <w:szCs w:val="20"/>
          <w:lang w:val="es-DO"/>
        </w:rPr>
        <w:t>Coleman</w:t>
      </w:r>
      <w:r w:rsidR="00720642" w:rsidRPr="007865FC">
        <w:rPr>
          <w:rStyle w:val="Refdenotaalpie"/>
          <w:rFonts w:ascii="Verdana" w:hAnsi="Verdana"/>
          <w:spacing w:val="-4"/>
          <w:sz w:val="20"/>
          <w:szCs w:val="20"/>
          <w:lang w:val="es-MX"/>
        </w:rPr>
        <w:footnoteReference w:id="2"/>
      </w:r>
      <w:r w:rsidRPr="007865FC">
        <w:rPr>
          <w:rFonts w:ascii="Verdana" w:hAnsi="Verdana"/>
          <w:spacing w:val="-4"/>
          <w:sz w:val="20"/>
          <w:szCs w:val="20"/>
          <w:lang w:val="es-MX"/>
        </w:rPr>
        <w:t xml:space="preserve">. </w:t>
      </w:r>
    </w:p>
    <w:p w14:paraId="7D8C1334" w14:textId="77777777" w:rsidR="00595891" w:rsidRPr="007865FC" w:rsidRDefault="00595891" w:rsidP="00E604E5">
      <w:pPr>
        <w:tabs>
          <w:tab w:val="left" w:pos="0"/>
        </w:tabs>
        <w:spacing w:after="0" w:line="240" w:lineRule="auto"/>
        <w:ind w:right="18"/>
        <w:jc w:val="both"/>
        <w:rPr>
          <w:rFonts w:ascii="Verdana" w:hAnsi="Verdana"/>
          <w:spacing w:val="-4"/>
          <w:sz w:val="20"/>
          <w:szCs w:val="20"/>
          <w:lang w:val="es-MX"/>
        </w:rPr>
      </w:pPr>
    </w:p>
    <w:p w14:paraId="4A00A90E" w14:textId="32F183A9" w:rsidR="00DB41DD" w:rsidRPr="007865FC" w:rsidRDefault="00897173" w:rsidP="00DB41DD">
      <w:pPr>
        <w:numPr>
          <w:ilvl w:val="0"/>
          <w:numId w:val="9"/>
        </w:numPr>
        <w:tabs>
          <w:tab w:val="left" w:pos="0"/>
        </w:tabs>
        <w:spacing w:after="0" w:line="240" w:lineRule="auto"/>
        <w:ind w:left="0" w:right="18" w:firstLine="0"/>
        <w:jc w:val="both"/>
        <w:rPr>
          <w:rFonts w:ascii="Verdana" w:hAnsi="Verdana"/>
          <w:spacing w:val="-4"/>
          <w:sz w:val="20"/>
          <w:szCs w:val="20"/>
          <w:lang w:val="es-MX"/>
        </w:rPr>
      </w:pPr>
      <w:r w:rsidRPr="007865FC">
        <w:rPr>
          <w:rFonts w:ascii="Verdana" w:hAnsi="Verdana"/>
          <w:sz w:val="20"/>
          <w:szCs w:val="20"/>
          <w:lang w:val="es-DO"/>
        </w:rPr>
        <w:t xml:space="preserve">La comunicación de 6 de septiembre de 2019, mediante la cual la Comisión presentó una solicitud de ampliación de medidas provisionales conforme al artículo 63.2 de la Convención Americana sobre Derechos Humanos (en adelante “la Convención Americana” o “la Convención”) y los artículos 27.1 y 27.2 del Reglamento de la Corte, a fin de “proteger y garantizar la vida, integridad personal y territorial e identidad cultural en favor los miembros </w:t>
      </w:r>
      <w:r w:rsidR="00350A52" w:rsidRPr="007865FC">
        <w:rPr>
          <w:rFonts w:ascii="Verdana" w:hAnsi="Verdana"/>
          <w:sz w:val="20"/>
          <w:szCs w:val="20"/>
          <w:lang w:val="es-DO"/>
        </w:rPr>
        <w:lastRenderedPageBreak/>
        <w:t>de la Comunidad de Santa Clara”,</w:t>
      </w:r>
      <w:r w:rsidRPr="007865FC">
        <w:rPr>
          <w:rFonts w:ascii="Verdana" w:hAnsi="Verdana"/>
          <w:sz w:val="20"/>
          <w:szCs w:val="20"/>
          <w:lang w:val="es-DO"/>
        </w:rPr>
        <w:t xml:space="preserve"> </w:t>
      </w:r>
      <w:r w:rsidR="00350A52" w:rsidRPr="007865FC">
        <w:rPr>
          <w:rFonts w:ascii="Verdana" w:hAnsi="Verdana"/>
          <w:sz w:val="20"/>
          <w:szCs w:val="20"/>
          <w:lang w:val="es-DO"/>
        </w:rPr>
        <w:t xml:space="preserve">así como </w:t>
      </w:r>
      <w:r w:rsidR="00350A52" w:rsidRPr="007865FC">
        <w:rPr>
          <w:rFonts w:ascii="Verdana" w:hAnsi="Verdana"/>
          <w:spacing w:val="-4"/>
          <w:sz w:val="20"/>
          <w:szCs w:val="20"/>
          <w:lang w:val="es-MX"/>
        </w:rPr>
        <w:t>l</w:t>
      </w:r>
      <w:r w:rsidR="00DB41DD" w:rsidRPr="007865FC">
        <w:rPr>
          <w:rFonts w:ascii="Verdana" w:hAnsi="Verdana"/>
          <w:spacing w:val="-4"/>
          <w:sz w:val="20"/>
          <w:szCs w:val="20"/>
          <w:lang w:val="es-MX"/>
        </w:rPr>
        <w:t>a comunicación de</w:t>
      </w:r>
      <w:r w:rsidR="001D7BCC">
        <w:rPr>
          <w:rFonts w:ascii="Verdana" w:hAnsi="Verdana"/>
          <w:spacing w:val="-4"/>
          <w:sz w:val="20"/>
          <w:szCs w:val="20"/>
          <w:lang w:val="es-MX"/>
        </w:rPr>
        <w:t xml:space="preserve"> 3 de octubre y</w:t>
      </w:r>
      <w:r w:rsidR="00DB41DD" w:rsidRPr="007865FC">
        <w:rPr>
          <w:rFonts w:ascii="Verdana" w:hAnsi="Verdana"/>
          <w:spacing w:val="-4"/>
          <w:sz w:val="20"/>
          <w:szCs w:val="20"/>
          <w:lang w:val="es-MX"/>
        </w:rPr>
        <w:t xml:space="preserve"> 9 de octubre de 2019, mediante la cual la Comisión</w:t>
      </w:r>
      <w:r w:rsidR="001D7BCC">
        <w:rPr>
          <w:rFonts w:ascii="Verdana" w:hAnsi="Verdana"/>
          <w:spacing w:val="-4"/>
          <w:sz w:val="20"/>
          <w:szCs w:val="20"/>
          <w:lang w:val="es-MX"/>
        </w:rPr>
        <w:t xml:space="preserve"> y los representantes presentaron información adicional sobre hechos de riesgo supervinientes</w:t>
      </w:r>
      <w:r w:rsidR="00DB41DD" w:rsidRPr="007865FC">
        <w:rPr>
          <w:rFonts w:ascii="Verdana" w:hAnsi="Verdana"/>
          <w:spacing w:val="-4"/>
          <w:sz w:val="20"/>
          <w:szCs w:val="20"/>
          <w:lang w:val="es-MX"/>
        </w:rPr>
        <w:t xml:space="preserve"> respecto a los integrantes de</w:t>
      </w:r>
      <w:r w:rsidR="00874F04">
        <w:rPr>
          <w:rFonts w:ascii="Verdana" w:hAnsi="Verdana"/>
          <w:spacing w:val="-4"/>
          <w:sz w:val="20"/>
          <w:szCs w:val="20"/>
          <w:lang w:val="es-MX"/>
        </w:rPr>
        <w:t xml:space="preserve"> la comunidad Santa Clara. </w:t>
      </w:r>
    </w:p>
    <w:p w14:paraId="295BCB8B" w14:textId="77777777" w:rsidR="00262191" w:rsidRPr="007865FC" w:rsidRDefault="00262191" w:rsidP="00E604E5">
      <w:pPr>
        <w:tabs>
          <w:tab w:val="left" w:pos="0"/>
        </w:tabs>
        <w:spacing w:after="0" w:line="240" w:lineRule="auto"/>
        <w:ind w:right="18"/>
        <w:jc w:val="both"/>
        <w:rPr>
          <w:rFonts w:ascii="Verdana" w:hAnsi="Verdana"/>
          <w:spacing w:val="-4"/>
          <w:sz w:val="20"/>
          <w:szCs w:val="20"/>
          <w:lang w:val="es-MX"/>
        </w:rPr>
      </w:pPr>
    </w:p>
    <w:p w14:paraId="48033CE1" w14:textId="0A2F01BA" w:rsidR="008F62D9" w:rsidRPr="00D157E8" w:rsidRDefault="00A60B40" w:rsidP="008F62D9">
      <w:pPr>
        <w:numPr>
          <w:ilvl w:val="0"/>
          <w:numId w:val="9"/>
        </w:numPr>
        <w:tabs>
          <w:tab w:val="left" w:pos="0"/>
        </w:tabs>
        <w:spacing w:after="0" w:line="240" w:lineRule="auto"/>
        <w:ind w:left="0" w:right="18" w:firstLine="0"/>
        <w:jc w:val="both"/>
        <w:rPr>
          <w:rFonts w:ascii="Verdana" w:hAnsi="Verdana"/>
          <w:spacing w:val="-4"/>
          <w:sz w:val="20"/>
          <w:szCs w:val="20"/>
          <w:lang w:val="es-MX"/>
        </w:rPr>
      </w:pPr>
      <w:r w:rsidRPr="00D157E8">
        <w:rPr>
          <w:rFonts w:ascii="Verdana" w:hAnsi="Verdana"/>
          <w:sz w:val="20"/>
          <w:szCs w:val="20"/>
          <w:lang w:val="es-MX"/>
        </w:rPr>
        <w:t>L</w:t>
      </w:r>
      <w:r w:rsidR="00220609" w:rsidRPr="00D157E8">
        <w:rPr>
          <w:rFonts w:ascii="Verdana" w:hAnsi="Verdana"/>
          <w:sz w:val="20"/>
          <w:szCs w:val="20"/>
          <w:lang w:val="es-MX"/>
        </w:rPr>
        <w:t xml:space="preserve">a comunicación </w:t>
      </w:r>
      <w:r w:rsidR="00874F04" w:rsidRPr="00D157E8">
        <w:rPr>
          <w:rFonts w:ascii="Verdana" w:hAnsi="Verdana"/>
          <w:sz w:val="20"/>
          <w:szCs w:val="20"/>
          <w:lang w:val="es-MX"/>
        </w:rPr>
        <w:t>d</w:t>
      </w:r>
      <w:r w:rsidR="00220609" w:rsidRPr="00D157E8">
        <w:rPr>
          <w:rFonts w:ascii="Verdana" w:hAnsi="Verdana"/>
          <w:spacing w:val="-4"/>
          <w:sz w:val="20"/>
          <w:szCs w:val="20"/>
          <w:lang w:val="es-MX"/>
        </w:rPr>
        <w:t>e 24 de octubre de 2019</w:t>
      </w:r>
      <w:r w:rsidR="004A2797" w:rsidRPr="00D157E8">
        <w:rPr>
          <w:rFonts w:ascii="Verdana" w:hAnsi="Verdana"/>
          <w:spacing w:val="-4"/>
          <w:sz w:val="20"/>
          <w:szCs w:val="20"/>
          <w:lang w:val="es-MX"/>
        </w:rPr>
        <w:t>,</w:t>
      </w:r>
      <w:r w:rsidR="00220609" w:rsidRPr="00D157E8">
        <w:rPr>
          <w:rFonts w:ascii="Verdana" w:hAnsi="Verdana"/>
          <w:spacing w:val="-4"/>
          <w:sz w:val="20"/>
          <w:szCs w:val="20"/>
          <w:lang w:val="es-MX"/>
        </w:rPr>
        <w:t xml:space="preserve"> en</w:t>
      </w:r>
      <w:r w:rsidR="00874F04" w:rsidRPr="00D157E8">
        <w:rPr>
          <w:rFonts w:ascii="Verdana" w:hAnsi="Verdana"/>
          <w:spacing w:val="-4"/>
          <w:sz w:val="20"/>
          <w:szCs w:val="20"/>
          <w:lang w:val="es-MX"/>
        </w:rPr>
        <w:t xml:space="preserve"> la cual el Estado se pronunció sobre la solicitud de la Comisión de 6 de septiembre de 2019.</w:t>
      </w:r>
    </w:p>
    <w:p w14:paraId="4DDB6BC6" w14:textId="77777777" w:rsidR="00955926" w:rsidRPr="007865FC" w:rsidRDefault="00955926" w:rsidP="00E604E5">
      <w:pPr>
        <w:tabs>
          <w:tab w:val="left" w:pos="0"/>
        </w:tabs>
        <w:spacing w:after="0" w:line="240" w:lineRule="auto"/>
        <w:ind w:right="18"/>
        <w:jc w:val="both"/>
        <w:rPr>
          <w:rFonts w:ascii="Verdana" w:hAnsi="Verdana"/>
          <w:sz w:val="20"/>
          <w:szCs w:val="20"/>
          <w:lang w:val="es-DO"/>
        </w:rPr>
      </w:pPr>
    </w:p>
    <w:p w14:paraId="75C260A5" w14:textId="77777777" w:rsidR="0038765A" w:rsidRPr="007865FC" w:rsidRDefault="0038765A" w:rsidP="00E604E5">
      <w:pPr>
        <w:tabs>
          <w:tab w:val="left" w:pos="567"/>
        </w:tabs>
        <w:spacing w:after="0" w:line="240" w:lineRule="auto"/>
        <w:jc w:val="both"/>
        <w:rPr>
          <w:rFonts w:ascii="Verdana" w:hAnsi="Verdana"/>
          <w:b/>
          <w:spacing w:val="-4"/>
          <w:sz w:val="20"/>
          <w:szCs w:val="20"/>
          <w:lang w:val="es-MX"/>
        </w:rPr>
      </w:pPr>
      <w:r w:rsidRPr="007865FC">
        <w:rPr>
          <w:rFonts w:ascii="Verdana" w:hAnsi="Verdana"/>
          <w:b/>
          <w:spacing w:val="-4"/>
          <w:sz w:val="20"/>
          <w:szCs w:val="20"/>
          <w:lang w:val="es-MX"/>
        </w:rPr>
        <w:t xml:space="preserve">CONSIDERANDO QUE: </w:t>
      </w:r>
    </w:p>
    <w:p w14:paraId="3D02925A" w14:textId="77777777" w:rsidR="0038765A" w:rsidRPr="007865FC" w:rsidRDefault="0038765A" w:rsidP="00E604E5">
      <w:pPr>
        <w:tabs>
          <w:tab w:val="left" w:pos="567"/>
        </w:tabs>
        <w:spacing w:after="0" w:line="240" w:lineRule="auto"/>
        <w:jc w:val="both"/>
        <w:rPr>
          <w:rFonts w:ascii="Verdana" w:hAnsi="Verdana"/>
          <w:b/>
          <w:spacing w:val="-4"/>
          <w:sz w:val="20"/>
          <w:szCs w:val="20"/>
          <w:lang w:val="es-MX"/>
        </w:rPr>
      </w:pPr>
    </w:p>
    <w:p w14:paraId="26B55CA4" w14:textId="77777777" w:rsidR="0038765A" w:rsidRPr="007865FC" w:rsidRDefault="0038765A"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Nicaragua ratificó la Convención Americana sobre Derechos Humanos (en adelante también “la Convención Americana” o “la Convención”) el 25 de septiembre de 1979 y, de acuerdo con su artículo 62, reconoció la competencia contenciosa de la Corte el 12 de febrero de 1991.</w:t>
      </w:r>
    </w:p>
    <w:p w14:paraId="16AFC02B" w14:textId="77777777" w:rsidR="0038765A" w:rsidRPr="007865FC" w:rsidRDefault="0038765A" w:rsidP="00E604E5">
      <w:pPr>
        <w:pStyle w:val="Prrafodelista1"/>
        <w:tabs>
          <w:tab w:val="num" w:pos="360"/>
        </w:tabs>
        <w:ind w:left="360"/>
        <w:contextualSpacing w:val="0"/>
        <w:jc w:val="both"/>
        <w:rPr>
          <w:sz w:val="20"/>
          <w:szCs w:val="20"/>
        </w:rPr>
      </w:pPr>
    </w:p>
    <w:p w14:paraId="6F6BFB20" w14:textId="77777777" w:rsidR="0038765A" w:rsidRPr="007865FC" w:rsidRDefault="0038765A"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El artículo 63.2 de la Convención establece que “[e]n casos de extrema gravedad y urgencia, y cuando se haga necesario evitar daños irreparables a las personas”, la Corte podrá tomar, a solicitud de la Comisión, las medidas provisionales que considere pertinentes en los asuntos que aún no estén sometidos a su conocimiento. Asimismo, el artículo 27.2 del Reglamento de la Corte señala que: “[s]i se tratare de asuntos aún no sometidos a su conocimiento, la Corte podrá actuar a solicitud de la Comisión”.</w:t>
      </w:r>
    </w:p>
    <w:p w14:paraId="1C8DDBBC" w14:textId="77777777" w:rsidR="0038765A" w:rsidRPr="007865FC" w:rsidRDefault="0038765A" w:rsidP="00E604E5">
      <w:pPr>
        <w:pStyle w:val="Prrafodelista1"/>
        <w:tabs>
          <w:tab w:val="left" w:pos="720"/>
        </w:tabs>
        <w:contextualSpacing w:val="0"/>
        <w:jc w:val="both"/>
        <w:rPr>
          <w:sz w:val="20"/>
          <w:szCs w:val="20"/>
        </w:rPr>
      </w:pPr>
    </w:p>
    <w:p w14:paraId="09337E5D" w14:textId="77777777" w:rsidR="0038765A" w:rsidRPr="007865FC" w:rsidRDefault="0038765A"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7865FC">
        <w:rPr>
          <w:rStyle w:val="Refdenotaalpie"/>
          <w:sz w:val="20"/>
          <w:szCs w:val="20"/>
        </w:rPr>
        <w:footnoteReference w:id="3"/>
      </w:r>
      <w:r w:rsidRPr="007865FC">
        <w:rPr>
          <w:sz w:val="20"/>
          <w:szCs w:val="20"/>
        </w:rPr>
        <w:t xml:space="preserve">. </w:t>
      </w:r>
    </w:p>
    <w:p w14:paraId="178358B4" w14:textId="77777777" w:rsidR="0038765A" w:rsidRPr="007865FC" w:rsidRDefault="0038765A" w:rsidP="00E604E5">
      <w:pPr>
        <w:pStyle w:val="Prrafodelista"/>
        <w:contextualSpacing w:val="0"/>
        <w:jc w:val="both"/>
        <w:rPr>
          <w:rFonts w:ascii="Verdana" w:hAnsi="Verdana"/>
          <w:sz w:val="20"/>
        </w:rPr>
      </w:pPr>
    </w:p>
    <w:p w14:paraId="24EEBD98" w14:textId="2BF93EAD" w:rsidR="0038765A" w:rsidRPr="007865FC" w:rsidRDefault="0038765A" w:rsidP="00E604E5">
      <w:pPr>
        <w:pStyle w:val="Prrafodelista1"/>
        <w:numPr>
          <w:ilvl w:val="0"/>
          <w:numId w:val="2"/>
        </w:numPr>
        <w:tabs>
          <w:tab w:val="clear" w:pos="1068"/>
          <w:tab w:val="left" w:pos="720"/>
        </w:tabs>
        <w:ind w:left="0" w:firstLine="0"/>
        <w:contextualSpacing w:val="0"/>
        <w:jc w:val="both"/>
        <w:rPr>
          <w:sz w:val="20"/>
          <w:szCs w:val="20"/>
          <w:lang w:val="es-CL"/>
        </w:rPr>
      </w:pPr>
      <w:r w:rsidRPr="007865FC">
        <w:rPr>
          <w:rFonts w:cs="Verdana"/>
          <w:bCs/>
          <w:sz w:val="20"/>
          <w:szCs w:val="20"/>
          <w:lang w:val="es-ES_tradnl"/>
        </w:rPr>
        <w:t>En vista de la información remitida, a continuación la Corte se pronunciará sobre</w:t>
      </w:r>
      <w:r w:rsidR="00A60B40">
        <w:rPr>
          <w:rFonts w:cs="Verdana"/>
          <w:bCs/>
          <w:sz w:val="20"/>
          <w:szCs w:val="20"/>
          <w:lang w:val="es-ES_tradnl"/>
        </w:rPr>
        <w:t xml:space="preserve"> </w:t>
      </w:r>
      <w:r w:rsidRPr="007865FC">
        <w:rPr>
          <w:rFonts w:cs="Verdana"/>
          <w:bCs/>
          <w:sz w:val="20"/>
          <w:szCs w:val="20"/>
          <w:lang w:val="es-ES_tradnl"/>
        </w:rPr>
        <w:t>la solicitud de ampliación</w:t>
      </w:r>
      <w:r w:rsidR="00F70F05" w:rsidRPr="007865FC">
        <w:rPr>
          <w:rFonts w:cs="Verdana"/>
          <w:bCs/>
          <w:sz w:val="20"/>
          <w:szCs w:val="20"/>
          <w:lang w:val="es-ES_tradnl"/>
        </w:rPr>
        <w:t xml:space="preserve"> de las medidas provisionales a</w:t>
      </w:r>
      <w:r w:rsidRPr="007865FC">
        <w:rPr>
          <w:rFonts w:cs="Verdana"/>
          <w:bCs/>
          <w:sz w:val="20"/>
          <w:szCs w:val="20"/>
          <w:lang w:val="es-ES_tradnl"/>
        </w:rPr>
        <w:t xml:space="preserve"> favor de la </w:t>
      </w:r>
      <w:r w:rsidRPr="007865FC">
        <w:rPr>
          <w:rFonts w:cs="Verdana"/>
          <w:bCs/>
          <w:i/>
          <w:sz w:val="20"/>
          <w:szCs w:val="20"/>
          <w:lang w:val="es-ES_tradnl"/>
        </w:rPr>
        <w:t xml:space="preserve">Comunidad </w:t>
      </w:r>
      <w:r w:rsidR="00E3107F" w:rsidRPr="007865FC">
        <w:rPr>
          <w:rFonts w:cs="Verdana"/>
          <w:bCs/>
          <w:i/>
          <w:sz w:val="20"/>
          <w:szCs w:val="20"/>
          <w:lang w:val="es-ES_tradnl"/>
        </w:rPr>
        <w:t>Santa Clara</w:t>
      </w:r>
      <w:r w:rsidR="004A2797">
        <w:rPr>
          <w:rFonts w:cs="Verdana"/>
          <w:bCs/>
          <w:sz w:val="20"/>
          <w:szCs w:val="20"/>
          <w:lang w:val="es-ES_tradnl"/>
        </w:rPr>
        <w:t>.</w:t>
      </w:r>
      <w:r w:rsidR="00257704">
        <w:rPr>
          <w:rFonts w:cs="Verdana"/>
          <w:bCs/>
          <w:sz w:val="20"/>
          <w:szCs w:val="20"/>
          <w:lang w:val="es-ES_tradnl"/>
        </w:rPr>
        <w:t xml:space="preserve"> Sin perjuicio de lo anterior, la Corte se pronunciará respecto del cumplimiento de las medidas provisionales en una resolución posterior.</w:t>
      </w:r>
    </w:p>
    <w:p w14:paraId="75EC3FA4" w14:textId="77777777" w:rsidR="0038765A" w:rsidRPr="007865FC" w:rsidRDefault="0038765A" w:rsidP="00E604E5">
      <w:pPr>
        <w:pStyle w:val="Prrafodelista1"/>
        <w:contextualSpacing w:val="0"/>
        <w:jc w:val="both"/>
        <w:rPr>
          <w:sz w:val="20"/>
          <w:szCs w:val="20"/>
        </w:rPr>
      </w:pPr>
    </w:p>
    <w:p w14:paraId="0352651A" w14:textId="77777777" w:rsidR="0038765A" w:rsidRPr="007865FC" w:rsidRDefault="0038765A" w:rsidP="00E604E5">
      <w:pPr>
        <w:pStyle w:val="Prrafodelista1"/>
        <w:numPr>
          <w:ilvl w:val="0"/>
          <w:numId w:val="6"/>
        </w:numPr>
        <w:contextualSpacing w:val="0"/>
        <w:jc w:val="both"/>
        <w:rPr>
          <w:b/>
          <w:i/>
          <w:sz w:val="20"/>
          <w:szCs w:val="20"/>
        </w:rPr>
      </w:pPr>
      <w:r w:rsidRPr="007865FC">
        <w:rPr>
          <w:b/>
          <w:i/>
          <w:sz w:val="20"/>
          <w:szCs w:val="20"/>
        </w:rPr>
        <w:t>Solicitud de ampliación de medidas provisionales</w:t>
      </w:r>
    </w:p>
    <w:p w14:paraId="0AFD46ED" w14:textId="77777777" w:rsidR="0038765A" w:rsidRPr="007865FC" w:rsidRDefault="0038765A" w:rsidP="00E604E5">
      <w:pPr>
        <w:pStyle w:val="Default"/>
        <w:ind w:left="360"/>
        <w:jc w:val="both"/>
        <w:rPr>
          <w:color w:val="auto"/>
          <w:sz w:val="20"/>
          <w:szCs w:val="20"/>
          <w:lang w:val="es-ES"/>
        </w:rPr>
      </w:pPr>
    </w:p>
    <w:p w14:paraId="3196B995" w14:textId="68997D6B" w:rsidR="0038765A" w:rsidRPr="007865FC" w:rsidRDefault="0038765A"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 xml:space="preserve">La </w:t>
      </w:r>
      <w:r w:rsidRPr="007865FC">
        <w:rPr>
          <w:b/>
          <w:i/>
          <w:sz w:val="20"/>
          <w:szCs w:val="20"/>
        </w:rPr>
        <w:t>Comisión</w:t>
      </w:r>
      <w:r w:rsidRPr="007865FC">
        <w:rPr>
          <w:sz w:val="20"/>
          <w:szCs w:val="20"/>
        </w:rPr>
        <w:t xml:space="preserve"> hizo del conocimiento de la Corte graves hechos ocurridos en la </w:t>
      </w:r>
      <w:r w:rsidRPr="007865FC">
        <w:rPr>
          <w:i/>
          <w:sz w:val="20"/>
          <w:szCs w:val="20"/>
        </w:rPr>
        <w:t xml:space="preserve">Comunidad </w:t>
      </w:r>
      <w:r w:rsidR="002A6DD6" w:rsidRPr="007865FC">
        <w:rPr>
          <w:i/>
          <w:sz w:val="20"/>
          <w:szCs w:val="20"/>
        </w:rPr>
        <w:t>Santa Clara</w:t>
      </w:r>
      <w:r w:rsidRPr="007865FC">
        <w:rPr>
          <w:i/>
          <w:sz w:val="20"/>
          <w:szCs w:val="20"/>
        </w:rPr>
        <w:t xml:space="preserve">, </w:t>
      </w:r>
      <w:r w:rsidRPr="007865FC">
        <w:rPr>
          <w:sz w:val="20"/>
          <w:szCs w:val="20"/>
        </w:rPr>
        <w:t xml:space="preserve">consistentes en el secuestro </w:t>
      </w:r>
      <w:r w:rsidR="00093454" w:rsidRPr="007865FC">
        <w:rPr>
          <w:sz w:val="20"/>
          <w:szCs w:val="20"/>
        </w:rPr>
        <w:t xml:space="preserve">de dos de sus pobladoras por parte de 25 hombres armados que subsiguientemente las amenazaron y </w:t>
      </w:r>
      <w:r w:rsidR="00663D79" w:rsidRPr="007865FC">
        <w:rPr>
          <w:sz w:val="20"/>
          <w:szCs w:val="20"/>
        </w:rPr>
        <w:t>forzaron</w:t>
      </w:r>
      <w:r w:rsidR="00093454" w:rsidRPr="007865FC">
        <w:rPr>
          <w:sz w:val="20"/>
          <w:szCs w:val="20"/>
        </w:rPr>
        <w:t xml:space="preserve"> a trabajar en la limpieza de cultivos</w:t>
      </w:r>
      <w:r w:rsidR="00663D79" w:rsidRPr="007865FC">
        <w:rPr>
          <w:sz w:val="20"/>
          <w:szCs w:val="20"/>
        </w:rPr>
        <w:t xml:space="preserve"> por espacio de cinco horas</w:t>
      </w:r>
      <w:r w:rsidR="00093454" w:rsidRPr="007865FC">
        <w:rPr>
          <w:sz w:val="20"/>
          <w:szCs w:val="20"/>
        </w:rPr>
        <w:t>, así como el asentamiento de terceros “colonos” en el Río Wawa que impiden el acceso a la zona</w:t>
      </w:r>
      <w:r w:rsidR="00427B98" w:rsidRPr="007865FC">
        <w:rPr>
          <w:sz w:val="20"/>
          <w:szCs w:val="20"/>
        </w:rPr>
        <w:t>,</w:t>
      </w:r>
      <w:r w:rsidR="00455BD5" w:rsidRPr="007865FC">
        <w:rPr>
          <w:sz w:val="20"/>
          <w:szCs w:val="20"/>
        </w:rPr>
        <w:t xml:space="preserve"> y </w:t>
      </w:r>
      <w:r w:rsidR="00E6749C" w:rsidRPr="007865FC">
        <w:rPr>
          <w:sz w:val="20"/>
          <w:szCs w:val="20"/>
        </w:rPr>
        <w:t>la existencia de</w:t>
      </w:r>
      <w:r w:rsidR="00455BD5" w:rsidRPr="007865FC">
        <w:rPr>
          <w:sz w:val="20"/>
          <w:szCs w:val="20"/>
        </w:rPr>
        <w:t xml:space="preserve"> amenazas y actos intimidatorios </w:t>
      </w:r>
      <w:r w:rsidR="00427B98" w:rsidRPr="007865FC">
        <w:rPr>
          <w:sz w:val="20"/>
          <w:szCs w:val="20"/>
        </w:rPr>
        <w:t xml:space="preserve">contra </w:t>
      </w:r>
      <w:r w:rsidR="00455BD5" w:rsidRPr="007865FC">
        <w:rPr>
          <w:sz w:val="20"/>
          <w:szCs w:val="20"/>
        </w:rPr>
        <w:t>dos jóvenes a manos de 20 terceros, quienes portaban armas de fuego. Todo esto,</w:t>
      </w:r>
      <w:r w:rsidRPr="007865FC">
        <w:rPr>
          <w:sz w:val="20"/>
          <w:szCs w:val="20"/>
        </w:rPr>
        <w:t xml:space="preserve"> en el contexto de reivindicación de los territorios ancestrales del pueblo indígena </w:t>
      </w:r>
      <w:proofErr w:type="spellStart"/>
      <w:r w:rsidRPr="007865FC">
        <w:rPr>
          <w:i/>
          <w:sz w:val="20"/>
          <w:szCs w:val="20"/>
        </w:rPr>
        <w:t>Miskitu</w:t>
      </w:r>
      <w:proofErr w:type="spellEnd"/>
      <w:r w:rsidRPr="007865FC">
        <w:rPr>
          <w:i/>
          <w:sz w:val="20"/>
          <w:szCs w:val="20"/>
        </w:rPr>
        <w:t xml:space="preserve"> </w:t>
      </w:r>
      <w:r w:rsidRPr="007865FC">
        <w:rPr>
          <w:sz w:val="20"/>
          <w:szCs w:val="20"/>
        </w:rPr>
        <w:t xml:space="preserve">y los procesos de saneamiento que tienen lugar en dicha zona. </w:t>
      </w:r>
    </w:p>
    <w:p w14:paraId="7E5A5E89" w14:textId="77777777" w:rsidR="0038765A" w:rsidRPr="007865FC" w:rsidRDefault="0038765A" w:rsidP="00E604E5">
      <w:pPr>
        <w:pStyle w:val="Prrafodelista"/>
        <w:contextualSpacing w:val="0"/>
        <w:jc w:val="both"/>
        <w:rPr>
          <w:rFonts w:ascii="Verdana" w:hAnsi="Verdana"/>
          <w:sz w:val="20"/>
        </w:rPr>
      </w:pPr>
    </w:p>
    <w:p w14:paraId="6BE9A16B" w14:textId="3F100B53" w:rsidR="00663D79" w:rsidRPr="007865FC" w:rsidRDefault="00E6749C" w:rsidP="00E604E5">
      <w:pPr>
        <w:pStyle w:val="Prrafodelista1"/>
        <w:numPr>
          <w:ilvl w:val="0"/>
          <w:numId w:val="2"/>
        </w:numPr>
        <w:tabs>
          <w:tab w:val="clear" w:pos="1068"/>
          <w:tab w:val="left" w:pos="720"/>
        </w:tabs>
        <w:ind w:left="0" w:firstLine="0"/>
        <w:contextualSpacing w:val="0"/>
        <w:jc w:val="both"/>
        <w:rPr>
          <w:sz w:val="20"/>
          <w:szCs w:val="20"/>
          <w:lang w:val="es-ES_tradnl"/>
        </w:rPr>
      </w:pPr>
      <w:r w:rsidRPr="007865FC">
        <w:rPr>
          <w:sz w:val="20"/>
          <w:szCs w:val="20"/>
          <w:lang w:val="es-ES_tradnl"/>
        </w:rPr>
        <w:t>L</w:t>
      </w:r>
      <w:r w:rsidR="0038765A" w:rsidRPr="007865FC">
        <w:rPr>
          <w:sz w:val="20"/>
          <w:szCs w:val="20"/>
          <w:lang w:val="es-ES_tradnl"/>
        </w:rPr>
        <w:t>a Comisión</w:t>
      </w:r>
      <w:r w:rsidRPr="007865FC">
        <w:rPr>
          <w:sz w:val="20"/>
          <w:szCs w:val="20"/>
          <w:lang w:val="es-ES_tradnl"/>
        </w:rPr>
        <w:t xml:space="preserve"> también</w:t>
      </w:r>
      <w:r w:rsidR="0038765A" w:rsidRPr="007865FC">
        <w:rPr>
          <w:sz w:val="20"/>
          <w:szCs w:val="20"/>
          <w:lang w:val="es-ES_tradnl"/>
        </w:rPr>
        <w:t xml:space="preserve"> </w:t>
      </w:r>
      <w:r w:rsidR="00427B98" w:rsidRPr="007865FC">
        <w:rPr>
          <w:sz w:val="20"/>
          <w:szCs w:val="20"/>
          <w:lang w:val="es-ES_tradnl"/>
        </w:rPr>
        <w:t>señaló</w:t>
      </w:r>
      <w:r w:rsidR="0038765A" w:rsidRPr="007865FC">
        <w:rPr>
          <w:sz w:val="20"/>
          <w:szCs w:val="20"/>
          <w:lang w:val="es-ES_tradnl"/>
        </w:rPr>
        <w:t xml:space="preserve"> que en la </w:t>
      </w:r>
      <w:r w:rsidR="0038765A" w:rsidRPr="007865FC">
        <w:rPr>
          <w:i/>
          <w:sz w:val="20"/>
          <w:szCs w:val="20"/>
          <w:lang w:val="es-ES_tradnl"/>
        </w:rPr>
        <w:t xml:space="preserve">Comunidad </w:t>
      </w:r>
      <w:r w:rsidR="00455BD5" w:rsidRPr="007865FC">
        <w:rPr>
          <w:i/>
          <w:sz w:val="20"/>
          <w:szCs w:val="20"/>
          <w:lang w:val="es-ES_tradnl"/>
        </w:rPr>
        <w:t>Santa Clara</w:t>
      </w:r>
      <w:r w:rsidR="0038765A" w:rsidRPr="007865FC">
        <w:rPr>
          <w:i/>
          <w:sz w:val="20"/>
          <w:szCs w:val="20"/>
          <w:lang w:val="es-ES_tradnl"/>
        </w:rPr>
        <w:t xml:space="preserve"> </w:t>
      </w:r>
      <w:r w:rsidR="0038765A" w:rsidRPr="007865FC">
        <w:rPr>
          <w:sz w:val="20"/>
          <w:szCs w:val="20"/>
        </w:rPr>
        <w:t xml:space="preserve">persisten los actos de agresión por parte de los “colonos”, </w:t>
      </w:r>
      <w:r w:rsidR="00427B98" w:rsidRPr="007865FC">
        <w:rPr>
          <w:sz w:val="20"/>
          <w:szCs w:val="20"/>
        </w:rPr>
        <w:t xml:space="preserve">los cuales incluyen la presencia </w:t>
      </w:r>
      <w:r w:rsidR="00663D79" w:rsidRPr="007865FC">
        <w:rPr>
          <w:sz w:val="20"/>
          <w:szCs w:val="20"/>
        </w:rPr>
        <w:t xml:space="preserve">permanente </w:t>
      </w:r>
      <w:r w:rsidR="00427B98" w:rsidRPr="007865FC">
        <w:rPr>
          <w:sz w:val="20"/>
          <w:szCs w:val="20"/>
        </w:rPr>
        <w:t xml:space="preserve">de terceros armados, </w:t>
      </w:r>
      <w:r w:rsidR="00663D79" w:rsidRPr="007865FC">
        <w:rPr>
          <w:sz w:val="20"/>
          <w:szCs w:val="20"/>
        </w:rPr>
        <w:t>quienes se han asentado en zonas aleda</w:t>
      </w:r>
      <w:r w:rsidR="00310E5B" w:rsidRPr="007865FC">
        <w:rPr>
          <w:sz w:val="20"/>
          <w:szCs w:val="20"/>
        </w:rPr>
        <w:t xml:space="preserve">ñas a la comunidad y dificultan el libre desplazamiento de los comunitarios en zonas donde tradicionalmente realizaban sus </w:t>
      </w:r>
      <w:r w:rsidR="00310E5B" w:rsidRPr="007865FC">
        <w:rPr>
          <w:sz w:val="20"/>
          <w:szCs w:val="20"/>
        </w:rPr>
        <w:lastRenderedPageBreak/>
        <w:t xml:space="preserve">actividades de pesca, caza y agricultura, la deforestación de sus tierras por parte de los “colonos”, </w:t>
      </w:r>
      <w:r w:rsidR="00663D79" w:rsidRPr="007865FC">
        <w:rPr>
          <w:sz w:val="20"/>
          <w:szCs w:val="20"/>
        </w:rPr>
        <w:t xml:space="preserve">así como </w:t>
      </w:r>
      <w:r w:rsidR="00427B98" w:rsidRPr="007865FC">
        <w:rPr>
          <w:sz w:val="20"/>
          <w:szCs w:val="20"/>
        </w:rPr>
        <w:t xml:space="preserve">el hostigamiento y amenazas a </w:t>
      </w:r>
      <w:r w:rsidR="00EB0BDA" w:rsidRPr="007865FC">
        <w:rPr>
          <w:sz w:val="20"/>
          <w:szCs w:val="20"/>
        </w:rPr>
        <w:t>miembros de la comunidad</w:t>
      </w:r>
      <w:r w:rsidR="00663D79" w:rsidRPr="007865FC">
        <w:rPr>
          <w:sz w:val="20"/>
          <w:szCs w:val="20"/>
        </w:rPr>
        <w:t xml:space="preserve"> con armas de fuego. </w:t>
      </w:r>
      <w:r w:rsidR="0038765A" w:rsidRPr="007865FC">
        <w:rPr>
          <w:sz w:val="20"/>
          <w:szCs w:val="20"/>
          <w:lang w:val="es-ES_tradnl"/>
        </w:rPr>
        <w:t xml:space="preserve">En particular, la Comisión </w:t>
      </w:r>
      <w:r w:rsidR="00663D79" w:rsidRPr="007865FC">
        <w:rPr>
          <w:sz w:val="20"/>
          <w:szCs w:val="20"/>
          <w:lang w:val="es-ES_tradnl"/>
        </w:rPr>
        <w:t xml:space="preserve">indicó que los hechos que le fueron informados por los representantes y motivaron la solicitud de ampliación de medidas provisionales a favor de </w:t>
      </w:r>
      <w:r w:rsidR="00B27B62" w:rsidRPr="007865FC">
        <w:rPr>
          <w:sz w:val="20"/>
          <w:szCs w:val="20"/>
          <w:lang w:val="es-ES_tradnl"/>
        </w:rPr>
        <w:t xml:space="preserve">los </w:t>
      </w:r>
      <w:r w:rsidR="00663D79" w:rsidRPr="007865FC">
        <w:rPr>
          <w:sz w:val="20"/>
          <w:szCs w:val="20"/>
          <w:lang w:val="es-ES_tradnl"/>
        </w:rPr>
        <w:t xml:space="preserve">miembros de la </w:t>
      </w:r>
      <w:r w:rsidR="00663D79" w:rsidRPr="007865FC">
        <w:rPr>
          <w:i/>
          <w:sz w:val="20"/>
          <w:szCs w:val="20"/>
          <w:lang w:val="es-ES_tradnl"/>
        </w:rPr>
        <w:t>Comunidad Santa Clara</w:t>
      </w:r>
      <w:r w:rsidR="00663D79" w:rsidRPr="007865FC">
        <w:rPr>
          <w:sz w:val="20"/>
          <w:szCs w:val="20"/>
          <w:lang w:val="es-ES_tradnl"/>
        </w:rPr>
        <w:t>,</w:t>
      </w:r>
      <w:r w:rsidR="00663D79" w:rsidRPr="007865FC">
        <w:rPr>
          <w:i/>
          <w:sz w:val="20"/>
          <w:szCs w:val="20"/>
          <w:lang w:val="es-ES_tradnl"/>
        </w:rPr>
        <w:t xml:space="preserve"> </w:t>
      </w:r>
      <w:r w:rsidR="00663D79" w:rsidRPr="007865FC">
        <w:rPr>
          <w:sz w:val="20"/>
          <w:szCs w:val="20"/>
          <w:lang w:val="es-ES_tradnl"/>
        </w:rPr>
        <w:t>fueron los siguientes</w:t>
      </w:r>
      <w:r w:rsidR="00B50F3E" w:rsidRPr="007865FC">
        <w:rPr>
          <w:rStyle w:val="Refdenotaalpie"/>
          <w:sz w:val="20"/>
          <w:szCs w:val="20"/>
          <w:lang w:val="es-ES_tradnl"/>
        </w:rPr>
        <w:footnoteReference w:id="4"/>
      </w:r>
      <w:r w:rsidR="00663D79" w:rsidRPr="007865FC">
        <w:rPr>
          <w:sz w:val="20"/>
          <w:szCs w:val="20"/>
          <w:lang w:val="es-ES_tradnl"/>
        </w:rPr>
        <w:t xml:space="preserve">: </w:t>
      </w:r>
    </w:p>
    <w:p w14:paraId="7CE280D3" w14:textId="77777777" w:rsidR="0038765A" w:rsidRPr="007865FC" w:rsidRDefault="0038765A" w:rsidP="00E604E5">
      <w:pPr>
        <w:pStyle w:val="Prrafodelista"/>
        <w:contextualSpacing w:val="0"/>
        <w:jc w:val="both"/>
        <w:rPr>
          <w:rFonts w:ascii="Verdana" w:hAnsi="Verdana"/>
          <w:sz w:val="20"/>
        </w:rPr>
      </w:pPr>
    </w:p>
    <w:p w14:paraId="187521B4" w14:textId="77777777" w:rsidR="00B50F3E" w:rsidRPr="00A4173B" w:rsidRDefault="0038765A" w:rsidP="00E604E5">
      <w:pPr>
        <w:pStyle w:val="Prrafodelista"/>
        <w:numPr>
          <w:ilvl w:val="0"/>
          <w:numId w:val="4"/>
        </w:numPr>
        <w:ind w:right="18"/>
        <w:contextualSpacing w:val="0"/>
        <w:jc w:val="both"/>
        <w:rPr>
          <w:rFonts w:ascii="Verdana" w:eastAsia="MS Mincho" w:hAnsi="Verdana"/>
          <w:sz w:val="18"/>
        </w:rPr>
      </w:pPr>
      <w:r w:rsidRPr="00A4173B">
        <w:rPr>
          <w:rFonts w:ascii="Verdana" w:hAnsi="Verdana"/>
          <w:sz w:val="18"/>
        </w:rPr>
        <w:t xml:space="preserve">El </w:t>
      </w:r>
      <w:r w:rsidR="00B50F3E" w:rsidRPr="00A4173B">
        <w:rPr>
          <w:rFonts w:ascii="Verdana" w:hAnsi="Verdana"/>
          <w:sz w:val="18"/>
        </w:rPr>
        <w:t>23</w:t>
      </w:r>
      <w:r w:rsidR="00E902D8" w:rsidRPr="00A4173B">
        <w:rPr>
          <w:rFonts w:ascii="Verdana" w:hAnsi="Verdana"/>
          <w:sz w:val="18"/>
        </w:rPr>
        <w:t xml:space="preserve"> de febrero de 2019, dos comunitarias de la</w:t>
      </w:r>
      <w:r w:rsidR="00E902D8" w:rsidRPr="00A4173B">
        <w:rPr>
          <w:rFonts w:ascii="Verdana" w:hAnsi="Verdana"/>
          <w:i/>
          <w:sz w:val="18"/>
        </w:rPr>
        <w:t xml:space="preserve"> Comunidad de Santa Clara</w:t>
      </w:r>
      <w:r w:rsidR="00E902D8" w:rsidRPr="00A4173B">
        <w:rPr>
          <w:rFonts w:ascii="Verdana" w:hAnsi="Verdana"/>
          <w:sz w:val="18"/>
        </w:rPr>
        <w:t xml:space="preserve">, las señoras Graciela </w:t>
      </w:r>
      <w:proofErr w:type="spellStart"/>
      <w:r w:rsidR="00E902D8" w:rsidRPr="00A4173B">
        <w:rPr>
          <w:rFonts w:ascii="Verdana" w:hAnsi="Verdana"/>
          <w:sz w:val="18"/>
        </w:rPr>
        <w:t>Guiermo</w:t>
      </w:r>
      <w:proofErr w:type="spellEnd"/>
      <w:r w:rsidR="00E902D8" w:rsidRPr="00A4173B">
        <w:rPr>
          <w:rFonts w:ascii="Verdana" w:hAnsi="Verdana"/>
          <w:sz w:val="18"/>
        </w:rPr>
        <w:t xml:space="preserve"> Velásquez y Elvia </w:t>
      </w:r>
      <w:proofErr w:type="spellStart"/>
      <w:r w:rsidR="00E902D8" w:rsidRPr="00A4173B">
        <w:rPr>
          <w:rFonts w:ascii="Verdana" w:hAnsi="Verdana"/>
          <w:sz w:val="18"/>
        </w:rPr>
        <w:t>Filamingo</w:t>
      </w:r>
      <w:proofErr w:type="spellEnd"/>
      <w:r w:rsidR="00E902D8" w:rsidRPr="00A4173B">
        <w:rPr>
          <w:rFonts w:ascii="Verdana" w:hAnsi="Verdana"/>
          <w:sz w:val="18"/>
        </w:rPr>
        <w:t xml:space="preserve"> Velásquez, habrían salido en dirección a sus parcelas en la localidad de </w:t>
      </w:r>
      <w:proofErr w:type="spellStart"/>
      <w:r w:rsidR="00E902D8" w:rsidRPr="00A4173B">
        <w:rPr>
          <w:rFonts w:ascii="Verdana" w:hAnsi="Verdana"/>
          <w:sz w:val="18"/>
        </w:rPr>
        <w:t>Kisawas</w:t>
      </w:r>
      <w:proofErr w:type="spellEnd"/>
      <w:r w:rsidR="00E902D8" w:rsidRPr="00A4173B">
        <w:rPr>
          <w:rFonts w:ascii="Verdana" w:hAnsi="Verdana"/>
          <w:sz w:val="18"/>
        </w:rPr>
        <w:t xml:space="preserve"> cuando fueron secuestradas por 25 hombres armados, quienes las llevaron a otra parcela</w:t>
      </w:r>
      <w:r w:rsidR="00564899" w:rsidRPr="00A4173B">
        <w:rPr>
          <w:rFonts w:ascii="Verdana" w:hAnsi="Verdana"/>
          <w:sz w:val="18"/>
        </w:rPr>
        <w:t>, las amenazaron</w:t>
      </w:r>
      <w:r w:rsidR="00E902D8" w:rsidRPr="00A4173B">
        <w:rPr>
          <w:rFonts w:ascii="Verdana" w:hAnsi="Verdana"/>
          <w:sz w:val="18"/>
        </w:rPr>
        <w:t xml:space="preserve"> y las forzaron </w:t>
      </w:r>
      <w:r w:rsidR="00564899" w:rsidRPr="00A4173B">
        <w:rPr>
          <w:rFonts w:ascii="Verdana" w:hAnsi="Verdana"/>
          <w:sz w:val="18"/>
        </w:rPr>
        <w:t xml:space="preserve">a trabajar en la limpieza de frijoles hasta que fueron rescatadas por su hermano. </w:t>
      </w:r>
    </w:p>
    <w:p w14:paraId="609AC464" w14:textId="77777777" w:rsidR="00564899" w:rsidRPr="00A4173B" w:rsidRDefault="00564899" w:rsidP="00E604E5">
      <w:pPr>
        <w:spacing w:after="0" w:line="240" w:lineRule="auto"/>
        <w:ind w:right="18"/>
        <w:jc w:val="both"/>
        <w:rPr>
          <w:rFonts w:ascii="Verdana" w:eastAsia="MS Mincho" w:hAnsi="Verdana"/>
          <w:sz w:val="18"/>
          <w:szCs w:val="20"/>
          <w:lang w:val="es-DO"/>
        </w:rPr>
      </w:pPr>
    </w:p>
    <w:p w14:paraId="2C6D0D8A" w14:textId="77777777" w:rsidR="00B50F3E" w:rsidRPr="00A4173B" w:rsidRDefault="00564899" w:rsidP="00E604E5">
      <w:pPr>
        <w:pStyle w:val="Prrafodelista"/>
        <w:numPr>
          <w:ilvl w:val="0"/>
          <w:numId w:val="4"/>
        </w:numPr>
        <w:ind w:right="18"/>
        <w:contextualSpacing w:val="0"/>
        <w:jc w:val="both"/>
        <w:rPr>
          <w:rFonts w:ascii="Verdana" w:eastAsia="MS Mincho" w:hAnsi="Verdana"/>
          <w:sz w:val="18"/>
        </w:rPr>
      </w:pPr>
      <w:r w:rsidRPr="00A4173B">
        <w:rPr>
          <w:rFonts w:ascii="Verdana" w:eastAsia="MS Mincho" w:hAnsi="Verdana"/>
          <w:sz w:val="18"/>
        </w:rPr>
        <w:t xml:space="preserve">El 23 de febrero de 2019, dos comunitarios de la </w:t>
      </w:r>
      <w:r w:rsidRPr="00A4173B">
        <w:rPr>
          <w:rFonts w:ascii="Verdana" w:eastAsia="MS Mincho" w:hAnsi="Verdana"/>
          <w:i/>
          <w:sz w:val="18"/>
        </w:rPr>
        <w:t>Comunidad de Santa Clara</w:t>
      </w:r>
      <w:r w:rsidRPr="00A4173B">
        <w:rPr>
          <w:rFonts w:ascii="Verdana" w:eastAsia="MS Mincho" w:hAnsi="Verdana"/>
          <w:sz w:val="18"/>
        </w:rPr>
        <w:t xml:space="preserve">, los hermanos Jessy Chico y Horacio Chico, habrían sido emboscados y amenazados por 20 hombres armados, algunos de los cuales estaban realizando carriles en las tierras comunales. </w:t>
      </w:r>
    </w:p>
    <w:p w14:paraId="6EAD3F79" w14:textId="77777777" w:rsidR="00564899" w:rsidRPr="00A4173B" w:rsidRDefault="00564899" w:rsidP="00E604E5">
      <w:pPr>
        <w:pStyle w:val="Prrafodelista"/>
        <w:ind w:right="18"/>
        <w:contextualSpacing w:val="0"/>
        <w:jc w:val="both"/>
        <w:rPr>
          <w:rFonts w:ascii="Verdana" w:eastAsia="MS Mincho" w:hAnsi="Verdana"/>
          <w:sz w:val="18"/>
        </w:rPr>
      </w:pPr>
    </w:p>
    <w:p w14:paraId="0768E4B8" w14:textId="77777777" w:rsidR="006122BF" w:rsidRPr="00A4173B" w:rsidRDefault="006122BF" w:rsidP="00E604E5">
      <w:pPr>
        <w:pStyle w:val="Prrafodelista"/>
        <w:numPr>
          <w:ilvl w:val="0"/>
          <w:numId w:val="4"/>
        </w:numPr>
        <w:ind w:right="18"/>
        <w:contextualSpacing w:val="0"/>
        <w:jc w:val="both"/>
        <w:rPr>
          <w:rFonts w:ascii="Verdana" w:eastAsia="MS Mincho" w:hAnsi="Verdana"/>
          <w:sz w:val="18"/>
        </w:rPr>
      </w:pPr>
      <w:r w:rsidRPr="00A4173B">
        <w:rPr>
          <w:rFonts w:ascii="Verdana" w:eastAsia="MS Mincho" w:hAnsi="Verdana"/>
          <w:sz w:val="18"/>
        </w:rPr>
        <w:t xml:space="preserve">El 23 de abril de 2019, los comunitarios de la </w:t>
      </w:r>
      <w:r w:rsidRPr="00A4173B">
        <w:rPr>
          <w:rFonts w:ascii="Verdana" w:eastAsia="MS Mincho" w:hAnsi="Verdana"/>
          <w:i/>
          <w:sz w:val="18"/>
        </w:rPr>
        <w:t xml:space="preserve">Comunidad Santa Clara </w:t>
      </w:r>
      <w:r w:rsidRPr="00A4173B">
        <w:rPr>
          <w:rFonts w:ascii="Verdana" w:eastAsia="MS Mincho" w:hAnsi="Verdana"/>
          <w:sz w:val="18"/>
        </w:rPr>
        <w:t xml:space="preserve">habrían informado </w:t>
      </w:r>
      <w:r w:rsidR="0004492F" w:rsidRPr="00A4173B">
        <w:rPr>
          <w:rFonts w:ascii="Verdana" w:eastAsia="MS Mincho" w:hAnsi="Verdana"/>
          <w:sz w:val="18"/>
        </w:rPr>
        <w:t>sobre el asentamiento de colonos al otro lado del R</w:t>
      </w:r>
      <w:r w:rsidR="0004492F" w:rsidRPr="00A4173B">
        <w:rPr>
          <w:rFonts w:ascii="Verdana" w:eastAsia="MS Mincho" w:hAnsi="Verdana" w:cs="Arial"/>
          <w:sz w:val="18"/>
        </w:rPr>
        <w:t xml:space="preserve">ío Wawa, quienes construyeron casas y deforestaron la zona para dedicarla a la ganadería, como consecuencia de los cual los comunitarios no pueden acceder a dicha área. </w:t>
      </w:r>
    </w:p>
    <w:p w14:paraId="5E1B1FB6" w14:textId="77777777" w:rsidR="00EA682A" w:rsidRPr="00A4173B" w:rsidRDefault="00EA682A" w:rsidP="00E604E5">
      <w:pPr>
        <w:pStyle w:val="Prrafodelista"/>
        <w:ind w:right="18"/>
        <w:contextualSpacing w:val="0"/>
        <w:jc w:val="both"/>
        <w:rPr>
          <w:rFonts w:ascii="Verdana" w:eastAsia="MS Mincho" w:hAnsi="Verdana"/>
          <w:sz w:val="18"/>
        </w:rPr>
      </w:pPr>
    </w:p>
    <w:p w14:paraId="519C8426" w14:textId="00677208" w:rsidR="006122BF" w:rsidRPr="00A4173B" w:rsidRDefault="0004492F" w:rsidP="00E604E5">
      <w:pPr>
        <w:pStyle w:val="Prrafodelista"/>
        <w:numPr>
          <w:ilvl w:val="0"/>
          <w:numId w:val="4"/>
        </w:numPr>
        <w:ind w:right="18"/>
        <w:contextualSpacing w:val="0"/>
        <w:jc w:val="both"/>
        <w:rPr>
          <w:rFonts w:ascii="Verdana" w:eastAsia="MS Mincho" w:hAnsi="Verdana"/>
          <w:sz w:val="18"/>
        </w:rPr>
      </w:pPr>
      <w:r w:rsidRPr="00A4173B">
        <w:rPr>
          <w:rFonts w:ascii="Verdana" w:eastAsia="MS Mincho" w:hAnsi="Verdana"/>
          <w:sz w:val="18"/>
        </w:rPr>
        <w:t xml:space="preserve">El 3 de julio de 2019, </w:t>
      </w:r>
      <w:r w:rsidR="00EA682A" w:rsidRPr="00A4173B">
        <w:rPr>
          <w:rFonts w:ascii="Verdana" w:eastAsia="MS Mincho" w:hAnsi="Verdana"/>
          <w:sz w:val="18"/>
        </w:rPr>
        <w:t xml:space="preserve">un comunitario de la </w:t>
      </w:r>
      <w:r w:rsidR="00EA682A" w:rsidRPr="00A4173B">
        <w:rPr>
          <w:rFonts w:ascii="Verdana" w:eastAsia="MS Mincho" w:hAnsi="Verdana"/>
          <w:i/>
          <w:sz w:val="18"/>
        </w:rPr>
        <w:t xml:space="preserve">Comunidad Santa Clara, </w:t>
      </w:r>
      <w:r w:rsidR="00EA682A" w:rsidRPr="00A4173B">
        <w:rPr>
          <w:rFonts w:ascii="Verdana" w:eastAsia="MS Mincho" w:hAnsi="Verdana"/>
          <w:sz w:val="18"/>
        </w:rPr>
        <w:t xml:space="preserve">el señor Francisco Francis Donaldo de 27 años, habría avistado a una persona desconocida mientras se encontraba pescando en el río </w:t>
      </w:r>
      <w:proofErr w:type="spellStart"/>
      <w:r w:rsidR="00EA682A" w:rsidRPr="00A4173B">
        <w:rPr>
          <w:rFonts w:ascii="Verdana" w:eastAsia="MS Mincho" w:hAnsi="Verdana"/>
          <w:sz w:val="18"/>
        </w:rPr>
        <w:t>Kisawas</w:t>
      </w:r>
      <w:proofErr w:type="spellEnd"/>
      <w:r w:rsidR="00EA682A" w:rsidRPr="00A4173B">
        <w:rPr>
          <w:rFonts w:ascii="Verdana" w:eastAsia="MS Mincho" w:hAnsi="Verdana"/>
          <w:sz w:val="18"/>
        </w:rPr>
        <w:t xml:space="preserve"> en compañía </w:t>
      </w:r>
      <w:r w:rsidR="00F70F20" w:rsidRPr="00A4173B">
        <w:rPr>
          <w:rFonts w:ascii="Verdana" w:eastAsia="MS Mincho" w:hAnsi="Verdana"/>
          <w:sz w:val="18"/>
        </w:rPr>
        <w:t xml:space="preserve">de su esposa, su hermana, su sobrina y su cuñado. Al instruir a las mujeres comunitarias que se escondieran, el señor Francisco Francis Donaldo y su cuñado, el señor Walter González, se acercaron y encontraron un grupo de ocho personas que portaban armas de fuego y machetes, quienes habían construido un carril en el que habían colocado el letrero “Propiedad Privada”. </w:t>
      </w:r>
      <w:r w:rsidR="00C169C1" w:rsidRPr="00A4173B">
        <w:rPr>
          <w:rFonts w:ascii="Verdana" w:eastAsia="MS Mincho" w:hAnsi="Verdana"/>
          <w:sz w:val="18"/>
        </w:rPr>
        <w:t xml:space="preserve">Pese a que luego de haber informado a las autoridades, el 4 de julio de 2019, ocho efectivos de la Policía se apersonaron al lugar y tomaron fotografías, todavía no hay información sobre las acciones emprendidas al respecto. </w:t>
      </w:r>
    </w:p>
    <w:p w14:paraId="7C868962" w14:textId="77777777" w:rsidR="0061489D" w:rsidRPr="00A4173B" w:rsidRDefault="0061489D" w:rsidP="00E604E5">
      <w:pPr>
        <w:pStyle w:val="Prrafodelista"/>
        <w:ind w:right="18"/>
        <w:contextualSpacing w:val="0"/>
        <w:jc w:val="both"/>
        <w:rPr>
          <w:rFonts w:ascii="Verdana" w:eastAsia="MS Mincho" w:hAnsi="Verdana"/>
          <w:sz w:val="18"/>
        </w:rPr>
      </w:pPr>
    </w:p>
    <w:p w14:paraId="50515DCD" w14:textId="04D5959D" w:rsidR="0061489D" w:rsidRPr="00A4173B" w:rsidRDefault="0061489D" w:rsidP="00E604E5">
      <w:pPr>
        <w:pStyle w:val="Prrafodelista"/>
        <w:numPr>
          <w:ilvl w:val="0"/>
          <w:numId w:val="4"/>
        </w:numPr>
        <w:ind w:right="18"/>
        <w:contextualSpacing w:val="0"/>
        <w:jc w:val="both"/>
        <w:rPr>
          <w:rFonts w:ascii="Verdana" w:eastAsia="MS Mincho" w:hAnsi="Verdana"/>
          <w:sz w:val="18"/>
        </w:rPr>
      </w:pPr>
      <w:r w:rsidRPr="00A4173B">
        <w:rPr>
          <w:rFonts w:ascii="Verdana" w:hAnsi="Verdana"/>
          <w:sz w:val="18"/>
        </w:rPr>
        <w:t xml:space="preserve">El 5 de julio de 2019, un comunitario de la </w:t>
      </w:r>
      <w:r w:rsidRPr="00A4173B">
        <w:rPr>
          <w:rFonts w:ascii="Verdana" w:hAnsi="Verdana"/>
          <w:i/>
          <w:sz w:val="18"/>
        </w:rPr>
        <w:t>Comunidad Santa Clara</w:t>
      </w:r>
      <w:r w:rsidRPr="00A4173B">
        <w:rPr>
          <w:rFonts w:ascii="Verdana" w:hAnsi="Verdana"/>
          <w:sz w:val="18"/>
        </w:rPr>
        <w:t xml:space="preserve">, el señor Rodas Cruz </w:t>
      </w:r>
      <w:proofErr w:type="spellStart"/>
      <w:r w:rsidRPr="00A4173B">
        <w:rPr>
          <w:rFonts w:ascii="Verdana" w:hAnsi="Verdana"/>
          <w:sz w:val="18"/>
        </w:rPr>
        <w:t>Selston</w:t>
      </w:r>
      <w:proofErr w:type="spellEnd"/>
      <w:r w:rsidRPr="00A4173B">
        <w:rPr>
          <w:rFonts w:ascii="Verdana" w:hAnsi="Verdana"/>
          <w:sz w:val="18"/>
        </w:rPr>
        <w:t xml:space="preserve">, habría estado pescando en el Río Wawa cuando avistó </w:t>
      </w:r>
      <w:r w:rsidR="002F5BA1" w:rsidRPr="00A4173B">
        <w:rPr>
          <w:rFonts w:ascii="Verdana" w:hAnsi="Verdana"/>
          <w:sz w:val="18"/>
        </w:rPr>
        <w:t xml:space="preserve">a </w:t>
      </w:r>
      <w:r w:rsidRPr="00A4173B">
        <w:rPr>
          <w:rFonts w:ascii="Verdana" w:hAnsi="Verdana"/>
          <w:sz w:val="18"/>
        </w:rPr>
        <w:t xml:space="preserve">un grupo de personas y, pocos minutos después, fue rodeado por cuatro terceros que le apuntaron con armas de fuego y comenzaron a interrogarlo. Al poco tiempo, otros siete terceros armados se le acercaron y prosiguieron interrogándolo sobre </w:t>
      </w:r>
      <w:r w:rsidR="002F5BA1" w:rsidRPr="00A4173B">
        <w:rPr>
          <w:rFonts w:ascii="Verdana" w:hAnsi="Verdana"/>
          <w:sz w:val="18"/>
        </w:rPr>
        <w:t xml:space="preserve">la propiedad de la tierra </w:t>
      </w:r>
      <w:r w:rsidR="002F5BA1" w:rsidRPr="006048A5">
        <w:rPr>
          <w:rFonts w:ascii="Verdana" w:hAnsi="Verdana"/>
          <w:sz w:val="18"/>
        </w:rPr>
        <w:t>contin</w:t>
      </w:r>
      <w:r w:rsidR="006048A5" w:rsidRPr="00D22918">
        <w:rPr>
          <w:rFonts w:ascii="Verdana" w:hAnsi="Verdana"/>
          <w:sz w:val="18"/>
        </w:rPr>
        <w:t>ú</w:t>
      </w:r>
      <w:r w:rsidR="002F5BA1" w:rsidRPr="006048A5">
        <w:rPr>
          <w:rFonts w:ascii="Verdana" w:hAnsi="Verdana"/>
          <w:sz w:val="18"/>
        </w:rPr>
        <w:t>a</w:t>
      </w:r>
      <w:r w:rsidR="002F5BA1" w:rsidRPr="00A4173B">
        <w:rPr>
          <w:rFonts w:ascii="Verdana" w:hAnsi="Verdana"/>
          <w:sz w:val="18"/>
        </w:rPr>
        <w:t xml:space="preserve">, la distancia para llegar a pie a la </w:t>
      </w:r>
      <w:r w:rsidR="002F5BA1" w:rsidRPr="00A4173B">
        <w:rPr>
          <w:rFonts w:ascii="Verdana" w:hAnsi="Verdana"/>
          <w:i/>
          <w:sz w:val="18"/>
        </w:rPr>
        <w:t>Comunidad Santa Clara</w:t>
      </w:r>
      <w:r w:rsidR="002F5BA1" w:rsidRPr="00A4173B">
        <w:rPr>
          <w:rFonts w:ascii="Verdana" w:hAnsi="Verdana"/>
          <w:sz w:val="18"/>
        </w:rPr>
        <w:t xml:space="preserve"> y el aprovisionamiento de armas en la misma. Luego de dos horas de interrogatorio, en las que se mantuvieron apuntando con armas de fuego al señor Rodas Cruz </w:t>
      </w:r>
      <w:proofErr w:type="spellStart"/>
      <w:r w:rsidR="002F5BA1" w:rsidRPr="00A4173B">
        <w:rPr>
          <w:rFonts w:ascii="Verdana" w:hAnsi="Verdana"/>
          <w:sz w:val="18"/>
        </w:rPr>
        <w:t>Selston</w:t>
      </w:r>
      <w:proofErr w:type="spellEnd"/>
      <w:r w:rsidR="002F5BA1" w:rsidRPr="00A4173B">
        <w:rPr>
          <w:rFonts w:ascii="Verdana" w:hAnsi="Verdana"/>
          <w:sz w:val="18"/>
        </w:rPr>
        <w:t xml:space="preserve">, los terceros se trasladaron unos metros arriba del río y allí procedieron a apuntar con sus armas a otro comunitario, el señor Kevin </w:t>
      </w:r>
      <w:proofErr w:type="spellStart"/>
      <w:r w:rsidR="002F5BA1" w:rsidRPr="00A4173B">
        <w:rPr>
          <w:rFonts w:ascii="Verdana" w:hAnsi="Verdana"/>
          <w:sz w:val="18"/>
        </w:rPr>
        <w:t>Wislow</w:t>
      </w:r>
      <w:proofErr w:type="spellEnd"/>
      <w:r w:rsidR="002F5BA1" w:rsidRPr="00A4173B">
        <w:rPr>
          <w:rFonts w:ascii="Verdana" w:hAnsi="Verdana"/>
          <w:sz w:val="18"/>
        </w:rPr>
        <w:t xml:space="preserve">, pero no dispararon. El señor Rodas Cruz </w:t>
      </w:r>
      <w:proofErr w:type="spellStart"/>
      <w:r w:rsidR="002F5BA1" w:rsidRPr="00A4173B">
        <w:rPr>
          <w:rFonts w:ascii="Verdana" w:hAnsi="Verdana"/>
          <w:sz w:val="18"/>
        </w:rPr>
        <w:t>Selston</w:t>
      </w:r>
      <w:proofErr w:type="spellEnd"/>
      <w:r w:rsidR="002F5BA1" w:rsidRPr="00A4173B">
        <w:rPr>
          <w:rFonts w:ascii="Verdana" w:hAnsi="Verdana"/>
          <w:sz w:val="18"/>
        </w:rPr>
        <w:t xml:space="preserve"> informó a las autoridades comunales sobre lo sucedido. </w:t>
      </w:r>
    </w:p>
    <w:p w14:paraId="5C885C36" w14:textId="77777777" w:rsidR="00812F57" w:rsidRPr="00A4173B" w:rsidRDefault="00812F57" w:rsidP="00E604E5">
      <w:pPr>
        <w:pStyle w:val="Prrafodelista"/>
        <w:ind w:right="18"/>
        <w:contextualSpacing w:val="0"/>
        <w:jc w:val="both"/>
        <w:rPr>
          <w:rFonts w:ascii="Verdana" w:eastAsia="MS Mincho" w:hAnsi="Verdana"/>
          <w:sz w:val="18"/>
        </w:rPr>
      </w:pPr>
    </w:p>
    <w:p w14:paraId="76465C2E" w14:textId="77777777" w:rsidR="00812F57" w:rsidRPr="00A4173B" w:rsidRDefault="00812F57" w:rsidP="00E604E5">
      <w:pPr>
        <w:pStyle w:val="Prrafodelista"/>
        <w:numPr>
          <w:ilvl w:val="0"/>
          <w:numId w:val="4"/>
        </w:numPr>
        <w:ind w:right="18"/>
        <w:contextualSpacing w:val="0"/>
        <w:jc w:val="both"/>
        <w:rPr>
          <w:rFonts w:ascii="Verdana" w:eastAsia="MS Mincho" w:hAnsi="Verdana"/>
          <w:sz w:val="18"/>
        </w:rPr>
      </w:pPr>
      <w:r w:rsidRPr="00A4173B">
        <w:rPr>
          <w:rFonts w:ascii="Verdana" w:hAnsi="Verdana"/>
          <w:sz w:val="18"/>
        </w:rPr>
        <w:t xml:space="preserve">El 25 de septiembre de 2019, dos comunitarios de la </w:t>
      </w:r>
      <w:r w:rsidRPr="00A4173B">
        <w:rPr>
          <w:rFonts w:ascii="Verdana" w:hAnsi="Verdana"/>
          <w:i/>
          <w:sz w:val="18"/>
        </w:rPr>
        <w:t>Comunidad Santa Clara</w:t>
      </w:r>
      <w:r w:rsidRPr="00A4173B">
        <w:rPr>
          <w:rFonts w:ascii="Verdana" w:hAnsi="Verdana"/>
          <w:sz w:val="18"/>
        </w:rPr>
        <w:t xml:space="preserve">, los señores Wilson </w:t>
      </w:r>
      <w:proofErr w:type="spellStart"/>
      <w:r w:rsidRPr="00A4173B">
        <w:rPr>
          <w:rFonts w:ascii="Verdana" w:hAnsi="Verdana"/>
          <w:sz w:val="18"/>
        </w:rPr>
        <w:t>Wislau</w:t>
      </w:r>
      <w:proofErr w:type="spellEnd"/>
      <w:r w:rsidRPr="00A4173B">
        <w:rPr>
          <w:rFonts w:ascii="Verdana" w:hAnsi="Verdana"/>
          <w:sz w:val="18"/>
        </w:rPr>
        <w:t xml:space="preserve"> y </w:t>
      </w:r>
      <w:proofErr w:type="spellStart"/>
      <w:r w:rsidRPr="00A4173B">
        <w:rPr>
          <w:rFonts w:ascii="Verdana" w:hAnsi="Verdana"/>
          <w:sz w:val="18"/>
        </w:rPr>
        <w:t>Shaybor</w:t>
      </w:r>
      <w:proofErr w:type="spellEnd"/>
      <w:r w:rsidRPr="00A4173B">
        <w:rPr>
          <w:rFonts w:ascii="Verdana" w:hAnsi="Verdana"/>
          <w:sz w:val="18"/>
        </w:rPr>
        <w:t xml:space="preserve"> Velásquez Ramírez, se habría dirigido al Río Wawa para pescar cuando se encontraron con 15 terceros</w:t>
      </w:r>
      <w:r w:rsidR="006D6F12" w:rsidRPr="00A4173B">
        <w:rPr>
          <w:rFonts w:ascii="Verdana" w:hAnsi="Verdana"/>
          <w:sz w:val="18"/>
        </w:rPr>
        <w:t xml:space="preserve">. El señor Wilson </w:t>
      </w:r>
      <w:proofErr w:type="spellStart"/>
      <w:r w:rsidR="006D6F12" w:rsidRPr="00A4173B">
        <w:rPr>
          <w:rFonts w:ascii="Verdana" w:hAnsi="Verdana"/>
          <w:sz w:val="18"/>
        </w:rPr>
        <w:t>Wislau</w:t>
      </w:r>
      <w:proofErr w:type="spellEnd"/>
      <w:r w:rsidR="006D6F12" w:rsidRPr="00A4173B">
        <w:rPr>
          <w:rFonts w:ascii="Verdana" w:hAnsi="Verdana"/>
          <w:sz w:val="18"/>
        </w:rPr>
        <w:t xml:space="preserve"> logró huir y alertó a los integrantes de la comunidad; sin embargo, el señor </w:t>
      </w:r>
      <w:proofErr w:type="spellStart"/>
      <w:r w:rsidR="006D6F12" w:rsidRPr="00A4173B">
        <w:rPr>
          <w:rFonts w:ascii="Verdana" w:hAnsi="Verdana"/>
          <w:sz w:val="18"/>
        </w:rPr>
        <w:t>Shaybor</w:t>
      </w:r>
      <w:proofErr w:type="spellEnd"/>
      <w:r w:rsidR="006D6F12" w:rsidRPr="00A4173B">
        <w:rPr>
          <w:rFonts w:ascii="Verdana" w:hAnsi="Verdana"/>
          <w:sz w:val="18"/>
        </w:rPr>
        <w:t xml:space="preserve"> Velásquez Ramírez fue atrapado por los terceros, quienes le apuntaron en la sien con un arma de fuego y lo interrogaron durante 12 horas sobre la identidad y lugar de residencia del juez y el síndico de la </w:t>
      </w:r>
      <w:r w:rsidR="006D6F12" w:rsidRPr="00A4173B">
        <w:rPr>
          <w:rFonts w:ascii="Verdana" w:hAnsi="Verdana"/>
          <w:i/>
          <w:sz w:val="18"/>
        </w:rPr>
        <w:t>Comunidad Santa Clara</w:t>
      </w:r>
      <w:r w:rsidR="006D6F12" w:rsidRPr="00A4173B">
        <w:rPr>
          <w:rFonts w:ascii="Verdana" w:hAnsi="Verdana"/>
          <w:sz w:val="18"/>
        </w:rPr>
        <w:t xml:space="preserve">. </w:t>
      </w:r>
      <w:r w:rsidR="00844C38" w:rsidRPr="00A4173B">
        <w:rPr>
          <w:rFonts w:ascii="Verdana" w:hAnsi="Verdana"/>
          <w:sz w:val="18"/>
        </w:rPr>
        <w:t>Los terceros habrían pretendido que el</w:t>
      </w:r>
      <w:r w:rsidR="006D6F12" w:rsidRPr="00A4173B">
        <w:rPr>
          <w:rFonts w:ascii="Verdana" w:hAnsi="Verdana"/>
          <w:sz w:val="18"/>
        </w:rPr>
        <w:t xml:space="preserve"> </w:t>
      </w:r>
      <w:r w:rsidR="00844C38" w:rsidRPr="00A4173B">
        <w:rPr>
          <w:rFonts w:ascii="Verdana" w:hAnsi="Verdana"/>
          <w:sz w:val="18"/>
        </w:rPr>
        <w:t xml:space="preserve">señor </w:t>
      </w:r>
      <w:proofErr w:type="spellStart"/>
      <w:r w:rsidR="00844C38" w:rsidRPr="00A4173B">
        <w:rPr>
          <w:rFonts w:ascii="Verdana" w:hAnsi="Verdana"/>
          <w:sz w:val="18"/>
        </w:rPr>
        <w:t>Shaybor</w:t>
      </w:r>
      <w:proofErr w:type="spellEnd"/>
      <w:r w:rsidR="00844C38" w:rsidRPr="00A4173B">
        <w:rPr>
          <w:rFonts w:ascii="Verdana" w:hAnsi="Verdana"/>
          <w:sz w:val="18"/>
        </w:rPr>
        <w:t xml:space="preserve"> Velásquez Ramírez llamara a las autoridades comunales con la intención de secuestrarlas. Luego del interrogatorio, los terceros habrían llevado al señor </w:t>
      </w:r>
      <w:proofErr w:type="spellStart"/>
      <w:r w:rsidR="00844C38" w:rsidRPr="00A4173B">
        <w:rPr>
          <w:rFonts w:ascii="Verdana" w:hAnsi="Verdana"/>
          <w:sz w:val="18"/>
        </w:rPr>
        <w:t>Shaybor</w:t>
      </w:r>
      <w:proofErr w:type="spellEnd"/>
      <w:r w:rsidR="00844C38" w:rsidRPr="00A4173B">
        <w:rPr>
          <w:rFonts w:ascii="Verdana" w:hAnsi="Verdana"/>
          <w:sz w:val="18"/>
        </w:rPr>
        <w:t xml:space="preserve"> Velásquez Ramírez a la </w:t>
      </w:r>
      <w:r w:rsidR="00844C38" w:rsidRPr="00A4173B">
        <w:rPr>
          <w:rFonts w:ascii="Verdana" w:hAnsi="Verdana"/>
          <w:i/>
          <w:sz w:val="18"/>
        </w:rPr>
        <w:t>Comunidad Santa Clara</w:t>
      </w:r>
      <w:r w:rsidR="00844C38" w:rsidRPr="00A4173B">
        <w:rPr>
          <w:rFonts w:ascii="Verdana" w:hAnsi="Verdana"/>
          <w:sz w:val="18"/>
        </w:rPr>
        <w:t xml:space="preserve"> para acceder a ella pero, al percatarse del estado de alerta de la comunidad, habrían dejado al </w:t>
      </w:r>
      <w:r w:rsidR="003050F6" w:rsidRPr="00A4173B">
        <w:rPr>
          <w:rFonts w:ascii="Verdana" w:hAnsi="Verdana"/>
          <w:sz w:val="18"/>
        </w:rPr>
        <w:t xml:space="preserve">joven en las afueras de la misma. </w:t>
      </w:r>
    </w:p>
    <w:p w14:paraId="044B4561" w14:textId="77777777" w:rsidR="0038765A" w:rsidRPr="007865FC" w:rsidRDefault="0038765A" w:rsidP="00E604E5">
      <w:pPr>
        <w:spacing w:after="0" w:line="240" w:lineRule="auto"/>
        <w:jc w:val="both"/>
        <w:rPr>
          <w:rFonts w:ascii="Verdana" w:eastAsia="MS Mincho" w:hAnsi="Verdana"/>
          <w:sz w:val="20"/>
          <w:szCs w:val="20"/>
          <w:lang w:val="es-MX"/>
        </w:rPr>
      </w:pPr>
    </w:p>
    <w:p w14:paraId="7C678835" w14:textId="2BCDB246" w:rsidR="001D7BCC" w:rsidRDefault="001D7BCC" w:rsidP="001D7BCC">
      <w:pPr>
        <w:pStyle w:val="Prrafodelista1"/>
        <w:numPr>
          <w:ilvl w:val="0"/>
          <w:numId w:val="2"/>
        </w:numPr>
        <w:tabs>
          <w:tab w:val="clear" w:pos="1068"/>
          <w:tab w:val="left" w:pos="720"/>
        </w:tabs>
        <w:ind w:left="0" w:firstLine="0"/>
        <w:contextualSpacing w:val="0"/>
        <w:jc w:val="both"/>
        <w:rPr>
          <w:rFonts w:eastAsia="MS Mincho"/>
          <w:sz w:val="20"/>
          <w:szCs w:val="20"/>
          <w:lang w:val="es-CR"/>
        </w:rPr>
      </w:pPr>
      <w:r>
        <w:rPr>
          <w:rFonts w:eastAsia="MS Mincho"/>
          <w:sz w:val="20"/>
          <w:szCs w:val="20"/>
          <w:lang w:val="es-CR"/>
        </w:rPr>
        <w:t xml:space="preserve">Los </w:t>
      </w:r>
      <w:r>
        <w:rPr>
          <w:rFonts w:eastAsia="MS Mincho"/>
          <w:b/>
          <w:i/>
          <w:sz w:val="20"/>
          <w:szCs w:val="20"/>
          <w:lang w:val="es-CR"/>
        </w:rPr>
        <w:t xml:space="preserve">representantes </w:t>
      </w:r>
      <w:r>
        <w:rPr>
          <w:rFonts w:eastAsia="MS Mincho"/>
          <w:sz w:val="20"/>
          <w:szCs w:val="20"/>
          <w:lang w:val="es-CR"/>
        </w:rPr>
        <w:t>señalaron que desde sus escritos anteriores habrían manifestado que la comunidad de Santa Clara había sido objeto de ataques y amenazas y hostigamientos por parte de colonos. Asimismo, que de acuerdo con información presentada ante ellos, el 25 de septiembre de 2019 se habrían registrado nuevos ataques por parte de colonos en contra de dos personas integrantes de dicha comunidad. En uno de estos ataques, un miembro de la comunidad habría sido atrapado y agredido por el grupo de colonos, y sometido a un interrogatorio por más de 12 horas. Los representantes expresaron su “suma preocupación por estos nuevos hechos de violencia que ponen en una situación de riesgo extremadamente grave la vida e integridad personal de las y los integrantes de la comunidad beneficiaria”.</w:t>
      </w:r>
    </w:p>
    <w:p w14:paraId="149F9937" w14:textId="77777777" w:rsidR="001D7BCC" w:rsidRPr="001D7BCC" w:rsidRDefault="001D7BCC" w:rsidP="001D7BCC">
      <w:pPr>
        <w:pStyle w:val="Prrafodelista1"/>
        <w:tabs>
          <w:tab w:val="left" w:pos="720"/>
        </w:tabs>
        <w:contextualSpacing w:val="0"/>
        <w:jc w:val="both"/>
        <w:rPr>
          <w:rFonts w:eastAsia="MS Mincho"/>
          <w:sz w:val="20"/>
          <w:szCs w:val="20"/>
          <w:lang w:val="es-CR"/>
        </w:rPr>
      </w:pPr>
    </w:p>
    <w:p w14:paraId="56B146AB" w14:textId="1458CF43" w:rsidR="003050F6" w:rsidRPr="004A2797" w:rsidRDefault="0038765A" w:rsidP="00E604E5">
      <w:pPr>
        <w:pStyle w:val="Prrafodelista1"/>
        <w:numPr>
          <w:ilvl w:val="0"/>
          <w:numId w:val="2"/>
        </w:numPr>
        <w:tabs>
          <w:tab w:val="clear" w:pos="1068"/>
          <w:tab w:val="left" w:pos="720"/>
        </w:tabs>
        <w:ind w:left="0" w:firstLine="0"/>
        <w:contextualSpacing w:val="0"/>
        <w:jc w:val="both"/>
        <w:rPr>
          <w:rFonts w:eastAsia="MS Mincho"/>
          <w:sz w:val="20"/>
          <w:szCs w:val="20"/>
          <w:lang w:val="es-CR"/>
        </w:rPr>
      </w:pPr>
      <w:r w:rsidRPr="004A2797">
        <w:rPr>
          <w:spacing w:val="-4"/>
          <w:sz w:val="20"/>
          <w:szCs w:val="20"/>
          <w:lang w:val="es-MX"/>
        </w:rPr>
        <w:t xml:space="preserve">El </w:t>
      </w:r>
      <w:r w:rsidRPr="004A2797">
        <w:rPr>
          <w:b/>
          <w:i/>
          <w:spacing w:val="-4"/>
          <w:sz w:val="20"/>
          <w:szCs w:val="20"/>
          <w:lang w:val="es-MX"/>
        </w:rPr>
        <w:t>Estado</w:t>
      </w:r>
      <w:r w:rsidRPr="004A2797">
        <w:rPr>
          <w:spacing w:val="-4"/>
          <w:sz w:val="20"/>
          <w:szCs w:val="20"/>
          <w:lang w:val="es-MX"/>
        </w:rPr>
        <w:t xml:space="preserve">, en su informe sobre la </w:t>
      </w:r>
      <w:r w:rsidR="003050F6" w:rsidRPr="004A2797">
        <w:rPr>
          <w:spacing w:val="-4"/>
          <w:sz w:val="20"/>
          <w:szCs w:val="20"/>
          <w:lang w:val="es-MX"/>
        </w:rPr>
        <w:t xml:space="preserve">solicitud de </w:t>
      </w:r>
      <w:r w:rsidRPr="004A2797">
        <w:rPr>
          <w:spacing w:val="-4"/>
          <w:sz w:val="20"/>
          <w:szCs w:val="20"/>
          <w:lang w:val="es-MX"/>
        </w:rPr>
        <w:t>ampliación de medidas</w:t>
      </w:r>
      <w:r w:rsidR="003050F6" w:rsidRPr="004A2797">
        <w:rPr>
          <w:spacing w:val="-4"/>
          <w:sz w:val="20"/>
          <w:szCs w:val="20"/>
          <w:lang w:val="es-MX"/>
        </w:rPr>
        <w:t xml:space="preserve"> provisionales </w:t>
      </w:r>
      <w:r w:rsidRPr="004A2797">
        <w:rPr>
          <w:spacing w:val="-4"/>
          <w:sz w:val="20"/>
          <w:szCs w:val="20"/>
          <w:lang w:val="es-MX"/>
        </w:rPr>
        <w:t>(</w:t>
      </w:r>
      <w:r w:rsidRPr="004A2797">
        <w:rPr>
          <w:i/>
          <w:spacing w:val="-4"/>
          <w:sz w:val="20"/>
          <w:szCs w:val="20"/>
          <w:lang w:val="es-MX"/>
        </w:rPr>
        <w:t xml:space="preserve">supra </w:t>
      </w:r>
      <w:r w:rsidR="003050F6" w:rsidRPr="004A2797">
        <w:rPr>
          <w:spacing w:val="-4"/>
          <w:sz w:val="20"/>
          <w:szCs w:val="20"/>
          <w:lang w:val="es-MX"/>
        </w:rPr>
        <w:t>v</w:t>
      </w:r>
      <w:r w:rsidRPr="004A2797">
        <w:rPr>
          <w:spacing w:val="-4"/>
          <w:sz w:val="20"/>
          <w:szCs w:val="20"/>
          <w:lang w:val="es-MX"/>
        </w:rPr>
        <w:t xml:space="preserve">isto </w:t>
      </w:r>
      <w:r w:rsidR="00A60B40" w:rsidRPr="004A2797">
        <w:rPr>
          <w:spacing w:val="-4"/>
          <w:sz w:val="20"/>
          <w:szCs w:val="20"/>
          <w:lang w:val="es-MX"/>
        </w:rPr>
        <w:t>4</w:t>
      </w:r>
      <w:r w:rsidRPr="004A2797">
        <w:rPr>
          <w:spacing w:val="-4"/>
          <w:sz w:val="20"/>
          <w:szCs w:val="20"/>
          <w:lang w:val="es-MX"/>
        </w:rPr>
        <w:t>)</w:t>
      </w:r>
      <w:r w:rsidRPr="004A2797">
        <w:rPr>
          <w:i/>
          <w:spacing w:val="-4"/>
          <w:sz w:val="20"/>
          <w:szCs w:val="20"/>
          <w:lang w:val="es-MX"/>
        </w:rPr>
        <w:t xml:space="preserve">, </w:t>
      </w:r>
      <w:r w:rsidR="003050F6" w:rsidRPr="004A2797">
        <w:rPr>
          <w:rFonts w:eastAsia="MS Mincho"/>
          <w:sz w:val="20"/>
          <w:szCs w:val="20"/>
          <w:lang w:val="es-CR"/>
        </w:rPr>
        <w:t xml:space="preserve">reafirmó su </w:t>
      </w:r>
      <w:r w:rsidR="003050F6" w:rsidRPr="004A2797">
        <w:rPr>
          <w:spacing w:val="-4"/>
          <w:sz w:val="20"/>
          <w:szCs w:val="20"/>
          <w:lang w:val="es-MX"/>
        </w:rPr>
        <w:t xml:space="preserve">compromiso de continuar desarrollando los principios </w:t>
      </w:r>
      <w:r w:rsidR="0028078E" w:rsidRPr="004A2797">
        <w:rPr>
          <w:spacing w:val="-4"/>
          <w:sz w:val="20"/>
          <w:szCs w:val="20"/>
          <w:lang w:val="es-MX"/>
        </w:rPr>
        <w:t>de la Constitución respecto al reconocimiento de</w:t>
      </w:r>
      <w:r w:rsidR="003050F6" w:rsidRPr="004A2797">
        <w:rPr>
          <w:spacing w:val="-4"/>
          <w:sz w:val="20"/>
          <w:szCs w:val="20"/>
          <w:lang w:val="es-MX"/>
        </w:rPr>
        <w:t xml:space="preserve"> las comunidades originarias y afrodescen</w:t>
      </w:r>
      <w:r w:rsidR="0028078E" w:rsidRPr="004A2797">
        <w:rPr>
          <w:spacing w:val="-4"/>
          <w:sz w:val="20"/>
          <w:szCs w:val="20"/>
          <w:lang w:val="es-MX"/>
        </w:rPr>
        <w:t>dientes a su propia identidad y la garantía de</w:t>
      </w:r>
      <w:r w:rsidR="003050F6" w:rsidRPr="004A2797">
        <w:rPr>
          <w:spacing w:val="-4"/>
          <w:sz w:val="20"/>
          <w:szCs w:val="20"/>
          <w:lang w:val="es-MX"/>
        </w:rPr>
        <w:t xml:space="preserve"> sus derechos colectivos.</w:t>
      </w:r>
      <w:r w:rsidR="0028078E" w:rsidRPr="004A2797">
        <w:rPr>
          <w:spacing w:val="-4"/>
          <w:sz w:val="20"/>
          <w:szCs w:val="20"/>
          <w:lang w:val="es-MX"/>
        </w:rPr>
        <w:t xml:space="preserve"> Asimismo, señaló que había establecido dos delegaciones policiales en la Costa Caribe Norte, con 16 puestos policiales, para garantizar la seguridad ciudad</w:t>
      </w:r>
      <w:r w:rsidR="00F70F05" w:rsidRPr="004A2797">
        <w:rPr>
          <w:spacing w:val="-4"/>
          <w:sz w:val="20"/>
          <w:szCs w:val="20"/>
          <w:lang w:val="es-MX"/>
        </w:rPr>
        <w:t>ana</w:t>
      </w:r>
      <w:r w:rsidR="0028078E" w:rsidRPr="004A2797">
        <w:rPr>
          <w:spacing w:val="-4"/>
          <w:sz w:val="20"/>
          <w:szCs w:val="20"/>
          <w:lang w:val="es-MX"/>
        </w:rPr>
        <w:t>, y expres</w:t>
      </w:r>
      <w:r w:rsidR="00C11236" w:rsidRPr="004A2797">
        <w:rPr>
          <w:spacing w:val="-4"/>
          <w:sz w:val="20"/>
          <w:szCs w:val="20"/>
          <w:lang w:val="es-MX"/>
        </w:rPr>
        <w:t>ó que, a través de la Policía y el Ejército Nacional, continuaba implementando un plan de acción para verificar e investigar los incide</w:t>
      </w:r>
      <w:r w:rsidR="00675305" w:rsidRPr="004A2797">
        <w:rPr>
          <w:spacing w:val="-4"/>
          <w:sz w:val="20"/>
          <w:szCs w:val="20"/>
          <w:lang w:val="es-MX"/>
        </w:rPr>
        <w:t xml:space="preserve">ntes reportados, dentro del cual “se incluirán de manera específica los nuevos hechos denunciados en relación a la Comunidad de Santa Clara”. </w:t>
      </w:r>
    </w:p>
    <w:p w14:paraId="69F1034F" w14:textId="77777777" w:rsidR="0038765A" w:rsidRPr="004A2797" w:rsidRDefault="0038765A" w:rsidP="00E604E5">
      <w:pPr>
        <w:pStyle w:val="Prrafodelista1"/>
        <w:tabs>
          <w:tab w:val="left" w:pos="720"/>
        </w:tabs>
        <w:contextualSpacing w:val="0"/>
        <w:jc w:val="both"/>
        <w:rPr>
          <w:rFonts w:eastAsia="MS Mincho"/>
          <w:sz w:val="20"/>
          <w:szCs w:val="20"/>
          <w:highlight w:val="yellow"/>
          <w:lang w:val="es-CR"/>
        </w:rPr>
      </w:pPr>
    </w:p>
    <w:p w14:paraId="5E18CAD5" w14:textId="77777777" w:rsidR="0038765A" w:rsidRPr="004A2797" w:rsidRDefault="00E72692" w:rsidP="00E604E5">
      <w:pPr>
        <w:pStyle w:val="Prrafodelista1"/>
        <w:numPr>
          <w:ilvl w:val="0"/>
          <w:numId w:val="2"/>
        </w:numPr>
        <w:tabs>
          <w:tab w:val="clear" w:pos="1068"/>
          <w:tab w:val="left" w:pos="720"/>
        </w:tabs>
        <w:ind w:left="0" w:firstLine="0"/>
        <w:contextualSpacing w:val="0"/>
        <w:jc w:val="both"/>
        <w:rPr>
          <w:rFonts w:eastAsia="MS Mincho"/>
          <w:sz w:val="20"/>
          <w:szCs w:val="20"/>
          <w:lang w:val="es-CR"/>
        </w:rPr>
      </w:pPr>
      <w:r w:rsidRPr="004A2797">
        <w:rPr>
          <w:rFonts w:eastAsia="MS Mincho"/>
          <w:sz w:val="20"/>
          <w:szCs w:val="20"/>
          <w:lang w:val="es-CR"/>
        </w:rPr>
        <w:t xml:space="preserve">De igual modo, el Estado manifestó que, respecto a los hechos concernientes a las señoras </w:t>
      </w:r>
      <w:r w:rsidRPr="004A2797">
        <w:rPr>
          <w:sz w:val="20"/>
          <w:szCs w:val="20"/>
        </w:rPr>
        <w:t xml:space="preserve">Graciela </w:t>
      </w:r>
      <w:proofErr w:type="spellStart"/>
      <w:r w:rsidRPr="004A2797">
        <w:rPr>
          <w:sz w:val="20"/>
          <w:szCs w:val="20"/>
        </w:rPr>
        <w:t>Guiermo</w:t>
      </w:r>
      <w:proofErr w:type="spellEnd"/>
      <w:r w:rsidRPr="004A2797">
        <w:rPr>
          <w:sz w:val="20"/>
          <w:szCs w:val="20"/>
        </w:rPr>
        <w:t xml:space="preserve"> Velásquez y Elvia </w:t>
      </w:r>
      <w:proofErr w:type="spellStart"/>
      <w:r w:rsidRPr="004A2797">
        <w:rPr>
          <w:sz w:val="20"/>
          <w:szCs w:val="20"/>
        </w:rPr>
        <w:t>Filamingo</w:t>
      </w:r>
      <w:proofErr w:type="spellEnd"/>
      <w:r w:rsidRPr="004A2797">
        <w:rPr>
          <w:sz w:val="20"/>
          <w:szCs w:val="20"/>
        </w:rPr>
        <w:t xml:space="preserve"> Velásquez, había entrevistado a las referidas comunitarias y al señor Camilo Ramos. Con relación a los hechos relativos a los señores </w:t>
      </w:r>
      <w:r w:rsidRPr="004A2797">
        <w:rPr>
          <w:rFonts w:eastAsia="MS Mincho"/>
          <w:sz w:val="20"/>
          <w:szCs w:val="20"/>
        </w:rPr>
        <w:t xml:space="preserve">Jessy Chico y Horacio Chico, el Estado señaló que había emprendido diligencias de investigación, consistentes en entrevistar al señor Jessy Chico y al señor Mauro </w:t>
      </w:r>
      <w:proofErr w:type="spellStart"/>
      <w:r w:rsidRPr="004A2797">
        <w:rPr>
          <w:rFonts w:eastAsia="MS Mincho"/>
          <w:sz w:val="20"/>
          <w:szCs w:val="20"/>
        </w:rPr>
        <w:t>Atimos</w:t>
      </w:r>
      <w:proofErr w:type="spellEnd"/>
      <w:r w:rsidRPr="004A2797">
        <w:rPr>
          <w:rFonts w:eastAsia="MS Mincho"/>
          <w:sz w:val="20"/>
          <w:szCs w:val="20"/>
        </w:rPr>
        <w:t xml:space="preserve"> Samuel, director del </w:t>
      </w:r>
      <w:r w:rsidR="005C7028" w:rsidRPr="004A2797">
        <w:rPr>
          <w:rFonts w:cs="Arial"/>
          <w:sz w:val="20"/>
          <w:szCs w:val="20"/>
          <w:shd w:val="clear" w:color="auto" w:fill="FFFFFF"/>
          <w:lang w:val="es-DO"/>
        </w:rPr>
        <w:t>Centro por la Justicia y Derechos Humanos de la Costa Atlántica de Nicaragua (</w:t>
      </w:r>
      <w:r w:rsidR="005C7028" w:rsidRPr="004A2797">
        <w:rPr>
          <w:rStyle w:val="nfasis"/>
          <w:rFonts w:cs="Arial"/>
          <w:bCs/>
          <w:i w:val="0"/>
          <w:iCs w:val="0"/>
          <w:sz w:val="20"/>
          <w:szCs w:val="20"/>
          <w:shd w:val="clear" w:color="auto" w:fill="FFFFFF"/>
          <w:lang w:val="es-DO"/>
        </w:rPr>
        <w:t>CEJUDHCAN</w:t>
      </w:r>
      <w:r w:rsidR="005C7028" w:rsidRPr="004A2797">
        <w:rPr>
          <w:rFonts w:cs="Arial"/>
          <w:sz w:val="20"/>
          <w:szCs w:val="20"/>
          <w:shd w:val="clear" w:color="auto" w:fill="FFFFFF"/>
          <w:lang w:val="es-DO"/>
        </w:rPr>
        <w:t xml:space="preserve">). En atención a los hechos vinculados con los señores </w:t>
      </w:r>
      <w:r w:rsidR="005C7028" w:rsidRPr="004A2797">
        <w:rPr>
          <w:rFonts w:eastAsia="MS Mincho"/>
          <w:sz w:val="20"/>
          <w:szCs w:val="20"/>
        </w:rPr>
        <w:t xml:space="preserve">Francisco Francis Donaldo, </w:t>
      </w:r>
      <w:r w:rsidR="005C7028" w:rsidRPr="004A2797">
        <w:rPr>
          <w:sz w:val="20"/>
          <w:szCs w:val="20"/>
        </w:rPr>
        <w:t xml:space="preserve">Rodas Cruz </w:t>
      </w:r>
      <w:proofErr w:type="spellStart"/>
      <w:r w:rsidR="005C7028" w:rsidRPr="004A2797">
        <w:rPr>
          <w:sz w:val="20"/>
          <w:szCs w:val="20"/>
        </w:rPr>
        <w:t>Selston</w:t>
      </w:r>
      <w:proofErr w:type="spellEnd"/>
      <w:r w:rsidR="005C7028" w:rsidRPr="004A2797">
        <w:rPr>
          <w:sz w:val="20"/>
          <w:szCs w:val="20"/>
        </w:rPr>
        <w:t xml:space="preserve">, Wilson </w:t>
      </w:r>
      <w:proofErr w:type="spellStart"/>
      <w:r w:rsidR="005C7028" w:rsidRPr="004A2797">
        <w:rPr>
          <w:sz w:val="20"/>
          <w:szCs w:val="20"/>
        </w:rPr>
        <w:t>Wislau</w:t>
      </w:r>
      <w:proofErr w:type="spellEnd"/>
      <w:r w:rsidR="005C7028" w:rsidRPr="004A2797">
        <w:rPr>
          <w:sz w:val="20"/>
          <w:szCs w:val="20"/>
        </w:rPr>
        <w:t xml:space="preserve"> y </w:t>
      </w:r>
      <w:proofErr w:type="spellStart"/>
      <w:r w:rsidR="005C7028" w:rsidRPr="004A2797">
        <w:rPr>
          <w:sz w:val="20"/>
          <w:szCs w:val="20"/>
        </w:rPr>
        <w:t>Shaybor</w:t>
      </w:r>
      <w:proofErr w:type="spellEnd"/>
      <w:r w:rsidR="005C7028" w:rsidRPr="004A2797">
        <w:rPr>
          <w:sz w:val="20"/>
          <w:szCs w:val="20"/>
        </w:rPr>
        <w:t xml:space="preserve"> Velásquez Ramírez, el Estado indicó que había levantado una denuncia de oficio “a los efectos de hacer posteriores verificaciones y determinaciones que correspondan”. </w:t>
      </w:r>
      <w:r w:rsidR="006B207F" w:rsidRPr="004A2797">
        <w:rPr>
          <w:sz w:val="20"/>
          <w:szCs w:val="20"/>
        </w:rPr>
        <w:t>En tal sentido, el</w:t>
      </w:r>
      <w:r w:rsidR="0046597D" w:rsidRPr="004A2797">
        <w:rPr>
          <w:sz w:val="20"/>
          <w:szCs w:val="20"/>
        </w:rPr>
        <w:t xml:space="preserve"> Estado sostuvo que, en tanto “las autoridades competentes se encuentran en proceso de investigación de las denuncias interpuestas por los comunitarios y levantadas de oficio para (…) proceder con las acciones legales correspondiente</w:t>
      </w:r>
      <w:r w:rsidR="0046597D" w:rsidRPr="004A2797">
        <w:rPr>
          <w:rFonts w:cs="Arial"/>
          <w:bCs/>
          <w:color w:val="222222"/>
          <w:sz w:val="20"/>
          <w:szCs w:val="20"/>
          <w:shd w:val="clear" w:color="auto" w:fill="FFFFFF"/>
        </w:rPr>
        <w:t>[s]</w:t>
      </w:r>
      <w:r w:rsidR="0046597D" w:rsidRPr="004A2797">
        <w:rPr>
          <w:sz w:val="20"/>
          <w:szCs w:val="20"/>
        </w:rPr>
        <w:t>”, no procede la ampliación de las medidas provisionales.</w:t>
      </w:r>
    </w:p>
    <w:p w14:paraId="0868BA4C" w14:textId="77777777" w:rsidR="0038765A" w:rsidRPr="007865FC" w:rsidRDefault="0038765A" w:rsidP="00E604E5">
      <w:pPr>
        <w:pStyle w:val="Prrafodelista1"/>
        <w:ind w:left="720"/>
        <w:contextualSpacing w:val="0"/>
        <w:jc w:val="both"/>
        <w:rPr>
          <w:rFonts w:eastAsia="MS Mincho"/>
          <w:b/>
          <w:sz w:val="20"/>
          <w:szCs w:val="20"/>
        </w:rPr>
      </w:pPr>
    </w:p>
    <w:p w14:paraId="34BFA078" w14:textId="77777777" w:rsidR="0038765A" w:rsidRPr="007865FC" w:rsidRDefault="0038765A" w:rsidP="00E604E5">
      <w:pPr>
        <w:pStyle w:val="Prrafodelista1"/>
        <w:widowControl w:val="0"/>
        <w:autoSpaceDE w:val="0"/>
        <w:autoSpaceDN w:val="0"/>
        <w:adjustRightInd w:val="0"/>
        <w:contextualSpacing w:val="0"/>
        <w:jc w:val="both"/>
        <w:rPr>
          <w:rFonts w:cs="Verdana"/>
          <w:b/>
          <w:i/>
          <w:sz w:val="20"/>
          <w:szCs w:val="20"/>
          <w:lang w:val="es-MX"/>
        </w:rPr>
      </w:pPr>
      <w:r w:rsidRPr="007865FC">
        <w:rPr>
          <w:rFonts w:cs="Verdana"/>
          <w:b/>
          <w:i/>
          <w:sz w:val="20"/>
          <w:szCs w:val="20"/>
          <w:lang w:val="es-MX"/>
        </w:rPr>
        <w:t xml:space="preserve">Consideraciones de la Corte </w:t>
      </w:r>
    </w:p>
    <w:p w14:paraId="367BF18A" w14:textId="77777777" w:rsidR="003F3E4B" w:rsidRPr="00C34308" w:rsidRDefault="003F3E4B" w:rsidP="00E604E5">
      <w:pPr>
        <w:pStyle w:val="Prrafodelista1"/>
        <w:widowControl w:val="0"/>
        <w:autoSpaceDE w:val="0"/>
        <w:autoSpaceDN w:val="0"/>
        <w:adjustRightInd w:val="0"/>
        <w:contextualSpacing w:val="0"/>
        <w:jc w:val="both"/>
        <w:rPr>
          <w:rFonts w:cs="Verdana"/>
          <w:sz w:val="20"/>
          <w:szCs w:val="20"/>
          <w:lang w:val="es-MX"/>
        </w:rPr>
      </w:pPr>
    </w:p>
    <w:p w14:paraId="4BEDFBB8" w14:textId="0FCB9C2D" w:rsidR="0061506D" w:rsidRPr="007865FC" w:rsidRDefault="0046597D"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 xml:space="preserve">La Corte recuerda que en este asunto se han adoptado medidas provisionales </w:t>
      </w:r>
      <w:r w:rsidR="0061506D" w:rsidRPr="007865FC">
        <w:rPr>
          <w:sz w:val="20"/>
          <w:szCs w:val="20"/>
        </w:rPr>
        <w:t xml:space="preserve">en beneficio de los integrantes de </w:t>
      </w:r>
      <w:r w:rsidRPr="007865FC">
        <w:rPr>
          <w:sz w:val="20"/>
          <w:szCs w:val="20"/>
        </w:rPr>
        <w:t xml:space="preserve">siete comunidades </w:t>
      </w:r>
      <w:r w:rsidR="0061506D" w:rsidRPr="007865FC">
        <w:rPr>
          <w:sz w:val="20"/>
          <w:szCs w:val="20"/>
        </w:rPr>
        <w:t xml:space="preserve">del Pueblo Indígena </w:t>
      </w:r>
      <w:proofErr w:type="spellStart"/>
      <w:r w:rsidR="0061506D" w:rsidRPr="007865FC">
        <w:rPr>
          <w:sz w:val="20"/>
          <w:szCs w:val="20"/>
        </w:rPr>
        <w:t>Miskitu</w:t>
      </w:r>
      <w:proofErr w:type="spellEnd"/>
      <w:r w:rsidR="0061506D" w:rsidRPr="007865FC">
        <w:rPr>
          <w:sz w:val="20"/>
          <w:szCs w:val="20"/>
        </w:rPr>
        <w:t xml:space="preserve"> de la región Costa Caribe Norte de Nicaragua</w:t>
      </w:r>
      <w:r w:rsidR="0061506D" w:rsidRPr="007865FC">
        <w:rPr>
          <w:rStyle w:val="Refdenotaalpie"/>
          <w:sz w:val="20"/>
          <w:szCs w:val="20"/>
        </w:rPr>
        <w:footnoteReference w:id="5"/>
      </w:r>
      <w:r w:rsidR="0061506D" w:rsidRPr="007865FC">
        <w:rPr>
          <w:sz w:val="20"/>
          <w:szCs w:val="20"/>
        </w:rPr>
        <w:t xml:space="preserve">. Al respecto, las comunidades que resultaron beneficiarias de la resolución de 1 de septiembre de 2016 fueron </w:t>
      </w:r>
      <w:proofErr w:type="spellStart"/>
      <w:r w:rsidR="0061506D" w:rsidRPr="007865FC">
        <w:rPr>
          <w:i/>
          <w:sz w:val="20"/>
          <w:szCs w:val="20"/>
        </w:rPr>
        <w:t>Klisnak</w:t>
      </w:r>
      <w:proofErr w:type="spellEnd"/>
      <w:r w:rsidR="0061506D" w:rsidRPr="007865FC">
        <w:rPr>
          <w:i/>
          <w:sz w:val="20"/>
          <w:szCs w:val="20"/>
        </w:rPr>
        <w:t xml:space="preserve">, Wisconsin, Wiwinak, San Jerónimo </w:t>
      </w:r>
      <w:r w:rsidR="0061506D" w:rsidRPr="007865FC">
        <w:rPr>
          <w:sz w:val="20"/>
          <w:szCs w:val="20"/>
        </w:rPr>
        <w:t>y</w:t>
      </w:r>
      <w:r w:rsidR="0061506D" w:rsidRPr="007865FC">
        <w:rPr>
          <w:i/>
          <w:sz w:val="20"/>
          <w:szCs w:val="20"/>
        </w:rPr>
        <w:t xml:space="preserve"> Francia </w:t>
      </w:r>
      <w:proofErr w:type="spellStart"/>
      <w:r w:rsidR="0061506D" w:rsidRPr="007865FC">
        <w:rPr>
          <w:i/>
          <w:sz w:val="20"/>
          <w:szCs w:val="20"/>
        </w:rPr>
        <w:t>Sirp</w:t>
      </w:r>
      <w:r w:rsidR="0061506D" w:rsidRPr="007865FC">
        <w:rPr>
          <w:sz w:val="20"/>
          <w:szCs w:val="20"/>
        </w:rPr>
        <w:t>i</w:t>
      </w:r>
      <w:proofErr w:type="spellEnd"/>
      <w:r w:rsidR="0061506D" w:rsidRPr="007865FC">
        <w:rPr>
          <w:sz w:val="20"/>
          <w:szCs w:val="20"/>
        </w:rPr>
        <w:t xml:space="preserve">. Posteriormente, </w:t>
      </w:r>
      <w:r w:rsidR="00875FF1" w:rsidRPr="007865FC">
        <w:rPr>
          <w:sz w:val="20"/>
          <w:szCs w:val="20"/>
        </w:rPr>
        <w:t>este Tribunal</w:t>
      </w:r>
      <w:r w:rsidR="0061506D" w:rsidRPr="007865FC">
        <w:rPr>
          <w:sz w:val="20"/>
          <w:szCs w:val="20"/>
        </w:rPr>
        <w:t xml:space="preserve"> amplió las medidas provisionales para incluir, mediante resoluciones de 23 de noviembre de 2016, 30 de junio y 22 de agosto de 2017, a las comunidades de </w:t>
      </w:r>
      <w:r w:rsidR="0061506D" w:rsidRPr="007865FC">
        <w:rPr>
          <w:i/>
          <w:sz w:val="20"/>
          <w:szCs w:val="20"/>
        </w:rPr>
        <w:t>Esperanza Río Coco</w:t>
      </w:r>
      <w:r w:rsidR="0061506D" w:rsidRPr="007865FC">
        <w:rPr>
          <w:sz w:val="20"/>
          <w:szCs w:val="20"/>
        </w:rPr>
        <w:t xml:space="preserve"> y </w:t>
      </w:r>
      <w:r w:rsidR="0061506D" w:rsidRPr="007865FC">
        <w:rPr>
          <w:i/>
          <w:sz w:val="20"/>
          <w:szCs w:val="20"/>
        </w:rPr>
        <w:t>Esperanza Río Wawa</w:t>
      </w:r>
      <w:r w:rsidR="0061506D" w:rsidRPr="007865FC">
        <w:rPr>
          <w:sz w:val="20"/>
          <w:szCs w:val="20"/>
        </w:rPr>
        <w:t xml:space="preserve">, así como a los señores </w:t>
      </w:r>
      <w:proofErr w:type="spellStart"/>
      <w:r w:rsidR="003A22E5" w:rsidRPr="007865FC">
        <w:rPr>
          <w:sz w:val="20"/>
          <w:szCs w:val="20"/>
          <w:lang w:val="es-DO"/>
        </w:rPr>
        <w:t>Lottie</w:t>
      </w:r>
      <w:proofErr w:type="spellEnd"/>
      <w:r w:rsidR="003A22E5" w:rsidRPr="007865FC">
        <w:rPr>
          <w:sz w:val="20"/>
          <w:szCs w:val="20"/>
          <w:lang w:val="es-DO"/>
        </w:rPr>
        <w:t xml:space="preserve"> Cunningham</w:t>
      </w:r>
      <w:r w:rsidR="0061506D" w:rsidRPr="007865FC">
        <w:rPr>
          <w:sz w:val="20"/>
          <w:szCs w:val="20"/>
          <w:lang w:val="es-DO"/>
        </w:rPr>
        <w:t xml:space="preserve"> </w:t>
      </w:r>
      <w:proofErr w:type="spellStart"/>
      <w:r w:rsidR="0061506D" w:rsidRPr="007865FC">
        <w:rPr>
          <w:sz w:val="20"/>
          <w:szCs w:val="20"/>
          <w:lang w:val="es-DO"/>
        </w:rPr>
        <w:t>Wrem</w:t>
      </w:r>
      <w:proofErr w:type="spellEnd"/>
      <w:r w:rsidR="0061506D" w:rsidRPr="007865FC">
        <w:rPr>
          <w:sz w:val="20"/>
          <w:szCs w:val="20"/>
          <w:lang w:val="es-DO"/>
        </w:rPr>
        <w:t xml:space="preserve"> y José Medrana Coleman, a través de la resolución de 23 de agosto de 2018. </w:t>
      </w:r>
    </w:p>
    <w:p w14:paraId="03DEB1B7" w14:textId="77777777" w:rsidR="0046597D" w:rsidRPr="007865FC" w:rsidRDefault="0046597D" w:rsidP="00E604E5">
      <w:pPr>
        <w:pStyle w:val="Prrafodelista1"/>
        <w:tabs>
          <w:tab w:val="left" w:pos="720"/>
        </w:tabs>
        <w:contextualSpacing w:val="0"/>
        <w:jc w:val="both"/>
        <w:rPr>
          <w:sz w:val="20"/>
          <w:szCs w:val="20"/>
        </w:rPr>
      </w:pPr>
    </w:p>
    <w:p w14:paraId="1154743A" w14:textId="77777777" w:rsidR="0038765A" w:rsidRPr="007865FC" w:rsidRDefault="0061506D" w:rsidP="00E604E5">
      <w:pPr>
        <w:pStyle w:val="Prrafodelista1"/>
        <w:numPr>
          <w:ilvl w:val="0"/>
          <w:numId w:val="2"/>
        </w:numPr>
        <w:tabs>
          <w:tab w:val="clear" w:pos="1068"/>
          <w:tab w:val="left" w:pos="720"/>
        </w:tabs>
        <w:ind w:left="0" w:firstLine="0"/>
        <w:contextualSpacing w:val="0"/>
        <w:jc w:val="both"/>
        <w:rPr>
          <w:rFonts w:eastAsia="MS Mincho"/>
          <w:b/>
          <w:sz w:val="20"/>
          <w:szCs w:val="20"/>
        </w:rPr>
      </w:pPr>
      <w:r w:rsidRPr="007865FC">
        <w:rPr>
          <w:sz w:val="20"/>
          <w:szCs w:val="20"/>
        </w:rPr>
        <w:lastRenderedPageBreak/>
        <w:t xml:space="preserve">Con </w:t>
      </w:r>
      <w:r w:rsidR="00165A81" w:rsidRPr="007865FC">
        <w:rPr>
          <w:sz w:val="20"/>
          <w:szCs w:val="20"/>
        </w:rPr>
        <w:t xml:space="preserve">motivo </w:t>
      </w:r>
      <w:r w:rsidRPr="007865FC">
        <w:rPr>
          <w:sz w:val="20"/>
          <w:szCs w:val="20"/>
        </w:rPr>
        <w:t xml:space="preserve">de la </w:t>
      </w:r>
      <w:r w:rsidR="002D7D61" w:rsidRPr="007865FC">
        <w:rPr>
          <w:sz w:val="20"/>
          <w:szCs w:val="20"/>
        </w:rPr>
        <w:t xml:space="preserve">resolución </w:t>
      </w:r>
      <w:r w:rsidRPr="007865FC">
        <w:rPr>
          <w:sz w:val="20"/>
          <w:szCs w:val="20"/>
        </w:rPr>
        <w:t xml:space="preserve">de 1 de septiembre de 2016, </w:t>
      </w:r>
      <w:r w:rsidR="0038765A" w:rsidRPr="007865FC">
        <w:rPr>
          <w:sz w:val="20"/>
          <w:szCs w:val="20"/>
        </w:rPr>
        <w:t xml:space="preserve">la Corte constató que la Comisión </w:t>
      </w:r>
      <w:r w:rsidRPr="007865FC">
        <w:rPr>
          <w:sz w:val="20"/>
          <w:szCs w:val="20"/>
        </w:rPr>
        <w:t>había solicitado</w:t>
      </w:r>
      <w:r w:rsidR="0038765A" w:rsidRPr="007865FC">
        <w:rPr>
          <w:sz w:val="20"/>
          <w:szCs w:val="20"/>
        </w:rPr>
        <w:t xml:space="preserve"> la adopción de medidas provisionales</w:t>
      </w:r>
      <w:r w:rsidR="00582CBC" w:rsidRPr="007865FC">
        <w:rPr>
          <w:rStyle w:val="Refdenotaalpie"/>
          <w:sz w:val="20"/>
          <w:szCs w:val="20"/>
        </w:rPr>
        <w:footnoteReference w:id="6"/>
      </w:r>
      <w:r w:rsidR="0038765A" w:rsidRPr="007865FC">
        <w:rPr>
          <w:sz w:val="20"/>
          <w:szCs w:val="20"/>
        </w:rPr>
        <w:t xml:space="preserve"> para los pobladores </w:t>
      </w:r>
      <w:r w:rsidR="0038765A" w:rsidRPr="007865FC">
        <w:rPr>
          <w:sz w:val="20"/>
          <w:szCs w:val="20"/>
          <w:lang w:val="es-GT"/>
        </w:rPr>
        <w:t>“de cinco comunidades respecto de las cuales [contaba] con información más reciente sobre su situación de riesgo extre</w:t>
      </w:r>
      <w:r w:rsidR="002D7D61" w:rsidRPr="007865FC">
        <w:rPr>
          <w:sz w:val="20"/>
          <w:szCs w:val="20"/>
          <w:lang w:val="es-GT"/>
        </w:rPr>
        <w:t>mo”, sin perjuicio de que “</w:t>
      </w:r>
      <w:r w:rsidR="0038765A" w:rsidRPr="007865FC">
        <w:rPr>
          <w:sz w:val="20"/>
          <w:szCs w:val="20"/>
          <w:lang w:val="es-GT"/>
        </w:rPr>
        <w:t xml:space="preserve">ante un recrudecimiento del riesgo en las demás comunidades </w:t>
      </w:r>
      <w:proofErr w:type="spellStart"/>
      <w:r w:rsidR="0038765A" w:rsidRPr="007865FC">
        <w:rPr>
          <w:sz w:val="20"/>
          <w:szCs w:val="20"/>
          <w:lang w:val="es-GT"/>
        </w:rPr>
        <w:t>solicit</w:t>
      </w:r>
      <w:proofErr w:type="spellEnd"/>
      <w:r w:rsidR="0038765A" w:rsidRPr="007865FC">
        <w:rPr>
          <w:sz w:val="20"/>
          <w:szCs w:val="20"/>
          <w:lang w:val="es-GT"/>
        </w:rPr>
        <w:t>[ara] una ampliación de las medidas”</w:t>
      </w:r>
      <w:r w:rsidR="0038765A" w:rsidRPr="007865FC">
        <w:rPr>
          <w:rStyle w:val="Refdenotaalpie"/>
          <w:sz w:val="20"/>
          <w:szCs w:val="20"/>
        </w:rPr>
        <w:footnoteReference w:id="7"/>
      </w:r>
      <w:r w:rsidR="0038765A" w:rsidRPr="007865FC">
        <w:rPr>
          <w:sz w:val="20"/>
          <w:szCs w:val="20"/>
          <w:lang w:val="es-GT"/>
        </w:rPr>
        <w:t xml:space="preserve">. </w:t>
      </w:r>
      <w:r w:rsidR="00165A81" w:rsidRPr="007865FC">
        <w:rPr>
          <w:sz w:val="20"/>
          <w:szCs w:val="20"/>
          <w:lang w:val="es-GT"/>
        </w:rPr>
        <w:t>En virtud de las</w:t>
      </w:r>
      <w:r w:rsidR="00875FF1" w:rsidRPr="007865FC">
        <w:rPr>
          <w:sz w:val="20"/>
          <w:szCs w:val="20"/>
          <w:lang w:val="es-GT"/>
        </w:rPr>
        <w:t xml:space="preserve"> resoluciones subsiguientes, la Corte ha podido verificar “</w:t>
      </w:r>
      <w:r w:rsidR="00875FF1" w:rsidRPr="007865FC">
        <w:rPr>
          <w:sz w:val="20"/>
          <w:szCs w:val="20"/>
        </w:rPr>
        <w:t>el recrudecimiento de la situación de riesgo que se presenta en tales comunidades con motivo del proceso de saneamiento territorial”</w:t>
      </w:r>
      <w:r w:rsidR="00875FF1" w:rsidRPr="007865FC">
        <w:rPr>
          <w:rStyle w:val="Refdenotaalpie"/>
          <w:sz w:val="20"/>
          <w:szCs w:val="20"/>
        </w:rPr>
        <w:footnoteReference w:id="8"/>
      </w:r>
      <w:r w:rsidR="00875FF1" w:rsidRPr="007865FC">
        <w:rPr>
          <w:sz w:val="20"/>
          <w:szCs w:val="20"/>
        </w:rPr>
        <w:t>.</w:t>
      </w:r>
    </w:p>
    <w:p w14:paraId="6FFB9821" w14:textId="77777777" w:rsidR="00875FF1" w:rsidRPr="007865FC" w:rsidRDefault="00875FF1" w:rsidP="00E604E5">
      <w:pPr>
        <w:pStyle w:val="Prrafodelista1"/>
        <w:tabs>
          <w:tab w:val="left" w:pos="720"/>
        </w:tabs>
        <w:contextualSpacing w:val="0"/>
        <w:jc w:val="both"/>
        <w:rPr>
          <w:rFonts w:eastAsia="MS Mincho"/>
          <w:b/>
          <w:sz w:val="20"/>
          <w:szCs w:val="20"/>
        </w:rPr>
      </w:pPr>
    </w:p>
    <w:p w14:paraId="220819A2" w14:textId="77777777" w:rsidR="00165A81" w:rsidRPr="007865FC" w:rsidRDefault="00165A81"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 xml:space="preserve">En esta ocasión, la Comisión presenta una solicitud de ampliación de las medidas provisionales para incluir a los miembros de la </w:t>
      </w:r>
      <w:r w:rsidRPr="007865FC">
        <w:rPr>
          <w:i/>
          <w:sz w:val="20"/>
          <w:szCs w:val="20"/>
        </w:rPr>
        <w:t>Comunidad Santa Clara</w:t>
      </w:r>
      <w:r w:rsidR="006462E1" w:rsidRPr="007865FC">
        <w:rPr>
          <w:rStyle w:val="Refdenotaalpie"/>
          <w:sz w:val="20"/>
          <w:szCs w:val="20"/>
        </w:rPr>
        <w:footnoteReference w:id="9"/>
      </w:r>
      <w:r w:rsidRPr="007865FC">
        <w:rPr>
          <w:sz w:val="20"/>
          <w:szCs w:val="20"/>
        </w:rPr>
        <w:t>, sobre la base de la continuación de</w:t>
      </w:r>
      <w:r w:rsidR="006462E1" w:rsidRPr="007865FC">
        <w:rPr>
          <w:sz w:val="20"/>
          <w:szCs w:val="20"/>
        </w:rPr>
        <w:t>sde el 2015 de</w:t>
      </w:r>
      <w:r w:rsidRPr="007865FC">
        <w:rPr>
          <w:sz w:val="20"/>
          <w:szCs w:val="20"/>
        </w:rPr>
        <w:t xml:space="preserve"> amenazas </w:t>
      </w:r>
      <w:r w:rsidR="006462E1" w:rsidRPr="007865FC">
        <w:rPr>
          <w:sz w:val="20"/>
          <w:szCs w:val="20"/>
        </w:rPr>
        <w:t xml:space="preserve">y actos de hostigamiento </w:t>
      </w:r>
      <w:r w:rsidR="00E94F44" w:rsidRPr="007865FC">
        <w:rPr>
          <w:sz w:val="20"/>
          <w:szCs w:val="20"/>
        </w:rPr>
        <w:t xml:space="preserve">contra sus pobladores </w:t>
      </w:r>
      <w:r w:rsidRPr="007865FC">
        <w:rPr>
          <w:sz w:val="20"/>
          <w:szCs w:val="20"/>
        </w:rPr>
        <w:t xml:space="preserve">en el marco del conflicto existente con terceros </w:t>
      </w:r>
      <w:r w:rsidR="006462E1" w:rsidRPr="007865FC">
        <w:rPr>
          <w:sz w:val="20"/>
          <w:szCs w:val="20"/>
        </w:rPr>
        <w:t xml:space="preserve">ajenos a la comunidad </w:t>
      </w:r>
      <w:r w:rsidRPr="007865FC">
        <w:rPr>
          <w:sz w:val="20"/>
          <w:szCs w:val="20"/>
        </w:rPr>
        <w:t>por la titularidad y posesión de sus tierras ancestrales</w:t>
      </w:r>
      <w:r w:rsidR="006462E1" w:rsidRPr="007865FC">
        <w:rPr>
          <w:sz w:val="20"/>
          <w:szCs w:val="20"/>
        </w:rPr>
        <w:t xml:space="preserve">, así como por </w:t>
      </w:r>
      <w:r w:rsidR="00E94F44" w:rsidRPr="007865FC">
        <w:rPr>
          <w:sz w:val="20"/>
          <w:szCs w:val="20"/>
        </w:rPr>
        <w:t>el</w:t>
      </w:r>
      <w:r w:rsidR="006462E1" w:rsidRPr="007865FC">
        <w:rPr>
          <w:sz w:val="20"/>
          <w:szCs w:val="20"/>
        </w:rPr>
        <w:t xml:space="preserve"> agravamiento </w:t>
      </w:r>
      <w:r w:rsidR="00E94F44" w:rsidRPr="007865FC">
        <w:rPr>
          <w:sz w:val="20"/>
          <w:szCs w:val="20"/>
        </w:rPr>
        <w:t xml:space="preserve">de los hechos de violencia </w:t>
      </w:r>
      <w:r w:rsidR="006462E1" w:rsidRPr="007865FC">
        <w:rPr>
          <w:sz w:val="20"/>
          <w:szCs w:val="20"/>
        </w:rPr>
        <w:t xml:space="preserve">en el transcurso del año 2019. </w:t>
      </w:r>
    </w:p>
    <w:p w14:paraId="2BCC2834" w14:textId="77777777" w:rsidR="00165A81" w:rsidRPr="007865FC" w:rsidRDefault="00165A81" w:rsidP="00E604E5">
      <w:pPr>
        <w:pStyle w:val="Prrafodelista1"/>
        <w:tabs>
          <w:tab w:val="left" w:pos="720"/>
        </w:tabs>
        <w:contextualSpacing w:val="0"/>
        <w:jc w:val="both"/>
        <w:rPr>
          <w:sz w:val="20"/>
          <w:szCs w:val="20"/>
        </w:rPr>
      </w:pPr>
    </w:p>
    <w:p w14:paraId="522F3040" w14:textId="77777777" w:rsidR="00AF53D7" w:rsidRPr="007865FC" w:rsidRDefault="00743C47"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La Corte recuerda que, para la disposición de medidas provisionales, el artículo 63.2 de la Convención Americana exige la concurrencia de tres condiciones: i) “extrema gravedad”; ii) “urgencia”, y iii) que se trate de “evitar daños irreparables” a las personas. Estas tres condiciones son coexistentes y deben estar presentes en toda situación en la que se solicite la intervención del Tribunal a través de una medida provisional</w:t>
      </w:r>
      <w:r w:rsidRPr="007865FC">
        <w:rPr>
          <w:rStyle w:val="Refdenotaalpie"/>
          <w:sz w:val="20"/>
          <w:szCs w:val="20"/>
        </w:rPr>
        <w:footnoteReference w:id="10"/>
      </w:r>
      <w:r w:rsidR="00AF53D7" w:rsidRPr="007865FC">
        <w:rPr>
          <w:sz w:val="20"/>
          <w:szCs w:val="20"/>
        </w:rPr>
        <w:t>. Del mismo modo, estas tres condiciones deben concurrir para que la Corte pueda ampliar las medidas provisionales</w:t>
      </w:r>
      <w:r w:rsidR="00AF53D7" w:rsidRPr="007865FC">
        <w:rPr>
          <w:rStyle w:val="Refdenotaalpie"/>
          <w:sz w:val="20"/>
          <w:szCs w:val="20"/>
        </w:rPr>
        <w:footnoteReference w:id="11"/>
      </w:r>
      <w:r w:rsidR="00AF53D7" w:rsidRPr="007865FC">
        <w:rPr>
          <w:sz w:val="20"/>
          <w:szCs w:val="20"/>
        </w:rPr>
        <w:t xml:space="preserve">. </w:t>
      </w:r>
    </w:p>
    <w:p w14:paraId="775AED86" w14:textId="77777777" w:rsidR="00AF53D7" w:rsidRPr="007865FC" w:rsidRDefault="00AF53D7" w:rsidP="00E604E5">
      <w:pPr>
        <w:pStyle w:val="Prrafodelista1"/>
        <w:tabs>
          <w:tab w:val="left" w:pos="720"/>
        </w:tabs>
        <w:contextualSpacing w:val="0"/>
        <w:jc w:val="both"/>
        <w:rPr>
          <w:sz w:val="20"/>
          <w:szCs w:val="20"/>
        </w:rPr>
      </w:pPr>
    </w:p>
    <w:p w14:paraId="76572B8E" w14:textId="77777777" w:rsidR="0038765A" w:rsidRPr="007865FC" w:rsidRDefault="0038765A"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Esta Corte ha considerado como un criterio para otorgar la ampliación de medidas provisionales que los hechos alegados en la solicitud tengan una conexión fáctica con los eventos que justificaron la adopción de medidas provisionales</w:t>
      </w:r>
      <w:r w:rsidRPr="007865FC">
        <w:rPr>
          <w:rStyle w:val="Refdenotaalpie"/>
          <w:sz w:val="20"/>
          <w:szCs w:val="20"/>
        </w:rPr>
        <w:footnoteReference w:id="12"/>
      </w:r>
      <w:r w:rsidRPr="007865FC">
        <w:rPr>
          <w:sz w:val="20"/>
          <w:szCs w:val="20"/>
        </w:rPr>
        <w:t xml:space="preserve">. Además, ha señalado que si bien es cierto los hechos que motivan una solicitud de medidas provisionales o ampliación de las mismas no requieren estar plenamente comprobados, sí se requiere un mínimo de detalle e información que permitan al Tribunal apreciar </w:t>
      </w:r>
      <w:r w:rsidRPr="007865FC">
        <w:rPr>
          <w:i/>
          <w:sz w:val="20"/>
          <w:szCs w:val="20"/>
        </w:rPr>
        <w:t xml:space="preserve">prima facie </w:t>
      </w:r>
      <w:r w:rsidRPr="007865FC">
        <w:rPr>
          <w:sz w:val="20"/>
          <w:szCs w:val="20"/>
        </w:rPr>
        <w:t>una situación de extrema gravedad y urgencia</w:t>
      </w:r>
      <w:r w:rsidRPr="007865FC">
        <w:rPr>
          <w:rStyle w:val="Refdenotaalpie"/>
          <w:sz w:val="20"/>
          <w:szCs w:val="20"/>
        </w:rPr>
        <w:footnoteReference w:id="13"/>
      </w:r>
      <w:r w:rsidRPr="007865FC">
        <w:rPr>
          <w:sz w:val="20"/>
          <w:szCs w:val="20"/>
        </w:rPr>
        <w:t>.</w:t>
      </w:r>
    </w:p>
    <w:p w14:paraId="092EECC9" w14:textId="77777777" w:rsidR="0038765A" w:rsidRPr="007865FC" w:rsidRDefault="0038765A" w:rsidP="00E604E5">
      <w:pPr>
        <w:pStyle w:val="Prrafodelista"/>
        <w:contextualSpacing w:val="0"/>
        <w:jc w:val="both"/>
        <w:rPr>
          <w:rFonts w:ascii="Verdana" w:hAnsi="Verdana"/>
          <w:sz w:val="20"/>
        </w:rPr>
      </w:pPr>
    </w:p>
    <w:p w14:paraId="683E9AC8" w14:textId="77777777" w:rsidR="00582CBC" w:rsidRPr="007865FC" w:rsidRDefault="0038765A"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De la informa</w:t>
      </w:r>
      <w:r w:rsidR="00582CBC" w:rsidRPr="007865FC">
        <w:rPr>
          <w:sz w:val="20"/>
          <w:szCs w:val="20"/>
        </w:rPr>
        <w:t xml:space="preserve">ción presentada a la Corte, se desprende que actualmente los integrantes de la </w:t>
      </w:r>
      <w:r w:rsidR="00582CBC" w:rsidRPr="007865FC">
        <w:rPr>
          <w:i/>
          <w:sz w:val="20"/>
          <w:szCs w:val="20"/>
        </w:rPr>
        <w:t>Comunidad Santa Clara</w:t>
      </w:r>
      <w:r w:rsidR="00582CBC" w:rsidRPr="007865FC">
        <w:rPr>
          <w:sz w:val="20"/>
          <w:szCs w:val="20"/>
        </w:rPr>
        <w:t xml:space="preserve"> se encuentran en una situación de riesgo debido a la presencia consta</w:t>
      </w:r>
      <w:r w:rsidR="00E94F44" w:rsidRPr="007865FC">
        <w:rPr>
          <w:sz w:val="20"/>
          <w:szCs w:val="20"/>
        </w:rPr>
        <w:t>n</w:t>
      </w:r>
      <w:r w:rsidR="00582CBC" w:rsidRPr="007865FC">
        <w:rPr>
          <w:sz w:val="20"/>
          <w:szCs w:val="20"/>
        </w:rPr>
        <w:t>te de ter</w:t>
      </w:r>
      <w:r w:rsidR="001A3E0D" w:rsidRPr="007865FC">
        <w:rPr>
          <w:sz w:val="20"/>
          <w:szCs w:val="20"/>
        </w:rPr>
        <w:t xml:space="preserve">ceros </w:t>
      </w:r>
      <w:r w:rsidR="00E94F44" w:rsidRPr="007865FC">
        <w:rPr>
          <w:sz w:val="20"/>
          <w:szCs w:val="20"/>
        </w:rPr>
        <w:t xml:space="preserve">(referidos como “colonos”) </w:t>
      </w:r>
      <w:r w:rsidR="001A3E0D" w:rsidRPr="007865FC">
        <w:rPr>
          <w:sz w:val="20"/>
          <w:szCs w:val="20"/>
        </w:rPr>
        <w:t>en sus tierras comunales</w:t>
      </w:r>
      <w:r w:rsidR="00582CBC" w:rsidRPr="007865FC">
        <w:rPr>
          <w:sz w:val="20"/>
          <w:szCs w:val="20"/>
        </w:rPr>
        <w:t xml:space="preserve">, que se ha venido agravando con hechos como el secuestro de algunos de sus pobladores y las amenazas por estos recibidos a manos de </w:t>
      </w:r>
      <w:r w:rsidR="001A3E0D" w:rsidRPr="007865FC">
        <w:rPr>
          <w:sz w:val="20"/>
          <w:szCs w:val="20"/>
        </w:rPr>
        <w:t xml:space="preserve">“colonos” armados, quienes construyen carriles en sus parcelas y les impiden el acceso a zonas donde antes realizaban las actividades tradicionales que les permitían procurar los medios para su subsistencia. </w:t>
      </w:r>
    </w:p>
    <w:p w14:paraId="44C4DA99" w14:textId="77777777" w:rsidR="00582CBC" w:rsidRPr="007865FC" w:rsidRDefault="00582CBC" w:rsidP="00E604E5">
      <w:pPr>
        <w:pStyle w:val="Prrafodelista1"/>
        <w:tabs>
          <w:tab w:val="left" w:pos="720"/>
        </w:tabs>
        <w:contextualSpacing w:val="0"/>
        <w:jc w:val="both"/>
        <w:rPr>
          <w:sz w:val="20"/>
          <w:szCs w:val="20"/>
        </w:rPr>
      </w:pPr>
    </w:p>
    <w:p w14:paraId="4F0307A8" w14:textId="63B20CA0" w:rsidR="0038765A" w:rsidRPr="007865FC" w:rsidRDefault="0038765A"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De lo anterior</w:t>
      </w:r>
      <w:r w:rsidR="009D636A" w:rsidRPr="007865FC">
        <w:rPr>
          <w:sz w:val="20"/>
          <w:szCs w:val="20"/>
        </w:rPr>
        <w:t xml:space="preserve">, </w:t>
      </w:r>
      <w:r w:rsidR="00E94F44" w:rsidRPr="007865FC">
        <w:rPr>
          <w:sz w:val="20"/>
          <w:szCs w:val="20"/>
        </w:rPr>
        <w:t xml:space="preserve">se constata la configuración de </w:t>
      </w:r>
      <w:r w:rsidRPr="007865FC">
        <w:rPr>
          <w:sz w:val="20"/>
          <w:szCs w:val="20"/>
        </w:rPr>
        <w:t xml:space="preserve">elementos que reflejan una situación de extrema gravedad y urgencia, con la </w:t>
      </w:r>
      <w:r w:rsidR="00E94F44" w:rsidRPr="007865FC">
        <w:rPr>
          <w:sz w:val="20"/>
          <w:szCs w:val="20"/>
        </w:rPr>
        <w:t xml:space="preserve">posibilidad razonable de que </w:t>
      </w:r>
      <w:r w:rsidRPr="007865FC">
        <w:rPr>
          <w:sz w:val="20"/>
          <w:szCs w:val="20"/>
        </w:rPr>
        <w:t xml:space="preserve">continúen </w:t>
      </w:r>
      <w:r w:rsidR="00E94F44" w:rsidRPr="007865FC">
        <w:rPr>
          <w:sz w:val="20"/>
          <w:szCs w:val="20"/>
        </w:rPr>
        <w:t>materializándose</w:t>
      </w:r>
      <w:r w:rsidRPr="007865FC">
        <w:rPr>
          <w:sz w:val="20"/>
          <w:szCs w:val="20"/>
        </w:rPr>
        <w:t xml:space="preserve"> daños irreparables a los derechos a la vida e integridad personal de los miembros </w:t>
      </w:r>
      <w:r w:rsidR="00F212E9" w:rsidRPr="007865FC">
        <w:rPr>
          <w:sz w:val="20"/>
          <w:szCs w:val="20"/>
        </w:rPr>
        <w:t xml:space="preserve">de la </w:t>
      </w:r>
      <w:r w:rsidR="00F212E9" w:rsidRPr="007865FC">
        <w:rPr>
          <w:i/>
          <w:sz w:val="20"/>
          <w:szCs w:val="20"/>
        </w:rPr>
        <w:t>Comunidad Santa Clara</w:t>
      </w:r>
      <w:r w:rsidRPr="007865FC">
        <w:rPr>
          <w:sz w:val="20"/>
          <w:szCs w:val="20"/>
        </w:rPr>
        <w:t xml:space="preserve">. </w:t>
      </w:r>
      <w:r w:rsidR="00F212E9" w:rsidRPr="007865FC">
        <w:rPr>
          <w:sz w:val="20"/>
          <w:szCs w:val="20"/>
        </w:rPr>
        <w:t xml:space="preserve">De igual </w:t>
      </w:r>
      <w:r w:rsidR="00527D26" w:rsidRPr="007865FC">
        <w:rPr>
          <w:sz w:val="20"/>
          <w:szCs w:val="20"/>
        </w:rPr>
        <w:t>manera</w:t>
      </w:r>
      <w:r w:rsidR="00F212E9" w:rsidRPr="007865FC">
        <w:rPr>
          <w:sz w:val="20"/>
          <w:szCs w:val="20"/>
        </w:rPr>
        <w:t>, la Corte observa que los hechos denunciados mantiene</w:t>
      </w:r>
      <w:r w:rsidR="00955926" w:rsidRPr="007865FC">
        <w:rPr>
          <w:sz w:val="20"/>
          <w:szCs w:val="20"/>
        </w:rPr>
        <w:t>n</w:t>
      </w:r>
      <w:r w:rsidR="00F212E9" w:rsidRPr="007865FC">
        <w:rPr>
          <w:sz w:val="20"/>
          <w:szCs w:val="20"/>
        </w:rPr>
        <w:t xml:space="preserve"> una conexión fáctica con las medidas provisionales otorgadas el 1 de septiembre de 2016 y ampliadas mediante resoluciones de </w:t>
      </w:r>
      <w:r w:rsidR="00F212E9" w:rsidRPr="007865FC">
        <w:rPr>
          <w:sz w:val="20"/>
          <w:szCs w:val="20"/>
          <w:lang w:val="es-MX"/>
        </w:rPr>
        <w:t>23 de noviembre de 2016, 30 d</w:t>
      </w:r>
      <w:r w:rsidR="00955926" w:rsidRPr="007865FC">
        <w:rPr>
          <w:sz w:val="20"/>
          <w:szCs w:val="20"/>
          <w:lang w:val="es-MX"/>
        </w:rPr>
        <w:t xml:space="preserve">e junio y 22 de agosto de 2017 </w:t>
      </w:r>
      <w:r w:rsidR="00F212E9" w:rsidRPr="007865FC">
        <w:rPr>
          <w:sz w:val="20"/>
          <w:szCs w:val="20"/>
          <w:lang w:val="es-MX"/>
        </w:rPr>
        <w:t>y 23 de agosto de 2018, toda vez que derivan del contexto de violencia imperante en la Costa Caribe No</w:t>
      </w:r>
      <w:r w:rsidR="00220609" w:rsidRPr="007865FC">
        <w:rPr>
          <w:sz w:val="20"/>
          <w:szCs w:val="20"/>
          <w:lang w:val="es-MX"/>
        </w:rPr>
        <w:t>r</w:t>
      </w:r>
      <w:r w:rsidR="00F212E9" w:rsidRPr="007865FC">
        <w:rPr>
          <w:sz w:val="20"/>
          <w:szCs w:val="20"/>
          <w:lang w:val="es-MX"/>
        </w:rPr>
        <w:t xml:space="preserve">te como resultado del conflicto entre </w:t>
      </w:r>
      <w:r w:rsidR="00E94F44" w:rsidRPr="007865FC">
        <w:rPr>
          <w:sz w:val="20"/>
          <w:szCs w:val="20"/>
          <w:lang w:val="es-MX"/>
        </w:rPr>
        <w:t>terceros y las comunidades del Pueblo I</w:t>
      </w:r>
      <w:r w:rsidR="00F212E9" w:rsidRPr="007865FC">
        <w:rPr>
          <w:sz w:val="20"/>
          <w:szCs w:val="20"/>
          <w:lang w:val="es-MX"/>
        </w:rPr>
        <w:t xml:space="preserve">ndígena </w:t>
      </w:r>
      <w:proofErr w:type="spellStart"/>
      <w:r w:rsidR="00F212E9" w:rsidRPr="007865FC">
        <w:rPr>
          <w:i/>
          <w:sz w:val="20"/>
          <w:szCs w:val="20"/>
          <w:lang w:val="es-MX"/>
        </w:rPr>
        <w:t>Miskitu</w:t>
      </w:r>
      <w:proofErr w:type="spellEnd"/>
      <w:r w:rsidR="00F212E9" w:rsidRPr="007865FC">
        <w:rPr>
          <w:sz w:val="20"/>
          <w:szCs w:val="20"/>
          <w:lang w:val="es-MX"/>
        </w:rPr>
        <w:t xml:space="preserve"> </w:t>
      </w:r>
      <w:r w:rsidR="00955926" w:rsidRPr="007865FC">
        <w:rPr>
          <w:sz w:val="20"/>
          <w:szCs w:val="20"/>
          <w:lang w:val="es-MX"/>
        </w:rPr>
        <w:t xml:space="preserve">por la reivindicación de sus tierras ancestrales. </w:t>
      </w:r>
    </w:p>
    <w:p w14:paraId="42499D56" w14:textId="77777777" w:rsidR="00955926" w:rsidRPr="007865FC" w:rsidRDefault="00955926" w:rsidP="00E604E5">
      <w:pPr>
        <w:pStyle w:val="Prrafodelista1"/>
        <w:tabs>
          <w:tab w:val="left" w:pos="720"/>
        </w:tabs>
        <w:contextualSpacing w:val="0"/>
        <w:jc w:val="both"/>
        <w:rPr>
          <w:sz w:val="20"/>
          <w:szCs w:val="20"/>
        </w:rPr>
      </w:pPr>
    </w:p>
    <w:p w14:paraId="1D25B5E6" w14:textId="77777777" w:rsidR="00394D34" w:rsidRPr="007865FC" w:rsidRDefault="00E94F44"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E</w:t>
      </w:r>
      <w:r w:rsidR="00955926" w:rsidRPr="007865FC">
        <w:rPr>
          <w:sz w:val="20"/>
          <w:szCs w:val="20"/>
        </w:rPr>
        <w:t xml:space="preserve">n relación a los hechos de violencia supervinientes contra los integrantes de la </w:t>
      </w:r>
      <w:r w:rsidR="00955926" w:rsidRPr="007865FC">
        <w:rPr>
          <w:i/>
          <w:sz w:val="20"/>
          <w:szCs w:val="20"/>
        </w:rPr>
        <w:t>Comunidad Santa Clara</w:t>
      </w:r>
      <w:r w:rsidRPr="007865FC">
        <w:rPr>
          <w:sz w:val="20"/>
          <w:szCs w:val="20"/>
        </w:rPr>
        <w:t>, los cuales no han sido controvertidos por el Estado</w:t>
      </w:r>
      <w:r w:rsidR="003C7661" w:rsidRPr="007865FC">
        <w:rPr>
          <w:i/>
          <w:sz w:val="20"/>
          <w:szCs w:val="20"/>
        </w:rPr>
        <w:t>,</w:t>
      </w:r>
      <w:r w:rsidR="00955926" w:rsidRPr="007865FC">
        <w:rPr>
          <w:sz w:val="20"/>
          <w:szCs w:val="20"/>
        </w:rPr>
        <w:t xml:space="preserve"> </w:t>
      </w:r>
      <w:r w:rsidRPr="007865FC">
        <w:rPr>
          <w:sz w:val="20"/>
          <w:szCs w:val="20"/>
        </w:rPr>
        <w:t xml:space="preserve">la Corte advierte que este todavía no </w:t>
      </w:r>
      <w:r w:rsidR="00955926" w:rsidRPr="007865FC">
        <w:rPr>
          <w:sz w:val="20"/>
          <w:szCs w:val="20"/>
        </w:rPr>
        <w:t xml:space="preserve">ha adoptado medidas concretas para proteger </w:t>
      </w:r>
      <w:r w:rsidR="005034D1" w:rsidRPr="007865FC">
        <w:rPr>
          <w:sz w:val="20"/>
          <w:szCs w:val="20"/>
        </w:rPr>
        <w:t xml:space="preserve">la </w:t>
      </w:r>
      <w:r w:rsidR="003C7661" w:rsidRPr="007865FC">
        <w:rPr>
          <w:sz w:val="20"/>
          <w:szCs w:val="20"/>
        </w:rPr>
        <w:t xml:space="preserve">vida e integridad personal </w:t>
      </w:r>
      <w:r w:rsidR="005034D1" w:rsidRPr="007865FC">
        <w:rPr>
          <w:sz w:val="20"/>
          <w:szCs w:val="20"/>
        </w:rPr>
        <w:t xml:space="preserve">de los miembros de dicha comunidad, </w:t>
      </w:r>
      <w:r w:rsidR="00955926" w:rsidRPr="007865FC">
        <w:rPr>
          <w:sz w:val="20"/>
          <w:szCs w:val="20"/>
        </w:rPr>
        <w:t xml:space="preserve">más allá de las entrevistas a </w:t>
      </w:r>
      <w:r w:rsidR="005034D1" w:rsidRPr="007865FC">
        <w:rPr>
          <w:sz w:val="20"/>
          <w:szCs w:val="20"/>
        </w:rPr>
        <w:t xml:space="preserve">algunas de las </w:t>
      </w:r>
      <w:r w:rsidR="00955926" w:rsidRPr="007865FC">
        <w:rPr>
          <w:sz w:val="20"/>
          <w:szCs w:val="20"/>
        </w:rPr>
        <w:t xml:space="preserve">personas afectadas </w:t>
      </w:r>
      <w:r w:rsidR="00394D34" w:rsidRPr="007865FC">
        <w:rPr>
          <w:sz w:val="20"/>
          <w:szCs w:val="20"/>
        </w:rPr>
        <w:t xml:space="preserve">y las denuncias por </w:t>
      </w:r>
      <w:r w:rsidR="003C7661" w:rsidRPr="007865FC">
        <w:rPr>
          <w:sz w:val="20"/>
          <w:szCs w:val="20"/>
        </w:rPr>
        <w:t>estas</w:t>
      </w:r>
      <w:r w:rsidR="00394D34" w:rsidRPr="007865FC">
        <w:rPr>
          <w:sz w:val="20"/>
          <w:szCs w:val="20"/>
        </w:rPr>
        <w:t xml:space="preserve"> realizadas ante la Policía Nacional</w:t>
      </w:r>
      <w:r w:rsidR="003C7661" w:rsidRPr="007865FC">
        <w:rPr>
          <w:sz w:val="20"/>
          <w:szCs w:val="20"/>
        </w:rPr>
        <w:t>, las cuales resultan insuficientes a la luz de la gravedad de los hechos denunciados.</w:t>
      </w:r>
    </w:p>
    <w:p w14:paraId="4AC0013C" w14:textId="77777777" w:rsidR="00394D34" w:rsidRPr="007865FC" w:rsidRDefault="00394D34" w:rsidP="00E604E5">
      <w:pPr>
        <w:pStyle w:val="Prrafodelista1"/>
        <w:tabs>
          <w:tab w:val="left" w:pos="720"/>
        </w:tabs>
        <w:contextualSpacing w:val="0"/>
        <w:jc w:val="both"/>
        <w:rPr>
          <w:sz w:val="20"/>
          <w:szCs w:val="20"/>
        </w:rPr>
      </w:pPr>
    </w:p>
    <w:p w14:paraId="42FC3BFB" w14:textId="7D5F4A03" w:rsidR="0038765A" w:rsidRPr="007865FC" w:rsidRDefault="00394D34" w:rsidP="00E604E5">
      <w:pPr>
        <w:pStyle w:val="Prrafodelista1"/>
        <w:numPr>
          <w:ilvl w:val="0"/>
          <w:numId w:val="2"/>
        </w:numPr>
        <w:tabs>
          <w:tab w:val="clear" w:pos="1068"/>
          <w:tab w:val="left" w:pos="720"/>
        </w:tabs>
        <w:ind w:left="0" w:firstLine="0"/>
        <w:contextualSpacing w:val="0"/>
        <w:jc w:val="both"/>
        <w:rPr>
          <w:sz w:val="20"/>
          <w:szCs w:val="20"/>
        </w:rPr>
      </w:pPr>
      <w:r w:rsidRPr="007865FC">
        <w:rPr>
          <w:sz w:val="20"/>
          <w:szCs w:val="20"/>
        </w:rPr>
        <w:t xml:space="preserve">Así las cosas, de conformidad con el </w:t>
      </w:r>
      <w:r w:rsidR="0038765A" w:rsidRPr="007865FC">
        <w:rPr>
          <w:sz w:val="20"/>
          <w:szCs w:val="20"/>
        </w:rPr>
        <w:t xml:space="preserve">estándar </w:t>
      </w:r>
      <w:r w:rsidR="0038765A" w:rsidRPr="007865FC">
        <w:rPr>
          <w:i/>
          <w:sz w:val="20"/>
          <w:szCs w:val="20"/>
        </w:rPr>
        <w:t xml:space="preserve">prima facie, </w:t>
      </w:r>
      <w:r w:rsidRPr="007865FC">
        <w:rPr>
          <w:sz w:val="20"/>
          <w:szCs w:val="20"/>
        </w:rPr>
        <w:t>la Corte estima</w:t>
      </w:r>
      <w:r w:rsidR="0038765A" w:rsidRPr="007865FC">
        <w:rPr>
          <w:sz w:val="20"/>
          <w:szCs w:val="20"/>
        </w:rPr>
        <w:t xml:space="preserve"> que se encuentran reunidos los requisitos de extrema gravedad, urgencia y peligro inminente de daño irreparable a los derechos de los </w:t>
      </w:r>
      <w:r w:rsidR="00003DB7" w:rsidRPr="007865FC">
        <w:rPr>
          <w:sz w:val="20"/>
          <w:szCs w:val="20"/>
        </w:rPr>
        <w:t>integrantes</w:t>
      </w:r>
      <w:r w:rsidR="0038765A" w:rsidRPr="007865FC">
        <w:rPr>
          <w:sz w:val="20"/>
          <w:szCs w:val="20"/>
        </w:rPr>
        <w:t xml:space="preserve"> de la </w:t>
      </w:r>
      <w:r w:rsidR="0038765A" w:rsidRPr="007865FC">
        <w:rPr>
          <w:i/>
          <w:sz w:val="20"/>
          <w:szCs w:val="20"/>
        </w:rPr>
        <w:t xml:space="preserve">Comunidad </w:t>
      </w:r>
      <w:r w:rsidR="00003DB7" w:rsidRPr="007865FC">
        <w:rPr>
          <w:i/>
          <w:sz w:val="20"/>
          <w:szCs w:val="20"/>
        </w:rPr>
        <w:t>Santa Clara</w:t>
      </w:r>
      <w:r w:rsidR="0038765A" w:rsidRPr="007865FC">
        <w:rPr>
          <w:i/>
          <w:sz w:val="20"/>
          <w:szCs w:val="20"/>
        </w:rPr>
        <w:t xml:space="preserve"> </w:t>
      </w:r>
      <w:r w:rsidR="0038765A" w:rsidRPr="007865FC">
        <w:rPr>
          <w:sz w:val="20"/>
          <w:szCs w:val="20"/>
        </w:rPr>
        <w:t xml:space="preserve">que requiere su protección a través del mecanismo de medidas provisionales. </w:t>
      </w:r>
      <w:r w:rsidRPr="007865FC">
        <w:rPr>
          <w:sz w:val="20"/>
          <w:szCs w:val="20"/>
        </w:rPr>
        <w:t xml:space="preserve">Por consiguiente, </w:t>
      </w:r>
      <w:r w:rsidR="00E6749C" w:rsidRPr="007865FC">
        <w:rPr>
          <w:spacing w:val="-4"/>
          <w:sz w:val="20"/>
          <w:szCs w:val="20"/>
          <w:lang w:val="es-MX"/>
        </w:rPr>
        <w:t>l</w:t>
      </w:r>
      <w:r w:rsidRPr="007865FC">
        <w:rPr>
          <w:spacing w:val="-4"/>
          <w:sz w:val="20"/>
          <w:szCs w:val="20"/>
          <w:lang w:val="es-MX"/>
        </w:rPr>
        <w:t xml:space="preserve">a Corte considera necesario que el Estado incluya a la </w:t>
      </w:r>
      <w:r w:rsidRPr="007865FC">
        <w:rPr>
          <w:i/>
          <w:spacing w:val="-4"/>
          <w:sz w:val="20"/>
          <w:szCs w:val="20"/>
          <w:lang w:val="es-MX"/>
        </w:rPr>
        <w:t xml:space="preserve">Comunidad Santa Clara </w:t>
      </w:r>
      <w:r w:rsidRPr="007865FC">
        <w:rPr>
          <w:spacing w:val="-4"/>
          <w:sz w:val="20"/>
          <w:szCs w:val="20"/>
          <w:lang w:val="es-MX"/>
        </w:rPr>
        <w:t>en las presentes medidas.</w:t>
      </w:r>
    </w:p>
    <w:p w14:paraId="7F757549" w14:textId="77777777" w:rsidR="00A220A1" w:rsidRPr="007865FC" w:rsidRDefault="00A220A1" w:rsidP="00E604E5">
      <w:pPr>
        <w:pStyle w:val="Prrafodelista1"/>
        <w:tabs>
          <w:tab w:val="left" w:pos="720"/>
        </w:tabs>
        <w:contextualSpacing w:val="0"/>
        <w:jc w:val="both"/>
        <w:rPr>
          <w:iCs/>
          <w:sz w:val="20"/>
          <w:szCs w:val="20"/>
        </w:rPr>
      </w:pPr>
    </w:p>
    <w:p w14:paraId="4C47C124" w14:textId="77777777" w:rsidR="0038765A" w:rsidRPr="007865FC" w:rsidRDefault="0038765A" w:rsidP="00E604E5">
      <w:pPr>
        <w:pStyle w:val="Prrafodelista1"/>
        <w:tabs>
          <w:tab w:val="left" w:pos="720"/>
        </w:tabs>
        <w:contextualSpacing w:val="0"/>
        <w:jc w:val="both"/>
        <w:rPr>
          <w:b/>
          <w:sz w:val="20"/>
          <w:szCs w:val="20"/>
          <w:lang w:val="es-GT"/>
        </w:rPr>
      </w:pPr>
      <w:r w:rsidRPr="007865FC">
        <w:rPr>
          <w:b/>
          <w:sz w:val="20"/>
          <w:szCs w:val="20"/>
          <w:lang w:val="es-GT"/>
        </w:rPr>
        <w:t>POR TANTO:</w:t>
      </w:r>
    </w:p>
    <w:p w14:paraId="77C94EA7" w14:textId="77777777" w:rsidR="0038765A" w:rsidRPr="007865FC" w:rsidRDefault="0038765A" w:rsidP="00E604E5">
      <w:pPr>
        <w:spacing w:after="0" w:line="240" w:lineRule="auto"/>
        <w:ind w:right="18"/>
        <w:jc w:val="both"/>
        <w:rPr>
          <w:rFonts w:ascii="Verdana" w:hAnsi="Verdana"/>
          <w:b/>
          <w:sz w:val="20"/>
          <w:szCs w:val="20"/>
          <w:lang w:val="es-GT"/>
        </w:rPr>
      </w:pPr>
    </w:p>
    <w:p w14:paraId="00DB4EF0" w14:textId="77777777" w:rsidR="0038765A" w:rsidRPr="007865FC" w:rsidRDefault="0038765A" w:rsidP="00E604E5">
      <w:pPr>
        <w:spacing w:after="0" w:line="240" w:lineRule="auto"/>
        <w:ind w:right="18"/>
        <w:jc w:val="both"/>
        <w:rPr>
          <w:rFonts w:ascii="Verdana" w:hAnsi="Verdana"/>
          <w:b/>
          <w:sz w:val="20"/>
          <w:szCs w:val="20"/>
          <w:lang w:val="es-GT"/>
        </w:rPr>
      </w:pPr>
      <w:r w:rsidRPr="007865FC">
        <w:rPr>
          <w:rFonts w:ascii="Verdana" w:hAnsi="Verdana"/>
          <w:b/>
          <w:sz w:val="20"/>
          <w:szCs w:val="20"/>
          <w:lang w:val="es-GT"/>
        </w:rPr>
        <w:t>LA CORTE INTERAMERICANA DE DERECHOS HUMANOS,</w:t>
      </w:r>
    </w:p>
    <w:p w14:paraId="787000CF" w14:textId="77777777" w:rsidR="0038765A" w:rsidRPr="007865FC" w:rsidRDefault="0038765A" w:rsidP="00E604E5">
      <w:pPr>
        <w:spacing w:after="0" w:line="240" w:lineRule="auto"/>
        <w:ind w:right="18"/>
        <w:jc w:val="both"/>
        <w:rPr>
          <w:rFonts w:ascii="Verdana" w:hAnsi="Verdana"/>
          <w:b/>
          <w:sz w:val="20"/>
          <w:szCs w:val="20"/>
          <w:lang w:val="es-GT"/>
        </w:rPr>
      </w:pPr>
    </w:p>
    <w:p w14:paraId="7BDC0B2B" w14:textId="77777777" w:rsidR="0038765A" w:rsidRPr="007865FC" w:rsidRDefault="0038765A" w:rsidP="00E604E5">
      <w:pPr>
        <w:spacing w:after="0" w:line="240" w:lineRule="auto"/>
        <w:jc w:val="both"/>
        <w:rPr>
          <w:rFonts w:ascii="Verdana" w:hAnsi="Verdana"/>
          <w:sz w:val="20"/>
          <w:szCs w:val="20"/>
          <w:lang w:val="es-MX"/>
        </w:rPr>
      </w:pPr>
      <w:r w:rsidRPr="007865FC">
        <w:rPr>
          <w:rFonts w:ascii="Verdana" w:hAnsi="Verdana"/>
          <w:sz w:val="20"/>
          <w:szCs w:val="20"/>
          <w:lang w:val="es-MX"/>
        </w:rPr>
        <w:t>en uso de las atribuciones que le confieren el artículo 63.2 de la Convención Americana, y los artículos 27 y 31 del Reglamento de la Corte,</w:t>
      </w:r>
    </w:p>
    <w:p w14:paraId="264742F4" w14:textId="77777777" w:rsidR="007E1451" w:rsidRPr="007865FC" w:rsidRDefault="007E1451" w:rsidP="00E604E5">
      <w:pPr>
        <w:tabs>
          <w:tab w:val="left" w:pos="680"/>
        </w:tabs>
        <w:spacing w:after="0" w:line="240" w:lineRule="auto"/>
        <w:ind w:right="18"/>
        <w:jc w:val="both"/>
        <w:rPr>
          <w:rFonts w:ascii="Verdana" w:hAnsi="Verdana"/>
          <w:b/>
          <w:sz w:val="20"/>
          <w:szCs w:val="20"/>
          <w:lang w:val="es-CR"/>
        </w:rPr>
      </w:pPr>
    </w:p>
    <w:p w14:paraId="43A573AC" w14:textId="7EC8A59E" w:rsidR="0038765A" w:rsidRDefault="0038765A" w:rsidP="00E604E5">
      <w:pPr>
        <w:tabs>
          <w:tab w:val="left" w:pos="680"/>
        </w:tabs>
        <w:spacing w:after="0" w:line="240" w:lineRule="auto"/>
        <w:ind w:right="18"/>
        <w:jc w:val="both"/>
        <w:rPr>
          <w:rFonts w:ascii="Verdana" w:hAnsi="Verdana"/>
          <w:b/>
          <w:sz w:val="20"/>
          <w:szCs w:val="20"/>
        </w:rPr>
      </w:pPr>
      <w:r w:rsidRPr="007865FC">
        <w:rPr>
          <w:rFonts w:ascii="Verdana" w:hAnsi="Verdana"/>
          <w:b/>
          <w:sz w:val="20"/>
          <w:szCs w:val="20"/>
        </w:rPr>
        <w:t>RESUELVE:</w:t>
      </w:r>
    </w:p>
    <w:p w14:paraId="3D535B7C" w14:textId="77777777" w:rsidR="0038765A" w:rsidRPr="007865FC" w:rsidRDefault="0038765A" w:rsidP="00E604E5">
      <w:pPr>
        <w:spacing w:after="0" w:line="240" w:lineRule="auto"/>
        <w:ind w:right="18"/>
        <w:jc w:val="both"/>
        <w:rPr>
          <w:rFonts w:ascii="Verdana" w:hAnsi="Verdana"/>
          <w:sz w:val="20"/>
          <w:szCs w:val="20"/>
          <w:lang w:val="es-GT"/>
        </w:rPr>
      </w:pPr>
    </w:p>
    <w:p w14:paraId="41E98142" w14:textId="77777777" w:rsidR="008D4FA3" w:rsidRPr="00A12991" w:rsidRDefault="0038765A" w:rsidP="00E604E5">
      <w:pPr>
        <w:numPr>
          <w:ilvl w:val="0"/>
          <w:numId w:val="5"/>
        </w:numPr>
        <w:spacing w:after="0" w:line="240" w:lineRule="auto"/>
        <w:ind w:left="0" w:right="18" w:firstLine="0"/>
        <w:jc w:val="both"/>
        <w:rPr>
          <w:rFonts w:ascii="Verdana" w:hAnsi="Verdana"/>
          <w:sz w:val="20"/>
          <w:szCs w:val="20"/>
          <w:lang w:val="es-GT"/>
        </w:rPr>
      </w:pPr>
      <w:r w:rsidRPr="00A12991">
        <w:rPr>
          <w:rFonts w:ascii="Verdana" w:hAnsi="Verdana"/>
          <w:sz w:val="20"/>
          <w:szCs w:val="20"/>
          <w:lang w:val="es-MX"/>
        </w:rPr>
        <w:t xml:space="preserve">Ampliar las medidas provisionales emitidas en el presente asunto, de tal forma que el Estado de Nicaragua incluya de manera inmediata dentro de </w:t>
      </w:r>
      <w:r w:rsidR="00003DB7" w:rsidRPr="00A12991">
        <w:rPr>
          <w:rFonts w:ascii="Verdana" w:hAnsi="Verdana"/>
          <w:sz w:val="20"/>
          <w:szCs w:val="20"/>
          <w:lang w:val="es-MX"/>
        </w:rPr>
        <w:t>las medidas ordenadas mediante resoluciones</w:t>
      </w:r>
      <w:r w:rsidRPr="00A12991">
        <w:rPr>
          <w:rFonts w:ascii="Verdana" w:hAnsi="Verdana"/>
          <w:sz w:val="20"/>
          <w:szCs w:val="20"/>
          <w:lang w:val="es-MX"/>
        </w:rPr>
        <w:t xml:space="preserve"> de 1 de septiembre </w:t>
      </w:r>
      <w:r w:rsidR="008D4FA3" w:rsidRPr="00A12991">
        <w:rPr>
          <w:rFonts w:ascii="Verdana" w:hAnsi="Verdana"/>
          <w:sz w:val="20"/>
          <w:szCs w:val="20"/>
          <w:lang w:val="es-MX"/>
        </w:rPr>
        <w:t xml:space="preserve">y 23 de noviembre </w:t>
      </w:r>
      <w:r w:rsidRPr="00A12991">
        <w:rPr>
          <w:rFonts w:ascii="Verdana" w:hAnsi="Verdana"/>
          <w:sz w:val="20"/>
          <w:szCs w:val="20"/>
          <w:lang w:val="es-MX"/>
        </w:rPr>
        <w:t xml:space="preserve">de 2016, </w:t>
      </w:r>
      <w:r w:rsidR="008D4FA3" w:rsidRPr="00A12991">
        <w:rPr>
          <w:rFonts w:ascii="Verdana" w:hAnsi="Verdana"/>
          <w:sz w:val="20"/>
          <w:szCs w:val="20"/>
          <w:lang w:val="es-MX"/>
        </w:rPr>
        <w:t xml:space="preserve">30 de junio y 22 de agosto de 2017, y 23 de agosto de 2018, </w:t>
      </w:r>
      <w:r w:rsidRPr="00A12991">
        <w:rPr>
          <w:rFonts w:ascii="Verdana" w:hAnsi="Verdana"/>
          <w:sz w:val="20"/>
          <w:szCs w:val="20"/>
          <w:lang w:val="es-MX"/>
        </w:rPr>
        <w:t xml:space="preserve">a </w:t>
      </w:r>
      <w:r w:rsidRPr="00A12991">
        <w:rPr>
          <w:rFonts w:ascii="Verdana" w:eastAsia="Times" w:hAnsi="Verdana" w:cs="Times New Roman"/>
          <w:sz w:val="20"/>
          <w:szCs w:val="20"/>
          <w:lang w:val="es-ES_tradnl"/>
        </w:rPr>
        <w:t xml:space="preserve">los miembros del pueblo indígena </w:t>
      </w:r>
      <w:proofErr w:type="spellStart"/>
      <w:r w:rsidRPr="00A12991">
        <w:rPr>
          <w:rFonts w:ascii="Verdana" w:eastAsia="Times" w:hAnsi="Verdana" w:cs="Times New Roman"/>
          <w:i/>
          <w:sz w:val="20"/>
          <w:szCs w:val="20"/>
          <w:lang w:val="es-ES_tradnl"/>
        </w:rPr>
        <w:t>Miskitu</w:t>
      </w:r>
      <w:proofErr w:type="spellEnd"/>
      <w:r w:rsidRPr="00A12991">
        <w:rPr>
          <w:rFonts w:ascii="Verdana" w:eastAsia="Times" w:hAnsi="Verdana" w:cs="Times New Roman"/>
          <w:i/>
          <w:sz w:val="20"/>
          <w:szCs w:val="20"/>
          <w:lang w:val="es-ES_tradnl"/>
        </w:rPr>
        <w:t xml:space="preserve"> </w:t>
      </w:r>
      <w:r w:rsidRPr="00A12991">
        <w:rPr>
          <w:rFonts w:ascii="Verdana" w:eastAsia="Times" w:hAnsi="Verdana" w:cs="Times New Roman"/>
          <w:sz w:val="20"/>
          <w:szCs w:val="20"/>
          <w:lang w:val="es-ES_tradnl"/>
        </w:rPr>
        <w:t xml:space="preserve">que habitan </w:t>
      </w:r>
      <w:r w:rsidRPr="00A12991">
        <w:rPr>
          <w:rFonts w:ascii="Verdana" w:eastAsia="Times" w:hAnsi="Verdana"/>
          <w:sz w:val="20"/>
          <w:szCs w:val="20"/>
          <w:lang w:val="es-ES_tradnl"/>
        </w:rPr>
        <w:t>en la</w:t>
      </w:r>
      <w:r w:rsidRPr="00A12991">
        <w:rPr>
          <w:rFonts w:ascii="Verdana" w:eastAsia="Times" w:hAnsi="Verdana" w:cs="Times New Roman"/>
          <w:sz w:val="20"/>
          <w:szCs w:val="20"/>
          <w:lang w:val="es-ES_tradnl"/>
        </w:rPr>
        <w:t xml:space="preserve"> </w:t>
      </w:r>
      <w:r w:rsidRPr="00A12991">
        <w:rPr>
          <w:rFonts w:ascii="Verdana" w:eastAsia="Times" w:hAnsi="Verdana" w:cs="Times New Roman"/>
          <w:i/>
          <w:sz w:val="20"/>
          <w:szCs w:val="20"/>
          <w:lang w:val="es-ES_tradnl"/>
        </w:rPr>
        <w:t xml:space="preserve">Comunidad </w:t>
      </w:r>
      <w:r w:rsidR="00003DB7" w:rsidRPr="00A12991">
        <w:rPr>
          <w:rFonts w:ascii="Verdana" w:eastAsia="Times" w:hAnsi="Verdana" w:cs="Times New Roman"/>
          <w:i/>
          <w:sz w:val="20"/>
          <w:szCs w:val="20"/>
          <w:lang w:val="es-ES_tradnl"/>
        </w:rPr>
        <w:t>Santa Clara</w:t>
      </w:r>
      <w:r w:rsidR="003F3E4B" w:rsidRPr="00A12991">
        <w:rPr>
          <w:rFonts w:ascii="Verdana" w:eastAsia="Times" w:hAnsi="Verdana" w:cs="Times New Roman"/>
          <w:i/>
          <w:sz w:val="20"/>
          <w:szCs w:val="20"/>
          <w:lang w:val="es-ES_tradnl"/>
        </w:rPr>
        <w:t xml:space="preserve">, </w:t>
      </w:r>
      <w:r w:rsidR="003F3E4B" w:rsidRPr="00A12991">
        <w:rPr>
          <w:rFonts w:ascii="Verdana" w:hAnsi="Verdana"/>
          <w:sz w:val="20"/>
          <w:szCs w:val="20"/>
          <w:lang w:val="es-DO"/>
        </w:rPr>
        <w:t>así como a las personas que presuntamente hayan tenido que abandonar dicha comunidad y deseen regresar.</w:t>
      </w:r>
    </w:p>
    <w:p w14:paraId="36109951" w14:textId="77777777" w:rsidR="008D4FA3" w:rsidRPr="007865FC" w:rsidRDefault="008D4FA3" w:rsidP="00E604E5">
      <w:pPr>
        <w:spacing w:after="0" w:line="240" w:lineRule="auto"/>
        <w:ind w:right="18"/>
        <w:jc w:val="both"/>
        <w:rPr>
          <w:rFonts w:ascii="Verdana" w:hAnsi="Verdana"/>
          <w:sz w:val="20"/>
          <w:szCs w:val="20"/>
          <w:lang w:val="es-GT"/>
        </w:rPr>
      </w:pPr>
    </w:p>
    <w:p w14:paraId="35D6982F" w14:textId="77777777" w:rsidR="0038765A" w:rsidRPr="007865FC" w:rsidRDefault="008D4FA3" w:rsidP="00E604E5">
      <w:pPr>
        <w:numPr>
          <w:ilvl w:val="0"/>
          <w:numId w:val="5"/>
        </w:numPr>
        <w:spacing w:after="0" w:line="240" w:lineRule="auto"/>
        <w:ind w:left="0" w:right="18" w:firstLine="0"/>
        <w:jc w:val="both"/>
        <w:rPr>
          <w:rFonts w:ascii="Verdana" w:hAnsi="Verdana"/>
          <w:sz w:val="20"/>
          <w:szCs w:val="20"/>
          <w:lang w:val="es-GT"/>
        </w:rPr>
      </w:pPr>
      <w:r w:rsidRPr="007865FC">
        <w:rPr>
          <w:rFonts w:ascii="Verdana" w:hAnsi="Verdana"/>
          <w:sz w:val="20"/>
          <w:szCs w:val="20"/>
          <w:lang w:val="es-DO"/>
        </w:rPr>
        <w:lastRenderedPageBreak/>
        <w:t xml:space="preserve">Requerir al Estado adoptar las medidas suficientes y necesarias, a fin de proteger la vida e integridad personal de los integrantes de la </w:t>
      </w:r>
      <w:r w:rsidRPr="007865FC">
        <w:rPr>
          <w:rFonts w:ascii="Verdana" w:hAnsi="Verdana"/>
          <w:i/>
          <w:sz w:val="20"/>
          <w:szCs w:val="20"/>
          <w:lang w:val="es-DO"/>
        </w:rPr>
        <w:t>Comunidad Santa Clara</w:t>
      </w:r>
      <w:r w:rsidRPr="007865FC">
        <w:rPr>
          <w:rFonts w:ascii="Verdana" w:hAnsi="Verdana"/>
          <w:sz w:val="20"/>
          <w:szCs w:val="20"/>
          <w:lang w:val="es-DO"/>
        </w:rPr>
        <w:t>, así como garantizar su participación en la implementación de las presentes medidas.</w:t>
      </w:r>
    </w:p>
    <w:p w14:paraId="4BE87F25" w14:textId="77777777" w:rsidR="00A12991" w:rsidRPr="007865FC" w:rsidRDefault="00A12991" w:rsidP="00E604E5">
      <w:pPr>
        <w:spacing w:after="0" w:line="240" w:lineRule="auto"/>
        <w:ind w:right="18"/>
        <w:jc w:val="both"/>
        <w:rPr>
          <w:rFonts w:ascii="Verdana" w:hAnsi="Verdana"/>
          <w:sz w:val="20"/>
          <w:szCs w:val="20"/>
          <w:lang w:val="es-CR"/>
        </w:rPr>
      </w:pPr>
    </w:p>
    <w:p w14:paraId="70CC5562" w14:textId="233044B0" w:rsidR="0038765A" w:rsidRDefault="0038765A" w:rsidP="00E604E5">
      <w:pPr>
        <w:numPr>
          <w:ilvl w:val="0"/>
          <w:numId w:val="5"/>
        </w:numPr>
        <w:spacing w:after="0" w:line="240" w:lineRule="auto"/>
        <w:ind w:left="0" w:right="18" w:firstLine="0"/>
        <w:jc w:val="both"/>
        <w:rPr>
          <w:rFonts w:ascii="Verdana" w:hAnsi="Verdana"/>
          <w:sz w:val="20"/>
          <w:szCs w:val="20"/>
          <w:lang w:val="es-CR"/>
        </w:rPr>
      </w:pPr>
      <w:r w:rsidRPr="007865FC">
        <w:rPr>
          <w:rFonts w:ascii="Verdana" w:hAnsi="Verdana"/>
          <w:sz w:val="20"/>
          <w:szCs w:val="20"/>
          <w:lang w:val="es-CR"/>
        </w:rPr>
        <w:t>Requerir al Estado que continúe informando a la Corte cada tres meses, contados a partir de la remisión de su último informe, sobre las medidas provisionales adoptadas, así como remitir dicha información tanto a los representantes como a la Comisión Intera</w:t>
      </w:r>
      <w:r w:rsidR="00C34308">
        <w:rPr>
          <w:rFonts w:ascii="Verdana" w:hAnsi="Verdana"/>
          <w:sz w:val="20"/>
          <w:szCs w:val="20"/>
          <w:lang w:val="es-CR"/>
        </w:rPr>
        <w:t>mericana.</w:t>
      </w:r>
    </w:p>
    <w:p w14:paraId="0DC7C804" w14:textId="77777777" w:rsidR="00C34308" w:rsidRDefault="00C34308" w:rsidP="00C34308">
      <w:pPr>
        <w:pStyle w:val="Prrafodelista"/>
        <w:rPr>
          <w:rFonts w:ascii="Verdana" w:hAnsi="Verdana"/>
          <w:sz w:val="20"/>
          <w:lang w:val="es-CR"/>
        </w:rPr>
      </w:pPr>
    </w:p>
    <w:p w14:paraId="5F24D5F0" w14:textId="15B1CC79" w:rsidR="00C34308" w:rsidRPr="007865FC" w:rsidRDefault="00C34308" w:rsidP="00E604E5">
      <w:pPr>
        <w:numPr>
          <w:ilvl w:val="0"/>
          <w:numId w:val="5"/>
        </w:numPr>
        <w:spacing w:after="0" w:line="240" w:lineRule="auto"/>
        <w:ind w:left="0" w:right="18" w:firstLine="0"/>
        <w:jc w:val="both"/>
        <w:rPr>
          <w:rFonts w:ascii="Verdana" w:hAnsi="Verdana"/>
          <w:sz w:val="20"/>
          <w:szCs w:val="20"/>
          <w:lang w:val="es-CR"/>
        </w:rPr>
      </w:pPr>
      <w:r>
        <w:rPr>
          <w:rFonts w:ascii="Verdana" w:hAnsi="Verdana"/>
          <w:sz w:val="20"/>
          <w:szCs w:val="20"/>
          <w:lang w:val="es-CR"/>
        </w:rPr>
        <w:t>Solicitar a la representación de los beneficiarios que presenten sus observaciones dentro de un plazo de cuatro semanas contadas a partir de la notificación de los informes del Estado, así como a la Comisión Interamericana de Derechos Humanos que presente sus observaciones a dichos informes del Estado dentro de un plazo de dos semanas contadas a partir de la recepción de las observaciones de los representantes.</w:t>
      </w:r>
    </w:p>
    <w:p w14:paraId="69F48257" w14:textId="77777777" w:rsidR="0038765A" w:rsidRPr="007865FC" w:rsidRDefault="0038765A" w:rsidP="00E604E5">
      <w:pPr>
        <w:spacing w:after="0" w:line="240" w:lineRule="auto"/>
        <w:ind w:right="18"/>
        <w:jc w:val="both"/>
        <w:rPr>
          <w:rFonts w:ascii="Verdana" w:hAnsi="Verdana"/>
          <w:sz w:val="20"/>
          <w:szCs w:val="20"/>
          <w:lang w:val="es-CR"/>
        </w:rPr>
      </w:pPr>
    </w:p>
    <w:p w14:paraId="6439399E" w14:textId="78E18CAD" w:rsidR="001844A0" w:rsidRDefault="0038765A" w:rsidP="00E604E5">
      <w:pPr>
        <w:numPr>
          <w:ilvl w:val="0"/>
          <w:numId w:val="5"/>
        </w:numPr>
        <w:spacing w:after="0" w:line="240" w:lineRule="auto"/>
        <w:ind w:left="0" w:right="18" w:firstLine="0"/>
        <w:jc w:val="both"/>
        <w:rPr>
          <w:rFonts w:ascii="Verdana" w:hAnsi="Verdana"/>
          <w:sz w:val="20"/>
          <w:szCs w:val="20"/>
          <w:lang w:val="es-CR"/>
        </w:rPr>
      </w:pPr>
      <w:r w:rsidRPr="007865FC">
        <w:rPr>
          <w:rFonts w:ascii="Verdana" w:hAnsi="Verdana"/>
          <w:sz w:val="20"/>
          <w:szCs w:val="20"/>
          <w:lang w:val="es-GT"/>
        </w:rPr>
        <w:t>Disponer que</w:t>
      </w:r>
      <w:r w:rsidRPr="007865FC">
        <w:rPr>
          <w:rFonts w:ascii="Verdana" w:hAnsi="Verdana"/>
          <w:sz w:val="20"/>
          <w:szCs w:val="20"/>
          <w:lang w:val="es-MX"/>
        </w:rPr>
        <w:t xml:space="preserve"> la Secretaría de la Corte notifique la presente Resolución al Estado de Nicaragua, a la Comisión Interamericana y </w:t>
      </w:r>
      <w:r w:rsidRPr="007865FC">
        <w:rPr>
          <w:rFonts w:ascii="Verdana" w:hAnsi="Verdana"/>
          <w:sz w:val="20"/>
          <w:szCs w:val="20"/>
          <w:lang w:val="es-CR"/>
        </w:rPr>
        <w:t>a la representación de los beneficiarios.</w:t>
      </w:r>
    </w:p>
    <w:p w14:paraId="7FDED436" w14:textId="77777777" w:rsidR="001844A0" w:rsidRDefault="001844A0">
      <w:pPr>
        <w:rPr>
          <w:rFonts w:ascii="Verdana" w:hAnsi="Verdana"/>
          <w:sz w:val="20"/>
          <w:szCs w:val="20"/>
          <w:lang w:val="es-CR"/>
        </w:rPr>
      </w:pPr>
      <w:r>
        <w:rPr>
          <w:rFonts w:ascii="Verdana" w:hAnsi="Verdana"/>
          <w:sz w:val="20"/>
          <w:szCs w:val="20"/>
          <w:lang w:val="es-CR"/>
        </w:rPr>
        <w:br w:type="page"/>
      </w:r>
    </w:p>
    <w:p w14:paraId="1835F390" w14:textId="77777777" w:rsidR="001844A0" w:rsidRPr="004519F6" w:rsidRDefault="001844A0" w:rsidP="001844A0">
      <w:pPr>
        <w:spacing w:after="0" w:line="240" w:lineRule="auto"/>
        <w:jc w:val="both"/>
        <w:rPr>
          <w:rFonts w:ascii="Verdana" w:hAnsi="Verdana"/>
          <w:sz w:val="20"/>
          <w:szCs w:val="20"/>
          <w:lang w:val="es-DO"/>
        </w:rPr>
      </w:pPr>
      <w:r w:rsidRPr="004519F6">
        <w:rPr>
          <w:rFonts w:ascii="Verdana" w:hAnsi="Verdana"/>
          <w:sz w:val="20"/>
          <w:szCs w:val="20"/>
          <w:lang w:val="es-CR"/>
        </w:rPr>
        <w:lastRenderedPageBreak/>
        <w:t xml:space="preserve">Corte IDH. </w:t>
      </w:r>
      <w:r w:rsidRPr="004519F6">
        <w:rPr>
          <w:rFonts w:ascii="Verdana" w:hAnsi="Verdana"/>
          <w:i/>
          <w:iCs/>
          <w:sz w:val="20"/>
          <w:szCs w:val="20"/>
          <w:lang w:val="es-CR"/>
        </w:rPr>
        <w:t xml:space="preserve">Ampliación de Medidas Provisionales respecto de Nicaragua. Asunto Pobladores de las Comunidades del Pueblo Indígena </w:t>
      </w:r>
      <w:proofErr w:type="spellStart"/>
      <w:r w:rsidRPr="004519F6">
        <w:rPr>
          <w:rFonts w:ascii="Verdana" w:hAnsi="Verdana"/>
          <w:i/>
          <w:iCs/>
          <w:sz w:val="20"/>
          <w:szCs w:val="20"/>
          <w:lang w:val="es-CR"/>
        </w:rPr>
        <w:t>Miskitu</w:t>
      </w:r>
      <w:proofErr w:type="spellEnd"/>
      <w:r w:rsidRPr="004519F6">
        <w:rPr>
          <w:rFonts w:ascii="Verdana" w:hAnsi="Verdana"/>
          <w:i/>
          <w:iCs/>
          <w:sz w:val="20"/>
          <w:szCs w:val="20"/>
          <w:lang w:val="es-CR"/>
        </w:rPr>
        <w:t xml:space="preserve"> de la Región Costa Caribe Norte</w:t>
      </w:r>
      <w:r w:rsidRPr="004519F6">
        <w:rPr>
          <w:rFonts w:ascii="Verdana" w:hAnsi="Verdana"/>
          <w:sz w:val="20"/>
          <w:szCs w:val="20"/>
          <w:lang w:val="es-CR"/>
        </w:rPr>
        <w:t xml:space="preserve">. Resolución de la Corte Interamericana de Derechos Humanos de </w:t>
      </w:r>
      <w:r w:rsidRPr="004519F6">
        <w:rPr>
          <w:rFonts w:ascii="Verdana" w:hAnsi="Verdana"/>
          <w:sz w:val="20"/>
          <w:szCs w:val="20"/>
          <w:lang w:val="es-DO"/>
        </w:rPr>
        <w:t xml:space="preserve">6 de </w:t>
      </w:r>
      <w:r>
        <w:rPr>
          <w:rFonts w:ascii="Verdana" w:hAnsi="Verdana"/>
          <w:sz w:val="20"/>
          <w:szCs w:val="20"/>
          <w:lang w:val="es-DO"/>
        </w:rPr>
        <w:t>febrero</w:t>
      </w:r>
      <w:r w:rsidRPr="004519F6">
        <w:rPr>
          <w:rFonts w:ascii="Verdana" w:hAnsi="Verdana"/>
          <w:sz w:val="20"/>
          <w:szCs w:val="20"/>
          <w:lang w:val="es-DO"/>
        </w:rPr>
        <w:t xml:space="preserve"> de 2020. </w:t>
      </w:r>
    </w:p>
    <w:p w14:paraId="68CD8738" w14:textId="77777777" w:rsidR="001844A0" w:rsidRPr="004519F6" w:rsidRDefault="001844A0" w:rsidP="001844A0">
      <w:pPr>
        <w:spacing w:after="0" w:line="240" w:lineRule="auto"/>
        <w:jc w:val="both"/>
        <w:rPr>
          <w:rFonts w:ascii="Verdana" w:hAnsi="Verdana"/>
          <w:sz w:val="20"/>
          <w:szCs w:val="20"/>
          <w:lang w:val="es-DO"/>
        </w:rPr>
      </w:pPr>
    </w:p>
    <w:p w14:paraId="2FC95A1E" w14:textId="77777777" w:rsidR="001844A0" w:rsidRPr="004519F6" w:rsidRDefault="001844A0" w:rsidP="001844A0">
      <w:pPr>
        <w:spacing w:after="0" w:line="240" w:lineRule="auto"/>
        <w:jc w:val="both"/>
        <w:rPr>
          <w:rFonts w:ascii="Verdana" w:hAnsi="Verdana"/>
          <w:sz w:val="20"/>
          <w:szCs w:val="20"/>
          <w:lang w:val="es-DO"/>
        </w:rPr>
      </w:pPr>
    </w:p>
    <w:p w14:paraId="5A930484" w14:textId="77777777" w:rsidR="001844A0" w:rsidRPr="004519F6" w:rsidRDefault="001844A0" w:rsidP="001844A0">
      <w:pPr>
        <w:spacing w:after="0" w:line="240" w:lineRule="auto"/>
        <w:jc w:val="both"/>
        <w:rPr>
          <w:rFonts w:ascii="Verdana" w:hAnsi="Verdana"/>
          <w:sz w:val="20"/>
          <w:szCs w:val="20"/>
          <w:lang w:val="es-DO"/>
        </w:rPr>
      </w:pPr>
    </w:p>
    <w:p w14:paraId="55213111" w14:textId="77777777" w:rsidR="001844A0" w:rsidRPr="004519F6" w:rsidRDefault="001844A0" w:rsidP="001844A0">
      <w:pPr>
        <w:spacing w:after="0" w:line="240" w:lineRule="auto"/>
        <w:jc w:val="both"/>
        <w:rPr>
          <w:rFonts w:ascii="Verdana" w:hAnsi="Verdana"/>
          <w:sz w:val="20"/>
          <w:szCs w:val="20"/>
          <w:lang w:val="es-DO"/>
        </w:rPr>
      </w:pPr>
    </w:p>
    <w:p w14:paraId="75642F57" w14:textId="77777777" w:rsidR="001844A0" w:rsidRPr="004519F6" w:rsidRDefault="001844A0" w:rsidP="001844A0">
      <w:pPr>
        <w:spacing w:after="0" w:line="240" w:lineRule="auto"/>
        <w:jc w:val="both"/>
        <w:rPr>
          <w:rFonts w:ascii="Verdana" w:hAnsi="Verdana"/>
          <w:sz w:val="20"/>
          <w:szCs w:val="20"/>
          <w:lang w:val="es-DO"/>
        </w:rPr>
      </w:pPr>
    </w:p>
    <w:p w14:paraId="1F791877" w14:textId="77777777" w:rsidR="001844A0" w:rsidRPr="004519F6" w:rsidRDefault="001844A0" w:rsidP="001844A0">
      <w:pPr>
        <w:spacing w:after="0" w:line="240" w:lineRule="auto"/>
        <w:jc w:val="center"/>
        <w:rPr>
          <w:rFonts w:ascii="Verdana" w:hAnsi="Verdana"/>
          <w:sz w:val="20"/>
          <w:szCs w:val="20"/>
          <w:lang w:val="pt-BR"/>
        </w:rPr>
      </w:pPr>
      <w:r w:rsidRPr="004519F6">
        <w:rPr>
          <w:rFonts w:ascii="Verdana" w:hAnsi="Verdana"/>
          <w:sz w:val="20"/>
          <w:szCs w:val="20"/>
          <w:lang w:val="pt-BR"/>
        </w:rPr>
        <w:t xml:space="preserve">Elizabeth </w:t>
      </w:r>
      <w:proofErr w:type="spellStart"/>
      <w:r w:rsidRPr="004519F6">
        <w:rPr>
          <w:rFonts w:ascii="Verdana" w:hAnsi="Verdana"/>
          <w:sz w:val="20"/>
          <w:szCs w:val="20"/>
          <w:lang w:val="pt-BR"/>
        </w:rPr>
        <w:t>Odio</w:t>
      </w:r>
      <w:proofErr w:type="spellEnd"/>
      <w:r w:rsidRPr="004519F6">
        <w:rPr>
          <w:rFonts w:ascii="Verdana" w:hAnsi="Verdana"/>
          <w:sz w:val="20"/>
          <w:szCs w:val="20"/>
          <w:lang w:val="pt-BR"/>
        </w:rPr>
        <w:t xml:space="preserve"> Benito</w:t>
      </w:r>
    </w:p>
    <w:p w14:paraId="03AC4A73" w14:textId="77777777" w:rsidR="001844A0" w:rsidRPr="004519F6" w:rsidRDefault="001844A0" w:rsidP="001844A0">
      <w:pPr>
        <w:spacing w:after="0" w:line="240" w:lineRule="auto"/>
        <w:jc w:val="center"/>
        <w:rPr>
          <w:rFonts w:ascii="Verdana" w:hAnsi="Verdana"/>
          <w:sz w:val="20"/>
          <w:szCs w:val="20"/>
          <w:lang w:val="pt-BR"/>
        </w:rPr>
      </w:pPr>
      <w:r w:rsidRPr="004519F6">
        <w:rPr>
          <w:rFonts w:ascii="Verdana" w:hAnsi="Verdana"/>
          <w:sz w:val="20"/>
          <w:szCs w:val="20"/>
          <w:lang w:val="pt-BR"/>
        </w:rPr>
        <w:t>Presidenta</w:t>
      </w:r>
    </w:p>
    <w:p w14:paraId="03B0E09E" w14:textId="77777777" w:rsidR="001844A0" w:rsidRPr="004519F6" w:rsidRDefault="001844A0" w:rsidP="001844A0">
      <w:pPr>
        <w:spacing w:after="0" w:line="240" w:lineRule="auto"/>
        <w:jc w:val="both"/>
        <w:rPr>
          <w:rFonts w:ascii="Verdana" w:hAnsi="Verdana"/>
          <w:sz w:val="20"/>
          <w:szCs w:val="20"/>
          <w:lang w:val="pt-BR"/>
        </w:rPr>
      </w:pPr>
    </w:p>
    <w:p w14:paraId="33A5C1C6" w14:textId="77777777" w:rsidR="001844A0" w:rsidRDefault="001844A0" w:rsidP="001844A0">
      <w:pPr>
        <w:spacing w:after="0" w:line="240" w:lineRule="auto"/>
        <w:jc w:val="both"/>
        <w:rPr>
          <w:rFonts w:ascii="Verdana" w:hAnsi="Verdana"/>
          <w:sz w:val="20"/>
          <w:szCs w:val="20"/>
          <w:lang w:val="pt-BR"/>
        </w:rPr>
      </w:pPr>
    </w:p>
    <w:p w14:paraId="7907A17E" w14:textId="77777777" w:rsidR="001844A0" w:rsidRPr="004519F6" w:rsidRDefault="001844A0" w:rsidP="001844A0">
      <w:pPr>
        <w:spacing w:after="0" w:line="240" w:lineRule="auto"/>
        <w:jc w:val="both"/>
        <w:rPr>
          <w:rFonts w:ascii="Verdana" w:hAnsi="Verdana"/>
          <w:sz w:val="20"/>
          <w:szCs w:val="20"/>
          <w:lang w:val="pt-BR"/>
        </w:rPr>
      </w:pPr>
    </w:p>
    <w:p w14:paraId="34CB5370" w14:textId="77777777" w:rsidR="001844A0" w:rsidRPr="004519F6" w:rsidRDefault="001844A0" w:rsidP="001844A0">
      <w:pPr>
        <w:spacing w:after="0" w:line="240" w:lineRule="auto"/>
        <w:jc w:val="both"/>
        <w:rPr>
          <w:rFonts w:ascii="Verdana" w:hAnsi="Verdana"/>
          <w:sz w:val="20"/>
          <w:szCs w:val="20"/>
          <w:lang w:val="pt-BR"/>
        </w:rPr>
      </w:pPr>
    </w:p>
    <w:p w14:paraId="774CC27B" w14:textId="77777777" w:rsidR="001844A0" w:rsidRPr="004519F6" w:rsidRDefault="001844A0" w:rsidP="001844A0">
      <w:pPr>
        <w:spacing w:after="0" w:line="240" w:lineRule="auto"/>
        <w:jc w:val="both"/>
        <w:rPr>
          <w:rFonts w:ascii="Verdana" w:hAnsi="Verdana"/>
          <w:sz w:val="20"/>
          <w:szCs w:val="20"/>
          <w:lang w:val="pt-BR"/>
        </w:rPr>
      </w:pPr>
    </w:p>
    <w:p w14:paraId="56CDDDDF" w14:textId="77777777" w:rsidR="001844A0" w:rsidRPr="004519F6" w:rsidRDefault="001844A0" w:rsidP="001844A0">
      <w:pPr>
        <w:spacing w:after="0" w:line="240" w:lineRule="auto"/>
        <w:jc w:val="both"/>
        <w:rPr>
          <w:rFonts w:ascii="Verdana" w:hAnsi="Verdana"/>
          <w:sz w:val="20"/>
          <w:szCs w:val="20"/>
          <w:lang w:val="pt-BR"/>
        </w:rPr>
      </w:pPr>
      <w:r w:rsidRPr="004519F6">
        <w:rPr>
          <w:rFonts w:ascii="Verdana" w:hAnsi="Verdana"/>
          <w:sz w:val="20"/>
          <w:szCs w:val="20"/>
          <w:lang w:val="pt-BR"/>
        </w:rPr>
        <w:t xml:space="preserve">L. </w:t>
      </w:r>
      <w:proofErr w:type="spellStart"/>
      <w:r w:rsidRPr="004519F6">
        <w:rPr>
          <w:rFonts w:ascii="Verdana" w:hAnsi="Verdana"/>
          <w:sz w:val="20"/>
          <w:szCs w:val="20"/>
          <w:lang w:val="pt-BR"/>
        </w:rPr>
        <w:t>Patricio</w:t>
      </w:r>
      <w:proofErr w:type="spellEnd"/>
      <w:r w:rsidRPr="004519F6">
        <w:rPr>
          <w:rFonts w:ascii="Verdana" w:hAnsi="Verdana"/>
          <w:sz w:val="20"/>
          <w:szCs w:val="20"/>
          <w:lang w:val="pt-BR"/>
        </w:rPr>
        <w:t xml:space="preserve"> </w:t>
      </w:r>
      <w:proofErr w:type="spellStart"/>
      <w:r w:rsidRPr="004519F6">
        <w:rPr>
          <w:rFonts w:ascii="Verdana" w:hAnsi="Verdana"/>
          <w:sz w:val="20"/>
          <w:szCs w:val="20"/>
          <w:lang w:val="pt-BR"/>
        </w:rPr>
        <w:t>Pazmiño</w:t>
      </w:r>
      <w:proofErr w:type="spellEnd"/>
      <w:r w:rsidRPr="004519F6">
        <w:rPr>
          <w:rFonts w:ascii="Verdana" w:hAnsi="Verdana"/>
          <w:sz w:val="20"/>
          <w:szCs w:val="20"/>
          <w:lang w:val="pt-BR"/>
        </w:rPr>
        <w:t xml:space="preserve"> Freire </w:t>
      </w:r>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t xml:space="preserve"> </w:t>
      </w:r>
      <w:r>
        <w:rPr>
          <w:rFonts w:ascii="Verdana" w:hAnsi="Verdana"/>
          <w:sz w:val="20"/>
          <w:szCs w:val="20"/>
          <w:lang w:val="pt-BR"/>
        </w:rPr>
        <w:tab/>
      </w:r>
      <w:r>
        <w:rPr>
          <w:rFonts w:ascii="Verdana" w:hAnsi="Verdana"/>
          <w:sz w:val="20"/>
          <w:szCs w:val="20"/>
          <w:lang w:val="pt-BR"/>
        </w:rPr>
        <w:tab/>
        <w:t xml:space="preserve">    </w:t>
      </w:r>
      <w:r w:rsidRPr="004519F6">
        <w:rPr>
          <w:rFonts w:ascii="Verdana" w:hAnsi="Verdana"/>
          <w:sz w:val="20"/>
          <w:szCs w:val="20"/>
          <w:lang w:val="pt-BR"/>
        </w:rPr>
        <w:t xml:space="preserve">Eduardo </w:t>
      </w:r>
      <w:proofErr w:type="spellStart"/>
      <w:r w:rsidRPr="004519F6">
        <w:rPr>
          <w:rFonts w:ascii="Verdana" w:hAnsi="Verdana"/>
          <w:sz w:val="20"/>
          <w:szCs w:val="20"/>
          <w:lang w:val="pt-BR"/>
        </w:rPr>
        <w:t>Vio</w:t>
      </w:r>
      <w:proofErr w:type="spellEnd"/>
      <w:r w:rsidRPr="004519F6">
        <w:rPr>
          <w:rFonts w:ascii="Verdana" w:hAnsi="Verdana"/>
          <w:sz w:val="20"/>
          <w:szCs w:val="20"/>
          <w:lang w:val="pt-BR"/>
        </w:rPr>
        <w:t xml:space="preserve"> Grossi</w:t>
      </w:r>
    </w:p>
    <w:p w14:paraId="32C59126" w14:textId="77777777" w:rsidR="001844A0" w:rsidRPr="004519F6" w:rsidRDefault="001844A0" w:rsidP="001844A0">
      <w:pPr>
        <w:spacing w:after="0" w:line="240" w:lineRule="auto"/>
        <w:jc w:val="both"/>
        <w:rPr>
          <w:rFonts w:ascii="Verdana" w:hAnsi="Verdana"/>
          <w:sz w:val="20"/>
          <w:szCs w:val="20"/>
          <w:lang w:val="pt-BR"/>
        </w:rPr>
      </w:pPr>
    </w:p>
    <w:p w14:paraId="605E302D" w14:textId="77777777" w:rsidR="001844A0" w:rsidRDefault="001844A0" w:rsidP="001844A0">
      <w:pPr>
        <w:spacing w:after="0" w:line="240" w:lineRule="auto"/>
        <w:jc w:val="both"/>
        <w:rPr>
          <w:rFonts w:ascii="Verdana" w:hAnsi="Verdana"/>
          <w:sz w:val="20"/>
          <w:szCs w:val="20"/>
          <w:lang w:val="pt-BR"/>
        </w:rPr>
      </w:pPr>
    </w:p>
    <w:p w14:paraId="186B123B" w14:textId="77777777" w:rsidR="001844A0" w:rsidRPr="004519F6" w:rsidRDefault="001844A0" w:rsidP="001844A0">
      <w:pPr>
        <w:spacing w:after="0" w:line="240" w:lineRule="auto"/>
        <w:jc w:val="both"/>
        <w:rPr>
          <w:rFonts w:ascii="Verdana" w:hAnsi="Verdana"/>
          <w:sz w:val="20"/>
          <w:szCs w:val="20"/>
          <w:lang w:val="pt-BR"/>
        </w:rPr>
      </w:pPr>
    </w:p>
    <w:p w14:paraId="5EA719C7" w14:textId="77777777" w:rsidR="001844A0" w:rsidRPr="004519F6" w:rsidRDefault="001844A0" w:rsidP="001844A0">
      <w:pPr>
        <w:spacing w:after="0" w:line="240" w:lineRule="auto"/>
        <w:jc w:val="both"/>
        <w:rPr>
          <w:rFonts w:ascii="Verdana" w:hAnsi="Verdana"/>
          <w:sz w:val="20"/>
          <w:szCs w:val="20"/>
          <w:lang w:val="pt-BR"/>
        </w:rPr>
      </w:pPr>
    </w:p>
    <w:p w14:paraId="4B94D7E9" w14:textId="77777777" w:rsidR="001844A0" w:rsidRPr="004519F6" w:rsidRDefault="001844A0" w:rsidP="001844A0">
      <w:pPr>
        <w:spacing w:after="0" w:line="240" w:lineRule="auto"/>
        <w:jc w:val="both"/>
        <w:rPr>
          <w:rFonts w:ascii="Verdana" w:hAnsi="Verdana"/>
          <w:sz w:val="20"/>
          <w:szCs w:val="20"/>
          <w:lang w:val="pt-BR"/>
        </w:rPr>
      </w:pPr>
    </w:p>
    <w:p w14:paraId="282BDFB6" w14:textId="77777777" w:rsidR="001844A0" w:rsidRPr="004519F6" w:rsidRDefault="001844A0" w:rsidP="001844A0">
      <w:pPr>
        <w:spacing w:after="0" w:line="240" w:lineRule="auto"/>
        <w:jc w:val="both"/>
        <w:rPr>
          <w:rFonts w:ascii="Verdana" w:hAnsi="Verdana"/>
          <w:sz w:val="20"/>
          <w:szCs w:val="20"/>
          <w:lang w:val="pt-BR"/>
        </w:rPr>
      </w:pPr>
      <w:r w:rsidRPr="004519F6">
        <w:rPr>
          <w:rFonts w:ascii="Verdana" w:hAnsi="Verdana"/>
          <w:sz w:val="20"/>
          <w:szCs w:val="20"/>
          <w:lang w:val="pt-BR"/>
        </w:rPr>
        <w:t xml:space="preserve">Humberto </w:t>
      </w:r>
      <w:proofErr w:type="spellStart"/>
      <w:r w:rsidRPr="004519F6">
        <w:rPr>
          <w:rFonts w:ascii="Verdana" w:hAnsi="Verdana"/>
          <w:sz w:val="20"/>
          <w:szCs w:val="20"/>
          <w:lang w:val="pt-BR"/>
        </w:rPr>
        <w:t>Antonio</w:t>
      </w:r>
      <w:proofErr w:type="spellEnd"/>
      <w:r w:rsidRPr="004519F6">
        <w:rPr>
          <w:rFonts w:ascii="Verdana" w:hAnsi="Verdana"/>
          <w:sz w:val="20"/>
          <w:szCs w:val="20"/>
          <w:lang w:val="pt-BR"/>
        </w:rPr>
        <w:t xml:space="preserve"> </w:t>
      </w:r>
      <w:proofErr w:type="spellStart"/>
      <w:r w:rsidRPr="004519F6">
        <w:rPr>
          <w:rFonts w:ascii="Verdana" w:hAnsi="Verdana"/>
          <w:sz w:val="20"/>
          <w:szCs w:val="20"/>
          <w:lang w:val="pt-BR"/>
        </w:rPr>
        <w:t>Sierra</w:t>
      </w:r>
      <w:proofErr w:type="spellEnd"/>
      <w:r w:rsidRPr="004519F6">
        <w:rPr>
          <w:rFonts w:ascii="Verdana" w:hAnsi="Verdana"/>
          <w:sz w:val="20"/>
          <w:szCs w:val="20"/>
          <w:lang w:val="pt-BR"/>
        </w:rPr>
        <w:t xml:space="preserve"> Porto </w:t>
      </w:r>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r>
      <w:r>
        <w:rPr>
          <w:rFonts w:ascii="Verdana" w:hAnsi="Verdana"/>
          <w:sz w:val="20"/>
          <w:szCs w:val="20"/>
          <w:lang w:val="pt-BR"/>
        </w:rPr>
        <w:t xml:space="preserve">   </w:t>
      </w:r>
      <w:r w:rsidRPr="004519F6">
        <w:rPr>
          <w:rFonts w:ascii="Verdana" w:hAnsi="Verdana"/>
          <w:sz w:val="20"/>
          <w:szCs w:val="20"/>
          <w:lang w:val="pt-BR"/>
        </w:rPr>
        <w:t xml:space="preserve">Eduardo Ferrer </w:t>
      </w:r>
      <w:proofErr w:type="spellStart"/>
      <w:r w:rsidRPr="004519F6">
        <w:rPr>
          <w:rFonts w:ascii="Verdana" w:hAnsi="Verdana"/>
          <w:sz w:val="20"/>
          <w:szCs w:val="20"/>
          <w:lang w:val="pt-BR"/>
        </w:rPr>
        <w:t>Mac-Gregor</w:t>
      </w:r>
      <w:proofErr w:type="spellEnd"/>
      <w:r w:rsidRPr="004519F6">
        <w:rPr>
          <w:rFonts w:ascii="Verdana" w:hAnsi="Verdana"/>
          <w:sz w:val="20"/>
          <w:szCs w:val="20"/>
          <w:lang w:val="pt-BR"/>
        </w:rPr>
        <w:t xml:space="preserve"> </w:t>
      </w:r>
      <w:proofErr w:type="spellStart"/>
      <w:r w:rsidRPr="004519F6">
        <w:rPr>
          <w:rFonts w:ascii="Verdana" w:hAnsi="Verdana"/>
          <w:sz w:val="20"/>
          <w:szCs w:val="20"/>
          <w:lang w:val="pt-BR"/>
        </w:rPr>
        <w:t>Poisot</w:t>
      </w:r>
      <w:proofErr w:type="spellEnd"/>
    </w:p>
    <w:p w14:paraId="36320955" w14:textId="77777777" w:rsidR="001844A0" w:rsidRPr="004519F6" w:rsidRDefault="001844A0" w:rsidP="001844A0">
      <w:pPr>
        <w:spacing w:after="0" w:line="240" w:lineRule="auto"/>
        <w:jc w:val="both"/>
        <w:rPr>
          <w:rFonts w:ascii="Verdana" w:hAnsi="Verdana"/>
          <w:sz w:val="20"/>
          <w:szCs w:val="20"/>
          <w:lang w:val="pt-BR"/>
        </w:rPr>
      </w:pPr>
    </w:p>
    <w:p w14:paraId="389CCEE8"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72BA69A1"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74732D09" w14:textId="77777777" w:rsidR="001844A0" w:rsidRDefault="001844A0" w:rsidP="001844A0">
      <w:pPr>
        <w:tabs>
          <w:tab w:val="left" w:pos="8460"/>
          <w:tab w:val="left" w:pos="8640"/>
        </w:tabs>
        <w:spacing w:after="0" w:line="240" w:lineRule="auto"/>
        <w:jc w:val="both"/>
        <w:rPr>
          <w:rFonts w:ascii="Verdana" w:hAnsi="Verdana"/>
          <w:sz w:val="20"/>
          <w:szCs w:val="20"/>
          <w:lang w:val="pt-BR"/>
        </w:rPr>
      </w:pPr>
    </w:p>
    <w:p w14:paraId="0193B3AD"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1A609BA3" w14:textId="77777777" w:rsidR="001844A0" w:rsidRPr="004519F6" w:rsidRDefault="001844A0" w:rsidP="001844A0">
      <w:pPr>
        <w:spacing w:after="0" w:line="240" w:lineRule="auto"/>
        <w:jc w:val="both"/>
        <w:rPr>
          <w:rFonts w:ascii="Verdana" w:hAnsi="Verdana"/>
          <w:sz w:val="20"/>
          <w:szCs w:val="20"/>
          <w:lang w:val="pt-BR"/>
        </w:rPr>
      </w:pPr>
      <w:r w:rsidRPr="004519F6">
        <w:rPr>
          <w:rFonts w:ascii="Verdana" w:hAnsi="Verdana"/>
          <w:sz w:val="20"/>
          <w:szCs w:val="20"/>
          <w:lang w:val="pt-BR"/>
        </w:rPr>
        <w:t xml:space="preserve">Eugenio </w:t>
      </w:r>
      <w:proofErr w:type="spellStart"/>
      <w:r w:rsidRPr="004519F6">
        <w:rPr>
          <w:rFonts w:ascii="Verdana" w:hAnsi="Verdana"/>
          <w:sz w:val="20"/>
          <w:szCs w:val="20"/>
          <w:lang w:val="pt-BR"/>
        </w:rPr>
        <w:t>Raúl</w:t>
      </w:r>
      <w:proofErr w:type="spellEnd"/>
      <w:r w:rsidRPr="004519F6">
        <w:rPr>
          <w:rFonts w:ascii="Verdana" w:hAnsi="Verdana"/>
          <w:sz w:val="20"/>
          <w:szCs w:val="20"/>
          <w:lang w:val="pt-BR"/>
        </w:rPr>
        <w:t xml:space="preserve"> </w:t>
      </w:r>
      <w:proofErr w:type="spellStart"/>
      <w:r w:rsidRPr="004519F6">
        <w:rPr>
          <w:rFonts w:ascii="Verdana" w:hAnsi="Verdana"/>
          <w:sz w:val="20"/>
          <w:szCs w:val="20"/>
          <w:lang w:val="pt-BR"/>
        </w:rPr>
        <w:t>Zaffaroni</w:t>
      </w:r>
      <w:proofErr w:type="spellEnd"/>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r>
      <w:r w:rsidRPr="004519F6">
        <w:rPr>
          <w:rFonts w:ascii="Verdana" w:hAnsi="Verdana"/>
          <w:sz w:val="20"/>
          <w:szCs w:val="20"/>
          <w:lang w:val="pt-BR"/>
        </w:rPr>
        <w:tab/>
      </w:r>
      <w:r>
        <w:rPr>
          <w:rFonts w:ascii="Verdana" w:hAnsi="Verdana"/>
          <w:sz w:val="20"/>
          <w:szCs w:val="20"/>
          <w:lang w:val="pt-BR"/>
        </w:rPr>
        <w:tab/>
        <w:t xml:space="preserve">    </w:t>
      </w:r>
      <w:r w:rsidRPr="004519F6">
        <w:rPr>
          <w:rFonts w:ascii="Verdana" w:hAnsi="Verdana"/>
          <w:sz w:val="20"/>
          <w:szCs w:val="20"/>
          <w:lang w:val="pt-BR"/>
        </w:rPr>
        <w:t xml:space="preserve">Ricardo C. Pérez </w:t>
      </w:r>
      <w:proofErr w:type="spellStart"/>
      <w:r w:rsidRPr="004519F6">
        <w:rPr>
          <w:rFonts w:ascii="Verdana" w:hAnsi="Verdana"/>
          <w:sz w:val="20"/>
          <w:szCs w:val="20"/>
          <w:lang w:val="pt-BR"/>
        </w:rPr>
        <w:t>Manrique</w:t>
      </w:r>
      <w:proofErr w:type="spellEnd"/>
    </w:p>
    <w:p w14:paraId="073F8101" w14:textId="77777777" w:rsidR="001844A0" w:rsidRPr="004519F6" w:rsidRDefault="001844A0" w:rsidP="001844A0">
      <w:pPr>
        <w:tabs>
          <w:tab w:val="left" w:pos="8460"/>
          <w:tab w:val="left" w:pos="8640"/>
        </w:tabs>
        <w:spacing w:after="0" w:line="240" w:lineRule="auto"/>
        <w:jc w:val="center"/>
        <w:rPr>
          <w:rFonts w:ascii="Verdana" w:hAnsi="Verdana"/>
          <w:sz w:val="20"/>
          <w:szCs w:val="20"/>
          <w:lang w:val="pt-BR"/>
        </w:rPr>
      </w:pPr>
    </w:p>
    <w:p w14:paraId="2A44B89A" w14:textId="77777777" w:rsidR="001844A0" w:rsidRDefault="001844A0" w:rsidP="001844A0">
      <w:pPr>
        <w:tabs>
          <w:tab w:val="left" w:pos="8460"/>
          <w:tab w:val="left" w:pos="8640"/>
        </w:tabs>
        <w:spacing w:after="0" w:line="240" w:lineRule="auto"/>
        <w:jc w:val="center"/>
        <w:rPr>
          <w:rFonts w:ascii="Verdana" w:hAnsi="Verdana"/>
          <w:sz w:val="20"/>
          <w:szCs w:val="20"/>
          <w:lang w:val="pt-BR"/>
        </w:rPr>
      </w:pPr>
    </w:p>
    <w:p w14:paraId="296AB4BD" w14:textId="77777777" w:rsidR="001844A0" w:rsidRDefault="001844A0" w:rsidP="001844A0">
      <w:pPr>
        <w:tabs>
          <w:tab w:val="left" w:pos="8460"/>
          <w:tab w:val="left" w:pos="8640"/>
        </w:tabs>
        <w:spacing w:after="0" w:line="240" w:lineRule="auto"/>
        <w:jc w:val="center"/>
        <w:rPr>
          <w:rFonts w:ascii="Verdana" w:hAnsi="Verdana"/>
          <w:sz w:val="20"/>
          <w:szCs w:val="20"/>
          <w:lang w:val="pt-BR"/>
        </w:rPr>
      </w:pPr>
    </w:p>
    <w:p w14:paraId="7DA48F1C" w14:textId="77777777" w:rsidR="001844A0" w:rsidRPr="004519F6" w:rsidRDefault="001844A0" w:rsidP="001844A0">
      <w:pPr>
        <w:tabs>
          <w:tab w:val="left" w:pos="8460"/>
          <w:tab w:val="left" w:pos="8640"/>
        </w:tabs>
        <w:spacing w:after="0" w:line="240" w:lineRule="auto"/>
        <w:jc w:val="center"/>
        <w:rPr>
          <w:rFonts w:ascii="Verdana" w:hAnsi="Verdana"/>
          <w:sz w:val="20"/>
          <w:szCs w:val="20"/>
          <w:lang w:val="pt-BR"/>
        </w:rPr>
      </w:pPr>
    </w:p>
    <w:p w14:paraId="2D132291" w14:textId="77777777" w:rsidR="001844A0" w:rsidRPr="004519F6" w:rsidRDefault="001844A0" w:rsidP="001844A0">
      <w:pPr>
        <w:tabs>
          <w:tab w:val="left" w:pos="8460"/>
          <w:tab w:val="left" w:pos="8640"/>
        </w:tabs>
        <w:spacing w:after="0" w:line="240" w:lineRule="auto"/>
        <w:jc w:val="center"/>
        <w:rPr>
          <w:rFonts w:ascii="Verdana" w:hAnsi="Verdana"/>
          <w:sz w:val="20"/>
          <w:szCs w:val="20"/>
          <w:lang w:val="pt-BR"/>
        </w:rPr>
      </w:pPr>
    </w:p>
    <w:p w14:paraId="5221DA6F" w14:textId="77777777" w:rsidR="001844A0" w:rsidRPr="004519F6" w:rsidRDefault="001844A0" w:rsidP="001844A0">
      <w:pPr>
        <w:tabs>
          <w:tab w:val="left" w:pos="8460"/>
          <w:tab w:val="left" w:pos="8640"/>
        </w:tabs>
        <w:spacing w:after="0" w:line="240" w:lineRule="auto"/>
        <w:jc w:val="center"/>
        <w:rPr>
          <w:rFonts w:ascii="Verdana" w:hAnsi="Verdana"/>
          <w:sz w:val="20"/>
          <w:szCs w:val="20"/>
          <w:lang w:val="pt-BR"/>
        </w:rPr>
      </w:pPr>
      <w:r w:rsidRPr="004519F6">
        <w:rPr>
          <w:rFonts w:ascii="Verdana" w:hAnsi="Verdana"/>
          <w:sz w:val="20"/>
          <w:szCs w:val="20"/>
          <w:lang w:val="pt-BR"/>
        </w:rPr>
        <w:t xml:space="preserve">Pablo Saavedra </w:t>
      </w:r>
      <w:proofErr w:type="spellStart"/>
      <w:r w:rsidRPr="004519F6">
        <w:rPr>
          <w:rFonts w:ascii="Verdana" w:hAnsi="Verdana"/>
          <w:sz w:val="20"/>
          <w:szCs w:val="20"/>
          <w:lang w:val="pt-BR"/>
        </w:rPr>
        <w:t>Alessandri</w:t>
      </w:r>
      <w:proofErr w:type="spellEnd"/>
    </w:p>
    <w:p w14:paraId="77C5B248" w14:textId="77777777" w:rsidR="001844A0" w:rsidRPr="004519F6" w:rsidRDefault="001844A0" w:rsidP="001844A0">
      <w:pPr>
        <w:tabs>
          <w:tab w:val="left" w:pos="8460"/>
          <w:tab w:val="left" w:pos="8640"/>
        </w:tabs>
        <w:spacing w:after="0" w:line="240" w:lineRule="auto"/>
        <w:jc w:val="center"/>
        <w:rPr>
          <w:rFonts w:ascii="Verdana" w:hAnsi="Verdana"/>
          <w:sz w:val="20"/>
          <w:szCs w:val="20"/>
          <w:lang w:val="pt-BR"/>
        </w:rPr>
      </w:pPr>
      <w:r w:rsidRPr="004519F6">
        <w:rPr>
          <w:rFonts w:ascii="Verdana" w:hAnsi="Verdana"/>
          <w:sz w:val="20"/>
          <w:szCs w:val="20"/>
          <w:lang w:val="pt-BR"/>
        </w:rPr>
        <w:t>Secretario</w:t>
      </w:r>
    </w:p>
    <w:p w14:paraId="76556BD0"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46160DE9" w14:textId="77777777" w:rsidR="001844A0" w:rsidRDefault="001844A0" w:rsidP="001844A0">
      <w:pPr>
        <w:spacing w:after="0" w:line="240" w:lineRule="auto"/>
        <w:jc w:val="both"/>
        <w:rPr>
          <w:rFonts w:ascii="Verdana" w:hAnsi="Verdana"/>
          <w:sz w:val="20"/>
          <w:szCs w:val="20"/>
          <w:lang w:val="pt-BR"/>
        </w:rPr>
      </w:pPr>
    </w:p>
    <w:p w14:paraId="57208D84"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16E1F40C"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755C23D5"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roofErr w:type="spellStart"/>
      <w:r w:rsidRPr="004519F6">
        <w:rPr>
          <w:rFonts w:ascii="Verdana" w:hAnsi="Verdana"/>
          <w:sz w:val="20"/>
          <w:szCs w:val="20"/>
          <w:lang w:val="pt-BR"/>
        </w:rPr>
        <w:t>Comuníquese</w:t>
      </w:r>
      <w:proofErr w:type="spellEnd"/>
      <w:r w:rsidRPr="004519F6">
        <w:rPr>
          <w:rFonts w:ascii="Verdana" w:hAnsi="Verdana"/>
          <w:sz w:val="20"/>
          <w:szCs w:val="20"/>
          <w:lang w:val="pt-BR"/>
        </w:rPr>
        <w:t xml:space="preserve"> y </w:t>
      </w:r>
      <w:proofErr w:type="spellStart"/>
      <w:r w:rsidRPr="004519F6">
        <w:rPr>
          <w:rFonts w:ascii="Verdana" w:hAnsi="Verdana"/>
          <w:sz w:val="20"/>
          <w:szCs w:val="20"/>
          <w:lang w:val="pt-BR"/>
        </w:rPr>
        <w:t>ejecútese</w:t>
      </w:r>
      <w:proofErr w:type="spellEnd"/>
      <w:r w:rsidRPr="004519F6">
        <w:rPr>
          <w:rFonts w:ascii="Verdana" w:hAnsi="Verdana"/>
          <w:sz w:val="20"/>
          <w:szCs w:val="20"/>
          <w:lang w:val="pt-BR"/>
        </w:rPr>
        <w:t>,</w:t>
      </w:r>
    </w:p>
    <w:p w14:paraId="6AD79A69"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6C4BAE0B" w14:textId="77777777" w:rsidR="001844A0" w:rsidRDefault="001844A0" w:rsidP="001844A0">
      <w:pPr>
        <w:tabs>
          <w:tab w:val="left" w:pos="8460"/>
          <w:tab w:val="left" w:pos="8640"/>
        </w:tabs>
        <w:spacing w:after="0" w:line="240" w:lineRule="auto"/>
        <w:jc w:val="both"/>
        <w:rPr>
          <w:rFonts w:ascii="Verdana" w:hAnsi="Verdana"/>
          <w:sz w:val="20"/>
          <w:szCs w:val="20"/>
          <w:lang w:val="pt-BR"/>
        </w:rPr>
      </w:pPr>
    </w:p>
    <w:p w14:paraId="2E60DE99"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55485E22"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5450344A" w14:textId="77777777" w:rsidR="001844A0" w:rsidRPr="004519F6" w:rsidRDefault="001844A0" w:rsidP="001844A0">
      <w:pPr>
        <w:spacing w:after="0" w:line="240" w:lineRule="auto"/>
        <w:ind w:left="6480"/>
        <w:rPr>
          <w:rFonts w:ascii="Verdana" w:hAnsi="Verdana"/>
          <w:sz w:val="20"/>
          <w:szCs w:val="20"/>
          <w:lang w:val="pt-BR"/>
        </w:rPr>
      </w:pPr>
      <w:r w:rsidRPr="004519F6">
        <w:rPr>
          <w:rFonts w:ascii="Verdana" w:hAnsi="Verdana"/>
          <w:sz w:val="20"/>
          <w:szCs w:val="20"/>
          <w:lang w:val="pt-BR"/>
        </w:rPr>
        <w:t xml:space="preserve">Elizabeth </w:t>
      </w:r>
      <w:proofErr w:type="spellStart"/>
      <w:r w:rsidRPr="004519F6">
        <w:rPr>
          <w:rFonts w:ascii="Verdana" w:hAnsi="Verdana"/>
          <w:sz w:val="20"/>
          <w:szCs w:val="20"/>
          <w:lang w:val="pt-BR"/>
        </w:rPr>
        <w:t>Odio</w:t>
      </w:r>
      <w:proofErr w:type="spellEnd"/>
      <w:r w:rsidRPr="004519F6">
        <w:rPr>
          <w:rFonts w:ascii="Verdana" w:hAnsi="Verdana"/>
          <w:sz w:val="20"/>
          <w:szCs w:val="20"/>
          <w:lang w:val="pt-BR"/>
        </w:rPr>
        <w:t xml:space="preserve"> Benito</w:t>
      </w:r>
    </w:p>
    <w:p w14:paraId="23F2D0FA" w14:textId="77777777" w:rsidR="001844A0" w:rsidRPr="004519F6" w:rsidRDefault="001844A0" w:rsidP="001844A0">
      <w:pPr>
        <w:spacing w:after="0" w:line="240" w:lineRule="auto"/>
        <w:ind w:left="6480" w:right="1170"/>
        <w:jc w:val="center"/>
        <w:rPr>
          <w:rFonts w:ascii="Verdana" w:hAnsi="Verdana"/>
          <w:sz w:val="20"/>
          <w:szCs w:val="20"/>
          <w:lang w:val="pt-BR"/>
        </w:rPr>
      </w:pPr>
      <w:r>
        <w:rPr>
          <w:rFonts w:ascii="Verdana" w:hAnsi="Verdana"/>
          <w:sz w:val="20"/>
          <w:szCs w:val="20"/>
          <w:lang w:val="pt-BR"/>
        </w:rPr>
        <w:t xml:space="preserve">    </w:t>
      </w:r>
      <w:r w:rsidRPr="004519F6">
        <w:rPr>
          <w:rFonts w:ascii="Verdana" w:hAnsi="Verdana"/>
          <w:sz w:val="20"/>
          <w:szCs w:val="20"/>
          <w:lang w:val="pt-BR"/>
        </w:rPr>
        <w:t>Presidenta</w:t>
      </w:r>
    </w:p>
    <w:p w14:paraId="3547D559"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1FD07899"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1BAF4114"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2D605849"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p>
    <w:p w14:paraId="6427AEF3" w14:textId="77777777" w:rsidR="001844A0" w:rsidRPr="004519F6" w:rsidRDefault="001844A0" w:rsidP="001844A0">
      <w:pPr>
        <w:tabs>
          <w:tab w:val="left" w:pos="8460"/>
          <w:tab w:val="left" w:pos="8640"/>
        </w:tabs>
        <w:spacing w:after="0" w:line="240" w:lineRule="auto"/>
        <w:jc w:val="both"/>
        <w:rPr>
          <w:rFonts w:ascii="Verdana" w:hAnsi="Verdana"/>
          <w:sz w:val="20"/>
          <w:szCs w:val="20"/>
          <w:lang w:val="pt-BR"/>
        </w:rPr>
      </w:pPr>
      <w:r w:rsidRPr="004519F6">
        <w:rPr>
          <w:rFonts w:ascii="Verdana" w:hAnsi="Verdana"/>
          <w:sz w:val="20"/>
          <w:szCs w:val="20"/>
          <w:lang w:val="pt-BR"/>
        </w:rPr>
        <w:t xml:space="preserve">Pablo Saavedra </w:t>
      </w:r>
      <w:proofErr w:type="spellStart"/>
      <w:r w:rsidRPr="004519F6">
        <w:rPr>
          <w:rFonts w:ascii="Verdana" w:hAnsi="Verdana"/>
          <w:sz w:val="20"/>
          <w:szCs w:val="20"/>
          <w:lang w:val="pt-BR"/>
        </w:rPr>
        <w:t>Alessandri</w:t>
      </w:r>
      <w:proofErr w:type="spellEnd"/>
    </w:p>
    <w:p w14:paraId="616F9696" w14:textId="77777777" w:rsidR="001844A0" w:rsidRPr="004519F6" w:rsidRDefault="001844A0" w:rsidP="001844A0">
      <w:pPr>
        <w:tabs>
          <w:tab w:val="left" w:pos="8640"/>
        </w:tabs>
        <w:spacing w:after="0" w:line="240" w:lineRule="auto"/>
        <w:ind w:left="720"/>
        <w:jc w:val="both"/>
        <w:rPr>
          <w:rFonts w:ascii="Verdana" w:hAnsi="Verdana"/>
          <w:sz w:val="20"/>
          <w:szCs w:val="20"/>
          <w:lang w:val="pt-BR"/>
        </w:rPr>
      </w:pPr>
      <w:r w:rsidRPr="004519F6">
        <w:rPr>
          <w:rFonts w:ascii="Verdana" w:hAnsi="Verdana"/>
          <w:sz w:val="20"/>
          <w:szCs w:val="20"/>
          <w:lang w:val="pt-BR"/>
        </w:rPr>
        <w:t>Secretario</w:t>
      </w:r>
    </w:p>
    <w:p w14:paraId="3F2E939C" w14:textId="77777777" w:rsidR="0038765A" w:rsidRPr="007865FC" w:rsidRDefault="0038765A" w:rsidP="001844A0">
      <w:pPr>
        <w:spacing w:after="0" w:line="240" w:lineRule="auto"/>
        <w:ind w:right="18"/>
        <w:jc w:val="both"/>
        <w:rPr>
          <w:rFonts w:ascii="Verdana" w:hAnsi="Verdana"/>
          <w:sz w:val="20"/>
          <w:szCs w:val="20"/>
          <w:lang w:val="es-ES"/>
        </w:rPr>
      </w:pPr>
      <w:bookmarkStart w:id="0" w:name="_GoBack"/>
      <w:bookmarkEnd w:id="0"/>
    </w:p>
    <w:sectPr w:rsidR="0038765A" w:rsidRPr="007865FC" w:rsidSect="0048575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716C" w14:textId="77777777" w:rsidR="00581413" w:rsidRDefault="00581413" w:rsidP="0038765A">
      <w:pPr>
        <w:spacing w:after="0" w:line="240" w:lineRule="auto"/>
      </w:pPr>
      <w:r>
        <w:separator/>
      </w:r>
    </w:p>
  </w:endnote>
  <w:endnote w:type="continuationSeparator" w:id="0">
    <w:p w14:paraId="5853A578" w14:textId="77777777" w:rsidR="00581413" w:rsidRDefault="00581413" w:rsidP="0038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1532063"/>
      <w:docPartObj>
        <w:docPartGallery w:val="Page Numbers (Bottom of Page)"/>
        <w:docPartUnique/>
      </w:docPartObj>
    </w:sdtPr>
    <w:sdtEndPr>
      <w:rPr>
        <w:noProof/>
      </w:rPr>
    </w:sdtEndPr>
    <w:sdtContent>
      <w:p w14:paraId="7A6414BD" w14:textId="3AE1C314" w:rsidR="00C11236" w:rsidRPr="007E5905" w:rsidRDefault="00C11236">
        <w:pPr>
          <w:pStyle w:val="Piedepgina"/>
          <w:jc w:val="center"/>
          <w:rPr>
            <w:rFonts w:ascii="Verdana" w:hAnsi="Verdana"/>
            <w:sz w:val="20"/>
            <w:szCs w:val="20"/>
          </w:rPr>
        </w:pPr>
        <w:r w:rsidRPr="007E5905">
          <w:rPr>
            <w:rFonts w:ascii="Verdana" w:hAnsi="Verdana"/>
            <w:sz w:val="20"/>
            <w:szCs w:val="20"/>
          </w:rPr>
          <w:fldChar w:fldCharType="begin"/>
        </w:r>
        <w:r w:rsidRPr="007E5905">
          <w:rPr>
            <w:rFonts w:ascii="Verdana" w:hAnsi="Verdana"/>
            <w:sz w:val="20"/>
            <w:szCs w:val="20"/>
          </w:rPr>
          <w:instrText xml:space="preserve"> PAGE   \* MERGEFORMAT </w:instrText>
        </w:r>
        <w:r w:rsidRPr="007E5905">
          <w:rPr>
            <w:rFonts w:ascii="Verdana" w:hAnsi="Verdana"/>
            <w:sz w:val="20"/>
            <w:szCs w:val="20"/>
          </w:rPr>
          <w:fldChar w:fldCharType="separate"/>
        </w:r>
        <w:r w:rsidR="00C20199">
          <w:rPr>
            <w:rFonts w:ascii="Verdana" w:hAnsi="Verdana"/>
            <w:noProof/>
            <w:sz w:val="20"/>
            <w:szCs w:val="20"/>
          </w:rPr>
          <w:t>8</w:t>
        </w:r>
        <w:r w:rsidRPr="007E5905">
          <w:rPr>
            <w:rFonts w:ascii="Verdana" w:hAnsi="Verdana"/>
            <w:noProof/>
            <w:sz w:val="20"/>
            <w:szCs w:val="20"/>
          </w:rPr>
          <w:fldChar w:fldCharType="end"/>
        </w:r>
      </w:p>
    </w:sdtContent>
  </w:sdt>
  <w:p w14:paraId="6C7C7EF5" w14:textId="77777777" w:rsidR="00C11236" w:rsidRPr="007E5905" w:rsidRDefault="00C11236">
    <w:pPr>
      <w:pStyle w:val="Piedepgina"/>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8765" w14:textId="77777777" w:rsidR="00581413" w:rsidRDefault="00581413" w:rsidP="0038765A">
      <w:pPr>
        <w:spacing w:after="0" w:line="240" w:lineRule="auto"/>
      </w:pPr>
      <w:r>
        <w:separator/>
      </w:r>
    </w:p>
  </w:footnote>
  <w:footnote w:type="continuationSeparator" w:id="0">
    <w:p w14:paraId="1D877262" w14:textId="77777777" w:rsidR="00581413" w:rsidRDefault="00581413" w:rsidP="0038765A">
      <w:pPr>
        <w:spacing w:after="0" w:line="240" w:lineRule="auto"/>
      </w:pPr>
      <w:r>
        <w:continuationSeparator/>
      </w:r>
    </w:p>
  </w:footnote>
  <w:footnote w:id="1">
    <w:p w14:paraId="628AC52E" w14:textId="77777777" w:rsidR="00C11236" w:rsidRPr="00F3786F" w:rsidRDefault="00C11236"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MX"/>
        </w:rPr>
        <w:t xml:space="preserve"> </w:t>
      </w:r>
      <w:r w:rsidRPr="00F3786F">
        <w:rPr>
          <w:rFonts w:ascii="Verdana" w:hAnsi="Verdana"/>
          <w:sz w:val="16"/>
          <w:szCs w:val="16"/>
          <w:lang w:val="es-CR"/>
        </w:rPr>
        <w:tab/>
      </w:r>
      <w:r w:rsidRPr="00F3786F">
        <w:rPr>
          <w:rFonts w:ascii="Verdana" w:hAnsi="Verdana"/>
          <w:i/>
          <w:sz w:val="16"/>
          <w:szCs w:val="16"/>
          <w:lang w:val="es-CR"/>
        </w:rPr>
        <w:t xml:space="preserve">Cfr. </w:t>
      </w:r>
      <w:r w:rsidRPr="00F3786F">
        <w:rPr>
          <w:rFonts w:ascii="Verdana" w:hAnsi="Verdana"/>
          <w:i/>
          <w:sz w:val="16"/>
          <w:szCs w:val="16"/>
          <w:lang w:val="es-MX"/>
        </w:rPr>
        <w:t xml:space="preserve">Asunto Pobladores de las Comunidades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de la Región Costa Caribe Norte respecto de Nicaragua. </w:t>
      </w:r>
      <w:r w:rsidRPr="00F3786F">
        <w:rPr>
          <w:rFonts w:ascii="Verdana" w:hAnsi="Verdana"/>
          <w:sz w:val="16"/>
          <w:szCs w:val="16"/>
          <w:lang w:val="es-MX"/>
        </w:rPr>
        <w:t>Solicitud de medidas provisionales. Resolución de la Corte Interamericana de Derechos Humanos de 1 de septiembre de 2016, Resolutivos 1 a 4.</w:t>
      </w:r>
    </w:p>
  </w:footnote>
  <w:footnote w:id="2">
    <w:p w14:paraId="00BB4F41" w14:textId="2A37F76A" w:rsidR="00C11236" w:rsidRPr="00F3786F" w:rsidRDefault="00C11236" w:rsidP="00F3786F">
      <w:pPr>
        <w:pStyle w:val="Textonotapie"/>
        <w:jc w:val="both"/>
        <w:rPr>
          <w:rFonts w:ascii="Verdana" w:hAnsi="Verdana"/>
          <w:sz w:val="16"/>
          <w:szCs w:val="16"/>
          <w:lang w:val="es-DO"/>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r>
      <w:r w:rsidRPr="00F3786F">
        <w:rPr>
          <w:rFonts w:ascii="Verdana" w:hAnsi="Verdana"/>
          <w:i/>
          <w:sz w:val="16"/>
          <w:szCs w:val="16"/>
          <w:lang w:val="es-DO"/>
        </w:rPr>
        <w:t xml:space="preserve">Cfr. </w:t>
      </w:r>
      <w:r w:rsidRPr="00F3786F">
        <w:rPr>
          <w:rFonts w:ascii="Verdana" w:hAnsi="Verdana"/>
          <w:i/>
          <w:sz w:val="16"/>
          <w:szCs w:val="16"/>
          <w:lang w:val="es-MX"/>
        </w:rPr>
        <w:t xml:space="preserve">Asunto Pobladores de las Comunidades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de la Región Costa Caribe Norte respecto de Nicaragua</w:t>
      </w:r>
      <w:r w:rsidRPr="00F3786F">
        <w:rPr>
          <w:rFonts w:ascii="Verdana" w:hAnsi="Verdana"/>
          <w:sz w:val="16"/>
          <w:szCs w:val="16"/>
          <w:lang w:val="es-MX"/>
        </w:rPr>
        <w:t xml:space="preserve">. Solicitud de ampliación de medidas provisionales. Resolución de la Corte Interamericana de Derechos Humanos de 23 de noviembre de 2016, Resolutivos 1 a 4; </w:t>
      </w:r>
      <w:r w:rsidRPr="00F3786F">
        <w:rPr>
          <w:rFonts w:ascii="Verdana" w:hAnsi="Verdana"/>
          <w:i/>
          <w:sz w:val="16"/>
          <w:szCs w:val="16"/>
          <w:lang w:val="es-MX"/>
        </w:rPr>
        <w:t xml:space="preserve">Asunto Pobladores de las Comunidades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de la Región Costa Caribe Norte respecto de Nicaragua</w:t>
      </w:r>
      <w:r w:rsidRPr="00F3786F">
        <w:rPr>
          <w:rFonts w:ascii="Verdana" w:hAnsi="Verdana"/>
          <w:sz w:val="16"/>
          <w:szCs w:val="16"/>
          <w:lang w:val="es-MX"/>
        </w:rPr>
        <w:t xml:space="preserve">. Solicitud de ampliación de medidas provisionales. Resolución del Presidente la Corte Interamericana de Derechos Humanos de 30 de junio de 2017, Resolutivos 1 a 4; </w:t>
      </w:r>
      <w:r w:rsidRPr="00F3786F">
        <w:rPr>
          <w:rFonts w:ascii="Verdana" w:hAnsi="Verdana"/>
          <w:i/>
          <w:sz w:val="16"/>
          <w:szCs w:val="16"/>
          <w:lang w:val="es-MX"/>
        </w:rPr>
        <w:t xml:space="preserve">Asunto Pobladores de las Comunidades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de la Región Costa Caribe Norte respecto de Nicaragua</w:t>
      </w:r>
      <w:r w:rsidRPr="00F3786F">
        <w:rPr>
          <w:rFonts w:ascii="Verdana" w:hAnsi="Verdana"/>
          <w:sz w:val="16"/>
          <w:szCs w:val="16"/>
          <w:lang w:val="es-MX"/>
        </w:rPr>
        <w:t>. Solicitud de ampliación de medidas provisionales. Resolución de la Corte Interamericana de Derechos Humanos de 22 de ago</w:t>
      </w:r>
      <w:r w:rsidR="00DF0642" w:rsidRPr="00F3786F">
        <w:rPr>
          <w:rFonts w:ascii="Verdana" w:hAnsi="Verdana"/>
          <w:sz w:val="16"/>
          <w:szCs w:val="16"/>
          <w:lang w:val="es-MX"/>
        </w:rPr>
        <w:t xml:space="preserve">sto de 2017, Resolutivos 2 a 5, y </w:t>
      </w:r>
      <w:r w:rsidR="00DF0642" w:rsidRPr="00F3786F">
        <w:rPr>
          <w:rFonts w:ascii="Verdana" w:hAnsi="Verdana"/>
          <w:i/>
          <w:sz w:val="16"/>
          <w:szCs w:val="16"/>
          <w:lang w:val="es-MX"/>
        </w:rPr>
        <w:t xml:space="preserve">Asunto Pobladores de las Comunidades del Pueblo Indígena </w:t>
      </w:r>
      <w:proofErr w:type="spellStart"/>
      <w:r w:rsidR="00DF0642" w:rsidRPr="00F3786F">
        <w:rPr>
          <w:rFonts w:ascii="Verdana" w:hAnsi="Verdana"/>
          <w:i/>
          <w:sz w:val="16"/>
          <w:szCs w:val="16"/>
          <w:lang w:val="es-MX"/>
        </w:rPr>
        <w:t>Miskitu</w:t>
      </w:r>
      <w:proofErr w:type="spellEnd"/>
      <w:r w:rsidR="00DF0642" w:rsidRPr="00F3786F">
        <w:rPr>
          <w:rFonts w:ascii="Verdana" w:hAnsi="Verdana"/>
          <w:i/>
          <w:sz w:val="16"/>
          <w:szCs w:val="16"/>
          <w:lang w:val="es-MX"/>
        </w:rPr>
        <w:t xml:space="preserve"> de la Región Costa Caribe Norte respecto de Nicaragua</w:t>
      </w:r>
      <w:r w:rsidR="00DF0642" w:rsidRPr="00F3786F">
        <w:rPr>
          <w:rFonts w:ascii="Verdana" w:hAnsi="Verdana"/>
          <w:sz w:val="16"/>
          <w:szCs w:val="16"/>
          <w:lang w:val="es-DO"/>
        </w:rPr>
        <w:t xml:space="preserve">. </w:t>
      </w:r>
      <w:r w:rsidR="00DF0642" w:rsidRPr="00F3786F">
        <w:rPr>
          <w:rFonts w:ascii="Verdana" w:hAnsi="Verdana"/>
          <w:sz w:val="16"/>
          <w:szCs w:val="16"/>
          <w:lang w:val="es-MX"/>
        </w:rPr>
        <w:t>Solicitud de ampliación de medidas provisionales. Resolución de la Corte Interamericana de Derechos Humanos de 23 de agosto de 2018, Resolutivos 1 a 5.</w:t>
      </w:r>
    </w:p>
  </w:footnote>
  <w:footnote w:id="3">
    <w:p w14:paraId="14BA7406" w14:textId="77777777" w:rsidR="00C11236" w:rsidRPr="00F3786F" w:rsidRDefault="00C11236"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MX"/>
        </w:rPr>
        <w:t xml:space="preserve"> </w:t>
      </w:r>
      <w:r w:rsidRPr="00F3786F">
        <w:rPr>
          <w:rFonts w:ascii="Verdana" w:hAnsi="Verdana"/>
          <w:sz w:val="16"/>
          <w:szCs w:val="16"/>
          <w:lang w:val="es-MX"/>
        </w:rPr>
        <w:tab/>
      </w:r>
      <w:r w:rsidRPr="00F3786F">
        <w:rPr>
          <w:rFonts w:ascii="Verdana" w:hAnsi="Verdana"/>
          <w:i/>
          <w:sz w:val="16"/>
          <w:szCs w:val="16"/>
          <w:lang w:val="es-MX"/>
        </w:rPr>
        <w:t xml:space="preserve">Cfr. Caso del Periódico “La Nación”. </w:t>
      </w:r>
      <w:r w:rsidRPr="00F3786F">
        <w:rPr>
          <w:rFonts w:ascii="Verdana" w:hAnsi="Verdana"/>
          <w:sz w:val="16"/>
          <w:szCs w:val="16"/>
          <w:lang w:val="es-MX"/>
        </w:rPr>
        <w:t>Medidas Provisionales respecto de Costa Rica.</w:t>
      </w:r>
      <w:r w:rsidRPr="00F3786F">
        <w:rPr>
          <w:rFonts w:ascii="Verdana" w:hAnsi="Verdana"/>
          <w:i/>
          <w:sz w:val="16"/>
          <w:szCs w:val="16"/>
          <w:lang w:val="es-MX"/>
        </w:rPr>
        <w:t xml:space="preserve"> </w:t>
      </w:r>
      <w:r w:rsidRPr="00F3786F">
        <w:rPr>
          <w:rFonts w:ascii="Verdana" w:hAnsi="Verdana"/>
          <w:sz w:val="16"/>
          <w:szCs w:val="16"/>
          <w:lang w:val="es-MX"/>
        </w:rPr>
        <w:t xml:space="preserve">Resolución de la Corte Interamericana de Derechos Humanos de 7 de septiembre de 2001, Considerando 4, y </w:t>
      </w:r>
      <w:r w:rsidRPr="00F3786F">
        <w:rPr>
          <w:rFonts w:ascii="Verdana" w:hAnsi="Verdana"/>
          <w:i/>
          <w:sz w:val="16"/>
          <w:szCs w:val="16"/>
          <w:lang w:val="es-MX"/>
        </w:rPr>
        <w:t xml:space="preserve">Asunto Pobladores de las Comunidades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de la Región Costa Caribe Norte respecto de Nicaragua, supra</w:t>
      </w:r>
      <w:r w:rsidRPr="00F3786F">
        <w:rPr>
          <w:rFonts w:ascii="Verdana" w:hAnsi="Verdana"/>
          <w:sz w:val="16"/>
          <w:szCs w:val="16"/>
          <w:lang w:val="es-MX"/>
        </w:rPr>
        <w:t xml:space="preserve"> Considerando 4</w:t>
      </w:r>
      <w:r w:rsidRPr="00F3786F">
        <w:rPr>
          <w:rFonts w:ascii="Verdana" w:hAnsi="Verdana"/>
          <w:i/>
          <w:sz w:val="16"/>
          <w:szCs w:val="16"/>
          <w:lang w:val="es-MX"/>
        </w:rPr>
        <w:t>.</w:t>
      </w:r>
    </w:p>
  </w:footnote>
  <w:footnote w:id="4">
    <w:p w14:paraId="5001BC0B" w14:textId="77777777" w:rsidR="00C11236" w:rsidRPr="00F3786F" w:rsidRDefault="00C11236" w:rsidP="00F3786F">
      <w:pPr>
        <w:pStyle w:val="Textonotapie"/>
        <w:jc w:val="both"/>
        <w:rPr>
          <w:rFonts w:ascii="Verdana" w:hAnsi="Verdana"/>
          <w:sz w:val="16"/>
          <w:szCs w:val="16"/>
          <w:lang w:val="es-DO"/>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t xml:space="preserve">La Corte toma nota de que habrían otros hechos de violencia perpetrados en el 2015 y 2017 contra integrantes de la </w:t>
      </w:r>
      <w:r w:rsidRPr="00F3786F">
        <w:rPr>
          <w:rFonts w:ascii="Verdana" w:hAnsi="Verdana"/>
          <w:i/>
          <w:sz w:val="16"/>
          <w:szCs w:val="16"/>
          <w:lang w:val="es-DO"/>
        </w:rPr>
        <w:t>Comunidad Santa Clara</w:t>
      </w:r>
      <w:r w:rsidRPr="00F3786F">
        <w:rPr>
          <w:rFonts w:ascii="Verdana" w:hAnsi="Verdana"/>
          <w:sz w:val="16"/>
          <w:szCs w:val="16"/>
          <w:lang w:val="es-DO"/>
        </w:rPr>
        <w:t xml:space="preserve">. </w:t>
      </w:r>
      <w:r w:rsidRPr="00F3786F">
        <w:rPr>
          <w:rFonts w:ascii="Verdana" w:hAnsi="Verdana"/>
          <w:i/>
          <w:sz w:val="16"/>
          <w:szCs w:val="16"/>
          <w:lang w:val="es-DO"/>
        </w:rPr>
        <w:t>Cfr</w:t>
      </w:r>
      <w:r w:rsidRPr="00F3786F">
        <w:rPr>
          <w:rFonts w:ascii="Verdana" w:hAnsi="Verdana"/>
          <w:sz w:val="16"/>
          <w:szCs w:val="16"/>
          <w:lang w:val="es-DO"/>
        </w:rPr>
        <w:t xml:space="preserve">. Solicitud de ampliación de medidas provisionales respecto de los pobladores de las comunidades del Pueblo Indígena </w:t>
      </w:r>
      <w:proofErr w:type="spellStart"/>
      <w:r w:rsidRPr="00F3786F">
        <w:rPr>
          <w:rFonts w:ascii="Verdana" w:hAnsi="Verdana"/>
          <w:sz w:val="16"/>
          <w:szCs w:val="16"/>
          <w:lang w:val="es-DO"/>
        </w:rPr>
        <w:t>Miskitu</w:t>
      </w:r>
      <w:proofErr w:type="spellEnd"/>
      <w:r w:rsidRPr="00F3786F">
        <w:rPr>
          <w:rFonts w:ascii="Verdana" w:hAnsi="Verdana"/>
          <w:sz w:val="16"/>
          <w:szCs w:val="16"/>
          <w:lang w:val="es-DO"/>
        </w:rPr>
        <w:t xml:space="preserve">, suscrita por la Comisión el 6 de septiembre de 2019 (folios 3168 y 3169). </w:t>
      </w:r>
    </w:p>
  </w:footnote>
  <w:footnote w:id="5">
    <w:p w14:paraId="6D97DA7B" w14:textId="573BB373" w:rsidR="0061506D" w:rsidRPr="00F3786F" w:rsidRDefault="0061506D"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t xml:space="preserve">Cfr. </w:t>
      </w:r>
      <w:r w:rsidRPr="00F3786F">
        <w:rPr>
          <w:rFonts w:ascii="Verdana" w:hAnsi="Verdana"/>
          <w:i/>
          <w:sz w:val="16"/>
          <w:szCs w:val="16"/>
          <w:lang w:val="es-MX"/>
        </w:rPr>
        <w:t xml:space="preserve">Asunto Pobladores de las Comunidades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de la Región Costa Caribe Norte respecto de Nicaragua. </w:t>
      </w:r>
      <w:r w:rsidRPr="00F3786F">
        <w:rPr>
          <w:rFonts w:ascii="Verdana" w:hAnsi="Verdana"/>
          <w:sz w:val="16"/>
          <w:szCs w:val="16"/>
          <w:lang w:val="es-MX"/>
        </w:rPr>
        <w:t xml:space="preserve">Solicitud de </w:t>
      </w:r>
      <w:r w:rsidR="00B149C4" w:rsidRPr="00F3786F">
        <w:rPr>
          <w:rFonts w:ascii="Verdana" w:hAnsi="Verdana"/>
          <w:sz w:val="16"/>
          <w:szCs w:val="16"/>
          <w:lang w:val="es-MX"/>
        </w:rPr>
        <w:t xml:space="preserve">ampliación de </w:t>
      </w:r>
      <w:r w:rsidRPr="00F3786F">
        <w:rPr>
          <w:rFonts w:ascii="Verdana" w:hAnsi="Verdana"/>
          <w:sz w:val="16"/>
          <w:szCs w:val="16"/>
          <w:lang w:val="es-MX"/>
        </w:rPr>
        <w:t>medidas provisionales. Resolución de la Corte Interamericana de Derechos Humanos de 23 de agosto de 2018, Considerando 9.</w:t>
      </w:r>
    </w:p>
  </w:footnote>
  <w:footnote w:id="6">
    <w:p w14:paraId="75A5992A" w14:textId="77777777" w:rsidR="00582CBC" w:rsidRPr="00F3786F" w:rsidRDefault="00582CBC"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MX"/>
        </w:rPr>
        <w:t xml:space="preserve"> </w:t>
      </w:r>
      <w:r w:rsidRPr="00F3786F">
        <w:rPr>
          <w:rFonts w:ascii="Verdana" w:hAnsi="Verdana"/>
          <w:sz w:val="16"/>
          <w:szCs w:val="16"/>
          <w:lang w:val="es-MX"/>
        </w:rPr>
        <w:tab/>
        <w:t xml:space="preserve">La Comisión otorgó las primeras medidas cautelares el 14 de octubre de 2015, medidas que fueron posteriormente ampliadas el 16 de enero de 2016 y, después, el 8 de agosto de 2016, para pobladores de diversas comunidades integrantes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Cfr. </w:t>
      </w:r>
      <w:r w:rsidRPr="00F3786F">
        <w:rPr>
          <w:rFonts w:ascii="Verdana" w:hAnsi="Verdana"/>
          <w:sz w:val="16"/>
          <w:szCs w:val="16"/>
          <w:lang w:val="es-MX"/>
        </w:rPr>
        <w:t xml:space="preserve">CIDH, Resolución 37/15, Medida Cautelar No. 505-15, Pueblo Indígena </w:t>
      </w:r>
      <w:proofErr w:type="spellStart"/>
      <w:r w:rsidRPr="00F3786F">
        <w:rPr>
          <w:rFonts w:ascii="Verdana" w:hAnsi="Verdana"/>
          <w:i/>
          <w:sz w:val="16"/>
          <w:szCs w:val="16"/>
          <w:lang w:val="es-MX"/>
        </w:rPr>
        <w:t>Miskitu</w:t>
      </w:r>
      <w:proofErr w:type="spellEnd"/>
      <w:r w:rsidRPr="00F3786F">
        <w:rPr>
          <w:rFonts w:ascii="Verdana" w:hAnsi="Verdana"/>
          <w:sz w:val="16"/>
          <w:szCs w:val="16"/>
          <w:lang w:val="es-MX"/>
        </w:rPr>
        <w:t xml:space="preserve"> de </w:t>
      </w:r>
      <w:proofErr w:type="spellStart"/>
      <w:r w:rsidRPr="00F3786F">
        <w:rPr>
          <w:rFonts w:ascii="Verdana" w:hAnsi="Verdana"/>
          <w:sz w:val="16"/>
          <w:szCs w:val="16"/>
          <w:lang w:val="es-MX"/>
        </w:rPr>
        <w:t>Wangki</w:t>
      </w:r>
      <w:proofErr w:type="spellEnd"/>
      <w:r w:rsidRPr="00F3786F">
        <w:rPr>
          <w:rFonts w:ascii="Verdana" w:hAnsi="Verdana"/>
          <w:sz w:val="16"/>
          <w:szCs w:val="16"/>
          <w:lang w:val="es-MX"/>
        </w:rPr>
        <w:t xml:space="preserve"> </w:t>
      </w:r>
      <w:proofErr w:type="spellStart"/>
      <w:r w:rsidRPr="00F3786F">
        <w:rPr>
          <w:rFonts w:ascii="Verdana" w:hAnsi="Verdana"/>
          <w:sz w:val="16"/>
          <w:szCs w:val="16"/>
          <w:lang w:val="es-MX"/>
        </w:rPr>
        <w:t>Twi-Tasba</w:t>
      </w:r>
      <w:proofErr w:type="spellEnd"/>
      <w:r w:rsidRPr="00F3786F">
        <w:rPr>
          <w:rFonts w:ascii="Verdana" w:hAnsi="Verdana"/>
          <w:sz w:val="16"/>
          <w:szCs w:val="16"/>
          <w:lang w:val="es-MX"/>
        </w:rPr>
        <w:t xml:space="preserve"> Raya respecto de Nicaragua, 14 de octubre de 2015; CIDH, Resolución 2/2016, Medida Cautelar No. 505-15, Ampliación de beneficiarios Pueblo Indígena </w:t>
      </w:r>
      <w:proofErr w:type="spellStart"/>
      <w:r w:rsidRPr="00F3786F">
        <w:rPr>
          <w:rFonts w:ascii="Verdana" w:hAnsi="Verdana"/>
          <w:i/>
          <w:sz w:val="16"/>
          <w:szCs w:val="16"/>
          <w:lang w:val="es-MX"/>
        </w:rPr>
        <w:t>Miskitu</w:t>
      </w:r>
      <w:proofErr w:type="spellEnd"/>
      <w:r w:rsidRPr="00F3786F">
        <w:rPr>
          <w:rFonts w:ascii="Verdana" w:hAnsi="Verdana"/>
          <w:sz w:val="16"/>
          <w:szCs w:val="16"/>
          <w:lang w:val="es-MX"/>
        </w:rPr>
        <w:t xml:space="preserve"> de </w:t>
      </w:r>
      <w:proofErr w:type="spellStart"/>
      <w:r w:rsidRPr="00F3786F">
        <w:rPr>
          <w:rFonts w:ascii="Verdana" w:hAnsi="Verdana"/>
          <w:sz w:val="16"/>
          <w:szCs w:val="16"/>
          <w:lang w:val="es-MX"/>
        </w:rPr>
        <w:t>Wangki</w:t>
      </w:r>
      <w:proofErr w:type="spellEnd"/>
      <w:r w:rsidRPr="00F3786F">
        <w:rPr>
          <w:rFonts w:ascii="Verdana" w:hAnsi="Verdana"/>
          <w:sz w:val="16"/>
          <w:szCs w:val="16"/>
          <w:lang w:val="es-MX"/>
        </w:rPr>
        <w:t xml:space="preserve"> </w:t>
      </w:r>
      <w:proofErr w:type="spellStart"/>
      <w:r w:rsidRPr="00F3786F">
        <w:rPr>
          <w:rFonts w:ascii="Verdana" w:hAnsi="Verdana"/>
          <w:sz w:val="16"/>
          <w:szCs w:val="16"/>
          <w:lang w:val="es-MX"/>
        </w:rPr>
        <w:t>Twi-Tasba</w:t>
      </w:r>
      <w:proofErr w:type="spellEnd"/>
      <w:r w:rsidRPr="00F3786F">
        <w:rPr>
          <w:rFonts w:ascii="Verdana" w:hAnsi="Verdana"/>
          <w:sz w:val="16"/>
          <w:szCs w:val="16"/>
          <w:lang w:val="es-MX"/>
        </w:rPr>
        <w:t xml:space="preserve"> Raya respecto de Nicaragua, 16 de enero de 2016, y CIDH, Resolución 44/2016, Medida Cautelar No. 505-15, Ampliación de beneficiarios Pueblo Indígena </w:t>
      </w:r>
      <w:proofErr w:type="spellStart"/>
      <w:r w:rsidRPr="00F3786F">
        <w:rPr>
          <w:rFonts w:ascii="Verdana" w:hAnsi="Verdana"/>
          <w:i/>
          <w:sz w:val="16"/>
          <w:szCs w:val="16"/>
          <w:lang w:val="es-MX"/>
        </w:rPr>
        <w:t>Miskitu</w:t>
      </w:r>
      <w:proofErr w:type="spellEnd"/>
      <w:r w:rsidRPr="00F3786F">
        <w:rPr>
          <w:rFonts w:ascii="Verdana" w:hAnsi="Verdana"/>
          <w:sz w:val="16"/>
          <w:szCs w:val="16"/>
          <w:lang w:val="es-MX"/>
        </w:rPr>
        <w:t xml:space="preserve"> de </w:t>
      </w:r>
      <w:proofErr w:type="spellStart"/>
      <w:r w:rsidRPr="00F3786F">
        <w:rPr>
          <w:rFonts w:ascii="Verdana" w:hAnsi="Verdana"/>
          <w:sz w:val="16"/>
          <w:szCs w:val="16"/>
          <w:lang w:val="es-MX"/>
        </w:rPr>
        <w:t>Wangki</w:t>
      </w:r>
      <w:proofErr w:type="spellEnd"/>
      <w:r w:rsidRPr="00F3786F">
        <w:rPr>
          <w:rFonts w:ascii="Verdana" w:hAnsi="Verdana"/>
          <w:sz w:val="16"/>
          <w:szCs w:val="16"/>
          <w:lang w:val="es-MX"/>
        </w:rPr>
        <w:t xml:space="preserve"> </w:t>
      </w:r>
      <w:proofErr w:type="spellStart"/>
      <w:r w:rsidRPr="00F3786F">
        <w:rPr>
          <w:rFonts w:ascii="Verdana" w:hAnsi="Verdana"/>
          <w:sz w:val="16"/>
          <w:szCs w:val="16"/>
          <w:lang w:val="es-MX"/>
        </w:rPr>
        <w:t>Twi-Tasba</w:t>
      </w:r>
      <w:proofErr w:type="spellEnd"/>
      <w:r w:rsidRPr="00F3786F">
        <w:rPr>
          <w:rFonts w:ascii="Verdana" w:hAnsi="Verdana"/>
          <w:sz w:val="16"/>
          <w:szCs w:val="16"/>
          <w:lang w:val="es-MX"/>
        </w:rPr>
        <w:t xml:space="preserve"> Raya respecto de Nicaragua, 8 de agosto de 2016 (anexos a la solicitud de la Comisión, folios 349 a 364). </w:t>
      </w:r>
    </w:p>
  </w:footnote>
  <w:footnote w:id="7">
    <w:p w14:paraId="6CF1E374" w14:textId="77777777" w:rsidR="00C11236" w:rsidRPr="00F3786F" w:rsidRDefault="00C11236"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MX"/>
        </w:rPr>
        <w:t xml:space="preserve"> </w:t>
      </w:r>
      <w:r w:rsidRPr="00F3786F">
        <w:rPr>
          <w:rFonts w:ascii="Verdana" w:hAnsi="Verdana"/>
          <w:sz w:val="16"/>
          <w:szCs w:val="16"/>
          <w:lang w:val="es-MX"/>
        </w:rPr>
        <w:tab/>
      </w:r>
      <w:r w:rsidR="003F3E4B" w:rsidRPr="00F3786F">
        <w:rPr>
          <w:rFonts w:ascii="Verdana" w:hAnsi="Verdana"/>
          <w:i/>
          <w:sz w:val="16"/>
          <w:szCs w:val="16"/>
          <w:lang w:val="es-MX"/>
        </w:rPr>
        <w:t xml:space="preserve">Asunto Pobladores de las Comunidades del Pueblo Indígena </w:t>
      </w:r>
      <w:proofErr w:type="spellStart"/>
      <w:r w:rsidR="003F3E4B" w:rsidRPr="00F3786F">
        <w:rPr>
          <w:rFonts w:ascii="Verdana" w:hAnsi="Verdana"/>
          <w:i/>
          <w:sz w:val="16"/>
          <w:szCs w:val="16"/>
          <w:lang w:val="es-MX"/>
        </w:rPr>
        <w:t>Miskitu</w:t>
      </w:r>
      <w:proofErr w:type="spellEnd"/>
      <w:r w:rsidR="003F3E4B" w:rsidRPr="00F3786F">
        <w:rPr>
          <w:rFonts w:ascii="Verdana" w:hAnsi="Verdana"/>
          <w:i/>
          <w:sz w:val="16"/>
          <w:szCs w:val="16"/>
          <w:lang w:val="es-MX"/>
        </w:rPr>
        <w:t xml:space="preserve"> de la Región Costa Caribe Norte respecto de Nicaragua. </w:t>
      </w:r>
      <w:r w:rsidR="003F3E4B" w:rsidRPr="00F3786F">
        <w:rPr>
          <w:rFonts w:ascii="Verdana" w:hAnsi="Verdana"/>
          <w:sz w:val="16"/>
          <w:szCs w:val="16"/>
          <w:lang w:val="es-MX"/>
        </w:rPr>
        <w:t xml:space="preserve">Solicitud de medidas provisionales. Resolución de la Corte Interamericana de Derechos Humanos de 1 de septiembre de 2016, </w:t>
      </w:r>
      <w:r w:rsidRPr="00F3786F">
        <w:rPr>
          <w:rFonts w:ascii="Verdana" w:hAnsi="Verdana"/>
          <w:sz w:val="16"/>
          <w:szCs w:val="16"/>
          <w:lang w:val="es-MX"/>
        </w:rPr>
        <w:t>Considerando 7.</w:t>
      </w:r>
    </w:p>
  </w:footnote>
  <w:footnote w:id="8">
    <w:p w14:paraId="16AFDB72" w14:textId="09DAAF36" w:rsidR="00875FF1" w:rsidRPr="00F3786F" w:rsidRDefault="00875FF1"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r>
      <w:r w:rsidRPr="00F3786F">
        <w:rPr>
          <w:rFonts w:ascii="Verdana" w:hAnsi="Verdana"/>
          <w:i/>
          <w:sz w:val="16"/>
          <w:szCs w:val="16"/>
          <w:lang w:val="es-MX"/>
        </w:rPr>
        <w:t xml:space="preserve">Asunto Pobladores de las Comunidades del Pueblo Indígena </w:t>
      </w:r>
      <w:proofErr w:type="spellStart"/>
      <w:r w:rsidRPr="00F3786F">
        <w:rPr>
          <w:rFonts w:ascii="Verdana" w:hAnsi="Verdana"/>
          <w:i/>
          <w:sz w:val="16"/>
          <w:szCs w:val="16"/>
          <w:lang w:val="es-MX"/>
        </w:rPr>
        <w:t>Miskitu</w:t>
      </w:r>
      <w:proofErr w:type="spellEnd"/>
      <w:r w:rsidRPr="00F3786F">
        <w:rPr>
          <w:rFonts w:ascii="Verdana" w:hAnsi="Verdana"/>
          <w:i/>
          <w:sz w:val="16"/>
          <w:szCs w:val="16"/>
          <w:lang w:val="es-MX"/>
        </w:rPr>
        <w:t xml:space="preserve"> de la Región Costa Caribe Norte respecto de Nicaragua. </w:t>
      </w:r>
      <w:r w:rsidRPr="00F3786F">
        <w:rPr>
          <w:rFonts w:ascii="Verdana" w:hAnsi="Verdana"/>
          <w:sz w:val="16"/>
          <w:szCs w:val="16"/>
          <w:lang w:val="es-MX"/>
        </w:rPr>
        <w:t xml:space="preserve">Solicitud de </w:t>
      </w:r>
      <w:r w:rsidR="00B149C4" w:rsidRPr="00F3786F">
        <w:rPr>
          <w:rFonts w:ascii="Verdana" w:hAnsi="Verdana"/>
          <w:sz w:val="16"/>
          <w:szCs w:val="16"/>
          <w:lang w:val="es-MX"/>
        </w:rPr>
        <w:t xml:space="preserve">ampliación de </w:t>
      </w:r>
      <w:r w:rsidRPr="00F3786F">
        <w:rPr>
          <w:rFonts w:ascii="Verdana" w:hAnsi="Verdana"/>
          <w:sz w:val="16"/>
          <w:szCs w:val="16"/>
          <w:lang w:val="es-MX"/>
        </w:rPr>
        <w:t>medidas provisionales. Resolución de la Corte Interamericana de Derechos Humanos de 23 de agosto de 2018, Considerando 9.</w:t>
      </w:r>
    </w:p>
  </w:footnote>
  <w:footnote w:id="9">
    <w:p w14:paraId="73825317" w14:textId="77777777" w:rsidR="006462E1" w:rsidRPr="00F3786F" w:rsidRDefault="006462E1" w:rsidP="00F3786F">
      <w:pPr>
        <w:pStyle w:val="Textonotapie"/>
        <w:jc w:val="both"/>
        <w:rPr>
          <w:rFonts w:ascii="Verdana" w:hAnsi="Verdana"/>
          <w:sz w:val="16"/>
          <w:szCs w:val="16"/>
          <w:lang w:val="es-DO"/>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Pr="00F3786F">
        <w:rPr>
          <w:rFonts w:ascii="Verdana" w:hAnsi="Verdana"/>
          <w:sz w:val="16"/>
          <w:szCs w:val="16"/>
          <w:lang w:val="es-DO"/>
        </w:rPr>
        <w:tab/>
        <w:t xml:space="preserve">Solicitud de ampliación de medidas provisionales, suscrita por la Comisión Interamericana de Derechos Humanos el 6 de septiembre de 2019 (folios 3165 a 3177). </w:t>
      </w:r>
    </w:p>
  </w:footnote>
  <w:footnote w:id="10">
    <w:p w14:paraId="69BA9FC6" w14:textId="77777777" w:rsidR="00743C47" w:rsidRPr="00F3786F" w:rsidRDefault="00743C47"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00054451" w:rsidRPr="00F3786F">
        <w:rPr>
          <w:rFonts w:ascii="Verdana" w:hAnsi="Verdana"/>
          <w:sz w:val="16"/>
          <w:szCs w:val="16"/>
          <w:lang w:val="es-DO"/>
        </w:rPr>
        <w:tab/>
      </w:r>
      <w:r w:rsidR="00054451" w:rsidRPr="00F3786F">
        <w:rPr>
          <w:rFonts w:ascii="Verdana" w:hAnsi="Verdana"/>
          <w:i/>
          <w:sz w:val="16"/>
          <w:szCs w:val="16"/>
          <w:lang w:val="es-DO"/>
        </w:rPr>
        <w:t>Cfr. Asunto Diecisiete Personas Privadas de Libertad respecto de Nicaragua. Solicitud de ampliación de medidas provisionales.</w:t>
      </w:r>
      <w:r w:rsidR="00054451" w:rsidRPr="00F3786F">
        <w:rPr>
          <w:rFonts w:ascii="Verdana" w:hAnsi="Verdana"/>
          <w:sz w:val="16"/>
          <w:szCs w:val="16"/>
          <w:lang w:val="es-DO"/>
        </w:rPr>
        <w:t xml:space="preserve"> </w:t>
      </w:r>
      <w:r w:rsidR="00054451" w:rsidRPr="00F3786F">
        <w:rPr>
          <w:rFonts w:ascii="Verdana" w:hAnsi="Verdana"/>
          <w:sz w:val="16"/>
          <w:szCs w:val="16"/>
          <w:lang w:val="es-MX"/>
        </w:rPr>
        <w:t>Resolución de la Corte Interamericana de Derechos Humanos de  14 de octubre de 2019, Considerando 9.</w:t>
      </w:r>
    </w:p>
  </w:footnote>
  <w:footnote w:id="11">
    <w:p w14:paraId="37906A0A" w14:textId="77777777" w:rsidR="00AF53D7" w:rsidRPr="00F3786F" w:rsidRDefault="00AF53D7" w:rsidP="00F3786F">
      <w:pPr>
        <w:pStyle w:val="Textonotapie"/>
        <w:jc w:val="both"/>
        <w:rPr>
          <w:rFonts w:ascii="Verdana" w:hAnsi="Verdana"/>
          <w:sz w:val="16"/>
          <w:szCs w:val="16"/>
          <w:lang w:val="es-DO"/>
        </w:rPr>
      </w:pPr>
      <w:r w:rsidRPr="00F3786F">
        <w:rPr>
          <w:rStyle w:val="Refdenotaalpie"/>
          <w:rFonts w:ascii="Verdana" w:hAnsi="Verdana"/>
          <w:sz w:val="16"/>
          <w:szCs w:val="16"/>
        </w:rPr>
        <w:footnoteRef/>
      </w:r>
      <w:r w:rsidRPr="00F3786F">
        <w:rPr>
          <w:rFonts w:ascii="Verdana" w:hAnsi="Verdana"/>
          <w:sz w:val="16"/>
          <w:szCs w:val="16"/>
          <w:lang w:val="es-DO"/>
        </w:rPr>
        <w:t xml:space="preserve"> </w:t>
      </w:r>
      <w:r w:rsidR="00527D26" w:rsidRPr="00F3786F">
        <w:rPr>
          <w:rFonts w:ascii="Verdana" w:hAnsi="Verdana"/>
          <w:sz w:val="16"/>
          <w:szCs w:val="16"/>
          <w:lang w:val="es-DO"/>
        </w:rPr>
        <w:tab/>
      </w:r>
      <w:r w:rsidR="00527D26" w:rsidRPr="00F3786F">
        <w:rPr>
          <w:rFonts w:ascii="Verdana" w:hAnsi="Verdana"/>
          <w:i/>
          <w:sz w:val="16"/>
          <w:szCs w:val="16"/>
          <w:lang w:val="es-DO"/>
        </w:rPr>
        <w:t>Cfr</w:t>
      </w:r>
      <w:r w:rsidR="00527D26" w:rsidRPr="00F3786F">
        <w:rPr>
          <w:rFonts w:ascii="Verdana" w:hAnsi="Verdana"/>
          <w:sz w:val="16"/>
          <w:szCs w:val="16"/>
          <w:lang w:val="es-DO"/>
        </w:rPr>
        <w:t xml:space="preserve">. </w:t>
      </w:r>
      <w:r w:rsidRPr="00F3786F">
        <w:rPr>
          <w:rFonts w:ascii="Verdana" w:hAnsi="Verdana"/>
          <w:i/>
          <w:sz w:val="16"/>
          <w:szCs w:val="16"/>
          <w:lang w:val="es-DO"/>
        </w:rPr>
        <w:t xml:space="preserve">Caso de los Miembros de la Aldea </w:t>
      </w:r>
      <w:proofErr w:type="spellStart"/>
      <w:r w:rsidRPr="00F3786F">
        <w:rPr>
          <w:rFonts w:ascii="Verdana" w:hAnsi="Verdana"/>
          <w:i/>
          <w:sz w:val="16"/>
          <w:szCs w:val="16"/>
          <w:lang w:val="es-DO"/>
        </w:rPr>
        <w:t>Chichupac</w:t>
      </w:r>
      <w:proofErr w:type="spellEnd"/>
      <w:r w:rsidRPr="00F3786F">
        <w:rPr>
          <w:rFonts w:ascii="Verdana" w:hAnsi="Verdana"/>
          <w:i/>
          <w:sz w:val="16"/>
          <w:szCs w:val="16"/>
          <w:lang w:val="es-DO"/>
        </w:rPr>
        <w:t xml:space="preserve"> y Comunidades Vecinas del Municipio de Rabinal, Caso Molina </w:t>
      </w:r>
      <w:proofErr w:type="spellStart"/>
      <w:r w:rsidR="00527D26" w:rsidRPr="00F3786F">
        <w:rPr>
          <w:rFonts w:ascii="Verdana" w:hAnsi="Verdana"/>
          <w:i/>
          <w:sz w:val="16"/>
          <w:szCs w:val="16"/>
          <w:lang w:val="es-DO"/>
        </w:rPr>
        <w:t>Theissen</w:t>
      </w:r>
      <w:proofErr w:type="spellEnd"/>
      <w:r w:rsidR="00527D26" w:rsidRPr="00F3786F">
        <w:rPr>
          <w:rFonts w:ascii="Verdana" w:hAnsi="Verdana"/>
          <w:i/>
          <w:sz w:val="16"/>
          <w:szCs w:val="16"/>
          <w:lang w:val="es-DO"/>
        </w:rPr>
        <w:t xml:space="preserve"> y otros 12 casos contra Guatemala</w:t>
      </w:r>
      <w:r w:rsidR="00527D26" w:rsidRPr="00F3786F">
        <w:rPr>
          <w:rFonts w:ascii="Verdana" w:hAnsi="Verdana"/>
          <w:sz w:val="16"/>
          <w:szCs w:val="16"/>
          <w:lang w:val="es-DO"/>
        </w:rPr>
        <w:t xml:space="preserve">. Solicitud de medidas provisionales y supervisión de cumplimiento de sentencia. Resolución de la Corte Interamericana de Derechos Humanos de 14 de octubre de 2019, Considerando 26. </w:t>
      </w:r>
    </w:p>
  </w:footnote>
  <w:footnote w:id="12">
    <w:p w14:paraId="3A40C5D1" w14:textId="77777777" w:rsidR="00C11236" w:rsidRPr="00F3786F" w:rsidRDefault="00C11236" w:rsidP="00F3786F">
      <w:pPr>
        <w:pStyle w:val="Textonotapie"/>
        <w:jc w:val="both"/>
        <w:rPr>
          <w:rFonts w:ascii="Verdana" w:hAnsi="Verdana"/>
          <w:sz w:val="16"/>
          <w:szCs w:val="16"/>
          <w:lang w:val="es-MX"/>
        </w:rPr>
      </w:pPr>
      <w:r w:rsidRPr="00F3786F">
        <w:rPr>
          <w:rStyle w:val="Refdenotaalpie"/>
          <w:rFonts w:ascii="Verdana" w:hAnsi="Verdana"/>
          <w:sz w:val="16"/>
          <w:szCs w:val="16"/>
        </w:rPr>
        <w:footnoteRef/>
      </w:r>
      <w:r w:rsidRPr="00F3786F">
        <w:rPr>
          <w:rFonts w:ascii="Verdana" w:hAnsi="Verdana"/>
          <w:sz w:val="16"/>
          <w:szCs w:val="16"/>
          <w:lang w:val="es-MX"/>
        </w:rPr>
        <w:t xml:space="preserve"> </w:t>
      </w:r>
      <w:r w:rsidRPr="00F3786F">
        <w:rPr>
          <w:rFonts w:ascii="Verdana" w:hAnsi="Verdana"/>
          <w:sz w:val="16"/>
          <w:szCs w:val="16"/>
          <w:lang w:val="es-MX"/>
        </w:rPr>
        <w:tab/>
      </w:r>
      <w:r w:rsidRPr="00F3786F">
        <w:rPr>
          <w:rFonts w:ascii="Verdana" w:hAnsi="Verdana"/>
          <w:i/>
          <w:sz w:val="16"/>
          <w:szCs w:val="16"/>
          <w:lang w:val="es-MX"/>
        </w:rPr>
        <w:t xml:space="preserve">Cfr. Caso Fernández Ortega y otros Vs. México. </w:t>
      </w:r>
      <w:r w:rsidRPr="00F3786F">
        <w:rPr>
          <w:rFonts w:ascii="Verdana" w:hAnsi="Verdana"/>
          <w:sz w:val="16"/>
          <w:szCs w:val="16"/>
          <w:lang w:val="es-MX"/>
        </w:rPr>
        <w:t xml:space="preserve">Medidas Provisionales. </w:t>
      </w:r>
      <w:r w:rsidRPr="00F3786F">
        <w:rPr>
          <w:rFonts w:ascii="Verdana" w:hAnsi="Verdana"/>
          <w:bCs/>
          <w:sz w:val="16"/>
          <w:szCs w:val="16"/>
          <w:lang w:val="es-MX"/>
        </w:rPr>
        <w:t xml:space="preserve">Resolución de la Corte Interamericana de Derechos Humanos </w:t>
      </w:r>
      <w:r w:rsidRPr="00F3786F">
        <w:rPr>
          <w:rFonts w:ascii="Verdana" w:hAnsi="Verdana"/>
          <w:sz w:val="16"/>
          <w:szCs w:val="16"/>
          <w:lang w:val="es-MX"/>
        </w:rPr>
        <w:t xml:space="preserve">de 23 de noviembre de 2010, Considerando 11. </w:t>
      </w:r>
    </w:p>
  </w:footnote>
  <w:footnote w:id="13">
    <w:p w14:paraId="61F1C801" w14:textId="77777777" w:rsidR="00C11236" w:rsidRPr="00F3786F" w:rsidRDefault="00C11236" w:rsidP="00F3786F">
      <w:pPr>
        <w:pStyle w:val="Textonotapie"/>
        <w:jc w:val="both"/>
        <w:rPr>
          <w:rFonts w:ascii="Verdana" w:hAnsi="Verdana"/>
          <w:sz w:val="16"/>
          <w:szCs w:val="16"/>
          <w:lang w:val="es-MX"/>
        </w:rPr>
      </w:pPr>
      <w:r w:rsidRPr="00F3786F">
        <w:rPr>
          <w:rFonts w:ascii="Verdana" w:hAnsi="Verdana"/>
          <w:sz w:val="16"/>
          <w:szCs w:val="16"/>
          <w:vertAlign w:val="superscript"/>
          <w:lang w:val="es-MX"/>
        </w:rPr>
        <w:footnoteRef/>
      </w:r>
      <w:r w:rsidRPr="00F3786F">
        <w:rPr>
          <w:rFonts w:ascii="Verdana" w:hAnsi="Verdana"/>
          <w:sz w:val="16"/>
          <w:szCs w:val="16"/>
          <w:vertAlign w:val="superscript"/>
          <w:lang w:val="es-MX"/>
        </w:rPr>
        <w:t xml:space="preserve"> </w:t>
      </w:r>
      <w:r w:rsidRPr="00F3786F">
        <w:rPr>
          <w:rFonts w:ascii="Verdana" w:hAnsi="Verdana"/>
          <w:sz w:val="16"/>
          <w:szCs w:val="16"/>
          <w:lang w:val="es-MX"/>
        </w:rPr>
        <w:tab/>
      </w:r>
      <w:r w:rsidRPr="00F3786F">
        <w:rPr>
          <w:rFonts w:ascii="Verdana" w:hAnsi="Verdana"/>
          <w:i/>
          <w:sz w:val="16"/>
          <w:szCs w:val="16"/>
          <w:lang w:val="es-MX"/>
        </w:rPr>
        <w:t xml:space="preserve">Cfr. </w:t>
      </w:r>
      <w:r w:rsidRPr="00F3786F">
        <w:rPr>
          <w:rFonts w:ascii="Verdana" w:hAnsi="Verdana"/>
          <w:bCs/>
          <w:i/>
          <w:sz w:val="16"/>
          <w:szCs w:val="16"/>
          <w:lang w:val="es-MX"/>
        </w:rPr>
        <w:t xml:space="preserve">Asunto de los niños y adolescentes privados de libertad en el "Complexo do </w:t>
      </w:r>
      <w:proofErr w:type="spellStart"/>
      <w:r w:rsidRPr="00F3786F">
        <w:rPr>
          <w:rFonts w:ascii="Verdana" w:hAnsi="Verdana"/>
          <w:bCs/>
          <w:i/>
          <w:sz w:val="16"/>
          <w:szCs w:val="16"/>
          <w:lang w:val="es-MX"/>
        </w:rPr>
        <w:t>Tatuapé</w:t>
      </w:r>
      <w:proofErr w:type="spellEnd"/>
      <w:r w:rsidRPr="00F3786F">
        <w:rPr>
          <w:rFonts w:ascii="Verdana" w:hAnsi="Verdana"/>
          <w:bCs/>
          <w:i/>
          <w:sz w:val="16"/>
          <w:szCs w:val="16"/>
          <w:lang w:val="es-MX"/>
        </w:rPr>
        <w:t>” da FEBEM respecto Brasil</w:t>
      </w:r>
      <w:r w:rsidRPr="00F3786F">
        <w:rPr>
          <w:rFonts w:ascii="Verdana" w:hAnsi="Verdana"/>
          <w:bCs/>
          <w:sz w:val="16"/>
          <w:szCs w:val="16"/>
          <w:lang w:val="es-MX"/>
        </w:rPr>
        <w:t>. Medidas Provisionales. Resolución de la Corte Interamericana de Derechos Humanos de 4 de julio de 2006</w:t>
      </w:r>
      <w:r w:rsidRPr="00F3786F">
        <w:rPr>
          <w:rFonts w:ascii="Verdana" w:hAnsi="Verdana"/>
          <w:sz w:val="16"/>
          <w:szCs w:val="16"/>
          <w:lang w:val="es-MX"/>
        </w:rPr>
        <w:t xml:space="preserve">, Considerando 23 y </w:t>
      </w:r>
      <w:r w:rsidRPr="00F3786F">
        <w:rPr>
          <w:rFonts w:ascii="Verdana" w:hAnsi="Verdana"/>
          <w:i/>
          <w:sz w:val="16"/>
          <w:szCs w:val="16"/>
          <w:lang w:val="es-MX"/>
        </w:rPr>
        <w:t xml:space="preserve">Asunto Cuatro Comunidades Indígenas </w:t>
      </w:r>
      <w:proofErr w:type="spellStart"/>
      <w:r w:rsidRPr="00F3786F">
        <w:rPr>
          <w:rFonts w:ascii="Verdana" w:hAnsi="Verdana"/>
          <w:i/>
          <w:sz w:val="16"/>
          <w:szCs w:val="16"/>
          <w:lang w:val="es-MX"/>
        </w:rPr>
        <w:t>Ngöbe</w:t>
      </w:r>
      <w:proofErr w:type="spellEnd"/>
      <w:r w:rsidRPr="00F3786F">
        <w:rPr>
          <w:rFonts w:ascii="Verdana" w:hAnsi="Verdana"/>
          <w:i/>
          <w:sz w:val="16"/>
          <w:szCs w:val="16"/>
          <w:lang w:val="es-MX"/>
        </w:rPr>
        <w:t xml:space="preserve"> y sus miembros respecto Panamá</w:t>
      </w:r>
      <w:r w:rsidRPr="00F3786F">
        <w:rPr>
          <w:rFonts w:ascii="Verdana" w:hAnsi="Verdana"/>
          <w:sz w:val="16"/>
          <w:szCs w:val="16"/>
          <w:lang w:val="es-MX"/>
        </w:rPr>
        <w:t xml:space="preserve">. Medidas Provisionales. Resolución de la Corte Interamericana de Derechos Humanos de 28 de mayo de 2010, Considerando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078B"/>
    <w:multiLevelType w:val="hybridMultilevel"/>
    <w:tmpl w:val="880A4D4C"/>
    <w:lvl w:ilvl="0" w:tplc="849CD9DC">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4308C7"/>
    <w:multiLevelType w:val="hybridMultilevel"/>
    <w:tmpl w:val="E348C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55593"/>
    <w:multiLevelType w:val="hybridMultilevel"/>
    <w:tmpl w:val="8D9E7374"/>
    <w:lvl w:ilvl="0" w:tplc="3878DD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1915B6"/>
    <w:multiLevelType w:val="hybridMultilevel"/>
    <w:tmpl w:val="D4A07520"/>
    <w:lvl w:ilvl="0" w:tplc="1578F2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F404BE8"/>
    <w:multiLevelType w:val="hybridMultilevel"/>
    <w:tmpl w:val="D8502A72"/>
    <w:lvl w:ilvl="0" w:tplc="0409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552A0C"/>
    <w:multiLevelType w:val="hybridMultilevel"/>
    <w:tmpl w:val="6D8E6FA0"/>
    <w:lvl w:ilvl="0" w:tplc="688C1A3A">
      <w:start w:val="1"/>
      <w:numFmt w:val="lowerLetter"/>
      <w:lvlText w:val="%1)"/>
      <w:lvlJc w:val="left"/>
      <w:pPr>
        <w:ind w:left="720" w:hanging="360"/>
      </w:pPr>
      <w:rPr>
        <w:rFonts w:asciiTheme="minorHAnsi" w:hAnsiTheme="minorHAnsi" w:cstheme="minorBidi" w:hint="default"/>
        <w:b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A9E0C762">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B1780"/>
    <w:multiLevelType w:val="hybridMultilevel"/>
    <w:tmpl w:val="3F32F15A"/>
    <w:lvl w:ilvl="0" w:tplc="A3D0F1B8">
      <w:start w:val="1"/>
      <w:numFmt w:val="lowerLetter"/>
      <w:lvlText w:val="%1)"/>
      <w:lvlJc w:val="left"/>
      <w:pPr>
        <w:ind w:left="360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C43208"/>
    <w:multiLevelType w:val="hybridMultilevel"/>
    <w:tmpl w:val="43F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E72E5"/>
    <w:multiLevelType w:val="hybridMultilevel"/>
    <w:tmpl w:val="880A4D4C"/>
    <w:lvl w:ilvl="0" w:tplc="849CD9DC">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5AB2930"/>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0" w15:restartNumberingAfterBreak="0">
    <w:nsid w:val="6DC31EEE"/>
    <w:multiLevelType w:val="hybridMultilevel"/>
    <w:tmpl w:val="77CAD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010E1"/>
    <w:multiLevelType w:val="hybridMultilevel"/>
    <w:tmpl w:val="7F30DBD2"/>
    <w:lvl w:ilvl="0" w:tplc="C520F6C4">
      <w:start w:val="1"/>
      <w:numFmt w:val="decimal"/>
      <w:lvlText w:val="%1."/>
      <w:lvlJc w:val="left"/>
      <w:pPr>
        <w:tabs>
          <w:tab w:val="num" w:pos="1068"/>
        </w:tabs>
        <w:ind w:left="1068" w:hanging="360"/>
      </w:pPr>
      <w:rPr>
        <w:rFonts w:ascii="Verdana" w:hAnsi="Verdana" w:hint="default"/>
        <w:b w:val="0"/>
        <w:i w:val="0"/>
        <w:sz w:val="20"/>
        <w:lang w:val="es-ES"/>
      </w:rPr>
    </w:lvl>
    <w:lvl w:ilvl="1" w:tplc="0409000F">
      <w:start w:val="1"/>
      <w:numFmt w:val="decimal"/>
      <w:lvlText w:val="%2."/>
      <w:lvlJc w:val="left"/>
      <w:pPr>
        <w:tabs>
          <w:tab w:val="num" w:pos="2148"/>
        </w:tabs>
        <w:ind w:left="2148" w:hanging="360"/>
      </w:pPr>
      <w:rPr>
        <w:b w:val="0"/>
      </w:rPr>
    </w:lvl>
    <w:lvl w:ilvl="2" w:tplc="92DEE256">
      <w:start w:val="1"/>
      <w:numFmt w:val="lowerLetter"/>
      <w:lvlText w:val="%3."/>
      <w:lvlJc w:val="left"/>
      <w:pPr>
        <w:tabs>
          <w:tab w:val="num" w:pos="3048"/>
        </w:tabs>
        <w:ind w:left="3048" w:hanging="360"/>
      </w:pPr>
    </w:lvl>
    <w:lvl w:ilvl="3" w:tplc="A9E0C762">
      <w:start w:val="1"/>
      <w:numFmt w:val="lowerLetter"/>
      <w:lvlText w:val="%4)"/>
      <w:lvlJc w:val="left"/>
      <w:pPr>
        <w:tabs>
          <w:tab w:val="num" w:pos="2148"/>
        </w:tabs>
        <w:ind w:left="214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num w:numId="1">
    <w:abstractNumId w:val="3"/>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5"/>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0"/>
  <w:activeWritingStyle w:appName="MSWord" w:lang="es-CR" w:vendorID="64" w:dllVersion="6" w:nlCheck="1" w:checkStyle="0"/>
  <w:activeWritingStyle w:appName="MSWord" w:lang="es-DO" w:vendorID="64" w:dllVersion="6" w:nlCheck="1" w:checkStyle="0"/>
  <w:activeWritingStyle w:appName="MSWord" w:lang="es-ES_tradnl" w:vendorID="64" w:dllVersion="6" w:nlCheck="1" w:checkStyle="0"/>
  <w:activeWritingStyle w:appName="MSWord" w:lang="es-VE" w:vendorID="64" w:dllVersion="6" w:nlCheck="1" w:checkStyle="1"/>
  <w:activeWritingStyle w:appName="MSWord" w:lang="es-GT"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CR" w:vendorID="64" w:dllVersion="4096" w:nlCheck="1" w:checkStyle="0"/>
  <w:activeWritingStyle w:appName="MSWord" w:lang="pt-BR" w:vendorID="64" w:dllVersion="4096" w:nlCheck="1" w:checkStyle="0"/>
  <w:activeWritingStyle w:appName="MSWord" w:lang="es-GT"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5A"/>
    <w:rsid w:val="00003DB7"/>
    <w:rsid w:val="0001557E"/>
    <w:rsid w:val="00020E10"/>
    <w:rsid w:val="00021855"/>
    <w:rsid w:val="0004492F"/>
    <w:rsid w:val="000476D8"/>
    <w:rsid w:val="00053B92"/>
    <w:rsid w:val="00054451"/>
    <w:rsid w:val="00061E44"/>
    <w:rsid w:val="00093454"/>
    <w:rsid w:val="00093F0A"/>
    <w:rsid w:val="000F2462"/>
    <w:rsid w:val="001102DC"/>
    <w:rsid w:val="00111E24"/>
    <w:rsid w:val="00113A99"/>
    <w:rsid w:val="00151F31"/>
    <w:rsid w:val="00165A81"/>
    <w:rsid w:val="0018382B"/>
    <w:rsid w:val="001844A0"/>
    <w:rsid w:val="001A0BA6"/>
    <w:rsid w:val="001A3E0D"/>
    <w:rsid w:val="001C0971"/>
    <w:rsid w:val="001D7BCC"/>
    <w:rsid w:val="00201222"/>
    <w:rsid w:val="002028E0"/>
    <w:rsid w:val="00220609"/>
    <w:rsid w:val="00257704"/>
    <w:rsid w:val="00262191"/>
    <w:rsid w:val="00271662"/>
    <w:rsid w:val="002743F4"/>
    <w:rsid w:val="002746E5"/>
    <w:rsid w:val="00275EBB"/>
    <w:rsid w:val="002804E1"/>
    <w:rsid w:val="0028078E"/>
    <w:rsid w:val="002A4938"/>
    <w:rsid w:val="002A6DD6"/>
    <w:rsid w:val="002C2AD0"/>
    <w:rsid w:val="002C73FD"/>
    <w:rsid w:val="002D18B3"/>
    <w:rsid w:val="002D3721"/>
    <w:rsid w:val="002D7D61"/>
    <w:rsid w:val="002E2E37"/>
    <w:rsid w:val="002F1A48"/>
    <w:rsid w:val="002F5BA1"/>
    <w:rsid w:val="002F7DE6"/>
    <w:rsid w:val="00301078"/>
    <w:rsid w:val="003050F6"/>
    <w:rsid w:val="00310E5B"/>
    <w:rsid w:val="00346945"/>
    <w:rsid w:val="00350A52"/>
    <w:rsid w:val="0038765A"/>
    <w:rsid w:val="00394D34"/>
    <w:rsid w:val="003A22E5"/>
    <w:rsid w:val="003B7059"/>
    <w:rsid w:val="003C7661"/>
    <w:rsid w:val="003E69F4"/>
    <w:rsid w:val="003F3E4B"/>
    <w:rsid w:val="0040222B"/>
    <w:rsid w:val="00427B98"/>
    <w:rsid w:val="00440521"/>
    <w:rsid w:val="0044077C"/>
    <w:rsid w:val="004519F6"/>
    <w:rsid w:val="00455BD5"/>
    <w:rsid w:val="0046597D"/>
    <w:rsid w:val="0046654D"/>
    <w:rsid w:val="0048575A"/>
    <w:rsid w:val="004934B8"/>
    <w:rsid w:val="004A2797"/>
    <w:rsid w:val="004B1026"/>
    <w:rsid w:val="004F1CFA"/>
    <w:rsid w:val="005034D1"/>
    <w:rsid w:val="00520C4E"/>
    <w:rsid w:val="00527983"/>
    <w:rsid w:val="00527D26"/>
    <w:rsid w:val="00532597"/>
    <w:rsid w:val="00537F6A"/>
    <w:rsid w:val="00564899"/>
    <w:rsid w:val="00567E8E"/>
    <w:rsid w:val="0057382A"/>
    <w:rsid w:val="005766A2"/>
    <w:rsid w:val="00581413"/>
    <w:rsid w:val="00582CBC"/>
    <w:rsid w:val="00583450"/>
    <w:rsid w:val="00595891"/>
    <w:rsid w:val="005A3B48"/>
    <w:rsid w:val="005C7028"/>
    <w:rsid w:val="005F5F00"/>
    <w:rsid w:val="006048A5"/>
    <w:rsid w:val="006122BF"/>
    <w:rsid w:val="0061489D"/>
    <w:rsid w:val="0061506D"/>
    <w:rsid w:val="00632830"/>
    <w:rsid w:val="006462E1"/>
    <w:rsid w:val="0065636A"/>
    <w:rsid w:val="00663D79"/>
    <w:rsid w:val="00675305"/>
    <w:rsid w:val="0067734B"/>
    <w:rsid w:val="006964CB"/>
    <w:rsid w:val="006B207F"/>
    <w:rsid w:val="006B233C"/>
    <w:rsid w:val="006B36B7"/>
    <w:rsid w:val="006D6F12"/>
    <w:rsid w:val="006E3FDC"/>
    <w:rsid w:val="00705018"/>
    <w:rsid w:val="00720642"/>
    <w:rsid w:val="00734F01"/>
    <w:rsid w:val="00737367"/>
    <w:rsid w:val="00743C47"/>
    <w:rsid w:val="00752031"/>
    <w:rsid w:val="007561BA"/>
    <w:rsid w:val="00757F15"/>
    <w:rsid w:val="00761EBD"/>
    <w:rsid w:val="00773D2D"/>
    <w:rsid w:val="00775CC0"/>
    <w:rsid w:val="00784732"/>
    <w:rsid w:val="00786383"/>
    <w:rsid w:val="007865FC"/>
    <w:rsid w:val="00786A9A"/>
    <w:rsid w:val="007A0AC1"/>
    <w:rsid w:val="007A1DF4"/>
    <w:rsid w:val="007A4434"/>
    <w:rsid w:val="007E1451"/>
    <w:rsid w:val="007E5905"/>
    <w:rsid w:val="00811FF5"/>
    <w:rsid w:val="00812F57"/>
    <w:rsid w:val="0081796E"/>
    <w:rsid w:val="00840C3A"/>
    <w:rsid w:val="00844C38"/>
    <w:rsid w:val="00860616"/>
    <w:rsid w:val="00874F04"/>
    <w:rsid w:val="008751A8"/>
    <w:rsid w:val="00875FF1"/>
    <w:rsid w:val="00883B8A"/>
    <w:rsid w:val="00887993"/>
    <w:rsid w:val="00897173"/>
    <w:rsid w:val="008D03E8"/>
    <w:rsid w:val="008D0EE8"/>
    <w:rsid w:val="008D224E"/>
    <w:rsid w:val="008D4FA3"/>
    <w:rsid w:val="008E20D2"/>
    <w:rsid w:val="008F62D9"/>
    <w:rsid w:val="00937A28"/>
    <w:rsid w:val="00955926"/>
    <w:rsid w:val="0096783A"/>
    <w:rsid w:val="0098490E"/>
    <w:rsid w:val="009941FA"/>
    <w:rsid w:val="009B7808"/>
    <w:rsid w:val="009D636A"/>
    <w:rsid w:val="009D6BBC"/>
    <w:rsid w:val="009F721D"/>
    <w:rsid w:val="00A04F15"/>
    <w:rsid w:val="00A12991"/>
    <w:rsid w:val="00A209BA"/>
    <w:rsid w:val="00A220A1"/>
    <w:rsid w:val="00A3586A"/>
    <w:rsid w:val="00A4173B"/>
    <w:rsid w:val="00A41921"/>
    <w:rsid w:val="00A60B40"/>
    <w:rsid w:val="00A72B28"/>
    <w:rsid w:val="00AC4D16"/>
    <w:rsid w:val="00AF53D7"/>
    <w:rsid w:val="00B02AD5"/>
    <w:rsid w:val="00B12650"/>
    <w:rsid w:val="00B149C4"/>
    <w:rsid w:val="00B27B62"/>
    <w:rsid w:val="00B367E3"/>
    <w:rsid w:val="00B40384"/>
    <w:rsid w:val="00B407A4"/>
    <w:rsid w:val="00B45CC2"/>
    <w:rsid w:val="00B50F3E"/>
    <w:rsid w:val="00BA2057"/>
    <w:rsid w:val="00BA24FA"/>
    <w:rsid w:val="00BB3671"/>
    <w:rsid w:val="00BD252D"/>
    <w:rsid w:val="00BE7167"/>
    <w:rsid w:val="00BF26D9"/>
    <w:rsid w:val="00BF3D28"/>
    <w:rsid w:val="00BF67C5"/>
    <w:rsid w:val="00BF7918"/>
    <w:rsid w:val="00C03F32"/>
    <w:rsid w:val="00C11236"/>
    <w:rsid w:val="00C169C1"/>
    <w:rsid w:val="00C20199"/>
    <w:rsid w:val="00C204E7"/>
    <w:rsid w:val="00C34308"/>
    <w:rsid w:val="00C36549"/>
    <w:rsid w:val="00C459A7"/>
    <w:rsid w:val="00C50A23"/>
    <w:rsid w:val="00C719B6"/>
    <w:rsid w:val="00CD02C9"/>
    <w:rsid w:val="00CD23EA"/>
    <w:rsid w:val="00CE6186"/>
    <w:rsid w:val="00CF0EB8"/>
    <w:rsid w:val="00CF3D02"/>
    <w:rsid w:val="00D071FD"/>
    <w:rsid w:val="00D157E8"/>
    <w:rsid w:val="00D22918"/>
    <w:rsid w:val="00D61C1D"/>
    <w:rsid w:val="00D7077B"/>
    <w:rsid w:val="00DA5CB0"/>
    <w:rsid w:val="00DA7026"/>
    <w:rsid w:val="00DB41DD"/>
    <w:rsid w:val="00DC1E80"/>
    <w:rsid w:val="00DD29C1"/>
    <w:rsid w:val="00DF0642"/>
    <w:rsid w:val="00DF7AE8"/>
    <w:rsid w:val="00E3107F"/>
    <w:rsid w:val="00E604E5"/>
    <w:rsid w:val="00E6749C"/>
    <w:rsid w:val="00E72692"/>
    <w:rsid w:val="00E84652"/>
    <w:rsid w:val="00E902D8"/>
    <w:rsid w:val="00E94F44"/>
    <w:rsid w:val="00EA682A"/>
    <w:rsid w:val="00EB0BDA"/>
    <w:rsid w:val="00ED53E0"/>
    <w:rsid w:val="00EE5780"/>
    <w:rsid w:val="00F212E9"/>
    <w:rsid w:val="00F3786F"/>
    <w:rsid w:val="00F70F05"/>
    <w:rsid w:val="00F70F20"/>
    <w:rsid w:val="00F7289F"/>
    <w:rsid w:val="00F7571F"/>
    <w:rsid w:val="00F8565C"/>
    <w:rsid w:val="00FB02CE"/>
    <w:rsid w:val="00FB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09D8"/>
  <w15:docId w15:val="{1B1436B8-9B2D-4F99-955D-5A6B2C3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TextonotapieCar1"/>
    <w:qFormat/>
    <w:rsid w:val="0038765A"/>
    <w:pPr>
      <w:spacing w:after="0" w:line="240" w:lineRule="auto"/>
    </w:pPr>
    <w:rPr>
      <w:rFonts w:ascii="Times New Roman" w:eastAsia="MS Mincho" w:hAnsi="Times New Roman" w:cs="Times New Roman"/>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rsid w:val="0038765A"/>
    <w:rPr>
      <w:rFonts w:ascii="Times New Roman" w:eastAsia="MS Mincho" w:hAnsi="Times New Roman" w:cs="Times New Roman"/>
      <w:sz w:val="20"/>
      <w:szCs w:val="20"/>
    </w:rPr>
  </w:style>
  <w:style w:type="character" w:styleId="Refdenotaalpie">
    <w:name w:val="footnote reference"/>
    <w:aliases w:val="Footnotes refss,Texto de nota al pie,Appel note de bas de page,Footnote number,referencia nota al pie,BVI fnr,f,Footnote symbol,Footnote,Ref. de nota al pie.,4_G,16 Point,Superscript 6 Point,Texto nota al pie,Ref,de nota al pie,norma"/>
    <w:qFormat/>
    <w:rsid w:val="0038765A"/>
    <w:rPr>
      <w:rFonts w:cs="Times New Roman"/>
      <w:vertAlign w:val="superscript"/>
    </w:rPr>
  </w:style>
  <w:style w:type="paragraph" w:styleId="Prrafodelista">
    <w:name w:val="List Paragraph"/>
    <w:aliases w:val="Colorful List - Accent 11,List Paragraph2,List Paragraph1,Lista vistosa - Énfasis 11"/>
    <w:basedOn w:val="Normal"/>
    <w:link w:val="PrrafodelistaCar"/>
    <w:uiPriority w:val="34"/>
    <w:qFormat/>
    <w:rsid w:val="0038765A"/>
    <w:pPr>
      <w:spacing w:after="0" w:line="240" w:lineRule="auto"/>
      <w:ind w:left="720"/>
      <w:contextualSpacing/>
    </w:pPr>
    <w:rPr>
      <w:rFonts w:ascii="Garamond" w:eastAsia="Times" w:hAnsi="Garamond" w:cs="Times New Roman"/>
      <w:sz w:val="24"/>
      <w:szCs w:val="20"/>
      <w:lang w:val="es-ES_tradnl"/>
    </w:rPr>
  </w:style>
  <w:style w:type="character" w:customStyle="1" w:styleId="PrrafodelistaCar">
    <w:name w:val="Párrafo de lista Car"/>
    <w:aliases w:val="Colorful List - Accent 11 Car,List Paragraph2 Car,List Paragraph1 Car,Lista vistosa - Énfasis 11 Car"/>
    <w:link w:val="Prrafodelista"/>
    <w:uiPriority w:val="34"/>
    <w:locked/>
    <w:rsid w:val="0038765A"/>
    <w:rPr>
      <w:rFonts w:ascii="Garamond" w:eastAsia="Times" w:hAnsi="Garamond" w:cs="Times New Roman"/>
      <w:sz w:val="24"/>
      <w:szCs w:val="20"/>
      <w:lang w:val="es-ES_tradnl"/>
    </w:rPr>
  </w:style>
  <w:style w:type="paragraph" w:customStyle="1" w:styleId="Prrafodelista1">
    <w:name w:val="Párrafo de lista1"/>
    <w:basedOn w:val="Normal"/>
    <w:uiPriority w:val="99"/>
    <w:qFormat/>
    <w:rsid w:val="0038765A"/>
    <w:pPr>
      <w:spacing w:after="0" w:line="240" w:lineRule="auto"/>
      <w:contextualSpacing/>
    </w:pPr>
    <w:rPr>
      <w:rFonts w:ascii="Verdana" w:hAnsi="Verdana" w:cs="Times New Roman"/>
      <w:sz w:val="16"/>
      <w:lang w:val="es-ES"/>
    </w:rPr>
  </w:style>
  <w:style w:type="paragraph" w:customStyle="1" w:styleId="Default">
    <w:name w:val="Default"/>
    <w:uiPriority w:val="99"/>
    <w:rsid w:val="0038765A"/>
    <w:pPr>
      <w:autoSpaceDE w:val="0"/>
      <w:autoSpaceDN w:val="0"/>
      <w:adjustRightInd w:val="0"/>
      <w:spacing w:after="0" w:line="240" w:lineRule="auto"/>
    </w:pPr>
    <w:rPr>
      <w:rFonts w:ascii="Verdana" w:hAnsi="Verdana" w:cs="Verdana"/>
      <w:color w:val="000000"/>
      <w:sz w:val="24"/>
      <w:szCs w:val="24"/>
      <w:lang w:val="es-MX"/>
    </w:rPr>
  </w:style>
  <w:style w:type="paragraph" w:styleId="NormalWeb">
    <w:name w:val="Normal (Web)"/>
    <w:basedOn w:val="Normal"/>
    <w:uiPriority w:val="99"/>
    <w:semiHidden/>
    <w:unhideWhenUsed/>
    <w:rsid w:val="00275EBB"/>
    <w:pPr>
      <w:spacing w:before="100" w:beforeAutospacing="1" w:after="100" w:afterAutospacing="1" w:line="240" w:lineRule="auto"/>
    </w:pPr>
    <w:rPr>
      <w:rFonts w:ascii="Times New Roman" w:hAnsi="Times New Roman" w:cs="Times New Roman"/>
      <w:sz w:val="24"/>
      <w:szCs w:val="24"/>
    </w:rPr>
  </w:style>
  <w:style w:type="character" w:styleId="nfasis">
    <w:name w:val="Emphasis"/>
    <w:basedOn w:val="Fuentedeprrafopredeter"/>
    <w:uiPriority w:val="20"/>
    <w:qFormat/>
    <w:rsid w:val="00271662"/>
    <w:rPr>
      <w:i/>
      <w:iCs/>
    </w:rPr>
  </w:style>
  <w:style w:type="character" w:styleId="Textodelmarcadordeposicin">
    <w:name w:val="Placeholder Text"/>
    <w:basedOn w:val="Fuentedeprrafopredeter"/>
    <w:uiPriority w:val="99"/>
    <w:semiHidden/>
    <w:rsid w:val="006E3FDC"/>
    <w:rPr>
      <w:color w:val="808080"/>
    </w:rPr>
  </w:style>
  <w:style w:type="paragraph" w:styleId="Textodeglobo">
    <w:name w:val="Balloon Text"/>
    <w:basedOn w:val="Normal"/>
    <w:link w:val="TextodegloboCar"/>
    <w:uiPriority w:val="99"/>
    <w:semiHidden/>
    <w:unhideWhenUsed/>
    <w:rsid w:val="006E3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FDC"/>
    <w:rPr>
      <w:rFonts w:ascii="Tahoma" w:hAnsi="Tahoma" w:cs="Tahoma"/>
      <w:sz w:val="16"/>
      <w:szCs w:val="16"/>
    </w:rPr>
  </w:style>
  <w:style w:type="paragraph" w:styleId="Encabezado">
    <w:name w:val="header"/>
    <w:basedOn w:val="Normal"/>
    <w:link w:val="EncabezadoCar"/>
    <w:uiPriority w:val="99"/>
    <w:unhideWhenUsed/>
    <w:rsid w:val="007E59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5905"/>
  </w:style>
  <w:style w:type="paragraph" w:styleId="Piedepgina">
    <w:name w:val="footer"/>
    <w:basedOn w:val="Normal"/>
    <w:link w:val="PiedepginaCar"/>
    <w:uiPriority w:val="99"/>
    <w:unhideWhenUsed/>
    <w:rsid w:val="007E59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5905"/>
  </w:style>
  <w:style w:type="character" w:styleId="Refdecomentario">
    <w:name w:val="annotation reference"/>
    <w:basedOn w:val="Fuentedeprrafopredeter"/>
    <w:uiPriority w:val="99"/>
    <w:semiHidden/>
    <w:unhideWhenUsed/>
    <w:rsid w:val="00E604E5"/>
    <w:rPr>
      <w:sz w:val="16"/>
      <w:szCs w:val="16"/>
    </w:rPr>
  </w:style>
  <w:style w:type="paragraph" w:styleId="Textocomentario">
    <w:name w:val="annotation text"/>
    <w:basedOn w:val="Normal"/>
    <w:link w:val="TextocomentarioCar"/>
    <w:uiPriority w:val="99"/>
    <w:semiHidden/>
    <w:unhideWhenUsed/>
    <w:rsid w:val="00E604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04E5"/>
    <w:rPr>
      <w:sz w:val="20"/>
      <w:szCs w:val="20"/>
    </w:rPr>
  </w:style>
  <w:style w:type="paragraph" w:styleId="Asuntodelcomentario">
    <w:name w:val="annotation subject"/>
    <w:basedOn w:val="Textocomentario"/>
    <w:next w:val="Textocomentario"/>
    <w:link w:val="AsuntodelcomentarioCar"/>
    <w:uiPriority w:val="99"/>
    <w:semiHidden/>
    <w:unhideWhenUsed/>
    <w:rsid w:val="00E604E5"/>
    <w:rPr>
      <w:b/>
      <w:bCs/>
    </w:rPr>
  </w:style>
  <w:style w:type="character" w:customStyle="1" w:styleId="AsuntodelcomentarioCar">
    <w:name w:val="Asunto del comentario Car"/>
    <w:basedOn w:val="TextocomentarioCar"/>
    <w:link w:val="Asuntodelcomentario"/>
    <w:uiPriority w:val="99"/>
    <w:semiHidden/>
    <w:rsid w:val="00E60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6778">
      <w:bodyDiv w:val="1"/>
      <w:marLeft w:val="0"/>
      <w:marRight w:val="0"/>
      <w:marTop w:val="0"/>
      <w:marBottom w:val="0"/>
      <w:divBdr>
        <w:top w:val="none" w:sz="0" w:space="0" w:color="auto"/>
        <w:left w:val="none" w:sz="0" w:space="0" w:color="auto"/>
        <w:bottom w:val="none" w:sz="0" w:space="0" w:color="auto"/>
        <w:right w:val="none" w:sz="0" w:space="0" w:color="auto"/>
      </w:divBdr>
    </w:div>
    <w:div w:id="1175655707">
      <w:bodyDiv w:val="1"/>
      <w:marLeft w:val="0"/>
      <w:marRight w:val="0"/>
      <w:marTop w:val="0"/>
      <w:marBottom w:val="0"/>
      <w:divBdr>
        <w:top w:val="none" w:sz="0" w:space="0" w:color="auto"/>
        <w:left w:val="none" w:sz="0" w:space="0" w:color="auto"/>
        <w:bottom w:val="none" w:sz="0" w:space="0" w:color="auto"/>
        <w:right w:val="none" w:sz="0" w:space="0" w:color="auto"/>
      </w:divBdr>
    </w:div>
    <w:div w:id="16270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1EE5F-32D8-411B-9662-772103F0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16903</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Julliana Saborio</cp:lastModifiedBy>
  <cp:revision>2</cp:revision>
  <cp:lastPrinted>2020-02-13T19:56:00Z</cp:lastPrinted>
  <dcterms:created xsi:type="dcterms:W3CDTF">2020-02-13T23:24:00Z</dcterms:created>
  <dcterms:modified xsi:type="dcterms:W3CDTF">2020-02-13T23:24:00Z</dcterms:modified>
</cp:coreProperties>
</file>