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5EBD" w14:textId="77777777" w:rsidR="0097028F" w:rsidRPr="00084943" w:rsidRDefault="0097028F" w:rsidP="0097028F">
      <w:pPr>
        <w:ind w:right="18"/>
        <w:rPr>
          <w:rFonts w:ascii="Verdana" w:hAnsi="Verdana"/>
          <w:b/>
          <w:smallCaps/>
          <w:sz w:val="20"/>
          <w:szCs w:val="20"/>
        </w:rPr>
      </w:pPr>
    </w:p>
    <w:p w14:paraId="2A3719A1" w14:textId="77777777" w:rsidR="0097028F" w:rsidRDefault="0097028F" w:rsidP="0097028F">
      <w:pPr>
        <w:ind w:right="18"/>
        <w:rPr>
          <w:rFonts w:ascii="Verdana" w:hAnsi="Verdana"/>
          <w:b/>
          <w:smallCaps/>
          <w:sz w:val="20"/>
          <w:szCs w:val="20"/>
        </w:rPr>
      </w:pPr>
    </w:p>
    <w:p w14:paraId="11198EDE" w14:textId="77777777" w:rsidR="00AA549A" w:rsidRDefault="00AA549A" w:rsidP="0097028F">
      <w:pPr>
        <w:ind w:right="18"/>
        <w:rPr>
          <w:rFonts w:ascii="Verdana" w:hAnsi="Verdana"/>
          <w:b/>
          <w:smallCaps/>
          <w:sz w:val="20"/>
          <w:szCs w:val="20"/>
        </w:rPr>
      </w:pPr>
    </w:p>
    <w:p w14:paraId="1C8A84C3" w14:textId="77777777" w:rsidR="00AA549A" w:rsidRDefault="00AA549A" w:rsidP="0097028F">
      <w:pPr>
        <w:ind w:right="18"/>
        <w:rPr>
          <w:rFonts w:ascii="Verdana" w:hAnsi="Verdana"/>
          <w:b/>
          <w:smallCaps/>
          <w:sz w:val="20"/>
          <w:szCs w:val="20"/>
        </w:rPr>
      </w:pPr>
    </w:p>
    <w:p w14:paraId="0913E377" w14:textId="77777777" w:rsidR="00AA549A" w:rsidRDefault="00AA549A" w:rsidP="0097028F">
      <w:pPr>
        <w:ind w:right="18"/>
        <w:rPr>
          <w:rFonts w:ascii="Verdana" w:hAnsi="Verdana"/>
          <w:b/>
          <w:smallCaps/>
          <w:sz w:val="20"/>
          <w:szCs w:val="20"/>
        </w:rPr>
      </w:pPr>
    </w:p>
    <w:p w14:paraId="5B0A0FAA" w14:textId="77777777" w:rsidR="00AA549A" w:rsidRPr="00084943" w:rsidRDefault="00AA549A" w:rsidP="0097028F">
      <w:pPr>
        <w:ind w:right="18"/>
        <w:rPr>
          <w:rFonts w:ascii="Verdana" w:hAnsi="Verdana"/>
          <w:b/>
          <w:smallCaps/>
          <w:sz w:val="20"/>
          <w:szCs w:val="20"/>
        </w:rPr>
      </w:pPr>
    </w:p>
    <w:p w14:paraId="1EDF0C55" w14:textId="77777777" w:rsidR="0097028F" w:rsidRPr="00416D71" w:rsidRDefault="0097028F" w:rsidP="0097028F">
      <w:pPr>
        <w:ind w:right="18"/>
        <w:jc w:val="center"/>
        <w:rPr>
          <w:rFonts w:ascii="Verdana" w:hAnsi="Verdana"/>
          <w:b/>
          <w:smallCaps/>
          <w:sz w:val="20"/>
          <w:szCs w:val="20"/>
        </w:rPr>
      </w:pPr>
      <w:r w:rsidRPr="00416D71">
        <w:rPr>
          <w:rFonts w:ascii="Verdana" w:hAnsi="Verdana"/>
          <w:b/>
          <w:smallCaps/>
          <w:sz w:val="20"/>
          <w:szCs w:val="20"/>
        </w:rPr>
        <w:t xml:space="preserve">RESOLUCIÓN </w:t>
      </w:r>
    </w:p>
    <w:p w14:paraId="6DE8E05C" w14:textId="77777777" w:rsidR="0097028F" w:rsidRPr="00416D71" w:rsidRDefault="0097028F" w:rsidP="0097028F">
      <w:pPr>
        <w:pStyle w:val="Ttulo1"/>
        <w:ind w:right="18"/>
        <w:rPr>
          <w:smallCaps/>
          <w:szCs w:val="20"/>
        </w:rPr>
      </w:pPr>
      <w:r w:rsidRPr="00416D71">
        <w:rPr>
          <w:szCs w:val="20"/>
        </w:rPr>
        <w:t>DE LA CORTE INTERAMERICANA DE DERECHOS HUMANOS</w:t>
      </w:r>
    </w:p>
    <w:p w14:paraId="19F40E34" w14:textId="77777777" w:rsidR="0097028F" w:rsidRPr="00416D71" w:rsidRDefault="00791CCA" w:rsidP="0097028F">
      <w:pPr>
        <w:ind w:right="18"/>
        <w:jc w:val="center"/>
        <w:rPr>
          <w:rFonts w:ascii="Verdana" w:hAnsi="Verdana"/>
          <w:b/>
          <w:smallCaps/>
          <w:sz w:val="20"/>
          <w:szCs w:val="20"/>
        </w:rPr>
      </w:pPr>
      <w:r>
        <w:rPr>
          <w:rFonts w:ascii="Verdana" w:hAnsi="Verdana"/>
          <w:b/>
          <w:smallCaps/>
          <w:sz w:val="20"/>
          <w:szCs w:val="20"/>
        </w:rPr>
        <w:t>DE 6</w:t>
      </w:r>
      <w:r w:rsidR="0097028F" w:rsidRPr="00416D71">
        <w:rPr>
          <w:rFonts w:ascii="Verdana" w:hAnsi="Verdana"/>
          <w:b/>
          <w:smallCaps/>
          <w:sz w:val="20"/>
          <w:szCs w:val="20"/>
        </w:rPr>
        <w:t xml:space="preserve"> DE </w:t>
      </w:r>
      <w:r w:rsidR="00451E94">
        <w:rPr>
          <w:rFonts w:ascii="Verdana" w:hAnsi="Verdana"/>
          <w:b/>
          <w:smallCaps/>
          <w:sz w:val="20"/>
          <w:szCs w:val="20"/>
        </w:rPr>
        <w:t xml:space="preserve">MARZO </w:t>
      </w:r>
      <w:r w:rsidR="0097028F" w:rsidRPr="00416D71">
        <w:rPr>
          <w:rFonts w:ascii="Verdana" w:hAnsi="Verdana"/>
          <w:b/>
          <w:smallCaps/>
          <w:sz w:val="20"/>
          <w:szCs w:val="20"/>
        </w:rPr>
        <w:t>DE 201</w:t>
      </w:r>
      <w:r w:rsidR="00451E94">
        <w:rPr>
          <w:rFonts w:ascii="Verdana" w:hAnsi="Verdana"/>
          <w:b/>
          <w:smallCaps/>
          <w:sz w:val="20"/>
          <w:szCs w:val="20"/>
        </w:rPr>
        <w:t>9</w:t>
      </w:r>
    </w:p>
    <w:p w14:paraId="7EFBD762" w14:textId="77777777" w:rsidR="0097028F" w:rsidRPr="00416D71" w:rsidRDefault="0097028F" w:rsidP="0097028F">
      <w:pPr>
        <w:ind w:right="18"/>
        <w:jc w:val="both"/>
        <w:rPr>
          <w:rFonts w:ascii="Verdana" w:hAnsi="Verdana"/>
          <w:b/>
          <w:smallCaps/>
          <w:sz w:val="20"/>
          <w:szCs w:val="20"/>
        </w:rPr>
      </w:pPr>
    </w:p>
    <w:p w14:paraId="1E82CB68" w14:textId="77777777" w:rsidR="0097028F" w:rsidRPr="00416D71" w:rsidRDefault="0097028F" w:rsidP="0097028F">
      <w:pPr>
        <w:ind w:right="18"/>
        <w:jc w:val="center"/>
        <w:rPr>
          <w:rFonts w:ascii="Verdana" w:hAnsi="Verdana"/>
          <w:b/>
          <w:smallCaps/>
          <w:sz w:val="20"/>
          <w:szCs w:val="20"/>
        </w:rPr>
      </w:pPr>
      <w:r w:rsidRPr="00416D71">
        <w:rPr>
          <w:rFonts w:ascii="Verdana" w:hAnsi="Verdana"/>
          <w:b/>
          <w:sz w:val="20"/>
          <w:szCs w:val="20"/>
          <w:lang w:val="es-ES_tradnl"/>
        </w:rPr>
        <w:t>SOLICITUD DE MEDIDAS PROVISIONALES</w:t>
      </w:r>
    </w:p>
    <w:p w14:paraId="1AC2118D" w14:textId="77777777" w:rsidR="0097028F" w:rsidRPr="00416D71" w:rsidRDefault="0097028F" w:rsidP="0097028F">
      <w:pPr>
        <w:ind w:right="18"/>
        <w:jc w:val="center"/>
        <w:rPr>
          <w:rFonts w:ascii="Verdana" w:hAnsi="Verdana"/>
          <w:b/>
          <w:smallCaps/>
          <w:sz w:val="20"/>
          <w:szCs w:val="20"/>
        </w:rPr>
      </w:pPr>
      <w:r w:rsidRPr="00416D71">
        <w:rPr>
          <w:rFonts w:ascii="Verdana" w:hAnsi="Verdana"/>
          <w:b/>
          <w:smallCaps/>
          <w:sz w:val="20"/>
          <w:szCs w:val="20"/>
        </w:rPr>
        <w:t xml:space="preserve"> RESPECTO DE LA REPÚBLICA DEL PERÚ</w:t>
      </w:r>
    </w:p>
    <w:p w14:paraId="22280D9D" w14:textId="77777777" w:rsidR="0097028F" w:rsidRPr="00416D71" w:rsidRDefault="0097028F" w:rsidP="0097028F">
      <w:pPr>
        <w:ind w:right="18"/>
        <w:jc w:val="center"/>
        <w:rPr>
          <w:rFonts w:ascii="Verdana" w:hAnsi="Verdana"/>
          <w:b/>
          <w:smallCaps/>
          <w:sz w:val="20"/>
          <w:szCs w:val="20"/>
        </w:rPr>
      </w:pPr>
    </w:p>
    <w:p w14:paraId="759F0D22" w14:textId="77777777" w:rsidR="0097028F" w:rsidRPr="00416D71" w:rsidRDefault="0097028F" w:rsidP="0097028F">
      <w:pPr>
        <w:ind w:right="18"/>
        <w:jc w:val="center"/>
        <w:rPr>
          <w:rFonts w:ascii="Verdana" w:hAnsi="Verdana"/>
          <w:b/>
          <w:smallCaps/>
          <w:sz w:val="20"/>
          <w:szCs w:val="20"/>
        </w:rPr>
      </w:pPr>
      <w:r w:rsidRPr="00416D71">
        <w:rPr>
          <w:rFonts w:ascii="Verdana" w:hAnsi="Verdana"/>
          <w:b/>
          <w:smallCaps/>
          <w:sz w:val="20"/>
          <w:szCs w:val="20"/>
        </w:rPr>
        <w:t>CASO MUELLE FLORES</w:t>
      </w:r>
    </w:p>
    <w:p w14:paraId="1937EC57" w14:textId="77777777" w:rsidR="0097028F" w:rsidRPr="00416D71" w:rsidRDefault="0097028F" w:rsidP="0097028F">
      <w:pPr>
        <w:ind w:right="18"/>
        <w:jc w:val="both"/>
        <w:rPr>
          <w:rFonts w:ascii="Verdana" w:hAnsi="Verdana"/>
          <w:b/>
          <w:sz w:val="20"/>
          <w:szCs w:val="20"/>
        </w:rPr>
      </w:pPr>
    </w:p>
    <w:p w14:paraId="11727A95" w14:textId="77777777" w:rsidR="0097028F" w:rsidRPr="00416D71" w:rsidRDefault="0097028F" w:rsidP="0097028F">
      <w:pPr>
        <w:ind w:right="18"/>
        <w:jc w:val="both"/>
        <w:rPr>
          <w:rFonts w:ascii="Verdana" w:hAnsi="Verdana"/>
          <w:b/>
          <w:sz w:val="20"/>
          <w:szCs w:val="20"/>
        </w:rPr>
      </w:pPr>
      <w:r w:rsidRPr="00416D71">
        <w:rPr>
          <w:rFonts w:ascii="Verdana" w:hAnsi="Verdana"/>
          <w:b/>
          <w:sz w:val="20"/>
          <w:szCs w:val="20"/>
        </w:rPr>
        <w:t>VISTOS:</w:t>
      </w:r>
    </w:p>
    <w:p w14:paraId="6FD569B6" w14:textId="77777777" w:rsidR="0097028F" w:rsidRPr="00416D71" w:rsidRDefault="0097028F" w:rsidP="0097028F">
      <w:pPr>
        <w:pStyle w:val="Textonotapie"/>
        <w:ind w:right="18"/>
        <w:rPr>
          <w:rFonts w:ascii="Verdana" w:hAnsi="Verdana"/>
        </w:rPr>
      </w:pPr>
    </w:p>
    <w:p w14:paraId="6945652C" w14:textId="5013A0AF" w:rsidR="0097028F" w:rsidRPr="00416D71" w:rsidRDefault="0097028F" w:rsidP="0097028F">
      <w:pPr>
        <w:pStyle w:val="Sangra3detindependiente"/>
        <w:widowControl w:val="0"/>
        <w:numPr>
          <w:ilvl w:val="0"/>
          <w:numId w:val="2"/>
        </w:numPr>
        <w:ind w:left="0" w:right="18" w:firstLine="0"/>
        <w:rPr>
          <w:rFonts w:ascii="Verdana" w:eastAsia="Times" w:hAnsi="Verdana"/>
          <w:b w:val="0"/>
          <w:sz w:val="20"/>
          <w:lang w:val="es-ES"/>
        </w:rPr>
      </w:pPr>
      <w:r w:rsidRPr="00416D71">
        <w:rPr>
          <w:rFonts w:ascii="Verdana" w:eastAsia="Times" w:hAnsi="Verdana"/>
          <w:b w:val="0"/>
          <w:sz w:val="20"/>
        </w:rPr>
        <w:t xml:space="preserve">El escrito de sometimiento del caso de 13 de julio de 2017 mediante el cual la Comisión Interamericana de Derechos Humanos (en adelante “la Comisión Interamericana” o “la Comisión”) </w:t>
      </w:r>
      <w:r w:rsidRPr="00416D71">
        <w:rPr>
          <w:rFonts w:ascii="Verdana" w:hAnsi="Verdana"/>
          <w:b w:val="0"/>
          <w:sz w:val="20"/>
        </w:rPr>
        <w:t xml:space="preserve">presentó a la Corte Interamericana de Derechos Humanos (en adelante “la Corte” o “el Tribunal”) el </w:t>
      </w:r>
      <w:r w:rsidRPr="00416D71">
        <w:rPr>
          <w:rFonts w:ascii="Verdana" w:hAnsi="Verdana"/>
          <w:b w:val="0"/>
          <w:i/>
          <w:sz w:val="20"/>
        </w:rPr>
        <w:t>caso Muelle Flores Vs. Perú.</w:t>
      </w:r>
      <w:r w:rsidRPr="00416D71">
        <w:rPr>
          <w:rFonts w:ascii="Verdana" w:hAnsi="Verdana"/>
          <w:sz w:val="20"/>
          <w:lang w:val="es-CR"/>
        </w:rPr>
        <w:t xml:space="preserve"> </w:t>
      </w:r>
      <w:r w:rsidRPr="00416D71">
        <w:rPr>
          <w:rFonts w:ascii="Verdana" w:hAnsi="Verdana"/>
          <w:b w:val="0"/>
          <w:sz w:val="20"/>
          <w:lang w:val="es-CR"/>
        </w:rPr>
        <w:t xml:space="preserve">La Comisión indicó que el caso versa sobre la “violación </w:t>
      </w:r>
      <w:r w:rsidRPr="00416D71">
        <w:rPr>
          <w:rFonts w:ascii="Verdana" w:eastAsia="Calibri" w:hAnsi="Verdana" w:cs="Arial"/>
          <w:b w:val="0"/>
          <w:sz w:val="20"/>
          <w:lang w:val="es-CR" w:eastAsia="es-CR"/>
        </w:rPr>
        <w:t xml:space="preserve">del derecho a la tutela judicial efectiva como consecuencia del incumplimiento durante </w:t>
      </w:r>
      <w:r w:rsidRPr="00416D71">
        <w:rPr>
          <w:rFonts w:ascii="Verdana" w:eastAsia="Calibri" w:hAnsi="Verdana"/>
          <w:b w:val="0"/>
          <w:sz w:val="20"/>
          <w:lang w:val="es-CR" w:eastAsia="es-CR"/>
        </w:rPr>
        <w:t xml:space="preserve">24 </w:t>
      </w:r>
      <w:r w:rsidRPr="00416D71">
        <w:rPr>
          <w:rFonts w:ascii="Verdana" w:eastAsia="Calibri" w:hAnsi="Verdana" w:cs="Arial"/>
          <w:b w:val="0"/>
          <w:sz w:val="20"/>
          <w:lang w:val="es-CR" w:eastAsia="es-CR"/>
        </w:rPr>
        <w:t xml:space="preserve">años de una sentencia judicial a favor del señor Muelle Flores en el marco de un recurso de amparo en el que se ordenó su reincorporación al régimen pensionario del Decreto Ley </w:t>
      </w:r>
      <w:r w:rsidRPr="00416D71">
        <w:rPr>
          <w:rFonts w:ascii="Verdana" w:eastAsia="Calibri" w:hAnsi="Verdana"/>
          <w:b w:val="0"/>
          <w:sz w:val="20"/>
          <w:lang w:val="es-CR" w:eastAsia="es-CR"/>
        </w:rPr>
        <w:t xml:space="preserve">No. 20530”. </w:t>
      </w:r>
      <w:r w:rsidRPr="00416D71">
        <w:rPr>
          <w:rFonts w:ascii="Verdana" w:eastAsia="Times" w:hAnsi="Verdana"/>
          <w:b w:val="0"/>
          <w:sz w:val="20"/>
          <w:lang w:val="es-ES"/>
        </w:rPr>
        <w:t xml:space="preserve">Además, concluyó que los hechos del caso “constituyeron una violación a la garantía de plazo razonable y al derecho a la propiedad privada, pues las pensiones niveladas conforme al Decreto referido, entraron al patrimonio del señor Muelle mediante la decisión judicial que le fue favorable, pero no ha podido ejercer tal derecho”. </w:t>
      </w:r>
    </w:p>
    <w:p w14:paraId="26474524" w14:textId="77777777" w:rsidR="0097028F" w:rsidRPr="00416D71" w:rsidRDefault="0097028F" w:rsidP="0097028F">
      <w:pPr>
        <w:pStyle w:val="Sangra3detindependiente"/>
        <w:widowControl w:val="0"/>
        <w:ind w:left="0" w:right="18"/>
        <w:rPr>
          <w:rFonts w:ascii="Verdana" w:eastAsia="Times" w:hAnsi="Verdana"/>
          <w:b w:val="0"/>
          <w:sz w:val="20"/>
          <w:lang w:val="es-ES"/>
        </w:rPr>
      </w:pPr>
    </w:p>
    <w:p w14:paraId="17344F19" w14:textId="416F55A6" w:rsidR="0097028F" w:rsidRPr="00416D71" w:rsidRDefault="0097028F" w:rsidP="0097028F">
      <w:pPr>
        <w:pStyle w:val="Sangra3detindependiente"/>
        <w:widowControl w:val="0"/>
        <w:numPr>
          <w:ilvl w:val="0"/>
          <w:numId w:val="2"/>
        </w:numPr>
        <w:ind w:left="0" w:right="18" w:firstLine="0"/>
        <w:rPr>
          <w:rFonts w:ascii="Verdana" w:eastAsia="Times" w:hAnsi="Verdana"/>
          <w:b w:val="0"/>
          <w:sz w:val="20"/>
          <w:lang w:val="es-ES"/>
        </w:rPr>
      </w:pPr>
      <w:r w:rsidRPr="00416D71">
        <w:rPr>
          <w:rFonts w:ascii="Verdana" w:hAnsi="Verdana"/>
          <w:b w:val="0"/>
          <w:sz w:val="20"/>
        </w:rPr>
        <w:t>El escrito de solicitudes, argumentos y pruebas de 10 de diciembre de 2018, por medio del cual las defensoras públicas interamericanas de la presunta víctima (en adelante “las representantes”) solicitaron que además de los derechos alegados como vulnerados por la Comisión, la Corte declare la violación del artículo 26 de la Convención Americana sobre Derechos Humanos (en adelante “la Convención Americana” o “la Convención”), ya que la cesación arbitraria del pago de la pensión del señor Muelle Flores, así como la falta de ejecución de las sentencias dictadas a su favor a nivel interno, resultaron en la violación del derecho a la seguridad social. La</w:t>
      </w:r>
      <w:r w:rsidR="001643F8" w:rsidRPr="00416D71">
        <w:rPr>
          <w:rFonts w:ascii="Verdana" w:hAnsi="Verdana"/>
          <w:b w:val="0"/>
          <w:sz w:val="20"/>
        </w:rPr>
        <w:t>s</w:t>
      </w:r>
      <w:r w:rsidRPr="00416D71">
        <w:rPr>
          <w:rFonts w:ascii="Verdana" w:hAnsi="Verdana"/>
          <w:b w:val="0"/>
          <w:sz w:val="20"/>
        </w:rPr>
        <w:t xml:space="preserve"> representantes consideraron que el objeto central del caso era la privación al acceso y disfrute de la seguridad social, lo cual se vio agravado por la edad avanzada del señor Muelle Flores</w:t>
      </w:r>
      <w:r w:rsidRPr="00416D71">
        <w:rPr>
          <w:rStyle w:val="Refdenotaalpie"/>
          <w:rFonts w:ascii="Verdana" w:hAnsi="Verdana"/>
          <w:b w:val="0"/>
          <w:sz w:val="20"/>
        </w:rPr>
        <w:footnoteReference w:id="1"/>
      </w:r>
      <w:r w:rsidRPr="00416D71">
        <w:rPr>
          <w:rFonts w:ascii="Verdana" w:hAnsi="Verdana"/>
          <w:b w:val="0"/>
          <w:sz w:val="20"/>
        </w:rPr>
        <w:t xml:space="preserve"> y la discapacidad auditiva que sufre</w:t>
      </w:r>
      <w:r w:rsidR="00FF109A">
        <w:rPr>
          <w:rFonts w:ascii="Verdana" w:hAnsi="Verdana"/>
          <w:b w:val="0"/>
          <w:sz w:val="20"/>
        </w:rPr>
        <w:t>.</w:t>
      </w:r>
      <w:r w:rsidRPr="00416D71">
        <w:rPr>
          <w:rFonts w:ascii="Verdana" w:hAnsi="Verdana"/>
          <w:b w:val="0"/>
          <w:sz w:val="20"/>
        </w:rPr>
        <w:t xml:space="preserve"> El señor Muelle Flores tiene 82 años actualmente y reside en la Casa de Reposo “Vida Activa”. </w:t>
      </w:r>
    </w:p>
    <w:p w14:paraId="4CCB1D77" w14:textId="77777777" w:rsidR="0097028F" w:rsidRPr="00416D71" w:rsidRDefault="0097028F" w:rsidP="0097028F">
      <w:pPr>
        <w:pStyle w:val="Prrafodelista"/>
        <w:rPr>
          <w:rFonts w:ascii="Verdana" w:eastAsia="Times" w:hAnsi="Verdana"/>
          <w:b/>
          <w:sz w:val="20"/>
        </w:rPr>
      </w:pPr>
    </w:p>
    <w:p w14:paraId="27363E97" w14:textId="0D573A15" w:rsidR="0097028F" w:rsidRPr="00A95C72" w:rsidRDefault="0097028F" w:rsidP="0097028F">
      <w:pPr>
        <w:pStyle w:val="Sangra3detindependiente"/>
        <w:widowControl w:val="0"/>
        <w:numPr>
          <w:ilvl w:val="0"/>
          <w:numId w:val="2"/>
        </w:numPr>
        <w:ind w:left="0" w:firstLine="0"/>
        <w:rPr>
          <w:rFonts w:ascii="Verdana" w:eastAsia="Times" w:hAnsi="Verdana"/>
          <w:b w:val="0"/>
          <w:sz w:val="20"/>
          <w:lang w:val="es-ES"/>
        </w:rPr>
      </w:pPr>
      <w:r w:rsidRPr="00416D71">
        <w:rPr>
          <w:rFonts w:ascii="Verdana" w:eastAsia="Times" w:hAnsi="Verdana"/>
          <w:b w:val="0"/>
          <w:sz w:val="20"/>
          <w:lang w:val="es-ES"/>
        </w:rPr>
        <w:t xml:space="preserve">El escrito </w:t>
      </w:r>
      <w:r w:rsidRPr="00416D71">
        <w:rPr>
          <w:rFonts w:ascii="Verdana" w:hAnsi="Verdana"/>
          <w:b w:val="0"/>
          <w:sz w:val="20"/>
        </w:rPr>
        <w:t xml:space="preserve">de interposición de excepciones preliminares, contestación al sometimiento del caso y al escrito de solicitudes y argumentos de 2 de abril de 2018 (en adelante “contestación” o “escrito de contestación”), </w:t>
      </w:r>
      <w:r w:rsidR="0010235A" w:rsidRPr="00416D71">
        <w:rPr>
          <w:rFonts w:ascii="Verdana" w:hAnsi="Verdana"/>
          <w:b w:val="0"/>
          <w:sz w:val="20"/>
        </w:rPr>
        <w:t xml:space="preserve">presentado por </w:t>
      </w:r>
      <w:r w:rsidRPr="00A95C72">
        <w:rPr>
          <w:rFonts w:ascii="Verdana" w:hAnsi="Verdana"/>
          <w:b w:val="0"/>
          <w:sz w:val="20"/>
        </w:rPr>
        <w:t>el Estado del Perú (en adelante “el Estado” o “Perú”)</w:t>
      </w:r>
      <w:r w:rsidR="0010235A" w:rsidRPr="00A95C72">
        <w:rPr>
          <w:rFonts w:ascii="Verdana" w:hAnsi="Verdana"/>
          <w:b w:val="0"/>
          <w:sz w:val="20"/>
        </w:rPr>
        <w:t>.</w:t>
      </w:r>
      <w:r w:rsidRPr="00A95C72">
        <w:rPr>
          <w:b w:val="0"/>
        </w:rPr>
        <w:t xml:space="preserve"> </w:t>
      </w:r>
    </w:p>
    <w:p w14:paraId="670BF0F5" w14:textId="77777777" w:rsidR="0097028F" w:rsidRPr="00A95C72" w:rsidRDefault="0097028F" w:rsidP="0097028F">
      <w:pPr>
        <w:pStyle w:val="Sangra3detindependiente"/>
        <w:widowControl w:val="0"/>
        <w:ind w:left="0" w:right="18"/>
        <w:rPr>
          <w:rFonts w:ascii="Verdana" w:eastAsia="Times" w:hAnsi="Verdana"/>
          <w:b w:val="0"/>
          <w:sz w:val="20"/>
          <w:lang w:val="es-ES"/>
        </w:rPr>
      </w:pPr>
    </w:p>
    <w:p w14:paraId="5027D97E" w14:textId="72BB556C" w:rsidR="0097028F" w:rsidRPr="00A95C72" w:rsidRDefault="0097028F" w:rsidP="0097028F">
      <w:pPr>
        <w:pStyle w:val="Sangra3detindependiente"/>
        <w:widowControl w:val="0"/>
        <w:numPr>
          <w:ilvl w:val="0"/>
          <w:numId w:val="2"/>
        </w:numPr>
        <w:ind w:left="0" w:right="18" w:firstLine="0"/>
        <w:rPr>
          <w:rFonts w:ascii="Verdana" w:eastAsia="Times" w:hAnsi="Verdana"/>
          <w:b w:val="0"/>
          <w:sz w:val="20"/>
        </w:rPr>
      </w:pPr>
      <w:r w:rsidRPr="00A95C72">
        <w:rPr>
          <w:rFonts w:ascii="Verdana" w:hAnsi="Verdana"/>
          <w:b w:val="0"/>
          <w:sz w:val="20"/>
        </w:rPr>
        <w:t>El escrito de 27 de septiembre de 2018 y sus anexos, mediante los cuales las representantes sometieron a la Corte una solicitud de medidas provisionales, de conformidad con los artículos 63.2 de la Convención Americana sobre Derechos Humanos y 27 del Reglamento de la Corte (en adelante “el Reglamento”), con el propósito de que este Tribunal ordene la adopción de “</w:t>
      </w:r>
      <w:r w:rsidRPr="00A95C72">
        <w:rPr>
          <w:rFonts w:ascii="Verdana" w:eastAsia="Calibri" w:hAnsi="Verdana"/>
          <w:b w:val="0"/>
          <w:sz w:val="20"/>
          <w:lang w:val="es-CR" w:eastAsia="es-CR"/>
        </w:rPr>
        <w:t xml:space="preserve">medidas para garantizar el inmediato acceso a los servicios de salud </w:t>
      </w:r>
      <w:r w:rsidRPr="00A95C72">
        <w:rPr>
          <w:rFonts w:ascii="Verdana" w:hAnsi="Verdana"/>
          <w:b w:val="0"/>
          <w:sz w:val="20"/>
          <w:lang w:val="es-CR"/>
        </w:rPr>
        <w:t>pública, en las mismas condiciones que todos los pensionistas bajo el [r]</w:t>
      </w:r>
      <w:proofErr w:type="spellStart"/>
      <w:r w:rsidRPr="00A95C72">
        <w:rPr>
          <w:rFonts w:ascii="Verdana" w:hAnsi="Verdana"/>
          <w:b w:val="0"/>
          <w:sz w:val="20"/>
          <w:lang w:val="es-CR"/>
        </w:rPr>
        <w:t>égimen</w:t>
      </w:r>
      <w:proofErr w:type="spellEnd"/>
      <w:r w:rsidRPr="00A95C72">
        <w:rPr>
          <w:rFonts w:ascii="Verdana" w:hAnsi="Verdana"/>
          <w:b w:val="0"/>
          <w:sz w:val="20"/>
          <w:lang w:val="es-CR"/>
        </w:rPr>
        <w:t xml:space="preserve"> del Decreto 20.530”</w:t>
      </w:r>
      <w:r w:rsidRPr="00A95C72">
        <w:rPr>
          <w:rFonts w:ascii="Verdana" w:hAnsi="Verdana"/>
          <w:sz w:val="20"/>
          <w:lang w:val="es-CR"/>
        </w:rPr>
        <w:t xml:space="preserve"> </w:t>
      </w:r>
      <w:r w:rsidRPr="00A95C72">
        <w:rPr>
          <w:rFonts w:ascii="Verdana" w:eastAsia="Calibri" w:hAnsi="Verdana"/>
          <w:b w:val="0"/>
          <w:sz w:val="20"/>
          <w:lang w:val="es-CR" w:eastAsia="es-CR"/>
        </w:rPr>
        <w:t xml:space="preserve">para el señor Oscar </w:t>
      </w:r>
      <w:proofErr w:type="spellStart"/>
      <w:r w:rsidRPr="00A95C72">
        <w:rPr>
          <w:rFonts w:ascii="Verdana" w:eastAsia="Calibri" w:hAnsi="Verdana"/>
          <w:b w:val="0"/>
          <w:sz w:val="20"/>
          <w:lang w:val="es-CR" w:eastAsia="es-CR"/>
        </w:rPr>
        <w:t>Ruben</w:t>
      </w:r>
      <w:proofErr w:type="spellEnd"/>
      <w:r w:rsidRPr="00A95C72">
        <w:rPr>
          <w:rFonts w:ascii="Verdana" w:eastAsia="Calibri" w:hAnsi="Verdana"/>
          <w:b w:val="0"/>
          <w:sz w:val="20"/>
          <w:lang w:val="es-CR" w:eastAsia="es-CR"/>
        </w:rPr>
        <w:t xml:space="preserve"> Muelle Flores y se otorgue, de </w:t>
      </w:r>
      <w:r w:rsidRPr="00A95C72">
        <w:rPr>
          <w:rFonts w:ascii="Verdana" w:hAnsi="Verdana"/>
          <w:b w:val="0"/>
          <w:sz w:val="20"/>
          <w:lang w:val="es-CR"/>
        </w:rPr>
        <w:t>forma inmediata</w:t>
      </w:r>
      <w:r w:rsidRPr="00A95C72" w:rsidDel="0082350C">
        <w:rPr>
          <w:rFonts w:ascii="Verdana" w:eastAsia="Calibri" w:hAnsi="Verdana"/>
          <w:b w:val="0"/>
          <w:sz w:val="20"/>
          <w:lang w:val="es-CR" w:eastAsia="es-CR"/>
        </w:rPr>
        <w:t xml:space="preserve"> </w:t>
      </w:r>
      <w:r w:rsidRPr="00A95C72">
        <w:rPr>
          <w:rFonts w:ascii="Verdana" w:eastAsia="Calibri" w:hAnsi="Verdana"/>
          <w:b w:val="0"/>
          <w:sz w:val="20"/>
          <w:lang w:val="es-CR" w:eastAsia="es-CR"/>
        </w:rPr>
        <w:t xml:space="preserve">y de manera provisional, una pensión de </w:t>
      </w:r>
      <w:r w:rsidRPr="00A95C72">
        <w:rPr>
          <w:rFonts w:ascii="Verdana" w:eastAsia="Calibri" w:hAnsi="Verdana"/>
          <w:b w:val="0"/>
          <w:sz w:val="20"/>
          <w:lang w:val="es-CR" w:eastAsia="es-CR"/>
        </w:rPr>
        <w:lastRenderedPageBreak/>
        <w:t>S/800 (ochocientos soles)</w:t>
      </w:r>
      <w:r w:rsidRPr="00A95C72">
        <w:rPr>
          <w:rStyle w:val="Refdenotaalpie"/>
          <w:rFonts w:ascii="Verdana" w:eastAsia="Calibri" w:hAnsi="Verdana"/>
          <w:b w:val="0"/>
          <w:sz w:val="20"/>
          <w:lang w:val="es-CR" w:eastAsia="es-CR"/>
        </w:rPr>
        <w:footnoteReference w:id="2"/>
      </w:r>
      <w:r w:rsidRPr="00A95C72">
        <w:rPr>
          <w:rFonts w:ascii="Verdana" w:eastAsia="Calibri" w:hAnsi="Verdana"/>
          <w:b w:val="0"/>
          <w:sz w:val="20"/>
          <w:lang w:val="es-CR" w:eastAsia="es-CR"/>
        </w:rPr>
        <w:t xml:space="preserve"> mensuales, hasta que el Estado implemente la pensión definitiva debidamente nivelada.</w:t>
      </w:r>
    </w:p>
    <w:p w14:paraId="23CFA598" w14:textId="77777777" w:rsidR="0097028F" w:rsidRPr="00A95C72" w:rsidRDefault="0097028F" w:rsidP="0097028F">
      <w:pPr>
        <w:pStyle w:val="Prrafodelista"/>
        <w:ind w:left="0"/>
        <w:rPr>
          <w:rFonts w:ascii="Verdana" w:eastAsia="Times" w:hAnsi="Verdana"/>
          <w:sz w:val="20"/>
          <w:szCs w:val="20"/>
          <w:lang w:val="es-CR"/>
        </w:rPr>
      </w:pPr>
    </w:p>
    <w:p w14:paraId="7010847E" w14:textId="14ED8871" w:rsidR="0097028F" w:rsidRPr="00A95C72" w:rsidRDefault="0097028F" w:rsidP="0097028F">
      <w:pPr>
        <w:pStyle w:val="Sangra3detindependiente"/>
        <w:widowControl w:val="0"/>
        <w:numPr>
          <w:ilvl w:val="0"/>
          <w:numId w:val="2"/>
        </w:numPr>
        <w:autoSpaceDE w:val="0"/>
        <w:autoSpaceDN w:val="0"/>
        <w:adjustRightInd w:val="0"/>
        <w:ind w:left="0" w:right="18" w:firstLine="0"/>
        <w:rPr>
          <w:rFonts w:ascii="Verdana" w:eastAsia="Calibri" w:hAnsi="Verdana"/>
          <w:b w:val="0"/>
          <w:sz w:val="20"/>
          <w:lang w:val="es-CR" w:eastAsia="es-CR"/>
        </w:rPr>
      </w:pPr>
      <w:r w:rsidRPr="00A95C72">
        <w:rPr>
          <w:rFonts w:ascii="Verdana" w:eastAsia="Times" w:hAnsi="Verdana"/>
          <w:b w:val="0"/>
          <w:sz w:val="20"/>
        </w:rPr>
        <w:t xml:space="preserve">La nota de la Secretaría de la Corte de 1 de octubre de 2018, mediante la cual se solicitó a la Comisión y al Estado que remitan las observaciones e información que consideren pertinentes a más tardar el 12 de octubre de 2018. </w:t>
      </w:r>
      <w:r w:rsidRPr="00A95C72">
        <w:rPr>
          <w:rFonts w:ascii="Verdana" w:eastAsia="Times" w:hAnsi="Verdana"/>
          <w:sz w:val="20"/>
        </w:rPr>
        <w:t xml:space="preserve"> </w:t>
      </w:r>
    </w:p>
    <w:p w14:paraId="44B7D287" w14:textId="77777777" w:rsidR="0097028F" w:rsidRPr="00A95C72" w:rsidRDefault="0097028F" w:rsidP="0097028F">
      <w:pPr>
        <w:autoSpaceDE w:val="0"/>
        <w:autoSpaceDN w:val="0"/>
        <w:adjustRightInd w:val="0"/>
        <w:rPr>
          <w:rFonts w:ascii="Verdana" w:eastAsia="Calibri" w:hAnsi="Verdana"/>
          <w:sz w:val="20"/>
          <w:szCs w:val="20"/>
          <w:lang w:val="es-CR" w:eastAsia="es-CR"/>
        </w:rPr>
      </w:pPr>
      <w:r w:rsidRPr="00A95C72">
        <w:rPr>
          <w:rFonts w:ascii="Verdana" w:eastAsia="Calibri" w:hAnsi="Verdana"/>
          <w:sz w:val="20"/>
          <w:szCs w:val="20"/>
          <w:lang w:val="es-CR" w:eastAsia="es-CR"/>
        </w:rPr>
        <w:t xml:space="preserve">     </w:t>
      </w:r>
      <w:r w:rsidRPr="00A95C72">
        <w:rPr>
          <w:rFonts w:ascii="Verdana" w:hAnsi="Verdana"/>
          <w:sz w:val="20"/>
          <w:szCs w:val="20"/>
        </w:rPr>
        <w:t xml:space="preserve"> </w:t>
      </w:r>
    </w:p>
    <w:p w14:paraId="5B146F84" w14:textId="076FB5DA" w:rsidR="002E0FC5" w:rsidRPr="00451E94" w:rsidRDefault="0097028F" w:rsidP="002E0FC5">
      <w:pPr>
        <w:pStyle w:val="Sangra3detindependiente"/>
        <w:widowControl w:val="0"/>
        <w:numPr>
          <w:ilvl w:val="0"/>
          <w:numId w:val="2"/>
        </w:numPr>
        <w:ind w:left="0" w:right="18" w:firstLine="0"/>
        <w:rPr>
          <w:rFonts w:ascii="Verdana" w:eastAsia="Times" w:hAnsi="Verdana"/>
          <w:b w:val="0"/>
          <w:sz w:val="20"/>
        </w:rPr>
      </w:pPr>
      <w:r w:rsidRPr="00A95C72">
        <w:rPr>
          <w:rFonts w:ascii="Verdana" w:eastAsia="Times" w:hAnsi="Verdana"/>
          <w:b w:val="0"/>
          <w:sz w:val="20"/>
        </w:rPr>
        <w:t xml:space="preserve">El escrito de 12 de octubre de 2018 y sus anexos, mediante los cuales el Estado remitió sus observaciones y sostuvo que la referida solicitud “no </w:t>
      </w:r>
      <w:proofErr w:type="spellStart"/>
      <w:r w:rsidRPr="00A95C72">
        <w:rPr>
          <w:rFonts w:ascii="Verdana" w:eastAsia="Times" w:hAnsi="Verdana"/>
          <w:b w:val="0"/>
          <w:sz w:val="20"/>
        </w:rPr>
        <w:t>cumpl</w:t>
      </w:r>
      <w:proofErr w:type="spellEnd"/>
      <w:r w:rsidRPr="00A95C72">
        <w:rPr>
          <w:rFonts w:ascii="Verdana" w:eastAsia="Times" w:hAnsi="Verdana"/>
          <w:b w:val="0"/>
          <w:sz w:val="20"/>
        </w:rPr>
        <w:t>[</w:t>
      </w:r>
      <w:proofErr w:type="spellStart"/>
      <w:r w:rsidRPr="00A95C72">
        <w:rPr>
          <w:rFonts w:ascii="Verdana" w:eastAsia="Times" w:hAnsi="Verdana"/>
          <w:b w:val="0"/>
          <w:sz w:val="20"/>
        </w:rPr>
        <w:t>ía</w:t>
      </w:r>
      <w:proofErr w:type="spellEnd"/>
      <w:r w:rsidRPr="00A95C72">
        <w:rPr>
          <w:rFonts w:ascii="Verdana" w:eastAsia="Times" w:hAnsi="Verdana"/>
          <w:b w:val="0"/>
          <w:sz w:val="20"/>
        </w:rPr>
        <w:t xml:space="preserve">] con los requisitos para la concesión de medidas provisionales” y que “el estado de salud de la víctima y la supuesta falta de acceso a un sistema de salud […] en estricto, no forma parte del debate central de la controversia ante la Corte IDH, siendo ello un aspecto </w:t>
      </w:r>
      <w:r w:rsidR="001E36B3" w:rsidRPr="00A95C72">
        <w:rPr>
          <w:rFonts w:ascii="Verdana" w:eastAsia="Times" w:hAnsi="Verdana"/>
          <w:b w:val="0"/>
          <w:sz w:val="20"/>
        </w:rPr>
        <w:t>más</w:t>
      </w:r>
      <w:r w:rsidRPr="00A95C72">
        <w:rPr>
          <w:rFonts w:ascii="Verdana" w:eastAsia="Times" w:hAnsi="Verdana"/>
          <w:b w:val="0"/>
          <w:sz w:val="20"/>
        </w:rPr>
        <w:t xml:space="preserve"> bien de tipo tangencial”. El Estado destacó que lo que estaba en controversia ante la Corte era “la presunta vulneración de los derechos a las garantías judiciales, propiedad privada y protección judicial”.</w:t>
      </w:r>
      <w:r w:rsidR="00AD0B5F">
        <w:rPr>
          <w:rFonts w:ascii="Verdana" w:eastAsia="Times" w:hAnsi="Verdana"/>
          <w:b w:val="0"/>
          <w:sz w:val="20"/>
        </w:rPr>
        <w:t xml:space="preserve"> </w:t>
      </w:r>
      <w:r w:rsidRPr="00A95C72">
        <w:rPr>
          <w:rFonts w:ascii="Verdana" w:eastAsia="Times" w:hAnsi="Verdana"/>
          <w:b w:val="0"/>
          <w:sz w:val="20"/>
        </w:rPr>
        <w:t xml:space="preserve">La Comisión Interamericana </w:t>
      </w:r>
      <w:r w:rsidRPr="00A95C72">
        <w:rPr>
          <w:rFonts w:ascii="Verdana" w:hAnsi="Verdana"/>
          <w:b w:val="0"/>
          <w:sz w:val="20"/>
          <w:lang w:val="es-CR"/>
        </w:rPr>
        <w:t>no remitió observaciones sobre la solicitud de medidas provisionales presentada por las representantes de la presunta víctima</w:t>
      </w:r>
      <w:r w:rsidR="002E0FC5">
        <w:rPr>
          <w:rFonts w:ascii="Verdana" w:hAnsi="Verdana"/>
          <w:b w:val="0"/>
          <w:sz w:val="20"/>
          <w:lang w:val="es-CR"/>
        </w:rPr>
        <w:t>.</w:t>
      </w:r>
    </w:p>
    <w:p w14:paraId="3A06F910" w14:textId="77777777" w:rsidR="002E0FC5" w:rsidRPr="00451E94" w:rsidRDefault="002E0FC5" w:rsidP="00451E94">
      <w:pPr>
        <w:pStyle w:val="Sangra3detindependiente"/>
        <w:widowControl w:val="0"/>
        <w:ind w:left="0" w:right="18"/>
        <w:rPr>
          <w:rFonts w:ascii="Verdana" w:eastAsia="Times" w:hAnsi="Verdana"/>
          <w:b w:val="0"/>
          <w:sz w:val="20"/>
        </w:rPr>
      </w:pPr>
    </w:p>
    <w:p w14:paraId="388DBA0C" w14:textId="77777777" w:rsidR="002E0FC5" w:rsidRDefault="002E0FC5" w:rsidP="00451E94">
      <w:pPr>
        <w:pStyle w:val="Sangra3detindependiente"/>
        <w:widowControl w:val="0"/>
        <w:numPr>
          <w:ilvl w:val="0"/>
          <w:numId w:val="2"/>
        </w:numPr>
        <w:ind w:left="0" w:right="18" w:firstLine="0"/>
        <w:rPr>
          <w:rFonts w:ascii="Verdana" w:eastAsia="Times" w:hAnsi="Verdana"/>
          <w:b w:val="0"/>
          <w:sz w:val="20"/>
        </w:rPr>
      </w:pPr>
      <w:r w:rsidRPr="002E0FC5">
        <w:rPr>
          <w:rFonts w:ascii="Verdana" w:eastAsia="Times" w:hAnsi="Verdana"/>
          <w:b w:val="0"/>
          <w:sz w:val="20"/>
        </w:rPr>
        <w:t>La nota de la Secretaría de 23 de noviembre de 2018</w:t>
      </w:r>
      <w:r w:rsidR="005E1776">
        <w:rPr>
          <w:rFonts w:ascii="Verdana" w:eastAsia="Times" w:hAnsi="Verdana"/>
          <w:b w:val="0"/>
          <w:sz w:val="20"/>
        </w:rPr>
        <w:t xml:space="preserve"> la cual informó que, </w:t>
      </w:r>
      <w:r w:rsidRPr="002E0FC5">
        <w:rPr>
          <w:rFonts w:ascii="Verdana" w:eastAsia="Times" w:hAnsi="Verdana"/>
          <w:b w:val="0"/>
          <w:sz w:val="20"/>
        </w:rPr>
        <w:t>siguiendo instrucciones del Pleno de la Corte</w:t>
      </w:r>
      <w:r>
        <w:rPr>
          <w:rFonts w:ascii="Verdana" w:eastAsia="Times" w:hAnsi="Verdana"/>
          <w:b w:val="0"/>
          <w:sz w:val="20"/>
        </w:rPr>
        <w:t>,</w:t>
      </w:r>
      <w:r w:rsidRPr="002E0FC5">
        <w:rPr>
          <w:rFonts w:ascii="Verdana" w:eastAsia="Times" w:hAnsi="Verdana"/>
          <w:b w:val="0"/>
          <w:sz w:val="20"/>
        </w:rPr>
        <w:t xml:space="preserve"> debido a que la decisión sobre el fondo del caso </w:t>
      </w:r>
      <w:r w:rsidRPr="00451E94">
        <w:rPr>
          <w:rFonts w:ascii="Verdana" w:eastAsia="Times" w:hAnsi="Verdana"/>
          <w:b w:val="0"/>
          <w:i/>
          <w:sz w:val="20"/>
        </w:rPr>
        <w:t>Muelle Flores Vs. Perú</w:t>
      </w:r>
      <w:r w:rsidRPr="002E0FC5">
        <w:rPr>
          <w:rFonts w:ascii="Verdana" w:eastAsia="Times" w:hAnsi="Verdana"/>
          <w:b w:val="0"/>
          <w:sz w:val="20"/>
        </w:rPr>
        <w:t xml:space="preserve"> estaría</w:t>
      </w:r>
      <w:r>
        <w:rPr>
          <w:rFonts w:ascii="Verdana" w:eastAsia="Times" w:hAnsi="Verdana"/>
          <w:b w:val="0"/>
          <w:sz w:val="20"/>
        </w:rPr>
        <w:t xml:space="preserve"> </w:t>
      </w:r>
      <w:r w:rsidRPr="002E0FC5">
        <w:rPr>
          <w:rFonts w:ascii="Verdana" w:eastAsia="Times" w:hAnsi="Verdana"/>
          <w:b w:val="0"/>
          <w:sz w:val="20"/>
        </w:rPr>
        <w:t>prevista para ser resuelta en el siguiente periodo de sesiones del Tribunal, el Pleno</w:t>
      </w:r>
      <w:r>
        <w:rPr>
          <w:rFonts w:ascii="Verdana" w:eastAsia="Times" w:hAnsi="Verdana"/>
          <w:b w:val="0"/>
          <w:sz w:val="20"/>
        </w:rPr>
        <w:t xml:space="preserve"> </w:t>
      </w:r>
      <w:r w:rsidRPr="002E0FC5">
        <w:rPr>
          <w:rFonts w:ascii="Verdana" w:eastAsia="Times" w:hAnsi="Verdana"/>
          <w:b w:val="0"/>
          <w:sz w:val="20"/>
        </w:rPr>
        <w:t>de la Corte consideró pertinente que la resolución de la presente solicitud de medidas</w:t>
      </w:r>
      <w:r>
        <w:rPr>
          <w:rFonts w:ascii="Verdana" w:eastAsia="Times" w:hAnsi="Verdana"/>
          <w:b w:val="0"/>
          <w:sz w:val="20"/>
        </w:rPr>
        <w:t xml:space="preserve"> </w:t>
      </w:r>
      <w:r w:rsidRPr="002E0FC5">
        <w:rPr>
          <w:rFonts w:ascii="Verdana" w:eastAsia="Times" w:hAnsi="Verdana"/>
          <w:b w:val="0"/>
          <w:sz w:val="20"/>
        </w:rPr>
        <w:t>provisionales presentada por las representantes sea resuelta</w:t>
      </w:r>
      <w:r>
        <w:rPr>
          <w:rFonts w:ascii="Verdana" w:eastAsia="Times" w:hAnsi="Verdana"/>
          <w:b w:val="0"/>
          <w:sz w:val="20"/>
        </w:rPr>
        <w:t xml:space="preserve"> </w:t>
      </w:r>
      <w:r w:rsidRPr="002E0FC5">
        <w:rPr>
          <w:rFonts w:ascii="Verdana" w:eastAsia="Times" w:hAnsi="Verdana"/>
          <w:b w:val="0"/>
          <w:sz w:val="20"/>
        </w:rPr>
        <w:t>con posterioridad.</w:t>
      </w:r>
    </w:p>
    <w:p w14:paraId="30273308" w14:textId="77777777" w:rsidR="00B65E18" w:rsidRDefault="00B65E18" w:rsidP="00451E94">
      <w:pPr>
        <w:pStyle w:val="Prrafodelista"/>
        <w:rPr>
          <w:rFonts w:ascii="Verdana" w:eastAsia="Times" w:hAnsi="Verdana"/>
          <w:sz w:val="20"/>
        </w:rPr>
      </w:pPr>
    </w:p>
    <w:p w14:paraId="6ADD771F" w14:textId="77777777" w:rsidR="00083816" w:rsidRPr="00A9103A" w:rsidRDefault="005E1776" w:rsidP="00451E94">
      <w:pPr>
        <w:pStyle w:val="Prrafodelista"/>
        <w:widowControl w:val="0"/>
        <w:numPr>
          <w:ilvl w:val="0"/>
          <w:numId w:val="2"/>
        </w:numPr>
        <w:tabs>
          <w:tab w:val="left" w:pos="567"/>
        </w:tabs>
        <w:adjustRightInd w:val="0"/>
        <w:ind w:left="0" w:firstLine="0"/>
        <w:jc w:val="both"/>
        <w:textAlignment w:val="baseline"/>
        <w:rPr>
          <w:rFonts w:ascii="Verdana" w:hAnsi="Verdana"/>
          <w:sz w:val="20"/>
          <w:szCs w:val="20"/>
        </w:rPr>
      </w:pPr>
      <w:r>
        <w:rPr>
          <w:rFonts w:ascii="Verdana" w:eastAsia="Times" w:hAnsi="Verdana"/>
          <w:sz w:val="20"/>
          <w:szCs w:val="20"/>
        </w:rPr>
        <w:t xml:space="preserve">El </w:t>
      </w:r>
      <w:r w:rsidR="00B65E18" w:rsidRPr="00451E94">
        <w:rPr>
          <w:rFonts w:ascii="Verdana" w:eastAsia="Times" w:hAnsi="Verdana"/>
          <w:sz w:val="20"/>
          <w:szCs w:val="20"/>
        </w:rPr>
        <w:t>escrito del Estado de 20 de diciembre de 2018</w:t>
      </w:r>
      <w:r>
        <w:rPr>
          <w:rFonts w:ascii="Verdana" w:eastAsia="Times" w:hAnsi="Verdana"/>
          <w:sz w:val="20"/>
          <w:szCs w:val="20"/>
        </w:rPr>
        <w:t>,</w:t>
      </w:r>
      <w:r w:rsidR="00B65E18" w:rsidRPr="00451E94">
        <w:rPr>
          <w:rFonts w:ascii="Verdana" w:eastAsia="Times" w:hAnsi="Verdana"/>
          <w:sz w:val="20"/>
          <w:szCs w:val="20"/>
        </w:rPr>
        <w:t xml:space="preserve"> mediante el cual presentó información </w:t>
      </w:r>
      <w:r w:rsidR="00083816" w:rsidRPr="00451E94">
        <w:rPr>
          <w:rFonts w:ascii="Verdana" w:hAnsi="Verdana"/>
          <w:sz w:val="20"/>
          <w:szCs w:val="20"/>
        </w:rPr>
        <w:t xml:space="preserve">sobre su decisión de </w:t>
      </w:r>
      <w:r w:rsidR="00083816" w:rsidRPr="00451E94">
        <w:rPr>
          <w:rFonts w:ascii="Verdana" w:hAnsi="Verdana"/>
          <w:sz w:val="20"/>
          <w:szCs w:val="20"/>
          <w:lang w:val="es-AR"/>
        </w:rPr>
        <w:t>reestablecer de oficio, y de forma provisional, la pensión del señor Muelle Flores</w:t>
      </w:r>
      <w:r w:rsidR="00083816" w:rsidRPr="003530C3">
        <w:rPr>
          <w:rFonts w:ascii="Verdana" w:hAnsi="Verdana"/>
          <w:sz w:val="20"/>
          <w:szCs w:val="20"/>
          <w:lang w:val="es-AR"/>
        </w:rPr>
        <w:t xml:space="preserve">, así como </w:t>
      </w:r>
      <w:r w:rsidR="00083816" w:rsidRPr="003530C3">
        <w:rPr>
          <w:rFonts w:ascii="Verdana" w:hAnsi="Verdana"/>
          <w:sz w:val="20"/>
          <w:szCs w:val="20"/>
        </w:rPr>
        <w:t xml:space="preserve">la atención médica del señor Muelle Flores a través del seguro social de salud </w:t>
      </w:r>
      <w:bookmarkStart w:id="0" w:name="_Hlk4597003"/>
      <w:proofErr w:type="spellStart"/>
      <w:r w:rsidR="00083816" w:rsidRPr="003530C3">
        <w:rPr>
          <w:rFonts w:ascii="Verdana" w:hAnsi="Verdana"/>
          <w:sz w:val="20"/>
          <w:szCs w:val="20"/>
        </w:rPr>
        <w:t>Essalud</w:t>
      </w:r>
      <w:bookmarkEnd w:id="0"/>
      <w:proofErr w:type="spellEnd"/>
      <w:r w:rsidR="00083816" w:rsidRPr="003530C3">
        <w:rPr>
          <w:rFonts w:ascii="Verdana" w:hAnsi="Verdana"/>
          <w:sz w:val="20"/>
          <w:szCs w:val="20"/>
        </w:rPr>
        <w:t xml:space="preserve">, e </w:t>
      </w:r>
      <w:r w:rsidR="00083816" w:rsidRPr="00133B9E">
        <w:rPr>
          <w:rFonts w:ascii="Verdana" w:hAnsi="Verdana"/>
          <w:sz w:val="20"/>
          <w:szCs w:val="20"/>
        </w:rPr>
        <w:t xml:space="preserve">informó sobre su decisión de realizar un pago anticipado de </w:t>
      </w:r>
      <w:r>
        <w:rPr>
          <w:rFonts w:ascii="Verdana" w:hAnsi="Verdana"/>
          <w:sz w:val="20"/>
          <w:szCs w:val="20"/>
        </w:rPr>
        <w:t xml:space="preserve">los </w:t>
      </w:r>
      <w:r w:rsidR="00083816" w:rsidRPr="00133B9E">
        <w:rPr>
          <w:rFonts w:ascii="Verdana" w:hAnsi="Verdana"/>
          <w:sz w:val="20"/>
          <w:szCs w:val="20"/>
        </w:rPr>
        <w:t>montos devengados por concepto de pensiones al señor Muelle Flores.</w:t>
      </w:r>
    </w:p>
    <w:p w14:paraId="4D2FC976" w14:textId="77777777" w:rsidR="00362312" w:rsidRPr="00451E94" w:rsidRDefault="00362312" w:rsidP="00451E94">
      <w:pPr>
        <w:pStyle w:val="Prrafodelista"/>
        <w:rPr>
          <w:rFonts w:ascii="Verdana" w:hAnsi="Verdana"/>
          <w:sz w:val="20"/>
          <w:szCs w:val="20"/>
        </w:rPr>
      </w:pPr>
    </w:p>
    <w:p w14:paraId="3D508E9B" w14:textId="77777777" w:rsidR="00083816" w:rsidRPr="00451E94" w:rsidRDefault="00083816" w:rsidP="00451E94">
      <w:pPr>
        <w:pStyle w:val="Prrafodelista"/>
        <w:widowControl w:val="0"/>
        <w:numPr>
          <w:ilvl w:val="0"/>
          <w:numId w:val="2"/>
        </w:numPr>
        <w:tabs>
          <w:tab w:val="left" w:pos="567"/>
        </w:tabs>
        <w:adjustRightInd w:val="0"/>
        <w:ind w:left="0" w:firstLine="0"/>
        <w:jc w:val="both"/>
        <w:textAlignment w:val="baseline"/>
        <w:rPr>
          <w:rFonts w:ascii="Verdana" w:eastAsia="Times" w:hAnsi="Verdana"/>
          <w:b/>
          <w:sz w:val="20"/>
        </w:rPr>
      </w:pPr>
      <w:r w:rsidRPr="00451E94">
        <w:rPr>
          <w:rFonts w:ascii="Verdana" w:eastAsia="Times" w:hAnsi="Verdana"/>
          <w:sz w:val="20"/>
          <w:szCs w:val="20"/>
        </w:rPr>
        <w:t>La Sentencia sobre excepciones preliminares, fondo, reparaciones y costas dictada en el</w:t>
      </w:r>
      <w:r w:rsidR="005E1776">
        <w:rPr>
          <w:rFonts w:ascii="Verdana" w:eastAsia="Times" w:hAnsi="Verdana"/>
          <w:sz w:val="20"/>
          <w:szCs w:val="20"/>
        </w:rPr>
        <w:t xml:space="preserve"> presente</w:t>
      </w:r>
      <w:r w:rsidRPr="00451E94">
        <w:rPr>
          <w:rFonts w:ascii="Verdana" w:eastAsia="Times" w:hAnsi="Verdana"/>
          <w:sz w:val="20"/>
          <w:szCs w:val="20"/>
        </w:rPr>
        <w:t xml:space="preserve"> caso</w:t>
      </w:r>
      <w:r w:rsidR="005E1776">
        <w:rPr>
          <w:rFonts w:ascii="Verdana" w:eastAsia="Times" w:hAnsi="Verdana"/>
          <w:sz w:val="20"/>
          <w:szCs w:val="20"/>
        </w:rPr>
        <w:t>,</w:t>
      </w:r>
      <w:r w:rsidRPr="00451E94">
        <w:rPr>
          <w:rFonts w:ascii="Verdana" w:eastAsia="Times" w:hAnsi="Verdana"/>
          <w:sz w:val="20"/>
          <w:szCs w:val="20"/>
        </w:rPr>
        <w:t xml:space="preserve"> </w:t>
      </w:r>
      <w:r w:rsidR="00791CCA" w:rsidRPr="00E7357B">
        <w:rPr>
          <w:rFonts w:ascii="Verdana" w:eastAsia="Times" w:hAnsi="Verdana"/>
          <w:sz w:val="20"/>
          <w:szCs w:val="20"/>
        </w:rPr>
        <w:t>el 6</w:t>
      </w:r>
      <w:r w:rsidRPr="00E7357B">
        <w:rPr>
          <w:rFonts w:ascii="Verdana" w:eastAsia="Times" w:hAnsi="Verdana"/>
          <w:sz w:val="20"/>
          <w:szCs w:val="20"/>
        </w:rPr>
        <w:t xml:space="preserve"> de marzo de 2019</w:t>
      </w:r>
      <w:r w:rsidRPr="00613FE7">
        <w:rPr>
          <w:rFonts w:ascii="Verdana" w:eastAsia="Times" w:hAnsi="Verdana"/>
          <w:sz w:val="20"/>
          <w:szCs w:val="20"/>
        </w:rPr>
        <w:t>.</w:t>
      </w:r>
      <w:r w:rsidRPr="00451E94">
        <w:rPr>
          <w:rFonts w:ascii="Verdana" w:eastAsia="Times" w:hAnsi="Verdana"/>
          <w:sz w:val="20"/>
          <w:szCs w:val="20"/>
        </w:rPr>
        <w:t xml:space="preserve"> </w:t>
      </w:r>
    </w:p>
    <w:p w14:paraId="567BA8DF" w14:textId="77777777" w:rsidR="0097028F" w:rsidRPr="003530C3" w:rsidRDefault="0097028F" w:rsidP="0097028F">
      <w:pPr>
        <w:pStyle w:val="Sangra3detindependiente"/>
        <w:widowControl w:val="0"/>
        <w:ind w:left="0" w:right="18"/>
        <w:rPr>
          <w:rFonts w:ascii="Verdana" w:eastAsia="Times" w:hAnsi="Verdana"/>
          <w:b w:val="0"/>
          <w:sz w:val="20"/>
        </w:rPr>
      </w:pPr>
    </w:p>
    <w:p w14:paraId="610A67AC" w14:textId="77777777" w:rsidR="0097028F" w:rsidRPr="00A95C72" w:rsidRDefault="0097028F" w:rsidP="0097028F">
      <w:pPr>
        <w:tabs>
          <w:tab w:val="left" w:pos="680"/>
        </w:tabs>
        <w:ind w:right="18"/>
        <w:jc w:val="both"/>
        <w:rPr>
          <w:rFonts w:ascii="Verdana" w:hAnsi="Verdana"/>
          <w:b/>
          <w:sz w:val="20"/>
          <w:szCs w:val="20"/>
        </w:rPr>
      </w:pPr>
      <w:r w:rsidRPr="00A95C72">
        <w:rPr>
          <w:rFonts w:ascii="Verdana" w:hAnsi="Verdana"/>
          <w:b/>
          <w:sz w:val="20"/>
          <w:szCs w:val="20"/>
        </w:rPr>
        <w:t>CONSIDERANDO QUE:</w:t>
      </w:r>
    </w:p>
    <w:p w14:paraId="67382A91" w14:textId="77777777" w:rsidR="0097028F" w:rsidRPr="00A95C72" w:rsidRDefault="0097028F" w:rsidP="0097028F">
      <w:pPr>
        <w:tabs>
          <w:tab w:val="left" w:pos="680"/>
        </w:tabs>
        <w:ind w:right="18"/>
        <w:jc w:val="both"/>
        <w:rPr>
          <w:rFonts w:ascii="Verdana" w:hAnsi="Verdana"/>
          <w:b/>
          <w:sz w:val="20"/>
          <w:szCs w:val="20"/>
        </w:rPr>
      </w:pPr>
    </w:p>
    <w:p w14:paraId="70C5EAE5" w14:textId="77777777" w:rsidR="0097028F" w:rsidRPr="00A95C72" w:rsidRDefault="0097028F" w:rsidP="0097028F">
      <w:pPr>
        <w:pStyle w:val="Prrafodelista1"/>
        <w:numPr>
          <w:ilvl w:val="0"/>
          <w:numId w:val="1"/>
        </w:numPr>
        <w:tabs>
          <w:tab w:val="clear" w:pos="360"/>
          <w:tab w:val="num" w:pos="0"/>
        </w:tabs>
        <w:ind w:left="0" w:firstLine="0"/>
        <w:jc w:val="both"/>
        <w:rPr>
          <w:sz w:val="20"/>
          <w:szCs w:val="20"/>
        </w:rPr>
      </w:pPr>
      <w:r w:rsidRPr="00A95C72">
        <w:rPr>
          <w:sz w:val="20"/>
          <w:szCs w:val="20"/>
        </w:rPr>
        <w:t xml:space="preserve">La presente solicitud de medidas provisionales ha sido presentada directamente por las representantes de la presunta víctima del caso </w:t>
      </w:r>
      <w:r w:rsidRPr="00A95C72">
        <w:rPr>
          <w:i/>
          <w:sz w:val="20"/>
          <w:szCs w:val="20"/>
        </w:rPr>
        <w:t>Muelle Flores Vs. Perú</w:t>
      </w:r>
      <w:r w:rsidRPr="00A95C72">
        <w:rPr>
          <w:sz w:val="20"/>
          <w:szCs w:val="20"/>
        </w:rPr>
        <w:t xml:space="preserve">, el cual se encuentra en conocimiento de la Corte. Al respecto, 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 </w:t>
      </w:r>
    </w:p>
    <w:p w14:paraId="73D13472" w14:textId="77777777" w:rsidR="0097028F" w:rsidRPr="00A95C72" w:rsidRDefault="0097028F" w:rsidP="0097028F">
      <w:pPr>
        <w:pStyle w:val="Prrafodelista1"/>
        <w:jc w:val="both"/>
        <w:rPr>
          <w:sz w:val="20"/>
          <w:szCs w:val="20"/>
        </w:rPr>
      </w:pPr>
    </w:p>
    <w:p w14:paraId="3BD5F0ED" w14:textId="77777777" w:rsidR="0097028F" w:rsidRDefault="0097028F" w:rsidP="0097028F">
      <w:pPr>
        <w:pStyle w:val="Prrafodelista1"/>
        <w:numPr>
          <w:ilvl w:val="0"/>
          <w:numId w:val="1"/>
        </w:numPr>
        <w:tabs>
          <w:tab w:val="clear" w:pos="360"/>
          <w:tab w:val="num" w:pos="0"/>
        </w:tabs>
        <w:ind w:left="0" w:firstLine="0"/>
        <w:jc w:val="both"/>
        <w:rPr>
          <w:sz w:val="20"/>
          <w:szCs w:val="20"/>
        </w:rPr>
      </w:pPr>
      <w:r w:rsidRPr="00A95C72">
        <w:rPr>
          <w:sz w:val="20"/>
          <w:szCs w:val="20"/>
        </w:rPr>
        <w:t xml:space="preserve">El artículo 27.3 del Reglamento de este Tribunal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w:t>
      </w:r>
    </w:p>
    <w:p w14:paraId="19888326" w14:textId="77777777" w:rsidR="005212B8" w:rsidRDefault="005212B8" w:rsidP="00451E94">
      <w:pPr>
        <w:pStyle w:val="Prrafodelista"/>
        <w:rPr>
          <w:sz w:val="20"/>
          <w:szCs w:val="20"/>
        </w:rPr>
      </w:pPr>
    </w:p>
    <w:p w14:paraId="251C147C" w14:textId="7C41764C" w:rsidR="005212B8" w:rsidRPr="00451E94" w:rsidRDefault="005212B8" w:rsidP="00451E94">
      <w:pPr>
        <w:pStyle w:val="Prrafodelista1"/>
        <w:numPr>
          <w:ilvl w:val="0"/>
          <w:numId w:val="1"/>
        </w:numPr>
        <w:tabs>
          <w:tab w:val="clear" w:pos="360"/>
          <w:tab w:val="num" w:pos="0"/>
        </w:tabs>
        <w:ind w:left="0" w:firstLine="0"/>
        <w:jc w:val="both"/>
        <w:rPr>
          <w:bCs/>
          <w:sz w:val="20"/>
          <w:szCs w:val="20"/>
          <w:lang w:val="es-CR"/>
        </w:rPr>
      </w:pPr>
      <w:r w:rsidRPr="005212B8">
        <w:rPr>
          <w:sz w:val="20"/>
          <w:szCs w:val="20"/>
        </w:rPr>
        <w:t>L</w:t>
      </w:r>
      <w:r w:rsidRPr="005212B8">
        <w:rPr>
          <w:sz w:val="20"/>
          <w:szCs w:val="20"/>
          <w:lang w:val="es-CR"/>
        </w:rPr>
        <w:t xml:space="preserve">a Corte nota que la </w:t>
      </w:r>
      <w:r w:rsidRPr="005212B8">
        <w:rPr>
          <w:sz w:val="20"/>
          <w:szCs w:val="20"/>
        </w:rPr>
        <w:t xml:space="preserve">presente solicitud de medidas provisionales fue presentada directamente por las representantes de la presunta víctima del caso </w:t>
      </w:r>
      <w:r w:rsidRPr="005212B8">
        <w:rPr>
          <w:i/>
          <w:sz w:val="20"/>
          <w:szCs w:val="20"/>
        </w:rPr>
        <w:t>Muelle Flores Vs. Perú</w:t>
      </w:r>
      <w:r w:rsidRPr="00451E94">
        <w:rPr>
          <w:sz w:val="20"/>
          <w:szCs w:val="20"/>
        </w:rPr>
        <w:t xml:space="preserve"> (</w:t>
      </w:r>
      <w:r w:rsidRPr="00451E94">
        <w:rPr>
          <w:i/>
          <w:sz w:val="20"/>
          <w:szCs w:val="20"/>
        </w:rPr>
        <w:t xml:space="preserve">supra </w:t>
      </w:r>
      <w:r w:rsidR="00E7357B">
        <w:rPr>
          <w:sz w:val="20"/>
          <w:szCs w:val="20"/>
        </w:rPr>
        <w:t>v</w:t>
      </w:r>
      <w:r w:rsidRPr="00451E94">
        <w:rPr>
          <w:sz w:val="20"/>
          <w:szCs w:val="20"/>
        </w:rPr>
        <w:t>isto</w:t>
      </w:r>
      <w:r w:rsidR="00E7357B">
        <w:rPr>
          <w:sz w:val="20"/>
          <w:szCs w:val="20"/>
        </w:rPr>
        <w:t xml:space="preserve"> 4</w:t>
      </w:r>
      <w:r w:rsidRPr="00451E94">
        <w:rPr>
          <w:sz w:val="20"/>
          <w:szCs w:val="20"/>
        </w:rPr>
        <w:t>)</w:t>
      </w:r>
      <w:r w:rsidRPr="005212B8">
        <w:rPr>
          <w:sz w:val="20"/>
          <w:szCs w:val="20"/>
        </w:rPr>
        <w:t>, el cual se encuentra en conocimiento de la Corte.</w:t>
      </w:r>
      <w:r w:rsidRPr="005212B8">
        <w:rPr>
          <w:rFonts w:eastAsia="Calibri"/>
          <w:sz w:val="20"/>
          <w:szCs w:val="20"/>
          <w:lang w:val="es-CR" w:eastAsia="es-CR"/>
        </w:rPr>
        <w:t xml:space="preserve"> </w:t>
      </w:r>
      <w:r w:rsidRPr="00451E94">
        <w:rPr>
          <w:sz w:val="20"/>
          <w:szCs w:val="20"/>
        </w:rPr>
        <w:t>Por tanto, la solicitud se encuentra conforme a lo estipulado en el artículo 27.3 del Reglamento.</w:t>
      </w:r>
    </w:p>
    <w:p w14:paraId="414A9E0E" w14:textId="77777777" w:rsidR="00A54B37" w:rsidRPr="00A54B37" w:rsidRDefault="00A54B37" w:rsidP="00451E94">
      <w:pPr>
        <w:autoSpaceDE w:val="0"/>
        <w:autoSpaceDN w:val="0"/>
        <w:adjustRightInd w:val="0"/>
        <w:jc w:val="both"/>
        <w:rPr>
          <w:rFonts w:ascii="Verdana" w:eastAsia="Calibri" w:hAnsi="Verdana"/>
          <w:sz w:val="20"/>
          <w:szCs w:val="20"/>
          <w:lang w:val="es-CR" w:eastAsia="es-CR"/>
        </w:rPr>
      </w:pPr>
    </w:p>
    <w:p w14:paraId="669E6416" w14:textId="76ACAF2C" w:rsidR="00083816" w:rsidRPr="00451E94" w:rsidRDefault="007D66A1" w:rsidP="00451E94">
      <w:pPr>
        <w:numPr>
          <w:ilvl w:val="0"/>
          <w:numId w:val="1"/>
        </w:numPr>
        <w:tabs>
          <w:tab w:val="clear" w:pos="360"/>
          <w:tab w:val="num" w:pos="0"/>
        </w:tabs>
        <w:autoSpaceDE w:val="0"/>
        <w:autoSpaceDN w:val="0"/>
        <w:adjustRightInd w:val="0"/>
        <w:ind w:left="0" w:firstLine="0"/>
        <w:jc w:val="both"/>
        <w:rPr>
          <w:rFonts w:ascii="Verdana" w:eastAsia="Calibri" w:hAnsi="Verdana"/>
          <w:sz w:val="20"/>
          <w:szCs w:val="20"/>
          <w:lang w:val="es-CR" w:eastAsia="es-CR"/>
        </w:rPr>
      </w:pPr>
      <w:r>
        <w:rPr>
          <w:rFonts w:ascii="Verdana" w:eastAsia="Calibri" w:hAnsi="Verdana" w:cs="Arial"/>
          <w:bCs/>
          <w:sz w:val="20"/>
          <w:szCs w:val="20"/>
          <w:lang w:val="es-CR" w:eastAsia="es-CR"/>
        </w:rPr>
        <w:t>E</w:t>
      </w:r>
      <w:r w:rsidR="00083816" w:rsidRPr="002434B3">
        <w:rPr>
          <w:rFonts w:ascii="Verdana" w:eastAsia="Calibri" w:hAnsi="Verdana"/>
          <w:sz w:val="20"/>
          <w:szCs w:val="20"/>
          <w:lang w:val="es-CR" w:eastAsia="es-CR"/>
        </w:rPr>
        <w:t xml:space="preserve">n su escrito de </w:t>
      </w:r>
      <w:r w:rsidR="00083816" w:rsidRPr="002434B3">
        <w:rPr>
          <w:rFonts w:ascii="Verdana" w:hAnsi="Verdana"/>
          <w:sz w:val="20"/>
          <w:szCs w:val="20"/>
          <w:lang w:val="es-AR"/>
        </w:rPr>
        <w:t>20 de diciembre de 2018 (</w:t>
      </w:r>
      <w:r w:rsidR="003C21EA" w:rsidRPr="002434B3">
        <w:rPr>
          <w:rFonts w:ascii="Verdana" w:hAnsi="Verdana"/>
          <w:i/>
          <w:sz w:val="20"/>
          <w:szCs w:val="20"/>
          <w:lang w:val="es-AR"/>
        </w:rPr>
        <w:t>s</w:t>
      </w:r>
      <w:r w:rsidR="00083816" w:rsidRPr="00451E94">
        <w:rPr>
          <w:rFonts w:ascii="Verdana" w:hAnsi="Verdana"/>
          <w:i/>
          <w:sz w:val="20"/>
          <w:szCs w:val="20"/>
          <w:lang w:val="es-AR"/>
        </w:rPr>
        <w:t>upra</w:t>
      </w:r>
      <w:r w:rsidR="00083816" w:rsidRPr="002434B3">
        <w:rPr>
          <w:rFonts w:ascii="Verdana" w:hAnsi="Verdana"/>
          <w:sz w:val="20"/>
          <w:szCs w:val="20"/>
          <w:lang w:val="es-AR"/>
        </w:rPr>
        <w:t xml:space="preserve"> visto 8), el Estado informó que</w:t>
      </w:r>
      <w:r w:rsidR="002434B3">
        <w:rPr>
          <w:rFonts w:ascii="Verdana" w:hAnsi="Verdana"/>
          <w:sz w:val="20"/>
          <w:szCs w:val="20"/>
          <w:lang w:val="es-AR"/>
        </w:rPr>
        <w:t>,</w:t>
      </w:r>
      <w:r w:rsidR="00083816" w:rsidRPr="002434B3">
        <w:rPr>
          <w:rFonts w:ascii="Verdana" w:hAnsi="Verdana"/>
          <w:sz w:val="20"/>
          <w:szCs w:val="20"/>
          <w:lang w:val="es-AR"/>
        </w:rPr>
        <w:t xml:space="preserve"> mediante la Resolución Directoral No. 635-2018-EF/43.02 del </w:t>
      </w:r>
      <w:r w:rsidR="002434B3">
        <w:rPr>
          <w:rFonts w:ascii="Verdana" w:hAnsi="Verdana"/>
          <w:sz w:val="20"/>
          <w:szCs w:val="20"/>
          <w:lang w:val="es-AR"/>
        </w:rPr>
        <w:t xml:space="preserve">Ministerio de Economía y Finanzas (en </w:t>
      </w:r>
      <w:r w:rsidR="002434B3">
        <w:rPr>
          <w:rFonts w:ascii="Verdana" w:hAnsi="Verdana"/>
          <w:sz w:val="20"/>
          <w:szCs w:val="20"/>
          <w:lang w:val="es-AR"/>
        </w:rPr>
        <w:lastRenderedPageBreak/>
        <w:t>adelante el “</w:t>
      </w:r>
      <w:r w:rsidR="00083816" w:rsidRPr="002434B3">
        <w:rPr>
          <w:rFonts w:ascii="Verdana" w:hAnsi="Verdana"/>
          <w:sz w:val="20"/>
          <w:szCs w:val="20"/>
          <w:lang w:val="es-AR"/>
        </w:rPr>
        <w:t>MEF</w:t>
      </w:r>
      <w:r w:rsidR="002434B3">
        <w:rPr>
          <w:rFonts w:ascii="Verdana" w:hAnsi="Verdana"/>
          <w:sz w:val="20"/>
          <w:szCs w:val="20"/>
          <w:lang w:val="es-AR"/>
        </w:rPr>
        <w:t>”)</w:t>
      </w:r>
      <w:r w:rsidR="00083816" w:rsidRPr="002434B3">
        <w:rPr>
          <w:rFonts w:ascii="Verdana" w:hAnsi="Verdana"/>
          <w:sz w:val="20"/>
          <w:szCs w:val="20"/>
          <w:lang w:val="es-AR"/>
        </w:rPr>
        <w:t>, y en el marco de la solicitud de medidas provisionales presentadas por las representantes</w:t>
      </w:r>
      <w:r w:rsidR="002434B3">
        <w:rPr>
          <w:rFonts w:ascii="Verdana" w:hAnsi="Verdana"/>
          <w:sz w:val="20"/>
          <w:szCs w:val="20"/>
          <w:lang w:val="es-AR"/>
        </w:rPr>
        <w:t>,</w:t>
      </w:r>
      <w:r w:rsidR="00083816" w:rsidRPr="002434B3">
        <w:rPr>
          <w:rFonts w:ascii="Verdana" w:hAnsi="Verdana"/>
          <w:sz w:val="20"/>
          <w:szCs w:val="20"/>
          <w:lang w:val="es-AR"/>
        </w:rPr>
        <w:t xml:space="preserve"> decidió reestablecer de oficio, y de forma provisional, la pensión del señor Muelle Flores por una suma ascendente a </w:t>
      </w:r>
      <w:r w:rsidR="00083816" w:rsidRPr="002434B3">
        <w:rPr>
          <w:rFonts w:ascii="Verdana" w:hAnsi="Verdana"/>
          <w:sz w:val="20"/>
          <w:szCs w:val="20"/>
        </w:rPr>
        <w:t>S/800 nuevos soles mensuales, afecta a los descuentos de ley, a partir del 1 de enero de 2018 y hasta que la Corte emit</w:t>
      </w:r>
      <w:r w:rsidR="002434B3">
        <w:rPr>
          <w:rFonts w:ascii="Verdana" w:hAnsi="Verdana"/>
          <w:sz w:val="20"/>
          <w:szCs w:val="20"/>
        </w:rPr>
        <w:t>iera</w:t>
      </w:r>
      <w:r w:rsidR="00083816" w:rsidRPr="002434B3">
        <w:rPr>
          <w:rFonts w:ascii="Verdana" w:hAnsi="Verdana"/>
          <w:sz w:val="20"/>
          <w:szCs w:val="20"/>
        </w:rPr>
        <w:t xml:space="preserve"> la Sentencia correspondiente. El Estado señaló que luego de ello, la ONP determinar</w:t>
      </w:r>
      <w:r w:rsidR="002434B3">
        <w:rPr>
          <w:rFonts w:ascii="Verdana" w:hAnsi="Verdana"/>
          <w:sz w:val="20"/>
          <w:szCs w:val="20"/>
        </w:rPr>
        <w:t>ía</w:t>
      </w:r>
      <w:r w:rsidR="00083816" w:rsidRPr="002434B3">
        <w:rPr>
          <w:rFonts w:ascii="Verdana" w:hAnsi="Verdana"/>
          <w:sz w:val="20"/>
          <w:szCs w:val="20"/>
        </w:rPr>
        <w:t xml:space="preserve"> el cargo, nivel remunerativo y monto que a la víctima le corresponde recibir, el cual, según fue informado por el Perú</w:t>
      </w:r>
      <w:r w:rsidR="003C21EA" w:rsidRPr="002434B3">
        <w:rPr>
          <w:rFonts w:ascii="Verdana" w:hAnsi="Verdana"/>
          <w:sz w:val="20"/>
          <w:szCs w:val="20"/>
        </w:rPr>
        <w:t xml:space="preserve">, ascendería </w:t>
      </w:r>
      <w:r w:rsidR="00083816" w:rsidRPr="002434B3">
        <w:rPr>
          <w:rFonts w:ascii="Verdana" w:hAnsi="Verdana"/>
          <w:sz w:val="20"/>
          <w:szCs w:val="20"/>
        </w:rPr>
        <w:t>a la suma de S/1,337.61 nuevos soles, conforme a lo establecido por el MEF.</w:t>
      </w:r>
      <w:r w:rsidR="00E7357B">
        <w:rPr>
          <w:rFonts w:ascii="Verdana" w:hAnsi="Verdana"/>
          <w:sz w:val="20"/>
          <w:szCs w:val="20"/>
        </w:rPr>
        <w:t xml:space="preserve"> </w:t>
      </w:r>
      <w:r w:rsidR="00083816" w:rsidRPr="002434B3">
        <w:rPr>
          <w:rFonts w:ascii="Verdana" w:hAnsi="Verdana"/>
          <w:sz w:val="20"/>
          <w:szCs w:val="20"/>
        </w:rPr>
        <w:t xml:space="preserve">De igual </w:t>
      </w:r>
      <w:r w:rsidR="00083816" w:rsidRPr="00561DCD">
        <w:rPr>
          <w:rFonts w:ascii="Verdana" w:hAnsi="Verdana"/>
          <w:sz w:val="20"/>
          <w:szCs w:val="20"/>
        </w:rPr>
        <w:t xml:space="preserve">manera, el Estado informó que reestableció la atención médica del señor Muelle Flores a través del seguro social de salud </w:t>
      </w:r>
      <w:proofErr w:type="spellStart"/>
      <w:r w:rsidR="00872F7A" w:rsidRPr="00872F7A">
        <w:rPr>
          <w:rFonts w:ascii="Verdana" w:hAnsi="Verdana"/>
          <w:sz w:val="20"/>
          <w:szCs w:val="20"/>
        </w:rPr>
        <w:t>Essalud</w:t>
      </w:r>
      <w:proofErr w:type="spellEnd"/>
      <w:r w:rsidR="00083816" w:rsidRPr="00561DCD">
        <w:rPr>
          <w:rFonts w:ascii="Verdana" w:hAnsi="Verdana"/>
          <w:sz w:val="20"/>
          <w:szCs w:val="20"/>
        </w:rPr>
        <w:t>, por lo que debía inscribirse para acceder inmediatamente a dichos servicios</w:t>
      </w:r>
      <w:r w:rsidR="00716375" w:rsidRPr="00AE343E">
        <w:rPr>
          <w:rFonts w:ascii="Verdana" w:hAnsi="Verdana"/>
          <w:sz w:val="20"/>
          <w:szCs w:val="20"/>
        </w:rPr>
        <w:t>.</w:t>
      </w:r>
      <w:r w:rsidR="00083816" w:rsidRPr="00AE343E">
        <w:rPr>
          <w:rFonts w:ascii="Verdana" w:hAnsi="Verdana"/>
          <w:sz w:val="20"/>
          <w:szCs w:val="20"/>
        </w:rPr>
        <w:t xml:space="preserve"> </w:t>
      </w:r>
      <w:r w:rsidR="00716375" w:rsidRPr="00451E94">
        <w:rPr>
          <w:rFonts w:ascii="Verdana" w:hAnsi="Verdana"/>
          <w:sz w:val="20"/>
          <w:szCs w:val="20"/>
        </w:rPr>
        <w:t>Asimismo,</w:t>
      </w:r>
      <w:r w:rsidR="00716375" w:rsidRPr="00561DCD">
        <w:rPr>
          <w:rFonts w:ascii="Verdana" w:hAnsi="Verdana"/>
          <w:b/>
          <w:sz w:val="20"/>
          <w:szCs w:val="20"/>
        </w:rPr>
        <w:t xml:space="preserve"> </w:t>
      </w:r>
      <w:r w:rsidR="00716375" w:rsidRPr="00AE343E">
        <w:rPr>
          <w:rFonts w:ascii="Verdana" w:hAnsi="Verdana"/>
          <w:sz w:val="20"/>
          <w:szCs w:val="20"/>
          <w:lang w:val="es-AR"/>
        </w:rPr>
        <w:t xml:space="preserve">decidió </w:t>
      </w:r>
      <w:r w:rsidR="00716375" w:rsidRPr="00451E94">
        <w:rPr>
          <w:rFonts w:ascii="Verdana" w:hAnsi="Verdana" w:cs="Verdana"/>
          <w:bCs/>
          <w:iCs/>
          <w:sz w:val="20"/>
          <w:szCs w:val="20"/>
        </w:rPr>
        <w:t>“reconocer el pago con eficacia anticipada” de las pensiones dejadas de percibir, por un monto ascendente a S/. 175,898.00 soles.</w:t>
      </w:r>
      <w:r w:rsidR="00E7357B">
        <w:rPr>
          <w:rFonts w:ascii="Verdana" w:hAnsi="Verdana" w:cs="Verdana"/>
          <w:bCs/>
          <w:iCs/>
          <w:sz w:val="20"/>
          <w:szCs w:val="20"/>
        </w:rPr>
        <w:t xml:space="preserve"> </w:t>
      </w:r>
      <w:r w:rsidR="00A54B37" w:rsidRPr="00451E94">
        <w:rPr>
          <w:rFonts w:ascii="Verdana" w:hAnsi="Verdana"/>
          <w:sz w:val="20"/>
        </w:rPr>
        <w:t xml:space="preserve">La Corte </w:t>
      </w:r>
      <w:r w:rsidR="00A54B37" w:rsidRPr="00451E94">
        <w:rPr>
          <w:rFonts w:ascii="Verdana" w:hAnsi="Verdana"/>
          <w:sz w:val="20"/>
          <w:szCs w:val="20"/>
        </w:rPr>
        <w:t xml:space="preserve">valora positivamente las acciones emprendidas por el Estado </w:t>
      </w:r>
      <w:r w:rsidR="00561DCD" w:rsidRPr="00451E94">
        <w:rPr>
          <w:rFonts w:ascii="Verdana" w:hAnsi="Verdana"/>
          <w:sz w:val="20"/>
          <w:szCs w:val="20"/>
        </w:rPr>
        <w:t>en cumplimiento de sus obligaciones internacionales derivadas de la Convención Americana.</w:t>
      </w:r>
    </w:p>
    <w:p w14:paraId="65729A7F" w14:textId="77777777" w:rsidR="00AD2E44" w:rsidRPr="00451E94" w:rsidRDefault="00AD2E44" w:rsidP="00451E94">
      <w:pPr>
        <w:autoSpaceDE w:val="0"/>
        <w:autoSpaceDN w:val="0"/>
        <w:adjustRightInd w:val="0"/>
        <w:jc w:val="both"/>
        <w:rPr>
          <w:rFonts w:ascii="Verdana" w:eastAsia="Calibri" w:hAnsi="Verdana"/>
          <w:sz w:val="20"/>
          <w:szCs w:val="20"/>
          <w:lang w:val="es-CR" w:eastAsia="es-CR"/>
        </w:rPr>
      </w:pPr>
    </w:p>
    <w:p w14:paraId="789DF9A9" w14:textId="77777777" w:rsidR="00FA3D47" w:rsidRPr="00791CCA" w:rsidRDefault="002434B3" w:rsidP="00451E94">
      <w:pPr>
        <w:numPr>
          <w:ilvl w:val="0"/>
          <w:numId w:val="1"/>
        </w:numPr>
        <w:tabs>
          <w:tab w:val="clear" w:pos="360"/>
          <w:tab w:val="num" w:pos="0"/>
        </w:tabs>
        <w:autoSpaceDE w:val="0"/>
        <w:autoSpaceDN w:val="0"/>
        <w:adjustRightInd w:val="0"/>
        <w:ind w:left="0" w:firstLine="0"/>
        <w:jc w:val="both"/>
        <w:rPr>
          <w:rFonts w:ascii="Verdana" w:eastAsia="Calibri" w:hAnsi="Verdana"/>
          <w:sz w:val="20"/>
          <w:szCs w:val="20"/>
          <w:lang w:val="es-CR" w:eastAsia="es-CR"/>
        </w:rPr>
      </w:pPr>
      <w:r w:rsidRPr="00561DCD">
        <w:rPr>
          <w:rFonts w:ascii="Verdana" w:eastAsia="Calibri" w:hAnsi="Verdana"/>
          <w:sz w:val="20"/>
          <w:szCs w:val="20"/>
          <w:lang w:val="es-CR" w:eastAsia="es-CR"/>
        </w:rPr>
        <w:t>M</w:t>
      </w:r>
      <w:r w:rsidR="00FA3D47" w:rsidRPr="00451E94">
        <w:rPr>
          <w:rFonts w:ascii="Verdana" w:eastAsia="Calibri" w:hAnsi="Verdana"/>
          <w:sz w:val="20"/>
          <w:szCs w:val="20"/>
          <w:lang w:val="es-CR" w:eastAsia="es-CR"/>
        </w:rPr>
        <w:t>ediante</w:t>
      </w:r>
      <w:r w:rsidR="00895662" w:rsidRPr="00561DCD">
        <w:rPr>
          <w:rFonts w:ascii="Verdana" w:eastAsia="Calibri" w:hAnsi="Verdana"/>
          <w:sz w:val="20"/>
          <w:szCs w:val="20"/>
          <w:lang w:val="es-CR" w:eastAsia="es-CR"/>
        </w:rPr>
        <w:t xml:space="preserve"> la</w:t>
      </w:r>
      <w:r w:rsidR="00FA3D47" w:rsidRPr="00451E94">
        <w:rPr>
          <w:rFonts w:ascii="Verdana" w:eastAsia="Calibri" w:hAnsi="Verdana"/>
          <w:sz w:val="20"/>
          <w:szCs w:val="20"/>
          <w:lang w:val="es-CR" w:eastAsia="es-CR"/>
        </w:rPr>
        <w:t xml:space="preserve"> Sentencia</w:t>
      </w:r>
      <w:r w:rsidR="00895662" w:rsidRPr="00561DCD">
        <w:rPr>
          <w:rFonts w:ascii="Verdana" w:eastAsia="Calibri" w:hAnsi="Verdana"/>
          <w:sz w:val="20"/>
          <w:szCs w:val="20"/>
          <w:lang w:val="es-CR" w:eastAsia="es-CR"/>
        </w:rPr>
        <w:t xml:space="preserve"> de</w:t>
      </w:r>
      <w:r w:rsidR="00AD2E44" w:rsidRPr="00AE343E">
        <w:rPr>
          <w:rFonts w:ascii="Verdana" w:eastAsia="Calibri" w:hAnsi="Verdana"/>
          <w:sz w:val="20"/>
          <w:szCs w:val="20"/>
          <w:lang w:val="es-CR" w:eastAsia="es-CR"/>
        </w:rPr>
        <w:t xml:space="preserve"> e</w:t>
      </w:r>
      <w:r w:rsidR="00FA3D47" w:rsidRPr="00451E94">
        <w:rPr>
          <w:rFonts w:ascii="Verdana" w:eastAsia="Calibri" w:hAnsi="Verdana"/>
          <w:sz w:val="20"/>
          <w:szCs w:val="20"/>
          <w:lang w:val="es-CR" w:eastAsia="es-CR"/>
        </w:rPr>
        <w:t xml:space="preserve">xcepciones preliminares, fondo, reparaciones y costas </w:t>
      </w:r>
      <w:r w:rsidRPr="00561DCD">
        <w:rPr>
          <w:rFonts w:ascii="Verdana" w:eastAsia="Calibri" w:hAnsi="Verdana"/>
          <w:sz w:val="20"/>
          <w:szCs w:val="20"/>
          <w:lang w:val="es-CR" w:eastAsia="es-CR"/>
        </w:rPr>
        <w:t xml:space="preserve">adoptada por este Tribunal </w:t>
      </w:r>
      <w:r w:rsidR="00791CCA" w:rsidRPr="00E7357B">
        <w:rPr>
          <w:rFonts w:ascii="Verdana" w:eastAsia="Calibri" w:hAnsi="Verdana"/>
          <w:sz w:val="20"/>
          <w:szCs w:val="20"/>
          <w:lang w:val="es-CR" w:eastAsia="es-CR"/>
        </w:rPr>
        <w:t xml:space="preserve">el 6 </w:t>
      </w:r>
      <w:r w:rsidR="00FA3D47" w:rsidRPr="00E7357B">
        <w:rPr>
          <w:rFonts w:ascii="Verdana" w:eastAsia="Calibri" w:hAnsi="Verdana"/>
          <w:sz w:val="20"/>
          <w:szCs w:val="20"/>
          <w:lang w:val="es-CR" w:eastAsia="es-CR"/>
        </w:rPr>
        <w:t>de marzo de 2019</w:t>
      </w:r>
      <w:r w:rsidRPr="00561DCD">
        <w:rPr>
          <w:rFonts w:ascii="Verdana" w:eastAsia="Calibri" w:hAnsi="Verdana"/>
          <w:sz w:val="20"/>
          <w:szCs w:val="20"/>
          <w:lang w:val="es-CR" w:eastAsia="es-CR"/>
        </w:rPr>
        <w:t>,</w:t>
      </w:r>
      <w:r w:rsidR="00FA3D47" w:rsidRPr="00451E94">
        <w:rPr>
          <w:rFonts w:ascii="Verdana" w:eastAsia="Calibri" w:hAnsi="Verdana"/>
          <w:sz w:val="20"/>
          <w:szCs w:val="20"/>
          <w:lang w:val="es-CR" w:eastAsia="es-CR"/>
        </w:rPr>
        <w:t xml:space="preserve"> la Corte consideró responsable internacionalmente al Estad</w:t>
      </w:r>
      <w:r w:rsidR="00AD2E44" w:rsidRPr="00561DCD">
        <w:rPr>
          <w:rFonts w:ascii="Verdana" w:eastAsia="Calibri" w:hAnsi="Verdana"/>
          <w:sz w:val="20"/>
          <w:szCs w:val="20"/>
          <w:lang w:val="es-CR" w:eastAsia="es-CR"/>
        </w:rPr>
        <w:t>o</w:t>
      </w:r>
      <w:r w:rsidR="00FA3D47" w:rsidRPr="00451E94">
        <w:rPr>
          <w:rFonts w:ascii="Verdana" w:eastAsia="Calibri" w:hAnsi="Verdana"/>
          <w:sz w:val="20"/>
          <w:szCs w:val="20"/>
          <w:lang w:val="es-CR" w:eastAsia="es-CR"/>
        </w:rPr>
        <w:t xml:space="preserve"> del Per</w:t>
      </w:r>
      <w:r w:rsidR="00AD2E44" w:rsidRPr="00561DCD">
        <w:rPr>
          <w:rFonts w:ascii="Verdana" w:eastAsia="Calibri" w:hAnsi="Verdana"/>
          <w:sz w:val="20"/>
          <w:szCs w:val="20"/>
          <w:lang w:val="es-CR" w:eastAsia="es-CR"/>
        </w:rPr>
        <w:t>ú por</w:t>
      </w:r>
      <w:r w:rsidR="00FA3D47" w:rsidRPr="00451E94">
        <w:rPr>
          <w:rFonts w:ascii="Verdana" w:eastAsia="Calibri" w:hAnsi="Verdana"/>
          <w:sz w:val="20"/>
          <w:szCs w:val="20"/>
          <w:lang w:val="es-CR" w:eastAsia="es-CR"/>
        </w:rPr>
        <w:t xml:space="preserve"> violaciones a los artículos </w:t>
      </w:r>
      <w:r w:rsidR="007D66A1">
        <w:rPr>
          <w:rFonts w:ascii="Verdana" w:eastAsia="Calibri" w:hAnsi="Verdana"/>
          <w:sz w:val="20"/>
          <w:szCs w:val="20"/>
          <w:lang w:val="es-CR" w:eastAsia="es-CR"/>
        </w:rPr>
        <w:t xml:space="preserve">5, </w:t>
      </w:r>
      <w:r w:rsidR="00FA3D47" w:rsidRPr="00451E94">
        <w:rPr>
          <w:rFonts w:ascii="Verdana" w:hAnsi="Verdana"/>
          <w:kern w:val="2"/>
          <w:sz w:val="20"/>
          <w:szCs w:val="20"/>
          <w:lang w:eastAsia="en-US"/>
        </w:rPr>
        <w:t xml:space="preserve">8.1, </w:t>
      </w:r>
      <w:r w:rsidR="007D66A1">
        <w:rPr>
          <w:rFonts w:ascii="Verdana" w:hAnsi="Verdana"/>
          <w:kern w:val="2"/>
          <w:sz w:val="20"/>
          <w:szCs w:val="20"/>
          <w:lang w:eastAsia="en-US"/>
        </w:rPr>
        <w:t xml:space="preserve">11, </w:t>
      </w:r>
      <w:r w:rsidR="00FA3D47" w:rsidRPr="00451E94">
        <w:rPr>
          <w:rFonts w:ascii="Verdana" w:hAnsi="Verdana"/>
          <w:kern w:val="2"/>
          <w:sz w:val="20"/>
          <w:szCs w:val="20"/>
          <w:lang w:eastAsia="en-US"/>
        </w:rPr>
        <w:t>25.1, 25.2.c), 26, 21.1, 21.2 y 2 de la Convención Americana, en relación con el artículo 1.1 del mismo instrumento, en perjuicio de Oscar Muelle Flores y en consecuencia ordenó</w:t>
      </w:r>
      <w:r w:rsidR="00AD2E44" w:rsidRPr="00561DCD">
        <w:rPr>
          <w:rFonts w:ascii="Verdana" w:hAnsi="Verdana"/>
          <w:kern w:val="2"/>
          <w:sz w:val="20"/>
          <w:szCs w:val="20"/>
          <w:lang w:eastAsia="en-US"/>
        </w:rPr>
        <w:t xml:space="preserve"> </w:t>
      </w:r>
      <w:r w:rsidR="00A54B37" w:rsidRPr="00AE343E">
        <w:rPr>
          <w:rFonts w:ascii="Verdana" w:hAnsi="Verdana"/>
          <w:kern w:val="2"/>
          <w:sz w:val="20"/>
          <w:szCs w:val="20"/>
          <w:lang w:eastAsia="en-US"/>
        </w:rPr>
        <w:t>diversas medidas de</w:t>
      </w:r>
      <w:r w:rsidR="00AD2E44" w:rsidRPr="00AE343E">
        <w:rPr>
          <w:rFonts w:ascii="Verdana" w:hAnsi="Verdana"/>
          <w:kern w:val="2"/>
          <w:sz w:val="20"/>
          <w:szCs w:val="20"/>
          <w:lang w:eastAsia="en-US"/>
        </w:rPr>
        <w:t xml:space="preserve"> reparaci</w:t>
      </w:r>
      <w:r w:rsidR="00A54B37" w:rsidRPr="00AE343E">
        <w:rPr>
          <w:rFonts w:ascii="Verdana" w:hAnsi="Verdana"/>
          <w:kern w:val="2"/>
          <w:sz w:val="20"/>
          <w:szCs w:val="20"/>
          <w:lang w:eastAsia="en-US"/>
        </w:rPr>
        <w:t xml:space="preserve">ón, entre ellas </w:t>
      </w:r>
      <w:r w:rsidR="00FA3D47" w:rsidRPr="00451E94">
        <w:rPr>
          <w:rFonts w:ascii="Verdana" w:hAnsi="Verdana"/>
          <w:kern w:val="2"/>
          <w:sz w:val="20"/>
          <w:szCs w:val="20"/>
          <w:lang w:eastAsia="en-US"/>
        </w:rPr>
        <w:t>medidas de restituci</w:t>
      </w:r>
      <w:r w:rsidR="003C21EA" w:rsidRPr="00561DCD">
        <w:rPr>
          <w:rFonts w:ascii="Verdana" w:hAnsi="Verdana"/>
          <w:kern w:val="2"/>
          <w:sz w:val="20"/>
          <w:szCs w:val="20"/>
          <w:lang w:eastAsia="en-US"/>
        </w:rPr>
        <w:t>ón</w:t>
      </w:r>
      <w:r w:rsidR="00716375" w:rsidRPr="00AE343E">
        <w:rPr>
          <w:rFonts w:ascii="Verdana" w:hAnsi="Verdana"/>
          <w:kern w:val="2"/>
          <w:sz w:val="20"/>
          <w:szCs w:val="20"/>
          <w:lang w:eastAsia="en-US"/>
        </w:rPr>
        <w:t xml:space="preserve"> del pago de</w:t>
      </w:r>
      <w:r w:rsidR="00A54B37" w:rsidRPr="00AE343E">
        <w:rPr>
          <w:rFonts w:ascii="Verdana" w:hAnsi="Verdana"/>
          <w:kern w:val="2"/>
          <w:sz w:val="20"/>
          <w:szCs w:val="20"/>
          <w:lang w:eastAsia="en-US"/>
        </w:rPr>
        <w:t xml:space="preserve"> la pensi</w:t>
      </w:r>
      <w:r w:rsidR="00A54B37" w:rsidRPr="00451E94">
        <w:rPr>
          <w:rFonts w:ascii="Verdana" w:hAnsi="Verdana"/>
          <w:kern w:val="2"/>
          <w:sz w:val="20"/>
          <w:szCs w:val="20"/>
          <w:lang w:eastAsia="en-US"/>
        </w:rPr>
        <w:t>ón</w:t>
      </w:r>
      <w:r w:rsidR="00716375" w:rsidRPr="00451E94">
        <w:rPr>
          <w:rFonts w:ascii="Verdana" w:hAnsi="Verdana"/>
          <w:kern w:val="2"/>
          <w:sz w:val="20"/>
          <w:szCs w:val="20"/>
          <w:lang w:eastAsia="en-US"/>
        </w:rPr>
        <w:t xml:space="preserve"> del señor Muelle Flores y la continuidad de la cobertura de atención en salud</w:t>
      </w:r>
      <w:r w:rsidR="00AD2E44" w:rsidRPr="00451E94">
        <w:rPr>
          <w:rFonts w:ascii="Verdana" w:hAnsi="Verdana"/>
          <w:kern w:val="2"/>
          <w:sz w:val="20"/>
          <w:szCs w:val="20"/>
          <w:lang w:eastAsia="en-US"/>
        </w:rPr>
        <w:t>,</w:t>
      </w:r>
      <w:r w:rsidR="00FA3D47" w:rsidRPr="00451E94">
        <w:rPr>
          <w:rFonts w:ascii="Verdana" w:hAnsi="Verdana"/>
          <w:kern w:val="2"/>
          <w:sz w:val="20"/>
          <w:szCs w:val="20"/>
          <w:lang w:eastAsia="en-US"/>
        </w:rPr>
        <w:t xml:space="preserve"> </w:t>
      </w:r>
      <w:r w:rsidR="00716375" w:rsidRPr="00561DCD">
        <w:rPr>
          <w:rFonts w:ascii="Verdana" w:hAnsi="Verdana"/>
          <w:kern w:val="2"/>
          <w:sz w:val="20"/>
          <w:szCs w:val="20"/>
          <w:lang w:eastAsia="en-US"/>
        </w:rPr>
        <w:t>as</w:t>
      </w:r>
      <w:r w:rsidR="00716375" w:rsidRPr="00AE343E">
        <w:rPr>
          <w:rFonts w:ascii="Verdana" w:hAnsi="Verdana"/>
          <w:kern w:val="2"/>
          <w:sz w:val="20"/>
          <w:szCs w:val="20"/>
          <w:lang w:eastAsia="en-US"/>
        </w:rPr>
        <w:t xml:space="preserve">í como medidas </w:t>
      </w:r>
      <w:r w:rsidR="00716375" w:rsidRPr="00451E94">
        <w:rPr>
          <w:rFonts w:ascii="Verdana" w:hAnsi="Verdana"/>
          <w:kern w:val="2"/>
          <w:sz w:val="20"/>
          <w:szCs w:val="20"/>
          <w:lang w:eastAsia="en-US"/>
        </w:rPr>
        <w:t xml:space="preserve">de </w:t>
      </w:r>
      <w:r w:rsidR="00FA3D47" w:rsidRPr="00451E94">
        <w:rPr>
          <w:rFonts w:ascii="Verdana" w:hAnsi="Verdana"/>
          <w:kern w:val="2"/>
          <w:sz w:val="20"/>
          <w:szCs w:val="20"/>
          <w:lang w:eastAsia="en-US"/>
        </w:rPr>
        <w:t>satisfacción e indemnizaciones compensatorias</w:t>
      </w:r>
      <w:r w:rsidR="00716375" w:rsidRPr="00561DCD">
        <w:rPr>
          <w:rFonts w:ascii="Verdana" w:hAnsi="Verdana"/>
          <w:kern w:val="2"/>
          <w:sz w:val="20"/>
          <w:szCs w:val="20"/>
          <w:lang w:eastAsia="en-US"/>
        </w:rPr>
        <w:t xml:space="preserve"> p</w:t>
      </w:r>
      <w:r w:rsidR="00716375" w:rsidRPr="00AE343E">
        <w:rPr>
          <w:rFonts w:ascii="Verdana" w:hAnsi="Verdana"/>
          <w:kern w:val="2"/>
          <w:sz w:val="20"/>
          <w:szCs w:val="20"/>
          <w:lang w:eastAsia="en-US"/>
        </w:rPr>
        <w:t>or daño materi</w:t>
      </w:r>
      <w:r w:rsidR="00716375" w:rsidRPr="00451E94">
        <w:rPr>
          <w:rFonts w:ascii="Verdana" w:hAnsi="Verdana"/>
          <w:kern w:val="2"/>
          <w:sz w:val="20"/>
          <w:szCs w:val="20"/>
          <w:lang w:eastAsia="en-US"/>
        </w:rPr>
        <w:t>al e inmaterial</w:t>
      </w:r>
      <w:r w:rsidR="00716375" w:rsidRPr="00451E94">
        <w:rPr>
          <w:rFonts w:ascii="Verdana" w:hAnsi="Verdana"/>
          <w:sz w:val="20"/>
          <w:szCs w:val="20"/>
        </w:rPr>
        <w:t xml:space="preserve">. Con base en la adopción de la Sentencia en el caso contencioso </w:t>
      </w:r>
      <w:r w:rsidR="00561DCD" w:rsidRPr="00451E94">
        <w:rPr>
          <w:rFonts w:ascii="Verdana" w:hAnsi="Verdana"/>
          <w:sz w:val="20"/>
          <w:szCs w:val="20"/>
        </w:rPr>
        <w:t xml:space="preserve">y tomando en consideración las acciones emprendidas por el Estado, </w:t>
      </w:r>
      <w:r w:rsidR="00AD2E44" w:rsidRPr="00AE343E">
        <w:rPr>
          <w:rFonts w:ascii="Verdana" w:hAnsi="Verdana"/>
          <w:bCs/>
          <w:sz w:val="20"/>
        </w:rPr>
        <w:t>el Tribunal</w:t>
      </w:r>
      <w:r w:rsidR="00AD2E44" w:rsidRPr="00451E94">
        <w:rPr>
          <w:rFonts w:ascii="Verdana" w:hAnsi="Verdana"/>
          <w:bCs/>
          <w:sz w:val="20"/>
        </w:rPr>
        <w:t xml:space="preserve"> considera que la presente solicitud de medidas provisionales ha quedado sin objeto. </w:t>
      </w:r>
    </w:p>
    <w:p w14:paraId="5F7FCE71" w14:textId="77777777" w:rsidR="00791CCA" w:rsidRDefault="00791CCA" w:rsidP="00791CCA">
      <w:pPr>
        <w:pStyle w:val="Prrafodelista"/>
        <w:rPr>
          <w:rFonts w:ascii="Verdana" w:eastAsia="Calibri" w:hAnsi="Verdana"/>
          <w:sz w:val="20"/>
          <w:szCs w:val="20"/>
          <w:lang w:val="es-CR" w:eastAsia="es-CR"/>
        </w:rPr>
      </w:pPr>
    </w:p>
    <w:p w14:paraId="451F9D3E" w14:textId="77777777" w:rsidR="00791CCA" w:rsidRDefault="00791CCA" w:rsidP="00791CCA">
      <w:pPr>
        <w:pStyle w:val="Prrafodelista"/>
        <w:numPr>
          <w:ilvl w:val="0"/>
          <w:numId w:val="1"/>
        </w:numPr>
        <w:tabs>
          <w:tab w:val="clear" w:pos="360"/>
          <w:tab w:val="num" w:pos="0"/>
        </w:tabs>
        <w:ind w:left="0" w:firstLine="0"/>
        <w:contextualSpacing/>
        <w:jc w:val="both"/>
        <w:rPr>
          <w:rFonts w:ascii="Verdana" w:hAnsi="Verdana"/>
          <w:sz w:val="20"/>
          <w:szCs w:val="20"/>
          <w:lang w:val="es-CR"/>
        </w:rPr>
      </w:pPr>
      <w:r>
        <w:rPr>
          <w:rFonts w:ascii="Verdana" w:hAnsi="Verdana"/>
          <w:sz w:val="20"/>
          <w:szCs w:val="20"/>
          <w:lang w:val="es-CR"/>
        </w:rPr>
        <w:t>Sin perjuicio de lo anterior, se recuerda al Estado que el artículo 1.1 de la Convención Americana establece las obligaciones generales que tienen los Estados Parte de respetar los derechos y libertades en ella consagrados y de garantizar su libre y pleno ejercicio a toda persona que esté sujeta a su jurisdicción. Este deber se torna aún más evidente en relación con quienes estén vinculados a procesos ante los órganos de supervisión de la Convención</w:t>
      </w:r>
      <w:r>
        <w:rPr>
          <w:rFonts w:ascii="Verdana" w:hAnsi="Verdana"/>
          <w:sz w:val="20"/>
          <w:szCs w:val="20"/>
          <w:vertAlign w:val="superscript"/>
          <w:lang w:val="es-CR"/>
        </w:rPr>
        <w:footnoteReference w:id="3"/>
      </w:r>
      <w:r>
        <w:rPr>
          <w:rFonts w:ascii="Verdana" w:hAnsi="Verdana"/>
          <w:sz w:val="20"/>
          <w:szCs w:val="20"/>
          <w:lang w:val="es-CR"/>
        </w:rPr>
        <w:t>. Por ello, Perú, se encuentra obligado a garantizar sus derechos, en el modo que fuere procedente, a través de los mecanismos internos existentes para ello.</w:t>
      </w:r>
    </w:p>
    <w:p w14:paraId="68E02558" w14:textId="77777777" w:rsidR="00791CCA" w:rsidRPr="00451E94" w:rsidRDefault="00791CCA" w:rsidP="00451E94">
      <w:pPr>
        <w:numPr>
          <w:ilvl w:val="0"/>
          <w:numId w:val="1"/>
        </w:numPr>
        <w:tabs>
          <w:tab w:val="clear" w:pos="360"/>
          <w:tab w:val="num" w:pos="0"/>
        </w:tabs>
        <w:autoSpaceDE w:val="0"/>
        <w:autoSpaceDN w:val="0"/>
        <w:adjustRightInd w:val="0"/>
        <w:ind w:left="0" w:firstLine="0"/>
        <w:jc w:val="both"/>
        <w:rPr>
          <w:rFonts w:ascii="Verdana" w:eastAsia="Calibri" w:hAnsi="Verdana"/>
          <w:sz w:val="20"/>
          <w:szCs w:val="20"/>
          <w:lang w:val="es-CR" w:eastAsia="es-CR"/>
        </w:rPr>
      </w:pPr>
    </w:p>
    <w:p w14:paraId="7A05884B" w14:textId="77777777" w:rsidR="00FA3D47" w:rsidRPr="00B5514D" w:rsidRDefault="00FA3D47" w:rsidP="00451E94">
      <w:pPr>
        <w:widowControl w:val="0"/>
        <w:tabs>
          <w:tab w:val="left" w:pos="567"/>
        </w:tabs>
        <w:adjustRightInd w:val="0"/>
        <w:contextualSpacing/>
        <w:jc w:val="both"/>
        <w:rPr>
          <w:rFonts w:ascii="Verdana" w:hAnsi="Verdana" w:cs="Arial"/>
          <w:sz w:val="20"/>
          <w:szCs w:val="20"/>
        </w:rPr>
      </w:pPr>
    </w:p>
    <w:p w14:paraId="414A9198" w14:textId="77777777" w:rsidR="003C21EA" w:rsidRDefault="003C21EA" w:rsidP="003C21EA">
      <w:pPr>
        <w:pStyle w:val="Prrafodelista"/>
        <w:ind w:left="0" w:right="18"/>
        <w:jc w:val="both"/>
        <w:rPr>
          <w:rFonts w:ascii="Verdana" w:hAnsi="Verdana"/>
          <w:b/>
          <w:sz w:val="20"/>
          <w:lang w:val="es-PR"/>
        </w:rPr>
      </w:pPr>
      <w:r>
        <w:rPr>
          <w:rFonts w:ascii="Verdana" w:hAnsi="Verdana"/>
          <w:b/>
          <w:sz w:val="20"/>
          <w:lang w:val="es-PR"/>
        </w:rPr>
        <w:t>POR TANTO:</w:t>
      </w:r>
    </w:p>
    <w:p w14:paraId="64C040DE" w14:textId="77777777" w:rsidR="003C21EA" w:rsidRDefault="003C21EA" w:rsidP="003C21EA">
      <w:pPr>
        <w:pStyle w:val="Prrafodelista"/>
        <w:ind w:left="0" w:right="18"/>
        <w:jc w:val="both"/>
        <w:rPr>
          <w:rFonts w:ascii="Verdana" w:hAnsi="Verdana"/>
          <w:b/>
          <w:sz w:val="20"/>
          <w:lang w:val="es-PR"/>
        </w:rPr>
      </w:pPr>
    </w:p>
    <w:p w14:paraId="3E857DE2" w14:textId="77777777" w:rsidR="003C21EA" w:rsidRDefault="003C21EA" w:rsidP="003C21EA">
      <w:pPr>
        <w:pStyle w:val="Prrafodelista"/>
        <w:ind w:left="0" w:right="18"/>
        <w:jc w:val="both"/>
        <w:rPr>
          <w:rFonts w:ascii="Verdana" w:hAnsi="Verdana"/>
          <w:b/>
          <w:sz w:val="20"/>
        </w:rPr>
      </w:pPr>
      <w:r>
        <w:rPr>
          <w:rFonts w:ascii="Verdana" w:hAnsi="Verdana"/>
          <w:b/>
          <w:sz w:val="20"/>
        </w:rPr>
        <w:t>LA CORTE INTERAMERICANA DE DERECHOS HUMANOS,</w:t>
      </w:r>
    </w:p>
    <w:p w14:paraId="223B1CE6" w14:textId="77777777" w:rsidR="003C21EA" w:rsidRDefault="003C21EA" w:rsidP="003C21EA">
      <w:pPr>
        <w:pStyle w:val="Prrafodelista"/>
        <w:ind w:left="0" w:right="18"/>
        <w:jc w:val="both"/>
        <w:rPr>
          <w:rFonts w:ascii="Verdana" w:hAnsi="Verdana"/>
          <w:b/>
          <w:sz w:val="20"/>
        </w:rPr>
      </w:pPr>
    </w:p>
    <w:p w14:paraId="50D05635" w14:textId="77777777" w:rsidR="003C21EA" w:rsidRDefault="003C21EA" w:rsidP="003C21EA">
      <w:pPr>
        <w:pStyle w:val="Prrafodelista"/>
        <w:ind w:left="0" w:right="18"/>
        <w:jc w:val="both"/>
        <w:rPr>
          <w:rFonts w:ascii="Verdana" w:hAnsi="Verdana"/>
          <w:sz w:val="20"/>
          <w:lang w:val="es-MX"/>
        </w:rPr>
      </w:pPr>
      <w:r>
        <w:rPr>
          <w:rFonts w:ascii="Verdana" w:hAnsi="Verdana"/>
          <w:sz w:val="20"/>
          <w:lang w:val="es-MX"/>
        </w:rPr>
        <w:t>en uso de las atribuciones que le confieren el artículo 63.2 de la Convención Americana sobre Derechos Humanos y los artículos 27 y</w:t>
      </w:r>
      <w:r>
        <w:rPr>
          <w:rFonts w:ascii="Verdana" w:hAnsi="Verdana"/>
          <w:color w:val="00B050"/>
          <w:sz w:val="20"/>
          <w:lang w:val="es-MX"/>
        </w:rPr>
        <w:t xml:space="preserve"> </w:t>
      </w:r>
      <w:r>
        <w:rPr>
          <w:rFonts w:ascii="Verdana" w:hAnsi="Verdana"/>
          <w:sz w:val="20"/>
          <w:lang w:val="es-MX"/>
        </w:rPr>
        <w:t>31.2 del Reglamento,</w:t>
      </w:r>
    </w:p>
    <w:p w14:paraId="63880100" w14:textId="77777777" w:rsidR="003C21EA" w:rsidRDefault="003C21EA" w:rsidP="003C21EA">
      <w:pPr>
        <w:pStyle w:val="Prrafodelista"/>
        <w:ind w:left="0" w:right="18"/>
        <w:jc w:val="both"/>
        <w:rPr>
          <w:rFonts w:ascii="Verdana" w:hAnsi="Verdana"/>
          <w:sz w:val="20"/>
          <w:lang w:val="es-MX"/>
        </w:rPr>
      </w:pPr>
    </w:p>
    <w:p w14:paraId="739B3D5B" w14:textId="77777777" w:rsidR="003C21EA" w:rsidRDefault="003C21EA" w:rsidP="003C21EA">
      <w:pPr>
        <w:pStyle w:val="Prrafodelista"/>
        <w:ind w:left="0" w:right="18"/>
        <w:jc w:val="both"/>
        <w:rPr>
          <w:rFonts w:ascii="Verdana" w:hAnsi="Verdana"/>
          <w:sz w:val="20"/>
          <w:lang w:val="es-CR"/>
        </w:rPr>
      </w:pPr>
      <w:r>
        <w:rPr>
          <w:rFonts w:ascii="Verdana" w:hAnsi="Verdana"/>
          <w:b/>
          <w:sz w:val="20"/>
        </w:rPr>
        <w:t>RESUELVE:</w:t>
      </w:r>
    </w:p>
    <w:p w14:paraId="258DBC87" w14:textId="77777777" w:rsidR="003C21EA" w:rsidRDefault="003C21EA" w:rsidP="003C21EA">
      <w:pPr>
        <w:pStyle w:val="Prrafodelista"/>
        <w:ind w:left="0" w:right="18"/>
        <w:jc w:val="both"/>
        <w:rPr>
          <w:rFonts w:ascii="Verdana" w:eastAsia="Verdana" w:hAnsi="Verdana"/>
          <w:sz w:val="20"/>
          <w:lang w:val="es-CR"/>
        </w:rPr>
      </w:pPr>
    </w:p>
    <w:p w14:paraId="4986533F" w14:textId="77777777" w:rsidR="003C21EA" w:rsidRDefault="003C21EA" w:rsidP="003C21EA">
      <w:pPr>
        <w:pStyle w:val="Prrafodelista"/>
        <w:numPr>
          <w:ilvl w:val="3"/>
          <w:numId w:val="7"/>
        </w:numPr>
        <w:ind w:left="0" w:right="18" w:firstLine="0"/>
        <w:contextualSpacing/>
        <w:jc w:val="both"/>
        <w:rPr>
          <w:rFonts w:ascii="Verdana" w:eastAsia="Calibri" w:hAnsi="Verdana"/>
          <w:sz w:val="20"/>
        </w:rPr>
      </w:pPr>
      <w:r>
        <w:rPr>
          <w:rFonts w:ascii="Verdana" w:hAnsi="Verdana"/>
          <w:sz w:val="20"/>
        </w:rPr>
        <w:t xml:space="preserve">Declarar que la solicitud de medidas provisionales interpuesta a favor del señor </w:t>
      </w:r>
      <w:r w:rsidR="003530C3">
        <w:rPr>
          <w:rFonts w:ascii="Verdana" w:hAnsi="Verdana"/>
          <w:sz w:val="20"/>
          <w:lang w:val="es-CR"/>
        </w:rPr>
        <w:t>Oscar Muelle Flores</w:t>
      </w:r>
      <w:r>
        <w:rPr>
          <w:rFonts w:ascii="Verdana" w:hAnsi="Verdana"/>
          <w:sz w:val="20"/>
          <w:lang w:val="es-CR"/>
        </w:rPr>
        <w:t xml:space="preserve"> ha quedado sin objeto.</w:t>
      </w:r>
    </w:p>
    <w:p w14:paraId="41346750" w14:textId="77777777" w:rsidR="003C21EA" w:rsidRDefault="003C21EA" w:rsidP="003C21EA">
      <w:pPr>
        <w:pStyle w:val="Prrafodelista"/>
        <w:ind w:left="0" w:right="18"/>
        <w:jc w:val="both"/>
        <w:rPr>
          <w:rFonts w:ascii="Verdana" w:eastAsia="Times" w:hAnsi="Verdana"/>
          <w:sz w:val="20"/>
        </w:rPr>
      </w:pPr>
    </w:p>
    <w:p w14:paraId="126C3039" w14:textId="77777777" w:rsidR="003C21EA" w:rsidRDefault="003C21EA" w:rsidP="003C21EA">
      <w:pPr>
        <w:pStyle w:val="Prrafodelista"/>
        <w:numPr>
          <w:ilvl w:val="3"/>
          <w:numId w:val="7"/>
        </w:numPr>
        <w:ind w:left="0" w:right="18" w:firstLine="0"/>
        <w:contextualSpacing/>
        <w:jc w:val="both"/>
        <w:rPr>
          <w:rFonts w:ascii="Verdana" w:hAnsi="Verdana"/>
          <w:sz w:val="20"/>
        </w:rPr>
      </w:pPr>
      <w:r>
        <w:rPr>
          <w:rFonts w:ascii="Verdana" w:hAnsi="Verdana"/>
          <w:sz w:val="20"/>
        </w:rPr>
        <w:t>Requerir a la Secretaría de la Corte que notifique la presente Resolución a la</w:t>
      </w:r>
      <w:r w:rsidR="00AC77BD">
        <w:rPr>
          <w:rFonts w:ascii="Verdana" w:hAnsi="Verdana"/>
          <w:sz w:val="20"/>
        </w:rPr>
        <w:t>s</w:t>
      </w:r>
      <w:r>
        <w:rPr>
          <w:rFonts w:ascii="Verdana" w:hAnsi="Verdana"/>
          <w:sz w:val="20"/>
        </w:rPr>
        <w:t xml:space="preserve"> representante</w:t>
      </w:r>
      <w:r w:rsidR="00AC77BD">
        <w:rPr>
          <w:rFonts w:ascii="Verdana" w:hAnsi="Verdana"/>
          <w:sz w:val="20"/>
        </w:rPr>
        <w:t>s</w:t>
      </w:r>
      <w:r>
        <w:rPr>
          <w:rFonts w:ascii="Verdana" w:hAnsi="Verdana"/>
          <w:sz w:val="20"/>
        </w:rPr>
        <w:t xml:space="preserve"> del señor </w:t>
      </w:r>
      <w:r w:rsidR="003530C3">
        <w:rPr>
          <w:rFonts w:ascii="Verdana" w:hAnsi="Verdana"/>
          <w:sz w:val="20"/>
        </w:rPr>
        <w:t>Oscar Muelle Flores</w:t>
      </w:r>
      <w:r>
        <w:rPr>
          <w:rFonts w:ascii="Verdana" w:hAnsi="Verdana"/>
          <w:sz w:val="20"/>
        </w:rPr>
        <w:t>, al Estado de</w:t>
      </w:r>
      <w:r w:rsidR="003530C3">
        <w:rPr>
          <w:rFonts w:ascii="Verdana" w:hAnsi="Verdana"/>
          <w:sz w:val="20"/>
        </w:rPr>
        <w:t xml:space="preserve">l Perú </w:t>
      </w:r>
      <w:r>
        <w:rPr>
          <w:rFonts w:ascii="Verdana" w:hAnsi="Verdana"/>
          <w:sz w:val="20"/>
        </w:rPr>
        <w:t>y a la Comisión Interamericana de Derechos Humanos.</w:t>
      </w:r>
    </w:p>
    <w:p w14:paraId="5B82AB1C" w14:textId="77777777" w:rsidR="00083816" w:rsidRPr="00451E94" w:rsidRDefault="00083816" w:rsidP="00451E94">
      <w:pPr>
        <w:autoSpaceDE w:val="0"/>
        <w:autoSpaceDN w:val="0"/>
        <w:adjustRightInd w:val="0"/>
        <w:jc w:val="both"/>
        <w:rPr>
          <w:rFonts w:ascii="Verdana" w:eastAsia="Calibri" w:hAnsi="Verdana"/>
          <w:sz w:val="20"/>
          <w:szCs w:val="20"/>
          <w:lang w:eastAsia="es-CR"/>
        </w:rPr>
      </w:pPr>
    </w:p>
    <w:p w14:paraId="3EEB380C" w14:textId="77777777" w:rsidR="0097028F" w:rsidRDefault="0097028F" w:rsidP="0097028F">
      <w:pPr>
        <w:rPr>
          <w:rFonts w:ascii="Verdana" w:hAnsi="Verdana"/>
          <w:strike/>
          <w:sz w:val="20"/>
          <w:szCs w:val="20"/>
          <w:lang w:val="pt-BR"/>
        </w:rPr>
      </w:pPr>
    </w:p>
    <w:p w14:paraId="60D20D42" w14:textId="77777777" w:rsidR="00097C2D" w:rsidRDefault="00097C2D" w:rsidP="0097028F">
      <w:pPr>
        <w:rPr>
          <w:rFonts w:ascii="Verdana" w:hAnsi="Verdana"/>
          <w:strike/>
          <w:sz w:val="20"/>
          <w:szCs w:val="20"/>
          <w:lang w:val="pt-BR"/>
        </w:rPr>
      </w:pPr>
    </w:p>
    <w:p w14:paraId="44180DB3" w14:textId="77777777" w:rsidR="00AA549A" w:rsidRDefault="00AA549A" w:rsidP="0097028F">
      <w:pPr>
        <w:rPr>
          <w:rFonts w:ascii="Verdana" w:hAnsi="Verdana"/>
          <w:strike/>
          <w:sz w:val="20"/>
          <w:szCs w:val="20"/>
          <w:lang w:val="pt-BR"/>
        </w:rPr>
      </w:pPr>
    </w:p>
    <w:p w14:paraId="69D25D53" w14:textId="77777777" w:rsidR="00AA549A" w:rsidRDefault="00AA549A" w:rsidP="0097028F">
      <w:pPr>
        <w:rPr>
          <w:rFonts w:ascii="Verdana" w:hAnsi="Verdana"/>
          <w:strike/>
          <w:sz w:val="20"/>
          <w:szCs w:val="20"/>
          <w:lang w:val="pt-BR"/>
        </w:rPr>
      </w:pPr>
    </w:p>
    <w:p w14:paraId="42D55DFA" w14:textId="77777777" w:rsidR="00BC17CC" w:rsidRDefault="00BC17CC" w:rsidP="00BC17CC">
      <w:pPr>
        <w:rPr>
          <w:rFonts w:ascii="Verdana" w:hAnsi="Verdana"/>
          <w:sz w:val="20"/>
          <w:lang w:val="es-CR"/>
        </w:rPr>
      </w:pPr>
    </w:p>
    <w:p w14:paraId="0E830A61" w14:textId="77777777" w:rsidR="00BC17CC" w:rsidRPr="00CE7D40" w:rsidRDefault="00BC17CC" w:rsidP="00BC17CC">
      <w:pPr>
        <w:keepNext/>
        <w:jc w:val="both"/>
        <w:outlineLvl w:val="0"/>
        <w:rPr>
          <w:rFonts w:ascii="Verdana" w:hAnsi="Verdana"/>
          <w:sz w:val="20"/>
        </w:rPr>
      </w:pPr>
      <w:r w:rsidRPr="00847B73">
        <w:rPr>
          <w:rFonts w:ascii="Verdana" w:hAnsi="Verdana" w:cs="Courier New"/>
          <w:noProof/>
          <w:sz w:val="20"/>
          <w:lang w:val="es-AR"/>
        </w:rPr>
        <w:t xml:space="preserve">Corte IDH. </w:t>
      </w:r>
      <w:r>
        <w:rPr>
          <w:rFonts w:ascii="Verdana" w:hAnsi="Verdana"/>
          <w:bCs/>
          <w:i/>
          <w:sz w:val="20"/>
          <w:lang w:val="es-CR"/>
        </w:rPr>
        <w:t xml:space="preserve">Caso Muelle Flores Vs. Perú. </w:t>
      </w:r>
      <w:r w:rsidRPr="00CE7D40">
        <w:rPr>
          <w:rFonts w:ascii="Verdana" w:hAnsi="Verdana"/>
          <w:bCs/>
          <w:sz w:val="20"/>
          <w:lang w:val="es-CR"/>
        </w:rPr>
        <w:t xml:space="preserve">Medidas Provisionales. Resolución de la Corte Interamericana de Derechos Humanos de </w:t>
      </w:r>
      <w:r>
        <w:rPr>
          <w:rFonts w:ascii="Verdana" w:hAnsi="Verdana"/>
          <w:bCs/>
          <w:sz w:val="20"/>
          <w:lang w:val="es-CR"/>
        </w:rPr>
        <w:t>6 de marzo de 2019.</w:t>
      </w:r>
    </w:p>
    <w:p w14:paraId="46531610" w14:textId="77777777" w:rsidR="00AA549A" w:rsidRDefault="00AA549A" w:rsidP="0097028F">
      <w:pPr>
        <w:rPr>
          <w:rFonts w:ascii="Verdana" w:hAnsi="Verdana"/>
          <w:strike/>
          <w:sz w:val="20"/>
          <w:szCs w:val="20"/>
          <w:lang w:val="pt-BR"/>
        </w:rPr>
      </w:pPr>
      <w:bookmarkStart w:id="1" w:name="_GoBack"/>
      <w:bookmarkEnd w:id="1"/>
    </w:p>
    <w:p w14:paraId="7C8246A4" w14:textId="77777777" w:rsidR="00AA549A" w:rsidRDefault="00AA549A" w:rsidP="0097028F">
      <w:pPr>
        <w:rPr>
          <w:rFonts w:ascii="Verdana" w:hAnsi="Verdana"/>
          <w:strike/>
          <w:sz w:val="20"/>
          <w:szCs w:val="20"/>
          <w:lang w:val="pt-BR"/>
        </w:rPr>
      </w:pPr>
    </w:p>
    <w:p w14:paraId="2CDCF1D2" w14:textId="77777777" w:rsidR="00AA549A" w:rsidRDefault="00AA549A" w:rsidP="0097028F">
      <w:pPr>
        <w:rPr>
          <w:rFonts w:ascii="Verdana" w:hAnsi="Verdana"/>
          <w:strike/>
          <w:sz w:val="20"/>
          <w:szCs w:val="20"/>
          <w:lang w:val="pt-BR"/>
        </w:rPr>
      </w:pPr>
    </w:p>
    <w:p w14:paraId="1FB6EDF1" w14:textId="77777777" w:rsidR="0097028F" w:rsidRPr="00A95C72" w:rsidRDefault="0097028F" w:rsidP="0097028F">
      <w:pPr>
        <w:rPr>
          <w:rFonts w:ascii="Verdana" w:hAnsi="Verdana"/>
          <w:sz w:val="20"/>
          <w:szCs w:val="20"/>
          <w:lang w:val="pt-BR"/>
        </w:rPr>
      </w:pPr>
    </w:p>
    <w:p w14:paraId="47D30381" w14:textId="77777777" w:rsidR="0097028F" w:rsidRPr="00A95C72" w:rsidRDefault="0097028F" w:rsidP="0097028F">
      <w:pPr>
        <w:jc w:val="center"/>
        <w:rPr>
          <w:rFonts w:ascii="Verdana" w:hAnsi="Verdana"/>
          <w:sz w:val="20"/>
          <w:szCs w:val="20"/>
          <w:lang w:val="pt-BR"/>
        </w:rPr>
      </w:pPr>
      <w:r w:rsidRPr="00A95C72">
        <w:rPr>
          <w:rFonts w:ascii="Verdana" w:hAnsi="Verdana"/>
          <w:sz w:val="20"/>
          <w:szCs w:val="20"/>
          <w:lang w:val="pt-BR"/>
        </w:rPr>
        <w:t>Eduardo Ferrer Mac-Gregor Poisot</w:t>
      </w:r>
    </w:p>
    <w:p w14:paraId="053A343F" w14:textId="77777777" w:rsidR="0097028F" w:rsidRPr="00A95C72" w:rsidRDefault="0097028F" w:rsidP="0097028F">
      <w:pPr>
        <w:jc w:val="center"/>
        <w:rPr>
          <w:rFonts w:ascii="Verdana" w:hAnsi="Verdana"/>
          <w:sz w:val="20"/>
          <w:szCs w:val="20"/>
          <w:lang w:val="pt-BR"/>
        </w:rPr>
      </w:pPr>
      <w:r w:rsidRPr="00A95C72">
        <w:rPr>
          <w:rFonts w:ascii="Verdana" w:hAnsi="Verdana"/>
          <w:sz w:val="20"/>
          <w:szCs w:val="20"/>
          <w:lang w:val="pt-BR"/>
        </w:rPr>
        <w:t xml:space="preserve">Presidente </w:t>
      </w:r>
    </w:p>
    <w:p w14:paraId="24F31A33" w14:textId="77777777" w:rsidR="0097028F" w:rsidRPr="00A95C72" w:rsidRDefault="0097028F" w:rsidP="0097028F">
      <w:pPr>
        <w:rPr>
          <w:rFonts w:ascii="Verdana" w:hAnsi="Verdana"/>
          <w:sz w:val="20"/>
          <w:szCs w:val="20"/>
          <w:lang w:val="pt-BR"/>
        </w:rPr>
      </w:pPr>
    </w:p>
    <w:p w14:paraId="1D40CAAE" w14:textId="77777777" w:rsidR="0097028F" w:rsidRPr="00A95C72" w:rsidRDefault="0097028F" w:rsidP="0097028F">
      <w:pPr>
        <w:rPr>
          <w:rFonts w:ascii="Verdana" w:hAnsi="Verdana"/>
          <w:sz w:val="20"/>
          <w:szCs w:val="20"/>
          <w:lang w:val="pt-BR"/>
        </w:rPr>
      </w:pPr>
    </w:p>
    <w:p w14:paraId="59AC38DF" w14:textId="77777777" w:rsidR="0097028F" w:rsidRPr="00A95C72" w:rsidRDefault="0097028F" w:rsidP="0097028F">
      <w:pPr>
        <w:rPr>
          <w:rFonts w:ascii="Verdana" w:hAnsi="Verdana"/>
          <w:sz w:val="20"/>
          <w:szCs w:val="20"/>
          <w:lang w:val="pt-BR"/>
        </w:rPr>
      </w:pPr>
    </w:p>
    <w:p w14:paraId="3F0E9DAD" w14:textId="77777777" w:rsidR="0097028F" w:rsidRPr="00A95C72" w:rsidRDefault="0097028F" w:rsidP="0097028F">
      <w:pPr>
        <w:rPr>
          <w:rFonts w:ascii="Verdana" w:hAnsi="Verdana"/>
          <w:sz w:val="20"/>
          <w:szCs w:val="20"/>
          <w:lang w:val="pt-BR"/>
        </w:rPr>
      </w:pPr>
    </w:p>
    <w:p w14:paraId="2EC3C772" w14:textId="77777777" w:rsidR="0097028F" w:rsidRPr="00A95C72" w:rsidRDefault="0097028F" w:rsidP="0097028F">
      <w:pPr>
        <w:rPr>
          <w:rFonts w:ascii="Verdana" w:hAnsi="Verdana"/>
          <w:sz w:val="20"/>
          <w:szCs w:val="20"/>
          <w:lang w:val="pt-BR"/>
        </w:rPr>
      </w:pPr>
      <w:r w:rsidRPr="00A95C72">
        <w:rPr>
          <w:rFonts w:ascii="Verdana" w:hAnsi="Verdana"/>
          <w:sz w:val="20"/>
          <w:szCs w:val="20"/>
          <w:lang w:val="pt-BR"/>
        </w:rPr>
        <w:t>Eduardo Vio Grossi</w:t>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t xml:space="preserve">    Humberto A. Sierra Porto </w:t>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t xml:space="preserve">         </w:t>
      </w:r>
    </w:p>
    <w:p w14:paraId="27C732D6" w14:textId="77777777" w:rsidR="0097028F" w:rsidRPr="00A95C72" w:rsidRDefault="0097028F" w:rsidP="0097028F">
      <w:pPr>
        <w:rPr>
          <w:rFonts w:ascii="Verdana" w:hAnsi="Verdana"/>
          <w:sz w:val="20"/>
          <w:szCs w:val="20"/>
          <w:lang w:val="pt-BR"/>
        </w:rPr>
      </w:pPr>
    </w:p>
    <w:p w14:paraId="1FF60E17" w14:textId="77777777" w:rsidR="0097028F" w:rsidRPr="00A95C72" w:rsidRDefault="0097028F" w:rsidP="0097028F">
      <w:pPr>
        <w:rPr>
          <w:rFonts w:ascii="Verdana" w:hAnsi="Verdana"/>
          <w:sz w:val="20"/>
          <w:szCs w:val="20"/>
          <w:lang w:val="pt-BR"/>
        </w:rPr>
      </w:pPr>
    </w:p>
    <w:p w14:paraId="3D8753BC" w14:textId="77777777" w:rsidR="0097028F" w:rsidRPr="00A95C72" w:rsidRDefault="0097028F" w:rsidP="0097028F">
      <w:pPr>
        <w:rPr>
          <w:rFonts w:ascii="Verdana" w:hAnsi="Verdana"/>
          <w:sz w:val="20"/>
          <w:szCs w:val="20"/>
          <w:lang w:val="pt-BR"/>
        </w:rPr>
      </w:pPr>
    </w:p>
    <w:p w14:paraId="0BA422CD" w14:textId="77777777" w:rsidR="0097028F" w:rsidRPr="00A95C72" w:rsidRDefault="0097028F" w:rsidP="0097028F">
      <w:pPr>
        <w:rPr>
          <w:rFonts w:ascii="Verdana" w:hAnsi="Verdana"/>
          <w:sz w:val="20"/>
          <w:szCs w:val="20"/>
          <w:lang w:val="pt-BR"/>
        </w:rPr>
      </w:pPr>
    </w:p>
    <w:p w14:paraId="32D7BB3C" w14:textId="77777777" w:rsidR="0097028F" w:rsidRPr="00A95C72" w:rsidRDefault="0097028F" w:rsidP="0097028F">
      <w:pPr>
        <w:rPr>
          <w:rFonts w:ascii="Verdana" w:hAnsi="Verdana"/>
          <w:sz w:val="20"/>
          <w:szCs w:val="20"/>
          <w:lang w:val="pt-BR"/>
        </w:rPr>
      </w:pPr>
      <w:r w:rsidRPr="00A95C72">
        <w:rPr>
          <w:rFonts w:ascii="Verdana" w:hAnsi="Verdana"/>
          <w:sz w:val="20"/>
          <w:szCs w:val="20"/>
          <w:lang w:val="pt-BR"/>
        </w:rPr>
        <w:t>Elizabeth Odio Benito</w:t>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t xml:space="preserve">       Eugenio Raúl Zaffaroni  </w:t>
      </w:r>
    </w:p>
    <w:p w14:paraId="1936BF72" w14:textId="77777777" w:rsidR="0097028F" w:rsidRPr="00A95C72" w:rsidRDefault="0097028F" w:rsidP="0097028F">
      <w:pPr>
        <w:rPr>
          <w:rFonts w:ascii="Verdana" w:hAnsi="Verdana"/>
          <w:sz w:val="20"/>
          <w:szCs w:val="20"/>
          <w:lang w:val="pt-BR"/>
        </w:rPr>
      </w:pPr>
    </w:p>
    <w:p w14:paraId="645B394D" w14:textId="77777777" w:rsidR="0097028F" w:rsidRPr="00A95C72" w:rsidRDefault="0097028F" w:rsidP="0097028F">
      <w:pPr>
        <w:rPr>
          <w:rFonts w:ascii="Verdana" w:hAnsi="Verdana"/>
          <w:sz w:val="20"/>
          <w:szCs w:val="20"/>
          <w:lang w:val="pt-BR"/>
        </w:rPr>
      </w:pPr>
    </w:p>
    <w:p w14:paraId="1AB2245A" w14:textId="77777777" w:rsidR="0097028F" w:rsidRPr="00A95C72" w:rsidRDefault="0097028F" w:rsidP="0097028F">
      <w:pPr>
        <w:rPr>
          <w:rFonts w:ascii="Verdana" w:hAnsi="Verdana"/>
          <w:sz w:val="20"/>
          <w:szCs w:val="20"/>
          <w:lang w:val="pt-BR"/>
        </w:rPr>
      </w:pPr>
    </w:p>
    <w:p w14:paraId="3F296152" w14:textId="77777777" w:rsidR="0097028F" w:rsidRPr="00A95C72" w:rsidRDefault="0097028F" w:rsidP="0097028F">
      <w:pPr>
        <w:rPr>
          <w:rFonts w:ascii="Verdana" w:hAnsi="Verdana"/>
          <w:sz w:val="20"/>
          <w:szCs w:val="20"/>
          <w:lang w:val="pt-BR"/>
        </w:rPr>
      </w:pPr>
    </w:p>
    <w:p w14:paraId="31874B5A" w14:textId="77777777" w:rsidR="0097028F" w:rsidRPr="00A95C72" w:rsidRDefault="0097028F" w:rsidP="0097028F">
      <w:pPr>
        <w:jc w:val="center"/>
        <w:rPr>
          <w:rFonts w:ascii="Verdana" w:hAnsi="Verdana"/>
          <w:sz w:val="20"/>
          <w:szCs w:val="20"/>
          <w:lang w:val="pt-BR"/>
        </w:rPr>
      </w:pPr>
      <w:r w:rsidRPr="00A95C72">
        <w:rPr>
          <w:rFonts w:ascii="Verdana" w:hAnsi="Verdana"/>
          <w:sz w:val="20"/>
          <w:szCs w:val="20"/>
          <w:lang w:val="pt-BR"/>
        </w:rPr>
        <w:t>L. Patricio Pazmiño Freire</w:t>
      </w:r>
    </w:p>
    <w:p w14:paraId="2E6276E4" w14:textId="77777777" w:rsidR="0097028F" w:rsidRPr="00A95C72" w:rsidRDefault="0097028F" w:rsidP="0097028F">
      <w:pPr>
        <w:rPr>
          <w:rFonts w:ascii="Verdana" w:hAnsi="Verdana"/>
          <w:sz w:val="20"/>
          <w:szCs w:val="20"/>
          <w:lang w:val="pt-BR"/>
        </w:rPr>
      </w:pPr>
    </w:p>
    <w:p w14:paraId="1277CF57" w14:textId="77777777" w:rsidR="0097028F" w:rsidRPr="00A95C72" w:rsidRDefault="0097028F" w:rsidP="0097028F">
      <w:pPr>
        <w:rPr>
          <w:rFonts w:ascii="Verdana" w:hAnsi="Verdana"/>
          <w:sz w:val="20"/>
          <w:szCs w:val="20"/>
          <w:lang w:val="pt-BR"/>
        </w:rPr>
      </w:pPr>
    </w:p>
    <w:p w14:paraId="1959ED29" w14:textId="77777777" w:rsidR="0097028F" w:rsidRPr="00A95C72" w:rsidRDefault="0097028F" w:rsidP="0097028F">
      <w:pPr>
        <w:rPr>
          <w:rFonts w:ascii="Verdana" w:hAnsi="Verdana"/>
          <w:sz w:val="20"/>
          <w:szCs w:val="20"/>
          <w:lang w:val="pt-BR"/>
        </w:rPr>
      </w:pPr>
    </w:p>
    <w:p w14:paraId="29EC0C59" w14:textId="77777777" w:rsidR="0097028F" w:rsidRPr="00A95C72" w:rsidRDefault="0097028F" w:rsidP="0097028F">
      <w:pPr>
        <w:jc w:val="both"/>
        <w:rPr>
          <w:rFonts w:ascii="Verdana" w:hAnsi="Verdana"/>
          <w:sz w:val="20"/>
          <w:szCs w:val="20"/>
          <w:lang w:val="pt-BR"/>
        </w:rPr>
      </w:pPr>
    </w:p>
    <w:p w14:paraId="5FA26CA0" w14:textId="77777777" w:rsidR="0097028F" w:rsidRPr="00A95C72" w:rsidRDefault="0097028F" w:rsidP="0097028F">
      <w:pPr>
        <w:jc w:val="center"/>
        <w:rPr>
          <w:rFonts w:ascii="Verdana" w:hAnsi="Verdana"/>
          <w:sz w:val="20"/>
          <w:szCs w:val="20"/>
          <w:lang w:val="pt-BR"/>
        </w:rPr>
      </w:pPr>
      <w:r w:rsidRPr="00A95C72">
        <w:rPr>
          <w:rFonts w:ascii="Verdana" w:hAnsi="Verdana"/>
          <w:sz w:val="20"/>
          <w:szCs w:val="20"/>
          <w:lang w:val="pt-BR"/>
        </w:rPr>
        <w:t>Pablo Saavedra Alessandri</w:t>
      </w:r>
    </w:p>
    <w:p w14:paraId="752E1C19" w14:textId="77777777" w:rsidR="0097028F" w:rsidRPr="00A95C72" w:rsidRDefault="0097028F" w:rsidP="0097028F">
      <w:pPr>
        <w:jc w:val="center"/>
        <w:rPr>
          <w:rFonts w:ascii="Verdana" w:hAnsi="Verdana"/>
          <w:sz w:val="20"/>
          <w:szCs w:val="20"/>
          <w:lang w:val="pt-BR"/>
        </w:rPr>
      </w:pPr>
      <w:r w:rsidRPr="00A95C72">
        <w:rPr>
          <w:rFonts w:ascii="Verdana" w:hAnsi="Verdana"/>
          <w:sz w:val="20"/>
          <w:szCs w:val="20"/>
          <w:lang w:val="pt-BR"/>
        </w:rPr>
        <w:t>Secretario</w:t>
      </w:r>
    </w:p>
    <w:p w14:paraId="04F8F375" w14:textId="77777777" w:rsidR="0097028F" w:rsidRPr="00A95C72" w:rsidRDefault="0097028F" w:rsidP="0097028F">
      <w:pPr>
        <w:pStyle w:val="Textonotapie"/>
        <w:rPr>
          <w:rFonts w:ascii="Verdana" w:hAnsi="Verdana"/>
          <w:lang w:val="pt-BR"/>
        </w:rPr>
      </w:pPr>
    </w:p>
    <w:p w14:paraId="5DA07318" w14:textId="77777777" w:rsidR="0097028F" w:rsidRPr="00A95C72" w:rsidRDefault="0097028F" w:rsidP="0097028F">
      <w:pPr>
        <w:pStyle w:val="Textonotapie"/>
        <w:rPr>
          <w:rFonts w:ascii="Verdana" w:hAnsi="Verdana"/>
          <w:lang w:val="pt-BR"/>
        </w:rPr>
      </w:pPr>
    </w:p>
    <w:p w14:paraId="6F6C4445" w14:textId="77777777" w:rsidR="0097028F" w:rsidRPr="00A95C72" w:rsidRDefault="0097028F" w:rsidP="0097028F">
      <w:pPr>
        <w:jc w:val="both"/>
        <w:rPr>
          <w:rFonts w:ascii="Verdana" w:hAnsi="Verdana"/>
          <w:sz w:val="20"/>
          <w:szCs w:val="20"/>
          <w:lang w:val="pt-BR"/>
        </w:rPr>
      </w:pPr>
      <w:r w:rsidRPr="00A95C72">
        <w:rPr>
          <w:rFonts w:ascii="Verdana" w:hAnsi="Verdana"/>
          <w:sz w:val="20"/>
          <w:szCs w:val="20"/>
          <w:lang w:val="pt-BR"/>
        </w:rPr>
        <w:t>Comuníquese y ejecútese,</w:t>
      </w:r>
    </w:p>
    <w:p w14:paraId="27840221" w14:textId="77777777" w:rsidR="0097028F" w:rsidRPr="00A95C72" w:rsidRDefault="0097028F" w:rsidP="0097028F">
      <w:pPr>
        <w:rPr>
          <w:rFonts w:ascii="Verdana" w:hAnsi="Verdana"/>
          <w:sz w:val="20"/>
          <w:szCs w:val="20"/>
          <w:lang w:val="pt-BR"/>
        </w:rPr>
      </w:pPr>
    </w:p>
    <w:p w14:paraId="0E527798" w14:textId="77777777" w:rsidR="0097028F" w:rsidRPr="00A95C72" w:rsidRDefault="0097028F" w:rsidP="0097028F">
      <w:pPr>
        <w:rPr>
          <w:rFonts w:ascii="Verdana" w:hAnsi="Verdana"/>
          <w:sz w:val="20"/>
          <w:szCs w:val="20"/>
          <w:lang w:val="pt-BR"/>
        </w:rPr>
      </w:pPr>
    </w:p>
    <w:p w14:paraId="0CC2C043" w14:textId="77777777" w:rsidR="0097028F" w:rsidRPr="00A95C72" w:rsidRDefault="0097028F" w:rsidP="0097028F">
      <w:pPr>
        <w:jc w:val="right"/>
        <w:rPr>
          <w:rFonts w:ascii="Verdana" w:hAnsi="Verdana"/>
          <w:sz w:val="20"/>
          <w:szCs w:val="20"/>
          <w:lang w:val="pt-BR"/>
        </w:rPr>
      </w:pPr>
    </w:p>
    <w:p w14:paraId="26568D1A" w14:textId="77777777" w:rsidR="0097028F" w:rsidRPr="00A95C72" w:rsidRDefault="0097028F" w:rsidP="0097028F">
      <w:pPr>
        <w:jc w:val="center"/>
        <w:rPr>
          <w:rFonts w:ascii="Verdana" w:hAnsi="Verdana"/>
          <w:sz w:val="20"/>
          <w:szCs w:val="20"/>
          <w:lang w:val="pt-BR"/>
        </w:rPr>
      </w:pPr>
      <w:r w:rsidRPr="00A95C72">
        <w:rPr>
          <w:rFonts w:ascii="Verdana" w:hAnsi="Verdana"/>
          <w:sz w:val="20"/>
          <w:szCs w:val="20"/>
          <w:lang w:val="pt-BR"/>
        </w:rPr>
        <w:t xml:space="preserve">                                                                        Eduardo Ferrer Mac-Gregor Poisot</w:t>
      </w:r>
    </w:p>
    <w:p w14:paraId="616FF237" w14:textId="77777777" w:rsidR="0097028F" w:rsidRPr="00A95C72" w:rsidRDefault="0097028F" w:rsidP="0097028F">
      <w:pPr>
        <w:rPr>
          <w:rFonts w:ascii="Verdana" w:hAnsi="Verdana"/>
          <w:sz w:val="20"/>
          <w:szCs w:val="20"/>
          <w:lang w:val="pt-BR"/>
        </w:rPr>
      </w:pPr>
      <w:r w:rsidRPr="00A95C72">
        <w:rPr>
          <w:rFonts w:ascii="Verdana" w:hAnsi="Verdana"/>
          <w:sz w:val="20"/>
          <w:szCs w:val="20"/>
          <w:lang w:val="pt-BR"/>
        </w:rPr>
        <w:t xml:space="preserve">       </w:t>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r>
      <w:r w:rsidRPr="00A95C72">
        <w:rPr>
          <w:rFonts w:ascii="Verdana" w:hAnsi="Verdana"/>
          <w:sz w:val="20"/>
          <w:szCs w:val="20"/>
          <w:lang w:val="pt-BR"/>
        </w:rPr>
        <w:tab/>
        <w:t xml:space="preserve">Presidente </w:t>
      </w:r>
    </w:p>
    <w:p w14:paraId="1EAC04AB" w14:textId="77777777" w:rsidR="0097028F" w:rsidRPr="00A95C72" w:rsidRDefault="0097028F" w:rsidP="0097028F">
      <w:pPr>
        <w:ind w:firstLine="720"/>
        <w:jc w:val="center"/>
        <w:rPr>
          <w:rFonts w:ascii="Verdana" w:hAnsi="Verdana"/>
          <w:sz w:val="20"/>
          <w:szCs w:val="20"/>
          <w:lang w:val="pt-BR"/>
        </w:rPr>
      </w:pPr>
    </w:p>
    <w:p w14:paraId="483BE20C" w14:textId="77777777" w:rsidR="0097028F" w:rsidRPr="00A95C72" w:rsidRDefault="0097028F" w:rsidP="0097028F">
      <w:pPr>
        <w:jc w:val="both"/>
        <w:rPr>
          <w:rFonts w:ascii="Verdana" w:hAnsi="Verdana"/>
          <w:sz w:val="20"/>
          <w:szCs w:val="20"/>
          <w:lang w:val="pt-BR"/>
        </w:rPr>
      </w:pPr>
    </w:p>
    <w:p w14:paraId="3C5BBC9A" w14:textId="77777777" w:rsidR="001F0300" w:rsidRDefault="001F0300" w:rsidP="0097028F">
      <w:pPr>
        <w:jc w:val="both"/>
        <w:rPr>
          <w:rFonts w:ascii="Verdana" w:hAnsi="Verdana"/>
          <w:sz w:val="20"/>
          <w:szCs w:val="20"/>
          <w:lang w:val="pt-BR"/>
        </w:rPr>
      </w:pPr>
    </w:p>
    <w:p w14:paraId="265F3C69" w14:textId="77777777" w:rsidR="0097028F" w:rsidRPr="00A95C72" w:rsidRDefault="0097028F" w:rsidP="0097028F">
      <w:pPr>
        <w:jc w:val="both"/>
        <w:rPr>
          <w:rFonts w:ascii="Verdana" w:hAnsi="Verdana"/>
          <w:sz w:val="20"/>
          <w:szCs w:val="20"/>
          <w:lang w:val="pt-BR"/>
        </w:rPr>
      </w:pPr>
      <w:r w:rsidRPr="00A95C72">
        <w:rPr>
          <w:rFonts w:ascii="Verdana" w:hAnsi="Verdana"/>
          <w:sz w:val="20"/>
          <w:szCs w:val="20"/>
          <w:lang w:val="pt-BR"/>
        </w:rPr>
        <w:t>Pablo Saavedra Alessandri</w:t>
      </w:r>
    </w:p>
    <w:p w14:paraId="2E9D412B" w14:textId="77777777" w:rsidR="008F0B89" w:rsidRPr="001F0300" w:rsidRDefault="0097028F" w:rsidP="00451E94">
      <w:pPr>
        <w:rPr>
          <w:rFonts w:ascii="Verdana" w:hAnsi="Verdana"/>
          <w:sz w:val="20"/>
          <w:szCs w:val="20"/>
        </w:rPr>
      </w:pPr>
      <w:r w:rsidRPr="00A95C72">
        <w:rPr>
          <w:rFonts w:ascii="Verdana" w:hAnsi="Verdana"/>
          <w:sz w:val="20"/>
          <w:szCs w:val="20"/>
          <w:lang w:val="pt-BR"/>
        </w:rPr>
        <w:tab/>
        <w:t xml:space="preserve"> </w:t>
      </w:r>
      <w:r w:rsidRPr="00A95C72">
        <w:rPr>
          <w:rFonts w:ascii="Verdana" w:hAnsi="Verdana"/>
          <w:sz w:val="20"/>
          <w:szCs w:val="20"/>
        </w:rPr>
        <w:t xml:space="preserve"> Secretario</w:t>
      </w:r>
    </w:p>
    <w:sectPr w:rsidR="008F0B89" w:rsidRPr="001F0300" w:rsidSect="00AA549A">
      <w:headerReference w:type="even" r:id="rId8"/>
      <w:headerReference w:type="default" r:id="rId9"/>
      <w:footerReference w:type="even" r:id="rId10"/>
      <w:footerReference w:type="default" r:id="rId11"/>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D6F3" w14:textId="77777777" w:rsidR="00F53EFD" w:rsidRDefault="00F53EFD" w:rsidP="0097028F">
      <w:r>
        <w:separator/>
      </w:r>
    </w:p>
  </w:endnote>
  <w:endnote w:type="continuationSeparator" w:id="0">
    <w:p w14:paraId="3AE5CF5F" w14:textId="77777777" w:rsidR="00F53EFD" w:rsidRDefault="00F53EFD" w:rsidP="009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931B" w14:textId="77777777" w:rsidR="005630CB" w:rsidRDefault="00CE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1F6155" w14:textId="77777777" w:rsidR="005630CB" w:rsidRDefault="00BC17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7308" w14:textId="77777777" w:rsidR="005630CB" w:rsidRDefault="00BC17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94B9" w14:textId="77777777" w:rsidR="00F53EFD" w:rsidRDefault="00F53EFD" w:rsidP="0097028F">
      <w:r>
        <w:separator/>
      </w:r>
    </w:p>
  </w:footnote>
  <w:footnote w:type="continuationSeparator" w:id="0">
    <w:p w14:paraId="619533DB" w14:textId="77777777" w:rsidR="00F53EFD" w:rsidRDefault="00F53EFD" w:rsidP="0097028F">
      <w:r>
        <w:continuationSeparator/>
      </w:r>
    </w:p>
  </w:footnote>
  <w:footnote w:id="1">
    <w:p w14:paraId="09B3F4DE" w14:textId="77777777" w:rsidR="0097028F" w:rsidRPr="005704D0" w:rsidRDefault="0097028F" w:rsidP="0097028F">
      <w:pPr>
        <w:pStyle w:val="Textonotapie"/>
        <w:tabs>
          <w:tab w:val="left" w:pos="567"/>
        </w:tabs>
        <w:jc w:val="both"/>
        <w:rPr>
          <w:rFonts w:ascii="Verdana" w:hAnsi="Verdana"/>
          <w:sz w:val="16"/>
          <w:szCs w:val="16"/>
        </w:rPr>
      </w:pPr>
      <w:r w:rsidRPr="005704D0">
        <w:rPr>
          <w:rStyle w:val="Refdenotaalpie"/>
          <w:rFonts w:ascii="Verdana" w:hAnsi="Verdana"/>
          <w:sz w:val="16"/>
          <w:szCs w:val="16"/>
        </w:rPr>
        <w:footnoteRef/>
      </w:r>
      <w:r w:rsidRPr="005704D0">
        <w:rPr>
          <w:rFonts w:ascii="Verdana" w:hAnsi="Verdana"/>
          <w:sz w:val="16"/>
          <w:szCs w:val="16"/>
        </w:rPr>
        <w:t xml:space="preserve"> </w:t>
      </w:r>
      <w:r w:rsidRPr="005704D0">
        <w:rPr>
          <w:rFonts w:ascii="Verdana" w:hAnsi="Verdana"/>
          <w:sz w:val="16"/>
          <w:szCs w:val="16"/>
        </w:rPr>
        <w:tab/>
        <w:t xml:space="preserve">En </w:t>
      </w:r>
      <w:r w:rsidRPr="005704D0">
        <w:rPr>
          <w:rFonts w:ascii="Verdana" w:hAnsi="Verdana"/>
          <w:sz w:val="16"/>
          <w:szCs w:val="16"/>
          <w:lang w:val="es-ES"/>
        </w:rPr>
        <w:t xml:space="preserve">la actualidad, el señor Oscar Muelle Flores tiene 82 años. </w:t>
      </w:r>
      <w:r w:rsidRPr="005704D0">
        <w:rPr>
          <w:rFonts w:ascii="Verdana" w:hAnsi="Verdana"/>
          <w:i/>
          <w:sz w:val="16"/>
          <w:szCs w:val="16"/>
          <w:lang w:val="es-VE"/>
        </w:rPr>
        <w:t>Cfr</w:t>
      </w:r>
      <w:r w:rsidRPr="005704D0">
        <w:rPr>
          <w:rFonts w:ascii="Verdana" w:hAnsi="Verdana"/>
          <w:sz w:val="16"/>
          <w:szCs w:val="16"/>
          <w:lang w:val="es-VE"/>
        </w:rPr>
        <w:t xml:space="preserve">. </w:t>
      </w:r>
      <w:r w:rsidRPr="005704D0">
        <w:rPr>
          <w:rStyle w:val="Textoennegrita"/>
          <w:rFonts w:ascii="Verdana" w:hAnsi="Verdana"/>
          <w:b w:val="0"/>
          <w:sz w:val="16"/>
          <w:szCs w:val="16"/>
          <w:shd w:val="clear" w:color="auto" w:fill="FFFFFF"/>
        </w:rPr>
        <w:t>Ayuda memoria, documento el cual indica que Oscar Rubén Muelle Flores nació el 25 de marzo de 1936, y d</w:t>
      </w:r>
      <w:r w:rsidRPr="005704D0">
        <w:rPr>
          <w:rFonts w:ascii="Verdana" w:hAnsi="Verdana"/>
          <w:sz w:val="16"/>
          <w:szCs w:val="16"/>
        </w:rPr>
        <w:t>eclaración rendida ante fedatario público por Oscar Muelle Flores el 25 de octubre de 2017 (expediente de prueba, tomo IV, anexos 23 y 24, folios 1520 y 1612, respectivamente).</w:t>
      </w:r>
    </w:p>
  </w:footnote>
  <w:footnote w:id="2">
    <w:p w14:paraId="57C58F3C" w14:textId="77777777" w:rsidR="0097028F" w:rsidRPr="005704D0" w:rsidRDefault="0097028F" w:rsidP="0097028F">
      <w:pPr>
        <w:pStyle w:val="Textonotapie"/>
        <w:tabs>
          <w:tab w:val="left" w:pos="567"/>
        </w:tabs>
        <w:jc w:val="both"/>
        <w:rPr>
          <w:rFonts w:ascii="Verdana" w:hAnsi="Verdana"/>
          <w:sz w:val="16"/>
          <w:szCs w:val="16"/>
        </w:rPr>
      </w:pPr>
      <w:r w:rsidRPr="005704D0">
        <w:rPr>
          <w:rStyle w:val="Refdenotaalpie"/>
          <w:rFonts w:ascii="Verdana" w:hAnsi="Verdana"/>
          <w:sz w:val="16"/>
          <w:szCs w:val="16"/>
        </w:rPr>
        <w:footnoteRef/>
      </w:r>
      <w:r w:rsidRPr="005704D0">
        <w:rPr>
          <w:rFonts w:ascii="Verdana" w:hAnsi="Verdana"/>
          <w:sz w:val="16"/>
          <w:szCs w:val="16"/>
        </w:rPr>
        <w:t xml:space="preserve"> </w:t>
      </w:r>
      <w:r w:rsidRPr="005704D0">
        <w:rPr>
          <w:rFonts w:ascii="Verdana" w:hAnsi="Verdana"/>
          <w:sz w:val="16"/>
          <w:szCs w:val="16"/>
        </w:rPr>
        <w:tab/>
        <w:t>Este monto, de acuerdo al tipo de cambio actual, equivale a $240 (doscientos cuarenta dólares de los Estados Unidos de América), aproximadamente.</w:t>
      </w:r>
    </w:p>
  </w:footnote>
  <w:footnote w:id="3">
    <w:p w14:paraId="5114DF8A" w14:textId="2D0D1EC4" w:rsidR="00791CCA" w:rsidRPr="001D168C" w:rsidRDefault="00791CCA" w:rsidP="001D168C">
      <w:pPr>
        <w:pStyle w:val="Textonotapie"/>
        <w:tabs>
          <w:tab w:val="left" w:pos="540"/>
          <w:tab w:val="left" w:pos="567"/>
        </w:tabs>
        <w:spacing w:after="120"/>
        <w:jc w:val="both"/>
        <w:rPr>
          <w:rFonts w:ascii="Verdana" w:hAnsi="Verdana"/>
          <w:sz w:val="16"/>
          <w:szCs w:val="16"/>
        </w:rPr>
      </w:pPr>
      <w:r>
        <w:rPr>
          <w:rStyle w:val="Refdenotaalpie"/>
          <w:rFonts w:ascii="Verdana" w:hAnsi="Verdana"/>
          <w:sz w:val="16"/>
          <w:szCs w:val="16"/>
        </w:rPr>
        <w:footnoteRef/>
      </w:r>
      <w:r>
        <w:rPr>
          <w:rFonts w:ascii="Verdana" w:hAnsi="Verdana"/>
          <w:i/>
          <w:sz w:val="16"/>
          <w:szCs w:val="16"/>
        </w:rPr>
        <w:t xml:space="preserve"> Cfr. </w:t>
      </w:r>
      <w:r w:rsidRPr="008E2965">
        <w:rPr>
          <w:rFonts w:ascii="Verdana" w:hAnsi="Verdana"/>
          <w:i/>
          <w:sz w:val="16"/>
          <w:szCs w:val="16"/>
        </w:rPr>
        <w:t xml:space="preserve">Caso </w:t>
      </w:r>
      <w:r w:rsidR="008E2965" w:rsidRPr="00E7357B">
        <w:rPr>
          <w:rFonts w:ascii="Verdana" w:hAnsi="Verdana"/>
          <w:i/>
          <w:sz w:val="16"/>
          <w:szCs w:val="16"/>
        </w:rPr>
        <w:t>Digna Ochoa y Plácido y Otros Vs.</w:t>
      </w:r>
      <w:r w:rsidR="008E2965" w:rsidRPr="00E7357B">
        <w:rPr>
          <w:i/>
          <w:sz w:val="24"/>
          <w:lang w:eastAsia="es-ES"/>
        </w:rPr>
        <w:t xml:space="preserve"> </w:t>
      </w:r>
      <w:r w:rsidR="008E2965" w:rsidRPr="00E7357B">
        <w:rPr>
          <w:rFonts w:ascii="Verdana" w:hAnsi="Verdana"/>
          <w:i/>
          <w:sz w:val="16"/>
          <w:szCs w:val="16"/>
          <w:lang w:val="es-ES"/>
        </w:rPr>
        <w:t>Los Estados Unidos Mexicanos</w:t>
      </w:r>
      <w:r w:rsidR="001D168C">
        <w:rPr>
          <w:rFonts w:ascii="Verdana" w:hAnsi="Verdana"/>
          <w:sz w:val="16"/>
          <w:szCs w:val="16"/>
          <w:lang w:val="es-ES"/>
        </w:rPr>
        <w:t>.</w:t>
      </w:r>
      <w:r w:rsidR="001D168C" w:rsidRPr="001D168C">
        <w:rPr>
          <w:rFonts w:ascii="Verdana" w:hAnsi="Verdana"/>
          <w:b/>
          <w:caps/>
        </w:rPr>
        <w:t xml:space="preserve"> </w:t>
      </w:r>
      <w:r w:rsidR="001D168C" w:rsidRPr="00E7357B">
        <w:rPr>
          <w:rFonts w:ascii="Verdana" w:hAnsi="Verdana"/>
          <w:sz w:val="16"/>
          <w:szCs w:val="16"/>
        </w:rPr>
        <w:t xml:space="preserve">Medidas Provisionales solicitadas por </w:t>
      </w:r>
      <w:r w:rsidR="001D168C" w:rsidRPr="00E7357B">
        <w:rPr>
          <w:rFonts w:ascii="Verdana" w:hAnsi="Verdana"/>
          <w:sz w:val="16"/>
          <w:szCs w:val="16"/>
          <w:lang w:val="es-ES"/>
        </w:rPr>
        <w:t>la Comisión Interamericana de Derechos Humanos</w:t>
      </w:r>
      <w:r w:rsidR="001D168C">
        <w:rPr>
          <w:rFonts w:ascii="Verdana" w:hAnsi="Verdana"/>
          <w:sz w:val="16"/>
          <w:szCs w:val="16"/>
          <w:lang w:val="es-ES"/>
        </w:rPr>
        <w:t>.</w:t>
      </w:r>
      <w:r w:rsidR="008E2965" w:rsidRPr="00E7357B">
        <w:rPr>
          <w:rFonts w:ascii="Verdana" w:hAnsi="Verdana"/>
          <w:sz w:val="16"/>
          <w:szCs w:val="16"/>
          <w:lang w:val="es-ES"/>
        </w:rPr>
        <w:t xml:space="preserve"> Resolución de la Corte</w:t>
      </w:r>
      <w:r w:rsidR="001D168C" w:rsidRPr="001D168C">
        <w:rPr>
          <w:rFonts w:ascii="Verdana" w:hAnsi="Verdana"/>
          <w:sz w:val="16"/>
          <w:szCs w:val="16"/>
          <w:lang w:val="es-ES"/>
        </w:rPr>
        <w:t xml:space="preserve"> Interamericana de Derechos Humanos</w:t>
      </w:r>
      <w:r w:rsidR="008E2965" w:rsidRPr="00E7357B">
        <w:rPr>
          <w:rFonts w:ascii="Verdana" w:hAnsi="Verdana"/>
          <w:sz w:val="16"/>
          <w:szCs w:val="16"/>
          <w:lang w:val="es-ES"/>
        </w:rPr>
        <w:t xml:space="preserve"> de 17 de </w:t>
      </w:r>
      <w:r w:rsidR="001D168C">
        <w:rPr>
          <w:rFonts w:ascii="Verdana" w:hAnsi="Verdana"/>
          <w:sz w:val="16"/>
          <w:szCs w:val="16"/>
          <w:lang w:val="es-ES"/>
        </w:rPr>
        <w:t>n</w:t>
      </w:r>
      <w:r w:rsidR="008E2965" w:rsidRPr="00E7357B">
        <w:rPr>
          <w:rFonts w:ascii="Verdana" w:hAnsi="Verdana"/>
          <w:sz w:val="16"/>
          <w:szCs w:val="16"/>
          <w:lang w:val="es-ES"/>
        </w:rPr>
        <w:t xml:space="preserve">oviembre de 1999, Considerando 7 </w:t>
      </w:r>
      <w:r w:rsidR="008E2965">
        <w:rPr>
          <w:rFonts w:ascii="Verdana" w:hAnsi="Verdana"/>
          <w:i/>
          <w:sz w:val="16"/>
          <w:szCs w:val="16"/>
          <w:lang w:val="es-ES"/>
        </w:rPr>
        <w:t>y</w:t>
      </w:r>
      <w:r w:rsidR="008E2965" w:rsidRPr="008E2965" w:rsidDel="008E2965">
        <w:rPr>
          <w:rFonts w:ascii="Verdana" w:hAnsi="Verdana"/>
          <w:i/>
          <w:sz w:val="16"/>
          <w:szCs w:val="16"/>
          <w:lang w:val="es-ES"/>
        </w:rPr>
        <w:t xml:space="preserve"> </w:t>
      </w:r>
      <w:r w:rsidR="008E2965">
        <w:rPr>
          <w:rFonts w:ascii="Verdana" w:hAnsi="Verdana"/>
          <w:i/>
          <w:sz w:val="16"/>
          <w:szCs w:val="16"/>
          <w:lang w:val="es-ES"/>
        </w:rPr>
        <w:t>Caso</w:t>
      </w:r>
      <w:r w:rsidR="008E2965" w:rsidRPr="008E2965">
        <w:t xml:space="preserve"> </w:t>
      </w:r>
      <w:proofErr w:type="spellStart"/>
      <w:r w:rsidR="001D168C">
        <w:rPr>
          <w:rFonts w:ascii="Verdana" w:hAnsi="Verdana"/>
          <w:i/>
          <w:sz w:val="16"/>
          <w:szCs w:val="16"/>
          <w:lang w:val="es-ES"/>
        </w:rPr>
        <w:t>Coc</w:t>
      </w:r>
      <w:proofErr w:type="spellEnd"/>
      <w:r w:rsidR="001D168C">
        <w:rPr>
          <w:rFonts w:ascii="Verdana" w:hAnsi="Verdana"/>
          <w:i/>
          <w:sz w:val="16"/>
          <w:szCs w:val="16"/>
          <w:lang w:val="es-ES"/>
        </w:rPr>
        <w:t xml:space="preserve"> Max Y Otros Vs. Guatemala.</w:t>
      </w:r>
      <w:r w:rsidR="001D168C" w:rsidRPr="001D168C">
        <w:t xml:space="preserve"> </w:t>
      </w:r>
      <w:r w:rsidR="001D168C" w:rsidRPr="00E7357B">
        <w:rPr>
          <w:rFonts w:ascii="Verdana" w:hAnsi="Verdana"/>
          <w:sz w:val="16"/>
          <w:szCs w:val="16"/>
          <w:lang w:val="es-ES"/>
        </w:rPr>
        <w:t xml:space="preserve">Adopción </w:t>
      </w:r>
      <w:r w:rsidR="001D168C">
        <w:rPr>
          <w:rFonts w:ascii="Verdana" w:hAnsi="Verdana"/>
          <w:sz w:val="16"/>
          <w:szCs w:val="16"/>
          <w:lang w:val="es-ES"/>
        </w:rPr>
        <w:t>d</w:t>
      </w:r>
      <w:r w:rsidR="001D168C" w:rsidRPr="00E7357B">
        <w:rPr>
          <w:rFonts w:ascii="Verdana" w:hAnsi="Verdana"/>
          <w:sz w:val="16"/>
          <w:szCs w:val="16"/>
          <w:lang w:val="es-ES"/>
        </w:rPr>
        <w:t>e Medidas Provisionales</w:t>
      </w:r>
      <w:r w:rsidR="001D168C">
        <w:rPr>
          <w:rFonts w:ascii="Verdana" w:hAnsi="Verdana"/>
          <w:sz w:val="16"/>
          <w:szCs w:val="16"/>
          <w:lang w:val="es-ES"/>
        </w:rPr>
        <w:t>.</w:t>
      </w:r>
      <w:r w:rsidR="001D168C">
        <w:rPr>
          <w:rFonts w:ascii="Verdana" w:hAnsi="Verdana"/>
          <w:i/>
          <w:sz w:val="16"/>
          <w:szCs w:val="16"/>
          <w:lang w:val="es-ES"/>
        </w:rPr>
        <w:t xml:space="preserve"> </w:t>
      </w:r>
      <w:r w:rsidR="008E2965" w:rsidRPr="00E7357B">
        <w:rPr>
          <w:rFonts w:ascii="Verdana" w:hAnsi="Verdana"/>
          <w:sz w:val="16"/>
          <w:szCs w:val="16"/>
          <w:lang w:val="es-ES"/>
        </w:rPr>
        <w:t xml:space="preserve">Resolución de la </w:t>
      </w:r>
      <w:r w:rsidR="001D168C" w:rsidRPr="001D168C">
        <w:rPr>
          <w:rFonts w:ascii="Verdana" w:hAnsi="Verdana"/>
          <w:sz w:val="16"/>
          <w:szCs w:val="16"/>
          <w:lang w:val="es-ES"/>
        </w:rPr>
        <w:t xml:space="preserve">Corte Interamericana de Derechos Humanos de </w:t>
      </w:r>
      <w:r w:rsidR="001D168C" w:rsidRPr="00E7357B">
        <w:rPr>
          <w:rFonts w:ascii="Verdana" w:hAnsi="Verdana"/>
          <w:sz w:val="16"/>
          <w:szCs w:val="16"/>
          <w:lang w:val="es-ES"/>
        </w:rPr>
        <w:t xml:space="preserve">8 de febrero de 2018, Considerando 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CDAE" w14:textId="77777777" w:rsidR="005630CB" w:rsidRDefault="00CE2F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284F93" w14:textId="77777777" w:rsidR="005630CB" w:rsidRDefault="00BC17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2EE2" w14:textId="77777777" w:rsidR="005630CB" w:rsidRPr="00B6639D" w:rsidRDefault="00CE2F11" w:rsidP="00D957DF">
    <w:pPr>
      <w:pStyle w:val="Encabezado"/>
      <w:framePr w:wrap="around" w:vAnchor="text" w:hAnchor="page" w:x="6022" w:y="-14"/>
      <w:rPr>
        <w:rStyle w:val="Nmerodepgina"/>
        <w:rFonts w:ascii="Verdana" w:hAnsi="Verdana"/>
        <w:sz w:val="20"/>
      </w:rPr>
    </w:pPr>
    <w:r w:rsidRPr="00B6639D">
      <w:rPr>
        <w:rStyle w:val="Nmerodepgina"/>
        <w:rFonts w:ascii="Verdana" w:hAnsi="Verdana"/>
        <w:sz w:val="20"/>
      </w:rPr>
      <w:t>-</w:t>
    </w:r>
    <w:r w:rsidRPr="00B6639D">
      <w:rPr>
        <w:rStyle w:val="Nmerodepgina"/>
        <w:sz w:val="20"/>
      </w:rPr>
      <w:fldChar w:fldCharType="begin"/>
    </w:r>
    <w:r w:rsidRPr="00B6639D">
      <w:rPr>
        <w:rStyle w:val="Nmerodepgina"/>
        <w:rFonts w:ascii="Verdana" w:hAnsi="Verdana"/>
        <w:sz w:val="20"/>
      </w:rPr>
      <w:instrText xml:space="preserve">PAGE  </w:instrText>
    </w:r>
    <w:r w:rsidRPr="00B6639D">
      <w:rPr>
        <w:rStyle w:val="Nmerodepgina"/>
        <w:sz w:val="20"/>
      </w:rPr>
      <w:fldChar w:fldCharType="separate"/>
    </w:r>
    <w:r w:rsidR="00AA549A">
      <w:rPr>
        <w:rStyle w:val="Nmerodepgina"/>
        <w:rFonts w:ascii="Verdana" w:hAnsi="Verdana"/>
        <w:noProof/>
        <w:sz w:val="20"/>
      </w:rPr>
      <w:t>4</w:t>
    </w:r>
    <w:r w:rsidRPr="00B6639D">
      <w:rPr>
        <w:rStyle w:val="Nmerodepgina"/>
        <w:sz w:val="20"/>
      </w:rPr>
      <w:fldChar w:fldCharType="end"/>
    </w:r>
    <w:r w:rsidRPr="00B6639D">
      <w:rPr>
        <w:rStyle w:val="Nmerodepgina"/>
        <w:rFonts w:ascii="Verdana" w:hAnsi="Verdana"/>
        <w:sz w:val="20"/>
      </w:rPr>
      <w:t>-</w:t>
    </w:r>
  </w:p>
  <w:p w14:paraId="0CFA6507" w14:textId="77777777" w:rsidR="005630CB" w:rsidRDefault="00BC1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B4"/>
    <w:multiLevelType w:val="hybridMultilevel"/>
    <w:tmpl w:val="2F38F1B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414407"/>
    <w:multiLevelType w:val="hybridMultilevel"/>
    <w:tmpl w:val="E54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E4C4934"/>
    <w:multiLevelType w:val="hybridMultilevel"/>
    <w:tmpl w:val="66402418"/>
    <w:lvl w:ilvl="0" w:tplc="3580CA10">
      <w:start w:val="1"/>
      <w:numFmt w:val="decimal"/>
      <w:lvlText w:val="%1."/>
      <w:lvlJc w:val="left"/>
      <w:pPr>
        <w:ind w:left="1065" w:hanging="7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010E1"/>
    <w:multiLevelType w:val="hybridMultilevel"/>
    <w:tmpl w:val="D4DA6042"/>
    <w:lvl w:ilvl="0" w:tplc="F172E020">
      <w:start w:val="1"/>
      <w:numFmt w:val="decimal"/>
      <w:lvlText w:val="%1."/>
      <w:lvlJc w:val="left"/>
      <w:pPr>
        <w:tabs>
          <w:tab w:val="num" w:pos="360"/>
        </w:tabs>
        <w:ind w:left="360" w:hanging="360"/>
      </w:pPr>
      <w:rPr>
        <w:rFonts w:ascii="Verdana" w:hAnsi="Verdana" w:hint="default"/>
        <w:b w:val="0"/>
        <w:sz w:val="20"/>
      </w:rPr>
    </w:lvl>
    <w:lvl w:ilvl="1" w:tplc="0409000F">
      <w:start w:val="1"/>
      <w:numFmt w:val="decimal"/>
      <w:lvlText w:val="%2."/>
      <w:lvlJc w:val="left"/>
      <w:pPr>
        <w:tabs>
          <w:tab w:val="num" w:pos="1440"/>
        </w:tabs>
        <w:ind w:left="1440" w:hanging="360"/>
      </w:pPr>
      <w:rPr>
        <w:rFonts w:hint="default"/>
        <w:b w:val="0"/>
      </w:rPr>
    </w:lvl>
    <w:lvl w:ilvl="2" w:tplc="1C68202E">
      <w:start w:val="1"/>
      <w:numFmt w:val="lowerLetter"/>
      <w:lvlText w:val="%3."/>
      <w:lvlJc w:val="left"/>
      <w:pPr>
        <w:tabs>
          <w:tab w:val="num" w:pos="2340"/>
        </w:tabs>
        <w:ind w:left="2340" w:hanging="360"/>
      </w:pPr>
      <w:rPr>
        <w:rFonts w:ascii="Verdana" w:eastAsia="Calibri" w:hAnsi="Verdana" w:cs="Times New Roman"/>
      </w:rPr>
    </w:lvl>
    <w:lvl w:ilvl="3" w:tplc="A9E0C762">
      <w:start w:val="1"/>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6" w15:restartNumberingAfterBreak="0">
    <w:nsid w:val="7E8E6586"/>
    <w:multiLevelType w:val="hybridMultilevel"/>
    <w:tmpl w:val="1EE8E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28F"/>
    <w:rsid w:val="00004CB7"/>
    <w:rsid w:val="000312D2"/>
    <w:rsid w:val="0008089D"/>
    <w:rsid w:val="00083816"/>
    <w:rsid w:val="00097C2D"/>
    <w:rsid w:val="000D6257"/>
    <w:rsid w:val="0010235A"/>
    <w:rsid w:val="00105590"/>
    <w:rsid w:val="00133B9E"/>
    <w:rsid w:val="001643F8"/>
    <w:rsid w:val="00167506"/>
    <w:rsid w:val="001D168C"/>
    <w:rsid w:val="001E36B3"/>
    <w:rsid w:val="001F0300"/>
    <w:rsid w:val="002434B3"/>
    <w:rsid w:val="002E046B"/>
    <w:rsid w:val="002E0FC5"/>
    <w:rsid w:val="002E4F42"/>
    <w:rsid w:val="003530C3"/>
    <w:rsid w:val="00362312"/>
    <w:rsid w:val="003B6B29"/>
    <w:rsid w:val="003C21EA"/>
    <w:rsid w:val="00404991"/>
    <w:rsid w:val="00407382"/>
    <w:rsid w:val="00416D71"/>
    <w:rsid w:val="00451E94"/>
    <w:rsid w:val="005212B8"/>
    <w:rsid w:val="00561DCD"/>
    <w:rsid w:val="00567C52"/>
    <w:rsid w:val="005704D0"/>
    <w:rsid w:val="00573FB4"/>
    <w:rsid w:val="005B536B"/>
    <w:rsid w:val="005E1776"/>
    <w:rsid w:val="00606A32"/>
    <w:rsid w:val="00613FE7"/>
    <w:rsid w:val="00636DE4"/>
    <w:rsid w:val="006600AE"/>
    <w:rsid w:val="0066178A"/>
    <w:rsid w:val="00716375"/>
    <w:rsid w:val="0073440E"/>
    <w:rsid w:val="0075135D"/>
    <w:rsid w:val="00760C63"/>
    <w:rsid w:val="00761A34"/>
    <w:rsid w:val="00775283"/>
    <w:rsid w:val="00791CCA"/>
    <w:rsid w:val="00793BA0"/>
    <w:rsid w:val="007D66A1"/>
    <w:rsid w:val="00807B28"/>
    <w:rsid w:val="008319D3"/>
    <w:rsid w:val="00845E3A"/>
    <w:rsid w:val="00872F7A"/>
    <w:rsid w:val="00892AAF"/>
    <w:rsid w:val="00895662"/>
    <w:rsid w:val="008A2A32"/>
    <w:rsid w:val="008B269F"/>
    <w:rsid w:val="008E2965"/>
    <w:rsid w:val="00927F6F"/>
    <w:rsid w:val="0097028F"/>
    <w:rsid w:val="009F1651"/>
    <w:rsid w:val="00A35F1C"/>
    <w:rsid w:val="00A54B37"/>
    <w:rsid w:val="00A9103A"/>
    <w:rsid w:val="00A95C72"/>
    <w:rsid w:val="00AA549A"/>
    <w:rsid w:val="00AC6F2D"/>
    <w:rsid w:val="00AC77BD"/>
    <w:rsid w:val="00AD0B5F"/>
    <w:rsid w:val="00AD2E44"/>
    <w:rsid w:val="00AE343E"/>
    <w:rsid w:val="00B30BAC"/>
    <w:rsid w:val="00B44CF2"/>
    <w:rsid w:val="00B65E18"/>
    <w:rsid w:val="00BC17CC"/>
    <w:rsid w:val="00BD439D"/>
    <w:rsid w:val="00BD5B1E"/>
    <w:rsid w:val="00C0179B"/>
    <w:rsid w:val="00C60E7D"/>
    <w:rsid w:val="00C77551"/>
    <w:rsid w:val="00CE2F11"/>
    <w:rsid w:val="00DC3843"/>
    <w:rsid w:val="00E7357B"/>
    <w:rsid w:val="00F53EFD"/>
    <w:rsid w:val="00F54ADF"/>
    <w:rsid w:val="00FA3D47"/>
    <w:rsid w:val="00FF109A"/>
    <w:rsid w:val="00FF37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15A"/>
  <w15:docId w15:val="{680D5412-CF3A-4DD9-8C2B-98BA4EB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028F"/>
    <w:pPr>
      <w:keepNext/>
      <w:jc w:val="center"/>
      <w:outlineLvl w:val="0"/>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028F"/>
    <w:rPr>
      <w:rFonts w:ascii="Verdana" w:eastAsia="Times New Roman" w:hAnsi="Verdana" w:cs="Times New Roman"/>
      <w:b/>
      <w:bCs/>
      <w:sz w:val="20"/>
      <w:szCs w:val="24"/>
      <w:lang w:val="es-ES" w:eastAsia="es-ES"/>
    </w:rPr>
  </w:style>
  <w:style w:type="paragraph" w:styleId="Encabezado">
    <w:name w:val="header"/>
    <w:basedOn w:val="Normal"/>
    <w:link w:val="EncabezadoCar"/>
    <w:rsid w:val="0097028F"/>
    <w:pPr>
      <w:tabs>
        <w:tab w:val="center" w:pos="4320"/>
        <w:tab w:val="right" w:pos="8640"/>
      </w:tabs>
    </w:pPr>
    <w:rPr>
      <w:rFonts w:ascii="Garamond" w:hAnsi="Garamond"/>
      <w:szCs w:val="20"/>
      <w:lang w:val="es-ES_tradnl" w:eastAsia="en-US"/>
    </w:rPr>
  </w:style>
  <w:style w:type="character" w:customStyle="1" w:styleId="EncabezadoCar">
    <w:name w:val="Encabezado Car"/>
    <w:basedOn w:val="Fuentedeprrafopredeter"/>
    <w:link w:val="Encabezado"/>
    <w:rsid w:val="0097028F"/>
    <w:rPr>
      <w:rFonts w:ascii="Garamond" w:eastAsia="Times New Roman" w:hAnsi="Garamond" w:cs="Times New Roman"/>
      <w:sz w:val="24"/>
      <w:szCs w:val="20"/>
      <w:lang w:val="es-ES_tradnl"/>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FA Fu?notente,C,ft"/>
    <w:basedOn w:val="Normal"/>
    <w:link w:val="TextonotapieCar"/>
    <w:qFormat/>
    <w:rsid w:val="0097028F"/>
    <w:rPr>
      <w:rFonts w:ascii="Times" w:hAnsi="Times"/>
      <w:sz w:val="20"/>
      <w:szCs w:val="20"/>
      <w:lang w:val="es-ES_tradnl" w:eastAsia="en-U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qFormat/>
    <w:rsid w:val="0097028F"/>
    <w:rPr>
      <w:rFonts w:ascii="Times" w:eastAsia="Times New Roman" w:hAnsi="Times" w:cs="Times New Roman"/>
      <w:sz w:val="20"/>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ootnote symbol"/>
    <w:link w:val="4GChar"/>
    <w:qFormat/>
    <w:rsid w:val="0097028F"/>
    <w:rPr>
      <w:vertAlign w:val="superscript"/>
    </w:rPr>
  </w:style>
  <w:style w:type="paragraph" w:styleId="Textoindependiente">
    <w:name w:val="Body Text"/>
    <w:basedOn w:val="Normal"/>
    <w:link w:val="TextoindependienteCar"/>
    <w:rsid w:val="0097028F"/>
    <w:pPr>
      <w:widowControl w:val="0"/>
      <w:tabs>
        <w:tab w:val="left" w:pos="360"/>
      </w:tabs>
      <w:ind w:right="720"/>
      <w:jc w:val="both"/>
    </w:pPr>
    <w:rPr>
      <w:rFonts w:ascii="Garamond" w:hAnsi="Garamond"/>
      <w:szCs w:val="20"/>
      <w:lang w:val="es-ES_tradnl" w:eastAsia="en-US"/>
    </w:rPr>
  </w:style>
  <w:style w:type="character" w:customStyle="1" w:styleId="TextoindependienteCar">
    <w:name w:val="Texto independiente Car"/>
    <w:basedOn w:val="Fuentedeprrafopredeter"/>
    <w:link w:val="Textoindependiente"/>
    <w:rsid w:val="0097028F"/>
    <w:rPr>
      <w:rFonts w:ascii="Garamond" w:eastAsia="Times New Roman" w:hAnsi="Garamond" w:cs="Times New Roman"/>
      <w:sz w:val="24"/>
      <w:szCs w:val="20"/>
      <w:lang w:val="es-ES_tradnl"/>
    </w:rPr>
  </w:style>
  <w:style w:type="paragraph" w:customStyle="1" w:styleId="Lneadereferencia">
    <w:name w:val="Línea de referencia"/>
    <w:basedOn w:val="Sangradetextonormal"/>
    <w:rsid w:val="0097028F"/>
    <w:pPr>
      <w:spacing w:after="0"/>
      <w:ind w:left="0"/>
      <w:jc w:val="both"/>
    </w:pPr>
    <w:rPr>
      <w:rFonts w:ascii="Garamond" w:hAnsi="Garamond"/>
      <w:szCs w:val="20"/>
      <w:lang w:val="es-ES_tradnl" w:eastAsia="en-US"/>
    </w:rPr>
  </w:style>
  <w:style w:type="paragraph" w:styleId="Sangra3detindependiente">
    <w:name w:val="Body Text Indent 3"/>
    <w:basedOn w:val="Normal"/>
    <w:link w:val="Sangra3detindependienteCar"/>
    <w:rsid w:val="0097028F"/>
    <w:pPr>
      <w:ind w:left="1440"/>
      <w:jc w:val="both"/>
    </w:pPr>
    <w:rPr>
      <w:rFonts w:ascii="Garamond" w:hAnsi="Garamond"/>
      <w:b/>
      <w:szCs w:val="20"/>
      <w:lang w:val="es-ES_tradnl" w:eastAsia="en-US"/>
    </w:rPr>
  </w:style>
  <w:style w:type="character" w:customStyle="1" w:styleId="Sangra3detindependienteCar">
    <w:name w:val="Sangría 3 de t. independiente Car"/>
    <w:basedOn w:val="Fuentedeprrafopredeter"/>
    <w:link w:val="Sangra3detindependiente"/>
    <w:rsid w:val="0097028F"/>
    <w:rPr>
      <w:rFonts w:ascii="Garamond" w:eastAsia="Times New Roman" w:hAnsi="Garamond" w:cs="Times New Roman"/>
      <w:b/>
      <w:sz w:val="24"/>
      <w:szCs w:val="20"/>
      <w:lang w:val="es-ES_tradnl"/>
    </w:rPr>
  </w:style>
  <w:style w:type="character" w:styleId="nfasis">
    <w:name w:val="Emphasis"/>
    <w:qFormat/>
    <w:rsid w:val="0097028F"/>
    <w:rPr>
      <w:i/>
      <w:iCs/>
    </w:rPr>
  </w:style>
  <w:style w:type="paragraph" w:styleId="Piedepgina">
    <w:name w:val="footer"/>
    <w:basedOn w:val="Normal"/>
    <w:link w:val="PiedepginaCar"/>
    <w:semiHidden/>
    <w:rsid w:val="0097028F"/>
    <w:pPr>
      <w:tabs>
        <w:tab w:val="center" w:pos="4320"/>
        <w:tab w:val="right" w:pos="8640"/>
      </w:tabs>
    </w:pPr>
  </w:style>
  <w:style w:type="character" w:customStyle="1" w:styleId="PiedepginaCar">
    <w:name w:val="Pie de página Car"/>
    <w:basedOn w:val="Fuentedeprrafopredeter"/>
    <w:link w:val="Piedepgina"/>
    <w:semiHidden/>
    <w:rsid w:val="0097028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7028F"/>
  </w:style>
  <w:style w:type="paragraph" w:customStyle="1" w:styleId="Prrafodelista1">
    <w:name w:val="Párrafo de lista1"/>
    <w:aliases w:val="Footnote"/>
    <w:basedOn w:val="Normal"/>
    <w:qFormat/>
    <w:rsid w:val="0097028F"/>
    <w:pPr>
      <w:contextualSpacing/>
    </w:pPr>
    <w:rPr>
      <w:rFonts w:ascii="Verdana" w:eastAsia="Batang" w:hAnsi="Verdana"/>
      <w:sz w:val="16"/>
      <w:szCs w:val="22"/>
      <w:lang w:eastAsia="en-US"/>
    </w:rPr>
  </w:style>
  <w:style w:type="paragraph" w:styleId="Prrafodelista">
    <w:name w:val="List Paragraph"/>
    <w:aliases w:val="Colorful List - Accent 11,List Paragraph2,List Paragraph1,Lista vistosa - Énfasis 11"/>
    <w:basedOn w:val="Normal"/>
    <w:link w:val="PrrafodelistaCar"/>
    <w:uiPriority w:val="34"/>
    <w:qFormat/>
    <w:rsid w:val="0097028F"/>
    <w:pPr>
      <w:ind w:left="720"/>
    </w:pPr>
  </w:style>
  <w:style w:type="character" w:customStyle="1" w:styleId="PrrafodelistaCar">
    <w:name w:val="Párrafo de lista Car"/>
    <w:aliases w:val="Colorful List - Accent 11 Car,List Paragraph2 Car,List Paragraph1 Car,Lista vistosa - Énfasis 11 Car"/>
    <w:link w:val="Prrafodelista"/>
    <w:locked/>
    <w:rsid w:val="0097028F"/>
    <w:rPr>
      <w:rFonts w:ascii="Times New Roman" w:eastAsia="Times New Roman" w:hAnsi="Times New Roman" w:cs="Times New Roman"/>
      <w:sz w:val="24"/>
      <w:szCs w:val="24"/>
      <w:lang w:val="es-ES" w:eastAsia="es-ES"/>
    </w:rPr>
  </w:style>
  <w:style w:type="character" w:styleId="Textoennegrita">
    <w:name w:val="Strong"/>
    <w:aliases w:val="Heading 2.1"/>
    <w:uiPriority w:val="22"/>
    <w:qFormat/>
    <w:rsid w:val="0097028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7028F"/>
    <w:pPr>
      <w:jc w:val="both"/>
    </w:pPr>
    <w:rPr>
      <w:rFonts w:asciiTheme="minorHAnsi" w:eastAsiaTheme="minorHAnsi" w:hAnsiTheme="minorHAnsi" w:cstheme="minorBidi"/>
      <w:sz w:val="22"/>
      <w:szCs w:val="22"/>
      <w:vertAlign w:val="superscript"/>
      <w:lang w:val="es-CR" w:eastAsia="en-US"/>
    </w:rPr>
  </w:style>
  <w:style w:type="paragraph" w:customStyle="1" w:styleId="Default">
    <w:name w:val="Default"/>
    <w:rsid w:val="0097028F"/>
    <w:pPr>
      <w:autoSpaceDE w:val="0"/>
      <w:autoSpaceDN w:val="0"/>
      <w:adjustRightInd w:val="0"/>
      <w:spacing w:after="0" w:line="240" w:lineRule="auto"/>
    </w:pPr>
    <w:rPr>
      <w:rFonts w:ascii="Verdana" w:eastAsia="Calibri" w:hAnsi="Verdana" w:cs="Verdana"/>
      <w:color w:val="000000"/>
      <w:sz w:val="24"/>
      <w:szCs w:val="24"/>
    </w:rPr>
  </w:style>
  <w:style w:type="paragraph" w:styleId="Sangradetextonormal">
    <w:name w:val="Body Text Indent"/>
    <w:basedOn w:val="Normal"/>
    <w:link w:val="SangradetextonormalCar"/>
    <w:uiPriority w:val="99"/>
    <w:semiHidden/>
    <w:unhideWhenUsed/>
    <w:rsid w:val="0097028F"/>
    <w:pPr>
      <w:spacing w:after="120"/>
      <w:ind w:left="283"/>
    </w:pPr>
  </w:style>
  <w:style w:type="character" w:customStyle="1" w:styleId="SangradetextonormalCar">
    <w:name w:val="Sangría de texto normal Car"/>
    <w:basedOn w:val="Fuentedeprrafopredeter"/>
    <w:link w:val="Sangradetextonormal"/>
    <w:uiPriority w:val="99"/>
    <w:semiHidden/>
    <w:rsid w:val="009702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643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3F8"/>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D0B5F"/>
    <w:rPr>
      <w:sz w:val="16"/>
      <w:szCs w:val="16"/>
    </w:rPr>
  </w:style>
  <w:style w:type="paragraph" w:styleId="Textocomentario">
    <w:name w:val="annotation text"/>
    <w:basedOn w:val="Normal"/>
    <w:link w:val="TextocomentarioCar"/>
    <w:uiPriority w:val="99"/>
    <w:semiHidden/>
    <w:unhideWhenUsed/>
    <w:rsid w:val="00AD0B5F"/>
    <w:rPr>
      <w:sz w:val="20"/>
      <w:szCs w:val="20"/>
    </w:rPr>
  </w:style>
  <w:style w:type="character" w:customStyle="1" w:styleId="TextocomentarioCar">
    <w:name w:val="Texto comentario Car"/>
    <w:basedOn w:val="Fuentedeprrafopredeter"/>
    <w:link w:val="Textocomentario"/>
    <w:uiPriority w:val="99"/>
    <w:semiHidden/>
    <w:rsid w:val="00AD0B5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0B5F"/>
    <w:rPr>
      <w:b/>
      <w:bCs/>
    </w:rPr>
  </w:style>
  <w:style w:type="character" w:customStyle="1" w:styleId="AsuntodelcomentarioCar">
    <w:name w:val="Asunto del comentario Car"/>
    <w:basedOn w:val="TextocomentarioCar"/>
    <w:link w:val="Asuntodelcomentario"/>
    <w:uiPriority w:val="99"/>
    <w:semiHidden/>
    <w:rsid w:val="00AD0B5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09823">
      <w:bodyDiv w:val="1"/>
      <w:marLeft w:val="0"/>
      <w:marRight w:val="0"/>
      <w:marTop w:val="0"/>
      <w:marBottom w:val="0"/>
      <w:divBdr>
        <w:top w:val="none" w:sz="0" w:space="0" w:color="auto"/>
        <w:left w:val="none" w:sz="0" w:space="0" w:color="auto"/>
        <w:bottom w:val="none" w:sz="0" w:space="0" w:color="auto"/>
        <w:right w:val="none" w:sz="0" w:space="0" w:color="auto"/>
      </w:divBdr>
    </w:div>
    <w:div w:id="1016418065">
      <w:bodyDiv w:val="1"/>
      <w:marLeft w:val="0"/>
      <w:marRight w:val="0"/>
      <w:marTop w:val="0"/>
      <w:marBottom w:val="0"/>
      <w:divBdr>
        <w:top w:val="none" w:sz="0" w:space="0" w:color="auto"/>
        <w:left w:val="none" w:sz="0" w:space="0" w:color="auto"/>
        <w:bottom w:val="none" w:sz="0" w:space="0" w:color="auto"/>
        <w:right w:val="none" w:sz="0" w:space="0" w:color="auto"/>
      </w:divBdr>
    </w:div>
    <w:div w:id="13174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9402-B099-4A60-ACA8-92AD1AED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8870</Characters>
  <Application>Microsoft Office Word</Application>
  <DocSecurity>4</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2019-03-01T17:37:00Z</cp:lastPrinted>
  <dcterms:created xsi:type="dcterms:W3CDTF">2019-05-03T17:14:00Z</dcterms:created>
  <dcterms:modified xsi:type="dcterms:W3CDTF">2019-05-03T17:14:00Z</dcterms:modified>
</cp:coreProperties>
</file>