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6A" w:rsidRDefault="00BC0F6A" w:rsidP="00BD3334">
      <w:pPr>
        <w:ind w:right="-90"/>
        <w:jc w:val="center"/>
        <w:rPr>
          <w:rFonts w:ascii="Verdana" w:hAnsi="Verdana"/>
          <w:b/>
          <w:sz w:val="20"/>
          <w:szCs w:val="20"/>
          <w:lang w:val="es-CR"/>
        </w:rPr>
      </w:pPr>
    </w:p>
    <w:p w:rsidR="0051676A" w:rsidRDefault="0051676A" w:rsidP="00BD3334">
      <w:pPr>
        <w:ind w:right="-90"/>
        <w:jc w:val="center"/>
        <w:rPr>
          <w:rFonts w:ascii="Verdana" w:hAnsi="Verdana"/>
          <w:b/>
          <w:sz w:val="20"/>
          <w:szCs w:val="20"/>
          <w:lang w:val="es-CR"/>
        </w:rPr>
      </w:pPr>
    </w:p>
    <w:p w:rsidR="0051676A" w:rsidRDefault="0051676A" w:rsidP="00BD3334">
      <w:pPr>
        <w:ind w:right="-90"/>
        <w:jc w:val="center"/>
        <w:rPr>
          <w:rFonts w:ascii="Verdana" w:hAnsi="Verdana"/>
          <w:b/>
          <w:sz w:val="20"/>
          <w:szCs w:val="20"/>
          <w:lang w:val="es-CR"/>
        </w:rPr>
      </w:pPr>
    </w:p>
    <w:p w:rsidR="0051676A" w:rsidRDefault="0051676A" w:rsidP="00BD3334">
      <w:pPr>
        <w:ind w:right="-90"/>
        <w:jc w:val="center"/>
        <w:rPr>
          <w:rFonts w:ascii="Verdana" w:hAnsi="Verdana"/>
          <w:b/>
          <w:sz w:val="20"/>
          <w:szCs w:val="20"/>
          <w:lang w:val="es-CR"/>
        </w:rPr>
      </w:pPr>
    </w:p>
    <w:p w:rsidR="0051676A" w:rsidRDefault="0051676A" w:rsidP="00BD3334">
      <w:pPr>
        <w:ind w:right="-90"/>
        <w:jc w:val="center"/>
        <w:rPr>
          <w:rFonts w:ascii="Verdana" w:hAnsi="Verdana"/>
          <w:b/>
          <w:sz w:val="20"/>
          <w:szCs w:val="20"/>
          <w:lang w:val="es-CR"/>
        </w:rPr>
      </w:pPr>
    </w:p>
    <w:p w:rsidR="0051676A" w:rsidRDefault="0051676A" w:rsidP="00BD3334">
      <w:pPr>
        <w:ind w:right="-90"/>
        <w:jc w:val="center"/>
        <w:rPr>
          <w:rFonts w:ascii="Verdana" w:hAnsi="Verdana"/>
          <w:b/>
          <w:sz w:val="20"/>
          <w:szCs w:val="20"/>
          <w:lang w:val="es-CR"/>
        </w:rPr>
      </w:pPr>
    </w:p>
    <w:p w:rsidR="0051676A" w:rsidRDefault="0051676A" w:rsidP="00BD3334">
      <w:pPr>
        <w:ind w:right="-90"/>
        <w:jc w:val="center"/>
        <w:rPr>
          <w:rFonts w:ascii="Verdana" w:hAnsi="Verdana"/>
          <w:b/>
          <w:sz w:val="20"/>
          <w:szCs w:val="20"/>
          <w:lang w:val="es-CR"/>
        </w:rPr>
      </w:pPr>
    </w:p>
    <w:p w:rsidR="0051676A" w:rsidRPr="00BE210A" w:rsidRDefault="0051676A" w:rsidP="00BD3334">
      <w:pPr>
        <w:ind w:right="-90"/>
        <w:jc w:val="center"/>
        <w:rPr>
          <w:rFonts w:ascii="Verdana" w:hAnsi="Verdana"/>
          <w:b/>
          <w:sz w:val="20"/>
          <w:szCs w:val="20"/>
          <w:lang w:val="es-CR"/>
        </w:rPr>
      </w:pPr>
    </w:p>
    <w:p w:rsidR="00507587" w:rsidRPr="00BE210A" w:rsidRDefault="00507587" w:rsidP="00BD3334">
      <w:pPr>
        <w:ind w:right="-90"/>
        <w:jc w:val="center"/>
        <w:rPr>
          <w:rFonts w:ascii="Verdana" w:hAnsi="Verdana"/>
          <w:b/>
          <w:sz w:val="20"/>
          <w:szCs w:val="20"/>
          <w:lang w:val="es-CR"/>
        </w:rPr>
      </w:pPr>
      <w:r w:rsidRPr="00BE210A">
        <w:rPr>
          <w:rFonts w:ascii="Verdana" w:hAnsi="Verdana"/>
          <w:b/>
          <w:sz w:val="20"/>
          <w:szCs w:val="20"/>
          <w:lang w:val="es-CR"/>
        </w:rPr>
        <w:t>RESOLUCIÓN DE LA</w:t>
      </w:r>
      <w:r w:rsidRPr="00BE210A">
        <w:rPr>
          <w:rFonts w:ascii="Verdana" w:hAnsi="Verdana"/>
          <w:b/>
          <w:sz w:val="20"/>
          <w:szCs w:val="20"/>
          <w:lang w:val="es-CR"/>
        </w:rPr>
        <w:br/>
        <w:t xml:space="preserve"> CORTE INTERAMERICANA DE DERECHOS HUMANOS </w:t>
      </w:r>
    </w:p>
    <w:p w:rsidR="00DC1121" w:rsidRPr="00E50988" w:rsidRDefault="00507587" w:rsidP="00436979">
      <w:pPr>
        <w:jc w:val="center"/>
        <w:rPr>
          <w:rFonts w:eastAsia="Calibri"/>
          <w:lang w:val="es-ES"/>
        </w:rPr>
      </w:pPr>
      <w:r w:rsidRPr="00BE210A">
        <w:rPr>
          <w:rFonts w:ascii="Verdana" w:hAnsi="Verdana"/>
          <w:b/>
          <w:sz w:val="20"/>
          <w:szCs w:val="20"/>
          <w:lang w:val="es-CR"/>
        </w:rPr>
        <w:t xml:space="preserve">DE </w:t>
      </w:r>
      <w:r w:rsidR="00CC5246">
        <w:rPr>
          <w:rFonts w:ascii="Verdana" w:hAnsi="Verdana"/>
          <w:b/>
          <w:sz w:val="20"/>
          <w:szCs w:val="20"/>
          <w:lang w:val="es-CR"/>
        </w:rPr>
        <w:t>22</w:t>
      </w:r>
      <w:r w:rsidRPr="00BE210A">
        <w:rPr>
          <w:rFonts w:ascii="Verdana" w:hAnsi="Verdana"/>
          <w:b/>
          <w:sz w:val="20"/>
          <w:szCs w:val="20"/>
          <w:lang w:val="es-CR"/>
        </w:rPr>
        <w:t xml:space="preserve"> DE </w:t>
      </w:r>
      <w:r w:rsidR="00CC5246">
        <w:rPr>
          <w:rFonts w:ascii="Verdana" w:hAnsi="Verdana"/>
          <w:b/>
          <w:sz w:val="20"/>
          <w:szCs w:val="20"/>
          <w:lang w:val="es-CR"/>
        </w:rPr>
        <w:t>AGOSTO</w:t>
      </w:r>
      <w:r w:rsidR="00DB1DDD">
        <w:rPr>
          <w:rFonts w:ascii="Verdana" w:hAnsi="Verdana"/>
          <w:b/>
          <w:sz w:val="20"/>
          <w:szCs w:val="20"/>
          <w:lang w:val="es-CR"/>
        </w:rPr>
        <w:t xml:space="preserve"> DE 2017</w:t>
      </w:r>
      <w:r w:rsidR="00DC1121">
        <w:rPr>
          <w:rStyle w:val="FootnoteReference"/>
          <w:b/>
          <w:caps/>
          <w:spacing w:val="-4"/>
        </w:rPr>
        <w:footnoteReference w:customMarkFollows="1" w:id="1"/>
        <w:sym w:font="Symbol" w:char="F02A"/>
      </w:r>
    </w:p>
    <w:p w:rsidR="00507587" w:rsidRPr="00BE210A" w:rsidRDefault="00507587" w:rsidP="00BD3334">
      <w:pPr>
        <w:ind w:right="-90"/>
        <w:jc w:val="center"/>
        <w:rPr>
          <w:rFonts w:ascii="Verdana" w:hAnsi="Verdana"/>
          <w:b/>
          <w:sz w:val="20"/>
          <w:szCs w:val="20"/>
          <w:lang w:val="es-CR"/>
        </w:rPr>
      </w:pPr>
      <w:r w:rsidRPr="00BE210A">
        <w:rPr>
          <w:rFonts w:ascii="Verdana" w:hAnsi="Verdana"/>
          <w:b/>
          <w:sz w:val="20"/>
          <w:szCs w:val="20"/>
          <w:lang w:val="es-CR"/>
        </w:rPr>
        <w:t xml:space="preserve"> </w:t>
      </w:r>
    </w:p>
    <w:p w:rsidR="00507587" w:rsidRPr="00BE210A" w:rsidRDefault="00507587" w:rsidP="00BD3334">
      <w:pPr>
        <w:ind w:right="-90"/>
        <w:rPr>
          <w:rFonts w:ascii="Verdana" w:hAnsi="Verdana"/>
          <w:b/>
          <w:sz w:val="20"/>
          <w:szCs w:val="20"/>
          <w:lang w:val="es-CR"/>
        </w:rPr>
      </w:pPr>
    </w:p>
    <w:p w:rsidR="007D75E1" w:rsidRPr="00BE210A" w:rsidRDefault="007D75E1" w:rsidP="00BD3334">
      <w:pPr>
        <w:ind w:right="-90"/>
        <w:rPr>
          <w:rFonts w:ascii="Verdana" w:hAnsi="Verdana"/>
          <w:b/>
          <w:sz w:val="20"/>
          <w:szCs w:val="20"/>
          <w:lang w:val="es-CR"/>
        </w:rPr>
      </w:pPr>
    </w:p>
    <w:p w:rsidR="00507587" w:rsidRPr="00BE210A" w:rsidRDefault="00507587" w:rsidP="00BD3334">
      <w:pPr>
        <w:ind w:right="-90"/>
        <w:jc w:val="center"/>
        <w:rPr>
          <w:rFonts w:ascii="Verdana" w:hAnsi="Verdana"/>
          <w:b/>
          <w:sz w:val="20"/>
          <w:szCs w:val="20"/>
          <w:lang w:val="es-CR"/>
        </w:rPr>
      </w:pPr>
      <w:r w:rsidRPr="00BE210A">
        <w:rPr>
          <w:rFonts w:ascii="Verdana" w:hAnsi="Verdana"/>
          <w:b/>
          <w:sz w:val="20"/>
          <w:szCs w:val="20"/>
          <w:lang w:val="es-CR"/>
        </w:rPr>
        <w:t xml:space="preserve">MEDIDAS PROVISIONALES </w:t>
      </w:r>
    </w:p>
    <w:p w:rsidR="00507587" w:rsidRPr="00BE210A" w:rsidRDefault="00507587" w:rsidP="00BD3334">
      <w:pPr>
        <w:ind w:right="-90"/>
        <w:jc w:val="center"/>
        <w:rPr>
          <w:rFonts w:ascii="Verdana" w:hAnsi="Verdana"/>
          <w:b/>
          <w:sz w:val="20"/>
          <w:szCs w:val="20"/>
          <w:lang w:val="es-CR"/>
        </w:rPr>
      </w:pPr>
      <w:r w:rsidRPr="00BE210A">
        <w:rPr>
          <w:rFonts w:ascii="Verdana" w:hAnsi="Verdana"/>
          <w:b/>
          <w:sz w:val="20"/>
          <w:szCs w:val="20"/>
          <w:lang w:val="es-CR"/>
        </w:rPr>
        <w:t xml:space="preserve">RESPECTO DE LA REPÚBLICA DE COLOMBIA </w:t>
      </w:r>
    </w:p>
    <w:p w:rsidR="00507587" w:rsidRPr="00BE210A" w:rsidRDefault="00507587" w:rsidP="00BD3334">
      <w:pPr>
        <w:ind w:right="-90"/>
        <w:rPr>
          <w:rFonts w:ascii="Verdana" w:hAnsi="Verdana"/>
          <w:b/>
          <w:sz w:val="20"/>
          <w:szCs w:val="20"/>
          <w:lang w:val="es-CR"/>
        </w:rPr>
      </w:pPr>
    </w:p>
    <w:p w:rsidR="007D75E1" w:rsidRPr="00BE210A" w:rsidRDefault="007D75E1" w:rsidP="00BD3334">
      <w:pPr>
        <w:ind w:right="-90"/>
        <w:rPr>
          <w:rFonts w:ascii="Verdana" w:hAnsi="Verdana"/>
          <w:b/>
          <w:sz w:val="20"/>
          <w:szCs w:val="20"/>
          <w:lang w:val="es-CR"/>
        </w:rPr>
      </w:pPr>
    </w:p>
    <w:p w:rsidR="00507587" w:rsidRPr="00BE210A" w:rsidRDefault="00F6370D" w:rsidP="00BD3334">
      <w:pPr>
        <w:ind w:right="-90"/>
        <w:jc w:val="center"/>
        <w:rPr>
          <w:rFonts w:ascii="Verdana" w:hAnsi="Verdana"/>
          <w:b/>
          <w:sz w:val="20"/>
          <w:szCs w:val="20"/>
          <w:lang w:val="es-CR"/>
        </w:rPr>
      </w:pPr>
      <w:r>
        <w:rPr>
          <w:rFonts w:ascii="Verdana" w:hAnsi="Verdana"/>
          <w:b/>
          <w:sz w:val="20"/>
          <w:szCs w:val="20"/>
          <w:lang w:val="es-CR"/>
        </w:rPr>
        <w:t>ASUNTO</w:t>
      </w:r>
      <w:r w:rsidR="00507587" w:rsidRPr="00BE210A">
        <w:rPr>
          <w:rFonts w:ascii="Verdana" w:hAnsi="Verdana"/>
          <w:b/>
          <w:sz w:val="20"/>
          <w:szCs w:val="20"/>
          <w:lang w:val="es-CR"/>
        </w:rPr>
        <w:t xml:space="preserve"> MERY NARANJO Y OTROS</w:t>
      </w:r>
    </w:p>
    <w:p w:rsidR="007D75E1" w:rsidRPr="00BE210A" w:rsidRDefault="007D75E1" w:rsidP="00BD3334">
      <w:pPr>
        <w:ind w:right="-90"/>
        <w:rPr>
          <w:rFonts w:ascii="Verdana" w:hAnsi="Verdana"/>
          <w:b/>
          <w:sz w:val="20"/>
          <w:szCs w:val="20"/>
          <w:lang w:val="es-CR"/>
        </w:rPr>
      </w:pPr>
    </w:p>
    <w:p w:rsidR="00AB3D26" w:rsidRPr="00BE210A" w:rsidRDefault="00507587" w:rsidP="00BD3334">
      <w:pPr>
        <w:ind w:right="-90"/>
        <w:rPr>
          <w:rFonts w:ascii="Verdana" w:hAnsi="Verdana"/>
          <w:b/>
          <w:sz w:val="20"/>
          <w:szCs w:val="20"/>
          <w:lang w:val="es-CR"/>
        </w:rPr>
      </w:pPr>
      <w:r w:rsidRPr="00BE210A">
        <w:rPr>
          <w:rFonts w:ascii="Verdana" w:hAnsi="Verdana"/>
          <w:b/>
          <w:sz w:val="20"/>
          <w:szCs w:val="20"/>
          <w:lang w:val="es-CR"/>
        </w:rPr>
        <w:t>VISTO:</w:t>
      </w:r>
    </w:p>
    <w:p w:rsidR="007D75E1" w:rsidRPr="004C4953" w:rsidRDefault="007D75E1" w:rsidP="00BD3334">
      <w:pPr>
        <w:pStyle w:val="Heading1"/>
        <w:spacing w:before="0"/>
        <w:ind w:right="-90"/>
        <w:rPr>
          <w:rFonts w:ascii="Verdana" w:hAnsi="Verdana"/>
          <w:color w:val="auto"/>
          <w:sz w:val="20"/>
          <w:szCs w:val="20"/>
          <w:lang w:val="es-CR"/>
        </w:rPr>
      </w:pPr>
    </w:p>
    <w:p w:rsidR="00F3426D" w:rsidRPr="00BE210A" w:rsidRDefault="00330F91" w:rsidP="00DB1DDD">
      <w:pPr>
        <w:numPr>
          <w:ilvl w:val="0"/>
          <w:numId w:val="7"/>
        </w:numPr>
        <w:ind w:left="0" w:right="-90" w:firstLine="0"/>
        <w:jc w:val="both"/>
        <w:rPr>
          <w:rFonts w:ascii="Verdana" w:hAnsi="Verdana"/>
          <w:sz w:val="20"/>
          <w:szCs w:val="20"/>
          <w:lang w:val="es-CR"/>
        </w:rPr>
      </w:pPr>
      <w:bookmarkStart w:id="0" w:name="_Ref277688317"/>
      <w:r w:rsidRPr="00BE210A">
        <w:rPr>
          <w:rFonts w:ascii="Verdana" w:hAnsi="Verdana"/>
          <w:sz w:val="20"/>
          <w:szCs w:val="20"/>
          <w:lang w:val="es-CR"/>
        </w:rPr>
        <w:t>La</w:t>
      </w:r>
      <w:r w:rsidR="00F6634F">
        <w:rPr>
          <w:rFonts w:ascii="Verdana" w:hAnsi="Verdana"/>
          <w:sz w:val="20"/>
          <w:szCs w:val="20"/>
          <w:lang w:val="es-CR"/>
        </w:rPr>
        <w:t>s</w:t>
      </w:r>
      <w:r w:rsidRPr="00BE210A">
        <w:rPr>
          <w:rFonts w:ascii="Verdana" w:hAnsi="Verdana"/>
          <w:sz w:val="20"/>
          <w:szCs w:val="20"/>
          <w:lang w:val="es-CR"/>
        </w:rPr>
        <w:t xml:space="preserve"> Resoluci</w:t>
      </w:r>
      <w:r w:rsidR="00F6634F">
        <w:rPr>
          <w:rFonts w:ascii="Verdana" w:hAnsi="Verdana"/>
          <w:sz w:val="20"/>
          <w:szCs w:val="20"/>
          <w:lang w:val="es-CR"/>
        </w:rPr>
        <w:t>o</w:t>
      </w:r>
      <w:r w:rsidRPr="00BE210A">
        <w:rPr>
          <w:rFonts w:ascii="Verdana" w:hAnsi="Verdana"/>
          <w:sz w:val="20"/>
          <w:szCs w:val="20"/>
          <w:lang w:val="es-CR"/>
        </w:rPr>
        <w:t>n</w:t>
      </w:r>
      <w:r w:rsidR="00F6634F">
        <w:rPr>
          <w:rFonts w:ascii="Verdana" w:hAnsi="Verdana"/>
          <w:sz w:val="20"/>
          <w:szCs w:val="20"/>
          <w:lang w:val="es-CR"/>
        </w:rPr>
        <w:t>es</w:t>
      </w:r>
      <w:r w:rsidRPr="00BE210A">
        <w:rPr>
          <w:rFonts w:ascii="Verdana" w:hAnsi="Verdana"/>
          <w:sz w:val="20"/>
          <w:szCs w:val="20"/>
          <w:lang w:val="es-CR"/>
        </w:rPr>
        <w:t xml:space="preserve"> dictada</w:t>
      </w:r>
      <w:r w:rsidR="00F6634F">
        <w:rPr>
          <w:rFonts w:ascii="Verdana" w:hAnsi="Verdana"/>
          <w:sz w:val="20"/>
          <w:szCs w:val="20"/>
          <w:lang w:val="es-CR"/>
        </w:rPr>
        <w:t>s</w:t>
      </w:r>
      <w:r w:rsidRPr="00BE210A">
        <w:rPr>
          <w:rFonts w:ascii="Verdana" w:hAnsi="Verdana"/>
          <w:sz w:val="20"/>
          <w:szCs w:val="20"/>
          <w:lang w:val="es-CR"/>
        </w:rPr>
        <w:t xml:space="preserve"> por la Corte Interamericana de </w:t>
      </w:r>
      <w:r w:rsidRPr="00E62B9A">
        <w:rPr>
          <w:rFonts w:ascii="Verdana" w:hAnsi="Verdana"/>
          <w:sz w:val="20"/>
          <w:szCs w:val="20"/>
          <w:lang w:val="es-CR"/>
        </w:rPr>
        <w:t>Derechos Humanos</w:t>
      </w:r>
      <w:r w:rsidRPr="00BE210A">
        <w:rPr>
          <w:rFonts w:ascii="Verdana" w:hAnsi="Verdana"/>
          <w:sz w:val="20"/>
          <w:szCs w:val="20"/>
          <w:lang w:val="es-CR"/>
        </w:rPr>
        <w:t xml:space="preserve"> (en adelante “l</w:t>
      </w:r>
      <w:r w:rsidR="00FF514E">
        <w:rPr>
          <w:rFonts w:ascii="Verdana" w:hAnsi="Verdana"/>
          <w:sz w:val="20"/>
          <w:szCs w:val="20"/>
          <w:lang w:val="es-CR"/>
        </w:rPr>
        <w:t>a Corte Interamericana”, “la Cor</w:t>
      </w:r>
      <w:r w:rsidRPr="00BE210A">
        <w:rPr>
          <w:rFonts w:ascii="Verdana" w:hAnsi="Verdana"/>
          <w:sz w:val="20"/>
          <w:szCs w:val="20"/>
          <w:lang w:val="es-CR"/>
        </w:rPr>
        <w:t xml:space="preserve">te” o “el Tribunal”) </w:t>
      </w:r>
      <w:r w:rsidR="00F6634F">
        <w:rPr>
          <w:rFonts w:ascii="Verdana" w:hAnsi="Verdana"/>
          <w:sz w:val="20"/>
          <w:szCs w:val="20"/>
          <w:lang w:val="es-CR"/>
        </w:rPr>
        <w:t>los días 5 de julio y 22 de septiembre de 2006, 31 de enero de 2008, 25 de noviembre de 2010 y</w:t>
      </w:r>
      <w:r w:rsidRPr="00BE210A">
        <w:rPr>
          <w:rFonts w:ascii="Verdana" w:hAnsi="Verdana"/>
          <w:sz w:val="20"/>
          <w:szCs w:val="20"/>
          <w:lang w:val="es-CR"/>
        </w:rPr>
        <w:t xml:space="preserve"> 4 de marzo de 2011</w:t>
      </w:r>
      <w:r w:rsidR="00F6634F">
        <w:rPr>
          <w:rFonts w:ascii="Verdana" w:hAnsi="Verdana"/>
          <w:sz w:val="20"/>
          <w:szCs w:val="20"/>
          <w:lang w:val="es-CR"/>
        </w:rPr>
        <w:t xml:space="preserve">; así como la Sentencia sobre el caso </w:t>
      </w:r>
      <w:proofErr w:type="spellStart"/>
      <w:r w:rsidR="00F6634F" w:rsidRPr="00E50988">
        <w:rPr>
          <w:rFonts w:ascii="Verdana" w:hAnsi="Verdana"/>
          <w:i/>
          <w:sz w:val="20"/>
          <w:szCs w:val="20"/>
          <w:lang w:val="es-CR"/>
        </w:rPr>
        <w:t>Yarce</w:t>
      </w:r>
      <w:proofErr w:type="spellEnd"/>
      <w:r w:rsidR="00F6634F" w:rsidRPr="00E50988">
        <w:rPr>
          <w:rFonts w:ascii="Verdana" w:hAnsi="Verdana"/>
          <w:i/>
          <w:sz w:val="20"/>
          <w:szCs w:val="20"/>
          <w:lang w:val="es-CR"/>
        </w:rPr>
        <w:t xml:space="preserve"> y otras </w:t>
      </w:r>
      <w:r w:rsidR="0058206A">
        <w:rPr>
          <w:rFonts w:ascii="Verdana" w:hAnsi="Verdana"/>
          <w:i/>
          <w:sz w:val="20"/>
          <w:szCs w:val="20"/>
          <w:lang w:val="es-CR"/>
        </w:rPr>
        <w:t>V</w:t>
      </w:r>
      <w:r w:rsidR="00F6634F" w:rsidRPr="00E50988">
        <w:rPr>
          <w:rFonts w:ascii="Verdana" w:hAnsi="Verdana"/>
          <w:i/>
          <w:sz w:val="20"/>
          <w:szCs w:val="20"/>
          <w:lang w:val="es-CR"/>
        </w:rPr>
        <w:t>s. Colombia</w:t>
      </w:r>
      <w:r w:rsidR="00F6634F">
        <w:rPr>
          <w:rStyle w:val="FootnoteReference"/>
          <w:i/>
          <w:szCs w:val="20"/>
          <w:lang w:val="es-CR"/>
        </w:rPr>
        <w:footnoteReference w:id="2"/>
      </w:r>
      <w:r w:rsidR="00C30221">
        <w:rPr>
          <w:rFonts w:ascii="Verdana" w:hAnsi="Verdana"/>
          <w:sz w:val="20"/>
          <w:szCs w:val="20"/>
          <w:lang w:val="es-CR"/>
        </w:rPr>
        <w:t>. E</w:t>
      </w:r>
      <w:r w:rsidR="00F6634F">
        <w:rPr>
          <w:rFonts w:ascii="Verdana" w:hAnsi="Verdana"/>
          <w:sz w:val="20"/>
          <w:szCs w:val="20"/>
          <w:lang w:val="es-CR"/>
        </w:rPr>
        <w:t>n la última Resolución la Corte</w:t>
      </w:r>
      <w:r w:rsidRPr="00BE210A">
        <w:rPr>
          <w:rFonts w:ascii="Verdana" w:hAnsi="Verdana"/>
          <w:sz w:val="20"/>
          <w:szCs w:val="20"/>
          <w:lang w:val="es-CR"/>
        </w:rPr>
        <w:t xml:space="preserve"> resolvió, </w:t>
      </w:r>
      <w:r w:rsidRPr="00BE210A">
        <w:rPr>
          <w:rFonts w:ascii="Verdana" w:hAnsi="Verdana"/>
          <w:i/>
          <w:sz w:val="20"/>
          <w:szCs w:val="20"/>
          <w:lang w:val="es-CR"/>
        </w:rPr>
        <w:t xml:space="preserve">inter </w:t>
      </w:r>
      <w:proofErr w:type="spellStart"/>
      <w:r w:rsidRPr="00BE210A">
        <w:rPr>
          <w:rFonts w:ascii="Verdana" w:hAnsi="Verdana"/>
          <w:i/>
          <w:sz w:val="20"/>
          <w:szCs w:val="20"/>
          <w:lang w:val="es-CR"/>
        </w:rPr>
        <w:t>alia</w:t>
      </w:r>
      <w:proofErr w:type="spellEnd"/>
      <w:r w:rsidRPr="00BE210A">
        <w:rPr>
          <w:rFonts w:ascii="Verdana" w:hAnsi="Verdana"/>
          <w:sz w:val="20"/>
          <w:szCs w:val="20"/>
          <w:lang w:val="es-CR"/>
        </w:rPr>
        <w:t>:</w:t>
      </w:r>
    </w:p>
    <w:p w:rsidR="00AB3D26" w:rsidRPr="00BE210A" w:rsidRDefault="00AB3D26" w:rsidP="00BD3334">
      <w:pPr>
        <w:ind w:left="450" w:right="-90"/>
        <w:jc w:val="both"/>
        <w:rPr>
          <w:rFonts w:ascii="Verdana" w:hAnsi="Verdana"/>
          <w:sz w:val="20"/>
          <w:szCs w:val="20"/>
          <w:lang w:val="es-CR"/>
        </w:rPr>
      </w:pPr>
    </w:p>
    <w:p w:rsidR="00F3426D" w:rsidRPr="00436979" w:rsidRDefault="00F3426D" w:rsidP="00BE210A">
      <w:pPr>
        <w:tabs>
          <w:tab w:val="left" w:pos="1170"/>
        </w:tabs>
        <w:ind w:left="706" w:right="562"/>
        <w:jc w:val="both"/>
        <w:rPr>
          <w:rFonts w:ascii="Verdana" w:hAnsi="Verdana"/>
          <w:sz w:val="16"/>
          <w:szCs w:val="16"/>
          <w:lang w:val="es-CR"/>
        </w:rPr>
      </w:pPr>
      <w:r w:rsidRPr="00436979">
        <w:rPr>
          <w:rFonts w:ascii="Verdana" w:hAnsi="Verdana"/>
          <w:sz w:val="16"/>
          <w:szCs w:val="16"/>
          <w:lang w:val="es-CR"/>
        </w:rPr>
        <w:t>1.</w:t>
      </w:r>
      <w:r w:rsidRPr="00436979">
        <w:rPr>
          <w:rFonts w:ascii="Verdana" w:hAnsi="Verdana"/>
          <w:sz w:val="16"/>
          <w:szCs w:val="16"/>
          <w:lang w:val="es-CR"/>
        </w:rPr>
        <w:tab/>
        <w:t xml:space="preserve">Requerir al Estado que adopte las medidas necesarias para proteger los derechos a la vida y a la integridad personal de los siguientes familiares de la beneficiaria María del Socorro Mosquera Londoño: </w:t>
      </w:r>
      <w:proofErr w:type="spellStart"/>
      <w:r w:rsidRPr="00436979">
        <w:rPr>
          <w:rFonts w:ascii="Verdana" w:hAnsi="Verdana"/>
          <w:sz w:val="16"/>
          <w:szCs w:val="16"/>
          <w:lang w:val="es-CR"/>
        </w:rPr>
        <w:t>Lubin</w:t>
      </w:r>
      <w:proofErr w:type="spellEnd"/>
      <w:r w:rsidRPr="00436979">
        <w:rPr>
          <w:rFonts w:ascii="Verdana" w:hAnsi="Verdana"/>
          <w:sz w:val="16"/>
          <w:szCs w:val="16"/>
          <w:lang w:val="es-CR"/>
        </w:rPr>
        <w:t xml:space="preserve"> </w:t>
      </w:r>
      <w:proofErr w:type="spellStart"/>
      <w:r w:rsidRPr="00436979">
        <w:rPr>
          <w:rFonts w:ascii="Verdana" w:hAnsi="Verdana"/>
          <w:sz w:val="16"/>
          <w:szCs w:val="16"/>
          <w:lang w:val="es-CR"/>
        </w:rPr>
        <w:t>Arjadi</w:t>
      </w:r>
      <w:proofErr w:type="spellEnd"/>
      <w:r w:rsidRPr="00436979">
        <w:rPr>
          <w:rFonts w:ascii="Verdana" w:hAnsi="Verdana"/>
          <w:sz w:val="16"/>
          <w:szCs w:val="16"/>
          <w:lang w:val="es-CR"/>
        </w:rPr>
        <w:t xml:space="preserve"> Mosquera, Hilda Milena Villa Mosquera, Iván Alberto Herrera Mosquera, Marlon Daniel Herrera Mosquer</w:t>
      </w:r>
      <w:r w:rsidR="00F54FF9">
        <w:rPr>
          <w:rFonts w:ascii="Verdana" w:hAnsi="Verdana"/>
          <w:sz w:val="16"/>
          <w:szCs w:val="16"/>
          <w:lang w:val="es-CR"/>
        </w:rPr>
        <w:t xml:space="preserve">a, Luisa María Mosquera </w:t>
      </w:r>
      <w:proofErr w:type="spellStart"/>
      <w:r w:rsidR="00F54FF9">
        <w:rPr>
          <w:rFonts w:ascii="Verdana" w:hAnsi="Verdana"/>
          <w:sz w:val="16"/>
          <w:szCs w:val="16"/>
          <w:lang w:val="es-CR"/>
        </w:rPr>
        <w:t>Guisao</w:t>
      </w:r>
      <w:proofErr w:type="spellEnd"/>
      <w:r w:rsidR="00F54FF9">
        <w:rPr>
          <w:rFonts w:ascii="Verdana" w:hAnsi="Verdana"/>
          <w:sz w:val="16"/>
          <w:szCs w:val="16"/>
          <w:lang w:val="es-CR"/>
        </w:rPr>
        <w:t xml:space="preserve">, </w:t>
      </w:r>
      <w:r w:rsidRPr="00436979">
        <w:rPr>
          <w:rFonts w:ascii="Verdana" w:hAnsi="Verdana"/>
          <w:sz w:val="16"/>
          <w:szCs w:val="16"/>
          <w:lang w:val="es-CR"/>
        </w:rPr>
        <w:t xml:space="preserve">Luis Alfonso Mosquera </w:t>
      </w:r>
      <w:proofErr w:type="spellStart"/>
      <w:r w:rsidRPr="00436979">
        <w:rPr>
          <w:rFonts w:ascii="Verdana" w:hAnsi="Verdana"/>
          <w:sz w:val="16"/>
          <w:szCs w:val="16"/>
          <w:lang w:val="es-CR"/>
        </w:rPr>
        <w:t>Guisao</w:t>
      </w:r>
      <w:proofErr w:type="spellEnd"/>
      <w:r w:rsidRPr="00436979">
        <w:rPr>
          <w:rFonts w:ascii="Verdana" w:hAnsi="Verdana"/>
          <w:sz w:val="16"/>
          <w:szCs w:val="16"/>
          <w:lang w:val="es-CR"/>
        </w:rPr>
        <w:t xml:space="preserve">, Daniel Steven Herrera Vera, Luisa Fernanda Herrera Vera, Sofía Flores Montoya y María Eugenia </w:t>
      </w:r>
      <w:proofErr w:type="spellStart"/>
      <w:r w:rsidRPr="00436979">
        <w:rPr>
          <w:rFonts w:ascii="Verdana" w:hAnsi="Verdana"/>
          <w:sz w:val="16"/>
          <w:szCs w:val="16"/>
          <w:lang w:val="es-CR"/>
        </w:rPr>
        <w:t>Guisao</w:t>
      </w:r>
      <w:proofErr w:type="spellEnd"/>
      <w:r w:rsidRPr="00436979">
        <w:rPr>
          <w:rFonts w:ascii="Verdana" w:hAnsi="Verdana"/>
          <w:sz w:val="16"/>
          <w:szCs w:val="16"/>
          <w:lang w:val="es-CR"/>
        </w:rPr>
        <w:t xml:space="preserve"> González.</w:t>
      </w:r>
    </w:p>
    <w:p w:rsidR="00C769C3" w:rsidRPr="00436979" w:rsidRDefault="00C769C3" w:rsidP="00BE210A">
      <w:pPr>
        <w:tabs>
          <w:tab w:val="left" w:pos="1170"/>
        </w:tabs>
        <w:ind w:left="706" w:right="562"/>
        <w:jc w:val="both"/>
        <w:rPr>
          <w:rFonts w:ascii="Verdana" w:hAnsi="Verdana"/>
          <w:sz w:val="16"/>
          <w:szCs w:val="16"/>
          <w:lang w:val="es-CR"/>
        </w:rPr>
      </w:pPr>
    </w:p>
    <w:p w:rsidR="00C769C3" w:rsidRPr="00436979" w:rsidRDefault="00F3426D" w:rsidP="00BE210A">
      <w:pPr>
        <w:tabs>
          <w:tab w:val="left" w:pos="1170"/>
        </w:tabs>
        <w:ind w:left="706" w:right="562"/>
        <w:jc w:val="both"/>
        <w:rPr>
          <w:rFonts w:ascii="Verdana" w:hAnsi="Verdana"/>
          <w:sz w:val="16"/>
          <w:szCs w:val="16"/>
          <w:lang w:val="es-CR"/>
        </w:rPr>
      </w:pPr>
      <w:r w:rsidRPr="00436979">
        <w:rPr>
          <w:rFonts w:ascii="Verdana" w:hAnsi="Verdana"/>
          <w:sz w:val="16"/>
          <w:szCs w:val="16"/>
          <w:lang w:val="es-CR"/>
        </w:rPr>
        <w:t>2.</w:t>
      </w:r>
      <w:r w:rsidRPr="00436979">
        <w:rPr>
          <w:rFonts w:ascii="Verdana" w:hAnsi="Verdana"/>
          <w:sz w:val="16"/>
          <w:szCs w:val="16"/>
          <w:lang w:val="es-CR"/>
        </w:rPr>
        <w:tab/>
        <w:t xml:space="preserve">Requerir al Estado que continúe adoptando las medidas necesarias para proteger los derechos a la vida y a la integridad personal de María del Socorro Mosquera Londoño y de Mery Naranjo Jiménez y sus familiares, a saber, Juan David Naranjo Jiménez, Alejandro Naranjo Jiménez, Sandra Janeth Naranjo Jiménez, Alba Mery Naranjo Jiménez, Erika Johann Gómez, Heidi Tatiana Naranjo Gómez, María Camila Naranjo Jiménez, Aura María Amaya Naranjo, Esteban Torres Naranjo y </w:t>
      </w:r>
      <w:r w:rsidR="00C769C3" w:rsidRPr="00436979">
        <w:rPr>
          <w:rFonts w:ascii="Verdana" w:hAnsi="Verdana"/>
          <w:sz w:val="16"/>
          <w:szCs w:val="16"/>
          <w:lang w:val="es-CR"/>
        </w:rPr>
        <w:t xml:space="preserve">Luisa María Escudero Jiménez. </w:t>
      </w:r>
    </w:p>
    <w:p w:rsidR="00F3426D" w:rsidRPr="00436979" w:rsidRDefault="00C769C3" w:rsidP="00BE210A">
      <w:pPr>
        <w:tabs>
          <w:tab w:val="left" w:pos="1170"/>
        </w:tabs>
        <w:ind w:left="706" w:right="562"/>
        <w:jc w:val="both"/>
        <w:rPr>
          <w:rFonts w:ascii="Verdana" w:hAnsi="Verdana"/>
          <w:sz w:val="16"/>
          <w:szCs w:val="16"/>
          <w:lang w:val="es-CR"/>
        </w:rPr>
      </w:pPr>
      <w:r w:rsidRPr="00436979">
        <w:rPr>
          <w:rFonts w:ascii="Verdana" w:hAnsi="Verdana"/>
          <w:sz w:val="16"/>
          <w:szCs w:val="16"/>
          <w:lang w:val="es-CR"/>
        </w:rPr>
        <w:t xml:space="preserve"> </w:t>
      </w:r>
    </w:p>
    <w:p w:rsidR="00F3426D" w:rsidRPr="00436979" w:rsidRDefault="00F3426D" w:rsidP="00BE210A">
      <w:pPr>
        <w:tabs>
          <w:tab w:val="left" w:pos="1170"/>
        </w:tabs>
        <w:ind w:left="706" w:right="562"/>
        <w:jc w:val="both"/>
        <w:rPr>
          <w:rFonts w:ascii="Verdana" w:hAnsi="Verdana"/>
          <w:sz w:val="16"/>
          <w:szCs w:val="16"/>
          <w:lang w:val="es-CR"/>
        </w:rPr>
      </w:pPr>
      <w:r w:rsidRPr="00436979">
        <w:rPr>
          <w:rFonts w:ascii="Verdana" w:hAnsi="Verdana"/>
          <w:sz w:val="16"/>
          <w:szCs w:val="16"/>
          <w:lang w:val="es-CR"/>
        </w:rPr>
        <w:t>3.</w:t>
      </w:r>
      <w:r w:rsidRPr="00436979">
        <w:rPr>
          <w:rFonts w:ascii="Verdana" w:hAnsi="Verdana"/>
          <w:sz w:val="16"/>
          <w:szCs w:val="16"/>
          <w:lang w:val="es-CR"/>
        </w:rPr>
        <w:tab/>
        <w:t>Requerir al Estado que garantice que las medidas de protección no sean brindadas por los funcionarios de seguridad que, según los beneficiarios, estarían involucrados en los hechos denunciados, de modo que la designación de los mismos se haga con la participación de los beneficiarios o</w:t>
      </w:r>
      <w:r w:rsidR="00C769C3" w:rsidRPr="00436979">
        <w:rPr>
          <w:rFonts w:ascii="Verdana" w:hAnsi="Verdana"/>
          <w:sz w:val="16"/>
          <w:szCs w:val="16"/>
          <w:lang w:val="es-CR"/>
        </w:rPr>
        <w:t xml:space="preserve"> sus representantes. </w:t>
      </w:r>
    </w:p>
    <w:p w:rsidR="00C769C3" w:rsidRPr="00436979" w:rsidRDefault="00C769C3" w:rsidP="00BE210A">
      <w:pPr>
        <w:tabs>
          <w:tab w:val="left" w:pos="1170"/>
        </w:tabs>
        <w:ind w:left="706" w:right="562"/>
        <w:jc w:val="both"/>
        <w:rPr>
          <w:rFonts w:ascii="Verdana" w:hAnsi="Verdana"/>
          <w:sz w:val="16"/>
          <w:szCs w:val="16"/>
          <w:lang w:val="es-CR"/>
        </w:rPr>
      </w:pPr>
    </w:p>
    <w:p w:rsidR="00F3426D" w:rsidRPr="00436979" w:rsidRDefault="00F3426D" w:rsidP="00BE210A">
      <w:pPr>
        <w:tabs>
          <w:tab w:val="left" w:pos="1170"/>
        </w:tabs>
        <w:ind w:left="706" w:right="562"/>
        <w:jc w:val="both"/>
        <w:rPr>
          <w:rFonts w:ascii="Verdana" w:hAnsi="Verdana"/>
          <w:sz w:val="16"/>
          <w:szCs w:val="16"/>
          <w:lang w:val="es-CR"/>
        </w:rPr>
      </w:pPr>
      <w:r w:rsidRPr="00436979">
        <w:rPr>
          <w:rFonts w:ascii="Verdana" w:hAnsi="Verdana"/>
          <w:sz w:val="16"/>
          <w:szCs w:val="16"/>
          <w:lang w:val="es-CR"/>
        </w:rPr>
        <w:lastRenderedPageBreak/>
        <w:t>4.</w:t>
      </w:r>
      <w:r w:rsidRPr="00436979">
        <w:rPr>
          <w:rFonts w:ascii="Verdana" w:hAnsi="Verdana"/>
          <w:sz w:val="16"/>
          <w:szCs w:val="16"/>
          <w:lang w:val="es-CR"/>
        </w:rPr>
        <w:tab/>
        <w:t>Solicitar al Estado que dé participación a los beneficiarios de estas medidas en la planificación e implementación de las mismas y que, en general, les mantenga informados sobre los avances en la ejecución de éstas.</w:t>
      </w:r>
    </w:p>
    <w:p w:rsidR="00C769C3" w:rsidRPr="00436979" w:rsidRDefault="00C769C3" w:rsidP="00BE210A">
      <w:pPr>
        <w:tabs>
          <w:tab w:val="left" w:pos="1170"/>
        </w:tabs>
        <w:ind w:left="706" w:right="562"/>
        <w:jc w:val="both"/>
        <w:rPr>
          <w:rFonts w:ascii="Verdana" w:hAnsi="Verdana"/>
          <w:sz w:val="16"/>
          <w:szCs w:val="16"/>
          <w:lang w:val="es-CR"/>
        </w:rPr>
      </w:pPr>
    </w:p>
    <w:p w:rsidR="00737D1C" w:rsidRPr="00436979" w:rsidRDefault="00737D1C" w:rsidP="00BE210A">
      <w:pPr>
        <w:tabs>
          <w:tab w:val="left" w:pos="1170"/>
        </w:tabs>
        <w:ind w:left="706" w:right="562"/>
        <w:jc w:val="both"/>
        <w:rPr>
          <w:rFonts w:ascii="Verdana" w:hAnsi="Verdana"/>
          <w:sz w:val="16"/>
          <w:szCs w:val="16"/>
          <w:lang w:val="es-CR"/>
        </w:rPr>
      </w:pPr>
      <w:r w:rsidRPr="00436979">
        <w:rPr>
          <w:rFonts w:ascii="Verdana" w:hAnsi="Verdana"/>
          <w:sz w:val="16"/>
          <w:szCs w:val="16"/>
          <w:lang w:val="es-CR"/>
        </w:rPr>
        <w:t>[…]</w:t>
      </w:r>
    </w:p>
    <w:p w:rsidR="00737D1C" w:rsidRPr="00436979" w:rsidRDefault="00737D1C" w:rsidP="00BE210A">
      <w:pPr>
        <w:tabs>
          <w:tab w:val="left" w:pos="1170"/>
        </w:tabs>
        <w:ind w:left="706" w:right="562"/>
        <w:jc w:val="both"/>
        <w:rPr>
          <w:rFonts w:ascii="Verdana" w:hAnsi="Verdana"/>
          <w:sz w:val="16"/>
          <w:szCs w:val="16"/>
          <w:lang w:val="es-CR"/>
        </w:rPr>
      </w:pPr>
    </w:p>
    <w:p w:rsidR="00F3426D" w:rsidRPr="00436979" w:rsidRDefault="00F3426D" w:rsidP="00BE210A">
      <w:pPr>
        <w:tabs>
          <w:tab w:val="left" w:pos="1170"/>
        </w:tabs>
        <w:ind w:left="706" w:right="562"/>
        <w:jc w:val="both"/>
        <w:rPr>
          <w:rFonts w:ascii="Verdana" w:hAnsi="Verdana"/>
          <w:sz w:val="16"/>
          <w:szCs w:val="16"/>
          <w:lang w:val="es-CR"/>
        </w:rPr>
      </w:pPr>
      <w:r w:rsidRPr="00436979">
        <w:rPr>
          <w:rFonts w:ascii="Verdana" w:hAnsi="Verdana"/>
          <w:sz w:val="16"/>
          <w:szCs w:val="16"/>
          <w:lang w:val="es-CR"/>
        </w:rPr>
        <w:t>8.</w:t>
      </w:r>
      <w:r w:rsidRPr="00436979">
        <w:rPr>
          <w:rFonts w:ascii="Verdana" w:hAnsi="Verdana"/>
          <w:sz w:val="16"/>
          <w:szCs w:val="16"/>
          <w:lang w:val="es-CR"/>
        </w:rPr>
        <w:tab/>
        <w:t>Solicitar al Estado que continúe informando a la Corte Interamericana de Derechos Humanos sobre las medidas adoptadas en cumplimiento de lo dispuesto en el punto r</w:t>
      </w:r>
      <w:r w:rsidR="004A0C4F">
        <w:rPr>
          <w:rFonts w:ascii="Verdana" w:hAnsi="Verdana"/>
          <w:sz w:val="16"/>
          <w:szCs w:val="16"/>
          <w:lang w:val="es-CR"/>
        </w:rPr>
        <w:t>esolutivo primero de la […]</w:t>
      </w:r>
      <w:r w:rsidRPr="00436979">
        <w:rPr>
          <w:rFonts w:ascii="Verdana" w:hAnsi="Verdana"/>
          <w:sz w:val="16"/>
          <w:szCs w:val="16"/>
          <w:lang w:val="es-CR"/>
        </w:rPr>
        <w:t xml:space="preserve"> Resolución en sus informes bimestrales sobre la implementación de las medidas provisionales en el presente asunto, y requerir a los representantes de los beneficiarios y a la Comisión Interamericana de Derechos Humanos que presenten sus observaciones dentro de plazos de cuatro y seis semanas, respectivamente, contadas a partir de la notificación de dichos informes estatales. </w:t>
      </w:r>
    </w:p>
    <w:bookmarkEnd w:id="0"/>
    <w:p w:rsidR="005B7601" w:rsidRPr="00BE210A" w:rsidRDefault="005B7601" w:rsidP="00BD3334">
      <w:pPr>
        <w:ind w:right="-90"/>
        <w:rPr>
          <w:rFonts w:ascii="Verdana" w:hAnsi="Verdana"/>
          <w:sz w:val="20"/>
          <w:szCs w:val="20"/>
          <w:lang w:val="es-CR"/>
        </w:rPr>
      </w:pPr>
    </w:p>
    <w:p w:rsidR="00C769C3" w:rsidRPr="00BE210A" w:rsidRDefault="00D1093C" w:rsidP="00BD3334">
      <w:pPr>
        <w:pStyle w:val="ListParagraph"/>
        <w:numPr>
          <w:ilvl w:val="0"/>
          <w:numId w:val="7"/>
        </w:numPr>
        <w:ind w:left="0" w:right="-90" w:firstLine="0"/>
        <w:jc w:val="both"/>
        <w:rPr>
          <w:rFonts w:ascii="Verdana" w:hAnsi="Verdana"/>
          <w:sz w:val="20"/>
          <w:szCs w:val="20"/>
          <w:lang w:val="es-CR"/>
        </w:rPr>
      </w:pPr>
      <w:r w:rsidRPr="00BE210A">
        <w:rPr>
          <w:rFonts w:ascii="Verdana" w:hAnsi="Verdana"/>
          <w:sz w:val="20"/>
          <w:szCs w:val="20"/>
          <w:lang w:val="es-CR"/>
        </w:rPr>
        <w:t xml:space="preserve">Los escritos </w:t>
      </w:r>
      <w:r w:rsidR="00FD25A6" w:rsidRPr="00BE210A">
        <w:rPr>
          <w:rFonts w:ascii="Verdana" w:hAnsi="Verdana"/>
          <w:sz w:val="20"/>
          <w:szCs w:val="20"/>
          <w:lang w:val="es-CR"/>
        </w:rPr>
        <w:t xml:space="preserve">de la República de Colombia (en adelante “el Estado” o “Colombia”) </w:t>
      </w:r>
      <w:r w:rsidR="00DB1DDD">
        <w:rPr>
          <w:rFonts w:ascii="Verdana" w:hAnsi="Verdana"/>
          <w:sz w:val="20"/>
          <w:szCs w:val="20"/>
          <w:lang w:val="es-CR"/>
        </w:rPr>
        <w:t>de</w:t>
      </w:r>
      <w:r w:rsidRPr="00BE210A">
        <w:rPr>
          <w:rFonts w:ascii="Verdana" w:hAnsi="Verdana"/>
          <w:sz w:val="20"/>
          <w:szCs w:val="20"/>
          <w:lang w:val="es-CR"/>
        </w:rPr>
        <w:t xml:space="preserve"> 24 de marzo, 6 de mayo, 1</w:t>
      </w:r>
      <w:r w:rsidR="00E62B9A">
        <w:rPr>
          <w:rFonts w:ascii="Verdana" w:hAnsi="Verdana"/>
          <w:sz w:val="20"/>
          <w:szCs w:val="20"/>
          <w:lang w:val="es-CR"/>
        </w:rPr>
        <w:t>2</w:t>
      </w:r>
      <w:r w:rsidRPr="00BE210A">
        <w:rPr>
          <w:rFonts w:ascii="Verdana" w:hAnsi="Verdana"/>
          <w:sz w:val="20"/>
          <w:szCs w:val="20"/>
          <w:lang w:val="es-CR"/>
        </w:rPr>
        <w:t xml:space="preserve"> de agosto, 12 de octubre</w:t>
      </w:r>
      <w:r w:rsidR="00737D1C">
        <w:rPr>
          <w:rFonts w:ascii="Verdana" w:hAnsi="Verdana"/>
          <w:sz w:val="20"/>
          <w:szCs w:val="20"/>
          <w:lang w:val="es-CR"/>
        </w:rPr>
        <w:t xml:space="preserve"> y</w:t>
      </w:r>
      <w:r w:rsidRPr="00BE210A">
        <w:rPr>
          <w:rFonts w:ascii="Verdana" w:hAnsi="Verdana"/>
          <w:sz w:val="20"/>
          <w:szCs w:val="20"/>
          <w:lang w:val="es-CR"/>
        </w:rPr>
        <w:t xml:space="preserve"> 13 de diciembre de 2011</w:t>
      </w:r>
      <w:r w:rsidR="00737D1C">
        <w:rPr>
          <w:rFonts w:ascii="Verdana" w:hAnsi="Verdana"/>
          <w:sz w:val="20"/>
          <w:szCs w:val="20"/>
          <w:lang w:val="es-CR"/>
        </w:rPr>
        <w:t>;</w:t>
      </w:r>
      <w:r w:rsidRPr="00BE210A">
        <w:rPr>
          <w:rFonts w:ascii="Verdana" w:hAnsi="Verdana"/>
          <w:sz w:val="20"/>
          <w:szCs w:val="20"/>
          <w:lang w:val="es-CR"/>
        </w:rPr>
        <w:t xml:space="preserve"> 13 de febrero, 13 de abril, 6 de julio, 13 de agosto, 16 de octubre</w:t>
      </w:r>
      <w:r w:rsidR="00737D1C">
        <w:rPr>
          <w:rFonts w:ascii="Verdana" w:hAnsi="Verdana"/>
          <w:sz w:val="20"/>
          <w:szCs w:val="20"/>
          <w:lang w:val="es-CR"/>
        </w:rPr>
        <w:t xml:space="preserve"> y</w:t>
      </w:r>
      <w:r w:rsidRPr="00BE210A">
        <w:rPr>
          <w:rFonts w:ascii="Verdana" w:hAnsi="Verdana"/>
          <w:sz w:val="20"/>
          <w:szCs w:val="20"/>
          <w:lang w:val="es-CR"/>
        </w:rPr>
        <w:t xml:space="preserve"> 12 de diciembre de 2012</w:t>
      </w:r>
      <w:r w:rsidR="00737D1C">
        <w:rPr>
          <w:rFonts w:ascii="Verdana" w:hAnsi="Verdana"/>
          <w:sz w:val="20"/>
          <w:szCs w:val="20"/>
          <w:lang w:val="es-CR"/>
        </w:rPr>
        <w:t>;</w:t>
      </w:r>
      <w:r w:rsidRPr="00BE210A">
        <w:rPr>
          <w:rFonts w:ascii="Verdana" w:hAnsi="Verdana"/>
          <w:sz w:val="20"/>
          <w:szCs w:val="20"/>
          <w:lang w:val="es-CR"/>
        </w:rPr>
        <w:t xml:space="preserve"> 1 de marzo,</w:t>
      </w:r>
      <w:r w:rsidR="00C769C3" w:rsidRPr="00BE210A">
        <w:rPr>
          <w:rFonts w:ascii="Verdana" w:hAnsi="Verdana"/>
          <w:sz w:val="20"/>
          <w:szCs w:val="20"/>
          <w:lang w:val="es-CR"/>
        </w:rPr>
        <w:t xml:space="preserve"> </w:t>
      </w:r>
      <w:r w:rsidRPr="00BE210A">
        <w:rPr>
          <w:rFonts w:ascii="Verdana" w:hAnsi="Verdana"/>
          <w:sz w:val="20"/>
          <w:szCs w:val="20"/>
          <w:lang w:val="es-CR"/>
        </w:rPr>
        <w:t>29 de abril,</w:t>
      </w:r>
      <w:r w:rsidR="00C3164C" w:rsidRPr="00BE210A">
        <w:rPr>
          <w:rFonts w:ascii="Verdana" w:hAnsi="Verdana"/>
          <w:sz w:val="20"/>
          <w:szCs w:val="20"/>
          <w:lang w:val="es-CR"/>
        </w:rPr>
        <w:t xml:space="preserve"> </w:t>
      </w:r>
      <w:r w:rsidRPr="00BE210A">
        <w:rPr>
          <w:rFonts w:ascii="Verdana" w:hAnsi="Verdana"/>
          <w:sz w:val="20"/>
          <w:szCs w:val="20"/>
          <w:lang w:val="es-CR"/>
        </w:rPr>
        <w:t>25 de junio,</w:t>
      </w:r>
      <w:r w:rsidR="00C769C3" w:rsidRPr="00BE210A">
        <w:rPr>
          <w:rFonts w:ascii="Verdana" w:hAnsi="Verdana"/>
          <w:sz w:val="20"/>
          <w:szCs w:val="20"/>
          <w:lang w:val="es-CR"/>
        </w:rPr>
        <w:t xml:space="preserve"> </w:t>
      </w:r>
      <w:r w:rsidRPr="00BE210A">
        <w:rPr>
          <w:rFonts w:ascii="Verdana" w:hAnsi="Verdana"/>
          <w:sz w:val="20"/>
          <w:szCs w:val="20"/>
          <w:lang w:val="es-CR"/>
        </w:rPr>
        <w:t>2</w:t>
      </w:r>
      <w:r w:rsidR="00E62B9A">
        <w:rPr>
          <w:rFonts w:ascii="Verdana" w:hAnsi="Verdana"/>
          <w:sz w:val="20"/>
          <w:szCs w:val="20"/>
          <w:lang w:val="es-CR"/>
        </w:rPr>
        <w:t>6</w:t>
      </w:r>
      <w:r w:rsidRPr="00BE210A">
        <w:rPr>
          <w:rFonts w:ascii="Verdana" w:hAnsi="Verdana"/>
          <w:sz w:val="20"/>
          <w:szCs w:val="20"/>
          <w:lang w:val="es-CR"/>
        </w:rPr>
        <w:t xml:space="preserve"> de agosto,</w:t>
      </w:r>
      <w:r w:rsidR="00C3164C" w:rsidRPr="00BE210A">
        <w:rPr>
          <w:rFonts w:ascii="Verdana" w:hAnsi="Verdana"/>
          <w:sz w:val="20"/>
          <w:szCs w:val="20"/>
          <w:lang w:val="es-CR"/>
        </w:rPr>
        <w:t xml:space="preserve"> </w:t>
      </w:r>
      <w:r w:rsidRPr="00BE210A">
        <w:rPr>
          <w:rFonts w:ascii="Verdana" w:hAnsi="Verdana"/>
          <w:sz w:val="20"/>
          <w:szCs w:val="20"/>
          <w:lang w:val="es-CR"/>
        </w:rPr>
        <w:t>2</w:t>
      </w:r>
      <w:r w:rsidR="00E62B9A">
        <w:rPr>
          <w:rFonts w:ascii="Verdana" w:hAnsi="Verdana"/>
          <w:sz w:val="20"/>
          <w:szCs w:val="20"/>
          <w:lang w:val="es-CR"/>
        </w:rPr>
        <w:t>3</w:t>
      </w:r>
      <w:r w:rsidRPr="00BE210A">
        <w:rPr>
          <w:rFonts w:ascii="Verdana" w:hAnsi="Verdana"/>
          <w:sz w:val="20"/>
          <w:szCs w:val="20"/>
          <w:lang w:val="es-CR"/>
        </w:rPr>
        <w:t xml:space="preserve"> de octubre</w:t>
      </w:r>
      <w:r w:rsidR="00737D1C">
        <w:rPr>
          <w:rFonts w:ascii="Verdana" w:hAnsi="Verdana"/>
          <w:sz w:val="20"/>
          <w:szCs w:val="20"/>
          <w:lang w:val="es-CR"/>
        </w:rPr>
        <w:t xml:space="preserve"> y</w:t>
      </w:r>
      <w:r w:rsidR="00C769C3" w:rsidRPr="00BE210A">
        <w:rPr>
          <w:rFonts w:ascii="Verdana" w:hAnsi="Verdana"/>
          <w:sz w:val="20"/>
          <w:szCs w:val="20"/>
          <w:lang w:val="es-CR"/>
        </w:rPr>
        <w:t xml:space="preserve"> </w:t>
      </w:r>
      <w:r w:rsidRPr="00BE210A">
        <w:rPr>
          <w:rFonts w:ascii="Verdana" w:hAnsi="Verdana"/>
          <w:sz w:val="20"/>
          <w:szCs w:val="20"/>
          <w:lang w:val="es-CR"/>
        </w:rPr>
        <w:t>27 de diciembre de 2013</w:t>
      </w:r>
      <w:r w:rsidR="00737D1C">
        <w:rPr>
          <w:rFonts w:ascii="Verdana" w:hAnsi="Verdana"/>
          <w:sz w:val="20"/>
          <w:szCs w:val="20"/>
          <w:lang w:val="es-CR"/>
        </w:rPr>
        <w:t>;</w:t>
      </w:r>
      <w:r w:rsidRPr="00BE210A">
        <w:rPr>
          <w:rFonts w:ascii="Verdana" w:hAnsi="Verdana"/>
          <w:sz w:val="20"/>
          <w:szCs w:val="20"/>
          <w:lang w:val="es-CR"/>
        </w:rPr>
        <w:t xml:space="preserve"> 27 de febrero, 30 de abril,</w:t>
      </w:r>
      <w:r w:rsidR="00C769C3" w:rsidRPr="00BE210A">
        <w:rPr>
          <w:rFonts w:ascii="Verdana" w:hAnsi="Verdana"/>
          <w:sz w:val="20"/>
          <w:szCs w:val="20"/>
          <w:lang w:val="es-CR"/>
        </w:rPr>
        <w:t xml:space="preserve"> </w:t>
      </w:r>
      <w:r w:rsidR="00713C22" w:rsidRPr="00BE210A">
        <w:rPr>
          <w:rFonts w:ascii="Verdana" w:hAnsi="Verdana"/>
          <w:sz w:val="20"/>
          <w:szCs w:val="20"/>
          <w:lang w:val="es-CR"/>
        </w:rPr>
        <w:t>2</w:t>
      </w:r>
      <w:r w:rsidRPr="00BE210A">
        <w:rPr>
          <w:rFonts w:ascii="Verdana" w:hAnsi="Verdana"/>
          <w:sz w:val="20"/>
          <w:szCs w:val="20"/>
          <w:lang w:val="es-CR"/>
        </w:rPr>
        <w:t xml:space="preserve"> de julio,</w:t>
      </w:r>
      <w:r w:rsidR="00C3164C" w:rsidRPr="00BE210A">
        <w:rPr>
          <w:rFonts w:ascii="Verdana" w:hAnsi="Verdana"/>
          <w:sz w:val="20"/>
          <w:szCs w:val="20"/>
          <w:lang w:val="es-CR"/>
        </w:rPr>
        <w:t xml:space="preserve"> </w:t>
      </w:r>
      <w:r w:rsidRPr="00BE210A">
        <w:rPr>
          <w:rFonts w:ascii="Verdana" w:hAnsi="Verdana"/>
          <w:sz w:val="20"/>
          <w:szCs w:val="20"/>
          <w:lang w:val="es-CR"/>
        </w:rPr>
        <w:t>2</w:t>
      </w:r>
      <w:r w:rsidR="00784150" w:rsidRPr="00BE210A">
        <w:rPr>
          <w:rFonts w:ascii="Verdana" w:hAnsi="Verdana"/>
          <w:sz w:val="20"/>
          <w:szCs w:val="20"/>
          <w:lang w:val="es-CR"/>
        </w:rPr>
        <w:t>7</w:t>
      </w:r>
      <w:r w:rsidRPr="00BE210A">
        <w:rPr>
          <w:rFonts w:ascii="Verdana" w:hAnsi="Verdana"/>
          <w:sz w:val="20"/>
          <w:szCs w:val="20"/>
          <w:lang w:val="es-CR"/>
        </w:rPr>
        <w:t xml:space="preserve"> de agosto,</w:t>
      </w:r>
      <w:r w:rsidR="00C769C3" w:rsidRPr="00BE210A">
        <w:rPr>
          <w:rFonts w:ascii="Verdana" w:hAnsi="Verdana"/>
          <w:sz w:val="20"/>
          <w:szCs w:val="20"/>
          <w:lang w:val="es-CR"/>
        </w:rPr>
        <w:t xml:space="preserve"> </w:t>
      </w:r>
      <w:r w:rsidRPr="00BE210A">
        <w:rPr>
          <w:rFonts w:ascii="Verdana" w:hAnsi="Verdana"/>
          <w:sz w:val="20"/>
          <w:szCs w:val="20"/>
          <w:lang w:val="es-CR"/>
        </w:rPr>
        <w:t>27 de octubre</w:t>
      </w:r>
      <w:r w:rsidR="00737D1C">
        <w:rPr>
          <w:rFonts w:ascii="Verdana" w:hAnsi="Verdana"/>
          <w:sz w:val="20"/>
          <w:szCs w:val="20"/>
          <w:lang w:val="es-CR"/>
        </w:rPr>
        <w:t xml:space="preserve"> y</w:t>
      </w:r>
      <w:r w:rsidR="00C3164C" w:rsidRPr="00BE210A">
        <w:rPr>
          <w:rFonts w:ascii="Verdana" w:hAnsi="Verdana"/>
          <w:sz w:val="20"/>
          <w:szCs w:val="20"/>
          <w:lang w:val="es-CR"/>
        </w:rPr>
        <w:t xml:space="preserve"> </w:t>
      </w:r>
      <w:r w:rsidRPr="00BE210A">
        <w:rPr>
          <w:rFonts w:ascii="Verdana" w:hAnsi="Verdana"/>
          <w:sz w:val="20"/>
          <w:szCs w:val="20"/>
          <w:lang w:val="es-CR"/>
        </w:rPr>
        <w:t>22 de diciembre de 2014</w:t>
      </w:r>
      <w:r w:rsidR="00737D1C">
        <w:rPr>
          <w:rFonts w:ascii="Verdana" w:hAnsi="Verdana"/>
          <w:sz w:val="20"/>
          <w:szCs w:val="20"/>
          <w:lang w:val="es-CR"/>
        </w:rPr>
        <w:t>;</w:t>
      </w:r>
      <w:r w:rsidR="00C769C3" w:rsidRPr="00BE210A">
        <w:rPr>
          <w:rFonts w:ascii="Verdana" w:hAnsi="Verdana"/>
          <w:sz w:val="20"/>
          <w:szCs w:val="20"/>
          <w:lang w:val="es-CR"/>
        </w:rPr>
        <w:t xml:space="preserve"> </w:t>
      </w:r>
      <w:r w:rsidRPr="00BE210A">
        <w:rPr>
          <w:rFonts w:ascii="Verdana" w:hAnsi="Verdana"/>
          <w:sz w:val="20"/>
          <w:szCs w:val="20"/>
          <w:lang w:val="es-CR"/>
        </w:rPr>
        <w:t>26 de febrero,</w:t>
      </w:r>
      <w:r w:rsidR="00C769C3" w:rsidRPr="00BE210A">
        <w:rPr>
          <w:rFonts w:ascii="Verdana" w:hAnsi="Verdana"/>
          <w:sz w:val="20"/>
          <w:szCs w:val="20"/>
          <w:lang w:val="es-CR"/>
        </w:rPr>
        <w:t xml:space="preserve"> </w:t>
      </w:r>
      <w:r w:rsidR="004A0C4F">
        <w:rPr>
          <w:rFonts w:ascii="Verdana" w:hAnsi="Verdana"/>
          <w:sz w:val="20"/>
          <w:szCs w:val="20"/>
          <w:lang w:val="es-CR"/>
        </w:rPr>
        <w:t>27 de abril</w:t>
      </w:r>
      <w:r w:rsidRPr="00BE210A">
        <w:rPr>
          <w:rFonts w:ascii="Verdana" w:hAnsi="Verdana"/>
          <w:sz w:val="20"/>
          <w:szCs w:val="20"/>
          <w:lang w:val="es-CR"/>
        </w:rPr>
        <w:t>,</w:t>
      </w:r>
      <w:r w:rsidR="00C769C3" w:rsidRPr="00BE210A">
        <w:rPr>
          <w:rFonts w:ascii="Verdana" w:hAnsi="Verdana"/>
          <w:sz w:val="20"/>
          <w:szCs w:val="20"/>
          <w:lang w:val="es-CR"/>
        </w:rPr>
        <w:t xml:space="preserve"> </w:t>
      </w:r>
      <w:r w:rsidRPr="00BE210A">
        <w:rPr>
          <w:rFonts w:ascii="Verdana" w:hAnsi="Verdana"/>
          <w:sz w:val="20"/>
          <w:szCs w:val="20"/>
          <w:lang w:val="es-CR"/>
        </w:rPr>
        <w:t xml:space="preserve">9 </w:t>
      </w:r>
      <w:r w:rsidR="00737D1C">
        <w:rPr>
          <w:rFonts w:ascii="Verdana" w:hAnsi="Verdana"/>
          <w:sz w:val="20"/>
          <w:szCs w:val="20"/>
          <w:lang w:val="es-CR"/>
        </w:rPr>
        <w:t>y 1</w:t>
      </w:r>
      <w:r w:rsidR="00E62B9A">
        <w:rPr>
          <w:rFonts w:ascii="Verdana" w:hAnsi="Verdana"/>
          <w:sz w:val="20"/>
          <w:szCs w:val="20"/>
          <w:lang w:val="es-CR"/>
        </w:rPr>
        <w:t>1</w:t>
      </w:r>
      <w:r w:rsidR="00737D1C">
        <w:rPr>
          <w:rFonts w:ascii="Verdana" w:hAnsi="Verdana"/>
          <w:sz w:val="20"/>
          <w:szCs w:val="20"/>
          <w:lang w:val="es-CR"/>
        </w:rPr>
        <w:t xml:space="preserve"> </w:t>
      </w:r>
      <w:r w:rsidRPr="00BE210A">
        <w:rPr>
          <w:rFonts w:ascii="Verdana" w:hAnsi="Verdana"/>
          <w:sz w:val="20"/>
          <w:szCs w:val="20"/>
          <w:lang w:val="es-CR"/>
        </w:rPr>
        <w:t xml:space="preserve">de junio, </w:t>
      </w:r>
      <w:r w:rsidR="00CB0C14" w:rsidRPr="00BE210A">
        <w:rPr>
          <w:rFonts w:ascii="Verdana" w:hAnsi="Verdana"/>
          <w:sz w:val="20"/>
          <w:szCs w:val="20"/>
          <w:lang w:val="es-CR"/>
        </w:rPr>
        <w:t>4</w:t>
      </w:r>
      <w:r w:rsidRPr="00BE210A">
        <w:rPr>
          <w:rFonts w:ascii="Verdana" w:hAnsi="Verdana"/>
          <w:sz w:val="20"/>
          <w:szCs w:val="20"/>
          <w:lang w:val="es-CR"/>
        </w:rPr>
        <w:t xml:space="preserve"> de septiembre </w:t>
      </w:r>
      <w:r w:rsidR="00737D1C">
        <w:rPr>
          <w:rFonts w:ascii="Verdana" w:hAnsi="Verdana"/>
          <w:sz w:val="20"/>
          <w:szCs w:val="20"/>
          <w:lang w:val="es-CR"/>
        </w:rPr>
        <w:t xml:space="preserve">y </w:t>
      </w:r>
      <w:r w:rsidRPr="00BE210A">
        <w:rPr>
          <w:rFonts w:ascii="Verdana" w:hAnsi="Verdana"/>
          <w:sz w:val="20"/>
          <w:szCs w:val="20"/>
          <w:lang w:val="es-CR"/>
        </w:rPr>
        <w:t>23 de noviembre de 2015</w:t>
      </w:r>
      <w:r w:rsidR="00837DFF">
        <w:rPr>
          <w:rFonts w:ascii="Verdana" w:hAnsi="Verdana"/>
          <w:sz w:val="20"/>
          <w:szCs w:val="20"/>
          <w:lang w:val="es-CR"/>
        </w:rPr>
        <w:t>;</w:t>
      </w:r>
      <w:r w:rsidR="004026A3" w:rsidRPr="00ED66CE">
        <w:rPr>
          <w:rFonts w:ascii="Verdana" w:hAnsi="Verdana"/>
          <w:sz w:val="20"/>
          <w:szCs w:val="20"/>
          <w:lang w:val="es-CR"/>
        </w:rPr>
        <w:t xml:space="preserve"> </w:t>
      </w:r>
      <w:r w:rsidR="004026A3" w:rsidRPr="00BE210A">
        <w:rPr>
          <w:rFonts w:ascii="Verdana" w:hAnsi="Verdana"/>
          <w:sz w:val="20"/>
          <w:szCs w:val="20"/>
          <w:lang w:val="es-CR"/>
        </w:rPr>
        <w:t>26 de enero</w:t>
      </w:r>
      <w:r w:rsidR="00C87515">
        <w:rPr>
          <w:rFonts w:ascii="Verdana" w:hAnsi="Verdana"/>
          <w:sz w:val="20"/>
          <w:szCs w:val="20"/>
          <w:lang w:val="es-CR"/>
        </w:rPr>
        <w:t>,</w:t>
      </w:r>
      <w:r w:rsidRPr="00BE210A">
        <w:rPr>
          <w:rFonts w:ascii="Verdana" w:hAnsi="Verdana"/>
          <w:sz w:val="20"/>
          <w:szCs w:val="20"/>
          <w:lang w:val="es-CR"/>
        </w:rPr>
        <w:t xml:space="preserve"> </w:t>
      </w:r>
      <w:r w:rsidR="00766AF4">
        <w:rPr>
          <w:rFonts w:ascii="Verdana" w:hAnsi="Verdana"/>
          <w:sz w:val="20"/>
          <w:szCs w:val="20"/>
          <w:lang w:val="es-CR"/>
        </w:rPr>
        <w:t>12 de abril</w:t>
      </w:r>
      <w:r w:rsidR="00C87515">
        <w:rPr>
          <w:rFonts w:ascii="Verdana" w:hAnsi="Verdana"/>
          <w:sz w:val="20"/>
          <w:szCs w:val="20"/>
          <w:lang w:val="es-CR"/>
        </w:rPr>
        <w:t>,</w:t>
      </w:r>
      <w:r w:rsidR="00766AF4">
        <w:rPr>
          <w:rFonts w:ascii="Verdana" w:hAnsi="Verdana"/>
          <w:b/>
          <w:sz w:val="20"/>
          <w:szCs w:val="20"/>
          <w:lang w:val="es-CR"/>
        </w:rPr>
        <w:t xml:space="preserve"> </w:t>
      </w:r>
      <w:r w:rsidR="00C87515" w:rsidRPr="00E50988">
        <w:rPr>
          <w:rFonts w:ascii="Verdana" w:hAnsi="Verdana"/>
          <w:sz w:val="20"/>
          <w:szCs w:val="20"/>
          <w:lang w:val="es-CR"/>
        </w:rPr>
        <w:t>30 de junio</w:t>
      </w:r>
      <w:r w:rsidR="00C87515">
        <w:rPr>
          <w:rFonts w:ascii="Verdana" w:hAnsi="Verdana"/>
          <w:sz w:val="20"/>
          <w:szCs w:val="20"/>
          <w:lang w:val="es-CR"/>
        </w:rPr>
        <w:t>,</w:t>
      </w:r>
      <w:r w:rsidR="00C87515" w:rsidRPr="00E50988">
        <w:rPr>
          <w:rFonts w:ascii="Verdana" w:hAnsi="Verdana"/>
          <w:sz w:val="20"/>
          <w:szCs w:val="20"/>
          <w:lang w:val="es-CR"/>
        </w:rPr>
        <w:t xml:space="preserve"> </w:t>
      </w:r>
      <w:r w:rsidR="00C0242B" w:rsidRPr="00E50988">
        <w:rPr>
          <w:rFonts w:ascii="Verdana" w:hAnsi="Verdana"/>
          <w:sz w:val="20"/>
          <w:szCs w:val="20"/>
          <w:lang w:val="es-CR"/>
        </w:rPr>
        <w:t>22 de agosto</w:t>
      </w:r>
      <w:r w:rsidR="00C0242B">
        <w:rPr>
          <w:rFonts w:ascii="Verdana" w:hAnsi="Verdana"/>
          <w:sz w:val="20"/>
          <w:szCs w:val="20"/>
          <w:lang w:val="es-CR"/>
        </w:rPr>
        <w:t>,</w:t>
      </w:r>
      <w:r w:rsidR="00C0242B">
        <w:rPr>
          <w:rFonts w:ascii="Verdana" w:hAnsi="Verdana"/>
          <w:b/>
          <w:sz w:val="20"/>
          <w:szCs w:val="20"/>
          <w:lang w:val="es-CR"/>
        </w:rPr>
        <w:t xml:space="preserve"> </w:t>
      </w:r>
      <w:r w:rsidR="003B4BE4" w:rsidRPr="00E50988">
        <w:rPr>
          <w:rFonts w:ascii="Verdana" w:hAnsi="Verdana"/>
          <w:sz w:val="20"/>
          <w:szCs w:val="20"/>
          <w:lang w:val="es-CR"/>
        </w:rPr>
        <w:t>1 de noviembre</w:t>
      </w:r>
      <w:r w:rsidR="003B4BE4">
        <w:rPr>
          <w:rFonts w:ascii="Verdana" w:hAnsi="Verdana"/>
          <w:sz w:val="20"/>
          <w:szCs w:val="20"/>
          <w:lang w:val="es-CR"/>
        </w:rPr>
        <w:t>,</w:t>
      </w:r>
      <w:r w:rsidR="003B4BE4" w:rsidRPr="00E50988">
        <w:rPr>
          <w:rFonts w:ascii="Verdana" w:hAnsi="Verdana"/>
          <w:sz w:val="20"/>
          <w:szCs w:val="20"/>
          <w:lang w:val="es-CR"/>
        </w:rPr>
        <w:t xml:space="preserve"> </w:t>
      </w:r>
      <w:r w:rsidR="00710BCB" w:rsidRPr="00E50988">
        <w:rPr>
          <w:rFonts w:ascii="Verdana" w:hAnsi="Verdana"/>
          <w:sz w:val="20"/>
          <w:szCs w:val="20"/>
          <w:lang w:val="es-CR"/>
        </w:rPr>
        <w:t>y 29 de diciembre</w:t>
      </w:r>
      <w:r w:rsidR="00710BCB">
        <w:rPr>
          <w:rFonts w:ascii="Verdana" w:hAnsi="Verdana"/>
          <w:sz w:val="20"/>
          <w:szCs w:val="20"/>
          <w:lang w:val="es-CR"/>
        </w:rPr>
        <w:t xml:space="preserve"> </w:t>
      </w:r>
      <w:r w:rsidR="00C87515" w:rsidRPr="00E50988">
        <w:rPr>
          <w:rFonts w:ascii="Verdana" w:hAnsi="Verdana"/>
          <w:sz w:val="20"/>
          <w:szCs w:val="20"/>
          <w:lang w:val="es-CR"/>
        </w:rPr>
        <w:t>de 2016</w:t>
      </w:r>
      <w:r w:rsidR="00837DFF">
        <w:rPr>
          <w:rFonts w:ascii="Verdana" w:hAnsi="Verdana"/>
          <w:sz w:val="20"/>
          <w:szCs w:val="20"/>
          <w:lang w:val="es-CR"/>
        </w:rPr>
        <w:t>, y</w:t>
      </w:r>
      <w:r w:rsidR="000A775D">
        <w:rPr>
          <w:rFonts w:ascii="Verdana" w:hAnsi="Verdana"/>
          <w:sz w:val="20"/>
          <w:szCs w:val="20"/>
          <w:lang w:val="es-CR"/>
        </w:rPr>
        <w:t xml:space="preserve"> 13 de enero,</w:t>
      </w:r>
      <w:r w:rsidR="000A775D" w:rsidRPr="00AE402B">
        <w:rPr>
          <w:rFonts w:ascii="Verdana" w:hAnsi="Verdana"/>
          <w:sz w:val="16"/>
          <w:szCs w:val="16"/>
          <w:lang w:val="es-CR"/>
        </w:rPr>
        <w:t xml:space="preserve"> </w:t>
      </w:r>
      <w:r w:rsidR="00EA5A23">
        <w:rPr>
          <w:rFonts w:ascii="Verdana" w:hAnsi="Verdana"/>
          <w:sz w:val="20"/>
          <w:szCs w:val="20"/>
          <w:lang w:val="es-CR"/>
        </w:rPr>
        <w:t xml:space="preserve">15 de marzo, </w:t>
      </w:r>
      <w:r w:rsidR="00BD677F">
        <w:rPr>
          <w:rFonts w:ascii="Verdana" w:hAnsi="Verdana"/>
          <w:sz w:val="20"/>
          <w:szCs w:val="20"/>
          <w:lang w:val="es-CR"/>
        </w:rPr>
        <w:t xml:space="preserve">18 de mayo </w:t>
      </w:r>
      <w:r w:rsidR="003B5341">
        <w:rPr>
          <w:rFonts w:ascii="Verdana" w:hAnsi="Verdana"/>
          <w:sz w:val="20"/>
          <w:szCs w:val="20"/>
          <w:lang w:val="es-CR"/>
        </w:rPr>
        <w:t xml:space="preserve">y 5 de julio </w:t>
      </w:r>
      <w:r w:rsidR="00DB1DDD">
        <w:rPr>
          <w:rFonts w:ascii="Verdana" w:hAnsi="Verdana"/>
          <w:sz w:val="20"/>
          <w:szCs w:val="20"/>
          <w:lang w:val="es-CR"/>
        </w:rPr>
        <w:t>de 2017,</w:t>
      </w:r>
      <w:r w:rsidR="00C87515">
        <w:rPr>
          <w:rFonts w:ascii="Verdana" w:hAnsi="Verdana"/>
          <w:b/>
          <w:sz w:val="20"/>
          <w:szCs w:val="20"/>
          <w:lang w:val="es-CR"/>
        </w:rPr>
        <w:t xml:space="preserve"> </w:t>
      </w:r>
      <w:r w:rsidRPr="00BE210A">
        <w:rPr>
          <w:rFonts w:ascii="Verdana" w:hAnsi="Verdana"/>
          <w:sz w:val="20"/>
          <w:szCs w:val="20"/>
          <w:lang w:val="es-CR"/>
        </w:rPr>
        <w:t xml:space="preserve">mediante los cuales informó sobre la implementación de las medidas provisionales en el presente asunto. </w:t>
      </w:r>
    </w:p>
    <w:p w:rsidR="00634C6F" w:rsidRPr="00BE210A" w:rsidRDefault="00634C6F" w:rsidP="00BD3334">
      <w:pPr>
        <w:pStyle w:val="ListParagraph"/>
        <w:ind w:left="0" w:right="-90"/>
        <w:jc w:val="both"/>
        <w:rPr>
          <w:rFonts w:ascii="Verdana" w:hAnsi="Verdana"/>
          <w:sz w:val="20"/>
          <w:szCs w:val="20"/>
          <w:lang w:val="es-CR"/>
        </w:rPr>
      </w:pPr>
    </w:p>
    <w:p w:rsidR="00C3164C" w:rsidRPr="00F54FF9" w:rsidRDefault="009B390F" w:rsidP="00BD3334">
      <w:pPr>
        <w:pStyle w:val="ListParagraph"/>
        <w:numPr>
          <w:ilvl w:val="0"/>
          <w:numId w:val="7"/>
        </w:numPr>
        <w:spacing w:before="100" w:beforeAutospacing="1" w:after="100" w:afterAutospacing="1"/>
        <w:ind w:left="0" w:right="-90" w:firstLine="0"/>
        <w:jc w:val="both"/>
        <w:rPr>
          <w:rFonts w:ascii="Verdana" w:hAnsi="Verdana"/>
          <w:sz w:val="20"/>
          <w:szCs w:val="20"/>
          <w:lang w:val="es-CR"/>
        </w:rPr>
      </w:pPr>
      <w:r w:rsidRPr="00F54FF9">
        <w:rPr>
          <w:rFonts w:ascii="Verdana" w:hAnsi="Verdana"/>
          <w:sz w:val="20"/>
          <w:szCs w:val="20"/>
          <w:lang w:val="es-CR"/>
        </w:rPr>
        <w:t>L</w:t>
      </w:r>
      <w:r w:rsidR="00C3164C" w:rsidRPr="00F54FF9">
        <w:rPr>
          <w:rFonts w:ascii="Verdana" w:hAnsi="Verdana"/>
          <w:sz w:val="20"/>
          <w:szCs w:val="20"/>
          <w:lang w:val="es-CR"/>
        </w:rPr>
        <w:t>o</w:t>
      </w:r>
      <w:r w:rsidRPr="00F54FF9">
        <w:rPr>
          <w:rFonts w:ascii="Verdana" w:hAnsi="Verdana"/>
          <w:sz w:val="20"/>
          <w:szCs w:val="20"/>
          <w:lang w:val="es-CR"/>
        </w:rPr>
        <w:t xml:space="preserve">s </w:t>
      </w:r>
      <w:r w:rsidR="00C3164C" w:rsidRPr="00F54FF9">
        <w:rPr>
          <w:rFonts w:ascii="Verdana" w:hAnsi="Verdana"/>
          <w:sz w:val="20"/>
          <w:szCs w:val="20"/>
          <w:lang w:val="es-CR"/>
        </w:rPr>
        <w:t>escritos de las representantes de l</w:t>
      </w:r>
      <w:r w:rsidR="007C7F8E" w:rsidRPr="00F54FF9">
        <w:rPr>
          <w:rFonts w:ascii="Verdana" w:hAnsi="Verdana"/>
          <w:sz w:val="20"/>
          <w:szCs w:val="20"/>
          <w:lang w:val="es-CR"/>
        </w:rPr>
        <w:t>a</w:t>
      </w:r>
      <w:r w:rsidR="00C3164C" w:rsidRPr="00F54FF9">
        <w:rPr>
          <w:rFonts w:ascii="Verdana" w:hAnsi="Verdana"/>
          <w:sz w:val="20"/>
          <w:szCs w:val="20"/>
          <w:lang w:val="es-CR"/>
        </w:rPr>
        <w:t>s</w:t>
      </w:r>
      <w:r w:rsidR="007C7F8E" w:rsidRPr="00F54FF9">
        <w:rPr>
          <w:rFonts w:ascii="Verdana" w:hAnsi="Verdana"/>
          <w:sz w:val="20"/>
          <w:szCs w:val="20"/>
          <w:lang w:val="es-CR"/>
        </w:rPr>
        <w:t xml:space="preserve"> personas</w:t>
      </w:r>
      <w:r w:rsidR="00C3164C" w:rsidRPr="00F54FF9">
        <w:rPr>
          <w:rFonts w:ascii="Verdana" w:hAnsi="Verdana"/>
          <w:sz w:val="20"/>
          <w:szCs w:val="20"/>
          <w:lang w:val="es-CR"/>
        </w:rPr>
        <w:t xml:space="preserve"> beneficiari</w:t>
      </w:r>
      <w:r w:rsidR="007C7F8E" w:rsidRPr="00F54FF9">
        <w:rPr>
          <w:rFonts w:ascii="Verdana" w:hAnsi="Verdana"/>
          <w:sz w:val="20"/>
          <w:szCs w:val="20"/>
          <w:lang w:val="es-CR"/>
        </w:rPr>
        <w:t>a</w:t>
      </w:r>
      <w:r w:rsidR="00C3164C" w:rsidRPr="00F54FF9">
        <w:rPr>
          <w:rFonts w:ascii="Verdana" w:hAnsi="Verdana"/>
          <w:sz w:val="20"/>
          <w:szCs w:val="20"/>
          <w:lang w:val="es-CR"/>
        </w:rPr>
        <w:t xml:space="preserve">s de las medidas provisionales (en adelante “las representantes”) </w:t>
      </w:r>
      <w:r w:rsidRPr="00F54FF9">
        <w:rPr>
          <w:rFonts w:ascii="Verdana" w:hAnsi="Verdana"/>
          <w:sz w:val="20"/>
          <w:szCs w:val="20"/>
          <w:lang w:val="es-CR"/>
        </w:rPr>
        <w:t>de 1</w:t>
      </w:r>
      <w:r w:rsidR="00E62B9A" w:rsidRPr="00F54FF9">
        <w:rPr>
          <w:rFonts w:ascii="Verdana" w:hAnsi="Verdana"/>
          <w:sz w:val="20"/>
          <w:szCs w:val="20"/>
          <w:lang w:val="es-CR"/>
        </w:rPr>
        <w:t>7</w:t>
      </w:r>
      <w:r w:rsidRPr="00F54FF9">
        <w:rPr>
          <w:rFonts w:ascii="Verdana" w:hAnsi="Verdana"/>
          <w:sz w:val="20"/>
          <w:szCs w:val="20"/>
          <w:lang w:val="es-CR"/>
        </w:rPr>
        <w:t xml:space="preserve"> de mayo,</w:t>
      </w:r>
      <w:r w:rsidR="00C3164C" w:rsidRPr="00F54FF9">
        <w:rPr>
          <w:rFonts w:ascii="Verdana" w:hAnsi="Verdana"/>
          <w:sz w:val="20"/>
          <w:szCs w:val="20"/>
          <w:lang w:val="es-CR"/>
        </w:rPr>
        <w:t xml:space="preserve"> </w:t>
      </w:r>
      <w:r w:rsidRPr="00F54FF9">
        <w:rPr>
          <w:rFonts w:ascii="Verdana" w:hAnsi="Verdana"/>
          <w:sz w:val="20"/>
          <w:szCs w:val="20"/>
          <w:lang w:val="es-CR"/>
        </w:rPr>
        <w:t>7 de julio</w:t>
      </w:r>
      <w:r w:rsidR="007C7F8E" w:rsidRPr="00F54FF9">
        <w:rPr>
          <w:rFonts w:ascii="Verdana" w:hAnsi="Verdana"/>
          <w:sz w:val="20"/>
          <w:szCs w:val="20"/>
          <w:lang w:val="es-CR"/>
        </w:rPr>
        <w:t xml:space="preserve"> y</w:t>
      </w:r>
      <w:r w:rsidRPr="00F54FF9">
        <w:rPr>
          <w:rFonts w:ascii="Verdana" w:hAnsi="Verdana"/>
          <w:sz w:val="20"/>
          <w:szCs w:val="20"/>
          <w:lang w:val="es-CR"/>
        </w:rPr>
        <w:t xml:space="preserve"> </w:t>
      </w:r>
      <w:r w:rsidR="00E80D07" w:rsidRPr="00F54FF9">
        <w:rPr>
          <w:rFonts w:ascii="Verdana" w:hAnsi="Verdana"/>
          <w:sz w:val="20"/>
          <w:szCs w:val="20"/>
          <w:lang w:val="es-CR"/>
        </w:rPr>
        <w:t>7</w:t>
      </w:r>
      <w:r w:rsidRPr="00F54FF9">
        <w:rPr>
          <w:rFonts w:ascii="Verdana" w:hAnsi="Verdana"/>
          <w:sz w:val="20"/>
          <w:szCs w:val="20"/>
          <w:lang w:val="es-CR"/>
        </w:rPr>
        <w:t xml:space="preserve"> de diciembre de 2011</w:t>
      </w:r>
      <w:r w:rsidR="007C7F8E" w:rsidRPr="00837DFF">
        <w:rPr>
          <w:rFonts w:ascii="Verdana" w:hAnsi="Verdana"/>
          <w:sz w:val="20"/>
          <w:szCs w:val="20"/>
          <w:lang w:val="es-CR"/>
        </w:rPr>
        <w:t>;</w:t>
      </w:r>
      <w:r w:rsidRPr="00F54FF9">
        <w:rPr>
          <w:rFonts w:ascii="Verdana" w:hAnsi="Verdana"/>
          <w:sz w:val="20"/>
          <w:szCs w:val="20"/>
          <w:lang w:val="es-CR"/>
        </w:rPr>
        <w:t xml:space="preserve"> 10 de mayo</w:t>
      </w:r>
      <w:r w:rsidR="007C7F8E" w:rsidRPr="00F54FF9">
        <w:rPr>
          <w:rFonts w:ascii="Verdana" w:hAnsi="Verdana"/>
          <w:sz w:val="20"/>
          <w:szCs w:val="20"/>
          <w:lang w:val="es-CR"/>
        </w:rPr>
        <w:t xml:space="preserve"> y</w:t>
      </w:r>
      <w:r w:rsidRPr="00F54FF9">
        <w:rPr>
          <w:rFonts w:ascii="Verdana" w:hAnsi="Verdana"/>
          <w:sz w:val="20"/>
          <w:szCs w:val="20"/>
          <w:lang w:val="es-CR"/>
        </w:rPr>
        <w:t xml:space="preserve"> 12 de septiembre de 2012</w:t>
      </w:r>
      <w:r w:rsidR="007C7F8E" w:rsidRPr="00F54FF9">
        <w:rPr>
          <w:rFonts w:ascii="Verdana" w:hAnsi="Verdana"/>
          <w:sz w:val="20"/>
          <w:szCs w:val="20"/>
          <w:lang w:val="es-CR"/>
        </w:rPr>
        <w:t>;</w:t>
      </w:r>
      <w:r w:rsidRPr="00F54FF9">
        <w:rPr>
          <w:rFonts w:ascii="Verdana" w:hAnsi="Verdana"/>
          <w:sz w:val="20"/>
          <w:szCs w:val="20"/>
          <w:lang w:val="es-CR"/>
        </w:rPr>
        <w:t xml:space="preserve"> 14 de febrero de 2013</w:t>
      </w:r>
      <w:r w:rsidR="007C7F8E" w:rsidRPr="00F54FF9">
        <w:rPr>
          <w:rFonts w:ascii="Verdana" w:hAnsi="Verdana"/>
          <w:sz w:val="20"/>
          <w:szCs w:val="20"/>
          <w:lang w:val="es-CR"/>
        </w:rPr>
        <w:t>;</w:t>
      </w:r>
      <w:r w:rsidRPr="00F54FF9">
        <w:rPr>
          <w:rFonts w:ascii="Verdana" w:hAnsi="Verdana"/>
          <w:sz w:val="20"/>
          <w:szCs w:val="20"/>
          <w:lang w:val="es-CR"/>
        </w:rPr>
        <w:t xml:space="preserve"> 26 de mayo de 2014</w:t>
      </w:r>
      <w:r w:rsidR="00663A46" w:rsidRPr="00837DFF">
        <w:rPr>
          <w:rFonts w:ascii="Verdana" w:hAnsi="Verdana"/>
          <w:sz w:val="20"/>
          <w:szCs w:val="20"/>
          <w:lang w:val="es-CR"/>
        </w:rPr>
        <w:t>;</w:t>
      </w:r>
      <w:r w:rsidR="007C7F8E" w:rsidRPr="00F54FF9">
        <w:rPr>
          <w:rFonts w:ascii="Verdana" w:hAnsi="Verdana"/>
          <w:sz w:val="20"/>
          <w:szCs w:val="20"/>
          <w:lang w:val="es-CR"/>
        </w:rPr>
        <w:t xml:space="preserve"> </w:t>
      </w:r>
      <w:r w:rsidRPr="00F54FF9">
        <w:rPr>
          <w:rFonts w:ascii="Verdana" w:hAnsi="Verdana"/>
          <w:sz w:val="20"/>
          <w:szCs w:val="20"/>
          <w:lang w:val="es-CR"/>
        </w:rPr>
        <w:t>2</w:t>
      </w:r>
      <w:r w:rsidR="00E62B9A" w:rsidRPr="00F54FF9">
        <w:rPr>
          <w:rFonts w:ascii="Verdana" w:hAnsi="Verdana"/>
          <w:sz w:val="20"/>
          <w:szCs w:val="20"/>
          <w:lang w:val="es-CR"/>
        </w:rPr>
        <w:t>2</w:t>
      </w:r>
      <w:r w:rsidRPr="00F54FF9">
        <w:rPr>
          <w:rFonts w:ascii="Verdana" w:hAnsi="Verdana"/>
          <w:sz w:val="20"/>
          <w:szCs w:val="20"/>
          <w:lang w:val="es-CR"/>
        </w:rPr>
        <w:t xml:space="preserve"> de abril</w:t>
      </w:r>
      <w:r w:rsidR="00C3164C" w:rsidRPr="00F54FF9">
        <w:rPr>
          <w:rFonts w:ascii="Verdana" w:hAnsi="Verdana"/>
          <w:sz w:val="20"/>
          <w:szCs w:val="20"/>
          <w:lang w:val="es-CR"/>
        </w:rPr>
        <w:t xml:space="preserve"> y</w:t>
      </w:r>
      <w:r w:rsidRPr="00F54FF9">
        <w:rPr>
          <w:rFonts w:ascii="Verdana" w:hAnsi="Verdana"/>
          <w:sz w:val="20"/>
          <w:szCs w:val="20"/>
          <w:lang w:val="es-CR"/>
        </w:rPr>
        <w:t xml:space="preserve"> 25 de mayo de 2015</w:t>
      </w:r>
      <w:r w:rsidR="00F92FBA" w:rsidRPr="00F54FF9">
        <w:rPr>
          <w:rFonts w:ascii="Verdana" w:hAnsi="Verdana"/>
          <w:sz w:val="20"/>
          <w:szCs w:val="20"/>
          <w:lang w:val="es-CR"/>
        </w:rPr>
        <w:t>;</w:t>
      </w:r>
      <w:r w:rsidRPr="00F54FF9">
        <w:rPr>
          <w:rFonts w:ascii="Verdana" w:hAnsi="Verdana"/>
          <w:sz w:val="20"/>
          <w:szCs w:val="20"/>
          <w:lang w:val="es-CR"/>
        </w:rPr>
        <w:t xml:space="preserve"> </w:t>
      </w:r>
      <w:r w:rsidR="00F92FBA" w:rsidRPr="00F54FF9">
        <w:rPr>
          <w:rFonts w:ascii="Verdana" w:hAnsi="Verdana"/>
          <w:sz w:val="20"/>
          <w:szCs w:val="20"/>
          <w:lang w:val="es-CR"/>
        </w:rPr>
        <w:t>3 de junio de 2016</w:t>
      </w:r>
      <w:r w:rsidR="00837DFF">
        <w:rPr>
          <w:rFonts w:ascii="Verdana" w:hAnsi="Verdana"/>
          <w:sz w:val="20"/>
          <w:szCs w:val="20"/>
          <w:lang w:val="es-CR"/>
        </w:rPr>
        <w:t>, y</w:t>
      </w:r>
      <w:r w:rsidR="00202C76" w:rsidRPr="00F54FF9">
        <w:rPr>
          <w:rFonts w:ascii="Verdana" w:hAnsi="Verdana"/>
          <w:sz w:val="20"/>
          <w:szCs w:val="20"/>
          <w:lang w:val="es-CR"/>
        </w:rPr>
        <w:t xml:space="preserve"> 28 de febrero</w:t>
      </w:r>
      <w:r w:rsidR="00837DFF">
        <w:rPr>
          <w:rFonts w:ascii="Verdana" w:hAnsi="Verdana"/>
          <w:sz w:val="20"/>
          <w:szCs w:val="20"/>
          <w:lang w:val="es-CR"/>
        </w:rPr>
        <w:t xml:space="preserve"> y</w:t>
      </w:r>
      <w:r w:rsidR="005D0F73" w:rsidRPr="00F54FF9">
        <w:rPr>
          <w:rFonts w:ascii="Verdana" w:hAnsi="Verdana"/>
          <w:sz w:val="20"/>
          <w:szCs w:val="20"/>
          <w:lang w:val="es-CR"/>
        </w:rPr>
        <w:t xml:space="preserve"> 4</w:t>
      </w:r>
      <w:r w:rsidR="00202C76" w:rsidRPr="00F54FF9">
        <w:rPr>
          <w:rFonts w:ascii="Verdana" w:hAnsi="Verdana"/>
          <w:sz w:val="20"/>
          <w:szCs w:val="20"/>
          <w:lang w:val="es-CR"/>
        </w:rPr>
        <w:t xml:space="preserve"> </w:t>
      </w:r>
      <w:r w:rsidR="00803B87" w:rsidRPr="00F54FF9">
        <w:rPr>
          <w:rFonts w:ascii="Verdana" w:hAnsi="Verdana"/>
          <w:sz w:val="20"/>
          <w:szCs w:val="20"/>
          <w:lang w:val="es-CR"/>
        </w:rPr>
        <w:t xml:space="preserve">y 11 de mayo </w:t>
      </w:r>
      <w:r w:rsidR="00202C76" w:rsidRPr="00F54FF9">
        <w:rPr>
          <w:rFonts w:ascii="Verdana" w:hAnsi="Verdana"/>
          <w:sz w:val="20"/>
          <w:szCs w:val="20"/>
          <w:lang w:val="es-CR"/>
        </w:rPr>
        <w:t>de 2017</w:t>
      </w:r>
      <w:r w:rsidR="00663A46" w:rsidRPr="00F54FF9">
        <w:rPr>
          <w:rFonts w:ascii="Verdana" w:hAnsi="Verdana"/>
          <w:sz w:val="20"/>
          <w:szCs w:val="20"/>
          <w:lang w:val="es-CR"/>
        </w:rPr>
        <w:t>,</w:t>
      </w:r>
      <w:r w:rsidR="00F92FBA" w:rsidRPr="00F54FF9">
        <w:rPr>
          <w:rFonts w:ascii="Verdana" w:hAnsi="Verdana"/>
          <w:sz w:val="20"/>
          <w:szCs w:val="20"/>
          <w:lang w:val="es-CR"/>
        </w:rPr>
        <w:t xml:space="preserve"> </w:t>
      </w:r>
      <w:r w:rsidRPr="00F54FF9">
        <w:rPr>
          <w:rFonts w:ascii="Verdana" w:hAnsi="Verdana"/>
          <w:sz w:val="20"/>
          <w:szCs w:val="20"/>
          <w:lang w:val="es-CR"/>
        </w:rPr>
        <w:t>mediante l</w:t>
      </w:r>
      <w:r w:rsidR="005D635A" w:rsidRPr="00F54FF9">
        <w:rPr>
          <w:rFonts w:ascii="Verdana" w:hAnsi="Verdana"/>
          <w:sz w:val="20"/>
          <w:szCs w:val="20"/>
          <w:lang w:val="es-CR"/>
        </w:rPr>
        <w:t>o</w:t>
      </w:r>
      <w:r w:rsidRPr="00F54FF9">
        <w:rPr>
          <w:rFonts w:ascii="Verdana" w:hAnsi="Verdana"/>
          <w:sz w:val="20"/>
          <w:szCs w:val="20"/>
          <w:lang w:val="es-CR"/>
        </w:rPr>
        <w:t>s cuales presentaron sus observaciones a lo informado por el Estado, así como información adicional respecto a la implementación de las medidas provisionales</w:t>
      </w:r>
      <w:r w:rsidR="00837DFF">
        <w:rPr>
          <w:rFonts w:ascii="Verdana" w:hAnsi="Verdana"/>
          <w:sz w:val="20"/>
          <w:szCs w:val="20"/>
          <w:lang w:val="es-CR"/>
        </w:rPr>
        <w:t>,</w:t>
      </w:r>
      <w:r w:rsidR="005D0F73" w:rsidRPr="00F54FF9">
        <w:rPr>
          <w:rFonts w:ascii="Verdana" w:hAnsi="Verdana"/>
          <w:sz w:val="20"/>
          <w:szCs w:val="20"/>
          <w:lang w:val="es-CR"/>
        </w:rPr>
        <w:t xml:space="preserve"> y la comunicación de la beneficiaria Mery del Socorro Naranjo Jiménez de 16 de abril de 2017. </w:t>
      </w:r>
    </w:p>
    <w:p w:rsidR="00634C6F" w:rsidRPr="00BE210A" w:rsidRDefault="00634C6F" w:rsidP="00BD3334">
      <w:pPr>
        <w:pStyle w:val="ListParagraph"/>
        <w:spacing w:before="100" w:beforeAutospacing="1" w:after="100" w:afterAutospacing="1"/>
        <w:ind w:left="0" w:right="-90"/>
        <w:jc w:val="both"/>
        <w:rPr>
          <w:rFonts w:ascii="Verdana" w:hAnsi="Verdana"/>
          <w:sz w:val="20"/>
          <w:szCs w:val="20"/>
          <w:lang w:val="es-CR"/>
        </w:rPr>
      </w:pPr>
    </w:p>
    <w:p w:rsidR="00E62CEE" w:rsidRPr="00BE210A" w:rsidRDefault="00E62CEE" w:rsidP="00BD3334">
      <w:pPr>
        <w:pStyle w:val="ListParagraph"/>
        <w:numPr>
          <w:ilvl w:val="0"/>
          <w:numId w:val="7"/>
        </w:numPr>
        <w:ind w:left="0" w:right="-90" w:firstLine="0"/>
        <w:jc w:val="both"/>
        <w:rPr>
          <w:rFonts w:ascii="Verdana" w:hAnsi="Verdana"/>
          <w:b/>
          <w:sz w:val="20"/>
          <w:szCs w:val="20"/>
          <w:lang w:val="es-CR"/>
        </w:rPr>
      </w:pPr>
      <w:r w:rsidRPr="00BE210A">
        <w:rPr>
          <w:rFonts w:ascii="Verdana" w:hAnsi="Verdana"/>
          <w:sz w:val="20"/>
          <w:szCs w:val="20"/>
          <w:lang w:val="es-CR"/>
        </w:rPr>
        <w:t>L</w:t>
      </w:r>
      <w:r w:rsidR="005D635A">
        <w:rPr>
          <w:rFonts w:ascii="Verdana" w:hAnsi="Verdana"/>
          <w:sz w:val="20"/>
          <w:szCs w:val="20"/>
          <w:lang w:val="es-CR"/>
        </w:rPr>
        <w:t>o</w:t>
      </w:r>
      <w:r w:rsidRPr="00BE210A">
        <w:rPr>
          <w:rFonts w:ascii="Verdana" w:hAnsi="Verdana"/>
          <w:sz w:val="20"/>
          <w:szCs w:val="20"/>
          <w:lang w:val="es-CR"/>
        </w:rPr>
        <w:t xml:space="preserve">s </w:t>
      </w:r>
      <w:r w:rsidR="005070F7" w:rsidRPr="00BE210A">
        <w:rPr>
          <w:rFonts w:ascii="Verdana" w:hAnsi="Verdana"/>
          <w:sz w:val="20"/>
          <w:szCs w:val="20"/>
          <w:lang w:val="es-CR"/>
        </w:rPr>
        <w:t xml:space="preserve">escritos de la Comisión Interamericana de Derechos Humanos (en adelante “la Comisión Interamericana” o “la Comisión”) </w:t>
      </w:r>
      <w:r w:rsidRPr="00BE210A">
        <w:rPr>
          <w:rFonts w:ascii="Verdana" w:hAnsi="Verdana"/>
          <w:sz w:val="20"/>
          <w:szCs w:val="20"/>
          <w:lang w:val="es-CR"/>
        </w:rPr>
        <w:t>de 6 de mayo, 1 de agosto</w:t>
      </w:r>
      <w:r w:rsidR="007C7F8E" w:rsidRPr="00436979">
        <w:rPr>
          <w:rFonts w:ascii="Verdana" w:hAnsi="Verdana"/>
          <w:sz w:val="20"/>
          <w:szCs w:val="20"/>
          <w:lang w:val="es-CR"/>
        </w:rPr>
        <w:t xml:space="preserve"> y</w:t>
      </w:r>
      <w:r w:rsidRPr="00BE210A">
        <w:rPr>
          <w:rFonts w:ascii="Verdana" w:hAnsi="Verdana"/>
          <w:sz w:val="20"/>
          <w:szCs w:val="20"/>
          <w:lang w:val="es-CR"/>
        </w:rPr>
        <w:t xml:space="preserve"> 7 de diciembre de 2011</w:t>
      </w:r>
      <w:r w:rsidR="007C7F8E" w:rsidRPr="00AE402B">
        <w:rPr>
          <w:rFonts w:ascii="Verdana" w:hAnsi="Verdana"/>
          <w:sz w:val="20"/>
          <w:szCs w:val="20"/>
          <w:lang w:val="es-CR"/>
        </w:rPr>
        <w:t>;</w:t>
      </w:r>
      <w:r w:rsidRPr="00BE210A">
        <w:rPr>
          <w:rFonts w:ascii="Verdana" w:hAnsi="Verdana"/>
          <w:sz w:val="20"/>
          <w:szCs w:val="20"/>
          <w:lang w:val="es-CR"/>
        </w:rPr>
        <w:t xml:space="preserve"> 14 de febrero, 24 de abril</w:t>
      </w:r>
      <w:r w:rsidR="007C7F8E">
        <w:rPr>
          <w:rFonts w:ascii="Verdana" w:hAnsi="Verdana"/>
          <w:b/>
          <w:sz w:val="20"/>
          <w:szCs w:val="20"/>
          <w:lang w:val="es-CR"/>
        </w:rPr>
        <w:t xml:space="preserve"> </w:t>
      </w:r>
      <w:r w:rsidR="007C7F8E">
        <w:rPr>
          <w:rFonts w:ascii="Verdana" w:hAnsi="Verdana"/>
          <w:sz w:val="20"/>
          <w:szCs w:val="20"/>
          <w:lang w:val="es-CR"/>
        </w:rPr>
        <w:t>y</w:t>
      </w:r>
      <w:r w:rsidRPr="00BE210A">
        <w:rPr>
          <w:rFonts w:ascii="Verdana" w:hAnsi="Verdana"/>
          <w:sz w:val="20"/>
          <w:szCs w:val="20"/>
          <w:lang w:val="es-CR"/>
        </w:rPr>
        <w:t xml:space="preserve"> 18 de diciembre de 2012</w:t>
      </w:r>
      <w:r w:rsidR="007C7F8E">
        <w:rPr>
          <w:rFonts w:ascii="Verdana" w:hAnsi="Verdana"/>
          <w:sz w:val="20"/>
          <w:szCs w:val="20"/>
          <w:lang w:val="es-CR"/>
        </w:rPr>
        <w:t>;</w:t>
      </w:r>
      <w:r w:rsidRPr="00BE210A">
        <w:rPr>
          <w:rFonts w:ascii="Verdana" w:hAnsi="Verdana"/>
          <w:sz w:val="20"/>
          <w:szCs w:val="20"/>
          <w:lang w:val="es-CR"/>
        </w:rPr>
        <w:t xml:space="preserve"> 13 de mayo, 16 de agosto</w:t>
      </w:r>
      <w:r w:rsidR="007C7F8E">
        <w:rPr>
          <w:rFonts w:ascii="Verdana" w:hAnsi="Verdana"/>
          <w:sz w:val="20"/>
          <w:szCs w:val="20"/>
          <w:lang w:val="es-CR"/>
        </w:rPr>
        <w:t xml:space="preserve"> y</w:t>
      </w:r>
      <w:r w:rsidRPr="00BE210A">
        <w:rPr>
          <w:rFonts w:ascii="Verdana" w:hAnsi="Verdana"/>
          <w:sz w:val="20"/>
          <w:szCs w:val="20"/>
          <w:lang w:val="es-CR"/>
        </w:rPr>
        <w:t xml:space="preserve"> </w:t>
      </w:r>
      <w:r w:rsidR="004A7E26">
        <w:rPr>
          <w:rFonts w:ascii="Verdana" w:hAnsi="Verdana"/>
          <w:sz w:val="20"/>
          <w:szCs w:val="20"/>
          <w:lang w:val="es-CR"/>
        </w:rPr>
        <w:t>9</w:t>
      </w:r>
      <w:r w:rsidRPr="00BE210A">
        <w:rPr>
          <w:rFonts w:ascii="Verdana" w:hAnsi="Verdana"/>
          <w:sz w:val="20"/>
          <w:szCs w:val="20"/>
          <w:lang w:val="es-CR"/>
        </w:rPr>
        <w:t xml:space="preserve"> de noviembre de 2013</w:t>
      </w:r>
      <w:r w:rsidR="007C7F8E">
        <w:rPr>
          <w:rFonts w:ascii="Verdana" w:hAnsi="Verdana"/>
          <w:sz w:val="20"/>
          <w:szCs w:val="20"/>
          <w:lang w:val="es-CR"/>
        </w:rPr>
        <w:t>;</w:t>
      </w:r>
      <w:r w:rsidRPr="00BE210A">
        <w:rPr>
          <w:rFonts w:ascii="Verdana" w:hAnsi="Verdana"/>
          <w:sz w:val="20"/>
          <w:szCs w:val="20"/>
          <w:lang w:val="es-CR"/>
        </w:rPr>
        <w:t xml:space="preserve"> 16 de enero, 6 de marzo, 9 de junio</w:t>
      </w:r>
      <w:r w:rsidR="007C7F8E">
        <w:rPr>
          <w:rFonts w:ascii="Verdana" w:hAnsi="Verdana"/>
          <w:sz w:val="20"/>
          <w:szCs w:val="20"/>
          <w:lang w:val="es-CR"/>
        </w:rPr>
        <w:t xml:space="preserve"> y</w:t>
      </w:r>
      <w:r w:rsidRPr="00BE210A">
        <w:rPr>
          <w:rFonts w:ascii="Verdana" w:hAnsi="Verdana"/>
          <w:sz w:val="20"/>
          <w:szCs w:val="20"/>
          <w:lang w:val="es-CR"/>
        </w:rPr>
        <w:t xml:space="preserve"> 22 de octubre de 2014</w:t>
      </w:r>
      <w:r w:rsidR="005D635A">
        <w:rPr>
          <w:rFonts w:ascii="Verdana" w:hAnsi="Verdana"/>
          <w:sz w:val="20"/>
          <w:szCs w:val="20"/>
          <w:lang w:val="es-CR"/>
        </w:rPr>
        <w:t>;</w:t>
      </w:r>
      <w:r w:rsidRPr="00BE210A">
        <w:rPr>
          <w:rFonts w:ascii="Verdana" w:hAnsi="Verdana"/>
          <w:sz w:val="20"/>
          <w:szCs w:val="20"/>
          <w:lang w:val="es-CR"/>
        </w:rPr>
        <w:t xml:space="preserve"> 7 de enero, 12 de mayo, 1</w:t>
      </w:r>
      <w:r w:rsidR="00B25852" w:rsidRPr="00BE210A">
        <w:rPr>
          <w:rFonts w:ascii="Verdana" w:hAnsi="Verdana"/>
          <w:sz w:val="20"/>
          <w:szCs w:val="20"/>
          <w:lang w:val="es-CR"/>
        </w:rPr>
        <w:t>8</w:t>
      </w:r>
      <w:r w:rsidR="00F54FF9">
        <w:rPr>
          <w:rFonts w:ascii="Verdana" w:hAnsi="Verdana"/>
          <w:sz w:val="20"/>
          <w:szCs w:val="20"/>
          <w:lang w:val="es-CR"/>
        </w:rPr>
        <w:t xml:space="preserve"> de junio</w:t>
      </w:r>
      <w:r w:rsidRPr="00BE210A">
        <w:rPr>
          <w:rFonts w:ascii="Verdana" w:hAnsi="Verdana"/>
          <w:sz w:val="20"/>
          <w:szCs w:val="20"/>
          <w:lang w:val="es-CR"/>
        </w:rPr>
        <w:t xml:space="preserve">, 4 de agosto </w:t>
      </w:r>
      <w:r w:rsidR="005D635A">
        <w:rPr>
          <w:rFonts w:ascii="Verdana" w:hAnsi="Verdana"/>
          <w:sz w:val="20"/>
          <w:szCs w:val="20"/>
          <w:lang w:val="es-CR"/>
        </w:rPr>
        <w:t>y</w:t>
      </w:r>
      <w:r w:rsidRPr="00BE210A">
        <w:rPr>
          <w:rFonts w:ascii="Verdana" w:hAnsi="Verdana"/>
          <w:sz w:val="20"/>
          <w:szCs w:val="20"/>
          <w:lang w:val="es-CR"/>
        </w:rPr>
        <w:t xml:space="preserve"> 4 de noviembre de 2015</w:t>
      </w:r>
      <w:r w:rsidR="00663A46">
        <w:rPr>
          <w:rFonts w:ascii="Verdana" w:hAnsi="Verdana"/>
          <w:sz w:val="20"/>
          <w:szCs w:val="20"/>
          <w:lang w:val="es-CR"/>
        </w:rPr>
        <w:t>;</w:t>
      </w:r>
      <w:r w:rsidRPr="00BE210A">
        <w:rPr>
          <w:rFonts w:ascii="Verdana" w:hAnsi="Verdana"/>
          <w:sz w:val="20"/>
          <w:szCs w:val="20"/>
          <w:lang w:val="es-CR"/>
        </w:rPr>
        <w:t xml:space="preserve"> </w:t>
      </w:r>
      <w:r w:rsidR="004026A3" w:rsidRPr="00BE210A">
        <w:rPr>
          <w:rFonts w:ascii="Verdana" w:hAnsi="Verdana"/>
          <w:sz w:val="20"/>
          <w:szCs w:val="20"/>
          <w:lang w:val="es-CR"/>
        </w:rPr>
        <w:t>19 de enero</w:t>
      </w:r>
      <w:r w:rsidR="00837DFF">
        <w:rPr>
          <w:rFonts w:ascii="Verdana" w:hAnsi="Verdana"/>
          <w:sz w:val="20"/>
          <w:szCs w:val="20"/>
          <w:lang w:val="es-CR"/>
        </w:rPr>
        <w:t xml:space="preserve">, </w:t>
      </w:r>
      <w:r w:rsidR="00ED66CE" w:rsidRPr="00436979">
        <w:rPr>
          <w:rFonts w:ascii="Verdana" w:hAnsi="Verdana"/>
          <w:sz w:val="20"/>
          <w:szCs w:val="20"/>
          <w:lang w:val="es-CR"/>
        </w:rPr>
        <w:t>22 de abril</w:t>
      </w:r>
      <w:r w:rsidR="00C87515">
        <w:rPr>
          <w:rFonts w:ascii="Verdana" w:hAnsi="Verdana"/>
          <w:sz w:val="20"/>
          <w:szCs w:val="20"/>
          <w:lang w:val="es-CR"/>
        </w:rPr>
        <w:t>, 7 de junio,</w:t>
      </w:r>
      <w:r w:rsidR="005070F7" w:rsidRPr="00BE210A">
        <w:rPr>
          <w:rFonts w:ascii="Verdana" w:hAnsi="Verdana"/>
          <w:sz w:val="20"/>
          <w:szCs w:val="20"/>
          <w:lang w:val="es-CR"/>
        </w:rPr>
        <w:t xml:space="preserve"> </w:t>
      </w:r>
      <w:r w:rsidR="004D1683">
        <w:rPr>
          <w:rFonts w:ascii="Verdana" w:hAnsi="Verdana"/>
          <w:sz w:val="20"/>
          <w:szCs w:val="20"/>
          <w:lang w:val="es-CR"/>
        </w:rPr>
        <w:t xml:space="preserve">19 de agosto </w:t>
      </w:r>
      <w:r w:rsidR="00202C76">
        <w:rPr>
          <w:rFonts w:ascii="Verdana" w:hAnsi="Verdana"/>
          <w:sz w:val="20"/>
          <w:szCs w:val="20"/>
          <w:lang w:val="es-CR"/>
        </w:rPr>
        <w:t xml:space="preserve">y </w:t>
      </w:r>
      <w:r w:rsidR="003B4BE4">
        <w:rPr>
          <w:rFonts w:ascii="Verdana" w:hAnsi="Verdana"/>
          <w:sz w:val="20"/>
          <w:szCs w:val="20"/>
          <w:lang w:val="es-CR"/>
        </w:rPr>
        <w:t xml:space="preserve">11 de octubre </w:t>
      </w:r>
      <w:r w:rsidR="00ED66CE" w:rsidRPr="00BE210A">
        <w:rPr>
          <w:rFonts w:ascii="Verdana" w:hAnsi="Verdana"/>
          <w:sz w:val="20"/>
          <w:szCs w:val="20"/>
          <w:lang w:val="es-CR"/>
        </w:rPr>
        <w:t>de 2016</w:t>
      </w:r>
      <w:r w:rsidR="00837DFF">
        <w:rPr>
          <w:rFonts w:ascii="Verdana" w:hAnsi="Verdana"/>
          <w:sz w:val="20"/>
          <w:szCs w:val="20"/>
          <w:lang w:val="es-CR"/>
        </w:rPr>
        <w:t>, y</w:t>
      </w:r>
      <w:r w:rsidR="00202C76">
        <w:rPr>
          <w:rFonts w:ascii="Verdana" w:hAnsi="Verdana"/>
          <w:sz w:val="20"/>
          <w:szCs w:val="20"/>
          <w:lang w:val="es-CR"/>
        </w:rPr>
        <w:t xml:space="preserve"> 26 de enero</w:t>
      </w:r>
      <w:r w:rsidR="003B3F06">
        <w:rPr>
          <w:rFonts w:ascii="Verdana" w:hAnsi="Verdana"/>
          <w:sz w:val="20"/>
          <w:szCs w:val="20"/>
          <w:lang w:val="es-CR"/>
        </w:rPr>
        <w:t>,</w:t>
      </w:r>
      <w:r w:rsidR="00202C76">
        <w:rPr>
          <w:rFonts w:ascii="Verdana" w:hAnsi="Verdana"/>
          <w:sz w:val="20"/>
          <w:szCs w:val="20"/>
          <w:lang w:val="es-CR"/>
        </w:rPr>
        <w:t xml:space="preserve"> </w:t>
      </w:r>
      <w:r w:rsidR="003B3F06">
        <w:rPr>
          <w:rFonts w:ascii="Verdana" w:hAnsi="Verdana"/>
          <w:sz w:val="20"/>
          <w:szCs w:val="20"/>
          <w:lang w:val="es-CR"/>
        </w:rPr>
        <w:t xml:space="preserve">5 de abril </w:t>
      </w:r>
      <w:r w:rsidR="00F97E44" w:rsidRPr="00A327CA">
        <w:rPr>
          <w:rFonts w:ascii="Verdana" w:hAnsi="Verdana"/>
          <w:sz w:val="20"/>
          <w:szCs w:val="20"/>
          <w:lang w:val="es-CR"/>
        </w:rPr>
        <w:t xml:space="preserve">y 1 </w:t>
      </w:r>
      <w:r w:rsidR="00837DFF">
        <w:rPr>
          <w:rFonts w:ascii="Verdana" w:hAnsi="Verdana"/>
          <w:sz w:val="20"/>
          <w:szCs w:val="20"/>
          <w:lang w:val="es-CR"/>
        </w:rPr>
        <w:t>d</w:t>
      </w:r>
      <w:r w:rsidR="00F97E44" w:rsidRPr="00A327CA">
        <w:rPr>
          <w:rFonts w:ascii="Verdana" w:hAnsi="Verdana"/>
          <w:sz w:val="20"/>
          <w:szCs w:val="20"/>
          <w:lang w:val="es-CR"/>
        </w:rPr>
        <w:t>e agosto</w:t>
      </w:r>
      <w:r w:rsidR="00F97E44">
        <w:rPr>
          <w:rFonts w:ascii="Verdana" w:hAnsi="Verdana"/>
          <w:sz w:val="20"/>
          <w:szCs w:val="20"/>
          <w:lang w:val="es-CR"/>
        </w:rPr>
        <w:t xml:space="preserve"> </w:t>
      </w:r>
      <w:r w:rsidR="00202C76">
        <w:rPr>
          <w:rFonts w:ascii="Verdana" w:hAnsi="Verdana"/>
          <w:sz w:val="20"/>
          <w:szCs w:val="20"/>
          <w:lang w:val="es-CR"/>
        </w:rPr>
        <w:t>de 2017</w:t>
      </w:r>
      <w:r w:rsidR="00DB1DDD">
        <w:rPr>
          <w:rFonts w:ascii="Verdana" w:hAnsi="Verdana"/>
          <w:sz w:val="20"/>
          <w:szCs w:val="20"/>
          <w:lang w:val="es-CR"/>
        </w:rPr>
        <w:t>,</w:t>
      </w:r>
      <w:r w:rsidR="00202C76">
        <w:rPr>
          <w:rFonts w:ascii="Verdana" w:hAnsi="Verdana"/>
          <w:sz w:val="20"/>
          <w:szCs w:val="20"/>
          <w:lang w:val="es-CR"/>
        </w:rPr>
        <w:t xml:space="preserve"> </w:t>
      </w:r>
      <w:r w:rsidRPr="00BE210A">
        <w:rPr>
          <w:rFonts w:ascii="Verdana" w:hAnsi="Verdana"/>
          <w:sz w:val="20"/>
          <w:szCs w:val="20"/>
          <w:lang w:val="es-CR"/>
        </w:rPr>
        <w:t>mediante l</w:t>
      </w:r>
      <w:r w:rsidR="005D635A">
        <w:rPr>
          <w:rFonts w:ascii="Verdana" w:hAnsi="Verdana"/>
          <w:sz w:val="20"/>
          <w:szCs w:val="20"/>
          <w:lang w:val="es-CR"/>
        </w:rPr>
        <w:t>o</w:t>
      </w:r>
      <w:r w:rsidRPr="00BE210A">
        <w:rPr>
          <w:rFonts w:ascii="Verdana" w:hAnsi="Verdana"/>
          <w:sz w:val="20"/>
          <w:szCs w:val="20"/>
          <w:lang w:val="es-CR"/>
        </w:rPr>
        <w:t xml:space="preserve">s cuales presentó sus observaciones </w:t>
      </w:r>
      <w:r w:rsidR="00837DFF">
        <w:rPr>
          <w:rFonts w:ascii="Verdana" w:hAnsi="Verdana"/>
          <w:sz w:val="20"/>
          <w:szCs w:val="20"/>
          <w:lang w:val="es-CR"/>
        </w:rPr>
        <w:t>sobre</w:t>
      </w:r>
      <w:r w:rsidRPr="00BE210A">
        <w:rPr>
          <w:rFonts w:ascii="Verdana" w:hAnsi="Verdana"/>
          <w:sz w:val="20"/>
          <w:szCs w:val="20"/>
          <w:lang w:val="es-CR"/>
        </w:rPr>
        <w:t xml:space="preserve"> la </w:t>
      </w:r>
      <w:r w:rsidR="005070F7" w:rsidRPr="00BE210A">
        <w:rPr>
          <w:rFonts w:ascii="Verdana" w:hAnsi="Verdana"/>
          <w:sz w:val="20"/>
          <w:szCs w:val="20"/>
          <w:lang w:val="es-CR"/>
        </w:rPr>
        <w:t>implementación de las</w:t>
      </w:r>
      <w:r w:rsidRPr="00BE210A">
        <w:rPr>
          <w:rFonts w:ascii="Verdana" w:hAnsi="Verdana"/>
          <w:sz w:val="20"/>
          <w:szCs w:val="20"/>
          <w:lang w:val="es-CR"/>
        </w:rPr>
        <w:t xml:space="preserve"> medidas provisionales</w:t>
      </w:r>
      <w:r w:rsidR="005070F7" w:rsidRPr="00BE210A">
        <w:rPr>
          <w:rFonts w:ascii="Verdana" w:hAnsi="Verdana"/>
          <w:sz w:val="20"/>
          <w:szCs w:val="20"/>
          <w:lang w:val="es-CR"/>
        </w:rPr>
        <w:t>.</w:t>
      </w:r>
      <w:r w:rsidRPr="00BE210A">
        <w:rPr>
          <w:rFonts w:ascii="Verdana" w:hAnsi="Verdana"/>
          <w:sz w:val="20"/>
          <w:szCs w:val="20"/>
          <w:lang w:val="es-CR"/>
        </w:rPr>
        <w:t xml:space="preserve"> </w:t>
      </w:r>
    </w:p>
    <w:p w:rsidR="00683F85" w:rsidRPr="00BE210A" w:rsidRDefault="00683F85" w:rsidP="00BD3334">
      <w:pPr>
        <w:autoSpaceDE w:val="0"/>
        <w:autoSpaceDN w:val="0"/>
        <w:adjustRightInd w:val="0"/>
        <w:ind w:right="-90"/>
        <w:jc w:val="both"/>
        <w:rPr>
          <w:rFonts w:ascii="Verdana" w:hAnsi="Verdana"/>
          <w:b/>
          <w:sz w:val="20"/>
          <w:szCs w:val="20"/>
          <w:lang w:val="es-CR"/>
        </w:rPr>
      </w:pPr>
    </w:p>
    <w:p w:rsidR="00DD6C71" w:rsidRPr="008C78C3" w:rsidRDefault="00DD6C71" w:rsidP="00DD6C71">
      <w:pPr>
        <w:pStyle w:val="ListParagraph"/>
        <w:numPr>
          <w:ilvl w:val="0"/>
          <w:numId w:val="7"/>
        </w:numPr>
        <w:autoSpaceDE w:val="0"/>
        <w:autoSpaceDN w:val="0"/>
        <w:adjustRightInd w:val="0"/>
        <w:ind w:left="0" w:right="-90" w:firstLine="0"/>
        <w:jc w:val="both"/>
        <w:rPr>
          <w:rFonts w:ascii="Verdana" w:hAnsi="Verdana" w:cs="Arial"/>
          <w:sz w:val="20"/>
          <w:szCs w:val="20"/>
          <w:lang w:val="es-ES"/>
        </w:rPr>
      </w:pPr>
      <w:r w:rsidRPr="008C78C3">
        <w:rPr>
          <w:rFonts w:ascii="Verdana" w:hAnsi="Verdana" w:cs="Arial"/>
          <w:sz w:val="20"/>
          <w:szCs w:val="20"/>
          <w:lang w:val="es-ES"/>
        </w:rPr>
        <w:t>La nota de la Secretaría de</w:t>
      </w:r>
      <w:r w:rsidR="00132876">
        <w:rPr>
          <w:rFonts w:ascii="Verdana" w:hAnsi="Verdana" w:cs="Arial"/>
          <w:sz w:val="20"/>
          <w:szCs w:val="20"/>
          <w:lang w:val="es-ES"/>
        </w:rPr>
        <w:t xml:space="preserve"> la Corte</w:t>
      </w:r>
      <w:r w:rsidRPr="008C78C3">
        <w:rPr>
          <w:rFonts w:ascii="Verdana" w:hAnsi="Verdana" w:cs="Arial"/>
          <w:sz w:val="20"/>
          <w:szCs w:val="20"/>
          <w:lang w:val="es-ES"/>
        </w:rPr>
        <w:t xml:space="preserve"> </w:t>
      </w:r>
      <w:r w:rsidR="00663A46">
        <w:rPr>
          <w:rFonts w:ascii="Verdana" w:hAnsi="Verdana" w:cs="Arial"/>
          <w:sz w:val="20"/>
          <w:szCs w:val="20"/>
          <w:lang w:val="es-ES"/>
        </w:rPr>
        <w:t xml:space="preserve">de </w:t>
      </w:r>
      <w:r w:rsidRPr="008C78C3">
        <w:rPr>
          <w:rFonts w:ascii="Verdana" w:hAnsi="Verdana" w:cs="Arial"/>
          <w:sz w:val="20"/>
          <w:szCs w:val="20"/>
          <w:lang w:val="es-ES"/>
        </w:rPr>
        <w:t>11 de julio de 2011</w:t>
      </w:r>
      <w:r w:rsidRPr="00AE402B">
        <w:rPr>
          <w:rFonts w:ascii="Verdana" w:hAnsi="Verdana" w:cs="Arial"/>
          <w:sz w:val="22"/>
          <w:szCs w:val="20"/>
          <w:lang w:val="es-ES"/>
        </w:rPr>
        <w:t xml:space="preserve"> </w:t>
      </w:r>
      <w:r w:rsidRPr="008C78C3">
        <w:rPr>
          <w:rFonts w:ascii="Verdana" w:hAnsi="Verdana" w:cs="Arial"/>
          <w:sz w:val="20"/>
          <w:szCs w:val="20"/>
          <w:lang w:val="es-ES"/>
        </w:rPr>
        <w:t>remitida al Estado de Colombia donde se le rec</w:t>
      </w:r>
      <w:r w:rsidR="00132876">
        <w:rPr>
          <w:rFonts w:ascii="Verdana" w:hAnsi="Verdana" w:cs="Arial"/>
          <w:sz w:val="20"/>
          <w:szCs w:val="20"/>
          <w:lang w:val="es-ES"/>
        </w:rPr>
        <w:t>o</w:t>
      </w:r>
      <w:r w:rsidR="004A7E26">
        <w:rPr>
          <w:rFonts w:ascii="Verdana" w:hAnsi="Verdana" w:cs="Arial"/>
          <w:sz w:val="20"/>
          <w:szCs w:val="20"/>
          <w:lang w:val="es-ES"/>
        </w:rPr>
        <w:t>r</w:t>
      </w:r>
      <w:r w:rsidR="00132876">
        <w:rPr>
          <w:rFonts w:ascii="Verdana" w:hAnsi="Verdana" w:cs="Arial"/>
          <w:sz w:val="20"/>
          <w:szCs w:val="20"/>
          <w:lang w:val="es-ES"/>
        </w:rPr>
        <w:t>dó su deber de</w:t>
      </w:r>
      <w:r w:rsidRPr="008C78C3">
        <w:rPr>
          <w:rFonts w:ascii="Verdana" w:hAnsi="Verdana" w:cs="Arial"/>
          <w:sz w:val="20"/>
          <w:szCs w:val="20"/>
          <w:lang w:val="es-ES"/>
        </w:rPr>
        <w:t xml:space="preserve"> remi</w:t>
      </w:r>
      <w:r w:rsidR="00132876">
        <w:rPr>
          <w:rFonts w:ascii="Verdana" w:hAnsi="Verdana" w:cs="Arial"/>
          <w:sz w:val="20"/>
          <w:szCs w:val="20"/>
          <w:lang w:val="es-ES"/>
        </w:rPr>
        <w:t>tir</w:t>
      </w:r>
      <w:r w:rsidRPr="008C78C3">
        <w:rPr>
          <w:rFonts w:ascii="Verdana" w:hAnsi="Verdana" w:cs="Arial"/>
          <w:sz w:val="20"/>
          <w:szCs w:val="20"/>
          <w:lang w:val="es-ES"/>
        </w:rPr>
        <w:t xml:space="preserve"> </w:t>
      </w:r>
      <w:r w:rsidR="00132876">
        <w:rPr>
          <w:rFonts w:ascii="Verdana" w:hAnsi="Verdana" w:cs="Arial"/>
          <w:sz w:val="20"/>
          <w:szCs w:val="20"/>
          <w:lang w:val="es-ES"/>
        </w:rPr>
        <w:t>informes</w:t>
      </w:r>
      <w:r w:rsidRPr="008C78C3">
        <w:rPr>
          <w:rFonts w:ascii="Verdana" w:hAnsi="Verdana" w:cs="Arial"/>
          <w:sz w:val="20"/>
          <w:szCs w:val="20"/>
          <w:lang w:val="es-ES"/>
        </w:rPr>
        <w:t xml:space="preserve"> sobre la implementación de las presentes medidas; </w:t>
      </w:r>
      <w:r w:rsidR="00837DFF">
        <w:rPr>
          <w:rFonts w:ascii="Verdana" w:hAnsi="Verdana" w:cs="Arial"/>
          <w:sz w:val="20"/>
          <w:szCs w:val="20"/>
          <w:lang w:val="es-ES"/>
        </w:rPr>
        <w:t xml:space="preserve">así como </w:t>
      </w:r>
      <w:r>
        <w:rPr>
          <w:rFonts w:ascii="Verdana" w:hAnsi="Verdana" w:cs="Arial"/>
          <w:sz w:val="20"/>
          <w:szCs w:val="20"/>
          <w:lang w:val="es-ES"/>
        </w:rPr>
        <w:t>l</w:t>
      </w:r>
      <w:r w:rsidRPr="008C78C3">
        <w:rPr>
          <w:rFonts w:ascii="Verdana" w:hAnsi="Verdana" w:cs="Arial"/>
          <w:sz w:val="20"/>
          <w:szCs w:val="20"/>
          <w:lang w:val="es-ES"/>
        </w:rPr>
        <w:t>as notas de la Secretaría de 11 de mayo, 27 de junio, 18 de octubre</w:t>
      </w:r>
      <w:r w:rsidR="00132876">
        <w:rPr>
          <w:rFonts w:ascii="Verdana" w:hAnsi="Verdana" w:cs="Arial"/>
          <w:sz w:val="20"/>
          <w:szCs w:val="20"/>
          <w:lang w:val="es-ES"/>
        </w:rPr>
        <w:t xml:space="preserve"> y</w:t>
      </w:r>
      <w:r w:rsidRPr="008C78C3">
        <w:rPr>
          <w:rFonts w:ascii="Verdana" w:hAnsi="Verdana" w:cs="Arial"/>
          <w:sz w:val="20"/>
          <w:szCs w:val="20"/>
          <w:lang w:val="es-ES"/>
        </w:rPr>
        <w:t xml:space="preserve"> 2 de diciembre</w:t>
      </w:r>
      <w:r w:rsidR="00132876">
        <w:rPr>
          <w:rFonts w:ascii="Verdana" w:hAnsi="Verdana" w:cs="Arial"/>
          <w:sz w:val="20"/>
          <w:szCs w:val="20"/>
          <w:lang w:val="es-ES"/>
        </w:rPr>
        <w:t xml:space="preserve"> de 2011;</w:t>
      </w:r>
      <w:r w:rsidRPr="008C78C3">
        <w:rPr>
          <w:rFonts w:ascii="Verdana" w:hAnsi="Verdana" w:cs="Arial"/>
          <w:sz w:val="20"/>
          <w:szCs w:val="20"/>
          <w:lang w:val="es-ES"/>
        </w:rPr>
        <w:t xml:space="preserve"> 17 de febrero, 20 de abril, 26 de abril, 27 de agosto</w:t>
      </w:r>
      <w:r w:rsidR="00132876">
        <w:rPr>
          <w:rFonts w:ascii="Verdana" w:hAnsi="Verdana" w:cs="Arial"/>
          <w:sz w:val="20"/>
          <w:szCs w:val="20"/>
          <w:lang w:val="es-ES"/>
        </w:rPr>
        <w:t xml:space="preserve"> y</w:t>
      </w:r>
      <w:r w:rsidRPr="008C78C3">
        <w:rPr>
          <w:rFonts w:ascii="Verdana" w:hAnsi="Verdana" w:cs="Arial"/>
          <w:sz w:val="20"/>
          <w:szCs w:val="20"/>
          <w:lang w:val="es-ES"/>
        </w:rPr>
        <w:t xml:space="preserve"> 19 de diciembre</w:t>
      </w:r>
      <w:r w:rsidR="00132876">
        <w:rPr>
          <w:rFonts w:ascii="Verdana" w:hAnsi="Verdana" w:cs="Arial"/>
          <w:sz w:val="20"/>
          <w:szCs w:val="20"/>
          <w:lang w:val="es-ES"/>
        </w:rPr>
        <w:t xml:space="preserve"> de 2012;</w:t>
      </w:r>
      <w:r w:rsidRPr="008C78C3">
        <w:rPr>
          <w:rFonts w:ascii="Verdana" w:hAnsi="Verdana" w:cs="Arial"/>
          <w:sz w:val="20"/>
          <w:szCs w:val="20"/>
          <w:lang w:val="es-ES"/>
        </w:rPr>
        <w:t xml:space="preserve"> 31 de enero</w:t>
      </w:r>
      <w:r w:rsidRPr="00AE402B">
        <w:rPr>
          <w:rFonts w:ascii="Verdana" w:hAnsi="Verdana" w:cs="Arial"/>
          <w:sz w:val="16"/>
          <w:szCs w:val="16"/>
          <w:lang w:val="es-ES"/>
        </w:rPr>
        <w:t>,</w:t>
      </w:r>
      <w:r w:rsidR="00F54FF9">
        <w:rPr>
          <w:rFonts w:ascii="Verdana" w:hAnsi="Verdana" w:cs="Arial"/>
          <w:sz w:val="20"/>
          <w:szCs w:val="20"/>
          <w:lang w:val="es-ES"/>
        </w:rPr>
        <w:t xml:space="preserve"> 23 de agosto</w:t>
      </w:r>
      <w:r w:rsidRPr="008C78C3">
        <w:rPr>
          <w:rFonts w:ascii="Verdana" w:hAnsi="Verdana" w:cs="Arial"/>
          <w:sz w:val="20"/>
          <w:szCs w:val="20"/>
          <w:lang w:val="es-ES"/>
        </w:rPr>
        <w:t xml:space="preserve">, 10 de octubre </w:t>
      </w:r>
      <w:r w:rsidR="00132876">
        <w:rPr>
          <w:rFonts w:ascii="Verdana" w:hAnsi="Verdana" w:cs="Arial"/>
          <w:sz w:val="20"/>
          <w:szCs w:val="20"/>
          <w:lang w:val="es-ES"/>
        </w:rPr>
        <w:t>y</w:t>
      </w:r>
      <w:r w:rsidRPr="008C78C3">
        <w:rPr>
          <w:rFonts w:ascii="Verdana" w:hAnsi="Verdana" w:cs="Arial"/>
          <w:sz w:val="20"/>
          <w:szCs w:val="20"/>
          <w:lang w:val="es-ES"/>
        </w:rPr>
        <w:t xml:space="preserve"> 2</w:t>
      </w:r>
      <w:r w:rsidR="004A7E26">
        <w:rPr>
          <w:rFonts w:ascii="Verdana" w:hAnsi="Verdana" w:cs="Arial"/>
          <w:sz w:val="20"/>
          <w:szCs w:val="20"/>
          <w:lang w:val="es-ES"/>
        </w:rPr>
        <w:t>3</w:t>
      </w:r>
      <w:r w:rsidRPr="008C78C3">
        <w:rPr>
          <w:rFonts w:ascii="Verdana" w:hAnsi="Verdana" w:cs="Arial"/>
          <w:sz w:val="20"/>
          <w:szCs w:val="20"/>
          <w:lang w:val="es-ES"/>
        </w:rPr>
        <w:t xml:space="preserve"> de noviembre </w:t>
      </w:r>
      <w:r w:rsidR="00132876">
        <w:rPr>
          <w:rFonts w:ascii="Verdana" w:hAnsi="Verdana" w:cs="Arial"/>
          <w:sz w:val="20"/>
          <w:szCs w:val="20"/>
          <w:lang w:val="es-ES"/>
        </w:rPr>
        <w:t xml:space="preserve"> de 2013;</w:t>
      </w:r>
      <w:r w:rsidRPr="008C78C3">
        <w:rPr>
          <w:rFonts w:ascii="Verdana" w:hAnsi="Verdana" w:cs="Arial"/>
          <w:sz w:val="20"/>
          <w:szCs w:val="20"/>
          <w:lang w:val="es-ES"/>
        </w:rPr>
        <w:t xml:space="preserve"> 20 de enero </w:t>
      </w:r>
      <w:r w:rsidR="00132876">
        <w:rPr>
          <w:rFonts w:ascii="Verdana" w:hAnsi="Verdana" w:cs="Arial"/>
          <w:sz w:val="20"/>
          <w:szCs w:val="20"/>
          <w:lang w:val="es-ES"/>
        </w:rPr>
        <w:t>de 2014;</w:t>
      </w:r>
      <w:r w:rsidRPr="008C78C3">
        <w:rPr>
          <w:rFonts w:ascii="Verdana" w:hAnsi="Verdana" w:cs="Arial"/>
          <w:sz w:val="20"/>
          <w:szCs w:val="20"/>
          <w:lang w:val="es-ES"/>
        </w:rPr>
        <w:t xml:space="preserve"> 6 y 2</w:t>
      </w:r>
      <w:r w:rsidR="004A7E26">
        <w:rPr>
          <w:rFonts w:ascii="Verdana" w:hAnsi="Verdana" w:cs="Arial"/>
          <w:sz w:val="20"/>
          <w:szCs w:val="20"/>
          <w:lang w:val="es-ES"/>
        </w:rPr>
        <w:t>3</w:t>
      </w:r>
      <w:r w:rsidRPr="008C78C3">
        <w:rPr>
          <w:rFonts w:ascii="Verdana" w:hAnsi="Verdana" w:cs="Arial"/>
          <w:sz w:val="20"/>
          <w:szCs w:val="20"/>
          <w:lang w:val="es-ES"/>
        </w:rPr>
        <w:t xml:space="preserve"> de noviembre</w:t>
      </w:r>
      <w:r w:rsidR="00132876">
        <w:rPr>
          <w:rFonts w:ascii="Verdana" w:hAnsi="Verdana" w:cs="Arial"/>
          <w:sz w:val="20"/>
          <w:szCs w:val="20"/>
          <w:lang w:val="es-ES"/>
        </w:rPr>
        <w:t xml:space="preserve"> de 2015;</w:t>
      </w:r>
      <w:r w:rsidRPr="008C78C3">
        <w:rPr>
          <w:rFonts w:ascii="Verdana" w:hAnsi="Verdana" w:cs="Arial"/>
          <w:sz w:val="20"/>
          <w:szCs w:val="20"/>
          <w:lang w:val="es-ES"/>
        </w:rPr>
        <w:t xml:space="preserve"> 21 de enero, 13 de octubre, 4 de noviembre</w:t>
      </w:r>
      <w:r w:rsidR="00132876">
        <w:rPr>
          <w:rFonts w:ascii="Verdana" w:hAnsi="Verdana" w:cs="Arial"/>
          <w:sz w:val="20"/>
          <w:szCs w:val="20"/>
          <w:lang w:val="es-ES"/>
        </w:rPr>
        <w:t xml:space="preserve"> y</w:t>
      </w:r>
      <w:r w:rsidRPr="008C78C3">
        <w:rPr>
          <w:rFonts w:ascii="Verdana" w:hAnsi="Verdana" w:cs="Arial"/>
          <w:sz w:val="20"/>
          <w:szCs w:val="20"/>
          <w:lang w:val="es-ES"/>
        </w:rPr>
        <w:t xml:space="preserve"> 26 de diciembre de 2016</w:t>
      </w:r>
      <w:r w:rsidR="00837DFF">
        <w:rPr>
          <w:rFonts w:ascii="Verdana" w:hAnsi="Verdana" w:cs="Arial"/>
          <w:sz w:val="20"/>
          <w:szCs w:val="20"/>
          <w:lang w:val="es-ES"/>
        </w:rPr>
        <w:t>,</w:t>
      </w:r>
      <w:r w:rsidRPr="008C78C3">
        <w:rPr>
          <w:rFonts w:ascii="Verdana" w:hAnsi="Verdana" w:cs="Arial"/>
          <w:sz w:val="20"/>
          <w:szCs w:val="20"/>
          <w:lang w:val="es-ES"/>
        </w:rPr>
        <w:t xml:space="preserve"> y 6 de julio de 2017, remitidas a las representantes</w:t>
      </w:r>
      <w:r w:rsidR="00132876">
        <w:rPr>
          <w:rFonts w:ascii="Verdana" w:hAnsi="Verdana" w:cs="Arial"/>
          <w:sz w:val="20"/>
          <w:szCs w:val="20"/>
          <w:lang w:val="es-ES"/>
        </w:rPr>
        <w:t>, en las que se les recordó su deber de presentar observaciones a la información estatal;</w:t>
      </w:r>
      <w:r w:rsidRPr="008C78C3">
        <w:rPr>
          <w:rFonts w:ascii="Verdana" w:hAnsi="Verdana" w:cs="Arial"/>
          <w:sz w:val="20"/>
          <w:szCs w:val="20"/>
          <w:lang w:val="es-ES"/>
        </w:rPr>
        <w:t xml:space="preserve"> y las notas de la Secretaría de 11 de julio</w:t>
      </w:r>
      <w:r w:rsidR="00132876">
        <w:rPr>
          <w:rFonts w:ascii="Verdana" w:hAnsi="Verdana" w:cs="Arial"/>
          <w:sz w:val="20"/>
          <w:szCs w:val="20"/>
          <w:lang w:val="es-ES"/>
        </w:rPr>
        <w:t xml:space="preserve"> y</w:t>
      </w:r>
      <w:r w:rsidRPr="008C78C3">
        <w:rPr>
          <w:rFonts w:ascii="Verdana" w:hAnsi="Verdana" w:cs="Arial"/>
          <w:sz w:val="20"/>
          <w:szCs w:val="20"/>
          <w:lang w:val="es-ES"/>
        </w:rPr>
        <w:t xml:space="preserve"> 18 de octubre</w:t>
      </w:r>
      <w:r w:rsidR="00132876">
        <w:rPr>
          <w:rFonts w:ascii="Verdana" w:hAnsi="Verdana" w:cs="Arial"/>
          <w:sz w:val="20"/>
          <w:szCs w:val="20"/>
          <w:lang w:val="es-ES"/>
        </w:rPr>
        <w:t xml:space="preserve"> de 2011;</w:t>
      </w:r>
      <w:r w:rsidRPr="008C78C3">
        <w:rPr>
          <w:rFonts w:ascii="Verdana" w:hAnsi="Verdana" w:cs="Arial"/>
          <w:sz w:val="20"/>
          <w:szCs w:val="20"/>
          <w:lang w:val="es-ES"/>
        </w:rPr>
        <w:t xml:space="preserve"> 20 de abril, 19 de septiembre</w:t>
      </w:r>
      <w:r w:rsidR="00132876">
        <w:rPr>
          <w:rFonts w:ascii="Verdana" w:hAnsi="Verdana" w:cs="Arial"/>
          <w:sz w:val="20"/>
          <w:szCs w:val="20"/>
          <w:lang w:val="es-ES"/>
        </w:rPr>
        <w:t xml:space="preserve"> y</w:t>
      </w:r>
      <w:r w:rsidRPr="008C78C3">
        <w:rPr>
          <w:rFonts w:ascii="Verdana" w:hAnsi="Verdana" w:cs="Arial"/>
          <w:sz w:val="20"/>
          <w:szCs w:val="20"/>
          <w:lang w:val="es-ES"/>
        </w:rPr>
        <w:t xml:space="preserve"> 19 de octubre</w:t>
      </w:r>
      <w:r w:rsidR="00132876">
        <w:rPr>
          <w:rFonts w:ascii="Verdana" w:hAnsi="Verdana" w:cs="Arial"/>
          <w:sz w:val="20"/>
          <w:szCs w:val="20"/>
          <w:lang w:val="es-ES"/>
        </w:rPr>
        <w:t xml:space="preserve"> de 2012;</w:t>
      </w:r>
      <w:r w:rsidRPr="008C78C3">
        <w:rPr>
          <w:rFonts w:ascii="Verdana" w:hAnsi="Verdana" w:cs="Arial"/>
          <w:sz w:val="20"/>
          <w:szCs w:val="20"/>
          <w:lang w:val="es-ES"/>
        </w:rPr>
        <w:t xml:space="preserve"> 27 de agosto de 2014</w:t>
      </w:r>
      <w:r w:rsidR="00663A46">
        <w:rPr>
          <w:rFonts w:ascii="Verdana" w:hAnsi="Verdana" w:cs="Arial"/>
          <w:sz w:val="20"/>
          <w:szCs w:val="20"/>
          <w:lang w:val="es-ES"/>
        </w:rPr>
        <w:t>,</w:t>
      </w:r>
      <w:r w:rsidRPr="008C78C3">
        <w:rPr>
          <w:rFonts w:ascii="Verdana" w:hAnsi="Verdana" w:cs="Arial"/>
          <w:sz w:val="20"/>
          <w:szCs w:val="20"/>
          <w:lang w:val="es-ES"/>
        </w:rPr>
        <w:t xml:space="preserve"> y 6 de julio de 2017, remitidas a la Comisión</w:t>
      </w:r>
      <w:r>
        <w:rPr>
          <w:rFonts w:ascii="Verdana" w:hAnsi="Verdana" w:cs="Arial"/>
          <w:sz w:val="20"/>
          <w:szCs w:val="20"/>
          <w:lang w:val="es-ES"/>
        </w:rPr>
        <w:t>,</w:t>
      </w:r>
      <w:r w:rsidRPr="008C78C3">
        <w:rPr>
          <w:rFonts w:ascii="Verdana" w:hAnsi="Verdana" w:cs="Arial"/>
          <w:sz w:val="20"/>
          <w:szCs w:val="20"/>
          <w:lang w:val="es-ES"/>
        </w:rPr>
        <w:t xml:space="preserve"> donde se le rec</w:t>
      </w:r>
      <w:r w:rsidR="00132876">
        <w:rPr>
          <w:rFonts w:ascii="Verdana" w:hAnsi="Verdana" w:cs="Arial"/>
          <w:sz w:val="20"/>
          <w:szCs w:val="20"/>
          <w:lang w:val="es-ES"/>
        </w:rPr>
        <w:t>ordó su deber de</w:t>
      </w:r>
      <w:r w:rsidRPr="008C78C3">
        <w:rPr>
          <w:rFonts w:ascii="Verdana" w:hAnsi="Verdana" w:cs="Arial"/>
          <w:sz w:val="20"/>
          <w:szCs w:val="20"/>
          <w:lang w:val="es-ES"/>
        </w:rPr>
        <w:t xml:space="preserve"> remi</w:t>
      </w:r>
      <w:r w:rsidR="00132876">
        <w:rPr>
          <w:rFonts w:ascii="Verdana" w:hAnsi="Verdana" w:cs="Arial"/>
          <w:sz w:val="20"/>
          <w:szCs w:val="20"/>
          <w:lang w:val="es-ES"/>
        </w:rPr>
        <w:t>tir</w:t>
      </w:r>
      <w:r w:rsidRPr="008C78C3">
        <w:rPr>
          <w:rFonts w:ascii="Verdana" w:hAnsi="Verdana" w:cs="Arial"/>
          <w:sz w:val="20"/>
          <w:szCs w:val="20"/>
          <w:lang w:val="es-ES"/>
        </w:rPr>
        <w:t xml:space="preserve"> sus observaciones a los</w:t>
      </w:r>
      <w:r w:rsidR="00DB1DDD">
        <w:rPr>
          <w:rFonts w:ascii="Verdana" w:hAnsi="Verdana" w:cs="Arial"/>
          <w:sz w:val="20"/>
          <w:szCs w:val="20"/>
          <w:lang w:val="es-ES"/>
        </w:rPr>
        <w:t xml:space="preserve"> informes del Estado</w:t>
      </w:r>
      <w:r w:rsidRPr="008C78C3">
        <w:rPr>
          <w:rFonts w:ascii="Verdana" w:hAnsi="Verdana" w:cs="Arial"/>
          <w:sz w:val="20"/>
          <w:szCs w:val="20"/>
          <w:lang w:val="es-ES"/>
        </w:rPr>
        <w:t>.</w:t>
      </w:r>
    </w:p>
    <w:p w:rsidR="00B87639" w:rsidRPr="0024380C" w:rsidRDefault="00B87639" w:rsidP="00BD3334">
      <w:pPr>
        <w:ind w:right="-90"/>
        <w:rPr>
          <w:rFonts w:ascii="Verdana" w:hAnsi="Verdana"/>
          <w:sz w:val="20"/>
          <w:szCs w:val="20"/>
          <w:lang w:val="es-ES"/>
        </w:rPr>
      </w:pPr>
    </w:p>
    <w:p w:rsidR="00634C6F" w:rsidRPr="00BE210A" w:rsidRDefault="00634C6F" w:rsidP="00BD3334">
      <w:pPr>
        <w:pStyle w:val="Heading1"/>
        <w:spacing w:before="0"/>
        <w:ind w:right="-90"/>
        <w:rPr>
          <w:rFonts w:ascii="Verdana" w:hAnsi="Verdana"/>
          <w:color w:val="auto"/>
          <w:sz w:val="20"/>
          <w:szCs w:val="20"/>
          <w:lang w:val="es-ES_tradnl"/>
        </w:rPr>
      </w:pPr>
      <w:r w:rsidRPr="00BE210A">
        <w:rPr>
          <w:rFonts w:ascii="Verdana" w:hAnsi="Verdana"/>
          <w:color w:val="auto"/>
          <w:sz w:val="20"/>
          <w:szCs w:val="20"/>
          <w:lang w:val="es-ES_tradnl"/>
        </w:rPr>
        <w:t>CONSIDERANDO QUE:</w:t>
      </w:r>
    </w:p>
    <w:p w:rsidR="00634C6F" w:rsidRPr="00BE210A" w:rsidRDefault="00634C6F" w:rsidP="00BD3334">
      <w:pPr>
        <w:ind w:right="-90"/>
        <w:jc w:val="both"/>
        <w:rPr>
          <w:rFonts w:ascii="Verdana" w:hAnsi="Verdana"/>
          <w:b/>
          <w:sz w:val="20"/>
          <w:szCs w:val="20"/>
          <w:lang w:val="es-ES_tradnl"/>
        </w:rPr>
      </w:pPr>
    </w:p>
    <w:p w:rsidR="00E33DB0" w:rsidRDefault="00634C6F" w:rsidP="0079402F">
      <w:pPr>
        <w:pStyle w:val="ListParagraph"/>
        <w:numPr>
          <w:ilvl w:val="0"/>
          <w:numId w:val="73"/>
        </w:numPr>
        <w:ind w:left="0" w:hanging="11"/>
        <w:jc w:val="both"/>
        <w:rPr>
          <w:lang w:val="es-ES_tradnl"/>
        </w:rPr>
      </w:pPr>
      <w:r w:rsidRPr="00E50988">
        <w:rPr>
          <w:rFonts w:ascii="Verdana" w:hAnsi="Verdana"/>
          <w:sz w:val="20"/>
          <w:szCs w:val="20"/>
          <w:lang w:val="es-ES_tradnl"/>
        </w:rPr>
        <w:t xml:space="preserve">Colombia es Estado Parte de la Convención Americana sobre Derechos Humanos (en adelante “la Convención Americana” o “la Convención”) desde el 31 de julio de 1973 </w:t>
      </w:r>
      <w:r w:rsidRPr="00E50988">
        <w:rPr>
          <w:rFonts w:ascii="Verdana" w:hAnsi="Verdana"/>
          <w:sz w:val="20"/>
          <w:szCs w:val="20"/>
          <w:lang w:val="es-ES_tradnl"/>
        </w:rPr>
        <w:lastRenderedPageBreak/>
        <w:t>y reconoció la competencia de la Corte Interamericana, conforme al artículo 62 de la Convención, el 21 de junio de 1985.</w:t>
      </w:r>
    </w:p>
    <w:p w:rsidR="00E33DB0" w:rsidRDefault="00E33DB0" w:rsidP="00E50988">
      <w:pPr>
        <w:tabs>
          <w:tab w:val="left" w:pos="810"/>
        </w:tabs>
        <w:ind w:right="-90"/>
        <w:jc w:val="both"/>
        <w:rPr>
          <w:rFonts w:ascii="Verdana" w:hAnsi="Verdana"/>
          <w:sz w:val="20"/>
          <w:szCs w:val="20"/>
          <w:lang w:val="es-ES_tradnl"/>
        </w:rPr>
      </w:pPr>
    </w:p>
    <w:p w:rsidR="00E33DB0" w:rsidRPr="00E50988" w:rsidRDefault="0028441F" w:rsidP="00E50988">
      <w:pPr>
        <w:pStyle w:val="ListParagraph"/>
        <w:numPr>
          <w:ilvl w:val="0"/>
          <w:numId w:val="72"/>
        </w:numPr>
        <w:tabs>
          <w:tab w:val="left" w:pos="0"/>
        </w:tabs>
        <w:ind w:left="0" w:right="-90" w:hanging="11"/>
        <w:jc w:val="both"/>
        <w:rPr>
          <w:rFonts w:ascii="Verdana" w:hAnsi="Verdana"/>
          <w:sz w:val="20"/>
          <w:szCs w:val="20"/>
          <w:lang w:val="es-ES_tradnl"/>
        </w:rPr>
      </w:pPr>
      <w:r w:rsidRPr="00E50988">
        <w:rPr>
          <w:rFonts w:ascii="Verdana" w:hAnsi="Verdana"/>
          <w:sz w:val="20"/>
          <w:szCs w:val="20"/>
          <w:lang w:val="es-CR"/>
        </w:rPr>
        <w:t>El artículo 63.2 de la Convención Americana dispone, en lo relevante, que “[e]n casos de extrema gravedad y urgencia, y cuando se haga necesario evitar daños irreparables a las personas, la Corte, en los asuntos que esté conociendo, podrá tomar las medidas provisionales que considere pertinentes”.</w:t>
      </w:r>
    </w:p>
    <w:p w:rsidR="00E33DB0" w:rsidRDefault="00E33DB0" w:rsidP="00E50988">
      <w:pPr>
        <w:pStyle w:val="ListParagraph"/>
        <w:tabs>
          <w:tab w:val="left" w:pos="0"/>
        </w:tabs>
        <w:ind w:left="0" w:right="-90"/>
        <w:jc w:val="both"/>
        <w:rPr>
          <w:rFonts w:ascii="Verdana" w:hAnsi="Verdana"/>
          <w:sz w:val="20"/>
          <w:szCs w:val="20"/>
          <w:lang w:val="es-ES_tradnl"/>
        </w:rPr>
      </w:pPr>
    </w:p>
    <w:p w:rsidR="00E33DB0" w:rsidRPr="00E50988" w:rsidRDefault="00E33DB0" w:rsidP="00E50988">
      <w:pPr>
        <w:pStyle w:val="ListParagraph"/>
        <w:numPr>
          <w:ilvl w:val="0"/>
          <w:numId w:val="72"/>
        </w:numPr>
        <w:tabs>
          <w:tab w:val="left" w:pos="0"/>
        </w:tabs>
        <w:ind w:left="0" w:right="-90" w:hanging="11"/>
        <w:jc w:val="both"/>
        <w:rPr>
          <w:lang w:val="es-CR"/>
        </w:rPr>
      </w:pPr>
      <w:r>
        <w:rPr>
          <w:rFonts w:ascii="Verdana" w:hAnsi="Verdana"/>
          <w:sz w:val="20"/>
          <w:szCs w:val="20"/>
          <w:lang w:val="es-ES_tradnl"/>
        </w:rPr>
        <w:t>H</w:t>
      </w:r>
      <w:proofErr w:type="spellStart"/>
      <w:r w:rsidR="00657283" w:rsidRPr="00BE210A">
        <w:rPr>
          <w:rFonts w:ascii="Verdana" w:hAnsi="Verdana"/>
          <w:sz w:val="20"/>
          <w:szCs w:val="20"/>
          <w:lang w:val="es-CR"/>
        </w:rPr>
        <w:t>a</w:t>
      </w:r>
      <w:proofErr w:type="spellEnd"/>
      <w:r w:rsidR="00657283" w:rsidRPr="00BE210A">
        <w:rPr>
          <w:rFonts w:ascii="Verdana" w:hAnsi="Verdana"/>
          <w:sz w:val="20"/>
          <w:szCs w:val="20"/>
          <w:lang w:val="es-CR"/>
        </w:rPr>
        <w:t xml:space="preserve"> transcurrido un </w:t>
      </w:r>
      <w:r w:rsidR="00F44676" w:rsidRPr="00BE210A">
        <w:rPr>
          <w:rFonts w:ascii="Verdana" w:hAnsi="Verdana"/>
          <w:sz w:val="20"/>
          <w:szCs w:val="20"/>
          <w:lang w:val="es-CR"/>
        </w:rPr>
        <w:t xml:space="preserve">período de más de </w:t>
      </w:r>
      <w:r w:rsidR="0028441F">
        <w:rPr>
          <w:rFonts w:ascii="Verdana" w:hAnsi="Verdana"/>
          <w:sz w:val="20"/>
          <w:szCs w:val="20"/>
          <w:lang w:val="es-CR"/>
        </w:rPr>
        <w:t>11</w:t>
      </w:r>
      <w:r w:rsidR="00657283" w:rsidRPr="00BE210A">
        <w:rPr>
          <w:rFonts w:ascii="Verdana" w:hAnsi="Verdana"/>
          <w:sz w:val="20"/>
          <w:szCs w:val="20"/>
          <w:lang w:val="es-CR"/>
        </w:rPr>
        <w:t xml:space="preserve"> </w:t>
      </w:r>
      <w:r w:rsidR="00F44676" w:rsidRPr="00BE210A">
        <w:rPr>
          <w:rFonts w:ascii="Verdana" w:hAnsi="Verdana"/>
          <w:sz w:val="20"/>
          <w:szCs w:val="20"/>
          <w:lang w:val="es-CR"/>
        </w:rPr>
        <w:t xml:space="preserve">años desde la adopción de las medidas provisionales a favor de </w:t>
      </w:r>
      <w:r w:rsidR="00657283" w:rsidRPr="00BE210A">
        <w:rPr>
          <w:rFonts w:ascii="Verdana" w:hAnsi="Verdana"/>
          <w:sz w:val="20"/>
          <w:szCs w:val="20"/>
          <w:lang w:val="es-CR"/>
        </w:rPr>
        <w:t>las señoras</w:t>
      </w:r>
      <w:r w:rsidR="0079402F" w:rsidRPr="0079402F">
        <w:rPr>
          <w:rFonts w:ascii="Verdana" w:hAnsi="Verdana"/>
          <w:sz w:val="16"/>
          <w:szCs w:val="16"/>
          <w:lang w:val="es-CR"/>
        </w:rPr>
        <w:t xml:space="preserve"> </w:t>
      </w:r>
      <w:r w:rsidR="0079402F" w:rsidRPr="0079402F">
        <w:rPr>
          <w:rFonts w:ascii="Verdana" w:hAnsi="Verdana"/>
          <w:sz w:val="20"/>
          <w:szCs w:val="20"/>
          <w:lang w:val="es-CR"/>
        </w:rPr>
        <w:t>María del Socorro Mosquera Londoño</w:t>
      </w:r>
      <w:r w:rsidR="00657283" w:rsidRPr="00BE210A">
        <w:rPr>
          <w:rFonts w:ascii="Verdana" w:hAnsi="Verdana"/>
          <w:sz w:val="20"/>
          <w:szCs w:val="20"/>
          <w:lang w:val="es-CR"/>
        </w:rPr>
        <w:t xml:space="preserve"> </w:t>
      </w:r>
      <w:r w:rsidR="0079402F">
        <w:rPr>
          <w:rFonts w:ascii="Verdana" w:hAnsi="Verdana"/>
          <w:sz w:val="20"/>
          <w:szCs w:val="20"/>
          <w:lang w:val="es-CR"/>
        </w:rPr>
        <w:t>(en adelante “señora Mosquera”)</w:t>
      </w:r>
      <w:r w:rsidR="00657283" w:rsidRPr="00BE210A">
        <w:rPr>
          <w:rFonts w:ascii="Verdana" w:hAnsi="Verdana"/>
          <w:sz w:val="20"/>
          <w:szCs w:val="20"/>
          <w:lang w:val="es-CR"/>
        </w:rPr>
        <w:t xml:space="preserve"> y </w:t>
      </w:r>
      <w:r w:rsidR="0079402F" w:rsidRPr="0079402F">
        <w:rPr>
          <w:rFonts w:ascii="Verdana" w:hAnsi="Verdana"/>
          <w:sz w:val="20"/>
          <w:szCs w:val="20"/>
          <w:lang w:val="es-CR"/>
        </w:rPr>
        <w:t>Mery Naranjo Jiménez</w:t>
      </w:r>
      <w:r w:rsidR="0079402F" w:rsidRPr="00436979">
        <w:rPr>
          <w:rFonts w:ascii="Verdana" w:hAnsi="Verdana"/>
          <w:sz w:val="16"/>
          <w:szCs w:val="16"/>
          <w:lang w:val="es-CR"/>
        </w:rPr>
        <w:t xml:space="preserve"> </w:t>
      </w:r>
      <w:r w:rsidR="0079402F">
        <w:rPr>
          <w:rFonts w:ascii="Verdana" w:hAnsi="Verdana"/>
          <w:sz w:val="20"/>
          <w:szCs w:val="20"/>
          <w:lang w:val="es-CR"/>
        </w:rPr>
        <w:t xml:space="preserve">(en adelante “señora </w:t>
      </w:r>
      <w:r w:rsidR="00657283" w:rsidRPr="00BE210A">
        <w:rPr>
          <w:rFonts w:ascii="Verdana" w:hAnsi="Verdana"/>
          <w:sz w:val="20"/>
          <w:szCs w:val="20"/>
          <w:lang w:val="es-CR"/>
        </w:rPr>
        <w:t>Naranjo</w:t>
      </w:r>
      <w:r w:rsidR="0079402F">
        <w:rPr>
          <w:rFonts w:ascii="Verdana" w:hAnsi="Verdana"/>
          <w:sz w:val="20"/>
          <w:szCs w:val="20"/>
          <w:lang w:val="es-CR"/>
        </w:rPr>
        <w:t>”)</w:t>
      </w:r>
      <w:r w:rsidR="00657283" w:rsidRPr="00BE210A">
        <w:rPr>
          <w:rFonts w:ascii="Verdana" w:hAnsi="Verdana"/>
          <w:sz w:val="20"/>
          <w:szCs w:val="20"/>
          <w:lang w:val="es-CR"/>
        </w:rPr>
        <w:t xml:space="preserve"> y los familiares de esta última</w:t>
      </w:r>
      <w:r w:rsidR="00657283" w:rsidRPr="00BE210A">
        <w:rPr>
          <w:rStyle w:val="FootnoteReference"/>
          <w:sz w:val="20"/>
          <w:szCs w:val="20"/>
          <w:lang w:val="es-CR"/>
        </w:rPr>
        <w:footnoteReference w:id="3"/>
      </w:r>
      <w:r w:rsidR="00F44676" w:rsidRPr="00BE210A">
        <w:rPr>
          <w:rFonts w:ascii="Verdana" w:hAnsi="Verdana"/>
          <w:sz w:val="20"/>
          <w:szCs w:val="20"/>
          <w:lang w:val="es-CR"/>
        </w:rPr>
        <w:t xml:space="preserve">, y </w:t>
      </w:r>
      <w:r w:rsidR="0028441F">
        <w:rPr>
          <w:rFonts w:ascii="Verdana" w:hAnsi="Verdana"/>
          <w:sz w:val="20"/>
          <w:szCs w:val="20"/>
          <w:lang w:val="es-CR"/>
        </w:rPr>
        <w:t>de más de seis años</w:t>
      </w:r>
      <w:r w:rsidR="00657283" w:rsidRPr="00BE210A">
        <w:rPr>
          <w:rFonts w:ascii="Verdana" w:hAnsi="Verdana"/>
          <w:sz w:val="20"/>
          <w:szCs w:val="20"/>
          <w:lang w:val="es-CR"/>
        </w:rPr>
        <w:t xml:space="preserve"> desde </w:t>
      </w:r>
      <w:r w:rsidR="0028441F">
        <w:rPr>
          <w:rFonts w:ascii="Verdana" w:hAnsi="Verdana"/>
          <w:sz w:val="20"/>
          <w:szCs w:val="20"/>
          <w:lang w:val="es-CR"/>
        </w:rPr>
        <w:t xml:space="preserve">la última Resolución de este Tribunal, que dispuso la </w:t>
      </w:r>
      <w:r w:rsidR="00657283" w:rsidRPr="00BE210A">
        <w:rPr>
          <w:rFonts w:ascii="Verdana" w:hAnsi="Verdana"/>
          <w:sz w:val="20"/>
          <w:szCs w:val="20"/>
          <w:lang w:val="es-CR"/>
        </w:rPr>
        <w:t xml:space="preserve">ampliación </w:t>
      </w:r>
      <w:r w:rsidR="0028441F">
        <w:rPr>
          <w:rFonts w:ascii="Verdana" w:hAnsi="Verdana"/>
          <w:sz w:val="20"/>
          <w:szCs w:val="20"/>
          <w:lang w:val="es-CR"/>
        </w:rPr>
        <w:t xml:space="preserve">de la protección provisional </w:t>
      </w:r>
      <w:r w:rsidR="00657283" w:rsidRPr="00BE210A">
        <w:rPr>
          <w:rFonts w:ascii="Verdana" w:hAnsi="Verdana"/>
          <w:sz w:val="20"/>
          <w:szCs w:val="20"/>
          <w:lang w:val="es-CR"/>
        </w:rPr>
        <w:t>a los familiares de la señora Mosquera</w:t>
      </w:r>
      <w:r w:rsidR="005D635A">
        <w:rPr>
          <w:rFonts w:ascii="Verdana" w:hAnsi="Verdana"/>
          <w:sz w:val="20"/>
          <w:szCs w:val="20"/>
          <w:lang w:val="es-CR"/>
        </w:rPr>
        <w:t xml:space="preserve"> (</w:t>
      </w:r>
      <w:r w:rsidR="005D635A">
        <w:rPr>
          <w:rFonts w:ascii="Verdana" w:hAnsi="Verdana"/>
          <w:i/>
          <w:sz w:val="20"/>
          <w:szCs w:val="20"/>
          <w:lang w:val="es-CR"/>
        </w:rPr>
        <w:t>supra</w:t>
      </w:r>
      <w:r w:rsidR="005D635A">
        <w:rPr>
          <w:rFonts w:ascii="Verdana" w:hAnsi="Verdana"/>
          <w:sz w:val="20"/>
          <w:szCs w:val="20"/>
          <w:lang w:val="es-CR"/>
        </w:rPr>
        <w:t xml:space="preserve"> Visto 1)</w:t>
      </w:r>
      <w:r w:rsidR="0028441F">
        <w:rPr>
          <w:rFonts w:ascii="Verdana" w:hAnsi="Verdana"/>
          <w:sz w:val="20"/>
          <w:szCs w:val="20"/>
          <w:lang w:val="es-CR"/>
        </w:rPr>
        <w:t>.</w:t>
      </w:r>
      <w:r w:rsidR="00657283" w:rsidRPr="00BE210A">
        <w:rPr>
          <w:rFonts w:ascii="Verdana" w:hAnsi="Verdana"/>
          <w:sz w:val="20"/>
          <w:szCs w:val="20"/>
          <w:lang w:val="es-CR"/>
        </w:rPr>
        <w:t xml:space="preserve"> </w:t>
      </w:r>
      <w:r w:rsidR="0028441F">
        <w:rPr>
          <w:rFonts w:ascii="Verdana" w:hAnsi="Verdana"/>
          <w:sz w:val="20"/>
          <w:szCs w:val="20"/>
          <w:lang w:val="es-CR"/>
        </w:rPr>
        <w:t xml:space="preserve">Por ello, </w:t>
      </w:r>
      <w:r w:rsidR="00F44676" w:rsidRPr="00BE210A">
        <w:rPr>
          <w:rFonts w:ascii="Verdana" w:hAnsi="Verdana"/>
          <w:sz w:val="20"/>
          <w:szCs w:val="20"/>
          <w:lang w:val="es-CR"/>
        </w:rPr>
        <w:t xml:space="preserve">la Corte estima oportuno realizar un examen sobre </w:t>
      </w:r>
      <w:r w:rsidR="0028441F">
        <w:rPr>
          <w:rFonts w:ascii="Verdana" w:hAnsi="Verdana"/>
          <w:sz w:val="20"/>
          <w:szCs w:val="20"/>
          <w:lang w:val="es-CR"/>
        </w:rPr>
        <w:t>las medidas provisionales ordenadas</w:t>
      </w:r>
      <w:r w:rsidR="00F44676" w:rsidRPr="00BE210A">
        <w:rPr>
          <w:rFonts w:ascii="Verdana" w:hAnsi="Verdana"/>
          <w:sz w:val="20"/>
          <w:szCs w:val="20"/>
          <w:lang w:val="es-CR"/>
        </w:rPr>
        <w:t xml:space="preserve">. </w:t>
      </w:r>
      <w:r w:rsidR="0028441F">
        <w:rPr>
          <w:rFonts w:ascii="Verdana" w:hAnsi="Verdana"/>
          <w:sz w:val="20"/>
          <w:szCs w:val="20"/>
          <w:lang w:val="es-CR"/>
        </w:rPr>
        <w:t>A tal efecto,</w:t>
      </w:r>
      <w:r w:rsidR="00236F8D">
        <w:rPr>
          <w:rFonts w:ascii="Verdana" w:hAnsi="Verdana"/>
          <w:sz w:val="20"/>
          <w:szCs w:val="20"/>
          <w:lang w:val="es-CR"/>
        </w:rPr>
        <w:t xml:space="preserve"> luego de ciertas consideraciones previas,</w:t>
      </w:r>
      <w:r w:rsidR="0028441F">
        <w:rPr>
          <w:rFonts w:ascii="Verdana" w:hAnsi="Verdana"/>
          <w:sz w:val="20"/>
          <w:szCs w:val="20"/>
          <w:lang w:val="es-CR"/>
        </w:rPr>
        <w:t xml:space="preserve"> l</w:t>
      </w:r>
      <w:r w:rsidR="005763FF" w:rsidRPr="00BE210A">
        <w:rPr>
          <w:rFonts w:ascii="Verdana" w:hAnsi="Verdana"/>
          <w:sz w:val="20"/>
          <w:szCs w:val="20"/>
          <w:lang w:val="es-CR"/>
        </w:rPr>
        <w:t xml:space="preserve">a Corte </w:t>
      </w:r>
      <w:r w:rsidR="00236F8D">
        <w:rPr>
          <w:rFonts w:ascii="Verdana" w:hAnsi="Verdana"/>
          <w:sz w:val="20"/>
          <w:szCs w:val="20"/>
          <w:lang w:val="es-CR"/>
        </w:rPr>
        <w:t>expondrá la información y observaciones relevantes remitidas por el Estado, las representantes y la Comisión, para luego expresar las co</w:t>
      </w:r>
      <w:r w:rsidR="00236F8D" w:rsidRPr="00E50988">
        <w:rPr>
          <w:rFonts w:ascii="Verdana" w:hAnsi="Verdana"/>
          <w:sz w:val="20"/>
          <w:szCs w:val="20"/>
          <w:lang w:val="es-CR"/>
        </w:rPr>
        <w:t>nsideraciones de este Tribunal.</w:t>
      </w:r>
      <w:r w:rsidR="00415A7B" w:rsidRPr="00E50988">
        <w:rPr>
          <w:rFonts w:ascii="Verdana" w:hAnsi="Verdana"/>
          <w:sz w:val="20"/>
          <w:szCs w:val="20"/>
          <w:lang w:val="es-CR"/>
        </w:rPr>
        <w:t xml:space="preserve"> En cuanto a la información y observaciones referidas, </w:t>
      </w:r>
      <w:r w:rsidR="00415A7B" w:rsidRPr="00E50988">
        <w:rPr>
          <w:rFonts w:ascii="Verdana" w:hAnsi="Verdana"/>
          <w:spacing w:val="-4"/>
          <w:sz w:val="20"/>
          <w:szCs w:val="20"/>
          <w:lang w:val="es-CR"/>
        </w:rPr>
        <w:t xml:space="preserve">se tomará en cuenta, a efectos del examen indicado, aquello que resulte pertinente respecto a la situación actual de las </w:t>
      </w:r>
      <w:r w:rsidR="005D651F" w:rsidRPr="00E50988">
        <w:rPr>
          <w:rFonts w:ascii="Verdana" w:hAnsi="Verdana"/>
          <w:spacing w:val="-4"/>
          <w:sz w:val="20"/>
          <w:szCs w:val="20"/>
          <w:lang w:val="es-CR"/>
        </w:rPr>
        <w:t>personas beneficiarias</w:t>
      </w:r>
      <w:r w:rsidR="00415A7B" w:rsidRPr="00E50988">
        <w:rPr>
          <w:rFonts w:ascii="Verdana" w:hAnsi="Verdana"/>
          <w:spacing w:val="-4"/>
          <w:sz w:val="20"/>
          <w:szCs w:val="20"/>
          <w:lang w:val="es-CR"/>
        </w:rPr>
        <w:t xml:space="preserve">. </w:t>
      </w:r>
    </w:p>
    <w:p w:rsidR="00E33DB0" w:rsidRDefault="00E33DB0" w:rsidP="00E50988">
      <w:pPr>
        <w:pStyle w:val="ListParagraph"/>
        <w:tabs>
          <w:tab w:val="left" w:pos="0"/>
        </w:tabs>
        <w:ind w:left="0" w:right="-90"/>
        <w:jc w:val="both"/>
        <w:rPr>
          <w:rFonts w:ascii="Verdana" w:hAnsi="Verdana"/>
          <w:spacing w:val="-4"/>
          <w:sz w:val="16"/>
          <w:szCs w:val="16"/>
          <w:lang w:val="es-CR"/>
        </w:rPr>
      </w:pPr>
    </w:p>
    <w:p w:rsidR="00E33DB0" w:rsidRPr="00CA5ACF" w:rsidRDefault="00E33DB0" w:rsidP="004C4953">
      <w:pPr>
        <w:pStyle w:val="ListParagraph"/>
        <w:numPr>
          <w:ilvl w:val="0"/>
          <w:numId w:val="63"/>
        </w:numPr>
        <w:tabs>
          <w:tab w:val="left" w:pos="284"/>
        </w:tabs>
        <w:ind w:left="284" w:right="-90" w:firstLine="0"/>
        <w:jc w:val="both"/>
        <w:rPr>
          <w:rFonts w:ascii="Verdana" w:hAnsi="Verdana"/>
          <w:b/>
          <w:i/>
          <w:sz w:val="20"/>
          <w:szCs w:val="20"/>
          <w:lang w:val="es-ES_tradnl"/>
        </w:rPr>
      </w:pPr>
      <w:r w:rsidRPr="00CA5ACF">
        <w:rPr>
          <w:rFonts w:ascii="Verdana" w:hAnsi="Verdana"/>
          <w:b/>
          <w:i/>
          <w:sz w:val="20"/>
          <w:szCs w:val="20"/>
          <w:lang w:val="es-ES_tradnl"/>
        </w:rPr>
        <w:t>Consideraciones previas</w:t>
      </w:r>
    </w:p>
    <w:p w:rsidR="00E33DB0" w:rsidRPr="00E50988" w:rsidRDefault="00E33DB0" w:rsidP="00E50988">
      <w:pPr>
        <w:pStyle w:val="ListParagraph"/>
        <w:tabs>
          <w:tab w:val="left" w:pos="0"/>
        </w:tabs>
        <w:ind w:left="0" w:right="-90"/>
        <w:jc w:val="both"/>
        <w:rPr>
          <w:lang w:val="es-CR"/>
        </w:rPr>
      </w:pPr>
    </w:p>
    <w:p w:rsidR="00612290" w:rsidRPr="00E50988" w:rsidRDefault="006C0999" w:rsidP="00E50988">
      <w:pPr>
        <w:pStyle w:val="ListParagraph"/>
        <w:numPr>
          <w:ilvl w:val="0"/>
          <w:numId w:val="72"/>
        </w:numPr>
        <w:tabs>
          <w:tab w:val="left" w:pos="0"/>
        </w:tabs>
        <w:ind w:left="0" w:right="-90" w:hanging="11"/>
        <w:jc w:val="both"/>
        <w:rPr>
          <w:lang w:val="es-CR"/>
        </w:rPr>
      </w:pPr>
      <w:r w:rsidRPr="00E50988">
        <w:rPr>
          <w:rFonts w:ascii="Verdana" w:hAnsi="Verdana"/>
          <w:sz w:val="20"/>
          <w:szCs w:val="20"/>
          <w:lang w:val="es-ES_tradnl"/>
        </w:rPr>
        <w:t>En primer término, la Corte co</w:t>
      </w:r>
      <w:r w:rsidR="003E5275" w:rsidRPr="00E50988">
        <w:rPr>
          <w:rFonts w:ascii="Verdana" w:hAnsi="Verdana"/>
          <w:sz w:val="20"/>
          <w:szCs w:val="20"/>
          <w:lang w:val="es-ES_tradnl"/>
        </w:rPr>
        <w:t xml:space="preserve">nsidera pertinente resaltar que luego de la última Resolución de </w:t>
      </w:r>
      <w:r w:rsidR="00C30221">
        <w:rPr>
          <w:rFonts w:ascii="Verdana" w:hAnsi="Verdana"/>
          <w:sz w:val="20"/>
          <w:szCs w:val="20"/>
          <w:lang w:val="es-ES_tradnl"/>
        </w:rPr>
        <w:t>este Tribunal, el Estado remitió 39 informes</w:t>
      </w:r>
      <w:r w:rsidR="003E5275" w:rsidRPr="00E50988">
        <w:rPr>
          <w:rFonts w:ascii="Verdana" w:hAnsi="Verdana"/>
          <w:sz w:val="20"/>
          <w:szCs w:val="20"/>
          <w:lang w:val="es-ES_tradnl"/>
        </w:rPr>
        <w:t>, y los representantes y la se</w:t>
      </w:r>
      <w:r w:rsidR="00AE6818">
        <w:rPr>
          <w:rFonts w:ascii="Verdana" w:hAnsi="Verdana"/>
          <w:sz w:val="20"/>
          <w:szCs w:val="20"/>
          <w:lang w:val="es-ES_tradnl"/>
        </w:rPr>
        <w:t>ñora Naranjo, en su conjunto, 14</w:t>
      </w:r>
      <w:r w:rsidR="003E5275" w:rsidRPr="00E50988">
        <w:rPr>
          <w:rFonts w:ascii="Verdana" w:hAnsi="Verdana"/>
          <w:sz w:val="20"/>
          <w:szCs w:val="20"/>
          <w:lang w:val="es-ES_tradnl"/>
        </w:rPr>
        <w:t xml:space="preserve"> (</w:t>
      </w:r>
      <w:r w:rsidR="003E5275" w:rsidRPr="00E50988">
        <w:rPr>
          <w:rFonts w:ascii="Verdana" w:hAnsi="Verdana"/>
          <w:i/>
          <w:sz w:val="20"/>
          <w:szCs w:val="20"/>
          <w:lang w:val="es-ES_tradnl"/>
        </w:rPr>
        <w:t>supra</w:t>
      </w:r>
      <w:r w:rsidR="003E5275" w:rsidRPr="00E50988">
        <w:rPr>
          <w:rFonts w:ascii="Verdana" w:hAnsi="Verdana"/>
          <w:sz w:val="20"/>
          <w:szCs w:val="20"/>
          <w:lang w:val="es-ES_tradnl"/>
        </w:rPr>
        <w:t xml:space="preserve"> Vistos </w:t>
      </w:r>
      <w:r w:rsidR="007555A6">
        <w:rPr>
          <w:rFonts w:ascii="Verdana" w:hAnsi="Verdana"/>
          <w:sz w:val="20"/>
          <w:szCs w:val="20"/>
          <w:lang w:val="es-ES_tradnl"/>
        </w:rPr>
        <w:t>2 y 3</w:t>
      </w:r>
      <w:r w:rsidR="003E5275" w:rsidRPr="00E50988">
        <w:rPr>
          <w:rFonts w:ascii="Verdana" w:hAnsi="Verdana"/>
          <w:sz w:val="20"/>
          <w:szCs w:val="20"/>
          <w:lang w:val="es-ES_tradnl"/>
        </w:rPr>
        <w:t>)</w:t>
      </w:r>
      <w:r w:rsidR="00612290" w:rsidRPr="00E50988">
        <w:rPr>
          <w:rFonts w:ascii="Verdana" w:hAnsi="Verdana"/>
          <w:sz w:val="20"/>
          <w:szCs w:val="20"/>
          <w:lang w:val="es-ES_tradnl"/>
        </w:rPr>
        <w:t xml:space="preserve">, incluyendo </w:t>
      </w:r>
      <w:r w:rsidR="001D0BAF" w:rsidRPr="006931EB">
        <w:rPr>
          <w:rFonts w:ascii="Verdana" w:hAnsi="Verdana"/>
          <w:sz w:val="20"/>
          <w:szCs w:val="20"/>
          <w:lang w:val="es-ES_tradnl"/>
        </w:rPr>
        <w:t>tres</w:t>
      </w:r>
      <w:r w:rsidR="00612290" w:rsidRPr="00E50988">
        <w:rPr>
          <w:rFonts w:ascii="Verdana" w:hAnsi="Verdana"/>
          <w:sz w:val="20"/>
          <w:szCs w:val="20"/>
          <w:lang w:val="es-ES_tradnl"/>
        </w:rPr>
        <w:t xml:space="preserve"> que solo referían a cuestiones sobre la representación de la beneficiaria nombrada</w:t>
      </w:r>
      <w:r w:rsidR="003E5275" w:rsidRPr="00E50988">
        <w:rPr>
          <w:rFonts w:ascii="Verdana" w:hAnsi="Verdana"/>
          <w:sz w:val="20"/>
          <w:szCs w:val="20"/>
          <w:lang w:val="es-ES_tradnl"/>
        </w:rPr>
        <w:t>. Debe hacerse notar que todos los informes estatales fueron trasladados a las representantes, solicitándoles observaciones al respecto. Asimismo, en diversas ocasiones se solicitó a las representantes la remisión de observaciones</w:t>
      </w:r>
      <w:r w:rsidR="00C30221">
        <w:rPr>
          <w:rFonts w:ascii="Verdana" w:hAnsi="Verdana"/>
          <w:sz w:val="20"/>
          <w:szCs w:val="20"/>
          <w:lang w:val="es-ES_tradnl"/>
        </w:rPr>
        <w:t>, las</w:t>
      </w:r>
      <w:r w:rsidR="003E5275" w:rsidRPr="00E50988">
        <w:rPr>
          <w:rFonts w:ascii="Verdana" w:hAnsi="Verdana"/>
          <w:sz w:val="20"/>
          <w:szCs w:val="20"/>
          <w:lang w:val="es-ES_tradnl"/>
        </w:rPr>
        <w:t xml:space="preserve"> que no </w:t>
      </w:r>
      <w:r w:rsidR="00C30221">
        <w:rPr>
          <w:rFonts w:ascii="Verdana" w:hAnsi="Verdana"/>
          <w:sz w:val="20"/>
          <w:szCs w:val="20"/>
          <w:lang w:val="es-ES_tradnl"/>
        </w:rPr>
        <w:t xml:space="preserve">fueron </w:t>
      </w:r>
      <w:r w:rsidR="003E5275" w:rsidRPr="00E50988">
        <w:rPr>
          <w:rFonts w:ascii="Verdana" w:hAnsi="Verdana"/>
          <w:sz w:val="20"/>
          <w:szCs w:val="20"/>
          <w:lang w:val="es-ES_tradnl"/>
        </w:rPr>
        <w:t>presentadas en forma oportuna (</w:t>
      </w:r>
      <w:r w:rsidR="003E5275" w:rsidRPr="00E50988">
        <w:rPr>
          <w:rFonts w:ascii="Verdana" w:hAnsi="Verdana"/>
          <w:i/>
          <w:sz w:val="20"/>
          <w:szCs w:val="20"/>
          <w:lang w:val="es-ES_tradnl"/>
        </w:rPr>
        <w:t>supra</w:t>
      </w:r>
      <w:r w:rsidR="003E5275" w:rsidRPr="00E50988">
        <w:rPr>
          <w:rFonts w:ascii="Verdana" w:hAnsi="Verdana"/>
          <w:sz w:val="20"/>
          <w:szCs w:val="20"/>
          <w:lang w:val="es-ES_tradnl"/>
        </w:rPr>
        <w:t xml:space="preserve"> Visto </w:t>
      </w:r>
      <w:r w:rsidR="000510E3">
        <w:rPr>
          <w:rFonts w:ascii="Verdana" w:hAnsi="Verdana"/>
          <w:sz w:val="20"/>
          <w:szCs w:val="20"/>
          <w:lang w:val="es-ES_tradnl"/>
        </w:rPr>
        <w:t>5</w:t>
      </w:r>
      <w:r w:rsidR="003E5275" w:rsidRPr="00E50988">
        <w:rPr>
          <w:rFonts w:ascii="Verdana" w:hAnsi="Verdana"/>
          <w:sz w:val="20"/>
          <w:szCs w:val="20"/>
          <w:lang w:val="es-ES_tradnl"/>
        </w:rPr>
        <w:t xml:space="preserve">). </w:t>
      </w:r>
    </w:p>
    <w:p w:rsidR="00612290" w:rsidRDefault="00612290" w:rsidP="00E50988">
      <w:pPr>
        <w:tabs>
          <w:tab w:val="left" w:pos="810"/>
        </w:tabs>
        <w:ind w:right="-90"/>
        <w:jc w:val="both"/>
        <w:rPr>
          <w:rFonts w:ascii="Verdana" w:hAnsi="Verdana"/>
          <w:sz w:val="20"/>
          <w:szCs w:val="20"/>
          <w:lang w:val="es-ES_tradnl"/>
        </w:rPr>
      </w:pPr>
    </w:p>
    <w:p w:rsidR="00B71EC9" w:rsidRDefault="00A6770D" w:rsidP="00E50988">
      <w:pPr>
        <w:pStyle w:val="ListParagraph"/>
        <w:numPr>
          <w:ilvl w:val="0"/>
          <w:numId w:val="72"/>
        </w:numPr>
        <w:ind w:left="0" w:hanging="11"/>
        <w:jc w:val="both"/>
        <w:rPr>
          <w:rFonts w:ascii="Verdana" w:eastAsia="Calibri" w:hAnsi="Verdana" w:cs="Verdana"/>
          <w:color w:val="000000"/>
          <w:sz w:val="20"/>
          <w:szCs w:val="20"/>
          <w:lang w:val="es-CR"/>
        </w:rPr>
      </w:pPr>
      <w:r w:rsidRPr="00E50988">
        <w:rPr>
          <w:rFonts w:ascii="Verdana" w:hAnsi="Verdana"/>
          <w:sz w:val="20"/>
          <w:szCs w:val="20"/>
          <w:lang w:val="es-ES_tradnl"/>
        </w:rPr>
        <w:t>La Corte advierte que es</w:t>
      </w:r>
      <w:r w:rsidR="00612290" w:rsidRPr="00E50988">
        <w:rPr>
          <w:rFonts w:ascii="Verdana" w:hAnsi="Verdana"/>
          <w:sz w:val="20"/>
          <w:szCs w:val="20"/>
          <w:lang w:val="es-ES_tradnl"/>
        </w:rPr>
        <w:t xml:space="preserve"> </w:t>
      </w:r>
      <w:r w:rsidR="00BB7628" w:rsidRPr="006931EB">
        <w:rPr>
          <w:rFonts w:ascii="Verdana" w:hAnsi="Verdana"/>
          <w:sz w:val="20"/>
          <w:szCs w:val="20"/>
          <w:lang w:val="es-ES_tradnl"/>
        </w:rPr>
        <w:t>una carga</w:t>
      </w:r>
      <w:r w:rsidR="006C0999" w:rsidRPr="00E50988">
        <w:rPr>
          <w:rFonts w:ascii="Verdana" w:eastAsia="Calibri" w:hAnsi="Verdana" w:cs="Verdana"/>
          <w:sz w:val="20"/>
          <w:szCs w:val="20"/>
          <w:lang w:val="es-CR"/>
        </w:rPr>
        <w:t xml:space="preserve"> de las representantes presentar </w:t>
      </w:r>
      <w:r w:rsidRPr="00E50988">
        <w:rPr>
          <w:rFonts w:ascii="Verdana" w:eastAsia="Calibri" w:hAnsi="Verdana" w:cs="Verdana"/>
          <w:sz w:val="20"/>
          <w:szCs w:val="20"/>
          <w:lang w:val="es-CR"/>
        </w:rPr>
        <w:t>observaciones</w:t>
      </w:r>
      <w:r w:rsidR="006C0999" w:rsidRPr="00E50988">
        <w:rPr>
          <w:rFonts w:ascii="Verdana" w:eastAsia="Calibri" w:hAnsi="Verdana" w:cs="Verdana"/>
          <w:sz w:val="20"/>
          <w:szCs w:val="20"/>
          <w:lang w:val="es-CR"/>
        </w:rPr>
        <w:t xml:space="preserve"> respecto de la implementación de las medidas </w:t>
      </w:r>
      <w:r w:rsidR="006C0999" w:rsidRPr="00E50988">
        <w:rPr>
          <w:rFonts w:ascii="Verdana" w:eastAsia="Batang" w:hAnsi="Verdana" w:cs="Arial"/>
          <w:sz w:val="20"/>
          <w:szCs w:val="20"/>
          <w:lang w:val="es-CR"/>
        </w:rPr>
        <w:t xml:space="preserve">provisionales en el plazo y con la periodicidad </w:t>
      </w:r>
      <w:r w:rsidRPr="00E50988">
        <w:rPr>
          <w:rFonts w:ascii="Verdana" w:eastAsia="Batang" w:hAnsi="Verdana" w:cs="Arial"/>
          <w:sz w:val="20"/>
          <w:szCs w:val="20"/>
          <w:lang w:val="es-CR"/>
        </w:rPr>
        <w:t>indicada por</w:t>
      </w:r>
      <w:r w:rsidR="006C0999" w:rsidRPr="00E50988">
        <w:rPr>
          <w:rFonts w:ascii="Verdana" w:eastAsia="Batang" w:hAnsi="Verdana" w:cs="Arial"/>
          <w:sz w:val="20"/>
          <w:szCs w:val="20"/>
          <w:lang w:val="es-CR"/>
        </w:rPr>
        <w:t xml:space="preserve"> la Corte. </w:t>
      </w:r>
      <w:r w:rsidR="006C0999" w:rsidRPr="00E50988">
        <w:rPr>
          <w:rFonts w:ascii="Verdana" w:eastAsia="Calibri" w:hAnsi="Verdana" w:cs="Verdana"/>
          <w:color w:val="000000"/>
          <w:sz w:val="20"/>
          <w:szCs w:val="20"/>
          <w:lang w:val="es-CR"/>
        </w:rPr>
        <w:t xml:space="preserve">En el presente asunto, las representantes </w:t>
      </w:r>
      <w:r w:rsidR="00DD2C28" w:rsidRPr="00E50988">
        <w:rPr>
          <w:rFonts w:ascii="Verdana" w:eastAsia="Calibri" w:hAnsi="Verdana" w:cs="Verdana"/>
          <w:color w:val="000000"/>
          <w:sz w:val="20"/>
          <w:szCs w:val="20"/>
          <w:lang w:val="es-CR"/>
        </w:rPr>
        <w:t xml:space="preserve">omitieron en varias ocasiones la </w:t>
      </w:r>
      <w:r w:rsidR="006C0999" w:rsidRPr="00E50988">
        <w:rPr>
          <w:rFonts w:ascii="Verdana" w:hAnsi="Verdana"/>
          <w:sz w:val="20"/>
          <w:szCs w:val="20"/>
          <w:lang w:val="es-CR"/>
        </w:rPr>
        <w:t>presenta</w:t>
      </w:r>
      <w:r w:rsidR="00DD2C28" w:rsidRPr="00E50988">
        <w:rPr>
          <w:rFonts w:ascii="Verdana" w:hAnsi="Verdana"/>
          <w:sz w:val="20"/>
          <w:szCs w:val="20"/>
          <w:lang w:val="es-CR"/>
        </w:rPr>
        <w:t>ción oportuna de las observaciones correspondientes</w:t>
      </w:r>
      <w:r w:rsidR="00DD2C28" w:rsidRPr="00E50988">
        <w:rPr>
          <w:rFonts w:ascii="Verdana" w:eastAsia="Calibri" w:hAnsi="Verdana" w:cs="Verdana"/>
          <w:color w:val="000000"/>
          <w:sz w:val="20"/>
          <w:szCs w:val="20"/>
          <w:lang w:val="es-CR"/>
        </w:rPr>
        <w:t>.</w:t>
      </w:r>
      <w:r w:rsidR="006C0999" w:rsidRPr="00E50988">
        <w:rPr>
          <w:rFonts w:ascii="Verdana" w:eastAsia="Calibri" w:hAnsi="Verdana" w:cs="Verdana"/>
          <w:color w:val="000000"/>
          <w:sz w:val="20"/>
          <w:szCs w:val="20"/>
          <w:lang w:val="es-CR"/>
        </w:rPr>
        <w:t xml:space="preserve"> </w:t>
      </w:r>
      <w:r w:rsidR="00DD2C28" w:rsidRPr="00E50988">
        <w:rPr>
          <w:rFonts w:ascii="Verdana" w:eastAsia="Calibri" w:hAnsi="Verdana" w:cs="Verdana"/>
          <w:color w:val="000000"/>
          <w:sz w:val="20"/>
          <w:szCs w:val="20"/>
          <w:lang w:val="es-CR"/>
        </w:rPr>
        <w:t>C</w:t>
      </w:r>
      <w:r w:rsidR="006C0999" w:rsidRPr="00E50988">
        <w:rPr>
          <w:rFonts w:ascii="Verdana" w:eastAsia="Calibri" w:hAnsi="Verdana" w:cs="Verdana"/>
          <w:color w:val="000000"/>
          <w:sz w:val="20"/>
          <w:szCs w:val="20"/>
          <w:lang w:val="es-CR"/>
        </w:rPr>
        <w:t>omo consecuencia</w:t>
      </w:r>
      <w:r w:rsidR="00DD2C28" w:rsidRPr="00E50988">
        <w:rPr>
          <w:rFonts w:ascii="Verdana" w:eastAsia="Calibri" w:hAnsi="Verdana" w:cs="Verdana"/>
          <w:color w:val="000000"/>
          <w:sz w:val="20"/>
          <w:szCs w:val="20"/>
          <w:lang w:val="es-CR"/>
        </w:rPr>
        <w:t>, perjudicaron, en contra de los propios intereses de las personas beneficiarias,</w:t>
      </w:r>
      <w:r w:rsidR="006C0999" w:rsidRPr="00E50988">
        <w:rPr>
          <w:rFonts w:ascii="Verdana" w:eastAsia="Calibri" w:hAnsi="Verdana" w:cs="Verdana"/>
          <w:color w:val="000000"/>
          <w:sz w:val="20"/>
          <w:szCs w:val="20"/>
          <w:lang w:val="es-CR"/>
        </w:rPr>
        <w:t xml:space="preserve"> la </w:t>
      </w:r>
      <w:r w:rsidR="00DD2C28" w:rsidRPr="00E50988">
        <w:rPr>
          <w:rFonts w:ascii="Verdana" w:eastAsia="Calibri" w:hAnsi="Verdana" w:cs="Verdana"/>
          <w:color w:val="000000"/>
          <w:sz w:val="20"/>
          <w:szCs w:val="20"/>
          <w:lang w:val="es-CR"/>
        </w:rPr>
        <w:t xml:space="preserve">posibilidad de la </w:t>
      </w:r>
      <w:r w:rsidR="006C0999" w:rsidRPr="00E50988">
        <w:rPr>
          <w:rFonts w:ascii="Verdana" w:eastAsia="Calibri" w:hAnsi="Verdana" w:cs="Verdana"/>
          <w:color w:val="000000"/>
          <w:sz w:val="20"/>
          <w:szCs w:val="20"/>
          <w:lang w:val="es-CR"/>
        </w:rPr>
        <w:t xml:space="preserve">Corte </w:t>
      </w:r>
      <w:r w:rsidR="00DD2C28" w:rsidRPr="00E50988">
        <w:rPr>
          <w:rFonts w:ascii="Verdana" w:eastAsia="Calibri" w:hAnsi="Verdana" w:cs="Verdana"/>
          <w:color w:val="000000"/>
          <w:sz w:val="20"/>
          <w:szCs w:val="20"/>
          <w:lang w:val="es-CR"/>
        </w:rPr>
        <w:t xml:space="preserve">de hacer un seguimiento </w:t>
      </w:r>
      <w:r w:rsidR="006C0999" w:rsidRPr="00E50988">
        <w:rPr>
          <w:rFonts w:ascii="Verdana" w:eastAsia="Calibri" w:hAnsi="Verdana" w:cs="Verdana"/>
          <w:color w:val="000000"/>
          <w:sz w:val="20"/>
          <w:szCs w:val="20"/>
          <w:lang w:val="es-CR"/>
        </w:rPr>
        <w:t>detallad</w:t>
      </w:r>
      <w:r w:rsidR="00DD2C28" w:rsidRPr="00E50988">
        <w:rPr>
          <w:rFonts w:ascii="Verdana" w:eastAsia="Calibri" w:hAnsi="Verdana" w:cs="Verdana"/>
          <w:color w:val="000000"/>
          <w:sz w:val="20"/>
          <w:szCs w:val="20"/>
          <w:lang w:val="es-CR"/>
        </w:rPr>
        <w:t xml:space="preserve">o de </w:t>
      </w:r>
      <w:r w:rsidR="00612290" w:rsidRPr="00E50988">
        <w:rPr>
          <w:rFonts w:ascii="Verdana" w:eastAsia="Calibri" w:hAnsi="Verdana" w:cs="Verdana"/>
          <w:color w:val="000000"/>
          <w:sz w:val="20"/>
          <w:szCs w:val="20"/>
          <w:lang w:val="es-CR"/>
        </w:rPr>
        <w:t xml:space="preserve">su </w:t>
      </w:r>
      <w:r w:rsidR="00DD2C28" w:rsidRPr="00E50988">
        <w:rPr>
          <w:rFonts w:ascii="Verdana" w:eastAsia="Calibri" w:hAnsi="Verdana" w:cs="Verdana"/>
          <w:color w:val="000000"/>
          <w:sz w:val="20"/>
          <w:szCs w:val="20"/>
          <w:lang w:val="es-CR"/>
        </w:rPr>
        <w:t>situación y</w:t>
      </w:r>
      <w:r w:rsidR="006C0999" w:rsidRPr="00E50988">
        <w:rPr>
          <w:rFonts w:ascii="Verdana" w:eastAsia="Calibri" w:hAnsi="Verdana" w:cs="Verdana"/>
          <w:color w:val="000000"/>
          <w:sz w:val="20"/>
          <w:szCs w:val="20"/>
          <w:lang w:val="es-CR"/>
        </w:rPr>
        <w:t xml:space="preserve"> de los avances en la implementación</w:t>
      </w:r>
      <w:r w:rsidR="00DD2C28" w:rsidRPr="00E50988">
        <w:rPr>
          <w:rFonts w:ascii="Verdana" w:eastAsia="Calibri" w:hAnsi="Verdana" w:cs="Verdana"/>
          <w:color w:val="000000"/>
          <w:sz w:val="20"/>
          <w:szCs w:val="20"/>
          <w:lang w:val="es-CR"/>
        </w:rPr>
        <w:t xml:space="preserve"> de las medidas</w:t>
      </w:r>
      <w:r w:rsidR="006C0999" w:rsidRPr="00E50988">
        <w:rPr>
          <w:rFonts w:ascii="Verdana" w:eastAsia="Calibri" w:hAnsi="Verdana" w:cs="Verdana"/>
          <w:color w:val="000000"/>
          <w:sz w:val="20"/>
          <w:szCs w:val="20"/>
          <w:lang w:val="es-CR"/>
        </w:rPr>
        <w:t xml:space="preserve">. </w:t>
      </w:r>
      <w:r w:rsidR="00400337" w:rsidRPr="00E50988">
        <w:rPr>
          <w:rFonts w:ascii="Verdana" w:eastAsia="Calibri" w:hAnsi="Verdana" w:cs="Verdana"/>
          <w:color w:val="000000"/>
          <w:sz w:val="20"/>
          <w:szCs w:val="20"/>
          <w:lang w:val="es-CR"/>
        </w:rPr>
        <w:t>Este Tribunal no desconoce que en el presente asunto las representantes pudieron en ciertos momentos tener dificultades</w:t>
      </w:r>
      <w:r w:rsidR="00400337" w:rsidRPr="00E50988">
        <w:rPr>
          <w:rStyle w:val="FootnoteReference"/>
          <w:rFonts w:eastAsia="Calibri" w:cs="Verdana"/>
          <w:color w:val="000000"/>
          <w:sz w:val="20"/>
          <w:szCs w:val="20"/>
          <w:lang w:val="es-CR"/>
        </w:rPr>
        <w:footnoteReference w:id="4"/>
      </w:r>
      <w:r w:rsidR="00400337" w:rsidRPr="00E50988">
        <w:rPr>
          <w:rFonts w:ascii="Verdana" w:eastAsia="Calibri" w:hAnsi="Verdana" w:cs="Verdana"/>
          <w:color w:val="000000"/>
          <w:sz w:val="20"/>
          <w:szCs w:val="20"/>
          <w:lang w:val="es-CR"/>
        </w:rPr>
        <w:t xml:space="preserve">. Sin perjuicio de ello, </w:t>
      </w:r>
      <w:r w:rsidR="004238C8" w:rsidRPr="00E50988">
        <w:rPr>
          <w:rFonts w:ascii="Verdana" w:eastAsia="Calibri" w:hAnsi="Verdana" w:cs="Verdana"/>
          <w:color w:val="000000"/>
          <w:sz w:val="20"/>
          <w:szCs w:val="20"/>
          <w:lang w:val="es-CR"/>
        </w:rPr>
        <w:t xml:space="preserve">debe tenerse en cuenta que </w:t>
      </w:r>
      <w:r w:rsidR="00400337" w:rsidRPr="00E50988">
        <w:rPr>
          <w:rFonts w:ascii="Verdana" w:eastAsia="Calibri" w:hAnsi="Verdana" w:cs="Verdana"/>
          <w:color w:val="000000"/>
          <w:sz w:val="20"/>
          <w:szCs w:val="20"/>
          <w:lang w:val="es-CR"/>
        </w:rPr>
        <w:t>la vigencia de las medidas provisionales se sustenta en el entendimiento de la persistencia de una situación extremadamente grave y urgente. En ese sentido, l</w:t>
      </w:r>
      <w:r w:rsidR="00DD2C28" w:rsidRPr="00E50988">
        <w:rPr>
          <w:rFonts w:ascii="Verdana" w:eastAsia="Calibri" w:hAnsi="Verdana" w:cs="Verdana"/>
          <w:color w:val="000000"/>
          <w:sz w:val="20"/>
          <w:szCs w:val="20"/>
          <w:lang w:val="es-CR"/>
        </w:rPr>
        <w:t xml:space="preserve">as faltas o demoras reiteradas </w:t>
      </w:r>
      <w:r w:rsidR="00400337" w:rsidRPr="00E50988">
        <w:rPr>
          <w:rFonts w:ascii="Verdana" w:eastAsia="Calibri" w:hAnsi="Verdana" w:cs="Verdana"/>
          <w:color w:val="000000"/>
          <w:sz w:val="20"/>
          <w:szCs w:val="20"/>
          <w:lang w:val="es-CR"/>
        </w:rPr>
        <w:t xml:space="preserve">o prolongadas </w:t>
      </w:r>
      <w:r w:rsidR="00DD2C28" w:rsidRPr="00E50988">
        <w:rPr>
          <w:rFonts w:ascii="Verdana" w:eastAsia="Calibri" w:hAnsi="Verdana" w:cs="Verdana"/>
          <w:color w:val="000000"/>
          <w:sz w:val="20"/>
          <w:szCs w:val="20"/>
          <w:lang w:val="es-CR"/>
        </w:rPr>
        <w:t xml:space="preserve">en la presentación de observaciones </w:t>
      </w:r>
      <w:r w:rsidR="00353D1F" w:rsidRPr="00E50988">
        <w:rPr>
          <w:rFonts w:ascii="Verdana" w:eastAsia="Calibri" w:hAnsi="Verdana" w:cs="Verdana"/>
          <w:color w:val="000000"/>
          <w:sz w:val="20"/>
          <w:szCs w:val="20"/>
          <w:lang w:val="es-CR"/>
        </w:rPr>
        <w:t xml:space="preserve">no se condicen con </w:t>
      </w:r>
      <w:r w:rsidR="00400337" w:rsidRPr="00E50988">
        <w:rPr>
          <w:rFonts w:ascii="Verdana" w:eastAsia="Calibri" w:hAnsi="Verdana" w:cs="Verdana"/>
          <w:color w:val="000000"/>
          <w:sz w:val="20"/>
          <w:szCs w:val="20"/>
          <w:lang w:val="es-CR"/>
        </w:rPr>
        <w:t>una situación de esa naturaleza, e</w:t>
      </w:r>
      <w:r w:rsidR="00DD2C28" w:rsidRPr="00E50988">
        <w:rPr>
          <w:rFonts w:ascii="Verdana" w:eastAsia="Calibri" w:hAnsi="Verdana" w:cs="Verdana"/>
          <w:color w:val="000000"/>
          <w:sz w:val="20"/>
          <w:szCs w:val="20"/>
          <w:lang w:val="es-CR"/>
        </w:rPr>
        <w:t xml:space="preserve"> incluso </w:t>
      </w:r>
      <w:r w:rsidR="004238C8" w:rsidRPr="00E50988">
        <w:rPr>
          <w:rFonts w:ascii="Verdana" w:eastAsia="Calibri" w:hAnsi="Verdana" w:cs="Verdana"/>
          <w:color w:val="000000"/>
          <w:sz w:val="20"/>
          <w:szCs w:val="20"/>
          <w:lang w:val="es-CR"/>
        </w:rPr>
        <w:t xml:space="preserve">podrían dar lugar a </w:t>
      </w:r>
      <w:r w:rsidR="00DD2C28" w:rsidRPr="00E50988">
        <w:rPr>
          <w:rFonts w:ascii="Verdana" w:eastAsia="Calibri" w:hAnsi="Verdana" w:cs="Verdana"/>
          <w:color w:val="000000"/>
          <w:sz w:val="20"/>
          <w:szCs w:val="20"/>
          <w:lang w:val="es-CR"/>
        </w:rPr>
        <w:t xml:space="preserve">entender que las representantes han dejado de considerar que </w:t>
      </w:r>
      <w:r w:rsidR="00400337" w:rsidRPr="00E50988">
        <w:rPr>
          <w:rFonts w:ascii="Verdana" w:eastAsia="Calibri" w:hAnsi="Verdana" w:cs="Verdana"/>
          <w:color w:val="000000"/>
          <w:sz w:val="20"/>
          <w:szCs w:val="20"/>
          <w:lang w:val="es-CR"/>
        </w:rPr>
        <w:t>se mantenga un estado de urgencia extrema</w:t>
      </w:r>
      <w:r w:rsidR="006931EB" w:rsidRPr="00290B08">
        <w:rPr>
          <w:rStyle w:val="FootnoteReference"/>
          <w:rFonts w:eastAsia="Calibri" w:cs="Verdana"/>
          <w:color w:val="000000"/>
          <w:sz w:val="20"/>
          <w:szCs w:val="20"/>
          <w:lang w:val="es-CR"/>
        </w:rPr>
        <w:footnoteReference w:id="5"/>
      </w:r>
      <w:r w:rsidR="00DD2C28" w:rsidRPr="00290B08">
        <w:rPr>
          <w:rFonts w:ascii="Verdana" w:eastAsia="Calibri" w:hAnsi="Verdana" w:cs="Verdana"/>
          <w:color w:val="000000"/>
          <w:sz w:val="20"/>
          <w:szCs w:val="20"/>
          <w:lang w:val="es-CR"/>
        </w:rPr>
        <w:t>.</w:t>
      </w:r>
      <w:r w:rsidR="00DD2C28" w:rsidRPr="00E50988">
        <w:rPr>
          <w:rFonts w:ascii="Verdana" w:eastAsia="Calibri" w:hAnsi="Verdana" w:cs="Verdana"/>
          <w:color w:val="000000"/>
          <w:sz w:val="20"/>
          <w:szCs w:val="20"/>
          <w:lang w:val="es-CR"/>
        </w:rPr>
        <w:t xml:space="preserve"> </w:t>
      </w:r>
    </w:p>
    <w:p w:rsidR="00B87639" w:rsidRPr="00290B08" w:rsidRDefault="00B87639" w:rsidP="00B87639">
      <w:pPr>
        <w:pStyle w:val="ListParagraph"/>
        <w:ind w:left="0"/>
        <w:jc w:val="both"/>
        <w:rPr>
          <w:rFonts w:ascii="Verdana" w:eastAsia="Calibri" w:hAnsi="Verdana" w:cs="Verdana"/>
          <w:color w:val="000000"/>
          <w:sz w:val="20"/>
          <w:szCs w:val="20"/>
          <w:lang w:val="es-CR"/>
        </w:rPr>
      </w:pPr>
    </w:p>
    <w:p w:rsidR="00B71EC9" w:rsidRDefault="00612290" w:rsidP="00E50988">
      <w:pPr>
        <w:pStyle w:val="ListParagraph"/>
        <w:numPr>
          <w:ilvl w:val="0"/>
          <w:numId w:val="72"/>
        </w:numPr>
        <w:ind w:left="0" w:firstLine="0"/>
        <w:jc w:val="both"/>
        <w:rPr>
          <w:rFonts w:ascii="Verdana" w:eastAsia="Calibri" w:hAnsi="Verdana" w:cs="Verdana"/>
          <w:color w:val="000000"/>
          <w:sz w:val="20"/>
          <w:szCs w:val="20"/>
          <w:lang w:val="es-CR"/>
        </w:rPr>
      </w:pPr>
      <w:r w:rsidRPr="00E50988">
        <w:rPr>
          <w:rFonts w:ascii="Verdana" w:hAnsi="Verdana"/>
          <w:sz w:val="20"/>
          <w:szCs w:val="20"/>
          <w:lang w:val="es-ES"/>
        </w:rPr>
        <w:t xml:space="preserve">En segundo lugar, </w:t>
      </w:r>
      <w:r w:rsidR="00035B26" w:rsidRPr="00E50988">
        <w:rPr>
          <w:rFonts w:ascii="Verdana" w:hAnsi="Verdana"/>
          <w:sz w:val="20"/>
          <w:szCs w:val="20"/>
          <w:lang w:val="es-ES"/>
        </w:rPr>
        <w:t xml:space="preserve">se deja constancia que </w:t>
      </w:r>
      <w:r w:rsidR="006C0999" w:rsidRPr="00E50988">
        <w:rPr>
          <w:rFonts w:ascii="Verdana" w:hAnsi="Verdana"/>
          <w:sz w:val="20"/>
          <w:szCs w:val="20"/>
          <w:lang w:val="es-ES"/>
        </w:rPr>
        <w:t xml:space="preserve">tanto </w:t>
      </w:r>
      <w:r w:rsidR="00035B26" w:rsidRPr="00E50988">
        <w:rPr>
          <w:rFonts w:ascii="Verdana" w:hAnsi="Verdana"/>
          <w:sz w:val="20"/>
          <w:szCs w:val="20"/>
          <w:lang w:val="es-ES"/>
        </w:rPr>
        <w:t xml:space="preserve">Colombia como </w:t>
      </w:r>
      <w:r w:rsidR="006C0999" w:rsidRPr="00E50988">
        <w:rPr>
          <w:rFonts w:ascii="Verdana" w:hAnsi="Verdana"/>
          <w:sz w:val="20"/>
          <w:szCs w:val="20"/>
          <w:lang w:val="es-ES"/>
        </w:rPr>
        <w:t>la</w:t>
      </w:r>
      <w:r w:rsidR="00035B26" w:rsidRPr="00E50988">
        <w:rPr>
          <w:rFonts w:ascii="Verdana" w:hAnsi="Verdana"/>
          <w:sz w:val="20"/>
          <w:szCs w:val="20"/>
          <w:lang w:val="es-ES"/>
        </w:rPr>
        <w:t>s</w:t>
      </w:r>
      <w:r w:rsidR="006C0999" w:rsidRPr="00E50988">
        <w:rPr>
          <w:rFonts w:ascii="Verdana" w:hAnsi="Verdana"/>
          <w:sz w:val="20"/>
          <w:szCs w:val="20"/>
          <w:lang w:val="es-ES"/>
        </w:rPr>
        <w:t xml:space="preserve"> representa</w:t>
      </w:r>
      <w:r w:rsidR="00035B26" w:rsidRPr="00E50988">
        <w:rPr>
          <w:rFonts w:ascii="Verdana" w:hAnsi="Verdana"/>
          <w:sz w:val="20"/>
          <w:szCs w:val="20"/>
          <w:lang w:val="es-ES"/>
        </w:rPr>
        <w:t xml:space="preserve">ntes y </w:t>
      </w:r>
      <w:r w:rsidR="006C0999" w:rsidRPr="00E50988">
        <w:rPr>
          <w:rFonts w:ascii="Verdana" w:hAnsi="Verdana"/>
          <w:sz w:val="20"/>
          <w:szCs w:val="20"/>
          <w:lang w:val="es-ES"/>
        </w:rPr>
        <w:t xml:space="preserve">la Comisión Interamericana han hecho consideraciones sobre </w:t>
      </w:r>
      <w:r w:rsidR="00035B26" w:rsidRPr="00E50988">
        <w:rPr>
          <w:rFonts w:ascii="Verdana" w:hAnsi="Verdana"/>
          <w:sz w:val="20"/>
          <w:szCs w:val="20"/>
          <w:lang w:val="es-ES"/>
        </w:rPr>
        <w:t>procesos de investigación.</w:t>
      </w:r>
      <w:r w:rsidR="006C0999" w:rsidRPr="00E50988">
        <w:rPr>
          <w:rFonts w:ascii="Verdana" w:hAnsi="Verdana"/>
          <w:sz w:val="20"/>
          <w:szCs w:val="20"/>
          <w:lang w:val="es-ES"/>
        </w:rPr>
        <w:t xml:space="preserve"> </w:t>
      </w:r>
      <w:r w:rsidR="00035B26" w:rsidRPr="00E50988">
        <w:rPr>
          <w:rFonts w:ascii="Verdana" w:hAnsi="Verdana"/>
          <w:sz w:val="20"/>
          <w:szCs w:val="20"/>
          <w:lang w:val="es-ES"/>
        </w:rPr>
        <w:t>E</w:t>
      </w:r>
      <w:r w:rsidR="006C0999" w:rsidRPr="00E50988">
        <w:rPr>
          <w:rFonts w:ascii="Verdana" w:hAnsi="Verdana"/>
          <w:sz w:val="20"/>
          <w:szCs w:val="20"/>
          <w:lang w:val="es-ES"/>
        </w:rPr>
        <w:t xml:space="preserve">ste Tribunal ha considerado en otras oportunidades que la falta de investigación no implica necesariamente extrema gravedad y urgencia, que sea suficiente para mantener </w:t>
      </w:r>
      <w:r w:rsidR="006C0999" w:rsidRPr="00E50988">
        <w:rPr>
          <w:rFonts w:ascii="Verdana" w:hAnsi="Verdana"/>
          <w:sz w:val="20"/>
          <w:szCs w:val="20"/>
          <w:lang w:val="es-ES"/>
        </w:rPr>
        <w:lastRenderedPageBreak/>
        <w:t xml:space="preserve">las medidas provisionales. En este sentido, la duración del proceso puede extenderse más allá de </w:t>
      </w:r>
      <w:r w:rsidR="006C0999" w:rsidRPr="00E50988">
        <w:rPr>
          <w:rFonts w:ascii="Verdana" w:hAnsi="Verdana"/>
          <w:bCs/>
          <w:sz w:val="20"/>
          <w:szCs w:val="20"/>
          <w:lang w:val="es-CO"/>
        </w:rPr>
        <w:t>la amenaza o riesgo extremo y urgente</w:t>
      </w:r>
      <w:r w:rsidR="006C0999" w:rsidRPr="00E50988">
        <w:rPr>
          <w:rStyle w:val="FootnoteReference"/>
          <w:rFonts w:eastAsia="Times"/>
          <w:sz w:val="20"/>
          <w:szCs w:val="20"/>
        </w:rPr>
        <w:footnoteReference w:id="6"/>
      </w:r>
      <w:r w:rsidR="006C0999" w:rsidRPr="00E50988">
        <w:rPr>
          <w:rFonts w:ascii="Verdana" w:hAnsi="Verdana"/>
          <w:bCs/>
          <w:sz w:val="20"/>
          <w:szCs w:val="20"/>
          <w:lang w:val="es-CO"/>
        </w:rPr>
        <w:t>. En razón de ello, el Tribunal ha entendido que, de ser el caso, la efectividad de las investigaciones es un tema que corresponde a un análisis de fondo y no al otorgamiento o mantenimiento de medidas provisionales</w:t>
      </w:r>
      <w:r w:rsidR="006C0999" w:rsidRPr="00E50988">
        <w:rPr>
          <w:rStyle w:val="FootnoteReference"/>
          <w:bCs/>
          <w:sz w:val="20"/>
          <w:szCs w:val="20"/>
          <w:lang w:val="es-CO"/>
        </w:rPr>
        <w:footnoteReference w:id="7"/>
      </w:r>
      <w:r w:rsidR="006C0999" w:rsidRPr="00E50988">
        <w:rPr>
          <w:rFonts w:ascii="Verdana" w:hAnsi="Verdana"/>
          <w:bCs/>
          <w:sz w:val="20"/>
          <w:szCs w:val="20"/>
          <w:lang w:val="es-CO"/>
        </w:rPr>
        <w:t xml:space="preserve">. </w:t>
      </w:r>
      <w:r w:rsidR="00035B26" w:rsidRPr="00E50988">
        <w:rPr>
          <w:rFonts w:ascii="Verdana" w:hAnsi="Verdana"/>
          <w:bCs/>
          <w:sz w:val="20"/>
          <w:szCs w:val="20"/>
          <w:lang w:val="es-CO"/>
        </w:rPr>
        <w:t xml:space="preserve">En particular, en el presente asunto, en su Resolución de 25 de noviembre de 2010 este Tribunal dejó establecido que </w:t>
      </w:r>
      <w:r w:rsidR="00035B26" w:rsidRPr="00E50988">
        <w:rPr>
          <w:rFonts w:ascii="Verdana" w:eastAsia="Calibri" w:hAnsi="Verdana" w:cs="Verdana"/>
          <w:color w:val="000000"/>
          <w:sz w:val="20"/>
          <w:szCs w:val="20"/>
          <w:lang w:val="es-CO"/>
        </w:rPr>
        <w:t>“</w:t>
      </w:r>
      <w:r w:rsidR="00035B26" w:rsidRPr="00E50988">
        <w:rPr>
          <w:rFonts w:ascii="Verdana" w:eastAsia="Calibri" w:hAnsi="Verdana" w:cs="Verdana"/>
          <w:color w:val="000000"/>
          <w:sz w:val="20"/>
          <w:szCs w:val="20"/>
          <w:lang w:val="es-CR"/>
        </w:rPr>
        <w:t xml:space="preserve">no se referirá a la supuesta ausencia de resultados ni a la forma en que el Estado se encuentra investigando. En tal sentido, el Tribunal </w:t>
      </w:r>
      <w:proofErr w:type="spellStart"/>
      <w:r w:rsidR="00035B26" w:rsidRPr="00E50988">
        <w:rPr>
          <w:rFonts w:ascii="Verdana" w:eastAsia="Calibri" w:hAnsi="Verdana" w:cs="Verdana"/>
          <w:color w:val="000000"/>
          <w:sz w:val="20"/>
          <w:szCs w:val="20"/>
          <w:lang w:val="es-CR"/>
        </w:rPr>
        <w:t>reiter</w:t>
      </w:r>
      <w:proofErr w:type="spellEnd"/>
      <w:r w:rsidR="00035B26" w:rsidRPr="00E50988">
        <w:rPr>
          <w:rFonts w:ascii="Verdana" w:eastAsia="Calibri" w:hAnsi="Verdana" w:cs="Verdana"/>
          <w:color w:val="000000"/>
          <w:sz w:val="20"/>
          <w:szCs w:val="20"/>
          <w:lang w:val="es-CR"/>
        </w:rPr>
        <w:t>[</w:t>
      </w:r>
      <w:proofErr w:type="spellStart"/>
      <w:r w:rsidR="00035B26" w:rsidRPr="00E50988">
        <w:rPr>
          <w:rFonts w:ascii="Verdana" w:eastAsia="Calibri" w:hAnsi="Verdana" w:cs="Verdana"/>
          <w:color w:val="000000"/>
          <w:sz w:val="20"/>
          <w:szCs w:val="20"/>
          <w:lang w:val="es-CR"/>
        </w:rPr>
        <w:t>ó</w:t>
      </w:r>
      <w:proofErr w:type="spellEnd"/>
      <w:r w:rsidR="00035B26" w:rsidRPr="00E50988">
        <w:rPr>
          <w:rFonts w:ascii="Verdana" w:eastAsia="Calibri" w:hAnsi="Verdana" w:cs="Verdana"/>
          <w:color w:val="000000"/>
          <w:sz w:val="20"/>
          <w:szCs w:val="20"/>
          <w:lang w:val="es-CR"/>
        </w:rPr>
        <w:t xml:space="preserve">] que no </w:t>
      </w:r>
      <w:proofErr w:type="gramStart"/>
      <w:r w:rsidR="00035B26" w:rsidRPr="00E50988">
        <w:rPr>
          <w:rFonts w:ascii="Verdana" w:eastAsia="Calibri" w:hAnsi="Verdana" w:cs="Verdana"/>
          <w:color w:val="000000"/>
          <w:sz w:val="20"/>
          <w:szCs w:val="20"/>
          <w:lang w:val="es-CR"/>
        </w:rPr>
        <w:t>volver[</w:t>
      </w:r>
      <w:proofErr w:type="spellStart"/>
      <w:proofErr w:type="gramEnd"/>
      <w:r w:rsidR="00035B26" w:rsidRPr="00E50988">
        <w:rPr>
          <w:rFonts w:ascii="Verdana" w:eastAsia="Calibri" w:hAnsi="Verdana" w:cs="Verdana"/>
          <w:color w:val="000000"/>
          <w:sz w:val="20"/>
          <w:szCs w:val="20"/>
          <w:lang w:val="es-CR"/>
        </w:rPr>
        <w:t>ía</w:t>
      </w:r>
      <w:proofErr w:type="spellEnd"/>
      <w:r w:rsidR="00035B26" w:rsidRPr="00E50988">
        <w:rPr>
          <w:rFonts w:ascii="Verdana" w:eastAsia="Calibri" w:hAnsi="Verdana" w:cs="Verdana"/>
          <w:color w:val="000000"/>
          <w:sz w:val="20"/>
          <w:szCs w:val="20"/>
          <w:lang w:val="es-CR"/>
        </w:rPr>
        <w:t>] a solicitar a las partes información sobre este punto”</w:t>
      </w:r>
      <w:r w:rsidR="000142E4" w:rsidRPr="00E50988">
        <w:rPr>
          <w:rStyle w:val="FootnoteReference"/>
          <w:rFonts w:eastAsia="Calibri" w:cs="Verdana"/>
          <w:color w:val="000000"/>
          <w:sz w:val="20"/>
          <w:szCs w:val="20"/>
          <w:lang w:val="es-CR"/>
        </w:rPr>
        <w:footnoteReference w:id="8"/>
      </w:r>
      <w:r w:rsidR="00035B26" w:rsidRPr="00E50988">
        <w:rPr>
          <w:rFonts w:ascii="Verdana" w:eastAsia="Calibri" w:hAnsi="Verdana" w:cs="Verdana"/>
          <w:color w:val="000000"/>
          <w:sz w:val="20"/>
          <w:szCs w:val="20"/>
          <w:lang w:val="es-CR"/>
        </w:rPr>
        <w:t xml:space="preserve">. </w:t>
      </w:r>
      <w:r w:rsidR="00D1079C" w:rsidRPr="00E50988">
        <w:rPr>
          <w:rFonts w:ascii="Verdana" w:eastAsia="Calibri" w:hAnsi="Verdana" w:cs="Verdana"/>
          <w:color w:val="000000"/>
          <w:sz w:val="20"/>
          <w:szCs w:val="20"/>
          <w:lang w:val="es-CR"/>
        </w:rPr>
        <w:t xml:space="preserve">Por lo tanto, la Corte </w:t>
      </w:r>
      <w:r w:rsidR="00A47A00">
        <w:rPr>
          <w:rFonts w:ascii="Verdana" w:eastAsia="Calibri" w:hAnsi="Verdana" w:cs="Verdana"/>
          <w:color w:val="000000"/>
          <w:sz w:val="20"/>
          <w:szCs w:val="20"/>
          <w:lang w:val="es-CR"/>
        </w:rPr>
        <w:t>vuelve a señalar</w:t>
      </w:r>
      <w:r w:rsidR="0039137A">
        <w:rPr>
          <w:rFonts w:ascii="Verdana" w:eastAsia="Calibri" w:hAnsi="Verdana" w:cs="Verdana"/>
          <w:color w:val="000000"/>
          <w:sz w:val="20"/>
          <w:szCs w:val="20"/>
          <w:lang w:val="es-CR"/>
        </w:rPr>
        <w:t xml:space="preserve"> que </w:t>
      </w:r>
      <w:r w:rsidR="00D1079C" w:rsidRPr="00E50988">
        <w:rPr>
          <w:rFonts w:ascii="Verdana" w:eastAsia="Calibri" w:hAnsi="Verdana" w:cs="Verdana"/>
          <w:color w:val="000000"/>
          <w:sz w:val="20"/>
          <w:szCs w:val="20"/>
          <w:lang w:val="es-CR"/>
        </w:rPr>
        <w:t xml:space="preserve">no tendrá en cuenta información o consideraciones relativas a procesos de investigación desarrolladas en el ámbito interno. </w:t>
      </w:r>
    </w:p>
    <w:p w:rsidR="00B71EC9" w:rsidRDefault="00B71EC9" w:rsidP="00E50988">
      <w:pPr>
        <w:pStyle w:val="ListParagraph"/>
        <w:ind w:left="0"/>
        <w:jc w:val="both"/>
        <w:rPr>
          <w:rFonts w:ascii="Verdana" w:eastAsia="Calibri" w:hAnsi="Verdana" w:cs="Verdana"/>
          <w:color w:val="000000"/>
          <w:sz w:val="20"/>
          <w:szCs w:val="20"/>
          <w:lang w:val="es-CR"/>
        </w:rPr>
      </w:pPr>
    </w:p>
    <w:p w:rsidR="008B6AFA" w:rsidRPr="00E50988" w:rsidRDefault="008B6AFA" w:rsidP="00E50988">
      <w:pPr>
        <w:pStyle w:val="ListParagraph"/>
        <w:numPr>
          <w:ilvl w:val="0"/>
          <w:numId w:val="72"/>
        </w:numPr>
        <w:ind w:left="0" w:firstLine="0"/>
        <w:jc w:val="both"/>
        <w:rPr>
          <w:rFonts w:ascii="Verdana" w:eastAsia="Calibri" w:hAnsi="Verdana" w:cs="Verdana"/>
          <w:color w:val="000000"/>
          <w:sz w:val="20"/>
          <w:szCs w:val="20"/>
          <w:lang w:val="es-CR"/>
        </w:rPr>
      </w:pPr>
      <w:r w:rsidRPr="00E50988">
        <w:rPr>
          <w:rFonts w:ascii="Verdana" w:eastAsia="Calibri" w:hAnsi="Verdana" w:cs="Verdana"/>
          <w:color w:val="000000"/>
          <w:sz w:val="20"/>
          <w:szCs w:val="20"/>
          <w:lang w:val="es-CR"/>
        </w:rPr>
        <w:t>En tercer término, en determinadas oportunidades</w:t>
      </w:r>
      <w:r w:rsidR="00156DF2">
        <w:rPr>
          <w:rFonts w:ascii="Verdana" w:eastAsia="Calibri" w:hAnsi="Verdana" w:cs="Verdana"/>
          <w:color w:val="000000"/>
          <w:sz w:val="20"/>
          <w:szCs w:val="20"/>
          <w:lang w:val="es-CR"/>
        </w:rPr>
        <w:t>,</w:t>
      </w:r>
      <w:r w:rsidRPr="00E50988">
        <w:rPr>
          <w:rFonts w:ascii="Verdana" w:eastAsia="Calibri" w:hAnsi="Verdana" w:cs="Verdana"/>
          <w:color w:val="000000"/>
          <w:sz w:val="20"/>
          <w:szCs w:val="20"/>
          <w:lang w:val="es-CR"/>
        </w:rPr>
        <w:t xml:space="preserve"> el Estado y las representantes hicieron alusión a la atención psicológica a la señora Naranjo</w:t>
      </w:r>
      <w:r w:rsidR="0047490B" w:rsidRPr="00E50988">
        <w:rPr>
          <w:rFonts w:ascii="Verdana" w:eastAsia="Calibri" w:hAnsi="Verdana" w:cs="Verdana"/>
          <w:color w:val="000000"/>
          <w:sz w:val="20"/>
          <w:szCs w:val="20"/>
          <w:lang w:val="es-CR"/>
        </w:rPr>
        <w:t>, así como al estado de salud de María Luisa Escudero</w:t>
      </w:r>
      <w:r w:rsidR="004C505B" w:rsidRPr="00E50988">
        <w:rPr>
          <w:rFonts w:ascii="Verdana" w:eastAsia="Calibri" w:hAnsi="Verdana" w:cs="Verdana"/>
          <w:color w:val="000000"/>
          <w:sz w:val="20"/>
          <w:szCs w:val="20"/>
          <w:lang w:val="es-CR"/>
        </w:rPr>
        <w:t xml:space="preserve"> y Juan David Naranjo Jiménez</w:t>
      </w:r>
      <w:r w:rsidRPr="00E50988">
        <w:rPr>
          <w:rFonts w:ascii="Verdana" w:eastAsia="Calibri" w:hAnsi="Verdana" w:cs="Verdana"/>
          <w:color w:val="000000"/>
          <w:sz w:val="20"/>
          <w:szCs w:val="20"/>
          <w:lang w:val="es-CR"/>
        </w:rPr>
        <w:t>.</w:t>
      </w:r>
      <w:r w:rsidR="00F6370D">
        <w:rPr>
          <w:rFonts w:ascii="Verdana" w:eastAsia="Calibri" w:hAnsi="Verdana" w:cs="Verdana"/>
          <w:color w:val="000000"/>
          <w:sz w:val="20"/>
          <w:szCs w:val="20"/>
          <w:lang w:val="es-CR"/>
        </w:rPr>
        <w:t xml:space="preserve"> </w:t>
      </w:r>
      <w:r w:rsidR="00843B50" w:rsidRPr="00E50988">
        <w:rPr>
          <w:rFonts w:ascii="Verdana" w:eastAsia="Calibri" w:hAnsi="Verdana" w:cs="Verdana"/>
          <w:color w:val="000000"/>
          <w:sz w:val="20"/>
          <w:szCs w:val="20"/>
          <w:lang w:val="es-CR"/>
        </w:rPr>
        <w:t>La Corte no se referirá a ello, pues no advierte cómo d</w:t>
      </w:r>
      <w:r w:rsidRPr="00E50988">
        <w:rPr>
          <w:rFonts w:ascii="Verdana" w:eastAsia="Calibri" w:hAnsi="Verdana" w:cs="Verdana"/>
          <w:color w:val="000000"/>
          <w:sz w:val="20"/>
          <w:szCs w:val="20"/>
          <w:lang w:val="es-CR"/>
        </w:rPr>
        <w:t xml:space="preserve">ichas consideraciones </w:t>
      </w:r>
      <w:r w:rsidR="00843B50" w:rsidRPr="00E50988">
        <w:rPr>
          <w:rFonts w:ascii="Verdana" w:eastAsia="Calibri" w:hAnsi="Verdana" w:cs="Verdana"/>
          <w:color w:val="000000"/>
          <w:sz w:val="20"/>
          <w:szCs w:val="20"/>
          <w:lang w:val="es-CR"/>
        </w:rPr>
        <w:t>podrían</w:t>
      </w:r>
      <w:r w:rsidRPr="00E50988">
        <w:rPr>
          <w:rFonts w:ascii="Verdana" w:eastAsia="Calibri" w:hAnsi="Verdana" w:cs="Verdana"/>
          <w:color w:val="000000"/>
          <w:sz w:val="20"/>
          <w:szCs w:val="20"/>
          <w:lang w:val="es-CR"/>
        </w:rPr>
        <w:t xml:space="preserve"> resultan relevantes </w:t>
      </w:r>
      <w:r w:rsidR="00843B50" w:rsidRPr="00E50988">
        <w:rPr>
          <w:rFonts w:ascii="Verdana" w:eastAsia="Calibri" w:hAnsi="Verdana" w:cs="Verdana"/>
          <w:color w:val="000000"/>
          <w:sz w:val="20"/>
          <w:szCs w:val="20"/>
          <w:lang w:val="es-CR"/>
        </w:rPr>
        <w:t xml:space="preserve">en relación con la situación de seguridad o respecto a </w:t>
      </w:r>
      <w:r w:rsidRPr="00E50988">
        <w:rPr>
          <w:rFonts w:ascii="Verdana" w:eastAsia="Calibri" w:hAnsi="Verdana" w:cs="Verdana"/>
          <w:color w:val="000000"/>
          <w:sz w:val="20"/>
          <w:szCs w:val="20"/>
          <w:lang w:val="es-CR"/>
        </w:rPr>
        <w:t xml:space="preserve">medidas de protección </w:t>
      </w:r>
      <w:r w:rsidR="00843B50" w:rsidRPr="00E50988">
        <w:rPr>
          <w:rFonts w:ascii="Verdana" w:eastAsia="Calibri" w:hAnsi="Verdana" w:cs="Verdana"/>
          <w:color w:val="000000"/>
          <w:sz w:val="20"/>
          <w:szCs w:val="20"/>
          <w:lang w:val="es-CR"/>
        </w:rPr>
        <w:t>para prevenir</w:t>
      </w:r>
      <w:r w:rsidRPr="00E50988">
        <w:rPr>
          <w:rFonts w:ascii="Verdana" w:eastAsia="Calibri" w:hAnsi="Verdana" w:cs="Verdana"/>
          <w:color w:val="000000"/>
          <w:sz w:val="20"/>
          <w:szCs w:val="20"/>
          <w:lang w:val="es-CR"/>
        </w:rPr>
        <w:t xml:space="preserve"> posibles atentados contra personas beneficiarias</w:t>
      </w:r>
      <w:r w:rsidR="004B63B6" w:rsidRPr="004A0C4F">
        <w:rPr>
          <w:rStyle w:val="FootnoteReference"/>
          <w:rFonts w:eastAsia="Calibri" w:cs="Verdana"/>
          <w:color w:val="000000"/>
          <w:sz w:val="20"/>
          <w:szCs w:val="20"/>
          <w:lang w:val="es-CR"/>
        </w:rPr>
        <w:footnoteReference w:id="9"/>
      </w:r>
      <w:r w:rsidRPr="004A0C4F">
        <w:rPr>
          <w:rFonts w:ascii="Verdana" w:eastAsia="Calibri" w:hAnsi="Verdana" w:cs="Verdana"/>
          <w:color w:val="000000"/>
          <w:sz w:val="20"/>
          <w:szCs w:val="20"/>
          <w:lang w:val="es-CR"/>
        </w:rPr>
        <w:t>.</w:t>
      </w:r>
      <w:r w:rsidRPr="00E50988">
        <w:rPr>
          <w:rFonts w:ascii="Verdana" w:eastAsia="Calibri" w:hAnsi="Verdana" w:cs="Verdana"/>
          <w:color w:val="000000"/>
          <w:sz w:val="20"/>
          <w:szCs w:val="20"/>
          <w:lang w:val="es-CR"/>
        </w:rPr>
        <w:t xml:space="preserve">  </w:t>
      </w:r>
    </w:p>
    <w:p w:rsidR="00B71EC9" w:rsidRPr="00CA5ACF" w:rsidRDefault="00B71EC9" w:rsidP="00E50988">
      <w:pPr>
        <w:pStyle w:val="ListParagraph"/>
        <w:tabs>
          <w:tab w:val="left" w:pos="810"/>
        </w:tabs>
        <w:ind w:left="0" w:right="-90"/>
        <w:jc w:val="both"/>
        <w:rPr>
          <w:rFonts w:ascii="Verdana" w:hAnsi="Verdana"/>
          <w:sz w:val="20"/>
          <w:szCs w:val="20"/>
          <w:lang w:val="es-ES_tradnl"/>
        </w:rPr>
      </w:pPr>
    </w:p>
    <w:p w:rsidR="00B71EC9" w:rsidRDefault="00D1079C" w:rsidP="00E50988">
      <w:pPr>
        <w:pStyle w:val="ListParagraph"/>
        <w:numPr>
          <w:ilvl w:val="0"/>
          <w:numId w:val="72"/>
        </w:numPr>
        <w:ind w:left="0" w:firstLine="0"/>
        <w:jc w:val="both"/>
        <w:rPr>
          <w:bCs/>
          <w:lang w:val="es-CO"/>
        </w:rPr>
      </w:pPr>
      <w:r w:rsidRPr="00E50988">
        <w:rPr>
          <w:rFonts w:ascii="Verdana" w:eastAsia="Calibri" w:hAnsi="Verdana" w:cs="Verdana"/>
          <w:color w:val="000000"/>
          <w:sz w:val="20"/>
          <w:szCs w:val="20"/>
          <w:lang w:val="es-CR"/>
        </w:rPr>
        <w:t xml:space="preserve">Sentado lo anterior, la Corte a continuación expone las consideraciones pertinentes en relación </w:t>
      </w:r>
      <w:r w:rsidR="0039137A">
        <w:rPr>
          <w:rFonts w:ascii="Verdana" w:eastAsia="Calibri" w:hAnsi="Verdana" w:cs="Verdana"/>
          <w:color w:val="000000"/>
          <w:sz w:val="20"/>
          <w:szCs w:val="20"/>
          <w:lang w:val="es-CR"/>
        </w:rPr>
        <w:t>con</w:t>
      </w:r>
      <w:r w:rsidRPr="00E50988">
        <w:rPr>
          <w:rFonts w:ascii="Verdana" w:eastAsia="Calibri" w:hAnsi="Verdana" w:cs="Verdana"/>
          <w:color w:val="000000"/>
          <w:sz w:val="20"/>
          <w:szCs w:val="20"/>
          <w:lang w:val="es-CR"/>
        </w:rPr>
        <w:t xml:space="preserve"> las medidas de protección ordenadas. </w:t>
      </w:r>
      <w:r w:rsidR="00843B50" w:rsidRPr="00E50988">
        <w:rPr>
          <w:rFonts w:ascii="Verdana" w:eastAsia="Calibri" w:hAnsi="Verdana" w:cs="Verdana"/>
          <w:color w:val="000000"/>
          <w:sz w:val="20"/>
          <w:szCs w:val="20"/>
          <w:lang w:val="es-CR"/>
        </w:rPr>
        <w:t>En primer término (apartado B) se da cuenta de la información y observaciones presentadas por el Estado, las representantes y la Comisión. En segundo lugar (apartado C) se exteriorizan las consideraciones de este Tribunal.</w:t>
      </w:r>
    </w:p>
    <w:p w:rsidR="00B71EC9" w:rsidRDefault="00B71EC9" w:rsidP="00E50988">
      <w:pPr>
        <w:tabs>
          <w:tab w:val="left" w:pos="810"/>
        </w:tabs>
        <w:ind w:right="-90"/>
        <w:jc w:val="both"/>
        <w:rPr>
          <w:rFonts w:ascii="Verdana" w:hAnsi="Verdana"/>
          <w:bCs/>
          <w:sz w:val="20"/>
          <w:szCs w:val="20"/>
          <w:lang w:val="es-CO"/>
        </w:rPr>
      </w:pPr>
    </w:p>
    <w:p w:rsidR="00B71EC9" w:rsidRPr="00BE210A" w:rsidRDefault="00B71EC9" w:rsidP="004C4953">
      <w:pPr>
        <w:pStyle w:val="Heading1"/>
        <w:numPr>
          <w:ilvl w:val="0"/>
          <w:numId w:val="62"/>
        </w:numPr>
        <w:spacing w:before="0"/>
        <w:ind w:left="284" w:right="-90" w:firstLine="0"/>
        <w:jc w:val="both"/>
        <w:rPr>
          <w:rFonts w:ascii="Verdana" w:hAnsi="Verdana"/>
          <w:b w:val="0"/>
          <w:i/>
          <w:sz w:val="20"/>
          <w:szCs w:val="20"/>
          <w:lang w:val="es-ES"/>
        </w:rPr>
      </w:pPr>
      <w:r w:rsidRPr="00BE210A">
        <w:rPr>
          <w:rFonts w:ascii="Verdana" w:hAnsi="Verdana"/>
          <w:i/>
          <w:color w:val="auto"/>
          <w:sz w:val="20"/>
          <w:szCs w:val="20"/>
          <w:lang w:val="es-ES"/>
        </w:rPr>
        <w:t>I</w:t>
      </w:r>
      <w:r>
        <w:rPr>
          <w:rFonts w:ascii="Verdana" w:hAnsi="Verdana"/>
          <w:i/>
          <w:color w:val="auto"/>
          <w:sz w:val="20"/>
          <w:szCs w:val="20"/>
          <w:lang w:val="es-ES"/>
        </w:rPr>
        <w:t>nformación y observaciones del Estado, las representantes de las personas beneficiarias y la Comisión Interamericana</w:t>
      </w:r>
    </w:p>
    <w:p w:rsidR="00B71EC9" w:rsidRPr="00E50988" w:rsidRDefault="00B71EC9" w:rsidP="00E50988">
      <w:pPr>
        <w:tabs>
          <w:tab w:val="left" w:pos="810"/>
        </w:tabs>
        <w:ind w:right="-90"/>
        <w:jc w:val="both"/>
        <w:rPr>
          <w:rFonts w:ascii="Verdana" w:hAnsi="Verdana"/>
          <w:bCs/>
          <w:sz w:val="20"/>
          <w:szCs w:val="20"/>
          <w:lang w:val="es-CO"/>
        </w:rPr>
      </w:pPr>
    </w:p>
    <w:p w:rsidR="00B71EC9" w:rsidRDefault="006C56D5" w:rsidP="00E50988">
      <w:pPr>
        <w:pStyle w:val="ListParagraph"/>
        <w:numPr>
          <w:ilvl w:val="0"/>
          <w:numId w:val="72"/>
        </w:numPr>
        <w:ind w:left="0" w:hanging="11"/>
        <w:jc w:val="both"/>
        <w:rPr>
          <w:rFonts w:ascii="Verdana" w:hAnsi="Verdana"/>
          <w:sz w:val="20"/>
          <w:szCs w:val="20"/>
          <w:lang w:val="es-ES"/>
        </w:rPr>
      </w:pPr>
      <w:r w:rsidRPr="00E50988">
        <w:rPr>
          <w:rFonts w:ascii="Verdana" w:hAnsi="Verdana"/>
          <w:sz w:val="20"/>
          <w:szCs w:val="20"/>
          <w:lang w:val="es-ES"/>
        </w:rPr>
        <w:t>En</w:t>
      </w:r>
      <w:r w:rsidR="00B71EC9">
        <w:rPr>
          <w:rFonts w:ascii="Verdana" w:hAnsi="Verdana"/>
          <w:sz w:val="20"/>
          <w:szCs w:val="20"/>
          <w:lang w:val="es-ES"/>
        </w:rPr>
        <w:t xml:space="preserve"> primer lugar</w:t>
      </w:r>
      <w:r w:rsidRPr="00E50988">
        <w:rPr>
          <w:rFonts w:ascii="Verdana" w:hAnsi="Verdana"/>
          <w:sz w:val="20"/>
          <w:szCs w:val="20"/>
          <w:lang w:val="es-ES"/>
        </w:rPr>
        <w:t xml:space="preserve">, la Corte advierte que </w:t>
      </w:r>
      <w:r w:rsidR="0037709F" w:rsidRPr="00E50988">
        <w:rPr>
          <w:rFonts w:ascii="Verdana" w:hAnsi="Verdana"/>
          <w:sz w:val="20"/>
          <w:szCs w:val="20"/>
          <w:lang w:val="es-ES"/>
        </w:rPr>
        <w:t xml:space="preserve">el Estado </w:t>
      </w:r>
      <w:r w:rsidR="00574128" w:rsidRPr="00E50988">
        <w:rPr>
          <w:rFonts w:ascii="Verdana" w:hAnsi="Verdana"/>
          <w:sz w:val="20"/>
          <w:szCs w:val="20"/>
          <w:lang w:val="es-ES"/>
        </w:rPr>
        <w:t xml:space="preserve">contempló </w:t>
      </w:r>
      <w:r w:rsidR="0037709F" w:rsidRPr="00E50988">
        <w:rPr>
          <w:rFonts w:ascii="Verdana" w:hAnsi="Verdana"/>
          <w:sz w:val="20"/>
          <w:szCs w:val="20"/>
          <w:lang w:val="es-ES"/>
        </w:rPr>
        <w:t xml:space="preserve">distintas medidas de protección. </w:t>
      </w:r>
      <w:r w:rsidR="00415A1D" w:rsidRPr="00E50988">
        <w:rPr>
          <w:rFonts w:ascii="Verdana" w:hAnsi="Verdana"/>
          <w:sz w:val="20"/>
          <w:szCs w:val="20"/>
          <w:lang w:val="es-ES"/>
        </w:rPr>
        <w:t>Asimismo, entidades estatales competentes, con base en parámetros fijados por normativa interna, realizaron evaluaciones de riesgo respecto de las señoras Naranjo y Mosquera. Ahora bien, a</w:t>
      </w:r>
      <w:r w:rsidR="0037709F" w:rsidRPr="00E50988">
        <w:rPr>
          <w:rFonts w:ascii="Verdana" w:hAnsi="Verdana"/>
          <w:sz w:val="20"/>
          <w:szCs w:val="20"/>
          <w:lang w:val="es-ES"/>
        </w:rPr>
        <w:t>lgunas de</w:t>
      </w:r>
      <w:r w:rsidR="00415A1D" w:rsidRPr="00E50988">
        <w:rPr>
          <w:rFonts w:ascii="Verdana" w:hAnsi="Verdana"/>
          <w:sz w:val="20"/>
          <w:szCs w:val="20"/>
          <w:lang w:val="es-ES"/>
        </w:rPr>
        <w:t xml:space="preserve"> las medidas de protección </w:t>
      </w:r>
      <w:r w:rsidR="00574128" w:rsidRPr="00E50988">
        <w:rPr>
          <w:rFonts w:ascii="Verdana" w:hAnsi="Verdana"/>
          <w:sz w:val="20"/>
          <w:szCs w:val="20"/>
          <w:lang w:val="es-ES"/>
        </w:rPr>
        <w:t xml:space="preserve">se </w:t>
      </w:r>
      <w:r w:rsidR="00415A1D" w:rsidRPr="00E50988">
        <w:rPr>
          <w:rFonts w:ascii="Verdana" w:hAnsi="Verdana"/>
          <w:sz w:val="20"/>
          <w:szCs w:val="20"/>
          <w:lang w:val="es-ES"/>
        </w:rPr>
        <w:t>adopta</w:t>
      </w:r>
      <w:r w:rsidR="00574128" w:rsidRPr="00E50988">
        <w:rPr>
          <w:rFonts w:ascii="Verdana" w:hAnsi="Verdana"/>
          <w:sz w:val="20"/>
          <w:szCs w:val="20"/>
          <w:lang w:val="es-ES"/>
        </w:rPr>
        <w:t>ron o consideraron</w:t>
      </w:r>
      <w:r w:rsidR="00415A1D" w:rsidRPr="00E50988">
        <w:rPr>
          <w:rFonts w:ascii="Verdana" w:hAnsi="Verdana"/>
          <w:sz w:val="20"/>
          <w:szCs w:val="20"/>
          <w:lang w:val="es-ES"/>
        </w:rPr>
        <w:t xml:space="preserve"> en forma independiente a dichas evaluaciones de riesgo. Otras fueron determinadas antes de la realización de tales estudios, pero fueron también refrendadas a partir de ellos. </w:t>
      </w:r>
      <w:r w:rsidR="002C0BFD" w:rsidRPr="00E50988">
        <w:rPr>
          <w:rFonts w:ascii="Verdana" w:hAnsi="Verdana"/>
          <w:sz w:val="20"/>
          <w:szCs w:val="20"/>
          <w:lang w:val="es-ES"/>
        </w:rPr>
        <w:t>Un t</w:t>
      </w:r>
      <w:r w:rsidR="00574128" w:rsidRPr="00E50988">
        <w:rPr>
          <w:rFonts w:ascii="Verdana" w:hAnsi="Verdana"/>
          <w:sz w:val="20"/>
          <w:szCs w:val="20"/>
          <w:lang w:val="es-ES"/>
        </w:rPr>
        <w:t>ercer grupo de medidas surgió</w:t>
      </w:r>
      <w:r w:rsidR="002C0BFD" w:rsidRPr="00E50988">
        <w:rPr>
          <w:rFonts w:ascii="Verdana" w:hAnsi="Verdana"/>
          <w:sz w:val="20"/>
          <w:szCs w:val="20"/>
          <w:lang w:val="es-ES"/>
        </w:rPr>
        <w:t xml:space="preserve"> directamente a partir de los estudios de riesgo. A efectos de claridad, se expondrá, en primer término</w:t>
      </w:r>
      <w:r w:rsidR="00574128" w:rsidRPr="00E50988">
        <w:rPr>
          <w:rFonts w:ascii="Verdana" w:hAnsi="Verdana"/>
          <w:sz w:val="20"/>
          <w:szCs w:val="20"/>
          <w:lang w:val="es-ES"/>
        </w:rPr>
        <w:t>, los señalamientos sobre</w:t>
      </w:r>
      <w:r w:rsidR="002C0BFD" w:rsidRPr="00E50988">
        <w:rPr>
          <w:rFonts w:ascii="Verdana" w:hAnsi="Verdana"/>
          <w:sz w:val="20"/>
          <w:szCs w:val="20"/>
          <w:lang w:val="es-ES"/>
        </w:rPr>
        <w:t xml:space="preserve"> medidas </w:t>
      </w:r>
      <w:r w:rsidR="00574128" w:rsidRPr="00E50988">
        <w:rPr>
          <w:rFonts w:ascii="Verdana" w:hAnsi="Verdana"/>
          <w:sz w:val="20"/>
          <w:szCs w:val="20"/>
          <w:lang w:val="es-ES"/>
        </w:rPr>
        <w:t xml:space="preserve">que resultan </w:t>
      </w:r>
      <w:r w:rsidR="002C0BFD" w:rsidRPr="00E50988">
        <w:rPr>
          <w:rFonts w:ascii="Verdana" w:hAnsi="Verdana"/>
          <w:sz w:val="20"/>
          <w:szCs w:val="20"/>
          <w:lang w:val="es-ES"/>
        </w:rPr>
        <w:t>independiente</w:t>
      </w:r>
      <w:r w:rsidR="00574128" w:rsidRPr="00E50988">
        <w:rPr>
          <w:rFonts w:ascii="Verdana" w:hAnsi="Verdana"/>
          <w:sz w:val="20"/>
          <w:szCs w:val="20"/>
          <w:lang w:val="es-ES"/>
        </w:rPr>
        <w:t>s</w:t>
      </w:r>
      <w:r w:rsidR="002C0BFD" w:rsidRPr="00E50988">
        <w:rPr>
          <w:rFonts w:ascii="Verdana" w:hAnsi="Verdana"/>
          <w:sz w:val="20"/>
          <w:szCs w:val="20"/>
          <w:lang w:val="es-ES"/>
        </w:rPr>
        <w:t xml:space="preserve"> a estudios de riesgo (apartados </w:t>
      </w:r>
      <w:r w:rsidR="00574128" w:rsidRPr="00E50988">
        <w:rPr>
          <w:rFonts w:ascii="Verdana" w:hAnsi="Verdana"/>
          <w:sz w:val="20"/>
          <w:szCs w:val="20"/>
          <w:lang w:val="es-ES"/>
        </w:rPr>
        <w:t>B.1</w:t>
      </w:r>
      <w:r w:rsidR="002C0BFD" w:rsidRPr="00E50988">
        <w:rPr>
          <w:rFonts w:ascii="Verdana" w:hAnsi="Verdana"/>
          <w:sz w:val="20"/>
          <w:szCs w:val="20"/>
          <w:lang w:val="es-ES"/>
        </w:rPr>
        <w:t xml:space="preserve"> y </w:t>
      </w:r>
      <w:r w:rsidR="00574128" w:rsidRPr="00E50988">
        <w:rPr>
          <w:rFonts w:ascii="Verdana" w:hAnsi="Verdana"/>
          <w:sz w:val="20"/>
          <w:szCs w:val="20"/>
          <w:lang w:val="es-ES"/>
        </w:rPr>
        <w:t>B.2</w:t>
      </w:r>
      <w:r w:rsidR="002C0BFD" w:rsidRPr="00E50988">
        <w:rPr>
          <w:rFonts w:ascii="Verdana" w:hAnsi="Verdana"/>
          <w:sz w:val="20"/>
          <w:szCs w:val="20"/>
          <w:lang w:val="es-ES"/>
        </w:rPr>
        <w:t>). En segundo lugar se expondrá la información atinente a la realización de estudios de riesgo y a todas aquellas medidas vinculadas con ellos, incluyendo las que habían sido adoptadas con anteriorida</w:t>
      </w:r>
      <w:r w:rsidR="00B71EC9" w:rsidRPr="00E50988">
        <w:rPr>
          <w:rFonts w:ascii="Verdana" w:hAnsi="Verdana"/>
          <w:sz w:val="20"/>
          <w:szCs w:val="20"/>
          <w:lang w:val="es-ES"/>
        </w:rPr>
        <w:t xml:space="preserve">d a su realización (apartados </w:t>
      </w:r>
      <w:r w:rsidR="00B71EC9">
        <w:rPr>
          <w:rFonts w:ascii="Verdana" w:hAnsi="Verdana"/>
          <w:sz w:val="20"/>
          <w:szCs w:val="20"/>
          <w:lang w:val="es-ES"/>
        </w:rPr>
        <w:t>B.3 y B.4</w:t>
      </w:r>
      <w:r w:rsidR="002C0BFD" w:rsidRPr="00E50988">
        <w:rPr>
          <w:rFonts w:ascii="Verdana" w:hAnsi="Verdana"/>
          <w:sz w:val="20"/>
          <w:szCs w:val="20"/>
          <w:lang w:val="es-ES"/>
        </w:rPr>
        <w:t>).</w:t>
      </w:r>
    </w:p>
    <w:p w:rsidR="00B71EC9" w:rsidRDefault="00B71EC9" w:rsidP="00E50988">
      <w:pPr>
        <w:pStyle w:val="ListParagraph"/>
        <w:ind w:left="0"/>
        <w:jc w:val="both"/>
        <w:rPr>
          <w:rFonts w:ascii="Verdana" w:hAnsi="Verdana"/>
          <w:sz w:val="20"/>
          <w:szCs w:val="20"/>
          <w:lang w:val="es-ES"/>
        </w:rPr>
      </w:pPr>
    </w:p>
    <w:p w:rsidR="00B71EC9" w:rsidRDefault="003F7929" w:rsidP="00E50988">
      <w:pPr>
        <w:pStyle w:val="ListParagraph"/>
        <w:numPr>
          <w:ilvl w:val="0"/>
          <w:numId w:val="72"/>
        </w:numPr>
        <w:ind w:left="0" w:hanging="11"/>
        <w:jc w:val="both"/>
        <w:rPr>
          <w:rFonts w:ascii="Verdana" w:hAnsi="Verdana"/>
          <w:sz w:val="20"/>
          <w:szCs w:val="20"/>
          <w:lang w:val="es-ES"/>
        </w:rPr>
      </w:pPr>
      <w:r>
        <w:rPr>
          <w:rFonts w:ascii="Verdana" w:hAnsi="Verdana"/>
          <w:sz w:val="20"/>
          <w:szCs w:val="20"/>
          <w:lang w:val="es-ES"/>
        </w:rPr>
        <w:lastRenderedPageBreak/>
        <w:t>Por otra parte</w:t>
      </w:r>
      <w:r w:rsidR="002C0BFD" w:rsidRPr="00E50988">
        <w:rPr>
          <w:rFonts w:ascii="Verdana" w:hAnsi="Verdana"/>
          <w:sz w:val="20"/>
          <w:szCs w:val="20"/>
          <w:lang w:val="es-ES"/>
        </w:rPr>
        <w:t xml:space="preserve">, </w:t>
      </w:r>
      <w:r w:rsidR="006C56D5" w:rsidRPr="00E50988">
        <w:rPr>
          <w:rFonts w:ascii="Verdana" w:hAnsi="Verdana"/>
          <w:sz w:val="20"/>
          <w:szCs w:val="20"/>
          <w:lang w:val="es-ES"/>
        </w:rPr>
        <w:t xml:space="preserve">resulta relevante resaltar que </w:t>
      </w:r>
      <w:r w:rsidR="002C0BFD" w:rsidRPr="00E50988">
        <w:rPr>
          <w:rFonts w:ascii="Verdana" w:hAnsi="Verdana"/>
          <w:sz w:val="20"/>
          <w:szCs w:val="20"/>
          <w:lang w:val="es-ES"/>
        </w:rPr>
        <w:t>la Corte recibió información sobre hechos que podrían relacionarse a un riesgo respecto de la seguridad personal de personas beneficiarias. Ello se expondrá luego de reseñar la información relativa a la implementación de la</w:t>
      </w:r>
      <w:r w:rsidR="00C55299">
        <w:rPr>
          <w:rFonts w:ascii="Verdana" w:hAnsi="Verdana"/>
          <w:sz w:val="20"/>
          <w:szCs w:val="20"/>
          <w:lang w:val="es-ES"/>
        </w:rPr>
        <w:t>s medidas (apar</w:t>
      </w:r>
      <w:r w:rsidR="002C0BFD" w:rsidRPr="00E50988">
        <w:rPr>
          <w:rFonts w:ascii="Verdana" w:hAnsi="Verdana"/>
          <w:sz w:val="20"/>
          <w:szCs w:val="20"/>
          <w:lang w:val="es-ES"/>
        </w:rPr>
        <w:t xml:space="preserve">tado </w:t>
      </w:r>
      <w:r w:rsidR="00B71EC9" w:rsidRPr="00E50988">
        <w:rPr>
          <w:rFonts w:ascii="Verdana" w:hAnsi="Verdana"/>
          <w:sz w:val="20"/>
          <w:szCs w:val="20"/>
          <w:lang w:val="es-ES"/>
        </w:rPr>
        <w:t>B.5.</w:t>
      </w:r>
      <w:r w:rsidR="002C0BFD" w:rsidRPr="00E50988">
        <w:rPr>
          <w:rFonts w:ascii="Verdana" w:hAnsi="Verdana"/>
          <w:sz w:val="20"/>
          <w:szCs w:val="20"/>
          <w:lang w:val="es-ES"/>
        </w:rPr>
        <w:t>)</w:t>
      </w:r>
      <w:r w:rsidR="00273844">
        <w:rPr>
          <w:rFonts w:ascii="Verdana" w:hAnsi="Verdana"/>
          <w:sz w:val="20"/>
          <w:szCs w:val="20"/>
          <w:lang w:val="es-ES"/>
        </w:rPr>
        <w:t>.</w:t>
      </w:r>
      <w:r w:rsidR="002C0BFD" w:rsidRPr="00E50988">
        <w:rPr>
          <w:rFonts w:ascii="Verdana" w:hAnsi="Verdana"/>
          <w:sz w:val="20"/>
          <w:szCs w:val="20"/>
          <w:lang w:val="es-ES"/>
        </w:rPr>
        <w:t xml:space="preserve"> </w:t>
      </w:r>
    </w:p>
    <w:p w:rsidR="00B71EC9" w:rsidRPr="00E50988" w:rsidRDefault="00B71EC9" w:rsidP="00E50988">
      <w:pPr>
        <w:pStyle w:val="ListParagraph"/>
        <w:rPr>
          <w:rFonts w:ascii="Verdana" w:hAnsi="Verdana"/>
          <w:sz w:val="20"/>
          <w:szCs w:val="20"/>
          <w:lang w:val="es-ES"/>
        </w:rPr>
      </w:pPr>
    </w:p>
    <w:p w:rsidR="00F37D1A" w:rsidRPr="00E50988" w:rsidRDefault="00F37D1A" w:rsidP="00E50988">
      <w:pPr>
        <w:pStyle w:val="ListParagraph"/>
        <w:numPr>
          <w:ilvl w:val="0"/>
          <w:numId w:val="72"/>
        </w:numPr>
        <w:ind w:left="0" w:hanging="11"/>
        <w:jc w:val="both"/>
        <w:rPr>
          <w:rFonts w:ascii="Verdana" w:hAnsi="Verdana"/>
          <w:sz w:val="20"/>
          <w:szCs w:val="20"/>
          <w:lang w:val="es-ES"/>
        </w:rPr>
      </w:pPr>
      <w:r w:rsidRPr="00E50988">
        <w:rPr>
          <w:rFonts w:ascii="Verdana" w:hAnsi="Verdana"/>
          <w:sz w:val="20"/>
          <w:szCs w:val="20"/>
          <w:lang w:val="es-ES"/>
        </w:rPr>
        <w:t>Por último, cabe aclarar que parte de la información presentada por el Estado y las representantes, en particular en cuanto a reuniones sobre las medidas provisionales, las características de</w:t>
      </w:r>
      <w:r w:rsidR="00C10568">
        <w:rPr>
          <w:rFonts w:ascii="Verdana" w:hAnsi="Verdana"/>
          <w:sz w:val="20"/>
          <w:szCs w:val="20"/>
          <w:lang w:val="es-ES"/>
        </w:rPr>
        <w:t>l “Programa de Protección” establecido por el Decreto No. 4912 de 2011</w:t>
      </w:r>
      <w:r w:rsidRPr="00E50988">
        <w:rPr>
          <w:rFonts w:ascii="Verdana" w:hAnsi="Verdana"/>
          <w:sz w:val="20"/>
          <w:szCs w:val="20"/>
          <w:lang w:val="es-ES"/>
        </w:rPr>
        <w:t xml:space="preserve"> y la situación de Juan David Naranjo Jiménez será expuesta y analizad</w:t>
      </w:r>
      <w:r w:rsidR="0039137A">
        <w:rPr>
          <w:rFonts w:ascii="Verdana" w:hAnsi="Verdana"/>
          <w:sz w:val="20"/>
          <w:szCs w:val="20"/>
          <w:lang w:val="es-ES"/>
        </w:rPr>
        <w:t>a</w:t>
      </w:r>
      <w:r w:rsidRPr="00E50988">
        <w:rPr>
          <w:rFonts w:ascii="Verdana" w:hAnsi="Verdana"/>
          <w:sz w:val="20"/>
          <w:szCs w:val="20"/>
          <w:lang w:val="es-ES"/>
        </w:rPr>
        <w:t xml:space="preserve"> más adelante (</w:t>
      </w:r>
      <w:r w:rsidRPr="00E50988">
        <w:rPr>
          <w:rFonts w:ascii="Verdana" w:hAnsi="Verdana"/>
          <w:i/>
          <w:sz w:val="20"/>
          <w:szCs w:val="20"/>
          <w:lang w:val="es-ES"/>
        </w:rPr>
        <w:t>infra</w:t>
      </w:r>
      <w:r w:rsidRPr="00E50988">
        <w:rPr>
          <w:rFonts w:ascii="Verdana" w:hAnsi="Verdana"/>
          <w:sz w:val="20"/>
          <w:szCs w:val="20"/>
          <w:lang w:val="es-ES"/>
        </w:rPr>
        <w:t xml:space="preserve"> Considerandos </w:t>
      </w:r>
      <w:r w:rsidR="002E08FD">
        <w:rPr>
          <w:rFonts w:ascii="Verdana" w:hAnsi="Verdana"/>
          <w:sz w:val="20"/>
          <w:szCs w:val="20"/>
          <w:lang w:val="es-ES"/>
        </w:rPr>
        <w:t xml:space="preserve">70, </w:t>
      </w:r>
      <w:r w:rsidR="00C10568">
        <w:rPr>
          <w:rFonts w:ascii="Verdana" w:hAnsi="Verdana"/>
          <w:sz w:val="20"/>
          <w:szCs w:val="20"/>
          <w:lang w:val="es-ES"/>
        </w:rPr>
        <w:t xml:space="preserve">71 y </w:t>
      </w:r>
      <w:r w:rsidR="002E08FD">
        <w:rPr>
          <w:rFonts w:ascii="Verdana" w:hAnsi="Verdana"/>
          <w:sz w:val="20"/>
          <w:szCs w:val="20"/>
          <w:lang w:val="es-ES"/>
        </w:rPr>
        <w:t>75</w:t>
      </w:r>
      <w:r w:rsidRPr="00E50988">
        <w:rPr>
          <w:rFonts w:ascii="Verdana" w:hAnsi="Verdana"/>
          <w:sz w:val="20"/>
          <w:szCs w:val="20"/>
          <w:lang w:val="es-ES"/>
        </w:rPr>
        <w:t>), en el marco de la evaluación de este Tribunal sobre la situación de las personas beneficiarias</w:t>
      </w:r>
      <w:r w:rsidR="0039137A">
        <w:rPr>
          <w:rFonts w:ascii="Verdana" w:hAnsi="Verdana"/>
          <w:sz w:val="20"/>
          <w:szCs w:val="20"/>
          <w:lang w:val="es-ES"/>
        </w:rPr>
        <w:t xml:space="preserve"> y</w:t>
      </w:r>
      <w:r w:rsidRPr="00E50988">
        <w:rPr>
          <w:rFonts w:ascii="Verdana" w:hAnsi="Verdana"/>
          <w:sz w:val="20"/>
          <w:szCs w:val="20"/>
          <w:lang w:val="es-ES"/>
        </w:rPr>
        <w:t xml:space="preserve"> la implementación de las medidas</w:t>
      </w:r>
      <w:r w:rsidR="0039137A">
        <w:rPr>
          <w:rFonts w:ascii="Verdana" w:hAnsi="Verdana"/>
          <w:sz w:val="20"/>
          <w:szCs w:val="20"/>
          <w:lang w:val="es-ES"/>
        </w:rPr>
        <w:t>.</w:t>
      </w:r>
    </w:p>
    <w:p w:rsidR="00946A31" w:rsidRPr="00BE210A" w:rsidRDefault="00946A31" w:rsidP="00946A31">
      <w:pPr>
        <w:ind w:left="1068" w:right="-90"/>
        <w:jc w:val="both"/>
        <w:rPr>
          <w:rFonts w:ascii="Verdana" w:hAnsi="Verdana"/>
          <w:sz w:val="20"/>
          <w:szCs w:val="20"/>
          <w:u w:val="single"/>
          <w:lang w:val="es-ES"/>
        </w:rPr>
      </w:pPr>
    </w:p>
    <w:p w:rsidR="00946A31" w:rsidRPr="00BE210A" w:rsidRDefault="00946A31" w:rsidP="004C4953">
      <w:pPr>
        <w:pStyle w:val="Heading2"/>
        <w:spacing w:before="0"/>
        <w:ind w:left="567" w:right="-90"/>
        <w:jc w:val="both"/>
        <w:rPr>
          <w:rFonts w:ascii="Verdana" w:hAnsi="Verdana"/>
          <w:i/>
          <w:sz w:val="20"/>
          <w:szCs w:val="20"/>
          <w:u w:val="single"/>
          <w:lang w:val="es-ES_tradnl"/>
        </w:rPr>
      </w:pPr>
      <w:r>
        <w:rPr>
          <w:rFonts w:ascii="Verdana" w:hAnsi="Verdana"/>
          <w:b w:val="0"/>
          <w:i/>
          <w:color w:val="auto"/>
          <w:sz w:val="20"/>
          <w:szCs w:val="20"/>
          <w:u w:val="single"/>
          <w:lang w:val="es-ES_tradnl"/>
        </w:rPr>
        <w:t>B</w:t>
      </w:r>
      <w:r w:rsidRPr="00BE210A">
        <w:rPr>
          <w:rFonts w:ascii="Verdana" w:hAnsi="Verdana"/>
          <w:b w:val="0"/>
          <w:i/>
          <w:color w:val="auto"/>
          <w:sz w:val="20"/>
          <w:szCs w:val="20"/>
          <w:u w:val="single"/>
          <w:lang w:val="es-ES_tradnl"/>
        </w:rPr>
        <w:t>.1. Sobre el puesto</w:t>
      </w:r>
      <w:r>
        <w:rPr>
          <w:rFonts w:ascii="Verdana" w:hAnsi="Verdana"/>
          <w:b w:val="0"/>
          <w:i/>
          <w:color w:val="auto"/>
          <w:sz w:val="20"/>
          <w:szCs w:val="20"/>
          <w:u w:val="single"/>
          <w:lang w:val="es-ES_tradnl"/>
        </w:rPr>
        <w:t xml:space="preserve"> policial</w:t>
      </w:r>
      <w:r w:rsidRPr="00BE210A">
        <w:rPr>
          <w:rFonts w:ascii="Verdana" w:hAnsi="Verdana"/>
          <w:b w:val="0"/>
          <w:i/>
          <w:color w:val="auto"/>
          <w:sz w:val="20"/>
          <w:szCs w:val="20"/>
          <w:u w:val="single"/>
          <w:lang w:val="es-ES_tradnl"/>
        </w:rPr>
        <w:t xml:space="preserve"> fijo</w:t>
      </w:r>
      <w:r>
        <w:rPr>
          <w:rFonts w:ascii="Verdana" w:hAnsi="Verdana"/>
          <w:b w:val="0"/>
          <w:i/>
          <w:color w:val="auto"/>
          <w:sz w:val="20"/>
          <w:szCs w:val="20"/>
          <w:u w:val="single"/>
          <w:lang w:val="es-ES_tradnl"/>
        </w:rPr>
        <w:t xml:space="preserve">, </w:t>
      </w:r>
      <w:r w:rsidR="00A47A00">
        <w:rPr>
          <w:rFonts w:ascii="Verdana" w:hAnsi="Verdana"/>
          <w:b w:val="0"/>
          <w:i/>
          <w:color w:val="auto"/>
          <w:sz w:val="20"/>
          <w:szCs w:val="20"/>
          <w:u w:val="single"/>
          <w:lang w:val="es-ES_tradnl"/>
        </w:rPr>
        <w:t xml:space="preserve">la </w:t>
      </w:r>
      <w:r w:rsidR="00791B86">
        <w:rPr>
          <w:rFonts w:ascii="Verdana" w:hAnsi="Verdana"/>
          <w:b w:val="0"/>
          <w:i/>
          <w:color w:val="auto"/>
          <w:sz w:val="20"/>
          <w:szCs w:val="20"/>
          <w:u w:val="single"/>
          <w:lang w:val="es-ES_tradnl"/>
        </w:rPr>
        <w:t>vinculación con autoridades policiales</w:t>
      </w:r>
      <w:r>
        <w:rPr>
          <w:rFonts w:ascii="Verdana" w:hAnsi="Verdana"/>
          <w:b w:val="0"/>
          <w:i/>
          <w:color w:val="auto"/>
          <w:sz w:val="20"/>
          <w:szCs w:val="20"/>
          <w:u w:val="single"/>
          <w:lang w:val="es-ES_tradnl"/>
        </w:rPr>
        <w:t xml:space="preserve"> </w:t>
      </w:r>
      <w:r w:rsidR="00E51F40">
        <w:rPr>
          <w:rFonts w:ascii="Verdana" w:hAnsi="Verdana"/>
          <w:b w:val="0"/>
          <w:i/>
          <w:color w:val="auto"/>
          <w:sz w:val="20"/>
          <w:szCs w:val="20"/>
          <w:u w:val="single"/>
          <w:lang w:val="es-ES_tradnl"/>
        </w:rPr>
        <w:t xml:space="preserve">y </w:t>
      </w:r>
      <w:r w:rsidR="00A47A00">
        <w:rPr>
          <w:rFonts w:ascii="Verdana" w:hAnsi="Verdana"/>
          <w:b w:val="0"/>
          <w:i/>
          <w:color w:val="auto"/>
          <w:sz w:val="20"/>
          <w:szCs w:val="20"/>
          <w:u w:val="single"/>
          <w:lang w:val="es-ES_tradnl"/>
        </w:rPr>
        <w:t xml:space="preserve">los </w:t>
      </w:r>
      <w:r w:rsidR="00E51F40">
        <w:rPr>
          <w:rFonts w:ascii="Verdana" w:hAnsi="Verdana"/>
          <w:b w:val="0"/>
          <w:i/>
          <w:color w:val="auto"/>
          <w:sz w:val="20"/>
          <w:szCs w:val="20"/>
          <w:u w:val="single"/>
          <w:lang w:val="es-ES_tradnl"/>
        </w:rPr>
        <w:t>patrullajes</w:t>
      </w:r>
      <w:r w:rsidRPr="00BE210A">
        <w:rPr>
          <w:rFonts w:ascii="Verdana" w:hAnsi="Verdana"/>
          <w:b w:val="0"/>
          <w:i/>
          <w:color w:val="auto"/>
          <w:sz w:val="20"/>
          <w:szCs w:val="20"/>
          <w:u w:val="single"/>
          <w:lang w:val="es-ES_tradnl"/>
        </w:rPr>
        <w:t xml:space="preserve"> </w:t>
      </w:r>
    </w:p>
    <w:p w:rsidR="00946A31" w:rsidRPr="00BE210A" w:rsidRDefault="00946A31" w:rsidP="00946A31">
      <w:pPr>
        <w:tabs>
          <w:tab w:val="left" w:pos="810"/>
        </w:tabs>
        <w:ind w:right="-90"/>
        <w:jc w:val="both"/>
        <w:rPr>
          <w:rFonts w:ascii="Verdana" w:hAnsi="Verdana"/>
          <w:sz w:val="20"/>
          <w:szCs w:val="20"/>
          <w:highlight w:val="cyan"/>
          <w:lang w:val="es-ES_tradnl"/>
        </w:rPr>
      </w:pPr>
    </w:p>
    <w:p w:rsidR="00946A31" w:rsidRDefault="00BB0ADC" w:rsidP="00E50988">
      <w:pPr>
        <w:numPr>
          <w:ilvl w:val="0"/>
          <w:numId w:val="72"/>
        </w:numPr>
        <w:tabs>
          <w:tab w:val="left" w:pos="0"/>
        </w:tabs>
        <w:ind w:left="0" w:right="-90" w:firstLine="0"/>
        <w:jc w:val="both"/>
        <w:rPr>
          <w:rFonts w:ascii="Verdana" w:hAnsi="Verdana"/>
          <w:sz w:val="20"/>
          <w:szCs w:val="20"/>
          <w:lang w:val="es-ES_tradnl"/>
        </w:rPr>
      </w:pPr>
      <w:r>
        <w:rPr>
          <w:rFonts w:ascii="Verdana" w:hAnsi="Verdana"/>
          <w:i/>
          <w:sz w:val="20"/>
          <w:szCs w:val="20"/>
          <w:lang w:val="es-ES_tradnl"/>
        </w:rPr>
        <w:t xml:space="preserve">Puesto fijo de vigilancia.- </w:t>
      </w:r>
      <w:r w:rsidR="00946A31" w:rsidRPr="00BE210A">
        <w:rPr>
          <w:rFonts w:ascii="Verdana" w:hAnsi="Verdana"/>
          <w:sz w:val="20"/>
          <w:szCs w:val="20"/>
          <w:lang w:val="es-ES_tradnl"/>
        </w:rPr>
        <w:t xml:space="preserve">Desde su </w:t>
      </w:r>
      <w:r w:rsidR="00946A31">
        <w:rPr>
          <w:rFonts w:ascii="Verdana" w:hAnsi="Verdana"/>
          <w:sz w:val="20"/>
          <w:szCs w:val="20"/>
          <w:lang w:val="es-ES_tradnl"/>
        </w:rPr>
        <w:t xml:space="preserve">presentación </w:t>
      </w:r>
      <w:r w:rsidR="00946A31" w:rsidRPr="00BE210A">
        <w:rPr>
          <w:rFonts w:ascii="Verdana" w:hAnsi="Verdana"/>
          <w:sz w:val="20"/>
          <w:szCs w:val="20"/>
          <w:lang w:val="es-ES_tradnl"/>
        </w:rPr>
        <w:t xml:space="preserve">de </w:t>
      </w:r>
      <w:r w:rsidR="00B74547">
        <w:rPr>
          <w:rFonts w:ascii="Verdana" w:hAnsi="Verdana"/>
          <w:sz w:val="20"/>
          <w:szCs w:val="20"/>
          <w:lang w:val="es-ES_tradnl"/>
        </w:rPr>
        <w:t xml:space="preserve">6 de mayo de 2011 hasta el </w:t>
      </w:r>
      <w:r w:rsidR="00946A31">
        <w:rPr>
          <w:rFonts w:ascii="Verdana" w:hAnsi="Verdana"/>
          <w:sz w:val="20"/>
          <w:szCs w:val="20"/>
          <w:lang w:val="es-ES_tradnl"/>
        </w:rPr>
        <w:t>1</w:t>
      </w:r>
      <w:r w:rsidR="00B74547">
        <w:rPr>
          <w:rFonts w:ascii="Verdana" w:hAnsi="Verdana"/>
          <w:sz w:val="20"/>
          <w:szCs w:val="20"/>
          <w:lang w:val="es-ES_tradnl"/>
        </w:rPr>
        <w:t>3</w:t>
      </w:r>
      <w:r w:rsidR="00946A31" w:rsidRPr="00BE210A">
        <w:rPr>
          <w:rFonts w:ascii="Verdana" w:hAnsi="Verdana"/>
          <w:sz w:val="20"/>
          <w:szCs w:val="20"/>
          <w:lang w:val="es-ES_tradnl"/>
        </w:rPr>
        <w:t xml:space="preserve"> de </w:t>
      </w:r>
      <w:r w:rsidR="00946A31">
        <w:rPr>
          <w:rFonts w:ascii="Verdana" w:hAnsi="Verdana"/>
          <w:sz w:val="20"/>
          <w:szCs w:val="20"/>
          <w:lang w:val="es-ES_tradnl"/>
        </w:rPr>
        <w:t>abril</w:t>
      </w:r>
      <w:r w:rsidR="00946A31" w:rsidRPr="00BE210A">
        <w:rPr>
          <w:rFonts w:ascii="Verdana" w:hAnsi="Verdana"/>
          <w:sz w:val="20"/>
          <w:szCs w:val="20"/>
          <w:lang w:val="es-ES_tradnl"/>
        </w:rPr>
        <w:t xml:space="preserve"> de 2016 el </w:t>
      </w:r>
      <w:r w:rsidR="00946A31" w:rsidRPr="00BE210A">
        <w:rPr>
          <w:rFonts w:ascii="Verdana" w:hAnsi="Verdana"/>
          <w:b/>
          <w:i/>
          <w:sz w:val="20"/>
          <w:szCs w:val="20"/>
          <w:lang w:val="es-ES_tradnl"/>
        </w:rPr>
        <w:t>Estado</w:t>
      </w:r>
      <w:r w:rsidR="00946A31" w:rsidRPr="00BE210A">
        <w:rPr>
          <w:rFonts w:ascii="Verdana" w:hAnsi="Verdana"/>
          <w:sz w:val="20"/>
          <w:szCs w:val="20"/>
          <w:lang w:val="es-ES_tradnl"/>
        </w:rPr>
        <w:t xml:space="preserve"> inform</w:t>
      </w:r>
      <w:r w:rsidR="00946A31">
        <w:rPr>
          <w:rFonts w:ascii="Verdana" w:hAnsi="Verdana"/>
          <w:sz w:val="20"/>
          <w:szCs w:val="20"/>
          <w:lang w:val="es-ES_tradnl"/>
        </w:rPr>
        <w:t>ó</w:t>
      </w:r>
      <w:r w:rsidR="00946A31" w:rsidRPr="00BE210A">
        <w:rPr>
          <w:rFonts w:ascii="Verdana" w:hAnsi="Verdana"/>
          <w:sz w:val="20"/>
          <w:szCs w:val="20"/>
          <w:lang w:val="es-ES_tradnl"/>
        </w:rPr>
        <w:t xml:space="preserve"> que la residencia de la señora Naranjo y su núcleo familiar </w:t>
      </w:r>
      <w:r w:rsidR="00946A31">
        <w:rPr>
          <w:rFonts w:ascii="Verdana" w:hAnsi="Verdana"/>
          <w:sz w:val="20"/>
          <w:szCs w:val="20"/>
          <w:lang w:val="es-ES_tradnl"/>
        </w:rPr>
        <w:t>estaba</w:t>
      </w:r>
      <w:r w:rsidR="00946A31" w:rsidRPr="00BE210A">
        <w:rPr>
          <w:rFonts w:ascii="Verdana" w:hAnsi="Verdana"/>
          <w:sz w:val="20"/>
          <w:szCs w:val="20"/>
          <w:lang w:val="es-ES_tradnl"/>
        </w:rPr>
        <w:t xml:space="preserve"> siendo custodiada por un puesto fijo de la policía. Asimismo, </w:t>
      </w:r>
      <w:r w:rsidR="00946A31">
        <w:rPr>
          <w:rFonts w:ascii="Verdana" w:hAnsi="Verdana"/>
          <w:sz w:val="20"/>
          <w:szCs w:val="20"/>
          <w:lang w:val="es-ES_tradnl"/>
        </w:rPr>
        <w:t>expresó que esta medida de protección</w:t>
      </w:r>
      <w:r w:rsidR="00946A31" w:rsidRPr="00BE210A">
        <w:rPr>
          <w:rFonts w:ascii="Verdana" w:hAnsi="Verdana"/>
          <w:sz w:val="20"/>
          <w:szCs w:val="20"/>
          <w:lang w:val="es-ES_tradnl"/>
        </w:rPr>
        <w:t xml:space="preserve"> cobija a todos los beneficiarios, en tanto </w:t>
      </w:r>
      <w:r w:rsidR="00946A31">
        <w:rPr>
          <w:rFonts w:ascii="Verdana" w:hAnsi="Verdana"/>
          <w:sz w:val="20"/>
          <w:szCs w:val="20"/>
          <w:lang w:val="es-ES_tradnl"/>
        </w:rPr>
        <w:t>que</w:t>
      </w:r>
      <w:r w:rsidR="00946A31" w:rsidRPr="00BE210A">
        <w:rPr>
          <w:rFonts w:ascii="Verdana" w:hAnsi="Verdana"/>
          <w:sz w:val="20"/>
          <w:szCs w:val="20"/>
          <w:lang w:val="es-ES_tradnl"/>
        </w:rPr>
        <w:t xml:space="preserve"> la señora Mosquera y su grupo familiar viven a pocos metros de distancia</w:t>
      </w:r>
      <w:r w:rsidR="00946A31">
        <w:rPr>
          <w:rFonts w:ascii="Verdana" w:hAnsi="Verdana"/>
          <w:sz w:val="20"/>
          <w:szCs w:val="20"/>
          <w:lang w:val="es-ES_tradnl"/>
        </w:rPr>
        <w:t xml:space="preserve"> de la residencia de la señora Naranjo</w:t>
      </w:r>
      <w:r w:rsidR="00946A31" w:rsidRPr="00BE210A">
        <w:rPr>
          <w:rFonts w:ascii="Verdana" w:hAnsi="Verdana"/>
          <w:sz w:val="20"/>
          <w:szCs w:val="20"/>
          <w:lang w:val="es-ES_tradnl"/>
        </w:rPr>
        <w:t xml:space="preserve">. </w:t>
      </w:r>
      <w:r w:rsidR="00946A31" w:rsidRPr="00E50988">
        <w:rPr>
          <w:rFonts w:ascii="Verdana" w:hAnsi="Verdana"/>
          <w:sz w:val="16"/>
          <w:szCs w:val="16"/>
          <w:lang w:val="es-ES_tradnl"/>
        </w:rPr>
        <w:t xml:space="preserve"> </w:t>
      </w:r>
    </w:p>
    <w:p w:rsidR="00946A31" w:rsidRDefault="00946A31" w:rsidP="00946A31">
      <w:pPr>
        <w:tabs>
          <w:tab w:val="left" w:pos="810"/>
        </w:tabs>
        <w:ind w:right="-90"/>
        <w:jc w:val="both"/>
        <w:rPr>
          <w:rFonts w:ascii="Verdana" w:hAnsi="Verdana"/>
          <w:sz w:val="20"/>
          <w:szCs w:val="20"/>
          <w:lang w:val="es-ES_tradnl"/>
        </w:rPr>
      </w:pPr>
    </w:p>
    <w:p w:rsidR="00791B86" w:rsidRPr="00E50988" w:rsidRDefault="00946A31" w:rsidP="00E50988">
      <w:pPr>
        <w:numPr>
          <w:ilvl w:val="0"/>
          <w:numId w:val="72"/>
        </w:numPr>
        <w:ind w:left="0" w:right="-90" w:firstLine="0"/>
        <w:jc w:val="both"/>
        <w:rPr>
          <w:rFonts w:ascii="Verdana" w:hAnsi="Verdana"/>
          <w:sz w:val="20"/>
          <w:szCs w:val="20"/>
          <w:lang w:val="es-ES_tradnl"/>
        </w:rPr>
      </w:pPr>
      <w:r w:rsidRPr="00CA5ACF">
        <w:rPr>
          <w:rFonts w:ascii="Verdana" w:hAnsi="Verdana"/>
          <w:sz w:val="20"/>
          <w:szCs w:val="20"/>
          <w:lang w:val="es-ES_tradnl"/>
        </w:rPr>
        <w:t xml:space="preserve">En su informe de 26 de febrero de 2015 el Estado </w:t>
      </w:r>
      <w:r>
        <w:rPr>
          <w:rFonts w:ascii="Verdana" w:hAnsi="Verdana"/>
          <w:sz w:val="20"/>
          <w:szCs w:val="20"/>
          <w:lang w:val="es-ES_tradnl"/>
        </w:rPr>
        <w:t xml:space="preserve">especificó </w:t>
      </w:r>
      <w:r w:rsidRPr="00CA5ACF">
        <w:rPr>
          <w:rFonts w:ascii="Verdana" w:hAnsi="Verdana"/>
          <w:sz w:val="20"/>
          <w:szCs w:val="20"/>
          <w:lang w:val="es-ES_tradnl"/>
        </w:rPr>
        <w:t>que el servicio permanente de seguridad residencia</w:t>
      </w:r>
      <w:r>
        <w:rPr>
          <w:rFonts w:ascii="Verdana" w:hAnsi="Verdana"/>
          <w:sz w:val="20"/>
          <w:szCs w:val="20"/>
          <w:lang w:val="es-ES_tradnl"/>
        </w:rPr>
        <w:t>l</w:t>
      </w:r>
      <w:r w:rsidRPr="00CA5ACF">
        <w:rPr>
          <w:rFonts w:ascii="Verdana" w:hAnsi="Verdana"/>
          <w:sz w:val="20"/>
          <w:szCs w:val="20"/>
          <w:lang w:val="es-ES_tradnl"/>
        </w:rPr>
        <w:t xml:space="preserve"> se compone de “seis policiales uniformados con armamento y equipo de comunicación, dos funcionarios por turnos, quienes prestan servicio las 24 horas del día en turno de ocho horas, ubicados en el puesto fijo en la parte externa de la residencia de la señora Mery Naranjo”. En sus informes de </w:t>
      </w:r>
      <w:r w:rsidR="00F674CD">
        <w:rPr>
          <w:rFonts w:ascii="Verdana" w:hAnsi="Verdana"/>
          <w:sz w:val="20"/>
          <w:szCs w:val="20"/>
          <w:lang w:val="es-ES_tradnl"/>
        </w:rPr>
        <w:t>4</w:t>
      </w:r>
      <w:r w:rsidRPr="00CA5ACF">
        <w:rPr>
          <w:rFonts w:ascii="Verdana" w:hAnsi="Verdana"/>
          <w:sz w:val="20"/>
          <w:szCs w:val="20"/>
          <w:lang w:val="es-ES_tradnl"/>
        </w:rPr>
        <w:t xml:space="preserve"> de septiembre</w:t>
      </w:r>
      <w:r>
        <w:rPr>
          <w:rFonts w:ascii="Verdana" w:hAnsi="Verdana"/>
          <w:sz w:val="20"/>
          <w:szCs w:val="20"/>
          <w:lang w:val="es-ES_tradnl"/>
        </w:rPr>
        <w:t xml:space="preserve"> y</w:t>
      </w:r>
      <w:r w:rsidRPr="00CA5ACF">
        <w:rPr>
          <w:rFonts w:ascii="Verdana" w:hAnsi="Verdana"/>
          <w:sz w:val="20"/>
          <w:szCs w:val="20"/>
          <w:lang w:val="es-ES_tradnl"/>
        </w:rPr>
        <w:t xml:space="preserve"> 23 de noviembre de 2015</w:t>
      </w:r>
      <w:r>
        <w:rPr>
          <w:rFonts w:ascii="Verdana" w:hAnsi="Verdana"/>
          <w:sz w:val="20"/>
          <w:szCs w:val="20"/>
          <w:lang w:val="es-ES_tradnl"/>
        </w:rPr>
        <w:t>,</w:t>
      </w:r>
      <w:r w:rsidRPr="00CA5ACF">
        <w:rPr>
          <w:rFonts w:ascii="Verdana" w:hAnsi="Verdana"/>
          <w:sz w:val="20"/>
          <w:szCs w:val="20"/>
          <w:lang w:val="es-ES_tradnl"/>
        </w:rPr>
        <w:t xml:space="preserve"> y 26 de enero de 2016, </w:t>
      </w:r>
      <w:r>
        <w:rPr>
          <w:rFonts w:ascii="Verdana" w:hAnsi="Verdana"/>
          <w:sz w:val="20"/>
          <w:szCs w:val="20"/>
          <w:lang w:val="es-ES_tradnl"/>
        </w:rPr>
        <w:t>Colombia</w:t>
      </w:r>
      <w:r w:rsidRPr="00CA5ACF">
        <w:rPr>
          <w:rFonts w:ascii="Verdana" w:hAnsi="Verdana"/>
          <w:sz w:val="20"/>
          <w:szCs w:val="20"/>
          <w:lang w:val="es-ES_tradnl"/>
        </w:rPr>
        <w:t xml:space="preserve"> </w:t>
      </w:r>
      <w:r>
        <w:rPr>
          <w:rFonts w:ascii="Verdana" w:hAnsi="Verdana"/>
          <w:sz w:val="20"/>
          <w:szCs w:val="20"/>
          <w:lang w:val="es-ES_tradnl"/>
        </w:rPr>
        <w:t>manifestó</w:t>
      </w:r>
      <w:r w:rsidRPr="00CA5ACF">
        <w:rPr>
          <w:rFonts w:ascii="Verdana" w:hAnsi="Verdana"/>
          <w:sz w:val="20"/>
          <w:szCs w:val="20"/>
          <w:lang w:val="es-ES_tradnl"/>
        </w:rPr>
        <w:t xml:space="preserve"> que “el Comandante de la </w:t>
      </w:r>
      <w:r w:rsidR="00791B86">
        <w:rPr>
          <w:rFonts w:ascii="Verdana" w:hAnsi="Verdana"/>
          <w:sz w:val="20"/>
          <w:szCs w:val="20"/>
          <w:lang w:val="es-ES_tradnl"/>
        </w:rPr>
        <w:t xml:space="preserve">[Policía] </w:t>
      </w:r>
      <w:r w:rsidRPr="00CA5ACF">
        <w:rPr>
          <w:rFonts w:ascii="Verdana" w:hAnsi="Verdana"/>
          <w:sz w:val="20"/>
          <w:szCs w:val="20"/>
          <w:lang w:val="es-ES_tradnl"/>
        </w:rPr>
        <w:t>Metropolitana del Valle de Aburra ordenó que dicho servicio se siguiera prestando de manera continua”.</w:t>
      </w:r>
      <w:r w:rsidRPr="00CA5ACF">
        <w:rPr>
          <w:rFonts w:ascii="Verdana" w:hAnsi="Verdana"/>
          <w:b/>
          <w:sz w:val="20"/>
          <w:szCs w:val="20"/>
          <w:lang w:val="es-ES_tradnl"/>
        </w:rPr>
        <w:t xml:space="preserve"> </w:t>
      </w:r>
    </w:p>
    <w:p w:rsidR="00791B86" w:rsidRDefault="00791B86" w:rsidP="00E50988">
      <w:pPr>
        <w:rPr>
          <w:rFonts w:ascii="Verdana" w:hAnsi="Verdana"/>
          <w:sz w:val="20"/>
          <w:szCs w:val="20"/>
          <w:lang w:val="es-ES_tradnl"/>
        </w:rPr>
      </w:pPr>
    </w:p>
    <w:p w:rsidR="002C2FDE" w:rsidRDefault="002C2FDE" w:rsidP="00E50988">
      <w:pPr>
        <w:numPr>
          <w:ilvl w:val="0"/>
          <w:numId w:val="72"/>
        </w:numPr>
        <w:ind w:left="0" w:right="-90" w:firstLine="0"/>
        <w:jc w:val="both"/>
        <w:rPr>
          <w:rFonts w:ascii="Verdana" w:hAnsi="Verdana"/>
          <w:sz w:val="20"/>
          <w:szCs w:val="20"/>
          <w:lang w:val="es-ES_tradnl"/>
        </w:rPr>
      </w:pPr>
      <w:r>
        <w:rPr>
          <w:rFonts w:ascii="Verdana" w:hAnsi="Verdana"/>
          <w:sz w:val="20"/>
          <w:szCs w:val="20"/>
          <w:lang w:val="es-ES_tradnl"/>
        </w:rPr>
        <w:t>El 30 de junio de 2016 el Estado informó que si bien el 29 de abril de ese año, en una reunión celebrada entre autoridades e</w:t>
      </w:r>
      <w:r w:rsidR="00893953">
        <w:rPr>
          <w:rFonts w:ascii="Verdana" w:hAnsi="Verdana"/>
          <w:sz w:val="20"/>
          <w:szCs w:val="20"/>
          <w:lang w:val="es-ES_tradnl"/>
        </w:rPr>
        <w:t>s</w:t>
      </w:r>
      <w:r>
        <w:rPr>
          <w:rFonts w:ascii="Verdana" w:hAnsi="Verdana"/>
          <w:sz w:val="20"/>
          <w:szCs w:val="20"/>
          <w:lang w:val="es-ES_tradnl"/>
        </w:rPr>
        <w:t xml:space="preserve">tatales, la señora Naranjo y su representante, se había anunciado el retiro del puesto fijo de vigilancia, expresó que luego, en una reunión llevada a cabo el 17 de junio siguiente, </w:t>
      </w:r>
      <w:r w:rsidRPr="00CA5ACF">
        <w:rPr>
          <w:rFonts w:ascii="Verdana" w:hAnsi="Verdana"/>
          <w:sz w:val="20"/>
          <w:szCs w:val="20"/>
          <w:lang w:val="es-ES_tradnl"/>
        </w:rPr>
        <w:t xml:space="preserve">se </w:t>
      </w:r>
      <w:r w:rsidRPr="00CA5ACF">
        <w:rPr>
          <w:rFonts w:ascii="Verdana" w:hAnsi="Verdana"/>
          <w:sz w:val="20"/>
          <w:szCs w:val="20"/>
          <w:lang w:val="es-ES"/>
        </w:rPr>
        <w:t>aclaró que si bien esa decisión obedecía a una política general</w:t>
      </w:r>
      <w:r>
        <w:rPr>
          <w:rFonts w:ascii="Verdana" w:hAnsi="Verdana"/>
          <w:sz w:val="20"/>
          <w:szCs w:val="20"/>
          <w:lang w:val="es-ES"/>
        </w:rPr>
        <w:t xml:space="preserve">, las autoridades </w:t>
      </w:r>
      <w:r>
        <w:rPr>
          <w:rFonts w:ascii="Verdana" w:hAnsi="Verdana"/>
          <w:sz w:val="20"/>
          <w:szCs w:val="20"/>
          <w:lang w:val="es-ES_tradnl"/>
        </w:rPr>
        <w:t xml:space="preserve">se comprometían a considerar una solicitud en contrario de las beneficiarias. </w:t>
      </w:r>
    </w:p>
    <w:p w:rsidR="002C2FDE" w:rsidRDefault="002C2FDE" w:rsidP="00E50988">
      <w:pPr>
        <w:pStyle w:val="ListParagraph"/>
        <w:ind w:left="0"/>
        <w:rPr>
          <w:rFonts w:ascii="Verdana" w:hAnsi="Verdana"/>
          <w:sz w:val="20"/>
          <w:szCs w:val="20"/>
          <w:lang w:val="es-ES_tradnl"/>
        </w:rPr>
      </w:pPr>
    </w:p>
    <w:p w:rsidR="002C2FDE" w:rsidRPr="00CA5ACF" w:rsidRDefault="002C2FDE" w:rsidP="00E50988">
      <w:pPr>
        <w:numPr>
          <w:ilvl w:val="0"/>
          <w:numId w:val="72"/>
        </w:numPr>
        <w:ind w:left="0" w:right="-90" w:firstLine="0"/>
        <w:jc w:val="both"/>
        <w:rPr>
          <w:rFonts w:ascii="Verdana" w:hAnsi="Verdana"/>
          <w:sz w:val="20"/>
          <w:szCs w:val="20"/>
          <w:lang w:val="es-ES_tradnl"/>
        </w:rPr>
      </w:pPr>
      <w:r>
        <w:rPr>
          <w:rFonts w:ascii="Verdana" w:hAnsi="Verdana"/>
          <w:sz w:val="20"/>
          <w:szCs w:val="20"/>
          <w:lang w:val="es-ES_tradnl"/>
        </w:rPr>
        <w:t>El 1 de noviembre de 2016 Colombia confirmó que el puesto fijo de vigilancia en la residencia de la señora Naranjo continuaba implementándose.</w:t>
      </w:r>
      <w:r w:rsidRPr="002C2FDE">
        <w:rPr>
          <w:rFonts w:ascii="Verdana" w:hAnsi="Verdana"/>
          <w:sz w:val="20"/>
          <w:szCs w:val="20"/>
          <w:lang w:val="es-ES_tradnl"/>
        </w:rPr>
        <w:t xml:space="preserve"> </w:t>
      </w:r>
      <w:r>
        <w:rPr>
          <w:rFonts w:ascii="Verdana" w:hAnsi="Verdana"/>
          <w:sz w:val="20"/>
          <w:szCs w:val="20"/>
          <w:lang w:val="es-ES_tradnl"/>
        </w:rPr>
        <w:t>Los días</w:t>
      </w:r>
      <w:r w:rsidRPr="00CA5ACF">
        <w:rPr>
          <w:rFonts w:ascii="Verdana" w:hAnsi="Verdana"/>
          <w:sz w:val="20"/>
          <w:szCs w:val="20"/>
          <w:lang w:val="es-ES_tradnl"/>
        </w:rPr>
        <w:t xml:space="preserve"> 18 de mayo </w:t>
      </w:r>
      <w:r>
        <w:rPr>
          <w:rFonts w:ascii="Verdana" w:hAnsi="Verdana"/>
          <w:sz w:val="20"/>
          <w:szCs w:val="20"/>
          <w:lang w:val="es-ES_tradnl"/>
        </w:rPr>
        <w:t xml:space="preserve">y el 5 de julio </w:t>
      </w:r>
      <w:r w:rsidRPr="00CA5ACF">
        <w:rPr>
          <w:rFonts w:ascii="Verdana" w:hAnsi="Verdana"/>
          <w:sz w:val="20"/>
          <w:szCs w:val="20"/>
          <w:lang w:val="es-ES_tradnl"/>
        </w:rPr>
        <w:t xml:space="preserve">de 2017 el Estado </w:t>
      </w:r>
      <w:r>
        <w:rPr>
          <w:rFonts w:ascii="Verdana" w:hAnsi="Verdana"/>
          <w:sz w:val="20"/>
          <w:szCs w:val="20"/>
          <w:lang w:val="es-ES_tradnl"/>
        </w:rPr>
        <w:t xml:space="preserve">informó que </w:t>
      </w:r>
      <w:r w:rsidRPr="00CA5ACF">
        <w:rPr>
          <w:rFonts w:ascii="Verdana" w:hAnsi="Verdana"/>
          <w:sz w:val="20"/>
          <w:szCs w:val="20"/>
          <w:lang w:val="es-ES_tradnl"/>
        </w:rPr>
        <w:t>“continúa el servicio de [p]</w:t>
      </w:r>
      <w:proofErr w:type="spellStart"/>
      <w:r w:rsidRPr="00CA5ACF">
        <w:rPr>
          <w:rFonts w:ascii="Verdana" w:hAnsi="Verdana"/>
          <w:sz w:val="20"/>
          <w:szCs w:val="20"/>
          <w:lang w:val="es-ES_tradnl"/>
        </w:rPr>
        <w:t>uesto</w:t>
      </w:r>
      <w:proofErr w:type="spellEnd"/>
      <w:r w:rsidRPr="00CA5ACF">
        <w:rPr>
          <w:rFonts w:ascii="Verdana" w:hAnsi="Verdana"/>
          <w:sz w:val="20"/>
          <w:szCs w:val="20"/>
          <w:lang w:val="es-ES_tradnl"/>
        </w:rPr>
        <w:t xml:space="preserve"> [f]</w:t>
      </w:r>
      <w:proofErr w:type="spellStart"/>
      <w:r w:rsidRPr="00CA5ACF">
        <w:rPr>
          <w:rFonts w:ascii="Verdana" w:hAnsi="Verdana"/>
          <w:sz w:val="20"/>
          <w:szCs w:val="20"/>
          <w:lang w:val="es-ES_tradnl"/>
        </w:rPr>
        <w:t>ijo</w:t>
      </w:r>
      <w:proofErr w:type="spellEnd"/>
      <w:r w:rsidRPr="00CA5ACF">
        <w:rPr>
          <w:rFonts w:ascii="Verdana" w:hAnsi="Verdana"/>
          <w:sz w:val="20"/>
          <w:szCs w:val="20"/>
          <w:lang w:val="es-ES_tradnl"/>
        </w:rPr>
        <w:t xml:space="preserve"> las 24 h</w:t>
      </w:r>
      <w:r w:rsidR="00B94D7D">
        <w:rPr>
          <w:rFonts w:ascii="Verdana" w:hAnsi="Verdana"/>
          <w:sz w:val="20"/>
          <w:szCs w:val="20"/>
          <w:lang w:val="es-ES_tradnl"/>
        </w:rPr>
        <w:t>ora</w:t>
      </w:r>
      <w:r w:rsidR="004A0C4F">
        <w:rPr>
          <w:rFonts w:ascii="Verdana" w:hAnsi="Verdana"/>
          <w:sz w:val="20"/>
          <w:szCs w:val="20"/>
          <w:lang w:val="es-ES_tradnl"/>
        </w:rPr>
        <w:t>s.”</w:t>
      </w:r>
    </w:p>
    <w:p w:rsidR="00BB0ADC" w:rsidRDefault="00BB0ADC" w:rsidP="00E50988">
      <w:pPr>
        <w:pStyle w:val="ListParagraph"/>
        <w:ind w:left="0"/>
        <w:rPr>
          <w:rFonts w:ascii="Verdana" w:hAnsi="Verdana"/>
          <w:sz w:val="20"/>
          <w:szCs w:val="20"/>
          <w:lang w:val="es-ES_tradnl"/>
        </w:rPr>
      </w:pPr>
    </w:p>
    <w:p w:rsidR="00606E45" w:rsidRPr="00CA5ACF" w:rsidRDefault="00BB0ADC" w:rsidP="00E50988">
      <w:pPr>
        <w:numPr>
          <w:ilvl w:val="0"/>
          <w:numId w:val="72"/>
        </w:numPr>
        <w:ind w:left="0" w:right="-90" w:firstLine="0"/>
        <w:jc w:val="both"/>
        <w:rPr>
          <w:rFonts w:ascii="Verdana" w:hAnsi="Verdana"/>
          <w:sz w:val="20"/>
          <w:szCs w:val="20"/>
          <w:lang w:val="es-ES_tradnl"/>
        </w:rPr>
      </w:pPr>
      <w:r w:rsidRPr="00E50988">
        <w:rPr>
          <w:rFonts w:ascii="Verdana" w:hAnsi="Verdana"/>
          <w:i/>
          <w:sz w:val="20"/>
          <w:szCs w:val="20"/>
          <w:lang w:val="es-ES_tradnl"/>
        </w:rPr>
        <w:t>Vinculación con autoridades policiales.</w:t>
      </w:r>
      <w:r>
        <w:rPr>
          <w:rFonts w:ascii="Verdana" w:hAnsi="Verdana"/>
          <w:sz w:val="20"/>
          <w:szCs w:val="20"/>
          <w:lang w:val="es-ES_tradnl"/>
        </w:rPr>
        <w:t xml:space="preserve">- </w:t>
      </w:r>
      <w:r w:rsidR="00606E45">
        <w:rPr>
          <w:rFonts w:ascii="Verdana" w:hAnsi="Verdana"/>
          <w:sz w:val="20"/>
          <w:szCs w:val="20"/>
          <w:lang w:val="es-ES_tradnl"/>
        </w:rPr>
        <w:t>Por otra parte, d</w:t>
      </w:r>
      <w:r w:rsidR="00606E45" w:rsidRPr="00E50988">
        <w:rPr>
          <w:rFonts w:ascii="Verdana" w:hAnsi="Verdana"/>
          <w:sz w:val="20"/>
          <w:szCs w:val="20"/>
          <w:lang w:val="es-ES_tradnl"/>
        </w:rPr>
        <w:t>e acuerdo a lo señalado por el Estado desde el 11 de agosto de 2011 hasta el 4 de septiembre de 2015, las señoras Naranjo y Mosquera se encuentran vinculada</w:t>
      </w:r>
      <w:r w:rsidR="00B94D7D">
        <w:rPr>
          <w:rFonts w:ascii="Verdana" w:hAnsi="Verdana"/>
          <w:sz w:val="20"/>
          <w:szCs w:val="20"/>
          <w:lang w:val="es-ES_tradnl"/>
        </w:rPr>
        <w:t>s</w:t>
      </w:r>
      <w:r w:rsidR="00606E45" w:rsidRPr="00E50988">
        <w:rPr>
          <w:rFonts w:ascii="Verdana" w:hAnsi="Verdana"/>
          <w:sz w:val="20"/>
          <w:szCs w:val="20"/>
          <w:lang w:val="es-ES_tradnl"/>
        </w:rPr>
        <w:t xml:space="preserve"> al “Plan Padrino” de la Policía Nacional,</w:t>
      </w:r>
      <w:r w:rsidR="00606E45" w:rsidRPr="00E50988" w:rsidDel="00DB4549">
        <w:rPr>
          <w:rFonts w:ascii="Verdana" w:hAnsi="Verdana"/>
          <w:sz w:val="20"/>
          <w:szCs w:val="20"/>
          <w:lang w:val="es-ES_tradnl"/>
        </w:rPr>
        <w:t xml:space="preserve"> </w:t>
      </w:r>
      <w:r w:rsidR="00606E45" w:rsidRPr="00E50988">
        <w:rPr>
          <w:rFonts w:ascii="Verdana" w:hAnsi="Verdana"/>
          <w:sz w:val="20"/>
          <w:szCs w:val="20"/>
          <w:lang w:val="es-ES_tradnl"/>
        </w:rPr>
        <w:t>por el cual existe un enlace policial quien tiene la obligación de reportar mensualmente las actividades realizadas</w:t>
      </w:r>
      <w:r w:rsidR="00606E45" w:rsidRPr="00BE210A">
        <w:rPr>
          <w:rStyle w:val="FootnoteReference"/>
          <w:sz w:val="20"/>
          <w:szCs w:val="20"/>
          <w:lang w:val="es-ES_tradnl"/>
        </w:rPr>
        <w:footnoteReference w:id="10"/>
      </w:r>
      <w:r w:rsidR="00606E45" w:rsidRPr="00E50988">
        <w:rPr>
          <w:rFonts w:ascii="Verdana" w:hAnsi="Verdana"/>
          <w:sz w:val="20"/>
          <w:szCs w:val="20"/>
          <w:lang w:val="es-ES_tradnl"/>
        </w:rPr>
        <w:t>,</w:t>
      </w:r>
      <w:r w:rsidR="00606E45" w:rsidRPr="00E50988">
        <w:rPr>
          <w:rFonts w:ascii="Verdana" w:hAnsi="Verdana"/>
          <w:b/>
          <w:sz w:val="20"/>
          <w:szCs w:val="20"/>
          <w:lang w:val="es-ES_tradnl"/>
        </w:rPr>
        <w:t xml:space="preserve"> </w:t>
      </w:r>
      <w:r w:rsidR="00606E45" w:rsidRPr="00E50988">
        <w:rPr>
          <w:rFonts w:ascii="Verdana" w:hAnsi="Verdana"/>
          <w:sz w:val="20"/>
          <w:szCs w:val="20"/>
          <w:lang w:val="es-ES_tradnl"/>
        </w:rPr>
        <w:t>y presentar un registro fotográfico y físico de las actas levantadas en relación con el servicio de protección por parte de la Policía Nacional</w:t>
      </w:r>
      <w:r w:rsidR="00606E45" w:rsidRPr="00E50988">
        <w:rPr>
          <w:rFonts w:ascii="Verdana" w:hAnsi="Verdana"/>
          <w:b/>
          <w:sz w:val="16"/>
          <w:szCs w:val="16"/>
          <w:lang w:val="es-ES_tradnl"/>
        </w:rPr>
        <w:t>.</w:t>
      </w:r>
      <w:r w:rsidR="00606E45" w:rsidRPr="00E50988">
        <w:rPr>
          <w:rFonts w:ascii="Verdana" w:hAnsi="Verdana"/>
          <w:b/>
          <w:sz w:val="20"/>
          <w:szCs w:val="20"/>
          <w:lang w:val="es-ES_tradnl"/>
        </w:rPr>
        <w:t xml:space="preserve"> </w:t>
      </w:r>
      <w:r w:rsidR="00606E45" w:rsidRPr="00E50988">
        <w:rPr>
          <w:rFonts w:ascii="Verdana" w:hAnsi="Verdana"/>
          <w:sz w:val="20"/>
          <w:szCs w:val="20"/>
          <w:lang w:val="es-ES_tradnl"/>
        </w:rPr>
        <w:t>Asimismo, el Estado indicó que esta medida implica que las beneficiarias “cuenta[n] con un agente de confianza en la ciudad de Medellín, a quien ella[s] o sus familiares pueden acudir en caso de que se present</w:t>
      </w:r>
      <w:r w:rsidR="00B94D7D">
        <w:rPr>
          <w:rFonts w:ascii="Verdana" w:hAnsi="Verdana"/>
          <w:sz w:val="20"/>
          <w:szCs w:val="20"/>
          <w:lang w:val="es-ES_tradnl"/>
        </w:rPr>
        <w:t>e</w:t>
      </w:r>
      <w:r w:rsidR="00606E45" w:rsidRPr="00E50988">
        <w:rPr>
          <w:rFonts w:ascii="Verdana" w:hAnsi="Verdana"/>
          <w:sz w:val="20"/>
          <w:szCs w:val="20"/>
          <w:lang w:val="es-ES_tradnl"/>
        </w:rPr>
        <w:t xml:space="preserve">n inconvenientes con la </w:t>
      </w:r>
      <w:r w:rsidR="00606E45" w:rsidRPr="00E50988">
        <w:rPr>
          <w:rFonts w:ascii="Verdana" w:hAnsi="Verdana"/>
          <w:sz w:val="20"/>
          <w:szCs w:val="20"/>
          <w:lang w:val="es-ES_tradnl"/>
        </w:rPr>
        <w:lastRenderedPageBreak/>
        <w:t>implementación de las medidas de seguridad o ante la ocurrencia de nuevo</w:t>
      </w:r>
      <w:r w:rsidR="00C30221">
        <w:rPr>
          <w:rFonts w:ascii="Verdana" w:hAnsi="Verdana"/>
          <w:sz w:val="20"/>
          <w:szCs w:val="20"/>
          <w:lang w:val="es-ES_tradnl"/>
        </w:rPr>
        <w:t>s</w:t>
      </w:r>
      <w:r w:rsidR="00606E45" w:rsidRPr="00E50988">
        <w:rPr>
          <w:rFonts w:ascii="Verdana" w:hAnsi="Verdana"/>
          <w:sz w:val="20"/>
          <w:szCs w:val="20"/>
          <w:lang w:val="es-ES_tradnl"/>
        </w:rPr>
        <w:t xml:space="preserve"> hechos de amenaza o riesgo”</w:t>
      </w:r>
      <w:r w:rsidR="00606E45" w:rsidRPr="00E50988">
        <w:rPr>
          <w:rFonts w:ascii="Verdana" w:hAnsi="Verdana"/>
          <w:sz w:val="16"/>
          <w:szCs w:val="16"/>
          <w:lang w:val="es-ES_tradnl"/>
        </w:rPr>
        <w:t>.</w:t>
      </w:r>
      <w:r w:rsidR="00606E45" w:rsidRPr="00606E45">
        <w:rPr>
          <w:rFonts w:ascii="Verdana" w:hAnsi="Verdana"/>
          <w:sz w:val="20"/>
          <w:szCs w:val="20"/>
          <w:lang w:val="es-ES_tradnl"/>
        </w:rPr>
        <w:t xml:space="preserve"> </w:t>
      </w:r>
      <w:r w:rsidR="00606E45" w:rsidRPr="00BB7628">
        <w:rPr>
          <w:rFonts w:ascii="Verdana" w:hAnsi="Verdana"/>
          <w:sz w:val="20"/>
          <w:szCs w:val="20"/>
          <w:lang w:val="es-ES_tradnl"/>
        </w:rPr>
        <w:t xml:space="preserve">El 26 de febrero de 2015 Colombia informó también la formulación a las señoras Naranjo y Mosquera de recomendaciones de seguridad y autoprotección personal. </w:t>
      </w:r>
    </w:p>
    <w:p w:rsidR="00606E45" w:rsidRDefault="00606E45" w:rsidP="00B71EC9">
      <w:pPr>
        <w:ind w:right="-90"/>
        <w:jc w:val="both"/>
        <w:rPr>
          <w:rFonts w:ascii="Verdana" w:hAnsi="Verdana"/>
          <w:sz w:val="20"/>
          <w:szCs w:val="20"/>
          <w:lang w:val="es-ES_tradnl"/>
        </w:rPr>
      </w:pPr>
    </w:p>
    <w:p w:rsidR="00606E45" w:rsidRPr="00BE210A" w:rsidRDefault="00606E45" w:rsidP="00E50988">
      <w:pPr>
        <w:numPr>
          <w:ilvl w:val="0"/>
          <w:numId w:val="72"/>
        </w:numPr>
        <w:ind w:left="0" w:right="-90" w:firstLine="0"/>
        <w:jc w:val="both"/>
        <w:rPr>
          <w:rFonts w:ascii="Verdana" w:hAnsi="Verdana"/>
          <w:sz w:val="20"/>
          <w:szCs w:val="20"/>
          <w:lang w:val="es-ES_tradnl"/>
        </w:rPr>
      </w:pPr>
      <w:r>
        <w:rPr>
          <w:rFonts w:ascii="Verdana" w:hAnsi="Verdana"/>
          <w:sz w:val="20"/>
          <w:szCs w:val="20"/>
          <w:lang w:val="es-ES_tradnl"/>
        </w:rPr>
        <w:t>E</w:t>
      </w:r>
      <w:r w:rsidRPr="00BE210A">
        <w:rPr>
          <w:rFonts w:ascii="Verdana" w:hAnsi="Verdana"/>
          <w:sz w:val="20"/>
          <w:szCs w:val="20"/>
          <w:lang w:val="es-ES_tradnl"/>
        </w:rPr>
        <w:t xml:space="preserve">n su </w:t>
      </w:r>
      <w:r w:rsidR="00CC5246">
        <w:rPr>
          <w:rFonts w:ascii="Verdana" w:hAnsi="Verdana"/>
          <w:sz w:val="20"/>
          <w:szCs w:val="20"/>
          <w:lang w:val="es-ES_tradnl"/>
        </w:rPr>
        <w:t xml:space="preserve">informe de 26 de enero de 2016 </w:t>
      </w:r>
      <w:r w:rsidRPr="00BE210A">
        <w:rPr>
          <w:rFonts w:ascii="Verdana" w:hAnsi="Verdana"/>
          <w:sz w:val="20"/>
          <w:szCs w:val="20"/>
          <w:lang w:val="es-ES_tradnl"/>
        </w:rPr>
        <w:t>el Estado señaló que la Policía ha</w:t>
      </w:r>
      <w:r>
        <w:rPr>
          <w:rFonts w:ascii="Verdana" w:hAnsi="Verdana"/>
          <w:sz w:val="20"/>
          <w:szCs w:val="20"/>
          <w:lang w:val="es-ES_tradnl"/>
        </w:rPr>
        <w:t>bía</w:t>
      </w:r>
      <w:r w:rsidRPr="00BE210A">
        <w:rPr>
          <w:rFonts w:ascii="Verdana" w:hAnsi="Verdana"/>
          <w:sz w:val="20"/>
          <w:szCs w:val="20"/>
          <w:lang w:val="es-ES_tradnl"/>
        </w:rPr>
        <w:t xml:space="preserve"> realizado varias visitas a la señora Naranjo, en el marco de la Estrategia Policial Nº 4 Protección a Población Vulnerable con el fin de que participe de los encuentros que se desarrollan con cada uno de los líderes de organizaciones, para tratar temas de seguridad</w:t>
      </w:r>
      <w:r w:rsidR="00893953">
        <w:rPr>
          <w:rFonts w:ascii="Verdana" w:hAnsi="Verdana"/>
          <w:sz w:val="20"/>
          <w:szCs w:val="20"/>
          <w:lang w:val="es-ES_tradnl"/>
        </w:rPr>
        <w:t>.</w:t>
      </w:r>
    </w:p>
    <w:p w:rsidR="00606E45" w:rsidRDefault="00606E45" w:rsidP="00B71EC9">
      <w:pPr>
        <w:ind w:right="-90"/>
        <w:jc w:val="both"/>
        <w:rPr>
          <w:rFonts w:ascii="Verdana" w:hAnsi="Verdana"/>
          <w:sz w:val="20"/>
          <w:szCs w:val="20"/>
          <w:lang w:val="es-ES_tradnl"/>
        </w:rPr>
      </w:pPr>
    </w:p>
    <w:p w:rsidR="00606E45" w:rsidRPr="00CA5ACF" w:rsidRDefault="00606E45" w:rsidP="00E50988">
      <w:pPr>
        <w:numPr>
          <w:ilvl w:val="0"/>
          <w:numId w:val="72"/>
        </w:numPr>
        <w:ind w:left="0" w:right="-90" w:firstLine="0"/>
        <w:jc w:val="both"/>
        <w:rPr>
          <w:rFonts w:ascii="Verdana" w:hAnsi="Verdana"/>
          <w:sz w:val="20"/>
          <w:szCs w:val="20"/>
          <w:lang w:val="es-ES_tradnl"/>
        </w:rPr>
      </w:pPr>
      <w:r>
        <w:rPr>
          <w:rFonts w:ascii="Verdana" w:hAnsi="Verdana"/>
          <w:sz w:val="20"/>
          <w:szCs w:val="20"/>
          <w:lang w:val="es-ES_tradnl"/>
        </w:rPr>
        <w:t xml:space="preserve">El 1 de noviembre de 2016 el Estado informó que se había suministrado a las beneficiarias datos de contacto de una estación de policía así como de un funcionario de la Policía Nacional asignado como “enlace”. </w:t>
      </w:r>
      <w:r>
        <w:rPr>
          <w:rFonts w:ascii="Verdana" w:hAnsi="Verdana"/>
          <w:b/>
          <w:sz w:val="20"/>
          <w:szCs w:val="20"/>
          <w:lang w:val="es-ES_tradnl"/>
        </w:rPr>
        <w:t xml:space="preserve"> </w:t>
      </w:r>
    </w:p>
    <w:p w:rsidR="00606E45" w:rsidRDefault="00606E45" w:rsidP="00B71EC9">
      <w:pPr>
        <w:pStyle w:val="ListParagraph"/>
        <w:ind w:left="0"/>
        <w:rPr>
          <w:rFonts w:ascii="Verdana" w:hAnsi="Verdana"/>
          <w:sz w:val="20"/>
          <w:szCs w:val="20"/>
          <w:lang w:val="es-ES_tradnl"/>
        </w:rPr>
      </w:pPr>
    </w:p>
    <w:p w:rsidR="00606E45" w:rsidRPr="00BE210A" w:rsidRDefault="00606E45" w:rsidP="00E50988">
      <w:pPr>
        <w:numPr>
          <w:ilvl w:val="0"/>
          <w:numId w:val="72"/>
        </w:numPr>
        <w:ind w:left="0" w:right="-90" w:firstLine="0"/>
        <w:jc w:val="both"/>
        <w:rPr>
          <w:rFonts w:ascii="Verdana" w:hAnsi="Verdana"/>
          <w:sz w:val="20"/>
          <w:szCs w:val="20"/>
          <w:lang w:val="es-ES_tradnl"/>
        </w:rPr>
      </w:pPr>
      <w:r>
        <w:rPr>
          <w:rFonts w:ascii="Verdana" w:hAnsi="Verdana"/>
          <w:sz w:val="20"/>
          <w:szCs w:val="20"/>
          <w:lang w:val="es-ES_tradnl"/>
        </w:rPr>
        <w:t xml:space="preserve">Los días </w:t>
      </w:r>
      <w:r w:rsidRPr="00CA5ACF">
        <w:rPr>
          <w:rFonts w:ascii="Verdana" w:hAnsi="Verdana"/>
          <w:sz w:val="20"/>
          <w:szCs w:val="20"/>
          <w:lang w:val="es-ES_tradnl"/>
        </w:rPr>
        <w:t>18 de mayo</w:t>
      </w:r>
      <w:r>
        <w:rPr>
          <w:rFonts w:ascii="Verdana" w:hAnsi="Verdana"/>
          <w:sz w:val="20"/>
          <w:szCs w:val="20"/>
          <w:lang w:val="es-ES_tradnl"/>
        </w:rPr>
        <w:t xml:space="preserve"> y 5 de julio</w:t>
      </w:r>
      <w:r w:rsidRPr="00CA5ACF">
        <w:rPr>
          <w:rFonts w:ascii="Verdana" w:hAnsi="Verdana"/>
          <w:sz w:val="20"/>
          <w:szCs w:val="20"/>
          <w:lang w:val="es-ES_tradnl"/>
        </w:rPr>
        <w:t xml:space="preserve"> de 2017 Colombia manifestó que “se han venido implementando las acciones establecidas en el Decreto </w:t>
      </w:r>
      <w:r w:rsidR="004A0C4F">
        <w:rPr>
          <w:rFonts w:ascii="Verdana" w:hAnsi="Verdana"/>
          <w:sz w:val="20"/>
          <w:szCs w:val="20"/>
          <w:lang w:val="es-ES_tradnl"/>
        </w:rPr>
        <w:t xml:space="preserve">No. </w:t>
      </w:r>
      <w:r w:rsidRPr="00CA5ACF">
        <w:rPr>
          <w:rFonts w:ascii="Verdana" w:hAnsi="Verdana"/>
          <w:sz w:val="20"/>
          <w:szCs w:val="20"/>
          <w:lang w:val="es-ES_tradnl"/>
        </w:rPr>
        <w:t>1066 de 2015, relativo a que las medidas de seguridad a cargo de la Policía Nacional</w:t>
      </w:r>
      <w:r w:rsidR="00E51F40">
        <w:rPr>
          <w:rFonts w:ascii="Verdana" w:hAnsi="Verdana"/>
          <w:sz w:val="20"/>
          <w:szCs w:val="20"/>
          <w:lang w:val="es-ES_tradnl"/>
        </w:rPr>
        <w:t>”, que “pueden ser”, entre otras, medidas de</w:t>
      </w:r>
      <w:r w:rsidRPr="00CA5ACF">
        <w:rPr>
          <w:rFonts w:ascii="Verdana" w:hAnsi="Verdana"/>
          <w:sz w:val="20"/>
          <w:szCs w:val="20"/>
          <w:lang w:val="es-ES_tradnl"/>
        </w:rPr>
        <w:t xml:space="preserve"> </w:t>
      </w:r>
      <w:r w:rsidR="00E51F40">
        <w:rPr>
          <w:rFonts w:ascii="Verdana" w:hAnsi="Verdana"/>
          <w:sz w:val="20"/>
          <w:szCs w:val="20"/>
          <w:lang w:val="es-ES_tradnl"/>
        </w:rPr>
        <w:t>“</w:t>
      </w:r>
      <w:r w:rsidRPr="00CA5ACF">
        <w:rPr>
          <w:rFonts w:ascii="Verdana" w:hAnsi="Verdana"/>
          <w:sz w:val="20"/>
          <w:szCs w:val="20"/>
          <w:lang w:val="es-ES_tradnl"/>
        </w:rPr>
        <w:t>autoprotección</w:t>
      </w:r>
      <w:r w:rsidR="00E51F40">
        <w:rPr>
          <w:rFonts w:ascii="Verdana" w:hAnsi="Verdana"/>
          <w:sz w:val="20"/>
          <w:szCs w:val="20"/>
          <w:lang w:val="es-ES_tradnl"/>
        </w:rPr>
        <w:t xml:space="preserve">” </w:t>
      </w:r>
      <w:r w:rsidRPr="00CA5ACF">
        <w:rPr>
          <w:rFonts w:ascii="Verdana" w:hAnsi="Verdana"/>
          <w:sz w:val="20"/>
          <w:szCs w:val="20"/>
          <w:lang w:val="es-ES_tradnl"/>
        </w:rPr>
        <w:t>y</w:t>
      </w:r>
      <w:r w:rsidR="00E51F40">
        <w:rPr>
          <w:rFonts w:ascii="Verdana" w:hAnsi="Verdana"/>
          <w:sz w:val="20"/>
          <w:szCs w:val="20"/>
          <w:lang w:val="es-ES_tradnl"/>
        </w:rPr>
        <w:t xml:space="preserve"> el</w:t>
      </w:r>
      <w:r w:rsidRPr="00CA5ACF">
        <w:rPr>
          <w:rFonts w:ascii="Verdana" w:hAnsi="Verdana"/>
          <w:sz w:val="20"/>
          <w:szCs w:val="20"/>
          <w:lang w:val="es-ES_tradnl"/>
        </w:rPr>
        <w:t xml:space="preserve"> </w:t>
      </w:r>
      <w:r w:rsidR="00E51F40">
        <w:rPr>
          <w:rFonts w:ascii="Verdana" w:hAnsi="Verdana"/>
          <w:sz w:val="20"/>
          <w:szCs w:val="20"/>
          <w:lang w:val="es-ES_tradnl"/>
        </w:rPr>
        <w:t>“</w:t>
      </w:r>
      <w:r w:rsidRPr="00CA5ACF">
        <w:rPr>
          <w:rFonts w:ascii="Verdana" w:hAnsi="Verdana"/>
          <w:sz w:val="20"/>
          <w:szCs w:val="20"/>
          <w:lang w:val="es-ES_tradnl"/>
        </w:rPr>
        <w:t>Plan Padrino”.</w:t>
      </w:r>
      <w:r>
        <w:rPr>
          <w:rFonts w:ascii="Verdana" w:hAnsi="Verdana"/>
          <w:b/>
          <w:sz w:val="20"/>
          <w:szCs w:val="20"/>
          <w:lang w:val="es-ES_tradnl"/>
        </w:rPr>
        <w:t xml:space="preserve"> </w:t>
      </w:r>
    </w:p>
    <w:p w:rsidR="00606E45" w:rsidRDefault="00606E45" w:rsidP="00E50988">
      <w:pPr>
        <w:pStyle w:val="ListParagraph"/>
        <w:ind w:left="0"/>
        <w:rPr>
          <w:rFonts w:ascii="Verdana" w:hAnsi="Verdana"/>
          <w:sz w:val="20"/>
          <w:szCs w:val="20"/>
          <w:lang w:val="es-ES_tradnl"/>
        </w:rPr>
      </w:pPr>
    </w:p>
    <w:p w:rsidR="00606E45" w:rsidRPr="00BE210A" w:rsidRDefault="00606E45" w:rsidP="00E50988">
      <w:pPr>
        <w:numPr>
          <w:ilvl w:val="0"/>
          <w:numId w:val="72"/>
        </w:numPr>
        <w:ind w:left="0" w:right="-90" w:firstLine="0"/>
        <w:jc w:val="both"/>
        <w:rPr>
          <w:rFonts w:ascii="Verdana" w:hAnsi="Verdana"/>
          <w:sz w:val="20"/>
          <w:szCs w:val="20"/>
          <w:lang w:val="es-ES_tradnl"/>
        </w:rPr>
      </w:pPr>
      <w:r>
        <w:rPr>
          <w:rFonts w:ascii="Verdana" w:hAnsi="Verdana"/>
          <w:i/>
          <w:sz w:val="20"/>
          <w:szCs w:val="20"/>
          <w:lang w:val="es-ES_tradnl"/>
        </w:rPr>
        <w:t xml:space="preserve">Patrullajes.- </w:t>
      </w:r>
      <w:r w:rsidR="0002542C">
        <w:rPr>
          <w:rFonts w:ascii="Verdana" w:hAnsi="Verdana"/>
          <w:sz w:val="20"/>
          <w:szCs w:val="20"/>
          <w:lang w:val="es-ES_tradnl"/>
        </w:rPr>
        <w:t xml:space="preserve">El 26 de febrero de 2015 </w:t>
      </w:r>
      <w:r>
        <w:rPr>
          <w:rFonts w:ascii="Verdana" w:hAnsi="Verdana"/>
          <w:sz w:val="20"/>
          <w:szCs w:val="20"/>
          <w:lang w:val="es-ES_tradnl"/>
        </w:rPr>
        <w:t xml:space="preserve">el Estado </w:t>
      </w:r>
      <w:r w:rsidR="00C30221">
        <w:rPr>
          <w:rFonts w:ascii="Verdana" w:hAnsi="Verdana"/>
          <w:sz w:val="20"/>
          <w:szCs w:val="20"/>
          <w:lang w:val="es-ES_tradnl"/>
        </w:rPr>
        <w:t>señaló</w:t>
      </w:r>
      <w:r w:rsidR="00C30221" w:rsidRPr="00CA5ACF">
        <w:rPr>
          <w:rFonts w:ascii="Verdana" w:hAnsi="Verdana"/>
          <w:sz w:val="20"/>
          <w:szCs w:val="20"/>
          <w:lang w:val="es-ES_tradnl"/>
        </w:rPr>
        <w:t xml:space="preserve"> </w:t>
      </w:r>
      <w:r w:rsidR="00C30221">
        <w:rPr>
          <w:rFonts w:ascii="Verdana" w:hAnsi="Verdana"/>
          <w:sz w:val="20"/>
          <w:szCs w:val="20"/>
          <w:lang w:val="es-ES_tradnl"/>
        </w:rPr>
        <w:t>que, en relación con</w:t>
      </w:r>
      <w:r w:rsidRPr="00CA5ACF">
        <w:rPr>
          <w:rFonts w:ascii="Verdana" w:hAnsi="Verdana"/>
          <w:sz w:val="20"/>
          <w:szCs w:val="20"/>
          <w:lang w:val="es-ES_tradnl"/>
        </w:rPr>
        <w:t xml:space="preserve"> la presunta amenaza contra la vida de la señora Naranjo</w:t>
      </w:r>
      <w:r w:rsidR="0002542C">
        <w:rPr>
          <w:rFonts w:ascii="Verdana" w:hAnsi="Verdana"/>
          <w:sz w:val="20"/>
          <w:szCs w:val="20"/>
          <w:lang w:val="es-ES_tradnl"/>
        </w:rPr>
        <w:t>,</w:t>
      </w:r>
      <w:r w:rsidRPr="00CA5ACF">
        <w:rPr>
          <w:rFonts w:ascii="Verdana" w:hAnsi="Verdana"/>
          <w:sz w:val="20"/>
          <w:szCs w:val="20"/>
          <w:lang w:val="es-ES_tradnl"/>
        </w:rPr>
        <w:t xml:space="preserve"> a partir de lo sucedido en agosto de 2013</w:t>
      </w:r>
      <w:r>
        <w:rPr>
          <w:rFonts w:ascii="Verdana" w:hAnsi="Verdana"/>
          <w:sz w:val="20"/>
          <w:szCs w:val="20"/>
          <w:lang w:val="es-ES_tradnl"/>
        </w:rPr>
        <w:t xml:space="preserve"> (</w:t>
      </w:r>
      <w:r>
        <w:rPr>
          <w:rFonts w:ascii="Verdana" w:hAnsi="Verdana"/>
          <w:i/>
          <w:sz w:val="20"/>
          <w:szCs w:val="20"/>
          <w:lang w:val="es-ES_tradnl"/>
        </w:rPr>
        <w:t>infra</w:t>
      </w:r>
      <w:r>
        <w:rPr>
          <w:rFonts w:ascii="Verdana" w:hAnsi="Verdana"/>
          <w:sz w:val="20"/>
          <w:szCs w:val="20"/>
          <w:lang w:val="es-ES_tradnl"/>
        </w:rPr>
        <w:t xml:space="preserve"> Considerando </w:t>
      </w:r>
      <w:r w:rsidR="00C10568">
        <w:rPr>
          <w:rFonts w:ascii="Verdana" w:hAnsi="Verdana"/>
          <w:sz w:val="20"/>
          <w:szCs w:val="20"/>
          <w:lang w:val="es-ES_tradnl"/>
        </w:rPr>
        <w:t>53</w:t>
      </w:r>
      <w:r>
        <w:rPr>
          <w:rFonts w:ascii="Verdana" w:hAnsi="Verdana"/>
          <w:sz w:val="20"/>
          <w:szCs w:val="20"/>
          <w:lang w:val="es-ES_tradnl"/>
        </w:rPr>
        <w:t>)</w:t>
      </w:r>
      <w:r w:rsidRPr="00CA5ACF">
        <w:rPr>
          <w:rFonts w:ascii="Verdana" w:hAnsi="Verdana"/>
          <w:sz w:val="20"/>
          <w:szCs w:val="20"/>
          <w:lang w:val="es-ES_tradnl"/>
        </w:rPr>
        <w:t>, se implementa</w:t>
      </w:r>
      <w:r w:rsidR="00AC27A4">
        <w:rPr>
          <w:rFonts w:ascii="Verdana" w:hAnsi="Verdana"/>
          <w:sz w:val="20"/>
          <w:szCs w:val="20"/>
          <w:lang w:val="es-ES_tradnl"/>
        </w:rPr>
        <w:t>r</w:t>
      </w:r>
      <w:r>
        <w:rPr>
          <w:rFonts w:ascii="Verdana" w:hAnsi="Verdana"/>
          <w:sz w:val="20"/>
          <w:szCs w:val="20"/>
          <w:lang w:val="es-ES_tradnl"/>
        </w:rPr>
        <w:t>on</w:t>
      </w:r>
      <w:r w:rsidRPr="00CA5ACF">
        <w:rPr>
          <w:rFonts w:ascii="Verdana" w:hAnsi="Verdana"/>
          <w:sz w:val="20"/>
          <w:szCs w:val="20"/>
          <w:lang w:val="es-ES_tradnl"/>
        </w:rPr>
        <w:t xml:space="preserve"> rondas y revistas policiales con agentes que prestan el servicio las 24 horas del día por turnos de 8 horas</w:t>
      </w:r>
      <w:r>
        <w:rPr>
          <w:rFonts w:ascii="Verdana" w:hAnsi="Verdana"/>
          <w:sz w:val="20"/>
          <w:szCs w:val="20"/>
          <w:lang w:val="es-ES_tradnl"/>
        </w:rPr>
        <w:t xml:space="preserve">. </w:t>
      </w:r>
      <w:r w:rsidRPr="00CA5ACF">
        <w:rPr>
          <w:rFonts w:ascii="Verdana" w:hAnsi="Verdana"/>
          <w:sz w:val="20"/>
          <w:szCs w:val="20"/>
          <w:lang w:val="es-ES_tradnl"/>
        </w:rPr>
        <w:t>El 15 de marzo de 2017 Colombia informó que continuaba desarrollando “patrullajes y revistas policiales a la residencia de la [señora Naranjo</w:t>
      </w:r>
      <w:r w:rsidR="00B94D7D">
        <w:rPr>
          <w:rFonts w:ascii="Verdana" w:hAnsi="Verdana"/>
          <w:sz w:val="20"/>
          <w:szCs w:val="20"/>
          <w:lang w:val="es-ES_tradnl"/>
        </w:rPr>
        <w:t>]</w:t>
      </w:r>
      <w:r w:rsidRPr="00CA5ACF">
        <w:rPr>
          <w:rFonts w:ascii="Verdana" w:hAnsi="Verdana"/>
          <w:sz w:val="20"/>
          <w:szCs w:val="20"/>
          <w:lang w:val="es-ES_tradnl"/>
        </w:rPr>
        <w:t>”</w:t>
      </w:r>
      <w:r>
        <w:rPr>
          <w:rFonts w:ascii="Verdana" w:hAnsi="Verdana"/>
          <w:sz w:val="20"/>
          <w:szCs w:val="20"/>
          <w:lang w:val="es-ES_tradnl"/>
        </w:rPr>
        <w:t>.</w:t>
      </w:r>
      <w:r w:rsidRPr="00CA5ACF">
        <w:rPr>
          <w:rFonts w:ascii="Verdana" w:hAnsi="Verdana"/>
          <w:sz w:val="20"/>
          <w:szCs w:val="20"/>
          <w:lang w:val="es-ES_tradnl"/>
        </w:rPr>
        <w:t xml:space="preserve"> </w:t>
      </w:r>
      <w:r>
        <w:rPr>
          <w:rFonts w:ascii="Verdana" w:hAnsi="Verdana"/>
          <w:sz w:val="20"/>
          <w:szCs w:val="20"/>
          <w:lang w:val="es-ES_tradnl"/>
        </w:rPr>
        <w:t xml:space="preserve">Los días </w:t>
      </w:r>
      <w:r w:rsidRPr="00CA5ACF">
        <w:rPr>
          <w:rFonts w:ascii="Verdana" w:hAnsi="Verdana"/>
          <w:sz w:val="20"/>
          <w:szCs w:val="20"/>
          <w:lang w:val="es-ES_tradnl"/>
        </w:rPr>
        <w:t>18 de mayo</w:t>
      </w:r>
      <w:r>
        <w:rPr>
          <w:rFonts w:ascii="Verdana" w:hAnsi="Verdana"/>
          <w:sz w:val="20"/>
          <w:szCs w:val="20"/>
          <w:lang w:val="es-ES_tradnl"/>
        </w:rPr>
        <w:t xml:space="preserve"> y 5 de julio</w:t>
      </w:r>
      <w:r w:rsidRPr="00CA5ACF">
        <w:rPr>
          <w:rFonts w:ascii="Verdana" w:hAnsi="Verdana"/>
          <w:sz w:val="20"/>
          <w:szCs w:val="20"/>
          <w:lang w:val="es-ES_tradnl"/>
        </w:rPr>
        <w:t xml:space="preserve"> de 2017</w:t>
      </w:r>
      <w:r w:rsidR="00E51F40">
        <w:rPr>
          <w:rFonts w:ascii="Verdana" w:hAnsi="Verdana"/>
          <w:sz w:val="20"/>
          <w:szCs w:val="20"/>
          <w:lang w:val="es-ES_tradnl"/>
        </w:rPr>
        <w:t>, al referir a las “acciones establecidas en el Decreto 1066” (</w:t>
      </w:r>
      <w:r w:rsidR="00E51F40">
        <w:rPr>
          <w:rFonts w:ascii="Verdana" w:hAnsi="Verdana"/>
          <w:i/>
          <w:sz w:val="20"/>
          <w:szCs w:val="20"/>
          <w:lang w:val="es-ES_tradnl"/>
        </w:rPr>
        <w:t>supra</w:t>
      </w:r>
      <w:r w:rsidR="00E51F40">
        <w:rPr>
          <w:rFonts w:ascii="Verdana" w:hAnsi="Verdana"/>
          <w:sz w:val="20"/>
          <w:szCs w:val="20"/>
          <w:lang w:val="es-ES_tradnl"/>
        </w:rPr>
        <w:t xml:space="preserve"> Considerando </w:t>
      </w:r>
      <w:r w:rsidR="000510E3">
        <w:rPr>
          <w:rFonts w:ascii="Verdana" w:hAnsi="Verdana"/>
          <w:sz w:val="20"/>
          <w:szCs w:val="20"/>
          <w:lang w:val="es-ES_tradnl"/>
        </w:rPr>
        <w:t>19</w:t>
      </w:r>
      <w:r w:rsidR="00E51F40">
        <w:rPr>
          <w:rFonts w:ascii="Verdana" w:hAnsi="Verdana"/>
          <w:sz w:val="20"/>
          <w:szCs w:val="20"/>
          <w:lang w:val="es-ES_tradnl"/>
        </w:rPr>
        <w:t>)</w:t>
      </w:r>
      <w:r w:rsidR="00C30221">
        <w:rPr>
          <w:rFonts w:ascii="Verdana" w:hAnsi="Verdana"/>
          <w:sz w:val="20"/>
          <w:szCs w:val="20"/>
          <w:lang w:val="es-ES_tradnl"/>
        </w:rPr>
        <w:t>,</w:t>
      </w:r>
      <w:r w:rsidR="00E51F40">
        <w:rPr>
          <w:rFonts w:ascii="Verdana" w:hAnsi="Verdana"/>
          <w:sz w:val="20"/>
          <w:szCs w:val="20"/>
          <w:lang w:val="es-ES_tradnl"/>
        </w:rPr>
        <w:t xml:space="preserve"> señaló que ellas, entre otras, “pueden ser” </w:t>
      </w:r>
      <w:r w:rsidRPr="00CA5ACF">
        <w:rPr>
          <w:rFonts w:ascii="Verdana" w:hAnsi="Verdana"/>
          <w:sz w:val="20"/>
          <w:szCs w:val="20"/>
          <w:lang w:val="es-ES_tradnl"/>
        </w:rPr>
        <w:t>rondas policiales.</w:t>
      </w:r>
      <w:r>
        <w:rPr>
          <w:rFonts w:ascii="Verdana" w:hAnsi="Verdana"/>
          <w:b/>
          <w:sz w:val="20"/>
          <w:szCs w:val="20"/>
          <w:lang w:val="es-ES_tradnl"/>
        </w:rPr>
        <w:t xml:space="preserve"> </w:t>
      </w:r>
    </w:p>
    <w:p w:rsidR="00791B86" w:rsidRDefault="00791B86" w:rsidP="00946A31">
      <w:pPr>
        <w:pStyle w:val="ListParagraph"/>
        <w:rPr>
          <w:rFonts w:ascii="Verdana" w:hAnsi="Verdana"/>
          <w:sz w:val="20"/>
          <w:szCs w:val="20"/>
          <w:lang w:val="es-ES_tradnl"/>
        </w:rPr>
      </w:pPr>
    </w:p>
    <w:p w:rsidR="00E51F40" w:rsidRDefault="00946A31" w:rsidP="00E50988">
      <w:pPr>
        <w:numPr>
          <w:ilvl w:val="0"/>
          <w:numId w:val="72"/>
        </w:numPr>
        <w:tabs>
          <w:tab w:val="left" w:pos="0"/>
        </w:tabs>
        <w:ind w:left="0" w:right="-90" w:firstLine="0"/>
        <w:jc w:val="both"/>
        <w:rPr>
          <w:rFonts w:ascii="Verdana" w:hAnsi="Verdana"/>
          <w:b/>
          <w:sz w:val="20"/>
          <w:szCs w:val="20"/>
          <w:lang w:val="es-ES_tradnl"/>
        </w:rPr>
      </w:pPr>
      <w:r>
        <w:rPr>
          <w:rFonts w:ascii="Verdana" w:hAnsi="Verdana"/>
          <w:sz w:val="20"/>
          <w:szCs w:val="20"/>
          <w:lang w:val="es-ES_tradnl"/>
        </w:rPr>
        <w:t xml:space="preserve">Las </w:t>
      </w:r>
      <w:r w:rsidRPr="00CA5ACF">
        <w:rPr>
          <w:rFonts w:ascii="Verdana" w:hAnsi="Verdana"/>
          <w:b/>
          <w:i/>
          <w:sz w:val="20"/>
          <w:szCs w:val="20"/>
          <w:lang w:val="es-ES_tradnl"/>
        </w:rPr>
        <w:t>representantes</w:t>
      </w:r>
      <w:r>
        <w:rPr>
          <w:rFonts w:ascii="Verdana" w:hAnsi="Verdana"/>
          <w:i/>
          <w:sz w:val="20"/>
          <w:szCs w:val="20"/>
          <w:lang w:val="es-ES_tradnl"/>
        </w:rPr>
        <w:t xml:space="preserve"> </w:t>
      </w:r>
      <w:r>
        <w:rPr>
          <w:rFonts w:ascii="Verdana" w:hAnsi="Verdana"/>
          <w:sz w:val="20"/>
          <w:szCs w:val="20"/>
          <w:lang w:val="es-ES_tradnl"/>
        </w:rPr>
        <w:t>presentaron diversas quejas</w:t>
      </w:r>
      <w:r w:rsidRPr="00CA5ACF">
        <w:rPr>
          <w:rFonts w:ascii="Verdana" w:hAnsi="Verdana"/>
          <w:sz w:val="20"/>
          <w:szCs w:val="20"/>
          <w:lang w:val="es-ES_tradnl"/>
        </w:rPr>
        <w:t xml:space="preserve"> en relación con la implementación de la medida de </w:t>
      </w:r>
      <w:r w:rsidRPr="0002542C">
        <w:rPr>
          <w:rFonts w:ascii="Verdana" w:hAnsi="Verdana"/>
          <w:sz w:val="20"/>
          <w:szCs w:val="20"/>
          <w:lang w:val="es-ES_tradnl"/>
        </w:rPr>
        <w:t>puesto fijo de vigilancia</w:t>
      </w:r>
      <w:r w:rsidR="00C30221">
        <w:rPr>
          <w:rFonts w:ascii="Verdana" w:hAnsi="Verdana"/>
          <w:sz w:val="20"/>
          <w:szCs w:val="20"/>
          <w:lang w:val="es-ES_tradnl"/>
        </w:rPr>
        <w:t>, tales como que só</w:t>
      </w:r>
      <w:r w:rsidR="0002542C">
        <w:rPr>
          <w:rFonts w:ascii="Verdana" w:hAnsi="Verdana"/>
          <w:sz w:val="20"/>
          <w:szCs w:val="20"/>
          <w:lang w:val="es-ES_tradnl"/>
        </w:rPr>
        <w:t>lo contaba con un policía, que é</w:t>
      </w:r>
      <w:r w:rsidRPr="00CA5ACF">
        <w:rPr>
          <w:rFonts w:ascii="Verdana" w:hAnsi="Verdana"/>
          <w:sz w:val="20"/>
          <w:szCs w:val="20"/>
          <w:lang w:val="es-ES_tradnl"/>
        </w:rPr>
        <w:t xml:space="preserve">ste no se encontraba presente las 24 horas, o que </w:t>
      </w:r>
      <w:r w:rsidR="005E1D3E">
        <w:rPr>
          <w:rFonts w:ascii="Verdana" w:hAnsi="Verdana"/>
          <w:sz w:val="20"/>
          <w:szCs w:val="20"/>
          <w:lang w:val="es-ES_tradnl"/>
        </w:rPr>
        <w:t xml:space="preserve">se </w:t>
      </w:r>
      <w:r w:rsidRPr="00CA5ACF">
        <w:rPr>
          <w:rFonts w:ascii="Verdana" w:hAnsi="Verdana"/>
          <w:sz w:val="20"/>
          <w:szCs w:val="20"/>
          <w:lang w:val="es-ES_tradnl"/>
        </w:rPr>
        <w:t>abandonaba el puesto con frecuencia</w:t>
      </w:r>
      <w:r>
        <w:rPr>
          <w:rFonts w:ascii="Verdana" w:hAnsi="Verdana"/>
          <w:sz w:val="20"/>
          <w:szCs w:val="20"/>
          <w:lang w:val="es-ES_tradnl"/>
        </w:rPr>
        <w:t>. Sin perjuicio de ello,</w:t>
      </w:r>
      <w:r w:rsidRPr="00CA5ACF">
        <w:rPr>
          <w:rFonts w:ascii="Verdana" w:hAnsi="Verdana"/>
          <w:sz w:val="20"/>
          <w:szCs w:val="20"/>
          <w:lang w:val="es-ES_tradnl"/>
        </w:rPr>
        <w:t xml:space="preserve"> </w:t>
      </w:r>
      <w:r w:rsidRPr="00A80591">
        <w:rPr>
          <w:rFonts w:ascii="Verdana" w:hAnsi="Verdana"/>
          <w:sz w:val="20"/>
          <w:szCs w:val="20"/>
          <w:lang w:val="es-ES_tradnl"/>
        </w:rPr>
        <w:t>el 25 de mayo de 2015</w:t>
      </w:r>
      <w:r w:rsidRPr="00CA5ACF">
        <w:rPr>
          <w:rFonts w:ascii="Verdana" w:hAnsi="Verdana"/>
          <w:sz w:val="20"/>
          <w:szCs w:val="20"/>
          <w:lang w:val="es-ES_tradnl"/>
        </w:rPr>
        <w:t xml:space="preserve"> mencionaron que el puesto fijo de la policía </w:t>
      </w:r>
      <w:r w:rsidR="005E1D3E">
        <w:rPr>
          <w:rFonts w:ascii="Verdana" w:hAnsi="Verdana"/>
          <w:sz w:val="20"/>
          <w:szCs w:val="20"/>
          <w:lang w:val="es-ES_tradnl"/>
        </w:rPr>
        <w:t xml:space="preserve">estaba </w:t>
      </w:r>
      <w:r w:rsidRPr="00CA5ACF">
        <w:rPr>
          <w:rFonts w:ascii="Verdana" w:hAnsi="Verdana"/>
          <w:sz w:val="20"/>
          <w:szCs w:val="20"/>
          <w:lang w:val="es-ES_tradnl"/>
        </w:rPr>
        <w:t>presta</w:t>
      </w:r>
      <w:r w:rsidR="005E1D3E">
        <w:rPr>
          <w:rFonts w:ascii="Verdana" w:hAnsi="Verdana"/>
          <w:sz w:val="20"/>
          <w:szCs w:val="20"/>
          <w:lang w:val="es-ES_tradnl"/>
        </w:rPr>
        <w:t>ndo</w:t>
      </w:r>
      <w:r w:rsidRPr="00CA5ACF">
        <w:rPr>
          <w:rFonts w:ascii="Verdana" w:hAnsi="Verdana"/>
          <w:sz w:val="20"/>
          <w:szCs w:val="20"/>
          <w:lang w:val="es-ES_tradnl"/>
        </w:rPr>
        <w:t xml:space="preserve"> servicio las 24 horas en la casa de la señora Naranjo</w:t>
      </w:r>
      <w:r w:rsidR="005E1D3E">
        <w:rPr>
          <w:rFonts w:ascii="Verdana" w:hAnsi="Verdana"/>
          <w:sz w:val="20"/>
          <w:szCs w:val="20"/>
          <w:lang w:val="es-ES_tradnl"/>
        </w:rPr>
        <w:t>.</w:t>
      </w:r>
      <w:r w:rsidRPr="00CA5ACF">
        <w:rPr>
          <w:rFonts w:ascii="Verdana" w:hAnsi="Verdana"/>
          <w:sz w:val="20"/>
          <w:szCs w:val="20"/>
          <w:lang w:val="es-ES_tradnl"/>
        </w:rPr>
        <w:t xml:space="preserve"> </w:t>
      </w:r>
    </w:p>
    <w:p w:rsidR="00E51F40" w:rsidRDefault="00E51F40" w:rsidP="00E50988">
      <w:pPr>
        <w:pStyle w:val="ListParagraph"/>
        <w:tabs>
          <w:tab w:val="left" w:pos="0"/>
        </w:tabs>
        <w:ind w:left="0"/>
        <w:rPr>
          <w:rFonts w:ascii="Verdana" w:hAnsi="Verdana"/>
          <w:sz w:val="20"/>
          <w:szCs w:val="20"/>
          <w:lang w:val="es-ES_tradnl"/>
        </w:rPr>
      </w:pPr>
    </w:p>
    <w:p w:rsidR="00946A31" w:rsidRPr="00E50988" w:rsidRDefault="00946A31" w:rsidP="00E50988">
      <w:pPr>
        <w:numPr>
          <w:ilvl w:val="0"/>
          <w:numId w:val="72"/>
        </w:numPr>
        <w:tabs>
          <w:tab w:val="left" w:pos="0"/>
        </w:tabs>
        <w:ind w:left="0" w:right="-90" w:firstLine="0"/>
        <w:jc w:val="both"/>
        <w:rPr>
          <w:rFonts w:ascii="Verdana" w:hAnsi="Verdana"/>
          <w:b/>
          <w:sz w:val="20"/>
          <w:szCs w:val="20"/>
          <w:lang w:val="es-ES_tradnl"/>
        </w:rPr>
      </w:pPr>
      <w:r w:rsidRPr="00CA5ACF">
        <w:rPr>
          <w:rFonts w:ascii="Verdana" w:hAnsi="Verdana"/>
          <w:sz w:val="20"/>
          <w:szCs w:val="20"/>
          <w:lang w:val="es-ES_tradnl"/>
        </w:rPr>
        <w:t xml:space="preserve">El 3 de junio de 2016 las representantes confirmaron que se mantenía la medida </w:t>
      </w:r>
      <w:r w:rsidR="00E51F40">
        <w:rPr>
          <w:rFonts w:ascii="Verdana" w:hAnsi="Verdana"/>
          <w:sz w:val="20"/>
          <w:szCs w:val="20"/>
          <w:lang w:val="es-ES_tradnl"/>
        </w:rPr>
        <w:t xml:space="preserve">del puesto fijo de vigilancia </w:t>
      </w:r>
      <w:r w:rsidRPr="00CA5ACF">
        <w:rPr>
          <w:rFonts w:ascii="Verdana" w:hAnsi="Verdana"/>
          <w:sz w:val="20"/>
          <w:szCs w:val="20"/>
          <w:lang w:val="es-ES_tradnl"/>
        </w:rPr>
        <w:t xml:space="preserve">y que “en términos generales, las beneficiarias consideran que la </w:t>
      </w:r>
      <w:r w:rsidR="00E9666F">
        <w:rPr>
          <w:rFonts w:ascii="Verdana" w:hAnsi="Verdana"/>
          <w:sz w:val="20"/>
          <w:szCs w:val="20"/>
          <w:lang w:val="es-ES_tradnl"/>
        </w:rPr>
        <w:t>[misma]</w:t>
      </w:r>
      <w:r w:rsidRPr="00CA5ACF">
        <w:rPr>
          <w:rFonts w:ascii="Verdana" w:hAnsi="Verdana"/>
          <w:sz w:val="20"/>
          <w:szCs w:val="20"/>
          <w:lang w:val="es-ES_tradnl"/>
        </w:rPr>
        <w:t xml:space="preserve"> ha sido efectiva en tanto es disuasoria para quienes pudieran atentar contra su vida”.</w:t>
      </w:r>
      <w:r w:rsidRPr="00CA5ACF">
        <w:rPr>
          <w:rFonts w:ascii="Verdana" w:hAnsi="Verdana"/>
          <w:b/>
          <w:sz w:val="20"/>
          <w:szCs w:val="20"/>
          <w:lang w:val="es-ES_tradnl"/>
        </w:rPr>
        <w:t xml:space="preserve"> </w:t>
      </w:r>
    </w:p>
    <w:p w:rsidR="00361AA8" w:rsidRDefault="00361AA8" w:rsidP="00E50988">
      <w:pPr>
        <w:pStyle w:val="ListParagraph"/>
        <w:tabs>
          <w:tab w:val="left" w:pos="0"/>
        </w:tabs>
        <w:ind w:left="0"/>
        <w:rPr>
          <w:rFonts w:ascii="Verdana" w:hAnsi="Verdana"/>
          <w:b/>
          <w:sz w:val="20"/>
          <w:szCs w:val="20"/>
          <w:lang w:val="es-ES_tradnl"/>
        </w:rPr>
      </w:pPr>
    </w:p>
    <w:p w:rsidR="00361AA8" w:rsidRDefault="00361AA8" w:rsidP="00A327CA">
      <w:pPr>
        <w:numPr>
          <w:ilvl w:val="0"/>
          <w:numId w:val="72"/>
        </w:numPr>
        <w:tabs>
          <w:tab w:val="left" w:pos="0"/>
        </w:tabs>
        <w:ind w:left="0" w:right="-90" w:firstLine="0"/>
        <w:jc w:val="both"/>
        <w:rPr>
          <w:rFonts w:ascii="Verdana" w:hAnsi="Verdana"/>
          <w:sz w:val="20"/>
          <w:szCs w:val="20"/>
          <w:lang w:val="es-ES_tradnl"/>
        </w:rPr>
      </w:pPr>
      <w:r w:rsidRPr="00AA5A73">
        <w:rPr>
          <w:rFonts w:ascii="Verdana" w:hAnsi="Verdana"/>
          <w:sz w:val="20"/>
          <w:szCs w:val="20"/>
          <w:lang w:val="es-ES_tradnl"/>
        </w:rPr>
        <w:t>Por otra parte,</w:t>
      </w:r>
      <w:r w:rsidRPr="00AA5A73">
        <w:rPr>
          <w:rFonts w:ascii="Verdana" w:hAnsi="Verdana"/>
          <w:b/>
          <w:sz w:val="20"/>
          <w:szCs w:val="20"/>
          <w:lang w:val="es-ES_tradnl"/>
        </w:rPr>
        <w:t xml:space="preserve"> </w:t>
      </w:r>
      <w:r w:rsidRPr="00AA5A73">
        <w:rPr>
          <w:rFonts w:ascii="Verdana" w:hAnsi="Verdana"/>
          <w:sz w:val="20"/>
          <w:szCs w:val="20"/>
          <w:lang w:val="es-ES_tradnl"/>
        </w:rPr>
        <w:t>en</w:t>
      </w:r>
      <w:r w:rsidR="0002542C">
        <w:rPr>
          <w:rFonts w:ascii="Verdana" w:hAnsi="Verdana"/>
          <w:sz w:val="20"/>
          <w:szCs w:val="20"/>
          <w:lang w:val="es-ES_tradnl"/>
        </w:rPr>
        <w:t xml:space="preserve"> cuanto a la </w:t>
      </w:r>
      <w:r w:rsidR="0002542C" w:rsidRPr="0002542C">
        <w:rPr>
          <w:rFonts w:ascii="Verdana" w:hAnsi="Verdana"/>
          <w:sz w:val="20"/>
          <w:szCs w:val="20"/>
          <w:lang w:val="es-ES_tradnl"/>
        </w:rPr>
        <w:t>vinculación con autoridades policiales,</w:t>
      </w:r>
      <w:r w:rsidR="0002542C">
        <w:rPr>
          <w:rFonts w:ascii="Verdana" w:hAnsi="Verdana"/>
          <w:sz w:val="20"/>
          <w:szCs w:val="20"/>
          <w:lang w:val="es-ES_tradnl"/>
        </w:rPr>
        <w:t xml:space="preserve"> en</w:t>
      </w:r>
      <w:r w:rsidRPr="00AA5A73">
        <w:rPr>
          <w:rFonts w:ascii="Verdana" w:hAnsi="Verdana"/>
          <w:sz w:val="20"/>
          <w:szCs w:val="20"/>
          <w:lang w:val="es-ES_tradnl"/>
        </w:rPr>
        <w:t xml:space="preserve"> sus observaciones de 2</w:t>
      </w:r>
      <w:r w:rsidR="00B94D7D" w:rsidRPr="00AA5A73">
        <w:rPr>
          <w:rFonts w:ascii="Verdana" w:hAnsi="Verdana"/>
          <w:sz w:val="20"/>
          <w:szCs w:val="20"/>
          <w:lang w:val="es-ES_tradnl"/>
        </w:rPr>
        <w:t>2</w:t>
      </w:r>
      <w:r w:rsidRPr="00AA5A73">
        <w:rPr>
          <w:rFonts w:ascii="Verdana" w:hAnsi="Verdana"/>
          <w:sz w:val="20"/>
          <w:szCs w:val="20"/>
          <w:lang w:val="es-ES_tradnl"/>
        </w:rPr>
        <w:t xml:space="preserve"> de abril de 2015</w:t>
      </w:r>
      <w:r w:rsidR="00E001CE" w:rsidRPr="00AA5A73">
        <w:rPr>
          <w:rFonts w:ascii="Verdana" w:hAnsi="Verdana"/>
          <w:sz w:val="20"/>
          <w:szCs w:val="20"/>
          <w:lang w:val="es-ES_tradnl"/>
        </w:rPr>
        <w:t>,</w:t>
      </w:r>
      <w:r w:rsidRPr="00AA5A73">
        <w:rPr>
          <w:rFonts w:ascii="Verdana" w:hAnsi="Verdana"/>
          <w:sz w:val="20"/>
          <w:szCs w:val="20"/>
          <w:lang w:val="es-ES_tradnl"/>
        </w:rPr>
        <w:t xml:space="preserve"> las</w:t>
      </w:r>
      <w:r w:rsidRPr="00AA5A73">
        <w:rPr>
          <w:rFonts w:ascii="Verdana" w:hAnsi="Verdana"/>
          <w:b/>
          <w:sz w:val="20"/>
          <w:szCs w:val="20"/>
          <w:lang w:val="es-ES_tradnl"/>
        </w:rPr>
        <w:t xml:space="preserve"> </w:t>
      </w:r>
      <w:r w:rsidRPr="00AA5A73">
        <w:rPr>
          <w:rFonts w:ascii="Verdana" w:hAnsi="Verdana"/>
          <w:sz w:val="20"/>
          <w:szCs w:val="20"/>
          <w:lang w:val="es-ES_tradnl"/>
        </w:rPr>
        <w:t xml:space="preserve">representantes informaron que el oficial de enlace no se reunía de manera periódica con las beneficiarias. En este sentido, manifestaron que la señora Mery Naranjo informó que más o menos cada 2 meses llegaban dos policías motorizados a su casa, le entregaban una hoja que contenía información sobre medidas de autoprotección para que ella lo firmara y se lo volvían a llevar. El </w:t>
      </w:r>
      <w:r w:rsidR="00EB3CE8" w:rsidRPr="00AA5A73">
        <w:rPr>
          <w:rFonts w:ascii="Verdana" w:hAnsi="Verdana"/>
          <w:sz w:val="20"/>
          <w:szCs w:val="20"/>
          <w:lang w:val="es-ES_tradnl"/>
        </w:rPr>
        <w:t>25 de mayo de 2015</w:t>
      </w:r>
      <w:r w:rsidRPr="00AA5A73">
        <w:rPr>
          <w:rFonts w:ascii="Verdana" w:hAnsi="Verdana"/>
          <w:sz w:val="20"/>
          <w:szCs w:val="20"/>
          <w:lang w:val="es-ES_tradnl"/>
        </w:rPr>
        <w:t xml:space="preserve"> las representantes afirmaron que el oficial de enlace no es conocido por las beneficiarias, ni tienen su número de teléfono, ni las ha visitado, ni se reúne con ellas. Asimismo, agregaron los problemas que se presentan con algunos de los agentes, que persisten en hacer comentarios negativos, especialmente contra la señora Mosquera y sus hijos (</w:t>
      </w:r>
      <w:r w:rsidRPr="00AA5A73">
        <w:rPr>
          <w:rFonts w:ascii="Verdana" w:hAnsi="Verdana"/>
          <w:i/>
          <w:sz w:val="20"/>
          <w:szCs w:val="20"/>
          <w:lang w:val="es-ES_tradnl"/>
        </w:rPr>
        <w:t>infra</w:t>
      </w:r>
      <w:r w:rsidRPr="00AA5A73">
        <w:rPr>
          <w:rFonts w:ascii="Verdana" w:hAnsi="Verdana"/>
          <w:sz w:val="20"/>
          <w:szCs w:val="20"/>
          <w:lang w:val="es-ES_tradnl"/>
        </w:rPr>
        <w:t xml:space="preserve"> considerando </w:t>
      </w:r>
      <w:r w:rsidR="00C10568" w:rsidRPr="00AA5A73">
        <w:rPr>
          <w:rFonts w:ascii="Verdana" w:hAnsi="Verdana"/>
          <w:sz w:val="20"/>
          <w:szCs w:val="20"/>
          <w:lang w:val="es-ES_tradnl"/>
        </w:rPr>
        <w:t>54</w:t>
      </w:r>
      <w:r w:rsidRPr="00AA5A73">
        <w:rPr>
          <w:rFonts w:ascii="Verdana" w:hAnsi="Verdana"/>
          <w:sz w:val="20"/>
          <w:szCs w:val="20"/>
          <w:lang w:val="es-ES_tradnl"/>
        </w:rPr>
        <w:t xml:space="preserve">). </w:t>
      </w:r>
    </w:p>
    <w:p w:rsidR="00A327CA" w:rsidRPr="00AA5A73" w:rsidRDefault="00A327CA" w:rsidP="00A327CA">
      <w:pPr>
        <w:tabs>
          <w:tab w:val="left" w:pos="0"/>
        </w:tabs>
        <w:ind w:right="-90"/>
        <w:jc w:val="both"/>
        <w:rPr>
          <w:rFonts w:ascii="Verdana" w:hAnsi="Verdana"/>
          <w:sz w:val="20"/>
          <w:szCs w:val="20"/>
          <w:lang w:val="es-ES_tradnl"/>
        </w:rPr>
      </w:pPr>
    </w:p>
    <w:p w:rsidR="00361AA8" w:rsidRPr="00CA5ACF" w:rsidRDefault="00836F1C" w:rsidP="00E50988">
      <w:pPr>
        <w:numPr>
          <w:ilvl w:val="0"/>
          <w:numId w:val="72"/>
        </w:numPr>
        <w:tabs>
          <w:tab w:val="left" w:pos="0"/>
        </w:tabs>
        <w:ind w:left="0" w:right="-90" w:firstLine="0"/>
        <w:jc w:val="both"/>
        <w:rPr>
          <w:rFonts w:ascii="Verdana" w:hAnsi="Verdana"/>
          <w:sz w:val="20"/>
          <w:szCs w:val="20"/>
          <w:lang w:val="es-ES_tradnl"/>
        </w:rPr>
      </w:pPr>
      <w:r>
        <w:rPr>
          <w:rFonts w:ascii="Verdana" w:hAnsi="Verdana"/>
          <w:sz w:val="20"/>
          <w:szCs w:val="20"/>
          <w:lang w:val="es-ES_tradnl"/>
        </w:rPr>
        <w:t>E</w:t>
      </w:r>
      <w:r w:rsidR="00361AA8" w:rsidRPr="00BE210A">
        <w:rPr>
          <w:rFonts w:ascii="Verdana" w:hAnsi="Verdana"/>
          <w:sz w:val="20"/>
          <w:szCs w:val="20"/>
          <w:lang w:val="es-ES_tradnl"/>
        </w:rPr>
        <w:t xml:space="preserve">n sus observaciones de 12 de mayo y 17 de junio de 2015, </w:t>
      </w:r>
      <w:r w:rsidR="00361AA8">
        <w:rPr>
          <w:rFonts w:ascii="Verdana" w:hAnsi="Verdana"/>
          <w:sz w:val="20"/>
          <w:szCs w:val="20"/>
          <w:lang w:val="es-ES_tradnl"/>
        </w:rPr>
        <w:t xml:space="preserve">la </w:t>
      </w:r>
      <w:r w:rsidR="00361AA8" w:rsidRPr="0017362E">
        <w:rPr>
          <w:rFonts w:ascii="Verdana" w:hAnsi="Verdana"/>
          <w:b/>
          <w:i/>
          <w:sz w:val="20"/>
          <w:szCs w:val="20"/>
          <w:lang w:val="es-ES_tradnl"/>
        </w:rPr>
        <w:t>Comisión</w:t>
      </w:r>
      <w:r w:rsidR="00361AA8">
        <w:rPr>
          <w:rFonts w:ascii="Verdana" w:hAnsi="Verdana"/>
          <w:sz w:val="20"/>
          <w:szCs w:val="20"/>
          <w:lang w:val="es-ES_tradnl"/>
        </w:rPr>
        <w:t xml:space="preserve"> </w:t>
      </w:r>
      <w:r w:rsidR="00361AA8" w:rsidRPr="00BE210A">
        <w:rPr>
          <w:rFonts w:ascii="Verdana" w:hAnsi="Verdana"/>
          <w:sz w:val="20"/>
          <w:szCs w:val="20"/>
          <w:lang w:val="es-ES_tradnl"/>
        </w:rPr>
        <w:t xml:space="preserve">indicó que los informes del Estado no </w:t>
      </w:r>
      <w:r w:rsidR="00361AA8" w:rsidRPr="0002542C">
        <w:rPr>
          <w:rFonts w:ascii="Verdana" w:hAnsi="Verdana"/>
          <w:sz w:val="20"/>
          <w:szCs w:val="20"/>
          <w:lang w:val="es-ES_tradnl"/>
        </w:rPr>
        <w:t>permitían</w:t>
      </w:r>
      <w:r w:rsidR="00361AA8" w:rsidRPr="00BE210A">
        <w:rPr>
          <w:rFonts w:ascii="Verdana" w:hAnsi="Verdana"/>
          <w:sz w:val="20"/>
          <w:szCs w:val="20"/>
          <w:lang w:val="es-ES_tradnl"/>
        </w:rPr>
        <w:t xml:space="preserve"> acreditar que efectivamente las revistas y </w:t>
      </w:r>
      <w:r w:rsidR="00361AA8" w:rsidRPr="0002542C">
        <w:rPr>
          <w:rFonts w:ascii="Verdana" w:hAnsi="Verdana"/>
          <w:sz w:val="20"/>
          <w:szCs w:val="20"/>
          <w:lang w:val="es-ES_tradnl"/>
        </w:rPr>
        <w:t>patrullajes</w:t>
      </w:r>
      <w:r w:rsidR="00361AA8" w:rsidRPr="00BE210A">
        <w:rPr>
          <w:rFonts w:ascii="Verdana" w:hAnsi="Verdana"/>
          <w:sz w:val="20"/>
          <w:szCs w:val="20"/>
          <w:lang w:val="es-ES_tradnl"/>
        </w:rPr>
        <w:t xml:space="preserve"> efectivamente se est</w:t>
      </w:r>
      <w:r w:rsidR="00361AA8">
        <w:rPr>
          <w:rFonts w:ascii="Verdana" w:hAnsi="Verdana"/>
          <w:sz w:val="20"/>
          <w:szCs w:val="20"/>
          <w:lang w:val="es-ES_tradnl"/>
        </w:rPr>
        <w:t>uvieran</w:t>
      </w:r>
      <w:r w:rsidR="00361AA8" w:rsidRPr="00BE210A">
        <w:rPr>
          <w:rFonts w:ascii="Verdana" w:hAnsi="Verdana"/>
          <w:sz w:val="20"/>
          <w:szCs w:val="20"/>
          <w:lang w:val="es-ES_tradnl"/>
        </w:rPr>
        <w:t xml:space="preserve"> realizando.</w:t>
      </w:r>
      <w:r w:rsidR="00290B08">
        <w:rPr>
          <w:rFonts w:ascii="Verdana" w:hAnsi="Verdana"/>
          <w:b/>
          <w:sz w:val="16"/>
          <w:szCs w:val="16"/>
          <w:lang w:val="es-ES_tradnl"/>
        </w:rPr>
        <w:t xml:space="preserve"> </w:t>
      </w:r>
      <w:r w:rsidR="00290B08">
        <w:rPr>
          <w:rFonts w:ascii="Verdana" w:hAnsi="Verdana"/>
          <w:sz w:val="20"/>
          <w:szCs w:val="20"/>
          <w:lang w:val="es-ES_tradnl"/>
        </w:rPr>
        <w:t>E</w:t>
      </w:r>
      <w:r w:rsidR="00290B08" w:rsidRPr="00290B08">
        <w:rPr>
          <w:rFonts w:ascii="Verdana" w:hAnsi="Verdana"/>
          <w:sz w:val="20"/>
          <w:szCs w:val="20"/>
          <w:lang w:val="es-ES_tradnl"/>
        </w:rPr>
        <w:t xml:space="preserve">l 19 de agosto de 2016 expresó su preocupación de que la intención de retirar el puesto fijo de vigilancia tuviera vinculación con una estigmatización de las beneficiarias como supuestas “guerrilleras”. </w:t>
      </w:r>
    </w:p>
    <w:p w:rsidR="00B87639" w:rsidRPr="00BE210A" w:rsidRDefault="00B87639" w:rsidP="00946A31">
      <w:pPr>
        <w:pStyle w:val="FootnoteText"/>
        <w:suppressAutoHyphens/>
        <w:ind w:right="-90"/>
        <w:rPr>
          <w:b/>
          <w:sz w:val="20"/>
          <w:lang w:val="es-ES"/>
        </w:rPr>
      </w:pPr>
    </w:p>
    <w:p w:rsidR="00946A31" w:rsidRPr="00BE210A" w:rsidRDefault="00574128" w:rsidP="004C4953">
      <w:pPr>
        <w:pStyle w:val="Heading2"/>
        <w:spacing w:before="0"/>
        <w:ind w:left="567" w:right="-90"/>
        <w:jc w:val="both"/>
        <w:rPr>
          <w:rFonts w:ascii="Verdana" w:hAnsi="Verdana"/>
          <w:i/>
          <w:sz w:val="20"/>
          <w:szCs w:val="20"/>
          <w:u w:val="single"/>
          <w:lang w:val="es-ES_tradnl"/>
        </w:rPr>
      </w:pPr>
      <w:r>
        <w:rPr>
          <w:rFonts w:ascii="Verdana" w:hAnsi="Verdana"/>
          <w:b w:val="0"/>
          <w:i/>
          <w:color w:val="auto"/>
          <w:sz w:val="20"/>
          <w:szCs w:val="20"/>
          <w:u w:val="single"/>
          <w:lang w:val="es-ES_tradnl"/>
        </w:rPr>
        <w:t xml:space="preserve">B.2. </w:t>
      </w:r>
      <w:r w:rsidR="009D6F9E">
        <w:rPr>
          <w:rFonts w:ascii="Verdana" w:hAnsi="Verdana"/>
          <w:b w:val="0"/>
          <w:i/>
          <w:color w:val="auto"/>
          <w:sz w:val="20"/>
          <w:szCs w:val="20"/>
          <w:u w:val="single"/>
          <w:lang w:val="es-ES_tradnl"/>
        </w:rPr>
        <w:t>Otras medidas</w:t>
      </w:r>
    </w:p>
    <w:p w:rsidR="00946A31" w:rsidRPr="00BE210A" w:rsidRDefault="00946A31" w:rsidP="00946A31">
      <w:pPr>
        <w:ind w:right="-90"/>
        <w:rPr>
          <w:rFonts w:ascii="Verdana" w:hAnsi="Verdana"/>
          <w:sz w:val="20"/>
          <w:szCs w:val="20"/>
          <w:lang w:val="es-ES_tradnl"/>
        </w:rPr>
      </w:pPr>
    </w:p>
    <w:p w:rsidR="009D6F9E" w:rsidRPr="00E50988" w:rsidRDefault="009D6F9E" w:rsidP="00E50988">
      <w:pPr>
        <w:numPr>
          <w:ilvl w:val="0"/>
          <w:numId w:val="72"/>
        </w:numPr>
        <w:tabs>
          <w:tab w:val="left" w:pos="0"/>
        </w:tabs>
        <w:ind w:left="0" w:right="-90" w:firstLine="0"/>
        <w:jc w:val="both"/>
        <w:rPr>
          <w:rFonts w:ascii="Verdana" w:hAnsi="Verdana"/>
          <w:sz w:val="20"/>
          <w:szCs w:val="20"/>
          <w:lang w:val="es-ES_tradnl"/>
        </w:rPr>
      </w:pPr>
      <w:r>
        <w:rPr>
          <w:rFonts w:ascii="Verdana" w:hAnsi="Verdana"/>
          <w:i/>
          <w:sz w:val="20"/>
          <w:szCs w:val="20"/>
          <w:lang w:val="es-ES_tradnl"/>
        </w:rPr>
        <w:t xml:space="preserve">Seguridad en la sede de la AMI.- </w:t>
      </w:r>
      <w:r w:rsidR="00946A31" w:rsidRPr="00BE210A">
        <w:rPr>
          <w:rFonts w:ascii="Verdana" w:hAnsi="Verdana"/>
          <w:sz w:val="20"/>
          <w:szCs w:val="20"/>
          <w:lang w:val="es-ES_tradnl"/>
        </w:rPr>
        <w:t xml:space="preserve">En su informe de 12 de octubre de 2011 el </w:t>
      </w:r>
      <w:r w:rsidR="00946A31" w:rsidRPr="00BE210A">
        <w:rPr>
          <w:rFonts w:ascii="Verdana" w:hAnsi="Verdana"/>
          <w:b/>
          <w:i/>
          <w:sz w:val="20"/>
          <w:szCs w:val="20"/>
          <w:lang w:val="es-ES_tradnl"/>
        </w:rPr>
        <w:t>Estado</w:t>
      </w:r>
      <w:r w:rsidR="00946A31" w:rsidRPr="00BE210A">
        <w:rPr>
          <w:rFonts w:ascii="Verdana" w:hAnsi="Verdana"/>
          <w:sz w:val="20"/>
          <w:szCs w:val="20"/>
          <w:lang w:val="es-ES_tradnl"/>
        </w:rPr>
        <w:t xml:space="preserve"> informó que el Ministerio del Interior y de Justicia e</w:t>
      </w:r>
      <w:r>
        <w:rPr>
          <w:rFonts w:ascii="Verdana" w:hAnsi="Verdana"/>
          <w:sz w:val="20"/>
          <w:szCs w:val="20"/>
          <w:lang w:val="es-ES_tradnl"/>
        </w:rPr>
        <w:t>staba</w:t>
      </w:r>
      <w:r w:rsidR="00946A31" w:rsidRPr="00BE210A">
        <w:rPr>
          <w:rFonts w:ascii="Verdana" w:hAnsi="Verdana"/>
          <w:sz w:val="20"/>
          <w:szCs w:val="20"/>
          <w:lang w:val="es-ES_tradnl"/>
        </w:rPr>
        <w:t xml:space="preserve"> encargado de la ejecución de </w:t>
      </w:r>
      <w:r>
        <w:rPr>
          <w:rFonts w:ascii="Verdana" w:hAnsi="Verdana"/>
          <w:sz w:val="20"/>
          <w:szCs w:val="20"/>
          <w:lang w:val="es-ES_tradnl"/>
        </w:rPr>
        <w:t xml:space="preserve">medidas de protección en la sede de </w:t>
      </w:r>
      <w:r w:rsidR="00A80591" w:rsidRPr="006931EB">
        <w:rPr>
          <w:rFonts w:ascii="Verdana" w:hAnsi="Verdana"/>
          <w:sz w:val="20"/>
          <w:szCs w:val="20"/>
          <w:lang w:val="es-ES_tradnl"/>
        </w:rPr>
        <w:t>“Amigas Mujeres de la Independencia” (AMI)</w:t>
      </w:r>
      <w:r w:rsidRPr="006931EB">
        <w:rPr>
          <w:rFonts w:ascii="Verdana" w:hAnsi="Verdana"/>
          <w:sz w:val="20"/>
          <w:szCs w:val="20"/>
          <w:lang w:val="es-ES_tradnl"/>
        </w:rPr>
        <w:t xml:space="preserve">, </w:t>
      </w:r>
      <w:r w:rsidRPr="00A80591">
        <w:rPr>
          <w:rFonts w:ascii="Verdana" w:hAnsi="Verdana"/>
          <w:sz w:val="20"/>
          <w:szCs w:val="20"/>
          <w:lang w:val="es-ES_tradnl"/>
        </w:rPr>
        <w:t>entidad a la cual están vinculadas las señoras Naranjo y Mosquera,</w:t>
      </w:r>
      <w:r>
        <w:rPr>
          <w:rFonts w:ascii="Verdana" w:hAnsi="Verdana"/>
          <w:sz w:val="20"/>
          <w:szCs w:val="20"/>
          <w:lang w:val="es-ES_tradnl"/>
        </w:rPr>
        <w:t xml:space="preserve"> y que se había </w:t>
      </w:r>
      <w:r w:rsidR="00946A31" w:rsidRPr="00BE210A">
        <w:rPr>
          <w:rFonts w:ascii="Verdana" w:hAnsi="Verdana"/>
          <w:sz w:val="20"/>
          <w:szCs w:val="20"/>
          <w:lang w:val="es-ES_tradnl"/>
        </w:rPr>
        <w:t>solicit</w:t>
      </w:r>
      <w:r>
        <w:rPr>
          <w:rFonts w:ascii="Verdana" w:hAnsi="Verdana"/>
          <w:sz w:val="20"/>
          <w:szCs w:val="20"/>
          <w:lang w:val="es-ES_tradnl"/>
        </w:rPr>
        <w:t>ado</w:t>
      </w:r>
      <w:r w:rsidR="00946A31" w:rsidRPr="00BE210A">
        <w:rPr>
          <w:rFonts w:ascii="Verdana" w:hAnsi="Verdana"/>
          <w:sz w:val="20"/>
          <w:szCs w:val="20"/>
          <w:lang w:val="es-ES_tradnl"/>
        </w:rPr>
        <w:t xml:space="preserve"> a la Policía Nacional la realización de</w:t>
      </w:r>
      <w:r>
        <w:rPr>
          <w:rFonts w:ascii="Verdana" w:hAnsi="Verdana"/>
          <w:sz w:val="20"/>
          <w:szCs w:val="20"/>
          <w:lang w:val="es-ES_tradnl"/>
        </w:rPr>
        <w:t xml:space="preserve"> un estudio</w:t>
      </w:r>
      <w:r w:rsidR="00946A31" w:rsidRPr="00BE210A">
        <w:rPr>
          <w:rFonts w:ascii="Verdana" w:hAnsi="Verdana"/>
          <w:sz w:val="20"/>
          <w:szCs w:val="20"/>
          <w:lang w:val="es-ES_tradnl"/>
        </w:rPr>
        <w:t xml:space="preserve"> de seguridad</w:t>
      </w:r>
      <w:r>
        <w:rPr>
          <w:rFonts w:ascii="Verdana" w:hAnsi="Verdana"/>
          <w:sz w:val="20"/>
          <w:szCs w:val="20"/>
          <w:lang w:val="es-ES_tradnl"/>
        </w:rPr>
        <w:t xml:space="preserve"> a efectos de su implementación</w:t>
      </w:r>
      <w:r w:rsidR="00946A31" w:rsidRPr="00BE210A">
        <w:rPr>
          <w:rFonts w:ascii="Verdana" w:hAnsi="Verdana"/>
          <w:sz w:val="20"/>
          <w:szCs w:val="20"/>
          <w:lang w:val="es-ES_tradnl"/>
        </w:rPr>
        <w:t xml:space="preserve">. </w:t>
      </w:r>
      <w:r w:rsidRPr="00E50988">
        <w:rPr>
          <w:rFonts w:ascii="Verdana" w:hAnsi="Verdana"/>
          <w:sz w:val="20"/>
          <w:szCs w:val="20"/>
          <w:lang w:val="es-ES_tradnl"/>
        </w:rPr>
        <w:t>Luego, e</w:t>
      </w:r>
      <w:r w:rsidR="00946A31" w:rsidRPr="00E50988">
        <w:rPr>
          <w:rFonts w:ascii="Verdana" w:hAnsi="Verdana"/>
          <w:sz w:val="20"/>
          <w:szCs w:val="20"/>
          <w:lang w:val="es-ES_tradnl"/>
        </w:rPr>
        <w:t xml:space="preserve">n sus informes de 16 de octubre y de 12 de diciembre de 2012 el Estado informó que la UNP se encontraba realizando un estudio de seguridad sobre la posibilidad de establecer medidas de seguridad a la sede de la AMI. En su informe de 27 de febrero de 2014 el Estado indicó que </w:t>
      </w:r>
      <w:r w:rsidRPr="00E50988">
        <w:rPr>
          <w:rFonts w:ascii="Verdana" w:hAnsi="Verdana"/>
          <w:sz w:val="20"/>
          <w:szCs w:val="20"/>
          <w:lang w:val="es-ES_tradnl"/>
        </w:rPr>
        <w:t>d</w:t>
      </w:r>
      <w:r w:rsidR="00582E3A">
        <w:rPr>
          <w:rFonts w:ascii="Verdana" w:hAnsi="Verdana"/>
          <w:sz w:val="20"/>
          <w:szCs w:val="20"/>
          <w:lang w:val="es-ES_tradnl"/>
        </w:rPr>
        <w:t>icho estudio se había efectuado</w:t>
      </w:r>
      <w:r w:rsidR="00946A31" w:rsidRPr="00E50988">
        <w:rPr>
          <w:rFonts w:ascii="Verdana" w:hAnsi="Verdana"/>
          <w:sz w:val="16"/>
          <w:szCs w:val="16"/>
          <w:lang w:val="es-ES_tradnl"/>
        </w:rPr>
        <w:t>.</w:t>
      </w:r>
      <w:r w:rsidR="00946A31" w:rsidRPr="00E50988">
        <w:rPr>
          <w:rFonts w:ascii="Verdana" w:hAnsi="Verdana"/>
          <w:sz w:val="20"/>
          <w:szCs w:val="20"/>
          <w:lang w:val="es-ES_tradnl"/>
        </w:rPr>
        <w:t xml:space="preserve"> Sin embargo, </w:t>
      </w:r>
      <w:r w:rsidRPr="00E50988">
        <w:rPr>
          <w:rFonts w:ascii="Verdana" w:hAnsi="Verdana"/>
          <w:sz w:val="20"/>
          <w:szCs w:val="20"/>
          <w:lang w:val="es-ES_tradnl"/>
        </w:rPr>
        <w:t xml:space="preserve">el </w:t>
      </w:r>
      <w:r w:rsidR="00946A31" w:rsidRPr="00E50988">
        <w:rPr>
          <w:rFonts w:ascii="Verdana" w:hAnsi="Verdana"/>
          <w:sz w:val="20"/>
          <w:szCs w:val="20"/>
          <w:lang w:val="es-ES_tradnl"/>
        </w:rPr>
        <w:t>1</w:t>
      </w:r>
      <w:r w:rsidR="00B94D7D">
        <w:rPr>
          <w:rFonts w:ascii="Verdana" w:hAnsi="Verdana"/>
          <w:sz w:val="20"/>
          <w:szCs w:val="20"/>
          <w:lang w:val="es-ES_tradnl"/>
        </w:rPr>
        <w:t>1</w:t>
      </w:r>
      <w:r w:rsidR="00946A31" w:rsidRPr="00E50988">
        <w:rPr>
          <w:rFonts w:ascii="Verdana" w:hAnsi="Verdana"/>
          <w:sz w:val="20"/>
          <w:szCs w:val="20"/>
          <w:lang w:val="es-ES_tradnl"/>
        </w:rPr>
        <w:t xml:space="preserve"> de junio de 2015 el Estado </w:t>
      </w:r>
      <w:r w:rsidRPr="00E50988">
        <w:rPr>
          <w:rFonts w:ascii="Verdana" w:hAnsi="Verdana"/>
          <w:sz w:val="20"/>
          <w:szCs w:val="20"/>
          <w:lang w:val="es-ES_tradnl"/>
        </w:rPr>
        <w:t>expresó que</w:t>
      </w:r>
      <w:r w:rsidR="00946A31" w:rsidRPr="00E50988">
        <w:rPr>
          <w:rFonts w:ascii="Verdana" w:hAnsi="Verdana"/>
          <w:sz w:val="20"/>
          <w:szCs w:val="20"/>
          <w:lang w:val="es-ES_tradnl"/>
        </w:rPr>
        <w:t xml:space="preserve"> la solicitud de realización del estudio técnico de riesgo sobre la sede de la AMI “fue remitida al área competente con el fin que se responda de fondo a la misma”</w:t>
      </w:r>
      <w:r w:rsidR="00946A31" w:rsidRPr="00EC120F">
        <w:rPr>
          <w:rFonts w:ascii="Verdana" w:hAnsi="Verdana"/>
          <w:sz w:val="20"/>
          <w:szCs w:val="20"/>
          <w:lang w:val="es-ES_tradnl"/>
        </w:rPr>
        <w:t>.</w:t>
      </w:r>
      <w:r w:rsidR="00946A31" w:rsidRPr="00E50988">
        <w:rPr>
          <w:rFonts w:ascii="Verdana" w:hAnsi="Verdana"/>
          <w:b/>
          <w:sz w:val="20"/>
          <w:szCs w:val="20"/>
          <w:lang w:val="es-ES_tradnl"/>
        </w:rPr>
        <w:t xml:space="preserve"> </w:t>
      </w:r>
      <w:r w:rsidR="00946A31" w:rsidRPr="00582E3A">
        <w:rPr>
          <w:rFonts w:ascii="Verdana" w:hAnsi="Verdana"/>
          <w:sz w:val="20"/>
          <w:szCs w:val="20"/>
          <w:lang w:val="es-ES_tradnl"/>
        </w:rPr>
        <w:t>Esta fue la última vez que el Estado informó acerca de los avances en esta medida.</w:t>
      </w:r>
      <w:r w:rsidR="00946A31" w:rsidRPr="00E50988">
        <w:rPr>
          <w:rFonts w:ascii="Verdana" w:hAnsi="Verdana"/>
          <w:b/>
          <w:sz w:val="20"/>
          <w:szCs w:val="20"/>
          <w:highlight w:val="yellow"/>
          <w:lang w:val="es-ES_tradnl"/>
        </w:rPr>
        <w:t xml:space="preserve"> </w:t>
      </w:r>
    </w:p>
    <w:p w:rsidR="009D6F9E" w:rsidRDefault="009D6F9E" w:rsidP="00E50988">
      <w:pPr>
        <w:tabs>
          <w:tab w:val="left" w:pos="0"/>
        </w:tabs>
        <w:ind w:right="-90"/>
        <w:jc w:val="both"/>
        <w:rPr>
          <w:rFonts w:ascii="Verdana" w:hAnsi="Verdana"/>
          <w:sz w:val="20"/>
          <w:szCs w:val="20"/>
          <w:lang w:val="es-ES_tradnl"/>
        </w:rPr>
      </w:pPr>
    </w:p>
    <w:p w:rsidR="009D6F9E" w:rsidRPr="00E50988" w:rsidRDefault="009D6F9E" w:rsidP="00E50988">
      <w:pPr>
        <w:numPr>
          <w:ilvl w:val="0"/>
          <w:numId w:val="72"/>
        </w:numPr>
        <w:tabs>
          <w:tab w:val="left" w:pos="0"/>
        </w:tabs>
        <w:ind w:left="0" w:right="-90" w:firstLine="0"/>
        <w:jc w:val="both"/>
        <w:rPr>
          <w:rFonts w:ascii="Verdana" w:hAnsi="Verdana"/>
          <w:sz w:val="20"/>
          <w:szCs w:val="20"/>
          <w:lang w:val="es-ES_tradnl"/>
        </w:rPr>
      </w:pPr>
      <w:r>
        <w:rPr>
          <w:rFonts w:ascii="Verdana" w:hAnsi="Verdana"/>
          <w:i/>
          <w:sz w:val="20"/>
          <w:szCs w:val="20"/>
          <w:lang w:val="es-ES_tradnl"/>
        </w:rPr>
        <w:t xml:space="preserve">“Frente de seguridad local”.- </w:t>
      </w:r>
      <w:r w:rsidRPr="00E50988">
        <w:rPr>
          <w:rFonts w:ascii="Verdana" w:hAnsi="Verdana"/>
          <w:sz w:val="20"/>
          <w:szCs w:val="20"/>
          <w:lang w:val="es-ES_tradnl"/>
        </w:rPr>
        <w:t xml:space="preserve">Por otro lado, el 18 de mayo de 2017 el Estado informó que el 18 de abril del mismo año “se inauguró el frente de seguridad local, con el fin de fortalecer la convivencia y seguridad ciudadana en el sector de residencia de la señora Naranjo”. Colombia no brindó mayores detalles sobre la medida, ni aclaró si se relacionaba directamente a las beneficiarias o si era una medida común a toda la población de “sector de residencia” aludido. </w:t>
      </w:r>
    </w:p>
    <w:p w:rsidR="009D6F9E" w:rsidRPr="00BE210A" w:rsidRDefault="009D6F9E" w:rsidP="00A04D4D">
      <w:pPr>
        <w:tabs>
          <w:tab w:val="left" w:pos="0"/>
        </w:tabs>
        <w:ind w:right="-90"/>
        <w:jc w:val="both"/>
        <w:rPr>
          <w:rFonts w:ascii="Verdana" w:hAnsi="Verdana"/>
          <w:sz w:val="20"/>
          <w:szCs w:val="20"/>
          <w:highlight w:val="red"/>
          <w:lang w:val="es-ES_tradnl"/>
        </w:rPr>
      </w:pPr>
    </w:p>
    <w:p w:rsidR="00946A31" w:rsidRPr="00BE210A" w:rsidRDefault="00946A31" w:rsidP="00E50988">
      <w:pPr>
        <w:pStyle w:val="FootnoteText"/>
        <w:numPr>
          <w:ilvl w:val="0"/>
          <w:numId w:val="72"/>
        </w:numPr>
        <w:tabs>
          <w:tab w:val="left" w:pos="0"/>
        </w:tabs>
        <w:ind w:left="0" w:right="-90" w:firstLine="0"/>
        <w:rPr>
          <w:b/>
          <w:sz w:val="20"/>
          <w:lang w:val="es-CR"/>
        </w:rPr>
      </w:pPr>
      <w:r w:rsidRPr="00BE210A">
        <w:rPr>
          <w:sz w:val="20"/>
          <w:lang w:val="es-ES_tradnl"/>
        </w:rPr>
        <w:t>En relación</w:t>
      </w:r>
      <w:r w:rsidR="00C30221">
        <w:rPr>
          <w:sz w:val="20"/>
          <w:lang w:val="es-ES_tradnl"/>
        </w:rPr>
        <w:t xml:space="preserve"> con</w:t>
      </w:r>
      <w:r w:rsidRPr="00BE210A">
        <w:rPr>
          <w:sz w:val="20"/>
          <w:lang w:val="es-ES_tradnl"/>
        </w:rPr>
        <w:t xml:space="preserve"> las medidas de seguridad en la sede de AMI, en sus observaciones de 7 de diciembre de 2011 las </w:t>
      </w:r>
      <w:r w:rsidRPr="00BE210A">
        <w:rPr>
          <w:b/>
          <w:i/>
          <w:sz w:val="20"/>
          <w:lang w:val="es-ES_tradnl"/>
        </w:rPr>
        <w:t>representantes</w:t>
      </w:r>
      <w:r w:rsidRPr="00BE210A">
        <w:rPr>
          <w:sz w:val="20"/>
          <w:lang w:val="es-ES_tradnl"/>
        </w:rPr>
        <w:t xml:space="preserve"> informaron que</w:t>
      </w:r>
      <w:r>
        <w:rPr>
          <w:sz w:val="20"/>
          <w:lang w:val="es-ES_tradnl"/>
        </w:rPr>
        <w:t xml:space="preserve"> para esa fecha</w:t>
      </w:r>
      <w:r w:rsidRPr="00BE210A">
        <w:rPr>
          <w:sz w:val="20"/>
          <w:lang w:val="es-ES_tradnl"/>
        </w:rPr>
        <w:t xml:space="preserve"> “no se </w:t>
      </w:r>
      <w:proofErr w:type="gramStart"/>
      <w:r w:rsidRPr="00BE210A">
        <w:rPr>
          <w:sz w:val="20"/>
          <w:lang w:val="es-ES_tradnl"/>
        </w:rPr>
        <w:t>ha</w:t>
      </w:r>
      <w:r>
        <w:rPr>
          <w:sz w:val="20"/>
          <w:lang w:val="es-ES_tradnl"/>
        </w:rPr>
        <w:t>[</w:t>
      </w:r>
      <w:proofErr w:type="spellStart"/>
      <w:proofErr w:type="gramEnd"/>
      <w:r>
        <w:rPr>
          <w:sz w:val="20"/>
          <w:lang w:val="es-ES_tradnl"/>
        </w:rPr>
        <w:t>bía</w:t>
      </w:r>
      <w:proofErr w:type="spellEnd"/>
      <w:r>
        <w:rPr>
          <w:sz w:val="20"/>
          <w:lang w:val="es-ES_tradnl"/>
        </w:rPr>
        <w:t>]</w:t>
      </w:r>
      <w:r w:rsidRPr="00BE210A">
        <w:rPr>
          <w:sz w:val="20"/>
          <w:lang w:val="es-ES_tradnl"/>
        </w:rPr>
        <w:t xml:space="preserve"> realizado el estudio y por tanto no se ha</w:t>
      </w:r>
      <w:r>
        <w:rPr>
          <w:sz w:val="20"/>
          <w:lang w:val="es-ES_tradnl"/>
        </w:rPr>
        <w:t>[</w:t>
      </w:r>
      <w:proofErr w:type="spellStart"/>
      <w:r>
        <w:rPr>
          <w:sz w:val="20"/>
          <w:lang w:val="es-ES_tradnl"/>
        </w:rPr>
        <w:t>bía</w:t>
      </w:r>
      <w:proofErr w:type="spellEnd"/>
      <w:r>
        <w:rPr>
          <w:sz w:val="20"/>
          <w:lang w:val="es-ES_tradnl"/>
        </w:rPr>
        <w:t>]</w:t>
      </w:r>
      <w:r w:rsidRPr="00BE210A">
        <w:rPr>
          <w:sz w:val="20"/>
          <w:lang w:val="es-ES_tradnl"/>
        </w:rPr>
        <w:t xml:space="preserve"> instalado ni adecuado ningún sistema técnico de seguridad” ni tampoco </w:t>
      </w:r>
      <w:r w:rsidRPr="00BE210A">
        <w:rPr>
          <w:sz w:val="20"/>
          <w:lang w:val="es-CR"/>
        </w:rPr>
        <w:t>“[ha</w:t>
      </w:r>
      <w:r>
        <w:rPr>
          <w:sz w:val="20"/>
          <w:lang w:val="es-CR"/>
        </w:rPr>
        <w:t>bía</w:t>
      </w:r>
      <w:r w:rsidRPr="00BE210A">
        <w:rPr>
          <w:sz w:val="20"/>
          <w:lang w:val="es-CR"/>
        </w:rPr>
        <w:t>n] ten[ido] conocimiento de dicha orden, en tanto ni la Policía, ni el Ministerio se ha</w:t>
      </w:r>
      <w:r>
        <w:rPr>
          <w:sz w:val="20"/>
          <w:lang w:val="es-CR"/>
        </w:rPr>
        <w:t>[</w:t>
      </w:r>
      <w:proofErr w:type="spellStart"/>
      <w:r>
        <w:rPr>
          <w:sz w:val="20"/>
          <w:lang w:val="es-CR"/>
        </w:rPr>
        <w:t>bía</w:t>
      </w:r>
      <w:proofErr w:type="spellEnd"/>
      <w:r>
        <w:rPr>
          <w:sz w:val="20"/>
          <w:lang w:val="es-CR"/>
        </w:rPr>
        <w:t>]</w:t>
      </w:r>
      <w:r w:rsidRPr="00BE210A">
        <w:rPr>
          <w:sz w:val="20"/>
          <w:lang w:val="es-CR"/>
        </w:rPr>
        <w:t xml:space="preserve">n contactado con </w:t>
      </w:r>
      <w:r w:rsidRPr="00BE210A">
        <w:rPr>
          <w:sz w:val="20"/>
          <w:lang w:val="es-ES_tradnl"/>
        </w:rPr>
        <w:t>[ellos]</w:t>
      </w:r>
      <w:r w:rsidRPr="00BE210A">
        <w:rPr>
          <w:sz w:val="20"/>
          <w:lang w:val="es-CR"/>
        </w:rPr>
        <w:t>”.</w:t>
      </w:r>
      <w:r w:rsidRPr="00BE210A">
        <w:rPr>
          <w:sz w:val="20"/>
          <w:lang w:val="es-ES_tradnl"/>
        </w:rPr>
        <w:t xml:space="preserve"> </w:t>
      </w:r>
      <w:r w:rsidRPr="00BE210A">
        <w:rPr>
          <w:sz w:val="20"/>
          <w:lang w:val="es-CR"/>
        </w:rPr>
        <w:t xml:space="preserve">Posteriormente, </w:t>
      </w:r>
      <w:r w:rsidRPr="00BE210A">
        <w:rPr>
          <w:sz w:val="20"/>
          <w:lang w:val="es-ES_tradnl"/>
        </w:rPr>
        <w:t>en sus observaciones de 10 de mayo, 12 de septiembre de 2012, 26 de mayo de 2014, 2</w:t>
      </w:r>
      <w:r w:rsidR="00B94D7D">
        <w:rPr>
          <w:sz w:val="20"/>
          <w:lang w:val="es-ES_tradnl"/>
        </w:rPr>
        <w:t>2</w:t>
      </w:r>
      <w:r w:rsidRPr="00BE210A">
        <w:rPr>
          <w:sz w:val="20"/>
          <w:lang w:val="es-ES_tradnl"/>
        </w:rPr>
        <w:t xml:space="preserve"> de abril y 25 de mayo de 2015, reiteraron que no ha</w:t>
      </w:r>
      <w:r>
        <w:rPr>
          <w:sz w:val="20"/>
          <w:lang w:val="es-ES_tradnl"/>
        </w:rPr>
        <w:t>bía</w:t>
      </w:r>
      <w:r w:rsidRPr="00BE210A">
        <w:rPr>
          <w:sz w:val="20"/>
          <w:lang w:val="es-ES_tradnl"/>
        </w:rPr>
        <w:t xml:space="preserve"> realizado el estudio técnico y que el Estado sigue incumpliendo con esta medida respecto de la sede de AMI</w:t>
      </w:r>
      <w:r w:rsidR="003C0F3D">
        <w:rPr>
          <w:sz w:val="20"/>
          <w:lang w:val="es-ES_tradnl"/>
        </w:rPr>
        <w:t>.</w:t>
      </w:r>
      <w:r w:rsidRPr="00BE210A">
        <w:rPr>
          <w:sz w:val="20"/>
          <w:lang w:val="es-ES_tradnl"/>
        </w:rPr>
        <w:t xml:space="preserve"> </w:t>
      </w:r>
    </w:p>
    <w:p w:rsidR="00946A31" w:rsidRPr="00BE210A" w:rsidRDefault="00946A31" w:rsidP="00A04D4D">
      <w:pPr>
        <w:pStyle w:val="FootnoteText"/>
        <w:tabs>
          <w:tab w:val="left" w:pos="0"/>
        </w:tabs>
        <w:ind w:right="-90"/>
        <w:rPr>
          <w:b/>
          <w:sz w:val="20"/>
          <w:lang w:val="es-CR"/>
        </w:rPr>
      </w:pPr>
    </w:p>
    <w:p w:rsidR="00946A31" w:rsidRPr="00BE210A" w:rsidRDefault="00C30221" w:rsidP="00E50988">
      <w:pPr>
        <w:pStyle w:val="FootnoteText"/>
        <w:numPr>
          <w:ilvl w:val="0"/>
          <w:numId w:val="72"/>
        </w:numPr>
        <w:tabs>
          <w:tab w:val="left" w:pos="0"/>
        </w:tabs>
        <w:ind w:left="0" w:right="-90" w:firstLine="0"/>
        <w:rPr>
          <w:b/>
          <w:sz w:val="20"/>
          <w:lang w:val="es-CR"/>
        </w:rPr>
      </w:pPr>
      <w:r>
        <w:rPr>
          <w:sz w:val="20"/>
          <w:lang w:val="es-ES"/>
        </w:rPr>
        <w:t xml:space="preserve">La </w:t>
      </w:r>
      <w:r w:rsidR="009D6F9E" w:rsidRPr="00E50988">
        <w:rPr>
          <w:b/>
          <w:i/>
          <w:sz w:val="20"/>
          <w:lang w:val="es-ES"/>
        </w:rPr>
        <w:t>Comisión</w:t>
      </w:r>
      <w:r>
        <w:rPr>
          <w:sz w:val="20"/>
          <w:lang w:val="es-ES"/>
        </w:rPr>
        <w:t xml:space="preserve"> </w:t>
      </w:r>
      <w:r w:rsidR="009D6F9E" w:rsidRPr="009E370D">
        <w:rPr>
          <w:sz w:val="20"/>
          <w:lang w:val="es-ES"/>
        </w:rPr>
        <w:t>no present</w:t>
      </w:r>
      <w:r w:rsidR="00574128" w:rsidRPr="009E370D">
        <w:rPr>
          <w:sz w:val="20"/>
          <w:lang w:val="es-ES"/>
        </w:rPr>
        <w:t>ó</w:t>
      </w:r>
      <w:r w:rsidR="009D6F9E" w:rsidRPr="009E370D">
        <w:rPr>
          <w:sz w:val="20"/>
          <w:lang w:val="es-ES"/>
        </w:rPr>
        <w:t xml:space="preserve"> observaciones específ</w:t>
      </w:r>
      <w:r w:rsidR="009D6F9E">
        <w:rPr>
          <w:sz w:val="20"/>
          <w:lang w:val="es-ES"/>
        </w:rPr>
        <w:t>icas</w:t>
      </w:r>
      <w:r w:rsidR="00946A31" w:rsidRPr="00BE210A">
        <w:rPr>
          <w:sz w:val="20"/>
          <w:lang w:val="es-ES"/>
        </w:rPr>
        <w:t>.</w:t>
      </w:r>
    </w:p>
    <w:p w:rsidR="00047E26" w:rsidRDefault="00047E26" w:rsidP="00BD3334">
      <w:pPr>
        <w:ind w:left="1068" w:right="-90"/>
        <w:jc w:val="both"/>
        <w:rPr>
          <w:rFonts w:ascii="Verdana" w:hAnsi="Verdana"/>
          <w:sz w:val="20"/>
          <w:szCs w:val="20"/>
          <w:u w:val="single"/>
          <w:lang w:val="es-ES"/>
        </w:rPr>
      </w:pPr>
    </w:p>
    <w:p w:rsidR="00047E26" w:rsidRPr="00BE210A" w:rsidRDefault="00047E26" w:rsidP="004C4953">
      <w:pPr>
        <w:pStyle w:val="Heading2"/>
        <w:spacing w:before="0"/>
        <w:ind w:left="567" w:right="-90"/>
        <w:jc w:val="both"/>
        <w:rPr>
          <w:rFonts w:ascii="Verdana" w:hAnsi="Verdana"/>
          <w:i/>
          <w:sz w:val="20"/>
          <w:szCs w:val="20"/>
          <w:u w:val="single"/>
          <w:lang w:val="es-ES_tradnl"/>
        </w:rPr>
      </w:pPr>
      <w:r>
        <w:rPr>
          <w:rFonts w:ascii="Verdana" w:hAnsi="Verdana"/>
          <w:b w:val="0"/>
          <w:i/>
          <w:color w:val="auto"/>
          <w:sz w:val="20"/>
          <w:szCs w:val="20"/>
          <w:u w:val="single"/>
          <w:lang w:val="es-ES_tradnl"/>
        </w:rPr>
        <w:t>B</w:t>
      </w:r>
      <w:r w:rsidRPr="00BE210A">
        <w:rPr>
          <w:rFonts w:ascii="Verdana" w:hAnsi="Verdana"/>
          <w:b w:val="0"/>
          <w:i/>
          <w:color w:val="auto"/>
          <w:sz w:val="20"/>
          <w:szCs w:val="20"/>
          <w:u w:val="single"/>
          <w:lang w:val="es-ES_tradnl"/>
        </w:rPr>
        <w:t>.</w:t>
      </w:r>
      <w:r w:rsidR="00574128">
        <w:rPr>
          <w:rFonts w:ascii="Verdana" w:hAnsi="Verdana"/>
          <w:b w:val="0"/>
          <w:i/>
          <w:color w:val="auto"/>
          <w:sz w:val="20"/>
          <w:szCs w:val="20"/>
          <w:u w:val="single"/>
          <w:lang w:val="es-ES_tradnl"/>
        </w:rPr>
        <w:t>3</w:t>
      </w:r>
      <w:r w:rsidRPr="00BE210A">
        <w:rPr>
          <w:rFonts w:ascii="Verdana" w:hAnsi="Verdana"/>
          <w:b w:val="0"/>
          <w:i/>
          <w:color w:val="auto"/>
          <w:sz w:val="20"/>
          <w:szCs w:val="20"/>
          <w:u w:val="single"/>
          <w:lang w:val="es-ES_tradnl"/>
        </w:rPr>
        <w:t>. Sobre los estudios de riesgo</w:t>
      </w:r>
      <w:r>
        <w:rPr>
          <w:rFonts w:ascii="Verdana" w:hAnsi="Verdana"/>
          <w:b w:val="0"/>
          <w:i/>
          <w:color w:val="auto"/>
          <w:sz w:val="20"/>
          <w:szCs w:val="20"/>
          <w:u w:val="single"/>
          <w:lang w:val="es-ES_tradnl"/>
        </w:rPr>
        <w:t xml:space="preserve"> y </w:t>
      </w:r>
      <w:r w:rsidR="0092290D">
        <w:rPr>
          <w:rFonts w:ascii="Verdana" w:hAnsi="Verdana"/>
          <w:b w:val="0"/>
          <w:i/>
          <w:color w:val="auto"/>
          <w:sz w:val="20"/>
          <w:szCs w:val="20"/>
          <w:u w:val="single"/>
          <w:lang w:val="es-ES_tradnl"/>
        </w:rPr>
        <w:t xml:space="preserve">la </w:t>
      </w:r>
      <w:r w:rsidR="00671A96">
        <w:rPr>
          <w:rFonts w:ascii="Verdana" w:hAnsi="Verdana"/>
          <w:b w:val="0"/>
          <w:i/>
          <w:color w:val="auto"/>
          <w:sz w:val="20"/>
          <w:szCs w:val="20"/>
          <w:u w:val="single"/>
          <w:lang w:val="es-ES_tradnl"/>
        </w:rPr>
        <w:t>asignación de</w:t>
      </w:r>
      <w:r w:rsidR="0092290D">
        <w:rPr>
          <w:rFonts w:ascii="Verdana" w:hAnsi="Verdana"/>
          <w:b w:val="0"/>
          <w:i/>
          <w:color w:val="auto"/>
          <w:sz w:val="20"/>
          <w:szCs w:val="20"/>
          <w:u w:val="single"/>
          <w:lang w:val="es-ES_tradnl"/>
        </w:rPr>
        <w:t xml:space="preserve"> </w:t>
      </w:r>
      <w:r>
        <w:rPr>
          <w:rFonts w:ascii="Verdana" w:hAnsi="Verdana"/>
          <w:b w:val="0"/>
          <w:i/>
          <w:color w:val="auto"/>
          <w:sz w:val="20"/>
          <w:szCs w:val="20"/>
          <w:u w:val="single"/>
          <w:lang w:val="es-ES_tradnl"/>
        </w:rPr>
        <w:t xml:space="preserve">“esquemas” de protección. </w:t>
      </w:r>
    </w:p>
    <w:p w:rsidR="00047E26" w:rsidRPr="00BE210A" w:rsidRDefault="00047E26" w:rsidP="00047E26">
      <w:pPr>
        <w:tabs>
          <w:tab w:val="left" w:pos="810"/>
        </w:tabs>
        <w:ind w:right="-90"/>
        <w:jc w:val="both"/>
        <w:rPr>
          <w:rFonts w:ascii="Verdana" w:hAnsi="Verdana"/>
          <w:sz w:val="20"/>
          <w:szCs w:val="20"/>
          <w:highlight w:val="red"/>
          <w:lang w:val="es-ES_tradnl"/>
        </w:rPr>
      </w:pPr>
    </w:p>
    <w:p w:rsidR="001B57A6" w:rsidRPr="004A0C4F" w:rsidRDefault="00B33CCE" w:rsidP="004A0C4F">
      <w:pPr>
        <w:numPr>
          <w:ilvl w:val="0"/>
          <w:numId w:val="72"/>
        </w:numPr>
        <w:ind w:left="0" w:right="-90" w:firstLine="0"/>
        <w:jc w:val="both"/>
        <w:rPr>
          <w:rFonts w:ascii="Verdana" w:hAnsi="Verdana"/>
          <w:sz w:val="20"/>
          <w:szCs w:val="20"/>
          <w:lang w:val="es-ES_tradnl"/>
        </w:rPr>
      </w:pPr>
      <w:r>
        <w:rPr>
          <w:rFonts w:ascii="Verdana" w:hAnsi="Verdana"/>
          <w:sz w:val="20"/>
          <w:szCs w:val="20"/>
          <w:lang w:val="es-ES_tradnl"/>
        </w:rPr>
        <w:t>En relación con la realización de l</w:t>
      </w:r>
      <w:r w:rsidRPr="00CA5ACF">
        <w:rPr>
          <w:rFonts w:ascii="Verdana" w:hAnsi="Verdana"/>
          <w:sz w:val="20"/>
          <w:szCs w:val="20"/>
          <w:lang w:val="es-ES_tradnl"/>
        </w:rPr>
        <w:t>os estudios o evaluaciones de riesgo</w:t>
      </w:r>
      <w:r w:rsidRPr="00BE210A">
        <w:rPr>
          <w:rStyle w:val="FootnoteReference"/>
          <w:sz w:val="20"/>
          <w:szCs w:val="20"/>
          <w:lang w:val="es-ES_tradnl"/>
        </w:rPr>
        <w:footnoteReference w:id="11"/>
      </w:r>
      <w:r>
        <w:rPr>
          <w:rFonts w:ascii="Verdana" w:hAnsi="Verdana"/>
          <w:sz w:val="20"/>
          <w:szCs w:val="20"/>
          <w:lang w:val="es-ES_tradnl"/>
        </w:rPr>
        <w:t>, el Estado y las representantes manifestaron distintas discrepancias</w:t>
      </w:r>
      <w:r w:rsidRPr="00BE210A">
        <w:rPr>
          <w:rStyle w:val="FootnoteReference"/>
          <w:sz w:val="20"/>
          <w:szCs w:val="20"/>
          <w:lang w:val="es-ES_tradnl"/>
        </w:rPr>
        <w:footnoteReference w:id="12"/>
      </w:r>
      <w:r>
        <w:rPr>
          <w:rFonts w:ascii="Verdana" w:hAnsi="Verdana"/>
          <w:sz w:val="20"/>
          <w:szCs w:val="20"/>
          <w:lang w:val="es-ES_tradnl"/>
        </w:rPr>
        <w:t xml:space="preserve">. Sin perjuicio de tomar nota de lo señalado, a continuación se expone la información que resulta relevante </w:t>
      </w:r>
      <w:r w:rsidR="00574128">
        <w:rPr>
          <w:rFonts w:ascii="Verdana" w:hAnsi="Verdana"/>
          <w:sz w:val="20"/>
          <w:szCs w:val="20"/>
          <w:lang w:val="es-ES_tradnl"/>
        </w:rPr>
        <w:t xml:space="preserve">a efectos de apreciar </w:t>
      </w:r>
      <w:r>
        <w:rPr>
          <w:rFonts w:ascii="Verdana" w:hAnsi="Verdana"/>
          <w:sz w:val="20"/>
          <w:szCs w:val="20"/>
          <w:lang w:val="es-ES_tradnl"/>
        </w:rPr>
        <w:t xml:space="preserve">la situación actual de las personas beneficiarias. </w:t>
      </w:r>
    </w:p>
    <w:p w:rsidR="00B87639" w:rsidRDefault="00B87639" w:rsidP="00E50988">
      <w:pPr>
        <w:tabs>
          <w:tab w:val="left" w:pos="810"/>
        </w:tabs>
        <w:ind w:right="-90"/>
        <w:jc w:val="both"/>
        <w:rPr>
          <w:rFonts w:ascii="Verdana" w:hAnsi="Verdana"/>
          <w:sz w:val="20"/>
          <w:szCs w:val="20"/>
          <w:lang w:val="es-ES_tradnl"/>
        </w:rPr>
      </w:pPr>
    </w:p>
    <w:p w:rsidR="00047E26" w:rsidRDefault="00B33CCE" w:rsidP="00E50988">
      <w:pPr>
        <w:numPr>
          <w:ilvl w:val="0"/>
          <w:numId w:val="72"/>
        </w:numPr>
        <w:tabs>
          <w:tab w:val="left" w:pos="0"/>
        </w:tabs>
        <w:ind w:left="0" w:right="-90" w:firstLine="0"/>
        <w:jc w:val="both"/>
        <w:rPr>
          <w:rFonts w:ascii="Verdana" w:hAnsi="Verdana"/>
          <w:sz w:val="20"/>
          <w:szCs w:val="20"/>
          <w:lang w:val="es-ES_tradnl"/>
        </w:rPr>
      </w:pPr>
      <w:r>
        <w:rPr>
          <w:rFonts w:ascii="Verdana" w:hAnsi="Verdana"/>
          <w:sz w:val="20"/>
          <w:szCs w:val="20"/>
          <w:lang w:val="es-ES_tradnl"/>
        </w:rPr>
        <w:t>E</w:t>
      </w:r>
      <w:r w:rsidRPr="00711286">
        <w:rPr>
          <w:rFonts w:ascii="Verdana" w:hAnsi="Verdana"/>
          <w:sz w:val="20"/>
          <w:szCs w:val="20"/>
          <w:lang w:val="es-ES_tradnl"/>
        </w:rPr>
        <w:t xml:space="preserve">l </w:t>
      </w:r>
      <w:r w:rsidRPr="00711286">
        <w:rPr>
          <w:rFonts w:ascii="Verdana" w:hAnsi="Verdana"/>
          <w:b/>
          <w:i/>
          <w:sz w:val="20"/>
          <w:szCs w:val="20"/>
          <w:lang w:val="es-ES_tradnl"/>
        </w:rPr>
        <w:t>Estado</w:t>
      </w:r>
      <w:r w:rsidRPr="00436979">
        <w:rPr>
          <w:rFonts w:ascii="Verdana" w:hAnsi="Verdana"/>
          <w:sz w:val="20"/>
          <w:szCs w:val="20"/>
          <w:lang w:val="es-ES_tradnl"/>
        </w:rPr>
        <w:t xml:space="preserve"> </w:t>
      </w:r>
      <w:r>
        <w:rPr>
          <w:rFonts w:ascii="Verdana" w:hAnsi="Verdana"/>
          <w:sz w:val="20"/>
          <w:szCs w:val="20"/>
          <w:lang w:val="es-ES_tradnl"/>
        </w:rPr>
        <w:t xml:space="preserve">manifestó que la realización de estudios de riesgo fue acordada </w:t>
      </w:r>
      <w:r w:rsidRPr="00436979">
        <w:rPr>
          <w:rFonts w:ascii="Verdana" w:hAnsi="Verdana"/>
          <w:sz w:val="20"/>
          <w:szCs w:val="20"/>
          <w:lang w:val="es-ES_tradnl"/>
        </w:rPr>
        <w:t xml:space="preserve">en la reunión de seguimiento de </w:t>
      </w:r>
      <w:r>
        <w:rPr>
          <w:rFonts w:ascii="Verdana" w:hAnsi="Verdana"/>
          <w:sz w:val="20"/>
          <w:szCs w:val="20"/>
          <w:lang w:val="es-ES_tradnl"/>
        </w:rPr>
        <w:t>las medidas provisionales realizada</w:t>
      </w:r>
      <w:r w:rsidRPr="00436979">
        <w:rPr>
          <w:rFonts w:ascii="Verdana" w:hAnsi="Verdana"/>
          <w:sz w:val="20"/>
          <w:szCs w:val="20"/>
          <w:lang w:val="es-ES_tradnl"/>
        </w:rPr>
        <w:t xml:space="preserve"> el 14 de septiembre de 2012</w:t>
      </w:r>
      <w:r w:rsidR="00B8755B">
        <w:rPr>
          <w:rFonts w:ascii="Verdana" w:hAnsi="Verdana"/>
          <w:sz w:val="20"/>
          <w:szCs w:val="20"/>
          <w:lang w:val="es-ES_tradnl"/>
        </w:rPr>
        <w:t>,</w:t>
      </w:r>
      <w:r w:rsidRPr="00436979">
        <w:rPr>
          <w:rFonts w:ascii="Verdana" w:hAnsi="Verdana"/>
          <w:sz w:val="20"/>
          <w:szCs w:val="20"/>
          <w:lang w:val="es-ES_tradnl"/>
        </w:rPr>
        <w:t xml:space="preserve"> </w:t>
      </w:r>
      <w:r w:rsidR="00B8755B">
        <w:rPr>
          <w:rFonts w:ascii="Verdana" w:hAnsi="Verdana"/>
          <w:sz w:val="20"/>
          <w:szCs w:val="20"/>
          <w:lang w:val="es-ES_tradnl"/>
        </w:rPr>
        <w:t xml:space="preserve">pero el 1 de marzo de 2013 advirtió que las beneficiarias se habían negado a realizarse tales estudios. </w:t>
      </w:r>
      <w:r w:rsidR="00B8755B">
        <w:rPr>
          <w:rFonts w:ascii="Verdana" w:hAnsi="Verdana"/>
          <w:b/>
          <w:sz w:val="20"/>
          <w:szCs w:val="20"/>
          <w:lang w:val="es-ES_tradnl"/>
        </w:rPr>
        <w:t xml:space="preserve"> </w:t>
      </w:r>
    </w:p>
    <w:p w:rsidR="00B33CCE" w:rsidRPr="00E50988" w:rsidRDefault="00B33CCE" w:rsidP="00E50988">
      <w:pPr>
        <w:tabs>
          <w:tab w:val="left" w:pos="0"/>
        </w:tabs>
        <w:ind w:right="-90"/>
        <w:jc w:val="both"/>
        <w:rPr>
          <w:rFonts w:ascii="Verdana" w:hAnsi="Verdana"/>
          <w:sz w:val="20"/>
          <w:szCs w:val="20"/>
          <w:lang w:val="es-ES_tradnl"/>
        </w:rPr>
      </w:pPr>
    </w:p>
    <w:p w:rsidR="008E55BE" w:rsidRPr="00E50988" w:rsidRDefault="00893953" w:rsidP="00E50988">
      <w:pPr>
        <w:numPr>
          <w:ilvl w:val="0"/>
          <w:numId w:val="72"/>
        </w:numPr>
        <w:tabs>
          <w:tab w:val="left" w:pos="0"/>
        </w:tabs>
        <w:ind w:left="0" w:firstLine="0"/>
        <w:jc w:val="both"/>
        <w:rPr>
          <w:rFonts w:ascii="Verdana" w:hAnsi="Verdana"/>
          <w:sz w:val="20"/>
          <w:szCs w:val="20"/>
          <w:lang w:val="es-ES_tradnl"/>
        </w:rPr>
      </w:pPr>
      <w:r>
        <w:rPr>
          <w:rFonts w:ascii="Verdana" w:hAnsi="Verdana"/>
          <w:sz w:val="20"/>
          <w:szCs w:val="20"/>
          <w:lang w:val="es-ES_tradnl"/>
        </w:rPr>
        <w:lastRenderedPageBreak/>
        <w:t>Pese a lo anterior</w:t>
      </w:r>
      <w:r w:rsidR="00354A6F">
        <w:rPr>
          <w:rFonts w:ascii="Verdana" w:hAnsi="Verdana"/>
          <w:sz w:val="20"/>
          <w:szCs w:val="20"/>
          <w:lang w:val="es-ES_tradnl"/>
        </w:rPr>
        <w:t xml:space="preserve">, en </w:t>
      </w:r>
      <w:r w:rsidR="00656B6D" w:rsidRPr="00E50988">
        <w:rPr>
          <w:rFonts w:ascii="Verdana" w:hAnsi="Verdana"/>
          <w:sz w:val="20"/>
          <w:szCs w:val="20"/>
          <w:lang w:val="es-ES_tradnl"/>
        </w:rPr>
        <w:t xml:space="preserve">sus informes de </w:t>
      </w:r>
      <w:r w:rsidR="00B94D7D">
        <w:rPr>
          <w:rFonts w:ascii="Verdana" w:hAnsi="Verdana"/>
          <w:sz w:val="20"/>
          <w:szCs w:val="20"/>
          <w:lang w:val="es-ES_tradnl"/>
        </w:rPr>
        <w:t>4</w:t>
      </w:r>
      <w:r w:rsidR="00656B6D" w:rsidRPr="00E50988">
        <w:rPr>
          <w:rFonts w:ascii="Verdana" w:hAnsi="Verdana"/>
          <w:sz w:val="20"/>
          <w:szCs w:val="20"/>
          <w:lang w:val="es-ES_tradnl"/>
        </w:rPr>
        <w:t xml:space="preserve"> de septiembre y 23 de noviembre de 2015 y 26 de enero de 2016, el Estado </w:t>
      </w:r>
      <w:r w:rsidR="00354A6F">
        <w:rPr>
          <w:rFonts w:ascii="Verdana" w:hAnsi="Verdana"/>
          <w:sz w:val="20"/>
          <w:szCs w:val="20"/>
          <w:lang w:val="es-ES_tradnl"/>
        </w:rPr>
        <w:t>afirmó</w:t>
      </w:r>
      <w:r w:rsidR="00656B6D" w:rsidRPr="00E50988">
        <w:rPr>
          <w:rFonts w:ascii="Verdana" w:hAnsi="Verdana"/>
          <w:sz w:val="20"/>
          <w:szCs w:val="20"/>
          <w:lang w:val="es-ES_tradnl"/>
        </w:rPr>
        <w:t xml:space="preserve"> que el 27 de noviembre de 2014 el Comité de Evaluación de Riesgos (en adelante CERREM) expresó que el riesgo de la señora Naranjo había sido calificado como “extraordinario”, y que </w:t>
      </w:r>
      <w:r>
        <w:rPr>
          <w:rFonts w:ascii="Verdana" w:hAnsi="Verdana"/>
          <w:sz w:val="20"/>
          <w:szCs w:val="20"/>
          <w:lang w:val="es-ES_tradnl"/>
        </w:rPr>
        <w:t xml:space="preserve">en consecuencia </w:t>
      </w:r>
      <w:r w:rsidR="00656B6D" w:rsidRPr="00E50988">
        <w:rPr>
          <w:rFonts w:ascii="Verdana" w:hAnsi="Verdana"/>
          <w:sz w:val="20"/>
          <w:szCs w:val="20"/>
          <w:lang w:val="es-ES_tradnl"/>
        </w:rPr>
        <w:t xml:space="preserve">las medidas para su protección debían ser </w:t>
      </w:r>
      <w:r>
        <w:rPr>
          <w:rFonts w:ascii="Verdana" w:hAnsi="Verdana"/>
          <w:sz w:val="20"/>
          <w:szCs w:val="20"/>
          <w:lang w:val="es-ES_tradnl"/>
        </w:rPr>
        <w:t xml:space="preserve">la provisión de </w:t>
      </w:r>
      <w:r w:rsidR="00656B6D" w:rsidRPr="00E50988">
        <w:rPr>
          <w:rFonts w:ascii="Verdana" w:hAnsi="Verdana"/>
          <w:sz w:val="20"/>
          <w:szCs w:val="20"/>
          <w:lang w:val="es-ES_tradnl"/>
        </w:rPr>
        <w:t xml:space="preserve">un medio de comunicación, un chaleco antibalas, y un apoyo de transporte en cuantía de dos Salario Mínimos Legales Mensuales Vigentes (en adelante </w:t>
      </w:r>
      <w:r w:rsidR="00C55299">
        <w:rPr>
          <w:rFonts w:ascii="Verdana" w:hAnsi="Verdana"/>
          <w:sz w:val="20"/>
          <w:szCs w:val="20"/>
          <w:lang w:val="es-ES_tradnl"/>
        </w:rPr>
        <w:t>“</w:t>
      </w:r>
      <w:r w:rsidR="00656B6D" w:rsidRPr="00E50988">
        <w:rPr>
          <w:rFonts w:ascii="Verdana" w:hAnsi="Verdana"/>
          <w:sz w:val="20"/>
          <w:szCs w:val="20"/>
          <w:lang w:val="es-ES_tradnl"/>
        </w:rPr>
        <w:t>SMLMV</w:t>
      </w:r>
      <w:r w:rsidR="00C55299">
        <w:rPr>
          <w:rFonts w:ascii="Verdana" w:hAnsi="Verdana"/>
          <w:sz w:val="20"/>
          <w:szCs w:val="20"/>
          <w:lang w:val="es-ES_tradnl"/>
        </w:rPr>
        <w:t>”</w:t>
      </w:r>
      <w:r w:rsidR="00656B6D" w:rsidRPr="00E50988">
        <w:rPr>
          <w:rFonts w:ascii="Verdana" w:hAnsi="Verdana"/>
          <w:sz w:val="20"/>
          <w:szCs w:val="20"/>
          <w:lang w:val="es-ES_tradnl"/>
        </w:rPr>
        <w:t>)</w:t>
      </w:r>
      <w:r>
        <w:rPr>
          <w:rFonts w:ascii="Verdana" w:hAnsi="Verdana"/>
          <w:sz w:val="20"/>
          <w:szCs w:val="20"/>
          <w:lang w:val="es-ES_tradnl"/>
        </w:rPr>
        <w:t>.</w:t>
      </w:r>
      <w:r w:rsidR="00656B6D" w:rsidRPr="00E50988">
        <w:rPr>
          <w:rFonts w:ascii="Verdana" w:hAnsi="Verdana"/>
          <w:sz w:val="20"/>
          <w:szCs w:val="20"/>
          <w:lang w:val="es-ES_tradnl"/>
        </w:rPr>
        <w:t xml:space="preserve"> </w:t>
      </w:r>
    </w:p>
    <w:p w:rsidR="008E55BE" w:rsidRDefault="008E55BE" w:rsidP="00E50988">
      <w:pPr>
        <w:pStyle w:val="ListParagraph"/>
        <w:tabs>
          <w:tab w:val="left" w:pos="0"/>
        </w:tabs>
        <w:ind w:left="0"/>
        <w:rPr>
          <w:rFonts w:ascii="Verdana" w:hAnsi="Verdana"/>
          <w:sz w:val="20"/>
          <w:szCs w:val="20"/>
          <w:lang w:val="es-ES_tradnl"/>
        </w:rPr>
      </w:pPr>
    </w:p>
    <w:p w:rsidR="00047E26" w:rsidRPr="00E50988" w:rsidRDefault="00656B6D" w:rsidP="00E50988">
      <w:pPr>
        <w:numPr>
          <w:ilvl w:val="0"/>
          <w:numId w:val="72"/>
        </w:numPr>
        <w:tabs>
          <w:tab w:val="left" w:pos="0"/>
        </w:tabs>
        <w:ind w:left="0" w:firstLine="0"/>
        <w:jc w:val="both"/>
        <w:rPr>
          <w:rFonts w:ascii="Verdana" w:hAnsi="Verdana"/>
          <w:sz w:val="20"/>
          <w:szCs w:val="20"/>
          <w:lang w:val="es-ES_tradnl"/>
        </w:rPr>
      </w:pPr>
      <w:r w:rsidRPr="00E50988">
        <w:rPr>
          <w:rFonts w:ascii="Verdana" w:hAnsi="Verdana"/>
          <w:sz w:val="20"/>
          <w:szCs w:val="20"/>
          <w:lang w:val="es-ES_tradnl"/>
        </w:rPr>
        <w:t>E</w:t>
      </w:r>
      <w:r w:rsidR="00047E26" w:rsidRPr="00E50988">
        <w:rPr>
          <w:rFonts w:ascii="Verdana" w:hAnsi="Verdana"/>
          <w:sz w:val="20"/>
          <w:szCs w:val="20"/>
          <w:lang w:val="es-ES_tradnl"/>
        </w:rPr>
        <w:t xml:space="preserve">l 12 de abril de 2016 el Estado manifestó que CERREM, mediante oficio de 23 de febrero de 2016, informó que el riesgo de la señora Naranjo había sido </w:t>
      </w:r>
      <w:r w:rsidRPr="00E50988">
        <w:rPr>
          <w:rFonts w:ascii="Verdana" w:hAnsi="Verdana"/>
          <w:sz w:val="20"/>
          <w:szCs w:val="20"/>
          <w:lang w:val="es-ES_tradnl"/>
        </w:rPr>
        <w:t xml:space="preserve">nuevamente </w:t>
      </w:r>
      <w:r w:rsidR="00047E26" w:rsidRPr="00E50988">
        <w:rPr>
          <w:rFonts w:ascii="Verdana" w:hAnsi="Verdana"/>
          <w:sz w:val="20"/>
          <w:szCs w:val="20"/>
          <w:lang w:val="es-ES_tradnl"/>
        </w:rPr>
        <w:t>calificado como “extraordinario”</w:t>
      </w:r>
      <w:r w:rsidR="008E55BE">
        <w:rPr>
          <w:rFonts w:ascii="Verdana" w:hAnsi="Verdana"/>
          <w:sz w:val="20"/>
          <w:szCs w:val="20"/>
          <w:lang w:val="es-ES_tradnl"/>
        </w:rPr>
        <w:t xml:space="preserve">, y que la misma calificación </w:t>
      </w:r>
      <w:r w:rsidR="004A0C4F">
        <w:rPr>
          <w:rFonts w:ascii="Verdana" w:hAnsi="Verdana"/>
          <w:sz w:val="20"/>
          <w:szCs w:val="20"/>
          <w:lang w:val="es-ES_tradnl"/>
        </w:rPr>
        <w:t xml:space="preserve">de riesgo </w:t>
      </w:r>
      <w:r w:rsidR="00893953">
        <w:rPr>
          <w:rFonts w:ascii="Verdana" w:hAnsi="Verdana"/>
          <w:sz w:val="20"/>
          <w:szCs w:val="20"/>
          <w:lang w:val="es-ES_tradnl"/>
        </w:rPr>
        <w:t xml:space="preserve">había </w:t>
      </w:r>
      <w:r w:rsidR="00C30221">
        <w:rPr>
          <w:rFonts w:ascii="Verdana" w:hAnsi="Verdana"/>
          <w:sz w:val="20"/>
          <w:szCs w:val="20"/>
          <w:lang w:val="es-ES_tradnl"/>
        </w:rPr>
        <w:t xml:space="preserve">sido </w:t>
      </w:r>
      <w:r w:rsidR="008E55BE">
        <w:rPr>
          <w:rFonts w:ascii="Verdana" w:hAnsi="Verdana"/>
          <w:sz w:val="20"/>
          <w:szCs w:val="20"/>
          <w:lang w:val="es-ES_tradnl"/>
        </w:rPr>
        <w:t>recibi</w:t>
      </w:r>
      <w:r w:rsidR="004A0C4F">
        <w:rPr>
          <w:rFonts w:ascii="Verdana" w:hAnsi="Verdana"/>
          <w:sz w:val="20"/>
          <w:szCs w:val="20"/>
          <w:lang w:val="es-ES_tradnl"/>
        </w:rPr>
        <w:t>da</w:t>
      </w:r>
      <w:r w:rsidR="008E55BE">
        <w:rPr>
          <w:rFonts w:ascii="Verdana" w:hAnsi="Verdana"/>
          <w:sz w:val="20"/>
          <w:szCs w:val="20"/>
          <w:lang w:val="es-ES_tradnl"/>
        </w:rPr>
        <w:t xml:space="preserve"> </w:t>
      </w:r>
      <w:r w:rsidR="004A0C4F">
        <w:rPr>
          <w:rFonts w:ascii="Verdana" w:hAnsi="Verdana"/>
          <w:sz w:val="20"/>
          <w:szCs w:val="20"/>
          <w:lang w:val="es-ES_tradnl"/>
        </w:rPr>
        <w:t xml:space="preserve">por </w:t>
      </w:r>
      <w:r w:rsidR="008E55BE">
        <w:rPr>
          <w:rFonts w:ascii="Verdana" w:hAnsi="Verdana"/>
          <w:sz w:val="20"/>
          <w:szCs w:val="20"/>
          <w:lang w:val="es-ES_tradnl"/>
        </w:rPr>
        <w:t xml:space="preserve">la señora Mosquera, de acuerdo a una evaluación hecha el 2 de ese mes. Colombia expresó que el CERREM </w:t>
      </w:r>
      <w:r w:rsidR="00893953">
        <w:rPr>
          <w:rFonts w:ascii="Verdana" w:hAnsi="Verdana"/>
          <w:sz w:val="20"/>
          <w:szCs w:val="20"/>
          <w:lang w:val="es-ES_tradnl"/>
        </w:rPr>
        <w:t>advirtió</w:t>
      </w:r>
      <w:r w:rsidR="008E55BE">
        <w:rPr>
          <w:rFonts w:ascii="Verdana" w:hAnsi="Verdana"/>
          <w:sz w:val="20"/>
          <w:szCs w:val="20"/>
          <w:lang w:val="es-ES_tradnl"/>
        </w:rPr>
        <w:t xml:space="preserve"> que </w:t>
      </w:r>
      <w:r w:rsidR="00047E26" w:rsidRPr="00E50988">
        <w:rPr>
          <w:rFonts w:ascii="Verdana" w:hAnsi="Verdana"/>
          <w:sz w:val="20"/>
          <w:szCs w:val="20"/>
          <w:lang w:val="es-ES_tradnl"/>
        </w:rPr>
        <w:t xml:space="preserve">las medidas para </w:t>
      </w:r>
      <w:r w:rsidR="008E55BE">
        <w:rPr>
          <w:rFonts w:ascii="Verdana" w:hAnsi="Verdana"/>
          <w:sz w:val="20"/>
          <w:szCs w:val="20"/>
          <w:lang w:val="es-ES_tradnl"/>
        </w:rPr>
        <w:t xml:space="preserve">la protección de cada una de las señoras nombradas, por el término de 12 meses, </w:t>
      </w:r>
      <w:r w:rsidR="00047E26" w:rsidRPr="00E50988">
        <w:rPr>
          <w:rFonts w:ascii="Verdana" w:hAnsi="Verdana"/>
          <w:sz w:val="20"/>
          <w:szCs w:val="20"/>
          <w:lang w:val="es-ES_tradnl"/>
        </w:rPr>
        <w:t xml:space="preserve">debían </w:t>
      </w:r>
      <w:r w:rsidR="008E55BE">
        <w:rPr>
          <w:rFonts w:ascii="Verdana" w:hAnsi="Verdana"/>
          <w:sz w:val="20"/>
          <w:szCs w:val="20"/>
          <w:lang w:val="es-ES_tradnl"/>
        </w:rPr>
        <w:t xml:space="preserve">ser </w:t>
      </w:r>
      <w:r w:rsidR="00893953">
        <w:rPr>
          <w:rFonts w:ascii="Verdana" w:hAnsi="Verdana"/>
          <w:sz w:val="20"/>
          <w:szCs w:val="20"/>
          <w:lang w:val="es-ES_tradnl"/>
        </w:rPr>
        <w:t xml:space="preserve">la prestación de </w:t>
      </w:r>
      <w:r w:rsidR="008E55BE" w:rsidRPr="00BE210A">
        <w:rPr>
          <w:rFonts w:ascii="Verdana" w:hAnsi="Verdana"/>
          <w:sz w:val="20"/>
          <w:szCs w:val="20"/>
          <w:lang w:val="es-ES_tradnl"/>
        </w:rPr>
        <w:t>un medio de comunicación, un chaleco an</w:t>
      </w:r>
      <w:r w:rsidR="008E55BE">
        <w:rPr>
          <w:rFonts w:ascii="Verdana" w:hAnsi="Verdana"/>
          <w:sz w:val="20"/>
          <w:szCs w:val="20"/>
          <w:lang w:val="es-ES_tradnl"/>
        </w:rPr>
        <w:t>tibalas y</w:t>
      </w:r>
      <w:r w:rsidR="008E55BE" w:rsidRPr="00BE210A">
        <w:rPr>
          <w:rFonts w:ascii="Verdana" w:hAnsi="Verdana"/>
          <w:sz w:val="20"/>
          <w:szCs w:val="20"/>
          <w:lang w:val="es-ES_tradnl"/>
        </w:rPr>
        <w:t xml:space="preserve"> un apoyo de transporte en cuantía de dos SMLMV</w:t>
      </w:r>
      <w:r w:rsidR="009732B7">
        <w:rPr>
          <w:rFonts w:ascii="Verdana" w:hAnsi="Verdana"/>
          <w:sz w:val="20"/>
          <w:szCs w:val="20"/>
          <w:lang w:val="es-ES_tradnl"/>
        </w:rPr>
        <w:t xml:space="preserve"> para la señora Naranjo y de 1.5 SMLMV para la señora Mosquera</w:t>
      </w:r>
      <w:r w:rsidR="00047E26" w:rsidRPr="00E50988">
        <w:rPr>
          <w:rFonts w:ascii="Verdana" w:hAnsi="Verdana"/>
          <w:sz w:val="20"/>
          <w:szCs w:val="20"/>
          <w:lang w:val="es-ES_tradnl"/>
        </w:rPr>
        <w:t>. Estas medidas</w:t>
      </w:r>
      <w:r w:rsidR="0092290D">
        <w:rPr>
          <w:rFonts w:ascii="Verdana" w:hAnsi="Verdana"/>
          <w:sz w:val="20"/>
          <w:szCs w:val="20"/>
          <w:lang w:val="es-ES_tradnl"/>
        </w:rPr>
        <w:t>, conforme manifestó Colombia,</w:t>
      </w:r>
      <w:r w:rsidR="00047E26" w:rsidRPr="00E50988">
        <w:rPr>
          <w:rFonts w:ascii="Verdana" w:hAnsi="Verdana"/>
          <w:sz w:val="20"/>
          <w:szCs w:val="20"/>
          <w:lang w:val="es-ES_tradnl"/>
        </w:rPr>
        <w:t xml:space="preserve"> fueron adoptadas por la UNP el 2 de febrero de 2016.</w:t>
      </w:r>
      <w:r w:rsidR="00047E26" w:rsidRPr="00E50988">
        <w:rPr>
          <w:rFonts w:ascii="Verdana" w:hAnsi="Verdana"/>
          <w:b/>
          <w:sz w:val="20"/>
          <w:szCs w:val="20"/>
          <w:lang w:val="es-ES_tradnl"/>
        </w:rPr>
        <w:t xml:space="preserve"> </w:t>
      </w:r>
    </w:p>
    <w:p w:rsidR="008E55BE" w:rsidRDefault="008E55BE" w:rsidP="00E50988">
      <w:pPr>
        <w:pStyle w:val="ListParagraph"/>
        <w:tabs>
          <w:tab w:val="left" w:pos="0"/>
        </w:tabs>
        <w:ind w:left="0"/>
        <w:rPr>
          <w:rFonts w:ascii="Verdana" w:hAnsi="Verdana"/>
          <w:sz w:val="20"/>
          <w:szCs w:val="20"/>
          <w:lang w:val="es-ES_tradnl"/>
        </w:rPr>
      </w:pPr>
    </w:p>
    <w:p w:rsidR="00656B6D" w:rsidRDefault="00047E26" w:rsidP="00E50988">
      <w:pPr>
        <w:numPr>
          <w:ilvl w:val="0"/>
          <w:numId w:val="72"/>
        </w:numPr>
        <w:tabs>
          <w:tab w:val="left" w:pos="0"/>
        </w:tabs>
        <w:ind w:left="0" w:firstLine="0"/>
        <w:jc w:val="both"/>
        <w:rPr>
          <w:rFonts w:ascii="Verdana" w:hAnsi="Verdana"/>
          <w:sz w:val="20"/>
          <w:szCs w:val="20"/>
          <w:lang w:val="es-ES_tradnl"/>
        </w:rPr>
      </w:pPr>
      <w:r>
        <w:rPr>
          <w:rFonts w:ascii="Verdana" w:hAnsi="Verdana"/>
          <w:sz w:val="20"/>
          <w:szCs w:val="20"/>
          <w:lang w:val="es-ES_tradnl"/>
        </w:rPr>
        <w:t xml:space="preserve">El 22 de agosto de 2016 el Estado informó que el 27 de julio de ese año, luego del procedimiento pertinente, la UNP volvió a calificar como “extraordinario” el riesgo de la señora Naranjo. Señaló que “se resolvió implementar un </w:t>
      </w:r>
      <w:r w:rsidR="00B94D7D">
        <w:rPr>
          <w:rFonts w:ascii="Verdana" w:hAnsi="Verdana"/>
          <w:sz w:val="20"/>
          <w:szCs w:val="20"/>
          <w:lang w:val="es-ES_tradnl"/>
        </w:rPr>
        <w:t>esquema</w:t>
      </w:r>
      <w:r w:rsidR="00F56A0A">
        <w:rPr>
          <w:rFonts w:ascii="Verdana" w:hAnsi="Verdana"/>
          <w:sz w:val="20"/>
          <w:szCs w:val="20"/>
          <w:lang w:val="es-ES_tradnl"/>
        </w:rPr>
        <w:t xml:space="preserve"> </w:t>
      </w:r>
      <w:r>
        <w:rPr>
          <w:rFonts w:ascii="Verdana" w:hAnsi="Verdana"/>
          <w:sz w:val="20"/>
          <w:szCs w:val="20"/>
          <w:lang w:val="es-ES_tradnl"/>
        </w:rPr>
        <w:t>de protección” para ser “</w:t>
      </w:r>
      <w:proofErr w:type="spellStart"/>
      <w:proofErr w:type="gramStart"/>
      <w:r>
        <w:rPr>
          <w:rFonts w:ascii="Verdana" w:hAnsi="Verdana"/>
          <w:sz w:val="20"/>
          <w:szCs w:val="20"/>
          <w:lang w:val="es-ES_tradnl"/>
        </w:rPr>
        <w:t>comparti</w:t>
      </w:r>
      <w:proofErr w:type="spellEnd"/>
      <w:r>
        <w:rPr>
          <w:rFonts w:ascii="Verdana" w:hAnsi="Verdana"/>
          <w:sz w:val="20"/>
          <w:szCs w:val="20"/>
          <w:lang w:val="es-ES_tradnl"/>
        </w:rPr>
        <w:t>[</w:t>
      </w:r>
      <w:proofErr w:type="gramEnd"/>
      <w:r>
        <w:rPr>
          <w:rFonts w:ascii="Verdana" w:hAnsi="Verdana"/>
          <w:sz w:val="20"/>
          <w:szCs w:val="20"/>
          <w:lang w:val="es-ES_tradnl"/>
        </w:rPr>
        <w:t>do]” con la señora Mosquera, compuesto por “[un] vehículo convencional y [tres] hombres de protección”. Además</w:t>
      </w:r>
      <w:r w:rsidR="00893953">
        <w:rPr>
          <w:rFonts w:ascii="Verdana" w:hAnsi="Verdana"/>
          <w:sz w:val="20"/>
          <w:szCs w:val="20"/>
          <w:lang w:val="es-ES_tradnl"/>
        </w:rPr>
        <w:t xml:space="preserve"> dijo que</w:t>
      </w:r>
      <w:r>
        <w:rPr>
          <w:rFonts w:ascii="Verdana" w:hAnsi="Verdana"/>
          <w:sz w:val="20"/>
          <w:szCs w:val="20"/>
          <w:lang w:val="es-ES_tradnl"/>
        </w:rPr>
        <w:t xml:space="preserve"> se “</w:t>
      </w:r>
      <w:proofErr w:type="spellStart"/>
      <w:r>
        <w:rPr>
          <w:rFonts w:ascii="Verdana" w:hAnsi="Verdana"/>
          <w:sz w:val="20"/>
          <w:szCs w:val="20"/>
          <w:lang w:val="es-ES_tradnl"/>
        </w:rPr>
        <w:t>ratific</w:t>
      </w:r>
      <w:proofErr w:type="spellEnd"/>
      <w:r>
        <w:rPr>
          <w:rFonts w:ascii="Verdana" w:hAnsi="Verdana"/>
          <w:sz w:val="20"/>
          <w:szCs w:val="20"/>
          <w:lang w:val="es-ES_tradnl"/>
        </w:rPr>
        <w:t>[</w:t>
      </w:r>
      <w:proofErr w:type="spellStart"/>
      <w:r>
        <w:rPr>
          <w:rFonts w:ascii="Verdana" w:hAnsi="Verdana"/>
          <w:sz w:val="20"/>
          <w:szCs w:val="20"/>
          <w:lang w:val="es-ES_tradnl"/>
        </w:rPr>
        <w:t>ó</w:t>
      </w:r>
      <w:proofErr w:type="spellEnd"/>
      <w:r>
        <w:rPr>
          <w:rFonts w:ascii="Verdana" w:hAnsi="Verdana"/>
          <w:sz w:val="20"/>
          <w:szCs w:val="20"/>
          <w:lang w:val="es-ES_tradnl"/>
        </w:rPr>
        <w:t xml:space="preserve">] como medida individual, [u]n medio de comunicación y [un] chaleco blindado”. Colombia señaló en esa ocasión que “la temporalidad” de las medidas sería hasta “el 28 de enero de 2017”. </w:t>
      </w:r>
    </w:p>
    <w:p w:rsidR="00656B6D" w:rsidRDefault="00656B6D" w:rsidP="00E50988">
      <w:pPr>
        <w:pStyle w:val="ListParagraph"/>
        <w:tabs>
          <w:tab w:val="left" w:pos="0"/>
        </w:tabs>
        <w:ind w:left="0"/>
        <w:rPr>
          <w:rFonts w:ascii="Verdana" w:hAnsi="Verdana"/>
          <w:sz w:val="20"/>
          <w:szCs w:val="20"/>
          <w:lang w:val="es-ES_tradnl"/>
        </w:rPr>
      </w:pPr>
    </w:p>
    <w:p w:rsidR="00656B6D" w:rsidRPr="00C30221" w:rsidRDefault="00047E26" w:rsidP="00E50988">
      <w:pPr>
        <w:numPr>
          <w:ilvl w:val="0"/>
          <w:numId w:val="72"/>
        </w:numPr>
        <w:tabs>
          <w:tab w:val="left" w:pos="0"/>
        </w:tabs>
        <w:ind w:left="0" w:firstLine="0"/>
        <w:jc w:val="both"/>
        <w:rPr>
          <w:rFonts w:ascii="Verdana" w:hAnsi="Verdana"/>
          <w:sz w:val="16"/>
          <w:szCs w:val="16"/>
          <w:lang w:val="es-ES_tradnl"/>
        </w:rPr>
      </w:pPr>
      <w:r>
        <w:rPr>
          <w:rFonts w:ascii="Verdana" w:hAnsi="Verdana"/>
          <w:sz w:val="20"/>
          <w:szCs w:val="20"/>
          <w:lang w:val="es-ES_tradnl"/>
        </w:rPr>
        <w:t xml:space="preserve">En sus informes de 1 de noviembre y 29 de diciembre de 2016 Colombia expresó que las señoras Naranjo y Mosquera </w:t>
      </w:r>
      <w:r w:rsidR="00671A96">
        <w:rPr>
          <w:rFonts w:ascii="Verdana" w:hAnsi="Verdana"/>
          <w:sz w:val="20"/>
          <w:szCs w:val="20"/>
          <w:lang w:val="es-ES_tradnl"/>
        </w:rPr>
        <w:t>mantenían asignado el</w:t>
      </w:r>
      <w:r>
        <w:rPr>
          <w:rFonts w:ascii="Verdana" w:hAnsi="Verdana"/>
          <w:sz w:val="20"/>
          <w:szCs w:val="20"/>
          <w:lang w:val="es-ES_tradnl"/>
        </w:rPr>
        <w:t xml:space="preserve"> “esquema de seguridad”. </w:t>
      </w:r>
      <w:r w:rsidRPr="00CA5ACF">
        <w:rPr>
          <w:rFonts w:ascii="Verdana" w:hAnsi="Verdana"/>
          <w:sz w:val="20"/>
          <w:szCs w:val="20"/>
          <w:lang w:val="es-ES_tradnl"/>
        </w:rPr>
        <w:t xml:space="preserve">El 13 de enero de 2017 el Estado informó que ambas beneficiarias “comparten” un “esquema de protección” consistente en “[un] vehículo </w:t>
      </w:r>
      <w:proofErr w:type="gramStart"/>
      <w:r w:rsidRPr="00CA5ACF">
        <w:rPr>
          <w:rFonts w:ascii="Verdana" w:hAnsi="Verdana"/>
          <w:sz w:val="20"/>
          <w:szCs w:val="20"/>
          <w:lang w:val="es-ES_tradnl"/>
        </w:rPr>
        <w:t>convencional[</w:t>
      </w:r>
      <w:proofErr w:type="gramEnd"/>
      <w:r w:rsidRPr="00CA5ACF">
        <w:rPr>
          <w:rFonts w:ascii="Verdana" w:hAnsi="Verdana"/>
          <w:sz w:val="20"/>
          <w:szCs w:val="20"/>
          <w:lang w:val="es-ES_tradnl"/>
        </w:rPr>
        <w:t>; tres] hombres de protección[; un] medio de comunicación[, y un] chaleco blindado”, y que “la[s] medidas de protección est</w:t>
      </w:r>
      <w:r w:rsidR="000A2BA1">
        <w:rPr>
          <w:rFonts w:ascii="Verdana" w:hAnsi="Verdana"/>
          <w:sz w:val="20"/>
          <w:szCs w:val="20"/>
          <w:lang w:val="es-ES_tradnl"/>
        </w:rPr>
        <w:t>a</w:t>
      </w:r>
      <w:r w:rsidRPr="00CA5ACF">
        <w:rPr>
          <w:rFonts w:ascii="Verdana" w:hAnsi="Verdana"/>
          <w:sz w:val="20"/>
          <w:szCs w:val="20"/>
          <w:lang w:val="es-ES_tradnl"/>
        </w:rPr>
        <w:t>r[</w:t>
      </w:r>
      <w:proofErr w:type="spellStart"/>
      <w:r w:rsidRPr="00CA5ACF">
        <w:rPr>
          <w:rFonts w:ascii="Verdana" w:hAnsi="Verdana"/>
          <w:sz w:val="20"/>
          <w:szCs w:val="20"/>
          <w:lang w:val="es-ES_tradnl"/>
        </w:rPr>
        <w:t>ían</w:t>
      </w:r>
      <w:proofErr w:type="spellEnd"/>
      <w:r w:rsidRPr="00CA5ACF">
        <w:rPr>
          <w:rFonts w:ascii="Verdana" w:hAnsi="Verdana"/>
          <w:sz w:val="20"/>
          <w:szCs w:val="20"/>
          <w:lang w:val="es-ES_tradnl"/>
        </w:rPr>
        <w:t>] vigentes hasta el 28 de enero de 2017</w:t>
      </w:r>
      <w:r w:rsidR="00656B6D" w:rsidRPr="00C30221">
        <w:rPr>
          <w:rFonts w:ascii="Verdana" w:hAnsi="Verdana"/>
          <w:sz w:val="20"/>
          <w:szCs w:val="20"/>
          <w:lang w:val="es-ES_tradnl"/>
        </w:rPr>
        <w:t>”</w:t>
      </w:r>
      <w:r w:rsidRPr="00C30221">
        <w:rPr>
          <w:rFonts w:ascii="Verdana" w:hAnsi="Verdana"/>
          <w:sz w:val="20"/>
          <w:szCs w:val="20"/>
          <w:lang w:val="es-ES_tradnl"/>
        </w:rPr>
        <w:t xml:space="preserve">. </w:t>
      </w:r>
    </w:p>
    <w:p w:rsidR="00656B6D" w:rsidRDefault="00656B6D" w:rsidP="00E50988">
      <w:pPr>
        <w:pStyle w:val="ListParagraph"/>
        <w:tabs>
          <w:tab w:val="left" w:pos="0"/>
        </w:tabs>
        <w:ind w:left="0"/>
        <w:rPr>
          <w:rFonts w:ascii="Verdana" w:hAnsi="Verdana"/>
          <w:sz w:val="20"/>
          <w:szCs w:val="20"/>
          <w:lang w:val="es-ES_tradnl"/>
        </w:rPr>
      </w:pPr>
    </w:p>
    <w:p w:rsidR="00047E26" w:rsidRPr="00CD1732" w:rsidRDefault="00047E26" w:rsidP="00E50988">
      <w:pPr>
        <w:numPr>
          <w:ilvl w:val="0"/>
          <w:numId w:val="72"/>
        </w:numPr>
        <w:tabs>
          <w:tab w:val="left" w:pos="0"/>
        </w:tabs>
        <w:ind w:left="0" w:firstLine="0"/>
        <w:jc w:val="both"/>
        <w:rPr>
          <w:rFonts w:ascii="Verdana" w:hAnsi="Verdana"/>
          <w:sz w:val="20"/>
          <w:szCs w:val="20"/>
          <w:lang w:val="es-ES_tradnl"/>
        </w:rPr>
      </w:pPr>
      <w:r w:rsidRPr="00CD1732">
        <w:rPr>
          <w:rFonts w:ascii="Verdana" w:hAnsi="Verdana"/>
          <w:sz w:val="20"/>
          <w:szCs w:val="20"/>
          <w:lang w:val="es-ES_tradnl"/>
        </w:rPr>
        <w:t xml:space="preserve">El 18 de mayo de 2017 Colombia expresó que para esa fecha no se había </w:t>
      </w:r>
      <w:r w:rsidR="00893953" w:rsidRPr="00CD1732">
        <w:rPr>
          <w:rFonts w:ascii="Verdana" w:hAnsi="Verdana"/>
          <w:sz w:val="20"/>
          <w:szCs w:val="20"/>
          <w:lang w:val="es-ES_tradnl"/>
        </w:rPr>
        <w:t>hecho “reevaluación del ri</w:t>
      </w:r>
      <w:r w:rsidR="00C30221">
        <w:rPr>
          <w:rFonts w:ascii="Verdana" w:hAnsi="Verdana"/>
          <w:sz w:val="20"/>
          <w:szCs w:val="20"/>
          <w:lang w:val="es-ES_tradnl"/>
        </w:rPr>
        <w:t>esgo”. No obstante, de acuerdo con</w:t>
      </w:r>
      <w:r w:rsidR="00893953" w:rsidRPr="00CD1732">
        <w:rPr>
          <w:rFonts w:ascii="Verdana" w:hAnsi="Verdana"/>
          <w:sz w:val="20"/>
          <w:szCs w:val="20"/>
          <w:lang w:val="es-ES_tradnl"/>
        </w:rPr>
        <w:t xml:space="preserve"> lo señalado por el Estado en esa oportunidad, así como el 5 de julio de 2017, el “esquema” continúa “</w:t>
      </w:r>
      <w:r w:rsidR="00671A96" w:rsidRPr="00CD1732">
        <w:rPr>
          <w:rFonts w:ascii="Verdana" w:hAnsi="Verdana"/>
          <w:sz w:val="20"/>
          <w:szCs w:val="20"/>
          <w:lang w:val="es-ES_tradnl"/>
        </w:rPr>
        <w:t>asignado</w:t>
      </w:r>
      <w:r w:rsidR="00893953" w:rsidRPr="00CD1732">
        <w:rPr>
          <w:rFonts w:ascii="Verdana" w:hAnsi="Verdana"/>
          <w:sz w:val="20"/>
          <w:szCs w:val="20"/>
          <w:lang w:val="es-ES_tradnl"/>
        </w:rPr>
        <w:t>” a las señoras Naranjo y Mosquera.</w:t>
      </w:r>
      <w:r w:rsidRPr="00CD1732">
        <w:rPr>
          <w:rFonts w:ascii="Verdana" w:hAnsi="Verdana"/>
          <w:b/>
          <w:sz w:val="20"/>
          <w:szCs w:val="20"/>
          <w:lang w:val="es-ES_tradnl"/>
        </w:rPr>
        <w:t xml:space="preserve"> </w:t>
      </w:r>
    </w:p>
    <w:p w:rsidR="00047E26" w:rsidRPr="00BE210A" w:rsidRDefault="00047E26" w:rsidP="00A04D4D">
      <w:pPr>
        <w:tabs>
          <w:tab w:val="left" w:pos="0"/>
        </w:tabs>
        <w:ind w:right="-90"/>
        <w:jc w:val="both"/>
        <w:rPr>
          <w:rFonts w:ascii="Verdana" w:hAnsi="Verdana"/>
          <w:sz w:val="20"/>
          <w:szCs w:val="20"/>
          <w:lang w:val="es-ES_tradnl"/>
        </w:rPr>
      </w:pPr>
    </w:p>
    <w:p w:rsidR="00C03B46" w:rsidRDefault="00047E26" w:rsidP="00E50988">
      <w:pPr>
        <w:pStyle w:val="ListParagraph"/>
        <w:numPr>
          <w:ilvl w:val="0"/>
          <w:numId w:val="72"/>
        </w:numPr>
        <w:tabs>
          <w:tab w:val="left" w:pos="0"/>
        </w:tabs>
        <w:ind w:left="0" w:right="-90" w:firstLine="0"/>
        <w:jc w:val="both"/>
        <w:rPr>
          <w:rFonts w:ascii="Verdana" w:hAnsi="Verdana"/>
          <w:sz w:val="20"/>
          <w:szCs w:val="20"/>
          <w:lang w:val="es-ES_tradnl"/>
        </w:rPr>
      </w:pPr>
      <w:r w:rsidRPr="00CA5ACF">
        <w:rPr>
          <w:rFonts w:ascii="Verdana" w:hAnsi="Verdana"/>
          <w:sz w:val="20"/>
          <w:szCs w:val="20"/>
          <w:lang w:val="es-ES_tradnl"/>
        </w:rPr>
        <w:t xml:space="preserve">Las </w:t>
      </w:r>
      <w:r w:rsidRPr="00CA5ACF">
        <w:rPr>
          <w:rFonts w:ascii="Verdana" w:hAnsi="Verdana"/>
          <w:b/>
          <w:i/>
          <w:sz w:val="20"/>
          <w:szCs w:val="20"/>
          <w:lang w:val="es-ES_tradnl"/>
        </w:rPr>
        <w:t>representantes</w:t>
      </w:r>
      <w:r w:rsidR="00C30221">
        <w:rPr>
          <w:rFonts w:ascii="Verdana" w:hAnsi="Verdana"/>
          <w:b/>
          <w:i/>
          <w:sz w:val="20"/>
          <w:szCs w:val="20"/>
          <w:lang w:val="es-ES_tradnl"/>
        </w:rPr>
        <w:t>,</w:t>
      </w:r>
      <w:r w:rsidRPr="00CA5ACF">
        <w:rPr>
          <w:rFonts w:ascii="Verdana" w:hAnsi="Verdana"/>
          <w:sz w:val="20"/>
          <w:szCs w:val="20"/>
          <w:lang w:val="es-ES_tradnl"/>
        </w:rPr>
        <w:t xml:space="preserve"> </w:t>
      </w:r>
      <w:r w:rsidR="00C03B46">
        <w:rPr>
          <w:rFonts w:ascii="Verdana" w:hAnsi="Verdana"/>
          <w:sz w:val="20"/>
          <w:szCs w:val="20"/>
          <w:lang w:val="es-ES_tradnl"/>
        </w:rPr>
        <w:t xml:space="preserve">el 25 de mayo de 2015, así como el 3 de junio de 2016, </w:t>
      </w:r>
      <w:r w:rsidRPr="00CA5ACF">
        <w:rPr>
          <w:rFonts w:ascii="Verdana" w:hAnsi="Verdana"/>
          <w:sz w:val="20"/>
          <w:szCs w:val="20"/>
          <w:lang w:val="es-ES_tradnl"/>
        </w:rPr>
        <w:t>confirmaron que “las dos beneficiarias habían sido sometidas a [e]</w:t>
      </w:r>
      <w:proofErr w:type="spellStart"/>
      <w:r w:rsidRPr="00CA5ACF">
        <w:rPr>
          <w:rFonts w:ascii="Verdana" w:hAnsi="Verdana"/>
          <w:sz w:val="20"/>
          <w:szCs w:val="20"/>
          <w:lang w:val="es-ES_tradnl"/>
        </w:rPr>
        <w:t>studios</w:t>
      </w:r>
      <w:proofErr w:type="spellEnd"/>
      <w:r w:rsidRPr="00CA5ACF">
        <w:rPr>
          <w:rFonts w:ascii="Verdana" w:hAnsi="Verdana"/>
          <w:sz w:val="20"/>
          <w:szCs w:val="20"/>
          <w:lang w:val="es-ES_tradnl"/>
        </w:rPr>
        <w:t xml:space="preserve"> [t]</w:t>
      </w:r>
      <w:proofErr w:type="spellStart"/>
      <w:r w:rsidRPr="00CA5ACF">
        <w:rPr>
          <w:rFonts w:ascii="Verdana" w:hAnsi="Verdana"/>
          <w:sz w:val="20"/>
          <w:szCs w:val="20"/>
          <w:lang w:val="es-ES_tradnl"/>
        </w:rPr>
        <w:t>écnicos</w:t>
      </w:r>
      <w:proofErr w:type="spellEnd"/>
      <w:r w:rsidRPr="00CA5ACF">
        <w:rPr>
          <w:rFonts w:ascii="Verdana" w:hAnsi="Verdana"/>
          <w:sz w:val="20"/>
          <w:szCs w:val="20"/>
          <w:lang w:val="es-ES_tradnl"/>
        </w:rPr>
        <w:t xml:space="preserve"> de [n]</w:t>
      </w:r>
      <w:proofErr w:type="spellStart"/>
      <w:r w:rsidRPr="00CA5ACF">
        <w:rPr>
          <w:rFonts w:ascii="Verdana" w:hAnsi="Verdana"/>
          <w:sz w:val="20"/>
          <w:szCs w:val="20"/>
          <w:lang w:val="es-ES_tradnl"/>
        </w:rPr>
        <w:t>ivel</w:t>
      </w:r>
      <w:proofErr w:type="spellEnd"/>
      <w:r w:rsidRPr="00CA5ACF">
        <w:rPr>
          <w:rFonts w:ascii="Verdana" w:hAnsi="Verdana"/>
          <w:sz w:val="20"/>
          <w:szCs w:val="20"/>
          <w:lang w:val="es-ES_tradnl"/>
        </w:rPr>
        <w:t xml:space="preserve"> de [r]</w:t>
      </w:r>
      <w:proofErr w:type="spellStart"/>
      <w:r w:rsidRPr="00CA5ACF">
        <w:rPr>
          <w:rFonts w:ascii="Verdana" w:hAnsi="Verdana"/>
          <w:sz w:val="20"/>
          <w:szCs w:val="20"/>
          <w:lang w:val="es-ES_tradnl"/>
        </w:rPr>
        <w:t>iesgo</w:t>
      </w:r>
      <w:proofErr w:type="spellEnd"/>
      <w:r w:rsidRPr="00CA5ACF">
        <w:rPr>
          <w:rFonts w:ascii="Verdana" w:hAnsi="Verdana"/>
          <w:sz w:val="20"/>
          <w:szCs w:val="20"/>
          <w:lang w:val="es-ES_tradnl"/>
        </w:rPr>
        <w:t>, […] valorado […] por las instancias competentes como […] extraordinario”</w:t>
      </w:r>
      <w:r w:rsidRPr="004A0C4F">
        <w:rPr>
          <w:rStyle w:val="FootnoteReference"/>
          <w:sz w:val="20"/>
          <w:szCs w:val="20"/>
          <w:lang w:val="es-ES_tradnl"/>
        </w:rPr>
        <w:footnoteReference w:id="13"/>
      </w:r>
      <w:r w:rsidRPr="004A0C4F">
        <w:rPr>
          <w:rFonts w:ascii="Verdana" w:hAnsi="Verdana"/>
          <w:sz w:val="20"/>
          <w:szCs w:val="20"/>
          <w:lang w:val="es-ES_tradnl"/>
        </w:rPr>
        <w:t>.</w:t>
      </w:r>
      <w:r w:rsidRPr="00CA5ACF">
        <w:rPr>
          <w:rFonts w:ascii="Verdana" w:hAnsi="Verdana"/>
          <w:sz w:val="20"/>
          <w:szCs w:val="20"/>
          <w:lang w:val="es-ES_tradnl"/>
        </w:rPr>
        <w:t xml:space="preserve"> También refrendaron la información estatal en cuanto a que el CERREM, “como resultado de esa ponderación de riesgo”, “determinó” las medidas señaladas (</w:t>
      </w:r>
      <w:r w:rsidRPr="00CA5ACF">
        <w:rPr>
          <w:rFonts w:ascii="Verdana" w:hAnsi="Verdana"/>
          <w:i/>
          <w:sz w:val="20"/>
          <w:szCs w:val="20"/>
          <w:lang w:val="es-ES_tradnl"/>
        </w:rPr>
        <w:t>supra</w:t>
      </w:r>
      <w:r w:rsidR="00417152">
        <w:rPr>
          <w:rFonts w:ascii="Verdana" w:hAnsi="Verdana"/>
          <w:sz w:val="20"/>
          <w:szCs w:val="20"/>
          <w:lang w:val="es-ES_tradnl"/>
        </w:rPr>
        <w:t xml:space="preserve"> Considerandos 31</w:t>
      </w:r>
      <w:r w:rsidRPr="00CA5ACF">
        <w:rPr>
          <w:rFonts w:ascii="Verdana" w:hAnsi="Verdana"/>
          <w:sz w:val="20"/>
          <w:szCs w:val="20"/>
          <w:lang w:val="es-ES_tradnl"/>
        </w:rPr>
        <w:t xml:space="preserve"> y </w:t>
      </w:r>
      <w:r w:rsidR="00417152">
        <w:rPr>
          <w:rFonts w:ascii="Verdana" w:hAnsi="Verdana"/>
          <w:sz w:val="20"/>
          <w:szCs w:val="20"/>
          <w:lang w:val="es-ES_tradnl"/>
        </w:rPr>
        <w:t>32</w:t>
      </w:r>
      <w:r w:rsidRPr="00CA5ACF">
        <w:rPr>
          <w:rFonts w:ascii="Verdana" w:hAnsi="Verdana"/>
          <w:sz w:val="20"/>
          <w:szCs w:val="20"/>
          <w:lang w:val="es-ES_tradnl"/>
        </w:rPr>
        <w:t>). No obstante, expresaron que ello se hizo de modo “unilateral”, “</w:t>
      </w:r>
      <w:r w:rsidRPr="00CA5ACF">
        <w:rPr>
          <w:rFonts w:ascii="Verdana" w:eastAsia="Calibri" w:hAnsi="Verdana" w:cs="Verdana"/>
          <w:sz w:val="20"/>
          <w:szCs w:val="20"/>
          <w:lang w:val="es-CR"/>
        </w:rPr>
        <w:t xml:space="preserve">sin siquiera una mínima consulta a las beneficiarias”. </w:t>
      </w:r>
      <w:r w:rsidRPr="00CA5ACF">
        <w:rPr>
          <w:rFonts w:ascii="Verdana" w:hAnsi="Verdana"/>
          <w:sz w:val="20"/>
          <w:szCs w:val="20"/>
          <w:lang w:val="es-ES_tradnl"/>
        </w:rPr>
        <w:t xml:space="preserve"> </w:t>
      </w:r>
    </w:p>
    <w:p w:rsidR="00C03B46" w:rsidRDefault="00C03B46" w:rsidP="00E50988">
      <w:pPr>
        <w:pStyle w:val="ListParagraph"/>
        <w:tabs>
          <w:tab w:val="left" w:pos="0"/>
        </w:tabs>
        <w:ind w:left="0" w:right="-90"/>
        <w:jc w:val="both"/>
        <w:rPr>
          <w:rFonts w:ascii="Verdana" w:hAnsi="Verdana"/>
          <w:sz w:val="20"/>
          <w:szCs w:val="20"/>
          <w:lang w:val="es-ES_tradnl"/>
        </w:rPr>
      </w:pPr>
    </w:p>
    <w:p w:rsidR="00047E26" w:rsidRPr="00E50988" w:rsidRDefault="00047E26" w:rsidP="00E50988">
      <w:pPr>
        <w:pStyle w:val="ListParagraph"/>
        <w:numPr>
          <w:ilvl w:val="0"/>
          <w:numId w:val="72"/>
        </w:numPr>
        <w:tabs>
          <w:tab w:val="left" w:pos="0"/>
        </w:tabs>
        <w:autoSpaceDE w:val="0"/>
        <w:autoSpaceDN w:val="0"/>
        <w:adjustRightInd w:val="0"/>
        <w:ind w:left="0" w:right="-90" w:firstLine="0"/>
        <w:jc w:val="both"/>
        <w:rPr>
          <w:rFonts w:ascii="Verdana" w:hAnsi="Verdana"/>
          <w:sz w:val="16"/>
          <w:szCs w:val="16"/>
          <w:lang w:val="es-ES_tradnl"/>
        </w:rPr>
      </w:pPr>
      <w:r w:rsidRPr="00E50988">
        <w:rPr>
          <w:rFonts w:ascii="Verdana" w:hAnsi="Verdana"/>
          <w:sz w:val="20"/>
          <w:szCs w:val="20"/>
          <w:lang w:val="es-ES_tradnl"/>
        </w:rPr>
        <w:t xml:space="preserve">El 3 de junio de 2016 las representantes indicaron que “las Resoluciones 241 y 243 de la </w:t>
      </w:r>
      <w:r w:rsidR="00671A96">
        <w:rPr>
          <w:rFonts w:ascii="Verdana" w:hAnsi="Verdana"/>
          <w:sz w:val="20"/>
          <w:szCs w:val="20"/>
          <w:lang w:val="es-ES_tradnl"/>
        </w:rPr>
        <w:t>[</w:t>
      </w:r>
      <w:r w:rsidRPr="00E50988">
        <w:rPr>
          <w:rFonts w:ascii="Verdana" w:hAnsi="Verdana"/>
          <w:sz w:val="20"/>
          <w:szCs w:val="20"/>
          <w:lang w:val="es-ES_tradnl"/>
        </w:rPr>
        <w:t>U</w:t>
      </w:r>
      <w:r w:rsidR="00671A96">
        <w:rPr>
          <w:rFonts w:ascii="Verdana" w:hAnsi="Verdana"/>
          <w:sz w:val="20"/>
          <w:szCs w:val="20"/>
          <w:lang w:val="es-ES_tradnl"/>
        </w:rPr>
        <w:t>NP]</w:t>
      </w:r>
      <w:r w:rsidRPr="00E50988">
        <w:rPr>
          <w:rFonts w:ascii="Verdana" w:hAnsi="Verdana"/>
          <w:sz w:val="20"/>
          <w:szCs w:val="20"/>
          <w:lang w:val="es-ES_tradnl"/>
        </w:rPr>
        <w:t>, del 2 de febrero de 2016, mediante las cuales se validaron los resultados de los estudios técnicos de Riesgo que habían sido realizados en el mes de octubre de</w:t>
      </w:r>
      <w:r w:rsidR="00CC5246">
        <w:rPr>
          <w:rFonts w:ascii="Verdana" w:hAnsi="Verdana"/>
          <w:sz w:val="20"/>
          <w:szCs w:val="20"/>
          <w:lang w:val="es-ES_tradnl"/>
        </w:rPr>
        <w:t xml:space="preserve"> </w:t>
      </w:r>
      <w:r w:rsidRPr="00E50988">
        <w:rPr>
          <w:rFonts w:ascii="Verdana" w:hAnsi="Verdana"/>
          <w:sz w:val="20"/>
          <w:szCs w:val="20"/>
          <w:lang w:val="es-ES_tradnl"/>
        </w:rPr>
        <w:t>2015, […] arrojaron nuevamente un resultado de riesgo extraordinario” respecto de las señoras Naranjo y Mosquera. También expresaron que en virtud de ello se establecieron</w:t>
      </w:r>
      <w:r w:rsidR="00671A96">
        <w:rPr>
          <w:rFonts w:ascii="Verdana" w:hAnsi="Verdana"/>
          <w:sz w:val="20"/>
          <w:szCs w:val="20"/>
          <w:lang w:val="es-ES_tradnl"/>
        </w:rPr>
        <w:t xml:space="preserve"> medidas </w:t>
      </w:r>
      <w:r w:rsidRPr="00E50988">
        <w:rPr>
          <w:rFonts w:ascii="Verdana" w:hAnsi="Verdana"/>
          <w:sz w:val="20"/>
          <w:szCs w:val="20"/>
          <w:lang w:val="es-ES_tradnl"/>
        </w:rPr>
        <w:t>“sin ninguna concertación con las beneficiarias</w:t>
      </w:r>
      <w:r w:rsidRPr="003F7929">
        <w:rPr>
          <w:rFonts w:ascii="Verdana" w:hAnsi="Verdana"/>
          <w:sz w:val="20"/>
          <w:szCs w:val="20"/>
          <w:lang w:val="es-ES_tradnl"/>
        </w:rPr>
        <w:t xml:space="preserve">”, las siguientes medidas de protección </w:t>
      </w:r>
      <w:r w:rsidR="00C03B46" w:rsidRPr="003F7929">
        <w:rPr>
          <w:rFonts w:ascii="Verdana" w:hAnsi="Verdana"/>
          <w:sz w:val="20"/>
          <w:szCs w:val="20"/>
          <w:lang w:val="es-ES_tradnl"/>
        </w:rPr>
        <w:t>“</w:t>
      </w:r>
      <w:r w:rsidRPr="003F7929">
        <w:rPr>
          <w:rFonts w:ascii="Verdana" w:eastAsia="Calibri" w:hAnsi="Verdana" w:cs="Verdana"/>
          <w:sz w:val="20"/>
          <w:szCs w:val="20"/>
          <w:lang w:val="es-CR"/>
        </w:rPr>
        <w:t>un medio de comunicación</w:t>
      </w:r>
      <w:r w:rsidR="003F7929">
        <w:rPr>
          <w:rFonts w:ascii="Verdana" w:eastAsia="Calibri" w:hAnsi="Verdana" w:cs="Verdana"/>
          <w:sz w:val="20"/>
          <w:szCs w:val="20"/>
          <w:lang w:val="es-CR"/>
        </w:rPr>
        <w:t xml:space="preserve"> […]</w:t>
      </w:r>
      <w:r w:rsidRPr="003F7929">
        <w:rPr>
          <w:rFonts w:ascii="Verdana" w:eastAsia="Calibri" w:hAnsi="Verdana" w:cs="Verdana"/>
          <w:sz w:val="20"/>
          <w:szCs w:val="20"/>
          <w:lang w:val="es-CR"/>
        </w:rPr>
        <w:t xml:space="preserve">, un chaleco blindado </w:t>
      </w:r>
      <w:r w:rsidR="003F7929">
        <w:rPr>
          <w:rFonts w:ascii="Verdana" w:eastAsia="Calibri" w:hAnsi="Verdana" w:cs="Verdana"/>
          <w:sz w:val="20"/>
          <w:szCs w:val="20"/>
          <w:lang w:val="es-CR"/>
        </w:rPr>
        <w:t xml:space="preserve">[…] </w:t>
      </w:r>
      <w:r w:rsidRPr="003F7929">
        <w:rPr>
          <w:rFonts w:ascii="Verdana" w:eastAsia="Calibri" w:hAnsi="Verdana" w:cs="Verdana"/>
          <w:sz w:val="20"/>
          <w:szCs w:val="20"/>
          <w:lang w:val="es-CR"/>
        </w:rPr>
        <w:t>y un apoyo para transporte</w:t>
      </w:r>
      <w:r w:rsidR="00C03B46" w:rsidRPr="003F7929">
        <w:rPr>
          <w:rFonts w:ascii="Verdana" w:eastAsia="Calibri" w:hAnsi="Verdana" w:cs="Verdana"/>
          <w:sz w:val="20"/>
          <w:szCs w:val="20"/>
          <w:lang w:val="es-CR"/>
        </w:rPr>
        <w:t>”</w:t>
      </w:r>
      <w:r w:rsidR="00CC5246">
        <w:rPr>
          <w:rFonts w:ascii="Verdana" w:eastAsia="Calibri" w:hAnsi="Verdana" w:cs="Verdana"/>
          <w:sz w:val="20"/>
          <w:szCs w:val="20"/>
          <w:lang w:val="es-CR"/>
        </w:rPr>
        <w:t>.</w:t>
      </w:r>
      <w:r w:rsidRPr="003F7929">
        <w:rPr>
          <w:rFonts w:ascii="Verdana" w:eastAsia="Calibri" w:hAnsi="Verdana" w:cs="Verdana"/>
          <w:sz w:val="20"/>
          <w:szCs w:val="20"/>
          <w:lang w:val="es-CR"/>
        </w:rPr>
        <w:t xml:space="preserve"> </w:t>
      </w:r>
    </w:p>
    <w:p w:rsidR="00047E26" w:rsidRPr="00BE210A" w:rsidRDefault="00047E26" w:rsidP="00A04D4D">
      <w:pPr>
        <w:pStyle w:val="FootnoteText"/>
        <w:tabs>
          <w:tab w:val="left" w:pos="0"/>
        </w:tabs>
        <w:ind w:right="-90"/>
        <w:rPr>
          <w:rFonts w:eastAsia="Times New Roman"/>
          <w:sz w:val="20"/>
          <w:lang w:val="es-ES_tradnl"/>
        </w:rPr>
      </w:pPr>
    </w:p>
    <w:p w:rsidR="001B57A6" w:rsidRPr="00E50988" w:rsidRDefault="00047E26" w:rsidP="00E50988">
      <w:pPr>
        <w:pStyle w:val="FootnoteText"/>
        <w:numPr>
          <w:ilvl w:val="0"/>
          <w:numId w:val="72"/>
        </w:numPr>
        <w:tabs>
          <w:tab w:val="left" w:pos="0"/>
        </w:tabs>
        <w:suppressAutoHyphens/>
        <w:ind w:left="0" w:right="-90" w:firstLine="0"/>
        <w:rPr>
          <w:rFonts w:eastAsia="Times New Roman"/>
          <w:sz w:val="20"/>
          <w:lang w:val="es-ES_tradnl"/>
        </w:rPr>
      </w:pPr>
      <w:r w:rsidRPr="00E50988">
        <w:rPr>
          <w:sz w:val="20"/>
          <w:lang w:val="es-ES_tradnl"/>
        </w:rPr>
        <w:lastRenderedPageBreak/>
        <w:t xml:space="preserve">La </w:t>
      </w:r>
      <w:r w:rsidRPr="00E50988">
        <w:rPr>
          <w:b/>
          <w:i/>
          <w:sz w:val="20"/>
          <w:lang w:val="es-ES_tradnl"/>
        </w:rPr>
        <w:t>Comisión</w:t>
      </w:r>
      <w:r w:rsidRPr="00E50988">
        <w:rPr>
          <w:sz w:val="20"/>
          <w:lang w:val="es-ES_tradnl"/>
        </w:rPr>
        <w:t xml:space="preserve"> señaló</w:t>
      </w:r>
      <w:r w:rsidR="00C30221">
        <w:rPr>
          <w:sz w:val="20"/>
          <w:lang w:val="es-ES_tradnl"/>
        </w:rPr>
        <w:t>,</w:t>
      </w:r>
      <w:r w:rsidR="001B57A6">
        <w:rPr>
          <w:sz w:val="20"/>
          <w:lang w:val="es-ES_tradnl"/>
        </w:rPr>
        <w:t xml:space="preserve"> e</w:t>
      </w:r>
      <w:r w:rsidR="004B3178">
        <w:rPr>
          <w:sz w:val="20"/>
          <w:lang w:val="es-ES_tradnl"/>
        </w:rPr>
        <w:t>l</w:t>
      </w:r>
      <w:r w:rsidRPr="00E50988">
        <w:rPr>
          <w:sz w:val="20"/>
          <w:lang w:val="es-ES_tradnl"/>
        </w:rPr>
        <w:t xml:space="preserve"> 19 de enero de 2016</w:t>
      </w:r>
      <w:r w:rsidR="00C30221">
        <w:rPr>
          <w:sz w:val="20"/>
          <w:lang w:val="es-ES_tradnl"/>
        </w:rPr>
        <w:t>,</w:t>
      </w:r>
      <w:r w:rsidR="00EC120F" w:rsidRPr="00EC120F">
        <w:rPr>
          <w:b/>
          <w:sz w:val="20"/>
          <w:lang w:val="es-ES_tradnl"/>
        </w:rPr>
        <w:t xml:space="preserve"> </w:t>
      </w:r>
      <w:r w:rsidRPr="00E50988">
        <w:rPr>
          <w:sz w:val="20"/>
          <w:lang w:val="es-ES_tradnl"/>
        </w:rPr>
        <w:t xml:space="preserve">que los criterios seguidos por el Estado para realizar el estudio de riesgo son compatibles con los estándares </w:t>
      </w:r>
      <w:r w:rsidR="004B3178">
        <w:rPr>
          <w:sz w:val="20"/>
          <w:lang w:val="es-ES_tradnl"/>
        </w:rPr>
        <w:t xml:space="preserve">asumidos por </w:t>
      </w:r>
      <w:r w:rsidRPr="00E50988">
        <w:rPr>
          <w:sz w:val="20"/>
          <w:lang w:val="es-ES_tradnl"/>
        </w:rPr>
        <w:t>la Comisión</w:t>
      </w:r>
      <w:r w:rsidR="004B3178" w:rsidRPr="004A0C4F">
        <w:rPr>
          <w:rStyle w:val="FootnoteReference"/>
          <w:sz w:val="20"/>
          <w:lang w:val="es-ES_tradnl"/>
        </w:rPr>
        <w:footnoteReference w:id="14"/>
      </w:r>
      <w:r w:rsidRPr="004A0C4F">
        <w:rPr>
          <w:sz w:val="20"/>
          <w:lang w:val="es-ES_tradnl"/>
        </w:rPr>
        <w:t>.</w:t>
      </w:r>
      <w:r w:rsidRPr="00E50988">
        <w:rPr>
          <w:sz w:val="20"/>
          <w:lang w:val="es-ES_tradnl"/>
        </w:rPr>
        <w:t xml:space="preserve"> </w:t>
      </w:r>
      <w:r w:rsidR="004D56F6" w:rsidRPr="00E50988">
        <w:rPr>
          <w:sz w:val="20"/>
          <w:lang w:val="es-CR"/>
        </w:rPr>
        <w:t>Sin perjuicio de ello, entendió que resultaba relevante</w:t>
      </w:r>
      <w:r w:rsidR="004D56F6">
        <w:rPr>
          <w:b/>
          <w:sz w:val="20"/>
          <w:lang w:val="es-CR"/>
        </w:rPr>
        <w:t xml:space="preserve"> </w:t>
      </w:r>
      <w:r w:rsidRPr="00E50988">
        <w:rPr>
          <w:sz w:val="20"/>
          <w:lang w:val="es-CR"/>
        </w:rPr>
        <w:t xml:space="preserve">que las representantes se refieran a la idoneidad de las medidas adoptadas para ambas beneficiarias en razón de dichos estudios de riesgo. </w:t>
      </w:r>
    </w:p>
    <w:p w:rsidR="001B57A6" w:rsidRDefault="001B57A6" w:rsidP="00E50988">
      <w:pPr>
        <w:pStyle w:val="ListParagraph"/>
        <w:tabs>
          <w:tab w:val="left" w:pos="0"/>
        </w:tabs>
        <w:ind w:left="0"/>
        <w:rPr>
          <w:sz w:val="20"/>
          <w:lang w:val="es-ES_tradnl"/>
        </w:rPr>
      </w:pPr>
    </w:p>
    <w:p w:rsidR="00A04D4D" w:rsidRPr="00E50988" w:rsidRDefault="00047E26" w:rsidP="00E50988">
      <w:pPr>
        <w:pStyle w:val="FootnoteText"/>
        <w:numPr>
          <w:ilvl w:val="0"/>
          <w:numId w:val="72"/>
        </w:numPr>
        <w:tabs>
          <w:tab w:val="left" w:pos="0"/>
        </w:tabs>
        <w:suppressAutoHyphens/>
        <w:ind w:left="0" w:right="-90" w:firstLine="0"/>
        <w:rPr>
          <w:rFonts w:eastAsia="Times New Roman"/>
          <w:sz w:val="20"/>
          <w:lang w:val="es-ES_tradnl"/>
        </w:rPr>
      </w:pPr>
      <w:r w:rsidRPr="00E50988">
        <w:rPr>
          <w:sz w:val="20"/>
          <w:lang w:val="es-ES_tradnl"/>
        </w:rPr>
        <w:t>El 5 de abril de 2017 la Comisión notó que</w:t>
      </w:r>
      <w:r w:rsidR="00C30221">
        <w:rPr>
          <w:sz w:val="20"/>
          <w:lang w:val="es-ES_tradnl"/>
        </w:rPr>
        <w:t>,</w:t>
      </w:r>
      <w:r w:rsidRPr="00E50988">
        <w:rPr>
          <w:sz w:val="20"/>
          <w:lang w:val="es-ES_tradnl"/>
        </w:rPr>
        <w:t xml:space="preserve"> de acuerdo a</w:t>
      </w:r>
      <w:r w:rsidR="00CC5246">
        <w:rPr>
          <w:sz w:val="20"/>
          <w:lang w:val="es-ES_tradnl"/>
        </w:rPr>
        <w:t xml:space="preserve"> la</w:t>
      </w:r>
      <w:r w:rsidRPr="00E50988">
        <w:rPr>
          <w:sz w:val="20"/>
          <w:lang w:val="es-ES_tradnl"/>
        </w:rPr>
        <w:t xml:space="preserve"> información estatal, el “esquema” de protección estaría vigente hasta el 28 de enero de 2017, y consideró necesario que el Estado “aporte información actualizada” al respecto.</w:t>
      </w:r>
      <w:r w:rsidRPr="00E50988">
        <w:rPr>
          <w:b/>
          <w:sz w:val="20"/>
          <w:lang w:val="es-ES_tradnl"/>
        </w:rPr>
        <w:t xml:space="preserve"> </w:t>
      </w:r>
    </w:p>
    <w:p w:rsidR="00A04D4D" w:rsidRDefault="00A04D4D" w:rsidP="00E50988">
      <w:pPr>
        <w:pStyle w:val="ListParagraph"/>
        <w:rPr>
          <w:sz w:val="20"/>
          <w:lang w:val="es-ES"/>
        </w:rPr>
      </w:pPr>
    </w:p>
    <w:p w:rsidR="00A04D4D" w:rsidRPr="00CA5ACF" w:rsidRDefault="00A04D4D" w:rsidP="004C4953">
      <w:pPr>
        <w:ind w:left="567" w:right="-90"/>
        <w:jc w:val="both"/>
        <w:rPr>
          <w:rFonts w:ascii="Verdana" w:hAnsi="Verdana"/>
          <w:i/>
          <w:sz w:val="20"/>
          <w:szCs w:val="20"/>
          <w:u w:val="single"/>
          <w:lang w:val="es-ES"/>
        </w:rPr>
      </w:pPr>
      <w:r w:rsidRPr="00CA5ACF">
        <w:rPr>
          <w:rFonts w:ascii="Verdana" w:hAnsi="Verdana"/>
          <w:i/>
          <w:sz w:val="20"/>
          <w:szCs w:val="20"/>
          <w:u w:val="single"/>
          <w:lang w:val="es-ES"/>
        </w:rPr>
        <w:t>B.4. Sobre las medidas relacionadas a los estudios de riesgo</w:t>
      </w:r>
    </w:p>
    <w:p w:rsidR="00A04D4D" w:rsidRDefault="00A04D4D" w:rsidP="00E50988">
      <w:pPr>
        <w:pStyle w:val="ListParagraph"/>
        <w:rPr>
          <w:sz w:val="20"/>
          <w:lang w:val="es-ES"/>
        </w:rPr>
      </w:pPr>
    </w:p>
    <w:p w:rsidR="0092290D" w:rsidRPr="00E50988" w:rsidRDefault="0092290D" w:rsidP="00E50988">
      <w:pPr>
        <w:pStyle w:val="FootnoteText"/>
        <w:numPr>
          <w:ilvl w:val="0"/>
          <w:numId w:val="72"/>
        </w:numPr>
        <w:tabs>
          <w:tab w:val="left" w:pos="0"/>
        </w:tabs>
        <w:suppressAutoHyphens/>
        <w:ind w:left="0" w:right="-90" w:firstLine="0"/>
        <w:rPr>
          <w:rFonts w:eastAsia="Times New Roman"/>
          <w:sz w:val="20"/>
          <w:lang w:val="es-ES_tradnl"/>
        </w:rPr>
      </w:pPr>
      <w:r w:rsidRPr="00E50988">
        <w:rPr>
          <w:sz w:val="20"/>
          <w:lang w:val="es-ES"/>
        </w:rPr>
        <w:t>Como surge de lo expuesto, la realización de los distintos estudios de riesgo determinó la implementación de determinadas medidas</w:t>
      </w:r>
      <w:r w:rsidR="00A661CB" w:rsidRPr="00E50988">
        <w:rPr>
          <w:sz w:val="20"/>
          <w:lang w:val="es-ES"/>
        </w:rPr>
        <w:t xml:space="preserve">. Por una parte, se determinó la </w:t>
      </w:r>
      <w:r w:rsidRPr="00E50988">
        <w:rPr>
          <w:sz w:val="20"/>
          <w:lang w:val="es-ES"/>
        </w:rPr>
        <w:t xml:space="preserve"> provisión a las señoras Mosquera y Naranjo de apoyos para el transporte</w:t>
      </w:r>
      <w:r w:rsidR="00A661CB" w:rsidRPr="00E50988">
        <w:rPr>
          <w:sz w:val="20"/>
          <w:lang w:val="es-ES"/>
        </w:rPr>
        <w:t>, medida que luego fue reemplazada por la prestación de</w:t>
      </w:r>
      <w:r w:rsidRPr="00E50988">
        <w:rPr>
          <w:sz w:val="20"/>
          <w:lang w:val="es-ES"/>
        </w:rPr>
        <w:t xml:space="preserve"> vehículos</w:t>
      </w:r>
      <w:r w:rsidR="00A661CB" w:rsidRPr="00E50988">
        <w:rPr>
          <w:sz w:val="20"/>
          <w:lang w:val="es-ES"/>
        </w:rPr>
        <w:t xml:space="preserve"> y</w:t>
      </w:r>
      <w:r w:rsidRPr="00E50988">
        <w:rPr>
          <w:sz w:val="20"/>
          <w:lang w:val="es-ES"/>
        </w:rPr>
        <w:t xml:space="preserve"> </w:t>
      </w:r>
      <w:r w:rsidR="00ED6F9C" w:rsidRPr="00E50988">
        <w:rPr>
          <w:sz w:val="20"/>
          <w:lang w:val="es-ES"/>
        </w:rPr>
        <w:t>personal de seguridad</w:t>
      </w:r>
      <w:r w:rsidR="00A661CB" w:rsidRPr="00E50988">
        <w:rPr>
          <w:sz w:val="20"/>
          <w:lang w:val="es-ES"/>
        </w:rPr>
        <w:t>. Por otra parte, también se determinó la procedencia de la prestación a las beneficiarias nombradas de</w:t>
      </w:r>
      <w:r w:rsidR="00ED6F9C" w:rsidRPr="00E50988">
        <w:rPr>
          <w:sz w:val="20"/>
          <w:lang w:val="es-ES"/>
        </w:rPr>
        <w:t xml:space="preserve"> medios de comunicaci</w:t>
      </w:r>
      <w:r w:rsidR="001B57A6" w:rsidRPr="00E50988">
        <w:rPr>
          <w:sz w:val="20"/>
          <w:lang w:val="es-ES"/>
        </w:rPr>
        <w:t xml:space="preserve">ón </w:t>
      </w:r>
      <w:r w:rsidR="00ED6F9C" w:rsidRPr="00E50988">
        <w:rPr>
          <w:sz w:val="20"/>
          <w:lang w:val="es-ES"/>
        </w:rPr>
        <w:t xml:space="preserve">y chalecos antibalas. </w:t>
      </w:r>
      <w:r w:rsidR="001B57A6" w:rsidRPr="00E50988">
        <w:rPr>
          <w:sz w:val="20"/>
          <w:lang w:val="es-ES"/>
        </w:rPr>
        <w:t>Como ya fue indicado (</w:t>
      </w:r>
      <w:r w:rsidR="001B57A6" w:rsidRPr="00E50988">
        <w:rPr>
          <w:i/>
          <w:sz w:val="20"/>
          <w:lang w:val="es-ES"/>
        </w:rPr>
        <w:t>supra</w:t>
      </w:r>
      <w:r w:rsidR="001B57A6" w:rsidRPr="00E50988">
        <w:rPr>
          <w:sz w:val="20"/>
          <w:lang w:val="es-ES"/>
        </w:rPr>
        <w:t xml:space="preserve"> Considerando </w:t>
      </w:r>
      <w:r w:rsidR="00417152">
        <w:rPr>
          <w:sz w:val="20"/>
          <w:lang w:val="es-ES"/>
        </w:rPr>
        <w:t>9</w:t>
      </w:r>
      <w:r w:rsidR="001B57A6" w:rsidRPr="00E50988">
        <w:rPr>
          <w:sz w:val="20"/>
          <w:lang w:val="es-ES"/>
        </w:rPr>
        <w:t>)</w:t>
      </w:r>
      <w:r w:rsidR="00515318">
        <w:rPr>
          <w:sz w:val="20"/>
          <w:lang w:val="es-ES"/>
        </w:rPr>
        <w:t xml:space="preserve"> </w:t>
      </w:r>
      <w:r w:rsidR="00EC120F">
        <w:rPr>
          <w:sz w:val="20"/>
          <w:lang w:val="es-ES"/>
        </w:rPr>
        <w:t>a</w:t>
      </w:r>
      <w:r w:rsidR="00ED6F9C" w:rsidRPr="00E50988">
        <w:rPr>
          <w:sz w:val="20"/>
          <w:lang w:val="es-ES"/>
        </w:rPr>
        <w:t xml:space="preserve">lgunas de esas medidas comenzaron a implementarse antes de la realización de </w:t>
      </w:r>
      <w:r w:rsidR="00A661CB" w:rsidRPr="00E50988">
        <w:rPr>
          <w:sz w:val="20"/>
          <w:lang w:val="es-ES"/>
        </w:rPr>
        <w:t>los</w:t>
      </w:r>
      <w:r w:rsidR="00ED6F9C" w:rsidRPr="00E50988">
        <w:rPr>
          <w:sz w:val="20"/>
          <w:lang w:val="es-ES"/>
        </w:rPr>
        <w:t xml:space="preserve"> estudios</w:t>
      </w:r>
      <w:r w:rsidR="00A661CB" w:rsidRPr="00E50988">
        <w:rPr>
          <w:sz w:val="20"/>
          <w:lang w:val="es-ES"/>
        </w:rPr>
        <w:t xml:space="preserve"> de riesgo aludidos</w:t>
      </w:r>
      <w:r w:rsidR="00ED6F9C" w:rsidRPr="00E50988">
        <w:rPr>
          <w:sz w:val="20"/>
          <w:lang w:val="es-ES"/>
        </w:rPr>
        <w:t xml:space="preserve">. </w:t>
      </w:r>
      <w:r w:rsidRPr="00E50988">
        <w:rPr>
          <w:sz w:val="20"/>
          <w:lang w:val="es-ES"/>
        </w:rPr>
        <w:t>A continuación se detalla información y observaciones allegadas a este Tribunal</w:t>
      </w:r>
      <w:r w:rsidR="00ED6F9C" w:rsidRPr="00E50988">
        <w:rPr>
          <w:sz w:val="20"/>
          <w:lang w:val="es-ES"/>
        </w:rPr>
        <w:t xml:space="preserve"> al respecto</w:t>
      </w:r>
      <w:r w:rsidRPr="00E50988">
        <w:rPr>
          <w:sz w:val="20"/>
          <w:lang w:val="es-ES"/>
        </w:rPr>
        <w:t xml:space="preserve">.   </w:t>
      </w:r>
    </w:p>
    <w:p w:rsidR="00ED6F9C" w:rsidRDefault="00ED6F9C" w:rsidP="00BB1630">
      <w:pPr>
        <w:pStyle w:val="Heading2"/>
        <w:spacing w:before="0"/>
        <w:ind w:left="810" w:right="-90"/>
        <w:jc w:val="both"/>
        <w:rPr>
          <w:rFonts w:ascii="Verdana" w:hAnsi="Verdana"/>
          <w:b w:val="0"/>
          <w:i/>
          <w:color w:val="auto"/>
          <w:sz w:val="20"/>
          <w:szCs w:val="20"/>
          <w:u w:val="single"/>
          <w:lang w:val="es-ES_tradnl"/>
        </w:rPr>
      </w:pPr>
    </w:p>
    <w:p w:rsidR="00BB1630" w:rsidRPr="00E50988" w:rsidRDefault="00574128" w:rsidP="005E3EDE">
      <w:pPr>
        <w:pStyle w:val="Heading2"/>
        <w:spacing w:before="0"/>
        <w:ind w:left="851" w:right="-90"/>
        <w:jc w:val="both"/>
        <w:rPr>
          <w:rFonts w:ascii="Verdana" w:hAnsi="Verdana"/>
          <w:i/>
          <w:sz w:val="20"/>
          <w:szCs w:val="20"/>
          <w:lang w:val="es-ES_tradnl"/>
        </w:rPr>
      </w:pPr>
      <w:r w:rsidRPr="00E50988">
        <w:rPr>
          <w:rFonts w:ascii="Verdana" w:hAnsi="Verdana"/>
          <w:b w:val="0"/>
          <w:i/>
          <w:color w:val="auto"/>
          <w:sz w:val="20"/>
          <w:szCs w:val="20"/>
          <w:lang w:val="es-ES_tradnl"/>
        </w:rPr>
        <w:t>B</w:t>
      </w:r>
      <w:r w:rsidR="00BB1630" w:rsidRPr="00E50988">
        <w:rPr>
          <w:rFonts w:ascii="Verdana" w:hAnsi="Verdana"/>
          <w:b w:val="0"/>
          <w:i/>
          <w:color w:val="auto"/>
          <w:sz w:val="20"/>
          <w:szCs w:val="20"/>
          <w:lang w:val="es-ES_tradnl"/>
        </w:rPr>
        <w:t>.4.</w:t>
      </w:r>
      <w:r w:rsidRPr="00E50988">
        <w:rPr>
          <w:rFonts w:ascii="Verdana" w:hAnsi="Verdana"/>
          <w:b w:val="0"/>
          <w:i/>
          <w:color w:val="auto"/>
          <w:sz w:val="20"/>
          <w:szCs w:val="20"/>
          <w:lang w:val="es-ES_tradnl"/>
        </w:rPr>
        <w:t>1</w:t>
      </w:r>
      <w:r w:rsidR="00BB1630" w:rsidRPr="00E50988">
        <w:rPr>
          <w:rFonts w:ascii="Verdana" w:hAnsi="Verdana"/>
          <w:b w:val="0"/>
          <w:i/>
          <w:color w:val="auto"/>
          <w:sz w:val="20"/>
          <w:szCs w:val="20"/>
          <w:lang w:val="es-ES_tradnl"/>
        </w:rPr>
        <w:t xml:space="preserve"> Sobre </w:t>
      </w:r>
      <w:r w:rsidR="00ED6F9C" w:rsidRPr="00E50988">
        <w:rPr>
          <w:rFonts w:ascii="Verdana" w:hAnsi="Verdana"/>
          <w:b w:val="0"/>
          <w:i/>
          <w:color w:val="auto"/>
          <w:sz w:val="20"/>
          <w:szCs w:val="20"/>
          <w:lang w:val="es-ES_tradnl"/>
        </w:rPr>
        <w:t>apoyos para transporte y provisión de vehículos</w:t>
      </w:r>
      <w:r w:rsidR="00BB1630" w:rsidRPr="00E50988">
        <w:rPr>
          <w:rFonts w:ascii="Verdana" w:hAnsi="Verdana"/>
          <w:b w:val="0"/>
          <w:i/>
          <w:color w:val="auto"/>
          <w:sz w:val="20"/>
          <w:szCs w:val="20"/>
          <w:lang w:val="es-ES_tradnl"/>
        </w:rPr>
        <w:t xml:space="preserve"> y escoltas</w:t>
      </w:r>
    </w:p>
    <w:p w:rsidR="00BB1630" w:rsidRPr="00BE210A" w:rsidRDefault="00BB1630" w:rsidP="00BB1630">
      <w:pPr>
        <w:tabs>
          <w:tab w:val="left" w:pos="810"/>
        </w:tabs>
        <w:ind w:right="-90"/>
        <w:jc w:val="both"/>
        <w:rPr>
          <w:rFonts w:ascii="Verdana" w:hAnsi="Verdana"/>
          <w:sz w:val="20"/>
          <w:szCs w:val="20"/>
          <w:lang w:val="es-ES_tradnl"/>
        </w:rPr>
      </w:pPr>
    </w:p>
    <w:p w:rsidR="0054173F" w:rsidRPr="00E50988" w:rsidRDefault="00BB1630" w:rsidP="00E50988">
      <w:pPr>
        <w:numPr>
          <w:ilvl w:val="0"/>
          <w:numId w:val="72"/>
        </w:numPr>
        <w:tabs>
          <w:tab w:val="left" w:pos="0"/>
        </w:tabs>
        <w:ind w:left="0" w:right="-90" w:firstLine="0"/>
        <w:jc w:val="both"/>
        <w:rPr>
          <w:rFonts w:ascii="Verdana" w:hAnsi="Verdana"/>
          <w:sz w:val="20"/>
          <w:szCs w:val="20"/>
          <w:lang w:val="es-ES_tradnl"/>
        </w:rPr>
      </w:pPr>
      <w:r w:rsidRPr="00BE210A">
        <w:rPr>
          <w:rFonts w:ascii="Verdana" w:hAnsi="Verdana"/>
          <w:sz w:val="20"/>
          <w:szCs w:val="20"/>
          <w:lang w:val="es-ES_tradnl"/>
        </w:rPr>
        <w:t xml:space="preserve">Conforme indicó el </w:t>
      </w:r>
      <w:r w:rsidRPr="00BE210A">
        <w:rPr>
          <w:rFonts w:ascii="Verdana" w:hAnsi="Verdana"/>
          <w:b/>
          <w:i/>
          <w:sz w:val="20"/>
          <w:szCs w:val="20"/>
          <w:lang w:val="es-ES_tradnl"/>
        </w:rPr>
        <w:t>Estado</w:t>
      </w:r>
      <w:r w:rsidR="00C30221">
        <w:rPr>
          <w:rFonts w:ascii="Verdana" w:hAnsi="Verdana"/>
          <w:b/>
          <w:i/>
          <w:sz w:val="20"/>
          <w:szCs w:val="20"/>
          <w:lang w:val="es-ES_tradnl"/>
        </w:rPr>
        <w:t>,</w:t>
      </w:r>
      <w:r w:rsidRPr="00BE210A">
        <w:rPr>
          <w:rFonts w:ascii="Verdana" w:hAnsi="Verdana"/>
          <w:sz w:val="20"/>
          <w:szCs w:val="20"/>
          <w:lang w:val="es-ES_tradnl"/>
        </w:rPr>
        <w:t xml:space="preserve"> </w:t>
      </w:r>
      <w:r w:rsidR="00ED6F9C">
        <w:rPr>
          <w:rFonts w:ascii="Verdana" w:hAnsi="Verdana"/>
          <w:sz w:val="20"/>
          <w:szCs w:val="20"/>
          <w:lang w:val="es-ES_tradnl"/>
        </w:rPr>
        <w:t>la provisión de apoyos económicos para el transporte</w:t>
      </w:r>
      <w:r w:rsidRPr="00BE210A">
        <w:rPr>
          <w:rFonts w:ascii="Verdana" w:hAnsi="Verdana"/>
          <w:sz w:val="20"/>
          <w:szCs w:val="20"/>
          <w:lang w:val="es-ES_tradnl"/>
        </w:rPr>
        <w:t xml:space="preserve"> comenzó a otorgarse en el mes de septiembre de 2012</w:t>
      </w:r>
      <w:r w:rsidR="001B57A6">
        <w:rPr>
          <w:rFonts w:ascii="Verdana" w:hAnsi="Verdana"/>
          <w:sz w:val="20"/>
          <w:szCs w:val="20"/>
          <w:lang w:val="es-ES_tradnl"/>
        </w:rPr>
        <w:t>.</w:t>
      </w:r>
      <w:r w:rsidRPr="00BE210A">
        <w:rPr>
          <w:rFonts w:ascii="Verdana" w:hAnsi="Verdana"/>
          <w:sz w:val="20"/>
          <w:szCs w:val="20"/>
          <w:lang w:val="es-ES_tradnl"/>
        </w:rPr>
        <w:t xml:space="preserve"> </w:t>
      </w:r>
      <w:r w:rsidR="009A786F" w:rsidRPr="00E50988">
        <w:rPr>
          <w:rFonts w:ascii="Verdana" w:hAnsi="Verdana"/>
          <w:sz w:val="20"/>
          <w:szCs w:val="20"/>
          <w:lang w:val="es-ES_tradnl"/>
        </w:rPr>
        <w:t>En sus info</w:t>
      </w:r>
      <w:r w:rsidR="00F33A74">
        <w:rPr>
          <w:rFonts w:ascii="Verdana" w:hAnsi="Verdana"/>
          <w:sz w:val="20"/>
          <w:szCs w:val="20"/>
          <w:lang w:val="es-ES_tradnl"/>
        </w:rPr>
        <w:t>rmes de 22 de diciembre de 2014;</w:t>
      </w:r>
      <w:r w:rsidR="009A786F" w:rsidRPr="00E50988">
        <w:rPr>
          <w:rFonts w:ascii="Verdana" w:hAnsi="Verdana"/>
          <w:sz w:val="20"/>
          <w:szCs w:val="20"/>
          <w:lang w:val="es-ES_tradnl"/>
        </w:rPr>
        <w:t xml:space="preserve"> 26 de febre</w:t>
      </w:r>
      <w:r w:rsidR="001B57A6" w:rsidRPr="00E50988">
        <w:rPr>
          <w:rFonts w:ascii="Verdana" w:hAnsi="Verdana"/>
          <w:sz w:val="20"/>
          <w:szCs w:val="20"/>
          <w:lang w:val="es-ES_tradnl"/>
        </w:rPr>
        <w:t>ro, 27 de abril, 1</w:t>
      </w:r>
      <w:r w:rsidR="00B94D7D">
        <w:rPr>
          <w:rFonts w:ascii="Verdana" w:hAnsi="Verdana"/>
          <w:sz w:val="20"/>
          <w:szCs w:val="20"/>
          <w:lang w:val="es-ES_tradnl"/>
        </w:rPr>
        <w:t>1</w:t>
      </w:r>
      <w:r w:rsidR="001B57A6" w:rsidRPr="00E50988">
        <w:rPr>
          <w:rFonts w:ascii="Verdana" w:hAnsi="Verdana"/>
          <w:sz w:val="20"/>
          <w:szCs w:val="20"/>
          <w:lang w:val="es-ES_tradnl"/>
        </w:rPr>
        <w:t xml:space="preserve"> de junio</w:t>
      </w:r>
      <w:r w:rsidR="001B57A6">
        <w:rPr>
          <w:rFonts w:ascii="Verdana" w:hAnsi="Verdana"/>
          <w:sz w:val="20"/>
          <w:szCs w:val="20"/>
          <w:lang w:val="es-ES_tradnl"/>
        </w:rPr>
        <w:t xml:space="preserve"> y</w:t>
      </w:r>
      <w:r w:rsidR="009A786F" w:rsidRPr="00E50988">
        <w:rPr>
          <w:rFonts w:ascii="Verdana" w:hAnsi="Verdana"/>
          <w:sz w:val="20"/>
          <w:szCs w:val="20"/>
          <w:lang w:val="es-ES_tradnl"/>
        </w:rPr>
        <w:t xml:space="preserve"> 4 de septiembre de 2015</w:t>
      </w:r>
      <w:r w:rsidR="001B57A6">
        <w:rPr>
          <w:rFonts w:ascii="Verdana" w:hAnsi="Verdana"/>
          <w:sz w:val="20"/>
          <w:szCs w:val="20"/>
          <w:lang w:val="es-ES_tradnl"/>
        </w:rPr>
        <w:t>,</w:t>
      </w:r>
      <w:r w:rsidR="009A786F" w:rsidRPr="00E50988">
        <w:rPr>
          <w:rFonts w:ascii="Verdana" w:hAnsi="Verdana"/>
          <w:sz w:val="20"/>
          <w:szCs w:val="20"/>
          <w:lang w:val="es-ES_tradnl"/>
        </w:rPr>
        <w:t xml:space="preserve"> y </w:t>
      </w:r>
      <w:r w:rsidR="00F33A74">
        <w:rPr>
          <w:rFonts w:ascii="Verdana" w:hAnsi="Verdana"/>
          <w:sz w:val="20"/>
          <w:szCs w:val="20"/>
          <w:lang w:val="es-ES_tradnl"/>
        </w:rPr>
        <w:t xml:space="preserve">de </w:t>
      </w:r>
      <w:r w:rsidR="009A786F" w:rsidRPr="00E50988">
        <w:rPr>
          <w:rFonts w:ascii="Verdana" w:hAnsi="Verdana"/>
          <w:sz w:val="20"/>
          <w:szCs w:val="20"/>
          <w:lang w:val="es-ES_tradnl"/>
        </w:rPr>
        <w:t>2</w:t>
      </w:r>
      <w:r w:rsidR="00B94D7D">
        <w:rPr>
          <w:rFonts w:ascii="Verdana" w:hAnsi="Verdana"/>
          <w:sz w:val="20"/>
          <w:szCs w:val="20"/>
          <w:lang w:val="es-ES_tradnl"/>
        </w:rPr>
        <w:t>6</w:t>
      </w:r>
      <w:r w:rsidR="009A786F" w:rsidRPr="00E50988">
        <w:rPr>
          <w:rFonts w:ascii="Verdana" w:hAnsi="Verdana"/>
          <w:sz w:val="20"/>
          <w:szCs w:val="20"/>
          <w:lang w:val="es-ES_tradnl"/>
        </w:rPr>
        <w:t xml:space="preserve"> de enero de 2016</w:t>
      </w:r>
      <w:r w:rsidR="00F33A74">
        <w:rPr>
          <w:rFonts w:ascii="Verdana" w:hAnsi="Verdana"/>
          <w:sz w:val="20"/>
          <w:szCs w:val="20"/>
          <w:lang w:val="es-ES_tradnl"/>
        </w:rPr>
        <w:t>,</w:t>
      </w:r>
      <w:r w:rsidR="009A786F" w:rsidRPr="00E50988">
        <w:rPr>
          <w:rFonts w:ascii="Verdana" w:hAnsi="Verdana"/>
          <w:sz w:val="20"/>
          <w:szCs w:val="20"/>
          <w:lang w:val="es-ES_tradnl"/>
        </w:rPr>
        <w:t xml:space="preserve"> </w:t>
      </w:r>
      <w:r w:rsidR="001B57A6">
        <w:rPr>
          <w:rFonts w:ascii="Verdana" w:hAnsi="Verdana"/>
          <w:sz w:val="20"/>
          <w:szCs w:val="20"/>
          <w:lang w:val="es-ES_tradnl"/>
        </w:rPr>
        <w:t>Colombia</w:t>
      </w:r>
      <w:r w:rsidR="009A786F" w:rsidRPr="00E50988">
        <w:rPr>
          <w:rFonts w:ascii="Verdana" w:hAnsi="Verdana"/>
          <w:sz w:val="20"/>
          <w:szCs w:val="20"/>
          <w:lang w:val="es-ES_tradnl"/>
        </w:rPr>
        <w:t xml:space="preserve"> informó que se aprobó a favor de </w:t>
      </w:r>
      <w:r w:rsidR="009A786F" w:rsidRPr="006931EB">
        <w:rPr>
          <w:rFonts w:ascii="Verdana" w:hAnsi="Verdana"/>
          <w:sz w:val="20"/>
          <w:szCs w:val="20"/>
          <w:lang w:val="es-ES_tradnl"/>
        </w:rPr>
        <w:t xml:space="preserve">la señora Naranjo </w:t>
      </w:r>
      <w:r w:rsidR="00E8254E" w:rsidRPr="006931EB">
        <w:rPr>
          <w:rFonts w:ascii="Verdana" w:hAnsi="Verdana"/>
          <w:sz w:val="20"/>
          <w:szCs w:val="20"/>
          <w:lang w:val="es-ES_tradnl"/>
        </w:rPr>
        <w:t xml:space="preserve">un </w:t>
      </w:r>
      <w:r w:rsidR="00F33A74">
        <w:rPr>
          <w:rFonts w:ascii="Verdana" w:hAnsi="Verdana"/>
          <w:sz w:val="20"/>
          <w:szCs w:val="20"/>
          <w:lang w:val="es-ES_tradnl"/>
        </w:rPr>
        <w:t>apoyo de transporte por dos</w:t>
      </w:r>
      <w:r w:rsidR="00E8254E" w:rsidRPr="006931EB">
        <w:rPr>
          <w:rFonts w:ascii="Verdana" w:hAnsi="Verdana"/>
          <w:sz w:val="20"/>
          <w:szCs w:val="20"/>
          <w:lang w:val="es-ES_tradnl"/>
        </w:rPr>
        <w:t xml:space="preserve"> salarios mínimos legales</w:t>
      </w:r>
      <w:r w:rsidR="00E8254E" w:rsidRPr="006931EB">
        <w:rPr>
          <w:rFonts w:ascii="Verdana" w:hAnsi="Verdana"/>
          <w:b/>
          <w:sz w:val="20"/>
          <w:szCs w:val="20"/>
          <w:lang w:val="es-ES_tradnl"/>
        </w:rPr>
        <w:t xml:space="preserve"> </w:t>
      </w:r>
      <w:r w:rsidR="009A786F" w:rsidRPr="006931EB">
        <w:rPr>
          <w:rFonts w:ascii="Verdana" w:hAnsi="Verdana"/>
          <w:sz w:val="20"/>
          <w:szCs w:val="20"/>
          <w:lang w:val="es-ES_tradnl"/>
        </w:rPr>
        <w:t xml:space="preserve">y </w:t>
      </w:r>
      <w:r w:rsidR="00E8254E" w:rsidRPr="006931EB">
        <w:rPr>
          <w:rFonts w:ascii="Verdana" w:hAnsi="Verdana"/>
          <w:sz w:val="20"/>
          <w:szCs w:val="20"/>
          <w:lang w:val="es-ES_tradnl"/>
        </w:rPr>
        <w:t xml:space="preserve">a favor de la señora </w:t>
      </w:r>
      <w:r w:rsidR="009A786F" w:rsidRPr="006931EB">
        <w:rPr>
          <w:rFonts w:ascii="Verdana" w:hAnsi="Verdana"/>
          <w:sz w:val="20"/>
          <w:szCs w:val="20"/>
          <w:lang w:val="es-ES_tradnl"/>
        </w:rPr>
        <w:t>Mosqu</w:t>
      </w:r>
      <w:r w:rsidR="00F33A74">
        <w:rPr>
          <w:rFonts w:ascii="Verdana" w:hAnsi="Verdana"/>
          <w:sz w:val="20"/>
          <w:szCs w:val="20"/>
          <w:lang w:val="es-ES_tradnl"/>
        </w:rPr>
        <w:t>era un apoyo de transporte por un</w:t>
      </w:r>
      <w:r w:rsidR="009A786F" w:rsidRPr="006931EB">
        <w:rPr>
          <w:rFonts w:ascii="Verdana" w:hAnsi="Verdana"/>
          <w:sz w:val="20"/>
          <w:szCs w:val="20"/>
          <w:lang w:val="es-ES_tradnl"/>
        </w:rPr>
        <w:t xml:space="preserve"> salario</w:t>
      </w:r>
      <w:r w:rsidR="00F33A74">
        <w:rPr>
          <w:rFonts w:ascii="Verdana" w:hAnsi="Verdana"/>
          <w:sz w:val="20"/>
          <w:szCs w:val="20"/>
          <w:lang w:val="es-ES_tradnl"/>
        </w:rPr>
        <w:t xml:space="preserve"> y medio</w:t>
      </w:r>
      <w:r w:rsidR="009A786F" w:rsidRPr="006931EB">
        <w:rPr>
          <w:rFonts w:ascii="Verdana" w:hAnsi="Verdana"/>
          <w:sz w:val="20"/>
          <w:szCs w:val="20"/>
          <w:lang w:val="es-ES_tradnl"/>
        </w:rPr>
        <w:t xml:space="preserve"> mínimo legal</w:t>
      </w:r>
      <w:r w:rsidR="00CC5246">
        <w:rPr>
          <w:rFonts w:ascii="Verdana" w:hAnsi="Verdana"/>
          <w:sz w:val="20"/>
          <w:szCs w:val="20"/>
          <w:lang w:val="es-ES_tradnl"/>
        </w:rPr>
        <w:t>.</w:t>
      </w:r>
      <w:r w:rsidR="009A786F" w:rsidRPr="00E50988">
        <w:rPr>
          <w:rFonts w:ascii="Verdana" w:hAnsi="Verdana"/>
          <w:b/>
          <w:sz w:val="20"/>
          <w:szCs w:val="20"/>
          <w:lang w:val="es-ES_tradnl"/>
        </w:rPr>
        <w:t xml:space="preserve"> </w:t>
      </w:r>
    </w:p>
    <w:p w:rsidR="0054173F" w:rsidRDefault="0054173F" w:rsidP="00E50988">
      <w:pPr>
        <w:tabs>
          <w:tab w:val="left" w:pos="0"/>
        </w:tabs>
        <w:ind w:right="-90"/>
        <w:jc w:val="both"/>
        <w:rPr>
          <w:rFonts w:ascii="Verdana" w:hAnsi="Verdana"/>
          <w:sz w:val="20"/>
          <w:szCs w:val="20"/>
          <w:lang w:val="es-ES_tradnl"/>
        </w:rPr>
      </w:pPr>
    </w:p>
    <w:p w:rsidR="0054173F" w:rsidRPr="00E50988" w:rsidRDefault="0054173F" w:rsidP="00E50988">
      <w:pPr>
        <w:numPr>
          <w:ilvl w:val="0"/>
          <w:numId w:val="72"/>
        </w:numPr>
        <w:tabs>
          <w:tab w:val="left" w:pos="0"/>
        </w:tabs>
        <w:ind w:left="0" w:right="-90" w:firstLine="0"/>
        <w:jc w:val="both"/>
        <w:rPr>
          <w:rFonts w:ascii="Verdana" w:hAnsi="Verdana"/>
          <w:sz w:val="20"/>
          <w:szCs w:val="20"/>
          <w:lang w:val="es-ES_tradnl"/>
        </w:rPr>
      </w:pPr>
      <w:r w:rsidRPr="00E50988">
        <w:rPr>
          <w:rFonts w:ascii="Verdana" w:hAnsi="Verdana"/>
          <w:sz w:val="20"/>
          <w:szCs w:val="20"/>
          <w:lang w:val="es-ES"/>
        </w:rPr>
        <w:t>El 30 de junio de 2016 el Estado informó que el 29 de abril del mismo año se celebró una reunión entre autoridades es</w:t>
      </w:r>
      <w:r w:rsidR="00F33A74">
        <w:rPr>
          <w:rFonts w:ascii="Verdana" w:hAnsi="Verdana"/>
          <w:sz w:val="20"/>
          <w:szCs w:val="20"/>
          <w:lang w:val="es-ES"/>
        </w:rPr>
        <w:t xml:space="preserve">tatales y </w:t>
      </w:r>
      <w:r w:rsidRPr="00E50988">
        <w:rPr>
          <w:rFonts w:ascii="Verdana" w:hAnsi="Verdana"/>
          <w:sz w:val="20"/>
          <w:szCs w:val="20"/>
          <w:lang w:val="es-ES"/>
        </w:rPr>
        <w:t>la señora Naranjo y sus representantes</w:t>
      </w:r>
      <w:r w:rsidR="00F33A74">
        <w:rPr>
          <w:rFonts w:ascii="Verdana" w:hAnsi="Verdana"/>
          <w:sz w:val="20"/>
          <w:szCs w:val="20"/>
          <w:lang w:val="es-ES"/>
        </w:rPr>
        <w:t>,</w:t>
      </w:r>
      <w:r w:rsidRPr="00E50988">
        <w:rPr>
          <w:rFonts w:ascii="Verdana" w:hAnsi="Verdana"/>
          <w:sz w:val="20"/>
          <w:szCs w:val="20"/>
          <w:lang w:val="es-ES"/>
        </w:rPr>
        <w:t xml:space="preserve"> en la que éstas manifestaron dificultades en relación con algunas “medidas materiales”, en particular, respecto al pago de los apoyos de transporte, solicitando vehículos. Frente a eso, se señaló en la reunión que se consideraría la solicitud, aclarando que la asignación de vehículos “venía acompañad[a] con hombres de protección”. </w:t>
      </w:r>
    </w:p>
    <w:p w:rsidR="009A786F" w:rsidRDefault="009A786F" w:rsidP="00E50988">
      <w:pPr>
        <w:tabs>
          <w:tab w:val="left" w:pos="0"/>
        </w:tabs>
        <w:ind w:right="-90"/>
        <w:jc w:val="both"/>
        <w:rPr>
          <w:rFonts w:ascii="Verdana" w:hAnsi="Verdana"/>
          <w:sz w:val="20"/>
          <w:szCs w:val="20"/>
          <w:lang w:val="es-ES_tradnl"/>
        </w:rPr>
      </w:pPr>
    </w:p>
    <w:p w:rsidR="00190232" w:rsidRPr="00E50988" w:rsidRDefault="00BB1630" w:rsidP="00E50988">
      <w:pPr>
        <w:numPr>
          <w:ilvl w:val="0"/>
          <w:numId w:val="72"/>
        </w:numPr>
        <w:tabs>
          <w:tab w:val="left" w:pos="0"/>
        </w:tabs>
        <w:ind w:left="0" w:right="-90" w:firstLine="0"/>
        <w:jc w:val="both"/>
        <w:rPr>
          <w:rFonts w:ascii="Verdana" w:hAnsi="Verdana"/>
          <w:sz w:val="20"/>
          <w:szCs w:val="20"/>
          <w:lang w:val="es-ES_tradnl"/>
        </w:rPr>
      </w:pPr>
      <w:r w:rsidRPr="00E50988">
        <w:rPr>
          <w:rFonts w:ascii="Verdana" w:hAnsi="Verdana"/>
          <w:sz w:val="20"/>
          <w:szCs w:val="20"/>
          <w:lang w:val="es-ES_tradnl"/>
        </w:rPr>
        <w:t>El 22 de agosto de 2016 el Estado informó que en función de lo determinado el 27 de julio de ese año (</w:t>
      </w:r>
      <w:r w:rsidRPr="00E50988">
        <w:rPr>
          <w:rFonts w:ascii="Verdana" w:hAnsi="Verdana"/>
          <w:i/>
          <w:sz w:val="20"/>
          <w:szCs w:val="20"/>
          <w:lang w:val="es-ES_tradnl"/>
        </w:rPr>
        <w:t>supra</w:t>
      </w:r>
      <w:r w:rsidRPr="00E50988">
        <w:rPr>
          <w:rFonts w:ascii="Verdana" w:hAnsi="Verdana"/>
          <w:sz w:val="20"/>
          <w:szCs w:val="20"/>
          <w:lang w:val="es-ES_tradnl"/>
        </w:rPr>
        <w:t xml:space="preserve"> Considerando </w:t>
      </w:r>
      <w:r w:rsidR="00EF3A96">
        <w:rPr>
          <w:rFonts w:ascii="Verdana" w:hAnsi="Verdana"/>
          <w:sz w:val="20"/>
          <w:szCs w:val="20"/>
          <w:lang w:val="es-ES_tradnl"/>
        </w:rPr>
        <w:t>33</w:t>
      </w:r>
      <w:r w:rsidRPr="00E50988">
        <w:rPr>
          <w:rFonts w:ascii="Verdana" w:hAnsi="Verdana"/>
          <w:sz w:val="20"/>
          <w:szCs w:val="20"/>
          <w:lang w:val="es-ES_tradnl"/>
        </w:rPr>
        <w:t xml:space="preserve">), el 4 de agosto de 2016 se entregó un vehículo y el 8 de agosto siguiente </w:t>
      </w:r>
      <w:r w:rsidR="009A786F">
        <w:rPr>
          <w:rFonts w:ascii="Verdana" w:hAnsi="Verdana"/>
          <w:sz w:val="20"/>
          <w:szCs w:val="20"/>
          <w:lang w:val="es-ES_tradnl"/>
        </w:rPr>
        <w:t xml:space="preserve">se </w:t>
      </w:r>
      <w:r w:rsidRPr="00E50988">
        <w:rPr>
          <w:rFonts w:ascii="Verdana" w:hAnsi="Verdana"/>
          <w:sz w:val="20"/>
          <w:szCs w:val="20"/>
          <w:lang w:val="es-ES_tradnl"/>
        </w:rPr>
        <w:t>presentó a las beneficiaras tres escoltas asignados. Colombia manifestó q</w:t>
      </w:r>
      <w:r w:rsidR="00CC5246">
        <w:rPr>
          <w:rFonts w:ascii="Verdana" w:hAnsi="Verdana"/>
          <w:sz w:val="20"/>
          <w:szCs w:val="20"/>
          <w:lang w:val="es-ES_tradnl"/>
        </w:rPr>
        <w:t>ue la señora Naranjo solo aceptó</w:t>
      </w:r>
      <w:r w:rsidRPr="00E50988">
        <w:rPr>
          <w:rFonts w:ascii="Verdana" w:hAnsi="Verdana"/>
          <w:sz w:val="20"/>
          <w:szCs w:val="20"/>
          <w:lang w:val="es-ES_tradnl"/>
        </w:rPr>
        <w:t xml:space="preserve"> la asignación de uno, expresando que contar con tres la hacían a ella “muy visible”. </w:t>
      </w:r>
      <w:r w:rsidR="00190232" w:rsidRPr="003F7929">
        <w:rPr>
          <w:rFonts w:ascii="Verdana" w:hAnsi="Verdana"/>
          <w:sz w:val="16"/>
          <w:szCs w:val="16"/>
          <w:lang w:val="es-ES_tradnl"/>
        </w:rPr>
        <w:t xml:space="preserve"> </w:t>
      </w:r>
      <w:r w:rsidR="00190232">
        <w:rPr>
          <w:rFonts w:ascii="Verdana" w:hAnsi="Verdana"/>
          <w:sz w:val="20"/>
          <w:szCs w:val="20"/>
          <w:lang w:val="es-ES_tradnl"/>
        </w:rPr>
        <w:t>En el mismo sentido, e</w:t>
      </w:r>
      <w:r w:rsidR="00190232" w:rsidRPr="00E50988">
        <w:rPr>
          <w:rFonts w:ascii="Verdana" w:hAnsi="Verdana"/>
          <w:sz w:val="20"/>
          <w:szCs w:val="20"/>
          <w:lang w:val="es-ES_tradnl"/>
        </w:rPr>
        <w:t>l 5 de julio de 2017 Colombia indicó que las beneficiarias no habían aceptado la asignación de dos hombres de protección.</w:t>
      </w:r>
      <w:r w:rsidR="00190232" w:rsidRPr="00E50988">
        <w:rPr>
          <w:rFonts w:ascii="Verdana" w:hAnsi="Verdana"/>
          <w:b/>
          <w:sz w:val="20"/>
          <w:szCs w:val="20"/>
          <w:lang w:val="es-ES_tradnl"/>
        </w:rPr>
        <w:t xml:space="preserve"> </w:t>
      </w:r>
    </w:p>
    <w:p w:rsidR="00190232" w:rsidRPr="00BE210A" w:rsidRDefault="00190232" w:rsidP="00A04D4D">
      <w:pPr>
        <w:tabs>
          <w:tab w:val="left" w:pos="0"/>
        </w:tabs>
        <w:ind w:right="-90"/>
        <w:jc w:val="both"/>
        <w:rPr>
          <w:rFonts w:ascii="Verdana" w:hAnsi="Verdana"/>
          <w:sz w:val="20"/>
          <w:szCs w:val="20"/>
          <w:lang w:val="es-ES_tradnl"/>
        </w:rPr>
      </w:pPr>
    </w:p>
    <w:p w:rsidR="0054173F" w:rsidRPr="00E50988" w:rsidRDefault="00BB1630" w:rsidP="00E50988">
      <w:pPr>
        <w:numPr>
          <w:ilvl w:val="0"/>
          <w:numId w:val="72"/>
        </w:numPr>
        <w:tabs>
          <w:tab w:val="left" w:pos="0"/>
        </w:tabs>
        <w:ind w:left="0" w:right="-90" w:firstLine="0"/>
        <w:jc w:val="both"/>
        <w:rPr>
          <w:rFonts w:ascii="Verdana" w:hAnsi="Verdana"/>
          <w:sz w:val="20"/>
          <w:szCs w:val="20"/>
          <w:lang w:val="es-ES_tradnl"/>
        </w:rPr>
      </w:pPr>
      <w:r w:rsidRPr="00BE210A">
        <w:rPr>
          <w:rFonts w:ascii="Verdana" w:hAnsi="Verdana"/>
          <w:sz w:val="20"/>
          <w:szCs w:val="20"/>
          <w:lang w:val="es-ES_tradnl"/>
        </w:rPr>
        <w:t xml:space="preserve">Las </w:t>
      </w:r>
      <w:r w:rsidRPr="00BE210A">
        <w:rPr>
          <w:rFonts w:ascii="Verdana" w:hAnsi="Verdana"/>
          <w:b/>
          <w:i/>
          <w:sz w:val="20"/>
          <w:szCs w:val="20"/>
          <w:lang w:val="es-ES_tradnl"/>
        </w:rPr>
        <w:t>representantes</w:t>
      </w:r>
      <w:r w:rsidR="00555E88">
        <w:rPr>
          <w:rFonts w:ascii="Verdana" w:hAnsi="Verdana"/>
          <w:sz w:val="20"/>
          <w:szCs w:val="20"/>
          <w:lang w:val="es-ES_tradnl"/>
        </w:rPr>
        <w:t xml:space="preserve"> </w:t>
      </w:r>
      <w:r w:rsidR="0054173F">
        <w:rPr>
          <w:rFonts w:ascii="Verdana" w:hAnsi="Verdana"/>
          <w:sz w:val="20"/>
          <w:szCs w:val="20"/>
          <w:lang w:val="es-ES_tradnl"/>
        </w:rPr>
        <w:t>presenta</w:t>
      </w:r>
      <w:r w:rsidR="00555E88">
        <w:rPr>
          <w:rFonts w:ascii="Verdana" w:hAnsi="Verdana"/>
          <w:sz w:val="20"/>
          <w:szCs w:val="20"/>
          <w:lang w:val="es-ES_tradnl"/>
        </w:rPr>
        <w:t xml:space="preserve">ron </w:t>
      </w:r>
      <w:r w:rsidR="0054173F">
        <w:rPr>
          <w:rFonts w:ascii="Verdana" w:hAnsi="Verdana"/>
          <w:sz w:val="20"/>
          <w:szCs w:val="20"/>
          <w:lang w:val="es-ES_tradnl"/>
        </w:rPr>
        <w:t xml:space="preserve">diversas </w:t>
      </w:r>
      <w:r w:rsidRPr="00BE210A">
        <w:rPr>
          <w:rFonts w:ascii="Verdana" w:hAnsi="Verdana"/>
          <w:sz w:val="20"/>
          <w:szCs w:val="20"/>
          <w:lang w:val="es-ES_tradnl"/>
        </w:rPr>
        <w:t xml:space="preserve">observaciones </w:t>
      </w:r>
      <w:r w:rsidR="0054173F">
        <w:rPr>
          <w:rFonts w:ascii="Verdana" w:hAnsi="Verdana"/>
          <w:sz w:val="20"/>
          <w:szCs w:val="20"/>
          <w:lang w:val="es-ES_tradnl"/>
        </w:rPr>
        <w:t xml:space="preserve">y quejas </w:t>
      </w:r>
      <w:r w:rsidRPr="00BE210A">
        <w:rPr>
          <w:rFonts w:ascii="Verdana" w:hAnsi="Verdana"/>
          <w:sz w:val="20"/>
          <w:szCs w:val="20"/>
          <w:lang w:val="es-ES_tradnl"/>
        </w:rPr>
        <w:t xml:space="preserve">en cuanto a la implementación de </w:t>
      </w:r>
      <w:r w:rsidR="0054173F">
        <w:rPr>
          <w:rFonts w:ascii="Verdana" w:hAnsi="Verdana"/>
          <w:sz w:val="20"/>
          <w:szCs w:val="20"/>
          <w:lang w:val="es-ES_tradnl"/>
        </w:rPr>
        <w:t>la</w:t>
      </w:r>
      <w:r w:rsidRPr="00BE210A">
        <w:rPr>
          <w:rFonts w:ascii="Verdana" w:hAnsi="Verdana"/>
          <w:sz w:val="20"/>
          <w:szCs w:val="20"/>
          <w:lang w:val="es-ES_tradnl"/>
        </w:rPr>
        <w:t xml:space="preserve"> medida de</w:t>
      </w:r>
      <w:r w:rsidR="0054173F">
        <w:rPr>
          <w:rFonts w:ascii="Verdana" w:hAnsi="Verdana"/>
          <w:sz w:val="20"/>
          <w:szCs w:val="20"/>
          <w:lang w:val="es-ES_tradnl"/>
        </w:rPr>
        <w:t xml:space="preserve"> apoyo para el transporte</w:t>
      </w:r>
      <w:r w:rsidRPr="00BE210A">
        <w:rPr>
          <w:rFonts w:ascii="Verdana" w:hAnsi="Verdana"/>
          <w:sz w:val="20"/>
          <w:szCs w:val="20"/>
          <w:lang w:val="es-ES_tradnl"/>
        </w:rPr>
        <w:t xml:space="preserve">. </w:t>
      </w:r>
      <w:r w:rsidR="0054173F">
        <w:rPr>
          <w:rFonts w:ascii="Verdana" w:hAnsi="Verdana"/>
          <w:sz w:val="20"/>
          <w:szCs w:val="20"/>
          <w:lang w:val="es-ES_tradnl"/>
        </w:rPr>
        <w:t xml:space="preserve">En particular, mencionaron que hubo </w:t>
      </w:r>
      <w:r w:rsidRPr="00BE210A">
        <w:rPr>
          <w:rFonts w:ascii="Verdana" w:hAnsi="Verdana"/>
          <w:sz w:val="20"/>
          <w:szCs w:val="20"/>
          <w:lang w:val="es-ES_tradnl"/>
        </w:rPr>
        <w:t>atraso en el pago del servicio de transporte, el que e</w:t>
      </w:r>
      <w:r w:rsidR="0054173F">
        <w:rPr>
          <w:rFonts w:ascii="Verdana" w:hAnsi="Verdana"/>
          <w:sz w:val="20"/>
          <w:szCs w:val="20"/>
          <w:lang w:val="es-ES_tradnl"/>
        </w:rPr>
        <w:t>ra</w:t>
      </w:r>
      <w:r w:rsidRPr="00BE210A">
        <w:rPr>
          <w:rFonts w:ascii="Verdana" w:hAnsi="Verdana"/>
          <w:sz w:val="20"/>
          <w:szCs w:val="20"/>
          <w:lang w:val="es-ES_tradnl"/>
        </w:rPr>
        <w:t xml:space="preserve"> abonado por las señoras Naranjo y Mosquera y luego reintegrado por el Estado</w:t>
      </w:r>
      <w:r w:rsidRPr="00BE210A">
        <w:rPr>
          <w:rStyle w:val="FootnoteReference"/>
          <w:sz w:val="20"/>
          <w:szCs w:val="20"/>
          <w:lang w:val="es-ES_tradnl"/>
        </w:rPr>
        <w:footnoteReference w:id="15"/>
      </w:r>
      <w:r w:rsidR="0054173F">
        <w:rPr>
          <w:rFonts w:ascii="Verdana" w:hAnsi="Verdana"/>
          <w:sz w:val="20"/>
          <w:szCs w:val="20"/>
          <w:lang w:val="es-ES_tradnl"/>
        </w:rPr>
        <w:t>. También refirieron un</w:t>
      </w:r>
      <w:r w:rsidRPr="00BE210A">
        <w:rPr>
          <w:rFonts w:ascii="Verdana" w:hAnsi="Verdana"/>
          <w:sz w:val="20"/>
          <w:szCs w:val="20"/>
          <w:lang w:val="es-ES_tradnl"/>
        </w:rPr>
        <w:t xml:space="preserve"> </w:t>
      </w:r>
      <w:r w:rsidRPr="00BE210A">
        <w:rPr>
          <w:rFonts w:ascii="Verdana" w:hAnsi="Verdana"/>
          <w:sz w:val="20"/>
          <w:szCs w:val="20"/>
          <w:lang w:val="es-ES_tradnl"/>
        </w:rPr>
        <w:lastRenderedPageBreak/>
        <w:t xml:space="preserve">incumplimiento en el monto que debía otorgarse, el que alegan </w:t>
      </w:r>
      <w:r w:rsidR="0054173F">
        <w:rPr>
          <w:rFonts w:ascii="Verdana" w:hAnsi="Verdana"/>
          <w:sz w:val="20"/>
          <w:szCs w:val="20"/>
          <w:lang w:val="es-ES_tradnl"/>
        </w:rPr>
        <w:t>fue</w:t>
      </w:r>
      <w:r w:rsidRPr="00BE210A">
        <w:rPr>
          <w:rFonts w:ascii="Verdana" w:hAnsi="Verdana"/>
          <w:sz w:val="20"/>
          <w:szCs w:val="20"/>
          <w:lang w:val="es-ES_tradnl"/>
        </w:rPr>
        <w:t xml:space="preserve"> inferior al correspondiente</w:t>
      </w:r>
      <w:r w:rsidRPr="00BE210A">
        <w:rPr>
          <w:rStyle w:val="FootnoteReference"/>
          <w:sz w:val="20"/>
          <w:szCs w:val="20"/>
          <w:lang w:val="es-ES_tradnl"/>
        </w:rPr>
        <w:footnoteReference w:id="16"/>
      </w:r>
      <w:r w:rsidRPr="00BE210A">
        <w:rPr>
          <w:rFonts w:ascii="Verdana" w:hAnsi="Verdana"/>
          <w:sz w:val="20"/>
          <w:szCs w:val="20"/>
          <w:lang w:val="es-ES_tradnl"/>
        </w:rPr>
        <w:t xml:space="preserve">. </w:t>
      </w:r>
      <w:r>
        <w:rPr>
          <w:rFonts w:ascii="Verdana" w:hAnsi="Verdana"/>
          <w:sz w:val="20"/>
          <w:szCs w:val="20"/>
          <w:lang w:val="es-ES_tradnl"/>
        </w:rPr>
        <w:t>El 3 de junio de 2016 las representantes se quejaron de que a partir de las Resoluciones de la UNP de febrero de ese año (</w:t>
      </w:r>
      <w:r w:rsidR="007D4AEB">
        <w:rPr>
          <w:rFonts w:ascii="Verdana" w:hAnsi="Verdana"/>
          <w:i/>
          <w:sz w:val="20"/>
          <w:szCs w:val="20"/>
          <w:lang w:val="es-ES_tradnl"/>
        </w:rPr>
        <w:t>su</w:t>
      </w:r>
      <w:r>
        <w:rPr>
          <w:rFonts w:ascii="Verdana" w:hAnsi="Verdana"/>
          <w:i/>
          <w:sz w:val="20"/>
          <w:szCs w:val="20"/>
          <w:lang w:val="es-ES_tradnl"/>
        </w:rPr>
        <w:t>p</w:t>
      </w:r>
      <w:r w:rsidR="007D4AEB">
        <w:rPr>
          <w:rFonts w:ascii="Verdana" w:hAnsi="Verdana"/>
          <w:i/>
          <w:sz w:val="20"/>
          <w:szCs w:val="20"/>
          <w:lang w:val="es-ES_tradnl"/>
        </w:rPr>
        <w:t>r</w:t>
      </w:r>
      <w:r>
        <w:rPr>
          <w:rFonts w:ascii="Verdana" w:hAnsi="Verdana"/>
          <w:i/>
          <w:sz w:val="20"/>
          <w:szCs w:val="20"/>
          <w:lang w:val="es-ES_tradnl"/>
        </w:rPr>
        <w:t>a</w:t>
      </w:r>
      <w:r>
        <w:rPr>
          <w:rFonts w:ascii="Verdana" w:hAnsi="Verdana"/>
          <w:sz w:val="20"/>
          <w:szCs w:val="20"/>
          <w:lang w:val="es-ES_tradnl"/>
        </w:rPr>
        <w:t xml:space="preserve"> Considerando </w:t>
      </w:r>
      <w:r w:rsidR="00EF3A96">
        <w:rPr>
          <w:rFonts w:ascii="Verdana" w:hAnsi="Verdana"/>
          <w:sz w:val="20"/>
          <w:szCs w:val="20"/>
          <w:lang w:val="es-ES_tradnl"/>
        </w:rPr>
        <w:t>32</w:t>
      </w:r>
      <w:r>
        <w:rPr>
          <w:rFonts w:ascii="Verdana" w:hAnsi="Verdana"/>
          <w:sz w:val="20"/>
          <w:szCs w:val="20"/>
          <w:lang w:val="es-ES_tradnl"/>
        </w:rPr>
        <w:t xml:space="preserve">), </w:t>
      </w:r>
      <w:r w:rsidRPr="00CA5ACF">
        <w:rPr>
          <w:rFonts w:ascii="Verdana" w:eastAsia="Calibri" w:hAnsi="Verdana" w:cs="Verdana"/>
          <w:sz w:val="20"/>
          <w:szCs w:val="20"/>
          <w:lang w:val="es-ES_tradnl"/>
        </w:rPr>
        <w:t>e</w:t>
      </w:r>
      <w:r w:rsidRPr="00CA5ACF">
        <w:rPr>
          <w:rFonts w:ascii="Verdana" w:eastAsia="Calibri" w:hAnsi="Verdana" w:cs="Verdana"/>
          <w:sz w:val="20"/>
          <w:szCs w:val="20"/>
          <w:lang w:val="es-CR"/>
        </w:rPr>
        <w:t xml:space="preserve">l “apoyo para transporte […] sin ninguna justificación fue rebajado a un salario y medio para la señora Socorro Mosquera Londoño, cuando se había aprobado </w:t>
      </w:r>
      <w:r>
        <w:rPr>
          <w:rFonts w:ascii="Verdana" w:eastAsia="Calibri" w:hAnsi="Verdana" w:cs="Verdana"/>
          <w:sz w:val="20"/>
          <w:szCs w:val="20"/>
          <w:lang w:val="es-CR"/>
        </w:rPr>
        <w:t>[…]</w:t>
      </w:r>
      <w:r w:rsidR="007D4AEB">
        <w:rPr>
          <w:rFonts w:ascii="Verdana" w:eastAsia="Calibri" w:hAnsi="Verdana" w:cs="Verdana"/>
          <w:sz w:val="20"/>
          <w:szCs w:val="20"/>
          <w:lang w:val="es-CR"/>
        </w:rPr>
        <w:t xml:space="preserve"> </w:t>
      </w:r>
      <w:r w:rsidRPr="00CA5ACF">
        <w:rPr>
          <w:rFonts w:ascii="Verdana" w:eastAsia="Calibri" w:hAnsi="Verdana" w:cs="Verdana"/>
          <w:sz w:val="20"/>
          <w:szCs w:val="20"/>
          <w:lang w:val="es-CR"/>
        </w:rPr>
        <w:t xml:space="preserve">tiempo atrás que para las dos beneficiarias fuese de dos Salarios Mínimos Legales Mensuales Vigentes”. </w:t>
      </w:r>
    </w:p>
    <w:p w:rsidR="0054173F" w:rsidRDefault="0054173F" w:rsidP="00E50988">
      <w:pPr>
        <w:pStyle w:val="ListParagraph"/>
        <w:tabs>
          <w:tab w:val="left" w:pos="0"/>
        </w:tabs>
        <w:ind w:left="0"/>
        <w:rPr>
          <w:rFonts w:ascii="Verdana" w:eastAsia="Calibri" w:hAnsi="Verdana" w:cs="Verdana"/>
          <w:sz w:val="20"/>
          <w:szCs w:val="20"/>
          <w:lang w:val="es-CR"/>
        </w:rPr>
      </w:pPr>
    </w:p>
    <w:p w:rsidR="00BB1630" w:rsidRPr="00CA5ACF" w:rsidRDefault="0054173F" w:rsidP="00E50988">
      <w:pPr>
        <w:numPr>
          <w:ilvl w:val="0"/>
          <w:numId w:val="72"/>
        </w:numPr>
        <w:tabs>
          <w:tab w:val="left" w:pos="0"/>
        </w:tabs>
        <w:ind w:left="0" w:right="-90" w:firstLine="0"/>
        <w:jc w:val="both"/>
        <w:rPr>
          <w:rFonts w:ascii="Verdana" w:hAnsi="Verdana"/>
          <w:sz w:val="20"/>
          <w:szCs w:val="20"/>
          <w:lang w:val="es-ES_tradnl"/>
        </w:rPr>
      </w:pPr>
      <w:r w:rsidRPr="00E50988">
        <w:rPr>
          <w:rFonts w:ascii="Verdana" w:eastAsia="Calibri" w:hAnsi="Verdana" w:cs="Verdana"/>
          <w:sz w:val="20"/>
          <w:szCs w:val="20"/>
          <w:lang w:val="es-CR"/>
        </w:rPr>
        <w:t>En cuanto a la asignación de un vehículo y escoltas, las representantes no se pronunciaron</w:t>
      </w:r>
      <w:r w:rsidR="007520F8">
        <w:rPr>
          <w:rFonts w:ascii="Verdana" w:eastAsia="Calibri" w:hAnsi="Verdana" w:cs="Verdana"/>
          <w:sz w:val="20"/>
          <w:szCs w:val="20"/>
          <w:lang w:val="es-CR"/>
        </w:rPr>
        <w:t>.</w:t>
      </w:r>
    </w:p>
    <w:p w:rsidR="0028558D" w:rsidRPr="00BE210A" w:rsidRDefault="0028558D" w:rsidP="00A04D4D">
      <w:pPr>
        <w:tabs>
          <w:tab w:val="left" w:pos="0"/>
        </w:tabs>
        <w:ind w:right="-90"/>
        <w:jc w:val="both"/>
        <w:rPr>
          <w:rFonts w:ascii="Verdana" w:hAnsi="Verdana"/>
          <w:sz w:val="20"/>
          <w:szCs w:val="20"/>
          <w:lang w:val="es-ES_tradnl"/>
        </w:rPr>
      </w:pPr>
    </w:p>
    <w:p w:rsidR="00555E88" w:rsidRPr="00E50988" w:rsidRDefault="00BB1630" w:rsidP="00E50988">
      <w:pPr>
        <w:pStyle w:val="FootnoteText"/>
        <w:numPr>
          <w:ilvl w:val="0"/>
          <w:numId w:val="72"/>
        </w:numPr>
        <w:tabs>
          <w:tab w:val="left" w:pos="0"/>
        </w:tabs>
        <w:suppressAutoHyphens/>
        <w:ind w:left="0" w:right="-90" w:firstLine="0"/>
        <w:rPr>
          <w:b/>
          <w:sz w:val="20"/>
          <w:lang w:val="es-ES"/>
        </w:rPr>
      </w:pPr>
      <w:r w:rsidRPr="00E50988">
        <w:rPr>
          <w:sz w:val="20"/>
          <w:lang w:val="es-ES"/>
        </w:rPr>
        <w:t xml:space="preserve">La </w:t>
      </w:r>
      <w:r w:rsidRPr="00E50988">
        <w:rPr>
          <w:b/>
          <w:i/>
          <w:sz w:val="20"/>
          <w:lang w:val="es-ES"/>
        </w:rPr>
        <w:t>Comisión</w:t>
      </w:r>
      <w:r w:rsidRPr="00E50988">
        <w:rPr>
          <w:sz w:val="20"/>
          <w:lang w:val="es-ES"/>
        </w:rPr>
        <w:t xml:space="preserve"> </w:t>
      </w:r>
      <w:r w:rsidR="007A2217" w:rsidRPr="00E50988">
        <w:rPr>
          <w:sz w:val="20"/>
          <w:lang w:val="es-ES"/>
        </w:rPr>
        <w:t xml:space="preserve">en diversas oportunidades expresó preocupación por dificultades en cuanto al cumplimiento de la medida de apoyo para el transporte. Así, </w:t>
      </w:r>
      <w:r w:rsidR="00E86408" w:rsidRPr="00E50988">
        <w:rPr>
          <w:sz w:val="20"/>
          <w:lang w:val="es-ES"/>
        </w:rPr>
        <w:t xml:space="preserve">el 22 de octubre de 2014 observó que </w:t>
      </w:r>
      <w:r w:rsidR="001B57A6">
        <w:rPr>
          <w:sz w:val="20"/>
          <w:lang w:val="es-ES"/>
        </w:rPr>
        <w:t>tal</w:t>
      </w:r>
      <w:r w:rsidR="00E86408" w:rsidRPr="00E50988">
        <w:rPr>
          <w:sz w:val="20"/>
          <w:lang w:val="es-ES"/>
        </w:rPr>
        <w:t xml:space="preserve"> apoyo habría sido suspendido y que se estaría exigiendo a las beneficiarias la realización de estudios de riesgo para su reinstauración.</w:t>
      </w:r>
      <w:r w:rsidR="00E86408" w:rsidRPr="00E50988">
        <w:rPr>
          <w:b/>
          <w:sz w:val="20"/>
          <w:lang w:val="es-ES"/>
        </w:rPr>
        <w:t xml:space="preserve"> </w:t>
      </w:r>
      <w:r w:rsidR="00E86408" w:rsidRPr="00E50988">
        <w:rPr>
          <w:sz w:val="20"/>
          <w:lang w:val="es-ES"/>
        </w:rPr>
        <w:t xml:space="preserve">Luego, </w:t>
      </w:r>
      <w:r w:rsidR="00730188" w:rsidRPr="00E50988">
        <w:rPr>
          <w:sz w:val="20"/>
          <w:lang w:val="es-ES"/>
        </w:rPr>
        <w:t>el 7 de enero de 2015 “</w:t>
      </w:r>
      <w:proofErr w:type="spellStart"/>
      <w:r w:rsidR="00730188" w:rsidRPr="00E50988">
        <w:rPr>
          <w:sz w:val="20"/>
          <w:lang w:val="es-ES"/>
        </w:rPr>
        <w:t>not</w:t>
      </w:r>
      <w:proofErr w:type="spellEnd"/>
      <w:r w:rsidR="00730188" w:rsidRPr="00E50988">
        <w:rPr>
          <w:sz w:val="20"/>
          <w:lang w:val="es-ES"/>
        </w:rPr>
        <w:t>[</w:t>
      </w:r>
      <w:proofErr w:type="spellStart"/>
      <w:r w:rsidR="00730188" w:rsidRPr="00E50988">
        <w:rPr>
          <w:sz w:val="20"/>
          <w:lang w:val="es-ES"/>
        </w:rPr>
        <w:t>ó</w:t>
      </w:r>
      <w:proofErr w:type="spellEnd"/>
      <w:r w:rsidR="00730188" w:rsidRPr="00E50988">
        <w:rPr>
          <w:sz w:val="20"/>
          <w:lang w:val="es-ES"/>
        </w:rPr>
        <w:t xml:space="preserve">] con preocupación que los apoyos de transporte que venían recibiendo las beneficiarias [habían sido] retirados </w:t>
      </w:r>
      <w:proofErr w:type="spellStart"/>
      <w:proofErr w:type="gramStart"/>
      <w:r w:rsidR="00730188" w:rsidRPr="00E50988">
        <w:rPr>
          <w:sz w:val="20"/>
          <w:lang w:val="es-ES"/>
        </w:rPr>
        <w:t>hac</w:t>
      </w:r>
      <w:proofErr w:type="spellEnd"/>
      <w:r w:rsidR="00730188" w:rsidRPr="00E50988">
        <w:rPr>
          <w:sz w:val="20"/>
          <w:lang w:val="es-ES"/>
        </w:rPr>
        <w:t>[</w:t>
      </w:r>
      <w:proofErr w:type="spellStart"/>
      <w:proofErr w:type="gramEnd"/>
      <w:r w:rsidR="00730188" w:rsidRPr="00E50988">
        <w:rPr>
          <w:sz w:val="20"/>
          <w:lang w:val="es-ES"/>
        </w:rPr>
        <w:t>ía</w:t>
      </w:r>
      <w:proofErr w:type="spellEnd"/>
      <w:r w:rsidR="00730188" w:rsidRPr="00E50988">
        <w:rPr>
          <w:sz w:val="20"/>
          <w:lang w:val="es-ES"/>
        </w:rPr>
        <w:t xml:space="preserve">] más de 6 meses”. </w:t>
      </w:r>
      <w:r w:rsidR="00E86408" w:rsidRPr="00E50988">
        <w:rPr>
          <w:sz w:val="20"/>
          <w:lang w:val="es-ES"/>
        </w:rPr>
        <w:t>Posteriormente</w:t>
      </w:r>
      <w:r w:rsidR="00730188" w:rsidRPr="00E50988">
        <w:rPr>
          <w:sz w:val="20"/>
          <w:lang w:val="es-ES"/>
        </w:rPr>
        <w:t>,</w:t>
      </w:r>
      <w:r w:rsidR="00730188" w:rsidRPr="00E50988">
        <w:rPr>
          <w:b/>
          <w:sz w:val="20"/>
          <w:lang w:val="es-ES"/>
        </w:rPr>
        <w:t xml:space="preserve"> </w:t>
      </w:r>
      <w:r w:rsidR="00D122A3">
        <w:rPr>
          <w:sz w:val="20"/>
          <w:lang w:val="es-ES"/>
        </w:rPr>
        <w:t>en sus escritos</w:t>
      </w:r>
      <w:r w:rsidR="007A2217" w:rsidRPr="00E50988">
        <w:rPr>
          <w:sz w:val="20"/>
          <w:lang w:val="es-ES"/>
        </w:rPr>
        <w:t xml:space="preserve"> de 12 de mayo y 18 de junio de 2015 señaló que la información presentada por </w:t>
      </w:r>
      <w:r w:rsidRPr="00E50988">
        <w:rPr>
          <w:sz w:val="20"/>
          <w:lang w:val="es-ES"/>
        </w:rPr>
        <w:t xml:space="preserve">el Estado </w:t>
      </w:r>
      <w:r w:rsidR="007A2217" w:rsidRPr="00E50988">
        <w:rPr>
          <w:sz w:val="20"/>
          <w:lang w:val="es-ES"/>
        </w:rPr>
        <w:t>para ese momento no permitía</w:t>
      </w:r>
      <w:r w:rsidRPr="00E50988">
        <w:rPr>
          <w:sz w:val="20"/>
          <w:lang w:val="es-ES"/>
        </w:rPr>
        <w:t xml:space="preserve"> acreditar si se est</w:t>
      </w:r>
      <w:r w:rsidR="007A2217" w:rsidRPr="00E50988">
        <w:rPr>
          <w:sz w:val="20"/>
          <w:lang w:val="es-ES"/>
        </w:rPr>
        <w:t>aba</w:t>
      </w:r>
      <w:r w:rsidRPr="00E50988">
        <w:rPr>
          <w:sz w:val="20"/>
          <w:lang w:val="es-ES"/>
        </w:rPr>
        <w:t xml:space="preserve"> cumpliendo </w:t>
      </w:r>
      <w:r w:rsidR="007A2217" w:rsidRPr="00E50988">
        <w:rPr>
          <w:sz w:val="20"/>
          <w:lang w:val="es-ES"/>
        </w:rPr>
        <w:t>la medida</w:t>
      </w:r>
      <w:r w:rsidRPr="00E50988">
        <w:rPr>
          <w:sz w:val="20"/>
          <w:lang w:val="es-ES"/>
        </w:rPr>
        <w:t xml:space="preserve">. </w:t>
      </w:r>
    </w:p>
    <w:p w:rsidR="00067136" w:rsidRDefault="00067136" w:rsidP="00E50988">
      <w:pPr>
        <w:pStyle w:val="ListParagraph"/>
        <w:tabs>
          <w:tab w:val="left" w:pos="0"/>
        </w:tabs>
        <w:ind w:left="0"/>
        <w:rPr>
          <w:b/>
          <w:sz w:val="20"/>
          <w:lang w:val="es-ES"/>
        </w:rPr>
      </w:pPr>
    </w:p>
    <w:p w:rsidR="00067136" w:rsidRPr="00E50988" w:rsidRDefault="00067136" w:rsidP="00E50988">
      <w:pPr>
        <w:pStyle w:val="FootnoteText"/>
        <w:numPr>
          <w:ilvl w:val="0"/>
          <w:numId w:val="72"/>
        </w:numPr>
        <w:tabs>
          <w:tab w:val="left" w:pos="0"/>
        </w:tabs>
        <w:suppressAutoHyphens/>
        <w:ind w:left="0" w:right="-90" w:firstLine="0"/>
        <w:rPr>
          <w:sz w:val="20"/>
          <w:lang w:val="es-ES"/>
        </w:rPr>
      </w:pPr>
      <w:r w:rsidRPr="00E50988">
        <w:rPr>
          <w:sz w:val="20"/>
          <w:lang w:val="es-ES"/>
        </w:rPr>
        <w:t xml:space="preserve">Respecto a la asignación de un vehículo y escoltas, la Comisión no realizó señalamientos específicos, más allá de destacar, en sus comunicaciones de </w:t>
      </w:r>
      <w:r w:rsidR="00A661CB">
        <w:rPr>
          <w:sz w:val="20"/>
          <w:lang w:val="es-ES"/>
        </w:rPr>
        <w:t xml:space="preserve">11 de octubre de 2016 y </w:t>
      </w:r>
      <w:r w:rsidRPr="00E50988">
        <w:rPr>
          <w:sz w:val="20"/>
          <w:lang w:val="es-ES"/>
        </w:rPr>
        <w:t>26 de enero</w:t>
      </w:r>
      <w:r w:rsidR="00A661CB">
        <w:rPr>
          <w:sz w:val="20"/>
          <w:lang w:val="es-ES"/>
        </w:rPr>
        <w:t xml:space="preserve"> de 2017</w:t>
      </w:r>
      <w:r>
        <w:rPr>
          <w:b/>
          <w:sz w:val="20"/>
          <w:lang w:val="es-ES"/>
        </w:rPr>
        <w:t xml:space="preserve"> </w:t>
      </w:r>
      <w:r w:rsidRPr="00E50988">
        <w:rPr>
          <w:sz w:val="20"/>
          <w:lang w:val="es-ES"/>
        </w:rPr>
        <w:t>la importancia de que las representantes expresen si consideraban idóneas las modificaciones en el esquema de protección</w:t>
      </w:r>
      <w:r w:rsidR="00CC5246">
        <w:rPr>
          <w:sz w:val="20"/>
          <w:lang w:val="es-ES"/>
        </w:rPr>
        <w:t>.</w:t>
      </w:r>
      <w:r w:rsidRPr="00E50988">
        <w:rPr>
          <w:sz w:val="20"/>
          <w:lang w:val="es-ES"/>
        </w:rPr>
        <w:t xml:space="preserve"> </w:t>
      </w:r>
    </w:p>
    <w:p w:rsidR="00A661CB" w:rsidRPr="00E50988" w:rsidRDefault="00A661CB" w:rsidP="00E50988">
      <w:pPr>
        <w:pStyle w:val="FootnoteText"/>
        <w:suppressAutoHyphens/>
        <w:ind w:right="-90"/>
        <w:rPr>
          <w:b/>
          <w:sz w:val="20"/>
          <w:lang w:val="es-ES"/>
        </w:rPr>
      </w:pPr>
    </w:p>
    <w:p w:rsidR="00BB1630" w:rsidRPr="00E50988" w:rsidRDefault="00574128" w:rsidP="005E3EDE">
      <w:pPr>
        <w:pStyle w:val="Heading2"/>
        <w:spacing w:before="0"/>
        <w:ind w:left="851" w:right="-90"/>
        <w:jc w:val="both"/>
        <w:rPr>
          <w:rFonts w:ascii="Verdana" w:hAnsi="Verdana"/>
          <w:b w:val="0"/>
          <w:i/>
          <w:color w:val="auto"/>
          <w:sz w:val="20"/>
          <w:szCs w:val="20"/>
          <w:lang w:val="es-ES_tradnl"/>
        </w:rPr>
      </w:pPr>
      <w:r w:rsidRPr="00E50988">
        <w:rPr>
          <w:rFonts w:ascii="Verdana" w:hAnsi="Verdana"/>
          <w:b w:val="0"/>
          <w:i/>
          <w:color w:val="auto"/>
          <w:sz w:val="20"/>
          <w:szCs w:val="20"/>
          <w:lang w:val="es-ES_tradnl"/>
        </w:rPr>
        <w:t>B</w:t>
      </w:r>
      <w:r w:rsidR="00BB1630" w:rsidRPr="00E50988">
        <w:rPr>
          <w:rFonts w:ascii="Verdana" w:hAnsi="Verdana"/>
          <w:b w:val="0"/>
          <w:i/>
          <w:color w:val="auto"/>
          <w:sz w:val="20"/>
          <w:szCs w:val="20"/>
          <w:lang w:val="es-ES_tradnl"/>
        </w:rPr>
        <w:t>.4.</w:t>
      </w:r>
      <w:r w:rsidRPr="00E50988">
        <w:rPr>
          <w:rFonts w:ascii="Verdana" w:hAnsi="Verdana"/>
          <w:b w:val="0"/>
          <w:i/>
          <w:color w:val="auto"/>
          <w:sz w:val="20"/>
          <w:szCs w:val="20"/>
          <w:lang w:val="es-ES_tradnl"/>
        </w:rPr>
        <w:t>2</w:t>
      </w:r>
      <w:r w:rsidR="00BB1630" w:rsidRPr="00E50988">
        <w:rPr>
          <w:rFonts w:ascii="Verdana" w:hAnsi="Verdana"/>
          <w:b w:val="0"/>
          <w:i/>
          <w:color w:val="auto"/>
          <w:sz w:val="20"/>
          <w:szCs w:val="20"/>
          <w:lang w:val="es-ES_tradnl"/>
        </w:rPr>
        <w:t xml:space="preserve"> Sobre los medios de comunicación y los chalecos antibalas</w:t>
      </w:r>
    </w:p>
    <w:p w:rsidR="00BB1630" w:rsidRPr="00BE210A" w:rsidRDefault="00BB1630" w:rsidP="00BB1630">
      <w:pPr>
        <w:rPr>
          <w:rFonts w:ascii="Verdana" w:hAnsi="Verdana"/>
          <w:sz w:val="20"/>
          <w:szCs w:val="20"/>
          <w:lang w:val="es-ES_tradnl"/>
        </w:rPr>
      </w:pPr>
    </w:p>
    <w:p w:rsidR="00764538" w:rsidRPr="00E50988" w:rsidRDefault="00BB1630" w:rsidP="00E50988">
      <w:pPr>
        <w:pStyle w:val="FootnoteText"/>
        <w:numPr>
          <w:ilvl w:val="0"/>
          <w:numId w:val="72"/>
        </w:numPr>
        <w:suppressAutoHyphens/>
        <w:autoSpaceDE w:val="0"/>
        <w:autoSpaceDN w:val="0"/>
        <w:adjustRightInd w:val="0"/>
        <w:ind w:left="0" w:firstLine="0"/>
        <w:rPr>
          <w:strike/>
          <w:sz w:val="20"/>
          <w:lang w:val="es-ES_tradnl"/>
        </w:rPr>
      </w:pPr>
      <w:r w:rsidRPr="00E50988">
        <w:rPr>
          <w:sz w:val="20"/>
          <w:lang w:val="es-ES_tradnl"/>
        </w:rPr>
        <w:t xml:space="preserve">El </w:t>
      </w:r>
      <w:r w:rsidRPr="00E50988">
        <w:rPr>
          <w:b/>
          <w:i/>
          <w:sz w:val="20"/>
          <w:lang w:val="es-ES_tradnl"/>
        </w:rPr>
        <w:t>Estado</w:t>
      </w:r>
      <w:r w:rsidRPr="00E50988">
        <w:rPr>
          <w:sz w:val="20"/>
          <w:lang w:val="es-ES_tradnl"/>
        </w:rPr>
        <w:t xml:space="preserve"> indicó haber </w:t>
      </w:r>
      <w:r w:rsidR="002666BB" w:rsidRPr="006931EB">
        <w:rPr>
          <w:sz w:val="20"/>
          <w:lang w:val="es-ES_tradnl"/>
        </w:rPr>
        <w:t>“</w:t>
      </w:r>
      <w:proofErr w:type="gramStart"/>
      <w:r w:rsidR="002666BB" w:rsidRPr="006931EB">
        <w:rPr>
          <w:sz w:val="20"/>
          <w:lang w:val="es-ES_tradnl"/>
        </w:rPr>
        <w:t>implementa[</w:t>
      </w:r>
      <w:proofErr w:type="gramEnd"/>
      <w:r w:rsidR="002666BB" w:rsidRPr="006931EB">
        <w:rPr>
          <w:sz w:val="20"/>
          <w:lang w:val="es-ES_tradnl"/>
        </w:rPr>
        <w:t xml:space="preserve">do] </w:t>
      </w:r>
      <w:r w:rsidR="002666BB" w:rsidRPr="006931EB">
        <w:rPr>
          <w:rFonts w:eastAsia="Calibri" w:cs="Arial"/>
          <w:sz w:val="20"/>
          <w:lang w:val="es-CR"/>
        </w:rPr>
        <w:t xml:space="preserve">a favor de las señoras Mery Naranjo </w:t>
      </w:r>
      <w:r w:rsidR="002666BB" w:rsidRPr="006931EB">
        <w:rPr>
          <w:rFonts w:eastAsia="Calibri"/>
          <w:sz w:val="20"/>
          <w:lang w:val="es-CR"/>
        </w:rPr>
        <w:t xml:space="preserve">y </w:t>
      </w:r>
      <w:r w:rsidR="00BE7A4C" w:rsidRPr="006931EB">
        <w:rPr>
          <w:rFonts w:eastAsia="Calibri" w:cs="Arial"/>
          <w:sz w:val="20"/>
          <w:lang w:val="es-CR"/>
        </w:rPr>
        <w:t>María del Socorro Mosq</w:t>
      </w:r>
      <w:r w:rsidR="002666BB" w:rsidRPr="006931EB">
        <w:rPr>
          <w:rFonts w:eastAsia="Calibri" w:cs="Arial"/>
          <w:sz w:val="20"/>
          <w:lang w:val="es-CR"/>
        </w:rPr>
        <w:t xml:space="preserve">uera, medios de comunicación tipo </w:t>
      </w:r>
      <w:proofErr w:type="spellStart"/>
      <w:r w:rsidR="002666BB" w:rsidRPr="006931EB">
        <w:rPr>
          <w:rFonts w:eastAsia="Calibri" w:cs="Arial"/>
          <w:sz w:val="20"/>
          <w:lang w:val="es-CR"/>
        </w:rPr>
        <w:t>avantel</w:t>
      </w:r>
      <w:proofErr w:type="spellEnd"/>
      <w:r w:rsidR="002666BB" w:rsidRPr="006931EB">
        <w:rPr>
          <w:rFonts w:eastAsia="Calibri" w:cs="Arial"/>
          <w:sz w:val="20"/>
          <w:lang w:val="es-CR"/>
        </w:rPr>
        <w:t>” el 19 de septiembre de 2012</w:t>
      </w:r>
      <w:r w:rsidR="002666BB" w:rsidRPr="006931EB">
        <w:rPr>
          <w:sz w:val="20"/>
          <w:lang w:val="es-ES_tradnl"/>
        </w:rPr>
        <w:t>.</w:t>
      </w:r>
      <w:r w:rsidR="002666BB" w:rsidRPr="00A80591">
        <w:rPr>
          <w:sz w:val="20"/>
          <w:lang w:val="es-ES_tradnl"/>
        </w:rPr>
        <w:t xml:space="preserve"> </w:t>
      </w:r>
    </w:p>
    <w:p w:rsidR="00764538" w:rsidRPr="00E50988" w:rsidRDefault="00764538" w:rsidP="00E50988">
      <w:pPr>
        <w:pStyle w:val="FootnoteText"/>
        <w:suppressAutoHyphens/>
        <w:rPr>
          <w:sz w:val="20"/>
          <w:lang w:val="es-ES_tradnl"/>
        </w:rPr>
      </w:pPr>
    </w:p>
    <w:p w:rsidR="00BB1630" w:rsidRPr="00E50988" w:rsidRDefault="00764538" w:rsidP="00E50988">
      <w:pPr>
        <w:pStyle w:val="FootnoteText"/>
        <w:numPr>
          <w:ilvl w:val="0"/>
          <w:numId w:val="72"/>
        </w:numPr>
        <w:suppressAutoHyphens/>
        <w:ind w:left="0" w:firstLine="0"/>
        <w:rPr>
          <w:sz w:val="20"/>
          <w:lang w:val="es-ES_tradnl"/>
        </w:rPr>
      </w:pPr>
      <w:r>
        <w:rPr>
          <w:sz w:val="20"/>
          <w:lang w:val="es-ES_tradnl"/>
        </w:rPr>
        <w:t xml:space="preserve">Por otra parte, </w:t>
      </w:r>
      <w:r w:rsidR="00C30221">
        <w:rPr>
          <w:sz w:val="20"/>
          <w:lang w:val="es-ES_tradnl"/>
        </w:rPr>
        <w:t>el 4 de septiembre de 2015</w:t>
      </w:r>
      <w:r w:rsidR="00DC3027">
        <w:rPr>
          <w:sz w:val="20"/>
          <w:lang w:val="es-ES_tradnl"/>
        </w:rPr>
        <w:t xml:space="preserve"> </w:t>
      </w:r>
      <w:r w:rsidR="00BB1630" w:rsidRPr="00E50988">
        <w:rPr>
          <w:sz w:val="20"/>
          <w:lang w:val="es-CR"/>
        </w:rPr>
        <w:t>el Estado expresó</w:t>
      </w:r>
      <w:r>
        <w:rPr>
          <w:sz w:val="20"/>
          <w:lang w:val="es-CR"/>
        </w:rPr>
        <w:t xml:space="preserve"> que </w:t>
      </w:r>
      <w:r w:rsidR="00DC3027">
        <w:rPr>
          <w:sz w:val="20"/>
          <w:lang w:val="es-CR"/>
        </w:rPr>
        <w:t xml:space="preserve">el 27 de noviembre de 2014 el CERREM ratificó las medidas recomendadas por la UNP, que incluían la </w:t>
      </w:r>
      <w:r>
        <w:rPr>
          <w:sz w:val="20"/>
          <w:lang w:val="es-CR"/>
        </w:rPr>
        <w:t>entreg</w:t>
      </w:r>
      <w:r w:rsidR="00DC3027">
        <w:rPr>
          <w:sz w:val="20"/>
          <w:lang w:val="es-CR"/>
        </w:rPr>
        <w:t>a</w:t>
      </w:r>
      <w:r>
        <w:rPr>
          <w:sz w:val="20"/>
          <w:lang w:val="es-CR"/>
        </w:rPr>
        <w:t xml:space="preserve"> </w:t>
      </w:r>
      <w:r w:rsidR="00DC3027">
        <w:rPr>
          <w:sz w:val="20"/>
          <w:lang w:val="es-CR"/>
        </w:rPr>
        <w:t xml:space="preserve">de chalecos </w:t>
      </w:r>
      <w:r>
        <w:rPr>
          <w:sz w:val="20"/>
          <w:lang w:val="es-CR"/>
        </w:rPr>
        <w:t>antibalas</w:t>
      </w:r>
      <w:r w:rsidR="00DC3027">
        <w:rPr>
          <w:sz w:val="20"/>
          <w:lang w:val="es-CR"/>
        </w:rPr>
        <w:t xml:space="preserve">. En la misma oportunidad Colombia </w:t>
      </w:r>
      <w:r>
        <w:rPr>
          <w:sz w:val="20"/>
          <w:lang w:val="es-CR"/>
        </w:rPr>
        <w:t>manifestó</w:t>
      </w:r>
      <w:r w:rsidR="00BB1630" w:rsidRPr="00E50988">
        <w:rPr>
          <w:sz w:val="20"/>
          <w:lang w:val="es-CR"/>
        </w:rPr>
        <w:t xml:space="preserve"> que </w:t>
      </w:r>
      <w:r w:rsidR="00DC3027">
        <w:rPr>
          <w:sz w:val="20"/>
          <w:lang w:val="es-CR"/>
        </w:rPr>
        <w:t xml:space="preserve">la UNP indicó que </w:t>
      </w:r>
      <w:r w:rsidR="00BB1630" w:rsidRPr="00E50988">
        <w:rPr>
          <w:sz w:val="20"/>
          <w:lang w:val="es-CR"/>
        </w:rPr>
        <w:t xml:space="preserve">si los </w:t>
      </w:r>
      <w:r w:rsidR="00DC3027">
        <w:rPr>
          <w:sz w:val="20"/>
          <w:lang w:val="es-CR"/>
        </w:rPr>
        <w:t>chalecos</w:t>
      </w:r>
      <w:r>
        <w:rPr>
          <w:sz w:val="20"/>
          <w:lang w:val="es-CR"/>
        </w:rPr>
        <w:t xml:space="preserve"> no eran de la talla de las beneficiarias</w:t>
      </w:r>
      <w:r w:rsidR="00BB1630" w:rsidRPr="00E50988">
        <w:rPr>
          <w:sz w:val="20"/>
          <w:lang w:val="es-CR"/>
        </w:rPr>
        <w:t xml:space="preserve"> (</w:t>
      </w:r>
      <w:r w:rsidR="00BB1630" w:rsidRPr="00E50988">
        <w:rPr>
          <w:i/>
          <w:sz w:val="20"/>
          <w:lang w:val="es-CR"/>
        </w:rPr>
        <w:t>infra</w:t>
      </w:r>
      <w:r w:rsidR="00BB1630" w:rsidRPr="00E50988">
        <w:rPr>
          <w:sz w:val="20"/>
          <w:lang w:val="es-CR"/>
        </w:rPr>
        <w:t xml:space="preserve"> </w:t>
      </w:r>
      <w:r w:rsidR="00BB1630" w:rsidRPr="00E50988">
        <w:rPr>
          <w:sz w:val="20"/>
          <w:lang w:val="es-ES_tradnl"/>
        </w:rPr>
        <w:t>considerando</w:t>
      </w:r>
      <w:r w:rsidR="00BB1630" w:rsidRPr="00E50988">
        <w:rPr>
          <w:sz w:val="20"/>
          <w:lang w:val="es-CR"/>
        </w:rPr>
        <w:t xml:space="preserve"> </w:t>
      </w:r>
      <w:r w:rsidR="00C10568">
        <w:rPr>
          <w:sz w:val="20"/>
          <w:lang w:val="es-CR"/>
        </w:rPr>
        <w:t>50</w:t>
      </w:r>
      <w:r w:rsidR="00BB1630" w:rsidRPr="00E50988">
        <w:rPr>
          <w:sz w:val="20"/>
          <w:lang w:val="es-CR"/>
        </w:rPr>
        <w:t>), e</w:t>
      </w:r>
      <w:r w:rsidR="00DC3027">
        <w:rPr>
          <w:sz w:val="20"/>
          <w:lang w:val="es-CR"/>
        </w:rPr>
        <w:t>llas</w:t>
      </w:r>
      <w:r w:rsidR="00BB1630" w:rsidRPr="00E50988">
        <w:rPr>
          <w:sz w:val="20"/>
          <w:lang w:val="es-CR"/>
        </w:rPr>
        <w:t xml:space="preserve"> debían remitir una carta al grupo de implementación de la entidad solicitando el cambio de talla. </w:t>
      </w:r>
    </w:p>
    <w:p w:rsidR="00BB1630" w:rsidRPr="00BE210A" w:rsidRDefault="00BB1630" w:rsidP="003D69CC">
      <w:pPr>
        <w:tabs>
          <w:tab w:val="left" w:pos="810"/>
        </w:tabs>
        <w:ind w:right="-90"/>
        <w:jc w:val="both"/>
        <w:rPr>
          <w:rFonts w:ascii="Verdana" w:hAnsi="Verdana"/>
          <w:sz w:val="20"/>
          <w:szCs w:val="20"/>
          <w:lang w:val="es-ES_tradnl"/>
        </w:rPr>
      </w:pPr>
    </w:p>
    <w:p w:rsidR="00764538" w:rsidRPr="00E50988" w:rsidRDefault="00BB1630" w:rsidP="00E50988">
      <w:pPr>
        <w:pStyle w:val="FootnoteText"/>
        <w:numPr>
          <w:ilvl w:val="0"/>
          <w:numId w:val="72"/>
        </w:numPr>
        <w:suppressAutoHyphens/>
        <w:ind w:left="0" w:firstLine="0"/>
        <w:rPr>
          <w:rFonts w:eastAsia="Times New Roman"/>
          <w:sz w:val="20"/>
          <w:lang w:val="es-ES_tradnl"/>
        </w:rPr>
      </w:pPr>
      <w:r w:rsidRPr="00BE210A">
        <w:rPr>
          <w:rFonts w:eastAsia="Times New Roman"/>
          <w:sz w:val="20"/>
          <w:lang w:val="es-ES_tradnl"/>
        </w:rPr>
        <w:t xml:space="preserve">Las </w:t>
      </w:r>
      <w:r w:rsidRPr="00BE210A">
        <w:rPr>
          <w:rFonts w:eastAsia="Times New Roman"/>
          <w:b/>
          <w:i/>
          <w:sz w:val="20"/>
          <w:lang w:val="es-ES_tradnl"/>
        </w:rPr>
        <w:t>representantes</w:t>
      </w:r>
      <w:r w:rsidR="00D122A3">
        <w:rPr>
          <w:rFonts w:eastAsia="Times New Roman"/>
          <w:sz w:val="20"/>
          <w:lang w:val="es-ES_tradnl"/>
        </w:rPr>
        <w:t>,</w:t>
      </w:r>
      <w:r w:rsidR="0028558D">
        <w:rPr>
          <w:rFonts w:eastAsia="Times New Roman"/>
          <w:sz w:val="20"/>
          <w:lang w:val="es-ES_tradnl"/>
        </w:rPr>
        <w:t xml:space="preserve"> </w:t>
      </w:r>
      <w:r w:rsidR="00D122A3">
        <w:rPr>
          <w:rFonts w:eastAsia="Times New Roman"/>
          <w:sz w:val="20"/>
          <w:lang w:val="es-ES_tradnl"/>
        </w:rPr>
        <w:t>l</w:t>
      </w:r>
      <w:r>
        <w:rPr>
          <w:rFonts w:eastAsia="Times New Roman"/>
          <w:sz w:val="20"/>
          <w:lang w:val="es-ES_tradnl"/>
        </w:rPr>
        <w:t xml:space="preserve">os días </w:t>
      </w:r>
      <w:r w:rsidRPr="00BE210A">
        <w:rPr>
          <w:sz w:val="20"/>
          <w:lang w:val="es-CR"/>
        </w:rPr>
        <w:t>2</w:t>
      </w:r>
      <w:r w:rsidR="00B94D7D">
        <w:rPr>
          <w:sz w:val="20"/>
          <w:lang w:val="es-CR"/>
        </w:rPr>
        <w:t>2</w:t>
      </w:r>
      <w:r w:rsidRPr="00BE210A">
        <w:rPr>
          <w:sz w:val="20"/>
          <w:lang w:val="es-CR"/>
        </w:rPr>
        <w:t xml:space="preserve"> de abril y</w:t>
      </w:r>
      <w:r>
        <w:rPr>
          <w:sz w:val="20"/>
          <w:lang w:val="es-CR"/>
        </w:rPr>
        <w:t xml:space="preserve"> </w:t>
      </w:r>
      <w:r w:rsidRPr="00BE210A">
        <w:rPr>
          <w:sz w:val="20"/>
          <w:lang w:val="es-CR"/>
        </w:rPr>
        <w:t>25 de mayo de 2015</w:t>
      </w:r>
      <w:r w:rsidRPr="00BE210A">
        <w:rPr>
          <w:rFonts w:eastAsia="Times New Roman"/>
          <w:sz w:val="20"/>
          <w:lang w:val="es-ES_tradnl"/>
        </w:rPr>
        <w:t>,</w:t>
      </w:r>
      <w:r>
        <w:rPr>
          <w:rFonts w:eastAsia="Times New Roman"/>
          <w:sz w:val="20"/>
          <w:lang w:val="es-ES_tradnl"/>
        </w:rPr>
        <w:t xml:space="preserve"> informaron que el 18 de diciembre de 2014</w:t>
      </w:r>
      <w:r w:rsidRPr="00BE210A">
        <w:rPr>
          <w:rFonts w:eastAsia="Times New Roman"/>
          <w:sz w:val="20"/>
          <w:lang w:val="es-ES_tradnl"/>
        </w:rPr>
        <w:t xml:space="preserve"> a ambas beneficiarias les fue entregado “un equipo de comunicación </w:t>
      </w:r>
      <w:proofErr w:type="spellStart"/>
      <w:r w:rsidRPr="00BE210A">
        <w:rPr>
          <w:rFonts w:eastAsia="Times New Roman"/>
          <w:sz w:val="20"/>
          <w:lang w:val="es-ES_tradnl"/>
        </w:rPr>
        <w:t>avantel</w:t>
      </w:r>
      <w:proofErr w:type="spellEnd"/>
      <w:r w:rsidRPr="00BE210A">
        <w:rPr>
          <w:rFonts w:eastAsia="Times New Roman"/>
          <w:sz w:val="20"/>
          <w:lang w:val="es-ES_tradnl"/>
        </w:rPr>
        <w:t xml:space="preserve"> marca </w:t>
      </w:r>
      <w:proofErr w:type="spellStart"/>
      <w:r w:rsidRPr="00BE210A">
        <w:rPr>
          <w:rFonts w:eastAsia="Times New Roman"/>
          <w:sz w:val="20"/>
          <w:lang w:val="es-ES_tradnl"/>
        </w:rPr>
        <w:t>motorola</w:t>
      </w:r>
      <w:proofErr w:type="spellEnd"/>
      <w:r w:rsidRPr="00BE210A">
        <w:rPr>
          <w:rFonts w:eastAsia="Times New Roman"/>
          <w:sz w:val="20"/>
          <w:lang w:val="es-ES_tradnl"/>
        </w:rPr>
        <w:t xml:space="preserve"> y un chaleco antibalas”</w:t>
      </w:r>
      <w:r w:rsidR="00CF05EF">
        <w:rPr>
          <w:rFonts w:eastAsia="Times New Roman"/>
          <w:sz w:val="20"/>
          <w:lang w:val="es-ES_tradnl"/>
        </w:rPr>
        <w:t>.</w:t>
      </w:r>
      <w:r w:rsidRPr="00BE210A">
        <w:rPr>
          <w:rFonts w:eastAsia="Times New Roman"/>
          <w:sz w:val="20"/>
          <w:lang w:val="es-ES_tradnl"/>
        </w:rPr>
        <w:t xml:space="preserve"> Respecto de los chalecos antibalas, </w:t>
      </w:r>
      <w:r>
        <w:rPr>
          <w:rFonts w:eastAsia="Times New Roman"/>
          <w:sz w:val="20"/>
          <w:lang w:val="es-ES_tradnl"/>
        </w:rPr>
        <w:t>en esas o</w:t>
      </w:r>
      <w:r w:rsidR="00764538">
        <w:rPr>
          <w:rFonts w:eastAsia="Times New Roman"/>
          <w:sz w:val="20"/>
          <w:lang w:val="es-ES_tradnl"/>
        </w:rPr>
        <w:t>casiones</w:t>
      </w:r>
      <w:r>
        <w:rPr>
          <w:rFonts w:eastAsia="Times New Roman"/>
          <w:sz w:val="20"/>
          <w:lang w:val="es-ES_tradnl"/>
        </w:rPr>
        <w:t xml:space="preserve"> </w:t>
      </w:r>
      <w:r w:rsidRPr="00BE210A">
        <w:rPr>
          <w:rFonts w:eastAsia="Times New Roman"/>
          <w:sz w:val="20"/>
          <w:lang w:val="es-ES_tradnl"/>
        </w:rPr>
        <w:t xml:space="preserve">expresaron que eran una medida ineficaz, en cuanto a que no eran del tamaño de las beneficiarias, y los funcionarios de la UNP no han colaborado en el cambio de los mismos. </w:t>
      </w:r>
    </w:p>
    <w:p w:rsidR="00764538" w:rsidRDefault="00764538" w:rsidP="00E50988">
      <w:pPr>
        <w:pStyle w:val="ListParagraph"/>
        <w:ind w:left="0"/>
        <w:rPr>
          <w:sz w:val="20"/>
          <w:lang w:val="es-ES_tradnl"/>
        </w:rPr>
      </w:pPr>
    </w:p>
    <w:p w:rsidR="00555E88" w:rsidRPr="00E50988" w:rsidRDefault="00BB1630" w:rsidP="00E50988">
      <w:pPr>
        <w:pStyle w:val="FootnoteText"/>
        <w:numPr>
          <w:ilvl w:val="0"/>
          <w:numId w:val="72"/>
        </w:numPr>
        <w:suppressAutoHyphens/>
        <w:ind w:left="0" w:firstLine="0"/>
        <w:rPr>
          <w:rFonts w:eastAsia="Times New Roman"/>
          <w:szCs w:val="16"/>
          <w:lang w:val="es-ES_tradnl"/>
        </w:rPr>
      </w:pPr>
      <w:r w:rsidRPr="00CA5ACF">
        <w:rPr>
          <w:rFonts w:eastAsia="Times New Roman"/>
          <w:sz w:val="20"/>
          <w:lang w:val="es-ES_tradnl"/>
        </w:rPr>
        <w:t>E</w:t>
      </w:r>
      <w:r w:rsidR="00764538">
        <w:rPr>
          <w:rFonts w:eastAsia="Times New Roman"/>
          <w:sz w:val="20"/>
          <w:lang w:val="es-ES_tradnl"/>
        </w:rPr>
        <w:t xml:space="preserve">l 3 de junio de 2016 las representantes </w:t>
      </w:r>
      <w:r w:rsidRPr="00CA5ACF">
        <w:rPr>
          <w:rFonts w:eastAsia="Times New Roman"/>
          <w:sz w:val="20"/>
          <w:lang w:val="es-ES_tradnl"/>
        </w:rPr>
        <w:t xml:space="preserve">indicaron que en función de las Resoluciones de la UNP de febrero de </w:t>
      </w:r>
      <w:r w:rsidR="00764538">
        <w:rPr>
          <w:rFonts w:eastAsia="Times New Roman"/>
          <w:sz w:val="20"/>
          <w:lang w:val="es-ES_tradnl"/>
        </w:rPr>
        <w:t xml:space="preserve">ese año </w:t>
      </w:r>
      <w:r w:rsidRPr="00CA5ACF">
        <w:rPr>
          <w:rFonts w:eastAsia="Times New Roman"/>
          <w:sz w:val="20"/>
          <w:lang w:val="es-ES_tradnl"/>
        </w:rPr>
        <w:t>2016</w:t>
      </w:r>
      <w:r w:rsidR="00F33A74">
        <w:rPr>
          <w:rFonts w:eastAsia="Times New Roman"/>
          <w:sz w:val="20"/>
          <w:lang w:val="es-ES_tradnl"/>
        </w:rPr>
        <w:t>,</w:t>
      </w:r>
      <w:r w:rsidRPr="00CA5ACF">
        <w:rPr>
          <w:rFonts w:eastAsia="Times New Roman"/>
          <w:sz w:val="20"/>
          <w:lang w:val="es-ES_tradnl"/>
        </w:rPr>
        <w:t xml:space="preserve"> se “</w:t>
      </w:r>
      <w:proofErr w:type="spellStart"/>
      <w:proofErr w:type="gramStart"/>
      <w:r w:rsidRPr="00CA5ACF">
        <w:rPr>
          <w:rFonts w:eastAsia="Times New Roman"/>
          <w:sz w:val="20"/>
          <w:lang w:val="es-ES_tradnl"/>
        </w:rPr>
        <w:t>establec</w:t>
      </w:r>
      <w:proofErr w:type="spellEnd"/>
      <w:r w:rsidRPr="00CA5ACF">
        <w:rPr>
          <w:rFonts w:eastAsia="Times New Roman"/>
          <w:sz w:val="20"/>
          <w:lang w:val="es-ES_tradnl"/>
        </w:rPr>
        <w:t>[</w:t>
      </w:r>
      <w:proofErr w:type="spellStart"/>
      <w:proofErr w:type="gramEnd"/>
      <w:r w:rsidRPr="00CA5ACF">
        <w:rPr>
          <w:rFonts w:eastAsia="Times New Roman"/>
          <w:sz w:val="20"/>
          <w:lang w:val="es-ES_tradnl"/>
        </w:rPr>
        <w:t>ieron</w:t>
      </w:r>
      <w:proofErr w:type="spellEnd"/>
      <w:r w:rsidRPr="00CA5ACF">
        <w:rPr>
          <w:rFonts w:eastAsia="Times New Roman"/>
          <w:sz w:val="20"/>
          <w:lang w:val="es-ES_tradnl"/>
        </w:rPr>
        <w:t>]” nuevamente</w:t>
      </w:r>
      <w:r w:rsidR="00D122A3">
        <w:rPr>
          <w:rFonts w:eastAsia="Times New Roman"/>
          <w:sz w:val="20"/>
          <w:lang w:val="es-ES_tradnl"/>
        </w:rPr>
        <w:t xml:space="preserve"> ambas medidas referidas. R</w:t>
      </w:r>
      <w:r w:rsidRPr="00CA5ACF">
        <w:rPr>
          <w:rFonts w:eastAsia="Times New Roman"/>
          <w:sz w:val="20"/>
          <w:lang w:val="es-ES_tradnl"/>
        </w:rPr>
        <w:t>eiteraron sus consideraciones sobre los chalecos y señalaron, sobre el medio de comunicación, que el mismo no contaba con un “plan de datos”</w:t>
      </w:r>
      <w:r>
        <w:rPr>
          <w:rFonts w:eastAsia="Times New Roman"/>
          <w:sz w:val="20"/>
          <w:lang w:val="es-ES_tradnl"/>
        </w:rPr>
        <w:t>.</w:t>
      </w:r>
      <w:r>
        <w:rPr>
          <w:rFonts w:eastAsia="Times New Roman"/>
          <w:b/>
          <w:sz w:val="20"/>
          <w:lang w:val="es-ES_tradnl"/>
        </w:rPr>
        <w:t xml:space="preserve"> </w:t>
      </w:r>
    </w:p>
    <w:p w:rsidR="00555E88" w:rsidRDefault="00555E88" w:rsidP="00E50988">
      <w:pPr>
        <w:pStyle w:val="ListParagraph"/>
        <w:ind w:left="0"/>
        <w:rPr>
          <w:sz w:val="20"/>
          <w:lang w:val="es-ES_tradnl"/>
        </w:rPr>
      </w:pPr>
    </w:p>
    <w:p w:rsidR="0092290D" w:rsidRPr="00E50988" w:rsidRDefault="00BB1630" w:rsidP="00E50988">
      <w:pPr>
        <w:pStyle w:val="FootnoteText"/>
        <w:numPr>
          <w:ilvl w:val="0"/>
          <w:numId w:val="72"/>
        </w:numPr>
        <w:suppressAutoHyphens/>
        <w:ind w:left="0" w:firstLine="0"/>
        <w:rPr>
          <w:rFonts w:eastAsia="Times New Roman"/>
          <w:sz w:val="20"/>
          <w:lang w:val="es-ES_tradnl"/>
        </w:rPr>
      </w:pPr>
      <w:r w:rsidRPr="00E50988">
        <w:rPr>
          <w:rFonts w:eastAsia="Times New Roman"/>
          <w:sz w:val="20"/>
          <w:lang w:val="es-ES_tradnl"/>
        </w:rPr>
        <w:t xml:space="preserve">La </w:t>
      </w:r>
      <w:r w:rsidRPr="00E50988">
        <w:rPr>
          <w:rFonts w:eastAsia="Times New Roman"/>
          <w:b/>
          <w:i/>
          <w:sz w:val="20"/>
          <w:lang w:val="es-ES_tradnl"/>
        </w:rPr>
        <w:t>Comisión</w:t>
      </w:r>
      <w:r w:rsidR="00C30221">
        <w:rPr>
          <w:rFonts w:eastAsia="Times New Roman"/>
          <w:b/>
          <w:i/>
          <w:sz w:val="20"/>
          <w:lang w:val="es-ES_tradnl"/>
        </w:rPr>
        <w:t>,</w:t>
      </w:r>
      <w:r w:rsidR="00D122A3">
        <w:rPr>
          <w:rFonts w:eastAsia="Times New Roman"/>
          <w:sz w:val="20"/>
          <w:lang w:val="es-ES_tradnl"/>
        </w:rPr>
        <w:t xml:space="preserve"> el 19 de agosto de 2016</w:t>
      </w:r>
      <w:r w:rsidRPr="00E50988">
        <w:rPr>
          <w:rFonts w:eastAsia="Times New Roman"/>
          <w:sz w:val="20"/>
          <w:lang w:val="es-ES_tradnl"/>
        </w:rPr>
        <w:t xml:space="preserve"> </w:t>
      </w:r>
      <w:r w:rsidRPr="00E50988">
        <w:rPr>
          <w:sz w:val="20"/>
          <w:lang w:val="es-ES"/>
        </w:rPr>
        <w:t xml:space="preserve">consideró importante que el Estado informe sobre la efectividad de las medidas, teniendo en cuenta, entre otras consideraciones, los señalamientos de las representantes de que los chalecos antibalas </w:t>
      </w:r>
      <w:r w:rsidRPr="00E50988">
        <w:rPr>
          <w:sz w:val="20"/>
          <w:lang w:val="es-ES"/>
        </w:rPr>
        <w:lastRenderedPageBreak/>
        <w:t>no pueden ser portados por las beneficiarias</w:t>
      </w:r>
      <w:r w:rsidR="003626E9">
        <w:rPr>
          <w:sz w:val="20"/>
          <w:lang w:val="es-ES"/>
        </w:rPr>
        <w:t>,</w:t>
      </w:r>
      <w:r w:rsidRPr="00E50988">
        <w:rPr>
          <w:sz w:val="20"/>
          <w:lang w:val="es-ES"/>
        </w:rPr>
        <w:t xml:space="preserve"> por lo que no constituirían una medida efectiva.  </w:t>
      </w:r>
    </w:p>
    <w:p w:rsidR="004A0C4F" w:rsidRDefault="004A0C4F" w:rsidP="00BD3334">
      <w:pPr>
        <w:ind w:left="1068" w:right="-90"/>
        <w:jc w:val="both"/>
        <w:rPr>
          <w:rFonts w:ascii="Verdana" w:hAnsi="Verdana"/>
          <w:sz w:val="20"/>
          <w:szCs w:val="20"/>
          <w:u w:val="single"/>
          <w:lang w:val="es-ES"/>
        </w:rPr>
      </w:pPr>
    </w:p>
    <w:p w:rsidR="0051676A" w:rsidRDefault="0051676A" w:rsidP="00BD3334">
      <w:pPr>
        <w:ind w:left="1068" w:right="-90"/>
        <w:jc w:val="both"/>
        <w:rPr>
          <w:rFonts w:ascii="Verdana" w:hAnsi="Verdana"/>
          <w:sz w:val="20"/>
          <w:szCs w:val="20"/>
          <w:u w:val="single"/>
          <w:lang w:val="es-ES"/>
        </w:rPr>
      </w:pPr>
    </w:p>
    <w:p w:rsidR="00047E26" w:rsidRDefault="00574128" w:rsidP="004C4953">
      <w:pPr>
        <w:ind w:left="567" w:right="-90"/>
        <w:jc w:val="both"/>
        <w:rPr>
          <w:rFonts w:ascii="Verdana" w:hAnsi="Verdana"/>
          <w:i/>
          <w:sz w:val="20"/>
          <w:szCs w:val="20"/>
          <w:u w:val="single"/>
          <w:lang w:val="es-ES"/>
        </w:rPr>
      </w:pPr>
      <w:r w:rsidRPr="00E50988">
        <w:rPr>
          <w:rFonts w:ascii="Verdana" w:hAnsi="Verdana"/>
          <w:i/>
          <w:sz w:val="20"/>
          <w:szCs w:val="20"/>
          <w:lang w:val="es-ES"/>
        </w:rPr>
        <w:t xml:space="preserve">B.5. </w:t>
      </w:r>
      <w:r w:rsidR="00731AD3" w:rsidRPr="00E50988">
        <w:rPr>
          <w:rFonts w:ascii="Verdana" w:hAnsi="Verdana"/>
          <w:i/>
          <w:sz w:val="20"/>
          <w:szCs w:val="20"/>
          <w:u w:val="single"/>
          <w:lang w:val="es-ES"/>
        </w:rPr>
        <w:t>Información sobre hechos posteriores al 4 de marzo de 2011 atinentes a la seguridad personal de personas beneficiarias</w:t>
      </w:r>
    </w:p>
    <w:p w:rsidR="003D69CC" w:rsidRPr="00E50988" w:rsidRDefault="003D69CC" w:rsidP="00BD3334">
      <w:pPr>
        <w:ind w:left="1068" w:right="-90"/>
        <w:jc w:val="both"/>
        <w:rPr>
          <w:rFonts w:ascii="Verdana" w:hAnsi="Verdana"/>
          <w:i/>
          <w:sz w:val="20"/>
          <w:szCs w:val="20"/>
          <w:lang w:val="es-ES"/>
        </w:rPr>
      </w:pPr>
    </w:p>
    <w:p w:rsidR="003D69CC" w:rsidRDefault="00F3118F" w:rsidP="00E50988">
      <w:pPr>
        <w:pStyle w:val="ListParagraph"/>
        <w:numPr>
          <w:ilvl w:val="0"/>
          <w:numId w:val="72"/>
        </w:numPr>
        <w:ind w:left="0" w:hanging="11"/>
        <w:rPr>
          <w:rFonts w:ascii="Verdana" w:hAnsi="Verdana"/>
          <w:sz w:val="20"/>
          <w:szCs w:val="20"/>
          <w:lang w:val="es-ES_tradnl"/>
        </w:rPr>
      </w:pPr>
      <w:r w:rsidRPr="00E50988">
        <w:rPr>
          <w:rFonts w:ascii="Verdana" w:hAnsi="Verdana"/>
          <w:sz w:val="20"/>
          <w:szCs w:val="20"/>
          <w:lang w:val="es-ES_tradnl"/>
        </w:rPr>
        <w:t xml:space="preserve">Las </w:t>
      </w:r>
      <w:r w:rsidRPr="00E50988">
        <w:rPr>
          <w:rFonts w:ascii="Verdana" w:hAnsi="Verdana"/>
          <w:b/>
          <w:i/>
          <w:sz w:val="20"/>
          <w:szCs w:val="20"/>
          <w:lang w:val="es-ES_tradnl"/>
        </w:rPr>
        <w:t>representantes</w:t>
      </w:r>
      <w:r w:rsidRPr="00E50988">
        <w:rPr>
          <w:rFonts w:ascii="Verdana" w:hAnsi="Verdana"/>
          <w:sz w:val="20"/>
          <w:szCs w:val="20"/>
          <w:lang w:val="es-ES_tradnl"/>
        </w:rPr>
        <w:t xml:space="preserve"> señalaron los siguientes hechos</w:t>
      </w:r>
      <w:r w:rsidR="003D69CC">
        <w:rPr>
          <w:rFonts w:ascii="Verdana" w:hAnsi="Verdana"/>
          <w:sz w:val="20"/>
          <w:szCs w:val="20"/>
          <w:lang w:val="es-ES_tradnl"/>
        </w:rPr>
        <w:t>:</w:t>
      </w:r>
      <w:r w:rsidRPr="00E50988">
        <w:rPr>
          <w:rFonts w:ascii="Verdana" w:hAnsi="Verdana"/>
          <w:sz w:val="20"/>
          <w:szCs w:val="20"/>
          <w:lang w:val="es-ES_tradnl"/>
        </w:rPr>
        <w:t xml:space="preserve"> </w:t>
      </w:r>
    </w:p>
    <w:p w:rsidR="00D92F1F" w:rsidRDefault="00D122A3" w:rsidP="00F6370D">
      <w:pPr>
        <w:tabs>
          <w:tab w:val="left" w:pos="810"/>
        </w:tabs>
        <w:ind w:left="900" w:right="-90"/>
        <w:jc w:val="both"/>
        <w:rPr>
          <w:rFonts w:ascii="Verdana" w:hAnsi="Verdana"/>
          <w:b/>
          <w:sz w:val="20"/>
          <w:szCs w:val="20"/>
          <w:lang w:val="es-ES_tradnl"/>
        </w:rPr>
      </w:pPr>
      <w:r>
        <w:rPr>
          <w:rFonts w:ascii="Verdana" w:hAnsi="Verdana"/>
          <w:sz w:val="20"/>
          <w:szCs w:val="20"/>
          <w:lang w:val="es-ES_tradnl"/>
        </w:rPr>
        <w:t xml:space="preserve">a) </w:t>
      </w:r>
      <w:r w:rsidR="00F31305" w:rsidRPr="006F1F27">
        <w:rPr>
          <w:rFonts w:ascii="Verdana" w:hAnsi="Verdana"/>
          <w:sz w:val="20"/>
          <w:szCs w:val="20"/>
          <w:lang w:val="es-ES_tradnl"/>
        </w:rPr>
        <w:t>el 14 de abril de 2011</w:t>
      </w:r>
      <w:r w:rsidR="00D92F1F" w:rsidRPr="006F1F27">
        <w:rPr>
          <w:rFonts w:ascii="Verdana" w:hAnsi="Verdana"/>
          <w:sz w:val="20"/>
          <w:szCs w:val="20"/>
          <w:lang w:val="es-ES_tradnl"/>
        </w:rPr>
        <w:t xml:space="preserve"> la señora Naranjo recibió una llamada de su hijo Iv</w:t>
      </w:r>
      <w:r w:rsidR="00B94D7D">
        <w:rPr>
          <w:rFonts w:ascii="Verdana" w:hAnsi="Verdana"/>
          <w:sz w:val="20"/>
          <w:szCs w:val="20"/>
          <w:lang w:val="es-ES_tradnl"/>
        </w:rPr>
        <w:t>á</w:t>
      </w:r>
      <w:r w:rsidR="00D92F1F" w:rsidRPr="006F1F27">
        <w:rPr>
          <w:rFonts w:ascii="Verdana" w:hAnsi="Verdana"/>
          <w:sz w:val="20"/>
          <w:szCs w:val="20"/>
          <w:lang w:val="es-ES_tradnl"/>
        </w:rPr>
        <w:t>n Alberto Herrera, quien le pidió que fuera a su residencia, pues l</w:t>
      </w:r>
      <w:r>
        <w:rPr>
          <w:rFonts w:ascii="Verdana" w:hAnsi="Verdana"/>
          <w:sz w:val="20"/>
          <w:szCs w:val="20"/>
          <w:lang w:val="es-ES_tradnl"/>
        </w:rPr>
        <w:t>a policía “[los iba] a matar</w:t>
      </w:r>
      <w:proofErr w:type="gramStart"/>
      <w:r>
        <w:rPr>
          <w:rFonts w:ascii="Verdana" w:hAnsi="Verdana"/>
          <w:sz w:val="20"/>
          <w:szCs w:val="20"/>
          <w:lang w:val="es-ES_tradnl"/>
        </w:rPr>
        <w:t>”[.</w:t>
      </w:r>
      <w:proofErr w:type="gramEnd"/>
      <w:r>
        <w:rPr>
          <w:rFonts w:ascii="Verdana" w:hAnsi="Verdana"/>
          <w:sz w:val="20"/>
          <w:szCs w:val="20"/>
          <w:lang w:val="es-ES_tradnl"/>
        </w:rPr>
        <w:t xml:space="preserve"> E]</w:t>
      </w:r>
      <w:proofErr w:type="spellStart"/>
      <w:r w:rsidR="00D92F1F" w:rsidRPr="006F1F27">
        <w:rPr>
          <w:rFonts w:ascii="Verdana" w:hAnsi="Verdana"/>
          <w:sz w:val="20"/>
          <w:szCs w:val="20"/>
          <w:lang w:val="es-ES_tradnl"/>
        </w:rPr>
        <w:t>lla</w:t>
      </w:r>
      <w:proofErr w:type="spellEnd"/>
      <w:r w:rsidR="00D92F1F" w:rsidRPr="006F1F27">
        <w:rPr>
          <w:rFonts w:ascii="Verdana" w:hAnsi="Verdana"/>
          <w:sz w:val="20"/>
          <w:szCs w:val="20"/>
          <w:lang w:val="es-ES_tradnl"/>
        </w:rPr>
        <w:t xml:space="preserve"> acudió y “vi[o] muchos policías y gente de civil</w:t>
      </w:r>
      <w:r w:rsidR="006F1F27" w:rsidRPr="006F1F27">
        <w:rPr>
          <w:rFonts w:ascii="Verdana" w:hAnsi="Verdana"/>
          <w:sz w:val="20"/>
          <w:szCs w:val="20"/>
          <w:lang w:val="es-ES_tradnl"/>
        </w:rPr>
        <w:t>[, en total entre 30 y 40 personas,]</w:t>
      </w:r>
      <w:r w:rsidR="00D92F1F" w:rsidRPr="006F1F27">
        <w:rPr>
          <w:rFonts w:ascii="Verdana" w:hAnsi="Verdana"/>
          <w:sz w:val="20"/>
          <w:szCs w:val="20"/>
          <w:lang w:val="es-ES_tradnl"/>
        </w:rPr>
        <w:t xml:space="preserve"> con armas apuntando en dirección a [su] casa, comenzó a gritar “auxilio, nos van a matar” y observó que a su hijo Marlon un policía lo tenía contra el piso golpeándolo, por lo que ella </w:t>
      </w:r>
      <w:r w:rsidR="00F31305" w:rsidRPr="006F1F27">
        <w:rPr>
          <w:rFonts w:ascii="Verdana" w:eastAsia="Calibri" w:hAnsi="Verdana" w:cs="Arial"/>
          <w:sz w:val="20"/>
          <w:szCs w:val="20"/>
          <w:lang w:val="es-CR"/>
        </w:rPr>
        <w:t>"</w:t>
      </w:r>
      <w:r w:rsidR="00D92F1F" w:rsidRPr="006F1F27">
        <w:rPr>
          <w:rFonts w:ascii="Verdana" w:eastAsia="Calibri" w:hAnsi="Verdana" w:cs="Arial"/>
          <w:sz w:val="20"/>
          <w:szCs w:val="20"/>
          <w:lang w:val="es-CR"/>
        </w:rPr>
        <w:t>[se]</w:t>
      </w:r>
      <w:r w:rsidR="00F31305" w:rsidRPr="006F1F27">
        <w:rPr>
          <w:rFonts w:ascii="Verdana" w:eastAsia="Calibri" w:hAnsi="Verdana" w:cs="Arial"/>
          <w:sz w:val="20"/>
          <w:szCs w:val="20"/>
          <w:lang w:val="es-CR"/>
        </w:rPr>
        <w:t xml:space="preserve"> </w:t>
      </w:r>
      <w:proofErr w:type="spellStart"/>
      <w:r w:rsidR="00F31305" w:rsidRPr="006F1F27">
        <w:rPr>
          <w:rFonts w:ascii="Verdana" w:eastAsia="Calibri" w:hAnsi="Verdana" w:cs="Arial"/>
          <w:sz w:val="20"/>
          <w:szCs w:val="20"/>
          <w:lang w:val="es-CR"/>
        </w:rPr>
        <w:t>tir</w:t>
      </w:r>
      <w:proofErr w:type="spellEnd"/>
      <w:r w:rsidR="00D92F1F" w:rsidRPr="006F1F27">
        <w:rPr>
          <w:rFonts w:ascii="Verdana" w:eastAsia="Calibri" w:hAnsi="Verdana" w:cs="Arial"/>
          <w:sz w:val="20"/>
          <w:szCs w:val="20"/>
          <w:lang w:val="es-CR"/>
        </w:rPr>
        <w:t>[</w:t>
      </w:r>
      <w:proofErr w:type="spellStart"/>
      <w:r w:rsidR="00D92F1F" w:rsidRPr="006F1F27">
        <w:rPr>
          <w:rFonts w:ascii="Verdana" w:eastAsia="Calibri" w:hAnsi="Verdana" w:cs="Arial"/>
          <w:sz w:val="20"/>
          <w:szCs w:val="20"/>
          <w:lang w:val="es-CR"/>
        </w:rPr>
        <w:t>ó</w:t>
      </w:r>
      <w:proofErr w:type="spellEnd"/>
      <w:r w:rsidR="00D92F1F" w:rsidRPr="006F1F27">
        <w:rPr>
          <w:rFonts w:ascii="Verdana" w:eastAsia="Calibri" w:hAnsi="Verdana" w:cs="Arial"/>
          <w:sz w:val="20"/>
          <w:szCs w:val="20"/>
          <w:lang w:val="es-CR"/>
        </w:rPr>
        <w:t>]</w:t>
      </w:r>
      <w:r w:rsidR="00F31305" w:rsidRPr="006F1F27">
        <w:rPr>
          <w:rFonts w:ascii="Verdana" w:eastAsia="Calibri" w:hAnsi="Verdana" w:cs="Arial"/>
          <w:sz w:val="20"/>
          <w:szCs w:val="20"/>
          <w:lang w:val="es-CR"/>
        </w:rPr>
        <w:t xml:space="preserve"> encima </w:t>
      </w:r>
      <w:r w:rsidR="00D92F1F" w:rsidRPr="006F1F27">
        <w:rPr>
          <w:rFonts w:ascii="Verdana" w:eastAsia="Calibri" w:hAnsi="Verdana" w:cs="Arial"/>
          <w:sz w:val="20"/>
          <w:szCs w:val="20"/>
          <w:lang w:val="es-CR"/>
        </w:rPr>
        <w:t xml:space="preserve">[…] </w:t>
      </w:r>
      <w:r w:rsidR="00F31305" w:rsidRPr="006F1F27">
        <w:rPr>
          <w:rFonts w:ascii="Verdana" w:eastAsia="Calibri" w:hAnsi="Verdana" w:cs="Arial"/>
          <w:sz w:val="20"/>
          <w:szCs w:val="20"/>
          <w:lang w:val="es-CR"/>
        </w:rPr>
        <w:t xml:space="preserve">y </w:t>
      </w:r>
      <w:r w:rsidR="00D92F1F" w:rsidRPr="006F1F27">
        <w:rPr>
          <w:rFonts w:ascii="Verdana" w:eastAsia="Calibri" w:hAnsi="Verdana" w:cs="Arial"/>
          <w:sz w:val="20"/>
          <w:szCs w:val="20"/>
          <w:lang w:val="es-CR"/>
        </w:rPr>
        <w:t xml:space="preserve">[…] </w:t>
      </w:r>
      <w:proofErr w:type="spellStart"/>
      <w:r w:rsidR="00F31305" w:rsidRPr="006F1F27">
        <w:rPr>
          <w:rFonts w:ascii="Verdana" w:eastAsia="Calibri" w:hAnsi="Verdana" w:cs="Arial"/>
          <w:sz w:val="20"/>
          <w:szCs w:val="20"/>
          <w:lang w:val="es-CR"/>
        </w:rPr>
        <w:t>logr</w:t>
      </w:r>
      <w:proofErr w:type="spellEnd"/>
      <w:r w:rsidR="00D92F1F" w:rsidRPr="006F1F27">
        <w:rPr>
          <w:rFonts w:ascii="Verdana" w:eastAsia="Calibri" w:hAnsi="Verdana" w:cs="Arial"/>
          <w:sz w:val="20"/>
          <w:szCs w:val="20"/>
          <w:lang w:val="es-CR"/>
        </w:rPr>
        <w:t>[</w:t>
      </w:r>
      <w:proofErr w:type="spellStart"/>
      <w:r w:rsidR="00D92F1F" w:rsidRPr="006F1F27">
        <w:rPr>
          <w:rFonts w:ascii="Verdana" w:eastAsia="Calibri" w:hAnsi="Verdana" w:cs="Arial"/>
          <w:sz w:val="20"/>
          <w:szCs w:val="20"/>
          <w:lang w:val="es-CR"/>
        </w:rPr>
        <w:t>ó</w:t>
      </w:r>
      <w:proofErr w:type="spellEnd"/>
      <w:r w:rsidR="00D92F1F" w:rsidRPr="006F1F27">
        <w:rPr>
          <w:rFonts w:ascii="Verdana" w:eastAsia="Calibri" w:hAnsi="Verdana" w:cs="Arial"/>
          <w:sz w:val="20"/>
          <w:szCs w:val="20"/>
          <w:lang w:val="es-CR"/>
        </w:rPr>
        <w:t>]</w:t>
      </w:r>
      <w:r w:rsidR="00F31305" w:rsidRPr="006F1F27">
        <w:rPr>
          <w:rFonts w:ascii="Verdana" w:eastAsia="Calibri" w:hAnsi="Verdana" w:cs="Arial"/>
          <w:sz w:val="20"/>
          <w:szCs w:val="20"/>
          <w:lang w:val="es-CR"/>
        </w:rPr>
        <w:t xml:space="preserve"> parar </w:t>
      </w:r>
      <w:r w:rsidR="00D92F1F" w:rsidRPr="006F1F27">
        <w:rPr>
          <w:rFonts w:ascii="Verdana" w:eastAsia="Calibri" w:hAnsi="Verdana" w:cs="Arial"/>
          <w:sz w:val="20"/>
          <w:szCs w:val="20"/>
          <w:lang w:val="es-CR"/>
        </w:rPr>
        <w:t>[a su hijo]”, pero tuvo que soltarlo cuando “s[</w:t>
      </w:r>
      <w:proofErr w:type="spellStart"/>
      <w:r w:rsidR="00D92F1F" w:rsidRPr="006F1F27">
        <w:rPr>
          <w:rFonts w:ascii="Verdana" w:eastAsia="Calibri" w:hAnsi="Verdana" w:cs="Arial"/>
          <w:sz w:val="20"/>
          <w:szCs w:val="20"/>
          <w:lang w:val="es-CR"/>
        </w:rPr>
        <w:t>intió</w:t>
      </w:r>
      <w:proofErr w:type="spellEnd"/>
      <w:r w:rsidR="00D92F1F" w:rsidRPr="006F1F27">
        <w:rPr>
          <w:rFonts w:ascii="Verdana" w:eastAsia="Calibri" w:hAnsi="Verdana" w:cs="Arial"/>
          <w:sz w:val="20"/>
          <w:szCs w:val="20"/>
          <w:lang w:val="es-CR"/>
        </w:rPr>
        <w:t>] un golpe muy fuerte al lado izquierdo entre la axila y el seno”</w:t>
      </w:r>
      <w:r w:rsidR="003626E9">
        <w:rPr>
          <w:rFonts w:ascii="Verdana" w:eastAsia="Calibri" w:hAnsi="Verdana" w:cs="Arial"/>
          <w:sz w:val="20"/>
          <w:szCs w:val="20"/>
          <w:lang w:val="es-CR"/>
        </w:rPr>
        <w:t>.</w:t>
      </w:r>
      <w:r w:rsidR="00CC5246">
        <w:rPr>
          <w:rFonts w:ascii="Verdana" w:eastAsia="Calibri" w:hAnsi="Verdana" w:cs="Arial"/>
          <w:sz w:val="20"/>
          <w:szCs w:val="20"/>
          <w:lang w:val="es-CR"/>
        </w:rPr>
        <w:t xml:space="preserve"> </w:t>
      </w:r>
      <w:r w:rsidR="003626E9">
        <w:rPr>
          <w:rFonts w:ascii="Verdana" w:eastAsia="Calibri" w:hAnsi="Verdana" w:cs="Arial"/>
          <w:sz w:val="20"/>
          <w:szCs w:val="20"/>
          <w:lang w:val="es-CR"/>
        </w:rPr>
        <w:t>T</w:t>
      </w:r>
      <w:r w:rsidR="00D92F1F" w:rsidRPr="006F1F27">
        <w:rPr>
          <w:rFonts w:ascii="Verdana" w:eastAsia="Calibri" w:hAnsi="Verdana" w:cs="Arial"/>
          <w:sz w:val="20"/>
          <w:szCs w:val="20"/>
          <w:lang w:val="es-CR"/>
        </w:rPr>
        <w:t>ambi</w:t>
      </w:r>
      <w:r w:rsidR="006F1F27">
        <w:rPr>
          <w:rFonts w:ascii="Verdana" w:eastAsia="Calibri" w:hAnsi="Verdana" w:cs="Arial"/>
          <w:sz w:val="20"/>
          <w:szCs w:val="20"/>
          <w:lang w:val="es-CR"/>
        </w:rPr>
        <w:t>én</w:t>
      </w:r>
      <w:r w:rsidR="00D92F1F" w:rsidRPr="006F1F27">
        <w:rPr>
          <w:rFonts w:ascii="Verdana" w:eastAsia="Calibri" w:hAnsi="Verdana" w:cs="Arial"/>
          <w:sz w:val="20"/>
          <w:szCs w:val="20"/>
          <w:lang w:val="es-CR"/>
        </w:rPr>
        <w:t xml:space="preserve"> la golpearon en el brazo derecho, en el vientre y en la boca</w:t>
      </w:r>
      <w:r w:rsidR="006F1F27" w:rsidRPr="006F1F27">
        <w:rPr>
          <w:rFonts w:ascii="Verdana" w:eastAsia="Calibri" w:hAnsi="Verdana" w:cs="Arial"/>
          <w:sz w:val="20"/>
          <w:szCs w:val="20"/>
          <w:lang w:val="es-CR"/>
        </w:rPr>
        <w:t>, y tiraron en su cara, y en la de su hijo Marlon, gas pimienta, así como a su hijo Iv</w:t>
      </w:r>
      <w:r w:rsidR="00CF05EF">
        <w:rPr>
          <w:rFonts w:ascii="Verdana" w:eastAsia="Calibri" w:hAnsi="Verdana" w:cs="Arial"/>
          <w:sz w:val="20"/>
          <w:szCs w:val="20"/>
          <w:lang w:val="es-CR"/>
        </w:rPr>
        <w:t>á</w:t>
      </w:r>
      <w:r w:rsidR="006F1F27" w:rsidRPr="006F1F27">
        <w:rPr>
          <w:rFonts w:ascii="Verdana" w:eastAsia="Calibri" w:hAnsi="Verdana" w:cs="Arial"/>
          <w:sz w:val="20"/>
          <w:szCs w:val="20"/>
          <w:lang w:val="es-CR"/>
        </w:rPr>
        <w:t xml:space="preserve">n en los </w:t>
      </w:r>
      <w:r w:rsidR="006F1F27">
        <w:rPr>
          <w:rFonts w:ascii="Verdana" w:eastAsia="Calibri" w:hAnsi="Verdana" w:cs="Arial"/>
          <w:sz w:val="20"/>
          <w:szCs w:val="20"/>
          <w:lang w:val="es-CR"/>
        </w:rPr>
        <w:t>ojos;</w:t>
      </w:r>
      <w:r w:rsidR="006F1F27" w:rsidRPr="006F1F27">
        <w:rPr>
          <w:rFonts w:ascii="Verdana" w:eastAsia="Calibri" w:hAnsi="Verdana" w:cs="Arial"/>
          <w:sz w:val="20"/>
          <w:szCs w:val="20"/>
          <w:lang w:val="es-CR"/>
        </w:rPr>
        <w:t xml:space="preserve"> “</w:t>
      </w:r>
      <w:proofErr w:type="spellStart"/>
      <w:r w:rsidR="006F1F27" w:rsidRPr="006F1F27">
        <w:rPr>
          <w:rFonts w:ascii="Verdana" w:eastAsia="Calibri" w:hAnsi="Verdana" w:cs="Arial"/>
          <w:sz w:val="20"/>
          <w:szCs w:val="20"/>
          <w:lang w:val="es-CR"/>
        </w:rPr>
        <w:t>logr</w:t>
      </w:r>
      <w:proofErr w:type="spellEnd"/>
      <w:r w:rsidR="006F1F27" w:rsidRPr="006F1F27">
        <w:rPr>
          <w:rFonts w:ascii="Verdana" w:eastAsia="Calibri" w:hAnsi="Verdana" w:cs="Arial"/>
          <w:sz w:val="20"/>
          <w:szCs w:val="20"/>
          <w:lang w:val="es-CR"/>
        </w:rPr>
        <w:t>[</w:t>
      </w:r>
      <w:proofErr w:type="spellStart"/>
      <w:r w:rsidR="006F1F27" w:rsidRPr="006F1F27">
        <w:rPr>
          <w:rFonts w:ascii="Verdana" w:eastAsia="Calibri" w:hAnsi="Verdana" w:cs="Arial"/>
          <w:sz w:val="20"/>
          <w:szCs w:val="20"/>
          <w:lang w:val="es-CR"/>
        </w:rPr>
        <w:t>ó</w:t>
      </w:r>
      <w:proofErr w:type="spellEnd"/>
      <w:r w:rsidR="006F1F27" w:rsidRPr="006F1F27">
        <w:rPr>
          <w:rFonts w:ascii="Verdana" w:eastAsia="Calibri" w:hAnsi="Verdana" w:cs="Arial"/>
          <w:sz w:val="20"/>
          <w:szCs w:val="20"/>
          <w:lang w:val="es-CR"/>
        </w:rPr>
        <w:t>] entrar a [su] hijo Marlon, que fue el más afectado [,] pero justamente por la gravedad de los hechos [les] tocó salir para el centro de salud de San Javier”</w:t>
      </w:r>
      <w:r w:rsidR="006F1F27">
        <w:rPr>
          <w:rFonts w:ascii="Verdana" w:eastAsia="Calibri" w:hAnsi="Verdana" w:cs="Arial"/>
          <w:sz w:val="20"/>
          <w:szCs w:val="20"/>
          <w:lang w:val="es-CR"/>
        </w:rPr>
        <w:t>;</w:t>
      </w:r>
      <w:r w:rsidR="006F1F27">
        <w:rPr>
          <w:rFonts w:ascii="Arial" w:eastAsia="Calibri" w:hAnsi="Arial" w:cs="Arial"/>
          <w:sz w:val="19"/>
          <w:szCs w:val="19"/>
          <w:lang w:val="es-CR"/>
        </w:rPr>
        <w:t xml:space="preserve"> </w:t>
      </w:r>
    </w:p>
    <w:p w:rsidR="003D69CC" w:rsidRPr="00CA5ACF" w:rsidRDefault="00D122A3" w:rsidP="00F6370D">
      <w:pPr>
        <w:tabs>
          <w:tab w:val="left" w:pos="810"/>
        </w:tabs>
        <w:ind w:left="900" w:right="-90"/>
        <w:jc w:val="both"/>
        <w:rPr>
          <w:rFonts w:ascii="Verdana" w:eastAsia="Calibri" w:hAnsi="Verdana" w:cs="Arial"/>
          <w:sz w:val="20"/>
          <w:szCs w:val="20"/>
          <w:lang w:val="es-CR"/>
        </w:rPr>
      </w:pPr>
      <w:r>
        <w:rPr>
          <w:rFonts w:ascii="Verdana" w:hAnsi="Verdana"/>
          <w:sz w:val="20"/>
          <w:szCs w:val="20"/>
          <w:lang w:val="es-ES_tradnl"/>
        </w:rPr>
        <w:t xml:space="preserve">b) </w:t>
      </w:r>
      <w:r w:rsidR="003D69CC" w:rsidRPr="00CA5ACF">
        <w:rPr>
          <w:rFonts w:ascii="Verdana" w:hAnsi="Verdana"/>
          <w:sz w:val="20"/>
          <w:szCs w:val="20"/>
          <w:lang w:val="es-ES_tradnl"/>
        </w:rPr>
        <w:t>el 9 de junio de 2012 los hijos de la señora Mosquera sufrieron una persecución por parte de un agente de policía</w:t>
      </w:r>
      <w:r w:rsidR="003F7929">
        <w:rPr>
          <w:rFonts w:ascii="Verdana" w:hAnsi="Verdana"/>
          <w:sz w:val="20"/>
          <w:szCs w:val="20"/>
          <w:lang w:val="es-ES_tradnl"/>
        </w:rPr>
        <w:t>;</w:t>
      </w:r>
      <w:r w:rsidR="003D69CC" w:rsidRPr="00CA5ACF">
        <w:rPr>
          <w:rFonts w:ascii="Verdana" w:hAnsi="Verdana"/>
          <w:sz w:val="20"/>
          <w:szCs w:val="20"/>
          <w:lang w:val="es-ES_tradnl"/>
        </w:rPr>
        <w:t xml:space="preserve"> </w:t>
      </w:r>
    </w:p>
    <w:p w:rsidR="003D69CC" w:rsidRPr="00CA5ACF" w:rsidRDefault="00D122A3" w:rsidP="00F6370D">
      <w:pPr>
        <w:tabs>
          <w:tab w:val="left" w:pos="810"/>
        </w:tabs>
        <w:ind w:left="900" w:right="-90"/>
        <w:jc w:val="both"/>
        <w:rPr>
          <w:rFonts w:ascii="Verdana" w:eastAsia="Calibri" w:hAnsi="Verdana" w:cs="Arial"/>
          <w:b/>
          <w:sz w:val="20"/>
          <w:szCs w:val="20"/>
          <w:lang w:val="es-CR"/>
        </w:rPr>
      </w:pPr>
      <w:r>
        <w:rPr>
          <w:rFonts w:ascii="Verdana" w:hAnsi="Verdana"/>
          <w:sz w:val="20"/>
          <w:szCs w:val="20"/>
          <w:lang w:val="es-CR"/>
        </w:rPr>
        <w:t xml:space="preserve">c) </w:t>
      </w:r>
      <w:r w:rsidR="003D69CC" w:rsidRPr="00CA5ACF">
        <w:rPr>
          <w:rFonts w:ascii="Verdana" w:hAnsi="Verdana"/>
          <w:sz w:val="20"/>
          <w:szCs w:val="20"/>
          <w:lang w:val="es-ES_tradnl"/>
        </w:rPr>
        <w:t xml:space="preserve">el 12 de febrero de 2013 </w:t>
      </w:r>
      <w:r w:rsidR="003D69CC" w:rsidRPr="00CA5ACF">
        <w:rPr>
          <w:rFonts w:ascii="Verdana" w:eastAsia="Calibri" w:hAnsi="Verdana" w:cs="Arial"/>
          <w:sz w:val="20"/>
          <w:szCs w:val="20"/>
          <w:lang w:val="es-CR"/>
        </w:rPr>
        <w:t>“agentes de la Policía Nacional […] allanaron ilegalmente y sin orden judicial la residencia de la señora […] Mosquera, agredieron físicamente a su hijo Marlon Daniel Herrera Mosquera e hicieron manifestaciones verbales ante la comunidad en el sentido de que [la señora] Mosquera es ‘una vieja’ a la que tienen que ‘alinear’ (sugiriéndole a la comunidad que la tienen que matar)”</w:t>
      </w:r>
      <w:r w:rsidR="003D69CC" w:rsidRPr="00CA5ACF">
        <w:rPr>
          <w:rStyle w:val="FootnoteReference"/>
          <w:rFonts w:eastAsia="Calibri" w:cs="Arial"/>
          <w:sz w:val="20"/>
          <w:szCs w:val="20"/>
          <w:lang w:val="es-CR"/>
        </w:rPr>
        <w:footnoteReference w:id="17"/>
      </w:r>
      <w:r w:rsidR="00C155D6">
        <w:rPr>
          <w:rFonts w:ascii="Verdana" w:eastAsia="Calibri" w:hAnsi="Verdana" w:cs="Arial"/>
          <w:sz w:val="20"/>
          <w:szCs w:val="20"/>
          <w:lang w:val="es-CR"/>
        </w:rPr>
        <w:t>;</w:t>
      </w:r>
      <w:r w:rsidR="003D69CC" w:rsidRPr="00CA5ACF">
        <w:rPr>
          <w:rFonts w:ascii="Verdana" w:eastAsia="Calibri" w:hAnsi="Verdana" w:cs="Arial"/>
          <w:sz w:val="20"/>
          <w:szCs w:val="20"/>
          <w:lang w:val="es-CR"/>
        </w:rPr>
        <w:t xml:space="preserve"> </w:t>
      </w:r>
    </w:p>
    <w:p w:rsidR="003D69CC" w:rsidRPr="00CA5ACF" w:rsidRDefault="00D122A3" w:rsidP="00F6370D">
      <w:pPr>
        <w:tabs>
          <w:tab w:val="left" w:pos="810"/>
        </w:tabs>
        <w:autoSpaceDE w:val="0"/>
        <w:autoSpaceDN w:val="0"/>
        <w:adjustRightInd w:val="0"/>
        <w:ind w:left="900" w:right="-90"/>
        <w:jc w:val="both"/>
        <w:rPr>
          <w:rFonts w:ascii="Verdana" w:hAnsi="Verdana"/>
          <w:sz w:val="20"/>
          <w:szCs w:val="20"/>
          <w:lang w:val="es-ES_tradnl"/>
        </w:rPr>
      </w:pPr>
      <w:r>
        <w:rPr>
          <w:rFonts w:ascii="Verdana" w:hAnsi="Verdana"/>
          <w:sz w:val="20"/>
          <w:szCs w:val="20"/>
          <w:lang w:val="es-CR"/>
        </w:rPr>
        <w:t xml:space="preserve">d) </w:t>
      </w:r>
      <w:r w:rsidR="003D69CC" w:rsidRPr="00CA5ACF">
        <w:rPr>
          <w:rFonts w:ascii="Verdana" w:hAnsi="Verdana"/>
          <w:sz w:val="20"/>
          <w:szCs w:val="20"/>
          <w:lang w:val="es-ES_tradnl"/>
        </w:rPr>
        <w:t>en agosto de 2013, mientras la señora Naranjo se encontraba en su casa, ingresó un hombre conocido como “el mellizo”, quien solicitó a la beneficiaria dinero prestado, a lo que ella no accedió, solicitando al hombre que se retire. En la misma oportunidad agregaron que el mismo día de agosto de 2013 por la noche, Camila, nieta de la señora Naranjo, dijo a ésta que un agente policial había dejado dicho que la beneficiaria debía ser muy cuidadosa, “</w:t>
      </w:r>
      <w:r w:rsidR="003D69CC" w:rsidRPr="00CA5ACF">
        <w:rPr>
          <w:rFonts w:ascii="Verdana" w:eastAsia="Calibri" w:hAnsi="Verdana" w:cs="Verdana"/>
          <w:sz w:val="20"/>
          <w:szCs w:val="20"/>
          <w:lang w:val="es-CR"/>
        </w:rPr>
        <w:t>debido a que ‘el mellizo’ había informado a la Policía que la banda “los conejos” estaba dando $3.000.000 por asesinarla”</w:t>
      </w:r>
      <w:r w:rsidR="003D69CC" w:rsidRPr="00CA5ACF">
        <w:rPr>
          <w:rStyle w:val="FootnoteReference"/>
          <w:rFonts w:eastAsia="Calibri" w:cs="Verdana"/>
          <w:sz w:val="20"/>
          <w:szCs w:val="20"/>
          <w:lang w:val="es-CR"/>
        </w:rPr>
        <w:footnoteReference w:id="18"/>
      </w:r>
      <w:r w:rsidR="00C155D6">
        <w:rPr>
          <w:rFonts w:ascii="Verdana" w:eastAsia="Calibri" w:hAnsi="Verdana" w:cs="Verdana"/>
          <w:sz w:val="20"/>
          <w:szCs w:val="20"/>
          <w:lang w:val="es-CR"/>
        </w:rPr>
        <w:t>;</w:t>
      </w:r>
      <w:r w:rsidR="003D69CC" w:rsidRPr="00CA5ACF">
        <w:rPr>
          <w:rFonts w:ascii="Verdana" w:eastAsia="Calibri" w:hAnsi="Verdana" w:cs="Verdana"/>
          <w:sz w:val="20"/>
          <w:szCs w:val="20"/>
          <w:lang w:val="es-CR"/>
        </w:rPr>
        <w:t xml:space="preserve"> </w:t>
      </w:r>
    </w:p>
    <w:p w:rsidR="003D69CC" w:rsidRPr="00CA5ACF" w:rsidRDefault="00D122A3" w:rsidP="00F6370D">
      <w:pPr>
        <w:tabs>
          <w:tab w:val="left" w:pos="810"/>
        </w:tabs>
        <w:ind w:left="900" w:right="-90"/>
        <w:jc w:val="both"/>
        <w:rPr>
          <w:rFonts w:ascii="Verdana" w:eastAsia="Calibri" w:hAnsi="Verdana" w:cs="Arial"/>
          <w:b/>
          <w:sz w:val="20"/>
          <w:szCs w:val="20"/>
          <w:lang w:val="es-CR"/>
        </w:rPr>
      </w:pPr>
      <w:r>
        <w:rPr>
          <w:rFonts w:ascii="Verdana" w:eastAsia="Calibri" w:hAnsi="Verdana" w:cs="Arial"/>
          <w:sz w:val="20"/>
          <w:szCs w:val="20"/>
          <w:lang w:val="es-ES_tradnl"/>
        </w:rPr>
        <w:t xml:space="preserve">e) </w:t>
      </w:r>
      <w:r w:rsidR="003D69CC" w:rsidRPr="00CA5ACF">
        <w:rPr>
          <w:rFonts w:ascii="Verdana" w:eastAsia="Calibri" w:hAnsi="Verdana" w:cs="Arial"/>
          <w:sz w:val="20"/>
          <w:szCs w:val="20"/>
          <w:lang w:val="es-CR"/>
        </w:rPr>
        <w:t>e</w:t>
      </w:r>
      <w:r w:rsidR="003D69CC" w:rsidRPr="00CA5ACF">
        <w:rPr>
          <w:rFonts w:ascii="Verdana" w:hAnsi="Verdana"/>
          <w:sz w:val="20"/>
          <w:szCs w:val="20"/>
          <w:lang w:val="es-ES_tradnl"/>
        </w:rPr>
        <w:t>l 25 de abril de 2014 las señoras Naranjo y Mosquera “dieron cuenta [a autoridades estat</w:t>
      </w:r>
      <w:r w:rsidR="00F51A1C">
        <w:rPr>
          <w:rFonts w:ascii="Verdana" w:hAnsi="Verdana"/>
          <w:sz w:val="20"/>
          <w:szCs w:val="20"/>
          <w:lang w:val="es-ES_tradnl"/>
        </w:rPr>
        <w:t>a</w:t>
      </w:r>
      <w:r w:rsidR="003D69CC" w:rsidRPr="00CA5ACF">
        <w:rPr>
          <w:rFonts w:ascii="Verdana" w:hAnsi="Verdana"/>
          <w:sz w:val="20"/>
          <w:szCs w:val="20"/>
          <w:lang w:val="es-ES_tradnl"/>
        </w:rPr>
        <w:t xml:space="preserve">les] de los problemas que se siguen presentando con algunos de los agentes de la Policía Metropolitana del Valle de </w:t>
      </w:r>
      <w:proofErr w:type="spellStart"/>
      <w:r w:rsidR="003D69CC" w:rsidRPr="00CA5ACF">
        <w:rPr>
          <w:rFonts w:ascii="Verdana" w:hAnsi="Verdana"/>
          <w:sz w:val="20"/>
          <w:szCs w:val="20"/>
          <w:lang w:val="es-ES_tradnl"/>
        </w:rPr>
        <w:t>Aburrá</w:t>
      </w:r>
      <w:proofErr w:type="spellEnd"/>
      <w:r w:rsidR="003D69CC" w:rsidRPr="00CA5ACF">
        <w:rPr>
          <w:rFonts w:ascii="Verdana" w:hAnsi="Verdana"/>
          <w:sz w:val="20"/>
          <w:szCs w:val="20"/>
          <w:lang w:val="es-ES_tradnl"/>
        </w:rPr>
        <w:t>, que persisten en hacer comentarios negativos sobre su carácter de defensoras de derechos humanos. Socorro Mosquera relató en detalle los hostigamientos persistentes en contra de sus hijos, a quienes llaman ‘los hijos de la guerrillera, la negra [P]</w:t>
      </w:r>
      <w:proofErr w:type="spellStart"/>
      <w:r w:rsidR="003D69CC" w:rsidRPr="00CA5ACF">
        <w:rPr>
          <w:rFonts w:ascii="Verdana" w:hAnsi="Verdana"/>
          <w:sz w:val="20"/>
          <w:szCs w:val="20"/>
          <w:lang w:val="es-ES_tradnl"/>
        </w:rPr>
        <w:t>iedad</w:t>
      </w:r>
      <w:proofErr w:type="spellEnd"/>
      <w:r w:rsidR="003D69CC" w:rsidRPr="00CA5ACF">
        <w:rPr>
          <w:rFonts w:ascii="Verdana" w:hAnsi="Verdana"/>
          <w:sz w:val="20"/>
          <w:szCs w:val="20"/>
          <w:lang w:val="es-ES_tradnl"/>
        </w:rPr>
        <w:t xml:space="preserve"> [C]</w:t>
      </w:r>
      <w:proofErr w:type="spellStart"/>
      <w:r w:rsidR="003D69CC" w:rsidRPr="00CA5ACF">
        <w:rPr>
          <w:rFonts w:ascii="Verdana" w:hAnsi="Verdana"/>
          <w:sz w:val="20"/>
          <w:szCs w:val="20"/>
          <w:lang w:val="es-ES_tradnl"/>
        </w:rPr>
        <w:t>órdoba</w:t>
      </w:r>
      <w:proofErr w:type="spellEnd"/>
      <w:r w:rsidR="003D69CC" w:rsidRPr="00CA5ACF">
        <w:rPr>
          <w:rFonts w:ascii="Verdana" w:hAnsi="Verdana"/>
          <w:sz w:val="20"/>
          <w:szCs w:val="20"/>
          <w:lang w:val="es-ES_tradnl"/>
        </w:rPr>
        <w:t>’”</w:t>
      </w:r>
      <w:r w:rsidR="00C155D6">
        <w:rPr>
          <w:rFonts w:ascii="Verdana" w:hAnsi="Verdana"/>
          <w:sz w:val="20"/>
          <w:szCs w:val="20"/>
          <w:lang w:val="es-ES_tradnl"/>
        </w:rPr>
        <w:t>, y</w:t>
      </w:r>
      <w:r w:rsidR="003D69CC" w:rsidRPr="00CA5ACF">
        <w:rPr>
          <w:rFonts w:ascii="Verdana" w:hAnsi="Verdana"/>
          <w:sz w:val="20"/>
          <w:szCs w:val="20"/>
          <w:lang w:val="es-ES_tradnl"/>
        </w:rPr>
        <w:t xml:space="preserve"> </w:t>
      </w:r>
    </w:p>
    <w:p w:rsidR="003D69CC" w:rsidRDefault="00D122A3" w:rsidP="00F6370D">
      <w:pPr>
        <w:autoSpaceDE w:val="0"/>
        <w:autoSpaceDN w:val="0"/>
        <w:adjustRightInd w:val="0"/>
        <w:ind w:left="900"/>
        <w:jc w:val="both"/>
        <w:rPr>
          <w:rFonts w:ascii="Verdana" w:hAnsi="Verdana"/>
          <w:b/>
          <w:sz w:val="16"/>
          <w:szCs w:val="16"/>
          <w:lang w:val="es-ES_tradnl"/>
        </w:rPr>
      </w:pPr>
      <w:r>
        <w:rPr>
          <w:rFonts w:ascii="Verdana" w:eastAsia="Calibri" w:hAnsi="Verdana" w:cs="Arial"/>
          <w:sz w:val="20"/>
          <w:szCs w:val="20"/>
          <w:lang w:val="es-CR"/>
        </w:rPr>
        <w:t xml:space="preserve">f) </w:t>
      </w:r>
      <w:r w:rsidR="00C155D6">
        <w:rPr>
          <w:rFonts w:ascii="Verdana" w:eastAsia="Calibri" w:hAnsi="Verdana" w:cs="Arial"/>
          <w:sz w:val="20"/>
          <w:szCs w:val="20"/>
          <w:lang w:val="es-CR"/>
        </w:rPr>
        <w:t>e</w:t>
      </w:r>
      <w:r w:rsidR="004A0C4F">
        <w:rPr>
          <w:rFonts w:ascii="Verdana" w:eastAsia="Calibri" w:hAnsi="Verdana" w:cs="Arial"/>
          <w:sz w:val="20"/>
          <w:szCs w:val="20"/>
          <w:lang w:val="es-CR"/>
        </w:rPr>
        <w:t>l 25 de febrero de 2015</w:t>
      </w:r>
      <w:r w:rsidR="003D69CC" w:rsidRPr="00CA5ACF">
        <w:rPr>
          <w:rFonts w:ascii="Verdana" w:hAnsi="Verdana"/>
          <w:sz w:val="20"/>
          <w:szCs w:val="20"/>
          <w:lang w:val="es-ES_tradnl"/>
        </w:rPr>
        <w:t xml:space="preserve"> la</w:t>
      </w:r>
      <w:r w:rsidR="003626E9">
        <w:rPr>
          <w:rFonts w:ascii="Verdana" w:hAnsi="Verdana"/>
          <w:sz w:val="20"/>
          <w:szCs w:val="20"/>
          <w:lang w:val="es-ES_tradnl"/>
        </w:rPr>
        <w:t xml:space="preserve"> señora Mosquera</w:t>
      </w:r>
      <w:r w:rsidR="003D69CC" w:rsidRPr="00CA5ACF">
        <w:rPr>
          <w:rFonts w:ascii="Verdana" w:hAnsi="Verdana"/>
          <w:sz w:val="20"/>
          <w:szCs w:val="20"/>
          <w:lang w:val="es-ES_tradnl"/>
        </w:rPr>
        <w:t xml:space="preserve"> fue “agredida verbalmente” por los policías del C</w:t>
      </w:r>
      <w:r w:rsidR="00F51A1C">
        <w:rPr>
          <w:rFonts w:ascii="Verdana" w:hAnsi="Verdana"/>
          <w:sz w:val="20"/>
          <w:szCs w:val="20"/>
          <w:lang w:val="es-ES_tradnl"/>
        </w:rPr>
        <w:t>AI</w:t>
      </w:r>
      <w:r w:rsidR="003D69CC" w:rsidRPr="00CA5ACF">
        <w:rPr>
          <w:rFonts w:ascii="Verdana" w:hAnsi="Verdana"/>
          <w:sz w:val="20"/>
          <w:szCs w:val="20"/>
          <w:lang w:val="es-ES_tradnl"/>
        </w:rPr>
        <w:t xml:space="preserve"> de San Michel de la comuna 13, a raíz de concurrir a buscar su hijo Marlon Daniel, quien fue retenido por el ejército y entregado a la policía, pero que no conocía el motivo por el cual esto había ocurrido</w:t>
      </w:r>
      <w:r w:rsidR="003D69CC" w:rsidRPr="00CA5ACF">
        <w:rPr>
          <w:rStyle w:val="FootnoteReference"/>
          <w:sz w:val="20"/>
          <w:szCs w:val="20"/>
          <w:lang w:val="es-ES_tradnl"/>
        </w:rPr>
        <w:footnoteReference w:id="19"/>
      </w:r>
      <w:r w:rsidR="003D69CC" w:rsidRPr="00CA5ACF">
        <w:rPr>
          <w:rFonts w:ascii="Verdana" w:hAnsi="Verdana"/>
          <w:sz w:val="20"/>
          <w:szCs w:val="20"/>
          <w:lang w:val="es-ES_tradnl"/>
        </w:rPr>
        <w:t>.</w:t>
      </w:r>
      <w:r w:rsidR="003D69CC" w:rsidRPr="00CA5ACF">
        <w:rPr>
          <w:rFonts w:ascii="Verdana" w:hAnsi="Verdana"/>
          <w:b/>
          <w:sz w:val="20"/>
          <w:szCs w:val="20"/>
          <w:lang w:val="es-ES_tradnl"/>
        </w:rPr>
        <w:t xml:space="preserve"> </w:t>
      </w:r>
    </w:p>
    <w:p w:rsidR="003113BF" w:rsidRDefault="003113BF" w:rsidP="00162A54">
      <w:pPr>
        <w:autoSpaceDE w:val="0"/>
        <w:autoSpaceDN w:val="0"/>
        <w:adjustRightInd w:val="0"/>
        <w:ind w:left="284"/>
        <w:jc w:val="both"/>
        <w:rPr>
          <w:rFonts w:ascii="Verdana" w:hAnsi="Verdana"/>
          <w:sz w:val="20"/>
          <w:szCs w:val="20"/>
          <w:lang w:val="es-ES_tradnl"/>
        </w:rPr>
      </w:pPr>
    </w:p>
    <w:p w:rsidR="003D69CC" w:rsidRDefault="003D69CC" w:rsidP="00E50988">
      <w:pPr>
        <w:pStyle w:val="ListParagraph"/>
        <w:numPr>
          <w:ilvl w:val="0"/>
          <w:numId w:val="72"/>
        </w:numPr>
        <w:ind w:left="0" w:hanging="11"/>
        <w:jc w:val="both"/>
        <w:rPr>
          <w:rFonts w:ascii="Verdana" w:hAnsi="Verdana"/>
          <w:sz w:val="20"/>
          <w:szCs w:val="20"/>
          <w:lang w:val="es-ES_tradnl"/>
        </w:rPr>
      </w:pPr>
      <w:r>
        <w:rPr>
          <w:rFonts w:ascii="Verdana" w:hAnsi="Verdana"/>
          <w:sz w:val="20"/>
          <w:szCs w:val="20"/>
          <w:lang w:val="es-ES_tradnl"/>
        </w:rPr>
        <w:t xml:space="preserve">Además, </w:t>
      </w:r>
      <w:r w:rsidR="005D76C9">
        <w:rPr>
          <w:rFonts w:ascii="Verdana" w:hAnsi="Verdana"/>
          <w:sz w:val="20"/>
          <w:szCs w:val="20"/>
          <w:lang w:val="es-ES_tradnl"/>
        </w:rPr>
        <w:t>en abril y mayo de 2015, sin especificar la fecha</w:t>
      </w:r>
      <w:r w:rsidR="00162A54">
        <w:rPr>
          <w:rFonts w:ascii="Verdana" w:hAnsi="Verdana"/>
          <w:sz w:val="20"/>
          <w:szCs w:val="20"/>
          <w:lang w:val="es-ES_tradnl"/>
        </w:rPr>
        <w:t xml:space="preserve"> ni brindar mayores detalles, los representantes indicaron que</w:t>
      </w:r>
      <w:r w:rsidR="005D76C9">
        <w:rPr>
          <w:rFonts w:ascii="Verdana" w:hAnsi="Verdana"/>
          <w:sz w:val="20"/>
          <w:szCs w:val="20"/>
          <w:lang w:val="es-ES_tradnl"/>
        </w:rPr>
        <w:t xml:space="preserve"> </w:t>
      </w:r>
      <w:r w:rsidR="00162A54">
        <w:rPr>
          <w:rFonts w:ascii="Verdana" w:hAnsi="Verdana"/>
          <w:sz w:val="20"/>
          <w:szCs w:val="20"/>
          <w:lang w:val="es-ES_tradnl"/>
        </w:rPr>
        <w:t xml:space="preserve">el personal policial persiste en hacer </w:t>
      </w:r>
      <w:r w:rsidR="00162A54">
        <w:rPr>
          <w:rFonts w:ascii="Verdana" w:hAnsi="Verdana"/>
          <w:sz w:val="20"/>
          <w:szCs w:val="20"/>
          <w:lang w:val="es-ES_tradnl"/>
        </w:rPr>
        <w:lastRenderedPageBreak/>
        <w:t xml:space="preserve">comentarios negativos sobre el carácter de defensoras de derechos </w:t>
      </w:r>
      <w:r w:rsidR="00162A54" w:rsidRPr="00162A54">
        <w:rPr>
          <w:rFonts w:ascii="Verdana" w:hAnsi="Verdana"/>
          <w:sz w:val="20"/>
          <w:szCs w:val="20"/>
          <w:lang w:val="es-ES_tradnl"/>
        </w:rPr>
        <w:t xml:space="preserve">humanos </w:t>
      </w:r>
      <w:r w:rsidR="00162A54">
        <w:rPr>
          <w:rFonts w:ascii="Verdana" w:hAnsi="Verdana"/>
          <w:sz w:val="20"/>
          <w:szCs w:val="20"/>
          <w:lang w:val="es-ES_tradnl"/>
        </w:rPr>
        <w:t>de las víctimas, refiriéndose a ellas como guerrilleras</w:t>
      </w:r>
      <w:r w:rsidR="00162A54">
        <w:rPr>
          <w:rFonts w:ascii="Verdana" w:eastAsia="Calibri" w:hAnsi="Verdana" w:cs="Arial"/>
          <w:b/>
          <w:sz w:val="16"/>
          <w:szCs w:val="16"/>
          <w:lang w:val="es-CR"/>
        </w:rPr>
        <w:t xml:space="preserve">, </w:t>
      </w:r>
      <w:r w:rsidR="00162A54" w:rsidRPr="00162A54">
        <w:rPr>
          <w:rFonts w:ascii="Verdana" w:eastAsia="Calibri" w:hAnsi="Verdana" w:cs="Arial"/>
          <w:sz w:val="20"/>
          <w:szCs w:val="20"/>
          <w:lang w:val="es-CR"/>
        </w:rPr>
        <w:t>y que</w:t>
      </w:r>
      <w:r w:rsidR="00162A54">
        <w:rPr>
          <w:rFonts w:ascii="Verdana" w:eastAsia="Calibri" w:hAnsi="Verdana" w:cs="Arial"/>
          <w:b/>
          <w:sz w:val="16"/>
          <w:szCs w:val="16"/>
          <w:lang w:val="es-CR"/>
        </w:rPr>
        <w:t xml:space="preserve"> </w:t>
      </w:r>
      <w:r w:rsidR="00162A54">
        <w:rPr>
          <w:rFonts w:ascii="Verdana" w:eastAsia="Calibri" w:hAnsi="Verdana" w:cs="Arial"/>
          <w:sz w:val="20"/>
          <w:szCs w:val="20"/>
          <w:lang w:val="es-CR"/>
        </w:rPr>
        <w:t>persistían</w:t>
      </w:r>
      <w:r w:rsidR="00162A54" w:rsidRPr="00162A54">
        <w:rPr>
          <w:rFonts w:ascii="Verdana" w:eastAsia="Calibri" w:hAnsi="Verdana" w:cs="Arial"/>
          <w:sz w:val="20"/>
          <w:szCs w:val="20"/>
          <w:lang w:val="es-CR"/>
        </w:rPr>
        <w:t xml:space="preserve"> los hostigamientos contra</w:t>
      </w:r>
      <w:r w:rsidR="00162A54">
        <w:rPr>
          <w:rFonts w:ascii="Verdana" w:eastAsia="Calibri" w:hAnsi="Verdana" w:cs="Arial"/>
          <w:b/>
          <w:sz w:val="16"/>
          <w:szCs w:val="16"/>
          <w:lang w:val="es-CR"/>
        </w:rPr>
        <w:t xml:space="preserve"> </w:t>
      </w:r>
      <w:r w:rsidR="00162A54" w:rsidRPr="00162A54">
        <w:rPr>
          <w:rFonts w:ascii="Verdana" w:eastAsia="Calibri" w:hAnsi="Verdana" w:cs="Arial"/>
          <w:sz w:val="20"/>
          <w:szCs w:val="20"/>
          <w:lang w:val="es-CR"/>
        </w:rPr>
        <w:t>los hijos de las señoras Naranjo y Mosquera</w:t>
      </w:r>
      <w:r w:rsidR="007532A8">
        <w:rPr>
          <w:rFonts w:ascii="Verdana" w:eastAsia="Calibri" w:hAnsi="Verdana" w:cs="Arial"/>
          <w:sz w:val="20"/>
          <w:szCs w:val="20"/>
          <w:lang w:val="es-CR"/>
        </w:rPr>
        <w:t>.</w:t>
      </w:r>
      <w:r w:rsidR="00162A54">
        <w:rPr>
          <w:rFonts w:ascii="Verdana" w:eastAsia="Calibri" w:hAnsi="Verdana" w:cs="Arial"/>
          <w:b/>
          <w:sz w:val="16"/>
          <w:szCs w:val="16"/>
          <w:lang w:val="es-CR"/>
        </w:rPr>
        <w:t xml:space="preserve"> </w:t>
      </w:r>
      <w:r w:rsidR="00162A54" w:rsidRPr="00162A54">
        <w:rPr>
          <w:rFonts w:ascii="Verdana" w:eastAsia="Calibri" w:hAnsi="Verdana" w:cs="Arial"/>
          <w:sz w:val="20"/>
          <w:szCs w:val="20"/>
          <w:lang w:val="es-CR"/>
        </w:rPr>
        <w:t>Ad</w:t>
      </w:r>
      <w:r w:rsidR="003626E9">
        <w:rPr>
          <w:rFonts w:ascii="Verdana" w:eastAsia="Calibri" w:hAnsi="Verdana" w:cs="Arial"/>
          <w:sz w:val="20"/>
          <w:szCs w:val="20"/>
          <w:lang w:val="es-CR"/>
        </w:rPr>
        <w:t>icionalmente</w:t>
      </w:r>
      <w:r w:rsidR="00162A54" w:rsidRPr="00162A54">
        <w:rPr>
          <w:rFonts w:ascii="Verdana" w:eastAsia="Calibri" w:hAnsi="Verdana" w:cs="Arial"/>
          <w:sz w:val="20"/>
          <w:szCs w:val="20"/>
          <w:lang w:val="es-CR"/>
        </w:rPr>
        <w:t>,</w:t>
      </w:r>
      <w:r w:rsidRPr="00E50988">
        <w:rPr>
          <w:rFonts w:ascii="Verdana" w:hAnsi="Verdana"/>
          <w:sz w:val="20"/>
          <w:szCs w:val="20"/>
          <w:lang w:val="es-ES_tradnl"/>
        </w:rPr>
        <w:t xml:space="preserve"> </w:t>
      </w:r>
      <w:r w:rsidR="00162A54">
        <w:rPr>
          <w:rFonts w:ascii="Verdana" w:hAnsi="Verdana"/>
          <w:sz w:val="20"/>
          <w:szCs w:val="20"/>
          <w:lang w:val="es-ES_tradnl"/>
        </w:rPr>
        <w:t xml:space="preserve">el </w:t>
      </w:r>
      <w:r w:rsidR="007532A8">
        <w:rPr>
          <w:rFonts w:ascii="Verdana" w:hAnsi="Verdana"/>
          <w:sz w:val="20"/>
          <w:szCs w:val="20"/>
          <w:lang w:val="es-ES_tradnl"/>
        </w:rPr>
        <w:t>25 de mayo de 2015</w:t>
      </w:r>
      <w:r w:rsidRPr="00E50988">
        <w:rPr>
          <w:rFonts w:ascii="Verdana" w:hAnsi="Verdana"/>
          <w:sz w:val="20"/>
          <w:szCs w:val="20"/>
          <w:lang w:val="es-ES_tradnl"/>
        </w:rPr>
        <w:t xml:space="preserve"> </w:t>
      </w:r>
      <w:r w:rsidR="00C155D6">
        <w:rPr>
          <w:rFonts w:ascii="Verdana" w:hAnsi="Verdana"/>
          <w:sz w:val="20"/>
          <w:szCs w:val="20"/>
          <w:lang w:val="es-ES_tradnl"/>
        </w:rPr>
        <w:t xml:space="preserve">manifestaron </w:t>
      </w:r>
      <w:r w:rsidR="00162A54">
        <w:rPr>
          <w:rFonts w:ascii="Verdana" w:hAnsi="Verdana"/>
          <w:sz w:val="20"/>
          <w:szCs w:val="20"/>
          <w:lang w:val="es-ES_tradnl"/>
        </w:rPr>
        <w:t>que consideraban</w:t>
      </w:r>
      <w:r w:rsidRPr="00E50988">
        <w:rPr>
          <w:rFonts w:ascii="Verdana" w:hAnsi="Verdana"/>
          <w:sz w:val="20"/>
          <w:szCs w:val="20"/>
          <w:lang w:val="es-ES_tradnl"/>
        </w:rPr>
        <w:t xml:space="preserve"> que tanto las señoras Naranjo y Mosquera como sus hijos podrían ser blanco de los “desmovilizados paramilitares que siguen actuando en la zona”</w:t>
      </w:r>
      <w:r w:rsidR="00C155D6">
        <w:rPr>
          <w:rFonts w:ascii="Verdana" w:hAnsi="Verdana"/>
          <w:sz w:val="20"/>
          <w:szCs w:val="20"/>
          <w:lang w:val="es-ES_tradnl"/>
        </w:rPr>
        <w:t>.</w:t>
      </w:r>
      <w:r w:rsidRPr="00E50988">
        <w:rPr>
          <w:rFonts w:ascii="Verdana" w:hAnsi="Verdana"/>
          <w:sz w:val="20"/>
          <w:szCs w:val="20"/>
          <w:lang w:val="es-ES_tradnl"/>
        </w:rPr>
        <w:t xml:space="preserve"> </w:t>
      </w:r>
    </w:p>
    <w:p w:rsidR="003D69CC" w:rsidRDefault="003D69CC" w:rsidP="00E50988">
      <w:pPr>
        <w:pStyle w:val="ListParagraph"/>
        <w:ind w:left="0"/>
        <w:jc w:val="both"/>
        <w:rPr>
          <w:rFonts w:ascii="Verdana" w:hAnsi="Verdana"/>
          <w:sz w:val="20"/>
          <w:szCs w:val="20"/>
          <w:lang w:val="es-ES_tradnl"/>
        </w:rPr>
      </w:pPr>
    </w:p>
    <w:p w:rsidR="00C155D6" w:rsidRPr="00C155D6" w:rsidRDefault="00DD6C71" w:rsidP="00E50988">
      <w:pPr>
        <w:pStyle w:val="ListParagraph"/>
        <w:numPr>
          <w:ilvl w:val="0"/>
          <w:numId w:val="72"/>
        </w:numPr>
        <w:ind w:left="0" w:hanging="11"/>
        <w:jc w:val="both"/>
        <w:rPr>
          <w:rFonts w:ascii="Verdana" w:hAnsi="Verdana"/>
          <w:sz w:val="20"/>
          <w:szCs w:val="20"/>
          <w:lang w:val="es-ES_tradnl"/>
        </w:rPr>
      </w:pPr>
      <w:r w:rsidRPr="00E50988">
        <w:rPr>
          <w:rFonts w:ascii="Verdana" w:hAnsi="Verdana"/>
          <w:sz w:val="20"/>
          <w:szCs w:val="20"/>
          <w:lang w:val="es-ES"/>
        </w:rPr>
        <w:t xml:space="preserve">Por su parte, el </w:t>
      </w:r>
      <w:r w:rsidRPr="00E50988">
        <w:rPr>
          <w:rFonts w:ascii="Verdana" w:hAnsi="Verdana"/>
          <w:b/>
          <w:i/>
          <w:sz w:val="20"/>
          <w:szCs w:val="20"/>
          <w:lang w:val="es-ES"/>
        </w:rPr>
        <w:t>Estado</w:t>
      </w:r>
      <w:r w:rsidRPr="00E50988">
        <w:rPr>
          <w:rFonts w:ascii="Verdana" w:hAnsi="Verdana"/>
          <w:sz w:val="20"/>
          <w:szCs w:val="20"/>
          <w:lang w:val="es-ES"/>
        </w:rPr>
        <w:t xml:space="preserve"> señaló que</w:t>
      </w:r>
      <w:r w:rsidRPr="00E50988">
        <w:rPr>
          <w:rFonts w:ascii="Verdana" w:eastAsia="Calibri" w:hAnsi="Verdana" w:cs="Arial"/>
          <w:sz w:val="20"/>
          <w:szCs w:val="20"/>
          <w:lang w:val="es-CR"/>
        </w:rPr>
        <w:t xml:space="preserve"> </w:t>
      </w:r>
    </w:p>
    <w:p w:rsidR="00C155D6" w:rsidRPr="00C155D6" w:rsidRDefault="00C155D6" w:rsidP="00C155D6">
      <w:pPr>
        <w:pStyle w:val="ListParagraph"/>
        <w:rPr>
          <w:rFonts w:ascii="Verdana" w:eastAsia="Calibri" w:hAnsi="Verdana" w:cs="Arial"/>
          <w:sz w:val="20"/>
          <w:szCs w:val="20"/>
          <w:lang w:val="es-CR"/>
        </w:rPr>
      </w:pPr>
    </w:p>
    <w:p w:rsidR="00C155D6" w:rsidRPr="00C155D6" w:rsidRDefault="00DD6C71" w:rsidP="00C155D6">
      <w:pPr>
        <w:pStyle w:val="ListParagraph"/>
        <w:ind w:left="567" w:right="585"/>
        <w:jc w:val="both"/>
        <w:rPr>
          <w:rFonts w:ascii="Verdana" w:eastAsia="Calibri" w:hAnsi="Verdana" w:cs="Arial"/>
          <w:sz w:val="16"/>
          <w:szCs w:val="16"/>
          <w:lang w:val="es-CR"/>
        </w:rPr>
      </w:pPr>
      <w:proofErr w:type="gramStart"/>
      <w:r w:rsidRPr="00C155D6">
        <w:rPr>
          <w:rFonts w:ascii="Verdana" w:eastAsia="Calibri" w:hAnsi="Verdana" w:cs="Arial"/>
          <w:sz w:val="16"/>
          <w:szCs w:val="16"/>
          <w:lang w:val="es-CR"/>
        </w:rPr>
        <w:t>el</w:t>
      </w:r>
      <w:proofErr w:type="gramEnd"/>
      <w:r w:rsidRPr="00C155D6">
        <w:rPr>
          <w:rFonts w:ascii="Verdana" w:eastAsia="Calibri" w:hAnsi="Verdana" w:cs="Arial"/>
          <w:sz w:val="16"/>
          <w:szCs w:val="16"/>
          <w:lang w:val="es-CR"/>
        </w:rPr>
        <w:t xml:space="preserve"> día 14 de abril de 2011, siendo aproximadamente las 5:48 de la tarde, los funcionarios de la Policía Metropolitana del Valle de </w:t>
      </w:r>
      <w:proofErr w:type="spellStart"/>
      <w:r w:rsidRPr="00C155D6">
        <w:rPr>
          <w:rFonts w:ascii="Verdana" w:eastAsia="Calibri" w:hAnsi="Verdana" w:cs="Arial"/>
          <w:sz w:val="16"/>
          <w:szCs w:val="16"/>
          <w:lang w:val="es-CR"/>
        </w:rPr>
        <w:t>Aburrá</w:t>
      </w:r>
      <w:proofErr w:type="spellEnd"/>
      <w:r w:rsidRPr="00C155D6">
        <w:rPr>
          <w:rFonts w:ascii="Verdana" w:eastAsia="Calibri" w:hAnsi="Verdana" w:cs="Arial"/>
          <w:sz w:val="16"/>
          <w:szCs w:val="16"/>
          <w:lang w:val="es-CR"/>
        </w:rPr>
        <w:t xml:space="preserve">, se encontraban realizando labores de patrullaje al sector denominado la Torre del Centro Integrado Comuna Trece, cuando se observó a un individuo de contextura física delgada, que vestía chaqueta roja y portaba gorra, disparando a los patrulleros de la Policía con arma de fuego de largo alcance. Según lo informó la Policía, los patrulleros le solicitaron una </w:t>
      </w:r>
      <w:proofErr w:type="gramStart"/>
      <w:r w:rsidRPr="00C155D6">
        <w:rPr>
          <w:rFonts w:ascii="Verdana" w:eastAsia="Calibri" w:hAnsi="Verdana" w:cs="Arial"/>
          <w:sz w:val="16"/>
          <w:szCs w:val="16"/>
          <w:lang w:val="es-CR"/>
        </w:rPr>
        <w:t>requisa</w:t>
      </w:r>
      <w:r w:rsidR="003626E9">
        <w:rPr>
          <w:rFonts w:ascii="Verdana" w:eastAsia="Calibri" w:hAnsi="Verdana" w:cs="Arial"/>
          <w:sz w:val="16"/>
          <w:szCs w:val="16"/>
          <w:lang w:val="es-CR"/>
        </w:rPr>
        <w:t>[</w:t>
      </w:r>
      <w:proofErr w:type="gramEnd"/>
      <w:r w:rsidR="003626E9">
        <w:rPr>
          <w:rFonts w:ascii="Verdana" w:eastAsia="Calibri" w:hAnsi="Verdana" w:cs="Arial"/>
          <w:sz w:val="16"/>
          <w:szCs w:val="16"/>
          <w:lang w:val="es-CR"/>
        </w:rPr>
        <w:t>,]</w:t>
      </w:r>
      <w:r w:rsidRPr="00C155D6">
        <w:rPr>
          <w:rFonts w:ascii="Verdana" w:eastAsia="Calibri" w:hAnsi="Verdana" w:cs="Arial"/>
          <w:sz w:val="16"/>
          <w:szCs w:val="16"/>
          <w:lang w:val="es-CR"/>
        </w:rPr>
        <w:t xml:space="preserve"> a lo cual éste se negó respondiendo de forma violenta a tal requerimiento, agrediendo físicamente a uno de los patrulleros</w:t>
      </w:r>
      <w:r w:rsidR="002E1D7A">
        <w:rPr>
          <w:rFonts w:ascii="Verdana" w:eastAsia="Calibri" w:hAnsi="Verdana" w:cs="Arial"/>
          <w:sz w:val="16"/>
          <w:szCs w:val="16"/>
          <w:lang w:val="es-CR"/>
        </w:rPr>
        <w:t>[</w:t>
      </w:r>
      <w:r w:rsidRPr="00C155D6">
        <w:rPr>
          <w:rFonts w:ascii="Verdana" w:eastAsia="Calibri" w:hAnsi="Verdana" w:cs="Arial"/>
          <w:sz w:val="16"/>
          <w:szCs w:val="16"/>
          <w:lang w:val="es-CR"/>
        </w:rPr>
        <w:t>.</w:t>
      </w:r>
      <w:r w:rsidR="002E1D7A">
        <w:rPr>
          <w:rFonts w:ascii="Verdana" w:eastAsia="Calibri" w:hAnsi="Verdana" w:cs="Arial"/>
          <w:sz w:val="16"/>
          <w:szCs w:val="16"/>
          <w:lang w:val="es-CR"/>
        </w:rPr>
        <w:t>]</w:t>
      </w:r>
      <w:r w:rsidRPr="00C155D6">
        <w:rPr>
          <w:rFonts w:ascii="Verdana" w:eastAsia="Calibri" w:hAnsi="Verdana" w:cs="Arial"/>
          <w:sz w:val="16"/>
          <w:szCs w:val="16"/>
          <w:lang w:val="es-CR"/>
        </w:rPr>
        <w:t xml:space="preserve"> Acto seguido, los funcionarios procedieron a someterlo, con el objeto de conducirlo al Centro Integrado de Justicia, para su identificación y verificación de antecedentes</w:t>
      </w:r>
      <w:r w:rsidR="002E1D7A">
        <w:rPr>
          <w:rFonts w:ascii="Verdana" w:eastAsia="Calibri" w:hAnsi="Verdana" w:cs="Arial"/>
          <w:sz w:val="16"/>
          <w:szCs w:val="16"/>
          <w:lang w:val="es-CR"/>
        </w:rPr>
        <w:t>.</w:t>
      </w:r>
      <w:r w:rsidRPr="00C155D6">
        <w:rPr>
          <w:rFonts w:ascii="Verdana" w:eastAsia="Calibri" w:hAnsi="Verdana" w:cs="Arial"/>
          <w:sz w:val="16"/>
          <w:szCs w:val="16"/>
          <w:lang w:val="es-CR"/>
        </w:rPr>
        <w:t xml:space="preserve"> Sin embargo, conforme lo relata</w:t>
      </w:r>
      <w:r w:rsidR="00F31305">
        <w:rPr>
          <w:rFonts w:ascii="Verdana" w:eastAsia="Calibri" w:hAnsi="Verdana" w:cs="Arial"/>
          <w:sz w:val="16"/>
          <w:szCs w:val="16"/>
          <w:lang w:val="es-CR"/>
        </w:rPr>
        <w:t>[ron]</w:t>
      </w:r>
      <w:r w:rsidRPr="00C155D6">
        <w:rPr>
          <w:rFonts w:ascii="Verdana" w:eastAsia="Calibri" w:hAnsi="Verdana" w:cs="Arial"/>
          <w:sz w:val="16"/>
          <w:szCs w:val="16"/>
          <w:lang w:val="es-CR"/>
        </w:rPr>
        <w:t xml:space="preserve"> los miembros de la Policía presentes, en ese momento</w:t>
      </w:r>
      <w:r w:rsidR="00D122A3">
        <w:rPr>
          <w:rFonts w:ascii="Verdana" w:eastAsia="Calibri" w:hAnsi="Verdana" w:cs="Arial"/>
          <w:sz w:val="16"/>
          <w:szCs w:val="16"/>
          <w:lang w:val="es-CR"/>
        </w:rPr>
        <w:t xml:space="preserve"> las señoras Mery Naranjo y Marí</w:t>
      </w:r>
      <w:r w:rsidRPr="00C155D6">
        <w:rPr>
          <w:rFonts w:ascii="Verdana" w:eastAsia="Calibri" w:hAnsi="Verdana" w:cs="Arial"/>
          <w:sz w:val="16"/>
          <w:szCs w:val="16"/>
          <w:lang w:val="es-CR"/>
        </w:rPr>
        <w:t>a del Socorro Mosquera se hicieron presentes en el lugar, al parecer con el propósi</w:t>
      </w:r>
      <w:r w:rsidR="00C155D6" w:rsidRPr="00C155D6">
        <w:rPr>
          <w:rFonts w:ascii="Verdana" w:eastAsia="Calibri" w:hAnsi="Verdana" w:cs="Arial"/>
          <w:sz w:val="16"/>
          <w:szCs w:val="16"/>
          <w:lang w:val="es-CR"/>
        </w:rPr>
        <w:t>to de impedir tal procedimiento</w:t>
      </w:r>
      <w:r w:rsidRPr="00C155D6">
        <w:rPr>
          <w:rFonts w:ascii="Verdana" w:eastAsia="Calibri" w:hAnsi="Verdana" w:cs="Arial"/>
          <w:sz w:val="16"/>
          <w:szCs w:val="16"/>
          <w:lang w:val="es-CR"/>
        </w:rPr>
        <w:t xml:space="preserve">. </w:t>
      </w:r>
    </w:p>
    <w:p w:rsidR="00C155D6" w:rsidRDefault="00C155D6" w:rsidP="00C155D6">
      <w:pPr>
        <w:pStyle w:val="ListParagraph"/>
        <w:ind w:left="0"/>
        <w:jc w:val="both"/>
        <w:rPr>
          <w:rFonts w:ascii="Verdana" w:eastAsia="Calibri" w:hAnsi="Verdana" w:cs="Arial"/>
          <w:sz w:val="20"/>
          <w:szCs w:val="20"/>
          <w:lang w:val="es-CR"/>
        </w:rPr>
      </w:pPr>
    </w:p>
    <w:p w:rsidR="003D69CC" w:rsidRPr="00E50988" w:rsidRDefault="00DD6C71" w:rsidP="00C155D6">
      <w:pPr>
        <w:pStyle w:val="ListParagraph"/>
        <w:ind w:left="0"/>
        <w:jc w:val="both"/>
        <w:rPr>
          <w:rFonts w:ascii="Verdana" w:hAnsi="Verdana"/>
          <w:sz w:val="20"/>
          <w:szCs w:val="20"/>
          <w:lang w:val="es-ES_tradnl"/>
        </w:rPr>
      </w:pPr>
      <w:r w:rsidRPr="00E50988">
        <w:rPr>
          <w:rFonts w:ascii="Verdana" w:eastAsia="Calibri" w:hAnsi="Verdana" w:cs="Arial"/>
          <w:sz w:val="20"/>
          <w:szCs w:val="20"/>
          <w:lang w:val="es-CR"/>
        </w:rPr>
        <w:t xml:space="preserve">En este sentido, el Estado señaló que ambas partes interpusieron </w:t>
      </w:r>
      <w:r w:rsidR="00D122A3">
        <w:rPr>
          <w:rFonts w:ascii="Verdana" w:eastAsia="Calibri" w:hAnsi="Verdana" w:cs="Arial"/>
          <w:sz w:val="20"/>
          <w:szCs w:val="20"/>
          <w:lang w:val="es-CR"/>
        </w:rPr>
        <w:t xml:space="preserve">una </w:t>
      </w:r>
      <w:r w:rsidRPr="00E50988">
        <w:rPr>
          <w:rFonts w:ascii="Verdana" w:eastAsia="Calibri" w:hAnsi="Verdana" w:cs="Arial"/>
          <w:sz w:val="20"/>
          <w:szCs w:val="20"/>
          <w:lang w:val="es-CR"/>
        </w:rPr>
        <w:t>denuncia de los hechos, los cuales estaban siendo investigados por la Fiscalía General de la Nación</w:t>
      </w:r>
      <w:r w:rsidR="00F31305">
        <w:rPr>
          <w:rFonts w:ascii="Verdana" w:eastAsia="Calibri" w:hAnsi="Verdana" w:cs="Arial"/>
          <w:sz w:val="20"/>
          <w:szCs w:val="20"/>
          <w:lang w:val="es-CR"/>
        </w:rPr>
        <w:t>.</w:t>
      </w:r>
      <w:r w:rsidRPr="00E50988">
        <w:rPr>
          <w:rFonts w:ascii="Verdana" w:eastAsia="Calibri" w:hAnsi="Verdana" w:cs="Arial"/>
          <w:sz w:val="20"/>
          <w:szCs w:val="20"/>
          <w:lang w:val="es-CR"/>
        </w:rPr>
        <w:t xml:space="preserve"> </w:t>
      </w:r>
    </w:p>
    <w:p w:rsidR="003D69CC" w:rsidRPr="00E50988" w:rsidRDefault="003D69CC" w:rsidP="00E50988">
      <w:pPr>
        <w:pStyle w:val="ListParagraph"/>
        <w:ind w:left="0"/>
        <w:jc w:val="both"/>
        <w:rPr>
          <w:rFonts w:ascii="Verdana" w:hAnsi="Verdana"/>
          <w:sz w:val="20"/>
          <w:szCs w:val="20"/>
          <w:lang w:val="es-ES_tradnl"/>
        </w:rPr>
      </w:pPr>
    </w:p>
    <w:p w:rsidR="003D69CC" w:rsidRPr="00E50988" w:rsidRDefault="00DD6C71" w:rsidP="00E50988">
      <w:pPr>
        <w:pStyle w:val="ListParagraph"/>
        <w:numPr>
          <w:ilvl w:val="0"/>
          <w:numId w:val="72"/>
        </w:numPr>
        <w:ind w:left="0" w:hanging="11"/>
        <w:jc w:val="both"/>
        <w:rPr>
          <w:rFonts w:ascii="Verdana" w:hAnsi="Verdana"/>
          <w:sz w:val="20"/>
          <w:szCs w:val="20"/>
          <w:lang w:val="es-ES_tradnl"/>
        </w:rPr>
      </w:pPr>
      <w:r w:rsidRPr="00E50988">
        <w:rPr>
          <w:rFonts w:ascii="Verdana" w:eastAsia="Calibri" w:hAnsi="Verdana" w:cs="Arial"/>
          <w:sz w:val="20"/>
          <w:szCs w:val="20"/>
          <w:lang w:val="es-CR"/>
        </w:rPr>
        <w:t xml:space="preserve">Sobre los hechos acaecidos el </w:t>
      </w:r>
      <w:r w:rsidRPr="00E50988">
        <w:rPr>
          <w:rFonts w:ascii="Verdana" w:hAnsi="Verdana"/>
          <w:sz w:val="20"/>
          <w:szCs w:val="20"/>
          <w:lang w:val="es-ES_tradnl"/>
        </w:rPr>
        <w:t>12 de febrero de 2013, el Estado señaló</w:t>
      </w:r>
      <w:r w:rsidR="00536DE7">
        <w:rPr>
          <w:rFonts w:ascii="Verdana" w:hAnsi="Verdana"/>
          <w:sz w:val="20"/>
          <w:szCs w:val="20"/>
          <w:lang w:val="es-ES_tradnl"/>
        </w:rPr>
        <w:t xml:space="preserve"> que inició una</w:t>
      </w:r>
      <w:r w:rsidRPr="00E50988">
        <w:rPr>
          <w:rFonts w:ascii="Verdana" w:hAnsi="Verdana"/>
          <w:sz w:val="20"/>
          <w:szCs w:val="20"/>
          <w:lang w:val="es-ES_tradnl"/>
        </w:rPr>
        <w:t xml:space="preserve"> </w:t>
      </w:r>
      <w:r w:rsidR="00536DE7">
        <w:rPr>
          <w:rFonts w:ascii="Verdana" w:hAnsi="Verdana"/>
          <w:sz w:val="20"/>
          <w:szCs w:val="20"/>
          <w:lang w:val="es-ES_tradnl"/>
        </w:rPr>
        <w:t>investigación de oficio. No obstante,</w:t>
      </w:r>
      <w:r w:rsidRPr="00E50988">
        <w:rPr>
          <w:rFonts w:ascii="Verdana" w:eastAsia="Calibri" w:hAnsi="Verdana" w:cs="Arial"/>
          <w:sz w:val="20"/>
          <w:szCs w:val="20"/>
          <w:lang w:val="es-CR"/>
        </w:rPr>
        <w:t xml:space="preserve"> en su informe de 29 de abril de 2013 indic</w:t>
      </w:r>
      <w:r w:rsidR="00536DE7">
        <w:rPr>
          <w:rFonts w:ascii="Verdana" w:eastAsia="Calibri" w:hAnsi="Verdana" w:cs="Arial"/>
          <w:sz w:val="20"/>
          <w:szCs w:val="20"/>
          <w:lang w:val="es-CR"/>
        </w:rPr>
        <w:t>ó</w:t>
      </w:r>
      <w:r w:rsidRPr="00E50988">
        <w:rPr>
          <w:rFonts w:ascii="Verdana" w:eastAsia="Calibri" w:hAnsi="Verdana" w:cs="Arial"/>
          <w:sz w:val="20"/>
          <w:szCs w:val="20"/>
          <w:lang w:val="es-CR"/>
        </w:rPr>
        <w:t xml:space="preserve"> que la Policía Nacional mediante oficio de 10 de abril de 2013 </w:t>
      </w:r>
      <w:r w:rsidR="00536DE7">
        <w:rPr>
          <w:rFonts w:ascii="Verdana" w:eastAsia="Calibri" w:hAnsi="Verdana" w:cs="Arial"/>
          <w:sz w:val="20"/>
          <w:szCs w:val="20"/>
          <w:lang w:val="es-CR"/>
        </w:rPr>
        <w:t xml:space="preserve">había </w:t>
      </w:r>
      <w:r w:rsidRPr="00E50988">
        <w:rPr>
          <w:rFonts w:ascii="Verdana" w:eastAsia="Calibri" w:hAnsi="Verdana" w:cs="Arial"/>
          <w:sz w:val="20"/>
          <w:szCs w:val="20"/>
          <w:lang w:val="es-CR"/>
        </w:rPr>
        <w:t>inform</w:t>
      </w:r>
      <w:r w:rsidR="00536DE7">
        <w:rPr>
          <w:rFonts w:ascii="Verdana" w:eastAsia="Calibri" w:hAnsi="Verdana" w:cs="Arial"/>
          <w:sz w:val="20"/>
          <w:szCs w:val="20"/>
          <w:lang w:val="es-CR"/>
        </w:rPr>
        <w:t>ado</w:t>
      </w:r>
      <w:r w:rsidRPr="00E50988">
        <w:rPr>
          <w:rFonts w:ascii="Verdana" w:eastAsia="Calibri" w:hAnsi="Verdana" w:cs="Arial"/>
          <w:sz w:val="20"/>
          <w:szCs w:val="20"/>
          <w:lang w:val="es-CR"/>
        </w:rPr>
        <w:t xml:space="preserve"> que “la escuadra COINR 6-13 se encontraba realizando tareas de patrullaje y registro a las personas del sector Independencia”, y que en el marco de estas tareas le “solicitaron a tres personas verificar sus antecedentes judiciales, cuando en ese momento se acercó una señora molesta con dic</w:t>
      </w:r>
      <w:r w:rsidR="004A0C4F">
        <w:rPr>
          <w:rFonts w:ascii="Verdana" w:eastAsia="Calibri" w:hAnsi="Verdana" w:cs="Arial"/>
          <w:sz w:val="20"/>
          <w:szCs w:val="20"/>
          <w:lang w:val="es-CR"/>
        </w:rPr>
        <w:t>ha situación, señalando que habí</w:t>
      </w:r>
      <w:r w:rsidRPr="00E50988">
        <w:rPr>
          <w:rFonts w:ascii="Verdana" w:eastAsia="Calibri" w:hAnsi="Verdana" w:cs="Arial"/>
          <w:sz w:val="20"/>
          <w:szCs w:val="20"/>
          <w:lang w:val="es-CR"/>
        </w:rPr>
        <w:t xml:space="preserve">an golpeado a su hijo y que además ingresaron a su domicilio”. </w:t>
      </w:r>
      <w:r w:rsidR="00536DE7">
        <w:rPr>
          <w:rFonts w:ascii="Verdana" w:eastAsia="Calibri" w:hAnsi="Verdana" w:cs="Arial"/>
          <w:sz w:val="20"/>
          <w:szCs w:val="20"/>
          <w:lang w:val="es-CR"/>
        </w:rPr>
        <w:t>Indicó que e</w:t>
      </w:r>
      <w:r w:rsidRPr="00E50988">
        <w:rPr>
          <w:rFonts w:ascii="Verdana" w:eastAsia="Calibri" w:hAnsi="Verdana" w:cs="Arial"/>
          <w:sz w:val="20"/>
          <w:szCs w:val="20"/>
          <w:lang w:val="es-CR"/>
        </w:rPr>
        <w:t xml:space="preserve">n razón de lo anterior, la Unidad de Intervención Policial y de Antiterrorismo </w:t>
      </w:r>
      <w:proofErr w:type="spellStart"/>
      <w:r w:rsidRPr="00E50988">
        <w:rPr>
          <w:rFonts w:ascii="Verdana" w:eastAsia="Calibri" w:hAnsi="Verdana" w:cs="Arial"/>
          <w:sz w:val="20"/>
          <w:szCs w:val="20"/>
          <w:lang w:val="es-CR"/>
        </w:rPr>
        <w:t>aleg</w:t>
      </w:r>
      <w:proofErr w:type="spellEnd"/>
      <w:r w:rsidR="00536DE7">
        <w:rPr>
          <w:rFonts w:ascii="Verdana" w:eastAsia="Calibri" w:hAnsi="Verdana" w:cs="Arial"/>
          <w:sz w:val="20"/>
          <w:szCs w:val="20"/>
          <w:lang w:val="es-CR"/>
        </w:rPr>
        <w:t>[</w:t>
      </w:r>
      <w:proofErr w:type="spellStart"/>
      <w:r w:rsidR="00536DE7">
        <w:rPr>
          <w:rFonts w:ascii="Verdana" w:eastAsia="Calibri" w:hAnsi="Verdana" w:cs="Arial"/>
          <w:sz w:val="20"/>
          <w:szCs w:val="20"/>
          <w:lang w:val="es-CR"/>
        </w:rPr>
        <w:t>ó</w:t>
      </w:r>
      <w:proofErr w:type="spellEnd"/>
      <w:r w:rsidR="00536DE7">
        <w:rPr>
          <w:rFonts w:ascii="Verdana" w:eastAsia="Calibri" w:hAnsi="Verdana" w:cs="Arial"/>
          <w:sz w:val="20"/>
          <w:szCs w:val="20"/>
          <w:lang w:val="es-CR"/>
        </w:rPr>
        <w:t>]</w:t>
      </w:r>
      <w:r w:rsidRPr="00E50988">
        <w:rPr>
          <w:rFonts w:ascii="Verdana" w:eastAsia="Calibri" w:hAnsi="Verdana" w:cs="Arial"/>
          <w:sz w:val="20"/>
          <w:szCs w:val="20"/>
          <w:lang w:val="es-CR"/>
        </w:rPr>
        <w:t xml:space="preserve"> que los hechos denunciados no ocurrieron</w:t>
      </w:r>
      <w:r w:rsidRPr="00F31305">
        <w:rPr>
          <w:rFonts w:ascii="Verdana" w:eastAsia="Calibri" w:hAnsi="Verdana" w:cs="Arial"/>
          <w:sz w:val="16"/>
          <w:szCs w:val="16"/>
          <w:lang w:val="es-CR"/>
        </w:rPr>
        <w:t>.</w:t>
      </w:r>
      <w:r w:rsidRPr="00E50988">
        <w:rPr>
          <w:rFonts w:ascii="Verdana" w:eastAsia="Calibri" w:hAnsi="Verdana" w:cs="Arial"/>
          <w:sz w:val="20"/>
          <w:szCs w:val="20"/>
          <w:lang w:val="es-CR"/>
        </w:rPr>
        <w:t xml:space="preserve"> </w:t>
      </w:r>
    </w:p>
    <w:p w:rsidR="003D69CC" w:rsidRPr="00A327CA" w:rsidRDefault="003D69CC" w:rsidP="00E50988">
      <w:pPr>
        <w:pStyle w:val="ListParagraph"/>
        <w:rPr>
          <w:rFonts w:ascii="Verdana" w:eastAsia="Calibri" w:hAnsi="Verdana" w:cs="Arial"/>
          <w:sz w:val="20"/>
          <w:szCs w:val="20"/>
          <w:lang w:val="es-ES_tradnl"/>
        </w:rPr>
      </w:pPr>
    </w:p>
    <w:p w:rsidR="003D69CC" w:rsidRPr="00E50988" w:rsidRDefault="00C30221" w:rsidP="00E50988">
      <w:pPr>
        <w:pStyle w:val="ListParagraph"/>
        <w:numPr>
          <w:ilvl w:val="0"/>
          <w:numId w:val="72"/>
        </w:numPr>
        <w:ind w:left="0" w:hanging="11"/>
        <w:jc w:val="both"/>
        <w:rPr>
          <w:rFonts w:ascii="Verdana" w:hAnsi="Verdana"/>
          <w:sz w:val="20"/>
          <w:szCs w:val="20"/>
          <w:lang w:val="es-ES_tradnl"/>
        </w:rPr>
      </w:pPr>
      <w:r>
        <w:rPr>
          <w:rFonts w:ascii="Verdana" w:eastAsia="Calibri" w:hAnsi="Verdana" w:cs="Arial"/>
          <w:sz w:val="20"/>
          <w:szCs w:val="20"/>
          <w:lang w:val="es-CR"/>
        </w:rPr>
        <w:t>En relación con el</w:t>
      </w:r>
      <w:r w:rsidR="00DD6C71" w:rsidRPr="00E50988">
        <w:rPr>
          <w:rFonts w:ascii="Verdana" w:eastAsia="Calibri" w:hAnsi="Verdana" w:cs="Arial"/>
          <w:sz w:val="20"/>
          <w:szCs w:val="20"/>
          <w:lang w:val="es-CR"/>
        </w:rPr>
        <w:t xml:space="preserve"> presunto ofrecimiento de dinero para atentar contra la vida de una de las beneficiarias, el Estado informó que mediante oficio de 31 de julio de 2014, la Estación de Policía estableció que “no se encontraron registros del presunto ofrecimiento de dinero para el asesinato de la citada ciudadana”</w:t>
      </w:r>
      <w:r w:rsidR="00F31305">
        <w:rPr>
          <w:rFonts w:ascii="Verdana" w:eastAsia="Calibri" w:hAnsi="Verdana" w:cs="Arial"/>
          <w:sz w:val="20"/>
          <w:szCs w:val="20"/>
          <w:lang w:val="es-CR"/>
        </w:rPr>
        <w:t>.</w:t>
      </w:r>
      <w:r w:rsidR="00DD6C71" w:rsidRPr="00E50988">
        <w:rPr>
          <w:rFonts w:ascii="Verdana" w:eastAsia="Calibri" w:hAnsi="Verdana" w:cs="Arial"/>
          <w:sz w:val="20"/>
          <w:szCs w:val="20"/>
          <w:lang w:val="es-CR"/>
        </w:rPr>
        <w:t xml:space="preserve"> Posteriormente, en su informe de 26 de febrero de 2016 señaló que la Fiscalía General de la Nación se encontraba investigando el hecho</w:t>
      </w:r>
      <w:r w:rsidR="00F31305">
        <w:rPr>
          <w:rFonts w:ascii="Verdana" w:eastAsia="Calibri" w:hAnsi="Verdana" w:cs="Arial"/>
          <w:sz w:val="20"/>
          <w:szCs w:val="20"/>
          <w:lang w:val="es-CR"/>
        </w:rPr>
        <w:t>.</w:t>
      </w:r>
      <w:r w:rsidR="00DD6C71" w:rsidRPr="00E50988">
        <w:rPr>
          <w:rFonts w:ascii="Verdana" w:eastAsia="Calibri" w:hAnsi="Verdana" w:cs="Arial"/>
          <w:sz w:val="20"/>
          <w:szCs w:val="20"/>
          <w:lang w:val="es-CR"/>
        </w:rPr>
        <w:t xml:space="preserve"> </w:t>
      </w:r>
    </w:p>
    <w:p w:rsidR="003D69CC" w:rsidRPr="00E50988" w:rsidRDefault="003D69CC" w:rsidP="00E50988">
      <w:pPr>
        <w:pStyle w:val="ListParagraph"/>
        <w:rPr>
          <w:rFonts w:ascii="Verdana" w:hAnsi="Verdana"/>
          <w:sz w:val="20"/>
          <w:szCs w:val="20"/>
          <w:lang w:val="es-ES"/>
        </w:rPr>
      </w:pPr>
    </w:p>
    <w:p w:rsidR="003D69CC" w:rsidRPr="00E50988" w:rsidRDefault="00DD6C71" w:rsidP="00E50988">
      <w:pPr>
        <w:pStyle w:val="ListParagraph"/>
        <w:numPr>
          <w:ilvl w:val="0"/>
          <w:numId w:val="72"/>
        </w:numPr>
        <w:ind w:left="0" w:hanging="11"/>
        <w:jc w:val="both"/>
        <w:rPr>
          <w:rFonts w:ascii="Verdana" w:hAnsi="Verdana"/>
          <w:sz w:val="20"/>
          <w:szCs w:val="20"/>
          <w:lang w:val="es-ES_tradnl"/>
        </w:rPr>
      </w:pPr>
      <w:r w:rsidRPr="00E50988">
        <w:rPr>
          <w:rFonts w:ascii="Verdana" w:hAnsi="Verdana"/>
          <w:sz w:val="20"/>
          <w:szCs w:val="20"/>
          <w:lang w:val="es-ES"/>
        </w:rPr>
        <w:t xml:space="preserve">La </w:t>
      </w:r>
      <w:r w:rsidRPr="00E50988">
        <w:rPr>
          <w:rFonts w:ascii="Verdana" w:hAnsi="Verdana"/>
          <w:b/>
          <w:i/>
          <w:sz w:val="20"/>
          <w:szCs w:val="20"/>
          <w:lang w:val="es-ES"/>
        </w:rPr>
        <w:t>Comisión</w:t>
      </w:r>
      <w:r w:rsidRPr="00E50988">
        <w:rPr>
          <w:rFonts w:ascii="Verdana" w:hAnsi="Verdana"/>
          <w:sz w:val="20"/>
          <w:szCs w:val="20"/>
          <w:lang w:val="es-ES"/>
        </w:rPr>
        <w:t xml:space="preserve"> señaló que “</w:t>
      </w:r>
      <w:r w:rsidRPr="00E50988">
        <w:rPr>
          <w:rFonts w:ascii="Verdana" w:hAnsi="Verdana" w:cs="Arial"/>
          <w:sz w:val="20"/>
          <w:szCs w:val="20"/>
          <w:lang w:val="es-CR"/>
        </w:rPr>
        <w:t>en gran parte de los alegados hechos de amenaza y hostigamiento que han dado lugar al otorgamiento y mantenimiento de las presentes medidas provisionales, ha estado presuntamente involucrada la entidad policial, precisamente en el marco de supuestos procedimientos rutinarios. La Comisión estima que los posibles excesos en que pueda incurrir una autoridad policial como forma de abuso de autoridad en el marco de un proceso rutinario, no necesariamente quedan registrados en los partes oficiales de la Policía”</w:t>
      </w:r>
      <w:r w:rsidR="00536DE7">
        <w:rPr>
          <w:rFonts w:ascii="Verdana" w:hAnsi="Verdana" w:cs="Arial"/>
          <w:sz w:val="20"/>
          <w:szCs w:val="20"/>
          <w:lang w:val="es-CR"/>
        </w:rPr>
        <w:t>.</w:t>
      </w:r>
      <w:r w:rsidRPr="00E50988">
        <w:rPr>
          <w:rFonts w:ascii="Verdana" w:eastAsia="Calibri" w:hAnsi="Verdana" w:cs="Arial"/>
          <w:b/>
          <w:sz w:val="20"/>
          <w:szCs w:val="20"/>
          <w:lang w:val="es-CR"/>
        </w:rPr>
        <w:t xml:space="preserve"> </w:t>
      </w:r>
      <w:r w:rsidRPr="00E50988">
        <w:rPr>
          <w:rFonts w:ascii="Verdana" w:eastAsia="Calibri" w:hAnsi="Verdana" w:cs="Arial"/>
          <w:sz w:val="20"/>
          <w:szCs w:val="20"/>
          <w:lang w:val="es-CR"/>
        </w:rPr>
        <w:t xml:space="preserve">Asimismo, la Comisión señaló que </w:t>
      </w:r>
      <w:r w:rsidRPr="00E50988">
        <w:rPr>
          <w:rFonts w:ascii="Verdana" w:hAnsi="Verdana" w:cs="Arial"/>
          <w:sz w:val="20"/>
          <w:szCs w:val="20"/>
          <w:lang w:val="es-CR"/>
        </w:rPr>
        <w:t xml:space="preserve">“los </w:t>
      </w:r>
      <w:r w:rsidR="004A0C4F">
        <w:rPr>
          <w:rFonts w:ascii="Verdana" w:hAnsi="Verdana" w:cs="Arial"/>
          <w:sz w:val="20"/>
          <w:szCs w:val="20"/>
          <w:lang w:val="es-CR"/>
        </w:rPr>
        <w:t xml:space="preserve">[…] </w:t>
      </w:r>
      <w:r w:rsidRPr="00E50988">
        <w:rPr>
          <w:rFonts w:ascii="Verdana" w:hAnsi="Verdana" w:cs="Arial"/>
          <w:sz w:val="20"/>
          <w:szCs w:val="20"/>
          <w:lang w:val="es-CR"/>
        </w:rPr>
        <w:t>hechos en su conjunto y, en particular la amenaza sobre una recompensa para asesinar a una de las beneficiarias, se traducen en una situación de extremo riesgo de daño irreparable a las beneficiarias frente al cual a resulta necesario que el Estado adopte de manera inmediata medidas idóneas y eficaces para disuadirlo”</w:t>
      </w:r>
      <w:r w:rsidR="00536DE7">
        <w:rPr>
          <w:rFonts w:ascii="Verdana" w:hAnsi="Verdana" w:cs="Arial"/>
          <w:sz w:val="20"/>
          <w:szCs w:val="20"/>
          <w:lang w:val="es-CR"/>
        </w:rPr>
        <w:t>.</w:t>
      </w:r>
      <w:r w:rsidRPr="00E50988">
        <w:rPr>
          <w:rFonts w:ascii="Verdana" w:hAnsi="Verdana" w:cs="Arial"/>
          <w:sz w:val="20"/>
          <w:szCs w:val="20"/>
          <w:lang w:val="es-CR"/>
        </w:rPr>
        <w:t xml:space="preserve"> Respecto al pago ofrecido a cambio de la vida de una de las beneficiarias la Comisión observó que “la única diligencia informada por el Estado no resulta congruente con su deber de p</w:t>
      </w:r>
      <w:r w:rsidR="008E05AA">
        <w:rPr>
          <w:rFonts w:ascii="Verdana" w:hAnsi="Verdana" w:cs="Arial"/>
          <w:sz w:val="20"/>
          <w:szCs w:val="20"/>
          <w:lang w:val="es-CR"/>
        </w:rPr>
        <w:t>rotección frente un hecho que, c</w:t>
      </w:r>
      <w:r w:rsidRPr="00E50988">
        <w:rPr>
          <w:rFonts w:ascii="Verdana" w:hAnsi="Verdana" w:cs="Arial"/>
          <w:sz w:val="20"/>
          <w:szCs w:val="20"/>
          <w:lang w:val="es-CR"/>
        </w:rPr>
        <w:t>omo el mencionado, reviste la mayor preocupación”</w:t>
      </w:r>
      <w:r w:rsidR="00536DE7">
        <w:rPr>
          <w:rFonts w:ascii="Verdana" w:hAnsi="Verdana" w:cs="Arial"/>
          <w:sz w:val="20"/>
          <w:szCs w:val="20"/>
          <w:lang w:val="es-CR"/>
        </w:rPr>
        <w:t>.</w:t>
      </w:r>
      <w:r w:rsidRPr="00E50988">
        <w:rPr>
          <w:rFonts w:ascii="Verdana" w:hAnsi="Verdana" w:cs="Arial"/>
          <w:sz w:val="20"/>
          <w:szCs w:val="20"/>
          <w:lang w:val="es-CR"/>
        </w:rPr>
        <w:t xml:space="preserve"> </w:t>
      </w:r>
    </w:p>
    <w:p w:rsidR="003D69CC" w:rsidRPr="00E50988" w:rsidRDefault="003D69CC" w:rsidP="00E50988">
      <w:pPr>
        <w:pStyle w:val="ListParagraph"/>
        <w:ind w:left="0"/>
        <w:jc w:val="both"/>
        <w:rPr>
          <w:rFonts w:ascii="Verdana" w:hAnsi="Verdana"/>
          <w:sz w:val="20"/>
          <w:szCs w:val="20"/>
          <w:lang w:val="es-ES_tradnl"/>
        </w:rPr>
      </w:pPr>
    </w:p>
    <w:p w:rsidR="00731AD3" w:rsidRDefault="00731AD3" w:rsidP="00E50988">
      <w:pPr>
        <w:pStyle w:val="ListParagraph"/>
        <w:numPr>
          <w:ilvl w:val="0"/>
          <w:numId w:val="72"/>
        </w:numPr>
        <w:ind w:left="0" w:hanging="11"/>
        <w:jc w:val="both"/>
        <w:rPr>
          <w:rFonts w:ascii="Verdana" w:hAnsi="Verdana"/>
          <w:sz w:val="20"/>
          <w:szCs w:val="20"/>
          <w:lang w:val="es-ES_tradnl"/>
        </w:rPr>
      </w:pPr>
      <w:r w:rsidRPr="00E50988">
        <w:rPr>
          <w:rFonts w:ascii="Verdana" w:hAnsi="Verdana"/>
          <w:sz w:val="20"/>
          <w:szCs w:val="20"/>
          <w:lang w:val="es-ES"/>
        </w:rPr>
        <w:t>E</w:t>
      </w:r>
      <w:r w:rsidR="008E05AA">
        <w:rPr>
          <w:rFonts w:ascii="Verdana" w:hAnsi="Verdana"/>
          <w:sz w:val="20"/>
          <w:szCs w:val="20"/>
          <w:lang w:val="es-ES"/>
        </w:rPr>
        <w:t>l 10 de junio de 2014</w:t>
      </w:r>
      <w:r w:rsidR="005401A8" w:rsidRPr="00E50988">
        <w:rPr>
          <w:rFonts w:ascii="Verdana" w:hAnsi="Verdana"/>
          <w:sz w:val="20"/>
          <w:szCs w:val="20"/>
          <w:lang w:val="es-ES"/>
        </w:rPr>
        <w:t xml:space="preserve"> la Comisión consideró que “se traduce […] en una situación de extremo riesgo de daño irreparable a las beneficiarias” el hecho de agosto de 2013</w:t>
      </w:r>
      <w:r w:rsidR="003626E9">
        <w:rPr>
          <w:rFonts w:ascii="Verdana" w:hAnsi="Verdana"/>
          <w:sz w:val="20"/>
          <w:szCs w:val="20"/>
          <w:lang w:val="es-ES"/>
        </w:rPr>
        <w:t>,</w:t>
      </w:r>
      <w:r w:rsidR="005401A8" w:rsidRPr="00E50988">
        <w:rPr>
          <w:rFonts w:ascii="Verdana" w:hAnsi="Verdana"/>
          <w:sz w:val="20"/>
          <w:szCs w:val="20"/>
          <w:lang w:val="es-ES"/>
        </w:rPr>
        <w:t xml:space="preserve"> que denotaba que una “banda” habría estado ofreciendo dinero a cambio de asesinar a la </w:t>
      </w:r>
      <w:r w:rsidR="005401A8" w:rsidRPr="00E50988">
        <w:rPr>
          <w:rFonts w:ascii="Verdana" w:hAnsi="Verdana"/>
          <w:sz w:val="20"/>
          <w:szCs w:val="20"/>
          <w:lang w:val="es-ES"/>
        </w:rPr>
        <w:lastRenderedPageBreak/>
        <w:t>señora Naranjo</w:t>
      </w:r>
      <w:r w:rsidR="00B13CDB">
        <w:rPr>
          <w:rFonts w:ascii="Verdana" w:hAnsi="Verdana"/>
          <w:sz w:val="20"/>
          <w:szCs w:val="20"/>
          <w:lang w:val="es-ES"/>
        </w:rPr>
        <w:t>.</w:t>
      </w:r>
      <w:r w:rsidRPr="00E50988">
        <w:rPr>
          <w:rFonts w:ascii="Verdana" w:hAnsi="Verdana"/>
          <w:szCs w:val="16"/>
          <w:lang w:val="es-ES"/>
        </w:rPr>
        <w:t xml:space="preserve"> </w:t>
      </w:r>
      <w:r w:rsidRPr="00E50988">
        <w:rPr>
          <w:rFonts w:ascii="Verdana" w:hAnsi="Verdana"/>
          <w:sz w:val="20"/>
          <w:szCs w:val="20"/>
          <w:lang w:val="es-ES_tradnl"/>
        </w:rPr>
        <w:t>También en sus observaciones de 12 de mayo y 17 de junio de 2015, la Comisión expresó su preocupación por que el Estado no se había ocupado de precisar qué medidas específicas había adoptado</w:t>
      </w:r>
      <w:r w:rsidR="005401A8" w:rsidRPr="00E50988">
        <w:rPr>
          <w:rFonts w:ascii="Verdana" w:hAnsi="Verdana"/>
          <w:sz w:val="20"/>
          <w:szCs w:val="20"/>
          <w:lang w:val="es-ES_tradnl"/>
        </w:rPr>
        <w:t xml:space="preserve"> para asegurar que </w:t>
      </w:r>
      <w:r w:rsidRPr="00E50988">
        <w:rPr>
          <w:rFonts w:ascii="Verdana" w:hAnsi="Verdana"/>
          <w:sz w:val="20"/>
          <w:szCs w:val="20"/>
          <w:lang w:val="es-ES_tradnl"/>
        </w:rPr>
        <w:t xml:space="preserve">no logre materializarse </w:t>
      </w:r>
      <w:r w:rsidR="005401A8" w:rsidRPr="00E50988">
        <w:rPr>
          <w:rFonts w:ascii="Verdana" w:hAnsi="Verdana"/>
          <w:sz w:val="20"/>
          <w:szCs w:val="20"/>
          <w:lang w:val="es-ES_tradnl"/>
        </w:rPr>
        <w:t>el riesgo evidenciado en el hecho aludido</w:t>
      </w:r>
      <w:r w:rsidRPr="00E50988">
        <w:rPr>
          <w:rFonts w:ascii="Verdana" w:hAnsi="Verdana"/>
          <w:sz w:val="20"/>
          <w:szCs w:val="20"/>
          <w:lang w:val="es-ES_tradnl"/>
        </w:rPr>
        <w:t xml:space="preserve">. </w:t>
      </w:r>
    </w:p>
    <w:p w:rsidR="00731AD3" w:rsidRPr="00BE210A" w:rsidRDefault="00731AD3" w:rsidP="00BD3334">
      <w:pPr>
        <w:tabs>
          <w:tab w:val="left" w:pos="810"/>
        </w:tabs>
        <w:ind w:right="-90"/>
        <w:jc w:val="both"/>
        <w:rPr>
          <w:rFonts w:ascii="Verdana" w:hAnsi="Verdana"/>
          <w:sz w:val="20"/>
          <w:szCs w:val="20"/>
          <w:highlight w:val="red"/>
          <w:lang w:val="es-ES_tradnl"/>
        </w:rPr>
      </w:pPr>
    </w:p>
    <w:p w:rsidR="009B62AC" w:rsidRPr="00E50988" w:rsidRDefault="009B62AC" w:rsidP="004C4953">
      <w:pPr>
        <w:pStyle w:val="Heading2"/>
        <w:numPr>
          <w:ilvl w:val="0"/>
          <w:numId w:val="62"/>
        </w:numPr>
        <w:spacing w:before="0"/>
        <w:ind w:left="284" w:right="-90" w:firstLine="0"/>
        <w:jc w:val="both"/>
        <w:rPr>
          <w:rFonts w:ascii="Verdana" w:hAnsi="Verdana"/>
          <w:i/>
          <w:color w:val="auto"/>
          <w:sz w:val="20"/>
          <w:szCs w:val="20"/>
          <w:lang w:val="es-ES_tradnl"/>
        </w:rPr>
      </w:pPr>
      <w:r w:rsidRPr="00E50988">
        <w:rPr>
          <w:rFonts w:ascii="Verdana" w:hAnsi="Verdana"/>
          <w:b w:val="0"/>
          <w:i/>
          <w:color w:val="auto"/>
          <w:sz w:val="20"/>
          <w:szCs w:val="20"/>
          <w:lang w:val="es-ES_tradnl"/>
        </w:rPr>
        <w:t xml:space="preserve"> </w:t>
      </w:r>
      <w:r w:rsidRPr="00E50988">
        <w:rPr>
          <w:rFonts w:ascii="Verdana" w:hAnsi="Verdana"/>
          <w:i/>
          <w:color w:val="auto"/>
          <w:sz w:val="20"/>
          <w:szCs w:val="20"/>
          <w:lang w:val="es-ES_tradnl"/>
        </w:rPr>
        <w:t>Consideraciones de la Corte</w:t>
      </w:r>
    </w:p>
    <w:p w:rsidR="00CB21CE" w:rsidRDefault="00CB21CE" w:rsidP="00E50988">
      <w:pPr>
        <w:ind w:left="284"/>
        <w:rPr>
          <w:rFonts w:ascii="Verdana" w:hAnsi="Verdana"/>
          <w:sz w:val="20"/>
          <w:szCs w:val="20"/>
          <w:lang w:val="es-ES_tradnl"/>
        </w:rPr>
      </w:pPr>
    </w:p>
    <w:p w:rsidR="00CB21CE" w:rsidRPr="00436979" w:rsidRDefault="00CB21CE" w:rsidP="00E50988">
      <w:pPr>
        <w:numPr>
          <w:ilvl w:val="0"/>
          <w:numId w:val="72"/>
        </w:numPr>
        <w:tabs>
          <w:tab w:val="left" w:pos="0"/>
        </w:tabs>
        <w:ind w:left="0" w:right="-90" w:firstLine="0"/>
        <w:jc w:val="both"/>
        <w:rPr>
          <w:rFonts w:ascii="Verdana" w:hAnsi="Verdana"/>
          <w:sz w:val="20"/>
          <w:szCs w:val="20"/>
          <w:lang w:val="es-ES_tradnl"/>
        </w:rPr>
      </w:pPr>
      <w:r w:rsidRPr="00BE210A">
        <w:rPr>
          <w:rFonts w:ascii="Verdana" w:hAnsi="Verdana"/>
          <w:sz w:val="20"/>
          <w:szCs w:val="20"/>
          <w:lang w:val="es-ES_tradnl"/>
        </w:rPr>
        <w:t>El artículo 63.2 de la Convención exige que para que la Corte pueda disponer de medidas provisionales deben concurrir tres condiciones: i) “extrema gravedad”; ii) “urgencia”, y iii) que se trate de “evitar daños irreparables a las personas”. Estas tres condiciones son coexistentes y deben estar presentes en toda situación en la que se solicite la intervención de</w:t>
      </w:r>
      <w:r w:rsidR="00515318">
        <w:rPr>
          <w:rFonts w:ascii="Verdana" w:hAnsi="Verdana"/>
          <w:sz w:val="20"/>
          <w:szCs w:val="20"/>
          <w:lang w:val="es-ES_tradnl"/>
        </w:rPr>
        <w:t xml:space="preserve"> este</w:t>
      </w:r>
      <w:r w:rsidRPr="00BE210A">
        <w:rPr>
          <w:rFonts w:ascii="Verdana" w:hAnsi="Verdana"/>
          <w:sz w:val="20"/>
          <w:szCs w:val="20"/>
          <w:lang w:val="es-ES_tradnl"/>
        </w:rPr>
        <w:t xml:space="preserve"> Tribunal. Del mismo modo, las tres condiciones descritas deben persistir para que la Corte mantenga la protección ordenada. Si una de ellas ha dejado de tener vigencia, corresponderá a</w:t>
      </w:r>
      <w:r w:rsidR="00515318">
        <w:rPr>
          <w:rFonts w:ascii="Verdana" w:hAnsi="Verdana"/>
          <w:sz w:val="20"/>
          <w:szCs w:val="20"/>
          <w:lang w:val="es-ES_tradnl"/>
        </w:rPr>
        <w:t xml:space="preserve"> este</w:t>
      </w:r>
      <w:r w:rsidRPr="00BE210A">
        <w:rPr>
          <w:rFonts w:ascii="Verdana" w:hAnsi="Verdana"/>
          <w:sz w:val="20"/>
          <w:szCs w:val="20"/>
          <w:lang w:val="es-ES_tradnl"/>
        </w:rPr>
        <w:t xml:space="preserve"> Tribunal valorar la pertinencia de continuar con la protección ordenada.</w:t>
      </w:r>
      <w:r>
        <w:rPr>
          <w:rFonts w:ascii="Verdana" w:hAnsi="Verdana"/>
          <w:sz w:val="20"/>
          <w:szCs w:val="20"/>
          <w:lang w:val="es-ES_tradnl"/>
        </w:rPr>
        <w:t xml:space="preserve"> </w:t>
      </w:r>
    </w:p>
    <w:p w:rsidR="00CB21CE" w:rsidRPr="00BE210A" w:rsidRDefault="00CB21CE" w:rsidP="003D69CC">
      <w:pPr>
        <w:tabs>
          <w:tab w:val="left" w:pos="0"/>
        </w:tabs>
        <w:ind w:right="-90"/>
        <w:jc w:val="both"/>
        <w:rPr>
          <w:rFonts w:ascii="Verdana" w:hAnsi="Verdana"/>
          <w:sz w:val="20"/>
          <w:szCs w:val="20"/>
          <w:lang w:val="es-CR"/>
        </w:rPr>
      </w:pPr>
    </w:p>
    <w:p w:rsidR="00F26537" w:rsidRDefault="00CB21CE" w:rsidP="00F26537">
      <w:pPr>
        <w:pStyle w:val="ListParagraph"/>
        <w:numPr>
          <w:ilvl w:val="0"/>
          <w:numId w:val="72"/>
        </w:numPr>
        <w:tabs>
          <w:tab w:val="left" w:pos="0"/>
        </w:tabs>
        <w:ind w:left="0" w:right="-90" w:firstLine="0"/>
        <w:jc w:val="both"/>
        <w:rPr>
          <w:rFonts w:ascii="Verdana" w:hAnsi="Verdana"/>
          <w:sz w:val="20"/>
          <w:szCs w:val="20"/>
          <w:lang w:val="es-ES_tradnl"/>
        </w:rPr>
      </w:pPr>
      <w:r w:rsidRPr="00E50988">
        <w:rPr>
          <w:rFonts w:ascii="Verdana" w:hAnsi="Verdana"/>
          <w:sz w:val="20"/>
          <w:szCs w:val="20"/>
          <w:lang w:val="es-CR"/>
        </w:rPr>
        <w:t>E</w:t>
      </w:r>
      <w:r w:rsidRPr="00E50988">
        <w:rPr>
          <w:rFonts w:ascii="Verdana" w:hAnsi="Verdana"/>
          <w:bCs/>
          <w:sz w:val="20"/>
          <w:szCs w:val="20"/>
          <w:lang w:val="es-CR"/>
        </w:rPr>
        <w:t>n razón de su competencia, en el marco de medidas provisionales corresponde a la Corte considerar única y estrictamente aquellos argumentos que se relacionan directamente con la extrema gravedad, urgencia y la necesidad de evitar daños irreparables a personas. Cualquier otro hecho o argumento sólo puede ser analizado y resuelto durante la consideración del fondo de un caso contencioso</w:t>
      </w:r>
      <w:r w:rsidRPr="00BE210A">
        <w:rPr>
          <w:rStyle w:val="FootnoteReference"/>
          <w:bCs/>
          <w:sz w:val="20"/>
          <w:szCs w:val="20"/>
          <w:lang w:val="es-CR"/>
        </w:rPr>
        <w:footnoteReference w:id="20"/>
      </w:r>
      <w:r w:rsidRPr="00E50988">
        <w:rPr>
          <w:rFonts w:ascii="Verdana" w:hAnsi="Verdana"/>
          <w:bCs/>
          <w:sz w:val="20"/>
          <w:szCs w:val="20"/>
          <w:lang w:val="es-CR"/>
        </w:rPr>
        <w:t>.</w:t>
      </w:r>
      <w:r w:rsidRPr="00E50988">
        <w:rPr>
          <w:rFonts w:ascii="Verdana" w:hAnsi="Verdana"/>
          <w:sz w:val="20"/>
          <w:szCs w:val="20"/>
          <w:lang w:val="es-CR"/>
        </w:rPr>
        <w:t xml:space="preserve"> </w:t>
      </w:r>
    </w:p>
    <w:p w:rsidR="00F26537" w:rsidRPr="00F26537" w:rsidRDefault="00F26537" w:rsidP="00F26537">
      <w:pPr>
        <w:pStyle w:val="ListParagraph"/>
        <w:rPr>
          <w:rFonts w:ascii="Verdana" w:eastAsia="Verdana" w:hAnsi="Verdana"/>
          <w:sz w:val="20"/>
          <w:szCs w:val="20"/>
          <w:lang w:val="es-CR"/>
        </w:rPr>
      </w:pPr>
    </w:p>
    <w:p w:rsidR="00515318" w:rsidRPr="00B87639" w:rsidRDefault="000D30AD" w:rsidP="00E01A83">
      <w:pPr>
        <w:pStyle w:val="ListParagraph"/>
        <w:numPr>
          <w:ilvl w:val="0"/>
          <w:numId w:val="72"/>
        </w:numPr>
        <w:tabs>
          <w:tab w:val="left" w:pos="0"/>
        </w:tabs>
        <w:ind w:left="0" w:right="-90" w:firstLine="0"/>
        <w:jc w:val="both"/>
        <w:rPr>
          <w:rFonts w:ascii="Verdana" w:hAnsi="Verdana"/>
          <w:sz w:val="20"/>
          <w:szCs w:val="20"/>
          <w:lang w:val="es-CR"/>
        </w:rPr>
      </w:pPr>
      <w:r w:rsidRPr="00F26537">
        <w:rPr>
          <w:rFonts w:ascii="Verdana" w:eastAsia="Verdana" w:hAnsi="Verdana"/>
          <w:sz w:val="20"/>
          <w:szCs w:val="20"/>
          <w:lang w:val="es-CR"/>
        </w:rPr>
        <w:t>Las medidas provisionales tienen un carácter excepcional</w:t>
      </w:r>
      <w:r w:rsidRPr="00BE210A">
        <w:rPr>
          <w:rStyle w:val="FootnoteReference"/>
          <w:sz w:val="20"/>
          <w:szCs w:val="20"/>
          <w:lang w:val="es-CR"/>
        </w:rPr>
        <w:footnoteReference w:id="21"/>
      </w:r>
      <w:r w:rsidRPr="00F26537">
        <w:rPr>
          <w:rFonts w:ascii="Verdana" w:hAnsi="Verdana"/>
          <w:sz w:val="20"/>
          <w:szCs w:val="20"/>
          <w:lang w:val="es-CR"/>
        </w:rPr>
        <w:t>. E</w:t>
      </w:r>
      <w:r w:rsidR="00D41D6E" w:rsidRPr="00F26537">
        <w:rPr>
          <w:rFonts w:ascii="Verdana" w:hAnsi="Verdana"/>
          <w:sz w:val="20"/>
          <w:szCs w:val="20"/>
          <w:lang w:val="es-CR"/>
        </w:rPr>
        <w:t>l mantenimiento de las medidas de protección exige una evaluación rigurosa de este Tribunal en cuanto a la persistencia de la situación que dio origen a las mismas</w:t>
      </w:r>
      <w:r w:rsidR="00D41D6E" w:rsidRPr="00BE210A">
        <w:rPr>
          <w:rStyle w:val="FootnoteReference"/>
          <w:rFonts w:eastAsia="Times"/>
          <w:sz w:val="20"/>
          <w:szCs w:val="20"/>
          <w:lang w:val="es-CR"/>
        </w:rPr>
        <w:footnoteReference w:id="22"/>
      </w:r>
      <w:r w:rsidR="009461D8" w:rsidRPr="00F26537">
        <w:rPr>
          <w:rFonts w:ascii="Verdana" w:hAnsi="Verdana"/>
          <w:sz w:val="20"/>
          <w:szCs w:val="20"/>
          <w:lang w:val="es-CR"/>
        </w:rPr>
        <w:t xml:space="preserve">, que debe resultar de </w:t>
      </w:r>
      <w:r w:rsidR="009461D8" w:rsidRPr="00F26537">
        <w:rPr>
          <w:rFonts w:ascii="Verdana" w:eastAsia="Calibri" w:hAnsi="Verdana"/>
          <w:sz w:val="20"/>
          <w:szCs w:val="20"/>
          <w:lang w:val="es-CR"/>
        </w:rPr>
        <w:t>extrema gravedad y urgencia en relación a posibles daños irreparables a las personas beneficiarias.</w:t>
      </w:r>
    </w:p>
    <w:p w:rsidR="00E01A83" w:rsidRDefault="00E01A83" w:rsidP="00B87639">
      <w:pPr>
        <w:pStyle w:val="ListParagraph"/>
        <w:tabs>
          <w:tab w:val="left" w:pos="0"/>
        </w:tabs>
        <w:ind w:left="0" w:right="-90"/>
        <w:jc w:val="both"/>
        <w:rPr>
          <w:rFonts w:ascii="Verdana" w:hAnsi="Verdana"/>
          <w:sz w:val="20"/>
          <w:szCs w:val="20"/>
          <w:lang w:val="es-CR"/>
        </w:rPr>
      </w:pPr>
    </w:p>
    <w:p w:rsidR="006B2314" w:rsidRDefault="00515318" w:rsidP="00E50988">
      <w:pPr>
        <w:pStyle w:val="ListParagraph"/>
        <w:numPr>
          <w:ilvl w:val="0"/>
          <w:numId w:val="72"/>
        </w:numPr>
        <w:tabs>
          <w:tab w:val="left" w:pos="0"/>
        </w:tabs>
        <w:ind w:left="0" w:hanging="11"/>
        <w:jc w:val="both"/>
        <w:rPr>
          <w:rFonts w:ascii="Verdana" w:hAnsi="Verdana"/>
          <w:sz w:val="20"/>
          <w:szCs w:val="20"/>
          <w:lang w:val="es-CR"/>
        </w:rPr>
      </w:pPr>
      <w:r>
        <w:rPr>
          <w:rFonts w:ascii="Verdana" w:hAnsi="Verdana"/>
          <w:sz w:val="20"/>
          <w:szCs w:val="20"/>
          <w:lang w:val="es-CR"/>
        </w:rPr>
        <w:t>Dado lo anterior, c</w:t>
      </w:r>
      <w:r w:rsidR="00B5314F">
        <w:rPr>
          <w:rFonts w:ascii="Verdana" w:hAnsi="Verdana"/>
          <w:sz w:val="20"/>
          <w:szCs w:val="20"/>
          <w:lang w:val="es-CR"/>
        </w:rPr>
        <w:t xml:space="preserve">abe recordar </w:t>
      </w:r>
      <w:r w:rsidR="002D1C3B">
        <w:rPr>
          <w:rFonts w:ascii="Verdana" w:hAnsi="Verdana"/>
          <w:sz w:val="20"/>
          <w:szCs w:val="20"/>
          <w:lang w:val="es-CR"/>
        </w:rPr>
        <w:t xml:space="preserve">las circunstancias </w:t>
      </w:r>
      <w:r w:rsidR="00B5314F">
        <w:rPr>
          <w:rFonts w:ascii="Verdana" w:hAnsi="Verdana"/>
          <w:sz w:val="20"/>
          <w:szCs w:val="20"/>
          <w:lang w:val="es-CR"/>
        </w:rPr>
        <w:t xml:space="preserve">que dieron origen a la orden de adopción de medidas provisionales en el presente asunto, así como </w:t>
      </w:r>
      <w:r w:rsidR="005403A9">
        <w:rPr>
          <w:rFonts w:ascii="Verdana" w:hAnsi="Verdana"/>
          <w:sz w:val="20"/>
          <w:szCs w:val="20"/>
          <w:lang w:val="es-CR"/>
        </w:rPr>
        <w:t>a su mantenimiento y ampliación.</w:t>
      </w:r>
      <w:r w:rsidR="00B5314F">
        <w:rPr>
          <w:rFonts w:ascii="Verdana" w:hAnsi="Verdana"/>
          <w:sz w:val="20"/>
          <w:szCs w:val="20"/>
          <w:lang w:val="es-CR"/>
        </w:rPr>
        <w:t xml:space="preserve"> </w:t>
      </w:r>
    </w:p>
    <w:p w:rsidR="006B2314" w:rsidRDefault="006B2314" w:rsidP="00E50988">
      <w:pPr>
        <w:pStyle w:val="ListParagraph"/>
        <w:tabs>
          <w:tab w:val="left" w:pos="0"/>
        </w:tabs>
        <w:ind w:left="0" w:hanging="11"/>
        <w:jc w:val="both"/>
        <w:rPr>
          <w:rFonts w:ascii="Verdana" w:hAnsi="Verdana"/>
          <w:sz w:val="20"/>
          <w:szCs w:val="20"/>
          <w:lang w:val="es-CR"/>
        </w:rPr>
      </w:pPr>
    </w:p>
    <w:p w:rsidR="00490C45" w:rsidRPr="00B13CDB" w:rsidRDefault="00F2799E" w:rsidP="00E50988">
      <w:pPr>
        <w:pStyle w:val="ListParagraph"/>
        <w:numPr>
          <w:ilvl w:val="0"/>
          <w:numId w:val="72"/>
        </w:numPr>
        <w:tabs>
          <w:tab w:val="left" w:pos="0"/>
        </w:tabs>
        <w:ind w:left="0" w:hanging="11"/>
        <w:jc w:val="both"/>
        <w:rPr>
          <w:rFonts w:ascii="Verdana" w:hAnsi="Verdana" w:cs="Arial"/>
          <w:sz w:val="20"/>
          <w:szCs w:val="20"/>
          <w:lang w:val="es-CR"/>
        </w:rPr>
      </w:pPr>
      <w:r>
        <w:rPr>
          <w:rFonts w:ascii="Verdana" w:hAnsi="Verdana"/>
          <w:sz w:val="20"/>
          <w:szCs w:val="20"/>
          <w:lang w:val="es-CR"/>
        </w:rPr>
        <w:t>Así, en los “antecedentes” referidos por la Comisión y considerados por la Corte en su Resolución de 5 de julio de 2006</w:t>
      </w:r>
      <w:r w:rsidR="00877BF3">
        <w:rPr>
          <w:rFonts w:ascii="Verdana" w:hAnsi="Verdana"/>
          <w:sz w:val="20"/>
          <w:szCs w:val="20"/>
          <w:lang w:val="es-CR"/>
        </w:rPr>
        <w:t xml:space="preserve"> se señala que las señoras Naranjo y Mosquera son defensoras de derechos humanos que actúan en la Comuna XIII de Medellín, </w:t>
      </w:r>
      <w:r w:rsidR="002D1C3B">
        <w:rPr>
          <w:rFonts w:ascii="Verdana" w:hAnsi="Verdana"/>
          <w:sz w:val="20"/>
          <w:szCs w:val="20"/>
          <w:lang w:val="es-CR"/>
        </w:rPr>
        <w:t>donde han realiz</w:t>
      </w:r>
      <w:r w:rsidR="00515318">
        <w:rPr>
          <w:rFonts w:ascii="Verdana" w:hAnsi="Verdana"/>
          <w:sz w:val="20"/>
          <w:szCs w:val="20"/>
          <w:lang w:val="es-CR"/>
        </w:rPr>
        <w:t>a</w:t>
      </w:r>
      <w:r w:rsidR="002D1C3B">
        <w:rPr>
          <w:rFonts w:ascii="Verdana" w:hAnsi="Verdana"/>
          <w:sz w:val="20"/>
          <w:szCs w:val="20"/>
          <w:lang w:val="es-CR"/>
        </w:rPr>
        <w:t>do “</w:t>
      </w:r>
      <w:r w:rsidR="002D1C3B" w:rsidRPr="00E50988">
        <w:rPr>
          <w:rFonts w:ascii="Verdana" w:hAnsi="Verdana"/>
          <w:sz w:val="20"/>
          <w:lang w:val="es-CR"/>
        </w:rPr>
        <w:t>una labor constante de denuncia contra agentes y representantes estatales</w:t>
      </w:r>
      <w:r w:rsidR="002D1C3B">
        <w:rPr>
          <w:rFonts w:ascii="Verdana" w:hAnsi="Verdana"/>
          <w:sz w:val="20"/>
          <w:lang w:val="es-CR"/>
        </w:rPr>
        <w:t>”. Dicha Comuna es una “zona históricamente conflictiva”, “c</w:t>
      </w:r>
      <w:r w:rsidR="002D1C3B" w:rsidRPr="00E50988">
        <w:rPr>
          <w:rFonts w:ascii="Verdana" w:hAnsi="Verdana"/>
          <w:sz w:val="20"/>
          <w:lang w:val="es-CR"/>
        </w:rPr>
        <w:t>uya población está compuesta mayoritariamente por familias fragmentadas, muchas de ellas víctimas del desplazamiento forzado</w:t>
      </w:r>
      <w:r w:rsidR="002D1C3B">
        <w:rPr>
          <w:rFonts w:ascii="Verdana" w:hAnsi="Verdana"/>
          <w:sz w:val="20"/>
          <w:lang w:val="es-CR"/>
        </w:rPr>
        <w:t>”</w:t>
      </w:r>
      <w:r w:rsidR="001522ED">
        <w:rPr>
          <w:rStyle w:val="FootnoteReference"/>
          <w:lang w:val="es-CR"/>
        </w:rPr>
        <w:footnoteReference w:id="23"/>
      </w:r>
      <w:r w:rsidR="002D1C3B">
        <w:rPr>
          <w:rFonts w:ascii="Verdana" w:hAnsi="Verdana"/>
          <w:sz w:val="20"/>
          <w:lang w:val="es-CR"/>
        </w:rPr>
        <w:t>. En ese marco,</w:t>
      </w:r>
      <w:r w:rsidR="00490C45">
        <w:rPr>
          <w:rFonts w:ascii="Verdana" w:hAnsi="Verdana"/>
          <w:sz w:val="20"/>
          <w:lang w:val="es-CR"/>
        </w:rPr>
        <w:t xml:space="preserve"> destacan entre las circunstancias referidas por la Comisión</w:t>
      </w:r>
      <w:r w:rsidR="002D1C3B">
        <w:rPr>
          <w:rFonts w:ascii="Verdana" w:hAnsi="Verdana"/>
          <w:sz w:val="20"/>
          <w:lang w:val="es-CR"/>
        </w:rPr>
        <w:t xml:space="preserve"> al solicitar </w:t>
      </w:r>
      <w:r w:rsidR="00490C45">
        <w:rPr>
          <w:rFonts w:ascii="Verdana" w:hAnsi="Verdana"/>
          <w:sz w:val="20"/>
          <w:lang w:val="es-CR"/>
        </w:rPr>
        <w:t xml:space="preserve">el 3 de julio de 2006 </w:t>
      </w:r>
      <w:r w:rsidR="002D1C3B">
        <w:rPr>
          <w:rFonts w:ascii="Verdana" w:hAnsi="Verdana"/>
          <w:sz w:val="20"/>
          <w:lang w:val="es-CR"/>
        </w:rPr>
        <w:t xml:space="preserve">la adopción de medidas provisionales, </w:t>
      </w:r>
      <w:r w:rsidR="00490C45">
        <w:rPr>
          <w:rFonts w:ascii="Verdana" w:hAnsi="Verdana"/>
          <w:sz w:val="20"/>
          <w:lang w:val="es-CR"/>
        </w:rPr>
        <w:t>las siguientes:</w:t>
      </w:r>
      <w:r w:rsidR="00490C45" w:rsidRPr="00BE210A" w:rsidDel="00CB21CE">
        <w:rPr>
          <w:rFonts w:ascii="Verdana" w:hAnsi="Verdana"/>
          <w:sz w:val="20"/>
          <w:szCs w:val="20"/>
          <w:lang w:val="es-CR"/>
        </w:rPr>
        <w:t xml:space="preserve"> </w:t>
      </w:r>
    </w:p>
    <w:p w:rsidR="00B13CDB" w:rsidRPr="00E50988" w:rsidRDefault="00B13CDB" w:rsidP="00A327CA">
      <w:pPr>
        <w:pStyle w:val="ListParagraph"/>
        <w:tabs>
          <w:tab w:val="left" w:pos="0"/>
        </w:tabs>
        <w:ind w:left="0"/>
        <w:jc w:val="both"/>
        <w:rPr>
          <w:rFonts w:ascii="Verdana" w:hAnsi="Verdana" w:cs="Arial"/>
          <w:sz w:val="20"/>
          <w:szCs w:val="20"/>
          <w:lang w:val="es-CR"/>
        </w:rPr>
      </w:pPr>
    </w:p>
    <w:p w:rsidR="00490C45" w:rsidRDefault="00490C45" w:rsidP="00C55299">
      <w:pPr>
        <w:pStyle w:val="ListParagraph"/>
        <w:jc w:val="both"/>
        <w:rPr>
          <w:rFonts w:ascii="Verdana" w:hAnsi="Verdana"/>
          <w:sz w:val="20"/>
          <w:lang w:val="es-CR"/>
        </w:rPr>
      </w:pPr>
      <w:r>
        <w:rPr>
          <w:rFonts w:ascii="Verdana" w:hAnsi="Verdana"/>
          <w:sz w:val="20"/>
          <w:szCs w:val="20"/>
          <w:lang w:val="es-CR"/>
        </w:rPr>
        <w:t xml:space="preserve">a) </w:t>
      </w:r>
      <w:r w:rsidRPr="00CA5ACF">
        <w:rPr>
          <w:rFonts w:ascii="Verdana" w:hAnsi="Verdana"/>
          <w:sz w:val="20"/>
          <w:lang w:val="es-CR"/>
        </w:rPr>
        <w:t xml:space="preserve">el 6 de octubre de 2004, en presencia de la señora Mery Naranjo Jiménez, la señora Ana Teresa </w:t>
      </w:r>
      <w:proofErr w:type="spellStart"/>
      <w:r w:rsidRPr="00CA5ACF">
        <w:rPr>
          <w:rFonts w:ascii="Verdana" w:hAnsi="Verdana"/>
          <w:sz w:val="20"/>
          <w:lang w:val="es-CR"/>
        </w:rPr>
        <w:t>Yarce</w:t>
      </w:r>
      <w:proofErr w:type="spellEnd"/>
      <w:r w:rsidRPr="00CA5ACF">
        <w:rPr>
          <w:rFonts w:ascii="Verdana" w:hAnsi="Verdana"/>
          <w:sz w:val="20"/>
          <w:lang w:val="es-CR"/>
        </w:rPr>
        <w:t xml:space="preserve">, también defensora de derechos humanos, fue asesinada; </w:t>
      </w:r>
    </w:p>
    <w:p w:rsidR="00490C45" w:rsidRDefault="00443776" w:rsidP="00C55299">
      <w:pPr>
        <w:pStyle w:val="ListParagraph"/>
        <w:jc w:val="both"/>
        <w:rPr>
          <w:rFonts w:ascii="Verdana" w:hAnsi="Verdana"/>
          <w:sz w:val="20"/>
          <w:lang w:val="es-CR"/>
        </w:rPr>
      </w:pPr>
      <w:r>
        <w:rPr>
          <w:rFonts w:ascii="Verdana" w:hAnsi="Verdana"/>
          <w:sz w:val="20"/>
          <w:lang w:val="es-CR"/>
        </w:rPr>
        <w:t>b) el 19 de octubre de 2004</w:t>
      </w:r>
      <w:r w:rsidR="00490C45" w:rsidRPr="00CA5ACF">
        <w:rPr>
          <w:rFonts w:ascii="Verdana" w:hAnsi="Verdana"/>
          <w:sz w:val="20"/>
          <w:lang w:val="es-CR"/>
        </w:rPr>
        <w:t xml:space="preserve"> la señora Naranjo recibió una amenaza de que miembros de grupos paramilitares emprenderían acciones contra sus hijos y nietos; </w:t>
      </w:r>
    </w:p>
    <w:p w:rsidR="00490C45" w:rsidRDefault="00490C45" w:rsidP="00C55299">
      <w:pPr>
        <w:pStyle w:val="ListParagraph"/>
        <w:jc w:val="both"/>
        <w:rPr>
          <w:rFonts w:ascii="Verdana" w:hAnsi="Verdana"/>
          <w:sz w:val="20"/>
          <w:lang w:val="es-CR"/>
        </w:rPr>
      </w:pPr>
      <w:r w:rsidRPr="00CA5ACF">
        <w:rPr>
          <w:rFonts w:ascii="Verdana" w:hAnsi="Verdana"/>
          <w:sz w:val="20"/>
          <w:lang w:val="es-CR"/>
        </w:rPr>
        <w:lastRenderedPageBreak/>
        <w:t xml:space="preserve">c) el 13 de febrero de 2006 miembros del </w:t>
      </w:r>
      <w:r w:rsidR="00F11D23" w:rsidRPr="00CA5ACF">
        <w:rPr>
          <w:rFonts w:ascii="Verdana" w:hAnsi="Verdana"/>
          <w:sz w:val="20"/>
          <w:lang w:val="es-CR"/>
        </w:rPr>
        <w:t>ejército</w:t>
      </w:r>
      <w:r w:rsidRPr="00CA5ACF">
        <w:rPr>
          <w:rFonts w:ascii="Verdana" w:hAnsi="Verdana"/>
          <w:sz w:val="20"/>
          <w:lang w:val="es-CR"/>
        </w:rPr>
        <w:t xml:space="preserve"> y paramilitares vestidos de civil “habrían ingresado a la vivienda de la señora Mery Naranjo Jiménez, en forma violenta y sin orden judicial, y dispararon contra la niña Luisa María Escudero Jiménez, sobrina de la señora Mery Naranjo Jiménez”; </w:t>
      </w:r>
    </w:p>
    <w:p w:rsidR="00A006FB" w:rsidRDefault="00490C45" w:rsidP="00C55299">
      <w:pPr>
        <w:pStyle w:val="ListParagraph"/>
        <w:jc w:val="both"/>
        <w:rPr>
          <w:rFonts w:ascii="Verdana" w:hAnsi="Verdana"/>
          <w:sz w:val="20"/>
          <w:lang w:val="es-CR"/>
        </w:rPr>
      </w:pPr>
      <w:r w:rsidRPr="00CA5ACF">
        <w:rPr>
          <w:rFonts w:ascii="Verdana" w:hAnsi="Verdana"/>
          <w:sz w:val="20"/>
          <w:lang w:val="es-CR"/>
        </w:rPr>
        <w:t xml:space="preserve">d) </w:t>
      </w:r>
      <w:r>
        <w:rPr>
          <w:rFonts w:ascii="Verdana" w:hAnsi="Verdana"/>
          <w:sz w:val="20"/>
          <w:lang w:val="es-CR"/>
        </w:rPr>
        <w:t>“</w:t>
      </w:r>
      <w:r w:rsidRPr="00CA5ACF">
        <w:rPr>
          <w:rFonts w:ascii="Verdana" w:hAnsi="Verdana"/>
          <w:sz w:val="20"/>
          <w:lang w:val="es-CR"/>
        </w:rPr>
        <w:t>el 16 de febrero de 2006 un grupo de soldados volvió a visitar la casa de la señora Mery Naranjo Jiménez</w:t>
      </w:r>
      <w:r>
        <w:rPr>
          <w:rFonts w:ascii="Verdana" w:hAnsi="Verdana"/>
          <w:sz w:val="20"/>
          <w:lang w:val="es-CR"/>
        </w:rPr>
        <w:t xml:space="preserve">”, y </w:t>
      </w:r>
    </w:p>
    <w:p w:rsidR="00490C45" w:rsidRDefault="00976902" w:rsidP="00C55299">
      <w:pPr>
        <w:pStyle w:val="ListParagraph"/>
        <w:jc w:val="both"/>
        <w:rPr>
          <w:rFonts w:ascii="Verdana" w:hAnsi="Verdana"/>
          <w:sz w:val="20"/>
          <w:lang w:val="es-CR"/>
        </w:rPr>
      </w:pPr>
      <w:r>
        <w:rPr>
          <w:rFonts w:ascii="Verdana" w:hAnsi="Verdana"/>
          <w:sz w:val="20"/>
          <w:lang w:val="es-CR"/>
        </w:rPr>
        <w:t>e) “</w:t>
      </w:r>
      <w:r w:rsidR="00A006FB" w:rsidRPr="00E50988">
        <w:rPr>
          <w:rFonts w:ascii="Verdana" w:hAnsi="Verdana"/>
          <w:sz w:val="20"/>
          <w:lang w:val="es-CR"/>
        </w:rPr>
        <w:t>el 6 de abril de 2006 la Comisión fue informada de que las señoras Mery Naranjo Jiménez y María del Socorro Mosquera Londoño se encontraban en estado de desprotección</w:t>
      </w:r>
      <w:r>
        <w:rPr>
          <w:rFonts w:ascii="Verdana" w:hAnsi="Verdana"/>
          <w:sz w:val="20"/>
          <w:lang w:val="es-CR"/>
        </w:rPr>
        <w:t xml:space="preserve">”, y </w:t>
      </w:r>
      <w:r w:rsidR="00432ECB">
        <w:rPr>
          <w:rFonts w:ascii="Verdana" w:hAnsi="Verdana"/>
          <w:sz w:val="20"/>
          <w:lang w:val="es-CR"/>
        </w:rPr>
        <w:t>“</w:t>
      </w:r>
      <w:r>
        <w:rPr>
          <w:rFonts w:ascii="Verdana" w:hAnsi="Verdana"/>
          <w:sz w:val="20"/>
          <w:lang w:val="es-CR"/>
        </w:rPr>
        <w:t xml:space="preserve">que </w:t>
      </w:r>
      <w:r w:rsidR="00490C45" w:rsidRPr="00CA5ACF">
        <w:rPr>
          <w:rFonts w:ascii="Verdana" w:hAnsi="Verdana"/>
          <w:sz w:val="20"/>
          <w:lang w:val="es-CR"/>
        </w:rPr>
        <w:t xml:space="preserve">el resultado del estudio de riesgo realizado a la señora Mery Naranjo Jiménez concluyó que su situación era </w:t>
      </w:r>
      <w:r w:rsidR="00490C45">
        <w:rPr>
          <w:rFonts w:ascii="Verdana" w:hAnsi="Verdana"/>
          <w:sz w:val="20"/>
          <w:lang w:val="es-CR"/>
        </w:rPr>
        <w:t>‘</w:t>
      </w:r>
      <w:r w:rsidR="00490C45" w:rsidRPr="00CA5ACF">
        <w:rPr>
          <w:rFonts w:ascii="Verdana" w:hAnsi="Verdana"/>
          <w:sz w:val="20"/>
          <w:lang w:val="es-CR"/>
        </w:rPr>
        <w:t xml:space="preserve">ordinaria, es </w:t>
      </w:r>
      <w:proofErr w:type="gramStart"/>
      <w:r w:rsidR="00490C45" w:rsidRPr="00CA5ACF">
        <w:rPr>
          <w:rFonts w:ascii="Verdana" w:hAnsi="Verdana"/>
          <w:sz w:val="20"/>
          <w:lang w:val="es-CR"/>
        </w:rPr>
        <w:t>decir[</w:t>
      </w:r>
      <w:proofErr w:type="gramEnd"/>
      <w:r w:rsidR="00490C45" w:rsidRPr="00CA5ACF">
        <w:rPr>
          <w:rFonts w:ascii="Verdana" w:hAnsi="Verdana"/>
          <w:sz w:val="20"/>
          <w:lang w:val="es-CR"/>
        </w:rPr>
        <w:t>, similar a] la de cualquier ciudadano común</w:t>
      </w:r>
      <w:r w:rsidR="00490C45">
        <w:rPr>
          <w:rFonts w:ascii="Verdana" w:hAnsi="Verdana"/>
          <w:sz w:val="20"/>
          <w:lang w:val="es-CR"/>
        </w:rPr>
        <w:t>’</w:t>
      </w:r>
      <w:r w:rsidR="00490C45" w:rsidRPr="00CA5ACF">
        <w:rPr>
          <w:rFonts w:ascii="Verdana" w:hAnsi="Verdana"/>
          <w:sz w:val="20"/>
          <w:lang w:val="es-CR"/>
        </w:rPr>
        <w:t>, en razón de lo cual dicha señora no podría ser beneficiaria de medidas de protección</w:t>
      </w:r>
      <w:r w:rsidR="00490C45">
        <w:rPr>
          <w:rFonts w:ascii="Verdana" w:hAnsi="Verdana"/>
          <w:sz w:val="20"/>
          <w:lang w:val="es-CR"/>
        </w:rPr>
        <w:t>”</w:t>
      </w:r>
      <w:r w:rsidR="00490C45">
        <w:rPr>
          <w:rStyle w:val="FootnoteReference"/>
          <w:lang w:val="es-CR"/>
        </w:rPr>
        <w:footnoteReference w:id="24"/>
      </w:r>
      <w:r w:rsidR="00490C45">
        <w:rPr>
          <w:rFonts w:ascii="Verdana" w:hAnsi="Verdana"/>
          <w:sz w:val="20"/>
          <w:lang w:val="es-CR"/>
        </w:rPr>
        <w:t>.</w:t>
      </w:r>
    </w:p>
    <w:p w:rsidR="00490C45" w:rsidRPr="00CA5ACF" w:rsidRDefault="00490C45" w:rsidP="00490C45">
      <w:pPr>
        <w:pStyle w:val="ListParagraph"/>
        <w:tabs>
          <w:tab w:val="left" w:pos="567"/>
        </w:tabs>
        <w:ind w:left="567"/>
        <w:jc w:val="both"/>
        <w:rPr>
          <w:rFonts w:ascii="Verdana" w:hAnsi="Verdana"/>
          <w:sz w:val="20"/>
          <w:lang w:val="es-CR"/>
        </w:rPr>
      </w:pPr>
    </w:p>
    <w:p w:rsidR="003F6B7E" w:rsidRDefault="00490C45" w:rsidP="003F6B7E">
      <w:pPr>
        <w:pStyle w:val="ListParagraph"/>
        <w:numPr>
          <w:ilvl w:val="0"/>
          <w:numId w:val="72"/>
        </w:numPr>
        <w:tabs>
          <w:tab w:val="left" w:pos="0"/>
        </w:tabs>
        <w:ind w:left="0" w:firstLine="0"/>
        <w:jc w:val="both"/>
        <w:rPr>
          <w:rFonts w:ascii="Verdana" w:hAnsi="Verdana"/>
          <w:sz w:val="20"/>
          <w:szCs w:val="20"/>
          <w:lang w:val="es-CR"/>
        </w:rPr>
      </w:pPr>
      <w:r w:rsidRPr="003F6B7E">
        <w:rPr>
          <w:rFonts w:ascii="Verdana" w:hAnsi="Verdana" w:cs="Arial"/>
          <w:sz w:val="20"/>
          <w:szCs w:val="20"/>
          <w:lang w:val="es-CR"/>
        </w:rPr>
        <w:t>Con base en lo anterior, la Corte ordenó la adopción de medidas provisionales para la señora</w:t>
      </w:r>
      <w:r w:rsidR="00A006FB" w:rsidRPr="003F6B7E">
        <w:rPr>
          <w:rFonts w:ascii="Verdana" w:hAnsi="Verdana" w:cs="Arial"/>
          <w:sz w:val="20"/>
          <w:szCs w:val="20"/>
          <w:lang w:val="es-CR"/>
        </w:rPr>
        <w:t xml:space="preserve"> Mosquera, así como para la</w:t>
      </w:r>
      <w:r w:rsidRPr="003F6B7E">
        <w:rPr>
          <w:rFonts w:ascii="Verdana" w:hAnsi="Verdana" w:cs="Arial"/>
          <w:sz w:val="20"/>
          <w:szCs w:val="20"/>
          <w:lang w:val="es-CR"/>
        </w:rPr>
        <w:t xml:space="preserve"> </w:t>
      </w:r>
      <w:r w:rsidR="006B2314" w:rsidRPr="003F6B7E">
        <w:rPr>
          <w:rFonts w:ascii="Verdana" w:hAnsi="Verdana" w:cs="Arial"/>
          <w:sz w:val="20"/>
          <w:szCs w:val="20"/>
          <w:lang w:val="es-CR"/>
        </w:rPr>
        <w:t xml:space="preserve">señora </w:t>
      </w:r>
      <w:r w:rsidRPr="003F6B7E">
        <w:rPr>
          <w:rFonts w:ascii="Verdana" w:hAnsi="Verdana" w:cs="Arial"/>
          <w:sz w:val="20"/>
          <w:szCs w:val="20"/>
          <w:lang w:val="es-CR"/>
        </w:rPr>
        <w:t>Naranjo y familiares</w:t>
      </w:r>
      <w:r w:rsidR="00A006FB" w:rsidRPr="003F6B7E">
        <w:rPr>
          <w:rFonts w:ascii="Verdana" w:hAnsi="Verdana" w:cs="Arial"/>
          <w:sz w:val="20"/>
          <w:szCs w:val="20"/>
          <w:lang w:val="es-CR"/>
        </w:rPr>
        <w:t xml:space="preserve"> de ésta</w:t>
      </w:r>
      <w:r w:rsidRPr="00E50988">
        <w:rPr>
          <w:rStyle w:val="FootnoteReference"/>
          <w:rFonts w:cs="Arial"/>
          <w:sz w:val="20"/>
          <w:szCs w:val="20"/>
          <w:lang w:val="es-CR"/>
        </w:rPr>
        <w:footnoteReference w:id="25"/>
      </w:r>
      <w:r w:rsidRPr="003F6B7E">
        <w:rPr>
          <w:rFonts w:ascii="Verdana" w:hAnsi="Verdana" w:cs="Arial"/>
          <w:sz w:val="20"/>
          <w:szCs w:val="20"/>
          <w:lang w:val="es-CR"/>
        </w:rPr>
        <w:t xml:space="preserve">. </w:t>
      </w:r>
      <w:r w:rsidR="00EE52A7" w:rsidRPr="003F6B7E">
        <w:rPr>
          <w:rFonts w:ascii="Verdana" w:hAnsi="Verdana" w:cs="Arial"/>
          <w:sz w:val="20"/>
          <w:szCs w:val="20"/>
          <w:lang w:val="es-CR"/>
        </w:rPr>
        <w:t>Más adelante, en su Resolución de 22 de septiembre de 2006, la Corte dejó constancia de que las representantes habían informado que la señora Mosquera “</w:t>
      </w:r>
      <w:r w:rsidR="00EE52A7" w:rsidRPr="003F6B7E">
        <w:rPr>
          <w:rFonts w:ascii="Verdana" w:hAnsi="Verdana"/>
          <w:sz w:val="20"/>
          <w:szCs w:val="20"/>
          <w:lang w:val="es-CR"/>
        </w:rPr>
        <w:t xml:space="preserve">desde </w:t>
      </w:r>
      <w:proofErr w:type="spellStart"/>
      <w:r w:rsidR="00EE52A7" w:rsidRPr="003F6B7E">
        <w:rPr>
          <w:rFonts w:ascii="Verdana" w:hAnsi="Verdana"/>
          <w:sz w:val="20"/>
          <w:szCs w:val="20"/>
          <w:lang w:val="es-CR"/>
        </w:rPr>
        <w:t>hac</w:t>
      </w:r>
      <w:proofErr w:type="spellEnd"/>
      <w:r w:rsidR="00EE52A7" w:rsidRPr="003F6B7E">
        <w:rPr>
          <w:rFonts w:ascii="Verdana" w:hAnsi="Verdana"/>
          <w:sz w:val="20"/>
          <w:szCs w:val="20"/>
          <w:lang w:val="es-CR"/>
        </w:rPr>
        <w:t>[</w:t>
      </w:r>
      <w:proofErr w:type="spellStart"/>
      <w:r w:rsidR="00EE52A7" w:rsidRPr="003F6B7E">
        <w:rPr>
          <w:rFonts w:ascii="Verdana" w:hAnsi="Verdana"/>
          <w:sz w:val="20"/>
          <w:szCs w:val="20"/>
          <w:lang w:val="es-CR"/>
        </w:rPr>
        <w:t>ía</w:t>
      </w:r>
      <w:proofErr w:type="spellEnd"/>
      <w:r w:rsidR="00EE52A7" w:rsidRPr="003F6B7E">
        <w:rPr>
          <w:rFonts w:ascii="Verdana" w:hAnsi="Verdana"/>
          <w:sz w:val="20"/>
          <w:szCs w:val="20"/>
          <w:lang w:val="es-CR"/>
        </w:rPr>
        <w:t xml:space="preserve">] cerca de dos años no </w:t>
      </w:r>
      <w:proofErr w:type="spellStart"/>
      <w:r w:rsidR="00EE52A7" w:rsidRPr="003F6B7E">
        <w:rPr>
          <w:rFonts w:ascii="Verdana" w:hAnsi="Verdana"/>
          <w:sz w:val="20"/>
          <w:szCs w:val="20"/>
          <w:lang w:val="es-CR"/>
        </w:rPr>
        <w:t>viv</w:t>
      </w:r>
      <w:proofErr w:type="spellEnd"/>
      <w:r w:rsidR="00EE52A7" w:rsidRPr="003F6B7E">
        <w:rPr>
          <w:rFonts w:ascii="Verdana" w:hAnsi="Verdana"/>
          <w:sz w:val="20"/>
          <w:szCs w:val="20"/>
          <w:lang w:val="es-CR"/>
        </w:rPr>
        <w:t>[</w:t>
      </w:r>
      <w:proofErr w:type="spellStart"/>
      <w:r w:rsidR="00EE52A7" w:rsidRPr="003F6B7E">
        <w:rPr>
          <w:rFonts w:ascii="Verdana" w:hAnsi="Verdana"/>
          <w:sz w:val="20"/>
          <w:szCs w:val="20"/>
          <w:lang w:val="es-CR"/>
        </w:rPr>
        <w:t>ía</w:t>
      </w:r>
      <w:proofErr w:type="spellEnd"/>
      <w:r w:rsidR="00EE52A7" w:rsidRPr="003F6B7E">
        <w:rPr>
          <w:rFonts w:ascii="Verdana" w:hAnsi="Verdana"/>
          <w:sz w:val="20"/>
          <w:szCs w:val="20"/>
          <w:lang w:val="es-CR"/>
        </w:rPr>
        <w:t>] en la comuna 13”, pues “se ha[</w:t>
      </w:r>
      <w:proofErr w:type="spellStart"/>
      <w:r w:rsidR="00EE52A7" w:rsidRPr="003F6B7E">
        <w:rPr>
          <w:rFonts w:ascii="Verdana" w:hAnsi="Verdana"/>
          <w:sz w:val="20"/>
          <w:szCs w:val="20"/>
          <w:lang w:val="es-CR"/>
        </w:rPr>
        <w:t>bía</w:t>
      </w:r>
      <w:proofErr w:type="spellEnd"/>
      <w:r w:rsidR="00EE52A7" w:rsidRPr="003F6B7E">
        <w:rPr>
          <w:rFonts w:ascii="Verdana" w:hAnsi="Verdana"/>
          <w:sz w:val="20"/>
          <w:szCs w:val="20"/>
          <w:lang w:val="es-CR"/>
        </w:rPr>
        <w:t>] desplazad</w:t>
      </w:r>
      <w:r w:rsidR="0053297B">
        <w:rPr>
          <w:rFonts w:ascii="Verdana" w:hAnsi="Verdana"/>
          <w:sz w:val="20"/>
          <w:szCs w:val="20"/>
          <w:lang w:val="es-CR"/>
        </w:rPr>
        <w:t>[</w:t>
      </w:r>
      <w:proofErr w:type="spellStart"/>
      <w:r w:rsidR="0053297B">
        <w:rPr>
          <w:rFonts w:ascii="Verdana" w:hAnsi="Verdana"/>
          <w:sz w:val="20"/>
          <w:szCs w:val="20"/>
          <w:lang w:val="es-CR"/>
        </w:rPr>
        <w:t>ado</w:t>
      </w:r>
      <w:proofErr w:type="spellEnd"/>
      <w:r w:rsidR="0053297B">
        <w:rPr>
          <w:rFonts w:ascii="Verdana" w:hAnsi="Verdana"/>
          <w:sz w:val="20"/>
          <w:szCs w:val="20"/>
          <w:lang w:val="es-CR"/>
        </w:rPr>
        <w:t>]</w:t>
      </w:r>
      <w:r w:rsidR="00EE52A7" w:rsidRPr="003F6B7E">
        <w:rPr>
          <w:rFonts w:ascii="Verdana" w:hAnsi="Verdana"/>
          <w:sz w:val="20"/>
          <w:szCs w:val="20"/>
          <w:lang w:val="es-CR"/>
        </w:rPr>
        <w:t xml:space="preserve"> hacia otro sector de la ciudad de Medellín debido a la situación de riesgo que afrontaría si permanece en su residencia”, y que “por decisión de la señora […]Mosquera […]</w:t>
      </w:r>
      <w:r w:rsidR="00443776" w:rsidRPr="003F6B7E">
        <w:rPr>
          <w:rFonts w:ascii="Verdana" w:hAnsi="Verdana"/>
          <w:sz w:val="20"/>
          <w:szCs w:val="20"/>
          <w:lang w:val="es-CR"/>
        </w:rPr>
        <w:t xml:space="preserve"> </w:t>
      </w:r>
      <w:proofErr w:type="spellStart"/>
      <w:r w:rsidR="00EE52A7" w:rsidRPr="003F6B7E">
        <w:rPr>
          <w:rFonts w:ascii="Verdana" w:hAnsi="Verdana"/>
          <w:sz w:val="20"/>
          <w:szCs w:val="20"/>
          <w:lang w:val="es-CR"/>
        </w:rPr>
        <w:t>mant</w:t>
      </w:r>
      <w:proofErr w:type="spellEnd"/>
      <w:r w:rsidR="00EE52A7" w:rsidRPr="003F6B7E">
        <w:rPr>
          <w:rFonts w:ascii="Verdana" w:hAnsi="Verdana"/>
          <w:sz w:val="20"/>
          <w:szCs w:val="20"/>
          <w:lang w:val="es-CR"/>
        </w:rPr>
        <w:t>[</w:t>
      </w:r>
      <w:proofErr w:type="spellStart"/>
      <w:r w:rsidR="00EE52A7" w:rsidRPr="003F6B7E">
        <w:rPr>
          <w:rFonts w:ascii="Verdana" w:hAnsi="Verdana"/>
          <w:sz w:val="20"/>
          <w:szCs w:val="20"/>
          <w:lang w:val="es-CR"/>
        </w:rPr>
        <w:t>enían</w:t>
      </w:r>
      <w:proofErr w:type="spellEnd"/>
      <w:r w:rsidR="00EE52A7" w:rsidRPr="003F6B7E">
        <w:rPr>
          <w:rFonts w:ascii="Verdana" w:hAnsi="Verdana"/>
          <w:sz w:val="20"/>
          <w:szCs w:val="20"/>
          <w:lang w:val="es-CR"/>
        </w:rPr>
        <w:t>] en reserva su actual lugar de residencia”</w:t>
      </w:r>
      <w:r w:rsidR="00EE52A7" w:rsidRPr="00E50988">
        <w:rPr>
          <w:rStyle w:val="FootnoteReference"/>
          <w:sz w:val="20"/>
          <w:szCs w:val="20"/>
          <w:lang w:val="es-CR"/>
        </w:rPr>
        <w:footnoteReference w:id="26"/>
      </w:r>
      <w:r w:rsidR="00EE52A7" w:rsidRPr="003F6B7E">
        <w:rPr>
          <w:rFonts w:ascii="Verdana" w:hAnsi="Verdana"/>
          <w:sz w:val="20"/>
          <w:szCs w:val="20"/>
          <w:lang w:val="es-CR"/>
        </w:rPr>
        <w:t xml:space="preserve">. </w:t>
      </w:r>
      <w:r w:rsidR="003F6B7E" w:rsidRPr="003F6B7E">
        <w:rPr>
          <w:rFonts w:ascii="Verdana" w:hAnsi="Verdana"/>
          <w:sz w:val="20"/>
          <w:szCs w:val="20"/>
          <w:lang w:val="es-CR"/>
        </w:rPr>
        <w:t>Además, en su Resolución de 31 de enero de 2008 este Tribunal consideró información estatal que in</w:t>
      </w:r>
      <w:r w:rsidR="003F6B7E">
        <w:rPr>
          <w:rFonts w:ascii="Verdana" w:hAnsi="Verdana"/>
          <w:sz w:val="20"/>
          <w:szCs w:val="20"/>
          <w:lang w:val="es-CR"/>
        </w:rPr>
        <w:t>d</w:t>
      </w:r>
      <w:r w:rsidR="003F6B7E" w:rsidRPr="003F6B7E">
        <w:rPr>
          <w:rFonts w:ascii="Verdana" w:hAnsi="Verdana"/>
          <w:sz w:val="20"/>
          <w:szCs w:val="20"/>
          <w:lang w:val="es-CR"/>
        </w:rPr>
        <w:t>icaba que “la señora Mery Naranjo “[s]e […] ausenta[</w:t>
      </w:r>
      <w:proofErr w:type="spellStart"/>
      <w:r w:rsidR="003F6B7E" w:rsidRPr="003F6B7E">
        <w:rPr>
          <w:rFonts w:ascii="Verdana" w:hAnsi="Verdana"/>
          <w:sz w:val="20"/>
          <w:szCs w:val="20"/>
          <w:lang w:val="es-CR"/>
        </w:rPr>
        <w:t>ba</w:t>
      </w:r>
      <w:proofErr w:type="spellEnd"/>
      <w:r w:rsidR="003F6B7E" w:rsidRPr="003F6B7E">
        <w:rPr>
          <w:rFonts w:ascii="Verdana" w:hAnsi="Verdana"/>
          <w:sz w:val="20"/>
          <w:szCs w:val="20"/>
          <w:lang w:val="es-CR"/>
        </w:rPr>
        <w:t xml:space="preserve">] por prolongado tiempo de su lugar de residencia”, así como información de los representantes que aseveraba que “la señora Mery Naranjo se [había] </w:t>
      </w:r>
      <w:proofErr w:type="spellStart"/>
      <w:r w:rsidR="003F6B7E" w:rsidRPr="003F6B7E">
        <w:rPr>
          <w:rFonts w:ascii="Verdana" w:hAnsi="Verdana"/>
          <w:sz w:val="20"/>
          <w:szCs w:val="20"/>
          <w:lang w:val="es-CR"/>
        </w:rPr>
        <w:t>desplaz</w:t>
      </w:r>
      <w:proofErr w:type="spellEnd"/>
      <w:r w:rsidR="009C66CF">
        <w:rPr>
          <w:rFonts w:ascii="Verdana" w:hAnsi="Verdana"/>
          <w:sz w:val="20"/>
          <w:szCs w:val="20"/>
          <w:lang w:val="es-CR"/>
        </w:rPr>
        <w:t>[</w:t>
      </w:r>
      <w:proofErr w:type="spellStart"/>
      <w:r w:rsidR="009C66CF">
        <w:rPr>
          <w:rFonts w:ascii="Verdana" w:hAnsi="Verdana"/>
          <w:sz w:val="20"/>
          <w:szCs w:val="20"/>
          <w:lang w:val="es-CR"/>
        </w:rPr>
        <w:t>ado</w:t>
      </w:r>
      <w:proofErr w:type="spellEnd"/>
      <w:r w:rsidR="009C66CF">
        <w:rPr>
          <w:rFonts w:ascii="Verdana" w:hAnsi="Verdana"/>
          <w:sz w:val="20"/>
          <w:szCs w:val="20"/>
          <w:lang w:val="es-CR"/>
        </w:rPr>
        <w:t>]</w:t>
      </w:r>
      <w:r w:rsidR="003F6B7E" w:rsidRPr="003F6B7E">
        <w:rPr>
          <w:rFonts w:ascii="Verdana" w:hAnsi="Verdana"/>
          <w:sz w:val="20"/>
          <w:szCs w:val="20"/>
          <w:lang w:val="es-CR"/>
        </w:rPr>
        <w:t xml:space="preserve"> del barrio por temor de lo que pudiera pasarle a ella y a sus familiares,</w:t>
      </w:r>
      <w:r w:rsidR="003F6B7E">
        <w:rPr>
          <w:rFonts w:ascii="Verdana" w:hAnsi="Verdana"/>
          <w:sz w:val="20"/>
          <w:szCs w:val="20"/>
          <w:lang w:val="es-CR"/>
        </w:rPr>
        <w:t xml:space="preserve"> </w:t>
      </w:r>
      <w:r w:rsidR="003F6B7E" w:rsidRPr="003F6B7E">
        <w:rPr>
          <w:rFonts w:ascii="Verdana" w:hAnsi="Verdana"/>
          <w:sz w:val="20"/>
          <w:szCs w:val="20"/>
          <w:lang w:val="es-CR"/>
        </w:rPr>
        <w:t>por lo que sólo de forma intermitente ha</w:t>
      </w:r>
      <w:r w:rsidR="003F6B7E">
        <w:rPr>
          <w:rFonts w:ascii="Verdana" w:hAnsi="Verdana"/>
          <w:sz w:val="20"/>
          <w:szCs w:val="20"/>
          <w:lang w:val="es-CR"/>
        </w:rPr>
        <w:t>[</w:t>
      </w:r>
      <w:proofErr w:type="spellStart"/>
      <w:r w:rsidR="003F6B7E">
        <w:rPr>
          <w:rFonts w:ascii="Verdana" w:hAnsi="Verdana"/>
          <w:sz w:val="20"/>
          <w:szCs w:val="20"/>
          <w:lang w:val="es-CR"/>
        </w:rPr>
        <w:t>bía</w:t>
      </w:r>
      <w:proofErr w:type="spellEnd"/>
      <w:r w:rsidR="003F6B7E">
        <w:rPr>
          <w:rFonts w:ascii="Verdana" w:hAnsi="Verdana"/>
          <w:sz w:val="20"/>
          <w:szCs w:val="20"/>
          <w:lang w:val="es-CR"/>
        </w:rPr>
        <w:t xml:space="preserve">] </w:t>
      </w:r>
      <w:r w:rsidR="003F6B7E" w:rsidRPr="003F6B7E">
        <w:rPr>
          <w:rFonts w:ascii="Verdana" w:hAnsi="Verdana"/>
          <w:sz w:val="20"/>
          <w:szCs w:val="20"/>
          <w:lang w:val="es-CR"/>
        </w:rPr>
        <w:t>vuelto a encontrarse con sus hijos</w:t>
      </w:r>
      <w:r w:rsidR="003F6B7E">
        <w:rPr>
          <w:rFonts w:ascii="Verdana" w:hAnsi="Verdana"/>
          <w:sz w:val="20"/>
          <w:szCs w:val="20"/>
          <w:lang w:val="es-CR"/>
        </w:rPr>
        <w:t>”</w:t>
      </w:r>
      <w:r w:rsidR="003F6B7E" w:rsidRPr="00A327CA">
        <w:rPr>
          <w:rStyle w:val="FootnoteReference"/>
          <w:sz w:val="20"/>
          <w:szCs w:val="20"/>
          <w:lang w:val="es-CR"/>
        </w:rPr>
        <w:footnoteReference w:id="27"/>
      </w:r>
      <w:r w:rsidR="003F6B7E" w:rsidRPr="003F6B7E">
        <w:rPr>
          <w:rFonts w:ascii="Verdana" w:hAnsi="Verdana"/>
          <w:sz w:val="20"/>
          <w:szCs w:val="20"/>
          <w:lang w:val="es-CR"/>
        </w:rPr>
        <w:t>.</w:t>
      </w:r>
    </w:p>
    <w:p w:rsidR="003F6B7E" w:rsidRPr="003F6B7E" w:rsidRDefault="003F6B7E" w:rsidP="003F6B7E">
      <w:pPr>
        <w:pStyle w:val="ListParagraph"/>
        <w:tabs>
          <w:tab w:val="left" w:pos="0"/>
        </w:tabs>
        <w:ind w:left="0"/>
        <w:jc w:val="both"/>
        <w:rPr>
          <w:rFonts w:ascii="Verdana" w:hAnsi="Verdana"/>
          <w:sz w:val="20"/>
          <w:szCs w:val="20"/>
          <w:lang w:val="es-CR"/>
        </w:rPr>
      </w:pPr>
    </w:p>
    <w:p w:rsidR="00F37D1A" w:rsidRPr="00A327CA" w:rsidRDefault="007A5BF0" w:rsidP="000E0818">
      <w:pPr>
        <w:pStyle w:val="ListParagraph"/>
        <w:numPr>
          <w:ilvl w:val="0"/>
          <w:numId w:val="72"/>
        </w:numPr>
        <w:tabs>
          <w:tab w:val="left" w:pos="0"/>
        </w:tabs>
        <w:ind w:left="0" w:firstLine="0"/>
        <w:jc w:val="both"/>
        <w:rPr>
          <w:rFonts w:ascii="Verdana" w:hAnsi="Verdana"/>
          <w:i/>
          <w:sz w:val="20"/>
          <w:szCs w:val="20"/>
          <w:lang w:val="es-CR"/>
        </w:rPr>
      </w:pPr>
      <w:r>
        <w:rPr>
          <w:rFonts w:ascii="Verdana" w:hAnsi="Verdana"/>
          <w:sz w:val="20"/>
          <w:szCs w:val="20"/>
          <w:lang w:val="es-CR"/>
        </w:rPr>
        <w:t>Por otra parte</w:t>
      </w:r>
      <w:r w:rsidR="006B2314" w:rsidRPr="000E0818">
        <w:rPr>
          <w:rFonts w:ascii="Verdana" w:hAnsi="Verdana"/>
          <w:sz w:val="20"/>
          <w:szCs w:val="20"/>
          <w:lang w:val="es-ES_tradnl"/>
        </w:rPr>
        <w:t>,</w:t>
      </w:r>
      <w:r>
        <w:rPr>
          <w:rFonts w:ascii="Verdana" w:hAnsi="Verdana"/>
          <w:sz w:val="20"/>
          <w:szCs w:val="20"/>
          <w:lang w:val="es-ES_tradnl"/>
        </w:rPr>
        <w:t xml:space="preserve"> </w:t>
      </w:r>
      <w:r w:rsidR="00C30221">
        <w:rPr>
          <w:rFonts w:ascii="Verdana" w:hAnsi="Verdana"/>
          <w:sz w:val="20"/>
          <w:szCs w:val="20"/>
          <w:lang w:val="es-ES_tradnl"/>
        </w:rPr>
        <w:t>conforme a</w:t>
      </w:r>
      <w:r w:rsidR="006B2314" w:rsidRPr="000E0818">
        <w:rPr>
          <w:rFonts w:ascii="Verdana" w:hAnsi="Verdana"/>
          <w:sz w:val="20"/>
          <w:szCs w:val="20"/>
          <w:lang w:val="es-ES_tradnl"/>
        </w:rPr>
        <w:t xml:space="preserve"> las</w:t>
      </w:r>
      <w:r w:rsidR="000E4797" w:rsidRPr="000E0818">
        <w:rPr>
          <w:rFonts w:ascii="Verdana" w:hAnsi="Verdana"/>
          <w:sz w:val="20"/>
          <w:szCs w:val="20"/>
          <w:lang w:val="es-ES_tradnl"/>
        </w:rPr>
        <w:t xml:space="preserve"> Resoluci</w:t>
      </w:r>
      <w:r w:rsidR="006B2314" w:rsidRPr="000E0818">
        <w:rPr>
          <w:rFonts w:ascii="Verdana" w:hAnsi="Verdana"/>
          <w:sz w:val="20"/>
          <w:szCs w:val="20"/>
          <w:lang w:val="es-ES_tradnl"/>
        </w:rPr>
        <w:t>o</w:t>
      </w:r>
      <w:r w:rsidR="00F34854" w:rsidRPr="000E0818">
        <w:rPr>
          <w:rFonts w:ascii="Verdana" w:hAnsi="Verdana"/>
          <w:sz w:val="20"/>
          <w:szCs w:val="20"/>
          <w:lang w:val="es-ES_tradnl"/>
        </w:rPr>
        <w:t>n</w:t>
      </w:r>
      <w:r w:rsidR="006B2314" w:rsidRPr="000E0818">
        <w:rPr>
          <w:rFonts w:ascii="Verdana" w:hAnsi="Verdana"/>
          <w:sz w:val="20"/>
          <w:szCs w:val="20"/>
          <w:lang w:val="es-ES_tradnl"/>
        </w:rPr>
        <w:t>es</w:t>
      </w:r>
      <w:r w:rsidR="00F34854" w:rsidRPr="000E0818">
        <w:rPr>
          <w:rFonts w:ascii="Verdana" w:hAnsi="Verdana"/>
          <w:sz w:val="20"/>
          <w:szCs w:val="20"/>
          <w:lang w:val="es-ES_tradnl"/>
        </w:rPr>
        <w:t xml:space="preserve"> de 31 </w:t>
      </w:r>
      <w:r w:rsidR="000E4797" w:rsidRPr="000E0818">
        <w:rPr>
          <w:rFonts w:ascii="Verdana" w:hAnsi="Verdana"/>
          <w:sz w:val="20"/>
          <w:szCs w:val="20"/>
          <w:lang w:val="es-ES_tradnl"/>
        </w:rPr>
        <w:t xml:space="preserve">de </w:t>
      </w:r>
      <w:r w:rsidR="00F34854" w:rsidRPr="000E0818">
        <w:rPr>
          <w:rFonts w:ascii="Verdana" w:hAnsi="Verdana"/>
          <w:sz w:val="20"/>
          <w:szCs w:val="20"/>
          <w:lang w:val="es-ES_tradnl"/>
        </w:rPr>
        <w:t xml:space="preserve">enero de </w:t>
      </w:r>
      <w:r w:rsidR="000E4797" w:rsidRPr="000E0818">
        <w:rPr>
          <w:rFonts w:ascii="Verdana" w:hAnsi="Verdana"/>
          <w:sz w:val="20"/>
          <w:szCs w:val="20"/>
          <w:lang w:val="es-ES_tradnl"/>
        </w:rPr>
        <w:t>2008</w:t>
      </w:r>
      <w:r w:rsidR="006B2314" w:rsidRPr="000E0818">
        <w:rPr>
          <w:rFonts w:ascii="Verdana" w:hAnsi="Verdana"/>
          <w:sz w:val="20"/>
          <w:szCs w:val="20"/>
          <w:lang w:val="es-ES_tradnl"/>
        </w:rPr>
        <w:t>, 25 de noviembre de 2010 y 4 de marzo de 2011</w:t>
      </w:r>
      <w:r>
        <w:rPr>
          <w:rFonts w:ascii="Verdana" w:hAnsi="Verdana"/>
          <w:sz w:val="20"/>
          <w:szCs w:val="20"/>
          <w:lang w:val="es-ES_tradnl"/>
        </w:rPr>
        <w:t>,</w:t>
      </w:r>
      <w:r w:rsidR="000E4797" w:rsidRPr="000E0818">
        <w:rPr>
          <w:rFonts w:ascii="Verdana" w:hAnsi="Verdana"/>
          <w:sz w:val="20"/>
          <w:szCs w:val="20"/>
          <w:lang w:val="es-ES_tradnl"/>
        </w:rPr>
        <w:t xml:space="preserve"> la Corte advirtió que recibió información que indicaba </w:t>
      </w:r>
      <w:r w:rsidR="00F51A1C" w:rsidRPr="000E0818">
        <w:rPr>
          <w:rFonts w:ascii="Verdana" w:hAnsi="Verdana"/>
          <w:sz w:val="20"/>
          <w:szCs w:val="20"/>
          <w:lang w:val="es-ES_tradnl"/>
        </w:rPr>
        <w:t xml:space="preserve">la necesidad de mantener las medidas provisionales previamente adoptadas. </w:t>
      </w:r>
      <w:r w:rsidR="004A0C4F">
        <w:rPr>
          <w:rFonts w:ascii="Verdana" w:hAnsi="Verdana"/>
          <w:sz w:val="20"/>
          <w:szCs w:val="20"/>
          <w:lang w:val="es-ES_tradnl"/>
        </w:rPr>
        <w:t>Así, este Tribunal</w:t>
      </w:r>
      <w:r w:rsidR="006B0685" w:rsidRPr="000E0818">
        <w:rPr>
          <w:rFonts w:ascii="Verdana" w:hAnsi="Verdana"/>
          <w:sz w:val="20"/>
          <w:szCs w:val="20"/>
          <w:lang w:val="es-ES_tradnl"/>
        </w:rPr>
        <w:t xml:space="preserve"> tomó conocimiento </w:t>
      </w:r>
      <w:r w:rsidR="000E0818" w:rsidRPr="000E0818">
        <w:rPr>
          <w:rFonts w:ascii="Verdana" w:hAnsi="Verdana"/>
          <w:sz w:val="20"/>
          <w:szCs w:val="20"/>
          <w:lang w:val="es-ES_tradnl"/>
        </w:rPr>
        <w:t>de que:</w:t>
      </w:r>
      <w:r w:rsidR="000E4797" w:rsidRPr="000E0818">
        <w:rPr>
          <w:rFonts w:ascii="Verdana" w:hAnsi="Verdana"/>
          <w:i/>
          <w:sz w:val="20"/>
          <w:szCs w:val="20"/>
          <w:highlight w:val="yellow"/>
          <w:lang w:val="es-ES_tradnl"/>
        </w:rPr>
        <w:t xml:space="preserve"> </w:t>
      </w:r>
    </w:p>
    <w:p w:rsidR="0053297B" w:rsidRPr="000E0818" w:rsidRDefault="0053297B" w:rsidP="00A327CA">
      <w:pPr>
        <w:pStyle w:val="ListParagraph"/>
        <w:tabs>
          <w:tab w:val="left" w:pos="0"/>
        </w:tabs>
        <w:ind w:left="0"/>
        <w:jc w:val="both"/>
        <w:rPr>
          <w:rFonts w:ascii="Verdana" w:hAnsi="Verdana"/>
          <w:i/>
          <w:sz w:val="20"/>
          <w:szCs w:val="20"/>
          <w:lang w:val="es-CR"/>
        </w:rPr>
      </w:pPr>
    </w:p>
    <w:p w:rsidR="00F37D1A" w:rsidRPr="000E0818" w:rsidRDefault="000E0818" w:rsidP="004961A4">
      <w:pPr>
        <w:pStyle w:val="ListParagraph"/>
        <w:ind w:left="567"/>
        <w:jc w:val="both"/>
        <w:rPr>
          <w:rFonts w:ascii="Verdana" w:hAnsi="Verdana"/>
          <w:i/>
          <w:sz w:val="20"/>
          <w:szCs w:val="20"/>
          <w:lang w:val="es-CR"/>
        </w:rPr>
      </w:pPr>
      <w:r>
        <w:rPr>
          <w:rFonts w:ascii="Verdana" w:hAnsi="Verdana"/>
          <w:sz w:val="20"/>
          <w:lang w:val="es-ES_tradnl"/>
        </w:rPr>
        <w:t>a</w:t>
      </w:r>
      <w:r w:rsidR="00F37D1A" w:rsidRPr="000E0818">
        <w:rPr>
          <w:rFonts w:ascii="Verdana" w:hAnsi="Verdana"/>
          <w:sz w:val="20"/>
          <w:lang w:val="es-CR"/>
        </w:rPr>
        <w:t xml:space="preserve">) </w:t>
      </w:r>
      <w:r w:rsidR="00F37D1A" w:rsidRPr="000E0818">
        <w:rPr>
          <w:rFonts w:ascii="Verdana" w:hAnsi="Verdana"/>
          <w:i/>
          <w:sz w:val="20"/>
          <w:szCs w:val="20"/>
          <w:lang w:val="es-CR"/>
        </w:rPr>
        <w:t>“</w:t>
      </w:r>
      <w:r w:rsidR="00F37D1A" w:rsidRPr="000E0818">
        <w:rPr>
          <w:rFonts w:ascii="Verdana" w:hAnsi="Verdana"/>
          <w:sz w:val="20"/>
          <w:lang w:val="es-CR"/>
        </w:rPr>
        <w:t xml:space="preserve">el 2 de diciembre de 2007 fue asesinado Javier Augusto Torres Durán, yerno de la señora Mery Naranjo” y hasta entonces beneficiario de las medidas provisionales; </w:t>
      </w:r>
    </w:p>
    <w:p w:rsidR="00F37D1A" w:rsidRPr="000E0818" w:rsidRDefault="000E0818" w:rsidP="004961A4">
      <w:pPr>
        <w:pStyle w:val="ListParagraph"/>
        <w:ind w:left="567"/>
        <w:jc w:val="both"/>
        <w:rPr>
          <w:rFonts w:ascii="Verdana" w:hAnsi="Verdana"/>
          <w:sz w:val="20"/>
          <w:lang w:val="es-ES_tradnl"/>
        </w:rPr>
      </w:pPr>
      <w:r>
        <w:rPr>
          <w:rFonts w:ascii="Verdana" w:hAnsi="Verdana"/>
          <w:sz w:val="20"/>
          <w:szCs w:val="20"/>
          <w:lang w:val="es-CR"/>
        </w:rPr>
        <w:t>b</w:t>
      </w:r>
      <w:r w:rsidR="00F37D1A" w:rsidRPr="000E0818">
        <w:rPr>
          <w:rFonts w:ascii="Verdana" w:hAnsi="Verdana"/>
          <w:sz w:val="20"/>
          <w:szCs w:val="20"/>
          <w:lang w:val="es-CR"/>
        </w:rPr>
        <w:t>)</w:t>
      </w:r>
      <w:r w:rsidR="0053297B">
        <w:rPr>
          <w:rFonts w:ascii="Verdana" w:hAnsi="Verdana"/>
          <w:sz w:val="20"/>
          <w:szCs w:val="20"/>
          <w:lang w:val="es-CR"/>
        </w:rPr>
        <w:t xml:space="preserve"> </w:t>
      </w:r>
      <w:r w:rsidR="004A0C4F">
        <w:rPr>
          <w:rFonts w:ascii="Verdana" w:hAnsi="Verdana"/>
          <w:sz w:val="20"/>
          <w:lang w:val="es-ES_tradnl"/>
        </w:rPr>
        <w:t>en junio de 2008</w:t>
      </w:r>
      <w:r w:rsidR="00F37D1A" w:rsidRPr="000E0818">
        <w:rPr>
          <w:rFonts w:ascii="Verdana" w:hAnsi="Verdana"/>
          <w:sz w:val="20"/>
          <w:lang w:val="es-ES_tradnl"/>
        </w:rPr>
        <w:t xml:space="preserve"> la señora Naranjo fue lesionada por personal policial; </w:t>
      </w:r>
    </w:p>
    <w:p w:rsidR="00F37D1A" w:rsidRPr="000E0818" w:rsidRDefault="000E0818" w:rsidP="004961A4">
      <w:pPr>
        <w:pStyle w:val="ListParagraph"/>
        <w:ind w:left="567"/>
        <w:jc w:val="both"/>
        <w:rPr>
          <w:rFonts w:ascii="Verdana" w:hAnsi="Verdana"/>
          <w:sz w:val="20"/>
          <w:lang w:val="es-ES_tradnl"/>
        </w:rPr>
      </w:pPr>
      <w:r>
        <w:rPr>
          <w:rFonts w:ascii="Verdana" w:hAnsi="Verdana"/>
          <w:sz w:val="20"/>
          <w:lang w:val="es-ES_tradnl"/>
        </w:rPr>
        <w:t>c</w:t>
      </w:r>
      <w:r w:rsidR="00F37D1A" w:rsidRPr="000E0818">
        <w:rPr>
          <w:rFonts w:ascii="Verdana" w:hAnsi="Verdana"/>
          <w:sz w:val="20"/>
          <w:lang w:val="es-ES_tradnl"/>
        </w:rPr>
        <w:t xml:space="preserve">) su sobrino Francisco Javier Escudero fue objeto de amenazas que se interrumpieron en agosto de 2008; </w:t>
      </w:r>
    </w:p>
    <w:p w:rsidR="00F37D1A" w:rsidRPr="000E0818" w:rsidRDefault="000E0818" w:rsidP="004961A4">
      <w:pPr>
        <w:pStyle w:val="ListParagraph"/>
        <w:ind w:left="567"/>
        <w:jc w:val="both"/>
        <w:rPr>
          <w:rFonts w:ascii="Verdana" w:hAnsi="Verdana"/>
          <w:sz w:val="20"/>
          <w:lang w:val="es-ES_tradnl"/>
        </w:rPr>
      </w:pPr>
      <w:bookmarkStart w:id="1" w:name="_Ref277874656"/>
      <w:r>
        <w:rPr>
          <w:rFonts w:ascii="Verdana" w:hAnsi="Verdana"/>
          <w:sz w:val="20"/>
          <w:lang w:val="es-ES_tradnl"/>
        </w:rPr>
        <w:t>d</w:t>
      </w:r>
      <w:r w:rsidR="00F37D1A" w:rsidRPr="000E0818">
        <w:rPr>
          <w:rFonts w:ascii="Verdana" w:hAnsi="Verdana"/>
          <w:sz w:val="20"/>
          <w:lang w:val="es-ES_tradnl"/>
        </w:rPr>
        <w:t xml:space="preserve">) el 21 de mayo de 2010 la señora Mosquera “habría sido ofendida y golpeada por miembros de la Policía”; </w:t>
      </w:r>
    </w:p>
    <w:p w:rsidR="00F37D1A" w:rsidRPr="000E0818" w:rsidRDefault="000E0818" w:rsidP="004961A4">
      <w:pPr>
        <w:pStyle w:val="ListParagraph"/>
        <w:ind w:left="567"/>
        <w:jc w:val="both"/>
        <w:rPr>
          <w:rFonts w:ascii="Verdana" w:hAnsi="Verdana"/>
          <w:sz w:val="20"/>
          <w:lang w:val="es-ES_tradnl"/>
        </w:rPr>
      </w:pPr>
      <w:r>
        <w:rPr>
          <w:rFonts w:ascii="Verdana" w:hAnsi="Verdana"/>
          <w:sz w:val="20"/>
          <w:lang w:val="es-ES_tradnl"/>
        </w:rPr>
        <w:t>e</w:t>
      </w:r>
      <w:r w:rsidR="00F37D1A" w:rsidRPr="000E0818">
        <w:rPr>
          <w:rFonts w:ascii="Verdana" w:hAnsi="Verdana"/>
          <w:sz w:val="20"/>
          <w:lang w:val="es-ES_tradnl"/>
        </w:rPr>
        <w:t xml:space="preserve">) </w:t>
      </w:r>
      <w:bookmarkStart w:id="2" w:name="_Ref277873990"/>
      <w:bookmarkStart w:id="3" w:name="_Ref279611479"/>
      <w:bookmarkEnd w:id="1"/>
      <w:r w:rsidR="00F37D1A" w:rsidRPr="000E0818">
        <w:rPr>
          <w:rFonts w:ascii="Verdana" w:hAnsi="Verdana"/>
          <w:sz w:val="20"/>
          <w:lang w:val="es-ES_tradnl"/>
        </w:rPr>
        <w:t>e</w:t>
      </w:r>
      <w:r w:rsidR="00443776">
        <w:rPr>
          <w:rFonts w:ascii="Verdana" w:hAnsi="Verdana"/>
          <w:sz w:val="20"/>
          <w:lang w:val="es-ES_tradnl"/>
        </w:rPr>
        <w:t>l</w:t>
      </w:r>
      <w:r w:rsidR="00F37D1A" w:rsidRPr="000E0818">
        <w:rPr>
          <w:rFonts w:ascii="Verdana" w:hAnsi="Verdana"/>
          <w:sz w:val="20"/>
          <w:lang w:val="es-ES_tradnl"/>
        </w:rPr>
        <w:t xml:space="preserve"> 25 de agosto de 2010 “más de 20 hombres vestidos de civil, portando armas de fuego, armas blancas y palos, ingresaron en compañía de 3 agentes de la policía a [la] vivienda [de la señora Mery Naranjo], gritando que buscaban armas”</w:t>
      </w:r>
      <w:bookmarkEnd w:id="2"/>
      <w:bookmarkEnd w:id="3"/>
      <w:r w:rsidR="00F37D1A" w:rsidRPr="000E0818">
        <w:rPr>
          <w:rFonts w:ascii="Verdana" w:hAnsi="Verdana"/>
          <w:sz w:val="20"/>
          <w:lang w:val="es-ES_tradnl"/>
        </w:rPr>
        <w:t xml:space="preserve">; </w:t>
      </w:r>
      <w:bookmarkStart w:id="4" w:name="_Ref279154894"/>
    </w:p>
    <w:p w:rsidR="00F37D1A" w:rsidRPr="000E0818" w:rsidRDefault="000E0818" w:rsidP="004961A4">
      <w:pPr>
        <w:pStyle w:val="ListParagraph"/>
        <w:ind w:left="567"/>
        <w:jc w:val="both"/>
        <w:rPr>
          <w:rFonts w:ascii="Verdana" w:hAnsi="Verdana"/>
          <w:sz w:val="20"/>
          <w:lang w:val="es-ES_tradnl"/>
        </w:rPr>
      </w:pPr>
      <w:r>
        <w:rPr>
          <w:rFonts w:ascii="Verdana" w:hAnsi="Verdana"/>
          <w:sz w:val="20"/>
          <w:lang w:val="es-ES_tradnl"/>
        </w:rPr>
        <w:t>f</w:t>
      </w:r>
      <w:r w:rsidR="00F37D1A" w:rsidRPr="000E0818">
        <w:rPr>
          <w:rFonts w:ascii="Verdana" w:hAnsi="Verdana"/>
          <w:sz w:val="20"/>
          <w:lang w:val="es-ES_tradnl"/>
        </w:rPr>
        <w:t xml:space="preserve">) el 3 de noviembre de 2010, un grupo de policías agredieron física y verbalmente al niño </w:t>
      </w:r>
      <w:proofErr w:type="spellStart"/>
      <w:r w:rsidR="00F37D1A" w:rsidRPr="000E0818">
        <w:rPr>
          <w:rFonts w:ascii="Verdana" w:hAnsi="Verdana"/>
          <w:sz w:val="20"/>
          <w:lang w:val="es-ES_tradnl"/>
        </w:rPr>
        <w:t>Lubin</w:t>
      </w:r>
      <w:proofErr w:type="spellEnd"/>
      <w:r w:rsidR="00F37D1A" w:rsidRPr="000E0818">
        <w:rPr>
          <w:rFonts w:ascii="Verdana" w:hAnsi="Verdana"/>
          <w:sz w:val="20"/>
          <w:lang w:val="es-ES_tradnl"/>
        </w:rPr>
        <w:t xml:space="preserve"> Alfonso Villa Mosquera</w:t>
      </w:r>
      <w:r w:rsidR="009C66CF">
        <w:rPr>
          <w:rFonts w:ascii="Verdana" w:hAnsi="Verdana"/>
          <w:sz w:val="20"/>
          <w:lang w:val="es-ES_tradnl"/>
        </w:rPr>
        <w:t>, de 14 años de edad,</w:t>
      </w:r>
      <w:r w:rsidR="00F37D1A" w:rsidRPr="000E0818">
        <w:rPr>
          <w:rFonts w:ascii="Verdana" w:hAnsi="Verdana"/>
          <w:sz w:val="20"/>
          <w:lang w:val="es-ES_tradnl"/>
        </w:rPr>
        <w:t xml:space="preserve"> y a Marlon Daniel Herrera Mosquera, nieto e hijo de la señora Mosquera, respectivamente;</w:t>
      </w:r>
    </w:p>
    <w:p w:rsidR="00F37D1A" w:rsidRPr="000E0818" w:rsidRDefault="000E0818" w:rsidP="004961A4">
      <w:pPr>
        <w:pStyle w:val="ListParagraph"/>
        <w:ind w:left="567"/>
        <w:jc w:val="both"/>
        <w:rPr>
          <w:rFonts w:ascii="Verdana" w:hAnsi="Verdana"/>
          <w:i/>
          <w:sz w:val="20"/>
          <w:szCs w:val="20"/>
          <w:lang w:val="es-CR"/>
        </w:rPr>
      </w:pPr>
      <w:r>
        <w:rPr>
          <w:rFonts w:ascii="Verdana" w:hAnsi="Verdana"/>
          <w:sz w:val="20"/>
          <w:lang w:val="es-ES_tradnl"/>
        </w:rPr>
        <w:t>g</w:t>
      </w:r>
      <w:r w:rsidR="00F37D1A" w:rsidRPr="000E0818">
        <w:rPr>
          <w:rFonts w:ascii="Verdana" w:hAnsi="Verdana"/>
          <w:sz w:val="20"/>
          <w:lang w:val="es-ES_tradnl"/>
        </w:rPr>
        <w:t xml:space="preserve">) </w:t>
      </w:r>
      <w:bookmarkEnd w:id="4"/>
      <w:r w:rsidR="00F37D1A" w:rsidRPr="000E0818">
        <w:rPr>
          <w:rFonts w:ascii="Verdana" w:hAnsi="Verdana"/>
          <w:sz w:val="20"/>
          <w:szCs w:val="20"/>
          <w:lang w:val="es-CR"/>
        </w:rPr>
        <w:t xml:space="preserve">el 4 de octubre de 2010 el niño Sebastián Naranjo Jiménez </w:t>
      </w:r>
      <w:r w:rsidR="006B0685" w:rsidRPr="000E0818">
        <w:rPr>
          <w:rFonts w:ascii="Verdana" w:hAnsi="Verdana"/>
          <w:sz w:val="20"/>
          <w:szCs w:val="20"/>
          <w:lang w:val="es-CR"/>
        </w:rPr>
        <w:t>murió</w:t>
      </w:r>
      <w:r w:rsidR="00F37D1A" w:rsidRPr="000E0818">
        <w:rPr>
          <w:rFonts w:ascii="Verdana" w:hAnsi="Verdana"/>
          <w:sz w:val="20"/>
          <w:szCs w:val="20"/>
          <w:lang w:val="es-CR"/>
        </w:rPr>
        <w:t xml:space="preserve"> a raíz de un disparo de un arma de fuego; </w:t>
      </w:r>
    </w:p>
    <w:p w:rsidR="00F37D1A" w:rsidRPr="000E0818" w:rsidRDefault="0053297B" w:rsidP="004961A4">
      <w:pPr>
        <w:pStyle w:val="ListParagraph"/>
        <w:ind w:left="567"/>
        <w:jc w:val="both"/>
        <w:rPr>
          <w:rFonts w:ascii="Verdana" w:hAnsi="Verdana"/>
          <w:sz w:val="20"/>
          <w:lang w:val="es-CR"/>
        </w:rPr>
      </w:pPr>
      <w:r>
        <w:rPr>
          <w:rFonts w:ascii="Verdana" w:hAnsi="Verdana"/>
          <w:sz w:val="20"/>
          <w:lang w:val="es-CR"/>
        </w:rPr>
        <w:lastRenderedPageBreak/>
        <w:t>h</w:t>
      </w:r>
      <w:r w:rsidR="00F37D1A" w:rsidRPr="000E0818">
        <w:rPr>
          <w:rFonts w:ascii="Verdana" w:hAnsi="Verdana"/>
          <w:sz w:val="20"/>
          <w:lang w:val="es-CR"/>
        </w:rPr>
        <w:t xml:space="preserve">) el 21 de enero de 2011 Hilda Milena Villa Mosquera, hija de María del Socorro Mosquera y madre del niño </w:t>
      </w:r>
      <w:proofErr w:type="spellStart"/>
      <w:r w:rsidR="00F37D1A" w:rsidRPr="000E0818">
        <w:rPr>
          <w:rFonts w:ascii="Verdana" w:hAnsi="Verdana"/>
          <w:sz w:val="20"/>
          <w:lang w:val="es-CR"/>
        </w:rPr>
        <w:t>Lubin</w:t>
      </w:r>
      <w:proofErr w:type="spellEnd"/>
      <w:r w:rsidR="00F37D1A" w:rsidRPr="000E0818">
        <w:rPr>
          <w:rFonts w:ascii="Verdana" w:hAnsi="Verdana"/>
          <w:sz w:val="20"/>
          <w:lang w:val="es-CR"/>
        </w:rPr>
        <w:t xml:space="preserve"> Alfonso, habría sido víctima de agresiones verbales y físicas por miembros de la Policía Nacional;</w:t>
      </w:r>
    </w:p>
    <w:p w:rsidR="00F37D1A" w:rsidRPr="000E0818" w:rsidRDefault="0053297B" w:rsidP="004961A4">
      <w:pPr>
        <w:pStyle w:val="ListParagraph"/>
        <w:ind w:left="567"/>
        <w:jc w:val="both"/>
        <w:rPr>
          <w:rFonts w:ascii="Verdana" w:hAnsi="Verdana"/>
          <w:sz w:val="20"/>
          <w:lang w:val="es-CR"/>
        </w:rPr>
      </w:pPr>
      <w:r>
        <w:rPr>
          <w:rFonts w:ascii="Verdana" w:hAnsi="Verdana"/>
          <w:sz w:val="20"/>
          <w:lang w:val="es-CR"/>
        </w:rPr>
        <w:t>i</w:t>
      </w:r>
      <w:r w:rsidR="00F37D1A" w:rsidRPr="000E0818">
        <w:rPr>
          <w:rFonts w:ascii="Verdana" w:hAnsi="Verdana"/>
          <w:sz w:val="20"/>
          <w:lang w:val="es-CR"/>
        </w:rPr>
        <w:t xml:space="preserve">) el 1 de febrero de 2011 el niño </w:t>
      </w:r>
      <w:proofErr w:type="spellStart"/>
      <w:r w:rsidR="00F37D1A" w:rsidRPr="000E0818">
        <w:rPr>
          <w:rFonts w:ascii="Verdana" w:hAnsi="Verdana"/>
          <w:sz w:val="20"/>
          <w:lang w:val="es-CR"/>
        </w:rPr>
        <w:t>Lubin</w:t>
      </w:r>
      <w:proofErr w:type="spellEnd"/>
      <w:r w:rsidR="00F37D1A" w:rsidRPr="000E0818">
        <w:rPr>
          <w:rFonts w:ascii="Verdana" w:hAnsi="Verdana"/>
          <w:sz w:val="20"/>
          <w:lang w:val="es-CR"/>
        </w:rPr>
        <w:t xml:space="preserve"> Alfonso Villa Mosquera habría sido impactado con un arma de fuego que le ocasionó casi inmediatamente la muerte;</w:t>
      </w:r>
    </w:p>
    <w:p w:rsidR="00F37D1A" w:rsidRPr="000E0818" w:rsidRDefault="0053297B" w:rsidP="004961A4">
      <w:pPr>
        <w:pStyle w:val="ListParagraph"/>
        <w:ind w:left="567"/>
        <w:jc w:val="both"/>
        <w:rPr>
          <w:rFonts w:ascii="Verdana" w:hAnsi="Verdana"/>
          <w:sz w:val="20"/>
          <w:lang w:val="es-CR"/>
        </w:rPr>
      </w:pPr>
      <w:r>
        <w:rPr>
          <w:rFonts w:ascii="Verdana" w:hAnsi="Verdana"/>
          <w:sz w:val="20"/>
          <w:lang w:val="es-CR"/>
        </w:rPr>
        <w:t>j</w:t>
      </w:r>
      <w:r w:rsidR="00F37D1A" w:rsidRPr="000E0818">
        <w:rPr>
          <w:rFonts w:ascii="Verdana" w:hAnsi="Verdana"/>
          <w:sz w:val="20"/>
          <w:lang w:val="es-CR"/>
        </w:rPr>
        <w:t>)</w:t>
      </w:r>
      <w:r w:rsidR="00515318">
        <w:rPr>
          <w:rFonts w:ascii="Verdana" w:hAnsi="Verdana"/>
          <w:sz w:val="20"/>
          <w:lang w:val="es-CR"/>
        </w:rPr>
        <w:t xml:space="preserve"> </w:t>
      </w:r>
      <w:r w:rsidR="00F37D1A" w:rsidRPr="000E0818">
        <w:rPr>
          <w:rFonts w:ascii="Verdana" w:hAnsi="Verdana"/>
          <w:sz w:val="20"/>
          <w:lang w:val="es-CR"/>
        </w:rPr>
        <w:t>el mismo día, los hijos de la señora Mosquera habrían sido sometidos de manera agresiva a una requisa policial, y</w:t>
      </w:r>
    </w:p>
    <w:p w:rsidR="00F37D1A" w:rsidRPr="00CA5ACF" w:rsidRDefault="0053297B" w:rsidP="004961A4">
      <w:pPr>
        <w:pStyle w:val="ListParagraph"/>
        <w:ind w:left="567"/>
        <w:jc w:val="both"/>
        <w:rPr>
          <w:rFonts w:ascii="Verdana" w:hAnsi="Verdana"/>
          <w:i/>
          <w:sz w:val="20"/>
          <w:szCs w:val="20"/>
          <w:lang w:val="es-CR"/>
        </w:rPr>
      </w:pPr>
      <w:r>
        <w:rPr>
          <w:rFonts w:ascii="Verdana" w:hAnsi="Verdana"/>
          <w:sz w:val="20"/>
          <w:lang w:val="es-CR"/>
        </w:rPr>
        <w:t>k</w:t>
      </w:r>
      <w:r w:rsidR="00F37D1A" w:rsidRPr="000E0818">
        <w:rPr>
          <w:rFonts w:ascii="Verdana" w:hAnsi="Verdana"/>
          <w:sz w:val="20"/>
          <w:lang w:val="es-CR"/>
        </w:rPr>
        <w:t xml:space="preserve">) el 10 de febrero de 2011 </w:t>
      </w:r>
      <w:proofErr w:type="spellStart"/>
      <w:r w:rsidR="00F37D1A" w:rsidRPr="000E0818">
        <w:rPr>
          <w:rFonts w:ascii="Verdana" w:hAnsi="Verdana"/>
          <w:sz w:val="20"/>
          <w:lang w:val="es-CR"/>
        </w:rPr>
        <w:t>Lubin</w:t>
      </w:r>
      <w:proofErr w:type="spellEnd"/>
      <w:r w:rsidR="00F37D1A" w:rsidRPr="000E0818">
        <w:rPr>
          <w:rFonts w:ascii="Verdana" w:hAnsi="Verdana"/>
          <w:sz w:val="20"/>
          <w:lang w:val="es-CR"/>
        </w:rPr>
        <w:t xml:space="preserve"> </w:t>
      </w:r>
      <w:proofErr w:type="spellStart"/>
      <w:r w:rsidR="00F37D1A" w:rsidRPr="000E0818">
        <w:rPr>
          <w:rFonts w:ascii="Verdana" w:hAnsi="Verdana"/>
          <w:sz w:val="20"/>
          <w:lang w:val="es-CR"/>
        </w:rPr>
        <w:t>Arjadi</w:t>
      </w:r>
      <w:proofErr w:type="spellEnd"/>
      <w:r w:rsidR="00F37D1A" w:rsidRPr="000E0818">
        <w:rPr>
          <w:rFonts w:ascii="Verdana" w:hAnsi="Verdana"/>
          <w:sz w:val="20"/>
          <w:lang w:val="es-CR"/>
        </w:rPr>
        <w:t xml:space="preserve"> Mosquera, hijo de la beneficiara María del Socorro Mosquera, fue agredido verbalmente, amenazado e intimidado con un arma de fuego por agentes de la Policía Nacional</w:t>
      </w:r>
      <w:r w:rsidR="00F37D1A" w:rsidRPr="00B241DC">
        <w:rPr>
          <w:rStyle w:val="FootnoteReference"/>
          <w:sz w:val="20"/>
          <w:szCs w:val="20"/>
          <w:lang w:val="es-CR"/>
        </w:rPr>
        <w:footnoteReference w:id="28"/>
      </w:r>
      <w:r w:rsidR="00F37D1A" w:rsidRPr="00B241DC">
        <w:rPr>
          <w:rFonts w:ascii="Verdana" w:hAnsi="Verdana"/>
          <w:sz w:val="20"/>
          <w:szCs w:val="20"/>
          <w:lang w:val="es-CR"/>
        </w:rPr>
        <w:t>.</w:t>
      </w:r>
      <w:r w:rsidR="00F37D1A" w:rsidRPr="00011A36">
        <w:rPr>
          <w:rFonts w:ascii="Verdana" w:hAnsi="Verdana"/>
          <w:sz w:val="20"/>
          <w:lang w:val="es-CR"/>
        </w:rPr>
        <w:t xml:space="preserve"> </w:t>
      </w:r>
    </w:p>
    <w:p w:rsidR="00F37D1A" w:rsidRPr="00E50988" w:rsidRDefault="00F37D1A" w:rsidP="00E50988">
      <w:pPr>
        <w:pStyle w:val="ListParagraph"/>
        <w:rPr>
          <w:rFonts w:ascii="Verdana" w:hAnsi="Verdana"/>
          <w:sz w:val="20"/>
          <w:szCs w:val="20"/>
          <w:lang w:val="es-CR"/>
        </w:rPr>
      </w:pPr>
    </w:p>
    <w:p w:rsidR="006B06D5" w:rsidRPr="00B87639" w:rsidRDefault="009A2542" w:rsidP="00B87639">
      <w:pPr>
        <w:pStyle w:val="ListParagraph"/>
        <w:numPr>
          <w:ilvl w:val="0"/>
          <w:numId w:val="72"/>
        </w:numPr>
        <w:tabs>
          <w:tab w:val="left" w:pos="0"/>
        </w:tabs>
        <w:ind w:left="0" w:firstLine="0"/>
        <w:jc w:val="both"/>
        <w:rPr>
          <w:rFonts w:ascii="Verdana" w:hAnsi="Verdana"/>
          <w:sz w:val="20"/>
          <w:szCs w:val="20"/>
          <w:lang w:val="es-ES_tradnl"/>
        </w:rPr>
      </w:pPr>
      <w:r>
        <w:rPr>
          <w:rFonts w:ascii="Verdana" w:hAnsi="Verdana"/>
          <w:sz w:val="20"/>
          <w:szCs w:val="20"/>
          <w:lang w:val="es-ES_tradnl"/>
        </w:rPr>
        <w:t xml:space="preserve">Lo anterior muestra que las medidas provisionales fueron adoptadas, mantenidas y ampliadas </w:t>
      </w:r>
      <w:r w:rsidR="0065271F">
        <w:rPr>
          <w:rFonts w:ascii="Verdana" w:hAnsi="Verdana"/>
          <w:sz w:val="20"/>
          <w:szCs w:val="20"/>
          <w:lang w:val="es-ES_tradnl"/>
        </w:rPr>
        <w:t xml:space="preserve">entre el 5 de julio de 2006 y el 4 de marzo de 2011 </w:t>
      </w:r>
      <w:r>
        <w:rPr>
          <w:rFonts w:ascii="Verdana" w:hAnsi="Verdana"/>
          <w:sz w:val="20"/>
          <w:szCs w:val="20"/>
          <w:lang w:val="es-ES_tradnl"/>
        </w:rPr>
        <w:t>a partir de información que d</w:t>
      </w:r>
      <w:r w:rsidR="003C1852">
        <w:rPr>
          <w:rFonts w:ascii="Verdana" w:hAnsi="Verdana"/>
          <w:sz w:val="20"/>
          <w:szCs w:val="20"/>
          <w:lang w:val="es-ES_tradnl"/>
        </w:rPr>
        <w:t>io</w:t>
      </w:r>
      <w:r>
        <w:rPr>
          <w:rFonts w:ascii="Verdana" w:hAnsi="Verdana"/>
          <w:sz w:val="20"/>
          <w:szCs w:val="20"/>
          <w:lang w:val="es-ES_tradnl"/>
        </w:rPr>
        <w:t xml:space="preserve"> cuenta de una situación </w:t>
      </w:r>
      <w:r w:rsidR="0065271F">
        <w:rPr>
          <w:rFonts w:ascii="Verdana" w:hAnsi="Verdana"/>
          <w:sz w:val="20"/>
          <w:szCs w:val="20"/>
          <w:lang w:val="es-ES_tradnl"/>
        </w:rPr>
        <w:t xml:space="preserve">que </w:t>
      </w:r>
      <w:r w:rsidR="00B47ECD">
        <w:rPr>
          <w:rFonts w:ascii="Verdana" w:hAnsi="Verdana"/>
          <w:sz w:val="20"/>
          <w:szCs w:val="20"/>
          <w:lang w:val="es-ES_tradnl"/>
        </w:rPr>
        <w:t>implicó</w:t>
      </w:r>
      <w:r w:rsidR="0065271F">
        <w:rPr>
          <w:rFonts w:ascii="Verdana" w:hAnsi="Verdana"/>
          <w:sz w:val="20"/>
          <w:szCs w:val="20"/>
          <w:lang w:val="es-ES_tradnl"/>
        </w:rPr>
        <w:t xml:space="preserve"> graves atentados, inclusive por parte de autoridades policiales, contra las personas beneficiarias, comprendiendo agresiones directas, incluso causantes de muertes, así como múltiples hostigamientos y amenazas. La </w:t>
      </w:r>
      <w:r w:rsidR="00B47ECD">
        <w:rPr>
          <w:rFonts w:ascii="Verdana" w:hAnsi="Verdana"/>
          <w:sz w:val="20"/>
          <w:szCs w:val="20"/>
          <w:lang w:val="es-ES_tradnl"/>
        </w:rPr>
        <w:t>gravedad de la situación conllevó</w:t>
      </w:r>
      <w:r w:rsidR="0065271F">
        <w:rPr>
          <w:rFonts w:ascii="Verdana" w:hAnsi="Verdana"/>
          <w:sz w:val="20"/>
          <w:szCs w:val="20"/>
          <w:lang w:val="es-ES_tradnl"/>
        </w:rPr>
        <w:t xml:space="preserve"> </w:t>
      </w:r>
      <w:r w:rsidR="007A5BF0">
        <w:rPr>
          <w:rFonts w:ascii="Verdana" w:hAnsi="Verdana"/>
          <w:sz w:val="20"/>
          <w:szCs w:val="20"/>
          <w:lang w:val="es-ES_tradnl"/>
        </w:rPr>
        <w:t xml:space="preserve">actos de </w:t>
      </w:r>
      <w:r w:rsidR="0065271F">
        <w:rPr>
          <w:rFonts w:ascii="Verdana" w:hAnsi="Verdana"/>
          <w:sz w:val="20"/>
          <w:szCs w:val="20"/>
          <w:lang w:val="es-ES_tradnl"/>
        </w:rPr>
        <w:t xml:space="preserve">desplazamiento de personas beneficiarias, y se </w:t>
      </w:r>
      <w:r w:rsidR="00B47ECD">
        <w:rPr>
          <w:rFonts w:ascii="Verdana" w:hAnsi="Verdana"/>
          <w:sz w:val="20"/>
          <w:szCs w:val="20"/>
          <w:lang w:val="es-ES_tradnl"/>
        </w:rPr>
        <w:t>encuadró</w:t>
      </w:r>
      <w:r w:rsidR="0065271F">
        <w:rPr>
          <w:rFonts w:ascii="Verdana" w:hAnsi="Verdana"/>
          <w:sz w:val="20"/>
          <w:szCs w:val="20"/>
          <w:lang w:val="es-ES_tradnl"/>
        </w:rPr>
        <w:t xml:space="preserve"> en la estigmatización y hostigamiento a las señoras Naranjo y Mosquera, a partir de su carácter de “lideresas” o defensoras de derechos humanos.</w:t>
      </w:r>
      <w:r w:rsidR="006B06D5">
        <w:rPr>
          <w:rFonts w:ascii="Verdana" w:hAnsi="Verdana"/>
          <w:sz w:val="20"/>
          <w:szCs w:val="20"/>
          <w:lang w:val="es-ES_tradnl"/>
        </w:rPr>
        <w:t xml:space="preserve"> </w:t>
      </w:r>
      <w:r w:rsidR="006B06D5" w:rsidRPr="00B87639">
        <w:rPr>
          <w:rFonts w:ascii="Verdana" w:hAnsi="Verdana"/>
          <w:sz w:val="20"/>
          <w:szCs w:val="20"/>
          <w:lang w:val="es-ES_tradnl"/>
        </w:rPr>
        <w:t xml:space="preserve">Resulta razonable asumir, dada sus características, que se enmarcan en la misma situación los actos referidos por las representantes </w:t>
      </w:r>
      <w:r w:rsidR="00EF3A96">
        <w:rPr>
          <w:rFonts w:ascii="Verdana" w:hAnsi="Verdana"/>
          <w:sz w:val="20"/>
          <w:szCs w:val="20"/>
          <w:lang w:val="es-ES_tradnl"/>
        </w:rPr>
        <w:t>que habrían ocurrido entre el 14</w:t>
      </w:r>
      <w:r w:rsidR="006B06D5" w:rsidRPr="00B87639">
        <w:rPr>
          <w:rFonts w:ascii="Verdana" w:hAnsi="Verdana"/>
          <w:sz w:val="20"/>
          <w:szCs w:val="20"/>
          <w:lang w:val="es-ES_tradnl"/>
        </w:rPr>
        <w:t xml:space="preserve"> de abril de 2011 y el 25 de mayo de 2015 (</w:t>
      </w:r>
      <w:r w:rsidR="006B06D5" w:rsidRPr="00B87639">
        <w:rPr>
          <w:rFonts w:ascii="Verdana" w:hAnsi="Verdana"/>
          <w:i/>
          <w:sz w:val="20"/>
          <w:szCs w:val="20"/>
          <w:lang w:val="es-ES_tradnl"/>
        </w:rPr>
        <w:t>supra</w:t>
      </w:r>
      <w:r w:rsidR="00EF3A96">
        <w:rPr>
          <w:rFonts w:ascii="Verdana" w:hAnsi="Verdana"/>
          <w:sz w:val="20"/>
          <w:szCs w:val="20"/>
          <w:lang w:val="es-ES_tradnl"/>
        </w:rPr>
        <w:t xml:space="preserve"> Considerando</w:t>
      </w:r>
      <w:r w:rsidR="003761A1">
        <w:rPr>
          <w:rFonts w:ascii="Verdana" w:hAnsi="Verdana"/>
          <w:sz w:val="20"/>
          <w:szCs w:val="20"/>
          <w:lang w:val="es-ES_tradnl"/>
        </w:rPr>
        <w:t>s</w:t>
      </w:r>
      <w:r w:rsidR="00EF3A96">
        <w:rPr>
          <w:rFonts w:ascii="Verdana" w:hAnsi="Verdana"/>
          <w:sz w:val="20"/>
          <w:szCs w:val="20"/>
          <w:lang w:val="es-ES_tradnl"/>
        </w:rPr>
        <w:t xml:space="preserve"> 53</w:t>
      </w:r>
      <w:r w:rsidR="003761A1">
        <w:rPr>
          <w:rFonts w:ascii="Verdana" w:hAnsi="Verdana"/>
          <w:sz w:val="20"/>
          <w:szCs w:val="20"/>
          <w:lang w:val="es-ES_tradnl"/>
        </w:rPr>
        <w:t xml:space="preserve"> y 54</w:t>
      </w:r>
      <w:r w:rsidR="006B06D5" w:rsidRPr="00B87639">
        <w:rPr>
          <w:rFonts w:ascii="Verdana" w:hAnsi="Verdana"/>
          <w:sz w:val="20"/>
          <w:szCs w:val="20"/>
          <w:lang w:val="es-ES_tradnl"/>
        </w:rPr>
        <w:t>).</w:t>
      </w:r>
    </w:p>
    <w:p w:rsidR="006B06D5" w:rsidRPr="00E50988" w:rsidRDefault="006B06D5" w:rsidP="00E50988">
      <w:pPr>
        <w:pStyle w:val="ListParagraph"/>
        <w:rPr>
          <w:rFonts w:ascii="Verdana" w:hAnsi="Verdana"/>
          <w:sz w:val="20"/>
          <w:szCs w:val="20"/>
          <w:lang w:val="es-ES_tradnl"/>
        </w:rPr>
      </w:pPr>
    </w:p>
    <w:p w:rsidR="006B06D5" w:rsidRDefault="00B5674A" w:rsidP="00B87639">
      <w:pPr>
        <w:pStyle w:val="ListParagraph"/>
        <w:numPr>
          <w:ilvl w:val="0"/>
          <w:numId w:val="72"/>
        </w:numPr>
        <w:tabs>
          <w:tab w:val="left" w:pos="0"/>
        </w:tabs>
        <w:ind w:left="0" w:firstLine="0"/>
        <w:jc w:val="both"/>
        <w:rPr>
          <w:rFonts w:ascii="Verdana" w:hAnsi="Verdana"/>
          <w:sz w:val="20"/>
          <w:szCs w:val="20"/>
          <w:lang w:val="es-ES_tradnl"/>
        </w:rPr>
      </w:pPr>
      <w:r>
        <w:rPr>
          <w:rFonts w:ascii="Verdana" w:hAnsi="Verdana"/>
          <w:sz w:val="20"/>
          <w:szCs w:val="20"/>
          <w:lang w:val="es-ES_tradnl"/>
        </w:rPr>
        <w:t xml:space="preserve">Sin perjuicio de ello, también debe hacerse notar </w:t>
      </w:r>
      <w:r w:rsidR="009C66CF">
        <w:rPr>
          <w:rFonts w:ascii="Verdana" w:hAnsi="Verdana"/>
          <w:sz w:val="20"/>
          <w:szCs w:val="20"/>
          <w:lang w:val="es-ES_tradnl"/>
        </w:rPr>
        <w:t xml:space="preserve">que </w:t>
      </w:r>
      <w:r w:rsidR="006B06D5">
        <w:rPr>
          <w:rFonts w:ascii="Verdana" w:hAnsi="Verdana"/>
          <w:sz w:val="20"/>
          <w:szCs w:val="20"/>
          <w:lang w:val="es-ES_tradnl"/>
        </w:rPr>
        <w:t xml:space="preserve">algunos aspectos referidos a la situación que dio origen a las medidas provisionales han variado. </w:t>
      </w:r>
    </w:p>
    <w:p w:rsidR="006B06D5" w:rsidRPr="00B87639" w:rsidRDefault="006B06D5" w:rsidP="00B87639">
      <w:pPr>
        <w:pStyle w:val="ListParagraph"/>
        <w:rPr>
          <w:rFonts w:ascii="Verdana" w:hAnsi="Verdana"/>
          <w:sz w:val="20"/>
          <w:szCs w:val="20"/>
          <w:lang w:val="es-ES_tradnl"/>
        </w:rPr>
      </w:pPr>
    </w:p>
    <w:p w:rsidR="006B06D5" w:rsidRDefault="006B06D5" w:rsidP="00E50988">
      <w:pPr>
        <w:pStyle w:val="ListParagraph"/>
        <w:numPr>
          <w:ilvl w:val="0"/>
          <w:numId w:val="72"/>
        </w:numPr>
        <w:tabs>
          <w:tab w:val="left" w:pos="0"/>
        </w:tabs>
        <w:ind w:left="0" w:firstLine="0"/>
        <w:jc w:val="both"/>
        <w:rPr>
          <w:rFonts w:ascii="Verdana" w:hAnsi="Verdana"/>
          <w:sz w:val="20"/>
          <w:szCs w:val="20"/>
          <w:lang w:val="es-ES_tradnl"/>
        </w:rPr>
      </w:pPr>
      <w:r>
        <w:rPr>
          <w:rFonts w:ascii="Verdana" w:hAnsi="Verdana"/>
          <w:sz w:val="20"/>
          <w:szCs w:val="20"/>
          <w:lang w:val="es-ES_tradnl"/>
        </w:rPr>
        <w:t xml:space="preserve">Así, en primer término, </w:t>
      </w:r>
      <w:r w:rsidR="00E66217">
        <w:rPr>
          <w:rFonts w:ascii="Verdana" w:hAnsi="Verdana"/>
          <w:sz w:val="20"/>
          <w:szCs w:val="20"/>
          <w:lang w:val="es-ES_tradnl"/>
        </w:rPr>
        <w:t xml:space="preserve">la Corte ha constatado, sin recibir luego información en contrario, que </w:t>
      </w:r>
      <w:r w:rsidR="00640944">
        <w:rPr>
          <w:rFonts w:ascii="Verdana" w:hAnsi="Verdana"/>
          <w:sz w:val="20"/>
          <w:szCs w:val="20"/>
          <w:lang w:val="es-ES_tradnl"/>
        </w:rPr>
        <w:t xml:space="preserve">la situación de desplazamiento de las señoras Mosquera y Naranjo </w:t>
      </w:r>
      <w:r w:rsidR="003C1852">
        <w:rPr>
          <w:rFonts w:ascii="Verdana" w:hAnsi="Verdana"/>
          <w:sz w:val="20"/>
          <w:szCs w:val="20"/>
          <w:lang w:val="es-ES_tradnl"/>
        </w:rPr>
        <w:t xml:space="preserve">se </w:t>
      </w:r>
      <w:r w:rsidR="00640944">
        <w:rPr>
          <w:rFonts w:ascii="Verdana" w:hAnsi="Verdana"/>
          <w:sz w:val="20"/>
          <w:szCs w:val="20"/>
          <w:lang w:val="es-ES_tradnl"/>
        </w:rPr>
        <w:t xml:space="preserve">ha </w:t>
      </w:r>
      <w:r w:rsidR="003C1852">
        <w:rPr>
          <w:rFonts w:ascii="Verdana" w:hAnsi="Verdana"/>
          <w:sz w:val="20"/>
          <w:szCs w:val="20"/>
          <w:lang w:val="es-ES_tradnl"/>
        </w:rPr>
        <w:t>modificado</w:t>
      </w:r>
      <w:r w:rsidR="00E66217">
        <w:rPr>
          <w:rFonts w:ascii="Verdana" w:hAnsi="Verdana"/>
          <w:sz w:val="20"/>
          <w:szCs w:val="20"/>
          <w:lang w:val="es-ES_tradnl"/>
        </w:rPr>
        <w:t>, pues las beneficiarias se encuentran residiendo en la Comuna 13</w:t>
      </w:r>
      <w:r w:rsidR="006023F1" w:rsidRPr="002341F4">
        <w:rPr>
          <w:rStyle w:val="FootnoteReference"/>
          <w:sz w:val="20"/>
          <w:szCs w:val="20"/>
          <w:lang w:val="es-ES_tradnl"/>
        </w:rPr>
        <w:footnoteReference w:id="29"/>
      </w:r>
      <w:r w:rsidR="00E66217" w:rsidRPr="002341F4">
        <w:rPr>
          <w:rFonts w:ascii="Verdana" w:hAnsi="Verdana"/>
          <w:sz w:val="20"/>
          <w:szCs w:val="20"/>
          <w:lang w:val="es-ES_tradnl"/>
        </w:rPr>
        <w:t>.</w:t>
      </w:r>
    </w:p>
    <w:p w:rsidR="00C71B52" w:rsidRDefault="00C71B52" w:rsidP="00B87639">
      <w:pPr>
        <w:pStyle w:val="ListParagraph"/>
        <w:tabs>
          <w:tab w:val="left" w:pos="0"/>
        </w:tabs>
        <w:ind w:left="0"/>
        <w:jc w:val="both"/>
        <w:rPr>
          <w:rFonts w:ascii="Verdana" w:hAnsi="Verdana"/>
          <w:sz w:val="20"/>
          <w:szCs w:val="20"/>
          <w:lang w:val="es-ES_tradnl"/>
        </w:rPr>
      </w:pPr>
    </w:p>
    <w:p w:rsidR="00C71B52" w:rsidRDefault="00C71B52" w:rsidP="00C71B52">
      <w:pPr>
        <w:pStyle w:val="ListParagraph"/>
        <w:numPr>
          <w:ilvl w:val="0"/>
          <w:numId w:val="72"/>
        </w:numPr>
        <w:tabs>
          <w:tab w:val="left" w:pos="0"/>
        </w:tabs>
        <w:ind w:left="0" w:firstLine="0"/>
        <w:jc w:val="both"/>
        <w:rPr>
          <w:rFonts w:ascii="Verdana" w:hAnsi="Verdana"/>
          <w:sz w:val="20"/>
          <w:szCs w:val="20"/>
          <w:lang w:val="es-ES_tradnl"/>
        </w:rPr>
      </w:pPr>
      <w:r>
        <w:rPr>
          <w:rFonts w:ascii="Verdana" w:hAnsi="Verdana"/>
          <w:sz w:val="20"/>
          <w:szCs w:val="20"/>
          <w:lang w:val="es-ES_tradnl"/>
        </w:rPr>
        <w:t>Por otra parte, debe dejarse sentando que Juan David Naranjo, quien estaba privado de su libertad, la ha recuperado, y que actualmente se desconocería su paradero</w:t>
      </w:r>
      <w:r w:rsidRPr="002341F4">
        <w:rPr>
          <w:rStyle w:val="FootnoteReference"/>
          <w:sz w:val="20"/>
          <w:szCs w:val="20"/>
          <w:lang w:val="es-ES_tradnl"/>
        </w:rPr>
        <w:footnoteReference w:id="30"/>
      </w:r>
      <w:r>
        <w:rPr>
          <w:rFonts w:ascii="Verdana" w:hAnsi="Verdana"/>
          <w:sz w:val="20"/>
          <w:szCs w:val="20"/>
          <w:lang w:val="es-ES_tradnl"/>
        </w:rPr>
        <w:t xml:space="preserve">. </w:t>
      </w:r>
    </w:p>
    <w:p w:rsidR="00040E06" w:rsidRPr="00E50988" w:rsidRDefault="00040E06" w:rsidP="00E50988">
      <w:pPr>
        <w:pStyle w:val="ListParagraph"/>
        <w:ind w:left="0"/>
        <w:rPr>
          <w:rFonts w:ascii="Verdana" w:hAnsi="Verdana"/>
          <w:sz w:val="20"/>
          <w:szCs w:val="20"/>
          <w:lang w:val="es-ES_tradnl"/>
        </w:rPr>
      </w:pPr>
    </w:p>
    <w:p w:rsidR="00A109C2" w:rsidRPr="002341F4" w:rsidRDefault="00C71B52" w:rsidP="00B87639">
      <w:pPr>
        <w:pStyle w:val="ListParagraph"/>
        <w:numPr>
          <w:ilvl w:val="0"/>
          <w:numId w:val="72"/>
        </w:numPr>
        <w:tabs>
          <w:tab w:val="left" w:pos="0"/>
        </w:tabs>
        <w:ind w:left="0" w:firstLine="0"/>
        <w:jc w:val="both"/>
        <w:rPr>
          <w:rFonts w:ascii="Verdana" w:hAnsi="Verdana"/>
          <w:sz w:val="20"/>
          <w:szCs w:val="20"/>
          <w:lang w:val="es-ES_tradnl"/>
        </w:rPr>
      </w:pPr>
      <w:r>
        <w:rPr>
          <w:rFonts w:ascii="Verdana" w:hAnsi="Verdana"/>
          <w:sz w:val="20"/>
          <w:szCs w:val="20"/>
          <w:lang w:val="es-ES_tradnl"/>
        </w:rPr>
        <w:t>Finalmente</w:t>
      </w:r>
      <w:r w:rsidR="00040E06">
        <w:rPr>
          <w:rFonts w:ascii="Verdana" w:hAnsi="Verdana"/>
          <w:sz w:val="20"/>
          <w:szCs w:val="20"/>
          <w:lang w:val="es-ES_tradnl"/>
        </w:rPr>
        <w:t>, de acuerdo a lo señalado (</w:t>
      </w:r>
      <w:r w:rsidR="00040E06">
        <w:rPr>
          <w:rFonts w:ascii="Verdana" w:hAnsi="Verdana"/>
          <w:i/>
          <w:sz w:val="20"/>
          <w:szCs w:val="20"/>
          <w:lang w:val="es-ES_tradnl"/>
        </w:rPr>
        <w:t>supra</w:t>
      </w:r>
      <w:r w:rsidR="00EF3A96">
        <w:rPr>
          <w:rFonts w:ascii="Verdana" w:hAnsi="Verdana"/>
          <w:sz w:val="20"/>
          <w:szCs w:val="20"/>
          <w:lang w:val="es-ES_tradnl"/>
        </w:rPr>
        <w:t xml:space="preserve"> Considerando 64</w:t>
      </w:r>
      <w:r w:rsidR="00040E06">
        <w:rPr>
          <w:rFonts w:ascii="Verdana" w:hAnsi="Verdana"/>
          <w:sz w:val="20"/>
          <w:szCs w:val="20"/>
          <w:lang w:val="es-ES_tradnl"/>
        </w:rPr>
        <w:t xml:space="preserve">), uno de los motivos en que se basó originalmente la solicitud de medidas provisionales fue que </w:t>
      </w:r>
      <w:r w:rsidR="007515F8" w:rsidRPr="00E50988">
        <w:rPr>
          <w:rFonts w:ascii="Verdana" w:hAnsi="Verdana"/>
          <w:sz w:val="20"/>
          <w:lang w:val="es-CR"/>
        </w:rPr>
        <w:t xml:space="preserve">el 6 de abril de 2006 la Comisión </w:t>
      </w:r>
      <w:r w:rsidR="007515F8">
        <w:rPr>
          <w:rFonts w:ascii="Verdana" w:hAnsi="Verdana"/>
          <w:sz w:val="20"/>
          <w:lang w:val="es-CR"/>
        </w:rPr>
        <w:t xml:space="preserve">había sido informada de que </w:t>
      </w:r>
      <w:r w:rsidR="007515F8" w:rsidRPr="00E50988">
        <w:rPr>
          <w:rFonts w:ascii="Verdana" w:hAnsi="Verdana"/>
          <w:sz w:val="20"/>
          <w:lang w:val="es-CR"/>
        </w:rPr>
        <w:t xml:space="preserve">el estudio de riesgo realizado a la señora Naranjo </w:t>
      </w:r>
      <w:r w:rsidR="007515F8">
        <w:rPr>
          <w:rFonts w:ascii="Verdana" w:hAnsi="Verdana"/>
          <w:sz w:val="20"/>
          <w:lang w:val="es-CR"/>
        </w:rPr>
        <w:t>había determinado una</w:t>
      </w:r>
      <w:r w:rsidR="007515F8" w:rsidRPr="00E50988">
        <w:rPr>
          <w:rFonts w:ascii="Verdana" w:hAnsi="Verdana"/>
          <w:sz w:val="20"/>
          <w:lang w:val="es-CR"/>
        </w:rPr>
        <w:t xml:space="preserve"> </w:t>
      </w:r>
      <w:r w:rsidR="003761A1">
        <w:rPr>
          <w:rFonts w:ascii="Verdana" w:hAnsi="Verdana"/>
          <w:sz w:val="20"/>
          <w:lang w:val="es-CR"/>
        </w:rPr>
        <w:t>“</w:t>
      </w:r>
      <w:r w:rsidR="007515F8" w:rsidRPr="00E50988">
        <w:rPr>
          <w:rFonts w:ascii="Verdana" w:hAnsi="Verdana"/>
          <w:sz w:val="20"/>
          <w:lang w:val="es-CR"/>
        </w:rPr>
        <w:t>situación ‘ordinaria, es decir</w:t>
      </w:r>
      <w:r w:rsidR="00426744">
        <w:rPr>
          <w:rFonts w:ascii="Verdana" w:hAnsi="Verdana"/>
          <w:sz w:val="20"/>
          <w:lang w:val="es-CR"/>
        </w:rPr>
        <w:t xml:space="preserve"> </w:t>
      </w:r>
      <w:r w:rsidR="007515F8" w:rsidRPr="00E50988">
        <w:rPr>
          <w:rFonts w:ascii="Verdana" w:hAnsi="Verdana"/>
          <w:sz w:val="20"/>
          <w:lang w:val="es-CR"/>
        </w:rPr>
        <w:t xml:space="preserve">[, similar a] la de cualquier ciudadano común’, </w:t>
      </w:r>
      <w:r w:rsidR="007515F8">
        <w:rPr>
          <w:rFonts w:ascii="Verdana" w:hAnsi="Verdana"/>
          <w:sz w:val="20"/>
          <w:lang w:val="es-CR"/>
        </w:rPr>
        <w:t xml:space="preserve">y </w:t>
      </w:r>
      <w:r w:rsidR="003761A1">
        <w:rPr>
          <w:rFonts w:ascii="Verdana" w:hAnsi="Verdana"/>
          <w:sz w:val="20"/>
          <w:lang w:val="es-CR"/>
        </w:rPr>
        <w:t>[</w:t>
      </w:r>
      <w:r w:rsidR="007515F8">
        <w:rPr>
          <w:rFonts w:ascii="Verdana" w:hAnsi="Verdana"/>
          <w:sz w:val="20"/>
          <w:lang w:val="es-CR"/>
        </w:rPr>
        <w:t>por ello</w:t>
      </w:r>
      <w:r w:rsidR="007515F8" w:rsidRPr="00E50988">
        <w:rPr>
          <w:rFonts w:ascii="Verdana" w:hAnsi="Verdana"/>
          <w:sz w:val="20"/>
          <w:lang w:val="es-CR"/>
        </w:rPr>
        <w:t xml:space="preserve"> </w:t>
      </w:r>
      <w:r w:rsidR="007515F8">
        <w:rPr>
          <w:rFonts w:ascii="Verdana" w:hAnsi="Verdana"/>
          <w:sz w:val="20"/>
          <w:lang w:val="es-CR"/>
        </w:rPr>
        <w:t>ella</w:t>
      </w:r>
      <w:r w:rsidR="007515F8" w:rsidRPr="00E50988">
        <w:rPr>
          <w:rFonts w:ascii="Verdana" w:hAnsi="Verdana"/>
          <w:sz w:val="20"/>
          <w:lang w:val="es-CR"/>
        </w:rPr>
        <w:t xml:space="preserve"> no</w:t>
      </w:r>
      <w:r w:rsidR="003761A1">
        <w:rPr>
          <w:rFonts w:ascii="Verdana" w:hAnsi="Verdana"/>
          <w:sz w:val="20"/>
          <w:lang w:val="es-CR"/>
        </w:rPr>
        <w:t>]</w:t>
      </w:r>
      <w:r w:rsidR="007515F8" w:rsidRPr="00E50988">
        <w:rPr>
          <w:rFonts w:ascii="Verdana" w:hAnsi="Verdana"/>
          <w:sz w:val="20"/>
          <w:lang w:val="es-CR"/>
        </w:rPr>
        <w:t xml:space="preserve"> podría ser beneficiaria de medidas de protección</w:t>
      </w:r>
      <w:r w:rsidR="003761A1">
        <w:rPr>
          <w:rFonts w:ascii="Verdana" w:hAnsi="Verdana"/>
          <w:sz w:val="20"/>
          <w:lang w:val="es-CR"/>
        </w:rPr>
        <w:t>”</w:t>
      </w:r>
      <w:r w:rsidR="007515F8">
        <w:rPr>
          <w:rFonts w:ascii="Verdana" w:hAnsi="Verdana"/>
          <w:sz w:val="20"/>
          <w:lang w:val="es-CR"/>
        </w:rPr>
        <w:t>.</w:t>
      </w:r>
      <w:r w:rsidR="006B06D5">
        <w:rPr>
          <w:rFonts w:ascii="Verdana" w:hAnsi="Verdana"/>
          <w:sz w:val="20"/>
          <w:lang w:val="es-CR"/>
        </w:rPr>
        <w:t xml:space="preserve"> Ello ha cambiado pues, como surge de la información expuesta (</w:t>
      </w:r>
      <w:r w:rsidR="006B06D5">
        <w:rPr>
          <w:rFonts w:ascii="Verdana" w:hAnsi="Verdana"/>
          <w:i/>
          <w:sz w:val="20"/>
          <w:lang w:val="es-CR"/>
        </w:rPr>
        <w:t>supra</w:t>
      </w:r>
      <w:r w:rsidR="006B06D5">
        <w:rPr>
          <w:rFonts w:ascii="Verdana" w:hAnsi="Verdana"/>
          <w:sz w:val="20"/>
          <w:lang w:val="es-CR"/>
        </w:rPr>
        <w:t xml:space="preserve"> Considerandos </w:t>
      </w:r>
      <w:r w:rsidR="00EF3A96">
        <w:rPr>
          <w:rFonts w:ascii="Verdana" w:hAnsi="Verdana"/>
          <w:sz w:val="20"/>
          <w:lang w:val="es-CR"/>
        </w:rPr>
        <w:t>30 a 39</w:t>
      </w:r>
      <w:r w:rsidR="006B06D5">
        <w:rPr>
          <w:rFonts w:ascii="Verdana" w:hAnsi="Verdana"/>
          <w:sz w:val="20"/>
          <w:lang w:val="es-CR"/>
        </w:rPr>
        <w:t>)</w:t>
      </w:r>
      <w:r w:rsidR="007515F8">
        <w:rPr>
          <w:rFonts w:ascii="Verdana" w:hAnsi="Verdana"/>
          <w:sz w:val="20"/>
          <w:lang w:val="es-CR"/>
        </w:rPr>
        <w:t xml:space="preserve"> </w:t>
      </w:r>
      <w:r w:rsidR="00B567A2">
        <w:rPr>
          <w:rFonts w:ascii="Verdana" w:hAnsi="Verdana"/>
          <w:sz w:val="20"/>
          <w:szCs w:val="20"/>
          <w:lang w:val="es-ES_tradnl"/>
        </w:rPr>
        <w:t xml:space="preserve">entidades internas, como el CERREM o </w:t>
      </w:r>
      <w:r w:rsidR="007515F8">
        <w:rPr>
          <w:rFonts w:ascii="Verdana" w:hAnsi="Verdana"/>
          <w:sz w:val="20"/>
          <w:szCs w:val="20"/>
          <w:lang w:val="es-ES_tradnl"/>
        </w:rPr>
        <w:t>la UNP</w:t>
      </w:r>
      <w:r w:rsidR="00B567A2">
        <w:rPr>
          <w:rFonts w:ascii="Verdana" w:hAnsi="Verdana"/>
          <w:sz w:val="20"/>
          <w:szCs w:val="20"/>
          <w:lang w:val="es-ES_tradnl"/>
        </w:rPr>
        <w:t>,</w:t>
      </w:r>
      <w:r w:rsidR="007515F8">
        <w:rPr>
          <w:rFonts w:ascii="Verdana" w:hAnsi="Verdana"/>
          <w:sz w:val="20"/>
          <w:szCs w:val="20"/>
          <w:lang w:val="es-ES_tradnl"/>
        </w:rPr>
        <w:t xml:space="preserve"> ha</w:t>
      </w:r>
      <w:r w:rsidR="00B567A2">
        <w:rPr>
          <w:rFonts w:ascii="Verdana" w:hAnsi="Verdana"/>
          <w:sz w:val="20"/>
          <w:szCs w:val="20"/>
          <w:lang w:val="es-ES_tradnl"/>
        </w:rPr>
        <w:t>n</w:t>
      </w:r>
      <w:r w:rsidR="007515F8">
        <w:rPr>
          <w:rFonts w:ascii="Verdana" w:hAnsi="Verdana"/>
          <w:sz w:val="20"/>
          <w:szCs w:val="20"/>
          <w:lang w:val="es-ES_tradnl"/>
        </w:rPr>
        <w:t xml:space="preserve"> tomado intervención, con base en pautas mandadas por el orden jurídico interno</w:t>
      </w:r>
      <w:r>
        <w:rPr>
          <w:rFonts w:ascii="Verdana" w:hAnsi="Verdana"/>
          <w:sz w:val="20"/>
          <w:szCs w:val="20"/>
          <w:lang w:val="es-ES_tradnl"/>
        </w:rPr>
        <w:t>,</w:t>
      </w:r>
      <w:r w:rsidR="00B567A2">
        <w:rPr>
          <w:rFonts w:ascii="Verdana" w:hAnsi="Verdana"/>
          <w:sz w:val="20"/>
          <w:szCs w:val="20"/>
          <w:lang w:val="es-ES_tradnl"/>
        </w:rPr>
        <w:t xml:space="preserve"> y se han determinado medidas </w:t>
      </w:r>
      <w:r w:rsidR="00061823">
        <w:rPr>
          <w:rFonts w:ascii="Verdana" w:hAnsi="Verdana"/>
          <w:sz w:val="20"/>
          <w:szCs w:val="20"/>
          <w:lang w:val="es-ES_tradnl"/>
        </w:rPr>
        <w:t xml:space="preserve">de protección </w:t>
      </w:r>
      <w:r w:rsidR="00B567A2">
        <w:rPr>
          <w:rFonts w:ascii="Verdana" w:hAnsi="Verdana"/>
          <w:sz w:val="20"/>
          <w:szCs w:val="20"/>
          <w:lang w:val="es-ES_tradnl"/>
        </w:rPr>
        <w:t>en consecuencia</w:t>
      </w:r>
      <w:r w:rsidRPr="002341F4">
        <w:rPr>
          <w:rStyle w:val="FootnoteReference"/>
          <w:sz w:val="20"/>
          <w:szCs w:val="20"/>
          <w:lang w:val="es-ES_tradnl"/>
        </w:rPr>
        <w:footnoteReference w:id="31"/>
      </w:r>
      <w:r w:rsidR="00B567A2" w:rsidRPr="002341F4">
        <w:rPr>
          <w:rFonts w:ascii="Verdana" w:hAnsi="Verdana"/>
          <w:sz w:val="20"/>
          <w:szCs w:val="20"/>
          <w:lang w:val="es-ES_tradnl"/>
        </w:rPr>
        <w:t>.</w:t>
      </w:r>
    </w:p>
    <w:p w:rsidR="00C13D97" w:rsidRPr="00E50988" w:rsidRDefault="00C13D97" w:rsidP="00E50988">
      <w:pPr>
        <w:pStyle w:val="ListParagraph"/>
        <w:ind w:left="0"/>
        <w:rPr>
          <w:rFonts w:ascii="Verdana" w:hAnsi="Verdana"/>
          <w:sz w:val="20"/>
          <w:szCs w:val="20"/>
          <w:lang w:val="es-ES_tradnl"/>
        </w:rPr>
      </w:pPr>
    </w:p>
    <w:p w:rsidR="00061823" w:rsidRDefault="00C13D97" w:rsidP="00E50988">
      <w:pPr>
        <w:pStyle w:val="ListParagraph"/>
        <w:numPr>
          <w:ilvl w:val="0"/>
          <w:numId w:val="72"/>
        </w:numPr>
        <w:tabs>
          <w:tab w:val="left" w:pos="0"/>
        </w:tabs>
        <w:autoSpaceDE w:val="0"/>
        <w:autoSpaceDN w:val="0"/>
        <w:adjustRightInd w:val="0"/>
        <w:ind w:left="0" w:firstLine="0"/>
        <w:jc w:val="both"/>
        <w:rPr>
          <w:rFonts w:ascii="Verdana" w:hAnsi="Verdana"/>
          <w:sz w:val="20"/>
          <w:szCs w:val="20"/>
          <w:lang w:val="es-ES_tradnl"/>
        </w:rPr>
      </w:pPr>
      <w:r>
        <w:rPr>
          <w:rFonts w:ascii="Verdana" w:hAnsi="Verdana"/>
          <w:sz w:val="20"/>
          <w:szCs w:val="20"/>
          <w:lang w:val="es-ES_tradnl"/>
        </w:rPr>
        <w:t xml:space="preserve">Ahora bien, este Tribunal ha dicho que </w:t>
      </w:r>
    </w:p>
    <w:p w:rsidR="00061823" w:rsidRPr="00061823" w:rsidRDefault="00061823" w:rsidP="00061823">
      <w:pPr>
        <w:pStyle w:val="ListParagraph"/>
        <w:rPr>
          <w:rFonts w:ascii="Verdana" w:hAnsi="Verdana"/>
          <w:sz w:val="20"/>
          <w:szCs w:val="20"/>
          <w:lang w:val="es-ES_tradnl"/>
        </w:rPr>
      </w:pPr>
    </w:p>
    <w:p w:rsidR="00B567A2" w:rsidRPr="00061823" w:rsidRDefault="00443776" w:rsidP="00061823">
      <w:pPr>
        <w:pStyle w:val="ListParagraph"/>
        <w:autoSpaceDE w:val="0"/>
        <w:autoSpaceDN w:val="0"/>
        <w:adjustRightInd w:val="0"/>
        <w:ind w:left="567" w:right="585"/>
        <w:jc w:val="both"/>
        <w:rPr>
          <w:rFonts w:ascii="Verdana" w:hAnsi="Verdana"/>
          <w:sz w:val="16"/>
          <w:szCs w:val="16"/>
          <w:lang w:val="es-ES_tradnl"/>
        </w:rPr>
      </w:pPr>
      <w:proofErr w:type="gramStart"/>
      <w:r>
        <w:rPr>
          <w:rFonts w:ascii="Verdana" w:hAnsi="Verdana" w:cs="Verdana"/>
          <w:sz w:val="16"/>
          <w:szCs w:val="16"/>
          <w:lang w:val="es-CR"/>
        </w:rPr>
        <w:t>no</w:t>
      </w:r>
      <w:proofErr w:type="gramEnd"/>
      <w:r>
        <w:rPr>
          <w:rFonts w:ascii="Verdana" w:hAnsi="Verdana" w:cs="Verdana"/>
          <w:sz w:val="16"/>
          <w:szCs w:val="16"/>
          <w:lang w:val="es-CR"/>
        </w:rPr>
        <w:t xml:space="preserve"> debe entenderse […</w:t>
      </w:r>
      <w:r w:rsidR="00C13D97" w:rsidRPr="00061823">
        <w:rPr>
          <w:rFonts w:ascii="Verdana" w:hAnsi="Verdana" w:cs="Verdana"/>
          <w:sz w:val="16"/>
          <w:szCs w:val="16"/>
          <w:lang w:val="es-CR"/>
        </w:rPr>
        <w:t>]</w:t>
      </w:r>
      <w:r w:rsidR="00AF6EE1">
        <w:rPr>
          <w:rFonts w:ascii="Verdana" w:hAnsi="Verdana" w:cs="Verdana"/>
          <w:sz w:val="16"/>
          <w:szCs w:val="16"/>
          <w:lang w:val="es-CR"/>
        </w:rPr>
        <w:t xml:space="preserve"> </w:t>
      </w:r>
      <w:r w:rsidR="00C13D97" w:rsidRPr="00061823">
        <w:rPr>
          <w:rFonts w:ascii="Verdana" w:hAnsi="Verdana" w:cs="Verdana"/>
          <w:sz w:val="16"/>
          <w:szCs w:val="16"/>
          <w:lang w:val="es-CR"/>
        </w:rPr>
        <w:t>que en cualquier caso o asunto la mera existencia de un mecanismo interno de protección, o de recursos judiciales que pudieran ser idóneos, derive en la improcedencia de la actuación de este Tribunal. Ello debe ser examinado en cada caso o asunto, teniendo en cuenta las circunstancias particulares del riesgo que pudiera existir y el grado de efectividad, en relación con el mismo, de la inter</w:t>
      </w:r>
      <w:r w:rsidR="00E860FB">
        <w:rPr>
          <w:rFonts w:ascii="Verdana" w:hAnsi="Verdana" w:cs="Verdana"/>
          <w:sz w:val="16"/>
          <w:szCs w:val="16"/>
          <w:lang w:val="es-CR"/>
        </w:rPr>
        <w:t>vención de autoridades internas</w:t>
      </w:r>
      <w:r w:rsidR="00061823">
        <w:rPr>
          <w:rStyle w:val="FootnoteReference"/>
          <w:rFonts w:cs="Verdana"/>
          <w:szCs w:val="16"/>
          <w:lang w:val="es-CR"/>
        </w:rPr>
        <w:footnoteReference w:id="32"/>
      </w:r>
      <w:r w:rsidR="00C13D97" w:rsidRPr="00061823">
        <w:rPr>
          <w:rFonts w:ascii="Verdana" w:hAnsi="Verdana" w:cs="Verdana"/>
          <w:sz w:val="16"/>
          <w:szCs w:val="16"/>
          <w:lang w:val="es-CR"/>
        </w:rPr>
        <w:t>.</w:t>
      </w:r>
    </w:p>
    <w:p w:rsidR="00C13D97" w:rsidRPr="00E50988" w:rsidRDefault="00C13D97" w:rsidP="00E50988">
      <w:pPr>
        <w:pStyle w:val="ListParagraph"/>
        <w:tabs>
          <w:tab w:val="left" w:pos="0"/>
        </w:tabs>
        <w:autoSpaceDE w:val="0"/>
        <w:autoSpaceDN w:val="0"/>
        <w:adjustRightInd w:val="0"/>
        <w:ind w:left="0"/>
        <w:jc w:val="both"/>
        <w:rPr>
          <w:rFonts w:ascii="Verdana" w:hAnsi="Verdana"/>
          <w:sz w:val="20"/>
          <w:szCs w:val="20"/>
          <w:lang w:val="es-ES_tradnl"/>
        </w:rPr>
      </w:pPr>
    </w:p>
    <w:p w:rsidR="00C71B52" w:rsidRDefault="00C71B52" w:rsidP="00E50988">
      <w:pPr>
        <w:pStyle w:val="ListParagraph"/>
        <w:numPr>
          <w:ilvl w:val="0"/>
          <w:numId w:val="72"/>
        </w:numPr>
        <w:tabs>
          <w:tab w:val="left" w:pos="0"/>
        </w:tabs>
        <w:autoSpaceDE w:val="0"/>
        <w:autoSpaceDN w:val="0"/>
        <w:adjustRightInd w:val="0"/>
        <w:ind w:left="0" w:firstLine="0"/>
        <w:jc w:val="both"/>
        <w:rPr>
          <w:rFonts w:ascii="Verdana" w:hAnsi="Verdana"/>
          <w:sz w:val="20"/>
          <w:szCs w:val="20"/>
          <w:lang w:val="es-ES_tradnl"/>
        </w:rPr>
      </w:pPr>
      <w:r>
        <w:rPr>
          <w:rFonts w:ascii="Verdana" w:hAnsi="Verdana"/>
          <w:sz w:val="20"/>
          <w:szCs w:val="20"/>
          <w:lang w:val="es-ES_tradnl"/>
        </w:rPr>
        <w:t>En ese sentido, la Corte advierte que aunque no ha recibido información en un tiempo mayor a dos años sobre nuevos hechos contra las personas beneficiarias, en reiteradas oportunidades el riesgo de las señoras Naranjo y Mosquera fue calificado de “extraordinario” por las autoridades internas pertinentes. No surge de la información y observaciones brinda</w:t>
      </w:r>
      <w:r w:rsidR="00E64ECC">
        <w:rPr>
          <w:rFonts w:ascii="Verdana" w:hAnsi="Verdana"/>
          <w:sz w:val="20"/>
          <w:szCs w:val="20"/>
          <w:lang w:val="es-ES_tradnl"/>
        </w:rPr>
        <w:t>das</w:t>
      </w:r>
      <w:r>
        <w:rPr>
          <w:rFonts w:ascii="Verdana" w:hAnsi="Verdana"/>
          <w:sz w:val="20"/>
          <w:szCs w:val="20"/>
          <w:lang w:val="es-ES_tradnl"/>
        </w:rPr>
        <w:t xml:space="preserve"> a este Tribunal que tal situación de riesgo haya variado, y el Estado ha indicado que no se ha realizado una “reevaluación del riesgo”</w:t>
      </w:r>
      <w:r w:rsidR="00E64ECC">
        <w:rPr>
          <w:rFonts w:ascii="Verdana" w:hAnsi="Verdana"/>
          <w:sz w:val="20"/>
          <w:szCs w:val="20"/>
          <w:lang w:val="es-ES_tradnl"/>
        </w:rPr>
        <w:t xml:space="preserve"> que permita determinarlo. Asimismo, en ausencia de tal “reevaluación”</w:t>
      </w:r>
      <w:r w:rsidR="003C1852">
        <w:rPr>
          <w:rFonts w:ascii="Verdana" w:hAnsi="Verdana"/>
          <w:sz w:val="20"/>
          <w:szCs w:val="20"/>
          <w:lang w:val="es-ES_tradnl"/>
        </w:rPr>
        <w:t>,</w:t>
      </w:r>
      <w:r w:rsidR="00E64ECC">
        <w:rPr>
          <w:rFonts w:ascii="Verdana" w:hAnsi="Verdana"/>
          <w:sz w:val="20"/>
          <w:szCs w:val="20"/>
          <w:lang w:val="es-ES_tradnl"/>
        </w:rPr>
        <w:t xml:space="preserve"> o de otra información relevante al efecto, </w:t>
      </w:r>
      <w:r w:rsidR="00443776">
        <w:rPr>
          <w:rFonts w:ascii="Verdana" w:hAnsi="Verdana"/>
          <w:sz w:val="20"/>
          <w:szCs w:val="20"/>
          <w:lang w:val="es-ES_tradnl"/>
        </w:rPr>
        <w:t xml:space="preserve">este Tribunal </w:t>
      </w:r>
      <w:r w:rsidR="00E64ECC">
        <w:rPr>
          <w:rFonts w:ascii="Verdana" w:hAnsi="Verdana"/>
          <w:sz w:val="20"/>
          <w:szCs w:val="20"/>
          <w:lang w:val="es-ES_tradnl"/>
        </w:rPr>
        <w:t>no cuenta con información suficiente que pudiera permitirle concluir que los mecanismos internos de protección podrían, en ausencia de una orden de esta Corte, continuar siendo efectivos, si ello fuera procedente, para la protección de personas actualmente beneficiarias. Lo señalado lleva a este Tribunal a concluir que resulta procedente requerir información más precisa al Estado (</w:t>
      </w:r>
      <w:r w:rsidR="00E64ECC" w:rsidRPr="00E64ECC">
        <w:rPr>
          <w:rFonts w:ascii="Verdana" w:hAnsi="Verdana"/>
          <w:i/>
          <w:sz w:val="20"/>
          <w:szCs w:val="20"/>
          <w:lang w:val="es-ES_tradnl"/>
        </w:rPr>
        <w:t>infra</w:t>
      </w:r>
      <w:r w:rsidR="00E64ECC">
        <w:rPr>
          <w:rFonts w:ascii="Verdana" w:hAnsi="Verdana"/>
          <w:sz w:val="20"/>
          <w:szCs w:val="20"/>
          <w:lang w:val="es-ES_tradnl"/>
        </w:rPr>
        <w:t xml:space="preserve"> Considerando </w:t>
      </w:r>
      <w:r w:rsidR="00C10568">
        <w:rPr>
          <w:rFonts w:ascii="Verdana" w:hAnsi="Verdana"/>
          <w:sz w:val="20"/>
          <w:szCs w:val="20"/>
          <w:lang w:val="es-ES_tradnl"/>
        </w:rPr>
        <w:t>76</w:t>
      </w:r>
      <w:r w:rsidR="00E64ECC">
        <w:rPr>
          <w:rFonts w:ascii="Verdana" w:hAnsi="Verdana"/>
          <w:sz w:val="20"/>
          <w:szCs w:val="20"/>
          <w:lang w:val="es-ES_tradnl"/>
        </w:rPr>
        <w:t xml:space="preserve">) y </w:t>
      </w:r>
      <w:r w:rsidR="00E64ECC" w:rsidRPr="00E64ECC">
        <w:rPr>
          <w:rFonts w:ascii="Verdana" w:hAnsi="Verdana"/>
          <w:sz w:val="20"/>
          <w:szCs w:val="20"/>
          <w:lang w:val="es-ES_tradnl"/>
        </w:rPr>
        <w:t>mantener</w:t>
      </w:r>
      <w:r w:rsidR="00E64ECC">
        <w:rPr>
          <w:rFonts w:ascii="Verdana" w:hAnsi="Verdana"/>
          <w:sz w:val="20"/>
          <w:szCs w:val="20"/>
          <w:lang w:val="es-ES_tradnl"/>
        </w:rPr>
        <w:t xml:space="preserve"> la vigencia de las medidas provisionales ordenadas. </w:t>
      </w:r>
    </w:p>
    <w:p w:rsidR="00C71B52" w:rsidRDefault="00C71B52" w:rsidP="00B87639">
      <w:pPr>
        <w:pStyle w:val="ListParagraph"/>
        <w:tabs>
          <w:tab w:val="left" w:pos="0"/>
        </w:tabs>
        <w:autoSpaceDE w:val="0"/>
        <w:autoSpaceDN w:val="0"/>
        <w:adjustRightInd w:val="0"/>
        <w:ind w:left="0"/>
        <w:jc w:val="both"/>
        <w:rPr>
          <w:rFonts w:ascii="Verdana" w:hAnsi="Verdana"/>
          <w:sz w:val="20"/>
          <w:szCs w:val="20"/>
          <w:lang w:val="es-ES_tradnl"/>
        </w:rPr>
      </w:pPr>
    </w:p>
    <w:p w:rsidR="001F615B" w:rsidRPr="00B87639" w:rsidRDefault="00E64ECC" w:rsidP="00B87639">
      <w:pPr>
        <w:pStyle w:val="ListParagraph"/>
        <w:numPr>
          <w:ilvl w:val="0"/>
          <w:numId w:val="72"/>
        </w:numPr>
        <w:tabs>
          <w:tab w:val="left" w:pos="0"/>
        </w:tabs>
        <w:autoSpaceDE w:val="0"/>
        <w:autoSpaceDN w:val="0"/>
        <w:adjustRightInd w:val="0"/>
        <w:ind w:left="0" w:firstLine="0"/>
        <w:jc w:val="both"/>
        <w:rPr>
          <w:lang w:val="es-CR"/>
        </w:rPr>
      </w:pPr>
      <w:r>
        <w:rPr>
          <w:rFonts w:ascii="Verdana" w:hAnsi="Verdana"/>
          <w:sz w:val="20"/>
          <w:szCs w:val="20"/>
          <w:lang w:val="es-ES_tradnl"/>
        </w:rPr>
        <w:t>De modo adicional, en cuanto a la implementación de las medidas, debe señalarse que</w:t>
      </w:r>
      <w:r w:rsidR="00C13D97">
        <w:rPr>
          <w:rFonts w:ascii="Verdana" w:hAnsi="Verdana"/>
          <w:sz w:val="20"/>
          <w:szCs w:val="20"/>
          <w:lang w:val="es-ES_tradnl"/>
        </w:rPr>
        <w:t xml:space="preserve"> no todas las medidas adoptadas a partir de las evaluaciones de riesgo </w:t>
      </w:r>
      <w:r w:rsidR="003F481C">
        <w:rPr>
          <w:rFonts w:ascii="Verdana" w:hAnsi="Verdana"/>
          <w:sz w:val="20"/>
          <w:szCs w:val="20"/>
          <w:lang w:val="es-ES_tradnl"/>
        </w:rPr>
        <w:t xml:space="preserve">han evidenciado ser plenamente efectivas. </w:t>
      </w:r>
      <w:r w:rsidR="00061823">
        <w:rPr>
          <w:rFonts w:ascii="Verdana" w:hAnsi="Verdana"/>
          <w:sz w:val="20"/>
          <w:szCs w:val="20"/>
          <w:lang w:val="es-ES_tradnl"/>
        </w:rPr>
        <w:t>En ese sentido, l</w:t>
      </w:r>
      <w:r w:rsidR="003F481C">
        <w:rPr>
          <w:rFonts w:ascii="Verdana" w:hAnsi="Verdana"/>
          <w:sz w:val="20"/>
          <w:szCs w:val="20"/>
          <w:lang w:val="es-ES_tradnl"/>
        </w:rPr>
        <w:t>a Corte nota que el propio Estado ha mencionado que las beneficiarias consideraban que la asignación de escoltas las hacían muy visibles, y también que las representantes explicaron que no eran útiles los chalecos antibalas (</w:t>
      </w:r>
      <w:r w:rsidR="003F481C">
        <w:rPr>
          <w:rFonts w:ascii="Verdana" w:hAnsi="Verdana"/>
          <w:i/>
          <w:sz w:val="20"/>
          <w:szCs w:val="20"/>
          <w:lang w:val="es-ES_tradnl"/>
        </w:rPr>
        <w:t>supra</w:t>
      </w:r>
      <w:r w:rsidR="00EF3A96">
        <w:rPr>
          <w:rFonts w:ascii="Verdana" w:hAnsi="Verdana"/>
          <w:sz w:val="20"/>
          <w:szCs w:val="20"/>
          <w:lang w:val="es-ES_tradnl"/>
        </w:rPr>
        <w:t xml:space="preserve"> Considerados</w:t>
      </w:r>
      <w:r w:rsidR="002E08FD">
        <w:rPr>
          <w:rFonts w:ascii="Verdana" w:hAnsi="Verdana"/>
          <w:sz w:val="20"/>
          <w:szCs w:val="20"/>
          <w:lang w:val="es-ES_tradnl"/>
        </w:rPr>
        <w:t xml:space="preserve"> 43 y</w:t>
      </w:r>
      <w:r w:rsidR="003F481C">
        <w:rPr>
          <w:rFonts w:ascii="Verdana" w:hAnsi="Verdana"/>
          <w:sz w:val="20"/>
          <w:szCs w:val="20"/>
          <w:lang w:val="es-ES_tradnl"/>
        </w:rPr>
        <w:t xml:space="preserve"> </w:t>
      </w:r>
      <w:r w:rsidR="00EF3A96">
        <w:rPr>
          <w:rFonts w:ascii="Verdana" w:hAnsi="Verdana"/>
          <w:sz w:val="20"/>
          <w:szCs w:val="20"/>
          <w:lang w:val="es-ES_tradnl"/>
        </w:rPr>
        <w:t>49</w:t>
      </w:r>
      <w:r w:rsidR="003F481C">
        <w:rPr>
          <w:rFonts w:ascii="Verdana" w:hAnsi="Verdana"/>
          <w:sz w:val="20"/>
          <w:szCs w:val="20"/>
          <w:lang w:val="es-ES_tradnl"/>
        </w:rPr>
        <w:t xml:space="preserve">). </w:t>
      </w:r>
      <w:r>
        <w:rPr>
          <w:rFonts w:ascii="Verdana" w:hAnsi="Verdana"/>
          <w:sz w:val="20"/>
          <w:szCs w:val="20"/>
          <w:lang w:val="es-ES_tradnl"/>
        </w:rPr>
        <w:t xml:space="preserve">Además, </w:t>
      </w:r>
      <w:r w:rsidR="00443776">
        <w:rPr>
          <w:rFonts w:ascii="Verdana" w:hAnsi="Verdana"/>
          <w:sz w:val="20"/>
          <w:szCs w:val="20"/>
          <w:lang w:val="es-ES_tradnl"/>
        </w:rPr>
        <w:t>este</w:t>
      </w:r>
      <w:r w:rsidR="003F481C">
        <w:rPr>
          <w:rFonts w:ascii="Verdana" w:hAnsi="Verdana"/>
          <w:sz w:val="20"/>
          <w:szCs w:val="20"/>
          <w:lang w:val="es-ES_tradnl"/>
        </w:rPr>
        <w:t xml:space="preserve"> Tribunal advierte que la información presentada muestra que</w:t>
      </w:r>
      <w:r w:rsidR="006573AE">
        <w:rPr>
          <w:rFonts w:ascii="Verdana" w:hAnsi="Verdana"/>
          <w:sz w:val="20"/>
          <w:szCs w:val="20"/>
          <w:lang w:val="es-ES_tradnl"/>
        </w:rPr>
        <w:t xml:space="preserve"> habría </w:t>
      </w:r>
      <w:r w:rsidR="003F481C">
        <w:rPr>
          <w:rFonts w:ascii="Verdana" w:hAnsi="Verdana"/>
          <w:sz w:val="20"/>
          <w:szCs w:val="20"/>
          <w:lang w:val="es-ES_tradnl"/>
        </w:rPr>
        <w:t>dificultades en relación con el funcionamiento de medios de comunicación (</w:t>
      </w:r>
      <w:r w:rsidR="003F481C">
        <w:rPr>
          <w:rFonts w:ascii="Verdana" w:hAnsi="Verdana"/>
          <w:i/>
          <w:sz w:val="20"/>
          <w:szCs w:val="20"/>
          <w:lang w:val="es-ES_tradnl"/>
        </w:rPr>
        <w:t>supra</w:t>
      </w:r>
      <w:r w:rsidR="002E08FD">
        <w:rPr>
          <w:rFonts w:ascii="Verdana" w:hAnsi="Verdana"/>
          <w:sz w:val="20"/>
          <w:szCs w:val="20"/>
          <w:lang w:val="es-ES_tradnl"/>
        </w:rPr>
        <w:t xml:space="preserve"> Considerando 51</w:t>
      </w:r>
      <w:r w:rsidR="003F481C">
        <w:rPr>
          <w:rFonts w:ascii="Verdana" w:hAnsi="Verdana"/>
          <w:sz w:val="20"/>
          <w:szCs w:val="20"/>
          <w:lang w:val="es-ES_tradnl"/>
        </w:rPr>
        <w:t>)</w:t>
      </w:r>
      <w:r w:rsidR="006573AE">
        <w:rPr>
          <w:rFonts w:ascii="Verdana" w:hAnsi="Verdana"/>
          <w:sz w:val="20"/>
          <w:szCs w:val="20"/>
          <w:lang w:val="es-ES_tradnl"/>
        </w:rPr>
        <w:t xml:space="preserve">. </w:t>
      </w:r>
      <w:r w:rsidR="001F615B">
        <w:rPr>
          <w:rFonts w:ascii="Verdana" w:hAnsi="Verdana"/>
          <w:sz w:val="20"/>
          <w:szCs w:val="20"/>
          <w:lang w:val="es-ES_tradnl"/>
        </w:rPr>
        <w:t xml:space="preserve">Por último, en relación con ciertas medidas, el Estado no ha presentado información suficiente. </w:t>
      </w:r>
      <w:r w:rsidR="001F615B" w:rsidRPr="001F615B">
        <w:rPr>
          <w:rFonts w:ascii="Verdana" w:hAnsi="Verdana"/>
          <w:sz w:val="20"/>
          <w:szCs w:val="20"/>
          <w:lang w:val="es-ES_tradnl"/>
        </w:rPr>
        <w:t xml:space="preserve">Así, no ha explicado que ocurrió con la evaluación sobre la procedencia de </w:t>
      </w:r>
      <w:r w:rsidR="00443776">
        <w:rPr>
          <w:rFonts w:ascii="Verdana" w:hAnsi="Verdana"/>
          <w:sz w:val="20"/>
          <w:szCs w:val="20"/>
          <w:lang w:val="es-ES_tradnl"/>
        </w:rPr>
        <w:t xml:space="preserve">las </w:t>
      </w:r>
      <w:r w:rsidR="001F615B" w:rsidRPr="001F615B">
        <w:rPr>
          <w:rFonts w:ascii="Verdana" w:hAnsi="Verdana"/>
          <w:sz w:val="20"/>
          <w:szCs w:val="20"/>
          <w:lang w:val="es-ES_tradnl"/>
        </w:rPr>
        <w:t>me</w:t>
      </w:r>
      <w:proofErr w:type="spellStart"/>
      <w:r w:rsidR="001F615B" w:rsidRPr="00B87639">
        <w:rPr>
          <w:rFonts w:ascii="Verdana" w:hAnsi="Verdana"/>
          <w:sz w:val="20"/>
          <w:szCs w:val="20"/>
          <w:lang w:val="es-CR"/>
        </w:rPr>
        <w:t>didas</w:t>
      </w:r>
      <w:proofErr w:type="spellEnd"/>
      <w:r w:rsidR="001F615B" w:rsidRPr="00B87639">
        <w:rPr>
          <w:rFonts w:ascii="Verdana" w:hAnsi="Verdana"/>
          <w:sz w:val="20"/>
          <w:szCs w:val="20"/>
          <w:lang w:val="es-CR"/>
        </w:rPr>
        <w:t xml:space="preserve"> de seguridad en la sede de la AMI</w:t>
      </w:r>
      <w:r w:rsidR="001F615B">
        <w:rPr>
          <w:rFonts w:ascii="Verdana" w:hAnsi="Verdana"/>
          <w:sz w:val="20"/>
          <w:szCs w:val="20"/>
          <w:lang w:val="es-CR"/>
        </w:rPr>
        <w:t xml:space="preserve"> (</w:t>
      </w:r>
      <w:r w:rsidR="001F615B">
        <w:rPr>
          <w:rFonts w:ascii="Verdana" w:hAnsi="Verdana"/>
          <w:i/>
          <w:sz w:val="20"/>
          <w:szCs w:val="20"/>
          <w:lang w:val="es-CR"/>
        </w:rPr>
        <w:t>supra</w:t>
      </w:r>
      <w:r w:rsidR="001F615B">
        <w:rPr>
          <w:rFonts w:ascii="Verdana" w:hAnsi="Verdana"/>
          <w:sz w:val="20"/>
          <w:szCs w:val="20"/>
          <w:lang w:val="es-CR"/>
        </w:rPr>
        <w:t xml:space="preserve"> Considerando </w:t>
      </w:r>
      <w:r w:rsidR="002E08FD">
        <w:rPr>
          <w:rFonts w:ascii="Verdana" w:hAnsi="Verdana"/>
          <w:sz w:val="20"/>
          <w:szCs w:val="20"/>
          <w:lang w:val="es-CR"/>
        </w:rPr>
        <w:t>25)</w:t>
      </w:r>
      <w:r w:rsidR="001F615B" w:rsidRPr="00B87639">
        <w:rPr>
          <w:rFonts w:ascii="Verdana" w:hAnsi="Verdana"/>
          <w:sz w:val="20"/>
          <w:szCs w:val="20"/>
          <w:lang w:val="es-CR"/>
        </w:rPr>
        <w:t xml:space="preserve">, y no detalló las características </w:t>
      </w:r>
      <w:r w:rsidR="00443776">
        <w:rPr>
          <w:rFonts w:ascii="Verdana" w:hAnsi="Verdana"/>
          <w:sz w:val="20"/>
          <w:szCs w:val="20"/>
          <w:lang w:val="es-CR"/>
        </w:rPr>
        <w:t>del “Frente de Seguridad Local”,</w:t>
      </w:r>
      <w:r w:rsidR="001F615B" w:rsidRPr="00B87639">
        <w:rPr>
          <w:rFonts w:ascii="Verdana" w:hAnsi="Verdana"/>
          <w:sz w:val="20"/>
          <w:szCs w:val="20"/>
          <w:lang w:val="es-CR"/>
        </w:rPr>
        <w:t xml:space="preserve"> en particular, no señaló si se trata de una medida general o de una acción relativa a las personas beneficiarias</w:t>
      </w:r>
      <w:r w:rsidR="001F615B">
        <w:rPr>
          <w:rFonts w:ascii="Verdana" w:hAnsi="Verdana"/>
          <w:sz w:val="20"/>
          <w:szCs w:val="20"/>
          <w:lang w:val="es-CR"/>
        </w:rPr>
        <w:t xml:space="preserve"> (</w:t>
      </w:r>
      <w:r w:rsidR="001F615B">
        <w:rPr>
          <w:rFonts w:ascii="Verdana" w:hAnsi="Verdana"/>
          <w:i/>
          <w:sz w:val="20"/>
          <w:szCs w:val="20"/>
          <w:lang w:val="es-CR"/>
        </w:rPr>
        <w:t>supra</w:t>
      </w:r>
      <w:r w:rsidR="001F615B">
        <w:rPr>
          <w:rFonts w:ascii="Verdana" w:hAnsi="Verdana"/>
          <w:sz w:val="20"/>
          <w:szCs w:val="20"/>
          <w:lang w:val="es-CR"/>
        </w:rPr>
        <w:t xml:space="preserve"> Considerando </w:t>
      </w:r>
      <w:r w:rsidR="002E08FD">
        <w:rPr>
          <w:rFonts w:ascii="Verdana" w:hAnsi="Verdana"/>
          <w:sz w:val="20"/>
          <w:szCs w:val="20"/>
          <w:lang w:val="es-CR"/>
        </w:rPr>
        <w:t>26</w:t>
      </w:r>
      <w:r w:rsidR="001F615B">
        <w:rPr>
          <w:rFonts w:ascii="Verdana" w:hAnsi="Verdana"/>
          <w:sz w:val="20"/>
          <w:szCs w:val="20"/>
          <w:lang w:val="es-CR"/>
        </w:rPr>
        <w:t>)</w:t>
      </w:r>
      <w:r w:rsidR="00443776">
        <w:rPr>
          <w:rFonts w:ascii="Verdana" w:hAnsi="Verdana"/>
          <w:sz w:val="20"/>
          <w:szCs w:val="20"/>
          <w:lang w:val="es-CR"/>
        </w:rPr>
        <w:t>.</w:t>
      </w:r>
      <w:r w:rsidR="001F615B" w:rsidRPr="00B87639">
        <w:rPr>
          <w:lang w:val="es-CR"/>
        </w:rPr>
        <w:t xml:space="preserve"> </w:t>
      </w:r>
    </w:p>
    <w:p w:rsidR="006573AE" w:rsidRDefault="006573AE" w:rsidP="00B87639">
      <w:pPr>
        <w:pStyle w:val="ListParagraph"/>
        <w:tabs>
          <w:tab w:val="left" w:pos="0"/>
        </w:tabs>
        <w:autoSpaceDE w:val="0"/>
        <w:autoSpaceDN w:val="0"/>
        <w:adjustRightInd w:val="0"/>
        <w:ind w:left="0"/>
        <w:jc w:val="both"/>
        <w:rPr>
          <w:rFonts w:ascii="Verdana" w:hAnsi="Verdana"/>
          <w:sz w:val="20"/>
          <w:szCs w:val="20"/>
          <w:lang w:val="es-ES_tradnl"/>
        </w:rPr>
      </w:pPr>
    </w:p>
    <w:p w:rsidR="00B567A2" w:rsidRDefault="006573AE" w:rsidP="00B87639">
      <w:pPr>
        <w:pStyle w:val="ListParagraph"/>
        <w:numPr>
          <w:ilvl w:val="0"/>
          <w:numId w:val="72"/>
        </w:numPr>
        <w:tabs>
          <w:tab w:val="left" w:pos="0"/>
        </w:tabs>
        <w:autoSpaceDE w:val="0"/>
        <w:autoSpaceDN w:val="0"/>
        <w:adjustRightInd w:val="0"/>
        <w:ind w:left="0" w:firstLine="0"/>
        <w:jc w:val="both"/>
        <w:rPr>
          <w:rFonts w:ascii="Verdana" w:hAnsi="Verdana"/>
          <w:sz w:val="20"/>
          <w:szCs w:val="20"/>
          <w:lang w:val="es-ES_tradnl"/>
        </w:rPr>
      </w:pPr>
      <w:r>
        <w:rPr>
          <w:rFonts w:ascii="Verdana" w:hAnsi="Verdana"/>
          <w:sz w:val="20"/>
          <w:szCs w:val="20"/>
          <w:lang w:val="es-ES_tradnl"/>
        </w:rPr>
        <w:lastRenderedPageBreak/>
        <w:t xml:space="preserve">En cuanto a la interlocución entre las personas beneficiarias o sus representantes y el Estado, </w:t>
      </w:r>
      <w:r w:rsidR="003F481C">
        <w:rPr>
          <w:rFonts w:ascii="Verdana" w:hAnsi="Verdana"/>
          <w:sz w:val="20"/>
          <w:szCs w:val="20"/>
          <w:lang w:val="es-ES_tradnl"/>
        </w:rPr>
        <w:t>a efectos de la concertación de las medidas</w:t>
      </w:r>
      <w:r>
        <w:rPr>
          <w:rFonts w:ascii="Verdana" w:hAnsi="Verdana"/>
          <w:sz w:val="20"/>
          <w:szCs w:val="20"/>
          <w:lang w:val="es-ES_tradnl"/>
        </w:rPr>
        <w:t>, la Corte valora que se hayan realizado distintas reuniones</w:t>
      </w:r>
      <w:r w:rsidRPr="002341F4">
        <w:rPr>
          <w:rStyle w:val="FootnoteReference"/>
          <w:sz w:val="20"/>
          <w:szCs w:val="20"/>
          <w:lang w:val="es-ES_tradnl"/>
        </w:rPr>
        <w:footnoteReference w:id="33"/>
      </w:r>
      <w:r w:rsidRPr="002341F4">
        <w:rPr>
          <w:rFonts w:ascii="Verdana" w:hAnsi="Verdana"/>
          <w:sz w:val="20"/>
          <w:szCs w:val="20"/>
          <w:lang w:val="es-ES_tradnl"/>
        </w:rPr>
        <w:t>,</w:t>
      </w:r>
      <w:r>
        <w:rPr>
          <w:rFonts w:ascii="Verdana" w:hAnsi="Verdana"/>
          <w:sz w:val="20"/>
          <w:szCs w:val="20"/>
          <w:lang w:val="es-ES_tradnl"/>
        </w:rPr>
        <w:t xml:space="preserve"> y destaca </w:t>
      </w:r>
      <w:r w:rsidR="00D36AD5">
        <w:rPr>
          <w:rFonts w:ascii="Verdana" w:hAnsi="Verdana"/>
          <w:sz w:val="20"/>
          <w:szCs w:val="20"/>
          <w:lang w:val="es-ES_tradnl"/>
        </w:rPr>
        <w:t xml:space="preserve">que </w:t>
      </w:r>
      <w:r w:rsidRPr="006573AE">
        <w:rPr>
          <w:rFonts w:ascii="Verdana" w:hAnsi="Verdana"/>
          <w:sz w:val="20"/>
          <w:szCs w:val="20"/>
          <w:lang w:val="es-ES_tradnl"/>
        </w:rPr>
        <w:t xml:space="preserve">Colombia haya reevaluado y revertido la determinación de quitar </w:t>
      </w:r>
      <w:r>
        <w:rPr>
          <w:rFonts w:ascii="Verdana" w:hAnsi="Verdana"/>
          <w:sz w:val="20"/>
          <w:szCs w:val="20"/>
          <w:lang w:val="es-ES_tradnl"/>
        </w:rPr>
        <w:t>una medida de protección (</w:t>
      </w:r>
      <w:r w:rsidRPr="006573AE">
        <w:rPr>
          <w:rFonts w:ascii="Verdana" w:hAnsi="Verdana"/>
          <w:sz w:val="20"/>
          <w:szCs w:val="20"/>
          <w:lang w:val="es-ES_tradnl"/>
        </w:rPr>
        <w:t>el puesto fijo de vigilancia</w:t>
      </w:r>
      <w:r>
        <w:rPr>
          <w:rFonts w:ascii="Verdana" w:hAnsi="Verdana"/>
          <w:sz w:val="20"/>
          <w:szCs w:val="20"/>
          <w:lang w:val="es-ES_tradnl"/>
        </w:rPr>
        <w:t>)</w:t>
      </w:r>
      <w:r w:rsidR="003F481C">
        <w:rPr>
          <w:rFonts w:ascii="Verdana" w:hAnsi="Verdana"/>
          <w:sz w:val="20"/>
          <w:szCs w:val="20"/>
          <w:lang w:val="es-ES_tradnl"/>
        </w:rPr>
        <w:t>.</w:t>
      </w:r>
      <w:r>
        <w:rPr>
          <w:rFonts w:ascii="Verdana" w:hAnsi="Verdana"/>
          <w:sz w:val="20"/>
          <w:szCs w:val="20"/>
          <w:lang w:val="es-ES_tradnl"/>
        </w:rPr>
        <w:t xml:space="preserve"> Sin que sea óbice a lo expresado, </w:t>
      </w:r>
      <w:r w:rsidR="00180872">
        <w:rPr>
          <w:rFonts w:ascii="Verdana" w:hAnsi="Verdana"/>
          <w:sz w:val="20"/>
          <w:szCs w:val="20"/>
          <w:lang w:val="es-ES_tradnl"/>
        </w:rPr>
        <w:t>la Corte nota también que las representantes han manifestado que hubo dificultades para lograr instancias de concertación, incluso respecto a pedidos urgentes</w:t>
      </w:r>
      <w:r w:rsidR="00180872" w:rsidRPr="002341F4">
        <w:rPr>
          <w:rStyle w:val="FootnoteReference"/>
          <w:sz w:val="20"/>
          <w:szCs w:val="20"/>
          <w:lang w:val="es-ES_tradnl"/>
        </w:rPr>
        <w:footnoteReference w:id="34"/>
      </w:r>
      <w:r w:rsidR="00180872" w:rsidRPr="002341F4">
        <w:rPr>
          <w:rFonts w:ascii="Verdana" w:hAnsi="Verdana"/>
          <w:sz w:val="20"/>
          <w:szCs w:val="20"/>
          <w:lang w:val="es-ES_tradnl"/>
        </w:rPr>
        <w:t xml:space="preserve">. </w:t>
      </w:r>
    </w:p>
    <w:p w:rsidR="00F30E56" w:rsidRPr="00E50988" w:rsidRDefault="00F30E56" w:rsidP="00E50988">
      <w:pPr>
        <w:pStyle w:val="ListParagraph"/>
        <w:ind w:left="0"/>
        <w:rPr>
          <w:rFonts w:ascii="Verdana" w:hAnsi="Verdana"/>
          <w:sz w:val="20"/>
          <w:szCs w:val="20"/>
          <w:lang w:val="es-ES_tradnl"/>
        </w:rPr>
      </w:pPr>
    </w:p>
    <w:p w:rsidR="001F615B" w:rsidRPr="00B87639" w:rsidRDefault="001F615B" w:rsidP="00B87639">
      <w:pPr>
        <w:pStyle w:val="ListParagraph"/>
        <w:numPr>
          <w:ilvl w:val="0"/>
          <w:numId w:val="72"/>
        </w:numPr>
        <w:tabs>
          <w:tab w:val="left" w:pos="0"/>
        </w:tabs>
        <w:autoSpaceDE w:val="0"/>
        <w:autoSpaceDN w:val="0"/>
        <w:adjustRightInd w:val="0"/>
        <w:ind w:left="0" w:firstLine="0"/>
        <w:jc w:val="both"/>
        <w:rPr>
          <w:rFonts w:ascii="Verdana" w:hAnsi="Verdana"/>
          <w:b/>
          <w:sz w:val="20"/>
          <w:szCs w:val="20"/>
          <w:lang w:val="es-ES_tradnl"/>
        </w:rPr>
      </w:pPr>
      <w:r>
        <w:rPr>
          <w:rFonts w:ascii="Verdana" w:hAnsi="Verdana"/>
          <w:sz w:val="20"/>
          <w:szCs w:val="20"/>
          <w:lang w:val="es-ES_tradnl"/>
        </w:rPr>
        <w:t>Considerando todo lo expuesto, la Corte decide que corresponde mantener la vigencia de las medidas provisionales ordenadas</w:t>
      </w:r>
      <w:r w:rsidR="00EB5931">
        <w:rPr>
          <w:rFonts w:ascii="Verdana" w:hAnsi="Verdana"/>
          <w:sz w:val="20"/>
          <w:szCs w:val="20"/>
          <w:lang w:val="es-ES_tradnl"/>
        </w:rPr>
        <w:t xml:space="preserve"> a favor de todos los beneficiarios (Visto 1)</w:t>
      </w:r>
      <w:r>
        <w:rPr>
          <w:rFonts w:ascii="Verdana" w:hAnsi="Verdana"/>
          <w:sz w:val="20"/>
          <w:szCs w:val="20"/>
          <w:lang w:val="es-ES_tradnl"/>
        </w:rPr>
        <w:t>, y solicitar al Estado que presente, teniendo en cuenta lo expresado en los</w:t>
      </w:r>
      <w:r w:rsidR="002341F4">
        <w:rPr>
          <w:rFonts w:ascii="Verdana" w:hAnsi="Verdana"/>
          <w:sz w:val="20"/>
          <w:szCs w:val="20"/>
          <w:lang w:val="es-ES_tradnl"/>
        </w:rPr>
        <w:t xml:space="preserve"> últimos</w:t>
      </w:r>
      <w:r>
        <w:rPr>
          <w:rFonts w:ascii="Verdana" w:hAnsi="Verdana"/>
          <w:sz w:val="20"/>
          <w:szCs w:val="20"/>
          <w:lang w:val="es-ES_tradnl"/>
        </w:rPr>
        <w:t xml:space="preserve"> tres Considerandos anteriores</w:t>
      </w:r>
      <w:r w:rsidRPr="00EB5931">
        <w:rPr>
          <w:rFonts w:ascii="Verdana" w:hAnsi="Verdana"/>
          <w:sz w:val="20"/>
          <w:szCs w:val="20"/>
          <w:lang w:val="es-ES_tradnl"/>
        </w:rPr>
        <w:t>, información</w:t>
      </w:r>
      <w:r>
        <w:rPr>
          <w:rFonts w:ascii="Verdana" w:hAnsi="Verdana"/>
          <w:sz w:val="20"/>
          <w:szCs w:val="20"/>
          <w:lang w:val="es-ES_tradnl"/>
        </w:rPr>
        <w:t xml:space="preserve"> y consideraciones específicas sobre: a) la situación actual de cada una de las personas beneficiarias en cuanto al riesgo que estarían padeciendo y a la necesidad de medidas de protección; b) </w:t>
      </w:r>
      <w:r>
        <w:rPr>
          <w:rFonts w:ascii="Verdana" w:hAnsi="Verdana"/>
          <w:sz w:val="20"/>
          <w:szCs w:val="20"/>
          <w:lang w:val="es-ES"/>
        </w:rPr>
        <w:t xml:space="preserve">la capacidad de </w:t>
      </w:r>
      <w:r w:rsidRPr="00B87639">
        <w:rPr>
          <w:rFonts w:ascii="Verdana" w:hAnsi="Verdana"/>
          <w:sz w:val="20"/>
          <w:szCs w:val="20"/>
          <w:lang w:val="es-ES_tradnl"/>
        </w:rPr>
        <w:t xml:space="preserve">los mecanismos internos de protección </w:t>
      </w:r>
      <w:r>
        <w:rPr>
          <w:rFonts w:ascii="Verdana" w:hAnsi="Verdana"/>
          <w:sz w:val="20"/>
          <w:szCs w:val="20"/>
          <w:lang w:val="es-ES_tradnl"/>
        </w:rPr>
        <w:t>para</w:t>
      </w:r>
      <w:r w:rsidRPr="00B87639">
        <w:rPr>
          <w:rFonts w:ascii="Verdana" w:hAnsi="Verdana"/>
          <w:sz w:val="20"/>
          <w:szCs w:val="20"/>
          <w:lang w:val="es-ES_tradnl"/>
        </w:rPr>
        <w:t>, en ausencia de una orden de esta Corte, continuar siendo efectivos, si ello fuera procedente, para la protección de personas actua</w:t>
      </w:r>
      <w:r>
        <w:rPr>
          <w:rFonts w:ascii="Verdana" w:hAnsi="Verdana"/>
          <w:sz w:val="20"/>
          <w:szCs w:val="20"/>
          <w:lang w:val="es-ES_tradnl"/>
        </w:rPr>
        <w:t xml:space="preserve">lmente beneficiarias; c) la implementación actual de las medidas provisionales, y d) </w:t>
      </w:r>
      <w:r w:rsidR="00BD61EC">
        <w:rPr>
          <w:rFonts w:ascii="Verdana" w:hAnsi="Verdana"/>
          <w:sz w:val="20"/>
          <w:szCs w:val="20"/>
          <w:lang w:val="es-ES_tradnl"/>
        </w:rPr>
        <w:t xml:space="preserve">la interlocución que mantiene con las personas beneficiarias o sus representantes, a efectos de la concertación de dichas medidas. A su vez, corresponde que las representantes, así como la Comisión Interamericana, presenten observaciones al informe estatal solicitado. </w:t>
      </w:r>
    </w:p>
    <w:p w:rsidR="00D36AD5" w:rsidRDefault="00D36AD5" w:rsidP="00BD3334">
      <w:pPr>
        <w:ind w:right="-90"/>
        <w:jc w:val="both"/>
        <w:rPr>
          <w:rFonts w:ascii="Verdana" w:hAnsi="Verdana"/>
          <w:b/>
          <w:sz w:val="20"/>
          <w:szCs w:val="20"/>
          <w:lang w:val="es-ES_tradnl"/>
        </w:rPr>
      </w:pPr>
    </w:p>
    <w:p w:rsidR="00A946CF" w:rsidRDefault="00A946CF" w:rsidP="00BD3334">
      <w:pPr>
        <w:ind w:right="-90"/>
        <w:jc w:val="both"/>
        <w:rPr>
          <w:rFonts w:ascii="Verdana" w:hAnsi="Verdana"/>
          <w:b/>
          <w:sz w:val="20"/>
          <w:szCs w:val="20"/>
          <w:lang w:val="es-ES_tradnl"/>
        </w:rPr>
      </w:pPr>
    </w:p>
    <w:p w:rsidR="00634C6F" w:rsidRDefault="00634C6F" w:rsidP="00BD3334">
      <w:pPr>
        <w:ind w:right="-90"/>
        <w:jc w:val="both"/>
        <w:rPr>
          <w:rFonts w:ascii="Verdana" w:hAnsi="Verdana"/>
          <w:b/>
          <w:sz w:val="20"/>
          <w:szCs w:val="20"/>
          <w:lang w:val="es-ES_tradnl"/>
        </w:rPr>
      </w:pPr>
      <w:r w:rsidRPr="00BE210A">
        <w:rPr>
          <w:rFonts w:ascii="Verdana" w:hAnsi="Verdana"/>
          <w:b/>
          <w:sz w:val="20"/>
          <w:szCs w:val="20"/>
          <w:lang w:val="es-ES_tradnl"/>
        </w:rPr>
        <w:t xml:space="preserve">POR TANTO: </w:t>
      </w:r>
    </w:p>
    <w:p w:rsidR="00D36AD5" w:rsidRPr="00BE210A" w:rsidRDefault="00D36AD5" w:rsidP="00BD3334">
      <w:pPr>
        <w:ind w:right="-90"/>
        <w:jc w:val="both"/>
        <w:rPr>
          <w:rFonts w:ascii="Verdana" w:hAnsi="Verdana"/>
          <w:b/>
          <w:sz w:val="20"/>
          <w:szCs w:val="20"/>
          <w:lang w:val="es-ES_tradnl"/>
        </w:rPr>
      </w:pPr>
    </w:p>
    <w:p w:rsidR="00B87639" w:rsidRPr="00BE210A" w:rsidRDefault="00B87639" w:rsidP="00BD3334">
      <w:pPr>
        <w:ind w:right="-90"/>
        <w:jc w:val="both"/>
        <w:rPr>
          <w:rFonts w:ascii="Verdana" w:hAnsi="Verdana"/>
          <w:b/>
          <w:sz w:val="20"/>
          <w:szCs w:val="20"/>
          <w:lang w:val="es-ES_tradnl"/>
        </w:rPr>
      </w:pPr>
    </w:p>
    <w:p w:rsidR="00634C6F" w:rsidRPr="00BE210A" w:rsidRDefault="00634C6F" w:rsidP="00BD3334">
      <w:pPr>
        <w:ind w:right="-90"/>
        <w:jc w:val="both"/>
        <w:rPr>
          <w:rFonts w:ascii="Verdana" w:hAnsi="Verdana"/>
          <w:b/>
          <w:sz w:val="20"/>
          <w:szCs w:val="20"/>
          <w:lang w:val="es-ES_tradnl"/>
        </w:rPr>
      </w:pPr>
      <w:r w:rsidRPr="00BE210A">
        <w:rPr>
          <w:rFonts w:ascii="Verdana" w:hAnsi="Verdana"/>
          <w:b/>
          <w:sz w:val="20"/>
          <w:szCs w:val="20"/>
          <w:lang w:val="es-ES_tradnl"/>
        </w:rPr>
        <w:t xml:space="preserve">LA CORTE INTERAMERICANA DE DERECHOS HUMANOS, </w:t>
      </w:r>
    </w:p>
    <w:p w:rsidR="00634C6F" w:rsidRDefault="00634C6F" w:rsidP="00BD3334">
      <w:pPr>
        <w:ind w:right="-90"/>
        <w:jc w:val="both"/>
        <w:rPr>
          <w:rFonts w:ascii="Verdana" w:hAnsi="Verdana"/>
          <w:b/>
          <w:smallCaps/>
          <w:sz w:val="20"/>
          <w:szCs w:val="20"/>
          <w:lang w:val="es-CR"/>
        </w:rPr>
      </w:pPr>
    </w:p>
    <w:p w:rsidR="00717226" w:rsidRPr="00BE210A" w:rsidRDefault="00717226" w:rsidP="00BD3334">
      <w:pPr>
        <w:ind w:right="-90"/>
        <w:jc w:val="both"/>
        <w:rPr>
          <w:rFonts w:ascii="Verdana" w:hAnsi="Verdana"/>
          <w:b/>
          <w:smallCaps/>
          <w:sz w:val="20"/>
          <w:szCs w:val="20"/>
          <w:lang w:val="es-CR"/>
        </w:rPr>
      </w:pPr>
    </w:p>
    <w:p w:rsidR="00634C6F" w:rsidRPr="00BE210A" w:rsidRDefault="00634C6F" w:rsidP="00BD3334">
      <w:pPr>
        <w:widowControl w:val="0"/>
        <w:tabs>
          <w:tab w:val="left" w:pos="560"/>
          <w:tab w:val="left" w:pos="1120"/>
          <w:tab w:val="left" w:pos="155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0"/>
        <w:jc w:val="both"/>
        <w:rPr>
          <w:rFonts w:ascii="Verdana" w:hAnsi="Verdana" w:cs="Verdana"/>
          <w:sz w:val="20"/>
          <w:szCs w:val="20"/>
          <w:lang w:val="es-ES_tradnl" w:bidi="en-US"/>
        </w:rPr>
      </w:pPr>
      <w:r w:rsidRPr="00BE210A">
        <w:rPr>
          <w:rFonts w:ascii="Verdana" w:hAnsi="Verdana" w:cs="Verdana"/>
          <w:sz w:val="20"/>
          <w:szCs w:val="20"/>
          <w:lang w:val="es-ES_tradnl" w:bidi="en-US"/>
        </w:rPr>
        <w:t>en uso de las atribuciones que le confieren los artículos 63.2 de la Convención Americana sobre Derechos Humanos y 2</w:t>
      </w:r>
      <w:r w:rsidRPr="00BE210A" w:rsidDel="00012BD6">
        <w:rPr>
          <w:rFonts w:ascii="Verdana" w:hAnsi="Verdana" w:cs="Verdana"/>
          <w:sz w:val="20"/>
          <w:szCs w:val="20"/>
          <w:lang w:val="es-ES_tradnl" w:bidi="en-US"/>
        </w:rPr>
        <w:t>7</w:t>
      </w:r>
      <w:r w:rsidRPr="00BE210A">
        <w:rPr>
          <w:rFonts w:ascii="Verdana" w:hAnsi="Verdana" w:cs="Verdana"/>
          <w:sz w:val="20"/>
          <w:szCs w:val="20"/>
          <w:lang w:val="es-ES_tradnl" w:bidi="en-US"/>
        </w:rPr>
        <w:t xml:space="preserve"> y 31 del Reglamento,</w:t>
      </w:r>
    </w:p>
    <w:p w:rsidR="00717226" w:rsidRPr="00BE210A" w:rsidRDefault="00717226" w:rsidP="00BD3334">
      <w:pPr>
        <w:ind w:right="-90"/>
        <w:jc w:val="both"/>
        <w:rPr>
          <w:rFonts w:ascii="Verdana" w:hAnsi="Verdana"/>
          <w:b/>
          <w:sz w:val="20"/>
          <w:szCs w:val="20"/>
          <w:lang w:val="es-CR"/>
        </w:rPr>
      </w:pPr>
    </w:p>
    <w:p w:rsidR="002F609E" w:rsidRPr="00BE210A" w:rsidRDefault="00634C6F" w:rsidP="00BD3334">
      <w:pPr>
        <w:pStyle w:val="Heading1"/>
        <w:spacing w:before="0"/>
        <w:ind w:right="-90"/>
        <w:rPr>
          <w:rFonts w:ascii="Verdana" w:hAnsi="Verdana"/>
          <w:color w:val="auto"/>
          <w:sz w:val="20"/>
          <w:szCs w:val="20"/>
          <w:lang w:val="es-CR"/>
        </w:rPr>
      </w:pPr>
      <w:r w:rsidRPr="00BE210A">
        <w:rPr>
          <w:rFonts w:ascii="Verdana" w:hAnsi="Verdana"/>
          <w:color w:val="auto"/>
          <w:sz w:val="20"/>
          <w:szCs w:val="20"/>
          <w:lang w:val="es-ES_tradnl"/>
        </w:rPr>
        <w:t>RESUELVE:</w:t>
      </w:r>
    </w:p>
    <w:p w:rsidR="00B87639" w:rsidRPr="00BE210A" w:rsidRDefault="00B87639" w:rsidP="00BD3334">
      <w:pPr>
        <w:ind w:right="-90"/>
        <w:jc w:val="both"/>
        <w:rPr>
          <w:rFonts w:ascii="Verdana" w:hAnsi="Verdana"/>
          <w:sz w:val="20"/>
          <w:szCs w:val="20"/>
          <w:lang w:val="es-CR"/>
        </w:rPr>
      </w:pPr>
    </w:p>
    <w:p w:rsidR="00524E99" w:rsidRPr="00E50988" w:rsidRDefault="00524E99" w:rsidP="00E50988">
      <w:pPr>
        <w:numPr>
          <w:ilvl w:val="0"/>
          <w:numId w:val="71"/>
        </w:numPr>
        <w:ind w:left="0" w:firstLine="0"/>
        <w:jc w:val="both"/>
        <w:rPr>
          <w:rFonts w:ascii="Verdana" w:hAnsi="Verdana"/>
          <w:sz w:val="20"/>
          <w:szCs w:val="20"/>
          <w:lang w:val="es-ES_tradnl"/>
        </w:rPr>
      </w:pPr>
      <w:r w:rsidRPr="00524E99">
        <w:rPr>
          <w:rFonts w:ascii="Verdana" w:hAnsi="Verdana"/>
          <w:sz w:val="20"/>
          <w:szCs w:val="20"/>
          <w:lang w:val="es-ES_tradnl"/>
        </w:rPr>
        <w:t xml:space="preserve"> </w:t>
      </w:r>
      <w:r w:rsidR="00BD61EC">
        <w:rPr>
          <w:rFonts w:ascii="Verdana" w:hAnsi="Verdana"/>
          <w:sz w:val="20"/>
          <w:szCs w:val="20"/>
          <w:lang w:val="es-ES_tradnl"/>
        </w:rPr>
        <w:t>Mantener</w:t>
      </w:r>
      <w:r w:rsidRPr="00E50988">
        <w:rPr>
          <w:rFonts w:ascii="Verdana" w:hAnsi="Verdana"/>
          <w:sz w:val="20"/>
          <w:szCs w:val="20"/>
          <w:lang w:val="es-ES_tradnl"/>
        </w:rPr>
        <w:t xml:space="preserve"> las medidas provisionales a favor de </w:t>
      </w:r>
      <w:r w:rsidR="00DC3F24" w:rsidRPr="00E50988">
        <w:rPr>
          <w:rFonts w:ascii="Verdana" w:hAnsi="Verdana"/>
          <w:sz w:val="20"/>
          <w:szCs w:val="20"/>
          <w:lang w:val="es-CR"/>
        </w:rPr>
        <w:t>María del Socorro Mosquer</w:t>
      </w:r>
      <w:r w:rsidR="00D36AD5">
        <w:rPr>
          <w:rFonts w:ascii="Verdana" w:hAnsi="Verdana"/>
          <w:sz w:val="20"/>
          <w:szCs w:val="20"/>
          <w:lang w:val="es-CR"/>
        </w:rPr>
        <w:t>a Londoño, Mery Naranjo Jiménez, Juan David Naranjo Jiménez, Alejandro Naranjo Jiménez, Sandra Janeth Naranjo Jiménez, Alba Mery Naranjo Jiménez, Erika Johann Gómez, Heidi Tatiana Naranjo Gómez, María Camila Naranjo Jiménez,</w:t>
      </w:r>
      <w:r w:rsidR="00DC3F24" w:rsidRPr="00E50988">
        <w:rPr>
          <w:rFonts w:ascii="Verdana" w:hAnsi="Verdana"/>
          <w:sz w:val="20"/>
          <w:szCs w:val="20"/>
          <w:lang w:val="es-CR"/>
        </w:rPr>
        <w:t xml:space="preserve"> Aura M</w:t>
      </w:r>
      <w:r w:rsidR="00D36AD5">
        <w:rPr>
          <w:rFonts w:ascii="Verdana" w:hAnsi="Verdana"/>
          <w:sz w:val="20"/>
          <w:szCs w:val="20"/>
          <w:lang w:val="es-CR"/>
        </w:rPr>
        <w:t>aría Amaya Naranjo,</w:t>
      </w:r>
      <w:r w:rsidR="00DC3F24" w:rsidRPr="00E50988">
        <w:rPr>
          <w:rFonts w:ascii="Verdana" w:hAnsi="Verdana"/>
          <w:sz w:val="20"/>
          <w:szCs w:val="20"/>
          <w:lang w:val="es-CR"/>
        </w:rPr>
        <w:t xml:space="preserve"> Esteban Torres Naranjo</w:t>
      </w:r>
      <w:r w:rsidR="00D36AD5">
        <w:rPr>
          <w:rFonts w:ascii="Verdana" w:hAnsi="Verdana"/>
          <w:sz w:val="20"/>
          <w:szCs w:val="20"/>
          <w:lang w:val="es-CR"/>
        </w:rPr>
        <w:t>,</w:t>
      </w:r>
      <w:r w:rsidR="00DC3F24" w:rsidRPr="00E50988">
        <w:rPr>
          <w:rFonts w:ascii="Verdana" w:hAnsi="Verdana"/>
          <w:sz w:val="20"/>
          <w:szCs w:val="20"/>
          <w:lang w:val="es-CR"/>
        </w:rPr>
        <w:t xml:space="preserve"> Luisa María Escudero Jiménez</w:t>
      </w:r>
      <w:r w:rsidR="00D36AD5">
        <w:rPr>
          <w:rFonts w:ascii="Verdana" w:hAnsi="Verdana"/>
          <w:sz w:val="20"/>
          <w:szCs w:val="20"/>
          <w:lang w:val="es-CR"/>
        </w:rPr>
        <w:t xml:space="preserve">, </w:t>
      </w:r>
      <w:proofErr w:type="spellStart"/>
      <w:r w:rsidR="00D36AD5">
        <w:rPr>
          <w:rFonts w:ascii="Verdana" w:hAnsi="Verdana"/>
          <w:sz w:val="20"/>
          <w:szCs w:val="20"/>
          <w:lang w:val="es-CR"/>
        </w:rPr>
        <w:t>Lubin</w:t>
      </w:r>
      <w:proofErr w:type="spellEnd"/>
      <w:r w:rsidR="00D36AD5">
        <w:rPr>
          <w:rFonts w:ascii="Verdana" w:hAnsi="Verdana"/>
          <w:sz w:val="20"/>
          <w:szCs w:val="20"/>
          <w:lang w:val="es-CR"/>
        </w:rPr>
        <w:t xml:space="preserve"> </w:t>
      </w:r>
      <w:proofErr w:type="spellStart"/>
      <w:r w:rsidR="00D36AD5">
        <w:rPr>
          <w:rFonts w:ascii="Verdana" w:hAnsi="Verdana"/>
          <w:sz w:val="20"/>
          <w:szCs w:val="20"/>
          <w:lang w:val="es-CR"/>
        </w:rPr>
        <w:t>Arjadi</w:t>
      </w:r>
      <w:proofErr w:type="spellEnd"/>
      <w:r w:rsidR="00D36AD5">
        <w:rPr>
          <w:rFonts w:ascii="Verdana" w:hAnsi="Verdana"/>
          <w:sz w:val="20"/>
          <w:szCs w:val="20"/>
          <w:lang w:val="es-CR"/>
        </w:rPr>
        <w:t xml:space="preserve"> Mosquera, Hilda Milena Villa Mosquera, Iván Alberto Herrera Mosquera, Marlon Daniel Herrera Mosquera, Luisa María Mosquera </w:t>
      </w:r>
      <w:proofErr w:type="spellStart"/>
      <w:r w:rsidR="00D36AD5">
        <w:rPr>
          <w:rFonts w:ascii="Verdana" w:hAnsi="Verdana"/>
          <w:sz w:val="20"/>
          <w:szCs w:val="20"/>
          <w:lang w:val="es-CR"/>
        </w:rPr>
        <w:t>Guisao</w:t>
      </w:r>
      <w:proofErr w:type="spellEnd"/>
      <w:r w:rsidR="00D36AD5">
        <w:rPr>
          <w:rFonts w:ascii="Verdana" w:hAnsi="Verdana"/>
          <w:sz w:val="20"/>
          <w:szCs w:val="20"/>
          <w:lang w:val="es-CR"/>
        </w:rPr>
        <w:t xml:space="preserve">, Luis Alfonso Mosquera </w:t>
      </w:r>
      <w:proofErr w:type="spellStart"/>
      <w:r w:rsidR="00D36AD5">
        <w:rPr>
          <w:rFonts w:ascii="Verdana" w:hAnsi="Verdana"/>
          <w:sz w:val="20"/>
          <w:szCs w:val="20"/>
          <w:lang w:val="es-CR"/>
        </w:rPr>
        <w:t>Guisao</w:t>
      </w:r>
      <w:proofErr w:type="spellEnd"/>
      <w:r w:rsidR="00D36AD5">
        <w:rPr>
          <w:rFonts w:ascii="Verdana" w:hAnsi="Verdana"/>
          <w:sz w:val="20"/>
          <w:szCs w:val="20"/>
          <w:lang w:val="es-CR"/>
        </w:rPr>
        <w:t>,</w:t>
      </w:r>
      <w:r w:rsidR="00DC3F24" w:rsidRPr="00E50988">
        <w:rPr>
          <w:rFonts w:ascii="Verdana" w:hAnsi="Verdana"/>
          <w:sz w:val="20"/>
          <w:szCs w:val="20"/>
          <w:lang w:val="es-CR"/>
        </w:rPr>
        <w:t xml:space="preserve"> Daniel S</w:t>
      </w:r>
      <w:r w:rsidR="00D36AD5">
        <w:rPr>
          <w:rFonts w:ascii="Verdana" w:hAnsi="Verdana"/>
          <w:sz w:val="20"/>
          <w:szCs w:val="20"/>
          <w:lang w:val="es-CR"/>
        </w:rPr>
        <w:t>teven Herrera Vera, Luisa Fernanda Herrera Vera, Sofía Flores Montoya,</w:t>
      </w:r>
      <w:r w:rsidR="00DC3F24" w:rsidRPr="00E50988">
        <w:rPr>
          <w:rFonts w:ascii="Verdana" w:hAnsi="Verdana"/>
          <w:sz w:val="20"/>
          <w:szCs w:val="20"/>
          <w:lang w:val="es-CR"/>
        </w:rPr>
        <w:t xml:space="preserve"> y María Eugenia </w:t>
      </w:r>
      <w:proofErr w:type="spellStart"/>
      <w:r w:rsidR="00DC3F24" w:rsidRPr="00E50988">
        <w:rPr>
          <w:rFonts w:ascii="Verdana" w:hAnsi="Verdana"/>
          <w:sz w:val="20"/>
          <w:szCs w:val="20"/>
          <w:lang w:val="es-CR"/>
        </w:rPr>
        <w:t>Guisao</w:t>
      </w:r>
      <w:proofErr w:type="spellEnd"/>
      <w:r w:rsidR="00DC3F24" w:rsidRPr="00E50988">
        <w:rPr>
          <w:rFonts w:ascii="Verdana" w:hAnsi="Verdana"/>
          <w:sz w:val="20"/>
          <w:szCs w:val="20"/>
          <w:lang w:val="es-CR"/>
        </w:rPr>
        <w:t xml:space="preserve"> González, </w:t>
      </w:r>
      <w:r w:rsidRPr="00E50988">
        <w:rPr>
          <w:rFonts w:ascii="Verdana" w:hAnsi="Verdana"/>
          <w:sz w:val="20"/>
          <w:szCs w:val="20"/>
          <w:lang w:val="es-ES_tradnl"/>
        </w:rPr>
        <w:t xml:space="preserve">de conformidad con </w:t>
      </w:r>
      <w:r w:rsidR="003C1852">
        <w:rPr>
          <w:rFonts w:ascii="Verdana" w:hAnsi="Verdana"/>
          <w:sz w:val="20"/>
          <w:szCs w:val="20"/>
          <w:lang w:val="es-ES_tradnl"/>
        </w:rPr>
        <w:t>el</w:t>
      </w:r>
      <w:r w:rsidR="00E860FB">
        <w:rPr>
          <w:rFonts w:ascii="Verdana" w:hAnsi="Verdana"/>
          <w:sz w:val="20"/>
          <w:szCs w:val="20"/>
          <w:lang w:val="es-ES_tradnl"/>
        </w:rPr>
        <w:t xml:space="preserve"> Considerando</w:t>
      </w:r>
      <w:r w:rsidRPr="00E50988">
        <w:rPr>
          <w:rFonts w:ascii="Verdana" w:hAnsi="Verdana"/>
          <w:sz w:val="20"/>
          <w:szCs w:val="20"/>
          <w:lang w:val="es-ES_tradnl"/>
        </w:rPr>
        <w:t xml:space="preserve"> </w:t>
      </w:r>
      <w:r w:rsidR="00E860FB" w:rsidRPr="003C1852">
        <w:rPr>
          <w:rFonts w:ascii="Verdana" w:hAnsi="Verdana"/>
          <w:sz w:val="20"/>
          <w:szCs w:val="20"/>
          <w:lang w:val="es-ES_tradnl"/>
        </w:rPr>
        <w:t>7</w:t>
      </w:r>
      <w:r w:rsidR="003C1852">
        <w:rPr>
          <w:rFonts w:ascii="Verdana" w:hAnsi="Verdana"/>
          <w:sz w:val="20"/>
          <w:szCs w:val="20"/>
          <w:lang w:val="es-ES_tradnl"/>
        </w:rPr>
        <w:t>3</w:t>
      </w:r>
      <w:r w:rsidRPr="00E50988">
        <w:rPr>
          <w:rFonts w:ascii="Verdana" w:hAnsi="Verdana"/>
          <w:sz w:val="20"/>
          <w:szCs w:val="20"/>
          <w:lang w:val="es-CR"/>
        </w:rPr>
        <w:t xml:space="preserve"> </w:t>
      </w:r>
      <w:r w:rsidRPr="00E50988">
        <w:rPr>
          <w:rFonts w:ascii="Verdana" w:hAnsi="Verdana"/>
          <w:sz w:val="20"/>
          <w:szCs w:val="20"/>
          <w:lang w:val="es-ES_tradnl"/>
        </w:rPr>
        <w:t>de la presente Resolución.</w:t>
      </w:r>
    </w:p>
    <w:p w:rsidR="00B87639" w:rsidRPr="006604F1" w:rsidRDefault="00B87639" w:rsidP="00524E99">
      <w:pPr>
        <w:jc w:val="both"/>
        <w:rPr>
          <w:rFonts w:ascii="Verdana" w:hAnsi="Verdana"/>
          <w:sz w:val="20"/>
          <w:szCs w:val="20"/>
          <w:lang w:val="es-ES_tradnl"/>
        </w:rPr>
      </w:pPr>
    </w:p>
    <w:p w:rsidR="00524E99" w:rsidRDefault="00BD61EC" w:rsidP="00524E99">
      <w:pPr>
        <w:numPr>
          <w:ilvl w:val="0"/>
          <w:numId w:val="71"/>
        </w:numPr>
        <w:ind w:left="0" w:firstLine="0"/>
        <w:jc w:val="both"/>
        <w:rPr>
          <w:rFonts w:ascii="Verdana" w:hAnsi="Verdana"/>
          <w:sz w:val="20"/>
          <w:szCs w:val="20"/>
          <w:lang w:val="es-ES_tradnl"/>
        </w:rPr>
      </w:pPr>
      <w:r>
        <w:rPr>
          <w:rFonts w:ascii="Verdana" w:hAnsi="Verdana"/>
          <w:sz w:val="20"/>
          <w:szCs w:val="20"/>
          <w:lang w:val="es-ES_tradnl"/>
        </w:rPr>
        <w:lastRenderedPageBreak/>
        <w:t>Solicitar al Estado que</w:t>
      </w:r>
      <w:r w:rsidR="00EB5931">
        <w:rPr>
          <w:rFonts w:ascii="Verdana" w:hAnsi="Verdana"/>
          <w:sz w:val="20"/>
          <w:szCs w:val="20"/>
          <w:lang w:val="es-ES_tradnl"/>
        </w:rPr>
        <w:t>,</w:t>
      </w:r>
      <w:r>
        <w:rPr>
          <w:rFonts w:ascii="Verdana" w:hAnsi="Verdana"/>
          <w:sz w:val="20"/>
          <w:szCs w:val="20"/>
          <w:lang w:val="es-ES_tradnl"/>
        </w:rPr>
        <w:t xml:space="preserve"> a más tardar el </w:t>
      </w:r>
      <w:r w:rsidR="00D034DC">
        <w:rPr>
          <w:rFonts w:ascii="Verdana" w:hAnsi="Verdana"/>
          <w:sz w:val="20"/>
          <w:szCs w:val="20"/>
          <w:lang w:val="es-ES_tradnl"/>
        </w:rPr>
        <w:t>16</w:t>
      </w:r>
      <w:r w:rsidR="00426744">
        <w:rPr>
          <w:rFonts w:ascii="Verdana" w:hAnsi="Verdana"/>
          <w:sz w:val="20"/>
          <w:szCs w:val="20"/>
          <w:lang w:val="es-ES_tradnl"/>
        </w:rPr>
        <w:t xml:space="preserve"> de octubre de 2017</w:t>
      </w:r>
      <w:r>
        <w:rPr>
          <w:rFonts w:ascii="Verdana" w:hAnsi="Verdana"/>
          <w:sz w:val="20"/>
          <w:szCs w:val="20"/>
          <w:lang w:val="es-ES_tradnl"/>
        </w:rPr>
        <w:t xml:space="preserve">, presente un informe sobre las presentes medidas, de conformidad a lo señalado en el Considerando </w:t>
      </w:r>
      <w:r w:rsidR="00426744" w:rsidRPr="00EB5931">
        <w:rPr>
          <w:rFonts w:ascii="Verdana" w:hAnsi="Verdana"/>
          <w:sz w:val="20"/>
          <w:szCs w:val="20"/>
          <w:lang w:val="es-ES_tradnl"/>
        </w:rPr>
        <w:t>76</w:t>
      </w:r>
      <w:r w:rsidR="003C1852">
        <w:rPr>
          <w:rFonts w:ascii="Verdana" w:hAnsi="Verdana"/>
          <w:sz w:val="20"/>
          <w:szCs w:val="20"/>
          <w:lang w:val="es-ES_tradnl"/>
        </w:rPr>
        <w:t xml:space="preserve"> de la presente Resolución</w:t>
      </w:r>
      <w:r w:rsidR="00524E99" w:rsidRPr="00EB5931">
        <w:rPr>
          <w:rFonts w:ascii="Verdana" w:hAnsi="Verdana"/>
          <w:sz w:val="20"/>
          <w:szCs w:val="20"/>
          <w:lang w:val="es-ES_tradnl"/>
        </w:rPr>
        <w:t>.</w:t>
      </w:r>
    </w:p>
    <w:p w:rsidR="00B87639" w:rsidRPr="00D36AD5" w:rsidRDefault="00B87639" w:rsidP="00D36AD5">
      <w:pPr>
        <w:rPr>
          <w:rFonts w:ascii="Verdana" w:hAnsi="Verdana"/>
          <w:sz w:val="20"/>
          <w:szCs w:val="20"/>
          <w:lang w:val="es-CR"/>
        </w:rPr>
      </w:pPr>
    </w:p>
    <w:p w:rsidR="00BD61EC" w:rsidRDefault="00BD61EC" w:rsidP="00524E99">
      <w:pPr>
        <w:numPr>
          <w:ilvl w:val="0"/>
          <w:numId w:val="71"/>
        </w:numPr>
        <w:ind w:left="0" w:firstLine="0"/>
        <w:jc w:val="both"/>
        <w:rPr>
          <w:rFonts w:ascii="Verdana" w:hAnsi="Verdana"/>
          <w:sz w:val="20"/>
          <w:szCs w:val="20"/>
          <w:lang w:val="es-ES_tradnl"/>
        </w:rPr>
      </w:pPr>
      <w:r>
        <w:rPr>
          <w:rFonts w:ascii="Verdana" w:hAnsi="Verdana"/>
          <w:sz w:val="20"/>
          <w:szCs w:val="20"/>
          <w:lang w:val="es-ES_tradnl"/>
        </w:rPr>
        <w:t>Solicitar a las representantes de las personas beneficiarias y a la Comisión Interamericana que, en los plazos de cuatro y seis semanas, respectivamente, desde que fueran notificadas del informe estatal requerido en el punto resolutivo 2, presenten sus observaciones al mismo.</w:t>
      </w:r>
    </w:p>
    <w:p w:rsidR="00BD61EC" w:rsidRDefault="00BD61EC" w:rsidP="00B87639">
      <w:pPr>
        <w:pStyle w:val="ListParagraph"/>
        <w:rPr>
          <w:rFonts w:ascii="Verdana" w:hAnsi="Verdana"/>
          <w:sz w:val="20"/>
          <w:szCs w:val="20"/>
          <w:lang w:val="es-ES_tradnl"/>
        </w:rPr>
      </w:pPr>
    </w:p>
    <w:p w:rsidR="00BD61EC" w:rsidRDefault="00BD61EC" w:rsidP="00524E99">
      <w:pPr>
        <w:numPr>
          <w:ilvl w:val="0"/>
          <w:numId w:val="71"/>
        </w:numPr>
        <w:ind w:left="0" w:firstLine="0"/>
        <w:jc w:val="both"/>
        <w:rPr>
          <w:rFonts w:ascii="Verdana" w:hAnsi="Verdana"/>
          <w:sz w:val="20"/>
          <w:szCs w:val="20"/>
          <w:lang w:val="es-ES_tradnl"/>
        </w:rPr>
      </w:pPr>
      <w:r>
        <w:rPr>
          <w:rFonts w:ascii="Verdana" w:hAnsi="Verdana"/>
          <w:sz w:val="20"/>
          <w:szCs w:val="20"/>
          <w:lang w:val="es-ES_tradnl"/>
        </w:rPr>
        <w:t xml:space="preserve">Solicitar al Estado que, luego de presentado el informe requerido en el punto resolutivo 2, continúe presentando información sobre la implementación de las medidas provisionales cada cuatro meses. </w:t>
      </w:r>
    </w:p>
    <w:p w:rsidR="00B87639" w:rsidRPr="00D36AD5" w:rsidRDefault="00B87639" w:rsidP="00D36AD5">
      <w:pPr>
        <w:rPr>
          <w:rFonts w:ascii="Verdana" w:hAnsi="Verdana"/>
          <w:sz w:val="20"/>
          <w:szCs w:val="20"/>
          <w:lang w:val="es-ES_tradnl"/>
        </w:rPr>
      </w:pPr>
    </w:p>
    <w:p w:rsidR="00524E99" w:rsidRPr="006604F1" w:rsidRDefault="00BD61EC" w:rsidP="00524E99">
      <w:pPr>
        <w:numPr>
          <w:ilvl w:val="0"/>
          <w:numId w:val="71"/>
        </w:numPr>
        <w:ind w:left="0" w:firstLine="0"/>
        <w:jc w:val="both"/>
        <w:rPr>
          <w:rFonts w:ascii="Verdana" w:hAnsi="Verdana"/>
          <w:sz w:val="20"/>
          <w:szCs w:val="20"/>
          <w:lang w:val="es-ES_tradnl"/>
        </w:rPr>
      </w:pPr>
      <w:r>
        <w:rPr>
          <w:rFonts w:ascii="Verdana" w:hAnsi="Verdana"/>
          <w:sz w:val="20"/>
          <w:szCs w:val="20"/>
          <w:lang w:val="es-ES_tradnl"/>
        </w:rPr>
        <w:t>Solicitar a las representantes de las personas beneficiarias, así como a la Comisión Interamericana que, en los plazos de cuatro y seis semanas, respectivamente, desde que fueran notificadas de los informes estatales requerido</w:t>
      </w:r>
      <w:r w:rsidR="00D36AD5">
        <w:rPr>
          <w:rFonts w:ascii="Verdana" w:hAnsi="Verdana"/>
          <w:sz w:val="20"/>
          <w:szCs w:val="20"/>
          <w:lang w:val="es-ES_tradnl"/>
        </w:rPr>
        <w:t>s</w:t>
      </w:r>
      <w:r>
        <w:rPr>
          <w:rFonts w:ascii="Verdana" w:hAnsi="Verdana"/>
          <w:sz w:val="20"/>
          <w:szCs w:val="20"/>
          <w:lang w:val="es-ES_tradnl"/>
        </w:rPr>
        <w:t xml:space="preserve"> en el punto resolutivo 4, presenten sus observaciones </w:t>
      </w:r>
      <w:r w:rsidR="00D36AD5">
        <w:rPr>
          <w:rFonts w:ascii="Verdana" w:hAnsi="Verdana"/>
          <w:sz w:val="20"/>
          <w:szCs w:val="20"/>
          <w:lang w:val="es-ES_tradnl"/>
        </w:rPr>
        <w:t xml:space="preserve">a </w:t>
      </w:r>
      <w:r>
        <w:rPr>
          <w:rFonts w:ascii="Verdana" w:hAnsi="Verdana"/>
          <w:sz w:val="20"/>
          <w:szCs w:val="20"/>
          <w:lang w:val="es-ES_tradnl"/>
        </w:rPr>
        <w:t>los mismos.</w:t>
      </w:r>
    </w:p>
    <w:p w:rsidR="00B87639" w:rsidRPr="006604F1" w:rsidRDefault="00B87639" w:rsidP="00524E99">
      <w:pPr>
        <w:jc w:val="both"/>
        <w:rPr>
          <w:rFonts w:ascii="Verdana" w:hAnsi="Verdana"/>
          <w:b/>
          <w:sz w:val="20"/>
          <w:szCs w:val="20"/>
          <w:lang w:val="es-ES_tradnl"/>
        </w:rPr>
      </w:pPr>
    </w:p>
    <w:p w:rsidR="00524E99" w:rsidRPr="00E50988" w:rsidRDefault="00524E99" w:rsidP="00524E99">
      <w:pPr>
        <w:numPr>
          <w:ilvl w:val="0"/>
          <w:numId w:val="71"/>
        </w:numPr>
        <w:ind w:left="0" w:firstLine="0"/>
        <w:jc w:val="both"/>
        <w:rPr>
          <w:rFonts w:ascii="Verdana" w:hAnsi="Verdana" w:cs="Arial"/>
          <w:color w:val="000000"/>
          <w:sz w:val="20"/>
          <w:szCs w:val="20"/>
          <w:lang w:val="es-CR"/>
        </w:rPr>
      </w:pPr>
      <w:r w:rsidRPr="006604F1">
        <w:rPr>
          <w:rFonts w:ascii="Verdana" w:hAnsi="Verdana"/>
          <w:sz w:val="20"/>
          <w:szCs w:val="20"/>
          <w:lang w:val="es-ES_tradnl"/>
        </w:rPr>
        <w:t xml:space="preserve">Disponer que </w:t>
      </w:r>
      <w:r w:rsidRPr="00E50988">
        <w:rPr>
          <w:rFonts w:ascii="Verdana" w:hAnsi="Verdana" w:cs="Arial"/>
          <w:color w:val="000000"/>
          <w:sz w:val="20"/>
          <w:szCs w:val="20"/>
          <w:lang w:val="es-CR"/>
        </w:rPr>
        <w:t xml:space="preserve">la Secretaría de la Corte Interamericana de Derechos Humanos, notifique la presente Resolución al Estado de </w:t>
      </w:r>
      <w:r w:rsidRPr="00E50988">
        <w:rPr>
          <w:rFonts w:ascii="Verdana" w:hAnsi="Verdana"/>
          <w:sz w:val="20"/>
          <w:szCs w:val="20"/>
          <w:lang w:val="es-CR"/>
        </w:rPr>
        <w:t>Colombia</w:t>
      </w:r>
      <w:r w:rsidRPr="00E50988">
        <w:rPr>
          <w:rFonts w:ascii="Verdana" w:hAnsi="Verdana" w:cs="Arial"/>
          <w:sz w:val="20"/>
          <w:szCs w:val="20"/>
          <w:lang w:val="es-CR"/>
        </w:rPr>
        <w:t>,</w:t>
      </w:r>
      <w:r w:rsidRPr="00E50988">
        <w:rPr>
          <w:rFonts w:ascii="Verdana" w:hAnsi="Verdana" w:cs="Arial"/>
          <w:color w:val="000000"/>
          <w:sz w:val="20"/>
          <w:szCs w:val="20"/>
          <w:lang w:val="es-CR"/>
        </w:rPr>
        <w:t xml:space="preserve"> a los representantes de las </w:t>
      </w:r>
      <w:r w:rsidR="00D034DC">
        <w:rPr>
          <w:rFonts w:ascii="Verdana" w:hAnsi="Verdana" w:cs="Arial"/>
          <w:color w:val="000000"/>
          <w:sz w:val="20"/>
          <w:szCs w:val="20"/>
          <w:lang w:val="es-CR"/>
        </w:rPr>
        <w:t xml:space="preserve">personas </w:t>
      </w:r>
      <w:r w:rsidRPr="00E50988">
        <w:rPr>
          <w:rFonts w:ascii="Verdana" w:hAnsi="Verdana" w:cs="Arial"/>
          <w:color w:val="000000"/>
          <w:sz w:val="20"/>
          <w:szCs w:val="20"/>
          <w:lang w:val="es-CR"/>
        </w:rPr>
        <w:t>beneficiarias de las presentes medidas y a la Comisión Interamericana de Derechos Humanos.</w:t>
      </w:r>
    </w:p>
    <w:p w:rsidR="00DC1121" w:rsidRDefault="00DC1121"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CC5246" w:rsidP="00BD3334">
      <w:pPr>
        <w:ind w:right="-90"/>
        <w:jc w:val="both"/>
        <w:rPr>
          <w:rFonts w:ascii="Verdana" w:hAnsi="Verdana"/>
          <w:sz w:val="20"/>
          <w:szCs w:val="20"/>
          <w:lang w:val="es-CR"/>
        </w:rPr>
      </w:pPr>
      <w:r w:rsidRPr="00F6370D">
        <w:rPr>
          <w:rFonts w:ascii="Verdana" w:hAnsi="Verdana"/>
          <w:sz w:val="20"/>
          <w:szCs w:val="20"/>
          <w:lang w:val="es-CR"/>
        </w:rPr>
        <w:t>El Juez Eduardo Vio Grossi hizo conocer</w:t>
      </w:r>
      <w:r w:rsidR="00B96342" w:rsidRPr="00F6370D">
        <w:rPr>
          <w:rFonts w:ascii="Verdana" w:hAnsi="Verdana"/>
          <w:sz w:val="20"/>
          <w:szCs w:val="20"/>
          <w:lang w:val="es-CR"/>
        </w:rPr>
        <w:t xml:space="preserve"> a la Corte su voto Concurrente, el cual acompaña esta </w:t>
      </w:r>
      <w:r w:rsidR="00AE068C" w:rsidRPr="00F6370D">
        <w:rPr>
          <w:rFonts w:ascii="Verdana" w:hAnsi="Verdana"/>
          <w:sz w:val="20"/>
          <w:szCs w:val="20"/>
          <w:lang w:val="es-CR"/>
        </w:rPr>
        <w:t>Resolución</w:t>
      </w:r>
      <w:r w:rsidR="00B96342" w:rsidRPr="00F6370D">
        <w:rPr>
          <w:rFonts w:ascii="Verdana" w:hAnsi="Verdana"/>
          <w:sz w:val="20"/>
          <w:szCs w:val="20"/>
          <w:lang w:val="es-CR"/>
        </w:rPr>
        <w:t>.</w:t>
      </w: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2341F4" w:rsidRDefault="002341F4" w:rsidP="00BD3334">
      <w:pPr>
        <w:ind w:right="-90"/>
        <w:jc w:val="both"/>
        <w:rPr>
          <w:rFonts w:ascii="Verdana" w:hAnsi="Verdana"/>
          <w:sz w:val="20"/>
          <w:szCs w:val="20"/>
          <w:lang w:val="es-CR"/>
        </w:rPr>
      </w:pPr>
    </w:p>
    <w:p w:rsidR="002341F4" w:rsidRDefault="002341F4" w:rsidP="00BD3334">
      <w:pPr>
        <w:ind w:right="-90"/>
        <w:jc w:val="both"/>
        <w:rPr>
          <w:rFonts w:ascii="Verdana" w:hAnsi="Verdana"/>
          <w:sz w:val="20"/>
          <w:szCs w:val="20"/>
          <w:lang w:val="es-CR"/>
        </w:rPr>
      </w:pPr>
    </w:p>
    <w:p w:rsidR="002341F4" w:rsidRDefault="002341F4" w:rsidP="00BD3334">
      <w:pPr>
        <w:ind w:right="-90"/>
        <w:jc w:val="both"/>
        <w:rPr>
          <w:rFonts w:ascii="Verdana" w:hAnsi="Verdana"/>
          <w:sz w:val="20"/>
          <w:szCs w:val="20"/>
          <w:lang w:val="es-CR"/>
        </w:rPr>
      </w:pPr>
    </w:p>
    <w:p w:rsidR="00B241DC" w:rsidRDefault="00B241DC" w:rsidP="00BD3334">
      <w:pPr>
        <w:ind w:right="-90"/>
        <w:jc w:val="both"/>
        <w:rPr>
          <w:rFonts w:ascii="Verdana" w:hAnsi="Verdana"/>
          <w:sz w:val="20"/>
          <w:szCs w:val="20"/>
          <w:lang w:val="es-CR"/>
        </w:rPr>
      </w:pPr>
    </w:p>
    <w:p w:rsidR="00B87639" w:rsidRPr="00B87639" w:rsidRDefault="000F3D5F" w:rsidP="00BD3334">
      <w:pPr>
        <w:ind w:right="-90"/>
        <w:jc w:val="both"/>
        <w:rPr>
          <w:rFonts w:ascii="Verdana" w:hAnsi="Verdana"/>
          <w:sz w:val="20"/>
          <w:szCs w:val="20"/>
          <w:lang w:val="es-CR"/>
        </w:rPr>
      </w:pPr>
      <w:r w:rsidRPr="000F3D5F">
        <w:rPr>
          <w:rFonts w:ascii="Verdana" w:hAnsi="Verdana"/>
          <w:sz w:val="20"/>
          <w:szCs w:val="20"/>
          <w:lang w:val="es-CR"/>
        </w:rPr>
        <w:lastRenderedPageBreak/>
        <w:t>Corte IDH.</w:t>
      </w:r>
      <w:r>
        <w:rPr>
          <w:rFonts w:ascii="Verdana" w:hAnsi="Verdana"/>
          <w:i/>
          <w:sz w:val="20"/>
          <w:szCs w:val="20"/>
          <w:lang w:val="es-CR"/>
        </w:rPr>
        <w:t xml:space="preserve"> </w:t>
      </w:r>
      <w:r w:rsidR="00B87639" w:rsidRPr="00E377BB">
        <w:rPr>
          <w:rFonts w:ascii="Verdana" w:hAnsi="Verdana"/>
          <w:i/>
          <w:sz w:val="20"/>
          <w:szCs w:val="20"/>
          <w:lang w:val="es-CR"/>
        </w:rPr>
        <w:t xml:space="preserve">Asunto Mery Naranjo y otros. </w:t>
      </w:r>
      <w:r w:rsidR="00B87639" w:rsidRPr="00E377BB">
        <w:rPr>
          <w:rFonts w:ascii="Verdana" w:hAnsi="Verdana"/>
          <w:sz w:val="20"/>
          <w:szCs w:val="20"/>
          <w:lang w:val="es-CR"/>
        </w:rPr>
        <w:t>Medi</w:t>
      </w:r>
      <w:r>
        <w:rPr>
          <w:rFonts w:ascii="Verdana" w:hAnsi="Verdana"/>
          <w:sz w:val="20"/>
          <w:szCs w:val="20"/>
          <w:lang w:val="es-CR"/>
        </w:rPr>
        <w:t>d</w:t>
      </w:r>
      <w:r w:rsidR="00B87639" w:rsidRPr="00E377BB">
        <w:rPr>
          <w:rFonts w:ascii="Verdana" w:hAnsi="Verdana"/>
          <w:sz w:val="20"/>
          <w:szCs w:val="20"/>
          <w:lang w:val="es-CR"/>
        </w:rPr>
        <w:t>as</w:t>
      </w:r>
      <w:r w:rsidR="00CC5246" w:rsidRPr="00E377BB">
        <w:rPr>
          <w:rFonts w:ascii="Verdana" w:hAnsi="Verdana"/>
          <w:sz w:val="20"/>
          <w:szCs w:val="20"/>
          <w:lang w:val="es-CR"/>
        </w:rPr>
        <w:t xml:space="preserve"> Provisionales. Resolución</w:t>
      </w:r>
      <w:r>
        <w:rPr>
          <w:rFonts w:ascii="Verdana" w:hAnsi="Verdana"/>
          <w:sz w:val="20"/>
          <w:szCs w:val="20"/>
          <w:lang w:val="es-CR"/>
        </w:rPr>
        <w:t xml:space="preserve"> de la Corte Interamericana de Derechos Humanos </w:t>
      </w:r>
      <w:r w:rsidR="00CC5246" w:rsidRPr="00E377BB">
        <w:rPr>
          <w:rFonts w:ascii="Verdana" w:hAnsi="Verdana"/>
          <w:sz w:val="20"/>
          <w:szCs w:val="20"/>
          <w:lang w:val="es-CR"/>
        </w:rPr>
        <w:t>de 22</w:t>
      </w:r>
      <w:r w:rsidR="00B87639" w:rsidRPr="00E377BB">
        <w:rPr>
          <w:rFonts w:ascii="Verdana" w:hAnsi="Verdana"/>
          <w:sz w:val="20"/>
          <w:szCs w:val="20"/>
          <w:lang w:val="es-CR"/>
        </w:rPr>
        <w:t xml:space="preserve"> de agosto de 2017.</w:t>
      </w:r>
      <w:r w:rsidR="00B87639">
        <w:rPr>
          <w:rFonts w:ascii="Verdana" w:hAnsi="Verdana"/>
          <w:sz w:val="20"/>
          <w:szCs w:val="20"/>
          <w:lang w:val="es-CR"/>
        </w:rPr>
        <w:t xml:space="preserve"> </w:t>
      </w: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B87639" w:rsidRDefault="00B87639" w:rsidP="00BD3334">
      <w:pPr>
        <w:ind w:right="-90"/>
        <w:jc w:val="both"/>
        <w:rPr>
          <w:rFonts w:ascii="Verdana" w:hAnsi="Verdana"/>
          <w:sz w:val="20"/>
          <w:szCs w:val="20"/>
          <w:lang w:val="es-CR"/>
        </w:rPr>
      </w:pPr>
    </w:p>
    <w:p w:rsidR="000F3D5F" w:rsidRDefault="000F3D5F" w:rsidP="00BD3334">
      <w:pPr>
        <w:ind w:right="-90"/>
        <w:jc w:val="both"/>
        <w:rPr>
          <w:rFonts w:ascii="Verdana" w:hAnsi="Verdana"/>
          <w:sz w:val="20"/>
          <w:szCs w:val="20"/>
          <w:lang w:val="es-CR"/>
        </w:rPr>
      </w:pPr>
    </w:p>
    <w:p w:rsidR="000F3D5F" w:rsidRDefault="000F3D5F" w:rsidP="00BD3334">
      <w:pPr>
        <w:ind w:right="-90"/>
        <w:jc w:val="both"/>
        <w:rPr>
          <w:rFonts w:ascii="Verdana" w:hAnsi="Verdana"/>
          <w:sz w:val="20"/>
          <w:szCs w:val="20"/>
          <w:lang w:val="es-CR"/>
        </w:rPr>
      </w:pPr>
    </w:p>
    <w:p w:rsidR="000F3D5F" w:rsidRDefault="000F3D5F" w:rsidP="00BD3334">
      <w:pPr>
        <w:ind w:right="-90"/>
        <w:jc w:val="both"/>
        <w:rPr>
          <w:rFonts w:ascii="Verdana" w:hAnsi="Verdana"/>
          <w:sz w:val="20"/>
          <w:szCs w:val="20"/>
          <w:lang w:val="es-CR"/>
        </w:rPr>
      </w:pPr>
    </w:p>
    <w:p w:rsidR="000F3D5F" w:rsidRDefault="000F3D5F" w:rsidP="00BD3334">
      <w:pPr>
        <w:ind w:right="-90"/>
        <w:jc w:val="both"/>
        <w:rPr>
          <w:rFonts w:ascii="Verdana" w:hAnsi="Verdana"/>
          <w:sz w:val="20"/>
          <w:szCs w:val="20"/>
          <w:lang w:val="es-CR"/>
        </w:rPr>
      </w:pPr>
    </w:p>
    <w:p w:rsidR="00B87639" w:rsidRDefault="00CC5246" w:rsidP="00CC5246">
      <w:pPr>
        <w:ind w:right="-90"/>
        <w:jc w:val="center"/>
        <w:rPr>
          <w:rFonts w:ascii="Verdana" w:hAnsi="Verdana"/>
          <w:sz w:val="20"/>
          <w:szCs w:val="20"/>
          <w:lang w:val="es-CR"/>
        </w:rPr>
      </w:pPr>
      <w:r w:rsidRPr="00F16A88">
        <w:rPr>
          <w:rFonts w:ascii="Verdana" w:hAnsi="Verdana" w:cs="Verdana"/>
          <w:sz w:val="20"/>
          <w:szCs w:val="20"/>
          <w:lang w:val="es-ES"/>
        </w:rPr>
        <w:t>Eduardo F</w:t>
      </w:r>
      <w:r>
        <w:rPr>
          <w:rFonts w:ascii="Verdana" w:hAnsi="Verdana" w:cs="Verdana"/>
          <w:sz w:val="20"/>
          <w:szCs w:val="20"/>
          <w:lang w:val="es-ES"/>
        </w:rPr>
        <w:t>errer Mac-</w:t>
      </w:r>
      <w:proofErr w:type="spellStart"/>
      <w:r>
        <w:rPr>
          <w:rFonts w:ascii="Verdana" w:hAnsi="Verdana" w:cs="Verdana"/>
          <w:sz w:val="20"/>
          <w:szCs w:val="20"/>
          <w:lang w:val="es-ES"/>
        </w:rPr>
        <w:t>Gregor</w:t>
      </w:r>
      <w:proofErr w:type="spellEnd"/>
      <w:r>
        <w:rPr>
          <w:rFonts w:ascii="Verdana" w:hAnsi="Verdana" w:cs="Verdana"/>
          <w:sz w:val="20"/>
          <w:szCs w:val="20"/>
          <w:lang w:val="es-ES"/>
        </w:rPr>
        <w:t xml:space="preserve"> </w:t>
      </w:r>
      <w:proofErr w:type="spellStart"/>
      <w:r>
        <w:rPr>
          <w:rFonts w:ascii="Verdana" w:hAnsi="Verdana" w:cs="Verdana"/>
          <w:sz w:val="20"/>
          <w:szCs w:val="20"/>
          <w:lang w:val="es-ES"/>
        </w:rPr>
        <w:t>Poisot</w:t>
      </w:r>
      <w:proofErr w:type="spellEnd"/>
    </w:p>
    <w:p w:rsidR="00B87639" w:rsidRDefault="00DF7283" w:rsidP="00DF7283">
      <w:pPr>
        <w:ind w:left="2880" w:right="-90" w:firstLine="720"/>
        <w:jc w:val="both"/>
        <w:rPr>
          <w:rFonts w:ascii="Verdana" w:hAnsi="Verdana"/>
          <w:sz w:val="20"/>
          <w:szCs w:val="20"/>
          <w:lang w:val="es-CR"/>
        </w:rPr>
      </w:pPr>
      <w:r w:rsidRPr="00F6370D">
        <w:rPr>
          <w:rFonts w:ascii="Verdana" w:hAnsi="Verdana" w:cs="Verdana"/>
          <w:sz w:val="20"/>
          <w:szCs w:val="20"/>
          <w:lang w:val="es-ES"/>
        </w:rPr>
        <w:t>Presidente en ejercicio</w:t>
      </w:r>
    </w:p>
    <w:p w:rsidR="00DC1121" w:rsidRPr="00BE210A" w:rsidRDefault="00DC1121" w:rsidP="00BD3334">
      <w:pPr>
        <w:ind w:right="-90"/>
        <w:jc w:val="both"/>
        <w:rPr>
          <w:rFonts w:ascii="Verdana" w:hAnsi="Verdana"/>
          <w:sz w:val="20"/>
          <w:szCs w:val="20"/>
          <w:lang w:val="es-CR"/>
        </w:rPr>
      </w:pPr>
    </w:p>
    <w:p w:rsidR="00DC1121" w:rsidRDefault="00DC1121" w:rsidP="00DC1121">
      <w:pPr>
        <w:autoSpaceDE w:val="0"/>
        <w:autoSpaceDN w:val="0"/>
        <w:adjustRightInd w:val="0"/>
        <w:rPr>
          <w:rFonts w:ascii="Verdana" w:hAnsi="Verdana" w:cs="Verdana"/>
          <w:sz w:val="20"/>
          <w:szCs w:val="20"/>
          <w:lang w:val="es-ES"/>
        </w:rPr>
      </w:pPr>
    </w:p>
    <w:p w:rsidR="00DC1121" w:rsidRPr="0029587D" w:rsidRDefault="00DC1121" w:rsidP="00DC1121">
      <w:pPr>
        <w:autoSpaceDE w:val="0"/>
        <w:autoSpaceDN w:val="0"/>
        <w:adjustRightInd w:val="0"/>
        <w:rPr>
          <w:rFonts w:ascii="Verdana" w:hAnsi="Verdana" w:cs="Verdana"/>
          <w:sz w:val="20"/>
          <w:szCs w:val="20"/>
          <w:lang w:val="es-ES"/>
        </w:rPr>
      </w:pPr>
    </w:p>
    <w:p w:rsidR="00DC1121" w:rsidRDefault="00DC1121" w:rsidP="00DC1121">
      <w:pPr>
        <w:autoSpaceDE w:val="0"/>
        <w:autoSpaceDN w:val="0"/>
        <w:adjustRightInd w:val="0"/>
        <w:rPr>
          <w:rFonts w:ascii="Verdana" w:hAnsi="Verdana" w:cs="Verdana"/>
          <w:sz w:val="20"/>
          <w:szCs w:val="20"/>
          <w:lang w:val="es-ES"/>
        </w:rPr>
      </w:pPr>
    </w:p>
    <w:p w:rsidR="00DC1121" w:rsidRDefault="00DC1121" w:rsidP="00DC1121">
      <w:pPr>
        <w:autoSpaceDE w:val="0"/>
        <w:autoSpaceDN w:val="0"/>
        <w:adjustRightInd w:val="0"/>
        <w:rPr>
          <w:rFonts w:ascii="Verdana" w:hAnsi="Verdana" w:cs="Verdana"/>
          <w:sz w:val="20"/>
          <w:szCs w:val="20"/>
          <w:lang w:val="es-ES"/>
        </w:rPr>
      </w:pPr>
    </w:p>
    <w:p w:rsidR="00CC5246" w:rsidRDefault="00DC1121" w:rsidP="00DC1121">
      <w:pPr>
        <w:autoSpaceDE w:val="0"/>
        <w:autoSpaceDN w:val="0"/>
        <w:adjustRightInd w:val="0"/>
        <w:rPr>
          <w:rFonts w:ascii="Verdana" w:hAnsi="Verdana" w:cs="Verdana"/>
          <w:sz w:val="20"/>
          <w:szCs w:val="20"/>
          <w:lang w:val="es-ES"/>
        </w:rPr>
      </w:pPr>
      <w:r w:rsidRPr="00F16A88">
        <w:rPr>
          <w:rFonts w:ascii="Verdana" w:hAnsi="Verdana" w:cs="Verdana"/>
          <w:sz w:val="20"/>
          <w:szCs w:val="20"/>
          <w:lang w:val="es-ES"/>
        </w:rPr>
        <w:t>Eduardo Vio Grossi</w:t>
      </w:r>
      <w:r w:rsidR="00CC5246">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0F3D5F">
        <w:rPr>
          <w:rFonts w:ascii="Verdana" w:hAnsi="Verdana" w:cs="Verdana"/>
          <w:sz w:val="20"/>
          <w:szCs w:val="20"/>
          <w:lang w:val="es-ES"/>
        </w:rPr>
        <w:t xml:space="preserve">               </w:t>
      </w:r>
      <w:r w:rsidRPr="00F16A88">
        <w:rPr>
          <w:rFonts w:ascii="Verdana" w:hAnsi="Verdana" w:cs="Verdana"/>
          <w:sz w:val="20"/>
          <w:szCs w:val="20"/>
          <w:lang w:val="es-ES"/>
        </w:rPr>
        <w:t>Elizabeth Odio Benito</w:t>
      </w:r>
      <w:r w:rsidRPr="00DC1121">
        <w:rPr>
          <w:rFonts w:ascii="Verdana" w:hAnsi="Verdana" w:cs="Verdana"/>
          <w:sz w:val="20"/>
          <w:szCs w:val="20"/>
          <w:lang w:val="es-ES"/>
        </w:rPr>
        <w:t xml:space="preserve"> </w:t>
      </w:r>
      <w:r>
        <w:rPr>
          <w:rFonts w:ascii="Verdana" w:hAnsi="Verdana" w:cs="Verdana"/>
          <w:sz w:val="20"/>
          <w:szCs w:val="20"/>
          <w:lang w:val="es-ES"/>
        </w:rPr>
        <w:t xml:space="preserve">                                                 </w:t>
      </w:r>
    </w:p>
    <w:p w:rsidR="00CC5246" w:rsidRDefault="00CC5246" w:rsidP="00DC1121">
      <w:pPr>
        <w:autoSpaceDE w:val="0"/>
        <w:autoSpaceDN w:val="0"/>
        <w:adjustRightInd w:val="0"/>
        <w:rPr>
          <w:rFonts w:ascii="Verdana" w:hAnsi="Verdana" w:cs="Verdana"/>
          <w:sz w:val="20"/>
          <w:szCs w:val="20"/>
          <w:lang w:val="es-ES"/>
        </w:rPr>
      </w:pPr>
    </w:p>
    <w:p w:rsidR="00CC5246" w:rsidRDefault="00CC5246" w:rsidP="00DC1121">
      <w:pPr>
        <w:autoSpaceDE w:val="0"/>
        <w:autoSpaceDN w:val="0"/>
        <w:adjustRightInd w:val="0"/>
        <w:rPr>
          <w:rFonts w:ascii="Verdana" w:hAnsi="Verdana" w:cs="Verdana"/>
          <w:sz w:val="20"/>
          <w:szCs w:val="20"/>
          <w:lang w:val="es-ES"/>
        </w:rPr>
      </w:pPr>
    </w:p>
    <w:p w:rsidR="000F3D5F" w:rsidRDefault="000F3D5F" w:rsidP="00DC1121">
      <w:pPr>
        <w:autoSpaceDE w:val="0"/>
        <w:autoSpaceDN w:val="0"/>
        <w:adjustRightInd w:val="0"/>
        <w:rPr>
          <w:rFonts w:ascii="Verdana" w:hAnsi="Verdana" w:cs="Verdana"/>
          <w:sz w:val="20"/>
          <w:szCs w:val="20"/>
          <w:lang w:val="es-ES"/>
        </w:rPr>
      </w:pPr>
    </w:p>
    <w:p w:rsidR="000F3D5F" w:rsidRDefault="000F3D5F" w:rsidP="00DC1121">
      <w:pPr>
        <w:autoSpaceDE w:val="0"/>
        <w:autoSpaceDN w:val="0"/>
        <w:adjustRightInd w:val="0"/>
        <w:rPr>
          <w:rFonts w:ascii="Verdana" w:hAnsi="Verdana" w:cs="Verdana"/>
          <w:sz w:val="20"/>
          <w:szCs w:val="20"/>
          <w:lang w:val="es-ES"/>
        </w:rPr>
      </w:pPr>
    </w:p>
    <w:p w:rsidR="000F3D5F" w:rsidRDefault="000F3D5F" w:rsidP="00DC1121">
      <w:pPr>
        <w:autoSpaceDE w:val="0"/>
        <w:autoSpaceDN w:val="0"/>
        <w:adjustRightInd w:val="0"/>
        <w:rPr>
          <w:rFonts w:ascii="Verdana" w:hAnsi="Verdana" w:cs="Verdana"/>
          <w:sz w:val="20"/>
          <w:szCs w:val="20"/>
          <w:lang w:val="es-ES"/>
        </w:rPr>
      </w:pPr>
    </w:p>
    <w:p w:rsidR="00CC5246" w:rsidRDefault="00CC5246" w:rsidP="00DC1121">
      <w:pPr>
        <w:autoSpaceDE w:val="0"/>
        <w:autoSpaceDN w:val="0"/>
        <w:adjustRightInd w:val="0"/>
        <w:rPr>
          <w:rFonts w:ascii="Verdana" w:hAnsi="Verdana" w:cs="Verdana"/>
          <w:sz w:val="20"/>
          <w:szCs w:val="20"/>
          <w:lang w:val="es-ES"/>
        </w:rPr>
      </w:pPr>
    </w:p>
    <w:p w:rsidR="00DC1121" w:rsidRPr="00F16A88" w:rsidRDefault="00DC1121" w:rsidP="00CC5246">
      <w:pPr>
        <w:autoSpaceDE w:val="0"/>
        <w:autoSpaceDN w:val="0"/>
        <w:adjustRightInd w:val="0"/>
        <w:rPr>
          <w:rFonts w:ascii="Verdana" w:hAnsi="Verdana" w:cs="Verdana"/>
          <w:sz w:val="20"/>
          <w:szCs w:val="20"/>
          <w:lang w:val="es-ES"/>
        </w:rPr>
      </w:pPr>
      <w:r w:rsidRPr="00F16A88">
        <w:rPr>
          <w:rFonts w:ascii="Verdana" w:hAnsi="Verdana" w:cs="Verdana"/>
          <w:sz w:val="20"/>
          <w:szCs w:val="20"/>
          <w:lang w:val="es-ES"/>
        </w:rPr>
        <w:t>Euge</w:t>
      </w:r>
      <w:r>
        <w:rPr>
          <w:rFonts w:ascii="Verdana" w:hAnsi="Verdana" w:cs="Verdana"/>
          <w:sz w:val="20"/>
          <w:szCs w:val="20"/>
          <w:lang w:val="es-ES"/>
        </w:rPr>
        <w:t xml:space="preserve">nio Raúl </w:t>
      </w:r>
      <w:proofErr w:type="spellStart"/>
      <w:r>
        <w:rPr>
          <w:rFonts w:ascii="Verdana" w:hAnsi="Verdana" w:cs="Verdana"/>
          <w:sz w:val="20"/>
          <w:szCs w:val="20"/>
          <w:lang w:val="es-ES"/>
        </w:rPr>
        <w:t>Zaffaroni</w:t>
      </w:r>
      <w:proofErr w:type="spellEnd"/>
      <w:r>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0F3D5F">
        <w:rPr>
          <w:rFonts w:ascii="Verdana" w:hAnsi="Verdana" w:cs="Verdana"/>
          <w:sz w:val="20"/>
          <w:szCs w:val="20"/>
          <w:lang w:val="es-ES"/>
        </w:rPr>
        <w:t xml:space="preserve">          </w:t>
      </w:r>
      <w:r w:rsidRPr="00F16A88">
        <w:rPr>
          <w:rFonts w:ascii="Verdana" w:hAnsi="Verdana" w:cs="Verdana"/>
          <w:sz w:val="20"/>
          <w:szCs w:val="20"/>
          <w:lang w:val="es-ES"/>
        </w:rPr>
        <w:t>L. Patricio Pazmiño Freire</w:t>
      </w:r>
    </w:p>
    <w:p w:rsidR="00DC1121" w:rsidRPr="00F16A88" w:rsidRDefault="00DC1121" w:rsidP="00DC1121">
      <w:pPr>
        <w:autoSpaceDE w:val="0"/>
        <w:autoSpaceDN w:val="0"/>
        <w:adjustRightInd w:val="0"/>
        <w:rPr>
          <w:rFonts w:ascii="Verdana" w:hAnsi="Verdana" w:cs="Verdana"/>
          <w:sz w:val="20"/>
          <w:szCs w:val="20"/>
          <w:lang w:val="es-ES"/>
        </w:rPr>
      </w:pPr>
      <w:r w:rsidRPr="00F16A88">
        <w:rPr>
          <w:rFonts w:ascii="Verdana" w:hAnsi="Verdana" w:cs="Verdana"/>
          <w:sz w:val="20"/>
          <w:szCs w:val="20"/>
          <w:lang w:val="es-ES"/>
        </w:rPr>
        <w:tab/>
      </w:r>
      <w:r w:rsidRPr="00F16A88">
        <w:rPr>
          <w:rFonts w:ascii="Verdana" w:hAnsi="Verdana" w:cs="Verdana"/>
          <w:sz w:val="20"/>
          <w:szCs w:val="20"/>
          <w:lang w:val="es-ES"/>
        </w:rPr>
        <w:tab/>
      </w:r>
      <w:r w:rsidRPr="00F16A88">
        <w:rPr>
          <w:rFonts w:ascii="Verdana" w:hAnsi="Verdana" w:cs="Verdana"/>
          <w:sz w:val="20"/>
          <w:szCs w:val="20"/>
          <w:lang w:val="es-ES"/>
        </w:rPr>
        <w:tab/>
      </w:r>
    </w:p>
    <w:p w:rsidR="00DC1121" w:rsidRPr="00F16A88" w:rsidRDefault="00DC1121" w:rsidP="00DC1121">
      <w:pPr>
        <w:autoSpaceDE w:val="0"/>
        <w:autoSpaceDN w:val="0"/>
        <w:adjustRightInd w:val="0"/>
        <w:rPr>
          <w:rFonts w:ascii="Verdana" w:hAnsi="Verdana" w:cs="Verdana"/>
          <w:sz w:val="20"/>
          <w:szCs w:val="20"/>
          <w:lang w:val="es-ES"/>
        </w:rPr>
      </w:pPr>
    </w:p>
    <w:p w:rsidR="00DC1121" w:rsidRPr="00F16A88" w:rsidRDefault="00DC1121" w:rsidP="00DC1121">
      <w:pPr>
        <w:autoSpaceDE w:val="0"/>
        <w:autoSpaceDN w:val="0"/>
        <w:adjustRightInd w:val="0"/>
        <w:rPr>
          <w:rFonts w:ascii="Verdana" w:hAnsi="Verdana" w:cs="Verdana"/>
          <w:sz w:val="20"/>
          <w:szCs w:val="20"/>
          <w:lang w:val="es-ES"/>
        </w:rPr>
      </w:pPr>
    </w:p>
    <w:p w:rsidR="00DC1121" w:rsidRDefault="00DC1121" w:rsidP="00DC1121">
      <w:pPr>
        <w:autoSpaceDE w:val="0"/>
        <w:autoSpaceDN w:val="0"/>
        <w:adjustRightInd w:val="0"/>
        <w:rPr>
          <w:rFonts w:ascii="Verdana" w:hAnsi="Verdana" w:cs="Verdana"/>
          <w:sz w:val="20"/>
          <w:szCs w:val="20"/>
          <w:lang w:val="es-ES"/>
        </w:rPr>
      </w:pPr>
    </w:p>
    <w:p w:rsidR="000F3D5F" w:rsidRDefault="000F3D5F" w:rsidP="00DC1121">
      <w:pPr>
        <w:autoSpaceDE w:val="0"/>
        <w:autoSpaceDN w:val="0"/>
        <w:adjustRightInd w:val="0"/>
        <w:rPr>
          <w:rFonts w:ascii="Verdana" w:hAnsi="Verdana" w:cs="Verdana"/>
          <w:sz w:val="20"/>
          <w:szCs w:val="20"/>
          <w:lang w:val="es-ES"/>
        </w:rPr>
      </w:pPr>
    </w:p>
    <w:p w:rsidR="000F3D5F" w:rsidRPr="00F16A88" w:rsidRDefault="000F3D5F" w:rsidP="00DC1121">
      <w:pPr>
        <w:autoSpaceDE w:val="0"/>
        <w:autoSpaceDN w:val="0"/>
        <w:adjustRightInd w:val="0"/>
        <w:rPr>
          <w:rFonts w:ascii="Verdana" w:hAnsi="Verdana" w:cs="Verdana"/>
          <w:sz w:val="20"/>
          <w:szCs w:val="20"/>
          <w:lang w:val="es-ES"/>
        </w:rPr>
      </w:pPr>
    </w:p>
    <w:p w:rsidR="00DC1121" w:rsidRPr="00F16A88" w:rsidRDefault="00DC1121" w:rsidP="00DC1121">
      <w:pPr>
        <w:autoSpaceDE w:val="0"/>
        <w:autoSpaceDN w:val="0"/>
        <w:adjustRightInd w:val="0"/>
        <w:jc w:val="center"/>
        <w:rPr>
          <w:rFonts w:ascii="Verdana" w:hAnsi="Verdana" w:cs="Verdana"/>
          <w:sz w:val="20"/>
          <w:szCs w:val="20"/>
          <w:lang w:val="es-ES"/>
        </w:rPr>
      </w:pPr>
      <w:r w:rsidRPr="00F16A88">
        <w:rPr>
          <w:rFonts w:ascii="Verdana" w:hAnsi="Verdana" w:cs="Verdana"/>
          <w:sz w:val="20"/>
          <w:szCs w:val="20"/>
          <w:lang w:val="es-ES"/>
        </w:rPr>
        <w:t>Pablo Saavedra Alessandri</w:t>
      </w:r>
    </w:p>
    <w:p w:rsidR="00DC1121" w:rsidRPr="00F16A88" w:rsidRDefault="00DC1121" w:rsidP="00DC1121">
      <w:pPr>
        <w:autoSpaceDE w:val="0"/>
        <w:autoSpaceDN w:val="0"/>
        <w:adjustRightInd w:val="0"/>
        <w:ind w:left="3600"/>
        <w:rPr>
          <w:rFonts w:ascii="Verdana" w:hAnsi="Verdana" w:cs="Verdana"/>
          <w:sz w:val="20"/>
          <w:szCs w:val="20"/>
          <w:lang w:val="es-ES"/>
        </w:rPr>
      </w:pPr>
      <w:r>
        <w:rPr>
          <w:rFonts w:ascii="Verdana" w:hAnsi="Verdana" w:cs="Verdana"/>
          <w:sz w:val="20"/>
          <w:szCs w:val="20"/>
          <w:lang w:val="es-ES"/>
        </w:rPr>
        <w:t xml:space="preserve">    </w:t>
      </w:r>
      <w:r w:rsidRPr="00F16A88">
        <w:rPr>
          <w:rFonts w:ascii="Verdana" w:hAnsi="Verdana" w:cs="Verdana"/>
          <w:sz w:val="20"/>
          <w:szCs w:val="20"/>
          <w:lang w:val="es-ES"/>
        </w:rPr>
        <w:t>Secretario</w:t>
      </w:r>
    </w:p>
    <w:p w:rsidR="00DC1121" w:rsidRDefault="00DC1121" w:rsidP="00DC1121">
      <w:pPr>
        <w:autoSpaceDE w:val="0"/>
        <w:autoSpaceDN w:val="0"/>
        <w:adjustRightInd w:val="0"/>
        <w:rPr>
          <w:rFonts w:ascii="Verdana" w:hAnsi="Verdana" w:cs="Verdana"/>
          <w:sz w:val="20"/>
          <w:szCs w:val="20"/>
          <w:lang w:val="es-ES"/>
        </w:rPr>
      </w:pPr>
    </w:p>
    <w:p w:rsidR="000F3D5F" w:rsidRDefault="000F3D5F" w:rsidP="00DC1121">
      <w:pPr>
        <w:autoSpaceDE w:val="0"/>
        <w:autoSpaceDN w:val="0"/>
        <w:adjustRightInd w:val="0"/>
        <w:rPr>
          <w:rFonts w:ascii="Verdana" w:hAnsi="Verdana" w:cs="Verdana"/>
          <w:sz w:val="20"/>
          <w:szCs w:val="20"/>
          <w:lang w:val="es-ES"/>
        </w:rPr>
      </w:pPr>
    </w:p>
    <w:p w:rsidR="000F3D5F" w:rsidRPr="00F16A88" w:rsidRDefault="000F3D5F" w:rsidP="00DC1121">
      <w:pPr>
        <w:autoSpaceDE w:val="0"/>
        <w:autoSpaceDN w:val="0"/>
        <w:adjustRightInd w:val="0"/>
        <w:rPr>
          <w:rFonts w:ascii="Verdana" w:hAnsi="Verdana" w:cs="Verdana"/>
          <w:sz w:val="20"/>
          <w:szCs w:val="20"/>
          <w:lang w:val="es-ES"/>
        </w:rPr>
      </w:pPr>
    </w:p>
    <w:p w:rsidR="00DC1121" w:rsidRPr="00F16A88" w:rsidRDefault="00DC1121" w:rsidP="00DC1121">
      <w:pPr>
        <w:autoSpaceDE w:val="0"/>
        <w:autoSpaceDN w:val="0"/>
        <w:adjustRightInd w:val="0"/>
        <w:rPr>
          <w:rFonts w:ascii="Verdana" w:hAnsi="Verdana" w:cs="Verdana"/>
          <w:sz w:val="20"/>
          <w:szCs w:val="20"/>
          <w:lang w:val="es-ES"/>
        </w:rPr>
      </w:pPr>
    </w:p>
    <w:p w:rsidR="00DC1121" w:rsidRPr="00F16A88" w:rsidRDefault="00DC1121" w:rsidP="00DC1121">
      <w:pPr>
        <w:autoSpaceDE w:val="0"/>
        <w:autoSpaceDN w:val="0"/>
        <w:adjustRightInd w:val="0"/>
        <w:rPr>
          <w:rFonts w:ascii="Verdana" w:hAnsi="Verdana" w:cs="Verdana"/>
          <w:sz w:val="20"/>
          <w:szCs w:val="20"/>
          <w:lang w:val="es-ES"/>
        </w:rPr>
      </w:pPr>
      <w:r w:rsidRPr="00F16A88">
        <w:rPr>
          <w:rFonts w:ascii="Verdana" w:hAnsi="Verdana" w:cs="Verdana"/>
          <w:sz w:val="20"/>
          <w:szCs w:val="20"/>
          <w:lang w:val="es-ES"/>
        </w:rPr>
        <w:t>Comuníquese y ejecútese,</w:t>
      </w:r>
    </w:p>
    <w:p w:rsidR="00DC1121" w:rsidRPr="00F16A88" w:rsidRDefault="00DC1121" w:rsidP="00DC1121">
      <w:pPr>
        <w:autoSpaceDE w:val="0"/>
        <w:autoSpaceDN w:val="0"/>
        <w:adjustRightInd w:val="0"/>
        <w:rPr>
          <w:rFonts w:ascii="Verdana" w:hAnsi="Verdana" w:cs="Verdana"/>
          <w:sz w:val="20"/>
          <w:szCs w:val="20"/>
          <w:lang w:val="es-ES"/>
        </w:rPr>
      </w:pPr>
    </w:p>
    <w:p w:rsidR="00DC1121" w:rsidRPr="00F16A88" w:rsidRDefault="00DC1121" w:rsidP="00DC1121">
      <w:pPr>
        <w:autoSpaceDE w:val="0"/>
        <w:autoSpaceDN w:val="0"/>
        <w:adjustRightInd w:val="0"/>
        <w:rPr>
          <w:rFonts w:ascii="Verdana" w:hAnsi="Verdana" w:cs="Verdana"/>
          <w:sz w:val="20"/>
          <w:szCs w:val="20"/>
          <w:lang w:val="es-ES"/>
        </w:rPr>
      </w:pPr>
    </w:p>
    <w:p w:rsidR="00DC1121" w:rsidRPr="00F16A88" w:rsidRDefault="00DC1121" w:rsidP="00DC1121">
      <w:pPr>
        <w:autoSpaceDE w:val="0"/>
        <w:autoSpaceDN w:val="0"/>
        <w:adjustRightInd w:val="0"/>
        <w:rPr>
          <w:rFonts w:ascii="Verdana" w:hAnsi="Verdana" w:cs="Verdana"/>
          <w:sz w:val="20"/>
          <w:szCs w:val="20"/>
          <w:lang w:val="es-ES"/>
        </w:rPr>
      </w:pPr>
    </w:p>
    <w:p w:rsidR="00DC1121" w:rsidRDefault="00DC1121" w:rsidP="00DC1121">
      <w:pPr>
        <w:autoSpaceDE w:val="0"/>
        <w:autoSpaceDN w:val="0"/>
        <w:adjustRightInd w:val="0"/>
        <w:rPr>
          <w:rFonts w:ascii="Verdana" w:hAnsi="Verdana" w:cs="Verdana"/>
          <w:sz w:val="20"/>
          <w:szCs w:val="20"/>
          <w:lang w:val="es-ES"/>
        </w:rPr>
      </w:pPr>
    </w:p>
    <w:p w:rsidR="000F3D5F" w:rsidRDefault="000F3D5F" w:rsidP="00DC1121">
      <w:pPr>
        <w:autoSpaceDE w:val="0"/>
        <w:autoSpaceDN w:val="0"/>
        <w:adjustRightInd w:val="0"/>
        <w:rPr>
          <w:rFonts w:ascii="Verdana" w:hAnsi="Verdana" w:cs="Verdana"/>
          <w:sz w:val="20"/>
          <w:szCs w:val="20"/>
          <w:lang w:val="es-ES"/>
        </w:rPr>
      </w:pPr>
    </w:p>
    <w:p w:rsidR="000F3D5F" w:rsidRPr="00F16A88" w:rsidRDefault="000F3D5F" w:rsidP="00DC1121">
      <w:pPr>
        <w:autoSpaceDE w:val="0"/>
        <w:autoSpaceDN w:val="0"/>
        <w:adjustRightInd w:val="0"/>
        <w:rPr>
          <w:rFonts w:ascii="Verdana" w:hAnsi="Verdana" w:cs="Verdana"/>
          <w:sz w:val="20"/>
          <w:szCs w:val="20"/>
          <w:lang w:val="es-ES"/>
        </w:rPr>
      </w:pPr>
    </w:p>
    <w:p w:rsidR="00DC1121" w:rsidRPr="00F16A88" w:rsidRDefault="00DC1121" w:rsidP="00DC1121">
      <w:pPr>
        <w:autoSpaceDE w:val="0"/>
        <w:autoSpaceDN w:val="0"/>
        <w:adjustRightInd w:val="0"/>
        <w:rPr>
          <w:rFonts w:ascii="Verdana" w:hAnsi="Verdana" w:cs="Verdana"/>
          <w:sz w:val="20"/>
          <w:szCs w:val="20"/>
          <w:lang w:val="es-ES"/>
        </w:rPr>
      </w:pPr>
      <w:r w:rsidRPr="00F16A88">
        <w:rPr>
          <w:rFonts w:ascii="Verdana" w:hAnsi="Verdana" w:cs="Verdana"/>
          <w:sz w:val="20"/>
          <w:szCs w:val="20"/>
          <w:lang w:val="es-ES"/>
        </w:rPr>
        <w:t xml:space="preserve">      </w:t>
      </w:r>
      <w:r w:rsidR="00CC5246">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CC5246">
        <w:rPr>
          <w:rFonts w:ascii="Verdana" w:hAnsi="Verdana" w:cs="Verdana"/>
          <w:sz w:val="20"/>
          <w:szCs w:val="20"/>
          <w:lang w:val="es-ES"/>
        </w:rPr>
        <w:tab/>
      </w:r>
      <w:r w:rsidR="00CC5246" w:rsidRPr="00F16A88">
        <w:rPr>
          <w:rFonts w:ascii="Verdana" w:hAnsi="Verdana" w:cs="Verdana"/>
          <w:sz w:val="20"/>
          <w:szCs w:val="20"/>
          <w:lang w:val="es-ES"/>
        </w:rPr>
        <w:t>Eduardo F</w:t>
      </w:r>
      <w:r w:rsidR="00CC5246">
        <w:rPr>
          <w:rFonts w:ascii="Verdana" w:hAnsi="Verdana" w:cs="Verdana"/>
          <w:sz w:val="20"/>
          <w:szCs w:val="20"/>
          <w:lang w:val="es-ES"/>
        </w:rPr>
        <w:t>errer Mac-</w:t>
      </w:r>
      <w:proofErr w:type="spellStart"/>
      <w:r w:rsidR="00CC5246">
        <w:rPr>
          <w:rFonts w:ascii="Verdana" w:hAnsi="Verdana" w:cs="Verdana"/>
          <w:sz w:val="20"/>
          <w:szCs w:val="20"/>
          <w:lang w:val="es-ES"/>
        </w:rPr>
        <w:t>Gregor</w:t>
      </w:r>
      <w:proofErr w:type="spellEnd"/>
      <w:r w:rsidR="00CC5246">
        <w:rPr>
          <w:rFonts w:ascii="Verdana" w:hAnsi="Verdana" w:cs="Verdana"/>
          <w:sz w:val="20"/>
          <w:szCs w:val="20"/>
          <w:lang w:val="es-ES"/>
        </w:rPr>
        <w:t xml:space="preserve"> </w:t>
      </w:r>
      <w:proofErr w:type="spellStart"/>
      <w:r w:rsidR="00CC5246">
        <w:rPr>
          <w:rFonts w:ascii="Verdana" w:hAnsi="Verdana" w:cs="Verdana"/>
          <w:sz w:val="20"/>
          <w:szCs w:val="20"/>
          <w:lang w:val="es-ES"/>
        </w:rPr>
        <w:t>Poisot</w:t>
      </w:r>
      <w:proofErr w:type="spellEnd"/>
    </w:p>
    <w:p w:rsidR="00DC1121" w:rsidRPr="00F16A88" w:rsidRDefault="00DC1121" w:rsidP="00CC5246">
      <w:pPr>
        <w:autoSpaceDE w:val="0"/>
        <w:autoSpaceDN w:val="0"/>
        <w:adjustRightInd w:val="0"/>
        <w:ind w:left="5040" w:firstLine="720"/>
        <w:rPr>
          <w:rFonts w:ascii="Verdana" w:hAnsi="Verdana" w:cs="Verdana"/>
          <w:sz w:val="20"/>
          <w:szCs w:val="20"/>
          <w:lang w:val="es-ES"/>
        </w:rPr>
      </w:pPr>
      <w:r>
        <w:rPr>
          <w:rFonts w:ascii="Verdana" w:hAnsi="Verdana" w:cs="Verdana"/>
          <w:sz w:val="20"/>
          <w:szCs w:val="20"/>
          <w:lang w:val="es-ES"/>
        </w:rPr>
        <w:t xml:space="preserve"> </w:t>
      </w:r>
      <w:r w:rsidRPr="00F6370D">
        <w:rPr>
          <w:rFonts w:ascii="Verdana" w:hAnsi="Verdana" w:cs="Verdana"/>
          <w:sz w:val="20"/>
          <w:szCs w:val="20"/>
          <w:lang w:val="es-ES"/>
        </w:rPr>
        <w:t>Presidente</w:t>
      </w:r>
      <w:r w:rsidR="00CC5246" w:rsidRPr="00F6370D">
        <w:rPr>
          <w:rFonts w:ascii="Verdana" w:hAnsi="Verdana" w:cs="Verdana"/>
          <w:sz w:val="20"/>
          <w:szCs w:val="20"/>
          <w:lang w:val="es-ES"/>
        </w:rPr>
        <w:t xml:space="preserve"> en ejercicio</w:t>
      </w:r>
      <w:r w:rsidRPr="00F16A88">
        <w:rPr>
          <w:rFonts w:ascii="Verdana" w:hAnsi="Verdana" w:cs="Verdana"/>
          <w:sz w:val="20"/>
          <w:szCs w:val="20"/>
          <w:lang w:val="es-ES"/>
        </w:rPr>
        <w:t xml:space="preserve"> </w:t>
      </w:r>
    </w:p>
    <w:p w:rsidR="00DC1121" w:rsidRPr="00F16A88" w:rsidRDefault="00DC1121" w:rsidP="00DC1121">
      <w:pPr>
        <w:autoSpaceDE w:val="0"/>
        <w:autoSpaceDN w:val="0"/>
        <w:adjustRightInd w:val="0"/>
        <w:rPr>
          <w:rFonts w:ascii="Verdana" w:hAnsi="Verdana" w:cs="Verdana"/>
          <w:sz w:val="20"/>
          <w:szCs w:val="20"/>
          <w:lang w:val="es-ES"/>
        </w:rPr>
      </w:pPr>
    </w:p>
    <w:p w:rsidR="00DC1121" w:rsidRDefault="00DC1121" w:rsidP="00DC1121">
      <w:pPr>
        <w:autoSpaceDE w:val="0"/>
        <w:autoSpaceDN w:val="0"/>
        <w:adjustRightInd w:val="0"/>
        <w:rPr>
          <w:rFonts w:ascii="Verdana" w:hAnsi="Verdana" w:cs="Verdana"/>
          <w:sz w:val="20"/>
          <w:szCs w:val="20"/>
          <w:lang w:val="es-ES"/>
        </w:rPr>
      </w:pPr>
    </w:p>
    <w:p w:rsidR="000F3D5F" w:rsidRDefault="000F3D5F" w:rsidP="00DC1121">
      <w:pPr>
        <w:autoSpaceDE w:val="0"/>
        <w:autoSpaceDN w:val="0"/>
        <w:adjustRightInd w:val="0"/>
        <w:rPr>
          <w:rFonts w:ascii="Verdana" w:hAnsi="Verdana" w:cs="Verdana"/>
          <w:sz w:val="20"/>
          <w:szCs w:val="20"/>
          <w:lang w:val="es-ES"/>
        </w:rPr>
      </w:pPr>
    </w:p>
    <w:p w:rsidR="000F3D5F" w:rsidRDefault="000F3D5F" w:rsidP="00DC1121">
      <w:pPr>
        <w:autoSpaceDE w:val="0"/>
        <w:autoSpaceDN w:val="0"/>
        <w:adjustRightInd w:val="0"/>
        <w:rPr>
          <w:rFonts w:ascii="Verdana" w:hAnsi="Verdana" w:cs="Verdana"/>
          <w:sz w:val="20"/>
          <w:szCs w:val="20"/>
          <w:lang w:val="es-ES"/>
        </w:rPr>
      </w:pPr>
    </w:p>
    <w:p w:rsidR="000F3D5F" w:rsidRDefault="000F3D5F" w:rsidP="00DC1121">
      <w:pPr>
        <w:autoSpaceDE w:val="0"/>
        <w:autoSpaceDN w:val="0"/>
        <w:adjustRightInd w:val="0"/>
        <w:rPr>
          <w:rFonts w:ascii="Verdana" w:hAnsi="Verdana" w:cs="Verdana"/>
          <w:sz w:val="20"/>
          <w:szCs w:val="20"/>
          <w:lang w:val="es-ES"/>
        </w:rPr>
      </w:pPr>
    </w:p>
    <w:p w:rsidR="000F3D5F" w:rsidRPr="00F16A88" w:rsidRDefault="000F3D5F" w:rsidP="00DC1121">
      <w:pPr>
        <w:autoSpaceDE w:val="0"/>
        <w:autoSpaceDN w:val="0"/>
        <w:adjustRightInd w:val="0"/>
        <w:rPr>
          <w:rFonts w:ascii="Verdana" w:hAnsi="Verdana" w:cs="Verdana"/>
          <w:sz w:val="20"/>
          <w:szCs w:val="20"/>
          <w:lang w:val="es-ES"/>
        </w:rPr>
      </w:pPr>
    </w:p>
    <w:p w:rsidR="00DC1121" w:rsidRPr="00F16A88" w:rsidRDefault="00DC1121" w:rsidP="00DC1121">
      <w:pPr>
        <w:autoSpaceDE w:val="0"/>
        <w:autoSpaceDN w:val="0"/>
        <w:adjustRightInd w:val="0"/>
        <w:rPr>
          <w:rFonts w:ascii="Verdana" w:hAnsi="Verdana" w:cs="Verdana"/>
          <w:sz w:val="20"/>
          <w:szCs w:val="20"/>
          <w:lang w:val="es-ES"/>
        </w:rPr>
      </w:pPr>
    </w:p>
    <w:p w:rsidR="00FF514E" w:rsidRDefault="00DC1121" w:rsidP="00DC1121">
      <w:pPr>
        <w:autoSpaceDE w:val="0"/>
        <w:autoSpaceDN w:val="0"/>
        <w:adjustRightInd w:val="0"/>
        <w:rPr>
          <w:rFonts w:ascii="Verdana" w:hAnsi="Verdana" w:cs="Verdana"/>
          <w:sz w:val="20"/>
          <w:szCs w:val="20"/>
          <w:lang w:val="es-ES"/>
        </w:rPr>
      </w:pPr>
      <w:r w:rsidRPr="00F16A88">
        <w:rPr>
          <w:rFonts w:ascii="Verdana" w:hAnsi="Verdana" w:cs="Verdana"/>
          <w:sz w:val="20"/>
          <w:szCs w:val="20"/>
          <w:lang w:val="es-ES"/>
        </w:rPr>
        <w:t>Pablo Saavedra Alessandri</w:t>
      </w:r>
    </w:p>
    <w:p w:rsidR="00DC1121" w:rsidRPr="00F16A88" w:rsidRDefault="00DC1121" w:rsidP="00FF514E">
      <w:pPr>
        <w:rPr>
          <w:rFonts w:ascii="Verdana" w:hAnsi="Verdana" w:cs="Verdana"/>
          <w:sz w:val="20"/>
          <w:szCs w:val="20"/>
          <w:lang w:val="es-ES"/>
        </w:rPr>
      </w:pPr>
    </w:p>
    <w:p w:rsidR="00FF514E" w:rsidRDefault="00DC1121" w:rsidP="00DC1121">
      <w:pPr>
        <w:autoSpaceDE w:val="0"/>
        <w:autoSpaceDN w:val="0"/>
        <w:adjustRightInd w:val="0"/>
        <w:rPr>
          <w:rFonts w:ascii="Verdana" w:hAnsi="Verdana" w:cs="Verdana"/>
          <w:sz w:val="20"/>
          <w:szCs w:val="20"/>
          <w:lang w:val="es-ES"/>
        </w:rPr>
        <w:sectPr w:rsidR="00FF514E" w:rsidSect="00B241DC">
          <w:headerReference w:type="default" r:id="rId9"/>
          <w:pgSz w:w="11906" w:h="16838"/>
          <w:pgMar w:top="1417" w:right="1376" w:bottom="1417" w:left="1440" w:header="708" w:footer="708" w:gutter="0"/>
          <w:pgNumType w:start="1"/>
          <w:cols w:space="708"/>
          <w:titlePg/>
          <w:docGrid w:linePitch="360"/>
        </w:sectPr>
      </w:pPr>
      <w:r w:rsidRPr="00F16A88">
        <w:rPr>
          <w:rFonts w:ascii="Verdana" w:hAnsi="Verdana" w:cs="Verdana"/>
          <w:sz w:val="20"/>
          <w:szCs w:val="20"/>
          <w:lang w:val="es-ES"/>
        </w:rPr>
        <w:t xml:space="preserve">  </w:t>
      </w:r>
      <w:r>
        <w:rPr>
          <w:rFonts w:ascii="Verdana" w:hAnsi="Verdana" w:cs="Verdana"/>
          <w:sz w:val="20"/>
          <w:szCs w:val="20"/>
          <w:lang w:val="es-ES"/>
        </w:rPr>
        <w:tab/>
      </w:r>
      <w:r w:rsidRPr="00F16A88">
        <w:rPr>
          <w:rFonts w:ascii="Verdana" w:hAnsi="Verdana" w:cs="Verdana"/>
          <w:sz w:val="20"/>
          <w:szCs w:val="20"/>
          <w:lang w:val="es-ES"/>
        </w:rPr>
        <w:t>Secretario</w:t>
      </w:r>
    </w:p>
    <w:p w:rsidR="00FF514E" w:rsidRDefault="00FF514E" w:rsidP="00FF514E">
      <w:pPr>
        <w:jc w:val="center"/>
        <w:rPr>
          <w:b/>
          <w:lang w:val="es-ES"/>
        </w:rPr>
      </w:pPr>
    </w:p>
    <w:p w:rsidR="00FF514E" w:rsidRDefault="00FF514E" w:rsidP="00FF514E">
      <w:pPr>
        <w:jc w:val="center"/>
        <w:rPr>
          <w:b/>
          <w:lang w:val="es-ES"/>
        </w:rPr>
      </w:pPr>
    </w:p>
    <w:p w:rsidR="00FF514E" w:rsidRDefault="00FF514E" w:rsidP="00FF514E">
      <w:pPr>
        <w:jc w:val="center"/>
        <w:rPr>
          <w:b/>
          <w:lang w:val="es-ES"/>
        </w:rPr>
      </w:pPr>
    </w:p>
    <w:p w:rsidR="00FF514E" w:rsidRDefault="00FF514E" w:rsidP="00FF514E">
      <w:pPr>
        <w:jc w:val="center"/>
        <w:rPr>
          <w:b/>
          <w:lang w:val="es-ES"/>
        </w:rPr>
      </w:pPr>
    </w:p>
    <w:p w:rsidR="00FF514E" w:rsidRDefault="00FF514E" w:rsidP="00FF514E">
      <w:pPr>
        <w:jc w:val="center"/>
        <w:rPr>
          <w:b/>
          <w:lang w:val="es-ES"/>
        </w:rPr>
      </w:pPr>
    </w:p>
    <w:p w:rsidR="00FF514E" w:rsidRDefault="00FF514E" w:rsidP="00FF514E">
      <w:pPr>
        <w:jc w:val="center"/>
        <w:rPr>
          <w:b/>
          <w:lang w:val="es-ES"/>
        </w:rPr>
      </w:pPr>
    </w:p>
    <w:p w:rsidR="00FF514E" w:rsidRDefault="00FF514E" w:rsidP="00FF514E">
      <w:pPr>
        <w:jc w:val="center"/>
        <w:rPr>
          <w:b/>
          <w:lang w:val="es-ES"/>
        </w:rPr>
      </w:pPr>
    </w:p>
    <w:p w:rsidR="00FF514E" w:rsidRPr="00FF514E" w:rsidRDefault="00FF514E" w:rsidP="00FF514E">
      <w:pPr>
        <w:jc w:val="center"/>
        <w:rPr>
          <w:rFonts w:asciiTheme="minorHAnsi" w:hAnsiTheme="minorHAnsi"/>
          <w:b/>
          <w:sz w:val="22"/>
          <w:szCs w:val="22"/>
          <w:lang w:val="es-ES"/>
        </w:rPr>
      </w:pPr>
      <w:r w:rsidRPr="00FF514E">
        <w:rPr>
          <w:rFonts w:asciiTheme="minorHAnsi" w:hAnsiTheme="minorHAnsi"/>
          <w:b/>
          <w:sz w:val="22"/>
          <w:szCs w:val="22"/>
          <w:lang w:val="es-ES"/>
        </w:rPr>
        <w:t>VOTO CONCURRENTE DEL JUEZ EDUARDO VIO GROSSI</w:t>
      </w:r>
    </w:p>
    <w:p w:rsidR="00FF514E" w:rsidRPr="00FF514E" w:rsidRDefault="00FF514E" w:rsidP="00FF514E">
      <w:pPr>
        <w:jc w:val="center"/>
        <w:rPr>
          <w:rFonts w:asciiTheme="minorHAnsi" w:hAnsiTheme="minorHAnsi"/>
          <w:b/>
          <w:sz w:val="22"/>
          <w:szCs w:val="22"/>
          <w:lang w:val="es-ES"/>
        </w:rPr>
      </w:pPr>
      <w:r w:rsidRPr="00FF514E">
        <w:rPr>
          <w:rFonts w:asciiTheme="minorHAnsi" w:hAnsiTheme="minorHAnsi"/>
          <w:b/>
          <w:sz w:val="22"/>
          <w:szCs w:val="22"/>
          <w:lang w:val="es-ES"/>
        </w:rPr>
        <w:t>RESOLUCIÓN DE LA</w:t>
      </w:r>
    </w:p>
    <w:p w:rsidR="00FF514E" w:rsidRPr="00FF514E" w:rsidRDefault="00FF514E" w:rsidP="00FF514E">
      <w:pPr>
        <w:jc w:val="center"/>
        <w:rPr>
          <w:rFonts w:asciiTheme="minorHAnsi" w:hAnsiTheme="minorHAnsi"/>
          <w:b/>
          <w:sz w:val="22"/>
          <w:szCs w:val="22"/>
          <w:lang w:val="es-ES"/>
        </w:rPr>
      </w:pPr>
      <w:r w:rsidRPr="00FF514E">
        <w:rPr>
          <w:rFonts w:asciiTheme="minorHAnsi" w:hAnsiTheme="minorHAnsi"/>
          <w:b/>
          <w:sz w:val="22"/>
          <w:szCs w:val="22"/>
          <w:lang w:val="es-ES"/>
        </w:rPr>
        <w:t>CORTE INTERAMERICANA DE DERECHOS HUMANOS</w:t>
      </w:r>
    </w:p>
    <w:p w:rsidR="00FF514E" w:rsidRPr="00FF514E" w:rsidRDefault="00FF514E" w:rsidP="00FF514E">
      <w:pPr>
        <w:jc w:val="center"/>
        <w:rPr>
          <w:rFonts w:asciiTheme="minorHAnsi" w:hAnsiTheme="minorHAnsi"/>
          <w:b/>
          <w:sz w:val="22"/>
          <w:szCs w:val="22"/>
          <w:lang w:val="es-ES"/>
        </w:rPr>
      </w:pPr>
      <w:r w:rsidRPr="00FF514E">
        <w:rPr>
          <w:rFonts w:asciiTheme="minorHAnsi" w:hAnsiTheme="minorHAnsi"/>
          <w:b/>
          <w:sz w:val="22"/>
          <w:szCs w:val="22"/>
          <w:lang w:val="es-ES"/>
        </w:rPr>
        <w:t>DE 22 DE AGOSTO DE 2017</w:t>
      </w:r>
    </w:p>
    <w:p w:rsidR="00FF514E" w:rsidRPr="00FF514E" w:rsidRDefault="00FF514E" w:rsidP="00FF514E">
      <w:pPr>
        <w:jc w:val="center"/>
        <w:rPr>
          <w:rFonts w:asciiTheme="minorHAnsi" w:hAnsiTheme="minorHAnsi"/>
          <w:b/>
          <w:sz w:val="22"/>
          <w:szCs w:val="22"/>
          <w:lang w:val="es-ES"/>
        </w:rPr>
      </w:pPr>
      <w:r w:rsidRPr="00FF514E">
        <w:rPr>
          <w:rFonts w:asciiTheme="minorHAnsi" w:hAnsiTheme="minorHAnsi"/>
          <w:b/>
          <w:sz w:val="22"/>
          <w:szCs w:val="22"/>
          <w:lang w:val="es-ES"/>
        </w:rPr>
        <w:t>MEDIDAS PROVISIONALES RESPECTO DE LA REPÚBLICA DE COLOMBIA</w:t>
      </w:r>
    </w:p>
    <w:p w:rsidR="00FF514E" w:rsidRPr="00FF514E" w:rsidRDefault="00FF514E" w:rsidP="00FF514E">
      <w:pPr>
        <w:jc w:val="center"/>
        <w:rPr>
          <w:rFonts w:asciiTheme="minorHAnsi" w:hAnsiTheme="minorHAnsi"/>
          <w:b/>
          <w:sz w:val="22"/>
          <w:szCs w:val="22"/>
          <w:lang w:val="es-ES"/>
        </w:rPr>
      </w:pPr>
      <w:r w:rsidRPr="00FF514E">
        <w:rPr>
          <w:rFonts w:asciiTheme="minorHAnsi" w:hAnsiTheme="minorHAnsi"/>
          <w:b/>
          <w:sz w:val="22"/>
          <w:szCs w:val="22"/>
          <w:lang w:val="es-ES"/>
        </w:rPr>
        <w:t>ASUNTO MERY NARANJO Y OTROS.</w:t>
      </w:r>
    </w:p>
    <w:p w:rsidR="00FF514E" w:rsidRPr="00FF514E" w:rsidRDefault="00FF514E" w:rsidP="00FF514E">
      <w:pPr>
        <w:rPr>
          <w:rFonts w:asciiTheme="minorHAnsi" w:hAnsiTheme="minorHAnsi"/>
          <w:sz w:val="22"/>
          <w:szCs w:val="22"/>
          <w:lang w:val="es-ES"/>
        </w:rPr>
      </w:pPr>
    </w:p>
    <w:p w:rsidR="00FF514E" w:rsidRPr="00FF514E" w:rsidRDefault="00FF514E" w:rsidP="00FF514E">
      <w:pPr>
        <w:jc w:val="both"/>
        <w:rPr>
          <w:rFonts w:asciiTheme="minorHAnsi" w:hAnsiTheme="minorHAnsi"/>
          <w:sz w:val="22"/>
          <w:szCs w:val="22"/>
          <w:lang w:val="es-ES"/>
        </w:rPr>
      </w:pPr>
      <w:r w:rsidRPr="00FF514E">
        <w:rPr>
          <w:rFonts w:asciiTheme="minorHAnsi" w:hAnsiTheme="minorHAnsi"/>
          <w:sz w:val="22"/>
          <w:szCs w:val="22"/>
          <w:lang w:val="es-ES"/>
        </w:rPr>
        <w:t xml:space="preserve">Se concurre con este voto a la Resolución del epígrafe, en atención a que en el presente asunto, por una parte, las medidas provisionales se decretaron antes de que el </w:t>
      </w:r>
      <w:r w:rsidRPr="00FF514E">
        <w:rPr>
          <w:rFonts w:asciiTheme="minorHAnsi" w:hAnsiTheme="minorHAnsi"/>
          <w:i/>
          <w:sz w:val="22"/>
          <w:szCs w:val="22"/>
          <w:lang w:val="es-ES"/>
        </w:rPr>
        <w:t xml:space="preserve">Caso </w:t>
      </w:r>
      <w:proofErr w:type="spellStart"/>
      <w:r w:rsidRPr="00FF514E">
        <w:rPr>
          <w:rFonts w:asciiTheme="minorHAnsi" w:hAnsiTheme="minorHAnsi"/>
          <w:i/>
          <w:sz w:val="22"/>
          <w:szCs w:val="22"/>
          <w:lang w:val="es-ES"/>
        </w:rPr>
        <w:t>Yarce</w:t>
      </w:r>
      <w:proofErr w:type="spellEnd"/>
      <w:r w:rsidRPr="00FF514E">
        <w:rPr>
          <w:rFonts w:asciiTheme="minorHAnsi" w:hAnsiTheme="minorHAnsi"/>
          <w:i/>
          <w:sz w:val="22"/>
          <w:szCs w:val="22"/>
          <w:lang w:val="es-ES"/>
        </w:rPr>
        <w:t xml:space="preserve"> y Otras Vs. Colombia</w:t>
      </w:r>
      <w:r w:rsidRPr="00FF514E">
        <w:rPr>
          <w:rFonts w:asciiTheme="minorHAnsi" w:hAnsiTheme="minorHAnsi"/>
          <w:sz w:val="22"/>
          <w:szCs w:val="22"/>
          <w:lang w:val="es-ES"/>
        </w:rPr>
        <w:t>, a cuyo expediente se integró el de aquellas</w:t>
      </w:r>
      <w:r w:rsidRPr="00FF514E">
        <w:rPr>
          <w:rStyle w:val="FootnoteReference"/>
          <w:rFonts w:asciiTheme="minorHAnsi" w:hAnsiTheme="minorHAnsi"/>
          <w:sz w:val="22"/>
          <w:szCs w:val="22"/>
          <w:lang w:val="es-ES"/>
        </w:rPr>
        <w:footnoteReference w:id="35"/>
      </w:r>
      <w:r w:rsidRPr="00FF514E">
        <w:rPr>
          <w:rFonts w:asciiTheme="minorHAnsi" w:hAnsiTheme="minorHAnsi"/>
          <w:sz w:val="22"/>
          <w:szCs w:val="22"/>
          <w:lang w:val="es-ES"/>
        </w:rPr>
        <w:t xml:space="preserve">, fuese sometido a la Corte y por la otra parte, a que luego de dictada la correspondiente sentencia, subsiste la obligación general del Estado de garantizar la seguridad de las personas bajo su jurisdicción, todo lo cual, en consecuencia, no impide la reiteración de lo expuesto en los demás votos concurrentes  y disidentes  del suscrito, concernientes a su posición consistente en que las medidas provisionales solo proceden, respecto de casos sometidos a conocimiento de la Corte, mientras no se haya dictado sentencia, </w:t>
      </w:r>
      <w:proofErr w:type="spellStart"/>
      <w:r w:rsidRPr="00FF514E">
        <w:rPr>
          <w:rFonts w:asciiTheme="minorHAnsi" w:hAnsiTheme="minorHAnsi"/>
          <w:sz w:val="22"/>
          <w:szCs w:val="22"/>
          <w:lang w:val="es-ES"/>
        </w:rPr>
        <w:t>precluyendo</w:t>
      </w:r>
      <w:proofErr w:type="spellEnd"/>
      <w:r w:rsidRPr="00FF514E">
        <w:rPr>
          <w:rFonts w:asciiTheme="minorHAnsi" w:hAnsiTheme="minorHAnsi"/>
          <w:sz w:val="22"/>
          <w:szCs w:val="22"/>
          <w:lang w:val="es-ES"/>
        </w:rPr>
        <w:t>, pues, su facultad al efecto luego de ello</w:t>
      </w:r>
      <w:r w:rsidRPr="00FF514E">
        <w:rPr>
          <w:rStyle w:val="FootnoteReference"/>
          <w:rFonts w:asciiTheme="minorHAnsi" w:hAnsiTheme="minorHAnsi"/>
          <w:sz w:val="22"/>
          <w:szCs w:val="22"/>
          <w:lang w:val="es-ES"/>
        </w:rPr>
        <w:footnoteReference w:id="36"/>
      </w:r>
      <w:r w:rsidRPr="00FF514E">
        <w:rPr>
          <w:rFonts w:asciiTheme="minorHAnsi" w:hAnsiTheme="minorHAnsi"/>
          <w:sz w:val="22"/>
          <w:szCs w:val="22"/>
          <w:lang w:val="es-ES"/>
        </w:rPr>
        <w:t xml:space="preserve">.   </w:t>
      </w:r>
    </w:p>
    <w:p w:rsidR="00FF514E" w:rsidRPr="00FF514E" w:rsidRDefault="00FF514E" w:rsidP="00FF514E">
      <w:pPr>
        <w:jc w:val="both"/>
        <w:rPr>
          <w:rFonts w:asciiTheme="minorHAnsi" w:hAnsiTheme="minorHAnsi"/>
          <w:sz w:val="22"/>
          <w:szCs w:val="22"/>
          <w:lang w:val="es-ES"/>
        </w:rPr>
      </w:pPr>
    </w:p>
    <w:p w:rsidR="00FF514E" w:rsidRPr="00FF514E" w:rsidRDefault="00FF514E" w:rsidP="00FF514E">
      <w:pPr>
        <w:jc w:val="both"/>
        <w:rPr>
          <w:rFonts w:asciiTheme="minorHAnsi" w:hAnsiTheme="minorHAnsi"/>
          <w:sz w:val="22"/>
          <w:szCs w:val="22"/>
          <w:lang w:val="es-ES"/>
        </w:rPr>
      </w:pPr>
    </w:p>
    <w:p w:rsidR="00FF514E" w:rsidRPr="00FF514E" w:rsidRDefault="00FF514E" w:rsidP="00FF514E">
      <w:pPr>
        <w:jc w:val="right"/>
        <w:rPr>
          <w:rFonts w:asciiTheme="minorHAnsi" w:hAnsiTheme="minorHAnsi"/>
          <w:sz w:val="22"/>
          <w:szCs w:val="22"/>
          <w:lang w:val="es-ES"/>
        </w:rPr>
      </w:pPr>
    </w:p>
    <w:p w:rsidR="00FF514E" w:rsidRDefault="00FF514E" w:rsidP="00FF514E">
      <w:pPr>
        <w:jc w:val="center"/>
        <w:rPr>
          <w:rFonts w:asciiTheme="minorHAnsi" w:hAnsiTheme="minorHAnsi"/>
          <w:sz w:val="22"/>
          <w:szCs w:val="22"/>
        </w:rPr>
      </w:pPr>
    </w:p>
    <w:p w:rsidR="00FF514E" w:rsidRPr="00FF514E" w:rsidRDefault="00FF514E" w:rsidP="00FF514E">
      <w:pPr>
        <w:jc w:val="center"/>
        <w:rPr>
          <w:rFonts w:asciiTheme="minorHAnsi" w:hAnsiTheme="minorHAnsi"/>
          <w:sz w:val="22"/>
          <w:szCs w:val="22"/>
        </w:rPr>
      </w:pPr>
    </w:p>
    <w:p w:rsidR="00FF514E" w:rsidRPr="00FF514E" w:rsidRDefault="00FF514E" w:rsidP="00FF514E">
      <w:pPr>
        <w:jc w:val="right"/>
        <w:rPr>
          <w:rFonts w:asciiTheme="minorHAnsi" w:hAnsiTheme="minorHAnsi"/>
          <w:sz w:val="22"/>
          <w:szCs w:val="22"/>
          <w:lang w:val="es-ES"/>
        </w:rPr>
      </w:pPr>
    </w:p>
    <w:p w:rsidR="00FF514E" w:rsidRDefault="00FF514E" w:rsidP="00FF514E">
      <w:pPr>
        <w:jc w:val="right"/>
        <w:rPr>
          <w:rFonts w:asciiTheme="minorHAnsi" w:hAnsiTheme="minorHAnsi"/>
          <w:sz w:val="22"/>
          <w:szCs w:val="22"/>
          <w:lang w:val="es-ES"/>
        </w:rPr>
      </w:pPr>
    </w:p>
    <w:p w:rsidR="00FF514E" w:rsidRDefault="00FF514E" w:rsidP="00FF514E">
      <w:pPr>
        <w:jc w:val="right"/>
        <w:rPr>
          <w:rFonts w:asciiTheme="minorHAnsi" w:hAnsiTheme="minorHAnsi"/>
          <w:sz w:val="22"/>
          <w:szCs w:val="22"/>
          <w:lang w:val="es-ES"/>
        </w:rPr>
      </w:pPr>
    </w:p>
    <w:p w:rsidR="00FF514E" w:rsidRDefault="00FF514E" w:rsidP="00FF514E">
      <w:pPr>
        <w:jc w:val="right"/>
        <w:rPr>
          <w:rFonts w:asciiTheme="minorHAnsi" w:hAnsiTheme="minorHAnsi"/>
          <w:sz w:val="22"/>
          <w:szCs w:val="22"/>
          <w:lang w:val="es-ES"/>
        </w:rPr>
      </w:pPr>
    </w:p>
    <w:p w:rsidR="00FF514E" w:rsidRDefault="00FF514E" w:rsidP="00FF514E">
      <w:pPr>
        <w:jc w:val="right"/>
        <w:rPr>
          <w:rFonts w:asciiTheme="minorHAnsi" w:hAnsiTheme="minorHAnsi"/>
          <w:sz w:val="22"/>
          <w:szCs w:val="22"/>
          <w:lang w:val="es-ES"/>
        </w:rPr>
      </w:pPr>
    </w:p>
    <w:p w:rsidR="00FF514E" w:rsidRDefault="00FF514E" w:rsidP="00FF514E">
      <w:pPr>
        <w:jc w:val="right"/>
        <w:rPr>
          <w:rFonts w:asciiTheme="minorHAnsi" w:hAnsiTheme="minorHAnsi"/>
          <w:sz w:val="22"/>
          <w:szCs w:val="22"/>
          <w:lang w:val="es-ES"/>
        </w:rPr>
      </w:pPr>
    </w:p>
    <w:p w:rsidR="00FF514E" w:rsidRPr="00FF514E" w:rsidRDefault="00FF514E" w:rsidP="00FF514E">
      <w:pPr>
        <w:jc w:val="right"/>
        <w:rPr>
          <w:rFonts w:asciiTheme="minorHAnsi" w:hAnsiTheme="minorHAnsi"/>
          <w:sz w:val="22"/>
          <w:szCs w:val="22"/>
          <w:lang w:val="es-ES"/>
        </w:rPr>
      </w:pPr>
      <w:r w:rsidRPr="00FF514E">
        <w:rPr>
          <w:rFonts w:asciiTheme="minorHAnsi" w:hAnsiTheme="minorHAnsi"/>
          <w:sz w:val="22"/>
          <w:szCs w:val="22"/>
          <w:lang w:val="es-ES"/>
        </w:rPr>
        <w:t>Eduardo Vio Grossi</w:t>
      </w:r>
    </w:p>
    <w:p w:rsidR="00FF514E" w:rsidRPr="00FF514E" w:rsidRDefault="00FF514E" w:rsidP="00FF514E">
      <w:pPr>
        <w:ind w:left="6480" w:firstLine="720"/>
        <w:jc w:val="center"/>
        <w:rPr>
          <w:rFonts w:asciiTheme="minorHAnsi" w:hAnsiTheme="minorHAnsi"/>
          <w:sz w:val="22"/>
          <w:szCs w:val="22"/>
          <w:lang w:val="es-ES"/>
        </w:rPr>
      </w:pPr>
      <w:r w:rsidRPr="00FF514E">
        <w:rPr>
          <w:rFonts w:asciiTheme="minorHAnsi" w:hAnsiTheme="minorHAnsi"/>
          <w:sz w:val="22"/>
          <w:szCs w:val="22"/>
          <w:lang w:val="es-ES"/>
        </w:rPr>
        <w:t>Juez</w:t>
      </w:r>
    </w:p>
    <w:p w:rsidR="00FF514E" w:rsidRPr="00FF514E" w:rsidRDefault="00FF514E" w:rsidP="00FF514E">
      <w:pPr>
        <w:jc w:val="both"/>
        <w:rPr>
          <w:rFonts w:asciiTheme="minorHAnsi" w:hAnsiTheme="minorHAnsi"/>
          <w:sz w:val="22"/>
          <w:szCs w:val="22"/>
          <w:lang w:val="es-ES"/>
        </w:rPr>
      </w:pPr>
    </w:p>
    <w:p w:rsidR="00FF514E" w:rsidRPr="00FF514E" w:rsidRDefault="00FF514E" w:rsidP="00FF514E">
      <w:pPr>
        <w:jc w:val="both"/>
        <w:rPr>
          <w:rFonts w:asciiTheme="minorHAnsi" w:hAnsiTheme="minorHAnsi"/>
          <w:sz w:val="22"/>
          <w:szCs w:val="22"/>
          <w:lang w:val="es-ES"/>
        </w:rPr>
      </w:pPr>
    </w:p>
    <w:p w:rsidR="00FF514E" w:rsidRPr="00FF514E" w:rsidRDefault="00FF514E" w:rsidP="00FF514E">
      <w:pPr>
        <w:jc w:val="both"/>
        <w:rPr>
          <w:rFonts w:asciiTheme="minorHAnsi" w:hAnsiTheme="minorHAnsi"/>
          <w:sz w:val="22"/>
          <w:szCs w:val="22"/>
          <w:lang w:val="es-ES"/>
        </w:rPr>
      </w:pPr>
    </w:p>
    <w:p w:rsidR="00FF514E" w:rsidRPr="00FF514E" w:rsidRDefault="00FF514E" w:rsidP="00FF514E">
      <w:pPr>
        <w:jc w:val="both"/>
        <w:rPr>
          <w:rFonts w:asciiTheme="minorHAnsi" w:hAnsiTheme="minorHAnsi"/>
          <w:sz w:val="22"/>
          <w:szCs w:val="22"/>
          <w:lang w:val="es-ES"/>
        </w:rPr>
      </w:pPr>
      <w:r w:rsidRPr="00FF514E">
        <w:rPr>
          <w:rFonts w:asciiTheme="minorHAnsi" w:hAnsiTheme="minorHAnsi"/>
          <w:sz w:val="22"/>
          <w:szCs w:val="22"/>
          <w:lang w:val="es-ES"/>
        </w:rPr>
        <w:t>Pablo Saavedra Alessandri</w:t>
      </w:r>
    </w:p>
    <w:p w:rsidR="00FF514E" w:rsidRPr="00FF514E" w:rsidRDefault="00FF514E" w:rsidP="00FF514E">
      <w:pPr>
        <w:jc w:val="both"/>
        <w:rPr>
          <w:rFonts w:asciiTheme="minorHAnsi" w:hAnsiTheme="minorHAnsi"/>
          <w:sz w:val="22"/>
          <w:szCs w:val="22"/>
          <w:lang w:val="es-ES"/>
        </w:rPr>
      </w:pPr>
      <w:r w:rsidRPr="00FF514E">
        <w:rPr>
          <w:rFonts w:asciiTheme="minorHAnsi" w:hAnsiTheme="minorHAnsi"/>
          <w:sz w:val="22"/>
          <w:szCs w:val="22"/>
          <w:lang w:val="es-ES"/>
        </w:rPr>
        <w:t xml:space="preserve">            Secretario </w:t>
      </w:r>
    </w:p>
    <w:p w:rsidR="00FF514E" w:rsidRPr="00FF514E" w:rsidRDefault="00FF514E" w:rsidP="00DC1121">
      <w:pPr>
        <w:autoSpaceDE w:val="0"/>
        <w:autoSpaceDN w:val="0"/>
        <w:adjustRightInd w:val="0"/>
        <w:rPr>
          <w:rFonts w:asciiTheme="minorHAnsi" w:hAnsiTheme="minorHAnsi" w:cs="Verdana"/>
          <w:sz w:val="22"/>
          <w:szCs w:val="22"/>
          <w:lang w:val="es-ES"/>
        </w:rPr>
      </w:pPr>
    </w:p>
    <w:p w:rsidR="00DC1121" w:rsidRPr="00FF514E" w:rsidRDefault="00DC1121" w:rsidP="00DC1121">
      <w:pPr>
        <w:autoSpaceDE w:val="0"/>
        <w:autoSpaceDN w:val="0"/>
        <w:adjustRightInd w:val="0"/>
        <w:rPr>
          <w:rFonts w:asciiTheme="minorHAnsi" w:hAnsiTheme="minorHAnsi" w:cs="Verdana"/>
          <w:sz w:val="22"/>
          <w:szCs w:val="22"/>
          <w:lang w:val="es-ES"/>
        </w:rPr>
      </w:pPr>
    </w:p>
    <w:p w:rsidR="005B7601" w:rsidRPr="00FF514E" w:rsidRDefault="005B7601" w:rsidP="00BD3334">
      <w:pPr>
        <w:ind w:right="-90"/>
        <w:jc w:val="both"/>
        <w:rPr>
          <w:rFonts w:asciiTheme="minorHAnsi" w:hAnsiTheme="minorHAnsi"/>
          <w:sz w:val="22"/>
          <w:szCs w:val="22"/>
          <w:lang w:val="es-ES"/>
        </w:rPr>
      </w:pPr>
    </w:p>
    <w:sectPr w:rsidR="005B7601" w:rsidRPr="00FF514E" w:rsidSect="00B241DC">
      <w:footnotePr>
        <w:numRestart w:val="eachSect"/>
      </w:footnotePr>
      <w:pgSz w:w="11906" w:h="16838"/>
      <w:pgMar w:top="1417" w:right="1376" w:bottom="1417" w:left="1440"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DB8D03" w15:done="0"/>
  <w15:commentEx w15:paraId="5FBD954A" w15:done="0"/>
  <w15:commentEx w15:paraId="071512A0" w15:done="0"/>
  <w15:commentEx w15:paraId="4E783654" w15:done="0"/>
  <w15:commentEx w15:paraId="74C902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88" w:rsidRDefault="00F55288" w:rsidP="00507587">
      <w:r>
        <w:separator/>
      </w:r>
    </w:p>
  </w:endnote>
  <w:endnote w:type="continuationSeparator" w:id="0">
    <w:p w:rsidR="00F55288" w:rsidRDefault="00F55288" w:rsidP="0050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Univer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88" w:rsidRDefault="00F55288" w:rsidP="00507587">
      <w:r>
        <w:separator/>
      </w:r>
    </w:p>
  </w:footnote>
  <w:footnote w:type="continuationSeparator" w:id="0">
    <w:p w:rsidR="00F55288" w:rsidRDefault="00F55288" w:rsidP="00507587">
      <w:r>
        <w:continuationSeparator/>
      </w:r>
    </w:p>
  </w:footnote>
  <w:footnote w:id="1">
    <w:p w:rsidR="00A327CA" w:rsidRPr="00E50988" w:rsidRDefault="00A327CA" w:rsidP="00D67417">
      <w:pPr>
        <w:pStyle w:val="FootnoteText"/>
        <w:tabs>
          <w:tab w:val="left" w:pos="567"/>
        </w:tabs>
        <w:rPr>
          <w:rFonts w:eastAsia="Times New Roman"/>
          <w:spacing w:val="-6"/>
          <w:szCs w:val="16"/>
          <w:lang w:val="es-ES_tradnl"/>
        </w:rPr>
      </w:pPr>
      <w:r w:rsidRPr="00D67417">
        <w:rPr>
          <w:rStyle w:val="FootnoteReference"/>
          <w:spacing w:val="-6"/>
          <w:szCs w:val="16"/>
        </w:rPr>
        <w:sym w:font="Symbol" w:char="F02A"/>
      </w:r>
      <w:r w:rsidRPr="00D67417">
        <w:rPr>
          <w:spacing w:val="-6"/>
          <w:szCs w:val="16"/>
          <w:lang w:val="es-ES"/>
        </w:rPr>
        <w:t xml:space="preserve"> </w:t>
      </w:r>
      <w:r>
        <w:rPr>
          <w:rFonts w:eastAsia="MS Mincho"/>
          <w:szCs w:val="16"/>
          <w:lang w:val="es-CR"/>
        </w:rPr>
        <w:t>E</w:t>
      </w:r>
      <w:r w:rsidRPr="00F54FF9">
        <w:rPr>
          <w:rFonts w:eastAsia="MS Mincho"/>
          <w:szCs w:val="16"/>
          <w:lang w:val="es-CR"/>
        </w:rPr>
        <w:t>l Juez Presidente</w:t>
      </w:r>
      <w:r>
        <w:rPr>
          <w:rFonts w:eastAsia="MS Mincho"/>
          <w:szCs w:val="16"/>
          <w:lang w:val="es-CR"/>
        </w:rPr>
        <w:t xml:space="preserve"> Roberto F. Caldas, por razones de fuerza mayor aceptadas por el Pleno, no participó en la deliberación </w:t>
      </w:r>
      <w:r w:rsidR="00F6370D">
        <w:rPr>
          <w:rFonts w:eastAsia="MS Mincho"/>
          <w:szCs w:val="16"/>
          <w:lang w:val="es-CR"/>
        </w:rPr>
        <w:t>y firma de la presente Resolución</w:t>
      </w:r>
      <w:r>
        <w:rPr>
          <w:rFonts w:eastAsia="MS Mincho"/>
          <w:szCs w:val="16"/>
          <w:lang w:val="es-CR"/>
        </w:rPr>
        <w:t>. Por tal motivo, de conformidad con los artículos 4.2 y 5 del Reglamento del Tribunal, el Juez Eduardo Ferrer Mac-</w:t>
      </w:r>
      <w:proofErr w:type="spellStart"/>
      <w:r>
        <w:rPr>
          <w:rFonts w:eastAsia="MS Mincho"/>
          <w:szCs w:val="16"/>
          <w:lang w:val="es-CR"/>
        </w:rPr>
        <w:t>Gregor</w:t>
      </w:r>
      <w:proofErr w:type="spellEnd"/>
      <w:r>
        <w:rPr>
          <w:rFonts w:eastAsia="MS Mincho"/>
          <w:szCs w:val="16"/>
          <w:lang w:val="es-CR"/>
        </w:rPr>
        <w:t xml:space="preserve"> </w:t>
      </w:r>
      <w:proofErr w:type="spellStart"/>
      <w:r>
        <w:rPr>
          <w:rFonts w:eastAsia="MS Mincho"/>
          <w:szCs w:val="16"/>
          <w:lang w:val="es-CR"/>
        </w:rPr>
        <w:t>Poisot</w:t>
      </w:r>
      <w:proofErr w:type="spellEnd"/>
      <w:r>
        <w:rPr>
          <w:rFonts w:eastAsia="MS Mincho"/>
          <w:szCs w:val="16"/>
          <w:lang w:val="es-CR"/>
        </w:rPr>
        <w:t>, Vicepresidente de la Corte, asumió la Presidencia en ejer</w:t>
      </w:r>
      <w:r w:rsidR="00F6370D">
        <w:rPr>
          <w:rFonts w:eastAsia="MS Mincho"/>
          <w:szCs w:val="16"/>
          <w:lang w:val="es-CR"/>
        </w:rPr>
        <w:t>cicio respecto del presente asunto</w:t>
      </w:r>
      <w:r>
        <w:rPr>
          <w:rFonts w:eastAsia="MS Mincho"/>
          <w:szCs w:val="16"/>
          <w:lang w:val="es-CR"/>
        </w:rPr>
        <w:t xml:space="preserve">. </w:t>
      </w:r>
      <w:r w:rsidRPr="00E50988">
        <w:rPr>
          <w:spacing w:val="-6"/>
          <w:szCs w:val="16"/>
          <w:lang w:val="es-ES"/>
        </w:rPr>
        <w:t xml:space="preserve">El Juez </w:t>
      </w:r>
      <w:r w:rsidRPr="00E50988">
        <w:rPr>
          <w:spacing w:val="-4"/>
          <w:szCs w:val="16"/>
          <w:lang w:val="es-CR"/>
        </w:rPr>
        <w:t>Humberto Antonio Sierra Porto</w:t>
      </w:r>
      <w:r w:rsidRPr="00E50988">
        <w:rPr>
          <w:rFonts w:cs="Arial"/>
          <w:spacing w:val="-4"/>
          <w:szCs w:val="16"/>
          <w:lang w:val="es-CR"/>
        </w:rPr>
        <w:t>, de nacionalidad colombiana</w:t>
      </w:r>
      <w:r w:rsidRPr="00E50988">
        <w:rPr>
          <w:spacing w:val="-6"/>
          <w:szCs w:val="16"/>
          <w:lang w:val="es-ES"/>
        </w:rPr>
        <w:t xml:space="preserve">, no participó en </w:t>
      </w:r>
      <w:r w:rsidR="004A0C4F">
        <w:rPr>
          <w:spacing w:val="-6"/>
          <w:szCs w:val="16"/>
          <w:lang w:val="es-ES"/>
        </w:rPr>
        <w:t xml:space="preserve">la </w:t>
      </w:r>
      <w:r w:rsidR="00F6370D" w:rsidRPr="00EB5931">
        <w:rPr>
          <w:spacing w:val="-6"/>
          <w:szCs w:val="16"/>
          <w:lang w:val="es-ES"/>
        </w:rPr>
        <w:t xml:space="preserve">deliberación </w:t>
      </w:r>
      <w:r w:rsidR="004A0C4F">
        <w:rPr>
          <w:spacing w:val="-6"/>
          <w:szCs w:val="16"/>
          <w:lang w:val="es-ES"/>
        </w:rPr>
        <w:t xml:space="preserve">y firma </w:t>
      </w:r>
      <w:r w:rsidR="00F6370D" w:rsidRPr="00EB5931">
        <w:rPr>
          <w:spacing w:val="-6"/>
          <w:szCs w:val="16"/>
          <w:lang w:val="es-ES"/>
        </w:rPr>
        <w:t>de</w:t>
      </w:r>
      <w:r w:rsidR="00F6370D">
        <w:rPr>
          <w:spacing w:val="-6"/>
          <w:szCs w:val="16"/>
          <w:lang w:val="es-ES"/>
        </w:rPr>
        <w:t xml:space="preserve"> la presente R</w:t>
      </w:r>
      <w:r w:rsidRPr="00E50988">
        <w:rPr>
          <w:spacing w:val="-6"/>
          <w:szCs w:val="16"/>
          <w:lang w:val="es-ES"/>
        </w:rPr>
        <w:t>esolución, de conformidad con lo dispuesto en el artículo 19.1 del Reglamento de la Corte.</w:t>
      </w:r>
    </w:p>
  </w:footnote>
  <w:footnote w:id="2">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CR"/>
        </w:rPr>
        <w:t xml:space="preserve"> </w:t>
      </w:r>
      <w:r w:rsidRPr="00E50988">
        <w:rPr>
          <w:i/>
          <w:szCs w:val="16"/>
          <w:lang w:val="es-CR"/>
        </w:rPr>
        <w:t xml:space="preserve">Caso </w:t>
      </w:r>
      <w:proofErr w:type="spellStart"/>
      <w:r w:rsidRPr="00E50988">
        <w:rPr>
          <w:i/>
          <w:szCs w:val="16"/>
          <w:lang w:val="es-CR"/>
        </w:rPr>
        <w:t>Yarce</w:t>
      </w:r>
      <w:proofErr w:type="spellEnd"/>
      <w:r w:rsidRPr="00E50988">
        <w:rPr>
          <w:i/>
          <w:szCs w:val="16"/>
          <w:lang w:val="es-CR"/>
        </w:rPr>
        <w:t xml:space="preserve"> y otras Vs. Colombia. Excepción Preliminar, Fondo, Reparaciones y Costas</w:t>
      </w:r>
      <w:r w:rsidRPr="00E50988">
        <w:rPr>
          <w:szCs w:val="16"/>
          <w:lang w:val="es-CR"/>
        </w:rPr>
        <w:t>. Sentencia de 22 de noviembre de 2016. Serie C No. 325. El presente asunto inició con una presentación de la Comisión Interamericana de Derechos Humanos de 3 de julio de 2006 (</w:t>
      </w:r>
      <w:r w:rsidRPr="00E50988">
        <w:rPr>
          <w:i/>
          <w:szCs w:val="16"/>
          <w:lang w:val="es-CR"/>
        </w:rPr>
        <w:t>Cfr.</w:t>
      </w:r>
      <w:r w:rsidRPr="00E50988">
        <w:rPr>
          <w:szCs w:val="16"/>
          <w:lang w:val="es-CR"/>
        </w:rPr>
        <w:t xml:space="preserve"> </w:t>
      </w:r>
      <w:r w:rsidRPr="00E50988">
        <w:rPr>
          <w:i/>
          <w:szCs w:val="16"/>
          <w:lang w:val="es-CR"/>
        </w:rPr>
        <w:t>Asunto Mery Naranjo y otros respecto Colombia. Medidas Provisionales.</w:t>
      </w:r>
      <w:r w:rsidRPr="00E50988">
        <w:rPr>
          <w:szCs w:val="16"/>
          <w:lang w:val="es-CR"/>
        </w:rPr>
        <w:t xml:space="preserve"> Resolución de la Corte de 5 de julio de 2006). El caso contencioso vinculado a las medidas provisionales fue sometido a la Corte por la Comisión el 3 de junio de 2014. Consta en la Sentencia que “el expediente del trámite de las medidas provisionales Mery Naranjo y otros se integrar[</w:t>
      </w:r>
      <w:proofErr w:type="spellStart"/>
      <w:r w:rsidRPr="00E50988">
        <w:rPr>
          <w:szCs w:val="16"/>
          <w:lang w:val="es-CR"/>
        </w:rPr>
        <w:t>ó</w:t>
      </w:r>
      <w:proofErr w:type="spellEnd"/>
      <w:r w:rsidRPr="00E50988">
        <w:rPr>
          <w:szCs w:val="16"/>
          <w:lang w:val="es-CR"/>
        </w:rPr>
        <w:t xml:space="preserve">], en lo pertinente, al expediente contencioso del </w:t>
      </w:r>
      <w:r w:rsidRPr="00E50988">
        <w:rPr>
          <w:i/>
          <w:szCs w:val="16"/>
          <w:lang w:val="es-CR"/>
        </w:rPr>
        <w:t xml:space="preserve">Caso </w:t>
      </w:r>
      <w:proofErr w:type="spellStart"/>
      <w:r w:rsidRPr="00E50988">
        <w:rPr>
          <w:i/>
          <w:szCs w:val="16"/>
          <w:lang w:val="es-CR"/>
        </w:rPr>
        <w:t>Yarce</w:t>
      </w:r>
      <w:proofErr w:type="spellEnd"/>
      <w:r w:rsidRPr="00E50988">
        <w:rPr>
          <w:i/>
          <w:szCs w:val="16"/>
          <w:lang w:val="es-CR"/>
        </w:rPr>
        <w:t xml:space="preserve"> y otras vs. Colombia</w:t>
      </w:r>
      <w:r w:rsidRPr="00E50988">
        <w:rPr>
          <w:szCs w:val="16"/>
          <w:lang w:val="es-CR"/>
        </w:rPr>
        <w:t>”. (</w:t>
      </w:r>
      <w:r>
        <w:rPr>
          <w:i/>
          <w:szCs w:val="16"/>
          <w:lang w:val="es-CR"/>
        </w:rPr>
        <w:t>C</w:t>
      </w:r>
      <w:r w:rsidRPr="00A327CA">
        <w:rPr>
          <w:i/>
          <w:szCs w:val="16"/>
          <w:lang w:val="es-CR"/>
        </w:rPr>
        <w:t>fr</w:t>
      </w:r>
      <w:r w:rsidRPr="00E50988">
        <w:rPr>
          <w:szCs w:val="16"/>
          <w:lang w:val="es-CR"/>
        </w:rPr>
        <w:t xml:space="preserve">. </w:t>
      </w:r>
      <w:r w:rsidRPr="00E50988">
        <w:rPr>
          <w:i/>
          <w:szCs w:val="16"/>
          <w:lang w:val="es-CR"/>
        </w:rPr>
        <w:t xml:space="preserve">Caso </w:t>
      </w:r>
      <w:proofErr w:type="spellStart"/>
      <w:r w:rsidRPr="00E50988">
        <w:rPr>
          <w:i/>
          <w:szCs w:val="16"/>
          <w:lang w:val="es-CR"/>
        </w:rPr>
        <w:t>Yarce</w:t>
      </w:r>
      <w:proofErr w:type="spellEnd"/>
      <w:r w:rsidRPr="00E50988">
        <w:rPr>
          <w:i/>
          <w:szCs w:val="16"/>
          <w:lang w:val="es-CR"/>
        </w:rPr>
        <w:t xml:space="preserve"> y otras Vs. Colombia. Excepción Preliminar, Fondo, Reparaciones y Costas.</w:t>
      </w:r>
      <w:r w:rsidRPr="00E50988">
        <w:rPr>
          <w:szCs w:val="16"/>
          <w:lang w:val="es-CR"/>
        </w:rPr>
        <w:t xml:space="preserve"> Sentencia de 22 de noviembre de 2016. Serie C No. 325, párrafos 1 y 17). </w:t>
      </w:r>
    </w:p>
  </w:footnote>
  <w:footnote w:id="3">
    <w:p w:rsidR="00A327CA" w:rsidRPr="00E50988" w:rsidRDefault="00A327CA" w:rsidP="00E50988">
      <w:pPr>
        <w:pStyle w:val="FootnoteText"/>
        <w:rPr>
          <w:szCs w:val="16"/>
          <w:lang w:val="es-ES"/>
        </w:rPr>
      </w:pPr>
      <w:r w:rsidRPr="00E50988">
        <w:rPr>
          <w:rStyle w:val="FootnoteReference"/>
          <w:szCs w:val="16"/>
        </w:rPr>
        <w:footnoteRef/>
      </w:r>
      <w:r w:rsidRPr="00E50988">
        <w:rPr>
          <w:szCs w:val="16"/>
          <w:lang w:val="es-ES"/>
        </w:rPr>
        <w:t xml:space="preserve"> </w:t>
      </w:r>
      <w:r w:rsidRPr="00E50988">
        <w:rPr>
          <w:i/>
          <w:szCs w:val="16"/>
          <w:lang w:val="es-ES"/>
        </w:rPr>
        <w:t>Cfr.</w:t>
      </w:r>
      <w:r w:rsidRPr="00E50988">
        <w:rPr>
          <w:szCs w:val="16"/>
          <w:lang w:val="es-ES"/>
        </w:rPr>
        <w:t xml:space="preserve"> </w:t>
      </w:r>
      <w:r w:rsidRPr="00E50988">
        <w:rPr>
          <w:i/>
          <w:szCs w:val="16"/>
          <w:lang w:val="es-CR"/>
        </w:rPr>
        <w:t>Asunto Mery Naranjo y otros</w:t>
      </w:r>
      <w:r>
        <w:rPr>
          <w:i/>
          <w:szCs w:val="16"/>
          <w:lang w:val="es-CR"/>
        </w:rPr>
        <w:t xml:space="preserve"> respecto Colombia</w:t>
      </w:r>
      <w:r w:rsidRPr="00E50988">
        <w:rPr>
          <w:i/>
          <w:szCs w:val="16"/>
          <w:lang w:val="es-CR"/>
        </w:rPr>
        <w:t>.</w:t>
      </w:r>
      <w:r w:rsidRPr="00E50988">
        <w:rPr>
          <w:szCs w:val="16"/>
          <w:lang w:val="es-CR"/>
        </w:rPr>
        <w:t xml:space="preserve"> </w:t>
      </w:r>
      <w:r w:rsidRPr="00A327CA">
        <w:rPr>
          <w:i/>
          <w:szCs w:val="16"/>
          <w:lang w:val="es-CR"/>
        </w:rPr>
        <w:t>Medidas Provisionales</w:t>
      </w:r>
      <w:r w:rsidRPr="00E50988">
        <w:rPr>
          <w:szCs w:val="16"/>
          <w:lang w:val="es-CR"/>
        </w:rPr>
        <w:t>. Resolución de la Corte de 5 de julio de 2006, resolutivos 1 y 2.</w:t>
      </w:r>
    </w:p>
  </w:footnote>
  <w:footnote w:id="4">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CR"/>
        </w:rPr>
        <w:t xml:space="preserve"> En ese sentido, las representantes el 26 de mayo de 2014 mencionaron el “cierre forzado” de la sede del GIDH a partir de hechos de amenazas. </w:t>
      </w:r>
    </w:p>
  </w:footnote>
  <w:footnote w:id="5">
    <w:p w:rsidR="00A327CA" w:rsidRPr="006931EB" w:rsidRDefault="00A327CA">
      <w:pPr>
        <w:pStyle w:val="FootnoteText"/>
        <w:rPr>
          <w:lang w:val="es-CR"/>
        </w:rPr>
      </w:pPr>
      <w:r w:rsidRPr="006931EB">
        <w:rPr>
          <w:rStyle w:val="FootnoteReference"/>
        </w:rPr>
        <w:footnoteRef/>
      </w:r>
      <w:r w:rsidRPr="006931EB">
        <w:rPr>
          <w:lang w:val="es-CR"/>
        </w:rPr>
        <w:t xml:space="preserve"> </w:t>
      </w:r>
      <w:r w:rsidRPr="006931EB">
        <w:rPr>
          <w:rFonts w:eastAsia="Calibri" w:cs="Verdana"/>
          <w:i/>
          <w:color w:val="000000"/>
          <w:szCs w:val="16"/>
          <w:lang w:val="es-CR"/>
        </w:rPr>
        <w:t>Cfr</w:t>
      </w:r>
      <w:r w:rsidRPr="006931EB">
        <w:rPr>
          <w:rFonts w:eastAsia="Calibri" w:cs="Verdana"/>
          <w:color w:val="000000"/>
          <w:szCs w:val="16"/>
          <w:lang w:val="es-CR"/>
        </w:rPr>
        <w:t xml:space="preserve">., en el mismo sentido, </w:t>
      </w:r>
      <w:r w:rsidRPr="006931EB">
        <w:rPr>
          <w:rFonts w:eastAsia="Calibri" w:cs="Verdana"/>
          <w:i/>
          <w:color w:val="000000"/>
          <w:szCs w:val="16"/>
          <w:lang w:val="es-CR"/>
        </w:rPr>
        <w:t>Asunto Meléndez Quijano y otros respecto de El Salvador. Medidas Provisionales.</w:t>
      </w:r>
      <w:r w:rsidRPr="006931EB">
        <w:rPr>
          <w:rFonts w:eastAsia="Calibri" w:cs="Verdana"/>
          <w:color w:val="000000"/>
          <w:szCs w:val="16"/>
          <w:lang w:val="es-CR"/>
        </w:rPr>
        <w:t xml:space="preserve"> Resolución de la Corte de 17 de abril de 2015, Considerando 26.</w:t>
      </w:r>
    </w:p>
  </w:footnote>
  <w:footnote w:id="6">
    <w:p w:rsidR="00A327CA" w:rsidRPr="00E50988" w:rsidRDefault="00A327CA" w:rsidP="00E50988">
      <w:pPr>
        <w:pStyle w:val="FootnoteText"/>
        <w:rPr>
          <w:szCs w:val="16"/>
          <w:lang w:val="es-AR"/>
        </w:rPr>
      </w:pPr>
      <w:r w:rsidRPr="00E50988">
        <w:rPr>
          <w:rStyle w:val="FootnoteReference"/>
          <w:szCs w:val="16"/>
        </w:rPr>
        <w:footnoteRef/>
      </w:r>
      <w:r w:rsidRPr="00E50988">
        <w:rPr>
          <w:szCs w:val="16"/>
          <w:lang w:val="es-ES"/>
        </w:rPr>
        <w:t xml:space="preserve"> </w:t>
      </w:r>
      <w:r w:rsidRPr="00E50988">
        <w:rPr>
          <w:i/>
          <w:szCs w:val="16"/>
          <w:lang w:val="es-ES"/>
        </w:rPr>
        <w:t>Cfr. Asunto Pilar Noriega García y otros</w:t>
      </w:r>
      <w:r>
        <w:rPr>
          <w:i/>
          <w:szCs w:val="16"/>
          <w:lang w:val="es-ES"/>
        </w:rPr>
        <w:t xml:space="preserve"> respecto México</w:t>
      </w:r>
      <w:r w:rsidRPr="00E50988">
        <w:rPr>
          <w:szCs w:val="16"/>
          <w:lang w:val="es-ES"/>
        </w:rPr>
        <w:t xml:space="preserve">. Medidas Provisionales. </w:t>
      </w:r>
      <w:r w:rsidRPr="00E50988">
        <w:rPr>
          <w:bCs/>
          <w:color w:val="000000"/>
          <w:szCs w:val="16"/>
          <w:lang w:val="es-ES"/>
        </w:rPr>
        <w:t xml:space="preserve">Resolución de la Corte </w:t>
      </w:r>
      <w:r w:rsidRPr="00E50988">
        <w:rPr>
          <w:szCs w:val="16"/>
          <w:lang w:val="es-ES"/>
        </w:rPr>
        <w:t>de 6 de febrero de 2008, Considerando 14, y</w:t>
      </w:r>
      <w:r w:rsidRPr="00E50988">
        <w:rPr>
          <w:i/>
          <w:szCs w:val="16"/>
          <w:lang w:val="es-ES"/>
        </w:rPr>
        <w:t xml:space="preserve"> </w:t>
      </w:r>
      <w:r>
        <w:rPr>
          <w:i/>
          <w:szCs w:val="16"/>
          <w:lang w:val="es-ES"/>
        </w:rPr>
        <w:t xml:space="preserve">Caso Fernández Ortega y otros Vs México. </w:t>
      </w:r>
      <w:r w:rsidRPr="00A327CA">
        <w:rPr>
          <w:szCs w:val="16"/>
          <w:lang w:val="es-ES"/>
        </w:rPr>
        <w:t>Medidas Provisionales. Resolución de la Corte 23 de febrero de 2016, Considerando 37</w:t>
      </w:r>
      <w:r>
        <w:rPr>
          <w:i/>
          <w:szCs w:val="16"/>
          <w:lang w:val="es-ES"/>
        </w:rPr>
        <w:t xml:space="preserve">. </w:t>
      </w:r>
    </w:p>
  </w:footnote>
  <w:footnote w:id="7">
    <w:p w:rsidR="00A327CA" w:rsidRPr="00E50988" w:rsidRDefault="00A327CA" w:rsidP="00E50988">
      <w:pPr>
        <w:pStyle w:val="FootnoteText"/>
        <w:rPr>
          <w:szCs w:val="16"/>
          <w:lang w:val="es-ES"/>
        </w:rPr>
      </w:pPr>
      <w:r w:rsidRPr="001323BD">
        <w:rPr>
          <w:rStyle w:val="FootnoteReference"/>
          <w:szCs w:val="16"/>
        </w:rPr>
        <w:footnoteRef/>
      </w:r>
      <w:r w:rsidRPr="001323BD">
        <w:rPr>
          <w:szCs w:val="16"/>
          <w:lang w:val="es-ES"/>
        </w:rPr>
        <w:t xml:space="preserve"> </w:t>
      </w:r>
      <w:r w:rsidRPr="001323BD">
        <w:rPr>
          <w:i/>
          <w:szCs w:val="16"/>
          <w:lang w:val="es-ES"/>
        </w:rPr>
        <w:t xml:space="preserve">Cfr. Asunto del Internado Judicial de Monagas (“La Pica”) respecto Venezuela. </w:t>
      </w:r>
      <w:r w:rsidRPr="001323BD">
        <w:rPr>
          <w:szCs w:val="16"/>
          <w:lang w:val="es-ES"/>
        </w:rPr>
        <w:t>Medidas Provisionales. Resolución de la Corte 3 de julio de 20</w:t>
      </w:r>
      <w:r w:rsidR="001323BD" w:rsidRPr="001323BD">
        <w:rPr>
          <w:szCs w:val="16"/>
          <w:lang w:val="es-ES"/>
        </w:rPr>
        <w:t>0</w:t>
      </w:r>
      <w:r w:rsidRPr="001323BD">
        <w:rPr>
          <w:szCs w:val="16"/>
          <w:lang w:val="es-ES"/>
        </w:rPr>
        <w:t>7, Considerando 23,</w:t>
      </w:r>
      <w:r w:rsidRPr="001323BD">
        <w:rPr>
          <w:i/>
          <w:szCs w:val="16"/>
          <w:lang w:val="es-ES"/>
        </w:rPr>
        <w:t xml:space="preserve"> </w:t>
      </w:r>
      <w:r w:rsidRPr="001323BD">
        <w:rPr>
          <w:szCs w:val="16"/>
          <w:lang w:val="es-ES"/>
        </w:rPr>
        <w:t>y</w:t>
      </w:r>
      <w:r w:rsidRPr="001323BD">
        <w:rPr>
          <w:i/>
          <w:szCs w:val="16"/>
          <w:lang w:val="es-ES"/>
        </w:rPr>
        <w:t xml:space="preserve"> Asunto Pobladores de las Comunidades del Pueblo Indígena </w:t>
      </w:r>
      <w:proofErr w:type="spellStart"/>
      <w:r w:rsidRPr="001323BD">
        <w:rPr>
          <w:i/>
          <w:szCs w:val="16"/>
          <w:lang w:val="es-ES"/>
        </w:rPr>
        <w:t>Miskitu</w:t>
      </w:r>
      <w:proofErr w:type="spellEnd"/>
      <w:r w:rsidRPr="001323BD">
        <w:rPr>
          <w:i/>
          <w:szCs w:val="16"/>
          <w:lang w:val="es-ES"/>
        </w:rPr>
        <w:t xml:space="preserve"> de la Región Costa Caribe Norte respecto de Nicaragua</w:t>
      </w:r>
      <w:r w:rsidRPr="001323BD">
        <w:rPr>
          <w:szCs w:val="16"/>
          <w:lang w:val="es-ES"/>
        </w:rPr>
        <w:t xml:space="preserve">. Medidas Provisionales. Resolución de la Corte de 23 de noviembre de 2016, Considerando 34. </w:t>
      </w:r>
    </w:p>
  </w:footnote>
  <w:footnote w:id="8">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CR"/>
        </w:rPr>
        <w:t xml:space="preserve"> </w:t>
      </w:r>
      <w:r w:rsidRPr="00E50988">
        <w:rPr>
          <w:i/>
          <w:szCs w:val="16"/>
          <w:lang w:val="es-CR"/>
        </w:rPr>
        <w:t>Asunto Mery Naranjo y otros respecto Colombia. Medidas Provisionales</w:t>
      </w:r>
      <w:r w:rsidRPr="00E50988">
        <w:rPr>
          <w:szCs w:val="16"/>
          <w:lang w:val="es-CR"/>
        </w:rPr>
        <w:t>. Resol</w:t>
      </w:r>
      <w:r>
        <w:rPr>
          <w:szCs w:val="16"/>
          <w:lang w:val="es-CR"/>
        </w:rPr>
        <w:t>ución de la Corte</w:t>
      </w:r>
      <w:r w:rsidRPr="00E50988">
        <w:rPr>
          <w:szCs w:val="16"/>
          <w:lang w:val="es-CR"/>
        </w:rPr>
        <w:t xml:space="preserve"> de 25 de noviembre de 2010, Considerando 79. </w:t>
      </w:r>
    </w:p>
  </w:footnote>
  <w:footnote w:id="9">
    <w:p w:rsidR="00A327CA" w:rsidRPr="007C1294" w:rsidRDefault="00A327CA" w:rsidP="004B63B6">
      <w:pPr>
        <w:pStyle w:val="FootnoteText"/>
        <w:rPr>
          <w:lang w:val="es-CR"/>
        </w:rPr>
      </w:pPr>
      <w:r>
        <w:rPr>
          <w:rStyle w:val="FootnoteReference"/>
        </w:rPr>
        <w:footnoteRef/>
      </w:r>
      <w:r w:rsidRPr="004B63B6">
        <w:rPr>
          <w:lang w:val="es-CR"/>
        </w:rPr>
        <w:t xml:space="preserve"> </w:t>
      </w:r>
      <w:r>
        <w:rPr>
          <w:lang w:val="es-CR"/>
        </w:rPr>
        <w:t>Al respecto, cabe recordar que ya con anterioridad, el 25 de noviembre de 2010, la Corte expresó que había “</w:t>
      </w:r>
      <w:r w:rsidRPr="004B63B6">
        <w:rPr>
          <w:lang w:val="es-CR"/>
        </w:rPr>
        <w:t>toma</w:t>
      </w:r>
      <w:r>
        <w:rPr>
          <w:lang w:val="es-CR"/>
        </w:rPr>
        <w:t>[do]</w:t>
      </w:r>
      <w:r w:rsidRPr="004B63B6">
        <w:rPr>
          <w:lang w:val="es-CR"/>
        </w:rPr>
        <w:t xml:space="preserve"> nota de </w:t>
      </w:r>
      <w:r>
        <w:rPr>
          <w:lang w:val="es-CR"/>
        </w:rPr>
        <w:t xml:space="preserve">[…] </w:t>
      </w:r>
      <w:r w:rsidRPr="004B63B6">
        <w:rPr>
          <w:lang w:val="es-CR"/>
        </w:rPr>
        <w:t xml:space="preserve">información </w:t>
      </w:r>
      <w:r>
        <w:rPr>
          <w:lang w:val="es-CR"/>
        </w:rPr>
        <w:t xml:space="preserve">[…] </w:t>
      </w:r>
      <w:r w:rsidRPr="004B63B6">
        <w:rPr>
          <w:lang w:val="es-CR"/>
        </w:rPr>
        <w:t xml:space="preserve">en relación con </w:t>
      </w:r>
      <w:r>
        <w:rPr>
          <w:lang w:val="es-CR"/>
        </w:rPr>
        <w:t xml:space="preserve">[…] </w:t>
      </w:r>
      <w:r w:rsidRPr="004B63B6">
        <w:rPr>
          <w:lang w:val="es-CR"/>
        </w:rPr>
        <w:t>Luisa María Escudero Jiménez, quien habría resultado herida como consecuencia de hechos que dieron origen a las presentes medidas provisionales</w:t>
      </w:r>
      <w:r>
        <w:rPr>
          <w:lang w:val="es-CR"/>
        </w:rPr>
        <w:t>”, y había “</w:t>
      </w:r>
      <w:r w:rsidRPr="004B63B6">
        <w:rPr>
          <w:lang w:val="es-CR"/>
        </w:rPr>
        <w:t>valora</w:t>
      </w:r>
      <w:r>
        <w:rPr>
          <w:lang w:val="es-CR"/>
        </w:rPr>
        <w:t>[do]</w:t>
      </w:r>
      <w:r w:rsidRPr="004B63B6">
        <w:rPr>
          <w:lang w:val="es-CR"/>
        </w:rPr>
        <w:t xml:space="preserve"> positivamente el compromiso adquirido por el Estado de brindar atención médica y psicológica</w:t>
      </w:r>
      <w:r>
        <w:rPr>
          <w:lang w:val="es-CR"/>
        </w:rPr>
        <w:t>”, pero había “</w:t>
      </w:r>
      <w:proofErr w:type="spellStart"/>
      <w:r w:rsidRPr="004B63B6">
        <w:rPr>
          <w:lang w:val="es-CR"/>
        </w:rPr>
        <w:t>rec</w:t>
      </w:r>
      <w:proofErr w:type="spellEnd"/>
      <w:r>
        <w:rPr>
          <w:lang w:val="es-CR"/>
        </w:rPr>
        <w:t>[</w:t>
      </w:r>
      <w:proofErr w:type="spellStart"/>
      <w:r>
        <w:rPr>
          <w:lang w:val="es-CR"/>
        </w:rPr>
        <w:t>ordado</w:t>
      </w:r>
      <w:proofErr w:type="spellEnd"/>
      <w:r>
        <w:rPr>
          <w:lang w:val="es-CR"/>
        </w:rPr>
        <w:t>]</w:t>
      </w:r>
      <w:r w:rsidRPr="004B63B6">
        <w:rPr>
          <w:lang w:val="es-CR"/>
        </w:rPr>
        <w:t xml:space="preserve"> que en su Resolución de 31 de enero de 2008 solicitó a las partes información detallada y actualizada en relación con las medidas que hubiese adoptado y dispusiera el Estado para proteger eficazmente la vida e integridad personal de la niña Luisa María Escudero Jiménez</w:t>
      </w:r>
      <w:r>
        <w:rPr>
          <w:lang w:val="es-CR"/>
        </w:rPr>
        <w:t>”</w:t>
      </w:r>
      <w:r w:rsidRPr="004B63B6">
        <w:rPr>
          <w:lang w:val="es-CR"/>
        </w:rPr>
        <w:t xml:space="preserve">. Al respecto, </w:t>
      </w:r>
      <w:r>
        <w:rPr>
          <w:lang w:val="es-CR"/>
        </w:rPr>
        <w:t>este Tribunal en esa oportunidad “</w:t>
      </w:r>
      <w:proofErr w:type="spellStart"/>
      <w:r w:rsidRPr="004B63B6">
        <w:rPr>
          <w:lang w:val="es-CR"/>
        </w:rPr>
        <w:t>not</w:t>
      </w:r>
      <w:proofErr w:type="spellEnd"/>
      <w:r>
        <w:rPr>
          <w:lang w:val="es-CR"/>
        </w:rPr>
        <w:t>[</w:t>
      </w:r>
      <w:proofErr w:type="spellStart"/>
      <w:r>
        <w:rPr>
          <w:lang w:val="es-CR"/>
        </w:rPr>
        <w:t>ó</w:t>
      </w:r>
      <w:proofErr w:type="spellEnd"/>
      <w:r>
        <w:rPr>
          <w:lang w:val="es-CR"/>
        </w:rPr>
        <w:t>]</w:t>
      </w:r>
      <w:r w:rsidRPr="004B63B6">
        <w:rPr>
          <w:lang w:val="es-CR"/>
        </w:rPr>
        <w:t xml:space="preserve"> que luego de marzo de 2009 no </w:t>
      </w:r>
      <w:proofErr w:type="gramStart"/>
      <w:r w:rsidRPr="004B63B6">
        <w:rPr>
          <w:lang w:val="es-CR"/>
        </w:rPr>
        <w:t>ha</w:t>
      </w:r>
      <w:r>
        <w:rPr>
          <w:lang w:val="es-CR"/>
        </w:rPr>
        <w:t>[</w:t>
      </w:r>
      <w:proofErr w:type="spellStart"/>
      <w:proofErr w:type="gramEnd"/>
      <w:r>
        <w:rPr>
          <w:lang w:val="es-CR"/>
        </w:rPr>
        <w:t>bía</w:t>
      </w:r>
      <w:proofErr w:type="spellEnd"/>
      <w:r>
        <w:rPr>
          <w:lang w:val="es-CR"/>
        </w:rPr>
        <w:t>]</w:t>
      </w:r>
      <w:r w:rsidRPr="004B63B6">
        <w:rPr>
          <w:lang w:val="es-CR"/>
        </w:rPr>
        <w:t xml:space="preserve"> recibido información detallada, distinta a la atención médica brindada</w:t>
      </w:r>
      <w:r w:rsidR="004A0C4F">
        <w:rPr>
          <w:lang w:val="es-CR"/>
        </w:rPr>
        <w:t>”.</w:t>
      </w:r>
      <w:r>
        <w:rPr>
          <w:lang w:val="es-CR"/>
        </w:rPr>
        <w:t xml:space="preserve"> (</w:t>
      </w:r>
      <w:r w:rsidRPr="007C1294">
        <w:rPr>
          <w:i/>
          <w:lang w:val="es-CR"/>
        </w:rPr>
        <w:t xml:space="preserve">Asunto Mery Naranjo y otros respecto </w:t>
      </w:r>
      <w:r w:rsidR="004A0C4F">
        <w:rPr>
          <w:i/>
          <w:lang w:val="es-CR"/>
        </w:rPr>
        <w:t>Colombia. Medidas Provisionales, supra</w:t>
      </w:r>
      <w:r>
        <w:rPr>
          <w:lang w:val="es-CR"/>
        </w:rPr>
        <w:t>, Considerandos 35 y 36).</w:t>
      </w:r>
    </w:p>
  </w:footnote>
  <w:footnote w:id="10">
    <w:p w:rsidR="00A327CA" w:rsidRPr="00E50988" w:rsidRDefault="00A327CA" w:rsidP="00E50988">
      <w:pPr>
        <w:pStyle w:val="FootnoteText"/>
        <w:rPr>
          <w:szCs w:val="16"/>
          <w:lang w:val="es-CR"/>
        </w:rPr>
      </w:pPr>
      <w:r w:rsidRPr="00E50988">
        <w:rPr>
          <w:rStyle w:val="FootnoteReference"/>
          <w:szCs w:val="16"/>
        </w:rPr>
        <w:footnoteRef/>
      </w:r>
      <w:r w:rsidR="001323BD">
        <w:rPr>
          <w:szCs w:val="16"/>
          <w:lang w:val="es-CR"/>
        </w:rPr>
        <w:t xml:space="preserve"> </w:t>
      </w:r>
      <w:r w:rsidRPr="00E50988">
        <w:rPr>
          <w:szCs w:val="16"/>
          <w:lang w:val="es-CR"/>
        </w:rPr>
        <w:t xml:space="preserve">En este informe, así como en el informe de </w:t>
      </w:r>
      <w:r>
        <w:rPr>
          <w:szCs w:val="16"/>
          <w:lang w:val="es-CR"/>
        </w:rPr>
        <w:t>23 de octubre</w:t>
      </w:r>
      <w:r w:rsidRPr="00E50988">
        <w:rPr>
          <w:szCs w:val="16"/>
          <w:lang w:val="es-CR"/>
        </w:rPr>
        <w:t xml:space="preserve"> de 2013 y de </w:t>
      </w:r>
      <w:r>
        <w:rPr>
          <w:szCs w:val="16"/>
          <w:lang w:val="es-CR"/>
        </w:rPr>
        <w:t xml:space="preserve"> 27 de diciembre</w:t>
      </w:r>
      <w:r w:rsidRPr="00E50988">
        <w:rPr>
          <w:szCs w:val="16"/>
          <w:lang w:val="es-CR"/>
        </w:rPr>
        <w:t xml:space="preserve"> de 2014, el Estado comunicó que “[e]n el mes de junio se efectuó una visita a la residencia de la señora Mery Naranjo y proporcionó sus números de celular y </w:t>
      </w:r>
      <w:proofErr w:type="spellStart"/>
      <w:r w:rsidRPr="00E50988">
        <w:rPr>
          <w:szCs w:val="16"/>
          <w:lang w:val="es-CR"/>
        </w:rPr>
        <w:t>avantel</w:t>
      </w:r>
      <w:proofErr w:type="spellEnd"/>
      <w:r w:rsidRPr="00E50988">
        <w:rPr>
          <w:szCs w:val="16"/>
          <w:lang w:val="es-CR"/>
        </w:rPr>
        <w:t xml:space="preserve"> para que sea comunicada cualquier situación de riesgo. Además las beneficiarias cuentan con el número telefónico del </w:t>
      </w:r>
      <w:r>
        <w:rPr>
          <w:szCs w:val="16"/>
          <w:lang w:val="es-CR"/>
        </w:rPr>
        <w:t>I</w:t>
      </w:r>
      <w:r w:rsidRPr="00E50988">
        <w:rPr>
          <w:szCs w:val="16"/>
          <w:lang w:val="es-CR"/>
        </w:rPr>
        <w:t xml:space="preserve">nspector de Policía de la Regional 6, con quien se comunican periódicamente”. </w:t>
      </w:r>
    </w:p>
  </w:footnote>
  <w:footnote w:id="11">
    <w:p w:rsidR="00A327CA" w:rsidRPr="00E50988" w:rsidRDefault="00A327CA" w:rsidP="00E50988">
      <w:pPr>
        <w:pStyle w:val="FootnoteText"/>
        <w:rPr>
          <w:szCs w:val="16"/>
          <w:lang w:val="es-ES"/>
        </w:rPr>
      </w:pPr>
      <w:r w:rsidRPr="00E50988">
        <w:rPr>
          <w:rStyle w:val="FootnoteReference"/>
          <w:szCs w:val="16"/>
        </w:rPr>
        <w:footnoteRef/>
      </w:r>
      <w:r w:rsidRPr="00E50988">
        <w:rPr>
          <w:szCs w:val="16"/>
          <w:lang w:val="es-ES"/>
        </w:rPr>
        <w:t xml:space="preserve"> El Estado indicó que “la evaluación de riesgo es un instrumento establecido por el Estado colombiano para determinar las medidas materiales idóneas a adoptar en cada caso. Lo anterior implica obligaciones correlativas para el Estado, a través de las autoridades competentes, entre las cuales se encuentra, la de valorar con base en un estudio técnico y cuidadoso de cada situación individual, la existencia, las características y el origen o fuente del riesgo que se ha identificado; y evaluar periódicamente la evolución del riesgo extraordinario, con el fin de tomar las decisiones correspondientes para responder a dicha evo</w:t>
      </w:r>
      <w:r>
        <w:rPr>
          <w:szCs w:val="16"/>
          <w:lang w:val="es-ES"/>
        </w:rPr>
        <w:t>lución”</w:t>
      </w:r>
      <w:r w:rsidRPr="00E50988">
        <w:rPr>
          <w:szCs w:val="16"/>
          <w:lang w:val="es-ES"/>
        </w:rPr>
        <w:t>.</w:t>
      </w:r>
    </w:p>
  </w:footnote>
  <w:footnote w:id="12">
    <w:p w:rsidR="00A327CA" w:rsidRPr="00E50988" w:rsidRDefault="00A327CA" w:rsidP="00E50988">
      <w:pPr>
        <w:pStyle w:val="FootnoteText"/>
        <w:rPr>
          <w:szCs w:val="16"/>
          <w:lang w:val="es-ES"/>
        </w:rPr>
      </w:pPr>
      <w:r w:rsidRPr="00E50988">
        <w:rPr>
          <w:rStyle w:val="FootnoteReference"/>
          <w:szCs w:val="16"/>
        </w:rPr>
        <w:footnoteRef/>
      </w:r>
      <w:r w:rsidRPr="00E50988">
        <w:rPr>
          <w:szCs w:val="16"/>
          <w:lang w:val="es-ES"/>
        </w:rPr>
        <w:t xml:space="preserve"> </w:t>
      </w:r>
      <w:r>
        <w:rPr>
          <w:szCs w:val="16"/>
          <w:lang w:val="es-ES"/>
        </w:rPr>
        <w:t>Entre los aspectos a que tales discrepancias se encuentran</w:t>
      </w:r>
      <w:r w:rsidRPr="00E50988">
        <w:rPr>
          <w:szCs w:val="16"/>
          <w:lang w:val="es-ES"/>
        </w:rPr>
        <w:t>, la aducida negativa de las beneficiarias a realizar la evaluación y la cancelación de la protección temporal que les era brindada</w:t>
      </w:r>
      <w:r w:rsidRPr="00E50988">
        <w:rPr>
          <w:szCs w:val="16"/>
          <w:lang w:val="es-ES_tradnl"/>
        </w:rPr>
        <w:t>,</w:t>
      </w:r>
      <w:r w:rsidRPr="00E50988">
        <w:rPr>
          <w:b/>
          <w:szCs w:val="16"/>
          <w:lang w:val="es-ES_tradnl"/>
        </w:rPr>
        <w:t xml:space="preserve"> </w:t>
      </w:r>
      <w:r w:rsidRPr="00E50988">
        <w:rPr>
          <w:szCs w:val="16"/>
          <w:lang w:val="es-ES_tradnl"/>
        </w:rPr>
        <w:t xml:space="preserve">la demora en </w:t>
      </w:r>
      <w:r>
        <w:rPr>
          <w:szCs w:val="16"/>
          <w:lang w:val="es-ES_tradnl"/>
        </w:rPr>
        <w:t>la</w:t>
      </w:r>
      <w:r w:rsidRPr="00E50988">
        <w:rPr>
          <w:szCs w:val="16"/>
          <w:lang w:val="es-ES_tradnl"/>
        </w:rPr>
        <w:t xml:space="preserve"> realización</w:t>
      </w:r>
      <w:r>
        <w:rPr>
          <w:szCs w:val="16"/>
          <w:lang w:val="es-ES_tradnl"/>
        </w:rPr>
        <w:t xml:space="preserve"> de las evaluaciones</w:t>
      </w:r>
      <w:r w:rsidRPr="00E50988">
        <w:rPr>
          <w:szCs w:val="16"/>
          <w:lang w:val="es-ES_tradnl"/>
        </w:rPr>
        <w:t xml:space="preserve">, </w:t>
      </w:r>
      <w:r>
        <w:rPr>
          <w:szCs w:val="16"/>
          <w:lang w:val="es-ES_tradnl"/>
        </w:rPr>
        <w:t xml:space="preserve">los problemas en la </w:t>
      </w:r>
      <w:r w:rsidRPr="00E50988">
        <w:rPr>
          <w:szCs w:val="16"/>
          <w:lang w:val="es-ES_tradnl"/>
        </w:rPr>
        <w:t>devolución del dinero a las beneficiarias para hacer frente a los gastos de transporte</w:t>
      </w:r>
      <w:r>
        <w:rPr>
          <w:szCs w:val="16"/>
          <w:lang w:val="es-ES_tradnl"/>
        </w:rPr>
        <w:t xml:space="preserve"> y</w:t>
      </w:r>
      <w:r w:rsidRPr="00E50988">
        <w:rPr>
          <w:szCs w:val="16"/>
          <w:lang w:val="es-ES_tradnl"/>
        </w:rPr>
        <w:t xml:space="preserve"> el cumplimiento de requisitos formales para la aprobación e implementación de las medidas. </w:t>
      </w:r>
    </w:p>
  </w:footnote>
  <w:footnote w:id="13">
    <w:p w:rsidR="00A327CA" w:rsidRPr="00E50988" w:rsidRDefault="00A327CA" w:rsidP="00E50988">
      <w:pPr>
        <w:pStyle w:val="FootnoteText"/>
        <w:rPr>
          <w:szCs w:val="16"/>
          <w:lang w:val="es-CR"/>
        </w:rPr>
      </w:pPr>
      <w:r w:rsidRPr="00E50988">
        <w:rPr>
          <w:rStyle w:val="FootnoteReference"/>
          <w:szCs w:val="16"/>
        </w:rPr>
        <w:footnoteRef/>
      </w:r>
      <w:r>
        <w:rPr>
          <w:szCs w:val="16"/>
          <w:lang w:val="es-CR"/>
        </w:rPr>
        <w:t xml:space="preserve"> El texto transcri</w:t>
      </w:r>
      <w:r w:rsidRPr="00E50988">
        <w:rPr>
          <w:szCs w:val="16"/>
          <w:lang w:val="es-CR"/>
        </w:rPr>
        <w:t>to corresponde al escrito de las representantes presentado el 3 de junio de 2016, que reitera lo</w:t>
      </w:r>
      <w:r>
        <w:rPr>
          <w:szCs w:val="16"/>
          <w:lang w:val="es-CR"/>
        </w:rPr>
        <w:t xml:space="preserve"> </w:t>
      </w:r>
      <w:r w:rsidRPr="00E50988">
        <w:rPr>
          <w:szCs w:val="16"/>
          <w:lang w:val="es-CR"/>
        </w:rPr>
        <w:t xml:space="preserve">que habían informado el 25 de mayo de 2015. </w:t>
      </w:r>
    </w:p>
  </w:footnote>
  <w:footnote w:id="14">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CR"/>
        </w:rPr>
        <w:t xml:space="preserve"> La Comisión hizo alusión a su informe titulado “Segundo Informe sobre la Situación de Defensoras y Defensores de Derechos Humanos en las Américas”. </w:t>
      </w:r>
    </w:p>
  </w:footnote>
  <w:footnote w:id="15">
    <w:p w:rsidR="00A327CA" w:rsidRPr="00E50988" w:rsidRDefault="00A327CA" w:rsidP="00E50988">
      <w:pPr>
        <w:pStyle w:val="FootnoteText"/>
        <w:rPr>
          <w:szCs w:val="16"/>
          <w:lang w:val="es-ES"/>
        </w:rPr>
      </w:pPr>
      <w:r w:rsidRPr="00E50988">
        <w:rPr>
          <w:rStyle w:val="FootnoteReference"/>
          <w:szCs w:val="16"/>
        </w:rPr>
        <w:footnoteRef/>
      </w:r>
      <w:r w:rsidRPr="00E50988">
        <w:rPr>
          <w:szCs w:val="16"/>
          <w:lang w:val="es-ES"/>
        </w:rPr>
        <w:t xml:space="preserve"> En particular expresaron que “para el mes de febrero de 2015, 1.5 Salarios Mínimos en Colombia no correspondían […] a 800 dólares, sino a 388 dólares […]. En la actualidad y después de enviar y re-enviar los formularios y los contratos, a las beneficiarias les adeudan los meses de noviembre y diciembre de 2014, enero, febrero, marzo y abril de 2015, el cual según las nuevas Resoluciones sería de dos (2) SMLMV y no de uno y medio, que equivalen aproximadamente a 518 dólares. El que les fue entregado en diciembre 2015, correspondía y no totalmente, a los que tenían atrasados”. </w:t>
      </w:r>
    </w:p>
  </w:footnote>
  <w:footnote w:id="16">
    <w:p w:rsidR="00A327CA" w:rsidRPr="00E50988" w:rsidRDefault="00A327CA" w:rsidP="00E50988">
      <w:pPr>
        <w:tabs>
          <w:tab w:val="left" w:pos="810"/>
        </w:tabs>
        <w:jc w:val="both"/>
        <w:rPr>
          <w:rFonts w:ascii="Verdana" w:hAnsi="Verdana"/>
          <w:sz w:val="16"/>
          <w:szCs w:val="16"/>
          <w:lang w:val="es-ES_tradnl"/>
        </w:rPr>
      </w:pPr>
      <w:r w:rsidRPr="00E50988">
        <w:rPr>
          <w:rStyle w:val="FootnoteReference"/>
          <w:szCs w:val="16"/>
        </w:rPr>
        <w:footnoteRef/>
      </w:r>
      <w:r w:rsidRPr="00E50988">
        <w:rPr>
          <w:rFonts w:ascii="Verdana" w:hAnsi="Verdana"/>
          <w:sz w:val="16"/>
          <w:szCs w:val="16"/>
          <w:lang w:val="es-ES_tradnl"/>
        </w:rPr>
        <w:t xml:space="preserve"> En sus observaciones de 25 de mayo de 2015 las representantes informaron que “[a] la fecha ya se les canceló el equivalente a dos SMLMV correspondientes al mes de noviembre de 2014, pero les siguen adeudando enero, febrero, marzo, abril y […] mayo de 2015”. </w:t>
      </w:r>
    </w:p>
  </w:footnote>
  <w:footnote w:id="17">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CR"/>
        </w:rPr>
        <w:t xml:space="preserve"> Observaciones de las representantes de 14 de febrero de 2013. </w:t>
      </w:r>
    </w:p>
  </w:footnote>
  <w:footnote w:id="18">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CR"/>
        </w:rPr>
        <w:t xml:space="preserve"> </w:t>
      </w:r>
      <w:r w:rsidRPr="00E50988">
        <w:rPr>
          <w:szCs w:val="16"/>
          <w:lang w:val="es-ES_tradnl"/>
        </w:rPr>
        <w:t>Las representantes indicaron este hecho el 26 de mayo de 2014, refiriendo que había sido informado por las señoras Naranjo y Mosquera en una reunión mantenida con autoridades estatales el 25 de abril de ese año</w:t>
      </w:r>
    </w:p>
  </w:footnote>
  <w:footnote w:id="19">
    <w:p w:rsidR="00A327CA" w:rsidRPr="00E50988" w:rsidRDefault="00A327CA" w:rsidP="00E50988">
      <w:pPr>
        <w:pStyle w:val="FootnoteText"/>
        <w:rPr>
          <w:b/>
          <w:szCs w:val="16"/>
          <w:lang w:val="es-ES_tradnl"/>
        </w:rPr>
      </w:pPr>
      <w:r w:rsidRPr="00E50988">
        <w:rPr>
          <w:rStyle w:val="FootnoteReference"/>
          <w:szCs w:val="16"/>
        </w:rPr>
        <w:footnoteRef/>
      </w:r>
      <w:r w:rsidRPr="00E50988">
        <w:rPr>
          <w:szCs w:val="16"/>
          <w:lang w:val="es-ES"/>
        </w:rPr>
        <w:t xml:space="preserve"> El día siguiente la señora Mosquera presentó una queja: Personería de Medellín, CITESE: 2015036535185EE, Queja bajo juramento, 26 de febrero de 2015.</w:t>
      </w:r>
      <w:r w:rsidRPr="00E50988">
        <w:rPr>
          <w:szCs w:val="16"/>
          <w:lang w:val="es-ES_tradnl"/>
        </w:rPr>
        <w:t xml:space="preserve"> La respuesta de la Policía Nacional Metropolitana del Valle de </w:t>
      </w:r>
      <w:proofErr w:type="spellStart"/>
      <w:r w:rsidRPr="00E50988">
        <w:rPr>
          <w:szCs w:val="16"/>
          <w:lang w:val="es-ES_tradnl"/>
        </w:rPr>
        <w:t>Aburrá</w:t>
      </w:r>
      <w:proofErr w:type="spellEnd"/>
      <w:r w:rsidRPr="00E50988">
        <w:rPr>
          <w:szCs w:val="16"/>
          <w:lang w:val="es-ES_tradnl"/>
        </w:rPr>
        <w:t xml:space="preserve"> a este reclamo, acompañada por las beneficiarias en sus observaciones ante la Corte, expresa que el hijo de la señora Mosquera fue detenido a raíz de una riña y que en ningún momento la Policía agredió a la señora Mosquera</w:t>
      </w:r>
      <w:r w:rsidR="00C55299">
        <w:rPr>
          <w:szCs w:val="16"/>
          <w:lang w:val="es-ES_tradnl"/>
        </w:rPr>
        <w:t>.</w:t>
      </w:r>
    </w:p>
  </w:footnote>
  <w:footnote w:id="20">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ES_tradnl"/>
        </w:rPr>
        <w:t xml:space="preserve"> </w:t>
      </w:r>
      <w:r w:rsidRPr="00E50988">
        <w:rPr>
          <w:i/>
          <w:szCs w:val="16"/>
          <w:lang w:val="es-ES"/>
        </w:rPr>
        <w:t>Cfr.</w:t>
      </w:r>
      <w:r w:rsidRPr="00E50988">
        <w:rPr>
          <w:szCs w:val="16"/>
          <w:lang w:val="es-ES"/>
        </w:rPr>
        <w:t xml:space="preserve"> </w:t>
      </w:r>
      <w:r w:rsidRPr="00E50988">
        <w:rPr>
          <w:i/>
          <w:szCs w:val="16"/>
          <w:lang w:val="es-ES"/>
        </w:rPr>
        <w:t>Asunto James y Otros</w:t>
      </w:r>
      <w:r>
        <w:rPr>
          <w:i/>
          <w:szCs w:val="16"/>
          <w:lang w:val="es-ES"/>
        </w:rPr>
        <w:t xml:space="preserve"> respecto Trinidad y Tobago</w:t>
      </w:r>
      <w:r w:rsidRPr="00E50988">
        <w:rPr>
          <w:i/>
          <w:szCs w:val="16"/>
          <w:lang w:val="es-ES"/>
        </w:rPr>
        <w:t xml:space="preserve">. </w:t>
      </w:r>
      <w:r w:rsidRPr="00E50988">
        <w:rPr>
          <w:szCs w:val="16"/>
          <w:lang w:val="es-ES"/>
        </w:rPr>
        <w:t>Medidas Provisionales</w:t>
      </w:r>
      <w:r w:rsidRPr="00E50988">
        <w:rPr>
          <w:i/>
          <w:szCs w:val="16"/>
          <w:lang w:val="es-ES"/>
        </w:rPr>
        <w:t xml:space="preserve">. </w:t>
      </w:r>
      <w:r w:rsidRPr="00E50988">
        <w:rPr>
          <w:bCs/>
          <w:color w:val="000000"/>
          <w:szCs w:val="16"/>
          <w:lang w:val="es-ES"/>
        </w:rPr>
        <w:t xml:space="preserve">Resolución de la Corte Interamericana </w:t>
      </w:r>
      <w:r w:rsidRPr="00E50988">
        <w:rPr>
          <w:szCs w:val="16"/>
          <w:lang w:val="es-ES"/>
        </w:rPr>
        <w:t>de 29 de agosto de 1998, Considerando 6, y</w:t>
      </w:r>
      <w:r w:rsidR="001323BD">
        <w:rPr>
          <w:szCs w:val="16"/>
          <w:lang w:val="es-ES"/>
        </w:rPr>
        <w:t xml:space="preserve"> </w:t>
      </w:r>
      <w:r w:rsidRPr="004A0C4F">
        <w:rPr>
          <w:i/>
          <w:szCs w:val="16"/>
          <w:lang w:val="es-ES"/>
        </w:rPr>
        <w:t>Caso I.V. Vs. Bolivia.</w:t>
      </w:r>
      <w:r>
        <w:rPr>
          <w:szCs w:val="16"/>
          <w:lang w:val="es-ES"/>
        </w:rPr>
        <w:t xml:space="preserve"> </w:t>
      </w:r>
      <w:r>
        <w:rPr>
          <w:bCs/>
          <w:i/>
          <w:color w:val="000000"/>
          <w:szCs w:val="16"/>
          <w:lang w:val="es-CR"/>
        </w:rPr>
        <w:t xml:space="preserve">Rechazo de Solicitud </w:t>
      </w:r>
      <w:r w:rsidRPr="00E50988">
        <w:rPr>
          <w:bCs/>
          <w:color w:val="000000"/>
          <w:szCs w:val="16"/>
          <w:lang w:val="es-CR"/>
        </w:rPr>
        <w:t xml:space="preserve">Medidas </w:t>
      </w:r>
      <w:r>
        <w:rPr>
          <w:bCs/>
          <w:color w:val="000000"/>
          <w:szCs w:val="16"/>
          <w:lang w:val="es-CR"/>
        </w:rPr>
        <w:t>P</w:t>
      </w:r>
      <w:r w:rsidRPr="00E50988">
        <w:rPr>
          <w:bCs/>
          <w:color w:val="000000"/>
          <w:szCs w:val="16"/>
          <w:lang w:val="es-CR"/>
        </w:rPr>
        <w:t xml:space="preserve">rovisionales. Resolución de la Corte de </w:t>
      </w:r>
      <w:r>
        <w:rPr>
          <w:bCs/>
          <w:color w:val="000000"/>
          <w:szCs w:val="16"/>
          <w:lang w:val="es-CR"/>
        </w:rPr>
        <w:t>25</w:t>
      </w:r>
      <w:r w:rsidRPr="00E50988">
        <w:rPr>
          <w:bCs/>
          <w:color w:val="000000"/>
          <w:szCs w:val="16"/>
          <w:lang w:val="es-CR"/>
        </w:rPr>
        <w:t xml:space="preserve"> de </w:t>
      </w:r>
      <w:r>
        <w:rPr>
          <w:bCs/>
          <w:color w:val="000000"/>
          <w:szCs w:val="16"/>
          <w:lang w:val="es-CR"/>
        </w:rPr>
        <w:t>mayo</w:t>
      </w:r>
      <w:r w:rsidRPr="00E50988">
        <w:rPr>
          <w:bCs/>
          <w:color w:val="000000"/>
          <w:szCs w:val="16"/>
          <w:lang w:val="es-CR"/>
        </w:rPr>
        <w:t xml:space="preserve"> de 201</w:t>
      </w:r>
      <w:r>
        <w:rPr>
          <w:bCs/>
          <w:color w:val="000000"/>
          <w:szCs w:val="16"/>
          <w:lang w:val="es-CR"/>
        </w:rPr>
        <w:t>7</w:t>
      </w:r>
      <w:r w:rsidRPr="00E50988">
        <w:rPr>
          <w:bCs/>
          <w:color w:val="000000"/>
          <w:szCs w:val="16"/>
          <w:lang w:val="es-CR"/>
        </w:rPr>
        <w:t xml:space="preserve">, Considerando </w:t>
      </w:r>
      <w:r>
        <w:rPr>
          <w:bCs/>
          <w:color w:val="000000"/>
          <w:szCs w:val="16"/>
          <w:lang w:val="es-CR"/>
        </w:rPr>
        <w:t>6</w:t>
      </w:r>
      <w:r w:rsidRPr="00E50988">
        <w:rPr>
          <w:bCs/>
          <w:color w:val="000000"/>
          <w:szCs w:val="16"/>
          <w:lang w:val="es-CR"/>
        </w:rPr>
        <w:t>.</w:t>
      </w:r>
    </w:p>
  </w:footnote>
  <w:footnote w:id="21">
    <w:p w:rsidR="00A327CA" w:rsidRPr="00B45B11" w:rsidRDefault="00A327CA" w:rsidP="00E50988">
      <w:pPr>
        <w:pStyle w:val="FootnoteText"/>
        <w:rPr>
          <w:szCs w:val="16"/>
          <w:highlight w:val="yellow"/>
          <w:lang w:val="es-CR"/>
        </w:rPr>
      </w:pPr>
      <w:r w:rsidRPr="004C4953">
        <w:rPr>
          <w:rStyle w:val="FootnoteReference"/>
          <w:szCs w:val="16"/>
        </w:rPr>
        <w:footnoteRef/>
      </w:r>
      <w:r w:rsidRPr="004C4953">
        <w:rPr>
          <w:szCs w:val="16"/>
          <w:lang w:val="es-CR"/>
        </w:rPr>
        <w:t xml:space="preserve"> </w:t>
      </w:r>
      <w:r w:rsidRPr="004C4953">
        <w:rPr>
          <w:i/>
          <w:szCs w:val="16"/>
          <w:lang w:val="es-CR"/>
        </w:rPr>
        <w:t xml:space="preserve">Cfr. Asunto </w:t>
      </w:r>
      <w:proofErr w:type="spellStart"/>
      <w:r w:rsidRPr="004C4953">
        <w:rPr>
          <w:i/>
          <w:szCs w:val="16"/>
          <w:lang w:val="es-CR"/>
        </w:rPr>
        <w:t>Chunimá</w:t>
      </w:r>
      <w:proofErr w:type="spellEnd"/>
      <w:r w:rsidRPr="004C4953">
        <w:rPr>
          <w:i/>
          <w:szCs w:val="16"/>
          <w:lang w:val="es-CR"/>
        </w:rPr>
        <w:t xml:space="preserve"> respecto Guatemala. Medidas Provisionales. Resol</w:t>
      </w:r>
      <w:r w:rsidR="00C55299" w:rsidRPr="004C4953">
        <w:rPr>
          <w:i/>
          <w:szCs w:val="16"/>
          <w:lang w:val="es-CR"/>
        </w:rPr>
        <w:t xml:space="preserve">ución de la Corte </w:t>
      </w:r>
      <w:r w:rsidRPr="004C4953">
        <w:rPr>
          <w:i/>
          <w:szCs w:val="16"/>
          <w:lang w:val="es-CR"/>
        </w:rPr>
        <w:t xml:space="preserve">de 1 de agosto de 1991, </w:t>
      </w:r>
      <w:r w:rsidR="001323BD" w:rsidRPr="004C4953">
        <w:rPr>
          <w:szCs w:val="16"/>
          <w:lang w:val="es-CR"/>
        </w:rPr>
        <w:t>párr</w:t>
      </w:r>
      <w:r w:rsidR="00C55299" w:rsidRPr="004C4953">
        <w:rPr>
          <w:szCs w:val="16"/>
          <w:lang w:val="es-CR"/>
        </w:rPr>
        <w:t>.</w:t>
      </w:r>
      <w:r w:rsidR="00BA2CDF" w:rsidRPr="004C4953">
        <w:rPr>
          <w:szCs w:val="16"/>
          <w:lang w:val="es-CR"/>
        </w:rPr>
        <w:t xml:space="preserve"> </w:t>
      </w:r>
      <w:r w:rsidR="00C55299" w:rsidRPr="004C4953">
        <w:rPr>
          <w:szCs w:val="16"/>
          <w:lang w:val="es-CR"/>
        </w:rPr>
        <w:t>6</w:t>
      </w:r>
      <w:r w:rsidRPr="004C4953">
        <w:rPr>
          <w:i/>
          <w:szCs w:val="16"/>
          <w:lang w:val="es-CR"/>
        </w:rPr>
        <w:t xml:space="preserve">, </w:t>
      </w:r>
      <w:r w:rsidRPr="004C4953">
        <w:rPr>
          <w:szCs w:val="16"/>
          <w:lang w:val="es-CR"/>
        </w:rPr>
        <w:t xml:space="preserve">y </w:t>
      </w:r>
      <w:r w:rsidRPr="004C4953">
        <w:rPr>
          <w:i/>
          <w:szCs w:val="16"/>
          <w:lang w:val="es-CR"/>
        </w:rPr>
        <w:t>Caso Fernández Ortega y otros Vs. México</w:t>
      </w:r>
      <w:r w:rsidRPr="004C4953">
        <w:rPr>
          <w:szCs w:val="16"/>
          <w:lang w:val="es-CR"/>
        </w:rPr>
        <w:t>. Medidas Provisionales. R</w:t>
      </w:r>
      <w:r w:rsidR="00861F75" w:rsidRPr="004C4953">
        <w:rPr>
          <w:szCs w:val="16"/>
          <w:lang w:val="es-CR"/>
        </w:rPr>
        <w:t>esolución de la Corte</w:t>
      </w:r>
      <w:r w:rsidRPr="004C4953">
        <w:rPr>
          <w:szCs w:val="16"/>
          <w:lang w:val="es-CR"/>
        </w:rPr>
        <w:t xml:space="preserve"> de 7 de febrero de 2017</w:t>
      </w:r>
      <w:r w:rsidR="00BA2CDF" w:rsidRPr="004C4953">
        <w:rPr>
          <w:szCs w:val="16"/>
          <w:lang w:val="es-CR"/>
        </w:rPr>
        <w:t xml:space="preserve">, Considerando </w:t>
      </w:r>
      <w:r w:rsidR="00F54FF9" w:rsidRPr="004C4953">
        <w:rPr>
          <w:szCs w:val="16"/>
          <w:lang w:val="es-CR"/>
        </w:rPr>
        <w:t>17</w:t>
      </w:r>
      <w:r w:rsidRPr="004C4953">
        <w:rPr>
          <w:szCs w:val="16"/>
          <w:lang w:val="es-CR"/>
        </w:rPr>
        <w:t xml:space="preserve">.  </w:t>
      </w:r>
    </w:p>
  </w:footnote>
  <w:footnote w:id="22">
    <w:p w:rsidR="00A327CA" w:rsidRPr="00E50988" w:rsidRDefault="00A327CA" w:rsidP="00E50988">
      <w:pPr>
        <w:pStyle w:val="FootnoteText"/>
        <w:rPr>
          <w:szCs w:val="16"/>
          <w:lang w:val="es-CR"/>
        </w:rPr>
      </w:pPr>
      <w:r w:rsidRPr="004C4953">
        <w:rPr>
          <w:rStyle w:val="FootnoteReference"/>
          <w:szCs w:val="16"/>
        </w:rPr>
        <w:footnoteRef/>
      </w:r>
      <w:r w:rsidRPr="004C4953">
        <w:rPr>
          <w:i/>
          <w:szCs w:val="16"/>
          <w:lang w:val="es-CR"/>
        </w:rPr>
        <w:t xml:space="preserve"> </w:t>
      </w:r>
      <w:r w:rsidR="00F54FF9" w:rsidRPr="004C4953">
        <w:rPr>
          <w:i/>
          <w:szCs w:val="16"/>
          <w:lang w:val="es-CR"/>
        </w:rPr>
        <w:t>Cfr.</w:t>
      </w:r>
      <w:r w:rsidR="00F54FF9" w:rsidRPr="004C4953">
        <w:rPr>
          <w:szCs w:val="16"/>
          <w:lang w:val="es-CR"/>
        </w:rPr>
        <w:t xml:space="preserve"> </w:t>
      </w:r>
      <w:r w:rsidR="00F54FF9" w:rsidRPr="004C4953">
        <w:rPr>
          <w:i/>
          <w:szCs w:val="16"/>
          <w:lang w:val="es-CR"/>
        </w:rPr>
        <w:t xml:space="preserve">Asunto Pueblo Indígena </w:t>
      </w:r>
      <w:proofErr w:type="spellStart"/>
      <w:r w:rsidR="00F54FF9" w:rsidRPr="004C4953">
        <w:rPr>
          <w:i/>
          <w:szCs w:val="16"/>
          <w:lang w:val="es-CR"/>
        </w:rPr>
        <w:t>Kankuamo</w:t>
      </w:r>
      <w:proofErr w:type="spellEnd"/>
      <w:r w:rsidR="00F54FF9" w:rsidRPr="004C4953">
        <w:rPr>
          <w:i/>
          <w:szCs w:val="16"/>
          <w:lang w:val="es-CR"/>
        </w:rPr>
        <w:t xml:space="preserve"> respecto Colombia. Medidas Provisionales</w:t>
      </w:r>
      <w:r w:rsidR="00F54FF9" w:rsidRPr="004C4953">
        <w:rPr>
          <w:szCs w:val="16"/>
          <w:lang w:val="es-CR"/>
        </w:rPr>
        <w:t xml:space="preserve">. Resolución de la Corte de 3 de </w:t>
      </w:r>
      <w:r w:rsidR="00EB5931" w:rsidRPr="004C4953">
        <w:rPr>
          <w:szCs w:val="16"/>
          <w:lang w:val="es-CR"/>
        </w:rPr>
        <w:t>abril del 2009, Considerando 7,</w:t>
      </w:r>
      <w:r w:rsidR="00F54FF9" w:rsidRPr="004C4953">
        <w:rPr>
          <w:szCs w:val="16"/>
          <w:lang w:val="es-CR"/>
        </w:rPr>
        <w:t xml:space="preserve"> y </w:t>
      </w:r>
      <w:r w:rsidR="00F54FF9" w:rsidRPr="004C4953">
        <w:rPr>
          <w:i/>
          <w:szCs w:val="16"/>
          <w:lang w:val="es-CR"/>
        </w:rPr>
        <w:t>Caso Fernández Ortega y otros Vs. México. Medidas Provisionales.</w:t>
      </w:r>
      <w:r w:rsidR="004C4953" w:rsidRPr="004C4953">
        <w:rPr>
          <w:szCs w:val="16"/>
          <w:lang w:val="es-CR"/>
        </w:rPr>
        <w:t xml:space="preserve"> Resolución de la Corte </w:t>
      </w:r>
      <w:r w:rsidR="00F54FF9" w:rsidRPr="004C4953">
        <w:rPr>
          <w:szCs w:val="16"/>
          <w:lang w:val="es-CR"/>
        </w:rPr>
        <w:t xml:space="preserve">de 7 de febrero de 2017, Considerando 17.  </w:t>
      </w:r>
    </w:p>
  </w:footnote>
  <w:footnote w:id="23">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CR"/>
        </w:rPr>
        <w:t xml:space="preserve"> </w:t>
      </w:r>
      <w:r w:rsidRPr="009732B7">
        <w:rPr>
          <w:i/>
          <w:szCs w:val="16"/>
          <w:lang w:val="es-CR"/>
        </w:rPr>
        <w:t>Asunto Mery Naranjo y otros respecto Colombia.</w:t>
      </w:r>
      <w:r w:rsidRPr="00A327CA">
        <w:rPr>
          <w:i/>
          <w:szCs w:val="16"/>
          <w:lang w:val="es-CR"/>
        </w:rPr>
        <w:t xml:space="preserve"> Medidas Provisionales</w:t>
      </w:r>
      <w:r w:rsidRPr="00E50988">
        <w:rPr>
          <w:szCs w:val="16"/>
          <w:lang w:val="es-CR"/>
        </w:rPr>
        <w:t>. Resol</w:t>
      </w:r>
      <w:r>
        <w:rPr>
          <w:szCs w:val="16"/>
          <w:lang w:val="es-CR"/>
        </w:rPr>
        <w:t>ución de la Corte</w:t>
      </w:r>
      <w:r w:rsidRPr="00E50988">
        <w:rPr>
          <w:szCs w:val="16"/>
          <w:lang w:val="es-CR"/>
        </w:rPr>
        <w:t xml:space="preserve"> de 5 de julio de 2006, Visto 2. </w:t>
      </w:r>
    </w:p>
  </w:footnote>
  <w:footnote w:id="24">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CR"/>
        </w:rPr>
        <w:t xml:space="preserve"> </w:t>
      </w:r>
      <w:r w:rsidRPr="009732B7">
        <w:rPr>
          <w:i/>
          <w:szCs w:val="16"/>
          <w:lang w:val="es-CR"/>
        </w:rPr>
        <w:t>Asunto Mery Naranjo y otros respecto Colombia.</w:t>
      </w:r>
      <w:r w:rsidR="004A0C4F">
        <w:rPr>
          <w:i/>
          <w:szCs w:val="16"/>
          <w:lang w:val="es-CR"/>
        </w:rPr>
        <w:t xml:space="preserve"> Medidas Provisionales, supra</w:t>
      </w:r>
      <w:r w:rsidRPr="00E50988">
        <w:rPr>
          <w:szCs w:val="16"/>
          <w:lang w:val="es-CR"/>
        </w:rPr>
        <w:t>, Visto 3.</w:t>
      </w:r>
    </w:p>
  </w:footnote>
  <w:footnote w:id="25">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CR"/>
        </w:rPr>
        <w:t xml:space="preserve"> Juan David Naranjo Jiménez, Alejandro Naranjo Jiménez, Sandra Janeth Naranjo Jiménez, Alba Mery Naranjo Jiménez, Erika Johann Gómez, Javier Augusto Torres Durán, Heidi Tatiana Naranjo Gómez, Sebastián Naranjo Jiménez, María Camila Naranjo Jiménez, Aura María Amaya Naranjo, Esteban Torres Naranjo, y Luisa María Escudero Jiménez. (</w:t>
      </w:r>
      <w:r w:rsidRPr="00E50988">
        <w:rPr>
          <w:i/>
          <w:szCs w:val="16"/>
          <w:lang w:val="es-CR"/>
        </w:rPr>
        <w:t>Cfr. Asunto Mery Naranjo y otros respecto Colombia.</w:t>
      </w:r>
      <w:r w:rsidRPr="00E50988">
        <w:rPr>
          <w:szCs w:val="16"/>
          <w:lang w:val="es-CR"/>
        </w:rPr>
        <w:t xml:space="preserve"> Medidas Provisio</w:t>
      </w:r>
      <w:r>
        <w:rPr>
          <w:szCs w:val="16"/>
          <w:lang w:val="es-CR"/>
        </w:rPr>
        <w:t>nales</w:t>
      </w:r>
      <w:r w:rsidR="002341F4">
        <w:rPr>
          <w:szCs w:val="16"/>
          <w:lang w:val="es-CR"/>
        </w:rPr>
        <w:t xml:space="preserve">, </w:t>
      </w:r>
      <w:r w:rsidR="002341F4" w:rsidRPr="002341F4">
        <w:rPr>
          <w:i/>
          <w:szCs w:val="16"/>
          <w:lang w:val="es-CR"/>
        </w:rPr>
        <w:t>supra</w:t>
      </w:r>
      <w:r w:rsidRPr="00E50988">
        <w:rPr>
          <w:szCs w:val="16"/>
          <w:lang w:val="es-CR"/>
        </w:rPr>
        <w:t xml:space="preserve">, Puntos Resolutivos </w:t>
      </w:r>
      <w:r>
        <w:rPr>
          <w:szCs w:val="16"/>
          <w:lang w:val="es-CR"/>
        </w:rPr>
        <w:t xml:space="preserve">1, </w:t>
      </w:r>
      <w:r w:rsidRPr="00E50988">
        <w:rPr>
          <w:szCs w:val="16"/>
          <w:lang w:val="es-CR"/>
        </w:rPr>
        <w:t>2 y 3).</w:t>
      </w:r>
    </w:p>
  </w:footnote>
  <w:footnote w:id="26">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CR"/>
        </w:rPr>
        <w:t xml:space="preserve"> </w:t>
      </w:r>
      <w:r w:rsidRPr="00E50988">
        <w:rPr>
          <w:i/>
          <w:szCs w:val="16"/>
          <w:lang w:val="es-CR"/>
        </w:rPr>
        <w:t>Asunto Mery Naranjo y otros respecto Colombia. Medidas Provisionales</w:t>
      </w:r>
      <w:r w:rsidRPr="00E50988">
        <w:rPr>
          <w:szCs w:val="16"/>
          <w:lang w:val="es-CR"/>
        </w:rPr>
        <w:t>. Resol</w:t>
      </w:r>
      <w:r>
        <w:rPr>
          <w:szCs w:val="16"/>
          <w:lang w:val="es-CR"/>
        </w:rPr>
        <w:t>ución de la Corte</w:t>
      </w:r>
      <w:r w:rsidRPr="00E50988">
        <w:rPr>
          <w:szCs w:val="16"/>
          <w:lang w:val="es-CR"/>
        </w:rPr>
        <w:t xml:space="preserve"> de 22 de septiembre de 2006, Visto 7. </w:t>
      </w:r>
    </w:p>
  </w:footnote>
  <w:footnote w:id="27">
    <w:p w:rsidR="00A327CA" w:rsidRPr="003F6B7E" w:rsidRDefault="00A327CA">
      <w:pPr>
        <w:pStyle w:val="FootnoteText"/>
        <w:rPr>
          <w:lang w:val="es-CR"/>
        </w:rPr>
      </w:pPr>
      <w:r>
        <w:rPr>
          <w:rStyle w:val="FootnoteReference"/>
        </w:rPr>
        <w:footnoteRef/>
      </w:r>
      <w:r w:rsidRPr="003F6B7E">
        <w:rPr>
          <w:lang w:val="es-CR"/>
        </w:rPr>
        <w:t xml:space="preserve"> </w:t>
      </w:r>
      <w:r w:rsidRPr="003F6B7E">
        <w:rPr>
          <w:i/>
          <w:lang w:val="es-CR"/>
        </w:rPr>
        <w:t>Asunto Mery Naranjo y otros respecto Colombia. Medidas Provisionales.</w:t>
      </w:r>
      <w:r w:rsidRPr="003F6B7E">
        <w:rPr>
          <w:lang w:val="es-CR"/>
        </w:rPr>
        <w:t xml:space="preserve"> Resolu</w:t>
      </w:r>
      <w:r>
        <w:rPr>
          <w:lang w:val="es-CR"/>
        </w:rPr>
        <w:t>ción de la Corte</w:t>
      </w:r>
      <w:r w:rsidR="00B241DC">
        <w:rPr>
          <w:lang w:val="es-CR"/>
        </w:rPr>
        <w:t xml:space="preserve"> </w:t>
      </w:r>
      <w:r>
        <w:rPr>
          <w:lang w:val="es-CR"/>
        </w:rPr>
        <w:t xml:space="preserve">de 31 de enero de 2008, Considerandos 5 y 7.  </w:t>
      </w:r>
    </w:p>
  </w:footnote>
  <w:footnote w:id="28">
    <w:p w:rsidR="00A327CA" w:rsidRPr="00E50988" w:rsidRDefault="00A327CA" w:rsidP="00E50988">
      <w:pPr>
        <w:pStyle w:val="ListParagraph"/>
        <w:tabs>
          <w:tab w:val="left" w:pos="0"/>
        </w:tabs>
        <w:ind w:left="0"/>
        <w:jc w:val="both"/>
        <w:rPr>
          <w:rFonts w:ascii="Verdana" w:hAnsi="Verdana"/>
          <w:sz w:val="16"/>
          <w:szCs w:val="16"/>
          <w:lang w:val="es-CR"/>
        </w:rPr>
      </w:pPr>
      <w:r w:rsidRPr="00E50988">
        <w:rPr>
          <w:rStyle w:val="FootnoteReference"/>
          <w:szCs w:val="16"/>
        </w:rPr>
        <w:footnoteRef/>
      </w:r>
      <w:r w:rsidRPr="00E50988">
        <w:rPr>
          <w:rFonts w:ascii="Verdana" w:hAnsi="Verdana"/>
          <w:sz w:val="16"/>
          <w:szCs w:val="16"/>
          <w:lang w:val="es-CR"/>
        </w:rPr>
        <w:t xml:space="preserve"> </w:t>
      </w:r>
      <w:r>
        <w:rPr>
          <w:rFonts w:ascii="Verdana" w:hAnsi="Verdana"/>
          <w:sz w:val="16"/>
          <w:szCs w:val="16"/>
          <w:lang w:val="es-CR"/>
        </w:rPr>
        <w:t xml:space="preserve">Asimismo, la Corte fue informada </w:t>
      </w:r>
      <w:r w:rsidRPr="006B0685">
        <w:rPr>
          <w:rFonts w:ascii="Verdana" w:hAnsi="Verdana"/>
          <w:sz w:val="16"/>
          <w:szCs w:val="16"/>
          <w:lang w:val="es-ES_tradnl"/>
        </w:rPr>
        <w:t xml:space="preserve">de los siguientes hechos: a) los días </w:t>
      </w:r>
      <w:r w:rsidRPr="006B0685">
        <w:rPr>
          <w:rFonts w:ascii="Verdana" w:hAnsi="Verdana"/>
          <w:i/>
          <w:sz w:val="16"/>
          <w:szCs w:val="16"/>
          <w:lang w:val="es-ES_tradnl"/>
        </w:rPr>
        <w:t>“</w:t>
      </w:r>
      <w:r w:rsidRPr="006B0685">
        <w:rPr>
          <w:rFonts w:ascii="Verdana" w:hAnsi="Verdana"/>
          <w:sz w:val="16"/>
          <w:szCs w:val="16"/>
          <w:lang w:val="es-MX"/>
        </w:rPr>
        <w:t xml:space="preserve">14 y 15 de noviembre de 2006 dos jóvenes denunciaron ante la Unidad Permanente de Derechos Humanos de la Personería Municipal que </w:t>
      </w:r>
      <w:r w:rsidRPr="006B0685">
        <w:rPr>
          <w:rFonts w:ascii="Verdana" w:hAnsi="Verdana"/>
          <w:sz w:val="16"/>
          <w:szCs w:val="16"/>
          <w:lang w:val="es-CR"/>
        </w:rPr>
        <w:t>‘[u]n policía dijo públicamente que según los paramilitares la señora […]</w:t>
      </w:r>
      <w:r w:rsidR="002341F4">
        <w:rPr>
          <w:rFonts w:ascii="Verdana" w:hAnsi="Verdana"/>
          <w:sz w:val="16"/>
          <w:szCs w:val="16"/>
          <w:lang w:val="es-CR"/>
        </w:rPr>
        <w:t xml:space="preserve"> </w:t>
      </w:r>
      <w:r w:rsidRPr="006B0685">
        <w:rPr>
          <w:rFonts w:ascii="Verdana" w:hAnsi="Verdana"/>
          <w:sz w:val="16"/>
          <w:szCs w:val="16"/>
          <w:lang w:val="es-CR"/>
        </w:rPr>
        <w:t>Naranjo es una comandante guerrillera’ y que ‘[l]os paramilitares [….] con sede en ese corregimiento, tienen una foto de la señora […] Naranjo’; b) “un teniente de la policía le habría dicho a la señora Naranjo ‘[q]</w:t>
      </w:r>
      <w:proofErr w:type="spellStart"/>
      <w:r w:rsidRPr="006B0685">
        <w:rPr>
          <w:rFonts w:ascii="Verdana" w:hAnsi="Verdana"/>
          <w:sz w:val="16"/>
          <w:szCs w:val="16"/>
          <w:lang w:val="es-CR"/>
        </w:rPr>
        <w:t>ue</w:t>
      </w:r>
      <w:proofErr w:type="spellEnd"/>
      <w:r w:rsidRPr="006B0685">
        <w:rPr>
          <w:rFonts w:ascii="Verdana" w:hAnsi="Verdana"/>
          <w:sz w:val="16"/>
          <w:szCs w:val="16"/>
          <w:lang w:val="es-CR"/>
        </w:rPr>
        <w:t xml:space="preserve"> ella no estaba buena sino para pegarle unos tiros en la cabeza’; c). “[e]l 26 de abril de 2007, tres días después del asesinato de [otra] </w:t>
      </w:r>
      <w:proofErr w:type="spellStart"/>
      <w:r w:rsidRPr="006B0685">
        <w:rPr>
          <w:rFonts w:ascii="Verdana" w:hAnsi="Verdana"/>
          <w:sz w:val="16"/>
          <w:szCs w:val="16"/>
          <w:lang w:val="es-CR"/>
        </w:rPr>
        <w:t>lidereza</w:t>
      </w:r>
      <w:proofErr w:type="spellEnd"/>
      <w:r w:rsidRPr="006B0685">
        <w:rPr>
          <w:rFonts w:ascii="Verdana" w:hAnsi="Verdana"/>
          <w:sz w:val="16"/>
          <w:szCs w:val="16"/>
          <w:lang w:val="es-CR"/>
        </w:rPr>
        <w:t xml:space="preserve"> de la Comuna 13, la señora Naranjo fue contactada por el Presidente de la Acción Comunal del barrio ‘20 de Julio’ y le manifestó que un joven no identificado fue a su casa y le dijo: ‘[N]o se ponga a denunciar nada, porque unos tipos de las Independencias II, me dijeron que iban a matar a todos los Presidentes de las Acciones Comunales de la Comuna 13’”; d) “en vista de lo anterior, la señora Mery Naranjo se desplazó del barrio por temor de lo que pudiera pasarle a ella y a sus familiares”; e</w:t>
      </w:r>
      <w:r w:rsidRPr="006B0685">
        <w:rPr>
          <w:rFonts w:ascii="Verdana" w:hAnsi="Verdana"/>
          <w:sz w:val="16"/>
          <w:szCs w:val="16"/>
          <w:lang w:val="es-ES_tradnl"/>
        </w:rPr>
        <w:t xml:space="preserve">) en febrero de 2009 circularon panfletos que amenazaban con una “limpieza social”; f) en abril de 2010 </w:t>
      </w:r>
      <w:r w:rsidRPr="006B0685">
        <w:rPr>
          <w:rFonts w:ascii="Verdana" w:hAnsi="Verdana"/>
          <w:sz w:val="16"/>
          <w:szCs w:val="16"/>
          <w:lang w:val="es-ES"/>
        </w:rPr>
        <w:t>un agente de policía asignado al puesto fijo frente a la residencia de la señora Mery Naranjo hizo varios disparos al aire; g)</w:t>
      </w:r>
      <w:r w:rsidRPr="006B0685">
        <w:rPr>
          <w:rFonts w:ascii="Verdana" w:hAnsi="Verdana"/>
          <w:sz w:val="16"/>
          <w:szCs w:val="16"/>
          <w:lang w:val="es-ES_tradnl"/>
        </w:rPr>
        <w:t xml:space="preserve"> el 24 de abril de 2010 cerca de la casa de la señora Naranjo, ocho </w:t>
      </w:r>
      <w:r>
        <w:rPr>
          <w:rFonts w:ascii="Verdana" w:hAnsi="Verdana"/>
          <w:sz w:val="16"/>
          <w:szCs w:val="16"/>
          <w:lang w:val="es-ES_tradnl"/>
        </w:rPr>
        <w:t xml:space="preserve">presuntos soldados </w:t>
      </w:r>
      <w:r w:rsidRPr="006B0685">
        <w:rPr>
          <w:rFonts w:ascii="Verdana" w:hAnsi="Verdana"/>
          <w:sz w:val="16"/>
          <w:szCs w:val="16"/>
          <w:lang w:val="es-ES_tradnl"/>
        </w:rPr>
        <w:t>realizaron disparos sin motivo alguno; y h)</w:t>
      </w:r>
      <w:r w:rsidRPr="006B0685">
        <w:rPr>
          <w:rFonts w:ascii="Verdana" w:hAnsi="Verdana"/>
          <w:i/>
          <w:sz w:val="16"/>
          <w:szCs w:val="16"/>
          <w:lang w:val="es-CR"/>
        </w:rPr>
        <w:t xml:space="preserve"> </w:t>
      </w:r>
      <w:r w:rsidRPr="006B0685">
        <w:rPr>
          <w:rFonts w:ascii="Verdana" w:hAnsi="Verdana"/>
          <w:sz w:val="16"/>
          <w:szCs w:val="16"/>
          <w:lang w:val="es-CR"/>
        </w:rPr>
        <w:t>el 29 de julio de 2010 la señora Mosquera habría sido víctima de un hostigamiento por parte de un joven vestido de civil.</w:t>
      </w:r>
      <w:r>
        <w:rPr>
          <w:rFonts w:ascii="Verdana" w:hAnsi="Verdana"/>
          <w:sz w:val="16"/>
          <w:szCs w:val="16"/>
          <w:lang w:val="es-CR"/>
        </w:rPr>
        <w:t xml:space="preserve"> (</w:t>
      </w:r>
      <w:r w:rsidRPr="006B0685">
        <w:rPr>
          <w:rFonts w:ascii="Verdana" w:hAnsi="Verdana"/>
          <w:i/>
          <w:sz w:val="16"/>
          <w:szCs w:val="16"/>
          <w:lang w:val="es-CR"/>
        </w:rPr>
        <w:t xml:space="preserve">Cfr. </w:t>
      </w:r>
      <w:r w:rsidRPr="00E50988">
        <w:rPr>
          <w:rFonts w:ascii="Verdana" w:hAnsi="Verdana"/>
          <w:i/>
          <w:sz w:val="16"/>
          <w:szCs w:val="16"/>
          <w:lang w:val="es-CR"/>
        </w:rPr>
        <w:t>Mery Naranjo y otros respecto Colombia. Medidas Provisionales</w:t>
      </w:r>
      <w:r w:rsidRPr="00E50988">
        <w:rPr>
          <w:rFonts w:ascii="Verdana" w:hAnsi="Verdana"/>
          <w:sz w:val="16"/>
          <w:szCs w:val="16"/>
          <w:lang w:val="es-CR"/>
        </w:rPr>
        <w:t>. Resoluciones de la Corte de 31 de enero de 2008 (Considerandos 6, 7 y 22); 25 de noviembre de 2010 (Considerandos 47 y 65)</w:t>
      </w:r>
      <w:r>
        <w:rPr>
          <w:rFonts w:ascii="Verdana" w:hAnsi="Verdana"/>
          <w:sz w:val="16"/>
          <w:szCs w:val="16"/>
          <w:lang w:val="es-CR"/>
        </w:rPr>
        <w:t xml:space="preserve"> y 4 de marzo de 2011 (Visto 5)).</w:t>
      </w:r>
    </w:p>
  </w:footnote>
  <w:footnote w:id="29">
    <w:p w:rsidR="00A327CA" w:rsidRPr="00E50988" w:rsidRDefault="00A327CA" w:rsidP="00E50988">
      <w:pPr>
        <w:pStyle w:val="FootnoteText"/>
        <w:rPr>
          <w:szCs w:val="16"/>
          <w:lang w:val="es-CR"/>
        </w:rPr>
      </w:pPr>
      <w:r w:rsidRPr="00E50988">
        <w:rPr>
          <w:rStyle w:val="FootnoteReference"/>
          <w:szCs w:val="16"/>
        </w:rPr>
        <w:footnoteRef/>
      </w:r>
      <w:r w:rsidRPr="00E50988">
        <w:rPr>
          <w:szCs w:val="16"/>
          <w:lang w:val="es-CR"/>
        </w:rPr>
        <w:t xml:space="preserve"> En ese sentido, en la Sentencia respecto al caso </w:t>
      </w:r>
      <w:proofErr w:type="spellStart"/>
      <w:r w:rsidRPr="00E50988">
        <w:rPr>
          <w:i/>
          <w:szCs w:val="16"/>
          <w:lang w:val="es-CR"/>
        </w:rPr>
        <w:t>Yarce</w:t>
      </w:r>
      <w:proofErr w:type="spellEnd"/>
      <w:r w:rsidRPr="00E50988">
        <w:rPr>
          <w:i/>
          <w:szCs w:val="16"/>
          <w:lang w:val="es-CR"/>
        </w:rPr>
        <w:t xml:space="preserve"> y otras</w:t>
      </w:r>
      <w:r w:rsidRPr="00E50988">
        <w:rPr>
          <w:szCs w:val="16"/>
          <w:lang w:val="es-CR"/>
        </w:rPr>
        <w:t>, se ha tenido como hechos acreditados que “[d]e acuerdo a su declaración rendida ante la Corte, la señora Mosquera actualmente vive en Barrio Las Independencias, Sector 3, Comuna 13”, y que “[l]</w:t>
      </w:r>
      <w:r w:rsidRPr="00E50988">
        <w:rPr>
          <w:spacing w:val="-2"/>
          <w:szCs w:val="16"/>
          <w:lang w:val="es-MX"/>
        </w:rPr>
        <w:t>a señora Naranjo manifestó que</w:t>
      </w:r>
      <w:r w:rsidRPr="00E50988">
        <w:rPr>
          <w:szCs w:val="16"/>
          <w:lang w:val="es-CR"/>
        </w:rPr>
        <w:t xml:space="preserve"> actualmente forma parte de una ‘mesa’ de derechos humanos de la Comuna 13, en donde vive”. (</w:t>
      </w:r>
      <w:r w:rsidRPr="00E50988">
        <w:rPr>
          <w:i/>
          <w:szCs w:val="16"/>
          <w:lang w:val="es-CR"/>
        </w:rPr>
        <w:t xml:space="preserve">Caso </w:t>
      </w:r>
      <w:proofErr w:type="spellStart"/>
      <w:r w:rsidRPr="00E50988">
        <w:rPr>
          <w:i/>
          <w:szCs w:val="16"/>
          <w:lang w:val="es-CR"/>
        </w:rPr>
        <w:t>Yarce</w:t>
      </w:r>
      <w:proofErr w:type="spellEnd"/>
      <w:r w:rsidRPr="00E50988">
        <w:rPr>
          <w:i/>
          <w:szCs w:val="16"/>
          <w:lang w:val="es-CR"/>
        </w:rPr>
        <w:t xml:space="preserve"> y otras Vs. Colombia. Excepción Prelimina</w:t>
      </w:r>
      <w:r w:rsidR="002341F4">
        <w:rPr>
          <w:i/>
          <w:szCs w:val="16"/>
          <w:lang w:val="es-CR"/>
        </w:rPr>
        <w:t>r, Fondo, Reparaciones y Costas, supra</w:t>
      </w:r>
      <w:r w:rsidR="00B241DC">
        <w:rPr>
          <w:szCs w:val="16"/>
          <w:lang w:val="es-CR"/>
        </w:rPr>
        <w:t xml:space="preserve">, </w:t>
      </w:r>
      <w:proofErr w:type="spellStart"/>
      <w:r w:rsidRPr="00E50988">
        <w:rPr>
          <w:szCs w:val="16"/>
          <w:lang w:val="es-CR"/>
        </w:rPr>
        <w:t>párr</w:t>
      </w:r>
      <w:r w:rsidR="00B241DC">
        <w:rPr>
          <w:szCs w:val="16"/>
          <w:lang w:val="es-CR"/>
        </w:rPr>
        <w:t>s</w:t>
      </w:r>
      <w:proofErr w:type="spellEnd"/>
      <w:r w:rsidRPr="00E50988">
        <w:rPr>
          <w:szCs w:val="16"/>
          <w:lang w:val="es-CR"/>
        </w:rPr>
        <w:t xml:space="preserve">. 117 y 120). </w:t>
      </w:r>
    </w:p>
  </w:footnote>
  <w:footnote w:id="30">
    <w:p w:rsidR="00A327CA" w:rsidRPr="00E50988" w:rsidRDefault="00A327CA" w:rsidP="00C71B52">
      <w:pPr>
        <w:pStyle w:val="ListParagraph"/>
        <w:tabs>
          <w:tab w:val="left" w:pos="0"/>
        </w:tabs>
        <w:ind w:left="0"/>
        <w:jc w:val="both"/>
        <w:rPr>
          <w:rFonts w:ascii="Verdana" w:hAnsi="Verdana"/>
          <w:sz w:val="16"/>
          <w:szCs w:val="16"/>
          <w:lang w:val="es-CR"/>
        </w:rPr>
      </w:pPr>
      <w:r w:rsidRPr="00E50988">
        <w:rPr>
          <w:rStyle w:val="FootnoteReference"/>
          <w:szCs w:val="16"/>
        </w:rPr>
        <w:footnoteRef/>
      </w:r>
      <w:r w:rsidRPr="00E50988">
        <w:rPr>
          <w:rFonts w:ascii="Verdana" w:hAnsi="Verdana"/>
          <w:sz w:val="16"/>
          <w:szCs w:val="16"/>
          <w:lang w:val="es-CR"/>
        </w:rPr>
        <w:t xml:space="preserve"> </w:t>
      </w:r>
      <w:r w:rsidRPr="00E50988">
        <w:rPr>
          <w:rFonts w:ascii="Verdana" w:hAnsi="Verdana"/>
          <w:sz w:val="16"/>
          <w:szCs w:val="16"/>
          <w:lang w:val="es-ES_tradnl"/>
        </w:rPr>
        <w:t>En Considerando 23 de la Resolución de 31 de enero de 2008 (</w:t>
      </w:r>
      <w:r w:rsidRPr="00E50988">
        <w:rPr>
          <w:rFonts w:ascii="Verdana" w:hAnsi="Verdana"/>
          <w:i/>
          <w:sz w:val="16"/>
          <w:szCs w:val="16"/>
          <w:lang w:val="es-ES_tradnl"/>
        </w:rPr>
        <w:t>supra</w:t>
      </w:r>
      <w:r w:rsidRPr="00E50988">
        <w:rPr>
          <w:rFonts w:ascii="Verdana" w:hAnsi="Verdana"/>
          <w:sz w:val="16"/>
          <w:szCs w:val="16"/>
          <w:lang w:val="es-ES_tradnl"/>
        </w:rPr>
        <w:t xml:space="preserve"> Visto 1) consta que las representantes informaron que </w:t>
      </w:r>
      <w:r w:rsidRPr="00E50988">
        <w:rPr>
          <w:rFonts w:ascii="Verdana" w:hAnsi="Verdana"/>
          <w:i/>
          <w:sz w:val="16"/>
          <w:szCs w:val="16"/>
          <w:lang w:val="es-ES_tradnl"/>
        </w:rPr>
        <w:t>“</w:t>
      </w:r>
      <w:r w:rsidRPr="00E50988">
        <w:rPr>
          <w:rFonts w:ascii="Verdana" w:hAnsi="Verdana"/>
          <w:sz w:val="16"/>
          <w:szCs w:val="16"/>
          <w:lang w:val="es-CR"/>
        </w:rPr>
        <w:t>el 23 enero de 2008 el joven Juan David Naranjo, beneficiario de estas medidas provisionales, fue detenido por la Policía en hechos que ‘no están relacionados con las actividades de dirigente comunitaria que realiza su madre, ni con los demás hechos que dieron lugar al otorgamiento de las medidas provisionales’. Luego, en el informe esta</w:t>
      </w:r>
      <w:r>
        <w:rPr>
          <w:rFonts w:ascii="Verdana" w:hAnsi="Verdana"/>
          <w:sz w:val="16"/>
          <w:szCs w:val="16"/>
          <w:lang w:val="es-CR"/>
        </w:rPr>
        <w:t>ta</w:t>
      </w:r>
      <w:r w:rsidRPr="00E50988">
        <w:rPr>
          <w:rFonts w:ascii="Verdana" w:hAnsi="Verdana"/>
          <w:sz w:val="16"/>
          <w:szCs w:val="16"/>
          <w:lang w:val="es-CR"/>
        </w:rPr>
        <w:t xml:space="preserve">l recibido el 13 de abril de 2012, Colombia indicó que “Juan David Naranjo Jiménez, […] fue dejado en libertad el día 15 de febrero de 2012 por pena cumplida” y que el día 17 de marzo de 2012 o con posterioridad “la señora Naranjo solicitó acompañamiento policial para trasladar al señor Juan David Naranjo Jiménez fuera del departamento de Antioquia. Dicho servicio fue prestado […] y a la fecha se desconoce el paradero de [señor Naranjo Jiménez]”. </w:t>
      </w:r>
    </w:p>
  </w:footnote>
  <w:footnote w:id="31">
    <w:p w:rsidR="00A327CA" w:rsidRPr="00B87639" w:rsidRDefault="00A327CA" w:rsidP="00B87639">
      <w:pPr>
        <w:pStyle w:val="ListParagraph"/>
        <w:tabs>
          <w:tab w:val="left" w:pos="0"/>
        </w:tabs>
        <w:autoSpaceDE w:val="0"/>
        <w:autoSpaceDN w:val="0"/>
        <w:adjustRightInd w:val="0"/>
        <w:ind w:left="0"/>
        <w:jc w:val="both"/>
        <w:rPr>
          <w:lang w:val="es-CR"/>
        </w:rPr>
      </w:pPr>
      <w:r>
        <w:rPr>
          <w:rStyle w:val="FootnoteReference"/>
        </w:rPr>
        <w:footnoteRef/>
      </w:r>
      <w:r w:rsidRPr="00B87639">
        <w:rPr>
          <w:lang w:val="es-CR"/>
        </w:rPr>
        <w:t xml:space="preserve"> </w:t>
      </w:r>
      <w:r w:rsidRPr="00B87639">
        <w:rPr>
          <w:rFonts w:ascii="Verdana" w:hAnsi="Verdana"/>
          <w:sz w:val="16"/>
          <w:szCs w:val="16"/>
          <w:lang w:val="es-ES_tradnl"/>
        </w:rPr>
        <w:t>Al respecto, el Estado explicó el 1 de marzo de 2013 que: a) “</w:t>
      </w:r>
      <w:r w:rsidRPr="00B87639">
        <w:rPr>
          <w:rFonts w:ascii="Verdana" w:eastAsia="Calibri" w:hAnsi="Verdana" w:cs="Arial"/>
          <w:sz w:val="16"/>
          <w:szCs w:val="16"/>
          <w:lang w:val="es-CR"/>
        </w:rPr>
        <w:t>de acuerdo con la jurisprudencia de la Corte Constitucional colombiana</w:t>
      </w:r>
      <w:r w:rsidRPr="00B87639">
        <w:rPr>
          <w:rFonts w:ascii="Verdana" w:eastAsia="Calibri" w:hAnsi="Verdana"/>
          <w:sz w:val="16"/>
          <w:szCs w:val="16"/>
          <w:lang w:val="es-CR"/>
        </w:rPr>
        <w:t xml:space="preserve">, </w:t>
      </w:r>
      <w:r w:rsidRPr="00B87639">
        <w:rPr>
          <w:rFonts w:ascii="Verdana" w:eastAsia="Calibri" w:hAnsi="Verdana" w:cs="Arial"/>
          <w:sz w:val="16"/>
          <w:szCs w:val="16"/>
          <w:lang w:val="es-CR"/>
        </w:rPr>
        <w:t xml:space="preserve">el derecho a la seguridad personal faculta a las personas a solicitar protección reforzada del Estado adicional a aquella que se provee a todos los ciudadanos, cuando quiera que enfrenten </w:t>
      </w:r>
      <w:r w:rsidRPr="00B87639">
        <w:rPr>
          <w:rFonts w:ascii="Verdana" w:eastAsia="Calibri" w:hAnsi="Verdana" w:cs="Arial"/>
          <w:iCs/>
          <w:sz w:val="16"/>
          <w:szCs w:val="16"/>
          <w:lang w:val="es-CR"/>
        </w:rPr>
        <w:t>riesgos extraordinarios</w:t>
      </w:r>
      <w:r w:rsidRPr="00B87639">
        <w:rPr>
          <w:rFonts w:ascii="Verdana" w:eastAsia="Calibri" w:hAnsi="Verdana" w:cs="Arial"/>
          <w:i/>
          <w:iCs/>
          <w:sz w:val="16"/>
          <w:szCs w:val="16"/>
          <w:lang w:val="es-CR"/>
        </w:rPr>
        <w:t xml:space="preserve"> </w:t>
      </w:r>
      <w:r w:rsidRPr="00B87639">
        <w:rPr>
          <w:rFonts w:ascii="Verdana" w:eastAsia="Calibri" w:hAnsi="Verdana" w:cs="Arial"/>
          <w:sz w:val="16"/>
          <w:szCs w:val="16"/>
          <w:lang w:val="es-CR"/>
        </w:rPr>
        <w:t xml:space="preserve">que no tienen el deber jurídico que soportar y que las autoridades pueden mitigar” , y que b) existe un “procedimiento contemplado en la legislación colombiana para el otorgamiento de medidas materiales de protección”, mencionando que el “Decreto </w:t>
      </w:r>
      <w:r w:rsidRPr="00B87639">
        <w:rPr>
          <w:rFonts w:ascii="Verdana" w:eastAsia="Calibri" w:hAnsi="Verdana"/>
          <w:sz w:val="16"/>
          <w:szCs w:val="16"/>
          <w:lang w:val="es-CR"/>
        </w:rPr>
        <w:t xml:space="preserve">4912 </w:t>
      </w:r>
      <w:r w:rsidRPr="00B87639">
        <w:rPr>
          <w:rFonts w:ascii="Verdana" w:eastAsia="Calibri" w:hAnsi="Verdana" w:cs="Arial"/>
          <w:sz w:val="16"/>
          <w:szCs w:val="16"/>
          <w:lang w:val="es-CR"/>
        </w:rPr>
        <w:t xml:space="preserve">de </w:t>
      </w:r>
      <w:r w:rsidRPr="00B87639">
        <w:rPr>
          <w:rFonts w:ascii="Verdana" w:eastAsia="Calibri" w:hAnsi="Verdana"/>
          <w:sz w:val="16"/>
          <w:szCs w:val="16"/>
          <w:lang w:val="es-CR"/>
        </w:rPr>
        <w:t xml:space="preserve">2011”, estableció “el </w:t>
      </w:r>
      <w:r w:rsidRPr="00B87639">
        <w:rPr>
          <w:rFonts w:ascii="Verdana" w:eastAsia="Calibri" w:hAnsi="Verdana" w:cs="Arial"/>
          <w:sz w:val="16"/>
          <w:szCs w:val="16"/>
          <w:lang w:val="es-CR"/>
        </w:rPr>
        <w:t>Programa de Protección, que contempla el trámite y las funciones de los órganos competentes en materia de valoración del riesgo y asignación de las correspondientes medidas de protección”, contemplando, entre otros aspectos, la intervención de la UNP y el CERREM, organismos que han intervenido en relación con las personas beneficiarias.</w:t>
      </w:r>
      <w:r w:rsidRPr="00B87639">
        <w:rPr>
          <w:rFonts w:ascii="Arial" w:eastAsia="Calibri" w:hAnsi="Arial" w:cs="Arial"/>
          <w:sz w:val="16"/>
          <w:szCs w:val="16"/>
          <w:lang w:val="es-CR"/>
        </w:rPr>
        <w:t xml:space="preserve"> </w:t>
      </w:r>
    </w:p>
  </w:footnote>
  <w:footnote w:id="32">
    <w:p w:rsidR="00A327CA" w:rsidRPr="00061823" w:rsidRDefault="00A327CA">
      <w:pPr>
        <w:pStyle w:val="FootnoteText"/>
        <w:rPr>
          <w:lang w:val="es-CR"/>
        </w:rPr>
      </w:pPr>
      <w:r>
        <w:rPr>
          <w:rStyle w:val="FootnoteReference"/>
        </w:rPr>
        <w:footnoteRef/>
      </w:r>
      <w:r w:rsidRPr="00061823">
        <w:rPr>
          <w:lang w:val="es-CR"/>
        </w:rPr>
        <w:t xml:space="preserve"> </w:t>
      </w:r>
      <w:r w:rsidRPr="00061823">
        <w:rPr>
          <w:i/>
          <w:lang w:val="es-CR"/>
        </w:rPr>
        <w:t>Caso de la Masacre de la Rochela Vs. Colombia. Medidas Provisionales</w:t>
      </w:r>
      <w:r w:rsidRPr="00061823">
        <w:rPr>
          <w:lang w:val="es-CR"/>
        </w:rPr>
        <w:t xml:space="preserve">. Resolución de la Corte </w:t>
      </w:r>
      <w:r>
        <w:rPr>
          <w:lang w:val="es-CR"/>
        </w:rPr>
        <w:t>de 16 de febrero de 2017, Considerando 56.</w:t>
      </w:r>
    </w:p>
  </w:footnote>
  <w:footnote w:id="33">
    <w:p w:rsidR="00A327CA" w:rsidRPr="00E50988" w:rsidRDefault="00A327CA" w:rsidP="006573AE">
      <w:pPr>
        <w:jc w:val="both"/>
        <w:rPr>
          <w:rFonts w:ascii="Verdana" w:hAnsi="Verdana"/>
          <w:sz w:val="16"/>
          <w:szCs w:val="16"/>
          <w:lang w:val="es-CR"/>
        </w:rPr>
      </w:pPr>
      <w:r w:rsidRPr="00E50988">
        <w:rPr>
          <w:rStyle w:val="FootnoteReference"/>
          <w:szCs w:val="16"/>
        </w:rPr>
        <w:footnoteRef/>
      </w:r>
      <w:r w:rsidRPr="00E50988">
        <w:rPr>
          <w:rFonts w:ascii="Verdana" w:hAnsi="Verdana"/>
          <w:sz w:val="16"/>
          <w:szCs w:val="16"/>
          <w:lang w:val="es-CR"/>
        </w:rPr>
        <w:t xml:space="preserve"> </w:t>
      </w:r>
      <w:r>
        <w:rPr>
          <w:rFonts w:ascii="Verdana" w:hAnsi="Verdana"/>
          <w:sz w:val="16"/>
          <w:szCs w:val="16"/>
          <w:lang w:val="es-ES"/>
        </w:rPr>
        <w:t>La C</w:t>
      </w:r>
      <w:r w:rsidRPr="00E50988">
        <w:rPr>
          <w:rFonts w:ascii="Verdana" w:hAnsi="Verdana"/>
          <w:sz w:val="16"/>
          <w:szCs w:val="16"/>
          <w:lang w:val="es-ES"/>
        </w:rPr>
        <w:t xml:space="preserve">orte observa que hubo reuniones entre las autoridades y las beneficiarias o sus representantes los días 12 de abril y 28 de julio de 2011; </w:t>
      </w:r>
      <w:r w:rsidRPr="006931EB">
        <w:rPr>
          <w:rFonts w:ascii="Verdana" w:hAnsi="Verdana"/>
          <w:sz w:val="16"/>
          <w:szCs w:val="16"/>
          <w:lang w:val="es-ES"/>
        </w:rPr>
        <w:t xml:space="preserve">14 de septiembre de 2012; </w:t>
      </w:r>
      <w:r w:rsidR="00B241DC">
        <w:rPr>
          <w:rFonts w:ascii="Verdana" w:hAnsi="Verdana"/>
          <w:sz w:val="16"/>
          <w:szCs w:val="16"/>
          <w:lang w:val="es-ES"/>
        </w:rPr>
        <w:t>25 de abril de 2014</w:t>
      </w:r>
      <w:r w:rsidRPr="006931EB">
        <w:rPr>
          <w:rFonts w:ascii="Verdana" w:hAnsi="Verdana"/>
          <w:sz w:val="16"/>
          <w:szCs w:val="16"/>
          <w:lang w:val="es-ES"/>
        </w:rPr>
        <w:t xml:space="preserve">; </w:t>
      </w:r>
      <w:r w:rsidRPr="006931EB">
        <w:rPr>
          <w:rFonts w:ascii="Verdana" w:hAnsi="Verdana"/>
          <w:sz w:val="16"/>
          <w:szCs w:val="16"/>
          <w:lang w:val="es-CR"/>
        </w:rPr>
        <w:t>29 de abril de 2015; 29 de abril y 17 de junio de 2016, y 16 de febrero de 2017</w:t>
      </w:r>
      <w:r>
        <w:rPr>
          <w:rFonts w:ascii="Verdana" w:hAnsi="Verdana"/>
          <w:sz w:val="16"/>
          <w:szCs w:val="16"/>
          <w:lang w:val="es-CR"/>
        </w:rPr>
        <w:t>.</w:t>
      </w:r>
      <w:r w:rsidRPr="006931EB">
        <w:rPr>
          <w:rFonts w:ascii="Verdana" w:hAnsi="Verdana"/>
          <w:sz w:val="16"/>
          <w:szCs w:val="16"/>
          <w:lang w:val="es-CR"/>
        </w:rPr>
        <w:t xml:space="preserve"> </w:t>
      </w:r>
      <w:r w:rsidRPr="002C11A9">
        <w:rPr>
          <w:rFonts w:ascii="Verdana" w:hAnsi="Verdana"/>
          <w:sz w:val="16"/>
          <w:szCs w:val="16"/>
          <w:lang w:val="es-CR"/>
        </w:rPr>
        <w:t>Por otra parte, este Tribunal nota que el 1 de agosto de 2017 la Comisión “valor[</w:t>
      </w:r>
      <w:proofErr w:type="spellStart"/>
      <w:r w:rsidRPr="002C11A9">
        <w:rPr>
          <w:rFonts w:ascii="Verdana" w:hAnsi="Verdana"/>
          <w:sz w:val="16"/>
          <w:szCs w:val="16"/>
          <w:lang w:val="es-CR"/>
        </w:rPr>
        <w:t>ó</w:t>
      </w:r>
      <w:proofErr w:type="spellEnd"/>
      <w:r w:rsidRPr="002C11A9">
        <w:rPr>
          <w:rFonts w:ascii="Verdana" w:hAnsi="Verdana"/>
          <w:sz w:val="16"/>
          <w:szCs w:val="16"/>
          <w:lang w:val="es-CR"/>
        </w:rPr>
        <w:t>]” que el Estado “</w:t>
      </w:r>
      <w:proofErr w:type="spellStart"/>
      <w:proofErr w:type="gramStart"/>
      <w:r w:rsidRPr="002C11A9">
        <w:rPr>
          <w:rFonts w:ascii="Verdana" w:hAnsi="Verdana"/>
          <w:sz w:val="16"/>
          <w:szCs w:val="16"/>
          <w:lang w:val="es-CR"/>
        </w:rPr>
        <w:t>contin</w:t>
      </w:r>
      <w:proofErr w:type="spellEnd"/>
      <w:r w:rsidRPr="002C11A9">
        <w:rPr>
          <w:rFonts w:ascii="Verdana" w:hAnsi="Verdana"/>
          <w:sz w:val="16"/>
          <w:szCs w:val="16"/>
          <w:lang w:val="es-CR"/>
        </w:rPr>
        <w:t>[</w:t>
      </w:r>
      <w:proofErr w:type="spellStart"/>
      <w:proofErr w:type="gramEnd"/>
      <w:r w:rsidRPr="002C11A9">
        <w:rPr>
          <w:rFonts w:ascii="Verdana" w:hAnsi="Verdana"/>
          <w:sz w:val="16"/>
          <w:szCs w:val="16"/>
          <w:lang w:val="es-CR"/>
        </w:rPr>
        <w:t>úe</w:t>
      </w:r>
      <w:proofErr w:type="spellEnd"/>
      <w:r w:rsidRPr="002C11A9">
        <w:rPr>
          <w:rFonts w:ascii="Verdana" w:hAnsi="Verdana"/>
          <w:sz w:val="16"/>
          <w:szCs w:val="16"/>
          <w:lang w:val="es-CR"/>
        </w:rPr>
        <w:t>] dando cumplimiento” a las medidas provisionales, “teniendo en cuenta procesos de concertación con las [personas] beneficiarias”.</w:t>
      </w:r>
      <w:r>
        <w:rPr>
          <w:rFonts w:ascii="Verdana" w:hAnsi="Verdana"/>
          <w:sz w:val="16"/>
          <w:szCs w:val="16"/>
          <w:lang w:val="es-CR"/>
        </w:rPr>
        <w:t xml:space="preserve"> </w:t>
      </w:r>
      <w:r w:rsidRPr="006931EB">
        <w:rPr>
          <w:rFonts w:ascii="Verdana" w:hAnsi="Verdana"/>
          <w:sz w:val="16"/>
          <w:szCs w:val="16"/>
          <w:lang w:val="es-CR"/>
        </w:rPr>
        <w:t>Sin perjuicio de ello, también</w:t>
      </w:r>
      <w:r w:rsidRPr="00E50988">
        <w:rPr>
          <w:rFonts w:ascii="Verdana" w:hAnsi="Verdana"/>
          <w:sz w:val="16"/>
          <w:szCs w:val="16"/>
          <w:lang w:val="es-CR"/>
        </w:rPr>
        <w:t xml:space="preserve"> nota este Tribunal que en ocasiones las representantes manifestaron quejas en cuanto a la interlocución con autoridades estatales a efectos de concertar aspectos relativos a las medidas provis</w:t>
      </w:r>
      <w:r>
        <w:rPr>
          <w:rFonts w:ascii="Verdana" w:hAnsi="Verdana"/>
          <w:sz w:val="16"/>
          <w:szCs w:val="16"/>
          <w:lang w:val="es-CR"/>
        </w:rPr>
        <w:t>i</w:t>
      </w:r>
      <w:r w:rsidRPr="00E50988">
        <w:rPr>
          <w:rFonts w:ascii="Verdana" w:hAnsi="Verdana"/>
          <w:sz w:val="16"/>
          <w:szCs w:val="16"/>
          <w:lang w:val="es-CR"/>
        </w:rPr>
        <w:t xml:space="preserve">onales. </w:t>
      </w:r>
    </w:p>
  </w:footnote>
  <w:footnote w:id="34">
    <w:p w:rsidR="00A327CA" w:rsidRPr="00B87639" w:rsidRDefault="00A327CA" w:rsidP="00B87639">
      <w:pPr>
        <w:jc w:val="both"/>
        <w:rPr>
          <w:lang w:val="es-CR"/>
        </w:rPr>
      </w:pPr>
      <w:r>
        <w:rPr>
          <w:rStyle w:val="FootnoteReference"/>
        </w:rPr>
        <w:footnoteRef/>
      </w:r>
      <w:r w:rsidRPr="00B87639">
        <w:rPr>
          <w:lang w:val="es-CR"/>
        </w:rPr>
        <w:t xml:space="preserve"> </w:t>
      </w:r>
      <w:r w:rsidRPr="00B87639">
        <w:rPr>
          <w:rFonts w:ascii="Verdana" w:hAnsi="Verdana"/>
          <w:sz w:val="16"/>
          <w:szCs w:val="16"/>
          <w:lang w:val="es-CR"/>
        </w:rPr>
        <w:t xml:space="preserve">En efecto, </w:t>
      </w:r>
      <w:r w:rsidRPr="00E50988">
        <w:rPr>
          <w:rFonts w:ascii="Verdana" w:hAnsi="Verdana"/>
          <w:sz w:val="16"/>
          <w:szCs w:val="16"/>
          <w:lang w:val="es-CR"/>
        </w:rPr>
        <w:t>en ocasiones las representantes manifestaron quejas en cuanto a la interlocución con autoridades estatales a efectos de concertar aspectos relativos a las medidas provis</w:t>
      </w:r>
      <w:r>
        <w:rPr>
          <w:rFonts w:ascii="Verdana" w:hAnsi="Verdana"/>
          <w:sz w:val="16"/>
          <w:szCs w:val="16"/>
          <w:lang w:val="es-CR"/>
        </w:rPr>
        <w:t>i</w:t>
      </w:r>
      <w:r w:rsidRPr="00E50988">
        <w:rPr>
          <w:rFonts w:ascii="Verdana" w:hAnsi="Verdana"/>
          <w:sz w:val="16"/>
          <w:szCs w:val="16"/>
          <w:lang w:val="es-CR"/>
        </w:rPr>
        <w:t xml:space="preserve">onales. Así, cabe destacar que indicaron que el 14 de febrero de 2013 informaron sobre una solicitud al Estado para convocar con urgencia una reunión, y que sin embargo ello se concretó recién el 25 de abril del año siguiente. </w:t>
      </w:r>
      <w:r w:rsidRPr="00E50988">
        <w:rPr>
          <w:rFonts w:ascii="Verdana" w:hAnsi="Verdana"/>
          <w:sz w:val="16"/>
          <w:szCs w:val="16"/>
          <w:lang w:val="es-ES"/>
        </w:rPr>
        <w:t>Asimismo, hicieron señalamientos que denotan su inconformidad respecto a la capacidad de decisión</w:t>
      </w:r>
      <w:r>
        <w:rPr>
          <w:rFonts w:ascii="Verdana" w:hAnsi="Verdana"/>
          <w:sz w:val="16"/>
          <w:szCs w:val="16"/>
          <w:lang w:val="es-ES"/>
        </w:rPr>
        <w:t xml:space="preserve"> de autoridades intervinientes: </w:t>
      </w:r>
      <w:r w:rsidRPr="00E50988">
        <w:rPr>
          <w:rFonts w:ascii="Verdana" w:hAnsi="Verdana"/>
          <w:sz w:val="16"/>
          <w:szCs w:val="16"/>
          <w:lang w:val="es-ES"/>
        </w:rPr>
        <w:t>manifestaron el 3 de junio de 2016 que “en el marco de las [m]</w:t>
      </w:r>
      <w:proofErr w:type="spellStart"/>
      <w:r w:rsidRPr="00E50988">
        <w:rPr>
          <w:rFonts w:ascii="Verdana" w:hAnsi="Verdana"/>
          <w:sz w:val="16"/>
          <w:szCs w:val="16"/>
          <w:lang w:val="es-ES"/>
        </w:rPr>
        <w:t>edidas</w:t>
      </w:r>
      <w:proofErr w:type="spellEnd"/>
      <w:r w:rsidRPr="00E50988">
        <w:rPr>
          <w:rFonts w:ascii="Verdana" w:hAnsi="Verdana"/>
          <w:sz w:val="16"/>
          <w:szCs w:val="16"/>
          <w:lang w:val="es-ES"/>
        </w:rPr>
        <w:t xml:space="preserve"> [p]</w:t>
      </w:r>
      <w:proofErr w:type="spellStart"/>
      <w:r w:rsidRPr="00E50988">
        <w:rPr>
          <w:rFonts w:ascii="Verdana" w:hAnsi="Verdana"/>
          <w:sz w:val="16"/>
          <w:szCs w:val="16"/>
          <w:lang w:val="es-ES"/>
        </w:rPr>
        <w:t>rovisionales</w:t>
      </w:r>
      <w:proofErr w:type="spellEnd"/>
      <w:r w:rsidRPr="00E50988">
        <w:rPr>
          <w:rFonts w:ascii="Verdana" w:hAnsi="Verdana"/>
          <w:sz w:val="16"/>
          <w:szCs w:val="16"/>
          <w:lang w:val="es-ES"/>
        </w:rPr>
        <w:t xml:space="preserve">, cualquier concertación que se intente realizar se debe hacer con la Dirección de Derechos Humanos y DIH del Ministerio de Relaciones Exteriores, y al parecer cualquier opinión que esa Dirección tenga es irrelevante, pues no tiene […] asiento en </w:t>
      </w:r>
      <w:r>
        <w:rPr>
          <w:rFonts w:ascii="Verdana" w:hAnsi="Verdana"/>
          <w:sz w:val="16"/>
          <w:szCs w:val="16"/>
          <w:lang w:val="es-ES"/>
        </w:rPr>
        <w:t>[</w:t>
      </w:r>
      <w:r w:rsidRPr="00E50988">
        <w:rPr>
          <w:rFonts w:ascii="Verdana" w:hAnsi="Verdana"/>
          <w:sz w:val="16"/>
          <w:szCs w:val="16"/>
          <w:lang w:val="es-ES"/>
        </w:rPr>
        <w:t>el CERREM</w:t>
      </w:r>
      <w:r>
        <w:rPr>
          <w:rFonts w:ascii="Verdana" w:hAnsi="Verdana"/>
          <w:sz w:val="16"/>
          <w:szCs w:val="16"/>
          <w:lang w:val="es-ES"/>
        </w:rPr>
        <w:t>]</w:t>
      </w:r>
      <w:r w:rsidRPr="00E50988">
        <w:rPr>
          <w:rFonts w:ascii="Verdana" w:hAnsi="Verdana"/>
          <w:sz w:val="16"/>
          <w:szCs w:val="16"/>
          <w:lang w:val="es-ES"/>
        </w:rPr>
        <w:t xml:space="preserve">”. </w:t>
      </w:r>
    </w:p>
  </w:footnote>
  <w:footnote w:id="35">
    <w:p w:rsidR="00FF514E" w:rsidRPr="00FC6DE9" w:rsidRDefault="008726DC" w:rsidP="00FF514E">
      <w:pPr>
        <w:pStyle w:val="FootnoteText"/>
        <w:rPr>
          <w:lang w:val="es-ES"/>
        </w:rPr>
      </w:pPr>
      <w:r>
        <w:rPr>
          <w:rStyle w:val="FootnoteReference"/>
        </w:rPr>
        <w:footnoteRef/>
      </w:r>
      <w:r w:rsidR="00FF514E" w:rsidRPr="00FC6DE9">
        <w:rPr>
          <w:lang w:val="es-ES"/>
        </w:rPr>
        <w:t xml:space="preserve"> </w:t>
      </w:r>
      <w:r w:rsidR="00FF514E" w:rsidRPr="00D250E2">
        <w:rPr>
          <w:i/>
          <w:lang w:val="es-ES"/>
        </w:rPr>
        <w:t xml:space="preserve">Caso </w:t>
      </w:r>
      <w:proofErr w:type="spellStart"/>
      <w:r w:rsidR="00FF514E" w:rsidRPr="00D250E2">
        <w:rPr>
          <w:i/>
          <w:lang w:val="es-ES"/>
        </w:rPr>
        <w:t>Yarce</w:t>
      </w:r>
      <w:proofErr w:type="spellEnd"/>
      <w:r w:rsidR="00FF514E" w:rsidRPr="00D250E2">
        <w:rPr>
          <w:i/>
          <w:lang w:val="es-ES"/>
        </w:rPr>
        <w:t xml:space="preserve"> y otras Vs. Colombia. Excepción Preliminar, Fondo, Reparaciones y Costas</w:t>
      </w:r>
      <w:r w:rsidR="00FF514E" w:rsidRPr="00FC6DE9">
        <w:rPr>
          <w:lang w:val="es-ES"/>
        </w:rPr>
        <w:t>. Sentencia de 22 de nov</w:t>
      </w:r>
      <w:r w:rsidR="00FF514E">
        <w:rPr>
          <w:lang w:val="es-ES"/>
        </w:rPr>
        <w:t>iembre de 2016. Serie C No. 325, párr.16.</w:t>
      </w:r>
    </w:p>
  </w:footnote>
  <w:footnote w:id="36">
    <w:p w:rsidR="00FF514E" w:rsidRPr="00A84D54" w:rsidRDefault="00FF514E" w:rsidP="00FF514E">
      <w:pPr>
        <w:pStyle w:val="FootnoteText"/>
        <w:rPr>
          <w:lang w:val="es-ES"/>
        </w:rPr>
      </w:pPr>
      <w:r>
        <w:rPr>
          <w:rStyle w:val="FootnoteReference"/>
        </w:rPr>
        <w:footnoteRef/>
      </w:r>
      <w:r>
        <w:rPr>
          <w:lang w:val="es-ES"/>
        </w:rPr>
        <w:t xml:space="preserve"> V</w:t>
      </w:r>
      <w:r w:rsidRPr="00A84D54">
        <w:rPr>
          <w:lang w:val="es-ES"/>
        </w:rPr>
        <w:t>otos concurrentes a las siguientes resoluciones: Caso Fernández Ortega y otros Vs. de México. Medidas Provisionales. Resolución de la C</w:t>
      </w:r>
      <w:bookmarkStart w:id="5" w:name="_GoBack"/>
      <w:bookmarkEnd w:id="5"/>
      <w:r w:rsidRPr="00A84D54">
        <w:rPr>
          <w:lang w:val="es-ES"/>
        </w:rPr>
        <w:t>orte Interamericana de Derechos Humanos de 20 de febrero de 2012</w:t>
      </w:r>
      <w:r>
        <w:rPr>
          <w:lang w:val="es-ES"/>
        </w:rPr>
        <w:t xml:space="preserve">; </w:t>
      </w:r>
      <w:r w:rsidRPr="00A84D54">
        <w:rPr>
          <w:lang w:val="es-ES"/>
        </w:rPr>
        <w:t xml:space="preserve">Caso Familia Barrios Vs. Venezuela. Medidas Provisionales. Resolución de la Corte Interamericana de Derechos Humanos de 30 de mayo de 2013; Caso Familia Barrios Vs. Venezuela. Medidas Provisionales. Resolución de la Corte Interamericana de Derechos Humanos de 13 de febrero de 2013; Caso Artavia Murillo y otros ("Fecundación in vitro") Vs. Costa Rica. Solicitud de medidas provisionales. Resolución de la Corte Interamericana de Derechos Humanos de 31 de marzo de 2014; Caso García Prieto y otros Vs. El Salvador. Medidas Provisionales. Resolución de la Corte Interamericana de Derechos Humanos de 20 de noviembre de 2015, y Caso </w:t>
      </w:r>
      <w:proofErr w:type="spellStart"/>
      <w:r w:rsidRPr="00A84D54">
        <w:rPr>
          <w:lang w:val="es-ES"/>
        </w:rPr>
        <w:t>Bámaca</w:t>
      </w:r>
      <w:proofErr w:type="spellEnd"/>
      <w:r w:rsidRPr="00A84D54">
        <w:rPr>
          <w:lang w:val="es-ES"/>
        </w:rPr>
        <w:t xml:space="preserve"> Velásquez Vs. Guatemala. Medidas Provisionales. Resolución de la Corte Interamericana de Derechos Humanos de 31 de agosto de 2016.</w:t>
      </w:r>
    </w:p>
    <w:p w:rsidR="00FF514E" w:rsidRPr="00A84D54" w:rsidRDefault="00FF514E" w:rsidP="00FF514E">
      <w:pPr>
        <w:pStyle w:val="FootnoteText"/>
        <w:rPr>
          <w:lang w:val="es-ES"/>
        </w:rPr>
      </w:pPr>
      <w:r>
        <w:rPr>
          <w:lang w:val="es-ES"/>
        </w:rPr>
        <w:t>V</w:t>
      </w:r>
      <w:r w:rsidRPr="00A84D54">
        <w:rPr>
          <w:lang w:val="es-ES"/>
        </w:rPr>
        <w:t xml:space="preserve">otos disidentes e individuales a las siguientes resoluciones: Caso Gutiérrez Soler Vs. Colombia. Medidas Provisionales. Resolución de la Corte Interamericana de Derechos Humanos de 30 de junio de 2011; Caso Rosendo Cantú y otra Vs. México. Medidas Provisionales. Resolución de Corte Interamericana de Derechos Humanos de 1 de julio de 2011; Caso </w:t>
      </w:r>
      <w:proofErr w:type="spellStart"/>
      <w:r w:rsidRPr="00A84D54">
        <w:rPr>
          <w:lang w:val="es-ES"/>
        </w:rPr>
        <w:t>Kawas</w:t>
      </w:r>
      <w:proofErr w:type="spellEnd"/>
      <w:r w:rsidRPr="00A84D54">
        <w:rPr>
          <w:lang w:val="es-ES"/>
        </w:rPr>
        <w:t xml:space="preserve"> Fernández Vs. Honduras. Medidas Provisionales. Resolución de la Corte Interamericana de Derechos Humanos de 5 de julio de 2011; Asunto </w:t>
      </w:r>
      <w:proofErr w:type="spellStart"/>
      <w:r w:rsidRPr="00A84D54">
        <w:rPr>
          <w:lang w:val="es-ES"/>
        </w:rPr>
        <w:t>Millacura</w:t>
      </w:r>
      <w:proofErr w:type="spellEnd"/>
      <w:r w:rsidRPr="00A84D54">
        <w:rPr>
          <w:lang w:val="es-ES"/>
        </w:rPr>
        <w:t xml:space="preserve"> </w:t>
      </w:r>
      <w:proofErr w:type="spellStart"/>
      <w:r w:rsidRPr="00A84D54">
        <w:rPr>
          <w:lang w:val="es-ES"/>
        </w:rPr>
        <w:t>Llaipén</w:t>
      </w:r>
      <w:proofErr w:type="spellEnd"/>
      <w:r w:rsidRPr="00A84D54">
        <w:rPr>
          <w:lang w:val="es-ES"/>
        </w:rPr>
        <w:t xml:space="preserve"> respecto de Argentina. Medidas Provisionales. Resolución de la Corte Interamericana de Derechos Humanos de 25 de noviembre de 2011; Caso Pacheco Teruel y otros Vs. Honduras. Solicitud de Medidas Provisionales. Resolución de la Corte Interamericana de Derechos Humanos de 13 de febrero de 2013; Asunto </w:t>
      </w:r>
      <w:proofErr w:type="spellStart"/>
      <w:r w:rsidRPr="00A84D54">
        <w:rPr>
          <w:lang w:val="es-ES"/>
        </w:rPr>
        <w:t>Millacura</w:t>
      </w:r>
      <w:proofErr w:type="spellEnd"/>
      <w:r w:rsidRPr="00A84D54">
        <w:rPr>
          <w:lang w:val="es-ES"/>
        </w:rPr>
        <w:t xml:space="preserve"> </w:t>
      </w:r>
      <w:proofErr w:type="spellStart"/>
      <w:r w:rsidRPr="00A84D54">
        <w:rPr>
          <w:lang w:val="es-ES"/>
        </w:rPr>
        <w:t>Llaipén</w:t>
      </w:r>
      <w:proofErr w:type="spellEnd"/>
      <w:r w:rsidRPr="00A84D54">
        <w:rPr>
          <w:lang w:val="es-ES"/>
        </w:rPr>
        <w:t xml:space="preserve"> y otros respecto de Argentina. Medidas Provisionales. Resolución de la Corte Interamericana de Derechos Humanos de 13 de febrero de 2013; Caso García Prieto y otros Vs. El Salvador. Medidas Provisionales. Resolución de la Corte Interamericana de Derechos Humanos de 26 de enero de 2015; Caso </w:t>
      </w:r>
      <w:proofErr w:type="spellStart"/>
      <w:r w:rsidRPr="00A84D54">
        <w:rPr>
          <w:lang w:val="es-ES"/>
        </w:rPr>
        <w:t>Mack</w:t>
      </w:r>
      <w:proofErr w:type="spellEnd"/>
      <w:r w:rsidRPr="00A84D54">
        <w:rPr>
          <w:lang w:val="es-ES"/>
        </w:rPr>
        <w:t xml:space="preserve"> Chang y otros Vs. Guatemala. Medidas Provisionales. Resolución de la Corte Interamericana de Derechos Humanos de 26 de enero de 2015; Caso Torres </w:t>
      </w:r>
      <w:proofErr w:type="spellStart"/>
      <w:r w:rsidRPr="00A84D54">
        <w:rPr>
          <w:lang w:val="es-ES"/>
        </w:rPr>
        <w:t>Millacura</w:t>
      </w:r>
      <w:proofErr w:type="spellEnd"/>
      <w:r w:rsidRPr="00A84D54">
        <w:rPr>
          <w:lang w:val="es-ES"/>
        </w:rPr>
        <w:t xml:space="preserve"> y otros Vs. Argentina. Solicitud de medidas provisionales. Resolución de la Corte Interamericana de Derechos Humanos de 23 de junio de 2015; Caso Rosendo Cantú y otra Vs. México. Medidas Provisionales. Resolución de la Corte Interamericana de Derechos Humanos de 23 de junio de 2015; Caso </w:t>
      </w:r>
      <w:proofErr w:type="spellStart"/>
      <w:r w:rsidRPr="00A84D54">
        <w:rPr>
          <w:lang w:val="es-ES"/>
        </w:rPr>
        <w:t>Kawas</w:t>
      </w:r>
      <w:proofErr w:type="spellEnd"/>
      <w:r w:rsidRPr="00A84D54">
        <w:rPr>
          <w:lang w:val="es-ES"/>
        </w:rPr>
        <w:t xml:space="preserve"> Fernández Vs. Honduras. Medidas Provisionales. Resolución de la Corte Interamericana de Derechos Humanos de 23 de junio de 2015 y del mismo tenor de los señalados escritos, Constancia de Queja que, relacionado con las primeras Resoluciones mencionadas, presentó ante la Corte el 17 de agosto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7CA" w:rsidRPr="0065346A" w:rsidRDefault="00A327CA">
    <w:pPr>
      <w:pStyle w:val="Header"/>
      <w:jc w:val="center"/>
      <w:rPr>
        <w:rFonts w:ascii="Verdana" w:hAnsi="Verdana"/>
        <w:sz w:val="20"/>
        <w:szCs w:val="20"/>
      </w:rPr>
    </w:pPr>
    <w:r w:rsidRPr="0065346A">
      <w:rPr>
        <w:rFonts w:ascii="Verdana" w:hAnsi="Verdana"/>
        <w:sz w:val="20"/>
        <w:szCs w:val="20"/>
      </w:rPr>
      <w:fldChar w:fldCharType="begin"/>
    </w:r>
    <w:r w:rsidRPr="0065346A">
      <w:rPr>
        <w:rFonts w:ascii="Verdana" w:hAnsi="Verdana"/>
        <w:sz w:val="20"/>
        <w:szCs w:val="20"/>
      </w:rPr>
      <w:instrText xml:space="preserve"> PAGE   \* MERGEFORMAT </w:instrText>
    </w:r>
    <w:r w:rsidRPr="0065346A">
      <w:rPr>
        <w:rFonts w:ascii="Verdana" w:hAnsi="Verdana"/>
        <w:sz w:val="20"/>
        <w:szCs w:val="20"/>
      </w:rPr>
      <w:fldChar w:fldCharType="separate"/>
    </w:r>
    <w:r w:rsidR="008726DC">
      <w:rPr>
        <w:rFonts w:ascii="Verdana" w:hAnsi="Verdana"/>
        <w:noProof/>
        <w:sz w:val="20"/>
        <w:szCs w:val="20"/>
      </w:rPr>
      <w:t>19</w:t>
    </w:r>
    <w:r w:rsidRPr="0065346A">
      <w:rPr>
        <w:rFonts w:ascii="Verdana" w:hAnsi="Verdana"/>
        <w:sz w:val="20"/>
        <w:szCs w:val="20"/>
      </w:rPr>
      <w:fldChar w:fldCharType="end"/>
    </w:r>
  </w:p>
  <w:p w:rsidR="00A327CA" w:rsidRPr="0065346A" w:rsidRDefault="00A327CA">
    <w:pPr>
      <w:pStyle w:val="Header"/>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532"/>
    <w:multiLevelType w:val="hybridMultilevel"/>
    <w:tmpl w:val="D9C61EE0"/>
    <w:name w:val="WW8Num23"/>
    <w:lvl w:ilvl="0" w:tplc="965A7ADE">
      <w:start w:val="1"/>
      <w:numFmt w:val="decimal"/>
      <w:lvlText w:val="%1."/>
      <w:lvlJc w:val="left"/>
      <w:pPr>
        <w:tabs>
          <w:tab w:val="num" w:pos="567"/>
        </w:tabs>
        <w:ind w:left="0" w:firstLine="0"/>
      </w:pPr>
      <w:rPr>
        <w:rFonts w:ascii="Verdana" w:hAnsi="Verdana" w:hint="default"/>
        <w:b w:val="0"/>
        <w:i w:val="0"/>
        <w:strike w:val="0"/>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CD7E25"/>
    <w:multiLevelType w:val="hybridMultilevel"/>
    <w:tmpl w:val="541C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4521"/>
    <w:multiLevelType w:val="hybridMultilevel"/>
    <w:tmpl w:val="9CFE3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44C8A"/>
    <w:multiLevelType w:val="hybridMultilevel"/>
    <w:tmpl w:val="277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B3F78"/>
    <w:multiLevelType w:val="multilevel"/>
    <w:tmpl w:val="C5E463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0EEF2560"/>
    <w:multiLevelType w:val="hybridMultilevel"/>
    <w:tmpl w:val="00A2C438"/>
    <w:lvl w:ilvl="0" w:tplc="AFACDD6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31D70A0"/>
    <w:multiLevelType w:val="hybridMultilevel"/>
    <w:tmpl w:val="6AA00E72"/>
    <w:lvl w:ilvl="0" w:tplc="6A90905A">
      <w:start w:val="1"/>
      <w:numFmt w:val="decimal"/>
      <w:lvlText w:val="%1."/>
      <w:lvlJc w:val="left"/>
      <w:pPr>
        <w:tabs>
          <w:tab w:val="num" w:pos="720"/>
        </w:tabs>
        <w:ind w:left="0" w:firstLine="0"/>
      </w:pPr>
      <w:rPr>
        <w:rFonts w:ascii="Verdana" w:hAnsi="Verdana" w:hint="default"/>
        <w:b w:val="0"/>
        <w:strike w:val="0"/>
        <w:sz w:val="20"/>
        <w:lang w:val="es-ES_tradnl"/>
      </w:rPr>
    </w:lvl>
    <w:lvl w:ilvl="1" w:tplc="00170409">
      <w:start w:val="1"/>
      <w:numFmt w:val="lowerLetter"/>
      <w:lvlText w:val="%2)"/>
      <w:lvlJc w:val="left"/>
      <w:pPr>
        <w:tabs>
          <w:tab w:val="num" w:pos="360"/>
        </w:tabs>
        <w:ind w:left="360" w:hanging="360"/>
      </w:pPr>
      <w:rPr>
        <w:rFonts w:hint="default"/>
        <w:b w:val="0"/>
        <w:sz w:val="20"/>
      </w:rPr>
    </w:lvl>
    <w:lvl w:ilvl="2" w:tplc="001B0409">
      <w:start w:val="1"/>
      <w:numFmt w:val="lowerRoman"/>
      <w:lvlText w:val="%3."/>
      <w:lvlJc w:val="right"/>
      <w:pPr>
        <w:tabs>
          <w:tab w:val="num" w:pos="2160"/>
        </w:tabs>
        <w:ind w:left="2160" w:hanging="180"/>
      </w:pPr>
    </w:lvl>
    <w:lvl w:ilvl="3" w:tplc="9236B570">
      <w:start w:val="1"/>
      <w:numFmt w:val="decimal"/>
      <w:lvlText w:val="%4)"/>
      <w:lvlJc w:val="left"/>
      <w:pPr>
        <w:tabs>
          <w:tab w:val="num" w:pos="2880"/>
        </w:tabs>
        <w:ind w:left="2880" w:hanging="360"/>
      </w:pPr>
      <w:rPr>
        <w:rFonts w:hint="default"/>
      </w:r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1361347F"/>
    <w:multiLevelType w:val="hybridMultilevel"/>
    <w:tmpl w:val="39CA85C2"/>
    <w:lvl w:ilvl="0" w:tplc="B45CA7E2">
      <w:start w:val="2"/>
      <w:numFmt w:val="upperLetter"/>
      <w:lvlText w:val="%1."/>
      <w:lvlJc w:val="left"/>
      <w:pPr>
        <w:ind w:left="54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4BD5D70"/>
    <w:multiLevelType w:val="hybridMultilevel"/>
    <w:tmpl w:val="794236E0"/>
    <w:lvl w:ilvl="0" w:tplc="9402AE14">
      <w:start w:val="1"/>
      <w:numFmt w:val="decimal"/>
      <w:lvlText w:val="%1."/>
      <w:lvlJc w:val="left"/>
      <w:pPr>
        <w:ind w:left="63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5E52FA2"/>
    <w:multiLevelType w:val="hybridMultilevel"/>
    <w:tmpl w:val="93E8CDEE"/>
    <w:lvl w:ilvl="0" w:tplc="E83A9E88">
      <w:start w:val="1"/>
      <w:numFmt w:val="decimal"/>
      <w:lvlText w:val="%1."/>
      <w:lvlJc w:val="left"/>
      <w:pPr>
        <w:tabs>
          <w:tab w:val="num" w:pos="680"/>
        </w:tabs>
        <w:ind w:left="0" w:firstLine="0"/>
      </w:pPr>
      <w:rPr>
        <w:b w:val="0"/>
        <w:i w:val="0"/>
        <w:strike w:val="0"/>
        <w:dstrike w:val="0"/>
        <w:sz w:val="20"/>
        <w:szCs w:val="20"/>
        <w:u w:val="none"/>
        <w:effect w:val="none"/>
      </w:rPr>
    </w:lvl>
    <w:lvl w:ilvl="1" w:tplc="00190409">
      <w:start w:val="1"/>
      <w:numFmt w:val="lowerLetter"/>
      <w:lvlText w:val="%2."/>
      <w:lvlJc w:val="left"/>
      <w:pPr>
        <w:tabs>
          <w:tab w:val="num" w:pos="1440"/>
        </w:tabs>
        <w:ind w:left="1440" w:hanging="360"/>
      </w:pPr>
    </w:lvl>
    <w:lvl w:ilvl="2" w:tplc="C35646FE">
      <w:start w:val="1"/>
      <w:numFmt w:val="lowerRoman"/>
      <w:lvlText w:val="%3)"/>
      <w:lvlJc w:val="left"/>
      <w:pPr>
        <w:tabs>
          <w:tab w:val="num" w:pos="2700"/>
        </w:tabs>
        <w:ind w:left="2700" w:hanging="72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0">
    <w:nsid w:val="17710CEF"/>
    <w:multiLevelType w:val="hybridMultilevel"/>
    <w:tmpl w:val="C52002B6"/>
    <w:lvl w:ilvl="0" w:tplc="EBBE81B6">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84D734A"/>
    <w:multiLevelType w:val="hybridMultilevel"/>
    <w:tmpl w:val="58F42498"/>
    <w:lvl w:ilvl="0" w:tplc="3292892A">
      <w:start w:val="1"/>
      <w:numFmt w:val="lowerLetter"/>
      <w:lvlText w:val="%1)"/>
      <w:lvlJc w:val="left"/>
      <w:pPr>
        <w:tabs>
          <w:tab w:val="num" w:pos="720"/>
        </w:tabs>
        <w:ind w:left="720" w:hanging="360"/>
      </w:pPr>
      <w:rPr>
        <w:rFonts w:ascii="Verdana" w:eastAsia="Times New Roman" w:hAnsi="Verdana" w:cs="Times New Roman"/>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CF7BA8"/>
    <w:multiLevelType w:val="hybridMultilevel"/>
    <w:tmpl w:val="7098E312"/>
    <w:lvl w:ilvl="0" w:tplc="BD8C2E74">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BBF17F9"/>
    <w:multiLevelType w:val="hybridMultilevel"/>
    <w:tmpl w:val="5C745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A90517"/>
    <w:multiLevelType w:val="hybridMultilevel"/>
    <w:tmpl w:val="03E6F39A"/>
    <w:lvl w:ilvl="0" w:tplc="E9EEFBEA">
      <w:start w:val="1"/>
      <w:numFmt w:val="decimal"/>
      <w:lvlText w:val="%1."/>
      <w:lvlJc w:val="left"/>
      <w:pPr>
        <w:ind w:left="540" w:hanging="360"/>
      </w:pPr>
      <w:rPr>
        <w:rFonts w:ascii="Verdana" w:hAnsi="Verdana" w:hint="default"/>
        <w:b w:val="0"/>
        <w:i w:val="0"/>
        <w:strike w:val="0"/>
        <w:color w:val="auto"/>
        <w:sz w:val="20"/>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3297E"/>
    <w:multiLevelType w:val="hybridMultilevel"/>
    <w:tmpl w:val="9E5E2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A12883"/>
    <w:multiLevelType w:val="hybridMultilevel"/>
    <w:tmpl w:val="81643650"/>
    <w:lvl w:ilvl="0" w:tplc="0409000F">
      <w:start w:val="1"/>
      <w:numFmt w:val="decimal"/>
      <w:lvlText w:val="%1."/>
      <w:lvlJc w:val="left"/>
      <w:pPr>
        <w:ind w:left="720" w:hanging="360"/>
      </w:pPr>
    </w:lvl>
    <w:lvl w:ilvl="1" w:tplc="1B62F5E8">
      <w:start w:val="1"/>
      <w:numFmt w:val="lowerLetter"/>
      <w:lvlText w:val="%2)"/>
      <w:lvlJc w:val="left"/>
      <w:pPr>
        <w:ind w:left="3690" w:hanging="360"/>
      </w:pPr>
      <w:rPr>
        <w:rFonts w:ascii="Verdana" w:eastAsia="Calibri" w:hAnsi="Verdana" w:cs="Times New Roman"/>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2E97C8A"/>
    <w:multiLevelType w:val="hybridMultilevel"/>
    <w:tmpl w:val="890ABA50"/>
    <w:lvl w:ilvl="0" w:tplc="0B74AAF0">
      <w:start w:val="2"/>
      <w:numFmt w:val="decimal"/>
      <w:lvlText w:val="%1."/>
      <w:lvlJc w:val="left"/>
      <w:pPr>
        <w:ind w:left="720" w:hanging="360"/>
      </w:pPr>
      <w:rPr>
        <w:rFonts w:ascii="Verdana" w:hAnsi="Verdana"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235F32CF"/>
    <w:multiLevelType w:val="hybridMultilevel"/>
    <w:tmpl w:val="6D9C7260"/>
    <w:lvl w:ilvl="0" w:tplc="5A7A7FC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127B8B"/>
    <w:multiLevelType w:val="multilevel"/>
    <w:tmpl w:val="1EDE89AA"/>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20">
    <w:nsid w:val="291A0026"/>
    <w:multiLevelType w:val="hybridMultilevel"/>
    <w:tmpl w:val="69A8D750"/>
    <w:lvl w:ilvl="0" w:tplc="97FACA44">
      <w:start w:val="1"/>
      <w:numFmt w:val="decimal"/>
      <w:lvlText w:val="%1."/>
      <w:lvlJc w:val="left"/>
      <w:pPr>
        <w:ind w:left="540" w:hanging="360"/>
      </w:pPr>
      <w:rPr>
        <w:rFonts w:ascii="Verdana" w:hAnsi="Verdana" w:hint="default"/>
        <w:b w:val="0"/>
        <w:i w:val="0"/>
        <w:strike w:val="0"/>
        <w:color w:val="auto"/>
        <w:sz w:val="20"/>
        <w:lang w:val="es-ES_tradn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DA1B90"/>
    <w:multiLevelType w:val="hybridMultilevel"/>
    <w:tmpl w:val="3B102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3010F5"/>
    <w:multiLevelType w:val="hybridMultilevel"/>
    <w:tmpl w:val="7100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F60358"/>
    <w:multiLevelType w:val="hybridMultilevel"/>
    <w:tmpl w:val="D87C8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0476CF"/>
    <w:multiLevelType w:val="hybridMultilevel"/>
    <w:tmpl w:val="656C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A01EDA"/>
    <w:multiLevelType w:val="multilevel"/>
    <w:tmpl w:val="572238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C5A7E2C"/>
    <w:multiLevelType w:val="multilevel"/>
    <w:tmpl w:val="1EDE89AA"/>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27">
    <w:nsid w:val="3CE15181"/>
    <w:multiLevelType w:val="multilevel"/>
    <w:tmpl w:val="1EDE89AA"/>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28">
    <w:nsid w:val="3D5E7DD0"/>
    <w:multiLevelType w:val="hybridMultilevel"/>
    <w:tmpl w:val="00900042"/>
    <w:lvl w:ilvl="0" w:tplc="65EC7170">
      <w:start w:val="1"/>
      <w:numFmt w:val="decimal"/>
      <w:lvlText w:val="%1."/>
      <w:lvlJc w:val="left"/>
      <w:pPr>
        <w:tabs>
          <w:tab w:val="num" w:pos="720"/>
        </w:tabs>
        <w:ind w:left="0" w:firstLine="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F4448AB"/>
    <w:multiLevelType w:val="hybridMultilevel"/>
    <w:tmpl w:val="098E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957D39"/>
    <w:multiLevelType w:val="hybridMultilevel"/>
    <w:tmpl w:val="2B0E320E"/>
    <w:lvl w:ilvl="0" w:tplc="2A961F8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CA5E3E"/>
    <w:multiLevelType w:val="hybridMultilevel"/>
    <w:tmpl w:val="79F88D56"/>
    <w:lvl w:ilvl="0" w:tplc="3E78D35E">
      <w:start w:val="1"/>
      <w:numFmt w:val="lowerLetter"/>
      <w:lvlText w:val="%1)"/>
      <w:lvlJc w:val="left"/>
      <w:pPr>
        <w:ind w:left="1080" w:hanging="360"/>
      </w:pPr>
      <w:rPr>
        <w:rFonts w:hint="default"/>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2">
    <w:nsid w:val="41E35F7A"/>
    <w:multiLevelType w:val="hybridMultilevel"/>
    <w:tmpl w:val="6666DB74"/>
    <w:lvl w:ilvl="0" w:tplc="0C02FD20">
      <w:start w:val="1"/>
      <w:numFmt w:val="upperLetter"/>
      <w:lvlText w:val="%1."/>
      <w:lvlJc w:val="left"/>
      <w:pPr>
        <w:ind w:left="54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2D47284"/>
    <w:multiLevelType w:val="hybridMultilevel"/>
    <w:tmpl w:val="512EA71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43055697"/>
    <w:multiLevelType w:val="hybridMultilevel"/>
    <w:tmpl w:val="6A663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747762"/>
    <w:multiLevelType w:val="hybridMultilevel"/>
    <w:tmpl w:val="D6AABEE8"/>
    <w:lvl w:ilvl="0" w:tplc="56AC7006">
      <w:start w:val="1"/>
      <w:numFmt w:val="decimal"/>
      <w:lvlText w:val="%1."/>
      <w:lvlJc w:val="left"/>
      <w:pPr>
        <w:tabs>
          <w:tab w:val="num" w:pos="567"/>
        </w:tabs>
        <w:ind w:left="0" w:firstLine="0"/>
      </w:pPr>
      <w:rPr>
        <w:rFonts w:ascii="Verdana" w:hAnsi="Verdana" w:hint="default"/>
        <w:b w:val="0"/>
        <w:i w:val="0"/>
        <w:strike w:val="0"/>
        <w:color w:val="auto"/>
        <w:sz w:val="20"/>
        <w:szCs w:val="20"/>
        <w:lang w:val="es-CR"/>
      </w:rPr>
    </w:lvl>
    <w:lvl w:ilvl="1" w:tplc="9752BD62">
      <w:start w:val="1"/>
      <w:numFmt w:val="lowerRoman"/>
      <w:lvlText w:val="%2."/>
      <w:lvlJc w:val="right"/>
      <w:pPr>
        <w:ind w:left="1440" w:hanging="360"/>
      </w:pPr>
      <w:rPr>
        <w:rFonts w:hint="default"/>
        <w:b w:val="0"/>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140A0019">
      <w:start w:val="1"/>
      <w:numFmt w:val="lowerLetter"/>
      <w:lvlText w:val="%4."/>
      <w:lvlJc w:val="left"/>
      <w:pPr>
        <w:ind w:left="846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5B62C17"/>
    <w:multiLevelType w:val="hybridMultilevel"/>
    <w:tmpl w:val="A1525F2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7F34B0"/>
    <w:multiLevelType w:val="multilevel"/>
    <w:tmpl w:val="4998C69E"/>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8">
    <w:nsid w:val="4BD60CF2"/>
    <w:multiLevelType w:val="multilevel"/>
    <w:tmpl w:val="2B0E320E"/>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C4F4521"/>
    <w:multiLevelType w:val="hybridMultilevel"/>
    <w:tmpl w:val="71F64426"/>
    <w:lvl w:ilvl="0" w:tplc="1222987A">
      <w:start w:val="1"/>
      <w:numFmt w:val="decimal"/>
      <w:lvlText w:val="%1."/>
      <w:lvlJc w:val="left"/>
      <w:pPr>
        <w:tabs>
          <w:tab w:val="num" w:pos="500"/>
        </w:tabs>
        <w:ind w:left="500" w:hanging="68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980"/>
        </w:tabs>
        <w:ind w:left="1980" w:hanging="180"/>
      </w:pPr>
    </w:lvl>
    <w:lvl w:ilvl="3" w:tplc="000F0409">
      <w:start w:val="1"/>
      <w:numFmt w:val="decimal"/>
      <w:lvlText w:val="%4."/>
      <w:lvlJc w:val="left"/>
      <w:pPr>
        <w:tabs>
          <w:tab w:val="num" w:pos="2700"/>
        </w:tabs>
        <w:ind w:left="2700" w:hanging="360"/>
      </w:pPr>
    </w:lvl>
    <w:lvl w:ilvl="4" w:tplc="00190409">
      <w:start w:val="1"/>
      <w:numFmt w:val="lowerLetter"/>
      <w:lvlText w:val="%5."/>
      <w:lvlJc w:val="left"/>
      <w:pPr>
        <w:tabs>
          <w:tab w:val="num" w:pos="3420"/>
        </w:tabs>
        <w:ind w:left="3420" w:hanging="360"/>
      </w:pPr>
    </w:lvl>
    <w:lvl w:ilvl="5" w:tplc="001B0409">
      <w:start w:val="1"/>
      <w:numFmt w:val="lowerRoman"/>
      <w:lvlText w:val="%6."/>
      <w:lvlJc w:val="right"/>
      <w:pPr>
        <w:tabs>
          <w:tab w:val="num" w:pos="4140"/>
        </w:tabs>
        <w:ind w:left="4140" w:hanging="180"/>
      </w:pPr>
    </w:lvl>
    <w:lvl w:ilvl="6" w:tplc="000F0409">
      <w:start w:val="1"/>
      <w:numFmt w:val="decimal"/>
      <w:lvlText w:val="%7."/>
      <w:lvlJc w:val="left"/>
      <w:pPr>
        <w:tabs>
          <w:tab w:val="num" w:pos="4860"/>
        </w:tabs>
        <w:ind w:left="4860" w:hanging="360"/>
      </w:pPr>
    </w:lvl>
    <w:lvl w:ilvl="7" w:tplc="00190409">
      <w:start w:val="1"/>
      <w:numFmt w:val="lowerLetter"/>
      <w:lvlText w:val="%8."/>
      <w:lvlJc w:val="left"/>
      <w:pPr>
        <w:tabs>
          <w:tab w:val="num" w:pos="5580"/>
        </w:tabs>
        <w:ind w:left="5580" w:hanging="360"/>
      </w:pPr>
    </w:lvl>
    <w:lvl w:ilvl="8" w:tplc="001B0409">
      <w:start w:val="1"/>
      <w:numFmt w:val="lowerRoman"/>
      <w:lvlText w:val="%9."/>
      <w:lvlJc w:val="right"/>
      <w:pPr>
        <w:tabs>
          <w:tab w:val="num" w:pos="6300"/>
        </w:tabs>
        <w:ind w:left="6300" w:hanging="180"/>
      </w:pPr>
    </w:lvl>
  </w:abstractNum>
  <w:abstractNum w:abstractNumId="40">
    <w:nsid w:val="4D101953"/>
    <w:multiLevelType w:val="hybridMultilevel"/>
    <w:tmpl w:val="E7BCA33A"/>
    <w:lvl w:ilvl="0" w:tplc="68C008F6">
      <w:start w:val="1"/>
      <w:numFmt w:val="lowerLetter"/>
      <w:lvlText w:val="%1)"/>
      <w:lvlJc w:val="left"/>
      <w:pPr>
        <w:ind w:left="720" w:hanging="360"/>
      </w:pPr>
      <w:rPr>
        <w:rFonts w:ascii="Verdana" w:eastAsia="Times New Roman" w:hAnsi="Verdana" w:cs="Times New Roman"/>
        <w:b w:val="0"/>
        <w:color w:val="auto"/>
        <w:lang w:val="es-C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D12CF2"/>
    <w:multiLevelType w:val="multilevel"/>
    <w:tmpl w:val="B6FC5F08"/>
    <w:lvl w:ilvl="0">
      <w:start w:val="1"/>
      <w:numFmt w:val="decimal"/>
      <w:lvlText w:val="%1."/>
      <w:lvlJc w:val="left"/>
      <w:pPr>
        <w:ind w:left="900" w:hanging="360"/>
      </w:pPr>
      <w:rPr>
        <w:rFonts w:hint="default"/>
      </w:rPr>
    </w:lvl>
    <w:lvl w:ilvl="1">
      <w:start w:val="1"/>
      <w:numFmt w:val="decimal"/>
      <w:isLgl/>
      <w:lvlText w:val="%1.%2"/>
      <w:lvlJc w:val="left"/>
      <w:pPr>
        <w:ind w:left="1080" w:hanging="720"/>
      </w:pPr>
      <w:rPr>
        <w:rFonts w:hint="default"/>
        <w:lang w:val="es-ES"/>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42">
    <w:nsid w:val="56AB1D07"/>
    <w:multiLevelType w:val="hybridMultilevel"/>
    <w:tmpl w:val="89A86A12"/>
    <w:lvl w:ilvl="0" w:tplc="3E327C92">
      <w:start w:val="1"/>
      <w:numFmt w:val="decimal"/>
      <w:lvlText w:val="%1."/>
      <w:lvlJc w:val="left"/>
      <w:pPr>
        <w:tabs>
          <w:tab w:val="num" w:pos="0"/>
        </w:tabs>
        <w:ind w:left="0" w:firstLine="0"/>
      </w:pPr>
    </w:lvl>
    <w:lvl w:ilvl="1" w:tplc="9DD45580">
      <w:start w:val="1"/>
      <w:numFmt w:val="decimal"/>
      <w:lvlText w:val="%2."/>
      <w:lvlJc w:val="left"/>
      <w:pPr>
        <w:tabs>
          <w:tab w:val="num" w:pos="1080"/>
        </w:tabs>
        <w:ind w:left="1080" w:firstLine="0"/>
      </w:pPr>
      <w:rPr>
        <w:rFonts w:ascii="Verdana" w:hAnsi="Verdana" w:hint="default"/>
        <w:sz w:val="16"/>
        <w:szCs w:val="16"/>
      </w:rPr>
    </w:lvl>
    <w:lvl w:ilvl="2" w:tplc="FE7EEBC4">
      <w:start w:val="1"/>
      <w:numFmt w:val="lowerLetter"/>
      <w:lvlText w:val="%3)"/>
      <w:lvlJc w:val="left"/>
      <w:pPr>
        <w:ind w:left="2340" w:hanging="360"/>
      </w:pPr>
      <w:rPr>
        <w:rFonts w:ascii="Verdana" w:hAnsi="Verdana" w:hint="default"/>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57FB0581"/>
    <w:multiLevelType w:val="hybridMultilevel"/>
    <w:tmpl w:val="8B0A9ED2"/>
    <w:lvl w:ilvl="0" w:tplc="6CDA648A">
      <w:start w:val="1"/>
      <w:numFmt w:val="decimal"/>
      <w:lvlText w:val="%1."/>
      <w:lvlJc w:val="left"/>
      <w:pPr>
        <w:ind w:left="450" w:hanging="360"/>
      </w:pPr>
      <w:rPr>
        <w:b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583E0757"/>
    <w:multiLevelType w:val="hybridMultilevel"/>
    <w:tmpl w:val="85E297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8C4252B"/>
    <w:multiLevelType w:val="hybridMultilevel"/>
    <w:tmpl w:val="8B0A9ED2"/>
    <w:lvl w:ilvl="0" w:tplc="6CDA648A">
      <w:start w:val="1"/>
      <w:numFmt w:val="decimal"/>
      <w:lvlText w:val="%1."/>
      <w:lvlJc w:val="left"/>
      <w:pPr>
        <w:ind w:left="450" w:hanging="360"/>
      </w:pPr>
      <w:rPr>
        <w:b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nsid w:val="5AC33DA6"/>
    <w:multiLevelType w:val="multilevel"/>
    <w:tmpl w:val="EFBA677A"/>
    <w:lvl w:ilvl="0">
      <w:start w:val="1"/>
      <w:numFmt w:val="decimal"/>
      <w:lvlText w:val="%1."/>
      <w:lvlJc w:val="left"/>
      <w:pPr>
        <w:tabs>
          <w:tab w:val="num" w:pos="1800"/>
        </w:tabs>
        <w:ind w:left="1800" w:hanging="360"/>
      </w:pPr>
      <w:rPr>
        <w:rFonts w:ascii="Verdana" w:hAnsi="Verdana" w:hint="default"/>
        <w:b w:val="0"/>
        <w:i w:val="0"/>
        <w:color w:val="auto"/>
        <w:sz w:val="20"/>
      </w:rPr>
    </w:lvl>
    <w:lvl w:ilvl="1">
      <w:start w:val="1"/>
      <w:numFmt w:val="lowerLetter"/>
      <w:lvlText w:val="%2."/>
      <w:lvlJc w:val="left"/>
      <w:pPr>
        <w:tabs>
          <w:tab w:val="num" w:pos="1134"/>
        </w:tabs>
        <w:ind w:left="567" w:firstLine="0"/>
      </w:pPr>
      <w:rPr>
        <w:rFonts w:ascii="Verdana" w:eastAsia="Times New Roman" w:hAnsi="Verdana" w:cs="Times New Roman" w:hint="default"/>
        <w:color w:val="auto"/>
      </w:rPr>
    </w:lvl>
    <w:lvl w:ilvl="2">
      <w:start w:val="1"/>
      <w:numFmt w:val="lowerRoman"/>
      <w:lvlText w:val="%3."/>
      <w:lvlJc w:val="right"/>
      <w:pPr>
        <w:tabs>
          <w:tab w:val="num" w:pos="1985"/>
        </w:tabs>
        <w:ind w:left="851" w:firstLine="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5AE269CC"/>
    <w:multiLevelType w:val="hybridMultilevel"/>
    <w:tmpl w:val="0D640EE6"/>
    <w:lvl w:ilvl="0" w:tplc="50C88310">
      <w:start w:val="1"/>
      <w:numFmt w:val="decimal"/>
      <w:lvlText w:val="%1."/>
      <w:lvlJc w:val="left"/>
      <w:pPr>
        <w:tabs>
          <w:tab w:val="num" w:pos="0"/>
        </w:tabs>
        <w:ind w:left="0" w:firstLine="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B6E60EA"/>
    <w:multiLevelType w:val="hybridMultilevel"/>
    <w:tmpl w:val="5BDEA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0A560C"/>
    <w:multiLevelType w:val="hybridMultilevel"/>
    <w:tmpl w:val="A1525F2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000243F"/>
    <w:multiLevelType w:val="hybridMultilevel"/>
    <w:tmpl w:val="02D05D80"/>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nsid w:val="60FB4F31"/>
    <w:multiLevelType w:val="hybridMultilevel"/>
    <w:tmpl w:val="6E10D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FC6485"/>
    <w:multiLevelType w:val="hybridMultilevel"/>
    <w:tmpl w:val="FD0C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5D6ECD"/>
    <w:multiLevelType w:val="hybridMultilevel"/>
    <w:tmpl w:val="18749C38"/>
    <w:lvl w:ilvl="0" w:tplc="FE7EEBC4">
      <w:start w:val="1"/>
      <w:numFmt w:val="lowerLetter"/>
      <w:lvlText w:val="%1)"/>
      <w:lvlJc w:val="left"/>
      <w:pPr>
        <w:ind w:left="1080" w:hanging="360"/>
      </w:pPr>
      <w:rPr>
        <w:rFonts w:ascii="Verdana" w:hAnsi="Verdana" w:hint="default"/>
        <w:sz w:val="20"/>
        <w:szCs w:val="20"/>
      </w:rPr>
    </w:lvl>
    <w:lvl w:ilvl="1" w:tplc="50C88310">
      <w:start w:val="1"/>
      <w:numFmt w:val="decimal"/>
      <w:lvlText w:val="%2."/>
      <w:lvlJc w:val="left"/>
      <w:pPr>
        <w:tabs>
          <w:tab w:val="num" w:pos="0"/>
        </w:tabs>
        <w:ind w:left="0" w:firstLine="0"/>
      </w:pPr>
      <w:rPr>
        <w:rFonts w:hint="default"/>
        <w:sz w:val="20"/>
        <w:szCs w:val="20"/>
      </w:rPr>
    </w:lvl>
    <w:lvl w:ilvl="2" w:tplc="FE7EEBC4">
      <w:start w:val="1"/>
      <w:numFmt w:val="lowerLetter"/>
      <w:lvlText w:val="%3)"/>
      <w:lvlJc w:val="left"/>
      <w:pPr>
        <w:ind w:left="2700" w:hanging="360"/>
      </w:pPr>
      <w:rPr>
        <w:rFonts w:ascii="Verdana" w:hAnsi="Verdana" w:hint="default"/>
        <w:sz w:val="20"/>
        <w:szCs w:val="20"/>
      </w:r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4">
    <w:nsid w:val="62B32BA7"/>
    <w:multiLevelType w:val="hybridMultilevel"/>
    <w:tmpl w:val="D264E802"/>
    <w:lvl w:ilvl="0" w:tplc="23468612">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6D41A4B"/>
    <w:multiLevelType w:val="hybridMultilevel"/>
    <w:tmpl w:val="AF62F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8DD2AC8"/>
    <w:multiLevelType w:val="hybridMultilevel"/>
    <w:tmpl w:val="C7D005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94139C9"/>
    <w:multiLevelType w:val="hybridMultilevel"/>
    <w:tmpl w:val="3DCC1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A842770"/>
    <w:multiLevelType w:val="hybridMultilevel"/>
    <w:tmpl w:val="8E3CF558"/>
    <w:lvl w:ilvl="0" w:tplc="D640D648">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FC4419"/>
    <w:multiLevelType w:val="hybridMultilevel"/>
    <w:tmpl w:val="7C7A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1B321E"/>
    <w:multiLevelType w:val="multilevel"/>
    <w:tmpl w:val="1EDE89AA"/>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61">
    <w:nsid w:val="6F957A05"/>
    <w:multiLevelType w:val="hybridMultilevel"/>
    <w:tmpl w:val="A80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FB94B98"/>
    <w:multiLevelType w:val="multilevel"/>
    <w:tmpl w:val="2B0E320E"/>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0857F1D"/>
    <w:multiLevelType w:val="multilevel"/>
    <w:tmpl w:val="1EDE89AA"/>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64">
    <w:nsid w:val="70A3722D"/>
    <w:multiLevelType w:val="hybridMultilevel"/>
    <w:tmpl w:val="D360B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EF5C98"/>
    <w:multiLevelType w:val="multilevel"/>
    <w:tmpl w:val="1EDE89AA"/>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66">
    <w:nsid w:val="71ED5EA8"/>
    <w:multiLevelType w:val="hybridMultilevel"/>
    <w:tmpl w:val="521C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AE57FA"/>
    <w:multiLevelType w:val="hybridMultilevel"/>
    <w:tmpl w:val="94FCEC20"/>
    <w:lvl w:ilvl="0" w:tplc="585C1C2A">
      <w:start w:val="1"/>
      <w:numFmt w:val="decimal"/>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8287A21"/>
    <w:multiLevelType w:val="hybridMultilevel"/>
    <w:tmpl w:val="D76CC7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6D61DF"/>
    <w:multiLevelType w:val="hybridMultilevel"/>
    <w:tmpl w:val="86723542"/>
    <w:lvl w:ilvl="0" w:tplc="7E5E6926">
      <w:start w:val="1"/>
      <w:numFmt w:val="decimal"/>
      <w:lvlText w:val="%1."/>
      <w:lvlJc w:val="left"/>
      <w:pPr>
        <w:ind w:left="1080" w:hanging="720"/>
      </w:pPr>
      <w:rPr>
        <w:rFonts w:hint="default"/>
        <w:b w:val="0"/>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E6F4F88"/>
    <w:multiLevelType w:val="hybridMultilevel"/>
    <w:tmpl w:val="25B0140E"/>
    <w:lvl w:ilvl="0" w:tplc="216EF01C">
      <w:start w:val="1"/>
      <w:numFmt w:val="upperLetter"/>
      <w:lvlText w:val="%1."/>
      <w:lvlJc w:val="left"/>
      <w:pPr>
        <w:ind w:left="1170" w:hanging="360"/>
      </w:pPr>
      <w:rPr>
        <w:rFonts w:hint="default"/>
        <w:b w:val="0"/>
        <w:color w:val="auto"/>
      </w:rPr>
    </w:lvl>
    <w:lvl w:ilvl="1" w:tplc="140A0019" w:tentative="1">
      <w:start w:val="1"/>
      <w:numFmt w:val="lowerLetter"/>
      <w:lvlText w:val="%2."/>
      <w:lvlJc w:val="left"/>
      <w:pPr>
        <w:ind w:left="1890" w:hanging="360"/>
      </w:pPr>
    </w:lvl>
    <w:lvl w:ilvl="2" w:tplc="140A001B" w:tentative="1">
      <w:start w:val="1"/>
      <w:numFmt w:val="lowerRoman"/>
      <w:lvlText w:val="%3."/>
      <w:lvlJc w:val="right"/>
      <w:pPr>
        <w:ind w:left="2610" w:hanging="180"/>
      </w:pPr>
    </w:lvl>
    <w:lvl w:ilvl="3" w:tplc="140A000F" w:tentative="1">
      <w:start w:val="1"/>
      <w:numFmt w:val="decimal"/>
      <w:lvlText w:val="%4."/>
      <w:lvlJc w:val="left"/>
      <w:pPr>
        <w:ind w:left="3330" w:hanging="360"/>
      </w:pPr>
    </w:lvl>
    <w:lvl w:ilvl="4" w:tplc="140A0019" w:tentative="1">
      <w:start w:val="1"/>
      <w:numFmt w:val="lowerLetter"/>
      <w:lvlText w:val="%5."/>
      <w:lvlJc w:val="left"/>
      <w:pPr>
        <w:ind w:left="4050" w:hanging="360"/>
      </w:pPr>
    </w:lvl>
    <w:lvl w:ilvl="5" w:tplc="140A001B" w:tentative="1">
      <w:start w:val="1"/>
      <w:numFmt w:val="lowerRoman"/>
      <w:lvlText w:val="%6."/>
      <w:lvlJc w:val="right"/>
      <w:pPr>
        <w:ind w:left="4770" w:hanging="180"/>
      </w:pPr>
    </w:lvl>
    <w:lvl w:ilvl="6" w:tplc="140A000F" w:tentative="1">
      <w:start w:val="1"/>
      <w:numFmt w:val="decimal"/>
      <w:lvlText w:val="%7."/>
      <w:lvlJc w:val="left"/>
      <w:pPr>
        <w:ind w:left="5490" w:hanging="360"/>
      </w:pPr>
    </w:lvl>
    <w:lvl w:ilvl="7" w:tplc="140A0019" w:tentative="1">
      <w:start w:val="1"/>
      <w:numFmt w:val="lowerLetter"/>
      <w:lvlText w:val="%8."/>
      <w:lvlJc w:val="left"/>
      <w:pPr>
        <w:ind w:left="6210" w:hanging="360"/>
      </w:pPr>
    </w:lvl>
    <w:lvl w:ilvl="8" w:tplc="140A001B" w:tentative="1">
      <w:start w:val="1"/>
      <w:numFmt w:val="lowerRoman"/>
      <w:lvlText w:val="%9."/>
      <w:lvlJc w:val="right"/>
      <w:pPr>
        <w:ind w:left="6930" w:hanging="180"/>
      </w:pPr>
    </w:lvl>
  </w:abstractNum>
  <w:num w:numId="1">
    <w:abstractNumId w:val="20"/>
  </w:num>
  <w:num w:numId="2">
    <w:abstractNumId w:val="30"/>
  </w:num>
  <w:num w:numId="3">
    <w:abstractNumId w:val="1"/>
  </w:num>
  <w:num w:numId="4">
    <w:abstractNumId w:val="68"/>
  </w:num>
  <w:num w:numId="5">
    <w:abstractNumId w:val="40"/>
  </w:num>
  <w:num w:numId="6">
    <w:abstractNumId w:val="13"/>
  </w:num>
  <w:num w:numId="7">
    <w:abstractNumId w:val="43"/>
  </w:num>
  <w:num w:numId="8">
    <w:abstractNumId w:val="11"/>
  </w:num>
  <w:num w:numId="9">
    <w:abstractNumId w:val="54"/>
  </w:num>
  <w:num w:numId="10">
    <w:abstractNumId w:val="55"/>
  </w:num>
  <w:num w:numId="11">
    <w:abstractNumId w:val="67"/>
  </w:num>
  <w:num w:numId="12">
    <w:abstractNumId w:val="69"/>
  </w:num>
  <w:num w:numId="13">
    <w:abstractNumId w:val="41"/>
  </w:num>
  <w:num w:numId="14">
    <w:abstractNumId w:val="66"/>
  </w:num>
  <w:num w:numId="15">
    <w:abstractNumId w:val="24"/>
  </w:num>
  <w:num w:numId="16">
    <w:abstractNumId w:val="27"/>
  </w:num>
  <w:num w:numId="17">
    <w:abstractNumId w:val="26"/>
  </w:num>
  <w:num w:numId="18">
    <w:abstractNumId w:val="60"/>
  </w:num>
  <w:num w:numId="19">
    <w:abstractNumId w:val="19"/>
  </w:num>
  <w:num w:numId="20">
    <w:abstractNumId w:val="63"/>
  </w:num>
  <w:num w:numId="21">
    <w:abstractNumId w:val="59"/>
  </w:num>
  <w:num w:numId="22">
    <w:abstractNumId w:val="62"/>
  </w:num>
  <w:num w:numId="23">
    <w:abstractNumId w:val="38"/>
  </w:num>
  <w:num w:numId="24">
    <w:abstractNumId w:val="25"/>
  </w:num>
  <w:num w:numId="25">
    <w:abstractNumId w:val="28"/>
  </w:num>
  <w:num w:numId="26">
    <w:abstractNumId w:val="6"/>
  </w:num>
  <w:num w:numId="27">
    <w:abstractNumId w:val="53"/>
  </w:num>
  <w:num w:numId="28">
    <w:abstractNumId w:val="2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0"/>
  </w:num>
  <w:num w:numId="32">
    <w:abstractNumId w:val="65"/>
  </w:num>
  <w:num w:numId="33">
    <w:abstractNumId w:val="8"/>
  </w:num>
  <w:num w:numId="34">
    <w:abstractNumId w:val="32"/>
  </w:num>
  <w:num w:numId="35">
    <w:abstractNumId w:val="12"/>
  </w:num>
  <w:num w:numId="36">
    <w:abstractNumId w:val="10"/>
  </w:num>
  <w:num w:numId="37">
    <w:abstractNumId w:val="4"/>
  </w:num>
  <w:num w:numId="38">
    <w:abstractNumId w:val="18"/>
  </w:num>
  <w:num w:numId="39">
    <w:abstractNumId w:val="37"/>
  </w:num>
  <w:num w:numId="40">
    <w:abstractNumId w:val="49"/>
  </w:num>
  <w:num w:numId="41">
    <w:abstractNumId w:val="36"/>
  </w:num>
  <w:num w:numId="42">
    <w:abstractNumId w:val="34"/>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51"/>
  </w:num>
  <w:num w:numId="46">
    <w:abstractNumId w:val="64"/>
  </w:num>
  <w:num w:numId="47">
    <w:abstractNumId w:val="58"/>
  </w:num>
  <w:num w:numId="48">
    <w:abstractNumId w:val="44"/>
  </w:num>
  <w:num w:numId="49">
    <w:abstractNumId w:val="56"/>
  </w:num>
  <w:num w:numId="50">
    <w:abstractNumId w:val="45"/>
  </w:num>
  <w:num w:numId="51">
    <w:abstractNumId w:val="3"/>
  </w:num>
  <w:num w:numId="52">
    <w:abstractNumId w:val="61"/>
  </w:num>
  <w:num w:numId="53">
    <w:abstractNumId w:val="2"/>
  </w:num>
  <w:num w:numId="54">
    <w:abstractNumId w:val="52"/>
  </w:num>
  <w:num w:numId="55">
    <w:abstractNumId w:val="57"/>
  </w:num>
  <w:num w:numId="56">
    <w:abstractNumId w:val="21"/>
  </w:num>
  <w:num w:numId="57">
    <w:abstractNumId w:val="23"/>
  </w:num>
  <w:num w:numId="58">
    <w:abstractNumId w:val="47"/>
  </w:num>
  <w:num w:numId="59">
    <w:abstractNumId w:val="14"/>
  </w:num>
  <w:num w:numId="60">
    <w:abstractNumId w:val="16"/>
  </w:num>
  <w:num w:numId="61">
    <w:abstractNumId w:val="46"/>
  </w:num>
  <w:num w:numId="62">
    <w:abstractNumId w:val="7"/>
  </w:num>
  <w:num w:numId="63">
    <w:abstractNumId w:val="33"/>
  </w:num>
  <w:num w:numId="64">
    <w:abstractNumId w:val="70"/>
  </w:num>
  <w:num w:numId="65">
    <w:abstractNumId w:val="29"/>
  </w:num>
  <w:num w:numId="66">
    <w:abstractNumId w:val="35"/>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 w:numId="69">
    <w:abstractNumId w:val="31"/>
  </w:num>
  <w:num w:numId="70">
    <w:abstractNumId w:val="50"/>
  </w:num>
  <w:num w:numId="71">
    <w:abstractNumId w:val="15"/>
  </w:num>
  <w:num w:numId="72">
    <w:abstractNumId w:val="17"/>
  </w:num>
  <w:num w:numId="73">
    <w:abstractNumId w:val="5"/>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
    <w15:presenceInfo w15:providerId="None" w15:userId="F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87"/>
    <w:rsid w:val="00001046"/>
    <w:rsid w:val="00004702"/>
    <w:rsid w:val="00007516"/>
    <w:rsid w:val="00007D08"/>
    <w:rsid w:val="00013B22"/>
    <w:rsid w:val="000142E4"/>
    <w:rsid w:val="00016311"/>
    <w:rsid w:val="000201F6"/>
    <w:rsid w:val="000236BC"/>
    <w:rsid w:val="00023BBD"/>
    <w:rsid w:val="0002542C"/>
    <w:rsid w:val="00030105"/>
    <w:rsid w:val="000335AF"/>
    <w:rsid w:val="000348FC"/>
    <w:rsid w:val="00035B26"/>
    <w:rsid w:val="00040E06"/>
    <w:rsid w:val="000428F3"/>
    <w:rsid w:val="00042B53"/>
    <w:rsid w:val="00043500"/>
    <w:rsid w:val="000439E7"/>
    <w:rsid w:val="000459D4"/>
    <w:rsid w:val="0004681A"/>
    <w:rsid w:val="00047E26"/>
    <w:rsid w:val="000509E2"/>
    <w:rsid w:val="000510E3"/>
    <w:rsid w:val="0005158E"/>
    <w:rsid w:val="00051907"/>
    <w:rsid w:val="000543CE"/>
    <w:rsid w:val="000559DC"/>
    <w:rsid w:val="000604FC"/>
    <w:rsid w:val="00060F48"/>
    <w:rsid w:val="00061823"/>
    <w:rsid w:val="00061845"/>
    <w:rsid w:val="00062414"/>
    <w:rsid w:val="00065B4F"/>
    <w:rsid w:val="00067136"/>
    <w:rsid w:val="0007193F"/>
    <w:rsid w:val="00071E38"/>
    <w:rsid w:val="000747AB"/>
    <w:rsid w:val="00075365"/>
    <w:rsid w:val="00077238"/>
    <w:rsid w:val="00077448"/>
    <w:rsid w:val="0008235C"/>
    <w:rsid w:val="000834F9"/>
    <w:rsid w:val="000854B9"/>
    <w:rsid w:val="000868F1"/>
    <w:rsid w:val="00087013"/>
    <w:rsid w:val="00094123"/>
    <w:rsid w:val="000A0063"/>
    <w:rsid w:val="000A02BC"/>
    <w:rsid w:val="000A2167"/>
    <w:rsid w:val="000A2BA1"/>
    <w:rsid w:val="000A493B"/>
    <w:rsid w:val="000A58AB"/>
    <w:rsid w:val="000A775D"/>
    <w:rsid w:val="000B13B7"/>
    <w:rsid w:val="000B150C"/>
    <w:rsid w:val="000B1CF1"/>
    <w:rsid w:val="000B3D94"/>
    <w:rsid w:val="000C0BDB"/>
    <w:rsid w:val="000C2293"/>
    <w:rsid w:val="000C28E3"/>
    <w:rsid w:val="000C527D"/>
    <w:rsid w:val="000D0BDD"/>
    <w:rsid w:val="000D2BC5"/>
    <w:rsid w:val="000D30AD"/>
    <w:rsid w:val="000D35D6"/>
    <w:rsid w:val="000D37A0"/>
    <w:rsid w:val="000D5444"/>
    <w:rsid w:val="000D57C9"/>
    <w:rsid w:val="000D6C65"/>
    <w:rsid w:val="000E0818"/>
    <w:rsid w:val="000E4797"/>
    <w:rsid w:val="000E6506"/>
    <w:rsid w:val="000F078B"/>
    <w:rsid w:val="000F3D5F"/>
    <w:rsid w:val="000F4B20"/>
    <w:rsid w:val="000F5393"/>
    <w:rsid w:val="000F779A"/>
    <w:rsid w:val="001019E3"/>
    <w:rsid w:val="00101C62"/>
    <w:rsid w:val="00102D83"/>
    <w:rsid w:val="00107481"/>
    <w:rsid w:val="001171CA"/>
    <w:rsid w:val="00123796"/>
    <w:rsid w:val="001323BD"/>
    <w:rsid w:val="001324AC"/>
    <w:rsid w:val="00132876"/>
    <w:rsid w:val="001352A1"/>
    <w:rsid w:val="00136D1E"/>
    <w:rsid w:val="001378E8"/>
    <w:rsid w:val="00142D9B"/>
    <w:rsid w:val="00150AE5"/>
    <w:rsid w:val="0015102C"/>
    <w:rsid w:val="00151096"/>
    <w:rsid w:val="001522ED"/>
    <w:rsid w:val="00154024"/>
    <w:rsid w:val="00155057"/>
    <w:rsid w:val="00156DF2"/>
    <w:rsid w:val="00157286"/>
    <w:rsid w:val="00157577"/>
    <w:rsid w:val="00161190"/>
    <w:rsid w:val="00161D76"/>
    <w:rsid w:val="00162A54"/>
    <w:rsid w:val="0016446B"/>
    <w:rsid w:val="001664B6"/>
    <w:rsid w:val="00167C56"/>
    <w:rsid w:val="00170399"/>
    <w:rsid w:val="00170F3D"/>
    <w:rsid w:val="00172936"/>
    <w:rsid w:val="00172DA2"/>
    <w:rsid w:val="0017341E"/>
    <w:rsid w:val="0017362E"/>
    <w:rsid w:val="00173734"/>
    <w:rsid w:val="001737DB"/>
    <w:rsid w:val="00173A3C"/>
    <w:rsid w:val="00175B21"/>
    <w:rsid w:val="001805CE"/>
    <w:rsid w:val="00180872"/>
    <w:rsid w:val="00181446"/>
    <w:rsid w:val="0018269C"/>
    <w:rsid w:val="001830FA"/>
    <w:rsid w:val="00183528"/>
    <w:rsid w:val="0018537A"/>
    <w:rsid w:val="0018723D"/>
    <w:rsid w:val="00187492"/>
    <w:rsid w:val="00190232"/>
    <w:rsid w:val="0019030F"/>
    <w:rsid w:val="001912B5"/>
    <w:rsid w:val="001924DF"/>
    <w:rsid w:val="001947F5"/>
    <w:rsid w:val="00194C63"/>
    <w:rsid w:val="0019641E"/>
    <w:rsid w:val="001A340D"/>
    <w:rsid w:val="001A5393"/>
    <w:rsid w:val="001A5CA0"/>
    <w:rsid w:val="001A666D"/>
    <w:rsid w:val="001B172E"/>
    <w:rsid w:val="001B57A6"/>
    <w:rsid w:val="001B6DA9"/>
    <w:rsid w:val="001B7347"/>
    <w:rsid w:val="001B775A"/>
    <w:rsid w:val="001C3FD2"/>
    <w:rsid w:val="001C5FBF"/>
    <w:rsid w:val="001D0BAF"/>
    <w:rsid w:val="001D2BE9"/>
    <w:rsid w:val="001E72B0"/>
    <w:rsid w:val="001F615B"/>
    <w:rsid w:val="00200E40"/>
    <w:rsid w:val="00202876"/>
    <w:rsid w:val="00202C76"/>
    <w:rsid w:val="00204407"/>
    <w:rsid w:val="00213217"/>
    <w:rsid w:val="00213A07"/>
    <w:rsid w:val="002175B1"/>
    <w:rsid w:val="00217B48"/>
    <w:rsid w:val="00220E17"/>
    <w:rsid w:val="00223C53"/>
    <w:rsid w:val="00223DB0"/>
    <w:rsid w:val="00225C0D"/>
    <w:rsid w:val="00233EDA"/>
    <w:rsid w:val="002341F4"/>
    <w:rsid w:val="00236770"/>
    <w:rsid w:val="00236F8D"/>
    <w:rsid w:val="002420FB"/>
    <w:rsid w:val="0024380C"/>
    <w:rsid w:val="002444D6"/>
    <w:rsid w:val="00245C3E"/>
    <w:rsid w:val="002478A1"/>
    <w:rsid w:val="00252BDE"/>
    <w:rsid w:val="00252C2E"/>
    <w:rsid w:val="00254BAA"/>
    <w:rsid w:val="002566EB"/>
    <w:rsid w:val="00260225"/>
    <w:rsid w:val="0026273D"/>
    <w:rsid w:val="0026459E"/>
    <w:rsid w:val="0026600E"/>
    <w:rsid w:val="002666BB"/>
    <w:rsid w:val="00267A3F"/>
    <w:rsid w:val="0027047F"/>
    <w:rsid w:val="00271E2F"/>
    <w:rsid w:val="002728E6"/>
    <w:rsid w:val="00273844"/>
    <w:rsid w:val="00274CD9"/>
    <w:rsid w:val="0028034C"/>
    <w:rsid w:val="00280B0D"/>
    <w:rsid w:val="00282467"/>
    <w:rsid w:val="00282507"/>
    <w:rsid w:val="0028369F"/>
    <w:rsid w:val="00283DDB"/>
    <w:rsid w:val="0028441F"/>
    <w:rsid w:val="0028558D"/>
    <w:rsid w:val="00285E39"/>
    <w:rsid w:val="00290B08"/>
    <w:rsid w:val="002930D1"/>
    <w:rsid w:val="0029615C"/>
    <w:rsid w:val="00296BAD"/>
    <w:rsid w:val="002976EF"/>
    <w:rsid w:val="002A01F4"/>
    <w:rsid w:val="002A0554"/>
    <w:rsid w:val="002A0BD5"/>
    <w:rsid w:val="002A1A8F"/>
    <w:rsid w:val="002A248D"/>
    <w:rsid w:val="002A4FB7"/>
    <w:rsid w:val="002A6EBF"/>
    <w:rsid w:val="002C05D8"/>
    <w:rsid w:val="002C0BFD"/>
    <w:rsid w:val="002C11A9"/>
    <w:rsid w:val="002C1D37"/>
    <w:rsid w:val="002C2FDE"/>
    <w:rsid w:val="002C4531"/>
    <w:rsid w:val="002C540A"/>
    <w:rsid w:val="002D02BB"/>
    <w:rsid w:val="002D0D8A"/>
    <w:rsid w:val="002D1C3B"/>
    <w:rsid w:val="002D46E0"/>
    <w:rsid w:val="002D5538"/>
    <w:rsid w:val="002D5832"/>
    <w:rsid w:val="002D6EBA"/>
    <w:rsid w:val="002E08FD"/>
    <w:rsid w:val="002E138B"/>
    <w:rsid w:val="002E1D7A"/>
    <w:rsid w:val="002E1EAB"/>
    <w:rsid w:val="002E23E9"/>
    <w:rsid w:val="002E4A5A"/>
    <w:rsid w:val="002E68F7"/>
    <w:rsid w:val="002E7090"/>
    <w:rsid w:val="002F1FEE"/>
    <w:rsid w:val="002F3AC5"/>
    <w:rsid w:val="002F3F93"/>
    <w:rsid w:val="002F47CD"/>
    <w:rsid w:val="002F609E"/>
    <w:rsid w:val="002F6DC6"/>
    <w:rsid w:val="002F7403"/>
    <w:rsid w:val="002F75CC"/>
    <w:rsid w:val="00301CFA"/>
    <w:rsid w:val="00302BA2"/>
    <w:rsid w:val="00302C9C"/>
    <w:rsid w:val="00303E94"/>
    <w:rsid w:val="00303FB6"/>
    <w:rsid w:val="003044AD"/>
    <w:rsid w:val="003068A9"/>
    <w:rsid w:val="003113BF"/>
    <w:rsid w:val="00313014"/>
    <w:rsid w:val="00313FCF"/>
    <w:rsid w:val="0031437F"/>
    <w:rsid w:val="0031593B"/>
    <w:rsid w:val="00317197"/>
    <w:rsid w:val="00317AE6"/>
    <w:rsid w:val="00324661"/>
    <w:rsid w:val="00326625"/>
    <w:rsid w:val="0033024F"/>
    <w:rsid w:val="00330F91"/>
    <w:rsid w:val="00330FA9"/>
    <w:rsid w:val="00331E0C"/>
    <w:rsid w:val="0033251C"/>
    <w:rsid w:val="0034070C"/>
    <w:rsid w:val="00340744"/>
    <w:rsid w:val="00341537"/>
    <w:rsid w:val="00343B9F"/>
    <w:rsid w:val="003464EC"/>
    <w:rsid w:val="00351DFC"/>
    <w:rsid w:val="003522DE"/>
    <w:rsid w:val="0035282F"/>
    <w:rsid w:val="00353D1F"/>
    <w:rsid w:val="00354A6F"/>
    <w:rsid w:val="0035555A"/>
    <w:rsid w:val="003557A0"/>
    <w:rsid w:val="00356C3E"/>
    <w:rsid w:val="00356DB0"/>
    <w:rsid w:val="00360754"/>
    <w:rsid w:val="00360947"/>
    <w:rsid w:val="003616A7"/>
    <w:rsid w:val="00361AA8"/>
    <w:rsid w:val="003626E9"/>
    <w:rsid w:val="003639D7"/>
    <w:rsid w:val="0036669D"/>
    <w:rsid w:val="00371794"/>
    <w:rsid w:val="003761A1"/>
    <w:rsid w:val="00376B71"/>
    <w:rsid w:val="0037709F"/>
    <w:rsid w:val="003772CA"/>
    <w:rsid w:val="00382E1F"/>
    <w:rsid w:val="003830D3"/>
    <w:rsid w:val="003850C2"/>
    <w:rsid w:val="003859A2"/>
    <w:rsid w:val="00385BCC"/>
    <w:rsid w:val="0039137A"/>
    <w:rsid w:val="00391AB4"/>
    <w:rsid w:val="00392066"/>
    <w:rsid w:val="00393B3B"/>
    <w:rsid w:val="003944FC"/>
    <w:rsid w:val="00394522"/>
    <w:rsid w:val="003953C7"/>
    <w:rsid w:val="00395825"/>
    <w:rsid w:val="003A3DF1"/>
    <w:rsid w:val="003A4F14"/>
    <w:rsid w:val="003A6838"/>
    <w:rsid w:val="003B0D2F"/>
    <w:rsid w:val="003B3F06"/>
    <w:rsid w:val="003B3F59"/>
    <w:rsid w:val="003B4BE4"/>
    <w:rsid w:val="003B51E3"/>
    <w:rsid w:val="003B5341"/>
    <w:rsid w:val="003B6D21"/>
    <w:rsid w:val="003B7848"/>
    <w:rsid w:val="003C0F3D"/>
    <w:rsid w:val="003C1852"/>
    <w:rsid w:val="003C1980"/>
    <w:rsid w:val="003C49F1"/>
    <w:rsid w:val="003C5B7B"/>
    <w:rsid w:val="003C7B48"/>
    <w:rsid w:val="003C7B6F"/>
    <w:rsid w:val="003D0171"/>
    <w:rsid w:val="003D1A21"/>
    <w:rsid w:val="003D3FE6"/>
    <w:rsid w:val="003D528C"/>
    <w:rsid w:val="003D69CC"/>
    <w:rsid w:val="003D71E2"/>
    <w:rsid w:val="003E0E59"/>
    <w:rsid w:val="003E396F"/>
    <w:rsid w:val="003E5275"/>
    <w:rsid w:val="003E59AA"/>
    <w:rsid w:val="003F32B3"/>
    <w:rsid w:val="003F481C"/>
    <w:rsid w:val="003F5264"/>
    <w:rsid w:val="003F6B7E"/>
    <w:rsid w:val="003F7929"/>
    <w:rsid w:val="00400337"/>
    <w:rsid w:val="004019AE"/>
    <w:rsid w:val="00401D93"/>
    <w:rsid w:val="004026A3"/>
    <w:rsid w:val="00411E67"/>
    <w:rsid w:val="00413E56"/>
    <w:rsid w:val="00415A1D"/>
    <w:rsid w:val="00415A7B"/>
    <w:rsid w:val="00417152"/>
    <w:rsid w:val="004175BB"/>
    <w:rsid w:val="00417A32"/>
    <w:rsid w:val="0042035F"/>
    <w:rsid w:val="00421858"/>
    <w:rsid w:val="004219C6"/>
    <w:rsid w:val="004238C8"/>
    <w:rsid w:val="00424199"/>
    <w:rsid w:val="00426744"/>
    <w:rsid w:val="00430B86"/>
    <w:rsid w:val="00432E0C"/>
    <w:rsid w:val="00432ECB"/>
    <w:rsid w:val="00434D32"/>
    <w:rsid w:val="004351F3"/>
    <w:rsid w:val="00436979"/>
    <w:rsid w:val="00441BFA"/>
    <w:rsid w:val="004429D4"/>
    <w:rsid w:val="00443776"/>
    <w:rsid w:val="00443A25"/>
    <w:rsid w:val="00444045"/>
    <w:rsid w:val="00445515"/>
    <w:rsid w:val="00445A1E"/>
    <w:rsid w:val="00447A58"/>
    <w:rsid w:val="00450100"/>
    <w:rsid w:val="00450D62"/>
    <w:rsid w:val="004523E8"/>
    <w:rsid w:val="004526E2"/>
    <w:rsid w:val="00454B08"/>
    <w:rsid w:val="00454B13"/>
    <w:rsid w:val="00456AD2"/>
    <w:rsid w:val="00462290"/>
    <w:rsid w:val="004643BD"/>
    <w:rsid w:val="00467144"/>
    <w:rsid w:val="0047490B"/>
    <w:rsid w:val="004909C0"/>
    <w:rsid w:val="00490C45"/>
    <w:rsid w:val="00491804"/>
    <w:rsid w:val="004961A4"/>
    <w:rsid w:val="004962D3"/>
    <w:rsid w:val="0049734C"/>
    <w:rsid w:val="00497BC8"/>
    <w:rsid w:val="004A0C4F"/>
    <w:rsid w:val="004A3444"/>
    <w:rsid w:val="004A533C"/>
    <w:rsid w:val="004A7E26"/>
    <w:rsid w:val="004B29C8"/>
    <w:rsid w:val="004B3178"/>
    <w:rsid w:val="004B3297"/>
    <w:rsid w:val="004B63B6"/>
    <w:rsid w:val="004B718A"/>
    <w:rsid w:val="004C3120"/>
    <w:rsid w:val="004C3D6C"/>
    <w:rsid w:val="004C3F05"/>
    <w:rsid w:val="004C46DD"/>
    <w:rsid w:val="004C4899"/>
    <w:rsid w:val="004C4953"/>
    <w:rsid w:val="004C505B"/>
    <w:rsid w:val="004C5529"/>
    <w:rsid w:val="004D0294"/>
    <w:rsid w:val="004D1683"/>
    <w:rsid w:val="004D56F6"/>
    <w:rsid w:val="004D74E3"/>
    <w:rsid w:val="004E6437"/>
    <w:rsid w:val="004E65CD"/>
    <w:rsid w:val="004E7B6E"/>
    <w:rsid w:val="004F0E1E"/>
    <w:rsid w:val="00503B83"/>
    <w:rsid w:val="00504BC1"/>
    <w:rsid w:val="00504EE2"/>
    <w:rsid w:val="005070F7"/>
    <w:rsid w:val="00507587"/>
    <w:rsid w:val="00514DA3"/>
    <w:rsid w:val="00515318"/>
    <w:rsid w:val="0051676A"/>
    <w:rsid w:val="00521ED0"/>
    <w:rsid w:val="0052251F"/>
    <w:rsid w:val="00522C49"/>
    <w:rsid w:val="00524E99"/>
    <w:rsid w:val="00527D92"/>
    <w:rsid w:val="00530326"/>
    <w:rsid w:val="0053297B"/>
    <w:rsid w:val="00532C79"/>
    <w:rsid w:val="005352DF"/>
    <w:rsid w:val="005357B3"/>
    <w:rsid w:val="005367AC"/>
    <w:rsid w:val="0053682B"/>
    <w:rsid w:val="00536DE7"/>
    <w:rsid w:val="005401A8"/>
    <w:rsid w:val="005403A9"/>
    <w:rsid w:val="00541260"/>
    <w:rsid w:val="0054173F"/>
    <w:rsid w:val="005455B0"/>
    <w:rsid w:val="00550475"/>
    <w:rsid w:val="0055167C"/>
    <w:rsid w:val="00552619"/>
    <w:rsid w:val="00553FBC"/>
    <w:rsid w:val="0055577D"/>
    <w:rsid w:val="00555E88"/>
    <w:rsid w:val="0056005C"/>
    <w:rsid w:val="0056390A"/>
    <w:rsid w:val="0056555A"/>
    <w:rsid w:val="00565581"/>
    <w:rsid w:val="005676ED"/>
    <w:rsid w:val="00574128"/>
    <w:rsid w:val="005763FF"/>
    <w:rsid w:val="00577CD3"/>
    <w:rsid w:val="00581099"/>
    <w:rsid w:val="0058206A"/>
    <w:rsid w:val="00582E3A"/>
    <w:rsid w:val="00584774"/>
    <w:rsid w:val="00584B78"/>
    <w:rsid w:val="0058760D"/>
    <w:rsid w:val="00587840"/>
    <w:rsid w:val="00593D00"/>
    <w:rsid w:val="005A05C0"/>
    <w:rsid w:val="005A107A"/>
    <w:rsid w:val="005A1942"/>
    <w:rsid w:val="005A24F2"/>
    <w:rsid w:val="005A3642"/>
    <w:rsid w:val="005A3B43"/>
    <w:rsid w:val="005A61A2"/>
    <w:rsid w:val="005A66BC"/>
    <w:rsid w:val="005B290E"/>
    <w:rsid w:val="005B40DA"/>
    <w:rsid w:val="005B7601"/>
    <w:rsid w:val="005C257F"/>
    <w:rsid w:val="005C2B6C"/>
    <w:rsid w:val="005C5A74"/>
    <w:rsid w:val="005C621D"/>
    <w:rsid w:val="005D0F73"/>
    <w:rsid w:val="005D51D5"/>
    <w:rsid w:val="005D635A"/>
    <w:rsid w:val="005D651F"/>
    <w:rsid w:val="005D76C9"/>
    <w:rsid w:val="005D7728"/>
    <w:rsid w:val="005E02F8"/>
    <w:rsid w:val="005E1531"/>
    <w:rsid w:val="005E1D3E"/>
    <w:rsid w:val="005E3EDE"/>
    <w:rsid w:val="005E502E"/>
    <w:rsid w:val="005F699C"/>
    <w:rsid w:val="00601AC5"/>
    <w:rsid w:val="00602349"/>
    <w:rsid w:val="006023F1"/>
    <w:rsid w:val="006061C2"/>
    <w:rsid w:val="00606E45"/>
    <w:rsid w:val="00607950"/>
    <w:rsid w:val="00612290"/>
    <w:rsid w:val="006131B1"/>
    <w:rsid w:val="00613535"/>
    <w:rsid w:val="006136DB"/>
    <w:rsid w:val="0061604C"/>
    <w:rsid w:val="006164E9"/>
    <w:rsid w:val="00617510"/>
    <w:rsid w:val="00617A5F"/>
    <w:rsid w:val="00620858"/>
    <w:rsid w:val="00621C0C"/>
    <w:rsid w:val="00624C72"/>
    <w:rsid w:val="006323C0"/>
    <w:rsid w:val="006328DC"/>
    <w:rsid w:val="00634C6F"/>
    <w:rsid w:val="00634E3C"/>
    <w:rsid w:val="00635191"/>
    <w:rsid w:val="00636BF1"/>
    <w:rsid w:val="00637CA5"/>
    <w:rsid w:val="00640944"/>
    <w:rsid w:val="00640D64"/>
    <w:rsid w:val="00645020"/>
    <w:rsid w:val="006454A4"/>
    <w:rsid w:val="006454B7"/>
    <w:rsid w:val="00645F1D"/>
    <w:rsid w:val="00651DEF"/>
    <w:rsid w:val="0065271F"/>
    <w:rsid w:val="006529FD"/>
    <w:rsid w:val="00654F40"/>
    <w:rsid w:val="00655D0A"/>
    <w:rsid w:val="00655D1D"/>
    <w:rsid w:val="00656B6D"/>
    <w:rsid w:val="00657283"/>
    <w:rsid w:val="006573AE"/>
    <w:rsid w:val="00660475"/>
    <w:rsid w:val="00661B93"/>
    <w:rsid w:val="00662BF2"/>
    <w:rsid w:val="00663A46"/>
    <w:rsid w:val="006666ED"/>
    <w:rsid w:val="0067060B"/>
    <w:rsid w:val="00670E5A"/>
    <w:rsid w:val="00671A96"/>
    <w:rsid w:val="006742B4"/>
    <w:rsid w:val="00674361"/>
    <w:rsid w:val="00675990"/>
    <w:rsid w:val="00676648"/>
    <w:rsid w:val="006810DA"/>
    <w:rsid w:val="00683F85"/>
    <w:rsid w:val="006845B8"/>
    <w:rsid w:val="00686593"/>
    <w:rsid w:val="006871FD"/>
    <w:rsid w:val="006921B6"/>
    <w:rsid w:val="006931EB"/>
    <w:rsid w:val="00693AD4"/>
    <w:rsid w:val="00693C18"/>
    <w:rsid w:val="006A01FA"/>
    <w:rsid w:val="006A0A2A"/>
    <w:rsid w:val="006A10C2"/>
    <w:rsid w:val="006A19BA"/>
    <w:rsid w:val="006B0685"/>
    <w:rsid w:val="006B06D5"/>
    <w:rsid w:val="006B1DA7"/>
    <w:rsid w:val="006B2314"/>
    <w:rsid w:val="006B3DF5"/>
    <w:rsid w:val="006B6151"/>
    <w:rsid w:val="006C0999"/>
    <w:rsid w:val="006C1043"/>
    <w:rsid w:val="006C34C4"/>
    <w:rsid w:val="006C36F2"/>
    <w:rsid w:val="006C4D4E"/>
    <w:rsid w:val="006C56D5"/>
    <w:rsid w:val="006C57B6"/>
    <w:rsid w:val="006D10BF"/>
    <w:rsid w:val="006D620C"/>
    <w:rsid w:val="006D6473"/>
    <w:rsid w:val="006E1DA2"/>
    <w:rsid w:val="006E7AB9"/>
    <w:rsid w:val="006E7DF5"/>
    <w:rsid w:val="006F180B"/>
    <w:rsid w:val="006F1F27"/>
    <w:rsid w:val="006F291F"/>
    <w:rsid w:val="006F5388"/>
    <w:rsid w:val="006F7882"/>
    <w:rsid w:val="00704E49"/>
    <w:rsid w:val="007059E6"/>
    <w:rsid w:val="007061F6"/>
    <w:rsid w:val="00710BCB"/>
    <w:rsid w:val="00711286"/>
    <w:rsid w:val="007133D8"/>
    <w:rsid w:val="00713C22"/>
    <w:rsid w:val="0071436B"/>
    <w:rsid w:val="00714742"/>
    <w:rsid w:val="00716DE5"/>
    <w:rsid w:val="00717226"/>
    <w:rsid w:val="007247EA"/>
    <w:rsid w:val="00730188"/>
    <w:rsid w:val="00730331"/>
    <w:rsid w:val="00731AD3"/>
    <w:rsid w:val="00731FAD"/>
    <w:rsid w:val="00732287"/>
    <w:rsid w:val="007336A3"/>
    <w:rsid w:val="00736201"/>
    <w:rsid w:val="00737D1C"/>
    <w:rsid w:val="00740756"/>
    <w:rsid w:val="00744249"/>
    <w:rsid w:val="00744D30"/>
    <w:rsid w:val="007478BD"/>
    <w:rsid w:val="007515F8"/>
    <w:rsid w:val="007520F8"/>
    <w:rsid w:val="007532A8"/>
    <w:rsid w:val="00753CE9"/>
    <w:rsid w:val="007555A6"/>
    <w:rsid w:val="0075611F"/>
    <w:rsid w:val="00762945"/>
    <w:rsid w:val="00763409"/>
    <w:rsid w:val="00764538"/>
    <w:rsid w:val="00764858"/>
    <w:rsid w:val="00764E33"/>
    <w:rsid w:val="00765142"/>
    <w:rsid w:val="00766895"/>
    <w:rsid w:val="00766AF4"/>
    <w:rsid w:val="0077042E"/>
    <w:rsid w:val="00771647"/>
    <w:rsid w:val="00771D42"/>
    <w:rsid w:val="00774DCC"/>
    <w:rsid w:val="00775078"/>
    <w:rsid w:val="007762C8"/>
    <w:rsid w:val="00781231"/>
    <w:rsid w:val="00784150"/>
    <w:rsid w:val="00786037"/>
    <w:rsid w:val="007902A6"/>
    <w:rsid w:val="00790F10"/>
    <w:rsid w:val="00791B86"/>
    <w:rsid w:val="0079353C"/>
    <w:rsid w:val="0079402F"/>
    <w:rsid w:val="007A0ED3"/>
    <w:rsid w:val="007A1416"/>
    <w:rsid w:val="007A2217"/>
    <w:rsid w:val="007A2CA4"/>
    <w:rsid w:val="007A2D27"/>
    <w:rsid w:val="007A496B"/>
    <w:rsid w:val="007A5BF0"/>
    <w:rsid w:val="007A6A77"/>
    <w:rsid w:val="007B1CE2"/>
    <w:rsid w:val="007B32C5"/>
    <w:rsid w:val="007B4B69"/>
    <w:rsid w:val="007C1294"/>
    <w:rsid w:val="007C1891"/>
    <w:rsid w:val="007C1AA2"/>
    <w:rsid w:val="007C3A63"/>
    <w:rsid w:val="007C7F8E"/>
    <w:rsid w:val="007D1541"/>
    <w:rsid w:val="007D328A"/>
    <w:rsid w:val="007D3864"/>
    <w:rsid w:val="007D4612"/>
    <w:rsid w:val="007D4AEB"/>
    <w:rsid w:val="007D5FC7"/>
    <w:rsid w:val="007D680B"/>
    <w:rsid w:val="007D75E1"/>
    <w:rsid w:val="007E109F"/>
    <w:rsid w:val="007E10DE"/>
    <w:rsid w:val="007E2563"/>
    <w:rsid w:val="007E368D"/>
    <w:rsid w:val="007F197E"/>
    <w:rsid w:val="007F19A1"/>
    <w:rsid w:val="007F1C5D"/>
    <w:rsid w:val="007F6EF2"/>
    <w:rsid w:val="007F7BE1"/>
    <w:rsid w:val="008011AC"/>
    <w:rsid w:val="00803B87"/>
    <w:rsid w:val="00805688"/>
    <w:rsid w:val="00805D7E"/>
    <w:rsid w:val="008103A9"/>
    <w:rsid w:val="00812DD7"/>
    <w:rsid w:val="00815D43"/>
    <w:rsid w:val="00820A36"/>
    <w:rsid w:val="008215B2"/>
    <w:rsid w:val="00824C38"/>
    <w:rsid w:val="00825AC0"/>
    <w:rsid w:val="00831C54"/>
    <w:rsid w:val="00832E50"/>
    <w:rsid w:val="00833613"/>
    <w:rsid w:val="00833675"/>
    <w:rsid w:val="00833C19"/>
    <w:rsid w:val="008345D5"/>
    <w:rsid w:val="008366EE"/>
    <w:rsid w:val="00836BB1"/>
    <w:rsid w:val="00836F1C"/>
    <w:rsid w:val="00837AF8"/>
    <w:rsid w:val="00837DFF"/>
    <w:rsid w:val="008411DC"/>
    <w:rsid w:val="008413C7"/>
    <w:rsid w:val="00841B58"/>
    <w:rsid w:val="00841FD8"/>
    <w:rsid w:val="008436E0"/>
    <w:rsid w:val="00843B50"/>
    <w:rsid w:val="00847450"/>
    <w:rsid w:val="00847898"/>
    <w:rsid w:val="00847EF1"/>
    <w:rsid w:val="00851224"/>
    <w:rsid w:val="00853EDB"/>
    <w:rsid w:val="00853F0C"/>
    <w:rsid w:val="00854FFF"/>
    <w:rsid w:val="008560F5"/>
    <w:rsid w:val="008569F0"/>
    <w:rsid w:val="00861F75"/>
    <w:rsid w:val="008630A0"/>
    <w:rsid w:val="00865D0A"/>
    <w:rsid w:val="00866E2F"/>
    <w:rsid w:val="00866F46"/>
    <w:rsid w:val="0086754D"/>
    <w:rsid w:val="0087136B"/>
    <w:rsid w:val="008726DC"/>
    <w:rsid w:val="008740B2"/>
    <w:rsid w:val="0087726A"/>
    <w:rsid w:val="00877810"/>
    <w:rsid w:val="00877BF3"/>
    <w:rsid w:val="0088072A"/>
    <w:rsid w:val="00885999"/>
    <w:rsid w:val="0088688E"/>
    <w:rsid w:val="00892035"/>
    <w:rsid w:val="00893953"/>
    <w:rsid w:val="00894F17"/>
    <w:rsid w:val="008977CF"/>
    <w:rsid w:val="008A23BD"/>
    <w:rsid w:val="008A3EB4"/>
    <w:rsid w:val="008A4ED0"/>
    <w:rsid w:val="008A6558"/>
    <w:rsid w:val="008B0058"/>
    <w:rsid w:val="008B089D"/>
    <w:rsid w:val="008B1453"/>
    <w:rsid w:val="008B2CD5"/>
    <w:rsid w:val="008B43A5"/>
    <w:rsid w:val="008B4401"/>
    <w:rsid w:val="008B6AFA"/>
    <w:rsid w:val="008B7709"/>
    <w:rsid w:val="008C2629"/>
    <w:rsid w:val="008C2A83"/>
    <w:rsid w:val="008C43A2"/>
    <w:rsid w:val="008C4EA6"/>
    <w:rsid w:val="008C5397"/>
    <w:rsid w:val="008C58FB"/>
    <w:rsid w:val="008D1F90"/>
    <w:rsid w:val="008D470B"/>
    <w:rsid w:val="008E05AA"/>
    <w:rsid w:val="008E1C59"/>
    <w:rsid w:val="008E4DCE"/>
    <w:rsid w:val="008E55BE"/>
    <w:rsid w:val="008E7710"/>
    <w:rsid w:val="008F139C"/>
    <w:rsid w:val="008F5E14"/>
    <w:rsid w:val="008F66CC"/>
    <w:rsid w:val="009027A9"/>
    <w:rsid w:val="00904958"/>
    <w:rsid w:val="0090650E"/>
    <w:rsid w:val="009077C7"/>
    <w:rsid w:val="009113EA"/>
    <w:rsid w:val="0091275D"/>
    <w:rsid w:val="0091448E"/>
    <w:rsid w:val="00916E96"/>
    <w:rsid w:val="0092290D"/>
    <w:rsid w:val="009260F5"/>
    <w:rsid w:val="0092743C"/>
    <w:rsid w:val="009306B3"/>
    <w:rsid w:val="009317EF"/>
    <w:rsid w:val="00931957"/>
    <w:rsid w:val="009338B4"/>
    <w:rsid w:val="00935456"/>
    <w:rsid w:val="00936FAF"/>
    <w:rsid w:val="009461D8"/>
    <w:rsid w:val="00946A31"/>
    <w:rsid w:val="00953194"/>
    <w:rsid w:val="00956AF4"/>
    <w:rsid w:val="0095731E"/>
    <w:rsid w:val="0096077A"/>
    <w:rsid w:val="0096317B"/>
    <w:rsid w:val="0096417A"/>
    <w:rsid w:val="009732B7"/>
    <w:rsid w:val="00973300"/>
    <w:rsid w:val="009741A7"/>
    <w:rsid w:val="00975A32"/>
    <w:rsid w:val="009762A2"/>
    <w:rsid w:val="00976902"/>
    <w:rsid w:val="00976A7B"/>
    <w:rsid w:val="00976DDB"/>
    <w:rsid w:val="00977434"/>
    <w:rsid w:val="00982860"/>
    <w:rsid w:val="00985B3C"/>
    <w:rsid w:val="00985DCE"/>
    <w:rsid w:val="00987F34"/>
    <w:rsid w:val="0099109B"/>
    <w:rsid w:val="00991BD2"/>
    <w:rsid w:val="009931C2"/>
    <w:rsid w:val="00997027"/>
    <w:rsid w:val="009A0FD5"/>
    <w:rsid w:val="009A234A"/>
    <w:rsid w:val="009A2542"/>
    <w:rsid w:val="009A6584"/>
    <w:rsid w:val="009A786F"/>
    <w:rsid w:val="009B15FD"/>
    <w:rsid w:val="009B1AD3"/>
    <w:rsid w:val="009B21EB"/>
    <w:rsid w:val="009B390F"/>
    <w:rsid w:val="009B62AC"/>
    <w:rsid w:val="009C3B5A"/>
    <w:rsid w:val="009C407E"/>
    <w:rsid w:val="009C4CF1"/>
    <w:rsid w:val="009C66CF"/>
    <w:rsid w:val="009D18CF"/>
    <w:rsid w:val="009D1B75"/>
    <w:rsid w:val="009D32ED"/>
    <w:rsid w:val="009D51B6"/>
    <w:rsid w:val="009D6F9E"/>
    <w:rsid w:val="009E36F5"/>
    <w:rsid w:val="009E370D"/>
    <w:rsid w:val="009E40FF"/>
    <w:rsid w:val="009E4C2D"/>
    <w:rsid w:val="009F1E4E"/>
    <w:rsid w:val="009F315C"/>
    <w:rsid w:val="009F404D"/>
    <w:rsid w:val="009F54A0"/>
    <w:rsid w:val="009F724F"/>
    <w:rsid w:val="00A006FB"/>
    <w:rsid w:val="00A02EEF"/>
    <w:rsid w:val="00A04D4D"/>
    <w:rsid w:val="00A05259"/>
    <w:rsid w:val="00A05F5A"/>
    <w:rsid w:val="00A07C48"/>
    <w:rsid w:val="00A109C2"/>
    <w:rsid w:val="00A12FF7"/>
    <w:rsid w:val="00A14DCC"/>
    <w:rsid w:val="00A14F67"/>
    <w:rsid w:val="00A1611E"/>
    <w:rsid w:val="00A21EA2"/>
    <w:rsid w:val="00A21F77"/>
    <w:rsid w:val="00A22C75"/>
    <w:rsid w:val="00A264A1"/>
    <w:rsid w:val="00A2751D"/>
    <w:rsid w:val="00A275E2"/>
    <w:rsid w:val="00A31008"/>
    <w:rsid w:val="00A327CA"/>
    <w:rsid w:val="00A41D88"/>
    <w:rsid w:val="00A450C9"/>
    <w:rsid w:val="00A46632"/>
    <w:rsid w:val="00A4756A"/>
    <w:rsid w:val="00A47A00"/>
    <w:rsid w:val="00A51412"/>
    <w:rsid w:val="00A51E17"/>
    <w:rsid w:val="00A533E7"/>
    <w:rsid w:val="00A5370B"/>
    <w:rsid w:val="00A565C3"/>
    <w:rsid w:val="00A63F8E"/>
    <w:rsid w:val="00A661CB"/>
    <w:rsid w:val="00A6768E"/>
    <w:rsid w:val="00A6770D"/>
    <w:rsid w:val="00A716E3"/>
    <w:rsid w:val="00A71F34"/>
    <w:rsid w:val="00A72ED7"/>
    <w:rsid w:val="00A7401F"/>
    <w:rsid w:val="00A74790"/>
    <w:rsid w:val="00A77856"/>
    <w:rsid w:val="00A80591"/>
    <w:rsid w:val="00A81B83"/>
    <w:rsid w:val="00A81F91"/>
    <w:rsid w:val="00A826E0"/>
    <w:rsid w:val="00A83C32"/>
    <w:rsid w:val="00A85172"/>
    <w:rsid w:val="00A90639"/>
    <w:rsid w:val="00A9443C"/>
    <w:rsid w:val="00A946CF"/>
    <w:rsid w:val="00A94BAD"/>
    <w:rsid w:val="00A97D6F"/>
    <w:rsid w:val="00AA017E"/>
    <w:rsid w:val="00AA261B"/>
    <w:rsid w:val="00AA2F4D"/>
    <w:rsid w:val="00AA5219"/>
    <w:rsid w:val="00AA5A73"/>
    <w:rsid w:val="00AB10AF"/>
    <w:rsid w:val="00AB1944"/>
    <w:rsid w:val="00AB3D26"/>
    <w:rsid w:val="00AB5182"/>
    <w:rsid w:val="00AB5998"/>
    <w:rsid w:val="00AB7E8F"/>
    <w:rsid w:val="00AC0907"/>
    <w:rsid w:val="00AC0DA5"/>
    <w:rsid w:val="00AC27A4"/>
    <w:rsid w:val="00AC4DA6"/>
    <w:rsid w:val="00AC59BB"/>
    <w:rsid w:val="00AC7826"/>
    <w:rsid w:val="00AD0C36"/>
    <w:rsid w:val="00AD2B31"/>
    <w:rsid w:val="00AD2F08"/>
    <w:rsid w:val="00AD30FE"/>
    <w:rsid w:val="00AD41E6"/>
    <w:rsid w:val="00AD72FF"/>
    <w:rsid w:val="00AD764D"/>
    <w:rsid w:val="00AD7901"/>
    <w:rsid w:val="00AD7922"/>
    <w:rsid w:val="00AD79C4"/>
    <w:rsid w:val="00AE068C"/>
    <w:rsid w:val="00AE1687"/>
    <w:rsid w:val="00AE24F2"/>
    <w:rsid w:val="00AE2A42"/>
    <w:rsid w:val="00AE402B"/>
    <w:rsid w:val="00AE5891"/>
    <w:rsid w:val="00AE6818"/>
    <w:rsid w:val="00AE7E58"/>
    <w:rsid w:val="00AF00FC"/>
    <w:rsid w:val="00AF0B80"/>
    <w:rsid w:val="00AF41A8"/>
    <w:rsid w:val="00AF4254"/>
    <w:rsid w:val="00AF43C1"/>
    <w:rsid w:val="00AF4BE0"/>
    <w:rsid w:val="00AF4E32"/>
    <w:rsid w:val="00AF4EFF"/>
    <w:rsid w:val="00AF6EE1"/>
    <w:rsid w:val="00AF7DF5"/>
    <w:rsid w:val="00B057C0"/>
    <w:rsid w:val="00B07FAA"/>
    <w:rsid w:val="00B10901"/>
    <w:rsid w:val="00B11736"/>
    <w:rsid w:val="00B11794"/>
    <w:rsid w:val="00B13CDB"/>
    <w:rsid w:val="00B1579F"/>
    <w:rsid w:val="00B17843"/>
    <w:rsid w:val="00B20EA8"/>
    <w:rsid w:val="00B22157"/>
    <w:rsid w:val="00B22A30"/>
    <w:rsid w:val="00B241DC"/>
    <w:rsid w:val="00B25852"/>
    <w:rsid w:val="00B302B4"/>
    <w:rsid w:val="00B311BA"/>
    <w:rsid w:val="00B314A5"/>
    <w:rsid w:val="00B33CCE"/>
    <w:rsid w:val="00B44A81"/>
    <w:rsid w:val="00B45B11"/>
    <w:rsid w:val="00B45FE7"/>
    <w:rsid w:val="00B470C8"/>
    <w:rsid w:val="00B47ECD"/>
    <w:rsid w:val="00B51F6A"/>
    <w:rsid w:val="00B5314F"/>
    <w:rsid w:val="00B561FC"/>
    <w:rsid w:val="00B5674A"/>
    <w:rsid w:val="00B567A2"/>
    <w:rsid w:val="00B62F9A"/>
    <w:rsid w:val="00B6559F"/>
    <w:rsid w:val="00B66501"/>
    <w:rsid w:val="00B6782D"/>
    <w:rsid w:val="00B70DB2"/>
    <w:rsid w:val="00B714BE"/>
    <w:rsid w:val="00B71651"/>
    <w:rsid w:val="00B71EC9"/>
    <w:rsid w:val="00B729F6"/>
    <w:rsid w:val="00B74547"/>
    <w:rsid w:val="00B75A4A"/>
    <w:rsid w:val="00B7639F"/>
    <w:rsid w:val="00B77B22"/>
    <w:rsid w:val="00B825A4"/>
    <w:rsid w:val="00B82B7B"/>
    <w:rsid w:val="00B830A2"/>
    <w:rsid w:val="00B8529C"/>
    <w:rsid w:val="00B86416"/>
    <w:rsid w:val="00B8755B"/>
    <w:rsid w:val="00B87639"/>
    <w:rsid w:val="00B8768B"/>
    <w:rsid w:val="00B87A85"/>
    <w:rsid w:val="00B87EAD"/>
    <w:rsid w:val="00B91FD7"/>
    <w:rsid w:val="00B931C2"/>
    <w:rsid w:val="00B94531"/>
    <w:rsid w:val="00B94D7D"/>
    <w:rsid w:val="00B96342"/>
    <w:rsid w:val="00BA144B"/>
    <w:rsid w:val="00BA1EFA"/>
    <w:rsid w:val="00BA2CDF"/>
    <w:rsid w:val="00BB0ADC"/>
    <w:rsid w:val="00BB1630"/>
    <w:rsid w:val="00BB32BA"/>
    <w:rsid w:val="00BB4203"/>
    <w:rsid w:val="00BB5AB0"/>
    <w:rsid w:val="00BB7628"/>
    <w:rsid w:val="00BC0034"/>
    <w:rsid w:val="00BC0CB9"/>
    <w:rsid w:val="00BC0F6A"/>
    <w:rsid w:val="00BC33AB"/>
    <w:rsid w:val="00BC4DFF"/>
    <w:rsid w:val="00BC695B"/>
    <w:rsid w:val="00BD20D3"/>
    <w:rsid w:val="00BD226E"/>
    <w:rsid w:val="00BD3334"/>
    <w:rsid w:val="00BD61EC"/>
    <w:rsid w:val="00BD677F"/>
    <w:rsid w:val="00BD71BF"/>
    <w:rsid w:val="00BD7238"/>
    <w:rsid w:val="00BD78F9"/>
    <w:rsid w:val="00BE1B87"/>
    <w:rsid w:val="00BE1F4B"/>
    <w:rsid w:val="00BE210A"/>
    <w:rsid w:val="00BE3BB3"/>
    <w:rsid w:val="00BE404D"/>
    <w:rsid w:val="00BE7A4C"/>
    <w:rsid w:val="00BF0274"/>
    <w:rsid w:val="00BF159C"/>
    <w:rsid w:val="00BF44B5"/>
    <w:rsid w:val="00BF4E8E"/>
    <w:rsid w:val="00BF6876"/>
    <w:rsid w:val="00C0242B"/>
    <w:rsid w:val="00C03B46"/>
    <w:rsid w:val="00C075C2"/>
    <w:rsid w:val="00C10568"/>
    <w:rsid w:val="00C10B7E"/>
    <w:rsid w:val="00C11B7B"/>
    <w:rsid w:val="00C12A6E"/>
    <w:rsid w:val="00C12DDE"/>
    <w:rsid w:val="00C13D97"/>
    <w:rsid w:val="00C14B89"/>
    <w:rsid w:val="00C155D6"/>
    <w:rsid w:val="00C178CD"/>
    <w:rsid w:val="00C203B4"/>
    <w:rsid w:val="00C2084E"/>
    <w:rsid w:val="00C21248"/>
    <w:rsid w:val="00C23963"/>
    <w:rsid w:val="00C2458A"/>
    <w:rsid w:val="00C252FE"/>
    <w:rsid w:val="00C30221"/>
    <w:rsid w:val="00C3164C"/>
    <w:rsid w:val="00C3414C"/>
    <w:rsid w:val="00C34D2E"/>
    <w:rsid w:val="00C369DF"/>
    <w:rsid w:val="00C375E4"/>
    <w:rsid w:val="00C42F5C"/>
    <w:rsid w:val="00C44801"/>
    <w:rsid w:val="00C44EF1"/>
    <w:rsid w:val="00C51141"/>
    <w:rsid w:val="00C5122C"/>
    <w:rsid w:val="00C5514C"/>
    <w:rsid w:val="00C55299"/>
    <w:rsid w:val="00C607F3"/>
    <w:rsid w:val="00C6178F"/>
    <w:rsid w:val="00C64714"/>
    <w:rsid w:val="00C71B52"/>
    <w:rsid w:val="00C73BCA"/>
    <w:rsid w:val="00C74D8B"/>
    <w:rsid w:val="00C750F5"/>
    <w:rsid w:val="00C758EC"/>
    <w:rsid w:val="00C76227"/>
    <w:rsid w:val="00C769C3"/>
    <w:rsid w:val="00C805D5"/>
    <w:rsid w:val="00C8242F"/>
    <w:rsid w:val="00C84C26"/>
    <w:rsid w:val="00C86C07"/>
    <w:rsid w:val="00C87515"/>
    <w:rsid w:val="00C8799E"/>
    <w:rsid w:val="00C87B22"/>
    <w:rsid w:val="00C902D8"/>
    <w:rsid w:val="00C903C5"/>
    <w:rsid w:val="00C9114D"/>
    <w:rsid w:val="00C94823"/>
    <w:rsid w:val="00CB0C14"/>
    <w:rsid w:val="00CB1749"/>
    <w:rsid w:val="00CB21CE"/>
    <w:rsid w:val="00CB2759"/>
    <w:rsid w:val="00CC04B2"/>
    <w:rsid w:val="00CC1512"/>
    <w:rsid w:val="00CC1567"/>
    <w:rsid w:val="00CC1C19"/>
    <w:rsid w:val="00CC388B"/>
    <w:rsid w:val="00CC5246"/>
    <w:rsid w:val="00CD0045"/>
    <w:rsid w:val="00CD0AB1"/>
    <w:rsid w:val="00CD1732"/>
    <w:rsid w:val="00CD51C6"/>
    <w:rsid w:val="00CE5333"/>
    <w:rsid w:val="00CE6C8D"/>
    <w:rsid w:val="00CE6D95"/>
    <w:rsid w:val="00CF05EF"/>
    <w:rsid w:val="00CF20DB"/>
    <w:rsid w:val="00CF370F"/>
    <w:rsid w:val="00CF4954"/>
    <w:rsid w:val="00CF4F50"/>
    <w:rsid w:val="00D003A5"/>
    <w:rsid w:val="00D0220C"/>
    <w:rsid w:val="00D03127"/>
    <w:rsid w:val="00D034DC"/>
    <w:rsid w:val="00D0364B"/>
    <w:rsid w:val="00D04611"/>
    <w:rsid w:val="00D0653D"/>
    <w:rsid w:val="00D07F7C"/>
    <w:rsid w:val="00D1079C"/>
    <w:rsid w:val="00D1093C"/>
    <w:rsid w:val="00D122A3"/>
    <w:rsid w:val="00D1624C"/>
    <w:rsid w:val="00D17096"/>
    <w:rsid w:val="00D1740C"/>
    <w:rsid w:val="00D20618"/>
    <w:rsid w:val="00D20CF4"/>
    <w:rsid w:val="00D21869"/>
    <w:rsid w:val="00D30E9C"/>
    <w:rsid w:val="00D33D9F"/>
    <w:rsid w:val="00D351A1"/>
    <w:rsid w:val="00D35E3C"/>
    <w:rsid w:val="00D35F1D"/>
    <w:rsid w:val="00D3633F"/>
    <w:rsid w:val="00D36AD5"/>
    <w:rsid w:val="00D36F34"/>
    <w:rsid w:val="00D372F1"/>
    <w:rsid w:val="00D37DA3"/>
    <w:rsid w:val="00D41D6E"/>
    <w:rsid w:val="00D41F32"/>
    <w:rsid w:val="00D42187"/>
    <w:rsid w:val="00D433A8"/>
    <w:rsid w:val="00D43E68"/>
    <w:rsid w:val="00D46258"/>
    <w:rsid w:val="00D464BB"/>
    <w:rsid w:val="00D46B5C"/>
    <w:rsid w:val="00D505B5"/>
    <w:rsid w:val="00D506C1"/>
    <w:rsid w:val="00D54214"/>
    <w:rsid w:val="00D548FE"/>
    <w:rsid w:val="00D55266"/>
    <w:rsid w:val="00D55AB5"/>
    <w:rsid w:val="00D55B65"/>
    <w:rsid w:val="00D57574"/>
    <w:rsid w:val="00D607F4"/>
    <w:rsid w:val="00D64DEB"/>
    <w:rsid w:val="00D67417"/>
    <w:rsid w:val="00D704DB"/>
    <w:rsid w:val="00D71A3A"/>
    <w:rsid w:val="00D721C7"/>
    <w:rsid w:val="00D729F5"/>
    <w:rsid w:val="00D77406"/>
    <w:rsid w:val="00D779C8"/>
    <w:rsid w:val="00D815ED"/>
    <w:rsid w:val="00D82DA4"/>
    <w:rsid w:val="00D83A33"/>
    <w:rsid w:val="00D8511B"/>
    <w:rsid w:val="00D92F1F"/>
    <w:rsid w:val="00D94FCD"/>
    <w:rsid w:val="00D95C77"/>
    <w:rsid w:val="00D97DD6"/>
    <w:rsid w:val="00DA2BB8"/>
    <w:rsid w:val="00DA34CB"/>
    <w:rsid w:val="00DA5125"/>
    <w:rsid w:val="00DA774C"/>
    <w:rsid w:val="00DB1A0F"/>
    <w:rsid w:val="00DB1DDD"/>
    <w:rsid w:val="00DB2A08"/>
    <w:rsid w:val="00DB4549"/>
    <w:rsid w:val="00DB5901"/>
    <w:rsid w:val="00DB7AE9"/>
    <w:rsid w:val="00DC0A68"/>
    <w:rsid w:val="00DC1121"/>
    <w:rsid w:val="00DC1D2C"/>
    <w:rsid w:val="00DC1F19"/>
    <w:rsid w:val="00DC2C15"/>
    <w:rsid w:val="00DC3027"/>
    <w:rsid w:val="00DC3F24"/>
    <w:rsid w:val="00DC7FA4"/>
    <w:rsid w:val="00DD10F1"/>
    <w:rsid w:val="00DD11CD"/>
    <w:rsid w:val="00DD25F9"/>
    <w:rsid w:val="00DD2C28"/>
    <w:rsid w:val="00DD4025"/>
    <w:rsid w:val="00DD495A"/>
    <w:rsid w:val="00DD6C71"/>
    <w:rsid w:val="00DD77F6"/>
    <w:rsid w:val="00DE414C"/>
    <w:rsid w:val="00DE5050"/>
    <w:rsid w:val="00DE6385"/>
    <w:rsid w:val="00DE6747"/>
    <w:rsid w:val="00DF094D"/>
    <w:rsid w:val="00DF1AC2"/>
    <w:rsid w:val="00DF2A49"/>
    <w:rsid w:val="00DF4295"/>
    <w:rsid w:val="00DF49F2"/>
    <w:rsid w:val="00DF7283"/>
    <w:rsid w:val="00E001CE"/>
    <w:rsid w:val="00E00C3F"/>
    <w:rsid w:val="00E01A83"/>
    <w:rsid w:val="00E02082"/>
    <w:rsid w:val="00E02640"/>
    <w:rsid w:val="00E03097"/>
    <w:rsid w:val="00E05054"/>
    <w:rsid w:val="00E11532"/>
    <w:rsid w:val="00E13AA0"/>
    <w:rsid w:val="00E13AAC"/>
    <w:rsid w:val="00E167BA"/>
    <w:rsid w:val="00E168EB"/>
    <w:rsid w:val="00E2407B"/>
    <w:rsid w:val="00E33DB0"/>
    <w:rsid w:val="00E33DD5"/>
    <w:rsid w:val="00E35CED"/>
    <w:rsid w:val="00E36675"/>
    <w:rsid w:val="00E377BB"/>
    <w:rsid w:val="00E40030"/>
    <w:rsid w:val="00E40494"/>
    <w:rsid w:val="00E4340E"/>
    <w:rsid w:val="00E436DA"/>
    <w:rsid w:val="00E452AC"/>
    <w:rsid w:val="00E46994"/>
    <w:rsid w:val="00E46B8A"/>
    <w:rsid w:val="00E47243"/>
    <w:rsid w:val="00E47578"/>
    <w:rsid w:val="00E50988"/>
    <w:rsid w:val="00E50C03"/>
    <w:rsid w:val="00E51F40"/>
    <w:rsid w:val="00E56A98"/>
    <w:rsid w:val="00E600F0"/>
    <w:rsid w:val="00E61590"/>
    <w:rsid w:val="00E62B9A"/>
    <w:rsid w:val="00E62CEE"/>
    <w:rsid w:val="00E64ECC"/>
    <w:rsid w:val="00E66217"/>
    <w:rsid w:val="00E703A4"/>
    <w:rsid w:val="00E72768"/>
    <w:rsid w:val="00E72799"/>
    <w:rsid w:val="00E73792"/>
    <w:rsid w:val="00E742D5"/>
    <w:rsid w:val="00E75737"/>
    <w:rsid w:val="00E75A5D"/>
    <w:rsid w:val="00E80A10"/>
    <w:rsid w:val="00E80D07"/>
    <w:rsid w:val="00E82378"/>
    <w:rsid w:val="00E8254E"/>
    <w:rsid w:val="00E860FB"/>
    <w:rsid w:val="00E86408"/>
    <w:rsid w:val="00E9074F"/>
    <w:rsid w:val="00E91419"/>
    <w:rsid w:val="00E92BFB"/>
    <w:rsid w:val="00E9666F"/>
    <w:rsid w:val="00E96BDF"/>
    <w:rsid w:val="00EA1DF6"/>
    <w:rsid w:val="00EA5A23"/>
    <w:rsid w:val="00EA78A7"/>
    <w:rsid w:val="00EA79AE"/>
    <w:rsid w:val="00EB0CB2"/>
    <w:rsid w:val="00EB2E0D"/>
    <w:rsid w:val="00EB3AD6"/>
    <w:rsid w:val="00EB3CE8"/>
    <w:rsid w:val="00EB4CC1"/>
    <w:rsid w:val="00EB5931"/>
    <w:rsid w:val="00EB6D5F"/>
    <w:rsid w:val="00EC120F"/>
    <w:rsid w:val="00EC16FC"/>
    <w:rsid w:val="00EC274D"/>
    <w:rsid w:val="00EC3D7F"/>
    <w:rsid w:val="00EC3FA8"/>
    <w:rsid w:val="00EC5F7C"/>
    <w:rsid w:val="00ED1F06"/>
    <w:rsid w:val="00ED3057"/>
    <w:rsid w:val="00ED4B5D"/>
    <w:rsid w:val="00ED66CE"/>
    <w:rsid w:val="00ED6F9C"/>
    <w:rsid w:val="00EE098A"/>
    <w:rsid w:val="00EE52A7"/>
    <w:rsid w:val="00EE7238"/>
    <w:rsid w:val="00EF08BE"/>
    <w:rsid w:val="00EF1F92"/>
    <w:rsid w:val="00EF27B7"/>
    <w:rsid w:val="00EF3A2B"/>
    <w:rsid w:val="00EF3A96"/>
    <w:rsid w:val="00EF45D7"/>
    <w:rsid w:val="00EF5580"/>
    <w:rsid w:val="00F04EB3"/>
    <w:rsid w:val="00F058A6"/>
    <w:rsid w:val="00F05CAC"/>
    <w:rsid w:val="00F06941"/>
    <w:rsid w:val="00F10220"/>
    <w:rsid w:val="00F11A4F"/>
    <w:rsid w:val="00F11D23"/>
    <w:rsid w:val="00F12C70"/>
    <w:rsid w:val="00F13C7A"/>
    <w:rsid w:val="00F14F8B"/>
    <w:rsid w:val="00F15EE4"/>
    <w:rsid w:val="00F15F14"/>
    <w:rsid w:val="00F177F5"/>
    <w:rsid w:val="00F22739"/>
    <w:rsid w:val="00F2533F"/>
    <w:rsid w:val="00F25658"/>
    <w:rsid w:val="00F26537"/>
    <w:rsid w:val="00F268C7"/>
    <w:rsid w:val="00F269CE"/>
    <w:rsid w:val="00F26BF4"/>
    <w:rsid w:val="00F2799E"/>
    <w:rsid w:val="00F301C3"/>
    <w:rsid w:val="00F30DFD"/>
    <w:rsid w:val="00F30E56"/>
    <w:rsid w:val="00F3118F"/>
    <w:rsid w:val="00F31305"/>
    <w:rsid w:val="00F32A28"/>
    <w:rsid w:val="00F33A74"/>
    <w:rsid w:val="00F33D46"/>
    <w:rsid w:val="00F3426D"/>
    <w:rsid w:val="00F3471A"/>
    <w:rsid w:val="00F34854"/>
    <w:rsid w:val="00F37C77"/>
    <w:rsid w:val="00F37D1A"/>
    <w:rsid w:val="00F40BCC"/>
    <w:rsid w:val="00F41F0B"/>
    <w:rsid w:val="00F44676"/>
    <w:rsid w:val="00F45729"/>
    <w:rsid w:val="00F47491"/>
    <w:rsid w:val="00F47A06"/>
    <w:rsid w:val="00F51934"/>
    <w:rsid w:val="00F51A1C"/>
    <w:rsid w:val="00F52744"/>
    <w:rsid w:val="00F54FF9"/>
    <w:rsid w:val="00F55288"/>
    <w:rsid w:val="00F5666E"/>
    <w:rsid w:val="00F56A0A"/>
    <w:rsid w:val="00F56E38"/>
    <w:rsid w:val="00F60849"/>
    <w:rsid w:val="00F6370D"/>
    <w:rsid w:val="00F65F19"/>
    <w:rsid w:val="00F6634F"/>
    <w:rsid w:val="00F66755"/>
    <w:rsid w:val="00F66B8F"/>
    <w:rsid w:val="00F66FF4"/>
    <w:rsid w:val="00F674CD"/>
    <w:rsid w:val="00F7202E"/>
    <w:rsid w:val="00F731C0"/>
    <w:rsid w:val="00F74664"/>
    <w:rsid w:val="00F80FDD"/>
    <w:rsid w:val="00F82C79"/>
    <w:rsid w:val="00F843B8"/>
    <w:rsid w:val="00F85073"/>
    <w:rsid w:val="00F90355"/>
    <w:rsid w:val="00F90D1D"/>
    <w:rsid w:val="00F92FBA"/>
    <w:rsid w:val="00F960D1"/>
    <w:rsid w:val="00F96BA0"/>
    <w:rsid w:val="00F975DB"/>
    <w:rsid w:val="00F97E44"/>
    <w:rsid w:val="00FA2290"/>
    <w:rsid w:val="00FA726D"/>
    <w:rsid w:val="00FB257F"/>
    <w:rsid w:val="00FB3233"/>
    <w:rsid w:val="00FB3FF3"/>
    <w:rsid w:val="00FB4A32"/>
    <w:rsid w:val="00FC10AE"/>
    <w:rsid w:val="00FC3989"/>
    <w:rsid w:val="00FC5A35"/>
    <w:rsid w:val="00FD20D9"/>
    <w:rsid w:val="00FD25A6"/>
    <w:rsid w:val="00FD35E5"/>
    <w:rsid w:val="00FD5BF0"/>
    <w:rsid w:val="00FD6657"/>
    <w:rsid w:val="00FE4B10"/>
    <w:rsid w:val="00FF116B"/>
    <w:rsid w:val="00FF13BB"/>
    <w:rsid w:val="00FF3E25"/>
    <w:rsid w:val="00FF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87"/>
    <w:rPr>
      <w:rFonts w:ascii="Times New Roman" w:eastAsia="Times New Roman" w:hAnsi="Times New Roman"/>
      <w:sz w:val="24"/>
      <w:szCs w:val="24"/>
    </w:rPr>
  </w:style>
  <w:style w:type="paragraph" w:styleId="Heading1">
    <w:name w:val="heading 1"/>
    <w:basedOn w:val="Normal"/>
    <w:next w:val="Normal"/>
    <w:link w:val="Heading1Char"/>
    <w:uiPriority w:val="9"/>
    <w:qFormat/>
    <w:rsid w:val="00AE7E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29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C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
    <w:basedOn w:val="Normal"/>
    <w:link w:val="ListParagraphChar"/>
    <w:uiPriority w:val="34"/>
    <w:qFormat/>
    <w:rsid w:val="00507587"/>
    <w:pPr>
      <w:ind w:left="720"/>
      <w:contextualSpacing/>
    </w:p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basedOn w:val="DefaultParagraphFont"/>
    <w:link w:val="4GChar"/>
    <w:uiPriority w:val="99"/>
    <w:qFormat/>
    <w:rsid w:val="00507587"/>
    <w:rPr>
      <w:rFonts w:ascii="Verdana" w:hAnsi="Verdana"/>
      <w:sz w:val="16"/>
      <w:vertAlign w:val="superscript"/>
    </w:rPr>
  </w:style>
  <w:style w:type="paragraph" w:styleId="FootnoteText">
    <w:name w:val="footnote text"/>
    <w:aliases w:val="Texto nota pie Car1,Footnote reference Car,FA Fu Car1,Footnote Text Char Char Char Char Char Car,Footnote Text Char Char Char Char Car,Footnote Text Char Char Char Car,Footnote Text Cha Car,FA Fußnotentext Car,FA Fuﬂnotentext Car,Ca Car,C"/>
    <w:basedOn w:val="Normal"/>
    <w:link w:val="FootnoteTextChar"/>
    <w:uiPriority w:val="99"/>
    <w:qFormat/>
    <w:rsid w:val="00507587"/>
    <w:pPr>
      <w:jc w:val="both"/>
    </w:pPr>
    <w:rPr>
      <w:rFonts w:ascii="Verdana" w:eastAsia="Times" w:hAnsi="Verdana"/>
      <w:sz w:val="16"/>
      <w:szCs w:val="20"/>
    </w:rPr>
  </w:style>
  <w:style w:type="character" w:customStyle="1" w:styleId="TextonotapieCar">
    <w:name w:val="Texto nota pie Car"/>
    <w:basedOn w:val="DefaultParagraphFont"/>
    <w:uiPriority w:val="99"/>
    <w:semiHidden/>
    <w:rsid w:val="00507587"/>
    <w:rPr>
      <w:rFonts w:ascii="Times New Roman" w:eastAsia="Times New Roman" w:hAnsi="Times New Roman" w:cs="Times New Roman"/>
      <w:sz w:val="20"/>
      <w:szCs w:val="20"/>
    </w:rPr>
  </w:style>
  <w:style w:type="character" w:customStyle="1" w:styleId="FootnoteTextChar">
    <w:name w:val="Footnote Text Char"/>
    <w:aliases w:val="Texto nota pie Car1 Char,Footnote reference Car Char,FA Fu Car1 Char,Footnote Text Char Char Char Char Char Car Char,Footnote Text Char Char Char Char Car Char,Footnote Text Char Char Char Car Char,Footnote Text Cha Car Char,C Char"/>
    <w:basedOn w:val="DefaultParagraphFont"/>
    <w:link w:val="FootnoteText"/>
    <w:uiPriority w:val="99"/>
    <w:rsid w:val="00507587"/>
    <w:rPr>
      <w:rFonts w:ascii="Verdana" w:eastAsia="Times" w:hAnsi="Verdana" w:cs="Times New Roman"/>
      <w:sz w:val="16"/>
      <w:szCs w:val="20"/>
    </w:rPr>
  </w:style>
  <w:style w:type="paragraph" w:styleId="Header">
    <w:name w:val="header"/>
    <w:basedOn w:val="Normal"/>
    <w:link w:val="HeaderChar"/>
    <w:uiPriority w:val="99"/>
    <w:unhideWhenUsed/>
    <w:rsid w:val="00507587"/>
    <w:pPr>
      <w:tabs>
        <w:tab w:val="center" w:pos="4252"/>
        <w:tab w:val="right" w:pos="8504"/>
      </w:tabs>
    </w:pPr>
  </w:style>
  <w:style w:type="character" w:customStyle="1" w:styleId="HeaderChar">
    <w:name w:val="Header Char"/>
    <w:basedOn w:val="DefaultParagraphFont"/>
    <w:link w:val="Header"/>
    <w:uiPriority w:val="99"/>
    <w:rsid w:val="0050758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07587"/>
    <w:rPr>
      <w:rFonts w:ascii="Consolas" w:eastAsia="Calibri" w:hAnsi="Consolas"/>
      <w:sz w:val="21"/>
      <w:szCs w:val="21"/>
    </w:rPr>
  </w:style>
  <w:style w:type="character" w:customStyle="1" w:styleId="PlainTextChar">
    <w:name w:val="Plain Text Char"/>
    <w:basedOn w:val="DefaultParagraphFont"/>
    <w:link w:val="PlainText"/>
    <w:uiPriority w:val="99"/>
    <w:rsid w:val="00507587"/>
    <w:rPr>
      <w:rFonts w:ascii="Consolas" w:eastAsia="Calibri" w:hAnsi="Consolas" w:cs="Times New Roman"/>
      <w:sz w:val="21"/>
      <w:szCs w:val="21"/>
    </w:rPr>
  </w:style>
  <w:style w:type="paragraph" w:styleId="Footer">
    <w:name w:val="footer"/>
    <w:basedOn w:val="Normal"/>
    <w:link w:val="FooterChar"/>
    <w:uiPriority w:val="99"/>
    <w:unhideWhenUsed/>
    <w:rsid w:val="00634C6F"/>
    <w:pPr>
      <w:tabs>
        <w:tab w:val="center" w:pos="4252"/>
        <w:tab w:val="right" w:pos="8504"/>
      </w:tabs>
    </w:pPr>
  </w:style>
  <w:style w:type="character" w:customStyle="1" w:styleId="FooterChar">
    <w:name w:val="Footer Char"/>
    <w:basedOn w:val="DefaultParagraphFont"/>
    <w:link w:val="Footer"/>
    <w:uiPriority w:val="99"/>
    <w:rsid w:val="00634C6F"/>
    <w:rPr>
      <w:rFonts w:ascii="Times New Roman" w:eastAsia="Times New Roman" w:hAnsi="Times New Roman"/>
      <w:sz w:val="24"/>
      <w:szCs w:val="24"/>
    </w:rPr>
  </w:style>
  <w:style w:type="paragraph" w:styleId="BodyText">
    <w:name w:val="Body Text"/>
    <w:basedOn w:val="Normal"/>
    <w:link w:val="BodyTextChar"/>
    <w:rsid w:val="00634C6F"/>
    <w:pPr>
      <w:jc w:val="both"/>
    </w:pPr>
    <w:rPr>
      <w:rFonts w:ascii="Univers" w:hAnsi="Univers"/>
      <w:spacing w:val="-2"/>
      <w:sz w:val="22"/>
      <w:szCs w:val="20"/>
      <w:lang w:val="es-PY"/>
    </w:rPr>
  </w:style>
  <w:style w:type="character" w:customStyle="1" w:styleId="BodyTextChar">
    <w:name w:val="Body Text Char"/>
    <w:basedOn w:val="DefaultParagraphFont"/>
    <w:link w:val="BodyText"/>
    <w:rsid w:val="00634C6F"/>
    <w:rPr>
      <w:rFonts w:ascii="Univers" w:eastAsia="Times New Roman" w:hAnsi="Univers"/>
      <w:spacing w:val="-2"/>
      <w:sz w:val="22"/>
      <w:lang w:val="es-PY"/>
    </w:rPr>
  </w:style>
  <w:style w:type="character" w:customStyle="1" w:styleId="TextonotapieCarCar">
    <w:name w:val="Texto nota pie Car Car"/>
    <w:aliases w:val="FA Fu Car Car1,FA Fu Car Car Car,FA Fu Car,FA Fu?notentext Car,FA Fu Car Car,Texto nota pie Car2 Car,Texto nota pie Car1 Car Car,Footnote Text Char Char Char Char Char Car Car Car,Footnote Text Char Char Char Char Car Car Car"/>
    <w:basedOn w:val="DefaultParagraphFont"/>
    <w:rsid w:val="00634C6F"/>
    <w:rPr>
      <w:lang w:val="es-ES_tradnl" w:eastAsia="en-US" w:bidi="ar-SA"/>
    </w:rPr>
  </w:style>
  <w:style w:type="paragraph" w:styleId="NormalWeb">
    <w:name w:val="Normal (Web)"/>
    <w:basedOn w:val="Normal"/>
    <w:unhideWhenUsed/>
    <w:rsid w:val="00634C6F"/>
    <w:pPr>
      <w:spacing w:before="100" w:beforeAutospacing="1" w:after="100" w:afterAutospacing="1"/>
    </w:pPr>
    <w:rPr>
      <w:rFonts w:ascii="Arial Unicode MS" w:eastAsia="Arial Unicode MS" w:hAnsi="Arial Unicode MS" w:cs="Arial Unicode MS"/>
      <w:color w:val="000000"/>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 Char,FA Fußnotentext Char,FA Fuﬂnotentext Char,Ca Char"/>
    <w:basedOn w:val="DefaultParagraphFont"/>
    <w:locked/>
    <w:rsid w:val="00634C6F"/>
    <w:rPr>
      <w:rFonts w:eastAsia="Arial Unicode MS" w:cs="Arial Unicode MS"/>
      <w:sz w:val="22"/>
      <w:szCs w:val="22"/>
    </w:rPr>
  </w:style>
  <w:style w:type="paragraph" w:customStyle="1" w:styleId="Default">
    <w:name w:val="Default"/>
    <w:rsid w:val="00634C6F"/>
    <w:pPr>
      <w:autoSpaceDE w:val="0"/>
      <w:autoSpaceDN w:val="0"/>
      <w:adjustRightInd w:val="0"/>
    </w:pPr>
    <w:rPr>
      <w:rFonts w:ascii="Verdana" w:eastAsia="MS Mincho" w:hAnsi="Verdana" w:cs="Verdana"/>
      <w:color w:val="000000"/>
      <w:sz w:val="24"/>
      <w:szCs w:val="24"/>
    </w:rPr>
  </w:style>
  <w:style w:type="paragraph" w:styleId="BodyText3">
    <w:name w:val="Body Text 3"/>
    <w:basedOn w:val="Normal"/>
    <w:link w:val="BodyText3Char"/>
    <w:rsid w:val="00634C6F"/>
    <w:pPr>
      <w:spacing w:after="120"/>
    </w:pPr>
    <w:rPr>
      <w:sz w:val="16"/>
      <w:szCs w:val="16"/>
      <w:lang w:val="es-ES_tradnl"/>
    </w:rPr>
  </w:style>
  <w:style w:type="character" w:customStyle="1" w:styleId="BodyText3Char">
    <w:name w:val="Body Text 3 Char"/>
    <w:basedOn w:val="DefaultParagraphFont"/>
    <w:link w:val="BodyText3"/>
    <w:rsid w:val="00634C6F"/>
    <w:rPr>
      <w:rFonts w:ascii="Times New Roman" w:eastAsia="Times New Roman" w:hAnsi="Times New Roman"/>
      <w:sz w:val="16"/>
      <w:szCs w:val="16"/>
      <w:lang w:val="es-ES_tradnl"/>
    </w:rPr>
  </w:style>
  <w:style w:type="paragraph" w:styleId="BalloonText">
    <w:name w:val="Balloon Text"/>
    <w:basedOn w:val="Normal"/>
    <w:link w:val="BalloonTextChar"/>
    <w:uiPriority w:val="99"/>
    <w:semiHidden/>
    <w:unhideWhenUsed/>
    <w:rsid w:val="00634C6F"/>
    <w:rPr>
      <w:rFonts w:ascii="Tahoma" w:hAnsi="Tahoma" w:cs="Tahoma"/>
      <w:sz w:val="16"/>
      <w:szCs w:val="16"/>
    </w:rPr>
  </w:style>
  <w:style w:type="character" w:customStyle="1" w:styleId="BalloonTextChar">
    <w:name w:val="Balloon Text Char"/>
    <w:basedOn w:val="DefaultParagraphFont"/>
    <w:link w:val="BalloonText"/>
    <w:uiPriority w:val="99"/>
    <w:semiHidden/>
    <w:rsid w:val="00634C6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B4CC1"/>
    <w:rPr>
      <w:sz w:val="16"/>
      <w:szCs w:val="16"/>
    </w:rPr>
  </w:style>
  <w:style w:type="paragraph" w:styleId="CommentText">
    <w:name w:val="annotation text"/>
    <w:basedOn w:val="Normal"/>
    <w:link w:val="CommentTextChar"/>
    <w:uiPriority w:val="99"/>
    <w:semiHidden/>
    <w:unhideWhenUsed/>
    <w:rsid w:val="00EB4CC1"/>
    <w:pPr>
      <w:spacing w:after="200"/>
    </w:pPr>
    <w:rPr>
      <w:rFonts w:asciiTheme="minorHAnsi" w:eastAsiaTheme="minorHAnsi" w:hAnsiTheme="minorHAnsi" w:cstheme="minorBidi"/>
      <w:sz w:val="20"/>
      <w:szCs w:val="20"/>
      <w:lang w:val="es-CR"/>
    </w:rPr>
  </w:style>
  <w:style w:type="character" w:customStyle="1" w:styleId="CommentTextChar">
    <w:name w:val="Comment Text Char"/>
    <w:basedOn w:val="DefaultParagraphFont"/>
    <w:link w:val="CommentText"/>
    <w:uiPriority w:val="99"/>
    <w:semiHidden/>
    <w:rsid w:val="00EB4CC1"/>
    <w:rPr>
      <w:rFonts w:asciiTheme="minorHAnsi" w:eastAsiaTheme="minorHAnsi" w:hAnsiTheme="minorHAnsi" w:cstheme="minorBidi"/>
      <w:lang w:val="es-CR"/>
    </w:rPr>
  </w:style>
  <w:style w:type="character" w:styleId="Strong">
    <w:name w:val="Strong"/>
    <w:uiPriority w:val="22"/>
    <w:qFormat/>
    <w:rsid w:val="008B7709"/>
    <w:rPr>
      <w:b/>
      <w:bCs/>
    </w:rPr>
  </w:style>
  <w:style w:type="paragraph" w:styleId="CommentSubject">
    <w:name w:val="annotation subject"/>
    <w:basedOn w:val="CommentText"/>
    <w:next w:val="CommentText"/>
    <w:link w:val="CommentSubjectChar"/>
    <w:uiPriority w:val="99"/>
    <w:semiHidden/>
    <w:unhideWhenUsed/>
    <w:rsid w:val="00430B86"/>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430B86"/>
    <w:rPr>
      <w:rFonts w:ascii="Times New Roman" w:eastAsia="Times New Roman" w:hAnsi="Times New Roman" w:cstheme="minorBidi"/>
      <w:b/>
      <w:bCs/>
      <w:lang w:val="es-CR"/>
    </w:rPr>
  </w:style>
  <w:style w:type="character" w:styleId="PlaceholderText">
    <w:name w:val="Placeholder Text"/>
    <w:basedOn w:val="DefaultParagraphFont"/>
    <w:uiPriority w:val="99"/>
    <w:semiHidden/>
    <w:rsid w:val="00824C38"/>
    <w:rPr>
      <w:color w:val="808080"/>
    </w:rPr>
  </w:style>
  <w:style w:type="character" w:styleId="LineNumber">
    <w:name w:val="line number"/>
    <w:basedOn w:val="DefaultParagraphFont"/>
    <w:uiPriority w:val="99"/>
    <w:semiHidden/>
    <w:unhideWhenUsed/>
    <w:rsid w:val="0026459E"/>
  </w:style>
  <w:style w:type="paragraph" w:styleId="Revision">
    <w:name w:val="Revision"/>
    <w:hidden/>
    <w:uiPriority w:val="99"/>
    <w:semiHidden/>
    <w:rsid w:val="00E56A98"/>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29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0CB2"/>
    <w:rPr>
      <w:rFonts w:asciiTheme="majorHAnsi" w:eastAsiaTheme="majorEastAsia" w:hAnsiTheme="majorHAnsi" w:cstheme="majorBidi"/>
      <w:b/>
      <w:bCs/>
      <w:color w:val="4F81BD" w:themeColor="accent1"/>
      <w:sz w:val="24"/>
      <w:szCs w:val="24"/>
    </w:rPr>
  </w:style>
  <w:style w:type="character" w:customStyle="1" w:styleId="ListParagraphChar">
    <w:name w:val="List Paragraph Char"/>
    <w:aliases w:val="Colorful List - Accent 11 Char"/>
    <w:link w:val="ListParagraph"/>
    <w:uiPriority w:val="34"/>
    <w:locked/>
    <w:rsid w:val="006A19BA"/>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DC1121"/>
    <w:rPr>
      <w:sz w:val="20"/>
      <w:szCs w:val="20"/>
    </w:rPr>
  </w:style>
  <w:style w:type="character" w:customStyle="1" w:styleId="EndnoteTextChar">
    <w:name w:val="Endnote Text Char"/>
    <w:basedOn w:val="DefaultParagraphFont"/>
    <w:link w:val="EndnoteText"/>
    <w:uiPriority w:val="99"/>
    <w:semiHidden/>
    <w:rsid w:val="00DC1121"/>
    <w:rPr>
      <w:rFonts w:ascii="Times New Roman" w:eastAsia="Times New Roman" w:hAnsi="Times New Roman"/>
    </w:rPr>
  </w:style>
  <w:style w:type="character" w:styleId="EndnoteReference">
    <w:name w:val="endnote reference"/>
    <w:basedOn w:val="DefaultParagraphFont"/>
    <w:uiPriority w:val="99"/>
    <w:semiHidden/>
    <w:unhideWhenUsed/>
    <w:rsid w:val="00DC1121"/>
    <w:rPr>
      <w:vertAlign w:val="superscript"/>
    </w:rPr>
  </w:style>
  <w:style w:type="paragraph" w:styleId="BodyText2">
    <w:name w:val="Body Text 2"/>
    <w:basedOn w:val="Normal"/>
    <w:link w:val="BodyText2Char"/>
    <w:rsid w:val="009461D8"/>
    <w:pPr>
      <w:spacing w:after="120" w:line="480" w:lineRule="auto"/>
    </w:pPr>
    <w:rPr>
      <w:rFonts w:ascii="Times" w:eastAsia="Times" w:hAnsi="Times"/>
      <w:sz w:val="20"/>
      <w:szCs w:val="20"/>
      <w:lang w:val="es-CR" w:eastAsia="es-ES"/>
    </w:rPr>
  </w:style>
  <w:style w:type="character" w:customStyle="1" w:styleId="BodyText2Char">
    <w:name w:val="Body Text 2 Char"/>
    <w:basedOn w:val="DefaultParagraphFont"/>
    <w:link w:val="BodyText2"/>
    <w:rsid w:val="009461D8"/>
    <w:rPr>
      <w:rFonts w:ascii="Times" w:eastAsia="Times" w:hAnsi="Times"/>
      <w:lang w:val="es-CR" w:eastAsia="es-ES"/>
    </w:rPr>
  </w:style>
  <w:style w:type="character" w:customStyle="1" w:styleId="apple-style-span">
    <w:name w:val="apple-style-span"/>
    <w:basedOn w:val="DefaultParagraphFont"/>
    <w:rsid w:val="00B75A4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B75A4A"/>
    <w:pPr>
      <w:jc w:val="both"/>
    </w:pPr>
    <w:rPr>
      <w:rFonts w:ascii="Verdana" w:eastAsia="Calibri" w:hAnsi="Verdana"/>
      <w:sz w:val="16"/>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87"/>
    <w:rPr>
      <w:rFonts w:ascii="Times New Roman" w:eastAsia="Times New Roman" w:hAnsi="Times New Roman"/>
      <w:sz w:val="24"/>
      <w:szCs w:val="24"/>
    </w:rPr>
  </w:style>
  <w:style w:type="paragraph" w:styleId="Heading1">
    <w:name w:val="heading 1"/>
    <w:basedOn w:val="Normal"/>
    <w:next w:val="Normal"/>
    <w:link w:val="Heading1Char"/>
    <w:uiPriority w:val="9"/>
    <w:qFormat/>
    <w:rsid w:val="00AE7E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29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C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
    <w:basedOn w:val="Normal"/>
    <w:link w:val="ListParagraphChar"/>
    <w:uiPriority w:val="34"/>
    <w:qFormat/>
    <w:rsid w:val="00507587"/>
    <w:pPr>
      <w:ind w:left="720"/>
      <w:contextualSpacing/>
    </w:p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basedOn w:val="DefaultParagraphFont"/>
    <w:link w:val="4GChar"/>
    <w:uiPriority w:val="99"/>
    <w:qFormat/>
    <w:rsid w:val="00507587"/>
    <w:rPr>
      <w:rFonts w:ascii="Verdana" w:hAnsi="Verdana"/>
      <w:sz w:val="16"/>
      <w:vertAlign w:val="superscript"/>
    </w:rPr>
  </w:style>
  <w:style w:type="paragraph" w:styleId="FootnoteText">
    <w:name w:val="footnote text"/>
    <w:aliases w:val="Texto nota pie Car1,Footnote reference Car,FA Fu Car1,Footnote Text Char Char Char Char Char Car,Footnote Text Char Char Char Char Car,Footnote Text Char Char Char Car,Footnote Text Cha Car,FA Fußnotentext Car,FA Fuﬂnotentext Car,Ca Car,C"/>
    <w:basedOn w:val="Normal"/>
    <w:link w:val="FootnoteTextChar"/>
    <w:uiPriority w:val="99"/>
    <w:qFormat/>
    <w:rsid w:val="00507587"/>
    <w:pPr>
      <w:jc w:val="both"/>
    </w:pPr>
    <w:rPr>
      <w:rFonts w:ascii="Verdana" w:eastAsia="Times" w:hAnsi="Verdana"/>
      <w:sz w:val="16"/>
      <w:szCs w:val="20"/>
    </w:rPr>
  </w:style>
  <w:style w:type="character" w:customStyle="1" w:styleId="TextonotapieCar">
    <w:name w:val="Texto nota pie Car"/>
    <w:basedOn w:val="DefaultParagraphFont"/>
    <w:uiPriority w:val="99"/>
    <w:semiHidden/>
    <w:rsid w:val="00507587"/>
    <w:rPr>
      <w:rFonts w:ascii="Times New Roman" w:eastAsia="Times New Roman" w:hAnsi="Times New Roman" w:cs="Times New Roman"/>
      <w:sz w:val="20"/>
      <w:szCs w:val="20"/>
    </w:rPr>
  </w:style>
  <w:style w:type="character" w:customStyle="1" w:styleId="FootnoteTextChar">
    <w:name w:val="Footnote Text Char"/>
    <w:aliases w:val="Texto nota pie Car1 Char,Footnote reference Car Char,FA Fu Car1 Char,Footnote Text Char Char Char Char Char Car Char,Footnote Text Char Char Char Char Car Char,Footnote Text Char Char Char Car Char,Footnote Text Cha Car Char,C Char"/>
    <w:basedOn w:val="DefaultParagraphFont"/>
    <w:link w:val="FootnoteText"/>
    <w:uiPriority w:val="99"/>
    <w:rsid w:val="00507587"/>
    <w:rPr>
      <w:rFonts w:ascii="Verdana" w:eastAsia="Times" w:hAnsi="Verdana" w:cs="Times New Roman"/>
      <w:sz w:val="16"/>
      <w:szCs w:val="20"/>
    </w:rPr>
  </w:style>
  <w:style w:type="paragraph" w:styleId="Header">
    <w:name w:val="header"/>
    <w:basedOn w:val="Normal"/>
    <w:link w:val="HeaderChar"/>
    <w:uiPriority w:val="99"/>
    <w:unhideWhenUsed/>
    <w:rsid w:val="00507587"/>
    <w:pPr>
      <w:tabs>
        <w:tab w:val="center" w:pos="4252"/>
        <w:tab w:val="right" w:pos="8504"/>
      </w:tabs>
    </w:pPr>
  </w:style>
  <w:style w:type="character" w:customStyle="1" w:styleId="HeaderChar">
    <w:name w:val="Header Char"/>
    <w:basedOn w:val="DefaultParagraphFont"/>
    <w:link w:val="Header"/>
    <w:uiPriority w:val="99"/>
    <w:rsid w:val="0050758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07587"/>
    <w:rPr>
      <w:rFonts w:ascii="Consolas" w:eastAsia="Calibri" w:hAnsi="Consolas"/>
      <w:sz w:val="21"/>
      <w:szCs w:val="21"/>
    </w:rPr>
  </w:style>
  <w:style w:type="character" w:customStyle="1" w:styleId="PlainTextChar">
    <w:name w:val="Plain Text Char"/>
    <w:basedOn w:val="DefaultParagraphFont"/>
    <w:link w:val="PlainText"/>
    <w:uiPriority w:val="99"/>
    <w:rsid w:val="00507587"/>
    <w:rPr>
      <w:rFonts w:ascii="Consolas" w:eastAsia="Calibri" w:hAnsi="Consolas" w:cs="Times New Roman"/>
      <w:sz w:val="21"/>
      <w:szCs w:val="21"/>
    </w:rPr>
  </w:style>
  <w:style w:type="paragraph" w:styleId="Footer">
    <w:name w:val="footer"/>
    <w:basedOn w:val="Normal"/>
    <w:link w:val="FooterChar"/>
    <w:uiPriority w:val="99"/>
    <w:unhideWhenUsed/>
    <w:rsid w:val="00634C6F"/>
    <w:pPr>
      <w:tabs>
        <w:tab w:val="center" w:pos="4252"/>
        <w:tab w:val="right" w:pos="8504"/>
      </w:tabs>
    </w:pPr>
  </w:style>
  <w:style w:type="character" w:customStyle="1" w:styleId="FooterChar">
    <w:name w:val="Footer Char"/>
    <w:basedOn w:val="DefaultParagraphFont"/>
    <w:link w:val="Footer"/>
    <w:uiPriority w:val="99"/>
    <w:rsid w:val="00634C6F"/>
    <w:rPr>
      <w:rFonts w:ascii="Times New Roman" w:eastAsia="Times New Roman" w:hAnsi="Times New Roman"/>
      <w:sz w:val="24"/>
      <w:szCs w:val="24"/>
    </w:rPr>
  </w:style>
  <w:style w:type="paragraph" w:styleId="BodyText">
    <w:name w:val="Body Text"/>
    <w:basedOn w:val="Normal"/>
    <w:link w:val="BodyTextChar"/>
    <w:rsid w:val="00634C6F"/>
    <w:pPr>
      <w:jc w:val="both"/>
    </w:pPr>
    <w:rPr>
      <w:rFonts w:ascii="Univers" w:hAnsi="Univers"/>
      <w:spacing w:val="-2"/>
      <w:sz w:val="22"/>
      <w:szCs w:val="20"/>
      <w:lang w:val="es-PY"/>
    </w:rPr>
  </w:style>
  <w:style w:type="character" w:customStyle="1" w:styleId="BodyTextChar">
    <w:name w:val="Body Text Char"/>
    <w:basedOn w:val="DefaultParagraphFont"/>
    <w:link w:val="BodyText"/>
    <w:rsid w:val="00634C6F"/>
    <w:rPr>
      <w:rFonts w:ascii="Univers" w:eastAsia="Times New Roman" w:hAnsi="Univers"/>
      <w:spacing w:val="-2"/>
      <w:sz w:val="22"/>
      <w:lang w:val="es-PY"/>
    </w:rPr>
  </w:style>
  <w:style w:type="character" w:customStyle="1" w:styleId="TextonotapieCarCar">
    <w:name w:val="Texto nota pie Car Car"/>
    <w:aliases w:val="FA Fu Car Car1,FA Fu Car Car Car,FA Fu Car,FA Fu?notentext Car,FA Fu Car Car,Texto nota pie Car2 Car,Texto nota pie Car1 Car Car,Footnote Text Char Char Char Char Char Car Car Car,Footnote Text Char Char Char Char Car Car Car"/>
    <w:basedOn w:val="DefaultParagraphFont"/>
    <w:rsid w:val="00634C6F"/>
    <w:rPr>
      <w:lang w:val="es-ES_tradnl" w:eastAsia="en-US" w:bidi="ar-SA"/>
    </w:rPr>
  </w:style>
  <w:style w:type="paragraph" w:styleId="NormalWeb">
    <w:name w:val="Normal (Web)"/>
    <w:basedOn w:val="Normal"/>
    <w:unhideWhenUsed/>
    <w:rsid w:val="00634C6F"/>
    <w:pPr>
      <w:spacing w:before="100" w:beforeAutospacing="1" w:after="100" w:afterAutospacing="1"/>
    </w:pPr>
    <w:rPr>
      <w:rFonts w:ascii="Arial Unicode MS" w:eastAsia="Arial Unicode MS" w:hAnsi="Arial Unicode MS" w:cs="Arial Unicode MS"/>
      <w:color w:val="000000"/>
    </w:rPr>
  </w:style>
  <w:style w:type="character" w:customStyle="1" w:styleId="FootnoteTextChar1">
    <w:name w:val="Footnote Text Char1"/>
    <w:aliases w:val="Footnote Text Char Char Char Char Char Char,Footnote Text Char Char Char Char Char1,Footnote reference Char,FA Fu Char,Footnote Text Char Char Char Char1,Footnote Text Cha Char,FA Fußnotentext Char,FA Fuﬂnotentext Char,Ca Char"/>
    <w:basedOn w:val="DefaultParagraphFont"/>
    <w:locked/>
    <w:rsid w:val="00634C6F"/>
    <w:rPr>
      <w:rFonts w:eastAsia="Arial Unicode MS" w:cs="Arial Unicode MS"/>
      <w:sz w:val="22"/>
      <w:szCs w:val="22"/>
    </w:rPr>
  </w:style>
  <w:style w:type="paragraph" w:customStyle="1" w:styleId="Default">
    <w:name w:val="Default"/>
    <w:rsid w:val="00634C6F"/>
    <w:pPr>
      <w:autoSpaceDE w:val="0"/>
      <w:autoSpaceDN w:val="0"/>
      <w:adjustRightInd w:val="0"/>
    </w:pPr>
    <w:rPr>
      <w:rFonts w:ascii="Verdana" w:eastAsia="MS Mincho" w:hAnsi="Verdana" w:cs="Verdana"/>
      <w:color w:val="000000"/>
      <w:sz w:val="24"/>
      <w:szCs w:val="24"/>
    </w:rPr>
  </w:style>
  <w:style w:type="paragraph" w:styleId="BodyText3">
    <w:name w:val="Body Text 3"/>
    <w:basedOn w:val="Normal"/>
    <w:link w:val="BodyText3Char"/>
    <w:rsid w:val="00634C6F"/>
    <w:pPr>
      <w:spacing w:after="120"/>
    </w:pPr>
    <w:rPr>
      <w:sz w:val="16"/>
      <w:szCs w:val="16"/>
      <w:lang w:val="es-ES_tradnl"/>
    </w:rPr>
  </w:style>
  <w:style w:type="character" w:customStyle="1" w:styleId="BodyText3Char">
    <w:name w:val="Body Text 3 Char"/>
    <w:basedOn w:val="DefaultParagraphFont"/>
    <w:link w:val="BodyText3"/>
    <w:rsid w:val="00634C6F"/>
    <w:rPr>
      <w:rFonts w:ascii="Times New Roman" w:eastAsia="Times New Roman" w:hAnsi="Times New Roman"/>
      <w:sz w:val="16"/>
      <w:szCs w:val="16"/>
      <w:lang w:val="es-ES_tradnl"/>
    </w:rPr>
  </w:style>
  <w:style w:type="paragraph" w:styleId="BalloonText">
    <w:name w:val="Balloon Text"/>
    <w:basedOn w:val="Normal"/>
    <w:link w:val="BalloonTextChar"/>
    <w:uiPriority w:val="99"/>
    <w:semiHidden/>
    <w:unhideWhenUsed/>
    <w:rsid w:val="00634C6F"/>
    <w:rPr>
      <w:rFonts w:ascii="Tahoma" w:hAnsi="Tahoma" w:cs="Tahoma"/>
      <w:sz w:val="16"/>
      <w:szCs w:val="16"/>
    </w:rPr>
  </w:style>
  <w:style w:type="character" w:customStyle="1" w:styleId="BalloonTextChar">
    <w:name w:val="Balloon Text Char"/>
    <w:basedOn w:val="DefaultParagraphFont"/>
    <w:link w:val="BalloonText"/>
    <w:uiPriority w:val="99"/>
    <w:semiHidden/>
    <w:rsid w:val="00634C6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B4CC1"/>
    <w:rPr>
      <w:sz w:val="16"/>
      <w:szCs w:val="16"/>
    </w:rPr>
  </w:style>
  <w:style w:type="paragraph" w:styleId="CommentText">
    <w:name w:val="annotation text"/>
    <w:basedOn w:val="Normal"/>
    <w:link w:val="CommentTextChar"/>
    <w:uiPriority w:val="99"/>
    <w:semiHidden/>
    <w:unhideWhenUsed/>
    <w:rsid w:val="00EB4CC1"/>
    <w:pPr>
      <w:spacing w:after="200"/>
    </w:pPr>
    <w:rPr>
      <w:rFonts w:asciiTheme="minorHAnsi" w:eastAsiaTheme="minorHAnsi" w:hAnsiTheme="minorHAnsi" w:cstheme="minorBidi"/>
      <w:sz w:val="20"/>
      <w:szCs w:val="20"/>
      <w:lang w:val="es-CR"/>
    </w:rPr>
  </w:style>
  <w:style w:type="character" w:customStyle="1" w:styleId="CommentTextChar">
    <w:name w:val="Comment Text Char"/>
    <w:basedOn w:val="DefaultParagraphFont"/>
    <w:link w:val="CommentText"/>
    <w:uiPriority w:val="99"/>
    <w:semiHidden/>
    <w:rsid w:val="00EB4CC1"/>
    <w:rPr>
      <w:rFonts w:asciiTheme="minorHAnsi" w:eastAsiaTheme="minorHAnsi" w:hAnsiTheme="minorHAnsi" w:cstheme="minorBidi"/>
      <w:lang w:val="es-CR"/>
    </w:rPr>
  </w:style>
  <w:style w:type="character" w:styleId="Strong">
    <w:name w:val="Strong"/>
    <w:uiPriority w:val="22"/>
    <w:qFormat/>
    <w:rsid w:val="008B7709"/>
    <w:rPr>
      <w:b/>
      <w:bCs/>
    </w:rPr>
  </w:style>
  <w:style w:type="paragraph" w:styleId="CommentSubject">
    <w:name w:val="annotation subject"/>
    <w:basedOn w:val="CommentText"/>
    <w:next w:val="CommentText"/>
    <w:link w:val="CommentSubjectChar"/>
    <w:uiPriority w:val="99"/>
    <w:semiHidden/>
    <w:unhideWhenUsed/>
    <w:rsid w:val="00430B86"/>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430B86"/>
    <w:rPr>
      <w:rFonts w:ascii="Times New Roman" w:eastAsia="Times New Roman" w:hAnsi="Times New Roman" w:cstheme="minorBidi"/>
      <w:b/>
      <w:bCs/>
      <w:lang w:val="es-CR"/>
    </w:rPr>
  </w:style>
  <w:style w:type="character" w:styleId="PlaceholderText">
    <w:name w:val="Placeholder Text"/>
    <w:basedOn w:val="DefaultParagraphFont"/>
    <w:uiPriority w:val="99"/>
    <w:semiHidden/>
    <w:rsid w:val="00824C38"/>
    <w:rPr>
      <w:color w:val="808080"/>
    </w:rPr>
  </w:style>
  <w:style w:type="character" w:styleId="LineNumber">
    <w:name w:val="line number"/>
    <w:basedOn w:val="DefaultParagraphFont"/>
    <w:uiPriority w:val="99"/>
    <w:semiHidden/>
    <w:unhideWhenUsed/>
    <w:rsid w:val="0026459E"/>
  </w:style>
  <w:style w:type="paragraph" w:styleId="Revision">
    <w:name w:val="Revision"/>
    <w:hidden/>
    <w:uiPriority w:val="99"/>
    <w:semiHidden/>
    <w:rsid w:val="00E56A98"/>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29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0CB2"/>
    <w:rPr>
      <w:rFonts w:asciiTheme="majorHAnsi" w:eastAsiaTheme="majorEastAsia" w:hAnsiTheme="majorHAnsi" w:cstheme="majorBidi"/>
      <w:b/>
      <w:bCs/>
      <w:color w:val="4F81BD" w:themeColor="accent1"/>
      <w:sz w:val="24"/>
      <w:szCs w:val="24"/>
    </w:rPr>
  </w:style>
  <w:style w:type="character" w:customStyle="1" w:styleId="ListParagraphChar">
    <w:name w:val="List Paragraph Char"/>
    <w:aliases w:val="Colorful List - Accent 11 Char"/>
    <w:link w:val="ListParagraph"/>
    <w:uiPriority w:val="34"/>
    <w:locked/>
    <w:rsid w:val="006A19BA"/>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DC1121"/>
    <w:rPr>
      <w:sz w:val="20"/>
      <w:szCs w:val="20"/>
    </w:rPr>
  </w:style>
  <w:style w:type="character" w:customStyle="1" w:styleId="EndnoteTextChar">
    <w:name w:val="Endnote Text Char"/>
    <w:basedOn w:val="DefaultParagraphFont"/>
    <w:link w:val="EndnoteText"/>
    <w:uiPriority w:val="99"/>
    <w:semiHidden/>
    <w:rsid w:val="00DC1121"/>
    <w:rPr>
      <w:rFonts w:ascii="Times New Roman" w:eastAsia="Times New Roman" w:hAnsi="Times New Roman"/>
    </w:rPr>
  </w:style>
  <w:style w:type="character" w:styleId="EndnoteReference">
    <w:name w:val="endnote reference"/>
    <w:basedOn w:val="DefaultParagraphFont"/>
    <w:uiPriority w:val="99"/>
    <w:semiHidden/>
    <w:unhideWhenUsed/>
    <w:rsid w:val="00DC1121"/>
    <w:rPr>
      <w:vertAlign w:val="superscript"/>
    </w:rPr>
  </w:style>
  <w:style w:type="paragraph" w:styleId="BodyText2">
    <w:name w:val="Body Text 2"/>
    <w:basedOn w:val="Normal"/>
    <w:link w:val="BodyText2Char"/>
    <w:rsid w:val="009461D8"/>
    <w:pPr>
      <w:spacing w:after="120" w:line="480" w:lineRule="auto"/>
    </w:pPr>
    <w:rPr>
      <w:rFonts w:ascii="Times" w:eastAsia="Times" w:hAnsi="Times"/>
      <w:sz w:val="20"/>
      <w:szCs w:val="20"/>
      <w:lang w:val="es-CR" w:eastAsia="es-ES"/>
    </w:rPr>
  </w:style>
  <w:style w:type="character" w:customStyle="1" w:styleId="BodyText2Char">
    <w:name w:val="Body Text 2 Char"/>
    <w:basedOn w:val="DefaultParagraphFont"/>
    <w:link w:val="BodyText2"/>
    <w:rsid w:val="009461D8"/>
    <w:rPr>
      <w:rFonts w:ascii="Times" w:eastAsia="Times" w:hAnsi="Times"/>
      <w:lang w:val="es-CR" w:eastAsia="es-ES"/>
    </w:rPr>
  </w:style>
  <w:style w:type="character" w:customStyle="1" w:styleId="apple-style-span">
    <w:name w:val="apple-style-span"/>
    <w:basedOn w:val="DefaultParagraphFont"/>
    <w:rsid w:val="00B75A4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B75A4A"/>
    <w:pPr>
      <w:jc w:val="both"/>
    </w:pPr>
    <w:rPr>
      <w:rFonts w:ascii="Verdana" w:eastAsia="Calibri" w:hAnsi="Verdana"/>
      <w:sz w:val="16"/>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399">
      <w:bodyDiv w:val="1"/>
      <w:marLeft w:val="0"/>
      <w:marRight w:val="0"/>
      <w:marTop w:val="0"/>
      <w:marBottom w:val="0"/>
      <w:divBdr>
        <w:top w:val="none" w:sz="0" w:space="0" w:color="auto"/>
        <w:left w:val="none" w:sz="0" w:space="0" w:color="auto"/>
        <w:bottom w:val="none" w:sz="0" w:space="0" w:color="auto"/>
        <w:right w:val="none" w:sz="0" w:space="0" w:color="auto"/>
      </w:divBdr>
    </w:div>
    <w:div w:id="203760035">
      <w:bodyDiv w:val="1"/>
      <w:marLeft w:val="0"/>
      <w:marRight w:val="0"/>
      <w:marTop w:val="0"/>
      <w:marBottom w:val="0"/>
      <w:divBdr>
        <w:top w:val="none" w:sz="0" w:space="0" w:color="auto"/>
        <w:left w:val="none" w:sz="0" w:space="0" w:color="auto"/>
        <w:bottom w:val="none" w:sz="0" w:space="0" w:color="auto"/>
        <w:right w:val="none" w:sz="0" w:space="0" w:color="auto"/>
      </w:divBdr>
    </w:div>
    <w:div w:id="341395349">
      <w:bodyDiv w:val="1"/>
      <w:marLeft w:val="0"/>
      <w:marRight w:val="0"/>
      <w:marTop w:val="0"/>
      <w:marBottom w:val="0"/>
      <w:divBdr>
        <w:top w:val="none" w:sz="0" w:space="0" w:color="auto"/>
        <w:left w:val="none" w:sz="0" w:space="0" w:color="auto"/>
        <w:bottom w:val="none" w:sz="0" w:space="0" w:color="auto"/>
        <w:right w:val="none" w:sz="0" w:space="0" w:color="auto"/>
      </w:divBdr>
    </w:div>
    <w:div w:id="1440494323">
      <w:bodyDiv w:val="1"/>
      <w:marLeft w:val="0"/>
      <w:marRight w:val="0"/>
      <w:marTop w:val="0"/>
      <w:marBottom w:val="0"/>
      <w:divBdr>
        <w:top w:val="none" w:sz="0" w:space="0" w:color="auto"/>
        <w:left w:val="none" w:sz="0" w:space="0" w:color="auto"/>
        <w:bottom w:val="none" w:sz="0" w:space="0" w:color="auto"/>
        <w:right w:val="none" w:sz="0" w:space="0" w:color="auto"/>
      </w:divBdr>
    </w:div>
    <w:div w:id="21303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B6A4A-2993-4EE3-AF5D-BA4F3947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8917</Words>
  <Characters>49046</Characters>
  <Application>Microsoft Office Word</Application>
  <DocSecurity>0</DocSecurity>
  <Lines>408</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CorteIDH</Company>
  <LinksUpToDate>false</LinksUpToDate>
  <CharactersWithSpaces>57848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3</cp:revision>
  <cp:lastPrinted>2017-09-08T22:41:00Z</cp:lastPrinted>
  <dcterms:created xsi:type="dcterms:W3CDTF">2017-09-08T23:21:00Z</dcterms:created>
  <dcterms:modified xsi:type="dcterms:W3CDTF">2017-09-11T15:25:00Z</dcterms:modified>
</cp:coreProperties>
</file>