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42" w:rsidRPr="00971417" w:rsidRDefault="006C5042" w:rsidP="006D3DBC">
      <w:pPr>
        <w:tabs>
          <w:tab w:val="left" w:pos="567"/>
        </w:tabs>
        <w:spacing w:after="0" w:line="240" w:lineRule="auto"/>
        <w:jc w:val="center"/>
        <w:rPr>
          <w:rFonts w:ascii="Verdana" w:hAnsi="Verdana"/>
          <w:b/>
          <w:spacing w:val="-4"/>
          <w:sz w:val="20"/>
          <w:szCs w:val="20"/>
          <w:lang w:val="es-MX"/>
        </w:rPr>
      </w:pPr>
      <w:bookmarkStart w:id="0" w:name="_GoBack"/>
      <w:bookmarkEnd w:id="0"/>
    </w:p>
    <w:p w:rsidR="006C5042" w:rsidRPr="00971417" w:rsidRDefault="006C5042" w:rsidP="006D3DBC">
      <w:pPr>
        <w:tabs>
          <w:tab w:val="left" w:pos="567"/>
        </w:tabs>
        <w:spacing w:after="0" w:line="240" w:lineRule="auto"/>
        <w:jc w:val="center"/>
        <w:rPr>
          <w:rFonts w:ascii="Verdana" w:hAnsi="Verdana"/>
          <w:b/>
          <w:spacing w:val="-4"/>
          <w:sz w:val="20"/>
          <w:szCs w:val="20"/>
          <w:lang w:val="es-MX"/>
        </w:rPr>
      </w:pPr>
    </w:p>
    <w:p w:rsidR="006C5042" w:rsidRDefault="006C5042" w:rsidP="006D3DBC">
      <w:pPr>
        <w:tabs>
          <w:tab w:val="left" w:pos="567"/>
        </w:tabs>
        <w:spacing w:after="0" w:line="240" w:lineRule="auto"/>
        <w:jc w:val="center"/>
        <w:rPr>
          <w:rFonts w:ascii="Verdana" w:hAnsi="Verdana"/>
          <w:b/>
          <w:spacing w:val="-4"/>
          <w:sz w:val="20"/>
          <w:szCs w:val="20"/>
          <w:lang w:val="es-MX"/>
        </w:rPr>
      </w:pPr>
    </w:p>
    <w:p w:rsidR="007F1407" w:rsidRDefault="007F1407" w:rsidP="006D3DBC">
      <w:pPr>
        <w:tabs>
          <w:tab w:val="left" w:pos="567"/>
        </w:tabs>
        <w:spacing w:after="0" w:line="240" w:lineRule="auto"/>
        <w:jc w:val="center"/>
        <w:rPr>
          <w:rFonts w:ascii="Verdana" w:hAnsi="Verdana"/>
          <w:b/>
          <w:spacing w:val="-4"/>
          <w:sz w:val="20"/>
          <w:szCs w:val="20"/>
          <w:lang w:val="es-MX"/>
        </w:rPr>
      </w:pPr>
    </w:p>
    <w:p w:rsidR="007F1407" w:rsidRPr="00971417" w:rsidRDefault="007F1407" w:rsidP="006D3DBC">
      <w:pPr>
        <w:tabs>
          <w:tab w:val="left" w:pos="567"/>
        </w:tabs>
        <w:spacing w:after="0" w:line="240" w:lineRule="auto"/>
        <w:jc w:val="center"/>
        <w:rPr>
          <w:rFonts w:ascii="Verdana" w:hAnsi="Verdana"/>
          <w:b/>
          <w:spacing w:val="-4"/>
          <w:sz w:val="20"/>
          <w:szCs w:val="20"/>
          <w:lang w:val="es-MX"/>
        </w:rPr>
      </w:pPr>
    </w:p>
    <w:p w:rsidR="005110D6" w:rsidRPr="00971417" w:rsidRDefault="005110D6" w:rsidP="006D3DBC">
      <w:pPr>
        <w:tabs>
          <w:tab w:val="left" w:pos="567"/>
        </w:tabs>
        <w:spacing w:after="0" w:line="240" w:lineRule="auto"/>
        <w:jc w:val="center"/>
        <w:rPr>
          <w:rFonts w:ascii="Verdana" w:hAnsi="Verdana"/>
          <w:b/>
          <w:spacing w:val="-4"/>
          <w:sz w:val="20"/>
          <w:szCs w:val="20"/>
          <w:lang w:val="es-MX"/>
        </w:rPr>
      </w:pPr>
      <w:r w:rsidRPr="00971417">
        <w:rPr>
          <w:rFonts w:ascii="Verdana" w:hAnsi="Verdana"/>
          <w:b/>
          <w:spacing w:val="-4"/>
          <w:sz w:val="20"/>
          <w:szCs w:val="20"/>
          <w:lang w:val="es-MX"/>
        </w:rPr>
        <w:t>RESOLUCIÓN DE LA</w:t>
      </w:r>
    </w:p>
    <w:p w:rsidR="005110D6" w:rsidRPr="00971417" w:rsidRDefault="005110D6" w:rsidP="006D3DBC">
      <w:pPr>
        <w:tabs>
          <w:tab w:val="left" w:pos="567"/>
        </w:tabs>
        <w:spacing w:after="0" w:line="240" w:lineRule="auto"/>
        <w:jc w:val="center"/>
        <w:rPr>
          <w:rFonts w:ascii="Verdana" w:hAnsi="Verdana"/>
          <w:b/>
          <w:spacing w:val="-4"/>
          <w:sz w:val="20"/>
          <w:szCs w:val="20"/>
          <w:lang w:val="es-ES"/>
        </w:rPr>
      </w:pPr>
      <w:r w:rsidRPr="00971417">
        <w:rPr>
          <w:rFonts w:ascii="Verdana" w:hAnsi="Verdana"/>
          <w:b/>
          <w:spacing w:val="-4"/>
          <w:sz w:val="20"/>
          <w:szCs w:val="20"/>
          <w:lang w:val="es-MX"/>
        </w:rPr>
        <w:t>CORTE INTERAMERICANA DE DERECHOS HUMANOS</w:t>
      </w:r>
      <w:r w:rsidRPr="00971417">
        <w:rPr>
          <w:rStyle w:val="FootnoteReference"/>
          <w:rFonts w:ascii="Verdana" w:hAnsi="Verdana"/>
          <w:b/>
          <w:caps/>
          <w:sz w:val="20"/>
          <w:szCs w:val="20"/>
          <w:lang w:val="es-ES"/>
        </w:rPr>
        <w:footnoteReference w:customMarkFollows="1" w:id="1"/>
        <w:t>*</w:t>
      </w:r>
    </w:p>
    <w:p w:rsidR="00A5094A" w:rsidRPr="00971417" w:rsidRDefault="00A5094A" w:rsidP="006D3DBC">
      <w:pPr>
        <w:tabs>
          <w:tab w:val="left" w:pos="567"/>
        </w:tabs>
        <w:spacing w:after="0" w:line="240" w:lineRule="auto"/>
        <w:jc w:val="center"/>
        <w:rPr>
          <w:rFonts w:ascii="Verdana" w:hAnsi="Verdana"/>
          <w:b/>
          <w:spacing w:val="-4"/>
          <w:sz w:val="20"/>
          <w:szCs w:val="20"/>
          <w:lang w:val="es-ES_tradnl"/>
        </w:rPr>
      </w:pPr>
    </w:p>
    <w:p w:rsidR="005110D6" w:rsidRPr="00971417" w:rsidRDefault="005110D6" w:rsidP="006D3DBC">
      <w:pPr>
        <w:tabs>
          <w:tab w:val="left" w:pos="567"/>
        </w:tabs>
        <w:spacing w:after="0" w:line="240" w:lineRule="auto"/>
        <w:jc w:val="center"/>
        <w:rPr>
          <w:rFonts w:ascii="Verdana" w:hAnsi="Verdana"/>
          <w:b/>
          <w:spacing w:val="-4"/>
          <w:sz w:val="20"/>
          <w:szCs w:val="20"/>
          <w:lang w:val="es-MX"/>
        </w:rPr>
      </w:pPr>
      <w:r w:rsidRPr="00971417">
        <w:rPr>
          <w:rFonts w:ascii="Verdana" w:hAnsi="Verdana"/>
          <w:b/>
          <w:spacing w:val="-4"/>
          <w:sz w:val="20"/>
          <w:szCs w:val="20"/>
          <w:lang w:val="es-MX"/>
        </w:rPr>
        <w:t xml:space="preserve">DE </w:t>
      </w:r>
      <w:r w:rsidR="002F7A08">
        <w:rPr>
          <w:rFonts w:ascii="Verdana" w:hAnsi="Verdana"/>
          <w:b/>
          <w:spacing w:val="-4"/>
          <w:sz w:val="20"/>
          <w:szCs w:val="20"/>
          <w:lang w:val="es-MX"/>
        </w:rPr>
        <w:t>6</w:t>
      </w:r>
      <w:r w:rsidRPr="00971417">
        <w:rPr>
          <w:rFonts w:ascii="Verdana" w:hAnsi="Verdana"/>
          <w:b/>
          <w:spacing w:val="-4"/>
          <w:sz w:val="20"/>
          <w:szCs w:val="20"/>
          <w:lang w:val="es-GT"/>
        </w:rPr>
        <w:t xml:space="preserve"> DE </w:t>
      </w:r>
      <w:r w:rsidR="002516C3" w:rsidRPr="00971417">
        <w:rPr>
          <w:rFonts w:ascii="Verdana" w:hAnsi="Verdana"/>
          <w:b/>
          <w:spacing w:val="-4"/>
          <w:sz w:val="20"/>
          <w:szCs w:val="20"/>
          <w:lang w:val="es-GT"/>
        </w:rPr>
        <w:t xml:space="preserve">FEBRERO </w:t>
      </w:r>
      <w:r w:rsidRPr="00971417">
        <w:rPr>
          <w:rFonts w:ascii="Verdana" w:hAnsi="Verdana"/>
          <w:b/>
          <w:spacing w:val="-4"/>
          <w:sz w:val="20"/>
          <w:szCs w:val="20"/>
          <w:lang w:val="es-MX"/>
        </w:rPr>
        <w:t xml:space="preserve">DE </w:t>
      </w:r>
      <w:r w:rsidR="00B10E58">
        <w:rPr>
          <w:rFonts w:ascii="Verdana" w:hAnsi="Verdana"/>
          <w:b/>
          <w:spacing w:val="-4"/>
          <w:sz w:val="20"/>
          <w:szCs w:val="20"/>
          <w:lang w:val="es-MX"/>
        </w:rPr>
        <w:t>2019</w:t>
      </w:r>
    </w:p>
    <w:p w:rsidR="005110D6" w:rsidRDefault="005110D6" w:rsidP="006D3DBC">
      <w:pPr>
        <w:tabs>
          <w:tab w:val="left" w:pos="567"/>
        </w:tabs>
        <w:spacing w:after="0" w:line="240" w:lineRule="auto"/>
        <w:jc w:val="center"/>
        <w:rPr>
          <w:rFonts w:ascii="Verdana" w:hAnsi="Verdana"/>
          <w:b/>
          <w:spacing w:val="-4"/>
          <w:sz w:val="20"/>
          <w:szCs w:val="20"/>
          <w:lang w:val="es-MX"/>
        </w:rPr>
      </w:pPr>
    </w:p>
    <w:p w:rsidR="00A5094A" w:rsidRPr="00971417" w:rsidRDefault="00A5094A" w:rsidP="006D3DBC">
      <w:pPr>
        <w:tabs>
          <w:tab w:val="left" w:pos="567"/>
        </w:tabs>
        <w:spacing w:after="0" w:line="240" w:lineRule="auto"/>
        <w:jc w:val="center"/>
        <w:rPr>
          <w:rFonts w:ascii="Verdana" w:hAnsi="Verdana"/>
          <w:b/>
          <w:spacing w:val="-4"/>
          <w:sz w:val="20"/>
          <w:szCs w:val="20"/>
          <w:lang w:val="es-MX"/>
        </w:rPr>
      </w:pPr>
    </w:p>
    <w:p w:rsidR="005110D6" w:rsidRPr="00971417" w:rsidRDefault="005110D6" w:rsidP="006D3DBC">
      <w:pPr>
        <w:tabs>
          <w:tab w:val="left" w:pos="567"/>
        </w:tabs>
        <w:spacing w:after="0" w:line="240" w:lineRule="auto"/>
        <w:jc w:val="center"/>
        <w:rPr>
          <w:rFonts w:ascii="Verdana" w:hAnsi="Verdana"/>
          <w:b/>
          <w:spacing w:val="-4"/>
          <w:sz w:val="20"/>
          <w:szCs w:val="20"/>
          <w:lang w:val="es-MX"/>
        </w:rPr>
      </w:pPr>
      <w:r w:rsidRPr="00971417">
        <w:rPr>
          <w:rFonts w:ascii="Verdana" w:hAnsi="Verdana"/>
          <w:b/>
          <w:spacing w:val="-4"/>
          <w:sz w:val="20"/>
          <w:szCs w:val="20"/>
          <w:lang w:val="es-MX"/>
        </w:rPr>
        <w:t>SOLICITUD DE MEDIDAS PROVISIONALES</w:t>
      </w:r>
      <w:r w:rsidR="00A5094A">
        <w:rPr>
          <w:rFonts w:ascii="Verdana" w:hAnsi="Verdana"/>
          <w:b/>
          <w:spacing w:val="-4"/>
          <w:sz w:val="20"/>
          <w:szCs w:val="20"/>
          <w:lang w:val="es-MX"/>
        </w:rPr>
        <w:t xml:space="preserve"> </w:t>
      </w:r>
    </w:p>
    <w:p w:rsidR="005110D6" w:rsidRDefault="005110D6" w:rsidP="006D3DBC">
      <w:pPr>
        <w:tabs>
          <w:tab w:val="left" w:pos="567"/>
        </w:tabs>
        <w:spacing w:after="0" w:line="240" w:lineRule="auto"/>
        <w:jc w:val="center"/>
        <w:rPr>
          <w:rFonts w:ascii="Verdana" w:hAnsi="Verdana"/>
          <w:b/>
          <w:spacing w:val="-4"/>
          <w:sz w:val="20"/>
          <w:szCs w:val="20"/>
          <w:lang w:val="es-MX"/>
        </w:rPr>
      </w:pPr>
    </w:p>
    <w:p w:rsidR="00A5094A" w:rsidRPr="00971417" w:rsidRDefault="00A5094A" w:rsidP="006D3DBC">
      <w:pPr>
        <w:tabs>
          <w:tab w:val="left" w:pos="567"/>
        </w:tabs>
        <w:spacing w:after="0" w:line="240" w:lineRule="auto"/>
        <w:jc w:val="center"/>
        <w:rPr>
          <w:rFonts w:ascii="Verdana" w:hAnsi="Verdana"/>
          <w:b/>
          <w:spacing w:val="-4"/>
          <w:sz w:val="20"/>
          <w:szCs w:val="20"/>
          <w:lang w:val="es-MX"/>
        </w:rPr>
      </w:pPr>
    </w:p>
    <w:p w:rsidR="005110D6" w:rsidRPr="00513036" w:rsidRDefault="00B10E58" w:rsidP="002516C3">
      <w:pPr>
        <w:tabs>
          <w:tab w:val="left" w:pos="567"/>
        </w:tabs>
        <w:spacing w:after="0" w:line="240" w:lineRule="auto"/>
        <w:jc w:val="center"/>
        <w:rPr>
          <w:rFonts w:ascii="Verdana" w:hAnsi="Verdana"/>
          <w:b/>
          <w:spacing w:val="-4"/>
          <w:sz w:val="20"/>
          <w:szCs w:val="20"/>
          <w:lang w:val="pt-BR"/>
        </w:rPr>
      </w:pPr>
      <w:r>
        <w:rPr>
          <w:rFonts w:ascii="Verdana" w:hAnsi="Verdana"/>
          <w:b/>
          <w:spacing w:val="-4"/>
          <w:sz w:val="20"/>
          <w:szCs w:val="20"/>
          <w:lang w:val="es-MX"/>
        </w:rPr>
        <w:t>CASO PETRO URREGO VS. COLOMBIA</w:t>
      </w:r>
    </w:p>
    <w:p w:rsidR="006D3DBC" w:rsidRPr="00513036" w:rsidRDefault="006D3DBC" w:rsidP="006D3DBC">
      <w:pPr>
        <w:tabs>
          <w:tab w:val="left" w:pos="567"/>
        </w:tabs>
        <w:spacing w:after="0" w:line="240" w:lineRule="auto"/>
        <w:jc w:val="both"/>
        <w:rPr>
          <w:rFonts w:ascii="Verdana" w:hAnsi="Verdana"/>
          <w:sz w:val="20"/>
          <w:szCs w:val="20"/>
          <w:lang w:val="pt-BR"/>
        </w:rPr>
      </w:pPr>
    </w:p>
    <w:p w:rsidR="005110D6" w:rsidRPr="00513036" w:rsidRDefault="005110D6" w:rsidP="002516C3">
      <w:pPr>
        <w:tabs>
          <w:tab w:val="left" w:pos="567"/>
        </w:tabs>
        <w:spacing w:before="360" w:after="360" w:line="240" w:lineRule="auto"/>
        <w:jc w:val="both"/>
        <w:rPr>
          <w:rFonts w:ascii="Verdana" w:hAnsi="Verdana"/>
          <w:b/>
          <w:spacing w:val="-4"/>
          <w:sz w:val="20"/>
          <w:szCs w:val="20"/>
          <w:lang w:val="pt-BR"/>
        </w:rPr>
      </w:pPr>
      <w:r w:rsidRPr="00513036">
        <w:rPr>
          <w:rFonts w:ascii="Verdana" w:hAnsi="Verdana"/>
          <w:b/>
          <w:spacing w:val="-4"/>
          <w:sz w:val="20"/>
          <w:szCs w:val="20"/>
          <w:lang w:val="pt-BR"/>
        </w:rPr>
        <w:t>VISTO:</w:t>
      </w:r>
    </w:p>
    <w:p w:rsidR="006F6637" w:rsidRPr="00690D43" w:rsidRDefault="006F6637" w:rsidP="006F6637">
      <w:pPr>
        <w:pStyle w:val="ListParagraph"/>
        <w:numPr>
          <w:ilvl w:val="0"/>
          <w:numId w:val="9"/>
        </w:numPr>
        <w:ind w:left="0" w:firstLine="0"/>
        <w:contextualSpacing w:val="0"/>
        <w:jc w:val="both"/>
        <w:rPr>
          <w:rFonts w:ascii="Verdana" w:hAnsi="Verdana"/>
          <w:i/>
          <w:sz w:val="20"/>
          <w:lang w:val="es-CR"/>
        </w:rPr>
      </w:pPr>
      <w:r w:rsidRPr="00690D43">
        <w:rPr>
          <w:rFonts w:ascii="Verdana" w:hAnsi="Verdana"/>
          <w:sz w:val="20"/>
          <w:lang w:val="es-CR"/>
        </w:rPr>
        <w:t>El escrito de sometimiento d</w:t>
      </w:r>
      <w:r>
        <w:rPr>
          <w:rFonts w:ascii="Verdana" w:hAnsi="Verdana"/>
          <w:sz w:val="20"/>
          <w:lang w:val="es-CR"/>
        </w:rPr>
        <w:t>el caso d</w:t>
      </w:r>
      <w:r w:rsidRPr="00690D43">
        <w:rPr>
          <w:rFonts w:ascii="Verdana" w:hAnsi="Verdana"/>
          <w:sz w:val="20"/>
          <w:lang w:val="es-CR"/>
        </w:rPr>
        <w:t xml:space="preserve">e </w:t>
      </w:r>
      <w:r>
        <w:rPr>
          <w:rFonts w:ascii="Verdana" w:hAnsi="Verdana"/>
          <w:sz w:val="20"/>
          <w:lang w:val="es-CR"/>
        </w:rPr>
        <w:t xml:space="preserve">7 de agosto </w:t>
      </w:r>
      <w:r w:rsidRPr="00690D43">
        <w:rPr>
          <w:rFonts w:ascii="Verdana" w:hAnsi="Verdana"/>
          <w:sz w:val="20"/>
          <w:lang w:val="es-CR"/>
        </w:rPr>
        <w:t xml:space="preserve">de 2018, mediante el cual la Comisión Interamericana de Derechos Humanos (en adelante “la Comisión Interamericana” o “la Comisión”) presentó a la Corte Interamericana de Derechos Humanos (en adelante “la Corte” o “el Tribunal”) el </w:t>
      </w:r>
      <w:r w:rsidRPr="00690D43">
        <w:rPr>
          <w:rFonts w:ascii="Verdana" w:hAnsi="Verdana"/>
          <w:i/>
          <w:sz w:val="20"/>
          <w:lang w:val="es-CR"/>
        </w:rPr>
        <w:t xml:space="preserve">Caso </w:t>
      </w:r>
      <w:r>
        <w:rPr>
          <w:rFonts w:ascii="Verdana" w:hAnsi="Verdana"/>
          <w:bCs/>
          <w:i/>
          <w:sz w:val="20"/>
          <w:lang w:val="es-CR"/>
        </w:rPr>
        <w:t>Petro Urrego</w:t>
      </w:r>
      <w:r w:rsidRPr="00690D43">
        <w:rPr>
          <w:rFonts w:ascii="Verdana" w:hAnsi="Verdana"/>
          <w:bCs/>
          <w:i/>
          <w:sz w:val="20"/>
          <w:lang w:val="es-CR"/>
        </w:rPr>
        <w:t xml:space="preserve"> Vs. </w:t>
      </w:r>
      <w:r>
        <w:rPr>
          <w:rFonts w:ascii="Verdana" w:hAnsi="Verdana"/>
          <w:bCs/>
          <w:i/>
          <w:sz w:val="20"/>
          <w:lang w:val="es-CR"/>
        </w:rPr>
        <w:t>Colombia</w:t>
      </w:r>
      <w:r w:rsidRPr="00690D43">
        <w:rPr>
          <w:rFonts w:ascii="Verdana" w:hAnsi="Verdana"/>
          <w:bCs/>
          <w:i/>
          <w:sz w:val="20"/>
          <w:lang w:val="es-CR"/>
        </w:rPr>
        <w:t>.</w:t>
      </w:r>
    </w:p>
    <w:p w:rsidR="006F6637" w:rsidRPr="00690D43" w:rsidRDefault="006F6637" w:rsidP="006F6637">
      <w:pPr>
        <w:pStyle w:val="ListParagraph"/>
        <w:ind w:left="0"/>
        <w:contextualSpacing w:val="0"/>
        <w:jc w:val="both"/>
        <w:rPr>
          <w:rFonts w:ascii="Verdana" w:hAnsi="Verdana"/>
          <w:i/>
          <w:sz w:val="20"/>
          <w:lang w:val="es-CR"/>
        </w:rPr>
      </w:pPr>
    </w:p>
    <w:p w:rsidR="006F6637" w:rsidRDefault="006F6637" w:rsidP="006F6637">
      <w:pPr>
        <w:pStyle w:val="ListParagraph"/>
        <w:numPr>
          <w:ilvl w:val="0"/>
          <w:numId w:val="9"/>
        </w:numPr>
        <w:ind w:left="0" w:firstLine="0"/>
        <w:contextualSpacing w:val="0"/>
        <w:jc w:val="both"/>
        <w:rPr>
          <w:rFonts w:ascii="Verdana" w:hAnsi="Verdana"/>
          <w:bCs/>
          <w:sz w:val="20"/>
          <w:lang w:val="es-CR"/>
        </w:rPr>
      </w:pPr>
      <w:r w:rsidRPr="001411F9">
        <w:rPr>
          <w:rFonts w:ascii="Verdana" w:hAnsi="Verdana"/>
          <w:sz w:val="20"/>
        </w:rPr>
        <w:t xml:space="preserve">El </w:t>
      </w:r>
      <w:r>
        <w:rPr>
          <w:rFonts w:ascii="Verdana" w:hAnsi="Verdana"/>
          <w:sz w:val="20"/>
        </w:rPr>
        <w:t xml:space="preserve">escrito de </w:t>
      </w:r>
      <w:r w:rsidRPr="001411F9">
        <w:rPr>
          <w:rFonts w:ascii="Verdana" w:hAnsi="Verdana"/>
          <w:sz w:val="20"/>
        </w:rPr>
        <w:t xml:space="preserve">2 </w:t>
      </w:r>
      <w:r>
        <w:rPr>
          <w:rFonts w:ascii="Verdana" w:hAnsi="Verdana"/>
          <w:sz w:val="20"/>
        </w:rPr>
        <w:t xml:space="preserve">de noviembre de 2018, mediante el cual </w:t>
      </w:r>
      <w:r w:rsidRPr="001411F9">
        <w:rPr>
          <w:rFonts w:ascii="Verdana" w:hAnsi="Verdana"/>
          <w:sz w:val="20"/>
        </w:rPr>
        <w:t>los representantes de la presunta víctima</w:t>
      </w:r>
      <w:r>
        <w:rPr>
          <w:rFonts w:ascii="Verdana" w:hAnsi="Verdana"/>
          <w:sz w:val="20"/>
        </w:rPr>
        <w:t xml:space="preserve"> (en adelante “los representantes”)</w:t>
      </w:r>
      <w:r w:rsidRPr="001411F9">
        <w:rPr>
          <w:rFonts w:ascii="Verdana" w:hAnsi="Verdana"/>
          <w:sz w:val="20"/>
        </w:rPr>
        <w:t xml:space="preserve"> presentaron su escrito de solicitudes, argumentos y pruebas.</w:t>
      </w:r>
    </w:p>
    <w:p w:rsidR="006F6637" w:rsidRPr="006F6637" w:rsidRDefault="006F6637" w:rsidP="006F6637">
      <w:pPr>
        <w:pStyle w:val="ListParagraph"/>
        <w:rPr>
          <w:rFonts w:ascii="Verdana" w:hAnsi="Verdana"/>
          <w:bCs/>
          <w:sz w:val="20"/>
          <w:lang w:val="es-CR"/>
        </w:rPr>
      </w:pPr>
    </w:p>
    <w:p w:rsidR="006F6637" w:rsidRPr="00690D43" w:rsidRDefault="006F6637" w:rsidP="006F6637">
      <w:pPr>
        <w:pStyle w:val="ListParagraph"/>
        <w:numPr>
          <w:ilvl w:val="0"/>
          <w:numId w:val="9"/>
        </w:numPr>
        <w:ind w:left="0" w:firstLine="0"/>
        <w:contextualSpacing w:val="0"/>
        <w:jc w:val="both"/>
        <w:rPr>
          <w:rFonts w:ascii="Verdana" w:hAnsi="Verdana"/>
          <w:bCs/>
          <w:sz w:val="20"/>
          <w:lang w:val="es-CR"/>
        </w:rPr>
      </w:pPr>
      <w:r w:rsidRPr="00690D43">
        <w:rPr>
          <w:rFonts w:ascii="Verdana" w:hAnsi="Verdana"/>
          <w:bCs/>
          <w:sz w:val="20"/>
          <w:lang w:val="es-CR"/>
        </w:rPr>
        <w:t xml:space="preserve">El escrito de </w:t>
      </w:r>
      <w:r>
        <w:rPr>
          <w:rFonts w:ascii="Verdana" w:hAnsi="Verdana"/>
          <w:bCs/>
          <w:sz w:val="20"/>
          <w:lang w:val="es-CR"/>
        </w:rPr>
        <w:t xml:space="preserve">12 de diciembre </w:t>
      </w:r>
      <w:r w:rsidRPr="00690D43">
        <w:rPr>
          <w:rFonts w:ascii="Verdana" w:hAnsi="Verdana"/>
          <w:bCs/>
          <w:sz w:val="20"/>
          <w:lang w:val="es-CR"/>
        </w:rPr>
        <w:t xml:space="preserve">de 2018, mediante el cual </w:t>
      </w:r>
      <w:r>
        <w:rPr>
          <w:rFonts w:ascii="Verdana" w:hAnsi="Verdana"/>
          <w:bCs/>
          <w:sz w:val="20"/>
          <w:lang w:val="es-CR"/>
        </w:rPr>
        <w:t xml:space="preserve">los </w:t>
      </w:r>
      <w:r w:rsidRPr="00690D43">
        <w:rPr>
          <w:rFonts w:ascii="Verdana" w:hAnsi="Verdana"/>
          <w:bCs/>
          <w:sz w:val="20"/>
          <w:lang w:val="es-CR"/>
        </w:rPr>
        <w:t>representante</w:t>
      </w:r>
      <w:r>
        <w:rPr>
          <w:rFonts w:ascii="Verdana" w:hAnsi="Verdana"/>
          <w:bCs/>
          <w:sz w:val="20"/>
          <w:lang w:val="es-CR"/>
        </w:rPr>
        <w:t>s sometieron</w:t>
      </w:r>
      <w:r w:rsidRPr="00690D43">
        <w:rPr>
          <w:rFonts w:ascii="Verdana" w:hAnsi="Verdana"/>
          <w:bCs/>
          <w:sz w:val="20"/>
          <w:lang w:val="es-CR"/>
        </w:rPr>
        <w:t xml:space="preserve"> a la Corte una solicitud de medidas provisionales, </w:t>
      </w:r>
      <w:r>
        <w:rPr>
          <w:rFonts w:ascii="Verdana" w:hAnsi="Verdana"/>
          <w:bCs/>
          <w:sz w:val="20"/>
          <w:lang w:val="es-CR"/>
        </w:rPr>
        <w:t>en los términos de</w:t>
      </w:r>
      <w:r w:rsidRPr="00690D43">
        <w:rPr>
          <w:rFonts w:ascii="Verdana" w:hAnsi="Verdana"/>
          <w:bCs/>
          <w:sz w:val="20"/>
          <w:lang w:val="es-CR"/>
        </w:rPr>
        <w:t xml:space="preserve"> los artículos 63.2 de la Convención Americana sobre Derechos Humanos (en adelante “la Convención Americana” o “la Convención”) y 27 del Reglamento de la Corte (en adelante “el Reglamento”), con el propósi</w:t>
      </w:r>
      <w:r>
        <w:rPr>
          <w:rFonts w:ascii="Verdana" w:hAnsi="Verdana"/>
          <w:bCs/>
          <w:sz w:val="20"/>
          <w:lang w:val="es-CR"/>
        </w:rPr>
        <w:t>to de que este Tribunal ordene al Estado</w:t>
      </w:r>
      <w:r w:rsidR="0077534F">
        <w:rPr>
          <w:rFonts w:ascii="Verdana" w:hAnsi="Verdana"/>
          <w:bCs/>
          <w:sz w:val="20"/>
          <w:lang w:val="es-CR"/>
        </w:rPr>
        <w:t xml:space="preserve"> de Colombia (en adelante “el Estado” o “Colombia”)</w:t>
      </w:r>
      <w:r>
        <w:rPr>
          <w:rFonts w:ascii="Verdana" w:hAnsi="Verdana"/>
          <w:bCs/>
          <w:sz w:val="20"/>
          <w:lang w:val="es-CR"/>
        </w:rPr>
        <w:t xml:space="preserve"> </w:t>
      </w:r>
      <w:r w:rsidRPr="001411F9">
        <w:rPr>
          <w:rFonts w:ascii="Verdana" w:hAnsi="Verdana"/>
          <w:sz w:val="20"/>
        </w:rPr>
        <w:t xml:space="preserve">la protección de los derechos políticos del señor Gustavo </w:t>
      </w:r>
      <w:r>
        <w:rPr>
          <w:rFonts w:ascii="Verdana" w:hAnsi="Verdana"/>
          <w:sz w:val="20"/>
        </w:rPr>
        <w:t xml:space="preserve">Francisco </w:t>
      </w:r>
      <w:r w:rsidRPr="001411F9">
        <w:rPr>
          <w:rFonts w:ascii="Verdana" w:hAnsi="Verdana"/>
          <w:sz w:val="20"/>
        </w:rPr>
        <w:t>Petro Urrego</w:t>
      </w:r>
      <w:r>
        <w:rPr>
          <w:rFonts w:ascii="Verdana" w:hAnsi="Verdana"/>
          <w:sz w:val="20"/>
        </w:rPr>
        <w:t xml:space="preserve"> (en adelante “el señor Petro Urrego”, “la presunta víctima” o “el propuesto beneficiario”)</w:t>
      </w:r>
      <w:r w:rsidRPr="00690D43">
        <w:rPr>
          <w:rFonts w:ascii="Verdana" w:hAnsi="Verdana"/>
          <w:bCs/>
          <w:sz w:val="20"/>
          <w:lang w:val="es-CR"/>
        </w:rPr>
        <w:t>.</w:t>
      </w:r>
    </w:p>
    <w:p w:rsidR="006F6637" w:rsidRPr="00690D43" w:rsidRDefault="006F6637" w:rsidP="006F6637">
      <w:pPr>
        <w:pStyle w:val="ListParagraph"/>
        <w:contextualSpacing w:val="0"/>
        <w:rPr>
          <w:rFonts w:ascii="Verdana" w:hAnsi="Verdana"/>
          <w:bCs/>
          <w:sz w:val="20"/>
          <w:lang w:val="es-CR"/>
        </w:rPr>
      </w:pPr>
    </w:p>
    <w:p w:rsidR="006F6637" w:rsidRDefault="0077534F" w:rsidP="006F6637">
      <w:pPr>
        <w:pStyle w:val="ListParagraph"/>
        <w:numPr>
          <w:ilvl w:val="0"/>
          <w:numId w:val="9"/>
        </w:numPr>
        <w:ind w:left="0" w:right="18" w:firstLine="0"/>
        <w:contextualSpacing w:val="0"/>
        <w:jc w:val="both"/>
        <w:rPr>
          <w:rFonts w:ascii="Verdana" w:hAnsi="Verdana"/>
          <w:sz w:val="20"/>
          <w:lang w:val="es-CR"/>
        </w:rPr>
      </w:pPr>
      <w:r>
        <w:rPr>
          <w:rFonts w:ascii="Verdana" w:hAnsi="Verdana"/>
          <w:sz w:val="20"/>
          <w:lang w:val="es-CR"/>
        </w:rPr>
        <w:t xml:space="preserve">La nota de Secretaría de </w:t>
      </w:r>
      <w:r w:rsidR="00A83534">
        <w:rPr>
          <w:rFonts w:ascii="Verdana" w:hAnsi="Verdana"/>
          <w:sz w:val="20"/>
          <w:lang w:val="es-CR"/>
        </w:rPr>
        <w:t>1</w:t>
      </w:r>
      <w:r>
        <w:rPr>
          <w:rFonts w:ascii="Verdana" w:hAnsi="Verdana"/>
          <w:sz w:val="20"/>
          <w:lang w:val="es-CR"/>
        </w:rPr>
        <w:t xml:space="preserve">8 de diciembre de 2018, mediante la cual, siguiendo instrucciones del </w:t>
      </w:r>
      <w:r>
        <w:rPr>
          <w:rFonts w:ascii="Verdana" w:hAnsi="Verdana"/>
          <w:sz w:val="20"/>
        </w:rPr>
        <w:t xml:space="preserve">Presidente de la Corte y </w:t>
      </w:r>
      <w:r w:rsidRPr="001411F9">
        <w:rPr>
          <w:rFonts w:ascii="Verdana" w:hAnsi="Verdana"/>
          <w:sz w:val="20"/>
        </w:rPr>
        <w:t>de conformidad con el artículo 27.5 del Reglamento</w:t>
      </w:r>
      <w:r w:rsidRPr="00546452">
        <w:rPr>
          <w:rFonts w:ascii="Verdana" w:hAnsi="Verdana"/>
          <w:sz w:val="20"/>
        </w:rPr>
        <w:t xml:space="preserve">, se </w:t>
      </w:r>
      <w:r>
        <w:rPr>
          <w:rFonts w:ascii="Verdana" w:hAnsi="Verdana"/>
          <w:sz w:val="20"/>
        </w:rPr>
        <w:t xml:space="preserve">otorgó </w:t>
      </w:r>
      <w:r w:rsidRPr="00546452">
        <w:rPr>
          <w:rFonts w:ascii="Verdana" w:hAnsi="Verdana"/>
          <w:sz w:val="20"/>
        </w:rPr>
        <w:t xml:space="preserve">un </w:t>
      </w:r>
      <w:r w:rsidRPr="00546452">
        <w:rPr>
          <w:rFonts w:ascii="Verdana" w:hAnsi="Verdana"/>
          <w:bCs/>
          <w:sz w:val="20"/>
        </w:rPr>
        <w:t xml:space="preserve">plazo hasta el 18 de enero de 2019 para que el Estado y la Comisión </w:t>
      </w:r>
      <w:r>
        <w:rPr>
          <w:rFonts w:ascii="Verdana" w:hAnsi="Verdana"/>
          <w:bCs/>
          <w:sz w:val="20"/>
        </w:rPr>
        <w:t xml:space="preserve">presentaran </w:t>
      </w:r>
      <w:r w:rsidRPr="00546452">
        <w:rPr>
          <w:rFonts w:ascii="Verdana" w:hAnsi="Verdana"/>
          <w:bCs/>
          <w:sz w:val="20"/>
        </w:rPr>
        <w:t>sus observaciones</w:t>
      </w:r>
      <w:r w:rsidRPr="00546452">
        <w:rPr>
          <w:rFonts w:ascii="Verdana" w:hAnsi="Verdana"/>
          <w:sz w:val="20"/>
        </w:rPr>
        <w:t xml:space="preserve">, las cuales fueron efectivamente </w:t>
      </w:r>
      <w:r>
        <w:rPr>
          <w:rFonts w:ascii="Verdana" w:hAnsi="Verdana"/>
          <w:sz w:val="20"/>
        </w:rPr>
        <w:t>recibidas en ese plazo</w:t>
      </w:r>
      <w:r w:rsidRPr="00546452">
        <w:rPr>
          <w:rFonts w:ascii="Verdana" w:hAnsi="Verdana"/>
          <w:sz w:val="20"/>
        </w:rPr>
        <w:t>.</w:t>
      </w:r>
    </w:p>
    <w:p w:rsidR="006D3DBC" w:rsidRPr="006F6637" w:rsidRDefault="006D3DBC" w:rsidP="006F6637">
      <w:pPr>
        <w:pStyle w:val="ListParagraph"/>
        <w:spacing w:before="120" w:after="120"/>
        <w:ind w:left="0" w:right="17"/>
        <w:contextualSpacing w:val="0"/>
        <w:jc w:val="both"/>
        <w:rPr>
          <w:rFonts w:ascii="Verdana" w:hAnsi="Verdana"/>
          <w:b/>
          <w:spacing w:val="-4"/>
          <w:sz w:val="20"/>
          <w:lang w:val="es-CR"/>
        </w:rPr>
      </w:pPr>
    </w:p>
    <w:p w:rsidR="005110D6" w:rsidRPr="00971417" w:rsidRDefault="005110D6" w:rsidP="006D3DBC">
      <w:pPr>
        <w:tabs>
          <w:tab w:val="left" w:pos="567"/>
        </w:tabs>
        <w:spacing w:after="0" w:line="240" w:lineRule="auto"/>
        <w:jc w:val="both"/>
        <w:rPr>
          <w:rFonts w:ascii="Verdana" w:hAnsi="Verdana"/>
          <w:b/>
          <w:spacing w:val="-4"/>
          <w:sz w:val="20"/>
          <w:szCs w:val="20"/>
          <w:lang w:val="es-MX"/>
        </w:rPr>
      </w:pPr>
      <w:r w:rsidRPr="00971417">
        <w:rPr>
          <w:rFonts w:ascii="Verdana" w:hAnsi="Verdana"/>
          <w:b/>
          <w:spacing w:val="-4"/>
          <w:sz w:val="20"/>
          <w:szCs w:val="20"/>
          <w:lang w:val="es-MX"/>
        </w:rPr>
        <w:t xml:space="preserve">CONSIDERANDO QUE: </w:t>
      </w:r>
    </w:p>
    <w:p w:rsidR="005110D6" w:rsidRPr="00971417" w:rsidRDefault="0077534F" w:rsidP="0032550D">
      <w:pPr>
        <w:pStyle w:val="ListParagraph"/>
        <w:numPr>
          <w:ilvl w:val="0"/>
          <w:numId w:val="8"/>
        </w:numPr>
        <w:spacing w:before="120" w:after="120"/>
        <w:ind w:left="0" w:right="17" w:firstLine="0"/>
        <w:contextualSpacing w:val="0"/>
        <w:jc w:val="both"/>
        <w:rPr>
          <w:rFonts w:ascii="Verdana" w:hAnsi="Verdana"/>
          <w:sz w:val="20"/>
        </w:rPr>
      </w:pPr>
      <w:r>
        <w:rPr>
          <w:rFonts w:ascii="Verdana" w:hAnsi="Verdana"/>
          <w:sz w:val="20"/>
        </w:rPr>
        <w:t>Colombia</w:t>
      </w:r>
      <w:r w:rsidR="005110D6" w:rsidRPr="00971417">
        <w:rPr>
          <w:rFonts w:ascii="Verdana" w:hAnsi="Verdana"/>
          <w:sz w:val="20"/>
        </w:rPr>
        <w:t xml:space="preserve"> es Estado Parte de la Convención desde el </w:t>
      </w:r>
      <w:r w:rsidR="00D451D6">
        <w:rPr>
          <w:rFonts w:ascii="Verdana" w:hAnsi="Verdana"/>
          <w:sz w:val="20"/>
        </w:rPr>
        <w:t>31 de julio de 1973</w:t>
      </w:r>
      <w:r w:rsidR="00AC199A" w:rsidRPr="00971417">
        <w:rPr>
          <w:rFonts w:ascii="Verdana" w:hAnsi="Verdana"/>
          <w:sz w:val="20"/>
        </w:rPr>
        <w:t xml:space="preserve"> </w:t>
      </w:r>
      <w:r w:rsidR="005110D6" w:rsidRPr="00971417">
        <w:rPr>
          <w:rFonts w:ascii="Verdana" w:hAnsi="Verdana"/>
          <w:sz w:val="20"/>
        </w:rPr>
        <w:t xml:space="preserve">y reconoció la competencia </w:t>
      </w:r>
      <w:r w:rsidR="005110D6" w:rsidRPr="00971417">
        <w:rPr>
          <w:rFonts w:ascii="Verdana" w:hAnsi="Verdana"/>
          <w:spacing w:val="-4"/>
          <w:sz w:val="20"/>
          <w:lang w:val="es-MX"/>
        </w:rPr>
        <w:t>contenciosa</w:t>
      </w:r>
      <w:r w:rsidR="005110D6" w:rsidRPr="00971417">
        <w:rPr>
          <w:rFonts w:ascii="Verdana" w:hAnsi="Verdana"/>
          <w:sz w:val="20"/>
        </w:rPr>
        <w:t xml:space="preserve"> del Tribunal el </w:t>
      </w:r>
      <w:r w:rsidR="00D451D6">
        <w:rPr>
          <w:rFonts w:ascii="Verdana" w:hAnsi="Verdana"/>
          <w:sz w:val="20"/>
        </w:rPr>
        <w:t>21 de junio de 1985</w:t>
      </w:r>
      <w:r w:rsidR="005110D6" w:rsidRPr="00971417">
        <w:rPr>
          <w:rFonts w:ascii="Verdana" w:hAnsi="Verdana"/>
          <w:sz w:val="20"/>
        </w:rPr>
        <w:t>.</w:t>
      </w:r>
    </w:p>
    <w:p w:rsidR="00D451D6" w:rsidRDefault="005110D6" w:rsidP="00840B8B">
      <w:pPr>
        <w:pStyle w:val="ListParagraph"/>
        <w:numPr>
          <w:ilvl w:val="0"/>
          <w:numId w:val="8"/>
        </w:numPr>
        <w:spacing w:before="120" w:after="120"/>
        <w:ind w:left="0" w:right="17" w:firstLine="0"/>
        <w:contextualSpacing w:val="0"/>
        <w:jc w:val="both"/>
        <w:rPr>
          <w:rFonts w:ascii="Verdana" w:hAnsi="Verdana"/>
          <w:sz w:val="20"/>
        </w:rPr>
      </w:pPr>
      <w:r w:rsidRPr="00971417">
        <w:rPr>
          <w:rFonts w:ascii="Verdana" w:hAnsi="Verdana"/>
          <w:sz w:val="20"/>
        </w:rPr>
        <w:t xml:space="preserve">El artículo 63.2 de la Convención establece que </w:t>
      </w:r>
      <w:r w:rsidRPr="00971417">
        <w:rPr>
          <w:rFonts w:ascii="Verdana" w:hAnsi="Verdana"/>
          <w:i/>
          <w:sz w:val="20"/>
        </w:rPr>
        <w:t>“</w:t>
      </w:r>
      <w:r w:rsidRPr="00971417">
        <w:rPr>
          <w:rFonts w:ascii="Verdana" w:hAnsi="Verdana"/>
          <w:sz w:val="20"/>
        </w:rPr>
        <w:t>[e]n casos de extrema gravedad y urgencia, y cuando se haga necesario evitar daños irreparables a las personas</w:t>
      </w:r>
      <w:r w:rsidR="00D451D6">
        <w:rPr>
          <w:rFonts w:ascii="Verdana" w:hAnsi="Verdana"/>
          <w:sz w:val="20"/>
        </w:rPr>
        <w:t xml:space="preserve">, </w:t>
      </w:r>
      <w:r w:rsidR="00D451D6" w:rsidRPr="00D451D6">
        <w:rPr>
          <w:rFonts w:ascii="Verdana" w:hAnsi="Verdana"/>
          <w:sz w:val="20"/>
        </w:rPr>
        <w:t xml:space="preserve">la Corte, en los </w:t>
      </w:r>
      <w:r w:rsidR="00D451D6" w:rsidRPr="00D451D6">
        <w:rPr>
          <w:rFonts w:ascii="Verdana" w:hAnsi="Verdana"/>
          <w:sz w:val="20"/>
        </w:rPr>
        <w:lastRenderedPageBreak/>
        <w:t>asuntos que esté conociendo, podrá tomar las medidas provisionales que considere pertinentes</w:t>
      </w:r>
      <w:r w:rsidRPr="00971417">
        <w:rPr>
          <w:rFonts w:ascii="Verdana" w:hAnsi="Verdana"/>
          <w:sz w:val="20"/>
        </w:rPr>
        <w:t xml:space="preserve">”. </w:t>
      </w:r>
    </w:p>
    <w:p w:rsidR="00840B8B" w:rsidRPr="00971417" w:rsidRDefault="00D451D6" w:rsidP="00840B8B">
      <w:pPr>
        <w:pStyle w:val="ListParagraph"/>
        <w:numPr>
          <w:ilvl w:val="0"/>
          <w:numId w:val="8"/>
        </w:numPr>
        <w:spacing w:before="120" w:after="120"/>
        <w:ind w:left="0" w:right="17" w:firstLine="0"/>
        <w:contextualSpacing w:val="0"/>
        <w:jc w:val="both"/>
        <w:rPr>
          <w:rFonts w:ascii="Verdana" w:hAnsi="Verdana"/>
          <w:sz w:val="20"/>
        </w:rPr>
      </w:pPr>
      <w:r w:rsidRPr="00690D43">
        <w:rPr>
          <w:rFonts w:ascii="Verdana" w:hAnsi="Verdana"/>
          <w:sz w:val="20"/>
          <w:lang w:val="es-CR"/>
        </w:rPr>
        <w:t xml:space="preserve">La presente solicitud de medidas provisionales ha sido presentada directamente por </w:t>
      </w:r>
      <w:r>
        <w:rPr>
          <w:rFonts w:ascii="Verdana" w:hAnsi="Verdana"/>
          <w:sz w:val="20"/>
          <w:lang w:val="es-CR"/>
        </w:rPr>
        <w:t>los</w:t>
      </w:r>
      <w:r w:rsidRPr="00690D43">
        <w:rPr>
          <w:rFonts w:ascii="Verdana" w:hAnsi="Verdana"/>
          <w:sz w:val="20"/>
          <w:lang w:val="es-CR"/>
        </w:rPr>
        <w:t xml:space="preserve"> representante</w:t>
      </w:r>
      <w:r>
        <w:rPr>
          <w:rFonts w:ascii="Verdana" w:hAnsi="Verdana"/>
          <w:sz w:val="20"/>
          <w:lang w:val="es-CR"/>
        </w:rPr>
        <w:t>s</w:t>
      </w:r>
      <w:r w:rsidRPr="00690D43">
        <w:rPr>
          <w:rFonts w:ascii="Verdana" w:hAnsi="Verdana"/>
          <w:sz w:val="20"/>
          <w:lang w:val="es-CR"/>
        </w:rPr>
        <w:t xml:space="preserve"> de la presunta víctima del </w:t>
      </w:r>
      <w:r w:rsidRPr="00C01B54">
        <w:rPr>
          <w:rFonts w:ascii="Verdana" w:hAnsi="Verdana"/>
          <w:i/>
          <w:sz w:val="20"/>
          <w:lang w:val="es-CR"/>
        </w:rPr>
        <w:t xml:space="preserve">Caso </w:t>
      </w:r>
      <w:r>
        <w:rPr>
          <w:rFonts w:ascii="Verdana" w:hAnsi="Verdana"/>
          <w:bCs/>
          <w:i/>
          <w:sz w:val="20"/>
          <w:lang w:val="es-CR"/>
        </w:rPr>
        <w:t>Petro Urrego</w:t>
      </w:r>
      <w:r w:rsidRPr="00690D43">
        <w:rPr>
          <w:rFonts w:ascii="Verdana" w:hAnsi="Verdana"/>
          <w:bCs/>
          <w:i/>
          <w:sz w:val="20"/>
          <w:lang w:val="es-CR"/>
        </w:rPr>
        <w:t xml:space="preserve"> Vs. </w:t>
      </w:r>
      <w:r>
        <w:rPr>
          <w:rFonts w:ascii="Verdana" w:hAnsi="Verdana"/>
          <w:bCs/>
          <w:i/>
          <w:sz w:val="20"/>
          <w:lang w:val="es-CR"/>
        </w:rPr>
        <w:t>Colombia</w:t>
      </w:r>
      <w:r w:rsidRPr="00690D43">
        <w:rPr>
          <w:rFonts w:ascii="Verdana" w:hAnsi="Verdana"/>
          <w:sz w:val="20"/>
          <w:lang w:val="es-CR"/>
        </w:rPr>
        <w:t xml:space="preserve">, el cual se encuentra </w:t>
      </w:r>
      <w:r w:rsidR="002511F4">
        <w:rPr>
          <w:rFonts w:ascii="Verdana" w:hAnsi="Verdana"/>
          <w:sz w:val="20"/>
          <w:lang w:val="es-CR"/>
        </w:rPr>
        <w:t>en conocimiento de la Corte. Por ende</w:t>
      </w:r>
      <w:r w:rsidRPr="00690D43">
        <w:rPr>
          <w:rFonts w:ascii="Verdana" w:hAnsi="Verdana"/>
          <w:sz w:val="20"/>
          <w:lang w:val="es-CR"/>
        </w:rPr>
        <w:t xml:space="preserve">, la </w:t>
      </w:r>
      <w:r w:rsidR="002511F4">
        <w:rPr>
          <w:rFonts w:ascii="Verdana" w:hAnsi="Verdana"/>
          <w:sz w:val="20"/>
          <w:lang w:val="es-CR"/>
        </w:rPr>
        <w:t>solicitud</w:t>
      </w:r>
      <w:r w:rsidRPr="00690D43">
        <w:rPr>
          <w:rFonts w:ascii="Verdana" w:hAnsi="Verdana"/>
          <w:sz w:val="20"/>
          <w:lang w:val="es-CR"/>
        </w:rPr>
        <w:t xml:space="preserve"> se encuentra conforme a lo estipulado en el artículo 27.3 del Reglamento</w:t>
      </w:r>
      <w:r w:rsidRPr="00690D43">
        <w:rPr>
          <w:rStyle w:val="FootnoteReference"/>
          <w:rFonts w:ascii="Verdana" w:hAnsi="Verdana"/>
          <w:sz w:val="20"/>
          <w:lang w:val="es-CR"/>
        </w:rPr>
        <w:footnoteReference w:id="2"/>
      </w:r>
      <w:r w:rsidRPr="00690D43">
        <w:rPr>
          <w:rFonts w:ascii="Verdana" w:hAnsi="Verdana"/>
          <w:sz w:val="20"/>
          <w:lang w:val="es-CR"/>
        </w:rPr>
        <w:t>.</w:t>
      </w:r>
      <w:r>
        <w:rPr>
          <w:rFonts w:ascii="Verdana" w:hAnsi="Verdana"/>
          <w:sz w:val="20"/>
          <w:lang w:val="es-CR"/>
        </w:rPr>
        <w:t xml:space="preserve"> </w:t>
      </w:r>
    </w:p>
    <w:p w:rsidR="00BF6A98" w:rsidRPr="00BF6A98" w:rsidRDefault="00BF6A98" w:rsidP="0032550D">
      <w:pPr>
        <w:pStyle w:val="ListParagraph"/>
        <w:numPr>
          <w:ilvl w:val="0"/>
          <w:numId w:val="8"/>
        </w:numPr>
        <w:spacing w:before="120" w:after="120"/>
        <w:ind w:left="0" w:right="17" w:firstLine="0"/>
        <w:contextualSpacing w:val="0"/>
        <w:jc w:val="both"/>
        <w:rPr>
          <w:rFonts w:ascii="Verdana" w:hAnsi="Verdana"/>
          <w:sz w:val="20"/>
        </w:rPr>
      </w:pPr>
      <w:r w:rsidRPr="00690D43">
        <w:rPr>
          <w:rFonts w:ascii="Verdana" w:hAnsi="Verdana"/>
          <w:sz w:val="20"/>
          <w:lang w:val="es-CR"/>
        </w:rPr>
        <w:t xml:space="preserve">Al respecto, este Tribunal recuerda que, en casos que se encuentran en su conocimiento, las medidas provisionales pueden ordenarse siempre que en los antecedentes presentados a la Corte se demuestre </w:t>
      </w:r>
      <w:r w:rsidRPr="00C01B54">
        <w:rPr>
          <w:rFonts w:ascii="Verdana" w:hAnsi="Verdana"/>
          <w:i/>
          <w:sz w:val="20"/>
          <w:lang w:val="es-CR"/>
        </w:rPr>
        <w:t>prima facie</w:t>
      </w:r>
      <w:r w:rsidRPr="00690D43">
        <w:rPr>
          <w:rFonts w:ascii="Verdana" w:hAnsi="Verdana"/>
          <w:sz w:val="20"/>
          <w:lang w:val="es-CR"/>
        </w:rPr>
        <w:t xml:space="preserve"> la configuración de una situación de extrema gravedad y urgencia y la inminencia de daño irreparable a las personas</w:t>
      </w:r>
      <w:r w:rsidRPr="00690D43">
        <w:rPr>
          <w:rStyle w:val="FootnoteReference"/>
          <w:rFonts w:ascii="Verdana" w:hAnsi="Verdana"/>
          <w:sz w:val="20"/>
          <w:lang w:val="es-CR"/>
        </w:rPr>
        <w:footnoteReference w:id="3"/>
      </w:r>
      <w:r w:rsidRPr="00690D43">
        <w:rPr>
          <w:rFonts w:ascii="Verdana" w:hAnsi="Verdana"/>
          <w:sz w:val="20"/>
          <w:lang w:val="es-CR"/>
        </w:rPr>
        <w:t>, y que dicha situación tenga relación directa con los hechos del caso ante la Corte</w:t>
      </w:r>
      <w:r w:rsidRPr="00690D43">
        <w:rPr>
          <w:rStyle w:val="FootnoteReference"/>
          <w:rFonts w:ascii="Verdana" w:hAnsi="Verdana"/>
          <w:sz w:val="20"/>
          <w:lang w:val="es-CR"/>
        </w:rPr>
        <w:footnoteReference w:id="4"/>
      </w:r>
      <w:r w:rsidRPr="00690D43">
        <w:rPr>
          <w:rFonts w:ascii="Verdana" w:hAnsi="Verdana"/>
          <w:sz w:val="20"/>
          <w:lang w:val="es-CR"/>
        </w:rPr>
        <w:t>.</w:t>
      </w:r>
      <w:r w:rsidR="002511F4">
        <w:rPr>
          <w:rFonts w:ascii="Verdana" w:hAnsi="Verdana"/>
          <w:sz w:val="20"/>
          <w:lang w:val="es-CR"/>
        </w:rPr>
        <w:t xml:space="preserve"> Los hechos presentados o referidos por el representante, como fundamento de su solicitud, tienen relación con el caso some</w:t>
      </w:r>
      <w:r w:rsidR="00080C3B">
        <w:rPr>
          <w:rFonts w:ascii="Verdana" w:hAnsi="Verdana"/>
          <w:sz w:val="20"/>
          <w:lang w:val="es-CR"/>
        </w:rPr>
        <w:t>tido a conocimiento de la Corte.</w:t>
      </w:r>
    </w:p>
    <w:p w:rsidR="00BF6A98" w:rsidRDefault="00BF6A98" w:rsidP="00BF6A98">
      <w:pPr>
        <w:pStyle w:val="ListParagraph"/>
        <w:numPr>
          <w:ilvl w:val="0"/>
          <w:numId w:val="8"/>
        </w:numPr>
        <w:spacing w:before="120" w:after="120"/>
        <w:ind w:left="0" w:right="17" w:firstLine="0"/>
        <w:contextualSpacing w:val="0"/>
        <w:jc w:val="both"/>
        <w:rPr>
          <w:rFonts w:ascii="Verdana" w:hAnsi="Verdana"/>
          <w:sz w:val="20"/>
          <w:lang w:val="es-CR"/>
        </w:rPr>
      </w:pPr>
      <w:r w:rsidRPr="00690D43">
        <w:rPr>
          <w:rFonts w:ascii="Verdana" w:hAnsi="Verdana"/>
          <w:sz w:val="20"/>
          <w:lang w:val="es-CR"/>
        </w:rPr>
        <w:t>Las tres condiciones exigidas por el artículo 63.2 de la Convención para que la Corte pueda disponer de medidas provisionales deben concurrir en toda situación en la que se soliciten</w:t>
      </w:r>
      <w:r w:rsidRPr="00690D43">
        <w:rPr>
          <w:rStyle w:val="FootnoteReference"/>
          <w:rFonts w:ascii="Verdana" w:hAnsi="Verdana"/>
          <w:sz w:val="20"/>
          <w:lang w:val="es-CR"/>
        </w:rPr>
        <w:footnoteReference w:id="5"/>
      </w:r>
      <w:r w:rsidRPr="00690D43">
        <w:rPr>
          <w:rFonts w:ascii="Verdana" w:hAnsi="Verdana"/>
          <w:sz w:val="20"/>
          <w:lang w:val="es-CR"/>
        </w:rPr>
        <w:t>. En razón de su competencia, en el marco de medidas provisionales corresponde a</w:t>
      </w:r>
      <w:r w:rsidR="00080C3B">
        <w:rPr>
          <w:rFonts w:ascii="Verdana" w:hAnsi="Verdana"/>
          <w:sz w:val="20"/>
          <w:lang w:val="es-CR"/>
        </w:rPr>
        <w:t>l Tribunal</w:t>
      </w:r>
      <w:r w:rsidRPr="00690D43">
        <w:rPr>
          <w:rFonts w:ascii="Verdana" w:hAnsi="Verdana"/>
          <w:sz w:val="20"/>
          <w:lang w:val="es-CR"/>
        </w:rPr>
        <w:t xml:space="preserve"> considerar única y estrictamente aquellos argumentos que se relacionan directamente con </w:t>
      </w:r>
      <w:r>
        <w:rPr>
          <w:rFonts w:ascii="Verdana" w:hAnsi="Verdana"/>
          <w:sz w:val="20"/>
          <w:lang w:val="es-CR"/>
        </w:rPr>
        <w:t>esos presupuestos o condiciones</w:t>
      </w:r>
      <w:r w:rsidRPr="00690D43">
        <w:rPr>
          <w:rFonts w:ascii="Verdana" w:hAnsi="Verdana"/>
          <w:sz w:val="20"/>
          <w:lang w:val="es-CR"/>
        </w:rPr>
        <w:t>. Cualquier otro hecho o argumento solo puede ser analizado y resuelto durante la consideración del fondo de un caso contencioso o</w:t>
      </w:r>
      <w:r>
        <w:rPr>
          <w:rFonts w:ascii="Verdana" w:hAnsi="Verdana"/>
          <w:sz w:val="20"/>
          <w:lang w:val="es-CR"/>
        </w:rPr>
        <w:t>, eventualmente,</w:t>
      </w:r>
      <w:r w:rsidRPr="00690D43">
        <w:rPr>
          <w:rFonts w:ascii="Verdana" w:hAnsi="Verdana"/>
          <w:sz w:val="20"/>
          <w:lang w:val="es-CR"/>
        </w:rPr>
        <w:t xml:space="preserve"> dentro del proceso de supervisión de cumplimiento de la sentencia respectiva</w:t>
      </w:r>
      <w:r w:rsidRPr="00690D43">
        <w:rPr>
          <w:rStyle w:val="FootnoteReference"/>
          <w:rFonts w:ascii="Verdana" w:hAnsi="Verdana"/>
          <w:sz w:val="20"/>
          <w:lang w:val="es-CR"/>
        </w:rPr>
        <w:footnoteReference w:id="6"/>
      </w:r>
      <w:r w:rsidRPr="00690D43">
        <w:rPr>
          <w:rFonts w:ascii="Verdana" w:hAnsi="Verdana"/>
          <w:sz w:val="20"/>
          <w:lang w:val="es-CR"/>
        </w:rPr>
        <w:t>.</w:t>
      </w:r>
    </w:p>
    <w:p w:rsidR="00BF6A98" w:rsidRPr="00690D43" w:rsidRDefault="00BF6A98" w:rsidP="00BF6A98">
      <w:pPr>
        <w:pStyle w:val="ListParagraph"/>
        <w:numPr>
          <w:ilvl w:val="0"/>
          <w:numId w:val="8"/>
        </w:numPr>
        <w:spacing w:before="120" w:after="120"/>
        <w:ind w:left="0" w:right="17" w:firstLine="0"/>
        <w:contextualSpacing w:val="0"/>
        <w:jc w:val="both"/>
        <w:rPr>
          <w:rFonts w:ascii="Verdana" w:hAnsi="Verdana"/>
          <w:sz w:val="20"/>
          <w:lang w:val="es-CR"/>
        </w:rPr>
      </w:pPr>
      <w:r w:rsidRPr="00690D43">
        <w:rPr>
          <w:rFonts w:ascii="Verdana" w:hAnsi="Verdana"/>
          <w:sz w:val="20"/>
          <w:lang w:val="es-CR"/>
        </w:rPr>
        <w:t>En lo que se refiere al requisito de “gravedad”, la Convención requiere que aquella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690D43">
        <w:rPr>
          <w:rStyle w:val="FootnoteReference"/>
          <w:rFonts w:ascii="Verdana" w:hAnsi="Verdana"/>
          <w:sz w:val="20"/>
          <w:lang w:val="es-CR"/>
        </w:rPr>
        <w:footnoteReference w:id="7"/>
      </w:r>
      <w:r w:rsidRPr="00690D43">
        <w:rPr>
          <w:rFonts w:ascii="Verdana" w:hAnsi="Verdana"/>
          <w:sz w:val="20"/>
          <w:lang w:val="es-CR"/>
        </w:rPr>
        <w:t>.</w:t>
      </w:r>
    </w:p>
    <w:p w:rsidR="00684300" w:rsidRPr="002D2AA3" w:rsidRDefault="00370CB4" w:rsidP="00684300">
      <w:pPr>
        <w:pStyle w:val="ListParagraph"/>
        <w:numPr>
          <w:ilvl w:val="0"/>
          <w:numId w:val="8"/>
        </w:numPr>
        <w:spacing w:before="120" w:after="120"/>
        <w:ind w:left="0" w:right="17" w:firstLine="0"/>
        <w:contextualSpacing w:val="0"/>
        <w:jc w:val="both"/>
        <w:rPr>
          <w:rFonts w:ascii="Verdana" w:hAnsi="Verdana"/>
          <w:sz w:val="20"/>
          <w:lang w:val="es-CR"/>
        </w:rPr>
      </w:pPr>
      <w:r w:rsidRPr="00971417">
        <w:rPr>
          <w:rFonts w:ascii="Verdana" w:hAnsi="Verdana"/>
          <w:sz w:val="20"/>
          <w:lang w:val="es-CR"/>
        </w:rPr>
        <w:t xml:space="preserve">De conformidad </w:t>
      </w:r>
      <w:r w:rsidR="002D1152">
        <w:rPr>
          <w:rFonts w:ascii="Verdana" w:hAnsi="Verdana"/>
          <w:sz w:val="20"/>
          <w:lang w:val="es-CR"/>
        </w:rPr>
        <w:t xml:space="preserve">con </w:t>
      </w:r>
      <w:r w:rsidRPr="00971417">
        <w:rPr>
          <w:rFonts w:ascii="Verdana" w:hAnsi="Verdana"/>
          <w:sz w:val="20"/>
          <w:lang w:val="es-CR"/>
        </w:rPr>
        <w:t xml:space="preserve">las pautas expuestas, este Tribunal debe evaluar si en el presente caso se cumplen los requisitos señalados para ordenar al Estado la adopción de medidas provisionales. </w:t>
      </w:r>
      <w:r w:rsidR="00587AFB" w:rsidRPr="00971417">
        <w:rPr>
          <w:rFonts w:ascii="Verdana" w:hAnsi="Verdana"/>
          <w:sz w:val="20"/>
          <w:lang w:val="es-CR"/>
        </w:rPr>
        <w:t>A continuación</w:t>
      </w:r>
      <w:r w:rsidR="0081291D">
        <w:rPr>
          <w:rFonts w:ascii="Verdana" w:hAnsi="Verdana"/>
          <w:sz w:val="20"/>
          <w:lang w:val="es-CR"/>
        </w:rPr>
        <w:t>,</w:t>
      </w:r>
      <w:r w:rsidR="00587AFB" w:rsidRPr="00971417">
        <w:rPr>
          <w:rFonts w:ascii="Verdana" w:hAnsi="Verdana"/>
          <w:sz w:val="20"/>
          <w:lang w:val="es-CR"/>
        </w:rPr>
        <w:t xml:space="preserve"> la Corte analizará la solicitud de </w:t>
      </w:r>
      <w:r w:rsidR="00684300">
        <w:rPr>
          <w:rFonts w:ascii="Verdana" w:hAnsi="Verdana"/>
          <w:sz w:val="20"/>
          <w:lang w:val="es-CR"/>
        </w:rPr>
        <w:t>los representantes</w:t>
      </w:r>
      <w:r w:rsidR="00587AFB" w:rsidRPr="00971417">
        <w:rPr>
          <w:rFonts w:ascii="Verdana" w:hAnsi="Verdana"/>
          <w:sz w:val="20"/>
          <w:lang w:val="es-CR"/>
        </w:rPr>
        <w:t xml:space="preserve"> </w:t>
      </w:r>
      <w:r w:rsidR="00684300">
        <w:rPr>
          <w:rFonts w:ascii="Verdana" w:hAnsi="Verdana"/>
          <w:sz w:val="20"/>
          <w:lang w:val="es-CR"/>
        </w:rPr>
        <w:t>en e</w:t>
      </w:r>
      <w:r w:rsidR="00587AFB" w:rsidRPr="00971417">
        <w:rPr>
          <w:rFonts w:ascii="Verdana" w:hAnsi="Verdana"/>
          <w:sz w:val="20"/>
          <w:lang w:val="es-CR"/>
        </w:rPr>
        <w:t>l siguiente orden: A. La solicitud de medidas provisionales</w:t>
      </w:r>
      <w:r w:rsidR="00684300">
        <w:rPr>
          <w:rFonts w:ascii="Verdana" w:hAnsi="Verdana"/>
          <w:sz w:val="20"/>
          <w:lang w:val="es-CR"/>
        </w:rPr>
        <w:t>; B. Observaciones de la Comisión Interamericana; C. Observaciones del Estado</w:t>
      </w:r>
      <w:r w:rsidR="00587AFB" w:rsidRPr="00971417">
        <w:rPr>
          <w:rFonts w:ascii="Verdana" w:hAnsi="Verdana"/>
          <w:sz w:val="20"/>
          <w:lang w:val="es-CR"/>
        </w:rPr>
        <w:t xml:space="preserve">, y </w:t>
      </w:r>
      <w:r w:rsidR="00684300">
        <w:rPr>
          <w:rFonts w:ascii="Verdana" w:hAnsi="Verdana"/>
          <w:sz w:val="20"/>
          <w:lang w:val="es-CR"/>
        </w:rPr>
        <w:t>D</w:t>
      </w:r>
      <w:r w:rsidR="00587AFB" w:rsidRPr="00971417">
        <w:rPr>
          <w:rFonts w:ascii="Verdana" w:hAnsi="Verdana"/>
          <w:sz w:val="20"/>
          <w:lang w:val="es-CR"/>
        </w:rPr>
        <w:t>. Consideraciones de la Corte.</w:t>
      </w:r>
    </w:p>
    <w:p w:rsidR="004C1C33" w:rsidRPr="00971417" w:rsidRDefault="004C1C33" w:rsidP="002B4D2E">
      <w:pPr>
        <w:pStyle w:val="ListParagraph"/>
        <w:numPr>
          <w:ilvl w:val="0"/>
          <w:numId w:val="21"/>
        </w:numPr>
        <w:spacing w:before="240" w:after="240"/>
        <w:ind w:left="714" w:right="17" w:hanging="357"/>
        <w:contextualSpacing w:val="0"/>
        <w:jc w:val="both"/>
        <w:outlineLvl w:val="0"/>
        <w:rPr>
          <w:rFonts w:ascii="Verdana" w:eastAsia="Batang" w:hAnsi="Verdana"/>
          <w:b/>
          <w:i/>
          <w:sz w:val="20"/>
          <w:lang w:val="es-GT"/>
        </w:rPr>
      </w:pPr>
      <w:r w:rsidRPr="00971417">
        <w:rPr>
          <w:rFonts w:ascii="Verdana" w:eastAsia="Batang" w:hAnsi="Verdana"/>
          <w:b/>
          <w:i/>
          <w:sz w:val="20"/>
          <w:lang w:val="es-GT"/>
        </w:rPr>
        <w:lastRenderedPageBreak/>
        <w:t xml:space="preserve">La solicitud de medidas provisionales presentada por </w:t>
      </w:r>
      <w:r w:rsidR="000D6B9A">
        <w:rPr>
          <w:rFonts w:ascii="Verdana" w:eastAsia="Batang" w:hAnsi="Verdana"/>
          <w:b/>
          <w:i/>
          <w:sz w:val="20"/>
          <w:lang w:val="es-GT"/>
        </w:rPr>
        <w:t>los representantes</w:t>
      </w:r>
    </w:p>
    <w:p w:rsidR="00B620C1" w:rsidRPr="00971417" w:rsidRDefault="00B33254" w:rsidP="00840B8B">
      <w:pPr>
        <w:pStyle w:val="ListParagraph"/>
        <w:numPr>
          <w:ilvl w:val="0"/>
          <w:numId w:val="8"/>
        </w:numPr>
        <w:spacing w:before="120" w:after="120"/>
        <w:ind w:left="0" w:right="17" w:firstLine="0"/>
        <w:contextualSpacing w:val="0"/>
        <w:jc w:val="both"/>
        <w:rPr>
          <w:rFonts w:ascii="Verdana" w:eastAsia="Batang" w:hAnsi="Verdana"/>
          <w:sz w:val="20"/>
          <w:lang w:val="es-GT"/>
        </w:rPr>
      </w:pPr>
      <w:r w:rsidRPr="00971417">
        <w:rPr>
          <w:rFonts w:ascii="Verdana" w:eastAsia="Batang" w:hAnsi="Verdana"/>
          <w:sz w:val="20"/>
          <w:lang w:val="es-CR"/>
        </w:rPr>
        <w:t>L</w:t>
      </w:r>
      <w:r w:rsidR="000D6B9A">
        <w:rPr>
          <w:rFonts w:ascii="Verdana" w:eastAsia="Batang" w:hAnsi="Verdana"/>
          <w:sz w:val="20"/>
          <w:lang w:val="es-CR"/>
        </w:rPr>
        <w:t>os representantes se refirieron</w:t>
      </w:r>
      <w:r w:rsidR="00587AFB" w:rsidRPr="00971417">
        <w:rPr>
          <w:rFonts w:ascii="Verdana" w:eastAsia="Batang" w:hAnsi="Verdana"/>
          <w:sz w:val="20"/>
          <w:lang w:val="es-CR"/>
        </w:rPr>
        <w:t xml:space="preserve"> a los siguientes hechos</w:t>
      </w:r>
      <w:r w:rsidRPr="00971417">
        <w:rPr>
          <w:rFonts w:ascii="Verdana" w:eastAsia="Batang" w:hAnsi="Verdana"/>
          <w:sz w:val="20"/>
          <w:lang w:val="es-CR"/>
        </w:rPr>
        <w:t xml:space="preserve"> que habrían originado</w:t>
      </w:r>
      <w:r w:rsidR="000D6B9A">
        <w:rPr>
          <w:rFonts w:ascii="Verdana" w:eastAsia="Batang" w:hAnsi="Verdana"/>
          <w:sz w:val="20"/>
          <w:lang w:val="es-CR"/>
        </w:rPr>
        <w:t xml:space="preserve"> o propician</w:t>
      </w:r>
      <w:r w:rsidRPr="00971417">
        <w:rPr>
          <w:rFonts w:ascii="Verdana" w:eastAsia="Batang" w:hAnsi="Verdana"/>
          <w:sz w:val="20"/>
          <w:lang w:val="es-CR"/>
        </w:rPr>
        <w:t xml:space="preserve"> la situación por la cual solicita</w:t>
      </w:r>
      <w:r w:rsidR="000D6B9A">
        <w:rPr>
          <w:rFonts w:ascii="Verdana" w:eastAsia="Batang" w:hAnsi="Verdana"/>
          <w:sz w:val="20"/>
          <w:lang w:val="es-CR"/>
        </w:rPr>
        <w:t>n</w:t>
      </w:r>
      <w:r w:rsidRPr="00971417">
        <w:rPr>
          <w:rFonts w:ascii="Verdana" w:eastAsia="Batang" w:hAnsi="Verdana"/>
          <w:sz w:val="20"/>
          <w:lang w:val="es-CR"/>
        </w:rPr>
        <w:t xml:space="preserve"> las medidas provisionales</w:t>
      </w:r>
      <w:r w:rsidR="00B620C1" w:rsidRPr="00971417">
        <w:rPr>
          <w:rFonts w:ascii="Verdana" w:eastAsia="Batang" w:hAnsi="Verdana"/>
          <w:sz w:val="20"/>
          <w:lang w:val="es-CR"/>
        </w:rPr>
        <w:t xml:space="preserve">: </w:t>
      </w:r>
    </w:p>
    <w:p w:rsidR="000D6B9A" w:rsidRPr="000D6B9A" w:rsidRDefault="000D6B9A" w:rsidP="000D6B9A">
      <w:pPr>
        <w:pStyle w:val="ListParagraph"/>
        <w:numPr>
          <w:ilvl w:val="3"/>
          <w:numId w:val="1"/>
        </w:numPr>
        <w:tabs>
          <w:tab w:val="clear" w:pos="1440"/>
        </w:tabs>
        <w:spacing w:before="120" w:after="120"/>
        <w:ind w:left="709" w:right="17"/>
        <w:contextualSpacing w:val="0"/>
        <w:jc w:val="both"/>
        <w:rPr>
          <w:rFonts w:ascii="Verdana" w:hAnsi="Verdana"/>
          <w:sz w:val="20"/>
          <w:lang w:val="es-CR"/>
        </w:rPr>
      </w:pPr>
      <w:r w:rsidRPr="000D6B9A">
        <w:rPr>
          <w:rFonts w:ascii="Verdana" w:hAnsi="Verdana"/>
          <w:sz w:val="20"/>
          <w:lang w:val="es-CR"/>
        </w:rPr>
        <w:t xml:space="preserve">El señor </w:t>
      </w:r>
      <w:r w:rsidRPr="000D6B9A">
        <w:rPr>
          <w:rFonts w:ascii="Verdana" w:eastAsia="Batang" w:hAnsi="Verdana"/>
          <w:sz w:val="20"/>
          <w:lang w:val="es-CR"/>
        </w:rPr>
        <w:t>Petro</w:t>
      </w:r>
      <w:r w:rsidR="00454715">
        <w:rPr>
          <w:rFonts w:ascii="Verdana" w:eastAsia="Batang" w:hAnsi="Verdana"/>
          <w:sz w:val="20"/>
          <w:lang w:val="es-CR"/>
        </w:rPr>
        <w:t xml:space="preserve"> Urrego</w:t>
      </w:r>
      <w:r w:rsidRPr="000D6B9A">
        <w:rPr>
          <w:rFonts w:ascii="Verdana" w:hAnsi="Verdana"/>
          <w:sz w:val="20"/>
          <w:lang w:val="es-CR"/>
        </w:rPr>
        <w:t xml:space="preserve"> fue candidato a la Presidencia de la República </w:t>
      </w:r>
      <w:r w:rsidR="00454715">
        <w:rPr>
          <w:rFonts w:ascii="Verdana" w:hAnsi="Verdana"/>
          <w:sz w:val="20"/>
          <w:lang w:val="es-CR"/>
        </w:rPr>
        <w:t xml:space="preserve">de Colombia </w:t>
      </w:r>
      <w:r w:rsidR="00A83000">
        <w:rPr>
          <w:rFonts w:ascii="Verdana" w:hAnsi="Verdana"/>
          <w:sz w:val="20"/>
          <w:lang w:val="es-CR"/>
        </w:rPr>
        <w:t>para las elecciones de 2018, en las cuales disputó</w:t>
      </w:r>
      <w:r w:rsidRPr="000D6B9A">
        <w:rPr>
          <w:rFonts w:ascii="Verdana" w:hAnsi="Verdana"/>
          <w:sz w:val="20"/>
          <w:lang w:val="es-CR"/>
        </w:rPr>
        <w:t xml:space="preserve"> la segunda vuelta con el ac</w:t>
      </w:r>
      <w:r w:rsidR="002D2AA3">
        <w:rPr>
          <w:rFonts w:ascii="Verdana" w:hAnsi="Verdana"/>
          <w:sz w:val="20"/>
          <w:lang w:val="es-CR"/>
        </w:rPr>
        <w:t xml:space="preserve">tual presidente de la República, señor </w:t>
      </w:r>
      <w:r w:rsidRPr="000D6B9A">
        <w:rPr>
          <w:rFonts w:ascii="Verdana" w:hAnsi="Verdana"/>
          <w:sz w:val="20"/>
          <w:lang w:val="es-CR"/>
        </w:rPr>
        <w:t xml:space="preserve">Iván Duque. En el marco de estas elecciones, </w:t>
      </w:r>
      <w:r>
        <w:rPr>
          <w:rFonts w:ascii="Verdana" w:hAnsi="Verdana"/>
          <w:sz w:val="20"/>
          <w:lang w:val="es-CR"/>
        </w:rPr>
        <w:t xml:space="preserve">el señor </w:t>
      </w:r>
      <w:r w:rsidRPr="000D6B9A">
        <w:rPr>
          <w:rFonts w:ascii="Verdana" w:hAnsi="Verdana"/>
          <w:sz w:val="20"/>
          <w:lang w:val="es-CR"/>
        </w:rPr>
        <w:t xml:space="preserve">Petro </w:t>
      </w:r>
      <w:r w:rsidR="00454715">
        <w:rPr>
          <w:rFonts w:ascii="Verdana" w:hAnsi="Verdana"/>
          <w:sz w:val="20"/>
          <w:lang w:val="es-CR"/>
        </w:rPr>
        <w:t xml:space="preserve">Urrego </w:t>
      </w:r>
      <w:r w:rsidRPr="000D6B9A">
        <w:rPr>
          <w:rFonts w:ascii="Verdana" w:hAnsi="Verdana"/>
          <w:sz w:val="20"/>
          <w:lang w:val="es-CR"/>
        </w:rPr>
        <w:t>obtuvo una</w:t>
      </w:r>
      <w:r w:rsidR="00454715">
        <w:rPr>
          <w:rFonts w:ascii="Verdana" w:hAnsi="Verdana"/>
          <w:sz w:val="20"/>
          <w:lang w:val="es-CR"/>
        </w:rPr>
        <w:t xml:space="preserve"> </w:t>
      </w:r>
      <w:r w:rsidR="00454715" w:rsidRPr="00EF5304">
        <w:rPr>
          <w:rFonts w:ascii="Verdana" w:hAnsi="Verdana"/>
          <w:sz w:val="20"/>
          <w:lang w:val="es-CR"/>
        </w:rPr>
        <w:t>curul como Senador de la República y tomó posesión de este cargo el 20 de julio de 2018</w:t>
      </w:r>
      <w:r>
        <w:rPr>
          <w:rFonts w:ascii="Verdana" w:hAnsi="Verdana"/>
          <w:sz w:val="20"/>
          <w:lang w:val="es-CR"/>
        </w:rPr>
        <w:t>, en razón de l</w:t>
      </w:r>
      <w:r w:rsidRPr="000D6B9A">
        <w:rPr>
          <w:rFonts w:ascii="Verdana" w:hAnsi="Verdana"/>
          <w:sz w:val="20"/>
          <w:lang w:val="es-CR"/>
        </w:rPr>
        <w:t>a r</w:t>
      </w:r>
      <w:r>
        <w:rPr>
          <w:rFonts w:ascii="Verdana" w:hAnsi="Verdana"/>
          <w:sz w:val="20"/>
          <w:lang w:val="es-CR"/>
        </w:rPr>
        <w:t>eforma</w:t>
      </w:r>
      <w:r w:rsidR="00A83000">
        <w:rPr>
          <w:rFonts w:ascii="Verdana" w:hAnsi="Verdana"/>
          <w:sz w:val="20"/>
          <w:lang w:val="es-CR"/>
        </w:rPr>
        <w:t xml:space="preserve"> producida por </w:t>
      </w:r>
      <w:r w:rsidRPr="000D6B9A">
        <w:rPr>
          <w:rFonts w:ascii="Verdana" w:hAnsi="Verdana"/>
          <w:sz w:val="20"/>
          <w:lang w:val="es-CR"/>
        </w:rPr>
        <w:t>el Acuerdo de Paz</w:t>
      </w:r>
      <w:r>
        <w:rPr>
          <w:rFonts w:ascii="Verdana" w:hAnsi="Verdana"/>
          <w:sz w:val="20"/>
          <w:lang w:val="es-CR"/>
        </w:rPr>
        <w:t xml:space="preserve">, </w:t>
      </w:r>
      <w:r w:rsidR="00454715">
        <w:rPr>
          <w:rFonts w:ascii="Verdana" w:hAnsi="Verdana"/>
          <w:sz w:val="20"/>
          <w:lang w:val="es-CR"/>
        </w:rPr>
        <w:t>la cual</w:t>
      </w:r>
      <w:r>
        <w:rPr>
          <w:rFonts w:ascii="Verdana" w:hAnsi="Verdana"/>
          <w:sz w:val="20"/>
          <w:lang w:val="es-CR"/>
        </w:rPr>
        <w:t xml:space="preserve"> </w:t>
      </w:r>
      <w:r w:rsidRPr="000D6B9A">
        <w:rPr>
          <w:rFonts w:ascii="Verdana" w:hAnsi="Verdana"/>
          <w:sz w:val="20"/>
          <w:lang w:val="es-CR"/>
        </w:rPr>
        <w:t>dispuso que la persona con la segunda votación más alta en las elecciones presidenciales ocupara automáticamente el cargo de Senad</w:t>
      </w:r>
      <w:r w:rsidR="008A7E60">
        <w:rPr>
          <w:rFonts w:ascii="Verdana" w:hAnsi="Verdana"/>
          <w:sz w:val="20"/>
          <w:lang w:val="es-CR"/>
        </w:rPr>
        <w:t xml:space="preserve">or. </w:t>
      </w:r>
    </w:p>
    <w:p w:rsidR="000D6B9A" w:rsidRDefault="00A83000" w:rsidP="000D6B9A">
      <w:pPr>
        <w:pStyle w:val="ListParagraph"/>
        <w:numPr>
          <w:ilvl w:val="3"/>
          <w:numId w:val="1"/>
        </w:numPr>
        <w:tabs>
          <w:tab w:val="clear" w:pos="1440"/>
        </w:tabs>
        <w:spacing w:before="120" w:after="120"/>
        <w:ind w:left="709" w:right="17"/>
        <w:contextualSpacing w:val="0"/>
        <w:jc w:val="both"/>
        <w:rPr>
          <w:rFonts w:ascii="Verdana" w:hAnsi="Verdana"/>
          <w:sz w:val="20"/>
          <w:lang w:val="es-CR"/>
        </w:rPr>
      </w:pPr>
      <w:r>
        <w:rPr>
          <w:rFonts w:ascii="Verdana" w:hAnsi="Verdana"/>
          <w:sz w:val="20"/>
          <w:lang w:val="es-CR"/>
        </w:rPr>
        <w:t>L</w:t>
      </w:r>
      <w:r w:rsidR="000D6B9A">
        <w:rPr>
          <w:rFonts w:ascii="Verdana" w:hAnsi="Verdana"/>
          <w:sz w:val="20"/>
          <w:lang w:val="es-CR"/>
        </w:rPr>
        <w:t xml:space="preserve">os representantes </w:t>
      </w:r>
      <w:r w:rsidR="003E3B49">
        <w:rPr>
          <w:rFonts w:ascii="Verdana" w:hAnsi="Verdana"/>
          <w:sz w:val="20"/>
          <w:lang w:val="es-CR"/>
        </w:rPr>
        <w:t>refirieron a</w:t>
      </w:r>
      <w:r w:rsidR="000D6B9A">
        <w:rPr>
          <w:rFonts w:ascii="Verdana" w:hAnsi="Verdana"/>
          <w:sz w:val="20"/>
          <w:lang w:val="es-CR"/>
        </w:rPr>
        <w:t xml:space="preserve"> unos hechos que</w:t>
      </w:r>
      <w:r>
        <w:rPr>
          <w:rFonts w:ascii="Verdana" w:hAnsi="Verdana"/>
          <w:sz w:val="20"/>
          <w:lang w:val="es-CR"/>
        </w:rPr>
        <w:t>,</w:t>
      </w:r>
      <w:r w:rsidR="000D6B9A">
        <w:rPr>
          <w:rFonts w:ascii="Verdana" w:hAnsi="Verdana"/>
          <w:sz w:val="20"/>
          <w:lang w:val="es-CR"/>
        </w:rPr>
        <w:t xml:space="preserve"> </w:t>
      </w:r>
      <w:r w:rsidR="003E3B49">
        <w:rPr>
          <w:rFonts w:ascii="Verdana" w:hAnsi="Verdana"/>
          <w:sz w:val="20"/>
          <w:lang w:val="es-CR"/>
        </w:rPr>
        <w:t>en su escrito de solicitudes y argumentos</w:t>
      </w:r>
      <w:r>
        <w:rPr>
          <w:rFonts w:ascii="Verdana" w:hAnsi="Verdana"/>
          <w:sz w:val="20"/>
          <w:lang w:val="es-CR"/>
        </w:rPr>
        <w:t>,</w:t>
      </w:r>
      <w:r w:rsidR="003E3B49">
        <w:rPr>
          <w:rFonts w:ascii="Verdana" w:hAnsi="Verdana"/>
          <w:sz w:val="20"/>
          <w:lang w:val="es-CR"/>
        </w:rPr>
        <w:t xml:space="preserve"> </w:t>
      </w:r>
      <w:r w:rsidR="000D6B9A">
        <w:rPr>
          <w:rFonts w:ascii="Verdana" w:hAnsi="Verdana"/>
          <w:sz w:val="20"/>
          <w:lang w:val="es-CR"/>
        </w:rPr>
        <w:t xml:space="preserve">califican como supervinientes y </w:t>
      </w:r>
      <w:r w:rsidR="003E3B49">
        <w:rPr>
          <w:rFonts w:ascii="Verdana" w:hAnsi="Verdana"/>
          <w:sz w:val="20"/>
          <w:lang w:val="es-CR"/>
        </w:rPr>
        <w:t xml:space="preserve">consideran relevantes </w:t>
      </w:r>
      <w:r>
        <w:rPr>
          <w:rFonts w:ascii="Verdana" w:hAnsi="Verdana"/>
          <w:sz w:val="20"/>
          <w:lang w:val="es-CR"/>
        </w:rPr>
        <w:t xml:space="preserve">para </w:t>
      </w:r>
      <w:r w:rsidR="003E3B49">
        <w:rPr>
          <w:rFonts w:ascii="Verdana" w:hAnsi="Verdana"/>
          <w:sz w:val="20"/>
          <w:lang w:val="es-CR"/>
        </w:rPr>
        <w:t>su solicitud</w:t>
      </w:r>
      <w:r w:rsidR="000D6B9A">
        <w:rPr>
          <w:rFonts w:ascii="Verdana" w:hAnsi="Verdana"/>
          <w:sz w:val="20"/>
          <w:lang w:val="es-CR"/>
        </w:rPr>
        <w:t>:</w:t>
      </w:r>
    </w:p>
    <w:p w:rsidR="000D6B9A" w:rsidRPr="008A0B4C" w:rsidRDefault="00A83534" w:rsidP="008A0B4C">
      <w:pPr>
        <w:pStyle w:val="ListParagraph"/>
        <w:numPr>
          <w:ilvl w:val="5"/>
          <w:numId w:val="1"/>
        </w:numPr>
        <w:tabs>
          <w:tab w:val="clear" w:pos="4320"/>
        </w:tabs>
        <w:spacing w:before="120" w:after="120"/>
        <w:ind w:left="993" w:right="17"/>
        <w:contextualSpacing w:val="0"/>
        <w:jc w:val="both"/>
        <w:rPr>
          <w:rFonts w:ascii="Verdana" w:hAnsi="Verdana"/>
          <w:sz w:val="20"/>
          <w:lang w:val="es-CR"/>
        </w:rPr>
      </w:pPr>
      <w:r>
        <w:rPr>
          <w:rFonts w:ascii="Verdana" w:hAnsi="Verdana"/>
          <w:sz w:val="20"/>
        </w:rPr>
        <w:t>En cuanto al</w:t>
      </w:r>
      <w:r w:rsidR="000D6B9A" w:rsidRPr="008A0B4C">
        <w:rPr>
          <w:rFonts w:ascii="Verdana" w:hAnsi="Verdana"/>
          <w:sz w:val="20"/>
        </w:rPr>
        <w:t xml:space="preserve"> primer proceso disciplinario abierto en contra del señor Petro Urrego</w:t>
      </w:r>
      <w:r w:rsidR="008A0B4C">
        <w:rPr>
          <w:rStyle w:val="FootnoteReference"/>
          <w:sz w:val="20"/>
        </w:rPr>
        <w:footnoteReference w:id="8"/>
      </w:r>
      <w:r w:rsidR="008A0B4C">
        <w:rPr>
          <w:rFonts w:ascii="Verdana" w:hAnsi="Verdana"/>
          <w:sz w:val="20"/>
        </w:rPr>
        <w:t>, e</w:t>
      </w:r>
      <w:r w:rsidR="008A0B4C" w:rsidRPr="00701E51">
        <w:rPr>
          <w:rFonts w:ascii="Verdana" w:hAnsi="Verdana"/>
          <w:sz w:val="20"/>
        </w:rPr>
        <w:t xml:space="preserve">l 15 de noviembre de 2017 la Sala Plena del Consejo de Estado resolvió </w:t>
      </w:r>
      <w:r w:rsidR="008A0B4C">
        <w:rPr>
          <w:rFonts w:ascii="Verdana" w:hAnsi="Verdana"/>
          <w:sz w:val="20"/>
        </w:rPr>
        <w:t>una</w:t>
      </w:r>
      <w:r w:rsidR="008A0B4C" w:rsidRPr="00701E51">
        <w:rPr>
          <w:rFonts w:ascii="Verdana" w:hAnsi="Verdana"/>
          <w:sz w:val="20"/>
        </w:rPr>
        <w:t xml:space="preserve"> acción de nulidad y restablecimiento del derecho interpuesta por </w:t>
      </w:r>
      <w:r w:rsidR="008A0B4C">
        <w:rPr>
          <w:rFonts w:ascii="Verdana" w:hAnsi="Verdana"/>
          <w:sz w:val="20"/>
        </w:rPr>
        <w:t xml:space="preserve">aquél </w:t>
      </w:r>
      <w:r w:rsidR="008A0B4C" w:rsidRPr="00701E51">
        <w:rPr>
          <w:rFonts w:ascii="Verdana" w:hAnsi="Verdana"/>
          <w:sz w:val="20"/>
        </w:rPr>
        <w:t xml:space="preserve">en </w:t>
      </w:r>
      <w:r w:rsidR="008A0B4C">
        <w:rPr>
          <w:rFonts w:ascii="Verdana" w:hAnsi="Verdana"/>
          <w:sz w:val="20"/>
        </w:rPr>
        <w:t xml:space="preserve">el año </w:t>
      </w:r>
      <w:r w:rsidR="008A0B4C" w:rsidRPr="00701E51">
        <w:rPr>
          <w:rFonts w:ascii="Verdana" w:hAnsi="Verdana"/>
          <w:sz w:val="20"/>
        </w:rPr>
        <w:t xml:space="preserve">2014, dejando sin efecto la decisión de inhabilitación y destitución adoptada por </w:t>
      </w:r>
      <w:r w:rsidR="008A0B4C">
        <w:rPr>
          <w:rFonts w:ascii="Verdana" w:hAnsi="Verdana"/>
          <w:sz w:val="20"/>
        </w:rPr>
        <w:t xml:space="preserve">la </w:t>
      </w:r>
      <w:r w:rsidR="008A0B4C" w:rsidRPr="00701E51">
        <w:rPr>
          <w:rFonts w:ascii="Verdana" w:hAnsi="Verdana"/>
          <w:sz w:val="20"/>
        </w:rPr>
        <w:t>Procuraduría</w:t>
      </w:r>
      <w:r w:rsidR="008A0B4C">
        <w:rPr>
          <w:rFonts w:ascii="Verdana" w:hAnsi="Verdana"/>
          <w:sz w:val="20"/>
        </w:rPr>
        <w:t xml:space="preserve"> General de la Nación en su contra.</w:t>
      </w:r>
    </w:p>
    <w:p w:rsidR="008A0B4C" w:rsidRPr="008A0B4C" w:rsidRDefault="008A0B4C" w:rsidP="008A0B4C">
      <w:pPr>
        <w:pStyle w:val="ListParagraph"/>
        <w:numPr>
          <w:ilvl w:val="5"/>
          <w:numId w:val="1"/>
        </w:numPr>
        <w:tabs>
          <w:tab w:val="clear" w:pos="4320"/>
        </w:tabs>
        <w:spacing w:before="120" w:after="120"/>
        <w:ind w:left="993" w:right="17"/>
        <w:contextualSpacing w:val="0"/>
        <w:jc w:val="both"/>
        <w:rPr>
          <w:rFonts w:ascii="Verdana" w:hAnsi="Verdana"/>
          <w:sz w:val="20"/>
          <w:lang w:val="es-CR"/>
        </w:rPr>
      </w:pPr>
      <w:r w:rsidRPr="008A0B4C">
        <w:rPr>
          <w:rFonts w:ascii="Verdana" w:hAnsi="Verdana"/>
          <w:sz w:val="20"/>
        </w:rPr>
        <w:t>En relación con los procesos por responsabilidad fiscal</w:t>
      </w:r>
      <w:r>
        <w:rPr>
          <w:rFonts w:ascii="Verdana" w:hAnsi="Verdana"/>
          <w:sz w:val="20"/>
        </w:rPr>
        <w:t>, e</w:t>
      </w:r>
      <w:r w:rsidRPr="00B377E4">
        <w:rPr>
          <w:rFonts w:ascii="Verdana" w:hAnsi="Verdana"/>
          <w:sz w:val="20"/>
        </w:rPr>
        <w:t xml:space="preserve">l 24 de octubre de 2018 la Corte Constitucional, mediante sentencia de constitucionalidad C-101/18, declaró exequible el numeral 4 y el parágrafo No. 1 del artículo 38 y el inciso No. 3 del artículo 60 de la Ley 610 de 2000 </w:t>
      </w:r>
      <w:r w:rsidRPr="00B377E4">
        <w:rPr>
          <w:rFonts w:ascii="Verdana" w:hAnsi="Verdana"/>
          <w:i/>
          <w:sz w:val="20"/>
        </w:rPr>
        <w:t>por la cual se establece el trámite de los procesos de responsabilidad fiscal de competencia de las contralorías</w:t>
      </w:r>
      <w:r w:rsidRPr="00B377E4">
        <w:rPr>
          <w:rFonts w:ascii="Verdana" w:hAnsi="Verdana"/>
          <w:sz w:val="20"/>
        </w:rPr>
        <w:t>. Con esta decisión, la Corte Constitucional estableció que la inhabilidad que deriva del no pago de las condenas por responsabilidad fiscal no es inconstitucional, ni es contraria al bloque de constitucionalidad</w:t>
      </w:r>
      <w:r>
        <w:rPr>
          <w:rFonts w:ascii="Verdana" w:hAnsi="Verdana"/>
          <w:sz w:val="20"/>
        </w:rPr>
        <w:t>.</w:t>
      </w:r>
    </w:p>
    <w:p w:rsidR="008A0B4C" w:rsidRDefault="003E3B49" w:rsidP="000D6B9A">
      <w:pPr>
        <w:pStyle w:val="ListParagraph"/>
        <w:numPr>
          <w:ilvl w:val="3"/>
          <w:numId w:val="1"/>
        </w:numPr>
        <w:tabs>
          <w:tab w:val="clear" w:pos="1440"/>
        </w:tabs>
        <w:autoSpaceDE w:val="0"/>
        <w:autoSpaceDN w:val="0"/>
        <w:spacing w:before="120" w:after="120"/>
        <w:ind w:left="709" w:right="17"/>
        <w:contextualSpacing w:val="0"/>
        <w:jc w:val="both"/>
        <w:rPr>
          <w:rFonts w:ascii="Verdana" w:hAnsi="Verdana"/>
          <w:sz w:val="20"/>
          <w:lang w:val="es-CR"/>
        </w:rPr>
      </w:pPr>
      <w:r>
        <w:rPr>
          <w:rFonts w:ascii="Verdana" w:hAnsi="Verdana"/>
          <w:sz w:val="20"/>
          <w:lang w:val="es-CR"/>
        </w:rPr>
        <w:t>L</w:t>
      </w:r>
      <w:r w:rsidRPr="008A0B4C">
        <w:rPr>
          <w:rFonts w:ascii="Verdana" w:hAnsi="Verdana"/>
          <w:sz w:val="20"/>
          <w:lang w:val="es-CR"/>
        </w:rPr>
        <w:t>os representantes señalaron que</w:t>
      </w:r>
      <w:r>
        <w:rPr>
          <w:rFonts w:ascii="Verdana" w:hAnsi="Verdana"/>
          <w:sz w:val="20"/>
          <w:lang w:val="es-CR"/>
        </w:rPr>
        <w:t>, lu</w:t>
      </w:r>
      <w:r w:rsidR="008A0B4C" w:rsidRPr="008A0B4C">
        <w:rPr>
          <w:rFonts w:ascii="Verdana" w:hAnsi="Verdana"/>
          <w:sz w:val="20"/>
          <w:lang w:val="es-CR"/>
        </w:rPr>
        <w:t>ego de la remisión del escrito de solicitudes y argumentos (</w:t>
      </w:r>
      <w:r w:rsidR="000D6B9A" w:rsidRPr="008A0B4C">
        <w:rPr>
          <w:rFonts w:ascii="Verdana" w:hAnsi="Verdana"/>
          <w:sz w:val="20"/>
          <w:lang w:val="es-CR"/>
        </w:rPr>
        <w:t>el 2 de noviembre de 2018</w:t>
      </w:r>
      <w:r w:rsidR="008A0B4C" w:rsidRPr="008A0B4C">
        <w:rPr>
          <w:rFonts w:ascii="Verdana" w:hAnsi="Verdana"/>
          <w:sz w:val="20"/>
          <w:lang w:val="es-CR"/>
        </w:rPr>
        <w:t>)</w:t>
      </w:r>
      <w:r w:rsidR="000D6B9A" w:rsidRPr="008A0B4C">
        <w:rPr>
          <w:rFonts w:ascii="Verdana" w:hAnsi="Verdana"/>
          <w:sz w:val="20"/>
          <w:lang w:val="es-CR"/>
        </w:rPr>
        <w:t>,</w:t>
      </w:r>
      <w:r w:rsidR="008A0B4C" w:rsidRPr="008A0B4C">
        <w:rPr>
          <w:rFonts w:ascii="Verdana" w:hAnsi="Verdana"/>
          <w:sz w:val="20"/>
          <w:lang w:val="es-CR"/>
        </w:rPr>
        <w:t xml:space="preserve"> </w:t>
      </w:r>
      <w:r w:rsidR="000D6B9A" w:rsidRPr="008A0B4C">
        <w:rPr>
          <w:rFonts w:ascii="Verdana" w:hAnsi="Verdana"/>
          <w:sz w:val="20"/>
          <w:lang w:val="es-CR"/>
        </w:rPr>
        <w:t>se tiene conocimiento de</w:t>
      </w:r>
      <w:r w:rsidR="008A0B4C">
        <w:rPr>
          <w:rFonts w:ascii="Verdana" w:hAnsi="Verdana"/>
          <w:sz w:val="20"/>
          <w:lang w:val="es-CR"/>
        </w:rPr>
        <w:t xml:space="preserve"> lo siguiente:</w:t>
      </w:r>
      <w:r w:rsidR="000D6B9A" w:rsidRPr="008A0B4C">
        <w:rPr>
          <w:rFonts w:ascii="Verdana" w:hAnsi="Verdana"/>
          <w:sz w:val="20"/>
          <w:lang w:val="es-CR"/>
        </w:rPr>
        <w:t xml:space="preserve"> </w:t>
      </w:r>
    </w:p>
    <w:p w:rsidR="008A0B4C" w:rsidRDefault="00A83000" w:rsidP="008A0B4C">
      <w:pPr>
        <w:pStyle w:val="ListParagraph"/>
        <w:numPr>
          <w:ilvl w:val="5"/>
          <w:numId w:val="1"/>
        </w:numPr>
        <w:tabs>
          <w:tab w:val="clear" w:pos="4320"/>
        </w:tabs>
        <w:spacing w:before="120" w:after="120"/>
        <w:ind w:left="993" w:right="17"/>
        <w:contextualSpacing w:val="0"/>
        <w:jc w:val="both"/>
        <w:rPr>
          <w:rFonts w:ascii="Verdana" w:hAnsi="Verdana"/>
          <w:sz w:val="20"/>
        </w:rPr>
      </w:pPr>
      <w:r>
        <w:rPr>
          <w:rFonts w:ascii="Verdana" w:hAnsi="Verdana"/>
          <w:sz w:val="20"/>
          <w:lang w:val="es-CR"/>
        </w:rPr>
        <w:t>E</w:t>
      </w:r>
      <w:r w:rsidR="008A0B4C" w:rsidRPr="000D6B9A">
        <w:rPr>
          <w:rFonts w:ascii="Verdana" w:hAnsi="Verdana"/>
          <w:sz w:val="20"/>
          <w:lang w:val="es-CR"/>
        </w:rPr>
        <w:t xml:space="preserve">l 21 de noviembre de 2018 el Contralor de Bogotá confirmó la existencia de nuevas sanciones en el marco </w:t>
      </w:r>
      <w:r w:rsidR="008A0B4C">
        <w:rPr>
          <w:rFonts w:ascii="Verdana" w:hAnsi="Verdana"/>
          <w:sz w:val="20"/>
          <w:lang w:val="es-CR"/>
        </w:rPr>
        <w:t xml:space="preserve">de </w:t>
      </w:r>
      <w:r w:rsidR="008A0B4C" w:rsidRPr="000D6B9A">
        <w:rPr>
          <w:rFonts w:ascii="Verdana" w:hAnsi="Verdana"/>
          <w:sz w:val="20"/>
          <w:lang w:val="es-CR"/>
        </w:rPr>
        <w:t>procesos de responsabilidad fiscal por la implementación del esquema de basuras durante su administración como Alcalde de Bogotá</w:t>
      </w:r>
      <w:r w:rsidR="008A0B4C">
        <w:rPr>
          <w:rStyle w:val="FootnoteReference"/>
          <w:sz w:val="20"/>
          <w:lang w:val="es-CR"/>
        </w:rPr>
        <w:footnoteReference w:id="9"/>
      </w:r>
      <w:r w:rsidR="008A0B4C" w:rsidRPr="000D6B9A">
        <w:rPr>
          <w:rFonts w:ascii="Verdana" w:hAnsi="Verdana"/>
          <w:sz w:val="20"/>
          <w:lang w:val="es-CR"/>
        </w:rPr>
        <w:t>, cuyo multa es por $40.595.975.545 millones de pesos (USD $12.670.61</w:t>
      </w:r>
      <w:r w:rsidR="00454715">
        <w:rPr>
          <w:rFonts w:ascii="Verdana" w:hAnsi="Verdana"/>
          <w:sz w:val="20"/>
          <w:lang w:val="es-CR"/>
        </w:rPr>
        <w:t>0</w:t>
      </w:r>
      <w:r w:rsidR="008A0B4C" w:rsidRPr="000D6B9A">
        <w:rPr>
          <w:rFonts w:ascii="Verdana" w:hAnsi="Verdana"/>
          <w:sz w:val="20"/>
          <w:lang w:val="es-CR"/>
        </w:rPr>
        <w:t>.3) por detriment</w:t>
      </w:r>
      <w:r w:rsidR="00454715">
        <w:rPr>
          <w:rFonts w:ascii="Verdana" w:hAnsi="Verdana"/>
          <w:sz w:val="20"/>
          <w:lang w:val="es-CR"/>
        </w:rPr>
        <w:t>o</w:t>
      </w:r>
      <w:r w:rsidR="008A0B4C" w:rsidRPr="000D6B9A">
        <w:rPr>
          <w:rFonts w:ascii="Verdana" w:hAnsi="Verdana"/>
          <w:sz w:val="20"/>
          <w:lang w:val="es-CR"/>
        </w:rPr>
        <w:t xml:space="preserve"> patrimonial en el sistema de aseo al comprar 218 vehículos para prestar el servicio de aseo y recolección de basuras. </w:t>
      </w:r>
      <w:r w:rsidR="008A0B4C" w:rsidRPr="00E02786">
        <w:rPr>
          <w:rFonts w:ascii="Verdana" w:hAnsi="Verdana"/>
          <w:sz w:val="20"/>
        </w:rPr>
        <w:t>Dicho proceso se habría iniciado el 23 de septiembre de 2013.</w:t>
      </w:r>
    </w:p>
    <w:p w:rsidR="008A0B4C" w:rsidRDefault="000D6B9A" w:rsidP="008A0B4C">
      <w:pPr>
        <w:pStyle w:val="ListParagraph"/>
        <w:numPr>
          <w:ilvl w:val="5"/>
          <w:numId w:val="1"/>
        </w:numPr>
        <w:tabs>
          <w:tab w:val="clear" w:pos="4320"/>
        </w:tabs>
        <w:spacing w:before="120" w:after="120"/>
        <w:ind w:left="993" w:right="17"/>
        <w:contextualSpacing w:val="0"/>
        <w:jc w:val="both"/>
        <w:rPr>
          <w:rFonts w:ascii="Verdana" w:hAnsi="Verdana"/>
          <w:sz w:val="20"/>
          <w:lang w:val="es-CR"/>
        </w:rPr>
      </w:pPr>
      <w:r w:rsidRPr="008A0B4C">
        <w:rPr>
          <w:rFonts w:ascii="Verdana" w:hAnsi="Verdana"/>
          <w:sz w:val="20"/>
          <w:lang w:val="es-CR"/>
        </w:rPr>
        <w:t xml:space="preserve">Según declaraciones del Contralor de Bogotá, este órgano impuso una nueva sanción al </w:t>
      </w:r>
      <w:r w:rsidR="00454715">
        <w:rPr>
          <w:rFonts w:ascii="Verdana" w:hAnsi="Verdana"/>
          <w:sz w:val="20"/>
          <w:lang w:val="es-CR"/>
        </w:rPr>
        <w:t xml:space="preserve">señor </w:t>
      </w:r>
      <w:r w:rsidRPr="008A0B4C">
        <w:rPr>
          <w:rFonts w:ascii="Verdana" w:hAnsi="Verdana"/>
          <w:sz w:val="20"/>
          <w:lang w:val="es-CR"/>
        </w:rPr>
        <w:t xml:space="preserve">Petro </w:t>
      </w:r>
      <w:r w:rsidR="00454715">
        <w:rPr>
          <w:rFonts w:ascii="Verdana" w:hAnsi="Verdana"/>
          <w:sz w:val="20"/>
          <w:lang w:val="es-CR"/>
        </w:rPr>
        <w:t xml:space="preserve">Urrego </w:t>
      </w:r>
      <w:r w:rsidRPr="008A0B4C">
        <w:rPr>
          <w:rFonts w:ascii="Verdana" w:hAnsi="Verdana"/>
          <w:sz w:val="20"/>
          <w:lang w:val="es-CR"/>
        </w:rPr>
        <w:t xml:space="preserve">por un valor de $97.654.174.120 millones de pesos (USD </w:t>
      </w:r>
      <w:r w:rsidRPr="008A0B4C">
        <w:rPr>
          <w:rFonts w:ascii="Verdana" w:hAnsi="Verdana"/>
          <w:sz w:val="20"/>
          <w:lang w:val="es-CR"/>
        </w:rPr>
        <w:lastRenderedPageBreak/>
        <w:t xml:space="preserve">$30.516.929.4), tomando en consideración que, durante el </w:t>
      </w:r>
      <w:r w:rsidR="008A0B4C" w:rsidRPr="008A0B4C">
        <w:rPr>
          <w:rFonts w:ascii="Verdana" w:hAnsi="Verdana"/>
          <w:sz w:val="20"/>
          <w:lang w:val="es-CR"/>
        </w:rPr>
        <w:t xml:space="preserve">año </w:t>
      </w:r>
      <w:r w:rsidRPr="008A0B4C">
        <w:rPr>
          <w:rFonts w:ascii="Verdana" w:hAnsi="Verdana"/>
          <w:sz w:val="20"/>
          <w:lang w:val="es-CR"/>
        </w:rPr>
        <w:t xml:space="preserve">2016, la Alcaldía Mayor de Bogotá –en cabeza del actual Alcalde </w:t>
      </w:r>
      <w:r w:rsidR="008A0B4C" w:rsidRPr="008A0B4C">
        <w:rPr>
          <w:rFonts w:ascii="Verdana" w:hAnsi="Verdana"/>
          <w:sz w:val="20"/>
          <w:lang w:val="es-CR"/>
        </w:rPr>
        <w:t xml:space="preserve">señor </w:t>
      </w:r>
      <w:r w:rsidRPr="002E1DD4">
        <w:rPr>
          <w:rFonts w:ascii="Verdana" w:hAnsi="Verdana"/>
          <w:sz w:val="20"/>
          <w:lang w:val="es-CR"/>
        </w:rPr>
        <w:t>Enrique Peñalosa</w:t>
      </w:r>
      <w:r w:rsidRPr="008A0B4C">
        <w:rPr>
          <w:rFonts w:ascii="Verdana" w:hAnsi="Verdana"/>
          <w:sz w:val="20"/>
          <w:lang w:val="es-CR"/>
        </w:rPr>
        <w:t>– pagó la multa impuesta a</w:t>
      </w:r>
      <w:r w:rsidR="00454715">
        <w:rPr>
          <w:rFonts w:ascii="Verdana" w:hAnsi="Verdana"/>
          <w:sz w:val="20"/>
          <w:lang w:val="es-CR"/>
        </w:rPr>
        <w:t xml:space="preserve">l solicitante </w:t>
      </w:r>
      <w:r w:rsidRPr="008A0B4C">
        <w:rPr>
          <w:rFonts w:ascii="Verdana" w:hAnsi="Verdana"/>
          <w:sz w:val="20"/>
          <w:lang w:val="es-CR"/>
        </w:rPr>
        <w:t>en el marco del proceso resuelto por la S</w:t>
      </w:r>
      <w:r w:rsidR="008A0B4C" w:rsidRPr="008A0B4C">
        <w:rPr>
          <w:rFonts w:ascii="Verdana" w:hAnsi="Verdana"/>
          <w:sz w:val="20"/>
          <w:lang w:val="es-CR"/>
        </w:rPr>
        <w:t xml:space="preserve">uperintendencia de </w:t>
      </w:r>
      <w:r w:rsidRPr="008A0B4C">
        <w:rPr>
          <w:rFonts w:ascii="Verdana" w:hAnsi="Verdana"/>
          <w:sz w:val="20"/>
          <w:lang w:val="es-CR"/>
        </w:rPr>
        <w:t>I</w:t>
      </w:r>
      <w:r w:rsidR="008A0B4C" w:rsidRPr="008A0B4C">
        <w:rPr>
          <w:rFonts w:ascii="Verdana" w:hAnsi="Verdana"/>
          <w:sz w:val="20"/>
          <w:lang w:val="es-CR"/>
        </w:rPr>
        <w:t>ndustria y Comercio</w:t>
      </w:r>
      <w:r w:rsidR="008A0B4C">
        <w:rPr>
          <w:rStyle w:val="FootnoteReference"/>
          <w:sz w:val="20"/>
          <w:lang w:val="es-CR"/>
        </w:rPr>
        <w:footnoteReference w:id="10"/>
      </w:r>
      <w:r w:rsidR="008A0B4C" w:rsidRPr="008A0B4C">
        <w:rPr>
          <w:rFonts w:ascii="Verdana" w:hAnsi="Verdana"/>
          <w:sz w:val="20"/>
          <w:lang w:val="es-CR"/>
        </w:rPr>
        <w:t xml:space="preserve">. </w:t>
      </w:r>
      <w:r w:rsidRPr="008A0B4C">
        <w:rPr>
          <w:rFonts w:ascii="Verdana" w:hAnsi="Verdana"/>
          <w:sz w:val="20"/>
          <w:lang w:val="es-CR"/>
        </w:rPr>
        <w:t xml:space="preserve">La Contraloría de Bogotá indicó que la responsabilidad fiscal se consumó al momento de pagar la multa y que dicha responsabilidad recaía sobre </w:t>
      </w:r>
      <w:r w:rsidR="00454715">
        <w:rPr>
          <w:rFonts w:ascii="Verdana" w:hAnsi="Verdana"/>
          <w:sz w:val="20"/>
          <w:lang w:val="es-CR"/>
        </w:rPr>
        <w:t xml:space="preserve">el señor </w:t>
      </w:r>
      <w:r w:rsidRPr="008A0B4C">
        <w:rPr>
          <w:rFonts w:ascii="Verdana" w:hAnsi="Verdana"/>
          <w:sz w:val="20"/>
          <w:lang w:val="es-CR"/>
        </w:rPr>
        <w:t>Petro</w:t>
      </w:r>
      <w:r w:rsidR="00454715">
        <w:rPr>
          <w:rFonts w:ascii="Verdana" w:hAnsi="Verdana"/>
          <w:sz w:val="20"/>
          <w:lang w:val="es-CR"/>
        </w:rPr>
        <w:t xml:space="preserve"> Urrego</w:t>
      </w:r>
      <w:r w:rsidRPr="008A0B4C">
        <w:rPr>
          <w:rFonts w:ascii="Verdana" w:hAnsi="Verdana"/>
          <w:sz w:val="20"/>
          <w:lang w:val="es-CR"/>
        </w:rPr>
        <w:t>, pese a que la orden del pago se realizó durante la gestión de su sucesor, sin estar</w:t>
      </w:r>
      <w:r w:rsidR="008A0B4C" w:rsidRPr="008A0B4C">
        <w:rPr>
          <w:rFonts w:ascii="Verdana" w:hAnsi="Verdana"/>
          <w:sz w:val="20"/>
          <w:lang w:val="es-CR"/>
        </w:rPr>
        <w:t xml:space="preserve"> éste</w:t>
      </w:r>
      <w:r w:rsidRPr="008A0B4C">
        <w:rPr>
          <w:rFonts w:ascii="Verdana" w:hAnsi="Verdana"/>
          <w:sz w:val="20"/>
          <w:lang w:val="es-CR"/>
        </w:rPr>
        <w:t xml:space="preserve"> obligado.</w:t>
      </w:r>
      <w:r w:rsidR="008A0B4C" w:rsidRPr="008A0B4C">
        <w:rPr>
          <w:rFonts w:ascii="Verdana" w:hAnsi="Verdana"/>
          <w:sz w:val="20"/>
          <w:lang w:val="es-CR"/>
        </w:rPr>
        <w:t xml:space="preserve"> </w:t>
      </w:r>
      <w:r w:rsidR="008A0B4C">
        <w:rPr>
          <w:rFonts w:ascii="Verdana" w:hAnsi="Verdana"/>
          <w:sz w:val="20"/>
          <w:lang w:val="es-CR"/>
        </w:rPr>
        <w:t xml:space="preserve">El señor </w:t>
      </w:r>
      <w:r w:rsidRPr="008A0B4C">
        <w:rPr>
          <w:rFonts w:ascii="Verdana" w:hAnsi="Verdana"/>
          <w:sz w:val="20"/>
          <w:lang w:val="es-CR"/>
        </w:rPr>
        <w:t xml:space="preserve">Petro </w:t>
      </w:r>
      <w:r w:rsidR="00454715">
        <w:rPr>
          <w:rFonts w:ascii="Verdana" w:hAnsi="Verdana"/>
          <w:sz w:val="20"/>
          <w:lang w:val="es-CR"/>
        </w:rPr>
        <w:t xml:space="preserve">Urrego </w:t>
      </w:r>
      <w:r w:rsidRPr="008A0B4C">
        <w:rPr>
          <w:rFonts w:ascii="Verdana" w:hAnsi="Verdana"/>
          <w:sz w:val="20"/>
          <w:lang w:val="es-CR"/>
        </w:rPr>
        <w:t xml:space="preserve">declaró que la Alcaldía pagó innecesariamente </w:t>
      </w:r>
      <w:r w:rsidR="008A0B4C">
        <w:rPr>
          <w:rFonts w:ascii="Verdana" w:hAnsi="Verdana"/>
          <w:sz w:val="20"/>
          <w:lang w:val="es-CR"/>
        </w:rPr>
        <w:t>tal</w:t>
      </w:r>
      <w:r w:rsidRPr="008A0B4C">
        <w:rPr>
          <w:rFonts w:ascii="Verdana" w:hAnsi="Verdana"/>
          <w:sz w:val="20"/>
          <w:lang w:val="es-CR"/>
        </w:rPr>
        <w:t xml:space="preserve"> multa, ya que se encontraba suspendida, </w:t>
      </w:r>
      <w:r w:rsidR="008A0B4C">
        <w:rPr>
          <w:rFonts w:ascii="Verdana" w:hAnsi="Verdana"/>
          <w:sz w:val="20"/>
          <w:lang w:val="es-CR"/>
        </w:rPr>
        <w:t xml:space="preserve">según el </w:t>
      </w:r>
      <w:r w:rsidRPr="008A0B4C">
        <w:rPr>
          <w:rFonts w:ascii="Verdana" w:hAnsi="Verdana"/>
          <w:sz w:val="20"/>
          <w:lang w:val="es-CR"/>
        </w:rPr>
        <w:t>artículo 831 del Estatuto Tributario.</w:t>
      </w:r>
    </w:p>
    <w:p w:rsidR="00DC2574" w:rsidRDefault="000D6B9A" w:rsidP="00DC2574">
      <w:pPr>
        <w:pStyle w:val="ListParagraph"/>
        <w:numPr>
          <w:ilvl w:val="5"/>
          <w:numId w:val="1"/>
        </w:numPr>
        <w:tabs>
          <w:tab w:val="clear" w:pos="4320"/>
        </w:tabs>
        <w:spacing w:before="120" w:after="120"/>
        <w:ind w:left="993" w:right="17"/>
        <w:contextualSpacing w:val="0"/>
        <w:jc w:val="both"/>
        <w:rPr>
          <w:rFonts w:ascii="Verdana" w:hAnsi="Verdana"/>
          <w:sz w:val="20"/>
          <w:lang w:val="es-CR"/>
        </w:rPr>
      </w:pPr>
      <w:r w:rsidRPr="008A0B4C">
        <w:rPr>
          <w:rFonts w:ascii="Verdana" w:eastAsia="Batang" w:hAnsi="Verdana"/>
          <w:sz w:val="20"/>
          <w:lang w:val="es-CR"/>
        </w:rPr>
        <w:t>Sobre</w:t>
      </w:r>
      <w:r w:rsidRPr="008A0B4C">
        <w:rPr>
          <w:rFonts w:ascii="Verdana" w:hAnsi="Verdana"/>
          <w:sz w:val="20"/>
          <w:lang w:val="es-CR"/>
        </w:rPr>
        <w:t xml:space="preserve"> la suspensión de medidas cautelares dictadas en el marco del proceso de responsabilidad fiscal por la reducción de tarifas de Transmilenio S.A</w:t>
      </w:r>
      <w:r w:rsidR="008A0B4C">
        <w:rPr>
          <w:rFonts w:ascii="Verdana" w:hAnsi="Verdana"/>
          <w:sz w:val="20"/>
          <w:lang w:val="es-CR"/>
        </w:rPr>
        <w:t>.</w:t>
      </w:r>
      <w:r w:rsidR="00325907">
        <w:rPr>
          <w:rFonts w:ascii="Verdana" w:hAnsi="Verdana"/>
          <w:sz w:val="20"/>
          <w:lang w:val="es-CR"/>
        </w:rPr>
        <w:t>,</w:t>
      </w:r>
      <w:r w:rsidR="008A0B4C">
        <w:rPr>
          <w:rFonts w:ascii="Verdana" w:hAnsi="Verdana"/>
          <w:sz w:val="20"/>
          <w:lang w:val="es-CR"/>
        </w:rPr>
        <w:t xml:space="preserve"> e</w:t>
      </w:r>
      <w:r w:rsidRPr="008A0B4C">
        <w:rPr>
          <w:rFonts w:ascii="Verdana" w:hAnsi="Verdana"/>
          <w:sz w:val="20"/>
          <w:lang w:val="es-CR"/>
        </w:rPr>
        <w:t>l 22 de noviembre de 2018 el Consejo de Estado levantó las medidas cautelares otorgadas por el Tribunal Administrativo de Cundinamarca que suspendían los efectos de la sanción impuesta por la Contraloría de Bogotá por la modificación de las tarifas de Transmilenio S.A., debido a que la decisión de otorgar medidas cautelares deb</w:t>
      </w:r>
      <w:r w:rsidR="00325907">
        <w:rPr>
          <w:rFonts w:ascii="Verdana" w:hAnsi="Verdana"/>
          <w:sz w:val="20"/>
          <w:lang w:val="es-CR"/>
        </w:rPr>
        <w:t xml:space="preserve">ía </w:t>
      </w:r>
      <w:r w:rsidRPr="008A0B4C">
        <w:rPr>
          <w:rFonts w:ascii="Verdana" w:hAnsi="Verdana"/>
          <w:sz w:val="20"/>
          <w:lang w:val="es-CR"/>
        </w:rPr>
        <w:t xml:space="preserve">ser adoptada por la Sala del Tribunal, por tratarse de un cuerpo colegiado, y no de manera unipersonal por el magistrado ponente, como sucedió en ese caso. </w:t>
      </w:r>
    </w:p>
    <w:p w:rsidR="00DC2574" w:rsidRPr="002E1DD4" w:rsidRDefault="00DC2574" w:rsidP="00A83534">
      <w:pPr>
        <w:pStyle w:val="ListParagraph"/>
        <w:numPr>
          <w:ilvl w:val="5"/>
          <w:numId w:val="1"/>
        </w:numPr>
        <w:tabs>
          <w:tab w:val="clear" w:pos="4320"/>
        </w:tabs>
        <w:spacing w:before="120" w:after="120"/>
        <w:ind w:left="993" w:right="17"/>
        <w:contextualSpacing w:val="0"/>
        <w:jc w:val="both"/>
        <w:rPr>
          <w:rFonts w:ascii="Verdana" w:hAnsi="Verdana"/>
          <w:sz w:val="20"/>
          <w:lang w:val="es-CR"/>
        </w:rPr>
      </w:pPr>
      <w:r>
        <w:rPr>
          <w:rFonts w:ascii="Verdana" w:eastAsia="Batang" w:hAnsi="Verdana"/>
          <w:sz w:val="20"/>
          <w:lang w:val="es-CR"/>
        </w:rPr>
        <w:t xml:space="preserve">Existen </w:t>
      </w:r>
      <w:r w:rsidR="000D6B9A" w:rsidRPr="00DC2574">
        <w:rPr>
          <w:rFonts w:ascii="Verdana" w:hAnsi="Verdana"/>
          <w:sz w:val="20"/>
          <w:lang w:val="es-CR"/>
        </w:rPr>
        <w:t xml:space="preserve">procesos de responsabilidad fiscal pendientes </w:t>
      </w:r>
      <w:r w:rsidRPr="00DC2574">
        <w:rPr>
          <w:rFonts w:ascii="Verdana" w:hAnsi="Verdana"/>
          <w:sz w:val="20"/>
          <w:lang w:val="es-CR"/>
        </w:rPr>
        <w:t>de</w:t>
      </w:r>
      <w:r w:rsidR="000D6B9A" w:rsidRPr="00DC2574">
        <w:rPr>
          <w:rFonts w:ascii="Verdana" w:hAnsi="Verdana"/>
          <w:sz w:val="20"/>
          <w:lang w:val="es-CR"/>
        </w:rPr>
        <w:t xml:space="preserve"> fallar por parte de la Contraloría de Bogotá</w:t>
      </w:r>
      <w:r>
        <w:rPr>
          <w:rFonts w:ascii="Verdana" w:hAnsi="Verdana"/>
          <w:sz w:val="20"/>
          <w:lang w:val="es-CR"/>
        </w:rPr>
        <w:t>: e</w:t>
      </w:r>
      <w:r w:rsidR="000D6B9A" w:rsidRPr="00DC2574">
        <w:rPr>
          <w:rFonts w:ascii="Verdana" w:hAnsi="Verdana"/>
          <w:sz w:val="20"/>
          <w:lang w:val="es-CR"/>
        </w:rPr>
        <w:t>n octubre de 2016 la Contraloría de Bogotá abrió otro proceso de responsabilidad fiscal</w:t>
      </w:r>
      <w:r>
        <w:rPr>
          <w:rFonts w:ascii="Verdana" w:hAnsi="Verdana"/>
          <w:sz w:val="20"/>
          <w:lang w:val="es-CR"/>
        </w:rPr>
        <w:t xml:space="preserve"> contra el señor Petro </w:t>
      </w:r>
      <w:r w:rsidR="00325907">
        <w:rPr>
          <w:rFonts w:ascii="Verdana" w:hAnsi="Verdana"/>
          <w:sz w:val="20"/>
          <w:lang w:val="es-CR"/>
        </w:rPr>
        <w:t xml:space="preserve">Urrego </w:t>
      </w:r>
      <w:r>
        <w:rPr>
          <w:rFonts w:ascii="Verdana" w:hAnsi="Verdana"/>
          <w:sz w:val="20"/>
          <w:lang w:val="es-CR"/>
        </w:rPr>
        <w:t>en relación con</w:t>
      </w:r>
      <w:r w:rsidR="000D6B9A" w:rsidRPr="00DC2574">
        <w:rPr>
          <w:rFonts w:ascii="Verdana" w:hAnsi="Verdana"/>
          <w:sz w:val="20"/>
          <w:lang w:val="es-CR"/>
        </w:rPr>
        <w:t xml:space="preserve"> la recompra de acciones de la Transportadora de Gas Internacional (TGI), las cuales fueron vendidas durante la Alcaldía de Samuel Moreno por un valor de USD $400.000.000. Cuando el señor Gustavo Petro </w:t>
      </w:r>
      <w:r w:rsidR="000D6B9A" w:rsidRPr="002E1DD4">
        <w:rPr>
          <w:rFonts w:ascii="Verdana" w:hAnsi="Verdana"/>
          <w:sz w:val="20"/>
          <w:lang w:val="es-CR"/>
        </w:rPr>
        <w:t xml:space="preserve">se desempeñaba como Alcalde realizó la recompra de estas acciones por un valor de USD $880.000.000. La Contraloría consideró que este hecho generó un detrimento patrimonial, imputándole responsabilidad fiscal por $USD 279.357.190. </w:t>
      </w:r>
      <w:r w:rsidR="000D6B9A" w:rsidRPr="002E1DD4">
        <w:rPr>
          <w:rFonts w:ascii="Verdana" w:hAnsi="Verdana"/>
          <w:sz w:val="20"/>
        </w:rPr>
        <w:t>A la fecha no hay un fallo definitivo.</w:t>
      </w:r>
    </w:p>
    <w:p w:rsidR="000D6B9A" w:rsidRPr="00DC2574" w:rsidRDefault="000D6B9A" w:rsidP="000D6B9A">
      <w:pPr>
        <w:pStyle w:val="ListParagraph"/>
        <w:numPr>
          <w:ilvl w:val="5"/>
          <w:numId w:val="1"/>
        </w:numPr>
        <w:tabs>
          <w:tab w:val="clear" w:pos="4320"/>
        </w:tabs>
        <w:spacing w:before="120" w:after="120"/>
        <w:ind w:left="993" w:right="17"/>
        <w:contextualSpacing w:val="0"/>
        <w:jc w:val="both"/>
        <w:rPr>
          <w:rFonts w:ascii="Verdana" w:hAnsi="Verdana"/>
          <w:sz w:val="20"/>
          <w:lang w:val="es-CR"/>
        </w:rPr>
      </w:pPr>
      <w:r w:rsidRPr="00DC2574">
        <w:rPr>
          <w:rFonts w:ascii="Verdana" w:eastAsia="Batang" w:hAnsi="Verdana"/>
          <w:sz w:val="20"/>
          <w:lang w:val="es-CR"/>
        </w:rPr>
        <w:t>Sobre</w:t>
      </w:r>
      <w:r w:rsidRPr="00DC2574">
        <w:rPr>
          <w:rFonts w:ascii="Verdana" w:hAnsi="Verdana"/>
          <w:sz w:val="20"/>
          <w:lang w:val="es-CR"/>
        </w:rPr>
        <w:t xml:space="preserve"> la medida cautelar de embargo sobre el salario del señor Petro </w:t>
      </w:r>
      <w:r w:rsidR="00325907">
        <w:rPr>
          <w:rFonts w:ascii="Verdana" w:hAnsi="Verdana"/>
          <w:sz w:val="20"/>
          <w:lang w:val="es-CR"/>
        </w:rPr>
        <w:t xml:space="preserve">Urrego </w:t>
      </w:r>
      <w:r w:rsidRPr="00DC2574">
        <w:rPr>
          <w:rFonts w:ascii="Verdana" w:hAnsi="Verdana"/>
          <w:sz w:val="20"/>
          <w:lang w:val="es-CR"/>
        </w:rPr>
        <w:t>percibido en su cargo como Senador de la República</w:t>
      </w:r>
      <w:r w:rsidR="002E1DD4">
        <w:rPr>
          <w:rFonts w:ascii="Verdana" w:hAnsi="Verdana"/>
          <w:sz w:val="20"/>
          <w:lang w:val="es-CR"/>
        </w:rPr>
        <w:t>,</w:t>
      </w:r>
      <w:r w:rsidR="00DC2574">
        <w:rPr>
          <w:rFonts w:ascii="Verdana" w:hAnsi="Verdana"/>
          <w:sz w:val="20"/>
          <w:lang w:val="es-CR"/>
        </w:rPr>
        <w:t xml:space="preserve"> e</w:t>
      </w:r>
      <w:r w:rsidRPr="00DC2574">
        <w:rPr>
          <w:rFonts w:ascii="Verdana" w:hAnsi="Verdana"/>
          <w:sz w:val="20"/>
          <w:lang w:val="es-CR"/>
        </w:rPr>
        <w:t>l 4 de julio de 2018 la Superintendencia de Industria y Comercio</w:t>
      </w:r>
      <w:r w:rsidR="00792C0D">
        <w:rPr>
          <w:rFonts w:ascii="Verdana" w:hAnsi="Verdana"/>
          <w:sz w:val="20"/>
          <w:lang w:val="es-CR"/>
        </w:rPr>
        <w:t xml:space="preserve"> –SIC- </w:t>
      </w:r>
      <w:r w:rsidRPr="00DC2574">
        <w:rPr>
          <w:rFonts w:ascii="Verdana" w:hAnsi="Verdana"/>
          <w:sz w:val="20"/>
          <w:lang w:val="es-CR"/>
        </w:rPr>
        <w:t xml:space="preserve">notificó al </w:t>
      </w:r>
      <w:r w:rsidR="00792C0D">
        <w:rPr>
          <w:rFonts w:ascii="Verdana" w:hAnsi="Verdana"/>
          <w:sz w:val="20"/>
          <w:lang w:val="es-CR"/>
        </w:rPr>
        <w:t xml:space="preserve">solicitante </w:t>
      </w:r>
      <w:r w:rsidRPr="00DC2574">
        <w:rPr>
          <w:rFonts w:ascii="Verdana" w:hAnsi="Verdana"/>
          <w:sz w:val="20"/>
          <w:lang w:val="es-CR"/>
        </w:rPr>
        <w:t>un cobro coactivo que ordena un embargo sobre su salario. Específicamente, se hizo mención a la Resolución No. 87007 de 4 de noviembre de 2015, mediante la cual se libró mandamiento de pago y se ordenó la medida cautelar de embargo sobre los salarios y otros valores cuya titularidad estuvieran en cabeza del señor Petro</w:t>
      </w:r>
      <w:r w:rsidR="00792C0D">
        <w:rPr>
          <w:rFonts w:ascii="Verdana" w:hAnsi="Verdana"/>
          <w:sz w:val="20"/>
          <w:lang w:val="es-CR"/>
        </w:rPr>
        <w:t xml:space="preserve"> Urrego</w:t>
      </w:r>
      <w:r w:rsidRPr="00DC2574">
        <w:rPr>
          <w:rFonts w:ascii="Verdana" w:hAnsi="Verdana"/>
          <w:sz w:val="20"/>
          <w:lang w:val="es-CR"/>
        </w:rPr>
        <w:t>. De esta forma, la SIC ordenó al Senado de la República ejecutar la medida cautelar de embargo “sobre la quinta parte del salario que exceda del salario mínimo legal mensual vigente, de los dineros que se encuentren, a favor de seleccionado y de los que vaya a devengar en su calidad de Senador, en cuantía de $876.044.271”</w:t>
      </w:r>
      <w:r w:rsidR="00792C0D">
        <w:rPr>
          <w:rFonts w:ascii="Verdana" w:hAnsi="Verdana"/>
          <w:sz w:val="20"/>
          <w:lang w:val="es-CR"/>
        </w:rPr>
        <w:t>.</w:t>
      </w:r>
    </w:p>
    <w:p w:rsidR="00EF5304" w:rsidRPr="008A7E60" w:rsidRDefault="008A7E60" w:rsidP="008A7E60">
      <w:pPr>
        <w:pStyle w:val="ListParagraph"/>
        <w:numPr>
          <w:ilvl w:val="0"/>
          <w:numId w:val="8"/>
        </w:numPr>
        <w:spacing w:before="120" w:after="120"/>
        <w:ind w:left="0" w:right="17" w:firstLine="0"/>
        <w:contextualSpacing w:val="0"/>
        <w:jc w:val="both"/>
        <w:rPr>
          <w:rFonts w:ascii="Verdana" w:hAnsi="Verdana"/>
          <w:sz w:val="20"/>
          <w:lang w:val="es-CR"/>
        </w:rPr>
      </w:pPr>
      <w:r>
        <w:rPr>
          <w:rFonts w:ascii="Verdana" w:hAnsi="Verdana"/>
          <w:sz w:val="20"/>
          <w:lang w:val="es-CR"/>
        </w:rPr>
        <w:t>Los representantes señalaron que la suma</w:t>
      </w:r>
      <w:r w:rsidR="00EF5304" w:rsidRPr="00EF5304">
        <w:rPr>
          <w:rFonts w:ascii="Verdana" w:hAnsi="Verdana"/>
          <w:sz w:val="20"/>
          <w:lang w:val="es-CR"/>
        </w:rPr>
        <w:t xml:space="preserve"> de las sanciones impuestas al señor Gustavo Petro Urrego en el marco de los </w:t>
      </w:r>
      <w:r w:rsidR="00EF5304" w:rsidRPr="008A7E60">
        <w:rPr>
          <w:rFonts w:ascii="Verdana" w:eastAsia="Batang" w:hAnsi="Verdana"/>
          <w:sz w:val="20"/>
          <w:lang w:val="es-CR"/>
        </w:rPr>
        <w:t>procesos</w:t>
      </w:r>
      <w:r w:rsidR="00EF5304" w:rsidRPr="00EF5304">
        <w:rPr>
          <w:rFonts w:ascii="Verdana" w:hAnsi="Verdana"/>
          <w:sz w:val="20"/>
          <w:lang w:val="es-CR"/>
        </w:rPr>
        <w:t xml:space="preserve"> de responsabilidad fiscal ascienden a $453.107.007.654 millones de pesos (USD $141.595.939.8).</w:t>
      </w:r>
      <w:r>
        <w:rPr>
          <w:rFonts w:ascii="Verdana" w:hAnsi="Verdana"/>
          <w:sz w:val="20"/>
          <w:lang w:val="es-CR"/>
        </w:rPr>
        <w:t xml:space="preserve"> </w:t>
      </w:r>
      <w:r w:rsidR="00EF5304" w:rsidRPr="008A7E60">
        <w:rPr>
          <w:rFonts w:ascii="Verdana" w:hAnsi="Verdana"/>
          <w:sz w:val="20"/>
          <w:lang w:val="es-CR"/>
        </w:rPr>
        <w:t xml:space="preserve">Este hecho </w:t>
      </w:r>
      <w:r w:rsidR="002E1DD4">
        <w:rPr>
          <w:rFonts w:ascii="Verdana" w:hAnsi="Verdana"/>
          <w:sz w:val="20"/>
          <w:lang w:val="es-CR"/>
        </w:rPr>
        <w:t>ha generado</w:t>
      </w:r>
      <w:r w:rsidR="00EF5304" w:rsidRPr="008A7E60">
        <w:rPr>
          <w:rFonts w:ascii="Verdana" w:hAnsi="Verdana"/>
          <w:sz w:val="20"/>
          <w:lang w:val="es-CR"/>
        </w:rPr>
        <w:t xml:space="preserve"> una afectación mayor a sus derechos políticos, toda vez que, de acuerdo al artículo 60 de la Ley 610 de 2000, las personas que se encuentren reportadas en el Boletín de Responsables Fiscales estarán inhabilitadas para posesionarse en cualquier cargo de la función pública, hasta tanto no hayan cancelado el valor total de las sanciones por las que se encuentran allí inscritos.</w:t>
      </w:r>
    </w:p>
    <w:p w:rsidR="008A7E60" w:rsidRDefault="008A7E60" w:rsidP="008A7E60">
      <w:pPr>
        <w:pStyle w:val="ListParagraph"/>
        <w:numPr>
          <w:ilvl w:val="0"/>
          <w:numId w:val="8"/>
        </w:numPr>
        <w:spacing w:before="120" w:after="120"/>
        <w:ind w:left="0" w:right="17" w:firstLine="0"/>
        <w:contextualSpacing w:val="0"/>
        <w:jc w:val="both"/>
        <w:rPr>
          <w:rFonts w:ascii="Verdana" w:hAnsi="Verdana"/>
          <w:sz w:val="20"/>
          <w:lang w:val="es-CR"/>
        </w:rPr>
      </w:pPr>
      <w:r>
        <w:rPr>
          <w:rFonts w:ascii="Verdana" w:hAnsi="Verdana"/>
          <w:sz w:val="20"/>
          <w:lang w:val="es-CR"/>
        </w:rPr>
        <w:t>Alegaron que, s</w:t>
      </w:r>
      <w:r w:rsidR="00EF5304" w:rsidRPr="00EF5304">
        <w:rPr>
          <w:rFonts w:ascii="Verdana" w:hAnsi="Verdana"/>
          <w:sz w:val="20"/>
          <w:lang w:val="es-CR"/>
        </w:rPr>
        <w:t xml:space="preserve">umado a ello, </w:t>
      </w:r>
      <w:r>
        <w:rPr>
          <w:rFonts w:ascii="Verdana" w:hAnsi="Verdana"/>
          <w:sz w:val="20"/>
          <w:lang w:val="es-CR"/>
        </w:rPr>
        <w:t xml:space="preserve">según </w:t>
      </w:r>
      <w:r w:rsidR="00EF5304" w:rsidRPr="00EF5304">
        <w:rPr>
          <w:rFonts w:ascii="Verdana" w:hAnsi="Verdana"/>
          <w:sz w:val="20"/>
          <w:lang w:val="es-CR"/>
        </w:rPr>
        <w:t xml:space="preserve">la reciente interpretación de la Corte Constitucional sobre el artículo 60 de la Ley 610, dada en el marco de la sentencia C- 101 de 2018, la </w:t>
      </w:r>
      <w:r w:rsidR="00EF5304" w:rsidRPr="00EF5304">
        <w:rPr>
          <w:rFonts w:ascii="Verdana" w:hAnsi="Verdana"/>
          <w:sz w:val="20"/>
          <w:lang w:val="es-CR"/>
        </w:rPr>
        <w:lastRenderedPageBreak/>
        <w:t>inhabilidad derivada del no pago de las condenas dadas en procesos de responsabilidad fiscal no es inconstitucional ni es contraria al artículo 23.2 de la Convención.</w:t>
      </w:r>
    </w:p>
    <w:p w:rsidR="00EF5304" w:rsidRPr="008A7E60" w:rsidRDefault="008A7E60" w:rsidP="008A7E60">
      <w:pPr>
        <w:pStyle w:val="ListParagraph"/>
        <w:numPr>
          <w:ilvl w:val="0"/>
          <w:numId w:val="8"/>
        </w:numPr>
        <w:spacing w:before="120" w:after="120"/>
        <w:ind w:left="0" w:right="17" w:firstLine="0"/>
        <w:contextualSpacing w:val="0"/>
        <w:jc w:val="both"/>
        <w:rPr>
          <w:rFonts w:ascii="Verdana" w:hAnsi="Verdana"/>
          <w:sz w:val="20"/>
          <w:lang w:val="es-CR"/>
        </w:rPr>
      </w:pPr>
      <w:r>
        <w:rPr>
          <w:rFonts w:ascii="Verdana" w:hAnsi="Verdana"/>
          <w:sz w:val="20"/>
          <w:lang w:val="es-CR"/>
        </w:rPr>
        <w:t>De ese modo, señalaron que, a</w:t>
      </w:r>
      <w:r w:rsidR="00EF5304" w:rsidRPr="008A7E60">
        <w:rPr>
          <w:rFonts w:ascii="Verdana" w:hAnsi="Verdana"/>
          <w:sz w:val="20"/>
          <w:lang w:val="es-CR"/>
        </w:rPr>
        <w:t xml:space="preserve">ctualmente, la permanencia de Gustavo Petro Urrego en la curul del Senado de la República está en riesgo, tomando en consideración que, hasta tanto no efectúe el pago del monto de las sanciones impuestas, se encuentra incurso en inhabilidades para acceder a cargos públicos. </w:t>
      </w:r>
      <w:r>
        <w:rPr>
          <w:rFonts w:ascii="Verdana" w:hAnsi="Verdana"/>
          <w:sz w:val="20"/>
          <w:lang w:val="es-CR"/>
        </w:rPr>
        <w:t>Es decir, a</w:t>
      </w:r>
      <w:r w:rsidR="00EF5304" w:rsidRPr="008A7E60">
        <w:rPr>
          <w:rFonts w:ascii="Verdana" w:hAnsi="Verdana"/>
          <w:sz w:val="20"/>
          <w:lang w:val="es-CR"/>
        </w:rPr>
        <w:t>lega</w:t>
      </w:r>
      <w:r>
        <w:rPr>
          <w:rFonts w:ascii="Verdana" w:hAnsi="Verdana"/>
          <w:sz w:val="20"/>
          <w:lang w:val="es-CR"/>
        </w:rPr>
        <w:t>ro</w:t>
      </w:r>
      <w:r w:rsidR="00EF5304" w:rsidRPr="008A7E60">
        <w:rPr>
          <w:rFonts w:ascii="Verdana" w:hAnsi="Verdana"/>
          <w:sz w:val="20"/>
          <w:lang w:val="es-CR"/>
        </w:rPr>
        <w:t xml:space="preserve">n que la imposición de nuevas sanciones en el marco de procesos de responsabilidad fiscal; de decisiones judiciales que reactivaron los efectos de los fallos anteriormente emitidos por la Contraloría de Bogotá; y nuevos procesos de responsabilidad fiscal en curso, sumado a la interpretación que del artículo 60 de Ley 610 de 2000 realizó la Corte Constitucional, </w:t>
      </w:r>
      <w:r w:rsidR="002E1DD4">
        <w:rPr>
          <w:rFonts w:ascii="Verdana" w:hAnsi="Verdana"/>
          <w:sz w:val="20"/>
          <w:lang w:val="es-CR"/>
        </w:rPr>
        <w:t>“</w:t>
      </w:r>
      <w:r w:rsidR="00EF5304" w:rsidRPr="008A7E60">
        <w:rPr>
          <w:rFonts w:ascii="Verdana" w:hAnsi="Verdana"/>
          <w:sz w:val="20"/>
          <w:lang w:val="es-CR"/>
        </w:rPr>
        <w:t>supone la imposición de una inhabilidad indefinida al Senador Gustavo Petro para ejercer sus derechos políticos</w:t>
      </w:r>
      <w:r w:rsidR="002E1DD4">
        <w:rPr>
          <w:rFonts w:ascii="Verdana" w:hAnsi="Verdana"/>
          <w:sz w:val="20"/>
          <w:lang w:val="es-CR"/>
        </w:rPr>
        <w:t>”</w:t>
      </w:r>
      <w:r w:rsidR="00EF5304" w:rsidRPr="008A7E60">
        <w:rPr>
          <w:rFonts w:ascii="Verdana" w:hAnsi="Verdana"/>
          <w:sz w:val="20"/>
          <w:lang w:val="es-CR"/>
        </w:rPr>
        <w:t>.</w:t>
      </w:r>
    </w:p>
    <w:p w:rsidR="00EF5304" w:rsidRPr="00EF5304" w:rsidRDefault="008A7E60" w:rsidP="008A7E60">
      <w:pPr>
        <w:pStyle w:val="ListParagraph"/>
        <w:numPr>
          <w:ilvl w:val="0"/>
          <w:numId w:val="8"/>
        </w:numPr>
        <w:spacing w:before="120" w:after="120"/>
        <w:ind w:left="0" w:right="17" w:firstLine="0"/>
        <w:contextualSpacing w:val="0"/>
        <w:jc w:val="both"/>
        <w:rPr>
          <w:rFonts w:ascii="Verdana" w:hAnsi="Verdana"/>
          <w:sz w:val="20"/>
          <w:lang w:val="es-CR"/>
        </w:rPr>
      </w:pPr>
      <w:r>
        <w:rPr>
          <w:rFonts w:ascii="Verdana" w:hAnsi="Verdana"/>
          <w:sz w:val="20"/>
          <w:lang w:val="es-CR"/>
        </w:rPr>
        <w:t>Además, l</w:t>
      </w:r>
      <w:r w:rsidR="00EF5304" w:rsidRPr="00EF5304">
        <w:rPr>
          <w:rFonts w:ascii="Verdana" w:hAnsi="Verdana"/>
          <w:sz w:val="20"/>
          <w:lang w:val="es-CR"/>
        </w:rPr>
        <w:t>os representantes consideran que las sanciones impuestas al señor Petro en esos procesos de responsabilidad fiscal resultan desproporcionadas, pues la sumatoria de todas las multas que durante este tiempo se le han impuesto desborda los límites de lo razonable para una persona cuyos ingresos no son los suficientes para pagar a la brevedad una deuda que resulta excesiva. En consecuencia, la restricción a sus derechos políticos se extendería de manera indefinida en el tiempo.</w:t>
      </w:r>
    </w:p>
    <w:p w:rsidR="00EF5304" w:rsidRPr="00EF5304" w:rsidRDefault="008A7E60" w:rsidP="008A7E60">
      <w:pPr>
        <w:pStyle w:val="ListParagraph"/>
        <w:numPr>
          <w:ilvl w:val="0"/>
          <w:numId w:val="8"/>
        </w:numPr>
        <w:spacing w:before="120" w:after="120"/>
        <w:ind w:left="0" w:right="17" w:firstLine="0"/>
        <w:contextualSpacing w:val="0"/>
        <w:jc w:val="both"/>
        <w:rPr>
          <w:rFonts w:ascii="Verdana" w:hAnsi="Verdana"/>
          <w:sz w:val="20"/>
          <w:lang w:val="es-CR"/>
        </w:rPr>
      </w:pPr>
      <w:r>
        <w:rPr>
          <w:rFonts w:ascii="Verdana" w:hAnsi="Verdana"/>
          <w:sz w:val="20"/>
          <w:lang w:val="es-CR"/>
        </w:rPr>
        <w:t>Señalaron que e</w:t>
      </w:r>
      <w:r w:rsidR="00EF5304" w:rsidRPr="00EF5304">
        <w:rPr>
          <w:rFonts w:ascii="Verdana" w:hAnsi="Verdana"/>
          <w:sz w:val="20"/>
          <w:lang w:val="es-CR"/>
        </w:rPr>
        <w:t xml:space="preserve">l señor Petro </w:t>
      </w:r>
      <w:r>
        <w:rPr>
          <w:rFonts w:ascii="Verdana" w:hAnsi="Verdana"/>
          <w:sz w:val="20"/>
          <w:lang w:val="es-CR"/>
        </w:rPr>
        <w:t>p</w:t>
      </w:r>
      <w:r w:rsidR="00EF5304" w:rsidRPr="00EF5304">
        <w:rPr>
          <w:rFonts w:ascii="Verdana" w:hAnsi="Verdana"/>
          <w:sz w:val="20"/>
          <w:lang w:val="es-CR"/>
        </w:rPr>
        <w:t xml:space="preserve">udo posesionarse en el cargo </w:t>
      </w:r>
      <w:r>
        <w:rPr>
          <w:rFonts w:ascii="Verdana" w:hAnsi="Verdana"/>
          <w:sz w:val="20"/>
          <w:lang w:val="es-CR"/>
        </w:rPr>
        <w:t xml:space="preserve">de Senador </w:t>
      </w:r>
      <w:r w:rsidR="00EF5304" w:rsidRPr="00EF5304">
        <w:rPr>
          <w:rFonts w:ascii="Verdana" w:hAnsi="Verdana"/>
          <w:sz w:val="20"/>
          <w:lang w:val="es-CR"/>
        </w:rPr>
        <w:t xml:space="preserve">debido a que los efectos de las sanciones impuestas por el Contralor de Bogotá, en el marco de los procesos de responsabilidad fiscal, fueron suspendidas en virtud de medidas cautelares otorgadas por el Tribunal Administrativo de Cundinamarca. No obstante, las recientes decisiones adoptadas por la Contraloría de Bogotá, el Consejo de Estado y la interpretación que de la Ley 610 de 2000 </w:t>
      </w:r>
      <w:r>
        <w:rPr>
          <w:rFonts w:ascii="Verdana" w:hAnsi="Verdana"/>
          <w:sz w:val="20"/>
          <w:lang w:val="es-CR"/>
        </w:rPr>
        <w:t xml:space="preserve">realizó la Corte Constitucional, </w:t>
      </w:r>
      <w:r w:rsidR="00EF5304" w:rsidRPr="00EF5304">
        <w:rPr>
          <w:rFonts w:ascii="Verdana" w:hAnsi="Verdana"/>
          <w:sz w:val="20"/>
          <w:lang w:val="es-CR"/>
        </w:rPr>
        <w:t>generan un riesgo inminente al ejercicio de sus derechos políticos, pues al existir nuevas sanciones en el marco de los procesos de responsabilidad fiscal y al suspender las medidas cautelares que protegían sus derechos, se activa la inhabilidad señalada en el artículo 60 de la Ley 610 de 2000 y, en consecuencia, no podría ejercer su cargo como Senador.</w:t>
      </w:r>
    </w:p>
    <w:p w:rsidR="00EF5304" w:rsidRPr="00EF5304" w:rsidRDefault="00EF5304" w:rsidP="008A7E60">
      <w:pPr>
        <w:pStyle w:val="ListParagraph"/>
        <w:numPr>
          <w:ilvl w:val="0"/>
          <w:numId w:val="8"/>
        </w:numPr>
        <w:spacing w:before="120" w:after="120"/>
        <w:ind w:left="0" w:right="17" w:firstLine="0"/>
        <w:contextualSpacing w:val="0"/>
        <w:jc w:val="both"/>
        <w:rPr>
          <w:rFonts w:ascii="Verdana" w:hAnsi="Verdana"/>
          <w:sz w:val="20"/>
          <w:lang w:val="es-CR"/>
        </w:rPr>
      </w:pPr>
      <w:r w:rsidRPr="00EF5304">
        <w:rPr>
          <w:rFonts w:ascii="Verdana" w:hAnsi="Verdana"/>
          <w:sz w:val="20"/>
          <w:lang w:val="es-CR"/>
        </w:rPr>
        <w:t xml:space="preserve">Además, </w:t>
      </w:r>
      <w:r w:rsidR="008A7E60">
        <w:rPr>
          <w:rFonts w:ascii="Verdana" w:hAnsi="Verdana"/>
          <w:sz w:val="20"/>
          <w:lang w:val="es-CR"/>
        </w:rPr>
        <w:t xml:space="preserve">alegaron que </w:t>
      </w:r>
      <w:r w:rsidRPr="00EF5304">
        <w:rPr>
          <w:rFonts w:ascii="Verdana" w:hAnsi="Verdana"/>
          <w:sz w:val="20"/>
          <w:lang w:val="es-CR"/>
        </w:rPr>
        <w:t xml:space="preserve">el artículo 5 de la Ley 1864 de 2017 contempla como conducta delictiva </w:t>
      </w:r>
      <w:r w:rsidRPr="008A7E60">
        <w:rPr>
          <w:rFonts w:ascii="Verdana" w:hAnsi="Verdana"/>
          <w:sz w:val="20"/>
          <w:lang w:val="es-CR"/>
        </w:rPr>
        <w:t>la elección ilícita de candidatos</w:t>
      </w:r>
      <w:r w:rsidRPr="00EF5304">
        <w:rPr>
          <w:rFonts w:ascii="Verdana" w:hAnsi="Verdana"/>
          <w:sz w:val="20"/>
          <w:lang w:val="es-CR"/>
        </w:rPr>
        <w:t>, lo cual podría desencadenar en el inicio de un proceso penal y culminar con una condena en su contra, al haber sido elegido en un cargo de elección popular estando inhabilitado para ello, según se desprende de la reciente sentencia de la Corte Constitucional</w:t>
      </w:r>
      <w:r w:rsidR="00586B5F">
        <w:rPr>
          <w:rFonts w:ascii="Verdana" w:hAnsi="Verdana"/>
          <w:sz w:val="20"/>
          <w:lang w:val="es-CR"/>
        </w:rPr>
        <w:t>.</w:t>
      </w:r>
    </w:p>
    <w:p w:rsidR="000D6B9A" w:rsidRPr="00586B5F" w:rsidRDefault="00EF5304" w:rsidP="00586B5F">
      <w:pPr>
        <w:pStyle w:val="ListParagraph"/>
        <w:numPr>
          <w:ilvl w:val="0"/>
          <w:numId w:val="8"/>
        </w:numPr>
        <w:spacing w:before="120" w:after="120"/>
        <w:ind w:left="0" w:right="17" w:firstLine="0"/>
        <w:contextualSpacing w:val="0"/>
        <w:jc w:val="both"/>
        <w:rPr>
          <w:rFonts w:ascii="Verdana" w:hAnsi="Verdana"/>
          <w:sz w:val="20"/>
          <w:lang w:val="es-CR"/>
        </w:rPr>
      </w:pPr>
      <w:r w:rsidRPr="00EF5304">
        <w:rPr>
          <w:rFonts w:ascii="Verdana" w:hAnsi="Verdana"/>
          <w:sz w:val="20"/>
          <w:lang w:val="es-CR"/>
        </w:rPr>
        <w:t>Según los representantes, las actuaciones estatales tienen “un claro objetivo dirigido a dar muerte política” al señor Petro</w:t>
      </w:r>
      <w:r w:rsidR="001868D5">
        <w:rPr>
          <w:rFonts w:ascii="Verdana" w:hAnsi="Verdana"/>
          <w:sz w:val="20"/>
          <w:lang w:val="es-CR"/>
        </w:rPr>
        <w:t xml:space="preserve"> Urrego</w:t>
      </w:r>
      <w:r w:rsidRPr="00EF5304">
        <w:rPr>
          <w:rFonts w:ascii="Verdana" w:hAnsi="Verdana"/>
          <w:sz w:val="20"/>
          <w:lang w:val="es-CR"/>
        </w:rPr>
        <w:t>. Así, particularmente las decisiones adoptadas por la Contraloría de Bogotá en conjunto con las interpretaciones judiciales que sobre las normas de responsabilidad fiscal realizó la Corte Constitucional, sustentan el cumplimiento de los requisitos de extrema gravedad y urgencia, pues de no ordenarse al Estado que proteja y garantice el libre ejercicio de sus derechos políticos, se podría consumar un perjuicio irremediable al destituir al señor Petro de su cargo actual de Senador, sumado a las investigaciones penales bajo el pretexto de un tipo penal que no persigue un fin legítimo. Todo ello, como consecuencia de “una persecución en su contra realizada desde la institucionalidad para amedrentar la diversidad de las opiniones políticas y silenciar a líderes de oposición”</w:t>
      </w:r>
      <w:r w:rsidR="00586B5F">
        <w:rPr>
          <w:rFonts w:ascii="Verdana" w:hAnsi="Verdana"/>
          <w:sz w:val="20"/>
          <w:lang w:val="es-CR"/>
        </w:rPr>
        <w:t>. En tal supuesto</w:t>
      </w:r>
      <w:r w:rsidRPr="00586B5F">
        <w:rPr>
          <w:rFonts w:ascii="Verdana" w:hAnsi="Verdana"/>
          <w:sz w:val="20"/>
        </w:rPr>
        <w:t>, la decisión que tome la Corte Interamericana respecto del presente</w:t>
      </w:r>
      <w:r w:rsidR="00586B5F">
        <w:rPr>
          <w:rFonts w:ascii="Verdana" w:hAnsi="Verdana"/>
          <w:sz w:val="20"/>
        </w:rPr>
        <w:t xml:space="preserve"> caso no tendría ningún efecto si </w:t>
      </w:r>
      <w:r w:rsidRPr="00586B5F">
        <w:rPr>
          <w:rFonts w:ascii="Verdana" w:hAnsi="Verdana"/>
          <w:sz w:val="20"/>
        </w:rPr>
        <w:t>la Corte concluyera que</w:t>
      </w:r>
      <w:r w:rsidR="00586B5F">
        <w:rPr>
          <w:rFonts w:ascii="Verdana" w:hAnsi="Verdana"/>
          <w:sz w:val="20"/>
        </w:rPr>
        <w:t>,</w:t>
      </w:r>
      <w:r w:rsidRPr="00586B5F">
        <w:rPr>
          <w:rFonts w:ascii="Verdana" w:hAnsi="Verdana"/>
          <w:sz w:val="20"/>
        </w:rPr>
        <w:t xml:space="preserve"> </w:t>
      </w:r>
      <w:r w:rsidR="00586B5F" w:rsidRPr="00586B5F">
        <w:rPr>
          <w:rFonts w:ascii="Verdana" w:hAnsi="Verdana"/>
          <w:sz w:val="20"/>
        </w:rPr>
        <w:t>por disposición expresa del artículo 23.2 de la Convención</w:t>
      </w:r>
      <w:r w:rsidR="00586B5F">
        <w:rPr>
          <w:rFonts w:ascii="Verdana" w:hAnsi="Verdana"/>
          <w:sz w:val="20"/>
        </w:rPr>
        <w:t>,</w:t>
      </w:r>
      <w:r w:rsidR="00586B5F" w:rsidRPr="00586B5F">
        <w:rPr>
          <w:rFonts w:ascii="Verdana" w:hAnsi="Verdana"/>
          <w:sz w:val="20"/>
        </w:rPr>
        <w:t xml:space="preserve"> </w:t>
      </w:r>
      <w:r w:rsidRPr="00586B5F">
        <w:rPr>
          <w:rFonts w:ascii="Verdana" w:hAnsi="Verdana"/>
          <w:sz w:val="20"/>
        </w:rPr>
        <w:t>la restricción de los derechos políticos no puede realizarse por autoridades administrativas.</w:t>
      </w:r>
    </w:p>
    <w:p w:rsidR="008A7E60" w:rsidRDefault="008A7E60" w:rsidP="008A7E60">
      <w:pPr>
        <w:pStyle w:val="ListParagraph"/>
        <w:numPr>
          <w:ilvl w:val="0"/>
          <w:numId w:val="8"/>
        </w:numPr>
        <w:spacing w:before="120" w:after="120"/>
        <w:ind w:left="0" w:right="17" w:firstLine="0"/>
        <w:contextualSpacing w:val="0"/>
        <w:jc w:val="both"/>
        <w:rPr>
          <w:rFonts w:ascii="Verdana" w:eastAsia="Batang" w:hAnsi="Verdana"/>
          <w:sz w:val="20"/>
          <w:lang w:val="es-CR"/>
        </w:rPr>
      </w:pPr>
      <w:r w:rsidRPr="008A7E60">
        <w:rPr>
          <w:rFonts w:ascii="Verdana" w:eastAsia="Batang" w:hAnsi="Verdana"/>
          <w:sz w:val="20"/>
          <w:lang w:val="es-CR"/>
        </w:rPr>
        <w:t>Los representantes solicita</w:t>
      </w:r>
      <w:r>
        <w:rPr>
          <w:rFonts w:ascii="Verdana" w:eastAsia="Batang" w:hAnsi="Verdana"/>
          <w:sz w:val="20"/>
          <w:lang w:val="es-CR"/>
        </w:rPr>
        <w:t>ro</w:t>
      </w:r>
      <w:r w:rsidRPr="008A7E60">
        <w:rPr>
          <w:rFonts w:ascii="Verdana" w:eastAsia="Batang" w:hAnsi="Verdana"/>
          <w:sz w:val="20"/>
          <w:lang w:val="es-CR"/>
        </w:rPr>
        <w:t xml:space="preserve">n que se ordene al Estado </w:t>
      </w:r>
      <w:r>
        <w:rPr>
          <w:rFonts w:ascii="Verdana" w:eastAsia="Batang" w:hAnsi="Verdana"/>
          <w:sz w:val="20"/>
          <w:lang w:val="es-CR"/>
        </w:rPr>
        <w:t>“</w:t>
      </w:r>
      <w:r w:rsidRPr="008A7E60">
        <w:rPr>
          <w:rFonts w:ascii="Verdana" w:eastAsia="Batang" w:hAnsi="Verdana"/>
          <w:sz w:val="20"/>
          <w:lang w:val="es-CR"/>
        </w:rPr>
        <w:t xml:space="preserve">que cese los actos de persecución y discriminación materializados mediante las decisiones adoptadas por la Contraloría de Bogotá, con el objetivo de evitar que dichas decisiones, en concordancia con la reforma implementada en materia penal y las interpretaciones realizadas por la Corte </w:t>
      </w:r>
      <w:r w:rsidRPr="008A7E60">
        <w:rPr>
          <w:rFonts w:ascii="Verdana" w:eastAsia="Batang" w:hAnsi="Verdana"/>
          <w:sz w:val="20"/>
          <w:lang w:val="es-CR"/>
        </w:rPr>
        <w:lastRenderedPageBreak/>
        <w:t>Constitucional, limiten al señor Petro en el ejercicio del cargo para el cual fue electo y le ocasionen una inhabilidad permanente en el ejercicio de cualquier cargo de la función pública</w:t>
      </w:r>
      <w:r>
        <w:rPr>
          <w:rFonts w:ascii="Verdana" w:eastAsia="Batang" w:hAnsi="Verdana"/>
          <w:sz w:val="20"/>
          <w:lang w:val="es-CR"/>
        </w:rPr>
        <w:t>”</w:t>
      </w:r>
      <w:r w:rsidRPr="008A7E60">
        <w:rPr>
          <w:rFonts w:ascii="Verdana" w:eastAsia="Batang" w:hAnsi="Verdana"/>
          <w:sz w:val="20"/>
          <w:lang w:val="es-CR"/>
        </w:rPr>
        <w:t>.</w:t>
      </w:r>
    </w:p>
    <w:p w:rsidR="00A83000" w:rsidRPr="008A7E60" w:rsidRDefault="00A83000" w:rsidP="00A83000">
      <w:pPr>
        <w:pStyle w:val="ListParagraph"/>
        <w:spacing w:before="120" w:after="120"/>
        <w:ind w:left="0" w:right="17"/>
        <w:contextualSpacing w:val="0"/>
        <w:jc w:val="both"/>
        <w:rPr>
          <w:rFonts w:ascii="Verdana" w:eastAsia="Batang" w:hAnsi="Verdana"/>
          <w:sz w:val="20"/>
          <w:lang w:val="es-CR"/>
        </w:rPr>
      </w:pPr>
    </w:p>
    <w:p w:rsidR="000D6B9A" w:rsidRDefault="000D6B9A" w:rsidP="002B4D2E">
      <w:pPr>
        <w:pStyle w:val="ListParagraph"/>
        <w:numPr>
          <w:ilvl w:val="0"/>
          <w:numId w:val="21"/>
        </w:numPr>
        <w:spacing w:before="240" w:after="240"/>
        <w:ind w:right="17"/>
        <w:contextualSpacing w:val="0"/>
        <w:jc w:val="both"/>
        <w:outlineLvl w:val="0"/>
        <w:rPr>
          <w:rFonts w:ascii="Verdana" w:eastAsia="Batang" w:hAnsi="Verdana"/>
          <w:b/>
          <w:i/>
          <w:sz w:val="20"/>
          <w:lang w:val="es-GT"/>
        </w:rPr>
      </w:pPr>
      <w:r>
        <w:rPr>
          <w:rFonts w:ascii="Verdana" w:eastAsia="Batang" w:hAnsi="Verdana"/>
          <w:b/>
          <w:i/>
          <w:sz w:val="20"/>
          <w:lang w:val="es-GT"/>
        </w:rPr>
        <w:t>Observaciones de la Comisión</w:t>
      </w:r>
    </w:p>
    <w:p w:rsidR="00586B5F" w:rsidRPr="00586B5F" w:rsidRDefault="00586B5F" w:rsidP="00586B5F">
      <w:pPr>
        <w:pStyle w:val="ListParagraph"/>
        <w:numPr>
          <w:ilvl w:val="0"/>
          <w:numId w:val="8"/>
        </w:numPr>
        <w:spacing w:before="120" w:after="120"/>
        <w:ind w:left="0" w:right="17" w:firstLine="0"/>
        <w:contextualSpacing w:val="0"/>
        <w:jc w:val="both"/>
        <w:rPr>
          <w:rFonts w:ascii="Verdana" w:hAnsi="Verdana"/>
          <w:sz w:val="20"/>
          <w:lang w:val="es-GT"/>
        </w:rPr>
      </w:pPr>
      <w:r w:rsidRPr="00586B5F">
        <w:rPr>
          <w:rFonts w:ascii="Verdana" w:hAnsi="Verdana"/>
          <w:sz w:val="20"/>
          <w:lang w:val="es-GT"/>
        </w:rPr>
        <w:t xml:space="preserve">La </w:t>
      </w:r>
      <w:r>
        <w:rPr>
          <w:rFonts w:ascii="Verdana" w:hAnsi="Verdana"/>
          <w:sz w:val="20"/>
          <w:lang w:val="es-GT"/>
        </w:rPr>
        <w:t>Comisión hizo notar</w:t>
      </w:r>
      <w:r w:rsidRPr="00586B5F">
        <w:rPr>
          <w:rFonts w:ascii="Verdana" w:hAnsi="Verdana"/>
          <w:sz w:val="20"/>
          <w:lang w:val="es-GT"/>
        </w:rPr>
        <w:t xml:space="preserve"> que la casi totalidad de </w:t>
      </w:r>
      <w:r>
        <w:rPr>
          <w:rFonts w:ascii="Verdana" w:hAnsi="Verdana"/>
          <w:sz w:val="20"/>
          <w:lang w:val="es-GT"/>
        </w:rPr>
        <w:t xml:space="preserve">las multas fiscales impuestas al señor </w:t>
      </w:r>
      <w:r w:rsidRPr="00586B5F">
        <w:rPr>
          <w:rFonts w:ascii="Verdana" w:hAnsi="Verdana"/>
          <w:sz w:val="20"/>
          <w:lang w:val="es-GT"/>
        </w:rPr>
        <w:t>Petro</w:t>
      </w:r>
      <w:r w:rsidR="001868D5">
        <w:rPr>
          <w:rFonts w:ascii="Verdana" w:hAnsi="Verdana"/>
          <w:sz w:val="20"/>
          <w:lang w:val="es-GT"/>
        </w:rPr>
        <w:t xml:space="preserve"> Urrego</w:t>
      </w:r>
      <w:r>
        <w:rPr>
          <w:rFonts w:ascii="Verdana" w:hAnsi="Verdana"/>
          <w:sz w:val="20"/>
          <w:lang w:val="es-GT"/>
        </w:rPr>
        <w:t xml:space="preserve">, así como </w:t>
      </w:r>
      <w:r w:rsidRPr="00586B5F">
        <w:rPr>
          <w:rFonts w:ascii="Verdana" w:hAnsi="Verdana"/>
          <w:sz w:val="20"/>
          <w:lang w:val="es-GT"/>
        </w:rPr>
        <w:t>la aplicación de leyes que inhabilitan a candidatos a optar a cargos de elección popular como consecuencia de deudas fiscales</w:t>
      </w:r>
      <w:r>
        <w:rPr>
          <w:rFonts w:ascii="Verdana" w:hAnsi="Verdana"/>
          <w:sz w:val="20"/>
          <w:lang w:val="es-GT"/>
        </w:rPr>
        <w:t>,</w:t>
      </w:r>
      <w:r w:rsidRPr="00586B5F">
        <w:rPr>
          <w:rFonts w:ascii="Verdana" w:hAnsi="Verdana"/>
          <w:sz w:val="20"/>
          <w:lang w:val="es-GT"/>
        </w:rPr>
        <w:t xml:space="preserve"> forman parte del marco fáctico del Informe de Fondo y, en efecto, se relacionan con el objeto del caso. Al respecto, en su Informe consideró sumamente preocupante la reciente promulgación del referido artículo 5 de la Ley 1864, pues esta norma, al validar que la inhabilitación pueda ser impuest</w:t>
      </w:r>
      <w:r>
        <w:rPr>
          <w:rFonts w:ascii="Verdana" w:hAnsi="Verdana"/>
          <w:sz w:val="20"/>
          <w:lang w:val="es-GT"/>
        </w:rPr>
        <w:t xml:space="preserve">a </w:t>
      </w:r>
      <w:r w:rsidRPr="00586B5F">
        <w:rPr>
          <w:rFonts w:ascii="Verdana" w:hAnsi="Verdana"/>
          <w:sz w:val="20"/>
          <w:lang w:val="es-GT"/>
        </w:rPr>
        <w:t>por vía “disciplinaria o fiscal", resulta contraria al artículo 23 de la Convención y, por lo tanto, constituiría otra violación de los derechos políticos del</w:t>
      </w:r>
      <w:r w:rsidR="001868D5">
        <w:rPr>
          <w:rFonts w:ascii="Verdana" w:hAnsi="Verdana"/>
          <w:sz w:val="20"/>
          <w:lang w:val="es-GT"/>
        </w:rPr>
        <w:t xml:space="preserve"> solicitante</w:t>
      </w:r>
      <w:r w:rsidRPr="00586B5F">
        <w:rPr>
          <w:rFonts w:ascii="Verdana" w:hAnsi="Verdana"/>
          <w:sz w:val="20"/>
          <w:lang w:val="es-GT"/>
        </w:rPr>
        <w:t xml:space="preserve">, quien no ha sido inhabilitado mediante un proceso penal con condena en firme, como lo exige la Convención. </w:t>
      </w:r>
      <w:r>
        <w:rPr>
          <w:rFonts w:ascii="Verdana" w:hAnsi="Verdana"/>
          <w:sz w:val="20"/>
          <w:lang w:val="es-GT"/>
        </w:rPr>
        <w:t xml:space="preserve">Por ello, </w:t>
      </w:r>
      <w:r w:rsidRPr="00586B5F">
        <w:rPr>
          <w:rFonts w:ascii="Verdana" w:hAnsi="Verdana"/>
          <w:sz w:val="20"/>
          <w:lang w:val="es-GT"/>
        </w:rPr>
        <w:t xml:space="preserve">recomendó al Estado </w:t>
      </w:r>
      <w:r>
        <w:rPr>
          <w:rFonts w:ascii="Verdana" w:hAnsi="Verdana"/>
          <w:sz w:val="20"/>
          <w:lang w:val="es-GT"/>
        </w:rPr>
        <w:t>“abstenerse de aplicar [ese]</w:t>
      </w:r>
      <w:r w:rsidRPr="00586B5F">
        <w:rPr>
          <w:rFonts w:ascii="Verdana" w:hAnsi="Verdana"/>
          <w:sz w:val="20"/>
          <w:lang w:val="es-GT"/>
        </w:rPr>
        <w:t xml:space="preserve"> tipo penal”.</w:t>
      </w:r>
    </w:p>
    <w:p w:rsidR="00A83000" w:rsidRDefault="00586B5F" w:rsidP="00A83000">
      <w:pPr>
        <w:pStyle w:val="ListParagraph"/>
        <w:numPr>
          <w:ilvl w:val="0"/>
          <w:numId w:val="8"/>
        </w:numPr>
        <w:spacing w:before="120" w:after="120"/>
        <w:ind w:left="0" w:right="17" w:firstLine="0"/>
        <w:contextualSpacing w:val="0"/>
        <w:jc w:val="both"/>
        <w:rPr>
          <w:rFonts w:ascii="Verdana" w:hAnsi="Verdana"/>
          <w:sz w:val="20"/>
          <w:lang w:val="es-GT"/>
        </w:rPr>
      </w:pPr>
      <w:r w:rsidRPr="00586B5F">
        <w:rPr>
          <w:rFonts w:ascii="Verdana" w:hAnsi="Verdana"/>
          <w:sz w:val="20"/>
          <w:lang w:val="es-GT"/>
        </w:rPr>
        <w:t>En relación con los elementos que exige la Convención para ordenar medidas provisionales, la Comisión señaló que la Corte podría tomar en cuenta que existen una serie de sanciones en firme relacionadas con deudas fiscales del señor Petro</w:t>
      </w:r>
      <w:r w:rsidR="001868D5">
        <w:rPr>
          <w:rFonts w:ascii="Verdana" w:hAnsi="Verdana"/>
          <w:sz w:val="20"/>
          <w:lang w:val="es-GT"/>
        </w:rPr>
        <w:t xml:space="preserve"> Urrego</w:t>
      </w:r>
      <w:r w:rsidRPr="00586B5F">
        <w:rPr>
          <w:rFonts w:ascii="Verdana" w:hAnsi="Verdana"/>
          <w:sz w:val="20"/>
          <w:lang w:val="es-GT"/>
        </w:rPr>
        <w:t xml:space="preserve">, cuyo efecto en la legislación actual consiste en inhabilitarlo hasta tanto no efectúe el pago de las mismas, y que pueden generarse igualmente la persecución penal en su contra por haber sido electo a un cargo público estando inhabilitado como consecuencia de decisión fiscal. Conforme lo indicado por los representantes, el elevado monto total de las deudas fiscales impuestas haría inviable el pago de las mismas, lo cual podría tener el impacto de inhabilitarlo por una deuda fiscal, poniendo en riesgo sus derechos políticos a la luz del artículo 23 de la Convención. Sin embargo, </w:t>
      </w:r>
      <w:r>
        <w:rPr>
          <w:rFonts w:ascii="Verdana" w:hAnsi="Verdana"/>
          <w:sz w:val="20"/>
          <w:lang w:val="es-GT"/>
        </w:rPr>
        <w:t>la Comisión c</w:t>
      </w:r>
      <w:r w:rsidRPr="00586B5F">
        <w:rPr>
          <w:rFonts w:ascii="Verdana" w:hAnsi="Verdana"/>
          <w:sz w:val="20"/>
          <w:lang w:val="es-GT"/>
        </w:rPr>
        <w:t>oncluyó señalando que “corresponderá a la Corte determinar si se encuentran previstos los requisitos convencionales para la procedencia de la solicitud”.</w:t>
      </w:r>
    </w:p>
    <w:p w:rsidR="00A5094A" w:rsidRPr="00A5094A" w:rsidRDefault="00A5094A" w:rsidP="00A5094A">
      <w:pPr>
        <w:pStyle w:val="ListParagraph"/>
        <w:spacing w:before="120" w:after="120"/>
        <w:ind w:left="0" w:right="17"/>
        <w:contextualSpacing w:val="0"/>
        <w:jc w:val="both"/>
        <w:rPr>
          <w:rFonts w:ascii="Verdana" w:hAnsi="Verdana"/>
          <w:sz w:val="20"/>
          <w:lang w:val="es-GT"/>
        </w:rPr>
      </w:pPr>
    </w:p>
    <w:p w:rsidR="000D6B9A" w:rsidRDefault="000D6B9A" w:rsidP="002B4D2E">
      <w:pPr>
        <w:pStyle w:val="ListParagraph"/>
        <w:numPr>
          <w:ilvl w:val="0"/>
          <w:numId w:val="21"/>
        </w:numPr>
        <w:spacing w:before="240" w:after="240"/>
        <w:ind w:right="17"/>
        <w:contextualSpacing w:val="0"/>
        <w:jc w:val="both"/>
        <w:outlineLvl w:val="0"/>
        <w:rPr>
          <w:rFonts w:ascii="Verdana" w:eastAsia="Batang" w:hAnsi="Verdana"/>
          <w:b/>
          <w:i/>
          <w:sz w:val="20"/>
          <w:lang w:val="es-GT"/>
        </w:rPr>
      </w:pPr>
      <w:r>
        <w:rPr>
          <w:rFonts w:ascii="Verdana" w:eastAsia="Batang" w:hAnsi="Verdana"/>
          <w:b/>
          <w:i/>
          <w:sz w:val="20"/>
          <w:lang w:val="es-GT"/>
        </w:rPr>
        <w:t>Observaciones del Estado</w:t>
      </w:r>
    </w:p>
    <w:p w:rsidR="00E76C4B" w:rsidRDefault="00457CF1" w:rsidP="00E76C4B">
      <w:pPr>
        <w:pStyle w:val="ListParagraph"/>
        <w:numPr>
          <w:ilvl w:val="0"/>
          <w:numId w:val="8"/>
        </w:numPr>
        <w:spacing w:before="120" w:after="120"/>
        <w:ind w:left="0" w:right="17" w:firstLine="0"/>
        <w:contextualSpacing w:val="0"/>
        <w:jc w:val="both"/>
        <w:rPr>
          <w:rFonts w:ascii="Verdana" w:hAnsi="Verdana"/>
          <w:sz w:val="20"/>
          <w:lang w:val="es-CR"/>
        </w:rPr>
      </w:pPr>
      <w:r w:rsidRPr="00457CF1">
        <w:rPr>
          <w:rFonts w:ascii="Verdana" w:hAnsi="Verdana"/>
          <w:sz w:val="20"/>
          <w:lang w:val="es-CR"/>
        </w:rPr>
        <w:t xml:space="preserve">El </w:t>
      </w:r>
      <w:r w:rsidRPr="00457CF1">
        <w:rPr>
          <w:rFonts w:ascii="Verdana" w:hAnsi="Verdana"/>
          <w:sz w:val="20"/>
          <w:lang w:val="es-GT"/>
        </w:rPr>
        <w:t>Estado</w:t>
      </w:r>
      <w:r w:rsidR="00E76C4B">
        <w:rPr>
          <w:rFonts w:ascii="Verdana" w:hAnsi="Verdana"/>
          <w:sz w:val="20"/>
          <w:lang w:val="es-CR"/>
        </w:rPr>
        <w:t xml:space="preserve"> </w:t>
      </w:r>
      <w:r w:rsidR="00E50D32">
        <w:rPr>
          <w:rFonts w:ascii="Verdana" w:hAnsi="Verdana"/>
          <w:sz w:val="20"/>
          <w:lang w:val="es-CR"/>
        </w:rPr>
        <w:t>consideró improcedente</w:t>
      </w:r>
      <w:r w:rsidR="00E76C4B">
        <w:rPr>
          <w:rFonts w:ascii="Verdana" w:hAnsi="Verdana"/>
          <w:sz w:val="20"/>
          <w:lang w:val="es-CR"/>
        </w:rPr>
        <w:t xml:space="preserve"> la solicitud de</w:t>
      </w:r>
      <w:r w:rsidRPr="00457CF1">
        <w:rPr>
          <w:rFonts w:ascii="Verdana" w:hAnsi="Verdana"/>
          <w:sz w:val="20"/>
          <w:lang w:val="es-CR"/>
        </w:rPr>
        <w:t xml:space="preserve"> medidas provisionales</w:t>
      </w:r>
      <w:r w:rsidR="00E76C4B">
        <w:rPr>
          <w:rFonts w:ascii="Verdana" w:hAnsi="Verdana"/>
          <w:sz w:val="20"/>
          <w:lang w:val="es-CR"/>
        </w:rPr>
        <w:t xml:space="preserve"> </w:t>
      </w:r>
      <w:r w:rsidRPr="00457CF1">
        <w:rPr>
          <w:rFonts w:ascii="Verdana" w:hAnsi="Verdana"/>
          <w:sz w:val="20"/>
          <w:lang w:val="es-CR"/>
        </w:rPr>
        <w:t xml:space="preserve">por considerar que </w:t>
      </w:r>
      <w:r w:rsidR="00E76C4B">
        <w:rPr>
          <w:rFonts w:ascii="Verdana" w:hAnsi="Verdana"/>
          <w:sz w:val="20"/>
          <w:lang w:val="es-CR"/>
        </w:rPr>
        <w:t xml:space="preserve">la misma </w:t>
      </w:r>
      <w:r w:rsidRPr="00457CF1">
        <w:rPr>
          <w:rFonts w:ascii="Verdana" w:hAnsi="Verdana"/>
          <w:sz w:val="20"/>
          <w:lang w:val="es-CR"/>
        </w:rPr>
        <w:t xml:space="preserve">busca anticipar la discusión de fondo, carece de sustento probatorio y no cumple con los presupuestos </w:t>
      </w:r>
      <w:r w:rsidR="00E50D32">
        <w:rPr>
          <w:rFonts w:ascii="Verdana" w:hAnsi="Verdana"/>
          <w:sz w:val="20"/>
          <w:lang w:val="es-CR"/>
        </w:rPr>
        <w:t>del artículo 63.2 de la Convención</w:t>
      </w:r>
      <w:r w:rsidRPr="00457CF1">
        <w:rPr>
          <w:rFonts w:ascii="Verdana" w:hAnsi="Verdana"/>
          <w:sz w:val="20"/>
          <w:lang w:val="es-CR"/>
        </w:rPr>
        <w:t>.</w:t>
      </w:r>
    </w:p>
    <w:p w:rsidR="00457CF1" w:rsidRPr="00E76C4B" w:rsidRDefault="00E76C4B" w:rsidP="00457CF1">
      <w:pPr>
        <w:pStyle w:val="ListParagraph"/>
        <w:numPr>
          <w:ilvl w:val="0"/>
          <w:numId w:val="8"/>
        </w:numPr>
        <w:autoSpaceDE w:val="0"/>
        <w:autoSpaceDN w:val="0"/>
        <w:spacing w:before="120" w:after="120"/>
        <w:ind w:left="0" w:right="17" w:firstLine="0"/>
        <w:contextualSpacing w:val="0"/>
        <w:jc w:val="both"/>
        <w:rPr>
          <w:rFonts w:ascii="Verdana" w:hAnsi="Verdana"/>
          <w:sz w:val="20"/>
          <w:lang w:val="es-CR"/>
        </w:rPr>
      </w:pPr>
      <w:r w:rsidRPr="00E76C4B">
        <w:rPr>
          <w:rFonts w:ascii="Verdana" w:hAnsi="Verdana"/>
          <w:sz w:val="20"/>
          <w:lang w:val="es-CR"/>
        </w:rPr>
        <w:t>En primer lugar, s</w:t>
      </w:r>
      <w:r w:rsidR="00457CF1" w:rsidRPr="00E76C4B">
        <w:rPr>
          <w:rFonts w:ascii="Verdana" w:hAnsi="Verdana"/>
          <w:sz w:val="20"/>
          <w:lang w:val="es-CR"/>
        </w:rPr>
        <w:t>eñaló que</w:t>
      </w:r>
      <w:r>
        <w:rPr>
          <w:rFonts w:ascii="Verdana" w:hAnsi="Verdana"/>
          <w:sz w:val="20"/>
          <w:lang w:val="es-CR"/>
        </w:rPr>
        <w:t>, s</w:t>
      </w:r>
      <w:r w:rsidR="00457CF1" w:rsidRPr="00E76C4B">
        <w:rPr>
          <w:rFonts w:ascii="Verdana" w:hAnsi="Verdana"/>
          <w:sz w:val="20"/>
          <w:lang w:val="es-CR"/>
        </w:rPr>
        <w:t xml:space="preserve">egún la jurisprudencia, el análisis del elemento de “extrema gravedad” incluye la determinación de cuál es el derecho protegido y el impacto que una acción u omisión puede tener sobre el mismo. La posible restricción de los derechos políticos del senador Petro, como consecuencia de actos administrativos, solo sería contraria a la Convención y, en consecuencia, potencialmente constitutiva de un daño grave susceptible de ser prevenido mediante medidas provisionales, si se determina que la restricción de derechos políticos -como consecuencia de decisiones adoptadas por una autoridad distinta a un juez penal- es, en efecto, violatoria de la misma. Esta es una determinación que solo podría ser alcanzada cuando se llegue a la sentencia del caso. Es decir, la Corte no podría determinar que existe un riesgo extremo de afectación de un derecho protegido, sin antes determinar que la Convención consagra la garantía de que los derechos políticos no pueden ser restringidos por decisiones de ninguna autoridad distinta a un juez penal, que es, precisamente, la interpretación dada por los representantes al artículo 23 de la </w:t>
      </w:r>
      <w:r>
        <w:rPr>
          <w:rFonts w:ascii="Verdana" w:hAnsi="Verdana"/>
          <w:sz w:val="20"/>
          <w:lang w:val="es-CR"/>
        </w:rPr>
        <w:t xml:space="preserve">Convención, lo cual </w:t>
      </w:r>
      <w:r w:rsidR="00457CF1" w:rsidRPr="00E76C4B">
        <w:rPr>
          <w:rFonts w:ascii="Verdana" w:hAnsi="Verdana"/>
          <w:sz w:val="20"/>
          <w:lang w:val="es-CR"/>
        </w:rPr>
        <w:t xml:space="preserve">requiere claramente un análisis de fondo y exige un estudio de convencionalidad del ordenamiento jurídico colombiano que no es propio de la naturaleza de una medida provisional. </w:t>
      </w:r>
    </w:p>
    <w:p w:rsidR="00E76C4B" w:rsidRPr="008B3874" w:rsidRDefault="00E76C4B" w:rsidP="008B3874">
      <w:pPr>
        <w:pStyle w:val="ListParagraph"/>
        <w:numPr>
          <w:ilvl w:val="0"/>
          <w:numId w:val="8"/>
        </w:numPr>
        <w:autoSpaceDE w:val="0"/>
        <w:autoSpaceDN w:val="0"/>
        <w:spacing w:before="120" w:after="120"/>
        <w:ind w:left="0" w:right="17" w:firstLine="0"/>
        <w:contextualSpacing w:val="0"/>
        <w:jc w:val="both"/>
        <w:rPr>
          <w:rFonts w:ascii="Verdana" w:hAnsi="Verdana"/>
          <w:sz w:val="20"/>
        </w:rPr>
      </w:pPr>
      <w:r>
        <w:rPr>
          <w:rFonts w:ascii="Verdana" w:hAnsi="Verdana"/>
          <w:sz w:val="20"/>
          <w:lang w:val="es-CR"/>
        </w:rPr>
        <w:t>En segundo lugar, señaló que n</w:t>
      </w:r>
      <w:r w:rsidR="00457CF1" w:rsidRPr="00E76C4B">
        <w:rPr>
          <w:rFonts w:ascii="Verdana" w:hAnsi="Verdana"/>
          <w:sz w:val="20"/>
        </w:rPr>
        <w:t>o se configuran los requisitos de extrema gravedad, urgencia y daño irreparable, p</w:t>
      </w:r>
      <w:r w:rsidR="008B3874">
        <w:rPr>
          <w:rFonts w:ascii="Verdana" w:hAnsi="Verdana"/>
          <w:sz w:val="20"/>
        </w:rPr>
        <w:t>articularmente en relación con l</w:t>
      </w:r>
      <w:r w:rsidR="00457CF1" w:rsidRPr="008B3874">
        <w:rPr>
          <w:rFonts w:ascii="Verdana" w:hAnsi="Verdana"/>
          <w:sz w:val="20"/>
        </w:rPr>
        <w:t xml:space="preserve">a posible destitución del señor Petro </w:t>
      </w:r>
      <w:r w:rsidR="001868D5">
        <w:rPr>
          <w:rFonts w:ascii="Verdana" w:hAnsi="Verdana"/>
          <w:sz w:val="20"/>
        </w:rPr>
        <w:t xml:space="preserve">Urrego </w:t>
      </w:r>
      <w:r w:rsidR="00457CF1" w:rsidRPr="008B3874">
        <w:rPr>
          <w:rFonts w:ascii="Verdana" w:hAnsi="Verdana"/>
          <w:sz w:val="20"/>
        </w:rPr>
        <w:t>de su cargo como senador</w:t>
      </w:r>
      <w:r w:rsidRPr="008B3874">
        <w:rPr>
          <w:rFonts w:ascii="Verdana" w:hAnsi="Verdana"/>
          <w:sz w:val="20"/>
        </w:rPr>
        <w:t>. Así, c</w:t>
      </w:r>
      <w:r w:rsidR="00457CF1" w:rsidRPr="008B3874">
        <w:rPr>
          <w:rFonts w:ascii="Verdana" w:hAnsi="Verdana"/>
          <w:sz w:val="20"/>
          <w:lang w:val="es-CR"/>
        </w:rPr>
        <w:t xml:space="preserve">ontrario a lo afirmado por los representantes, </w:t>
      </w:r>
      <w:r w:rsidR="00457CF1" w:rsidRPr="008B3874">
        <w:rPr>
          <w:rFonts w:ascii="Verdana" w:hAnsi="Verdana"/>
          <w:sz w:val="20"/>
          <w:lang w:val="es-CR"/>
        </w:rPr>
        <w:lastRenderedPageBreak/>
        <w:t>frente a cada uno de los tres fallos de responsabilidad fiscal que se encuentran actualmente en firme, él tiene la posibilidad de interponer y agotar recursos judiciales que han demostrado ser adecuados y efectivos para la suspensión de los efectos de estos fallos y su posterior anulación y, por ende, para la protección de los mismos derechos que considera en riesgo</w:t>
      </w:r>
      <w:r w:rsidRPr="008B3874">
        <w:rPr>
          <w:rFonts w:ascii="Verdana" w:hAnsi="Verdana"/>
          <w:sz w:val="20"/>
          <w:lang w:val="es-CR"/>
        </w:rPr>
        <w:t>:</w:t>
      </w:r>
    </w:p>
    <w:p w:rsidR="00F94BE1" w:rsidRPr="00F94BE1" w:rsidRDefault="00E76C4B" w:rsidP="008B3874">
      <w:pPr>
        <w:pStyle w:val="ListParagraph"/>
        <w:numPr>
          <w:ilvl w:val="2"/>
          <w:numId w:val="26"/>
        </w:numPr>
        <w:autoSpaceDE w:val="0"/>
        <w:autoSpaceDN w:val="0"/>
        <w:ind w:left="567"/>
        <w:jc w:val="both"/>
        <w:rPr>
          <w:rFonts w:ascii="Verdana" w:hAnsi="Verdana"/>
          <w:sz w:val="20"/>
        </w:rPr>
      </w:pPr>
      <w:r w:rsidRPr="00F94BE1">
        <w:rPr>
          <w:rFonts w:ascii="Verdana" w:hAnsi="Verdana"/>
          <w:sz w:val="20"/>
          <w:lang w:val="es-CR"/>
        </w:rPr>
        <w:t>L</w:t>
      </w:r>
      <w:r w:rsidR="00457CF1" w:rsidRPr="00F94BE1">
        <w:rPr>
          <w:rFonts w:ascii="Verdana" w:hAnsi="Verdana"/>
          <w:sz w:val="20"/>
          <w:lang w:val="es-CR"/>
        </w:rPr>
        <w:t>a acción de nulidad y restablecimiento del derecho, establecida en el artículo 138 del Código de Procedimiento Administrativo y de lo Contencioso Administrativo</w:t>
      </w:r>
      <w:r w:rsidR="00457CF1">
        <w:rPr>
          <w:rStyle w:val="FootnoteReference"/>
          <w:rFonts w:ascii="Verdana" w:hAnsi="Verdana"/>
          <w:sz w:val="20"/>
        </w:rPr>
        <w:footnoteReference w:id="11"/>
      </w:r>
      <w:r w:rsidR="00457CF1" w:rsidRPr="00F94BE1">
        <w:rPr>
          <w:rFonts w:ascii="Verdana" w:hAnsi="Verdana"/>
          <w:sz w:val="20"/>
          <w:lang w:val="es-CR"/>
        </w:rPr>
        <w:t xml:space="preserve">. </w:t>
      </w:r>
      <w:r w:rsidR="00E50D32">
        <w:rPr>
          <w:rFonts w:ascii="Verdana" w:hAnsi="Verdana"/>
          <w:sz w:val="20"/>
          <w:lang w:val="es-CR"/>
        </w:rPr>
        <w:t>E</w:t>
      </w:r>
      <w:r w:rsidR="00457CF1" w:rsidRPr="00F94BE1">
        <w:rPr>
          <w:rFonts w:ascii="Verdana" w:hAnsi="Verdana"/>
          <w:sz w:val="20"/>
          <w:lang w:val="es-CR"/>
        </w:rPr>
        <w:t xml:space="preserve">n el marco de tal acción, los funcionarios públicos pueden solicitar la suspensión provisional de los actos administrativos mientras la demanda es fallada de fondo. </w:t>
      </w:r>
      <w:r w:rsidRPr="00F94BE1">
        <w:rPr>
          <w:rFonts w:ascii="Verdana" w:hAnsi="Verdana"/>
          <w:sz w:val="20"/>
          <w:lang w:val="es-CR"/>
        </w:rPr>
        <w:t>Alegó que l</w:t>
      </w:r>
      <w:r w:rsidR="00457CF1" w:rsidRPr="00F94BE1">
        <w:rPr>
          <w:rFonts w:ascii="Verdana" w:hAnsi="Verdana"/>
          <w:sz w:val="20"/>
          <w:lang w:val="es-CR"/>
        </w:rPr>
        <w:t>a efectividad de este tipo de acción ha quedado demostrada pues en este caso el señor Petro ha logrado, a través de la misma, la suspensión del acto de destitución, la declaratoria de nulidad y la suspensión provisional de los efectos del proceso de responsabilidad fiscal (lo cual le permiti</w:t>
      </w:r>
      <w:r w:rsidR="00E50D32">
        <w:rPr>
          <w:rFonts w:ascii="Verdana" w:hAnsi="Verdana"/>
          <w:sz w:val="20"/>
          <w:lang w:val="es-CR"/>
        </w:rPr>
        <w:t xml:space="preserve">ó participar en las elecciones), lo cual </w:t>
      </w:r>
      <w:r w:rsidR="00457CF1" w:rsidRPr="00F94BE1">
        <w:rPr>
          <w:rFonts w:ascii="Verdana" w:hAnsi="Verdana"/>
          <w:sz w:val="20"/>
          <w:lang w:val="es-CR"/>
        </w:rPr>
        <w:t>es una prueba clara y directa de la ausencia de una persecución política por par</w:t>
      </w:r>
      <w:r w:rsidR="00E50D32">
        <w:rPr>
          <w:rFonts w:ascii="Verdana" w:hAnsi="Verdana"/>
          <w:sz w:val="20"/>
          <w:lang w:val="es-CR"/>
        </w:rPr>
        <w:t>te de las autoridades estatales</w:t>
      </w:r>
      <w:r w:rsidR="00457CF1" w:rsidRPr="00F94BE1">
        <w:rPr>
          <w:rFonts w:ascii="Verdana" w:hAnsi="Verdana"/>
          <w:sz w:val="20"/>
          <w:lang w:val="es-CR"/>
        </w:rPr>
        <w:t xml:space="preserve"> y de la efectividad de las medidas internas para proteger los derechos del señor Petro.</w:t>
      </w:r>
    </w:p>
    <w:p w:rsidR="00F94BE1" w:rsidRDefault="00F94BE1" w:rsidP="008B3874">
      <w:pPr>
        <w:pStyle w:val="ListParagraph"/>
        <w:autoSpaceDE w:val="0"/>
        <w:autoSpaceDN w:val="0"/>
        <w:ind w:left="567"/>
        <w:jc w:val="both"/>
        <w:rPr>
          <w:rFonts w:ascii="Verdana" w:hAnsi="Verdana"/>
          <w:sz w:val="20"/>
        </w:rPr>
      </w:pPr>
    </w:p>
    <w:p w:rsidR="00B24FD1" w:rsidRDefault="00457CF1" w:rsidP="008B3874">
      <w:pPr>
        <w:pStyle w:val="ListParagraph"/>
        <w:numPr>
          <w:ilvl w:val="2"/>
          <w:numId w:val="26"/>
        </w:numPr>
        <w:autoSpaceDE w:val="0"/>
        <w:autoSpaceDN w:val="0"/>
        <w:ind w:left="567"/>
        <w:jc w:val="both"/>
        <w:rPr>
          <w:rFonts w:ascii="Verdana" w:hAnsi="Verdana"/>
          <w:sz w:val="20"/>
          <w:lang w:val="es-CR"/>
        </w:rPr>
      </w:pPr>
      <w:r w:rsidRPr="00B24FD1">
        <w:rPr>
          <w:rFonts w:ascii="Verdana" w:hAnsi="Verdana"/>
          <w:sz w:val="20"/>
          <w:lang w:val="es-CR"/>
        </w:rPr>
        <w:t>E</w:t>
      </w:r>
      <w:r w:rsidR="00F94BE1" w:rsidRPr="00B24FD1">
        <w:rPr>
          <w:rFonts w:ascii="Verdana" w:hAnsi="Verdana"/>
          <w:sz w:val="20"/>
          <w:lang w:val="es-CR"/>
        </w:rPr>
        <w:t>n este sentido, e</w:t>
      </w:r>
      <w:r w:rsidRPr="00B24FD1">
        <w:rPr>
          <w:rFonts w:ascii="Verdana" w:hAnsi="Verdana"/>
          <w:sz w:val="20"/>
          <w:lang w:val="es-CR"/>
        </w:rPr>
        <w:t xml:space="preserve">s cierto, tal como lo afirman los representantes, que el pasado 22 de noviembre el Consejo de Estado revocó la medida cautelar de suspensión provisional. </w:t>
      </w:r>
      <w:r w:rsidR="007F1407">
        <w:rPr>
          <w:rFonts w:ascii="Verdana" w:hAnsi="Verdana"/>
          <w:sz w:val="20"/>
        </w:rPr>
        <w:t xml:space="preserve">Sin embargo, </w:t>
      </w:r>
      <w:r w:rsidR="00F94BE1" w:rsidRPr="00B24FD1">
        <w:rPr>
          <w:rFonts w:ascii="Verdana" w:hAnsi="Verdana"/>
          <w:sz w:val="20"/>
        </w:rPr>
        <w:t>e</w:t>
      </w:r>
      <w:r w:rsidRPr="00B24FD1">
        <w:rPr>
          <w:rFonts w:ascii="Verdana" w:hAnsi="Verdana"/>
          <w:sz w:val="20"/>
          <w:lang w:val="es-CR"/>
        </w:rPr>
        <w:t xml:space="preserve">l hecho de que el más alto tribunal de lo contencioso administrativo reverse una medida cautelar decretada por </w:t>
      </w:r>
      <w:r w:rsidR="00F94BE1" w:rsidRPr="00B24FD1">
        <w:rPr>
          <w:rFonts w:ascii="Verdana" w:hAnsi="Verdana"/>
          <w:sz w:val="20"/>
          <w:lang w:val="es-CR"/>
        </w:rPr>
        <w:t xml:space="preserve">un </w:t>
      </w:r>
      <w:r w:rsidRPr="00B24FD1">
        <w:rPr>
          <w:rFonts w:ascii="Verdana" w:hAnsi="Verdana"/>
          <w:sz w:val="20"/>
          <w:lang w:val="es-CR"/>
        </w:rPr>
        <w:t>juez inferior, en desarrollo de la garantía de segunda instancia, no puede ser considerado por la Corte IDH como un acto de persecución política, ni constituye prueba de alguno de los elementos que ameriten una medida provisional.</w:t>
      </w:r>
      <w:r w:rsidR="00F94BE1" w:rsidRPr="00B24FD1">
        <w:rPr>
          <w:rFonts w:ascii="Verdana" w:hAnsi="Verdana"/>
          <w:sz w:val="20"/>
          <w:lang w:val="es-CR"/>
        </w:rPr>
        <w:t xml:space="preserve"> Alegó que u</w:t>
      </w:r>
      <w:r w:rsidRPr="00B24FD1">
        <w:rPr>
          <w:rFonts w:ascii="Verdana" w:hAnsi="Verdana"/>
          <w:sz w:val="20"/>
          <w:lang w:val="es-CR"/>
        </w:rPr>
        <w:t>n funcionario público que ha ejercido como alcalde de la capital del país y es actualmente senador de la República tien</w:t>
      </w:r>
      <w:r w:rsidR="007F1407">
        <w:rPr>
          <w:rFonts w:ascii="Verdana" w:hAnsi="Verdana"/>
          <w:sz w:val="20"/>
          <w:lang w:val="es-CR"/>
        </w:rPr>
        <w:t xml:space="preserve">e una especial responsabilidad </w:t>
      </w:r>
      <w:r w:rsidRPr="00B24FD1">
        <w:rPr>
          <w:rFonts w:ascii="Verdana" w:hAnsi="Verdana"/>
          <w:sz w:val="20"/>
          <w:lang w:val="es-CR"/>
        </w:rPr>
        <w:t>en cuanto al cabal cum</w:t>
      </w:r>
      <w:r w:rsidR="007F1407">
        <w:rPr>
          <w:rFonts w:ascii="Verdana" w:hAnsi="Verdana"/>
          <w:sz w:val="20"/>
          <w:lang w:val="es-CR"/>
        </w:rPr>
        <w:t>plimiento de las leyes del</w:t>
      </w:r>
      <w:r w:rsidRPr="00B24FD1">
        <w:rPr>
          <w:rFonts w:ascii="Verdana" w:hAnsi="Verdana"/>
          <w:sz w:val="20"/>
          <w:lang w:val="es-CR"/>
        </w:rPr>
        <w:t xml:space="preserve"> Estado y las normas internacionales y del principio de legalidad, </w:t>
      </w:r>
      <w:r w:rsidR="00F94BE1" w:rsidRPr="00B24FD1">
        <w:rPr>
          <w:rFonts w:ascii="Verdana" w:hAnsi="Verdana"/>
          <w:sz w:val="20"/>
        </w:rPr>
        <w:t>por lo cual</w:t>
      </w:r>
      <w:r w:rsidRPr="00B24FD1">
        <w:rPr>
          <w:rFonts w:ascii="Verdana" w:hAnsi="Verdana"/>
          <w:sz w:val="20"/>
        </w:rPr>
        <w:t xml:space="preserve"> no </w:t>
      </w:r>
      <w:r w:rsidR="007F1407">
        <w:rPr>
          <w:rFonts w:ascii="Verdana" w:hAnsi="Verdana"/>
          <w:sz w:val="20"/>
        </w:rPr>
        <w:t>es aceptable</w:t>
      </w:r>
      <w:r w:rsidRPr="00B24FD1">
        <w:rPr>
          <w:rFonts w:ascii="Verdana" w:hAnsi="Verdana"/>
          <w:sz w:val="20"/>
        </w:rPr>
        <w:t xml:space="preserve"> que tal revocatoria pueda ser entendida como un “claro objetivo” del Estado de “dar muerte política al señor Petro”.</w:t>
      </w:r>
      <w:r w:rsidR="00F94BE1" w:rsidRPr="00B24FD1">
        <w:rPr>
          <w:rFonts w:ascii="Verdana" w:hAnsi="Verdana"/>
          <w:sz w:val="20"/>
        </w:rPr>
        <w:t xml:space="preserve"> </w:t>
      </w:r>
      <w:r w:rsidRPr="00B24FD1">
        <w:rPr>
          <w:rFonts w:ascii="Verdana" w:hAnsi="Verdana"/>
          <w:sz w:val="20"/>
          <w:lang w:val="es-CR"/>
        </w:rPr>
        <w:t>El expediente de ese proceso ha retornado al Tribunal Administrativo de Cundinamarca, el cual tiene la competencia para, en caso de considerarlo procedente, decretar nuevamente la suspensión provisional de los efectos de los a</w:t>
      </w:r>
      <w:r w:rsidR="00F94BE1" w:rsidRPr="00B24FD1">
        <w:rPr>
          <w:rFonts w:ascii="Verdana" w:hAnsi="Verdana"/>
          <w:sz w:val="20"/>
          <w:lang w:val="es-CR"/>
        </w:rPr>
        <w:t>ctos administrativos demandados, si considerara</w:t>
      </w:r>
      <w:r w:rsidRPr="00B24FD1">
        <w:rPr>
          <w:rFonts w:ascii="Verdana" w:hAnsi="Verdana"/>
          <w:sz w:val="20"/>
        </w:rPr>
        <w:t>, una vez más, que dichos actos afectan derechos del</w:t>
      </w:r>
      <w:r w:rsidR="001868D5">
        <w:rPr>
          <w:rFonts w:ascii="Verdana" w:hAnsi="Verdana"/>
          <w:sz w:val="20"/>
        </w:rPr>
        <w:t xml:space="preserve"> solicitante</w:t>
      </w:r>
      <w:r w:rsidRPr="00B24FD1">
        <w:rPr>
          <w:rFonts w:ascii="Verdana" w:hAnsi="Verdana"/>
          <w:sz w:val="20"/>
        </w:rPr>
        <w:t>, con lo cual él no estaría incurso en causal de inhabilidad alguna en relación con este proceso.</w:t>
      </w:r>
      <w:r w:rsidR="00F94BE1" w:rsidRPr="00B24FD1">
        <w:rPr>
          <w:rFonts w:ascii="Verdana" w:hAnsi="Verdana"/>
          <w:sz w:val="20"/>
        </w:rPr>
        <w:t xml:space="preserve"> </w:t>
      </w:r>
      <w:r w:rsidRPr="00B24FD1">
        <w:rPr>
          <w:rFonts w:ascii="Verdana" w:hAnsi="Verdana"/>
          <w:sz w:val="20"/>
          <w:lang w:val="es-CR"/>
        </w:rPr>
        <w:t xml:space="preserve">En este caso, las resoluciones mediante las cuales se confirmaron los dos fallos de responsabilidad fiscal fueron notificadas al senador Petro el pasado 19 de noviembre de 2018, </w:t>
      </w:r>
      <w:r w:rsidR="00B24FD1" w:rsidRPr="00B24FD1">
        <w:rPr>
          <w:rFonts w:ascii="Verdana" w:hAnsi="Verdana"/>
          <w:sz w:val="20"/>
          <w:lang w:val="es-CR"/>
        </w:rPr>
        <w:t>por lo cual</w:t>
      </w:r>
      <w:r w:rsidRPr="00B24FD1">
        <w:rPr>
          <w:rFonts w:ascii="Verdana" w:hAnsi="Verdana"/>
          <w:sz w:val="20"/>
          <w:lang w:val="es-CR"/>
        </w:rPr>
        <w:t xml:space="preserve"> no ha caducado aún el término legal </w:t>
      </w:r>
      <w:r w:rsidR="00B24FD1" w:rsidRPr="00B24FD1">
        <w:rPr>
          <w:rFonts w:ascii="Verdana" w:hAnsi="Verdana"/>
          <w:sz w:val="20"/>
          <w:lang w:val="es-CR"/>
        </w:rPr>
        <w:t xml:space="preserve">de 4 meses </w:t>
      </w:r>
      <w:r w:rsidRPr="00B24FD1">
        <w:rPr>
          <w:rFonts w:ascii="Verdana" w:hAnsi="Verdana"/>
          <w:sz w:val="20"/>
          <w:lang w:val="es-CR"/>
        </w:rPr>
        <w:t>previsto para la interposición de</w:t>
      </w:r>
      <w:r w:rsidR="00A83000">
        <w:rPr>
          <w:rFonts w:ascii="Verdana" w:hAnsi="Verdana"/>
          <w:sz w:val="20"/>
          <w:lang w:val="es-CR"/>
        </w:rPr>
        <w:t xml:space="preserve"> ese tipo de</w:t>
      </w:r>
      <w:r w:rsidRPr="00B24FD1">
        <w:rPr>
          <w:rFonts w:ascii="Verdana" w:hAnsi="Verdana"/>
          <w:sz w:val="20"/>
          <w:lang w:val="es-CR"/>
        </w:rPr>
        <w:t xml:space="preserve"> demandas</w:t>
      </w:r>
      <w:r w:rsidR="00B24FD1" w:rsidRPr="00B24FD1">
        <w:rPr>
          <w:rFonts w:ascii="Verdana" w:hAnsi="Verdana"/>
          <w:sz w:val="20"/>
          <w:lang w:val="es-CR"/>
        </w:rPr>
        <w:t>.</w:t>
      </w:r>
    </w:p>
    <w:p w:rsidR="00B24FD1" w:rsidRDefault="00B24FD1" w:rsidP="008B3874">
      <w:pPr>
        <w:pStyle w:val="ListParagraph"/>
        <w:autoSpaceDE w:val="0"/>
        <w:autoSpaceDN w:val="0"/>
        <w:ind w:left="567"/>
        <w:jc w:val="both"/>
        <w:rPr>
          <w:rFonts w:ascii="Verdana" w:hAnsi="Verdana"/>
          <w:sz w:val="20"/>
          <w:lang w:val="es-CR"/>
        </w:rPr>
      </w:pPr>
    </w:p>
    <w:p w:rsidR="00B24FD1" w:rsidRDefault="00B24FD1" w:rsidP="008B3874">
      <w:pPr>
        <w:pStyle w:val="ListParagraph"/>
        <w:numPr>
          <w:ilvl w:val="2"/>
          <w:numId w:val="26"/>
        </w:numPr>
        <w:autoSpaceDE w:val="0"/>
        <w:autoSpaceDN w:val="0"/>
        <w:ind w:left="567"/>
        <w:jc w:val="both"/>
        <w:rPr>
          <w:rFonts w:ascii="Verdana" w:hAnsi="Verdana"/>
          <w:sz w:val="20"/>
          <w:lang w:val="es-CR"/>
        </w:rPr>
      </w:pPr>
      <w:r w:rsidRPr="00B24FD1">
        <w:rPr>
          <w:rFonts w:ascii="Verdana" w:hAnsi="Verdana"/>
          <w:sz w:val="20"/>
          <w:lang w:val="es-CR"/>
        </w:rPr>
        <w:t>E</w:t>
      </w:r>
      <w:r w:rsidR="00457CF1" w:rsidRPr="00B24FD1">
        <w:rPr>
          <w:rFonts w:ascii="Verdana" w:hAnsi="Verdana"/>
          <w:sz w:val="20"/>
          <w:lang w:val="es-CR"/>
        </w:rPr>
        <w:t xml:space="preserve">xiste también en el ordenamiento jurídico colombiano la acción de tutela. Si bien esta acción no procede, en principio, cuando existen otros mecanismos judiciales para la protección de los derechos invocados, podría ser otorgada como mecanismo transitorio de protección en caso de que exista riesgo de un perjuicio irremediable a un derecho fundamental. En este caso, la efectividad de tal acción también ha quedado ampliamente demostrada pues </w:t>
      </w:r>
      <w:r w:rsidRPr="00B24FD1">
        <w:rPr>
          <w:rFonts w:ascii="Verdana" w:hAnsi="Verdana"/>
          <w:sz w:val="20"/>
          <w:lang w:val="es-CR"/>
        </w:rPr>
        <w:t xml:space="preserve">inicialmente </w:t>
      </w:r>
      <w:r w:rsidR="00457CF1" w:rsidRPr="00B24FD1">
        <w:rPr>
          <w:rFonts w:ascii="Verdana" w:hAnsi="Verdana"/>
          <w:sz w:val="20"/>
          <w:lang w:val="es-CR"/>
        </w:rPr>
        <w:t xml:space="preserve">fueron las acciones de tutela interpuestas las que permitieron </w:t>
      </w:r>
      <w:r w:rsidRPr="00B24FD1">
        <w:rPr>
          <w:rFonts w:ascii="Verdana" w:hAnsi="Verdana"/>
          <w:sz w:val="20"/>
          <w:lang w:val="es-CR"/>
        </w:rPr>
        <w:t>al señor Petro</w:t>
      </w:r>
      <w:r w:rsidR="00457CF1" w:rsidRPr="00B24FD1">
        <w:rPr>
          <w:rFonts w:ascii="Verdana" w:hAnsi="Verdana"/>
          <w:sz w:val="20"/>
          <w:lang w:val="es-CR"/>
        </w:rPr>
        <w:t xml:space="preserve"> permanecer en el cargo de alcalde de Bogotá, aún después de que la sanción por la Procuraduría quedara </w:t>
      </w:r>
      <w:r w:rsidRPr="00B24FD1">
        <w:rPr>
          <w:rFonts w:ascii="Verdana" w:hAnsi="Verdana"/>
          <w:sz w:val="20"/>
          <w:lang w:val="es-CR"/>
        </w:rPr>
        <w:t>en firme el 13 de enero de 2014</w:t>
      </w:r>
      <w:r w:rsidR="00457CF1" w:rsidRPr="00B24FD1">
        <w:rPr>
          <w:rFonts w:ascii="Verdana" w:hAnsi="Verdana"/>
          <w:sz w:val="20"/>
          <w:lang w:val="es-CR"/>
        </w:rPr>
        <w:t>.</w:t>
      </w:r>
    </w:p>
    <w:p w:rsidR="00B24FD1" w:rsidRPr="00B24FD1" w:rsidRDefault="00B24FD1" w:rsidP="008B3874">
      <w:pPr>
        <w:pStyle w:val="ListParagraph"/>
        <w:ind w:left="567"/>
        <w:rPr>
          <w:rFonts w:ascii="Verdana" w:hAnsi="Verdana"/>
          <w:sz w:val="20"/>
          <w:lang w:val="es-CR"/>
        </w:rPr>
      </w:pPr>
    </w:p>
    <w:p w:rsidR="00B24FD1" w:rsidRDefault="00457CF1" w:rsidP="008B3874">
      <w:pPr>
        <w:pStyle w:val="ListParagraph"/>
        <w:numPr>
          <w:ilvl w:val="2"/>
          <w:numId w:val="26"/>
        </w:numPr>
        <w:autoSpaceDE w:val="0"/>
        <w:autoSpaceDN w:val="0"/>
        <w:ind w:left="567"/>
        <w:jc w:val="both"/>
        <w:rPr>
          <w:rFonts w:ascii="Verdana" w:hAnsi="Verdana"/>
          <w:sz w:val="20"/>
          <w:lang w:val="es-CR"/>
        </w:rPr>
      </w:pPr>
      <w:r w:rsidRPr="00B24FD1">
        <w:rPr>
          <w:rFonts w:ascii="Verdana" w:hAnsi="Verdana"/>
          <w:sz w:val="20"/>
          <w:lang w:val="es-CR"/>
        </w:rPr>
        <w:lastRenderedPageBreak/>
        <w:t>Sin</w:t>
      </w:r>
      <w:r w:rsidR="00B24FD1">
        <w:rPr>
          <w:rFonts w:ascii="Verdana" w:hAnsi="Verdana"/>
          <w:sz w:val="20"/>
          <w:lang w:val="es-CR"/>
        </w:rPr>
        <w:t xml:space="preserve"> perjuicio de la existencia de tales recursos</w:t>
      </w:r>
      <w:r w:rsidRPr="00B24FD1">
        <w:rPr>
          <w:rFonts w:ascii="Verdana" w:hAnsi="Verdana"/>
          <w:sz w:val="20"/>
          <w:lang w:val="es-CR"/>
        </w:rPr>
        <w:t>, mientras los actos administrativos que él considera violatorios de sus derechos no sean controvertidos y anulados a través de dichos recursos, la presunción de legalidad de los actos permanece incólume.</w:t>
      </w:r>
    </w:p>
    <w:p w:rsidR="00B24FD1" w:rsidRPr="00B24FD1" w:rsidRDefault="00B24FD1" w:rsidP="008B3874">
      <w:pPr>
        <w:pStyle w:val="ListParagraph"/>
        <w:ind w:left="567"/>
        <w:rPr>
          <w:rFonts w:ascii="Verdana" w:hAnsi="Verdana"/>
          <w:sz w:val="20"/>
          <w:lang w:val="es-CR"/>
        </w:rPr>
      </w:pPr>
    </w:p>
    <w:p w:rsidR="008B3874" w:rsidRDefault="00457CF1" w:rsidP="008B3874">
      <w:pPr>
        <w:pStyle w:val="ListParagraph"/>
        <w:numPr>
          <w:ilvl w:val="2"/>
          <w:numId w:val="26"/>
        </w:numPr>
        <w:autoSpaceDE w:val="0"/>
        <w:autoSpaceDN w:val="0"/>
        <w:ind w:left="567"/>
        <w:jc w:val="both"/>
        <w:rPr>
          <w:rFonts w:ascii="Verdana" w:hAnsi="Verdana"/>
          <w:sz w:val="20"/>
          <w:lang w:val="es-CR"/>
        </w:rPr>
      </w:pPr>
      <w:r w:rsidRPr="008B3874">
        <w:rPr>
          <w:rFonts w:ascii="Verdana" w:hAnsi="Verdana"/>
          <w:sz w:val="20"/>
          <w:lang w:val="es-CR"/>
        </w:rPr>
        <w:t xml:space="preserve">El Estado no pretende alegar que exista un requisito </w:t>
      </w:r>
      <w:r w:rsidR="007F1407" w:rsidRPr="008B3874">
        <w:rPr>
          <w:rFonts w:ascii="Verdana" w:hAnsi="Verdana"/>
          <w:i/>
          <w:sz w:val="20"/>
          <w:lang w:val="es-CR"/>
        </w:rPr>
        <w:t>sine qua non</w:t>
      </w:r>
      <w:r w:rsidR="007F1407" w:rsidRPr="008B3874">
        <w:rPr>
          <w:rFonts w:ascii="Verdana" w:hAnsi="Verdana"/>
          <w:sz w:val="20"/>
          <w:lang w:val="es-CR"/>
        </w:rPr>
        <w:t xml:space="preserve"> </w:t>
      </w:r>
      <w:r w:rsidRPr="008B3874">
        <w:rPr>
          <w:rFonts w:ascii="Verdana" w:hAnsi="Verdana"/>
          <w:sz w:val="20"/>
          <w:lang w:val="es-CR"/>
        </w:rPr>
        <w:t xml:space="preserve">de agotar los recursos internos para el otorgamiento de medidas provisionales. Lo que alega es que, el hecho de que el senador Petro haya omitido agotar </w:t>
      </w:r>
      <w:r w:rsidR="007F1407">
        <w:rPr>
          <w:rFonts w:ascii="Verdana" w:hAnsi="Verdana"/>
          <w:sz w:val="20"/>
          <w:lang w:val="es-CR"/>
        </w:rPr>
        <w:t>tales</w:t>
      </w:r>
      <w:r w:rsidRPr="008B3874">
        <w:rPr>
          <w:rFonts w:ascii="Verdana" w:hAnsi="Verdana"/>
          <w:sz w:val="20"/>
          <w:lang w:val="es-CR"/>
        </w:rPr>
        <w:t xml:space="preserve"> recursos, desvirtúa la configuración de los requisitos para </w:t>
      </w:r>
      <w:r w:rsidR="007F1407">
        <w:rPr>
          <w:rFonts w:ascii="Verdana" w:hAnsi="Verdana"/>
          <w:sz w:val="20"/>
          <w:lang w:val="es-CR"/>
        </w:rPr>
        <w:t>otorgar</w:t>
      </w:r>
      <w:r w:rsidRPr="008B3874">
        <w:rPr>
          <w:rFonts w:ascii="Verdana" w:hAnsi="Verdana"/>
          <w:sz w:val="20"/>
          <w:lang w:val="es-CR"/>
        </w:rPr>
        <w:t xml:space="preserve"> las medidas solicitadas. </w:t>
      </w:r>
      <w:r w:rsidR="007F1407">
        <w:rPr>
          <w:rFonts w:ascii="Verdana" w:hAnsi="Verdana"/>
          <w:sz w:val="20"/>
          <w:lang w:val="es-CR"/>
        </w:rPr>
        <w:t>El</w:t>
      </w:r>
      <w:r w:rsidRPr="008B3874">
        <w:rPr>
          <w:rFonts w:ascii="Verdana" w:hAnsi="Verdana"/>
          <w:sz w:val="20"/>
          <w:lang w:val="es-CR"/>
        </w:rPr>
        <w:t xml:space="preserve"> riesgo de que se configure “el más intenso o elevado grado de impacto” sobre </w:t>
      </w:r>
      <w:r w:rsidR="007F1407">
        <w:rPr>
          <w:rFonts w:ascii="Verdana" w:hAnsi="Verdana"/>
          <w:sz w:val="20"/>
          <w:lang w:val="es-CR"/>
        </w:rPr>
        <w:t>sus</w:t>
      </w:r>
      <w:r w:rsidRPr="008B3874">
        <w:rPr>
          <w:rFonts w:ascii="Verdana" w:hAnsi="Verdana"/>
          <w:sz w:val="20"/>
          <w:lang w:val="es-CR"/>
        </w:rPr>
        <w:t xml:space="preserve"> derechos políticos </w:t>
      </w:r>
      <w:r w:rsidR="007F1407">
        <w:rPr>
          <w:rFonts w:ascii="Verdana" w:hAnsi="Verdana"/>
          <w:sz w:val="20"/>
          <w:lang w:val="es-CR"/>
        </w:rPr>
        <w:t>no existe y</w:t>
      </w:r>
      <w:r w:rsidRPr="008B3874">
        <w:rPr>
          <w:rFonts w:ascii="Verdana" w:hAnsi="Verdana"/>
          <w:sz w:val="20"/>
          <w:lang w:val="es-CR"/>
        </w:rPr>
        <w:t xml:space="preserve"> se ve considerablemente atenuado por tener a su disposición recursos judiciales efectivos para prevenir, precisamente, e</w:t>
      </w:r>
      <w:r w:rsidR="007F1407">
        <w:rPr>
          <w:rFonts w:ascii="Verdana" w:hAnsi="Verdana"/>
          <w:sz w:val="20"/>
          <w:lang w:val="es-CR"/>
        </w:rPr>
        <w:t>l tipo de afectaciones alegadas</w:t>
      </w:r>
      <w:r w:rsidRPr="008B3874">
        <w:rPr>
          <w:rFonts w:ascii="Verdana" w:hAnsi="Verdana"/>
          <w:sz w:val="20"/>
          <w:lang w:val="es-CR"/>
        </w:rPr>
        <w:t xml:space="preserve">, por lo que no existe tal riesgo o amenaza inminente (extrema urgencia). </w:t>
      </w:r>
    </w:p>
    <w:p w:rsidR="008B3874" w:rsidRPr="008B3874" w:rsidRDefault="008B3874" w:rsidP="008B3874">
      <w:pPr>
        <w:pStyle w:val="ListParagraph"/>
        <w:ind w:left="567"/>
        <w:rPr>
          <w:rFonts w:ascii="Verdana" w:hAnsi="Verdana"/>
          <w:sz w:val="20"/>
          <w:lang w:val="es-CR"/>
        </w:rPr>
      </w:pPr>
    </w:p>
    <w:p w:rsidR="00457CF1" w:rsidRPr="008B3874" w:rsidRDefault="00457CF1" w:rsidP="008B3874">
      <w:pPr>
        <w:pStyle w:val="ListParagraph"/>
        <w:numPr>
          <w:ilvl w:val="2"/>
          <w:numId w:val="26"/>
        </w:numPr>
        <w:autoSpaceDE w:val="0"/>
        <w:autoSpaceDN w:val="0"/>
        <w:ind w:left="567"/>
        <w:jc w:val="both"/>
        <w:rPr>
          <w:rFonts w:ascii="Verdana" w:hAnsi="Verdana"/>
          <w:sz w:val="20"/>
          <w:lang w:val="es-CR"/>
        </w:rPr>
      </w:pPr>
      <w:r w:rsidRPr="008B3874">
        <w:rPr>
          <w:rFonts w:ascii="Verdana" w:hAnsi="Verdana"/>
          <w:sz w:val="20"/>
          <w:lang w:val="es-CR"/>
        </w:rPr>
        <w:t xml:space="preserve">Tampoco existe una probabilidad razonable de que el daño irreparable se materialice, </w:t>
      </w:r>
      <w:r w:rsidR="008B3874">
        <w:rPr>
          <w:rFonts w:ascii="Verdana" w:hAnsi="Verdana"/>
          <w:sz w:val="20"/>
          <w:lang w:val="es-CR"/>
        </w:rPr>
        <w:t>pues</w:t>
      </w:r>
      <w:r w:rsidRPr="008B3874">
        <w:rPr>
          <w:rFonts w:ascii="Verdana" w:hAnsi="Verdana"/>
          <w:sz w:val="20"/>
          <w:lang w:val="es-CR"/>
        </w:rPr>
        <w:t xml:space="preserve"> los intereses jurídicos que se busca proteger mediante la solicitud de medidas son, claramente, reparables, pues aun en el hipotético caso en que se materializara </w:t>
      </w:r>
      <w:r w:rsidR="007F1407">
        <w:rPr>
          <w:rFonts w:ascii="Verdana" w:hAnsi="Verdana"/>
          <w:sz w:val="20"/>
          <w:lang w:val="es-CR"/>
        </w:rPr>
        <w:t>la</w:t>
      </w:r>
      <w:r w:rsidRPr="008B3874">
        <w:rPr>
          <w:rFonts w:ascii="Verdana" w:hAnsi="Verdana"/>
          <w:sz w:val="20"/>
          <w:lang w:val="es-CR"/>
        </w:rPr>
        <w:t xml:space="preserve"> inhabilidad</w:t>
      </w:r>
      <w:r w:rsidR="007F1407">
        <w:rPr>
          <w:rFonts w:ascii="Verdana" w:hAnsi="Verdana"/>
          <w:sz w:val="20"/>
          <w:lang w:val="es-CR"/>
        </w:rPr>
        <w:t xml:space="preserve"> del senador Petro</w:t>
      </w:r>
      <w:r w:rsidRPr="008B3874">
        <w:rPr>
          <w:rFonts w:ascii="Verdana" w:hAnsi="Verdana"/>
          <w:sz w:val="20"/>
          <w:lang w:val="es-CR"/>
        </w:rPr>
        <w:t>, él tendría a su disposición recursos judiciales para revertir la decisión y recuperar el pleno goce de sus derechos políticos.</w:t>
      </w:r>
    </w:p>
    <w:p w:rsidR="00457CF1" w:rsidRDefault="008B3874" w:rsidP="008B3874">
      <w:pPr>
        <w:pStyle w:val="ListParagraph"/>
        <w:numPr>
          <w:ilvl w:val="0"/>
          <w:numId w:val="8"/>
        </w:numPr>
        <w:autoSpaceDE w:val="0"/>
        <w:autoSpaceDN w:val="0"/>
        <w:spacing w:before="120" w:after="120"/>
        <w:ind w:left="0" w:right="17" w:firstLine="0"/>
        <w:contextualSpacing w:val="0"/>
        <w:jc w:val="both"/>
        <w:rPr>
          <w:rFonts w:ascii="Verdana" w:hAnsi="Verdana"/>
          <w:sz w:val="20"/>
          <w:lang w:val="es-CR"/>
        </w:rPr>
      </w:pPr>
      <w:r w:rsidRPr="003342E1">
        <w:rPr>
          <w:rFonts w:ascii="Verdana" w:hAnsi="Verdana"/>
          <w:sz w:val="20"/>
          <w:lang w:val="es-CR"/>
        </w:rPr>
        <w:t>En tercer lugar, el Estado señaló, e</w:t>
      </w:r>
      <w:r w:rsidR="00457CF1" w:rsidRPr="003342E1">
        <w:rPr>
          <w:rFonts w:ascii="Verdana" w:hAnsi="Verdana"/>
          <w:sz w:val="20"/>
          <w:lang w:val="es-CR"/>
        </w:rPr>
        <w:t xml:space="preserve">n cuanto a la posibilidad de inicio de un proceso penal en contra </w:t>
      </w:r>
      <w:r w:rsidRPr="003342E1">
        <w:rPr>
          <w:rFonts w:ascii="Verdana" w:hAnsi="Verdana"/>
          <w:sz w:val="20"/>
          <w:lang w:val="es-CR"/>
        </w:rPr>
        <w:t xml:space="preserve">del senador Petro </w:t>
      </w:r>
      <w:r w:rsidR="00457CF1" w:rsidRPr="003342E1">
        <w:rPr>
          <w:rFonts w:ascii="Verdana" w:hAnsi="Verdana"/>
          <w:sz w:val="20"/>
          <w:lang w:val="es-CR"/>
        </w:rPr>
        <w:t>bajo el tipo penal de elección ilícita de candidatos,</w:t>
      </w:r>
      <w:r w:rsidRPr="003342E1">
        <w:rPr>
          <w:rFonts w:ascii="Verdana" w:hAnsi="Verdana"/>
          <w:sz w:val="20"/>
          <w:lang w:val="es-CR"/>
        </w:rPr>
        <w:t xml:space="preserve"> que</w:t>
      </w:r>
      <w:r w:rsidR="00457CF1" w:rsidRPr="003342E1">
        <w:rPr>
          <w:rFonts w:ascii="Verdana" w:hAnsi="Verdana"/>
          <w:sz w:val="20"/>
          <w:lang w:val="es-CR"/>
        </w:rPr>
        <w:t xml:space="preserve"> la hipótesis planteada por los representantes es puramente especulativa. La Fiscalía General de la Nación no ha iniciado ninguna investigación en su contra, mucho menos un proceso penal formal, por la presunta comisión de tal</w:t>
      </w:r>
      <w:r w:rsidRPr="003342E1">
        <w:rPr>
          <w:rFonts w:ascii="Verdana" w:hAnsi="Verdana"/>
          <w:sz w:val="20"/>
          <w:lang w:val="es-CR"/>
        </w:rPr>
        <w:t xml:space="preserve"> delito. A</w:t>
      </w:r>
      <w:r w:rsidR="00457CF1" w:rsidRPr="003342E1">
        <w:rPr>
          <w:rFonts w:ascii="Verdana" w:hAnsi="Verdana"/>
          <w:sz w:val="20"/>
          <w:lang w:val="es-CR"/>
        </w:rPr>
        <w:t xml:space="preserve">demás, </w:t>
      </w:r>
      <w:r w:rsidRPr="003342E1">
        <w:rPr>
          <w:rFonts w:ascii="Verdana" w:hAnsi="Verdana"/>
          <w:sz w:val="20"/>
          <w:lang w:val="es-CR"/>
        </w:rPr>
        <w:t xml:space="preserve">el Estado consideró </w:t>
      </w:r>
      <w:r w:rsidR="00457CF1" w:rsidRPr="003342E1">
        <w:rPr>
          <w:rFonts w:ascii="Verdana" w:hAnsi="Verdana"/>
          <w:sz w:val="20"/>
          <w:lang w:val="es-CR"/>
        </w:rPr>
        <w:t>importante aclarar que, en los términos del tipo penal del artículo 5 de la Ley 1864 de 2017</w:t>
      </w:r>
      <w:r w:rsidR="00457CF1">
        <w:rPr>
          <w:rStyle w:val="FootnoteReference"/>
          <w:rFonts w:ascii="Verdana" w:hAnsi="Verdana"/>
          <w:sz w:val="20"/>
        </w:rPr>
        <w:footnoteReference w:id="12"/>
      </w:r>
      <w:r w:rsidR="00457CF1" w:rsidRPr="003342E1">
        <w:rPr>
          <w:rFonts w:ascii="Verdana" w:hAnsi="Verdana"/>
          <w:sz w:val="20"/>
          <w:lang w:val="es-CR"/>
        </w:rPr>
        <w:t xml:space="preserve">, </w:t>
      </w:r>
      <w:r w:rsidRPr="003342E1">
        <w:rPr>
          <w:rFonts w:ascii="Verdana" w:hAnsi="Verdana"/>
          <w:sz w:val="20"/>
          <w:lang w:val="es-CR"/>
        </w:rPr>
        <w:t xml:space="preserve">el señor </w:t>
      </w:r>
      <w:r w:rsidR="00457CF1" w:rsidRPr="003342E1">
        <w:rPr>
          <w:rFonts w:ascii="Verdana" w:hAnsi="Verdana"/>
          <w:sz w:val="20"/>
          <w:lang w:val="es-CR"/>
        </w:rPr>
        <w:t>Petro</w:t>
      </w:r>
      <w:r w:rsidR="001868D5">
        <w:rPr>
          <w:rFonts w:ascii="Verdana" w:hAnsi="Verdana"/>
          <w:sz w:val="20"/>
          <w:lang w:val="es-CR"/>
        </w:rPr>
        <w:t xml:space="preserve"> Urrego</w:t>
      </w:r>
      <w:r w:rsidR="00457CF1" w:rsidRPr="003342E1">
        <w:rPr>
          <w:rFonts w:ascii="Verdana" w:hAnsi="Verdana"/>
          <w:sz w:val="20"/>
          <w:lang w:val="es-CR"/>
        </w:rPr>
        <w:t xml:space="preserve"> no fue “elegido” para ejercer el cargo de senador, sino que fue designado para ello en virtud de lo previsto en el artículo 24 de la Ley 1909 de 2018 (Estatuto de la Oposición)</w:t>
      </w:r>
      <w:r w:rsidR="00457CF1">
        <w:rPr>
          <w:rStyle w:val="FootnoteReference"/>
          <w:rFonts w:ascii="Verdana" w:hAnsi="Verdana"/>
          <w:sz w:val="20"/>
        </w:rPr>
        <w:footnoteReference w:id="13"/>
      </w:r>
      <w:r w:rsidR="00457CF1" w:rsidRPr="003342E1">
        <w:rPr>
          <w:rFonts w:ascii="Verdana" w:hAnsi="Verdana"/>
          <w:sz w:val="20"/>
          <w:lang w:val="es-CR"/>
        </w:rPr>
        <w:t xml:space="preserve">. De acuerdo con este artículo, el señor Petro no fue elegido para ejercer un cargo en el Senado (cargo al que ni siquiera aspiró) sino que obtuvo el derecho a ejercer dicho cargo por el hecho de haber obtenido la segunda votación más alta en las elecciones presidenciales celebradas en el año 2018. </w:t>
      </w:r>
      <w:r w:rsidRPr="003342E1">
        <w:rPr>
          <w:rFonts w:ascii="Verdana" w:hAnsi="Verdana"/>
          <w:sz w:val="20"/>
          <w:lang w:val="es-CR"/>
        </w:rPr>
        <w:t>Además</w:t>
      </w:r>
      <w:r w:rsidR="00457CF1" w:rsidRPr="003342E1">
        <w:rPr>
          <w:rFonts w:ascii="Verdana" w:hAnsi="Verdana"/>
          <w:sz w:val="20"/>
          <w:lang w:val="es-CR"/>
        </w:rPr>
        <w:t>, al momento de posesionarse como senador el día 20 de julio de 2018, él no tenía vigente ninguna inhabilidad para el desempeño del cargo. Los efectos del único fallo de responsabilidad fiscal expedido en su contra</w:t>
      </w:r>
      <w:r w:rsidR="003342E1">
        <w:rPr>
          <w:rFonts w:ascii="Verdana" w:hAnsi="Verdana"/>
          <w:sz w:val="20"/>
          <w:lang w:val="es-CR"/>
        </w:rPr>
        <w:t>,</w:t>
      </w:r>
      <w:r w:rsidR="00457CF1" w:rsidRPr="003342E1">
        <w:rPr>
          <w:rFonts w:ascii="Verdana" w:hAnsi="Verdana"/>
          <w:sz w:val="20"/>
          <w:lang w:val="es-CR"/>
        </w:rPr>
        <w:t xml:space="preserve"> que se encontraba en firme en ese momento</w:t>
      </w:r>
      <w:r w:rsidR="003342E1">
        <w:rPr>
          <w:rFonts w:ascii="Verdana" w:hAnsi="Verdana"/>
          <w:sz w:val="20"/>
          <w:lang w:val="es-CR"/>
        </w:rPr>
        <w:t>,</w:t>
      </w:r>
      <w:r w:rsidR="00457CF1" w:rsidRPr="003342E1">
        <w:rPr>
          <w:rFonts w:ascii="Verdana" w:hAnsi="Verdana"/>
          <w:sz w:val="20"/>
          <w:lang w:val="es-CR"/>
        </w:rPr>
        <w:t xml:space="preserve"> habían sido suspendidos por las medidas cautelares otorgadas por el Tribunal Administrativo de Cundinamarca, razón por la cual no se encontraba registrado en el Boletín de Responsables Fiscales y no tenía ningún impedimento para el ejercicio de cargos públicos. De lo contrario, al señor Petro </w:t>
      </w:r>
      <w:r w:rsidR="001868D5">
        <w:rPr>
          <w:rFonts w:ascii="Verdana" w:hAnsi="Verdana"/>
          <w:sz w:val="20"/>
          <w:lang w:val="es-CR"/>
        </w:rPr>
        <w:t xml:space="preserve">Urrego </w:t>
      </w:r>
      <w:r w:rsidR="00457CF1" w:rsidRPr="003342E1">
        <w:rPr>
          <w:rFonts w:ascii="Verdana" w:hAnsi="Verdana"/>
          <w:sz w:val="20"/>
          <w:lang w:val="es-CR"/>
        </w:rPr>
        <w:t>no se le habría permitido aspirar a la Presidencia ni posesionarse como senador. En consecuencia, no existe riesgo, mucho menos inminencia, de que sea condenado por el</w:t>
      </w:r>
      <w:r w:rsidR="003342E1">
        <w:rPr>
          <w:rFonts w:ascii="Verdana" w:hAnsi="Verdana"/>
          <w:sz w:val="20"/>
          <w:lang w:val="es-CR"/>
        </w:rPr>
        <w:t xml:space="preserve"> referido</w:t>
      </w:r>
      <w:r w:rsidR="00457CF1" w:rsidRPr="003342E1">
        <w:rPr>
          <w:rFonts w:ascii="Verdana" w:hAnsi="Verdana"/>
          <w:sz w:val="20"/>
          <w:lang w:val="es-CR"/>
        </w:rPr>
        <w:t xml:space="preserve"> delito en razón de la inhabilidad ocasionada por los fallos de responsabilidad fiscal, por lo cual la solicitud de medidas provisionales resulta improcedente.</w:t>
      </w:r>
    </w:p>
    <w:p w:rsidR="00457CF1" w:rsidRDefault="003342E1" w:rsidP="003342E1">
      <w:pPr>
        <w:pStyle w:val="ListParagraph"/>
        <w:numPr>
          <w:ilvl w:val="0"/>
          <w:numId w:val="8"/>
        </w:numPr>
        <w:autoSpaceDE w:val="0"/>
        <w:autoSpaceDN w:val="0"/>
        <w:spacing w:before="120" w:after="120"/>
        <w:ind w:left="0" w:right="17" w:firstLine="0"/>
        <w:contextualSpacing w:val="0"/>
        <w:jc w:val="both"/>
        <w:rPr>
          <w:rFonts w:ascii="Verdana" w:hAnsi="Verdana"/>
          <w:sz w:val="20"/>
          <w:lang w:val="es-CR"/>
        </w:rPr>
      </w:pPr>
      <w:r w:rsidRPr="003342E1">
        <w:rPr>
          <w:rFonts w:ascii="Verdana" w:hAnsi="Verdana"/>
          <w:sz w:val="20"/>
          <w:lang w:val="es-CR"/>
        </w:rPr>
        <w:t xml:space="preserve">Por último, manifestó que </w:t>
      </w:r>
      <w:r w:rsidR="00457CF1" w:rsidRPr="003342E1">
        <w:rPr>
          <w:rFonts w:ascii="Verdana" w:hAnsi="Verdana"/>
          <w:sz w:val="20"/>
          <w:lang w:val="es-CR"/>
        </w:rPr>
        <w:t>las alegaciones de los peticionarios en relación con la presunta intención persecutoria del Estado contra el senador Petro, con el fin de impedirle el ejercicio de funciones públicas, son manifiestamente infundadas y contrarias a la realidad</w:t>
      </w:r>
      <w:r w:rsidRPr="003342E1">
        <w:rPr>
          <w:rFonts w:ascii="Verdana" w:hAnsi="Verdana"/>
          <w:sz w:val="20"/>
          <w:lang w:val="es-CR"/>
        </w:rPr>
        <w:t xml:space="preserve">. </w:t>
      </w:r>
      <w:r w:rsidR="004C01BD">
        <w:rPr>
          <w:rFonts w:ascii="Verdana" w:hAnsi="Verdana"/>
          <w:sz w:val="20"/>
          <w:lang w:val="es-CR"/>
        </w:rPr>
        <w:t>Sostuvo que s</w:t>
      </w:r>
      <w:r w:rsidR="00457CF1" w:rsidRPr="003342E1">
        <w:rPr>
          <w:rFonts w:ascii="Verdana" w:hAnsi="Verdana"/>
          <w:sz w:val="20"/>
          <w:lang w:val="es-CR"/>
        </w:rPr>
        <w:t xml:space="preserve">i la Corte IDH aceptara </w:t>
      </w:r>
      <w:r w:rsidRPr="003342E1">
        <w:rPr>
          <w:rFonts w:ascii="Verdana" w:hAnsi="Verdana"/>
          <w:sz w:val="20"/>
          <w:lang w:val="es-CR"/>
        </w:rPr>
        <w:t>la</w:t>
      </w:r>
      <w:r w:rsidR="00457CF1" w:rsidRPr="003342E1">
        <w:rPr>
          <w:rFonts w:ascii="Verdana" w:hAnsi="Verdana"/>
          <w:sz w:val="20"/>
          <w:lang w:val="es-CR"/>
        </w:rPr>
        <w:t xml:space="preserve"> extraña tesis</w:t>
      </w:r>
      <w:r w:rsidRPr="003342E1">
        <w:rPr>
          <w:rFonts w:ascii="Verdana" w:hAnsi="Verdana"/>
          <w:sz w:val="20"/>
          <w:lang w:val="es-CR"/>
        </w:rPr>
        <w:t xml:space="preserve"> de que las tres ramas del poder público y los órganos de control independientes se confabulen para obstruir el libre ejercicio de los derechos de Gustavo Petro</w:t>
      </w:r>
      <w:r w:rsidR="00457CF1" w:rsidRPr="003342E1">
        <w:rPr>
          <w:rFonts w:ascii="Verdana" w:hAnsi="Verdana"/>
          <w:sz w:val="20"/>
          <w:lang w:val="es-CR"/>
        </w:rPr>
        <w:t>, estaría declarando que en Colombia la democracia y la división de los poderes no existen.</w:t>
      </w:r>
      <w:r w:rsidRPr="003342E1">
        <w:rPr>
          <w:rFonts w:ascii="Verdana" w:hAnsi="Verdana"/>
          <w:sz w:val="20"/>
          <w:lang w:val="es-CR"/>
        </w:rPr>
        <w:t xml:space="preserve"> </w:t>
      </w:r>
    </w:p>
    <w:p w:rsidR="0093415E" w:rsidRPr="00971417" w:rsidRDefault="0093415E" w:rsidP="002B4D2E">
      <w:pPr>
        <w:pStyle w:val="ListParagraph"/>
        <w:numPr>
          <w:ilvl w:val="0"/>
          <w:numId w:val="21"/>
        </w:numPr>
        <w:spacing w:before="240" w:after="240"/>
        <w:ind w:right="17"/>
        <w:contextualSpacing w:val="0"/>
        <w:jc w:val="both"/>
        <w:outlineLvl w:val="0"/>
        <w:rPr>
          <w:rFonts w:ascii="Verdana" w:eastAsia="Batang" w:hAnsi="Verdana"/>
          <w:b/>
          <w:i/>
          <w:sz w:val="20"/>
          <w:lang w:val="es-GT"/>
        </w:rPr>
      </w:pPr>
      <w:r w:rsidRPr="00971417">
        <w:rPr>
          <w:rFonts w:ascii="Verdana" w:eastAsia="Batang" w:hAnsi="Verdana"/>
          <w:b/>
          <w:i/>
          <w:sz w:val="20"/>
          <w:lang w:val="es-GT"/>
        </w:rPr>
        <w:lastRenderedPageBreak/>
        <w:t>Consideraciones de la Corte</w:t>
      </w:r>
    </w:p>
    <w:p w:rsidR="001D19CE" w:rsidRPr="001D19CE" w:rsidRDefault="001D19CE" w:rsidP="001D19CE">
      <w:pPr>
        <w:pStyle w:val="ListParagraph"/>
        <w:numPr>
          <w:ilvl w:val="0"/>
          <w:numId w:val="8"/>
        </w:numPr>
        <w:spacing w:before="120" w:after="120"/>
        <w:ind w:left="0" w:right="17" w:firstLine="0"/>
        <w:contextualSpacing w:val="0"/>
        <w:jc w:val="both"/>
        <w:rPr>
          <w:rFonts w:ascii="Verdana" w:hAnsi="Verdana"/>
          <w:sz w:val="20"/>
        </w:rPr>
      </w:pPr>
      <w:r w:rsidRPr="001D19CE">
        <w:rPr>
          <w:rFonts w:ascii="Verdana" w:hAnsi="Verdana"/>
          <w:sz w:val="20"/>
        </w:rPr>
        <w:t xml:space="preserve">Según los representantes, </w:t>
      </w:r>
      <w:r w:rsidRPr="001D19CE">
        <w:rPr>
          <w:rFonts w:ascii="Verdana" w:hAnsi="Verdana"/>
          <w:sz w:val="20"/>
          <w:lang w:val="es-CR"/>
        </w:rPr>
        <w:t xml:space="preserve">la suma de las sanciones impuestas al señor Gustavo Petro Urrego en el marco de </w:t>
      </w:r>
      <w:r>
        <w:rPr>
          <w:rFonts w:ascii="Verdana" w:eastAsia="Batang" w:hAnsi="Verdana"/>
          <w:sz w:val="20"/>
          <w:lang w:val="es-CR"/>
        </w:rPr>
        <w:t>procedimientos</w:t>
      </w:r>
      <w:r w:rsidRPr="001D19CE">
        <w:rPr>
          <w:rFonts w:ascii="Verdana" w:hAnsi="Verdana"/>
          <w:sz w:val="20"/>
          <w:lang w:val="es-CR"/>
        </w:rPr>
        <w:t xml:space="preserve"> de</w:t>
      </w:r>
      <w:r w:rsidRPr="001D19CE">
        <w:rPr>
          <w:rFonts w:ascii="Verdana" w:hAnsi="Verdana"/>
          <w:sz w:val="20"/>
        </w:rPr>
        <w:t xml:space="preserve"> responsabilidad fiscal ascendería</w:t>
      </w:r>
      <w:r w:rsidRPr="001D19CE">
        <w:rPr>
          <w:rFonts w:ascii="Verdana" w:hAnsi="Verdana"/>
          <w:sz w:val="20"/>
          <w:lang w:val="es-CR"/>
        </w:rPr>
        <w:t xml:space="preserve"> a </w:t>
      </w:r>
      <w:r w:rsidRPr="001D19CE">
        <w:rPr>
          <w:rFonts w:ascii="Verdana" w:hAnsi="Verdana"/>
          <w:sz w:val="20"/>
        </w:rPr>
        <w:t>más de 141 millones de dólares</w:t>
      </w:r>
      <w:r w:rsidRPr="001D19CE">
        <w:rPr>
          <w:rFonts w:ascii="Verdana" w:hAnsi="Verdana"/>
          <w:sz w:val="20"/>
          <w:lang w:val="es-CR"/>
        </w:rPr>
        <w:t>.</w:t>
      </w:r>
      <w:r w:rsidRPr="001D19CE">
        <w:rPr>
          <w:rFonts w:ascii="Verdana" w:hAnsi="Verdana"/>
          <w:sz w:val="20"/>
        </w:rPr>
        <w:t xml:space="preserve"> </w:t>
      </w:r>
      <w:r w:rsidRPr="001D19CE">
        <w:rPr>
          <w:rFonts w:ascii="Verdana" w:hAnsi="Verdana"/>
          <w:sz w:val="20"/>
          <w:lang w:val="es-GT"/>
        </w:rPr>
        <w:t>Se alega que, en los términos de la legislación colombiana actual, el efecto de no pagar las multas consistiría en la inhabilitación del propuesto beneficiario y, por ende, en un riesgo inminente de perder su</w:t>
      </w:r>
      <w:r w:rsidRPr="001D19CE">
        <w:rPr>
          <w:rFonts w:ascii="Verdana" w:hAnsi="Verdana"/>
          <w:sz w:val="20"/>
          <w:lang w:val="es-CR"/>
        </w:rPr>
        <w:t xml:space="preserve"> curul </w:t>
      </w:r>
      <w:r w:rsidRPr="001D19CE">
        <w:rPr>
          <w:rFonts w:ascii="Verdana" w:hAnsi="Verdana"/>
          <w:sz w:val="20"/>
        </w:rPr>
        <w:t xml:space="preserve">en </w:t>
      </w:r>
      <w:r w:rsidRPr="001D19CE">
        <w:rPr>
          <w:rFonts w:ascii="Verdana" w:hAnsi="Verdana"/>
          <w:sz w:val="20"/>
          <w:lang w:val="es-CR"/>
        </w:rPr>
        <w:t xml:space="preserve">el Senado de la República </w:t>
      </w:r>
      <w:r w:rsidRPr="001D19CE">
        <w:rPr>
          <w:rFonts w:ascii="Verdana" w:hAnsi="Verdana"/>
          <w:sz w:val="20"/>
          <w:lang w:val="es-GT"/>
        </w:rPr>
        <w:t xml:space="preserve">y, además, que ello podría generar una persecución penal en su contra bajo un tipo penal que se denomina “elección ilícita de candidatos”. A ello se suman, según la solicitud, </w:t>
      </w:r>
      <w:r w:rsidRPr="001D19CE">
        <w:rPr>
          <w:rFonts w:ascii="Verdana" w:hAnsi="Verdana"/>
          <w:sz w:val="20"/>
          <w:lang w:val="es-CR"/>
        </w:rPr>
        <w:t>nuevos procesos de responsabilidad fiscal en curso</w:t>
      </w:r>
      <w:r>
        <w:rPr>
          <w:rFonts w:ascii="Verdana" w:hAnsi="Verdana"/>
          <w:sz w:val="20"/>
          <w:lang w:val="es-CR"/>
        </w:rPr>
        <w:t>;</w:t>
      </w:r>
      <w:r w:rsidRPr="001D19CE">
        <w:rPr>
          <w:rFonts w:ascii="Verdana" w:hAnsi="Verdana"/>
          <w:sz w:val="20"/>
        </w:rPr>
        <w:t xml:space="preserve"> </w:t>
      </w:r>
      <w:r w:rsidRPr="001D19CE">
        <w:rPr>
          <w:rFonts w:ascii="Verdana" w:hAnsi="Verdana"/>
          <w:sz w:val="20"/>
          <w:lang w:val="es-CR"/>
        </w:rPr>
        <w:t xml:space="preserve">decisiones judiciales que reactivaron los efectos de los fallos anteriormente emitidos por la Contraloría de </w:t>
      </w:r>
      <w:r w:rsidRPr="001D19CE">
        <w:rPr>
          <w:rFonts w:ascii="Verdana" w:hAnsi="Verdana"/>
          <w:sz w:val="20"/>
        </w:rPr>
        <w:t>Bogotá</w:t>
      </w:r>
      <w:r w:rsidRPr="001D19CE">
        <w:rPr>
          <w:rFonts w:ascii="Verdana" w:hAnsi="Verdana"/>
          <w:sz w:val="20"/>
          <w:lang w:val="es-CR"/>
        </w:rPr>
        <w:t xml:space="preserve"> y</w:t>
      </w:r>
      <w:r w:rsidRPr="001D19CE">
        <w:rPr>
          <w:rFonts w:ascii="Verdana" w:hAnsi="Verdana"/>
          <w:sz w:val="20"/>
        </w:rPr>
        <w:t xml:space="preserve"> una reciente </w:t>
      </w:r>
      <w:r w:rsidRPr="001D19CE">
        <w:rPr>
          <w:rFonts w:ascii="Verdana" w:hAnsi="Verdana"/>
          <w:sz w:val="20"/>
          <w:lang w:val="es-CR"/>
        </w:rPr>
        <w:t xml:space="preserve">interpretación del artículo 60 de Ley 610 de 2000 </w:t>
      </w:r>
      <w:r w:rsidRPr="001D19CE">
        <w:rPr>
          <w:rFonts w:ascii="Verdana" w:hAnsi="Verdana"/>
          <w:sz w:val="20"/>
        </w:rPr>
        <w:t xml:space="preserve">por parte de </w:t>
      </w:r>
      <w:r w:rsidRPr="001D19CE">
        <w:rPr>
          <w:rFonts w:ascii="Verdana" w:hAnsi="Verdana"/>
          <w:sz w:val="20"/>
          <w:lang w:val="es-CR"/>
        </w:rPr>
        <w:t>la Corte Constitucional</w:t>
      </w:r>
      <w:r w:rsidRPr="001D19CE">
        <w:rPr>
          <w:rFonts w:ascii="Verdana" w:hAnsi="Verdana"/>
          <w:sz w:val="20"/>
        </w:rPr>
        <w:t>.</w:t>
      </w:r>
    </w:p>
    <w:p w:rsidR="001D19CE" w:rsidRPr="001D19CE" w:rsidRDefault="001D19CE" w:rsidP="001D19CE">
      <w:pPr>
        <w:pStyle w:val="ListParagraph"/>
        <w:numPr>
          <w:ilvl w:val="0"/>
          <w:numId w:val="8"/>
        </w:numPr>
        <w:spacing w:before="120" w:after="120"/>
        <w:ind w:left="0" w:right="17" w:firstLine="0"/>
        <w:contextualSpacing w:val="0"/>
        <w:jc w:val="both"/>
        <w:rPr>
          <w:rFonts w:ascii="Verdana" w:hAnsi="Verdana"/>
          <w:sz w:val="20"/>
        </w:rPr>
      </w:pPr>
      <w:r w:rsidRPr="001D19CE">
        <w:rPr>
          <w:rFonts w:ascii="Verdana" w:hAnsi="Verdana"/>
          <w:sz w:val="20"/>
        </w:rPr>
        <w:t>La Corte considera que, dados los amplios alcances del contenido de los derechos políticos protegidos por el artículo 23 de la Convención</w:t>
      </w:r>
      <w:r w:rsidRPr="001D19CE">
        <w:rPr>
          <w:rFonts w:ascii="Verdana" w:hAnsi="Verdana"/>
          <w:sz w:val="20"/>
          <w:lang w:val="es-CR"/>
        </w:rPr>
        <w:t>,</w:t>
      </w:r>
      <w:r w:rsidRPr="001D19CE">
        <w:rPr>
          <w:rFonts w:ascii="Verdana" w:hAnsi="Verdana"/>
          <w:sz w:val="20"/>
        </w:rPr>
        <w:t xml:space="preserve"> sin duda </w:t>
      </w:r>
      <w:r w:rsidRPr="001D19CE">
        <w:rPr>
          <w:rFonts w:ascii="Verdana" w:hAnsi="Verdana"/>
          <w:sz w:val="20"/>
          <w:lang w:val="es-CR"/>
        </w:rPr>
        <w:t xml:space="preserve">la imposición </w:t>
      </w:r>
      <w:r w:rsidRPr="001D19CE">
        <w:rPr>
          <w:rFonts w:ascii="Verdana" w:hAnsi="Verdana"/>
          <w:sz w:val="20"/>
        </w:rPr>
        <w:t xml:space="preserve">a una persona </w:t>
      </w:r>
      <w:r w:rsidRPr="001D19CE">
        <w:rPr>
          <w:rFonts w:ascii="Verdana" w:hAnsi="Verdana"/>
          <w:sz w:val="20"/>
          <w:lang w:val="es-CR"/>
        </w:rPr>
        <w:t xml:space="preserve">de una inhabilidad indefinida para ejercer </w:t>
      </w:r>
      <w:r w:rsidRPr="001D19CE">
        <w:rPr>
          <w:rFonts w:ascii="Verdana" w:hAnsi="Verdana"/>
          <w:sz w:val="20"/>
        </w:rPr>
        <w:t xml:space="preserve">esos </w:t>
      </w:r>
      <w:r w:rsidRPr="001D19CE">
        <w:rPr>
          <w:rFonts w:ascii="Verdana" w:hAnsi="Verdana"/>
          <w:sz w:val="20"/>
          <w:lang w:val="es-CR"/>
        </w:rPr>
        <w:t>derechos</w:t>
      </w:r>
      <w:r w:rsidRPr="001D19CE">
        <w:rPr>
          <w:rFonts w:ascii="Verdana" w:hAnsi="Verdana"/>
          <w:sz w:val="20"/>
        </w:rPr>
        <w:t xml:space="preserve"> podría implicar una restricción de ostensible gravedad, particularmente si la imposición de determinadas sanciones de inhabilitación no respetan los límites de proporcionalidad acordes con el ejercicio del derecho</w:t>
      </w:r>
      <w:r w:rsidR="00915C0E">
        <w:rPr>
          <w:rFonts w:ascii="Verdana" w:hAnsi="Verdana"/>
          <w:sz w:val="20"/>
        </w:rPr>
        <w:t xml:space="preserve"> y si esa persona ejerce un cargo de alta investidura en una institución </w:t>
      </w:r>
      <w:r w:rsidR="002B23A8">
        <w:rPr>
          <w:rFonts w:ascii="Verdana" w:hAnsi="Verdana"/>
          <w:sz w:val="20"/>
        </w:rPr>
        <w:t>central para la estructura o funcionamiento democráticos de un Estado</w:t>
      </w:r>
      <w:r w:rsidRPr="001D19CE">
        <w:rPr>
          <w:rFonts w:ascii="Verdana" w:hAnsi="Verdana"/>
          <w:sz w:val="20"/>
          <w:lang w:val="es-CR"/>
        </w:rPr>
        <w:t>.</w:t>
      </w:r>
      <w:r w:rsidR="007E6B2D">
        <w:rPr>
          <w:rFonts w:ascii="Verdana" w:hAnsi="Verdana"/>
          <w:sz w:val="20"/>
          <w:lang w:val="es-CR"/>
        </w:rPr>
        <w:t xml:space="preserve"> En este sentido, </w:t>
      </w:r>
      <w:r w:rsidR="00B21DDC">
        <w:rPr>
          <w:rFonts w:ascii="Verdana" w:hAnsi="Verdana"/>
          <w:sz w:val="20"/>
          <w:lang w:val="es-CR"/>
        </w:rPr>
        <w:t xml:space="preserve">este Tribunal ha considerado que </w:t>
      </w:r>
      <w:r w:rsidR="007E6B2D">
        <w:rPr>
          <w:rFonts w:ascii="Verdana" w:hAnsi="Verdana"/>
          <w:sz w:val="20"/>
          <w:lang w:val="es-CR"/>
        </w:rPr>
        <w:t xml:space="preserve">la persecución y discriminación políticas </w:t>
      </w:r>
      <w:r w:rsidR="00B21DDC">
        <w:rPr>
          <w:rFonts w:ascii="Verdana" w:hAnsi="Verdana"/>
          <w:sz w:val="20"/>
          <w:lang w:val="es-CR"/>
        </w:rPr>
        <w:t xml:space="preserve">son </w:t>
      </w:r>
      <w:r w:rsidR="007E6B2D">
        <w:rPr>
          <w:rFonts w:ascii="Verdana" w:hAnsi="Verdana"/>
          <w:sz w:val="20"/>
          <w:lang w:val="es-CR"/>
        </w:rPr>
        <w:t>incompatibles con el principio democrático que inspira y fundamenta la Convención Americana</w:t>
      </w:r>
      <w:r w:rsidR="0048043B" w:rsidRPr="00B21DDC">
        <w:rPr>
          <w:rStyle w:val="FootnoteReference"/>
          <w:rFonts w:ascii="Verdana" w:hAnsi="Verdana"/>
          <w:sz w:val="20"/>
          <w:lang w:val="es-CR"/>
        </w:rPr>
        <w:footnoteReference w:id="14"/>
      </w:r>
      <w:r w:rsidR="007E6B2D" w:rsidRPr="00B21DDC">
        <w:rPr>
          <w:rFonts w:ascii="Verdana" w:hAnsi="Verdana"/>
          <w:sz w:val="20"/>
          <w:lang w:val="es-CR"/>
        </w:rPr>
        <w:t>.</w:t>
      </w:r>
      <w:r w:rsidR="007E6B2D">
        <w:rPr>
          <w:rFonts w:ascii="Verdana" w:hAnsi="Verdana"/>
          <w:sz w:val="20"/>
          <w:lang w:val="es-CR"/>
        </w:rPr>
        <w:t xml:space="preserve"> </w:t>
      </w:r>
    </w:p>
    <w:p w:rsidR="001D19CE" w:rsidRPr="001D19CE" w:rsidRDefault="001D19CE" w:rsidP="001D19CE">
      <w:pPr>
        <w:pStyle w:val="ListParagraph"/>
        <w:numPr>
          <w:ilvl w:val="0"/>
          <w:numId w:val="8"/>
        </w:numPr>
        <w:spacing w:before="120" w:after="120"/>
        <w:ind w:left="0" w:right="17" w:firstLine="0"/>
        <w:contextualSpacing w:val="0"/>
        <w:jc w:val="both"/>
        <w:rPr>
          <w:rFonts w:ascii="Verdana" w:hAnsi="Verdana"/>
          <w:sz w:val="20"/>
        </w:rPr>
      </w:pPr>
      <w:r w:rsidRPr="001D19CE">
        <w:rPr>
          <w:rFonts w:ascii="Verdana" w:hAnsi="Verdana"/>
          <w:sz w:val="20"/>
        </w:rPr>
        <w:t xml:space="preserve">Sin embargo, tal como señaló el Estado, en este caso </w:t>
      </w:r>
      <w:r w:rsidRPr="001D19CE">
        <w:rPr>
          <w:rFonts w:ascii="Verdana" w:hAnsi="Verdana"/>
          <w:sz w:val="20"/>
          <w:lang w:val="es-CR"/>
        </w:rPr>
        <w:t>el análisis del elemento de “extrema gravedad”</w:t>
      </w:r>
      <w:r w:rsidRPr="001D19CE">
        <w:rPr>
          <w:rFonts w:ascii="Verdana" w:hAnsi="Verdana"/>
          <w:sz w:val="20"/>
        </w:rPr>
        <w:t xml:space="preserve">, </w:t>
      </w:r>
      <w:r>
        <w:rPr>
          <w:rFonts w:ascii="Verdana" w:hAnsi="Verdana"/>
          <w:sz w:val="20"/>
        </w:rPr>
        <w:t>a efectos de</w:t>
      </w:r>
      <w:r w:rsidRPr="001D19CE">
        <w:rPr>
          <w:rFonts w:ascii="Verdana" w:hAnsi="Verdana"/>
          <w:sz w:val="20"/>
        </w:rPr>
        <w:t xml:space="preserve"> determinar el </w:t>
      </w:r>
      <w:r w:rsidRPr="001D19CE">
        <w:rPr>
          <w:rFonts w:ascii="Verdana" w:hAnsi="Verdana"/>
          <w:sz w:val="20"/>
          <w:lang w:val="es-CR"/>
        </w:rPr>
        <w:t xml:space="preserve">daño grave </w:t>
      </w:r>
      <w:r w:rsidRPr="001D19CE">
        <w:rPr>
          <w:rFonts w:ascii="Verdana" w:hAnsi="Verdana"/>
          <w:sz w:val="20"/>
        </w:rPr>
        <w:t xml:space="preserve">que podría </w:t>
      </w:r>
      <w:r w:rsidRPr="001D19CE">
        <w:rPr>
          <w:rFonts w:ascii="Verdana" w:hAnsi="Verdana"/>
          <w:sz w:val="20"/>
          <w:lang w:val="es-CR"/>
        </w:rPr>
        <w:t xml:space="preserve">ser prevenido </w:t>
      </w:r>
      <w:r w:rsidRPr="001D19CE">
        <w:rPr>
          <w:rFonts w:ascii="Verdana" w:hAnsi="Verdana"/>
          <w:sz w:val="20"/>
        </w:rPr>
        <w:t xml:space="preserve">por la vía de </w:t>
      </w:r>
      <w:r w:rsidRPr="001D19CE">
        <w:rPr>
          <w:rFonts w:ascii="Verdana" w:hAnsi="Verdana"/>
          <w:sz w:val="20"/>
          <w:lang w:val="es-CR"/>
        </w:rPr>
        <w:t>medidas provisionales</w:t>
      </w:r>
      <w:r w:rsidRPr="001D19CE">
        <w:rPr>
          <w:rFonts w:ascii="Verdana" w:hAnsi="Verdana"/>
          <w:sz w:val="20"/>
        </w:rPr>
        <w:t>, podría implicar</w:t>
      </w:r>
      <w:r w:rsidR="002B23A8">
        <w:rPr>
          <w:rFonts w:ascii="Verdana" w:hAnsi="Verdana"/>
          <w:sz w:val="20"/>
          <w:lang w:val="es-CR"/>
        </w:rPr>
        <w:t xml:space="preserve"> la determinación</w:t>
      </w:r>
      <w:r w:rsidRPr="001D19CE">
        <w:rPr>
          <w:rFonts w:ascii="Verdana" w:hAnsi="Verdana"/>
          <w:sz w:val="20"/>
        </w:rPr>
        <w:t xml:space="preserve"> del contenido específico d</w:t>
      </w:r>
      <w:r w:rsidRPr="001D19CE">
        <w:rPr>
          <w:rFonts w:ascii="Verdana" w:hAnsi="Verdana"/>
          <w:sz w:val="20"/>
          <w:lang w:val="es-CR"/>
        </w:rPr>
        <w:t xml:space="preserve">el derecho protegido </w:t>
      </w:r>
      <w:r>
        <w:rPr>
          <w:rFonts w:ascii="Verdana" w:hAnsi="Verdana"/>
          <w:sz w:val="20"/>
          <w:lang w:val="es-CR"/>
        </w:rPr>
        <w:t>por</w:t>
      </w:r>
      <w:r w:rsidRPr="001D19CE">
        <w:rPr>
          <w:rFonts w:ascii="Verdana" w:hAnsi="Verdana"/>
          <w:sz w:val="20"/>
        </w:rPr>
        <w:t xml:space="preserve"> la Convención que se alega restringido </w:t>
      </w:r>
      <w:r w:rsidR="002B23A8">
        <w:rPr>
          <w:rFonts w:ascii="Verdana" w:hAnsi="Verdana"/>
          <w:sz w:val="20"/>
        </w:rPr>
        <w:t>para definir</w:t>
      </w:r>
      <w:r w:rsidRPr="001D19CE">
        <w:rPr>
          <w:rFonts w:ascii="Verdana" w:hAnsi="Verdana"/>
          <w:sz w:val="20"/>
        </w:rPr>
        <w:t>, en tal supuesto,</w:t>
      </w:r>
      <w:r>
        <w:rPr>
          <w:rFonts w:ascii="Verdana" w:hAnsi="Verdana"/>
          <w:sz w:val="20"/>
        </w:rPr>
        <w:t xml:space="preserve"> </w:t>
      </w:r>
      <w:r w:rsidR="002B23A8">
        <w:rPr>
          <w:rFonts w:ascii="Verdana" w:hAnsi="Verdana"/>
          <w:sz w:val="20"/>
        </w:rPr>
        <w:t xml:space="preserve">el acto </w:t>
      </w:r>
      <w:r>
        <w:rPr>
          <w:rFonts w:ascii="Verdana" w:hAnsi="Verdana"/>
          <w:sz w:val="20"/>
        </w:rPr>
        <w:t>actual o</w:t>
      </w:r>
      <w:r w:rsidRPr="001D19CE">
        <w:rPr>
          <w:rFonts w:ascii="Verdana" w:hAnsi="Verdana"/>
          <w:sz w:val="20"/>
        </w:rPr>
        <w:t xml:space="preserve"> potencialmente</w:t>
      </w:r>
      <w:r>
        <w:rPr>
          <w:rFonts w:ascii="Verdana" w:hAnsi="Verdana"/>
          <w:sz w:val="20"/>
        </w:rPr>
        <w:t xml:space="preserve"> dañino de ese derecho</w:t>
      </w:r>
      <w:r w:rsidRPr="001D19CE">
        <w:rPr>
          <w:rFonts w:ascii="Verdana" w:hAnsi="Verdana"/>
          <w:sz w:val="20"/>
        </w:rPr>
        <w:t xml:space="preserve">. En particular, en el caso sometido a conocimiento de este Tribunal se discute si la imposición de determinadas sanciones por parte de órganos administrativos, y no judiciales o de carácter penal, constituye una </w:t>
      </w:r>
      <w:r w:rsidRPr="001D19CE">
        <w:rPr>
          <w:rFonts w:ascii="Verdana" w:hAnsi="Verdana"/>
          <w:sz w:val="20"/>
          <w:lang w:val="es-CR"/>
        </w:rPr>
        <w:t xml:space="preserve">restricción </w:t>
      </w:r>
      <w:r w:rsidRPr="001D19CE">
        <w:rPr>
          <w:rFonts w:ascii="Verdana" w:hAnsi="Verdana"/>
          <w:sz w:val="20"/>
        </w:rPr>
        <w:t xml:space="preserve">ilegítima </w:t>
      </w:r>
      <w:r w:rsidRPr="001D19CE">
        <w:rPr>
          <w:rFonts w:ascii="Verdana" w:hAnsi="Verdana"/>
          <w:sz w:val="20"/>
          <w:lang w:val="es-CR"/>
        </w:rPr>
        <w:t>de los derechos políticos</w:t>
      </w:r>
      <w:r w:rsidRPr="001D19CE">
        <w:rPr>
          <w:rFonts w:ascii="Verdana" w:hAnsi="Verdana"/>
          <w:sz w:val="20"/>
        </w:rPr>
        <w:t xml:space="preserve"> de la presunta víctima. </w:t>
      </w:r>
      <w:r>
        <w:rPr>
          <w:rFonts w:ascii="Verdana" w:hAnsi="Verdana"/>
          <w:sz w:val="20"/>
        </w:rPr>
        <w:t xml:space="preserve">Así, </w:t>
      </w:r>
      <w:r w:rsidR="002B23A8">
        <w:rPr>
          <w:rFonts w:ascii="Verdana" w:hAnsi="Verdana"/>
          <w:sz w:val="20"/>
        </w:rPr>
        <w:t>aquellas</w:t>
      </w:r>
      <w:r>
        <w:rPr>
          <w:rFonts w:ascii="Verdana" w:hAnsi="Verdana"/>
          <w:sz w:val="20"/>
        </w:rPr>
        <w:t xml:space="preserve"> sanciones o multas impuestas </w:t>
      </w:r>
      <w:r w:rsidR="00500AF0">
        <w:rPr>
          <w:rFonts w:ascii="Verdana" w:hAnsi="Verdana"/>
          <w:sz w:val="20"/>
        </w:rPr>
        <w:t>al señor Petro</w:t>
      </w:r>
      <w:r>
        <w:rPr>
          <w:rFonts w:ascii="Verdana" w:hAnsi="Verdana"/>
          <w:sz w:val="20"/>
        </w:rPr>
        <w:t xml:space="preserve"> </w:t>
      </w:r>
      <w:r w:rsidR="004C01BD">
        <w:rPr>
          <w:rFonts w:ascii="Verdana" w:hAnsi="Verdana"/>
          <w:sz w:val="20"/>
        </w:rPr>
        <w:t xml:space="preserve">Urrego </w:t>
      </w:r>
      <w:r>
        <w:rPr>
          <w:rFonts w:ascii="Verdana" w:hAnsi="Verdana"/>
          <w:sz w:val="20"/>
        </w:rPr>
        <w:t xml:space="preserve">por la Contraloría </w:t>
      </w:r>
      <w:r w:rsidR="00500AF0">
        <w:rPr>
          <w:rFonts w:ascii="Verdana" w:hAnsi="Verdana"/>
          <w:sz w:val="20"/>
        </w:rPr>
        <w:t xml:space="preserve">son el resultado del ejercicio de competencias que están cuestionadas </w:t>
      </w:r>
      <w:r w:rsidR="002B23A8">
        <w:rPr>
          <w:rFonts w:ascii="Verdana" w:hAnsi="Verdana"/>
          <w:sz w:val="20"/>
        </w:rPr>
        <w:t>a la luz del contenido</w:t>
      </w:r>
      <w:r w:rsidR="00500AF0">
        <w:rPr>
          <w:rFonts w:ascii="Verdana" w:hAnsi="Verdana"/>
          <w:sz w:val="20"/>
        </w:rPr>
        <w:t xml:space="preserve"> de derechos protegidos por la Convención Americana, lo cual es materia de</w:t>
      </w:r>
      <w:r w:rsidRPr="001D19CE">
        <w:rPr>
          <w:rFonts w:ascii="Verdana" w:hAnsi="Verdana"/>
          <w:sz w:val="20"/>
        </w:rPr>
        <w:t>l fondo del caso</w:t>
      </w:r>
      <w:r w:rsidR="00500AF0">
        <w:rPr>
          <w:rFonts w:ascii="Verdana" w:hAnsi="Verdana"/>
          <w:sz w:val="20"/>
        </w:rPr>
        <w:t xml:space="preserve"> contencioso pendiente ante la Corte</w:t>
      </w:r>
      <w:r w:rsidRPr="001D19CE">
        <w:rPr>
          <w:rFonts w:ascii="Verdana" w:hAnsi="Verdana"/>
          <w:sz w:val="20"/>
        </w:rPr>
        <w:t>.</w:t>
      </w:r>
      <w:r w:rsidR="00500AF0">
        <w:rPr>
          <w:rFonts w:ascii="Verdana" w:hAnsi="Verdana"/>
          <w:sz w:val="20"/>
        </w:rPr>
        <w:t xml:space="preserve"> </w:t>
      </w:r>
    </w:p>
    <w:p w:rsidR="00500AF0" w:rsidRDefault="001D19CE" w:rsidP="00500AF0">
      <w:pPr>
        <w:pStyle w:val="ListParagraph"/>
        <w:numPr>
          <w:ilvl w:val="0"/>
          <w:numId w:val="8"/>
        </w:numPr>
        <w:spacing w:before="120" w:after="120"/>
        <w:ind w:left="0" w:right="17" w:firstLine="0"/>
        <w:contextualSpacing w:val="0"/>
        <w:jc w:val="both"/>
        <w:rPr>
          <w:rFonts w:ascii="Verdana" w:hAnsi="Verdana"/>
          <w:sz w:val="20"/>
        </w:rPr>
      </w:pPr>
      <w:r w:rsidRPr="001D19CE">
        <w:rPr>
          <w:rFonts w:ascii="Verdana" w:hAnsi="Verdana"/>
          <w:sz w:val="20"/>
        </w:rPr>
        <w:t xml:space="preserve">Además de lo anterior, el Estado señaló que, </w:t>
      </w:r>
      <w:r w:rsidRPr="001D19CE">
        <w:rPr>
          <w:rFonts w:ascii="Verdana" w:hAnsi="Verdana"/>
          <w:sz w:val="20"/>
          <w:lang w:val="es-CR"/>
        </w:rPr>
        <w:t xml:space="preserve">frente a cada uno de los tres fallos de responsabilidad fiscal que se encuentran actualmente en firme, </w:t>
      </w:r>
      <w:r w:rsidRPr="001D19CE">
        <w:rPr>
          <w:rFonts w:ascii="Verdana" w:hAnsi="Verdana"/>
          <w:sz w:val="20"/>
        </w:rPr>
        <w:t>el señor Petro Urrego aún tendría</w:t>
      </w:r>
      <w:r w:rsidRPr="001D19CE">
        <w:rPr>
          <w:rFonts w:ascii="Verdana" w:hAnsi="Verdana"/>
          <w:sz w:val="20"/>
          <w:lang w:val="es-CR"/>
        </w:rPr>
        <w:t xml:space="preserve"> a su disposición la posibilidad de interponer y agotar </w:t>
      </w:r>
      <w:r w:rsidRPr="001D19CE">
        <w:rPr>
          <w:rFonts w:ascii="Verdana" w:hAnsi="Verdana"/>
          <w:sz w:val="20"/>
        </w:rPr>
        <w:t xml:space="preserve">dos </w:t>
      </w:r>
      <w:r w:rsidRPr="001D19CE">
        <w:rPr>
          <w:rFonts w:ascii="Verdana" w:hAnsi="Verdana"/>
          <w:sz w:val="20"/>
          <w:lang w:val="es-CR"/>
        </w:rPr>
        <w:t xml:space="preserve">recursos judiciales para la suspensión de los efectos de estos fallos y </w:t>
      </w:r>
      <w:r w:rsidRPr="001D19CE">
        <w:rPr>
          <w:rFonts w:ascii="Verdana" w:hAnsi="Verdana"/>
          <w:sz w:val="20"/>
        </w:rPr>
        <w:t xml:space="preserve">la eventual </w:t>
      </w:r>
      <w:r w:rsidRPr="001D19CE">
        <w:rPr>
          <w:rFonts w:ascii="Verdana" w:hAnsi="Verdana"/>
          <w:sz w:val="20"/>
          <w:lang w:val="es-CR"/>
        </w:rPr>
        <w:t>protección de los mismos derechos que considera en riesgo</w:t>
      </w:r>
      <w:r w:rsidRPr="001D19CE">
        <w:rPr>
          <w:rFonts w:ascii="Verdana" w:hAnsi="Verdana"/>
          <w:sz w:val="20"/>
        </w:rPr>
        <w:t>.</w:t>
      </w:r>
    </w:p>
    <w:p w:rsidR="00500AF0" w:rsidRDefault="001D19CE" w:rsidP="00500AF0">
      <w:pPr>
        <w:pStyle w:val="ListParagraph"/>
        <w:numPr>
          <w:ilvl w:val="0"/>
          <w:numId w:val="8"/>
        </w:numPr>
        <w:spacing w:before="120" w:after="120"/>
        <w:ind w:left="0" w:right="17" w:firstLine="0"/>
        <w:contextualSpacing w:val="0"/>
        <w:jc w:val="both"/>
        <w:rPr>
          <w:rFonts w:ascii="Verdana" w:hAnsi="Verdana"/>
          <w:sz w:val="20"/>
        </w:rPr>
      </w:pPr>
      <w:r w:rsidRPr="00500AF0">
        <w:rPr>
          <w:rFonts w:ascii="Verdana" w:hAnsi="Verdana"/>
          <w:sz w:val="20"/>
          <w:lang w:val="es-CR"/>
        </w:rPr>
        <w:t xml:space="preserve">Asimismo, el Estado señaló, en cuanto a la posibilidad de inicio de un proceso penal en contra del senador Petro </w:t>
      </w:r>
      <w:r w:rsidR="00A83534">
        <w:rPr>
          <w:rFonts w:ascii="Verdana" w:hAnsi="Verdana"/>
          <w:sz w:val="20"/>
        </w:rPr>
        <w:t>Urrego</w:t>
      </w:r>
      <w:r w:rsidR="00A83534" w:rsidRPr="00500AF0">
        <w:rPr>
          <w:rFonts w:ascii="Verdana" w:hAnsi="Verdana"/>
          <w:sz w:val="20"/>
          <w:lang w:val="es-CR"/>
        </w:rPr>
        <w:t xml:space="preserve"> </w:t>
      </w:r>
      <w:r w:rsidRPr="00500AF0">
        <w:rPr>
          <w:rFonts w:ascii="Verdana" w:hAnsi="Verdana"/>
          <w:sz w:val="20"/>
          <w:lang w:val="es-CR"/>
        </w:rPr>
        <w:t>bajo el tipo penal de elección ilícita de candidatos, que la Fiscalía General de la Nación no ha iniciado investigación alguna, ni existe un proceso penal formal, por la presunta comisión de tal delito</w:t>
      </w:r>
      <w:r w:rsidR="002F7A08">
        <w:rPr>
          <w:rFonts w:ascii="Verdana" w:hAnsi="Verdana"/>
          <w:sz w:val="20"/>
          <w:lang w:val="es-CR"/>
        </w:rPr>
        <w:t xml:space="preserve"> en contra de aquél</w:t>
      </w:r>
      <w:r w:rsidRPr="00500AF0">
        <w:rPr>
          <w:rFonts w:ascii="Verdana" w:hAnsi="Verdana"/>
          <w:sz w:val="20"/>
          <w:lang w:val="es-CR"/>
        </w:rPr>
        <w:t xml:space="preserve">. </w:t>
      </w:r>
      <w:r w:rsidRPr="00500AF0">
        <w:rPr>
          <w:rFonts w:ascii="Verdana" w:hAnsi="Verdana"/>
          <w:sz w:val="20"/>
        </w:rPr>
        <w:t>En cualquier caso</w:t>
      </w:r>
      <w:r w:rsidRPr="00500AF0">
        <w:rPr>
          <w:rFonts w:ascii="Verdana" w:hAnsi="Verdana"/>
          <w:sz w:val="20"/>
          <w:lang w:val="es-CR"/>
        </w:rPr>
        <w:t xml:space="preserve">, el Estado </w:t>
      </w:r>
      <w:r w:rsidRPr="00500AF0">
        <w:rPr>
          <w:rFonts w:ascii="Verdana" w:hAnsi="Verdana"/>
          <w:sz w:val="20"/>
        </w:rPr>
        <w:t xml:space="preserve">manifestó </w:t>
      </w:r>
      <w:r w:rsidRPr="00500AF0">
        <w:rPr>
          <w:rFonts w:ascii="Verdana" w:hAnsi="Verdana"/>
          <w:sz w:val="20"/>
          <w:lang w:val="es-CR"/>
        </w:rPr>
        <w:t>que</w:t>
      </w:r>
      <w:r w:rsidRPr="00500AF0">
        <w:rPr>
          <w:rFonts w:ascii="Verdana" w:hAnsi="Verdana"/>
          <w:sz w:val="20"/>
        </w:rPr>
        <w:t xml:space="preserve"> </w:t>
      </w:r>
      <w:r w:rsidRPr="00500AF0">
        <w:rPr>
          <w:rFonts w:ascii="Verdana" w:hAnsi="Verdana"/>
          <w:sz w:val="20"/>
          <w:lang w:val="es-CR"/>
        </w:rPr>
        <w:t xml:space="preserve">el señor Petro </w:t>
      </w:r>
      <w:r w:rsidR="004C01BD">
        <w:rPr>
          <w:rFonts w:ascii="Verdana" w:hAnsi="Verdana"/>
          <w:sz w:val="20"/>
          <w:lang w:val="es-CR"/>
        </w:rPr>
        <w:t xml:space="preserve">Urrego </w:t>
      </w:r>
      <w:r w:rsidRPr="00500AF0">
        <w:rPr>
          <w:rFonts w:ascii="Verdana" w:hAnsi="Verdana"/>
          <w:sz w:val="20"/>
          <w:lang w:val="es-CR"/>
        </w:rPr>
        <w:t xml:space="preserve">no fue </w:t>
      </w:r>
      <w:r w:rsidRPr="00500AF0">
        <w:rPr>
          <w:rFonts w:ascii="Verdana" w:hAnsi="Verdana"/>
          <w:sz w:val="20"/>
        </w:rPr>
        <w:t xml:space="preserve">propiamente </w:t>
      </w:r>
      <w:r w:rsidRPr="00500AF0">
        <w:rPr>
          <w:rFonts w:ascii="Verdana" w:hAnsi="Verdana"/>
          <w:sz w:val="20"/>
          <w:lang w:val="es-CR"/>
        </w:rPr>
        <w:t xml:space="preserve">“elegido” para ejercer el cargo de senador, al </w:t>
      </w:r>
      <w:r w:rsidRPr="00500AF0">
        <w:rPr>
          <w:rFonts w:ascii="Verdana" w:hAnsi="Verdana"/>
          <w:sz w:val="20"/>
        </w:rPr>
        <w:t xml:space="preserve">cual </w:t>
      </w:r>
      <w:r w:rsidR="00E50D32">
        <w:rPr>
          <w:rFonts w:ascii="Verdana" w:hAnsi="Verdana"/>
          <w:sz w:val="20"/>
          <w:lang w:val="es-CR"/>
        </w:rPr>
        <w:t>no</w:t>
      </w:r>
      <w:r w:rsidRPr="00500AF0">
        <w:rPr>
          <w:rFonts w:ascii="Verdana" w:hAnsi="Verdana"/>
          <w:sz w:val="20"/>
          <w:lang w:val="es-CR"/>
        </w:rPr>
        <w:t xml:space="preserve"> aspiró</w:t>
      </w:r>
      <w:r w:rsidRPr="00500AF0">
        <w:rPr>
          <w:rFonts w:ascii="Verdana" w:hAnsi="Verdana"/>
          <w:sz w:val="20"/>
        </w:rPr>
        <w:t xml:space="preserve">, </w:t>
      </w:r>
      <w:r w:rsidRPr="00500AF0">
        <w:rPr>
          <w:rFonts w:ascii="Verdana" w:hAnsi="Verdana"/>
          <w:sz w:val="20"/>
          <w:lang w:val="es-CR"/>
        </w:rPr>
        <w:t>sino que fue designado para ello en virtud de lo previsto en el Estatuto de la Oposición</w:t>
      </w:r>
      <w:r w:rsidRPr="00500AF0">
        <w:rPr>
          <w:rFonts w:ascii="Verdana" w:hAnsi="Verdana"/>
          <w:sz w:val="20"/>
        </w:rPr>
        <w:t xml:space="preserve"> </w:t>
      </w:r>
      <w:r w:rsidRPr="00500AF0">
        <w:rPr>
          <w:rFonts w:ascii="Verdana" w:hAnsi="Verdana"/>
          <w:sz w:val="20"/>
          <w:lang w:val="es-CR"/>
        </w:rPr>
        <w:t>por el hecho de haber obtenido la segunda votación más alta en las elecciones presidenciales celebradas en el año 2018</w:t>
      </w:r>
      <w:r w:rsidRPr="00500AF0">
        <w:rPr>
          <w:rFonts w:ascii="Verdana" w:hAnsi="Verdana"/>
          <w:sz w:val="20"/>
        </w:rPr>
        <w:t xml:space="preserve">. Es decir, </w:t>
      </w:r>
      <w:r w:rsidR="002F7A08">
        <w:rPr>
          <w:rFonts w:ascii="Verdana" w:hAnsi="Verdana"/>
          <w:sz w:val="20"/>
        </w:rPr>
        <w:t xml:space="preserve">en virtud de </w:t>
      </w:r>
      <w:r w:rsidRPr="00500AF0">
        <w:rPr>
          <w:rFonts w:ascii="Verdana" w:hAnsi="Verdana"/>
          <w:sz w:val="20"/>
        </w:rPr>
        <w:t>lo señalado por el Estado</w:t>
      </w:r>
      <w:r w:rsidR="002F7A08">
        <w:rPr>
          <w:rFonts w:ascii="Verdana" w:hAnsi="Verdana"/>
          <w:sz w:val="20"/>
        </w:rPr>
        <w:t xml:space="preserve">, queda claro para esta Corte </w:t>
      </w:r>
      <w:r w:rsidRPr="00500AF0">
        <w:rPr>
          <w:rFonts w:ascii="Verdana" w:hAnsi="Verdana"/>
          <w:sz w:val="20"/>
        </w:rPr>
        <w:t xml:space="preserve">que tal </w:t>
      </w:r>
      <w:r w:rsidRPr="00500AF0">
        <w:rPr>
          <w:rFonts w:ascii="Verdana" w:hAnsi="Verdana"/>
          <w:sz w:val="20"/>
          <w:lang w:val="es-CR"/>
        </w:rPr>
        <w:t>tipo penal</w:t>
      </w:r>
      <w:r w:rsidRPr="00500AF0">
        <w:rPr>
          <w:rFonts w:ascii="Verdana" w:hAnsi="Verdana"/>
          <w:sz w:val="20"/>
        </w:rPr>
        <w:t xml:space="preserve"> no le sería aplicable</w:t>
      </w:r>
      <w:r w:rsidR="002F7A08">
        <w:rPr>
          <w:rFonts w:ascii="Verdana" w:hAnsi="Verdana"/>
          <w:sz w:val="20"/>
        </w:rPr>
        <w:t>,</w:t>
      </w:r>
      <w:r w:rsidRPr="00500AF0">
        <w:rPr>
          <w:rFonts w:ascii="Verdana" w:hAnsi="Verdana"/>
          <w:sz w:val="20"/>
        </w:rPr>
        <w:t xml:space="preserve"> en relación con su posición actual, </w:t>
      </w:r>
      <w:r w:rsidRPr="00500AF0">
        <w:rPr>
          <w:rFonts w:ascii="Verdana" w:hAnsi="Verdana"/>
          <w:sz w:val="20"/>
          <w:lang w:val="es-CR"/>
        </w:rPr>
        <w:t>en razón de la inhabilidad ocasionada por los fallos de responsabilidad fiscal</w:t>
      </w:r>
      <w:r w:rsidRPr="00500AF0">
        <w:rPr>
          <w:rFonts w:ascii="Verdana" w:hAnsi="Verdana"/>
          <w:sz w:val="20"/>
        </w:rPr>
        <w:t>.</w:t>
      </w:r>
    </w:p>
    <w:p w:rsidR="00500AF0" w:rsidRPr="00500AF0" w:rsidRDefault="001D19CE" w:rsidP="00500AF0">
      <w:pPr>
        <w:pStyle w:val="ListParagraph"/>
        <w:numPr>
          <w:ilvl w:val="0"/>
          <w:numId w:val="8"/>
        </w:numPr>
        <w:spacing w:before="120" w:after="120"/>
        <w:ind w:left="0" w:right="17" w:firstLine="0"/>
        <w:contextualSpacing w:val="0"/>
        <w:jc w:val="both"/>
        <w:rPr>
          <w:rFonts w:ascii="Verdana" w:hAnsi="Verdana"/>
          <w:sz w:val="20"/>
        </w:rPr>
      </w:pPr>
      <w:r w:rsidRPr="00500AF0">
        <w:rPr>
          <w:rFonts w:ascii="Verdana" w:hAnsi="Verdana"/>
          <w:sz w:val="20"/>
          <w:lang w:val="es-CR"/>
        </w:rPr>
        <w:lastRenderedPageBreak/>
        <w:t>En definitiva, a lo anterior se suma el hecho de que, al momento de posesionarse como senador el 20 de julio de 2018, el señor Petro</w:t>
      </w:r>
      <w:r w:rsidR="00A83534">
        <w:rPr>
          <w:rFonts w:ascii="Verdana" w:hAnsi="Verdana"/>
          <w:sz w:val="20"/>
          <w:lang w:val="es-CR"/>
        </w:rPr>
        <w:t xml:space="preserve"> </w:t>
      </w:r>
      <w:r w:rsidR="00A83534">
        <w:rPr>
          <w:rFonts w:ascii="Verdana" w:hAnsi="Verdana"/>
          <w:sz w:val="20"/>
        </w:rPr>
        <w:t>Urrego</w:t>
      </w:r>
      <w:r w:rsidRPr="00500AF0">
        <w:rPr>
          <w:rFonts w:ascii="Verdana" w:hAnsi="Verdana"/>
          <w:sz w:val="20"/>
          <w:lang w:val="es-CR"/>
        </w:rPr>
        <w:t xml:space="preserve"> no tenía vigente inhabilidad alguna para el desempeño del cargo, pues los efectos del único fallo de responsabilidad fiscal expedido en su contra, que se encontraba en firme en ese momento, habían sido suspendidos por las medidas cautelares otorgadas por el Tribunal Administrativo de Cundinamarca. </w:t>
      </w:r>
      <w:r w:rsidRPr="00500AF0">
        <w:rPr>
          <w:rFonts w:ascii="Verdana" w:hAnsi="Verdana"/>
          <w:sz w:val="20"/>
        </w:rPr>
        <w:t xml:space="preserve">Es decir, en ese momento </w:t>
      </w:r>
      <w:r w:rsidRPr="00500AF0">
        <w:rPr>
          <w:rFonts w:ascii="Verdana" w:hAnsi="Verdana"/>
          <w:sz w:val="20"/>
          <w:lang w:val="es-CR"/>
        </w:rPr>
        <w:t xml:space="preserve">no tenía impedimento </w:t>
      </w:r>
      <w:r w:rsidRPr="00500AF0">
        <w:rPr>
          <w:rFonts w:ascii="Verdana" w:hAnsi="Verdana"/>
          <w:sz w:val="20"/>
        </w:rPr>
        <w:t xml:space="preserve">alguno </w:t>
      </w:r>
      <w:r w:rsidRPr="00500AF0">
        <w:rPr>
          <w:rFonts w:ascii="Verdana" w:hAnsi="Verdana"/>
          <w:sz w:val="20"/>
          <w:lang w:val="es-CR"/>
        </w:rPr>
        <w:t>para e</w:t>
      </w:r>
      <w:r w:rsidRPr="00500AF0">
        <w:rPr>
          <w:rFonts w:ascii="Verdana" w:hAnsi="Verdana"/>
          <w:sz w:val="20"/>
        </w:rPr>
        <w:t xml:space="preserve">l ejercicio de cargos públicos, pues </w:t>
      </w:r>
      <w:r w:rsidR="002F7A08">
        <w:rPr>
          <w:rFonts w:ascii="Verdana" w:hAnsi="Verdana"/>
          <w:sz w:val="20"/>
        </w:rPr>
        <w:t xml:space="preserve">de </w:t>
      </w:r>
      <w:r w:rsidRPr="00500AF0">
        <w:rPr>
          <w:rFonts w:ascii="Verdana" w:hAnsi="Verdana"/>
          <w:sz w:val="20"/>
          <w:lang w:val="es-CR"/>
        </w:rPr>
        <w:t>lo contrario no se le habría permitido aspirar a la Presidencia ni posesionarse como senador.</w:t>
      </w:r>
    </w:p>
    <w:p w:rsidR="00500AF0" w:rsidRDefault="002F7A08" w:rsidP="00500AF0">
      <w:pPr>
        <w:pStyle w:val="ListParagraph"/>
        <w:numPr>
          <w:ilvl w:val="0"/>
          <w:numId w:val="8"/>
        </w:numPr>
        <w:spacing w:before="120" w:after="120"/>
        <w:ind w:left="0" w:right="17" w:firstLine="0"/>
        <w:contextualSpacing w:val="0"/>
        <w:jc w:val="both"/>
        <w:rPr>
          <w:rFonts w:ascii="Verdana" w:hAnsi="Verdana"/>
          <w:sz w:val="20"/>
        </w:rPr>
      </w:pPr>
      <w:r>
        <w:rPr>
          <w:rFonts w:ascii="Verdana" w:hAnsi="Verdana"/>
          <w:sz w:val="20"/>
        </w:rPr>
        <w:t>Para este Tribunal, d</w:t>
      </w:r>
      <w:r w:rsidR="00500AF0">
        <w:rPr>
          <w:rFonts w:ascii="Verdana" w:hAnsi="Verdana"/>
          <w:sz w:val="20"/>
        </w:rPr>
        <w:t xml:space="preserve">e lo anterior se desprende que, </w:t>
      </w:r>
      <w:r w:rsidR="00500AF0" w:rsidRPr="00500AF0">
        <w:rPr>
          <w:rFonts w:ascii="Verdana" w:hAnsi="Verdana"/>
          <w:sz w:val="20"/>
          <w:lang w:val="es-CR"/>
        </w:rPr>
        <w:t xml:space="preserve">aún si se determinara </w:t>
      </w:r>
      <w:r w:rsidR="00500AF0">
        <w:rPr>
          <w:rFonts w:ascii="Verdana" w:hAnsi="Verdana"/>
          <w:sz w:val="20"/>
          <w:lang w:val="es-CR"/>
        </w:rPr>
        <w:t>la</w:t>
      </w:r>
      <w:r w:rsidR="00500AF0" w:rsidRPr="00500AF0">
        <w:rPr>
          <w:rFonts w:ascii="Verdana" w:hAnsi="Verdana"/>
          <w:sz w:val="20"/>
          <w:lang w:val="es-CR"/>
        </w:rPr>
        <w:t xml:space="preserve"> responsabilidad fiscal</w:t>
      </w:r>
      <w:r w:rsidR="00500AF0">
        <w:rPr>
          <w:rFonts w:ascii="Verdana" w:hAnsi="Verdana"/>
          <w:sz w:val="20"/>
          <w:lang w:val="es-CR"/>
        </w:rPr>
        <w:t xml:space="preserve"> del señor Petro Urrego</w:t>
      </w:r>
      <w:r w:rsidR="00500AF0" w:rsidRPr="00500AF0">
        <w:rPr>
          <w:rFonts w:ascii="Verdana" w:hAnsi="Verdana"/>
          <w:sz w:val="20"/>
          <w:lang w:val="es-CR"/>
        </w:rPr>
        <w:t xml:space="preserve">, o </w:t>
      </w:r>
      <w:r w:rsidR="00500AF0">
        <w:rPr>
          <w:rFonts w:ascii="Verdana" w:hAnsi="Verdana"/>
          <w:sz w:val="20"/>
          <w:lang w:val="es-CR"/>
        </w:rPr>
        <w:t xml:space="preserve">eventualmente </w:t>
      </w:r>
      <w:r w:rsidR="00500AF0" w:rsidRPr="00500AF0">
        <w:rPr>
          <w:rFonts w:ascii="Verdana" w:hAnsi="Verdana"/>
          <w:sz w:val="20"/>
          <w:lang w:val="es-CR"/>
        </w:rPr>
        <w:t xml:space="preserve">no prosperaran apelaciones o acciones contra las decisiones dictadas por la Contraloría, ello no generaría </w:t>
      </w:r>
      <w:r w:rsidR="00500AF0">
        <w:rPr>
          <w:rFonts w:ascii="Verdana" w:hAnsi="Verdana"/>
          <w:sz w:val="20"/>
          <w:lang w:val="es-CR"/>
        </w:rPr>
        <w:t>su destitución o la pérdida de su curul</w:t>
      </w:r>
      <w:r w:rsidR="00500AF0" w:rsidRPr="00500AF0">
        <w:rPr>
          <w:rFonts w:ascii="Verdana" w:hAnsi="Verdana"/>
          <w:sz w:val="20"/>
          <w:lang w:val="es-CR"/>
        </w:rPr>
        <w:t xml:space="preserve">. </w:t>
      </w:r>
      <w:r w:rsidR="00500AF0" w:rsidRPr="00500AF0">
        <w:rPr>
          <w:rFonts w:ascii="Verdana" w:hAnsi="Verdana"/>
          <w:sz w:val="20"/>
        </w:rPr>
        <w:t>Es decir,</w:t>
      </w:r>
      <w:r w:rsidR="00500AF0">
        <w:rPr>
          <w:rFonts w:ascii="Verdana" w:hAnsi="Verdana"/>
          <w:sz w:val="20"/>
        </w:rPr>
        <w:t xml:space="preserve"> el Tribuna</w:t>
      </w:r>
      <w:r>
        <w:rPr>
          <w:rFonts w:ascii="Verdana" w:hAnsi="Verdana"/>
          <w:sz w:val="20"/>
        </w:rPr>
        <w:t>l no ha sido informado si alguna</w:t>
      </w:r>
      <w:r w:rsidR="00500AF0" w:rsidRPr="00500AF0">
        <w:rPr>
          <w:rFonts w:ascii="Verdana" w:hAnsi="Verdana"/>
          <w:sz w:val="20"/>
        </w:rPr>
        <w:t xml:space="preserve"> </w:t>
      </w:r>
      <w:r w:rsidR="00500AF0">
        <w:rPr>
          <w:rFonts w:ascii="Verdana" w:hAnsi="Verdana"/>
          <w:sz w:val="20"/>
        </w:rPr>
        <w:t>de las decisiones adoptadas o</w:t>
      </w:r>
      <w:r>
        <w:rPr>
          <w:rFonts w:ascii="Verdana" w:hAnsi="Verdana"/>
          <w:sz w:val="20"/>
        </w:rPr>
        <w:t xml:space="preserve"> alguno de</w:t>
      </w:r>
      <w:r w:rsidR="00500AF0">
        <w:rPr>
          <w:rFonts w:ascii="Verdana" w:hAnsi="Verdana"/>
          <w:sz w:val="20"/>
        </w:rPr>
        <w:t xml:space="preserve"> los procedimientos </w:t>
      </w:r>
      <w:r w:rsidR="00500AF0" w:rsidRPr="00500AF0">
        <w:rPr>
          <w:rFonts w:ascii="Verdana" w:hAnsi="Verdana"/>
          <w:sz w:val="20"/>
        </w:rPr>
        <w:t xml:space="preserve">instituidos en este momento </w:t>
      </w:r>
      <w:r w:rsidR="00500AF0">
        <w:rPr>
          <w:rFonts w:ascii="Verdana" w:hAnsi="Verdana"/>
          <w:sz w:val="20"/>
        </w:rPr>
        <w:t xml:space="preserve">en su contra </w:t>
      </w:r>
      <w:r w:rsidR="00500AF0" w:rsidRPr="00500AF0">
        <w:rPr>
          <w:rFonts w:ascii="Verdana" w:hAnsi="Verdana"/>
          <w:sz w:val="20"/>
        </w:rPr>
        <w:t>tiene la virtualidad de generar su destitución</w:t>
      </w:r>
      <w:r w:rsidR="00500AF0">
        <w:rPr>
          <w:rFonts w:ascii="Verdana" w:hAnsi="Verdana"/>
          <w:sz w:val="20"/>
        </w:rPr>
        <w:t xml:space="preserve">, </w:t>
      </w:r>
      <w:r w:rsidR="00500AF0" w:rsidRPr="00500AF0">
        <w:rPr>
          <w:rFonts w:ascii="Verdana" w:hAnsi="Verdana"/>
          <w:sz w:val="20"/>
          <w:lang w:val="es-CR"/>
        </w:rPr>
        <w:t xml:space="preserve">pues no </w:t>
      </w:r>
      <w:r w:rsidR="00500AF0">
        <w:rPr>
          <w:rFonts w:ascii="Verdana" w:hAnsi="Verdana"/>
          <w:sz w:val="20"/>
          <w:lang w:val="es-CR"/>
        </w:rPr>
        <w:t>consta que ésta pueda</w:t>
      </w:r>
      <w:r w:rsidR="00500AF0" w:rsidRPr="00500AF0">
        <w:rPr>
          <w:rFonts w:ascii="Verdana" w:hAnsi="Verdana"/>
          <w:sz w:val="20"/>
          <w:lang w:val="es-CR"/>
        </w:rPr>
        <w:t xml:space="preserve"> ser oficiosamente ordenada</w:t>
      </w:r>
      <w:r w:rsidR="00500AF0">
        <w:rPr>
          <w:rFonts w:ascii="Verdana" w:hAnsi="Verdana"/>
          <w:sz w:val="20"/>
          <w:lang w:val="es-CR"/>
        </w:rPr>
        <w:t xml:space="preserve"> o que sea un efecto automático de tales decisiones. </w:t>
      </w:r>
      <w:r w:rsidR="00500AF0" w:rsidRPr="00500AF0">
        <w:rPr>
          <w:rFonts w:ascii="Verdana" w:hAnsi="Verdana"/>
          <w:sz w:val="20"/>
        </w:rPr>
        <w:t>Además, en este momento no existe investigación</w:t>
      </w:r>
      <w:r>
        <w:rPr>
          <w:rFonts w:ascii="Verdana" w:hAnsi="Verdana"/>
          <w:sz w:val="20"/>
        </w:rPr>
        <w:t xml:space="preserve"> alguna,</w:t>
      </w:r>
      <w:r w:rsidR="00500AF0" w:rsidRPr="00500AF0">
        <w:rPr>
          <w:rFonts w:ascii="Verdana" w:hAnsi="Verdana"/>
          <w:sz w:val="20"/>
        </w:rPr>
        <w:t xml:space="preserve"> </w:t>
      </w:r>
      <w:r>
        <w:rPr>
          <w:rFonts w:ascii="Verdana" w:hAnsi="Verdana"/>
          <w:sz w:val="20"/>
        </w:rPr>
        <w:t>ni</w:t>
      </w:r>
      <w:r w:rsidR="00500AF0" w:rsidRPr="00500AF0">
        <w:rPr>
          <w:rFonts w:ascii="Verdana" w:hAnsi="Verdana"/>
          <w:sz w:val="20"/>
        </w:rPr>
        <w:t xml:space="preserve"> proceso penal en curso</w:t>
      </w:r>
      <w:r>
        <w:rPr>
          <w:rFonts w:ascii="Verdana" w:hAnsi="Verdana"/>
          <w:sz w:val="20"/>
        </w:rPr>
        <w:t>,</w:t>
      </w:r>
      <w:r w:rsidR="00500AF0" w:rsidRPr="00500AF0">
        <w:rPr>
          <w:rFonts w:ascii="Verdana" w:hAnsi="Verdana"/>
          <w:sz w:val="20"/>
        </w:rPr>
        <w:t xml:space="preserve"> </w:t>
      </w:r>
      <w:r w:rsidR="008F0B3E">
        <w:rPr>
          <w:rFonts w:ascii="Verdana" w:hAnsi="Verdana"/>
          <w:sz w:val="20"/>
        </w:rPr>
        <w:t xml:space="preserve">en su contra </w:t>
      </w:r>
      <w:r w:rsidR="00500AF0" w:rsidRPr="00500AF0">
        <w:rPr>
          <w:rFonts w:ascii="Verdana" w:hAnsi="Verdana"/>
          <w:sz w:val="20"/>
        </w:rPr>
        <w:t>por el delito de elección ilícita de candidatos</w:t>
      </w:r>
      <w:r>
        <w:rPr>
          <w:rFonts w:ascii="Verdana" w:hAnsi="Verdana"/>
          <w:sz w:val="20"/>
        </w:rPr>
        <w:t>, situación que, por otra parte, no corresponde</w:t>
      </w:r>
      <w:r w:rsidR="00E50D32">
        <w:rPr>
          <w:rFonts w:ascii="Verdana" w:hAnsi="Verdana"/>
          <w:sz w:val="20"/>
        </w:rPr>
        <w:t>ría</w:t>
      </w:r>
      <w:r>
        <w:rPr>
          <w:rFonts w:ascii="Verdana" w:hAnsi="Verdana"/>
          <w:sz w:val="20"/>
        </w:rPr>
        <w:t xml:space="preserve"> al caso en estudio por haber sido objeto de designación y no por elección popular</w:t>
      </w:r>
      <w:r w:rsidR="00500AF0" w:rsidRPr="00500AF0">
        <w:rPr>
          <w:rFonts w:ascii="Verdana" w:hAnsi="Verdana"/>
          <w:sz w:val="20"/>
        </w:rPr>
        <w:t>.</w:t>
      </w:r>
      <w:r w:rsidR="00500AF0">
        <w:rPr>
          <w:rFonts w:ascii="Verdana" w:hAnsi="Verdana"/>
          <w:sz w:val="20"/>
        </w:rPr>
        <w:t xml:space="preserve"> </w:t>
      </w:r>
    </w:p>
    <w:p w:rsidR="009A1BE7" w:rsidRPr="00B21DDC" w:rsidRDefault="00500AF0" w:rsidP="00915C0E">
      <w:pPr>
        <w:pStyle w:val="ListParagraph"/>
        <w:numPr>
          <w:ilvl w:val="0"/>
          <w:numId w:val="8"/>
        </w:numPr>
        <w:spacing w:before="120" w:after="120"/>
        <w:ind w:left="0" w:right="17" w:firstLine="0"/>
        <w:contextualSpacing w:val="0"/>
        <w:jc w:val="both"/>
        <w:rPr>
          <w:rFonts w:ascii="Verdana" w:hAnsi="Verdana"/>
          <w:sz w:val="20"/>
        </w:rPr>
      </w:pPr>
      <w:r w:rsidRPr="00500AF0">
        <w:rPr>
          <w:rFonts w:ascii="Verdana" w:hAnsi="Verdana"/>
          <w:sz w:val="20"/>
          <w:lang w:val="es-CR"/>
        </w:rPr>
        <w:t xml:space="preserve">En consecuencia, </w:t>
      </w:r>
      <w:r>
        <w:rPr>
          <w:rFonts w:ascii="Verdana" w:hAnsi="Verdana"/>
          <w:sz w:val="20"/>
          <w:lang w:val="es-CR"/>
        </w:rPr>
        <w:t xml:space="preserve">la Corte considera que, por el momento, </w:t>
      </w:r>
      <w:r w:rsidR="00915C0E">
        <w:rPr>
          <w:rFonts w:ascii="Verdana" w:hAnsi="Verdana"/>
          <w:sz w:val="20"/>
          <w:lang w:val="es-CR"/>
        </w:rPr>
        <w:t xml:space="preserve">no ha sido demostrada la </w:t>
      </w:r>
      <w:r w:rsidRPr="00500AF0">
        <w:rPr>
          <w:rFonts w:ascii="Verdana" w:hAnsi="Verdana"/>
          <w:sz w:val="20"/>
          <w:lang w:val="es-CR"/>
        </w:rPr>
        <w:t xml:space="preserve">configuración de los elementos </w:t>
      </w:r>
      <w:r w:rsidR="00915C0E">
        <w:rPr>
          <w:rFonts w:ascii="Verdana" w:hAnsi="Verdana"/>
          <w:sz w:val="20"/>
          <w:lang w:val="es-CR"/>
        </w:rPr>
        <w:t>de extrema gravedad y urgencia que permitirían considerar la necesidad de</w:t>
      </w:r>
      <w:r w:rsidRPr="00500AF0">
        <w:rPr>
          <w:rFonts w:ascii="Verdana" w:hAnsi="Verdana"/>
          <w:sz w:val="20"/>
          <w:lang w:val="es-CR"/>
        </w:rPr>
        <w:t xml:space="preserve"> ordenar medidas provisionales</w:t>
      </w:r>
      <w:r w:rsidR="00915C0E">
        <w:rPr>
          <w:rFonts w:ascii="Verdana" w:hAnsi="Verdana"/>
          <w:sz w:val="20"/>
          <w:lang w:val="es-CR"/>
        </w:rPr>
        <w:t xml:space="preserve"> en los términos del artículo 63.2 de la Convención,</w:t>
      </w:r>
      <w:r w:rsidR="00915C0E" w:rsidRPr="00915C0E">
        <w:rPr>
          <w:rFonts w:ascii="Verdana" w:hAnsi="Verdana"/>
          <w:sz w:val="20"/>
          <w:lang w:val="es-ES"/>
        </w:rPr>
        <w:t xml:space="preserve"> </w:t>
      </w:r>
      <w:r w:rsidR="00915C0E" w:rsidRPr="00971417">
        <w:rPr>
          <w:rFonts w:ascii="Verdana" w:hAnsi="Verdana"/>
          <w:sz w:val="20"/>
          <w:lang w:val="es-ES"/>
        </w:rPr>
        <w:t>por lo que la solicitud de medidas provisionales</w:t>
      </w:r>
      <w:r w:rsidR="00915C0E">
        <w:rPr>
          <w:rFonts w:ascii="Verdana" w:hAnsi="Verdana"/>
          <w:sz w:val="20"/>
          <w:lang w:val="es-ES"/>
        </w:rPr>
        <w:t xml:space="preserve"> debe ser desestimada</w:t>
      </w:r>
      <w:r w:rsidRPr="00500AF0">
        <w:rPr>
          <w:rFonts w:ascii="Verdana" w:hAnsi="Verdana"/>
          <w:sz w:val="20"/>
          <w:lang w:val="es-CR"/>
        </w:rPr>
        <w:t>.</w:t>
      </w:r>
      <w:r w:rsidR="00915C0E">
        <w:rPr>
          <w:rFonts w:ascii="Verdana" w:hAnsi="Verdana"/>
          <w:sz w:val="20"/>
          <w:lang w:val="es-CR"/>
        </w:rPr>
        <w:t xml:space="preserve"> </w:t>
      </w:r>
      <w:r w:rsidR="002F7A08">
        <w:rPr>
          <w:rFonts w:ascii="Verdana" w:hAnsi="Verdana"/>
          <w:sz w:val="20"/>
          <w:lang w:val="es-CR"/>
        </w:rPr>
        <w:t>Este pronunciamiento</w:t>
      </w:r>
      <w:r w:rsidR="00915C0E">
        <w:rPr>
          <w:rFonts w:ascii="Verdana" w:hAnsi="Verdana"/>
          <w:sz w:val="20"/>
          <w:lang w:val="es-CR"/>
        </w:rPr>
        <w:t xml:space="preserve"> no prejuzga, ni afecta en modo alguno, eventuales acciones que pueda corresponder incoar al propuesto beneficiario a nivel interno.</w:t>
      </w:r>
    </w:p>
    <w:p w:rsidR="00197265" w:rsidRDefault="00197265" w:rsidP="000A007A">
      <w:pPr>
        <w:pStyle w:val="ListParagraph"/>
        <w:spacing w:before="360" w:after="360"/>
        <w:ind w:left="0" w:right="17"/>
        <w:contextualSpacing w:val="0"/>
        <w:jc w:val="both"/>
        <w:rPr>
          <w:rFonts w:ascii="Verdana" w:hAnsi="Verdana"/>
          <w:b/>
          <w:sz w:val="20"/>
          <w:lang w:val="es-PR"/>
        </w:rPr>
      </w:pPr>
    </w:p>
    <w:p w:rsidR="00015B22" w:rsidRPr="00971417" w:rsidRDefault="00015B22" w:rsidP="000A007A">
      <w:pPr>
        <w:pStyle w:val="ListParagraph"/>
        <w:spacing w:before="360" w:after="360"/>
        <w:ind w:left="0" w:right="17"/>
        <w:contextualSpacing w:val="0"/>
        <w:jc w:val="both"/>
        <w:rPr>
          <w:rFonts w:ascii="Verdana" w:hAnsi="Verdana"/>
          <w:b/>
          <w:sz w:val="20"/>
          <w:lang w:val="es-PR"/>
        </w:rPr>
      </w:pPr>
      <w:r w:rsidRPr="00971417">
        <w:rPr>
          <w:rFonts w:ascii="Verdana" w:hAnsi="Verdana"/>
          <w:b/>
          <w:sz w:val="20"/>
          <w:lang w:val="es-PR"/>
        </w:rPr>
        <w:t>POR TANTO:</w:t>
      </w:r>
    </w:p>
    <w:p w:rsidR="00015B22" w:rsidRPr="00971417" w:rsidRDefault="00015B22" w:rsidP="006D3DBC">
      <w:pPr>
        <w:pStyle w:val="ListParagraph"/>
        <w:ind w:left="0" w:right="18"/>
        <w:jc w:val="both"/>
        <w:rPr>
          <w:rFonts w:ascii="Verdana" w:hAnsi="Verdana"/>
          <w:b/>
          <w:sz w:val="20"/>
          <w:lang w:val="es-ES"/>
        </w:rPr>
      </w:pPr>
      <w:r w:rsidRPr="00971417">
        <w:rPr>
          <w:rFonts w:ascii="Verdana" w:hAnsi="Verdana"/>
          <w:b/>
          <w:sz w:val="20"/>
          <w:lang w:val="es-ES"/>
        </w:rPr>
        <w:t>LA CORTE INTERAMERICANA DE DERECHOS HUMANOS,</w:t>
      </w:r>
    </w:p>
    <w:p w:rsidR="00197265" w:rsidRDefault="00197265" w:rsidP="006D3DBC">
      <w:pPr>
        <w:pStyle w:val="ListParagraph"/>
        <w:ind w:left="0" w:right="18"/>
        <w:jc w:val="both"/>
        <w:rPr>
          <w:rFonts w:ascii="Verdana" w:hAnsi="Verdana"/>
          <w:sz w:val="20"/>
          <w:lang w:val="es-MX"/>
        </w:rPr>
      </w:pPr>
    </w:p>
    <w:p w:rsidR="00015B22" w:rsidRPr="00971417" w:rsidRDefault="00015B22" w:rsidP="006D3DBC">
      <w:pPr>
        <w:pStyle w:val="ListParagraph"/>
        <w:ind w:left="0" w:right="18"/>
        <w:jc w:val="both"/>
        <w:rPr>
          <w:rFonts w:ascii="Verdana" w:hAnsi="Verdana"/>
          <w:sz w:val="20"/>
          <w:lang w:val="es-MX"/>
        </w:rPr>
      </w:pPr>
      <w:r w:rsidRPr="00971417">
        <w:rPr>
          <w:rFonts w:ascii="Verdana" w:hAnsi="Verdana"/>
          <w:sz w:val="20"/>
          <w:lang w:val="es-MX"/>
        </w:rPr>
        <w:t>en uso de las atribuciones que le confieren el artículo 63.2 de la Convención Americana sobre Derechos Humanos y los artículos 27 y</w:t>
      </w:r>
      <w:r w:rsidRPr="00971417">
        <w:rPr>
          <w:rFonts w:ascii="Verdana" w:hAnsi="Verdana"/>
          <w:color w:val="00B050"/>
          <w:sz w:val="20"/>
          <w:lang w:val="es-MX"/>
        </w:rPr>
        <w:t xml:space="preserve"> </w:t>
      </w:r>
      <w:r w:rsidRPr="00971417">
        <w:rPr>
          <w:rFonts w:ascii="Verdana" w:hAnsi="Verdana"/>
          <w:sz w:val="20"/>
          <w:lang w:val="es-MX"/>
        </w:rPr>
        <w:t>31 del Reglamento,</w:t>
      </w:r>
    </w:p>
    <w:p w:rsidR="00015B22" w:rsidRDefault="00015B22" w:rsidP="006D3DBC">
      <w:pPr>
        <w:pStyle w:val="ListParagraph"/>
        <w:ind w:left="0" w:right="18"/>
        <w:jc w:val="both"/>
        <w:rPr>
          <w:rFonts w:ascii="Verdana" w:hAnsi="Verdana"/>
          <w:sz w:val="20"/>
          <w:lang w:val="es-MX"/>
        </w:rPr>
      </w:pPr>
    </w:p>
    <w:p w:rsidR="00197265" w:rsidRPr="00971417" w:rsidRDefault="00197265" w:rsidP="006D3DBC">
      <w:pPr>
        <w:pStyle w:val="ListParagraph"/>
        <w:ind w:left="0" w:right="18"/>
        <w:jc w:val="both"/>
        <w:rPr>
          <w:rFonts w:ascii="Verdana" w:hAnsi="Verdana"/>
          <w:sz w:val="20"/>
          <w:lang w:val="es-MX"/>
        </w:rPr>
      </w:pPr>
    </w:p>
    <w:p w:rsidR="00015B22" w:rsidRDefault="00015B22" w:rsidP="006D3DBC">
      <w:pPr>
        <w:pStyle w:val="ListParagraph"/>
        <w:ind w:left="0" w:right="18"/>
        <w:jc w:val="both"/>
        <w:rPr>
          <w:rFonts w:ascii="Verdana" w:hAnsi="Verdana"/>
          <w:b/>
          <w:sz w:val="20"/>
        </w:rPr>
      </w:pPr>
      <w:r w:rsidRPr="00971417">
        <w:rPr>
          <w:rFonts w:ascii="Verdana" w:hAnsi="Verdana"/>
          <w:b/>
          <w:sz w:val="20"/>
        </w:rPr>
        <w:t>RESUELVE:</w:t>
      </w:r>
    </w:p>
    <w:p w:rsidR="00A83000" w:rsidRDefault="00A83000" w:rsidP="006D3DBC">
      <w:pPr>
        <w:pStyle w:val="ListParagraph"/>
        <w:ind w:left="0" w:right="18"/>
        <w:jc w:val="both"/>
        <w:rPr>
          <w:rFonts w:ascii="Verdana" w:hAnsi="Verdana"/>
          <w:sz w:val="20"/>
          <w:lang w:val="es-CR"/>
        </w:rPr>
      </w:pPr>
    </w:p>
    <w:p w:rsidR="00A5094A" w:rsidRDefault="00A5094A" w:rsidP="006D3DBC">
      <w:pPr>
        <w:pStyle w:val="ListParagraph"/>
        <w:ind w:left="0" w:right="18"/>
        <w:jc w:val="both"/>
        <w:rPr>
          <w:rFonts w:ascii="Verdana" w:hAnsi="Verdana"/>
          <w:sz w:val="20"/>
          <w:lang w:val="es-CR"/>
        </w:rPr>
      </w:pPr>
    </w:p>
    <w:p w:rsidR="00274FED" w:rsidRDefault="00274FED" w:rsidP="006D3DBC">
      <w:pPr>
        <w:pStyle w:val="ListParagraph"/>
        <w:ind w:left="0" w:right="18"/>
        <w:jc w:val="both"/>
        <w:rPr>
          <w:rFonts w:ascii="Verdana" w:eastAsia="Verdana" w:hAnsi="Verdana"/>
          <w:sz w:val="20"/>
          <w:lang w:val="es-CR"/>
        </w:rPr>
      </w:pPr>
      <w:r w:rsidRPr="00274FED">
        <w:rPr>
          <w:rFonts w:ascii="Verdana" w:hAnsi="Verdana"/>
          <w:sz w:val="20"/>
          <w:lang w:val="es-CR"/>
        </w:rPr>
        <w:t>Por</w:t>
      </w:r>
      <w:r w:rsidR="00E50D32">
        <w:rPr>
          <w:rFonts w:ascii="Verdana" w:hAnsi="Verdana"/>
          <w:sz w:val="20"/>
          <w:lang w:val="es-CR"/>
        </w:rPr>
        <w:t xml:space="preserve"> unanimidad</w:t>
      </w:r>
      <w:r w:rsidRPr="00274FED">
        <w:rPr>
          <w:rFonts w:ascii="Verdana" w:hAnsi="Verdana"/>
          <w:sz w:val="20"/>
          <w:lang w:val="es-CR"/>
        </w:rPr>
        <w:t>,</w:t>
      </w:r>
      <w:r w:rsidR="00282866">
        <w:rPr>
          <w:rFonts w:ascii="Verdana" w:hAnsi="Verdana"/>
          <w:sz w:val="20"/>
          <w:lang w:val="es-CR"/>
        </w:rPr>
        <w:t xml:space="preserve"> </w:t>
      </w:r>
    </w:p>
    <w:p w:rsidR="00015B22" w:rsidRDefault="00015B22" w:rsidP="006D3DBC">
      <w:pPr>
        <w:pStyle w:val="ListParagraph"/>
        <w:ind w:left="0" w:right="18"/>
        <w:jc w:val="both"/>
        <w:rPr>
          <w:rFonts w:ascii="Verdana" w:eastAsia="Verdana" w:hAnsi="Verdana"/>
          <w:sz w:val="20"/>
          <w:highlight w:val="yellow"/>
          <w:lang w:val="es-CR"/>
        </w:rPr>
      </w:pPr>
    </w:p>
    <w:p w:rsidR="00A5094A" w:rsidRPr="00971417" w:rsidRDefault="00A5094A" w:rsidP="006D3DBC">
      <w:pPr>
        <w:pStyle w:val="ListParagraph"/>
        <w:ind w:left="0" w:right="18"/>
        <w:jc w:val="both"/>
        <w:rPr>
          <w:rFonts w:ascii="Verdana" w:eastAsia="Verdana" w:hAnsi="Verdana"/>
          <w:sz w:val="20"/>
          <w:highlight w:val="yellow"/>
          <w:lang w:val="es-CR"/>
        </w:rPr>
      </w:pPr>
    </w:p>
    <w:p w:rsidR="00015B22" w:rsidRPr="00274FED" w:rsidRDefault="000A007A" w:rsidP="006D3DBC">
      <w:pPr>
        <w:pStyle w:val="ListParagraph"/>
        <w:numPr>
          <w:ilvl w:val="3"/>
          <w:numId w:val="13"/>
        </w:numPr>
        <w:ind w:left="0" w:right="18" w:firstLine="0"/>
        <w:jc w:val="both"/>
        <w:rPr>
          <w:rFonts w:ascii="Verdana" w:eastAsia="Calibri" w:hAnsi="Verdana"/>
          <w:sz w:val="20"/>
          <w:lang w:val="es-ES"/>
        </w:rPr>
      </w:pPr>
      <w:r w:rsidRPr="00971417">
        <w:rPr>
          <w:rFonts w:ascii="Verdana" w:hAnsi="Verdana"/>
          <w:sz w:val="20"/>
        </w:rPr>
        <w:t xml:space="preserve">Desestimar la solicitud de medidas provisionales interpuesta por </w:t>
      </w:r>
      <w:r w:rsidR="00282866">
        <w:rPr>
          <w:rFonts w:ascii="Verdana" w:hAnsi="Verdana"/>
          <w:sz w:val="20"/>
        </w:rPr>
        <w:t xml:space="preserve">los representantes de la presunta víctima a favor del señor </w:t>
      </w:r>
      <w:r w:rsidR="0093035E" w:rsidRPr="001411F9">
        <w:rPr>
          <w:rFonts w:ascii="Verdana" w:hAnsi="Verdana"/>
          <w:sz w:val="20"/>
        </w:rPr>
        <w:t xml:space="preserve">Gustavo </w:t>
      </w:r>
      <w:r w:rsidR="0093035E">
        <w:rPr>
          <w:rFonts w:ascii="Verdana" w:hAnsi="Verdana"/>
          <w:sz w:val="20"/>
        </w:rPr>
        <w:t xml:space="preserve">Francisco </w:t>
      </w:r>
      <w:r w:rsidR="00282866">
        <w:rPr>
          <w:rFonts w:ascii="Verdana" w:hAnsi="Verdana"/>
          <w:sz w:val="20"/>
        </w:rPr>
        <w:t>Petro Urrego, en los términos d</w:t>
      </w:r>
      <w:r w:rsidR="002F7A08">
        <w:rPr>
          <w:rFonts w:ascii="Verdana" w:hAnsi="Verdana"/>
          <w:sz w:val="20"/>
        </w:rPr>
        <w:t>e los párrafos considerativos 24</w:t>
      </w:r>
      <w:r w:rsidR="00282866">
        <w:rPr>
          <w:rFonts w:ascii="Verdana" w:hAnsi="Verdana"/>
          <w:sz w:val="20"/>
        </w:rPr>
        <w:t xml:space="preserve"> a </w:t>
      </w:r>
      <w:r w:rsidR="002F7A08">
        <w:rPr>
          <w:rFonts w:ascii="Verdana" w:hAnsi="Verdana"/>
          <w:sz w:val="20"/>
        </w:rPr>
        <w:t>31 de esta Resolución</w:t>
      </w:r>
      <w:r w:rsidR="00015B22" w:rsidRPr="00971417">
        <w:rPr>
          <w:rFonts w:ascii="Verdana" w:hAnsi="Verdana"/>
          <w:sz w:val="20"/>
          <w:lang w:val="es-CR"/>
        </w:rPr>
        <w:t>.</w:t>
      </w:r>
    </w:p>
    <w:p w:rsidR="00274FED" w:rsidRDefault="00274FED" w:rsidP="00274FED">
      <w:pPr>
        <w:pStyle w:val="ListParagraph"/>
        <w:ind w:left="0" w:right="18"/>
        <w:jc w:val="both"/>
        <w:rPr>
          <w:rFonts w:ascii="Verdana" w:hAnsi="Verdana"/>
          <w:sz w:val="20"/>
          <w:lang w:val="es-CR"/>
        </w:rPr>
      </w:pPr>
    </w:p>
    <w:p w:rsidR="00197265" w:rsidRDefault="00197265" w:rsidP="00274FED">
      <w:pPr>
        <w:pStyle w:val="ListParagraph"/>
        <w:ind w:left="0" w:right="18"/>
        <w:jc w:val="both"/>
        <w:rPr>
          <w:rFonts w:ascii="Verdana" w:hAnsi="Verdana"/>
          <w:sz w:val="20"/>
          <w:lang w:val="es-CR"/>
        </w:rPr>
      </w:pPr>
    </w:p>
    <w:p w:rsidR="00274FED" w:rsidRDefault="00197265" w:rsidP="00274FED">
      <w:pPr>
        <w:pStyle w:val="ListParagraph"/>
        <w:numPr>
          <w:ilvl w:val="3"/>
          <w:numId w:val="13"/>
        </w:numPr>
        <w:ind w:left="0" w:right="18" w:firstLine="0"/>
        <w:jc w:val="both"/>
        <w:rPr>
          <w:rFonts w:ascii="Verdana" w:hAnsi="Verdana"/>
          <w:sz w:val="20"/>
          <w:lang w:val="es-ES"/>
        </w:rPr>
      </w:pPr>
      <w:r>
        <w:rPr>
          <w:rFonts w:ascii="Verdana" w:hAnsi="Verdana"/>
          <w:sz w:val="20"/>
          <w:lang w:val="es-ES"/>
        </w:rPr>
        <w:t>Disponer que</w:t>
      </w:r>
      <w:r w:rsidR="00015B22" w:rsidRPr="00971417">
        <w:rPr>
          <w:rFonts w:ascii="Verdana" w:hAnsi="Verdana"/>
          <w:sz w:val="20"/>
          <w:lang w:val="es-ES"/>
        </w:rPr>
        <w:t xml:space="preserve"> la Secretaría de la Corte notifique la presente Resolución</w:t>
      </w:r>
      <w:r w:rsidR="00AF37A2" w:rsidRPr="00971417">
        <w:rPr>
          <w:rFonts w:ascii="Verdana" w:hAnsi="Verdana"/>
          <w:sz w:val="20"/>
          <w:lang w:val="es-ES"/>
        </w:rPr>
        <w:t xml:space="preserve"> </w:t>
      </w:r>
      <w:r w:rsidR="002F7A08">
        <w:rPr>
          <w:rFonts w:ascii="Verdana" w:hAnsi="Verdana"/>
          <w:sz w:val="20"/>
          <w:lang w:val="es-ES"/>
        </w:rPr>
        <w:t>a los representantes del señor Petro Urrego</w:t>
      </w:r>
      <w:r w:rsidR="00282866">
        <w:rPr>
          <w:rFonts w:ascii="Verdana" w:hAnsi="Verdana"/>
          <w:sz w:val="20"/>
          <w:lang w:val="es-ES"/>
        </w:rPr>
        <w:t xml:space="preserve">, </w:t>
      </w:r>
      <w:r w:rsidR="00015B22" w:rsidRPr="00971417">
        <w:rPr>
          <w:rFonts w:ascii="Verdana" w:hAnsi="Verdana"/>
          <w:sz w:val="20"/>
          <w:lang w:val="es-ES"/>
        </w:rPr>
        <w:t>a</w:t>
      </w:r>
      <w:r w:rsidR="00AF37A2" w:rsidRPr="00971417">
        <w:rPr>
          <w:rFonts w:ascii="Verdana" w:hAnsi="Verdana"/>
          <w:sz w:val="20"/>
          <w:lang w:val="es-ES"/>
        </w:rPr>
        <w:t>l</w:t>
      </w:r>
      <w:r w:rsidR="00015B22" w:rsidRPr="00971417">
        <w:rPr>
          <w:rFonts w:ascii="Verdana" w:hAnsi="Verdana"/>
          <w:sz w:val="20"/>
          <w:lang w:val="es-ES"/>
        </w:rPr>
        <w:t xml:space="preserve"> Estado</w:t>
      </w:r>
      <w:r w:rsidR="007861BE">
        <w:rPr>
          <w:rFonts w:ascii="Verdana" w:hAnsi="Verdana"/>
          <w:sz w:val="20"/>
          <w:lang w:val="es-ES"/>
        </w:rPr>
        <w:t xml:space="preserve"> de Colombia</w:t>
      </w:r>
      <w:r w:rsidR="00015B22" w:rsidRPr="00971417">
        <w:rPr>
          <w:rFonts w:ascii="Verdana" w:hAnsi="Verdana"/>
          <w:sz w:val="20"/>
          <w:lang w:val="es-ES"/>
        </w:rPr>
        <w:t xml:space="preserve"> y a la Comisión Interamericana de Derechos Humanos.</w:t>
      </w:r>
    </w:p>
    <w:p w:rsidR="0081291D" w:rsidRDefault="0081291D">
      <w:pPr>
        <w:rPr>
          <w:rFonts w:ascii="Verdana" w:eastAsia="Times" w:hAnsi="Verdana" w:cs="Courier New"/>
          <w:noProof/>
          <w:sz w:val="20"/>
          <w:szCs w:val="20"/>
          <w:lang w:val="es-ES"/>
        </w:rPr>
      </w:pPr>
    </w:p>
    <w:p w:rsidR="00197265" w:rsidRDefault="00197265">
      <w:pPr>
        <w:rPr>
          <w:rFonts w:ascii="Verdana" w:eastAsia="Times" w:hAnsi="Verdana" w:cs="Courier New"/>
          <w:noProof/>
          <w:sz w:val="20"/>
          <w:szCs w:val="20"/>
          <w:lang w:val="es-ES"/>
        </w:rPr>
      </w:pPr>
    </w:p>
    <w:p w:rsidR="00FA146F" w:rsidRPr="00971417" w:rsidRDefault="00FA146F" w:rsidP="00FA146F">
      <w:pPr>
        <w:spacing w:after="0" w:line="240" w:lineRule="auto"/>
        <w:jc w:val="both"/>
        <w:rPr>
          <w:rFonts w:ascii="Verdana" w:eastAsia="Times" w:hAnsi="Verdana" w:cs="Courier New"/>
          <w:noProof/>
          <w:sz w:val="20"/>
          <w:szCs w:val="20"/>
          <w:lang w:val="es-AR"/>
        </w:rPr>
      </w:pPr>
      <w:r w:rsidRPr="00513036">
        <w:rPr>
          <w:rFonts w:ascii="Verdana" w:eastAsia="Times" w:hAnsi="Verdana" w:cs="Courier New"/>
          <w:noProof/>
          <w:sz w:val="20"/>
          <w:szCs w:val="20"/>
          <w:lang w:val="es-ES"/>
        </w:rPr>
        <w:lastRenderedPageBreak/>
        <w:t xml:space="preserve">Corte IDH. </w:t>
      </w:r>
      <w:r w:rsidR="00282866">
        <w:rPr>
          <w:rFonts w:ascii="Verdana" w:eastAsia="Times" w:hAnsi="Verdana" w:cs="Courier New"/>
          <w:i/>
          <w:noProof/>
          <w:sz w:val="20"/>
          <w:szCs w:val="20"/>
          <w:lang w:val="es-ES"/>
        </w:rPr>
        <w:t>Caso Petro Urrego vs. Colombia</w:t>
      </w:r>
      <w:r w:rsidRPr="00971417">
        <w:rPr>
          <w:rFonts w:ascii="Verdana" w:eastAsia="Times" w:hAnsi="Verdana" w:cs="Courier New"/>
          <w:noProof/>
          <w:sz w:val="20"/>
          <w:szCs w:val="20"/>
          <w:lang w:val="es-ES"/>
        </w:rPr>
        <w:t xml:space="preserve">. </w:t>
      </w:r>
      <w:r w:rsidRPr="00971417">
        <w:rPr>
          <w:rFonts w:ascii="Verdana" w:eastAsia="Times" w:hAnsi="Verdana" w:cs="Courier New"/>
          <w:noProof/>
          <w:sz w:val="20"/>
          <w:szCs w:val="20"/>
          <w:lang w:val="es-AR"/>
        </w:rPr>
        <w:t xml:space="preserve">Solicitud de medidas provisionales. Resolución de la Corte Interamericana de Derechos Humanos de </w:t>
      </w:r>
      <w:r w:rsidR="0093035E">
        <w:rPr>
          <w:rFonts w:ascii="Verdana" w:eastAsia="Times" w:hAnsi="Verdana" w:cs="Courier New"/>
          <w:noProof/>
          <w:sz w:val="20"/>
          <w:szCs w:val="20"/>
          <w:lang w:val="es-AR"/>
        </w:rPr>
        <w:t>6</w:t>
      </w:r>
      <w:r w:rsidRPr="00971417">
        <w:rPr>
          <w:rFonts w:ascii="Verdana" w:eastAsia="Times" w:hAnsi="Verdana" w:cs="Courier New"/>
          <w:noProof/>
          <w:sz w:val="20"/>
          <w:szCs w:val="20"/>
          <w:lang w:val="es-AR"/>
        </w:rPr>
        <w:t xml:space="preserve"> de </w:t>
      </w:r>
      <w:r w:rsidR="00AF37A2" w:rsidRPr="00971417">
        <w:rPr>
          <w:rFonts w:ascii="Verdana" w:eastAsia="Times" w:hAnsi="Verdana" w:cs="Courier New"/>
          <w:noProof/>
          <w:sz w:val="20"/>
          <w:szCs w:val="20"/>
          <w:lang w:val="es-AR"/>
        </w:rPr>
        <w:t xml:space="preserve">febrero </w:t>
      </w:r>
      <w:r w:rsidRPr="00971417">
        <w:rPr>
          <w:rFonts w:ascii="Verdana" w:eastAsia="Times" w:hAnsi="Verdana" w:cs="Courier New"/>
          <w:noProof/>
          <w:sz w:val="20"/>
          <w:szCs w:val="20"/>
          <w:lang w:val="es-AR"/>
        </w:rPr>
        <w:t xml:space="preserve">de </w:t>
      </w:r>
      <w:r w:rsidR="00282866">
        <w:rPr>
          <w:rFonts w:ascii="Verdana" w:eastAsia="Times" w:hAnsi="Verdana" w:cs="Courier New"/>
          <w:noProof/>
          <w:sz w:val="20"/>
          <w:szCs w:val="20"/>
          <w:lang w:val="es-AR"/>
        </w:rPr>
        <w:t>2019</w:t>
      </w:r>
      <w:r w:rsidRPr="00971417">
        <w:rPr>
          <w:rFonts w:ascii="Verdana" w:eastAsia="Times" w:hAnsi="Verdana" w:cs="Courier New"/>
          <w:noProof/>
          <w:sz w:val="20"/>
          <w:szCs w:val="20"/>
          <w:lang w:val="es-AR"/>
        </w:rPr>
        <w:t xml:space="preserve">. </w:t>
      </w:r>
    </w:p>
    <w:p w:rsidR="00FA146F" w:rsidRPr="00971417" w:rsidRDefault="00FA146F" w:rsidP="00FA146F">
      <w:pPr>
        <w:spacing w:after="0" w:line="240" w:lineRule="auto"/>
        <w:jc w:val="both"/>
        <w:rPr>
          <w:rFonts w:ascii="Verdana" w:eastAsia="Times" w:hAnsi="Verdana" w:cs="Courier New"/>
          <w:noProof/>
          <w:sz w:val="20"/>
          <w:szCs w:val="20"/>
          <w:highlight w:val="yellow"/>
          <w:lang w:val="es-AR"/>
        </w:rPr>
      </w:pPr>
    </w:p>
    <w:p w:rsidR="00FA146F" w:rsidRPr="00971417" w:rsidRDefault="00FA146F" w:rsidP="00FA146F">
      <w:pPr>
        <w:spacing w:after="0" w:line="240" w:lineRule="auto"/>
        <w:jc w:val="both"/>
        <w:rPr>
          <w:rFonts w:ascii="Verdana" w:eastAsia="Times" w:hAnsi="Verdana" w:cs="Courier New"/>
          <w:noProof/>
          <w:sz w:val="20"/>
          <w:szCs w:val="20"/>
          <w:highlight w:val="yellow"/>
          <w:lang w:val="es-AR"/>
        </w:rPr>
      </w:pPr>
    </w:p>
    <w:p w:rsidR="00FA146F" w:rsidRDefault="00FA146F" w:rsidP="00FA146F">
      <w:pPr>
        <w:spacing w:after="0" w:line="240" w:lineRule="auto"/>
        <w:jc w:val="both"/>
        <w:rPr>
          <w:rFonts w:ascii="Verdana" w:eastAsia="Times" w:hAnsi="Verdana" w:cs="Courier New"/>
          <w:noProof/>
          <w:sz w:val="20"/>
          <w:szCs w:val="20"/>
          <w:highlight w:val="yellow"/>
          <w:lang w:val="es-AR"/>
        </w:rPr>
      </w:pPr>
    </w:p>
    <w:p w:rsidR="00915C0E" w:rsidRDefault="00915C0E" w:rsidP="00FA146F">
      <w:pPr>
        <w:spacing w:after="0" w:line="240" w:lineRule="auto"/>
        <w:jc w:val="both"/>
        <w:rPr>
          <w:rFonts w:ascii="Verdana" w:eastAsia="Times" w:hAnsi="Verdana" w:cs="Courier New"/>
          <w:noProof/>
          <w:sz w:val="20"/>
          <w:szCs w:val="20"/>
          <w:highlight w:val="yellow"/>
          <w:lang w:val="es-AR"/>
        </w:rPr>
      </w:pPr>
    </w:p>
    <w:p w:rsidR="00A83000" w:rsidRDefault="00A83000" w:rsidP="00FA146F">
      <w:pPr>
        <w:spacing w:after="0" w:line="240" w:lineRule="auto"/>
        <w:jc w:val="both"/>
        <w:rPr>
          <w:rFonts w:ascii="Verdana" w:eastAsia="Times" w:hAnsi="Verdana" w:cs="Courier New"/>
          <w:noProof/>
          <w:sz w:val="20"/>
          <w:szCs w:val="20"/>
          <w:highlight w:val="yellow"/>
          <w:lang w:val="es-AR"/>
        </w:rPr>
      </w:pPr>
    </w:p>
    <w:p w:rsidR="00915C0E" w:rsidRPr="00971417" w:rsidRDefault="00915C0E" w:rsidP="00FA146F">
      <w:pPr>
        <w:spacing w:after="0" w:line="240" w:lineRule="auto"/>
        <w:jc w:val="both"/>
        <w:rPr>
          <w:rFonts w:ascii="Verdana" w:eastAsia="Times" w:hAnsi="Verdana" w:cs="Courier New"/>
          <w:noProof/>
          <w:sz w:val="20"/>
          <w:szCs w:val="20"/>
          <w:highlight w:val="yellow"/>
          <w:lang w:val="es-AR"/>
        </w:rPr>
      </w:pPr>
    </w:p>
    <w:p w:rsidR="00FA146F" w:rsidRPr="00971417" w:rsidRDefault="00AF37A2" w:rsidP="00FA146F">
      <w:pPr>
        <w:spacing w:after="0" w:line="240" w:lineRule="auto"/>
        <w:jc w:val="center"/>
        <w:rPr>
          <w:rFonts w:ascii="Verdana" w:eastAsia="Times" w:hAnsi="Verdana" w:cs="Times New Roman"/>
          <w:sz w:val="20"/>
          <w:szCs w:val="20"/>
          <w:highlight w:val="yellow"/>
          <w:lang w:val="pt-BR"/>
        </w:rPr>
      </w:pPr>
      <w:r w:rsidRPr="00971417">
        <w:rPr>
          <w:rFonts w:ascii="Verdana" w:eastAsia="Times" w:hAnsi="Verdana" w:cs="Times New Roman"/>
          <w:sz w:val="20"/>
          <w:szCs w:val="20"/>
          <w:lang w:val="pt-BR"/>
        </w:rPr>
        <w:t>Eduardo Ferrer Mac-Gregor Poisot</w:t>
      </w:r>
      <w:r w:rsidRPr="00971417">
        <w:rPr>
          <w:rFonts w:ascii="Verdana" w:eastAsia="Times" w:hAnsi="Verdana" w:cs="Times New Roman"/>
          <w:sz w:val="20"/>
          <w:szCs w:val="20"/>
          <w:highlight w:val="yellow"/>
          <w:lang w:val="pt-BR"/>
        </w:rPr>
        <w:t xml:space="preserve"> </w:t>
      </w:r>
    </w:p>
    <w:p w:rsidR="00FA146F" w:rsidRPr="00971417" w:rsidRDefault="00FA146F" w:rsidP="00FA146F">
      <w:pPr>
        <w:spacing w:after="0" w:line="240" w:lineRule="auto"/>
        <w:jc w:val="center"/>
        <w:rPr>
          <w:rFonts w:ascii="Verdana" w:eastAsia="Times" w:hAnsi="Verdana" w:cs="Times New Roman"/>
          <w:sz w:val="20"/>
          <w:szCs w:val="20"/>
          <w:lang w:val="pt-BR"/>
        </w:rPr>
      </w:pPr>
      <w:r w:rsidRPr="00971417">
        <w:rPr>
          <w:rFonts w:ascii="Verdana" w:eastAsia="Times" w:hAnsi="Verdana" w:cs="Times New Roman"/>
          <w:sz w:val="20"/>
          <w:szCs w:val="20"/>
          <w:lang w:val="pt-BR"/>
        </w:rPr>
        <w:t xml:space="preserve">Presidente </w:t>
      </w: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Default="00FA146F" w:rsidP="00FA146F">
      <w:pPr>
        <w:spacing w:after="0" w:line="240" w:lineRule="auto"/>
        <w:jc w:val="both"/>
        <w:rPr>
          <w:rFonts w:ascii="Verdana" w:eastAsia="Times" w:hAnsi="Verdana" w:cs="Times New Roman"/>
          <w:sz w:val="20"/>
          <w:szCs w:val="20"/>
          <w:lang w:val="pt-BR"/>
        </w:rPr>
      </w:pPr>
    </w:p>
    <w:p w:rsidR="00915C0E" w:rsidRPr="00971417" w:rsidRDefault="00915C0E" w:rsidP="00FA146F">
      <w:pPr>
        <w:spacing w:after="0" w:line="240" w:lineRule="auto"/>
        <w:jc w:val="both"/>
        <w:rPr>
          <w:rFonts w:ascii="Verdana" w:eastAsia="Times" w:hAnsi="Verdana" w:cs="Times New Roman"/>
          <w:sz w:val="20"/>
          <w:szCs w:val="20"/>
          <w:lang w:val="pt-BR"/>
        </w:rPr>
      </w:pPr>
    </w:p>
    <w:p w:rsidR="00FA146F" w:rsidRPr="00971417" w:rsidRDefault="00AF37A2" w:rsidP="00FA146F">
      <w:pPr>
        <w:spacing w:after="0" w:line="240" w:lineRule="auto"/>
        <w:jc w:val="both"/>
        <w:rPr>
          <w:rFonts w:ascii="Verdana" w:eastAsia="Times" w:hAnsi="Verdana" w:cs="Times New Roman"/>
          <w:sz w:val="20"/>
          <w:szCs w:val="20"/>
          <w:lang w:val="pt-BR"/>
        </w:rPr>
      </w:pPr>
      <w:r w:rsidRPr="00971417">
        <w:rPr>
          <w:rFonts w:ascii="Verdana" w:eastAsia="Times" w:hAnsi="Verdana" w:cs="Times New Roman"/>
          <w:sz w:val="20"/>
          <w:szCs w:val="20"/>
          <w:lang w:val="pt-BR"/>
        </w:rPr>
        <w:t>Eduardo Vio Grossi</w:t>
      </w:r>
      <w:r w:rsidR="00FA146F" w:rsidRPr="00971417">
        <w:rPr>
          <w:rFonts w:ascii="Verdana" w:eastAsia="Times" w:hAnsi="Verdana" w:cs="Times New Roman"/>
          <w:sz w:val="20"/>
          <w:szCs w:val="20"/>
          <w:lang w:val="pt-BR"/>
        </w:rPr>
        <w:tab/>
      </w:r>
      <w:r w:rsidR="00FA146F" w:rsidRPr="00971417">
        <w:rPr>
          <w:rFonts w:ascii="Verdana" w:eastAsia="Times" w:hAnsi="Verdana" w:cs="Times New Roman"/>
          <w:sz w:val="20"/>
          <w:szCs w:val="20"/>
          <w:lang w:val="pt-BR"/>
        </w:rPr>
        <w:tab/>
      </w:r>
      <w:r w:rsidR="00FA146F" w:rsidRPr="00971417">
        <w:rPr>
          <w:rFonts w:ascii="Verdana" w:eastAsia="Times" w:hAnsi="Verdana" w:cs="Times New Roman"/>
          <w:sz w:val="20"/>
          <w:szCs w:val="20"/>
          <w:lang w:val="pt-BR"/>
        </w:rPr>
        <w:tab/>
      </w:r>
      <w:r w:rsidR="00FA146F" w:rsidRPr="00971417">
        <w:rPr>
          <w:rFonts w:ascii="Verdana" w:eastAsia="Times" w:hAnsi="Verdana" w:cs="Times New Roman"/>
          <w:sz w:val="20"/>
          <w:szCs w:val="20"/>
          <w:lang w:val="pt-BR"/>
        </w:rPr>
        <w:tab/>
      </w:r>
      <w:r w:rsidR="00FA146F" w:rsidRPr="00971417">
        <w:rPr>
          <w:rFonts w:ascii="Verdana" w:eastAsia="Times" w:hAnsi="Verdana" w:cs="Times New Roman"/>
          <w:sz w:val="20"/>
          <w:szCs w:val="20"/>
          <w:lang w:val="pt-BR"/>
        </w:rPr>
        <w:tab/>
      </w:r>
      <w:r w:rsidR="00A83534">
        <w:rPr>
          <w:rFonts w:ascii="Verdana" w:eastAsia="Times" w:hAnsi="Verdana" w:cs="Times New Roman"/>
          <w:sz w:val="20"/>
          <w:szCs w:val="20"/>
          <w:lang w:val="pt-BR"/>
        </w:rPr>
        <w:t xml:space="preserve">   </w:t>
      </w:r>
      <w:r w:rsidR="00FA146F" w:rsidRPr="00971417">
        <w:rPr>
          <w:rFonts w:ascii="Verdana" w:eastAsia="Times" w:hAnsi="Verdana" w:cs="Times New Roman"/>
          <w:sz w:val="20"/>
          <w:szCs w:val="20"/>
          <w:lang w:val="pt-BR"/>
        </w:rPr>
        <w:t xml:space="preserve"> </w:t>
      </w:r>
      <w:r w:rsidRPr="00971417">
        <w:rPr>
          <w:rFonts w:ascii="Verdana" w:eastAsia="Times" w:hAnsi="Verdana" w:cs="Times New Roman"/>
          <w:sz w:val="20"/>
          <w:szCs w:val="20"/>
          <w:lang w:val="pt-BR"/>
        </w:rPr>
        <w:tab/>
      </w:r>
      <w:r w:rsidR="00A83000">
        <w:rPr>
          <w:rFonts w:ascii="Verdana" w:eastAsia="Times" w:hAnsi="Verdana" w:cs="Times New Roman"/>
          <w:sz w:val="20"/>
          <w:szCs w:val="20"/>
          <w:lang w:val="pt-BR"/>
        </w:rPr>
        <w:tab/>
      </w:r>
      <w:r w:rsidRPr="00971417">
        <w:rPr>
          <w:rFonts w:ascii="Verdana" w:eastAsia="Times" w:hAnsi="Verdana" w:cs="Times New Roman"/>
          <w:sz w:val="20"/>
          <w:szCs w:val="20"/>
          <w:lang w:val="pt-BR"/>
        </w:rPr>
        <w:tab/>
        <w:t xml:space="preserve"> </w:t>
      </w:r>
      <w:r w:rsidR="00282866" w:rsidRPr="00513036">
        <w:rPr>
          <w:rFonts w:ascii="Verdana" w:hAnsi="Verdana"/>
          <w:sz w:val="20"/>
          <w:lang w:val="pt-BR"/>
        </w:rPr>
        <w:t>Elizabeth Odio Benito</w:t>
      </w:r>
    </w:p>
    <w:p w:rsidR="00FA146F" w:rsidRDefault="00FA146F" w:rsidP="00FA146F">
      <w:pPr>
        <w:spacing w:after="0" w:line="240" w:lineRule="auto"/>
        <w:jc w:val="both"/>
        <w:rPr>
          <w:rFonts w:ascii="Verdana" w:eastAsia="Times" w:hAnsi="Verdana" w:cs="Times New Roman"/>
          <w:sz w:val="20"/>
          <w:szCs w:val="20"/>
          <w:lang w:val="pt-BR"/>
        </w:rPr>
      </w:pPr>
    </w:p>
    <w:p w:rsidR="00915C0E" w:rsidRDefault="00915C0E" w:rsidP="00FA146F">
      <w:pPr>
        <w:spacing w:after="0" w:line="240" w:lineRule="auto"/>
        <w:jc w:val="both"/>
        <w:rPr>
          <w:rFonts w:ascii="Verdana" w:eastAsia="Times" w:hAnsi="Verdana" w:cs="Times New Roman"/>
          <w:sz w:val="20"/>
          <w:szCs w:val="20"/>
          <w:lang w:val="pt-BR"/>
        </w:rPr>
      </w:pPr>
    </w:p>
    <w:p w:rsidR="00A83000" w:rsidRPr="00971417" w:rsidRDefault="00A83000"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282866" w:rsidP="00FA146F">
      <w:pPr>
        <w:spacing w:after="0" w:line="240" w:lineRule="auto"/>
        <w:jc w:val="both"/>
        <w:rPr>
          <w:rFonts w:ascii="Verdana" w:eastAsia="Times" w:hAnsi="Verdana" w:cs="Times New Roman"/>
          <w:sz w:val="20"/>
          <w:szCs w:val="20"/>
          <w:lang w:val="pt-BR"/>
        </w:rPr>
      </w:pPr>
      <w:r w:rsidRPr="00971417">
        <w:rPr>
          <w:rFonts w:ascii="Verdana" w:eastAsia="Times" w:hAnsi="Verdana" w:cs="Times New Roman"/>
          <w:sz w:val="20"/>
          <w:szCs w:val="20"/>
          <w:lang w:val="pt-BR"/>
        </w:rPr>
        <w:t xml:space="preserve">Eugenio Raúl Zaffaroni </w:t>
      </w:r>
      <w:r>
        <w:rPr>
          <w:rFonts w:ascii="Verdana" w:eastAsia="Times" w:hAnsi="Verdana" w:cs="Times New Roman"/>
          <w:sz w:val="20"/>
          <w:szCs w:val="20"/>
          <w:lang w:val="pt-BR"/>
        </w:rPr>
        <w:tab/>
      </w:r>
      <w:r w:rsidR="00FA146F" w:rsidRPr="00971417">
        <w:rPr>
          <w:rFonts w:ascii="Verdana" w:eastAsia="Times" w:hAnsi="Verdana" w:cs="Times New Roman"/>
          <w:sz w:val="20"/>
          <w:szCs w:val="20"/>
          <w:lang w:val="pt-BR"/>
        </w:rPr>
        <w:tab/>
      </w:r>
      <w:r w:rsidR="00FA146F" w:rsidRPr="00971417">
        <w:rPr>
          <w:rFonts w:ascii="Verdana" w:eastAsia="Times" w:hAnsi="Verdana" w:cs="Times New Roman"/>
          <w:sz w:val="20"/>
          <w:szCs w:val="20"/>
          <w:lang w:val="pt-BR"/>
        </w:rPr>
        <w:tab/>
      </w:r>
      <w:r w:rsidR="00FA146F" w:rsidRPr="00971417">
        <w:rPr>
          <w:rFonts w:ascii="Verdana" w:eastAsia="Times" w:hAnsi="Verdana" w:cs="Times New Roman"/>
          <w:sz w:val="20"/>
          <w:szCs w:val="20"/>
          <w:lang w:val="pt-BR"/>
        </w:rPr>
        <w:tab/>
      </w:r>
      <w:r w:rsidR="00FA146F" w:rsidRPr="00971417">
        <w:rPr>
          <w:rFonts w:ascii="Verdana" w:eastAsia="Times" w:hAnsi="Verdana" w:cs="Times New Roman"/>
          <w:sz w:val="20"/>
          <w:szCs w:val="20"/>
          <w:lang w:val="pt-BR"/>
        </w:rPr>
        <w:tab/>
      </w:r>
      <w:r w:rsidR="00A83000">
        <w:rPr>
          <w:rFonts w:ascii="Verdana" w:eastAsia="Times" w:hAnsi="Verdana" w:cs="Times New Roman"/>
          <w:sz w:val="20"/>
          <w:szCs w:val="20"/>
          <w:lang w:val="pt-BR"/>
        </w:rPr>
        <w:tab/>
      </w:r>
      <w:r>
        <w:rPr>
          <w:rFonts w:ascii="Verdana" w:eastAsia="Times" w:hAnsi="Verdana" w:cs="Times New Roman"/>
          <w:sz w:val="20"/>
          <w:szCs w:val="20"/>
          <w:lang w:val="pt-BR"/>
        </w:rPr>
        <w:tab/>
        <w:t>L. Patricio Pazmiño Freire</w:t>
      </w:r>
      <w:r w:rsidR="00A83534">
        <w:rPr>
          <w:rFonts w:ascii="Verdana" w:eastAsia="Times" w:hAnsi="Verdana" w:cs="Times New Roman"/>
          <w:sz w:val="20"/>
          <w:szCs w:val="20"/>
          <w:lang w:val="pt-BR"/>
        </w:rPr>
        <w:t xml:space="preserve"> </w:t>
      </w: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Default="00FA146F" w:rsidP="00FA146F">
      <w:pPr>
        <w:spacing w:after="0" w:line="240" w:lineRule="auto"/>
        <w:jc w:val="both"/>
        <w:rPr>
          <w:rFonts w:ascii="Verdana" w:eastAsia="Times" w:hAnsi="Verdana" w:cs="Times New Roman"/>
          <w:sz w:val="20"/>
          <w:szCs w:val="20"/>
          <w:lang w:val="pt-BR"/>
        </w:rPr>
      </w:pPr>
    </w:p>
    <w:p w:rsidR="00A83000" w:rsidRDefault="00A83000" w:rsidP="00FA146F">
      <w:pPr>
        <w:spacing w:after="0" w:line="240" w:lineRule="auto"/>
        <w:jc w:val="both"/>
        <w:rPr>
          <w:rFonts w:ascii="Verdana" w:eastAsia="Times" w:hAnsi="Verdana" w:cs="Times New Roman"/>
          <w:sz w:val="20"/>
          <w:szCs w:val="20"/>
          <w:lang w:val="pt-BR"/>
        </w:rPr>
      </w:pPr>
    </w:p>
    <w:p w:rsidR="00915C0E" w:rsidRPr="00971417" w:rsidRDefault="00915C0E"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282866" w:rsidP="00AF37A2">
      <w:pPr>
        <w:spacing w:after="0" w:line="240" w:lineRule="auto"/>
        <w:jc w:val="center"/>
        <w:rPr>
          <w:rFonts w:ascii="Verdana" w:eastAsia="Times" w:hAnsi="Verdana" w:cs="Times New Roman"/>
          <w:sz w:val="20"/>
          <w:szCs w:val="20"/>
          <w:lang w:val="pt-BR"/>
        </w:rPr>
      </w:pPr>
      <w:r>
        <w:rPr>
          <w:rFonts w:ascii="Verdana" w:eastAsia="Times" w:hAnsi="Verdana" w:cs="Times New Roman"/>
          <w:sz w:val="20"/>
          <w:szCs w:val="20"/>
          <w:lang w:val="pt-BR"/>
        </w:rPr>
        <w:t>Ricardo Pérez Manrique</w:t>
      </w:r>
    </w:p>
    <w:p w:rsidR="00282866" w:rsidRDefault="00282866" w:rsidP="00FA146F">
      <w:pPr>
        <w:spacing w:after="0" w:line="240" w:lineRule="auto"/>
        <w:jc w:val="both"/>
        <w:rPr>
          <w:rFonts w:ascii="Verdana" w:eastAsia="Times" w:hAnsi="Verdana" w:cs="Times New Roman"/>
          <w:sz w:val="20"/>
          <w:szCs w:val="20"/>
          <w:highlight w:val="yellow"/>
          <w:lang w:val="pt-BR"/>
        </w:rPr>
      </w:pPr>
    </w:p>
    <w:p w:rsidR="00282866" w:rsidRPr="00971417" w:rsidRDefault="00282866" w:rsidP="00FA146F">
      <w:pPr>
        <w:spacing w:after="0" w:line="240" w:lineRule="auto"/>
        <w:jc w:val="both"/>
        <w:rPr>
          <w:rFonts w:ascii="Verdana" w:eastAsia="Times" w:hAnsi="Verdana" w:cs="Times New Roman"/>
          <w:sz w:val="20"/>
          <w:szCs w:val="20"/>
          <w:highlight w:val="yellow"/>
          <w:lang w:val="pt-BR"/>
        </w:rPr>
      </w:pPr>
    </w:p>
    <w:p w:rsidR="00FA146F" w:rsidRDefault="00FA146F" w:rsidP="00FA146F">
      <w:pPr>
        <w:spacing w:after="0" w:line="240" w:lineRule="auto"/>
        <w:jc w:val="both"/>
        <w:rPr>
          <w:rFonts w:ascii="Verdana" w:eastAsia="Times" w:hAnsi="Verdana" w:cs="Times New Roman"/>
          <w:sz w:val="20"/>
          <w:szCs w:val="20"/>
          <w:lang w:val="pt-BR"/>
        </w:rPr>
      </w:pPr>
    </w:p>
    <w:p w:rsidR="00A83000" w:rsidRPr="00971417" w:rsidRDefault="00A83000"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center"/>
        <w:rPr>
          <w:rFonts w:ascii="Verdana" w:eastAsia="Times" w:hAnsi="Verdana" w:cs="Times New Roman"/>
          <w:sz w:val="20"/>
          <w:szCs w:val="20"/>
          <w:lang w:val="pt-BR"/>
        </w:rPr>
      </w:pPr>
      <w:r w:rsidRPr="00971417">
        <w:rPr>
          <w:rFonts w:ascii="Verdana" w:eastAsia="Times" w:hAnsi="Verdana" w:cs="Times New Roman"/>
          <w:sz w:val="20"/>
          <w:szCs w:val="20"/>
          <w:lang w:val="pt-BR"/>
        </w:rPr>
        <w:t>Pablo Saavedra Alessandri</w:t>
      </w:r>
    </w:p>
    <w:p w:rsidR="00FA146F" w:rsidRPr="00971417" w:rsidRDefault="00FA146F" w:rsidP="00FA146F">
      <w:pPr>
        <w:spacing w:after="0" w:line="240" w:lineRule="auto"/>
        <w:jc w:val="center"/>
        <w:rPr>
          <w:rFonts w:ascii="Verdana" w:eastAsia="Times" w:hAnsi="Verdana" w:cs="Times New Roman"/>
          <w:sz w:val="20"/>
          <w:szCs w:val="20"/>
          <w:lang w:val="pt-BR"/>
        </w:rPr>
      </w:pPr>
      <w:r w:rsidRPr="00971417">
        <w:rPr>
          <w:rFonts w:ascii="Verdana" w:eastAsia="Times" w:hAnsi="Verdana" w:cs="Times New Roman"/>
          <w:sz w:val="20"/>
          <w:szCs w:val="20"/>
          <w:lang w:val="pt-BR"/>
        </w:rPr>
        <w:t>Secretario</w:t>
      </w:r>
    </w:p>
    <w:p w:rsidR="00FA146F" w:rsidRPr="00971417" w:rsidRDefault="00FA146F" w:rsidP="00FA146F">
      <w:pPr>
        <w:spacing w:after="0" w:line="240" w:lineRule="auto"/>
        <w:rPr>
          <w:rFonts w:ascii="Verdana" w:eastAsia="Times" w:hAnsi="Verdana" w:cs="Times New Roman"/>
          <w:sz w:val="20"/>
          <w:szCs w:val="20"/>
          <w:lang w:val="pt-BR"/>
        </w:rPr>
      </w:pPr>
    </w:p>
    <w:p w:rsidR="00FA146F" w:rsidRDefault="00FA146F" w:rsidP="00FA146F">
      <w:pPr>
        <w:spacing w:after="0" w:line="240" w:lineRule="auto"/>
        <w:jc w:val="both"/>
        <w:rPr>
          <w:rFonts w:ascii="Verdana" w:eastAsia="Times" w:hAnsi="Verdana" w:cs="Times New Roman"/>
          <w:sz w:val="20"/>
          <w:szCs w:val="20"/>
          <w:lang w:val="pt-BR"/>
        </w:rPr>
      </w:pPr>
    </w:p>
    <w:p w:rsidR="00A83000" w:rsidRDefault="00A83000" w:rsidP="00FA146F">
      <w:pPr>
        <w:spacing w:after="0" w:line="240" w:lineRule="auto"/>
        <w:jc w:val="both"/>
        <w:rPr>
          <w:rFonts w:ascii="Verdana" w:eastAsia="Times" w:hAnsi="Verdana" w:cs="Times New Roman"/>
          <w:sz w:val="20"/>
          <w:szCs w:val="20"/>
          <w:lang w:val="pt-BR"/>
        </w:rPr>
      </w:pPr>
    </w:p>
    <w:p w:rsidR="00A83000" w:rsidRPr="00971417" w:rsidRDefault="00A83000"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r w:rsidRPr="00971417">
        <w:rPr>
          <w:rFonts w:ascii="Verdana" w:eastAsia="Times" w:hAnsi="Verdana" w:cs="Times New Roman"/>
          <w:sz w:val="20"/>
          <w:szCs w:val="20"/>
          <w:lang w:val="pt-BR"/>
        </w:rPr>
        <w:t>Comuníquese y ejecútese,</w:t>
      </w: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AF37A2" w:rsidP="00FA146F">
      <w:pPr>
        <w:spacing w:after="0" w:line="240" w:lineRule="auto"/>
        <w:ind w:left="4956" w:firstLine="708"/>
        <w:jc w:val="center"/>
        <w:rPr>
          <w:rFonts w:ascii="Verdana" w:eastAsia="Times" w:hAnsi="Verdana" w:cs="Times New Roman"/>
          <w:sz w:val="20"/>
          <w:szCs w:val="20"/>
          <w:lang w:val="pt-BR"/>
        </w:rPr>
      </w:pPr>
      <w:r w:rsidRPr="00971417">
        <w:rPr>
          <w:rFonts w:ascii="Verdana" w:eastAsia="Times" w:hAnsi="Verdana" w:cs="Times New Roman"/>
          <w:sz w:val="20"/>
          <w:szCs w:val="20"/>
          <w:lang w:val="pt-BR"/>
        </w:rPr>
        <w:t>Eduardo Ferrer Mac-Gregor Poisot</w:t>
      </w:r>
    </w:p>
    <w:p w:rsidR="00FA146F" w:rsidRPr="00971417" w:rsidRDefault="00FA146F" w:rsidP="00FA146F">
      <w:pPr>
        <w:spacing w:after="0" w:line="240" w:lineRule="auto"/>
        <w:ind w:left="4956" w:firstLine="708"/>
        <w:jc w:val="center"/>
        <w:rPr>
          <w:rFonts w:ascii="Verdana" w:eastAsia="Times" w:hAnsi="Verdana" w:cs="Times New Roman"/>
          <w:sz w:val="20"/>
          <w:szCs w:val="20"/>
          <w:lang w:val="es-ES"/>
        </w:rPr>
      </w:pPr>
      <w:r w:rsidRPr="00971417">
        <w:rPr>
          <w:rFonts w:ascii="Verdana" w:eastAsia="Times" w:hAnsi="Verdana" w:cs="Times New Roman"/>
          <w:sz w:val="20"/>
          <w:szCs w:val="20"/>
          <w:lang w:val="es-ES"/>
        </w:rPr>
        <w:t xml:space="preserve">Presidente </w:t>
      </w:r>
    </w:p>
    <w:p w:rsidR="00FA146F" w:rsidRPr="00513036" w:rsidRDefault="00FA146F" w:rsidP="00FA146F">
      <w:pPr>
        <w:spacing w:after="0" w:line="240" w:lineRule="auto"/>
        <w:jc w:val="both"/>
        <w:rPr>
          <w:rFonts w:ascii="Verdana" w:eastAsia="Times" w:hAnsi="Verdana" w:cs="Times New Roman"/>
          <w:sz w:val="20"/>
          <w:szCs w:val="20"/>
          <w:lang w:val="es-ES"/>
        </w:rPr>
      </w:pPr>
    </w:p>
    <w:p w:rsidR="00FA146F" w:rsidRPr="00513036" w:rsidRDefault="00FA146F" w:rsidP="00FA146F">
      <w:pPr>
        <w:spacing w:after="0" w:line="240" w:lineRule="auto"/>
        <w:jc w:val="both"/>
        <w:rPr>
          <w:rFonts w:ascii="Verdana" w:eastAsia="Times" w:hAnsi="Verdana" w:cs="Times New Roman"/>
          <w:sz w:val="20"/>
          <w:szCs w:val="20"/>
          <w:lang w:val="es-ES"/>
        </w:rPr>
      </w:pPr>
    </w:p>
    <w:p w:rsidR="00FA146F" w:rsidRPr="00513036" w:rsidRDefault="00FA146F" w:rsidP="00FA146F">
      <w:pPr>
        <w:spacing w:after="0" w:line="240" w:lineRule="auto"/>
        <w:jc w:val="both"/>
        <w:rPr>
          <w:rFonts w:ascii="Verdana" w:eastAsia="Times" w:hAnsi="Verdana" w:cs="Times New Roman"/>
          <w:sz w:val="20"/>
          <w:szCs w:val="20"/>
          <w:lang w:val="es-ES"/>
        </w:rPr>
      </w:pPr>
    </w:p>
    <w:p w:rsidR="00FA146F" w:rsidRPr="00513036" w:rsidRDefault="00FA146F" w:rsidP="00FA146F">
      <w:pPr>
        <w:spacing w:after="0" w:line="240" w:lineRule="auto"/>
        <w:jc w:val="both"/>
        <w:rPr>
          <w:rFonts w:ascii="Verdana" w:eastAsia="Times" w:hAnsi="Verdana" w:cs="Times New Roman"/>
          <w:sz w:val="20"/>
          <w:szCs w:val="20"/>
          <w:lang w:val="es-ES"/>
        </w:rPr>
      </w:pPr>
      <w:r w:rsidRPr="00513036">
        <w:rPr>
          <w:rFonts w:ascii="Verdana" w:eastAsia="Times" w:hAnsi="Verdana" w:cs="Times New Roman"/>
          <w:sz w:val="20"/>
          <w:szCs w:val="20"/>
          <w:lang w:val="es-ES"/>
        </w:rPr>
        <w:t>Pablo Saavedra Alessandri</w:t>
      </w:r>
    </w:p>
    <w:p w:rsidR="00FA146F" w:rsidRPr="00971417" w:rsidRDefault="00FA146F" w:rsidP="007E6B2D">
      <w:pPr>
        <w:spacing w:after="0" w:line="240" w:lineRule="auto"/>
        <w:rPr>
          <w:rFonts w:ascii="Verdana" w:eastAsia="Times" w:hAnsi="Verdana" w:cs="Times New Roman"/>
          <w:sz w:val="24"/>
          <w:szCs w:val="20"/>
        </w:rPr>
      </w:pPr>
      <w:r w:rsidRPr="00513036">
        <w:rPr>
          <w:rFonts w:ascii="Verdana" w:eastAsia="Times" w:hAnsi="Verdana" w:cs="Times New Roman"/>
          <w:sz w:val="20"/>
          <w:szCs w:val="20"/>
          <w:lang w:val="es-ES"/>
        </w:rPr>
        <w:tab/>
      </w:r>
      <w:r w:rsidRPr="00513036">
        <w:rPr>
          <w:rFonts w:ascii="Verdana" w:eastAsia="Times" w:hAnsi="Verdana" w:cs="Times New Roman"/>
          <w:sz w:val="20"/>
          <w:szCs w:val="20"/>
          <w:lang w:val="es-CR"/>
        </w:rPr>
        <w:t>Secretario</w:t>
      </w:r>
    </w:p>
    <w:p w:rsidR="00D5779D" w:rsidRPr="00971417" w:rsidRDefault="00D5779D" w:rsidP="00FA146F">
      <w:pPr>
        <w:pStyle w:val="ListParagraph"/>
        <w:ind w:left="0" w:right="17"/>
        <w:jc w:val="both"/>
        <w:rPr>
          <w:rFonts w:ascii="Verdana" w:hAnsi="Verdana"/>
          <w:sz w:val="20"/>
          <w:lang w:val="es-ES"/>
        </w:rPr>
      </w:pPr>
    </w:p>
    <w:sectPr w:rsidR="00D5779D" w:rsidRPr="00971417" w:rsidSect="006150E2">
      <w:headerReference w:type="default" r:id="rId12"/>
      <w:pgSz w:w="12240" w:h="15840"/>
      <w:pgMar w:top="1296" w:right="1296" w:bottom="1296" w:left="1296"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08" w:rsidRDefault="00695008" w:rsidP="005110D6">
      <w:pPr>
        <w:spacing w:after="0" w:line="240" w:lineRule="auto"/>
      </w:pPr>
      <w:r>
        <w:separator/>
      </w:r>
    </w:p>
  </w:endnote>
  <w:endnote w:type="continuationSeparator" w:id="0">
    <w:p w:rsidR="00695008" w:rsidRDefault="00695008" w:rsidP="0051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08" w:rsidRDefault="00695008" w:rsidP="005110D6">
      <w:pPr>
        <w:spacing w:after="0" w:line="240" w:lineRule="auto"/>
      </w:pPr>
      <w:r>
        <w:separator/>
      </w:r>
    </w:p>
  </w:footnote>
  <w:footnote w:type="continuationSeparator" w:id="0">
    <w:p w:rsidR="00695008" w:rsidRDefault="00695008" w:rsidP="005110D6">
      <w:pPr>
        <w:spacing w:after="0" w:line="240" w:lineRule="auto"/>
      </w:pPr>
      <w:r>
        <w:continuationSeparator/>
      </w:r>
    </w:p>
  </w:footnote>
  <w:footnote w:id="1">
    <w:p w:rsidR="001D19CE" w:rsidRPr="00BF6A98" w:rsidRDefault="001D19CE" w:rsidP="007C2B48">
      <w:pPr>
        <w:pStyle w:val="FootnoteText"/>
        <w:spacing w:before="120" w:after="120"/>
        <w:ind w:right="9"/>
        <w:jc w:val="both"/>
        <w:rPr>
          <w:rFonts w:ascii="Verdana" w:hAnsi="Verdana"/>
          <w:spacing w:val="-12"/>
          <w:sz w:val="16"/>
          <w:szCs w:val="16"/>
          <w:lang w:val="es-ES"/>
        </w:rPr>
      </w:pPr>
      <w:r w:rsidRPr="00BF6A98">
        <w:rPr>
          <w:rStyle w:val="FootnoteReference"/>
          <w:rFonts w:ascii="Verdana" w:hAnsi="Verdana"/>
          <w:spacing w:val="-12"/>
          <w:sz w:val="16"/>
          <w:szCs w:val="16"/>
          <w:lang w:val="es-ES"/>
        </w:rPr>
        <w:t>*</w:t>
      </w:r>
      <w:r w:rsidRPr="00BF6A98">
        <w:rPr>
          <w:rFonts w:ascii="Verdana" w:hAnsi="Verdana"/>
          <w:spacing w:val="-12"/>
          <w:sz w:val="16"/>
          <w:szCs w:val="16"/>
          <w:lang w:val="es-ES"/>
        </w:rPr>
        <w:t xml:space="preserve"> </w:t>
      </w:r>
      <w:r w:rsidRPr="00BF6A98">
        <w:rPr>
          <w:rFonts w:ascii="Verdana" w:hAnsi="Verdana"/>
          <w:spacing w:val="-12"/>
          <w:sz w:val="16"/>
          <w:szCs w:val="16"/>
          <w:lang w:val="es-ES"/>
        </w:rPr>
        <w:tab/>
        <w:t>El Juez Humberto Antonio Sierra Porto, de nacionalidad colombiana, no participó en el conocimiento y deliberación de la presente Resolución, de conformidad con lo dispuesto en los artículos 19.2 del Estatuto del Tribunal y 19.1 de su Reglamento.</w:t>
      </w:r>
    </w:p>
  </w:footnote>
  <w:footnote w:id="2">
    <w:p w:rsidR="001D19CE" w:rsidRPr="00BF6A98" w:rsidRDefault="001D19CE" w:rsidP="007C2B48">
      <w:pPr>
        <w:pStyle w:val="FootnoteText"/>
        <w:spacing w:before="120" w:after="120"/>
        <w:jc w:val="both"/>
        <w:rPr>
          <w:rFonts w:ascii="Verdana" w:hAnsi="Verdana"/>
          <w:spacing w:val="-12"/>
          <w:sz w:val="16"/>
          <w:szCs w:val="16"/>
          <w:lang w:val="es-CR"/>
        </w:rPr>
      </w:pPr>
      <w:r w:rsidRPr="00BF6A98">
        <w:rPr>
          <w:rStyle w:val="FootnoteReference"/>
          <w:rFonts w:ascii="Verdana" w:hAnsi="Verdana"/>
          <w:spacing w:val="-12"/>
          <w:sz w:val="16"/>
          <w:szCs w:val="16"/>
        </w:rPr>
        <w:footnoteRef/>
      </w:r>
      <w:r w:rsidRPr="00BF6A98">
        <w:rPr>
          <w:rFonts w:ascii="Verdana" w:hAnsi="Verdana"/>
          <w:spacing w:val="-12"/>
          <w:sz w:val="16"/>
          <w:szCs w:val="16"/>
          <w:lang w:val="es-CR"/>
        </w:rPr>
        <w:t xml:space="preserve"> </w:t>
      </w:r>
      <w:r>
        <w:rPr>
          <w:rFonts w:ascii="Verdana" w:hAnsi="Verdana"/>
          <w:spacing w:val="-12"/>
          <w:sz w:val="16"/>
          <w:szCs w:val="16"/>
          <w:lang w:val="es-CR"/>
        </w:rPr>
        <w:tab/>
      </w:r>
      <w:r w:rsidRPr="00BF6A98">
        <w:rPr>
          <w:rFonts w:ascii="Verdana" w:hAnsi="Verdana"/>
          <w:spacing w:val="-12"/>
          <w:sz w:val="16"/>
          <w:szCs w:val="16"/>
          <w:lang w:val="es-ES"/>
        </w:rPr>
        <w:t>El</w:t>
      </w:r>
      <w:r w:rsidRPr="00BF6A98">
        <w:rPr>
          <w:rFonts w:ascii="Verdana" w:hAnsi="Verdana"/>
          <w:spacing w:val="-12"/>
          <w:sz w:val="16"/>
          <w:szCs w:val="16"/>
          <w:lang w:val="es-CR"/>
        </w:rPr>
        <w:t xml:space="preserve"> artículo 27.3 del Reglamento establece: “En los casos contenciosos que ya se encuentren en conocimiento de la Corte, las víctimas o las presuntas víctimas, o sus representantes, podrán presentar directamente a ésta una solicitud de medidas provisionales, las que deberán tener relación con el objeto del caso”.</w:t>
      </w:r>
    </w:p>
  </w:footnote>
  <w:footnote w:id="3">
    <w:p w:rsidR="001D19CE" w:rsidRPr="00BF6A98" w:rsidRDefault="001D19CE" w:rsidP="007C2B48">
      <w:pPr>
        <w:pStyle w:val="FootnoteText"/>
        <w:spacing w:before="120" w:after="120"/>
        <w:jc w:val="both"/>
        <w:rPr>
          <w:rFonts w:ascii="Verdana" w:hAnsi="Verdana"/>
          <w:spacing w:val="-12"/>
          <w:sz w:val="16"/>
          <w:szCs w:val="16"/>
          <w:lang w:val="es-CR"/>
        </w:rPr>
      </w:pPr>
      <w:r w:rsidRPr="00BF6A98">
        <w:rPr>
          <w:rStyle w:val="FootnoteReference"/>
          <w:rFonts w:ascii="Verdana" w:hAnsi="Verdana"/>
          <w:spacing w:val="-12"/>
          <w:sz w:val="16"/>
          <w:szCs w:val="16"/>
        </w:rPr>
        <w:footnoteRef/>
      </w:r>
      <w:r w:rsidRPr="00BF6A98">
        <w:rPr>
          <w:rFonts w:ascii="Verdana" w:hAnsi="Verdana"/>
          <w:spacing w:val="-12"/>
          <w:sz w:val="16"/>
          <w:szCs w:val="16"/>
          <w:lang w:val="es-CR"/>
        </w:rPr>
        <w:t xml:space="preserve"> </w:t>
      </w:r>
      <w:r>
        <w:rPr>
          <w:rFonts w:ascii="Verdana" w:hAnsi="Verdana"/>
          <w:spacing w:val="-12"/>
          <w:sz w:val="16"/>
          <w:szCs w:val="16"/>
          <w:lang w:val="es-CR"/>
        </w:rPr>
        <w:tab/>
      </w:r>
      <w:r w:rsidRPr="00BF6A98">
        <w:rPr>
          <w:rFonts w:ascii="Verdana" w:hAnsi="Verdana"/>
          <w:i/>
          <w:spacing w:val="-12"/>
          <w:sz w:val="16"/>
          <w:szCs w:val="16"/>
          <w:lang w:val="es-CR"/>
        </w:rPr>
        <w:t xml:space="preserve">Cfr. </w:t>
      </w:r>
      <w:r w:rsidRPr="00BF6A98">
        <w:rPr>
          <w:rFonts w:ascii="Verdana" w:hAnsi="Verdana"/>
          <w:i/>
          <w:iCs/>
          <w:spacing w:val="-12"/>
          <w:sz w:val="16"/>
          <w:szCs w:val="16"/>
          <w:lang w:val="es-CR"/>
        </w:rPr>
        <w:t xml:space="preserve">Caso Bámaca Velásquez </w:t>
      </w:r>
      <w:r w:rsidRPr="00BF6A98">
        <w:rPr>
          <w:rFonts w:ascii="Verdana" w:hAnsi="Verdana"/>
          <w:bCs/>
          <w:i/>
          <w:spacing w:val="-12"/>
          <w:sz w:val="16"/>
          <w:szCs w:val="16"/>
          <w:lang w:val="es-CR"/>
        </w:rPr>
        <w:t xml:space="preserve">Vs. </w:t>
      </w:r>
      <w:r w:rsidRPr="00BF6A98">
        <w:rPr>
          <w:rFonts w:ascii="Verdana" w:hAnsi="Verdana"/>
          <w:i/>
          <w:iCs/>
          <w:spacing w:val="-12"/>
          <w:sz w:val="16"/>
          <w:szCs w:val="16"/>
          <w:lang w:val="es-CR"/>
        </w:rPr>
        <w:t xml:space="preserve">Guatemala. </w:t>
      </w:r>
      <w:r w:rsidRPr="00BF6A98">
        <w:rPr>
          <w:rFonts w:ascii="Verdana" w:hAnsi="Verdana"/>
          <w:i/>
          <w:spacing w:val="-12"/>
          <w:sz w:val="16"/>
          <w:szCs w:val="16"/>
          <w:lang w:val="es-CR"/>
        </w:rPr>
        <w:t xml:space="preserve">Medidas Provisionales. </w:t>
      </w:r>
      <w:r w:rsidRPr="00BF6A98">
        <w:rPr>
          <w:rFonts w:ascii="Verdana" w:hAnsi="Verdana"/>
          <w:spacing w:val="-12"/>
          <w:sz w:val="16"/>
          <w:szCs w:val="16"/>
          <w:lang w:val="es-CR"/>
        </w:rPr>
        <w:t xml:space="preserve">Resolución de la Corte Interamericana de Derechos Humanos de 20 de noviembre de 2003, Considerando décimo, y </w:t>
      </w:r>
      <w:r w:rsidR="00A83534">
        <w:rPr>
          <w:rFonts w:ascii="Verdana" w:hAnsi="Verdana"/>
          <w:i/>
          <w:spacing w:val="-12"/>
          <w:sz w:val="16"/>
          <w:szCs w:val="16"/>
          <w:lang w:val="es-CR"/>
        </w:rPr>
        <w:t>Caso Galindo Cárdenas Vs. Perú.</w:t>
      </w:r>
      <w:r w:rsidR="00A83534" w:rsidRPr="00A83534">
        <w:rPr>
          <w:rFonts w:ascii="Verdana" w:hAnsi="Verdana"/>
          <w:i/>
          <w:spacing w:val="-12"/>
          <w:sz w:val="16"/>
          <w:szCs w:val="16"/>
          <w:lang w:val="es-CR"/>
        </w:rPr>
        <w:t xml:space="preserve"> Rechazo de la Solicitud de Medidas Provisionales.</w:t>
      </w:r>
      <w:r w:rsidR="00A83534" w:rsidRPr="00A83000">
        <w:rPr>
          <w:rFonts w:ascii="Verdana" w:hAnsi="Verdana"/>
          <w:spacing w:val="-12"/>
          <w:sz w:val="16"/>
          <w:szCs w:val="16"/>
          <w:lang w:val="es-CR"/>
        </w:rPr>
        <w:t xml:space="preserve"> Resolución de la Corte Interamericana de Derechos Humanos de 22 de noviembre de 2018</w:t>
      </w:r>
      <w:r w:rsidR="00A83534" w:rsidRPr="00A83534">
        <w:rPr>
          <w:rFonts w:ascii="Verdana" w:hAnsi="Verdana"/>
          <w:i/>
          <w:spacing w:val="-12"/>
          <w:sz w:val="16"/>
          <w:szCs w:val="16"/>
          <w:lang w:val="es-CR"/>
        </w:rPr>
        <w:t>.</w:t>
      </w:r>
      <w:r w:rsidRPr="00BF6A98">
        <w:rPr>
          <w:rFonts w:ascii="Verdana" w:hAnsi="Verdana"/>
          <w:spacing w:val="-12"/>
          <w:sz w:val="16"/>
          <w:szCs w:val="16"/>
          <w:lang w:val="es-CR"/>
        </w:rPr>
        <w:t>, Considerando cuarto.</w:t>
      </w:r>
    </w:p>
  </w:footnote>
  <w:footnote w:id="4">
    <w:p w:rsidR="001D19CE" w:rsidRPr="00BF6A98" w:rsidRDefault="001D19CE" w:rsidP="007C2B48">
      <w:pPr>
        <w:spacing w:before="120" w:after="120" w:line="240" w:lineRule="auto"/>
        <w:jc w:val="both"/>
        <w:rPr>
          <w:rFonts w:ascii="Verdana" w:hAnsi="Verdana"/>
          <w:spacing w:val="-12"/>
          <w:sz w:val="16"/>
          <w:szCs w:val="16"/>
          <w:lang w:val="es-CR"/>
        </w:rPr>
      </w:pPr>
      <w:r w:rsidRPr="00BF6A98">
        <w:rPr>
          <w:rStyle w:val="FootnoteReference"/>
          <w:rFonts w:ascii="Verdana" w:hAnsi="Verdana"/>
          <w:spacing w:val="-12"/>
          <w:sz w:val="16"/>
          <w:szCs w:val="16"/>
        </w:rPr>
        <w:footnoteRef/>
      </w:r>
      <w:r w:rsidRPr="00BF6A98">
        <w:rPr>
          <w:rFonts w:ascii="Verdana" w:hAnsi="Verdana"/>
          <w:spacing w:val="-12"/>
          <w:sz w:val="16"/>
          <w:szCs w:val="16"/>
          <w:lang w:val="es-CR"/>
        </w:rPr>
        <w:t xml:space="preserve"> </w:t>
      </w:r>
      <w:r>
        <w:rPr>
          <w:rFonts w:ascii="Verdana" w:hAnsi="Verdana"/>
          <w:spacing w:val="-12"/>
          <w:sz w:val="16"/>
          <w:szCs w:val="16"/>
          <w:lang w:val="es-CR"/>
        </w:rPr>
        <w:tab/>
      </w:r>
      <w:r w:rsidRPr="00BF6A98">
        <w:rPr>
          <w:rFonts w:ascii="Verdana" w:hAnsi="Verdana"/>
          <w:i/>
          <w:spacing w:val="-12"/>
          <w:sz w:val="16"/>
          <w:szCs w:val="16"/>
          <w:lang w:val="es-CR"/>
        </w:rPr>
        <w:t>Cfr.</w:t>
      </w:r>
      <w:r w:rsidRPr="00BF6A98">
        <w:rPr>
          <w:rFonts w:ascii="Verdana" w:hAnsi="Verdana"/>
          <w:spacing w:val="-12"/>
          <w:sz w:val="16"/>
          <w:szCs w:val="16"/>
          <w:lang w:val="es-CR"/>
        </w:rPr>
        <w:t xml:space="preserve"> </w:t>
      </w:r>
      <w:r w:rsidRPr="00BF6A98">
        <w:rPr>
          <w:rFonts w:ascii="Verdana" w:hAnsi="Verdana"/>
          <w:i/>
          <w:spacing w:val="-12"/>
          <w:sz w:val="16"/>
          <w:szCs w:val="16"/>
          <w:lang w:val="es-CR"/>
        </w:rPr>
        <w:t>Caso del Tribunal Constitucional Vs. Perú</w:t>
      </w:r>
      <w:r w:rsidRPr="00BF6A98">
        <w:rPr>
          <w:rFonts w:ascii="Verdana" w:hAnsi="Verdana"/>
          <w:spacing w:val="-12"/>
          <w:sz w:val="16"/>
          <w:szCs w:val="16"/>
          <w:lang w:val="es-CR"/>
        </w:rPr>
        <w:t xml:space="preserve">. </w:t>
      </w:r>
      <w:r w:rsidRPr="00BF6A98">
        <w:rPr>
          <w:rFonts w:ascii="Verdana" w:hAnsi="Verdana"/>
          <w:i/>
          <w:spacing w:val="-12"/>
          <w:sz w:val="16"/>
          <w:szCs w:val="16"/>
          <w:lang w:val="es-CR"/>
        </w:rPr>
        <w:t xml:space="preserve">Medidas Provisionales. </w:t>
      </w:r>
      <w:r w:rsidRPr="00BF6A98">
        <w:rPr>
          <w:rFonts w:ascii="Verdana" w:hAnsi="Verdana"/>
          <w:spacing w:val="-12"/>
          <w:sz w:val="16"/>
          <w:szCs w:val="16"/>
          <w:lang w:val="es-CR"/>
        </w:rPr>
        <w:t>Resolución de la Corte Interamericana de Derechos Humanos de 14 de marzo de 2001, Considerando cuarto</w:t>
      </w:r>
      <w:r w:rsidRPr="00BF6A98">
        <w:rPr>
          <w:rFonts w:ascii="Verdana" w:hAnsi="Verdana"/>
          <w:bCs/>
          <w:color w:val="000000"/>
          <w:spacing w:val="-12"/>
          <w:sz w:val="16"/>
          <w:szCs w:val="16"/>
          <w:lang w:val="es-CR"/>
        </w:rPr>
        <w:t xml:space="preserve">, y </w:t>
      </w:r>
      <w:r w:rsidR="00A83534">
        <w:rPr>
          <w:rFonts w:ascii="Verdana" w:hAnsi="Verdana"/>
          <w:i/>
          <w:spacing w:val="-12"/>
          <w:sz w:val="16"/>
          <w:szCs w:val="16"/>
          <w:lang w:val="es-CR"/>
        </w:rPr>
        <w:t>Caso Galindo Cárdenas Vs. Perú.</w:t>
      </w:r>
      <w:r w:rsidR="00A83534" w:rsidRPr="00A83534">
        <w:rPr>
          <w:rFonts w:ascii="Verdana" w:hAnsi="Verdana"/>
          <w:i/>
          <w:spacing w:val="-12"/>
          <w:sz w:val="16"/>
          <w:szCs w:val="16"/>
          <w:lang w:val="es-CR"/>
        </w:rPr>
        <w:t xml:space="preserve"> Rechazo de la Solicitud de Medidas Provisionales.</w:t>
      </w:r>
      <w:r w:rsidR="00A83534" w:rsidRPr="009E72E5">
        <w:rPr>
          <w:rFonts w:ascii="Verdana" w:hAnsi="Verdana"/>
          <w:spacing w:val="-12"/>
          <w:sz w:val="16"/>
          <w:szCs w:val="16"/>
          <w:lang w:val="es-CR"/>
        </w:rPr>
        <w:t xml:space="preserve"> Resolución de la Corte Interamericana de Derechos Humanos de 22 de noviembre de 2018</w:t>
      </w:r>
      <w:r w:rsidR="00A83534">
        <w:rPr>
          <w:rFonts w:ascii="Verdana" w:hAnsi="Verdana"/>
          <w:spacing w:val="-12"/>
          <w:sz w:val="16"/>
          <w:szCs w:val="16"/>
          <w:lang w:val="es-CR"/>
        </w:rPr>
        <w:t xml:space="preserve">, </w:t>
      </w:r>
      <w:r w:rsidRPr="00BF6A98">
        <w:rPr>
          <w:rFonts w:ascii="Verdana" w:hAnsi="Verdana" w:cs="Arial"/>
          <w:spacing w:val="-12"/>
          <w:sz w:val="16"/>
          <w:szCs w:val="16"/>
          <w:lang w:val="es-CR"/>
        </w:rPr>
        <w:t xml:space="preserve">Considerando </w:t>
      </w:r>
      <w:r w:rsidR="00A83534">
        <w:rPr>
          <w:rFonts w:ascii="Verdana" w:hAnsi="Verdana" w:cs="Arial"/>
          <w:spacing w:val="-12"/>
          <w:sz w:val="16"/>
          <w:szCs w:val="16"/>
          <w:lang w:val="es-CR"/>
        </w:rPr>
        <w:t>segundo</w:t>
      </w:r>
      <w:r w:rsidR="00A83534">
        <w:rPr>
          <w:rFonts w:ascii="Verdana" w:hAnsi="Verdana"/>
          <w:bCs/>
          <w:i/>
          <w:color w:val="000000"/>
          <w:spacing w:val="-12"/>
          <w:sz w:val="16"/>
          <w:szCs w:val="16"/>
          <w:lang w:val="es-CR"/>
        </w:rPr>
        <w:t>.</w:t>
      </w:r>
    </w:p>
  </w:footnote>
  <w:footnote w:id="5">
    <w:p w:rsidR="001D19CE" w:rsidRPr="00BF6A98" w:rsidRDefault="001D19CE" w:rsidP="007C2B48">
      <w:pPr>
        <w:pStyle w:val="FootnoteText"/>
        <w:spacing w:before="120" w:after="120"/>
        <w:jc w:val="both"/>
        <w:rPr>
          <w:rFonts w:ascii="Verdana" w:hAnsi="Verdana"/>
          <w:spacing w:val="-12"/>
          <w:sz w:val="16"/>
          <w:szCs w:val="16"/>
          <w:lang w:val="es-CR"/>
        </w:rPr>
      </w:pPr>
      <w:r w:rsidRPr="00BF6A98">
        <w:rPr>
          <w:rStyle w:val="FootnoteReference"/>
          <w:rFonts w:ascii="Verdana" w:hAnsi="Verdana"/>
          <w:spacing w:val="-12"/>
          <w:sz w:val="16"/>
          <w:szCs w:val="16"/>
        </w:rPr>
        <w:footnoteRef/>
      </w:r>
      <w:r w:rsidRPr="00BF6A98">
        <w:rPr>
          <w:rFonts w:ascii="Verdana" w:hAnsi="Verdana"/>
          <w:spacing w:val="-12"/>
          <w:sz w:val="16"/>
          <w:szCs w:val="16"/>
          <w:lang w:val="es-CR"/>
        </w:rPr>
        <w:t xml:space="preserve"> </w:t>
      </w:r>
      <w:r>
        <w:rPr>
          <w:rFonts w:ascii="Verdana" w:hAnsi="Verdana"/>
          <w:spacing w:val="-12"/>
          <w:sz w:val="16"/>
          <w:szCs w:val="16"/>
          <w:lang w:val="es-CR"/>
        </w:rPr>
        <w:tab/>
      </w:r>
      <w:r w:rsidRPr="00BF6A98">
        <w:rPr>
          <w:rFonts w:ascii="Verdana" w:hAnsi="Verdana"/>
          <w:bCs/>
          <w:i/>
          <w:spacing w:val="-12"/>
          <w:sz w:val="16"/>
          <w:szCs w:val="16"/>
          <w:lang w:val="es-CR"/>
        </w:rPr>
        <w:t>Cfr. Caso Carpio Nicolle y otros Vs. Guatemala.</w:t>
      </w:r>
      <w:r w:rsidRPr="00BF6A98">
        <w:rPr>
          <w:rFonts w:ascii="Verdana" w:hAnsi="Verdana"/>
          <w:bCs/>
          <w:spacing w:val="-12"/>
          <w:sz w:val="16"/>
          <w:szCs w:val="16"/>
          <w:lang w:val="es-CR"/>
        </w:rPr>
        <w:t xml:space="preserve"> </w:t>
      </w:r>
      <w:r w:rsidRPr="00BF6A98">
        <w:rPr>
          <w:rFonts w:ascii="Verdana" w:hAnsi="Verdana"/>
          <w:bCs/>
          <w:i/>
          <w:spacing w:val="-12"/>
          <w:sz w:val="16"/>
          <w:szCs w:val="16"/>
          <w:lang w:val="es-CR"/>
        </w:rPr>
        <w:t xml:space="preserve">Medidas Provisionales. </w:t>
      </w:r>
      <w:r w:rsidRPr="00BF6A98">
        <w:rPr>
          <w:rFonts w:ascii="Verdana" w:hAnsi="Verdana"/>
          <w:bCs/>
          <w:spacing w:val="-12"/>
          <w:sz w:val="16"/>
          <w:szCs w:val="16"/>
          <w:lang w:val="es-CR"/>
        </w:rPr>
        <w:t xml:space="preserve">Resolución de la Corte Interamericana de Derechos Humanos de 6 de julio de 2009, Considerando décimo cuarto, y </w:t>
      </w:r>
      <w:r w:rsidR="00A83534" w:rsidRPr="00A83534">
        <w:rPr>
          <w:rFonts w:ascii="Verdana" w:hAnsi="Verdana"/>
          <w:bCs/>
          <w:i/>
          <w:spacing w:val="-12"/>
          <w:sz w:val="16"/>
          <w:szCs w:val="16"/>
          <w:lang w:val="es-CR"/>
        </w:rPr>
        <w:t xml:space="preserve">Caso Romero Feris Vs. Argentina. Solicitud de Medidas Provisionales. </w:t>
      </w:r>
      <w:r w:rsidR="00A83534" w:rsidRPr="00A83000">
        <w:rPr>
          <w:rFonts w:ascii="Verdana" w:hAnsi="Verdana"/>
          <w:bCs/>
          <w:spacing w:val="-12"/>
          <w:sz w:val="16"/>
          <w:szCs w:val="16"/>
          <w:lang w:val="es-CR"/>
        </w:rPr>
        <w:t>Resolución del Presidente de la Corte Interamericana de Derechos Humanos de 22 de agosto de 2018</w:t>
      </w:r>
      <w:r w:rsidRPr="00BF6A98">
        <w:rPr>
          <w:rFonts w:ascii="Verdana" w:hAnsi="Verdana"/>
          <w:bCs/>
          <w:spacing w:val="-12"/>
          <w:sz w:val="16"/>
          <w:szCs w:val="16"/>
          <w:lang w:val="es-CR"/>
        </w:rPr>
        <w:t xml:space="preserve">, Considerando </w:t>
      </w:r>
      <w:r w:rsidR="00A83534">
        <w:rPr>
          <w:rFonts w:ascii="Verdana" w:hAnsi="Verdana"/>
          <w:bCs/>
          <w:spacing w:val="-12"/>
          <w:sz w:val="16"/>
          <w:szCs w:val="16"/>
          <w:lang w:val="es-CR"/>
        </w:rPr>
        <w:t>segundo</w:t>
      </w:r>
      <w:r w:rsidRPr="00BF6A98">
        <w:rPr>
          <w:rFonts w:ascii="Verdana" w:hAnsi="Verdana"/>
          <w:bCs/>
          <w:spacing w:val="-12"/>
          <w:sz w:val="16"/>
          <w:szCs w:val="16"/>
          <w:lang w:val="es-CR"/>
        </w:rPr>
        <w:t>.</w:t>
      </w:r>
    </w:p>
  </w:footnote>
  <w:footnote w:id="6">
    <w:p w:rsidR="001D19CE" w:rsidRPr="00BF6A98" w:rsidRDefault="001D19CE" w:rsidP="007C2B48">
      <w:pPr>
        <w:pStyle w:val="FootnoteText"/>
        <w:spacing w:before="120" w:after="120"/>
        <w:jc w:val="both"/>
        <w:rPr>
          <w:rFonts w:ascii="Verdana" w:hAnsi="Verdana"/>
          <w:spacing w:val="-12"/>
          <w:sz w:val="16"/>
          <w:szCs w:val="16"/>
          <w:lang w:val="es-CR"/>
        </w:rPr>
      </w:pPr>
      <w:r w:rsidRPr="00BF6A98">
        <w:rPr>
          <w:rStyle w:val="FootnoteReference"/>
          <w:rFonts w:ascii="Verdana" w:hAnsi="Verdana"/>
          <w:spacing w:val="-12"/>
          <w:sz w:val="16"/>
          <w:szCs w:val="16"/>
        </w:rPr>
        <w:footnoteRef/>
      </w:r>
      <w:r w:rsidRPr="00BF6A98">
        <w:rPr>
          <w:rFonts w:ascii="Verdana" w:hAnsi="Verdana"/>
          <w:spacing w:val="-12"/>
          <w:sz w:val="16"/>
          <w:szCs w:val="16"/>
          <w:lang w:val="es-CR"/>
        </w:rPr>
        <w:t xml:space="preserve"> </w:t>
      </w:r>
      <w:r>
        <w:rPr>
          <w:rFonts w:ascii="Verdana" w:hAnsi="Verdana"/>
          <w:spacing w:val="-12"/>
          <w:sz w:val="16"/>
          <w:szCs w:val="16"/>
          <w:lang w:val="es-CR"/>
        </w:rPr>
        <w:tab/>
      </w:r>
      <w:r w:rsidRPr="00BF6A98">
        <w:rPr>
          <w:rFonts w:ascii="Verdana" w:hAnsi="Verdana"/>
          <w:bCs/>
          <w:i/>
          <w:spacing w:val="-12"/>
          <w:sz w:val="16"/>
          <w:szCs w:val="16"/>
          <w:lang w:val="es-CR"/>
        </w:rPr>
        <w:t>Cfr. Asunto James y otros respecto de Trinidad y Tobago</w:t>
      </w:r>
      <w:r w:rsidRPr="00BF6A98">
        <w:rPr>
          <w:rFonts w:ascii="Verdana" w:hAnsi="Verdana"/>
          <w:bCs/>
          <w:spacing w:val="-12"/>
          <w:sz w:val="16"/>
          <w:szCs w:val="16"/>
          <w:lang w:val="es-CR"/>
        </w:rPr>
        <w:t xml:space="preserve">. </w:t>
      </w:r>
      <w:r w:rsidRPr="00BF6A98">
        <w:rPr>
          <w:rFonts w:ascii="Verdana" w:hAnsi="Verdana"/>
          <w:bCs/>
          <w:i/>
          <w:spacing w:val="-12"/>
          <w:sz w:val="16"/>
          <w:szCs w:val="16"/>
          <w:lang w:val="es-CR"/>
        </w:rPr>
        <w:t xml:space="preserve">Medidas Provisionales. </w:t>
      </w:r>
      <w:r w:rsidRPr="00BF6A98">
        <w:rPr>
          <w:rFonts w:ascii="Verdana" w:hAnsi="Verdana"/>
          <w:bCs/>
          <w:spacing w:val="-12"/>
          <w:sz w:val="16"/>
          <w:szCs w:val="16"/>
          <w:lang w:val="es-CR"/>
        </w:rPr>
        <w:t>Resolución de la Corte Interamericana de Derechos Humanos de 29 de agosto de 1998, Considerando sexto, y</w:t>
      </w:r>
      <w:r w:rsidRPr="00BF6A98">
        <w:rPr>
          <w:rFonts w:ascii="Verdana" w:hAnsi="Verdana"/>
          <w:spacing w:val="-12"/>
          <w:sz w:val="16"/>
          <w:szCs w:val="16"/>
          <w:lang w:val="es-ES"/>
        </w:rPr>
        <w:t xml:space="preserve"> </w:t>
      </w:r>
      <w:r w:rsidR="00A83534" w:rsidRPr="00A83534">
        <w:rPr>
          <w:rFonts w:ascii="Verdana" w:hAnsi="Verdana"/>
          <w:bCs/>
          <w:i/>
          <w:spacing w:val="-12"/>
          <w:sz w:val="16"/>
          <w:szCs w:val="16"/>
          <w:lang w:val="es-CR"/>
        </w:rPr>
        <w:t xml:space="preserve">Caso Romero Feris Vs. Argentina. Solicitud de Medidas Provisionales. </w:t>
      </w:r>
      <w:r w:rsidR="00A83534" w:rsidRPr="009E72E5">
        <w:rPr>
          <w:rFonts w:ascii="Verdana" w:hAnsi="Verdana"/>
          <w:bCs/>
          <w:spacing w:val="-12"/>
          <w:sz w:val="16"/>
          <w:szCs w:val="16"/>
          <w:lang w:val="es-CR"/>
        </w:rPr>
        <w:t>Resolución del Presidente de la Corte Interamericana de Derechos Humanos de 22 de agosto de 2018</w:t>
      </w:r>
      <w:r w:rsidR="00A83534" w:rsidRPr="00BF6A98">
        <w:rPr>
          <w:rFonts w:ascii="Verdana" w:hAnsi="Verdana"/>
          <w:bCs/>
          <w:spacing w:val="-12"/>
          <w:sz w:val="16"/>
          <w:szCs w:val="16"/>
          <w:lang w:val="es-CR"/>
        </w:rPr>
        <w:t xml:space="preserve">, Considerando </w:t>
      </w:r>
      <w:r w:rsidR="00A83534">
        <w:rPr>
          <w:rFonts w:ascii="Verdana" w:hAnsi="Verdana"/>
          <w:bCs/>
          <w:spacing w:val="-12"/>
          <w:sz w:val="16"/>
          <w:szCs w:val="16"/>
          <w:lang w:val="es-CR"/>
        </w:rPr>
        <w:t>segundo.</w:t>
      </w:r>
    </w:p>
  </w:footnote>
  <w:footnote w:id="7">
    <w:p w:rsidR="001D19CE" w:rsidRPr="00BF6A98" w:rsidRDefault="001D19CE" w:rsidP="007C2B48">
      <w:pPr>
        <w:pStyle w:val="FootnoteText"/>
        <w:spacing w:before="120" w:after="120"/>
        <w:jc w:val="both"/>
        <w:rPr>
          <w:rFonts w:ascii="Verdana" w:hAnsi="Verdana"/>
          <w:spacing w:val="-12"/>
          <w:sz w:val="16"/>
          <w:szCs w:val="16"/>
          <w:lang w:val="es-CR"/>
        </w:rPr>
      </w:pPr>
      <w:r w:rsidRPr="00BF6A98">
        <w:rPr>
          <w:rStyle w:val="FootnoteReference"/>
          <w:rFonts w:ascii="Verdana" w:hAnsi="Verdana"/>
          <w:spacing w:val="-12"/>
          <w:sz w:val="16"/>
          <w:szCs w:val="16"/>
        </w:rPr>
        <w:footnoteRef/>
      </w:r>
      <w:r w:rsidRPr="00BF6A98">
        <w:rPr>
          <w:rFonts w:ascii="Verdana" w:hAnsi="Verdana"/>
          <w:spacing w:val="-12"/>
          <w:sz w:val="16"/>
          <w:szCs w:val="16"/>
          <w:lang w:val="es-CR"/>
        </w:rPr>
        <w:t xml:space="preserve"> </w:t>
      </w:r>
      <w:r>
        <w:rPr>
          <w:rFonts w:ascii="Verdana" w:hAnsi="Verdana"/>
          <w:spacing w:val="-12"/>
          <w:sz w:val="16"/>
          <w:szCs w:val="16"/>
          <w:lang w:val="es-CR"/>
        </w:rPr>
        <w:tab/>
      </w:r>
      <w:r w:rsidRPr="00BF6A98">
        <w:rPr>
          <w:rFonts w:ascii="Verdana" w:hAnsi="Verdana"/>
          <w:bCs/>
          <w:i/>
          <w:spacing w:val="-12"/>
          <w:sz w:val="16"/>
          <w:szCs w:val="16"/>
          <w:lang w:val="es-CR"/>
        </w:rPr>
        <w:t>Cfr. Asuntos Internado Judicial de Monagas (“La Pica”); Centro Penitenciario Región Capital Yare I y Yare II (Cárcel de Yare); Centro Penitenciario de la Región Centro Occidental (Cárcel de Uribana), e Internado Judicial Capital El Rodeo I y el Rodeo II respecto de Venezuela</w:t>
      </w:r>
      <w:r w:rsidRPr="00BF6A98">
        <w:rPr>
          <w:rFonts w:ascii="Verdana" w:hAnsi="Verdana"/>
          <w:bCs/>
          <w:spacing w:val="-12"/>
          <w:sz w:val="16"/>
          <w:szCs w:val="16"/>
          <w:lang w:val="es-CR"/>
        </w:rPr>
        <w:t xml:space="preserve">. </w:t>
      </w:r>
      <w:r w:rsidRPr="00BF6A98">
        <w:rPr>
          <w:rFonts w:ascii="Verdana" w:hAnsi="Verdana"/>
          <w:bCs/>
          <w:i/>
          <w:spacing w:val="-12"/>
          <w:sz w:val="16"/>
          <w:szCs w:val="16"/>
          <w:lang w:val="es-CR"/>
        </w:rPr>
        <w:t xml:space="preserve">Medidas Provisionales. </w:t>
      </w:r>
      <w:r w:rsidRPr="00BF6A98">
        <w:rPr>
          <w:rFonts w:ascii="Verdana" w:hAnsi="Verdana"/>
          <w:bCs/>
          <w:spacing w:val="-12"/>
          <w:sz w:val="16"/>
          <w:szCs w:val="16"/>
          <w:lang w:val="es-CR"/>
        </w:rPr>
        <w:t xml:space="preserve">Resolución de la Corte Interamericana de Derechos Humanos de 24 de noviembre de 2009, Considerando tercero, y </w:t>
      </w:r>
      <w:r w:rsidR="00A83534" w:rsidRPr="00A83534">
        <w:rPr>
          <w:rFonts w:ascii="Verdana" w:hAnsi="Verdana"/>
          <w:bCs/>
          <w:i/>
          <w:spacing w:val="-12"/>
          <w:sz w:val="16"/>
          <w:szCs w:val="16"/>
          <w:lang w:val="es-CR"/>
        </w:rPr>
        <w:t xml:space="preserve">Caso Romero Feris Vs. Argentina. Solicitud de Medidas Provisionales. </w:t>
      </w:r>
      <w:r w:rsidR="00A83534" w:rsidRPr="009E72E5">
        <w:rPr>
          <w:rFonts w:ascii="Verdana" w:hAnsi="Verdana"/>
          <w:bCs/>
          <w:spacing w:val="-12"/>
          <w:sz w:val="16"/>
          <w:szCs w:val="16"/>
          <w:lang w:val="es-CR"/>
        </w:rPr>
        <w:t>Resolución del Presidente de la Corte Interamericana de Derechos Humanos de 22 de agosto de 2018</w:t>
      </w:r>
      <w:r w:rsidR="00A83534" w:rsidRPr="00BF6A98">
        <w:rPr>
          <w:rFonts w:ascii="Verdana" w:hAnsi="Verdana"/>
          <w:bCs/>
          <w:spacing w:val="-12"/>
          <w:sz w:val="16"/>
          <w:szCs w:val="16"/>
          <w:lang w:val="es-CR"/>
        </w:rPr>
        <w:t xml:space="preserve">, Considerando </w:t>
      </w:r>
      <w:r w:rsidR="00A83534">
        <w:rPr>
          <w:rFonts w:ascii="Verdana" w:hAnsi="Verdana"/>
          <w:bCs/>
          <w:spacing w:val="-12"/>
          <w:sz w:val="16"/>
          <w:szCs w:val="16"/>
          <w:lang w:val="es-CR"/>
        </w:rPr>
        <w:t>tercero.</w:t>
      </w:r>
    </w:p>
  </w:footnote>
  <w:footnote w:id="8">
    <w:p w:rsidR="001D19CE" w:rsidRPr="00181081" w:rsidRDefault="001D19CE" w:rsidP="007C2B48">
      <w:pPr>
        <w:pStyle w:val="FootnoteText"/>
        <w:spacing w:before="120" w:after="120"/>
        <w:jc w:val="both"/>
        <w:rPr>
          <w:lang w:val="es-CR"/>
        </w:rPr>
      </w:pPr>
      <w:r w:rsidRPr="002B18E1">
        <w:rPr>
          <w:rStyle w:val="FootnoteReference"/>
          <w:rFonts w:ascii="Verdana" w:hAnsi="Verdana"/>
          <w:sz w:val="16"/>
          <w:szCs w:val="16"/>
        </w:rPr>
        <w:footnoteRef/>
      </w:r>
      <w:r w:rsidRPr="002B18E1">
        <w:rPr>
          <w:rFonts w:ascii="Verdana" w:hAnsi="Verdana"/>
          <w:sz w:val="16"/>
          <w:szCs w:val="16"/>
          <w:lang w:val="es-CR"/>
        </w:rPr>
        <w:t xml:space="preserve"> </w:t>
      </w:r>
      <w:r w:rsidRPr="002B18E1">
        <w:rPr>
          <w:rFonts w:ascii="Verdana" w:hAnsi="Verdana"/>
          <w:bCs/>
          <w:spacing w:val="-12"/>
          <w:sz w:val="16"/>
          <w:szCs w:val="16"/>
          <w:lang w:val="es-CR"/>
        </w:rPr>
        <w:tab/>
      </w:r>
      <w:r>
        <w:rPr>
          <w:rFonts w:ascii="Verdana" w:hAnsi="Verdana"/>
          <w:bCs/>
          <w:spacing w:val="-12"/>
          <w:sz w:val="16"/>
          <w:szCs w:val="16"/>
          <w:lang w:val="es-CR"/>
        </w:rPr>
        <w:t>Según el Informe de Fondo, e</w:t>
      </w:r>
      <w:r w:rsidRPr="002B18E1">
        <w:rPr>
          <w:rFonts w:ascii="Verdana" w:hAnsi="Verdana"/>
          <w:bCs/>
          <w:spacing w:val="-12"/>
          <w:sz w:val="16"/>
          <w:szCs w:val="16"/>
          <w:lang w:val="es-CR"/>
        </w:rPr>
        <w:t xml:space="preserve">l 9 de diciembre de 2013, la Sala Disciplinaria de la PGN profirió fallo de única instancia contra Gustavo Petro Urrego, </w:t>
      </w:r>
      <w:r w:rsidR="00454715">
        <w:rPr>
          <w:rFonts w:ascii="Verdana" w:hAnsi="Verdana"/>
          <w:bCs/>
          <w:spacing w:val="-12"/>
          <w:sz w:val="16"/>
          <w:szCs w:val="16"/>
          <w:lang w:val="es-CR"/>
        </w:rPr>
        <w:t xml:space="preserve">mediante el </w:t>
      </w:r>
      <w:r w:rsidRPr="002B18E1">
        <w:rPr>
          <w:rFonts w:ascii="Verdana" w:hAnsi="Verdana"/>
          <w:bCs/>
          <w:spacing w:val="-12"/>
          <w:sz w:val="16"/>
          <w:szCs w:val="16"/>
          <w:lang w:val="es-CR"/>
        </w:rPr>
        <w:t>cual declaró probados los tres cargos formulados y resolvió destituir al alcalde e inhabilitarlo para el ejercicio de cargos públicos por un término de 15 años. El 18 de marzo de 2014 la Comisión IDH otorgó medidas cautelares a favor de la presunta víctima y solicitó al Estado “que suspenda inmediatamente los efectos de la decisión</w:t>
      </w:r>
      <w:r w:rsidR="00454715">
        <w:rPr>
          <w:rFonts w:ascii="Verdana" w:hAnsi="Verdana"/>
          <w:bCs/>
          <w:spacing w:val="-12"/>
          <w:sz w:val="16"/>
          <w:szCs w:val="16"/>
          <w:lang w:val="es-CR"/>
        </w:rPr>
        <w:t>”</w:t>
      </w:r>
      <w:r w:rsidRPr="002B18E1">
        <w:rPr>
          <w:rFonts w:ascii="Verdana" w:hAnsi="Verdana"/>
          <w:bCs/>
          <w:spacing w:val="-12"/>
          <w:sz w:val="16"/>
          <w:szCs w:val="16"/>
          <w:lang w:val="es-CR"/>
        </w:rPr>
        <w:t xml:space="preserve">. Luego de </w:t>
      </w:r>
      <w:r w:rsidR="00454715">
        <w:rPr>
          <w:rFonts w:ascii="Verdana" w:hAnsi="Verdana"/>
          <w:bCs/>
          <w:spacing w:val="-12"/>
          <w:sz w:val="16"/>
          <w:szCs w:val="16"/>
          <w:lang w:val="es-CR"/>
        </w:rPr>
        <w:t xml:space="preserve">presentada </w:t>
      </w:r>
      <w:r w:rsidRPr="002B18E1">
        <w:rPr>
          <w:rFonts w:ascii="Verdana" w:hAnsi="Verdana"/>
          <w:bCs/>
          <w:spacing w:val="-12"/>
          <w:sz w:val="16"/>
          <w:szCs w:val="16"/>
          <w:lang w:val="es-CR"/>
        </w:rPr>
        <w:t>una demanda de nulidad y restablecimiento del derecho ante el Tribunal Administrativo de Cundinamarca, el 13 de mayo de 2014 la Sala de lo Contencioso Administrativo del Consejo de Estado decretó la suspensión provisional de la decisión de la Procuraduría y de los efectos jurídicos de los actos administrativos emitidos por dicho órgano de control. En virtud de dicha medida, el señor Petro</w:t>
      </w:r>
      <w:r w:rsidR="00454715">
        <w:rPr>
          <w:rFonts w:ascii="Verdana" w:hAnsi="Verdana"/>
          <w:bCs/>
          <w:spacing w:val="-12"/>
          <w:sz w:val="16"/>
          <w:szCs w:val="16"/>
          <w:lang w:val="es-CR"/>
        </w:rPr>
        <w:t xml:space="preserve"> Urrego</w:t>
      </w:r>
      <w:r w:rsidRPr="002B18E1">
        <w:rPr>
          <w:rFonts w:ascii="Verdana" w:hAnsi="Verdana"/>
          <w:bCs/>
          <w:spacing w:val="-12"/>
          <w:sz w:val="16"/>
          <w:szCs w:val="16"/>
          <w:lang w:val="es-CR"/>
        </w:rPr>
        <w:t xml:space="preserve"> fue reintegrado a su cargo como Alcalde Mayor de Bogotá.</w:t>
      </w:r>
    </w:p>
  </w:footnote>
  <w:footnote w:id="9">
    <w:p w:rsidR="001D19CE" w:rsidRPr="007C2B48" w:rsidRDefault="001D19CE" w:rsidP="007C2B48">
      <w:pPr>
        <w:pStyle w:val="FootnoteText"/>
        <w:spacing w:before="120" w:after="120"/>
        <w:jc w:val="both"/>
        <w:rPr>
          <w:rFonts w:ascii="Verdana" w:hAnsi="Verdana"/>
          <w:sz w:val="16"/>
          <w:szCs w:val="16"/>
          <w:lang w:val="es-CR"/>
        </w:rPr>
      </w:pPr>
      <w:r w:rsidRPr="007C2B48">
        <w:rPr>
          <w:rStyle w:val="FootnoteReference"/>
          <w:rFonts w:ascii="Verdana" w:hAnsi="Verdana"/>
          <w:sz w:val="16"/>
          <w:szCs w:val="16"/>
        </w:rPr>
        <w:footnoteRef/>
      </w:r>
      <w:r w:rsidRPr="007C2B48">
        <w:rPr>
          <w:rFonts w:ascii="Verdana" w:hAnsi="Verdana"/>
          <w:sz w:val="16"/>
          <w:szCs w:val="16"/>
          <w:lang w:val="es-CR"/>
        </w:rPr>
        <w:t xml:space="preserve"> </w:t>
      </w:r>
      <w:r w:rsidRPr="007C2B48">
        <w:rPr>
          <w:rFonts w:ascii="Verdana" w:hAnsi="Verdana"/>
          <w:bCs/>
          <w:spacing w:val="-12"/>
          <w:sz w:val="16"/>
          <w:szCs w:val="16"/>
          <w:lang w:val="es-CR"/>
        </w:rPr>
        <w:tab/>
      </w:r>
      <w:r w:rsidR="003E3B49">
        <w:rPr>
          <w:rFonts w:ascii="Verdana" w:hAnsi="Verdana"/>
          <w:bCs/>
          <w:spacing w:val="-12"/>
          <w:sz w:val="16"/>
          <w:szCs w:val="16"/>
          <w:lang w:val="es-CR"/>
        </w:rPr>
        <w:t>M</w:t>
      </w:r>
      <w:r w:rsidR="00A83534">
        <w:rPr>
          <w:rFonts w:ascii="Verdana" w:hAnsi="Verdana"/>
          <w:bCs/>
          <w:spacing w:val="-12"/>
          <w:sz w:val="16"/>
          <w:szCs w:val="16"/>
          <w:lang w:val="es-CR"/>
        </w:rPr>
        <w:t xml:space="preserve">ediante </w:t>
      </w:r>
      <w:r w:rsidR="003E3B49">
        <w:rPr>
          <w:rFonts w:ascii="Verdana" w:hAnsi="Verdana"/>
          <w:bCs/>
          <w:spacing w:val="-12"/>
          <w:sz w:val="16"/>
          <w:szCs w:val="16"/>
          <w:lang w:val="es-CR"/>
        </w:rPr>
        <w:t>a</w:t>
      </w:r>
      <w:r w:rsidR="00A83534">
        <w:rPr>
          <w:rFonts w:ascii="Verdana" w:hAnsi="Verdana"/>
          <w:bCs/>
          <w:spacing w:val="-12"/>
          <w:sz w:val="16"/>
          <w:szCs w:val="16"/>
          <w:lang w:val="es-CR"/>
        </w:rPr>
        <w:t>uto de</w:t>
      </w:r>
      <w:r w:rsidRPr="007C2B48">
        <w:rPr>
          <w:rFonts w:ascii="Verdana" w:hAnsi="Verdana"/>
          <w:bCs/>
          <w:spacing w:val="-12"/>
          <w:sz w:val="16"/>
          <w:szCs w:val="16"/>
          <w:lang w:val="es-CR"/>
        </w:rPr>
        <w:t xml:space="preserve"> 27 de junio de 2016</w:t>
      </w:r>
      <w:r w:rsidR="00A83534">
        <w:rPr>
          <w:rFonts w:ascii="Verdana" w:hAnsi="Verdana"/>
          <w:bCs/>
          <w:spacing w:val="-12"/>
          <w:sz w:val="16"/>
          <w:szCs w:val="16"/>
          <w:lang w:val="es-CR"/>
        </w:rPr>
        <w:t>,</w:t>
      </w:r>
      <w:r w:rsidRPr="007C2B48">
        <w:rPr>
          <w:rFonts w:ascii="Verdana" w:hAnsi="Verdana"/>
          <w:bCs/>
          <w:spacing w:val="-12"/>
          <w:sz w:val="16"/>
          <w:szCs w:val="16"/>
          <w:lang w:val="es-CR"/>
        </w:rPr>
        <w:t xml:space="preserve"> la Directora de Responsabilidad Fiscal y Jurisdicción Coactiva de la Contraloría de Bogotá D.C </w:t>
      </w:r>
      <w:r w:rsidR="002E1DD4">
        <w:rPr>
          <w:rFonts w:ascii="Verdana" w:hAnsi="Verdana"/>
          <w:bCs/>
          <w:spacing w:val="-12"/>
          <w:sz w:val="16"/>
          <w:szCs w:val="16"/>
          <w:lang w:val="es-CR"/>
        </w:rPr>
        <w:t>habría declarado,</w:t>
      </w:r>
      <w:r w:rsidR="00A83534">
        <w:rPr>
          <w:rFonts w:ascii="Verdana" w:hAnsi="Verdana"/>
          <w:bCs/>
          <w:spacing w:val="-12"/>
          <w:sz w:val="16"/>
          <w:szCs w:val="16"/>
          <w:lang w:val="es-CR"/>
        </w:rPr>
        <w:t xml:space="preserve"> entre otros,</w:t>
      </w:r>
      <w:r w:rsidRPr="007C2B48">
        <w:rPr>
          <w:rFonts w:ascii="Verdana" w:hAnsi="Verdana"/>
          <w:bCs/>
          <w:spacing w:val="-12"/>
          <w:sz w:val="16"/>
          <w:szCs w:val="16"/>
          <w:lang w:val="es-CR"/>
        </w:rPr>
        <w:t xml:space="preserve"> la responsabilidad fiscal de Gustavo Petro </w:t>
      </w:r>
      <w:r w:rsidR="00454715">
        <w:rPr>
          <w:rFonts w:ascii="Verdana" w:hAnsi="Verdana"/>
          <w:bCs/>
          <w:spacing w:val="-12"/>
          <w:sz w:val="16"/>
          <w:szCs w:val="16"/>
          <w:lang w:val="es-CR"/>
        </w:rPr>
        <w:t xml:space="preserve">Urrego </w:t>
      </w:r>
      <w:r w:rsidRPr="007C2B48">
        <w:rPr>
          <w:rFonts w:ascii="Verdana" w:hAnsi="Verdana"/>
          <w:bCs/>
          <w:spacing w:val="-12"/>
          <w:sz w:val="16"/>
          <w:szCs w:val="16"/>
          <w:lang w:val="es-CR"/>
        </w:rPr>
        <w:t>en relación con las tarifas</w:t>
      </w:r>
      <w:r w:rsidR="00454715">
        <w:rPr>
          <w:rFonts w:ascii="Verdana" w:hAnsi="Verdana"/>
          <w:bCs/>
          <w:spacing w:val="-12"/>
          <w:sz w:val="16"/>
          <w:szCs w:val="16"/>
          <w:lang w:val="es-CR"/>
        </w:rPr>
        <w:t xml:space="preserve"> de Transmilenio</w:t>
      </w:r>
      <w:r w:rsidR="00325907">
        <w:rPr>
          <w:rFonts w:ascii="Verdana" w:hAnsi="Verdana"/>
          <w:bCs/>
          <w:spacing w:val="-12"/>
          <w:sz w:val="16"/>
          <w:szCs w:val="16"/>
          <w:lang w:val="es-CR"/>
        </w:rPr>
        <w:t xml:space="preserve"> S. A</w:t>
      </w:r>
      <w:r w:rsidRPr="007C2B48">
        <w:rPr>
          <w:rFonts w:ascii="Verdana" w:hAnsi="Verdana"/>
          <w:bCs/>
          <w:spacing w:val="-12"/>
          <w:sz w:val="16"/>
          <w:szCs w:val="16"/>
          <w:lang w:val="es-CR"/>
        </w:rPr>
        <w:t xml:space="preserve">. El 31 de marzo de 2017 </w:t>
      </w:r>
      <w:r w:rsidR="00454715">
        <w:rPr>
          <w:rFonts w:ascii="Verdana" w:hAnsi="Verdana"/>
          <w:bCs/>
          <w:spacing w:val="-12"/>
          <w:sz w:val="16"/>
          <w:szCs w:val="16"/>
          <w:lang w:val="es-CR"/>
        </w:rPr>
        <w:t xml:space="preserve">el señor </w:t>
      </w:r>
      <w:r w:rsidRPr="007C2B48">
        <w:rPr>
          <w:rFonts w:ascii="Verdana" w:hAnsi="Verdana"/>
          <w:bCs/>
          <w:spacing w:val="-12"/>
          <w:sz w:val="16"/>
          <w:szCs w:val="16"/>
          <w:lang w:val="es-CR"/>
        </w:rPr>
        <w:t xml:space="preserve">Petro </w:t>
      </w:r>
      <w:r w:rsidR="00454715">
        <w:rPr>
          <w:rFonts w:ascii="Verdana" w:hAnsi="Verdana"/>
          <w:bCs/>
          <w:spacing w:val="-12"/>
          <w:sz w:val="16"/>
          <w:szCs w:val="16"/>
          <w:lang w:val="es-CR"/>
        </w:rPr>
        <w:t>Urrego presentó</w:t>
      </w:r>
      <w:r w:rsidRPr="007C2B48">
        <w:rPr>
          <w:rFonts w:ascii="Verdana" w:hAnsi="Verdana"/>
          <w:bCs/>
          <w:spacing w:val="-12"/>
          <w:sz w:val="16"/>
          <w:szCs w:val="16"/>
          <w:lang w:val="es-CR"/>
        </w:rPr>
        <w:t xml:space="preserve"> una acción judicial de nulidad y restablecimiento del derecho ante el Tribunal Administrativo de Cundinamarca. </w:t>
      </w:r>
      <w:r w:rsidR="00A83534">
        <w:rPr>
          <w:rFonts w:ascii="Verdana" w:hAnsi="Verdana"/>
          <w:bCs/>
          <w:spacing w:val="-12"/>
          <w:sz w:val="16"/>
          <w:szCs w:val="16"/>
          <w:lang w:val="es-CR"/>
        </w:rPr>
        <w:t>E</w:t>
      </w:r>
      <w:r w:rsidRPr="007C2B48">
        <w:rPr>
          <w:rFonts w:ascii="Verdana" w:hAnsi="Verdana"/>
          <w:bCs/>
          <w:spacing w:val="-12"/>
          <w:sz w:val="16"/>
          <w:szCs w:val="16"/>
          <w:lang w:val="es-CR"/>
        </w:rPr>
        <w:t>l 3 de noviembre de 2017, la sección primera, subsección B del Tribunal Administrativo de Cundinamarca, otorgó medidas cautelares suspendiendo los efectos de la sanción interpuesta por la Contraloría mientras realizaba el análisis de fondo correspondiente.</w:t>
      </w:r>
    </w:p>
  </w:footnote>
  <w:footnote w:id="10">
    <w:p w:rsidR="001D19CE" w:rsidRPr="008A0B4C" w:rsidRDefault="001D19CE" w:rsidP="007C2B48">
      <w:pPr>
        <w:pStyle w:val="FootnoteText"/>
        <w:spacing w:before="120" w:after="120"/>
        <w:jc w:val="both"/>
        <w:rPr>
          <w:lang w:val="es-CR"/>
        </w:rPr>
      </w:pPr>
      <w:r w:rsidRPr="007C2B48">
        <w:rPr>
          <w:rStyle w:val="FootnoteReference"/>
          <w:rFonts w:ascii="Verdana" w:hAnsi="Verdana"/>
          <w:sz w:val="16"/>
          <w:szCs w:val="16"/>
        </w:rPr>
        <w:footnoteRef/>
      </w:r>
      <w:r w:rsidRPr="007C2B48">
        <w:rPr>
          <w:rFonts w:ascii="Verdana" w:hAnsi="Verdana"/>
          <w:sz w:val="16"/>
          <w:szCs w:val="16"/>
          <w:lang w:val="es-CR"/>
        </w:rPr>
        <w:t xml:space="preserve"> </w:t>
      </w:r>
      <w:r w:rsidRPr="007C2B48">
        <w:rPr>
          <w:rFonts w:ascii="Verdana" w:hAnsi="Verdana"/>
          <w:bCs/>
          <w:spacing w:val="-12"/>
          <w:sz w:val="16"/>
          <w:szCs w:val="16"/>
          <w:lang w:val="es-CR"/>
        </w:rPr>
        <w:tab/>
        <w:t>En 2014 la Superintendencia de Industria y Comercio (SIC) impuso una multa al señor Petro Urrego por un monto de $ 410.256.000.00 pesos así como multas a otras personas individuales, y a la Empresa de Acueducto, Alcantarillado y Aseo de Bogotá (EAB), Unidad Administrativa Especial de Servicios Públicos (UAESP) y Aguas de Bogotá, por “prácticas comerciales restrictivas de la libre competencia en el mercado de prestación del servicio de aseo en Bogotá”.</w:t>
      </w:r>
    </w:p>
  </w:footnote>
  <w:footnote w:id="11">
    <w:p w:rsidR="001D19CE" w:rsidRPr="00E76C4B" w:rsidRDefault="001D19CE" w:rsidP="007C2B48">
      <w:pPr>
        <w:pStyle w:val="FootnoteText"/>
        <w:spacing w:before="120" w:after="120"/>
        <w:jc w:val="both"/>
        <w:rPr>
          <w:rFonts w:ascii="Verdana" w:hAnsi="Verdana"/>
          <w:bCs/>
          <w:spacing w:val="-12"/>
          <w:sz w:val="16"/>
          <w:szCs w:val="16"/>
          <w:lang w:val="es-CR"/>
        </w:rPr>
      </w:pPr>
      <w:r w:rsidRPr="00E76C4B">
        <w:rPr>
          <w:rStyle w:val="FootnoteReference"/>
          <w:rFonts w:ascii="Verdana" w:hAnsi="Verdana"/>
          <w:sz w:val="16"/>
          <w:szCs w:val="16"/>
        </w:rPr>
        <w:footnoteRef/>
      </w:r>
      <w:r w:rsidRPr="00E76C4B">
        <w:rPr>
          <w:rFonts w:ascii="Verdana" w:hAnsi="Verdana"/>
          <w:sz w:val="16"/>
          <w:szCs w:val="16"/>
          <w:lang w:val="es-CR"/>
        </w:rPr>
        <w:t xml:space="preserve"> </w:t>
      </w:r>
      <w:r w:rsidRPr="00E76C4B">
        <w:rPr>
          <w:rFonts w:ascii="Verdana" w:hAnsi="Verdana"/>
          <w:spacing w:val="-12"/>
          <w:sz w:val="16"/>
          <w:szCs w:val="16"/>
          <w:lang w:val="es-CR"/>
        </w:rPr>
        <w:tab/>
      </w:r>
      <w:r w:rsidRPr="00E76C4B">
        <w:rPr>
          <w:rFonts w:ascii="Verdana" w:hAnsi="Verdana"/>
          <w:bCs/>
          <w:spacing w:val="-12"/>
          <w:sz w:val="16"/>
          <w:szCs w:val="16"/>
          <w:lang w:val="es-CR"/>
        </w:rPr>
        <w:t>Señaló que, a través de la acción de nulidad y restablecimiento del derecho, la jurisdicción contencioso-administrativa ejerce control judicial sobre los actos administrativos que puedan afectar derechos de los particulares. Esto incluye tanto fallos de responsabilidad fiscal expedidos por la Contraloría General de la República en contra de funcionarios públicos, como actos de juzgamiento disciplinario de la Procuraduría General de la Nación. El Estado anotó que la jurisdicción contencioso-administrativa ejerce un control judicial pleno e integral sobre los actos administrativos, que abarca la legalidad, constitucionalidad y convencionalidad de los mismos</w:t>
      </w:r>
      <w:r>
        <w:rPr>
          <w:rFonts w:ascii="Verdana" w:hAnsi="Verdana"/>
          <w:bCs/>
          <w:spacing w:val="-12"/>
          <w:sz w:val="16"/>
          <w:szCs w:val="16"/>
          <w:lang w:val="es-CR"/>
        </w:rPr>
        <w:t>.</w:t>
      </w:r>
    </w:p>
  </w:footnote>
  <w:footnote w:id="12">
    <w:p w:rsidR="001D19CE" w:rsidRPr="007B5BF3" w:rsidRDefault="001D19CE" w:rsidP="007C2B48">
      <w:pPr>
        <w:pStyle w:val="FootnoteText"/>
        <w:spacing w:before="120" w:after="120"/>
        <w:jc w:val="both"/>
        <w:rPr>
          <w:lang w:val="es-CR"/>
        </w:rPr>
      </w:pPr>
      <w:r>
        <w:rPr>
          <w:rStyle w:val="FootnoteReference"/>
        </w:rPr>
        <w:footnoteRef/>
      </w:r>
      <w:r w:rsidRPr="00457CF1">
        <w:rPr>
          <w:lang w:val="es-CR"/>
        </w:rPr>
        <w:t xml:space="preserve"> </w:t>
      </w:r>
      <w:r w:rsidRPr="007B5BF3">
        <w:rPr>
          <w:rFonts w:ascii="Verdana" w:hAnsi="Verdana"/>
          <w:spacing w:val="-12"/>
          <w:sz w:val="16"/>
          <w:szCs w:val="16"/>
          <w:lang w:val="es-CR"/>
        </w:rPr>
        <w:tab/>
        <w:t>“El que sea elegido para un cargo de elección popular estando inhabilitado para desempeñarlo por decisión judicial, disciplinaria o fiscal incurrirá en prisión de cuatro (4) a nueve (9) años y multa de doscientos (200) a ochocientos (800) salarios mínimos legales mensuales vigentes”</w:t>
      </w:r>
      <w:r>
        <w:rPr>
          <w:rFonts w:ascii="Verdana" w:hAnsi="Verdana"/>
          <w:spacing w:val="-12"/>
          <w:sz w:val="16"/>
          <w:szCs w:val="16"/>
          <w:lang w:val="es-CR"/>
        </w:rPr>
        <w:t>.</w:t>
      </w:r>
    </w:p>
  </w:footnote>
  <w:footnote w:id="13">
    <w:p w:rsidR="001D19CE" w:rsidRPr="007B5BF3" w:rsidRDefault="001D19CE" w:rsidP="007C2B48">
      <w:pPr>
        <w:pStyle w:val="FootnoteText"/>
        <w:spacing w:before="120" w:after="120"/>
        <w:jc w:val="both"/>
        <w:rPr>
          <w:lang w:val="es-CR"/>
        </w:rPr>
      </w:pPr>
      <w:r>
        <w:rPr>
          <w:rStyle w:val="FootnoteReference"/>
        </w:rPr>
        <w:footnoteRef/>
      </w:r>
      <w:r w:rsidRPr="00457CF1">
        <w:rPr>
          <w:lang w:val="es-CR"/>
        </w:rPr>
        <w:t xml:space="preserve"> </w:t>
      </w:r>
      <w:r w:rsidRPr="007B5BF3">
        <w:rPr>
          <w:rFonts w:ascii="Verdana" w:hAnsi="Verdana"/>
          <w:spacing w:val="-12"/>
          <w:sz w:val="16"/>
          <w:szCs w:val="16"/>
          <w:lang w:val="es-CR"/>
        </w:rPr>
        <w:tab/>
        <w:t>“[l]os candidatos que sigan en votos a quienes la autoridad electoral declare elegidos Presidente y Vicepresidente de la República, tendrán el derecho personal a ocupar, en su orden, una curul en el Senado de la República y otra en la Cámara de Representantes”.</w:t>
      </w:r>
    </w:p>
  </w:footnote>
  <w:footnote w:id="14">
    <w:p w:rsidR="0048043B" w:rsidRPr="00B21DDC" w:rsidRDefault="0048043B" w:rsidP="00B21DDC">
      <w:pPr>
        <w:pStyle w:val="FootnoteText"/>
        <w:jc w:val="both"/>
        <w:rPr>
          <w:rFonts w:ascii="Verdana" w:hAnsi="Verdana"/>
          <w:sz w:val="16"/>
          <w:szCs w:val="16"/>
          <w:lang w:val="es-CR"/>
        </w:rPr>
      </w:pPr>
      <w:r w:rsidRPr="00B21DDC">
        <w:rPr>
          <w:rStyle w:val="FootnoteReference"/>
          <w:rFonts w:ascii="Verdana" w:hAnsi="Verdana"/>
          <w:sz w:val="16"/>
          <w:szCs w:val="16"/>
        </w:rPr>
        <w:footnoteRef/>
      </w:r>
      <w:r w:rsidRPr="00B21DDC">
        <w:rPr>
          <w:rFonts w:ascii="Verdana" w:hAnsi="Verdana"/>
          <w:sz w:val="16"/>
          <w:szCs w:val="16"/>
          <w:lang w:val="es-CR"/>
        </w:rPr>
        <w:t xml:space="preserve"> </w:t>
      </w:r>
      <w:r w:rsidRPr="00B21DDC">
        <w:rPr>
          <w:rFonts w:ascii="Verdana" w:hAnsi="Verdana"/>
          <w:spacing w:val="-12"/>
          <w:sz w:val="16"/>
          <w:szCs w:val="16"/>
          <w:lang w:val="es-CR"/>
        </w:rPr>
        <w:tab/>
      </w:r>
      <w:r w:rsidR="00B21DDC" w:rsidRPr="00B21DDC">
        <w:rPr>
          <w:rFonts w:ascii="Verdana" w:hAnsi="Verdana"/>
          <w:bCs/>
          <w:i/>
          <w:spacing w:val="-12"/>
          <w:sz w:val="16"/>
          <w:szCs w:val="16"/>
          <w:lang w:val="es-CR"/>
        </w:rPr>
        <w:t>Cfr. Caso San Miguel Sosa y otras Vs. Venezuela. Fondo, Reparaciones y Costas</w:t>
      </w:r>
      <w:r w:rsidR="00B21DDC" w:rsidRPr="00B21DDC">
        <w:rPr>
          <w:rFonts w:ascii="Verdana" w:hAnsi="Verdana"/>
          <w:bCs/>
          <w:spacing w:val="-12"/>
          <w:sz w:val="16"/>
          <w:szCs w:val="16"/>
          <w:lang w:val="es-CR"/>
        </w:rPr>
        <w:t>. Sentencia de 8 de febrero de 2018. Serie C No. 348</w:t>
      </w:r>
      <w:r w:rsidR="00B21DDC">
        <w:rPr>
          <w:rFonts w:ascii="Verdana" w:hAnsi="Verdana"/>
          <w:bCs/>
          <w:spacing w:val="-12"/>
          <w:sz w:val="16"/>
          <w:szCs w:val="16"/>
          <w:lang w:val="es-CR"/>
        </w:rPr>
        <w:t xml:space="preserve">, párrs. 114, 115, 117, 130 y 133.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552277"/>
      <w:docPartObj>
        <w:docPartGallery w:val="Page Numbers (Top of Page)"/>
        <w:docPartUnique/>
      </w:docPartObj>
    </w:sdtPr>
    <w:sdtEndPr>
      <w:rPr>
        <w:noProof/>
      </w:rPr>
    </w:sdtEndPr>
    <w:sdtContent>
      <w:p w:rsidR="001E4320" w:rsidRDefault="001E4320">
        <w:pPr>
          <w:pStyle w:val="Header"/>
          <w:jc w:val="center"/>
        </w:pPr>
        <w:r>
          <w:fldChar w:fldCharType="begin"/>
        </w:r>
        <w:r>
          <w:instrText xml:space="preserve"> PAGE   \* MERGEFORMAT </w:instrText>
        </w:r>
        <w:r>
          <w:fldChar w:fldCharType="separate"/>
        </w:r>
        <w:r w:rsidR="005E1BFD">
          <w:rPr>
            <w:noProof/>
          </w:rPr>
          <w:t>2</w:t>
        </w:r>
        <w:r>
          <w:rPr>
            <w:noProof/>
          </w:rPr>
          <w:fldChar w:fldCharType="end"/>
        </w:r>
      </w:p>
    </w:sdtContent>
  </w:sdt>
  <w:p w:rsidR="001E4320" w:rsidRDefault="001E4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45E"/>
    <w:multiLevelType w:val="hybridMultilevel"/>
    <w:tmpl w:val="8820A4D8"/>
    <w:lvl w:ilvl="0" w:tplc="7C0E9E8E">
      <w:start w:val="1"/>
      <w:numFmt w:val="decimal"/>
      <w:lvlText w:val="%1."/>
      <w:lvlJc w:val="left"/>
      <w:pPr>
        <w:ind w:left="540" w:hanging="360"/>
      </w:pPr>
      <w:rPr>
        <w:b w:val="0"/>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7E930FC"/>
    <w:multiLevelType w:val="hybridMultilevel"/>
    <w:tmpl w:val="C5F262F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9414407"/>
    <w:multiLevelType w:val="hybridMultilevel"/>
    <w:tmpl w:val="E54C2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2E43ED"/>
    <w:multiLevelType w:val="hybridMultilevel"/>
    <w:tmpl w:val="0EFA13F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172078B"/>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4628E0"/>
    <w:multiLevelType w:val="hybridMultilevel"/>
    <w:tmpl w:val="8F5665D0"/>
    <w:lvl w:ilvl="0" w:tplc="F172E020">
      <w:start w:val="1"/>
      <w:numFmt w:val="decimal"/>
      <w:lvlText w:val="%1."/>
      <w:lvlJc w:val="left"/>
      <w:pPr>
        <w:tabs>
          <w:tab w:val="num" w:pos="360"/>
        </w:tabs>
        <w:ind w:left="360" w:hanging="360"/>
      </w:pPr>
      <w:rPr>
        <w:rFonts w:ascii="Verdana" w:hAnsi="Verdana" w:hint="default"/>
        <w:b w:val="0"/>
        <w:sz w:val="20"/>
      </w:rPr>
    </w:lvl>
    <w:lvl w:ilvl="1" w:tplc="69544350">
      <w:start w:val="1"/>
      <w:numFmt w:val="lowerLetter"/>
      <w:lvlText w:val="%2."/>
      <w:lvlJc w:val="left"/>
      <w:pPr>
        <w:tabs>
          <w:tab w:val="num" w:pos="1440"/>
        </w:tabs>
        <w:ind w:left="1440" w:hanging="360"/>
      </w:pPr>
      <w:rPr>
        <w:rFonts w:ascii="Verdana" w:hAnsi="Verdana" w:hint="default"/>
        <w:b w:val="0"/>
        <w:sz w:val="20"/>
        <w:szCs w:val="2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2D7025"/>
    <w:multiLevelType w:val="hybridMultilevel"/>
    <w:tmpl w:val="B5DAFBB4"/>
    <w:lvl w:ilvl="0" w:tplc="C632015C">
      <w:start w:val="1"/>
      <w:numFmt w:val="decimal"/>
      <w:lvlText w:val="%1."/>
      <w:lvlJc w:val="left"/>
      <w:pPr>
        <w:ind w:left="720" w:hanging="360"/>
      </w:pPr>
      <w:rPr>
        <w:rFonts w:ascii="Verdana" w:eastAsia="MS Mincho" w:hAnsi="Verdana"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05D3C1B"/>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6136221"/>
    <w:multiLevelType w:val="hybridMultilevel"/>
    <w:tmpl w:val="E0CA6104"/>
    <w:lvl w:ilvl="0" w:tplc="140A0015">
      <w:start w:val="1"/>
      <w:numFmt w:val="upp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9">
    <w:nsid w:val="274242EA"/>
    <w:multiLevelType w:val="hybridMultilevel"/>
    <w:tmpl w:val="6596AFC6"/>
    <w:lvl w:ilvl="0" w:tplc="E556AD64">
      <w:start w:val="1"/>
      <w:numFmt w:val="lowerLetter"/>
      <w:lvlText w:val="%1)"/>
      <w:lvlJc w:val="left"/>
      <w:pPr>
        <w:tabs>
          <w:tab w:val="num" w:pos="1065"/>
        </w:tabs>
        <w:ind w:left="1065" w:hanging="705"/>
      </w:pPr>
      <w:rPr>
        <w:rFonts w:ascii="Verdana" w:eastAsia="Calibr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C844919E">
      <w:start w:val="1"/>
      <w:numFmt w:val="decimal"/>
      <w:lvlText w:val="%4."/>
      <w:lvlJc w:val="left"/>
      <w:pPr>
        <w:tabs>
          <w:tab w:val="num" w:pos="2880"/>
        </w:tabs>
        <w:ind w:left="2880" w:hanging="360"/>
      </w:pPr>
      <w:rPr>
        <w:rFonts w:ascii="Verdana" w:hAnsi="Verdana" w:cs="Times New Roman" w:hint="default"/>
        <w:b w:val="0"/>
        <w:sz w:val="20"/>
        <w:szCs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91C4841"/>
    <w:multiLevelType w:val="hybridMultilevel"/>
    <w:tmpl w:val="B1DCEC40"/>
    <w:lvl w:ilvl="0" w:tplc="68B6A91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C184C50"/>
    <w:multiLevelType w:val="hybridMultilevel"/>
    <w:tmpl w:val="CB0E8E06"/>
    <w:lvl w:ilvl="0" w:tplc="F4A2A034">
      <w:start w:val="1"/>
      <w:numFmt w:val="decimal"/>
      <w:lvlText w:val="%1."/>
      <w:lvlJc w:val="left"/>
      <w:pPr>
        <w:tabs>
          <w:tab w:val="num" w:pos="680"/>
        </w:tabs>
        <w:ind w:left="0" w:firstLine="0"/>
      </w:pPr>
      <w:rPr>
        <w:rFonts w:ascii="Verdana" w:hAnsi="Verdana" w:hint="default"/>
        <w:b w:val="0"/>
        <w:i w:val="0"/>
        <w:strike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C87AC3"/>
    <w:multiLevelType w:val="hybridMultilevel"/>
    <w:tmpl w:val="0B30AC14"/>
    <w:lvl w:ilvl="0" w:tplc="0409000F">
      <w:start w:val="1"/>
      <w:numFmt w:val="decimal"/>
      <w:lvlText w:val="%1."/>
      <w:lvlJc w:val="left"/>
      <w:pPr>
        <w:tabs>
          <w:tab w:val="num" w:pos="4992"/>
        </w:tabs>
        <w:ind w:left="4992" w:hanging="360"/>
      </w:pPr>
    </w:lvl>
    <w:lvl w:ilvl="1" w:tplc="36E8ACC4">
      <w:start w:val="4"/>
      <w:numFmt w:val="upperRoman"/>
      <w:lvlText w:val="%2."/>
      <w:lvlJc w:val="left"/>
      <w:pPr>
        <w:tabs>
          <w:tab w:val="num" w:pos="6072"/>
        </w:tabs>
        <w:ind w:left="6072" w:hanging="720"/>
      </w:pPr>
    </w:lvl>
    <w:lvl w:ilvl="2" w:tplc="0409001B">
      <w:start w:val="1"/>
      <w:numFmt w:val="lowerRoman"/>
      <w:lvlText w:val="%3."/>
      <w:lvlJc w:val="right"/>
      <w:pPr>
        <w:tabs>
          <w:tab w:val="num" w:pos="6432"/>
        </w:tabs>
        <w:ind w:left="6432" w:hanging="180"/>
      </w:pPr>
    </w:lvl>
    <w:lvl w:ilvl="3" w:tplc="0409000F">
      <w:start w:val="1"/>
      <w:numFmt w:val="decimal"/>
      <w:lvlText w:val="%4."/>
      <w:lvlJc w:val="left"/>
      <w:pPr>
        <w:tabs>
          <w:tab w:val="num" w:pos="7152"/>
        </w:tabs>
        <w:ind w:left="7152" w:hanging="360"/>
      </w:pPr>
    </w:lvl>
    <w:lvl w:ilvl="4" w:tplc="04090019">
      <w:start w:val="1"/>
      <w:numFmt w:val="lowerLetter"/>
      <w:lvlText w:val="%5."/>
      <w:lvlJc w:val="left"/>
      <w:pPr>
        <w:tabs>
          <w:tab w:val="num" w:pos="7872"/>
        </w:tabs>
        <w:ind w:left="7872" w:hanging="360"/>
      </w:pPr>
    </w:lvl>
    <w:lvl w:ilvl="5" w:tplc="0409001B">
      <w:start w:val="1"/>
      <w:numFmt w:val="lowerRoman"/>
      <w:lvlText w:val="%6."/>
      <w:lvlJc w:val="right"/>
      <w:pPr>
        <w:tabs>
          <w:tab w:val="num" w:pos="8592"/>
        </w:tabs>
        <w:ind w:left="8592" w:hanging="180"/>
      </w:pPr>
    </w:lvl>
    <w:lvl w:ilvl="6" w:tplc="0409000F">
      <w:start w:val="1"/>
      <w:numFmt w:val="decimal"/>
      <w:lvlText w:val="%7."/>
      <w:lvlJc w:val="left"/>
      <w:pPr>
        <w:tabs>
          <w:tab w:val="num" w:pos="9312"/>
        </w:tabs>
        <w:ind w:left="9312" w:hanging="360"/>
      </w:pPr>
    </w:lvl>
    <w:lvl w:ilvl="7" w:tplc="04090019">
      <w:start w:val="1"/>
      <w:numFmt w:val="lowerLetter"/>
      <w:lvlText w:val="%8."/>
      <w:lvlJc w:val="left"/>
      <w:pPr>
        <w:tabs>
          <w:tab w:val="num" w:pos="10032"/>
        </w:tabs>
        <w:ind w:left="10032" w:hanging="360"/>
      </w:pPr>
    </w:lvl>
    <w:lvl w:ilvl="8" w:tplc="0409001B">
      <w:start w:val="1"/>
      <w:numFmt w:val="lowerRoman"/>
      <w:lvlText w:val="%9."/>
      <w:lvlJc w:val="right"/>
      <w:pPr>
        <w:tabs>
          <w:tab w:val="num" w:pos="10752"/>
        </w:tabs>
        <w:ind w:left="10752" w:hanging="180"/>
      </w:pPr>
    </w:lvl>
  </w:abstractNum>
  <w:abstractNum w:abstractNumId="13">
    <w:nsid w:val="399431FB"/>
    <w:multiLevelType w:val="hybridMultilevel"/>
    <w:tmpl w:val="8390BD96"/>
    <w:lvl w:ilvl="0" w:tplc="E78EBA1E">
      <w:start w:val="1"/>
      <w:numFmt w:val="low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nsid w:val="39B475E5"/>
    <w:multiLevelType w:val="hybridMultilevel"/>
    <w:tmpl w:val="E4C8868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F03689F"/>
    <w:multiLevelType w:val="hybridMultilevel"/>
    <w:tmpl w:val="656EA728"/>
    <w:lvl w:ilvl="0" w:tplc="1E76064C">
      <w:start w:val="1"/>
      <w:numFmt w:val="decimal"/>
      <w:lvlText w:val="%1."/>
      <w:lvlJc w:val="left"/>
      <w:pPr>
        <w:tabs>
          <w:tab w:val="num" w:pos="851"/>
        </w:tabs>
        <w:ind w:left="0" w:firstLine="0"/>
      </w:pPr>
      <w:rPr>
        <w:rFonts w:ascii="Verdana" w:hAnsi="Verdana" w:cs="Verdana" w:hint="default"/>
        <w:b w:val="0"/>
        <w:bCs w:val="0"/>
        <w:sz w:val="20"/>
        <w:szCs w:val="20"/>
      </w:rPr>
    </w:lvl>
    <w:lvl w:ilvl="1" w:tplc="227C4858">
      <w:start w:val="1"/>
      <w:numFmt w:val="decimal"/>
      <w:lvlText w:val="%2."/>
      <w:lvlJc w:val="left"/>
      <w:pPr>
        <w:tabs>
          <w:tab w:val="num" w:pos="1418"/>
        </w:tabs>
        <w:ind w:left="0" w:firstLine="1080"/>
      </w:pPr>
      <w:rPr>
        <w:sz w:val="20"/>
        <w:szCs w:val="20"/>
      </w:rPr>
    </w:lvl>
    <w:lvl w:ilvl="2" w:tplc="BF5A881A">
      <w:start w:val="1"/>
      <w:numFmt w:val="lowerLetter"/>
      <w:lvlText w:val="%3)"/>
      <w:lvlJc w:val="left"/>
      <w:pPr>
        <w:tabs>
          <w:tab w:val="num" w:pos="2340"/>
        </w:tabs>
        <w:ind w:left="2340" w:hanging="36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6">
    <w:nsid w:val="53E5458F"/>
    <w:multiLevelType w:val="hybridMultilevel"/>
    <w:tmpl w:val="1FB26FAC"/>
    <w:lvl w:ilvl="0" w:tplc="9452A7C8">
      <w:numFmt w:val="bullet"/>
      <w:lvlText w:val="-"/>
      <w:lvlJc w:val="left"/>
      <w:pPr>
        <w:ind w:left="720" w:hanging="360"/>
      </w:pPr>
      <w:rPr>
        <w:rFonts w:ascii="Arial" w:eastAsia="Calibri"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nsid w:val="56C912A7"/>
    <w:multiLevelType w:val="hybridMultilevel"/>
    <w:tmpl w:val="EE26F1CA"/>
    <w:lvl w:ilvl="0" w:tplc="3D36ABB2">
      <w:start w:val="1"/>
      <w:numFmt w:val="decimal"/>
      <w:lvlText w:val="%1."/>
      <w:lvlJc w:val="left"/>
      <w:pPr>
        <w:ind w:left="540" w:hanging="360"/>
      </w:pPr>
      <w:rPr>
        <w:b w:val="0"/>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69988710">
      <w:start w:val="1"/>
      <w:numFmt w:val="decimal"/>
      <w:lvlText w:val="%4."/>
      <w:lvlJc w:val="left"/>
      <w:pPr>
        <w:ind w:left="2880" w:hanging="360"/>
      </w:pPr>
      <w:rPr>
        <w:b w:val="0"/>
        <w:i w:val="0"/>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AC33DA6"/>
    <w:multiLevelType w:val="multilevel"/>
    <w:tmpl w:val="8438C986"/>
    <w:lvl w:ilvl="0">
      <w:start w:val="1"/>
      <w:numFmt w:val="decimal"/>
      <w:lvlText w:val="%1."/>
      <w:lvlJc w:val="left"/>
      <w:pPr>
        <w:tabs>
          <w:tab w:val="num" w:pos="1800"/>
        </w:tabs>
        <w:ind w:left="1800" w:hanging="360"/>
      </w:pPr>
      <w:rPr>
        <w:rFonts w:hint="default"/>
        <w:b w:val="0"/>
        <w:sz w:val="20"/>
      </w:rPr>
    </w:lvl>
    <w:lvl w:ilvl="1">
      <w:start w:val="1"/>
      <w:numFmt w:val="lowerLetter"/>
      <w:lvlText w:val="%2."/>
      <w:lvlJc w:val="left"/>
      <w:pPr>
        <w:tabs>
          <w:tab w:val="num" w:pos="1134"/>
        </w:tabs>
        <w:ind w:left="567" w:firstLine="0"/>
      </w:pPr>
      <w:rPr>
        <w:rFonts w:ascii="Verdana" w:eastAsia="Times New Roman" w:hAnsi="Verdana" w:cs="Times New Roman" w:hint="default"/>
      </w:rPr>
    </w:lvl>
    <w:lvl w:ilvl="2">
      <w:start w:val="1"/>
      <w:numFmt w:val="lowerRoman"/>
      <w:lvlText w:val="%3."/>
      <w:lvlJc w:val="right"/>
      <w:pPr>
        <w:tabs>
          <w:tab w:val="num" w:pos="1985"/>
        </w:tabs>
        <w:ind w:left="851"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D461CFC"/>
    <w:multiLevelType w:val="hybridMultilevel"/>
    <w:tmpl w:val="E89E8678"/>
    <w:lvl w:ilvl="0" w:tplc="499416E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E3546"/>
    <w:multiLevelType w:val="hybridMultilevel"/>
    <w:tmpl w:val="F1A6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E511A6"/>
    <w:multiLevelType w:val="hybridMultilevel"/>
    <w:tmpl w:val="FB6260B2"/>
    <w:lvl w:ilvl="0" w:tplc="0C0A0015">
      <w:start w:val="1"/>
      <w:numFmt w:val="upp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2">
    <w:nsid w:val="6F364CE2"/>
    <w:multiLevelType w:val="hybridMultilevel"/>
    <w:tmpl w:val="B5DAFBB4"/>
    <w:lvl w:ilvl="0" w:tplc="C632015C">
      <w:start w:val="1"/>
      <w:numFmt w:val="decimal"/>
      <w:lvlText w:val="%1."/>
      <w:lvlJc w:val="left"/>
      <w:pPr>
        <w:ind w:left="720" w:hanging="360"/>
      </w:pPr>
      <w:rPr>
        <w:rFonts w:ascii="Verdana" w:eastAsia="MS Mincho" w:hAnsi="Verdana"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05A6F5C"/>
    <w:multiLevelType w:val="hybridMultilevel"/>
    <w:tmpl w:val="8ADCBDF8"/>
    <w:lvl w:ilvl="0" w:tplc="891A315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68BECEB8">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FA4A8440">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4010E1"/>
    <w:multiLevelType w:val="hybridMultilevel"/>
    <w:tmpl w:val="E3A6E228"/>
    <w:lvl w:ilvl="0" w:tplc="004CBE9C">
      <w:start w:val="1"/>
      <w:numFmt w:val="decimal"/>
      <w:lvlText w:val="%1."/>
      <w:lvlJc w:val="left"/>
      <w:pPr>
        <w:tabs>
          <w:tab w:val="num" w:pos="360"/>
        </w:tabs>
        <w:ind w:left="360" w:hanging="360"/>
      </w:pPr>
      <w:rPr>
        <w:rFonts w:ascii="Verdana" w:hAnsi="Verdana" w:hint="default"/>
        <w:b w:val="0"/>
        <w:color w:val="auto"/>
        <w:sz w:val="20"/>
      </w:rPr>
    </w:lvl>
    <w:lvl w:ilvl="1" w:tplc="0409000F">
      <w:start w:val="1"/>
      <w:numFmt w:val="decimal"/>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C99C24CA">
      <w:start w:val="1"/>
      <w:numFmt w:val="lowerLetter"/>
      <w:lvlText w:val="%4)"/>
      <w:lvlJc w:val="left"/>
      <w:pPr>
        <w:tabs>
          <w:tab w:val="num" w:pos="1440"/>
        </w:tabs>
        <w:ind w:left="1440" w:hanging="360"/>
      </w:pPr>
      <w:rPr>
        <w:i w:val="0"/>
      </w:rPr>
    </w:lvl>
    <w:lvl w:ilvl="4" w:tplc="04090019">
      <w:start w:val="1"/>
      <w:numFmt w:val="lowerLetter"/>
      <w:lvlText w:val="%5."/>
      <w:lvlJc w:val="left"/>
      <w:pPr>
        <w:tabs>
          <w:tab w:val="num" w:pos="3600"/>
        </w:tabs>
        <w:ind w:left="3600" w:hanging="360"/>
      </w:pPr>
    </w:lvl>
    <w:lvl w:ilvl="5" w:tplc="95F8F70E">
      <w:start w:val="1"/>
      <w:numFmt w:val="lowerRoman"/>
      <w:lvlText w:val="%6."/>
      <w:lvlJc w:val="right"/>
      <w:pPr>
        <w:tabs>
          <w:tab w:val="num" w:pos="4320"/>
        </w:tabs>
        <w:ind w:left="4320" w:hanging="180"/>
      </w:pPr>
      <w:rPr>
        <w:i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DE04CE2"/>
    <w:multiLevelType w:val="hybridMultilevel"/>
    <w:tmpl w:val="749AB550"/>
    <w:lvl w:ilvl="0" w:tplc="140A0017">
      <w:start w:val="1"/>
      <w:numFmt w:val="lowerLetter"/>
      <w:lvlText w:val="%1)"/>
      <w:lvlJc w:val="left"/>
      <w:pPr>
        <w:ind w:left="720" w:hanging="360"/>
      </w:pPr>
      <w:rPr>
        <w:rFonts w:hint="default"/>
      </w:rPr>
    </w:lvl>
    <w:lvl w:ilvl="1" w:tplc="E9B68C12">
      <w:start w:val="1"/>
      <w:numFmt w:val="lowerLetter"/>
      <w:lvlText w:val="%2."/>
      <w:lvlJc w:val="left"/>
      <w:pPr>
        <w:ind w:left="1440" w:hanging="360"/>
      </w:pPr>
      <w:rPr>
        <w:b w:val="0"/>
        <w:i w:val="0"/>
      </w:rPr>
    </w:lvl>
    <w:lvl w:ilvl="2" w:tplc="5642882A">
      <w:start w:val="1"/>
      <w:numFmt w:val="lowerRoman"/>
      <w:lvlText w:val="%3."/>
      <w:lvlJc w:val="right"/>
      <w:pPr>
        <w:ind w:left="2160" w:hanging="180"/>
      </w:pPr>
      <w:rPr>
        <w:b w:val="0"/>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FF40FD9"/>
    <w:multiLevelType w:val="hybridMultilevel"/>
    <w:tmpl w:val="DC8ECC3E"/>
    <w:lvl w:ilvl="0" w:tplc="D0F49AE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20"/>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3"/>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2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D6"/>
    <w:rsid w:val="00015B22"/>
    <w:rsid w:val="000364F4"/>
    <w:rsid w:val="00047BBD"/>
    <w:rsid w:val="00050A26"/>
    <w:rsid w:val="000608DB"/>
    <w:rsid w:val="00080C3B"/>
    <w:rsid w:val="000815AE"/>
    <w:rsid w:val="000A007A"/>
    <w:rsid w:val="000A7DC2"/>
    <w:rsid w:val="000C49C0"/>
    <w:rsid w:val="000D6B9A"/>
    <w:rsid w:val="000D7871"/>
    <w:rsid w:val="000E05CD"/>
    <w:rsid w:val="0010012C"/>
    <w:rsid w:val="00114C97"/>
    <w:rsid w:val="001468C2"/>
    <w:rsid w:val="00153AFA"/>
    <w:rsid w:val="0016172C"/>
    <w:rsid w:val="00181081"/>
    <w:rsid w:val="00181446"/>
    <w:rsid w:val="001868D5"/>
    <w:rsid w:val="001953FC"/>
    <w:rsid w:val="00197265"/>
    <w:rsid w:val="001B202B"/>
    <w:rsid w:val="001B49E8"/>
    <w:rsid w:val="001B69C8"/>
    <w:rsid w:val="001C620E"/>
    <w:rsid w:val="001D19CE"/>
    <w:rsid w:val="001E4320"/>
    <w:rsid w:val="001F6271"/>
    <w:rsid w:val="002228D6"/>
    <w:rsid w:val="0023689E"/>
    <w:rsid w:val="00237ADA"/>
    <w:rsid w:val="002511F4"/>
    <w:rsid w:val="002516C3"/>
    <w:rsid w:val="00264B56"/>
    <w:rsid w:val="002710FE"/>
    <w:rsid w:val="00274FED"/>
    <w:rsid w:val="00282866"/>
    <w:rsid w:val="0029120B"/>
    <w:rsid w:val="00296781"/>
    <w:rsid w:val="002A7F67"/>
    <w:rsid w:val="002B18E1"/>
    <w:rsid w:val="002B23A8"/>
    <w:rsid w:val="002B4D2E"/>
    <w:rsid w:val="002D1152"/>
    <w:rsid w:val="002D2AA3"/>
    <w:rsid w:val="002D5688"/>
    <w:rsid w:val="002E1DD4"/>
    <w:rsid w:val="002E59F2"/>
    <w:rsid w:val="002E63CB"/>
    <w:rsid w:val="002F4214"/>
    <w:rsid w:val="002F6399"/>
    <w:rsid w:val="002F7A08"/>
    <w:rsid w:val="003160D0"/>
    <w:rsid w:val="003215F2"/>
    <w:rsid w:val="0032550D"/>
    <w:rsid w:val="00325907"/>
    <w:rsid w:val="003315EB"/>
    <w:rsid w:val="00333424"/>
    <w:rsid w:val="00333E9A"/>
    <w:rsid w:val="003342E1"/>
    <w:rsid w:val="00336EEC"/>
    <w:rsid w:val="00355BF1"/>
    <w:rsid w:val="00362E78"/>
    <w:rsid w:val="00370CB4"/>
    <w:rsid w:val="00394507"/>
    <w:rsid w:val="003B0B46"/>
    <w:rsid w:val="003D6F09"/>
    <w:rsid w:val="003E3B49"/>
    <w:rsid w:val="003F2F81"/>
    <w:rsid w:val="003F491A"/>
    <w:rsid w:val="00401B5B"/>
    <w:rsid w:val="004041E4"/>
    <w:rsid w:val="004341CE"/>
    <w:rsid w:val="00445441"/>
    <w:rsid w:val="00454715"/>
    <w:rsid w:val="00457CF1"/>
    <w:rsid w:val="004761A9"/>
    <w:rsid w:val="0048043B"/>
    <w:rsid w:val="00487609"/>
    <w:rsid w:val="004C01BD"/>
    <w:rsid w:val="004C1C33"/>
    <w:rsid w:val="004C5847"/>
    <w:rsid w:val="004D394B"/>
    <w:rsid w:val="004F5A79"/>
    <w:rsid w:val="00500AF0"/>
    <w:rsid w:val="00510A01"/>
    <w:rsid w:val="005110D6"/>
    <w:rsid w:val="00513036"/>
    <w:rsid w:val="0054636B"/>
    <w:rsid w:val="0055101B"/>
    <w:rsid w:val="0056207B"/>
    <w:rsid w:val="00565AFB"/>
    <w:rsid w:val="00586B5F"/>
    <w:rsid w:val="00587AFB"/>
    <w:rsid w:val="005B6118"/>
    <w:rsid w:val="005C46CE"/>
    <w:rsid w:val="005D1693"/>
    <w:rsid w:val="005D1C6E"/>
    <w:rsid w:val="005D3A7E"/>
    <w:rsid w:val="005E1BFD"/>
    <w:rsid w:val="00602867"/>
    <w:rsid w:val="006150E2"/>
    <w:rsid w:val="00615EE6"/>
    <w:rsid w:val="00625FDD"/>
    <w:rsid w:val="0064211F"/>
    <w:rsid w:val="006538F7"/>
    <w:rsid w:val="006618AE"/>
    <w:rsid w:val="00664231"/>
    <w:rsid w:val="00684300"/>
    <w:rsid w:val="00693598"/>
    <w:rsid w:val="00695008"/>
    <w:rsid w:val="006C5042"/>
    <w:rsid w:val="006D3DBC"/>
    <w:rsid w:val="006F6637"/>
    <w:rsid w:val="006F6835"/>
    <w:rsid w:val="0070401A"/>
    <w:rsid w:val="007152DA"/>
    <w:rsid w:val="00722723"/>
    <w:rsid w:val="00724F7F"/>
    <w:rsid w:val="00730B76"/>
    <w:rsid w:val="00732CC7"/>
    <w:rsid w:val="00733F91"/>
    <w:rsid w:val="00761B8C"/>
    <w:rsid w:val="007642C5"/>
    <w:rsid w:val="0077534F"/>
    <w:rsid w:val="0077594E"/>
    <w:rsid w:val="00776123"/>
    <w:rsid w:val="00776E28"/>
    <w:rsid w:val="007861BE"/>
    <w:rsid w:val="00792C0D"/>
    <w:rsid w:val="007C2B48"/>
    <w:rsid w:val="007D5D2E"/>
    <w:rsid w:val="007E6B2D"/>
    <w:rsid w:val="007F1407"/>
    <w:rsid w:val="007F6533"/>
    <w:rsid w:val="0081291D"/>
    <w:rsid w:val="00815608"/>
    <w:rsid w:val="00820611"/>
    <w:rsid w:val="008349DE"/>
    <w:rsid w:val="00840B8B"/>
    <w:rsid w:val="0085595D"/>
    <w:rsid w:val="00862A8B"/>
    <w:rsid w:val="00864BCA"/>
    <w:rsid w:val="0088354D"/>
    <w:rsid w:val="008A0B4C"/>
    <w:rsid w:val="008A7E60"/>
    <w:rsid w:val="008B1C2E"/>
    <w:rsid w:val="008B3874"/>
    <w:rsid w:val="008F0B3E"/>
    <w:rsid w:val="008F72E8"/>
    <w:rsid w:val="00915C0E"/>
    <w:rsid w:val="00923354"/>
    <w:rsid w:val="0093035E"/>
    <w:rsid w:val="0093415E"/>
    <w:rsid w:val="009415D4"/>
    <w:rsid w:val="009419A2"/>
    <w:rsid w:val="00971417"/>
    <w:rsid w:val="00993D61"/>
    <w:rsid w:val="009A1BE7"/>
    <w:rsid w:val="009A1E51"/>
    <w:rsid w:val="009E5E5D"/>
    <w:rsid w:val="009E6643"/>
    <w:rsid w:val="00A25123"/>
    <w:rsid w:val="00A32485"/>
    <w:rsid w:val="00A4044F"/>
    <w:rsid w:val="00A446D6"/>
    <w:rsid w:val="00A5094A"/>
    <w:rsid w:val="00A7003A"/>
    <w:rsid w:val="00A83000"/>
    <w:rsid w:val="00A83534"/>
    <w:rsid w:val="00A8482D"/>
    <w:rsid w:val="00A93BDE"/>
    <w:rsid w:val="00AC199A"/>
    <w:rsid w:val="00AC3D9C"/>
    <w:rsid w:val="00AD307C"/>
    <w:rsid w:val="00AF2616"/>
    <w:rsid w:val="00AF37A2"/>
    <w:rsid w:val="00B10E58"/>
    <w:rsid w:val="00B21DDC"/>
    <w:rsid w:val="00B233A9"/>
    <w:rsid w:val="00B24FD1"/>
    <w:rsid w:val="00B33254"/>
    <w:rsid w:val="00B53A63"/>
    <w:rsid w:val="00B6180E"/>
    <w:rsid w:val="00B620C1"/>
    <w:rsid w:val="00B65191"/>
    <w:rsid w:val="00B70919"/>
    <w:rsid w:val="00B71F6F"/>
    <w:rsid w:val="00B75912"/>
    <w:rsid w:val="00B812F8"/>
    <w:rsid w:val="00B91337"/>
    <w:rsid w:val="00BD14D4"/>
    <w:rsid w:val="00BF6A98"/>
    <w:rsid w:val="00C055E3"/>
    <w:rsid w:val="00C149E6"/>
    <w:rsid w:val="00C2660A"/>
    <w:rsid w:val="00C27D56"/>
    <w:rsid w:val="00C313AE"/>
    <w:rsid w:val="00C36DDD"/>
    <w:rsid w:val="00C63CB6"/>
    <w:rsid w:val="00C63F6D"/>
    <w:rsid w:val="00C73CAA"/>
    <w:rsid w:val="00C96018"/>
    <w:rsid w:val="00CB2738"/>
    <w:rsid w:val="00D07FDD"/>
    <w:rsid w:val="00D34E04"/>
    <w:rsid w:val="00D35A38"/>
    <w:rsid w:val="00D451D6"/>
    <w:rsid w:val="00D51F7C"/>
    <w:rsid w:val="00D54823"/>
    <w:rsid w:val="00D5779D"/>
    <w:rsid w:val="00D60947"/>
    <w:rsid w:val="00D85C77"/>
    <w:rsid w:val="00D87EEE"/>
    <w:rsid w:val="00D91FD6"/>
    <w:rsid w:val="00DA759D"/>
    <w:rsid w:val="00DA792D"/>
    <w:rsid w:val="00DB0B0B"/>
    <w:rsid w:val="00DC1218"/>
    <w:rsid w:val="00DC2574"/>
    <w:rsid w:val="00DC7392"/>
    <w:rsid w:val="00DE1EAC"/>
    <w:rsid w:val="00DF72DD"/>
    <w:rsid w:val="00E00C03"/>
    <w:rsid w:val="00E03C01"/>
    <w:rsid w:val="00E1770F"/>
    <w:rsid w:val="00E35418"/>
    <w:rsid w:val="00E42A1C"/>
    <w:rsid w:val="00E45EE3"/>
    <w:rsid w:val="00E50D32"/>
    <w:rsid w:val="00E723DC"/>
    <w:rsid w:val="00E7539E"/>
    <w:rsid w:val="00E76C4B"/>
    <w:rsid w:val="00E828F2"/>
    <w:rsid w:val="00E921F7"/>
    <w:rsid w:val="00EA5728"/>
    <w:rsid w:val="00EE7526"/>
    <w:rsid w:val="00EF2FA8"/>
    <w:rsid w:val="00EF5304"/>
    <w:rsid w:val="00F03282"/>
    <w:rsid w:val="00F10966"/>
    <w:rsid w:val="00F17872"/>
    <w:rsid w:val="00F23A6C"/>
    <w:rsid w:val="00F30CB6"/>
    <w:rsid w:val="00F53EF6"/>
    <w:rsid w:val="00F75435"/>
    <w:rsid w:val="00F765A1"/>
    <w:rsid w:val="00F76CA6"/>
    <w:rsid w:val="00F94BE1"/>
    <w:rsid w:val="00FA146F"/>
    <w:rsid w:val="00FE59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locked/>
    <w:rsid w:val="005110D6"/>
    <w:rPr>
      <w:rFonts w:ascii="Times New Roman" w:eastAsia="MS Mincho" w:hAnsi="Times New Roman" w:cs="Times New Roman"/>
      <w:sz w:val="20"/>
      <w:szCs w:val="20"/>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ft,FA Fu?notentext,C"/>
    <w:basedOn w:val="Normal"/>
    <w:link w:val="FootnoteTextChar"/>
    <w:unhideWhenUsed/>
    <w:qFormat/>
    <w:rsid w:val="005110D6"/>
    <w:pPr>
      <w:spacing w:after="0" w:line="240" w:lineRule="auto"/>
    </w:pPr>
    <w:rPr>
      <w:rFonts w:ascii="Times New Roman" w:eastAsia="MS Mincho" w:hAnsi="Times New Roman" w:cs="Times New Roman"/>
      <w:sz w:val="20"/>
      <w:szCs w:val="20"/>
    </w:rPr>
  </w:style>
  <w:style w:type="character" w:customStyle="1" w:styleId="TextonotapieCar">
    <w:name w:val="Texto nota pie Car"/>
    <w:basedOn w:val="DefaultParagraphFont"/>
    <w:uiPriority w:val="99"/>
    <w:semiHidden/>
    <w:rsid w:val="005110D6"/>
    <w:rPr>
      <w:sz w:val="20"/>
      <w:szCs w:val="20"/>
      <w:lang w:val="en-US"/>
    </w:rPr>
  </w:style>
  <w:style w:type="character" w:customStyle="1" w:styleId="ListParagraphChar">
    <w:name w:val="List Paragraph Char"/>
    <w:aliases w:val="Colorful List - Accent 11 Char,List Paragraph2 Char,List Paragraph1 Char,Lista vistosa - Énfasis 11 Char,List Paragraph11 Char"/>
    <w:link w:val="ListParagraph"/>
    <w:uiPriority w:val="1"/>
    <w:locked/>
    <w:rsid w:val="005110D6"/>
    <w:rPr>
      <w:rFonts w:ascii="Garamond" w:eastAsia="Times" w:hAnsi="Garamond" w:cs="Times New Roman"/>
      <w:sz w:val="24"/>
      <w:szCs w:val="20"/>
      <w:lang w:val="es-ES_tradnl"/>
    </w:rPr>
  </w:style>
  <w:style w:type="paragraph" w:styleId="ListParagraph">
    <w:name w:val="List Paragraph"/>
    <w:aliases w:val="Colorful List - Accent 11,List Paragraph2,List Paragraph1,Lista vistosa - Énfasis 11,List Paragraph11"/>
    <w:basedOn w:val="Normal"/>
    <w:link w:val="ListParagraphChar"/>
    <w:uiPriority w:val="1"/>
    <w:qFormat/>
    <w:rsid w:val="005110D6"/>
    <w:pPr>
      <w:spacing w:after="0" w:line="240" w:lineRule="auto"/>
      <w:ind w:left="720"/>
      <w:contextualSpacing/>
    </w:pPr>
    <w:rPr>
      <w:rFonts w:ascii="Garamond" w:eastAsia="Times" w:hAnsi="Garamond" w:cs="Times New Roman"/>
      <w:sz w:val="24"/>
      <w:szCs w:val="20"/>
      <w:lang w:val="es-ES_tradnl"/>
    </w:rPr>
  </w:style>
  <w:style w:type="paragraph" w:customStyle="1" w:styleId="Prrafodelista1">
    <w:name w:val="Párrafo de lista1"/>
    <w:basedOn w:val="Normal"/>
    <w:qFormat/>
    <w:rsid w:val="005110D6"/>
    <w:pPr>
      <w:spacing w:after="0" w:line="240" w:lineRule="auto"/>
      <w:contextualSpacing/>
    </w:pPr>
    <w:rPr>
      <w:rFonts w:ascii="Verdana" w:eastAsia="Batang" w:hAnsi="Verdana" w:cs="Times New Roman"/>
      <w:sz w:val="16"/>
      <w:lang w:val="es-ES"/>
    </w:rPr>
  </w:style>
  <w:style w:type="paragraph" w:customStyle="1" w:styleId="Default">
    <w:name w:val="Default"/>
    <w:rsid w:val="005110D6"/>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link w:val="4GChar"/>
    <w:unhideWhenUsed/>
    <w:qFormat/>
    <w:rsid w:val="005110D6"/>
    <w:rPr>
      <w:rFonts w:ascii="Times New Roman" w:hAnsi="Times New Roman" w:cs="Times New Roman" w:hint="default"/>
      <w:vertAlign w:val="superscript"/>
    </w:rPr>
  </w:style>
  <w:style w:type="paragraph" w:styleId="BodyText">
    <w:name w:val="Body Text"/>
    <w:basedOn w:val="Normal"/>
    <w:link w:val="BodyTextChar"/>
    <w:semiHidden/>
    <w:unhideWhenUsed/>
    <w:rsid w:val="005110D6"/>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semiHidden/>
    <w:rsid w:val="005110D6"/>
    <w:rPr>
      <w:rFonts w:ascii="Times" w:eastAsia="Times" w:hAnsi="Times" w:cs="Times New Roman"/>
      <w:sz w:val="24"/>
      <w:szCs w:val="20"/>
      <w:lang w:val="es-ES_tradnl"/>
    </w:rPr>
  </w:style>
  <w:style w:type="character" w:styleId="Emphasis">
    <w:name w:val="Emphasis"/>
    <w:basedOn w:val="DefaultParagraphFont"/>
    <w:qFormat/>
    <w:rsid w:val="005110D6"/>
    <w:rPr>
      <w:i/>
      <w:iCs/>
    </w:rPr>
  </w:style>
  <w:style w:type="character" w:styleId="Strong">
    <w:name w:val="Strong"/>
    <w:basedOn w:val="DefaultParagraphFont"/>
    <w:uiPriority w:val="22"/>
    <w:qFormat/>
    <w:rsid w:val="005110D6"/>
    <w:rPr>
      <w:b/>
      <w:bCs/>
    </w:rPr>
  </w:style>
  <w:style w:type="paragraph" w:styleId="BalloonText">
    <w:name w:val="Balloon Text"/>
    <w:basedOn w:val="Normal"/>
    <w:link w:val="BalloonTextChar"/>
    <w:uiPriority w:val="99"/>
    <w:semiHidden/>
    <w:unhideWhenUsed/>
    <w:rsid w:val="0048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09"/>
    <w:rPr>
      <w:rFonts w:ascii="Tahoma" w:hAnsi="Tahoma" w:cs="Tahoma"/>
      <w:sz w:val="16"/>
      <w:szCs w:val="16"/>
      <w:lang w:val="en-US"/>
    </w:rPr>
  </w:style>
  <w:style w:type="character" w:styleId="LineNumber">
    <w:name w:val="line number"/>
    <w:basedOn w:val="DefaultParagraphFont"/>
    <w:uiPriority w:val="99"/>
    <w:semiHidden/>
    <w:unhideWhenUsed/>
    <w:rsid w:val="00E7539E"/>
  </w:style>
  <w:style w:type="paragraph" w:styleId="Header">
    <w:name w:val="header"/>
    <w:basedOn w:val="Normal"/>
    <w:link w:val="HeaderChar"/>
    <w:uiPriority w:val="99"/>
    <w:unhideWhenUsed/>
    <w:rsid w:val="00E7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9E"/>
    <w:rPr>
      <w:lang w:val="en-US"/>
    </w:rPr>
  </w:style>
  <w:style w:type="paragraph" w:styleId="Footer">
    <w:name w:val="footer"/>
    <w:basedOn w:val="Normal"/>
    <w:link w:val="FooterChar"/>
    <w:uiPriority w:val="99"/>
    <w:unhideWhenUsed/>
    <w:rsid w:val="00E7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9E"/>
    <w:rPr>
      <w:lang w:val="en-US"/>
    </w:rPr>
  </w:style>
  <w:style w:type="paragraph" w:customStyle="1" w:styleId="Numberedparagraphs">
    <w:name w:val="Numbered paragraphs"/>
    <w:basedOn w:val="Normal"/>
    <w:link w:val="NumberedparagraphsCar"/>
    <w:qFormat/>
    <w:rsid w:val="002228D6"/>
    <w:pPr>
      <w:numPr>
        <w:numId w:val="15"/>
      </w:numPr>
      <w:spacing w:after="0" w:line="240" w:lineRule="auto"/>
      <w:jc w:val="both"/>
    </w:pPr>
    <w:rPr>
      <w:rFonts w:ascii="Verdana" w:eastAsia="MS Mincho" w:hAnsi="Verdana" w:cs="Times New Roman"/>
      <w:color w:val="000000"/>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2228D6"/>
    <w:pPr>
      <w:spacing w:after="0" w:line="240" w:lineRule="auto"/>
      <w:jc w:val="both"/>
    </w:pPr>
    <w:rPr>
      <w:rFonts w:ascii="Times New Roman" w:hAnsi="Times New Roman" w:cs="Times New Roman"/>
      <w:vertAlign w:val="superscript"/>
      <w:lang w:val="es-CR"/>
    </w:rPr>
  </w:style>
  <w:style w:type="character" w:customStyle="1" w:styleId="NumberedparagraphsCar">
    <w:name w:val="Numbered paragraphs Car"/>
    <w:basedOn w:val="DefaultParagraphFont"/>
    <w:link w:val="Numberedparagraphs"/>
    <w:rsid w:val="002228D6"/>
    <w:rPr>
      <w:rFonts w:ascii="Verdana" w:eastAsia="MS Mincho" w:hAnsi="Verdana" w:cs="Times New Roman"/>
      <w:color w:val="000000"/>
      <w:sz w:val="20"/>
      <w:szCs w:val="20"/>
      <w:lang w:val="es-ES_tradnl"/>
    </w:rPr>
  </w:style>
  <w:style w:type="character" w:customStyle="1" w:styleId="eacep">
    <w:name w:val="eacep"/>
    <w:basedOn w:val="DefaultParagraphFont"/>
    <w:rsid w:val="004C5847"/>
  </w:style>
  <w:style w:type="character" w:styleId="CommentReference">
    <w:name w:val="annotation reference"/>
    <w:basedOn w:val="DefaultParagraphFont"/>
    <w:uiPriority w:val="99"/>
    <w:semiHidden/>
    <w:unhideWhenUsed/>
    <w:rsid w:val="00A32485"/>
    <w:rPr>
      <w:sz w:val="16"/>
      <w:szCs w:val="16"/>
    </w:rPr>
  </w:style>
  <w:style w:type="paragraph" w:styleId="CommentText">
    <w:name w:val="annotation text"/>
    <w:basedOn w:val="Normal"/>
    <w:link w:val="CommentTextChar"/>
    <w:uiPriority w:val="99"/>
    <w:semiHidden/>
    <w:unhideWhenUsed/>
    <w:rsid w:val="00A32485"/>
    <w:pPr>
      <w:spacing w:line="240" w:lineRule="auto"/>
    </w:pPr>
    <w:rPr>
      <w:sz w:val="20"/>
      <w:szCs w:val="20"/>
    </w:rPr>
  </w:style>
  <w:style w:type="character" w:customStyle="1" w:styleId="CommentTextChar">
    <w:name w:val="Comment Text Char"/>
    <w:basedOn w:val="DefaultParagraphFont"/>
    <w:link w:val="CommentText"/>
    <w:uiPriority w:val="99"/>
    <w:semiHidden/>
    <w:rsid w:val="00A32485"/>
    <w:rPr>
      <w:sz w:val="20"/>
      <w:szCs w:val="20"/>
      <w:lang w:val="en-US"/>
    </w:rPr>
  </w:style>
  <w:style w:type="paragraph" w:styleId="CommentSubject">
    <w:name w:val="annotation subject"/>
    <w:basedOn w:val="CommentText"/>
    <w:next w:val="CommentText"/>
    <w:link w:val="CommentSubjectChar"/>
    <w:uiPriority w:val="99"/>
    <w:semiHidden/>
    <w:unhideWhenUsed/>
    <w:rsid w:val="00A32485"/>
    <w:rPr>
      <w:b/>
      <w:bCs/>
    </w:rPr>
  </w:style>
  <w:style w:type="character" w:customStyle="1" w:styleId="CommentSubjectChar">
    <w:name w:val="Comment Subject Char"/>
    <w:basedOn w:val="CommentTextChar"/>
    <w:link w:val="CommentSubject"/>
    <w:uiPriority w:val="99"/>
    <w:semiHidden/>
    <w:rsid w:val="00A32485"/>
    <w:rPr>
      <w:b/>
      <w:bCs/>
      <w:sz w:val="20"/>
      <w:szCs w:val="20"/>
      <w:lang w:val="en-US"/>
    </w:rPr>
  </w:style>
  <w:style w:type="paragraph" w:styleId="NoSpacing">
    <w:name w:val="No Spacing"/>
    <w:uiPriority w:val="1"/>
    <w:qFormat/>
    <w:rsid w:val="00F17872"/>
    <w:pPr>
      <w:spacing w:after="0" w:line="240" w:lineRule="auto"/>
    </w:pPr>
    <w:rPr>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57CF1"/>
    <w:pPr>
      <w:spacing w:before="200" w:after="160" w:line="240" w:lineRule="exact"/>
    </w:pPr>
    <w:rPr>
      <w:vertAlign w:val="superscript"/>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locked/>
    <w:rsid w:val="005110D6"/>
    <w:rPr>
      <w:rFonts w:ascii="Times New Roman" w:eastAsia="MS Mincho" w:hAnsi="Times New Roman" w:cs="Times New Roman"/>
      <w:sz w:val="20"/>
      <w:szCs w:val="20"/>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ft,FA Fu?notentext,C"/>
    <w:basedOn w:val="Normal"/>
    <w:link w:val="FootnoteTextChar"/>
    <w:unhideWhenUsed/>
    <w:qFormat/>
    <w:rsid w:val="005110D6"/>
    <w:pPr>
      <w:spacing w:after="0" w:line="240" w:lineRule="auto"/>
    </w:pPr>
    <w:rPr>
      <w:rFonts w:ascii="Times New Roman" w:eastAsia="MS Mincho" w:hAnsi="Times New Roman" w:cs="Times New Roman"/>
      <w:sz w:val="20"/>
      <w:szCs w:val="20"/>
    </w:rPr>
  </w:style>
  <w:style w:type="character" w:customStyle="1" w:styleId="TextonotapieCar">
    <w:name w:val="Texto nota pie Car"/>
    <w:basedOn w:val="DefaultParagraphFont"/>
    <w:uiPriority w:val="99"/>
    <w:semiHidden/>
    <w:rsid w:val="005110D6"/>
    <w:rPr>
      <w:sz w:val="20"/>
      <w:szCs w:val="20"/>
      <w:lang w:val="en-US"/>
    </w:rPr>
  </w:style>
  <w:style w:type="character" w:customStyle="1" w:styleId="ListParagraphChar">
    <w:name w:val="List Paragraph Char"/>
    <w:aliases w:val="Colorful List - Accent 11 Char,List Paragraph2 Char,List Paragraph1 Char,Lista vistosa - Énfasis 11 Char,List Paragraph11 Char"/>
    <w:link w:val="ListParagraph"/>
    <w:uiPriority w:val="1"/>
    <w:locked/>
    <w:rsid w:val="005110D6"/>
    <w:rPr>
      <w:rFonts w:ascii="Garamond" w:eastAsia="Times" w:hAnsi="Garamond" w:cs="Times New Roman"/>
      <w:sz w:val="24"/>
      <w:szCs w:val="20"/>
      <w:lang w:val="es-ES_tradnl"/>
    </w:rPr>
  </w:style>
  <w:style w:type="paragraph" w:styleId="ListParagraph">
    <w:name w:val="List Paragraph"/>
    <w:aliases w:val="Colorful List - Accent 11,List Paragraph2,List Paragraph1,Lista vistosa - Énfasis 11,List Paragraph11"/>
    <w:basedOn w:val="Normal"/>
    <w:link w:val="ListParagraphChar"/>
    <w:uiPriority w:val="1"/>
    <w:qFormat/>
    <w:rsid w:val="005110D6"/>
    <w:pPr>
      <w:spacing w:after="0" w:line="240" w:lineRule="auto"/>
      <w:ind w:left="720"/>
      <w:contextualSpacing/>
    </w:pPr>
    <w:rPr>
      <w:rFonts w:ascii="Garamond" w:eastAsia="Times" w:hAnsi="Garamond" w:cs="Times New Roman"/>
      <w:sz w:val="24"/>
      <w:szCs w:val="20"/>
      <w:lang w:val="es-ES_tradnl"/>
    </w:rPr>
  </w:style>
  <w:style w:type="paragraph" w:customStyle="1" w:styleId="Prrafodelista1">
    <w:name w:val="Párrafo de lista1"/>
    <w:basedOn w:val="Normal"/>
    <w:qFormat/>
    <w:rsid w:val="005110D6"/>
    <w:pPr>
      <w:spacing w:after="0" w:line="240" w:lineRule="auto"/>
      <w:contextualSpacing/>
    </w:pPr>
    <w:rPr>
      <w:rFonts w:ascii="Verdana" w:eastAsia="Batang" w:hAnsi="Verdana" w:cs="Times New Roman"/>
      <w:sz w:val="16"/>
      <w:lang w:val="es-ES"/>
    </w:rPr>
  </w:style>
  <w:style w:type="paragraph" w:customStyle="1" w:styleId="Default">
    <w:name w:val="Default"/>
    <w:rsid w:val="005110D6"/>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link w:val="4GChar"/>
    <w:unhideWhenUsed/>
    <w:qFormat/>
    <w:rsid w:val="005110D6"/>
    <w:rPr>
      <w:rFonts w:ascii="Times New Roman" w:hAnsi="Times New Roman" w:cs="Times New Roman" w:hint="default"/>
      <w:vertAlign w:val="superscript"/>
    </w:rPr>
  </w:style>
  <w:style w:type="paragraph" w:styleId="BodyText">
    <w:name w:val="Body Text"/>
    <w:basedOn w:val="Normal"/>
    <w:link w:val="BodyTextChar"/>
    <w:semiHidden/>
    <w:unhideWhenUsed/>
    <w:rsid w:val="005110D6"/>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semiHidden/>
    <w:rsid w:val="005110D6"/>
    <w:rPr>
      <w:rFonts w:ascii="Times" w:eastAsia="Times" w:hAnsi="Times" w:cs="Times New Roman"/>
      <w:sz w:val="24"/>
      <w:szCs w:val="20"/>
      <w:lang w:val="es-ES_tradnl"/>
    </w:rPr>
  </w:style>
  <w:style w:type="character" w:styleId="Emphasis">
    <w:name w:val="Emphasis"/>
    <w:basedOn w:val="DefaultParagraphFont"/>
    <w:qFormat/>
    <w:rsid w:val="005110D6"/>
    <w:rPr>
      <w:i/>
      <w:iCs/>
    </w:rPr>
  </w:style>
  <w:style w:type="character" w:styleId="Strong">
    <w:name w:val="Strong"/>
    <w:basedOn w:val="DefaultParagraphFont"/>
    <w:uiPriority w:val="22"/>
    <w:qFormat/>
    <w:rsid w:val="005110D6"/>
    <w:rPr>
      <w:b/>
      <w:bCs/>
    </w:rPr>
  </w:style>
  <w:style w:type="paragraph" w:styleId="BalloonText">
    <w:name w:val="Balloon Text"/>
    <w:basedOn w:val="Normal"/>
    <w:link w:val="BalloonTextChar"/>
    <w:uiPriority w:val="99"/>
    <w:semiHidden/>
    <w:unhideWhenUsed/>
    <w:rsid w:val="0048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09"/>
    <w:rPr>
      <w:rFonts w:ascii="Tahoma" w:hAnsi="Tahoma" w:cs="Tahoma"/>
      <w:sz w:val="16"/>
      <w:szCs w:val="16"/>
      <w:lang w:val="en-US"/>
    </w:rPr>
  </w:style>
  <w:style w:type="character" w:styleId="LineNumber">
    <w:name w:val="line number"/>
    <w:basedOn w:val="DefaultParagraphFont"/>
    <w:uiPriority w:val="99"/>
    <w:semiHidden/>
    <w:unhideWhenUsed/>
    <w:rsid w:val="00E7539E"/>
  </w:style>
  <w:style w:type="paragraph" w:styleId="Header">
    <w:name w:val="header"/>
    <w:basedOn w:val="Normal"/>
    <w:link w:val="HeaderChar"/>
    <w:uiPriority w:val="99"/>
    <w:unhideWhenUsed/>
    <w:rsid w:val="00E7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9E"/>
    <w:rPr>
      <w:lang w:val="en-US"/>
    </w:rPr>
  </w:style>
  <w:style w:type="paragraph" w:styleId="Footer">
    <w:name w:val="footer"/>
    <w:basedOn w:val="Normal"/>
    <w:link w:val="FooterChar"/>
    <w:uiPriority w:val="99"/>
    <w:unhideWhenUsed/>
    <w:rsid w:val="00E7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9E"/>
    <w:rPr>
      <w:lang w:val="en-US"/>
    </w:rPr>
  </w:style>
  <w:style w:type="paragraph" w:customStyle="1" w:styleId="Numberedparagraphs">
    <w:name w:val="Numbered paragraphs"/>
    <w:basedOn w:val="Normal"/>
    <w:link w:val="NumberedparagraphsCar"/>
    <w:qFormat/>
    <w:rsid w:val="002228D6"/>
    <w:pPr>
      <w:numPr>
        <w:numId w:val="15"/>
      </w:numPr>
      <w:spacing w:after="0" w:line="240" w:lineRule="auto"/>
      <w:jc w:val="both"/>
    </w:pPr>
    <w:rPr>
      <w:rFonts w:ascii="Verdana" w:eastAsia="MS Mincho" w:hAnsi="Verdana" w:cs="Times New Roman"/>
      <w:color w:val="000000"/>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2228D6"/>
    <w:pPr>
      <w:spacing w:after="0" w:line="240" w:lineRule="auto"/>
      <w:jc w:val="both"/>
    </w:pPr>
    <w:rPr>
      <w:rFonts w:ascii="Times New Roman" w:hAnsi="Times New Roman" w:cs="Times New Roman"/>
      <w:vertAlign w:val="superscript"/>
      <w:lang w:val="es-CR"/>
    </w:rPr>
  </w:style>
  <w:style w:type="character" w:customStyle="1" w:styleId="NumberedparagraphsCar">
    <w:name w:val="Numbered paragraphs Car"/>
    <w:basedOn w:val="DefaultParagraphFont"/>
    <w:link w:val="Numberedparagraphs"/>
    <w:rsid w:val="002228D6"/>
    <w:rPr>
      <w:rFonts w:ascii="Verdana" w:eastAsia="MS Mincho" w:hAnsi="Verdana" w:cs="Times New Roman"/>
      <w:color w:val="000000"/>
      <w:sz w:val="20"/>
      <w:szCs w:val="20"/>
      <w:lang w:val="es-ES_tradnl"/>
    </w:rPr>
  </w:style>
  <w:style w:type="character" w:customStyle="1" w:styleId="eacep">
    <w:name w:val="eacep"/>
    <w:basedOn w:val="DefaultParagraphFont"/>
    <w:rsid w:val="004C5847"/>
  </w:style>
  <w:style w:type="character" w:styleId="CommentReference">
    <w:name w:val="annotation reference"/>
    <w:basedOn w:val="DefaultParagraphFont"/>
    <w:uiPriority w:val="99"/>
    <w:semiHidden/>
    <w:unhideWhenUsed/>
    <w:rsid w:val="00A32485"/>
    <w:rPr>
      <w:sz w:val="16"/>
      <w:szCs w:val="16"/>
    </w:rPr>
  </w:style>
  <w:style w:type="paragraph" w:styleId="CommentText">
    <w:name w:val="annotation text"/>
    <w:basedOn w:val="Normal"/>
    <w:link w:val="CommentTextChar"/>
    <w:uiPriority w:val="99"/>
    <w:semiHidden/>
    <w:unhideWhenUsed/>
    <w:rsid w:val="00A32485"/>
    <w:pPr>
      <w:spacing w:line="240" w:lineRule="auto"/>
    </w:pPr>
    <w:rPr>
      <w:sz w:val="20"/>
      <w:szCs w:val="20"/>
    </w:rPr>
  </w:style>
  <w:style w:type="character" w:customStyle="1" w:styleId="CommentTextChar">
    <w:name w:val="Comment Text Char"/>
    <w:basedOn w:val="DefaultParagraphFont"/>
    <w:link w:val="CommentText"/>
    <w:uiPriority w:val="99"/>
    <w:semiHidden/>
    <w:rsid w:val="00A32485"/>
    <w:rPr>
      <w:sz w:val="20"/>
      <w:szCs w:val="20"/>
      <w:lang w:val="en-US"/>
    </w:rPr>
  </w:style>
  <w:style w:type="paragraph" w:styleId="CommentSubject">
    <w:name w:val="annotation subject"/>
    <w:basedOn w:val="CommentText"/>
    <w:next w:val="CommentText"/>
    <w:link w:val="CommentSubjectChar"/>
    <w:uiPriority w:val="99"/>
    <w:semiHidden/>
    <w:unhideWhenUsed/>
    <w:rsid w:val="00A32485"/>
    <w:rPr>
      <w:b/>
      <w:bCs/>
    </w:rPr>
  </w:style>
  <w:style w:type="character" w:customStyle="1" w:styleId="CommentSubjectChar">
    <w:name w:val="Comment Subject Char"/>
    <w:basedOn w:val="CommentTextChar"/>
    <w:link w:val="CommentSubject"/>
    <w:uiPriority w:val="99"/>
    <w:semiHidden/>
    <w:rsid w:val="00A32485"/>
    <w:rPr>
      <w:b/>
      <w:bCs/>
      <w:sz w:val="20"/>
      <w:szCs w:val="20"/>
      <w:lang w:val="en-US"/>
    </w:rPr>
  </w:style>
  <w:style w:type="paragraph" w:styleId="NoSpacing">
    <w:name w:val="No Spacing"/>
    <w:uiPriority w:val="1"/>
    <w:qFormat/>
    <w:rsid w:val="00F17872"/>
    <w:pPr>
      <w:spacing w:after="0" w:line="240" w:lineRule="auto"/>
    </w:pPr>
    <w:rPr>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57CF1"/>
    <w:pPr>
      <w:spacing w:before="200" w:after="160" w:line="240" w:lineRule="exact"/>
    </w:pPr>
    <w:rPr>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0585">
      <w:bodyDiv w:val="1"/>
      <w:marLeft w:val="0"/>
      <w:marRight w:val="0"/>
      <w:marTop w:val="0"/>
      <w:marBottom w:val="0"/>
      <w:divBdr>
        <w:top w:val="none" w:sz="0" w:space="0" w:color="auto"/>
        <w:left w:val="none" w:sz="0" w:space="0" w:color="auto"/>
        <w:bottom w:val="none" w:sz="0" w:space="0" w:color="auto"/>
        <w:right w:val="none" w:sz="0" w:space="0" w:color="auto"/>
      </w:divBdr>
    </w:div>
    <w:div w:id="93480570">
      <w:bodyDiv w:val="1"/>
      <w:marLeft w:val="0"/>
      <w:marRight w:val="0"/>
      <w:marTop w:val="0"/>
      <w:marBottom w:val="0"/>
      <w:divBdr>
        <w:top w:val="none" w:sz="0" w:space="0" w:color="auto"/>
        <w:left w:val="none" w:sz="0" w:space="0" w:color="auto"/>
        <w:bottom w:val="none" w:sz="0" w:space="0" w:color="auto"/>
        <w:right w:val="none" w:sz="0" w:space="0" w:color="auto"/>
      </w:divBdr>
    </w:div>
    <w:div w:id="212930913">
      <w:bodyDiv w:val="1"/>
      <w:marLeft w:val="0"/>
      <w:marRight w:val="0"/>
      <w:marTop w:val="0"/>
      <w:marBottom w:val="0"/>
      <w:divBdr>
        <w:top w:val="none" w:sz="0" w:space="0" w:color="auto"/>
        <w:left w:val="none" w:sz="0" w:space="0" w:color="auto"/>
        <w:bottom w:val="none" w:sz="0" w:space="0" w:color="auto"/>
        <w:right w:val="none" w:sz="0" w:space="0" w:color="auto"/>
      </w:divBdr>
    </w:div>
    <w:div w:id="382868587">
      <w:bodyDiv w:val="1"/>
      <w:marLeft w:val="0"/>
      <w:marRight w:val="0"/>
      <w:marTop w:val="0"/>
      <w:marBottom w:val="0"/>
      <w:divBdr>
        <w:top w:val="none" w:sz="0" w:space="0" w:color="auto"/>
        <w:left w:val="none" w:sz="0" w:space="0" w:color="auto"/>
        <w:bottom w:val="none" w:sz="0" w:space="0" w:color="auto"/>
        <w:right w:val="none" w:sz="0" w:space="0" w:color="auto"/>
      </w:divBdr>
    </w:div>
    <w:div w:id="399062418">
      <w:bodyDiv w:val="1"/>
      <w:marLeft w:val="0"/>
      <w:marRight w:val="0"/>
      <w:marTop w:val="0"/>
      <w:marBottom w:val="0"/>
      <w:divBdr>
        <w:top w:val="none" w:sz="0" w:space="0" w:color="auto"/>
        <w:left w:val="none" w:sz="0" w:space="0" w:color="auto"/>
        <w:bottom w:val="none" w:sz="0" w:space="0" w:color="auto"/>
        <w:right w:val="none" w:sz="0" w:space="0" w:color="auto"/>
      </w:divBdr>
    </w:div>
    <w:div w:id="646934168">
      <w:bodyDiv w:val="1"/>
      <w:marLeft w:val="0"/>
      <w:marRight w:val="0"/>
      <w:marTop w:val="0"/>
      <w:marBottom w:val="0"/>
      <w:divBdr>
        <w:top w:val="none" w:sz="0" w:space="0" w:color="auto"/>
        <w:left w:val="none" w:sz="0" w:space="0" w:color="auto"/>
        <w:bottom w:val="none" w:sz="0" w:space="0" w:color="auto"/>
        <w:right w:val="none" w:sz="0" w:space="0" w:color="auto"/>
      </w:divBdr>
    </w:div>
    <w:div w:id="716708736">
      <w:bodyDiv w:val="1"/>
      <w:marLeft w:val="0"/>
      <w:marRight w:val="0"/>
      <w:marTop w:val="0"/>
      <w:marBottom w:val="0"/>
      <w:divBdr>
        <w:top w:val="none" w:sz="0" w:space="0" w:color="auto"/>
        <w:left w:val="none" w:sz="0" w:space="0" w:color="auto"/>
        <w:bottom w:val="none" w:sz="0" w:space="0" w:color="auto"/>
        <w:right w:val="none" w:sz="0" w:space="0" w:color="auto"/>
      </w:divBdr>
    </w:div>
    <w:div w:id="952132674">
      <w:bodyDiv w:val="1"/>
      <w:marLeft w:val="0"/>
      <w:marRight w:val="0"/>
      <w:marTop w:val="0"/>
      <w:marBottom w:val="0"/>
      <w:divBdr>
        <w:top w:val="none" w:sz="0" w:space="0" w:color="auto"/>
        <w:left w:val="none" w:sz="0" w:space="0" w:color="auto"/>
        <w:bottom w:val="none" w:sz="0" w:space="0" w:color="auto"/>
        <w:right w:val="none" w:sz="0" w:space="0" w:color="auto"/>
      </w:divBdr>
    </w:div>
    <w:div w:id="1649479067">
      <w:bodyDiv w:val="1"/>
      <w:marLeft w:val="0"/>
      <w:marRight w:val="0"/>
      <w:marTop w:val="0"/>
      <w:marBottom w:val="0"/>
      <w:divBdr>
        <w:top w:val="none" w:sz="0" w:space="0" w:color="auto"/>
        <w:left w:val="none" w:sz="0" w:space="0" w:color="auto"/>
        <w:bottom w:val="none" w:sz="0" w:space="0" w:color="auto"/>
        <w:right w:val="none" w:sz="0" w:space="0" w:color="auto"/>
      </w:divBdr>
    </w:div>
    <w:div w:id="1891961196">
      <w:bodyDiv w:val="1"/>
      <w:marLeft w:val="0"/>
      <w:marRight w:val="0"/>
      <w:marTop w:val="0"/>
      <w:marBottom w:val="0"/>
      <w:divBdr>
        <w:top w:val="none" w:sz="0" w:space="0" w:color="auto"/>
        <w:left w:val="none" w:sz="0" w:space="0" w:color="auto"/>
        <w:bottom w:val="none" w:sz="0" w:space="0" w:color="auto"/>
        <w:right w:val="none" w:sz="0" w:space="0" w:color="auto"/>
      </w:divBdr>
    </w:div>
    <w:div w:id="1960061664">
      <w:bodyDiv w:val="1"/>
      <w:marLeft w:val="0"/>
      <w:marRight w:val="0"/>
      <w:marTop w:val="0"/>
      <w:marBottom w:val="0"/>
      <w:divBdr>
        <w:top w:val="none" w:sz="0" w:space="0" w:color="auto"/>
        <w:left w:val="none" w:sz="0" w:space="0" w:color="auto"/>
        <w:bottom w:val="none" w:sz="0" w:space="0" w:color="auto"/>
        <w:right w:val="none" w:sz="0" w:space="0" w:color="auto"/>
      </w:divBdr>
    </w:div>
    <w:div w:id="20809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C63A-5A24-476A-A795-FC3F2ADD1BB8}">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B8243F3-DB0F-4D88-AC88-4A96A7C8E1BE}">
  <ds:schemaRefs>
    <ds:schemaRef ds:uri="http://schemas.microsoft.com/sharepoint/v3/contenttype/forms"/>
  </ds:schemaRefs>
</ds:datastoreItem>
</file>

<file path=customXml/itemProps3.xml><?xml version="1.0" encoding="utf-8"?>
<ds:datastoreItem xmlns:ds="http://schemas.openxmlformats.org/officeDocument/2006/customXml" ds:itemID="{B1AFD367-4DCD-486D-9226-E4601719F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9BA1C2-D568-41FF-93D4-FB9C4618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5208</Words>
  <Characters>28649</Characters>
  <Application>Microsoft Office Word</Application>
  <DocSecurity>4</DocSecurity>
  <Lines>238</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2019-02-07T22:08:00Z</cp:lastPrinted>
  <dcterms:created xsi:type="dcterms:W3CDTF">2019-02-07T22:16:00Z</dcterms:created>
  <dcterms:modified xsi:type="dcterms:W3CDTF">2019-02-07T22:16:00Z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