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8C7E5" w14:textId="77777777" w:rsidR="00CE4104" w:rsidRPr="00F57FA4" w:rsidRDefault="00CE4104" w:rsidP="006D31D9">
      <w:pPr>
        <w:jc w:val="center"/>
        <w:rPr>
          <w:b/>
          <w:szCs w:val="20"/>
          <w:lang w:val="es-CO"/>
        </w:rPr>
      </w:pPr>
    </w:p>
    <w:p w14:paraId="07A97E47" w14:textId="77777777" w:rsidR="00B84802" w:rsidRPr="00F57FA4" w:rsidRDefault="00B84802" w:rsidP="006D31D9">
      <w:pPr>
        <w:jc w:val="center"/>
        <w:rPr>
          <w:b/>
          <w:szCs w:val="20"/>
          <w:lang w:val="es-CO"/>
        </w:rPr>
      </w:pPr>
    </w:p>
    <w:p w14:paraId="0C5E145B" w14:textId="77777777" w:rsidR="00B84802" w:rsidRPr="00F57FA4" w:rsidRDefault="00B84802" w:rsidP="006D31D9">
      <w:pPr>
        <w:jc w:val="center"/>
        <w:rPr>
          <w:b/>
          <w:szCs w:val="20"/>
          <w:lang w:val="es-CO"/>
        </w:rPr>
      </w:pPr>
    </w:p>
    <w:p w14:paraId="103FA122" w14:textId="77777777" w:rsidR="00B84802" w:rsidRPr="00F57FA4" w:rsidRDefault="00B84802" w:rsidP="006D31D9">
      <w:pPr>
        <w:jc w:val="center"/>
        <w:rPr>
          <w:b/>
          <w:szCs w:val="20"/>
          <w:lang w:val="es-CO"/>
        </w:rPr>
      </w:pPr>
    </w:p>
    <w:p w14:paraId="7415400F" w14:textId="77777777" w:rsidR="00B84802" w:rsidRPr="00F57FA4" w:rsidRDefault="00B84802" w:rsidP="006D31D9">
      <w:pPr>
        <w:jc w:val="center"/>
        <w:rPr>
          <w:b/>
          <w:szCs w:val="20"/>
          <w:lang w:val="es-CO"/>
        </w:rPr>
      </w:pPr>
    </w:p>
    <w:p w14:paraId="6E476DD1" w14:textId="77777777" w:rsidR="00B84802" w:rsidRPr="00F57FA4" w:rsidRDefault="00B84802" w:rsidP="006D31D9">
      <w:pPr>
        <w:jc w:val="center"/>
        <w:rPr>
          <w:b/>
          <w:szCs w:val="20"/>
          <w:lang w:val="es-CO"/>
        </w:rPr>
      </w:pPr>
    </w:p>
    <w:p w14:paraId="454CDA32" w14:textId="77777777" w:rsidR="00B84802" w:rsidRPr="00F57FA4" w:rsidRDefault="00B84802" w:rsidP="006D31D9">
      <w:pPr>
        <w:jc w:val="center"/>
        <w:rPr>
          <w:b/>
          <w:szCs w:val="20"/>
          <w:lang w:val="es-CO"/>
        </w:rPr>
      </w:pPr>
    </w:p>
    <w:p w14:paraId="305B7FF7" w14:textId="77777777" w:rsidR="00B84802" w:rsidRPr="00F57FA4" w:rsidRDefault="00B84802" w:rsidP="006D31D9">
      <w:pPr>
        <w:jc w:val="center"/>
        <w:rPr>
          <w:b/>
          <w:szCs w:val="20"/>
          <w:lang w:val="es-CO"/>
        </w:rPr>
      </w:pPr>
    </w:p>
    <w:p w14:paraId="4148EB5D" w14:textId="77777777" w:rsidR="008E4658" w:rsidRPr="00F57FA4" w:rsidRDefault="008E4658" w:rsidP="006D31D9">
      <w:pPr>
        <w:jc w:val="center"/>
        <w:rPr>
          <w:b/>
          <w:szCs w:val="20"/>
          <w:lang w:val="es-CO"/>
        </w:rPr>
      </w:pPr>
    </w:p>
    <w:p w14:paraId="257A3750" w14:textId="77777777" w:rsidR="00B84802" w:rsidRPr="00F57FA4" w:rsidRDefault="00B84802" w:rsidP="006D31D9">
      <w:pPr>
        <w:jc w:val="center"/>
        <w:rPr>
          <w:b/>
          <w:szCs w:val="20"/>
          <w:lang w:val="es-CO"/>
        </w:rPr>
      </w:pPr>
    </w:p>
    <w:p w14:paraId="5CA8BA73" w14:textId="77777777" w:rsidR="00CE4104" w:rsidRPr="00F57FA4" w:rsidRDefault="00CE4104" w:rsidP="006D31D9">
      <w:pPr>
        <w:jc w:val="center"/>
        <w:rPr>
          <w:b/>
          <w:szCs w:val="20"/>
          <w:lang w:val="es-CO"/>
        </w:rPr>
      </w:pPr>
      <w:r w:rsidRPr="00F57FA4">
        <w:rPr>
          <w:b/>
          <w:szCs w:val="20"/>
          <w:lang w:val="es-CO"/>
        </w:rPr>
        <w:t xml:space="preserve">RESOLUCIÓN DE LA </w:t>
      </w:r>
      <w:bookmarkStart w:id="0" w:name="_GoBack"/>
      <w:bookmarkEnd w:id="0"/>
    </w:p>
    <w:p w14:paraId="5005A511" w14:textId="77777777" w:rsidR="00CE4104" w:rsidRPr="00F57FA4" w:rsidRDefault="00CE4104" w:rsidP="006D31D9">
      <w:pPr>
        <w:jc w:val="center"/>
        <w:rPr>
          <w:b/>
          <w:szCs w:val="20"/>
          <w:lang w:val="es-CO"/>
        </w:rPr>
      </w:pPr>
    </w:p>
    <w:p w14:paraId="039A6E79" w14:textId="77777777" w:rsidR="00CE4104" w:rsidRPr="00F57FA4" w:rsidRDefault="00CE4104" w:rsidP="006D31D9">
      <w:pPr>
        <w:jc w:val="center"/>
        <w:rPr>
          <w:b/>
          <w:szCs w:val="20"/>
          <w:lang w:val="es-CO"/>
        </w:rPr>
      </w:pPr>
      <w:r w:rsidRPr="00F57FA4">
        <w:rPr>
          <w:b/>
          <w:szCs w:val="20"/>
          <w:lang w:val="es-CO"/>
        </w:rPr>
        <w:t>CORTE INTERAMERICANA DE DERECHOS HUMANOS</w:t>
      </w:r>
      <w:r w:rsidRPr="00F57FA4">
        <w:rPr>
          <w:b/>
          <w:szCs w:val="20"/>
          <w:vertAlign w:val="superscript"/>
          <w:lang w:val="es-CO"/>
        </w:rPr>
        <w:footnoteReference w:id="1"/>
      </w:r>
    </w:p>
    <w:p w14:paraId="568CBDA5" w14:textId="77777777" w:rsidR="00CE4104" w:rsidRPr="00F57FA4" w:rsidRDefault="00CE4104" w:rsidP="006D31D9">
      <w:pPr>
        <w:jc w:val="center"/>
        <w:rPr>
          <w:b/>
          <w:szCs w:val="20"/>
          <w:lang w:val="es-CO"/>
        </w:rPr>
      </w:pPr>
    </w:p>
    <w:p w14:paraId="70544ACA" w14:textId="77777777" w:rsidR="00CE4104" w:rsidRPr="00F57FA4" w:rsidRDefault="006E153E" w:rsidP="006D31D9">
      <w:pPr>
        <w:pStyle w:val="Heading2"/>
        <w:tabs>
          <w:tab w:val="clear" w:pos="720"/>
        </w:tabs>
        <w:rPr>
          <w:color w:val="000000" w:themeColor="text1"/>
          <w:lang w:val="es-CO"/>
        </w:rPr>
      </w:pPr>
      <w:r w:rsidRPr="00F57FA4">
        <w:rPr>
          <w:color w:val="000000" w:themeColor="text1"/>
          <w:lang w:val="es-CO"/>
        </w:rPr>
        <w:t xml:space="preserve">DE </w:t>
      </w:r>
      <w:r w:rsidR="00D801F0">
        <w:rPr>
          <w:color w:val="000000" w:themeColor="text1"/>
          <w:lang w:val="es-CO"/>
        </w:rPr>
        <w:t>31</w:t>
      </w:r>
      <w:r w:rsidR="00B84802" w:rsidRPr="00F57FA4">
        <w:rPr>
          <w:color w:val="000000" w:themeColor="text1"/>
          <w:lang w:val="es-CO"/>
        </w:rPr>
        <w:t xml:space="preserve"> </w:t>
      </w:r>
      <w:r w:rsidR="00CE4104" w:rsidRPr="00F57FA4">
        <w:rPr>
          <w:color w:val="000000" w:themeColor="text1"/>
          <w:lang w:val="es-CO"/>
        </w:rPr>
        <w:t>AGOSTO DE 2017</w:t>
      </w:r>
    </w:p>
    <w:p w14:paraId="6CC61E24" w14:textId="77777777" w:rsidR="00CE4104" w:rsidRPr="00F57FA4" w:rsidRDefault="00CE4104" w:rsidP="006D31D9">
      <w:pPr>
        <w:jc w:val="center"/>
        <w:rPr>
          <w:b/>
          <w:szCs w:val="20"/>
          <w:lang w:val="es-CO"/>
        </w:rPr>
      </w:pPr>
    </w:p>
    <w:p w14:paraId="077F478A" w14:textId="77777777" w:rsidR="00CE4104" w:rsidRPr="00F57FA4" w:rsidRDefault="00CE4104" w:rsidP="006D31D9">
      <w:pPr>
        <w:jc w:val="center"/>
        <w:rPr>
          <w:b/>
          <w:szCs w:val="20"/>
          <w:u w:val="single"/>
          <w:lang w:val="es-CO"/>
        </w:rPr>
      </w:pPr>
      <w:r w:rsidRPr="00F57FA4">
        <w:rPr>
          <w:b/>
          <w:szCs w:val="20"/>
          <w:lang w:val="es-CO"/>
        </w:rPr>
        <w:t>MEDIDAS PROVISIONALES RESPECTO DE BRASIL</w:t>
      </w:r>
    </w:p>
    <w:p w14:paraId="38E8215F" w14:textId="77777777" w:rsidR="00CE4104" w:rsidRPr="00F57FA4" w:rsidRDefault="00CE4104" w:rsidP="006D31D9">
      <w:pPr>
        <w:jc w:val="center"/>
        <w:rPr>
          <w:b/>
          <w:szCs w:val="20"/>
          <w:lang w:val="es-CO"/>
        </w:rPr>
      </w:pPr>
    </w:p>
    <w:p w14:paraId="3C5501BE" w14:textId="77777777" w:rsidR="00CE4104" w:rsidRPr="00F57FA4" w:rsidRDefault="00CE4104" w:rsidP="006D31D9">
      <w:pPr>
        <w:jc w:val="center"/>
        <w:rPr>
          <w:b/>
          <w:szCs w:val="20"/>
          <w:lang w:val="es-CO"/>
        </w:rPr>
      </w:pPr>
      <w:r w:rsidRPr="00F57FA4">
        <w:rPr>
          <w:b/>
          <w:szCs w:val="20"/>
          <w:lang w:val="es-CO"/>
        </w:rPr>
        <w:t>ASUNTO DEL INSTITUTO PENAL PLÁCIDO DE SÁ CARVALHO</w:t>
      </w:r>
    </w:p>
    <w:p w14:paraId="2430B3C3" w14:textId="77777777" w:rsidR="00CE4104" w:rsidRPr="00F57FA4" w:rsidRDefault="00CE4104" w:rsidP="006D31D9">
      <w:pPr>
        <w:rPr>
          <w:b/>
          <w:szCs w:val="20"/>
          <w:lang w:val="es-CO"/>
        </w:rPr>
      </w:pPr>
    </w:p>
    <w:p w14:paraId="7B6CFC3B" w14:textId="77777777" w:rsidR="00CE4104" w:rsidRPr="00F57FA4" w:rsidRDefault="00CE4104" w:rsidP="006D31D9">
      <w:pPr>
        <w:rPr>
          <w:b/>
          <w:szCs w:val="20"/>
          <w:lang w:val="es-CO"/>
        </w:rPr>
      </w:pPr>
    </w:p>
    <w:p w14:paraId="1F154CB6" w14:textId="77777777" w:rsidR="00CE4104" w:rsidRPr="00F57FA4" w:rsidRDefault="00CE4104" w:rsidP="006D31D9">
      <w:pPr>
        <w:rPr>
          <w:b/>
          <w:szCs w:val="20"/>
          <w:lang w:val="es-CO"/>
        </w:rPr>
      </w:pPr>
      <w:r w:rsidRPr="00F57FA4">
        <w:rPr>
          <w:b/>
          <w:szCs w:val="20"/>
          <w:lang w:val="es-CO"/>
        </w:rPr>
        <w:t>VISTO:</w:t>
      </w:r>
    </w:p>
    <w:p w14:paraId="0F2C9D8A" w14:textId="77777777" w:rsidR="00CE4104" w:rsidRPr="00F57FA4" w:rsidRDefault="00CE4104" w:rsidP="006D31D9">
      <w:pPr>
        <w:rPr>
          <w:b/>
          <w:szCs w:val="20"/>
          <w:lang w:val="es-CO"/>
        </w:rPr>
      </w:pPr>
    </w:p>
    <w:p w14:paraId="3DA46C2F" w14:textId="77777777" w:rsidR="00CE4104" w:rsidRPr="00F57FA4" w:rsidRDefault="00B84802" w:rsidP="006D31D9">
      <w:pPr>
        <w:pStyle w:val="ListParagraph"/>
        <w:numPr>
          <w:ilvl w:val="0"/>
          <w:numId w:val="1"/>
        </w:numPr>
        <w:ind w:left="0" w:firstLine="0"/>
        <w:contextualSpacing w:val="0"/>
        <w:outlineLvl w:val="0"/>
        <w:rPr>
          <w:szCs w:val="20"/>
          <w:lang w:val="es-CO"/>
        </w:rPr>
      </w:pPr>
      <w:r w:rsidRPr="00F57FA4">
        <w:rPr>
          <w:rFonts w:cs="Arial"/>
          <w:lang w:val="es-CO"/>
        </w:rPr>
        <w:t>La Resolución emitida</w:t>
      </w:r>
      <w:r w:rsidR="00CE4104" w:rsidRPr="00F57FA4">
        <w:rPr>
          <w:rFonts w:cs="Arial"/>
          <w:lang w:val="es-CO"/>
        </w:rPr>
        <w:t xml:space="preserve"> por la Corte Interamericana de Derechos Humanos (en adelante “la Corte Interamericana”, “la Corte” o “el Tribunal”) el 13</w:t>
      </w:r>
      <w:r w:rsidRPr="00F57FA4">
        <w:rPr>
          <w:szCs w:val="20"/>
          <w:lang w:val="es-CO"/>
        </w:rPr>
        <w:t xml:space="preserve"> de febrero de 2017, en la</w:t>
      </w:r>
      <w:r w:rsidR="00CE4104" w:rsidRPr="00F57FA4">
        <w:rPr>
          <w:szCs w:val="20"/>
          <w:lang w:val="es-CO"/>
        </w:rPr>
        <w:t xml:space="preserve"> cual, entre otros, se requirió a la República Federativa de Brasil (en adelante “Brasil” o “el Estado”) </w:t>
      </w:r>
      <w:r w:rsidRPr="00F57FA4">
        <w:rPr>
          <w:szCs w:val="20"/>
          <w:lang w:val="es-CO"/>
        </w:rPr>
        <w:t>adoptar</w:t>
      </w:r>
      <w:r w:rsidR="00CE4104" w:rsidRPr="00F57FA4">
        <w:rPr>
          <w:szCs w:val="20"/>
          <w:lang w:val="es-CO"/>
        </w:rPr>
        <w:t xml:space="preserve"> de </w:t>
      </w:r>
      <w:r w:rsidR="00CE4104" w:rsidRPr="00F57FA4">
        <w:rPr>
          <w:rFonts w:eastAsia="Times"/>
          <w:szCs w:val="20"/>
          <w:lang w:val="es-CO"/>
        </w:rPr>
        <w:t xml:space="preserve">forma inmediata </w:t>
      </w:r>
      <w:r w:rsidR="00CE4104" w:rsidRPr="00F57FA4">
        <w:rPr>
          <w:szCs w:val="20"/>
          <w:lang w:val="es-CO"/>
        </w:rPr>
        <w:t xml:space="preserve">todas las medidas que fueran necesarias para proteger eficazmente la vida y la integridad personal de las personas privadas de libertad en el Instituto Penal Plácido de Sá Carvalho (en adelante también </w:t>
      </w:r>
      <w:r w:rsidR="006D31D9" w:rsidRPr="00F57FA4">
        <w:rPr>
          <w:szCs w:val="20"/>
          <w:lang w:val="es-CO"/>
        </w:rPr>
        <w:t xml:space="preserve">“el Instituto” o </w:t>
      </w:r>
      <w:r w:rsidR="00CE4104" w:rsidRPr="00F57FA4">
        <w:rPr>
          <w:szCs w:val="20"/>
          <w:lang w:val="es-CO"/>
        </w:rPr>
        <w:t>“IPPSC”), así como de cualquier persona que se encuentre en dicho establecimiento, ubicado en el Complejo Penitenciario de Gericinó, en la c</w:t>
      </w:r>
      <w:r w:rsidRPr="00F57FA4">
        <w:rPr>
          <w:szCs w:val="20"/>
          <w:lang w:val="es-CO"/>
        </w:rPr>
        <w:t>iudad de Rio de Janeiro, Brasil.</w:t>
      </w:r>
    </w:p>
    <w:p w14:paraId="67D711A0" w14:textId="77777777" w:rsidR="00B84802" w:rsidRPr="00F57FA4" w:rsidRDefault="00B84802" w:rsidP="006D31D9">
      <w:pPr>
        <w:pStyle w:val="ListParagraph"/>
        <w:ind w:left="0"/>
        <w:contextualSpacing w:val="0"/>
        <w:outlineLvl w:val="0"/>
        <w:rPr>
          <w:szCs w:val="20"/>
          <w:lang w:val="es-CO"/>
        </w:rPr>
      </w:pPr>
    </w:p>
    <w:p w14:paraId="40CC1D10" w14:textId="3B272F2A" w:rsidR="00B84802" w:rsidRPr="00F57FA4" w:rsidRDefault="00394545" w:rsidP="006D31D9">
      <w:pPr>
        <w:pStyle w:val="ListParagraph"/>
        <w:numPr>
          <w:ilvl w:val="0"/>
          <w:numId w:val="1"/>
        </w:numPr>
        <w:snapToGrid w:val="0"/>
        <w:ind w:left="0" w:firstLine="0"/>
        <w:contextualSpacing w:val="0"/>
        <w:rPr>
          <w:szCs w:val="20"/>
          <w:lang w:val="es-CO"/>
        </w:rPr>
      </w:pPr>
      <w:r w:rsidRPr="00F57FA4">
        <w:rPr>
          <w:rFonts w:cs="Arial"/>
          <w:lang w:val="es-CO"/>
        </w:rPr>
        <w:t xml:space="preserve">Los escritos recibidos entre abril y </w:t>
      </w:r>
      <w:r w:rsidR="003460A2" w:rsidRPr="00F57FA4">
        <w:rPr>
          <w:rFonts w:cs="Arial"/>
          <w:lang w:val="es-CO"/>
        </w:rPr>
        <w:t>julio</w:t>
      </w:r>
      <w:r w:rsidR="00CE4104" w:rsidRPr="00F57FA4">
        <w:rPr>
          <w:rFonts w:cs="Arial"/>
          <w:lang w:val="es-CO"/>
        </w:rPr>
        <w:t xml:space="preserve"> de 2017, mediante los cuales el Estado presentó informes sobre el cumplimiento de las presentes m</w:t>
      </w:r>
      <w:r w:rsidR="003778BE" w:rsidRPr="00F57FA4">
        <w:rPr>
          <w:rFonts w:cs="Arial"/>
          <w:lang w:val="es-CO"/>
        </w:rPr>
        <w:t xml:space="preserve">edidas provisionales; </w:t>
      </w:r>
      <w:r w:rsidR="006D31D9" w:rsidRPr="00F57FA4">
        <w:rPr>
          <w:rFonts w:cs="Arial"/>
          <w:lang w:val="es-CO"/>
        </w:rPr>
        <w:t>l</w:t>
      </w:r>
      <w:r w:rsidR="003778BE" w:rsidRPr="00F57FA4">
        <w:rPr>
          <w:rFonts w:cs="Arial"/>
          <w:lang w:val="es-CO"/>
        </w:rPr>
        <w:t>os R</w:t>
      </w:r>
      <w:r w:rsidR="00CE4104" w:rsidRPr="00F57FA4">
        <w:rPr>
          <w:rFonts w:cs="Arial"/>
          <w:lang w:val="es-CO"/>
        </w:rPr>
        <w:t xml:space="preserve">epresentantes de los beneficiarios (en adelante “representantes”) </w:t>
      </w:r>
      <w:r w:rsidR="00094A1C">
        <w:rPr>
          <w:rFonts w:cs="Arial"/>
          <w:lang w:val="es-CO"/>
        </w:rPr>
        <w:t>remitieron</w:t>
      </w:r>
      <w:r w:rsidR="00094A1C" w:rsidRPr="00F57FA4">
        <w:rPr>
          <w:rFonts w:cs="Arial"/>
          <w:lang w:val="es-CO"/>
        </w:rPr>
        <w:t xml:space="preserve"> </w:t>
      </w:r>
      <w:r w:rsidR="00CE4104" w:rsidRPr="00F57FA4">
        <w:rPr>
          <w:rFonts w:cs="Arial"/>
          <w:lang w:val="es-CO"/>
        </w:rPr>
        <w:t>sus observaciones a los informes estatale</w:t>
      </w:r>
      <w:r w:rsidR="00AC72DB" w:rsidRPr="00F57FA4">
        <w:rPr>
          <w:rFonts w:cs="Arial"/>
          <w:lang w:val="es-CO"/>
        </w:rPr>
        <w:t>s</w:t>
      </w:r>
      <w:r w:rsidR="009B1CB1">
        <w:rPr>
          <w:rFonts w:cs="Arial"/>
          <w:lang w:val="es-CO"/>
        </w:rPr>
        <w:t>,</w:t>
      </w:r>
      <w:r w:rsidR="00AC72DB" w:rsidRPr="00F57FA4">
        <w:rPr>
          <w:rFonts w:cs="Arial"/>
          <w:lang w:val="es-CO"/>
        </w:rPr>
        <w:t xml:space="preserve"> </w:t>
      </w:r>
      <w:r w:rsidR="007C50BE">
        <w:rPr>
          <w:rFonts w:cs="Arial"/>
          <w:lang w:val="es-CO"/>
        </w:rPr>
        <w:t>así como</w:t>
      </w:r>
      <w:r w:rsidR="00CE4104" w:rsidRPr="00F57FA4">
        <w:rPr>
          <w:rFonts w:cs="Arial"/>
          <w:lang w:val="es-CO"/>
        </w:rPr>
        <w:t xml:space="preserve"> información </w:t>
      </w:r>
      <w:r w:rsidR="007C50BE">
        <w:rPr>
          <w:rFonts w:cs="Arial"/>
          <w:lang w:val="es-CO"/>
        </w:rPr>
        <w:t>relativa al</w:t>
      </w:r>
      <w:r w:rsidR="006D31D9" w:rsidRPr="00F57FA4">
        <w:rPr>
          <w:rFonts w:cs="Arial"/>
          <w:lang w:val="es-CO"/>
        </w:rPr>
        <w:t xml:space="preserve"> cumplimiento de las medidas provisionales</w:t>
      </w:r>
      <w:r w:rsidR="00B84802" w:rsidRPr="00F57FA4">
        <w:rPr>
          <w:rFonts w:cs="Arial"/>
          <w:lang w:val="es-CO"/>
        </w:rPr>
        <w:t xml:space="preserve">; y la Comisión Interamericana de Derechos Humanos </w:t>
      </w:r>
      <w:r w:rsidR="00B84802" w:rsidRPr="00F57FA4">
        <w:rPr>
          <w:szCs w:val="20"/>
          <w:lang w:val="es-CO"/>
        </w:rPr>
        <w:t>(en adelante “la Comisión Interamericana” o “la Comisión”)</w:t>
      </w:r>
      <w:r w:rsidR="00B84802" w:rsidRPr="00F57FA4">
        <w:rPr>
          <w:rFonts w:cs="Arial"/>
          <w:lang w:val="es-CO"/>
        </w:rPr>
        <w:t xml:space="preserve"> presentó </w:t>
      </w:r>
      <w:r w:rsidR="007C50BE">
        <w:rPr>
          <w:rFonts w:cs="Arial"/>
          <w:lang w:val="es-CO"/>
        </w:rPr>
        <w:t xml:space="preserve">las correspondientes </w:t>
      </w:r>
      <w:r w:rsidR="00B84802" w:rsidRPr="00F57FA4">
        <w:rPr>
          <w:rFonts w:cs="Arial"/>
          <w:lang w:val="es-CO"/>
        </w:rPr>
        <w:t>observaciones.</w:t>
      </w:r>
    </w:p>
    <w:p w14:paraId="7183C4E7" w14:textId="77777777" w:rsidR="00B84802" w:rsidRPr="00F57FA4" w:rsidRDefault="00B84802" w:rsidP="006D31D9">
      <w:pPr>
        <w:pStyle w:val="ListParagraph"/>
        <w:snapToGrid w:val="0"/>
        <w:ind w:left="0"/>
        <w:contextualSpacing w:val="0"/>
        <w:outlineLvl w:val="0"/>
        <w:rPr>
          <w:szCs w:val="20"/>
          <w:lang w:val="es-CO"/>
        </w:rPr>
      </w:pPr>
    </w:p>
    <w:p w14:paraId="6725C6CE" w14:textId="694936E5" w:rsidR="00B84802" w:rsidRPr="00F57FA4" w:rsidRDefault="00B84802" w:rsidP="006D31D9">
      <w:pPr>
        <w:pStyle w:val="ListParagraph"/>
        <w:numPr>
          <w:ilvl w:val="0"/>
          <w:numId w:val="1"/>
        </w:numPr>
        <w:snapToGrid w:val="0"/>
        <w:ind w:left="0" w:firstLine="0"/>
        <w:contextualSpacing w:val="0"/>
        <w:outlineLvl w:val="0"/>
        <w:rPr>
          <w:szCs w:val="20"/>
          <w:lang w:val="es-CO"/>
        </w:rPr>
      </w:pPr>
      <w:r w:rsidRPr="00F57FA4">
        <w:rPr>
          <w:szCs w:val="20"/>
          <w:lang w:val="es-CO"/>
        </w:rPr>
        <w:t>El informe del Mecanismo Esta</w:t>
      </w:r>
      <w:r w:rsidR="00D801F0">
        <w:rPr>
          <w:szCs w:val="20"/>
          <w:lang w:val="es-CO"/>
        </w:rPr>
        <w:t>du</w:t>
      </w:r>
      <w:r w:rsidRPr="00F57FA4">
        <w:rPr>
          <w:szCs w:val="20"/>
          <w:lang w:val="es-CO"/>
        </w:rPr>
        <w:t>al para la Prevención y Combate contra la Tortura</w:t>
      </w:r>
      <w:r w:rsidR="006D31D9" w:rsidRPr="00F57FA4">
        <w:rPr>
          <w:szCs w:val="20"/>
          <w:lang w:val="es-CO"/>
        </w:rPr>
        <w:t xml:space="preserve"> del Estado de Río de Janeiro</w:t>
      </w:r>
      <w:r w:rsidRPr="00F57FA4">
        <w:rPr>
          <w:szCs w:val="20"/>
          <w:lang w:val="es-CO"/>
        </w:rPr>
        <w:t xml:space="preserve"> (</w:t>
      </w:r>
      <w:r w:rsidR="006D31D9" w:rsidRPr="00F57FA4">
        <w:rPr>
          <w:szCs w:val="20"/>
          <w:lang w:val="es-CO"/>
        </w:rPr>
        <w:t>en adelante “</w:t>
      </w:r>
      <w:r w:rsidRPr="00F57FA4">
        <w:rPr>
          <w:szCs w:val="20"/>
          <w:lang w:val="es-CO"/>
        </w:rPr>
        <w:t>MEPCT-RJ</w:t>
      </w:r>
      <w:r w:rsidR="006D31D9" w:rsidRPr="00F57FA4">
        <w:rPr>
          <w:szCs w:val="20"/>
          <w:lang w:val="es-CO"/>
        </w:rPr>
        <w:t>”</w:t>
      </w:r>
      <w:r w:rsidRPr="00F57FA4">
        <w:rPr>
          <w:szCs w:val="20"/>
          <w:lang w:val="es-CO"/>
        </w:rPr>
        <w:t xml:space="preserve">) respecto a la visita realizada </w:t>
      </w:r>
      <w:r w:rsidR="00D80EDB">
        <w:rPr>
          <w:szCs w:val="20"/>
          <w:lang w:val="es-CO"/>
        </w:rPr>
        <w:t>al</w:t>
      </w:r>
      <w:r w:rsidRPr="00F57FA4">
        <w:rPr>
          <w:szCs w:val="20"/>
          <w:lang w:val="es-CO"/>
        </w:rPr>
        <w:t xml:space="preserve"> Instituto Penal Plácido de Sá Carvalho el 24 de abril de 2017</w:t>
      </w:r>
      <w:r w:rsidR="009B1CB1">
        <w:rPr>
          <w:szCs w:val="20"/>
          <w:lang w:val="es-CO"/>
        </w:rPr>
        <w:t xml:space="preserve">, recibido el </w:t>
      </w:r>
      <w:r w:rsidR="00630863">
        <w:rPr>
          <w:szCs w:val="20"/>
          <w:lang w:val="es-CO"/>
        </w:rPr>
        <w:t>17 de mayo de 2017</w:t>
      </w:r>
      <w:r w:rsidR="007C50BE" w:rsidRPr="00210BE0">
        <w:rPr>
          <w:szCs w:val="20"/>
          <w:lang w:val="es-CO"/>
        </w:rPr>
        <w:t>.</w:t>
      </w:r>
      <w:r w:rsidRPr="00F57FA4">
        <w:rPr>
          <w:rFonts w:cs="Arial"/>
          <w:lang w:val="es-CO"/>
        </w:rPr>
        <w:t xml:space="preserve"> </w:t>
      </w:r>
    </w:p>
    <w:p w14:paraId="2F48B477" w14:textId="77777777" w:rsidR="00B84802" w:rsidRPr="00F57FA4" w:rsidRDefault="00B84802" w:rsidP="006D31D9">
      <w:pPr>
        <w:pStyle w:val="ListParagraph"/>
        <w:snapToGrid w:val="0"/>
        <w:ind w:left="0"/>
        <w:contextualSpacing w:val="0"/>
        <w:rPr>
          <w:szCs w:val="20"/>
          <w:lang w:val="es-CO"/>
        </w:rPr>
      </w:pPr>
    </w:p>
    <w:p w14:paraId="133FF4BA" w14:textId="77777777" w:rsidR="00CE4104" w:rsidRPr="00F57FA4" w:rsidRDefault="00CE4104" w:rsidP="006D31D9">
      <w:pPr>
        <w:pStyle w:val="ListParagraph"/>
        <w:numPr>
          <w:ilvl w:val="0"/>
          <w:numId w:val="1"/>
        </w:numPr>
        <w:snapToGrid w:val="0"/>
        <w:ind w:left="0" w:firstLine="0"/>
        <w:contextualSpacing w:val="0"/>
        <w:rPr>
          <w:szCs w:val="20"/>
          <w:lang w:val="es-CO"/>
        </w:rPr>
      </w:pPr>
      <w:r w:rsidRPr="00F57FA4">
        <w:rPr>
          <w:szCs w:val="20"/>
          <w:lang w:val="es-CO"/>
        </w:rPr>
        <w:t xml:space="preserve">La diligencia </w:t>
      </w:r>
      <w:r w:rsidR="00651BF4" w:rsidRPr="00651BF4">
        <w:rPr>
          <w:i/>
          <w:szCs w:val="20"/>
          <w:lang w:val="es-CO"/>
        </w:rPr>
        <w:t>in situ</w:t>
      </w:r>
      <w:r w:rsidRPr="00F57FA4">
        <w:rPr>
          <w:szCs w:val="20"/>
          <w:lang w:val="es-CO"/>
        </w:rPr>
        <w:t xml:space="preserve"> realizada por la Corte al IPPSC el 19 de junio de 2017</w:t>
      </w:r>
      <w:r w:rsidR="007C50BE">
        <w:rPr>
          <w:szCs w:val="20"/>
          <w:lang w:val="es-CO"/>
        </w:rPr>
        <w:t>.</w:t>
      </w:r>
    </w:p>
    <w:p w14:paraId="179C3F97" w14:textId="77777777" w:rsidR="00CE4104" w:rsidRPr="00F57FA4" w:rsidRDefault="00CE4104" w:rsidP="006D31D9">
      <w:pPr>
        <w:pStyle w:val="ListParagraph"/>
        <w:rPr>
          <w:rFonts w:cs="Arial"/>
          <w:lang w:val="es-CO"/>
        </w:rPr>
      </w:pPr>
    </w:p>
    <w:p w14:paraId="60404A49" w14:textId="77777777" w:rsidR="00CE4104" w:rsidRPr="00F57FA4" w:rsidRDefault="00CE4104" w:rsidP="006D31D9">
      <w:pPr>
        <w:pStyle w:val="ListParagraph"/>
        <w:snapToGrid w:val="0"/>
        <w:ind w:left="0"/>
        <w:contextualSpacing w:val="0"/>
        <w:rPr>
          <w:b/>
          <w:szCs w:val="20"/>
          <w:lang w:val="es-CO"/>
        </w:rPr>
      </w:pPr>
      <w:r w:rsidRPr="00F57FA4">
        <w:rPr>
          <w:b/>
          <w:szCs w:val="20"/>
          <w:lang w:val="es-CO"/>
        </w:rPr>
        <w:t>CONSIDERANDO QUE:</w:t>
      </w:r>
    </w:p>
    <w:p w14:paraId="1D6EC8D5" w14:textId="77777777" w:rsidR="00CE4104" w:rsidRPr="00F57FA4" w:rsidRDefault="00CE4104" w:rsidP="006D31D9">
      <w:pPr>
        <w:pStyle w:val="ListParagraph"/>
        <w:snapToGrid w:val="0"/>
        <w:ind w:left="0"/>
        <w:contextualSpacing w:val="0"/>
        <w:rPr>
          <w:b/>
          <w:szCs w:val="20"/>
          <w:lang w:val="es-CO"/>
        </w:rPr>
      </w:pPr>
    </w:p>
    <w:p w14:paraId="3E1B65F3" w14:textId="01FC6F42" w:rsidR="00CE4104" w:rsidRPr="00F57FA4" w:rsidRDefault="00CE4104" w:rsidP="006D31D9">
      <w:pPr>
        <w:pStyle w:val="ListParagraph"/>
        <w:numPr>
          <w:ilvl w:val="0"/>
          <w:numId w:val="20"/>
        </w:numPr>
        <w:snapToGrid w:val="0"/>
        <w:ind w:left="0" w:firstLine="0"/>
        <w:contextualSpacing w:val="0"/>
        <w:rPr>
          <w:szCs w:val="20"/>
          <w:lang w:val="es-CO"/>
        </w:rPr>
      </w:pPr>
      <w:r w:rsidRPr="00F57FA4">
        <w:rPr>
          <w:rFonts w:cs="Arial"/>
          <w:lang w:val="es-CO"/>
        </w:rPr>
        <w:t xml:space="preserve">En </w:t>
      </w:r>
      <w:r w:rsidR="00AC72DB" w:rsidRPr="00F57FA4">
        <w:rPr>
          <w:rFonts w:cs="Arial"/>
          <w:lang w:val="es-CO"/>
        </w:rPr>
        <w:t xml:space="preserve"> </w:t>
      </w:r>
      <w:r w:rsidRPr="00F57FA4">
        <w:rPr>
          <w:lang w:val="es-CO"/>
        </w:rPr>
        <w:t xml:space="preserve">Resolución de 13 de febrero de 2017, la Corte </w:t>
      </w:r>
      <w:r w:rsidR="000811B3">
        <w:rPr>
          <w:lang w:val="es-CO"/>
        </w:rPr>
        <w:t xml:space="preserve">resolvió </w:t>
      </w:r>
      <w:r w:rsidRPr="00F57FA4">
        <w:rPr>
          <w:lang w:val="es-CO"/>
        </w:rPr>
        <w:t xml:space="preserve">que el Estado </w:t>
      </w:r>
      <w:r w:rsidR="000811B3">
        <w:rPr>
          <w:lang w:val="es-CO"/>
        </w:rPr>
        <w:t>debía, de forma inmediata</w:t>
      </w:r>
      <w:r w:rsidRPr="00F57FA4">
        <w:rPr>
          <w:lang w:val="es-CO"/>
        </w:rPr>
        <w:t>: a)</w:t>
      </w:r>
      <w:r w:rsidRPr="00F57FA4">
        <w:rPr>
          <w:rFonts w:eastAsia="Verdana" w:cs="Verdana"/>
          <w:szCs w:val="20"/>
          <w:lang w:val="es-CO"/>
        </w:rPr>
        <w:t xml:space="preserve"> adoptar todas las medidas necesarias para proteger eficazmente la vida </w:t>
      </w:r>
      <w:r w:rsidR="00D739A0">
        <w:rPr>
          <w:rFonts w:eastAsia="Verdana" w:cs="Verdana"/>
          <w:szCs w:val="20"/>
          <w:lang w:val="es-CO"/>
        </w:rPr>
        <w:t>e</w:t>
      </w:r>
      <w:r w:rsidRPr="00F57FA4">
        <w:rPr>
          <w:rFonts w:eastAsia="Verdana" w:cs="Verdana"/>
          <w:szCs w:val="20"/>
          <w:lang w:val="es-CO"/>
        </w:rPr>
        <w:t xml:space="preserve"> integridad personal de todas las personas privadas de libertad en el </w:t>
      </w:r>
      <w:r w:rsidRPr="00F57FA4">
        <w:rPr>
          <w:szCs w:val="20"/>
          <w:lang w:val="es-CO"/>
        </w:rPr>
        <w:t xml:space="preserve">Instituto Penal Plácido </w:t>
      </w:r>
      <w:r w:rsidRPr="00F57FA4">
        <w:rPr>
          <w:szCs w:val="20"/>
          <w:lang w:val="es-CO"/>
        </w:rPr>
        <w:lastRenderedPageBreak/>
        <w:t>de Sá Carvalho</w:t>
      </w:r>
      <w:r w:rsidR="00C03C2E">
        <w:rPr>
          <w:rStyle w:val="FootnoteReference"/>
        </w:rPr>
        <w:footnoteReference w:id="2"/>
      </w:r>
      <w:r w:rsidR="00EE5F44">
        <w:rPr>
          <w:szCs w:val="20"/>
          <w:lang w:val="es-CO"/>
        </w:rPr>
        <w:t>;</w:t>
      </w:r>
      <w:r w:rsidRPr="00F57FA4">
        <w:rPr>
          <w:lang w:val="es-CO"/>
        </w:rPr>
        <w:t xml:space="preserve"> b) </w:t>
      </w:r>
      <w:r w:rsidRPr="00F57FA4">
        <w:rPr>
          <w:rFonts w:eastAsia="Verdana" w:cs="Verdana"/>
          <w:szCs w:val="20"/>
          <w:lang w:val="es-CO"/>
        </w:rPr>
        <w:t>erradicar concretamente los riesgos de muerte no natural y de atentados contra la vida y la integridad personal de las personas privadas de libertad en el centro penitenciario</w:t>
      </w:r>
      <w:r w:rsidR="00C03C2E">
        <w:rPr>
          <w:rStyle w:val="FootnoteReference"/>
        </w:rPr>
        <w:footnoteReference w:id="3"/>
      </w:r>
      <w:r w:rsidR="00EE5F44">
        <w:rPr>
          <w:rFonts w:eastAsia="Verdana" w:cs="Verdana"/>
          <w:szCs w:val="20"/>
          <w:lang w:val="es-CO"/>
        </w:rPr>
        <w:t>;</w:t>
      </w:r>
      <w:r w:rsidRPr="00F57FA4">
        <w:rPr>
          <w:lang w:val="es-CO"/>
        </w:rPr>
        <w:t xml:space="preserve"> c) </w:t>
      </w:r>
      <w:r w:rsidRPr="00F57FA4">
        <w:rPr>
          <w:szCs w:val="20"/>
          <w:lang w:val="es-CO"/>
        </w:rPr>
        <w:t xml:space="preserve">presentar a la Corte el “Plan de Reducción de la </w:t>
      </w:r>
      <w:r w:rsidR="00D801F0">
        <w:rPr>
          <w:szCs w:val="20"/>
          <w:lang w:val="es-CO"/>
        </w:rPr>
        <w:t>Superpoblación</w:t>
      </w:r>
      <w:r w:rsidRPr="00F57FA4">
        <w:rPr>
          <w:szCs w:val="20"/>
          <w:lang w:val="es-CO"/>
        </w:rPr>
        <w:t xml:space="preserve"> del Sistema Carcelario Fluminense” a más tardar el 31 de marzo de 2017, el cual deb</w:t>
      </w:r>
      <w:r w:rsidR="00D92BC1">
        <w:rPr>
          <w:szCs w:val="20"/>
          <w:lang w:val="es-CO"/>
        </w:rPr>
        <w:t xml:space="preserve">ía </w:t>
      </w:r>
      <w:r w:rsidRPr="00F57FA4">
        <w:rPr>
          <w:szCs w:val="20"/>
          <w:lang w:val="es-CO"/>
        </w:rPr>
        <w:t xml:space="preserve">incluir medidas para enfrentar la situación de hacinamiento y </w:t>
      </w:r>
      <w:r w:rsidR="00D801F0">
        <w:rPr>
          <w:szCs w:val="20"/>
          <w:lang w:val="es-CO"/>
        </w:rPr>
        <w:t>superpoblación</w:t>
      </w:r>
      <w:r w:rsidR="00D92BC1" w:rsidRPr="00F57FA4">
        <w:rPr>
          <w:szCs w:val="20"/>
          <w:lang w:val="es-CO"/>
        </w:rPr>
        <w:t xml:space="preserve"> </w:t>
      </w:r>
      <w:r w:rsidRPr="00F57FA4">
        <w:rPr>
          <w:szCs w:val="20"/>
          <w:lang w:val="es-CO"/>
        </w:rPr>
        <w:t>del Instituto Penal Plácido de Sá Carvalho</w:t>
      </w:r>
      <w:r w:rsidR="00C03C2E">
        <w:rPr>
          <w:rStyle w:val="FootnoteReference"/>
        </w:rPr>
        <w:footnoteReference w:id="4"/>
      </w:r>
      <w:r w:rsidR="00EE5F44">
        <w:rPr>
          <w:szCs w:val="20"/>
          <w:lang w:val="es-CO"/>
        </w:rPr>
        <w:t>;</w:t>
      </w:r>
      <w:r w:rsidRPr="00F57FA4">
        <w:rPr>
          <w:szCs w:val="20"/>
          <w:lang w:val="es-CO"/>
        </w:rPr>
        <w:t xml:space="preserve"> d) </w:t>
      </w:r>
      <w:r w:rsidRPr="00F57FA4">
        <w:rPr>
          <w:rFonts w:eastAsia="Verdana" w:cs="Verdana"/>
          <w:szCs w:val="20"/>
          <w:lang w:val="es-CO"/>
        </w:rPr>
        <w:t>inform</w:t>
      </w:r>
      <w:r w:rsidR="00C03C2E">
        <w:rPr>
          <w:rFonts w:eastAsia="Verdana" w:cs="Verdana"/>
          <w:szCs w:val="20"/>
          <w:lang w:val="es-CO"/>
        </w:rPr>
        <w:t>ar</w:t>
      </w:r>
      <w:r w:rsidRPr="00F57FA4">
        <w:rPr>
          <w:rFonts w:eastAsia="Verdana" w:cs="Verdana"/>
          <w:szCs w:val="20"/>
          <w:lang w:val="es-CO"/>
        </w:rPr>
        <w:t xml:space="preserve"> a la Corte Interamericana de Derechos Humanos a más tardar el 31 de marzo de 2017 sobre las medidas provisionales adoptadas de conformidad con esta decisión. Con posterioridad, el Estado deberá presentar</w:t>
      </w:r>
      <w:r w:rsidR="00EE4192">
        <w:rPr>
          <w:rFonts w:eastAsia="Verdana" w:cs="Verdana"/>
          <w:szCs w:val="20"/>
          <w:lang w:val="es-CO"/>
        </w:rPr>
        <w:t xml:space="preserve"> -cada tres meses-</w:t>
      </w:r>
      <w:r w:rsidRPr="00F57FA4">
        <w:rPr>
          <w:rFonts w:eastAsia="Verdana" w:cs="Verdana"/>
          <w:szCs w:val="20"/>
          <w:lang w:val="es-CO"/>
        </w:rPr>
        <w:t xml:space="preserve"> un informe periódico con las medidas adoptadas de conformidad con esta decisión</w:t>
      </w:r>
      <w:r w:rsidRPr="00F57FA4">
        <w:rPr>
          <w:rStyle w:val="FootnoteReference"/>
          <w:lang w:val="es-CO"/>
        </w:rPr>
        <w:footnoteReference w:id="5"/>
      </w:r>
      <w:r w:rsidR="00EE5F44">
        <w:rPr>
          <w:rFonts w:eastAsia="Verdana" w:cs="Verdana"/>
          <w:szCs w:val="20"/>
          <w:lang w:val="es-CO"/>
        </w:rPr>
        <w:t>.</w:t>
      </w:r>
      <w:r w:rsidRPr="00F57FA4">
        <w:rPr>
          <w:lang w:val="es-CO"/>
        </w:rPr>
        <w:t xml:space="preserve"> </w:t>
      </w:r>
    </w:p>
    <w:p w14:paraId="3C22FB90" w14:textId="77777777" w:rsidR="00743AD2" w:rsidRPr="00F57FA4" w:rsidRDefault="00743AD2" w:rsidP="00743AD2">
      <w:pPr>
        <w:pStyle w:val="ListParagraph"/>
        <w:snapToGrid w:val="0"/>
        <w:ind w:left="0"/>
        <w:contextualSpacing w:val="0"/>
        <w:rPr>
          <w:szCs w:val="20"/>
          <w:lang w:val="es-CO"/>
        </w:rPr>
      </w:pPr>
    </w:p>
    <w:p w14:paraId="25198673" w14:textId="77777777" w:rsidR="00743AD2" w:rsidRPr="00F57FA4" w:rsidRDefault="00743AD2" w:rsidP="00743AD2">
      <w:pPr>
        <w:pStyle w:val="ListParagraph"/>
        <w:numPr>
          <w:ilvl w:val="0"/>
          <w:numId w:val="20"/>
        </w:numPr>
        <w:snapToGrid w:val="0"/>
        <w:ind w:left="0" w:firstLine="0"/>
        <w:contextualSpacing w:val="0"/>
        <w:rPr>
          <w:szCs w:val="20"/>
          <w:lang w:val="es-CO"/>
        </w:rPr>
      </w:pPr>
      <w:r w:rsidRPr="00F57FA4">
        <w:rPr>
          <w:lang w:val="es-CO"/>
        </w:rPr>
        <w:t xml:space="preserve">Asimismo, la Corte dispuso que </w:t>
      </w:r>
      <w:r w:rsidRPr="00F57FA4">
        <w:rPr>
          <w:lang w:val="es-CR"/>
        </w:rPr>
        <w:t>una delegación de la Corte Interamericana realizar</w:t>
      </w:r>
      <w:r w:rsidR="008C5C39">
        <w:rPr>
          <w:lang w:val="es-CR"/>
        </w:rPr>
        <w:t>ía</w:t>
      </w:r>
      <w:r w:rsidRPr="00F57FA4">
        <w:rPr>
          <w:lang w:val="es-CR"/>
        </w:rPr>
        <w:t xml:space="preserve"> una visita al Instituto Penal Plácido de Sá Carvalho, en Brasil</w:t>
      </w:r>
      <w:r w:rsidR="008C5C39">
        <w:rPr>
          <w:lang w:val="es-CR"/>
        </w:rPr>
        <w:t>.</w:t>
      </w:r>
      <w:r w:rsidRPr="00F57FA4">
        <w:rPr>
          <w:lang w:val="es-CR"/>
        </w:rPr>
        <w:t xml:space="preserve"> </w:t>
      </w:r>
      <w:r w:rsidR="008C5C39">
        <w:rPr>
          <w:lang w:val="es-CR"/>
        </w:rPr>
        <w:t>E</w:t>
      </w:r>
      <w:r w:rsidRPr="00F57FA4">
        <w:rPr>
          <w:lang w:val="es-CR"/>
        </w:rPr>
        <w:t>l fin de</w:t>
      </w:r>
      <w:r w:rsidR="008C5C39">
        <w:rPr>
          <w:lang w:val="es-CR"/>
        </w:rPr>
        <w:t xml:space="preserve"> la misma sería</w:t>
      </w:r>
      <w:r w:rsidRPr="00F57FA4">
        <w:rPr>
          <w:lang w:val="es-CR"/>
        </w:rPr>
        <w:t xml:space="preserve"> obtener de forma directa información pertinente de las partes para supervisar el cumplimiento de las medidas provisionales, previo consentimiento y coordinación con la República Federativa de Brasil</w:t>
      </w:r>
      <w:r w:rsidRPr="00F57FA4">
        <w:rPr>
          <w:rStyle w:val="FootnoteReference"/>
        </w:rPr>
        <w:footnoteReference w:id="6"/>
      </w:r>
      <w:r w:rsidR="00EE5F44">
        <w:rPr>
          <w:lang w:val="es-CR"/>
        </w:rPr>
        <w:t>.</w:t>
      </w:r>
      <w:r w:rsidRPr="00F57FA4">
        <w:rPr>
          <w:lang w:val="es-CO"/>
        </w:rPr>
        <w:t xml:space="preserve"> </w:t>
      </w:r>
    </w:p>
    <w:p w14:paraId="5F47BA06" w14:textId="77777777" w:rsidR="00743AD2" w:rsidRPr="00F57FA4" w:rsidRDefault="00743AD2" w:rsidP="00743AD2">
      <w:pPr>
        <w:pStyle w:val="ListParagraph"/>
        <w:rPr>
          <w:szCs w:val="20"/>
          <w:lang w:val="es-CO"/>
        </w:rPr>
      </w:pPr>
    </w:p>
    <w:p w14:paraId="5DB8669F" w14:textId="3CE46204" w:rsidR="00743AD2" w:rsidRPr="00F57FA4" w:rsidRDefault="00743AD2" w:rsidP="00743AD2">
      <w:pPr>
        <w:pStyle w:val="ListParagraph"/>
        <w:numPr>
          <w:ilvl w:val="0"/>
          <w:numId w:val="20"/>
        </w:numPr>
        <w:snapToGrid w:val="0"/>
        <w:ind w:left="0" w:firstLine="0"/>
        <w:contextualSpacing w:val="0"/>
        <w:rPr>
          <w:szCs w:val="20"/>
          <w:lang w:val="es-CO"/>
        </w:rPr>
      </w:pPr>
      <w:r w:rsidRPr="00F57FA4">
        <w:rPr>
          <w:szCs w:val="20"/>
          <w:lang w:val="es-CO"/>
        </w:rPr>
        <w:t>A continuación</w:t>
      </w:r>
      <w:r w:rsidR="007730A5">
        <w:rPr>
          <w:szCs w:val="20"/>
          <w:lang w:val="es-CO"/>
        </w:rPr>
        <w:t>,</w:t>
      </w:r>
      <w:r w:rsidRPr="00F57FA4">
        <w:rPr>
          <w:szCs w:val="20"/>
          <w:lang w:val="es-CO"/>
        </w:rPr>
        <w:t xml:space="preserve"> la Corte se referirá en primer lugar a: a) la </w:t>
      </w:r>
      <w:r w:rsidR="00651BF4">
        <w:rPr>
          <w:szCs w:val="20"/>
          <w:lang w:val="es-CO"/>
        </w:rPr>
        <w:t xml:space="preserve">diligencia </w:t>
      </w:r>
      <w:r w:rsidR="00651BF4" w:rsidRPr="00651BF4">
        <w:rPr>
          <w:i/>
          <w:szCs w:val="20"/>
          <w:lang w:val="es-CO"/>
        </w:rPr>
        <w:t>in situ</w:t>
      </w:r>
      <w:r w:rsidRPr="00F57FA4">
        <w:rPr>
          <w:szCs w:val="20"/>
          <w:lang w:val="es-CO"/>
        </w:rPr>
        <w:t xml:space="preserve"> realizada al Instituto Plácido de Sá Carvalho. Posteriormente, la Corte hará referencia a los siguientes aspectos principales que justificaron en su momento la adopción de las presentes medidas provisionales</w:t>
      </w:r>
      <w:r w:rsidR="007730A5">
        <w:rPr>
          <w:szCs w:val="20"/>
          <w:lang w:val="es-CO"/>
        </w:rPr>
        <w:t>;</w:t>
      </w:r>
      <w:r w:rsidRPr="00F57FA4">
        <w:rPr>
          <w:szCs w:val="20"/>
          <w:lang w:val="es-CO"/>
        </w:rPr>
        <w:t xml:space="preserve"> b) </w:t>
      </w:r>
      <w:r w:rsidR="00B35F3C" w:rsidRPr="00F57FA4">
        <w:rPr>
          <w:szCs w:val="20"/>
          <w:lang w:val="es-CO"/>
        </w:rPr>
        <w:t>situación de hacinamiento</w:t>
      </w:r>
      <w:r w:rsidR="001C2373">
        <w:rPr>
          <w:szCs w:val="20"/>
          <w:lang w:val="es-CO"/>
        </w:rPr>
        <w:t xml:space="preserve"> </w:t>
      </w:r>
      <w:r w:rsidR="00214E2F">
        <w:rPr>
          <w:szCs w:val="20"/>
          <w:lang w:val="es-CO"/>
        </w:rPr>
        <w:t>e</w:t>
      </w:r>
      <w:r w:rsidR="001E513C">
        <w:rPr>
          <w:szCs w:val="20"/>
          <w:lang w:val="es-CO"/>
        </w:rPr>
        <w:t xml:space="preserve"> </w:t>
      </w:r>
      <w:r w:rsidR="001C2373">
        <w:rPr>
          <w:szCs w:val="20"/>
          <w:lang w:val="es-CO"/>
        </w:rPr>
        <w:t>infraestructura</w:t>
      </w:r>
      <w:r w:rsidR="00B35F3C" w:rsidRPr="00F57FA4">
        <w:rPr>
          <w:szCs w:val="20"/>
          <w:lang w:val="es-CO"/>
        </w:rPr>
        <w:t xml:space="preserve">; c) atención de salud </w:t>
      </w:r>
      <w:r w:rsidR="001C2373">
        <w:rPr>
          <w:szCs w:val="20"/>
          <w:lang w:val="es-CO"/>
        </w:rPr>
        <w:t>e higiene</w:t>
      </w:r>
      <w:r w:rsidR="00B35F3C" w:rsidRPr="00F57FA4">
        <w:rPr>
          <w:szCs w:val="20"/>
          <w:lang w:val="es-CO"/>
        </w:rPr>
        <w:t>; d) muertes</w:t>
      </w:r>
      <w:r w:rsidR="001C2373">
        <w:rPr>
          <w:szCs w:val="20"/>
          <w:lang w:val="es-CO"/>
        </w:rPr>
        <w:t xml:space="preserve"> recientes</w:t>
      </w:r>
      <w:r w:rsidR="00B35F3C" w:rsidRPr="00F57FA4">
        <w:rPr>
          <w:szCs w:val="20"/>
          <w:lang w:val="es-CO"/>
        </w:rPr>
        <w:t xml:space="preserve">, </w:t>
      </w:r>
      <w:r w:rsidR="00EE5F44">
        <w:rPr>
          <w:szCs w:val="20"/>
          <w:lang w:val="es-CO"/>
        </w:rPr>
        <w:t>y</w:t>
      </w:r>
      <w:r w:rsidR="00B35F3C" w:rsidRPr="00F57FA4">
        <w:rPr>
          <w:szCs w:val="20"/>
          <w:lang w:val="es-CO"/>
        </w:rPr>
        <w:t xml:space="preserve"> e) condiciones de detención. Finalmente, la Corte se referirá a</w:t>
      </w:r>
      <w:r w:rsidR="009365A3">
        <w:rPr>
          <w:szCs w:val="20"/>
          <w:lang w:val="es-CO"/>
        </w:rPr>
        <w:t xml:space="preserve"> </w:t>
      </w:r>
      <w:r w:rsidR="00D801F0">
        <w:rPr>
          <w:szCs w:val="20"/>
          <w:lang w:val="es-CO"/>
        </w:rPr>
        <w:t xml:space="preserve">la </w:t>
      </w:r>
      <w:r w:rsidR="00B35F3C" w:rsidRPr="00F57FA4">
        <w:rPr>
          <w:szCs w:val="20"/>
          <w:lang w:val="es-CO"/>
        </w:rPr>
        <w:t xml:space="preserve">información solicitada al Estado y establecerá sus conclusiones sobre la actual situación del Instituto y la continuación de las medidas provisionales. </w:t>
      </w:r>
    </w:p>
    <w:p w14:paraId="0645D7ED" w14:textId="77777777" w:rsidR="008614AA" w:rsidRDefault="008614AA" w:rsidP="006D31D9">
      <w:pPr>
        <w:rPr>
          <w:lang w:val="es-CO"/>
        </w:rPr>
      </w:pPr>
    </w:p>
    <w:p w14:paraId="407963BB" w14:textId="77777777" w:rsidR="009447D3" w:rsidRPr="00F57FA4" w:rsidRDefault="00651BF4" w:rsidP="006D31D9">
      <w:pPr>
        <w:pStyle w:val="ListParagraph"/>
        <w:numPr>
          <w:ilvl w:val="0"/>
          <w:numId w:val="9"/>
        </w:numPr>
        <w:rPr>
          <w:b/>
          <w:i/>
          <w:szCs w:val="20"/>
          <w:lang w:val="es-CO"/>
        </w:rPr>
      </w:pPr>
      <w:r>
        <w:rPr>
          <w:b/>
          <w:szCs w:val="20"/>
          <w:lang w:val="es-CO"/>
        </w:rPr>
        <w:t xml:space="preserve">Diligencia </w:t>
      </w:r>
      <w:r w:rsidRPr="00651BF4">
        <w:rPr>
          <w:b/>
          <w:i/>
          <w:szCs w:val="20"/>
          <w:lang w:val="es-CO"/>
        </w:rPr>
        <w:t>in situ</w:t>
      </w:r>
    </w:p>
    <w:p w14:paraId="0BF3E576" w14:textId="77777777" w:rsidR="00594D44" w:rsidRPr="00F57FA4" w:rsidRDefault="00594D44" w:rsidP="006D31D9">
      <w:pPr>
        <w:pStyle w:val="ListParagraph"/>
        <w:snapToGrid w:val="0"/>
        <w:ind w:left="0"/>
        <w:contextualSpacing w:val="0"/>
        <w:rPr>
          <w:szCs w:val="20"/>
          <w:lang w:val="es-CO"/>
        </w:rPr>
      </w:pPr>
    </w:p>
    <w:p w14:paraId="26B6A241" w14:textId="47E4A727" w:rsidR="00594D44" w:rsidRPr="00F57FA4" w:rsidRDefault="003778BE" w:rsidP="001C6965">
      <w:pPr>
        <w:pStyle w:val="ListParagraph"/>
        <w:numPr>
          <w:ilvl w:val="0"/>
          <w:numId w:val="20"/>
        </w:numPr>
        <w:snapToGrid w:val="0"/>
        <w:ind w:left="0" w:firstLine="0"/>
        <w:contextualSpacing w:val="0"/>
        <w:rPr>
          <w:szCs w:val="20"/>
          <w:lang w:val="es-CO"/>
        </w:rPr>
      </w:pPr>
      <w:r w:rsidRPr="00F57FA4">
        <w:rPr>
          <w:szCs w:val="20"/>
          <w:lang w:val="es-CO"/>
        </w:rPr>
        <w:t xml:space="preserve">Una delegación de la </w:t>
      </w:r>
      <w:r w:rsidR="009447D3" w:rsidRPr="00F57FA4">
        <w:rPr>
          <w:szCs w:val="20"/>
          <w:lang w:val="es-CO"/>
        </w:rPr>
        <w:t xml:space="preserve">Corte realizó una </w:t>
      </w:r>
      <w:r w:rsidR="00651BF4">
        <w:rPr>
          <w:szCs w:val="20"/>
          <w:lang w:val="es-CO"/>
        </w:rPr>
        <w:t xml:space="preserve">diligencia </w:t>
      </w:r>
      <w:r w:rsidR="00651BF4" w:rsidRPr="00651BF4">
        <w:rPr>
          <w:i/>
          <w:szCs w:val="20"/>
          <w:lang w:val="es-CO"/>
        </w:rPr>
        <w:t>in situ</w:t>
      </w:r>
      <w:r w:rsidR="009447D3" w:rsidRPr="00F57FA4">
        <w:rPr>
          <w:i/>
          <w:szCs w:val="20"/>
          <w:lang w:val="es-CO"/>
        </w:rPr>
        <w:t xml:space="preserve"> </w:t>
      </w:r>
      <w:r w:rsidR="009447D3" w:rsidRPr="00F57FA4">
        <w:rPr>
          <w:szCs w:val="20"/>
          <w:lang w:val="es-CO"/>
        </w:rPr>
        <w:t>al Instituto Penal Plácido de Sá Carvalho</w:t>
      </w:r>
      <w:r w:rsidR="009447D3" w:rsidRPr="00F57FA4">
        <w:rPr>
          <w:lang w:val="es-CO"/>
        </w:rPr>
        <w:t xml:space="preserve"> el 19 de junio de 2017, estando presentes el Juez Raúl Eugenio Zaffaroni; el Director Jurídico de la Corte y un abogado de la Secretaría, acompañados de </w:t>
      </w:r>
      <w:r w:rsidR="009447D3" w:rsidRPr="00F57FA4">
        <w:rPr>
          <w:szCs w:val="20"/>
          <w:lang w:val="es-CO"/>
        </w:rPr>
        <w:t>varios representantes del Estado</w:t>
      </w:r>
      <w:r w:rsidR="001C6965" w:rsidRPr="00F57FA4">
        <w:rPr>
          <w:szCs w:val="20"/>
          <w:lang w:val="es-CO"/>
        </w:rPr>
        <w:t xml:space="preserve"> y de los </w:t>
      </w:r>
      <w:r w:rsidR="009447D3" w:rsidRPr="00F57FA4">
        <w:rPr>
          <w:szCs w:val="20"/>
          <w:lang w:val="es-CO"/>
        </w:rPr>
        <w:t>representantes</w:t>
      </w:r>
      <w:r w:rsidR="00743AD2" w:rsidRPr="00F57FA4">
        <w:rPr>
          <w:szCs w:val="20"/>
          <w:lang w:val="es-CO"/>
        </w:rPr>
        <w:t xml:space="preserve"> de los beneficiarios</w:t>
      </w:r>
      <w:r w:rsidR="000A6ED3" w:rsidRPr="00F57FA4">
        <w:rPr>
          <w:rStyle w:val="FootnoteReference"/>
          <w:lang w:val="es-CO"/>
        </w:rPr>
        <w:footnoteReference w:id="7"/>
      </w:r>
      <w:r w:rsidR="00EE5F44">
        <w:rPr>
          <w:szCs w:val="20"/>
          <w:lang w:val="es-CO"/>
        </w:rPr>
        <w:t>.</w:t>
      </w:r>
    </w:p>
    <w:p w14:paraId="477B6EE8" w14:textId="77777777" w:rsidR="00594D44" w:rsidRPr="00F57FA4" w:rsidRDefault="00594D44" w:rsidP="006D31D9">
      <w:pPr>
        <w:pStyle w:val="ListParagraph"/>
        <w:snapToGrid w:val="0"/>
        <w:ind w:left="0"/>
        <w:contextualSpacing w:val="0"/>
        <w:rPr>
          <w:szCs w:val="20"/>
          <w:lang w:val="es-CO"/>
        </w:rPr>
      </w:pPr>
    </w:p>
    <w:p w14:paraId="655A8535" w14:textId="04C0B1B8" w:rsidR="008614AA" w:rsidRPr="00F57FA4" w:rsidRDefault="009447D3" w:rsidP="006D31D9">
      <w:pPr>
        <w:pStyle w:val="ListParagraph"/>
        <w:numPr>
          <w:ilvl w:val="0"/>
          <w:numId w:val="20"/>
        </w:numPr>
        <w:snapToGrid w:val="0"/>
        <w:ind w:left="0" w:firstLine="0"/>
        <w:contextualSpacing w:val="0"/>
        <w:rPr>
          <w:rFonts w:eastAsia="Verdana" w:cs="Verdana"/>
          <w:szCs w:val="20"/>
          <w:lang w:val="es-CO"/>
        </w:rPr>
      </w:pPr>
      <w:r w:rsidRPr="00F57FA4">
        <w:rPr>
          <w:rFonts w:eastAsia="Verdana" w:cs="Verdana"/>
          <w:szCs w:val="20"/>
          <w:lang w:val="es-CO"/>
        </w:rPr>
        <w:t>La diligencia estuvo dividida en dos momentos, en primer lugar se realizó una reunión de coordinación entre las partes con el objetivo de obtener información actualizada sobre la situación del IPPSC y</w:t>
      </w:r>
      <w:r w:rsidR="00651BF4">
        <w:rPr>
          <w:rFonts w:eastAsia="Verdana" w:cs="Verdana"/>
          <w:szCs w:val="20"/>
          <w:lang w:val="es-CO"/>
        </w:rPr>
        <w:t>,</w:t>
      </w:r>
      <w:r w:rsidRPr="00F57FA4">
        <w:rPr>
          <w:rFonts w:eastAsia="Verdana" w:cs="Verdana"/>
          <w:szCs w:val="20"/>
          <w:lang w:val="es-CO"/>
        </w:rPr>
        <w:t xml:space="preserve"> en segundo lugar, se realizó una </w:t>
      </w:r>
      <w:r w:rsidR="009365A3">
        <w:rPr>
          <w:rFonts w:eastAsia="Verdana" w:cs="Verdana"/>
          <w:szCs w:val="20"/>
          <w:lang w:val="es-CO"/>
        </w:rPr>
        <w:t>dilige</w:t>
      </w:r>
      <w:r w:rsidR="001A7878">
        <w:rPr>
          <w:rFonts w:eastAsia="Verdana" w:cs="Verdana"/>
          <w:szCs w:val="20"/>
          <w:lang w:val="es-CO"/>
        </w:rPr>
        <w:t>ncia</w:t>
      </w:r>
      <w:r w:rsidRPr="00F57FA4">
        <w:rPr>
          <w:rFonts w:eastAsia="Verdana" w:cs="Verdana"/>
          <w:szCs w:val="20"/>
          <w:lang w:val="es-CO"/>
        </w:rPr>
        <w:t xml:space="preserve"> de aproximadamente tres horas al centro penal. El Estado y los representantes presentaron información actualizada sobre las medidas adoptadas en relación con: a) atención médica; b) hacinamiento; c) seguridad </w:t>
      </w:r>
      <w:r w:rsidR="004D1D0E" w:rsidRPr="00F57FA4">
        <w:rPr>
          <w:rFonts w:eastAsia="Verdana" w:cs="Verdana"/>
          <w:szCs w:val="20"/>
          <w:lang w:val="es-CO"/>
        </w:rPr>
        <w:t>e integridad de los internos</w:t>
      </w:r>
      <w:r w:rsidR="00651BF4">
        <w:rPr>
          <w:rFonts w:eastAsia="Verdana" w:cs="Verdana"/>
          <w:szCs w:val="20"/>
          <w:lang w:val="es-CO"/>
        </w:rPr>
        <w:t xml:space="preserve">, </w:t>
      </w:r>
      <w:r w:rsidR="001C0C45">
        <w:rPr>
          <w:rFonts w:eastAsia="Verdana" w:cs="Verdana"/>
          <w:szCs w:val="20"/>
          <w:lang w:val="es-CO"/>
        </w:rPr>
        <w:t>y</w:t>
      </w:r>
      <w:r w:rsidR="004D1D0E" w:rsidRPr="00F57FA4">
        <w:rPr>
          <w:rFonts w:eastAsia="Verdana" w:cs="Verdana"/>
          <w:szCs w:val="20"/>
          <w:lang w:val="es-CO"/>
        </w:rPr>
        <w:t xml:space="preserve"> </w:t>
      </w:r>
      <w:r w:rsidRPr="00F57FA4">
        <w:rPr>
          <w:rFonts w:eastAsia="Verdana" w:cs="Verdana"/>
          <w:szCs w:val="20"/>
          <w:lang w:val="es-CO"/>
        </w:rPr>
        <w:t>d) infraestructura.</w:t>
      </w:r>
    </w:p>
    <w:p w14:paraId="5CB534AB" w14:textId="77777777" w:rsidR="008614AA" w:rsidRPr="00F57FA4" w:rsidRDefault="008614AA" w:rsidP="006D31D9">
      <w:pPr>
        <w:pStyle w:val="ListParagraph"/>
        <w:snapToGrid w:val="0"/>
        <w:ind w:left="0"/>
        <w:contextualSpacing w:val="0"/>
        <w:rPr>
          <w:szCs w:val="20"/>
          <w:lang w:val="es-CO"/>
        </w:rPr>
      </w:pPr>
    </w:p>
    <w:p w14:paraId="2EB26BF9" w14:textId="77777777" w:rsidR="008614AA" w:rsidRPr="00F57FA4" w:rsidRDefault="009447D3" w:rsidP="006D31D9">
      <w:pPr>
        <w:pStyle w:val="ListParagraph"/>
        <w:numPr>
          <w:ilvl w:val="0"/>
          <w:numId w:val="20"/>
        </w:numPr>
        <w:snapToGrid w:val="0"/>
        <w:ind w:left="0" w:firstLine="0"/>
        <w:contextualSpacing w:val="0"/>
        <w:rPr>
          <w:szCs w:val="20"/>
          <w:lang w:val="es-CO"/>
        </w:rPr>
      </w:pPr>
      <w:r w:rsidRPr="00F57FA4">
        <w:rPr>
          <w:lang w:val="es-CO"/>
        </w:rPr>
        <w:t xml:space="preserve">Durante la diligencia </w:t>
      </w:r>
      <w:r w:rsidRPr="00F57FA4">
        <w:rPr>
          <w:szCs w:val="20"/>
          <w:lang w:val="es-CO"/>
        </w:rPr>
        <w:t xml:space="preserve">la delegación de la Corte </w:t>
      </w:r>
      <w:r w:rsidR="008614AA" w:rsidRPr="00F57FA4">
        <w:rPr>
          <w:szCs w:val="20"/>
          <w:lang w:val="es-CO"/>
        </w:rPr>
        <w:t>constat</w:t>
      </w:r>
      <w:r w:rsidR="005A569C" w:rsidRPr="00F57FA4">
        <w:rPr>
          <w:szCs w:val="20"/>
          <w:lang w:val="es-CO"/>
        </w:rPr>
        <w:t>ó</w:t>
      </w:r>
      <w:r w:rsidR="008614AA" w:rsidRPr="00F57FA4">
        <w:rPr>
          <w:szCs w:val="20"/>
          <w:lang w:val="es-CO"/>
        </w:rPr>
        <w:t xml:space="preserve"> que </w:t>
      </w:r>
      <w:r w:rsidR="008614AA" w:rsidRPr="00F57FA4">
        <w:rPr>
          <w:rFonts w:eastAsia="Verdana" w:cs="Verdana"/>
          <w:szCs w:val="20"/>
          <w:lang w:val="es-CO"/>
        </w:rPr>
        <w:t>el IPPSC es parte de</w:t>
      </w:r>
      <w:r w:rsidR="005A569C" w:rsidRPr="00F57FA4">
        <w:rPr>
          <w:rFonts w:eastAsia="Verdana" w:cs="Verdana"/>
          <w:szCs w:val="20"/>
          <w:lang w:val="es-CO"/>
        </w:rPr>
        <w:t>l</w:t>
      </w:r>
      <w:r w:rsidR="008614AA" w:rsidRPr="00F57FA4">
        <w:rPr>
          <w:rFonts w:eastAsia="Verdana" w:cs="Verdana"/>
          <w:szCs w:val="20"/>
          <w:lang w:val="es-CO"/>
        </w:rPr>
        <w:t xml:space="preserve"> Complejo Penitenciario de Gericinó, ubicado </w:t>
      </w:r>
      <w:r w:rsidR="005A569C" w:rsidRPr="00F57FA4">
        <w:rPr>
          <w:rFonts w:eastAsia="Verdana" w:cs="Verdana"/>
          <w:szCs w:val="20"/>
          <w:lang w:val="es-CO"/>
        </w:rPr>
        <w:t xml:space="preserve">el barrio de Bangu, </w:t>
      </w:r>
      <w:r w:rsidR="008614AA" w:rsidRPr="00F57FA4">
        <w:rPr>
          <w:rFonts w:eastAsia="Verdana" w:cs="Verdana"/>
          <w:szCs w:val="20"/>
          <w:lang w:val="es-CO"/>
        </w:rPr>
        <w:t xml:space="preserve">en la zona norte de la ciudad de Río de Janeiro. El </w:t>
      </w:r>
      <w:r w:rsidR="00024D00">
        <w:rPr>
          <w:rFonts w:eastAsia="Verdana" w:cs="Verdana"/>
          <w:szCs w:val="20"/>
          <w:lang w:val="es-CO"/>
        </w:rPr>
        <w:t>c</w:t>
      </w:r>
      <w:r w:rsidR="008614AA" w:rsidRPr="00F57FA4">
        <w:rPr>
          <w:rFonts w:eastAsia="Verdana" w:cs="Verdana"/>
          <w:szCs w:val="20"/>
          <w:lang w:val="es-CO"/>
        </w:rPr>
        <w:t>omplejo tiene 26 unidades de privación de libertad de todo tipo (régimen cerrado, máxima seguridad, régimen abierto, semiabierto, cárcel femenina, juvenil)</w:t>
      </w:r>
      <w:r w:rsidR="005A569C" w:rsidRPr="00F57FA4">
        <w:rPr>
          <w:rFonts w:eastAsia="Verdana" w:cs="Verdana"/>
          <w:szCs w:val="20"/>
          <w:lang w:val="es-CO"/>
        </w:rPr>
        <w:t>, con un</w:t>
      </w:r>
      <w:r w:rsidR="00024D00">
        <w:rPr>
          <w:rFonts w:eastAsia="Verdana" w:cs="Verdana"/>
          <w:szCs w:val="20"/>
          <w:lang w:val="es-CO"/>
        </w:rPr>
        <w:t>a población</w:t>
      </w:r>
      <w:r w:rsidR="005A569C" w:rsidRPr="00F57FA4">
        <w:rPr>
          <w:rFonts w:eastAsia="Verdana" w:cs="Verdana"/>
          <w:szCs w:val="20"/>
          <w:lang w:val="es-CO"/>
        </w:rPr>
        <w:t xml:space="preserve"> total de </w:t>
      </w:r>
      <w:r w:rsidR="008614AA" w:rsidRPr="00F57FA4">
        <w:rPr>
          <w:rFonts w:eastAsia="Verdana" w:cs="Verdana"/>
          <w:szCs w:val="20"/>
          <w:lang w:val="es-CO"/>
        </w:rPr>
        <w:t xml:space="preserve">28,000 </w:t>
      </w:r>
      <w:r w:rsidR="001E641F">
        <w:rPr>
          <w:rFonts w:eastAsia="Verdana" w:cs="Verdana"/>
          <w:szCs w:val="20"/>
          <w:lang w:val="es-CO"/>
        </w:rPr>
        <w:t>internos</w:t>
      </w:r>
      <w:r w:rsidR="005A569C" w:rsidRPr="00F57FA4">
        <w:rPr>
          <w:rFonts w:eastAsia="Verdana" w:cs="Verdana"/>
          <w:szCs w:val="20"/>
          <w:lang w:val="es-CO"/>
        </w:rPr>
        <w:t xml:space="preserve"> (</w:t>
      </w:r>
      <w:r w:rsidR="008614AA" w:rsidRPr="00F57FA4">
        <w:rPr>
          <w:rFonts w:eastAsia="Verdana" w:cs="Verdana"/>
          <w:szCs w:val="20"/>
          <w:lang w:val="es-CO"/>
        </w:rPr>
        <w:t>de un total de 51,000 en el Estado de Río de Janeiro</w:t>
      </w:r>
      <w:r w:rsidR="005A569C" w:rsidRPr="00F57FA4">
        <w:rPr>
          <w:rFonts w:eastAsia="Verdana" w:cs="Verdana"/>
          <w:szCs w:val="20"/>
          <w:lang w:val="es-CO"/>
        </w:rPr>
        <w:t>)</w:t>
      </w:r>
      <w:r w:rsidR="008614AA" w:rsidRPr="00F57FA4">
        <w:rPr>
          <w:rFonts w:eastAsia="Verdana" w:cs="Verdana"/>
          <w:szCs w:val="20"/>
          <w:lang w:val="es-CO"/>
        </w:rPr>
        <w:t xml:space="preserve">. </w:t>
      </w:r>
      <w:r w:rsidR="003778BE" w:rsidRPr="00F57FA4">
        <w:rPr>
          <w:rFonts w:eastAsia="Verdana" w:cs="Verdana"/>
          <w:szCs w:val="20"/>
          <w:lang w:val="es-CO"/>
        </w:rPr>
        <w:t xml:space="preserve">En razón de que </w:t>
      </w:r>
      <w:r w:rsidR="008614AA" w:rsidRPr="00F57FA4">
        <w:rPr>
          <w:rFonts w:eastAsia="Verdana" w:cs="Verdana"/>
          <w:szCs w:val="20"/>
          <w:lang w:val="es-CO"/>
        </w:rPr>
        <w:t xml:space="preserve">el IPPSC </w:t>
      </w:r>
      <w:r w:rsidR="003778BE" w:rsidRPr="00F57FA4">
        <w:rPr>
          <w:rFonts w:eastAsia="Verdana" w:cs="Verdana"/>
          <w:szCs w:val="20"/>
          <w:lang w:val="es-CO"/>
        </w:rPr>
        <w:t>se encuentra ubicado</w:t>
      </w:r>
      <w:r w:rsidR="008614AA" w:rsidRPr="00F57FA4">
        <w:rPr>
          <w:rFonts w:eastAsia="Verdana" w:cs="Verdana"/>
          <w:szCs w:val="20"/>
          <w:lang w:val="es-CO"/>
        </w:rPr>
        <w:t xml:space="preserve"> dentro de l</w:t>
      </w:r>
      <w:r w:rsidR="00CB3D13">
        <w:rPr>
          <w:rFonts w:eastAsia="Verdana" w:cs="Verdana"/>
          <w:szCs w:val="20"/>
          <w:lang w:val="es-CO"/>
        </w:rPr>
        <w:t>o</w:t>
      </w:r>
      <w:r w:rsidR="008614AA" w:rsidRPr="00F57FA4">
        <w:rPr>
          <w:rFonts w:eastAsia="Verdana" w:cs="Verdana"/>
          <w:szCs w:val="20"/>
          <w:lang w:val="es-CO"/>
        </w:rPr>
        <w:t>s mur</w:t>
      </w:r>
      <w:r w:rsidR="00CB3D13">
        <w:rPr>
          <w:rFonts w:eastAsia="Verdana" w:cs="Verdana"/>
          <w:szCs w:val="20"/>
          <w:lang w:val="es-CO"/>
        </w:rPr>
        <w:t>o</w:t>
      </w:r>
      <w:r w:rsidR="008614AA" w:rsidRPr="00F57FA4">
        <w:rPr>
          <w:rFonts w:eastAsia="Verdana" w:cs="Verdana"/>
          <w:szCs w:val="20"/>
          <w:lang w:val="es-CO"/>
        </w:rPr>
        <w:t xml:space="preserve">s del complejo, las posibilidades de fuga son muy remotas. Asimismo, el IPPSC tiene un espacio abierto con </w:t>
      </w:r>
      <w:r w:rsidR="004D1D0E" w:rsidRPr="00F57FA4">
        <w:rPr>
          <w:rFonts w:eastAsia="Verdana" w:cs="Verdana"/>
          <w:szCs w:val="20"/>
          <w:lang w:val="es-CO"/>
        </w:rPr>
        <w:t xml:space="preserve">aproximadamente </w:t>
      </w:r>
      <w:r w:rsidR="008614AA" w:rsidRPr="00F57FA4">
        <w:rPr>
          <w:rFonts w:eastAsia="Verdana" w:cs="Verdana"/>
          <w:szCs w:val="20"/>
          <w:lang w:val="es-CO"/>
        </w:rPr>
        <w:t xml:space="preserve">37,000 metros cuadrados. </w:t>
      </w:r>
      <w:r w:rsidR="00D93CF4" w:rsidRPr="00F57FA4">
        <w:rPr>
          <w:rFonts w:eastAsia="Verdana" w:cs="Verdana"/>
          <w:szCs w:val="20"/>
          <w:lang w:val="es-CO"/>
        </w:rPr>
        <w:t>Se t</w:t>
      </w:r>
      <w:r w:rsidR="003778BE" w:rsidRPr="00F57FA4">
        <w:rPr>
          <w:rFonts w:eastAsia="Verdana" w:cs="Verdana"/>
          <w:szCs w:val="20"/>
          <w:lang w:val="es-CO"/>
        </w:rPr>
        <w:t>rat</w:t>
      </w:r>
      <w:r w:rsidR="00D93CF4" w:rsidRPr="00F57FA4">
        <w:rPr>
          <w:rFonts w:eastAsia="Verdana" w:cs="Verdana"/>
          <w:szCs w:val="20"/>
          <w:lang w:val="es-CO"/>
        </w:rPr>
        <w:t>a</w:t>
      </w:r>
      <w:r w:rsidR="003778BE" w:rsidRPr="00F57FA4">
        <w:rPr>
          <w:rFonts w:eastAsia="Verdana" w:cs="Verdana"/>
          <w:szCs w:val="20"/>
          <w:lang w:val="es-CO"/>
        </w:rPr>
        <w:t xml:space="preserve"> </w:t>
      </w:r>
      <w:r w:rsidR="008614AA" w:rsidRPr="00F57FA4">
        <w:rPr>
          <w:rFonts w:eastAsia="Verdana" w:cs="Verdana"/>
          <w:szCs w:val="20"/>
          <w:lang w:val="es-CO"/>
        </w:rPr>
        <w:t>de la última instancia antes de ser puestos en libertad</w:t>
      </w:r>
      <w:r w:rsidR="005A569C" w:rsidRPr="00F57FA4">
        <w:rPr>
          <w:rFonts w:eastAsia="Verdana" w:cs="Verdana"/>
          <w:szCs w:val="20"/>
          <w:lang w:val="es-CO"/>
        </w:rPr>
        <w:t>.</w:t>
      </w:r>
    </w:p>
    <w:p w14:paraId="0DE4FFDC" w14:textId="77777777" w:rsidR="000A6ED3" w:rsidRPr="00F57FA4" w:rsidRDefault="000A6ED3" w:rsidP="006D31D9">
      <w:pPr>
        <w:pStyle w:val="ListParagraph"/>
        <w:snapToGrid w:val="0"/>
        <w:ind w:left="0"/>
        <w:contextualSpacing w:val="0"/>
        <w:rPr>
          <w:szCs w:val="20"/>
          <w:lang w:val="es-CO"/>
        </w:rPr>
      </w:pPr>
    </w:p>
    <w:p w14:paraId="25384A94" w14:textId="77777777" w:rsidR="00594D44" w:rsidRPr="00F57FA4" w:rsidRDefault="008614AA" w:rsidP="006D31D9">
      <w:pPr>
        <w:pStyle w:val="ListParagraph"/>
        <w:numPr>
          <w:ilvl w:val="0"/>
          <w:numId w:val="20"/>
        </w:numPr>
        <w:snapToGrid w:val="0"/>
        <w:ind w:left="0" w:firstLine="0"/>
        <w:contextualSpacing w:val="0"/>
        <w:rPr>
          <w:szCs w:val="20"/>
          <w:lang w:val="es-CO"/>
        </w:rPr>
      </w:pPr>
      <w:r w:rsidRPr="00F57FA4">
        <w:rPr>
          <w:szCs w:val="20"/>
          <w:lang w:val="es-CO"/>
        </w:rPr>
        <w:t xml:space="preserve">La delegación </w:t>
      </w:r>
      <w:r w:rsidR="009447D3" w:rsidRPr="00F57FA4">
        <w:rPr>
          <w:szCs w:val="20"/>
          <w:lang w:val="es-CO"/>
        </w:rPr>
        <w:t xml:space="preserve">visitó </w:t>
      </w:r>
      <w:r w:rsidRPr="00F57FA4">
        <w:rPr>
          <w:szCs w:val="20"/>
          <w:lang w:val="es-CO"/>
        </w:rPr>
        <w:t xml:space="preserve">los </w:t>
      </w:r>
      <w:r w:rsidR="009447D3" w:rsidRPr="00F57FA4">
        <w:rPr>
          <w:szCs w:val="20"/>
          <w:lang w:val="es-CO"/>
        </w:rPr>
        <w:t xml:space="preserve">pabellones </w:t>
      </w:r>
      <w:r w:rsidR="00594D44" w:rsidRPr="00F57FA4">
        <w:rPr>
          <w:szCs w:val="20"/>
          <w:lang w:val="es-CO"/>
        </w:rPr>
        <w:t xml:space="preserve">A, B, C y el sector de aislamiento </w:t>
      </w:r>
      <w:r w:rsidR="009447D3" w:rsidRPr="00F57FA4">
        <w:rPr>
          <w:szCs w:val="20"/>
          <w:lang w:val="es-CO"/>
        </w:rPr>
        <w:t>que conforman el IPPSC</w:t>
      </w:r>
      <w:r w:rsidR="004F3D93">
        <w:rPr>
          <w:szCs w:val="20"/>
          <w:lang w:val="es-CO"/>
        </w:rPr>
        <w:t>, así como</w:t>
      </w:r>
      <w:r w:rsidR="009447D3" w:rsidRPr="00F57FA4">
        <w:rPr>
          <w:szCs w:val="20"/>
          <w:lang w:val="es-CO"/>
        </w:rPr>
        <w:t xml:space="preserve"> </w:t>
      </w:r>
      <w:r w:rsidR="00594D44" w:rsidRPr="00F57FA4">
        <w:rPr>
          <w:szCs w:val="20"/>
          <w:lang w:val="es-CO"/>
        </w:rPr>
        <w:t xml:space="preserve">las zonas </w:t>
      </w:r>
      <w:r w:rsidR="009447D3" w:rsidRPr="00F57FA4">
        <w:rPr>
          <w:szCs w:val="20"/>
          <w:lang w:val="es-CO"/>
        </w:rPr>
        <w:t xml:space="preserve">de enfermería, </w:t>
      </w:r>
      <w:r w:rsidR="000A6ED3" w:rsidRPr="00F57FA4">
        <w:rPr>
          <w:szCs w:val="20"/>
          <w:lang w:val="es-CO"/>
        </w:rPr>
        <w:t>cocina</w:t>
      </w:r>
      <w:r w:rsidR="009447D3" w:rsidRPr="00F57FA4">
        <w:rPr>
          <w:szCs w:val="20"/>
          <w:lang w:val="es-CO"/>
        </w:rPr>
        <w:t xml:space="preserve">, </w:t>
      </w:r>
      <w:r w:rsidR="00594D44" w:rsidRPr="00F57FA4">
        <w:rPr>
          <w:szCs w:val="20"/>
          <w:lang w:val="es-CO"/>
        </w:rPr>
        <w:t xml:space="preserve">educación, patio común, basurero y sistema hidráulico. </w:t>
      </w:r>
      <w:r w:rsidR="005A569C" w:rsidRPr="00F57FA4">
        <w:rPr>
          <w:szCs w:val="20"/>
          <w:lang w:val="es-CO"/>
        </w:rPr>
        <w:t xml:space="preserve">Las determinaciones de la Corte realizadas durante la visita serán expuestas dentro de los acápites a continuación. </w:t>
      </w:r>
    </w:p>
    <w:p w14:paraId="7B91D752" w14:textId="77777777" w:rsidR="0004528E" w:rsidRPr="00F57FA4" w:rsidRDefault="0004528E" w:rsidP="006D31D9">
      <w:pPr>
        <w:pStyle w:val="Default"/>
        <w:rPr>
          <w:lang w:val="es-CO"/>
        </w:rPr>
      </w:pPr>
    </w:p>
    <w:p w14:paraId="24FE508A" w14:textId="6F6EA00E" w:rsidR="00CE4104" w:rsidRPr="00F57FA4" w:rsidRDefault="0004528E" w:rsidP="006D31D9">
      <w:pPr>
        <w:pStyle w:val="Default"/>
        <w:numPr>
          <w:ilvl w:val="0"/>
          <w:numId w:val="9"/>
        </w:numPr>
        <w:rPr>
          <w:b/>
          <w:sz w:val="20"/>
          <w:szCs w:val="20"/>
          <w:lang w:val="es-CO"/>
        </w:rPr>
      </w:pPr>
      <w:r w:rsidRPr="00F57FA4">
        <w:rPr>
          <w:b/>
          <w:i/>
          <w:iCs/>
          <w:sz w:val="20"/>
          <w:szCs w:val="20"/>
          <w:lang w:val="es-CO"/>
        </w:rPr>
        <w:t>Situación de hacinamiento</w:t>
      </w:r>
      <w:r w:rsidR="00A05840">
        <w:rPr>
          <w:b/>
          <w:i/>
          <w:iCs/>
          <w:sz w:val="20"/>
          <w:szCs w:val="20"/>
          <w:lang w:val="es-CO"/>
        </w:rPr>
        <w:t xml:space="preserve"> </w:t>
      </w:r>
      <w:r w:rsidR="001C0C45">
        <w:rPr>
          <w:b/>
          <w:i/>
          <w:iCs/>
          <w:sz w:val="20"/>
          <w:szCs w:val="20"/>
          <w:lang w:val="es-CO"/>
        </w:rPr>
        <w:t>e</w:t>
      </w:r>
      <w:r w:rsidR="00A05840">
        <w:rPr>
          <w:b/>
          <w:i/>
          <w:iCs/>
          <w:sz w:val="20"/>
          <w:szCs w:val="20"/>
          <w:lang w:val="es-CO"/>
        </w:rPr>
        <w:t xml:space="preserve"> infraestructura</w:t>
      </w:r>
      <w:r w:rsidRPr="00F57FA4">
        <w:rPr>
          <w:b/>
          <w:i/>
          <w:iCs/>
          <w:sz w:val="20"/>
          <w:szCs w:val="20"/>
          <w:lang w:val="es-CO"/>
        </w:rPr>
        <w:t xml:space="preserve"> </w:t>
      </w:r>
    </w:p>
    <w:p w14:paraId="4B647967" w14:textId="77777777" w:rsidR="00CE4104" w:rsidRPr="00F57FA4" w:rsidRDefault="00CE4104" w:rsidP="006D31D9">
      <w:pPr>
        <w:snapToGrid w:val="0"/>
        <w:ind w:right="4"/>
        <w:outlineLvl w:val="0"/>
        <w:rPr>
          <w:lang w:val="es-CO"/>
        </w:rPr>
      </w:pPr>
    </w:p>
    <w:p w14:paraId="689231E4" w14:textId="01FF2C7B" w:rsidR="000602C8" w:rsidRPr="00F57FA4" w:rsidRDefault="007E6862" w:rsidP="006D31D9">
      <w:pPr>
        <w:pStyle w:val="ListParagraph"/>
        <w:numPr>
          <w:ilvl w:val="0"/>
          <w:numId w:val="20"/>
        </w:numPr>
        <w:snapToGrid w:val="0"/>
        <w:ind w:left="0" w:firstLine="0"/>
        <w:contextualSpacing w:val="0"/>
        <w:rPr>
          <w:szCs w:val="20"/>
          <w:lang w:val="es-CO"/>
        </w:rPr>
      </w:pPr>
      <w:r w:rsidRPr="00F57FA4">
        <w:rPr>
          <w:lang w:val="es-CO"/>
        </w:rPr>
        <w:t xml:space="preserve">En </w:t>
      </w:r>
      <w:r w:rsidR="004F3D93">
        <w:rPr>
          <w:lang w:val="es-CO"/>
        </w:rPr>
        <w:t>la r</w:t>
      </w:r>
      <w:r w:rsidR="00CE4104" w:rsidRPr="00F57FA4">
        <w:rPr>
          <w:lang w:val="es-CO"/>
        </w:rPr>
        <w:t>esolución del 13 de febrero de 2017</w:t>
      </w:r>
      <w:r w:rsidR="004F3D93">
        <w:rPr>
          <w:lang w:val="es-CO"/>
        </w:rPr>
        <w:t xml:space="preserve"> la Corte hizo notar </w:t>
      </w:r>
      <w:r w:rsidR="00CE4104" w:rsidRPr="00F57FA4">
        <w:rPr>
          <w:lang w:val="es-CO"/>
        </w:rPr>
        <w:t xml:space="preserve">que es deber del Estado adoptar las medidas necesarias para la reducción de hacinamiento en establecimientos de privación de libertad. </w:t>
      </w:r>
      <w:r w:rsidR="004F3D93">
        <w:rPr>
          <w:lang w:val="es-CO"/>
        </w:rPr>
        <w:t>En consideración</w:t>
      </w:r>
      <w:r w:rsidR="004F3D93" w:rsidRPr="00F57FA4">
        <w:rPr>
          <w:lang w:val="es-CO"/>
        </w:rPr>
        <w:t xml:space="preserve"> </w:t>
      </w:r>
      <w:r w:rsidR="004F3D93">
        <w:rPr>
          <w:lang w:val="es-CO"/>
        </w:rPr>
        <w:t>d</w:t>
      </w:r>
      <w:r w:rsidR="00CE4104" w:rsidRPr="00F57FA4">
        <w:rPr>
          <w:lang w:val="es-CO"/>
        </w:rPr>
        <w:t>el Tribunal</w:t>
      </w:r>
      <w:r w:rsidR="004F3D93">
        <w:rPr>
          <w:lang w:val="es-CO"/>
        </w:rPr>
        <w:t xml:space="preserve">, </w:t>
      </w:r>
      <w:r w:rsidR="00CE4104" w:rsidRPr="00F57FA4">
        <w:rPr>
          <w:lang w:val="es-CO"/>
        </w:rPr>
        <w:t xml:space="preserve">el Comité </w:t>
      </w:r>
      <w:r w:rsidR="00EE48B0" w:rsidRPr="00F57FA4">
        <w:rPr>
          <w:lang w:val="es-CO"/>
        </w:rPr>
        <w:t>Colegiado</w:t>
      </w:r>
      <w:r w:rsidR="00EE48B0" w:rsidRPr="00F57FA4">
        <w:rPr>
          <w:rStyle w:val="FootnoteReference"/>
          <w:lang w:val="es-CO"/>
        </w:rPr>
        <w:footnoteReference w:id="8"/>
      </w:r>
      <w:r w:rsidR="00EE48B0" w:rsidRPr="00F57FA4">
        <w:rPr>
          <w:lang w:val="es-CO"/>
        </w:rPr>
        <w:t xml:space="preserve"> </w:t>
      </w:r>
      <w:r w:rsidR="00CE4104" w:rsidRPr="00F57FA4">
        <w:rPr>
          <w:lang w:val="es-CO"/>
        </w:rPr>
        <w:t xml:space="preserve">debía presentar </w:t>
      </w:r>
      <w:r w:rsidR="00D93CF4" w:rsidRPr="00F57FA4">
        <w:rPr>
          <w:lang w:val="es-CO"/>
        </w:rPr>
        <w:t xml:space="preserve">un </w:t>
      </w:r>
      <w:r w:rsidR="001E641F">
        <w:rPr>
          <w:lang w:val="es-CO"/>
        </w:rPr>
        <w:t>“</w:t>
      </w:r>
      <w:r w:rsidR="00CE4104" w:rsidRPr="00F57FA4">
        <w:rPr>
          <w:lang w:val="es-CO"/>
        </w:rPr>
        <w:t xml:space="preserve">Plan de Reducción de la </w:t>
      </w:r>
      <w:r w:rsidR="00D801F0">
        <w:rPr>
          <w:lang w:val="es-CO"/>
        </w:rPr>
        <w:t>Superpoblación</w:t>
      </w:r>
      <w:r w:rsidR="00CE4104" w:rsidRPr="00F57FA4">
        <w:rPr>
          <w:lang w:val="es-CO"/>
        </w:rPr>
        <w:t xml:space="preserve"> del Sistema </w:t>
      </w:r>
      <w:r w:rsidR="00BB71C3" w:rsidRPr="00F57FA4">
        <w:rPr>
          <w:lang w:val="es-CO"/>
        </w:rPr>
        <w:t>Carcelario Fluminense</w:t>
      </w:r>
      <w:r w:rsidR="001E641F">
        <w:rPr>
          <w:lang w:val="es-CO"/>
        </w:rPr>
        <w:t>”</w:t>
      </w:r>
      <w:r w:rsidR="00BB71C3" w:rsidRPr="00F57FA4">
        <w:rPr>
          <w:lang w:val="es-CO"/>
        </w:rPr>
        <w:t xml:space="preserve"> y </w:t>
      </w:r>
      <w:r w:rsidR="001E641F">
        <w:rPr>
          <w:lang w:val="es-CO"/>
        </w:rPr>
        <w:t>“</w:t>
      </w:r>
      <w:r w:rsidR="00CE4104" w:rsidRPr="00F57FA4">
        <w:rPr>
          <w:lang w:val="es-CO"/>
        </w:rPr>
        <w:t>asegurar condiciones de detención compatibles con el respeto a la dignidad humana</w:t>
      </w:r>
      <w:r w:rsidR="004D59DC">
        <w:rPr>
          <w:lang w:val="es-CO"/>
        </w:rPr>
        <w:t>,</w:t>
      </w:r>
      <w:r w:rsidR="00CE4104" w:rsidRPr="00F57FA4">
        <w:rPr>
          <w:lang w:val="es-CO"/>
        </w:rPr>
        <w:t xml:space="preserve"> </w:t>
      </w:r>
      <w:r w:rsidR="004D59DC">
        <w:rPr>
          <w:lang w:val="es-CO"/>
        </w:rPr>
        <w:t xml:space="preserve">de </w:t>
      </w:r>
      <w:r w:rsidR="00CE4104" w:rsidRPr="00F57FA4">
        <w:rPr>
          <w:lang w:val="es-CO"/>
        </w:rPr>
        <w:t>conformidad con los estándares internacionales en la materia”</w:t>
      </w:r>
      <w:r w:rsidR="00CE4104" w:rsidRPr="00F57FA4">
        <w:rPr>
          <w:rStyle w:val="FootnoteReference"/>
          <w:lang w:val="es-CO"/>
        </w:rPr>
        <w:footnoteReference w:id="9"/>
      </w:r>
      <w:r w:rsidR="00651BF4">
        <w:rPr>
          <w:lang w:val="es-CO"/>
        </w:rPr>
        <w:t>.</w:t>
      </w:r>
    </w:p>
    <w:p w14:paraId="4B90F0FD" w14:textId="77777777" w:rsidR="000602C8" w:rsidRPr="00F57FA4" w:rsidRDefault="000602C8" w:rsidP="006D31D9">
      <w:pPr>
        <w:pStyle w:val="ListParagraph"/>
        <w:snapToGrid w:val="0"/>
        <w:ind w:left="0"/>
        <w:contextualSpacing w:val="0"/>
        <w:rPr>
          <w:szCs w:val="20"/>
          <w:lang w:val="es-CO"/>
        </w:rPr>
      </w:pPr>
    </w:p>
    <w:p w14:paraId="1279E8BD" w14:textId="77777777" w:rsidR="00B81147" w:rsidRPr="00F57FA4" w:rsidRDefault="00F36BE9" w:rsidP="006D31D9">
      <w:pPr>
        <w:pStyle w:val="ListParagraph"/>
        <w:numPr>
          <w:ilvl w:val="0"/>
          <w:numId w:val="20"/>
        </w:numPr>
        <w:snapToGrid w:val="0"/>
        <w:ind w:left="0" w:firstLine="0"/>
        <w:contextualSpacing w:val="0"/>
        <w:rPr>
          <w:szCs w:val="20"/>
          <w:lang w:val="es-CO"/>
        </w:rPr>
      </w:pPr>
      <w:r w:rsidRPr="00F57FA4">
        <w:rPr>
          <w:lang w:val="es-CO"/>
        </w:rPr>
        <w:t xml:space="preserve">El </w:t>
      </w:r>
      <w:r w:rsidRPr="00F57FA4">
        <w:rPr>
          <w:b/>
          <w:i/>
          <w:lang w:val="es-CO"/>
        </w:rPr>
        <w:t>E</w:t>
      </w:r>
      <w:r w:rsidR="00096F73" w:rsidRPr="00F57FA4">
        <w:rPr>
          <w:b/>
          <w:i/>
          <w:lang w:val="es-CO"/>
        </w:rPr>
        <w:t>stado</w:t>
      </w:r>
      <w:r w:rsidR="00096F73" w:rsidRPr="00F57FA4">
        <w:rPr>
          <w:lang w:val="es-CO"/>
        </w:rPr>
        <w:t xml:space="preserve"> </w:t>
      </w:r>
      <w:r w:rsidR="007E6862" w:rsidRPr="00F57FA4">
        <w:rPr>
          <w:lang w:val="es-CO"/>
        </w:rPr>
        <w:t xml:space="preserve">argumentó que </w:t>
      </w:r>
      <w:r w:rsidR="000602C8" w:rsidRPr="00F57FA4">
        <w:rPr>
          <w:lang w:val="es-CO"/>
        </w:rPr>
        <w:t>la situación crítica de hacinamiento en el IPPSC</w:t>
      </w:r>
      <w:r w:rsidRPr="00F57FA4">
        <w:rPr>
          <w:lang w:val="es-CO"/>
        </w:rPr>
        <w:t xml:space="preserve"> no es un problema exclusivo </w:t>
      </w:r>
      <w:r w:rsidR="000602C8" w:rsidRPr="00F57FA4">
        <w:rPr>
          <w:lang w:val="es-CO"/>
        </w:rPr>
        <w:t>de esta unidad,</w:t>
      </w:r>
      <w:r w:rsidR="009D2FF1" w:rsidRPr="00F57FA4">
        <w:rPr>
          <w:lang w:val="es-CO"/>
        </w:rPr>
        <w:t xml:space="preserve"> sino </w:t>
      </w:r>
      <w:r w:rsidRPr="00F57FA4">
        <w:rPr>
          <w:lang w:val="es-CO"/>
        </w:rPr>
        <w:t xml:space="preserve">que </w:t>
      </w:r>
      <w:r w:rsidR="000602C8" w:rsidRPr="00F57FA4">
        <w:rPr>
          <w:lang w:val="es-CO"/>
        </w:rPr>
        <w:t>por el cont</w:t>
      </w:r>
      <w:r w:rsidR="00CB3D13">
        <w:rPr>
          <w:lang w:val="es-CO"/>
        </w:rPr>
        <w:t>r</w:t>
      </w:r>
      <w:r w:rsidR="000602C8" w:rsidRPr="00F57FA4">
        <w:rPr>
          <w:lang w:val="es-CO"/>
        </w:rPr>
        <w:t>ario</w:t>
      </w:r>
      <w:r w:rsidR="004F3D93">
        <w:rPr>
          <w:lang w:val="es-CO"/>
        </w:rPr>
        <w:t>,</w:t>
      </w:r>
      <w:r w:rsidR="000602C8" w:rsidRPr="00F57FA4">
        <w:rPr>
          <w:lang w:val="es-CO"/>
        </w:rPr>
        <w:t xml:space="preserve"> es una problemática que </w:t>
      </w:r>
      <w:r w:rsidRPr="00F57FA4">
        <w:rPr>
          <w:lang w:val="es-CO"/>
        </w:rPr>
        <w:t xml:space="preserve">abarca todo el sistema penitenciario </w:t>
      </w:r>
      <w:r w:rsidR="00A64FAF" w:rsidRPr="00F57FA4">
        <w:rPr>
          <w:lang w:val="es-CO"/>
        </w:rPr>
        <w:t>de Rio de Janeiro</w:t>
      </w:r>
      <w:r w:rsidRPr="00F57FA4">
        <w:rPr>
          <w:lang w:val="es-CO"/>
        </w:rPr>
        <w:t>.</w:t>
      </w:r>
      <w:r w:rsidR="006B0828" w:rsidRPr="00F57FA4">
        <w:rPr>
          <w:lang w:val="es-CO"/>
        </w:rPr>
        <w:t xml:space="preserve"> </w:t>
      </w:r>
    </w:p>
    <w:p w14:paraId="69E2516E" w14:textId="77777777" w:rsidR="00B81147" w:rsidRPr="00F57FA4" w:rsidRDefault="00B81147" w:rsidP="006D31D9">
      <w:pPr>
        <w:pStyle w:val="ListParagraph"/>
        <w:rPr>
          <w:szCs w:val="20"/>
          <w:lang w:val="es-CO"/>
        </w:rPr>
      </w:pPr>
    </w:p>
    <w:p w14:paraId="2A5AE0B3" w14:textId="77777777" w:rsidR="00F36BE9" w:rsidRPr="00F57FA4" w:rsidRDefault="000602C8" w:rsidP="006D31D9">
      <w:pPr>
        <w:pStyle w:val="ListParagraph"/>
        <w:numPr>
          <w:ilvl w:val="0"/>
          <w:numId w:val="20"/>
        </w:numPr>
        <w:snapToGrid w:val="0"/>
        <w:ind w:left="0" w:firstLine="0"/>
        <w:contextualSpacing w:val="0"/>
        <w:rPr>
          <w:szCs w:val="20"/>
          <w:lang w:val="es-CO"/>
        </w:rPr>
      </w:pPr>
      <w:r w:rsidRPr="00F57FA4">
        <w:rPr>
          <w:szCs w:val="20"/>
          <w:lang w:val="es-CO"/>
        </w:rPr>
        <w:t>El Estado informó que</w:t>
      </w:r>
      <w:r w:rsidR="00D93CF4" w:rsidRPr="00F57FA4">
        <w:rPr>
          <w:szCs w:val="20"/>
          <w:lang w:val="es-CO"/>
        </w:rPr>
        <w:t>,</w:t>
      </w:r>
      <w:r w:rsidRPr="00F57FA4">
        <w:rPr>
          <w:szCs w:val="20"/>
          <w:lang w:val="es-CO"/>
        </w:rPr>
        <w:t xml:space="preserve"> p</w:t>
      </w:r>
      <w:r w:rsidR="00F36BE9" w:rsidRPr="00F57FA4">
        <w:rPr>
          <w:szCs w:val="20"/>
          <w:lang w:val="es-CO"/>
        </w:rPr>
        <w:t>ara el 14 de marzo de 2017</w:t>
      </w:r>
      <w:r w:rsidR="00D93CF4" w:rsidRPr="00F57FA4">
        <w:rPr>
          <w:szCs w:val="20"/>
          <w:lang w:val="es-CO"/>
        </w:rPr>
        <w:t>,</w:t>
      </w:r>
      <w:r w:rsidR="00F36BE9" w:rsidRPr="00F57FA4">
        <w:rPr>
          <w:szCs w:val="20"/>
          <w:lang w:val="es-CO"/>
        </w:rPr>
        <w:t xml:space="preserve"> el IPPSC co</w:t>
      </w:r>
      <w:r w:rsidR="00A64FAF" w:rsidRPr="00F57FA4">
        <w:rPr>
          <w:szCs w:val="20"/>
          <w:lang w:val="es-CO"/>
        </w:rPr>
        <w:t>ntaba con la presencia de 3.570</w:t>
      </w:r>
      <w:r w:rsidR="00F36BE9" w:rsidRPr="00F57FA4">
        <w:rPr>
          <w:szCs w:val="20"/>
          <w:lang w:val="es-CO"/>
        </w:rPr>
        <w:t xml:space="preserve"> internos, con </w:t>
      </w:r>
      <w:r w:rsidR="00BB71C3" w:rsidRPr="00F57FA4">
        <w:rPr>
          <w:szCs w:val="20"/>
          <w:lang w:val="es-CO"/>
        </w:rPr>
        <w:t xml:space="preserve">una </w:t>
      </w:r>
      <w:r w:rsidR="00F36BE9" w:rsidRPr="00F57FA4">
        <w:rPr>
          <w:szCs w:val="20"/>
          <w:lang w:val="es-CO"/>
        </w:rPr>
        <w:t xml:space="preserve">capacidad para 1.699 personas, lo que implica una tasa de </w:t>
      </w:r>
      <w:r w:rsidR="00BB71C3" w:rsidRPr="00F57FA4">
        <w:rPr>
          <w:szCs w:val="20"/>
          <w:lang w:val="es-CO"/>
        </w:rPr>
        <w:t xml:space="preserve">hacinamiento del </w:t>
      </w:r>
      <w:r w:rsidR="00F36BE9" w:rsidRPr="00F57FA4">
        <w:rPr>
          <w:szCs w:val="20"/>
          <w:lang w:val="es-CO"/>
        </w:rPr>
        <w:t>2</w:t>
      </w:r>
      <w:r w:rsidR="00651BF4">
        <w:rPr>
          <w:szCs w:val="20"/>
          <w:lang w:val="es-CO"/>
        </w:rPr>
        <w:t>1</w:t>
      </w:r>
      <w:r w:rsidR="00F36BE9" w:rsidRPr="00F57FA4">
        <w:rPr>
          <w:szCs w:val="20"/>
          <w:lang w:val="es-CO"/>
        </w:rPr>
        <w:t>%</w:t>
      </w:r>
      <w:r w:rsidR="00783640" w:rsidRPr="00F57FA4">
        <w:rPr>
          <w:szCs w:val="20"/>
          <w:lang w:val="es-CO"/>
        </w:rPr>
        <w:t xml:space="preserve">. El </w:t>
      </w:r>
      <w:r w:rsidR="00B81147" w:rsidRPr="00F57FA4">
        <w:rPr>
          <w:szCs w:val="20"/>
          <w:lang w:val="es-CO"/>
        </w:rPr>
        <w:t xml:space="preserve">Estado resaltó que la </w:t>
      </w:r>
      <w:r w:rsidR="00D801F0">
        <w:rPr>
          <w:szCs w:val="20"/>
          <w:lang w:val="es-CO"/>
        </w:rPr>
        <w:t>superpoblación</w:t>
      </w:r>
      <w:r w:rsidR="00B81147" w:rsidRPr="00F57FA4">
        <w:rPr>
          <w:szCs w:val="20"/>
          <w:lang w:val="es-CO"/>
        </w:rPr>
        <w:t xml:space="preserve"> del IPPSC no está siendo analizada de manera aislada, sino insertada en </w:t>
      </w:r>
      <w:r w:rsidR="00D93CF4" w:rsidRPr="00F57FA4">
        <w:rPr>
          <w:szCs w:val="20"/>
          <w:lang w:val="es-CO"/>
        </w:rPr>
        <w:t>el</w:t>
      </w:r>
      <w:r w:rsidR="00B81147" w:rsidRPr="00F57FA4">
        <w:rPr>
          <w:szCs w:val="20"/>
          <w:lang w:val="es-CO"/>
        </w:rPr>
        <w:t xml:space="preserve"> ámbito </w:t>
      </w:r>
      <w:r w:rsidR="001E641F">
        <w:rPr>
          <w:szCs w:val="20"/>
          <w:lang w:val="es-CO"/>
        </w:rPr>
        <w:t xml:space="preserve">del Estado de Río de Janeiro </w:t>
      </w:r>
      <w:r w:rsidR="00B81147" w:rsidRPr="00F57FA4">
        <w:rPr>
          <w:szCs w:val="20"/>
          <w:lang w:val="es-CO"/>
        </w:rPr>
        <w:t>y</w:t>
      </w:r>
      <w:r w:rsidR="00D93CF4" w:rsidRPr="00F57FA4">
        <w:rPr>
          <w:szCs w:val="20"/>
          <w:lang w:val="es-CO"/>
        </w:rPr>
        <w:t>,</w:t>
      </w:r>
      <w:r w:rsidR="00B81147" w:rsidRPr="00F57FA4">
        <w:rPr>
          <w:szCs w:val="20"/>
          <w:lang w:val="es-CO"/>
        </w:rPr>
        <w:t xml:space="preserve"> por tanto</w:t>
      </w:r>
      <w:r w:rsidR="00D93CF4" w:rsidRPr="00F57FA4">
        <w:rPr>
          <w:szCs w:val="20"/>
          <w:lang w:val="es-CO"/>
        </w:rPr>
        <w:t>,</w:t>
      </w:r>
      <w:r w:rsidR="00B81147" w:rsidRPr="00F57FA4">
        <w:rPr>
          <w:szCs w:val="20"/>
          <w:lang w:val="es-CO"/>
        </w:rPr>
        <w:t xml:space="preserve"> la política gubernamental adoptada en relación al mismo no ha sido la de efectuar transferencias puntuales de detenidos, pues, aunque esa medida produjera algún efecto momentáneo, el problema persistiría.</w:t>
      </w:r>
      <w:r w:rsidR="006B0828" w:rsidRPr="00F57FA4">
        <w:rPr>
          <w:rFonts w:eastAsia="Times New Roman" w:cs="Courier New"/>
          <w:b/>
          <w:color w:val="212121"/>
          <w:szCs w:val="20"/>
          <w:lang w:val="es-CO" w:eastAsia="es-CR"/>
        </w:rPr>
        <w:t xml:space="preserve"> </w:t>
      </w:r>
    </w:p>
    <w:p w14:paraId="7B6AF08A" w14:textId="77777777" w:rsidR="000F6E3B" w:rsidRPr="00F57FA4" w:rsidRDefault="000F6E3B" w:rsidP="006D31D9">
      <w:pPr>
        <w:pStyle w:val="ListParagraph"/>
        <w:rPr>
          <w:lang w:val="es-CO"/>
        </w:rPr>
      </w:pPr>
    </w:p>
    <w:p w14:paraId="509AE334" w14:textId="77777777" w:rsidR="00B81147" w:rsidRPr="00F57FA4" w:rsidRDefault="000F6E3B" w:rsidP="006D31D9">
      <w:pPr>
        <w:pStyle w:val="ListParagraph"/>
        <w:numPr>
          <w:ilvl w:val="0"/>
          <w:numId w:val="20"/>
        </w:numPr>
        <w:snapToGrid w:val="0"/>
        <w:ind w:left="0" w:firstLine="0"/>
        <w:contextualSpacing w:val="0"/>
        <w:rPr>
          <w:szCs w:val="20"/>
          <w:lang w:val="es-CO"/>
        </w:rPr>
      </w:pPr>
      <w:r w:rsidRPr="00F57FA4">
        <w:rPr>
          <w:lang w:val="es-CO"/>
        </w:rPr>
        <w:lastRenderedPageBreak/>
        <w:t>E</w:t>
      </w:r>
      <w:r w:rsidR="00D405DB" w:rsidRPr="00F57FA4">
        <w:rPr>
          <w:lang w:val="es-CO"/>
        </w:rPr>
        <w:t xml:space="preserve">l Estado </w:t>
      </w:r>
      <w:r w:rsidR="00783640" w:rsidRPr="00F57FA4">
        <w:rPr>
          <w:lang w:val="es-CO"/>
        </w:rPr>
        <w:t>sostuvo</w:t>
      </w:r>
      <w:r w:rsidR="00D405DB" w:rsidRPr="00F57FA4">
        <w:rPr>
          <w:lang w:val="es-CO"/>
        </w:rPr>
        <w:t xml:space="preserve"> </w:t>
      </w:r>
      <w:r w:rsidR="00783640" w:rsidRPr="00F57FA4">
        <w:rPr>
          <w:lang w:val="es-CO"/>
        </w:rPr>
        <w:t xml:space="preserve">que </w:t>
      </w:r>
      <w:r w:rsidR="00BB71C3" w:rsidRPr="00F57FA4">
        <w:rPr>
          <w:lang w:val="es-CO"/>
        </w:rPr>
        <w:t>ha implementado las siguientes medidas</w:t>
      </w:r>
      <w:r w:rsidR="00D405DB" w:rsidRPr="00F57FA4">
        <w:rPr>
          <w:lang w:val="es-CO"/>
        </w:rPr>
        <w:t xml:space="preserve"> sobre la temática</w:t>
      </w:r>
      <w:r w:rsidR="0059167B" w:rsidRPr="00F57FA4">
        <w:rPr>
          <w:lang w:val="es-CO"/>
        </w:rPr>
        <w:t>:</w:t>
      </w:r>
    </w:p>
    <w:p w14:paraId="610B3282" w14:textId="77777777" w:rsidR="0059167B" w:rsidRPr="00F57FA4" w:rsidRDefault="0059167B" w:rsidP="006D31D9">
      <w:pPr>
        <w:snapToGrid w:val="0"/>
        <w:rPr>
          <w:szCs w:val="20"/>
          <w:lang w:val="es-CO"/>
        </w:rPr>
      </w:pPr>
    </w:p>
    <w:p w14:paraId="059D7F4B" w14:textId="77777777" w:rsidR="001E641F" w:rsidRDefault="00FE138D" w:rsidP="006D31D9">
      <w:pPr>
        <w:pStyle w:val="ListParagraph"/>
        <w:numPr>
          <w:ilvl w:val="0"/>
          <w:numId w:val="6"/>
        </w:numPr>
        <w:ind w:left="1800"/>
        <w:rPr>
          <w:szCs w:val="20"/>
          <w:lang w:val="es-CO"/>
        </w:rPr>
      </w:pPr>
      <w:r w:rsidRPr="001E641F">
        <w:rPr>
          <w:szCs w:val="20"/>
          <w:lang w:val="es-CO"/>
        </w:rPr>
        <w:t xml:space="preserve">Reubicación de </w:t>
      </w:r>
      <w:r w:rsidR="00D93CF4" w:rsidRPr="001E641F">
        <w:rPr>
          <w:szCs w:val="20"/>
          <w:lang w:val="es-CO"/>
        </w:rPr>
        <w:t>funcionarios</w:t>
      </w:r>
      <w:r w:rsidR="00EE5F44">
        <w:rPr>
          <w:szCs w:val="20"/>
          <w:lang w:val="es-CO"/>
        </w:rPr>
        <w:t>.</w:t>
      </w:r>
    </w:p>
    <w:p w14:paraId="06292077" w14:textId="77777777" w:rsidR="001E641F" w:rsidRDefault="001E641F" w:rsidP="001E641F">
      <w:pPr>
        <w:pStyle w:val="ListParagraph"/>
        <w:ind w:left="1800"/>
        <w:rPr>
          <w:szCs w:val="20"/>
          <w:lang w:val="es-CO"/>
        </w:rPr>
      </w:pPr>
    </w:p>
    <w:p w14:paraId="72CF1BE4" w14:textId="77777777" w:rsidR="00FE138D" w:rsidRPr="00F57FA4" w:rsidRDefault="002967AA" w:rsidP="006D31D9">
      <w:pPr>
        <w:pStyle w:val="ListParagraph"/>
        <w:numPr>
          <w:ilvl w:val="0"/>
          <w:numId w:val="6"/>
        </w:numPr>
        <w:ind w:left="1800"/>
        <w:rPr>
          <w:szCs w:val="20"/>
          <w:lang w:val="es-CO"/>
        </w:rPr>
      </w:pPr>
      <w:r w:rsidRPr="00A1413A">
        <w:rPr>
          <w:szCs w:val="20"/>
          <w:lang w:val="es-CO"/>
        </w:rPr>
        <w:t>Suspensión</w:t>
      </w:r>
      <w:r w:rsidRPr="002967AA">
        <w:rPr>
          <w:szCs w:val="20"/>
          <w:lang w:val="es-CO"/>
        </w:rPr>
        <w:t xml:space="preserve"> </w:t>
      </w:r>
      <w:r w:rsidR="00FE138D" w:rsidRPr="002967AA">
        <w:rPr>
          <w:szCs w:val="20"/>
          <w:lang w:val="es-CO"/>
        </w:rPr>
        <w:t>de acciones civiles públicas</w:t>
      </w:r>
      <w:r w:rsidR="00FE138D" w:rsidRPr="001E641F">
        <w:rPr>
          <w:szCs w:val="20"/>
          <w:lang w:val="es-CO"/>
        </w:rPr>
        <w:t xml:space="preserve"> que limitaban la ocupación puntual de unidades carcelarias con el objetivo de dar una solución sistémica para el problema</w:t>
      </w:r>
      <w:r w:rsidR="001E641F">
        <w:rPr>
          <w:szCs w:val="20"/>
          <w:lang w:val="es-CO"/>
        </w:rPr>
        <w:t xml:space="preserve"> de </w:t>
      </w:r>
      <w:r w:rsidR="002F520D">
        <w:rPr>
          <w:szCs w:val="20"/>
          <w:lang w:val="es-CO"/>
        </w:rPr>
        <w:t>hacinamiento</w:t>
      </w:r>
      <w:r w:rsidR="00EE5F44">
        <w:rPr>
          <w:szCs w:val="20"/>
          <w:lang w:val="es-CO"/>
        </w:rPr>
        <w:t>.</w:t>
      </w:r>
    </w:p>
    <w:p w14:paraId="0E6DEF8B" w14:textId="77777777" w:rsidR="00FE138D" w:rsidRPr="00F57FA4" w:rsidRDefault="00FE138D" w:rsidP="006D31D9">
      <w:pPr>
        <w:pStyle w:val="ListParagraph"/>
        <w:ind w:left="1800"/>
        <w:rPr>
          <w:szCs w:val="20"/>
          <w:lang w:val="es-CO"/>
        </w:rPr>
      </w:pPr>
    </w:p>
    <w:p w14:paraId="2A8B68C3" w14:textId="77777777" w:rsidR="00FE138D" w:rsidRPr="00F57FA4" w:rsidRDefault="00FE138D" w:rsidP="006D31D9">
      <w:pPr>
        <w:pStyle w:val="ListParagraph"/>
        <w:numPr>
          <w:ilvl w:val="0"/>
          <w:numId w:val="6"/>
        </w:numPr>
        <w:ind w:left="1800"/>
        <w:rPr>
          <w:szCs w:val="20"/>
          <w:lang w:val="es-CO"/>
        </w:rPr>
      </w:pPr>
      <w:r w:rsidRPr="00F57FA4">
        <w:rPr>
          <w:szCs w:val="20"/>
          <w:lang w:val="es-CO"/>
        </w:rPr>
        <w:t>Implementación de una central de clarificación de antecedentes criminales en la estructura de la Coordinadora de Seguridad e Inteligencia del Ministerio Publico del Estado de Rio de Janeiro</w:t>
      </w:r>
      <w:r w:rsidR="00EE5F44">
        <w:rPr>
          <w:szCs w:val="20"/>
          <w:lang w:val="es-CO"/>
        </w:rPr>
        <w:t>.</w:t>
      </w:r>
    </w:p>
    <w:p w14:paraId="413EBC55" w14:textId="77777777" w:rsidR="00FE138D" w:rsidRPr="00F57FA4" w:rsidRDefault="00FE138D" w:rsidP="006D31D9">
      <w:pPr>
        <w:pStyle w:val="ListParagraph"/>
        <w:ind w:left="1800"/>
        <w:rPr>
          <w:szCs w:val="20"/>
          <w:lang w:val="es-CO"/>
        </w:rPr>
      </w:pPr>
    </w:p>
    <w:p w14:paraId="1ECBEB43" w14:textId="77777777" w:rsidR="00FE138D" w:rsidRPr="00F57FA4" w:rsidRDefault="001E5811" w:rsidP="006D31D9">
      <w:pPr>
        <w:pStyle w:val="ListParagraph"/>
        <w:numPr>
          <w:ilvl w:val="0"/>
          <w:numId w:val="6"/>
        </w:numPr>
        <w:ind w:left="1800"/>
        <w:rPr>
          <w:szCs w:val="20"/>
          <w:lang w:val="es-CO"/>
        </w:rPr>
      </w:pPr>
      <w:r>
        <w:rPr>
          <w:szCs w:val="20"/>
          <w:lang w:val="es-CO"/>
        </w:rPr>
        <w:t xml:space="preserve">Puesta en marcha </w:t>
      </w:r>
      <w:r w:rsidR="00FE138D" w:rsidRPr="00F57FA4">
        <w:rPr>
          <w:szCs w:val="20"/>
          <w:lang w:val="es-CO"/>
        </w:rPr>
        <w:t xml:space="preserve">de </w:t>
      </w:r>
      <w:r w:rsidR="00D93CF4" w:rsidRPr="00F57FA4">
        <w:rPr>
          <w:szCs w:val="20"/>
          <w:lang w:val="es-CO"/>
        </w:rPr>
        <w:t>grupos de trabajo (</w:t>
      </w:r>
      <w:r w:rsidR="00FE138D" w:rsidRPr="00F57FA4">
        <w:rPr>
          <w:i/>
          <w:szCs w:val="20"/>
          <w:lang w:val="es-CO"/>
        </w:rPr>
        <w:t>mutir</w:t>
      </w:r>
      <w:r w:rsidR="00D93CF4" w:rsidRPr="00F57FA4">
        <w:rPr>
          <w:i/>
          <w:szCs w:val="20"/>
          <w:lang w:val="es-CO"/>
        </w:rPr>
        <w:t>ões</w:t>
      </w:r>
      <w:r w:rsidR="00D93CF4" w:rsidRPr="00F57FA4">
        <w:rPr>
          <w:szCs w:val="20"/>
          <w:lang w:val="es-CO"/>
        </w:rPr>
        <w:t>)</w:t>
      </w:r>
      <w:r w:rsidR="00FE138D" w:rsidRPr="00F57FA4">
        <w:rPr>
          <w:szCs w:val="20"/>
          <w:lang w:val="es-CO"/>
        </w:rPr>
        <w:t xml:space="preserve"> para </w:t>
      </w:r>
      <w:r>
        <w:rPr>
          <w:szCs w:val="20"/>
          <w:lang w:val="es-CO"/>
        </w:rPr>
        <w:t xml:space="preserve">llevar a cabo </w:t>
      </w:r>
      <w:r w:rsidR="00FE138D" w:rsidRPr="00F57FA4">
        <w:rPr>
          <w:szCs w:val="20"/>
          <w:lang w:val="es-CO"/>
        </w:rPr>
        <w:t>los exámenes criminológicos pendientes</w:t>
      </w:r>
      <w:r w:rsidR="00EE5F44">
        <w:rPr>
          <w:szCs w:val="20"/>
          <w:lang w:val="es-CO"/>
        </w:rPr>
        <w:t>.</w:t>
      </w:r>
    </w:p>
    <w:p w14:paraId="100D2FC7" w14:textId="77777777" w:rsidR="00FE138D" w:rsidRPr="00F57FA4" w:rsidRDefault="00FE138D" w:rsidP="006D31D9">
      <w:pPr>
        <w:pStyle w:val="ListParagraph"/>
        <w:ind w:left="1800"/>
        <w:rPr>
          <w:szCs w:val="20"/>
          <w:lang w:val="es-CO"/>
        </w:rPr>
      </w:pPr>
    </w:p>
    <w:p w14:paraId="64EE8EE0" w14:textId="77777777" w:rsidR="00FE138D" w:rsidRPr="00F57FA4" w:rsidRDefault="00FE138D" w:rsidP="006D31D9">
      <w:pPr>
        <w:pStyle w:val="ListParagraph"/>
        <w:numPr>
          <w:ilvl w:val="0"/>
          <w:numId w:val="6"/>
        </w:numPr>
        <w:ind w:left="1800"/>
        <w:rPr>
          <w:szCs w:val="20"/>
          <w:lang w:val="es-CO"/>
        </w:rPr>
      </w:pPr>
      <w:r w:rsidRPr="00F57FA4">
        <w:rPr>
          <w:szCs w:val="20"/>
          <w:lang w:val="es-CO"/>
        </w:rPr>
        <w:t>Reducción significativa de l</w:t>
      </w:r>
      <w:r w:rsidR="00C30915">
        <w:rPr>
          <w:szCs w:val="20"/>
          <w:lang w:val="es-CO"/>
        </w:rPr>
        <w:t>a</w:t>
      </w:r>
      <w:r w:rsidRPr="00F57FA4">
        <w:rPr>
          <w:szCs w:val="20"/>
          <w:lang w:val="es-CO"/>
        </w:rPr>
        <w:t xml:space="preserve">s </w:t>
      </w:r>
      <w:r w:rsidR="00C30915">
        <w:rPr>
          <w:szCs w:val="20"/>
          <w:lang w:val="es-CO"/>
        </w:rPr>
        <w:t xml:space="preserve">solicitudes </w:t>
      </w:r>
      <w:r w:rsidRPr="00F57FA4">
        <w:rPr>
          <w:szCs w:val="20"/>
          <w:lang w:val="es-CO"/>
        </w:rPr>
        <w:t>de realización de exámenes criminológicos por el Ministerio Público, con observancia de</w:t>
      </w:r>
      <w:r w:rsidR="00D93CF4" w:rsidRPr="00F57FA4">
        <w:rPr>
          <w:szCs w:val="20"/>
          <w:lang w:val="es-CO"/>
        </w:rPr>
        <w:t xml:space="preserve"> </w:t>
      </w:r>
      <w:r w:rsidRPr="00F57FA4">
        <w:rPr>
          <w:szCs w:val="20"/>
          <w:lang w:val="es-CO"/>
        </w:rPr>
        <w:t>la</w:t>
      </w:r>
      <w:r w:rsidR="008833EC">
        <w:rPr>
          <w:szCs w:val="20"/>
          <w:lang w:val="es-CO"/>
        </w:rPr>
        <w:t>s</w:t>
      </w:r>
      <w:r w:rsidR="00C30915">
        <w:rPr>
          <w:szCs w:val="20"/>
          <w:lang w:val="es-CO"/>
        </w:rPr>
        <w:t xml:space="preserve"> interpretaciones vinculantes</w:t>
      </w:r>
      <w:r w:rsidRPr="00F57FA4">
        <w:rPr>
          <w:szCs w:val="20"/>
          <w:lang w:val="es-CO"/>
        </w:rPr>
        <w:t xml:space="preserve"> </w:t>
      </w:r>
      <w:r w:rsidR="00C30915">
        <w:rPr>
          <w:szCs w:val="20"/>
          <w:lang w:val="es-CO"/>
        </w:rPr>
        <w:t>(</w:t>
      </w:r>
      <w:r w:rsidRPr="008833EC">
        <w:rPr>
          <w:i/>
          <w:szCs w:val="20"/>
          <w:lang w:val="es-CO"/>
        </w:rPr>
        <w:t>Súmula Vinculante</w:t>
      </w:r>
      <w:r w:rsidR="00C30915">
        <w:rPr>
          <w:szCs w:val="20"/>
          <w:lang w:val="es-CO"/>
        </w:rPr>
        <w:t>)</w:t>
      </w:r>
      <w:r w:rsidRPr="00F57FA4">
        <w:rPr>
          <w:szCs w:val="20"/>
          <w:lang w:val="es-CO"/>
        </w:rPr>
        <w:t xml:space="preserve"> </w:t>
      </w:r>
      <w:r w:rsidR="00D93CF4" w:rsidRPr="00F57FA4">
        <w:rPr>
          <w:szCs w:val="20"/>
          <w:lang w:val="es-CO"/>
        </w:rPr>
        <w:t xml:space="preserve">No. 26 </w:t>
      </w:r>
      <w:r w:rsidRPr="00F57FA4">
        <w:rPr>
          <w:szCs w:val="20"/>
          <w:lang w:val="es-CO"/>
        </w:rPr>
        <w:t xml:space="preserve">del Supremo Tribunal Federal y </w:t>
      </w:r>
      <w:r w:rsidR="00D93CF4" w:rsidRPr="00F57FA4">
        <w:rPr>
          <w:szCs w:val="20"/>
          <w:lang w:val="es-CO"/>
        </w:rPr>
        <w:t xml:space="preserve">No. 439 </w:t>
      </w:r>
      <w:r w:rsidRPr="00F57FA4">
        <w:rPr>
          <w:szCs w:val="20"/>
          <w:lang w:val="es-CO"/>
        </w:rPr>
        <w:t>del Superior Tribunal de Justicia</w:t>
      </w:r>
      <w:r w:rsidR="00EE5F44">
        <w:rPr>
          <w:szCs w:val="20"/>
          <w:lang w:val="es-CO"/>
        </w:rPr>
        <w:t>.</w:t>
      </w:r>
    </w:p>
    <w:p w14:paraId="2EEC2050" w14:textId="77777777" w:rsidR="00FE138D" w:rsidRPr="00F57FA4" w:rsidRDefault="00FE138D" w:rsidP="006D31D9">
      <w:pPr>
        <w:pStyle w:val="ListParagraph"/>
        <w:ind w:left="1800"/>
        <w:rPr>
          <w:szCs w:val="20"/>
          <w:lang w:val="es-CO"/>
        </w:rPr>
      </w:pPr>
    </w:p>
    <w:p w14:paraId="33A056FC" w14:textId="77777777" w:rsidR="00FE138D" w:rsidRPr="00F57FA4" w:rsidRDefault="0006226B" w:rsidP="006D31D9">
      <w:pPr>
        <w:pStyle w:val="ListParagraph"/>
        <w:numPr>
          <w:ilvl w:val="0"/>
          <w:numId w:val="6"/>
        </w:numPr>
        <w:ind w:left="1800"/>
        <w:rPr>
          <w:szCs w:val="20"/>
          <w:lang w:val="es-CO"/>
        </w:rPr>
      </w:pPr>
      <w:r>
        <w:rPr>
          <w:szCs w:val="20"/>
          <w:lang w:val="es-CO"/>
        </w:rPr>
        <w:t>Reanudación</w:t>
      </w:r>
      <w:r w:rsidRPr="00F57FA4">
        <w:rPr>
          <w:szCs w:val="20"/>
          <w:lang w:val="es-CO"/>
        </w:rPr>
        <w:t xml:space="preserve"> </w:t>
      </w:r>
      <w:r w:rsidR="00FE138D" w:rsidRPr="00F57FA4">
        <w:rPr>
          <w:szCs w:val="20"/>
          <w:lang w:val="es-CO"/>
        </w:rPr>
        <w:t>de los Consejos de</w:t>
      </w:r>
      <w:r w:rsidR="002F520D">
        <w:rPr>
          <w:szCs w:val="20"/>
          <w:lang w:val="es-CO"/>
        </w:rPr>
        <w:t xml:space="preserve"> la</w:t>
      </w:r>
      <w:r w:rsidR="00FE138D" w:rsidRPr="00F57FA4">
        <w:rPr>
          <w:szCs w:val="20"/>
          <w:lang w:val="es-CO"/>
        </w:rPr>
        <w:t xml:space="preserve"> Comunidad</w:t>
      </w:r>
      <w:r w:rsidR="0049601B">
        <w:rPr>
          <w:szCs w:val="20"/>
          <w:lang w:val="es-CO"/>
        </w:rPr>
        <w:t>,</w:t>
      </w:r>
      <w:r w:rsidR="00FE138D" w:rsidRPr="00F57FA4">
        <w:rPr>
          <w:szCs w:val="20"/>
          <w:lang w:val="es-CO"/>
        </w:rPr>
        <w:t xml:space="preserve"> inicialmente en los municipios de Rio de Janeiro y Niterói</w:t>
      </w:r>
      <w:r w:rsidR="00EE5F44">
        <w:rPr>
          <w:szCs w:val="20"/>
          <w:lang w:val="es-CO"/>
        </w:rPr>
        <w:t>.</w:t>
      </w:r>
    </w:p>
    <w:p w14:paraId="2935C4AF" w14:textId="77777777" w:rsidR="00FE138D" w:rsidRPr="00F57FA4" w:rsidRDefault="00FE138D" w:rsidP="006D31D9">
      <w:pPr>
        <w:pStyle w:val="ListParagraph"/>
        <w:ind w:left="1800"/>
        <w:rPr>
          <w:szCs w:val="20"/>
          <w:lang w:val="es-CO"/>
        </w:rPr>
      </w:pPr>
    </w:p>
    <w:p w14:paraId="0EC73DD3" w14:textId="77777777" w:rsidR="00FE138D" w:rsidRPr="00F57FA4" w:rsidRDefault="00FE138D" w:rsidP="006D31D9">
      <w:pPr>
        <w:pStyle w:val="ListParagraph"/>
        <w:numPr>
          <w:ilvl w:val="0"/>
          <w:numId w:val="6"/>
        </w:numPr>
        <w:ind w:left="1800"/>
        <w:rPr>
          <w:szCs w:val="20"/>
          <w:lang w:val="es-CO"/>
        </w:rPr>
      </w:pPr>
      <w:r w:rsidRPr="00F57FA4">
        <w:rPr>
          <w:szCs w:val="20"/>
          <w:lang w:val="es-CO"/>
        </w:rPr>
        <w:t>Posibilidad de concesión de prisión domiciliar</w:t>
      </w:r>
      <w:r w:rsidR="00C3695E">
        <w:rPr>
          <w:szCs w:val="20"/>
          <w:lang w:val="es-CO"/>
        </w:rPr>
        <w:t>ia</w:t>
      </w:r>
      <w:r w:rsidRPr="00F57FA4">
        <w:rPr>
          <w:szCs w:val="20"/>
          <w:lang w:val="es-CO"/>
        </w:rPr>
        <w:t xml:space="preserve"> a los </w:t>
      </w:r>
      <w:r w:rsidR="00D93CF4" w:rsidRPr="00F57FA4">
        <w:rPr>
          <w:szCs w:val="20"/>
          <w:lang w:val="es-CO"/>
        </w:rPr>
        <w:t>internos</w:t>
      </w:r>
      <w:r w:rsidRPr="00F57FA4">
        <w:rPr>
          <w:szCs w:val="20"/>
          <w:lang w:val="es-CO"/>
        </w:rPr>
        <w:t xml:space="preserve"> que estén cumpliendo satisfactoriamente la pena en régimen abierto</w:t>
      </w:r>
      <w:r w:rsidR="00EE5F44">
        <w:rPr>
          <w:szCs w:val="20"/>
          <w:lang w:val="es-CO"/>
        </w:rPr>
        <w:t>.</w:t>
      </w:r>
    </w:p>
    <w:p w14:paraId="0C9B8FBD" w14:textId="77777777" w:rsidR="00FE138D" w:rsidRPr="00F57FA4" w:rsidRDefault="00FE138D" w:rsidP="006D31D9">
      <w:pPr>
        <w:pStyle w:val="ListParagraph"/>
        <w:ind w:left="1800"/>
        <w:rPr>
          <w:szCs w:val="20"/>
          <w:lang w:val="es-CO"/>
        </w:rPr>
      </w:pPr>
    </w:p>
    <w:p w14:paraId="46E5EF18" w14:textId="77777777" w:rsidR="00FF4023" w:rsidRPr="00F57FA4" w:rsidRDefault="00797CE8" w:rsidP="006D31D9">
      <w:pPr>
        <w:pStyle w:val="ListParagraph"/>
        <w:numPr>
          <w:ilvl w:val="0"/>
          <w:numId w:val="6"/>
        </w:numPr>
        <w:ind w:left="1800"/>
        <w:rPr>
          <w:szCs w:val="20"/>
          <w:lang w:val="es-CO"/>
        </w:rPr>
      </w:pPr>
      <w:r w:rsidRPr="00F57FA4">
        <w:rPr>
          <w:szCs w:val="20"/>
          <w:lang w:val="es-CO"/>
        </w:rPr>
        <w:t>Análisis</w:t>
      </w:r>
      <w:r w:rsidR="00FE138D" w:rsidRPr="00F57FA4">
        <w:rPr>
          <w:szCs w:val="20"/>
          <w:lang w:val="es-CO"/>
        </w:rPr>
        <w:t xml:space="preserve"> individual</w:t>
      </w:r>
      <w:r w:rsidR="001E5811">
        <w:rPr>
          <w:szCs w:val="20"/>
          <w:lang w:val="es-CO"/>
        </w:rPr>
        <w:t xml:space="preserve">izado de los internos de la tercera edad </w:t>
      </w:r>
      <w:r w:rsidR="00FE138D" w:rsidRPr="00F57FA4">
        <w:rPr>
          <w:szCs w:val="20"/>
          <w:lang w:val="es-CO"/>
        </w:rPr>
        <w:t xml:space="preserve"> por el Ministerio Público </w:t>
      </w:r>
      <w:r w:rsidR="001E5811">
        <w:rPr>
          <w:szCs w:val="20"/>
          <w:lang w:val="es-CO"/>
        </w:rPr>
        <w:t xml:space="preserve">para atender </w:t>
      </w:r>
      <w:r w:rsidR="00FE138D" w:rsidRPr="00F57FA4">
        <w:rPr>
          <w:szCs w:val="20"/>
          <w:lang w:val="es-CO"/>
        </w:rPr>
        <w:t xml:space="preserve">sus demandas, principalmente en el área de salud, con el objetivo de </w:t>
      </w:r>
      <w:r w:rsidR="002F520D">
        <w:rPr>
          <w:szCs w:val="20"/>
          <w:lang w:val="es-CO"/>
        </w:rPr>
        <w:t xml:space="preserve">evaluar </w:t>
      </w:r>
      <w:r w:rsidR="009F7495">
        <w:rPr>
          <w:szCs w:val="20"/>
          <w:lang w:val="es-CO"/>
        </w:rPr>
        <w:t>prioritariamente</w:t>
      </w:r>
      <w:r w:rsidR="00FE138D" w:rsidRPr="00F57FA4">
        <w:rPr>
          <w:szCs w:val="20"/>
          <w:lang w:val="es-CO"/>
        </w:rPr>
        <w:t xml:space="preserve"> </w:t>
      </w:r>
      <w:r w:rsidR="001E5811">
        <w:rPr>
          <w:szCs w:val="20"/>
          <w:lang w:val="es-CO"/>
        </w:rPr>
        <w:t xml:space="preserve">la concesión de </w:t>
      </w:r>
      <w:r w:rsidR="00FE138D" w:rsidRPr="00F57FA4">
        <w:rPr>
          <w:szCs w:val="20"/>
          <w:lang w:val="es-CO"/>
        </w:rPr>
        <w:t>posibles beneficios</w:t>
      </w:r>
      <w:r w:rsidR="001E5811">
        <w:rPr>
          <w:szCs w:val="20"/>
          <w:lang w:val="es-CO"/>
        </w:rPr>
        <w:t xml:space="preserve"> carcelarios</w:t>
      </w:r>
      <w:r w:rsidR="00EE5F44">
        <w:rPr>
          <w:szCs w:val="20"/>
          <w:lang w:val="es-CO"/>
        </w:rPr>
        <w:t>.</w:t>
      </w:r>
    </w:p>
    <w:p w14:paraId="7E1256B6" w14:textId="77777777" w:rsidR="000F6E3B" w:rsidRPr="00F57FA4" w:rsidRDefault="000F6E3B" w:rsidP="006D31D9">
      <w:pPr>
        <w:pStyle w:val="ListParagraph"/>
        <w:rPr>
          <w:szCs w:val="20"/>
          <w:lang w:val="es-CO"/>
        </w:rPr>
      </w:pPr>
    </w:p>
    <w:p w14:paraId="20959302" w14:textId="77777777" w:rsidR="00783640" w:rsidRPr="00F57FA4" w:rsidRDefault="00A64FAF" w:rsidP="006D31D9">
      <w:pPr>
        <w:pStyle w:val="ListParagraph"/>
        <w:numPr>
          <w:ilvl w:val="0"/>
          <w:numId w:val="20"/>
        </w:numPr>
        <w:snapToGrid w:val="0"/>
        <w:ind w:left="0" w:firstLine="0"/>
        <w:contextualSpacing w:val="0"/>
        <w:rPr>
          <w:szCs w:val="20"/>
          <w:lang w:val="es-CO"/>
        </w:rPr>
      </w:pPr>
      <w:r w:rsidRPr="00F57FA4">
        <w:rPr>
          <w:szCs w:val="20"/>
          <w:lang w:val="es-CO"/>
        </w:rPr>
        <w:t xml:space="preserve">El  Estado destacó que el </w:t>
      </w:r>
      <w:r w:rsidR="009F7495" w:rsidRPr="00F57FA4">
        <w:rPr>
          <w:lang w:val="es-CO"/>
        </w:rPr>
        <w:t>Ministerio Público de Río de Janeiro (en adelante también “MP-RJ”)</w:t>
      </w:r>
      <w:r w:rsidRPr="00F57FA4">
        <w:rPr>
          <w:szCs w:val="20"/>
          <w:lang w:val="es-CO"/>
        </w:rPr>
        <w:t xml:space="preserve"> se encuentra en búsqueda </w:t>
      </w:r>
      <w:r w:rsidR="00797CE8" w:rsidRPr="00F57FA4">
        <w:rPr>
          <w:szCs w:val="20"/>
          <w:lang w:val="es-CO"/>
        </w:rPr>
        <w:t xml:space="preserve">de </w:t>
      </w:r>
      <w:r w:rsidR="000F6E3B" w:rsidRPr="00F57FA4">
        <w:rPr>
          <w:szCs w:val="20"/>
          <w:lang w:val="es-CO"/>
        </w:rPr>
        <w:t xml:space="preserve">herramientas útiles </w:t>
      </w:r>
      <w:r w:rsidRPr="00F57FA4">
        <w:rPr>
          <w:szCs w:val="20"/>
          <w:lang w:val="es-CO"/>
        </w:rPr>
        <w:t>para</w:t>
      </w:r>
      <w:r w:rsidR="00797CE8" w:rsidRPr="00F57FA4">
        <w:rPr>
          <w:szCs w:val="20"/>
          <w:lang w:val="es-CO"/>
        </w:rPr>
        <w:t xml:space="preserve"> realizar </w:t>
      </w:r>
      <w:r w:rsidR="000F6E3B" w:rsidRPr="00F57FA4">
        <w:rPr>
          <w:szCs w:val="20"/>
          <w:lang w:val="es-CO"/>
        </w:rPr>
        <w:t>sus funciones</w:t>
      </w:r>
      <w:r w:rsidR="00571942">
        <w:rPr>
          <w:szCs w:val="20"/>
          <w:lang w:val="es-CO"/>
        </w:rPr>
        <w:t xml:space="preserve"> de mejor manera. Entre las iniciativas señaladas por el Estado se encuentra</w:t>
      </w:r>
      <w:r w:rsidR="00BB71C3" w:rsidRPr="00F57FA4">
        <w:rPr>
          <w:szCs w:val="20"/>
          <w:lang w:val="es-CO"/>
        </w:rPr>
        <w:t xml:space="preserve"> el proyecto </w:t>
      </w:r>
      <w:r w:rsidR="00797CE8" w:rsidRPr="00F57FA4">
        <w:rPr>
          <w:szCs w:val="20"/>
          <w:lang w:val="es-CO"/>
        </w:rPr>
        <w:t>“</w:t>
      </w:r>
      <w:r w:rsidR="00BB71C3" w:rsidRPr="00F57FA4">
        <w:rPr>
          <w:szCs w:val="20"/>
          <w:lang w:val="es-CO"/>
        </w:rPr>
        <w:t>Luz en la Cárcel</w:t>
      </w:r>
      <w:r w:rsidR="00797CE8" w:rsidRPr="00F57FA4">
        <w:rPr>
          <w:szCs w:val="20"/>
          <w:lang w:val="es-CO"/>
        </w:rPr>
        <w:t>”</w:t>
      </w:r>
      <w:r w:rsidR="00BB71C3" w:rsidRPr="00F57FA4">
        <w:rPr>
          <w:szCs w:val="20"/>
          <w:lang w:val="es-CO"/>
        </w:rPr>
        <w:t xml:space="preserve">, el cual consiste en el almacenamiento y análisis de </w:t>
      </w:r>
      <w:r w:rsidR="003460A2" w:rsidRPr="00F57FA4">
        <w:rPr>
          <w:szCs w:val="20"/>
          <w:lang w:val="es-CO"/>
        </w:rPr>
        <w:t>los diferentes</w:t>
      </w:r>
      <w:r w:rsidR="000F6E3B" w:rsidRPr="00F57FA4">
        <w:rPr>
          <w:szCs w:val="20"/>
          <w:lang w:val="es-CO"/>
        </w:rPr>
        <w:t xml:space="preserve"> datos sobre el sistema penitenciario</w:t>
      </w:r>
      <w:r w:rsidR="00571942">
        <w:rPr>
          <w:szCs w:val="20"/>
          <w:lang w:val="es-CO"/>
        </w:rPr>
        <w:t xml:space="preserve">. Asimismo, citó </w:t>
      </w:r>
      <w:r w:rsidR="000F6E3B" w:rsidRPr="00F57FA4">
        <w:rPr>
          <w:szCs w:val="20"/>
          <w:lang w:val="es-CO"/>
        </w:rPr>
        <w:t xml:space="preserve">el proyecto </w:t>
      </w:r>
      <w:r w:rsidR="00797CE8" w:rsidRPr="00F57FA4">
        <w:rPr>
          <w:szCs w:val="20"/>
          <w:lang w:val="es-CO"/>
        </w:rPr>
        <w:t>“</w:t>
      </w:r>
      <w:r w:rsidR="000F6E3B" w:rsidRPr="00F57FA4">
        <w:rPr>
          <w:szCs w:val="20"/>
          <w:lang w:val="es-CO"/>
        </w:rPr>
        <w:t>Diagnóstico penitenciario</w:t>
      </w:r>
      <w:r w:rsidR="00797CE8" w:rsidRPr="00F57FA4">
        <w:rPr>
          <w:szCs w:val="20"/>
          <w:lang w:val="es-CO"/>
        </w:rPr>
        <w:t>”,</w:t>
      </w:r>
      <w:r w:rsidR="000F6E3B" w:rsidRPr="00F57FA4">
        <w:rPr>
          <w:szCs w:val="20"/>
          <w:lang w:val="es-CO"/>
        </w:rPr>
        <w:t xml:space="preserve"> que es un sistema </w:t>
      </w:r>
      <w:r w:rsidR="00571942">
        <w:rPr>
          <w:szCs w:val="20"/>
          <w:lang w:val="es-CO"/>
        </w:rPr>
        <w:t>computari</w:t>
      </w:r>
      <w:r w:rsidR="000F6E3B" w:rsidRPr="00F57FA4">
        <w:rPr>
          <w:szCs w:val="20"/>
          <w:lang w:val="es-CO"/>
        </w:rPr>
        <w:t xml:space="preserve">zado </w:t>
      </w:r>
      <w:r w:rsidR="00571942">
        <w:rPr>
          <w:szCs w:val="20"/>
          <w:lang w:val="es-CO"/>
        </w:rPr>
        <w:t>–</w:t>
      </w:r>
      <w:r w:rsidR="000F6E3B" w:rsidRPr="00F57FA4">
        <w:rPr>
          <w:szCs w:val="20"/>
          <w:lang w:val="es-CO"/>
        </w:rPr>
        <w:t>aún</w:t>
      </w:r>
      <w:r w:rsidR="00571942">
        <w:rPr>
          <w:szCs w:val="20"/>
          <w:lang w:val="es-CO"/>
        </w:rPr>
        <w:t xml:space="preserve"> </w:t>
      </w:r>
      <w:r w:rsidR="000F6E3B" w:rsidRPr="00F57FA4">
        <w:rPr>
          <w:szCs w:val="20"/>
          <w:lang w:val="es-CO"/>
        </w:rPr>
        <w:t xml:space="preserve">en fase </w:t>
      </w:r>
      <w:r w:rsidR="00783640" w:rsidRPr="00F57FA4">
        <w:rPr>
          <w:szCs w:val="20"/>
          <w:lang w:val="es-CO"/>
        </w:rPr>
        <w:t>primaria</w:t>
      </w:r>
      <w:r w:rsidR="00571942">
        <w:rPr>
          <w:szCs w:val="20"/>
          <w:lang w:val="es-CO"/>
        </w:rPr>
        <w:t>–</w:t>
      </w:r>
      <w:r w:rsidR="000F6E3B" w:rsidRPr="00F57FA4">
        <w:rPr>
          <w:szCs w:val="20"/>
          <w:lang w:val="es-CO"/>
        </w:rPr>
        <w:t xml:space="preserve"> </w:t>
      </w:r>
      <w:r w:rsidR="00571942">
        <w:rPr>
          <w:szCs w:val="20"/>
          <w:lang w:val="es-CO"/>
        </w:rPr>
        <w:t>con el cual se implementaría una base de datos detallada de la población privada de libertad</w:t>
      </w:r>
      <w:r w:rsidR="000F6E3B" w:rsidRPr="00F57FA4">
        <w:rPr>
          <w:szCs w:val="20"/>
          <w:lang w:val="es-CO"/>
        </w:rPr>
        <w:t>.</w:t>
      </w:r>
      <w:r w:rsidR="006B0828" w:rsidRPr="00F57FA4">
        <w:rPr>
          <w:rFonts w:eastAsia="Times New Roman" w:cs="Courier New"/>
          <w:b/>
          <w:color w:val="212121"/>
          <w:szCs w:val="20"/>
          <w:lang w:val="es-CO" w:eastAsia="es-CR"/>
        </w:rPr>
        <w:t xml:space="preserve"> </w:t>
      </w:r>
    </w:p>
    <w:p w14:paraId="25357631" w14:textId="77777777" w:rsidR="00783640" w:rsidRPr="00F57FA4" w:rsidRDefault="00783640" w:rsidP="006D31D9">
      <w:pPr>
        <w:pStyle w:val="ListParagraph"/>
        <w:rPr>
          <w:szCs w:val="20"/>
          <w:lang w:val="es-CO"/>
        </w:rPr>
      </w:pPr>
    </w:p>
    <w:p w14:paraId="0F03EDB3" w14:textId="77777777" w:rsidR="00101970" w:rsidRPr="00F57FA4" w:rsidRDefault="00783640" w:rsidP="006D31D9">
      <w:pPr>
        <w:pStyle w:val="ListParagraph"/>
        <w:numPr>
          <w:ilvl w:val="0"/>
          <w:numId w:val="20"/>
        </w:numPr>
        <w:snapToGrid w:val="0"/>
        <w:ind w:left="0" w:firstLine="0"/>
        <w:contextualSpacing w:val="0"/>
        <w:rPr>
          <w:szCs w:val="20"/>
          <w:lang w:val="es-CO"/>
        </w:rPr>
      </w:pPr>
      <w:r w:rsidRPr="00F57FA4">
        <w:rPr>
          <w:szCs w:val="20"/>
          <w:lang w:val="es-CO"/>
        </w:rPr>
        <w:t>El Estado afirmó</w:t>
      </w:r>
      <w:r w:rsidR="000F6E3B" w:rsidRPr="00F57FA4">
        <w:rPr>
          <w:szCs w:val="20"/>
          <w:lang w:val="es-CO"/>
        </w:rPr>
        <w:t>, además, que ha adoptado medidas para reducir el flujo de ingreso al sistema carcelario a través de la realización de audiencias de custodia, adopción de alternativas penales, monitoreo electrónico y concesión del cumplimiento de pena en régimen semiabierto.</w:t>
      </w:r>
      <w:r w:rsidR="006B0828" w:rsidRPr="00F57FA4">
        <w:rPr>
          <w:rFonts w:eastAsia="Times New Roman" w:cs="Courier New"/>
          <w:b/>
          <w:color w:val="212121"/>
          <w:szCs w:val="20"/>
          <w:lang w:val="es-CO" w:eastAsia="es-CR"/>
        </w:rPr>
        <w:t xml:space="preserve"> </w:t>
      </w:r>
    </w:p>
    <w:p w14:paraId="24C2B2D6" w14:textId="77777777" w:rsidR="004E5F6F" w:rsidRPr="00F57FA4" w:rsidRDefault="004E5F6F" w:rsidP="006D31D9">
      <w:pPr>
        <w:pStyle w:val="ListParagraph"/>
        <w:rPr>
          <w:szCs w:val="20"/>
          <w:lang w:val="es-CO"/>
        </w:rPr>
      </w:pPr>
    </w:p>
    <w:p w14:paraId="5C53882B" w14:textId="77777777" w:rsidR="004E5F6F" w:rsidRPr="00F57FA4" w:rsidRDefault="004E5F6F" w:rsidP="006D31D9">
      <w:pPr>
        <w:pStyle w:val="ListParagraph"/>
        <w:numPr>
          <w:ilvl w:val="0"/>
          <w:numId w:val="20"/>
        </w:numPr>
        <w:snapToGrid w:val="0"/>
        <w:ind w:left="0" w:firstLine="0"/>
        <w:contextualSpacing w:val="0"/>
        <w:rPr>
          <w:szCs w:val="20"/>
          <w:lang w:val="es-CO"/>
        </w:rPr>
      </w:pPr>
      <w:r w:rsidRPr="00F57FA4">
        <w:rPr>
          <w:szCs w:val="20"/>
          <w:lang w:val="es-CO"/>
        </w:rPr>
        <w:t>En audiencia celebrada el 19 de mayo de 2017</w:t>
      </w:r>
      <w:r w:rsidR="003423FB" w:rsidRPr="00F57FA4">
        <w:rPr>
          <w:szCs w:val="20"/>
          <w:lang w:val="es-CO"/>
        </w:rPr>
        <w:t xml:space="preserve">, </w:t>
      </w:r>
      <w:r w:rsidR="00797CE8" w:rsidRPr="00F57FA4">
        <w:rPr>
          <w:szCs w:val="20"/>
          <w:lang w:val="es-CO"/>
        </w:rPr>
        <w:t xml:space="preserve">el Estado </w:t>
      </w:r>
      <w:r w:rsidRPr="00F57FA4">
        <w:rPr>
          <w:lang w:val="es-CO"/>
        </w:rPr>
        <w:t>sostuvo que el Poder</w:t>
      </w:r>
      <w:r w:rsidR="00B718AD" w:rsidRPr="00F57FA4">
        <w:rPr>
          <w:lang w:val="es-CO"/>
        </w:rPr>
        <w:t xml:space="preserve"> Judicial, el MP-RJ</w:t>
      </w:r>
      <w:r w:rsidRPr="00F57FA4">
        <w:rPr>
          <w:lang w:val="es-CO"/>
        </w:rPr>
        <w:t>, el Poder Ejecutivo y la Defensoría Pública, entre otr</w:t>
      </w:r>
      <w:r w:rsidR="003460A2" w:rsidRPr="00F57FA4">
        <w:rPr>
          <w:lang w:val="es-CO"/>
        </w:rPr>
        <w:t xml:space="preserve">as </w:t>
      </w:r>
      <w:r w:rsidR="002F520D">
        <w:rPr>
          <w:lang w:val="es-CO"/>
        </w:rPr>
        <w:t>instituciones</w:t>
      </w:r>
      <w:r w:rsidR="003460A2" w:rsidRPr="00F57FA4">
        <w:rPr>
          <w:lang w:val="es-CO"/>
        </w:rPr>
        <w:t>, constituyeron en e</w:t>
      </w:r>
      <w:r w:rsidR="003423FB" w:rsidRPr="00F57FA4">
        <w:rPr>
          <w:lang w:val="es-CO"/>
        </w:rPr>
        <w:t>nero del 2017 un C</w:t>
      </w:r>
      <w:r w:rsidRPr="00F57FA4">
        <w:rPr>
          <w:lang w:val="es-CO"/>
        </w:rPr>
        <w:t xml:space="preserve">omité </w:t>
      </w:r>
      <w:r w:rsidR="003423FB" w:rsidRPr="00F57FA4">
        <w:rPr>
          <w:lang w:val="es-CO"/>
        </w:rPr>
        <w:t xml:space="preserve">Colegiado </w:t>
      </w:r>
      <w:r w:rsidRPr="00F57FA4">
        <w:rPr>
          <w:lang w:val="es-CO"/>
        </w:rPr>
        <w:t xml:space="preserve">para luchar </w:t>
      </w:r>
      <w:r w:rsidR="004B6FB9">
        <w:rPr>
          <w:lang w:val="es-CO"/>
        </w:rPr>
        <w:t xml:space="preserve">en </w:t>
      </w:r>
      <w:r w:rsidRPr="00F57FA4">
        <w:rPr>
          <w:lang w:val="es-CO"/>
        </w:rPr>
        <w:t>con</w:t>
      </w:r>
      <w:r w:rsidR="00B718AD" w:rsidRPr="00F57FA4">
        <w:rPr>
          <w:lang w:val="es-CO"/>
        </w:rPr>
        <w:t xml:space="preserve">tra </w:t>
      </w:r>
      <w:r w:rsidR="004B6FB9">
        <w:rPr>
          <w:lang w:val="es-CO"/>
        </w:rPr>
        <w:t>d</w:t>
      </w:r>
      <w:r w:rsidR="00B718AD" w:rsidRPr="00F57FA4">
        <w:rPr>
          <w:lang w:val="es-CO"/>
        </w:rPr>
        <w:t>el hacinamiento carcelario</w:t>
      </w:r>
      <w:r w:rsidR="004B6FB9">
        <w:rPr>
          <w:lang w:val="es-CO"/>
        </w:rPr>
        <w:t xml:space="preserve">. Con la creación de esta instancia, </w:t>
      </w:r>
      <w:r w:rsidR="00B718AD" w:rsidRPr="00F57FA4">
        <w:rPr>
          <w:lang w:val="es-CO"/>
        </w:rPr>
        <w:t xml:space="preserve">se </w:t>
      </w:r>
      <w:r w:rsidR="003423FB" w:rsidRPr="00F57FA4">
        <w:rPr>
          <w:lang w:val="es-CO"/>
        </w:rPr>
        <w:t>pretende</w:t>
      </w:r>
      <w:r w:rsidR="00B718AD" w:rsidRPr="00F57FA4">
        <w:rPr>
          <w:lang w:val="es-CO"/>
        </w:rPr>
        <w:t xml:space="preserve"> </w:t>
      </w:r>
      <w:r w:rsidR="004B6FB9">
        <w:rPr>
          <w:lang w:val="es-CO"/>
        </w:rPr>
        <w:t>lograr la</w:t>
      </w:r>
      <w:r w:rsidR="00B718AD" w:rsidRPr="00F57FA4">
        <w:rPr>
          <w:lang w:val="es-CO"/>
        </w:rPr>
        <w:t xml:space="preserve"> construcción, coordinación institucional </w:t>
      </w:r>
      <w:r w:rsidRPr="00F57FA4">
        <w:rPr>
          <w:lang w:val="es-CO"/>
        </w:rPr>
        <w:t>y monitoreo de soluciones.</w:t>
      </w:r>
      <w:r w:rsidR="00B718AD" w:rsidRPr="00F57FA4">
        <w:rPr>
          <w:lang w:val="es-CO"/>
        </w:rPr>
        <w:t xml:space="preserve"> </w:t>
      </w:r>
    </w:p>
    <w:p w14:paraId="0B9BBDF4" w14:textId="77777777" w:rsidR="004E5F6F" w:rsidRPr="00F57FA4" w:rsidRDefault="004E5F6F" w:rsidP="006D31D9">
      <w:pPr>
        <w:pStyle w:val="ListParagraph"/>
        <w:rPr>
          <w:szCs w:val="20"/>
          <w:lang w:val="es-CO"/>
        </w:rPr>
      </w:pPr>
    </w:p>
    <w:p w14:paraId="70D2F56E" w14:textId="77777777" w:rsidR="00190BC6" w:rsidRPr="002967AA" w:rsidRDefault="00390146" w:rsidP="00797CE8">
      <w:pPr>
        <w:pStyle w:val="ListParagraph"/>
        <w:numPr>
          <w:ilvl w:val="0"/>
          <w:numId w:val="20"/>
        </w:numPr>
        <w:snapToGrid w:val="0"/>
        <w:ind w:left="0" w:firstLine="0"/>
        <w:contextualSpacing w:val="0"/>
        <w:rPr>
          <w:szCs w:val="20"/>
          <w:lang w:val="es-CO"/>
        </w:rPr>
      </w:pPr>
      <w:r w:rsidRPr="002967AA">
        <w:rPr>
          <w:szCs w:val="20"/>
          <w:lang w:val="es-CO"/>
        </w:rPr>
        <w:t xml:space="preserve">El </w:t>
      </w:r>
      <w:r w:rsidR="00B718AD" w:rsidRPr="00A1413A">
        <w:rPr>
          <w:lang w:val="es-CO"/>
        </w:rPr>
        <w:t>trabajo realizado por el</w:t>
      </w:r>
      <w:r w:rsidR="004E5F6F" w:rsidRPr="00A1413A">
        <w:rPr>
          <w:lang w:val="es-CO"/>
        </w:rPr>
        <w:t xml:space="preserve"> </w:t>
      </w:r>
      <w:r w:rsidR="00797CE8" w:rsidRPr="00A1413A">
        <w:rPr>
          <w:lang w:val="es-CO"/>
        </w:rPr>
        <w:t>C</w:t>
      </w:r>
      <w:r w:rsidR="004E5F6F" w:rsidRPr="00A1413A">
        <w:rPr>
          <w:lang w:val="es-CO"/>
        </w:rPr>
        <w:t xml:space="preserve">omité </w:t>
      </w:r>
      <w:r w:rsidR="00B718AD" w:rsidRPr="00A1413A">
        <w:rPr>
          <w:lang w:val="es-CO"/>
        </w:rPr>
        <w:t>se relaciona específicamente con</w:t>
      </w:r>
      <w:r w:rsidR="004E5F6F" w:rsidRPr="00A1413A">
        <w:rPr>
          <w:lang w:val="es-CO"/>
        </w:rPr>
        <w:t xml:space="preserve"> </w:t>
      </w:r>
      <w:r w:rsidR="007E7622" w:rsidRPr="00A1413A">
        <w:rPr>
          <w:lang w:val="es-CO"/>
        </w:rPr>
        <w:t>el</w:t>
      </w:r>
      <w:r w:rsidR="004E5F6F" w:rsidRPr="00A1413A">
        <w:rPr>
          <w:lang w:val="es-CO"/>
        </w:rPr>
        <w:t xml:space="preserve"> seguimiento de los índices de ocupación global individualizada, para </w:t>
      </w:r>
      <w:r w:rsidR="003460A2" w:rsidRPr="00A1413A">
        <w:rPr>
          <w:lang w:val="es-CO"/>
        </w:rPr>
        <w:t>lo cual</w:t>
      </w:r>
      <w:r w:rsidR="004E5F6F" w:rsidRPr="00A1413A">
        <w:rPr>
          <w:lang w:val="es-CO"/>
        </w:rPr>
        <w:t xml:space="preserve"> se creó un subcomité para la evaluación de los casos </w:t>
      </w:r>
      <w:r w:rsidR="002F520D" w:rsidRPr="00A1413A">
        <w:rPr>
          <w:lang w:val="es-CO"/>
        </w:rPr>
        <w:t xml:space="preserve">individuales </w:t>
      </w:r>
      <w:r w:rsidR="004E5F6F" w:rsidRPr="00A1413A">
        <w:rPr>
          <w:lang w:val="es-CO"/>
        </w:rPr>
        <w:t xml:space="preserve">de detención y de prisión preventiva. Sus primeras </w:t>
      </w:r>
      <w:r w:rsidR="004E5F6F" w:rsidRPr="00A1413A">
        <w:rPr>
          <w:lang w:val="es-CO"/>
        </w:rPr>
        <w:lastRenderedPageBreak/>
        <w:t xml:space="preserve">acciones son la expansión de </w:t>
      </w:r>
      <w:r w:rsidR="00B718AD" w:rsidRPr="00A1413A">
        <w:rPr>
          <w:lang w:val="es-CO"/>
        </w:rPr>
        <w:t xml:space="preserve">las </w:t>
      </w:r>
      <w:r w:rsidR="004E5F6F" w:rsidRPr="00A1413A">
        <w:rPr>
          <w:lang w:val="es-CO"/>
        </w:rPr>
        <w:t xml:space="preserve">audiencias de custodia </w:t>
      </w:r>
      <w:r w:rsidR="002967AA" w:rsidRPr="002967AA">
        <w:rPr>
          <w:lang w:val="es-CO"/>
        </w:rPr>
        <w:t xml:space="preserve">hacia otras regiones del Estado de Río de Janeiro </w:t>
      </w:r>
      <w:r w:rsidR="004E5F6F" w:rsidRPr="002967AA">
        <w:rPr>
          <w:lang w:val="es-CO"/>
        </w:rPr>
        <w:t xml:space="preserve">y </w:t>
      </w:r>
      <w:r w:rsidR="001E5811" w:rsidRPr="00A1413A">
        <w:rPr>
          <w:lang w:val="es-CO"/>
        </w:rPr>
        <w:t xml:space="preserve">la </w:t>
      </w:r>
      <w:r w:rsidR="004E5F6F" w:rsidRPr="00A1413A">
        <w:rPr>
          <w:lang w:val="es-CO"/>
        </w:rPr>
        <w:t xml:space="preserve">reevaluación de mantenimiento de las prisiones provisionales de más de 180 días. </w:t>
      </w:r>
      <w:r w:rsidR="003460A2" w:rsidRPr="00A1413A">
        <w:rPr>
          <w:lang w:val="es-CO"/>
        </w:rPr>
        <w:t>Adicionalmente</w:t>
      </w:r>
      <w:r w:rsidR="00797CE8" w:rsidRPr="00A1413A">
        <w:rPr>
          <w:lang w:val="es-CO"/>
        </w:rPr>
        <w:t>,</w:t>
      </w:r>
      <w:r w:rsidR="003460A2" w:rsidRPr="00A1413A">
        <w:rPr>
          <w:lang w:val="es-CO"/>
        </w:rPr>
        <w:t xml:space="preserve"> </w:t>
      </w:r>
      <w:r w:rsidR="004E5F6F" w:rsidRPr="00A1413A">
        <w:rPr>
          <w:lang w:val="es-CO"/>
        </w:rPr>
        <w:t xml:space="preserve">se determinó la integración del sistema de procesamiento electrónico de la ejecución </w:t>
      </w:r>
      <w:r w:rsidR="00A1413A">
        <w:rPr>
          <w:lang w:val="es-CO"/>
        </w:rPr>
        <w:t>de las condenas</w:t>
      </w:r>
      <w:r w:rsidR="004E5F6F" w:rsidRPr="00A1413A">
        <w:rPr>
          <w:lang w:val="es-CO"/>
        </w:rPr>
        <w:t>,</w:t>
      </w:r>
      <w:r w:rsidR="00956436">
        <w:rPr>
          <w:lang w:val="es-CO"/>
        </w:rPr>
        <w:t xml:space="preserve"> </w:t>
      </w:r>
      <w:r w:rsidR="007E7622" w:rsidRPr="00A1413A">
        <w:rPr>
          <w:lang w:val="es-CO"/>
        </w:rPr>
        <w:t xml:space="preserve">lo que </w:t>
      </w:r>
      <w:r w:rsidR="00797CE8" w:rsidRPr="00A1413A">
        <w:rPr>
          <w:lang w:val="es-CO"/>
        </w:rPr>
        <w:t xml:space="preserve">se </w:t>
      </w:r>
      <w:r w:rsidR="004E5F6F" w:rsidRPr="00A1413A">
        <w:rPr>
          <w:lang w:val="es-CO"/>
        </w:rPr>
        <w:t xml:space="preserve">pretende concluir </w:t>
      </w:r>
      <w:r w:rsidR="001E5811" w:rsidRPr="00A1413A">
        <w:rPr>
          <w:lang w:val="es-CO"/>
        </w:rPr>
        <w:t>en</w:t>
      </w:r>
      <w:r w:rsidR="00797CE8" w:rsidRPr="00A1413A">
        <w:rPr>
          <w:lang w:val="es-CO"/>
        </w:rPr>
        <w:t xml:space="preserve"> </w:t>
      </w:r>
      <w:r w:rsidR="00B718AD" w:rsidRPr="00A1413A">
        <w:rPr>
          <w:lang w:val="es-CO"/>
        </w:rPr>
        <w:t>julio de 2017</w:t>
      </w:r>
      <w:r w:rsidR="0004528E" w:rsidRPr="00A1413A">
        <w:rPr>
          <w:lang w:val="es-CO"/>
        </w:rPr>
        <w:t>.</w:t>
      </w:r>
      <w:r w:rsidR="003423FB" w:rsidRPr="002967AA">
        <w:rPr>
          <w:lang w:val="es-CO"/>
        </w:rPr>
        <w:t xml:space="preserve"> </w:t>
      </w:r>
    </w:p>
    <w:p w14:paraId="681E7B37" w14:textId="77777777" w:rsidR="003460A2" w:rsidRPr="00F57FA4" w:rsidRDefault="003460A2" w:rsidP="006D31D9">
      <w:pPr>
        <w:pStyle w:val="ListParagraph"/>
        <w:rPr>
          <w:lang w:val="es-CO"/>
        </w:rPr>
      </w:pPr>
    </w:p>
    <w:p w14:paraId="7469C95D" w14:textId="77777777" w:rsidR="0074636C" w:rsidRPr="00F57FA4" w:rsidRDefault="00797CE8" w:rsidP="006D31D9">
      <w:pPr>
        <w:pStyle w:val="ListParagraph"/>
        <w:numPr>
          <w:ilvl w:val="0"/>
          <w:numId w:val="20"/>
        </w:numPr>
        <w:snapToGrid w:val="0"/>
        <w:ind w:left="0" w:firstLine="0"/>
        <w:contextualSpacing w:val="0"/>
        <w:rPr>
          <w:szCs w:val="20"/>
          <w:lang w:val="es-CO"/>
        </w:rPr>
      </w:pPr>
      <w:r w:rsidRPr="00F57FA4">
        <w:rPr>
          <w:lang w:val="es-CO"/>
        </w:rPr>
        <w:t>E</w:t>
      </w:r>
      <w:r w:rsidR="0004528E" w:rsidRPr="00F57FA4">
        <w:rPr>
          <w:lang w:val="es-CO"/>
        </w:rPr>
        <w:t xml:space="preserve">l Estado sostuvo </w:t>
      </w:r>
      <w:r w:rsidRPr="00F57FA4">
        <w:rPr>
          <w:lang w:val="es-CO"/>
        </w:rPr>
        <w:t xml:space="preserve">durante la audiencia pública </w:t>
      </w:r>
      <w:r w:rsidR="0004528E" w:rsidRPr="00F57FA4">
        <w:rPr>
          <w:lang w:val="es-CO"/>
        </w:rPr>
        <w:t xml:space="preserve">que en este momento hay una tasa global de ocupación del 185% de la capacidad instalada en las cárceles de Rio de Janeiro. Este año se inauguraron 2 unidades </w:t>
      </w:r>
      <w:r w:rsidR="00C04F5A">
        <w:rPr>
          <w:lang w:val="es-CO"/>
        </w:rPr>
        <w:t>adicionales</w:t>
      </w:r>
      <w:r w:rsidR="00C04F5A" w:rsidRPr="00F57FA4">
        <w:rPr>
          <w:lang w:val="es-CO"/>
        </w:rPr>
        <w:t xml:space="preserve"> </w:t>
      </w:r>
      <w:r w:rsidR="0004528E" w:rsidRPr="00F57FA4">
        <w:rPr>
          <w:lang w:val="es-CO"/>
        </w:rPr>
        <w:t xml:space="preserve">con 950 </w:t>
      </w:r>
      <w:r w:rsidR="00C04F5A">
        <w:rPr>
          <w:lang w:val="es-CO"/>
        </w:rPr>
        <w:t>plazas</w:t>
      </w:r>
      <w:r w:rsidR="0004528E" w:rsidRPr="00F57FA4">
        <w:rPr>
          <w:lang w:val="es-CO"/>
        </w:rPr>
        <w:t xml:space="preserve">. La curva de crecimiento que se mostraba en ascenso hasta finales del 2016, evidencia señales de estabilización. </w:t>
      </w:r>
    </w:p>
    <w:p w14:paraId="195EF391" w14:textId="77777777" w:rsidR="0074636C" w:rsidRPr="00F57FA4" w:rsidRDefault="0074636C" w:rsidP="006D31D9">
      <w:pPr>
        <w:pStyle w:val="ListParagraph"/>
        <w:rPr>
          <w:lang w:val="es-CO"/>
        </w:rPr>
      </w:pPr>
    </w:p>
    <w:p w14:paraId="6AB2C209" w14:textId="77777777" w:rsidR="0074636C" w:rsidRPr="00F57FA4" w:rsidRDefault="0074636C" w:rsidP="006D31D9">
      <w:pPr>
        <w:pStyle w:val="ListParagraph"/>
        <w:numPr>
          <w:ilvl w:val="0"/>
          <w:numId w:val="20"/>
        </w:numPr>
        <w:snapToGrid w:val="0"/>
        <w:ind w:left="0" w:firstLine="0"/>
        <w:contextualSpacing w:val="0"/>
        <w:rPr>
          <w:szCs w:val="20"/>
          <w:lang w:val="es-CO"/>
        </w:rPr>
      </w:pPr>
      <w:r w:rsidRPr="00F57FA4">
        <w:rPr>
          <w:lang w:val="es-CO"/>
        </w:rPr>
        <w:t xml:space="preserve">El 14 de julio de 2017 el </w:t>
      </w:r>
      <w:r w:rsidR="00190BC6" w:rsidRPr="00F57FA4">
        <w:rPr>
          <w:lang w:val="es-CO"/>
        </w:rPr>
        <w:t>E</w:t>
      </w:r>
      <w:r w:rsidR="00797CE8" w:rsidRPr="00F57FA4">
        <w:rPr>
          <w:lang w:val="es-CO"/>
        </w:rPr>
        <w:t>stado</w:t>
      </w:r>
      <w:r w:rsidRPr="00F57FA4">
        <w:rPr>
          <w:lang w:val="es-CO"/>
        </w:rPr>
        <w:t xml:space="preserve"> </w:t>
      </w:r>
      <w:r w:rsidR="00190BC6" w:rsidRPr="00F57FA4">
        <w:rPr>
          <w:lang w:val="es-CO"/>
        </w:rPr>
        <w:t xml:space="preserve">señaló que de acuerdo a </w:t>
      </w:r>
      <w:r w:rsidRPr="00F57FA4">
        <w:rPr>
          <w:lang w:val="es-CO"/>
        </w:rPr>
        <w:t>la información de la Secretaría de Administración Penitenciar</w:t>
      </w:r>
      <w:r w:rsidR="00190BC6" w:rsidRPr="00F57FA4">
        <w:rPr>
          <w:lang w:val="es-CO"/>
        </w:rPr>
        <w:t xml:space="preserve">ia del Estado de Río de Janeiro, </w:t>
      </w:r>
      <w:r w:rsidRPr="00F57FA4">
        <w:rPr>
          <w:lang w:val="es-CO"/>
        </w:rPr>
        <w:t>los dí</w:t>
      </w:r>
      <w:r w:rsidR="00190BC6" w:rsidRPr="00F57FA4">
        <w:rPr>
          <w:lang w:val="es-CO"/>
        </w:rPr>
        <w:t xml:space="preserve">as 16 y 19 de junio </w:t>
      </w:r>
      <w:r w:rsidRPr="00F57FA4">
        <w:rPr>
          <w:lang w:val="es-CO"/>
        </w:rPr>
        <w:t xml:space="preserve">el número de presos en el IPSSC era de 3.227. </w:t>
      </w:r>
      <w:r w:rsidR="00BB71C3" w:rsidRPr="00F57FA4">
        <w:rPr>
          <w:lang w:val="es-CO"/>
        </w:rPr>
        <w:t xml:space="preserve">Para </w:t>
      </w:r>
      <w:r w:rsidR="002F520D">
        <w:rPr>
          <w:lang w:val="es-CO"/>
        </w:rPr>
        <w:t>e</w:t>
      </w:r>
      <w:r w:rsidR="00BB71C3" w:rsidRPr="00F57FA4">
        <w:rPr>
          <w:lang w:val="es-CO"/>
        </w:rPr>
        <w:t xml:space="preserve">l día </w:t>
      </w:r>
      <w:r w:rsidRPr="00F57FA4">
        <w:rPr>
          <w:lang w:val="es-CO"/>
        </w:rPr>
        <w:t>23 de junio, e</w:t>
      </w:r>
      <w:r w:rsidR="00190BC6" w:rsidRPr="00F57FA4">
        <w:rPr>
          <w:lang w:val="es-CO"/>
        </w:rPr>
        <w:t>l</w:t>
      </w:r>
      <w:r w:rsidR="00BB71C3" w:rsidRPr="00F57FA4">
        <w:rPr>
          <w:lang w:val="es-CO"/>
        </w:rPr>
        <w:t xml:space="preserve"> número de </w:t>
      </w:r>
      <w:r w:rsidR="00C04F5A">
        <w:rPr>
          <w:lang w:val="es-CO"/>
        </w:rPr>
        <w:t>personas privadas de libertad</w:t>
      </w:r>
      <w:r w:rsidR="00C04F5A" w:rsidRPr="00F57FA4">
        <w:rPr>
          <w:lang w:val="es-CO"/>
        </w:rPr>
        <w:t xml:space="preserve"> </w:t>
      </w:r>
      <w:r w:rsidR="00797CE8" w:rsidRPr="00F57FA4">
        <w:rPr>
          <w:lang w:val="es-CO"/>
        </w:rPr>
        <w:t xml:space="preserve">aumentó a </w:t>
      </w:r>
      <w:r w:rsidR="00BB71C3" w:rsidRPr="00F57FA4">
        <w:rPr>
          <w:lang w:val="es-CO"/>
        </w:rPr>
        <w:t>3.361.</w:t>
      </w:r>
    </w:p>
    <w:p w14:paraId="66CAD498" w14:textId="77777777" w:rsidR="00A17BE1" w:rsidRPr="00F57FA4" w:rsidRDefault="00A17BE1" w:rsidP="006D31D9">
      <w:pPr>
        <w:pStyle w:val="ListParagraph"/>
        <w:snapToGrid w:val="0"/>
        <w:ind w:left="0"/>
        <w:contextualSpacing w:val="0"/>
        <w:rPr>
          <w:szCs w:val="20"/>
          <w:lang w:val="es-CO"/>
        </w:rPr>
      </w:pPr>
    </w:p>
    <w:p w14:paraId="0E4AB8B1" w14:textId="3A67BD31" w:rsidR="00A56FE5" w:rsidRPr="00F57FA4" w:rsidRDefault="000F6E3B" w:rsidP="006D31D9">
      <w:pPr>
        <w:pStyle w:val="ListParagraph"/>
        <w:numPr>
          <w:ilvl w:val="0"/>
          <w:numId w:val="20"/>
        </w:numPr>
        <w:snapToGrid w:val="0"/>
        <w:ind w:left="0" w:firstLine="0"/>
        <w:contextualSpacing w:val="0"/>
        <w:rPr>
          <w:szCs w:val="20"/>
          <w:lang w:val="es-CO"/>
        </w:rPr>
      </w:pPr>
      <w:r w:rsidRPr="00F57FA4">
        <w:rPr>
          <w:szCs w:val="20"/>
          <w:lang w:val="es-CO"/>
        </w:rPr>
        <w:t xml:space="preserve">Los </w:t>
      </w:r>
      <w:r w:rsidRPr="00F57FA4">
        <w:rPr>
          <w:b/>
          <w:i/>
          <w:szCs w:val="20"/>
          <w:lang w:val="es-CO"/>
        </w:rPr>
        <w:t>Representantes</w:t>
      </w:r>
      <w:r w:rsidR="00101970" w:rsidRPr="00F57FA4">
        <w:rPr>
          <w:szCs w:val="20"/>
          <w:lang w:val="es-CO"/>
        </w:rPr>
        <w:t xml:space="preserve"> </w:t>
      </w:r>
      <w:r w:rsidR="00307F5A">
        <w:rPr>
          <w:szCs w:val="20"/>
          <w:lang w:val="es-CO"/>
        </w:rPr>
        <w:t xml:space="preserve">de los beneficiarios </w:t>
      </w:r>
      <w:r w:rsidR="00D20EE2" w:rsidRPr="00F57FA4">
        <w:rPr>
          <w:szCs w:val="20"/>
          <w:lang w:val="es-CO"/>
        </w:rPr>
        <w:t>visita</w:t>
      </w:r>
      <w:r w:rsidR="00797CE8" w:rsidRPr="00F57FA4">
        <w:rPr>
          <w:szCs w:val="20"/>
          <w:lang w:val="es-CO"/>
        </w:rPr>
        <w:t>ron</w:t>
      </w:r>
      <w:r w:rsidR="00D20EE2" w:rsidRPr="00F57FA4">
        <w:rPr>
          <w:szCs w:val="20"/>
          <w:lang w:val="es-CO"/>
        </w:rPr>
        <w:t xml:space="preserve"> </w:t>
      </w:r>
      <w:r w:rsidR="00797CE8" w:rsidRPr="00F57FA4">
        <w:rPr>
          <w:szCs w:val="20"/>
          <w:lang w:val="es-CO"/>
        </w:rPr>
        <w:t>e</w:t>
      </w:r>
      <w:r w:rsidR="00D20EE2" w:rsidRPr="00F57FA4">
        <w:rPr>
          <w:szCs w:val="20"/>
          <w:lang w:val="es-CO"/>
        </w:rPr>
        <w:t>l IPPSC</w:t>
      </w:r>
      <w:r w:rsidR="00BB71C3" w:rsidRPr="00F57FA4">
        <w:rPr>
          <w:szCs w:val="20"/>
          <w:lang w:val="es-CO"/>
        </w:rPr>
        <w:t xml:space="preserve"> </w:t>
      </w:r>
      <w:r w:rsidR="00B865AC" w:rsidRPr="00F57FA4">
        <w:rPr>
          <w:szCs w:val="20"/>
          <w:lang w:val="es-CO"/>
        </w:rPr>
        <w:t xml:space="preserve">el 24 de abril de 2017 </w:t>
      </w:r>
      <w:r w:rsidR="00797CE8" w:rsidRPr="00F57FA4">
        <w:rPr>
          <w:szCs w:val="20"/>
          <w:lang w:val="es-CO"/>
        </w:rPr>
        <w:t xml:space="preserve">y </w:t>
      </w:r>
      <w:r w:rsidR="001D0679">
        <w:rPr>
          <w:szCs w:val="20"/>
          <w:lang w:val="es-CO"/>
        </w:rPr>
        <w:t>señala</w:t>
      </w:r>
      <w:r w:rsidR="00297B7F">
        <w:rPr>
          <w:szCs w:val="20"/>
          <w:lang w:val="es-CO"/>
        </w:rPr>
        <w:t>ron</w:t>
      </w:r>
      <w:r w:rsidR="001D0679">
        <w:rPr>
          <w:szCs w:val="20"/>
          <w:lang w:val="es-CO"/>
        </w:rPr>
        <w:t xml:space="preserve"> haber </w:t>
      </w:r>
      <w:r w:rsidR="00A17BE1" w:rsidRPr="00F57FA4">
        <w:rPr>
          <w:szCs w:val="20"/>
          <w:lang w:val="es-CO"/>
        </w:rPr>
        <w:t>constata</w:t>
      </w:r>
      <w:r w:rsidR="001D0679">
        <w:rPr>
          <w:szCs w:val="20"/>
          <w:lang w:val="es-CO"/>
        </w:rPr>
        <w:t>do</w:t>
      </w:r>
      <w:r w:rsidR="00101970" w:rsidRPr="00F57FA4">
        <w:rPr>
          <w:szCs w:val="20"/>
          <w:lang w:val="es-CO"/>
        </w:rPr>
        <w:t xml:space="preserve"> que</w:t>
      </w:r>
      <w:r w:rsidR="00BB71C3" w:rsidRPr="00F57FA4">
        <w:rPr>
          <w:szCs w:val="20"/>
          <w:lang w:val="es-CO"/>
        </w:rPr>
        <w:t xml:space="preserve"> la unidad </w:t>
      </w:r>
      <w:r w:rsidR="00101970" w:rsidRPr="00F57FA4">
        <w:rPr>
          <w:szCs w:val="20"/>
          <w:lang w:val="es-CO"/>
        </w:rPr>
        <w:t xml:space="preserve">contaba con </w:t>
      </w:r>
      <w:r w:rsidR="001E5811">
        <w:rPr>
          <w:szCs w:val="20"/>
          <w:lang w:val="es-CO"/>
        </w:rPr>
        <w:t xml:space="preserve">capacidad de </w:t>
      </w:r>
      <w:r w:rsidR="00101970" w:rsidRPr="00F57FA4">
        <w:rPr>
          <w:szCs w:val="20"/>
          <w:lang w:val="es-CO"/>
        </w:rPr>
        <w:t xml:space="preserve">1.699 plazas, pero </w:t>
      </w:r>
      <w:r w:rsidR="00C04F5A">
        <w:rPr>
          <w:szCs w:val="20"/>
          <w:lang w:val="es-CO"/>
        </w:rPr>
        <w:t>que tenía a</w:t>
      </w:r>
      <w:r w:rsidR="00C04F5A" w:rsidRPr="00F57FA4">
        <w:rPr>
          <w:szCs w:val="20"/>
          <w:lang w:val="es-CO"/>
        </w:rPr>
        <w:t xml:space="preserve"> </w:t>
      </w:r>
      <w:r w:rsidR="00101970" w:rsidRPr="00F57FA4">
        <w:rPr>
          <w:szCs w:val="20"/>
          <w:lang w:val="es-CO"/>
        </w:rPr>
        <w:t>3.430</w:t>
      </w:r>
      <w:r w:rsidR="00C04F5A">
        <w:rPr>
          <w:szCs w:val="20"/>
          <w:lang w:val="es-CO"/>
        </w:rPr>
        <w:t xml:space="preserve"> personas</w:t>
      </w:r>
      <w:r w:rsidR="00101970" w:rsidRPr="00F57FA4">
        <w:rPr>
          <w:szCs w:val="20"/>
          <w:lang w:val="es-CO"/>
        </w:rPr>
        <w:t xml:space="preserve"> intern</w:t>
      </w:r>
      <w:r w:rsidR="00C04F5A">
        <w:rPr>
          <w:szCs w:val="20"/>
          <w:lang w:val="es-CO"/>
        </w:rPr>
        <w:t>as</w:t>
      </w:r>
      <w:r w:rsidR="00101970" w:rsidRPr="00F57FA4">
        <w:rPr>
          <w:szCs w:val="20"/>
          <w:lang w:val="es-CO"/>
        </w:rPr>
        <w:t xml:space="preserve">, </w:t>
      </w:r>
      <w:r w:rsidR="00A17BE1" w:rsidRPr="00F57FA4">
        <w:rPr>
          <w:szCs w:val="20"/>
          <w:lang w:val="es-CO"/>
        </w:rPr>
        <w:t xml:space="preserve">lo que implica </w:t>
      </w:r>
      <w:r w:rsidR="00C04F5A">
        <w:rPr>
          <w:szCs w:val="20"/>
          <w:lang w:val="es-CO"/>
        </w:rPr>
        <w:t>que el centro se encuentra al</w:t>
      </w:r>
      <w:r w:rsidR="00101970" w:rsidRPr="00F57FA4">
        <w:rPr>
          <w:szCs w:val="20"/>
          <w:lang w:val="es-CO"/>
        </w:rPr>
        <w:t xml:space="preserve"> 202%</w:t>
      </w:r>
      <w:r w:rsidR="00C04F5A">
        <w:rPr>
          <w:szCs w:val="20"/>
          <w:lang w:val="es-CO"/>
        </w:rPr>
        <w:t xml:space="preserve"> de su capacidad</w:t>
      </w:r>
      <w:r w:rsidR="00101970" w:rsidRPr="00F57FA4">
        <w:rPr>
          <w:szCs w:val="20"/>
          <w:lang w:val="es-CO"/>
        </w:rPr>
        <w:t xml:space="preserve">. </w:t>
      </w:r>
      <w:r w:rsidR="00A17BE1" w:rsidRPr="00F57FA4">
        <w:rPr>
          <w:szCs w:val="20"/>
          <w:lang w:val="es-CO"/>
        </w:rPr>
        <w:t>Adicionalmente</w:t>
      </w:r>
      <w:r w:rsidR="00D20EE2" w:rsidRPr="00F57FA4">
        <w:rPr>
          <w:szCs w:val="20"/>
          <w:lang w:val="es-CO"/>
        </w:rPr>
        <w:t>,</w:t>
      </w:r>
      <w:r w:rsidR="00101970" w:rsidRPr="00F57FA4">
        <w:rPr>
          <w:szCs w:val="20"/>
          <w:lang w:val="es-CO"/>
        </w:rPr>
        <w:t xml:space="preserve"> </w:t>
      </w:r>
      <w:r w:rsidR="00B865AC" w:rsidRPr="00F57FA4">
        <w:rPr>
          <w:szCs w:val="20"/>
          <w:lang w:val="es-CO"/>
        </w:rPr>
        <w:t>comprobaron</w:t>
      </w:r>
      <w:r w:rsidR="00D20EE2" w:rsidRPr="00F57FA4">
        <w:rPr>
          <w:szCs w:val="20"/>
          <w:lang w:val="es-CO"/>
        </w:rPr>
        <w:t xml:space="preserve"> que </w:t>
      </w:r>
      <w:r w:rsidR="00FC6D40" w:rsidRPr="00F57FA4">
        <w:rPr>
          <w:szCs w:val="20"/>
          <w:lang w:val="es-CO"/>
        </w:rPr>
        <w:t>el</w:t>
      </w:r>
      <w:r w:rsidR="00D20EE2" w:rsidRPr="00F57FA4">
        <w:rPr>
          <w:szCs w:val="20"/>
          <w:lang w:val="es-CO"/>
        </w:rPr>
        <w:t xml:space="preserve"> centro penitenciario </w:t>
      </w:r>
      <w:r w:rsidR="00C04F5A">
        <w:rPr>
          <w:szCs w:val="20"/>
          <w:lang w:val="es-CO"/>
        </w:rPr>
        <w:t>recluye a personas</w:t>
      </w:r>
      <w:r w:rsidR="00101970" w:rsidRPr="00F57FA4">
        <w:rPr>
          <w:szCs w:val="20"/>
          <w:lang w:val="es-CO"/>
        </w:rPr>
        <w:t xml:space="preserve"> de diversos perfiles, dificultando la logística de funcionamiento cotidiano. En los pabellones A, C, D y E </w:t>
      </w:r>
      <w:r w:rsidR="004657FA" w:rsidRPr="00F57FA4">
        <w:rPr>
          <w:szCs w:val="20"/>
          <w:lang w:val="es-CO"/>
        </w:rPr>
        <w:t>(</w:t>
      </w:r>
      <w:r w:rsidR="004657FA">
        <w:rPr>
          <w:szCs w:val="20"/>
          <w:lang w:val="es-CO"/>
        </w:rPr>
        <w:t xml:space="preserve">con un </w:t>
      </w:r>
      <w:r w:rsidR="004657FA" w:rsidRPr="00F57FA4">
        <w:rPr>
          <w:szCs w:val="20"/>
          <w:lang w:val="es-CO"/>
        </w:rPr>
        <w:t>total de 2.878 detenidos)</w:t>
      </w:r>
      <w:r w:rsidR="004657FA">
        <w:rPr>
          <w:szCs w:val="20"/>
          <w:lang w:val="es-CO"/>
        </w:rPr>
        <w:t xml:space="preserve"> </w:t>
      </w:r>
      <w:r w:rsidR="00A71805">
        <w:rPr>
          <w:szCs w:val="20"/>
          <w:lang w:val="es-CO"/>
        </w:rPr>
        <w:t>se encuentran recluidas las personas</w:t>
      </w:r>
      <w:r w:rsidR="00101970" w:rsidRPr="00F57FA4">
        <w:rPr>
          <w:szCs w:val="20"/>
          <w:lang w:val="es-CO"/>
        </w:rPr>
        <w:t xml:space="preserve"> considerad</w:t>
      </w:r>
      <w:r w:rsidR="00A71805">
        <w:rPr>
          <w:szCs w:val="20"/>
          <w:lang w:val="es-CO"/>
        </w:rPr>
        <w:t>a</w:t>
      </w:r>
      <w:r w:rsidR="00101970" w:rsidRPr="00F57FA4">
        <w:rPr>
          <w:szCs w:val="20"/>
          <w:lang w:val="es-CO"/>
        </w:rPr>
        <w:t>s 'neutr</w:t>
      </w:r>
      <w:r w:rsidR="004657FA">
        <w:rPr>
          <w:szCs w:val="20"/>
          <w:lang w:val="es-CO"/>
        </w:rPr>
        <w:t>a</w:t>
      </w:r>
      <w:r w:rsidR="00101970" w:rsidRPr="00F57FA4">
        <w:rPr>
          <w:szCs w:val="20"/>
          <w:lang w:val="es-CO"/>
        </w:rPr>
        <w:t xml:space="preserve">s', sin identificación con </w:t>
      </w:r>
      <w:r w:rsidR="00297B7F">
        <w:rPr>
          <w:szCs w:val="20"/>
          <w:lang w:val="es-CO"/>
        </w:rPr>
        <w:t xml:space="preserve">agrupaciones </w:t>
      </w:r>
      <w:r w:rsidR="00101970" w:rsidRPr="00F57FA4">
        <w:rPr>
          <w:szCs w:val="20"/>
          <w:lang w:val="es-CO"/>
        </w:rPr>
        <w:t>criminales</w:t>
      </w:r>
      <w:r w:rsidR="00A71805">
        <w:rPr>
          <w:szCs w:val="20"/>
          <w:lang w:val="es-CO"/>
        </w:rPr>
        <w:t>.</w:t>
      </w:r>
      <w:r w:rsidR="00101970" w:rsidRPr="00F57FA4">
        <w:rPr>
          <w:szCs w:val="20"/>
          <w:lang w:val="es-CO"/>
        </w:rPr>
        <w:t xml:space="preserve"> </w:t>
      </w:r>
      <w:r w:rsidR="00A71805">
        <w:rPr>
          <w:szCs w:val="20"/>
          <w:lang w:val="es-CO"/>
        </w:rPr>
        <w:t>E</w:t>
      </w:r>
      <w:r w:rsidR="00101970" w:rsidRPr="00F57FA4">
        <w:rPr>
          <w:szCs w:val="20"/>
          <w:lang w:val="es-CO"/>
        </w:rPr>
        <w:t>n el pabellón B se enc</w:t>
      </w:r>
      <w:r w:rsidR="001D0679">
        <w:rPr>
          <w:szCs w:val="20"/>
          <w:lang w:val="es-CO"/>
        </w:rPr>
        <w:t>uentran</w:t>
      </w:r>
      <w:r w:rsidR="00101970" w:rsidRPr="00F57FA4">
        <w:rPr>
          <w:szCs w:val="20"/>
          <w:lang w:val="es-CO"/>
        </w:rPr>
        <w:t xml:space="preserve"> en las celdas de 1 a 6 l</w:t>
      </w:r>
      <w:r w:rsidR="002F520D">
        <w:rPr>
          <w:szCs w:val="20"/>
          <w:lang w:val="es-CO"/>
        </w:rPr>
        <w:t>a</w:t>
      </w:r>
      <w:r w:rsidR="00101970" w:rsidRPr="00F57FA4">
        <w:rPr>
          <w:szCs w:val="20"/>
          <w:lang w:val="es-CO"/>
        </w:rPr>
        <w:t xml:space="preserve">s </w:t>
      </w:r>
      <w:r w:rsidR="00A71805">
        <w:rPr>
          <w:szCs w:val="20"/>
          <w:lang w:val="es-CO"/>
        </w:rPr>
        <w:t>personas que por diversos motivos no pueden convivir en otras unidades del sistema</w:t>
      </w:r>
      <w:r w:rsidR="00297B7F">
        <w:rPr>
          <w:szCs w:val="20"/>
          <w:lang w:val="es-CO"/>
        </w:rPr>
        <w:t xml:space="preserve"> (</w:t>
      </w:r>
      <w:r w:rsidR="00297B7F" w:rsidRPr="00297B7F">
        <w:rPr>
          <w:i/>
          <w:szCs w:val="20"/>
          <w:lang w:val="es-CO"/>
        </w:rPr>
        <w:t>presos de seguro</w:t>
      </w:r>
      <w:r w:rsidR="00297B7F">
        <w:rPr>
          <w:szCs w:val="20"/>
          <w:lang w:val="es-CO"/>
        </w:rPr>
        <w:t>)</w:t>
      </w:r>
      <w:r w:rsidR="001D0679">
        <w:rPr>
          <w:szCs w:val="20"/>
          <w:lang w:val="es-CO"/>
        </w:rPr>
        <w:t>;</w:t>
      </w:r>
      <w:r w:rsidR="00101970" w:rsidRPr="00F57FA4">
        <w:rPr>
          <w:szCs w:val="20"/>
          <w:lang w:val="es-CO"/>
        </w:rPr>
        <w:t xml:space="preserve"> </w:t>
      </w:r>
      <w:r w:rsidR="00D20EE2" w:rsidRPr="00F57FA4">
        <w:rPr>
          <w:szCs w:val="20"/>
          <w:lang w:val="es-CO"/>
        </w:rPr>
        <w:t>e</w:t>
      </w:r>
      <w:r w:rsidR="00101970" w:rsidRPr="00F57FA4">
        <w:rPr>
          <w:szCs w:val="20"/>
          <w:lang w:val="es-CO"/>
        </w:rPr>
        <w:t xml:space="preserve">n la celda 7 </w:t>
      </w:r>
      <w:r w:rsidR="001D0679">
        <w:rPr>
          <w:szCs w:val="20"/>
          <w:lang w:val="es-CO"/>
        </w:rPr>
        <w:t>se encontraban las personas designadas por la dirección del centro como</w:t>
      </w:r>
      <w:r w:rsidR="00101970" w:rsidRPr="00F57FA4">
        <w:rPr>
          <w:szCs w:val="20"/>
          <w:lang w:val="es-CO"/>
        </w:rPr>
        <w:t xml:space="preserve"> </w:t>
      </w:r>
      <w:r w:rsidR="005952A8" w:rsidRPr="00F57FA4">
        <w:rPr>
          <w:szCs w:val="20"/>
          <w:lang w:val="es-CO"/>
        </w:rPr>
        <w:t>'presos milicianos'</w:t>
      </w:r>
      <w:r w:rsidR="00D20EE2" w:rsidRPr="00F57FA4">
        <w:rPr>
          <w:rStyle w:val="FootnoteReference"/>
          <w:lang w:val="es-CO"/>
        </w:rPr>
        <w:footnoteReference w:id="10"/>
      </w:r>
      <w:r w:rsidR="006D12E2">
        <w:rPr>
          <w:szCs w:val="20"/>
          <w:lang w:val="es-CO"/>
        </w:rPr>
        <w:t>.</w:t>
      </w:r>
      <w:r w:rsidR="001D0679">
        <w:rPr>
          <w:szCs w:val="20"/>
          <w:lang w:val="es-CO"/>
        </w:rPr>
        <w:t xml:space="preserve"> </w:t>
      </w:r>
      <w:r w:rsidR="006D12E2">
        <w:rPr>
          <w:szCs w:val="20"/>
          <w:lang w:val="es-CO"/>
        </w:rPr>
        <w:t>F</w:t>
      </w:r>
      <w:r w:rsidR="001D0679">
        <w:rPr>
          <w:szCs w:val="20"/>
          <w:lang w:val="es-CO"/>
        </w:rPr>
        <w:t xml:space="preserve">inalmente, </w:t>
      </w:r>
      <w:r w:rsidR="00101970" w:rsidRPr="00F57FA4">
        <w:rPr>
          <w:szCs w:val="20"/>
          <w:lang w:val="es-CO"/>
        </w:rPr>
        <w:t xml:space="preserve">en la celda 8 </w:t>
      </w:r>
      <w:r w:rsidR="001D0679">
        <w:rPr>
          <w:szCs w:val="20"/>
          <w:lang w:val="es-CO"/>
        </w:rPr>
        <w:t xml:space="preserve">se encuentran ubicados </w:t>
      </w:r>
      <w:r w:rsidR="00101970" w:rsidRPr="00F57FA4">
        <w:rPr>
          <w:szCs w:val="20"/>
          <w:lang w:val="es-CO"/>
        </w:rPr>
        <w:t>los ex servidores del área de seguridad pública.</w:t>
      </w:r>
    </w:p>
    <w:p w14:paraId="639C203C" w14:textId="77777777" w:rsidR="00A56FE5" w:rsidRPr="00F57FA4" w:rsidRDefault="00A56FE5" w:rsidP="006D31D9">
      <w:pPr>
        <w:pStyle w:val="ListParagraph"/>
        <w:snapToGrid w:val="0"/>
        <w:ind w:left="0"/>
        <w:contextualSpacing w:val="0"/>
        <w:rPr>
          <w:szCs w:val="20"/>
          <w:lang w:val="es-CO"/>
        </w:rPr>
      </w:pPr>
    </w:p>
    <w:p w14:paraId="778D9800" w14:textId="27159517" w:rsidR="00096DC4" w:rsidRPr="00F57FA4" w:rsidRDefault="00B374C0" w:rsidP="006D31D9">
      <w:pPr>
        <w:pStyle w:val="ListParagraph"/>
        <w:numPr>
          <w:ilvl w:val="0"/>
          <w:numId w:val="20"/>
        </w:numPr>
        <w:snapToGrid w:val="0"/>
        <w:ind w:left="0" w:firstLine="0"/>
        <w:contextualSpacing w:val="0"/>
        <w:rPr>
          <w:szCs w:val="20"/>
          <w:lang w:val="es-CO"/>
        </w:rPr>
      </w:pPr>
      <w:r>
        <w:rPr>
          <w:szCs w:val="20"/>
          <w:lang w:val="es-CO"/>
        </w:rPr>
        <w:t>De igual manera, i</w:t>
      </w:r>
      <w:r w:rsidR="00C85B97" w:rsidRPr="00F57FA4">
        <w:rPr>
          <w:szCs w:val="20"/>
          <w:lang w:val="es-CO"/>
        </w:rPr>
        <w:t xml:space="preserve">nformaron </w:t>
      </w:r>
      <w:r w:rsidR="000B2CB9" w:rsidRPr="00F57FA4">
        <w:rPr>
          <w:szCs w:val="20"/>
          <w:lang w:val="es-CO"/>
        </w:rPr>
        <w:t xml:space="preserve">que todas las celdas se encontraban en </w:t>
      </w:r>
      <w:r w:rsidR="002074D5">
        <w:rPr>
          <w:szCs w:val="20"/>
          <w:lang w:val="es-CO"/>
        </w:rPr>
        <w:t>condiciones precarias</w:t>
      </w:r>
      <w:r w:rsidR="000B2CB9" w:rsidRPr="00F57FA4">
        <w:rPr>
          <w:szCs w:val="20"/>
          <w:lang w:val="es-CO"/>
        </w:rPr>
        <w:t xml:space="preserve">, malolientes </w:t>
      </w:r>
      <w:r w:rsidR="00BB71C3" w:rsidRPr="00F57FA4">
        <w:rPr>
          <w:szCs w:val="20"/>
          <w:lang w:val="es-CO"/>
        </w:rPr>
        <w:t>e insalubres</w:t>
      </w:r>
      <w:r w:rsidR="002074D5">
        <w:rPr>
          <w:szCs w:val="20"/>
          <w:lang w:val="es-CO"/>
        </w:rPr>
        <w:t>, infestadas de parásitos e insectos</w:t>
      </w:r>
      <w:r w:rsidR="00BB71C3" w:rsidRPr="00F57FA4">
        <w:rPr>
          <w:szCs w:val="20"/>
          <w:lang w:val="es-CO"/>
        </w:rPr>
        <w:t>. De acuerdo con la información presentada</w:t>
      </w:r>
      <w:r w:rsidR="000B2CB9" w:rsidRPr="00F57FA4">
        <w:rPr>
          <w:szCs w:val="20"/>
          <w:lang w:val="es-CO"/>
        </w:rPr>
        <w:t>, no hay suministro de materiales básicos de limpieza e</w:t>
      </w:r>
      <w:r w:rsidR="00D20EE2" w:rsidRPr="00F57FA4">
        <w:rPr>
          <w:szCs w:val="20"/>
          <w:lang w:val="es-CO"/>
        </w:rPr>
        <w:t xml:space="preserve"> higiene personal por </w:t>
      </w:r>
      <w:r w:rsidR="00BB71C3" w:rsidRPr="00F57FA4">
        <w:rPr>
          <w:szCs w:val="20"/>
          <w:lang w:val="es-CO"/>
        </w:rPr>
        <w:t>parte del Estado</w:t>
      </w:r>
      <w:r w:rsidR="00C86860">
        <w:rPr>
          <w:szCs w:val="20"/>
          <w:lang w:val="es-CO"/>
        </w:rPr>
        <w:t xml:space="preserve">, </w:t>
      </w:r>
      <w:r w:rsidR="00C86860" w:rsidRPr="00F57FA4">
        <w:rPr>
          <w:szCs w:val="20"/>
          <w:lang w:val="es-CO"/>
        </w:rPr>
        <w:t>los colchones están en situación precaria</w:t>
      </w:r>
      <w:r w:rsidR="00BB71C3" w:rsidRPr="00F57FA4">
        <w:rPr>
          <w:szCs w:val="20"/>
          <w:lang w:val="es-CO"/>
        </w:rPr>
        <w:t xml:space="preserve"> y</w:t>
      </w:r>
      <w:r w:rsidR="000B2CB9" w:rsidRPr="00F57FA4">
        <w:rPr>
          <w:szCs w:val="20"/>
          <w:lang w:val="es-CO"/>
        </w:rPr>
        <w:t xml:space="preserve"> el suministro de agua es </w:t>
      </w:r>
      <w:r w:rsidR="00C85B97" w:rsidRPr="00F57FA4">
        <w:rPr>
          <w:szCs w:val="20"/>
          <w:lang w:val="es-CO"/>
        </w:rPr>
        <w:t>deficiente</w:t>
      </w:r>
      <w:r w:rsidR="002074D5">
        <w:rPr>
          <w:szCs w:val="20"/>
          <w:lang w:val="es-CO"/>
        </w:rPr>
        <w:t>, situación que se agrava por e</w:t>
      </w:r>
      <w:r w:rsidR="000B2CB9" w:rsidRPr="00F57FA4">
        <w:rPr>
          <w:szCs w:val="20"/>
          <w:lang w:val="es-CO"/>
        </w:rPr>
        <w:t>l hacinamiento.</w:t>
      </w:r>
      <w:r w:rsidR="00A56FE5" w:rsidRPr="00F57FA4">
        <w:rPr>
          <w:szCs w:val="20"/>
          <w:lang w:val="es-CO"/>
        </w:rPr>
        <w:t xml:space="preserve"> </w:t>
      </w:r>
    </w:p>
    <w:p w14:paraId="0E0D4205" w14:textId="77777777" w:rsidR="000B2CB9" w:rsidRPr="00F57FA4" w:rsidRDefault="000B2CB9" w:rsidP="006D31D9">
      <w:pPr>
        <w:pStyle w:val="ListParagraph"/>
        <w:rPr>
          <w:szCs w:val="20"/>
          <w:lang w:val="es-CO"/>
        </w:rPr>
      </w:pPr>
    </w:p>
    <w:p w14:paraId="2DAA83C6" w14:textId="77777777" w:rsidR="009447D3" w:rsidRPr="00F57FA4" w:rsidRDefault="000B2CB9" w:rsidP="006D31D9">
      <w:pPr>
        <w:pStyle w:val="ListParagraph"/>
        <w:numPr>
          <w:ilvl w:val="0"/>
          <w:numId w:val="20"/>
        </w:numPr>
        <w:snapToGrid w:val="0"/>
        <w:ind w:left="0" w:firstLine="0"/>
        <w:contextualSpacing w:val="0"/>
        <w:rPr>
          <w:szCs w:val="20"/>
          <w:lang w:val="es-CO"/>
        </w:rPr>
      </w:pPr>
      <w:r w:rsidRPr="00F57FA4">
        <w:rPr>
          <w:szCs w:val="20"/>
          <w:lang w:val="es-CO"/>
        </w:rPr>
        <w:t xml:space="preserve">En respuesta a la información </w:t>
      </w:r>
      <w:r w:rsidR="00544B1A">
        <w:rPr>
          <w:szCs w:val="20"/>
          <w:lang w:val="es-CO"/>
        </w:rPr>
        <w:t>remitida</w:t>
      </w:r>
      <w:r w:rsidR="00544B1A" w:rsidRPr="00F57FA4">
        <w:rPr>
          <w:szCs w:val="20"/>
          <w:lang w:val="es-CO"/>
        </w:rPr>
        <w:t xml:space="preserve"> </w:t>
      </w:r>
      <w:r w:rsidRPr="00F57FA4">
        <w:rPr>
          <w:szCs w:val="20"/>
          <w:lang w:val="es-CO"/>
        </w:rPr>
        <w:t xml:space="preserve">por el Estado, los Representantes afirmaron que las </w:t>
      </w:r>
      <w:r w:rsidR="00A200AB" w:rsidRPr="00F57FA4">
        <w:rPr>
          <w:szCs w:val="20"/>
          <w:lang w:val="es-CO"/>
        </w:rPr>
        <w:t>medidas que se han tomado</w:t>
      </w:r>
      <w:r w:rsidRPr="00F57FA4">
        <w:rPr>
          <w:szCs w:val="20"/>
          <w:lang w:val="es-CO"/>
        </w:rPr>
        <w:t xml:space="preserve"> para reducir el flujo d</w:t>
      </w:r>
      <w:r w:rsidR="00A200AB" w:rsidRPr="00F57FA4">
        <w:rPr>
          <w:szCs w:val="20"/>
          <w:lang w:val="es-CO"/>
        </w:rPr>
        <w:t>e ingreso al sistema carcelario</w:t>
      </w:r>
      <w:r w:rsidR="00583636" w:rsidRPr="00F57FA4">
        <w:rPr>
          <w:szCs w:val="20"/>
          <w:lang w:val="es-CO"/>
        </w:rPr>
        <w:t>,</w:t>
      </w:r>
      <w:r w:rsidR="00A200AB" w:rsidRPr="00F57FA4">
        <w:rPr>
          <w:szCs w:val="20"/>
          <w:lang w:val="es-CO"/>
        </w:rPr>
        <w:t xml:space="preserve"> como</w:t>
      </w:r>
      <w:r w:rsidRPr="00F57FA4">
        <w:rPr>
          <w:szCs w:val="20"/>
          <w:lang w:val="es-CO"/>
        </w:rPr>
        <w:t xml:space="preserve"> las audiencias de custodia</w:t>
      </w:r>
      <w:r w:rsidR="00A200AB" w:rsidRPr="00F57FA4">
        <w:rPr>
          <w:szCs w:val="20"/>
          <w:lang w:val="es-CO"/>
        </w:rPr>
        <w:t>,</w:t>
      </w:r>
      <w:r w:rsidRPr="00F57FA4">
        <w:rPr>
          <w:szCs w:val="20"/>
          <w:lang w:val="es-CO"/>
        </w:rPr>
        <w:t xml:space="preserve"> no han </w:t>
      </w:r>
      <w:r w:rsidR="00D20EE2" w:rsidRPr="00F57FA4">
        <w:rPr>
          <w:szCs w:val="20"/>
          <w:lang w:val="es-CO"/>
        </w:rPr>
        <w:t xml:space="preserve">cumplido con </w:t>
      </w:r>
      <w:r w:rsidR="002F520D">
        <w:rPr>
          <w:szCs w:val="20"/>
          <w:lang w:val="es-CO"/>
        </w:rPr>
        <w:t>su</w:t>
      </w:r>
      <w:r w:rsidR="00D20EE2" w:rsidRPr="00F57FA4">
        <w:rPr>
          <w:szCs w:val="20"/>
          <w:lang w:val="es-CO"/>
        </w:rPr>
        <w:t xml:space="preserve"> finalidad. Las penas y medidas alternativas</w:t>
      </w:r>
      <w:r w:rsidR="00583636" w:rsidRPr="00F57FA4">
        <w:rPr>
          <w:szCs w:val="20"/>
          <w:lang w:val="es-CO"/>
        </w:rPr>
        <w:t>,</w:t>
      </w:r>
      <w:r w:rsidR="00D20EE2" w:rsidRPr="00F57FA4">
        <w:rPr>
          <w:szCs w:val="20"/>
          <w:lang w:val="es-CO"/>
        </w:rPr>
        <w:t xml:space="preserve"> como el monitoreo electrónico</w:t>
      </w:r>
      <w:r w:rsidR="00583636" w:rsidRPr="00F57FA4">
        <w:rPr>
          <w:szCs w:val="20"/>
          <w:lang w:val="es-CO"/>
        </w:rPr>
        <w:t>,</w:t>
      </w:r>
      <w:r w:rsidR="00D20EE2" w:rsidRPr="00F57FA4">
        <w:rPr>
          <w:szCs w:val="20"/>
          <w:lang w:val="es-CO"/>
        </w:rPr>
        <w:t xml:space="preserve"> </w:t>
      </w:r>
      <w:r w:rsidRPr="00F57FA4">
        <w:rPr>
          <w:szCs w:val="20"/>
          <w:lang w:val="es-CO"/>
        </w:rPr>
        <w:t>no ha</w:t>
      </w:r>
      <w:r w:rsidR="00583636" w:rsidRPr="00F57FA4">
        <w:rPr>
          <w:szCs w:val="20"/>
          <w:lang w:val="es-CO"/>
        </w:rPr>
        <w:t>n</w:t>
      </w:r>
      <w:r w:rsidRPr="00F57FA4">
        <w:rPr>
          <w:szCs w:val="20"/>
          <w:lang w:val="es-CO"/>
        </w:rPr>
        <w:t xml:space="preserve"> sido </w:t>
      </w:r>
      <w:r w:rsidR="00A200AB" w:rsidRPr="00F57FA4">
        <w:rPr>
          <w:szCs w:val="20"/>
          <w:lang w:val="es-CO"/>
        </w:rPr>
        <w:t>implementadas</w:t>
      </w:r>
      <w:r w:rsidR="00D20EE2" w:rsidRPr="00F57FA4">
        <w:rPr>
          <w:szCs w:val="20"/>
          <w:lang w:val="es-CO"/>
        </w:rPr>
        <w:t xml:space="preserve"> y de igual forma tampoco se</w:t>
      </w:r>
      <w:r w:rsidR="00A200AB" w:rsidRPr="00F57FA4">
        <w:rPr>
          <w:szCs w:val="20"/>
          <w:lang w:val="es-CO"/>
        </w:rPr>
        <w:t xml:space="preserve"> ha</w:t>
      </w:r>
      <w:r w:rsidR="00D20EE2" w:rsidRPr="00F57FA4">
        <w:rPr>
          <w:szCs w:val="20"/>
          <w:lang w:val="es-CO"/>
        </w:rPr>
        <w:t>n</w:t>
      </w:r>
      <w:r w:rsidR="00A200AB" w:rsidRPr="00F57FA4">
        <w:rPr>
          <w:szCs w:val="20"/>
          <w:lang w:val="es-CO"/>
        </w:rPr>
        <w:t xml:space="preserve"> </w:t>
      </w:r>
      <w:r w:rsidR="00544B1A">
        <w:rPr>
          <w:szCs w:val="20"/>
          <w:lang w:val="es-CO"/>
        </w:rPr>
        <w:t xml:space="preserve">concedido beneficios para </w:t>
      </w:r>
      <w:r w:rsidRPr="00F57FA4">
        <w:rPr>
          <w:szCs w:val="20"/>
          <w:lang w:val="es-CO"/>
        </w:rPr>
        <w:t>el cumplimiento de la pena en régimen semiabierto.</w:t>
      </w:r>
      <w:r w:rsidR="00096DC4" w:rsidRPr="00F57FA4">
        <w:rPr>
          <w:rFonts w:eastAsia="Times New Roman" w:cs="Courier New"/>
          <w:b/>
          <w:color w:val="212121"/>
          <w:szCs w:val="20"/>
          <w:lang w:val="es-CO" w:eastAsia="es-CR"/>
        </w:rPr>
        <w:t xml:space="preserve"> </w:t>
      </w:r>
      <w:r w:rsidRPr="00F57FA4">
        <w:rPr>
          <w:szCs w:val="20"/>
          <w:lang w:val="es-CO"/>
        </w:rPr>
        <w:t>Con respecto</w:t>
      </w:r>
      <w:r w:rsidR="00A200AB" w:rsidRPr="00F57FA4">
        <w:rPr>
          <w:szCs w:val="20"/>
          <w:lang w:val="es-CO"/>
        </w:rPr>
        <w:t xml:space="preserve"> al </w:t>
      </w:r>
      <w:r w:rsidR="003423FB" w:rsidRPr="00F57FA4">
        <w:rPr>
          <w:szCs w:val="20"/>
          <w:lang w:val="es-CO"/>
        </w:rPr>
        <w:t>C</w:t>
      </w:r>
      <w:r w:rsidR="009447D3" w:rsidRPr="00F57FA4">
        <w:rPr>
          <w:szCs w:val="20"/>
          <w:lang w:val="es-CO"/>
        </w:rPr>
        <w:t>omité</w:t>
      </w:r>
      <w:r w:rsidR="003423FB" w:rsidRPr="00F57FA4">
        <w:rPr>
          <w:szCs w:val="20"/>
          <w:lang w:val="es-CO"/>
        </w:rPr>
        <w:t xml:space="preserve"> Colegiado</w:t>
      </w:r>
      <w:r w:rsidR="00D20EE2" w:rsidRPr="00F57FA4">
        <w:rPr>
          <w:szCs w:val="20"/>
          <w:lang w:val="es-CO"/>
        </w:rPr>
        <w:t>,</w:t>
      </w:r>
      <w:r w:rsidR="009F4C12" w:rsidRPr="00F57FA4">
        <w:rPr>
          <w:szCs w:val="20"/>
          <w:lang w:val="es-CO"/>
        </w:rPr>
        <w:t xml:space="preserve"> los representantes informaron</w:t>
      </w:r>
      <w:r w:rsidRPr="00F57FA4">
        <w:rPr>
          <w:szCs w:val="20"/>
          <w:lang w:val="es-CO"/>
        </w:rPr>
        <w:t xml:space="preserve"> </w:t>
      </w:r>
      <w:r w:rsidR="00544B1A">
        <w:rPr>
          <w:szCs w:val="20"/>
          <w:lang w:val="es-CO"/>
        </w:rPr>
        <w:t xml:space="preserve">que éste no ha logrado materializar </w:t>
      </w:r>
      <w:r w:rsidRPr="00F57FA4">
        <w:rPr>
          <w:szCs w:val="20"/>
          <w:lang w:val="es-CO"/>
        </w:rPr>
        <w:t>ningun</w:t>
      </w:r>
      <w:r w:rsidR="00A200AB" w:rsidRPr="00F57FA4">
        <w:rPr>
          <w:szCs w:val="20"/>
          <w:lang w:val="es-CO"/>
        </w:rPr>
        <w:t>a acción concreta</w:t>
      </w:r>
      <w:r w:rsidR="00544B1A">
        <w:rPr>
          <w:szCs w:val="20"/>
          <w:lang w:val="es-CO"/>
        </w:rPr>
        <w:t xml:space="preserve"> </w:t>
      </w:r>
      <w:r w:rsidR="00A200AB" w:rsidRPr="00F57FA4">
        <w:rPr>
          <w:szCs w:val="20"/>
          <w:lang w:val="es-CO"/>
        </w:rPr>
        <w:t>y</w:t>
      </w:r>
      <w:r w:rsidR="009447D3" w:rsidRPr="00F57FA4">
        <w:rPr>
          <w:szCs w:val="20"/>
          <w:lang w:val="es-CO"/>
        </w:rPr>
        <w:t xml:space="preserve"> no</w:t>
      </w:r>
      <w:r w:rsidR="00544B1A">
        <w:rPr>
          <w:szCs w:val="20"/>
          <w:lang w:val="es-CO"/>
        </w:rPr>
        <w:t xml:space="preserve"> ha</w:t>
      </w:r>
      <w:r w:rsidR="009447D3" w:rsidRPr="00F57FA4">
        <w:rPr>
          <w:szCs w:val="20"/>
          <w:lang w:val="es-CO"/>
        </w:rPr>
        <w:t xml:space="preserve"> elabor</w:t>
      </w:r>
      <w:r w:rsidR="00544B1A">
        <w:rPr>
          <w:szCs w:val="20"/>
          <w:lang w:val="es-CO"/>
        </w:rPr>
        <w:t>ado</w:t>
      </w:r>
      <w:r w:rsidRPr="00F57FA4">
        <w:rPr>
          <w:szCs w:val="20"/>
          <w:lang w:val="es-CO"/>
        </w:rPr>
        <w:t xml:space="preserve"> planes de enfrentamiento de la </w:t>
      </w:r>
      <w:r w:rsidR="00D801F0">
        <w:rPr>
          <w:szCs w:val="20"/>
          <w:lang w:val="es-CO"/>
        </w:rPr>
        <w:t>superpoblación</w:t>
      </w:r>
      <w:r w:rsidR="00544B1A" w:rsidRPr="00F57FA4">
        <w:rPr>
          <w:szCs w:val="20"/>
          <w:lang w:val="es-CO"/>
        </w:rPr>
        <w:t xml:space="preserve"> </w:t>
      </w:r>
      <w:r w:rsidRPr="00F57FA4">
        <w:rPr>
          <w:szCs w:val="20"/>
          <w:lang w:val="es-CO"/>
        </w:rPr>
        <w:t>carcelaria</w:t>
      </w:r>
      <w:r w:rsidR="009447D3" w:rsidRPr="00F57FA4">
        <w:rPr>
          <w:szCs w:val="20"/>
          <w:lang w:val="es-CO"/>
        </w:rPr>
        <w:t>.</w:t>
      </w:r>
      <w:r w:rsidR="00096DC4" w:rsidRPr="00F57FA4">
        <w:rPr>
          <w:rFonts w:eastAsia="Times New Roman" w:cs="Courier New"/>
          <w:b/>
          <w:color w:val="212121"/>
          <w:szCs w:val="20"/>
          <w:lang w:val="es-CO" w:eastAsia="es-CR"/>
        </w:rPr>
        <w:t xml:space="preserve"> </w:t>
      </w:r>
    </w:p>
    <w:p w14:paraId="018E0120" w14:textId="77777777" w:rsidR="006371F2" w:rsidRPr="00F57FA4" w:rsidRDefault="006371F2" w:rsidP="006D31D9">
      <w:pPr>
        <w:rPr>
          <w:lang w:val="es-CO"/>
        </w:rPr>
      </w:pPr>
    </w:p>
    <w:p w14:paraId="3FCDD2F6" w14:textId="77777777" w:rsidR="00E21D07" w:rsidRPr="00F57FA4" w:rsidRDefault="001E70F8" w:rsidP="006D31D9">
      <w:pPr>
        <w:pStyle w:val="ListParagraph"/>
        <w:numPr>
          <w:ilvl w:val="0"/>
          <w:numId w:val="20"/>
        </w:numPr>
        <w:snapToGrid w:val="0"/>
        <w:ind w:left="0" w:firstLine="0"/>
        <w:contextualSpacing w:val="0"/>
        <w:rPr>
          <w:szCs w:val="20"/>
          <w:lang w:val="es-CO"/>
        </w:rPr>
      </w:pPr>
      <w:r>
        <w:rPr>
          <w:lang w:val="es-CO"/>
        </w:rPr>
        <w:t>Los representantes señala</w:t>
      </w:r>
      <w:r w:rsidR="00630863">
        <w:rPr>
          <w:lang w:val="es-CO"/>
        </w:rPr>
        <w:t>ro</w:t>
      </w:r>
      <w:r>
        <w:rPr>
          <w:lang w:val="es-CO"/>
        </w:rPr>
        <w:t xml:space="preserve">n que, contrario a lo alegado por el Estado, las personas privadas de libertad en el IPPSC no tienen el </w:t>
      </w:r>
      <w:r w:rsidR="009F2E52">
        <w:rPr>
          <w:lang w:val="es-CO"/>
        </w:rPr>
        <w:t>permiso</w:t>
      </w:r>
      <w:r>
        <w:rPr>
          <w:lang w:val="es-CO"/>
        </w:rPr>
        <w:t xml:space="preserve"> de </w:t>
      </w:r>
      <w:r w:rsidR="00A200AB" w:rsidRPr="00F57FA4">
        <w:rPr>
          <w:lang w:val="es-CO"/>
        </w:rPr>
        <w:t>salida</w:t>
      </w:r>
      <w:r w:rsidR="006371F2" w:rsidRPr="00F57FA4">
        <w:rPr>
          <w:lang w:val="es-CO"/>
        </w:rPr>
        <w:t xml:space="preserve"> para trabajar durante el día y </w:t>
      </w:r>
      <w:r w:rsidR="00957F95" w:rsidRPr="00F57FA4">
        <w:rPr>
          <w:lang w:val="es-CO"/>
        </w:rPr>
        <w:t>regresar</w:t>
      </w:r>
      <w:r w:rsidR="006371F2" w:rsidRPr="00F57FA4">
        <w:rPr>
          <w:lang w:val="es-CO"/>
        </w:rPr>
        <w:t xml:space="preserve"> en la noche. </w:t>
      </w:r>
      <w:r>
        <w:rPr>
          <w:lang w:val="es-CO"/>
        </w:rPr>
        <w:t>Asimismo, asevera</w:t>
      </w:r>
      <w:r w:rsidR="00630863">
        <w:rPr>
          <w:lang w:val="es-CO"/>
        </w:rPr>
        <w:t>ro</w:t>
      </w:r>
      <w:r>
        <w:rPr>
          <w:lang w:val="es-CO"/>
        </w:rPr>
        <w:t xml:space="preserve">n que </w:t>
      </w:r>
      <w:r w:rsidR="006371F2" w:rsidRPr="00F57FA4">
        <w:rPr>
          <w:lang w:val="es-CO"/>
        </w:rPr>
        <w:t>reducir el n</w:t>
      </w:r>
      <w:r w:rsidR="00A200AB" w:rsidRPr="00F57FA4">
        <w:rPr>
          <w:lang w:val="es-CO"/>
        </w:rPr>
        <w:t xml:space="preserve">úmero de internos del IPPSC </w:t>
      </w:r>
      <w:r>
        <w:rPr>
          <w:lang w:val="es-CO"/>
        </w:rPr>
        <w:t>no agravaría la situación de otros centros penales</w:t>
      </w:r>
      <w:r w:rsidR="00A200AB" w:rsidRPr="00F57FA4">
        <w:rPr>
          <w:lang w:val="es-CO"/>
        </w:rPr>
        <w:t>.</w:t>
      </w:r>
      <w:r w:rsidR="0053061D" w:rsidRPr="00F57FA4">
        <w:rPr>
          <w:b/>
          <w:lang w:val="es-CO"/>
        </w:rPr>
        <w:t xml:space="preserve"> </w:t>
      </w:r>
    </w:p>
    <w:p w14:paraId="5622F2E5" w14:textId="77777777" w:rsidR="00E21D07" w:rsidRPr="00F57FA4" w:rsidRDefault="00E21D07" w:rsidP="006D31D9">
      <w:pPr>
        <w:pStyle w:val="ListParagraph"/>
        <w:rPr>
          <w:szCs w:val="20"/>
          <w:lang w:val="es-CO"/>
        </w:rPr>
      </w:pPr>
    </w:p>
    <w:p w14:paraId="15CD2418" w14:textId="77777777" w:rsidR="00957F95" w:rsidRPr="00F57FA4" w:rsidRDefault="001E70F8" w:rsidP="006D31D9">
      <w:pPr>
        <w:pStyle w:val="ListParagraph"/>
        <w:numPr>
          <w:ilvl w:val="0"/>
          <w:numId w:val="20"/>
        </w:numPr>
        <w:snapToGrid w:val="0"/>
        <w:ind w:left="0" w:firstLine="0"/>
        <w:contextualSpacing w:val="0"/>
        <w:rPr>
          <w:szCs w:val="20"/>
          <w:lang w:val="es-CO"/>
        </w:rPr>
      </w:pPr>
      <w:r>
        <w:rPr>
          <w:szCs w:val="20"/>
          <w:lang w:val="es-CO"/>
        </w:rPr>
        <w:t xml:space="preserve">Por otro lado, los representantes señalaron que </w:t>
      </w:r>
      <w:r w:rsidR="00CB5EF6">
        <w:rPr>
          <w:szCs w:val="20"/>
          <w:lang w:val="es-CO"/>
        </w:rPr>
        <w:t xml:space="preserve">durante </w:t>
      </w:r>
      <w:r w:rsidR="00957F95" w:rsidRPr="00F57FA4">
        <w:rPr>
          <w:szCs w:val="20"/>
          <w:lang w:val="es-CO"/>
        </w:rPr>
        <w:t xml:space="preserve">la </w:t>
      </w:r>
      <w:r w:rsidR="00651BF4">
        <w:rPr>
          <w:szCs w:val="20"/>
          <w:lang w:val="es-CO"/>
        </w:rPr>
        <w:t xml:space="preserve">diligencia </w:t>
      </w:r>
      <w:r w:rsidR="00651BF4" w:rsidRPr="00651BF4">
        <w:rPr>
          <w:i/>
          <w:szCs w:val="20"/>
          <w:lang w:val="es-CO"/>
        </w:rPr>
        <w:t>in situ</w:t>
      </w:r>
      <w:r w:rsidR="00957F95" w:rsidRPr="00F57FA4">
        <w:rPr>
          <w:szCs w:val="20"/>
          <w:lang w:val="es-CO"/>
        </w:rPr>
        <w:t xml:space="preserve"> de la Corte Interamericana, </w:t>
      </w:r>
      <w:r w:rsidR="00CB5EF6">
        <w:rPr>
          <w:szCs w:val="20"/>
          <w:lang w:val="es-CO"/>
        </w:rPr>
        <w:t xml:space="preserve">el IPPSC contaba con una población de </w:t>
      </w:r>
      <w:r w:rsidR="00E21D07" w:rsidRPr="00F57FA4">
        <w:rPr>
          <w:szCs w:val="20"/>
          <w:lang w:val="es-CO"/>
        </w:rPr>
        <w:t xml:space="preserve">3.085 </w:t>
      </w:r>
      <w:r w:rsidR="00CB5EF6">
        <w:rPr>
          <w:szCs w:val="20"/>
          <w:lang w:val="es-CO"/>
        </w:rPr>
        <w:t>personas</w:t>
      </w:r>
      <w:r w:rsidR="009F2112" w:rsidRPr="00F57FA4">
        <w:rPr>
          <w:szCs w:val="20"/>
          <w:lang w:val="es-CO"/>
        </w:rPr>
        <w:t xml:space="preserve"> </w:t>
      </w:r>
      <w:r w:rsidR="00CB5EF6">
        <w:rPr>
          <w:szCs w:val="20"/>
          <w:lang w:val="es-CO"/>
        </w:rPr>
        <w:t>(algo que la Defensoría Pública calificó como “</w:t>
      </w:r>
      <w:r w:rsidR="009F2112" w:rsidRPr="00F57FA4">
        <w:rPr>
          <w:szCs w:val="20"/>
          <w:lang w:val="es-CO"/>
        </w:rPr>
        <w:t>una caída histórica en el número de internos</w:t>
      </w:r>
      <w:r w:rsidR="00CB5EF6">
        <w:rPr>
          <w:szCs w:val="20"/>
          <w:lang w:val="es-CO"/>
        </w:rPr>
        <w:t>”)</w:t>
      </w:r>
      <w:r w:rsidR="00E21D07" w:rsidRPr="00F57FA4">
        <w:rPr>
          <w:szCs w:val="20"/>
          <w:lang w:val="es-CO"/>
        </w:rPr>
        <w:t xml:space="preserve">. </w:t>
      </w:r>
      <w:r w:rsidR="009F2112" w:rsidRPr="00F57FA4">
        <w:rPr>
          <w:szCs w:val="20"/>
          <w:lang w:val="es-CO"/>
        </w:rPr>
        <w:t xml:space="preserve">No </w:t>
      </w:r>
      <w:r w:rsidR="009F2112" w:rsidRPr="00F57FA4">
        <w:rPr>
          <w:szCs w:val="20"/>
          <w:lang w:val="es-CO"/>
        </w:rPr>
        <w:lastRenderedPageBreak/>
        <w:t>obstante</w:t>
      </w:r>
      <w:r w:rsidR="00E21D07" w:rsidRPr="00F57FA4">
        <w:rPr>
          <w:szCs w:val="20"/>
          <w:lang w:val="es-CO"/>
        </w:rPr>
        <w:t>,</w:t>
      </w:r>
      <w:r w:rsidR="00CB5EF6">
        <w:rPr>
          <w:szCs w:val="20"/>
          <w:lang w:val="es-CO"/>
        </w:rPr>
        <w:t xml:space="preserve"> según la información enviada por los representantes, </w:t>
      </w:r>
      <w:r w:rsidR="00E21D07" w:rsidRPr="00F57FA4">
        <w:rPr>
          <w:szCs w:val="20"/>
          <w:lang w:val="es-CO"/>
        </w:rPr>
        <w:t>al día siguiente</w:t>
      </w:r>
      <w:r w:rsidR="00CB5EF6">
        <w:rPr>
          <w:szCs w:val="20"/>
          <w:lang w:val="es-CO"/>
        </w:rPr>
        <w:t xml:space="preserve"> de la visita</w:t>
      </w:r>
      <w:r w:rsidR="00E21D07" w:rsidRPr="00F57FA4">
        <w:rPr>
          <w:szCs w:val="20"/>
          <w:lang w:val="es-CO"/>
        </w:rPr>
        <w:t xml:space="preserve"> </w:t>
      </w:r>
      <w:r w:rsidR="00CB5EF6">
        <w:rPr>
          <w:szCs w:val="20"/>
          <w:lang w:val="es-CO"/>
        </w:rPr>
        <w:t>–</w:t>
      </w:r>
      <w:r w:rsidR="00E21D07" w:rsidRPr="00F57FA4">
        <w:rPr>
          <w:szCs w:val="20"/>
          <w:lang w:val="es-CO"/>
        </w:rPr>
        <w:t>20</w:t>
      </w:r>
      <w:r w:rsidR="00CB5EF6">
        <w:rPr>
          <w:szCs w:val="20"/>
          <w:lang w:val="es-CO"/>
        </w:rPr>
        <w:t xml:space="preserve"> </w:t>
      </w:r>
      <w:r w:rsidR="00A200AB" w:rsidRPr="00F57FA4">
        <w:rPr>
          <w:szCs w:val="20"/>
          <w:lang w:val="es-CO"/>
        </w:rPr>
        <w:t>de junio de 2017</w:t>
      </w:r>
      <w:r w:rsidR="00CB5EF6">
        <w:rPr>
          <w:szCs w:val="20"/>
          <w:lang w:val="es-CO"/>
        </w:rPr>
        <w:t>–</w:t>
      </w:r>
      <w:r w:rsidR="00E21D07" w:rsidRPr="00F57FA4">
        <w:rPr>
          <w:szCs w:val="20"/>
          <w:lang w:val="es-CO"/>
        </w:rPr>
        <w:t xml:space="preserve">, </w:t>
      </w:r>
      <w:r w:rsidR="00583636" w:rsidRPr="00F57FA4">
        <w:rPr>
          <w:szCs w:val="20"/>
          <w:lang w:val="es-CO"/>
        </w:rPr>
        <w:t xml:space="preserve">aproximadamente </w:t>
      </w:r>
      <w:r w:rsidR="00E21D07" w:rsidRPr="00F57FA4">
        <w:rPr>
          <w:szCs w:val="20"/>
          <w:lang w:val="es-CO"/>
        </w:rPr>
        <w:t xml:space="preserve">100 personas fueron transferidas al IPPSC, todas </w:t>
      </w:r>
      <w:r w:rsidR="00A200AB" w:rsidRPr="00F57FA4">
        <w:rPr>
          <w:szCs w:val="20"/>
          <w:lang w:val="es-CO"/>
        </w:rPr>
        <w:t>provenientes</w:t>
      </w:r>
      <w:r w:rsidR="00E21D07" w:rsidRPr="00F57FA4">
        <w:rPr>
          <w:szCs w:val="20"/>
          <w:lang w:val="es-CO"/>
        </w:rPr>
        <w:t xml:space="preserve"> de otra Unidad </w:t>
      </w:r>
      <w:r w:rsidR="00902C16" w:rsidRPr="00F57FA4">
        <w:rPr>
          <w:szCs w:val="20"/>
          <w:lang w:val="es-CO"/>
        </w:rPr>
        <w:t>Penitenciaria</w:t>
      </w:r>
      <w:r w:rsidR="00E21D07" w:rsidRPr="00F57FA4">
        <w:rPr>
          <w:szCs w:val="20"/>
          <w:lang w:val="es-CO"/>
        </w:rPr>
        <w:t xml:space="preserve"> denominad</w:t>
      </w:r>
      <w:r w:rsidR="00583636" w:rsidRPr="00F57FA4">
        <w:rPr>
          <w:szCs w:val="20"/>
          <w:lang w:val="es-CO"/>
        </w:rPr>
        <w:t xml:space="preserve">a Pedrolino Werling de Oliveira. </w:t>
      </w:r>
      <w:r w:rsidR="009F2E52">
        <w:rPr>
          <w:szCs w:val="20"/>
          <w:lang w:val="es-CO"/>
        </w:rPr>
        <w:t>E</w:t>
      </w:r>
      <w:r w:rsidR="00583636" w:rsidRPr="00F57FA4">
        <w:rPr>
          <w:szCs w:val="20"/>
          <w:lang w:val="es-CO"/>
        </w:rPr>
        <w:t xml:space="preserve">stos internos </w:t>
      </w:r>
      <w:r w:rsidR="009F4C12" w:rsidRPr="00F57FA4">
        <w:rPr>
          <w:szCs w:val="20"/>
          <w:lang w:val="es-CO"/>
        </w:rPr>
        <w:t>se encontra</w:t>
      </w:r>
      <w:r w:rsidR="00630863">
        <w:rPr>
          <w:szCs w:val="20"/>
          <w:lang w:val="es-CO"/>
        </w:rPr>
        <w:t xml:space="preserve">rían </w:t>
      </w:r>
      <w:r w:rsidR="009F2112" w:rsidRPr="00F57FA4">
        <w:rPr>
          <w:szCs w:val="20"/>
          <w:lang w:val="es-CO"/>
        </w:rPr>
        <w:t xml:space="preserve">anteriormente </w:t>
      </w:r>
      <w:r w:rsidR="00583636" w:rsidRPr="00F57FA4">
        <w:rPr>
          <w:szCs w:val="20"/>
          <w:lang w:val="es-CO"/>
        </w:rPr>
        <w:t>privado</w:t>
      </w:r>
      <w:r w:rsidR="009F4C12" w:rsidRPr="00F57FA4">
        <w:rPr>
          <w:szCs w:val="20"/>
          <w:lang w:val="es-CO"/>
        </w:rPr>
        <w:t>s de la libertad e</w:t>
      </w:r>
      <w:r w:rsidR="00E562B5" w:rsidRPr="00F57FA4">
        <w:rPr>
          <w:szCs w:val="20"/>
          <w:lang w:val="es-CO"/>
        </w:rPr>
        <w:t>n el IPPSC</w:t>
      </w:r>
      <w:r w:rsidR="00CB5EF6">
        <w:rPr>
          <w:szCs w:val="20"/>
          <w:lang w:val="es-CO"/>
        </w:rPr>
        <w:t>;</w:t>
      </w:r>
      <w:r w:rsidR="00E562B5" w:rsidRPr="00F57FA4">
        <w:rPr>
          <w:szCs w:val="20"/>
          <w:lang w:val="es-CO"/>
        </w:rPr>
        <w:t xml:space="preserve"> </w:t>
      </w:r>
      <w:r w:rsidR="009F2112" w:rsidRPr="00F57FA4">
        <w:rPr>
          <w:szCs w:val="20"/>
          <w:lang w:val="es-CO"/>
        </w:rPr>
        <w:t>sin embargo</w:t>
      </w:r>
      <w:r w:rsidR="00CB5EF6">
        <w:rPr>
          <w:szCs w:val="20"/>
          <w:lang w:val="es-CO"/>
        </w:rPr>
        <w:t>,</w:t>
      </w:r>
      <w:r w:rsidR="009F2112" w:rsidRPr="00F57FA4">
        <w:rPr>
          <w:szCs w:val="20"/>
          <w:lang w:val="es-CO"/>
        </w:rPr>
        <w:t xml:space="preserve"> </w:t>
      </w:r>
      <w:r w:rsidR="00E562B5" w:rsidRPr="00F57FA4">
        <w:rPr>
          <w:szCs w:val="20"/>
          <w:lang w:val="es-CO"/>
        </w:rPr>
        <w:t>u</w:t>
      </w:r>
      <w:r w:rsidR="00E21D07" w:rsidRPr="00F57FA4">
        <w:rPr>
          <w:szCs w:val="20"/>
          <w:lang w:val="es-CO"/>
        </w:rPr>
        <w:t>na semana antes de la visita fueron removid</w:t>
      </w:r>
      <w:r w:rsidR="00583636" w:rsidRPr="00F57FA4">
        <w:rPr>
          <w:szCs w:val="20"/>
          <w:lang w:val="es-CO"/>
        </w:rPr>
        <w:t>o</w:t>
      </w:r>
      <w:r w:rsidR="00E21D07" w:rsidRPr="00F57FA4">
        <w:rPr>
          <w:szCs w:val="20"/>
          <w:lang w:val="es-CO"/>
        </w:rPr>
        <w:t>s de ese luga</w:t>
      </w:r>
      <w:r w:rsidR="00583636" w:rsidRPr="00F57FA4">
        <w:rPr>
          <w:szCs w:val="20"/>
          <w:lang w:val="es-CO"/>
        </w:rPr>
        <w:t xml:space="preserve">r y un día después fueron </w:t>
      </w:r>
      <w:r w:rsidR="00CB5EF6">
        <w:rPr>
          <w:szCs w:val="20"/>
          <w:lang w:val="es-CO"/>
        </w:rPr>
        <w:t>llevados</w:t>
      </w:r>
      <w:r w:rsidR="00CB5EF6" w:rsidRPr="00F57FA4">
        <w:rPr>
          <w:szCs w:val="20"/>
          <w:lang w:val="es-CO"/>
        </w:rPr>
        <w:t xml:space="preserve"> </w:t>
      </w:r>
      <w:r w:rsidR="00E21D07" w:rsidRPr="00F57FA4">
        <w:rPr>
          <w:szCs w:val="20"/>
          <w:lang w:val="es-CO"/>
        </w:rPr>
        <w:t xml:space="preserve">de </w:t>
      </w:r>
      <w:r w:rsidR="009F2112" w:rsidRPr="00F57FA4">
        <w:rPr>
          <w:szCs w:val="20"/>
          <w:lang w:val="es-CO"/>
        </w:rPr>
        <w:t>regreso</w:t>
      </w:r>
      <w:r w:rsidR="00E21D07" w:rsidRPr="00F57FA4">
        <w:rPr>
          <w:szCs w:val="20"/>
          <w:lang w:val="es-CO"/>
        </w:rPr>
        <w:t>.</w:t>
      </w:r>
      <w:r w:rsidR="00096DC4" w:rsidRPr="00F57FA4">
        <w:rPr>
          <w:szCs w:val="20"/>
          <w:lang w:val="es-CO"/>
        </w:rPr>
        <w:t xml:space="preserve"> </w:t>
      </w:r>
    </w:p>
    <w:p w14:paraId="79EE6B95" w14:textId="77777777" w:rsidR="000C5B3B" w:rsidRPr="00F57FA4" w:rsidRDefault="000C5B3B" w:rsidP="006D31D9">
      <w:pPr>
        <w:pStyle w:val="ListParagraph"/>
        <w:rPr>
          <w:szCs w:val="20"/>
          <w:lang w:val="es-CO"/>
        </w:rPr>
      </w:pPr>
    </w:p>
    <w:p w14:paraId="4AA21C2E" w14:textId="020562DC" w:rsidR="00957F95" w:rsidRPr="00F57FA4" w:rsidRDefault="000C5B3B" w:rsidP="006D31D9">
      <w:pPr>
        <w:pStyle w:val="ListParagraph"/>
        <w:numPr>
          <w:ilvl w:val="0"/>
          <w:numId w:val="20"/>
        </w:numPr>
        <w:snapToGrid w:val="0"/>
        <w:ind w:left="0" w:firstLine="0"/>
        <w:contextualSpacing w:val="0"/>
        <w:rPr>
          <w:szCs w:val="20"/>
          <w:lang w:val="es-CO"/>
        </w:rPr>
      </w:pPr>
      <w:r w:rsidRPr="00F57FA4">
        <w:rPr>
          <w:szCs w:val="20"/>
          <w:lang w:val="es-CO"/>
        </w:rPr>
        <w:t>El MEPCT-RJ, en informe presentado a la Corte Interamericana el 17 de mayo de 2017, resaltó la problemática de hacinamiento en el IPPSC</w:t>
      </w:r>
      <w:r w:rsidR="007818B0">
        <w:rPr>
          <w:szCs w:val="20"/>
          <w:lang w:val="es-CO"/>
        </w:rPr>
        <w:t>. Para tal efecto, tomó como ejemplo</w:t>
      </w:r>
      <w:r w:rsidRPr="00F57FA4">
        <w:rPr>
          <w:szCs w:val="20"/>
          <w:lang w:val="es-CO"/>
        </w:rPr>
        <w:t xml:space="preserve"> la situación de la celda B5</w:t>
      </w:r>
      <w:r w:rsidR="007818B0">
        <w:rPr>
          <w:szCs w:val="20"/>
          <w:lang w:val="es-CO"/>
        </w:rPr>
        <w:t>.</w:t>
      </w:r>
      <w:r w:rsidR="00CB5EF6">
        <w:rPr>
          <w:szCs w:val="20"/>
          <w:lang w:val="es-CO"/>
        </w:rPr>
        <w:t xml:space="preserve"> </w:t>
      </w:r>
      <w:r w:rsidR="007818B0">
        <w:rPr>
          <w:szCs w:val="20"/>
          <w:lang w:val="es-CO"/>
        </w:rPr>
        <w:t>S</w:t>
      </w:r>
      <w:r w:rsidR="00CB5EF6">
        <w:rPr>
          <w:szCs w:val="20"/>
          <w:lang w:val="es-CO"/>
        </w:rPr>
        <w:t xml:space="preserve">egún el citado informe, dicha celda alojaba a </w:t>
      </w:r>
      <w:r w:rsidRPr="00F57FA4">
        <w:rPr>
          <w:szCs w:val="20"/>
          <w:lang w:val="es-CO"/>
        </w:rPr>
        <w:t xml:space="preserve">86 </w:t>
      </w:r>
      <w:r w:rsidR="00CB5EF6">
        <w:rPr>
          <w:szCs w:val="20"/>
          <w:lang w:val="es-CO"/>
        </w:rPr>
        <w:t>personas privadas de libertad</w:t>
      </w:r>
      <w:r w:rsidRPr="00F57FA4">
        <w:rPr>
          <w:szCs w:val="20"/>
          <w:lang w:val="es-CO"/>
        </w:rPr>
        <w:t>, de l</w:t>
      </w:r>
      <w:r w:rsidR="00CB5EF6">
        <w:rPr>
          <w:szCs w:val="20"/>
          <w:lang w:val="es-CO"/>
        </w:rPr>
        <w:t>a</w:t>
      </w:r>
      <w:r w:rsidRPr="00F57FA4">
        <w:rPr>
          <w:szCs w:val="20"/>
          <w:lang w:val="es-CO"/>
        </w:rPr>
        <w:t xml:space="preserve">s cuales sólo 38 dormían en camas de </w:t>
      </w:r>
      <w:r w:rsidR="007818B0" w:rsidRPr="00EE5F44">
        <w:rPr>
          <w:szCs w:val="20"/>
          <w:lang w:val="es-CO"/>
        </w:rPr>
        <w:t>mampostería</w:t>
      </w:r>
      <w:r w:rsidR="007818B0">
        <w:rPr>
          <w:szCs w:val="20"/>
          <w:lang w:val="es-CO"/>
        </w:rPr>
        <w:t xml:space="preserve">, mientras que </w:t>
      </w:r>
      <w:r w:rsidRPr="00F57FA4">
        <w:rPr>
          <w:szCs w:val="20"/>
          <w:lang w:val="es-CO"/>
        </w:rPr>
        <w:t>l</w:t>
      </w:r>
      <w:r w:rsidR="007818B0">
        <w:rPr>
          <w:szCs w:val="20"/>
          <w:lang w:val="es-CO"/>
        </w:rPr>
        <w:t>a</w:t>
      </w:r>
      <w:r w:rsidRPr="00F57FA4">
        <w:rPr>
          <w:szCs w:val="20"/>
          <w:lang w:val="es-CO"/>
        </w:rPr>
        <w:t>s demás</w:t>
      </w:r>
      <w:r w:rsidR="007818B0">
        <w:rPr>
          <w:szCs w:val="20"/>
          <w:lang w:val="es-CO"/>
        </w:rPr>
        <w:t xml:space="preserve"> lo hacían</w:t>
      </w:r>
      <w:r w:rsidRPr="00F57FA4">
        <w:rPr>
          <w:szCs w:val="20"/>
          <w:lang w:val="es-CO"/>
        </w:rPr>
        <w:t xml:space="preserve"> en el suelo. </w:t>
      </w:r>
      <w:r w:rsidR="00E37107">
        <w:rPr>
          <w:szCs w:val="20"/>
          <w:lang w:val="es-CO"/>
        </w:rPr>
        <w:t xml:space="preserve">Aunado a lo anterior, el MEPCT-RJ </w:t>
      </w:r>
      <w:r w:rsidR="00630863">
        <w:rPr>
          <w:szCs w:val="20"/>
          <w:lang w:val="es-CO"/>
        </w:rPr>
        <w:t>hizo</w:t>
      </w:r>
      <w:r w:rsidR="00E37107">
        <w:rPr>
          <w:szCs w:val="20"/>
          <w:lang w:val="es-CO"/>
        </w:rPr>
        <w:t xml:space="preserve"> notar que e</w:t>
      </w:r>
      <w:r w:rsidRPr="00F57FA4">
        <w:rPr>
          <w:szCs w:val="20"/>
          <w:lang w:val="es-CO"/>
        </w:rPr>
        <w:t>n días de lluvia</w:t>
      </w:r>
      <w:r w:rsidR="00E37107">
        <w:rPr>
          <w:szCs w:val="20"/>
          <w:lang w:val="es-CO"/>
        </w:rPr>
        <w:t>,</w:t>
      </w:r>
      <w:r w:rsidRPr="00F57FA4">
        <w:rPr>
          <w:szCs w:val="20"/>
          <w:lang w:val="es-CO"/>
        </w:rPr>
        <w:t xml:space="preserve"> </w:t>
      </w:r>
      <w:r w:rsidR="00E37107">
        <w:rPr>
          <w:szCs w:val="20"/>
          <w:lang w:val="es-CO"/>
        </w:rPr>
        <w:t>la celda en cuestión se inunda y las personas privadas de libertad no</w:t>
      </w:r>
      <w:r w:rsidRPr="00F57FA4">
        <w:rPr>
          <w:szCs w:val="20"/>
          <w:lang w:val="es-CO"/>
        </w:rPr>
        <w:t xml:space="preserve"> consiguen dormir.</w:t>
      </w:r>
      <w:r w:rsidRPr="00F57FA4">
        <w:rPr>
          <w:rFonts w:eastAsia="Times New Roman" w:cs="Courier New"/>
          <w:b/>
          <w:color w:val="212121"/>
          <w:szCs w:val="20"/>
          <w:lang w:val="es-CO" w:eastAsia="es-CR"/>
        </w:rPr>
        <w:t xml:space="preserve"> </w:t>
      </w:r>
    </w:p>
    <w:p w14:paraId="481FDDAA" w14:textId="77777777" w:rsidR="000C5B3B" w:rsidRPr="00F57FA4" w:rsidRDefault="000C5B3B" w:rsidP="006D31D9">
      <w:pPr>
        <w:pStyle w:val="ListParagraph"/>
        <w:rPr>
          <w:szCs w:val="20"/>
          <w:lang w:val="es-CO"/>
        </w:rPr>
      </w:pPr>
    </w:p>
    <w:p w14:paraId="09878B24" w14:textId="77777777" w:rsidR="008614AA" w:rsidRPr="00F57FA4" w:rsidRDefault="00583636" w:rsidP="006D31D9">
      <w:pPr>
        <w:pStyle w:val="ListParagraph"/>
        <w:numPr>
          <w:ilvl w:val="0"/>
          <w:numId w:val="20"/>
        </w:numPr>
        <w:snapToGrid w:val="0"/>
        <w:ind w:left="0" w:firstLine="0"/>
        <w:contextualSpacing w:val="0"/>
        <w:rPr>
          <w:szCs w:val="20"/>
          <w:lang w:val="es-CO"/>
        </w:rPr>
      </w:pPr>
      <w:r w:rsidRPr="00F57FA4">
        <w:rPr>
          <w:szCs w:val="20"/>
          <w:lang w:val="es-CO"/>
        </w:rPr>
        <w:t xml:space="preserve">Durante la </w:t>
      </w:r>
      <w:r w:rsidR="00651BF4">
        <w:rPr>
          <w:szCs w:val="20"/>
          <w:lang w:val="es-CO"/>
        </w:rPr>
        <w:t xml:space="preserve">diligencia </w:t>
      </w:r>
      <w:r w:rsidR="00651BF4" w:rsidRPr="00651BF4">
        <w:rPr>
          <w:i/>
          <w:szCs w:val="20"/>
          <w:lang w:val="es-CO"/>
        </w:rPr>
        <w:t>in situ</w:t>
      </w:r>
      <w:r w:rsidR="009447D3" w:rsidRPr="00F57FA4">
        <w:rPr>
          <w:i/>
          <w:szCs w:val="20"/>
          <w:lang w:val="es-CO"/>
        </w:rPr>
        <w:t xml:space="preserve"> </w:t>
      </w:r>
      <w:r w:rsidR="009447D3" w:rsidRPr="00F57FA4">
        <w:rPr>
          <w:szCs w:val="20"/>
          <w:lang w:val="es-CO"/>
        </w:rPr>
        <w:t>al Instituto Penal Plácido de Sá Carvalho</w:t>
      </w:r>
      <w:r w:rsidRPr="00F57FA4">
        <w:rPr>
          <w:szCs w:val="20"/>
          <w:lang w:val="es-CO"/>
        </w:rPr>
        <w:t xml:space="preserve">, la Corte constató lo siguiente: </w:t>
      </w:r>
    </w:p>
    <w:p w14:paraId="2FF1A963" w14:textId="77777777" w:rsidR="008614AA" w:rsidRPr="00F57FA4" w:rsidRDefault="008614AA" w:rsidP="006D31D9">
      <w:pPr>
        <w:pStyle w:val="ListParagraph"/>
        <w:rPr>
          <w:rFonts w:eastAsia="Verdana" w:cs="Verdana"/>
          <w:szCs w:val="20"/>
          <w:lang w:val="es-CO"/>
        </w:rPr>
      </w:pPr>
    </w:p>
    <w:p w14:paraId="64FC157A" w14:textId="77777777" w:rsidR="008614AA" w:rsidRPr="00F57FA4" w:rsidRDefault="008614AA" w:rsidP="006D31D9">
      <w:pPr>
        <w:pStyle w:val="ListParagraph"/>
        <w:numPr>
          <w:ilvl w:val="0"/>
          <w:numId w:val="11"/>
        </w:numPr>
        <w:snapToGrid w:val="0"/>
        <w:contextualSpacing w:val="0"/>
        <w:rPr>
          <w:szCs w:val="20"/>
          <w:lang w:val="es-CO"/>
        </w:rPr>
      </w:pPr>
      <w:r w:rsidRPr="00F57FA4">
        <w:rPr>
          <w:rFonts w:eastAsia="Verdana" w:cs="Verdana"/>
          <w:szCs w:val="20"/>
          <w:lang w:val="es-CO"/>
        </w:rPr>
        <w:t xml:space="preserve">El sector de aislamiento </w:t>
      </w:r>
      <w:r w:rsidR="005754E0">
        <w:rPr>
          <w:rFonts w:eastAsia="Verdana" w:cs="Verdana"/>
          <w:szCs w:val="20"/>
          <w:lang w:val="es-CO"/>
        </w:rPr>
        <w:t xml:space="preserve">(también denominado </w:t>
      </w:r>
      <w:r w:rsidRPr="00F57FA4">
        <w:rPr>
          <w:rFonts w:eastAsia="Verdana" w:cs="Verdana"/>
          <w:szCs w:val="20"/>
          <w:lang w:val="es-CO"/>
        </w:rPr>
        <w:t>“seguro”</w:t>
      </w:r>
      <w:r w:rsidR="005754E0">
        <w:rPr>
          <w:rFonts w:eastAsia="Verdana" w:cs="Verdana"/>
          <w:szCs w:val="20"/>
          <w:lang w:val="es-CO"/>
        </w:rPr>
        <w:t>)</w:t>
      </w:r>
      <w:r w:rsidRPr="00F57FA4">
        <w:rPr>
          <w:rFonts w:eastAsia="Verdana" w:cs="Verdana"/>
          <w:szCs w:val="20"/>
          <w:lang w:val="es-CO"/>
        </w:rPr>
        <w:t xml:space="preserve"> </w:t>
      </w:r>
      <w:r w:rsidR="009F2112" w:rsidRPr="00F57FA4">
        <w:rPr>
          <w:rFonts w:eastAsia="Verdana" w:cs="Verdana"/>
          <w:szCs w:val="20"/>
          <w:lang w:val="es-CO"/>
        </w:rPr>
        <w:t>contaba</w:t>
      </w:r>
      <w:r w:rsidRPr="00F57FA4">
        <w:rPr>
          <w:rFonts w:eastAsia="Verdana" w:cs="Verdana"/>
          <w:szCs w:val="20"/>
          <w:lang w:val="es-CO"/>
        </w:rPr>
        <w:t xml:space="preserve"> con la presencia de 11 </w:t>
      </w:r>
      <w:r w:rsidR="005754E0">
        <w:rPr>
          <w:rFonts w:eastAsia="Verdana" w:cs="Verdana"/>
          <w:szCs w:val="20"/>
          <w:lang w:val="es-CO"/>
        </w:rPr>
        <w:t>personas privadas de libertad</w:t>
      </w:r>
      <w:r w:rsidRPr="00F57FA4">
        <w:rPr>
          <w:rFonts w:eastAsia="Verdana" w:cs="Verdana"/>
          <w:szCs w:val="20"/>
          <w:lang w:val="es-CO"/>
        </w:rPr>
        <w:t xml:space="preserve"> durante la visita. Es</w:t>
      </w:r>
      <w:r w:rsidR="005754E0">
        <w:rPr>
          <w:rFonts w:eastAsia="Verdana" w:cs="Verdana"/>
          <w:szCs w:val="20"/>
          <w:lang w:val="es-CO"/>
        </w:rPr>
        <w:t>as personas</w:t>
      </w:r>
      <w:r w:rsidRPr="00F57FA4">
        <w:rPr>
          <w:rFonts w:eastAsia="Verdana" w:cs="Verdana"/>
          <w:szCs w:val="20"/>
          <w:lang w:val="es-CO"/>
        </w:rPr>
        <w:t xml:space="preserve"> </w:t>
      </w:r>
      <w:r w:rsidR="005754E0">
        <w:rPr>
          <w:rFonts w:eastAsia="Verdana" w:cs="Verdana"/>
          <w:szCs w:val="20"/>
          <w:lang w:val="es-CO"/>
        </w:rPr>
        <w:t xml:space="preserve">permanecen </w:t>
      </w:r>
      <w:r w:rsidRPr="00F57FA4">
        <w:rPr>
          <w:rFonts w:eastAsia="Verdana" w:cs="Verdana"/>
          <w:szCs w:val="20"/>
          <w:lang w:val="es-CO"/>
        </w:rPr>
        <w:t>en</w:t>
      </w:r>
      <w:r w:rsidR="005754E0">
        <w:rPr>
          <w:rFonts w:eastAsia="Verdana" w:cs="Verdana"/>
          <w:szCs w:val="20"/>
          <w:lang w:val="es-CO"/>
        </w:rPr>
        <w:t xml:space="preserve"> dicho</w:t>
      </w:r>
      <w:r w:rsidRPr="00F57FA4">
        <w:rPr>
          <w:rFonts w:eastAsia="Verdana" w:cs="Verdana"/>
          <w:szCs w:val="20"/>
          <w:lang w:val="es-CO"/>
        </w:rPr>
        <w:t xml:space="preserve"> pabellón hasta que s</w:t>
      </w:r>
      <w:r w:rsidR="009F2E52">
        <w:rPr>
          <w:rFonts w:eastAsia="Verdana" w:cs="Verdana"/>
          <w:szCs w:val="20"/>
          <w:lang w:val="es-CO"/>
        </w:rPr>
        <w:t>o</w:t>
      </w:r>
      <w:r w:rsidRPr="00F57FA4">
        <w:rPr>
          <w:rFonts w:eastAsia="Verdana" w:cs="Verdana"/>
          <w:szCs w:val="20"/>
          <w:lang w:val="es-CO"/>
        </w:rPr>
        <w:t>n transferid</w:t>
      </w:r>
      <w:r w:rsidR="005754E0">
        <w:rPr>
          <w:rFonts w:eastAsia="Verdana" w:cs="Verdana"/>
          <w:szCs w:val="20"/>
          <w:lang w:val="es-CO"/>
        </w:rPr>
        <w:t>a</w:t>
      </w:r>
      <w:r w:rsidRPr="00F57FA4">
        <w:rPr>
          <w:rFonts w:eastAsia="Verdana" w:cs="Verdana"/>
          <w:szCs w:val="20"/>
          <w:lang w:val="es-CO"/>
        </w:rPr>
        <w:t>s</w:t>
      </w:r>
      <w:r w:rsidR="005754E0">
        <w:rPr>
          <w:rFonts w:eastAsia="Verdana" w:cs="Verdana"/>
          <w:szCs w:val="20"/>
          <w:lang w:val="es-CO"/>
        </w:rPr>
        <w:t>. Así también,</w:t>
      </w:r>
      <w:r w:rsidRPr="00F57FA4">
        <w:rPr>
          <w:rFonts w:eastAsia="Verdana" w:cs="Verdana"/>
          <w:szCs w:val="20"/>
          <w:lang w:val="es-CO"/>
        </w:rPr>
        <w:t xml:space="preserve"> </w:t>
      </w:r>
      <w:r w:rsidR="005754E0">
        <w:rPr>
          <w:rFonts w:eastAsia="Verdana" w:cs="Verdana"/>
          <w:szCs w:val="20"/>
          <w:lang w:val="es-CO"/>
        </w:rPr>
        <w:t xml:space="preserve">permanecen allí </w:t>
      </w:r>
      <w:r w:rsidRPr="00F57FA4">
        <w:rPr>
          <w:rFonts w:eastAsia="Verdana" w:cs="Verdana"/>
          <w:szCs w:val="20"/>
          <w:lang w:val="es-CO"/>
        </w:rPr>
        <w:t>aquell</w:t>
      </w:r>
      <w:r w:rsidR="005754E0">
        <w:rPr>
          <w:rFonts w:eastAsia="Verdana" w:cs="Verdana"/>
          <w:szCs w:val="20"/>
          <w:lang w:val="es-CO"/>
        </w:rPr>
        <w:t>as personas que regresan</w:t>
      </w:r>
      <w:r w:rsidRPr="00F57FA4">
        <w:rPr>
          <w:rFonts w:eastAsia="Verdana" w:cs="Verdana"/>
          <w:szCs w:val="20"/>
          <w:lang w:val="es-CO"/>
        </w:rPr>
        <w:t xml:space="preserve"> de un traslado del hospital o </w:t>
      </w:r>
      <w:r w:rsidR="005754E0">
        <w:rPr>
          <w:rFonts w:eastAsia="Verdana" w:cs="Verdana"/>
          <w:szCs w:val="20"/>
          <w:lang w:val="es-CO"/>
        </w:rPr>
        <w:t xml:space="preserve">de un </w:t>
      </w:r>
      <w:r w:rsidRPr="00F57FA4">
        <w:rPr>
          <w:rFonts w:eastAsia="Verdana" w:cs="Verdana"/>
          <w:szCs w:val="20"/>
          <w:lang w:val="es-CO"/>
        </w:rPr>
        <w:t xml:space="preserve">tribunal. En esa área </w:t>
      </w:r>
      <w:r w:rsidR="009C0236">
        <w:rPr>
          <w:rFonts w:eastAsia="Verdana" w:cs="Verdana"/>
          <w:szCs w:val="20"/>
          <w:lang w:val="es-CO"/>
        </w:rPr>
        <w:t>las personas recluidas</w:t>
      </w:r>
      <w:r w:rsidRPr="00F57FA4">
        <w:rPr>
          <w:rFonts w:eastAsia="Verdana" w:cs="Verdana"/>
          <w:szCs w:val="20"/>
          <w:lang w:val="es-CO"/>
        </w:rPr>
        <w:t xml:space="preserve"> pueden salir a</w:t>
      </w:r>
      <w:r w:rsidR="00CA3DEA">
        <w:rPr>
          <w:rFonts w:eastAsia="Verdana" w:cs="Verdana"/>
          <w:szCs w:val="20"/>
          <w:lang w:val="es-CO"/>
        </w:rPr>
        <w:t xml:space="preserve"> tomar</w:t>
      </w:r>
      <w:r w:rsidRPr="00F57FA4">
        <w:rPr>
          <w:rFonts w:eastAsia="Verdana" w:cs="Verdana"/>
          <w:szCs w:val="20"/>
          <w:lang w:val="es-CO"/>
        </w:rPr>
        <w:t xml:space="preserve"> sol</w:t>
      </w:r>
      <w:r w:rsidR="00CA3DEA">
        <w:rPr>
          <w:rFonts w:eastAsia="Verdana" w:cs="Verdana"/>
          <w:szCs w:val="20"/>
          <w:lang w:val="es-CO"/>
        </w:rPr>
        <w:t xml:space="preserve"> y</w:t>
      </w:r>
      <w:r w:rsidRPr="00F57FA4">
        <w:rPr>
          <w:rFonts w:eastAsia="Verdana" w:cs="Verdana"/>
          <w:szCs w:val="20"/>
          <w:lang w:val="es-CO"/>
        </w:rPr>
        <w:t xml:space="preserve"> tienen alimentación</w:t>
      </w:r>
      <w:r w:rsidR="00CA3DEA">
        <w:rPr>
          <w:rFonts w:eastAsia="Verdana" w:cs="Verdana"/>
          <w:szCs w:val="20"/>
          <w:lang w:val="es-CO"/>
        </w:rPr>
        <w:t>. E</w:t>
      </w:r>
      <w:r w:rsidR="009F2112" w:rsidRPr="00F57FA4">
        <w:rPr>
          <w:rFonts w:eastAsia="Verdana" w:cs="Verdana"/>
          <w:szCs w:val="20"/>
          <w:lang w:val="es-CO"/>
        </w:rPr>
        <w:t xml:space="preserve">l día de la visita los </w:t>
      </w:r>
      <w:r w:rsidRPr="00F57FA4">
        <w:rPr>
          <w:rFonts w:eastAsia="Verdana" w:cs="Verdana"/>
          <w:szCs w:val="20"/>
          <w:lang w:val="es-CO"/>
        </w:rPr>
        <w:t>colchones</w:t>
      </w:r>
      <w:r w:rsidR="009F2112" w:rsidRPr="00F57FA4">
        <w:rPr>
          <w:rFonts w:eastAsia="Verdana" w:cs="Verdana"/>
          <w:szCs w:val="20"/>
          <w:lang w:val="es-CO"/>
        </w:rPr>
        <w:t xml:space="preserve"> de ese sector estaban</w:t>
      </w:r>
      <w:r w:rsidRPr="00F57FA4">
        <w:rPr>
          <w:rFonts w:eastAsia="Verdana" w:cs="Verdana"/>
          <w:szCs w:val="20"/>
          <w:lang w:val="es-CO"/>
        </w:rPr>
        <w:t xml:space="preserve"> en condiciones normal</w:t>
      </w:r>
      <w:r w:rsidR="009F2E52">
        <w:rPr>
          <w:rFonts w:eastAsia="Verdana" w:cs="Verdana"/>
          <w:szCs w:val="20"/>
          <w:lang w:val="es-CO"/>
        </w:rPr>
        <w:t>es</w:t>
      </w:r>
      <w:r w:rsidR="009C0236">
        <w:rPr>
          <w:rFonts w:eastAsia="Verdana" w:cs="Verdana"/>
          <w:szCs w:val="20"/>
          <w:lang w:val="es-CO"/>
        </w:rPr>
        <w:t>.</w:t>
      </w:r>
    </w:p>
    <w:p w14:paraId="35D0D358" w14:textId="77777777" w:rsidR="008614AA" w:rsidRPr="00F57FA4" w:rsidRDefault="008614AA" w:rsidP="006D31D9">
      <w:pPr>
        <w:pStyle w:val="ListParagraph"/>
        <w:snapToGrid w:val="0"/>
        <w:contextualSpacing w:val="0"/>
        <w:rPr>
          <w:szCs w:val="20"/>
          <w:lang w:val="es-CO"/>
        </w:rPr>
      </w:pPr>
    </w:p>
    <w:p w14:paraId="2748B1A2" w14:textId="77777777" w:rsidR="008614AA" w:rsidRPr="00F57FA4" w:rsidRDefault="008614AA" w:rsidP="006D31D9">
      <w:pPr>
        <w:pStyle w:val="ListParagraph"/>
        <w:numPr>
          <w:ilvl w:val="0"/>
          <w:numId w:val="11"/>
        </w:numPr>
        <w:snapToGrid w:val="0"/>
        <w:contextualSpacing w:val="0"/>
        <w:rPr>
          <w:szCs w:val="20"/>
          <w:lang w:val="es-CO"/>
        </w:rPr>
      </w:pPr>
      <w:r w:rsidRPr="00F57FA4">
        <w:rPr>
          <w:rFonts w:eastAsia="Verdana" w:cs="Verdana"/>
          <w:szCs w:val="20"/>
          <w:lang w:val="es-CO"/>
        </w:rPr>
        <w:t xml:space="preserve">El </w:t>
      </w:r>
      <w:r w:rsidR="009C0236">
        <w:rPr>
          <w:rFonts w:eastAsia="Verdana" w:cs="Verdana"/>
          <w:szCs w:val="20"/>
          <w:lang w:val="es-CO"/>
        </w:rPr>
        <w:t>p</w:t>
      </w:r>
      <w:r w:rsidRPr="00F57FA4">
        <w:rPr>
          <w:rFonts w:eastAsia="Verdana" w:cs="Verdana"/>
          <w:szCs w:val="20"/>
          <w:lang w:val="es-CO"/>
        </w:rPr>
        <w:t xml:space="preserve">abellón </w:t>
      </w:r>
      <w:r w:rsidR="009C0236">
        <w:rPr>
          <w:rFonts w:eastAsia="Verdana" w:cs="Verdana"/>
          <w:szCs w:val="20"/>
          <w:lang w:val="es-CO"/>
        </w:rPr>
        <w:t>“</w:t>
      </w:r>
      <w:r w:rsidRPr="00F57FA4">
        <w:rPr>
          <w:rFonts w:eastAsia="Verdana" w:cs="Verdana"/>
          <w:szCs w:val="20"/>
          <w:lang w:val="es-CO"/>
        </w:rPr>
        <w:t>B</w:t>
      </w:r>
      <w:r w:rsidR="009C0236">
        <w:rPr>
          <w:rFonts w:eastAsia="Verdana" w:cs="Verdana"/>
          <w:szCs w:val="20"/>
          <w:lang w:val="es-CO"/>
        </w:rPr>
        <w:t>”</w:t>
      </w:r>
      <w:r w:rsidRPr="00F57FA4">
        <w:rPr>
          <w:rFonts w:eastAsia="Verdana" w:cs="Verdana"/>
          <w:szCs w:val="20"/>
          <w:lang w:val="es-CO"/>
        </w:rPr>
        <w:t xml:space="preserve"> es destinado a ex policías, bomberos, milicianos y evangélicos. Las condiciones de detención son mejores que en los otros pabellones. Las celdas tienen literas con dos camas y un espacio para visitas más amplio y limpio, que incluye un comedor y un área de recreación para niños. Asimismo, el espacio destinado a</w:t>
      </w:r>
      <w:r w:rsidR="005754E0">
        <w:rPr>
          <w:rFonts w:eastAsia="Verdana" w:cs="Verdana"/>
          <w:szCs w:val="20"/>
          <w:lang w:val="es-CO"/>
        </w:rPr>
        <w:t xml:space="preserve"> las personas </w:t>
      </w:r>
      <w:r w:rsidR="009C0236">
        <w:rPr>
          <w:rFonts w:eastAsia="Verdana" w:cs="Verdana"/>
          <w:szCs w:val="20"/>
          <w:lang w:val="es-CO"/>
        </w:rPr>
        <w:t>evangélicas</w:t>
      </w:r>
      <w:r w:rsidRPr="00F57FA4">
        <w:rPr>
          <w:rFonts w:eastAsia="Verdana" w:cs="Verdana"/>
          <w:szCs w:val="20"/>
          <w:lang w:val="es-CO"/>
        </w:rPr>
        <w:t xml:space="preserve"> </w:t>
      </w:r>
      <w:r w:rsidR="005754E0">
        <w:rPr>
          <w:rFonts w:eastAsia="Verdana" w:cs="Verdana"/>
          <w:szCs w:val="20"/>
          <w:lang w:val="es-CO"/>
        </w:rPr>
        <w:t>cuenta con</w:t>
      </w:r>
      <w:r w:rsidRPr="00F57FA4">
        <w:rPr>
          <w:rFonts w:eastAsia="Verdana" w:cs="Verdana"/>
          <w:szCs w:val="20"/>
          <w:lang w:val="es-CO"/>
        </w:rPr>
        <w:t xml:space="preserve"> una iglesia </w:t>
      </w:r>
      <w:r w:rsidR="006423B9">
        <w:rPr>
          <w:rFonts w:eastAsia="Verdana" w:cs="Verdana"/>
          <w:szCs w:val="20"/>
          <w:lang w:val="es-CO"/>
        </w:rPr>
        <w:t xml:space="preserve">en buen estado </w:t>
      </w:r>
      <w:r w:rsidRPr="00F57FA4">
        <w:rPr>
          <w:rFonts w:eastAsia="Verdana" w:cs="Verdana"/>
          <w:szCs w:val="20"/>
          <w:lang w:val="es-CO"/>
        </w:rPr>
        <w:t>y limpia. Se percibió que las celdas habían sido pintadas recientemente de blanco</w:t>
      </w:r>
      <w:r w:rsidR="009C0236">
        <w:rPr>
          <w:szCs w:val="20"/>
          <w:lang w:val="es-CO"/>
        </w:rPr>
        <w:t>.</w:t>
      </w:r>
    </w:p>
    <w:p w14:paraId="2AD36573" w14:textId="77777777" w:rsidR="008614AA" w:rsidRPr="00F57FA4" w:rsidRDefault="008614AA" w:rsidP="006D31D9">
      <w:pPr>
        <w:pStyle w:val="ListParagraph"/>
        <w:rPr>
          <w:rFonts w:eastAsia="Verdana" w:cs="Verdana"/>
          <w:szCs w:val="20"/>
          <w:lang w:val="es-CO"/>
        </w:rPr>
      </w:pPr>
    </w:p>
    <w:p w14:paraId="0AE7BF34" w14:textId="77777777" w:rsidR="004D3B8F" w:rsidRPr="00F57FA4" w:rsidRDefault="008614AA" w:rsidP="006D31D9">
      <w:pPr>
        <w:pStyle w:val="ListParagraph"/>
        <w:numPr>
          <w:ilvl w:val="0"/>
          <w:numId w:val="11"/>
        </w:numPr>
        <w:snapToGrid w:val="0"/>
        <w:contextualSpacing w:val="0"/>
        <w:rPr>
          <w:szCs w:val="20"/>
          <w:lang w:val="es-CO"/>
        </w:rPr>
      </w:pPr>
      <w:r w:rsidRPr="00F57FA4">
        <w:rPr>
          <w:rFonts w:eastAsia="Verdana" w:cs="Verdana"/>
          <w:szCs w:val="20"/>
          <w:lang w:val="es-CO"/>
        </w:rPr>
        <w:t xml:space="preserve">En los pabellones </w:t>
      </w:r>
      <w:r w:rsidR="009C0236">
        <w:rPr>
          <w:rFonts w:eastAsia="Verdana" w:cs="Verdana"/>
          <w:szCs w:val="20"/>
          <w:lang w:val="es-CO"/>
        </w:rPr>
        <w:t>“</w:t>
      </w:r>
      <w:r w:rsidRPr="00F57FA4">
        <w:rPr>
          <w:rFonts w:eastAsia="Verdana" w:cs="Verdana"/>
          <w:szCs w:val="20"/>
          <w:lang w:val="es-CO"/>
        </w:rPr>
        <w:t>A</w:t>
      </w:r>
      <w:r w:rsidR="009C0236">
        <w:rPr>
          <w:rFonts w:eastAsia="Verdana" w:cs="Verdana"/>
          <w:szCs w:val="20"/>
          <w:lang w:val="es-CO"/>
        </w:rPr>
        <w:t>”</w:t>
      </w:r>
      <w:r w:rsidRPr="00F57FA4">
        <w:rPr>
          <w:rFonts w:eastAsia="Verdana" w:cs="Verdana"/>
          <w:szCs w:val="20"/>
          <w:lang w:val="es-CO"/>
        </w:rPr>
        <w:t xml:space="preserve"> y </w:t>
      </w:r>
      <w:r w:rsidR="009C0236">
        <w:rPr>
          <w:rFonts w:eastAsia="Verdana" w:cs="Verdana"/>
          <w:szCs w:val="20"/>
          <w:lang w:val="es-CO"/>
        </w:rPr>
        <w:t>“</w:t>
      </w:r>
      <w:r w:rsidRPr="00F57FA4">
        <w:rPr>
          <w:rFonts w:eastAsia="Verdana" w:cs="Verdana"/>
          <w:szCs w:val="20"/>
          <w:lang w:val="es-CO"/>
        </w:rPr>
        <w:t>C</w:t>
      </w:r>
      <w:r w:rsidR="009C0236">
        <w:rPr>
          <w:rFonts w:eastAsia="Verdana" w:cs="Verdana"/>
          <w:szCs w:val="20"/>
          <w:lang w:val="es-CO"/>
        </w:rPr>
        <w:t>”</w:t>
      </w:r>
      <w:r w:rsidRPr="00F57FA4">
        <w:rPr>
          <w:rFonts w:eastAsia="Verdana" w:cs="Verdana"/>
          <w:szCs w:val="20"/>
          <w:lang w:val="es-CO"/>
        </w:rPr>
        <w:t xml:space="preserve">, las condiciones de </w:t>
      </w:r>
      <w:r w:rsidR="009F2E52">
        <w:rPr>
          <w:rFonts w:eastAsia="Verdana" w:cs="Verdana"/>
          <w:szCs w:val="20"/>
          <w:lang w:val="es-CO"/>
        </w:rPr>
        <w:t xml:space="preserve">reclusión </w:t>
      </w:r>
      <w:r w:rsidRPr="00F57FA4">
        <w:rPr>
          <w:rFonts w:eastAsia="Verdana" w:cs="Verdana"/>
          <w:szCs w:val="20"/>
          <w:lang w:val="es-CO"/>
        </w:rPr>
        <w:t xml:space="preserve">son </w:t>
      </w:r>
      <w:r w:rsidR="009F2E52">
        <w:rPr>
          <w:rFonts w:eastAsia="Verdana" w:cs="Verdana"/>
          <w:szCs w:val="20"/>
          <w:lang w:val="es-CO"/>
        </w:rPr>
        <w:t xml:space="preserve">peores que </w:t>
      </w:r>
      <w:r w:rsidRPr="00F57FA4">
        <w:rPr>
          <w:rFonts w:eastAsia="Verdana" w:cs="Verdana"/>
          <w:szCs w:val="20"/>
          <w:lang w:val="es-CO"/>
        </w:rPr>
        <w:t xml:space="preserve">las del </w:t>
      </w:r>
      <w:r w:rsidR="009C0236">
        <w:rPr>
          <w:rFonts w:eastAsia="Verdana" w:cs="Verdana"/>
          <w:szCs w:val="20"/>
          <w:lang w:val="es-CO"/>
        </w:rPr>
        <w:t>p</w:t>
      </w:r>
      <w:r w:rsidRPr="00F57FA4">
        <w:rPr>
          <w:rFonts w:eastAsia="Verdana" w:cs="Verdana"/>
          <w:szCs w:val="20"/>
          <w:lang w:val="es-CO"/>
        </w:rPr>
        <w:t xml:space="preserve">abellón </w:t>
      </w:r>
      <w:r w:rsidR="009C0236">
        <w:rPr>
          <w:rFonts w:eastAsia="Verdana" w:cs="Verdana"/>
          <w:szCs w:val="20"/>
          <w:lang w:val="es-CO"/>
        </w:rPr>
        <w:t>“</w:t>
      </w:r>
      <w:r w:rsidRPr="00F57FA4">
        <w:rPr>
          <w:rFonts w:eastAsia="Verdana" w:cs="Verdana"/>
          <w:szCs w:val="20"/>
          <w:lang w:val="es-CO"/>
        </w:rPr>
        <w:t>B</w:t>
      </w:r>
      <w:r w:rsidR="009C0236">
        <w:rPr>
          <w:rFonts w:eastAsia="Verdana" w:cs="Verdana"/>
          <w:szCs w:val="20"/>
          <w:lang w:val="es-CO"/>
        </w:rPr>
        <w:t>”</w:t>
      </w:r>
      <w:r w:rsidRPr="00F57FA4">
        <w:rPr>
          <w:rFonts w:eastAsia="Verdana" w:cs="Verdana"/>
          <w:szCs w:val="20"/>
          <w:lang w:val="es-CO"/>
        </w:rPr>
        <w:t>. L</w:t>
      </w:r>
      <w:r w:rsidR="009C0236">
        <w:rPr>
          <w:rFonts w:eastAsia="Verdana" w:cs="Verdana"/>
          <w:szCs w:val="20"/>
          <w:lang w:val="es-CO"/>
        </w:rPr>
        <w:t>as personas allí recluidas</w:t>
      </w:r>
      <w:r w:rsidRPr="00F57FA4">
        <w:rPr>
          <w:rFonts w:eastAsia="Verdana" w:cs="Verdana"/>
          <w:szCs w:val="20"/>
          <w:lang w:val="es-CO"/>
        </w:rPr>
        <w:t xml:space="preserve"> duermen en literas de tres pisos</w:t>
      </w:r>
      <w:r w:rsidR="009C0236">
        <w:rPr>
          <w:rFonts w:eastAsia="Verdana" w:cs="Verdana"/>
          <w:szCs w:val="20"/>
          <w:lang w:val="es-CO"/>
        </w:rPr>
        <w:t>. Cada celda alberga</w:t>
      </w:r>
      <w:r w:rsidRPr="00F57FA4">
        <w:rPr>
          <w:rFonts w:eastAsia="Verdana" w:cs="Verdana"/>
          <w:szCs w:val="20"/>
          <w:lang w:val="es-CO"/>
        </w:rPr>
        <w:t xml:space="preserve"> aproximadamente </w:t>
      </w:r>
      <w:r w:rsidR="009C0236">
        <w:rPr>
          <w:rFonts w:eastAsia="Verdana" w:cs="Verdana"/>
          <w:szCs w:val="20"/>
          <w:lang w:val="es-CO"/>
        </w:rPr>
        <w:t xml:space="preserve">a </w:t>
      </w:r>
      <w:r w:rsidRPr="00F57FA4">
        <w:rPr>
          <w:rFonts w:eastAsia="Verdana" w:cs="Verdana"/>
          <w:szCs w:val="20"/>
          <w:lang w:val="es-CO"/>
        </w:rPr>
        <w:t>100</w:t>
      </w:r>
      <w:r w:rsidR="009C0236">
        <w:rPr>
          <w:rFonts w:eastAsia="Verdana" w:cs="Verdana"/>
          <w:szCs w:val="20"/>
          <w:lang w:val="es-CO"/>
        </w:rPr>
        <w:t xml:space="preserve"> personas y por ello,</w:t>
      </w:r>
      <w:r w:rsidR="00C60603" w:rsidRPr="00F57FA4">
        <w:rPr>
          <w:rFonts w:eastAsia="Verdana" w:cs="Verdana"/>
          <w:szCs w:val="20"/>
          <w:lang w:val="es-CO"/>
        </w:rPr>
        <w:t xml:space="preserve"> </w:t>
      </w:r>
      <w:r w:rsidR="009C0236">
        <w:rPr>
          <w:rFonts w:eastAsia="Verdana" w:cs="Verdana"/>
          <w:szCs w:val="20"/>
          <w:lang w:val="es-CO"/>
        </w:rPr>
        <w:t>a</w:t>
      </w:r>
      <w:r w:rsidR="00C60603" w:rsidRPr="00F57FA4">
        <w:rPr>
          <w:rFonts w:eastAsia="Verdana" w:cs="Verdana"/>
          <w:szCs w:val="20"/>
          <w:lang w:val="es-CO"/>
        </w:rPr>
        <w:t>lgunos</w:t>
      </w:r>
      <w:r w:rsidR="009C0236">
        <w:rPr>
          <w:rFonts w:eastAsia="Verdana" w:cs="Verdana"/>
          <w:szCs w:val="20"/>
          <w:lang w:val="es-CO"/>
        </w:rPr>
        <w:t xml:space="preserve"> reclusos </w:t>
      </w:r>
      <w:r w:rsidR="00C60603" w:rsidRPr="00F57FA4">
        <w:rPr>
          <w:rFonts w:eastAsia="Verdana" w:cs="Verdana"/>
          <w:szCs w:val="20"/>
          <w:lang w:val="es-CO"/>
        </w:rPr>
        <w:t xml:space="preserve">deben colocar colchones en el piso y dormir allí, formando literas de 4 </w:t>
      </w:r>
      <w:r w:rsidR="009F2E52">
        <w:rPr>
          <w:rFonts w:eastAsia="Verdana" w:cs="Verdana"/>
          <w:szCs w:val="20"/>
          <w:lang w:val="es-CO"/>
        </w:rPr>
        <w:t>niveles</w:t>
      </w:r>
      <w:r w:rsidR="00C60603" w:rsidRPr="00F57FA4">
        <w:rPr>
          <w:rFonts w:eastAsia="Verdana" w:cs="Verdana"/>
          <w:szCs w:val="20"/>
          <w:lang w:val="es-CO"/>
        </w:rPr>
        <w:t>.</w:t>
      </w:r>
      <w:r w:rsidRPr="00F57FA4">
        <w:rPr>
          <w:rFonts w:eastAsia="Verdana" w:cs="Verdana"/>
          <w:szCs w:val="20"/>
          <w:lang w:val="es-CO"/>
        </w:rPr>
        <w:t xml:space="preserve"> Los baños están ubicados </w:t>
      </w:r>
      <w:r w:rsidR="009C0236">
        <w:rPr>
          <w:rFonts w:eastAsia="Verdana" w:cs="Verdana"/>
          <w:szCs w:val="20"/>
          <w:lang w:val="es-CO"/>
        </w:rPr>
        <w:t>al lado de</w:t>
      </w:r>
      <w:r w:rsidRPr="00F57FA4">
        <w:rPr>
          <w:rFonts w:eastAsia="Verdana" w:cs="Verdana"/>
          <w:szCs w:val="20"/>
          <w:lang w:val="es-CO"/>
        </w:rPr>
        <w:t xml:space="preserve"> </w:t>
      </w:r>
      <w:r w:rsidR="006423B9">
        <w:rPr>
          <w:rFonts w:eastAsia="Verdana" w:cs="Verdana"/>
          <w:szCs w:val="20"/>
          <w:lang w:val="es-CO"/>
        </w:rPr>
        <w:t xml:space="preserve">cada </w:t>
      </w:r>
      <w:r w:rsidRPr="00F57FA4">
        <w:rPr>
          <w:rFonts w:eastAsia="Verdana" w:cs="Verdana"/>
          <w:szCs w:val="20"/>
          <w:lang w:val="es-CO"/>
        </w:rPr>
        <w:t>celda y no son suficiente</w:t>
      </w:r>
      <w:r w:rsidR="009C0236">
        <w:rPr>
          <w:rFonts w:eastAsia="Verdana" w:cs="Verdana"/>
          <w:szCs w:val="20"/>
          <w:lang w:val="es-CO"/>
        </w:rPr>
        <w:t>s</w:t>
      </w:r>
      <w:r w:rsidRPr="00F57FA4">
        <w:rPr>
          <w:rFonts w:eastAsia="Verdana" w:cs="Verdana"/>
          <w:szCs w:val="20"/>
          <w:lang w:val="es-CO"/>
        </w:rPr>
        <w:t xml:space="preserve"> para el número de internos. Las instalaciones eléctricas </w:t>
      </w:r>
      <w:r w:rsidR="009F2112" w:rsidRPr="00F57FA4">
        <w:rPr>
          <w:rFonts w:eastAsia="Verdana" w:cs="Verdana"/>
          <w:szCs w:val="20"/>
          <w:lang w:val="es-CO"/>
        </w:rPr>
        <w:t>se encuentran en pésimo</w:t>
      </w:r>
      <w:r w:rsidRPr="00F57FA4">
        <w:rPr>
          <w:rFonts w:eastAsia="Verdana" w:cs="Verdana"/>
          <w:szCs w:val="20"/>
          <w:lang w:val="es-CO"/>
        </w:rPr>
        <w:t xml:space="preserve"> estado</w:t>
      </w:r>
      <w:r w:rsidR="009C0236">
        <w:rPr>
          <w:rFonts w:eastAsia="Verdana" w:cs="Verdana"/>
          <w:szCs w:val="20"/>
          <w:lang w:val="es-CO"/>
        </w:rPr>
        <w:t xml:space="preserve">, </w:t>
      </w:r>
      <w:r w:rsidRPr="00F57FA4">
        <w:rPr>
          <w:rFonts w:eastAsia="Verdana" w:cs="Verdana"/>
          <w:szCs w:val="20"/>
          <w:lang w:val="es-CO"/>
        </w:rPr>
        <w:t xml:space="preserve">presentando riesgo </w:t>
      </w:r>
      <w:r w:rsidR="00583636" w:rsidRPr="00F57FA4">
        <w:rPr>
          <w:rFonts w:eastAsia="Verdana" w:cs="Verdana"/>
          <w:szCs w:val="20"/>
          <w:lang w:val="es-CO"/>
        </w:rPr>
        <w:t>d</w:t>
      </w:r>
      <w:r w:rsidRPr="00F57FA4">
        <w:rPr>
          <w:rFonts w:eastAsia="Verdana" w:cs="Verdana"/>
          <w:szCs w:val="20"/>
          <w:lang w:val="es-CO"/>
        </w:rPr>
        <w:t>e incendio</w:t>
      </w:r>
      <w:r w:rsidR="009C0236">
        <w:rPr>
          <w:rFonts w:eastAsia="Verdana" w:cs="Verdana"/>
          <w:szCs w:val="20"/>
          <w:lang w:val="es-CO"/>
        </w:rPr>
        <w:t>.</w:t>
      </w:r>
    </w:p>
    <w:p w14:paraId="779ED9DF" w14:textId="77777777" w:rsidR="006F5633" w:rsidRPr="00F57FA4" w:rsidRDefault="006F5633" w:rsidP="006D31D9">
      <w:pPr>
        <w:pStyle w:val="ListParagraph"/>
        <w:rPr>
          <w:szCs w:val="20"/>
          <w:lang w:val="es-CO"/>
        </w:rPr>
      </w:pPr>
    </w:p>
    <w:p w14:paraId="241931C1" w14:textId="77777777" w:rsidR="006F5633" w:rsidRPr="00F57FA4" w:rsidRDefault="007B715F" w:rsidP="006D31D9">
      <w:pPr>
        <w:pStyle w:val="ListParagraph"/>
        <w:numPr>
          <w:ilvl w:val="0"/>
          <w:numId w:val="11"/>
        </w:numPr>
        <w:snapToGrid w:val="0"/>
        <w:contextualSpacing w:val="0"/>
        <w:rPr>
          <w:szCs w:val="20"/>
          <w:lang w:val="es-CO"/>
        </w:rPr>
      </w:pPr>
      <w:r w:rsidRPr="00F57FA4">
        <w:rPr>
          <w:szCs w:val="20"/>
          <w:lang w:val="es-CO"/>
        </w:rPr>
        <w:t xml:space="preserve">Se </w:t>
      </w:r>
      <w:r w:rsidR="00B22BE6" w:rsidRPr="00F57FA4">
        <w:rPr>
          <w:szCs w:val="20"/>
          <w:lang w:val="es-CO"/>
        </w:rPr>
        <w:t>verificó que al interior de los dormitorios, entre cada borde externo de las literas, los int</w:t>
      </w:r>
      <w:r w:rsidR="00C85F41" w:rsidRPr="00F57FA4">
        <w:rPr>
          <w:szCs w:val="20"/>
          <w:lang w:val="es-CO"/>
        </w:rPr>
        <w:t>ernos crean una especie de cama adicional que le permit</w:t>
      </w:r>
      <w:r w:rsidR="009C0236">
        <w:rPr>
          <w:szCs w:val="20"/>
          <w:lang w:val="es-CO"/>
        </w:rPr>
        <w:t>e</w:t>
      </w:r>
      <w:r w:rsidR="00C85F41" w:rsidRPr="00F57FA4">
        <w:rPr>
          <w:szCs w:val="20"/>
          <w:lang w:val="es-CO"/>
        </w:rPr>
        <w:t xml:space="preserve"> a uno de sus compañeros acomodarse. A raíz de la falta de espacio en las literas para guardar </w:t>
      </w:r>
      <w:r w:rsidR="00583636" w:rsidRPr="00F57FA4">
        <w:rPr>
          <w:szCs w:val="20"/>
          <w:lang w:val="es-CO"/>
        </w:rPr>
        <w:t xml:space="preserve">objetos personales </w:t>
      </w:r>
      <w:r w:rsidR="00C85F41" w:rsidRPr="00F57FA4">
        <w:rPr>
          <w:szCs w:val="20"/>
          <w:lang w:val="es-CO"/>
        </w:rPr>
        <w:t xml:space="preserve">de los internos, estos utilizan cajas o repisas de madera que atraen la presencia de insectos. </w:t>
      </w:r>
    </w:p>
    <w:p w14:paraId="759688C2" w14:textId="77777777" w:rsidR="004D3B8F" w:rsidRPr="00F57FA4" w:rsidRDefault="004D3B8F" w:rsidP="006D31D9">
      <w:pPr>
        <w:pStyle w:val="ListParagraph"/>
        <w:rPr>
          <w:szCs w:val="20"/>
          <w:lang w:val="es-CO"/>
        </w:rPr>
      </w:pPr>
    </w:p>
    <w:p w14:paraId="2B097DE7" w14:textId="77777777" w:rsidR="004D3B8F" w:rsidRPr="00F57FA4" w:rsidRDefault="00DC4A4A" w:rsidP="006D31D9">
      <w:pPr>
        <w:pStyle w:val="ListParagraph"/>
        <w:numPr>
          <w:ilvl w:val="0"/>
          <w:numId w:val="11"/>
        </w:numPr>
        <w:snapToGrid w:val="0"/>
        <w:contextualSpacing w:val="0"/>
        <w:rPr>
          <w:szCs w:val="20"/>
          <w:lang w:val="es-CO"/>
        </w:rPr>
      </w:pPr>
      <w:r w:rsidRPr="00F57FA4">
        <w:rPr>
          <w:szCs w:val="20"/>
          <w:lang w:val="es-CO"/>
        </w:rPr>
        <w:t>Los internos de los diferentes pabellones c</w:t>
      </w:r>
      <w:r w:rsidR="00C05B52" w:rsidRPr="00F57FA4">
        <w:rPr>
          <w:szCs w:val="20"/>
          <w:lang w:val="es-CO"/>
        </w:rPr>
        <w:t xml:space="preserve">uentan </w:t>
      </w:r>
      <w:r w:rsidRPr="00F57FA4">
        <w:rPr>
          <w:szCs w:val="20"/>
          <w:lang w:val="es-CO"/>
        </w:rPr>
        <w:t xml:space="preserve">en las instalaciones del IPPSC, </w:t>
      </w:r>
      <w:r w:rsidR="00C05B52" w:rsidRPr="00F57FA4">
        <w:rPr>
          <w:szCs w:val="20"/>
          <w:lang w:val="es-CO"/>
        </w:rPr>
        <w:t xml:space="preserve">con un patio abierto de una gran extensión que les permite </w:t>
      </w:r>
      <w:r w:rsidRPr="00F57FA4">
        <w:rPr>
          <w:szCs w:val="20"/>
          <w:lang w:val="es-CO"/>
        </w:rPr>
        <w:t>salir de sus celdas, realizar actividades y tomar el sol. Sin embargo en días de lluvia no pueden hacer uso del mismo y los internos deben permanecer en sus celdas.</w:t>
      </w:r>
    </w:p>
    <w:p w14:paraId="262FD179" w14:textId="77777777" w:rsidR="00E562B5" w:rsidRPr="00F57FA4" w:rsidRDefault="00E562B5" w:rsidP="006D31D9">
      <w:pPr>
        <w:snapToGrid w:val="0"/>
        <w:rPr>
          <w:szCs w:val="20"/>
          <w:highlight w:val="yellow"/>
          <w:lang w:val="es-CO"/>
        </w:rPr>
      </w:pPr>
    </w:p>
    <w:p w14:paraId="1383DE89" w14:textId="0C34CF96" w:rsidR="009A48F5" w:rsidRPr="00F57FA4" w:rsidRDefault="00B01705" w:rsidP="006D31D9">
      <w:pPr>
        <w:pStyle w:val="ListParagraph"/>
        <w:numPr>
          <w:ilvl w:val="0"/>
          <w:numId w:val="20"/>
        </w:numPr>
        <w:snapToGrid w:val="0"/>
        <w:ind w:left="0" w:firstLine="0"/>
        <w:contextualSpacing w:val="0"/>
        <w:rPr>
          <w:szCs w:val="20"/>
          <w:lang w:val="es-CO"/>
        </w:rPr>
      </w:pPr>
      <w:r w:rsidRPr="00F57FA4">
        <w:rPr>
          <w:szCs w:val="20"/>
          <w:lang w:val="es-CO"/>
        </w:rPr>
        <w:t xml:space="preserve">La Corte valora el intento del Estado de aumentar la eficacia del control judicial de las detenciones por medio de las audiencias de custodia, así como de recurrir con mayor </w:t>
      </w:r>
      <w:r w:rsidRPr="00F57FA4">
        <w:rPr>
          <w:szCs w:val="20"/>
          <w:lang w:val="es-CO"/>
        </w:rPr>
        <w:lastRenderedPageBreak/>
        <w:t xml:space="preserve">frecuencia a las medidas alternativas al encarcelamiento. De la misma manera, toma nota de los esfuerzos estatales </w:t>
      </w:r>
      <w:r w:rsidR="004C1AD7">
        <w:rPr>
          <w:szCs w:val="20"/>
          <w:lang w:val="es-CO"/>
        </w:rPr>
        <w:t>encaminados a</w:t>
      </w:r>
      <w:r w:rsidRPr="00F57FA4">
        <w:rPr>
          <w:szCs w:val="20"/>
          <w:lang w:val="es-CO"/>
        </w:rPr>
        <w:t xml:space="preserve"> crear más plazas para las personas privadas de libertad del Estado de Rio de Janeiro. Sin embargo, advierte que la población carcelaria </w:t>
      </w:r>
      <w:r w:rsidR="009A48F5" w:rsidRPr="00F57FA4">
        <w:rPr>
          <w:szCs w:val="20"/>
          <w:lang w:val="es-CO"/>
        </w:rPr>
        <w:t>no ha disminuido</w:t>
      </w:r>
      <w:r w:rsidRPr="00F57FA4">
        <w:rPr>
          <w:szCs w:val="20"/>
          <w:lang w:val="es-CO"/>
        </w:rPr>
        <w:t xml:space="preserve">. Al respecto, la Corte </w:t>
      </w:r>
      <w:r w:rsidR="009A48F5" w:rsidRPr="00F57FA4">
        <w:rPr>
          <w:szCs w:val="20"/>
          <w:lang w:val="es-CO"/>
        </w:rPr>
        <w:t xml:space="preserve">también hace notar que el Estado no ha presentado el Plan de </w:t>
      </w:r>
      <w:r w:rsidR="00981FF3" w:rsidRPr="00F57FA4">
        <w:rPr>
          <w:szCs w:val="20"/>
          <w:lang w:val="es-CO"/>
        </w:rPr>
        <w:t xml:space="preserve">Reducción de la </w:t>
      </w:r>
      <w:r w:rsidR="00D801F0">
        <w:rPr>
          <w:szCs w:val="20"/>
          <w:lang w:val="es-CO"/>
        </w:rPr>
        <w:t>Superpoblación</w:t>
      </w:r>
      <w:r w:rsidR="00981FF3" w:rsidRPr="00F57FA4">
        <w:rPr>
          <w:szCs w:val="20"/>
          <w:lang w:val="es-CO"/>
        </w:rPr>
        <w:t xml:space="preserve"> del Sistema Carcelario Fluminense, y en realidad se limitó a afirmar que no podría adoptar medidas específicas en relación con el Instituto Plácido de Sá Carvalho en </w:t>
      </w:r>
      <w:r w:rsidR="00767F2F" w:rsidRPr="00F57FA4">
        <w:rPr>
          <w:szCs w:val="20"/>
          <w:lang w:val="es-CO"/>
        </w:rPr>
        <w:t xml:space="preserve">perjuicio </w:t>
      </w:r>
      <w:r w:rsidR="00981FF3" w:rsidRPr="00F57FA4">
        <w:rPr>
          <w:szCs w:val="20"/>
          <w:lang w:val="es-CO"/>
        </w:rPr>
        <w:t xml:space="preserve">de una solución </w:t>
      </w:r>
      <w:r w:rsidR="009F2E52">
        <w:rPr>
          <w:szCs w:val="20"/>
          <w:lang w:val="es-CO"/>
        </w:rPr>
        <w:t>integral</w:t>
      </w:r>
      <w:r w:rsidR="00981FF3" w:rsidRPr="00F57FA4">
        <w:rPr>
          <w:szCs w:val="20"/>
          <w:lang w:val="es-CO"/>
        </w:rPr>
        <w:t xml:space="preserve">. </w:t>
      </w:r>
      <w:r w:rsidR="00767F2F" w:rsidRPr="00F57FA4">
        <w:rPr>
          <w:szCs w:val="20"/>
          <w:lang w:val="es-CO"/>
        </w:rPr>
        <w:t xml:space="preserve">No obstante, el Estado tampoco </w:t>
      </w:r>
      <w:r w:rsidR="009F2E52">
        <w:rPr>
          <w:szCs w:val="20"/>
          <w:lang w:val="es-CO"/>
        </w:rPr>
        <w:t xml:space="preserve">explicó </w:t>
      </w:r>
      <w:r w:rsidR="00767F2F" w:rsidRPr="00F57FA4">
        <w:rPr>
          <w:szCs w:val="20"/>
          <w:lang w:val="es-CO"/>
        </w:rPr>
        <w:t xml:space="preserve">cuáles serían las medidas necesarias para superar la situación de hacinamiento y </w:t>
      </w:r>
      <w:r w:rsidR="00D801F0">
        <w:rPr>
          <w:szCs w:val="20"/>
          <w:lang w:val="es-CO"/>
        </w:rPr>
        <w:t>superpoblación</w:t>
      </w:r>
      <w:r w:rsidR="00767F2F" w:rsidRPr="00F57FA4">
        <w:rPr>
          <w:szCs w:val="20"/>
          <w:lang w:val="es-CO"/>
        </w:rPr>
        <w:t xml:space="preserve"> del sistema carcelario de Río de Janeiro. </w:t>
      </w:r>
      <w:r w:rsidR="009E4151">
        <w:rPr>
          <w:szCs w:val="20"/>
          <w:lang w:val="es-CO"/>
        </w:rPr>
        <w:t xml:space="preserve"> </w:t>
      </w:r>
    </w:p>
    <w:p w14:paraId="44FCDD80" w14:textId="77777777" w:rsidR="009A48F5" w:rsidRPr="00F57FA4" w:rsidRDefault="009A48F5" w:rsidP="00767F2F">
      <w:pPr>
        <w:pStyle w:val="ListParagraph"/>
        <w:snapToGrid w:val="0"/>
        <w:ind w:left="0"/>
        <w:contextualSpacing w:val="0"/>
        <w:rPr>
          <w:szCs w:val="20"/>
          <w:lang w:val="es-CO"/>
        </w:rPr>
      </w:pPr>
    </w:p>
    <w:p w14:paraId="33CA4607" w14:textId="77777777" w:rsidR="00B01705" w:rsidRPr="00F57FA4" w:rsidRDefault="00767F2F" w:rsidP="006D31D9">
      <w:pPr>
        <w:pStyle w:val="ListParagraph"/>
        <w:numPr>
          <w:ilvl w:val="0"/>
          <w:numId w:val="20"/>
        </w:numPr>
        <w:snapToGrid w:val="0"/>
        <w:ind w:left="0" w:firstLine="0"/>
        <w:contextualSpacing w:val="0"/>
        <w:rPr>
          <w:szCs w:val="20"/>
          <w:lang w:val="es-CO"/>
        </w:rPr>
      </w:pPr>
      <w:r w:rsidRPr="00F57FA4">
        <w:rPr>
          <w:szCs w:val="20"/>
          <w:lang w:val="es-CO"/>
        </w:rPr>
        <w:t xml:space="preserve">La Corte </w:t>
      </w:r>
      <w:r w:rsidR="00B01705" w:rsidRPr="00F57FA4">
        <w:rPr>
          <w:szCs w:val="20"/>
          <w:lang w:val="es-CO"/>
        </w:rPr>
        <w:t xml:space="preserve">comparte la preocupación externada por autoridades brasileñas durante la diligencia </w:t>
      </w:r>
      <w:r w:rsidR="00651BF4" w:rsidRPr="00651BF4">
        <w:rPr>
          <w:i/>
          <w:szCs w:val="20"/>
          <w:lang w:val="es-CO"/>
        </w:rPr>
        <w:t>in situ</w:t>
      </w:r>
      <w:r w:rsidR="004C1AD7">
        <w:rPr>
          <w:i/>
          <w:szCs w:val="20"/>
          <w:lang w:val="es-CO"/>
        </w:rPr>
        <w:t xml:space="preserve">; </w:t>
      </w:r>
      <w:r w:rsidRPr="00F57FA4">
        <w:rPr>
          <w:szCs w:val="20"/>
          <w:lang w:val="es-CO"/>
        </w:rPr>
        <w:t xml:space="preserve">no </w:t>
      </w:r>
      <w:r w:rsidR="009F2E52">
        <w:rPr>
          <w:szCs w:val="20"/>
          <w:lang w:val="es-CO"/>
        </w:rPr>
        <w:t>basta</w:t>
      </w:r>
      <w:r w:rsidRPr="00F57FA4">
        <w:rPr>
          <w:szCs w:val="20"/>
          <w:lang w:val="es-CO"/>
        </w:rPr>
        <w:t xml:space="preserve"> la construcción de nuevos centros de detención, </w:t>
      </w:r>
      <w:r w:rsidR="004C1AD7">
        <w:rPr>
          <w:szCs w:val="20"/>
          <w:lang w:val="es-CO"/>
        </w:rPr>
        <w:t>teniendo en cuenta</w:t>
      </w:r>
      <w:r w:rsidRPr="00F57FA4">
        <w:rPr>
          <w:szCs w:val="20"/>
          <w:lang w:val="es-CO"/>
        </w:rPr>
        <w:t xml:space="preserve"> que </w:t>
      </w:r>
      <w:r w:rsidR="00B01705" w:rsidRPr="00F57FA4">
        <w:rPr>
          <w:szCs w:val="20"/>
          <w:lang w:val="es-CO"/>
        </w:rPr>
        <w:t xml:space="preserve">la creación de nuevas plazas no resultará suficiente y continuará el problema del hacinamiento y la </w:t>
      </w:r>
      <w:r w:rsidR="00D801F0">
        <w:rPr>
          <w:szCs w:val="20"/>
          <w:lang w:val="es-CO"/>
        </w:rPr>
        <w:t>superpoblación</w:t>
      </w:r>
      <w:r w:rsidR="00B01705" w:rsidRPr="00F57FA4">
        <w:rPr>
          <w:szCs w:val="20"/>
          <w:lang w:val="es-CO"/>
        </w:rPr>
        <w:t xml:space="preserve">. </w:t>
      </w:r>
      <w:r w:rsidR="004C1AD7">
        <w:rPr>
          <w:szCs w:val="20"/>
          <w:lang w:val="es-CO"/>
        </w:rPr>
        <w:t>E</w:t>
      </w:r>
      <w:r w:rsidR="00836D2A" w:rsidRPr="00F57FA4">
        <w:rPr>
          <w:szCs w:val="20"/>
          <w:lang w:val="es-CO"/>
        </w:rPr>
        <w:t xml:space="preserve">n lo que se refiere al Instituto Penal Plácido de Sá Carvalho, el Estado no ha demostrado la adopción de medidas concretas para reducir el hacinamiento y mejorar las condiciones de detención en ese centro. Pasados seis meses desde la adopción de las presentes medidas provisionales, </w:t>
      </w:r>
      <w:r w:rsidR="00704490">
        <w:rPr>
          <w:szCs w:val="20"/>
          <w:lang w:val="es-CO"/>
        </w:rPr>
        <w:t xml:space="preserve">las omisiones del Estado </w:t>
      </w:r>
      <w:r w:rsidR="00836D2A" w:rsidRPr="00F57FA4">
        <w:rPr>
          <w:szCs w:val="20"/>
          <w:lang w:val="es-CO"/>
        </w:rPr>
        <w:t>denota</w:t>
      </w:r>
      <w:r w:rsidR="00704490">
        <w:rPr>
          <w:szCs w:val="20"/>
          <w:lang w:val="es-CO"/>
        </w:rPr>
        <w:t xml:space="preserve">n </w:t>
      </w:r>
      <w:r w:rsidR="00836D2A" w:rsidRPr="00F57FA4">
        <w:rPr>
          <w:szCs w:val="20"/>
          <w:lang w:val="es-CO"/>
        </w:rPr>
        <w:t>una</w:t>
      </w:r>
      <w:r w:rsidR="00704490">
        <w:rPr>
          <w:szCs w:val="20"/>
          <w:lang w:val="es-CO"/>
        </w:rPr>
        <w:t xml:space="preserve"> clara desidia respecto de sus obligaciones internacionales. </w:t>
      </w:r>
      <w:r w:rsidR="00836D2A" w:rsidRPr="00F57FA4">
        <w:rPr>
          <w:szCs w:val="20"/>
          <w:lang w:val="es-CO"/>
        </w:rPr>
        <w:t xml:space="preserve"> </w:t>
      </w:r>
    </w:p>
    <w:p w14:paraId="71ED3BCE" w14:textId="77777777" w:rsidR="00836D2A" w:rsidRPr="00F57FA4" w:rsidRDefault="00836D2A" w:rsidP="00836D2A">
      <w:pPr>
        <w:pStyle w:val="ListParagraph"/>
        <w:rPr>
          <w:szCs w:val="20"/>
          <w:lang w:val="es-CO"/>
        </w:rPr>
      </w:pPr>
    </w:p>
    <w:p w14:paraId="351C2FB1" w14:textId="23AE3AAF" w:rsidR="00836D2A" w:rsidRPr="00F57FA4" w:rsidRDefault="00836D2A" w:rsidP="006D31D9">
      <w:pPr>
        <w:pStyle w:val="ListParagraph"/>
        <w:numPr>
          <w:ilvl w:val="0"/>
          <w:numId w:val="20"/>
        </w:numPr>
        <w:snapToGrid w:val="0"/>
        <w:ind w:left="0" w:firstLine="0"/>
        <w:contextualSpacing w:val="0"/>
        <w:rPr>
          <w:szCs w:val="20"/>
          <w:lang w:val="es-CO"/>
        </w:rPr>
      </w:pPr>
      <w:r w:rsidRPr="00F57FA4">
        <w:rPr>
          <w:szCs w:val="20"/>
          <w:lang w:val="es-CO"/>
        </w:rPr>
        <w:t xml:space="preserve">Además de la información aportada por los representantes y el Estado, la Corte constata que la reducción en el número de internos presentes en el Instituto durante la visita de la delegación de la Corte </w:t>
      </w:r>
      <w:r w:rsidR="00704490">
        <w:rPr>
          <w:szCs w:val="20"/>
          <w:lang w:val="es-CO"/>
        </w:rPr>
        <w:t>fue artificial</w:t>
      </w:r>
      <w:r w:rsidRPr="00F57FA4">
        <w:rPr>
          <w:szCs w:val="20"/>
          <w:lang w:val="es-CO"/>
        </w:rPr>
        <w:t xml:space="preserve">. </w:t>
      </w:r>
      <w:r w:rsidR="00704490">
        <w:rPr>
          <w:szCs w:val="20"/>
          <w:lang w:val="es-CO"/>
        </w:rPr>
        <w:t>S</w:t>
      </w:r>
      <w:r w:rsidR="005E5BBC" w:rsidRPr="00F57FA4">
        <w:rPr>
          <w:szCs w:val="20"/>
          <w:lang w:val="es-CO"/>
        </w:rPr>
        <w:t>e verificó que un gran número de internos fueron trasladados a otro centro penal antes de la visita y</w:t>
      </w:r>
      <w:r w:rsidR="00704490">
        <w:rPr>
          <w:szCs w:val="20"/>
          <w:lang w:val="es-CO"/>
        </w:rPr>
        <w:t xml:space="preserve"> trasladados de vuelta al IPPSC e</w:t>
      </w:r>
      <w:r w:rsidR="005E5BBC" w:rsidRPr="00F57FA4">
        <w:rPr>
          <w:szCs w:val="20"/>
          <w:lang w:val="es-CO"/>
        </w:rPr>
        <w:t xml:space="preserve">l día posterior a la misma. </w:t>
      </w:r>
      <w:r w:rsidR="00400744">
        <w:rPr>
          <w:szCs w:val="20"/>
          <w:lang w:val="es-CO"/>
        </w:rPr>
        <w:t>Por otro lado, para la Corte resultan inaceptables l</w:t>
      </w:r>
      <w:r w:rsidR="005E5BBC" w:rsidRPr="00F57FA4">
        <w:rPr>
          <w:szCs w:val="20"/>
          <w:lang w:val="es-CO"/>
        </w:rPr>
        <w:t>as listas de internos presentadas por el Estado</w:t>
      </w:r>
      <w:r w:rsidR="00400744">
        <w:rPr>
          <w:szCs w:val="20"/>
          <w:lang w:val="es-CO"/>
        </w:rPr>
        <w:t xml:space="preserve">; éstas </w:t>
      </w:r>
      <w:r w:rsidR="005E5BBC" w:rsidRPr="00F57FA4">
        <w:rPr>
          <w:szCs w:val="20"/>
          <w:lang w:val="es-CO"/>
        </w:rPr>
        <w:t>no reflejan un control detallado y serio de la entrada y salida de internos. Las listas remitidas por Brasil a solicitud de la Corte contienen problemas serios que no permiten a la Corte considerarlas idóneas</w:t>
      </w:r>
      <w:r w:rsidR="001E00C3">
        <w:rPr>
          <w:rStyle w:val="FootnoteReference"/>
        </w:rPr>
        <w:footnoteReference w:id="11"/>
      </w:r>
      <w:r w:rsidR="006423B9">
        <w:rPr>
          <w:szCs w:val="20"/>
          <w:lang w:val="es-CO"/>
        </w:rPr>
        <w:t>.</w:t>
      </w:r>
    </w:p>
    <w:p w14:paraId="155E7BD6" w14:textId="77777777" w:rsidR="00B01705" w:rsidRPr="00F57FA4" w:rsidRDefault="00B01705" w:rsidP="006D31D9">
      <w:pPr>
        <w:pStyle w:val="ListParagraph"/>
        <w:snapToGrid w:val="0"/>
        <w:ind w:left="0"/>
        <w:contextualSpacing w:val="0"/>
        <w:rPr>
          <w:szCs w:val="20"/>
          <w:lang w:val="es-CO"/>
        </w:rPr>
      </w:pPr>
    </w:p>
    <w:p w14:paraId="64C16EBF" w14:textId="77777777" w:rsidR="00B01705" w:rsidRPr="00F57FA4" w:rsidRDefault="00B01705" w:rsidP="006D31D9">
      <w:pPr>
        <w:pStyle w:val="ListParagraph"/>
        <w:numPr>
          <w:ilvl w:val="0"/>
          <w:numId w:val="20"/>
        </w:numPr>
        <w:snapToGrid w:val="0"/>
        <w:ind w:left="0" w:firstLine="0"/>
        <w:contextualSpacing w:val="0"/>
        <w:rPr>
          <w:szCs w:val="20"/>
          <w:lang w:val="es-CO"/>
        </w:rPr>
      </w:pPr>
      <w:r w:rsidRPr="00F57FA4">
        <w:rPr>
          <w:lang w:val="es-CO"/>
        </w:rPr>
        <w:t xml:space="preserve">En ese sentido y teniendo presente </w:t>
      </w:r>
      <w:r w:rsidR="00FA4D6A">
        <w:rPr>
          <w:lang w:val="es-CO"/>
        </w:rPr>
        <w:t>el requerimiento expresado en la Resolución de 1</w:t>
      </w:r>
      <w:r w:rsidR="00CA3DEA">
        <w:rPr>
          <w:lang w:val="es-CO"/>
        </w:rPr>
        <w:t>3</w:t>
      </w:r>
      <w:r w:rsidR="00FA4D6A">
        <w:rPr>
          <w:lang w:val="es-CO"/>
        </w:rPr>
        <w:t xml:space="preserve"> de febrero de 2017 y </w:t>
      </w:r>
      <w:r w:rsidRPr="00F57FA4">
        <w:rPr>
          <w:lang w:val="es-CO"/>
        </w:rPr>
        <w:t xml:space="preserve">las condiciones verificadas por la delegación de la Corte, el Tribunal considera necesario que dentro de los próximos tres meses el Estado elabore un </w:t>
      </w:r>
      <w:r w:rsidR="00FA4D6A" w:rsidRPr="00FA4D6A">
        <w:rPr>
          <w:b/>
          <w:lang w:val="es-CO"/>
        </w:rPr>
        <w:t>D</w:t>
      </w:r>
      <w:r w:rsidRPr="00FA4D6A">
        <w:rPr>
          <w:b/>
          <w:lang w:val="es-CO"/>
        </w:rPr>
        <w:t xml:space="preserve">iagnóstico </w:t>
      </w:r>
      <w:r w:rsidR="00FA4D6A" w:rsidRPr="00FA4D6A">
        <w:rPr>
          <w:b/>
          <w:lang w:val="es-CO"/>
        </w:rPr>
        <w:t>T</w:t>
      </w:r>
      <w:r w:rsidRPr="00FA4D6A">
        <w:rPr>
          <w:b/>
          <w:lang w:val="es-CO"/>
        </w:rPr>
        <w:t>écnico</w:t>
      </w:r>
      <w:r w:rsidRPr="00F57FA4">
        <w:rPr>
          <w:lang w:val="es-CO"/>
        </w:rPr>
        <w:t xml:space="preserve"> y</w:t>
      </w:r>
      <w:r w:rsidR="00C94CEB">
        <w:rPr>
          <w:lang w:val="es-CO"/>
        </w:rPr>
        <w:t xml:space="preserve"> con base en los resultados de éste, elabore un</w:t>
      </w:r>
      <w:r w:rsidRPr="00F57FA4">
        <w:rPr>
          <w:lang w:val="es-CO"/>
        </w:rPr>
        <w:t xml:space="preserve"> </w:t>
      </w:r>
      <w:r w:rsidR="00FA4D6A" w:rsidRPr="00FA4D6A">
        <w:rPr>
          <w:b/>
          <w:lang w:val="es-CO"/>
        </w:rPr>
        <w:t>P</w:t>
      </w:r>
      <w:r w:rsidRPr="00FA4D6A">
        <w:rPr>
          <w:b/>
          <w:lang w:val="es-CO"/>
        </w:rPr>
        <w:t xml:space="preserve">lan de </w:t>
      </w:r>
      <w:r w:rsidR="00FA4D6A" w:rsidRPr="00FA4D6A">
        <w:rPr>
          <w:b/>
          <w:szCs w:val="20"/>
          <w:lang w:val="es-CO"/>
        </w:rPr>
        <w:t>C</w:t>
      </w:r>
      <w:r w:rsidRPr="00FA4D6A">
        <w:rPr>
          <w:b/>
          <w:szCs w:val="20"/>
          <w:lang w:val="es-CO"/>
        </w:rPr>
        <w:t>ontingencia</w:t>
      </w:r>
      <w:r w:rsidRPr="00F57FA4">
        <w:rPr>
          <w:lang w:val="es-CO"/>
        </w:rPr>
        <w:t xml:space="preserve"> </w:t>
      </w:r>
      <w:r w:rsidR="00C94CEB">
        <w:rPr>
          <w:lang w:val="es-CO"/>
        </w:rPr>
        <w:t>para la</w:t>
      </w:r>
      <w:r w:rsidR="00C94CEB" w:rsidRPr="00F57FA4">
        <w:rPr>
          <w:lang w:val="es-CO"/>
        </w:rPr>
        <w:t xml:space="preserve"> </w:t>
      </w:r>
      <w:r w:rsidRPr="00F57FA4">
        <w:rPr>
          <w:lang w:val="es-CO"/>
        </w:rPr>
        <w:t xml:space="preserve">reforma estructural y de reducción de la </w:t>
      </w:r>
      <w:r w:rsidR="00D801F0">
        <w:rPr>
          <w:lang w:val="es-CO"/>
        </w:rPr>
        <w:t>superpoblación</w:t>
      </w:r>
      <w:r w:rsidRPr="00F57FA4">
        <w:rPr>
          <w:lang w:val="es-CO"/>
        </w:rPr>
        <w:t xml:space="preserve"> y hacinamiento en</w:t>
      </w:r>
      <w:r w:rsidRPr="00F57FA4">
        <w:rPr>
          <w:szCs w:val="20"/>
          <w:lang w:val="es-CO"/>
        </w:rPr>
        <w:t xml:space="preserve"> </w:t>
      </w:r>
      <w:r w:rsidR="00C94CEB">
        <w:rPr>
          <w:szCs w:val="20"/>
          <w:lang w:val="es-CO"/>
        </w:rPr>
        <w:t xml:space="preserve">el </w:t>
      </w:r>
      <w:r w:rsidRPr="00F57FA4">
        <w:rPr>
          <w:szCs w:val="20"/>
          <w:lang w:val="es-CO"/>
        </w:rPr>
        <w:t xml:space="preserve">Instituto Penal Plácido de Sá Carvalho. </w:t>
      </w:r>
      <w:r w:rsidRPr="00F57FA4">
        <w:rPr>
          <w:lang w:val="es-CO"/>
        </w:rPr>
        <w:t>Este plan debe prever la re</w:t>
      </w:r>
      <w:r w:rsidR="00C94CEB">
        <w:rPr>
          <w:lang w:val="es-CO"/>
        </w:rPr>
        <w:t>modelación</w:t>
      </w:r>
      <w:r w:rsidRPr="00F57FA4">
        <w:rPr>
          <w:lang w:val="es-CO"/>
        </w:rPr>
        <w:t xml:space="preserve"> de todos los pabellones, celdas y espacios comunes</w:t>
      </w:r>
      <w:r w:rsidR="00C94CEB">
        <w:rPr>
          <w:lang w:val="es-CO"/>
        </w:rPr>
        <w:t xml:space="preserve">. Asimismo, el plan deberá contemplar </w:t>
      </w:r>
      <w:r w:rsidRPr="00F57FA4">
        <w:rPr>
          <w:lang w:val="es-CO"/>
        </w:rPr>
        <w:t xml:space="preserve">la reducción substancial del número de internos. La capacidad máxima de internos debe ser determinada en atención a los indicadores concretos establecidos en el artículo 85 de la Resolución No. 09/2011 del </w:t>
      </w:r>
      <w:r w:rsidR="00C94CEB" w:rsidRPr="00CC58FD">
        <w:rPr>
          <w:lang w:val="es-ES_tradnl"/>
        </w:rPr>
        <w:t xml:space="preserve">Consejo Nacional de Política Criminal y Penitenciaria </w:t>
      </w:r>
      <w:r w:rsidR="00C94CEB">
        <w:rPr>
          <w:lang w:val="es-ES_tradnl"/>
        </w:rPr>
        <w:t>(</w:t>
      </w:r>
      <w:r w:rsidRPr="00F57FA4">
        <w:rPr>
          <w:lang w:val="es-CO"/>
        </w:rPr>
        <w:t>CNPCP</w:t>
      </w:r>
      <w:r w:rsidR="00C94CEB">
        <w:rPr>
          <w:lang w:val="es-CO"/>
        </w:rPr>
        <w:t>)</w:t>
      </w:r>
      <w:r w:rsidRPr="00F57FA4">
        <w:rPr>
          <w:vertAlign w:val="superscript"/>
          <w:lang w:val="es-CO"/>
        </w:rPr>
        <w:footnoteReference w:id="12"/>
      </w:r>
      <w:r w:rsidR="00CA3DEA">
        <w:rPr>
          <w:lang w:val="es-CO"/>
        </w:rPr>
        <w:t>.</w:t>
      </w:r>
      <w:r w:rsidRPr="00F57FA4">
        <w:rPr>
          <w:lang w:val="es-CO"/>
        </w:rPr>
        <w:t xml:space="preserve"> </w:t>
      </w:r>
      <w:r w:rsidR="002B197D">
        <w:rPr>
          <w:lang w:val="es-CO"/>
        </w:rPr>
        <w:t xml:space="preserve">Una vez diseñado el </w:t>
      </w:r>
      <w:r w:rsidR="00CA3DEA">
        <w:rPr>
          <w:lang w:val="es-CO"/>
        </w:rPr>
        <w:t>Plan</w:t>
      </w:r>
      <w:r w:rsidR="002B197D">
        <w:rPr>
          <w:lang w:val="es-CO"/>
        </w:rPr>
        <w:t xml:space="preserve">, debe ser </w:t>
      </w:r>
      <w:r w:rsidRPr="00F57FA4">
        <w:rPr>
          <w:lang w:val="es-CO"/>
        </w:rPr>
        <w:t>implementa</w:t>
      </w:r>
      <w:r w:rsidR="002B197D">
        <w:rPr>
          <w:lang w:val="es-CO"/>
        </w:rPr>
        <w:t xml:space="preserve">do con carácter </w:t>
      </w:r>
      <w:r w:rsidR="002B197D">
        <w:rPr>
          <w:lang w:val="es-CO"/>
        </w:rPr>
        <w:lastRenderedPageBreak/>
        <w:t>prioritario. E</w:t>
      </w:r>
      <w:r w:rsidRPr="00F57FA4">
        <w:rPr>
          <w:lang w:val="es-CO"/>
        </w:rPr>
        <w:t xml:space="preserve">l </w:t>
      </w:r>
      <w:r w:rsidR="00836D2A" w:rsidRPr="00F57FA4">
        <w:rPr>
          <w:lang w:val="es-CO"/>
        </w:rPr>
        <w:t>Comité Colegiado</w:t>
      </w:r>
      <w:r w:rsidR="002B197D">
        <w:rPr>
          <w:lang w:val="es-CO"/>
        </w:rPr>
        <w:t xml:space="preserve"> deberá encargarse del respectivo monitoreo de su ejecución.</w:t>
      </w:r>
      <w:r w:rsidRPr="00F57FA4">
        <w:rPr>
          <w:lang w:val="es-CO"/>
        </w:rPr>
        <w:t xml:space="preserve"> </w:t>
      </w:r>
      <w:r w:rsidR="005E5BBC" w:rsidRPr="00F57FA4">
        <w:rPr>
          <w:lang w:val="es-CO"/>
        </w:rPr>
        <w:t xml:space="preserve">En resumen, el Estado debe avanzar de manera más célere para reducir el hacinamiento y </w:t>
      </w:r>
      <w:r w:rsidR="00D801F0">
        <w:rPr>
          <w:lang w:val="es-CO"/>
        </w:rPr>
        <w:t>superpoblación</w:t>
      </w:r>
      <w:r w:rsidR="005E5BBC" w:rsidRPr="00F57FA4">
        <w:rPr>
          <w:lang w:val="es-CO"/>
        </w:rPr>
        <w:t xml:space="preserve"> </w:t>
      </w:r>
      <w:r w:rsidR="002026D1" w:rsidRPr="00F57FA4">
        <w:rPr>
          <w:lang w:val="es-CO"/>
        </w:rPr>
        <w:t>existente en el Instituto.</w:t>
      </w:r>
      <w:r w:rsidR="002B197D">
        <w:rPr>
          <w:lang w:val="es-CO"/>
        </w:rPr>
        <w:t xml:space="preserve"> En concordancia con su jurisprudencia constante, esta Corte subraya que e</w:t>
      </w:r>
      <w:r w:rsidR="002B197D" w:rsidRPr="00FA4D6A">
        <w:rPr>
          <w:lang w:val="es-CO"/>
        </w:rPr>
        <w:t xml:space="preserve">l Estado no puede alegar </w:t>
      </w:r>
      <w:r w:rsidR="002026D1" w:rsidRPr="00FA4D6A">
        <w:rPr>
          <w:lang w:val="es-CO"/>
        </w:rPr>
        <w:t>dificultades financieras</w:t>
      </w:r>
      <w:r w:rsidR="002B197D" w:rsidRPr="00FA4D6A">
        <w:rPr>
          <w:lang w:val="es-CO"/>
        </w:rPr>
        <w:t xml:space="preserve"> para justificar el incumplimiento de sus obligaciones internacionales</w:t>
      </w:r>
      <w:r w:rsidR="00813AD9" w:rsidRPr="00FA4D6A">
        <w:rPr>
          <w:rStyle w:val="FootnoteReference"/>
        </w:rPr>
        <w:footnoteReference w:id="13"/>
      </w:r>
      <w:r w:rsidR="00FA4D6A" w:rsidRPr="00FA4D6A">
        <w:rPr>
          <w:lang w:val="es-CO"/>
        </w:rPr>
        <w:t>.</w:t>
      </w:r>
      <w:r w:rsidR="002B197D" w:rsidRPr="00FA4D6A">
        <w:rPr>
          <w:lang w:val="es-CO"/>
        </w:rPr>
        <w:t xml:space="preserve"> Concretamente, los </w:t>
      </w:r>
      <w:r w:rsidR="00BF6137" w:rsidRPr="00FA4D6A">
        <w:rPr>
          <w:lang w:val="es-CO"/>
        </w:rPr>
        <w:t>alegados</w:t>
      </w:r>
      <w:r w:rsidR="004576EE" w:rsidRPr="00FA4D6A">
        <w:rPr>
          <w:lang w:val="es-CO"/>
        </w:rPr>
        <w:t xml:space="preserve"> </w:t>
      </w:r>
      <w:r w:rsidR="002B197D" w:rsidRPr="00FA4D6A">
        <w:rPr>
          <w:lang w:val="es-CO"/>
        </w:rPr>
        <w:t>obstáculos presupuestarios del</w:t>
      </w:r>
      <w:r w:rsidR="002026D1" w:rsidRPr="00FA4D6A">
        <w:rPr>
          <w:lang w:val="es-CO"/>
        </w:rPr>
        <w:t xml:space="preserve"> Estado de Río de Janeiro no pueden ser usad</w:t>
      </w:r>
      <w:r w:rsidR="00813AD9" w:rsidRPr="00FA4D6A">
        <w:rPr>
          <w:lang w:val="es-CO"/>
        </w:rPr>
        <w:t>o</w:t>
      </w:r>
      <w:r w:rsidR="002026D1" w:rsidRPr="00FA4D6A">
        <w:rPr>
          <w:lang w:val="es-CO"/>
        </w:rPr>
        <w:t>s como e</w:t>
      </w:r>
      <w:r w:rsidR="00813AD9" w:rsidRPr="00FA4D6A">
        <w:rPr>
          <w:lang w:val="es-CO"/>
        </w:rPr>
        <w:t>x</w:t>
      </w:r>
      <w:r w:rsidR="002026D1" w:rsidRPr="00FA4D6A">
        <w:rPr>
          <w:lang w:val="es-CO"/>
        </w:rPr>
        <w:t xml:space="preserve">cusa para </w:t>
      </w:r>
      <w:r w:rsidR="00813AD9" w:rsidRPr="00FA4D6A">
        <w:rPr>
          <w:lang w:val="es-CO"/>
        </w:rPr>
        <w:t>el incumplimiento de las</w:t>
      </w:r>
      <w:r w:rsidR="002026D1" w:rsidRPr="00FA4D6A">
        <w:rPr>
          <w:lang w:val="es-CO"/>
        </w:rPr>
        <w:t xml:space="preserve"> presentes medidas provisionales.</w:t>
      </w:r>
      <w:r w:rsidR="002026D1" w:rsidRPr="00F57FA4">
        <w:rPr>
          <w:lang w:val="es-CO"/>
        </w:rPr>
        <w:t xml:space="preserve"> </w:t>
      </w:r>
    </w:p>
    <w:p w14:paraId="6BC28374" w14:textId="77777777" w:rsidR="00B01705" w:rsidRPr="00F57FA4" w:rsidRDefault="00B01705" w:rsidP="006D31D9">
      <w:pPr>
        <w:pStyle w:val="Default"/>
        <w:ind w:left="720"/>
        <w:rPr>
          <w:b/>
          <w:sz w:val="20"/>
          <w:szCs w:val="20"/>
          <w:lang w:val="es-CO"/>
        </w:rPr>
      </w:pPr>
    </w:p>
    <w:p w14:paraId="2039F2D4" w14:textId="77777777" w:rsidR="00F04E28" w:rsidRPr="00F57FA4" w:rsidRDefault="00F04E28" w:rsidP="006D31D9">
      <w:pPr>
        <w:pStyle w:val="Default"/>
        <w:numPr>
          <w:ilvl w:val="0"/>
          <w:numId w:val="9"/>
        </w:numPr>
        <w:rPr>
          <w:b/>
          <w:sz w:val="20"/>
          <w:szCs w:val="20"/>
          <w:lang w:val="es-CO"/>
        </w:rPr>
      </w:pPr>
      <w:r w:rsidRPr="00F57FA4">
        <w:rPr>
          <w:b/>
          <w:i/>
          <w:iCs/>
          <w:sz w:val="20"/>
          <w:szCs w:val="20"/>
          <w:lang w:val="es-CO"/>
        </w:rPr>
        <w:t>A</w:t>
      </w:r>
      <w:r w:rsidR="002026D1" w:rsidRPr="00F57FA4">
        <w:rPr>
          <w:b/>
          <w:i/>
          <w:iCs/>
          <w:sz w:val="20"/>
          <w:szCs w:val="20"/>
          <w:lang w:val="es-CO"/>
        </w:rPr>
        <w:t xml:space="preserve">tención de </w:t>
      </w:r>
      <w:r w:rsidRPr="00F57FA4">
        <w:rPr>
          <w:b/>
          <w:i/>
          <w:iCs/>
          <w:sz w:val="20"/>
          <w:szCs w:val="20"/>
          <w:lang w:val="es-CO"/>
        </w:rPr>
        <w:t xml:space="preserve">la salud </w:t>
      </w:r>
      <w:r w:rsidR="00F807EC">
        <w:rPr>
          <w:b/>
          <w:i/>
          <w:iCs/>
          <w:sz w:val="20"/>
          <w:szCs w:val="20"/>
          <w:lang w:val="es-CO"/>
        </w:rPr>
        <w:t xml:space="preserve">e higiene </w:t>
      </w:r>
    </w:p>
    <w:p w14:paraId="6A2561E4" w14:textId="77777777" w:rsidR="00F04E28" w:rsidRPr="00F57FA4" w:rsidRDefault="00F04E28" w:rsidP="006D31D9">
      <w:pPr>
        <w:pStyle w:val="ListParagraph"/>
        <w:snapToGrid w:val="0"/>
        <w:rPr>
          <w:szCs w:val="20"/>
          <w:lang w:val="es-CO"/>
        </w:rPr>
      </w:pPr>
    </w:p>
    <w:p w14:paraId="37294E7B" w14:textId="77777777" w:rsidR="00F04E28" w:rsidRPr="00F57FA4" w:rsidRDefault="00F04E28" w:rsidP="006D31D9">
      <w:pPr>
        <w:pStyle w:val="ListParagraph"/>
        <w:numPr>
          <w:ilvl w:val="0"/>
          <w:numId w:val="20"/>
        </w:numPr>
        <w:snapToGrid w:val="0"/>
        <w:ind w:left="0" w:firstLine="0"/>
        <w:contextualSpacing w:val="0"/>
        <w:rPr>
          <w:szCs w:val="20"/>
          <w:lang w:val="es-CO"/>
        </w:rPr>
      </w:pPr>
      <w:r w:rsidRPr="00F57FA4">
        <w:rPr>
          <w:szCs w:val="20"/>
          <w:lang w:val="es-CO"/>
        </w:rPr>
        <w:t xml:space="preserve">La </w:t>
      </w:r>
      <w:r w:rsidRPr="00F57FA4">
        <w:rPr>
          <w:b/>
          <w:i/>
          <w:szCs w:val="20"/>
          <w:lang w:val="es-CO"/>
        </w:rPr>
        <w:t>Corte</w:t>
      </w:r>
      <w:r w:rsidRPr="00F57FA4">
        <w:rPr>
          <w:szCs w:val="20"/>
          <w:lang w:val="es-CO"/>
        </w:rPr>
        <w:t xml:space="preserve"> det</w:t>
      </w:r>
      <w:r w:rsidR="00E562B5" w:rsidRPr="00F57FA4">
        <w:rPr>
          <w:szCs w:val="20"/>
          <w:lang w:val="es-CO"/>
        </w:rPr>
        <w:t xml:space="preserve">erminó, en el </w:t>
      </w:r>
      <w:r w:rsidR="002026D1" w:rsidRPr="00F57FA4">
        <w:rPr>
          <w:szCs w:val="20"/>
          <w:lang w:val="es-CO"/>
        </w:rPr>
        <w:t xml:space="preserve">Considerando </w:t>
      </w:r>
      <w:r w:rsidR="00E562B5" w:rsidRPr="00F57FA4">
        <w:rPr>
          <w:szCs w:val="20"/>
          <w:lang w:val="es-CO"/>
        </w:rPr>
        <w:t xml:space="preserve">18 de la </w:t>
      </w:r>
      <w:r w:rsidR="002026D1" w:rsidRPr="00F57FA4">
        <w:rPr>
          <w:szCs w:val="20"/>
          <w:lang w:val="es-CO"/>
        </w:rPr>
        <w:t>R</w:t>
      </w:r>
      <w:r w:rsidRPr="00F57FA4">
        <w:rPr>
          <w:szCs w:val="20"/>
          <w:lang w:val="es-CO"/>
        </w:rPr>
        <w:t xml:space="preserve">esolución de 13 de febrero de 2017, que el Estado debería </w:t>
      </w:r>
      <w:r w:rsidR="009F2112" w:rsidRPr="00F57FA4">
        <w:rPr>
          <w:szCs w:val="20"/>
          <w:lang w:val="es-CO"/>
        </w:rPr>
        <w:t>“</w:t>
      </w:r>
      <w:r w:rsidRPr="00F57FA4">
        <w:rPr>
          <w:szCs w:val="20"/>
          <w:lang w:val="es-CO"/>
        </w:rPr>
        <w:t>asegurar el acceso de servicios de salud a personas que padecen de enfermedades graves</w:t>
      </w:r>
      <w:r w:rsidR="002026D1" w:rsidRPr="00F57FA4">
        <w:rPr>
          <w:szCs w:val="20"/>
          <w:lang w:val="es-CO"/>
        </w:rPr>
        <w:t xml:space="preserve"> [y]</w:t>
      </w:r>
      <w:r w:rsidRPr="00F57FA4">
        <w:rPr>
          <w:szCs w:val="20"/>
          <w:lang w:val="es-CO"/>
        </w:rPr>
        <w:t xml:space="preserve"> evitar la propagación de enfermedades</w:t>
      </w:r>
      <w:r w:rsidR="009F2112" w:rsidRPr="00F57FA4">
        <w:rPr>
          <w:szCs w:val="20"/>
          <w:lang w:val="es-CO"/>
        </w:rPr>
        <w:t xml:space="preserve"> contagiosas entre los internos</w:t>
      </w:r>
      <w:r w:rsidR="004576EE">
        <w:rPr>
          <w:szCs w:val="20"/>
          <w:lang w:val="es-CO"/>
        </w:rPr>
        <w:t>.</w:t>
      </w:r>
      <w:r w:rsidR="009F2112" w:rsidRPr="00F57FA4">
        <w:rPr>
          <w:szCs w:val="20"/>
          <w:lang w:val="es-CO"/>
        </w:rPr>
        <w:t>”</w:t>
      </w:r>
    </w:p>
    <w:p w14:paraId="46B498AE" w14:textId="77777777" w:rsidR="00F04E28" w:rsidRPr="00F57FA4" w:rsidRDefault="00F04E28" w:rsidP="006D31D9">
      <w:pPr>
        <w:pStyle w:val="ListParagraph"/>
        <w:snapToGrid w:val="0"/>
        <w:ind w:left="0"/>
        <w:contextualSpacing w:val="0"/>
        <w:rPr>
          <w:szCs w:val="20"/>
          <w:lang w:val="es-CO"/>
        </w:rPr>
      </w:pPr>
    </w:p>
    <w:p w14:paraId="19521671" w14:textId="77777777" w:rsidR="005D7CB5" w:rsidRPr="00F57FA4" w:rsidRDefault="00F04E28" w:rsidP="006D31D9">
      <w:pPr>
        <w:pStyle w:val="ListParagraph"/>
        <w:numPr>
          <w:ilvl w:val="0"/>
          <w:numId w:val="20"/>
        </w:numPr>
        <w:snapToGrid w:val="0"/>
        <w:ind w:left="0" w:firstLine="0"/>
        <w:contextualSpacing w:val="0"/>
        <w:rPr>
          <w:szCs w:val="20"/>
          <w:lang w:val="es-CO"/>
        </w:rPr>
      </w:pPr>
      <w:r w:rsidRPr="00F57FA4">
        <w:rPr>
          <w:lang w:val="es-CO"/>
        </w:rPr>
        <w:t xml:space="preserve">El </w:t>
      </w:r>
      <w:r w:rsidRPr="00F57FA4">
        <w:rPr>
          <w:b/>
          <w:i/>
          <w:lang w:val="es-CO"/>
        </w:rPr>
        <w:t>Estado</w:t>
      </w:r>
      <w:r w:rsidRPr="00F57FA4">
        <w:rPr>
          <w:lang w:val="es-CO"/>
        </w:rPr>
        <w:t xml:space="preserve"> </w:t>
      </w:r>
      <w:r w:rsidR="009F2112" w:rsidRPr="00F57FA4">
        <w:rPr>
          <w:lang w:val="es-CO"/>
        </w:rPr>
        <w:t>indicó</w:t>
      </w:r>
      <w:r w:rsidR="00E562B5" w:rsidRPr="00F57FA4">
        <w:rPr>
          <w:lang w:val="es-CO"/>
        </w:rPr>
        <w:t xml:space="preserve"> </w:t>
      </w:r>
      <w:r w:rsidR="003460A2" w:rsidRPr="00F57FA4">
        <w:rPr>
          <w:lang w:val="es-CO"/>
        </w:rPr>
        <w:t>que</w:t>
      </w:r>
      <w:r w:rsidR="00E562B5" w:rsidRPr="00F57FA4">
        <w:rPr>
          <w:lang w:val="es-CO"/>
        </w:rPr>
        <w:t xml:space="preserve"> </w:t>
      </w:r>
      <w:r w:rsidRPr="00F57FA4">
        <w:rPr>
          <w:lang w:val="es-CO"/>
        </w:rPr>
        <w:t xml:space="preserve">la </w:t>
      </w:r>
      <w:r w:rsidR="003423FB" w:rsidRPr="00F57FA4">
        <w:rPr>
          <w:lang w:val="es-CO"/>
        </w:rPr>
        <w:t xml:space="preserve">Secretaria de Estado de Administración </w:t>
      </w:r>
      <w:r w:rsidR="002026D1" w:rsidRPr="00F57FA4">
        <w:rPr>
          <w:lang w:val="es-CO"/>
        </w:rPr>
        <w:t>Penitenciaria (SEAP)</w:t>
      </w:r>
      <w:r w:rsidR="003423FB" w:rsidRPr="00F57FA4">
        <w:rPr>
          <w:lang w:val="es-CO"/>
        </w:rPr>
        <w:t xml:space="preserve">, </w:t>
      </w:r>
      <w:r w:rsidRPr="00F57FA4">
        <w:rPr>
          <w:lang w:val="es-CO"/>
        </w:rPr>
        <w:t xml:space="preserve">mantiene 150 internos </w:t>
      </w:r>
      <w:r w:rsidR="009F2112" w:rsidRPr="00F57FA4">
        <w:rPr>
          <w:lang w:val="es-CO"/>
        </w:rPr>
        <w:t xml:space="preserve">responsables </w:t>
      </w:r>
      <w:r w:rsidR="004576EE">
        <w:rPr>
          <w:lang w:val="es-CO"/>
        </w:rPr>
        <w:t>de</w:t>
      </w:r>
      <w:r w:rsidR="004576EE" w:rsidRPr="00F57FA4">
        <w:rPr>
          <w:lang w:val="es-CO"/>
        </w:rPr>
        <w:t xml:space="preserve"> </w:t>
      </w:r>
      <w:r w:rsidRPr="00F57FA4">
        <w:rPr>
          <w:lang w:val="es-CO"/>
        </w:rPr>
        <w:t xml:space="preserve">la limpieza. </w:t>
      </w:r>
      <w:r w:rsidR="00E61F52" w:rsidRPr="00F57FA4">
        <w:rPr>
          <w:lang w:val="es-CO"/>
        </w:rPr>
        <w:t>Además</w:t>
      </w:r>
      <w:r w:rsidR="002026D1" w:rsidRPr="00F57FA4">
        <w:rPr>
          <w:lang w:val="es-CO"/>
        </w:rPr>
        <w:t>,</w:t>
      </w:r>
      <w:r w:rsidR="00E61F52" w:rsidRPr="00F57FA4">
        <w:rPr>
          <w:lang w:val="es-CO"/>
        </w:rPr>
        <w:t xml:space="preserve"> informó</w:t>
      </w:r>
      <w:r w:rsidR="003B3AF4" w:rsidRPr="00F57FA4">
        <w:rPr>
          <w:lang w:val="es-CO"/>
        </w:rPr>
        <w:t xml:space="preserve"> que l</w:t>
      </w:r>
      <w:r w:rsidRPr="00F57FA4">
        <w:rPr>
          <w:lang w:val="es-CO"/>
        </w:rPr>
        <w:t xml:space="preserve">as complicaciones que se presentaron en torno a la recolección de </w:t>
      </w:r>
      <w:r w:rsidR="003B3AF4" w:rsidRPr="00F57FA4">
        <w:rPr>
          <w:lang w:val="es-CO"/>
        </w:rPr>
        <w:t>residuos</w:t>
      </w:r>
      <w:r w:rsidR="00E61F52" w:rsidRPr="00F57FA4">
        <w:rPr>
          <w:lang w:val="es-CO"/>
        </w:rPr>
        <w:t xml:space="preserve"> en el año 2016 se han resuelto y</w:t>
      </w:r>
      <w:r w:rsidRPr="00F57FA4">
        <w:rPr>
          <w:lang w:val="es-CO"/>
        </w:rPr>
        <w:t xml:space="preserve"> resaltó que la higienización rutinaria de los recintos es efectuada por</w:t>
      </w:r>
      <w:r w:rsidR="004576EE">
        <w:rPr>
          <w:lang w:val="es-CO"/>
        </w:rPr>
        <w:t xml:space="preserve"> un</w:t>
      </w:r>
      <w:r w:rsidRPr="00F57FA4">
        <w:rPr>
          <w:lang w:val="es-CO"/>
        </w:rPr>
        <w:t xml:space="preserve"> equipo compuesto por 200 Auxiliares de Servicios Generales</w:t>
      </w:r>
      <w:r w:rsidR="005D7CB5" w:rsidRPr="00F57FA4">
        <w:rPr>
          <w:lang w:val="es-CO"/>
        </w:rPr>
        <w:t>.</w:t>
      </w:r>
    </w:p>
    <w:p w14:paraId="7D33AE9C" w14:textId="77777777" w:rsidR="005D7CB5" w:rsidRPr="00F57FA4" w:rsidRDefault="005D7CB5" w:rsidP="006D31D9">
      <w:pPr>
        <w:pStyle w:val="ListParagraph"/>
        <w:rPr>
          <w:szCs w:val="20"/>
          <w:lang w:val="es-CO"/>
        </w:rPr>
      </w:pPr>
    </w:p>
    <w:p w14:paraId="42BE9467" w14:textId="77777777" w:rsidR="005D7CB5" w:rsidRPr="00F57FA4" w:rsidRDefault="005D7CB5" w:rsidP="006D31D9">
      <w:pPr>
        <w:pStyle w:val="ListParagraph"/>
        <w:numPr>
          <w:ilvl w:val="0"/>
          <w:numId w:val="20"/>
        </w:numPr>
        <w:snapToGrid w:val="0"/>
        <w:ind w:left="0" w:firstLine="0"/>
        <w:contextualSpacing w:val="0"/>
        <w:rPr>
          <w:szCs w:val="20"/>
          <w:lang w:val="es-CO"/>
        </w:rPr>
      </w:pPr>
      <w:r w:rsidRPr="00F57FA4">
        <w:rPr>
          <w:szCs w:val="20"/>
          <w:lang w:val="es-CO"/>
        </w:rPr>
        <w:t xml:space="preserve">En relación </w:t>
      </w:r>
      <w:r w:rsidR="003B3AF4" w:rsidRPr="00F57FA4">
        <w:rPr>
          <w:szCs w:val="20"/>
          <w:lang w:val="es-CO"/>
        </w:rPr>
        <w:t>con</w:t>
      </w:r>
      <w:r w:rsidRPr="00F57FA4">
        <w:rPr>
          <w:lang w:val="es-CO"/>
        </w:rPr>
        <w:t xml:space="preserve"> </w:t>
      </w:r>
      <w:r w:rsidRPr="00F57FA4">
        <w:rPr>
          <w:szCs w:val="20"/>
          <w:lang w:val="es-CO"/>
        </w:rPr>
        <w:t xml:space="preserve">los tratamientos médicos, </w:t>
      </w:r>
      <w:r w:rsidR="003B3AF4" w:rsidRPr="00F57FA4">
        <w:rPr>
          <w:szCs w:val="20"/>
          <w:lang w:val="es-CO"/>
        </w:rPr>
        <w:t xml:space="preserve">el Estado </w:t>
      </w:r>
      <w:r w:rsidR="00E562B5" w:rsidRPr="00F57FA4">
        <w:rPr>
          <w:szCs w:val="20"/>
          <w:lang w:val="es-CO"/>
        </w:rPr>
        <w:t>aseguró</w:t>
      </w:r>
      <w:r w:rsidRPr="00F57FA4">
        <w:rPr>
          <w:szCs w:val="20"/>
          <w:lang w:val="es-CO"/>
        </w:rPr>
        <w:t xml:space="preserve"> que la SEAP cuenta con</w:t>
      </w:r>
      <w:r w:rsidR="003B3AF4" w:rsidRPr="00F57FA4">
        <w:rPr>
          <w:szCs w:val="20"/>
          <w:lang w:val="es-CO"/>
        </w:rPr>
        <w:t xml:space="preserve"> una</w:t>
      </w:r>
      <w:r w:rsidRPr="00F57FA4">
        <w:rPr>
          <w:szCs w:val="20"/>
          <w:lang w:val="es-CO"/>
        </w:rPr>
        <w:t xml:space="preserve"> médica exclusiva, además de atención ambulatoria con profesionales del área de enfermería y odontología para atender a los internos de la Unidad (1 enfermero, 3 técnicos en enfermería y 1 dentista q</w:t>
      </w:r>
      <w:r w:rsidR="003B3AF4" w:rsidRPr="00F57FA4">
        <w:rPr>
          <w:szCs w:val="20"/>
          <w:lang w:val="es-CO"/>
        </w:rPr>
        <w:t>ue atie</w:t>
      </w:r>
      <w:r w:rsidR="002026D1" w:rsidRPr="00F57FA4">
        <w:rPr>
          <w:szCs w:val="20"/>
          <w:lang w:val="es-CO"/>
        </w:rPr>
        <w:t>nden dos veces por semana). Asi</w:t>
      </w:r>
      <w:r w:rsidR="003B3AF4" w:rsidRPr="00F57FA4">
        <w:rPr>
          <w:szCs w:val="20"/>
          <w:lang w:val="es-CO"/>
        </w:rPr>
        <w:t>mismo</w:t>
      </w:r>
      <w:r w:rsidR="002026D1" w:rsidRPr="00F57FA4">
        <w:rPr>
          <w:szCs w:val="20"/>
          <w:lang w:val="es-CO"/>
        </w:rPr>
        <w:t>,</w:t>
      </w:r>
      <w:r w:rsidR="003B3AF4" w:rsidRPr="00F57FA4">
        <w:rPr>
          <w:szCs w:val="20"/>
          <w:lang w:val="es-CO"/>
        </w:rPr>
        <w:t xml:space="preserve"> </w:t>
      </w:r>
      <w:r w:rsidR="00BF6137">
        <w:rPr>
          <w:szCs w:val="20"/>
          <w:lang w:val="es-CO"/>
        </w:rPr>
        <w:t xml:space="preserve">el Estado afirmó que </w:t>
      </w:r>
      <w:r w:rsidR="003B3AF4" w:rsidRPr="00F57FA4">
        <w:rPr>
          <w:szCs w:val="20"/>
          <w:lang w:val="es-CO"/>
        </w:rPr>
        <w:t xml:space="preserve">el Complejo de Gericinó cuenta con </w:t>
      </w:r>
      <w:r w:rsidRPr="00F57FA4">
        <w:rPr>
          <w:szCs w:val="20"/>
          <w:lang w:val="es-CO"/>
        </w:rPr>
        <w:t>un Hospital Penitenciario y una Unidad de Atención</w:t>
      </w:r>
      <w:r w:rsidR="00E61F52" w:rsidRPr="00F57FA4">
        <w:rPr>
          <w:szCs w:val="20"/>
          <w:lang w:val="es-CO"/>
        </w:rPr>
        <w:t xml:space="preserve"> Prio</w:t>
      </w:r>
      <w:r w:rsidR="002026D1" w:rsidRPr="00F57FA4">
        <w:rPr>
          <w:szCs w:val="20"/>
          <w:lang w:val="es-CO"/>
        </w:rPr>
        <w:t>r</w:t>
      </w:r>
      <w:r w:rsidR="00E61F52" w:rsidRPr="00F57FA4">
        <w:rPr>
          <w:szCs w:val="20"/>
          <w:lang w:val="es-CO"/>
        </w:rPr>
        <w:t>itaria</w:t>
      </w:r>
      <w:r w:rsidRPr="00F57FA4">
        <w:rPr>
          <w:szCs w:val="20"/>
          <w:lang w:val="es-CO"/>
        </w:rPr>
        <w:t xml:space="preserve"> funcionando 24 horas.</w:t>
      </w:r>
      <w:r w:rsidR="00A64661" w:rsidRPr="00F57FA4">
        <w:rPr>
          <w:rFonts w:eastAsia="Times New Roman" w:cs="Courier New"/>
          <w:b/>
          <w:color w:val="212121"/>
          <w:szCs w:val="20"/>
          <w:lang w:val="es-CO" w:eastAsia="es-CR"/>
        </w:rPr>
        <w:t xml:space="preserve"> </w:t>
      </w:r>
    </w:p>
    <w:p w14:paraId="24500577" w14:textId="77777777" w:rsidR="005D7CB5" w:rsidRPr="00F57FA4" w:rsidRDefault="005D7CB5" w:rsidP="006D31D9">
      <w:pPr>
        <w:pStyle w:val="ListParagraph"/>
        <w:rPr>
          <w:szCs w:val="20"/>
          <w:lang w:val="es-CO"/>
        </w:rPr>
      </w:pPr>
    </w:p>
    <w:p w14:paraId="2CEE7C1A" w14:textId="134B0625" w:rsidR="005D7CB5" w:rsidRPr="00F57FA4" w:rsidRDefault="005D7CB5" w:rsidP="006D31D9">
      <w:pPr>
        <w:pStyle w:val="ListParagraph"/>
        <w:numPr>
          <w:ilvl w:val="0"/>
          <w:numId w:val="20"/>
        </w:numPr>
        <w:snapToGrid w:val="0"/>
        <w:ind w:left="0" w:firstLine="0"/>
        <w:contextualSpacing w:val="0"/>
        <w:rPr>
          <w:szCs w:val="20"/>
          <w:lang w:val="es-CO"/>
        </w:rPr>
      </w:pPr>
      <w:r w:rsidRPr="00F57FA4">
        <w:rPr>
          <w:szCs w:val="20"/>
          <w:lang w:val="es-CO"/>
        </w:rPr>
        <w:t xml:space="preserve">Sobre la propagación de enfermedades, se informó que </w:t>
      </w:r>
      <w:r w:rsidR="00E562B5" w:rsidRPr="00F57FA4">
        <w:rPr>
          <w:szCs w:val="20"/>
          <w:lang w:val="es-CO"/>
        </w:rPr>
        <w:t>hay</w:t>
      </w:r>
      <w:r w:rsidRPr="00F57FA4">
        <w:rPr>
          <w:szCs w:val="20"/>
          <w:lang w:val="es-CO"/>
        </w:rPr>
        <w:t xml:space="preserve"> atención ambulatoria </w:t>
      </w:r>
      <w:r w:rsidR="008077D1" w:rsidRPr="00F57FA4">
        <w:rPr>
          <w:szCs w:val="20"/>
          <w:lang w:val="es-CO"/>
        </w:rPr>
        <w:t xml:space="preserve">que </w:t>
      </w:r>
      <w:r w:rsidRPr="00F57FA4">
        <w:rPr>
          <w:szCs w:val="20"/>
          <w:lang w:val="es-CO"/>
        </w:rPr>
        <w:t xml:space="preserve">acompaña a </w:t>
      </w:r>
      <w:r w:rsidR="008077D1" w:rsidRPr="00F57FA4">
        <w:rPr>
          <w:szCs w:val="20"/>
          <w:lang w:val="es-CO"/>
        </w:rPr>
        <w:t xml:space="preserve">los </w:t>
      </w:r>
      <w:r w:rsidRPr="00F57FA4">
        <w:rPr>
          <w:szCs w:val="20"/>
          <w:lang w:val="es-CO"/>
        </w:rPr>
        <w:t xml:space="preserve">pacientes </w:t>
      </w:r>
      <w:r w:rsidR="008077D1" w:rsidRPr="00F57FA4">
        <w:rPr>
          <w:szCs w:val="20"/>
          <w:lang w:val="es-CO"/>
        </w:rPr>
        <w:t>que se encuentran en</w:t>
      </w:r>
      <w:r w:rsidRPr="00F57FA4">
        <w:rPr>
          <w:szCs w:val="20"/>
          <w:lang w:val="es-CO"/>
        </w:rPr>
        <w:t xml:space="preserve"> tratamiento de e</w:t>
      </w:r>
      <w:r w:rsidR="008077D1" w:rsidRPr="00F57FA4">
        <w:rPr>
          <w:szCs w:val="20"/>
          <w:lang w:val="es-CO"/>
        </w:rPr>
        <w:t>nfermedades como tuberculosis, E</w:t>
      </w:r>
      <w:r w:rsidRPr="00F57FA4">
        <w:rPr>
          <w:szCs w:val="20"/>
          <w:lang w:val="es-CO"/>
        </w:rPr>
        <w:t xml:space="preserve">TS / SIDA y lepra, </w:t>
      </w:r>
      <w:r w:rsidR="002026D1" w:rsidRPr="00F57FA4">
        <w:rPr>
          <w:szCs w:val="20"/>
          <w:lang w:val="es-CO"/>
        </w:rPr>
        <w:t xml:space="preserve">y se </w:t>
      </w:r>
      <w:r w:rsidR="008077D1" w:rsidRPr="00F57FA4">
        <w:rPr>
          <w:szCs w:val="20"/>
          <w:lang w:val="es-CO"/>
        </w:rPr>
        <w:t>realiza</w:t>
      </w:r>
      <w:r w:rsidRPr="00F57FA4">
        <w:rPr>
          <w:szCs w:val="20"/>
          <w:lang w:val="es-CO"/>
        </w:rPr>
        <w:t xml:space="preserve"> inmunización dentro de los períodos programados de campaña. Los pacientes diagnosticados con tuberculosis </w:t>
      </w:r>
      <w:r w:rsidR="007632AA" w:rsidRPr="00F57FA4">
        <w:rPr>
          <w:szCs w:val="20"/>
          <w:lang w:val="es-CO"/>
        </w:rPr>
        <w:t>son</w:t>
      </w:r>
      <w:r w:rsidRPr="00F57FA4">
        <w:rPr>
          <w:szCs w:val="20"/>
          <w:lang w:val="es-CO"/>
        </w:rPr>
        <w:t xml:space="preserve"> </w:t>
      </w:r>
      <w:r w:rsidR="007632AA" w:rsidRPr="00F57FA4">
        <w:rPr>
          <w:szCs w:val="20"/>
          <w:lang w:val="es-CO"/>
        </w:rPr>
        <w:t>enviados</w:t>
      </w:r>
      <w:r w:rsidR="008077D1" w:rsidRPr="00F57FA4">
        <w:rPr>
          <w:szCs w:val="20"/>
          <w:lang w:val="es-CO"/>
        </w:rPr>
        <w:t xml:space="preserve"> al S</w:t>
      </w:r>
      <w:r w:rsidRPr="00F57FA4">
        <w:rPr>
          <w:szCs w:val="20"/>
          <w:lang w:val="es-CO"/>
        </w:rPr>
        <w:t>anatorio Penal</w:t>
      </w:r>
      <w:r w:rsidR="004178C6">
        <w:rPr>
          <w:szCs w:val="20"/>
          <w:lang w:val="es-CO"/>
        </w:rPr>
        <w:t xml:space="preserve">, siendo posible su internamiento </w:t>
      </w:r>
      <w:r w:rsidRPr="00F57FA4">
        <w:rPr>
          <w:szCs w:val="20"/>
          <w:lang w:val="es-CO"/>
        </w:rPr>
        <w:t xml:space="preserve">en esa misma unidad si es necesario. En cuanto al acceso de medicamentos, </w:t>
      </w:r>
      <w:r w:rsidR="00BF6137">
        <w:rPr>
          <w:szCs w:val="20"/>
          <w:lang w:val="es-CO"/>
        </w:rPr>
        <w:t>el Estado</w:t>
      </w:r>
      <w:r w:rsidR="00BF6137" w:rsidRPr="00F57FA4">
        <w:rPr>
          <w:szCs w:val="20"/>
          <w:lang w:val="es-CO"/>
        </w:rPr>
        <w:t xml:space="preserve"> </w:t>
      </w:r>
      <w:r w:rsidRPr="00F57FA4">
        <w:rPr>
          <w:szCs w:val="20"/>
          <w:lang w:val="es-CO"/>
        </w:rPr>
        <w:t>informa que</w:t>
      </w:r>
      <w:r w:rsidR="00BF6137">
        <w:rPr>
          <w:szCs w:val="20"/>
          <w:lang w:val="es-CO"/>
        </w:rPr>
        <w:t xml:space="preserve"> “a pesar de la crisis financiera actual”</w:t>
      </w:r>
      <w:r w:rsidRPr="00F57FA4">
        <w:rPr>
          <w:szCs w:val="20"/>
          <w:lang w:val="es-CO"/>
        </w:rPr>
        <w:t xml:space="preserve"> se han adquirido medicamentos </w:t>
      </w:r>
      <w:r w:rsidR="00745DBA">
        <w:rPr>
          <w:szCs w:val="20"/>
          <w:lang w:val="es-CO"/>
        </w:rPr>
        <w:t>en carácter</w:t>
      </w:r>
      <w:r w:rsidR="004178C6">
        <w:rPr>
          <w:szCs w:val="20"/>
          <w:lang w:val="es-CO"/>
        </w:rPr>
        <w:t xml:space="preserve"> </w:t>
      </w:r>
      <w:r w:rsidR="009365A3">
        <w:rPr>
          <w:szCs w:val="20"/>
          <w:lang w:val="es-CO"/>
        </w:rPr>
        <w:t>urgente</w:t>
      </w:r>
      <w:r w:rsidRPr="00F57FA4">
        <w:rPr>
          <w:szCs w:val="20"/>
          <w:lang w:val="es-CO"/>
        </w:rPr>
        <w:t>.</w:t>
      </w:r>
      <w:r w:rsidR="00A64661" w:rsidRPr="00F57FA4">
        <w:rPr>
          <w:rFonts w:eastAsia="Times New Roman" w:cs="Courier New"/>
          <w:b/>
          <w:color w:val="212121"/>
          <w:szCs w:val="20"/>
          <w:lang w:val="es-CO" w:eastAsia="es-CR"/>
        </w:rPr>
        <w:t xml:space="preserve"> </w:t>
      </w:r>
    </w:p>
    <w:p w14:paraId="541BAB10" w14:textId="77777777" w:rsidR="005D7CB5" w:rsidRPr="00F57FA4" w:rsidRDefault="005D7CB5" w:rsidP="006D31D9">
      <w:pPr>
        <w:pStyle w:val="ListParagraph"/>
        <w:rPr>
          <w:szCs w:val="20"/>
          <w:lang w:val="es-CO"/>
        </w:rPr>
      </w:pPr>
    </w:p>
    <w:p w14:paraId="447E78CD" w14:textId="77777777" w:rsidR="005D7CB5" w:rsidRPr="00F57FA4" w:rsidRDefault="008077D1" w:rsidP="006D31D9">
      <w:pPr>
        <w:pStyle w:val="ListParagraph"/>
        <w:numPr>
          <w:ilvl w:val="0"/>
          <w:numId w:val="20"/>
        </w:numPr>
        <w:snapToGrid w:val="0"/>
        <w:ind w:left="0" w:firstLine="0"/>
        <w:contextualSpacing w:val="0"/>
        <w:rPr>
          <w:szCs w:val="20"/>
          <w:lang w:val="es-CO"/>
        </w:rPr>
      </w:pPr>
      <w:r w:rsidRPr="00F57FA4">
        <w:rPr>
          <w:szCs w:val="20"/>
          <w:lang w:val="es-CO"/>
        </w:rPr>
        <w:t>En cuanto a la alimentación, el</w:t>
      </w:r>
      <w:r w:rsidR="005D7CB5" w:rsidRPr="00F57FA4">
        <w:rPr>
          <w:szCs w:val="20"/>
          <w:lang w:val="es-CO"/>
        </w:rPr>
        <w:t xml:space="preserve"> Estado aseguró que la SEAP </w:t>
      </w:r>
      <w:r w:rsidR="00CA3DEA">
        <w:rPr>
          <w:szCs w:val="20"/>
          <w:lang w:val="es-CO"/>
        </w:rPr>
        <w:t>ha tomado</w:t>
      </w:r>
      <w:r w:rsidR="005D7CB5" w:rsidRPr="00F57FA4">
        <w:rPr>
          <w:szCs w:val="20"/>
          <w:lang w:val="es-CO"/>
        </w:rPr>
        <w:t xml:space="preserve"> iniciativas dentro de sus posibilidades para mejorar la calidad de los alimentos.</w:t>
      </w:r>
      <w:r w:rsidR="00A64661" w:rsidRPr="00F57FA4">
        <w:rPr>
          <w:rFonts w:eastAsia="Times New Roman" w:cs="Courier New"/>
          <w:b/>
          <w:color w:val="212121"/>
          <w:szCs w:val="20"/>
          <w:lang w:val="es-CO" w:eastAsia="es-CR"/>
        </w:rPr>
        <w:t xml:space="preserve"> </w:t>
      </w:r>
    </w:p>
    <w:p w14:paraId="42ED3135" w14:textId="77777777" w:rsidR="005D7CB5" w:rsidRPr="00F57FA4" w:rsidRDefault="005D7CB5" w:rsidP="006D31D9">
      <w:pPr>
        <w:pStyle w:val="ListParagraph"/>
        <w:rPr>
          <w:szCs w:val="20"/>
          <w:lang w:val="es-CO"/>
        </w:rPr>
      </w:pPr>
    </w:p>
    <w:p w14:paraId="208584D7" w14:textId="403782CC" w:rsidR="00EE2D2F" w:rsidRPr="00F57FA4" w:rsidRDefault="005D7CB5" w:rsidP="006D31D9">
      <w:pPr>
        <w:pStyle w:val="ListParagraph"/>
        <w:numPr>
          <w:ilvl w:val="0"/>
          <w:numId w:val="20"/>
        </w:numPr>
        <w:snapToGrid w:val="0"/>
        <w:ind w:left="0" w:firstLine="0"/>
        <w:contextualSpacing w:val="0"/>
        <w:rPr>
          <w:szCs w:val="20"/>
          <w:lang w:val="es-CO"/>
        </w:rPr>
      </w:pPr>
      <w:r w:rsidRPr="00F57FA4">
        <w:rPr>
          <w:szCs w:val="20"/>
          <w:lang w:val="es-CO"/>
        </w:rPr>
        <w:t xml:space="preserve">En </w:t>
      </w:r>
      <w:r w:rsidR="008077D1" w:rsidRPr="00F57FA4">
        <w:rPr>
          <w:szCs w:val="20"/>
          <w:lang w:val="es-CO"/>
        </w:rPr>
        <w:t>relación</w:t>
      </w:r>
      <w:r w:rsidRPr="00F57FA4">
        <w:rPr>
          <w:szCs w:val="20"/>
          <w:lang w:val="es-CO"/>
        </w:rPr>
        <w:t xml:space="preserve"> al </w:t>
      </w:r>
      <w:r w:rsidR="001C44C4" w:rsidRPr="00F57FA4">
        <w:rPr>
          <w:szCs w:val="20"/>
          <w:lang w:val="es-CO"/>
        </w:rPr>
        <w:t xml:space="preserve">suministro de </w:t>
      </w:r>
      <w:r w:rsidRPr="00F57FA4">
        <w:rPr>
          <w:szCs w:val="20"/>
          <w:lang w:val="es-CO"/>
        </w:rPr>
        <w:t xml:space="preserve">agua, el Estado afirmó que </w:t>
      </w:r>
      <w:r w:rsidR="008077D1" w:rsidRPr="00F57FA4">
        <w:rPr>
          <w:szCs w:val="20"/>
          <w:lang w:val="es-CO"/>
        </w:rPr>
        <w:t xml:space="preserve">hay una </w:t>
      </w:r>
      <w:r w:rsidRPr="00F57FA4">
        <w:rPr>
          <w:szCs w:val="20"/>
          <w:lang w:val="es-CO"/>
        </w:rPr>
        <w:t>nueva línea de abastecimiento de agua</w:t>
      </w:r>
      <w:r w:rsidR="008077D1" w:rsidRPr="00F57FA4">
        <w:rPr>
          <w:szCs w:val="20"/>
          <w:lang w:val="es-CO"/>
        </w:rPr>
        <w:t xml:space="preserve"> que</w:t>
      </w:r>
      <w:r w:rsidRPr="00F57FA4">
        <w:rPr>
          <w:szCs w:val="20"/>
          <w:lang w:val="es-CO"/>
        </w:rPr>
        <w:t xml:space="preserve"> fue instalada en el Complejo Penitenciario de Gericinó, lo que</w:t>
      </w:r>
      <w:r w:rsidR="008077D1" w:rsidRPr="00F57FA4">
        <w:rPr>
          <w:szCs w:val="20"/>
          <w:lang w:val="es-CO"/>
        </w:rPr>
        <w:t xml:space="preserve"> permitió aumentar el</w:t>
      </w:r>
      <w:r w:rsidRPr="00F57FA4">
        <w:rPr>
          <w:szCs w:val="20"/>
          <w:lang w:val="es-CO"/>
        </w:rPr>
        <w:t xml:space="preserve"> volumen de </w:t>
      </w:r>
      <w:r w:rsidR="008077D1" w:rsidRPr="00F57FA4">
        <w:rPr>
          <w:szCs w:val="20"/>
          <w:lang w:val="es-CO"/>
        </w:rPr>
        <w:t xml:space="preserve">agua. </w:t>
      </w:r>
      <w:r w:rsidR="0038598F">
        <w:rPr>
          <w:szCs w:val="20"/>
          <w:lang w:val="es-CO"/>
        </w:rPr>
        <w:t>No obstante,</w:t>
      </w:r>
      <w:r w:rsidR="0038598F" w:rsidRPr="00F57FA4">
        <w:rPr>
          <w:szCs w:val="20"/>
          <w:lang w:val="es-CO"/>
        </w:rPr>
        <w:t xml:space="preserve"> </w:t>
      </w:r>
      <w:r w:rsidR="008077D1" w:rsidRPr="00F57FA4">
        <w:rPr>
          <w:szCs w:val="20"/>
          <w:lang w:val="es-CO"/>
        </w:rPr>
        <w:t>informó</w:t>
      </w:r>
      <w:r w:rsidRPr="00F57FA4">
        <w:rPr>
          <w:szCs w:val="20"/>
          <w:lang w:val="es-CO"/>
        </w:rPr>
        <w:t xml:space="preserve"> que </w:t>
      </w:r>
      <w:r w:rsidR="002026D1" w:rsidRPr="00F57FA4">
        <w:rPr>
          <w:szCs w:val="20"/>
          <w:lang w:val="es-CO"/>
        </w:rPr>
        <w:t>es necesario</w:t>
      </w:r>
      <w:r w:rsidR="008077D1" w:rsidRPr="00F57FA4">
        <w:rPr>
          <w:szCs w:val="20"/>
          <w:lang w:val="es-CO"/>
        </w:rPr>
        <w:t xml:space="preserve"> un</w:t>
      </w:r>
      <w:r w:rsidRPr="00F57FA4">
        <w:rPr>
          <w:szCs w:val="20"/>
          <w:lang w:val="es-CO"/>
        </w:rPr>
        <w:t xml:space="preserve"> horario de apertura y cierre de los flujos de agua para garantizar la regularidad del abastecimiento. </w:t>
      </w:r>
      <w:r w:rsidR="008077D1" w:rsidRPr="00F57FA4">
        <w:rPr>
          <w:szCs w:val="20"/>
          <w:lang w:val="es-CO"/>
        </w:rPr>
        <w:t>Adicionalmente</w:t>
      </w:r>
      <w:r w:rsidR="002026D1" w:rsidRPr="00F57FA4">
        <w:rPr>
          <w:szCs w:val="20"/>
          <w:lang w:val="es-CO"/>
        </w:rPr>
        <w:t>,</w:t>
      </w:r>
      <w:r w:rsidR="008077D1" w:rsidRPr="00F57FA4">
        <w:rPr>
          <w:szCs w:val="20"/>
          <w:lang w:val="es-CO"/>
        </w:rPr>
        <w:t xml:space="preserve"> se informó que </w:t>
      </w:r>
      <w:r w:rsidRPr="00F57FA4">
        <w:rPr>
          <w:szCs w:val="20"/>
          <w:lang w:val="es-CO"/>
        </w:rPr>
        <w:t>el agua para consumo humano es suministrada por la Compañía Estadual de Aguas y Alcantarillas (CEDAE) y que la corriente recibida en la Unidad posee las mismas características que recibe cualquier otro residente de Río de Janeiro.</w:t>
      </w:r>
    </w:p>
    <w:p w14:paraId="3D45E3A1" w14:textId="77777777" w:rsidR="00902C16" w:rsidRPr="00F57FA4" w:rsidRDefault="00902C16" w:rsidP="006D31D9">
      <w:pPr>
        <w:pStyle w:val="ListParagraph"/>
        <w:rPr>
          <w:szCs w:val="20"/>
          <w:lang w:val="es-CO"/>
        </w:rPr>
      </w:pPr>
    </w:p>
    <w:p w14:paraId="3D3A61D1" w14:textId="77777777" w:rsidR="008336A7" w:rsidRPr="00F57FA4" w:rsidRDefault="00902C16" w:rsidP="006D31D9">
      <w:pPr>
        <w:pStyle w:val="ListParagraph"/>
        <w:numPr>
          <w:ilvl w:val="0"/>
          <w:numId w:val="20"/>
        </w:numPr>
        <w:snapToGrid w:val="0"/>
        <w:ind w:left="0" w:firstLine="0"/>
        <w:contextualSpacing w:val="0"/>
        <w:rPr>
          <w:szCs w:val="20"/>
          <w:lang w:val="es-CO"/>
        </w:rPr>
      </w:pPr>
      <w:r w:rsidRPr="00F57FA4">
        <w:rPr>
          <w:szCs w:val="20"/>
          <w:lang w:val="es-CO"/>
        </w:rPr>
        <w:lastRenderedPageBreak/>
        <w:t xml:space="preserve">En audiencia </w:t>
      </w:r>
      <w:r w:rsidR="00E562B5" w:rsidRPr="00F57FA4">
        <w:rPr>
          <w:szCs w:val="20"/>
          <w:lang w:val="es-CO"/>
        </w:rPr>
        <w:t xml:space="preserve">celebrada el 19 de mayo de 2017, </w:t>
      </w:r>
      <w:r w:rsidR="008077D1" w:rsidRPr="00F57FA4">
        <w:rPr>
          <w:lang w:val="es-CO"/>
        </w:rPr>
        <w:t>el Estado informó</w:t>
      </w:r>
      <w:r w:rsidRPr="00F57FA4">
        <w:rPr>
          <w:lang w:val="es-CO"/>
        </w:rPr>
        <w:t xml:space="preserve"> que en cuanto a la asistencia a la salud, se renovaron los esfuerzos </w:t>
      </w:r>
      <w:r w:rsidR="00E562B5" w:rsidRPr="00F57FA4">
        <w:rPr>
          <w:lang w:val="es-CO"/>
        </w:rPr>
        <w:t xml:space="preserve">de cooperación a nivel </w:t>
      </w:r>
      <w:r w:rsidR="00556529">
        <w:rPr>
          <w:lang w:val="es-CO"/>
        </w:rPr>
        <w:t>f</w:t>
      </w:r>
      <w:r w:rsidR="00E562B5" w:rsidRPr="00F57FA4">
        <w:rPr>
          <w:lang w:val="es-CO"/>
        </w:rPr>
        <w:t xml:space="preserve">ederal, lo que permitió la adquisición de medicamentos de emergencia y nuevo personal de salud. </w:t>
      </w:r>
    </w:p>
    <w:p w14:paraId="03C76FF6" w14:textId="77777777" w:rsidR="008336A7" w:rsidRPr="00F57FA4" w:rsidRDefault="008336A7" w:rsidP="006D31D9">
      <w:pPr>
        <w:pStyle w:val="ListParagraph"/>
        <w:rPr>
          <w:lang w:val="es-CO"/>
        </w:rPr>
      </w:pPr>
    </w:p>
    <w:p w14:paraId="151EEC76" w14:textId="4F685875" w:rsidR="000845AB" w:rsidRPr="00F57FA4" w:rsidRDefault="002026D1" w:rsidP="006D31D9">
      <w:pPr>
        <w:pStyle w:val="ListParagraph"/>
        <w:numPr>
          <w:ilvl w:val="0"/>
          <w:numId w:val="20"/>
        </w:numPr>
        <w:snapToGrid w:val="0"/>
        <w:ind w:left="0" w:firstLine="0"/>
        <w:contextualSpacing w:val="0"/>
        <w:rPr>
          <w:szCs w:val="20"/>
          <w:lang w:val="es-CO"/>
        </w:rPr>
      </w:pPr>
      <w:r w:rsidRPr="00F57FA4">
        <w:rPr>
          <w:lang w:val="es-CO"/>
        </w:rPr>
        <w:t xml:space="preserve">Respecto </w:t>
      </w:r>
      <w:r w:rsidR="005154BF" w:rsidRPr="00F57FA4">
        <w:rPr>
          <w:lang w:val="es-CO"/>
        </w:rPr>
        <w:t>a la alimentación de los detenidos se reconoció la falta de financiamiento del Estado</w:t>
      </w:r>
      <w:r w:rsidR="004A60EF">
        <w:rPr>
          <w:lang w:val="es-CO"/>
        </w:rPr>
        <w:t xml:space="preserve">, </w:t>
      </w:r>
      <w:r w:rsidR="00135B90">
        <w:rPr>
          <w:lang w:val="es-CO"/>
        </w:rPr>
        <w:t xml:space="preserve">el </w:t>
      </w:r>
      <w:r w:rsidR="004A60EF">
        <w:rPr>
          <w:lang w:val="es-CO"/>
        </w:rPr>
        <w:t>cual se daba</w:t>
      </w:r>
      <w:r w:rsidR="005154BF" w:rsidRPr="00F57FA4">
        <w:rPr>
          <w:lang w:val="es-CO"/>
        </w:rPr>
        <w:t xml:space="preserve"> con restricciones extremas</w:t>
      </w:r>
      <w:r w:rsidR="004A60EF">
        <w:rPr>
          <w:lang w:val="es-CO"/>
        </w:rPr>
        <w:t>. De igual manera se evidenció</w:t>
      </w:r>
      <w:r w:rsidR="009365A3">
        <w:rPr>
          <w:lang w:val="es-CO"/>
        </w:rPr>
        <w:t xml:space="preserve"> </w:t>
      </w:r>
      <w:r w:rsidR="004A60EF">
        <w:rPr>
          <w:lang w:val="es-CO"/>
        </w:rPr>
        <w:t xml:space="preserve">poca </w:t>
      </w:r>
      <w:r w:rsidR="00BC3E83" w:rsidRPr="00F57FA4">
        <w:rPr>
          <w:lang w:val="es-CO"/>
        </w:rPr>
        <w:t>capacidad para administrar</w:t>
      </w:r>
      <w:r w:rsidR="00556529">
        <w:rPr>
          <w:lang w:val="es-CO"/>
        </w:rPr>
        <w:t xml:space="preserve"> la provisión de alimentos</w:t>
      </w:r>
      <w:r w:rsidR="00BC3E83" w:rsidRPr="00F57FA4">
        <w:rPr>
          <w:lang w:val="es-CO"/>
        </w:rPr>
        <w:t>.</w:t>
      </w:r>
    </w:p>
    <w:p w14:paraId="5E623844" w14:textId="77777777" w:rsidR="000845AB" w:rsidRPr="00F57FA4" w:rsidRDefault="000845AB" w:rsidP="006D31D9">
      <w:pPr>
        <w:pStyle w:val="ListParagraph"/>
        <w:rPr>
          <w:szCs w:val="20"/>
          <w:lang w:val="es-CO"/>
        </w:rPr>
      </w:pPr>
    </w:p>
    <w:p w14:paraId="79157AE4" w14:textId="77777777" w:rsidR="00EE2D2F" w:rsidRPr="00F57FA4" w:rsidRDefault="00E43A7E" w:rsidP="006D31D9">
      <w:pPr>
        <w:pStyle w:val="ListParagraph"/>
        <w:numPr>
          <w:ilvl w:val="0"/>
          <w:numId w:val="20"/>
        </w:numPr>
        <w:snapToGrid w:val="0"/>
        <w:ind w:left="0" w:firstLine="0"/>
        <w:contextualSpacing w:val="0"/>
        <w:rPr>
          <w:szCs w:val="20"/>
          <w:lang w:val="es-CO"/>
        </w:rPr>
      </w:pPr>
      <w:r w:rsidRPr="00F57FA4">
        <w:rPr>
          <w:szCs w:val="20"/>
          <w:lang w:val="es-CO"/>
        </w:rPr>
        <w:t>L</w:t>
      </w:r>
      <w:r w:rsidR="00EE2D2F" w:rsidRPr="00F57FA4">
        <w:rPr>
          <w:szCs w:val="20"/>
          <w:lang w:val="es-CO"/>
        </w:rPr>
        <w:t xml:space="preserve">os </w:t>
      </w:r>
      <w:r w:rsidR="00EE2D2F" w:rsidRPr="00F57FA4">
        <w:rPr>
          <w:b/>
          <w:i/>
          <w:szCs w:val="20"/>
          <w:lang w:val="es-CO"/>
        </w:rPr>
        <w:t>Representantes</w:t>
      </w:r>
      <w:r w:rsidR="001C44C4" w:rsidRPr="00F57FA4">
        <w:rPr>
          <w:szCs w:val="20"/>
          <w:lang w:val="es-CO"/>
        </w:rPr>
        <w:t xml:space="preserve"> sostuvieron</w:t>
      </w:r>
      <w:r w:rsidR="00E562B5" w:rsidRPr="00F57FA4">
        <w:rPr>
          <w:szCs w:val="20"/>
          <w:lang w:val="es-CO"/>
        </w:rPr>
        <w:t xml:space="preserve"> que </w:t>
      </w:r>
      <w:r w:rsidR="004F62B9">
        <w:rPr>
          <w:szCs w:val="20"/>
          <w:lang w:val="es-CO"/>
        </w:rPr>
        <w:t>existe</w:t>
      </w:r>
      <w:r w:rsidR="00E562B5" w:rsidRPr="00F57FA4">
        <w:rPr>
          <w:szCs w:val="20"/>
          <w:lang w:val="es-CO"/>
        </w:rPr>
        <w:t xml:space="preserve"> una grave situación de </w:t>
      </w:r>
      <w:r w:rsidR="00B36FF3">
        <w:rPr>
          <w:szCs w:val="20"/>
          <w:lang w:val="es-CO"/>
        </w:rPr>
        <w:t>in</w:t>
      </w:r>
      <w:r w:rsidR="00E562B5" w:rsidRPr="00F57FA4">
        <w:rPr>
          <w:szCs w:val="20"/>
          <w:lang w:val="es-CO"/>
        </w:rPr>
        <w:t>salubridad</w:t>
      </w:r>
      <w:r w:rsidR="00BC3E83" w:rsidRPr="00F57FA4">
        <w:rPr>
          <w:szCs w:val="20"/>
          <w:lang w:val="es-CO"/>
        </w:rPr>
        <w:t xml:space="preserve"> en el IPPSC</w:t>
      </w:r>
      <w:r w:rsidR="008336A7" w:rsidRPr="00F57FA4">
        <w:rPr>
          <w:szCs w:val="20"/>
          <w:lang w:val="es-CO"/>
        </w:rPr>
        <w:t xml:space="preserve">. </w:t>
      </w:r>
      <w:r w:rsidR="002026D1" w:rsidRPr="00F57FA4">
        <w:rPr>
          <w:szCs w:val="20"/>
          <w:lang w:val="es-CO"/>
        </w:rPr>
        <w:t>C</w:t>
      </w:r>
      <w:r w:rsidR="0055033F" w:rsidRPr="00F57FA4">
        <w:rPr>
          <w:szCs w:val="20"/>
          <w:lang w:val="es-CO"/>
        </w:rPr>
        <w:t>o</w:t>
      </w:r>
      <w:r w:rsidR="00BC3E83" w:rsidRPr="00F57FA4">
        <w:rPr>
          <w:szCs w:val="20"/>
          <w:lang w:val="es-CO"/>
        </w:rPr>
        <w:t>nstataron</w:t>
      </w:r>
      <w:r w:rsidR="00EE2D2F" w:rsidRPr="00F57FA4">
        <w:rPr>
          <w:szCs w:val="20"/>
          <w:lang w:val="es-CO"/>
        </w:rPr>
        <w:t xml:space="preserve"> el </w:t>
      </w:r>
      <w:r w:rsidR="004F62B9">
        <w:rPr>
          <w:szCs w:val="20"/>
          <w:lang w:val="es-CO"/>
        </w:rPr>
        <w:t>surgimiento</w:t>
      </w:r>
      <w:r w:rsidR="004F62B9" w:rsidRPr="00F57FA4">
        <w:rPr>
          <w:szCs w:val="20"/>
          <w:lang w:val="es-CO"/>
        </w:rPr>
        <w:t xml:space="preserve"> </w:t>
      </w:r>
      <w:r w:rsidR="00EE2D2F" w:rsidRPr="00F57FA4">
        <w:rPr>
          <w:szCs w:val="20"/>
          <w:lang w:val="es-CO"/>
        </w:rPr>
        <w:t>de un aparente brote de dermatosis en todas las celdas y espacios visitados</w:t>
      </w:r>
      <w:r w:rsidR="004F62B9">
        <w:rPr>
          <w:szCs w:val="20"/>
          <w:lang w:val="es-CO"/>
        </w:rPr>
        <w:t xml:space="preserve">. </w:t>
      </w:r>
      <w:r w:rsidR="00B36FF3">
        <w:rPr>
          <w:szCs w:val="20"/>
          <w:lang w:val="es-CO"/>
        </w:rPr>
        <w:t>A</w:t>
      </w:r>
      <w:r w:rsidR="004F62B9">
        <w:rPr>
          <w:szCs w:val="20"/>
          <w:lang w:val="es-CO"/>
        </w:rPr>
        <w:t>firma</w:t>
      </w:r>
      <w:r w:rsidR="00B36FF3">
        <w:rPr>
          <w:szCs w:val="20"/>
          <w:lang w:val="es-CO"/>
        </w:rPr>
        <w:t>ron</w:t>
      </w:r>
      <w:r w:rsidR="004F62B9">
        <w:rPr>
          <w:szCs w:val="20"/>
          <w:lang w:val="es-CO"/>
        </w:rPr>
        <w:t xml:space="preserve"> que este problema </w:t>
      </w:r>
      <w:r w:rsidR="00EE2D2F" w:rsidRPr="00F57FA4">
        <w:rPr>
          <w:szCs w:val="20"/>
          <w:lang w:val="es-CO"/>
        </w:rPr>
        <w:t>ha sido reportado</w:t>
      </w:r>
      <w:r w:rsidR="004F62B9">
        <w:rPr>
          <w:szCs w:val="20"/>
          <w:lang w:val="es-CO"/>
        </w:rPr>
        <w:t>;</w:t>
      </w:r>
      <w:r w:rsidR="00EE2D2F" w:rsidRPr="00F57FA4">
        <w:rPr>
          <w:szCs w:val="20"/>
          <w:lang w:val="es-CO"/>
        </w:rPr>
        <w:t xml:space="preserve"> sin</w:t>
      </w:r>
      <w:r w:rsidR="004F62B9">
        <w:rPr>
          <w:szCs w:val="20"/>
          <w:lang w:val="es-CO"/>
        </w:rPr>
        <w:t xml:space="preserve"> embargo, señala</w:t>
      </w:r>
      <w:r w:rsidR="00B36FF3">
        <w:rPr>
          <w:szCs w:val="20"/>
          <w:lang w:val="es-CO"/>
        </w:rPr>
        <w:t>ro</w:t>
      </w:r>
      <w:r w:rsidR="004F62B9">
        <w:rPr>
          <w:szCs w:val="20"/>
          <w:lang w:val="es-CO"/>
        </w:rPr>
        <w:t>n</w:t>
      </w:r>
      <w:r w:rsidR="00EE2D2F" w:rsidRPr="00F57FA4">
        <w:rPr>
          <w:szCs w:val="20"/>
          <w:lang w:val="es-CO"/>
        </w:rPr>
        <w:t xml:space="preserve"> </w:t>
      </w:r>
      <w:r w:rsidR="004F62B9">
        <w:rPr>
          <w:szCs w:val="20"/>
          <w:lang w:val="es-CO"/>
        </w:rPr>
        <w:t xml:space="preserve">que las personas afectadas no han </w:t>
      </w:r>
      <w:r w:rsidR="00EE2D2F" w:rsidRPr="00F57FA4">
        <w:rPr>
          <w:szCs w:val="20"/>
          <w:lang w:val="es-CO"/>
        </w:rPr>
        <w:t>recibi</w:t>
      </w:r>
      <w:r w:rsidR="004F62B9">
        <w:rPr>
          <w:szCs w:val="20"/>
          <w:lang w:val="es-CO"/>
        </w:rPr>
        <w:t>do</w:t>
      </w:r>
      <w:r w:rsidR="00EE2D2F" w:rsidRPr="00F57FA4">
        <w:rPr>
          <w:szCs w:val="20"/>
          <w:lang w:val="es-CO"/>
        </w:rPr>
        <w:t xml:space="preserve"> ninguna atención, medicame</w:t>
      </w:r>
      <w:r w:rsidR="001C44C4" w:rsidRPr="00F57FA4">
        <w:rPr>
          <w:szCs w:val="20"/>
          <w:lang w:val="es-CO"/>
        </w:rPr>
        <w:t>nto, tratamiento o asistencia</w:t>
      </w:r>
      <w:r w:rsidR="008A385F">
        <w:rPr>
          <w:szCs w:val="20"/>
          <w:lang w:val="es-CO"/>
        </w:rPr>
        <w:t>. Asimismo, señala</w:t>
      </w:r>
      <w:r w:rsidR="00B36FF3">
        <w:rPr>
          <w:szCs w:val="20"/>
          <w:lang w:val="es-CO"/>
        </w:rPr>
        <w:t>ro</w:t>
      </w:r>
      <w:r w:rsidR="008A385F">
        <w:rPr>
          <w:szCs w:val="20"/>
          <w:lang w:val="es-CO"/>
        </w:rPr>
        <w:t>n que “</w:t>
      </w:r>
      <w:r w:rsidR="00E562B5" w:rsidRPr="00F57FA4">
        <w:rPr>
          <w:szCs w:val="20"/>
          <w:lang w:val="es-CO"/>
        </w:rPr>
        <w:t>un</w:t>
      </w:r>
      <w:r w:rsidR="00EE2D2F" w:rsidRPr="00F57FA4">
        <w:rPr>
          <w:szCs w:val="20"/>
          <w:lang w:val="es-CO"/>
        </w:rPr>
        <w:t xml:space="preserve"> altísimo número</w:t>
      </w:r>
      <w:r w:rsidR="008A385F">
        <w:rPr>
          <w:szCs w:val="20"/>
          <w:lang w:val="es-CO"/>
        </w:rPr>
        <w:t>”</w:t>
      </w:r>
      <w:r w:rsidR="00EE2D2F" w:rsidRPr="00F57FA4">
        <w:rPr>
          <w:szCs w:val="20"/>
          <w:lang w:val="es-CO"/>
        </w:rPr>
        <w:t xml:space="preserve"> de p</w:t>
      </w:r>
      <w:r w:rsidR="004F62B9">
        <w:rPr>
          <w:szCs w:val="20"/>
          <w:lang w:val="es-CO"/>
        </w:rPr>
        <w:t>ersonas privadas de libertad</w:t>
      </w:r>
      <w:r w:rsidR="00EE2D2F" w:rsidRPr="00F57FA4">
        <w:rPr>
          <w:szCs w:val="20"/>
          <w:lang w:val="es-CO"/>
        </w:rPr>
        <w:t xml:space="preserve"> </w:t>
      </w:r>
      <w:r w:rsidR="008A385F">
        <w:rPr>
          <w:szCs w:val="20"/>
          <w:lang w:val="es-CO"/>
        </w:rPr>
        <w:t>presentan heridas purulentas en manos, pies, glúteos y pene que causan picazón incesante</w:t>
      </w:r>
      <w:r w:rsidR="00EE2D2F" w:rsidRPr="00F57FA4">
        <w:rPr>
          <w:szCs w:val="20"/>
          <w:lang w:val="es-CO"/>
        </w:rPr>
        <w:t>,</w:t>
      </w:r>
      <w:r w:rsidR="008A385F">
        <w:rPr>
          <w:szCs w:val="20"/>
          <w:lang w:val="es-CO"/>
        </w:rPr>
        <w:t xml:space="preserve"> y que no cicatrizan</w:t>
      </w:r>
      <w:r w:rsidR="00EE2D2F" w:rsidRPr="00F57FA4">
        <w:rPr>
          <w:szCs w:val="20"/>
          <w:lang w:val="es-CO"/>
        </w:rPr>
        <w:t xml:space="preserve">. </w:t>
      </w:r>
      <w:r w:rsidR="006004B0">
        <w:rPr>
          <w:szCs w:val="20"/>
          <w:lang w:val="es-CO"/>
        </w:rPr>
        <w:t>Alega</w:t>
      </w:r>
      <w:r w:rsidR="00B36FF3">
        <w:rPr>
          <w:szCs w:val="20"/>
          <w:lang w:val="es-CO"/>
        </w:rPr>
        <w:t>ro</w:t>
      </w:r>
      <w:r w:rsidR="006004B0">
        <w:rPr>
          <w:szCs w:val="20"/>
          <w:lang w:val="es-CO"/>
        </w:rPr>
        <w:t xml:space="preserve">n que la patología responde a un brote de </w:t>
      </w:r>
      <w:r w:rsidR="006004B0">
        <w:rPr>
          <w:i/>
          <w:szCs w:val="20"/>
          <w:lang w:val="es-CO"/>
        </w:rPr>
        <w:t>criptococos</w:t>
      </w:r>
      <w:r w:rsidR="00F74535">
        <w:rPr>
          <w:i/>
          <w:szCs w:val="20"/>
          <w:lang w:val="es-CO"/>
        </w:rPr>
        <w:t>is</w:t>
      </w:r>
      <w:r w:rsidR="006004B0">
        <w:rPr>
          <w:szCs w:val="20"/>
          <w:lang w:val="es-CO"/>
        </w:rPr>
        <w:t>, que es un tipo de hongo que se encontraría relacionado</w:t>
      </w:r>
      <w:r w:rsidR="00EE2D2F" w:rsidRPr="00F57FA4">
        <w:rPr>
          <w:szCs w:val="20"/>
          <w:lang w:val="es-CO"/>
        </w:rPr>
        <w:t xml:space="preserve"> con el gran número de palomas y gatos presentes en todos los ambientes</w:t>
      </w:r>
      <w:r w:rsidR="006004B0">
        <w:rPr>
          <w:szCs w:val="20"/>
          <w:lang w:val="es-CO"/>
        </w:rPr>
        <w:t xml:space="preserve"> del centro penal</w:t>
      </w:r>
      <w:r w:rsidR="00EE2D2F" w:rsidRPr="00F57FA4">
        <w:rPr>
          <w:szCs w:val="20"/>
          <w:lang w:val="es-CO"/>
        </w:rPr>
        <w:t>.</w:t>
      </w:r>
    </w:p>
    <w:p w14:paraId="48187623" w14:textId="77777777" w:rsidR="00EE2D2F" w:rsidRPr="00F57FA4" w:rsidRDefault="00EE2D2F" w:rsidP="006D31D9">
      <w:pPr>
        <w:pStyle w:val="ListParagraph"/>
        <w:rPr>
          <w:szCs w:val="20"/>
          <w:lang w:val="es-CO"/>
        </w:rPr>
      </w:pPr>
    </w:p>
    <w:p w14:paraId="6D78F98C" w14:textId="77777777" w:rsidR="005135A8" w:rsidRPr="00F57FA4" w:rsidRDefault="002026D1" w:rsidP="006D31D9">
      <w:pPr>
        <w:pStyle w:val="ListParagraph"/>
        <w:numPr>
          <w:ilvl w:val="0"/>
          <w:numId w:val="20"/>
        </w:numPr>
        <w:snapToGrid w:val="0"/>
        <w:ind w:left="0" w:firstLine="0"/>
        <w:contextualSpacing w:val="0"/>
        <w:rPr>
          <w:szCs w:val="20"/>
          <w:lang w:val="es-CO"/>
        </w:rPr>
      </w:pPr>
      <w:r w:rsidRPr="00F57FA4">
        <w:rPr>
          <w:szCs w:val="20"/>
          <w:lang w:val="es-CO"/>
        </w:rPr>
        <w:t>R</w:t>
      </w:r>
      <w:r w:rsidR="0055033F" w:rsidRPr="00F57FA4">
        <w:rPr>
          <w:szCs w:val="20"/>
          <w:lang w:val="es-CO"/>
        </w:rPr>
        <w:t>eport</w:t>
      </w:r>
      <w:r w:rsidRPr="00F57FA4">
        <w:rPr>
          <w:szCs w:val="20"/>
          <w:lang w:val="es-CO"/>
        </w:rPr>
        <w:t>aron</w:t>
      </w:r>
      <w:r w:rsidR="0055033F" w:rsidRPr="00F57FA4">
        <w:rPr>
          <w:szCs w:val="20"/>
          <w:lang w:val="es-CO"/>
        </w:rPr>
        <w:t xml:space="preserve"> que no se ha adoptado ninguna medida</w:t>
      </w:r>
      <w:r w:rsidR="00EE2D2F" w:rsidRPr="00F57FA4">
        <w:rPr>
          <w:szCs w:val="20"/>
          <w:lang w:val="es-CO"/>
        </w:rPr>
        <w:t xml:space="preserve"> para prevenir e impedir la propagación de estas enfermedades. Los internos con tuberculosis (medicados o no), continúan </w:t>
      </w:r>
      <w:r w:rsidR="0055033F" w:rsidRPr="00F57FA4">
        <w:rPr>
          <w:szCs w:val="20"/>
          <w:lang w:val="es-CO"/>
        </w:rPr>
        <w:t>conviviendo con el resto de internos</w:t>
      </w:r>
      <w:r w:rsidR="00EE2D2F" w:rsidRPr="00F57FA4">
        <w:rPr>
          <w:szCs w:val="20"/>
          <w:lang w:val="es-CO"/>
        </w:rPr>
        <w:t>, a pesar de la recomendación médica de</w:t>
      </w:r>
      <w:r w:rsidR="00A64661" w:rsidRPr="00F57FA4">
        <w:rPr>
          <w:szCs w:val="20"/>
          <w:lang w:val="es-CO"/>
        </w:rPr>
        <w:t xml:space="preserve"> aislamiento en esos casos.</w:t>
      </w:r>
      <w:r w:rsidR="00737F79" w:rsidRPr="00F57FA4">
        <w:rPr>
          <w:szCs w:val="20"/>
          <w:lang w:val="es-CO"/>
        </w:rPr>
        <w:t xml:space="preserve"> </w:t>
      </w:r>
      <w:r w:rsidR="006004B0">
        <w:rPr>
          <w:szCs w:val="20"/>
          <w:lang w:val="es-CO"/>
        </w:rPr>
        <w:t>Presentaron fotografías que constatan</w:t>
      </w:r>
      <w:r w:rsidR="0055033F" w:rsidRPr="00F57FA4">
        <w:rPr>
          <w:szCs w:val="20"/>
          <w:lang w:val="es-CO"/>
        </w:rPr>
        <w:t xml:space="preserve"> la presencia de vario</w:t>
      </w:r>
      <w:r w:rsidR="00A64661" w:rsidRPr="00F57FA4">
        <w:rPr>
          <w:szCs w:val="20"/>
          <w:lang w:val="es-CO"/>
        </w:rPr>
        <w:t xml:space="preserve">s </w:t>
      </w:r>
      <w:r w:rsidR="0055033F" w:rsidRPr="00F57FA4">
        <w:rPr>
          <w:szCs w:val="20"/>
          <w:lang w:val="es-CO"/>
        </w:rPr>
        <w:t xml:space="preserve">internos </w:t>
      </w:r>
      <w:r w:rsidR="00EE2D2F" w:rsidRPr="00F57FA4">
        <w:rPr>
          <w:szCs w:val="20"/>
          <w:lang w:val="es-CO"/>
        </w:rPr>
        <w:t xml:space="preserve">con </w:t>
      </w:r>
      <w:r w:rsidR="00EE2D2F" w:rsidRPr="00456058">
        <w:rPr>
          <w:i/>
          <w:szCs w:val="20"/>
          <w:lang w:val="es-CO"/>
        </w:rPr>
        <w:t>hernia inguinoescrotal gigante</w:t>
      </w:r>
      <w:r w:rsidR="00EE2D2F" w:rsidRPr="00F57FA4">
        <w:rPr>
          <w:szCs w:val="20"/>
          <w:lang w:val="es-CO"/>
        </w:rPr>
        <w:t xml:space="preserve">, </w:t>
      </w:r>
      <w:r w:rsidR="007F34F0">
        <w:rPr>
          <w:szCs w:val="20"/>
          <w:lang w:val="es-CO"/>
        </w:rPr>
        <w:t xml:space="preserve">la cual </w:t>
      </w:r>
      <w:r w:rsidR="001724B3">
        <w:rPr>
          <w:szCs w:val="20"/>
          <w:lang w:val="es-CO"/>
        </w:rPr>
        <w:t xml:space="preserve">es un tipo muy inusual de hernia, y </w:t>
      </w:r>
      <w:r w:rsidR="007F34F0">
        <w:rPr>
          <w:szCs w:val="20"/>
          <w:lang w:val="es-CO"/>
        </w:rPr>
        <w:t>está</w:t>
      </w:r>
      <w:r w:rsidR="00EE2D2F" w:rsidRPr="00F57FA4">
        <w:rPr>
          <w:szCs w:val="20"/>
          <w:lang w:val="es-CO"/>
        </w:rPr>
        <w:t xml:space="preserve"> asociad</w:t>
      </w:r>
      <w:r w:rsidR="007F34F0">
        <w:rPr>
          <w:szCs w:val="20"/>
          <w:lang w:val="es-CO"/>
        </w:rPr>
        <w:t>a</w:t>
      </w:r>
      <w:r w:rsidR="00EE2D2F" w:rsidRPr="00F57FA4">
        <w:rPr>
          <w:szCs w:val="20"/>
          <w:lang w:val="es-CO"/>
        </w:rPr>
        <w:t xml:space="preserve"> a la falta de asistencia </w:t>
      </w:r>
      <w:r w:rsidR="001C44C4" w:rsidRPr="00F57FA4">
        <w:rPr>
          <w:szCs w:val="20"/>
          <w:lang w:val="es-CO"/>
        </w:rPr>
        <w:t>médica o demora en la atención</w:t>
      </w:r>
      <w:r w:rsidR="007F34F0">
        <w:rPr>
          <w:szCs w:val="20"/>
          <w:lang w:val="es-CO"/>
        </w:rPr>
        <w:t xml:space="preserve"> a la misma</w:t>
      </w:r>
      <w:r w:rsidR="001C44C4" w:rsidRPr="00F57FA4">
        <w:rPr>
          <w:szCs w:val="20"/>
          <w:lang w:val="es-CO"/>
        </w:rPr>
        <w:t>.</w:t>
      </w:r>
      <w:r w:rsidR="001724B3">
        <w:rPr>
          <w:szCs w:val="20"/>
          <w:lang w:val="es-CO"/>
        </w:rPr>
        <w:t xml:space="preserve"> Cita</w:t>
      </w:r>
      <w:r w:rsidR="00456058">
        <w:rPr>
          <w:szCs w:val="20"/>
          <w:lang w:val="es-CO"/>
        </w:rPr>
        <w:t>ro</w:t>
      </w:r>
      <w:r w:rsidR="001724B3">
        <w:rPr>
          <w:szCs w:val="20"/>
          <w:lang w:val="es-CO"/>
        </w:rPr>
        <w:t>n como ejemplo el caso de</w:t>
      </w:r>
      <w:r w:rsidR="00556529">
        <w:rPr>
          <w:szCs w:val="20"/>
          <w:lang w:val="es-CO"/>
        </w:rPr>
        <w:t>l interno</w:t>
      </w:r>
      <w:r w:rsidR="001724B3">
        <w:rPr>
          <w:szCs w:val="20"/>
          <w:lang w:val="es-CO"/>
        </w:rPr>
        <w:t xml:space="preserve"> E</w:t>
      </w:r>
      <w:r w:rsidR="00456058">
        <w:rPr>
          <w:szCs w:val="20"/>
          <w:lang w:val="es-CO"/>
        </w:rPr>
        <w:t>.</w:t>
      </w:r>
      <w:r w:rsidR="001724B3">
        <w:rPr>
          <w:szCs w:val="20"/>
          <w:lang w:val="es-CO"/>
        </w:rPr>
        <w:t>P</w:t>
      </w:r>
      <w:r w:rsidR="00456058">
        <w:rPr>
          <w:szCs w:val="20"/>
          <w:lang w:val="es-CO"/>
        </w:rPr>
        <w:t>.</w:t>
      </w:r>
      <w:r w:rsidR="001724B3">
        <w:rPr>
          <w:szCs w:val="20"/>
          <w:lang w:val="es-CO"/>
        </w:rPr>
        <w:t>C</w:t>
      </w:r>
      <w:r w:rsidR="00456058">
        <w:rPr>
          <w:szCs w:val="20"/>
          <w:lang w:val="es-CO"/>
        </w:rPr>
        <w:t>.</w:t>
      </w:r>
      <w:r w:rsidR="001724B3">
        <w:rPr>
          <w:szCs w:val="20"/>
          <w:lang w:val="es-CO"/>
        </w:rPr>
        <w:t xml:space="preserve">, quien tiene </w:t>
      </w:r>
      <w:r w:rsidR="00456058">
        <w:rPr>
          <w:szCs w:val="20"/>
          <w:lang w:val="es-CO"/>
        </w:rPr>
        <w:t>seis</w:t>
      </w:r>
      <w:r w:rsidR="001724B3">
        <w:rPr>
          <w:szCs w:val="20"/>
          <w:lang w:val="es-CO"/>
        </w:rPr>
        <w:t xml:space="preserve"> años esperando tratamiento adecuado para su hernia.</w:t>
      </w:r>
      <w:r w:rsidR="001C44C4" w:rsidRPr="00F57FA4">
        <w:rPr>
          <w:szCs w:val="20"/>
          <w:lang w:val="es-CO"/>
        </w:rPr>
        <w:t xml:space="preserve"> </w:t>
      </w:r>
    </w:p>
    <w:p w14:paraId="550A7215" w14:textId="77777777" w:rsidR="005135A8" w:rsidRPr="00F57FA4" w:rsidRDefault="005135A8" w:rsidP="006D31D9">
      <w:pPr>
        <w:pStyle w:val="ListParagraph"/>
        <w:rPr>
          <w:szCs w:val="20"/>
          <w:lang w:val="es-CO"/>
        </w:rPr>
      </w:pPr>
    </w:p>
    <w:p w14:paraId="0CC78425" w14:textId="32A229D6" w:rsidR="005135A8" w:rsidRPr="00F57FA4" w:rsidRDefault="00A23EDE" w:rsidP="006D31D9">
      <w:pPr>
        <w:pStyle w:val="ListParagraph"/>
        <w:numPr>
          <w:ilvl w:val="0"/>
          <w:numId w:val="20"/>
        </w:numPr>
        <w:snapToGrid w:val="0"/>
        <w:ind w:left="0" w:firstLine="0"/>
        <w:contextualSpacing w:val="0"/>
        <w:rPr>
          <w:szCs w:val="20"/>
          <w:lang w:val="es-CO"/>
        </w:rPr>
      </w:pPr>
      <w:r w:rsidRPr="00F57FA4">
        <w:rPr>
          <w:szCs w:val="20"/>
          <w:lang w:val="es-CO"/>
        </w:rPr>
        <w:t xml:space="preserve">Por otra parte, resaltaron </w:t>
      </w:r>
      <w:r w:rsidR="005135A8" w:rsidRPr="00F57FA4">
        <w:rPr>
          <w:szCs w:val="20"/>
          <w:lang w:val="es-CO"/>
        </w:rPr>
        <w:t>que m</w:t>
      </w:r>
      <w:r w:rsidR="00737F79" w:rsidRPr="00F57FA4">
        <w:rPr>
          <w:szCs w:val="20"/>
          <w:lang w:val="es-CO"/>
        </w:rPr>
        <w:t xml:space="preserve">ientras </w:t>
      </w:r>
      <w:r w:rsidR="00FD1606">
        <w:rPr>
          <w:szCs w:val="20"/>
          <w:lang w:val="es-CO"/>
        </w:rPr>
        <w:t xml:space="preserve">un </w:t>
      </w:r>
      <w:r w:rsidR="00737F79" w:rsidRPr="00F57FA4">
        <w:rPr>
          <w:szCs w:val="20"/>
          <w:lang w:val="es-CO"/>
        </w:rPr>
        <w:t xml:space="preserve">médico </w:t>
      </w:r>
      <w:r w:rsidR="005135A8" w:rsidRPr="00F57FA4">
        <w:rPr>
          <w:szCs w:val="20"/>
          <w:lang w:val="es-CO"/>
        </w:rPr>
        <w:t xml:space="preserve">realiza </w:t>
      </w:r>
      <w:r w:rsidR="001C44C4" w:rsidRPr="00F57FA4">
        <w:rPr>
          <w:szCs w:val="20"/>
          <w:lang w:val="es-CO"/>
        </w:rPr>
        <w:t xml:space="preserve">atención </w:t>
      </w:r>
      <w:r w:rsidR="005135A8" w:rsidRPr="00F57FA4">
        <w:rPr>
          <w:szCs w:val="20"/>
          <w:lang w:val="es-CO"/>
        </w:rPr>
        <w:t>una vez por semana</w:t>
      </w:r>
      <w:r w:rsidRPr="00F57FA4">
        <w:rPr>
          <w:szCs w:val="20"/>
          <w:lang w:val="es-CO"/>
        </w:rPr>
        <w:t xml:space="preserve"> en el IPPSC</w:t>
      </w:r>
      <w:r w:rsidR="005135A8" w:rsidRPr="00F57FA4">
        <w:rPr>
          <w:szCs w:val="20"/>
          <w:lang w:val="es-CO"/>
        </w:rPr>
        <w:t xml:space="preserve">, la Resolución nº 1 de 2009 del CNPCP </w:t>
      </w:r>
      <w:r w:rsidR="00EB72A9" w:rsidRPr="00F57FA4">
        <w:rPr>
          <w:szCs w:val="20"/>
          <w:lang w:val="es-CO"/>
        </w:rPr>
        <w:t>establece</w:t>
      </w:r>
      <w:r w:rsidR="005135A8" w:rsidRPr="00F57FA4">
        <w:rPr>
          <w:szCs w:val="20"/>
          <w:lang w:val="es-CO"/>
        </w:rPr>
        <w:t xml:space="preserve"> que las unidades penitenciarias deben </w:t>
      </w:r>
      <w:r w:rsidR="00EB72A9" w:rsidRPr="00F57FA4">
        <w:rPr>
          <w:szCs w:val="20"/>
          <w:lang w:val="es-CO"/>
        </w:rPr>
        <w:t xml:space="preserve">garantizar la presencia de </w:t>
      </w:r>
      <w:r w:rsidR="00FD1606">
        <w:rPr>
          <w:szCs w:val="20"/>
          <w:lang w:val="es-CO"/>
        </w:rPr>
        <w:t>un</w:t>
      </w:r>
      <w:r w:rsidR="005135A8" w:rsidRPr="00F57FA4">
        <w:rPr>
          <w:szCs w:val="20"/>
          <w:lang w:val="es-CO"/>
        </w:rPr>
        <w:t xml:space="preserve"> médico </w:t>
      </w:r>
      <w:r w:rsidR="00EB72A9" w:rsidRPr="00F57FA4">
        <w:rPr>
          <w:szCs w:val="20"/>
          <w:lang w:val="es-CO"/>
        </w:rPr>
        <w:t>general</w:t>
      </w:r>
      <w:r w:rsidR="0055033F" w:rsidRPr="00F57FA4">
        <w:rPr>
          <w:szCs w:val="20"/>
          <w:lang w:val="es-CO"/>
        </w:rPr>
        <w:t xml:space="preserve"> por cada 500 </w:t>
      </w:r>
      <w:r w:rsidR="007F34F0">
        <w:rPr>
          <w:szCs w:val="20"/>
          <w:lang w:val="es-CO"/>
        </w:rPr>
        <w:t>personas privadas de libertad</w:t>
      </w:r>
      <w:r w:rsidRPr="00F57FA4">
        <w:rPr>
          <w:szCs w:val="20"/>
          <w:lang w:val="es-CO"/>
        </w:rPr>
        <w:t>. P</w:t>
      </w:r>
      <w:r w:rsidR="005135A8" w:rsidRPr="00F57FA4">
        <w:rPr>
          <w:szCs w:val="20"/>
          <w:lang w:val="es-CO"/>
        </w:rPr>
        <w:t>or lo tanto</w:t>
      </w:r>
      <w:r w:rsidRPr="00F57FA4">
        <w:rPr>
          <w:szCs w:val="20"/>
          <w:lang w:val="es-CO"/>
        </w:rPr>
        <w:t>,</w:t>
      </w:r>
      <w:r w:rsidR="005135A8" w:rsidRPr="00F57FA4">
        <w:rPr>
          <w:szCs w:val="20"/>
          <w:lang w:val="es-CO"/>
        </w:rPr>
        <w:t xml:space="preserve"> </w:t>
      </w:r>
      <w:r w:rsidRPr="00F57FA4">
        <w:rPr>
          <w:szCs w:val="20"/>
          <w:lang w:val="es-CO"/>
        </w:rPr>
        <w:t xml:space="preserve">el número recomendado </w:t>
      </w:r>
      <w:r w:rsidR="005135A8" w:rsidRPr="00F57FA4">
        <w:rPr>
          <w:szCs w:val="20"/>
          <w:lang w:val="es-CO"/>
        </w:rPr>
        <w:t xml:space="preserve">para el IPPSC </w:t>
      </w:r>
      <w:r w:rsidR="007F34F0">
        <w:rPr>
          <w:szCs w:val="20"/>
          <w:lang w:val="es-CO"/>
        </w:rPr>
        <w:t>tendría que ser</w:t>
      </w:r>
      <w:r w:rsidR="007F34F0" w:rsidRPr="00F57FA4">
        <w:rPr>
          <w:szCs w:val="20"/>
          <w:lang w:val="es-CO"/>
        </w:rPr>
        <w:t xml:space="preserve"> </w:t>
      </w:r>
      <w:r w:rsidR="005D4345">
        <w:rPr>
          <w:szCs w:val="20"/>
          <w:lang w:val="es-CO"/>
        </w:rPr>
        <w:t>de al menos seis</w:t>
      </w:r>
      <w:r w:rsidR="005135A8" w:rsidRPr="00F57FA4">
        <w:rPr>
          <w:szCs w:val="20"/>
          <w:lang w:val="es-CO"/>
        </w:rPr>
        <w:t xml:space="preserve"> médicos. </w:t>
      </w:r>
      <w:r w:rsidR="001C44C4" w:rsidRPr="00F57FA4">
        <w:rPr>
          <w:szCs w:val="20"/>
          <w:lang w:val="es-CO"/>
        </w:rPr>
        <w:t>Asimismo</w:t>
      </w:r>
      <w:r w:rsidRPr="00F57FA4">
        <w:rPr>
          <w:szCs w:val="20"/>
          <w:lang w:val="es-CO"/>
        </w:rPr>
        <w:t>,</w:t>
      </w:r>
      <w:r w:rsidR="001C44C4" w:rsidRPr="00F57FA4">
        <w:rPr>
          <w:szCs w:val="20"/>
          <w:lang w:val="es-CO"/>
        </w:rPr>
        <w:t xml:space="preserve"> r</w:t>
      </w:r>
      <w:r w:rsidR="005135A8" w:rsidRPr="00F57FA4">
        <w:rPr>
          <w:szCs w:val="20"/>
          <w:lang w:val="es-CO"/>
        </w:rPr>
        <w:t xml:space="preserve">esaltaron que el consultorio odontológico estaba </w:t>
      </w:r>
      <w:r w:rsidR="00EB72A9" w:rsidRPr="00F57FA4">
        <w:rPr>
          <w:szCs w:val="20"/>
          <w:lang w:val="es-CO"/>
        </w:rPr>
        <w:t>clausurado</w:t>
      </w:r>
      <w:r w:rsidR="005135A8" w:rsidRPr="00F57FA4">
        <w:rPr>
          <w:szCs w:val="20"/>
          <w:lang w:val="es-CO"/>
        </w:rPr>
        <w:t xml:space="preserve"> por filtraciones. En cuanto al equipo de enfermería, </w:t>
      </w:r>
      <w:r w:rsidR="00556529">
        <w:rPr>
          <w:szCs w:val="20"/>
          <w:lang w:val="es-CO"/>
        </w:rPr>
        <w:t xml:space="preserve">sostuvieron que </w:t>
      </w:r>
      <w:r w:rsidR="005135A8" w:rsidRPr="00F57FA4">
        <w:rPr>
          <w:szCs w:val="20"/>
          <w:lang w:val="es-CO"/>
        </w:rPr>
        <w:t xml:space="preserve">muchos internos relataron que </w:t>
      </w:r>
      <w:r w:rsidR="0055033F" w:rsidRPr="00F57FA4">
        <w:rPr>
          <w:szCs w:val="20"/>
          <w:lang w:val="es-CO"/>
        </w:rPr>
        <w:t xml:space="preserve">la atención ambulatoria </w:t>
      </w:r>
      <w:r w:rsidR="005135A8" w:rsidRPr="00F57FA4">
        <w:rPr>
          <w:szCs w:val="20"/>
          <w:lang w:val="es-CO"/>
        </w:rPr>
        <w:t>era inexistente o extremadamente insuficiente.</w:t>
      </w:r>
      <w:r w:rsidR="00737F79" w:rsidRPr="00F57FA4">
        <w:rPr>
          <w:rFonts w:eastAsia="Times New Roman" w:cs="Courier New"/>
          <w:b/>
          <w:color w:val="212121"/>
          <w:szCs w:val="20"/>
          <w:lang w:val="es-CO" w:eastAsia="es-CR"/>
        </w:rPr>
        <w:t xml:space="preserve"> </w:t>
      </w:r>
    </w:p>
    <w:p w14:paraId="5D254439" w14:textId="77777777" w:rsidR="005135A8" w:rsidRPr="00F57FA4" w:rsidRDefault="005135A8" w:rsidP="006D31D9">
      <w:pPr>
        <w:pStyle w:val="ListParagraph"/>
        <w:rPr>
          <w:szCs w:val="20"/>
          <w:lang w:val="es-CO"/>
        </w:rPr>
      </w:pPr>
    </w:p>
    <w:p w14:paraId="79B7352A" w14:textId="77777777" w:rsidR="00EB72A9" w:rsidRPr="00F57FA4" w:rsidRDefault="00A23EDE" w:rsidP="006D31D9">
      <w:pPr>
        <w:pStyle w:val="ListParagraph"/>
        <w:numPr>
          <w:ilvl w:val="0"/>
          <w:numId w:val="20"/>
        </w:numPr>
        <w:snapToGrid w:val="0"/>
        <w:ind w:left="0" w:firstLine="0"/>
        <w:contextualSpacing w:val="0"/>
        <w:rPr>
          <w:szCs w:val="20"/>
          <w:lang w:val="es-CO"/>
        </w:rPr>
      </w:pPr>
      <w:r w:rsidRPr="00F57FA4">
        <w:rPr>
          <w:szCs w:val="20"/>
          <w:lang w:val="es-CO"/>
        </w:rPr>
        <w:t>A</w:t>
      </w:r>
      <w:r w:rsidR="0055033F" w:rsidRPr="00F57FA4">
        <w:rPr>
          <w:szCs w:val="20"/>
          <w:lang w:val="es-CO"/>
        </w:rPr>
        <w:t>firmaron que el IPPS</w:t>
      </w:r>
      <w:r w:rsidRPr="00F57FA4">
        <w:rPr>
          <w:szCs w:val="20"/>
          <w:lang w:val="es-CO"/>
        </w:rPr>
        <w:t>C</w:t>
      </w:r>
      <w:r w:rsidR="0055033F" w:rsidRPr="00F57FA4">
        <w:rPr>
          <w:szCs w:val="20"/>
          <w:lang w:val="es-CO"/>
        </w:rPr>
        <w:t xml:space="preserve"> </w:t>
      </w:r>
      <w:r w:rsidR="001C44C4" w:rsidRPr="00F57FA4">
        <w:rPr>
          <w:szCs w:val="20"/>
          <w:lang w:val="es-CO"/>
        </w:rPr>
        <w:t>cuenta con la presencia de</w:t>
      </w:r>
      <w:r w:rsidR="005D4345">
        <w:rPr>
          <w:szCs w:val="20"/>
          <w:lang w:val="es-CO"/>
        </w:rPr>
        <w:t xml:space="preserve"> tres</w:t>
      </w:r>
      <w:r w:rsidR="005135A8" w:rsidRPr="00F57FA4">
        <w:rPr>
          <w:szCs w:val="20"/>
          <w:lang w:val="es-CO"/>
        </w:rPr>
        <w:t xml:space="preserve"> psicólog</w:t>
      </w:r>
      <w:r w:rsidR="00465E1E">
        <w:rPr>
          <w:szCs w:val="20"/>
          <w:lang w:val="es-CO"/>
        </w:rPr>
        <w:t>a</w:t>
      </w:r>
      <w:r w:rsidR="005135A8" w:rsidRPr="00F57FA4">
        <w:rPr>
          <w:szCs w:val="20"/>
          <w:lang w:val="es-CO"/>
        </w:rPr>
        <w:t xml:space="preserve">s que </w:t>
      </w:r>
      <w:r w:rsidR="00465E1E">
        <w:rPr>
          <w:szCs w:val="20"/>
          <w:lang w:val="es-CO"/>
        </w:rPr>
        <w:t>dan</w:t>
      </w:r>
      <w:r w:rsidR="00465E1E" w:rsidRPr="00F57FA4">
        <w:rPr>
          <w:szCs w:val="20"/>
          <w:lang w:val="es-CO"/>
        </w:rPr>
        <w:t xml:space="preserve"> </w:t>
      </w:r>
      <w:r w:rsidR="001C44C4" w:rsidRPr="00F57FA4">
        <w:rPr>
          <w:szCs w:val="20"/>
          <w:lang w:val="es-CO"/>
        </w:rPr>
        <w:t>atención de lunes a jueves</w:t>
      </w:r>
      <w:r w:rsidR="001C44C4" w:rsidRPr="001C2373">
        <w:rPr>
          <w:szCs w:val="20"/>
          <w:lang w:val="es-CO"/>
        </w:rPr>
        <w:t>. L</w:t>
      </w:r>
      <w:r w:rsidR="005135A8" w:rsidRPr="001C2373">
        <w:rPr>
          <w:szCs w:val="20"/>
          <w:lang w:val="es-CO"/>
        </w:rPr>
        <w:t>a mayoría de las atenciones están relacionadas a la realización de exámenes criminológicos para progresión de</w:t>
      </w:r>
      <w:r w:rsidR="00EB72A9" w:rsidRPr="001C2373">
        <w:rPr>
          <w:szCs w:val="20"/>
          <w:lang w:val="es-CO"/>
        </w:rPr>
        <w:t>l</w:t>
      </w:r>
      <w:r w:rsidR="005135A8" w:rsidRPr="001C2373">
        <w:rPr>
          <w:szCs w:val="20"/>
          <w:lang w:val="es-CO"/>
        </w:rPr>
        <w:t xml:space="preserve"> régimen</w:t>
      </w:r>
      <w:r w:rsidR="00135D09" w:rsidRPr="001C2373">
        <w:rPr>
          <w:szCs w:val="20"/>
          <w:lang w:val="es-CO"/>
        </w:rPr>
        <w:t xml:space="preserve"> de </w:t>
      </w:r>
      <w:r w:rsidR="001C2373" w:rsidRPr="001C2373">
        <w:rPr>
          <w:szCs w:val="20"/>
          <w:lang w:val="es-CO"/>
        </w:rPr>
        <w:t xml:space="preserve">cumplimiento de </w:t>
      </w:r>
      <w:r w:rsidR="00135D09" w:rsidRPr="001C2373">
        <w:rPr>
          <w:szCs w:val="20"/>
          <w:lang w:val="es-CO"/>
        </w:rPr>
        <w:t>pena</w:t>
      </w:r>
      <w:r w:rsidR="005135A8" w:rsidRPr="001C2373">
        <w:rPr>
          <w:szCs w:val="20"/>
          <w:lang w:val="es-CO"/>
        </w:rPr>
        <w:t xml:space="preserve">, concesión de </w:t>
      </w:r>
      <w:r w:rsidR="00465E1E" w:rsidRPr="001C2373">
        <w:rPr>
          <w:szCs w:val="20"/>
          <w:lang w:val="es-CO"/>
        </w:rPr>
        <w:t xml:space="preserve">libertad </w:t>
      </w:r>
      <w:r w:rsidR="005135A8" w:rsidRPr="001C2373">
        <w:rPr>
          <w:szCs w:val="20"/>
          <w:lang w:val="es-CO"/>
        </w:rPr>
        <w:t>condicional y acompañamiento de internos que rea</w:t>
      </w:r>
      <w:r w:rsidR="001C44C4" w:rsidRPr="001C2373">
        <w:rPr>
          <w:szCs w:val="20"/>
          <w:lang w:val="es-CO"/>
        </w:rPr>
        <w:t>lizan visita periódica al hogar</w:t>
      </w:r>
      <w:r w:rsidR="005135A8" w:rsidRPr="001C2373">
        <w:rPr>
          <w:szCs w:val="20"/>
          <w:lang w:val="es-CO"/>
        </w:rPr>
        <w:t>.</w:t>
      </w:r>
      <w:r w:rsidR="005135A8" w:rsidRPr="00F57FA4">
        <w:rPr>
          <w:szCs w:val="20"/>
          <w:lang w:val="es-CO"/>
        </w:rPr>
        <w:t xml:space="preserve"> </w:t>
      </w:r>
    </w:p>
    <w:p w14:paraId="047F9322" w14:textId="77777777" w:rsidR="00EB72A9" w:rsidRPr="00F57FA4" w:rsidRDefault="00EB72A9" w:rsidP="006D31D9">
      <w:pPr>
        <w:pStyle w:val="ListParagraph"/>
        <w:rPr>
          <w:szCs w:val="20"/>
          <w:lang w:val="es-CO"/>
        </w:rPr>
      </w:pPr>
    </w:p>
    <w:p w14:paraId="78E4B42C" w14:textId="77777777" w:rsidR="00E60939" w:rsidRDefault="00A23EDE" w:rsidP="006D31D9">
      <w:pPr>
        <w:pStyle w:val="ListParagraph"/>
        <w:numPr>
          <w:ilvl w:val="0"/>
          <w:numId w:val="20"/>
        </w:numPr>
        <w:snapToGrid w:val="0"/>
        <w:ind w:left="0" w:firstLine="0"/>
        <w:contextualSpacing w:val="0"/>
        <w:rPr>
          <w:szCs w:val="20"/>
          <w:lang w:val="es-CO"/>
        </w:rPr>
      </w:pPr>
      <w:r w:rsidRPr="00F57FA4">
        <w:rPr>
          <w:szCs w:val="20"/>
          <w:lang w:val="es-CO"/>
        </w:rPr>
        <w:t>E</w:t>
      </w:r>
      <w:r w:rsidR="00EB72A9" w:rsidRPr="00F57FA4">
        <w:rPr>
          <w:szCs w:val="20"/>
          <w:lang w:val="es-CO"/>
        </w:rPr>
        <w:t>l suministro de medicame</w:t>
      </w:r>
      <w:r w:rsidR="0055033F" w:rsidRPr="00F57FA4">
        <w:rPr>
          <w:szCs w:val="20"/>
          <w:lang w:val="es-CO"/>
        </w:rPr>
        <w:t>ntos y materiales hospitalarios</w:t>
      </w:r>
      <w:r w:rsidRPr="00F57FA4">
        <w:rPr>
          <w:szCs w:val="20"/>
          <w:lang w:val="es-CO"/>
        </w:rPr>
        <w:t xml:space="preserve"> </w:t>
      </w:r>
      <w:r w:rsidR="005135A8" w:rsidRPr="00F57FA4">
        <w:rPr>
          <w:szCs w:val="20"/>
          <w:lang w:val="es-CO"/>
        </w:rPr>
        <w:t xml:space="preserve">es prácticamente inexistente. Los cajones de almacenamiento de medicamentos básicos se encontraban vacíos y el stock de analgésicos se restringía a 12 </w:t>
      </w:r>
      <w:r w:rsidR="0055033F" w:rsidRPr="00F57FA4">
        <w:rPr>
          <w:szCs w:val="20"/>
          <w:lang w:val="es-CO"/>
        </w:rPr>
        <w:t>envases</w:t>
      </w:r>
      <w:r w:rsidR="005135A8" w:rsidRPr="00F57FA4">
        <w:rPr>
          <w:szCs w:val="20"/>
          <w:lang w:val="es-CO"/>
        </w:rPr>
        <w:t>.</w:t>
      </w:r>
      <w:r w:rsidR="00C7682A" w:rsidRPr="00F57FA4">
        <w:rPr>
          <w:rFonts w:eastAsia="Times New Roman" w:cs="Courier New"/>
          <w:b/>
          <w:color w:val="212121"/>
          <w:szCs w:val="20"/>
          <w:lang w:val="es-CO" w:eastAsia="es-CR"/>
        </w:rPr>
        <w:t xml:space="preserve"> </w:t>
      </w:r>
      <w:r w:rsidRPr="00F57FA4">
        <w:rPr>
          <w:szCs w:val="20"/>
          <w:lang w:val="es-CO"/>
        </w:rPr>
        <w:t>I</w:t>
      </w:r>
      <w:r w:rsidR="0055033F" w:rsidRPr="00F57FA4">
        <w:rPr>
          <w:szCs w:val="20"/>
          <w:lang w:val="es-CO"/>
        </w:rPr>
        <w:t>nformaron a través de imágenes que</w:t>
      </w:r>
      <w:r w:rsidR="005135A8" w:rsidRPr="00F57FA4">
        <w:rPr>
          <w:szCs w:val="20"/>
          <w:lang w:val="es-CO"/>
        </w:rPr>
        <w:t xml:space="preserve"> en la mayoría de </w:t>
      </w:r>
      <w:r w:rsidR="0055033F" w:rsidRPr="00F57FA4">
        <w:rPr>
          <w:szCs w:val="20"/>
          <w:lang w:val="es-CO"/>
        </w:rPr>
        <w:t>las</w:t>
      </w:r>
      <w:r w:rsidR="005135A8" w:rsidRPr="00F57FA4">
        <w:rPr>
          <w:szCs w:val="20"/>
          <w:lang w:val="es-CO"/>
        </w:rPr>
        <w:t xml:space="preserve"> </w:t>
      </w:r>
      <w:r w:rsidR="00EB72A9" w:rsidRPr="00F57FA4">
        <w:rPr>
          <w:szCs w:val="20"/>
          <w:lang w:val="es-CO"/>
        </w:rPr>
        <w:t>gavetas de medicamentos</w:t>
      </w:r>
      <w:r w:rsidR="0055033F" w:rsidRPr="00F57FA4">
        <w:rPr>
          <w:szCs w:val="20"/>
          <w:lang w:val="es-CO"/>
        </w:rPr>
        <w:t xml:space="preserve"> contienen</w:t>
      </w:r>
      <w:r w:rsidR="005135A8" w:rsidRPr="00F57FA4">
        <w:rPr>
          <w:szCs w:val="20"/>
          <w:lang w:val="es-CO"/>
        </w:rPr>
        <w:t xml:space="preserve"> el término "NT" ("no tiene"), indicando la falta de la mayoría de los medicamentos en stock. </w:t>
      </w:r>
    </w:p>
    <w:p w14:paraId="6AAD69CE" w14:textId="77777777" w:rsidR="00E60939" w:rsidRPr="00E60939" w:rsidRDefault="00E60939" w:rsidP="00316E96">
      <w:pPr>
        <w:pStyle w:val="ListParagraph"/>
        <w:rPr>
          <w:szCs w:val="20"/>
          <w:lang w:val="es-CO"/>
        </w:rPr>
      </w:pPr>
    </w:p>
    <w:p w14:paraId="2D3C3108" w14:textId="78E0FF41" w:rsidR="005135A8" w:rsidRPr="00F57FA4" w:rsidRDefault="0055033F" w:rsidP="006D31D9">
      <w:pPr>
        <w:pStyle w:val="ListParagraph"/>
        <w:numPr>
          <w:ilvl w:val="0"/>
          <w:numId w:val="20"/>
        </w:numPr>
        <w:snapToGrid w:val="0"/>
        <w:ind w:left="0" w:firstLine="0"/>
        <w:contextualSpacing w:val="0"/>
        <w:rPr>
          <w:szCs w:val="20"/>
          <w:lang w:val="es-CO"/>
        </w:rPr>
      </w:pPr>
      <w:r w:rsidRPr="00F57FA4">
        <w:rPr>
          <w:szCs w:val="20"/>
          <w:lang w:val="es-CO"/>
        </w:rPr>
        <w:t>Se resaltó</w:t>
      </w:r>
      <w:r w:rsidR="005135A8" w:rsidRPr="00F57FA4">
        <w:rPr>
          <w:szCs w:val="20"/>
          <w:lang w:val="es-CO"/>
        </w:rPr>
        <w:t xml:space="preserve"> que en</w:t>
      </w:r>
      <w:r w:rsidRPr="00F57FA4">
        <w:rPr>
          <w:szCs w:val="20"/>
          <w:lang w:val="es-CO"/>
        </w:rPr>
        <w:t xml:space="preserve"> el listado proporcionado por el Estado</w:t>
      </w:r>
      <w:r w:rsidR="005135A8" w:rsidRPr="00F57FA4">
        <w:rPr>
          <w:szCs w:val="20"/>
          <w:lang w:val="es-CO"/>
        </w:rPr>
        <w:t>,</w:t>
      </w:r>
      <w:r w:rsidRPr="00F57FA4">
        <w:rPr>
          <w:szCs w:val="20"/>
          <w:lang w:val="es-CO"/>
        </w:rPr>
        <w:t xml:space="preserve"> el IPPSC </w:t>
      </w:r>
      <w:r w:rsidR="00556529">
        <w:rPr>
          <w:szCs w:val="20"/>
          <w:lang w:val="es-CO"/>
        </w:rPr>
        <w:t>alberga</w:t>
      </w:r>
      <w:r w:rsidR="00556529" w:rsidRPr="00F57FA4">
        <w:rPr>
          <w:szCs w:val="20"/>
          <w:lang w:val="es-CO"/>
        </w:rPr>
        <w:t xml:space="preserve"> </w:t>
      </w:r>
      <w:r w:rsidR="005135A8" w:rsidRPr="00F57FA4">
        <w:rPr>
          <w:szCs w:val="20"/>
          <w:lang w:val="es-CO"/>
        </w:rPr>
        <w:t xml:space="preserve">105 presos </w:t>
      </w:r>
      <w:r w:rsidR="00FD2F53">
        <w:rPr>
          <w:szCs w:val="20"/>
          <w:lang w:val="es-CO"/>
        </w:rPr>
        <w:t xml:space="preserve">de la tercera edad </w:t>
      </w:r>
      <w:r w:rsidR="005135A8" w:rsidRPr="00F57FA4">
        <w:rPr>
          <w:szCs w:val="20"/>
          <w:lang w:val="es-CO"/>
        </w:rPr>
        <w:t>y 26 presos con discapacidades físicas</w:t>
      </w:r>
      <w:r w:rsidR="00A23EDE" w:rsidRPr="00F57FA4">
        <w:rPr>
          <w:szCs w:val="20"/>
          <w:lang w:val="es-CO"/>
        </w:rPr>
        <w:t xml:space="preserve">. El Instituto </w:t>
      </w:r>
      <w:r w:rsidR="005135A8" w:rsidRPr="00F57FA4">
        <w:rPr>
          <w:szCs w:val="20"/>
          <w:lang w:val="es-CO"/>
        </w:rPr>
        <w:t xml:space="preserve">no tiene adaptaciones para garantizar accesibilidad y cuenta con sólo </w:t>
      </w:r>
      <w:r w:rsidR="002F7CCE">
        <w:rPr>
          <w:szCs w:val="20"/>
          <w:lang w:val="es-CO"/>
        </w:rPr>
        <w:t>tres</w:t>
      </w:r>
      <w:r w:rsidR="005135A8" w:rsidRPr="00F57FA4">
        <w:rPr>
          <w:szCs w:val="20"/>
          <w:lang w:val="es-CO"/>
        </w:rPr>
        <w:t xml:space="preserve"> sillas de ruedas.</w:t>
      </w:r>
      <w:r w:rsidR="00737F79" w:rsidRPr="00F57FA4">
        <w:rPr>
          <w:rFonts w:eastAsia="Times New Roman" w:cs="Courier New"/>
          <w:b/>
          <w:color w:val="212121"/>
          <w:szCs w:val="20"/>
          <w:lang w:val="es-CO" w:eastAsia="es-CR"/>
        </w:rPr>
        <w:t xml:space="preserve"> </w:t>
      </w:r>
    </w:p>
    <w:p w14:paraId="7931C3CA" w14:textId="77777777" w:rsidR="005135A8" w:rsidRPr="00F57FA4" w:rsidRDefault="005135A8" w:rsidP="006D31D9">
      <w:pPr>
        <w:pStyle w:val="ListParagraph"/>
        <w:rPr>
          <w:szCs w:val="20"/>
          <w:lang w:val="es-CO"/>
        </w:rPr>
      </w:pPr>
    </w:p>
    <w:p w14:paraId="05310BF4" w14:textId="77777777" w:rsidR="005135A8" w:rsidRPr="00F57FA4" w:rsidRDefault="001C44C4" w:rsidP="006D31D9">
      <w:pPr>
        <w:pStyle w:val="ListParagraph"/>
        <w:numPr>
          <w:ilvl w:val="0"/>
          <w:numId w:val="20"/>
        </w:numPr>
        <w:snapToGrid w:val="0"/>
        <w:ind w:left="0" w:firstLine="0"/>
        <w:contextualSpacing w:val="0"/>
        <w:rPr>
          <w:szCs w:val="20"/>
          <w:lang w:val="es-CO"/>
        </w:rPr>
      </w:pPr>
      <w:r w:rsidRPr="00F57FA4">
        <w:rPr>
          <w:szCs w:val="20"/>
          <w:lang w:val="es-CO"/>
        </w:rPr>
        <w:t xml:space="preserve">En cuanto </w:t>
      </w:r>
      <w:r w:rsidR="005135A8" w:rsidRPr="00F57FA4">
        <w:rPr>
          <w:szCs w:val="20"/>
          <w:lang w:val="es-CO"/>
        </w:rPr>
        <w:t>al suministro de agua</w:t>
      </w:r>
      <w:r w:rsidR="0055033F" w:rsidRPr="00F57FA4">
        <w:rPr>
          <w:szCs w:val="20"/>
          <w:lang w:val="es-CO"/>
        </w:rPr>
        <w:t>,</w:t>
      </w:r>
      <w:r w:rsidR="005135A8" w:rsidRPr="00F57FA4">
        <w:rPr>
          <w:szCs w:val="20"/>
          <w:lang w:val="es-CO"/>
        </w:rPr>
        <w:t xml:space="preserve"> se </w:t>
      </w:r>
      <w:r w:rsidRPr="00F57FA4">
        <w:rPr>
          <w:szCs w:val="20"/>
          <w:lang w:val="es-CO"/>
        </w:rPr>
        <w:t>indicó</w:t>
      </w:r>
      <w:r w:rsidR="005135A8" w:rsidRPr="00F57FA4">
        <w:rPr>
          <w:szCs w:val="20"/>
          <w:lang w:val="es-CO"/>
        </w:rPr>
        <w:t xml:space="preserve"> que </w:t>
      </w:r>
      <w:r w:rsidRPr="00F57FA4">
        <w:rPr>
          <w:szCs w:val="20"/>
          <w:lang w:val="es-CO"/>
        </w:rPr>
        <w:t>este es</w:t>
      </w:r>
      <w:r w:rsidR="005135A8" w:rsidRPr="00F57FA4">
        <w:rPr>
          <w:szCs w:val="20"/>
          <w:lang w:val="es-CO"/>
        </w:rPr>
        <w:t xml:space="preserve"> </w:t>
      </w:r>
      <w:r w:rsidRPr="00F57FA4">
        <w:rPr>
          <w:szCs w:val="20"/>
          <w:lang w:val="es-CO"/>
        </w:rPr>
        <w:t>realizado</w:t>
      </w:r>
      <w:r w:rsidR="00EB72A9" w:rsidRPr="00F57FA4">
        <w:rPr>
          <w:szCs w:val="20"/>
          <w:lang w:val="es-CO"/>
        </w:rPr>
        <w:t xml:space="preserve"> en cantidad insuficiente y la </w:t>
      </w:r>
      <w:r w:rsidR="00587803">
        <w:rPr>
          <w:szCs w:val="20"/>
          <w:lang w:val="es-CO"/>
        </w:rPr>
        <w:t xml:space="preserve">calidad de la </w:t>
      </w:r>
      <w:r w:rsidR="00EB72A9" w:rsidRPr="00F57FA4">
        <w:rPr>
          <w:szCs w:val="20"/>
          <w:lang w:val="es-CO"/>
        </w:rPr>
        <w:t xml:space="preserve">misma </w:t>
      </w:r>
      <w:r w:rsidR="005135A8" w:rsidRPr="00F57FA4">
        <w:rPr>
          <w:szCs w:val="20"/>
          <w:lang w:val="es-CO"/>
        </w:rPr>
        <w:t>para el consumo humano</w:t>
      </w:r>
      <w:r w:rsidR="00587803">
        <w:rPr>
          <w:szCs w:val="20"/>
          <w:lang w:val="es-CO"/>
        </w:rPr>
        <w:t xml:space="preserve"> es dudosa.</w:t>
      </w:r>
      <w:r w:rsidR="005135A8" w:rsidRPr="00F57FA4">
        <w:rPr>
          <w:szCs w:val="20"/>
          <w:lang w:val="es-CO"/>
        </w:rPr>
        <w:t xml:space="preserve"> </w:t>
      </w:r>
      <w:r w:rsidR="00587803">
        <w:rPr>
          <w:szCs w:val="20"/>
          <w:lang w:val="es-CO"/>
        </w:rPr>
        <w:t>E</w:t>
      </w:r>
      <w:r w:rsidRPr="00F57FA4">
        <w:rPr>
          <w:szCs w:val="20"/>
          <w:lang w:val="es-CO"/>
        </w:rPr>
        <w:t xml:space="preserve">stos </w:t>
      </w:r>
      <w:r w:rsidR="005135A8" w:rsidRPr="00F57FA4">
        <w:rPr>
          <w:szCs w:val="20"/>
          <w:lang w:val="es-CO"/>
        </w:rPr>
        <w:t xml:space="preserve">factores </w:t>
      </w:r>
      <w:r w:rsidR="005135A8" w:rsidRPr="00F57FA4">
        <w:rPr>
          <w:szCs w:val="20"/>
          <w:lang w:val="es-CO"/>
        </w:rPr>
        <w:lastRenderedPageBreak/>
        <w:t>desencadenan problemas de salud</w:t>
      </w:r>
      <w:r w:rsidRPr="00F57FA4">
        <w:rPr>
          <w:szCs w:val="20"/>
          <w:lang w:val="es-CO"/>
        </w:rPr>
        <w:t xml:space="preserve"> de las personas privadas de la libertad</w:t>
      </w:r>
      <w:r w:rsidR="005135A8" w:rsidRPr="00F57FA4">
        <w:rPr>
          <w:szCs w:val="20"/>
          <w:lang w:val="es-CO"/>
        </w:rPr>
        <w:t xml:space="preserve">. </w:t>
      </w:r>
      <w:r w:rsidR="00587803">
        <w:rPr>
          <w:szCs w:val="20"/>
          <w:lang w:val="es-CO"/>
        </w:rPr>
        <w:t xml:space="preserve">Según la información presentada, </w:t>
      </w:r>
      <w:r w:rsidR="005135A8" w:rsidRPr="00F57FA4">
        <w:rPr>
          <w:szCs w:val="20"/>
          <w:lang w:val="es-CO"/>
        </w:rPr>
        <w:t>el suministro varía entre 3 o 4 veces al día en interva</w:t>
      </w:r>
      <w:r w:rsidRPr="00F57FA4">
        <w:rPr>
          <w:szCs w:val="20"/>
          <w:lang w:val="es-CO"/>
        </w:rPr>
        <w:t>los de 15 a 20 minutos</w:t>
      </w:r>
      <w:r w:rsidR="002C41F6">
        <w:rPr>
          <w:szCs w:val="20"/>
          <w:lang w:val="es-CO"/>
        </w:rPr>
        <w:t>. Los representantes</w:t>
      </w:r>
      <w:r w:rsidRPr="00F57FA4">
        <w:rPr>
          <w:szCs w:val="20"/>
          <w:lang w:val="es-CO"/>
        </w:rPr>
        <w:t xml:space="preserve"> también relataron que se</w:t>
      </w:r>
      <w:r w:rsidR="005135A8" w:rsidRPr="00F57FA4">
        <w:rPr>
          <w:szCs w:val="20"/>
          <w:lang w:val="es-CO"/>
        </w:rPr>
        <w:t xml:space="preserve"> necesita hacer </w:t>
      </w:r>
      <w:r w:rsidR="00FD2F53">
        <w:rPr>
          <w:szCs w:val="20"/>
          <w:lang w:val="es-CO"/>
        </w:rPr>
        <w:t xml:space="preserve">turno para </w:t>
      </w:r>
      <w:r w:rsidR="005135A8" w:rsidRPr="00F57FA4">
        <w:rPr>
          <w:szCs w:val="20"/>
          <w:lang w:val="es-CO"/>
        </w:rPr>
        <w:t xml:space="preserve">el baño y que cada </w:t>
      </w:r>
      <w:r w:rsidR="002C41F6" w:rsidRPr="00F57FA4">
        <w:rPr>
          <w:szCs w:val="20"/>
          <w:lang w:val="es-CO"/>
        </w:rPr>
        <w:t>p</w:t>
      </w:r>
      <w:r w:rsidR="002C41F6">
        <w:rPr>
          <w:szCs w:val="20"/>
          <w:lang w:val="es-CO"/>
        </w:rPr>
        <w:t>ersona</w:t>
      </w:r>
      <w:r w:rsidR="002C41F6" w:rsidRPr="00F57FA4">
        <w:rPr>
          <w:szCs w:val="20"/>
          <w:lang w:val="es-CO"/>
        </w:rPr>
        <w:t xml:space="preserve"> </w:t>
      </w:r>
      <w:r w:rsidR="005135A8" w:rsidRPr="00F57FA4">
        <w:rPr>
          <w:szCs w:val="20"/>
          <w:lang w:val="es-CO"/>
        </w:rPr>
        <w:t xml:space="preserve">tiene derecho a dos </w:t>
      </w:r>
      <w:r w:rsidR="00EB72A9" w:rsidRPr="00F57FA4">
        <w:rPr>
          <w:szCs w:val="20"/>
          <w:lang w:val="es-CO"/>
        </w:rPr>
        <w:t>raciones</w:t>
      </w:r>
      <w:r w:rsidR="005135A8" w:rsidRPr="00F57FA4">
        <w:rPr>
          <w:szCs w:val="20"/>
          <w:lang w:val="es-CO"/>
        </w:rPr>
        <w:t xml:space="preserve"> de agua</w:t>
      </w:r>
      <w:r w:rsidR="002C41F6">
        <w:rPr>
          <w:szCs w:val="20"/>
          <w:lang w:val="es-CO"/>
        </w:rPr>
        <w:t>, haciendo imposible que puedan tomar un baño diariamente</w:t>
      </w:r>
      <w:r w:rsidR="005135A8" w:rsidRPr="00F57FA4">
        <w:rPr>
          <w:szCs w:val="20"/>
          <w:lang w:val="es-CO"/>
        </w:rPr>
        <w:t>.</w:t>
      </w:r>
      <w:r w:rsidR="00737F79" w:rsidRPr="00F57FA4">
        <w:rPr>
          <w:rFonts w:eastAsia="Times New Roman" w:cs="Courier New"/>
          <w:b/>
          <w:color w:val="212121"/>
          <w:szCs w:val="20"/>
          <w:lang w:val="es-CO" w:eastAsia="es-CR"/>
        </w:rPr>
        <w:t xml:space="preserve"> </w:t>
      </w:r>
    </w:p>
    <w:p w14:paraId="45A454F3" w14:textId="77777777" w:rsidR="005135A8" w:rsidRPr="00F57FA4" w:rsidRDefault="005135A8" w:rsidP="006D31D9">
      <w:pPr>
        <w:pStyle w:val="ListParagraph"/>
        <w:rPr>
          <w:szCs w:val="20"/>
          <w:lang w:val="es-CO"/>
        </w:rPr>
      </w:pPr>
    </w:p>
    <w:p w14:paraId="4C5BC8CA" w14:textId="77777777" w:rsidR="005135A8" w:rsidRPr="00F57FA4" w:rsidRDefault="005135A8" w:rsidP="006D31D9">
      <w:pPr>
        <w:pStyle w:val="ListParagraph"/>
        <w:numPr>
          <w:ilvl w:val="0"/>
          <w:numId w:val="20"/>
        </w:numPr>
        <w:snapToGrid w:val="0"/>
        <w:ind w:left="0" w:firstLine="0"/>
        <w:contextualSpacing w:val="0"/>
        <w:rPr>
          <w:szCs w:val="20"/>
          <w:lang w:val="es-CO"/>
        </w:rPr>
      </w:pPr>
      <w:r w:rsidRPr="00F57FA4">
        <w:rPr>
          <w:szCs w:val="20"/>
          <w:lang w:val="es-CO"/>
        </w:rPr>
        <w:t>Sobr</w:t>
      </w:r>
      <w:r w:rsidR="001C44C4" w:rsidRPr="00F57FA4">
        <w:rPr>
          <w:szCs w:val="20"/>
          <w:lang w:val="es-CO"/>
        </w:rPr>
        <w:t>e las medidas de salud, informaron</w:t>
      </w:r>
      <w:r w:rsidRPr="00F57FA4">
        <w:rPr>
          <w:szCs w:val="20"/>
          <w:lang w:val="es-CO"/>
        </w:rPr>
        <w:t xml:space="preserve"> que la promesa de</w:t>
      </w:r>
      <w:r w:rsidR="00171AB4">
        <w:rPr>
          <w:szCs w:val="20"/>
          <w:lang w:val="es-CO"/>
        </w:rPr>
        <w:t>l Estado de contratar</w:t>
      </w:r>
      <w:r w:rsidRPr="00F57FA4">
        <w:rPr>
          <w:szCs w:val="20"/>
          <w:lang w:val="es-CO"/>
        </w:rPr>
        <w:t xml:space="preserve"> 52 profesionales de salud se remonta a principios de 2016, sin que se haya comprobado</w:t>
      </w:r>
      <w:r w:rsidR="00EB72A9" w:rsidRPr="00F57FA4">
        <w:rPr>
          <w:szCs w:val="20"/>
          <w:lang w:val="es-CO"/>
        </w:rPr>
        <w:t xml:space="preserve"> el cumplimiento de</w:t>
      </w:r>
      <w:r w:rsidRPr="00F57FA4">
        <w:rPr>
          <w:szCs w:val="20"/>
          <w:lang w:val="es-CO"/>
        </w:rPr>
        <w:t xml:space="preserve"> ninguna medida </w:t>
      </w:r>
      <w:r w:rsidR="00EB72A9" w:rsidRPr="00F57FA4">
        <w:rPr>
          <w:szCs w:val="20"/>
          <w:lang w:val="es-CO"/>
        </w:rPr>
        <w:t>en concreto</w:t>
      </w:r>
      <w:r w:rsidR="00171AB4">
        <w:rPr>
          <w:szCs w:val="20"/>
          <w:lang w:val="es-CO"/>
        </w:rPr>
        <w:t xml:space="preserve"> encaminada a ello</w:t>
      </w:r>
      <w:r w:rsidR="0055033F" w:rsidRPr="00F57FA4">
        <w:rPr>
          <w:szCs w:val="20"/>
          <w:lang w:val="es-CO"/>
        </w:rPr>
        <w:t>.</w:t>
      </w:r>
      <w:r w:rsidR="00704065">
        <w:rPr>
          <w:rFonts w:eastAsia="Times New Roman" w:cs="Courier New"/>
          <w:b/>
          <w:color w:val="212121"/>
          <w:szCs w:val="20"/>
          <w:lang w:val="es-CO" w:eastAsia="es-CR"/>
        </w:rPr>
        <w:t xml:space="preserve"> </w:t>
      </w:r>
      <w:r w:rsidR="0055033F" w:rsidRPr="00F57FA4">
        <w:rPr>
          <w:szCs w:val="20"/>
          <w:lang w:val="es-CO"/>
        </w:rPr>
        <w:t xml:space="preserve"> </w:t>
      </w:r>
      <w:r w:rsidR="00171AB4">
        <w:rPr>
          <w:szCs w:val="20"/>
          <w:lang w:val="es-CO"/>
        </w:rPr>
        <w:t>Los representantes acompañaron</w:t>
      </w:r>
      <w:r w:rsidR="0055033F" w:rsidRPr="00F57FA4">
        <w:rPr>
          <w:szCs w:val="20"/>
          <w:lang w:val="es-CO"/>
        </w:rPr>
        <w:t xml:space="preserve"> </w:t>
      </w:r>
      <w:r w:rsidRPr="00F57FA4">
        <w:rPr>
          <w:szCs w:val="20"/>
          <w:lang w:val="es-CO"/>
        </w:rPr>
        <w:t xml:space="preserve">una lista con </w:t>
      </w:r>
      <w:r w:rsidR="0055033F" w:rsidRPr="00F57FA4">
        <w:rPr>
          <w:szCs w:val="20"/>
          <w:lang w:val="es-CO"/>
        </w:rPr>
        <w:t>los</w:t>
      </w:r>
      <w:r w:rsidRPr="00F57FA4">
        <w:rPr>
          <w:szCs w:val="20"/>
          <w:lang w:val="es-CO"/>
        </w:rPr>
        <w:t xml:space="preserve"> nombres de </w:t>
      </w:r>
      <w:r w:rsidR="0055033F" w:rsidRPr="00F57FA4">
        <w:rPr>
          <w:szCs w:val="20"/>
          <w:lang w:val="es-CO"/>
        </w:rPr>
        <w:t>los internos</w:t>
      </w:r>
      <w:r w:rsidRPr="00F57FA4">
        <w:rPr>
          <w:szCs w:val="20"/>
          <w:lang w:val="es-CO"/>
        </w:rPr>
        <w:t xml:space="preserve"> cuyos derechos básicos de salud estaban siendo </w:t>
      </w:r>
      <w:r w:rsidR="00EB72A9" w:rsidRPr="00F57FA4">
        <w:rPr>
          <w:szCs w:val="20"/>
          <w:lang w:val="es-CO"/>
        </w:rPr>
        <w:t>vulnerados</w:t>
      </w:r>
      <w:r w:rsidRPr="00F57FA4">
        <w:rPr>
          <w:szCs w:val="20"/>
          <w:lang w:val="es-CO"/>
        </w:rPr>
        <w:t xml:space="preserve">. </w:t>
      </w:r>
    </w:p>
    <w:p w14:paraId="7832D767" w14:textId="77777777" w:rsidR="005135A8" w:rsidRPr="00F57FA4" w:rsidRDefault="005135A8" w:rsidP="006D31D9">
      <w:pPr>
        <w:pStyle w:val="ListParagraph"/>
        <w:rPr>
          <w:szCs w:val="20"/>
          <w:lang w:val="es-CO"/>
        </w:rPr>
      </w:pPr>
    </w:p>
    <w:p w14:paraId="517E8B72" w14:textId="77777777" w:rsidR="005135A8" w:rsidRPr="00F57FA4" w:rsidRDefault="00704065" w:rsidP="006D31D9">
      <w:pPr>
        <w:pStyle w:val="ListParagraph"/>
        <w:numPr>
          <w:ilvl w:val="0"/>
          <w:numId w:val="20"/>
        </w:numPr>
        <w:snapToGrid w:val="0"/>
        <w:ind w:left="0" w:firstLine="0"/>
        <w:contextualSpacing w:val="0"/>
        <w:rPr>
          <w:szCs w:val="20"/>
          <w:lang w:val="es-CO"/>
        </w:rPr>
      </w:pPr>
      <w:r>
        <w:rPr>
          <w:szCs w:val="20"/>
          <w:lang w:val="es-CO"/>
        </w:rPr>
        <w:t>I</w:t>
      </w:r>
      <w:r w:rsidR="0055033F" w:rsidRPr="00F57FA4">
        <w:rPr>
          <w:szCs w:val="20"/>
          <w:lang w:val="es-CO"/>
        </w:rPr>
        <w:t>nform</w:t>
      </w:r>
      <w:r>
        <w:rPr>
          <w:szCs w:val="20"/>
          <w:lang w:val="es-CO"/>
        </w:rPr>
        <w:t>aron también</w:t>
      </w:r>
      <w:r w:rsidR="0055033F" w:rsidRPr="00F57FA4">
        <w:rPr>
          <w:szCs w:val="20"/>
          <w:lang w:val="es-CO"/>
        </w:rPr>
        <w:t xml:space="preserve"> </w:t>
      </w:r>
      <w:r>
        <w:rPr>
          <w:szCs w:val="20"/>
          <w:lang w:val="es-CO"/>
        </w:rPr>
        <w:t xml:space="preserve">sobre la preocupante </w:t>
      </w:r>
      <w:r w:rsidR="005135A8" w:rsidRPr="00F57FA4">
        <w:rPr>
          <w:szCs w:val="20"/>
          <w:lang w:val="es-CO"/>
        </w:rPr>
        <w:t xml:space="preserve">calidad </w:t>
      </w:r>
      <w:r w:rsidR="0055033F" w:rsidRPr="00F57FA4">
        <w:rPr>
          <w:szCs w:val="20"/>
          <w:lang w:val="es-CO"/>
        </w:rPr>
        <w:t>de la alimentación, pues l</w:t>
      </w:r>
      <w:r w:rsidR="005135A8" w:rsidRPr="00F57FA4">
        <w:rPr>
          <w:szCs w:val="20"/>
          <w:lang w:val="es-CO"/>
        </w:rPr>
        <w:t xml:space="preserve">os internos </w:t>
      </w:r>
      <w:r>
        <w:rPr>
          <w:szCs w:val="20"/>
          <w:lang w:val="es-CO"/>
        </w:rPr>
        <w:t xml:space="preserve">son incapaces de </w:t>
      </w:r>
      <w:r w:rsidR="005135A8" w:rsidRPr="00F57FA4">
        <w:rPr>
          <w:szCs w:val="20"/>
          <w:lang w:val="es-CO"/>
        </w:rPr>
        <w:t>consu</w:t>
      </w:r>
      <w:r w:rsidR="00EB72A9" w:rsidRPr="00F57FA4">
        <w:rPr>
          <w:szCs w:val="20"/>
          <w:lang w:val="es-CO"/>
        </w:rPr>
        <w:t>m</w:t>
      </w:r>
      <w:r>
        <w:rPr>
          <w:szCs w:val="20"/>
          <w:lang w:val="es-CO"/>
        </w:rPr>
        <w:t>ir</w:t>
      </w:r>
      <w:r w:rsidR="00EB72A9" w:rsidRPr="00F57FA4">
        <w:rPr>
          <w:szCs w:val="20"/>
          <w:lang w:val="es-CO"/>
        </w:rPr>
        <w:t xml:space="preserve"> la mayor parte de la comida, en virtud de</w:t>
      </w:r>
      <w:r w:rsidR="00DA3C5D" w:rsidRPr="00F57FA4">
        <w:rPr>
          <w:szCs w:val="20"/>
          <w:lang w:val="es-CO"/>
        </w:rPr>
        <w:t>l</w:t>
      </w:r>
      <w:r w:rsidR="005135A8" w:rsidRPr="00F57FA4">
        <w:rPr>
          <w:szCs w:val="20"/>
          <w:lang w:val="es-CO"/>
        </w:rPr>
        <w:t xml:space="preserve"> olor</w:t>
      </w:r>
      <w:r>
        <w:rPr>
          <w:szCs w:val="20"/>
          <w:lang w:val="es-CO"/>
        </w:rPr>
        <w:t xml:space="preserve"> y</w:t>
      </w:r>
      <w:r w:rsidR="005135A8" w:rsidRPr="00F57FA4">
        <w:rPr>
          <w:szCs w:val="20"/>
          <w:lang w:val="es-CO"/>
        </w:rPr>
        <w:t xml:space="preserve"> aspecto </w:t>
      </w:r>
      <w:r>
        <w:rPr>
          <w:szCs w:val="20"/>
          <w:lang w:val="es-CO"/>
        </w:rPr>
        <w:t>de la misma</w:t>
      </w:r>
      <w:r w:rsidR="00EB72A9" w:rsidRPr="00F57FA4">
        <w:rPr>
          <w:szCs w:val="20"/>
          <w:lang w:val="es-CO"/>
        </w:rPr>
        <w:t>.</w:t>
      </w:r>
      <w:r w:rsidR="00737F79" w:rsidRPr="00F57FA4">
        <w:rPr>
          <w:rFonts w:eastAsia="Times New Roman" w:cs="Courier New"/>
          <w:b/>
          <w:color w:val="212121"/>
          <w:szCs w:val="20"/>
          <w:lang w:val="es-CO" w:eastAsia="es-CR"/>
        </w:rPr>
        <w:t xml:space="preserve"> </w:t>
      </w:r>
    </w:p>
    <w:p w14:paraId="7EB86628" w14:textId="77777777" w:rsidR="005135A8" w:rsidRPr="00F57FA4" w:rsidRDefault="005135A8" w:rsidP="006D31D9">
      <w:pPr>
        <w:rPr>
          <w:szCs w:val="20"/>
          <w:lang w:val="es-CO"/>
        </w:rPr>
      </w:pPr>
    </w:p>
    <w:p w14:paraId="03341342" w14:textId="77777777" w:rsidR="005135A8" w:rsidRPr="00F57FA4" w:rsidRDefault="0053319E" w:rsidP="006D31D9">
      <w:pPr>
        <w:pStyle w:val="ListParagraph"/>
        <w:numPr>
          <w:ilvl w:val="0"/>
          <w:numId w:val="20"/>
        </w:numPr>
        <w:snapToGrid w:val="0"/>
        <w:ind w:left="0" w:firstLine="0"/>
        <w:contextualSpacing w:val="0"/>
        <w:rPr>
          <w:szCs w:val="20"/>
          <w:lang w:val="es-CO"/>
        </w:rPr>
      </w:pPr>
      <w:r>
        <w:rPr>
          <w:szCs w:val="20"/>
          <w:lang w:val="es-CO"/>
        </w:rPr>
        <w:t>Por su parte, e</w:t>
      </w:r>
      <w:r w:rsidR="00EB72A9" w:rsidRPr="00F57FA4">
        <w:rPr>
          <w:szCs w:val="20"/>
          <w:lang w:val="es-CO"/>
        </w:rPr>
        <w:t xml:space="preserve">l </w:t>
      </w:r>
      <w:r w:rsidR="006D31D9" w:rsidRPr="00F57FA4">
        <w:rPr>
          <w:szCs w:val="20"/>
          <w:lang w:val="es-CO"/>
        </w:rPr>
        <w:t>MEPCT-RJ</w:t>
      </w:r>
      <w:r w:rsidR="005135A8" w:rsidRPr="00F57FA4">
        <w:rPr>
          <w:szCs w:val="20"/>
          <w:lang w:val="es-CO"/>
        </w:rPr>
        <w:t xml:space="preserve"> </w:t>
      </w:r>
      <w:r w:rsidR="00A23EDE" w:rsidRPr="00F57FA4">
        <w:rPr>
          <w:szCs w:val="20"/>
          <w:lang w:val="es-CO"/>
        </w:rPr>
        <w:t xml:space="preserve">sostuvo </w:t>
      </w:r>
      <w:r w:rsidR="005135A8" w:rsidRPr="00F57FA4">
        <w:rPr>
          <w:szCs w:val="20"/>
          <w:lang w:val="es-CO"/>
        </w:rPr>
        <w:t>que l</w:t>
      </w:r>
      <w:r>
        <w:rPr>
          <w:lang w:val="es-CO"/>
        </w:rPr>
        <w:t xml:space="preserve">os alimentos </w:t>
      </w:r>
      <w:r w:rsidRPr="00F57FA4">
        <w:rPr>
          <w:szCs w:val="20"/>
          <w:lang w:val="es-CO"/>
        </w:rPr>
        <w:t>proporcionados</w:t>
      </w:r>
      <w:r w:rsidR="005135A8" w:rsidRPr="00F57FA4">
        <w:rPr>
          <w:szCs w:val="20"/>
          <w:lang w:val="es-CO"/>
        </w:rPr>
        <w:t xml:space="preserve"> a los internos por la </w:t>
      </w:r>
      <w:r w:rsidR="002F7CCE">
        <w:rPr>
          <w:lang w:val="es-CO"/>
        </w:rPr>
        <w:t xml:space="preserve">SEAP </w:t>
      </w:r>
      <w:r w:rsidR="005135A8" w:rsidRPr="00F57FA4">
        <w:rPr>
          <w:szCs w:val="20"/>
          <w:lang w:val="es-CO"/>
        </w:rPr>
        <w:t xml:space="preserve">proviene de servicio </w:t>
      </w:r>
      <w:r w:rsidR="00193639">
        <w:rPr>
          <w:szCs w:val="20"/>
          <w:lang w:val="es-CO"/>
        </w:rPr>
        <w:t xml:space="preserve">contratado con </w:t>
      </w:r>
      <w:r w:rsidR="003423FB" w:rsidRPr="00F57FA4">
        <w:rPr>
          <w:szCs w:val="20"/>
          <w:lang w:val="es-CO"/>
        </w:rPr>
        <w:t xml:space="preserve">terceros y en la actualidad </w:t>
      </w:r>
      <w:r w:rsidR="00322559" w:rsidRPr="00F57FA4">
        <w:rPr>
          <w:szCs w:val="20"/>
          <w:lang w:val="es-CO"/>
        </w:rPr>
        <w:t xml:space="preserve">los pagos a </w:t>
      </w:r>
      <w:r w:rsidR="003423FB" w:rsidRPr="00F57FA4">
        <w:rPr>
          <w:szCs w:val="20"/>
          <w:lang w:val="es-CO"/>
        </w:rPr>
        <w:t>est</w:t>
      </w:r>
      <w:r w:rsidR="00322559" w:rsidRPr="00F57FA4">
        <w:rPr>
          <w:szCs w:val="20"/>
          <w:lang w:val="es-CO"/>
        </w:rPr>
        <w:t xml:space="preserve">as empresas </w:t>
      </w:r>
      <w:r w:rsidR="005135A8" w:rsidRPr="00F57FA4">
        <w:rPr>
          <w:szCs w:val="20"/>
          <w:lang w:val="es-CO"/>
        </w:rPr>
        <w:t>se encuentra</w:t>
      </w:r>
      <w:r>
        <w:rPr>
          <w:szCs w:val="20"/>
          <w:lang w:val="es-CO"/>
        </w:rPr>
        <w:t>n</w:t>
      </w:r>
      <w:r w:rsidR="005135A8" w:rsidRPr="00F57FA4">
        <w:rPr>
          <w:szCs w:val="20"/>
          <w:lang w:val="es-CO"/>
        </w:rPr>
        <w:t xml:space="preserve"> en mora (con una deuda estimada en más de 200 millones de reales), lo que agrava la mala calidad y cantidad de comidas.</w:t>
      </w:r>
      <w:r w:rsidR="00BC7892" w:rsidRPr="00F57FA4">
        <w:rPr>
          <w:rFonts w:eastAsia="Times New Roman" w:cs="Courier New"/>
          <w:b/>
          <w:color w:val="212121"/>
          <w:szCs w:val="20"/>
          <w:lang w:val="es-CO" w:eastAsia="es-CR"/>
        </w:rPr>
        <w:t xml:space="preserve"> </w:t>
      </w:r>
    </w:p>
    <w:p w14:paraId="7FD36EDD" w14:textId="77777777" w:rsidR="005135A8" w:rsidRPr="00F57FA4" w:rsidRDefault="005135A8" w:rsidP="006D31D9">
      <w:pPr>
        <w:pStyle w:val="ListParagraph"/>
        <w:rPr>
          <w:szCs w:val="20"/>
          <w:lang w:val="es-CO"/>
        </w:rPr>
      </w:pPr>
    </w:p>
    <w:p w14:paraId="6D5114B6" w14:textId="5AF3954D" w:rsidR="005135A8" w:rsidRPr="00F57FA4" w:rsidRDefault="005135A8" w:rsidP="006D31D9">
      <w:pPr>
        <w:pStyle w:val="ListParagraph"/>
        <w:numPr>
          <w:ilvl w:val="0"/>
          <w:numId w:val="20"/>
        </w:numPr>
        <w:snapToGrid w:val="0"/>
        <w:ind w:left="0" w:firstLine="0"/>
        <w:contextualSpacing w:val="0"/>
        <w:rPr>
          <w:szCs w:val="20"/>
          <w:lang w:val="es-CO"/>
        </w:rPr>
      </w:pPr>
      <w:r w:rsidRPr="00F57FA4">
        <w:rPr>
          <w:szCs w:val="20"/>
          <w:lang w:val="es-CO"/>
        </w:rPr>
        <w:t xml:space="preserve">En cuanto a la higiene y agua en el IPPSC, los informes de visita del </w:t>
      </w:r>
      <w:r w:rsidR="00322559" w:rsidRPr="00F57FA4">
        <w:rPr>
          <w:szCs w:val="20"/>
          <w:lang w:val="es-CO"/>
        </w:rPr>
        <w:t>MEPCT-RJ</w:t>
      </w:r>
      <w:r w:rsidRPr="00F57FA4">
        <w:rPr>
          <w:szCs w:val="20"/>
          <w:lang w:val="es-CO"/>
        </w:rPr>
        <w:t xml:space="preserve"> describieron situaciones insalubres, con celdas </w:t>
      </w:r>
      <w:r w:rsidR="00322559" w:rsidRPr="00F57FA4">
        <w:rPr>
          <w:szCs w:val="20"/>
          <w:lang w:val="es-CO"/>
        </w:rPr>
        <w:t>húmedas</w:t>
      </w:r>
      <w:r w:rsidRPr="00F57FA4">
        <w:rPr>
          <w:szCs w:val="20"/>
          <w:lang w:val="es-CO"/>
        </w:rPr>
        <w:t>, filtraciones, moho, grietas</w:t>
      </w:r>
      <w:r w:rsidR="007D5999">
        <w:rPr>
          <w:szCs w:val="20"/>
          <w:lang w:val="es-CO"/>
        </w:rPr>
        <w:t xml:space="preserve"> y</w:t>
      </w:r>
      <w:r w:rsidRPr="00F57FA4">
        <w:rPr>
          <w:szCs w:val="20"/>
          <w:lang w:val="es-CO"/>
        </w:rPr>
        <w:t xml:space="preserve"> </w:t>
      </w:r>
      <w:r w:rsidR="0053319E">
        <w:rPr>
          <w:szCs w:val="20"/>
          <w:lang w:val="es-CO"/>
        </w:rPr>
        <w:t>cables</w:t>
      </w:r>
      <w:r w:rsidR="0053319E" w:rsidRPr="00F57FA4">
        <w:rPr>
          <w:szCs w:val="20"/>
          <w:lang w:val="es-CO"/>
        </w:rPr>
        <w:t xml:space="preserve"> </w:t>
      </w:r>
      <w:r w:rsidRPr="00F57FA4">
        <w:rPr>
          <w:szCs w:val="20"/>
          <w:lang w:val="es-CO"/>
        </w:rPr>
        <w:t>eléctricos expuestos. Informaron de la existencia de ratas y cucarachas, así como chinches, mosquitos</w:t>
      </w:r>
      <w:r w:rsidR="0053319E">
        <w:rPr>
          <w:szCs w:val="20"/>
          <w:lang w:val="es-CO"/>
        </w:rPr>
        <w:t>,</w:t>
      </w:r>
      <w:r w:rsidRPr="00F57FA4">
        <w:rPr>
          <w:szCs w:val="20"/>
          <w:lang w:val="es-CO"/>
        </w:rPr>
        <w:t xml:space="preserve"> moscas</w:t>
      </w:r>
      <w:r w:rsidR="0053319E">
        <w:rPr>
          <w:szCs w:val="20"/>
          <w:lang w:val="es-CO"/>
        </w:rPr>
        <w:t xml:space="preserve"> y </w:t>
      </w:r>
      <w:r w:rsidRPr="00F57FA4">
        <w:rPr>
          <w:szCs w:val="20"/>
          <w:lang w:val="es-CO"/>
        </w:rPr>
        <w:t xml:space="preserve">mal olor constante. </w:t>
      </w:r>
      <w:r w:rsidR="0053319E">
        <w:rPr>
          <w:szCs w:val="20"/>
          <w:lang w:val="es-CO"/>
        </w:rPr>
        <w:t>Además, señala</w:t>
      </w:r>
      <w:r w:rsidR="00135D09">
        <w:rPr>
          <w:szCs w:val="20"/>
          <w:lang w:val="es-CO"/>
        </w:rPr>
        <w:t>ro</w:t>
      </w:r>
      <w:r w:rsidR="0053319E">
        <w:rPr>
          <w:szCs w:val="20"/>
          <w:lang w:val="es-CO"/>
        </w:rPr>
        <w:t>n</w:t>
      </w:r>
      <w:r w:rsidRPr="00F57FA4">
        <w:rPr>
          <w:szCs w:val="20"/>
          <w:lang w:val="es-CO"/>
        </w:rPr>
        <w:t xml:space="preserve"> </w:t>
      </w:r>
      <w:r w:rsidR="001C28EF">
        <w:rPr>
          <w:szCs w:val="20"/>
          <w:lang w:val="es-CO"/>
        </w:rPr>
        <w:t>que el</w:t>
      </w:r>
      <w:r w:rsidRPr="00F57FA4">
        <w:rPr>
          <w:szCs w:val="20"/>
          <w:lang w:val="es-CO"/>
        </w:rPr>
        <w:t xml:space="preserve"> suministro de agua</w:t>
      </w:r>
      <w:r w:rsidR="001C28EF">
        <w:rPr>
          <w:szCs w:val="20"/>
          <w:lang w:val="es-CO"/>
        </w:rPr>
        <w:t xml:space="preserve"> es precario y escaso. El agua en ocasiones se encuentra turbia y por lo irregular del suministro, los internos están</w:t>
      </w:r>
      <w:r w:rsidRPr="00F57FA4">
        <w:rPr>
          <w:szCs w:val="20"/>
          <w:lang w:val="es-CO"/>
        </w:rPr>
        <w:t xml:space="preserve"> </w:t>
      </w:r>
      <w:r w:rsidR="00EB72A9" w:rsidRPr="00F57FA4">
        <w:rPr>
          <w:szCs w:val="20"/>
          <w:lang w:val="es-CO"/>
        </w:rPr>
        <w:t>obligado</w:t>
      </w:r>
      <w:r w:rsidR="001C28EF">
        <w:rPr>
          <w:szCs w:val="20"/>
          <w:lang w:val="es-CO"/>
        </w:rPr>
        <w:t>s</w:t>
      </w:r>
      <w:r w:rsidR="00EB72A9" w:rsidRPr="00F57FA4">
        <w:rPr>
          <w:szCs w:val="20"/>
          <w:lang w:val="es-CO"/>
        </w:rPr>
        <w:t xml:space="preserve"> a</w:t>
      </w:r>
      <w:r w:rsidRPr="00F57FA4">
        <w:rPr>
          <w:szCs w:val="20"/>
          <w:lang w:val="es-CO"/>
        </w:rPr>
        <w:t xml:space="preserve"> almacenarla.</w:t>
      </w:r>
      <w:r w:rsidR="00BC7892" w:rsidRPr="00F57FA4">
        <w:rPr>
          <w:rFonts w:eastAsia="Times New Roman" w:cs="Courier New"/>
          <w:b/>
          <w:color w:val="212121"/>
          <w:szCs w:val="20"/>
          <w:lang w:val="es-CO" w:eastAsia="es-CR"/>
        </w:rPr>
        <w:t xml:space="preserve"> </w:t>
      </w:r>
    </w:p>
    <w:p w14:paraId="5A9487C5" w14:textId="77777777" w:rsidR="005135A8" w:rsidRPr="00F57FA4" w:rsidRDefault="005135A8" w:rsidP="006D31D9">
      <w:pPr>
        <w:pStyle w:val="ListParagraph"/>
        <w:rPr>
          <w:szCs w:val="20"/>
          <w:lang w:val="es-CO"/>
        </w:rPr>
      </w:pPr>
    </w:p>
    <w:p w14:paraId="0F2981F0" w14:textId="418E9353" w:rsidR="00902C16" w:rsidRPr="00F57FA4" w:rsidRDefault="001C28EF" w:rsidP="006D31D9">
      <w:pPr>
        <w:pStyle w:val="ListParagraph"/>
        <w:numPr>
          <w:ilvl w:val="0"/>
          <w:numId w:val="20"/>
        </w:numPr>
        <w:snapToGrid w:val="0"/>
        <w:ind w:left="0" w:firstLine="0"/>
        <w:contextualSpacing w:val="0"/>
        <w:rPr>
          <w:szCs w:val="20"/>
          <w:lang w:val="es-CO"/>
        </w:rPr>
      </w:pPr>
      <w:r>
        <w:rPr>
          <w:szCs w:val="20"/>
          <w:lang w:val="es-CO"/>
        </w:rPr>
        <w:t xml:space="preserve">El MEPCT-RJ también </w:t>
      </w:r>
      <w:r w:rsidR="00EB72A9" w:rsidRPr="00F57FA4">
        <w:rPr>
          <w:szCs w:val="20"/>
          <w:lang w:val="es-CO"/>
        </w:rPr>
        <w:t xml:space="preserve">informó </w:t>
      </w:r>
      <w:r w:rsidR="005135A8" w:rsidRPr="00F57FA4">
        <w:rPr>
          <w:szCs w:val="20"/>
          <w:lang w:val="es-CO"/>
        </w:rPr>
        <w:t xml:space="preserve">de la dificultad </w:t>
      </w:r>
      <w:r w:rsidR="00EB72A9" w:rsidRPr="00F57FA4">
        <w:rPr>
          <w:szCs w:val="20"/>
          <w:lang w:val="es-CO"/>
        </w:rPr>
        <w:t>para</w:t>
      </w:r>
      <w:r w:rsidR="005135A8" w:rsidRPr="00F57FA4">
        <w:rPr>
          <w:szCs w:val="20"/>
          <w:lang w:val="es-CO"/>
        </w:rPr>
        <w:t xml:space="preserve"> obtener medica</w:t>
      </w:r>
      <w:r w:rsidR="00704065">
        <w:rPr>
          <w:szCs w:val="20"/>
          <w:lang w:val="es-CO"/>
        </w:rPr>
        <w:t>mentos</w:t>
      </w:r>
      <w:r w:rsidR="005135A8" w:rsidRPr="00F57FA4">
        <w:rPr>
          <w:szCs w:val="20"/>
          <w:lang w:val="es-CO"/>
        </w:rPr>
        <w:t>,</w:t>
      </w:r>
      <w:r w:rsidR="009910FC">
        <w:rPr>
          <w:szCs w:val="20"/>
          <w:lang w:val="es-CO"/>
        </w:rPr>
        <w:t xml:space="preserve"> la</w:t>
      </w:r>
      <w:r w:rsidR="005135A8" w:rsidRPr="00F57FA4">
        <w:rPr>
          <w:szCs w:val="20"/>
          <w:lang w:val="es-CO"/>
        </w:rPr>
        <w:t xml:space="preserve"> falta de espacio para las personas enfermas y </w:t>
      </w:r>
      <w:r>
        <w:rPr>
          <w:szCs w:val="20"/>
          <w:lang w:val="es-CO"/>
        </w:rPr>
        <w:t>aquellas que viven con alguna</w:t>
      </w:r>
      <w:r w:rsidR="005135A8" w:rsidRPr="00F57FA4">
        <w:rPr>
          <w:szCs w:val="20"/>
          <w:lang w:val="es-CO"/>
        </w:rPr>
        <w:t xml:space="preserve"> discapacidad física</w:t>
      </w:r>
      <w:r>
        <w:rPr>
          <w:szCs w:val="20"/>
          <w:lang w:val="es-CO"/>
        </w:rPr>
        <w:t xml:space="preserve">. Además, en atención a las pobres condiciones físicas del centro penal, señalaron el </w:t>
      </w:r>
      <w:r w:rsidR="005135A8" w:rsidRPr="00F57FA4">
        <w:rPr>
          <w:szCs w:val="20"/>
          <w:lang w:val="es-CO"/>
        </w:rPr>
        <w:t>riesgo</w:t>
      </w:r>
      <w:r>
        <w:rPr>
          <w:szCs w:val="20"/>
          <w:lang w:val="es-CO"/>
        </w:rPr>
        <w:t xml:space="preserve"> latente</w:t>
      </w:r>
      <w:r w:rsidR="005135A8" w:rsidRPr="00F57FA4">
        <w:rPr>
          <w:szCs w:val="20"/>
          <w:lang w:val="es-CO"/>
        </w:rPr>
        <w:t xml:space="preserve"> de </w:t>
      </w:r>
      <w:r w:rsidR="00902C16" w:rsidRPr="00F57FA4">
        <w:rPr>
          <w:szCs w:val="20"/>
          <w:lang w:val="es-CO"/>
        </w:rPr>
        <w:t>contagio</w:t>
      </w:r>
      <w:r w:rsidR="005135A8" w:rsidRPr="00F57FA4">
        <w:rPr>
          <w:szCs w:val="20"/>
          <w:lang w:val="es-CO"/>
        </w:rPr>
        <w:t xml:space="preserve"> de e</w:t>
      </w:r>
      <w:r w:rsidR="005154BF" w:rsidRPr="00F57FA4">
        <w:rPr>
          <w:szCs w:val="20"/>
          <w:lang w:val="es-CO"/>
        </w:rPr>
        <w:t>nfermedad</w:t>
      </w:r>
      <w:r w:rsidR="00322559" w:rsidRPr="00F57FA4">
        <w:rPr>
          <w:szCs w:val="20"/>
          <w:lang w:val="es-CO"/>
        </w:rPr>
        <w:t>es</w:t>
      </w:r>
      <w:r w:rsidR="005154BF" w:rsidRPr="00F57FA4">
        <w:rPr>
          <w:szCs w:val="20"/>
          <w:lang w:val="es-CO"/>
        </w:rPr>
        <w:t xml:space="preserve"> en </w:t>
      </w:r>
      <w:r w:rsidR="00322559" w:rsidRPr="00F57FA4">
        <w:rPr>
          <w:szCs w:val="20"/>
          <w:lang w:val="es-CO"/>
        </w:rPr>
        <w:t>el Instituto</w:t>
      </w:r>
      <w:r w:rsidR="005154BF" w:rsidRPr="00F57FA4">
        <w:rPr>
          <w:szCs w:val="20"/>
          <w:lang w:val="es-CO"/>
        </w:rPr>
        <w:t>.</w:t>
      </w:r>
      <w:r w:rsidR="00BC7892" w:rsidRPr="00F57FA4">
        <w:rPr>
          <w:rFonts w:eastAsia="Times New Roman" w:cs="Courier New"/>
          <w:b/>
          <w:color w:val="212121"/>
          <w:szCs w:val="20"/>
          <w:lang w:val="es-CO" w:eastAsia="es-CR"/>
        </w:rPr>
        <w:t xml:space="preserve"> </w:t>
      </w:r>
    </w:p>
    <w:p w14:paraId="466A80D8" w14:textId="77777777" w:rsidR="005154BF" w:rsidRPr="00F57FA4" w:rsidRDefault="005154BF" w:rsidP="006D31D9">
      <w:pPr>
        <w:pStyle w:val="ListParagraph"/>
        <w:rPr>
          <w:szCs w:val="20"/>
          <w:lang w:val="es-CO"/>
        </w:rPr>
      </w:pPr>
    </w:p>
    <w:p w14:paraId="7EDDC232" w14:textId="77777777" w:rsidR="00902C16" w:rsidRPr="00F57FA4" w:rsidRDefault="00902C16" w:rsidP="006D31D9">
      <w:pPr>
        <w:pStyle w:val="ListParagraph"/>
        <w:numPr>
          <w:ilvl w:val="0"/>
          <w:numId w:val="20"/>
        </w:numPr>
        <w:snapToGrid w:val="0"/>
        <w:ind w:left="0" w:firstLine="0"/>
        <w:contextualSpacing w:val="0"/>
        <w:rPr>
          <w:szCs w:val="20"/>
          <w:lang w:val="es-CO"/>
        </w:rPr>
      </w:pPr>
      <w:r w:rsidRPr="00F57FA4">
        <w:rPr>
          <w:szCs w:val="20"/>
          <w:lang w:val="es-CO"/>
        </w:rPr>
        <w:t xml:space="preserve">La </w:t>
      </w:r>
      <w:r w:rsidRPr="004A3A17">
        <w:rPr>
          <w:szCs w:val="20"/>
          <w:lang w:val="es-CO"/>
        </w:rPr>
        <w:t>Corte</w:t>
      </w:r>
      <w:r w:rsidRPr="00F57FA4">
        <w:rPr>
          <w:szCs w:val="20"/>
          <w:lang w:val="es-CO"/>
        </w:rPr>
        <w:t xml:space="preserve"> </w:t>
      </w:r>
      <w:r w:rsidR="00322559" w:rsidRPr="00F57FA4">
        <w:rPr>
          <w:szCs w:val="20"/>
          <w:lang w:val="es-CO"/>
        </w:rPr>
        <w:t xml:space="preserve">verificó en su </w:t>
      </w:r>
      <w:r w:rsidR="00651BF4">
        <w:rPr>
          <w:szCs w:val="20"/>
          <w:lang w:val="es-CO"/>
        </w:rPr>
        <w:t xml:space="preserve">diligencia </w:t>
      </w:r>
      <w:r w:rsidR="00651BF4" w:rsidRPr="00651BF4">
        <w:rPr>
          <w:i/>
          <w:szCs w:val="20"/>
          <w:lang w:val="es-CO"/>
        </w:rPr>
        <w:t>in situ</w:t>
      </w:r>
      <w:r w:rsidRPr="00F57FA4">
        <w:rPr>
          <w:i/>
          <w:szCs w:val="20"/>
          <w:lang w:val="es-CO"/>
        </w:rPr>
        <w:t xml:space="preserve"> </w:t>
      </w:r>
      <w:r w:rsidRPr="00F57FA4">
        <w:rPr>
          <w:szCs w:val="20"/>
          <w:lang w:val="es-CO"/>
        </w:rPr>
        <w:t>al Instituto Penal Plácido de Sá Carvalho</w:t>
      </w:r>
      <w:r w:rsidRPr="00F57FA4">
        <w:rPr>
          <w:lang w:val="es-CO"/>
        </w:rPr>
        <w:t xml:space="preserve"> </w:t>
      </w:r>
      <w:r w:rsidR="001B64C0" w:rsidRPr="00F57FA4">
        <w:rPr>
          <w:lang w:val="es-CO"/>
        </w:rPr>
        <w:t>lo siguiente</w:t>
      </w:r>
      <w:r w:rsidRPr="00F57FA4">
        <w:rPr>
          <w:lang w:val="es-CO"/>
        </w:rPr>
        <w:t>:</w:t>
      </w:r>
    </w:p>
    <w:p w14:paraId="1C6FEF4D" w14:textId="77777777" w:rsidR="00902C16" w:rsidRPr="00F57FA4" w:rsidRDefault="00902C16" w:rsidP="006D31D9">
      <w:pPr>
        <w:pStyle w:val="ListParagraph"/>
        <w:rPr>
          <w:szCs w:val="20"/>
          <w:lang w:val="es-CO"/>
        </w:rPr>
      </w:pPr>
    </w:p>
    <w:p w14:paraId="0D3C2F9F" w14:textId="77777777" w:rsidR="00902C16" w:rsidRPr="00F57FA4" w:rsidRDefault="00902C16" w:rsidP="006D31D9">
      <w:pPr>
        <w:pStyle w:val="ListParagraph"/>
        <w:numPr>
          <w:ilvl w:val="0"/>
          <w:numId w:val="10"/>
        </w:numPr>
        <w:snapToGrid w:val="0"/>
        <w:ind w:right="4"/>
        <w:contextualSpacing w:val="0"/>
        <w:outlineLvl w:val="0"/>
        <w:rPr>
          <w:lang w:val="es-CO"/>
        </w:rPr>
      </w:pPr>
      <w:r w:rsidRPr="00F57FA4">
        <w:rPr>
          <w:szCs w:val="20"/>
          <w:lang w:val="es-CO"/>
        </w:rPr>
        <w:t>La enfermería cuenta con</w:t>
      </w:r>
      <w:r w:rsidR="001C28EF">
        <w:rPr>
          <w:szCs w:val="20"/>
          <w:lang w:val="es-CO"/>
        </w:rPr>
        <w:t xml:space="preserve"> sol</w:t>
      </w:r>
      <w:r w:rsidR="002F7CCE">
        <w:rPr>
          <w:szCs w:val="20"/>
          <w:lang w:val="es-CO"/>
        </w:rPr>
        <w:t xml:space="preserve">o </w:t>
      </w:r>
      <w:r w:rsidRPr="00F57FA4">
        <w:rPr>
          <w:szCs w:val="20"/>
          <w:lang w:val="es-CO"/>
        </w:rPr>
        <w:t>una enfermera</w:t>
      </w:r>
      <w:r w:rsidR="00885E13">
        <w:rPr>
          <w:szCs w:val="20"/>
          <w:lang w:val="es-CO"/>
        </w:rPr>
        <w:t xml:space="preserve"> de planta</w:t>
      </w:r>
      <w:r w:rsidR="001C28EF">
        <w:rPr>
          <w:szCs w:val="20"/>
          <w:lang w:val="es-CO"/>
        </w:rPr>
        <w:t>.</w:t>
      </w:r>
      <w:r w:rsidRPr="00F57FA4">
        <w:rPr>
          <w:szCs w:val="20"/>
          <w:lang w:val="es-CO"/>
        </w:rPr>
        <w:t xml:space="preserve"> </w:t>
      </w:r>
      <w:r w:rsidR="001C28EF">
        <w:rPr>
          <w:szCs w:val="20"/>
          <w:lang w:val="es-CO"/>
        </w:rPr>
        <w:t>Esta persona</w:t>
      </w:r>
      <w:r w:rsidRPr="00F57FA4">
        <w:rPr>
          <w:szCs w:val="20"/>
          <w:lang w:val="es-CO"/>
        </w:rPr>
        <w:t xml:space="preserve"> </w:t>
      </w:r>
      <w:r w:rsidRPr="00F57FA4">
        <w:rPr>
          <w:rFonts w:eastAsia="Verdana" w:cs="Verdana"/>
          <w:szCs w:val="20"/>
          <w:lang w:val="es-CO"/>
        </w:rPr>
        <w:t>informó</w:t>
      </w:r>
      <w:r w:rsidR="001C28EF">
        <w:rPr>
          <w:rFonts w:eastAsia="Verdana" w:cs="Verdana"/>
          <w:szCs w:val="20"/>
          <w:lang w:val="es-CO"/>
        </w:rPr>
        <w:t xml:space="preserve"> a la delegación de esta Corte</w:t>
      </w:r>
      <w:r w:rsidRPr="00F57FA4">
        <w:rPr>
          <w:rFonts w:eastAsia="Verdana" w:cs="Verdana"/>
          <w:szCs w:val="20"/>
          <w:lang w:val="es-CO"/>
        </w:rPr>
        <w:t xml:space="preserve"> que actualmente</w:t>
      </w:r>
      <w:r w:rsidR="001C28EF">
        <w:rPr>
          <w:rFonts w:eastAsia="Verdana" w:cs="Verdana"/>
          <w:szCs w:val="20"/>
          <w:lang w:val="es-CO"/>
        </w:rPr>
        <w:t xml:space="preserve"> el centro penal cuenta</w:t>
      </w:r>
      <w:r w:rsidRPr="00F57FA4">
        <w:rPr>
          <w:rFonts w:eastAsia="Verdana" w:cs="Verdana"/>
          <w:szCs w:val="20"/>
          <w:lang w:val="es-CO"/>
        </w:rPr>
        <w:t xml:space="preserve"> </w:t>
      </w:r>
      <w:r w:rsidR="001C28EF">
        <w:rPr>
          <w:rFonts w:eastAsia="Verdana" w:cs="Verdana"/>
          <w:szCs w:val="20"/>
          <w:lang w:val="es-CO"/>
        </w:rPr>
        <w:t xml:space="preserve">con </w:t>
      </w:r>
      <w:r w:rsidRPr="00F57FA4">
        <w:rPr>
          <w:rFonts w:eastAsia="Verdana" w:cs="Verdana"/>
          <w:szCs w:val="20"/>
          <w:lang w:val="es-CO"/>
        </w:rPr>
        <w:t>un médico</w:t>
      </w:r>
      <w:r w:rsidR="001C28EF">
        <w:rPr>
          <w:rFonts w:eastAsia="Verdana" w:cs="Verdana"/>
          <w:szCs w:val="20"/>
          <w:lang w:val="es-CO"/>
        </w:rPr>
        <w:t xml:space="preserve"> que visita las instalaciones</w:t>
      </w:r>
      <w:r w:rsidRPr="00F57FA4">
        <w:rPr>
          <w:rFonts w:eastAsia="Verdana" w:cs="Verdana"/>
          <w:szCs w:val="20"/>
          <w:lang w:val="es-CO"/>
        </w:rPr>
        <w:t xml:space="preserve"> un día por semana. En aquellos casos en que un</w:t>
      </w:r>
      <w:r w:rsidR="00885E13">
        <w:rPr>
          <w:rFonts w:eastAsia="Verdana" w:cs="Verdana"/>
          <w:szCs w:val="20"/>
          <w:lang w:val="es-CO"/>
        </w:rPr>
        <w:t xml:space="preserve">a persona privada de libertad </w:t>
      </w:r>
      <w:r w:rsidRPr="00F57FA4">
        <w:rPr>
          <w:rFonts w:eastAsia="Verdana" w:cs="Verdana"/>
          <w:szCs w:val="20"/>
          <w:lang w:val="es-CO"/>
        </w:rPr>
        <w:t>necesite atención médica</w:t>
      </w:r>
      <w:r w:rsidR="00885E13">
        <w:rPr>
          <w:rFonts w:eastAsia="Verdana" w:cs="Verdana"/>
          <w:szCs w:val="20"/>
          <w:lang w:val="es-CO"/>
        </w:rPr>
        <w:t>, la enfermera realiza</w:t>
      </w:r>
      <w:r w:rsidRPr="00F57FA4">
        <w:rPr>
          <w:rFonts w:eastAsia="Verdana" w:cs="Verdana"/>
          <w:szCs w:val="20"/>
          <w:lang w:val="es-CO"/>
        </w:rPr>
        <w:t xml:space="preserve"> una revisión preliminar y posteriormente es atendido por un médico</w:t>
      </w:r>
      <w:r w:rsidR="00322559" w:rsidRPr="00F57FA4">
        <w:rPr>
          <w:rFonts w:eastAsia="Verdana" w:cs="Verdana"/>
          <w:szCs w:val="20"/>
          <w:lang w:val="es-CO"/>
        </w:rPr>
        <w:t>;</w:t>
      </w:r>
      <w:r w:rsidRPr="00F57FA4">
        <w:rPr>
          <w:rFonts w:eastAsia="Verdana" w:cs="Verdana"/>
          <w:szCs w:val="20"/>
          <w:lang w:val="es-CO"/>
        </w:rPr>
        <w:t xml:space="preserve"> en caso de ser necesario</w:t>
      </w:r>
      <w:r w:rsidR="00885E13">
        <w:rPr>
          <w:rFonts w:eastAsia="Verdana" w:cs="Verdana"/>
          <w:szCs w:val="20"/>
          <w:lang w:val="es-CO"/>
        </w:rPr>
        <w:t>,</w:t>
      </w:r>
      <w:r w:rsidRPr="00F57FA4">
        <w:rPr>
          <w:rFonts w:eastAsia="Verdana" w:cs="Verdana"/>
          <w:szCs w:val="20"/>
          <w:lang w:val="es-CO"/>
        </w:rPr>
        <w:t xml:space="preserve"> es trasladado a la clínica (UPA) dentro del Complejo de </w:t>
      </w:r>
      <w:r w:rsidR="00322559" w:rsidRPr="00F57FA4">
        <w:rPr>
          <w:rFonts w:eastAsia="Verdana" w:cs="Verdana"/>
          <w:szCs w:val="20"/>
          <w:lang w:val="es-CO"/>
        </w:rPr>
        <w:t>Gericinó</w:t>
      </w:r>
      <w:r w:rsidRPr="00F57FA4">
        <w:rPr>
          <w:rFonts w:eastAsia="Verdana" w:cs="Verdana"/>
          <w:szCs w:val="20"/>
          <w:lang w:val="es-CO"/>
        </w:rPr>
        <w:t xml:space="preserve">. No hay medicamentos </w:t>
      </w:r>
      <w:r w:rsidR="00193639">
        <w:rPr>
          <w:rFonts w:eastAsia="Verdana" w:cs="Verdana"/>
          <w:szCs w:val="20"/>
          <w:lang w:val="es-CO"/>
        </w:rPr>
        <w:t xml:space="preserve">básicos </w:t>
      </w:r>
      <w:r w:rsidRPr="00F57FA4">
        <w:rPr>
          <w:rFonts w:eastAsia="Verdana" w:cs="Verdana"/>
          <w:szCs w:val="20"/>
          <w:lang w:val="es-CO"/>
        </w:rPr>
        <w:t>suficientes</w:t>
      </w:r>
      <w:r w:rsidR="00885E13">
        <w:rPr>
          <w:rFonts w:eastAsia="Verdana" w:cs="Verdana"/>
          <w:szCs w:val="20"/>
          <w:lang w:val="es-CO"/>
        </w:rPr>
        <w:t>.</w:t>
      </w:r>
      <w:r w:rsidRPr="00F57FA4">
        <w:rPr>
          <w:rFonts w:eastAsia="Verdana" w:cs="Verdana"/>
          <w:szCs w:val="20"/>
          <w:lang w:val="es-CO"/>
        </w:rPr>
        <w:t xml:space="preserve"> </w:t>
      </w:r>
      <w:r w:rsidR="00885E13">
        <w:rPr>
          <w:rFonts w:eastAsia="Verdana" w:cs="Verdana"/>
          <w:szCs w:val="20"/>
          <w:lang w:val="es-CO"/>
        </w:rPr>
        <w:t>La enfermera afirmó que</w:t>
      </w:r>
      <w:r w:rsidRPr="00F57FA4">
        <w:rPr>
          <w:rFonts w:eastAsia="Verdana" w:cs="Verdana"/>
          <w:szCs w:val="20"/>
          <w:lang w:val="es-CO"/>
        </w:rPr>
        <w:t xml:space="preserve"> </w:t>
      </w:r>
      <w:r w:rsidR="00885E13">
        <w:rPr>
          <w:rFonts w:eastAsia="Verdana" w:cs="Verdana"/>
          <w:szCs w:val="20"/>
          <w:lang w:val="es-CO"/>
        </w:rPr>
        <w:t xml:space="preserve">en ocasiones ha tenido que </w:t>
      </w:r>
      <w:r w:rsidR="00193639">
        <w:rPr>
          <w:rFonts w:eastAsia="Verdana" w:cs="Verdana"/>
          <w:szCs w:val="20"/>
          <w:lang w:val="es-CO"/>
        </w:rPr>
        <w:t>traer</w:t>
      </w:r>
      <w:r w:rsidRPr="00F57FA4">
        <w:rPr>
          <w:rFonts w:eastAsia="Verdana" w:cs="Verdana"/>
          <w:szCs w:val="20"/>
          <w:lang w:val="es-CO"/>
        </w:rPr>
        <w:t xml:space="preserve"> medicina desde su casa.</w:t>
      </w:r>
    </w:p>
    <w:p w14:paraId="58FBA7A6" w14:textId="77777777" w:rsidR="00902C16" w:rsidRPr="00F57FA4" w:rsidRDefault="00902C16" w:rsidP="006D31D9">
      <w:pPr>
        <w:pStyle w:val="ListParagraph"/>
        <w:snapToGrid w:val="0"/>
        <w:ind w:right="4"/>
        <w:contextualSpacing w:val="0"/>
        <w:outlineLvl w:val="0"/>
        <w:rPr>
          <w:lang w:val="es-CO"/>
        </w:rPr>
      </w:pPr>
    </w:p>
    <w:p w14:paraId="495B70AF" w14:textId="77777777" w:rsidR="00902C16" w:rsidRPr="00F57FA4" w:rsidRDefault="00902C16" w:rsidP="006D31D9">
      <w:pPr>
        <w:pStyle w:val="ListParagraph"/>
        <w:numPr>
          <w:ilvl w:val="0"/>
          <w:numId w:val="10"/>
        </w:numPr>
        <w:snapToGrid w:val="0"/>
        <w:ind w:right="4"/>
        <w:contextualSpacing w:val="0"/>
        <w:outlineLvl w:val="0"/>
        <w:rPr>
          <w:lang w:val="es-CO"/>
        </w:rPr>
      </w:pPr>
      <w:r w:rsidRPr="00F57FA4">
        <w:rPr>
          <w:rFonts w:eastAsia="Verdana" w:cs="Verdana"/>
          <w:szCs w:val="20"/>
          <w:lang w:val="es-CO"/>
        </w:rPr>
        <w:t>Se informó que recientemente hubo una epidemia de sarna, y para combatirla se hizo una campaña de inyecciones de invermectina. Se observó que no hay ambulancias para emergencias</w:t>
      </w:r>
      <w:r w:rsidR="00885E13">
        <w:rPr>
          <w:rFonts w:eastAsia="Verdana" w:cs="Verdana"/>
          <w:szCs w:val="20"/>
          <w:lang w:val="es-CO"/>
        </w:rPr>
        <w:t>,</w:t>
      </w:r>
      <w:r w:rsidRPr="00F57FA4">
        <w:rPr>
          <w:rFonts w:eastAsia="Verdana" w:cs="Verdana"/>
          <w:szCs w:val="20"/>
          <w:lang w:val="es-CO"/>
        </w:rPr>
        <w:t xml:space="preserve"> ni medicamentos para enfermedades comunes o enfermedades psiquiátricas.</w:t>
      </w:r>
    </w:p>
    <w:p w14:paraId="53FEBA32" w14:textId="77777777" w:rsidR="00902C16" w:rsidRPr="00F57FA4" w:rsidRDefault="00902C16" w:rsidP="006D31D9">
      <w:pPr>
        <w:pStyle w:val="ListParagraph"/>
        <w:rPr>
          <w:rFonts w:eastAsia="Verdana" w:cs="Verdana"/>
          <w:szCs w:val="20"/>
          <w:lang w:val="es-CO"/>
        </w:rPr>
      </w:pPr>
    </w:p>
    <w:p w14:paraId="6E39FB16" w14:textId="77777777" w:rsidR="00902C16" w:rsidRPr="00F90C56" w:rsidRDefault="00902C16" w:rsidP="006D31D9">
      <w:pPr>
        <w:pStyle w:val="ListParagraph"/>
        <w:numPr>
          <w:ilvl w:val="0"/>
          <w:numId w:val="10"/>
        </w:numPr>
        <w:snapToGrid w:val="0"/>
        <w:ind w:right="4"/>
        <w:contextualSpacing w:val="0"/>
        <w:outlineLvl w:val="0"/>
        <w:rPr>
          <w:lang w:val="es-CO"/>
        </w:rPr>
      </w:pPr>
      <w:r w:rsidRPr="00F57FA4">
        <w:rPr>
          <w:rFonts w:eastAsia="Verdana" w:cs="Verdana"/>
          <w:szCs w:val="20"/>
          <w:lang w:val="es-CO"/>
        </w:rPr>
        <w:t xml:space="preserve">El tratamiento de </w:t>
      </w:r>
      <w:r w:rsidRPr="004A3A17">
        <w:rPr>
          <w:rFonts w:eastAsia="Verdana" w:cs="Verdana"/>
          <w:szCs w:val="20"/>
          <w:lang w:val="es-CO"/>
        </w:rPr>
        <w:t>tuberculosis</w:t>
      </w:r>
      <w:r w:rsidRPr="00F57FA4">
        <w:rPr>
          <w:rFonts w:eastAsia="Verdana" w:cs="Verdana"/>
          <w:i/>
          <w:szCs w:val="20"/>
          <w:lang w:val="es-CO"/>
        </w:rPr>
        <w:t xml:space="preserve"> </w:t>
      </w:r>
      <w:r w:rsidRPr="00F57FA4">
        <w:rPr>
          <w:rFonts w:eastAsia="Verdana" w:cs="Verdana"/>
          <w:szCs w:val="20"/>
          <w:lang w:val="es-CO"/>
        </w:rPr>
        <w:t xml:space="preserve">se hace semanalmente con la </w:t>
      </w:r>
      <w:r w:rsidR="00F31647">
        <w:rPr>
          <w:rFonts w:eastAsia="Verdana" w:cs="Verdana"/>
          <w:szCs w:val="20"/>
          <w:lang w:val="es-CO"/>
        </w:rPr>
        <w:t>práctica</w:t>
      </w:r>
      <w:r w:rsidRPr="00F57FA4">
        <w:rPr>
          <w:rFonts w:eastAsia="Verdana" w:cs="Verdana"/>
          <w:szCs w:val="20"/>
          <w:lang w:val="es-CO"/>
        </w:rPr>
        <w:t xml:space="preserve"> de exámenes. Se diagnostica aproximadamente 40 </w:t>
      </w:r>
      <w:r w:rsidR="00CD2A93">
        <w:rPr>
          <w:rFonts w:eastAsia="Verdana" w:cs="Verdana"/>
          <w:szCs w:val="20"/>
          <w:lang w:val="es-CO"/>
        </w:rPr>
        <w:t>personas privadas de libertad</w:t>
      </w:r>
      <w:r w:rsidR="00CD2A93" w:rsidRPr="00F57FA4">
        <w:rPr>
          <w:rFonts w:eastAsia="Verdana" w:cs="Verdana"/>
          <w:szCs w:val="20"/>
          <w:lang w:val="es-CO"/>
        </w:rPr>
        <w:t xml:space="preserve"> </w:t>
      </w:r>
      <w:r w:rsidRPr="00F57FA4">
        <w:rPr>
          <w:rFonts w:eastAsia="Verdana" w:cs="Verdana"/>
          <w:szCs w:val="20"/>
          <w:lang w:val="es-CO"/>
        </w:rPr>
        <w:t xml:space="preserve">por semana. Tras la realización del diagnóstico, los </w:t>
      </w:r>
      <w:r w:rsidR="00CD2A93">
        <w:rPr>
          <w:rFonts w:eastAsia="Verdana" w:cs="Verdana"/>
          <w:szCs w:val="20"/>
          <w:lang w:val="es-CO"/>
        </w:rPr>
        <w:t>internos</w:t>
      </w:r>
      <w:r w:rsidR="00CD2A93" w:rsidRPr="00F57FA4">
        <w:rPr>
          <w:rFonts w:eastAsia="Verdana" w:cs="Verdana"/>
          <w:szCs w:val="20"/>
          <w:lang w:val="es-CO"/>
        </w:rPr>
        <w:t xml:space="preserve"> </w:t>
      </w:r>
      <w:r w:rsidRPr="00F57FA4">
        <w:rPr>
          <w:rFonts w:eastAsia="Verdana" w:cs="Verdana"/>
          <w:szCs w:val="20"/>
          <w:lang w:val="es-CO"/>
        </w:rPr>
        <w:t>reciben los medicamentos</w:t>
      </w:r>
      <w:r w:rsidR="00CD2A93">
        <w:rPr>
          <w:rFonts w:eastAsia="Verdana" w:cs="Verdana"/>
          <w:szCs w:val="20"/>
          <w:lang w:val="es-CO"/>
        </w:rPr>
        <w:t>,</w:t>
      </w:r>
      <w:r w:rsidRPr="00F57FA4">
        <w:rPr>
          <w:rFonts w:eastAsia="Verdana" w:cs="Verdana"/>
          <w:szCs w:val="20"/>
          <w:lang w:val="es-CO"/>
        </w:rPr>
        <w:t xml:space="preserve"> una máscara y </w:t>
      </w:r>
      <w:r w:rsidRPr="00F57FA4">
        <w:rPr>
          <w:rFonts w:eastAsia="Verdana" w:cs="Verdana"/>
          <w:szCs w:val="20"/>
          <w:lang w:val="es-CO"/>
        </w:rPr>
        <w:lastRenderedPageBreak/>
        <w:t xml:space="preserve">regresan a los pabellones. Actualmente hay 43 internos portadores de VIH. </w:t>
      </w:r>
      <w:r w:rsidR="00F90C56">
        <w:rPr>
          <w:rFonts w:eastAsia="Verdana" w:cs="Verdana"/>
          <w:szCs w:val="20"/>
          <w:lang w:val="es-CO"/>
        </w:rPr>
        <w:t xml:space="preserve">Con excepción de </w:t>
      </w:r>
      <w:r w:rsidR="00F90C56" w:rsidRPr="00F90C56">
        <w:rPr>
          <w:rFonts w:eastAsia="Verdana" w:cs="Verdana"/>
          <w:szCs w:val="20"/>
          <w:lang w:val="es-CO"/>
        </w:rPr>
        <w:t xml:space="preserve">los </w:t>
      </w:r>
      <w:r w:rsidRPr="00F90C56">
        <w:rPr>
          <w:rFonts w:eastAsia="Verdana" w:cs="Verdana"/>
          <w:szCs w:val="20"/>
          <w:lang w:val="es-CO"/>
        </w:rPr>
        <w:t>tratamientos de tuberculosis y VIH</w:t>
      </w:r>
      <w:r w:rsidR="00F90C56" w:rsidRPr="00F90C56">
        <w:rPr>
          <w:rFonts w:eastAsia="Verdana" w:cs="Verdana"/>
          <w:szCs w:val="20"/>
          <w:lang w:val="es-CO"/>
        </w:rPr>
        <w:t xml:space="preserve">, que cuentan con recursos federales, los demás tratamientos de salud tienen lugar en el Hospital del Complejo de Gericinó. </w:t>
      </w:r>
    </w:p>
    <w:p w14:paraId="41625C8D" w14:textId="77777777" w:rsidR="00902C16" w:rsidRPr="00F57FA4" w:rsidRDefault="00902C16" w:rsidP="006D31D9">
      <w:pPr>
        <w:pStyle w:val="ListParagraph"/>
        <w:rPr>
          <w:rFonts w:eastAsia="Verdana" w:cs="Verdana"/>
          <w:szCs w:val="20"/>
          <w:lang w:val="es-CO"/>
        </w:rPr>
      </w:pPr>
    </w:p>
    <w:p w14:paraId="758553E1" w14:textId="1F279F72" w:rsidR="00902C16" w:rsidRPr="00F57FA4" w:rsidRDefault="00902C16" w:rsidP="006D31D9">
      <w:pPr>
        <w:pStyle w:val="ListParagraph"/>
        <w:numPr>
          <w:ilvl w:val="0"/>
          <w:numId w:val="10"/>
        </w:numPr>
        <w:snapToGrid w:val="0"/>
        <w:ind w:right="4"/>
        <w:contextualSpacing w:val="0"/>
        <w:outlineLvl w:val="0"/>
        <w:rPr>
          <w:lang w:val="es-CO"/>
        </w:rPr>
      </w:pPr>
      <w:r w:rsidRPr="00F57FA4">
        <w:rPr>
          <w:rFonts w:eastAsia="Verdana" w:cs="Verdana"/>
          <w:szCs w:val="20"/>
          <w:lang w:val="es-CO"/>
        </w:rPr>
        <w:t>El día de la visita</w:t>
      </w:r>
      <w:r w:rsidR="00617FDA">
        <w:rPr>
          <w:rFonts w:eastAsia="Verdana" w:cs="Verdana"/>
          <w:szCs w:val="20"/>
          <w:lang w:val="es-CO"/>
        </w:rPr>
        <w:t>,</w:t>
      </w:r>
      <w:r w:rsidRPr="00F57FA4">
        <w:rPr>
          <w:rFonts w:eastAsia="Verdana" w:cs="Verdana"/>
          <w:szCs w:val="20"/>
          <w:lang w:val="es-CO"/>
        </w:rPr>
        <w:t xml:space="preserve"> el Estado presentó un camión de rayos-x que había sido reformado para</w:t>
      </w:r>
      <w:r w:rsidR="00F31647">
        <w:rPr>
          <w:rFonts w:eastAsia="Verdana" w:cs="Verdana"/>
          <w:szCs w:val="20"/>
          <w:lang w:val="es-CO"/>
        </w:rPr>
        <w:t xml:space="preserve"> ser </w:t>
      </w:r>
      <w:r w:rsidRPr="00F57FA4">
        <w:rPr>
          <w:rFonts w:eastAsia="Verdana" w:cs="Verdana"/>
          <w:szCs w:val="20"/>
          <w:lang w:val="es-CO"/>
        </w:rPr>
        <w:t>utiliza</w:t>
      </w:r>
      <w:r w:rsidR="00F31647">
        <w:rPr>
          <w:rFonts w:eastAsia="Verdana" w:cs="Verdana"/>
          <w:szCs w:val="20"/>
          <w:lang w:val="es-CO"/>
        </w:rPr>
        <w:t>do</w:t>
      </w:r>
      <w:r w:rsidRPr="00F57FA4">
        <w:rPr>
          <w:rFonts w:eastAsia="Verdana" w:cs="Verdana"/>
          <w:szCs w:val="20"/>
          <w:lang w:val="es-CO"/>
        </w:rPr>
        <w:t xml:space="preserve"> en el instituto</w:t>
      </w:r>
      <w:r w:rsidR="00322559" w:rsidRPr="00F57FA4">
        <w:rPr>
          <w:rFonts w:eastAsia="Verdana" w:cs="Verdana"/>
          <w:szCs w:val="20"/>
          <w:lang w:val="es-CO"/>
        </w:rPr>
        <w:t>.</w:t>
      </w:r>
    </w:p>
    <w:p w14:paraId="16EFC398" w14:textId="77777777" w:rsidR="00902C16" w:rsidRPr="00F57FA4" w:rsidRDefault="00902C16" w:rsidP="006D31D9">
      <w:pPr>
        <w:pStyle w:val="ListParagraph"/>
        <w:rPr>
          <w:lang w:val="es-CO"/>
        </w:rPr>
      </w:pPr>
    </w:p>
    <w:p w14:paraId="072F6495" w14:textId="77777777" w:rsidR="00902C16" w:rsidRPr="00F57FA4" w:rsidRDefault="00902C16" w:rsidP="006D31D9">
      <w:pPr>
        <w:pStyle w:val="ListParagraph"/>
        <w:numPr>
          <w:ilvl w:val="0"/>
          <w:numId w:val="10"/>
        </w:numPr>
        <w:ind w:right="63"/>
        <w:rPr>
          <w:rFonts w:eastAsia="Verdana" w:cs="Verdana"/>
          <w:szCs w:val="20"/>
          <w:lang w:val="es-CO"/>
        </w:rPr>
      </w:pPr>
      <w:r w:rsidRPr="00F57FA4">
        <w:rPr>
          <w:rFonts w:eastAsia="Verdana" w:cs="Verdana"/>
          <w:szCs w:val="20"/>
          <w:lang w:val="es-CO"/>
        </w:rPr>
        <w:t xml:space="preserve">Todos los pabellones presentan filtraciones en el techo y los presos no disponen de espacios propios para sus objetos personales. </w:t>
      </w:r>
      <w:r w:rsidR="00A8438C" w:rsidRPr="00F57FA4">
        <w:rPr>
          <w:rFonts w:eastAsia="Verdana" w:cs="Verdana"/>
          <w:szCs w:val="20"/>
          <w:lang w:val="es-CO"/>
        </w:rPr>
        <w:t>Los internos han tenido que crear diferentes mecanismos por medio de bolsas plásticas</w:t>
      </w:r>
      <w:r w:rsidR="0054135B" w:rsidRPr="00F57FA4">
        <w:rPr>
          <w:rFonts w:eastAsia="Verdana" w:cs="Verdana"/>
          <w:szCs w:val="20"/>
          <w:lang w:val="es-CO"/>
        </w:rPr>
        <w:t xml:space="preserve"> o baldes</w:t>
      </w:r>
      <w:r w:rsidR="00A8438C" w:rsidRPr="00F57FA4">
        <w:rPr>
          <w:rFonts w:eastAsia="Verdana" w:cs="Verdana"/>
          <w:szCs w:val="20"/>
          <w:lang w:val="es-CO"/>
        </w:rPr>
        <w:t xml:space="preserve">, </w:t>
      </w:r>
      <w:r w:rsidR="0054135B" w:rsidRPr="00F57FA4">
        <w:rPr>
          <w:rFonts w:eastAsia="Verdana" w:cs="Verdana"/>
          <w:szCs w:val="20"/>
          <w:lang w:val="es-CO"/>
        </w:rPr>
        <w:t xml:space="preserve">a través </w:t>
      </w:r>
      <w:r w:rsidR="00A8438C" w:rsidRPr="00F57FA4">
        <w:rPr>
          <w:rFonts w:eastAsia="Verdana" w:cs="Verdana"/>
          <w:szCs w:val="20"/>
          <w:lang w:val="es-CO"/>
        </w:rPr>
        <w:t xml:space="preserve">de los cuales se </w:t>
      </w:r>
      <w:r w:rsidR="0054135B" w:rsidRPr="00F57FA4">
        <w:rPr>
          <w:rFonts w:eastAsia="Verdana" w:cs="Verdana"/>
          <w:szCs w:val="20"/>
          <w:lang w:val="es-CO"/>
        </w:rPr>
        <w:t>pretende</w:t>
      </w:r>
      <w:r w:rsidR="00A8438C" w:rsidRPr="00F57FA4">
        <w:rPr>
          <w:rFonts w:eastAsia="Verdana" w:cs="Verdana"/>
          <w:szCs w:val="20"/>
          <w:lang w:val="es-CO"/>
        </w:rPr>
        <w:t xml:space="preserve"> impedir en época de lluvia el ingreso de agua en las celdas. </w:t>
      </w:r>
    </w:p>
    <w:p w14:paraId="40324ABF" w14:textId="77777777" w:rsidR="00902C16" w:rsidRPr="00F57FA4" w:rsidRDefault="00902C16" w:rsidP="006D31D9">
      <w:pPr>
        <w:pStyle w:val="ListParagraph"/>
        <w:spacing w:before="4" w:line="240" w:lineRule="exact"/>
        <w:rPr>
          <w:sz w:val="24"/>
          <w:lang w:val="es-CO"/>
        </w:rPr>
      </w:pPr>
    </w:p>
    <w:p w14:paraId="646A5814" w14:textId="77777777" w:rsidR="00B01705" w:rsidRPr="00F57FA4" w:rsidRDefault="00F31647" w:rsidP="006D31D9">
      <w:pPr>
        <w:pStyle w:val="ListParagraph"/>
        <w:numPr>
          <w:ilvl w:val="0"/>
          <w:numId w:val="10"/>
        </w:numPr>
        <w:ind w:right="63"/>
        <w:rPr>
          <w:rFonts w:eastAsia="Verdana" w:cs="Verdana"/>
          <w:szCs w:val="20"/>
          <w:lang w:val="es-CO"/>
        </w:rPr>
      </w:pPr>
      <w:r>
        <w:rPr>
          <w:rFonts w:eastAsia="Verdana" w:cs="Verdana"/>
          <w:szCs w:val="20"/>
          <w:lang w:val="es-CO"/>
        </w:rPr>
        <w:t xml:space="preserve">Las celdas </w:t>
      </w:r>
      <w:r w:rsidR="00902C16" w:rsidRPr="00F57FA4">
        <w:rPr>
          <w:rFonts w:eastAsia="Verdana" w:cs="Verdana"/>
          <w:szCs w:val="20"/>
          <w:lang w:val="es-CO"/>
        </w:rPr>
        <w:t>son completamente insalubres,</w:t>
      </w:r>
      <w:r w:rsidR="00CD2A93">
        <w:rPr>
          <w:rFonts w:eastAsia="Verdana" w:cs="Verdana"/>
          <w:szCs w:val="20"/>
          <w:lang w:val="es-CO"/>
        </w:rPr>
        <w:t xml:space="preserve"> están</w:t>
      </w:r>
      <w:r w:rsidR="00902C16" w:rsidRPr="00F57FA4">
        <w:rPr>
          <w:rFonts w:eastAsia="Verdana" w:cs="Verdana"/>
          <w:szCs w:val="20"/>
          <w:lang w:val="es-CO"/>
        </w:rPr>
        <w:t xml:space="preserve"> suci</w:t>
      </w:r>
      <w:r>
        <w:rPr>
          <w:rFonts w:eastAsia="Verdana" w:cs="Verdana"/>
          <w:szCs w:val="20"/>
          <w:lang w:val="es-CO"/>
        </w:rPr>
        <w:t>a</w:t>
      </w:r>
      <w:r w:rsidR="00902C16" w:rsidRPr="00F57FA4">
        <w:rPr>
          <w:rFonts w:eastAsia="Verdana" w:cs="Verdana"/>
          <w:szCs w:val="20"/>
          <w:lang w:val="es-CO"/>
        </w:rPr>
        <w:t>s</w:t>
      </w:r>
      <w:r w:rsidR="00CD2A93">
        <w:rPr>
          <w:rFonts w:eastAsia="Verdana" w:cs="Verdana"/>
          <w:szCs w:val="20"/>
          <w:lang w:val="es-CO"/>
        </w:rPr>
        <w:t>,</w:t>
      </w:r>
      <w:r w:rsidR="00902C16" w:rsidRPr="00F57FA4">
        <w:rPr>
          <w:rFonts w:eastAsia="Verdana" w:cs="Verdana"/>
          <w:szCs w:val="20"/>
          <w:lang w:val="es-CO"/>
        </w:rPr>
        <w:t xml:space="preserve"> </w:t>
      </w:r>
      <w:r w:rsidR="00CD2A93">
        <w:rPr>
          <w:rFonts w:eastAsia="Verdana" w:cs="Verdana"/>
          <w:szCs w:val="20"/>
          <w:lang w:val="es-CO"/>
        </w:rPr>
        <w:t>prevalece</w:t>
      </w:r>
      <w:r w:rsidR="00CD2A93" w:rsidRPr="00F57FA4">
        <w:rPr>
          <w:rFonts w:eastAsia="Verdana" w:cs="Verdana"/>
          <w:szCs w:val="20"/>
          <w:lang w:val="es-CO"/>
        </w:rPr>
        <w:t xml:space="preserve"> </w:t>
      </w:r>
      <w:r w:rsidR="002F7CCE">
        <w:rPr>
          <w:rFonts w:eastAsia="Verdana" w:cs="Verdana"/>
          <w:szCs w:val="20"/>
          <w:lang w:val="es-CO"/>
        </w:rPr>
        <w:t xml:space="preserve">el </w:t>
      </w:r>
      <w:r w:rsidR="00902C16" w:rsidRPr="00F57FA4">
        <w:rPr>
          <w:rFonts w:eastAsia="Verdana" w:cs="Verdana"/>
          <w:szCs w:val="20"/>
          <w:lang w:val="es-CO"/>
        </w:rPr>
        <w:t>mal</w:t>
      </w:r>
      <w:r w:rsidR="00CD2A93">
        <w:rPr>
          <w:rFonts w:eastAsia="Verdana" w:cs="Verdana"/>
          <w:szCs w:val="20"/>
          <w:lang w:val="es-CO"/>
        </w:rPr>
        <w:t xml:space="preserve"> </w:t>
      </w:r>
      <w:r w:rsidR="00902C16" w:rsidRPr="00F57FA4">
        <w:rPr>
          <w:rFonts w:eastAsia="Verdana" w:cs="Verdana"/>
          <w:szCs w:val="20"/>
          <w:lang w:val="es-CO"/>
        </w:rPr>
        <w:t>olor</w:t>
      </w:r>
      <w:r w:rsidR="0054135B" w:rsidRPr="00F57FA4">
        <w:rPr>
          <w:rFonts w:eastAsia="Verdana" w:cs="Verdana"/>
          <w:szCs w:val="20"/>
          <w:lang w:val="es-CO"/>
        </w:rPr>
        <w:t xml:space="preserve"> y cuentan con poca ventilación.</w:t>
      </w:r>
      <w:r w:rsidR="00902C16" w:rsidRPr="00F57FA4">
        <w:rPr>
          <w:rFonts w:eastAsia="Verdana" w:cs="Verdana"/>
          <w:szCs w:val="20"/>
          <w:lang w:val="es-CO"/>
        </w:rPr>
        <w:t xml:space="preserve"> Las condiciones de higiene no alcanzan los mínimos estándares nacionales o internacionales y dejan a los internos en constante situación de riesgo de enfermedades. Los restos de comida depositados en las celdas y principalmente en los baños también son una señal de la falta de higiene</w:t>
      </w:r>
      <w:r w:rsidR="00322559" w:rsidRPr="00F57FA4">
        <w:rPr>
          <w:rFonts w:eastAsia="Verdana" w:cs="Verdana"/>
          <w:szCs w:val="20"/>
          <w:lang w:val="es-CO"/>
        </w:rPr>
        <w:t>. L</w:t>
      </w:r>
      <w:r w:rsidR="0054135B" w:rsidRPr="00F57FA4">
        <w:rPr>
          <w:rFonts w:eastAsia="Verdana" w:cs="Verdana"/>
          <w:szCs w:val="20"/>
          <w:lang w:val="es-CO"/>
        </w:rPr>
        <w:t xml:space="preserve">as paredes cuentan con la presencia de moho y diferentes tipos de hongos a raíz de la falta de </w:t>
      </w:r>
      <w:r w:rsidR="003A1266" w:rsidRPr="00F57FA4">
        <w:rPr>
          <w:rFonts w:eastAsia="Verdana" w:cs="Verdana"/>
          <w:szCs w:val="20"/>
          <w:lang w:val="es-CO"/>
        </w:rPr>
        <w:t>limpieza</w:t>
      </w:r>
      <w:r w:rsidR="00F347C3" w:rsidRPr="00F57FA4">
        <w:rPr>
          <w:rFonts w:eastAsia="Verdana" w:cs="Verdana"/>
          <w:szCs w:val="20"/>
          <w:lang w:val="es-CO"/>
        </w:rPr>
        <w:t xml:space="preserve"> y conservación</w:t>
      </w:r>
      <w:r w:rsidR="0054135B" w:rsidRPr="00F57FA4">
        <w:rPr>
          <w:rFonts w:eastAsia="Verdana" w:cs="Verdana"/>
          <w:szCs w:val="20"/>
          <w:lang w:val="es-CO"/>
        </w:rPr>
        <w:t xml:space="preserve"> </w:t>
      </w:r>
      <w:r w:rsidR="00F347C3" w:rsidRPr="00F57FA4">
        <w:rPr>
          <w:rFonts w:eastAsia="Verdana" w:cs="Verdana"/>
          <w:szCs w:val="20"/>
          <w:lang w:val="es-CO"/>
        </w:rPr>
        <w:t>de</w:t>
      </w:r>
      <w:r w:rsidR="0054135B" w:rsidRPr="00F57FA4">
        <w:rPr>
          <w:rFonts w:eastAsia="Verdana" w:cs="Verdana"/>
          <w:szCs w:val="20"/>
          <w:lang w:val="es-CO"/>
        </w:rPr>
        <w:t xml:space="preserve"> los mismos</w:t>
      </w:r>
      <w:r w:rsidR="003A1266" w:rsidRPr="00F57FA4">
        <w:rPr>
          <w:rFonts w:eastAsia="Verdana" w:cs="Verdana"/>
          <w:szCs w:val="20"/>
          <w:lang w:val="es-CO"/>
        </w:rPr>
        <w:t>. Se resalta que la cantidad de baños que se encuentran en el IPPSC no son suficientes o proporcional</w:t>
      </w:r>
      <w:r w:rsidR="00CD2A93">
        <w:rPr>
          <w:rFonts w:eastAsia="Verdana" w:cs="Verdana"/>
          <w:szCs w:val="20"/>
          <w:lang w:val="es-CO"/>
        </w:rPr>
        <w:t>es</w:t>
      </w:r>
      <w:r w:rsidR="003A1266" w:rsidRPr="00F57FA4">
        <w:rPr>
          <w:rFonts w:eastAsia="Verdana" w:cs="Verdana"/>
          <w:szCs w:val="20"/>
          <w:lang w:val="es-CO"/>
        </w:rPr>
        <w:t xml:space="preserve"> para la cantidad de </w:t>
      </w:r>
      <w:r w:rsidR="00CD2A93">
        <w:rPr>
          <w:rFonts w:eastAsia="Verdana" w:cs="Verdana"/>
          <w:szCs w:val="20"/>
          <w:lang w:val="es-CO"/>
        </w:rPr>
        <w:t>personas</w:t>
      </w:r>
      <w:r w:rsidR="00CD2A93" w:rsidRPr="00F57FA4">
        <w:rPr>
          <w:rFonts w:eastAsia="Verdana" w:cs="Verdana"/>
          <w:szCs w:val="20"/>
          <w:lang w:val="es-CO"/>
        </w:rPr>
        <w:t xml:space="preserve"> </w:t>
      </w:r>
      <w:r w:rsidR="003A1266" w:rsidRPr="00F57FA4">
        <w:rPr>
          <w:rFonts w:eastAsia="Verdana" w:cs="Verdana"/>
          <w:szCs w:val="20"/>
          <w:lang w:val="es-CO"/>
        </w:rPr>
        <w:t>que se encuentran incorporad</w:t>
      </w:r>
      <w:r w:rsidR="00CD2A93">
        <w:rPr>
          <w:rFonts w:eastAsia="Verdana" w:cs="Verdana"/>
          <w:szCs w:val="20"/>
          <w:lang w:val="es-CO"/>
        </w:rPr>
        <w:t>a</w:t>
      </w:r>
      <w:r w:rsidR="003A1266" w:rsidRPr="00F57FA4">
        <w:rPr>
          <w:rFonts w:eastAsia="Verdana" w:cs="Verdana"/>
          <w:szCs w:val="20"/>
          <w:lang w:val="es-CO"/>
        </w:rPr>
        <w:t>s en la Unidad Penitenciaria</w:t>
      </w:r>
      <w:r w:rsidR="00CC58FD" w:rsidRPr="00F57FA4">
        <w:rPr>
          <w:rFonts w:eastAsia="Verdana" w:cs="Verdana"/>
          <w:szCs w:val="20"/>
          <w:lang w:val="es-CO"/>
        </w:rPr>
        <w:t>.</w:t>
      </w:r>
    </w:p>
    <w:p w14:paraId="5EC1D72C" w14:textId="77777777" w:rsidR="00B01705" w:rsidRPr="00F57FA4" w:rsidRDefault="00B01705" w:rsidP="006D31D9">
      <w:pPr>
        <w:pStyle w:val="ListParagraph"/>
        <w:rPr>
          <w:rFonts w:eastAsia="Verdana" w:cs="Verdana"/>
          <w:szCs w:val="20"/>
          <w:lang w:val="es-CO"/>
        </w:rPr>
      </w:pPr>
    </w:p>
    <w:p w14:paraId="4D68A001" w14:textId="4DB39465" w:rsidR="004D3B8F" w:rsidRPr="00F57FA4" w:rsidRDefault="004D3B8F" w:rsidP="006D31D9">
      <w:pPr>
        <w:pStyle w:val="ListParagraph"/>
        <w:numPr>
          <w:ilvl w:val="0"/>
          <w:numId w:val="10"/>
        </w:numPr>
        <w:ind w:right="63"/>
        <w:rPr>
          <w:rFonts w:eastAsia="Verdana" w:cs="Verdana"/>
          <w:szCs w:val="20"/>
          <w:lang w:val="es-CO"/>
        </w:rPr>
      </w:pPr>
      <w:r w:rsidRPr="00F57FA4">
        <w:rPr>
          <w:rFonts w:eastAsia="Verdana" w:cs="Verdana"/>
          <w:szCs w:val="20"/>
          <w:lang w:val="es-CO"/>
        </w:rPr>
        <w:t xml:space="preserve">Se logró observar que la mayoría de los </w:t>
      </w:r>
      <w:r w:rsidR="006931D5" w:rsidRPr="00F57FA4">
        <w:rPr>
          <w:rFonts w:eastAsia="Verdana" w:cs="Verdana"/>
          <w:szCs w:val="20"/>
          <w:lang w:val="es-CO"/>
        </w:rPr>
        <w:t>internos</w:t>
      </w:r>
      <w:r w:rsidRPr="00F57FA4">
        <w:rPr>
          <w:rFonts w:eastAsia="Verdana" w:cs="Verdana"/>
          <w:szCs w:val="20"/>
          <w:lang w:val="es-CO"/>
        </w:rPr>
        <w:t xml:space="preserve"> comen al</w:t>
      </w:r>
      <w:r w:rsidR="006931D5" w:rsidRPr="00F57FA4">
        <w:rPr>
          <w:rFonts w:eastAsia="Verdana" w:cs="Verdana"/>
          <w:szCs w:val="20"/>
          <w:lang w:val="es-CO"/>
        </w:rPr>
        <w:t xml:space="preserve"> interior de las celdas, </w:t>
      </w:r>
      <w:r w:rsidR="00F31647">
        <w:rPr>
          <w:rFonts w:eastAsia="Verdana" w:cs="Verdana"/>
          <w:szCs w:val="20"/>
          <w:lang w:val="es-CO"/>
        </w:rPr>
        <w:t xml:space="preserve">junto a las literas </w:t>
      </w:r>
      <w:r w:rsidR="006931D5" w:rsidRPr="00F57FA4">
        <w:rPr>
          <w:rFonts w:eastAsia="Verdana" w:cs="Verdana"/>
          <w:szCs w:val="20"/>
          <w:lang w:val="es-CO"/>
        </w:rPr>
        <w:t xml:space="preserve">tienen </w:t>
      </w:r>
      <w:r w:rsidR="00F31647">
        <w:rPr>
          <w:rFonts w:eastAsia="Verdana" w:cs="Verdana"/>
          <w:szCs w:val="20"/>
          <w:lang w:val="es-CO"/>
        </w:rPr>
        <w:t xml:space="preserve">alimentos </w:t>
      </w:r>
      <w:r w:rsidR="006931D5" w:rsidRPr="00F57FA4">
        <w:rPr>
          <w:rFonts w:eastAsia="Verdana" w:cs="Verdana"/>
          <w:szCs w:val="20"/>
          <w:lang w:val="es-CO"/>
        </w:rPr>
        <w:t>como frutas y verduras</w:t>
      </w:r>
      <w:r w:rsidR="00617FDA">
        <w:rPr>
          <w:rFonts w:eastAsia="Verdana" w:cs="Verdana"/>
          <w:szCs w:val="20"/>
          <w:lang w:val="es-CO"/>
        </w:rPr>
        <w:t>,</w:t>
      </w:r>
      <w:r w:rsidR="006931D5" w:rsidRPr="00F57FA4">
        <w:rPr>
          <w:rFonts w:eastAsia="Verdana" w:cs="Verdana"/>
          <w:szCs w:val="20"/>
          <w:lang w:val="es-CO"/>
        </w:rPr>
        <w:t xml:space="preserve"> además de</w:t>
      </w:r>
      <w:r w:rsidRPr="00F57FA4">
        <w:rPr>
          <w:rFonts w:eastAsia="Verdana" w:cs="Verdana"/>
          <w:szCs w:val="20"/>
          <w:lang w:val="es-CO"/>
        </w:rPr>
        <w:t xml:space="preserve"> restos de </w:t>
      </w:r>
      <w:r w:rsidR="006931D5" w:rsidRPr="00F57FA4">
        <w:rPr>
          <w:rFonts w:eastAsia="Verdana" w:cs="Verdana"/>
          <w:szCs w:val="20"/>
          <w:lang w:val="es-CO"/>
        </w:rPr>
        <w:t xml:space="preserve">la </w:t>
      </w:r>
      <w:r w:rsidRPr="00F57FA4">
        <w:rPr>
          <w:rFonts w:eastAsia="Verdana" w:cs="Verdana"/>
          <w:szCs w:val="20"/>
          <w:lang w:val="es-CO"/>
        </w:rPr>
        <w:t>comida</w:t>
      </w:r>
      <w:r w:rsidR="006931D5" w:rsidRPr="00F57FA4">
        <w:rPr>
          <w:rFonts w:eastAsia="Verdana" w:cs="Verdana"/>
          <w:szCs w:val="20"/>
          <w:lang w:val="es-CO"/>
        </w:rPr>
        <w:t xml:space="preserve"> que les otorga el IPPSC</w:t>
      </w:r>
      <w:r w:rsidRPr="00F57FA4">
        <w:rPr>
          <w:rFonts w:eastAsia="Verdana" w:cs="Verdana"/>
          <w:szCs w:val="20"/>
          <w:lang w:val="es-CO"/>
        </w:rPr>
        <w:t xml:space="preserve">, lo que genera un ambiente </w:t>
      </w:r>
      <w:r w:rsidR="00F31647">
        <w:rPr>
          <w:rFonts w:eastAsia="Verdana" w:cs="Verdana"/>
          <w:szCs w:val="20"/>
          <w:lang w:val="es-CO"/>
        </w:rPr>
        <w:t>insalubre</w:t>
      </w:r>
      <w:r w:rsidR="006931D5" w:rsidRPr="00F57FA4">
        <w:rPr>
          <w:rFonts w:eastAsia="Verdana" w:cs="Verdana"/>
          <w:szCs w:val="20"/>
          <w:lang w:val="es-CO"/>
        </w:rPr>
        <w:t xml:space="preserve"> </w:t>
      </w:r>
      <w:r w:rsidRPr="00F57FA4">
        <w:rPr>
          <w:rFonts w:eastAsia="Verdana" w:cs="Verdana"/>
          <w:szCs w:val="20"/>
          <w:lang w:val="es-CO"/>
        </w:rPr>
        <w:t xml:space="preserve">y </w:t>
      </w:r>
      <w:r w:rsidR="006931D5" w:rsidRPr="00F57FA4">
        <w:rPr>
          <w:rFonts w:eastAsia="Verdana" w:cs="Verdana"/>
          <w:szCs w:val="20"/>
          <w:lang w:val="es-CO"/>
        </w:rPr>
        <w:t>ocasiona la presencia de animales al interior de las mismas</w:t>
      </w:r>
      <w:r w:rsidR="00CC58FD" w:rsidRPr="00F57FA4">
        <w:rPr>
          <w:rFonts w:eastAsia="Verdana" w:cs="Verdana"/>
          <w:szCs w:val="20"/>
          <w:lang w:val="es-CO"/>
        </w:rPr>
        <w:t>.</w:t>
      </w:r>
    </w:p>
    <w:p w14:paraId="41CF2B38" w14:textId="77777777" w:rsidR="00CC58FD" w:rsidRPr="00F57FA4" w:rsidRDefault="00CC58FD" w:rsidP="00CC58FD">
      <w:pPr>
        <w:pStyle w:val="ListParagraph"/>
        <w:rPr>
          <w:rFonts w:eastAsia="Verdana" w:cs="Verdana"/>
          <w:szCs w:val="20"/>
          <w:lang w:val="es-CO"/>
        </w:rPr>
      </w:pPr>
    </w:p>
    <w:p w14:paraId="43B9C98D" w14:textId="213B6D72" w:rsidR="00CC58FD" w:rsidRPr="00F57FA4" w:rsidRDefault="00CC58FD" w:rsidP="00CC58FD">
      <w:pPr>
        <w:pStyle w:val="ListParagraph"/>
        <w:numPr>
          <w:ilvl w:val="0"/>
          <w:numId w:val="10"/>
        </w:numPr>
        <w:ind w:right="63"/>
        <w:rPr>
          <w:rFonts w:eastAsia="Verdana" w:cs="Verdana"/>
          <w:szCs w:val="20"/>
          <w:lang w:val="es-CO"/>
        </w:rPr>
      </w:pPr>
      <w:r w:rsidRPr="00F57FA4">
        <w:rPr>
          <w:rFonts w:eastAsia="Verdana" w:cs="Verdana"/>
          <w:szCs w:val="20"/>
          <w:lang w:val="es-CO"/>
        </w:rPr>
        <w:t>El IPPSC cuenta con poca ventilación al interior de los pabellones</w:t>
      </w:r>
      <w:r w:rsidR="002F7CCE">
        <w:rPr>
          <w:rFonts w:eastAsia="Verdana" w:cs="Verdana"/>
          <w:szCs w:val="20"/>
          <w:lang w:val="es-CO"/>
        </w:rPr>
        <w:t>, los cuales presentan</w:t>
      </w:r>
      <w:r w:rsidRPr="00F57FA4">
        <w:rPr>
          <w:rFonts w:eastAsia="Verdana" w:cs="Verdana"/>
          <w:szCs w:val="20"/>
          <w:lang w:val="es-CO"/>
        </w:rPr>
        <w:t xml:space="preserve"> </w:t>
      </w:r>
      <w:r w:rsidR="00A77B0C">
        <w:rPr>
          <w:rFonts w:eastAsia="Verdana" w:cs="Verdana"/>
          <w:szCs w:val="20"/>
          <w:lang w:val="es-CO"/>
        </w:rPr>
        <w:t>mucha</w:t>
      </w:r>
      <w:r w:rsidRPr="00F57FA4">
        <w:rPr>
          <w:rFonts w:eastAsia="Verdana" w:cs="Verdana"/>
          <w:szCs w:val="20"/>
          <w:lang w:val="es-CO"/>
        </w:rPr>
        <w:t xml:space="preserve"> humedad, creando un ambiente ideal para el nacimiento de hongos y bacterias que desencadenan el desarrollo de enfermedades de tipo respiratorio</w:t>
      </w:r>
      <w:r w:rsidR="00A77B0C">
        <w:rPr>
          <w:rFonts w:eastAsia="Verdana" w:cs="Verdana"/>
          <w:szCs w:val="20"/>
          <w:lang w:val="es-CO"/>
        </w:rPr>
        <w:t>, dermatológico, entre otras</w:t>
      </w:r>
      <w:r w:rsidRPr="00F57FA4">
        <w:rPr>
          <w:rFonts w:eastAsia="Verdana" w:cs="Verdana"/>
          <w:szCs w:val="20"/>
          <w:lang w:val="es-CO"/>
        </w:rPr>
        <w:t>. Las celdas tienen entre 1 y 2 ventiladores que están en mal estado</w:t>
      </w:r>
      <w:r w:rsidR="00F20E9C">
        <w:rPr>
          <w:rFonts w:eastAsia="Verdana" w:cs="Verdana"/>
          <w:szCs w:val="20"/>
          <w:lang w:val="es-CO"/>
        </w:rPr>
        <w:t>, cuyas</w:t>
      </w:r>
      <w:r w:rsidRPr="00F57FA4">
        <w:rPr>
          <w:rFonts w:eastAsia="Verdana" w:cs="Verdana"/>
          <w:szCs w:val="20"/>
          <w:lang w:val="es-CO"/>
        </w:rPr>
        <w:t xml:space="preserve"> conexiones están expuestas al aire libre con la probabilidad de ocasionar un corto circuito.</w:t>
      </w:r>
    </w:p>
    <w:p w14:paraId="497607A1" w14:textId="77777777" w:rsidR="004D3B8F" w:rsidRPr="00F57FA4" w:rsidRDefault="004D3B8F" w:rsidP="006D31D9">
      <w:pPr>
        <w:pStyle w:val="ListParagraph"/>
        <w:rPr>
          <w:rFonts w:eastAsia="Verdana" w:cs="Verdana"/>
          <w:szCs w:val="20"/>
          <w:lang w:val="es-CO"/>
        </w:rPr>
      </w:pPr>
    </w:p>
    <w:p w14:paraId="500F8A6C" w14:textId="77777777" w:rsidR="004D3B8F" w:rsidRPr="00F57FA4" w:rsidRDefault="00CC58FD" w:rsidP="006D31D9">
      <w:pPr>
        <w:pStyle w:val="ListParagraph"/>
        <w:numPr>
          <w:ilvl w:val="0"/>
          <w:numId w:val="10"/>
        </w:numPr>
        <w:ind w:right="63"/>
        <w:rPr>
          <w:rFonts w:eastAsia="Verdana" w:cs="Verdana"/>
          <w:szCs w:val="20"/>
          <w:lang w:val="es-CO"/>
        </w:rPr>
      </w:pPr>
      <w:r w:rsidRPr="00F57FA4">
        <w:rPr>
          <w:rFonts w:eastAsia="Verdana" w:cs="Verdana"/>
          <w:szCs w:val="20"/>
          <w:lang w:val="es-CO"/>
        </w:rPr>
        <w:t>De acuerdo al libro de registros verificado por la Corte, l</w:t>
      </w:r>
      <w:r w:rsidR="004B63A0" w:rsidRPr="00F57FA4">
        <w:rPr>
          <w:rFonts w:eastAsia="Verdana" w:cs="Verdana"/>
          <w:szCs w:val="20"/>
          <w:lang w:val="es-CO"/>
        </w:rPr>
        <w:t>os internos cuentan con un servicio de odontología que atiende 1 o 2 veces por mes</w:t>
      </w:r>
      <w:r w:rsidR="00CF1E18" w:rsidRPr="00F57FA4">
        <w:rPr>
          <w:rFonts w:eastAsia="Verdana" w:cs="Verdana"/>
          <w:szCs w:val="20"/>
          <w:lang w:val="es-CO"/>
        </w:rPr>
        <w:t xml:space="preserve">, </w:t>
      </w:r>
      <w:r w:rsidR="00492891" w:rsidRPr="00F57FA4">
        <w:rPr>
          <w:rFonts w:eastAsia="Verdana" w:cs="Verdana"/>
          <w:szCs w:val="20"/>
          <w:lang w:val="es-CO"/>
        </w:rPr>
        <w:t xml:space="preserve">con un </w:t>
      </w:r>
      <w:r w:rsidR="00CF1E18" w:rsidRPr="00F57FA4">
        <w:rPr>
          <w:rFonts w:eastAsia="Verdana" w:cs="Verdana"/>
          <w:szCs w:val="20"/>
          <w:lang w:val="es-CO"/>
        </w:rPr>
        <w:t xml:space="preserve">promedio </w:t>
      </w:r>
      <w:r w:rsidR="00492891" w:rsidRPr="00F57FA4">
        <w:rPr>
          <w:rFonts w:eastAsia="Verdana" w:cs="Verdana"/>
          <w:szCs w:val="20"/>
          <w:lang w:val="es-CO"/>
        </w:rPr>
        <w:t xml:space="preserve">de </w:t>
      </w:r>
      <w:r w:rsidR="00CF1E18" w:rsidRPr="00F57FA4">
        <w:rPr>
          <w:rFonts w:eastAsia="Verdana" w:cs="Verdana"/>
          <w:szCs w:val="20"/>
          <w:lang w:val="es-CO"/>
        </w:rPr>
        <w:t xml:space="preserve">6 </w:t>
      </w:r>
      <w:r w:rsidR="004B63A0" w:rsidRPr="00F57FA4">
        <w:rPr>
          <w:rFonts w:eastAsia="Verdana" w:cs="Verdana"/>
          <w:szCs w:val="20"/>
          <w:lang w:val="es-CO"/>
        </w:rPr>
        <w:t xml:space="preserve">internos cada visita. Las </w:t>
      </w:r>
      <w:r w:rsidR="00492891" w:rsidRPr="00F57FA4">
        <w:rPr>
          <w:rFonts w:eastAsia="Verdana" w:cs="Verdana"/>
          <w:szCs w:val="20"/>
          <w:lang w:val="es-CO"/>
        </w:rPr>
        <w:t xml:space="preserve">instalaciones y herramientas </w:t>
      </w:r>
      <w:r w:rsidRPr="00F57FA4">
        <w:rPr>
          <w:rFonts w:eastAsia="Verdana" w:cs="Verdana"/>
          <w:szCs w:val="20"/>
          <w:lang w:val="es-CO"/>
        </w:rPr>
        <w:t xml:space="preserve">de la sala de odontología </w:t>
      </w:r>
      <w:r w:rsidR="00492891" w:rsidRPr="00F57FA4">
        <w:rPr>
          <w:rFonts w:eastAsia="Verdana" w:cs="Verdana"/>
          <w:szCs w:val="20"/>
          <w:lang w:val="es-CO"/>
        </w:rPr>
        <w:t xml:space="preserve">se encuentran en </w:t>
      </w:r>
      <w:r w:rsidR="004B63A0" w:rsidRPr="00F57FA4">
        <w:rPr>
          <w:rFonts w:eastAsia="Verdana" w:cs="Verdana"/>
          <w:szCs w:val="20"/>
          <w:lang w:val="es-CO"/>
        </w:rPr>
        <w:t xml:space="preserve">pésimo estado, en su mayoría oxidadas. Se </w:t>
      </w:r>
      <w:r w:rsidRPr="00F57FA4">
        <w:rPr>
          <w:rFonts w:eastAsia="Verdana" w:cs="Verdana"/>
          <w:szCs w:val="20"/>
          <w:lang w:val="es-CO"/>
        </w:rPr>
        <w:t xml:space="preserve">informó </w:t>
      </w:r>
      <w:r w:rsidR="002331FF" w:rsidRPr="00F57FA4">
        <w:rPr>
          <w:rFonts w:eastAsia="Verdana" w:cs="Verdana"/>
          <w:szCs w:val="20"/>
          <w:lang w:val="es-CO"/>
        </w:rPr>
        <w:t>que algunas ocasiones no es posible prestar el servicio por falta de insumos para los internos.</w:t>
      </w:r>
    </w:p>
    <w:p w14:paraId="7F3E3064" w14:textId="77777777" w:rsidR="00F347C3" w:rsidRPr="00F57FA4" w:rsidRDefault="00F347C3" w:rsidP="006D31D9">
      <w:pPr>
        <w:pStyle w:val="ListParagraph"/>
        <w:rPr>
          <w:rFonts w:eastAsia="Verdana" w:cs="Verdana"/>
          <w:szCs w:val="20"/>
          <w:lang w:val="es-CO"/>
        </w:rPr>
      </w:pPr>
    </w:p>
    <w:p w14:paraId="0FD36065" w14:textId="77777777" w:rsidR="00CC58FD" w:rsidRDefault="00F347C3" w:rsidP="00183249">
      <w:pPr>
        <w:pStyle w:val="ListParagraph"/>
        <w:numPr>
          <w:ilvl w:val="0"/>
          <w:numId w:val="10"/>
        </w:numPr>
        <w:ind w:right="63"/>
        <w:rPr>
          <w:rFonts w:eastAsia="Verdana" w:cs="Verdana"/>
          <w:szCs w:val="20"/>
          <w:lang w:val="es-CO"/>
        </w:rPr>
      </w:pPr>
      <w:r w:rsidRPr="00A80A08">
        <w:rPr>
          <w:rFonts w:eastAsia="Verdana" w:cs="Verdana"/>
          <w:szCs w:val="20"/>
          <w:lang w:val="es-CO"/>
        </w:rPr>
        <w:t>La parte posterior de la cocina, donde se depositan l</w:t>
      </w:r>
      <w:r w:rsidR="00616A06">
        <w:rPr>
          <w:rFonts w:eastAsia="Verdana" w:cs="Verdana"/>
          <w:szCs w:val="20"/>
          <w:lang w:val="es-CO"/>
        </w:rPr>
        <w:t xml:space="preserve">as sobras </w:t>
      </w:r>
      <w:r w:rsidRPr="00A80A08">
        <w:rPr>
          <w:rFonts w:eastAsia="Verdana" w:cs="Verdana"/>
          <w:szCs w:val="20"/>
          <w:lang w:val="es-CO"/>
        </w:rPr>
        <w:t>de comida</w:t>
      </w:r>
      <w:r w:rsidR="001C3D26" w:rsidRPr="00384A46">
        <w:rPr>
          <w:rFonts w:eastAsia="Verdana" w:cs="Verdana"/>
          <w:szCs w:val="20"/>
          <w:lang w:val="es-CO"/>
        </w:rPr>
        <w:t xml:space="preserve">, no tiene ningún tipo de control </w:t>
      </w:r>
      <w:r w:rsidR="00CC58FD" w:rsidRPr="001115D4">
        <w:rPr>
          <w:rFonts w:eastAsia="Verdana" w:cs="Verdana"/>
          <w:szCs w:val="20"/>
          <w:lang w:val="es-CO"/>
        </w:rPr>
        <w:t>o limpieza</w:t>
      </w:r>
      <w:r w:rsidR="001C3D26" w:rsidRPr="001115D4">
        <w:rPr>
          <w:rFonts w:eastAsia="Verdana" w:cs="Verdana"/>
          <w:szCs w:val="20"/>
          <w:lang w:val="es-CO"/>
        </w:rPr>
        <w:t xml:space="preserve">, </w:t>
      </w:r>
      <w:r w:rsidR="00616A06">
        <w:rPr>
          <w:rFonts w:eastAsia="Verdana" w:cs="Verdana"/>
          <w:szCs w:val="20"/>
          <w:lang w:val="es-CO"/>
        </w:rPr>
        <w:t xml:space="preserve">los restos se </w:t>
      </w:r>
      <w:r w:rsidR="001C3D26" w:rsidRPr="001115D4">
        <w:rPr>
          <w:rFonts w:eastAsia="Verdana" w:cs="Verdana"/>
          <w:szCs w:val="20"/>
          <w:lang w:val="es-CO"/>
        </w:rPr>
        <w:t>acumul</w:t>
      </w:r>
      <w:r w:rsidR="00616A06">
        <w:rPr>
          <w:rFonts w:eastAsia="Verdana" w:cs="Verdana"/>
          <w:szCs w:val="20"/>
          <w:lang w:val="es-CO"/>
        </w:rPr>
        <w:t xml:space="preserve">an y atraen </w:t>
      </w:r>
      <w:r w:rsidR="001C3D26" w:rsidRPr="001115D4">
        <w:rPr>
          <w:rFonts w:eastAsia="Verdana" w:cs="Verdana"/>
          <w:szCs w:val="20"/>
          <w:lang w:val="es-CO"/>
        </w:rPr>
        <w:t>a diferentes tipos de animales</w:t>
      </w:r>
      <w:r w:rsidR="00616A06">
        <w:rPr>
          <w:rFonts w:eastAsia="Verdana" w:cs="Verdana"/>
          <w:szCs w:val="20"/>
          <w:lang w:val="es-CO"/>
        </w:rPr>
        <w:t xml:space="preserve">, lo cual </w:t>
      </w:r>
      <w:r w:rsidR="001C3D26" w:rsidRPr="001115D4">
        <w:rPr>
          <w:rFonts w:eastAsia="Verdana" w:cs="Verdana"/>
          <w:szCs w:val="20"/>
          <w:lang w:val="es-CO"/>
        </w:rPr>
        <w:t xml:space="preserve">genera </w:t>
      </w:r>
      <w:r w:rsidR="00616A06">
        <w:rPr>
          <w:rFonts w:eastAsia="Verdana" w:cs="Verdana"/>
          <w:szCs w:val="20"/>
          <w:lang w:val="es-CO"/>
        </w:rPr>
        <w:t xml:space="preserve">malos olores y </w:t>
      </w:r>
      <w:r w:rsidR="001C3D26" w:rsidRPr="001115D4">
        <w:rPr>
          <w:rFonts w:eastAsia="Verdana" w:cs="Verdana"/>
          <w:szCs w:val="20"/>
          <w:lang w:val="es-CO"/>
        </w:rPr>
        <w:t xml:space="preserve">un </w:t>
      </w:r>
      <w:r w:rsidR="008D05D4">
        <w:rPr>
          <w:rFonts w:eastAsia="Verdana" w:cs="Verdana"/>
          <w:szCs w:val="20"/>
          <w:lang w:val="es-CO"/>
        </w:rPr>
        <w:t>entorno</w:t>
      </w:r>
      <w:r w:rsidR="001C3D26" w:rsidRPr="001115D4">
        <w:rPr>
          <w:rFonts w:eastAsia="Verdana" w:cs="Verdana"/>
          <w:szCs w:val="20"/>
          <w:lang w:val="es-CO"/>
        </w:rPr>
        <w:t xml:space="preserve"> </w:t>
      </w:r>
      <w:r w:rsidR="00A77B0C">
        <w:rPr>
          <w:rFonts w:eastAsia="Verdana" w:cs="Verdana"/>
          <w:szCs w:val="20"/>
          <w:lang w:val="es-CO"/>
        </w:rPr>
        <w:t>insalubre</w:t>
      </w:r>
      <w:r w:rsidR="002F7CCE">
        <w:rPr>
          <w:rFonts w:eastAsia="Verdana" w:cs="Verdana"/>
          <w:szCs w:val="20"/>
          <w:lang w:val="es-CO"/>
        </w:rPr>
        <w:t xml:space="preserve">, </w:t>
      </w:r>
      <w:r w:rsidR="001C3D26" w:rsidRPr="00A80A08">
        <w:rPr>
          <w:rFonts w:eastAsia="Verdana" w:cs="Verdana"/>
          <w:szCs w:val="20"/>
          <w:lang w:val="es-CO"/>
        </w:rPr>
        <w:t>desagradable</w:t>
      </w:r>
      <w:r w:rsidR="00616A06">
        <w:rPr>
          <w:rFonts w:eastAsia="Verdana" w:cs="Verdana"/>
          <w:szCs w:val="20"/>
          <w:lang w:val="es-CO"/>
        </w:rPr>
        <w:t xml:space="preserve"> </w:t>
      </w:r>
      <w:r w:rsidR="002F7CCE">
        <w:rPr>
          <w:rFonts w:eastAsia="Verdana" w:cs="Verdana"/>
          <w:szCs w:val="20"/>
          <w:lang w:val="es-CO"/>
        </w:rPr>
        <w:t xml:space="preserve">y </w:t>
      </w:r>
      <w:r w:rsidR="008D05D4">
        <w:rPr>
          <w:rFonts w:eastAsia="Verdana" w:cs="Verdana"/>
          <w:szCs w:val="20"/>
          <w:lang w:val="es-CO"/>
        </w:rPr>
        <w:t xml:space="preserve">nocivo </w:t>
      </w:r>
      <w:r w:rsidR="001C3D26" w:rsidRPr="001115D4">
        <w:rPr>
          <w:rFonts w:eastAsia="Verdana" w:cs="Verdana"/>
          <w:szCs w:val="20"/>
          <w:lang w:val="es-CO"/>
        </w:rPr>
        <w:t>para los internos.</w:t>
      </w:r>
    </w:p>
    <w:p w14:paraId="3B25C41B" w14:textId="77777777" w:rsidR="00183249" w:rsidRPr="00A80A08" w:rsidRDefault="00183249" w:rsidP="00183249">
      <w:pPr>
        <w:pStyle w:val="ListParagraph"/>
        <w:ind w:right="63"/>
        <w:rPr>
          <w:rFonts w:eastAsia="Verdana" w:cs="Verdana"/>
          <w:szCs w:val="20"/>
          <w:lang w:val="es-CO"/>
        </w:rPr>
      </w:pPr>
    </w:p>
    <w:p w14:paraId="32E1093D" w14:textId="77777777" w:rsidR="00CC58FD" w:rsidRPr="00F57FA4" w:rsidRDefault="00CC58FD" w:rsidP="00CC58FD">
      <w:pPr>
        <w:pStyle w:val="ListParagraph"/>
        <w:numPr>
          <w:ilvl w:val="0"/>
          <w:numId w:val="10"/>
        </w:numPr>
        <w:ind w:right="63"/>
        <w:rPr>
          <w:rFonts w:eastAsia="Verdana" w:cs="Verdana"/>
          <w:szCs w:val="20"/>
          <w:lang w:val="es-CO"/>
        </w:rPr>
      </w:pPr>
      <w:r w:rsidRPr="00F57FA4">
        <w:rPr>
          <w:rFonts w:eastAsia="Verdana" w:cs="Verdana"/>
          <w:szCs w:val="20"/>
          <w:lang w:val="es-CO"/>
        </w:rPr>
        <w:t xml:space="preserve">La </w:t>
      </w:r>
      <w:r w:rsidR="008D05D4">
        <w:rPr>
          <w:rFonts w:eastAsia="Verdana" w:cs="Verdana"/>
          <w:szCs w:val="20"/>
          <w:lang w:val="es-CO"/>
        </w:rPr>
        <w:t>zona</w:t>
      </w:r>
      <w:r w:rsidRPr="00F57FA4">
        <w:rPr>
          <w:rFonts w:eastAsia="Verdana" w:cs="Verdana"/>
          <w:szCs w:val="20"/>
          <w:lang w:val="es-CO"/>
        </w:rPr>
        <w:t xml:space="preserve"> del basurero, donde también se encuentra ubicada la parte hidráulica, es extremadamente sucia, con la presencia de gatos, buitres y otros animales. Es</w:t>
      </w:r>
      <w:r w:rsidR="008D05D4">
        <w:rPr>
          <w:rFonts w:eastAsia="Verdana" w:cs="Verdana"/>
          <w:szCs w:val="20"/>
          <w:lang w:val="es-CO"/>
        </w:rPr>
        <w:t>a zona</w:t>
      </w:r>
      <w:r w:rsidRPr="00F57FA4">
        <w:rPr>
          <w:rFonts w:eastAsia="Verdana" w:cs="Verdana"/>
          <w:szCs w:val="20"/>
          <w:lang w:val="es-CO"/>
        </w:rPr>
        <w:t xml:space="preserve"> no cuenta con las condiciones mínimas de salubridad.</w:t>
      </w:r>
    </w:p>
    <w:p w14:paraId="7E2C434C" w14:textId="77777777" w:rsidR="0004544E" w:rsidRPr="00F57FA4" w:rsidRDefault="0004544E" w:rsidP="006D31D9">
      <w:pPr>
        <w:pStyle w:val="ListParagraph"/>
        <w:rPr>
          <w:rFonts w:eastAsia="Verdana" w:cs="Verdana"/>
          <w:szCs w:val="20"/>
          <w:lang w:val="es-CO"/>
        </w:rPr>
      </w:pPr>
    </w:p>
    <w:p w14:paraId="031EA829" w14:textId="77777777" w:rsidR="00746870" w:rsidRPr="00F57FA4" w:rsidRDefault="00746870" w:rsidP="006D31D9">
      <w:pPr>
        <w:pStyle w:val="ListParagraph"/>
        <w:numPr>
          <w:ilvl w:val="0"/>
          <w:numId w:val="20"/>
        </w:numPr>
        <w:snapToGrid w:val="0"/>
        <w:spacing w:line="241" w:lineRule="auto"/>
        <w:ind w:left="0" w:right="67" w:firstLine="0"/>
        <w:contextualSpacing w:val="0"/>
        <w:rPr>
          <w:szCs w:val="20"/>
          <w:lang w:val="es-CO"/>
        </w:rPr>
      </w:pPr>
      <w:r w:rsidRPr="00F57FA4">
        <w:rPr>
          <w:szCs w:val="20"/>
          <w:lang w:val="es-CO"/>
        </w:rPr>
        <w:lastRenderedPageBreak/>
        <w:t xml:space="preserve">Al respecto, la Corte </w:t>
      </w:r>
      <w:r w:rsidR="00CC58FD" w:rsidRPr="00F57FA4">
        <w:rPr>
          <w:szCs w:val="20"/>
          <w:lang w:val="es-CO"/>
        </w:rPr>
        <w:t>reitera</w:t>
      </w:r>
      <w:r w:rsidRPr="00F57FA4">
        <w:rPr>
          <w:szCs w:val="20"/>
          <w:lang w:val="es-CO"/>
        </w:rPr>
        <w:t xml:space="preserve"> que de acuerdo con las Reglas Mínimas para el Tratamiento de los Reclusos de las Naciones Unidas (Reglas de Mandela</w:t>
      </w:r>
      <w:r w:rsidR="00A77B0C">
        <w:rPr>
          <w:szCs w:val="20"/>
          <w:lang w:val="es-CO"/>
        </w:rPr>
        <w:t>)</w:t>
      </w:r>
      <w:r w:rsidRPr="00F57FA4">
        <w:rPr>
          <w:vertAlign w:val="superscript"/>
          <w:lang w:val="es-CO"/>
        </w:rPr>
        <w:footnoteReference w:id="14"/>
      </w:r>
      <w:r w:rsidRPr="00F57FA4">
        <w:rPr>
          <w:szCs w:val="20"/>
          <w:lang w:val="es-CO"/>
        </w:rPr>
        <w:t>, los locales de alojamiento y especialmente los dormitorios, deberán cumplir todas las normas de higiene, particularmente en lo que respecta a las condiciones climáticas y, en concreto, al volumen de aire, la superficie mínima, la iluminación, la calefacción y la ventilación (Regla 13). Lo anterior incluye ventanas suficientemente grandes para la entrada de aire fresco, la garantía de luz artificial (Regla 14), instalaciones de saneamiento (Regla 15), baño y ducha (Regla 16) adecuada y limpia (Regla 17). Además, se</w:t>
      </w:r>
      <w:r w:rsidR="00A77B0C">
        <w:rPr>
          <w:szCs w:val="20"/>
          <w:lang w:val="es-CO"/>
        </w:rPr>
        <w:t xml:space="preserve"> debe</w:t>
      </w:r>
      <w:r w:rsidRPr="00F57FA4">
        <w:rPr>
          <w:szCs w:val="20"/>
          <w:lang w:val="es-CO"/>
        </w:rPr>
        <w:t xml:space="preserve"> facilitar a los reclusos agua y artículos de aseo indispensables para su salud e higiene (Regla 18), así como ropa de cama individual (Reglas 19 y 21), una alimentación de buena calidad (Regla 22), servicios médicos (Regla 24) y tratamiento apropiado de enfermedades contagiosas durante el período de infección (Regla 30, d). Igualmente, </w:t>
      </w:r>
      <w:bookmarkStart w:id="1" w:name="_Toc462224416"/>
      <w:r w:rsidRPr="00F57FA4">
        <w:rPr>
          <w:szCs w:val="20"/>
          <w:lang w:val="es-CO"/>
        </w:rPr>
        <w:t>los Principios y Buenas Prácticas sobre la Protección de las Personas Privadas de Libertad en las Américas</w:t>
      </w:r>
      <w:r w:rsidRPr="00F57FA4">
        <w:rPr>
          <w:vertAlign w:val="superscript"/>
          <w:lang w:val="es-CO"/>
        </w:rPr>
        <w:footnoteReference w:id="15"/>
      </w:r>
      <w:r w:rsidR="00183249">
        <w:rPr>
          <w:szCs w:val="20"/>
          <w:lang w:val="es-CO"/>
        </w:rPr>
        <w:t>,</w:t>
      </w:r>
      <w:r w:rsidRPr="00F57FA4">
        <w:rPr>
          <w:szCs w:val="20"/>
          <w:lang w:val="es-CO"/>
        </w:rPr>
        <w:t xml:space="preserve"> de la Comisión Interamericana de Derechos Humanos</w:t>
      </w:r>
      <w:bookmarkEnd w:id="1"/>
      <w:r w:rsidRPr="00F57FA4">
        <w:rPr>
          <w:szCs w:val="20"/>
          <w:lang w:val="es-CO"/>
        </w:rPr>
        <w:t xml:space="preserve">, prescribe que toda persona privada de libertad tendrá derecho a la salud (Principio X), y a espacio e instalaciones sanitarias higiénicas y suficientes (Principio XII). </w:t>
      </w:r>
    </w:p>
    <w:p w14:paraId="4A25CF96" w14:textId="77777777" w:rsidR="00746870" w:rsidRPr="00F57FA4" w:rsidRDefault="00746870" w:rsidP="006D31D9">
      <w:pPr>
        <w:pStyle w:val="ListParagraph"/>
        <w:snapToGrid w:val="0"/>
        <w:ind w:left="0"/>
        <w:contextualSpacing w:val="0"/>
        <w:rPr>
          <w:szCs w:val="20"/>
          <w:lang w:val="es-CO"/>
        </w:rPr>
      </w:pPr>
    </w:p>
    <w:p w14:paraId="27998B28" w14:textId="2F054922" w:rsidR="00746870" w:rsidRPr="00F57FA4" w:rsidRDefault="00746870" w:rsidP="006D31D9">
      <w:pPr>
        <w:pStyle w:val="ListParagraph"/>
        <w:numPr>
          <w:ilvl w:val="0"/>
          <w:numId w:val="20"/>
        </w:numPr>
        <w:snapToGrid w:val="0"/>
        <w:ind w:left="0" w:firstLine="0"/>
        <w:contextualSpacing w:val="0"/>
        <w:rPr>
          <w:szCs w:val="20"/>
          <w:lang w:val="es-CO"/>
        </w:rPr>
      </w:pPr>
      <w:r w:rsidRPr="00F57FA4">
        <w:rPr>
          <w:szCs w:val="20"/>
          <w:lang w:val="es-CO"/>
        </w:rPr>
        <w:t>Por otra parte, el Comité Europeo para la Prevención de la Tortura y de las Penas o Tratos Inhumanos o Degradantes (en adelante “CPT”), en consonancia con las Reglas Penitenciarias Europeas del Consejo Europeo, determina que las celdas deben tener luz y ventilación adecuadas</w:t>
      </w:r>
      <w:r w:rsidR="00B406CC">
        <w:rPr>
          <w:szCs w:val="20"/>
          <w:lang w:val="es-CO"/>
        </w:rPr>
        <w:t xml:space="preserve">, así mismo, indica que debe circularse regularmente </w:t>
      </w:r>
      <w:r w:rsidRPr="00F57FA4">
        <w:rPr>
          <w:szCs w:val="20"/>
          <w:lang w:val="es-CO"/>
        </w:rPr>
        <w:t>información sobre enfermedades contagiosas</w:t>
      </w:r>
      <w:r w:rsidR="00B406CC">
        <w:rPr>
          <w:szCs w:val="20"/>
          <w:lang w:val="es-CO"/>
        </w:rPr>
        <w:t>.</w:t>
      </w:r>
      <w:r w:rsidRPr="00F57FA4">
        <w:rPr>
          <w:szCs w:val="20"/>
          <w:lang w:val="es-CO"/>
        </w:rPr>
        <w:t xml:space="preserve"> </w:t>
      </w:r>
      <w:r w:rsidR="00CC58FD" w:rsidRPr="00F57FA4">
        <w:rPr>
          <w:szCs w:val="20"/>
          <w:lang w:val="es-CO"/>
        </w:rPr>
        <w:t>E</w:t>
      </w:r>
      <w:r w:rsidRPr="00F57FA4">
        <w:rPr>
          <w:szCs w:val="20"/>
          <w:lang w:val="es-CO"/>
        </w:rPr>
        <w:t>l Estado debe asegurar que una persona esté detenida en condiciones que sean compatibles con el respeto a su dignidad humana, que la manera y el método de ejercer la medida no le someta a angustia o dificultad que exceda el nivel inevitable de sufrimiento intrínseco a la detención, y que, dadas las exigencias prácticas del encarcelamiento, su salud y bienestar estén asegurados adecuadamente</w:t>
      </w:r>
      <w:r w:rsidR="00CC58FD" w:rsidRPr="00F57FA4">
        <w:rPr>
          <w:vertAlign w:val="superscript"/>
          <w:lang w:val="es-CO"/>
        </w:rPr>
        <w:footnoteReference w:id="16"/>
      </w:r>
      <w:r w:rsidR="00183249">
        <w:rPr>
          <w:szCs w:val="20"/>
          <w:lang w:val="es-CO"/>
        </w:rPr>
        <w:t>.</w:t>
      </w:r>
    </w:p>
    <w:p w14:paraId="487C49F5" w14:textId="77777777" w:rsidR="00746870" w:rsidRPr="00F57FA4" w:rsidRDefault="00746870" w:rsidP="006D31D9">
      <w:pPr>
        <w:pStyle w:val="ListParagraph"/>
        <w:rPr>
          <w:szCs w:val="20"/>
          <w:lang w:val="es-CO"/>
        </w:rPr>
      </w:pPr>
    </w:p>
    <w:p w14:paraId="632E2055" w14:textId="627C70E3" w:rsidR="00635C78" w:rsidRPr="00F57FA4" w:rsidRDefault="00746870" w:rsidP="006D31D9">
      <w:pPr>
        <w:pStyle w:val="ListParagraph"/>
        <w:numPr>
          <w:ilvl w:val="0"/>
          <w:numId w:val="20"/>
        </w:numPr>
        <w:snapToGrid w:val="0"/>
        <w:ind w:left="0" w:firstLine="0"/>
        <w:contextualSpacing w:val="0"/>
        <w:rPr>
          <w:szCs w:val="20"/>
          <w:lang w:val="es-CO"/>
        </w:rPr>
      </w:pPr>
      <w:r w:rsidRPr="00F57FA4">
        <w:rPr>
          <w:szCs w:val="20"/>
          <w:lang w:val="es-CO"/>
        </w:rPr>
        <w:t>En el ámbito brasileño, la Ley de Ejecución Penal (Ley No. 7.210/84</w:t>
      </w:r>
      <w:r w:rsidR="008C1977">
        <w:rPr>
          <w:szCs w:val="20"/>
          <w:lang w:val="es-CO"/>
        </w:rPr>
        <w:t>)</w:t>
      </w:r>
      <w:r w:rsidRPr="00F57FA4">
        <w:rPr>
          <w:vertAlign w:val="superscript"/>
          <w:lang w:val="es-CO"/>
        </w:rPr>
        <w:footnoteReference w:id="17"/>
      </w:r>
      <w:r w:rsidRPr="00F57FA4">
        <w:rPr>
          <w:szCs w:val="20"/>
          <w:lang w:val="es-CO"/>
        </w:rPr>
        <w:t xml:space="preserve"> determina que a las personas privadas de libertad les debe ser garantizada alimentación, vestimenta, instalaciones higiénicas (Art. 12) y asistencia a la salud (Art. 14). En ese sentido, el Decreto Interministerial Nº 1777/03</w:t>
      </w:r>
      <w:r w:rsidRPr="00F57FA4">
        <w:rPr>
          <w:vertAlign w:val="superscript"/>
          <w:lang w:val="es-CO"/>
        </w:rPr>
        <w:footnoteReference w:id="18"/>
      </w:r>
      <w:r w:rsidRPr="00F57FA4">
        <w:rPr>
          <w:szCs w:val="20"/>
          <w:lang w:val="es-CO"/>
        </w:rPr>
        <w:t xml:space="preserve"> que estableció el Plan Nacional de Salud en el Sistema Penitenciario y las posteriores Resoluciones del CNPCP No. 04/2014 y 02/2015</w:t>
      </w:r>
      <w:r w:rsidRPr="00F57FA4">
        <w:rPr>
          <w:vertAlign w:val="superscript"/>
          <w:lang w:val="es-CO"/>
        </w:rPr>
        <w:footnoteReference w:id="19"/>
      </w:r>
      <w:r w:rsidRPr="00F57FA4">
        <w:rPr>
          <w:szCs w:val="20"/>
          <w:lang w:val="es-CO"/>
        </w:rPr>
        <w:t xml:space="preserve"> definen</w:t>
      </w:r>
      <w:r w:rsidR="002F7CCE">
        <w:rPr>
          <w:szCs w:val="20"/>
          <w:lang w:val="es-CO"/>
        </w:rPr>
        <w:t xml:space="preserve"> la necesidad</w:t>
      </w:r>
      <w:r w:rsidRPr="00F57FA4">
        <w:rPr>
          <w:szCs w:val="20"/>
          <w:lang w:val="es-CO"/>
        </w:rPr>
        <w:t xml:space="preserve">, entre otros, </w:t>
      </w:r>
      <w:r w:rsidR="00796501">
        <w:rPr>
          <w:szCs w:val="20"/>
          <w:lang w:val="es-CO"/>
        </w:rPr>
        <w:t xml:space="preserve">de </w:t>
      </w:r>
      <w:r w:rsidRPr="00F57FA4">
        <w:rPr>
          <w:szCs w:val="20"/>
          <w:lang w:val="es-CO"/>
        </w:rPr>
        <w:t>la vacunación, y acciones de prevención y tratamiento de tuberculosis, hepatitis y VIH. Finalmente, las Resoluciones No. 14/1994 y 09/2011 del CNPCP</w:t>
      </w:r>
      <w:r w:rsidRPr="00F57FA4">
        <w:rPr>
          <w:vertAlign w:val="superscript"/>
          <w:lang w:val="es-CO"/>
        </w:rPr>
        <w:footnoteReference w:id="20"/>
      </w:r>
      <w:r w:rsidRPr="00F57FA4">
        <w:rPr>
          <w:szCs w:val="20"/>
          <w:lang w:val="es-CO"/>
        </w:rPr>
        <w:t xml:space="preserve"> especifican que cada detenido dispondrá de una cama y ropa de cama individual y su celda tendrá ventanas amplias para garantizar la ventilación</w:t>
      </w:r>
      <w:r w:rsidR="00796501">
        <w:rPr>
          <w:szCs w:val="20"/>
          <w:lang w:val="es-CO"/>
        </w:rPr>
        <w:t>,</w:t>
      </w:r>
      <w:r w:rsidRPr="00F57FA4">
        <w:rPr>
          <w:szCs w:val="20"/>
          <w:lang w:val="es-CO"/>
        </w:rPr>
        <w:t xml:space="preserve"> la luz natural, </w:t>
      </w:r>
      <w:r w:rsidR="00796501">
        <w:rPr>
          <w:szCs w:val="20"/>
          <w:lang w:val="es-CO"/>
        </w:rPr>
        <w:t xml:space="preserve">la </w:t>
      </w:r>
      <w:r w:rsidRPr="00F57FA4">
        <w:rPr>
          <w:szCs w:val="20"/>
          <w:lang w:val="es-CO"/>
        </w:rPr>
        <w:t xml:space="preserve">luz artificial cuando </w:t>
      </w:r>
      <w:r w:rsidR="002F7CCE">
        <w:rPr>
          <w:szCs w:val="20"/>
          <w:lang w:val="es-CO"/>
        </w:rPr>
        <w:t xml:space="preserve">sea </w:t>
      </w:r>
      <w:r w:rsidRPr="00F57FA4">
        <w:rPr>
          <w:szCs w:val="20"/>
          <w:lang w:val="es-CO"/>
        </w:rPr>
        <w:t>necesari</w:t>
      </w:r>
      <w:r w:rsidR="00C5693E">
        <w:rPr>
          <w:szCs w:val="20"/>
          <w:lang w:val="es-CO"/>
        </w:rPr>
        <w:t>a</w:t>
      </w:r>
      <w:r w:rsidRPr="00F57FA4">
        <w:rPr>
          <w:szCs w:val="20"/>
          <w:lang w:val="es-CO"/>
        </w:rPr>
        <w:t>, e instalaciones sanitarias y de baño adecuadas.</w:t>
      </w:r>
    </w:p>
    <w:p w14:paraId="7B9B3F08" w14:textId="77777777" w:rsidR="00635C78" w:rsidRPr="00F57FA4" w:rsidRDefault="00635C78" w:rsidP="006D31D9">
      <w:pPr>
        <w:pStyle w:val="ListParagraph"/>
        <w:rPr>
          <w:szCs w:val="20"/>
          <w:lang w:val="es-CO"/>
        </w:rPr>
      </w:pPr>
    </w:p>
    <w:p w14:paraId="0DCE142A" w14:textId="77777777" w:rsidR="00F57FA4" w:rsidRPr="00F57FA4" w:rsidRDefault="008C1977" w:rsidP="00F57FA4">
      <w:pPr>
        <w:pStyle w:val="ListParagraph"/>
        <w:numPr>
          <w:ilvl w:val="0"/>
          <w:numId w:val="20"/>
        </w:numPr>
        <w:snapToGrid w:val="0"/>
        <w:ind w:left="0" w:firstLine="0"/>
        <w:contextualSpacing w:val="0"/>
        <w:rPr>
          <w:szCs w:val="20"/>
          <w:lang w:val="es-CO"/>
        </w:rPr>
      </w:pPr>
      <w:r>
        <w:rPr>
          <w:szCs w:val="20"/>
          <w:lang w:val="es-CO"/>
        </w:rPr>
        <w:t>En atención a</w:t>
      </w:r>
      <w:r w:rsidRPr="00F57FA4">
        <w:rPr>
          <w:szCs w:val="20"/>
          <w:lang w:val="es-CO"/>
        </w:rPr>
        <w:t xml:space="preserve"> </w:t>
      </w:r>
      <w:r w:rsidR="00B01705" w:rsidRPr="00F57FA4">
        <w:rPr>
          <w:szCs w:val="20"/>
          <w:lang w:val="es-CO"/>
        </w:rPr>
        <w:t xml:space="preserve">lo anterior, la Corte constata que los estándares universales, regionales y nacionales apuntan a determinados indicadores mínimos en la atención de salud y las condiciones de habitabilidad y de detención en general. La Corte </w:t>
      </w:r>
      <w:r>
        <w:rPr>
          <w:szCs w:val="20"/>
          <w:lang w:val="es-CO"/>
        </w:rPr>
        <w:t>valora</w:t>
      </w:r>
      <w:r w:rsidRPr="00F57FA4">
        <w:rPr>
          <w:szCs w:val="20"/>
          <w:lang w:val="es-CO"/>
        </w:rPr>
        <w:t xml:space="preserve"> </w:t>
      </w:r>
      <w:r w:rsidR="00B01705" w:rsidRPr="00F57FA4">
        <w:rPr>
          <w:szCs w:val="20"/>
          <w:lang w:val="es-CO"/>
        </w:rPr>
        <w:t>las medidas tomadas por el Estado para mejorar la atención de salud ofrecida en el Instituto Penal Plácido de Sá Carvalho</w:t>
      </w:r>
      <w:r w:rsidR="00B01705" w:rsidRPr="00F57FA4">
        <w:rPr>
          <w:lang w:val="es-CO"/>
        </w:rPr>
        <w:t xml:space="preserve"> </w:t>
      </w:r>
      <w:r w:rsidR="00B01705" w:rsidRPr="00F57FA4">
        <w:rPr>
          <w:szCs w:val="20"/>
          <w:lang w:val="es-CO"/>
        </w:rPr>
        <w:t xml:space="preserve">y el esfuerzo realizado por las autoridades públicas para </w:t>
      </w:r>
      <w:r w:rsidR="00B01705" w:rsidRPr="00F57FA4">
        <w:rPr>
          <w:szCs w:val="20"/>
          <w:lang w:val="es-CO"/>
        </w:rPr>
        <w:lastRenderedPageBreak/>
        <w:t xml:space="preserve">prevenir y prestar atención sanitaria en casos de enfermedades infectocontagiosas, a través de </w:t>
      </w:r>
      <w:r w:rsidR="00E61F52" w:rsidRPr="00F57FA4">
        <w:rPr>
          <w:szCs w:val="20"/>
          <w:lang w:val="es-CO"/>
        </w:rPr>
        <w:t>las campañas de inmunización a los internos</w:t>
      </w:r>
      <w:r w:rsidR="00791684" w:rsidRPr="00F57FA4">
        <w:rPr>
          <w:szCs w:val="20"/>
          <w:lang w:val="es-CO"/>
        </w:rPr>
        <w:t>,</w:t>
      </w:r>
      <w:r w:rsidR="00E61F52" w:rsidRPr="00F57FA4">
        <w:rPr>
          <w:szCs w:val="20"/>
          <w:lang w:val="es-CO"/>
        </w:rPr>
        <w:t xml:space="preserve"> </w:t>
      </w:r>
      <w:r w:rsidR="007632AA" w:rsidRPr="00F57FA4">
        <w:rPr>
          <w:szCs w:val="20"/>
          <w:lang w:val="es-CO"/>
        </w:rPr>
        <w:t xml:space="preserve">la </w:t>
      </w:r>
      <w:r w:rsidR="00791684" w:rsidRPr="00F57FA4">
        <w:rPr>
          <w:szCs w:val="20"/>
          <w:lang w:val="es-CO"/>
        </w:rPr>
        <w:t xml:space="preserve">reciente </w:t>
      </w:r>
      <w:r w:rsidR="007632AA" w:rsidRPr="00F57FA4">
        <w:rPr>
          <w:szCs w:val="20"/>
          <w:lang w:val="es-CO"/>
        </w:rPr>
        <w:t>adquisición de medicamentos</w:t>
      </w:r>
      <w:r w:rsidR="00791684" w:rsidRPr="00F57FA4">
        <w:rPr>
          <w:szCs w:val="20"/>
          <w:lang w:val="es-CO"/>
        </w:rPr>
        <w:t xml:space="preserve">, de un camión de rayos-x y </w:t>
      </w:r>
      <w:r w:rsidR="002F7CCE">
        <w:rPr>
          <w:szCs w:val="20"/>
          <w:lang w:val="es-CO"/>
        </w:rPr>
        <w:t xml:space="preserve">la reactivación </w:t>
      </w:r>
      <w:r w:rsidR="00791684" w:rsidRPr="00F57FA4">
        <w:rPr>
          <w:szCs w:val="20"/>
          <w:lang w:val="es-CO"/>
        </w:rPr>
        <w:t>del consultorio de odontología</w:t>
      </w:r>
      <w:r w:rsidR="00B01705" w:rsidRPr="00F57FA4">
        <w:rPr>
          <w:szCs w:val="20"/>
          <w:lang w:val="es-CO"/>
        </w:rPr>
        <w:t xml:space="preserve">. Sin perjuicio de lo anterior, la Corte observa que a pesar de </w:t>
      </w:r>
      <w:r w:rsidR="00791684" w:rsidRPr="00F57FA4">
        <w:rPr>
          <w:szCs w:val="20"/>
          <w:lang w:val="es-CO"/>
        </w:rPr>
        <w:t xml:space="preserve">esas medidas de </w:t>
      </w:r>
      <w:r w:rsidR="007632AA" w:rsidRPr="00F57FA4">
        <w:rPr>
          <w:szCs w:val="20"/>
          <w:lang w:val="es-CO"/>
        </w:rPr>
        <w:t>atención de salud, medicamentos</w:t>
      </w:r>
      <w:r w:rsidR="00B01705" w:rsidRPr="00F57FA4">
        <w:rPr>
          <w:szCs w:val="20"/>
          <w:lang w:val="es-CO"/>
        </w:rPr>
        <w:t xml:space="preserve"> </w:t>
      </w:r>
      <w:r w:rsidR="007632AA" w:rsidRPr="00F57FA4">
        <w:rPr>
          <w:szCs w:val="20"/>
          <w:lang w:val="es-CO"/>
        </w:rPr>
        <w:t>y acceso al agua potable</w:t>
      </w:r>
      <w:r w:rsidR="00791684" w:rsidRPr="00F57FA4">
        <w:rPr>
          <w:szCs w:val="20"/>
          <w:lang w:val="es-CO"/>
        </w:rPr>
        <w:t xml:space="preserve">, la atención de salud continua siendo extremadamente deficiente. Representantes, internos e incluso funcionarios del IPPSC informaron a la Corte sobre la falta de medicamentos y de atención de salud diligente, lo que resulta en epidemias de sarna, enfermedades fácilmente tratables y, lo que es más grave, la persistencia de casos de tuberculosis y </w:t>
      </w:r>
      <w:r>
        <w:rPr>
          <w:szCs w:val="20"/>
          <w:lang w:val="es-CO"/>
        </w:rPr>
        <w:t>numerosas</w:t>
      </w:r>
      <w:r w:rsidRPr="00F57FA4">
        <w:rPr>
          <w:szCs w:val="20"/>
          <w:lang w:val="es-CO"/>
        </w:rPr>
        <w:t xml:space="preserve"> </w:t>
      </w:r>
      <w:r w:rsidR="00791684" w:rsidRPr="00F57FA4">
        <w:rPr>
          <w:szCs w:val="20"/>
          <w:lang w:val="es-CO"/>
        </w:rPr>
        <w:t xml:space="preserve">muertes. La Corte considera que el protocolo de atención médica actualmente vigente en el IPPSC no atiende de manera satisfactoria a los internos y debe ser </w:t>
      </w:r>
      <w:r w:rsidR="00055ACD" w:rsidRPr="00F57FA4">
        <w:rPr>
          <w:szCs w:val="20"/>
          <w:lang w:val="es-CO"/>
        </w:rPr>
        <w:t xml:space="preserve">modificado para que los internos dispongan de atención rápida, eficiente y </w:t>
      </w:r>
      <w:r w:rsidR="00F25232">
        <w:rPr>
          <w:szCs w:val="20"/>
          <w:lang w:val="es-CO"/>
        </w:rPr>
        <w:t>de calidad</w:t>
      </w:r>
      <w:r w:rsidR="00055ACD" w:rsidRPr="00F57FA4">
        <w:rPr>
          <w:szCs w:val="20"/>
          <w:lang w:val="es-CO"/>
        </w:rPr>
        <w:t>. Las normas establecidas por el Sistema Único de Salud y por el Consejo Nacional de Política Criminal y Penitenciaria establecen requisitos mínimos que deben ser observados e implementados en el IPPSC</w:t>
      </w:r>
      <w:r w:rsidR="00B01705" w:rsidRPr="00F57FA4">
        <w:rPr>
          <w:szCs w:val="20"/>
          <w:lang w:val="es-CO"/>
        </w:rPr>
        <w:t xml:space="preserve">. </w:t>
      </w:r>
    </w:p>
    <w:p w14:paraId="35E84548" w14:textId="77777777" w:rsidR="00F57FA4" w:rsidRPr="00F57FA4" w:rsidRDefault="00F57FA4" w:rsidP="00F57FA4">
      <w:pPr>
        <w:pStyle w:val="ListParagraph"/>
        <w:snapToGrid w:val="0"/>
        <w:ind w:left="0"/>
        <w:contextualSpacing w:val="0"/>
        <w:rPr>
          <w:szCs w:val="20"/>
          <w:lang w:val="es-CO"/>
        </w:rPr>
      </w:pPr>
    </w:p>
    <w:p w14:paraId="2AB6B393" w14:textId="3431C418" w:rsidR="00055ACD" w:rsidRPr="00E2612F" w:rsidRDefault="00055ACD" w:rsidP="006D31D9">
      <w:pPr>
        <w:pStyle w:val="ListParagraph"/>
        <w:numPr>
          <w:ilvl w:val="0"/>
          <w:numId w:val="20"/>
        </w:numPr>
        <w:snapToGrid w:val="0"/>
        <w:ind w:left="0" w:firstLine="0"/>
        <w:contextualSpacing w:val="0"/>
        <w:rPr>
          <w:szCs w:val="20"/>
          <w:lang w:val="es-CO"/>
        </w:rPr>
      </w:pPr>
      <w:r w:rsidRPr="00E2612F">
        <w:rPr>
          <w:szCs w:val="20"/>
          <w:lang w:val="es-CO"/>
        </w:rPr>
        <w:t xml:space="preserve">En </w:t>
      </w:r>
      <w:r w:rsidR="002F7CCE">
        <w:rPr>
          <w:szCs w:val="20"/>
          <w:lang w:val="es-CO"/>
        </w:rPr>
        <w:t xml:space="preserve">lo que se refiere </w:t>
      </w:r>
      <w:r w:rsidR="00D607EA" w:rsidRPr="00E2612F">
        <w:rPr>
          <w:szCs w:val="20"/>
          <w:lang w:val="es-CO"/>
        </w:rPr>
        <w:t>a</w:t>
      </w:r>
      <w:r w:rsidRPr="00E2612F">
        <w:rPr>
          <w:szCs w:val="20"/>
          <w:lang w:val="es-CO"/>
        </w:rPr>
        <w:t xml:space="preserve"> </w:t>
      </w:r>
      <w:r w:rsidR="009B5E9B" w:rsidRPr="00E2612F">
        <w:rPr>
          <w:szCs w:val="20"/>
          <w:lang w:val="es-CO"/>
        </w:rPr>
        <w:t xml:space="preserve">los enfermos de </w:t>
      </w:r>
      <w:r w:rsidRPr="00E2612F">
        <w:rPr>
          <w:szCs w:val="20"/>
          <w:lang w:val="es-CO"/>
        </w:rPr>
        <w:t xml:space="preserve">tuberculosis, llama la atención de la Corte la información </w:t>
      </w:r>
      <w:r w:rsidR="00F25232" w:rsidRPr="00E2612F">
        <w:rPr>
          <w:szCs w:val="20"/>
          <w:lang w:val="es-CO"/>
        </w:rPr>
        <w:t xml:space="preserve">presentada </w:t>
      </w:r>
      <w:r w:rsidRPr="00E2612F">
        <w:rPr>
          <w:szCs w:val="20"/>
          <w:lang w:val="es-CO"/>
        </w:rPr>
        <w:t>por funcionarios e internos</w:t>
      </w:r>
      <w:r w:rsidR="001724B3" w:rsidRPr="00E2612F">
        <w:rPr>
          <w:szCs w:val="20"/>
          <w:lang w:val="es-CO"/>
        </w:rPr>
        <w:t xml:space="preserve"> respecto del manejo de esta enfermedad altamente contagiosa.</w:t>
      </w:r>
      <w:r w:rsidRPr="00E2612F">
        <w:rPr>
          <w:szCs w:val="20"/>
          <w:lang w:val="es-CO"/>
        </w:rPr>
        <w:t xml:space="preserve"> </w:t>
      </w:r>
      <w:r w:rsidR="001724B3" w:rsidRPr="00E2612F">
        <w:rPr>
          <w:szCs w:val="20"/>
          <w:lang w:val="es-CO"/>
        </w:rPr>
        <w:t>No es aceptable que, t</w:t>
      </w:r>
      <w:r w:rsidRPr="00E2612F">
        <w:rPr>
          <w:szCs w:val="20"/>
          <w:lang w:val="es-CO"/>
        </w:rPr>
        <w:t xml:space="preserve">ras </w:t>
      </w:r>
      <w:r w:rsidR="009B5E9B" w:rsidRPr="00E2612F">
        <w:rPr>
          <w:szCs w:val="20"/>
          <w:lang w:val="es-CO"/>
        </w:rPr>
        <w:t xml:space="preserve">ser </w:t>
      </w:r>
      <w:r w:rsidRPr="00E2612F">
        <w:rPr>
          <w:szCs w:val="20"/>
          <w:lang w:val="es-CO"/>
        </w:rPr>
        <w:t>diagn</w:t>
      </w:r>
      <w:r w:rsidR="009B5E9B" w:rsidRPr="00E2612F">
        <w:rPr>
          <w:szCs w:val="20"/>
          <w:lang w:val="es-CO"/>
        </w:rPr>
        <w:t>o</w:t>
      </w:r>
      <w:r w:rsidRPr="00E2612F">
        <w:rPr>
          <w:szCs w:val="20"/>
          <w:lang w:val="es-CO"/>
        </w:rPr>
        <w:t>stic</w:t>
      </w:r>
      <w:r w:rsidR="009B5E9B" w:rsidRPr="00E2612F">
        <w:rPr>
          <w:szCs w:val="20"/>
          <w:lang w:val="es-CO"/>
        </w:rPr>
        <w:t>ados</w:t>
      </w:r>
      <w:r w:rsidRPr="00E2612F">
        <w:rPr>
          <w:szCs w:val="20"/>
          <w:lang w:val="es-CO"/>
        </w:rPr>
        <w:t xml:space="preserve">, los </w:t>
      </w:r>
      <w:r w:rsidR="009B5E9B" w:rsidRPr="00E2612F">
        <w:rPr>
          <w:szCs w:val="20"/>
          <w:lang w:val="es-CO"/>
        </w:rPr>
        <w:t xml:space="preserve">enfermos </w:t>
      </w:r>
      <w:r w:rsidRPr="00E2612F">
        <w:rPr>
          <w:szCs w:val="20"/>
          <w:lang w:val="es-CO"/>
        </w:rPr>
        <w:t>regres</w:t>
      </w:r>
      <w:r w:rsidR="001724B3" w:rsidRPr="00E2612F">
        <w:rPr>
          <w:szCs w:val="20"/>
          <w:lang w:val="es-CO"/>
        </w:rPr>
        <w:t>en</w:t>
      </w:r>
      <w:r w:rsidRPr="00E2612F">
        <w:rPr>
          <w:szCs w:val="20"/>
          <w:lang w:val="es-CO"/>
        </w:rPr>
        <w:t xml:space="preserve"> a sus pabellones. </w:t>
      </w:r>
      <w:r w:rsidR="002B3D25" w:rsidRPr="00E2612F">
        <w:rPr>
          <w:szCs w:val="20"/>
          <w:lang w:val="es-CO"/>
        </w:rPr>
        <w:t xml:space="preserve">Ahora bien, sin perjuicio de que a </w:t>
      </w:r>
      <w:r w:rsidR="00384A46" w:rsidRPr="00E2612F">
        <w:rPr>
          <w:szCs w:val="20"/>
          <w:lang w:val="es-CO"/>
        </w:rPr>
        <w:t>criterio</w:t>
      </w:r>
      <w:r w:rsidR="002B3D25" w:rsidRPr="00E2612F">
        <w:rPr>
          <w:szCs w:val="20"/>
          <w:lang w:val="es-CO"/>
        </w:rPr>
        <w:t xml:space="preserve"> de la Corte, e</w:t>
      </w:r>
      <w:r w:rsidR="008D0240" w:rsidRPr="00E2612F">
        <w:rPr>
          <w:szCs w:val="20"/>
          <w:lang w:val="es-CO"/>
        </w:rPr>
        <w:t>s</w:t>
      </w:r>
      <w:r w:rsidR="002B3D25" w:rsidRPr="00E2612F">
        <w:rPr>
          <w:szCs w:val="20"/>
          <w:lang w:val="es-CO"/>
        </w:rPr>
        <w:t xml:space="preserve"> </w:t>
      </w:r>
      <w:r w:rsidR="003716B5" w:rsidRPr="00E2612F">
        <w:rPr>
          <w:szCs w:val="20"/>
          <w:lang w:val="es-CO"/>
        </w:rPr>
        <w:t>–</w:t>
      </w:r>
      <w:r w:rsidR="002B3D25" w:rsidRPr="00E2612F">
        <w:rPr>
          <w:szCs w:val="20"/>
          <w:lang w:val="es-CO"/>
        </w:rPr>
        <w:t>cuan</w:t>
      </w:r>
      <w:r w:rsidR="002F7CCE">
        <w:rPr>
          <w:szCs w:val="20"/>
          <w:lang w:val="es-CO"/>
        </w:rPr>
        <w:t>t</w:t>
      </w:r>
      <w:r w:rsidR="002B3D25" w:rsidRPr="00E2612F">
        <w:rPr>
          <w:szCs w:val="20"/>
          <w:lang w:val="es-CO"/>
        </w:rPr>
        <w:t>o</w:t>
      </w:r>
      <w:r w:rsidR="003716B5" w:rsidRPr="00E2612F">
        <w:rPr>
          <w:szCs w:val="20"/>
          <w:lang w:val="es-CO"/>
        </w:rPr>
        <w:t xml:space="preserve"> </w:t>
      </w:r>
      <w:r w:rsidR="002B3D25" w:rsidRPr="00E2612F">
        <w:rPr>
          <w:szCs w:val="20"/>
          <w:lang w:val="es-CO"/>
        </w:rPr>
        <w:t>menos</w:t>
      </w:r>
      <w:r w:rsidR="003716B5" w:rsidRPr="00E2612F">
        <w:rPr>
          <w:szCs w:val="20"/>
          <w:lang w:val="es-CO"/>
        </w:rPr>
        <w:t>–</w:t>
      </w:r>
      <w:r w:rsidR="009B5E9B" w:rsidRPr="00E2612F">
        <w:rPr>
          <w:szCs w:val="20"/>
          <w:lang w:val="es-CO"/>
        </w:rPr>
        <w:t xml:space="preserve"> recomendable </w:t>
      </w:r>
      <w:r w:rsidR="00D607EA" w:rsidRPr="00E2612F">
        <w:rPr>
          <w:szCs w:val="20"/>
          <w:lang w:val="es-CO"/>
        </w:rPr>
        <w:t xml:space="preserve">el </w:t>
      </w:r>
      <w:r w:rsidR="002B3D25" w:rsidRPr="00E2612F">
        <w:rPr>
          <w:szCs w:val="20"/>
          <w:lang w:val="es-CO"/>
        </w:rPr>
        <w:t>aislamiento médico de los pacientes de tuberculosis, así lo dispone la</w:t>
      </w:r>
      <w:r w:rsidR="00A80A08" w:rsidRPr="00E2612F">
        <w:rPr>
          <w:szCs w:val="20"/>
          <w:lang w:val="es-CO"/>
        </w:rPr>
        <w:t xml:space="preserve"> propia legislación interna</w:t>
      </w:r>
      <w:r w:rsidR="00384A46" w:rsidRPr="00E2612F">
        <w:rPr>
          <w:rStyle w:val="FootnoteReference"/>
        </w:rPr>
        <w:footnoteReference w:id="21"/>
      </w:r>
      <w:r w:rsidR="00573383" w:rsidRPr="00E2612F">
        <w:rPr>
          <w:szCs w:val="20"/>
          <w:lang w:val="es-CO"/>
        </w:rPr>
        <w:t>,</w:t>
      </w:r>
      <w:r w:rsidR="00A80A08" w:rsidRPr="00E2612F">
        <w:rPr>
          <w:szCs w:val="20"/>
          <w:lang w:val="es-CO"/>
        </w:rPr>
        <w:t xml:space="preserve"> </w:t>
      </w:r>
      <w:r w:rsidR="00B46600">
        <w:rPr>
          <w:szCs w:val="20"/>
          <w:lang w:val="es-CO"/>
        </w:rPr>
        <w:t>además de</w:t>
      </w:r>
      <w:r w:rsidR="00A80A08" w:rsidRPr="00E2612F">
        <w:rPr>
          <w:szCs w:val="20"/>
          <w:lang w:val="es-CO"/>
        </w:rPr>
        <w:t xml:space="preserve"> la</w:t>
      </w:r>
      <w:r w:rsidR="002B3D25" w:rsidRPr="00E2612F">
        <w:rPr>
          <w:szCs w:val="20"/>
          <w:lang w:val="es-CO"/>
        </w:rPr>
        <w:t xml:space="preserve">s Reglas Mandela (regla 30.d) y los </w:t>
      </w:r>
      <w:r w:rsidR="002B3D25" w:rsidRPr="00E2612F">
        <w:rPr>
          <w:lang w:val="es-ES"/>
        </w:rPr>
        <w:t>Principios y Buenas Prácticas sobre la Protección de las Personas Privadas de Libertad en las Américas (principio X)</w:t>
      </w:r>
      <w:r w:rsidR="002B3D25" w:rsidRPr="00E2612F">
        <w:rPr>
          <w:szCs w:val="20"/>
          <w:lang w:val="es-CO"/>
        </w:rPr>
        <w:t xml:space="preserve">. </w:t>
      </w:r>
      <w:r w:rsidR="004135AA" w:rsidRPr="00E2612F">
        <w:rPr>
          <w:szCs w:val="20"/>
          <w:lang w:val="es-CO"/>
        </w:rPr>
        <w:t xml:space="preserve">Asimismo, </w:t>
      </w:r>
      <w:r w:rsidR="0090752C" w:rsidRPr="00E2612F">
        <w:rPr>
          <w:szCs w:val="20"/>
          <w:lang w:val="es-CO"/>
        </w:rPr>
        <w:t>esta es una de las medidas administrativas básicas recomendadas por la Organización Mundial de la Salud</w:t>
      </w:r>
      <w:r w:rsidR="00B869EB" w:rsidRPr="00E2612F">
        <w:rPr>
          <w:szCs w:val="20"/>
          <w:lang w:val="es-CO"/>
        </w:rPr>
        <w:t xml:space="preserve"> (OMS)</w:t>
      </w:r>
      <w:r w:rsidR="0090752C" w:rsidRPr="00E2612F">
        <w:rPr>
          <w:szCs w:val="20"/>
          <w:lang w:val="es-CO"/>
        </w:rPr>
        <w:t xml:space="preserve"> para el control de la tuberculosis en prisiones</w:t>
      </w:r>
      <w:r w:rsidR="0090752C" w:rsidRPr="00E2612F">
        <w:rPr>
          <w:rStyle w:val="FootnoteReference"/>
        </w:rPr>
        <w:footnoteReference w:id="22"/>
      </w:r>
      <w:r w:rsidR="0090752C" w:rsidRPr="00E2612F">
        <w:rPr>
          <w:szCs w:val="20"/>
          <w:lang w:val="es-CO"/>
        </w:rPr>
        <w:t xml:space="preserve">. </w:t>
      </w:r>
      <w:r w:rsidR="00B869EB" w:rsidRPr="00E2612F">
        <w:rPr>
          <w:szCs w:val="20"/>
          <w:lang w:val="es-CO"/>
        </w:rPr>
        <w:t>De acuerdo a la OMS, l</w:t>
      </w:r>
      <w:r w:rsidR="0090752C" w:rsidRPr="00E2612F">
        <w:rPr>
          <w:lang w:val="es-CR"/>
        </w:rPr>
        <w:t>a transmisión de la tuberculosis se ve favorecida por el diagnóstico tardío, el tratamiento inapropiado, el hacinamiento, la ventilación deficiente y los repetidos traslados</w:t>
      </w:r>
      <w:r w:rsidR="002F7CCE">
        <w:rPr>
          <w:lang w:val="es-CR"/>
        </w:rPr>
        <w:t xml:space="preserve">. Además, </w:t>
      </w:r>
      <w:r w:rsidR="00B869EB" w:rsidRPr="00E2612F">
        <w:rPr>
          <w:lang w:val="es-CR"/>
        </w:rPr>
        <w:t>la implementación de medidas administrativas y ambientales adecuadas son imperativas para reducir la prevalencia de esta enfermedad en centros de detención</w:t>
      </w:r>
      <w:r w:rsidR="00B869EB" w:rsidRPr="00E2612F">
        <w:rPr>
          <w:rStyle w:val="FootnoteReference"/>
        </w:rPr>
        <w:footnoteReference w:id="23"/>
      </w:r>
      <w:r w:rsidR="0090752C" w:rsidRPr="00E2612F">
        <w:rPr>
          <w:lang w:val="es-CR"/>
        </w:rPr>
        <w:t>. </w:t>
      </w:r>
      <w:r w:rsidR="002F7CCE">
        <w:rPr>
          <w:lang w:val="es-CR"/>
        </w:rPr>
        <w:t>En ese sentido</w:t>
      </w:r>
      <w:r w:rsidR="000C3448" w:rsidRPr="00E2612F">
        <w:rPr>
          <w:lang w:val="es-CR"/>
        </w:rPr>
        <w:t>, l</w:t>
      </w:r>
      <w:r w:rsidR="00B869EB" w:rsidRPr="00E2612F">
        <w:rPr>
          <w:lang w:val="es-CR"/>
        </w:rPr>
        <w:t>a Organización Panamericana de la Salud (OPS) señala que sin medidas administrativas efectivas, no es posible eliminar el riesgo de transmisión de tuberculosis</w:t>
      </w:r>
      <w:r w:rsidR="00B869EB" w:rsidRPr="00E2612F">
        <w:rPr>
          <w:rStyle w:val="FootnoteReference"/>
        </w:rPr>
        <w:footnoteReference w:id="24"/>
      </w:r>
      <w:r w:rsidR="000C3448" w:rsidRPr="00E2612F">
        <w:rPr>
          <w:lang w:val="es-CR"/>
        </w:rPr>
        <w:t>.</w:t>
      </w:r>
    </w:p>
    <w:p w14:paraId="3E13CEC4" w14:textId="77777777" w:rsidR="00055ACD" w:rsidRPr="00E2612F" w:rsidRDefault="00055ACD" w:rsidP="00055ACD">
      <w:pPr>
        <w:pStyle w:val="ListParagraph"/>
        <w:snapToGrid w:val="0"/>
        <w:ind w:left="0"/>
        <w:contextualSpacing w:val="0"/>
        <w:rPr>
          <w:szCs w:val="20"/>
          <w:lang w:val="es-CO"/>
        </w:rPr>
      </w:pPr>
    </w:p>
    <w:p w14:paraId="18F0102B" w14:textId="45F62792" w:rsidR="00384A46" w:rsidRDefault="00B01705" w:rsidP="00573383">
      <w:pPr>
        <w:pStyle w:val="ListParagraph"/>
        <w:numPr>
          <w:ilvl w:val="0"/>
          <w:numId w:val="20"/>
        </w:numPr>
        <w:snapToGrid w:val="0"/>
        <w:ind w:left="0" w:firstLine="0"/>
        <w:contextualSpacing w:val="0"/>
        <w:rPr>
          <w:szCs w:val="20"/>
          <w:lang w:val="es-CO"/>
        </w:rPr>
      </w:pPr>
      <w:r w:rsidRPr="00E2612F">
        <w:rPr>
          <w:szCs w:val="20"/>
          <w:lang w:val="es-CO"/>
        </w:rPr>
        <w:t xml:space="preserve">En ese sentido, el Estado debe informar a la Corte sobre las medidas </w:t>
      </w:r>
      <w:r w:rsidR="00055ACD" w:rsidRPr="00E2612F">
        <w:rPr>
          <w:szCs w:val="20"/>
          <w:lang w:val="es-CO"/>
        </w:rPr>
        <w:t xml:space="preserve">adoptadas para mejorar la atención de salud general de los internos y </w:t>
      </w:r>
      <w:r w:rsidRPr="00E2612F">
        <w:rPr>
          <w:szCs w:val="20"/>
          <w:lang w:val="es-CO"/>
        </w:rPr>
        <w:t>de prevención y tratamiento de enfermedades infectocontagiosas, de forma detallada</w:t>
      </w:r>
      <w:r w:rsidR="002B3D25" w:rsidRPr="00E2612F">
        <w:rPr>
          <w:szCs w:val="20"/>
          <w:lang w:val="es-CO"/>
        </w:rPr>
        <w:t>,</w:t>
      </w:r>
      <w:r w:rsidRPr="00E2612F">
        <w:rPr>
          <w:szCs w:val="20"/>
          <w:lang w:val="es-CO"/>
        </w:rPr>
        <w:t xml:space="preserve"> </w:t>
      </w:r>
      <w:r w:rsidR="002B3D25" w:rsidRPr="00E2612F">
        <w:rPr>
          <w:szCs w:val="20"/>
          <w:lang w:val="es-CO"/>
        </w:rPr>
        <w:t>sistematizada y desglosada</w:t>
      </w:r>
      <w:r w:rsidRPr="00E2612F">
        <w:rPr>
          <w:szCs w:val="20"/>
          <w:lang w:val="es-CO"/>
        </w:rPr>
        <w:t xml:space="preserve"> para una mejor evaluación del programa de salud implementado en ese centro carcelario.</w:t>
      </w:r>
      <w:r w:rsidR="00AA0E8C" w:rsidRPr="00E2612F">
        <w:rPr>
          <w:szCs w:val="20"/>
          <w:lang w:val="es-CO"/>
        </w:rPr>
        <w:t xml:space="preserve"> Entre otras cosas, deberá señalar cuáles son las enfermedades más comunes (detallando el número de internos diagnosticados mensualmente), cuál es </w:t>
      </w:r>
      <w:r w:rsidR="000C3448" w:rsidRPr="00E2612F">
        <w:rPr>
          <w:szCs w:val="20"/>
          <w:lang w:val="es-CO"/>
        </w:rPr>
        <w:t xml:space="preserve">el </w:t>
      </w:r>
      <w:r w:rsidR="00AA0E8C" w:rsidRPr="00E2612F">
        <w:rPr>
          <w:szCs w:val="20"/>
          <w:lang w:val="es-CO"/>
        </w:rPr>
        <w:t>respectivo tratamiento</w:t>
      </w:r>
      <w:r w:rsidR="00F74535" w:rsidRPr="00E2612F">
        <w:rPr>
          <w:szCs w:val="20"/>
          <w:lang w:val="es-CO"/>
        </w:rPr>
        <w:t xml:space="preserve"> </w:t>
      </w:r>
      <w:r w:rsidR="000C3448" w:rsidRPr="00E2612F">
        <w:rPr>
          <w:szCs w:val="20"/>
          <w:lang w:val="es-CO"/>
        </w:rPr>
        <w:t xml:space="preserve">brindado a cada interno </w:t>
      </w:r>
      <w:r w:rsidR="00F74535" w:rsidRPr="00E2612F">
        <w:rPr>
          <w:szCs w:val="20"/>
          <w:lang w:val="es-CO"/>
        </w:rPr>
        <w:t>y qué otras medidas han sido adoptadas para prevenir enfermedades como la tuberculosis</w:t>
      </w:r>
      <w:r w:rsidR="003B148E">
        <w:rPr>
          <w:szCs w:val="20"/>
          <w:lang w:val="es-CO"/>
        </w:rPr>
        <w:t>,</w:t>
      </w:r>
      <w:r w:rsidR="00F74535" w:rsidRPr="00E2612F">
        <w:rPr>
          <w:szCs w:val="20"/>
          <w:lang w:val="es-CO"/>
        </w:rPr>
        <w:t xml:space="preserve"> criptococosis</w:t>
      </w:r>
      <w:r w:rsidR="003B148E">
        <w:rPr>
          <w:szCs w:val="20"/>
          <w:lang w:val="es-CO"/>
        </w:rPr>
        <w:t xml:space="preserve"> o de carácter infectocontagioso</w:t>
      </w:r>
      <w:r w:rsidR="00F74535" w:rsidRPr="00E2612F">
        <w:rPr>
          <w:szCs w:val="20"/>
          <w:lang w:val="es-CO"/>
        </w:rPr>
        <w:t>. Además, deberá indicar cuáles son los criterios para priorizar la atención de enfermedades o la práctica de cirugías.</w:t>
      </w:r>
      <w:r w:rsidR="008F5DAA" w:rsidRPr="00E2612F">
        <w:rPr>
          <w:szCs w:val="20"/>
          <w:lang w:val="es-CO"/>
        </w:rPr>
        <w:t xml:space="preserve"> </w:t>
      </w:r>
    </w:p>
    <w:p w14:paraId="4CA908BA" w14:textId="77777777" w:rsidR="006B4079" w:rsidRPr="006B4079" w:rsidRDefault="006B4079" w:rsidP="006B4079">
      <w:pPr>
        <w:pStyle w:val="ListParagraph"/>
        <w:rPr>
          <w:szCs w:val="20"/>
          <w:lang w:val="es-CO"/>
        </w:rPr>
      </w:pPr>
    </w:p>
    <w:p w14:paraId="0BC0AFE0" w14:textId="3E595058" w:rsidR="006B4079" w:rsidRPr="003F1131" w:rsidRDefault="00FB0A83" w:rsidP="00573383">
      <w:pPr>
        <w:pStyle w:val="ListParagraph"/>
        <w:numPr>
          <w:ilvl w:val="0"/>
          <w:numId w:val="20"/>
        </w:numPr>
        <w:snapToGrid w:val="0"/>
        <w:ind w:left="0" w:firstLine="0"/>
        <w:contextualSpacing w:val="0"/>
        <w:rPr>
          <w:szCs w:val="20"/>
          <w:u w:val="single"/>
          <w:lang w:val="es-CO"/>
        </w:rPr>
      </w:pPr>
      <w:r w:rsidRPr="003B148E">
        <w:rPr>
          <w:szCs w:val="20"/>
          <w:lang w:val="es-CO"/>
        </w:rPr>
        <w:t>Con el objeto de</w:t>
      </w:r>
      <w:r w:rsidR="005556C6" w:rsidRPr="003B148E">
        <w:rPr>
          <w:szCs w:val="20"/>
          <w:lang w:val="es-CO"/>
        </w:rPr>
        <w:t xml:space="preserve"> verificar las medidas adoptadas por el Estado para mejorar la </w:t>
      </w:r>
      <w:r w:rsidR="00936904" w:rsidRPr="003B148E">
        <w:rPr>
          <w:szCs w:val="20"/>
          <w:lang w:val="es-ES"/>
        </w:rPr>
        <w:t>disponibilidad, accesibilidad, aceptabilidad y calidad</w:t>
      </w:r>
      <w:r w:rsidR="005556C6" w:rsidRPr="003B148E">
        <w:rPr>
          <w:szCs w:val="20"/>
          <w:lang w:val="es-CO"/>
        </w:rPr>
        <w:t xml:space="preserve"> de la atención de salud a los internos del Instituto Plácido de Sá Carvalho,  y poder evaluar técnicamente la compatibilidad de </w:t>
      </w:r>
      <w:r w:rsidR="005556C6" w:rsidRPr="003B148E">
        <w:rPr>
          <w:szCs w:val="20"/>
          <w:lang w:val="es-CO"/>
        </w:rPr>
        <w:lastRenderedPageBreak/>
        <w:t xml:space="preserve">dichas medidas con los estándares internacionales en la materia, la Corte </w:t>
      </w:r>
      <w:r w:rsidR="00210AB2">
        <w:rPr>
          <w:szCs w:val="20"/>
          <w:lang w:val="es-CO"/>
        </w:rPr>
        <w:t>analizará</w:t>
      </w:r>
      <w:r w:rsidR="003B148E">
        <w:rPr>
          <w:szCs w:val="20"/>
          <w:lang w:val="es-CO"/>
        </w:rPr>
        <w:t xml:space="preserve">, </w:t>
      </w:r>
      <w:r w:rsidR="003B148E" w:rsidRPr="003B148E">
        <w:rPr>
          <w:szCs w:val="20"/>
          <w:lang w:val="es-ES"/>
        </w:rPr>
        <w:t>dentro de</w:t>
      </w:r>
      <w:r w:rsidR="003B148E">
        <w:rPr>
          <w:szCs w:val="20"/>
          <w:lang w:val="es-ES"/>
        </w:rPr>
        <w:t>l</w:t>
      </w:r>
      <w:r w:rsidR="003B148E" w:rsidRPr="003B148E">
        <w:rPr>
          <w:szCs w:val="20"/>
          <w:lang w:val="es-ES"/>
        </w:rPr>
        <w:t xml:space="preserve"> plazo de un año, la pertinencia de realizar una nueva diligencia </w:t>
      </w:r>
      <w:r w:rsidR="003B148E" w:rsidRPr="003B148E">
        <w:rPr>
          <w:i/>
          <w:szCs w:val="20"/>
          <w:lang w:val="es-ES"/>
        </w:rPr>
        <w:t>in situ</w:t>
      </w:r>
      <w:r w:rsidR="003B148E" w:rsidRPr="003B148E">
        <w:rPr>
          <w:szCs w:val="20"/>
          <w:lang w:val="es-ES"/>
        </w:rPr>
        <w:t xml:space="preserve"> para verificar la implementación de las medidas provisionales. Asimismo, la Corte podrá requerir el dictamen de peritos sobre la materia o el acompañamiento de los mismos en el caso de la realización de la nueva diligencia </w:t>
      </w:r>
      <w:r w:rsidR="003B148E" w:rsidRPr="003B148E">
        <w:rPr>
          <w:i/>
          <w:szCs w:val="20"/>
          <w:lang w:val="es-ES"/>
        </w:rPr>
        <w:t>in situ</w:t>
      </w:r>
      <w:r w:rsidR="00ED437D" w:rsidRPr="003B148E">
        <w:rPr>
          <w:szCs w:val="20"/>
          <w:lang w:val="es-CO"/>
        </w:rPr>
        <w:t>.</w:t>
      </w:r>
      <w:r w:rsidR="00D37EC8" w:rsidRPr="003F1131">
        <w:rPr>
          <w:szCs w:val="20"/>
          <w:u w:val="single"/>
          <w:lang w:val="es-CO"/>
        </w:rPr>
        <w:t xml:space="preserve">  </w:t>
      </w:r>
    </w:p>
    <w:p w14:paraId="7A27D1DA" w14:textId="77777777" w:rsidR="00384A46" w:rsidRPr="003F1131" w:rsidRDefault="00384A46" w:rsidP="00573383">
      <w:pPr>
        <w:pStyle w:val="ListParagraph"/>
        <w:ind w:left="0"/>
        <w:rPr>
          <w:szCs w:val="20"/>
          <w:lang w:val="es-CO"/>
        </w:rPr>
      </w:pPr>
    </w:p>
    <w:p w14:paraId="64AAA236" w14:textId="77777777" w:rsidR="00F857E6" w:rsidRPr="003F1131" w:rsidRDefault="00F857E6" w:rsidP="006D31D9">
      <w:pPr>
        <w:pStyle w:val="Default"/>
        <w:numPr>
          <w:ilvl w:val="0"/>
          <w:numId w:val="9"/>
        </w:numPr>
        <w:rPr>
          <w:b/>
          <w:sz w:val="20"/>
          <w:szCs w:val="20"/>
          <w:lang w:val="es-CO"/>
        </w:rPr>
      </w:pPr>
      <w:r w:rsidRPr="003F1131">
        <w:rPr>
          <w:b/>
          <w:i/>
          <w:iCs/>
          <w:sz w:val="20"/>
          <w:szCs w:val="20"/>
          <w:lang w:val="es-CO"/>
        </w:rPr>
        <w:t xml:space="preserve">Muertes recientes </w:t>
      </w:r>
    </w:p>
    <w:p w14:paraId="011DE1F0" w14:textId="77777777" w:rsidR="00F857E6" w:rsidRPr="00F57FA4" w:rsidRDefault="00F857E6" w:rsidP="006D31D9">
      <w:pPr>
        <w:snapToGrid w:val="0"/>
        <w:rPr>
          <w:szCs w:val="20"/>
          <w:lang w:val="es-CO"/>
        </w:rPr>
      </w:pPr>
    </w:p>
    <w:p w14:paraId="72717260" w14:textId="77777777" w:rsidR="00F857E6" w:rsidRPr="00F57FA4" w:rsidRDefault="001B64C0" w:rsidP="006D31D9">
      <w:pPr>
        <w:pStyle w:val="ListParagraph"/>
        <w:numPr>
          <w:ilvl w:val="0"/>
          <w:numId w:val="20"/>
        </w:numPr>
        <w:snapToGrid w:val="0"/>
        <w:ind w:left="0" w:firstLine="0"/>
        <w:contextualSpacing w:val="0"/>
        <w:rPr>
          <w:szCs w:val="20"/>
          <w:lang w:val="es-CO"/>
        </w:rPr>
      </w:pPr>
      <w:r w:rsidRPr="00F57FA4">
        <w:rPr>
          <w:szCs w:val="20"/>
          <w:lang w:val="es-CO"/>
        </w:rPr>
        <w:t xml:space="preserve">En </w:t>
      </w:r>
      <w:r w:rsidR="008F5DAA" w:rsidRPr="00F57FA4">
        <w:rPr>
          <w:szCs w:val="20"/>
          <w:lang w:val="es-CO"/>
        </w:rPr>
        <w:t xml:space="preserve">la </w:t>
      </w:r>
      <w:r w:rsidR="00F857E6" w:rsidRPr="00F57FA4">
        <w:rPr>
          <w:szCs w:val="20"/>
          <w:lang w:val="es-CO"/>
        </w:rPr>
        <w:t>Resolución</w:t>
      </w:r>
      <w:r w:rsidR="00EB72A9" w:rsidRPr="00F57FA4">
        <w:rPr>
          <w:szCs w:val="20"/>
          <w:lang w:val="es-CO"/>
        </w:rPr>
        <w:t xml:space="preserve"> del 13 de febrero de 2017</w:t>
      </w:r>
      <w:r w:rsidR="00F857E6" w:rsidRPr="00F57FA4">
        <w:rPr>
          <w:szCs w:val="20"/>
          <w:lang w:val="es-CO"/>
        </w:rPr>
        <w:t xml:space="preserve">, </w:t>
      </w:r>
      <w:r w:rsidR="008F5DAA" w:rsidRPr="00F57FA4">
        <w:rPr>
          <w:szCs w:val="20"/>
          <w:lang w:val="es-CO"/>
        </w:rPr>
        <w:t xml:space="preserve">se determinó </w:t>
      </w:r>
      <w:r w:rsidR="00F857E6" w:rsidRPr="00F57FA4">
        <w:rPr>
          <w:szCs w:val="20"/>
          <w:lang w:val="es-CO"/>
        </w:rPr>
        <w:t>que el Estado debería presentar informaci</w:t>
      </w:r>
      <w:r w:rsidR="00384A46">
        <w:rPr>
          <w:szCs w:val="20"/>
          <w:lang w:val="es-CO"/>
        </w:rPr>
        <w:t>ón</w:t>
      </w:r>
      <w:r w:rsidR="00F857E6" w:rsidRPr="00F57FA4">
        <w:rPr>
          <w:szCs w:val="20"/>
          <w:lang w:val="es-CO"/>
        </w:rPr>
        <w:t xml:space="preserve"> sobre "todas las muertes ocurridas desde enero de 2016 y las medidas adoptadas para determinar sus causas y eventuales responsabilidades</w:t>
      </w:r>
      <w:r w:rsidR="008F5DAA" w:rsidRPr="00F57FA4">
        <w:rPr>
          <w:szCs w:val="20"/>
          <w:lang w:val="es-CO"/>
        </w:rPr>
        <w:t xml:space="preserve"> [y] </w:t>
      </w:r>
      <w:r w:rsidR="00F857E6" w:rsidRPr="00F57FA4">
        <w:rPr>
          <w:szCs w:val="20"/>
          <w:lang w:val="es-CO"/>
        </w:rPr>
        <w:t>las medidas adoptadas para ejercer el control efectivo del centro penitenciario, sobre todo la presencia de personal de custodia</w:t>
      </w:r>
      <w:r w:rsidRPr="00F57FA4">
        <w:rPr>
          <w:szCs w:val="20"/>
          <w:lang w:val="es-CO"/>
        </w:rPr>
        <w:t xml:space="preserve"> capacitado en número suficiente”</w:t>
      </w:r>
      <w:r w:rsidR="00451142" w:rsidRPr="00451142">
        <w:rPr>
          <w:rStyle w:val="FootnoteReference"/>
          <w:lang w:val="es-CO"/>
        </w:rPr>
        <w:t xml:space="preserve"> </w:t>
      </w:r>
      <w:r w:rsidR="00451142" w:rsidRPr="00F57FA4">
        <w:rPr>
          <w:rStyle w:val="FootnoteReference"/>
          <w:lang w:val="es-CO"/>
        </w:rPr>
        <w:footnoteReference w:id="25"/>
      </w:r>
      <w:r w:rsidRPr="00F57FA4">
        <w:rPr>
          <w:szCs w:val="20"/>
          <w:lang w:val="es-CO"/>
        </w:rPr>
        <w:t>.</w:t>
      </w:r>
    </w:p>
    <w:p w14:paraId="053DC3F1" w14:textId="77777777" w:rsidR="00F857E6" w:rsidRPr="00F57FA4" w:rsidRDefault="00F857E6" w:rsidP="006D31D9">
      <w:pPr>
        <w:pStyle w:val="ListParagraph"/>
        <w:snapToGrid w:val="0"/>
        <w:ind w:left="0"/>
        <w:contextualSpacing w:val="0"/>
        <w:rPr>
          <w:szCs w:val="20"/>
          <w:lang w:val="es-CO"/>
        </w:rPr>
      </w:pPr>
    </w:p>
    <w:p w14:paraId="2D92A555" w14:textId="77777777" w:rsidR="00E60BB7" w:rsidRPr="00F57FA4" w:rsidRDefault="00F857E6" w:rsidP="006D31D9">
      <w:pPr>
        <w:pStyle w:val="ListParagraph"/>
        <w:numPr>
          <w:ilvl w:val="0"/>
          <w:numId w:val="20"/>
        </w:numPr>
        <w:snapToGrid w:val="0"/>
        <w:ind w:left="0" w:firstLine="0"/>
        <w:contextualSpacing w:val="0"/>
        <w:rPr>
          <w:szCs w:val="20"/>
          <w:lang w:val="es-CO"/>
        </w:rPr>
      </w:pPr>
      <w:r w:rsidRPr="00F57FA4">
        <w:rPr>
          <w:szCs w:val="20"/>
          <w:lang w:val="es-CO"/>
        </w:rPr>
        <w:t xml:space="preserve">Además, </w:t>
      </w:r>
      <w:r w:rsidR="008F5DAA" w:rsidRPr="00F57FA4">
        <w:rPr>
          <w:szCs w:val="20"/>
          <w:lang w:val="es-CO"/>
        </w:rPr>
        <w:t>la Corte requirió al Estado adoptar “</w:t>
      </w:r>
      <w:r w:rsidRPr="00F57FA4">
        <w:rPr>
          <w:szCs w:val="20"/>
          <w:lang w:val="es-CO"/>
        </w:rPr>
        <w:t>de forma inmediata todas las medidas que sean necesarias para proteger eficazmente la vida y la integridad personal de todas las personas privadas de libertad en el Institu</w:t>
      </w:r>
      <w:r w:rsidR="001B64C0" w:rsidRPr="00F57FA4">
        <w:rPr>
          <w:szCs w:val="20"/>
          <w:lang w:val="es-CO"/>
        </w:rPr>
        <w:t>to Penal Plácido de Sá Carvalho”</w:t>
      </w:r>
      <w:r w:rsidR="00451142" w:rsidRPr="00451142">
        <w:rPr>
          <w:rStyle w:val="FootnoteReference"/>
          <w:lang w:val="es-CO"/>
        </w:rPr>
        <w:t xml:space="preserve"> </w:t>
      </w:r>
      <w:r w:rsidR="00451142" w:rsidRPr="00F57FA4">
        <w:rPr>
          <w:rStyle w:val="FootnoteReference"/>
          <w:lang w:val="es-CO"/>
        </w:rPr>
        <w:footnoteReference w:id="26"/>
      </w:r>
      <w:r w:rsidR="001B64C0" w:rsidRPr="00F57FA4">
        <w:rPr>
          <w:szCs w:val="20"/>
          <w:lang w:val="es-CO"/>
        </w:rPr>
        <w:t>.</w:t>
      </w:r>
    </w:p>
    <w:p w14:paraId="6DDD6ADE" w14:textId="77777777" w:rsidR="00E60BB7" w:rsidRPr="00F57FA4" w:rsidRDefault="00E60BB7" w:rsidP="006D31D9">
      <w:pPr>
        <w:pStyle w:val="ListParagraph"/>
        <w:rPr>
          <w:lang w:val="es-CO"/>
        </w:rPr>
      </w:pPr>
    </w:p>
    <w:p w14:paraId="6259C14E" w14:textId="77777777" w:rsidR="00E60BB7" w:rsidRPr="00F57FA4" w:rsidRDefault="00E60BB7" w:rsidP="006D31D9">
      <w:pPr>
        <w:pStyle w:val="ListParagraph"/>
        <w:numPr>
          <w:ilvl w:val="0"/>
          <w:numId w:val="20"/>
        </w:numPr>
        <w:snapToGrid w:val="0"/>
        <w:ind w:left="0" w:firstLine="0"/>
        <w:contextualSpacing w:val="0"/>
        <w:rPr>
          <w:szCs w:val="20"/>
          <w:lang w:val="es-CO"/>
        </w:rPr>
      </w:pPr>
      <w:r w:rsidRPr="00F57FA4">
        <w:rPr>
          <w:lang w:val="es-CO"/>
        </w:rPr>
        <w:t xml:space="preserve">El </w:t>
      </w:r>
      <w:r w:rsidRPr="00F57FA4">
        <w:rPr>
          <w:b/>
          <w:i/>
          <w:lang w:val="es-CO"/>
        </w:rPr>
        <w:t>Estado</w:t>
      </w:r>
      <w:r w:rsidRPr="00F57FA4">
        <w:rPr>
          <w:lang w:val="es-CO"/>
        </w:rPr>
        <w:t xml:space="preserve"> informó que se han </w:t>
      </w:r>
      <w:r w:rsidR="001B64C0" w:rsidRPr="00F57FA4">
        <w:rPr>
          <w:lang w:val="es-CO"/>
        </w:rPr>
        <w:t>iniciado averiguaciones</w:t>
      </w:r>
      <w:r w:rsidRPr="00F57FA4">
        <w:rPr>
          <w:lang w:val="es-CO"/>
        </w:rPr>
        <w:t xml:space="preserve"> </w:t>
      </w:r>
      <w:r w:rsidR="008F5DAA" w:rsidRPr="00F57FA4">
        <w:rPr>
          <w:lang w:val="es-CO"/>
        </w:rPr>
        <w:t xml:space="preserve">sobre </w:t>
      </w:r>
      <w:r w:rsidRPr="00F57FA4">
        <w:rPr>
          <w:lang w:val="es-CO"/>
        </w:rPr>
        <w:t>todas las muertes ocurridas en el IPPSC.</w:t>
      </w:r>
      <w:r w:rsidR="00BC7892" w:rsidRPr="00F57FA4">
        <w:rPr>
          <w:rFonts w:eastAsia="Times New Roman" w:cs="Courier New"/>
          <w:b/>
          <w:color w:val="212121"/>
          <w:szCs w:val="20"/>
          <w:lang w:val="es-CO" w:eastAsia="es-CR"/>
        </w:rPr>
        <w:t xml:space="preserve"> </w:t>
      </w:r>
      <w:r w:rsidR="00AE7DE6" w:rsidRPr="00F57FA4">
        <w:rPr>
          <w:lang w:val="es-CO"/>
        </w:rPr>
        <w:t xml:space="preserve">En ese mismo </w:t>
      </w:r>
      <w:r w:rsidR="001B64C0" w:rsidRPr="00F57FA4">
        <w:rPr>
          <w:lang w:val="es-CO"/>
        </w:rPr>
        <w:t>sentido</w:t>
      </w:r>
      <w:r w:rsidR="008F5DAA" w:rsidRPr="00F57FA4">
        <w:rPr>
          <w:lang w:val="es-CO"/>
        </w:rPr>
        <w:t>, argumentó</w:t>
      </w:r>
      <w:r w:rsidR="001B64C0" w:rsidRPr="00F57FA4">
        <w:rPr>
          <w:lang w:val="es-CO"/>
        </w:rPr>
        <w:t xml:space="preserve"> que </w:t>
      </w:r>
      <w:r w:rsidR="00AE7DE6" w:rsidRPr="00F57FA4">
        <w:rPr>
          <w:lang w:val="es-CO"/>
        </w:rPr>
        <w:t>p</w:t>
      </w:r>
      <w:r w:rsidRPr="00F57FA4">
        <w:rPr>
          <w:lang w:val="es-CO"/>
        </w:rPr>
        <w:t>ara determinar la eventual responsabilidad de</w:t>
      </w:r>
      <w:r w:rsidR="009C7E05">
        <w:rPr>
          <w:lang w:val="es-CO"/>
        </w:rPr>
        <w:t xml:space="preserve"> s</w:t>
      </w:r>
      <w:r w:rsidRPr="00F57FA4">
        <w:rPr>
          <w:lang w:val="es-CO"/>
        </w:rPr>
        <w:t>ervidor</w:t>
      </w:r>
      <w:r w:rsidR="009C7E05">
        <w:rPr>
          <w:lang w:val="es-CO"/>
        </w:rPr>
        <w:t>es</w:t>
      </w:r>
      <w:r w:rsidRPr="00F57FA4">
        <w:rPr>
          <w:lang w:val="es-CO"/>
        </w:rPr>
        <w:t xml:space="preserve"> público</w:t>
      </w:r>
      <w:r w:rsidR="009C7E05">
        <w:rPr>
          <w:lang w:val="es-CO"/>
        </w:rPr>
        <w:t>s</w:t>
      </w:r>
      <w:r w:rsidRPr="00F57FA4">
        <w:rPr>
          <w:lang w:val="es-CO"/>
        </w:rPr>
        <w:t xml:space="preserve">, se instauraron </w:t>
      </w:r>
      <w:r w:rsidR="001B64C0" w:rsidRPr="00F57FA4">
        <w:rPr>
          <w:lang w:val="es-CO"/>
        </w:rPr>
        <w:t>69</w:t>
      </w:r>
      <w:r w:rsidR="009C7E05">
        <w:rPr>
          <w:lang w:val="es-CO"/>
        </w:rPr>
        <w:t xml:space="preserve"> procedimientos administrativos</w:t>
      </w:r>
      <w:r w:rsidR="005C4908">
        <w:rPr>
          <w:lang w:val="es-CO"/>
        </w:rPr>
        <w:t xml:space="preserve"> (</w:t>
      </w:r>
      <w:r w:rsidR="005C4908">
        <w:rPr>
          <w:i/>
          <w:lang w:val="es-CO"/>
        </w:rPr>
        <w:t>sindicâncias</w:t>
      </w:r>
      <w:r w:rsidR="005C4908">
        <w:rPr>
          <w:lang w:val="es-CO"/>
        </w:rPr>
        <w:t>)</w:t>
      </w:r>
      <w:r w:rsidRPr="00F57FA4">
        <w:rPr>
          <w:lang w:val="es-CO"/>
        </w:rPr>
        <w:t xml:space="preserve">: 15 en el año 2014, 16 en el año 2015, 32 en el año 2016 y 6 en el año 2017. Por otra parte, </w:t>
      </w:r>
      <w:r w:rsidR="009E1EC3" w:rsidRPr="00F57FA4">
        <w:rPr>
          <w:lang w:val="es-CO"/>
        </w:rPr>
        <w:t>sostuvo</w:t>
      </w:r>
      <w:r w:rsidRPr="00F57FA4">
        <w:rPr>
          <w:lang w:val="es-CO"/>
        </w:rPr>
        <w:t xml:space="preserve"> que el MP-RJ </w:t>
      </w:r>
      <w:r w:rsidR="008F5DAA" w:rsidRPr="00F57FA4">
        <w:rPr>
          <w:lang w:val="es-CO"/>
        </w:rPr>
        <w:t>actú</w:t>
      </w:r>
      <w:r w:rsidR="001B64C0" w:rsidRPr="00F57FA4">
        <w:rPr>
          <w:lang w:val="es-CO"/>
        </w:rPr>
        <w:t xml:space="preserve">a para determinar las causas de los </w:t>
      </w:r>
      <w:r w:rsidRPr="00F57FA4">
        <w:rPr>
          <w:lang w:val="es-CO"/>
        </w:rPr>
        <w:t xml:space="preserve">actos de tortura en el sistema penitenciario, con 27 investigaciones civiles en curso. </w:t>
      </w:r>
      <w:r w:rsidR="006A647E" w:rsidRPr="00F57FA4">
        <w:rPr>
          <w:lang w:val="es-CO"/>
        </w:rPr>
        <w:t>También d</w:t>
      </w:r>
      <w:r w:rsidR="00591D53" w:rsidRPr="00F57FA4">
        <w:rPr>
          <w:lang w:val="es-CO"/>
        </w:rPr>
        <w:t xml:space="preserve">estacó la </w:t>
      </w:r>
      <w:r w:rsidR="006A647E" w:rsidRPr="00F57FA4">
        <w:rPr>
          <w:lang w:val="es-CO"/>
        </w:rPr>
        <w:t xml:space="preserve">interposición </w:t>
      </w:r>
      <w:r w:rsidRPr="00F57FA4">
        <w:rPr>
          <w:lang w:val="es-CO"/>
        </w:rPr>
        <w:t xml:space="preserve">de dos acciones civiles públicas por </w:t>
      </w:r>
      <w:r w:rsidR="009E1EC3" w:rsidRPr="00F57FA4">
        <w:rPr>
          <w:lang w:val="es-CO"/>
        </w:rPr>
        <w:t xml:space="preserve">negligencia </w:t>
      </w:r>
      <w:r w:rsidRPr="00F57FA4">
        <w:rPr>
          <w:lang w:val="es-CO"/>
        </w:rPr>
        <w:t>administrativa.</w:t>
      </w:r>
      <w:r w:rsidR="00BC7892" w:rsidRPr="00F57FA4">
        <w:rPr>
          <w:rFonts w:eastAsia="Times New Roman" w:cs="Courier New"/>
          <w:b/>
          <w:color w:val="212121"/>
          <w:szCs w:val="20"/>
          <w:lang w:val="es-CO" w:eastAsia="es-CR"/>
        </w:rPr>
        <w:t xml:space="preserve"> </w:t>
      </w:r>
    </w:p>
    <w:p w14:paraId="2859B484" w14:textId="77777777" w:rsidR="00E60BB7" w:rsidRPr="00F57FA4" w:rsidRDefault="00E60BB7" w:rsidP="006D31D9">
      <w:pPr>
        <w:pStyle w:val="ListParagraph"/>
        <w:rPr>
          <w:szCs w:val="20"/>
          <w:lang w:val="es-CO"/>
        </w:rPr>
      </w:pPr>
    </w:p>
    <w:p w14:paraId="146EE401" w14:textId="6E2D7698" w:rsidR="00AE44FA" w:rsidRPr="00F57FA4" w:rsidRDefault="00E60BB7" w:rsidP="006D31D9">
      <w:pPr>
        <w:pStyle w:val="ListParagraph"/>
        <w:numPr>
          <w:ilvl w:val="0"/>
          <w:numId w:val="20"/>
        </w:numPr>
        <w:snapToGrid w:val="0"/>
        <w:ind w:left="0" w:firstLine="0"/>
        <w:contextualSpacing w:val="0"/>
        <w:rPr>
          <w:szCs w:val="20"/>
          <w:lang w:val="es-CO"/>
        </w:rPr>
      </w:pPr>
      <w:r w:rsidRPr="00F57FA4">
        <w:rPr>
          <w:szCs w:val="20"/>
          <w:lang w:val="es-CO"/>
        </w:rPr>
        <w:t xml:space="preserve">En cuanto a la adopción de medidas para proteger la vida y la integridad personal de las personas privadas de libertad, </w:t>
      </w:r>
      <w:r w:rsidR="001B64C0" w:rsidRPr="00F57FA4">
        <w:rPr>
          <w:szCs w:val="20"/>
          <w:lang w:val="es-CO"/>
        </w:rPr>
        <w:t>informó</w:t>
      </w:r>
      <w:r w:rsidRPr="00F57FA4">
        <w:rPr>
          <w:szCs w:val="20"/>
          <w:lang w:val="es-CO"/>
        </w:rPr>
        <w:t xml:space="preserve"> que la separación de detenidos en las unidades penitenciarias en función de los regímenes a los que están sometidos se califica como medida de prevención al enfrentamiento de </w:t>
      </w:r>
      <w:r w:rsidR="001115D4">
        <w:rPr>
          <w:szCs w:val="20"/>
          <w:lang w:val="es-CO"/>
        </w:rPr>
        <w:t>grupos</w:t>
      </w:r>
      <w:r w:rsidR="006A647E" w:rsidRPr="00F57FA4">
        <w:rPr>
          <w:szCs w:val="20"/>
          <w:lang w:val="es-CO"/>
        </w:rPr>
        <w:t xml:space="preserve"> </w:t>
      </w:r>
      <w:r w:rsidRPr="00F57FA4">
        <w:rPr>
          <w:szCs w:val="20"/>
          <w:lang w:val="es-CO"/>
        </w:rPr>
        <w:t xml:space="preserve">criminales en los </w:t>
      </w:r>
      <w:r w:rsidR="006A647E" w:rsidRPr="00F57FA4">
        <w:rPr>
          <w:szCs w:val="20"/>
          <w:lang w:val="es-CO"/>
        </w:rPr>
        <w:t xml:space="preserve">centros </w:t>
      </w:r>
      <w:r w:rsidRPr="00F57FA4">
        <w:rPr>
          <w:szCs w:val="20"/>
          <w:lang w:val="es-CO"/>
        </w:rPr>
        <w:t xml:space="preserve">penales. La Dirección de la </w:t>
      </w:r>
      <w:r w:rsidR="00A6726D">
        <w:rPr>
          <w:lang w:val="es-CO"/>
        </w:rPr>
        <w:t xml:space="preserve">SEAP </w:t>
      </w:r>
      <w:r w:rsidR="007306C7">
        <w:rPr>
          <w:szCs w:val="20"/>
          <w:lang w:val="es-CO"/>
        </w:rPr>
        <w:t>dispone</w:t>
      </w:r>
      <w:r w:rsidR="007306C7" w:rsidRPr="00F57FA4">
        <w:rPr>
          <w:szCs w:val="20"/>
          <w:lang w:val="es-CO"/>
        </w:rPr>
        <w:t xml:space="preserve"> </w:t>
      </w:r>
      <w:r w:rsidR="006A647E" w:rsidRPr="00F57FA4">
        <w:rPr>
          <w:szCs w:val="20"/>
          <w:lang w:val="es-CO"/>
        </w:rPr>
        <w:t xml:space="preserve">la transferencia a otra unidad </w:t>
      </w:r>
      <w:r w:rsidR="007306C7">
        <w:rPr>
          <w:szCs w:val="20"/>
          <w:lang w:val="es-CO"/>
        </w:rPr>
        <w:t xml:space="preserve">de aquellos </w:t>
      </w:r>
      <w:r w:rsidR="001115D4">
        <w:rPr>
          <w:szCs w:val="20"/>
          <w:lang w:val="es-CO"/>
        </w:rPr>
        <w:t>internos</w:t>
      </w:r>
      <w:r w:rsidR="001115D4" w:rsidRPr="00F57FA4">
        <w:rPr>
          <w:szCs w:val="20"/>
          <w:lang w:val="es-CO"/>
        </w:rPr>
        <w:t xml:space="preserve"> </w:t>
      </w:r>
      <w:r w:rsidRPr="00F57FA4">
        <w:rPr>
          <w:szCs w:val="20"/>
          <w:lang w:val="es-CO"/>
        </w:rPr>
        <w:t>que relatan problemas de convi</w:t>
      </w:r>
      <w:r w:rsidR="006A647E" w:rsidRPr="00F57FA4">
        <w:rPr>
          <w:szCs w:val="20"/>
          <w:lang w:val="es-CO"/>
        </w:rPr>
        <w:t xml:space="preserve">vencia </w:t>
      </w:r>
      <w:r w:rsidRPr="00F57FA4">
        <w:rPr>
          <w:szCs w:val="20"/>
          <w:lang w:val="es-CO"/>
        </w:rPr>
        <w:t xml:space="preserve">entre detenidos. Además, relató que </w:t>
      </w:r>
      <w:r w:rsidR="001B64C0" w:rsidRPr="00F57FA4">
        <w:rPr>
          <w:szCs w:val="20"/>
          <w:lang w:val="es-CO"/>
        </w:rPr>
        <w:t xml:space="preserve">se </w:t>
      </w:r>
      <w:r w:rsidRPr="00F57FA4">
        <w:rPr>
          <w:szCs w:val="20"/>
          <w:lang w:val="es-CO"/>
        </w:rPr>
        <w:t>viene buscando la mejora de los servicios relacionados con la investigación y sanción de faltas o delitos por parte de agentes penitenciarios.</w:t>
      </w:r>
    </w:p>
    <w:p w14:paraId="7D2DA8BE" w14:textId="77777777" w:rsidR="00AE44FA" w:rsidRPr="00F57FA4" w:rsidRDefault="00AE44FA" w:rsidP="006D31D9">
      <w:pPr>
        <w:pStyle w:val="ListParagraph"/>
        <w:rPr>
          <w:szCs w:val="20"/>
          <w:lang w:val="es-CO"/>
        </w:rPr>
      </w:pPr>
    </w:p>
    <w:p w14:paraId="5BAF6B92" w14:textId="77777777" w:rsidR="000F7755" w:rsidRPr="00F57FA4" w:rsidRDefault="001B64C0" w:rsidP="006D31D9">
      <w:pPr>
        <w:pStyle w:val="ListParagraph"/>
        <w:numPr>
          <w:ilvl w:val="0"/>
          <w:numId w:val="20"/>
        </w:numPr>
        <w:snapToGrid w:val="0"/>
        <w:ind w:left="0" w:firstLine="0"/>
        <w:contextualSpacing w:val="0"/>
        <w:rPr>
          <w:szCs w:val="20"/>
          <w:lang w:val="es-CO"/>
        </w:rPr>
      </w:pPr>
      <w:r w:rsidRPr="00F57FA4">
        <w:rPr>
          <w:szCs w:val="20"/>
          <w:lang w:val="es-CO"/>
        </w:rPr>
        <w:t>E</w:t>
      </w:r>
      <w:r w:rsidR="0074636C" w:rsidRPr="00F57FA4">
        <w:rPr>
          <w:szCs w:val="20"/>
          <w:lang w:val="es-CO"/>
        </w:rPr>
        <w:t xml:space="preserve">l Estado </w:t>
      </w:r>
      <w:r w:rsidR="006A647E" w:rsidRPr="00F57FA4">
        <w:rPr>
          <w:lang w:val="es-CO"/>
        </w:rPr>
        <w:t xml:space="preserve">afirmó </w:t>
      </w:r>
      <w:r w:rsidR="00AE44FA" w:rsidRPr="00F57FA4">
        <w:rPr>
          <w:lang w:val="es-CO"/>
        </w:rPr>
        <w:t xml:space="preserve">que </w:t>
      </w:r>
      <w:r w:rsidR="0074636C" w:rsidRPr="00F57FA4">
        <w:rPr>
          <w:szCs w:val="20"/>
          <w:lang w:val="es-CO"/>
        </w:rPr>
        <w:t xml:space="preserve">las </w:t>
      </w:r>
      <w:r w:rsidRPr="00F57FA4">
        <w:rPr>
          <w:szCs w:val="20"/>
          <w:lang w:val="es-CO"/>
        </w:rPr>
        <w:t>averiguaciones</w:t>
      </w:r>
      <w:r w:rsidR="00AE44FA" w:rsidRPr="00F57FA4">
        <w:rPr>
          <w:szCs w:val="20"/>
          <w:lang w:val="es-CO"/>
        </w:rPr>
        <w:t xml:space="preserve"> solicitadas por la Corte Interamericana</w:t>
      </w:r>
      <w:r w:rsidR="00A03BEC" w:rsidRPr="00F57FA4">
        <w:rPr>
          <w:szCs w:val="20"/>
          <w:lang w:val="es-CO"/>
        </w:rPr>
        <w:t xml:space="preserve"> en relación </w:t>
      </w:r>
      <w:r w:rsidR="006A647E" w:rsidRPr="00F57FA4">
        <w:rPr>
          <w:szCs w:val="20"/>
          <w:lang w:val="es-CO"/>
        </w:rPr>
        <w:t>con</w:t>
      </w:r>
      <w:r w:rsidR="00A03BEC" w:rsidRPr="00F57FA4">
        <w:rPr>
          <w:szCs w:val="20"/>
          <w:lang w:val="es-CO"/>
        </w:rPr>
        <w:t xml:space="preserve"> </w:t>
      </w:r>
      <w:r w:rsidRPr="00F57FA4">
        <w:rPr>
          <w:szCs w:val="20"/>
          <w:lang w:val="es-CO"/>
        </w:rPr>
        <w:t xml:space="preserve">las muertes </w:t>
      </w:r>
      <w:r w:rsidR="006A647E" w:rsidRPr="00F57FA4">
        <w:rPr>
          <w:szCs w:val="20"/>
          <w:lang w:val="es-CO"/>
        </w:rPr>
        <w:t xml:space="preserve">ocurridas </w:t>
      </w:r>
      <w:r w:rsidR="00A03BEC" w:rsidRPr="00F57FA4">
        <w:rPr>
          <w:szCs w:val="20"/>
          <w:lang w:val="es-CO"/>
        </w:rPr>
        <w:t>en el IPPSC entre 1 de enero y 19 de junio del presente año</w:t>
      </w:r>
      <w:r w:rsidR="0074636C" w:rsidRPr="00F57FA4">
        <w:rPr>
          <w:szCs w:val="20"/>
          <w:lang w:val="es-CO"/>
        </w:rPr>
        <w:t xml:space="preserve"> no se concluyeron, como consecuencia</w:t>
      </w:r>
      <w:r w:rsidR="00A03BEC" w:rsidRPr="00F57FA4">
        <w:rPr>
          <w:szCs w:val="20"/>
          <w:lang w:val="es-CO"/>
        </w:rPr>
        <w:t xml:space="preserve"> de la falta de</w:t>
      </w:r>
      <w:r w:rsidR="008F3844">
        <w:rPr>
          <w:szCs w:val="20"/>
          <w:lang w:val="es-CO"/>
        </w:rPr>
        <w:t>l respectivo</w:t>
      </w:r>
      <w:r w:rsidR="00A03BEC" w:rsidRPr="00F57FA4">
        <w:rPr>
          <w:szCs w:val="20"/>
          <w:lang w:val="es-CO"/>
        </w:rPr>
        <w:t xml:space="preserve"> </w:t>
      </w:r>
      <w:r w:rsidR="008F3844">
        <w:rPr>
          <w:szCs w:val="20"/>
          <w:lang w:val="es-CO"/>
        </w:rPr>
        <w:t>dictamen</w:t>
      </w:r>
      <w:r w:rsidR="008F3844" w:rsidRPr="00F57FA4">
        <w:rPr>
          <w:szCs w:val="20"/>
          <w:lang w:val="es-CO"/>
        </w:rPr>
        <w:t xml:space="preserve"> </w:t>
      </w:r>
      <w:r w:rsidR="000F7755" w:rsidRPr="00F57FA4">
        <w:rPr>
          <w:szCs w:val="20"/>
          <w:lang w:val="es-CO"/>
        </w:rPr>
        <w:t>pericial. Sin</w:t>
      </w:r>
      <w:r w:rsidR="0074636C" w:rsidRPr="00F57FA4">
        <w:rPr>
          <w:szCs w:val="20"/>
          <w:lang w:val="es-CO"/>
        </w:rPr>
        <w:t xml:space="preserve"> embargo, </w:t>
      </w:r>
      <w:r w:rsidRPr="00F57FA4">
        <w:rPr>
          <w:szCs w:val="20"/>
          <w:lang w:val="es-CO"/>
        </w:rPr>
        <w:t>remitió información</w:t>
      </w:r>
      <w:r w:rsidR="0074636C" w:rsidRPr="00F57FA4">
        <w:rPr>
          <w:szCs w:val="20"/>
          <w:lang w:val="es-CO"/>
        </w:rPr>
        <w:t xml:space="preserve"> acerca de los procesos administrativos </w:t>
      </w:r>
      <w:r w:rsidR="006A647E" w:rsidRPr="00F57FA4">
        <w:rPr>
          <w:szCs w:val="20"/>
          <w:lang w:val="es-CO"/>
        </w:rPr>
        <w:t xml:space="preserve">iniciados como </w:t>
      </w:r>
      <w:r w:rsidRPr="00F57FA4">
        <w:rPr>
          <w:szCs w:val="20"/>
          <w:lang w:val="es-CO"/>
        </w:rPr>
        <w:t>resultado de las</w:t>
      </w:r>
      <w:r w:rsidR="0074636C" w:rsidRPr="00F57FA4">
        <w:rPr>
          <w:szCs w:val="20"/>
          <w:lang w:val="es-CO"/>
        </w:rPr>
        <w:t xml:space="preserve"> muertes </w:t>
      </w:r>
      <w:r w:rsidR="006A647E" w:rsidRPr="00F57FA4">
        <w:rPr>
          <w:szCs w:val="20"/>
          <w:lang w:val="es-CO"/>
        </w:rPr>
        <w:t xml:space="preserve">ocurridas </w:t>
      </w:r>
      <w:r w:rsidR="0074636C" w:rsidRPr="00F57FA4">
        <w:rPr>
          <w:szCs w:val="20"/>
          <w:lang w:val="es-CO"/>
        </w:rPr>
        <w:t>en el IPPSC desde enero de 2016 ha</w:t>
      </w:r>
      <w:r w:rsidR="00AE44FA" w:rsidRPr="00F57FA4">
        <w:rPr>
          <w:szCs w:val="20"/>
          <w:lang w:val="es-CO"/>
        </w:rPr>
        <w:t xml:space="preserve">sta </w:t>
      </w:r>
      <w:r w:rsidR="00A6726D">
        <w:rPr>
          <w:szCs w:val="20"/>
          <w:lang w:val="es-CO"/>
        </w:rPr>
        <w:t>julio de 2017</w:t>
      </w:r>
      <w:r w:rsidR="00AE44FA" w:rsidRPr="00F57FA4">
        <w:rPr>
          <w:szCs w:val="20"/>
          <w:lang w:val="es-CO"/>
        </w:rPr>
        <w:t>.</w:t>
      </w:r>
      <w:r w:rsidR="00BC7892" w:rsidRPr="00F57FA4">
        <w:rPr>
          <w:rFonts w:eastAsia="Times New Roman" w:cs="Courier New"/>
          <w:b/>
          <w:color w:val="212121"/>
          <w:szCs w:val="20"/>
          <w:lang w:val="es-CO" w:eastAsia="es-CR"/>
        </w:rPr>
        <w:t xml:space="preserve"> </w:t>
      </w:r>
    </w:p>
    <w:p w14:paraId="73BEA544" w14:textId="77777777" w:rsidR="000F7755" w:rsidRPr="00F57FA4" w:rsidRDefault="000F7755" w:rsidP="006D31D9">
      <w:pPr>
        <w:pStyle w:val="ListParagraph"/>
        <w:rPr>
          <w:szCs w:val="20"/>
          <w:highlight w:val="yellow"/>
          <w:lang w:val="es-CO"/>
        </w:rPr>
      </w:pPr>
    </w:p>
    <w:p w14:paraId="73D70AC0" w14:textId="093F9BF1" w:rsidR="000F7755" w:rsidRPr="00F57FA4" w:rsidRDefault="000F7755" w:rsidP="006D31D9">
      <w:pPr>
        <w:pStyle w:val="ListParagraph"/>
        <w:numPr>
          <w:ilvl w:val="0"/>
          <w:numId w:val="20"/>
        </w:numPr>
        <w:snapToGrid w:val="0"/>
        <w:ind w:left="0" w:firstLine="0"/>
        <w:contextualSpacing w:val="0"/>
        <w:rPr>
          <w:szCs w:val="20"/>
          <w:lang w:val="es-CO"/>
        </w:rPr>
      </w:pPr>
      <w:r w:rsidRPr="00F57FA4">
        <w:rPr>
          <w:szCs w:val="20"/>
          <w:lang w:val="es-CO"/>
        </w:rPr>
        <w:t>A</w:t>
      </w:r>
      <w:r w:rsidR="00241D55" w:rsidRPr="00F57FA4">
        <w:rPr>
          <w:szCs w:val="20"/>
          <w:lang w:val="es-CO"/>
        </w:rPr>
        <w:t>dicionalmente</w:t>
      </w:r>
      <w:r w:rsidR="006A647E" w:rsidRPr="00F57FA4">
        <w:rPr>
          <w:szCs w:val="20"/>
          <w:lang w:val="es-CO"/>
        </w:rPr>
        <w:t>,</w:t>
      </w:r>
      <w:r w:rsidR="00241D55" w:rsidRPr="00F57FA4">
        <w:rPr>
          <w:szCs w:val="20"/>
          <w:lang w:val="es-CO"/>
        </w:rPr>
        <w:t xml:space="preserve"> el Estado presentó</w:t>
      </w:r>
      <w:r w:rsidRPr="00F57FA4">
        <w:rPr>
          <w:szCs w:val="20"/>
          <w:lang w:val="es-CO"/>
        </w:rPr>
        <w:t xml:space="preserve"> información </w:t>
      </w:r>
      <w:r w:rsidR="00CF2CD5" w:rsidRPr="00F57FA4">
        <w:rPr>
          <w:szCs w:val="20"/>
          <w:lang w:val="es-CO"/>
        </w:rPr>
        <w:t xml:space="preserve">sobre </w:t>
      </w:r>
      <w:r w:rsidRPr="00F57FA4">
        <w:rPr>
          <w:szCs w:val="20"/>
          <w:lang w:val="es-CO"/>
        </w:rPr>
        <w:t xml:space="preserve">las dos muertes </w:t>
      </w:r>
      <w:r w:rsidR="00A6726D">
        <w:rPr>
          <w:szCs w:val="20"/>
          <w:lang w:val="es-CO"/>
        </w:rPr>
        <w:t>informadas</w:t>
      </w:r>
      <w:r w:rsidR="00A6726D" w:rsidRPr="00F57FA4">
        <w:rPr>
          <w:szCs w:val="20"/>
          <w:lang w:val="es-CO"/>
        </w:rPr>
        <w:t xml:space="preserve"> </w:t>
      </w:r>
      <w:r w:rsidR="00241D55" w:rsidRPr="00F57FA4">
        <w:rPr>
          <w:szCs w:val="20"/>
          <w:lang w:val="es-CO"/>
        </w:rPr>
        <w:t>por l</w:t>
      </w:r>
      <w:r w:rsidR="00CF2CD5" w:rsidRPr="00F57FA4">
        <w:rPr>
          <w:szCs w:val="20"/>
          <w:lang w:val="es-CO"/>
        </w:rPr>
        <w:t>o</w:t>
      </w:r>
      <w:r w:rsidR="00241D55" w:rsidRPr="00F57FA4">
        <w:rPr>
          <w:szCs w:val="20"/>
          <w:lang w:val="es-CO"/>
        </w:rPr>
        <w:t>s R</w:t>
      </w:r>
      <w:r w:rsidRPr="00F57FA4">
        <w:rPr>
          <w:szCs w:val="20"/>
          <w:lang w:val="es-CO"/>
        </w:rPr>
        <w:t>epresentantes, ocurridas en el IPPSC entre</w:t>
      </w:r>
      <w:r w:rsidR="00785E38">
        <w:rPr>
          <w:szCs w:val="20"/>
          <w:lang w:val="es-CO"/>
        </w:rPr>
        <w:t xml:space="preserve"> el</w:t>
      </w:r>
      <w:r w:rsidRPr="00F57FA4">
        <w:rPr>
          <w:szCs w:val="20"/>
          <w:lang w:val="es-CO"/>
        </w:rPr>
        <w:t xml:space="preserve"> 19 y </w:t>
      </w:r>
      <w:r w:rsidR="00785E38">
        <w:rPr>
          <w:szCs w:val="20"/>
          <w:lang w:val="es-CO"/>
        </w:rPr>
        <w:t xml:space="preserve">el </w:t>
      </w:r>
      <w:r w:rsidRPr="00F57FA4">
        <w:rPr>
          <w:szCs w:val="20"/>
          <w:lang w:val="es-CO"/>
        </w:rPr>
        <w:t xml:space="preserve">27 de junio del presente año. </w:t>
      </w:r>
      <w:r w:rsidR="00CF2CD5" w:rsidRPr="00F57FA4">
        <w:rPr>
          <w:szCs w:val="20"/>
          <w:lang w:val="es-CO"/>
        </w:rPr>
        <w:t xml:space="preserve">Según el Estado, </w:t>
      </w:r>
      <w:r w:rsidR="00A6726D">
        <w:rPr>
          <w:szCs w:val="20"/>
          <w:lang w:val="es-CO"/>
        </w:rPr>
        <w:t xml:space="preserve">el interno </w:t>
      </w:r>
      <w:r w:rsidRPr="00F57FA4">
        <w:rPr>
          <w:szCs w:val="20"/>
          <w:lang w:val="es-CO"/>
        </w:rPr>
        <w:t>Marcelo Ferreira dos Santos</w:t>
      </w:r>
      <w:r w:rsidR="00A6726D">
        <w:rPr>
          <w:szCs w:val="20"/>
          <w:lang w:val="es-CO"/>
        </w:rPr>
        <w:t xml:space="preserve"> falleció</w:t>
      </w:r>
      <w:r w:rsidRPr="00F57FA4">
        <w:rPr>
          <w:szCs w:val="20"/>
          <w:lang w:val="es-CO"/>
        </w:rPr>
        <w:t xml:space="preserve"> el 19 de junio del </w:t>
      </w:r>
      <w:r w:rsidR="00831DB7" w:rsidRPr="00F57FA4">
        <w:rPr>
          <w:szCs w:val="20"/>
          <w:lang w:val="es-CO"/>
        </w:rPr>
        <w:t xml:space="preserve">2017. </w:t>
      </w:r>
      <w:r w:rsidR="00273C06">
        <w:rPr>
          <w:szCs w:val="20"/>
          <w:lang w:val="es-CO"/>
        </w:rPr>
        <w:t>La representación del Estado manifestó que e</w:t>
      </w:r>
      <w:r w:rsidR="00831DB7" w:rsidRPr="00F57FA4">
        <w:rPr>
          <w:szCs w:val="20"/>
          <w:lang w:val="es-CO"/>
        </w:rPr>
        <w:t xml:space="preserve">sta muerte </w:t>
      </w:r>
      <w:r w:rsidR="00CF2CD5" w:rsidRPr="00F57FA4">
        <w:rPr>
          <w:szCs w:val="20"/>
          <w:lang w:val="es-CO"/>
        </w:rPr>
        <w:t xml:space="preserve">también se encuentra </w:t>
      </w:r>
      <w:r w:rsidR="00831DB7" w:rsidRPr="00F57FA4">
        <w:rPr>
          <w:szCs w:val="20"/>
          <w:lang w:val="es-CO"/>
        </w:rPr>
        <w:t>en etapa de averiguación</w:t>
      </w:r>
      <w:r w:rsidR="00273C06">
        <w:rPr>
          <w:szCs w:val="20"/>
          <w:lang w:val="es-CO"/>
        </w:rPr>
        <w:t>,</w:t>
      </w:r>
      <w:r w:rsidR="00831DB7" w:rsidRPr="00F57FA4">
        <w:rPr>
          <w:szCs w:val="20"/>
          <w:lang w:val="es-CO"/>
        </w:rPr>
        <w:t xml:space="preserve"> sin que</w:t>
      </w:r>
      <w:r w:rsidR="00273C06">
        <w:rPr>
          <w:szCs w:val="20"/>
          <w:lang w:val="es-CO"/>
        </w:rPr>
        <w:t xml:space="preserve"> ésta </w:t>
      </w:r>
      <w:r w:rsidR="00831DB7" w:rsidRPr="00F57FA4">
        <w:rPr>
          <w:szCs w:val="20"/>
          <w:lang w:val="es-CO"/>
        </w:rPr>
        <w:t>haya concluido.</w:t>
      </w:r>
      <w:r w:rsidR="00BC7892" w:rsidRPr="00F57FA4">
        <w:rPr>
          <w:rFonts w:eastAsia="Times New Roman" w:cs="Courier New"/>
          <w:b/>
          <w:color w:val="212121"/>
          <w:szCs w:val="20"/>
          <w:lang w:val="es-CO" w:eastAsia="es-CR"/>
        </w:rPr>
        <w:t xml:space="preserve"> </w:t>
      </w:r>
    </w:p>
    <w:p w14:paraId="1BC45B11" w14:textId="77777777" w:rsidR="00F8773C" w:rsidRPr="00F57FA4" w:rsidRDefault="00F8773C" w:rsidP="006D31D9">
      <w:pPr>
        <w:pStyle w:val="ListParagraph"/>
        <w:rPr>
          <w:szCs w:val="20"/>
          <w:lang w:val="es-CO"/>
        </w:rPr>
      </w:pPr>
    </w:p>
    <w:p w14:paraId="56E663A1" w14:textId="02B5A3A3" w:rsidR="00F8773C" w:rsidRPr="00F57FA4" w:rsidRDefault="00F8773C" w:rsidP="006D31D9">
      <w:pPr>
        <w:pStyle w:val="ListParagraph"/>
        <w:numPr>
          <w:ilvl w:val="0"/>
          <w:numId w:val="20"/>
        </w:numPr>
        <w:snapToGrid w:val="0"/>
        <w:ind w:left="0" w:firstLine="0"/>
        <w:contextualSpacing w:val="0"/>
        <w:rPr>
          <w:szCs w:val="20"/>
          <w:lang w:val="es-CO"/>
        </w:rPr>
      </w:pPr>
      <w:r w:rsidRPr="00F57FA4">
        <w:rPr>
          <w:szCs w:val="20"/>
          <w:lang w:val="es-CO"/>
        </w:rPr>
        <w:t xml:space="preserve">Los </w:t>
      </w:r>
      <w:r w:rsidRPr="00F57FA4">
        <w:rPr>
          <w:b/>
          <w:i/>
          <w:szCs w:val="20"/>
          <w:lang w:val="es-CO"/>
        </w:rPr>
        <w:t>Representantes</w:t>
      </w:r>
      <w:r w:rsidR="009E1EC3" w:rsidRPr="00F57FA4">
        <w:rPr>
          <w:szCs w:val="20"/>
          <w:lang w:val="es-CO"/>
        </w:rPr>
        <w:t xml:space="preserve"> </w:t>
      </w:r>
      <w:r w:rsidR="00273C06">
        <w:rPr>
          <w:szCs w:val="20"/>
          <w:lang w:val="es-CO"/>
        </w:rPr>
        <w:t>remitieron información señalando</w:t>
      </w:r>
      <w:r w:rsidR="00273C06" w:rsidRPr="00F57FA4">
        <w:rPr>
          <w:szCs w:val="20"/>
          <w:lang w:val="es-CO"/>
        </w:rPr>
        <w:t xml:space="preserve"> </w:t>
      </w:r>
      <w:r w:rsidRPr="00F57FA4">
        <w:rPr>
          <w:szCs w:val="20"/>
          <w:lang w:val="es-CO"/>
        </w:rPr>
        <w:t>la</w:t>
      </w:r>
      <w:r w:rsidR="00273C06">
        <w:rPr>
          <w:szCs w:val="20"/>
          <w:lang w:val="es-CO"/>
        </w:rPr>
        <w:t xml:space="preserve"> urgente</w:t>
      </w:r>
      <w:r w:rsidRPr="00F57FA4">
        <w:rPr>
          <w:szCs w:val="20"/>
          <w:lang w:val="es-CO"/>
        </w:rPr>
        <w:t xml:space="preserve"> necesidad de atención médica </w:t>
      </w:r>
      <w:r w:rsidR="00273C06">
        <w:rPr>
          <w:szCs w:val="20"/>
          <w:lang w:val="es-CO"/>
        </w:rPr>
        <w:t>par</w:t>
      </w:r>
      <w:r w:rsidRPr="00F57FA4">
        <w:rPr>
          <w:szCs w:val="20"/>
          <w:lang w:val="es-CO"/>
        </w:rPr>
        <w:t>a algunos internos</w:t>
      </w:r>
      <w:r w:rsidR="00F753B3">
        <w:rPr>
          <w:szCs w:val="20"/>
          <w:lang w:val="es-CO"/>
        </w:rPr>
        <w:t xml:space="preserve"> y el riesgo </w:t>
      </w:r>
      <w:r w:rsidR="00A6726D">
        <w:rPr>
          <w:szCs w:val="20"/>
          <w:lang w:val="es-CO"/>
        </w:rPr>
        <w:t>de</w:t>
      </w:r>
      <w:r w:rsidR="00F753B3">
        <w:rPr>
          <w:szCs w:val="20"/>
          <w:lang w:val="es-CO"/>
        </w:rPr>
        <w:t xml:space="preserve"> vida que eso conlleva</w:t>
      </w:r>
      <w:r w:rsidR="00273C06">
        <w:rPr>
          <w:szCs w:val="20"/>
          <w:lang w:val="es-CO"/>
        </w:rPr>
        <w:t>. Citaron</w:t>
      </w:r>
      <w:r w:rsidR="00F753B3">
        <w:rPr>
          <w:szCs w:val="20"/>
          <w:lang w:val="es-CO"/>
        </w:rPr>
        <w:t xml:space="preserve">, por </w:t>
      </w:r>
      <w:r w:rsidR="00F753B3">
        <w:rPr>
          <w:szCs w:val="20"/>
          <w:lang w:val="es-CO"/>
        </w:rPr>
        <w:lastRenderedPageBreak/>
        <w:t>ejemplo,</w:t>
      </w:r>
      <w:r w:rsidR="00273C06">
        <w:rPr>
          <w:szCs w:val="20"/>
          <w:lang w:val="es-CO"/>
        </w:rPr>
        <w:t xml:space="preserve"> el caso de</w:t>
      </w:r>
      <w:r w:rsidRPr="00F57FA4">
        <w:rPr>
          <w:szCs w:val="20"/>
          <w:lang w:val="es-CO"/>
        </w:rPr>
        <w:t xml:space="preserve"> Leonardo Vieira da Silva, qu</w:t>
      </w:r>
      <w:r w:rsidR="00273C06">
        <w:rPr>
          <w:szCs w:val="20"/>
          <w:lang w:val="es-CO"/>
        </w:rPr>
        <w:t>i</w:t>
      </w:r>
      <w:r w:rsidRPr="00F57FA4">
        <w:rPr>
          <w:szCs w:val="20"/>
          <w:lang w:val="es-CO"/>
        </w:rPr>
        <w:t>e</w:t>
      </w:r>
      <w:r w:rsidR="00273C06">
        <w:rPr>
          <w:szCs w:val="20"/>
          <w:lang w:val="es-CO"/>
        </w:rPr>
        <w:t>n</w:t>
      </w:r>
      <w:r w:rsidRPr="00F57FA4">
        <w:rPr>
          <w:szCs w:val="20"/>
          <w:lang w:val="es-CO"/>
        </w:rPr>
        <w:t xml:space="preserve"> se encontraba </w:t>
      </w:r>
      <w:r w:rsidR="00753F3B">
        <w:rPr>
          <w:szCs w:val="20"/>
          <w:lang w:val="es-CO"/>
        </w:rPr>
        <w:t>visiblemente</w:t>
      </w:r>
      <w:r w:rsidR="00753F3B" w:rsidRPr="00F57FA4">
        <w:rPr>
          <w:szCs w:val="20"/>
          <w:lang w:val="es-CO"/>
        </w:rPr>
        <w:t xml:space="preserve"> desnutrido </w:t>
      </w:r>
      <w:r w:rsidR="00753F3B">
        <w:rPr>
          <w:szCs w:val="20"/>
          <w:lang w:val="es-CO"/>
        </w:rPr>
        <w:t xml:space="preserve">y </w:t>
      </w:r>
      <w:r w:rsidRPr="00F57FA4">
        <w:rPr>
          <w:szCs w:val="20"/>
          <w:lang w:val="es-CO"/>
        </w:rPr>
        <w:t>con</w:t>
      </w:r>
      <w:r w:rsidR="00273C06">
        <w:rPr>
          <w:szCs w:val="20"/>
          <w:lang w:val="es-CO"/>
        </w:rPr>
        <w:t xml:space="preserve"> un</w:t>
      </w:r>
      <w:r w:rsidRPr="00F57FA4">
        <w:rPr>
          <w:szCs w:val="20"/>
          <w:lang w:val="es-CO"/>
        </w:rPr>
        <w:t xml:space="preserve"> </w:t>
      </w:r>
      <w:r w:rsidR="00F753B3">
        <w:rPr>
          <w:szCs w:val="20"/>
          <w:lang w:val="es-CO"/>
        </w:rPr>
        <w:t xml:space="preserve">cuadro </w:t>
      </w:r>
      <w:r w:rsidR="00273C06">
        <w:rPr>
          <w:szCs w:val="20"/>
          <w:lang w:val="es-CO"/>
        </w:rPr>
        <w:t>grave</w:t>
      </w:r>
      <w:r w:rsidRPr="00F57FA4">
        <w:rPr>
          <w:szCs w:val="20"/>
          <w:lang w:val="es-CO"/>
        </w:rPr>
        <w:t xml:space="preserve"> de tuberculosis</w:t>
      </w:r>
      <w:r w:rsidR="00273C06">
        <w:rPr>
          <w:szCs w:val="20"/>
          <w:lang w:val="es-CO"/>
        </w:rPr>
        <w:t>,</w:t>
      </w:r>
      <w:r w:rsidRPr="00F57FA4">
        <w:rPr>
          <w:szCs w:val="20"/>
          <w:lang w:val="es-CO"/>
        </w:rPr>
        <w:t xml:space="preserve"> neumonía . </w:t>
      </w:r>
      <w:r w:rsidR="00273C06">
        <w:rPr>
          <w:szCs w:val="20"/>
          <w:lang w:val="es-CO"/>
        </w:rPr>
        <w:t>El señor Vie</w:t>
      </w:r>
      <w:r w:rsidR="005C4908">
        <w:rPr>
          <w:szCs w:val="20"/>
          <w:lang w:val="es-CO"/>
        </w:rPr>
        <w:t>i</w:t>
      </w:r>
      <w:r w:rsidR="00273C06">
        <w:rPr>
          <w:szCs w:val="20"/>
          <w:lang w:val="es-CO"/>
        </w:rPr>
        <w:t>ra da Silva</w:t>
      </w:r>
      <w:r w:rsidRPr="00F57FA4">
        <w:rPr>
          <w:szCs w:val="20"/>
          <w:lang w:val="es-CO"/>
        </w:rPr>
        <w:t xml:space="preserve"> falleció el </w:t>
      </w:r>
      <w:r w:rsidR="00831DB7" w:rsidRPr="00F57FA4">
        <w:rPr>
          <w:szCs w:val="20"/>
          <w:lang w:val="es-CO"/>
        </w:rPr>
        <w:t>23 de mayo de 2017</w:t>
      </w:r>
      <w:r w:rsidRPr="00F57FA4">
        <w:rPr>
          <w:szCs w:val="20"/>
          <w:lang w:val="es-CO"/>
        </w:rPr>
        <w:t xml:space="preserve"> esperando decisión judicial sobre su petición de arresto domiciliario para que pudiera ser cuidado por su familia.</w:t>
      </w:r>
      <w:r w:rsidR="00BC7892" w:rsidRPr="00F57FA4">
        <w:rPr>
          <w:rFonts w:eastAsia="Times New Roman" w:cs="Courier New"/>
          <w:b/>
          <w:color w:val="212121"/>
          <w:szCs w:val="20"/>
          <w:lang w:val="es-CO" w:eastAsia="es-CR"/>
        </w:rPr>
        <w:t xml:space="preserve"> </w:t>
      </w:r>
    </w:p>
    <w:p w14:paraId="5F890A21" w14:textId="77777777" w:rsidR="00F8773C" w:rsidRPr="00F57FA4" w:rsidRDefault="00F8773C" w:rsidP="006D31D9">
      <w:pPr>
        <w:pStyle w:val="ListParagraph"/>
        <w:rPr>
          <w:szCs w:val="20"/>
          <w:lang w:val="es-CO"/>
        </w:rPr>
      </w:pPr>
    </w:p>
    <w:p w14:paraId="27566A62" w14:textId="77777777" w:rsidR="009A77CF" w:rsidRPr="00F57FA4" w:rsidRDefault="00F753B3" w:rsidP="006D31D9">
      <w:pPr>
        <w:pStyle w:val="ListParagraph"/>
        <w:numPr>
          <w:ilvl w:val="0"/>
          <w:numId w:val="20"/>
        </w:numPr>
        <w:snapToGrid w:val="0"/>
        <w:ind w:left="0" w:firstLine="0"/>
        <w:contextualSpacing w:val="0"/>
        <w:rPr>
          <w:szCs w:val="20"/>
          <w:lang w:val="es-CO"/>
        </w:rPr>
      </w:pPr>
      <w:r>
        <w:rPr>
          <w:szCs w:val="20"/>
          <w:lang w:val="es-CO"/>
        </w:rPr>
        <w:t>A lo anterior, agregaron</w:t>
      </w:r>
      <w:r w:rsidR="00831DB7" w:rsidRPr="00F57FA4">
        <w:rPr>
          <w:szCs w:val="20"/>
          <w:lang w:val="es-CO"/>
        </w:rPr>
        <w:t xml:space="preserve"> </w:t>
      </w:r>
      <w:r w:rsidR="00F8773C" w:rsidRPr="00F57FA4">
        <w:rPr>
          <w:szCs w:val="20"/>
          <w:lang w:val="es-CO"/>
        </w:rPr>
        <w:t>qu</w:t>
      </w:r>
      <w:r w:rsidR="00635D07" w:rsidRPr="00F57FA4">
        <w:rPr>
          <w:szCs w:val="20"/>
          <w:lang w:val="es-CO"/>
        </w:rPr>
        <w:t xml:space="preserve">e las </w:t>
      </w:r>
      <w:r w:rsidR="00831DB7" w:rsidRPr="00F57FA4">
        <w:rPr>
          <w:szCs w:val="20"/>
          <w:lang w:val="es-CO"/>
        </w:rPr>
        <w:t>averiguaciones</w:t>
      </w:r>
      <w:r w:rsidR="00635D07" w:rsidRPr="00F57FA4">
        <w:rPr>
          <w:szCs w:val="20"/>
          <w:lang w:val="es-CO"/>
        </w:rPr>
        <w:t xml:space="preserve"> instauradas </w:t>
      </w:r>
      <w:r w:rsidR="00F8773C" w:rsidRPr="00F57FA4">
        <w:rPr>
          <w:szCs w:val="20"/>
          <w:lang w:val="es-CO"/>
        </w:rPr>
        <w:t xml:space="preserve">apuntan a </w:t>
      </w:r>
      <w:r>
        <w:rPr>
          <w:szCs w:val="20"/>
          <w:lang w:val="es-CO"/>
        </w:rPr>
        <w:t xml:space="preserve">deducir </w:t>
      </w:r>
      <w:r w:rsidR="00F8773C" w:rsidRPr="00F57FA4">
        <w:rPr>
          <w:szCs w:val="20"/>
          <w:lang w:val="es-CO"/>
        </w:rPr>
        <w:t>responsabilidades</w:t>
      </w:r>
      <w:r w:rsidR="00635D07" w:rsidRPr="00F57FA4">
        <w:rPr>
          <w:szCs w:val="20"/>
          <w:lang w:val="es-CO"/>
        </w:rPr>
        <w:t xml:space="preserve"> individuales</w:t>
      </w:r>
      <w:r w:rsidR="00F8773C" w:rsidRPr="00F57FA4">
        <w:rPr>
          <w:szCs w:val="20"/>
          <w:lang w:val="es-CO"/>
        </w:rPr>
        <w:t xml:space="preserve">, </w:t>
      </w:r>
      <w:r w:rsidR="00635D07" w:rsidRPr="00F57FA4">
        <w:rPr>
          <w:szCs w:val="20"/>
          <w:lang w:val="es-CO"/>
        </w:rPr>
        <w:t>sin</w:t>
      </w:r>
      <w:r>
        <w:rPr>
          <w:szCs w:val="20"/>
          <w:lang w:val="es-CO"/>
        </w:rPr>
        <w:t xml:space="preserve"> que se encuentren aparejadas</w:t>
      </w:r>
      <w:r w:rsidR="00F8773C" w:rsidRPr="00F57FA4">
        <w:rPr>
          <w:szCs w:val="20"/>
          <w:lang w:val="es-CO"/>
        </w:rPr>
        <w:t xml:space="preserve"> </w:t>
      </w:r>
      <w:r>
        <w:rPr>
          <w:szCs w:val="20"/>
          <w:lang w:val="es-CO"/>
        </w:rPr>
        <w:t xml:space="preserve">a </w:t>
      </w:r>
      <w:r w:rsidR="00F8773C" w:rsidRPr="00F57FA4">
        <w:rPr>
          <w:szCs w:val="20"/>
          <w:lang w:val="es-CO"/>
        </w:rPr>
        <w:t xml:space="preserve">una propuesta </w:t>
      </w:r>
      <w:r w:rsidR="00635D07" w:rsidRPr="00F57FA4">
        <w:rPr>
          <w:szCs w:val="20"/>
          <w:lang w:val="es-CO"/>
        </w:rPr>
        <w:t xml:space="preserve">que permita </w:t>
      </w:r>
      <w:r w:rsidR="00F8773C" w:rsidRPr="00F57FA4">
        <w:rPr>
          <w:szCs w:val="20"/>
          <w:lang w:val="es-CO"/>
        </w:rPr>
        <w:t xml:space="preserve"> mejorar las condiciones</w:t>
      </w:r>
      <w:r w:rsidR="002F5B91" w:rsidRPr="00F57FA4">
        <w:rPr>
          <w:szCs w:val="20"/>
          <w:lang w:val="es-CO"/>
        </w:rPr>
        <w:t xml:space="preserve"> de las personas privadas de libertad</w:t>
      </w:r>
      <w:r w:rsidR="00F8773C" w:rsidRPr="00F57FA4">
        <w:rPr>
          <w:szCs w:val="20"/>
          <w:lang w:val="es-CO"/>
        </w:rPr>
        <w:t xml:space="preserve"> y evitar el c</w:t>
      </w:r>
      <w:r w:rsidR="002F5B91" w:rsidRPr="00F57FA4">
        <w:rPr>
          <w:szCs w:val="20"/>
          <w:lang w:val="es-CO"/>
        </w:rPr>
        <w:t>iclo de muertes. También indicaron</w:t>
      </w:r>
      <w:r w:rsidR="00F8773C" w:rsidRPr="00F57FA4">
        <w:rPr>
          <w:szCs w:val="20"/>
          <w:lang w:val="es-CO"/>
        </w:rPr>
        <w:t xml:space="preserve"> que las muertes ocurridas en el IPPSC no se derivan de la acción directa de agentes penitenciarios, sino </w:t>
      </w:r>
      <w:r w:rsidR="00646C99">
        <w:rPr>
          <w:szCs w:val="20"/>
          <w:lang w:val="es-CO"/>
        </w:rPr>
        <w:t>“</w:t>
      </w:r>
      <w:r w:rsidR="00F8773C" w:rsidRPr="00F57FA4">
        <w:rPr>
          <w:szCs w:val="20"/>
          <w:lang w:val="es-CO"/>
        </w:rPr>
        <w:t xml:space="preserve">de la propia estructura de violación </w:t>
      </w:r>
      <w:r w:rsidR="00CF2CD5" w:rsidRPr="00F57FA4">
        <w:rPr>
          <w:szCs w:val="20"/>
          <w:lang w:val="es-CO"/>
        </w:rPr>
        <w:t xml:space="preserve">sistemática </w:t>
      </w:r>
      <w:r w:rsidR="00F8773C" w:rsidRPr="00F57FA4">
        <w:rPr>
          <w:szCs w:val="20"/>
          <w:lang w:val="es-CO"/>
        </w:rPr>
        <w:t>de derechos</w:t>
      </w:r>
      <w:r w:rsidR="00646C99">
        <w:rPr>
          <w:szCs w:val="20"/>
          <w:lang w:val="es-CO"/>
        </w:rPr>
        <w:t>”</w:t>
      </w:r>
      <w:r w:rsidR="00F8773C" w:rsidRPr="00F57FA4">
        <w:rPr>
          <w:szCs w:val="20"/>
          <w:lang w:val="es-CO"/>
        </w:rPr>
        <w:t xml:space="preserve"> a</w:t>
      </w:r>
      <w:r w:rsidR="00646C99">
        <w:rPr>
          <w:szCs w:val="20"/>
          <w:lang w:val="es-CO"/>
        </w:rPr>
        <w:t xml:space="preserve"> la</w:t>
      </w:r>
      <w:r w:rsidR="00F8773C" w:rsidRPr="00F57FA4">
        <w:rPr>
          <w:szCs w:val="20"/>
          <w:lang w:val="es-CO"/>
        </w:rPr>
        <w:t xml:space="preserve"> que están expuestos los internos.</w:t>
      </w:r>
      <w:r w:rsidR="00BC7892" w:rsidRPr="00F57FA4">
        <w:rPr>
          <w:rFonts w:eastAsia="Times New Roman" w:cs="Courier New"/>
          <w:b/>
          <w:color w:val="212121"/>
          <w:szCs w:val="20"/>
          <w:lang w:val="es-CO" w:eastAsia="es-CR"/>
        </w:rPr>
        <w:t xml:space="preserve"> </w:t>
      </w:r>
    </w:p>
    <w:p w14:paraId="393BF5A3" w14:textId="77777777" w:rsidR="009F4C12" w:rsidRPr="00F57FA4" w:rsidRDefault="009F4C12" w:rsidP="006D31D9">
      <w:pPr>
        <w:pStyle w:val="ListParagraph"/>
        <w:rPr>
          <w:szCs w:val="20"/>
          <w:lang w:val="es-CO"/>
        </w:rPr>
      </w:pPr>
    </w:p>
    <w:p w14:paraId="4C4B455B" w14:textId="77777777" w:rsidR="009F4C12" w:rsidRPr="00F57FA4" w:rsidRDefault="00CF2CD5" w:rsidP="006D31D9">
      <w:pPr>
        <w:pStyle w:val="ListParagraph"/>
        <w:numPr>
          <w:ilvl w:val="0"/>
          <w:numId w:val="20"/>
        </w:numPr>
        <w:snapToGrid w:val="0"/>
        <w:ind w:left="0" w:firstLine="0"/>
        <w:contextualSpacing w:val="0"/>
        <w:rPr>
          <w:szCs w:val="20"/>
          <w:lang w:val="es-CO"/>
        </w:rPr>
      </w:pPr>
      <w:r w:rsidRPr="00F57FA4">
        <w:rPr>
          <w:lang w:val="es-CO"/>
        </w:rPr>
        <w:t>S</w:t>
      </w:r>
      <w:r w:rsidR="009F4C12" w:rsidRPr="00F57FA4">
        <w:rPr>
          <w:lang w:val="es-CO"/>
        </w:rPr>
        <w:t xml:space="preserve">ostuvieron </w:t>
      </w:r>
      <w:r w:rsidRPr="00F57FA4">
        <w:rPr>
          <w:lang w:val="es-CO"/>
        </w:rPr>
        <w:t xml:space="preserve">también </w:t>
      </w:r>
      <w:r w:rsidR="009F4C12" w:rsidRPr="00F57FA4">
        <w:rPr>
          <w:lang w:val="es-CO"/>
        </w:rPr>
        <w:t>que se presentó un incremento exponencial del número de muertes</w:t>
      </w:r>
      <w:r w:rsidR="00646C99">
        <w:rPr>
          <w:lang w:val="es-CO"/>
        </w:rPr>
        <w:t>. Esto, a juicio de los representantes,</w:t>
      </w:r>
      <w:r w:rsidR="00833EAF" w:rsidRPr="00F57FA4">
        <w:rPr>
          <w:lang w:val="es-CO"/>
        </w:rPr>
        <w:t xml:space="preserve"> es evidencia de </w:t>
      </w:r>
      <w:r w:rsidR="00831DB7" w:rsidRPr="00F57FA4">
        <w:rPr>
          <w:lang w:val="es-CO"/>
        </w:rPr>
        <w:t>la</w:t>
      </w:r>
      <w:r w:rsidR="009F4C12" w:rsidRPr="00F57FA4">
        <w:rPr>
          <w:lang w:val="es-CO"/>
        </w:rPr>
        <w:t xml:space="preserve"> dramática </w:t>
      </w:r>
      <w:r w:rsidR="00831DB7" w:rsidRPr="00F57FA4">
        <w:rPr>
          <w:lang w:val="es-CO"/>
        </w:rPr>
        <w:t>situación del centro penitenciario</w:t>
      </w:r>
      <w:r w:rsidR="009F4C12" w:rsidRPr="00F57FA4">
        <w:rPr>
          <w:lang w:val="es-CO"/>
        </w:rPr>
        <w:t>. En</w:t>
      </w:r>
      <w:r w:rsidR="00646C99">
        <w:rPr>
          <w:lang w:val="es-CO"/>
        </w:rPr>
        <w:t xml:space="preserve"> el año</w:t>
      </w:r>
      <w:r w:rsidR="009F4C12" w:rsidRPr="00F57FA4">
        <w:rPr>
          <w:lang w:val="es-CO"/>
        </w:rPr>
        <w:t xml:space="preserve"> 2012</w:t>
      </w:r>
      <w:r w:rsidR="00831DB7" w:rsidRPr="00F57FA4">
        <w:rPr>
          <w:lang w:val="es-CO"/>
        </w:rPr>
        <w:t>,</w:t>
      </w:r>
      <w:r w:rsidR="009F4C12" w:rsidRPr="00F57FA4">
        <w:rPr>
          <w:lang w:val="es-CO"/>
        </w:rPr>
        <w:t xml:space="preserve"> hubo 11 muertes</w:t>
      </w:r>
      <w:r w:rsidRPr="00F57FA4">
        <w:rPr>
          <w:lang w:val="es-CO"/>
        </w:rPr>
        <w:t>;</w:t>
      </w:r>
      <w:r w:rsidR="009F4C12" w:rsidRPr="00F57FA4">
        <w:rPr>
          <w:lang w:val="es-CO"/>
        </w:rPr>
        <w:t xml:space="preserve"> </w:t>
      </w:r>
      <w:r w:rsidRPr="00F57FA4">
        <w:rPr>
          <w:lang w:val="es-CO"/>
        </w:rPr>
        <w:t xml:space="preserve">en </w:t>
      </w:r>
      <w:r w:rsidR="009F4C12" w:rsidRPr="00F57FA4">
        <w:rPr>
          <w:lang w:val="es-CO"/>
        </w:rPr>
        <w:t>2013</w:t>
      </w:r>
      <w:r w:rsidR="00646C99">
        <w:rPr>
          <w:lang w:val="es-CO"/>
        </w:rPr>
        <w:t>,</w:t>
      </w:r>
      <w:r w:rsidR="009F4C12" w:rsidRPr="00F57FA4">
        <w:rPr>
          <w:lang w:val="es-CO"/>
        </w:rPr>
        <w:t xml:space="preserve"> 6</w:t>
      </w:r>
      <w:r w:rsidRPr="00F57FA4">
        <w:rPr>
          <w:lang w:val="es-CO"/>
        </w:rPr>
        <w:t>;</w:t>
      </w:r>
      <w:r w:rsidR="009F4C12" w:rsidRPr="00F57FA4">
        <w:rPr>
          <w:lang w:val="es-CO"/>
        </w:rPr>
        <w:t xml:space="preserve"> </w:t>
      </w:r>
      <w:r w:rsidRPr="00F57FA4">
        <w:rPr>
          <w:lang w:val="es-CO"/>
        </w:rPr>
        <w:t xml:space="preserve">en </w:t>
      </w:r>
      <w:r w:rsidR="009F4C12" w:rsidRPr="00F57FA4">
        <w:rPr>
          <w:lang w:val="es-CO"/>
        </w:rPr>
        <w:t>2014</w:t>
      </w:r>
      <w:r w:rsidR="00646C99">
        <w:rPr>
          <w:lang w:val="es-CO"/>
        </w:rPr>
        <w:t>,</w:t>
      </w:r>
      <w:r w:rsidR="009F4C12" w:rsidRPr="00F57FA4">
        <w:rPr>
          <w:lang w:val="es-CO"/>
        </w:rPr>
        <w:t xml:space="preserve"> 15 muertes</w:t>
      </w:r>
      <w:r w:rsidRPr="00F57FA4">
        <w:rPr>
          <w:lang w:val="es-CO"/>
        </w:rPr>
        <w:t>;</w:t>
      </w:r>
      <w:r w:rsidR="009F4C12" w:rsidRPr="00F57FA4">
        <w:rPr>
          <w:lang w:val="es-CO"/>
        </w:rPr>
        <w:t xml:space="preserve"> </w:t>
      </w:r>
      <w:r w:rsidRPr="00F57FA4">
        <w:rPr>
          <w:lang w:val="es-CO"/>
        </w:rPr>
        <w:t xml:space="preserve">en </w:t>
      </w:r>
      <w:r w:rsidR="009F4C12" w:rsidRPr="00F57FA4">
        <w:rPr>
          <w:lang w:val="es-CO"/>
        </w:rPr>
        <w:t>2015</w:t>
      </w:r>
      <w:r w:rsidR="00646C99">
        <w:rPr>
          <w:lang w:val="es-CO"/>
        </w:rPr>
        <w:t>,</w:t>
      </w:r>
      <w:r w:rsidR="009F4C12" w:rsidRPr="00F57FA4">
        <w:rPr>
          <w:lang w:val="es-CO"/>
        </w:rPr>
        <w:t xml:space="preserve"> 16</w:t>
      </w:r>
      <w:r w:rsidR="005C4908">
        <w:rPr>
          <w:lang w:val="es-CO"/>
        </w:rPr>
        <w:t>;</w:t>
      </w:r>
      <w:r w:rsidRPr="00F57FA4">
        <w:rPr>
          <w:lang w:val="es-CO"/>
        </w:rPr>
        <w:t xml:space="preserve"> en </w:t>
      </w:r>
      <w:r w:rsidR="009F4C12" w:rsidRPr="00F57FA4">
        <w:rPr>
          <w:lang w:val="es-CO"/>
        </w:rPr>
        <w:t>2016</w:t>
      </w:r>
      <w:r w:rsidRPr="00F57FA4">
        <w:rPr>
          <w:lang w:val="es-CO"/>
        </w:rPr>
        <w:t xml:space="preserve"> hubo</w:t>
      </w:r>
      <w:r w:rsidR="009F4C12" w:rsidRPr="00F57FA4">
        <w:rPr>
          <w:lang w:val="es-CO"/>
        </w:rPr>
        <w:t xml:space="preserve"> 32 muertes,</w:t>
      </w:r>
      <w:r w:rsidRPr="00F57FA4">
        <w:rPr>
          <w:lang w:val="es-CO"/>
        </w:rPr>
        <w:t xml:space="preserve"> y en </w:t>
      </w:r>
      <w:r w:rsidR="009F4C12" w:rsidRPr="00F57FA4">
        <w:rPr>
          <w:lang w:val="es-CO"/>
        </w:rPr>
        <w:t>2017</w:t>
      </w:r>
      <w:r w:rsidRPr="00F57FA4">
        <w:rPr>
          <w:lang w:val="es-CO"/>
        </w:rPr>
        <w:t xml:space="preserve"> ya habrían ocurrido 15 </w:t>
      </w:r>
      <w:r w:rsidR="009F4C12" w:rsidRPr="00F57FA4">
        <w:rPr>
          <w:lang w:val="es-CO"/>
        </w:rPr>
        <w:t>muertes.</w:t>
      </w:r>
      <w:r w:rsidR="00BC7892" w:rsidRPr="00F57FA4">
        <w:rPr>
          <w:rFonts w:eastAsia="Times New Roman" w:cs="Courier New"/>
          <w:b/>
          <w:color w:val="212121"/>
          <w:szCs w:val="20"/>
          <w:lang w:val="es-CO" w:eastAsia="es-CR"/>
        </w:rPr>
        <w:t xml:space="preserve"> </w:t>
      </w:r>
    </w:p>
    <w:p w14:paraId="7EB09769" w14:textId="77777777" w:rsidR="009A77CF" w:rsidRPr="00F57FA4" w:rsidRDefault="009A77CF" w:rsidP="006D31D9">
      <w:pPr>
        <w:pStyle w:val="ListParagraph"/>
        <w:rPr>
          <w:szCs w:val="20"/>
          <w:lang w:val="es-CO"/>
        </w:rPr>
      </w:pPr>
    </w:p>
    <w:p w14:paraId="57AD91CD" w14:textId="0D534509" w:rsidR="00C52A36" w:rsidRPr="00F57FA4" w:rsidRDefault="00CF2CD5" w:rsidP="00CF2CD5">
      <w:pPr>
        <w:pStyle w:val="ListParagraph"/>
        <w:numPr>
          <w:ilvl w:val="0"/>
          <w:numId w:val="20"/>
        </w:numPr>
        <w:snapToGrid w:val="0"/>
        <w:ind w:left="0" w:firstLine="0"/>
        <w:contextualSpacing w:val="0"/>
        <w:rPr>
          <w:szCs w:val="20"/>
          <w:lang w:val="es-CO"/>
        </w:rPr>
      </w:pPr>
      <w:r w:rsidRPr="00F57FA4">
        <w:rPr>
          <w:szCs w:val="20"/>
          <w:lang w:val="es-CO"/>
        </w:rPr>
        <w:t xml:space="preserve">Durante la </w:t>
      </w:r>
      <w:r w:rsidR="00651BF4">
        <w:rPr>
          <w:szCs w:val="20"/>
          <w:lang w:val="es-CO"/>
        </w:rPr>
        <w:t xml:space="preserve">diligencia </w:t>
      </w:r>
      <w:r w:rsidR="00651BF4" w:rsidRPr="00651BF4">
        <w:rPr>
          <w:i/>
          <w:szCs w:val="20"/>
          <w:lang w:val="es-CO"/>
        </w:rPr>
        <w:t>in situ</w:t>
      </w:r>
      <w:r w:rsidR="009161E0" w:rsidRPr="00F57FA4">
        <w:rPr>
          <w:i/>
          <w:szCs w:val="20"/>
          <w:lang w:val="es-CO"/>
        </w:rPr>
        <w:t xml:space="preserve"> </w:t>
      </w:r>
      <w:r w:rsidR="009161E0" w:rsidRPr="00F57FA4">
        <w:rPr>
          <w:szCs w:val="20"/>
          <w:lang w:val="es-CO"/>
        </w:rPr>
        <w:t xml:space="preserve">al </w:t>
      </w:r>
      <w:r w:rsidRPr="00F57FA4">
        <w:rPr>
          <w:szCs w:val="20"/>
          <w:lang w:val="es-CO"/>
        </w:rPr>
        <w:t>IPPSC, e</w:t>
      </w:r>
      <w:r w:rsidR="00635C78" w:rsidRPr="00F57FA4">
        <w:rPr>
          <w:szCs w:val="20"/>
          <w:lang w:val="es-CO"/>
        </w:rPr>
        <w:t xml:space="preserve">l Director del </w:t>
      </w:r>
      <w:r w:rsidRPr="00F57FA4">
        <w:rPr>
          <w:szCs w:val="20"/>
          <w:lang w:val="es-CO"/>
        </w:rPr>
        <w:t>Instituto le informó</w:t>
      </w:r>
      <w:r w:rsidR="00635C78" w:rsidRPr="00F57FA4">
        <w:rPr>
          <w:szCs w:val="20"/>
          <w:lang w:val="es-CO"/>
        </w:rPr>
        <w:t xml:space="preserve"> a la Corte </w:t>
      </w:r>
      <w:r w:rsidR="00C52A36" w:rsidRPr="00F57FA4">
        <w:rPr>
          <w:szCs w:val="20"/>
          <w:lang w:val="es-CO"/>
        </w:rPr>
        <w:t xml:space="preserve">que ya se habían concluido </w:t>
      </w:r>
      <w:r w:rsidRPr="00F57FA4">
        <w:rPr>
          <w:szCs w:val="20"/>
          <w:lang w:val="es-CO"/>
        </w:rPr>
        <w:t xml:space="preserve">“algunas” </w:t>
      </w:r>
      <w:r w:rsidR="00C52A36" w:rsidRPr="00F57FA4">
        <w:rPr>
          <w:szCs w:val="20"/>
          <w:lang w:val="es-CO"/>
        </w:rPr>
        <w:t>averiguaciones de las muertes ocurridas en lo transcurrido del 2017.</w:t>
      </w:r>
      <w:r w:rsidRPr="00F57FA4">
        <w:rPr>
          <w:szCs w:val="20"/>
          <w:lang w:val="es-CO"/>
        </w:rPr>
        <w:t xml:space="preserve"> </w:t>
      </w:r>
      <w:r w:rsidR="00C275A3">
        <w:rPr>
          <w:szCs w:val="20"/>
          <w:lang w:val="es-CO"/>
        </w:rPr>
        <w:t>Empero</w:t>
      </w:r>
      <w:r w:rsidRPr="00F57FA4">
        <w:rPr>
          <w:szCs w:val="20"/>
          <w:lang w:val="es-CO"/>
        </w:rPr>
        <w:t>, n</w:t>
      </w:r>
      <w:r w:rsidR="00C52A36" w:rsidRPr="00F57FA4">
        <w:rPr>
          <w:szCs w:val="20"/>
          <w:lang w:val="es-CO"/>
        </w:rPr>
        <w:t>o se otorgó</w:t>
      </w:r>
      <w:r w:rsidR="00740C6A" w:rsidRPr="00F57FA4">
        <w:rPr>
          <w:szCs w:val="20"/>
          <w:lang w:val="es-CO"/>
        </w:rPr>
        <w:t xml:space="preserve"> una lista de </w:t>
      </w:r>
      <w:r w:rsidR="00A707A7">
        <w:rPr>
          <w:szCs w:val="20"/>
          <w:lang w:val="es-CO"/>
        </w:rPr>
        <w:t>las personas privadas de libertad</w:t>
      </w:r>
      <w:r w:rsidR="00740C6A" w:rsidRPr="00F57FA4">
        <w:rPr>
          <w:szCs w:val="20"/>
          <w:lang w:val="es-CO"/>
        </w:rPr>
        <w:t xml:space="preserve"> que se encontraban presentes en el IPPSC </w:t>
      </w:r>
      <w:r w:rsidRPr="00F57FA4">
        <w:rPr>
          <w:szCs w:val="20"/>
          <w:lang w:val="es-CO"/>
        </w:rPr>
        <w:t>ese día</w:t>
      </w:r>
      <w:r w:rsidR="00740C6A" w:rsidRPr="00F57FA4">
        <w:rPr>
          <w:szCs w:val="20"/>
          <w:lang w:val="es-CO"/>
        </w:rPr>
        <w:t xml:space="preserve">. </w:t>
      </w:r>
    </w:p>
    <w:p w14:paraId="38BF4CA6" w14:textId="77777777" w:rsidR="00D4667B" w:rsidRPr="00F57FA4" w:rsidRDefault="00D4667B" w:rsidP="006D31D9">
      <w:pPr>
        <w:pStyle w:val="ListParagraph"/>
        <w:rPr>
          <w:lang w:val="es-CO"/>
        </w:rPr>
      </w:pPr>
    </w:p>
    <w:p w14:paraId="1DEC5AB7" w14:textId="4E8C332D" w:rsidR="00D4667B" w:rsidRPr="00F57FA4" w:rsidRDefault="00D4667B" w:rsidP="006D31D9">
      <w:pPr>
        <w:pStyle w:val="ListParagraph"/>
        <w:numPr>
          <w:ilvl w:val="0"/>
          <w:numId w:val="20"/>
        </w:numPr>
        <w:snapToGrid w:val="0"/>
        <w:ind w:left="0" w:firstLine="0"/>
        <w:contextualSpacing w:val="0"/>
        <w:rPr>
          <w:szCs w:val="20"/>
          <w:lang w:val="es-CO"/>
        </w:rPr>
      </w:pPr>
      <w:r w:rsidRPr="00F57FA4">
        <w:rPr>
          <w:lang w:val="es-CO"/>
        </w:rPr>
        <w:t xml:space="preserve">El Tribunal lamenta las recientes muertes de internos del </w:t>
      </w:r>
      <w:r w:rsidRPr="00F57FA4">
        <w:rPr>
          <w:szCs w:val="20"/>
          <w:lang w:val="es-CO"/>
        </w:rPr>
        <w:t>Instituto Penal Plácido de Sá Carvalho</w:t>
      </w:r>
      <w:r w:rsidRPr="00F57FA4">
        <w:rPr>
          <w:lang w:val="es-CO"/>
        </w:rPr>
        <w:t xml:space="preserve"> y considera que constituye un hecho sumamente grave que ello haya ocurrido</w:t>
      </w:r>
      <w:r w:rsidR="00A707A7">
        <w:rPr>
          <w:lang w:val="es-CO"/>
        </w:rPr>
        <w:t xml:space="preserve"> </w:t>
      </w:r>
      <w:r w:rsidRPr="00F57FA4">
        <w:rPr>
          <w:lang w:val="es-CO"/>
        </w:rPr>
        <w:t>a pesar de la vigencia de las presentes medidas provisionales. El Tribunal recuerda que no basta con</w:t>
      </w:r>
      <w:r w:rsidR="00A707A7">
        <w:rPr>
          <w:lang w:val="es-CO"/>
        </w:rPr>
        <w:t xml:space="preserve"> que el Estado adopte</w:t>
      </w:r>
      <w:r w:rsidRPr="00F57FA4">
        <w:rPr>
          <w:lang w:val="es-CO"/>
        </w:rPr>
        <w:t xml:space="preserve"> determinadas medidas de protección, </w:t>
      </w:r>
      <w:r w:rsidR="00D213B4">
        <w:rPr>
          <w:lang w:val="es-CO"/>
        </w:rPr>
        <w:t>además</w:t>
      </w:r>
      <w:r w:rsidRPr="00F57FA4">
        <w:rPr>
          <w:lang w:val="es-CO"/>
        </w:rPr>
        <w:t xml:space="preserve"> se requiere</w:t>
      </w:r>
      <w:r w:rsidR="00A707A7">
        <w:rPr>
          <w:lang w:val="es-CO"/>
        </w:rPr>
        <w:t xml:space="preserve"> </w:t>
      </w:r>
      <w:r w:rsidR="00D213B4">
        <w:rPr>
          <w:lang w:val="es-CO"/>
        </w:rPr>
        <w:t xml:space="preserve">que </w:t>
      </w:r>
      <w:r w:rsidRPr="00F57FA4">
        <w:rPr>
          <w:lang w:val="es-CO"/>
        </w:rPr>
        <w:t xml:space="preserve">su implementación </w:t>
      </w:r>
      <w:r w:rsidR="00A707A7">
        <w:rPr>
          <w:lang w:val="es-CO"/>
        </w:rPr>
        <w:t>efectivamente</w:t>
      </w:r>
      <w:r w:rsidRPr="00F57FA4">
        <w:rPr>
          <w:lang w:val="es-CO"/>
        </w:rPr>
        <w:t xml:space="preserve"> cese el riesgo para las personas cuya protección se pretende</w:t>
      </w:r>
      <w:r w:rsidRPr="00F57FA4">
        <w:rPr>
          <w:rStyle w:val="FootnoteReference"/>
          <w:lang w:val="es-CO"/>
        </w:rPr>
        <w:footnoteReference w:id="27"/>
      </w:r>
      <w:r w:rsidR="005C4908">
        <w:rPr>
          <w:lang w:val="es-CO"/>
        </w:rPr>
        <w:t>.</w:t>
      </w:r>
    </w:p>
    <w:p w14:paraId="0F60F33A" w14:textId="77777777" w:rsidR="00833EAF" w:rsidRPr="00F57FA4" w:rsidRDefault="00833EAF" w:rsidP="00833EAF">
      <w:pPr>
        <w:pStyle w:val="ListParagraph"/>
        <w:rPr>
          <w:szCs w:val="20"/>
          <w:lang w:val="es-CO"/>
        </w:rPr>
      </w:pPr>
    </w:p>
    <w:p w14:paraId="155FBC42" w14:textId="75AFCF85" w:rsidR="00833EAF" w:rsidRPr="00E2612F" w:rsidRDefault="00833EAF" w:rsidP="006D31D9">
      <w:pPr>
        <w:pStyle w:val="ListParagraph"/>
        <w:numPr>
          <w:ilvl w:val="0"/>
          <w:numId w:val="20"/>
        </w:numPr>
        <w:snapToGrid w:val="0"/>
        <w:ind w:left="0" w:firstLine="0"/>
        <w:contextualSpacing w:val="0"/>
        <w:rPr>
          <w:szCs w:val="20"/>
          <w:lang w:val="es-CO"/>
        </w:rPr>
      </w:pPr>
      <w:r w:rsidRPr="00F57FA4">
        <w:rPr>
          <w:szCs w:val="20"/>
          <w:lang w:val="es-CO"/>
        </w:rPr>
        <w:t xml:space="preserve">La Corte también nota que el Estado no presentó información </w:t>
      </w:r>
      <w:r w:rsidR="00A707A7" w:rsidRPr="00F57FA4">
        <w:rPr>
          <w:szCs w:val="20"/>
          <w:lang w:val="es-CO"/>
        </w:rPr>
        <w:t>conclu</w:t>
      </w:r>
      <w:r w:rsidR="00A707A7">
        <w:rPr>
          <w:szCs w:val="20"/>
          <w:lang w:val="es-CO"/>
        </w:rPr>
        <w:t>yente</w:t>
      </w:r>
      <w:r w:rsidR="00A707A7" w:rsidRPr="00F57FA4">
        <w:rPr>
          <w:szCs w:val="20"/>
          <w:lang w:val="es-CO"/>
        </w:rPr>
        <w:t xml:space="preserve"> </w:t>
      </w:r>
      <w:r w:rsidRPr="00F57FA4">
        <w:rPr>
          <w:szCs w:val="20"/>
          <w:lang w:val="es-CO"/>
        </w:rPr>
        <w:t>sobre ninguna</w:t>
      </w:r>
      <w:r w:rsidR="00A707A7">
        <w:rPr>
          <w:szCs w:val="20"/>
          <w:lang w:val="es-CO"/>
        </w:rPr>
        <w:t xml:space="preserve"> de las</w:t>
      </w:r>
      <w:r w:rsidRPr="00F57FA4">
        <w:rPr>
          <w:szCs w:val="20"/>
          <w:lang w:val="es-CO"/>
        </w:rPr>
        <w:t xml:space="preserve"> muerte</w:t>
      </w:r>
      <w:r w:rsidR="00A707A7">
        <w:rPr>
          <w:szCs w:val="20"/>
          <w:lang w:val="es-CO"/>
        </w:rPr>
        <w:t>s</w:t>
      </w:r>
      <w:r w:rsidRPr="00F57FA4">
        <w:rPr>
          <w:szCs w:val="20"/>
          <w:lang w:val="es-CO"/>
        </w:rPr>
        <w:t xml:space="preserve"> ocurrida en el IPPSC. </w:t>
      </w:r>
      <w:r w:rsidR="00A707A7">
        <w:rPr>
          <w:szCs w:val="20"/>
          <w:lang w:val="es-CO"/>
        </w:rPr>
        <w:t>Para este Tribunal, resulta alarmante que no se cuente con información sustantiva al respecto,</w:t>
      </w:r>
      <w:r w:rsidRPr="00F57FA4">
        <w:rPr>
          <w:szCs w:val="20"/>
          <w:lang w:val="es-CO"/>
        </w:rPr>
        <w:t xml:space="preserve"> a pesar de </w:t>
      </w:r>
      <w:r w:rsidR="00A707A7">
        <w:rPr>
          <w:szCs w:val="20"/>
          <w:lang w:val="es-CO"/>
        </w:rPr>
        <w:t>que han ocurrido casi</w:t>
      </w:r>
      <w:r w:rsidRPr="00F57FA4">
        <w:rPr>
          <w:szCs w:val="20"/>
          <w:lang w:val="es-CO"/>
        </w:rPr>
        <w:t xml:space="preserve"> 50 muertes en los últimos 18 meses</w:t>
      </w:r>
      <w:r w:rsidR="00981B8E">
        <w:rPr>
          <w:szCs w:val="20"/>
          <w:lang w:val="es-CO"/>
        </w:rPr>
        <w:t xml:space="preserve">, y han estado vigentes las </w:t>
      </w:r>
      <w:r w:rsidRPr="00F57FA4">
        <w:rPr>
          <w:szCs w:val="20"/>
          <w:lang w:val="es-CO"/>
        </w:rPr>
        <w:t>medidas cautelares de la Comisión Interamericana</w:t>
      </w:r>
      <w:r w:rsidR="00A6726D">
        <w:rPr>
          <w:szCs w:val="20"/>
          <w:lang w:val="es-CO"/>
        </w:rPr>
        <w:t xml:space="preserve"> y posteriormente </w:t>
      </w:r>
      <w:r w:rsidR="00981B8E">
        <w:rPr>
          <w:szCs w:val="20"/>
          <w:lang w:val="es-CO"/>
        </w:rPr>
        <w:t>las</w:t>
      </w:r>
      <w:r w:rsidRPr="00F57FA4">
        <w:rPr>
          <w:szCs w:val="20"/>
          <w:lang w:val="es-CO"/>
        </w:rPr>
        <w:t xml:space="preserve"> medidas provisionales de la Corte. </w:t>
      </w:r>
      <w:r w:rsidR="0028700D" w:rsidRPr="00F57FA4">
        <w:rPr>
          <w:szCs w:val="20"/>
          <w:lang w:val="es-CO"/>
        </w:rPr>
        <w:t xml:space="preserve">La falta de </w:t>
      </w:r>
      <w:r w:rsidR="00981B8E">
        <w:rPr>
          <w:szCs w:val="20"/>
          <w:lang w:val="es-CO"/>
        </w:rPr>
        <w:t>informació</w:t>
      </w:r>
      <w:r w:rsidR="00981B8E" w:rsidRPr="00E2612F">
        <w:rPr>
          <w:szCs w:val="20"/>
          <w:lang w:val="es-CO"/>
        </w:rPr>
        <w:t xml:space="preserve">n </w:t>
      </w:r>
      <w:r w:rsidR="0028700D" w:rsidRPr="00E2612F">
        <w:rPr>
          <w:szCs w:val="20"/>
          <w:lang w:val="es-CO"/>
        </w:rPr>
        <w:t xml:space="preserve">sobre las causas de </w:t>
      </w:r>
      <w:r w:rsidR="00981B8E" w:rsidRPr="00E2612F">
        <w:rPr>
          <w:szCs w:val="20"/>
          <w:lang w:val="es-CO"/>
        </w:rPr>
        <w:t xml:space="preserve">un número tan alto de </w:t>
      </w:r>
      <w:r w:rsidR="0028700D" w:rsidRPr="00E2612F">
        <w:rPr>
          <w:szCs w:val="20"/>
          <w:lang w:val="es-CO"/>
        </w:rPr>
        <w:t>muertes en un centro de privación de libertad puede indicar negligencia por parte de las autoridades responsables en relación con sus obligaciones de respetar y garantizar el derecho a la vida y la integridad personal de las personas privadas de</w:t>
      </w:r>
      <w:r w:rsidR="007C7042">
        <w:rPr>
          <w:szCs w:val="20"/>
          <w:lang w:val="es-CO"/>
        </w:rPr>
        <w:t xml:space="preserve"> la</w:t>
      </w:r>
      <w:r w:rsidR="0028700D" w:rsidRPr="00E2612F">
        <w:rPr>
          <w:szCs w:val="20"/>
          <w:lang w:val="es-CO"/>
        </w:rPr>
        <w:t xml:space="preserve"> libertad en el IPPSC. </w:t>
      </w:r>
    </w:p>
    <w:p w14:paraId="14C5EEB2" w14:textId="77777777" w:rsidR="00D4667B" w:rsidRPr="00E2612F" w:rsidRDefault="00D4667B" w:rsidP="006D31D9">
      <w:pPr>
        <w:pStyle w:val="ListParagraph"/>
        <w:rPr>
          <w:lang w:val="es-CO"/>
        </w:rPr>
      </w:pPr>
    </w:p>
    <w:p w14:paraId="0862D76B" w14:textId="29F95465" w:rsidR="00E50C54" w:rsidRPr="00F57FA4" w:rsidRDefault="00A36858" w:rsidP="006D31D9">
      <w:pPr>
        <w:pStyle w:val="ListParagraph"/>
        <w:numPr>
          <w:ilvl w:val="0"/>
          <w:numId w:val="20"/>
        </w:numPr>
        <w:snapToGrid w:val="0"/>
        <w:ind w:left="0" w:firstLine="0"/>
        <w:contextualSpacing w:val="0"/>
        <w:rPr>
          <w:szCs w:val="20"/>
          <w:lang w:val="es-CO"/>
        </w:rPr>
      </w:pPr>
      <w:r w:rsidRPr="00E2612F">
        <w:rPr>
          <w:lang w:val="es-ES"/>
        </w:rPr>
        <w:t>La Corte reitera que, si bien el artículo 1.1 de la Convención establece las obligaciones generales que tienen los Estados Parte de respetar los derechos y libertades en ella consagrados</w:t>
      </w:r>
      <w:r w:rsidR="008C3FE2">
        <w:rPr>
          <w:lang w:val="es-ES"/>
        </w:rPr>
        <w:t>, así como</w:t>
      </w:r>
      <w:r w:rsidRPr="00E2612F">
        <w:rPr>
          <w:lang w:val="es-ES"/>
        </w:rPr>
        <w:t xml:space="preserve"> garantizar su libre y pleno ejercicio a toda persona que esté sujeta a su jurisdicción</w:t>
      </w:r>
      <w:r w:rsidR="00F05A7F">
        <w:rPr>
          <w:lang w:val="es-ES"/>
        </w:rPr>
        <w:t>;</w:t>
      </w:r>
      <w:r w:rsidRPr="00E2612F">
        <w:rPr>
          <w:lang w:val="es-ES"/>
        </w:rPr>
        <w:t xml:space="preserve"> cuando alguna persona bajo su jurisdicción es beneficiaria de medidas provisionales este deber general se ve reforzado respecto de ella, y de este modo tiene que haber un </w:t>
      </w:r>
      <w:r w:rsidR="00F05A7F" w:rsidRPr="00E2612F">
        <w:rPr>
          <w:lang w:val="es-ES"/>
        </w:rPr>
        <w:t xml:space="preserve">especial </w:t>
      </w:r>
      <w:r w:rsidRPr="00E2612F">
        <w:rPr>
          <w:lang w:val="es-ES"/>
        </w:rPr>
        <w:t>debido cuidado de protección</w:t>
      </w:r>
      <w:r w:rsidRPr="00E2612F">
        <w:rPr>
          <w:rStyle w:val="FootnoteReference"/>
        </w:rPr>
        <w:footnoteReference w:id="28"/>
      </w:r>
      <w:r w:rsidR="00B51787" w:rsidRPr="00E2612F">
        <w:rPr>
          <w:lang w:val="es-CO"/>
        </w:rPr>
        <w:t>.</w:t>
      </w:r>
      <w:r w:rsidR="00D4667B" w:rsidRPr="00E2612F">
        <w:rPr>
          <w:lang w:val="es-CO"/>
        </w:rPr>
        <w:t xml:space="preserve"> Ante la orden de esta Corte de </w:t>
      </w:r>
      <w:r w:rsidR="00F05A7F">
        <w:rPr>
          <w:lang w:val="es-CO"/>
        </w:rPr>
        <w:lastRenderedPageBreak/>
        <w:t>adoptar</w:t>
      </w:r>
      <w:r w:rsidR="00F05A7F" w:rsidRPr="00E2612F">
        <w:rPr>
          <w:lang w:val="es-CO"/>
        </w:rPr>
        <w:t xml:space="preserve"> </w:t>
      </w:r>
      <w:r w:rsidR="00D4667B" w:rsidRPr="00E2612F">
        <w:rPr>
          <w:lang w:val="es-CO"/>
        </w:rPr>
        <w:t xml:space="preserve">medidas provisionales, cuyo objeto es la protección de la vida e integridad de las personas detenidas en el </w:t>
      </w:r>
      <w:r w:rsidR="00D4667B" w:rsidRPr="00E2612F">
        <w:rPr>
          <w:szCs w:val="20"/>
          <w:lang w:val="es-CO"/>
        </w:rPr>
        <w:t>Instituto Penal Plácido de Sá Carvalho</w:t>
      </w:r>
      <w:r w:rsidR="00D4667B" w:rsidRPr="00E2612F">
        <w:rPr>
          <w:lang w:val="es-CO"/>
        </w:rPr>
        <w:t xml:space="preserve"> y de quienes se encuentren al interior del mismo, el Estado no puede alegar razones de derecho interno para dejar de tomar medidas firmes, concretas y efectivas en cumplimiento de l</w:t>
      </w:r>
      <w:r w:rsidR="001431D4" w:rsidRPr="00E2612F">
        <w:rPr>
          <w:lang w:val="es-CO"/>
        </w:rPr>
        <w:t>o dispuesto</w:t>
      </w:r>
      <w:r w:rsidR="00D4667B" w:rsidRPr="00E2612F">
        <w:rPr>
          <w:lang w:val="es-CO"/>
        </w:rPr>
        <w:t xml:space="preserve">, de modo </w:t>
      </w:r>
      <w:r w:rsidR="00827938">
        <w:rPr>
          <w:lang w:val="es-CO"/>
        </w:rPr>
        <w:t>que se evite</w:t>
      </w:r>
      <w:r w:rsidRPr="00E2612F">
        <w:rPr>
          <w:lang w:val="es-CO"/>
        </w:rPr>
        <w:t xml:space="preserve"> la ocurrencia de </w:t>
      </w:r>
      <w:r w:rsidR="00D4667B" w:rsidRPr="00E2612F">
        <w:rPr>
          <w:lang w:val="es-CO"/>
        </w:rPr>
        <w:t>muerte</w:t>
      </w:r>
      <w:r w:rsidRPr="00E2612F">
        <w:rPr>
          <w:lang w:val="es-CO"/>
        </w:rPr>
        <w:t>s</w:t>
      </w:r>
      <w:r w:rsidR="002B37D0" w:rsidRPr="00E2612F">
        <w:rPr>
          <w:lang w:val="es-CO"/>
        </w:rPr>
        <w:t>.</w:t>
      </w:r>
      <w:r w:rsidR="00D4667B" w:rsidRPr="00E2612F">
        <w:rPr>
          <w:lang w:val="es-CO"/>
        </w:rPr>
        <w:t xml:space="preserve"> Tampoco puede el Estado alegar la descoordinación entre autoridades federales</w:t>
      </w:r>
      <w:r w:rsidR="00E73C9B" w:rsidRPr="00E2612F">
        <w:rPr>
          <w:lang w:val="es-CO"/>
        </w:rPr>
        <w:t xml:space="preserve">, </w:t>
      </w:r>
      <w:r w:rsidR="001431D4" w:rsidRPr="00E2612F">
        <w:rPr>
          <w:lang w:val="es-CO"/>
        </w:rPr>
        <w:t xml:space="preserve">provinciales </w:t>
      </w:r>
      <w:r w:rsidR="00E73C9B" w:rsidRPr="00E2612F">
        <w:rPr>
          <w:lang w:val="es-CO"/>
        </w:rPr>
        <w:t>o municipales</w:t>
      </w:r>
      <w:r w:rsidR="00D4667B" w:rsidRPr="00E2612F">
        <w:rPr>
          <w:lang w:val="es-CO"/>
        </w:rPr>
        <w:t xml:space="preserve"> para</w:t>
      </w:r>
      <w:r w:rsidR="005C38EC" w:rsidRPr="00E2612F">
        <w:rPr>
          <w:lang w:val="es-CO"/>
        </w:rPr>
        <w:t xml:space="preserve"> justificar que </w:t>
      </w:r>
      <w:r w:rsidR="00D4667B" w:rsidRPr="00E2612F">
        <w:rPr>
          <w:lang w:val="es-CO"/>
        </w:rPr>
        <w:t>han continuado ocurriendo</w:t>
      </w:r>
      <w:r w:rsidR="005C38EC" w:rsidRPr="00E2612F">
        <w:rPr>
          <w:lang w:val="es-CO"/>
        </w:rPr>
        <w:t xml:space="preserve"> muertes</w:t>
      </w:r>
      <w:r w:rsidR="00D4667B" w:rsidRPr="00E2612F">
        <w:rPr>
          <w:lang w:val="es-CO"/>
        </w:rPr>
        <w:t xml:space="preserve"> durante la vigenci</w:t>
      </w:r>
      <w:r w:rsidR="00D4667B" w:rsidRPr="00F57FA4">
        <w:rPr>
          <w:lang w:val="es-CO"/>
        </w:rPr>
        <w:t xml:space="preserve">a de </w:t>
      </w:r>
      <w:r w:rsidR="005C38EC">
        <w:rPr>
          <w:lang w:val="es-CO"/>
        </w:rPr>
        <w:t>las presentes medidas</w:t>
      </w:r>
      <w:r w:rsidR="00F03E97">
        <w:rPr>
          <w:rStyle w:val="FootnoteReference"/>
        </w:rPr>
        <w:footnoteReference w:id="29"/>
      </w:r>
      <w:r w:rsidR="002B37D0">
        <w:rPr>
          <w:lang w:val="es-CO"/>
        </w:rPr>
        <w:t xml:space="preserve">. </w:t>
      </w:r>
      <w:r w:rsidR="005C38EC">
        <w:rPr>
          <w:lang w:val="es-CO"/>
        </w:rPr>
        <w:t xml:space="preserve">Independientemente </w:t>
      </w:r>
      <w:r w:rsidR="00D4667B" w:rsidRPr="00F57FA4">
        <w:rPr>
          <w:lang w:val="es-CO"/>
        </w:rPr>
        <w:t>de la estructura unitaria o federal del Estado Parte en la Convención, ante la jurisdicción internacional es el Estado como tal el que comparece ante los órganos de supervisión de aquel tratado y es éste el único obligado a adoptar las medidas</w:t>
      </w:r>
      <w:r w:rsidR="00D4667B" w:rsidRPr="00F57FA4">
        <w:rPr>
          <w:vertAlign w:val="superscript"/>
          <w:lang w:val="es-CO"/>
        </w:rPr>
        <w:footnoteReference w:id="30"/>
      </w:r>
      <w:r w:rsidR="002B37D0">
        <w:rPr>
          <w:lang w:val="es-CO"/>
        </w:rPr>
        <w:t>.</w:t>
      </w:r>
      <w:r w:rsidR="00E73C9B" w:rsidRPr="00F57FA4">
        <w:rPr>
          <w:lang w:val="es-CO"/>
        </w:rPr>
        <w:t xml:space="preserve"> </w:t>
      </w:r>
      <w:r w:rsidR="00E73C9B" w:rsidRPr="002B37D0">
        <w:rPr>
          <w:szCs w:val="20"/>
          <w:lang w:val="es-CO"/>
        </w:rPr>
        <w:t>El Estado</w:t>
      </w:r>
      <w:r w:rsidR="005C38EC" w:rsidRPr="002B37D0">
        <w:rPr>
          <w:szCs w:val="20"/>
          <w:lang w:val="es-CO"/>
        </w:rPr>
        <w:t>, a través de diversas entidades,</w:t>
      </w:r>
      <w:r w:rsidR="00E73C9B" w:rsidRPr="002B37D0">
        <w:rPr>
          <w:szCs w:val="20"/>
          <w:lang w:val="es-CO"/>
        </w:rPr>
        <w:t xml:space="preserve"> ha tenido conocimiento de la gran cantidad de muertes ocurridas en ese centro penitenciario desde hace varios años y no </w:t>
      </w:r>
      <w:r w:rsidR="005C38EC" w:rsidRPr="002B37D0">
        <w:rPr>
          <w:szCs w:val="20"/>
          <w:lang w:val="es-CO"/>
        </w:rPr>
        <w:t>ha actuado</w:t>
      </w:r>
      <w:r w:rsidR="00E73C9B" w:rsidRPr="002B37D0">
        <w:rPr>
          <w:szCs w:val="20"/>
          <w:lang w:val="es-CO"/>
        </w:rPr>
        <w:t xml:space="preserve"> para establecer la causa de las muertes ni para evitarlas.</w:t>
      </w:r>
      <w:r w:rsidR="00E73C9B" w:rsidRPr="00F57FA4">
        <w:rPr>
          <w:szCs w:val="20"/>
          <w:lang w:val="es-CO"/>
        </w:rPr>
        <w:t xml:space="preserve"> </w:t>
      </w:r>
    </w:p>
    <w:p w14:paraId="52EED28D" w14:textId="77777777" w:rsidR="00E50C54" w:rsidRPr="00F57FA4" w:rsidRDefault="00E50C54" w:rsidP="006D31D9">
      <w:pPr>
        <w:pStyle w:val="ListParagraph"/>
        <w:snapToGrid w:val="0"/>
        <w:ind w:left="0"/>
        <w:contextualSpacing w:val="0"/>
        <w:rPr>
          <w:szCs w:val="20"/>
          <w:lang w:val="es-CO"/>
        </w:rPr>
      </w:pPr>
    </w:p>
    <w:p w14:paraId="2F104B48" w14:textId="77777777" w:rsidR="009E7F99" w:rsidRPr="00B77BE0" w:rsidRDefault="00A6726D" w:rsidP="006D31D9">
      <w:pPr>
        <w:pStyle w:val="ListParagraph"/>
        <w:numPr>
          <w:ilvl w:val="0"/>
          <w:numId w:val="20"/>
        </w:numPr>
        <w:snapToGrid w:val="0"/>
        <w:ind w:left="0" w:firstLine="0"/>
        <w:contextualSpacing w:val="0"/>
        <w:rPr>
          <w:szCs w:val="20"/>
          <w:lang w:val="es-CO"/>
        </w:rPr>
      </w:pPr>
      <w:r>
        <w:rPr>
          <w:rFonts w:eastAsia="Verdana" w:cs="Verdana"/>
          <w:szCs w:val="20"/>
          <w:lang w:val="es-CO"/>
        </w:rPr>
        <w:t>A</w:t>
      </w:r>
      <w:r w:rsidR="00E50C54" w:rsidRPr="00F57FA4">
        <w:rPr>
          <w:rFonts w:eastAsia="Verdana" w:cs="Verdana"/>
          <w:szCs w:val="20"/>
          <w:lang w:val="es-CO"/>
        </w:rPr>
        <w:t xml:space="preserve"> efectos de dar eficacia a las presentes medidas provisionales, el Estado debe erradicar concretamente los riesgos de muerte</w:t>
      </w:r>
      <w:r w:rsidR="00E73C9B" w:rsidRPr="00F57FA4">
        <w:rPr>
          <w:rFonts w:eastAsia="Verdana" w:cs="Verdana"/>
          <w:szCs w:val="20"/>
          <w:lang w:val="es-CO"/>
        </w:rPr>
        <w:t xml:space="preserve"> y afectaciones a la integridad personal de los internos</w:t>
      </w:r>
      <w:r w:rsidR="00E50C54" w:rsidRPr="00F57FA4">
        <w:rPr>
          <w:rFonts w:eastAsia="Verdana" w:cs="Verdana"/>
          <w:szCs w:val="20"/>
          <w:lang w:val="es-CO"/>
        </w:rPr>
        <w:t xml:space="preserve">, para lo cual las medidas que se adopten deben incluir aquellas orientadas directamente a proteger los derechos a la vida e integridad de los beneficiarios, particularmente en relación con las deficientes condiciones de </w:t>
      </w:r>
      <w:r w:rsidR="00C70E23" w:rsidRPr="00F57FA4">
        <w:rPr>
          <w:rFonts w:eastAsia="Verdana" w:cs="Verdana"/>
          <w:szCs w:val="20"/>
          <w:lang w:val="es-CO"/>
        </w:rPr>
        <w:t>acceso a la salud</w:t>
      </w:r>
      <w:r w:rsidR="009E7F99">
        <w:rPr>
          <w:rFonts w:eastAsia="Verdana" w:cs="Verdana"/>
          <w:szCs w:val="20"/>
          <w:lang w:val="es-CO"/>
        </w:rPr>
        <w:t xml:space="preserve">, así como las condiciones de seguridad y </w:t>
      </w:r>
      <w:r w:rsidR="00E50C54" w:rsidRPr="00F57FA4">
        <w:rPr>
          <w:rFonts w:eastAsia="Verdana" w:cs="Verdana"/>
          <w:szCs w:val="20"/>
          <w:lang w:val="es-CO"/>
        </w:rPr>
        <w:t>control</w:t>
      </w:r>
      <w:r w:rsidR="009E7F99">
        <w:rPr>
          <w:rFonts w:eastAsia="Verdana" w:cs="Verdana"/>
          <w:szCs w:val="20"/>
          <w:lang w:val="es-CO"/>
        </w:rPr>
        <w:t>es</w:t>
      </w:r>
      <w:r w:rsidR="00E50C54" w:rsidRPr="00F57FA4">
        <w:rPr>
          <w:rFonts w:eastAsia="Verdana" w:cs="Verdana"/>
          <w:szCs w:val="20"/>
          <w:lang w:val="es-CO"/>
        </w:rPr>
        <w:t xml:space="preserve"> internos</w:t>
      </w:r>
      <w:r w:rsidR="009E7F99">
        <w:rPr>
          <w:rFonts w:eastAsia="Verdana" w:cs="Verdana"/>
          <w:szCs w:val="20"/>
          <w:lang w:val="es-CO"/>
        </w:rPr>
        <w:t xml:space="preserve"> </w:t>
      </w:r>
      <w:r w:rsidR="00E50C54" w:rsidRPr="00F57FA4">
        <w:rPr>
          <w:rFonts w:eastAsia="Verdana" w:cs="Verdana"/>
          <w:szCs w:val="20"/>
          <w:lang w:val="es-CO"/>
        </w:rPr>
        <w:t xml:space="preserve">del </w:t>
      </w:r>
      <w:r w:rsidR="00E50C54" w:rsidRPr="00B77BE0">
        <w:rPr>
          <w:szCs w:val="20"/>
          <w:lang w:val="es-CO"/>
        </w:rPr>
        <w:t>Instituto Penal Plácido de Sá Carvalho</w:t>
      </w:r>
      <w:r w:rsidR="00E50C54" w:rsidRPr="00B77BE0">
        <w:rPr>
          <w:rStyle w:val="FootnoteReference"/>
          <w:rFonts w:eastAsia="Verdana" w:cs="Verdana"/>
          <w:position w:val="-1"/>
          <w:lang w:val="es-CO"/>
        </w:rPr>
        <w:footnoteReference w:id="31"/>
      </w:r>
      <w:r w:rsidR="00E50C54" w:rsidRPr="00B77BE0">
        <w:rPr>
          <w:rFonts w:eastAsia="Verdana" w:cs="Verdana"/>
          <w:position w:val="-1"/>
          <w:szCs w:val="20"/>
          <w:lang w:val="es-CO"/>
        </w:rPr>
        <w:t>.</w:t>
      </w:r>
      <w:r w:rsidR="00E73C9B" w:rsidRPr="00B77BE0">
        <w:rPr>
          <w:rFonts w:eastAsia="Verdana" w:cs="Verdana"/>
          <w:position w:val="-1"/>
          <w:szCs w:val="20"/>
          <w:lang w:val="es-CO"/>
        </w:rPr>
        <w:t xml:space="preserve"> </w:t>
      </w:r>
    </w:p>
    <w:p w14:paraId="1F24DDC1" w14:textId="77777777" w:rsidR="009E7F99" w:rsidRPr="00B77BE0" w:rsidRDefault="009E7F99" w:rsidP="00B77BE0">
      <w:pPr>
        <w:pStyle w:val="ListParagraph"/>
        <w:rPr>
          <w:szCs w:val="20"/>
          <w:lang w:val="es-CO"/>
        </w:rPr>
      </w:pPr>
    </w:p>
    <w:p w14:paraId="645BEB5C" w14:textId="7987E10E" w:rsidR="00D4667B" w:rsidRPr="006655EF" w:rsidRDefault="009E7F99" w:rsidP="00B77BE0">
      <w:pPr>
        <w:pStyle w:val="ListParagraph"/>
        <w:numPr>
          <w:ilvl w:val="0"/>
          <w:numId w:val="20"/>
        </w:numPr>
        <w:snapToGrid w:val="0"/>
        <w:ind w:left="0" w:firstLine="0"/>
        <w:contextualSpacing w:val="0"/>
        <w:rPr>
          <w:szCs w:val="20"/>
          <w:lang w:val="es-CO"/>
        </w:rPr>
      </w:pPr>
      <w:r w:rsidRPr="00B77BE0">
        <w:rPr>
          <w:szCs w:val="20"/>
          <w:lang w:val="es-CO"/>
        </w:rPr>
        <w:t>Sin perjuicio de lo anterior, e</w:t>
      </w:r>
      <w:r w:rsidR="00E73C9B" w:rsidRPr="00B77BE0">
        <w:rPr>
          <w:szCs w:val="20"/>
          <w:lang w:val="es-CO"/>
        </w:rPr>
        <w:t>s imperativo que el Estado determine</w:t>
      </w:r>
      <w:r w:rsidRPr="00B77BE0">
        <w:rPr>
          <w:szCs w:val="20"/>
          <w:lang w:val="es-CO"/>
        </w:rPr>
        <w:t xml:space="preserve"> e informe a esta Corte</w:t>
      </w:r>
      <w:r w:rsidR="00E73C9B" w:rsidRPr="00B77BE0">
        <w:rPr>
          <w:szCs w:val="20"/>
          <w:lang w:val="es-CO"/>
        </w:rPr>
        <w:t xml:space="preserve"> las causas de todas las muertes</w:t>
      </w:r>
      <w:r w:rsidRPr="00B77BE0">
        <w:rPr>
          <w:szCs w:val="20"/>
          <w:lang w:val="es-CO"/>
        </w:rPr>
        <w:t xml:space="preserve"> de internos</w:t>
      </w:r>
      <w:r w:rsidR="00E73C9B" w:rsidRPr="00B77BE0">
        <w:rPr>
          <w:szCs w:val="20"/>
          <w:lang w:val="es-CO"/>
        </w:rPr>
        <w:t xml:space="preserve"> </w:t>
      </w:r>
      <w:r w:rsidRPr="00B77BE0">
        <w:rPr>
          <w:szCs w:val="20"/>
          <w:lang w:val="es-CO"/>
        </w:rPr>
        <w:t>que han ocurrido durante la vigencia de las presentes medidas de protección</w:t>
      </w:r>
      <w:r w:rsidR="006655EF" w:rsidRPr="00B77BE0">
        <w:rPr>
          <w:szCs w:val="20"/>
          <w:lang w:val="es-CO"/>
        </w:rPr>
        <w:t>. Lo anterior, no obsta</w:t>
      </w:r>
      <w:r w:rsidRPr="00B77BE0">
        <w:rPr>
          <w:szCs w:val="20"/>
          <w:lang w:val="es-CO"/>
        </w:rPr>
        <w:t xml:space="preserve"> de su</w:t>
      </w:r>
      <w:r w:rsidR="006655EF" w:rsidRPr="00B77BE0">
        <w:rPr>
          <w:szCs w:val="20"/>
          <w:lang w:val="es-CO"/>
        </w:rPr>
        <w:t xml:space="preserve"> indiscutible</w:t>
      </w:r>
      <w:r w:rsidRPr="00B77BE0">
        <w:rPr>
          <w:szCs w:val="20"/>
          <w:lang w:val="es-CO"/>
        </w:rPr>
        <w:t xml:space="preserve"> obligación de esclarecer aquellas que ocurrieron antes.</w:t>
      </w:r>
      <w:r w:rsidR="00E73C9B" w:rsidRPr="00B77BE0">
        <w:rPr>
          <w:szCs w:val="20"/>
          <w:lang w:val="es-CO"/>
        </w:rPr>
        <w:t xml:space="preserve"> </w:t>
      </w:r>
      <w:r w:rsidRPr="00B77BE0">
        <w:rPr>
          <w:szCs w:val="20"/>
          <w:lang w:val="es-CO"/>
        </w:rPr>
        <w:t xml:space="preserve">Además, el Estado debe </w:t>
      </w:r>
      <w:r w:rsidR="00E73C9B" w:rsidRPr="00B77BE0">
        <w:rPr>
          <w:szCs w:val="20"/>
          <w:lang w:val="es-CO"/>
        </w:rPr>
        <w:t>tom</w:t>
      </w:r>
      <w:r w:rsidRPr="00B77BE0">
        <w:rPr>
          <w:szCs w:val="20"/>
          <w:lang w:val="es-CO"/>
        </w:rPr>
        <w:t>ar</w:t>
      </w:r>
      <w:r w:rsidR="006655EF" w:rsidRPr="00B77BE0">
        <w:rPr>
          <w:szCs w:val="20"/>
          <w:lang w:val="es-CO"/>
        </w:rPr>
        <w:t xml:space="preserve"> inmediatamente</w:t>
      </w:r>
      <w:r w:rsidR="00E73C9B" w:rsidRPr="00B77BE0">
        <w:rPr>
          <w:szCs w:val="20"/>
          <w:lang w:val="es-CO"/>
        </w:rPr>
        <w:t xml:space="preserve"> </w:t>
      </w:r>
      <w:r w:rsidR="006655EF" w:rsidRPr="00B77BE0">
        <w:rPr>
          <w:szCs w:val="20"/>
          <w:lang w:val="es-CO"/>
        </w:rPr>
        <w:t xml:space="preserve">todas aquellas </w:t>
      </w:r>
      <w:r w:rsidR="00E73C9B" w:rsidRPr="00B77BE0">
        <w:rPr>
          <w:szCs w:val="20"/>
          <w:lang w:val="es-CO"/>
        </w:rPr>
        <w:t xml:space="preserve">medidas </w:t>
      </w:r>
      <w:r w:rsidR="006655EF" w:rsidRPr="00B77BE0">
        <w:rPr>
          <w:szCs w:val="20"/>
          <w:lang w:val="es-CO"/>
        </w:rPr>
        <w:t xml:space="preserve">necesarias </w:t>
      </w:r>
      <w:r w:rsidR="00E73C9B" w:rsidRPr="00B77BE0">
        <w:rPr>
          <w:szCs w:val="20"/>
          <w:lang w:val="es-CO"/>
        </w:rPr>
        <w:t xml:space="preserve">para evitar </w:t>
      </w:r>
      <w:r w:rsidR="006655EF" w:rsidRPr="00B77BE0">
        <w:rPr>
          <w:szCs w:val="20"/>
          <w:lang w:val="es-CO"/>
        </w:rPr>
        <w:t>que ocurran</w:t>
      </w:r>
      <w:r w:rsidR="00E73C9B" w:rsidRPr="00B77BE0">
        <w:rPr>
          <w:szCs w:val="20"/>
          <w:lang w:val="es-CO"/>
        </w:rPr>
        <w:t xml:space="preserve"> más muertes</w:t>
      </w:r>
      <w:r w:rsidR="006655EF" w:rsidRPr="00B77BE0">
        <w:rPr>
          <w:szCs w:val="20"/>
          <w:lang w:val="es-CO"/>
        </w:rPr>
        <w:t xml:space="preserve"> en el IPPSC. Asimismo, la Corte requiere al Estado que informe de manera detallada y precisa de las acciones concretas emprendidas para prevenir más decesos de personas beneficiarias. </w:t>
      </w:r>
    </w:p>
    <w:p w14:paraId="356115BE" w14:textId="77777777" w:rsidR="006655EF" w:rsidRDefault="006655EF" w:rsidP="00B77BE0">
      <w:pPr>
        <w:pStyle w:val="ListParagraph"/>
        <w:snapToGrid w:val="0"/>
        <w:rPr>
          <w:b/>
          <w:i/>
          <w:szCs w:val="20"/>
          <w:lang w:val="es-CO"/>
        </w:rPr>
      </w:pPr>
    </w:p>
    <w:p w14:paraId="688BF463" w14:textId="77777777" w:rsidR="009A77CF" w:rsidRPr="00F57FA4" w:rsidRDefault="00A05840" w:rsidP="006D31D9">
      <w:pPr>
        <w:pStyle w:val="ListParagraph"/>
        <w:numPr>
          <w:ilvl w:val="0"/>
          <w:numId w:val="9"/>
        </w:numPr>
        <w:snapToGrid w:val="0"/>
        <w:rPr>
          <w:b/>
          <w:i/>
          <w:szCs w:val="20"/>
          <w:lang w:val="es-CO"/>
        </w:rPr>
      </w:pPr>
      <w:r>
        <w:rPr>
          <w:b/>
          <w:i/>
          <w:szCs w:val="20"/>
          <w:lang w:val="es-CO"/>
        </w:rPr>
        <w:t>C</w:t>
      </w:r>
      <w:r w:rsidR="00584C54" w:rsidRPr="00F57FA4">
        <w:rPr>
          <w:b/>
          <w:i/>
          <w:szCs w:val="20"/>
          <w:lang w:val="es-CO"/>
        </w:rPr>
        <w:t xml:space="preserve">ondiciones de </w:t>
      </w:r>
      <w:r w:rsidR="00B57C3C">
        <w:rPr>
          <w:b/>
          <w:i/>
          <w:szCs w:val="20"/>
          <w:lang w:val="es-CO"/>
        </w:rPr>
        <w:t>d</w:t>
      </w:r>
      <w:r w:rsidR="00584C54" w:rsidRPr="00F57FA4">
        <w:rPr>
          <w:b/>
          <w:i/>
          <w:szCs w:val="20"/>
          <w:lang w:val="es-CO"/>
        </w:rPr>
        <w:t xml:space="preserve">etención </w:t>
      </w:r>
    </w:p>
    <w:p w14:paraId="5C2B560D" w14:textId="77777777" w:rsidR="00F857E6" w:rsidRPr="00F57FA4" w:rsidRDefault="00F857E6" w:rsidP="006D31D9">
      <w:pPr>
        <w:rPr>
          <w:szCs w:val="20"/>
          <w:lang w:val="es-CO"/>
        </w:rPr>
      </w:pPr>
    </w:p>
    <w:p w14:paraId="059113A2" w14:textId="77777777" w:rsidR="00584C54" w:rsidRPr="00F57FA4" w:rsidRDefault="00831DB7" w:rsidP="006D31D9">
      <w:pPr>
        <w:pStyle w:val="ListParagraph"/>
        <w:numPr>
          <w:ilvl w:val="0"/>
          <w:numId w:val="20"/>
        </w:numPr>
        <w:snapToGrid w:val="0"/>
        <w:ind w:left="0" w:firstLine="0"/>
        <w:contextualSpacing w:val="0"/>
        <w:rPr>
          <w:szCs w:val="20"/>
          <w:lang w:val="es-CO"/>
        </w:rPr>
      </w:pPr>
      <w:r w:rsidRPr="00F57FA4">
        <w:rPr>
          <w:szCs w:val="20"/>
          <w:lang w:val="es-CO"/>
        </w:rPr>
        <w:t xml:space="preserve">En </w:t>
      </w:r>
      <w:r w:rsidR="000E1744" w:rsidRPr="00F57FA4">
        <w:rPr>
          <w:szCs w:val="20"/>
          <w:lang w:val="es-CO"/>
        </w:rPr>
        <w:t xml:space="preserve">la </w:t>
      </w:r>
      <w:r w:rsidR="00584C54" w:rsidRPr="00F57FA4">
        <w:rPr>
          <w:szCs w:val="20"/>
          <w:lang w:val="es-CO"/>
        </w:rPr>
        <w:t xml:space="preserve">Resolución de 13 de febrero de 2017, </w:t>
      </w:r>
      <w:r w:rsidR="00B57C3C">
        <w:rPr>
          <w:szCs w:val="20"/>
          <w:lang w:val="es-CO"/>
        </w:rPr>
        <w:t>esta Corte señaló que</w:t>
      </w:r>
      <w:r w:rsidR="00584C54" w:rsidRPr="00F57FA4">
        <w:rPr>
          <w:szCs w:val="20"/>
          <w:lang w:val="es-CO"/>
        </w:rPr>
        <w:t xml:space="preserve"> el Estado tiene el deber </w:t>
      </w:r>
      <w:r w:rsidR="00B57C3C">
        <w:rPr>
          <w:szCs w:val="20"/>
          <w:lang w:val="es-CO"/>
        </w:rPr>
        <w:t>procurar</w:t>
      </w:r>
      <w:r w:rsidR="00584C54" w:rsidRPr="00F57FA4">
        <w:rPr>
          <w:szCs w:val="20"/>
          <w:lang w:val="es-CO"/>
        </w:rPr>
        <w:t xml:space="preserve"> las condiciones de detención mínimas compatibles con la dignidad de la persona humana</w:t>
      </w:r>
      <w:r w:rsidR="00B57C3C">
        <w:rPr>
          <w:szCs w:val="20"/>
          <w:lang w:val="es-CO"/>
        </w:rPr>
        <w:t>;</w:t>
      </w:r>
      <w:r w:rsidR="00584C54" w:rsidRPr="00F57FA4">
        <w:rPr>
          <w:szCs w:val="20"/>
          <w:lang w:val="es-CO"/>
        </w:rPr>
        <w:t xml:space="preserve"> proveer personal capacitado y en número suficiente para asegurar el adecuado y efectivo </w:t>
      </w:r>
      <w:r w:rsidR="002F5B91" w:rsidRPr="00F57FA4">
        <w:rPr>
          <w:szCs w:val="20"/>
          <w:lang w:val="es-CO"/>
        </w:rPr>
        <w:t>control, custodia y vigilancia d</w:t>
      </w:r>
      <w:r w:rsidR="00584C54" w:rsidRPr="00F57FA4">
        <w:rPr>
          <w:szCs w:val="20"/>
          <w:lang w:val="es-CO"/>
        </w:rPr>
        <w:t>el centro penitenciario</w:t>
      </w:r>
      <w:r w:rsidR="009D32BC">
        <w:rPr>
          <w:rStyle w:val="FootnoteReference"/>
        </w:rPr>
        <w:footnoteReference w:id="32"/>
      </w:r>
      <w:r w:rsidR="00B77BE0">
        <w:rPr>
          <w:szCs w:val="20"/>
          <w:lang w:val="es-CO"/>
        </w:rPr>
        <w:t>.</w:t>
      </w:r>
    </w:p>
    <w:p w14:paraId="29AAD856" w14:textId="77777777" w:rsidR="00584C54" w:rsidRPr="00F57FA4" w:rsidRDefault="00584C54" w:rsidP="006D31D9">
      <w:pPr>
        <w:pStyle w:val="ListParagraph"/>
        <w:snapToGrid w:val="0"/>
        <w:ind w:left="0"/>
        <w:contextualSpacing w:val="0"/>
        <w:rPr>
          <w:szCs w:val="20"/>
          <w:lang w:val="es-CO"/>
        </w:rPr>
      </w:pPr>
    </w:p>
    <w:p w14:paraId="1A3A34B6" w14:textId="77777777" w:rsidR="00584C54" w:rsidRPr="00F57FA4" w:rsidRDefault="00584C54" w:rsidP="006D31D9">
      <w:pPr>
        <w:pStyle w:val="ListParagraph"/>
        <w:numPr>
          <w:ilvl w:val="0"/>
          <w:numId w:val="20"/>
        </w:numPr>
        <w:snapToGrid w:val="0"/>
        <w:ind w:left="0" w:firstLine="0"/>
        <w:contextualSpacing w:val="0"/>
        <w:rPr>
          <w:szCs w:val="20"/>
          <w:lang w:val="es-CO"/>
        </w:rPr>
      </w:pPr>
      <w:r w:rsidRPr="00F57FA4">
        <w:rPr>
          <w:szCs w:val="20"/>
          <w:lang w:val="es-CO"/>
        </w:rPr>
        <w:t xml:space="preserve">El </w:t>
      </w:r>
      <w:r w:rsidRPr="00F57FA4">
        <w:rPr>
          <w:b/>
          <w:i/>
          <w:szCs w:val="20"/>
          <w:lang w:val="es-CO"/>
        </w:rPr>
        <w:t>Estado</w:t>
      </w:r>
      <w:r w:rsidRPr="00F57FA4">
        <w:rPr>
          <w:szCs w:val="20"/>
          <w:lang w:val="es-CO"/>
        </w:rPr>
        <w:t xml:space="preserve"> en su informe de cumplimiento de las medidas provisionales, </w:t>
      </w:r>
      <w:r w:rsidR="00831DB7" w:rsidRPr="00F57FA4">
        <w:rPr>
          <w:szCs w:val="20"/>
          <w:lang w:val="es-CO"/>
        </w:rPr>
        <w:t>informó</w:t>
      </w:r>
      <w:r w:rsidRPr="00F57FA4">
        <w:rPr>
          <w:szCs w:val="20"/>
          <w:lang w:val="es-CO"/>
        </w:rPr>
        <w:t xml:space="preserve"> </w:t>
      </w:r>
      <w:r w:rsidR="002F5B91" w:rsidRPr="00F57FA4">
        <w:rPr>
          <w:szCs w:val="20"/>
          <w:lang w:val="es-CO"/>
        </w:rPr>
        <w:t xml:space="preserve">que </w:t>
      </w:r>
      <w:r w:rsidRPr="00F57FA4">
        <w:rPr>
          <w:szCs w:val="20"/>
          <w:lang w:val="es-CO"/>
        </w:rPr>
        <w:t xml:space="preserve">en </w:t>
      </w:r>
      <w:r w:rsidR="00831DB7" w:rsidRPr="00F57FA4">
        <w:rPr>
          <w:szCs w:val="20"/>
          <w:lang w:val="es-CO"/>
        </w:rPr>
        <w:t xml:space="preserve">el año </w:t>
      </w:r>
      <w:r w:rsidRPr="00F57FA4">
        <w:rPr>
          <w:szCs w:val="20"/>
          <w:lang w:val="es-CO"/>
        </w:rPr>
        <w:t xml:space="preserve">2016 fueron admitidos 200 </w:t>
      </w:r>
      <w:r w:rsidR="000E1744" w:rsidRPr="00F57FA4">
        <w:rPr>
          <w:szCs w:val="20"/>
          <w:lang w:val="es-CO"/>
        </w:rPr>
        <w:t>funcionarios</w:t>
      </w:r>
      <w:r w:rsidRPr="00F57FA4">
        <w:rPr>
          <w:szCs w:val="20"/>
          <w:lang w:val="es-CO"/>
        </w:rPr>
        <w:t xml:space="preserve"> por medio del concurso </w:t>
      </w:r>
      <w:r w:rsidR="002F5B91" w:rsidRPr="00F57FA4">
        <w:rPr>
          <w:szCs w:val="20"/>
          <w:lang w:val="es-CO"/>
        </w:rPr>
        <w:t xml:space="preserve">para </w:t>
      </w:r>
      <w:r w:rsidRPr="00F57FA4">
        <w:rPr>
          <w:szCs w:val="20"/>
          <w:lang w:val="es-CO"/>
        </w:rPr>
        <w:t>agentes penitenciarios.</w:t>
      </w:r>
      <w:r w:rsidR="00A62F55" w:rsidRPr="00F57FA4">
        <w:rPr>
          <w:szCs w:val="20"/>
          <w:lang w:val="es-CO"/>
        </w:rPr>
        <w:t xml:space="preserve"> </w:t>
      </w:r>
      <w:r w:rsidRPr="00F57FA4">
        <w:rPr>
          <w:szCs w:val="20"/>
          <w:lang w:val="es-CO"/>
        </w:rPr>
        <w:t>Actualmente</w:t>
      </w:r>
      <w:r w:rsidR="00831DB7" w:rsidRPr="00F57FA4">
        <w:rPr>
          <w:szCs w:val="20"/>
          <w:lang w:val="es-CO"/>
        </w:rPr>
        <w:t>,</w:t>
      </w:r>
      <w:r w:rsidRPr="00F57FA4">
        <w:rPr>
          <w:szCs w:val="20"/>
          <w:lang w:val="es-CO"/>
        </w:rPr>
        <w:t xml:space="preserve"> la SEAP está cumpliendo </w:t>
      </w:r>
      <w:r w:rsidR="009D32BC">
        <w:rPr>
          <w:szCs w:val="20"/>
          <w:lang w:val="es-CO"/>
        </w:rPr>
        <w:t>una orden</w:t>
      </w:r>
      <w:r w:rsidR="009D32BC" w:rsidRPr="00F57FA4">
        <w:rPr>
          <w:szCs w:val="20"/>
          <w:lang w:val="es-CO"/>
        </w:rPr>
        <w:t xml:space="preserve"> </w:t>
      </w:r>
      <w:r w:rsidRPr="00F57FA4">
        <w:rPr>
          <w:szCs w:val="20"/>
          <w:lang w:val="es-CO"/>
        </w:rPr>
        <w:t xml:space="preserve">judicial para el efectivo </w:t>
      </w:r>
      <w:r w:rsidRPr="00F57FA4">
        <w:rPr>
          <w:szCs w:val="20"/>
          <w:lang w:val="es-CO"/>
        </w:rPr>
        <w:lastRenderedPageBreak/>
        <w:t>ingreso de 442 candidatos para el cargo de Inspector de Seguridad y Administración Penitenciaria en el Estado de Río de Janeiro.</w:t>
      </w:r>
      <w:r w:rsidR="00B42322" w:rsidRPr="00F57FA4">
        <w:rPr>
          <w:rFonts w:eastAsia="Times New Roman" w:cs="Courier New"/>
          <w:b/>
          <w:color w:val="212121"/>
          <w:szCs w:val="20"/>
          <w:lang w:val="es-CO" w:eastAsia="es-CR"/>
        </w:rPr>
        <w:t xml:space="preserve"> </w:t>
      </w:r>
    </w:p>
    <w:p w14:paraId="4604D8F3" w14:textId="77777777" w:rsidR="00584C54" w:rsidRPr="00F57FA4" w:rsidRDefault="00584C54" w:rsidP="006D31D9">
      <w:pPr>
        <w:pStyle w:val="ListParagraph"/>
        <w:rPr>
          <w:szCs w:val="20"/>
          <w:lang w:val="es-CO"/>
        </w:rPr>
      </w:pPr>
    </w:p>
    <w:p w14:paraId="4303A9E9" w14:textId="3AE1500B" w:rsidR="00F75107" w:rsidRPr="00F57FA4" w:rsidRDefault="00831DB7" w:rsidP="006D31D9">
      <w:pPr>
        <w:pStyle w:val="ListParagraph"/>
        <w:numPr>
          <w:ilvl w:val="0"/>
          <w:numId w:val="20"/>
        </w:numPr>
        <w:snapToGrid w:val="0"/>
        <w:ind w:left="0" w:firstLine="0"/>
        <w:contextualSpacing w:val="0"/>
        <w:rPr>
          <w:szCs w:val="20"/>
          <w:lang w:val="es-CO"/>
        </w:rPr>
      </w:pPr>
      <w:r w:rsidRPr="00F57FA4">
        <w:rPr>
          <w:szCs w:val="20"/>
          <w:lang w:val="es-CO"/>
        </w:rPr>
        <w:t>Además</w:t>
      </w:r>
      <w:r w:rsidR="000E1744" w:rsidRPr="00F57FA4">
        <w:rPr>
          <w:szCs w:val="20"/>
          <w:lang w:val="es-CO"/>
        </w:rPr>
        <w:t>,</w:t>
      </w:r>
      <w:r w:rsidR="009D32BC">
        <w:rPr>
          <w:szCs w:val="20"/>
          <w:lang w:val="es-CO"/>
        </w:rPr>
        <w:t xml:space="preserve"> en lo que respecta al acceso a la educación, el Estado </w:t>
      </w:r>
      <w:r w:rsidR="000E1744" w:rsidRPr="00F57FA4">
        <w:rPr>
          <w:szCs w:val="20"/>
          <w:lang w:val="es-CO"/>
        </w:rPr>
        <w:t xml:space="preserve">sostuvo que </w:t>
      </w:r>
      <w:r w:rsidR="00A34FD4">
        <w:rPr>
          <w:szCs w:val="20"/>
          <w:lang w:val="es-CO"/>
        </w:rPr>
        <w:t xml:space="preserve">para diciembre de 2016, </w:t>
      </w:r>
      <w:r w:rsidR="000E1744" w:rsidRPr="00F57FA4">
        <w:rPr>
          <w:szCs w:val="20"/>
          <w:lang w:val="es-CO"/>
        </w:rPr>
        <w:t>l</w:t>
      </w:r>
      <w:r w:rsidRPr="00F57FA4">
        <w:rPr>
          <w:szCs w:val="20"/>
          <w:lang w:val="es-CO"/>
        </w:rPr>
        <w:t xml:space="preserve">a Escuela del IPPSC </w:t>
      </w:r>
      <w:r w:rsidR="00A34FD4">
        <w:rPr>
          <w:szCs w:val="20"/>
          <w:lang w:val="es-CO"/>
        </w:rPr>
        <w:t>contaba</w:t>
      </w:r>
      <w:r w:rsidR="00A34FD4" w:rsidRPr="00F57FA4">
        <w:rPr>
          <w:szCs w:val="20"/>
          <w:lang w:val="es-CO"/>
        </w:rPr>
        <w:t xml:space="preserve"> </w:t>
      </w:r>
      <w:r w:rsidRPr="00F57FA4">
        <w:rPr>
          <w:szCs w:val="20"/>
          <w:lang w:val="es-CO"/>
        </w:rPr>
        <w:t>con 20</w:t>
      </w:r>
      <w:r w:rsidR="009D32BC">
        <w:rPr>
          <w:szCs w:val="20"/>
          <w:lang w:val="es-CO"/>
        </w:rPr>
        <w:t>3</w:t>
      </w:r>
      <w:r w:rsidRPr="00F57FA4">
        <w:rPr>
          <w:szCs w:val="20"/>
          <w:lang w:val="es-CO"/>
        </w:rPr>
        <w:t xml:space="preserve"> internos</w:t>
      </w:r>
      <w:r w:rsidR="00A34FD4">
        <w:rPr>
          <w:szCs w:val="20"/>
          <w:lang w:val="es-CO"/>
        </w:rPr>
        <w:t xml:space="preserve"> inscritos</w:t>
      </w:r>
      <w:r w:rsidRPr="00F57FA4">
        <w:rPr>
          <w:szCs w:val="20"/>
          <w:lang w:val="es-CO"/>
        </w:rPr>
        <w:t>. De igual forma</w:t>
      </w:r>
      <w:r w:rsidR="0043219D">
        <w:rPr>
          <w:szCs w:val="20"/>
          <w:lang w:val="es-CO"/>
        </w:rPr>
        <w:t>,</w:t>
      </w:r>
      <w:r w:rsidRPr="00F57FA4">
        <w:rPr>
          <w:szCs w:val="20"/>
          <w:lang w:val="es-CO"/>
        </w:rPr>
        <w:t xml:space="preserve"> e</w:t>
      </w:r>
      <w:r w:rsidR="002F5B91" w:rsidRPr="00F57FA4">
        <w:rPr>
          <w:szCs w:val="20"/>
          <w:lang w:val="es-CO"/>
        </w:rPr>
        <w:t>l Estado afirmó</w:t>
      </w:r>
      <w:r w:rsidR="00584C54" w:rsidRPr="00F57FA4">
        <w:rPr>
          <w:szCs w:val="20"/>
          <w:lang w:val="es-CO"/>
        </w:rPr>
        <w:t xml:space="preserve"> que hay un Centro de </w:t>
      </w:r>
      <w:r w:rsidR="00A34FD4">
        <w:rPr>
          <w:szCs w:val="20"/>
          <w:lang w:val="es-CO"/>
        </w:rPr>
        <w:t>Formación</w:t>
      </w:r>
      <w:r w:rsidR="00A34FD4" w:rsidRPr="00F57FA4">
        <w:rPr>
          <w:szCs w:val="20"/>
          <w:lang w:val="es-CO"/>
        </w:rPr>
        <w:t xml:space="preserve"> </w:t>
      </w:r>
      <w:r w:rsidR="00584C54" w:rsidRPr="00F57FA4">
        <w:rPr>
          <w:szCs w:val="20"/>
          <w:lang w:val="es-CO"/>
        </w:rPr>
        <w:t xml:space="preserve">Profesional que ofrece cursos en áreas específicas, como informática, que actualmente cuenta con 30 </w:t>
      </w:r>
      <w:r w:rsidR="00A34FD4">
        <w:rPr>
          <w:szCs w:val="20"/>
          <w:lang w:val="es-CO"/>
        </w:rPr>
        <w:t>personas</w:t>
      </w:r>
      <w:r w:rsidR="00A34FD4" w:rsidRPr="00F57FA4">
        <w:rPr>
          <w:szCs w:val="20"/>
          <w:lang w:val="es-CO"/>
        </w:rPr>
        <w:t xml:space="preserve"> </w:t>
      </w:r>
      <w:r w:rsidR="00584C54" w:rsidRPr="00F57FA4">
        <w:rPr>
          <w:szCs w:val="20"/>
          <w:lang w:val="es-CO"/>
        </w:rPr>
        <w:t>inscrit</w:t>
      </w:r>
      <w:r w:rsidR="00A34FD4">
        <w:rPr>
          <w:szCs w:val="20"/>
          <w:lang w:val="es-CO"/>
        </w:rPr>
        <w:t>a</w:t>
      </w:r>
      <w:r w:rsidR="00584C54" w:rsidRPr="00F57FA4">
        <w:rPr>
          <w:szCs w:val="20"/>
          <w:lang w:val="es-CO"/>
        </w:rPr>
        <w:t xml:space="preserve">s. Para ayudar </w:t>
      </w:r>
      <w:r w:rsidRPr="00F57FA4">
        <w:rPr>
          <w:szCs w:val="20"/>
          <w:lang w:val="es-CO"/>
        </w:rPr>
        <w:t>en el</w:t>
      </w:r>
      <w:r w:rsidR="00584C54" w:rsidRPr="00F57FA4">
        <w:rPr>
          <w:szCs w:val="20"/>
          <w:lang w:val="es-CO"/>
        </w:rPr>
        <w:t xml:space="preserve"> proceso de resocialización</w:t>
      </w:r>
      <w:r w:rsidR="000E1744" w:rsidRPr="00F57FA4">
        <w:rPr>
          <w:szCs w:val="20"/>
          <w:lang w:val="es-CO"/>
        </w:rPr>
        <w:t xml:space="preserve"> se autorizó</w:t>
      </w:r>
      <w:r w:rsidRPr="00F57FA4">
        <w:rPr>
          <w:szCs w:val="20"/>
          <w:lang w:val="es-CO"/>
        </w:rPr>
        <w:t xml:space="preserve"> </w:t>
      </w:r>
      <w:r w:rsidR="00584C54" w:rsidRPr="00F57FA4">
        <w:rPr>
          <w:szCs w:val="20"/>
          <w:lang w:val="es-CO"/>
        </w:rPr>
        <w:t xml:space="preserve">el desempeño de "Trabajo </w:t>
      </w:r>
      <w:r w:rsidR="00EC7A4D" w:rsidRPr="00F57FA4">
        <w:rPr>
          <w:szCs w:val="20"/>
          <w:lang w:val="es-CO"/>
        </w:rPr>
        <w:t>Extra Muros</w:t>
      </w:r>
      <w:r w:rsidR="00584C54" w:rsidRPr="00F57FA4">
        <w:rPr>
          <w:szCs w:val="20"/>
          <w:lang w:val="es-CO"/>
        </w:rPr>
        <w:t>", es decir, fuera del Instituto.</w:t>
      </w:r>
    </w:p>
    <w:p w14:paraId="7E9A1BFE" w14:textId="77777777" w:rsidR="00F75107" w:rsidRPr="00F57FA4" w:rsidRDefault="00F75107" w:rsidP="006D31D9">
      <w:pPr>
        <w:pStyle w:val="ListParagraph"/>
        <w:rPr>
          <w:szCs w:val="20"/>
          <w:lang w:val="es-CO"/>
        </w:rPr>
      </w:pPr>
    </w:p>
    <w:p w14:paraId="7930E2FF" w14:textId="77777777" w:rsidR="00F75107" w:rsidRPr="00F57FA4" w:rsidRDefault="00F75107" w:rsidP="000E1744">
      <w:pPr>
        <w:pStyle w:val="ListParagraph"/>
        <w:numPr>
          <w:ilvl w:val="0"/>
          <w:numId w:val="20"/>
        </w:numPr>
        <w:snapToGrid w:val="0"/>
        <w:ind w:left="0" w:firstLine="0"/>
        <w:contextualSpacing w:val="0"/>
        <w:rPr>
          <w:szCs w:val="20"/>
          <w:lang w:val="es-CO"/>
        </w:rPr>
      </w:pPr>
      <w:r w:rsidRPr="00F57FA4">
        <w:rPr>
          <w:szCs w:val="20"/>
          <w:lang w:val="es-CO"/>
        </w:rPr>
        <w:t>En la audiencia de 19 de mayo de 2017</w:t>
      </w:r>
      <w:r w:rsidR="000E1744" w:rsidRPr="00F57FA4">
        <w:rPr>
          <w:szCs w:val="20"/>
          <w:lang w:val="es-CO"/>
        </w:rPr>
        <w:t>,</w:t>
      </w:r>
      <w:r w:rsidRPr="00F57FA4">
        <w:rPr>
          <w:szCs w:val="20"/>
          <w:lang w:val="es-CO"/>
        </w:rPr>
        <w:t xml:space="preserve"> el Estado sostuvo que </w:t>
      </w:r>
      <w:r w:rsidR="00BB53BF" w:rsidRPr="00F57FA4">
        <w:rPr>
          <w:szCs w:val="20"/>
          <w:lang w:val="es-CO"/>
        </w:rPr>
        <w:t>s</w:t>
      </w:r>
      <w:r w:rsidRPr="00F57FA4">
        <w:rPr>
          <w:lang w:val="es-CO"/>
        </w:rPr>
        <w:t xml:space="preserve">e han instalado aparatos de scanner corporales en casi todas las unidades </w:t>
      </w:r>
      <w:r w:rsidR="00D80680">
        <w:rPr>
          <w:lang w:val="es-CO"/>
        </w:rPr>
        <w:t xml:space="preserve">carcelarias de Rio de Janeiro </w:t>
      </w:r>
      <w:r w:rsidRPr="00F57FA4">
        <w:rPr>
          <w:lang w:val="es-CO"/>
        </w:rPr>
        <w:t xml:space="preserve">para eliminar </w:t>
      </w:r>
      <w:r w:rsidR="00A34FD4">
        <w:rPr>
          <w:lang w:val="es-CO"/>
        </w:rPr>
        <w:t>revisiones denigrantes</w:t>
      </w:r>
      <w:r w:rsidRPr="00F57FA4">
        <w:rPr>
          <w:lang w:val="es-CO"/>
        </w:rPr>
        <w:t>.</w:t>
      </w:r>
      <w:r w:rsidR="002F5B91" w:rsidRPr="00F57FA4">
        <w:rPr>
          <w:lang w:val="es-CO"/>
        </w:rPr>
        <w:t xml:space="preserve"> Se cuentan con pocos registros de ingreso de</w:t>
      </w:r>
      <w:r w:rsidRPr="00F57FA4">
        <w:rPr>
          <w:lang w:val="es-CO"/>
        </w:rPr>
        <w:t xml:space="preserve"> armas de fuego, aunque si hay </w:t>
      </w:r>
      <w:r w:rsidR="002F5B91" w:rsidRPr="00F57FA4">
        <w:rPr>
          <w:lang w:val="es-CO"/>
        </w:rPr>
        <w:t>presencia de</w:t>
      </w:r>
      <w:r w:rsidRPr="00F57FA4">
        <w:rPr>
          <w:lang w:val="es-CO"/>
        </w:rPr>
        <w:t xml:space="preserve"> drogas y también </w:t>
      </w:r>
      <w:r w:rsidR="00BB53BF" w:rsidRPr="00F57FA4">
        <w:rPr>
          <w:lang w:val="es-CO"/>
        </w:rPr>
        <w:t>se han encontrado algunos celulares</w:t>
      </w:r>
      <w:r w:rsidRPr="00F57FA4">
        <w:rPr>
          <w:lang w:val="es-CO"/>
        </w:rPr>
        <w:t xml:space="preserve">. </w:t>
      </w:r>
      <w:r w:rsidR="00A34FD4">
        <w:rPr>
          <w:lang w:val="es-CO"/>
        </w:rPr>
        <w:t>Afirmó que n</w:t>
      </w:r>
      <w:r w:rsidRPr="00F57FA4">
        <w:rPr>
          <w:lang w:val="es-CO"/>
        </w:rPr>
        <w:t>o hay registros recientes de con</w:t>
      </w:r>
      <w:r w:rsidR="00BB53BF" w:rsidRPr="00F57FA4">
        <w:rPr>
          <w:lang w:val="es-CO"/>
        </w:rPr>
        <w:t>flictos de facciones criminales</w:t>
      </w:r>
      <w:r w:rsidR="00A34FD4">
        <w:rPr>
          <w:lang w:val="es-CO"/>
        </w:rPr>
        <w:t>,</w:t>
      </w:r>
      <w:r w:rsidR="00BB53BF" w:rsidRPr="00F57FA4">
        <w:rPr>
          <w:lang w:val="es-CO"/>
        </w:rPr>
        <w:t xml:space="preserve"> ni</w:t>
      </w:r>
      <w:r w:rsidRPr="00F57FA4">
        <w:rPr>
          <w:lang w:val="es-CO"/>
        </w:rPr>
        <w:t xml:space="preserve"> motines que hagan que sea necesari</w:t>
      </w:r>
      <w:r w:rsidR="000E1744" w:rsidRPr="00F57FA4">
        <w:rPr>
          <w:lang w:val="es-CO"/>
        </w:rPr>
        <w:t xml:space="preserve">a la actuación del </w:t>
      </w:r>
      <w:r w:rsidRPr="00F57FA4">
        <w:rPr>
          <w:lang w:val="es-CO"/>
        </w:rPr>
        <w:t xml:space="preserve">grupo de intervención táctica. El abuso por parte de los agentes públicos es objeto de investigación por parte del Sistema Interno de Supervisión, al  mismo tiempo que se hacen los cargos ante el Ministerio Público. </w:t>
      </w:r>
    </w:p>
    <w:p w14:paraId="63813710" w14:textId="77777777" w:rsidR="00F75107" w:rsidRPr="00F57FA4" w:rsidRDefault="00F75107" w:rsidP="006D31D9">
      <w:pPr>
        <w:pStyle w:val="ListParagraph"/>
        <w:rPr>
          <w:szCs w:val="20"/>
          <w:lang w:val="es-CO"/>
        </w:rPr>
      </w:pPr>
    </w:p>
    <w:p w14:paraId="6F2A4656" w14:textId="77777777" w:rsidR="00F75107" w:rsidRPr="00F57FA4" w:rsidRDefault="00A34FD4" w:rsidP="006D31D9">
      <w:pPr>
        <w:pStyle w:val="ListParagraph"/>
        <w:numPr>
          <w:ilvl w:val="0"/>
          <w:numId w:val="20"/>
        </w:numPr>
        <w:snapToGrid w:val="0"/>
        <w:ind w:left="0" w:firstLine="0"/>
        <w:contextualSpacing w:val="0"/>
        <w:rPr>
          <w:szCs w:val="20"/>
          <w:lang w:val="es-CO"/>
        </w:rPr>
      </w:pPr>
      <w:r>
        <w:rPr>
          <w:szCs w:val="20"/>
          <w:lang w:val="es-CO"/>
        </w:rPr>
        <w:t>El Estado admitió</w:t>
      </w:r>
      <w:r w:rsidRPr="00F57FA4">
        <w:rPr>
          <w:szCs w:val="20"/>
          <w:lang w:val="es-CO"/>
        </w:rPr>
        <w:t xml:space="preserve"> </w:t>
      </w:r>
      <w:r w:rsidR="00A9094E" w:rsidRPr="00F57FA4">
        <w:rPr>
          <w:szCs w:val="20"/>
          <w:lang w:val="es-CO"/>
        </w:rPr>
        <w:t xml:space="preserve">que </w:t>
      </w:r>
      <w:r w:rsidR="000E1744" w:rsidRPr="00F57FA4">
        <w:rPr>
          <w:lang w:val="es-CO"/>
        </w:rPr>
        <w:t xml:space="preserve">las mejoras en </w:t>
      </w:r>
      <w:r w:rsidR="00A9094E" w:rsidRPr="00F57FA4">
        <w:rPr>
          <w:szCs w:val="20"/>
          <w:lang w:val="es-CO"/>
        </w:rPr>
        <w:t>l</w:t>
      </w:r>
      <w:r w:rsidR="00F75107" w:rsidRPr="00F57FA4">
        <w:rPr>
          <w:szCs w:val="20"/>
          <w:lang w:val="es-CO"/>
        </w:rPr>
        <w:t xml:space="preserve">as condiciones de vida </w:t>
      </w:r>
      <w:r w:rsidR="007B470B" w:rsidRPr="00F57FA4">
        <w:rPr>
          <w:szCs w:val="20"/>
          <w:lang w:val="es-CO"/>
        </w:rPr>
        <w:t xml:space="preserve">carcelaria </w:t>
      </w:r>
      <w:r w:rsidR="00F75107" w:rsidRPr="00F57FA4">
        <w:rPr>
          <w:szCs w:val="20"/>
          <w:lang w:val="es-CO"/>
        </w:rPr>
        <w:t>de los presos son p</w:t>
      </w:r>
      <w:r w:rsidR="00F75107" w:rsidRPr="00F57FA4">
        <w:rPr>
          <w:lang w:val="es-CO"/>
        </w:rPr>
        <w:t xml:space="preserve">oco perceptibles o hasta imperceptibles. </w:t>
      </w:r>
      <w:r w:rsidR="002F5B91" w:rsidRPr="00F57FA4">
        <w:rPr>
          <w:lang w:val="es-CO"/>
        </w:rPr>
        <w:t xml:space="preserve">El Estado </w:t>
      </w:r>
      <w:r w:rsidR="00C04105" w:rsidRPr="00F57FA4">
        <w:rPr>
          <w:lang w:val="es-CO"/>
        </w:rPr>
        <w:t>afirmó</w:t>
      </w:r>
      <w:r w:rsidR="00A62F55" w:rsidRPr="00F57FA4">
        <w:rPr>
          <w:lang w:val="es-CO"/>
        </w:rPr>
        <w:t xml:space="preserve"> que no</w:t>
      </w:r>
      <w:r w:rsidR="002F5B91" w:rsidRPr="00F57FA4">
        <w:rPr>
          <w:lang w:val="es-CO"/>
        </w:rPr>
        <w:t xml:space="preserve"> pretende</w:t>
      </w:r>
      <w:r w:rsidR="00F75107" w:rsidRPr="00F57FA4">
        <w:rPr>
          <w:lang w:val="es-CO"/>
        </w:rPr>
        <w:t xml:space="preserve"> de ninguna manera esconder la dura realidad del Sistema Penal y</w:t>
      </w:r>
      <w:r>
        <w:rPr>
          <w:lang w:val="es-CO"/>
        </w:rPr>
        <w:t xml:space="preserve"> que</w:t>
      </w:r>
      <w:r w:rsidR="00F75107" w:rsidRPr="00F57FA4">
        <w:rPr>
          <w:lang w:val="es-CO"/>
        </w:rPr>
        <w:t xml:space="preserve"> </w:t>
      </w:r>
      <w:r w:rsidR="002F5B91" w:rsidRPr="00F57FA4">
        <w:rPr>
          <w:lang w:val="es-CO"/>
        </w:rPr>
        <w:t>cada</w:t>
      </w:r>
      <w:r w:rsidR="00A62F55" w:rsidRPr="00F57FA4">
        <w:rPr>
          <w:lang w:val="es-CO"/>
        </w:rPr>
        <w:t xml:space="preserve"> d</w:t>
      </w:r>
      <w:r>
        <w:rPr>
          <w:lang w:val="es-CO"/>
        </w:rPr>
        <w:t>í</w:t>
      </w:r>
      <w:r w:rsidR="00A62F55" w:rsidRPr="00F57FA4">
        <w:rPr>
          <w:lang w:val="es-CO"/>
        </w:rPr>
        <w:t>a</w:t>
      </w:r>
      <w:r w:rsidR="002F5B91" w:rsidRPr="00F57FA4">
        <w:rPr>
          <w:lang w:val="es-CO"/>
        </w:rPr>
        <w:t xml:space="preserve"> le exige una</w:t>
      </w:r>
      <w:r w:rsidR="00F75107" w:rsidRPr="00F57FA4">
        <w:rPr>
          <w:lang w:val="es-CO"/>
        </w:rPr>
        <w:t xml:space="preserve"> </w:t>
      </w:r>
      <w:r w:rsidR="002F5B91" w:rsidRPr="00F57FA4">
        <w:rPr>
          <w:lang w:val="es-CO"/>
        </w:rPr>
        <w:t xml:space="preserve">mejor </w:t>
      </w:r>
      <w:r w:rsidR="00F75107" w:rsidRPr="00F57FA4">
        <w:rPr>
          <w:lang w:val="es-CO"/>
        </w:rPr>
        <w:t xml:space="preserve">actuación </w:t>
      </w:r>
      <w:r w:rsidR="002F5B91" w:rsidRPr="00F57FA4">
        <w:rPr>
          <w:lang w:val="es-CO"/>
        </w:rPr>
        <w:t>a</w:t>
      </w:r>
      <w:r w:rsidR="00F75107" w:rsidRPr="00F57FA4">
        <w:rPr>
          <w:lang w:val="es-CO"/>
        </w:rPr>
        <w:t xml:space="preserve"> una pluralidad de actores</w:t>
      </w:r>
      <w:r>
        <w:rPr>
          <w:lang w:val="es-CO"/>
        </w:rPr>
        <w:t xml:space="preserve"> así como</w:t>
      </w:r>
      <w:r w:rsidR="00F75107" w:rsidRPr="00F57FA4">
        <w:rPr>
          <w:lang w:val="es-CO"/>
        </w:rPr>
        <w:t xml:space="preserve"> la participación de la comunidad. Para poder cambiar</w:t>
      </w:r>
      <w:r w:rsidR="00C04105" w:rsidRPr="00F57FA4">
        <w:rPr>
          <w:lang w:val="es-CO"/>
        </w:rPr>
        <w:t xml:space="preserve"> esta situaci</w:t>
      </w:r>
      <w:r>
        <w:rPr>
          <w:lang w:val="es-CO"/>
        </w:rPr>
        <w:t>ó</w:t>
      </w:r>
      <w:r w:rsidR="00C04105" w:rsidRPr="00F57FA4">
        <w:rPr>
          <w:lang w:val="es-CO"/>
        </w:rPr>
        <w:t xml:space="preserve">n, </w:t>
      </w:r>
      <w:r w:rsidR="00BB53BF" w:rsidRPr="00F57FA4">
        <w:rPr>
          <w:lang w:val="es-CO"/>
        </w:rPr>
        <w:t>aseguró</w:t>
      </w:r>
      <w:r w:rsidR="00C04105" w:rsidRPr="00F57FA4">
        <w:rPr>
          <w:lang w:val="es-CO"/>
        </w:rPr>
        <w:t xml:space="preserve"> que</w:t>
      </w:r>
      <w:r w:rsidR="00F75107" w:rsidRPr="00F57FA4">
        <w:rPr>
          <w:lang w:val="es-CO"/>
        </w:rPr>
        <w:t xml:space="preserve"> hace </w:t>
      </w:r>
      <w:r w:rsidR="00BB53BF" w:rsidRPr="00F57FA4">
        <w:rPr>
          <w:lang w:val="es-CO"/>
        </w:rPr>
        <w:t>“</w:t>
      </w:r>
      <w:r w:rsidR="00F75107" w:rsidRPr="00F57FA4">
        <w:rPr>
          <w:lang w:val="es-CO"/>
        </w:rPr>
        <w:t>falta cooperación, transparencia y desarrollo de capacidades institucionales</w:t>
      </w:r>
      <w:r w:rsidR="00BB53BF" w:rsidRPr="00F57FA4">
        <w:rPr>
          <w:lang w:val="es-CO"/>
        </w:rPr>
        <w:t>”</w:t>
      </w:r>
      <w:r w:rsidR="00F75107" w:rsidRPr="00F57FA4">
        <w:rPr>
          <w:lang w:val="es-CO"/>
        </w:rPr>
        <w:t>.</w:t>
      </w:r>
      <w:r w:rsidR="004E41AC" w:rsidRPr="00F57FA4">
        <w:rPr>
          <w:b/>
          <w:lang w:val="es-CO"/>
        </w:rPr>
        <w:t xml:space="preserve"> </w:t>
      </w:r>
    </w:p>
    <w:p w14:paraId="43D9562A" w14:textId="77777777" w:rsidR="005379EC" w:rsidRPr="00F57FA4" w:rsidRDefault="005379EC" w:rsidP="006D31D9">
      <w:pPr>
        <w:pStyle w:val="ListParagraph"/>
        <w:rPr>
          <w:szCs w:val="20"/>
          <w:lang w:val="es-CO"/>
        </w:rPr>
      </w:pPr>
    </w:p>
    <w:p w14:paraId="03CB6C18" w14:textId="483C3075" w:rsidR="005379EC" w:rsidRPr="00F57FA4" w:rsidRDefault="00A34FD4" w:rsidP="006D31D9">
      <w:pPr>
        <w:pStyle w:val="ListParagraph"/>
        <w:numPr>
          <w:ilvl w:val="0"/>
          <w:numId w:val="20"/>
        </w:numPr>
        <w:snapToGrid w:val="0"/>
        <w:ind w:left="0" w:firstLine="0"/>
        <w:contextualSpacing w:val="0"/>
        <w:rPr>
          <w:szCs w:val="20"/>
          <w:lang w:val="es-CO"/>
        </w:rPr>
      </w:pPr>
      <w:r>
        <w:rPr>
          <w:szCs w:val="20"/>
          <w:lang w:val="es-CO"/>
        </w:rPr>
        <w:t>L</w:t>
      </w:r>
      <w:r w:rsidR="00584C54" w:rsidRPr="00F57FA4">
        <w:rPr>
          <w:szCs w:val="20"/>
          <w:lang w:val="es-CO"/>
        </w:rPr>
        <w:t xml:space="preserve">os </w:t>
      </w:r>
      <w:r w:rsidR="00584C54" w:rsidRPr="00F57FA4">
        <w:rPr>
          <w:b/>
          <w:i/>
          <w:szCs w:val="20"/>
          <w:lang w:val="es-CO"/>
        </w:rPr>
        <w:t>Representantes</w:t>
      </w:r>
      <w:r w:rsidR="00584C54" w:rsidRPr="00F57FA4">
        <w:rPr>
          <w:szCs w:val="20"/>
          <w:lang w:val="es-CO"/>
        </w:rPr>
        <w:t xml:space="preserve"> </w:t>
      </w:r>
      <w:r>
        <w:rPr>
          <w:szCs w:val="20"/>
          <w:lang w:val="es-CO"/>
        </w:rPr>
        <w:t xml:space="preserve">por su parte, </w:t>
      </w:r>
      <w:r w:rsidR="00BB53BF" w:rsidRPr="00F57FA4">
        <w:rPr>
          <w:szCs w:val="20"/>
          <w:lang w:val="es-CO"/>
        </w:rPr>
        <w:t xml:space="preserve">verificaron </w:t>
      </w:r>
      <w:r w:rsidR="007B470B" w:rsidRPr="00F57FA4">
        <w:rPr>
          <w:szCs w:val="20"/>
          <w:lang w:val="es-CO"/>
        </w:rPr>
        <w:t xml:space="preserve">que </w:t>
      </w:r>
      <w:r w:rsidR="005379EC" w:rsidRPr="00F57FA4">
        <w:rPr>
          <w:szCs w:val="20"/>
          <w:lang w:val="es-CO"/>
        </w:rPr>
        <w:t xml:space="preserve">hay 174 </w:t>
      </w:r>
      <w:r>
        <w:rPr>
          <w:szCs w:val="20"/>
          <w:lang w:val="es-CO"/>
        </w:rPr>
        <w:t>internos</w:t>
      </w:r>
      <w:r w:rsidRPr="00F57FA4">
        <w:rPr>
          <w:szCs w:val="20"/>
          <w:lang w:val="es-CO"/>
        </w:rPr>
        <w:t xml:space="preserve"> </w:t>
      </w:r>
      <w:r w:rsidR="005379EC" w:rsidRPr="00F57FA4">
        <w:rPr>
          <w:szCs w:val="20"/>
          <w:lang w:val="es-CO"/>
        </w:rPr>
        <w:t xml:space="preserve">autorizados </w:t>
      </w:r>
      <w:r>
        <w:rPr>
          <w:szCs w:val="20"/>
          <w:lang w:val="es-CO"/>
        </w:rPr>
        <w:t>para</w:t>
      </w:r>
      <w:r w:rsidR="005379EC" w:rsidRPr="00F57FA4">
        <w:rPr>
          <w:szCs w:val="20"/>
          <w:lang w:val="es-CO"/>
        </w:rPr>
        <w:t xml:space="preserve"> trabajar</w:t>
      </w:r>
      <w:r w:rsidR="003B6FEB">
        <w:rPr>
          <w:szCs w:val="20"/>
          <w:lang w:val="es-CO"/>
        </w:rPr>
        <w:t xml:space="preserve"> dentro del IPPSC</w:t>
      </w:r>
      <w:r>
        <w:rPr>
          <w:szCs w:val="20"/>
          <w:lang w:val="es-CO"/>
        </w:rPr>
        <w:t xml:space="preserve">. </w:t>
      </w:r>
      <w:r w:rsidR="00817CD2">
        <w:rPr>
          <w:szCs w:val="20"/>
          <w:lang w:val="es-CO"/>
        </w:rPr>
        <w:t>Estas personas</w:t>
      </w:r>
      <w:r w:rsidR="00A9094E" w:rsidRPr="00F57FA4">
        <w:rPr>
          <w:szCs w:val="20"/>
          <w:lang w:val="es-CO"/>
        </w:rPr>
        <w:t xml:space="preserve"> </w:t>
      </w:r>
      <w:r w:rsidR="005379EC" w:rsidRPr="00F57FA4">
        <w:rPr>
          <w:szCs w:val="20"/>
          <w:lang w:val="es-CO"/>
        </w:rPr>
        <w:t>realizan tareas</w:t>
      </w:r>
      <w:r w:rsidR="00817CD2">
        <w:rPr>
          <w:szCs w:val="20"/>
          <w:lang w:val="es-CO"/>
        </w:rPr>
        <w:t xml:space="preserve"> de</w:t>
      </w:r>
      <w:r w:rsidR="005379EC" w:rsidRPr="00F57FA4">
        <w:rPr>
          <w:szCs w:val="20"/>
          <w:lang w:val="es-CO"/>
        </w:rPr>
        <w:t xml:space="preserve"> limpieza, mantenimiento, distribución de </w:t>
      </w:r>
      <w:r w:rsidR="00A9094E" w:rsidRPr="00F57FA4">
        <w:rPr>
          <w:szCs w:val="20"/>
          <w:lang w:val="es-CO"/>
        </w:rPr>
        <w:t>comidas</w:t>
      </w:r>
      <w:r w:rsidR="005379EC" w:rsidRPr="00F57FA4">
        <w:rPr>
          <w:szCs w:val="20"/>
          <w:lang w:val="es-CO"/>
        </w:rPr>
        <w:t>, tratami</w:t>
      </w:r>
      <w:r w:rsidR="00A9094E" w:rsidRPr="00F57FA4">
        <w:rPr>
          <w:szCs w:val="20"/>
          <w:lang w:val="es-CO"/>
        </w:rPr>
        <w:t>ento de la basura, entre otros</w:t>
      </w:r>
      <w:r w:rsidR="00817CD2">
        <w:rPr>
          <w:szCs w:val="20"/>
          <w:lang w:val="es-CO"/>
        </w:rPr>
        <w:t>.</w:t>
      </w:r>
      <w:r w:rsidR="00A9094E" w:rsidRPr="00F57FA4">
        <w:rPr>
          <w:szCs w:val="20"/>
          <w:lang w:val="es-CO"/>
        </w:rPr>
        <w:t xml:space="preserve"> Sin embargo</w:t>
      </w:r>
      <w:r w:rsidR="00817CD2">
        <w:rPr>
          <w:szCs w:val="20"/>
          <w:lang w:val="es-CO"/>
        </w:rPr>
        <w:t>,</w:t>
      </w:r>
      <w:r w:rsidR="00A9094E" w:rsidRPr="00F57FA4">
        <w:rPr>
          <w:szCs w:val="20"/>
          <w:lang w:val="es-CO"/>
        </w:rPr>
        <w:t xml:space="preserve"> </w:t>
      </w:r>
      <w:r w:rsidR="00817CD2">
        <w:rPr>
          <w:szCs w:val="20"/>
          <w:lang w:val="es-CO"/>
        </w:rPr>
        <w:t>los representantes señala</w:t>
      </w:r>
      <w:r w:rsidR="004B66CB">
        <w:rPr>
          <w:szCs w:val="20"/>
          <w:lang w:val="es-CO"/>
        </w:rPr>
        <w:t>ro</w:t>
      </w:r>
      <w:r w:rsidR="00817CD2">
        <w:rPr>
          <w:szCs w:val="20"/>
          <w:lang w:val="es-CO"/>
        </w:rPr>
        <w:t xml:space="preserve">n que </w:t>
      </w:r>
      <w:r w:rsidR="004B66CB">
        <w:rPr>
          <w:szCs w:val="20"/>
          <w:lang w:val="es-CO"/>
        </w:rPr>
        <w:t xml:space="preserve">esos internos </w:t>
      </w:r>
      <w:r w:rsidR="00817CD2">
        <w:rPr>
          <w:szCs w:val="20"/>
          <w:lang w:val="es-CO"/>
        </w:rPr>
        <w:t xml:space="preserve">no </w:t>
      </w:r>
      <w:r w:rsidR="00A9094E" w:rsidRPr="00F57FA4">
        <w:rPr>
          <w:szCs w:val="20"/>
          <w:lang w:val="es-CO"/>
        </w:rPr>
        <w:t>cuenta</w:t>
      </w:r>
      <w:r w:rsidR="00817CD2">
        <w:rPr>
          <w:szCs w:val="20"/>
          <w:lang w:val="es-CO"/>
        </w:rPr>
        <w:t>n</w:t>
      </w:r>
      <w:r w:rsidR="00A9094E" w:rsidRPr="00F57FA4">
        <w:rPr>
          <w:szCs w:val="20"/>
          <w:lang w:val="es-CO"/>
        </w:rPr>
        <w:t xml:space="preserve"> </w:t>
      </w:r>
      <w:r w:rsidR="00817CD2">
        <w:rPr>
          <w:szCs w:val="20"/>
          <w:lang w:val="es-CO"/>
        </w:rPr>
        <w:t xml:space="preserve">con </w:t>
      </w:r>
      <w:r w:rsidR="00A9094E" w:rsidRPr="00F57FA4">
        <w:rPr>
          <w:szCs w:val="20"/>
          <w:lang w:val="es-CO"/>
        </w:rPr>
        <w:t>equipo</w:t>
      </w:r>
      <w:r w:rsidR="00D80680">
        <w:rPr>
          <w:szCs w:val="20"/>
          <w:lang w:val="es-CO"/>
        </w:rPr>
        <w:t>s</w:t>
      </w:r>
      <w:r w:rsidR="00A9094E" w:rsidRPr="00F57FA4">
        <w:rPr>
          <w:szCs w:val="20"/>
          <w:lang w:val="es-CO"/>
        </w:rPr>
        <w:t xml:space="preserve"> </w:t>
      </w:r>
      <w:r w:rsidR="00D80680">
        <w:rPr>
          <w:szCs w:val="20"/>
          <w:lang w:val="es-CO"/>
        </w:rPr>
        <w:t xml:space="preserve">básicos </w:t>
      </w:r>
      <w:r w:rsidR="00A9094E" w:rsidRPr="00F57FA4">
        <w:rPr>
          <w:szCs w:val="20"/>
          <w:lang w:val="es-CO"/>
        </w:rPr>
        <w:t>de</w:t>
      </w:r>
      <w:r w:rsidR="005379EC" w:rsidRPr="00F57FA4">
        <w:rPr>
          <w:szCs w:val="20"/>
          <w:lang w:val="es-CO"/>
        </w:rPr>
        <w:t xml:space="preserve"> seguridad</w:t>
      </w:r>
      <w:r w:rsidR="00E36204">
        <w:rPr>
          <w:szCs w:val="20"/>
          <w:lang w:val="es-CO"/>
        </w:rPr>
        <w:t xml:space="preserve"> –como botas o guantes–</w:t>
      </w:r>
      <w:r w:rsidR="005379EC" w:rsidRPr="00F57FA4">
        <w:rPr>
          <w:szCs w:val="20"/>
          <w:lang w:val="es-CO"/>
        </w:rPr>
        <w:t xml:space="preserve"> </w:t>
      </w:r>
      <w:r w:rsidR="00A9094E" w:rsidRPr="00F57FA4">
        <w:rPr>
          <w:szCs w:val="20"/>
          <w:lang w:val="es-CO"/>
        </w:rPr>
        <w:t>para la</w:t>
      </w:r>
      <w:r w:rsidR="005379EC" w:rsidRPr="00F57FA4">
        <w:rPr>
          <w:szCs w:val="20"/>
          <w:lang w:val="es-CO"/>
        </w:rPr>
        <w:t xml:space="preserve"> realización de </w:t>
      </w:r>
      <w:r w:rsidR="007B470B" w:rsidRPr="00F57FA4">
        <w:rPr>
          <w:szCs w:val="20"/>
          <w:lang w:val="es-CO"/>
        </w:rPr>
        <w:t>es</w:t>
      </w:r>
      <w:r w:rsidR="005379EC" w:rsidRPr="00F57FA4">
        <w:rPr>
          <w:szCs w:val="20"/>
          <w:lang w:val="es-CO"/>
        </w:rPr>
        <w:t>os trabajos</w:t>
      </w:r>
      <w:r w:rsidR="002F5B91" w:rsidRPr="00F57FA4">
        <w:rPr>
          <w:szCs w:val="20"/>
          <w:lang w:val="es-CO"/>
        </w:rPr>
        <w:t>.</w:t>
      </w:r>
      <w:r w:rsidR="00817CD2">
        <w:rPr>
          <w:szCs w:val="20"/>
          <w:lang w:val="es-CO"/>
        </w:rPr>
        <w:t xml:space="preserve"> Cita</w:t>
      </w:r>
      <w:r w:rsidR="004B66CB">
        <w:rPr>
          <w:szCs w:val="20"/>
          <w:lang w:val="es-CO"/>
        </w:rPr>
        <w:t>ro</w:t>
      </w:r>
      <w:r w:rsidR="00817CD2">
        <w:rPr>
          <w:szCs w:val="20"/>
          <w:lang w:val="es-CO"/>
        </w:rPr>
        <w:t>n como ejemplo el caso de C</w:t>
      </w:r>
      <w:r w:rsidR="004B66CB">
        <w:rPr>
          <w:szCs w:val="20"/>
          <w:lang w:val="es-CO"/>
        </w:rPr>
        <w:t>.E.D.S.</w:t>
      </w:r>
      <w:r w:rsidR="00817CD2">
        <w:rPr>
          <w:szCs w:val="20"/>
          <w:lang w:val="es-CO"/>
        </w:rPr>
        <w:t xml:space="preserve">, a quien le fue amputada su pierna </w:t>
      </w:r>
      <w:r w:rsidR="00923755">
        <w:rPr>
          <w:szCs w:val="20"/>
          <w:lang w:val="es-CO"/>
        </w:rPr>
        <w:t>como consecuencia de</w:t>
      </w:r>
      <w:r w:rsidR="00817CD2">
        <w:rPr>
          <w:szCs w:val="20"/>
          <w:lang w:val="es-CO"/>
        </w:rPr>
        <w:t xml:space="preserve"> una infección adquirida </w:t>
      </w:r>
      <w:r w:rsidR="00923755">
        <w:rPr>
          <w:szCs w:val="20"/>
          <w:lang w:val="es-CO"/>
        </w:rPr>
        <w:t>por</w:t>
      </w:r>
      <w:r w:rsidR="00817CD2">
        <w:rPr>
          <w:szCs w:val="20"/>
          <w:lang w:val="es-CO"/>
        </w:rPr>
        <w:t xml:space="preserve"> manipula</w:t>
      </w:r>
      <w:r w:rsidR="00923755">
        <w:rPr>
          <w:szCs w:val="20"/>
          <w:lang w:val="es-CO"/>
        </w:rPr>
        <w:t xml:space="preserve">r </w:t>
      </w:r>
      <w:r w:rsidR="00817CD2">
        <w:rPr>
          <w:szCs w:val="20"/>
          <w:lang w:val="es-CO"/>
        </w:rPr>
        <w:t>basura</w:t>
      </w:r>
      <w:r w:rsidR="003716B5">
        <w:rPr>
          <w:szCs w:val="20"/>
          <w:lang w:val="es-CO"/>
        </w:rPr>
        <w:t xml:space="preserve"> </w:t>
      </w:r>
      <w:r w:rsidR="00923755">
        <w:rPr>
          <w:szCs w:val="20"/>
          <w:lang w:val="es-CO"/>
        </w:rPr>
        <w:t>sin calzado adecuado</w:t>
      </w:r>
      <w:r w:rsidR="00817CD2">
        <w:rPr>
          <w:szCs w:val="20"/>
          <w:lang w:val="es-CO"/>
        </w:rPr>
        <w:t xml:space="preserve">. </w:t>
      </w:r>
    </w:p>
    <w:p w14:paraId="2DFE783C" w14:textId="21498F27" w:rsidR="005379EC" w:rsidRPr="00F57FA4" w:rsidRDefault="00C80A66" w:rsidP="006D31D9">
      <w:pPr>
        <w:pStyle w:val="ListParagraph"/>
        <w:rPr>
          <w:szCs w:val="20"/>
          <w:lang w:val="es-CO"/>
        </w:rPr>
      </w:pPr>
      <w:r>
        <w:rPr>
          <w:szCs w:val="20"/>
          <w:lang w:val="es-CO"/>
        </w:rPr>
        <w:t xml:space="preserve"> </w:t>
      </w:r>
    </w:p>
    <w:p w14:paraId="16577363" w14:textId="19965BFF" w:rsidR="005379EC" w:rsidRPr="00F57FA4" w:rsidRDefault="005379EC" w:rsidP="006D31D9">
      <w:pPr>
        <w:pStyle w:val="ListParagraph"/>
        <w:numPr>
          <w:ilvl w:val="0"/>
          <w:numId w:val="20"/>
        </w:numPr>
        <w:snapToGrid w:val="0"/>
        <w:ind w:left="0" w:firstLine="0"/>
        <w:contextualSpacing w:val="0"/>
        <w:rPr>
          <w:szCs w:val="20"/>
          <w:lang w:val="es-CO"/>
        </w:rPr>
      </w:pPr>
      <w:r w:rsidRPr="00F57FA4">
        <w:rPr>
          <w:szCs w:val="20"/>
          <w:lang w:val="es-CO"/>
        </w:rPr>
        <w:t xml:space="preserve">En cuanto a </w:t>
      </w:r>
      <w:r w:rsidR="007B470B" w:rsidRPr="00F57FA4">
        <w:rPr>
          <w:szCs w:val="20"/>
          <w:lang w:val="es-CO"/>
        </w:rPr>
        <w:t xml:space="preserve">la </w:t>
      </w:r>
      <w:r w:rsidRPr="00F57FA4">
        <w:rPr>
          <w:szCs w:val="20"/>
          <w:lang w:val="es-CO"/>
        </w:rPr>
        <w:t>seguridad y disciplina, se informó que la unidad funciona con</w:t>
      </w:r>
      <w:r w:rsidR="00E36204">
        <w:rPr>
          <w:szCs w:val="20"/>
          <w:lang w:val="es-CO"/>
        </w:rPr>
        <w:t xml:space="preserve"> tan solo</w:t>
      </w:r>
      <w:r w:rsidR="004B66CB">
        <w:rPr>
          <w:szCs w:val="20"/>
          <w:lang w:val="es-CO"/>
        </w:rPr>
        <w:t xml:space="preserve"> ocho</w:t>
      </w:r>
      <w:r w:rsidRPr="00F57FA4">
        <w:rPr>
          <w:szCs w:val="20"/>
          <w:lang w:val="es-CO"/>
        </w:rPr>
        <w:t xml:space="preserve"> </w:t>
      </w:r>
      <w:r w:rsidR="00A9094E" w:rsidRPr="00F57FA4">
        <w:rPr>
          <w:szCs w:val="20"/>
          <w:lang w:val="es-CO"/>
        </w:rPr>
        <w:t>Inspectores</w:t>
      </w:r>
      <w:r w:rsidRPr="00F57FA4">
        <w:rPr>
          <w:szCs w:val="20"/>
          <w:lang w:val="es-CO"/>
        </w:rPr>
        <w:t xml:space="preserve"> de Seguridad y Administración Penitenciaria </w:t>
      </w:r>
      <w:r w:rsidR="00E36204">
        <w:rPr>
          <w:szCs w:val="20"/>
          <w:lang w:val="es-CO"/>
        </w:rPr>
        <w:t>por turno</w:t>
      </w:r>
      <w:r w:rsidRPr="00F57FA4">
        <w:rPr>
          <w:szCs w:val="20"/>
          <w:lang w:val="es-CO"/>
        </w:rPr>
        <w:t xml:space="preserve">, </w:t>
      </w:r>
      <w:r w:rsidR="002F5B91" w:rsidRPr="00F57FA4">
        <w:rPr>
          <w:szCs w:val="20"/>
          <w:lang w:val="es-CO"/>
        </w:rPr>
        <w:t>organizados de la siguiente manera:</w:t>
      </w:r>
      <w:r w:rsidRPr="00F57FA4">
        <w:rPr>
          <w:szCs w:val="20"/>
          <w:lang w:val="es-CO"/>
        </w:rPr>
        <w:t xml:space="preserve"> </w:t>
      </w:r>
      <w:r w:rsidR="00D80680">
        <w:rPr>
          <w:szCs w:val="20"/>
          <w:lang w:val="es-CO"/>
        </w:rPr>
        <w:t>2</w:t>
      </w:r>
      <w:r w:rsidR="00D80680" w:rsidRPr="00F57FA4">
        <w:rPr>
          <w:szCs w:val="20"/>
          <w:lang w:val="es-CO"/>
        </w:rPr>
        <w:t xml:space="preserve"> </w:t>
      </w:r>
      <w:r w:rsidR="00E36204">
        <w:rPr>
          <w:szCs w:val="20"/>
          <w:lang w:val="es-CO"/>
        </w:rPr>
        <w:t>en la entrada</w:t>
      </w:r>
      <w:r w:rsidR="002F5B91" w:rsidRPr="00F57FA4">
        <w:rPr>
          <w:szCs w:val="20"/>
          <w:lang w:val="es-CO"/>
        </w:rPr>
        <w:t xml:space="preserve">, 2 en la inspectoría y </w:t>
      </w:r>
      <w:r w:rsidRPr="00F57FA4">
        <w:rPr>
          <w:szCs w:val="20"/>
          <w:lang w:val="es-CO"/>
        </w:rPr>
        <w:t>4 agentes para cubrir los puestos de seguridad</w:t>
      </w:r>
      <w:r w:rsidR="00E36204">
        <w:rPr>
          <w:szCs w:val="20"/>
          <w:lang w:val="es-CO"/>
        </w:rPr>
        <w:t xml:space="preserve"> de la unidad</w:t>
      </w:r>
      <w:r w:rsidRPr="00F57FA4">
        <w:rPr>
          <w:szCs w:val="20"/>
          <w:lang w:val="es-CO"/>
        </w:rPr>
        <w:t>.</w:t>
      </w:r>
      <w:r w:rsidR="00015B44">
        <w:rPr>
          <w:szCs w:val="20"/>
          <w:lang w:val="es-CO"/>
        </w:rPr>
        <w:t xml:space="preserve"> Sin embargo, los representantes señala</w:t>
      </w:r>
      <w:r w:rsidR="004B66CB">
        <w:rPr>
          <w:szCs w:val="20"/>
          <w:lang w:val="es-CO"/>
        </w:rPr>
        <w:t>ro</w:t>
      </w:r>
      <w:r w:rsidR="00015B44">
        <w:rPr>
          <w:szCs w:val="20"/>
          <w:lang w:val="es-CO"/>
        </w:rPr>
        <w:t>n que en ocasiones, por diversos motivos, únicamente un agente queda como responsable del pabellón “B”, y otro para todo el resto del centro penal.</w:t>
      </w:r>
      <w:r w:rsidRPr="00F57FA4">
        <w:rPr>
          <w:szCs w:val="20"/>
          <w:lang w:val="es-CO"/>
        </w:rPr>
        <w:t xml:space="preserve"> </w:t>
      </w:r>
    </w:p>
    <w:p w14:paraId="33F24B6C" w14:textId="77777777" w:rsidR="005379EC" w:rsidRPr="00F57FA4" w:rsidRDefault="005379EC" w:rsidP="006D31D9">
      <w:pPr>
        <w:pStyle w:val="ListParagraph"/>
        <w:rPr>
          <w:szCs w:val="20"/>
          <w:lang w:val="es-CO"/>
        </w:rPr>
      </w:pPr>
    </w:p>
    <w:p w14:paraId="71443963" w14:textId="6E677D9B" w:rsidR="005379EC" w:rsidRPr="00D5452F" w:rsidRDefault="00C80A66" w:rsidP="00D5452F">
      <w:pPr>
        <w:pStyle w:val="ListParagraph"/>
        <w:numPr>
          <w:ilvl w:val="0"/>
          <w:numId w:val="20"/>
        </w:numPr>
        <w:snapToGrid w:val="0"/>
        <w:ind w:left="0" w:firstLine="0"/>
        <w:contextualSpacing w:val="0"/>
        <w:rPr>
          <w:szCs w:val="20"/>
          <w:lang w:val="es-CO"/>
        </w:rPr>
      </w:pPr>
      <w:r>
        <w:rPr>
          <w:szCs w:val="20"/>
          <w:lang w:val="es-CO"/>
        </w:rPr>
        <w:t>Por otro lado, s</w:t>
      </w:r>
      <w:r w:rsidR="005379EC" w:rsidRPr="00F57FA4">
        <w:rPr>
          <w:szCs w:val="20"/>
          <w:lang w:val="es-CO"/>
        </w:rPr>
        <w:t xml:space="preserve">e </w:t>
      </w:r>
      <w:r w:rsidR="00C04105" w:rsidRPr="00F57FA4">
        <w:rPr>
          <w:szCs w:val="20"/>
          <w:lang w:val="es-CO"/>
        </w:rPr>
        <w:t>reportó</w:t>
      </w:r>
      <w:r w:rsidR="005379EC" w:rsidRPr="00F57FA4">
        <w:rPr>
          <w:szCs w:val="20"/>
          <w:lang w:val="es-CO"/>
        </w:rPr>
        <w:t xml:space="preserve"> la inexistencia de </w:t>
      </w:r>
      <w:r w:rsidR="00A9094E" w:rsidRPr="00F57FA4">
        <w:rPr>
          <w:szCs w:val="20"/>
          <w:lang w:val="es-CO"/>
        </w:rPr>
        <w:t>un</w:t>
      </w:r>
      <w:r w:rsidR="005379EC" w:rsidRPr="00F57FA4">
        <w:rPr>
          <w:szCs w:val="20"/>
          <w:lang w:val="es-CO"/>
        </w:rPr>
        <w:t xml:space="preserve"> plan de evacuación en caso de </w:t>
      </w:r>
      <w:r w:rsidR="00A9094E" w:rsidRPr="00F57FA4">
        <w:rPr>
          <w:szCs w:val="20"/>
          <w:lang w:val="es-CO"/>
        </w:rPr>
        <w:t>incendios,</w:t>
      </w:r>
      <w:r w:rsidR="005379EC" w:rsidRPr="00F57FA4">
        <w:rPr>
          <w:szCs w:val="20"/>
          <w:lang w:val="es-CO"/>
        </w:rPr>
        <w:t xml:space="preserve"> además de la falta de extintores disponibles. </w:t>
      </w:r>
      <w:r w:rsidR="00015B44" w:rsidRPr="00D5452F">
        <w:rPr>
          <w:szCs w:val="20"/>
          <w:lang w:val="es-CO"/>
        </w:rPr>
        <w:t>En audiencia pública de 19 de mayo de 2017, l</w:t>
      </w:r>
      <w:r w:rsidR="00A9094E" w:rsidRPr="00D5452F">
        <w:rPr>
          <w:szCs w:val="20"/>
          <w:lang w:val="es-CO"/>
        </w:rPr>
        <w:t xml:space="preserve">os </w:t>
      </w:r>
      <w:r w:rsidR="00B67D57" w:rsidRPr="00D5452F">
        <w:rPr>
          <w:szCs w:val="20"/>
          <w:lang w:val="es-CO"/>
        </w:rPr>
        <w:t>r</w:t>
      </w:r>
      <w:r w:rsidR="007340B9" w:rsidRPr="00D5452F">
        <w:rPr>
          <w:szCs w:val="20"/>
          <w:lang w:val="es-CO"/>
        </w:rPr>
        <w:t xml:space="preserve">epresentantes </w:t>
      </w:r>
      <w:r w:rsidR="00A9094E" w:rsidRPr="00D5452F">
        <w:rPr>
          <w:szCs w:val="20"/>
          <w:lang w:val="es-CO"/>
        </w:rPr>
        <w:t>argumentaron</w:t>
      </w:r>
      <w:r w:rsidR="005379EC" w:rsidRPr="00D5452F">
        <w:rPr>
          <w:szCs w:val="20"/>
          <w:lang w:val="es-CO"/>
        </w:rPr>
        <w:t xml:space="preserve"> que </w:t>
      </w:r>
      <w:r w:rsidR="007340B9" w:rsidRPr="00D5452F">
        <w:rPr>
          <w:szCs w:val="20"/>
          <w:lang w:val="es-CO"/>
        </w:rPr>
        <w:t xml:space="preserve">no es cierto el hecho de que </w:t>
      </w:r>
      <w:r w:rsidR="005379EC" w:rsidRPr="00D5452F">
        <w:rPr>
          <w:szCs w:val="20"/>
          <w:lang w:val="es-CO"/>
        </w:rPr>
        <w:t xml:space="preserve">los internos del IPPSC salen a trabajar durante el día y regresan </w:t>
      </w:r>
      <w:r w:rsidR="00A9094E" w:rsidRPr="00D5452F">
        <w:rPr>
          <w:szCs w:val="20"/>
          <w:lang w:val="es-CO"/>
        </w:rPr>
        <w:t xml:space="preserve">en </w:t>
      </w:r>
      <w:r w:rsidR="005379EC" w:rsidRPr="00D5452F">
        <w:rPr>
          <w:szCs w:val="20"/>
          <w:lang w:val="es-CO"/>
        </w:rPr>
        <w:t>l</w:t>
      </w:r>
      <w:r w:rsidR="007340B9" w:rsidRPr="00D5452F">
        <w:rPr>
          <w:szCs w:val="20"/>
          <w:lang w:val="es-CO"/>
        </w:rPr>
        <w:t>a noche</w:t>
      </w:r>
      <w:r w:rsidR="005379EC" w:rsidRPr="00D5452F">
        <w:rPr>
          <w:szCs w:val="20"/>
          <w:lang w:val="es-CO"/>
        </w:rPr>
        <w:t>.</w:t>
      </w:r>
      <w:r w:rsidR="00B42322" w:rsidRPr="00D5452F">
        <w:rPr>
          <w:rFonts w:eastAsia="Times New Roman" w:cs="Courier New"/>
          <w:b/>
          <w:color w:val="212121"/>
          <w:szCs w:val="20"/>
          <w:lang w:val="es-CO" w:eastAsia="es-CR"/>
        </w:rPr>
        <w:t xml:space="preserve"> </w:t>
      </w:r>
    </w:p>
    <w:p w14:paraId="615A6BEC" w14:textId="77777777" w:rsidR="005379EC" w:rsidRPr="00F57FA4" w:rsidRDefault="005379EC" w:rsidP="006D31D9">
      <w:pPr>
        <w:pStyle w:val="ListParagraph"/>
        <w:rPr>
          <w:szCs w:val="20"/>
          <w:lang w:val="es-CO"/>
        </w:rPr>
      </w:pPr>
    </w:p>
    <w:p w14:paraId="64EB185F" w14:textId="134A9CC5" w:rsidR="007A60F2" w:rsidRPr="00F57FA4" w:rsidRDefault="005379EC" w:rsidP="006D31D9">
      <w:pPr>
        <w:pStyle w:val="ListParagraph"/>
        <w:numPr>
          <w:ilvl w:val="0"/>
          <w:numId w:val="20"/>
        </w:numPr>
        <w:snapToGrid w:val="0"/>
        <w:ind w:left="0" w:firstLine="0"/>
        <w:contextualSpacing w:val="0"/>
        <w:rPr>
          <w:szCs w:val="20"/>
          <w:lang w:val="es-CO"/>
        </w:rPr>
      </w:pPr>
      <w:r w:rsidRPr="00F57FA4">
        <w:rPr>
          <w:szCs w:val="20"/>
          <w:lang w:val="es-CO"/>
        </w:rPr>
        <w:t xml:space="preserve">El </w:t>
      </w:r>
      <w:r w:rsidR="006D31D9" w:rsidRPr="00F57FA4">
        <w:rPr>
          <w:szCs w:val="20"/>
          <w:lang w:val="es-CO"/>
        </w:rPr>
        <w:t>MEPCT-RJ</w:t>
      </w:r>
      <w:r w:rsidRPr="00F57FA4">
        <w:rPr>
          <w:szCs w:val="20"/>
          <w:lang w:val="es-CO"/>
        </w:rPr>
        <w:t xml:space="preserve"> informó</w:t>
      </w:r>
      <w:r w:rsidR="007340B9" w:rsidRPr="00F57FA4">
        <w:rPr>
          <w:szCs w:val="20"/>
          <w:lang w:val="es-CO"/>
        </w:rPr>
        <w:t xml:space="preserve"> </w:t>
      </w:r>
      <w:r w:rsidRPr="00F57FA4">
        <w:rPr>
          <w:szCs w:val="20"/>
          <w:lang w:val="es-CO"/>
        </w:rPr>
        <w:t>que</w:t>
      </w:r>
      <w:r w:rsidR="007417FE">
        <w:rPr>
          <w:szCs w:val="20"/>
          <w:lang w:val="es-CO"/>
        </w:rPr>
        <w:t xml:space="preserve">, a pesar de que la ley de Ejecución Penal (Ley </w:t>
      </w:r>
      <w:r w:rsidR="004B66CB">
        <w:rPr>
          <w:szCs w:val="20"/>
          <w:lang w:val="es-CO"/>
        </w:rPr>
        <w:t>N</w:t>
      </w:r>
      <w:r w:rsidR="007417FE">
        <w:rPr>
          <w:szCs w:val="20"/>
          <w:lang w:val="es-CO"/>
        </w:rPr>
        <w:t xml:space="preserve">o. 7.210/84) establece que personas privadas de libertad en régimen semiabierto –como las que se encuentran en el IPPSC– tienen derecho a trabajar, realizar cursos de profesionalización, o acceder a educación formal, esto no ocurre en el IPPSC. Por el contrario, el informe señala que “la situación de ocio [de los internos] </w:t>
      </w:r>
      <w:r w:rsidR="007340B9" w:rsidRPr="00F57FA4">
        <w:rPr>
          <w:szCs w:val="20"/>
          <w:lang w:val="es-CO"/>
        </w:rPr>
        <w:t>es constante en la unidad</w:t>
      </w:r>
      <w:r w:rsidRPr="00F57FA4">
        <w:rPr>
          <w:szCs w:val="20"/>
          <w:lang w:val="es-CO"/>
        </w:rPr>
        <w:t>.</w:t>
      </w:r>
      <w:r w:rsidR="007417FE">
        <w:rPr>
          <w:szCs w:val="20"/>
          <w:lang w:val="es-CO"/>
        </w:rPr>
        <w:t>”</w:t>
      </w:r>
      <w:r w:rsidRPr="00F57FA4">
        <w:rPr>
          <w:szCs w:val="20"/>
          <w:lang w:val="es-CO"/>
        </w:rPr>
        <w:t xml:space="preserve"> </w:t>
      </w:r>
      <w:r w:rsidR="007417FE">
        <w:rPr>
          <w:szCs w:val="20"/>
          <w:lang w:val="es-CO"/>
        </w:rPr>
        <w:t>Agreg</w:t>
      </w:r>
      <w:r w:rsidR="00693730">
        <w:rPr>
          <w:szCs w:val="20"/>
          <w:lang w:val="es-CO"/>
        </w:rPr>
        <w:t>ó</w:t>
      </w:r>
      <w:r w:rsidR="007417FE">
        <w:rPr>
          <w:szCs w:val="20"/>
          <w:lang w:val="es-CO"/>
        </w:rPr>
        <w:t xml:space="preserve"> que l</w:t>
      </w:r>
      <w:r w:rsidRPr="00F57FA4">
        <w:rPr>
          <w:szCs w:val="20"/>
          <w:lang w:val="es-CO"/>
        </w:rPr>
        <w:t xml:space="preserve">a escuela </w:t>
      </w:r>
      <w:r w:rsidR="007417FE">
        <w:rPr>
          <w:szCs w:val="20"/>
          <w:lang w:val="es-CO"/>
        </w:rPr>
        <w:t xml:space="preserve">es incapaz de suplir </w:t>
      </w:r>
      <w:r w:rsidRPr="00F57FA4">
        <w:rPr>
          <w:szCs w:val="20"/>
          <w:lang w:val="es-CO"/>
        </w:rPr>
        <w:t xml:space="preserve">la demanda de los internos y las actividades laborales son desempeñadas sólo por </w:t>
      </w:r>
      <w:r w:rsidR="00D44E0F">
        <w:rPr>
          <w:szCs w:val="20"/>
          <w:lang w:val="es-CO"/>
        </w:rPr>
        <w:t xml:space="preserve">personas privadas de libertad </w:t>
      </w:r>
      <w:r w:rsidR="00693730">
        <w:rPr>
          <w:szCs w:val="20"/>
          <w:lang w:val="es-CO"/>
        </w:rPr>
        <w:t>“neutr</w:t>
      </w:r>
      <w:r w:rsidR="00FC5D78">
        <w:rPr>
          <w:szCs w:val="20"/>
          <w:lang w:val="es-CO"/>
        </w:rPr>
        <w:t>a</w:t>
      </w:r>
      <w:r w:rsidR="00693730">
        <w:rPr>
          <w:szCs w:val="20"/>
          <w:lang w:val="es-CO"/>
        </w:rPr>
        <w:t>s”</w:t>
      </w:r>
      <w:r w:rsidR="00D80680">
        <w:rPr>
          <w:szCs w:val="20"/>
          <w:lang w:val="es-CO"/>
        </w:rPr>
        <w:t>.</w:t>
      </w:r>
      <w:r w:rsidR="00331112">
        <w:rPr>
          <w:szCs w:val="20"/>
          <w:lang w:val="es-CO"/>
        </w:rPr>
        <w:t xml:space="preserve"> </w:t>
      </w:r>
    </w:p>
    <w:p w14:paraId="2A12D3F9" w14:textId="77777777" w:rsidR="007A60F2" w:rsidRPr="00F57FA4" w:rsidRDefault="007A60F2" w:rsidP="006D31D9">
      <w:pPr>
        <w:pStyle w:val="ListParagraph"/>
        <w:rPr>
          <w:szCs w:val="20"/>
          <w:lang w:val="es-CO"/>
        </w:rPr>
      </w:pPr>
    </w:p>
    <w:p w14:paraId="2F5ABAAB" w14:textId="77777777" w:rsidR="007B470B" w:rsidRPr="00F57FA4" w:rsidRDefault="007B470B" w:rsidP="007B470B">
      <w:pPr>
        <w:pStyle w:val="ListParagraph"/>
        <w:numPr>
          <w:ilvl w:val="0"/>
          <w:numId w:val="20"/>
        </w:numPr>
        <w:snapToGrid w:val="0"/>
        <w:ind w:left="0" w:firstLine="0"/>
        <w:contextualSpacing w:val="0"/>
        <w:rPr>
          <w:szCs w:val="20"/>
          <w:lang w:val="es-ES"/>
        </w:rPr>
      </w:pPr>
      <w:r w:rsidRPr="00F57FA4">
        <w:rPr>
          <w:szCs w:val="20"/>
          <w:lang w:val="es-CO"/>
        </w:rPr>
        <w:t>E</w:t>
      </w:r>
      <w:r w:rsidR="00E34546" w:rsidRPr="00F57FA4">
        <w:rPr>
          <w:szCs w:val="20"/>
          <w:lang w:val="es-CO"/>
        </w:rPr>
        <w:t xml:space="preserve">l </w:t>
      </w:r>
      <w:r w:rsidR="007A60F2" w:rsidRPr="00F57FA4">
        <w:rPr>
          <w:szCs w:val="20"/>
          <w:lang w:val="es-CO"/>
        </w:rPr>
        <w:t xml:space="preserve">MEPCT-RJ </w:t>
      </w:r>
      <w:r w:rsidRPr="00F57FA4">
        <w:rPr>
          <w:szCs w:val="20"/>
          <w:lang w:val="es-CO"/>
        </w:rPr>
        <w:t xml:space="preserve">también recibió denuncias sobre </w:t>
      </w:r>
      <w:r w:rsidR="007A60F2" w:rsidRPr="00F57FA4">
        <w:rPr>
          <w:szCs w:val="20"/>
          <w:lang w:val="es-CO"/>
        </w:rPr>
        <w:t xml:space="preserve">episodios de amenazas y </w:t>
      </w:r>
      <w:r w:rsidRPr="00F57FA4">
        <w:rPr>
          <w:szCs w:val="20"/>
          <w:lang w:val="es-CO"/>
        </w:rPr>
        <w:t>agresiones</w:t>
      </w:r>
      <w:r w:rsidR="007D602E">
        <w:rPr>
          <w:szCs w:val="20"/>
          <w:lang w:val="es-CO"/>
        </w:rPr>
        <w:t xml:space="preserve"> por parte del personal de seguridad del centro, así como de internos identificados con organizaciones del narcotráfico</w:t>
      </w:r>
      <w:r w:rsidR="007A60F2" w:rsidRPr="00F57FA4">
        <w:rPr>
          <w:szCs w:val="20"/>
          <w:lang w:val="es-CO"/>
        </w:rPr>
        <w:t>.</w:t>
      </w:r>
      <w:r w:rsidR="007D602E">
        <w:rPr>
          <w:szCs w:val="20"/>
          <w:lang w:val="es-CO"/>
        </w:rPr>
        <w:t xml:space="preserve"> </w:t>
      </w:r>
      <w:r w:rsidRPr="00F57FA4">
        <w:rPr>
          <w:szCs w:val="20"/>
          <w:lang w:val="es-ES"/>
        </w:rPr>
        <w:t xml:space="preserve">Los </w:t>
      </w:r>
      <w:r w:rsidR="00A3299E">
        <w:rPr>
          <w:szCs w:val="20"/>
          <w:lang w:val="es-ES"/>
        </w:rPr>
        <w:t>internos</w:t>
      </w:r>
      <w:r w:rsidR="00A3299E" w:rsidRPr="00F57FA4">
        <w:rPr>
          <w:szCs w:val="20"/>
          <w:lang w:val="es-ES"/>
        </w:rPr>
        <w:t xml:space="preserve"> </w:t>
      </w:r>
      <w:r w:rsidRPr="00F57FA4">
        <w:rPr>
          <w:szCs w:val="20"/>
          <w:lang w:val="es-ES"/>
        </w:rPr>
        <w:t>reportaron que agentes del Instituto hacen uso de armas de fuego como forma de intimidación.</w:t>
      </w:r>
    </w:p>
    <w:p w14:paraId="46B80956" w14:textId="77777777" w:rsidR="005379EC" w:rsidRPr="00F57FA4" w:rsidRDefault="005379EC" w:rsidP="006D31D9">
      <w:pPr>
        <w:pStyle w:val="ListParagraph"/>
        <w:rPr>
          <w:szCs w:val="20"/>
          <w:lang w:val="es-ES"/>
        </w:rPr>
      </w:pPr>
    </w:p>
    <w:p w14:paraId="1D4B1291" w14:textId="77777777" w:rsidR="005379EC" w:rsidRPr="00F57FA4" w:rsidRDefault="007B470B" w:rsidP="006D31D9">
      <w:pPr>
        <w:pStyle w:val="ListParagraph"/>
        <w:numPr>
          <w:ilvl w:val="0"/>
          <w:numId w:val="20"/>
        </w:numPr>
        <w:snapToGrid w:val="0"/>
        <w:ind w:left="0" w:firstLine="0"/>
        <w:contextualSpacing w:val="0"/>
        <w:rPr>
          <w:szCs w:val="20"/>
          <w:lang w:val="es-CO"/>
        </w:rPr>
      </w:pPr>
      <w:r w:rsidRPr="00F57FA4">
        <w:rPr>
          <w:szCs w:val="20"/>
          <w:lang w:val="es-CO"/>
        </w:rPr>
        <w:t xml:space="preserve">Por su </w:t>
      </w:r>
      <w:r w:rsidR="007D602E">
        <w:rPr>
          <w:szCs w:val="20"/>
          <w:lang w:val="es-CO"/>
        </w:rPr>
        <w:t>parte</w:t>
      </w:r>
      <w:r w:rsidRPr="00F57FA4">
        <w:rPr>
          <w:szCs w:val="20"/>
          <w:lang w:val="es-CO"/>
        </w:rPr>
        <w:t>, l</w:t>
      </w:r>
      <w:r w:rsidR="005379EC" w:rsidRPr="00F57FA4">
        <w:rPr>
          <w:szCs w:val="20"/>
          <w:lang w:val="es-CO"/>
        </w:rPr>
        <w:t xml:space="preserve">a </w:t>
      </w:r>
      <w:r w:rsidR="005379EC" w:rsidRPr="004A3A17">
        <w:rPr>
          <w:szCs w:val="20"/>
          <w:lang w:val="es-CO"/>
        </w:rPr>
        <w:t>Corte</w:t>
      </w:r>
      <w:r w:rsidR="005379EC" w:rsidRPr="00F57FA4">
        <w:rPr>
          <w:szCs w:val="20"/>
          <w:lang w:val="es-CO"/>
        </w:rPr>
        <w:t xml:space="preserve"> </w:t>
      </w:r>
      <w:r w:rsidRPr="00F57FA4">
        <w:rPr>
          <w:szCs w:val="20"/>
          <w:lang w:val="es-CO"/>
        </w:rPr>
        <w:t xml:space="preserve">verificó en su </w:t>
      </w:r>
      <w:r w:rsidR="00651BF4">
        <w:rPr>
          <w:szCs w:val="20"/>
          <w:lang w:val="es-CO"/>
        </w:rPr>
        <w:t xml:space="preserve">diligencia </w:t>
      </w:r>
      <w:r w:rsidR="00651BF4" w:rsidRPr="00651BF4">
        <w:rPr>
          <w:i/>
          <w:szCs w:val="20"/>
          <w:lang w:val="es-CO"/>
        </w:rPr>
        <w:t>in situ</w:t>
      </w:r>
      <w:r w:rsidR="005379EC" w:rsidRPr="00F57FA4">
        <w:rPr>
          <w:i/>
          <w:szCs w:val="20"/>
          <w:lang w:val="es-CO"/>
        </w:rPr>
        <w:t xml:space="preserve"> </w:t>
      </w:r>
      <w:r w:rsidR="00A9094E" w:rsidRPr="00F57FA4">
        <w:rPr>
          <w:lang w:val="es-CO"/>
        </w:rPr>
        <w:t>lo siguiente</w:t>
      </w:r>
      <w:r w:rsidR="005379EC" w:rsidRPr="00F57FA4">
        <w:rPr>
          <w:lang w:val="es-CO"/>
        </w:rPr>
        <w:t>:</w:t>
      </w:r>
    </w:p>
    <w:p w14:paraId="641414D9" w14:textId="77777777" w:rsidR="005379EC" w:rsidRPr="00F57FA4" w:rsidRDefault="005379EC" w:rsidP="006D31D9">
      <w:pPr>
        <w:pStyle w:val="ListParagraph"/>
        <w:rPr>
          <w:szCs w:val="20"/>
          <w:lang w:val="es-CO"/>
        </w:rPr>
      </w:pPr>
    </w:p>
    <w:p w14:paraId="7170B04E" w14:textId="10AE1AA5" w:rsidR="00F75107" w:rsidRPr="00F57FA4" w:rsidRDefault="005379EC" w:rsidP="007B470B">
      <w:pPr>
        <w:pStyle w:val="ListParagraph"/>
        <w:numPr>
          <w:ilvl w:val="0"/>
          <w:numId w:val="14"/>
        </w:numPr>
        <w:snapToGrid w:val="0"/>
        <w:ind w:left="709" w:right="4"/>
        <w:contextualSpacing w:val="0"/>
        <w:outlineLvl w:val="0"/>
        <w:rPr>
          <w:lang w:val="es-CO"/>
        </w:rPr>
      </w:pPr>
      <w:r w:rsidRPr="00F57FA4">
        <w:rPr>
          <w:szCs w:val="20"/>
          <w:lang w:val="es-CO"/>
        </w:rPr>
        <w:t>El Instituto Penal Plácido de Sá Carvalho</w:t>
      </w:r>
      <w:r w:rsidRPr="00F57FA4">
        <w:rPr>
          <w:lang w:val="es-CO"/>
        </w:rPr>
        <w:t xml:space="preserve"> cuenta con nueve inspectores trabajando en cada turno, </w:t>
      </w:r>
      <w:r w:rsidR="001E7628">
        <w:rPr>
          <w:lang w:val="es-CO"/>
        </w:rPr>
        <w:t>dos</w:t>
      </w:r>
      <w:r w:rsidR="001E7628" w:rsidRPr="00F57FA4">
        <w:rPr>
          <w:lang w:val="es-CO"/>
        </w:rPr>
        <w:t xml:space="preserve"> </w:t>
      </w:r>
      <w:r w:rsidRPr="00F57FA4">
        <w:rPr>
          <w:lang w:val="es-CO"/>
        </w:rPr>
        <w:t>jefes de seguridad</w:t>
      </w:r>
      <w:r w:rsidR="007D602E">
        <w:rPr>
          <w:lang w:val="es-CO"/>
        </w:rPr>
        <w:t>,</w:t>
      </w:r>
      <w:r w:rsidRPr="00F57FA4">
        <w:rPr>
          <w:lang w:val="es-CO"/>
        </w:rPr>
        <w:t xml:space="preserve"> dos jefes de custodia</w:t>
      </w:r>
      <w:r w:rsidR="007D602E">
        <w:rPr>
          <w:lang w:val="es-CO"/>
        </w:rPr>
        <w:t>,</w:t>
      </w:r>
      <w:r w:rsidRPr="00F57FA4">
        <w:rPr>
          <w:lang w:val="es-CO"/>
        </w:rPr>
        <w:t xml:space="preserve"> </w:t>
      </w:r>
      <w:r w:rsidR="00693730">
        <w:rPr>
          <w:lang w:val="es-CO"/>
        </w:rPr>
        <w:t xml:space="preserve">y </w:t>
      </w:r>
      <w:r w:rsidR="001E7628">
        <w:rPr>
          <w:lang w:val="es-CO"/>
        </w:rPr>
        <w:t xml:space="preserve">cinco </w:t>
      </w:r>
      <w:r w:rsidRPr="00F57FA4">
        <w:rPr>
          <w:rFonts w:eastAsia="Verdana" w:cs="Verdana"/>
          <w:szCs w:val="20"/>
          <w:lang w:val="es-CO"/>
        </w:rPr>
        <w:t xml:space="preserve">funcionarios administrativos. Como se trata de un centro de detención semiabierto, </w:t>
      </w:r>
      <w:r w:rsidR="007D602E">
        <w:rPr>
          <w:rFonts w:eastAsia="Verdana" w:cs="Verdana"/>
          <w:szCs w:val="20"/>
          <w:lang w:val="es-CO"/>
        </w:rPr>
        <w:t>las personas privadas de libertad</w:t>
      </w:r>
      <w:r w:rsidRPr="00F57FA4">
        <w:rPr>
          <w:rFonts w:eastAsia="Verdana" w:cs="Verdana"/>
          <w:szCs w:val="20"/>
          <w:lang w:val="es-CO"/>
        </w:rPr>
        <w:t xml:space="preserve"> permanecen libres en el patio de</w:t>
      </w:r>
      <w:r w:rsidR="00D80680">
        <w:rPr>
          <w:rFonts w:eastAsia="Verdana" w:cs="Verdana"/>
          <w:szCs w:val="20"/>
          <w:lang w:val="es-CO"/>
        </w:rPr>
        <w:t>sde</w:t>
      </w:r>
      <w:r w:rsidRPr="00F57FA4">
        <w:rPr>
          <w:rFonts w:eastAsia="Verdana" w:cs="Verdana"/>
          <w:szCs w:val="20"/>
          <w:lang w:val="es-CO"/>
        </w:rPr>
        <w:t xml:space="preserve"> las 8:00 de la mañana hasta las 16:00, cuando son regresados a los pabellones. </w:t>
      </w:r>
      <w:r w:rsidR="00331112">
        <w:rPr>
          <w:rFonts w:eastAsia="Verdana" w:cs="Verdana"/>
          <w:szCs w:val="20"/>
          <w:lang w:val="es-CO"/>
        </w:rPr>
        <w:t xml:space="preserve">En el curso de la visita hubo oportunidad de conversar con algunos detenidos quienes se quejaron de </w:t>
      </w:r>
      <w:r w:rsidRPr="00F57FA4">
        <w:rPr>
          <w:rFonts w:eastAsia="Verdana" w:cs="Verdana"/>
          <w:szCs w:val="20"/>
          <w:lang w:val="es-CO"/>
        </w:rPr>
        <w:t xml:space="preserve">la </w:t>
      </w:r>
      <w:r w:rsidRPr="00956436">
        <w:rPr>
          <w:rFonts w:eastAsia="Verdana" w:cs="Verdana"/>
          <w:szCs w:val="20"/>
          <w:lang w:val="es-CO"/>
        </w:rPr>
        <w:t>aplicación de</w:t>
      </w:r>
      <w:r w:rsidR="00863DBF" w:rsidRPr="00956436">
        <w:rPr>
          <w:rFonts w:eastAsia="Verdana" w:cs="Verdana"/>
          <w:szCs w:val="20"/>
          <w:lang w:val="es-CO"/>
        </w:rPr>
        <w:t xml:space="preserve"> </w:t>
      </w:r>
      <w:r w:rsidRPr="00956436">
        <w:rPr>
          <w:rFonts w:eastAsia="Verdana" w:cs="Verdana"/>
          <w:szCs w:val="20"/>
          <w:lang w:val="es-CO"/>
        </w:rPr>
        <w:t>l</w:t>
      </w:r>
      <w:r w:rsidR="00863DBF" w:rsidRPr="00956436">
        <w:rPr>
          <w:rFonts w:eastAsia="Verdana" w:cs="Verdana"/>
          <w:szCs w:val="20"/>
          <w:lang w:val="es-CO"/>
        </w:rPr>
        <w:t>a</w:t>
      </w:r>
      <w:r w:rsidRPr="00956436">
        <w:rPr>
          <w:rFonts w:eastAsia="Verdana" w:cs="Verdana"/>
          <w:szCs w:val="20"/>
          <w:lang w:val="es-CO"/>
        </w:rPr>
        <w:t xml:space="preserve"> </w:t>
      </w:r>
      <w:r w:rsidR="00863DBF" w:rsidRPr="00956436">
        <w:rPr>
          <w:rFonts w:eastAsia="Verdana" w:cs="Verdana"/>
          <w:szCs w:val="20"/>
          <w:lang w:val="es-CO"/>
        </w:rPr>
        <w:t xml:space="preserve">progresión del </w:t>
      </w:r>
      <w:r w:rsidRPr="00956436">
        <w:rPr>
          <w:rFonts w:eastAsia="Verdana" w:cs="Verdana"/>
          <w:szCs w:val="20"/>
          <w:lang w:val="es-CO"/>
        </w:rPr>
        <w:t xml:space="preserve">régimen </w:t>
      </w:r>
      <w:r w:rsidR="00863DBF" w:rsidRPr="00956436">
        <w:rPr>
          <w:rFonts w:eastAsia="Verdana" w:cs="Verdana"/>
          <w:szCs w:val="20"/>
          <w:lang w:val="es-CO"/>
        </w:rPr>
        <w:t xml:space="preserve">de cumplimiento de pena </w:t>
      </w:r>
      <w:r w:rsidR="00F57FA4" w:rsidRPr="00956436">
        <w:rPr>
          <w:rFonts w:eastAsia="Verdana" w:cs="Verdana"/>
          <w:szCs w:val="20"/>
          <w:lang w:val="es-CO"/>
        </w:rPr>
        <w:t xml:space="preserve">y </w:t>
      </w:r>
      <w:r w:rsidRPr="00956436">
        <w:rPr>
          <w:rFonts w:eastAsia="Verdana" w:cs="Verdana"/>
          <w:szCs w:val="20"/>
          <w:lang w:val="es-CO"/>
        </w:rPr>
        <w:t>el retraso en la</w:t>
      </w:r>
      <w:r w:rsidRPr="00F57FA4">
        <w:rPr>
          <w:rFonts w:eastAsia="Verdana" w:cs="Verdana"/>
          <w:szCs w:val="20"/>
          <w:lang w:val="es-CO"/>
        </w:rPr>
        <w:t xml:space="preserve"> resolución de</w:t>
      </w:r>
      <w:r w:rsidR="00331112">
        <w:rPr>
          <w:rFonts w:eastAsia="Verdana" w:cs="Verdana"/>
          <w:szCs w:val="20"/>
          <w:lang w:val="es-CO"/>
        </w:rPr>
        <w:t xml:space="preserve"> su situación jurídica</w:t>
      </w:r>
      <w:r w:rsidRPr="00F57FA4">
        <w:rPr>
          <w:rFonts w:eastAsia="Verdana" w:cs="Verdana"/>
          <w:szCs w:val="20"/>
          <w:lang w:val="es-CO"/>
        </w:rPr>
        <w:t xml:space="preserve">. </w:t>
      </w:r>
      <w:r w:rsidR="005E1ED0">
        <w:rPr>
          <w:rFonts w:eastAsia="Verdana" w:cs="Verdana"/>
          <w:szCs w:val="20"/>
          <w:lang w:val="es-CO"/>
        </w:rPr>
        <w:t xml:space="preserve">Manifestaron </w:t>
      </w:r>
      <w:r w:rsidR="001C3D26" w:rsidRPr="00F57FA4">
        <w:rPr>
          <w:rFonts w:eastAsia="Verdana" w:cs="Verdana"/>
          <w:szCs w:val="20"/>
          <w:lang w:val="es-CO"/>
        </w:rPr>
        <w:t xml:space="preserve">que </w:t>
      </w:r>
      <w:r w:rsidR="00F57FA4">
        <w:rPr>
          <w:rFonts w:eastAsia="Verdana" w:cs="Verdana"/>
          <w:szCs w:val="20"/>
          <w:lang w:val="es-CO"/>
        </w:rPr>
        <w:t xml:space="preserve">hace varios meses </w:t>
      </w:r>
      <w:r w:rsidR="001C3D26" w:rsidRPr="00F57FA4">
        <w:rPr>
          <w:rFonts w:eastAsia="Verdana" w:cs="Verdana"/>
          <w:szCs w:val="20"/>
          <w:lang w:val="es-CO"/>
        </w:rPr>
        <w:t xml:space="preserve">no reciben ningún tipo de pago en efectivo o beneficio de cualquier otra índole por el trabajo </w:t>
      </w:r>
      <w:r w:rsidR="005E1ED0">
        <w:rPr>
          <w:rFonts w:eastAsia="Verdana" w:cs="Verdana"/>
          <w:szCs w:val="20"/>
          <w:lang w:val="es-CO"/>
        </w:rPr>
        <w:t xml:space="preserve">de limpieza que realizan aquellos autorizados para tal efecto. </w:t>
      </w:r>
      <w:r w:rsidR="005E1ED0" w:rsidRPr="00331112">
        <w:rPr>
          <w:rFonts w:eastAsia="Verdana" w:cs="Verdana"/>
          <w:szCs w:val="20"/>
          <w:lang w:val="es-CO"/>
        </w:rPr>
        <w:t>Es decir, los internos no cuentan con</w:t>
      </w:r>
      <w:r w:rsidR="001C3D26" w:rsidRPr="00331112">
        <w:rPr>
          <w:rFonts w:eastAsia="Verdana" w:cs="Verdana"/>
          <w:szCs w:val="20"/>
          <w:lang w:val="es-CO"/>
        </w:rPr>
        <w:t xml:space="preserve"> ningún tipo de incentivo</w:t>
      </w:r>
      <w:r w:rsidR="005E1ED0" w:rsidRPr="00331112">
        <w:rPr>
          <w:rFonts w:eastAsia="Verdana" w:cs="Verdana"/>
          <w:szCs w:val="20"/>
          <w:lang w:val="es-CO"/>
        </w:rPr>
        <w:t xml:space="preserve"> </w:t>
      </w:r>
      <w:r w:rsidR="00331112" w:rsidRPr="00331112">
        <w:rPr>
          <w:rFonts w:eastAsia="Verdana" w:cs="Verdana"/>
          <w:szCs w:val="20"/>
          <w:lang w:val="es-CO"/>
        </w:rPr>
        <w:t xml:space="preserve">económico </w:t>
      </w:r>
      <w:r w:rsidR="005E1ED0" w:rsidRPr="00331112">
        <w:rPr>
          <w:rFonts w:eastAsia="Verdana" w:cs="Verdana"/>
          <w:szCs w:val="20"/>
          <w:lang w:val="es-CO"/>
        </w:rPr>
        <w:t>para realizar estas actividades</w:t>
      </w:r>
      <w:r w:rsidR="001C3D26" w:rsidRPr="00F57FA4">
        <w:rPr>
          <w:rFonts w:eastAsia="Verdana" w:cs="Verdana"/>
          <w:szCs w:val="20"/>
          <w:lang w:val="es-CO"/>
        </w:rPr>
        <w:t xml:space="preserve">. </w:t>
      </w:r>
      <w:r w:rsidRPr="00F57FA4">
        <w:rPr>
          <w:rFonts w:eastAsia="Verdana" w:cs="Verdana"/>
          <w:szCs w:val="20"/>
          <w:lang w:val="es-CO"/>
        </w:rPr>
        <w:t xml:space="preserve">También se recibieron quejas en relación a la mala calidad de la comida y la falta de atención médica oportuna. </w:t>
      </w:r>
    </w:p>
    <w:p w14:paraId="0B289A9F" w14:textId="77777777" w:rsidR="00F75107" w:rsidRPr="00F57FA4" w:rsidRDefault="00F75107" w:rsidP="007B470B">
      <w:pPr>
        <w:pStyle w:val="ListParagraph"/>
        <w:ind w:left="709"/>
        <w:rPr>
          <w:rFonts w:eastAsia="Verdana" w:cs="Verdana"/>
          <w:szCs w:val="20"/>
          <w:lang w:val="es-CO"/>
        </w:rPr>
      </w:pPr>
    </w:p>
    <w:p w14:paraId="2FC08A06" w14:textId="77777777" w:rsidR="00F75107" w:rsidRPr="00F57FA4" w:rsidRDefault="00F57FA4" w:rsidP="007B470B">
      <w:pPr>
        <w:pStyle w:val="ListParagraph"/>
        <w:numPr>
          <w:ilvl w:val="0"/>
          <w:numId w:val="14"/>
        </w:numPr>
        <w:snapToGrid w:val="0"/>
        <w:ind w:left="709" w:right="4"/>
        <w:contextualSpacing w:val="0"/>
        <w:outlineLvl w:val="0"/>
        <w:rPr>
          <w:lang w:val="es-CO"/>
        </w:rPr>
      </w:pPr>
      <w:r>
        <w:rPr>
          <w:rFonts w:eastAsia="Verdana" w:cs="Verdana"/>
          <w:szCs w:val="20"/>
          <w:lang w:val="es-CO"/>
        </w:rPr>
        <w:t>E</w:t>
      </w:r>
      <w:r w:rsidR="00F75107" w:rsidRPr="00F57FA4">
        <w:rPr>
          <w:rFonts w:eastAsia="Verdana" w:cs="Verdana"/>
          <w:szCs w:val="20"/>
          <w:lang w:val="es-CO"/>
        </w:rPr>
        <w:t>l director del IPPSC</w:t>
      </w:r>
      <w:r>
        <w:rPr>
          <w:rFonts w:eastAsia="Verdana" w:cs="Verdana"/>
          <w:szCs w:val="20"/>
          <w:lang w:val="es-CO"/>
        </w:rPr>
        <w:t xml:space="preserve"> destacó </w:t>
      </w:r>
      <w:r w:rsidR="00F75107" w:rsidRPr="00F57FA4">
        <w:rPr>
          <w:rFonts w:eastAsia="Verdana" w:cs="Verdana"/>
          <w:szCs w:val="20"/>
          <w:lang w:val="es-CO"/>
        </w:rPr>
        <w:t xml:space="preserve">que los edificios </w:t>
      </w:r>
      <w:r>
        <w:rPr>
          <w:rFonts w:eastAsia="Verdana" w:cs="Verdana"/>
          <w:szCs w:val="20"/>
          <w:lang w:val="es-CO"/>
        </w:rPr>
        <w:t xml:space="preserve">del Instituto </w:t>
      </w:r>
      <w:r w:rsidR="00F75107" w:rsidRPr="00F57FA4">
        <w:rPr>
          <w:rFonts w:eastAsia="Verdana" w:cs="Verdana"/>
          <w:szCs w:val="20"/>
          <w:lang w:val="es-CO"/>
        </w:rPr>
        <w:t>fueron construidos en la década de 1950 y no han sido reformados adecuadamente desde entonces</w:t>
      </w:r>
      <w:r>
        <w:rPr>
          <w:rFonts w:eastAsia="Verdana" w:cs="Verdana"/>
          <w:szCs w:val="20"/>
          <w:lang w:val="es-CO"/>
        </w:rPr>
        <w:t>.</w:t>
      </w:r>
      <w:r w:rsidR="00F75107" w:rsidRPr="00F57FA4">
        <w:rPr>
          <w:szCs w:val="20"/>
          <w:lang w:val="es-CO"/>
        </w:rPr>
        <w:t xml:space="preserve"> </w:t>
      </w:r>
    </w:p>
    <w:p w14:paraId="087BCDDE" w14:textId="77777777" w:rsidR="00732A1B" w:rsidRPr="00F57FA4" w:rsidRDefault="00732A1B" w:rsidP="007B470B">
      <w:pPr>
        <w:pStyle w:val="ListParagraph"/>
        <w:ind w:left="709"/>
        <w:rPr>
          <w:lang w:val="es-CO"/>
        </w:rPr>
      </w:pPr>
    </w:p>
    <w:p w14:paraId="10956E48" w14:textId="77777777" w:rsidR="00732A1B" w:rsidRPr="00F57FA4" w:rsidRDefault="00732A1B" w:rsidP="007B470B">
      <w:pPr>
        <w:pStyle w:val="ListParagraph"/>
        <w:numPr>
          <w:ilvl w:val="0"/>
          <w:numId w:val="14"/>
        </w:numPr>
        <w:snapToGrid w:val="0"/>
        <w:ind w:left="709" w:right="4"/>
        <w:contextualSpacing w:val="0"/>
        <w:outlineLvl w:val="0"/>
        <w:rPr>
          <w:lang w:val="es-CO"/>
        </w:rPr>
      </w:pPr>
      <w:r w:rsidRPr="00F57FA4">
        <w:rPr>
          <w:lang w:val="es-CO"/>
        </w:rPr>
        <w:t>Se puedo constatar que el IPPSC cuenta con salones de estudio que le permite a los internos recibir clases de educación básica e intermedia. Las insta</w:t>
      </w:r>
      <w:r w:rsidR="0004544E" w:rsidRPr="00F57FA4">
        <w:rPr>
          <w:lang w:val="es-CO"/>
        </w:rPr>
        <w:t xml:space="preserve">laciones se encuentran en un estado normal. </w:t>
      </w:r>
      <w:r w:rsidRPr="00F57FA4">
        <w:rPr>
          <w:lang w:val="es-CO"/>
        </w:rPr>
        <w:t xml:space="preserve"> </w:t>
      </w:r>
    </w:p>
    <w:p w14:paraId="4FB46F36" w14:textId="77777777" w:rsidR="001C3D26" w:rsidRPr="00F57FA4" w:rsidRDefault="001C3D26" w:rsidP="007B470B">
      <w:pPr>
        <w:pStyle w:val="ListParagraph"/>
        <w:ind w:left="709"/>
        <w:rPr>
          <w:lang w:val="es-CO"/>
        </w:rPr>
      </w:pPr>
    </w:p>
    <w:p w14:paraId="581B4727" w14:textId="0240DB13" w:rsidR="001C3D26" w:rsidRDefault="0004544E" w:rsidP="007B470B">
      <w:pPr>
        <w:pStyle w:val="ListParagraph"/>
        <w:numPr>
          <w:ilvl w:val="0"/>
          <w:numId w:val="14"/>
        </w:numPr>
        <w:snapToGrid w:val="0"/>
        <w:ind w:left="709" w:right="4"/>
        <w:contextualSpacing w:val="0"/>
        <w:outlineLvl w:val="0"/>
        <w:rPr>
          <w:lang w:val="es-CO"/>
        </w:rPr>
      </w:pPr>
      <w:r w:rsidRPr="00F57FA4">
        <w:rPr>
          <w:lang w:val="es-CO"/>
        </w:rPr>
        <w:t>Se percibió que la mayoría de l</w:t>
      </w:r>
      <w:r w:rsidR="00F57FA4">
        <w:rPr>
          <w:lang w:val="es-CO"/>
        </w:rPr>
        <w:t>os internos se encuentran en un</w:t>
      </w:r>
      <w:r w:rsidRPr="00F57FA4">
        <w:rPr>
          <w:lang w:val="es-CO"/>
        </w:rPr>
        <w:t xml:space="preserve"> ambiente de ocio</w:t>
      </w:r>
      <w:r w:rsidR="005E1ED0">
        <w:rPr>
          <w:lang w:val="es-CO"/>
        </w:rPr>
        <w:t>sidad</w:t>
      </w:r>
      <w:r w:rsidRPr="00F57FA4">
        <w:rPr>
          <w:lang w:val="es-CO"/>
        </w:rPr>
        <w:t xml:space="preserve"> a raíz de que disponen de pocas actividades</w:t>
      </w:r>
      <w:r w:rsidR="005E1ED0">
        <w:rPr>
          <w:lang w:val="es-CO"/>
        </w:rPr>
        <w:t xml:space="preserve"> educacionales,</w:t>
      </w:r>
      <w:r w:rsidRPr="00F57FA4">
        <w:rPr>
          <w:lang w:val="es-CO"/>
        </w:rPr>
        <w:t xml:space="preserve"> deportivas o de otra índole para realizar al interior del IPPSC</w:t>
      </w:r>
      <w:r w:rsidR="005E1ED0">
        <w:rPr>
          <w:lang w:val="es-CO"/>
        </w:rPr>
        <w:t>.</w:t>
      </w:r>
      <w:r w:rsidRPr="00F57FA4">
        <w:rPr>
          <w:lang w:val="es-CO"/>
        </w:rPr>
        <w:t xml:space="preserve"> </w:t>
      </w:r>
      <w:r w:rsidR="005E1ED0">
        <w:rPr>
          <w:lang w:val="es-CO"/>
        </w:rPr>
        <w:t>S</w:t>
      </w:r>
      <w:r w:rsidRPr="00F57FA4">
        <w:rPr>
          <w:lang w:val="es-CO"/>
        </w:rPr>
        <w:t>e reúnen en el patio para jugar f</w:t>
      </w:r>
      <w:r w:rsidR="005E1ED0">
        <w:rPr>
          <w:lang w:val="es-CO"/>
        </w:rPr>
        <w:t>ú</w:t>
      </w:r>
      <w:r w:rsidRPr="00F57FA4">
        <w:rPr>
          <w:lang w:val="es-CO"/>
        </w:rPr>
        <w:t xml:space="preserve">tbol cuando el clima </w:t>
      </w:r>
      <w:r w:rsidR="001069FB">
        <w:rPr>
          <w:lang w:val="es-CO"/>
        </w:rPr>
        <w:t>lo permite</w:t>
      </w:r>
      <w:r w:rsidRPr="00F57FA4">
        <w:rPr>
          <w:lang w:val="es-CO"/>
        </w:rPr>
        <w:t>. De lo contrario, los internos deben permanecer todo el día al interior de sus celdas.</w:t>
      </w:r>
    </w:p>
    <w:p w14:paraId="29858986" w14:textId="77777777" w:rsidR="009C7DDF" w:rsidRPr="009C7DDF" w:rsidRDefault="009C7DDF" w:rsidP="009C7DDF">
      <w:pPr>
        <w:pStyle w:val="ListParagraph"/>
        <w:rPr>
          <w:lang w:val="es-CO"/>
        </w:rPr>
      </w:pPr>
    </w:p>
    <w:p w14:paraId="02F991CE" w14:textId="0D21250C" w:rsidR="009C7DDF" w:rsidRPr="00F57FA4" w:rsidRDefault="009C7DDF" w:rsidP="007B470B">
      <w:pPr>
        <w:pStyle w:val="ListParagraph"/>
        <w:numPr>
          <w:ilvl w:val="0"/>
          <w:numId w:val="14"/>
        </w:numPr>
        <w:snapToGrid w:val="0"/>
        <w:ind w:left="709" w:right="4"/>
        <w:contextualSpacing w:val="0"/>
        <w:outlineLvl w:val="0"/>
        <w:rPr>
          <w:lang w:val="es-CO"/>
        </w:rPr>
      </w:pPr>
      <w:r w:rsidRPr="009C7DDF">
        <w:rPr>
          <w:rFonts w:eastAsia="Verdana" w:cs="Verdana"/>
          <w:szCs w:val="20"/>
          <w:lang w:val="es-CO"/>
        </w:rPr>
        <w:t>No hay ningún tipo de privacidad, ni camas suficientes para los internos.</w:t>
      </w:r>
      <w:r w:rsidRPr="00863DBF">
        <w:rPr>
          <w:rFonts w:eastAsia="Verdana" w:cs="Verdana"/>
          <w:szCs w:val="20"/>
          <w:lang w:val="es-CO"/>
        </w:rPr>
        <w:t xml:space="preserve"> Varios duermen en el piso.</w:t>
      </w:r>
      <w:r>
        <w:rPr>
          <w:rFonts w:eastAsia="Verdana" w:cs="Verdana"/>
          <w:szCs w:val="20"/>
          <w:lang w:val="es-CO"/>
        </w:rPr>
        <w:t xml:space="preserve"> La delegación de esta Corte pudo constatar que t</w:t>
      </w:r>
      <w:r w:rsidRPr="00F57FA4">
        <w:rPr>
          <w:rFonts w:eastAsia="Verdana" w:cs="Verdana"/>
          <w:szCs w:val="20"/>
          <w:lang w:val="es-CO"/>
        </w:rPr>
        <w:t>ampoco hay</w:t>
      </w:r>
      <w:r>
        <w:rPr>
          <w:rFonts w:eastAsia="Verdana" w:cs="Verdana"/>
          <w:szCs w:val="20"/>
          <w:lang w:val="es-CO"/>
        </w:rPr>
        <w:t xml:space="preserve"> suficientes</w:t>
      </w:r>
      <w:r w:rsidRPr="00F57FA4">
        <w:rPr>
          <w:rFonts w:eastAsia="Verdana" w:cs="Verdana"/>
          <w:szCs w:val="20"/>
          <w:lang w:val="es-CO"/>
        </w:rPr>
        <w:t xml:space="preserve"> colchones, los</w:t>
      </w:r>
      <w:r>
        <w:rPr>
          <w:rFonts w:eastAsia="Verdana" w:cs="Verdana"/>
          <w:szCs w:val="20"/>
          <w:lang w:val="es-CO"/>
        </w:rPr>
        <w:t xml:space="preserve"> que allí se encuentran</w:t>
      </w:r>
      <w:r w:rsidRPr="00F57FA4">
        <w:rPr>
          <w:rFonts w:eastAsia="Verdana" w:cs="Verdana"/>
          <w:szCs w:val="20"/>
          <w:lang w:val="es-CO"/>
        </w:rPr>
        <w:t xml:space="preserve"> son de material altamente inflamable</w:t>
      </w:r>
      <w:r>
        <w:rPr>
          <w:rFonts w:eastAsia="Verdana" w:cs="Verdana"/>
          <w:szCs w:val="20"/>
          <w:lang w:val="es-CO"/>
        </w:rPr>
        <w:t>,</w:t>
      </w:r>
      <w:r w:rsidRPr="00F57FA4">
        <w:rPr>
          <w:rFonts w:eastAsia="Verdana" w:cs="Verdana"/>
          <w:szCs w:val="20"/>
          <w:lang w:val="es-CO"/>
        </w:rPr>
        <w:t xml:space="preserve"> y </w:t>
      </w:r>
      <w:r w:rsidR="00D80680">
        <w:rPr>
          <w:rFonts w:eastAsia="Verdana" w:cs="Verdana"/>
          <w:szCs w:val="20"/>
          <w:lang w:val="es-CO"/>
        </w:rPr>
        <w:t xml:space="preserve">están </w:t>
      </w:r>
      <w:r w:rsidRPr="00F57FA4">
        <w:rPr>
          <w:rFonts w:eastAsia="Verdana" w:cs="Verdana"/>
          <w:szCs w:val="20"/>
          <w:lang w:val="es-CO"/>
        </w:rPr>
        <w:t>rotos o en pésimas condiciones.</w:t>
      </w:r>
    </w:p>
    <w:p w14:paraId="3B5B412F" w14:textId="77777777" w:rsidR="00E50C54" w:rsidRPr="00F57FA4" w:rsidRDefault="00E50C54" w:rsidP="006D31D9">
      <w:pPr>
        <w:spacing w:line="242" w:lineRule="exact"/>
        <w:rPr>
          <w:rFonts w:eastAsia="Verdana" w:cs="Verdana"/>
          <w:szCs w:val="20"/>
          <w:lang w:val="es-CO"/>
        </w:rPr>
      </w:pPr>
    </w:p>
    <w:p w14:paraId="36E08E81" w14:textId="66B351BC" w:rsidR="00E50C54" w:rsidRPr="00E363ED" w:rsidRDefault="00F57FA4" w:rsidP="006D31D9">
      <w:pPr>
        <w:pStyle w:val="ListParagraph"/>
        <w:numPr>
          <w:ilvl w:val="0"/>
          <w:numId w:val="20"/>
        </w:numPr>
        <w:snapToGrid w:val="0"/>
        <w:ind w:left="0" w:firstLine="0"/>
        <w:contextualSpacing w:val="0"/>
        <w:rPr>
          <w:szCs w:val="20"/>
          <w:lang w:val="es-CO"/>
        </w:rPr>
      </w:pPr>
      <w:r>
        <w:rPr>
          <w:rFonts w:eastAsia="Verdana" w:cs="Verdana"/>
          <w:szCs w:val="20"/>
          <w:lang w:val="es-CO"/>
        </w:rPr>
        <w:t>L</w:t>
      </w:r>
      <w:r w:rsidR="00E50C54" w:rsidRPr="00F57FA4">
        <w:rPr>
          <w:rFonts w:eastAsia="Verdana" w:cs="Verdana"/>
          <w:szCs w:val="20"/>
          <w:lang w:val="es-CO"/>
        </w:rPr>
        <w:t xml:space="preserve">a Corte </w:t>
      </w:r>
      <w:r w:rsidR="00A32669">
        <w:rPr>
          <w:rFonts w:eastAsia="Verdana" w:cs="Verdana"/>
          <w:szCs w:val="20"/>
          <w:lang w:val="es-CO"/>
        </w:rPr>
        <w:t xml:space="preserve">ha </w:t>
      </w:r>
      <w:r>
        <w:rPr>
          <w:rFonts w:eastAsia="Verdana" w:cs="Verdana"/>
          <w:szCs w:val="20"/>
          <w:lang w:val="es-CO"/>
        </w:rPr>
        <w:t>señal</w:t>
      </w:r>
      <w:r w:rsidR="00A32669">
        <w:rPr>
          <w:rFonts w:eastAsia="Verdana" w:cs="Verdana"/>
          <w:szCs w:val="20"/>
          <w:lang w:val="es-CO"/>
        </w:rPr>
        <w:t>ado</w:t>
      </w:r>
      <w:r>
        <w:rPr>
          <w:rFonts w:eastAsia="Verdana" w:cs="Verdana"/>
          <w:szCs w:val="20"/>
          <w:lang w:val="es-CO"/>
        </w:rPr>
        <w:t xml:space="preserve"> </w:t>
      </w:r>
      <w:r w:rsidR="00E50C54" w:rsidRPr="00F57FA4">
        <w:rPr>
          <w:rFonts w:eastAsia="Verdana" w:cs="Verdana"/>
          <w:szCs w:val="20"/>
          <w:lang w:val="es-CO"/>
        </w:rPr>
        <w:t>en otras ocasiones</w:t>
      </w:r>
      <w:r>
        <w:rPr>
          <w:rFonts w:eastAsia="Verdana" w:cs="Verdana"/>
          <w:szCs w:val="20"/>
          <w:lang w:val="es-CO"/>
        </w:rPr>
        <w:t xml:space="preserve"> que </w:t>
      </w:r>
      <w:r w:rsidR="00E50C54" w:rsidRPr="00F57FA4">
        <w:rPr>
          <w:rFonts w:eastAsia="Verdana" w:cs="Verdana"/>
          <w:szCs w:val="20"/>
          <w:lang w:val="es-CO"/>
        </w:rPr>
        <w:t xml:space="preserve">el Estado tiene el deber de adoptar las medidas necesarias para proteger y garantizar el derecho a la vida y a la integridad personal </w:t>
      </w:r>
      <w:r w:rsidR="002C6D86">
        <w:rPr>
          <w:rFonts w:eastAsia="Verdana" w:cs="Verdana"/>
          <w:szCs w:val="20"/>
          <w:lang w:val="es-CO"/>
        </w:rPr>
        <w:t>de quienes se encuentran</w:t>
      </w:r>
      <w:r w:rsidR="00E50C54" w:rsidRPr="00F57FA4">
        <w:rPr>
          <w:rFonts w:eastAsia="Verdana" w:cs="Verdana"/>
          <w:szCs w:val="20"/>
          <w:lang w:val="es-CO"/>
        </w:rPr>
        <w:t xml:space="preserve"> privad</w:t>
      </w:r>
      <w:r w:rsidR="002C6D86">
        <w:rPr>
          <w:rFonts w:eastAsia="Verdana" w:cs="Verdana"/>
          <w:szCs w:val="20"/>
          <w:lang w:val="es-CO"/>
        </w:rPr>
        <w:t>o</w:t>
      </w:r>
      <w:r w:rsidR="00E50C54" w:rsidRPr="00F57FA4">
        <w:rPr>
          <w:rFonts w:eastAsia="Verdana" w:cs="Verdana"/>
          <w:szCs w:val="20"/>
          <w:lang w:val="es-CO"/>
        </w:rPr>
        <w:t xml:space="preserve">s de </w:t>
      </w:r>
      <w:r w:rsidR="002C6D86">
        <w:rPr>
          <w:rFonts w:eastAsia="Verdana" w:cs="Verdana"/>
          <w:szCs w:val="20"/>
          <w:lang w:val="es-CO"/>
        </w:rPr>
        <w:t xml:space="preserve">la </w:t>
      </w:r>
      <w:r w:rsidR="00E50C54" w:rsidRPr="00F57FA4">
        <w:rPr>
          <w:rFonts w:eastAsia="Verdana" w:cs="Verdana"/>
          <w:szCs w:val="20"/>
          <w:lang w:val="es-CO"/>
        </w:rPr>
        <w:t xml:space="preserve">libertad y de abstenerse, bajo cualquier circunstancia, de actuar de manera tal que </w:t>
      </w:r>
      <w:r w:rsidR="00C77799">
        <w:rPr>
          <w:rFonts w:eastAsia="Verdana" w:cs="Verdana"/>
          <w:szCs w:val="20"/>
          <w:lang w:val="es-CO"/>
        </w:rPr>
        <w:t xml:space="preserve">éstos </w:t>
      </w:r>
      <w:r w:rsidR="00E50C54" w:rsidRPr="00F57FA4">
        <w:rPr>
          <w:rFonts w:eastAsia="Verdana" w:cs="Verdana"/>
          <w:szCs w:val="20"/>
          <w:lang w:val="es-CO"/>
        </w:rPr>
        <w:t>se vulnere</w:t>
      </w:r>
      <w:r w:rsidR="00C77799">
        <w:rPr>
          <w:rFonts w:eastAsia="Verdana" w:cs="Verdana"/>
          <w:szCs w:val="20"/>
          <w:lang w:val="es-CO"/>
        </w:rPr>
        <w:t>n</w:t>
      </w:r>
      <w:r w:rsidR="00E50C54" w:rsidRPr="00F57FA4">
        <w:rPr>
          <w:rFonts w:eastAsia="Verdana" w:cs="Verdana"/>
          <w:szCs w:val="20"/>
          <w:lang w:val="es-CO"/>
        </w:rPr>
        <w:t>. En este sentido, las obligaciones que ineludiblemente debe asumir el Estado en su posición de garante, incluyen la adopción de las medidas que puedan favorecer al mantenimiento de un clima de respeto de los derechos humanos de las personas privadas de libertad entre sí, reducir el hacinamiento,</w:t>
      </w:r>
      <w:r w:rsidR="00081D88">
        <w:rPr>
          <w:rFonts w:eastAsia="Verdana" w:cs="Verdana"/>
          <w:szCs w:val="20"/>
          <w:lang w:val="es-CO"/>
        </w:rPr>
        <w:t xml:space="preserve"> y como fue mencionado </w:t>
      </w:r>
      <w:r w:rsidR="00081D88">
        <w:rPr>
          <w:rFonts w:eastAsia="Verdana" w:cs="Verdana"/>
          <w:i/>
          <w:szCs w:val="20"/>
          <w:lang w:val="es-CO"/>
        </w:rPr>
        <w:t>supra</w:t>
      </w:r>
      <w:r w:rsidR="00081D88">
        <w:rPr>
          <w:rFonts w:eastAsia="Verdana" w:cs="Verdana"/>
          <w:szCs w:val="20"/>
          <w:lang w:val="es-CO"/>
        </w:rPr>
        <w:t xml:space="preserve">, </w:t>
      </w:r>
      <w:r w:rsidR="00E50C54" w:rsidRPr="00F57FA4">
        <w:rPr>
          <w:rFonts w:eastAsia="Verdana" w:cs="Verdana"/>
          <w:szCs w:val="20"/>
          <w:lang w:val="es-CO"/>
        </w:rPr>
        <w:t>procurar las condiciones de detención mínimas compatibles con su dignidad,</w:t>
      </w:r>
      <w:r w:rsidR="00D42D09">
        <w:rPr>
          <w:rFonts w:eastAsia="Verdana" w:cs="Verdana"/>
          <w:szCs w:val="20"/>
          <w:lang w:val="es-CO"/>
        </w:rPr>
        <w:t xml:space="preserve"> lo que implica</w:t>
      </w:r>
      <w:r w:rsidR="00E50C54" w:rsidRPr="00F57FA4">
        <w:rPr>
          <w:rFonts w:eastAsia="Verdana" w:cs="Verdana"/>
          <w:szCs w:val="20"/>
          <w:lang w:val="es-CO"/>
        </w:rPr>
        <w:t xml:space="preserve">  proveer </w:t>
      </w:r>
      <w:r w:rsidR="00D42D09">
        <w:rPr>
          <w:rFonts w:eastAsia="Verdana" w:cs="Verdana"/>
          <w:szCs w:val="20"/>
          <w:lang w:val="es-CO"/>
        </w:rPr>
        <w:t xml:space="preserve">suficiente </w:t>
      </w:r>
      <w:r w:rsidR="00E50C54" w:rsidRPr="00F57FA4">
        <w:rPr>
          <w:rFonts w:eastAsia="Verdana" w:cs="Verdana"/>
          <w:szCs w:val="20"/>
          <w:lang w:val="es-CO"/>
        </w:rPr>
        <w:t>personal capacitado para asegurar el adecuado y efectivo control, custodia y vigilancia del centro penitenciario</w:t>
      </w:r>
      <w:r w:rsidR="00E50C54" w:rsidRPr="00F57FA4">
        <w:rPr>
          <w:rStyle w:val="FootnoteReference"/>
          <w:rFonts w:eastAsia="Verdana" w:cs="Verdana"/>
          <w:lang w:val="es-CO"/>
        </w:rPr>
        <w:footnoteReference w:id="33"/>
      </w:r>
      <w:r w:rsidR="007F3A6A">
        <w:rPr>
          <w:rFonts w:eastAsia="Verdana" w:cs="Verdana"/>
          <w:szCs w:val="20"/>
          <w:lang w:val="es-CO"/>
        </w:rPr>
        <w:t>.</w:t>
      </w:r>
      <w:r w:rsidR="00E50C54" w:rsidRPr="00F57FA4">
        <w:rPr>
          <w:rFonts w:eastAsia="Verdana" w:cs="Verdana"/>
          <w:szCs w:val="20"/>
          <w:lang w:val="es-CO"/>
        </w:rPr>
        <w:t xml:space="preserve"> </w:t>
      </w:r>
      <w:r w:rsidR="00E50C54" w:rsidRPr="00F57FA4">
        <w:rPr>
          <w:rFonts w:eastAsia="Verdana" w:cs="Verdana"/>
          <w:szCs w:val="20"/>
          <w:lang w:val="es-CO"/>
        </w:rPr>
        <w:lastRenderedPageBreak/>
        <w:t>Además, dadas las características de los centros de detención, el Estado debe proteger a los reclusos de la violencia que, en la ausencia de control estatal, pueda ocurrir entre los privados de libertad</w:t>
      </w:r>
      <w:r w:rsidR="00E50C54" w:rsidRPr="00F57FA4">
        <w:rPr>
          <w:rStyle w:val="FootnoteReference"/>
          <w:rFonts w:eastAsia="Verdana" w:cs="Verdana"/>
          <w:lang w:val="es-CO"/>
        </w:rPr>
        <w:footnoteReference w:id="34"/>
      </w:r>
      <w:r w:rsidR="007F3A6A">
        <w:rPr>
          <w:rFonts w:eastAsia="Verdana" w:cs="Verdana"/>
          <w:szCs w:val="20"/>
          <w:lang w:val="es-CO"/>
        </w:rPr>
        <w:t>.</w:t>
      </w:r>
    </w:p>
    <w:p w14:paraId="5FC7C0F4" w14:textId="77777777" w:rsidR="00E363ED" w:rsidRPr="00E363ED" w:rsidRDefault="00E363ED" w:rsidP="00E363ED">
      <w:pPr>
        <w:pStyle w:val="ListParagraph"/>
        <w:snapToGrid w:val="0"/>
        <w:ind w:left="0"/>
        <w:contextualSpacing w:val="0"/>
        <w:rPr>
          <w:szCs w:val="20"/>
          <w:lang w:val="es-CO"/>
        </w:rPr>
      </w:pPr>
    </w:p>
    <w:p w14:paraId="0D424588" w14:textId="3899A198" w:rsidR="00C77799" w:rsidRPr="00C6436A" w:rsidRDefault="00DD6EFA" w:rsidP="006D31D9">
      <w:pPr>
        <w:pStyle w:val="ListParagraph"/>
        <w:numPr>
          <w:ilvl w:val="0"/>
          <w:numId w:val="20"/>
        </w:numPr>
        <w:snapToGrid w:val="0"/>
        <w:ind w:left="0" w:firstLine="0"/>
        <w:contextualSpacing w:val="0"/>
        <w:rPr>
          <w:szCs w:val="20"/>
          <w:lang w:val="es-CO"/>
        </w:rPr>
      </w:pPr>
      <w:r>
        <w:rPr>
          <w:rFonts w:eastAsia="Verdana" w:cs="Verdana"/>
          <w:szCs w:val="20"/>
          <w:lang w:val="es-CO"/>
        </w:rPr>
        <w:t>En este sentido, l</w:t>
      </w:r>
      <w:r w:rsidRPr="007F3A6A">
        <w:rPr>
          <w:rFonts w:eastAsia="Verdana" w:cs="Verdana"/>
          <w:szCs w:val="20"/>
          <w:lang w:val="es-CO"/>
        </w:rPr>
        <w:t xml:space="preserve">a Corte </w:t>
      </w:r>
      <w:r>
        <w:rPr>
          <w:rFonts w:eastAsia="Verdana" w:cs="Verdana"/>
          <w:szCs w:val="20"/>
          <w:lang w:val="es-CO"/>
        </w:rPr>
        <w:t xml:space="preserve">estima alarmante que solamente 8 </w:t>
      </w:r>
      <w:r w:rsidR="007F3A6A">
        <w:rPr>
          <w:rFonts w:eastAsia="Verdana" w:cs="Verdana"/>
          <w:szCs w:val="20"/>
          <w:lang w:val="es-CO"/>
        </w:rPr>
        <w:t xml:space="preserve">o 9 </w:t>
      </w:r>
      <w:r>
        <w:rPr>
          <w:rFonts w:eastAsia="Verdana" w:cs="Verdana"/>
          <w:szCs w:val="20"/>
          <w:lang w:val="es-CO"/>
        </w:rPr>
        <w:t>personas se encuentren encargadas de la s</w:t>
      </w:r>
      <w:r w:rsidR="00750238">
        <w:rPr>
          <w:rFonts w:eastAsia="Verdana" w:cs="Verdana"/>
          <w:szCs w:val="20"/>
          <w:lang w:val="es-CO"/>
        </w:rPr>
        <w:t>eguridad de un centro penal que cuenta con una población de más de 3.000 personas. Esta Corte reitera que en centros de detención como el IPPSC, el Estado se encuentra en una posición</w:t>
      </w:r>
      <w:r w:rsidR="00C77799">
        <w:rPr>
          <w:rFonts w:eastAsia="Verdana" w:cs="Verdana"/>
          <w:szCs w:val="20"/>
          <w:lang w:val="es-CO"/>
        </w:rPr>
        <w:t xml:space="preserve"> especial</w:t>
      </w:r>
      <w:r w:rsidR="00750238">
        <w:rPr>
          <w:rFonts w:eastAsia="Verdana" w:cs="Verdana"/>
          <w:szCs w:val="20"/>
          <w:lang w:val="es-CO"/>
        </w:rPr>
        <w:t xml:space="preserve"> de garante de los derechos de las personas allí recluidas</w:t>
      </w:r>
      <w:r w:rsidR="00C77799">
        <w:rPr>
          <w:rFonts w:eastAsia="Verdana" w:cs="Verdana"/>
          <w:szCs w:val="20"/>
          <w:lang w:val="es-CO"/>
        </w:rPr>
        <w:t xml:space="preserve"> puesto que </w:t>
      </w:r>
      <w:r w:rsidR="00C77799" w:rsidRPr="007F3A6A">
        <w:rPr>
          <w:lang w:val="es-ES"/>
        </w:rPr>
        <w:t>ejercen un control total sobre éstas</w:t>
      </w:r>
      <w:r w:rsidR="00A05840">
        <w:rPr>
          <w:rStyle w:val="FootnoteReference"/>
          <w:rFonts w:eastAsia="Verdana" w:cs="Verdana"/>
        </w:rPr>
        <w:footnoteReference w:id="35"/>
      </w:r>
      <w:r w:rsidR="007F3A6A">
        <w:rPr>
          <w:lang w:val="es-ES"/>
        </w:rPr>
        <w:t>.</w:t>
      </w:r>
      <w:r w:rsidR="00750238">
        <w:rPr>
          <w:rFonts w:eastAsia="Verdana" w:cs="Verdana"/>
          <w:szCs w:val="20"/>
          <w:lang w:val="es-CO"/>
        </w:rPr>
        <w:t xml:space="preserve"> En tal virtud, el Estado debe </w:t>
      </w:r>
      <w:r w:rsidR="00A05840">
        <w:rPr>
          <w:rFonts w:eastAsia="Verdana" w:cs="Verdana"/>
          <w:szCs w:val="20"/>
          <w:lang w:val="es-CO"/>
        </w:rPr>
        <w:t xml:space="preserve">de </w:t>
      </w:r>
      <w:r w:rsidR="00A05840" w:rsidRPr="00C6436A">
        <w:rPr>
          <w:rFonts w:eastAsia="Verdana" w:cs="Verdana"/>
          <w:szCs w:val="20"/>
          <w:lang w:val="es-CO"/>
        </w:rPr>
        <w:t>manera inmediata tomar las medidas necesarias para asegurar</w:t>
      </w:r>
      <w:r w:rsidR="00C77799" w:rsidRPr="00C6436A">
        <w:rPr>
          <w:rFonts w:eastAsia="Verdana" w:cs="Verdana"/>
          <w:szCs w:val="20"/>
          <w:lang w:val="es-CO"/>
        </w:rPr>
        <w:t xml:space="preserve"> el adecuado control del centro y asegurar que no se suscite violencia, amenazas ni menoscabos a la integridad personal de </w:t>
      </w:r>
      <w:r w:rsidR="001364C6">
        <w:rPr>
          <w:rFonts w:eastAsia="Verdana" w:cs="Verdana"/>
          <w:szCs w:val="20"/>
          <w:lang w:val="es-CO"/>
        </w:rPr>
        <w:t>quienes están</w:t>
      </w:r>
      <w:r w:rsidR="00C77799" w:rsidRPr="00C6436A">
        <w:rPr>
          <w:rFonts w:eastAsia="Verdana" w:cs="Verdana"/>
          <w:szCs w:val="20"/>
          <w:lang w:val="es-CO"/>
        </w:rPr>
        <w:t xml:space="preserve"> detenid</w:t>
      </w:r>
      <w:r w:rsidR="001364C6">
        <w:rPr>
          <w:rFonts w:eastAsia="Verdana" w:cs="Verdana"/>
          <w:szCs w:val="20"/>
          <w:lang w:val="es-CO"/>
        </w:rPr>
        <w:t>o</w:t>
      </w:r>
      <w:r w:rsidR="00C77799" w:rsidRPr="00C6436A">
        <w:rPr>
          <w:rFonts w:eastAsia="Verdana" w:cs="Verdana"/>
          <w:szCs w:val="20"/>
          <w:lang w:val="es-CO"/>
        </w:rPr>
        <w:t xml:space="preserve">s. </w:t>
      </w:r>
    </w:p>
    <w:p w14:paraId="427233AB" w14:textId="77777777" w:rsidR="00C77799" w:rsidRPr="00C6436A" w:rsidRDefault="00C77799" w:rsidP="007F3A6A">
      <w:pPr>
        <w:pStyle w:val="ListParagraph"/>
        <w:rPr>
          <w:rFonts w:eastAsia="Verdana" w:cs="Verdana"/>
          <w:szCs w:val="20"/>
          <w:lang w:val="es-CO"/>
        </w:rPr>
      </w:pPr>
    </w:p>
    <w:p w14:paraId="323508FB" w14:textId="77777777" w:rsidR="00E363ED" w:rsidRPr="00C6436A" w:rsidRDefault="00C77799" w:rsidP="006D31D9">
      <w:pPr>
        <w:pStyle w:val="ListParagraph"/>
        <w:numPr>
          <w:ilvl w:val="0"/>
          <w:numId w:val="20"/>
        </w:numPr>
        <w:snapToGrid w:val="0"/>
        <w:ind w:left="0" w:firstLine="0"/>
        <w:contextualSpacing w:val="0"/>
        <w:rPr>
          <w:szCs w:val="20"/>
          <w:lang w:val="es-CO"/>
        </w:rPr>
      </w:pPr>
      <w:r w:rsidRPr="00C6436A">
        <w:rPr>
          <w:rFonts w:eastAsia="Verdana" w:cs="Verdana"/>
          <w:szCs w:val="20"/>
          <w:lang w:val="es-CO"/>
        </w:rPr>
        <w:t xml:space="preserve">En el mismo orden de ideas, </w:t>
      </w:r>
      <w:r w:rsidR="00B8714E" w:rsidRPr="00C6436A">
        <w:rPr>
          <w:rFonts w:eastAsia="Verdana" w:cs="Verdana"/>
          <w:szCs w:val="20"/>
          <w:lang w:val="es-CO"/>
        </w:rPr>
        <w:t xml:space="preserve">es inaceptable que los internos que realizan labores de limpieza pongan en riesgo su vida e integridad por la falta de enseres tan elementales como </w:t>
      </w:r>
      <w:r w:rsidR="003716B5" w:rsidRPr="00C6436A">
        <w:rPr>
          <w:rFonts w:eastAsia="Verdana" w:cs="Verdana"/>
          <w:szCs w:val="20"/>
          <w:lang w:val="es-CO"/>
        </w:rPr>
        <w:t>calzado</w:t>
      </w:r>
      <w:r w:rsidR="00B8714E" w:rsidRPr="00C6436A">
        <w:rPr>
          <w:rFonts w:eastAsia="Verdana" w:cs="Verdana"/>
          <w:szCs w:val="20"/>
          <w:lang w:val="es-CO"/>
        </w:rPr>
        <w:t xml:space="preserve">. En consonancia con la jurisprudencia constante de este tribunal, la Corte </w:t>
      </w:r>
      <w:r w:rsidR="0065188D" w:rsidRPr="00C6436A">
        <w:rPr>
          <w:rFonts w:eastAsia="Verdana" w:cs="Verdana"/>
          <w:szCs w:val="20"/>
          <w:lang w:val="es-CO"/>
        </w:rPr>
        <w:t>hace notar</w:t>
      </w:r>
      <w:r w:rsidR="00B8714E" w:rsidRPr="00C6436A">
        <w:rPr>
          <w:rFonts w:eastAsia="Verdana" w:cs="Verdana"/>
          <w:szCs w:val="20"/>
          <w:lang w:val="es-CO"/>
        </w:rPr>
        <w:t xml:space="preserve"> que los Estados deben abstener</w:t>
      </w:r>
      <w:r w:rsidR="0065188D" w:rsidRPr="00C6436A">
        <w:rPr>
          <w:rFonts w:eastAsia="Verdana" w:cs="Verdana"/>
          <w:szCs w:val="20"/>
          <w:lang w:val="es-CO"/>
        </w:rPr>
        <w:t>se</w:t>
      </w:r>
      <w:r w:rsidR="00B8714E" w:rsidRPr="00C6436A">
        <w:rPr>
          <w:rFonts w:eastAsia="Verdana" w:cs="Verdana"/>
          <w:szCs w:val="20"/>
          <w:lang w:val="es-CO"/>
        </w:rPr>
        <w:t xml:space="preserve"> de crear condiciones incompatibles con </w:t>
      </w:r>
      <w:r w:rsidR="0065188D" w:rsidRPr="00C6436A">
        <w:rPr>
          <w:rFonts w:eastAsia="Verdana" w:cs="Verdana"/>
          <w:szCs w:val="20"/>
          <w:lang w:val="es-CO"/>
        </w:rPr>
        <w:t>l</w:t>
      </w:r>
      <w:r w:rsidR="00B8714E" w:rsidRPr="00C6436A">
        <w:rPr>
          <w:rFonts w:eastAsia="Verdana" w:cs="Verdana"/>
          <w:szCs w:val="20"/>
          <w:lang w:val="es-CO"/>
        </w:rPr>
        <w:t>a existencia digna</w:t>
      </w:r>
      <w:r w:rsidR="0065188D" w:rsidRPr="00C6436A">
        <w:rPr>
          <w:rFonts w:eastAsia="Verdana" w:cs="Verdana"/>
          <w:szCs w:val="20"/>
          <w:lang w:val="es-CO"/>
        </w:rPr>
        <w:t xml:space="preserve"> de las personas privadas de libertad</w:t>
      </w:r>
      <w:r w:rsidR="008D0240" w:rsidRPr="00C6436A">
        <w:rPr>
          <w:rStyle w:val="FootnoteReference"/>
          <w:rFonts w:eastAsia="Verdana" w:cs="Verdana"/>
        </w:rPr>
        <w:footnoteReference w:id="36"/>
      </w:r>
      <w:r w:rsidR="007F3A6A" w:rsidRPr="00C6436A">
        <w:rPr>
          <w:rFonts w:eastAsia="Verdana" w:cs="Verdana"/>
          <w:szCs w:val="20"/>
          <w:lang w:val="es-CO"/>
        </w:rPr>
        <w:t>.</w:t>
      </w:r>
      <w:r w:rsidR="00B8714E" w:rsidRPr="00C6436A">
        <w:rPr>
          <w:rFonts w:eastAsia="Verdana" w:cs="Verdana"/>
          <w:szCs w:val="20"/>
          <w:lang w:val="es-CO"/>
        </w:rPr>
        <w:t xml:space="preserve"> </w:t>
      </w:r>
      <w:r w:rsidR="008D0240" w:rsidRPr="00C6436A">
        <w:rPr>
          <w:rFonts w:eastAsia="Verdana" w:cs="Verdana"/>
          <w:szCs w:val="20"/>
          <w:lang w:val="es-CO"/>
        </w:rPr>
        <w:t xml:space="preserve">En tal virtud, el Estado debe </w:t>
      </w:r>
      <w:r w:rsidR="008F2FFF" w:rsidRPr="00C6436A">
        <w:rPr>
          <w:rFonts w:eastAsia="Verdana" w:cs="Verdana"/>
          <w:szCs w:val="20"/>
          <w:lang w:val="es-CO"/>
        </w:rPr>
        <w:t>tomar medidas concretas para</w:t>
      </w:r>
      <w:r w:rsidR="0065188D" w:rsidRPr="00C6436A">
        <w:rPr>
          <w:rFonts w:eastAsia="Verdana" w:cs="Verdana"/>
          <w:szCs w:val="20"/>
          <w:lang w:val="es-CO"/>
        </w:rPr>
        <w:t>, entre otras cosas,</w:t>
      </w:r>
      <w:r w:rsidR="008F2FFF" w:rsidRPr="00C6436A">
        <w:rPr>
          <w:rFonts w:eastAsia="Verdana" w:cs="Verdana"/>
          <w:szCs w:val="20"/>
          <w:lang w:val="es-CO"/>
        </w:rPr>
        <w:t xml:space="preserve"> implementar lo preceptuado por la </w:t>
      </w:r>
      <w:r w:rsidR="008F2FFF" w:rsidRPr="00C6436A">
        <w:rPr>
          <w:szCs w:val="20"/>
          <w:lang w:val="es-CO"/>
        </w:rPr>
        <w:t xml:space="preserve">Ley </w:t>
      </w:r>
      <w:r w:rsidR="00C6436A" w:rsidRPr="00C6436A">
        <w:rPr>
          <w:szCs w:val="20"/>
          <w:lang w:val="es-CO"/>
        </w:rPr>
        <w:t>N</w:t>
      </w:r>
      <w:r w:rsidR="008F2FFF" w:rsidRPr="00C6436A">
        <w:rPr>
          <w:szCs w:val="20"/>
          <w:lang w:val="es-CO"/>
        </w:rPr>
        <w:t>o. 7.210/84</w:t>
      </w:r>
      <w:r w:rsidR="00B8714E" w:rsidRPr="00C6436A">
        <w:rPr>
          <w:rFonts w:eastAsia="Verdana" w:cs="Verdana"/>
          <w:szCs w:val="20"/>
          <w:lang w:val="es-CO"/>
        </w:rPr>
        <w:t xml:space="preserve"> </w:t>
      </w:r>
      <w:r w:rsidR="008F2FFF" w:rsidRPr="00C6436A">
        <w:rPr>
          <w:rFonts w:eastAsia="Verdana" w:cs="Verdana"/>
          <w:szCs w:val="20"/>
          <w:lang w:val="es-CO"/>
        </w:rPr>
        <w:t xml:space="preserve">y garantizar que los internos gocen de los derechos que la citada norma les concede. </w:t>
      </w:r>
      <w:r w:rsidR="00B8714E" w:rsidRPr="00C6436A">
        <w:rPr>
          <w:rFonts w:eastAsia="Verdana" w:cs="Verdana"/>
          <w:szCs w:val="20"/>
          <w:lang w:val="es-CO"/>
        </w:rPr>
        <w:t xml:space="preserve"> </w:t>
      </w:r>
      <w:r w:rsidR="00A05840" w:rsidRPr="00C6436A">
        <w:rPr>
          <w:rFonts w:eastAsia="Verdana" w:cs="Verdana"/>
          <w:szCs w:val="20"/>
          <w:lang w:val="es-CO"/>
        </w:rPr>
        <w:t xml:space="preserve"> </w:t>
      </w:r>
      <w:r w:rsidR="00750238" w:rsidRPr="00C6436A">
        <w:rPr>
          <w:rFonts w:eastAsia="Verdana" w:cs="Verdana"/>
          <w:szCs w:val="20"/>
          <w:lang w:val="es-CO"/>
        </w:rPr>
        <w:t xml:space="preserve"> </w:t>
      </w:r>
    </w:p>
    <w:p w14:paraId="37A64134" w14:textId="77777777" w:rsidR="00E50C54" w:rsidRPr="00C6436A" w:rsidRDefault="00E50C54" w:rsidP="006D31D9">
      <w:pPr>
        <w:pStyle w:val="ListParagraph"/>
        <w:snapToGrid w:val="0"/>
        <w:rPr>
          <w:b/>
          <w:i/>
          <w:szCs w:val="20"/>
          <w:lang w:val="es-CO"/>
        </w:rPr>
      </w:pPr>
    </w:p>
    <w:p w14:paraId="00202E54" w14:textId="77777777" w:rsidR="00E56CB9" w:rsidRPr="00C6436A" w:rsidRDefault="00E56CB9" w:rsidP="006D31D9">
      <w:pPr>
        <w:pStyle w:val="ListParagraph"/>
        <w:numPr>
          <w:ilvl w:val="0"/>
          <w:numId w:val="9"/>
        </w:numPr>
        <w:snapToGrid w:val="0"/>
        <w:rPr>
          <w:b/>
          <w:i/>
          <w:szCs w:val="20"/>
          <w:lang w:val="es-CO"/>
        </w:rPr>
      </w:pPr>
      <w:r w:rsidRPr="00C6436A">
        <w:rPr>
          <w:b/>
          <w:i/>
          <w:szCs w:val="20"/>
          <w:lang w:val="es-CO"/>
        </w:rPr>
        <w:t xml:space="preserve">Información solicitada al Estado  </w:t>
      </w:r>
    </w:p>
    <w:p w14:paraId="6D9DF619" w14:textId="77777777" w:rsidR="00E56CB9" w:rsidRPr="00F57FA4" w:rsidRDefault="00E56CB9" w:rsidP="006D31D9">
      <w:pPr>
        <w:snapToGrid w:val="0"/>
        <w:rPr>
          <w:szCs w:val="20"/>
          <w:lang w:val="es-CO"/>
        </w:rPr>
      </w:pPr>
    </w:p>
    <w:p w14:paraId="5FF71604" w14:textId="257341EB" w:rsidR="006931D5" w:rsidRPr="00F57FA4" w:rsidRDefault="00A9094E" w:rsidP="006D31D9">
      <w:pPr>
        <w:pStyle w:val="ListParagraph"/>
        <w:numPr>
          <w:ilvl w:val="0"/>
          <w:numId w:val="20"/>
        </w:numPr>
        <w:snapToGrid w:val="0"/>
        <w:ind w:left="0" w:firstLine="0"/>
        <w:contextualSpacing w:val="0"/>
        <w:rPr>
          <w:szCs w:val="20"/>
          <w:lang w:val="es-CO"/>
        </w:rPr>
      </w:pPr>
      <w:r w:rsidRPr="00F57FA4">
        <w:rPr>
          <w:szCs w:val="20"/>
          <w:lang w:val="es-CO"/>
        </w:rPr>
        <w:t>El 2</w:t>
      </w:r>
      <w:r w:rsidR="000535D1" w:rsidRPr="00F57FA4">
        <w:rPr>
          <w:szCs w:val="20"/>
          <w:lang w:val="es-CO"/>
        </w:rPr>
        <w:t xml:space="preserve">9 de junio de 2017 </w:t>
      </w:r>
      <w:r w:rsidRPr="00F57FA4">
        <w:rPr>
          <w:szCs w:val="20"/>
          <w:lang w:val="es-CO"/>
        </w:rPr>
        <w:t>la Corte requirió al Estado que presentara</w:t>
      </w:r>
      <w:r w:rsidR="00056F81" w:rsidRPr="00F57FA4">
        <w:rPr>
          <w:szCs w:val="20"/>
          <w:lang w:val="es-CO"/>
        </w:rPr>
        <w:t xml:space="preserve"> los siguientes documentos: 1) </w:t>
      </w:r>
      <w:r w:rsidR="00D80680">
        <w:rPr>
          <w:szCs w:val="20"/>
          <w:lang w:val="es-CO"/>
        </w:rPr>
        <w:t>l</w:t>
      </w:r>
      <w:r w:rsidR="00056F81" w:rsidRPr="00F57FA4">
        <w:rPr>
          <w:szCs w:val="20"/>
          <w:lang w:val="es-CO"/>
        </w:rPr>
        <w:t xml:space="preserve">istas detalladas del total de </w:t>
      </w:r>
      <w:r w:rsidR="0065188D">
        <w:rPr>
          <w:szCs w:val="20"/>
          <w:lang w:val="es-CO"/>
        </w:rPr>
        <w:t>internos</w:t>
      </w:r>
      <w:r w:rsidR="0065188D" w:rsidRPr="00F57FA4">
        <w:rPr>
          <w:szCs w:val="20"/>
          <w:lang w:val="es-CO"/>
        </w:rPr>
        <w:t xml:space="preserve"> </w:t>
      </w:r>
      <w:r w:rsidR="00056F81" w:rsidRPr="00F57FA4">
        <w:rPr>
          <w:szCs w:val="20"/>
          <w:lang w:val="es-CO"/>
        </w:rPr>
        <w:t>en el Instituto Penal Plácido de Sá Carvalho presentes los días 16, 19 y 23 de jun</w:t>
      </w:r>
      <w:r w:rsidR="00C6436A">
        <w:rPr>
          <w:szCs w:val="20"/>
          <w:lang w:val="es-CO"/>
        </w:rPr>
        <w:t xml:space="preserve">io de 2017; 2) </w:t>
      </w:r>
      <w:r w:rsidR="00D80680">
        <w:rPr>
          <w:szCs w:val="20"/>
          <w:lang w:val="es-CO"/>
        </w:rPr>
        <w:t>t</w:t>
      </w:r>
      <w:r w:rsidR="00C6436A">
        <w:rPr>
          <w:szCs w:val="20"/>
          <w:lang w:val="es-CO"/>
        </w:rPr>
        <w:t xml:space="preserve">odas las </w:t>
      </w:r>
      <w:r w:rsidR="00C6436A" w:rsidRPr="00C6436A">
        <w:rPr>
          <w:i/>
          <w:szCs w:val="20"/>
          <w:lang w:val="es-CO"/>
        </w:rPr>
        <w:t>sindicâ</w:t>
      </w:r>
      <w:r w:rsidR="00056F81" w:rsidRPr="00C6436A">
        <w:rPr>
          <w:i/>
          <w:szCs w:val="20"/>
          <w:lang w:val="es-CO"/>
        </w:rPr>
        <w:t>ncias</w:t>
      </w:r>
      <w:r w:rsidR="00FF6F97">
        <w:rPr>
          <w:i/>
          <w:szCs w:val="20"/>
          <w:lang w:val="es-CO"/>
        </w:rPr>
        <w:t xml:space="preserve"> o investigaciones</w:t>
      </w:r>
      <w:r w:rsidR="00056F81" w:rsidRPr="00F57FA4">
        <w:rPr>
          <w:szCs w:val="20"/>
          <w:lang w:val="es-CO"/>
        </w:rPr>
        <w:t xml:space="preserve"> concluidas sobre las muertes ocurridas en el Instituto Penal Plácido de Sá Carvalho entre el 1 de enero de 2016 y el 19 de junio de 2017; 3) </w:t>
      </w:r>
      <w:r w:rsidR="00D80680">
        <w:rPr>
          <w:szCs w:val="20"/>
          <w:lang w:val="es-CO"/>
        </w:rPr>
        <w:t>i</w:t>
      </w:r>
      <w:r w:rsidR="00056F81" w:rsidRPr="00F57FA4">
        <w:rPr>
          <w:szCs w:val="20"/>
          <w:lang w:val="es-CO"/>
        </w:rPr>
        <w:t xml:space="preserve">nformación sobre las dos muertes informadas por los representantes de los beneficiarios, ocurridas en el Instituto Penal Plácido de Sá Carvalho entre los días 19 de junio y 27 de junio de 2017; 4) </w:t>
      </w:r>
      <w:r w:rsidR="00D80680">
        <w:rPr>
          <w:szCs w:val="20"/>
          <w:lang w:val="es-CO"/>
        </w:rPr>
        <w:t>l</w:t>
      </w:r>
      <w:r w:rsidR="00056F81" w:rsidRPr="00F57FA4">
        <w:rPr>
          <w:szCs w:val="20"/>
          <w:lang w:val="es-CO"/>
        </w:rPr>
        <w:t xml:space="preserve">a presentación oficial del "Memorial Descriptivo de las Acciones del Ministerio Público en el ámbito de la Salud </w:t>
      </w:r>
      <w:r w:rsidR="00C6436A">
        <w:rPr>
          <w:szCs w:val="20"/>
          <w:lang w:val="es-CO"/>
        </w:rPr>
        <w:t>Carcelaria</w:t>
      </w:r>
      <w:r w:rsidR="00056F81" w:rsidRPr="00F57FA4">
        <w:rPr>
          <w:szCs w:val="20"/>
          <w:lang w:val="es-CO"/>
        </w:rPr>
        <w:t>", elaborado por el Ministerio Público del Estado de Río de Janeiro y mencionado durante la reunión previa ocurrida el 19 de junio de 2017.</w:t>
      </w:r>
      <w:r w:rsidR="00EB326C" w:rsidRPr="00F57FA4">
        <w:rPr>
          <w:szCs w:val="20"/>
          <w:lang w:val="es-CO"/>
        </w:rPr>
        <w:t xml:space="preserve"> </w:t>
      </w:r>
    </w:p>
    <w:p w14:paraId="25148620" w14:textId="77777777" w:rsidR="006931D5" w:rsidRPr="00F57FA4" w:rsidRDefault="006931D5" w:rsidP="006D31D9">
      <w:pPr>
        <w:pStyle w:val="ListParagraph"/>
        <w:snapToGrid w:val="0"/>
        <w:ind w:left="0"/>
        <w:contextualSpacing w:val="0"/>
        <w:rPr>
          <w:szCs w:val="20"/>
          <w:lang w:val="es-CO"/>
        </w:rPr>
      </w:pPr>
    </w:p>
    <w:p w14:paraId="1F6A37F8" w14:textId="77777777" w:rsidR="00C808BA" w:rsidRPr="00F57FA4" w:rsidRDefault="00056F81" w:rsidP="006D31D9">
      <w:pPr>
        <w:pStyle w:val="ListParagraph"/>
        <w:numPr>
          <w:ilvl w:val="0"/>
          <w:numId w:val="20"/>
        </w:numPr>
        <w:snapToGrid w:val="0"/>
        <w:ind w:left="0" w:firstLine="0"/>
        <w:contextualSpacing w:val="0"/>
        <w:rPr>
          <w:szCs w:val="20"/>
          <w:lang w:val="es-CO"/>
        </w:rPr>
      </w:pPr>
      <w:r w:rsidRPr="00F57FA4">
        <w:rPr>
          <w:szCs w:val="20"/>
          <w:lang w:val="es-CO"/>
        </w:rPr>
        <w:t xml:space="preserve">El </w:t>
      </w:r>
      <w:r w:rsidRPr="00F57FA4">
        <w:rPr>
          <w:b/>
          <w:i/>
          <w:szCs w:val="20"/>
          <w:lang w:val="es-CO"/>
        </w:rPr>
        <w:t>Estado</w:t>
      </w:r>
      <w:r w:rsidR="00A9094E" w:rsidRPr="00F57FA4">
        <w:rPr>
          <w:b/>
          <w:i/>
          <w:szCs w:val="20"/>
          <w:lang w:val="es-CO"/>
        </w:rPr>
        <w:t xml:space="preserve"> </w:t>
      </w:r>
      <w:r w:rsidR="00E363ED">
        <w:rPr>
          <w:szCs w:val="20"/>
          <w:lang w:val="es-CO"/>
        </w:rPr>
        <w:t xml:space="preserve">presentó algunos de </w:t>
      </w:r>
      <w:r w:rsidR="00B72870" w:rsidRPr="00F57FA4">
        <w:rPr>
          <w:szCs w:val="20"/>
          <w:lang w:val="es-CO"/>
        </w:rPr>
        <w:t xml:space="preserve">los documentos </w:t>
      </w:r>
      <w:r w:rsidR="00E363ED">
        <w:rPr>
          <w:szCs w:val="20"/>
          <w:lang w:val="es-CO"/>
        </w:rPr>
        <w:t xml:space="preserve">solicitados e informó sobre una muerte ocurrida el </w:t>
      </w:r>
      <w:r w:rsidR="006931D5" w:rsidRPr="00F57FA4">
        <w:rPr>
          <w:szCs w:val="20"/>
          <w:lang w:val="es-CO"/>
        </w:rPr>
        <w:t xml:space="preserve">19 de junio </w:t>
      </w:r>
      <w:r w:rsidR="00E363ED">
        <w:rPr>
          <w:szCs w:val="20"/>
          <w:lang w:val="es-CO"/>
        </w:rPr>
        <w:t xml:space="preserve">de 2017. </w:t>
      </w:r>
    </w:p>
    <w:p w14:paraId="48F1DD5D" w14:textId="77777777" w:rsidR="00EB326C" w:rsidRPr="00F57FA4" w:rsidRDefault="00EB326C" w:rsidP="006D31D9">
      <w:pPr>
        <w:pStyle w:val="ListParagraph"/>
        <w:rPr>
          <w:szCs w:val="20"/>
          <w:lang w:val="es-CO"/>
        </w:rPr>
      </w:pPr>
    </w:p>
    <w:p w14:paraId="01C62270" w14:textId="77777777" w:rsidR="00EB326C" w:rsidRPr="00F57FA4" w:rsidRDefault="00EB326C" w:rsidP="006D31D9">
      <w:pPr>
        <w:pStyle w:val="ListParagraph"/>
        <w:numPr>
          <w:ilvl w:val="0"/>
          <w:numId w:val="20"/>
        </w:numPr>
        <w:snapToGrid w:val="0"/>
        <w:ind w:left="0" w:firstLine="0"/>
        <w:contextualSpacing w:val="0"/>
        <w:rPr>
          <w:szCs w:val="20"/>
          <w:lang w:val="es-CO"/>
        </w:rPr>
      </w:pPr>
      <w:r w:rsidRPr="00F57FA4">
        <w:rPr>
          <w:szCs w:val="20"/>
          <w:lang w:val="es-CO"/>
        </w:rPr>
        <w:t xml:space="preserve">Este Tribunal observa que de la información enviada por el Estado se encontraron las siguientes incongruencias: </w:t>
      </w:r>
    </w:p>
    <w:p w14:paraId="2923DA83" w14:textId="77777777" w:rsidR="00EB326C" w:rsidRPr="00F57FA4" w:rsidRDefault="00EB326C" w:rsidP="006D31D9">
      <w:pPr>
        <w:pStyle w:val="ListParagraph"/>
        <w:rPr>
          <w:szCs w:val="20"/>
          <w:lang w:val="es-CO"/>
        </w:rPr>
      </w:pPr>
    </w:p>
    <w:p w14:paraId="5F82936E" w14:textId="78D91EA7" w:rsidR="00EB326C" w:rsidRPr="00F57FA4" w:rsidRDefault="00EB326C" w:rsidP="00E363ED">
      <w:pPr>
        <w:pStyle w:val="ListParagraph"/>
        <w:numPr>
          <w:ilvl w:val="2"/>
          <w:numId w:val="20"/>
        </w:numPr>
        <w:snapToGrid w:val="0"/>
        <w:ind w:left="851" w:hanging="425"/>
        <w:contextualSpacing w:val="0"/>
        <w:rPr>
          <w:szCs w:val="20"/>
          <w:lang w:val="es-CO"/>
        </w:rPr>
      </w:pPr>
      <w:r w:rsidRPr="00F57FA4">
        <w:rPr>
          <w:szCs w:val="20"/>
          <w:lang w:val="es-CO"/>
        </w:rPr>
        <w:t>Se solicitaron</w:t>
      </w:r>
      <w:r w:rsidR="00B82818" w:rsidRPr="00F57FA4">
        <w:rPr>
          <w:szCs w:val="20"/>
          <w:lang w:val="es-CO"/>
        </w:rPr>
        <w:t xml:space="preserve"> 3 </w:t>
      </w:r>
      <w:r w:rsidRPr="00F57FA4">
        <w:rPr>
          <w:szCs w:val="20"/>
          <w:lang w:val="es-CO"/>
        </w:rPr>
        <w:t xml:space="preserve">listas detalladas del total de </w:t>
      </w:r>
      <w:r w:rsidR="00A55620">
        <w:rPr>
          <w:szCs w:val="20"/>
          <w:lang w:val="es-CO"/>
        </w:rPr>
        <w:t>internos</w:t>
      </w:r>
      <w:r w:rsidR="00A55620" w:rsidRPr="00F57FA4">
        <w:rPr>
          <w:szCs w:val="20"/>
          <w:lang w:val="es-CO"/>
        </w:rPr>
        <w:t xml:space="preserve"> </w:t>
      </w:r>
      <w:r w:rsidRPr="00F57FA4">
        <w:rPr>
          <w:szCs w:val="20"/>
          <w:lang w:val="es-CO"/>
        </w:rPr>
        <w:t xml:space="preserve">en el </w:t>
      </w:r>
      <w:r w:rsidR="00E363ED">
        <w:rPr>
          <w:szCs w:val="20"/>
          <w:lang w:val="es-CO"/>
        </w:rPr>
        <w:t xml:space="preserve">IPPSC </w:t>
      </w:r>
      <w:r w:rsidRPr="00F57FA4">
        <w:rPr>
          <w:szCs w:val="20"/>
          <w:lang w:val="es-CO"/>
        </w:rPr>
        <w:t>presentes los días 16, 19 y 23 de junio de 2017</w:t>
      </w:r>
      <w:r w:rsidR="00E363ED">
        <w:rPr>
          <w:szCs w:val="20"/>
          <w:lang w:val="es-CO"/>
        </w:rPr>
        <w:t xml:space="preserve">; el Estado </w:t>
      </w:r>
      <w:r w:rsidRPr="00F57FA4">
        <w:rPr>
          <w:szCs w:val="20"/>
          <w:lang w:val="es-CO"/>
        </w:rPr>
        <w:t xml:space="preserve">solo </w:t>
      </w:r>
      <w:r w:rsidR="00E363ED">
        <w:rPr>
          <w:szCs w:val="20"/>
          <w:lang w:val="es-CO"/>
        </w:rPr>
        <w:t xml:space="preserve">remitió </w:t>
      </w:r>
      <w:r w:rsidR="00B82818" w:rsidRPr="00F57FA4">
        <w:rPr>
          <w:szCs w:val="20"/>
          <w:lang w:val="es-CO"/>
        </w:rPr>
        <w:t xml:space="preserve">2 </w:t>
      </w:r>
      <w:r w:rsidRPr="00F57FA4">
        <w:rPr>
          <w:szCs w:val="20"/>
          <w:lang w:val="es-CO"/>
        </w:rPr>
        <w:t>listas</w:t>
      </w:r>
      <w:r w:rsidR="00B82818" w:rsidRPr="00F57FA4">
        <w:rPr>
          <w:szCs w:val="20"/>
          <w:lang w:val="es-CO"/>
        </w:rPr>
        <w:t xml:space="preserve">, la primera </w:t>
      </w:r>
      <w:r w:rsidR="00B82818" w:rsidRPr="00F57FA4">
        <w:rPr>
          <w:szCs w:val="20"/>
          <w:lang w:val="es-CO"/>
        </w:rPr>
        <w:lastRenderedPageBreak/>
        <w:t xml:space="preserve">corresponde al total de presos presentes en el IPPSC </w:t>
      </w:r>
      <w:r w:rsidR="00E363ED">
        <w:rPr>
          <w:szCs w:val="20"/>
          <w:lang w:val="es-CO"/>
        </w:rPr>
        <w:t>“</w:t>
      </w:r>
      <w:r w:rsidR="00B82818" w:rsidRPr="00F57FA4">
        <w:rPr>
          <w:szCs w:val="20"/>
          <w:lang w:val="es-CO"/>
        </w:rPr>
        <w:t xml:space="preserve">entre el 16 de junio </w:t>
      </w:r>
      <w:r w:rsidR="00E363ED">
        <w:rPr>
          <w:szCs w:val="20"/>
          <w:lang w:val="es-CO"/>
        </w:rPr>
        <w:t>y e</w:t>
      </w:r>
      <w:r w:rsidR="00B82818" w:rsidRPr="00F57FA4">
        <w:rPr>
          <w:szCs w:val="20"/>
          <w:lang w:val="es-CO"/>
        </w:rPr>
        <w:t>l 19 de junio de 2017</w:t>
      </w:r>
      <w:r w:rsidR="00E363ED">
        <w:rPr>
          <w:szCs w:val="20"/>
          <w:lang w:val="es-CO"/>
        </w:rPr>
        <w:t>”,</w:t>
      </w:r>
      <w:r w:rsidR="00B82818" w:rsidRPr="00F57FA4">
        <w:rPr>
          <w:szCs w:val="20"/>
          <w:lang w:val="es-CO"/>
        </w:rPr>
        <w:t xml:space="preserve"> y la segunda al 23 de junio de 2017. </w:t>
      </w:r>
    </w:p>
    <w:p w14:paraId="2F5ECA83" w14:textId="77777777" w:rsidR="00C808BA" w:rsidRPr="00F57FA4" w:rsidRDefault="00C808BA" w:rsidP="00E363ED">
      <w:pPr>
        <w:pStyle w:val="ListParagraph"/>
        <w:snapToGrid w:val="0"/>
        <w:ind w:left="851" w:hanging="425"/>
        <w:contextualSpacing w:val="0"/>
        <w:rPr>
          <w:szCs w:val="20"/>
          <w:lang w:val="es-CO"/>
        </w:rPr>
      </w:pPr>
    </w:p>
    <w:p w14:paraId="628BDE7A" w14:textId="77777777" w:rsidR="00B82818" w:rsidRPr="00F57FA4" w:rsidRDefault="00C808BA" w:rsidP="00E363ED">
      <w:pPr>
        <w:pStyle w:val="ListParagraph"/>
        <w:numPr>
          <w:ilvl w:val="2"/>
          <w:numId w:val="20"/>
        </w:numPr>
        <w:snapToGrid w:val="0"/>
        <w:ind w:left="851" w:hanging="425"/>
        <w:contextualSpacing w:val="0"/>
        <w:rPr>
          <w:szCs w:val="20"/>
          <w:lang w:val="es-CO"/>
        </w:rPr>
      </w:pPr>
      <w:r w:rsidRPr="00F57FA4">
        <w:rPr>
          <w:szCs w:val="20"/>
          <w:lang w:val="es-CO"/>
        </w:rPr>
        <w:t xml:space="preserve">La lista de </w:t>
      </w:r>
      <w:r w:rsidR="00A55620">
        <w:rPr>
          <w:szCs w:val="20"/>
          <w:lang w:val="es-CO"/>
        </w:rPr>
        <w:t xml:space="preserve">internos </w:t>
      </w:r>
      <w:r w:rsidR="00E363ED">
        <w:rPr>
          <w:szCs w:val="20"/>
          <w:lang w:val="es-CO"/>
        </w:rPr>
        <w:t>“</w:t>
      </w:r>
      <w:r w:rsidRPr="00F57FA4">
        <w:rPr>
          <w:szCs w:val="20"/>
          <w:lang w:val="es-CO"/>
        </w:rPr>
        <w:t>entre el 16 al 19 de junio de 2017</w:t>
      </w:r>
      <w:r w:rsidR="00E363ED">
        <w:rPr>
          <w:szCs w:val="20"/>
          <w:lang w:val="es-CO"/>
        </w:rPr>
        <w:t>”</w:t>
      </w:r>
      <w:r w:rsidRPr="00F57FA4">
        <w:rPr>
          <w:szCs w:val="20"/>
          <w:lang w:val="es-CO"/>
        </w:rPr>
        <w:t xml:space="preserve">, </w:t>
      </w:r>
      <w:r w:rsidR="00F545D8">
        <w:rPr>
          <w:szCs w:val="20"/>
          <w:lang w:val="es-CO"/>
        </w:rPr>
        <w:t>con</w:t>
      </w:r>
      <w:r w:rsidRPr="00F57FA4">
        <w:rPr>
          <w:szCs w:val="20"/>
          <w:lang w:val="es-CO"/>
        </w:rPr>
        <w:t>tiene un total de 3</w:t>
      </w:r>
      <w:r w:rsidR="00E363ED">
        <w:rPr>
          <w:szCs w:val="20"/>
          <w:lang w:val="es-CO"/>
        </w:rPr>
        <w:t>,</w:t>
      </w:r>
      <w:r w:rsidRPr="00F57FA4">
        <w:rPr>
          <w:szCs w:val="20"/>
          <w:lang w:val="es-CO"/>
        </w:rPr>
        <w:t xml:space="preserve">227 </w:t>
      </w:r>
      <w:r w:rsidR="00F545D8">
        <w:rPr>
          <w:szCs w:val="20"/>
          <w:lang w:val="es-CO"/>
        </w:rPr>
        <w:t>personas</w:t>
      </w:r>
      <w:r w:rsidRPr="00F57FA4">
        <w:rPr>
          <w:szCs w:val="20"/>
          <w:lang w:val="es-CO"/>
        </w:rPr>
        <w:t>, de l</w:t>
      </w:r>
      <w:r w:rsidR="00F545D8">
        <w:rPr>
          <w:szCs w:val="20"/>
          <w:lang w:val="es-CO"/>
        </w:rPr>
        <w:t>a</w:t>
      </w:r>
      <w:r w:rsidRPr="00F57FA4">
        <w:rPr>
          <w:szCs w:val="20"/>
          <w:lang w:val="es-CO"/>
        </w:rPr>
        <w:t xml:space="preserve">s cuales 54 </w:t>
      </w:r>
      <w:r w:rsidR="00E363ED">
        <w:rPr>
          <w:szCs w:val="20"/>
          <w:lang w:val="es-CO"/>
        </w:rPr>
        <w:t xml:space="preserve">presentan </w:t>
      </w:r>
      <w:r w:rsidRPr="00F57FA4">
        <w:rPr>
          <w:szCs w:val="20"/>
          <w:lang w:val="es-CO"/>
        </w:rPr>
        <w:t xml:space="preserve">fecha de ingreso en el mes de julio </w:t>
      </w:r>
      <w:r w:rsidR="00A9094E" w:rsidRPr="00F57FA4">
        <w:rPr>
          <w:szCs w:val="20"/>
          <w:lang w:val="es-CO"/>
        </w:rPr>
        <w:t xml:space="preserve">de 2017 </w:t>
      </w:r>
      <w:r w:rsidRPr="00F57FA4">
        <w:rPr>
          <w:szCs w:val="20"/>
          <w:lang w:val="es-CO"/>
        </w:rPr>
        <w:t xml:space="preserve">y 25 </w:t>
      </w:r>
      <w:r w:rsidR="00E363ED">
        <w:rPr>
          <w:szCs w:val="20"/>
          <w:lang w:val="es-CO"/>
        </w:rPr>
        <w:t xml:space="preserve">presentan </w:t>
      </w:r>
      <w:r w:rsidRPr="00F57FA4">
        <w:rPr>
          <w:szCs w:val="20"/>
          <w:lang w:val="es-CO"/>
        </w:rPr>
        <w:t>fecha de ingreso entre el 20 al 30 de junio de 2017.</w:t>
      </w:r>
    </w:p>
    <w:p w14:paraId="2AE2D4D3" w14:textId="77777777" w:rsidR="00C808BA" w:rsidRPr="00F57FA4" w:rsidRDefault="00C808BA" w:rsidP="00E363ED">
      <w:pPr>
        <w:pStyle w:val="ListParagraph"/>
        <w:ind w:left="851" w:hanging="425"/>
        <w:rPr>
          <w:szCs w:val="20"/>
          <w:lang w:val="es-CO"/>
        </w:rPr>
      </w:pPr>
    </w:p>
    <w:p w14:paraId="5B0B68B5" w14:textId="77777777" w:rsidR="00B310B2" w:rsidRPr="00F57FA4" w:rsidRDefault="00C808BA" w:rsidP="00E363ED">
      <w:pPr>
        <w:pStyle w:val="ListParagraph"/>
        <w:numPr>
          <w:ilvl w:val="2"/>
          <w:numId w:val="20"/>
        </w:numPr>
        <w:snapToGrid w:val="0"/>
        <w:ind w:left="851" w:hanging="425"/>
        <w:contextualSpacing w:val="0"/>
        <w:rPr>
          <w:szCs w:val="20"/>
          <w:lang w:val="es-CO"/>
        </w:rPr>
      </w:pPr>
      <w:r w:rsidRPr="00F57FA4">
        <w:rPr>
          <w:szCs w:val="20"/>
          <w:lang w:val="es-CO"/>
        </w:rPr>
        <w:t>La lista del 23 de junio de 2017 tiene un total de 3</w:t>
      </w:r>
      <w:r w:rsidR="00E363ED">
        <w:rPr>
          <w:szCs w:val="20"/>
          <w:lang w:val="es-CO"/>
        </w:rPr>
        <w:t>,</w:t>
      </w:r>
      <w:r w:rsidRPr="00F57FA4">
        <w:rPr>
          <w:szCs w:val="20"/>
          <w:lang w:val="es-CO"/>
        </w:rPr>
        <w:t xml:space="preserve">361 presos, de los cuales 131 presentan fecha de entrada </w:t>
      </w:r>
      <w:r w:rsidR="00E363ED">
        <w:rPr>
          <w:szCs w:val="20"/>
          <w:lang w:val="es-CO"/>
        </w:rPr>
        <w:t xml:space="preserve">posterior al </w:t>
      </w:r>
      <w:r w:rsidRPr="00F57FA4">
        <w:rPr>
          <w:szCs w:val="20"/>
          <w:lang w:val="es-CO"/>
        </w:rPr>
        <w:t xml:space="preserve">23 de junio de 2017 y 132 presos </w:t>
      </w:r>
      <w:r w:rsidR="00CE4F0F">
        <w:rPr>
          <w:szCs w:val="20"/>
          <w:lang w:val="es-CO"/>
        </w:rPr>
        <w:t xml:space="preserve">tienen fecha de ingreso </w:t>
      </w:r>
      <w:r w:rsidRPr="00F57FA4">
        <w:rPr>
          <w:szCs w:val="20"/>
          <w:lang w:val="es-CO"/>
        </w:rPr>
        <w:t xml:space="preserve">el día </w:t>
      </w:r>
      <w:r w:rsidR="00CE4F0F">
        <w:rPr>
          <w:szCs w:val="20"/>
          <w:lang w:val="es-CO"/>
        </w:rPr>
        <w:t>posterior a</w:t>
      </w:r>
      <w:r w:rsidRPr="00F57FA4">
        <w:rPr>
          <w:szCs w:val="20"/>
          <w:lang w:val="es-CO"/>
        </w:rPr>
        <w:t xml:space="preserve"> la </w:t>
      </w:r>
      <w:r w:rsidR="00651BF4">
        <w:rPr>
          <w:szCs w:val="20"/>
          <w:lang w:val="es-CO"/>
        </w:rPr>
        <w:t xml:space="preserve">diligencia </w:t>
      </w:r>
      <w:r w:rsidR="00651BF4" w:rsidRPr="00651BF4">
        <w:rPr>
          <w:i/>
          <w:szCs w:val="20"/>
          <w:lang w:val="es-CO"/>
        </w:rPr>
        <w:t>in situ</w:t>
      </w:r>
      <w:r w:rsidRPr="00F57FA4">
        <w:rPr>
          <w:szCs w:val="20"/>
          <w:lang w:val="es-CO"/>
        </w:rPr>
        <w:t xml:space="preserve"> </w:t>
      </w:r>
      <w:r w:rsidR="00423EA1" w:rsidRPr="00F57FA4">
        <w:rPr>
          <w:szCs w:val="20"/>
          <w:lang w:val="es-CO"/>
        </w:rPr>
        <w:t>de la Corte</w:t>
      </w:r>
      <w:r w:rsidR="00CE4F0F">
        <w:rPr>
          <w:szCs w:val="20"/>
          <w:lang w:val="es-CO"/>
        </w:rPr>
        <w:t>,</w:t>
      </w:r>
      <w:r w:rsidR="00423EA1" w:rsidRPr="00F57FA4">
        <w:rPr>
          <w:szCs w:val="20"/>
          <w:lang w:val="es-CO"/>
        </w:rPr>
        <w:t xml:space="preserve"> el </w:t>
      </w:r>
      <w:r w:rsidRPr="00F57FA4">
        <w:rPr>
          <w:szCs w:val="20"/>
          <w:lang w:val="es-CO"/>
        </w:rPr>
        <w:t>20 de junio de 2017</w:t>
      </w:r>
      <w:r w:rsidR="00CE4F0F">
        <w:rPr>
          <w:szCs w:val="20"/>
          <w:lang w:val="es-CO"/>
        </w:rPr>
        <w:t>,</w:t>
      </w:r>
      <w:r w:rsidRPr="00F57FA4">
        <w:rPr>
          <w:szCs w:val="20"/>
          <w:lang w:val="es-CO"/>
        </w:rPr>
        <w:t xml:space="preserve"> entre las 9:30 y 19:30 </w:t>
      </w:r>
      <w:r w:rsidR="00CE4F0F">
        <w:rPr>
          <w:szCs w:val="20"/>
          <w:lang w:val="es-CO"/>
        </w:rPr>
        <w:t xml:space="preserve">horas; también </w:t>
      </w:r>
      <w:r w:rsidR="00423EA1" w:rsidRPr="00F57FA4">
        <w:rPr>
          <w:szCs w:val="20"/>
          <w:lang w:val="es-CO"/>
        </w:rPr>
        <w:t>se observó que</w:t>
      </w:r>
      <w:r w:rsidRPr="00F57FA4">
        <w:rPr>
          <w:szCs w:val="20"/>
          <w:lang w:val="es-CO"/>
        </w:rPr>
        <w:t xml:space="preserve"> 128 presos ingresaron a la misma hora</w:t>
      </w:r>
      <w:r w:rsidR="00CE4F0F">
        <w:rPr>
          <w:szCs w:val="20"/>
          <w:lang w:val="es-CO"/>
        </w:rPr>
        <w:t>:</w:t>
      </w:r>
      <w:r w:rsidRPr="00F57FA4">
        <w:rPr>
          <w:szCs w:val="20"/>
          <w:lang w:val="es-CO"/>
        </w:rPr>
        <w:t xml:space="preserve"> </w:t>
      </w:r>
      <w:r w:rsidR="00423EA1" w:rsidRPr="00F57FA4">
        <w:rPr>
          <w:szCs w:val="20"/>
          <w:lang w:val="es-CO"/>
        </w:rPr>
        <w:t xml:space="preserve">18:30. </w:t>
      </w:r>
    </w:p>
    <w:p w14:paraId="5FBCE196" w14:textId="77777777" w:rsidR="00E56CB9" w:rsidRDefault="00E56CB9" w:rsidP="006D31D9">
      <w:pPr>
        <w:snapToGrid w:val="0"/>
        <w:rPr>
          <w:szCs w:val="20"/>
          <w:lang w:val="es-CO"/>
        </w:rPr>
      </w:pPr>
    </w:p>
    <w:p w14:paraId="6C271EAB" w14:textId="3C79F616" w:rsidR="00CE4F0F" w:rsidRDefault="00F545D8" w:rsidP="00CE4F0F">
      <w:pPr>
        <w:pStyle w:val="ListParagraph"/>
        <w:numPr>
          <w:ilvl w:val="0"/>
          <w:numId w:val="20"/>
        </w:numPr>
        <w:snapToGrid w:val="0"/>
        <w:ind w:left="0" w:firstLine="0"/>
        <w:rPr>
          <w:szCs w:val="20"/>
          <w:lang w:val="es-CO"/>
        </w:rPr>
      </w:pPr>
      <w:r>
        <w:rPr>
          <w:szCs w:val="20"/>
          <w:lang w:val="es-CO"/>
        </w:rPr>
        <w:t xml:space="preserve">La Corte toma nota y observa con preocupación las inconsistencias presentes en la información presentada por el Estado. </w:t>
      </w:r>
      <w:r w:rsidR="009870B2">
        <w:rPr>
          <w:szCs w:val="20"/>
          <w:lang w:val="es-CO"/>
        </w:rPr>
        <w:t>Al respecto, la Cor</w:t>
      </w:r>
      <w:r w:rsidR="00C6436A">
        <w:rPr>
          <w:szCs w:val="20"/>
          <w:lang w:val="es-CO"/>
        </w:rPr>
        <w:t>te considera oportuno recordar</w:t>
      </w:r>
      <w:r w:rsidR="009870B2">
        <w:rPr>
          <w:szCs w:val="20"/>
          <w:lang w:val="es-CO"/>
        </w:rPr>
        <w:t xml:space="preserve"> </w:t>
      </w:r>
      <w:r w:rsidR="00C6436A">
        <w:rPr>
          <w:szCs w:val="20"/>
          <w:lang w:val="es-CO"/>
        </w:rPr>
        <w:t xml:space="preserve">el </w:t>
      </w:r>
      <w:r w:rsidR="009870B2">
        <w:rPr>
          <w:szCs w:val="20"/>
          <w:lang w:val="es-CO"/>
        </w:rPr>
        <w:t xml:space="preserve">principio básico del derecho internacional </w:t>
      </w:r>
      <w:r w:rsidR="00C6436A">
        <w:rPr>
          <w:szCs w:val="20"/>
          <w:lang w:val="es-CO"/>
        </w:rPr>
        <w:t xml:space="preserve">de cumplimiento de </w:t>
      </w:r>
      <w:r w:rsidR="009870B2">
        <w:rPr>
          <w:szCs w:val="20"/>
          <w:lang w:val="es-CO"/>
        </w:rPr>
        <w:t>sus obligaciones internacionales de buena fe</w:t>
      </w:r>
      <w:r w:rsidR="009870B2">
        <w:rPr>
          <w:rStyle w:val="FootnoteReference"/>
        </w:rPr>
        <w:footnoteReference w:id="37"/>
      </w:r>
      <w:r w:rsidR="00C6436A">
        <w:rPr>
          <w:szCs w:val="20"/>
          <w:lang w:val="es-CO"/>
        </w:rPr>
        <w:t>.</w:t>
      </w:r>
      <w:r w:rsidR="009870B2">
        <w:rPr>
          <w:szCs w:val="20"/>
          <w:lang w:val="es-CO"/>
        </w:rPr>
        <w:t xml:space="preserve"> Así, e</w:t>
      </w:r>
      <w:r w:rsidR="009870B2" w:rsidRPr="00C6436A">
        <w:rPr>
          <w:lang w:val="es-ES"/>
        </w:rPr>
        <w:t xml:space="preserve">l artículo 63.2 de la Convención </w:t>
      </w:r>
      <w:r w:rsidR="00C6436A">
        <w:rPr>
          <w:lang w:val="es-ES"/>
        </w:rPr>
        <w:t xml:space="preserve">Americana </w:t>
      </w:r>
      <w:r w:rsidR="009870B2" w:rsidRPr="00C6436A">
        <w:rPr>
          <w:lang w:val="es-ES"/>
        </w:rPr>
        <w:t>confiere un carácter obligatorio a la adopción, por parte del Estado, de las medidas provisionales que le ordene este Tribunal</w:t>
      </w:r>
      <w:r w:rsidR="00B87728">
        <w:rPr>
          <w:lang w:val="es-ES"/>
        </w:rPr>
        <w:t>, por tanto,</w:t>
      </w:r>
      <w:r w:rsidR="009870B2" w:rsidRPr="00C6436A">
        <w:rPr>
          <w:lang w:val="es-ES"/>
        </w:rPr>
        <w:t xml:space="preserve"> el incumplimiento de éstas podría generar la responsabilidad internacional del Estado</w:t>
      </w:r>
      <w:r w:rsidR="009870B2">
        <w:rPr>
          <w:rStyle w:val="FootnoteReference"/>
        </w:rPr>
        <w:footnoteReference w:id="38"/>
      </w:r>
      <w:r w:rsidR="00C6436A">
        <w:rPr>
          <w:lang w:val="es-ES"/>
        </w:rPr>
        <w:t>.</w:t>
      </w:r>
      <w:r w:rsidR="00923755" w:rsidRPr="00C6436A">
        <w:rPr>
          <w:lang w:val="es-ES"/>
        </w:rPr>
        <w:t xml:space="preserve"> </w:t>
      </w:r>
    </w:p>
    <w:p w14:paraId="33D06488" w14:textId="77777777" w:rsidR="00CE4F0F" w:rsidRPr="00CE4F0F" w:rsidRDefault="00CE4F0F" w:rsidP="00CE4F0F">
      <w:pPr>
        <w:pStyle w:val="ListParagraph"/>
        <w:snapToGrid w:val="0"/>
        <w:ind w:left="0"/>
        <w:rPr>
          <w:szCs w:val="20"/>
          <w:lang w:val="es-CO"/>
        </w:rPr>
      </w:pPr>
    </w:p>
    <w:p w14:paraId="5CAD8A26" w14:textId="77777777" w:rsidR="007D01AF" w:rsidRPr="00F57FA4" w:rsidRDefault="007D01AF" w:rsidP="006D31D9">
      <w:pPr>
        <w:pStyle w:val="ListParagraph"/>
        <w:numPr>
          <w:ilvl w:val="0"/>
          <w:numId w:val="9"/>
        </w:numPr>
        <w:snapToGrid w:val="0"/>
        <w:rPr>
          <w:b/>
          <w:i/>
          <w:szCs w:val="20"/>
          <w:lang w:val="es-CO"/>
        </w:rPr>
      </w:pPr>
      <w:r w:rsidRPr="00F57FA4">
        <w:rPr>
          <w:b/>
          <w:i/>
          <w:szCs w:val="20"/>
          <w:lang w:val="es-CO"/>
        </w:rPr>
        <w:t xml:space="preserve">Otros asuntos </w:t>
      </w:r>
    </w:p>
    <w:p w14:paraId="0899BE5B" w14:textId="77777777" w:rsidR="00056F81" w:rsidRPr="00F57FA4" w:rsidRDefault="00056F81" w:rsidP="006D31D9">
      <w:pPr>
        <w:pStyle w:val="ListParagraph"/>
        <w:snapToGrid w:val="0"/>
        <w:ind w:left="0"/>
        <w:contextualSpacing w:val="0"/>
        <w:rPr>
          <w:szCs w:val="20"/>
          <w:lang w:val="es-CO"/>
        </w:rPr>
      </w:pPr>
    </w:p>
    <w:p w14:paraId="0D2867C7" w14:textId="1D1B795E" w:rsidR="00162605" w:rsidRPr="00CE4F0F" w:rsidRDefault="009114FE" w:rsidP="006D31D9">
      <w:pPr>
        <w:pStyle w:val="ListParagraph"/>
        <w:numPr>
          <w:ilvl w:val="0"/>
          <w:numId w:val="20"/>
        </w:numPr>
        <w:snapToGrid w:val="0"/>
        <w:ind w:left="0" w:firstLine="0"/>
        <w:contextualSpacing w:val="0"/>
        <w:rPr>
          <w:szCs w:val="20"/>
          <w:lang w:val="es-CO"/>
        </w:rPr>
      </w:pPr>
      <w:r w:rsidRPr="00CE4F0F">
        <w:rPr>
          <w:szCs w:val="20"/>
          <w:lang w:val="es-CO"/>
        </w:rPr>
        <w:t xml:space="preserve">Los </w:t>
      </w:r>
      <w:r w:rsidR="00761C32" w:rsidRPr="00CE4F0F">
        <w:rPr>
          <w:b/>
          <w:i/>
          <w:szCs w:val="20"/>
          <w:lang w:val="es-CO"/>
        </w:rPr>
        <w:t>Representantes</w:t>
      </w:r>
      <w:r w:rsidR="00761C32" w:rsidRPr="00CE4F0F">
        <w:rPr>
          <w:szCs w:val="20"/>
          <w:lang w:val="es-CO"/>
        </w:rPr>
        <w:t xml:space="preserve"> in</w:t>
      </w:r>
      <w:r w:rsidR="00CE4F0F" w:rsidRPr="00CE4F0F">
        <w:rPr>
          <w:szCs w:val="20"/>
          <w:lang w:val="es-CO"/>
        </w:rPr>
        <w:t>formaron que el día 27 de junio</w:t>
      </w:r>
      <w:r w:rsidR="00761C32" w:rsidRPr="00CE4F0F">
        <w:rPr>
          <w:szCs w:val="20"/>
          <w:lang w:val="es-CO"/>
        </w:rPr>
        <w:t xml:space="preserve"> asistieron a la Unidad </w:t>
      </w:r>
      <w:r w:rsidR="00A9094E" w:rsidRPr="00CE4F0F">
        <w:rPr>
          <w:szCs w:val="20"/>
          <w:lang w:val="es-CO"/>
        </w:rPr>
        <w:t>Carcelaria</w:t>
      </w:r>
      <w:r w:rsidR="00761C32" w:rsidRPr="00CE4F0F">
        <w:rPr>
          <w:szCs w:val="20"/>
          <w:lang w:val="es-CO"/>
        </w:rPr>
        <w:t xml:space="preserve"> Pedrolino Werling de Oliveira para su inspección con el objetivo de registrar tal unidad, que </w:t>
      </w:r>
      <w:r w:rsidR="00A9094E" w:rsidRPr="00CE4F0F">
        <w:rPr>
          <w:szCs w:val="20"/>
          <w:lang w:val="es-CO"/>
        </w:rPr>
        <w:t>habría servido</w:t>
      </w:r>
      <w:r w:rsidR="00761C32" w:rsidRPr="00CE4F0F">
        <w:rPr>
          <w:szCs w:val="20"/>
          <w:lang w:val="es-CO"/>
        </w:rPr>
        <w:t xml:space="preserve"> de hogar temporal para algunos presos del IPPSC mientras se realizaba la </w:t>
      </w:r>
      <w:r w:rsidR="00651BF4">
        <w:rPr>
          <w:i/>
          <w:szCs w:val="20"/>
          <w:lang w:val="es-CO"/>
        </w:rPr>
        <w:t xml:space="preserve">diligencia </w:t>
      </w:r>
      <w:r w:rsidR="00651BF4" w:rsidRPr="00651BF4">
        <w:rPr>
          <w:i/>
          <w:szCs w:val="20"/>
          <w:lang w:val="es-CO"/>
        </w:rPr>
        <w:t>in situ</w:t>
      </w:r>
      <w:r w:rsidR="00A9094E" w:rsidRPr="00CE4F0F">
        <w:rPr>
          <w:szCs w:val="20"/>
          <w:lang w:val="es-CO"/>
        </w:rPr>
        <w:t xml:space="preserve"> de la Corte</w:t>
      </w:r>
      <w:r w:rsidR="00761C32" w:rsidRPr="00CE4F0F">
        <w:rPr>
          <w:szCs w:val="20"/>
          <w:lang w:val="es-CO"/>
        </w:rPr>
        <w:t xml:space="preserve">. </w:t>
      </w:r>
      <w:r w:rsidR="00135A17" w:rsidRPr="00CE4F0F">
        <w:rPr>
          <w:szCs w:val="20"/>
          <w:lang w:val="es-CO"/>
        </w:rPr>
        <w:t>A</w:t>
      </w:r>
      <w:r w:rsidR="00A9094E" w:rsidRPr="00CE4F0F">
        <w:rPr>
          <w:szCs w:val="20"/>
          <w:lang w:val="es-CO"/>
        </w:rPr>
        <w:t xml:space="preserve">firmaron que </w:t>
      </w:r>
      <w:r w:rsidR="006E153E" w:rsidRPr="00CE4F0F">
        <w:rPr>
          <w:szCs w:val="20"/>
          <w:lang w:val="es-CO"/>
        </w:rPr>
        <w:t xml:space="preserve">se les prohibió </w:t>
      </w:r>
      <w:r w:rsidR="00761C32" w:rsidRPr="00CE4F0F">
        <w:rPr>
          <w:szCs w:val="20"/>
          <w:lang w:val="es-CO"/>
        </w:rPr>
        <w:t xml:space="preserve">realizar la </w:t>
      </w:r>
      <w:r w:rsidR="006E153E" w:rsidRPr="00CE4F0F">
        <w:rPr>
          <w:szCs w:val="20"/>
          <w:lang w:val="es-CO"/>
        </w:rPr>
        <w:t xml:space="preserve">correspondiente </w:t>
      </w:r>
      <w:r w:rsidR="00761C32" w:rsidRPr="00CE4F0F">
        <w:rPr>
          <w:szCs w:val="20"/>
          <w:lang w:val="es-CO"/>
        </w:rPr>
        <w:t xml:space="preserve">inspección a través de registro fotográfico en </w:t>
      </w:r>
      <w:r w:rsidR="006E153E" w:rsidRPr="00CE4F0F">
        <w:rPr>
          <w:szCs w:val="20"/>
          <w:lang w:val="es-CO"/>
        </w:rPr>
        <w:t xml:space="preserve">la </w:t>
      </w:r>
      <w:r w:rsidR="00761C32" w:rsidRPr="00CE4F0F">
        <w:rPr>
          <w:szCs w:val="20"/>
          <w:lang w:val="es-CO"/>
        </w:rPr>
        <w:t xml:space="preserve">unidad penitenciaria. </w:t>
      </w:r>
      <w:r w:rsidR="00135A17" w:rsidRPr="00CE4F0F">
        <w:rPr>
          <w:szCs w:val="20"/>
          <w:lang w:val="es-CO"/>
        </w:rPr>
        <w:t xml:space="preserve">Al respecto informaron que </w:t>
      </w:r>
      <w:r w:rsidR="00761C32" w:rsidRPr="00CE4F0F">
        <w:rPr>
          <w:szCs w:val="20"/>
          <w:lang w:val="es-CO"/>
        </w:rPr>
        <w:t xml:space="preserve">se trata de una prohibición </w:t>
      </w:r>
      <w:r w:rsidR="008E4845">
        <w:rPr>
          <w:szCs w:val="20"/>
          <w:lang w:val="es-CO"/>
        </w:rPr>
        <w:t>proferida</w:t>
      </w:r>
      <w:r w:rsidR="008E4845" w:rsidRPr="00CE4F0F">
        <w:rPr>
          <w:szCs w:val="20"/>
          <w:lang w:val="es-CO"/>
        </w:rPr>
        <w:t xml:space="preserve"> </w:t>
      </w:r>
      <w:r w:rsidR="00761C32" w:rsidRPr="00CE4F0F">
        <w:rPr>
          <w:szCs w:val="20"/>
          <w:lang w:val="es-CO"/>
        </w:rPr>
        <w:t xml:space="preserve">por el Secretario de </w:t>
      </w:r>
      <w:r w:rsidR="00AB3C90">
        <w:rPr>
          <w:szCs w:val="20"/>
          <w:lang w:val="es-CO"/>
        </w:rPr>
        <w:t xml:space="preserve"> </w:t>
      </w:r>
      <w:r w:rsidR="00761C32" w:rsidRPr="00CE4F0F">
        <w:rPr>
          <w:szCs w:val="20"/>
          <w:lang w:val="es-CO"/>
        </w:rPr>
        <w:t>Administración Penitenciaria de forma</w:t>
      </w:r>
      <w:r w:rsidR="00135A17" w:rsidRPr="00CE4F0F">
        <w:rPr>
          <w:szCs w:val="20"/>
          <w:lang w:val="es-CO"/>
        </w:rPr>
        <w:t xml:space="preserve"> verbal y sólo en relación a los Representantes de las presentes medidas provisionales</w:t>
      </w:r>
      <w:r w:rsidR="00B42322" w:rsidRPr="00CE4F0F">
        <w:rPr>
          <w:szCs w:val="20"/>
          <w:lang w:val="es-CO"/>
        </w:rPr>
        <w:t xml:space="preserve">. </w:t>
      </w:r>
      <w:r w:rsidR="00CE4F0F" w:rsidRPr="00CE4F0F">
        <w:rPr>
          <w:rFonts w:eastAsia="Times New Roman" w:cs="Courier New"/>
          <w:color w:val="212121"/>
          <w:szCs w:val="20"/>
          <w:lang w:val="es-CO" w:eastAsia="es-CR"/>
        </w:rPr>
        <w:t xml:space="preserve">Así, </w:t>
      </w:r>
      <w:r w:rsidR="00690576" w:rsidRPr="00CE4F0F">
        <w:rPr>
          <w:szCs w:val="20"/>
          <w:lang w:val="es-CO"/>
        </w:rPr>
        <w:t xml:space="preserve">solicitaron a la Corte </w:t>
      </w:r>
      <w:r w:rsidR="00C43E85" w:rsidRPr="00CE4F0F">
        <w:rPr>
          <w:szCs w:val="20"/>
          <w:lang w:val="es-CO"/>
        </w:rPr>
        <w:t xml:space="preserve">que tome las medidas que considere necesarias en relación a los hechos </w:t>
      </w:r>
      <w:r w:rsidR="00A541D7">
        <w:rPr>
          <w:szCs w:val="20"/>
          <w:lang w:val="es-CO"/>
        </w:rPr>
        <w:t>expuestos</w:t>
      </w:r>
      <w:r w:rsidR="00C43E85" w:rsidRPr="00CE4F0F">
        <w:rPr>
          <w:szCs w:val="20"/>
          <w:lang w:val="es-CO"/>
        </w:rPr>
        <w:t xml:space="preserve">, pues, de lo contario no podrán </w:t>
      </w:r>
      <w:r w:rsidR="003906CA">
        <w:rPr>
          <w:szCs w:val="20"/>
          <w:lang w:val="es-CO"/>
        </w:rPr>
        <w:t>documentar fotográficamente</w:t>
      </w:r>
      <w:r w:rsidR="00C43E85" w:rsidRPr="00CE4F0F">
        <w:rPr>
          <w:szCs w:val="20"/>
          <w:lang w:val="es-CO"/>
        </w:rPr>
        <w:t xml:space="preserve"> </w:t>
      </w:r>
      <w:r w:rsidR="003906CA">
        <w:rPr>
          <w:szCs w:val="20"/>
          <w:lang w:val="es-CO"/>
        </w:rPr>
        <w:t>los</w:t>
      </w:r>
      <w:r w:rsidR="00C43E85" w:rsidRPr="00CE4F0F">
        <w:rPr>
          <w:szCs w:val="20"/>
          <w:lang w:val="es-CO"/>
        </w:rPr>
        <w:t xml:space="preserve"> informes </w:t>
      </w:r>
      <w:r w:rsidR="003906CA">
        <w:rPr>
          <w:szCs w:val="20"/>
          <w:lang w:val="es-CO"/>
        </w:rPr>
        <w:t>para e</w:t>
      </w:r>
      <w:r w:rsidR="00C43E85" w:rsidRPr="00CE4F0F">
        <w:rPr>
          <w:szCs w:val="20"/>
          <w:lang w:val="es-CO"/>
        </w:rPr>
        <w:t xml:space="preserve">l Tribunal. Por </w:t>
      </w:r>
      <w:r w:rsidR="00A541D7">
        <w:rPr>
          <w:szCs w:val="20"/>
          <w:lang w:val="es-CO"/>
        </w:rPr>
        <w:t>ú</w:t>
      </w:r>
      <w:r w:rsidR="00C43E85" w:rsidRPr="00CE4F0F">
        <w:rPr>
          <w:szCs w:val="20"/>
          <w:lang w:val="es-CO"/>
        </w:rPr>
        <w:t>ltimo afirmaron que esperan que no haya suspensión en el acceso a los sistemas informatizados de la Secretaría de Administración Penitenciaria.</w:t>
      </w:r>
      <w:r w:rsidR="00B42322" w:rsidRPr="00CE4F0F">
        <w:rPr>
          <w:rFonts w:eastAsia="Times New Roman" w:cs="Courier New"/>
          <w:b/>
          <w:color w:val="212121"/>
          <w:szCs w:val="20"/>
          <w:lang w:val="es-CO" w:eastAsia="es-CR"/>
        </w:rPr>
        <w:t xml:space="preserve"> </w:t>
      </w:r>
    </w:p>
    <w:p w14:paraId="6221F20A" w14:textId="77777777" w:rsidR="00162605" w:rsidRPr="00F57FA4" w:rsidRDefault="00162605" w:rsidP="006D31D9">
      <w:pPr>
        <w:pStyle w:val="ListParagraph"/>
        <w:rPr>
          <w:szCs w:val="20"/>
          <w:lang w:val="es-CO"/>
        </w:rPr>
      </w:pPr>
    </w:p>
    <w:p w14:paraId="4B4F650A" w14:textId="77777777" w:rsidR="00AC2EAD" w:rsidRPr="00CE4F0F" w:rsidRDefault="00AC2EAD" w:rsidP="006D31D9">
      <w:pPr>
        <w:pStyle w:val="ListParagraph"/>
        <w:numPr>
          <w:ilvl w:val="0"/>
          <w:numId w:val="20"/>
        </w:numPr>
        <w:snapToGrid w:val="0"/>
        <w:ind w:left="0" w:firstLine="0"/>
        <w:contextualSpacing w:val="0"/>
        <w:rPr>
          <w:szCs w:val="20"/>
          <w:lang w:val="es-CO"/>
        </w:rPr>
      </w:pPr>
      <w:r w:rsidRPr="00F57FA4">
        <w:rPr>
          <w:szCs w:val="20"/>
          <w:lang w:val="es-CO"/>
        </w:rPr>
        <w:t xml:space="preserve">El </w:t>
      </w:r>
      <w:r w:rsidRPr="00F57FA4">
        <w:rPr>
          <w:b/>
          <w:i/>
          <w:szCs w:val="20"/>
          <w:lang w:val="es-CO"/>
        </w:rPr>
        <w:t>Estado</w:t>
      </w:r>
      <w:r w:rsidR="00690576" w:rsidRPr="00F57FA4">
        <w:rPr>
          <w:szCs w:val="20"/>
          <w:lang w:val="es-CO"/>
        </w:rPr>
        <w:t xml:space="preserve"> </w:t>
      </w:r>
      <w:r w:rsidR="00135A17" w:rsidRPr="00F57FA4">
        <w:rPr>
          <w:szCs w:val="20"/>
          <w:lang w:val="es-CO"/>
        </w:rPr>
        <w:t>respondió</w:t>
      </w:r>
      <w:r w:rsidR="00690576" w:rsidRPr="00F57FA4">
        <w:rPr>
          <w:szCs w:val="20"/>
          <w:lang w:val="es-CO"/>
        </w:rPr>
        <w:t xml:space="preserve"> que </w:t>
      </w:r>
      <w:r w:rsidR="00162605" w:rsidRPr="00F57FA4">
        <w:rPr>
          <w:szCs w:val="20"/>
          <w:lang w:val="es-CO"/>
        </w:rPr>
        <w:t xml:space="preserve">la Secretaría de Administración Penitenciaria </w:t>
      </w:r>
      <w:r w:rsidR="00135A17" w:rsidRPr="00F57FA4">
        <w:rPr>
          <w:szCs w:val="20"/>
          <w:lang w:val="es-CO"/>
        </w:rPr>
        <w:t>aclaró</w:t>
      </w:r>
      <w:r w:rsidR="00162605" w:rsidRPr="00F57FA4">
        <w:rPr>
          <w:szCs w:val="20"/>
          <w:lang w:val="es-CO"/>
        </w:rPr>
        <w:t xml:space="preserve"> que no hay impedimento para </w:t>
      </w:r>
      <w:r w:rsidR="00A541D7">
        <w:rPr>
          <w:szCs w:val="20"/>
          <w:lang w:val="es-CO"/>
        </w:rPr>
        <w:t xml:space="preserve">la </w:t>
      </w:r>
      <w:r w:rsidR="00162605" w:rsidRPr="00F57FA4">
        <w:rPr>
          <w:szCs w:val="20"/>
          <w:lang w:val="es-CO"/>
        </w:rPr>
        <w:t>utilización de registro fotográfico y/</w:t>
      </w:r>
      <w:r w:rsidR="00CE4F0F">
        <w:rPr>
          <w:szCs w:val="20"/>
          <w:lang w:val="es-CO"/>
        </w:rPr>
        <w:t>o</w:t>
      </w:r>
      <w:r w:rsidR="00162605" w:rsidRPr="00F57FA4">
        <w:rPr>
          <w:szCs w:val="20"/>
          <w:lang w:val="es-CO"/>
        </w:rPr>
        <w:t xml:space="preserve"> audiovisual en las fiscalizaciones de los órganos de ejecución penal de las unidades </w:t>
      </w:r>
      <w:r w:rsidR="00135A17" w:rsidRPr="00F57FA4">
        <w:rPr>
          <w:szCs w:val="20"/>
          <w:lang w:val="es-CO"/>
        </w:rPr>
        <w:t>penitenciarias del E</w:t>
      </w:r>
      <w:r w:rsidR="00162605" w:rsidRPr="00F57FA4">
        <w:rPr>
          <w:szCs w:val="20"/>
          <w:lang w:val="es-CO"/>
        </w:rPr>
        <w:t>stado de Río de Janeiro, siempre que se respeten estrictamente los preceptos del artículo 2 de la Resolución nº 1 de 7 de febrero de 2013 del Consejo Nacional de Política Criminal y Penitenciaria (CNPCP)</w:t>
      </w:r>
      <w:r w:rsidR="00162605" w:rsidRPr="00F57FA4">
        <w:rPr>
          <w:rStyle w:val="FootnoteReference"/>
          <w:lang w:val="es-CO"/>
        </w:rPr>
        <w:footnoteReference w:id="39"/>
      </w:r>
      <w:r w:rsidR="00162605" w:rsidRPr="00F57FA4">
        <w:rPr>
          <w:szCs w:val="20"/>
          <w:lang w:val="es-CO"/>
        </w:rPr>
        <w:t xml:space="preserve">. </w:t>
      </w:r>
    </w:p>
    <w:p w14:paraId="3FE410B1" w14:textId="77777777" w:rsidR="00CE4F0F" w:rsidRPr="00CE4F0F" w:rsidRDefault="00CE4F0F" w:rsidP="00CE4F0F">
      <w:pPr>
        <w:pStyle w:val="ListParagraph"/>
        <w:rPr>
          <w:szCs w:val="20"/>
          <w:lang w:val="es-CO"/>
        </w:rPr>
      </w:pPr>
    </w:p>
    <w:p w14:paraId="2B612AE5" w14:textId="77777777" w:rsidR="00CE4F0F" w:rsidRPr="00C6436A" w:rsidRDefault="008E4845" w:rsidP="006D31D9">
      <w:pPr>
        <w:pStyle w:val="ListParagraph"/>
        <w:numPr>
          <w:ilvl w:val="0"/>
          <w:numId w:val="20"/>
        </w:numPr>
        <w:snapToGrid w:val="0"/>
        <w:ind w:left="0" w:firstLine="0"/>
        <w:contextualSpacing w:val="0"/>
        <w:rPr>
          <w:szCs w:val="20"/>
          <w:lang w:val="es-CO"/>
        </w:rPr>
      </w:pPr>
      <w:r w:rsidRPr="00C6436A">
        <w:rPr>
          <w:szCs w:val="20"/>
          <w:lang w:val="es-CO"/>
        </w:rPr>
        <w:lastRenderedPageBreak/>
        <w:t>Esta Corte</w:t>
      </w:r>
      <w:r>
        <w:rPr>
          <w:szCs w:val="20"/>
          <w:lang w:val="es-CO"/>
        </w:rPr>
        <w:t xml:space="preserve"> reitera </w:t>
      </w:r>
      <w:r w:rsidRPr="00C6436A">
        <w:rPr>
          <w:lang w:val="es-ES"/>
        </w:rPr>
        <w:t>que el Estado debe permitir el amplio e irrestricto acceso de los defensores de derechos humanos a las instituciones públicas en que estén realizando su trabajo</w:t>
      </w:r>
      <w:r>
        <w:rPr>
          <w:rStyle w:val="FootnoteReference"/>
        </w:rPr>
        <w:footnoteReference w:id="40"/>
      </w:r>
      <w:r w:rsidR="00C6436A">
        <w:rPr>
          <w:lang w:val="es-ES"/>
        </w:rPr>
        <w:t>.</w:t>
      </w:r>
      <w:r w:rsidRPr="00C6436A">
        <w:rPr>
          <w:lang w:val="es-ES"/>
        </w:rPr>
        <w:t xml:space="preserve"> En todo momento, debe evitar interferir </w:t>
      </w:r>
      <w:r w:rsidR="003716B5" w:rsidRPr="00C6436A">
        <w:rPr>
          <w:lang w:val="es-ES"/>
        </w:rPr>
        <w:t>con</w:t>
      </w:r>
      <w:r w:rsidRPr="00C6436A">
        <w:rPr>
          <w:lang w:val="es-ES"/>
        </w:rPr>
        <w:t xml:space="preserve"> la capacidad de los representantes de monitorear la implementación de las medidas provisionales y en la posibilidad de documentar eventuales violaciones de derechos humanos ocurridas en el IPPSC</w:t>
      </w:r>
      <w:r>
        <w:rPr>
          <w:rStyle w:val="FootnoteReference"/>
        </w:rPr>
        <w:footnoteReference w:id="41"/>
      </w:r>
      <w:r w:rsidR="00C6436A">
        <w:rPr>
          <w:lang w:val="es-ES"/>
        </w:rPr>
        <w:t>.</w:t>
      </w:r>
      <w:r w:rsidRPr="00C6436A">
        <w:rPr>
          <w:lang w:val="es-ES"/>
        </w:rPr>
        <w:t xml:space="preserve"> </w:t>
      </w:r>
    </w:p>
    <w:p w14:paraId="49B76FCD" w14:textId="77777777" w:rsidR="00CE4F0F" w:rsidRPr="00F57FA4" w:rsidRDefault="00CE4F0F" w:rsidP="006D31D9">
      <w:pPr>
        <w:snapToGrid w:val="0"/>
        <w:rPr>
          <w:b/>
          <w:i/>
          <w:szCs w:val="20"/>
          <w:lang w:val="es-CO"/>
        </w:rPr>
      </w:pPr>
    </w:p>
    <w:p w14:paraId="1D48F8CC" w14:textId="77777777" w:rsidR="00F75107" w:rsidRPr="00F57FA4" w:rsidRDefault="00F75107" w:rsidP="006D31D9">
      <w:pPr>
        <w:pStyle w:val="ListParagraph"/>
        <w:numPr>
          <w:ilvl w:val="0"/>
          <w:numId w:val="9"/>
        </w:numPr>
        <w:snapToGrid w:val="0"/>
        <w:rPr>
          <w:b/>
          <w:i/>
          <w:szCs w:val="20"/>
          <w:lang w:val="es-CO"/>
        </w:rPr>
      </w:pPr>
      <w:r w:rsidRPr="00F57FA4">
        <w:rPr>
          <w:b/>
          <w:i/>
          <w:szCs w:val="20"/>
          <w:lang w:val="es-CO"/>
        </w:rPr>
        <w:t>Conclusión</w:t>
      </w:r>
    </w:p>
    <w:p w14:paraId="137D5E1D" w14:textId="77777777" w:rsidR="00F75107" w:rsidRPr="00F57FA4" w:rsidRDefault="00F75107" w:rsidP="006D31D9">
      <w:pPr>
        <w:snapToGrid w:val="0"/>
        <w:rPr>
          <w:szCs w:val="20"/>
          <w:lang w:val="es-CO"/>
        </w:rPr>
      </w:pPr>
    </w:p>
    <w:p w14:paraId="4B903442" w14:textId="77777777" w:rsidR="00394545" w:rsidRPr="00F57FA4" w:rsidRDefault="00394545" w:rsidP="006D31D9">
      <w:pPr>
        <w:pStyle w:val="ListParagraph"/>
        <w:numPr>
          <w:ilvl w:val="0"/>
          <w:numId w:val="20"/>
        </w:numPr>
        <w:snapToGrid w:val="0"/>
        <w:ind w:left="0" w:firstLine="0"/>
        <w:contextualSpacing w:val="0"/>
        <w:rPr>
          <w:szCs w:val="20"/>
          <w:lang w:val="es-CO"/>
        </w:rPr>
      </w:pPr>
      <w:r w:rsidRPr="00F57FA4">
        <w:rPr>
          <w:szCs w:val="20"/>
          <w:lang w:val="es-CO"/>
        </w:rPr>
        <w:t>La Corte toma nota de los esfuerzos realizados por el Estado tendientes a mejorar la situación de los beneficiarios de las presentes medidas provisionales, particularmente en lo relacionado con</w:t>
      </w:r>
      <w:r w:rsidR="00135A17" w:rsidRPr="00F57FA4">
        <w:rPr>
          <w:szCs w:val="20"/>
          <w:lang w:val="es-CO"/>
        </w:rPr>
        <w:t xml:space="preserve"> la</w:t>
      </w:r>
      <w:r w:rsidRPr="00F57FA4">
        <w:rPr>
          <w:szCs w:val="20"/>
          <w:lang w:val="es-CO"/>
        </w:rPr>
        <w:t xml:space="preserve"> </w:t>
      </w:r>
      <w:r w:rsidR="007340B9" w:rsidRPr="00F57FA4">
        <w:rPr>
          <w:szCs w:val="20"/>
          <w:lang w:val="es-CO"/>
        </w:rPr>
        <w:t xml:space="preserve">situación crítica de hacinamiento, </w:t>
      </w:r>
      <w:r w:rsidR="00CE4F0F">
        <w:rPr>
          <w:szCs w:val="20"/>
          <w:lang w:val="es-CO"/>
        </w:rPr>
        <w:t xml:space="preserve">atención de </w:t>
      </w:r>
      <w:r w:rsidR="00135A17" w:rsidRPr="00F57FA4">
        <w:rPr>
          <w:szCs w:val="20"/>
          <w:lang w:val="es-CO"/>
        </w:rPr>
        <w:t xml:space="preserve">salud y salubridad, </w:t>
      </w:r>
      <w:r w:rsidRPr="00F57FA4">
        <w:rPr>
          <w:szCs w:val="20"/>
          <w:lang w:val="es-CO"/>
        </w:rPr>
        <w:t xml:space="preserve">atención </w:t>
      </w:r>
      <w:r w:rsidR="007340B9" w:rsidRPr="00F57FA4">
        <w:rPr>
          <w:szCs w:val="20"/>
          <w:lang w:val="es-CO"/>
        </w:rPr>
        <w:t>de enfermedades crónicas</w:t>
      </w:r>
      <w:r w:rsidRPr="00F57FA4">
        <w:rPr>
          <w:szCs w:val="20"/>
          <w:lang w:val="es-CO"/>
        </w:rPr>
        <w:t xml:space="preserve"> y el esfuerzo por viabilizar controles médicos</w:t>
      </w:r>
      <w:r w:rsidR="00CE4F0F">
        <w:rPr>
          <w:szCs w:val="20"/>
          <w:lang w:val="es-CO"/>
        </w:rPr>
        <w:t>,</w:t>
      </w:r>
      <w:r w:rsidRPr="00F57FA4">
        <w:rPr>
          <w:szCs w:val="20"/>
          <w:lang w:val="es-CO"/>
        </w:rPr>
        <w:t xml:space="preserve"> entre otros. El Tribunal insta el Estado a continuar con el desarrollo de estas y otras actividades.</w:t>
      </w:r>
    </w:p>
    <w:p w14:paraId="7631AAE1" w14:textId="77777777" w:rsidR="00394545" w:rsidRPr="00F57FA4" w:rsidRDefault="00394545" w:rsidP="006D31D9">
      <w:pPr>
        <w:pStyle w:val="ListParagraph"/>
        <w:snapToGrid w:val="0"/>
        <w:ind w:left="0"/>
        <w:contextualSpacing w:val="0"/>
        <w:rPr>
          <w:szCs w:val="20"/>
          <w:lang w:val="es-CO"/>
        </w:rPr>
      </w:pPr>
    </w:p>
    <w:p w14:paraId="6A7570F2" w14:textId="77777777" w:rsidR="00D536D5" w:rsidRPr="00F57FA4" w:rsidRDefault="00394545" w:rsidP="006D31D9">
      <w:pPr>
        <w:pStyle w:val="ListParagraph"/>
        <w:numPr>
          <w:ilvl w:val="0"/>
          <w:numId w:val="20"/>
        </w:numPr>
        <w:snapToGrid w:val="0"/>
        <w:ind w:left="0" w:firstLine="0"/>
        <w:contextualSpacing w:val="0"/>
        <w:rPr>
          <w:b/>
          <w:i/>
          <w:szCs w:val="20"/>
          <w:lang w:val="es-CO"/>
        </w:rPr>
      </w:pPr>
      <w:r w:rsidRPr="00F57FA4">
        <w:rPr>
          <w:szCs w:val="20"/>
          <w:lang w:val="es-CO"/>
        </w:rPr>
        <w:t xml:space="preserve">No obstante, la Corte observa que, en el marco de </w:t>
      </w:r>
      <w:r w:rsidR="00135A17" w:rsidRPr="00F57FA4">
        <w:rPr>
          <w:szCs w:val="20"/>
          <w:lang w:val="es-CO"/>
        </w:rPr>
        <w:t>estas</w:t>
      </w:r>
      <w:r w:rsidRPr="00F57FA4">
        <w:rPr>
          <w:szCs w:val="20"/>
          <w:lang w:val="es-CO"/>
        </w:rPr>
        <w:t xml:space="preserve"> medidas provisionales, la situación de los beneficiarios en lo que se refiere a todas las áreas mencionadas sigue siendo muy preocupante, y requiere cambios estructurales urgentes.</w:t>
      </w:r>
    </w:p>
    <w:p w14:paraId="367AF3D1" w14:textId="77777777" w:rsidR="00D536D5" w:rsidRPr="00F57FA4" w:rsidRDefault="00D536D5" w:rsidP="006D31D9">
      <w:pPr>
        <w:pStyle w:val="ListParagraph"/>
        <w:rPr>
          <w:rFonts w:eastAsiaTheme="minorHAnsi" w:cs="Verdana"/>
          <w:szCs w:val="20"/>
          <w:lang w:val="es-CO"/>
        </w:rPr>
      </w:pPr>
    </w:p>
    <w:p w14:paraId="25E87517" w14:textId="2DE288C7" w:rsidR="00277CC3" w:rsidRPr="00F57FA4" w:rsidRDefault="00D536D5" w:rsidP="006D31D9">
      <w:pPr>
        <w:pStyle w:val="ListParagraph"/>
        <w:numPr>
          <w:ilvl w:val="0"/>
          <w:numId w:val="20"/>
        </w:numPr>
        <w:snapToGrid w:val="0"/>
        <w:ind w:left="0" w:firstLine="0"/>
        <w:contextualSpacing w:val="0"/>
        <w:rPr>
          <w:b/>
          <w:i/>
          <w:szCs w:val="20"/>
          <w:lang w:val="es-CO"/>
        </w:rPr>
      </w:pPr>
      <w:r w:rsidRPr="00F57FA4">
        <w:rPr>
          <w:rFonts w:eastAsiaTheme="minorHAnsi" w:cs="Verdana"/>
          <w:szCs w:val="20"/>
          <w:lang w:val="es-CO"/>
        </w:rPr>
        <w:t xml:space="preserve">Sobre todo, la Corte </w:t>
      </w:r>
      <w:r w:rsidR="00061E92" w:rsidRPr="00F57FA4">
        <w:rPr>
          <w:rFonts w:eastAsiaTheme="minorHAnsi" w:cs="Verdana"/>
          <w:szCs w:val="20"/>
          <w:lang w:val="es-CO"/>
        </w:rPr>
        <w:t xml:space="preserve">resalta dos problemáticas que afectan </w:t>
      </w:r>
      <w:r w:rsidR="00A541D7">
        <w:rPr>
          <w:rFonts w:eastAsiaTheme="minorHAnsi" w:cs="Verdana"/>
          <w:szCs w:val="20"/>
          <w:lang w:val="es-CO"/>
        </w:rPr>
        <w:t>a</w:t>
      </w:r>
      <w:r w:rsidR="00061E92" w:rsidRPr="00F57FA4">
        <w:rPr>
          <w:rFonts w:eastAsiaTheme="minorHAnsi" w:cs="Verdana"/>
          <w:szCs w:val="20"/>
          <w:lang w:val="es-CO"/>
        </w:rPr>
        <w:t xml:space="preserve">l sistema carcelario de </w:t>
      </w:r>
      <w:r w:rsidRPr="00F57FA4">
        <w:rPr>
          <w:rFonts w:eastAsiaTheme="minorHAnsi" w:cs="Verdana"/>
          <w:szCs w:val="20"/>
          <w:lang w:val="es-CO"/>
        </w:rPr>
        <w:t xml:space="preserve">Brasil y </w:t>
      </w:r>
      <w:r w:rsidR="00061E92" w:rsidRPr="00F57FA4">
        <w:rPr>
          <w:rFonts w:eastAsiaTheme="minorHAnsi" w:cs="Verdana"/>
          <w:szCs w:val="20"/>
          <w:lang w:val="es-CO"/>
        </w:rPr>
        <w:t>Rio de Janeiro</w:t>
      </w:r>
      <w:r w:rsidRPr="00F57FA4">
        <w:rPr>
          <w:rFonts w:eastAsiaTheme="minorHAnsi" w:cs="Verdana"/>
          <w:szCs w:val="20"/>
          <w:lang w:val="es-CO"/>
        </w:rPr>
        <w:t xml:space="preserve">. En </w:t>
      </w:r>
      <w:r w:rsidR="00061E92" w:rsidRPr="00F57FA4">
        <w:rPr>
          <w:rFonts w:eastAsiaTheme="minorHAnsi" w:cs="Verdana"/>
          <w:szCs w:val="20"/>
          <w:lang w:val="es-CO"/>
        </w:rPr>
        <w:t>primer lugar</w:t>
      </w:r>
      <w:r w:rsidR="000D3C98">
        <w:rPr>
          <w:rFonts w:eastAsiaTheme="minorHAnsi" w:cs="Verdana"/>
          <w:szCs w:val="20"/>
          <w:lang w:val="es-CO"/>
        </w:rPr>
        <w:t>,</w:t>
      </w:r>
      <w:r w:rsidR="00061E92" w:rsidRPr="00F57FA4">
        <w:rPr>
          <w:rFonts w:eastAsiaTheme="minorHAnsi" w:cs="Verdana"/>
          <w:szCs w:val="20"/>
          <w:lang w:val="es-CO"/>
        </w:rPr>
        <w:t xml:space="preserve"> </w:t>
      </w:r>
      <w:r w:rsidRPr="00F57FA4">
        <w:rPr>
          <w:rFonts w:eastAsiaTheme="minorHAnsi" w:cs="Verdana"/>
          <w:szCs w:val="20"/>
          <w:lang w:val="es-CO"/>
        </w:rPr>
        <w:t xml:space="preserve">la Corte destaca que el crecimiento exponencial de la población carcelaria dificulta estos cambios estructurales, favoreciendo la violación de los derechos de las personas privadas de libertad. </w:t>
      </w:r>
      <w:r w:rsidR="00923755">
        <w:rPr>
          <w:rFonts w:eastAsiaTheme="minorHAnsi" w:cs="Verdana"/>
          <w:szCs w:val="20"/>
          <w:lang w:val="es-CO"/>
        </w:rPr>
        <w:t xml:space="preserve">Además, lo anterior </w:t>
      </w:r>
      <w:r w:rsidR="00923755" w:rsidRPr="00F57FA4">
        <w:rPr>
          <w:rFonts w:eastAsiaTheme="minorHAnsi" w:cs="Verdana"/>
          <w:szCs w:val="20"/>
          <w:lang w:val="es-CO"/>
        </w:rPr>
        <w:t>vuelve ineficaces las medidas que puedan tomarse respecto al aumento de plazas en los centros penitenciarios, que continúan siendo insuficientes ante el alto número de personas que ingresan en estos.</w:t>
      </w:r>
      <w:r w:rsidR="00923755">
        <w:rPr>
          <w:rFonts w:eastAsiaTheme="minorHAnsi" w:cs="Verdana"/>
          <w:szCs w:val="20"/>
          <w:lang w:val="es-CO"/>
        </w:rPr>
        <w:t xml:space="preserve"> E</w:t>
      </w:r>
      <w:r w:rsidR="00135A17" w:rsidRPr="00F57FA4">
        <w:rPr>
          <w:rFonts w:eastAsiaTheme="minorHAnsi" w:cs="Verdana"/>
          <w:szCs w:val="20"/>
          <w:lang w:val="es-CO"/>
        </w:rPr>
        <w:t xml:space="preserve">n segundo lugar, </w:t>
      </w:r>
      <w:r w:rsidR="00F04A24">
        <w:rPr>
          <w:rFonts w:eastAsiaTheme="minorHAnsi" w:cs="Verdana"/>
          <w:szCs w:val="20"/>
          <w:lang w:val="es-CO"/>
        </w:rPr>
        <w:t xml:space="preserve">la falta de </w:t>
      </w:r>
      <w:r w:rsidR="00D86573" w:rsidRPr="00F57FA4">
        <w:rPr>
          <w:rFonts w:eastAsiaTheme="minorHAnsi" w:cs="Verdana"/>
          <w:szCs w:val="20"/>
          <w:lang w:val="es-CO"/>
        </w:rPr>
        <w:t>acceso a servicios de salud y salubridad desencadena</w:t>
      </w:r>
      <w:r w:rsidR="00277CC3" w:rsidRPr="00F57FA4">
        <w:rPr>
          <w:rFonts w:eastAsiaTheme="minorHAnsi" w:cs="Verdana"/>
          <w:szCs w:val="20"/>
          <w:lang w:val="es-CO"/>
        </w:rPr>
        <w:t>n</w:t>
      </w:r>
      <w:r w:rsidR="00D86573" w:rsidRPr="00F57FA4">
        <w:rPr>
          <w:rFonts w:eastAsiaTheme="minorHAnsi" w:cs="Verdana"/>
          <w:szCs w:val="20"/>
          <w:lang w:val="es-CO"/>
        </w:rPr>
        <w:t xml:space="preserve"> </w:t>
      </w:r>
      <w:r w:rsidR="00277CC3" w:rsidRPr="00F57FA4">
        <w:rPr>
          <w:rFonts w:eastAsiaTheme="minorHAnsi" w:cs="Verdana"/>
          <w:szCs w:val="20"/>
          <w:lang w:val="es-CO"/>
        </w:rPr>
        <w:t>el aumento en el número de</w:t>
      </w:r>
      <w:r w:rsidR="00D86573" w:rsidRPr="00F57FA4">
        <w:rPr>
          <w:rFonts w:eastAsiaTheme="minorHAnsi" w:cs="Verdana"/>
          <w:szCs w:val="20"/>
          <w:lang w:val="es-CO"/>
        </w:rPr>
        <w:t xml:space="preserve"> muerte</w:t>
      </w:r>
      <w:r w:rsidR="00277CC3" w:rsidRPr="00F57FA4">
        <w:rPr>
          <w:rFonts w:eastAsiaTheme="minorHAnsi" w:cs="Verdana"/>
          <w:szCs w:val="20"/>
          <w:lang w:val="es-CO"/>
        </w:rPr>
        <w:t>s</w:t>
      </w:r>
      <w:r w:rsidR="00D86573" w:rsidRPr="00F57FA4">
        <w:rPr>
          <w:rFonts w:eastAsiaTheme="minorHAnsi" w:cs="Verdana"/>
          <w:szCs w:val="20"/>
          <w:lang w:val="es-CO"/>
        </w:rPr>
        <w:t xml:space="preserve"> de las personas privadas de la libertad </w:t>
      </w:r>
      <w:r w:rsidR="00277CC3" w:rsidRPr="00F57FA4">
        <w:rPr>
          <w:rFonts w:eastAsiaTheme="minorHAnsi" w:cs="Verdana"/>
          <w:szCs w:val="20"/>
          <w:lang w:val="es-CO"/>
        </w:rPr>
        <w:t xml:space="preserve">en el IPPSC. </w:t>
      </w:r>
      <w:r w:rsidR="00061E92" w:rsidRPr="00F57FA4">
        <w:rPr>
          <w:rFonts w:eastAsiaTheme="minorHAnsi" w:cs="Verdana"/>
          <w:szCs w:val="20"/>
          <w:lang w:val="es-CO"/>
        </w:rPr>
        <w:t xml:space="preserve">Dichas </w:t>
      </w:r>
      <w:r w:rsidR="00923755">
        <w:rPr>
          <w:rFonts w:eastAsiaTheme="minorHAnsi" w:cs="Verdana"/>
          <w:szCs w:val="20"/>
          <w:lang w:val="es-CO"/>
        </w:rPr>
        <w:t>deficiencias</w:t>
      </w:r>
      <w:r w:rsidR="00923755" w:rsidRPr="00F57FA4">
        <w:rPr>
          <w:rFonts w:eastAsiaTheme="minorHAnsi" w:cs="Verdana"/>
          <w:szCs w:val="20"/>
          <w:lang w:val="es-CO"/>
        </w:rPr>
        <w:t xml:space="preserve"> </w:t>
      </w:r>
      <w:r w:rsidR="00061E92" w:rsidRPr="00F57FA4">
        <w:rPr>
          <w:rFonts w:eastAsiaTheme="minorHAnsi" w:cs="Verdana"/>
          <w:szCs w:val="20"/>
          <w:lang w:val="es-CO"/>
        </w:rPr>
        <w:t xml:space="preserve">son especialmente </w:t>
      </w:r>
      <w:r w:rsidR="00D86573" w:rsidRPr="00F57FA4">
        <w:rPr>
          <w:rFonts w:eastAsiaTheme="minorHAnsi" w:cs="Verdana"/>
          <w:szCs w:val="20"/>
          <w:lang w:val="es-CO"/>
        </w:rPr>
        <w:t>g</w:t>
      </w:r>
      <w:r w:rsidR="00061E92" w:rsidRPr="00F57FA4">
        <w:rPr>
          <w:rFonts w:eastAsiaTheme="minorHAnsi" w:cs="Verdana"/>
          <w:szCs w:val="20"/>
          <w:lang w:val="es-CO"/>
        </w:rPr>
        <w:t xml:space="preserve">raves </w:t>
      </w:r>
      <w:r w:rsidR="00923755">
        <w:rPr>
          <w:rFonts w:eastAsiaTheme="minorHAnsi" w:cs="Verdana"/>
          <w:szCs w:val="20"/>
          <w:lang w:val="es-CO"/>
        </w:rPr>
        <w:t>en una</w:t>
      </w:r>
      <w:r w:rsidR="00061E92" w:rsidRPr="00F57FA4">
        <w:rPr>
          <w:rFonts w:eastAsiaTheme="minorHAnsi" w:cs="Verdana"/>
          <w:szCs w:val="20"/>
          <w:lang w:val="es-CO"/>
        </w:rPr>
        <w:t xml:space="preserve"> situación de hacinamiento</w:t>
      </w:r>
      <w:r w:rsidR="00F04A24">
        <w:rPr>
          <w:rFonts w:eastAsiaTheme="minorHAnsi" w:cs="Verdana"/>
          <w:szCs w:val="20"/>
          <w:lang w:val="es-CO"/>
        </w:rPr>
        <w:t xml:space="preserve"> y</w:t>
      </w:r>
      <w:r w:rsidR="00061E92" w:rsidRPr="00F57FA4">
        <w:rPr>
          <w:rFonts w:eastAsiaTheme="minorHAnsi" w:cs="Verdana"/>
          <w:szCs w:val="20"/>
          <w:lang w:val="es-CO"/>
        </w:rPr>
        <w:t xml:space="preserve"> </w:t>
      </w:r>
      <w:r w:rsidR="00D801F0">
        <w:rPr>
          <w:rFonts w:eastAsiaTheme="minorHAnsi" w:cs="Verdana"/>
          <w:szCs w:val="20"/>
          <w:lang w:val="es-CO"/>
        </w:rPr>
        <w:t>superpoblación</w:t>
      </w:r>
      <w:r w:rsidR="00061E92" w:rsidRPr="00F57FA4">
        <w:rPr>
          <w:rFonts w:eastAsiaTheme="minorHAnsi" w:cs="Verdana"/>
          <w:szCs w:val="20"/>
          <w:lang w:val="es-CO"/>
        </w:rPr>
        <w:t xml:space="preserve">, </w:t>
      </w:r>
      <w:r w:rsidR="00923755">
        <w:rPr>
          <w:rFonts w:eastAsiaTheme="minorHAnsi" w:cs="Verdana"/>
          <w:szCs w:val="20"/>
          <w:lang w:val="es-CO"/>
        </w:rPr>
        <w:t xml:space="preserve">como </w:t>
      </w:r>
      <w:r w:rsidR="00061E92" w:rsidRPr="00F57FA4">
        <w:rPr>
          <w:rFonts w:eastAsiaTheme="minorHAnsi" w:cs="Verdana"/>
          <w:szCs w:val="20"/>
          <w:lang w:val="es-CO"/>
        </w:rPr>
        <w:t xml:space="preserve">la que ya se encuentra </w:t>
      </w:r>
      <w:r w:rsidR="000D7B3F">
        <w:rPr>
          <w:rFonts w:eastAsiaTheme="minorHAnsi" w:cs="Verdana"/>
          <w:szCs w:val="20"/>
          <w:lang w:val="es-CO"/>
        </w:rPr>
        <w:t xml:space="preserve">en </w:t>
      </w:r>
      <w:r w:rsidR="00061E92" w:rsidRPr="00F57FA4">
        <w:rPr>
          <w:rFonts w:eastAsiaTheme="minorHAnsi" w:cs="Verdana"/>
          <w:szCs w:val="20"/>
          <w:lang w:val="es-CO"/>
        </w:rPr>
        <w:t xml:space="preserve">el </w:t>
      </w:r>
      <w:r w:rsidR="00061E92" w:rsidRPr="00F57FA4">
        <w:rPr>
          <w:szCs w:val="20"/>
          <w:lang w:val="es-CO"/>
        </w:rPr>
        <w:t>Instituto Penal Plácido de Sá Carvalho</w:t>
      </w:r>
      <w:r w:rsidR="00923755">
        <w:rPr>
          <w:rFonts w:eastAsiaTheme="minorHAnsi" w:cs="Verdana"/>
          <w:szCs w:val="20"/>
          <w:lang w:val="es-CO"/>
        </w:rPr>
        <w:t xml:space="preserve">. </w:t>
      </w:r>
    </w:p>
    <w:p w14:paraId="61E0B6DD" w14:textId="77777777" w:rsidR="00277CC3" w:rsidRPr="00F57FA4" w:rsidRDefault="00277CC3" w:rsidP="006D31D9">
      <w:pPr>
        <w:pStyle w:val="ListParagraph"/>
        <w:rPr>
          <w:szCs w:val="20"/>
          <w:lang w:val="es-CO"/>
        </w:rPr>
      </w:pPr>
    </w:p>
    <w:p w14:paraId="04D42F61" w14:textId="77777777" w:rsidR="00061E92" w:rsidRPr="00F57FA4" w:rsidRDefault="00277CC3" w:rsidP="006D31D9">
      <w:pPr>
        <w:pStyle w:val="ListParagraph"/>
        <w:numPr>
          <w:ilvl w:val="0"/>
          <w:numId w:val="20"/>
        </w:numPr>
        <w:snapToGrid w:val="0"/>
        <w:ind w:left="0" w:firstLine="0"/>
        <w:contextualSpacing w:val="0"/>
        <w:rPr>
          <w:b/>
          <w:i/>
          <w:szCs w:val="20"/>
          <w:lang w:val="es-CO"/>
        </w:rPr>
      </w:pPr>
      <w:r w:rsidRPr="00F57FA4">
        <w:rPr>
          <w:szCs w:val="20"/>
          <w:lang w:val="es-CO"/>
        </w:rPr>
        <w:t>La Corte toma nota del compromiso de Brasil en la mejora de las condiciones de las personas privadas de libertad en los diferentes centros penitenciarios del país y especialmente el estado de Rio de Janeiro. Sin embargo</w:t>
      </w:r>
      <w:r w:rsidR="008D2476">
        <w:rPr>
          <w:szCs w:val="20"/>
          <w:lang w:val="es-CO"/>
        </w:rPr>
        <w:t>,</w:t>
      </w:r>
      <w:r w:rsidRPr="00F57FA4">
        <w:rPr>
          <w:szCs w:val="20"/>
          <w:lang w:val="es-CO"/>
        </w:rPr>
        <w:t xml:space="preserve"> considera </w:t>
      </w:r>
      <w:r w:rsidR="00F04A24">
        <w:rPr>
          <w:rFonts w:eastAsiaTheme="minorHAnsi" w:cs="Verdana"/>
          <w:szCs w:val="20"/>
          <w:lang w:val="es-CO"/>
        </w:rPr>
        <w:t>necesario</w:t>
      </w:r>
      <w:r w:rsidR="006B0828" w:rsidRPr="00F57FA4">
        <w:rPr>
          <w:rFonts w:eastAsiaTheme="minorHAnsi" w:cs="Verdana"/>
          <w:szCs w:val="20"/>
          <w:lang w:val="es-CO"/>
        </w:rPr>
        <w:t xml:space="preserve"> que se mantengan las Medidas Provisionales sobre el </w:t>
      </w:r>
      <w:r w:rsidR="006B0828" w:rsidRPr="00F57FA4">
        <w:rPr>
          <w:szCs w:val="20"/>
          <w:lang w:val="es-CO"/>
        </w:rPr>
        <w:t>Instituto Penal Plácido de Sá Carvalho.</w:t>
      </w:r>
    </w:p>
    <w:p w14:paraId="5B2A4FB6" w14:textId="77777777" w:rsidR="00C70E23" w:rsidRPr="00F57FA4" w:rsidRDefault="00C70E23" w:rsidP="006D31D9">
      <w:pPr>
        <w:pStyle w:val="ListParagraph"/>
        <w:rPr>
          <w:b/>
          <w:i/>
          <w:szCs w:val="20"/>
          <w:lang w:val="es-CO"/>
        </w:rPr>
      </w:pPr>
    </w:p>
    <w:p w14:paraId="0140F128" w14:textId="77777777" w:rsidR="003716B5" w:rsidRDefault="00C70E23" w:rsidP="00D96491">
      <w:pPr>
        <w:pStyle w:val="ListParagraph"/>
        <w:numPr>
          <w:ilvl w:val="0"/>
          <w:numId w:val="20"/>
        </w:numPr>
        <w:snapToGrid w:val="0"/>
        <w:ind w:left="0" w:firstLine="0"/>
        <w:contextualSpacing w:val="0"/>
        <w:rPr>
          <w:b/>
          <w:i/>
          <w:szCs w:val="20"/>
          <w:lang w:val="es-CO"/>
        </w:rPr>
      </w:pPr>
      <w:r w:rsidRPr="00F57FA4">
        <w:rPr>
          <w:szCs w:val="20"/>
          <w:lang w:val="es-CO"/>
        </w:rPr>
        <w:t>Por todo lo anterior, la Corte considera imprescindible que dentro del plazo improrr</w:t>
      </w:r>
      <w:r w:rsidR="00F04A24">
        <w:rPr>
          <w:szCs w:val="20"/>
          <w:lang w:val="es-CO"/>
        </w:rPr>
        <w:t xml:space="preserve">ogable de tres meses </w:t>
      </w:r>
      <w:r w:rsidRPr="00F57FA4">
        <w:rPr>
          <w:szCs w:val="20"/>
          <w:lang w:val="es-CO"/>
        </w:rPr>
        <w:t xml:space="preserve">el Estado presente a la Corte un diagnóstico técnico </w:t>
      </w:r>
      <w:r w:rsidR="008D2476">
        <w:rPr>
          <w:szCs w:val="20"/>
          <w:lang w:val="es-CO"/>
        </w:rPr>
        <w:t xml:space="preserve">y un plan de contingencia </w:t>
      </w:r>
      <w:r w:rsidR="008D2476">
        <w:rPr>
          <w:lang w:val="es-CO"/>
        </w:rPr>
        <w:t>para la</w:t>
      </w:r>
      <w:r w:rsidR="008D2476" w:rsidRPr="00F57FA4">
        <w:rPr>
          <w:lang w:val="es-CO"/>
        </w:rPr>
        <w:t xml:space="preserve"> reforma estructural y de reducción de la </w:t>
      </w:r>
      <w:r w:rsidR="00D801F0">
        <w:rPr>
          <w:lang w:val="es-CO"/>
        </w:rPr>
        <w:t>superpoblación</w:t>
      </w:r>
      <w:r w:rsidR="008D2476" w:rsidRPr="00F57FA4">
        <w:rPr>
          <w:lang w:val="es-CO"/>
        </w:rPr>
        <w:t xml:space="preserve"> y hacinamiento en</w:t>
      </w:r>
      <w:r w:rsidR="008D2476" w:rsidRPr="00F57FA4">
        <w:rPr>
          <w:szCs w:val="20"/>
          <w:lang w:val="es-CO"/>
        </w:rPr>
        <w:t xml:space="preserve"> </w:t>
      </w:r>
      <w:r w:rsidR="008D2476">
        <w:rPr>
          <w:szCs w:val="20"/>
          <w:lang w:val="es-CO"/>
        </w:rPr>
        <w:t xml:space="preserve">el </w:t>
      </w:r>
      <w:r w:rsidR="008D2476" w:rsidRPr="00F57FA4">
        <w:rPr>
          <w:szCs w:val="20"/>
          <w:lang w:val="es-CO"/>
        </w:rPr>
        <w:t>Instituto Penal Plácido de Sá Carvalho</w:t>
      </w:r>
      <w:r w:rsidR="008D2476">
        <w:rPr>
          <w:szCs w:val="20"/>
          <w:lang w:val="es-CO"/>
        </w:rPr>
        <w:t xml:space="preserve"> en los términos descritos en el </w:t>
      </w:r>
      <w:r w:rsidR="00D96491">
        <w:rPr>
          <w:szCs w:val="20"/>
          <w:lang w:val="es-CO"/>
        </w:rPr>
        <w:t>Considerando</w:t>
      </w:r>
      <w:r w:rsidR="008D2476">
        <w:rPr>
          <w:szCs w:val="20"/>
          <w:lang w:val="es-CO"/>
        </w:rPr>
        <w:t xml:space="preserve"> </w:t>
      </w:r>
      <w:r w:rsidR="008D2476" w:rsidRPr="004A3A17">
        <w:rPr>
          <w:szCs w:val="20"/>
          <w:lang w:val="es-CO"/>
        </w:rPr>
        <w:t>28</w:t>
      </w:r>
      <w:r w:rsidR="008D2476">
        <w:rPr>
          <w:szCs w:val="20"/>
          <w:lang w:val="es-CO"/>
        </w:rPr>
        <w:t xml:space="preserve"> de la presente resolución.</w:t>
      </w:r>
    </w:p>
    <w:p w14:paraId="33703E8F" w14:textId="77777777" w:rsidR="00D96491" w:rsidRPr="00D96491" w:rsidRDefault="00D96491" w:rsidP="00D96491">
      <w:pPr>
        <w:pStyle w:val="ListParagraph"/>
        <w:snapToGrid w:val="0"/>
        <w:ind w:left="0"/>
        <w:contextualSpacing w:val="0"/>
        <w:rPr>
          <w:b/>
          <w:i/>
          <w:szCs w:val="20"/>
          <w:lang w:val="es-CO"/>
        </w:rPr>
      </w:pPr>
    </w:p>
    <w:p w14:paraId="741CC22C" w14:textId="4BE428F2" w:rsidR="003716B5" w:rsidRPr="00D96491" w:rsidRDefault="008D2476" w:rsidP="006D31D9">
      <w:pPr>
        <w:pStyle w:val="ListParagraph"/>
        <w:numPr>
          <w:ilvl w:val="0"/>
          <w:numId w:val="20"/>
        </w:numPr>
        <w:snapToGrid w:val="0"/>
        <w:ind w:left="0" w:firstLine="0"/>
        <w:contextualSpacing w:val="0"/>
        <w:rPr>
          <w:b/>
          <w:i/>
          <w:szCs w:val="20"/>
          <w:lang w:val="es-CO"/>
        </w:rPr>
      </w:pPr>
      <w:r>
        <w:rPr>
          <w:szCs w:val="20"/>
          <w:lang w:val="es-CO"/>
        </w:rPr>
        <w:t xml:space="preserve">Asimismo, el Tribunal estima que la situación del IPPSC no cumple con </w:t>
      </w:r>
      <w:r w:rsidRPr="00F57FA4">
        <w:rPr>
          <w:szCs w:val="20"/>
          <w:lang w:val="es-CO"/>
        </w:rPr>
        <w:t xml:space="preserve">los estándares universales, regionales y nacionales </w:t>
      </w:r>
      <w:r>
        <w:rPr>
          <w:szCs w:val="20"/>
          <w:lang w:val="es-CO"/>
        </w:rPr>
        <w:t>que establecen</w:t>
      </w:r>
      <w:r w:rsidRPr="00F57FA4">
        <w:rPr>
          <w:szCs w:val="20"/>
          <w:lang w:val="es-CO"/>
        </w:rPr>
        <w:t xml:space="preserve"> determinados indicadores mínimos en la atención de salud y condiciones de habitabilidad y de detención en general.</w:t>
      </w:r>
      <w:r>
        <w:rPr>
          <w:szCs w:val="20"/>
          <w:lang w:val="es-CO"/>
        </w:rPr>
        <w:t xml:space="preserve"> En tal virtud, </w:t>
      </w:r>
      <w:r w:rsidR="00D96491">
        <w:rPr>
          <w:szCs w:val="20"/>
          <w:lang w:val="es-CO"/>
        </w:rPr>
        <w:t xml:space="preserve">en caso de existir un </w:t>
      </w:r>
      <w:r w:rsidRPr="00F57FA4">
        <w:rPr>
          <w:szCs w:val="20"/>
          <w:lang w:val="es-CO"/>
        </w:rPr>
        <w:t>protocolo de atención médica actualmente vigente en el IPPSC</w:t>
      </w:r>
      <w:r w:rsidR="00D96491">
        <w:rPr>
          <w:szCs w:val="20"/>
          <w:lang w:val="es-CO"/>
        </w:rPr>
        <w:t>, este</w:t>
      </w:r>
      <w:r w:rsidRPr="00F57FA4">
        <w:rPr>
          <w:szCs w:val="20"/>
          <w:lang w:val="es-CO"/>
        </w:rPr>
        <w:t xml:space="preserve"> debe ser modificado para que los internos dispongan de atención rápida, eficiente y </w:t>
      </w:r>
      <w:r>
        <w:rPr>
          <w:szCs w:val="20"/>
          <w:lang w:val="es-CO"/>
        </w:rPr>
        <w:t xml:space="preserve">de calidad. </w:t>
      </w:r>
      <w:r w:rsidR="00C72DAB">
        <w:rPr>
          <w:szCs w:val="20"/>
          <w:lang w:val="es-CO"/>
        </w:rPr>
        <w:t>E</w:t>
      </w:r>
      <w:r w:rsidRPr="00A80A08">
        <w:rPr>
          <w:szCs w:val="20"/>
          <w:lang w:val="es-CO"/>
        </w:rPr>
        <w:t>l Estado debe</w:t>
      </w:r>
      <w:r w:rsidR="00C72DAB">
        <w:rPr>
          <w:szCs w:val="20"/>
          <w:lang w:val="es-CO"/>
        </w:rPr>
        <w:t>rá</w:t>
      </w:r>
      <w:r w:rsidRPr="00A80A08">
        <w:rPr>
          <w:szCs w:val="20"/>
          <w:lang w:val="es-CO"/>
        </w:rPr>
        <w:t xml:space="preserve"> informar a la Corte sobre las medidas adoptadas para mejorar la atención de salud </w:t>
      </w:r>
      <w:r w:rsidRPr="00384A46">
        <w:rPr>
          <w:szCs w:val="20"/>
          <w:lang w:val="es-CO"/>
        </w:rPr>
        <w:t>general de los internos</w:t>
      </w:r>
      <w:r w:rsidR="00243B92">
        <w:rPr>
          <w:szCs w:val="20"/>
          <w:lang w:val="es-CO"/>
        </w:rPr>
        <w:t xml:space="preserve">, así como </w:t>
      </w:r>
      <w:r w:rsidR="006F7AA7">
        <w:rPr>
          <w:szCs w:val="20"/>
          <w:lang w:val="es-CO"/>
        </w:rPr>
        <w:t>las acciones</w:t>
      </w:r>
      <w:r w:rsidRPr="00384A46">
        <w:rPr>
          <w:szCs w:val="20"/>
          <w:lang w:val="es-CO"/>
        </w:rPr>
        <w:t xml:space="preserve"> de prevención y tratamiento de enfermeda</w:t>
      </w:r>
      <w:r w:rsidRPr="005268CC">
        <w:rPr>
          <w:szCs w:val="20"/>
          <w:lang w:val="es-CO"/>
        </w:rPr>
        <w:t>des infectocontagiosas</w:t>
      </w:r>
      <w:r w:rsidR="00C72DAB" w:rsidRPr="005268CC">
        <w:rPr>
          <w:szCs w:val="20"/>
          <w:lang w:val="es-CO"/>
        </w:rPr>
        <w:t xml:space="preserve"> en los términos descritos en los </w:t>
      </w:r>
      <w:r w:rsidR="00D96491" w:rsidRPr="005268CC">
        <w:rPr>
          <w:szCs w:val="20"/>
          <w:lang w:val="es-CO"/>
        </w:rPr>
        <w:t>Consider</w:t>
      </w:r>
      <w:r w:rsidR="00D96491" w:rsidRPr="004A3A17">
        <w:rPr>
          <w:szCs w:val="20"/>
          <w:lang w:val="es-CO"/>
        </w:rPr>
        <w:t xml:space="preserve">andos </w:t>
      </w:r>
      <w:r w:rsidR="00C72DAB" w:rsidRPr="004A3A17">
        <w:rPr>
          <w:szCs w:val="20"/>
          <w:lang w:val="es-CO"/>
        </w:rPr>
        <w:t>5</w:t>
      </w:r>
      <w:r w:rsidR="00D548C0">
        <w:rPr>
          <w:szCs w:val="20"/>
          <w:lang w:val="es-CO"/>
        </w:rPr>
        <w:t>3</w:t>
      </w:r>
      <w:r w:rsidR="005268CC" w:rsidRPr="004A3A17">
        <w:rPr>
          <w:szCs w:val="20"/>
          <w:lang w:val="es-CO"/>
        </w:rPr>
        <w:t xml:space="preserve"> a 5</w:t>
      </w:r>
      <w:r w:rsidR="00D548C0">
        <w:rPr>
          <w:szCs w:val="20"/>
          <w:lang w:val="es-CO"/>
        </w:rPr>
        <w:t>6</w:t>
      </w:r>
      <w:r w:rsidR="005268CC">
        <w:rPr>
          <w:szCs w:val="20"/>
          <w:lang w:val="es-CO"/>
        </w:rPr>
        <w:t xml:space="preserve"> </w:t>
      </w:r>
      <w:r w:rsidR="00C72DAB">
        <w:rPr>
          <w:szCs w:val="20"/>
          <w:lang w:val="es-CO"/>
        </w:rPr>
        <w:t>de la presente resolución.</w:t>
      </w:r>
    </w:p>
    <w:p w14:paraId="0E520F9B" w14:textId="77777777" w:rsidR="00C72DAB" w:rsidRPr="00D96491" w:rsidRDefault="00C72DAB" w:rsidP="00D96491">
      <w:pPr>
        <w:pStyle w:val="ListParagraph"/>
        <w:rPr>
          <w:b/>
          <w:i/>
          <w:szCs w:val="20"/>
          <w:lang w:val="es-CO"/>
        </w:rPr>
      </w:pPr>
    </w:p>
    <w:p w14:paraId="7D2D61AE" w14:textId="2E1E01ED" w:rsidR="00C72DAB" w:rsidRDefault="00D96491" w:rsidP="00D96491">
      <w:pPr>
        <w:pStyle w:val="ListParagraph"/>
        <w:numPr>
          <w:ilvl w:val="0"/>
          <w:numId w:val="20"/>
        </w:numPr>
        <w:snapToGrid w:val="0"/>
        <w:ind w:left="0" w:firstLine="0"/>
        <w:contextualSpacing w:val="0"/>
        <w:rPr>
          <w:b/>
          <w:i/>
          <w:szCs w:val="20"/>
          <w:lang w:val="es-CO"/>
        </w:rPr>
      </w:pPr>
      <w:r>
        <w:rPr>
          <w:szCs w:val="20"/>
          <w:lang w:val="es-CO"/>
        </w:rPr>
        <w:t>Para la Corte Interamericana, l</w:t>
      </w:r>
      <w:r w:rsidR="00C72DAB">
        <w:rPr>
          <w:szCs w:val="20"/>
          <w:lang w:val="es-CO"/>
        </w:rPr>
        <w:t>a cantidad de personas fallecidas en el IPPSC es completamente inaceptable. Especialmente, puesto que las circunstancias o las causas de los decesos no han sido presentad</w:t>
      </w:r>
      <w:r w:rsidR="00243B92">
        <w:rPr>
          <w:szCs w:val="20"/>
          <w:lang w:val="es-CO"/>
        </w:rPr>
        <w:t>a</w:t>
      </w:r>
      <w:r w:rsidR="00C72DAB">
        <w:rPr>
          <w:szCs w:val="20"/>
          <w:lang w:val="es-CO"/>
        </w:rPr>
        <w:t xml:space="preserve">s a este </w:t>
      </w:r>
      <w:r w:rsidR="00C72DAB" w:rsidRPr="00C72DAB">
        <w:rPr>
          <w:szCs w:val="20"/>
          <w:lang w:val="es-CO"/>
        </w:rPr>
        <w:t xml:space="preserve">Tribunal. </w:t>
      </w:r>
      <w:r w:rsidR="00C72DAB" w:rsidRPr="00D96491">
        <w:rPr>
          <w:szCs w:val="20"/>
          <w:lang w:val="es-CO"/>
        </w:rPr>
        <w:t>Es imperativo que el Estado determine e informe a esta Corte las causas de todas las muertes de internos que han ocurrido durante la vigencia de las presentes medidas de protección</w:t>
      </w:r>
      <w:r w:rsidR="00C72DAB" w:rsidRPr="00C72DAB">
        <w:rPr>
          <w:szCs w:val="20"/>
          <w:lang w:val="es-CO"/>
        </w:rPr>
        <w:t xml:space="preserve">. Asimismo, </w:t>
      </w:r>
      <w:r w:rsidR="00C72DAB" w:rsidRPr="00D96491">
        <w:rPr>
          <w:szCs w:val="20"/>
          <w:lang w:val="es-CO"/>
        </w:rPr>
        <w:t xml:space="preserve">el Estado debe tomar inmediatamente todas aquellas medidas necesarias para </w:t>
      </w:r>
      <w:r w:rsidR="00C72DAB">
        <w:rPr>
          <w:szCs w:val="20"/>
          <w:lang w:val="es-CO"/>
        </w:rPr>
        <w:t>prevenir</w:t>
      </w:r>
      <w:r w:rsidR="00C72DAB" w:rsidRPr="00D96491">
        <w:rPr>
          <w:szCs w:val="20"/>
          <w:lang w:val="es-CO"/>
        </w:rPr>
        <w:t xml:space="preserve"> que ocurran más muertes en el IPPSC</w:t>
      </w:r>
      <w:r w:rsidR="00C72DAB">
        <w:rPr>
          <w:szCs w:val="20"/>
          <w:lang w:val="es-CO"/>
        </w:rPr>
        <w:t>.</w:t>
      </w:r>
    </w:p>
    <w:p w14:paraId="51094F24" w14:textId="77777777" w:rsidR="00D96491" w:rsidRPr="00D96491" w:rsidRDefault="00D96491" w:rsidP="00D96491">
      <w:pPr>
        <w:pStyle w:val="ListParagraph"/>
        <w:snapToGrid w:val="0"/>
        <w:ind w:left="0"/>
        <w:contextualSpacing w:val="0"/>
        <w:rPr>
          <w:b/>
          <w:szCs w:val="20"/>
          <w:lang w:val="es-CO"/>
        </w:rPr>
      </w:pPr>
    </w:p>
    <w:p w14:paraId="6D2DE687" w14:textId="77777777" w:rsidR="00C72DAB" w:rsidRDefault="00C72DAB" w:rsidP="00D96491">
      <w:pPr>
        <w:pStyle w:val="ListParagraph"/>
        <w:numPr>
          <w:ilvl w:val="0"/>
          <w:numId w:val="20"/>
        </w:numPr>
        <w:snapToGrid w:val="0"/>
        <w:ind w:left="0" w:firstLine="0"/>
        <w:contextualSpacing w:val="0"/>
        <w:rPr>
          <w:b/>
          <w:i/>
          <w:szCs w:val="20"/>
          <w:lang w:val="es-CO"/>
        </w:rPr>
      </w:pPr>
      <w:r>
        <w:rPr>
          <w:szCs w:val="20"/>
          <w:lang w:val="es-CO"/>
        </w:rPr>
        <w:t xml:space="preserve">Para la Corte es claro que las condiciones de detención de las personas internas en el IPPSC son infrahumanas. El Estado debe tomar medidas efectivas para garantizar la existencia digna de los beneficiarios de las presentes medidas de protección. </w:t>
      </w:r>
    </w:p>
    <w:p w14:paraId="14F1A9B4" w14:textId="77777777" w:rsidR="00D96491" w:rsidRPr="00D96491" w:rsidRDefault="00D96491" w:rsidP="00D96491">
      <w:pPr>
        <w:pStyle w:val="ListParagraph"/>
        <w:snapToGrid w:val="0"/>
        <w:ind w:left="0"/>
        <w:contextualSpacing w:val="0"/>
        <w:rPr>
          <w:b/>
          <w:szCs w:val="20"/>
          <w:lang w:val="es-CO"/>
        </w:rPr>
      </w:pPr>
    </w:p>
    <w:p w14:paraId="16081E28" w14:textId="77777777" w:rsidR="00D536D5" w:rsidRPr="00D96491" w:rsidRDefault="00C72DAB" w:rsidP="006D31D9">
      <w:pPr>
        <w:pStyle w:val="ListParagraph"/>
        <w:numPr>
          <w:ilvl w:val="0"/>
          <w:numId w:val="20"/>
        </w:numPr>
        <w:snapToGrid w:val="0"/>
        <w:ind w:left="0" w:firstLine="0"/>
        <w:contextualSpacing w:val="0"/>
        <w:rPr>
          <w:b/>
          <w:i/>
          <w:szCs w:val="20"/>
          <w:lang w:val="es-CO"/>
        </w:rPr>
      </w:pPr>
      <w:r>
        <w:rPr>
          <w:szCs w:val="20"/>
          <w:lang w:val="es-CO"/>
        </w:rPr>
        <w:t xml:space="preserve">Finalmente, el Tribunal reitera que el Estado brasileño tiene </w:t>
      </w:r>
      <w:r w:rsidR="00D96491">
        <w:rPr>
          <w:szCs w:val="20"/>
          <w:lang w:val="es-CO"/>
        </w:rPr>
        <w:t xml:space="preserve">el deber de cumplir </w:t>
      </w:r>
      <w:r>
        <w:rPr>
          <w:szCs w:val="20"/>
          <w:lang w:val="es-CO"/>
        </w:rPr>
        <w:t>con las presentes medidas provisionales de buena fe. Eso incluye garantizar que los defensores de derechos humanos que representan a las personas beneficiarias puedan desempeñar su labor con libertad</w:t>
      </w:r>
      <w:r w:rsidR="005964FA">
        <w:rPr>
          <w:szCs w:val="20"/>
          <w:lang w:val="es-CO"/>
        </w:rPr>
        <w:t xml:space="preserve">. Asimismo, incluye presentar información veraz, oportuna y precisa sobre el cumplimiento de lo dispuesto por la Corte. </w:t>
      </w:r>
    </w:p>
    <w:p w14:paraId="5079AE1C" w14:textId="77777777" w:rsidR="007340B9" w:rsidRPr="00F57FA4" w:rsidRDefault="007340B9" w:rsidP="006D31D9">
      <w:pPr>
        <w:pStyle w:val="ListParagraph"/>
        <w:rPr>
          <w:b/>
          <w:i/>
          <w:szCs w:val="20"/>
          <w:lang w:val="es-CO"/>
        </w:rPr>
      </w:pPr>
    </w:p>
    <w:p w14:paraId="6719503F" w14:textId="77777777" w:rsidR="00F75107" w:rsidRPr="00F57FA4" w:rsidRDefault="00F75107" w:rsidP="006D31D9">
      <w:pPr>
        <w:pStyle w:val="BodyText"/>
        <w:spacing w:after="0"/>
        <w:rPr>
          <w:b/>
          <w:szCs w:val="20"/>
          <w:lang w:val="es-CO"/>
        </w:rPr>
      </w:pPr>
      <w:r w:rsidRPr="00F57FA4">
        <w:rPr>
          <w:b/>
          <w:szCs w:val="20"/>
          <w:lang w:val="es-CO"/>
        </w:rPr>
        <w:t>POR TANTO:</w:t>
      </w:r>
    </w:p>
    <w:p w14:paraId="51286630" w14:textId="77777777" w:rsidR="00F75107" w:rsidRPr="00F57FA4" w:rsidRDefault="00F75107" w:rsidP="006D31D9">
      <w:pPr>
        <w:rPr>
          <w:b/>
          <w:szCs w:val="20"/>
          <w:lang w:val="es-CO"/>
        </w:rPr>
      </w:pPr>
    </w:p>
    <w:p w14:paraId="15E52F75" w14:textId="77777777" w:rsidR="00F75107" w:rsidRPr="00F57FA4" w:rsidRDefault="00F75107" w:rsidP="006D31D9">
      <w:pPr>
        <w:rPr>
          <w:b/>
          <w:szCs w:val="20"/>
          <w:lang w:val="es-CO"/>
        </w:rPr>
      </w:pPr>
      <w:r w:rsidRPr="00F57FA4">
        <w:rPr>
          <w:b/>
          <w:szCs w:val="20"/>
          <w:lang w:val="es-CO"/>
        </w:rPr>
        <w:t xml:space="preserve">LA CORTE INTERAMERICANA DE DERECHOS HUMANOS, </w:t>
      </w:r>
    </w:p>
    <w:p w14:paraId="145A6430" w14:textId="77777777" w:rsidR="00F75107" w:rsidRPr="00F57FA4" w:rsidRDefault="00F75107" w:rsidP="006D31D9">
      <w:pPr>
        <w:ind w:right="22"/>
        <w:rPr>
          <w:szCs w:val="20"/>
          <w:lang w:val="es-CO"/>
        </w:rPr>
      </w:pPr>
    </w:p>
    <w:p w14:paraId="6AC24041" w14:textId="77777777" w:rsidR="00F75107" w:rsidRPr="00F57FA4" w:rsidRDefault="00F75107" w:rsidP="006D31D9">
      <w:pPr>
        <w:ind w:right="22"/>
        <w:rPr>
          <w:szCs w:val="20"/>
          <w:lang w:val="es-CO"/>
        </w:rPr>
      </w:pPr>
      <w:r w:rsidRPr="00F57FA4">
        <w:rPr>
          <w:szCs w:val="20"/>
          <w:lang w:val="es-CO"/>
        </w:rPr>
        <w:t xml:space="preserve">en </w:t>
      </w:r>
      <w:r w:rsidR="005964FA">
        <w:rPr>
          <w:szCs w:val="20"/>
          <w:lang w:val="es-CO"/>
        </w:rPr>
        <w:t>ejercicio</w:t>
      </w:r>
      <w:r w:rsidR="005964FA" w:rsidRPr="00F57FA4">
        <w:rPr>
          <w:szCs w:val="20"/>
          <w:lang w:val="es-CO"/>
        </w:rPr>
        <w:t xml:space="preserve"> </w:t>
      </w:r>
      <w:r w:rsidRPr="00F57FA4">
        <w:rPr>
          <w:szCs w:val="20"/>
          <w:lang w:val="es-CO"/>
        </w:rPr>
        <w:t>de las atribuciones que le confieren el artículo 63.2 de la Convención Americana y el artículo 27 del Reglamento,</w:t>
      </w:r>
    </w:p>
    <w:p w14:paraId="3927EE02" w14:textId="77777777" w:rsidR="00F75107" w:rsidRPr="00F57FA4" w:rsidRDefault="00F75107" w:rsidP="006D31D9">
      <w:pPr>
        <w:ind w:right="22"/>
        <w:rPr>
          <w:b/>
          <w:szCs w:val="20"/>
          <w:lang w:val="es-CO"/>
        </w:rPr>
      </w:pPr>
    </w:p>
    <w:p w14:paraId="4BE287E3" w14:textId="77777777" w:rsidR="00F75107" w:rsidRPr="00F57FA4" w:rsidRDefault="00F75107" w:rsidP="006D31D9">
      <w:pPr>
        <w:ind w:right="22"/>
        <w:rPr>
          <w:b/>
          <w:szCs w:val="20"/>
          <w:lang w:val="es-CO"/>
        </w:rPr>
      </w:pPr>
      <w:r w:rsidRPr="00F57FA4">
        <w:rPr>
          <w:b/>
          <w:szCs w:val="20"/>
          <w:lang w:val="es-CO"/>
        </w:rPr>
        <w:t>RESUELVE:</w:t>
      </w:r>
    </w:p>
    <w:p w14:paraId="4C83DC0B" w14:textId="77777777" w:rsidR="00D317E0" w:rsidRPr="00F57FA4" w:rsidRDefault="00D317E0" w:rsidP="006D31D9">
      <w:pPr>
        <w:ind w:right="22"/>
        <w:rPr>
          <w:rFonts w:eastAsia="Times"/>
          <w:szCs w:val="20"/>
          <w:lang w:val="es-CO"/>
        </w:rPr>
      </w:pPr>
    </w:p>
    <w:p w14:paraId="799D5DE5" w14:textId="77777777" w:rsidR="009D4440" w:rsidRPr="00F57FA4" w:rsidRDefault="00D317E0" w:rsidP="006D31D9">
      <w:pPr>
        <w:pStyle w:val="ListParagraph"/>
        <w:numPr>
          <w:ilvl w:val="0"/>
          <w:numId w:val="15"/>
        </w:numPr>
        <w:tabs>
          <w:tab w:val="clear" w:pos="648"/>
        </w:tabs>
        <w:snapToGrid w:val="0"/>
        <w:contextualSpacing w:val="0"/>
        <w:rPr>
          <w:b/>
          <w:i/>
          <w:szCs w:val="20"/>
          <w:lang w:val="es-CO"/>
        </w:rPr>
      </w:pPr>
      <w:r w:rsidRPr="00F57FA4">
        <w:rPr>
          <w:rFonts w:eastAsia="Times"/>
          <w:szCs w:val="20"/>
          <w:lang w:val="es-CO"/>
        </w:rPr>
        <w:t xml:space="preserve">Requerir al Estado que adopte inmediatamente </w:t>
      </w:r>
      <w:r w:rsidRPr="00F57FA4">
        <w:rPr>
          <w:szCs w:val="20"/>
          <w:lang w:val="es-CO"/>
        </w:rPr>
        <w:t xml:space="preserve">todas las medidas que sean necesarias para proteger eficazmente la vida y la integridad personal de todas las personas privadas de libertad en el </w:t>
      </w:r>
      <w:r w:rsidR="009D4440" w:rsidRPr="00F57FA4">
        <w:rPr>
          <w:szCs w:val="20"/>
          <w:lang w:val="es-CO"/>
        </w:rPr>
        <w:t>Instituto Penal Plácido de Sá Carvalho</w:t>
      </w:r>
      <w:r w:rsidRPr="00F57FA4">
        <w:rPr>
          <w:szCs w:val="20"/>
          <w:lang w:val="es-CO"/>
        </w:rPr>
        <w:t>, así como de cualquier persona que se encuentre en dicho establecimiento, incluyendo los agentes penitenciarios, funcionarios y visitantes.</w:t>
      </w:r>
      <w:r w:rsidR="00C76881" w:rsidRPr="00F57FA4">
        <w:rPr>
          <w:szCs w:val="20"/>
          <w:lang w:val="es-CO"/>
        </w:rPr>
        <w:t xml:space="preserve"> </w:t>
      </w:r>
    </w:p>
    <w:p w14:paraId="25281A78" w14:textId="77777777" w:rsidR="009D4440" w:rsidRPr="00F57FA4" w:rsidRDefault="009D4440" w:rsidP="006D31D9">
      <w:pPr>
        <w:ind w:right="18"/>
        <w:rPr>
          <w:szCs w:val="20"/>
          <w:lang w:val="es-CO"/>
        </w:rPr>
      </w:pPr>
    </w:p>
    <w:p w14:paraId="0E8C463D" w14:textId="77777777" w:rsidR="009D4440" w:rsidRPr="00F57FA4" w:rsidRDefault="009D4440" w:rsidP="006D31D9">
      <w:pPr>
        <w:numPr>
          <w:ilvl w:val="0"/>
          <w:numId w:val="15"/>
        </w:numPr>
        <w:tabs>
          <w:tab w:val="clear" w:pos="648"/>
        </w:tabs>
        <w:ind w:right="18"/>
        <w:rPr>
          <w:szCs w:val="20"/>
          <w:lang w:val="es-CO"/>
        </w:rPr>
      </w:pPr>
      <w:r w:rsidRPr="00F57FA4">
        <w:rPr>
          <w:rFonts w:eastAsia="Times"/>
          <w:szCs w:val="20"/>
          <w:lang w:val="es-CO"/>
        </w:rPr>
        <w:t>Requerir</w:t>
      </w:r>
      <w:r w:rsidRPr="00F57FA4">
        <w:rPr>
          <w:szCs w:val="20"/>
          <w:lang w:val="es-CO"/>
        </w:rPr>
        <w:t xml:space="preserve"> al Estado que mantenga a </w:t>
      </w:r>
      <w:r w:rsidR="005268CC">
        <w:rPr>
          <w:szCs w:val="20"/>
          <w:lang w:val="es-CO"/>
        </w:rPr>
        <w:t xml:space="preserve">la Defensoría Pública del Estado de Río de Janeiro, como </w:t>
      </w:r>
      <w:r w:rsidRPr="00F57FA4">
        <w:rPr>
          <w:szCs w:val="20"/>
          <w:lang w:val="es-CO"/>
        </w:rPr>
        <w:t>representantes de los beneficiarios</w:t>
      </w:r>
      <w:r w:rsidR="005268CC">
        <w:rPr>
          <w:szCs w:val="20"/>
          <w:lang w:val="es-CO"/>
        </w:rPr>
        <w:t>,</w:t>
      </w:r>
      <w:r w:rsidRPr="00F57FA4">
        <w:rPr>
          <w:szCs w:val="20"/>
          <w:lang w:val="es-CO"/>
        </w:rPr>
        <w:t xml:space="preserve"> informados sobre las medidas adoptadas para cumplir con las medidas provisionales ordenadas y que les garantice el acceso amplio e irrestricto al Instituto Penal Plácido de Sá Carvalho, con el exclusivo propósito de dar seguimiento y documentar fehacientemente la implementación de las presentes medidas.</w:t>
      </w:r>
    </w:p>
    <w:p w14:paraId="366F4111" w14:textId="77777777" w:rsidR="009D4440" w:rsidRPr="00F57FA4" w:rsidRDefault="009D4440" w:rsidP="006D31D9">
      <w:pPr>
        <w:pStyle w:val="BodyTextIndent"/>
        <w:spacing w:after="0"/>
        <w:ind w:left="0"/>
        <w:rPr>
          <w:rFonts w:eastAsia="Times"/>
          <w:szCs w:val="20"/>
          <w:lang w:val="es-CO"/>
        </w:rPr>
      </w:pPr>
    </w:p>
    <w:p w14:paraId="651FF7C6" w14:textId="77777777" w:rsidR="009D4440" w:rsidRPr="00F57FA4" w:rsidRDefault="009D4440" w:rsidP="006D31D9">
      <w:pPr>
        <w:pStyle w:val="BodyTextIndent"/>
        <w:numPr>
          <w:ilvl w:val="0"/>
          <w:numId w:val="15"/>
        </w:numPr>
        <w:tabs>
          <w:tab w:val="clear" w:pos="648"/>
        </w:tabs>
        <w:spacing w:after="0"/>
        <w:rPr>
          <w:szCs w:val="20"/>
          <w:lang w:val="es-CO"/>
        </w:rPr>
      </w:pPr>
      <w:r w:rsidRPr="00F57FA4">
        <w:rPr>
          <w:szCs w:val="20"/>
          <w:lang w:val="es-CO"/>
        </w:rPr>
        <w:t>Requerir al Estado que continúe informando a la Corte Interamericana de Derechos Humanos cada tres meses, contados a partir de la notificación de la presente Resolución, sobre la implementación de las medidas provisionales adoptadas de conformidad con esta decisión y sus efectos.</w:t>
      </w:r>
    </w:p>
    <w:p w14:paraId="16715587" w14:textId="77777777" w:rsidR="009D4440" w:rsidRPr="00F57FA4" w:rsidRDefault="009D4440" w:rsidP="006D31D9">
      <w:pPr>
        <w:pStyle w:val="BodyTextIndent"/>
        <w:spacing w:after="0"/>
        <w:ind w:left="0"/>
        <w:rPr>
          <w:rFonts w:eastAsia="Times"/>
          <w:szCs w:val="20"/>
          <w:lang w:val="es-CO"/>
        </w:rPr>
      </w:pPr>
    </w:p>
    <w:p w14:paraId="14EAD36B" w14:textId="77777777" w:rsidR="009D4440" w:rsidRPr="00F57FA4" w:rsidRDefault="009D4440" w:rsidP="006D31D9">
      <w:pPr>
        <w:pStyle w:val="BodyText"/>
        <w:widowControl w:val="0"/>
        <w:numPr>
          <w:ilvl w:val="0"/>
          <w:numId w:val="15"/>
        </w:numPr>
        <w:tabs>
          <w:tab w:val="clear" w:pos="648"/>
        </w:tabs>
        <w:spacing w:after="0"/>
        <w:rPr>
          <w:szCs w:val="20"/>
          <w:lang w:val="es-CO"/>
        </w:rPr>
      </w:pPr>
      <w:r w:rsidRPr="00F57FA4">
        <w:rPr>
          <w:szCs w:val="20"/>
          <w:lang w:val="es-CO"/>
        </w:rPr>
        <w:t xml:space="preserve">Solicitar a los representantes de los beneficiarios que presenten las observaciones que estimen pertinentes al informe requerido en el punto resolutivo anterior dentro de un plazo de cuatro semanas, contado a partir de la recepción del referido informe estatal. </w:t>
      </w:r>
    </w:p>
    <w:p w14:paraId="0FBD6C44" w14:textId="77777777" w:rsidR="009D4440" w:rsidRPr="00F57FA4" w:rsidRDefault="009D4440" w:rsidP="006D31D9">
      <w:pPr>
        <w:pStyle w:val="BodyText"/>
        <w:widowControl w:val="0"/>
        <w:spacing w:after="0"/>
        <w:rPr>
          <w:szCs w:val="20"/>
          <w:lang w:val="es-CO"/>
        </w:rPr>
      </w:pPr>
    </w:p>
    <w:p w14:paraId="70EF2F9D" w14:textId="503CB89D" w:rsidR="00936904" w:rsidRDefault="009D4440" w:rsidP="006D31D9">
      <w:pPr>
        <w:pStyle w:val="BodyText"/>
        <w:widowControl w:val="0"/>
        <w:numPr>
          <w:ilvl w:val="0"/>
          <w:numId w:val="15"/>
        </w:numPr>
        <w:tabs>
          <w:tab w:val="clear" w:pos="648"/>
        </w:tabs>
        <w:spacing w:after="0"/>
        <w:rPr>
          <w:szCs w:val="20"/>
          <w:lang w:val="es-CO"/>
        </w:rPr>
      </w:pPr>
      <w:r w:rsidRPr="00F57FA4">
        <w:rPr>
          <w:szCs w:val="20"/>
          <w:lang w:val="es-CO"/>
        </w:rPr>
        <w:t xml:space="preserve">Solicitar a la Comisión Interamericana de Derechos Humanos que presente las observaciones que estime pertinentes al informe estatal requerido en el punto resolutivo </w:t>
      </w:r>
      <w:r w:rsidR="004677C1">
        <w:rPr>
          <w:szCs w:val="20"/>
          <w:lang w:val="es-CO"/>
        </w:rPr>
        <w:t>tercero</w:t>
      </w:r>
      <w:r w:rsidR="004677C1" w:rsidRPr="00F57FA4">
        <w:rPr>
          <w:szCs w:val="20"/>
          <w:lang w:val="es-CO"/>
        </w:rPr>
        <w:t xml:space="preserve"> </w:t>
      </w:r>
      <w:r w:rsidRPr="00F57FA4">
        <w:rPr>
          <w:szCs w:val="20"/>
          <w:lang w:val="es-CO"/>
        </w:rPr>
        <w:t xml:space="preserve">y a las correspondientes observaciones de los representantes de los beneficiarios dentro de un plazo de dos semanas, contado a partir de la transmisión de las referidas </w:t>
      </w:r>
      <w:r w:rsidRPr="00F57FA4">
        <w:rPr>
          <w:szCs w:val="20"/>
          <w:lang w:val="es-CO"/>
        </w:rPr>
        <w:lastRenderedPageBreak/>
        <w:t>observaciones de los representantes.</w:t>
      </w:r>
    </w:p>
    <w:p w14:paraId="23027BBE" w14:textId="77777777" w:rsidR="0034375E" w:rsidRPr="005268CC" w:rsidRDefault="0034375E" w:rsidP="00936904">
      <w:pPr>
        <w:pStyle w:val="BodyText"/>
        <w:widowControl w:val="0"/>
        <w:spacing w:after="0"/>
        <w:rPr>
          <w:szCs w:val="20"/>
          <w:lang w:val="es-CO"/>
        </w:rPr>
      </w:pPr>
    </w:p>
    <w:p w14:paraId="3151FC78" w14:textId="44833EDE" w:rsidR="00936904" w:rsidRPr="004A3A17" w:rsidRDefault="00156E94" w:rsidP="00936904">
      <w:pPr>
        <w:numPr>
          <w:ilvl w:val="0"/>
          <w:numId w:val="15"/>
        </w:numPr>
        <w:spacing w:line="239" w:lineRule="auto"/>
        <w:rPr>
          <w:rFonts w:eastAsia="Verdana" w:cs="Verdana"/>
          <w:szCs w:val="20"/>
          <w:lang w:val="es-CR"/>
        </w:rPr>
      </w:pPr>
      <w:r>
        <w:rPr>
          <w:rFonts w:eastAsia="Verdana" w:cs="Verdana"/>
          <w:szCs w:val="20"/>
          <w:lang w:val="es-CR"/>
        </w:rPr>
        <w:t>Evaluar, dentro del plazo de un año</w:t>
      </w:r>
      <w:r w:rsidR="00DC5642">
        <w:rPr>
          <w:rFonts w:eastAsia="Verdana" w:cs="Verdana"/>
          <w:szCs w:val="20"/>
          <w:lang w:val="es-CR"/>
        </w:rPr>
        <w:t xml:space="preserve"> y </w:t>
      </w:r>
      <w:r w:rsidR="00DC5642" w:rsidRPr="004A3A17">
        <w:rPr>
          <w:rFonts w:eastAsia="Verdana" w:cs="Verdana"/>
          <w:szCs w:val="20"/>
          <w:lang w:val="es-CR"/>
        </w:rPr>
        <w:t xml:space="preserve">de conformidad con </w:t>
      </w:r>
      <w:r w:rsidR="00DC5642">
        <w:rPr>
          <w:rFonts w:eastAsia="Verdana" w:cs="Verdana"/>
          <w:szCs w:val="20"/>
          <w:lang w:val="es-CR"/>
        </w:rPr>
        <w:t xml:space="preserve">el </w:t>
      </w:r>
      <w:r w:rsidR="00DC5642" w:rsidRPr="004A3A17">
        <w:rPr>
          <w:rFonts w:eastAsia="Verdana" w:cs="Verdana"/>
          <w:szCs w:val="20"/>
          <w:lang w:val="es-CR"/>
        </w:rPr>
        <w:t>artículo 27.8 de su Reglamento</w:t>
      </w:r>
      <w:r>
        <w:rPr>
          <w:rFonts w:eastAsia="Verdana" w:cs="Verdana"/>
          <w:szCs w:val="20"/>
          <w:lang w:val="es-CR"/>
        </w:rPr>
        <w:t xml:space="preserve">, la pertinencia de que una delegación </w:t>
      </w:r>
      <w:r w:rsidR="00936904" w:rsidRPr="004A3A17">
        <w:rPr>
          <w:rFonts w:eastAsia="Verdana" w:cs="Verdana"/>
          <w:szCs w:val="20"/>
          <w:lang w:val="es-CR"/>
        </w:rPr>
        <w:t xml:space="preserve">de la Corte Interamericana realice una </w:t>
      </w:r>
      <w:r w:rsidR="00DC5642">
        <w:rPr>
          <w:rFonts w:eastAsia="Verdana" w:cs="Verdana"/>
          <w:szCs w:val="20"/>
          <w:lang w:val="es-CR"/>
        </w:rPr>
        <w:t xml:space="preserve">nueva diligencia </w:t>
      </w:r>
      <w:r w:rsidR="00DC5642">
        <w:rPr>
          <w:rFonts w:eastAsia="Verdana" w:cs="Verdana"/>
          <w:i/>
          <w:szCs w:val="20"/>
          <w:lang w:val="es-CR"/>
        </w:rPr>
        <w:t xml:space="preserve">in situ </w:t>
      </w:r>
      <w:r w:rsidR="00936904" w:rsidRPr="004A3A17">
        <w:rPr>
          <w:rFonts w:eastAsia="Verdana" w:cs="Verdana"/>
          <w:szCs w:val="20"/>
          <w:lang w:val="es-CR"/>
        </w:rPr>
        <w:t xml:space="preserve">al </w:t>
      </w:r>
      <w:r w:rsidR="00936904" w:rsidRPr="004A3A17">
        <w:rPr>
          <w:szCs w:val="20"/>
          <w:lang w:val="es-CR"/>
        </w:rPr>
        <w:t>Instituto Penal Plácido de Sá Carvalho</w:t>
      </w:r>
      <w:r w:rsidR="00936904" w:rsidRPr="004A3A17">
        <w:rPr>
          <w:rFonts w:eastAsia="Verdana" w:cs="Verdana"/>
          <w:szCs w:val="20"/>
          <w:lang w:val="es-CR"/>
        </w:rPr>
        <w:t>,</w:t>
      </w:r>
      <w:r>
        <w:rPr>
          <w:rFonts w:eastAsia="Verdana" w:cs="Verdana"/>
          <w:szCs w:val="20"/>
          <w:lang w:val="es-CR"/>
        </w:rPr>
        <w:t xml:space="preserve"> y de requerir </w:t>
      </w:r>
      <w:r w:rsidR="00DC5642">
        <w:rPr>
          <w:rFonts w:eastAsia="Verdana" w:cs="Verdana"/>
          <w:szCs w:val="20"/>
          <w:lang w:val="es-CR"/>
        </w:rPr>
        <w:t xml:space="preserve">el dictamen de peritos sobre la materia o su acompañamiento a la referida diligencia, </w:t>
      </w:r>
      <w:r w:rsidR="00936904" w:rsidRPr="004A3A17">
        <w:rPr>
          <w:rFonts w:eastAsia="Verdana" w:cs="Verdana"/>
          <w:szCs w:val="20"/>
          <w:lang w:val="es-CR"/>
        </w:rPr>
        <w:t xml:space="preserve">con el fin de </w:t>
      </w:r>
      <w:r>
        <w:rPr>
          <w:rFonts w:eastAsia="Verdana" w:cs="Verdana"/>
          <w:szCs w:val="20"/>
          <w:lang w:val="es-CR"/>
        </w:rPr>
        <w:t xml:space="preserve">verificar la implementación de las </w:t>
      </w:r>
      <w:r w:rsidR="00936904" w:rsidRPr="004A3A17">
        <w:rPr>
          <w:rFonts w:eastAsia="Verdana" w:cs="Verdana"/>
          <w:szCs w:val="20"/>
          <w:lang w:val="es-CR"/>
        </w:rPr>
        <w:t>medidas provisionales, previo consentimiento y coordinación con la República Federativa de Brasil</w:t>
      </w:r>
      <w:r w:rsidR="00B71C30">
        <w:rPr>
          <w:rFonts w:eastAsia="Verdana" w:cs="Verdana"/>
          <w:szCs w:val="20"/>
          <w:lang w:val="es-CR"/>
        </w:rPr>
        <w:t>, a la luz de los Considerandos 53 a 5</w:t>
      </w:r>
      <w:r w:rsidR="00470CAF">
        <w:rPr>
          <w:rFonts w:eastAsia="Verdana" w:cs="Verdana"/>
          <w:szCs w:val="20"/>
          <w:lang w:val="es-CR"/>
        </w:rPr>
        <w:t>6</w:t>
      </w:r>
      <w:r w:rsidR="00B71C30">
        <w:rPr>
          <w:rFonts w:eastAsia="Verdana" w:cs="Verdana"/>
          <w:szCs w:val="20"/>
          <w:lang w:val="es-CR"/>
        </w:rPr>
        <w:t xml:space="preserve"> de la presente Resolución</w:t>
      </w:r>
      <w:r w:rsidR="00936904" w:rsidRPr="004A3A17">
        <w:rPr>
          <w:rFonts w:eastAsia="Verdana" w:cs="Verdana"/>
          <w:szCs w:val="20"/>
          <w:lang w:val="es-CR"/>
        </w:rPr>
        <w:t xml:space="preserve">. </w:t>
      </w:r>
    </w:p>
    <w:p w14:paraId="55EC5E51" w14:textId="77777777" w:rsidR="00CD5847" w:rsidRPr="00CD5847" w:rsidRDefault="00CD5847" w:rsidP="00CD5847">
      <w:pPr>
        <w:pStyle w:val="BodyText"/>
        <w:widowControl w:val="0"/>
        <w:snapToGrid w:val="0"/>
        <w:spacing w:after="0"/>
        <w:rPr>
          <w:lang w:val="es-CO"/>
        </w:rPr>
      </w:pPr>
    </w:p>
    <w:p w14:paraId="67EB2C8E" w14:textId="77777777" w:rsidR="009D4440" w:rsidRPr="00F57FA4" w:rsidRDefault="009D4440" w:rsidP="006D31D9">
      <w:pPr>
        <w:pStyle w:val="BodyText"/>
        <w:widowControl w:val="0"/>
        <w:numPr>
          <w:ilvl w:val="0"/>
          <w:numId w:val="15"/>
        </w:numPr>
        <w:tabs>
          <w:tab w:val="clear" w:pos="648"/>
        </w:tabs>
        <w:snapToGrid w:val="0"/>
        <w:spacing w:after="0"/>
        <w:rPr>
          <w:lang w:val="es-CO"/>
        </w:rPr>
      </w:pPr>
      <w:r w:rsidRPr="00F57FA4">
        <w:rPr>
          <w:szCs w:val="20"/>
          <w:lang w:val="es-CO"/>
        </w:rPr>
        <w:t>Disponer que la Secretaría de la Corte notifique la presente Resolución al Estado, a la Comisión Interamericana y a los representantes de los beneficiarios.</w:t>
      </w:r>
    </w:p>
    <w:p w14:paraId="44192957" w14:textId="77777777" w:rsidR="009D4440" w:rsidRDefault="009D4440" w:rsidP="006D31D9">
      <w:pPr>
        <w:pStyle w:val="ListParagraph"/>
        <w:rPr>
          <w:lang w:val="es-CO"/>
        </w:rPr>
      </w:pPr>
    </w:p>
    <w:p w14:paraId="1453BBB6" w14:textId="2C04CC2E" w:rsidR="002D3D65" w:rsidRDefault="002D3D65">
      <w:pPr>
        <w:spacing w:after="200" w:line="276" w:lineRule="auto"/>
        <w:jc w:val="left"/>
        <w:rPr>
          <w:lang w:val="es-CO"/>
        </w:rPr>
      </w:pPr>
      <w:r>
        <w:rPr>
          <w:lang w:val="es-CO"/>
        </w:rPr>
        <w:br w:type="page"/>
      </w:r>
    </w:p>
    <w:p w14:paraId="4F19CA84" w14:textId="77777777" w:rsidR="00F04A24" w:rsidRPr="00F57FA4" w:rsidRDefault="00F04A24" w:rsidP="006D31D9">
      <w:pPr>
        <w:pStyle w:val="ListParagraph"/>
        <w:rPr>
          <w:lang w:val="es-CO"/>
        </w:rPr>
      </w:pPr>
    </w:p>
    <w:p w14:paraId="6B54E512" w14:textId="73BA38A9" w:rsidR="009D4440" w:rsidRPr="00F57FA4" w:rsidRDefault="009D4440" w:rsidP="006D31D9">
      <w:pPr>
        <w:pStyle w:val="ListParagraph"/>
        <w:snapToGrid w:val="0"/>
        <w:ind w:left="0"/>
        <w:contextualSpacing w:val="0"/>
        <w:rPr>
          <w:b/>
          <w:i/>
          <w:szCs w:val="20"/>
        </w:rPr>
      </w:pPr>
      <w:r w:rsidRPr="00F57FA4">
        <w:rPr>
          <w:lang w:val="es-CO"/>
        </w:rPr>
        <w:t xml:space="preserve">Resolución </w:t>
      </w:r>
      <w:r w:rsidR="002D3D65">
        <w:rPr>
          <w:lang w:val="es-CO"/>
        </w:rPr>
        <w:t xml:space="preserve">de 31 de agosto de 2017 </w:t>
      </w:r>
      <w:r w:rsidRPr="00F57FA4">
        <w:rPr>
          <w:lang w:val="es-CO"/>
        </w:rPr>
        <w:t xml:space="preserve">de la Corte Interamericana de Derechos Humanos. </w:t>
      </w:r>
      <w:r w:rsidRPr="00F57FA4">
        <w:t xml:space="preserve">Medidas provisionales respecto de Brasil. Asunto </w:t>
      </w:r>
      <w:r w:rsidRPr="00F57FA4">
        <w:rPr>
          <w:szCs w:val="20"/>
        </w:rPr>
        <w:t>Instituto Penal Plácido de Sá Carvalho</w:t>
      </w:r>
      <w:r w:rsidRPr="00F57FA4">
        <w:t xml:space="preserve">. </w:t>
      </w:r>
    </w:p>
    <w:p w14:paraId="32E4C6F8" w14:textId="77777777" w:rsidR="009D4440" w:rsidRPr="00F57FA4" w:rsidRDefault="009D4440" w:rsidP="006D31D9">
      <w:pPr>
        <w:jc w:val="center"/>
      </w:pPr>
    </w:p>
    <w:p w14:paraId="0DB1F36F" w14:textId="77777777" w:rsidR="009D4440" w:rsidRPr="00F57FA4" w:rsidRDefault="009D4440" w:rsidP="006D31D9">
      <w:pPr>
        <w:jc w:val="center"/>
      </w:pPr>
    </w:p>
    <w:p w14:paraId="7ED4ACE8" w14:textId="77777777" w:rsidR="00BB71C3" w:rsidRPr="00F57FA4" w:rsidRDefault="00BB71C3" w:rsidP="006D31D9">
      <w:pPr>
        <w:jc w:val="center"/>
      </w:pPr>
    </w:p>
    <w:p w14:paraId="7D9CF165" w14:textId="77777777" w:rsidR="00BB71C3" w:rsidRPr="00F57FA4" w:rsidRDefault="00BB71C3" w:rsidP="006D31D9">
      <w:pPr>
        <w:jc w:val="center"/>
      </w:pPr>
    </w:p>
    <w:p w14:paraId="08E5AF13" w14:textId="77777777" w:rsidR="00BB71C3" w:rsidRPr="00F57FA4" w:rsidRDefault="00BB71C3" w:rsidP="006D31D9">
      <w:pPr>
        <w:jc w:val="center"/>
      </w:pPr>
    </w:p>
    <w:p w14:paraId="6E7A1749" w14:textId="77777777" w:rsidR="009D4440" w:rsidRPr="00F57FA4" w:rsidRDefault="009D4440" w:rsidP="006D31D9">
      <w:pPr>
        <w:jc w:val="center"/>
        <w:rPr>
          <w:lang w:val="es-CO"/>
        </w:rPr>
      </w:pPr>
      <w:r w:rsidRPr="00F57FA4">
        <w:rPr>
          <w:lang w:val="es-CO"/>
        </w:rPr>
        <w:t>Eduardo Ferrer Mac-Gregor Poisot</w:t>
      </w:r>
    </w:p>
    <w:p w14:paraId="5CDC2BE0" w14:textId="77777777" w:rsidR="009D4440" w:rsidRPr="00F57FA4" w:rsidRDefault="009D4440" w:rsidP="006D31D9">
      <w:pPr>
        <w:jc w:val="center"/>
        <w:rPr>
          <w:lang w:val="es-CO"/>
        </w:rPr>
      </w:pPr>
      <w:r w:rsidRPr="00F57FA4">
        <w:rPr>
          <w:lang w:val="es-CO"/>
        </w:rPr>
        <w:t>Presidente en ejercicio</w:t>
      </w:r>
    </w:p>
    <w:p w14:paraId="6BDA8A56" w14:textId="77777777" w:rsidR="009D4440" w:rsidRPr="00F57FA4" w:rsidRDefault="009D4440" w:rsidP="006D31D9">
      <w:pPr>
        <w:rPr>
          <w:lang w:val="es-CO"/>
        </w:rPr>
      </w:pPr>
    </w:p>
    <w:p w14:paraId="39F9EBD2" w14:textId="77777777" w:rsidR="009D4440" w:rsidRPr="00F57FA4" w:rsidRDefault="009D4440" w:rsidP="006D31D9">
      <w:pPr>
        <w:rPr>
          <w:lang w:val="es-CO"/>
        </w:rPr>
      </w:pPr>
    </w:p>
    <w:p w14:paraId="43D8A464" w14:textId="77777777" w:rsidR="009D4440" w:rsidRPr="00F57FA4" w:rsidRDefault="009D4440" w:rsidP="006D31D9">
      <w:pPr>
        <w:rPr>
          <w:lang w:val="es-CO"/>
        </w:rPr>
      </w:pPr>
    </w:p>
    <w:p w14:paraId="692766A5" w14:textId="77777777" w:rsidR="009D4440" w:rsidRPr="00F57FA4" w:rsidRDefault="009D4440" w:rsidP="006D31D9">
      <w:pPr>
        <w:rPr>
          <w:lang w:val="es-CO"/>
        </w:rPr>
      </w:pPr>
    </w:p>
    <w:p w14:paraId="2799AB60" w14:textId="77777777" w:rsidR="009D4440" w:rsidRPr="00F57FA4" w:rsidRDefault="009D4440" w:rsidP="006D31D9">
      <w:pPr>
        <w:rPr>
          <w:lang w:val="es-CO"/>
        </w:rPr>
      </w:pPr>
      <w:r w:rsidRPr="00F57FA4">
        <w:rPr>
          <w:lang w:val="es-CO"/>
        </w:rPr>
        <w:t xml:space="preserve"> Eduardo Vio Grossi</w:t>
      </w:r>
      <w:r w:rsidRPr="00F57FA4">
        <w:rPr>
          <w:lang w:val="es-CO"/>
        </w:rPr>
        <w:tab/>
      </w:r>
      <w:r w:rsidRPr="00F57FA4">
        <w:rPr>
          <w:lang w:val="es-CO"/>
        </w:rPr>
        <w:tab/>
      </w:r>
      <w:r w:rsidRPr="00F57FA4">
        <w:rPr>
          <w:lang w:val="es-CO"/>
        </w:rPr>
        <w:tab/>
      </w:r>
      <w:r w:rsidRPr="00F57FA4">
        <w:rPr>
          <w:lang w:val="es-CO"/>
        </w:rPr>
        <w:tab/>
      </w:r>
      <w:r w:rsidRPr="00F57FA4">
        <w:rPr>
          <w:lang w:val="es-CO"/>
        </w:rPr>
        <w:tab/>
      </w:r>
      <w:r w:rsidRPr="00F57FA4">
        <w:rPr>
          <w:lang w:val="es-CO"/>
        </w:rPr>
        <w:tab/>
        <w:t xml:space="preserve">       Humberto Antonio Sierra Porto</w:t>
      </w:r>
    </w:p>
    <w:p w14:paraId="4D5036C6" w14:textId="77777777" w:rsidR="009D4440" w:rsidRPr="00F57FA4" w:rsidRDefault="009D4440" w:rsidP="006D31D9">
      <w:pPr>
        <w:rPr>
          <w:lang w:val="es-CO"/>
        </w:rPr>
      </w:pPr>
      <w:r w:rsidRPr="00F57FA4">
        <w:rPr>
          <w:lang w:val="es-CO"/>
        </w:rPr>
        <w:tab/>
      </w:r>
    </w:p>
    <w:p w14:paraId="19522CEA" w14:textId="77777777" w:rsidR="009D4440" w:rsidRPr="00F57FA4" w:rsidRDefault="009D4440" w:rsidP="006D31D9">
      <w:pPr>
        <w:rPr>
          <w:lang w:val="es-CO"/>
        </w:rPr>
      </w:pPr>
    </w:p>
    <w:p w14:paraId="0091BE77" w14:textId="77777777" w:rsidR="009D4440" w:rsidRPr="00F57FA4" w:rsidRDefault="009D4440" w:rsidP="006D31D9">
      <w:pPr>
        <w:rPr>
          <w:lang w:val="es-CO"/>
        </w:rPr>
      </w:pPr>
    </w:p>
    <w:p w14:paraId="4A770F30" w14:textId="77777777" w:rsidR="009D4440" w:rsidRPr="00F57FA4" w:rsidRDefault="009D4440" w:rsidP="006D31D9">
      <w:pPr>
        <w:rPr>
          <w:lang w:val="es-CO"/>
        </w:rPr>
      </w:pPr>
    </w:p>
    <w:p w14:paraId="548E7416" w14:textId="77777777" w:rsidR="009D4440" w:rsidRPr="00F57FA4" w:rsidRDefault="009D4440" w:rsidP="006D31D9">
      <w:pPr>
        <w:rPr>
          <w:lang w:val="es-CO"/>
        </w:rPr>
      </w:pPr>
    </w:p>
    <w:p w14:paraId="78084D0D" w14:textId="77777777" w:rsidR="009D4440" w:rsidRPr="00F57FA4" w:rsidRDefault="009D4440" w:rsidP="006D31D9">
      <w:pPr>
        <w:rPr>
          <w:lang w:val="es-CO"/>
        </w:rPr>
      </w:pPr>
      <w:r w:rsidRPr="00F57FA4">
        <w:rPr>
          <w:lang w:val="es-CO"/>
        </w:rPr>
        <w:t>Elizabeth Odio Benito</w:t>
      </w:r>
      <w:r w:rsidRPr="00F57FA4">
        <w:rPr>
          <w:lang w:val="es-CO"/>
        </w:rPr>
        <w:tab/>
      </w:r>
      <w:r w:rsidRPr="00F57FA4">
        <w:rPr>
          <w:lang w:val="es-CO"/>
        </w:rPr>
        <w:tab/>
      </w:r>
      <w:r w:rsidRPr="00F57FA4">
        <w:rPr>
          <w:lang w:val="es-CO"/>
        </w:rPr>
        <w:tab/>
      </w:r>
      <w:r w:rsidRPr="00F57FA4">
        <w:rPr>
          <w:lang w:val="es-CO"/>
        </w:rPr>
        <w:tab/>
      </w:r>
      <w:r w:rsidRPr="00F57FA4">
        <w:rPr>
          <w:lang w:val="es-CO"/>
        </w:rPr>
        <w:tab/>
      </w:r>
      <w:r w:rsidRPr="00F57FA4">
        <w:rPr>
          <w:lang w:val="es-CO"/>
        </w:rPr>
        <w:tab/>
      </w:r>
      <w:r w:rsidRPr="00F57FA4">
        <w:rPr>
          <w:lang w:val="es-CO"/>
        </w:rPr>
        <w:tab/>
        <w:t xml:space="preserve">       Eugenio Raúl Zaffaroni</w:t>
      </w:r>
    </w:p>
    <w:p w14:paraId="77978F7C" w14:textId="77777777" w:rsidR="009D4440" w:rsidRPr="00F57FA4" w:rsidRDefault="009D4440" w:rsidP="006D31D9">
      <w:pPr>
        <w:rPr>
          <w:lang w:val="es-CO"/>
        </w:rPr>
      </w:pPr>
    </w:p>
    <w:p w14:paraId="0C686D6E" w14:textId="77777777" w:rsidR="009D4440" w:rsidRPr="00F57FA4" w:rsidRDefault="009D4440" w:rsidP="006D31D9">
      <w:pPr>
        <w:rPr>
          <w:lang w:val="es-CO"/>
        </w:rPr>
      </w:pPr>
    </w:p>
    <w:p w14:paraId="1D3ABF4C" w14:textId="77777777" w:rsidR="009D4440" w:rsidRPr="00F57FA4" w:rsidRDefault="009D4440" w:rsidP="006D31D9">
      <w:pPr>
        <w:rPr>
          <w:lang w:val="es-CO"/>
        </w:rPr>
      </w:pPr>
    </w:p>
    <w:p w14:paraId="71C99222" w14:textId="77777777" w:rsidR="009D4440" w:rsidRPr="00F57FA4" w:rsidRDefault="009D4440" w:rsidP="006D31D9">
      <w:pPr>
        <w:rPr>
          <w:lang w:val="es-CO"/>
        </w:rPr>
      </w:pPr>
    </w:p>
    <w:p w14:paraId="5CF82626" w14:textId="77777777" w:rsidR="009D4440" w:rsidRPr="00F57FA4" w:rsidRDefault="009D4440" w:rsidP="006D31D9">
      <w:pPr>
        <w:jc w:val="center"/>
        <w:rPr>
          <w:lang w:val="es-CO"/>
        </w:rPr>
      </w:pPr>
      <w:r w:rsidRPr="00F57FA4">
        <w:rPr>
          <w:lang w:val="es-CO"/>
        </w:rPr>
        <w:t>L. Patricio Pazmiño Freire</w:t>
      </w:r>
    </w:p>
    <w:p w14:paraId="36DC6D20" w14:textId="77777777" w:rsidR="009D4440" w:rsidRPr="00F57FA4" w:rsidRDefault="009D4440" w:rsidP="006D31D9">
      <w:pPr>
        <w:rPr>
          <w:lang w:val="es-CO"/>
        </w:rPr>
      </w:pPr>
    </w:p>
    <w:p w14:paraId="31A44C00" w14:textId="77777777" w:rsidR="009D4440" w:rsidRPr="00F57FA4" w:rsidRDefault="009D4440" w:rsidP="006D31D9">
      <w:pPr>
        <w:rPr>
          <w:lang w:val="es-CO"/>
        </w:rPr>
      </w:pPr>
    </w:p>
    <w:p w14:paraId="0704588C" w14:textId="77777777" w:rsidR="009D4440" w:rsidRPr="00F57FA4" w:rsidRDefault="009D4440" w:rsidP="006D31D9">
      <w:pPr>
        <w:rPr>
          <w:lang w:val="es-CO"/>
        </w:rPr>
      </w:pPr>
    </w:p>
    <w:p w14:paraId="4CC59D58" w14:textId="77777777" w:rsidR="009D4440" w:rsidRPr="00F57FA4" w:rsidRDefault="009D4440" w:rsidP="006D31D9">
      <w:pPr>
        <w:rPr>
          <w:lang w:val="es-CO"/>
        </w:rPr>
      </w:pPr>
    </w:p>
    <w:p w14:paraId="5432126F" w14:textId="77777777" w:rsidR="009D4440" w:rsidRPr="00F57FA4" w:rsidRDefault="009D4440" w:rsidP="006D31D9">
      <w:pPr>
        <w:rPr>
          <w:lang w:val="es-CO"/>
        </w:rPr>
      </w:pPr>
    </w:p>
    <w:p w14:paraId="1FFA0185" w14:textId="77777777" w:rsidR="009D4440" w:rsidRPr="00F57FA4" w:rsidRDefault="009D4440" w:rsidP="006D31D9">
      <w:pPr>
        <w:jc w:val="center"/>
        <w:rPr>
          <w:lang w:val="es-CO"/>
        </w:rPr>
      </w:pPr>
      <w:r w:rsidRPr="00F57FA4">
        <w:rPr>
          <w:lang w:val="es-CO"/>
        </w:rPr>
        <w:t>Pablo Saavedra Alessandri</w:t>
      </w:r>
    </w:p>
    <w:p w14:paraId="551912F2" w14:textId="77777777" w:rsidR="009D4440" w:rsidRPr="00F57FA4" w:rsidRDefault="009D4440" w:rsidP="006D31D9">
      <w:pPr>
        <w:jc w:val="center"/>
        <w:rPr>
          <w:lang w:val="es-CO"/>
        </w:rPr>
      </w:pPr>
      <w:r w:rsidRPr="00F57FA4">
        <w:rPr>
          <w:lang w:val="es-CO"/>
        </w:rPr>
        <w:t>Secretario</w:t>
      </w:r>
    </w:p>
    <w:p w14:paraId="3DF8C0A1" w14:textId="77777777" w:rsidR="009D4440" w:rsidRPr="00F57FA4" w:rsidRDefault="009D4440" w:rsidP="006D31D9">
      <w:pPr>
        <w:pStyle w:val="FootnoteText"/>
        <w:rPr>
          <w:lang w:val="es-CO"/>
        </w:rPr>
      </w:pPr>
    </w:p>
    <w:p w14:paraId="0B02BDDA" w14:textId="77777777" w:rsidR="009D4440" w:rsidRPr="00F57FA4" w:rsidRDefault="009D4440" w:rsidP="006D31D9">
      <w:pPr>
        <w:pStyle w:val="FootnoteText"/>
        <w:rPr>
          <w:lang w:val="es-CO"/>
        </w:rPr>
      </w:pPr>
    </w:p>
    <w:p w14:paraId="033A141D" w14:textId="77777777" w:rsidR="009D4440" w:rsidRPr="00F57FA4" w:rsidRDefault="009D4440" w:rsidP="006D31D9">
      <w:pPr>
        <w:pStyle w:val="FootnoteText"/>
        <w:rPr>
          <w:lang w:val="es-CO"/>
        </w:rPr>
      </w:pPr>
    </w:p>
    <w:p w14:paraId="66224DB0" w14:textId="77777777" w:rsidR="009D4440" w:rsidRPr="00F57FA4" w:rsidRDefault="009D4440" w:rsidP="006D31D9">
      <w:pPr>
        <w:pStyle w:val="FootnoteText"/>
        <w:rPr>
          <w:lang w:val="es-CO"/>
        </w:rPr>
      </w:pPr>
    </w:p>
    <w:p w14:paraId="4D0B38C6" w14:textId="77777777" w:rsidR="009D4440" w:rsidRPr="00F57FA4" w:rsidRDefault="009D4440" w:rsidP="006D31D9">
      <w:pPr>
        <w:rPr>
          <w:lang w:val="es-CO"/>
        </w:rPr>
      </w:pPr>
      <w:r w:rsidRPr="00F57FA4">
        <w:rPr>
          <w:lang w:val="es-CO"/>
        </w:rPr>
        <w:t>Comuníquese y ejecútese,</w:t>
      </w:r>
    </w:p>
    <w:p w14:paraId="428DDA9F" w14:textId="77777777" w:rsidR="009D4440" w:rsidRPr="00F57FA4" w:rsidRDefault="009D4440" w:rsidP="006D31D9">
      <w:pPr>
        <w:rPr>
          <w:lang w:val="es-CO"/>
        </w:rPr>
      </w:pPr>
    </w:p>
    <w:p w14:paraId="5708E5AB" w14:textId="77777777" w:rsidR="009D4440" w:rsidRPr="00F57FA4" w:rsidRDefault="009D4440" w:rsidP="006D31D9">
      <w:pPr>
        <w:rPr>
          <w:lang w:val="es-CO"/>
        </w:rPr>
      </w:pPr>
    </w:p>
    <w:p w14:paraId="0B5FBE25" w14:textId="77777777" w:rsidR="009D4440" w:rsidRPr="00F57FA4" w:rsidRDefault="009D4440" w:rsidP="006D31D9">
      <w:pPr>
        <w:jc w:val="right"/>
        <w:rPr>
          <w:lang w:val="es-CO"/>
        </w:rPr>
      </w:pPr>
    </w:p>
    <w:p w14:paraId="730E4FEE" w14:textId="77777777" w:rsidR="009D4440" w:rsidRPr="00F57FA4" w:rsidRDefault="009D4440" w:rsidP="006D31D9">
      <w:pPr>
        <w:jc w:val="right"/>
        <w:rPr>
          <w:lang w:val="es-CO"/>
        </w:rPr>
      </w:pPr>
    </w:p>
    <w:p w14:paraId="071D4A09" w14:textId="77777777" w:rsidR="009D4440" w:rsidRPr="00F57FA4" w:rsidRDefault="009D4440" w:rsidP="006D31D9">
      <w:pPr>
        <w:jc w:val="center"/>
        <w:rPr>
          <w:lang w:val="es-CO"/>
        </w:rPr>
      </w:pPr>
      <w:r w:rsidRPr="00F57FA4">
        <w:rPr>
          <w:lang w:val="es-CO"/>
        </w:rPr>
        <w:t xml:space="preserve">                                                                                   Eduardo Ferrer Mac-Gregor Poisot</w:t>
      </w:r>
    </w:p>
    <w:p w14:paraId="09ADF664" w14:textId="77777777" w:rsidR="009D4440" w:rsidRPr="00F57FA4" w:rsidRDefault="009D4440" w:rsidP="006D31D9">
      <w:pPr>
        <w:ind w:left="6480"/>
        <w:rPr>
          <w:lang w:val="es-CO"/>
        </w:rPr>
      </w:pPr>
      <w:r w:rsidRPr="00F57FA4">
        <w:rPr>
          <w:lang w:val="es-CO"/>
        </w:rPr>
        <w:t>Presidente en ejercicio</w:t>
      </w:r>
    </w:p>
    <w:p w14:paraId="71D219DD" w14:textId="77777777" w:rsidR="009D4440" w:rsidRPr="00F57FA4" w:rsidRDefault="009D4440" w:rsidP="006D31D9">
      <w:pPr>
        <w:ind w:left="5040" w:firstLine="720"/>
        <w:jc w:val="center"/>
        <w:rPr>
          <w:lang w:val="es-CO"/>
        </w:rPr>
      </w:pPr>
    </w:p>
    <w:p w14:paraId="243734B0" w14:textId="77777777" w:rsidR="009D4440" w:rsidRPr="00F57FA4" w:rsidRDefault="009D4440" w:rsidP="006D31D9">
      <w:pPr>
        <w:rPr>
          <w:lang w:val="es-CO"/>
        </w:rPr>
      </w:pPr>
    </w:p>
    <w:p w14:paraId="74ED1216" w14:textId="77777777" w:rsidR="009D4440" w:rsidRPr="00F57FA4" w:rsidRDefault="009D4440" w:rsidP="006D31D9">
      <w:pPr>
        <w:rPr>
          <w:lang w:val="es-CO"/>
        </w:rPr>
      </w:pPr>
    </w:p>
    <w:p w14:paraId="45DBC124" w14:textId="77777777" w:rsidR="009D4440" w:rsidRPr="00F57FA4" w:rsidRDefault="009D4440" w:rsidP="006D31D9">
      <w:pPr>
        <w:rPr>
          <w:lang w:val="es-CO"/>
        </w:rPr>
      </w:pPr>
      <w:r w:rsidRPr="00F57FA4">
        <w:rPr>
          <w:lang w:val="es-CO"/>
        </w:rPr>
        <w:t>Pablo Saavedra Alessandri</w:t>
      </w:r>
    </w:p>
    <w:p w14:paraId="1A8D5254" w14:textId="77777777" w:rsidR="009447D3" w:rsidRPr="00F57FA4" w:rsidRDefault="009D4440" w:rsidP="006D31D9">
      <w:pPr>
        <w:rPr>
          <w:lang w:val="es-CO"/>
        </w:rPr>
      </w:pPr>
      <w:r w:rsidRPr="00F57FA4">
        <w:rPr>
          <w:lang w:val="es-CO"/>
        </w:rPr>
        <w:tab/>
        <w:t>Secreta</w:t>
      </w:r>
      <w:r w:rsidR="00BB71C3" w:rsidRPr="00F57FA4">
        <w:rPr>
          <w:lang w:val="es-CO"/>
        </w:rPr>
        <w:t>rio</w:t>
      </w:r>
    </w:p>
    <w:sectPr w:rsidR="009447D3" w:rsidRPr="00F57FA4">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4AFAD" w16cid:durableId="1D40F412"/>
  <w16cid:commentId w16cid:paraId="6C52384D" w16cid:durableId="1D40F413"/>
  <w16cid:commentId w16cid:paraId="2946D464" w16cid:durableId="1D40F414"/>
  <w16cid:commentId w16cid:paraId="1D4EC1E5" w16cid:durableId="1D40F415"/>
  <w16cid:commentId w16cid:paraId="71711F31" w16cid:durableId="1D40F416"/>
  <w16cid:commentId w16cid:paraId="1BC69310" w16cid:durableId="1D40F4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000BA" w14:textId="77777777" w:rsidR="00246AD3" w:rsidRDefault="00246AD3" w:rsidP="00CE4104">
      <w:r>
        <w:separator/>
      </w:r>
    </w:p>
  </w:endnote>
  <w:endnote w:type="continuationSeparator" w:id="0">
    <w:p w14:paraId="1DAB806F" w14:textId="77777777" w:rsidR="00246AD3" w:rsidRDefault="00246AD3" w:rsidP="00CE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48025"/>
      <w:docPartObj>
        <w:docPartGallery w:val="Page Numbers (Bottom of Page)"/>
        <w:docPartUnique/>
      </w:docPartObj>
    </w:sdtPr>
    <w:sdtEndPr>
      <w:rPr>
        <w:noProof/>
      </w:rPr>
    </w:sdtEndPr>
    <w:sdtContent>
      <w:p w14:paraId="04B5673F" w14:textId="77777777" w:rsidR="00CA3DEA" w:rsidRDefault="00CA3DEA">
        <w:pPr>
          <w:pStyle w:val="Footer"/>
          <w:jc w:val="center"/>
        </w:pPr>
        <w:r>
          <w:fldChar w:fldCharType="begin"/>
        </w:r>
        <w:r>
          <w:instrText xml:space="preserve"> PAGE   \* MERGEFORMAT </w:instrText>
        </w:r>
        <w:r>
          <w:fldChar w:fldCharType="separate"/>
        </w:r>
        <w:r w:rsidR="002939B3">
          <w:rPr>
            <w:noProof/>
          </w:rPr>
          <w:t>1</w:t>
        </w:r>
        <w:r>
          <w:rPr>
            <w:noProof/>
          </w:rPr>
          <w:fldChar w:fldCharType="end"/>
        </w:r>
      </w:p>
    </w:sdtContent>
  </w:sdt>
  <w:p w14:paraId="3E46A072" w14:textId="77777777" w:rsidR="00CA3DEA" w:rsidRDefault="00CA3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6106D" w14:textId="77777777" w:rsidR="00246AD3" w:rsidRDefault="00246AD3" w:rsidP="00CE4104">
      <w:r>
        <w:separator/>
      </w:r>
    </w:p>
  </w:footnote>
  <w:footnote w:type="continuationSeparator" w:id="0">
    <w:p w14:paraId="6093D5DC" w14:textId="77777777" w:rsidR="00246AD3" w:rsidRDefault="00246AD3" w:rsidP="00CE4104">
      <w:r>
        <w:continuationSeparator/>
      </w:r>
    </w:p>
  </w:footnote>
  <w:footnote w:id="1">
    <w:p w14:paraId="232D1EA6" w14:textId="77777777" w:rsidR="00CA3DEA" w:rsidRPr="00CC58FD" w:rsidRDefault="00CA3DEA" w:rsidP="000E1744">
      <w:pPr>
        <w:pStyle w:val="FootnoteText"/>
      </w:pPr>
      <w:r w:rsidRPr="00CC58FD">
        <w:rPr>
          <w:rStyle w:val="FootnoteReference"/>
          <w:szCs w:val="16"/>
        </w:rPr>
        <w:footnoteRef/>
      </w:r>
      <w:r w:rsidRPr="00CC58FD">
        <w:t xml:space="preserve"> El Juez Roberto F. Caldas no participó en el conocimiento y deliberación de la presente Resolución.</w:t>
      </w:r>
    </w:p>
  </w:footnote>
  <w:footnote w:id="2">
    <w:p w14:paraId="14FD94C2" w14:textId="77777777" w:rsidR="00CA3DEA" w:rsidRDefault="00CA3DEA">
      <w:pPr>
        <w:pStyle w:val="FootnoteText"/>
      </w:pPr>
      <w:r>
        <w:rPr>
          <w:rStyle w:val="FootnoteReference"/>
        </w:rPr>
        <w:footnoteRef/>
      </w:r>
      <w:r w:rsidRPr="00DE78CF">
        <w:rPr>
          <w:lang w:val="pt-BR"/>
        </w:rPr>
        <w:t xml:space="preserve"> </w:t>
      </w:r>
      <w:r w:rsidRPr="00DE78CF">
        <w:rPr>
          <w:i/>
          <w:lang w:val="pt-BR"/>
        </w:rPr>
        <w:t>Asunto del Instituto Penal Plácido de Sá Carvalho</w:t>
      </w:r>
      <w:r w:rsidRPr="00DE78CF">
        <w:rPr>
          <w:lang w:val="pt-BR"/>
        </w:rPr>
        <w:t xml:space="preserve">. </w:t>
      </w:r>
      <w:r w:rsidRPr="00CC58FD">
        <w:t xml:space="preserve">Medidas Provisionales respecto de Brasil. Resolución de la Corte Interamericana de Derechos Humanos de 13 de febrero de 2017, </w:t>
      </w:r>
      <w:r>
        <w:t>Punto Resolutivo 1.</w:t>
      </w:r>
    </w:p>
  </w:footnote>
  <w:footnote w:id="3">
    <w:p w14:paraId="5F4090C5" w14:textId="77777777" w:rsidR="00CA3DEA" w:rsidRPr="00DE78CF" w:rsidRDefault="00CA3DEA">
      <w:pPr>
        <w:pStyle w:val="FootnoteText"/>
        <w:rPr>
          <w:lang w:val="pt-BR"/>
        </w:rPr>
      </w:pPr>
      <w:r>
        <w:rPr>
          <w:rStyle w:val="FootnoteReference"/>
        </w:rPr>
        <w:footnoteRef/>
      </w:r>
      <w:r w:rsidRPr="00DE78CF">
        <w:rPr>
          <w:lang w:val="pt-BR"/>
        </w:rPr>
        <w:t xml:space="preserve"> </w:t>
      </w:r>
      <w:r w:rsidRPr="00DE78CF">
        <w:rPr>
          <w:i/>
          <w:lang w:val="pt-BR"/>
        </w:rPr>
        <w:t>Asunto del Instituto Penal Plácido de Sá Carvalho</w:t>
      </w:r>
      <w:r w:rsidRPr="00DE78CF">
        <w:rPr>
          <w:lang w:val="pt-BR"/>
        </w:rPr>
        <w:t>. Medidas Provisionales respecto de Brasil. Resolución de la Corte Interamericana de Derechos Humanos de 13 de febrero de 2017, Considerando 17.</w:t>
      </w:r>
    </w:p>
  </w:footnote>
  <w:footnote w:id="4">
    <w:p w14:paraId="4AFEBB8B" w14:textId="77777777" w:rsidR="00CA3DEA" w:rsidRPr="00CB1887" w:rsidRDefault="00CA3DEA">
      <w:pPr>
        <w:pStyle w:val="FootnoteText"/>
      </w:pPr>
      <w:r>
        <w:rPr>
          <w:rStyle w:val="FootnoteReference"/>
        </w:rPr>
        <w:footnoteRef/>
      </w:r>
      <w:r w:rsidRPr="00DE78CF">
        <w:rPr>
          <w:lang w:val="pt-BR"/>
        </w:rPr>
        <w:t xml:space="preserve"> </w:t>
      </w:r>
      <w:r w:rsidRPr="00DE78CF">
        <w:rPr>
          <w:i/>
          <w:lang w:val="pt-BR"/>
        </w:rPr>
        <w:t>Asunto del Instituto Penal Plácido de Sá Carvalho</w:t>
      </w:r>
      <w:r w:rsidRPr="00DE78CF">
        <w:rPr>
          <w:lang w:val="pt-BR"/>
        </w:rPr>
        <w:t xml:space="preserve">. </w:t>
      </w:r>
      <w:r w:rsidRPr="001A7878">
        <w:t xml:space="preserve">Medidas Provisionales respecto de Brasil. </w:t>
      </w:r>
      <w:r w:rsidRPr="00CB1887">
        <w:t xml:space="preserve">Resolución de la Corte Interamericana de Derechos Humanos de 13 de febrero de 2017, </w:t>
      </w:r>
      <w:r>
        <w:t>Punto Resolutivo 2.</w:t>
      </w:r>
      <w:r w:rsidRPr="00CB1887">
        <w:t>.</w:t>
      </w:r>
    </w:p>
  </w:footnote>
  <w:footnote w:id="5">
    <w:p w14:paraId="296DA581" w14:textId="77777777" w:rsidR="00CA3DEA" w:rsidRPr="00CB1887" w:rsidRDefault="00CA3DEA" w:rsidP="000E1744">
      <w:pPr>
        <w:tabs>
          <w:tab w:val="left" w:pos="720"/>
        </w:tabs>
        <w:rPr>
          <w:sz w:val="16"/>
          <w:szCs w:val="16"/>
          <w:lang w:val="es-ES"/>
        </w:rPr>
      </w:pPr>
      <w:r w:rsidRPr="00CC58FD">
        <w:rPr>
          <w:rStyle w:val="FootnoteReference"/>
          <w:sz w:val="16"/>
          <w:szCs w:val="16"/>
        </w:rPr>
        <w:footnoteRef/>
      </w:r>
      <w:r w:rsidRPr="00CC58FD">
        <w:rPr>
          <w:i/>
          <w:sz w:val="16"/>
          <w:szCs w:val="16"/>
        </w:rPr>
        <w:t xml:space="preserve"> Asunto del Instituto Penal Plácido de Sá Carvalho</w:t>
      </w:r>
      <w:r w:rsidRPr="00CC58FD">
        <w:rPr>
          <w:sz w:val="16"/>
          <w:szCs w:val="16"/>
        </w:rPr>
        <w:t xml:space="preserve">. </w:t>
      </w:r>
      <w:r w:rsidRPr="001A7878">
        <w:rPr>
          <w:sz w:val="16"/>
          <w:szCs w:val="16"/>
          <w:lang w:val="es-ES"/>
        </w:rPr>
        <w:t xml:space="preserve">Medidas Provisionales respecto de Brasil. </w:t>
      </w:r>
      <w:r w:rsidRPr="00CB1887">
        <w:rPr>
          <w:sz w:val="16"/>
          <w:szCs w:val="16"/>
          <w:lang w:val="es-ES"/>
        </w:rPr>
        <w:t xml:space="preserve">Resolución de la Corte Interamericana de Derechos Humanos de 13 de febrero de 2017, </w:t>
      </w:r>
      <w:r w:rsidRPr="00651BF4">
        <w:rPr>
          <w:sz w:val="16"/>
          <w:szCs w:val="16"/>
          <w:lang w:val="es-ES"/>
        </w:rPr>
        <w:t xml:space="preserve">Punto Resolutivo </w:t>
      </w:r>
      <w:r>
        <w:rPr>
          <w:sz w:val="16"/>
          <w:szCs w:val="16"/>
          <w:lang w:val="es-ES"/>
        </w:rPr>
        <w:t>3</w:t>
      </w:r>
      <w:r w:rsidRPr="00651BF4">
        <w:rPr>
          <w:sz w:val="16"/>
          <w:szCs w:val="16"/>
          <w:lang w:val="es-ES"/>
        </w:rPr>
        <w:t>.</w:t>
      </w:r>
    </w:p>
  </w:footnote>
  <w:footnote w:id="6">
    <w:p w14:paraId="6E730FD1" w14:textId="77777777" w:rsidR="00CA3DEA" w:rsidRPr="00CC58FD" w:rsidRDefault="00CA3DEA" w:rsidP="000E1744">
      <w:pPr>
        <w:pStyle w:val="FootnoteText"/>
      </w:pPr>
      <w:r w:rsidRPr="00CC58FD">
        <w:rPr>
          <w:rStyle w:val="FootnoteReference"/>
          <w:szCs w:val="16"/>
        </w:rPr>
        <w:footnoteRef/>
      </w:r>
      <w:r w:rsidRPr="00CC58FD">
        <w:rPr>
          <w:lang w:val="pt-BR"/>
        </w:rPr>
        <w:t xml:space="preserve"> </w:t>
      </w:r>
      <w:r w:rsidRPr="00CC58FD">
        <w:rPr>
          <w:i/>
          <w:lang w:val="pt-BR"/>
        </w:rPr>
        <w:t>Asunto del Instituto Penal Plácido de Sá Carvalho</w:t>
      </w:r>
      <w:r w:rsidRPr="00CC58FD">
        <w:rPr>
          <w:lang w:val="pt-BR"/>
        </w:rPr>
        <w:t xml:space="preserve">. </w:t>
      </w:r>
      <w:r w:rsidRPr="00CC58FD">
        <w:t>Medidas Provisionales respecto de Brasil. Resolución de la Corte Interamericana de Derechos Humanos de 13 de febrero de 2017, Punto Resolutivo 6.</w:t>
      </w:r>
    </w:p>
  </w:footnote>
  <w:footnote w:id="7">
    <w:p w14:paraId="4F32A97B" w14:textId="77777777" w:rsidR="00CA3DEA" w:rsidRPr="00CC58FD" w:rsidRDefault="00CA3DEA" w:rsidP="000E1744">
      <w:pPr>
        <w:pStyle w:val="FootnoteText"/>
      </w:pPr>
      <w:r w:rsidRPr="00CC58FD">
        <w:rPr>
          <w:rStyle w:val="FootnoteReference"/>
          <w:szCs w:val="16"/>
        </w:rPr>
        <w:footnoteRef/>
      </w:r>
      <w:r w:rsidRPr="00CC58FD">
        <w:rPr>
          <w:rFonts w:eastAsia="Verdana" w:cs="Verdana"/>
          <w:spacing w:val="2"/>
        </w:rPr>
        <w:t xml:space="preserve"> Durante la diligencia participaron los siguientes representantes de órganos gubernamentales: Erir Ribeiro, Secretario de Estado de Administración Penitenciaria del Gobierno del Estado de Río de Janeiro; Gilson Nogueira, Subsecretario de Tratamiento de la SEAP del Gobierno del Estado de Río de Janeiro; </w:t>
      </w:r>
      <w:r>
        <w:rPr>
          <w:rFonts w:eastAsia="Verdana" w:cs="Verdana"/>
          <w:spacing w:val="2"/>
        </w:rPr>
        <w:t>Á</w:t>
      </w:r>
      <w:r w:rsidRPr="00CC58FD">
        <w:rPr>
          <w:rFonts w:eastAsia="Verdana" w:cs="Verdana"/>
          <w:spacing w:val="2"/>
        </w:rPr>
        <w:t xml:space="preserve">tila Nunes, Secretario de Estado de Derechos Humanos y Políticas para Mujeres y Ancianos (SEDHMI) del Gobierno del Estado de Río de Janeiro; Aline lnglez, Superintendente de Promoción de los Derechos Humanos de la SEDHMI del Gobierno del Estado de Río de Janeiro; Ugo Corrêa, Asesor técnico de la SEDHMI del Gobierno del Estado de Río de Janeiro; Alberto Junqueira, Especialista en Políticas Públicas de la SEDHMI del Gobierno del Estado de Río de Janeiro; Leandro Loyola, Juez del Tribunal de Justicia del Estado Río de Janeiro; </w:t>
      </w:r>
      <w:r>
        <w:rPr>
          <w:rFonts w:eastAsia="Verdana" w:cs="Verdana"/>
          <w:spacing w:val="2"/>
        </w:rPr>
        <w:t>Guilherme</w:t>
      </w:r>
      <w:r w:rsidRPr="00CC58FD">
        <w:rPr>
          <w:rFonts w:eastAsia="Verdana" w:cs="Verdana"/>
          <w:spacing w:val="2"/>
        </w:rPr>
        <w:t xml:space="preserve"> Schilling, Juez de Derecho de Ejecuciones Penales del Tribunal de Justicia del Estado de Río de Janeiro; Eliane Pereira, Promotora de Justicia, Asesoría de Derechos Humanos del Ministerio Público del Estado de Río de Janeiro; Murilo Bustamante, Promotor de Justicia, Tutela Penitenciaria del Ministerio Público del Estado de Río de Janeiro; Gabriela Tabet, Promotora de Justicia, Centro de Apoyo de Ejecución de Penas del Ministerio Público del Estado de Río de Janeiro; Daniel Leão Sousa, Asesor de la División de Derechos Humanos del Ministerio de Relaciones Exteriores; Luciana Peres, Jefe, sustituta, de la Asesoría Internacional Secretaría Especial de Derechos Humanos del Ministerio de Derechos Humanos; Taiz Marr</w:t>
      </w:r>
      <w:r>
        <w:rPr>
          <w:rFonts w:eastAsia="Verdana" w:cs="Verdana"/>
          <w:spacing w:val="2"/>
        </w:rPr>
        <w:t xml:space="preserve">ão </w:t>
      </w:r>
      <w:r w:rsidRPr="00CC58FD">
        <w:rPr>
          <w:rFonts w:eastAsia="Verdana" w:cs="Verdana"/>
          <w:spacing w:val="2"/>
        </w:rPr>
        <w:t xml:space="preserve">Batista da Costa, Abogada de la Unión, Departamento de Asuntos Internacionales de la Abogacía General de la Unión. Asimismo, participaron los representantes de los beneficiarios Rodrigo Pacheco, 2º sub Defensor Público General; Emanuel Rangel, Coordinador de Defensa Criminal; Marlon Barcellos, Coordinador del Núcleo del Sistema Penitenciario; Felipe Almeida, Subcoordinador del Núcleo del Sistema Penitenciario, y Roberta Fraenkel, Defensora Pública del Núcleo de Defensa de los Derechos Humanos. La Comisión Interamericana no participó de la diligencia </w:t>
      </w:r>
      <w:r w:rsidRPr="00651BF4">
        <w:rPr>
          <w:rFonts w:eastAsia="Verdana" w:cs="Verdana"/>
          <w:i/>
          <w:spacing w:val="2"/>
        </w:rPr>
        <w:t>in situ</w:t>
      </w:r>
      <w:r w:rsidRPr="00CC58FD">
        <w:rPr>
          <w:rFonts w:eastAsia="Verdana" w:cs="Verdana"/>
          <w:spacing w:val="2"/>
        </w:rPr>
        <w:t>.</w:t>
      </w:r>
    </w:p>
  </w:footnote>
  <w:footnote w:id="8">
    <w:p w14:paraId="659CA487" w14:textId="77777777" w:rsidR="00CA3DEA" w:rsidRPr="00CC58FD" w:rsidRDefault="00CA3DEA" w:rsidP="000E1744">
      <w:pPr>
        <w:pStyle w:val="FootnoteText"/>
      </w:pPr>
      <w:r w:rsidRPr="00CC58FD">
        <w:rPr>
          <w:rStyle w:val="FootnoteReference"/>
          <w:szCs w:val="16"/>
        </w:rPr>
        <w:footnoteRef/>
      </w:r>
      <w:r w:rsidRPr="00CC58FD">
        <w:t xml:space="preserve"> El Comité Colegiado está compuesto por el Tribunal de Justicia de Rio de Janeiro, la Secretaría de Administración Penitenciaria de Rio de Janeiro, el Ministerio Público de Rio de Janeiro, la Fiscalía de Ejecución Penal, la Defensoría Pública General de Rio de Janeiro, el Núcleo del Sistema Carcelario, el Núcleo de Defensa de Derechos Humanos, el Colegio de Abogados de Brasil y el Consejo Penitenciario de Rio de Janeiro, con la colaboración del Juzgado de Ejecución Penal.</w:t>
      </w:r>
    </w:p>
  </w:footnote>
  <w:footnote w:id="9">
    <w:p w14:paraId="4560CEDF" w14:textId="77777777" w:rsidR="00CA3DEA" w:rsidRPr="00CC58FD" w:rsidRDefault="00CA3DEA" w:rsidP="000E1744">
      <w:pPr>
        <w:pStyle w:val="FootnoteText"/>
      </w:pPr>
      <w:r w:rsidRPr="00CC58FD">
        <w:rPr>
          <w:rStyle w:val="FootnoteReference"/>
          <w:szCs w:val="16"/>
        </w:rPr>
        <w:footnoteRef/>
      </w:r>
      <w:r w:rsidRPr="00CC58FD">
        <w:rPr>
          <w:lang w:val="pt-BR"/>
        </w:rPr>
        <w:t xml:space="preserve"> </w:t>
      </w:r>
      <w:r w:rsidRPr="00CC58FD">
        <w:rPr>
          <w:i/>
          <w:lang w:val="pt-BR"/>
        </w:rPr>
        <w:t>Asunto del Instituto Penal Plácido De Sá Carvalho</w:t>
      </w:r>
      <w:r w:rsidRPr="00CC58FD">
        <w:rPr>
          <w:lang w:val="pt-BR"/>
        </w:rPr>
        <w:t xml:space="preserve">. </w:t>
      </w:r>
      <w:r w:rsidRPr="00CC58FD">
        <w:t>Resolución de la Corte Interamericana De Derechos Humanos de 13 de febrero de 2017, Considerando 1</w:t>
      </w:r>
      <w:r>
        <w:t>8</w:t>
      </w:r>
      <w:r w:rsidRPr="00CC58FD">
        <w:t>.</w:t>
      </w:r>
    </w:p>
  </w:footnote>
  <w:footnote w:id="10">
    <w:p w14:paraId="2DED1635" w14:textId="77777777" w:rsidR="00CA3DEA" w:rsidRPr="00CC58FD" w:rsidRDefault="00CA3DEA" w:rsidP="000E1744">
      <w:pPr>
        <w:pStyle w:val="FootnoteText"/>
      </w:pPr>
      <w:r w:rsidRPr="00CC58FD">
        <w:rPr>
          <w:rStyle w:val="FootnoteReference"/>
          <w:szCs w:val="16"/>
        </w:rPr>
        <w:footnoteRef/>
      </w:r>
      <w:r w:rsidRPr="00CC58FD">
        <w:t xml:space="preserve"> En Río de Janeiro, el término “milicia” es asociado a grupos formados en comunidades urbanas de baja renta, suburbios o favelas bajo pretexto de combatir el narcotráfico.</w:t>
      </w:r>
    </w:p>
  </w:footnote>
  <w:footnote w:id="11">
    <w:p w14:paraId="7B79B6E2" w14:textId="77777777" w:rsidR="00CA3DEA" w:rsidRDefault="00CA3DEA" w:rsidP="00D7274C">
      <w:pPr>
        <w:pStyle w:val="FootnoteText"/>
      </w:pPr>
      <w:r>
        <w:rPr>
          <w:rStyle w:val="FootnoteReference"/>
        </w:rPr>
        <w:footnoteRef/>
      </w:r>
      <w:r>
        <w:t xml:space="preserve"> Los </w:t>
      </w:r>
      <w:r w:rsidRPr="00D7274C">
        <w:t>Principios y Buenas Prácticas sobre la Protección de las Personas Privadas de Libertad en las Américas</w:t>
      </w:r>
      <w:r>
        <w:t xml:space="preserve"> señalan las características mínimas que debería contener un registro de personas detenidas. El principio IX.2 señala que “Los datos de las personas ingresadas a los lugares de privación de libertad deberán ser consignados en un registro oficial, el cual será accesible a la persona privada de libertad, a su representante y a las autoridades competentes. El registro contendrá, por lo menos, los siguientes datos: a. Información sobre la identidad personal, que deberá contener, al menos, lo siguiente: nombre, edad, sexo, nacionalidad, dirección y nombre de los padres, familiares, representantes legales o defensores, en su caso, u otro dato relevante de la persona privada de libertad; b. Información relativa a la integridad personal y al estado de salud de la persona privada de libertad; c. Razones o motivos de la privación de libertad; d. Autoridad que ordena o autoriza la privación de libertad; e. Autoridad que efectúa el traslado de la persona al establecimiento; f. Autoridad que controla legalmente la privación de libertad; g. Día y hora de ingreso y de egreso; h. Día y hora de los traslados, y lugares de destino; i. Identidad de la autoridad que ordena los traslados y de la encargada de los mismos; j. Inventario de los bienes personales; y k. Firma de la persona privada de libertad y, en caso de negativa o imposibilidad, la explicación del motivo.”</w:t>
      </w:r>
    </w:p>
  </w:footnote>
  <w:footnote w:id="12">
    <w:p w14:paraId="0769EED2" w14:textId="77777777" w:rsidR="00CA3DEA" w:rsidRPr="00CC58FD" w:rsidRDefault="00CA3DEA" w:rsidP="000E1744">
      <w:pPr>
        <w:pStyle w:val="FootnoteText"/>
        <w:rPr>
          <w:lang w:val="es-ES_tradnl"/>
        </w:rPr>
      </w:pPr>
      <w:r w:rsidRPr="00CC58FD">
        <w:rPr>
          <w:rStyle w:val="FootnoteReference"/>
          <w:szCs w:val="16"/>
        </w:rPr>
        <w:footnoteRef/>
      </w:r>
      <w:r w:rsidRPr="00CC58FD">
        <w:t xml:space="preserve"> </w:t>
      </w:r>
      <w:r w:rsidRPr="00CC58FD">
        <w:rPr>
          <w:lang w:val="es-ES_tradnl"/>
        </w:rPr>
        <w:t xml:space="preserve">Consejo Nacional de Política Criminal y Penitenciaria (CNPCP), Resolución </w:t>
      </w:r>
      <w:r w:rsidRPr="00CC58FD">
        <w:rPr>
          <w:lang w:val="es-MX"/>
        </w:rPr>
        <w:t xml:space="preserve">No. </w:t>
      </w:r>
      <w:r w:rsidRPr="00CC58FD">
        <w:rPr>
          <w:lang w:val="es-ES_tradnl"/>
        </w:rPr>
        <w:t>09/2011 de 18 de noviembre de 2011.</w:t>
      </w:r>
      <w:r>
        <w:rPr>
          <w:lang w:val="es-ES_tradnl"/>
        </w:rPr>
        <w:t xml:space="preserve"> “Directrices básicas para arquitectura penal”. </w:t>
      </w:r>
    </w:p>
  </w:footnote>
  <w:footnote w:id="13">
    <w:p w14:paraId="05FBA55D" w14:textId="77777777" w:rsidR="00CA3DEA" w:rsidRPr="00CA3DEA" w:rsidRDefault="00CA3DEA">
      <w:pPr>
        <w:pStyle w:val="FootnoteText"/>
      </w:pPr>
      <w:r>
        <w:rPr>
          <w:rStyle w:val="FootnoteReference"/>
        </w:rPr>
        <w:footnoteRef/>
      </w:r>
      <w:r>
        <w:t xml:space="preserve"> </w:t>
      </w:r>
      <w:r>
        <w:rPr>
          <w:i/>
        </w:rPr>
        <w:t xml:space="preserve">Cfr. </w:t>
      </w:r>
      <w:r w:rsidRPr="00CB1887">
        <w:rPr>
          <w:i/>
        </w:rPr>
        <w:t>Caso Montero Aranguren y otros (Retén de Catia) Vs. Venezuela.</w:t>
      </w:r>
      <w:r>
        <w:t xml:space="preserve"> </w:t>
      </w:r>
      <w:r>
        <w:rPr>
          <w:i/>
        </w:rPr>
        <w:t>Excepción Preliminar, Fondo, Reparaciones y Costas</w:t>
      </w:r>
      <w:r>
        <w:t xml:space="preserve">. Sentencia de 5 de julio de 2006. Serie C No. 150, párr. 85, y </w:t>
      </w:r>
      <w:r w:rsidRPr="00CB1887">
        <w:rPr>
          <w:i/>
        </w:rPr>
        <w:t>Caso J. Vs. Perú. Excepción Preliminar, Fondo, Reparaciones y Costas</w:t>
      </w:r>
      <w:r>
        <w:t>. Sentencia de 27 de noviembre de 2013. Serie C No. 275, párr. 372.</w:t>
      </w:r>
    </w:p>
  </w:footnote>
  <w:footnote w:id="14">
    <w:p w14:paraId="2203A7AB" w14:textId="77777777" w:rsidR="00CA3DEA" w:rsidRPr="00CC58FD" w:rsidRDefault="00CA3DEA" w:rsidP="000E1744">
      <w:pPr>
        <w:autoSpaceDE w:val="0"/>
        <w:autoSpaceDN w:val="0"/>
        <w:adjustRightInd w:val="0"/>
        <w:rPr>
          <w:sz w:val="16"/>
          <w:szCs w:val="16"/>
          <w:lang w:val="es-ES"/>
        </w:rPr>
      </w:pPr>
      <w:r w:rsidRPr="00CC58FD">
        <w:rPr>
          <w:rStyle w:val="FootnoteReference"/>
          <w:sz w:val="16"/>
          <w:szCs w:val="16"/>
        </w:rPr>
        <w:footnoteRef/>
      </w:r>
      <w:r w:rsidRPr="00CC58FD">
        <w:rPr>
          <w:sz w:val="16"/>
          <w:szCs w:val="16"/>
          <w:lang w:val="es-ES"/>
        </w:rPr>
        <w:t xml:space="preserve"> Asamblea General de las </w:t>
      </w:r>
      <w:r w:rsidRPr="00CC58FD">
        <w:rPr>
          <w:rFonts w:eastAsia="Times New Roman" w:cs="Helvetica"/>
          <w:sz w:val="16"/>
          <w:szCs w:val="16"/>
          <w:lang w:val="es-CR"/>
        </w:rPr>
        <w:t>Naciones Unidas, </w:t>
      </w:r>
      <w:r w:rsidRPr="00CC58FD">
        <w:rPr>
          <w:rFonts w:eastAsiaTheme="minorEastAsia" w:cs="TimesNewRoman,Bold"/>
          <w:bCs/>
          <w:i/>
          <w:sz w:val="16"/>
          <w:szCs w:val="16"/>
          <w:lang w:val="es-CR" w:eastAsia="zh-CN"/>
        </w:rPr>
        <w:t>Reglas Mínimas de las Naciones Unidas para el Tratamiento de los Reclusos (</w:t>
      </w:r>
      <w:r w:rsidRPr="00CC58FD">
        <w:rPr>
          <w:sz w:val="16"/>
          <w:szCs w:val="16"/>
          <w:lang w:val="es-ES"/>
        </w:rPr>
        <w:t>Reglas Mandela), A/RES/70/175, de 8 de enero de 2016.</w:t>
      </w:r>
    </w:p>
  </w:footnote>
  <w:footnote w:id="15">
    <w:p w14:paraId="01441E85" w14:textId="77777777" w:rsidR="00CA3DEA" w:rsidRPr="00CC58FD" w:rsidRDefault="00CA3DEA" w:rsidP="000E1744">
      <w:pPr>
        <w:pStyle w:val="FootnoteText"/>
        <w:rPr>
          <w:lang w:val="es-ES_tradnl"/>
        </w:rPr>
      </w:pPr>
      <w:r w:rsidRPr="00CC58FD">
        <w:rPr>
          <w:rStyle w:val="FootnoteReference"/>
          <w:szCs w:val="16"/>
          <w:lang w:val="pt-BR"/>
        </w:rPr>
        <w:footnoteRef/>
      </w:r>
      <w:r w:rsidRPr="00CC58FD">
        <w:rPr>
          <w:rStyle w:val="FootnoteReference"/>
          <w:szCs w:val="16"/>
        </w:rPr>
        <w:t xml:space="preserve"> </w:t>
      </w:r>
      <w:r w:rsidRPr="00CC58FD">
        <w:t xml:space="preserve">Comisión Interamericana de Derechos Humanos, </w:t>
      </w:r>
      <w:r w:rsidRPr="00F807EC">
        <w:rPr>
          <w:i/>
        </w:rPr>
        <w:t xml:space="preserve">Principios y Buenas Prácticas sobre la Protección de las Personas </w:t>
      </w:r>
      <w:r w:rsidRPr="00F807EC">
        <w:rPr>
          <w:i/>
          <w:lang w:val="es-ES_tradnl"/>
        </w:rPr>
        <w:t>Privadas de Libertad en las Américas</w:t>
      </w:r>
      <w:r>
        <w:rPr>
          <w:i/>
          <w:lang w:val="es-ES_tradnl"/>
        </w:rPr>
        <w:t xml:space="preserve">, </w:t>
      </w:r>
      <w:r w:rsidRPr="008C1977">
        <w:t xml:space="preserve">Resolución 01/08 </w:t>
      </w:r>
      <w:r w:rsidRPr="00CC58FD">
        <w:rPr>
          <w:lang w:val="es-ES_tradnl"/>
        </w:rPr>
        <w:t>de 31 de marzo de 2008.</w:t>
      </w:r>
    </w:p>
  </w:footnote>
  <w:footnote w:id="16">
    <w:p w14:paraId="2D538E2A" w14:textId="77777777" w:rsidR="00CA3DEA" w:rsidRPr="00CC58FD" w:rsidRDefault="00CA3DEA" w:rsidP="000E1744">
      <w:pPr>
        <w:pStyle w:val="Heading1"/>
        <w:shd w:val="clear" w:color="auto" w:fill="FFFFFF"/>
        <w:spacing w:before="0"/>
        <w:textAlignment w:val="baseline"/>
        <w:rPr>
          <w:rFonts w:ascii="Verdana" w:eastAsia="MS Mincho" w:hAnsi="Verdana"/>
          <w:b w:val="0"/>
          <w:bCs w:val="0"/>
          <w:color w:val="auto"/>
          <w:sz w:val="16"/>
          <w:szCs w:val="16"/>
          <w:lang w:val="es-ES_tradnl"/>
        </w:rPr>
      </w:pPr>
      <w:r w:rsidRPr="00CC58FD">
        <w:rPr>
          <w:rStyle w:val="FootnoteReference"/>
          <w:rFonts w:ascii="Verdana" w:hAnsi="Verdana"/>
          <w:b w:val="0"/>
          <w:bCs w:val="0"/>
          <w:color w:val="auto"/>
          <w:sz w:val="16"/>
          <w:szCs w:val="16"/>
          <w:lang w:val="pt-BR"/>
        </w:rPr>
        <w:footnoteRef/>
      </w:r>
      <w:r w:rsidRPr="00CC58FD">
        <w:rPr>
          <w:rStyle w:val="FootnoteReference"/>
          <w:rFonts w:ascii="Verdana" w:hAnsi="Verdana"/>
          <w:b w:val="0"/>
          <w:bCs w:val="0"/>
          <w:color w:val="auto"/>
          <w:sz w:val="16"/>
          <w:szCs w:val="16"/>
          <w:lang w:val="es-ES_tradnl"/>
        </w:rPr>
        <w:t xml:space="preserve"> </w:t>
      </w:r>
      <w:r>
        <w:rPr>
          <w:rFonts w:ascii="Verdana" w:hAnsi="Verdana"/>
          <w:b w:val="0"/>
          <w:bCs w:val="0"/>
          <w:color w:val="auto"/>
          <w:sz w:val="16"/>
          <w:szCs w:val="16"/>
          <w:lang w:val="es-ES_tradnl"/>
        </w:rPr>
        <w:t xml:space="preserve">Ver </w:t>
      </w:r>
      <w:r w:rsidRPr="00CC58FD">
        <w:rPr>
          <w:rFonts w:ascii="Verdana" w:eastAsia="MS Mincho" w:hAnsi="Verdana"/>
          <w:b w:val="0"/>
          <w:bCs w:val="0"/>
          <w:color w:val="auto"/>
          <w:sz w:val="16"/>
          <w:szCs w:val="16"/>
          <w:lang w:val="es-ES_tradnl"/>
        </w:rPr>
        <w:t xml:space="preserve">TEDH, </w:t>
      </w:r>
      <w:r w:rsidRPr="00CC58FD">
        <w:rPr>
          <w:rFonts w:ascii="Verdana" w:eastAsia="MS Mincho" w:hAnsi="Verdana"/>
          <w:b w:val="0"/>
          <w:bCs w:val="0"/>
          <w:i/>
          <w:color w:val="auto"/>
          <w:sz w:val="16"/>
          <w:szCs w:val="16"/>
          <w:lang w:val="es-ES_tradnl"/>
        </w:rPr>
        <w:t>Kudla Vs. Polonia</w:t>
      </w:r>
      <w:r w:rsidRPr="00CC58FD">
        <w:rPr>
          <w:rFonts w:ascii="Verdana" w:eastAsia="MS Mincho" w:hAnsi="Verdana"/>
          <w:b w:val="0"/>
          <w:bCs w:val="0"/>
          <w:color w:val="auto"/>
          <w:sz w:val="16"/>
          <w:szCs w:val="16"/>
          <w:lang w:val="es-ES_tradnl"/>
        </w:rPr>
        <w:t>, No. 30210/96, Sentencia de 26 de octubre de 2000, párr. 94.</w:t>
      </w:r>
    </w:p>
  </w:footnote>
  <w:footnote w:id="17">
    <w:p w14:paraId="79819D6C" w14:textId="77777777" w:rsidR="00CA3DEA" w:rsidRPr="00CC58FD" w:rsidRDefault="00CA3DEA" w:rsidP="000E1744">
      <w:pPr>
        <w:pStyle w:val="FootnoteText"/>
        <w:rPr>
          <w:rStyle w:val="FootnoteReference"/>
          <w:szCs w:val="16"/>
          <w:lang w:val="es-ES_tradnl"/>
        </w:rPr>
      </w:pPr>
      <w:r w:rsidRPr="00CC58FD">
        <w:rPr>
          <w:rStyle w:val="FootnoteReference"/>
          <w:szCs w:val="16"/>
          <w:lang w:val="pt-BR"/>
        </w:rPr>
        <w:footnoteRef/>
      </w:r>
      <w:r w:rsidRPr="00CC58FD">
        <w:rPr>
          <w:rStyle w:val="FootnoteReference"/>
          <w:szCs w:val="16"/>
          <w:lang w:val="es-ES_tradnl"/>
        </w:rPr>
        <w:t xml:space="preserve"> </w:t>
      </w:r>
      <w:r w:rsidRPr="00CC58FD">
        <w:rPr>
          <w:lang w:val="es-ES_tradnl"/>
        </w:rPr>
        <w:t xml:space="preserve">Ley </w:t>
      </w:r>
      <w:hyperlink r:id="rId1" w:history="1">
        <w:r w:rsidRPr="00CC58FD">
          <w:rPr>
            <w:lang w:val="es-ES_tradnl"/>
          </w:rPr>
          <w:t>No. 7.210, 11 de</w:t>
        </w:r>
      </w:hyperlink>
      <w:r w:rsidRPr="00CC58FD">
        <w:rPr>
          <w:lang w:val="es-ES_tradnl"/>
        </w:rPr>
        <w:t xml:space="preserve"> julio de 1984.</w:t>
      </w:r>
    </w:p>
  </w:footnote>
  <w:footnote w:id="18">
    <w:p w14:paraId="7C813E77" w14:textId="77777777" w:rsidR="00CA3DEA" w:rsidRPr="00CC58FD" w:rsidRDefault="00CA3DEA" w:rsidP="000E1744">
      <w:pPr>
        <w:pStyle w:val="FootnoteText"/>
        <w:rPr>
          <w:lang w:val="es-ES_tradnl"/>
        </w:rPr>
      </w:pPr>
      <w:r w:rsidRPr="00CC58FD">
        <w:rPr>
          <w:rStyle w:val="FootnoteReference"/>
          <w:szCs w:val="16"/>
          <w:lang w:val="pt-BR"/>
        </w:rPr>
        <w:footnoteRef/>
      </w:r>
      <w:r w:rsidRPr="00CC58FD">
        <w:rPr>
          <w:lang w:val="es-ES_tradnl"/>
        </w:rPr>
        <w:t xml:space="preserve"> </w:t>
      </w:r>
      <w:r w:rsidRPr="00CC58FD">
        <w:t>Ministerio de Salud y Ministerio de Justica, Portaría Interministerial No. 1777 de 9 de septiembre de 2003.</w:t>
      </w:r>
    </w:p>
  </w:footnote>
  <w:footnote w:id="19">
    <w:p w14:paraId="054657FD" w14:textId="77777777" w:rsidR="00CA3DEA" w:rsidRPr="00CC58FD" w:rsidRDefault="00CA3DEA" w:rsidP="000E1744">
      <w:pPr>
        <w:pStyle w:val="FootnoteText"/>
      </w:pPr>
      <w:r w:rsidRPr="00CC58FD">
        <w:rPr>
          <w:rStyle w:val="FootnoteReference"/>
          <w:szCs w:val="16"/>
        </w:rPr>
        <w:footnoteRef/>
      </w:r>
      <w:r w:rsidRPr="00CC58FD">
        <w:t xml:space="preserve"> </w:t>
      </w:r>
      <w:r w:rsidRPr="00CC58FD">
        <w:rPr>
          <w:lang w:val="es-ES_tradnl"/>
        </w:rPr>
        <w:t xml:space="preserve">Consejo Nacional de Política Criminal y Penitenciaria (CNPCP), Resoluciones No. 04/2014 de </w:t>
      </w:r>
      <w:r w:rsidRPr="00CC58FD">
        <w:t>18 de julio de 2014,</w:t>
      </w:r>
      <w:r w:rsidRPr="00CC58FD">
        <w:rPr>
          <w:lang w:val="es-ES_tradnl"/>
        </w:rPr>
        <w:t xml:space="preserve"> y 02/2015 de 29 de octubre de 2015.</w:t>
      </w:r>
    </w:p>
  </w:footnote>
  <w:footnote w:id="20">
    <w:p w14:paraId="76AA4904" w14:textId="77777777" w:rsidR="00CA3DEA" w:rsidRPr="00CC58FD" w:rsidRDefault="00CA3DEA" w:rsidP="000E1744">
      <w:pPr>
        <w:pStyle w:val="FootnoteText"/>
      </w:pPr>
      <w:r w:rsidRPr="00CC58FD">
        <w:rPr>
          <w:rStyle w:val="FootnoteReference"/>
          <w:szCs w:val="16"/>
        </w:rPr>
        <w:footnoteRef/>
      </w:r>
      <w:r w:rsidRPr="00CC58FD">
        <w:t xml:space="preserve"> </w:t>
      </w:r>
      <w:r w:rsidRPr="00CC58FD">
        <w:rPr>
          <w:lang w:val="es-ES_tradnl"/>
        </w:rPr>
        <w:t>Consejo Nacional de Política Criminal y Penitenciaria (CNPCP)</w:t>
      </w:r>
      <w:r w:rsidRPr="00CC58FD">
        <w:t xml:space="preserve">, Resoluciones </w:t>
      </w:r>
      <w:r w:rsidRPr="00CC58FD">
        <w:rPr>
          <w:lang w:val="es-ES_tradnl"/>
        </w:rPr>
        <w:t xml:space="preserve">No. 14/1994 de </w:t>
      </w:r>
      <w:r w:rsidRPr="00CC58FD">
        <w:t xml:space="preserve">11 de noviembre de 1994, </w:t>
      </w:r>
      <w:r w:rsidRPr="00CC58FD">
        <w:rPr>
          <w:lang w:val="es-ES_tradnl"/>
        </w:rPr>
        <w:t>y 09/2011 de 18 de noviembre de 2011.</w:t>
      </w:r>
    </w:p>
  </w:footnote>
  <w:footnote w:id="21">
    <w:p w14:paraId="7DC022EC" w14:textId="77777777" w:rsidR="00CA3DEA" w:rsidRDefault="00CA3DEA">
      <w:pPr>
        <w:pStyle w:val="FootnoteText"/>
      </w:pPr>
      <w:r>
        <w:rPr>
          <w:rStyle w:val="FootnoteReference"/>
        </w:rPr>
        <w:footnoteRef/>
      </w:r>
      <w:r>
        <w:t xml:space="preserve"> </w:t>
      </w:r>
      <w:r w:rsidRPr="00384A46">
        <w:t>Consejo Nacional de Política Criminal y Penitenciaria (CNPCP), Resoluci</w:t>
      </w:r>
      <w:r>
        <w:t>ón No.</w:t>
      </w:r>
      <w:r w:rsidRPr="00384A46">
        <w:t xml:space="preserve"> 02/2015 de 29 de octubre de 2015</w:t>
      </w:r>
      <w:r>
        <w:t>, artículo 13(III).</w:t>
      </w:r>
    </w:p>
  </w:footnote>
  <w:footnote w:id="22">
    <w:p w14:paraId="4F08BD55" w14:textId="77777777" w:rsidR="00CA3DEA" w:rsidRDefault="00CA3DEA">
      <w:pPr>
        <w:pStyle w:val="FootnoteText"/>
      </w:pPr>
      <w:r>
        <w:rPr>
          <w:rStyle w:val="FootnoteReference"/>
        </w:rPr>
        <w:footnoteRef/>
      </w:r>
      <w:r>
        <w:t xml:space="preserve"> Organización Mundial de la Salud. “</w:t>
      </w:r>
      <w:r w:rsidRPr="00CE7AC0">
        <w:rPr>
          <w:i/>
        </w:rPr>
        <w:t>El control de la tuberculosis en prisiones: manual para directores de programas</w:t>
      </w:r>
      <w:r>
        <w:t xml:space="preserve">”, </w:t>
      </w:r>
      <w:r w:rsidRPr="00A9707C">
        <w:t>WHO/CDS/TB/2000.281</w:t>
      </w:r>
      <w:r>
        <w:t xml:space="preserve">. </w:t>
      </w:r>
    </w:p>
  </w:footnote>
  <w:footnote w:id="23">
    <w:p w14:paraId="1D543AA0" w14:textId="77777777" w:rsidR="00CA3DEA" w:rsidRDefault="00CA3DEA">
      <w:pPr>
        <w:pStyle w:val="FootnoteText"/>
      </w:pPr>
      <w:r>
        <w:rPr>
          <w:rStyle w:val="FootnoteReference"/>
        </w:rPr>
        <w:footnoteRef/>
      </w:r>
      <w:r>
        <w:t xml:space="preserve"> Organización Mundial de la Salud. “</w:t>
      </w:r>
      <w:r w:rsidRPr="00CE7AC0">
        <w:rPr>
          <w:i/>
        </w:rPr>
        <w:t>El control de la tuberculosis en prisiones: manual para directores de programas</w:t>
      </w:r>
      <w:r>
        <w:t xml:space="preserve">”, </w:t>
      </w:r>
      <w:r w:rsidRPr="00A9707C">
        <w:t>WHO/CDS/TB/2000.281</w:t>
      </w:r>
      <w:r>
        <w:t>, pág. 140</w:t>
      </w:r>
    </w:p>
  </w:footnote>
  <w:footnote w:id="24">
    <w:p w14:paraId="4359D04F" w14:textId="77777777" w:rsidR="00CA3DEA" w:rsidRDefault="00CA3DEA">
      <w:pPr>
        <w:pStyle w:val="FootnoteText"/>
      </w:pPr>
      <w:r>
        <w:rPr>
          <w:rStyle w:val="FootnoteReference"/>
        </w:rPr>
        <w:footnoteRef/>
      </w:r>
      <w:r>
        <w:t xml:space="preserve"> </w:t>
      </w:r>
      <w:r w:rsidRPr="00EA40FB">
        <w:t>Organización Panamericana de la Salud</w:t>
      </w:r>
      <w:r>
        <w:t>. “</w:t>
      </w:r>
      <w:r w:rsidRPr="00CE7AC0">
        <w:rPr>
          <w:i/>
        </w:rPr>
        <w:t>Guía para el control de la tuberculosis en poblaciones privadas de libertad de América Latina y el Caribe</w:t>
      </w:r>
      <w:r>
        <w:rPr>
          <w:i/>
        </w:rPr>
        <w:t>”</w:t>
      </w:r>
      <w:r>
        <w:t xml:space="preserve">, 2008. pág. 75. Disponible en </w:t>
      </w:r>
      <w:r w:rsidRPr="00A36858">
        <w:t>https://www.aamr.org.ar/recursos_educativos/consensos/guia_tbc_pprivadas_ops_2008.pdf</w:t>
      </w:r>
      <w:r>
        <w:t xml:space="preserve">. </w:t>
      </w:r>
    </w:p>
  </w:footnote>
  <w:footnote w:id="25">
    <w:p w14:paraId="67994BC7" w14:textId="77777777" w:rsidR="00451142" w:rsidRPr="00CC58FD" w:rsidRDefault="00451142" w:rsidP="00451142">
      <w:pPr>
        <w:pStyle w:val="FootnoteText"/>
      </w:pPr>
      <w:r w:rsidRPr="00CC58FD">
        <w:rPr>
          <w:rStyle w:val="FootnoteReference"/>
          <w:szCs w:val="16"/>
        </w:rPr>
        <w:footnoteRef/>
      </w:r>
      <w:r w:rsidRPr="00CC58FD">
        <w:rPr>
          <w:lang w:val="pt-BR"/>
        </w:rPr>
        <w:t xml:space="preserve"> </w:t>
      </w:r>
      <w:r w:rsidRPr="00CC58FD">
        <w:rPr>
          <w:i/>
          <w:lang w:val="pt-BR"/>
        </w:rPr>
        <w:t xml:space="preserve">Asunto del Instituto Penal Plácido </w:t>
      </w:r>
      <w:r w:rsidR="003429D1">
        <w:rPr>
          <w:i/>
          <w:lang w:val="pt-BR"/>
        </w:rPr>
        <w:t>d</w:t>
      </w:r>
      <w:r w:rsidRPr="00CC58FD">
        <w:rPr>
          <w:i/>
          <w:lang w:val="pt-BR"/>
        </w:rPr>
        <w:t>e Sá Carvalho</w:t>
      </w:r>
      <w:r w:rsidRPr="00CC58FD">
        <w:rPr>
          <w:lang w:val="pt-BR"/>
        </w:rPr>
        <w:t xml:space="preserve">. </w:t>
      </w:r>
      <w:r w:rsidRPr="00CC58FD">
        <w:t xml:space="preserve">Resolución de la Corte Interamericana </w:t>
      </w:r>
      <w:r w:rsidR="003429D1">
        <w:t>d</w:t>
      </w:r>
      <w:r w:rsidRPr="00CC58FD">
        <w:t>e Derechos Humanos de 13 de febrero de 2017, Considerando 1</w:t>
      </w:r>
      <w:r>
        <w:t>8</w:t>
      </w:r>
      <w:r w:rsidRPr="00CC58FD">
        <w:t>.</w:t>
      </w:r>
    </w:p>
  </w:footnote>
  <w:footnote w:id="26">
    <w:p w14:paraId="7EFCEC67" w14:textId="77777777" w:rsidR="00451142" w:rsidRPr="00CC58FD" w:rsidRDefault="00451142" w:rsidP="00451142">
      <w:pPr>
        <w:pStyle w:val="FootnoteText"/>
      </w:pPr>
      <w:r w:rsidRPr="00CC58FD">
        <w:rPr>
          <w:rStyle w:val="FootnoteReference"/>
          <w:szCs w:val="16"/>
        </w:rPr>
        <w:footnoteRef/>
      </w:r>
      <w:r w:rsidRPr="00CC58FD">
        <w:rPr>
          <w:lang w:val="pt-BR"/>
        </w:rPr>
        <w:t xml:space="preserve"> </w:t>
      </w:r>
      <w:r w:rsidRPr="00CC58FD">
        <w:rPr>
          <w:i/>
          <w:lang w:val="pt-BR"/>
        </w:rPr>
        <w:t xml:space="preserve">Asunto del Instituto Penal Plácido </w:t>
      </w:r>
      <w:r w:rsidR="003429D1">
        <w:rPr>
          <w:i/>
          <w:lang w:val="pt-BR"/>
        </w:rPr>
        <w:t>d</w:t>
      </w:r>
      <w:r w:rsidRPr="00CC58FD">
        <w:rPr>
          <w:i/>
          <w:lang w:val="pt-BR"/>
        </w:rPr>
        <w:t>e Sá Carvalho</w:t>
      </w:r>
      <w:r w:rsidRPr="00CC58FD">
        <w:rPr>
          <w:lang w:val="pt-BR"/>
        </w:rPr>
        <w:t xml:space="preserve">. </w:t>
      </w:r>
      <w:r w:rsidRPr="00CC58FD">
        <w:t xml:space="preserve">Resolución de la Corte Interamericana </w:t>
      </w:r>
      <w:r w:rsidR="003429D1">
        <w:t>d</w:t>
      </w:r>
      <w:r w:rsidRPr="00CC58FD">
        <w:t xml:space="preserve">e Derechos Humanos de 13 de febrero de 2017, </w:t>
      </w:r>
      <w:r>
        <w:t xml:space="preserve">Punto Resolutivo </w:t>
      </w:r>
      <w:r w:rsidRPr="00CC58FD">
        <w:t>1.</w:t>
      </w:r>
    </w:p>
  </w:footnote>
  <w:footnote w:id="27">
    <w:p w14:paraId="480626D3" w14:textId="77777777" w:rsidR="00CA3DEA" w:rsidRPr="00CC58FD" w:rsidRDefault="00CA3DEA" w:rsidP="000E1744">
      <w:pPr>
        <w:pStyle w:val="FootnoteText"/>
        <w:rPr>
          <w:b/>
        </w:rPr>
      </w:pPr>
      <w:r w:rsidRPr="00CC58FD">
        <w:rPr>
          <w:rStyle w:val="FootnoteReference"/>
          <w:szCs w:val="16"/>
        </w:rPr>
        <w:footnoteRef/>
      </w:r>
      <w:r w:rsidRPr="00CC58FD">
        <w:t xml:space="preserve"> </w:t>
      </w:r>
      <w:r w:rsidRPr="00CC58FD">
        <w:rPr>
          <w:i/>
        </w:rPr>
        <w:t>Cfr</w:t>
      </w:r>
      <w:r w:rsidRPr="00CC58FD">
        <w:t xml:space="preserve">. </w:t>
      </w:r>
      <w:r w:rsidRPr="00CC58FD">
        <w:rPr>
          <w:i/>
        </w:rPr>
        <w:t>Asunto Juan Almonte Herrera y otros</w:t>
      </w:r>
      <w:r w:rsidRPr="00CC58FD">
        <w:t xml:space="preserve">. Medidas Provisionales respecto de República Dominicana. Resolución del Presidente de la Corte </w:t>
      </w:r>
      <w:r>
        <w:t xml:space="preserve">Interamericana de Derechos Humanos </w:t>
      </w:r>
      <w:r w:rsidRPr="00CC58FD">
        <w:t xml:space="preserve">de 24 de marzo de 2010, Considerando 16, y </w:t>
      </w:r>
      <w:r w:rsidR="00A6726D" w:rsidRPr="00CF10C8">
        <w:rPr>
          <w:i/>
        </w:rPr>
        <w:t>Asunto del Complejo Penitenciario de Curado</w:t>
      </w:r>
      <w:r w:rsidR="00A6726D">
        <w:t>. Medidas Provisionales respecto de Brasil. Resolución de la Corte Interamericana de Derechos Humanos de 18 de noviembre de 2015, Considerando 5</w:t>
      </w:r>
      <w:r w:rsidRPr="00CC58FD">
        <w:t>.</w:t>
      </w:r>
    </w:p>
  </w:footnote>
  <w:footnote w:id="28">
    <w:p w14:paraId="2F0C4CC9" w14:textId="77777777" w:rsidR="00CA3DEA" w:rsidRPr="00A36858" w:rsidRDefault="00CA3DEA">
      <w:pPr>
        <w:pStyle w:val="FootnoteText"/>
      </w:pPr>
      <w:r>
        <w:rPr>
          <w:rStyle w:val="FootnoteReference"/>
        </w:rPr>
        <w:footnoteRef/>
      </w:r>
      <w:r>
        <w:t xml:space="preserve"> </w:t>
      </w:r>
      <w:r w:rsidRPr="00A36858">
        <w:t xml:space="preserve">Cfr. </w:t>
      </w:r>
      <w:r w:rsidRPr="00A36858">
        <w:rPr>
          <w:i/>
        </w:rPr>
        <w:t>Caso Velásquez Rodríguez</w:t>
      </w:r>
      <w:r w:rsidRPr="00A36858">
        <w:t>. Medidas Provisionales respecto de Honduras. Resolución de la Corte de 15 de enero de 1988, Considerando 13</w:t>
      </w:r>
      <w:r>
        <w:t xml:space="preserve">, y </w:t>
      </w:r>
      <w:r w:rsidRPr="00CF10C8">
        <w:rPr>
          <w:i/>
        </w:rPr>
        <w:t>Asunto del Complejo Penitenciario de Curado</w:t>
      </w:r>
      <w:r>
        <w:t>. Medidas Provisionales respecto de Brasil. Resolución de la Corte Interamericana de Derechos Humanos de 18 de noviembre de 2015, Considerando 6.</w:t>
      </w:r>
    </w:p>
  </w:footnote>
  <w:footnote w:id="29">
    <w:p w14:paraId="05EA9696" w14:textId="77777777" w:rsidR="00CA3DEA" w:rsidRDefault="00CA3DEA">
      <w:pPr>
        <w:pStyle w:val="FootnoteText"/>
      </w:pPr>
      <w:r>
        <w:rPr>
          <w:rStyle w:val="FootnoteReference"/>
        </w:rPr>
        <w:footnoteRef/>
      </w:r>
      <w:r>
        <w:t xml:space="preserve"> </w:t>
      </w:r>
      <w:r w:rsidRPr="002B37D0">
        <w:rPr>
          <w:i/>
        </w:rPr>
        <w:t>Cfr</w:t>
      </w:r>
      <w:r>
        <w:t xml:space="preserve">. </w:t>
      </w:r>
      <w:r w:rsidRPr="00CC58FD">
        <w:rPr>
          <w:i/>
          <w:iCs/>
        </w:rPr>
        <w:t xml:space="preserve">Caso </w:t>
      </w:r>
      <w:r w:rsidRPr="00CC58FD">
        <w:rPr>
          <w:i/>
          <w:iCs/>
          <w:lang w:val="es-ES_tradnl"/>
        </w:rPr>
        <w:t>de las Penitenciarías de Mendoza</w:t>
      </w:r>
      <w:r w:rsidRPr="00CC58FD">
        <w:rPr>
          <w:i/>
          <w:iCs/>
        </w:rPr>
        <w:t xml:space="preserve">. </w:t>
      </w:r>
      <w:r w:rsidRPr="00CC58FD">
        <w:rPr>
          <w:iCs/>
        </w:rPr>
        <w:t xml:space="preserve">Medidas Provisionales respecto de Argentina. </w:t>
      </w:r>
      <w:r>
        <w:rPr>
          <w:iCs/>
        </w:rPr>
        <w:t>Resolución de la Corte Interamericana de Derechos Humanos de</w:t>
      </w:r>
      <w:r w:rsidRPr="00CC58FD">
        <w:rPr>
          <w:iCs/>
        </w:rPr>
        <w:t xml:space="preserve"> 30 de marzo de 2006, Considerando 11</w:t>
      </w:r>
      <w:r>
        <w:rPr>
          <w:iCs/>
        </w:rPr>
        <w:t xml:space="preserve">, y </w:t>
      </w:r>
      <w:r>
        <w:rPr>
          <w:i/>
          <w:iCs/>
        </w:rPr>
        <w:t>Asunto del Complejo Penitenciario de Curado</w:t>
      </w:r>
      <w:r>
        <w:rPr>
          <w:iCs/>
        </w:rPr>
        <w:t>, Resolución de la Corte Interamericana de Derechos Humanos de 18 de noviembre de 2015, Considerando 6.</w:t>
      </w:r>
    </w:p>
  </w:footnote>
  <w:footnote w:id="30">
    <w:p w14:paraId="139FAA9F" w14:textId="77777777" w:rsidR="00CA3DEA" w:rsidRPr="00CC58FD" w:rsidRDefault="00CA3DEA" w:rsidP="000E1744">
      <w:pPr>
        <w:pStyle w:val="FootnoteText"/>
        <w:ind w:right="-8"/>
      </w:pPr>
      <w:r w:rsidRPr="00CC58FD">
        <w:rPr>
          <w:rStyle w:val="FootnoteReference"/>
          <w:szCs w:val="16"/>
        </w:rPr>
        <w:footnoteRef/>
      </w:r>
      <w:r w:rsidRPr="00CC58FD">
        <w:t xml:space="preserve"> </w:t>
      </w:r>
      <w:r w:rsidRPr="00CC58FD">
        <w:rPr>
          <w:i/>
        </w:rPr>
        <w:t xml:space="preserve">Cfr. </w:t>
      </w:r>
      <w:r w:rsidRPr="00CC58FD">
        <w:rPr>
          <w:i/>
          <w:iCs/>
        </w:rPr>
        <w:t xml:space="preserve">Caso </w:t>
      </w:r>
      <w:r w:rsidRPr="00CC58FD">
        <w:rPr>
          <w:i/>
          <w:iCs/>
          <w:lang w:val="es-ES_tradnl"/>
        </w:rPr>
        <w:t>de las Penitenciarías de Mendoza</w:t>
      </w:r>
      <w:r>
        <w:rPr>
          <w:i/>
          <w:iCs/>
          <w:lang w:val="es-ES_tradnl"/>
        </w:rPr>
        <w:t xml:space="preserve">, </w:t>
      </w:r>
      <w:r>
        <w:rPr>
          <w:iCs/>
        </w:rPr>
        <w:t xml:space="preserve">Resolución de la Corte Interamericana de Derechos Humanos </w:t>
      </w:r>
      <w:r w:rsidRPr="00CC58FD">
        <w:rPr>
          <w:iCs/>
        </w:rPr>
        <w:t>de 30 de marzo de 2006, Considerando 11</w:t>
      </w:r>
      <w:r>
        <w:rPr>
          <w:iCs/>
        </w:rPr>
        <w:t xml:space="preserve">, y </w:t>
      </w:r>
      <w:r>
        <w:rPr>
          <w:i/>
          <w:iCs/>
        </w:rPr>
        <w:t>Asunto del Complejo Penitenciario de Curado</w:t>
      </w:r>
      <w:r>
        <w:rPr>
          <w:iCs/>
        </w:rPr>
        <w:t>, Resolución de la Corte Interamericana de Derechos Humanos de 18 de noviembre de 2015, Considerando 6.</w:t>
      </w:r>
      <w:r w:rsidRPr="00CC58FD">
        <w:rPr>
          <w:iCs/>
        </w:rPr>
        <w:t xml:space="preserve"> </w:t>
      </w:r>
    </w:p>
  </w:footnote>
  <w:footnote w:id="31">
    <w:p w14:paraId="6F615D17" w14:textId="77777777" w:rsidR="00CA3DEA" w:rsidRPr="00CC58FD" w:rsidRDefault="00CA3DEA" w:rsidP="00CF10C8">
      <w:pPr>
        <w:pStyle w:val="FootnoteText"/>
        <w:rPr>
          <w:lang w:val="es-AR"/>
        </w:rPr>
      </w:pPr>
      <w:r w:rsidRPr="00CC58FD">
        <w:rPr>
          <w:rStyle w:val="FootnoteReference"/>
          <w:szCs w:val="16"/>
        </w:rPr>
        <w:footnoteRef/>
      </w:r>
      <w:r w:rsidRPr="00CC58FD">
        <w:t xml:space="preserve"> </w:t>
      </w:r>
      <w:r w:rsidRPr="00CC58FD">
        <w:rPr>
          <w:i/>
        </w:rPr>
        <w:t>Cfr</w:t>
      </w:r>
      <w:r w:rsidRPr="00CC58FD">
        <w:t xml:space="preserve">. </w:t>
      </w:r>
      <w:r w:rsidRPr="00CC58FD">
        <w:rPr>
          <w:i/>
        </w:rPr>
        <w:t>Asuntos de determinados centros penitenciarios de Venezuela</w:t>
      </w:r>
      <w:r w:rsidRPr="00CC58FD">
        <w:t xml:space="preserve">, </w:t>
      </w:r>
      <w:r w:rsidRPr="00CC58FD">
        <w:rPr>
          <w:i/>
        </w:rPr>
        <w:t>Centro Penitenciario de la Región Centro Occidental (Cárcel de Uribana</w:t>
      </w:r>
      <w:r w:rsidRPr="00CC58FD">
        <w:t xml:space="preserve">). Resolución de la Corte Interamericana de Derechos Humanos de 13 de febrero de 2013, Considerando </w:t>
      </w:r>
      <w:r w:rsidR="00A6726D">
        <w:t>15</w:t>
      </w:r>
      <w:r w:rsidRPr="00CC58FD">
        <w:t xml:space="preserve">, </w:t>
      </w:r>
      <w:r w:rsidRPr="00CC58FD">
        <w:rPr>
          <w:rFonts w:eastAsia="Verdana" w:cs="Verdana"/>
          <w:lang w:val="es-CR"/>
        </w:rPr>
        <w:t xml:space="preserve">y </w:t>
      </w:r>
      <w:r w:rsidRPr="00CC58FD">
        <w:rPr>
          <w:rFonts w:eastAsia="Verdana" w:cs="Verdana"/>
          <w:i/>
          <w:spacing w:val="1"/>
          <w:lang w:val="es-CR"/>
        </w:rPr>
        <w:t>A</w:t>
      </w:r>
      <w:r w:rsidRPr="00CC58FD">
        <w:rPr>
          <w:rFonts w:eastAsia="Verdana" w:cs="Verdana"/>
          <w:i/>
          <w:spacing w:val="-2"/>
          <w:lang w:val="es-CR"/>
        </w:rPr>
        <w:t>s</w:t>
      </w:r>
      <w:r w:rsidRPr="00CC58FD">
        <w:rPr>
          <w:rFonts w:eastAsia="Verdana" w:cs="Verdana"/>
          <w:i/>
          <w:spacing w:val="-1"/>
          <w:lang w:val="es-CR"/>
        </w:rPr>
        <w:t>unt</w:t>
      </w:r>
      <w:r w:rsidRPr="00CC58FD">
        <w:rPr>
          <w:rFonts w:eastAsia="Verdana" w:cs="Verdana"/>
          <w:i/>
          <w:lang w:val="es-CR"/>
        </w:rPr>
        <w:t>o</w:t>
      </w:r>
      <w:r w:rsidRPr="00CC58FD">
        <w:rPr>
          <w:rFonts w:eastAsia="Verdana" w:cs="Verdana"/>
          <w:i/>
          <w:spacing w:val="2"/>
          <w:lang w:val="es-CR"/>
        </w:rPr>
        <w:t xml:space="preserve"> </w:t>
      </w:r>
      <w:r w:rsidRPr="00CC58FD">
        <w:rPr>
          <w:rFonts w:eastAsia="Verdana" w:cs="Verdana"/>
          <w:i/>
          <w:spacing w:val="1"/>
          <w:lang w:val="es-CR"/>
        </w:rPr>
        <w:t>del Complejo Penitenciario de Curado</w:t>
      </w:r>
      <w:r>
        <w:rPr>
          <w:rFonts w:eastAsia="Verdana" w:cs="Verdana"/>
          <w:i/>
          <w:spacing w:val="1"/>
          <w:lang w:val="es-CR"/>
        </w:rPr>
        <w:t>.</w:t>
      </w:r>
      <w:r>
        <w:rPr>
          <w:rFonts w:eastAsia="Verdana" w:cs="Verdana"/>
          <w:spacing w:val="1"/>
          <w:lang w:val="es-CR"/>
        </w:rPr>
        <w:t xml:space="preserve"> </w:t>
      </w:r>
      <w:r w:rsidRPr="00B77BE0">
        <w:rPr>
          <w:rFonts w:eastAsia="Verdana" w:cs="Verdana"/>
          <w:spacing w:val="1"/>
          <w:lang w:val="es-CR"/>
        </w:rPr>
        <w:t>Resolución de la Corte Interamericana de Derechos Humanos</w:t>
      </w:r>
      <w:r>
        <w:rPr>
          <w:rFonts w:eastAsia="Verdana" w:cs="Verdana"/>
          <w:spacing w:val="1"/>
          <w:lang w:val="es-CR"/>
        </w:rPr>
        <w:t xml:space="preserve"> </w:t>
      </w:r>
      <w:r w:rsidRPr="00B77BE0">
        <w:rPr>
          <w:rFonts w:eastAsia="Verdana" w:cs="Verdana"/>
          <w:spacing w:val="1"/>
          <w:lang w:val="es-CR"/>
        </w:rPr>
        <w:t xml:space="preserve">de </w:t>
      </w:r>
      <w:r>
        <w:rPr>
          <w:rFonts w:eastAsia="Verdana" w:cs="Verdana"/>
          <w:spacing w:val="1"/>
          <w:lang w:val="es-CR"/>
        </w:rPr>
        <w:t>22</w:t>
      </w:r>
      <w:r w:rsidRPr="00B77BE0">
        <w:rPr>
          <w:rFonts w:eastAsia="Verdana" w:cs="Verdana"/>
          <w:spacing w:val="1"/>
          <w:lang w:val="es-CR"/>
        </w:rPr>
        <w:t xml:space="preserve"> de</w:t>
      </w:r>
      <w:r>
        <w:rPr>
          <w:rFonts w:eastAsia="Verdana" w:cs="Verdana"/>
          <w:spacing w:val="1"/>
          <w:lang w:val="es-CR"/>
        </w:rPr>
        <w:t xml:space="preserve"> mayo </w:t>
      </w:r>
      <w:r w:rsidRPr="00B77BE0">
        <w:rPr>
          <w:rFonts w:eastAsia="Verdana" w:cs="Verdana"/>
          <w:spacing w:val="1"/>
          <w:lang w:val="es-CR"/>
        </w:rPr>
        <w:t>de 201</w:t>
      </w:r>
      <w:r>
        <w:rPr>
          <w:rFonts w:eastAsia="Verdana" w:cs="Verdana"/>
          <w:spacing w:val="1"/>
          <w:lang w:val="es-CR"/>
        </w:rPr>
        <w:t>4</w:t>
      </w:r>
      <w:r w:rsidRPr="00CC58FD">
        <w:rPr>
          <w:rFonts w:eastAsia="Verdana" w:cs="Verdana"/>
          <w:i/>
          <w:spacing w:val="1"/>
          <w:lang w:val="es-CR"/>
        </w:rPr>
        <w:t xml:space="preserve">, </w:t>
      </w:r>
      <w:r w:rsidRPr="00CC58FD">
        <w:rPr>
          <w:rFonts w:eastAsia="Verdana" w:cs="Verdana"/>
          <w:lang w:val="es-CR"/>
        </w:rPr>
        <w:t>C</w:t>
      </w:r>
      <w:r w:rsidRPr="00CC58FD">
        <w:rPr>
          <w:rFonts w:eastAsia="Verdana" w:cs="Verdana"/>
          <w:spacing w:val="1"/>
          <w:lang w:val="es-CR"/>
        </w:rPr>
        <w:t>o</w:t>
      </w:r>
      <w:r w:rsidRPr="00CC58FD">
        <w:rPr>
          <w:rFonts w:eastAsia="Verdana" w:cs="Verdana"/>
          <w:spacing w:val="-1"/>
          <w:lang w:val="es-CR"/>
        </w:rPr>
        <w:t>n</w:t>
      </w:r>
      <w:r w:rsidRPr="00CC58FD">
        <w:rPr>
          <w:rFonts w:eastAsia="Verdana" w:cs="Verdana"/>
          <w:lang w:val="es-CR"/>
        </w:rPr>
        <w:t>s</w:t>
      </w:r>
      <w:r w:rsidRPr="00CC58FD">
        <w:rPr>
          <w:rFonts w:eastAsia="Verdana" w:cs="Verdana"/>
          <w:spacing w:val="-1"/>
          <w:lang w:val="es-CR"/>
        </w:rPr>
        <w:t>i</w:t>
      </w:r>
      <w:r w:rsidRPr="00CC58FD">
        <w:rPr>
          <w:rFonts w:eastAsia="Verdana" w:cs="Verdana"/>
          <w:spacing w:val="-2"/>
          <w:lang w:val="es-CR"/>
        </w:rPr>
        <w:t>d</w:t>
      </w:r>
      <w:r w:rsidRPr="00CC58FD">
        <w:rPr>
          <w:rFonts w:eastAsia="Verdana" w:cs="Verdana"/>
          <w:lang w:val="es-CR"/>
        </w:rPr>
        <w:t>e</w:t>
      </w:r>
      <w:r w:rsidRPr="00CC58FD">
        <w:rPr>
          <w:rFonts w:eastAsia="Verdana" w:cs="Verdana"/>
          <w:spacing w:val="-1"/>
          <w:lang w:val="es-CR"/>
        </w:rPr>
        <w:t>ran</w:t>
      </w:r>
      <w:r w:rsidRPr="00CC58FD">
        <w:rPr>
          <w:rFonts w:eastAsia="Verdana" w:cs="Verdana"/>
          <w:spacing w:val="1"/>
          <w:lang w:val="es-CR"/>
        </w:rPr>
        <w:t>d</w:t>
      </w:r>
      <w:r w:rsidRPr="00CC58FD">
        <w:rPr>
          <w:rFonts w:eastAsia="Verdana" w:cs="Verdana"/>
          <w:lang w:val="es-CR"/>
        </w:rPr>
        <w:t xml:space="preserve">o </w:t>
      </w:r>
      <w:r>
        <w:rPr>
          <w:rFonts w:eastAsia="Verdana" w:cs="Verdana"/>
          <w:lang w:val="es-CR"/>
        </w:rPr>
        <w:t>19</w:t>
      </w:r>
      <w:r w:rsidRPr="00CC58FD">
        <w:rPr>
          <w:rFonts w:eastAsia="Verdana" w:cs="Verdana"/>
          <w:lang w:val="es-CR"/>
        </w:rPr>
        <w:t>.</w:t>
      </w:r>
    </w:p>
  </w:footnote>
  <w:footnote w:id="32">
    <w:p w14:paraId="053D3891" w14:textId="77777777" w:rsidR="00CA3DEA" w:rsidRDefault="00CA3DEA">
      <w:pPr>
        <w:pStyle w:val="FootnoteText"/>
      </w:pPr>
      <w:r>
        <w:rPr>
          <w:rStyle w:val="FootnoteReference"/>
        </w:rPr>
        <w:footnoteRef/>
      </w:r>
      <w:r w:rsidRPr="00B77BE0">
        <w:rPr>
          <w:lang w:val="pt-BR"/>
        </w:rPr>
        <w:t xml:space="preserve"> </w:t>
      </w:r>
      <w:r w:rsidRPr="00B77BE0">
        <w:rPr>
          <w:i/>
          <w:lang w:val="pt-BR"/>
        </w:rPr>
        <w:t>Cfr. Asunto del Instituto Penal Plácido de Sá Carvalho respecto de Brasil</w:t>
      </w:r>
      <w:r w:rsidRPr="00B77BE0">
        <w:rPr>
          <w:lang w:val="pt-BR"/>
        </w:rPr>
        <w:t xml:space="preserve">. </w:t>
      </w:r>
      <w:r w:rsidRPr="009D32BC">
        <w:t>Medidas Provisionales. Resolución de la Corte Interamericana de Derechos Humanos de 13 de febrero de 2017</w:t>
      </w:r>
      <w:r>
        <w:t>, Considerando 14.</w:t>
      </w:r>
    </w:p>
  </w:footnote>
  <w:footnote w:id="33">
    <w:p w14:paraId="18AFB3DF" w14:textId="77777777" w:rsidR="00CA3DEA" w:rsidRPr="00956436" w:rsidRDefault="00CA3DEA" w:rsidP="000E1744">
      <w:pPr>
        <w:rPr>
          <w:rFonts w:eastAsia="Verdana" w:cs="Verdana"/>
          <w:sz w:val="16"/>
          <w:szCs w:val="16"/>
          <w:lang w:val="es-CR"/>
        </w:rPr>
      </w:pPr>
      <w:r w:rsidRPr="00CC58FD">
        <w:rPr>
          <w:rStyle w:val="FootnoteReference"/>
          <w:sz w:val="16"/>
          <w:szCs w:val="16"/>
        </w:rPr>
        <w:footnoteRef/>
      </w:r>
      <w:r>
        <w:rPr>
          <w:sz w:val="16"/>
          <w:szCs w:val="16"/>
          <w:lang w:val="es-ES"/>
        </w:rPr>
        <w:t xml:space="preserve"> </w:t>
      </w:r>
      <w:r w:rsidRPr="00CC58FD">
        <w:rPr>
          <w:rFonts w:eastAsia="Verdana" w:cs="Verdana"/>
          <w:i/>
          <w:sz w:val="16"/>
          <w:szCs w:val="16"/>
          <w:lang w:val="es-CR"/>
        </w:rPr>
        <w:t>C</w:t>
      </w:r>
      <w:r w:rsidRPr="00CC58FD">
        <w:rPr>
          <w:rFonts w:eastAsia="Verdana" w:cs="Verdana"/>
          <w:i/>
          <w:spacing w:val="-1"/>
          <w:sz w:val="16"/>
          <w:szCs w:val="16"/>
          <w:lang w:val="es-CR"/>
        </w:rPr>
        <w:t>f</w:t>
      </w:r>
      <w:r w:rsidRPr="00CC58FD">
        <w:rPr>
          <w:rFonts w:eastAsia="Verdana" w:cs="Verdana"/>
          <w:i/>
          <w:spacing w:val="1"/>
          <w:sz w:val="16"/>
          <w:szCs w:val="16"/>
          <w:lang w:val="es-CR"/>
        </w:rPr>
        <w:t>r</w:t>
      </w:r>
      <w:r w:rsidRPr="00CC58FD">
        <w:rPr>
          <w:rFonts w:eastAsia="Verdana" w:cs="Verdana"/>
          <w:i/>
          <w:sz w:val="16"/>
          <w:szCs w:val="16"/>
          <w:lang w:val="es-CR"/>
        </w:rPr>
        <w:t>.</w:t>
      </w:r>
      <w:r w:rsidRPr="00CC58FD">
        <w:rPr>
          <w:rFonts w:eastAsia="Verdana" w:cs="Verdana"/>
          <w:i/>
          <w:spacing w:val="12"/>
          <w:sz w:val="16"/>
          <w:szCs w:val="16"/>
          <w:lang w:val="es-CR"/>
        </w:rPr>
        <w:t xml:space="preserve"> </w:t>
      </w:r>
      <w:r w:rsidRPr="00CC58FD">
        <w:rPr>
          <w:rFonts w:eastAsia="Verdana" w:cs="Verdana"/>
          <w:i/>
          <w:spacing w:val="1"/>
          <w:sz w:val="16"/>
          <w:szCs w:val="16"/>
          <w:lang w:val="es-CR"/>
        </w:rPr>
        <w:t>A</w:t>
      </w:r>
      <w:r w:rsidRPr="00CC58FD">
        <w:rPr>
          <w:rFonts w:eastAsia="Verdana" w:cs="Verdana"/>
          <w:i/>
          <w:sz w:val="16"/>
          <w:szCs w:val="16"/>
          <w:lang w:val="es-CR"/>
        </w:rPr>
        <w:t>s</w:t>
      </w:r>
      <w:r w:rsidRPr="00CC58FD">
        <w:rPr>
          <w:rFonts w:eastAsia="Verdana" w:cs="Verdana"/>
          <w:i/>
          <w:spacing w:val="-1"/>
          <w:sz w:val="16"/>
          <w:szCs w:val="16"/>
          <w:lang w:val="es-CR"/>
        </w:rPr>
        <w:t>unt</w:t>
      </w:r>
      <w:r w:rsidRPr="00CC58FD">
        <w:rPr>
          <w:rFonts w:eastAsia="Verdana" w:cs="Verdana"/>
          <w:i/>
          <w:sz w:val="16"/>
          <w:szCs w:val="16"/>
          <w:lang w:val="es-CR"/>
        </w:rPr>
        <w:t>o</w:t>
      </w:r>
      <w:r w:rsidRPr="00CC58FD">
        <w:rPr>
          <w:rFonts w:eastAsia="Verdana" w:cs="Verdana"/>
          <w:i/>
          <w:spacing w:val="14"/>
          <w:sz w:val="16"/>
          <w:szCs w:val="16"/>
          <w:lang w:val="es-CR"/>
        </w:rPr>
        <w:t xml:space="preserve"> </w:t>
      </w:r>
      <w:r w:rsidRPr="00CC58FD">
        <w:rPr>
          <w:rFonts w:eastAsia="Verdana" w:cs="Verdana"/>
          <w:i/>
          <w:spacing w:val="1"/>
          <w:sz w:val="16"/>
          <w:szCs w:val="16"/>
          <w:lang w:val="es-CR"/>
        </w:rPr>
        <w:t>d</w:t>
      </w:r>
      <w:r w:rsidRPr="00CC58FD">
        <w:rPr>
          <w:rFonts w:eastAsia="Verdana" w:cs="Verdana"/>
          <w:i/>
          <w:sz w:val="16"/>
          <w:szCs w:val="16"/>
          <w:lang w:val="es-CR"/>
        </w:rPr>
        <w:t>el</w:t>
      </w:r>
      <w:r w:rsidRPr="00CC58FD">
        <w:rPr>
          <w:rFonts w:eastAsia="Verdana" w:cs="Verdana"/>
          <w:i/>
          <w:spacing w:val="13"/>
          <w:sz w:val="16"/>
          <w:szCs w:val="16"/>
          <w:lang w:val="es-CR"/>
        </w:rPr>
        <w:t xml:space="preserve"> </w:t>
      </w:r>
      <w:r w:rsidRPr="00CC58FD">
        <w:rPr>
          <w:rFonts w:eastAsia="Verdana" w:cs="Verdana"/>
          <w:i/>
          <w:sz w:val="16"/>
          <w:szCs w:val="16"/>
          <w:lang w:val="es-CR"/>
        </w:rPr>
        <w:t>Ce</w:t>
      </w:r>
      <w:r w:rsidRPr="00CC58FD">
        <w:rPr>
          <w:rFonts w:eastAsia="Verdana" w:cs="Verdana"/>
          <w:i/>
          <w:spacing w:val="-1"/>
          <w:sz w:val="16"/>
          <w:szCs w:val="16"/>
          <w:lang w:val="es-CR"/>
        </w:rPr>
        <w:t>nt</w:t>
      </w:r>
      <w:r w:rsidRPr="00CC58FD">
        <w:rPr>
          <w:rFonts w:eastAsia="Verdana" w:cs="Verdana"/>
          <w:i/>
          <w:spacing w:val="1"/>
          <w:sz w:val="16"/>
          <w:szCs w:val="16"/>
          <w:lang w:val="es-CR"/>
        </w:rPr>
        <w:t>r</w:t>
      </w:r>
      <w:r w:rsidRPr="00CC58FD">
        <w:rPr>
          <w:rFonts w:eastAsia="Verdana" w:cs="Verdana"/>
          <w:i/>
          <w:sz w:val="16"/>
          <w:szCs w:val="16"/>
          <w:lang w:val="es-CR"/>
        </w:rPr>
        <w:t>o</w:t>
      </w:r>
      <w:r w:rsidRPr="00CC58FD">
        <w:rPr>
          <w:rFonts w:eastAsia="Verdana" w:cs="Verdana"/>
          <w:i/>
          <w:spacing w:val="14"/>
          <w:sz w:val="16"/>
          <w:szCs w:val="16"/>
          <w:lang w:val="es-CR"/>
        </w:rPr>
        <w:t xml:space="preserve"> </w:t>
      </w:r>
      <w:r w:rsidRPr="00CC58FD">
        <w:rPr>
          <w:rFonts w:eastAsia="Verdana" w:cs="Verdana"/>
          <w:i/>
          <w:spacing w:val="-1"/>
          <w:sz w:val="16"/>
          <w:szCs w:val="16"/>
          <w:lang w:val="es-CR"/>
        </w:rPr>
        <w:t>P</w:t>
      </w:r>
      <w:r w:rsidRPr="00CC58FD">
        <w:rPr>
          <w:rFonts w:eastAsia="Verdana" w:cs="Verdana"/>
          <w:i/>
          <w:sz w:val="16"/>
          <w:szCs w:val="16"/>
          <w:lang w:val="es-CR"/>
        </w:rPr>
        <w:t>e</w:t>
      </w:r>
      <w:r w:rsidRPr="00CC58FD">
        <w:rPr>
          <w:rFonts w:eastAsia="Verdana" w:cs="Verdana"/>
          <w:i/>
          <w:spacing w:val="-1"/>
          <w:sz w:val="16"/>
          <w:szCs w:val="16"/>
          <w:lang w:val="es-CR"/>
        </w:rPr>
        <w:t>nit</w:t>
      </w:r>
      <w:r w:rsidRPr="00CC58FD">
        <w:rPr>
          <w:rFonts w:eastAsia="Verdana" w:cs="Verdana"/>
          <w:i/>
          <w:sz w:val="16"/>
          <w:szCs w:val="16"/>
          <w:lang w:val="es-CR"/>
        </w:rPr>
        <w:t>e</w:t>
      </w:r>
      <w:r w:rsidRPr="00CC58FD">
        <w:rPr>
          <w:rFonts w:eastAsia="Verdana" w:cs="Verdana"/>
          <w:i/>
          <w:spacing w:val="-1"/>
          <w:sz w:val="16"/>
          <w:szCs w:val="16"/>
          <w:lang w:val="es-CR"/>
        </w:rPr>
        <w:t>n</w:t>
      </w:r>
      <w:r w:rsidRPr="00CC58FD">
        <w:rPr>
          <w:rFonts w:eastAsia="Verdana" w:cs="Verdana"/>
          <w:i/>
          <w:sz w:val="16"/>
          <w:szCs w:val="16"/>
          <w:lang w:val="es-CR"/>
        </w:rPr>
        <w:t>c</w:t>
      </w:r>
      <w:r w:rsidRPr="00CC58FD">
        <w:rPr>
          <w:rFonts w:eastAsia="Verdana" w:cs="Verdana"/>
          <w:i/>
          <w:spacing w:val="-1"/>
          <w:sz w:val="16"/>
          <w:szCs w:val="16"/>
          <w:lang w:val="es-CR"/>
        </w:rPr>
        <w:t>ia</w:t>
      </w:r>
      <w:r w:rsidRPr="00CC58FD">
        <w:rPr>
          <w:rFonts w:eastAsia="Verdana" w:cs="Verdana"/>
          <w:i/>
          <w:spacing w:val="1"/>
          <w:sz w:val="16"/>
          <w:szCs w:val="16"/>
          <w:lang w:val="es-CR"/>
        </w:rPr>
        <w:t>r</w:t>
      </w:r>
      <w:r w:rsidRPr="00CC58FD">
        <w:rPr>
          <w:rFonts w:eastAsia="Verdana" w:cs="Verdana"/>
          <w:i/>
          <w:spacing w:val="-1"/>
          <w:sz w:val="16"/>
          <w:szCs w:val="16"/>
          <w:lang w:val="es-CR"/>
        </w:rPr>
        <w:t>i</w:t>
      </w:r>
      <w:r w:rsidRPr="00CC58FD">
        <w:rPr>
          <w:rFonts w:eastAsia="Verdana" w:cs="Verdana"/>
          <w:i/>
          <w:sz w:val="16"/>
          <w:szCs w:val="16"/>
          <w:lang w:val="es-CR"/>
        </w:rPr>
        <w:t>o</w:t>
      </w:r>
      <w:r w:rsidRPr="00CC58FD">
        <w:rPr>
          <w:rFonts w:eastAsia="Verdana" w:cs="Verdana"/>
          <w:i/>
          <w:spacing w:val="14"/>
          <w:sz w:val="16"/>
          <w:szCs w:val="16"/>
          <w:lang w:val="es-CR"/>
        </w:rPr>
        <w:t xml:space="preserve"> </w:t>
      </w:r>
      <w:r w:rsidRPr="00CC58FD">
        <w:rPr>
          <w:rFonts w:eastAsia="Verdana" w:cs="Verdana"/>
          <w:i/>
          <w:spacing w:val="1"/>
          <w:sz w:val="16"/>
          <w:szCs w:val="16"/>
          <w:lang w:val="es-CR"/>
        </w:rPr>
        <w:t>d</w:t>
      </w:r>
      <w:r w:rsidRPr="00CC58FD">
        <w:rPr>
          <w:rFonts w:eastAsia="Verdana" w:cs="Verdana"/>
          <w:i/>
          <w:sz w:val="16"/>
          <w:szCs w:val="16"/>
          <w:lang w:val="es-CR"/>
        </w:rPr>
        <w:t>e</w:t>
      </w:r>
      <w:r w:rsidRPr="00CC58FD">
        <w:rPr>
          <w:rFonts w:eastAsia="Verdana" w:cs="Verdana"/>
          <w:i/>
          <w:spacing w:val="13"/>
          <w:sz w:val="16"/>
          <w:szCs w:val="16"/>
          <w:lang w:val="es-CR"/>
        </w:rPr>
        <w:t xml:space="preserve"> </w:t>
      </w:r>
      <w:r w:rsidRPr="00CC58FD">
        <w:rPr>
          <w:rFonts w:eastAsia="Verdana" w:cs="Verdana"/>
          <w:i/>
          <w:spacing w:val="-1"/>
          <w:sz w:val="16"/>
          <w:szCs w:val="16"/>
          <w:lang w:val="es-CR"/>
        </w:rPr>
        <w:t>l</w:t>
      </w:r>
      <w:r w:rsidRPr="00CC58FD">
        <w:rPr>
          <w:rFonts w:eastAsia="Verdana" w:cs="Verdana"/>
          <w:i/>
          <w:sz w:val="16"/>
          <w:szCs w:val="16"/>
          <w:lang w:val="es-CR"/>
        </w:rPr>
        <w:t>a</w:t>
      </w:r>
      <w:r w:rsidRPr="00CC58FD">
        <w:rPr>
          <w:rFonts w:eastAsia="Verdana" w:cs="Verdana"/>
          <w:i/>
          <w:spacing w:val="13"/>
          <w:sz w:val="16"/>
          <w:szCs w:val="16"/>
          <w:lang w:val="es-CR"/>
        </w:rPr>
        <w:t xml:space="preserve"> </w:t>
      </w:r>
      <w:r w:rsidRPr="00CC58FD">
        <w:rPr>
          <w:rFonts w:eastAsia="Verdana" w:cs="Verdana"/>
          <w:i/>
          <w:spacing w:val="1"/>
          <w:sz w:val="16"/>
          <w:szCs w:val="16"/>
          <w:lang w:val="es-CR"/>
        </w:rPr>
        <w:t>R</w:t>
      </w:r>
      <w:r w:rsidRPr="00CC58FD">
        <w:rPr>
          <w:rFonts w:eastAsia="Verdana" w:cs="Verdana"/>
          <w:i/>
          <w:sz w:val="16"/>
          <w:szCs w:val="16"/>
          <w:lang w:val="es-CR"/>
        </w:rPr>
        <w:t>e</w:t>
      </w:r>
      <w:r w:rsidRPr="00CC58FD">
        <w:rPr>
          <w:rFonts w:eastAsia="Verdana" w:cs="Verdana"/>
          <w:i/>
          <w:spacing w:val="1"/>
          <w:sz w:val="16"/>
          <w:szCs w:val="16"/>
          <w:lang w:val="es-CR"/>
        </w:rPr>
        <w:t>g</w:t>
      </w:r>
      <w:r w:rsidRPr="00CC58FD">
        <w:rPr>
          <w:rFonts w:eastAsia="Verdana" w:cs="Verdana"/>
          <w:i/>
          <w:spacing w:val="-1"/>
          <w:sz w:val="16"/>
          <w:szCs w:val="16"/>
          <w:lang w:val="es-CR"/>
        </w:rPr>
        <w:t>i</w:t>
      </w:r>
      <w:r w:rsidRPr="00CC58FD">
        <w:rPr>
          <w:rFonts w:eastAsia="Verdana" w:cs="Verdana"/>
          <w:i/>
          <w:spacing w:val="1"/>
          <w:sz w:val="16"/>
          <w:szCs w:val="16"/>
          <w:lang w:val="es-CR"/>
        </w:rPr>
        <w:t>ó</w:t>
      </w:r>
      <w:r w:rsidRPr="00CC58FD">
        <w:rPr>
          <w:rFonts w:eastAsia="Verdana" w:cs="Verdana"/>
          <w:i/>
          <w:sz w:val="16"/>
          <w:szCs w:val="16"/>
          <w:lang w:val="es-CR"/>
        </w:rPr>
        <w:t>n</w:t>
      </w:r>
      <w:r w:rsidRPr="00CC58FD">
        <w:rPr>
          <w:rFonts w:eastAsia="Verdana" w:cs="Verdana"/>
          <w:i/>
          <w:spacing w:val="12"/>
          <w:sz w:val="16"/>
          <w:szCs w:val="16"/>
          <w:lang w:val="es-CR"/>
        </w:rPr>
        <w:t xml:space="preserve"> </w:t>
      </w:r>
      <w:r w:rsidRPr="00CC58FD">
        <w:rPr>
          <w:rFonts w:eastAsia="Verdana" w:cs="Verdana"/>
          <w:i/>
          <w:sz w:val="16"/>
          <w:szCs w:val="16"/>
          <w:lang w:val="es-CR"/>
        </w:rPr>
        <w:t>Ce</w:t>
      </w:r>
      <w:r w:rsidRPr="00CC58FD">
        <w:rPr>
          <w:rFonts w:eastAsia="Verdana" w:cs="Verdana"/>
          <w:i/>
          <w:spacing w:val="-1"/>
          <w:sz w:val="16"/>
          <w:szCs w:val="16"/>
          <w:lang w:val="es-CR"/>
        </w:rPr>
        <w:t>ntr</w:t>
      </w:r>
      <w:r w:rsidRPr="00CC58FD">
        <w:rPr>
          <w:rFonts w:eastAsia="Verdana" w:cs="Verdana"/>
          <w:i/>
          <w:sz w:val="16"/>
          <w:szCs w:val="16"/>
          <w:lang w:val="es-CR"/>
        </w:rPr>
        <w:t>o</w:t>
      </w:r>
      <w:r w:rsidRPr="00CC58FD">
        <w:rPr>
          <w:rFonts w:eastAsia="Verdana" w:cs="Verdana"/>
          <w:i/>
          <w:spacing w:val="14"/>
          <w:sz w:val="16"/>
          <w:szCs w:val="16"/>
          <w:lang w:val="es-CR"/>
        </w:rPr>
        <w:t xml:space="preserve"> </w:t>
      </w:r>
      <w:r w:rsidRPr="00CC58FD">
        <w:rPr>
          <w:rFonts w:eastAsia="Verdana" w:cs="Verdana"/>
          <w:i/>
          <w:spacing w:val="-2"/>
          <w:sz w:val="16"/>
          <w:szCs w:val="16"/>
          <w:lang w:val="es-CR"/>
        </w:rPr>
        <w:t>O</w:t>
      </w:r>
      <w:r w:rsidRPr="00CC58FD">
        <w:rPr>
          <w:rFonts w:eastAsia="Verdana" w:cs="Verdana"/>
          <w:i/>
          <w:sz w:val="16"/>
          <w:szCs w:val="16"/>
          <w:lang w:val="es-CR"/>
        </w:rPr>
        <w:t>cci</w:t>
      </w:r>
      <w:r w:rsidRPr="00CC58FD">
        <w:rPr>
          <w:rFonts w:eastAsia="Verdana" w:cs="Verdana"/>
          <w:i/>
          <w:spacing w:val="-1"/>
          <w:sz w:val="16"/>
          <w:szCs w:val="16"/>
          <w:lang w:val="es-CR"/>
        </w:rPr>
        <w:t>d</w:t>
      </w:r>
      <w:r w:rsidRPr="00CC58FD">
        <w:rPr>
          <w:rFonts w:eastAsia="Verdana" w:cs="Verdana"/>
          <w:i/>
          <w:spacing w:val="1"/>
          <w:sz w:val="16"/>
          <w:szCs w:val="16"/>
          <w:lang w:val="es-CR"/>
        </w:rPr>
        <w:t>e</w:t>
      </w:r>
      <w:r w:rsidRPr="00CC58FD">
        <w:rPr>
          <w:rFonts w:eastAsia="Verdana" w:cs="Verdana"/>
          <w:i/>
          <w:sz w:val="16"/>
          <w:szCs w:val="16"/>
          <w:lang w:val="es-CR"/>
        </w:rPr>
        <w:t>n</w:t>
      </w:r>
      <w:r w:rsidRPr="00CC58FD">
        <w:rPr>
          <w:rFonts w:eastAsia="Verdana" w:cs="Verdana"/>
          <w:i/>
          <w:spacing w:val="-1"/>
          <w:sz w:val="16"/>
          <w:szCs w:val="16"/>
          <w:lang w:val="es-CR"/>
        </w:rPr>
        <w:t>tal</w:t>
      </w:r>
      <w:r w:rsidRPr="00CC58FD">
        <w:rPr>
          <w:rFonts w:eastAsia="Verdana" w:cs="Verdana"/>
          <w:i/>
          <w:spacing w:val="13"/>
          <w:sz w:val="16"/>
          <w:szCs w:val="16"/>
          <w:lang w:val="es-CR"/>
        </w:rPr>
        <w:t xml:space="preserve"> </w:t>
      </w:r>
      <w:r w:rsidRPr="00CC58FD">
        <w:rPr>
          <w:rFonts w:eastAsia="Verdana" w:cs="Verdana"/>
          <w:i/>
          <w:spacing w:val="-1"/>
          <w:sz w:val="16"/>
          <w:szCs w:val="16"/>
          <w:lang w:val="es-CR"/>
        </w:rPr>
        <w:t>(</w:t>
      </w:r>
      <w:r w:rsidRPr="00CC58FD">
        <w:rPr>
          <w:rFonts w:eastAsia="Verdana" w:cs="Verdana"/>
          <w:i/>
          <w:sz w:val="16"/>
          <w:szCs w:val="16"/>
          <w:lang w:val="es-CR"/>
        </w:rPr>
        <w:t>C</w:t>
      </w:r>
      <w:r w:rsidRPr="00CC58FD">
        <w:rPr>
          <w:rFonts w:eastAsia="Verdana" w:cs="Verdana"/>
          <w:i/>
          <w:spacing w:val="-1"/>
          <w:sz w:val="16"/>
          <w:szCs w:val="16"/>
          <w:lang w:val="es-CR"/>
        </w:rPr>
        <w:t>á</w:t>
      </w:r>
      <w:r w:rsidRPr="00CC58FD">
        <w:rPr>
          <w:rFonts w:eastAsia="Verdana" w:cs="Verdana"/>
          <w:i/>
          <w:spacing w:val="1"/>
          <w:sz w:val="16"/>
          <w:szCs w:val="16"/>
          <w:lang w:val="es-CR"/>
        </w:rPr>
        <w:t>r</w:t>
      </w:r>
      <w:r w:rsidRPr="00CC58FD">
        <w:rPr>
          <w:rFonts w:eastAsia="Verdana" w:cs="Verdana"/>
          <w:i/>
          <w:sz w:val="16"/>
          <w:szCs w:val="16"/>
          <w:lang w:val="es-CR"/>
        </w:rPr>
        <w:t>cel</w:t>
      </w:r>
      <w:r w:rsidRPr="00CC58FD">
        <w:rPr>
          <w:rFonts w:eastAsia="Verdana" w:cs="Verdana"/>
          <w:i/>
          <w:spacing w:val="13"/>
          <w:sz w:val="16"/>
          <w:szCs w:val="16"/>
          <w:lang w:val="es-CR"/>
        </w:rPr>
        <w:t xml:space="preserve"> </w:t>
      </w:r>
      <w:r w:rsidRPr="00CC58FD">
        <w:rPr>
          <w:rFonts w:eastAsia="Verdana" w:cs="Verdana"/>
          <w:i/>
          <w:spacing w:val="1"/>
          <w:sz w:val="16"/>
          <w:szCs w:val="16"/>
          <w:lang w:val="es-CR"/>
        </w:rPr>
        <w:t>d</w:t>
      </w:r>
      <w:r w:rsidRPr="00CC58FD">
        <w:rPr>
          <w:rFonts w:eastAsia="Verdana" w:cs="Verdana"/>
          <w:i/>
          <w:sz w:val="16"/>
          <w:szCs w:val="16"/>
          <w:lang w:val="es-CR"/>
        </w:rPr>
        <w:t>e</w:t>
      </w:r>
      <w:r w:rsidRPr="00CC58FD">
        <w:rPr>
          <w:rFonts w:eastAsia="Verdana" w:cs="Verdana"/>
          <w:i/>
          <w:spacing w:val="13"/>
          <w:sz w:val="16"/>
          <w:szCs w:val="16"/>
          <w:lang w:val="es-CR"/>
        </w:rPr>
        <w:t xml:space="preserve"> </w:t>
      </w:r>
      <w:r w:rsidRPr="00CC58FD">
        <w:rPr>
          <w:rFonts w:eastAsia="Verdana" w:cs="Verdana"/>
          <w:i/>
          <w:sz w:val="16"/>
          <w:szCs w:val="16"/>
          <w:lang w:val="es-CR"/>
        </w:rPr>
        <w:t>U</w:t>
      </w:r>
      <w:r w:rsidRPr="00CC58FD">
        <w:rPr>
          <w:rFonts w:eastAsia="Verdana" w:cs="Verdana"/>
          <w:i/>
          <w:spacing w:val="1"/>
          <w:sz w:val="16"/>
          <w:szCs w:val="16"/>
          <w:lang w:val="es-CR"/>
        </w:rPr>
        <w:t>r</w:t>
      </w:r>
      <w:r w:rsidRPr="00CC58FD">
        <w:rPr>
          <w:rFonts w:eastAsia="Verdana" w:cs="Verdana"/>
          <w:i/>
          <w:spacing w:val="-3"/>
          <w:sz w:val="16"/>
          <w:szCs w:val="16"/>
          <w:lang w:val="es-CR"/>
        </w:rPr>
        <w:t>i</w:t>
      </w:r>
      <w:r w:rsidRPr="00CC58FD">
        <w:rPr>
          <w:rFonts w:eastAsia="Verdana" w:cs="Verdana"/>
          <w:i/>
          <w:spacing w:val="1"/>
          <w:sz w:val="16"/>
          <w:szCs w:val="16"/>
          <w:lang w:val="es-CR"/>
        </w:rPr>
        <w:t>b</w:t>
      </w:r>
      <w:r w:rsidRPr="00CC58FD">
        <w:rPr>
          <w:rFonts w:eastAsia="Verdana" w:cs="Verdana"/>
          <w:i/>
          <w:spacing w:val="-1"/>
          <w:sz w:val="16"/>
          <w:szCs w:val="16"/>
          <w:lang w:val="es-CR"/>
        </w:rPr>
        <w:t>ana)</w:t>
      </w:r>
      <w:r w:rsidRPr="00CC58FD">
        <w:rPr>
          <w:rFonts w:eastAsia="Verdana" w:cs="Verdana"/>
          <w:sz w:val="16"/>
          <w:szCs w:val="16"/>
          <w:lang w:val="es-CR"/>
        </w:rPr>
        <w:t>.</w:t>
      </w:r>
      <w:r w:rsidRPr="00CC58FD">
        <w:rPr>
          <w:rFonts w:eastAsia="Verdana" w:cs="Verdana"/>
          <w:spacing w:val="12"/>
          <w:sz w:val="16"/>
          <w:szCs w:val="16"/>
          <w:lang w:val="es-CR"/>
        </w:rPr>
        <w:t xml:space="preserve"> </w:t>
      </w:r>
      <w:r w:rsidRPr="00CC58FD">
        <w:rPr>
          <w:rFonts w:eastAsia="Verdana" w:cs="Verdana"/>
          <w:sz w:val="16"/>
          <w:szCs w:val="16"/>
          <w:lang w:val="es-CR"/>
        </w:rPr>
        <w:t>S</w:t>
      </w:r>
      <w:r w:rsidRPr="00CC58FD">
        <w:rPr>
          <w:rFonts w:eastAsia="Verdana" w:cs="Verdana"/>
          <w:spacing w:val="1"/>
          <w:sz w:val="16"/>
          <w:szCs w:val="16"/>
          <w:lang w:val="es-CR"/>
        </w:rPr>
        <w:t>o</w:t>
      </w:r>
      <w:r w:rsidRPr="00CC58FD">
        <w:rPr>
          <w:rFonts w:eastAsia="Verdana" w:cs="Verdana"/>
          <w:spacing w:val="-1"/>
          <w:sz w:val="16"/>
          <w:szCs w:val="16"/>
          <w:lang w:val="es-CR"/>
        </w:rPr>
        <w:t>li</w:t>
      </w:r>
      <w:r w:rsidRPr="00CC58FD">
        <w:rPr>
          <w:rFonts w:eastAsia="Verdana" w:cs="Verdana"/>
          <w:sz w:val="16"/>
          <w:szCs w:val="16"/>
          <w:lang w:val="es-CR"/>
        </w:rPr>
        <w:t>c</w:t>
      </w:r>
      <w:r w:rsidRPr="00CC58FD">
        <w:rPr>
          <w:rFonts w:eastAsia="Verdana" w:cs="Verdana"/>
          <w:spacing w:val="-1"/>
          <w:sz w:val="16"/>
          <w:szCs w:val="16"/>
          <w:lang w:val="es-CR"/>
        </w:rPr>
        <w:t xml:space="preserve">itud </w:t>
      </w:r>
      <w:r w:rsidRPr="00CC58FD">
        <w:rPr>
          <w:rFonts w:eastAsia="Verdana" w:cs="Verdana"/>
          <w:spacing w:val="1"/>
          <w:sz w:val="16"/>
          <w:szCs w:val="16"/>
          <w:lang w:val="es-CR"/>
        </w:rPr>
        <w:t>d</w:t>
      </w:r>
      <w:r w:rsidRPr="00CC58FD">
        <w:rPr>
          <w:rFonts w:eastAsia="Verdana" w:cs="Verdana"/>
          <w:sz w:val="16"/>
          <w:szCs w:val="16"/>
          <w:lang w:val="es-CR"/>
        </w:rPr>
        <w:t>e</w:t>
      </w:r>
      <w:r w:rsidRPr="00CC58FD">
        <w:rPr>
          <w:rFonts w:eastAsia="Verdana" w:cs="Verdana"/>
          <w:spacing w:val="4"/>
          <w:sz w:val="16"/>
          <w:szCs w:val="16"/>
          <w:lang w:val="es-CR"/>
        </w:rPr>
        <w:t xml:space="preserve"> </w:t>
      </w:r>
      <w:r w:rsidRPr="00CC58FD">
        <w:rPr>
          <w:rFonts w:eastAsia="Verdana" w:cs="Verdana"/>
          <w:spacing w:val="-1"/>
          <w:sz w:val="16"/>
          <w:szCs w:val="16"/>
          <w:lang w:val="es-CR"/>
        </w:rPr>
        <w:t>M</w:t>
      </w:r>
      <w:r w:rsidRPr="00CC58FD">
        <w:rPr>
          <w:rFonts w:eastAsia="Verdana" w:cs="Verdana"/>
          <w:sz w:val="16"/>
          <w:szCs w:val="16"/>
          <w:lang w:val="es-CR"/>
        </w:rPr>
        <w:t>e</w:t>
      </w:r>
      <w:r w:rsidRPr="00CC58FD">
        <w:rPr>
          <w:rFonts w:eastAsia="Verdana" w:cs="Verdana"/>
          <w:spacing w:val="1"/>
          <w:sz w:val="16"/>
          <w:szCs w:val="16"/>
          <w:lang w:val="es-CR"/>
        </w:rPr>
        <w:t>d</w:t>
      </w:r>
      <w:r w:rsidRPr="00CC58FD">
        <w:rPr>
          <w:rFonts w:eastAsia="Verdana" w:cs="Verdana"/>
          <w:spacing w:val="-1"/>
          <w:sz w:val="16"/>
          <w:szCs w:val="16"/>
          <w:lang w:val="es-CR"/>
        </w:rPr>
        <w:t>i</w:t>
      </w:r>
      <w:r w:rsidRPr="00CC58FD">
        <w:rPr>
          <w:rFonts w:eastAsia="Verdana" w:cs="Verdana"/>
          <w:spacing w:val="1"/>
          <w:sz w:val="16"/>
          <w:szCs w:val="16"/>
          <w:lang w:val="es-CR"/>
        </w:rPr>
        <w:t>d</w:t>
      </w:r>
      <w:r w:rsidRPr="00CC58FD">
        <w:rPr>
          <w:rFonts w:eastAsia="Verdana" w:cs="Verdana"/>
          <w:spacing w:val="-3"/>
          <w:sz w:val="16"/>
          <w:szCs w:val="16"/>
          <w:lang w:val="es-CR"/>
        </w:rPr>
        <w:t>a</w:t>
      </w:r>
      <w:r w:rsidRPr="00CC58FD">
        <w:rPr>
          <w:rFonts w:eastAsia="Verdana" w:cs="Verdana"/>
          <w:sz w:val="16"/>
          <w:szCs w:val="16"/>
          <w:lang w:val="es-CR"/>
        </w:rPr>
        <w:t>s</w:t>
      </w:r>
      <w:r w:rsidRPr="00CC58FD">
        <w:rPr>
          <w:rFonts w:eastAsia="Verdana" w:cs="Verdana"/>
          <w:spacing w:val="4"/>
          <w:sz w:val="16"/>
          <w:szCs w:val="16"/>
          <w:lang w:val="es-CR"/>
        </w:rPr>
        <w:t xml:space="preserve"> </w:t>
      </w:r>
      <w:r w:rsidRPr="00CC58FD">
        <w:rPr>
          <w:rFonts w:eastAsia="Verdana" w:cs="Verdana"/>
          <w:spacing w:val="-1"/>
          <w:sz w:val="16"/>
          <w:szCs w:val="16"/>
          <w:lang w:val="es-CR"/>
        </w:rPr>
        <w:t>P</w:t>
      </w:r>
      <w:r w:rsidRPr="00CC58FD">
        <w:rPr>
          <w:rFonts w:eastAsia="Verdana" w:cs="Verdana"/>
          <w:spacing w:val="1"/>
          <w:sz w:val="16"/>
          <w:szCs w:val="16"/>
          <w:lang w:val="es-CR"/>
        </w:rPr>
        <w:t>r</w:t>
      </w:r>
      <w:r w:rsidRPr="00CC58FD">
        <w:rPr>
          <w:rFonts w:eastAsia="Verdana" w:cs="Verdana"/>
          <w:spacing w:val="-2"/>
          <w:sz w:val="16"/>
          <w:szCs w:val="16"/>
          <w:lang w:val="es-CR"/>
        </w:rPr>
        <w:t>o</w:t>
      </w:r>
      <w:r w:rsidRPr="00CC58FD">
        <w:rPr>
          <w:rFonts w:eastAsia="Verdana" w:cs="Verdana"/>
          <w:spacing w:val="1"/>
          <w:sz w:val="16"/>
          <w:szCs w:val="16"/>
          <w:lang w:val="es-CR"/>
        </w:rPr>
        <w:t>v</w:t>
      </w:r>
      <w:r w:rsidRPr="00CC58FD">
        <w:rPr>
          <w:rFonts w:eastAsia="Verdana" w:cs="Verdana"/>
          <w:spacing w:val="-1"/>
          <w:sz w:val="16"/>
          <w:szCs w:val="16"/>
          <w:lang w:val="es-CR"/>
        </w:rPr>
        <w:t>i</w:t>
      </w:r>
      <w:r w:rsidRPr="00CC58FD">
        <w:rPr>
          <w:rFonts w:eastAsia="Verdana" w:cs="Verdana"/>
          <w:sz w:val="16"/>
          <w:szCs w:val="16"/>
          <w:lang w:val="es-CR"/>
        </w:rPr>
        <w:t>s</w:t>
      </w:r>
      <w:r w:rsidRPr="00CC58FD">
        <w:rPr>
          <w:rFonts w:eastAsia="Verdana" w:cs="Verdana"/>
          <w:spacing w:val="-1"/>
          <w:sz w:val="16"/>
          <w:szCs w:val="16"/>
          <w:lang w:val="es-CR"/>
        </w:rPr>
        <w:t>i</w:t>
      </w:r>
      <w:r w:rsidRPr="00CC58FD">
        <w:rPr>
          <w:rFonts w:eastAsia="Verdana" w:cs="Verdana"/>
          <w:spacing w:val="1"/>
          <w:sz w:val="16"/>
          <w:szCs w:val="16"/>
          <w:lang w:val="es-CR"/>
        </w:rPr>
        <w:t>o</w:t>
      </w:r>
      <w:r w:rsidRPr="00CC58FD">
        <w:rPr>
          <w:rFonts w:eastAsia="Verdana" w:cs="Verdana"/>
          <w:spacing w:val="-1"/>
          <w:sz w:val="16"/>
          <w:szCs w:val="16"/>
          <w:lang w:val="es-CR"/>
        </w:rPr>
        <w:t>nal</w:t>
      </w:r>
      <w:r w:rsidRPr="00CC58FD">
        <w:rPr>
          <w:rFonts w:eastAsia="Verdana" w:cs="Verdana"/>
          <w:sz w:val="16"/>
          <w:szCs w:val="16"/>
          <w:lang w:val="es-CR"/>
        </w:rPr>
        <w:t>es</w:t>
      </w:r>
      <w:r w:rsidRPr="00CC58FD">
        <w:rPr>
          <w:rFonts w:eastAsia="Verdana" w:cs="Verdana"/>
          <w:spacing w:val="4"/>
          <w:sz w:val="16"/>
          <w:szCs w:val="16"/>
          <w:lang w:val="es-CR"/>
        </w:rPr>
        <w:t xml:space="preserve"> </w:t>
      </w:r>
      <w:r w:rsidRPr="00CC58FD">
        <w:rPr>
          <w:rFonts w:eastAsia="Verdana" w:cs="Verdana"/>
          <w:spacing w:val="-2"/>
          <w:sz w:val="16"/>
          <w:szCs w:val="16"/>
          <w:lang w:val="es-CR"/>
        </w:rPr>
        <w:t>p</w:t>
      </w:r>
      <w:r w:rsidRPr="00CC58FD">
        <w:rPr>
          <w:rFonts w:eastAsia="Verdana" w:cs="Verdana"/>
          <w:spacing w:val="1"/>
          <w:sz w:val="16"/>
          <w:szCs w:val="16"/>
          <w:lang w:val="es-CR"/>
        </w:rPr>
        <w:t>r</w:t>
      </w:r>
      <w:r w:rsidRPr="00CC58FD">
        <w:rPr>
          <w:rFonts w:eastAsia="Verdana" w:cs="Verdana"/>
          <w:spacing w:val="-2"/>
          <w:sz w:val="16"/>
          <w:szCs w:val="16"/>
          <w:lang w:val="es-CR"/>
        </w:rPr>
        <w:t>e</w:t>
      </w:r>
      <w:r w:rsidRPr="00CC58FD">
        <w:rPr>
          <w:rFonts w:eastAsia="Verdana" w:cs="Verdana"/>
          <w:sz w:val="16"/>
          <w:szCs w:val="16"/>
          <w:lang w:val="es-CR"/>
        </w:rPr>
        <w:t>se</w:t>
      </w:r>
      <w:r w:rsidRPr="00CC58FD">
        <w:rPr>
          <w:rFonts w:eastAsia="Verdana" w:cs="Verdana"/>
          <w:spacing w:val="-1"/>
          <w:sz w:val="16"/>
          <w:szCs w:val="16"/>
          <w:lang w:val="es-CR"/>
        </w:rPr>
        <w:t>nta</w:t>
      </w:r>
      <w:r w:rsidRPr="00CC58FD">
        <w:rPr>
          <w:rFonts w:eastAsia="Verdana" w:cs="Verdana"/>
          <w:spacing w:val="1"/>
          <w:sz w:val="16"/>
          <w:szCs w:val="16"/>
          <w:lang w:val="es-CR"/>
        </w:rPr>
        <w:t>d</w:t>
      </w:r>
      <w:r w:rsidRPr="00CC58FD">
        <w:rPr>
          <w:rFonts w:eastAsia="Verdana" w:cs="Verdana"/>
          <w:sz w:val="16"/>
          <w:szCs w:val="16"/>
          <w:lang w:val="es-CR"/>
        </w:rPr>
        <w:t>a</w:t>
      </w:r>
      <w:r w:rsidRPr="00CC58FD">
        <w:rPr>
          <w:rFonts w:eastAsia="Verdana" w:cs="Verdana"/>
          <w:spacing w:val="3"/>
          <w:sz w:val="16"/>
          <w:szCs w:val="16"/>
          <w:lang w:val="es-CR"/>
        </w:rPr>
        <w:t xml:space="preserve"> </w:t>
      </w:r>
      <w:r w:rsidRPr="00CC58FD">
        <w:rPr>
          <w:rFonts w:eastAsia="Verdana" w:cs="Verdana"/>
          <w:spacing w:val="1"/>
          <w:sz w:val="16"/>
          <w:szCs w:val="16"/>
          <w:lang w:val="es-CR"/>
        </w:rPr>
        <w:t>p</w:t>
      </w:r>
      <w:r w:rsidRPr="00CC58FD">
        <w:rPr>
          <w:rFonts w:eastAsia="Verdana" w:cs="Verdana"/>
          <w:spacing w:val="-2"/>
          <w:sz w:val="16"/>
          <w:szCs w:val="16"/>
          <w:lang w:val="es-CR"/>
        </w:rPr>
        <w:t>o</w:t>
      </w:r>
      <w:r w:rsidRPr="00CC58FD">
        <w:rPr>
          <w:rFonts w:eastAsia="Verdana" w:cs="Verdana"/>
          <w:sz w:val="16"/>
          <w:szCs w:val="16"/>
          <w:lang w:val="es-CR"/>
        </w:rPr>
        <w:t>r</w:t>
      </w:r>
      <w:r w:rsidRPr="00CC58FD">
        <w:rPr>
          <w:rFonts w:eastAsia="Verdana" w:cs="Verdana"/>
          <w:spacing w:val="4"/>
          <w:sz w:val="16"/>
          <w:szCs w:val="16"/>
          <w:lang w:val="es-CR"/>
        </w:rPr>
        <w:t xml:space="preserve"> </w:t>
      </w:r>
      <w:r w:rsidRPr="00CC58FD">
        <w:rPr>
          <w:rFonts w:eastAsia="Verdana" w:cs="Verdana"/>
          <w:spacing w:val="-1"/>
          <w:sz w:val="16"/>
          <w:szCs w:val="16"/>
          <w:lang w:val="es-CR"/>
        </w:rPr>
        <w:t>l</w:t>
      </w:r>
      <w:r w:rsidRPr="00CC58FD">
        <w:rPr>
          <w:rFonts w:eastAsia="Verdana" w:cs="Verdana"/>
          <w:sz w:val="16"/>
          <w:szCs w:val="16"/>
          <w:lang w:val="es-CR"/>
        </w:rPr>
        <w:t>a</w:t>
      </w:r>
      <w:r w:rsidRPr="00CC58FD">
        <w:rPr>
          <w:rFonts w:eastAsia="Verdana" w:cs="Verdana"/>
          <w:spacing w:val="3"/>
          <w:sz w:val="16"/>
          <w:szCs w:val="16"/>
          <w:lang w:val="es-CR"/>
        </w:rPr>
        <w:t xml:space="preserve"> </w:t>
      </w:r>
      <w:r w:rsidRPr="00CC58FD">
        <w:rPr>
          <w:rFonts w:eastAsia="Verdana" w:cs="Verdana"/>
          <w:sz w:val="16"/>
          <w:szCs w:val="16"/>
          <w:lang w:val="es-CR"/>
        </w:rPr>
        <w:t>C</w:t>
      </w:r>
      <w:r w:rsidRPr="00CC58FD">
        <w:rPr>
          <w:rFonts w:eastAsia="Verdana" w:cs="Verdana"/>
          <w:spacing w:val="1"/>
          <w:sz w:val="16"/>
          <w:szCs w:val="16"/>
          <w:lang w:val="es-CR"/>
        </w:rPr>
        <w:t>o</w:t>
      </w:r>
      <w:r w:rsidRPr="00CC58FD">
        <w:rPr>
          <w:rFonts w:eastAsia="Verdana" w:cs="Verdana"/>
          <w:sz w:val="16"/>
          <w:szCs w:val="16"/>
          <w:lang w:val="es-CR"/>
        </w:rPr>
        <w:t>m</w:t>
      </w:r>
      <w:r w:rsidRPr="00CC58FD">
        <w:rPr>
          <w:rFonts w:eastAsia="Verdana" w:cs="Verdana"/>
          <w:spacing w:val="-1"/>
          <w:sz w:val="16"/>
          <w:szCs w:val="16"/>
          <w:lang w:val="es-CR"/>
        </w:rPr>
        <w:t>i</w:t>
      </w:r>
      <w:r w:rsidRPr="00CC58FD">
        <w:rPr>
          <w:rFonts w:eastAsia="Verdana" w:cs="Verdana"/>
          <w:sz w:val="16"/>
          <w:szCs w:val="16"/>
          <w:lang w:val="es-CR"/>
        </w:rPr>
        <w:t>s</w:t>
      </w:r>
      <w:r w:rsidRPr="00CC58FD">
        <w:rPr>
          <w:rFonts w:eastAsia="Verdana" w:cs="Verdana"/>
          <w:spacing w:val="-1"/>
          <w:sz w:val="16"/>
          <w:szCs w:val="16"/>
          <w:lang w:val="es-CR"/>
        </w:rPr>
        <w:t>i</w:t>
      </w:r>
      <w:r w:rsidRPr="00CC58FD">
        <w:rPr>
          <w:rFonts w:eastAsia="Verdana" w:cs="Verdana"/>
          <w:spacing w:val="1"/>
          <w:sz w:val="16"/>
          <w:szCs w:val="16"/>
          <w:lang w:val="es-CR"/>
        </w:rPr>
        <w:t>ó</w:t>
      </w:r>
      <w:r w:rsidRPr="00CC58FD">
        <w:rPr>
          <w:rFonts w:eastAsia="Verdana" w:cs="Verdana"/>
          <w:sz w:val="16"/>
          <w:szCs w:val="16"/>
          <w:lang w:val="es-CR"/>
        </w:rPr>
        <w:t xml:space="preserve">n </w:t>
      </w:r>
      <w:r w:rsidRPr="00CC58FD">
        <w:rPr>
          <w:rFonts w:eastAsia="Verdana" w:cs="Verdana"/>
          <w:spacing w:val="2"/>
          <w:sz w:val="16"/>
          <w:szCs w:val="16"/>
          <w:lang w:val="es-CR"/>
        </w:rPr>
        <w:t>I</w:t>
      </w:r>
      <w:r w:rsidRPr="00CC58FD">
        <w:rPr>
          <w:rFonts w:eastAsia="Verdana" w:cs="Verdana"/>
          <w:spacing w:val="-1"/>
          <w:sz w:val="16"/>
          <w:szCs w:val="16"/>
          <w:lang w:val="es-CR"/>
        </w:rPr>
        <w:t>n</w:t>
      </w:r>
      <w:r w:rsidRPr="00CC58FD">
        <w:rPr>
          <w:rFonts w:eastAsia="Verdana" w:cs="Verdana"/>
          <w:spacing w:val="-3"/>
          <w:sz w:val="16"/>
          <w:szCs w:val="16"/>
          <w:lang w:val="es-CR"/>
        </w:rPr>
        <w:t>t</w:t>
      </w:r>
      <w:r w:rsidRPr="00CC58FD">
        <w:rPr>
          <w:rFonts w:eastAsia="Verdana" w:cs="Verdana"/>
          <w:sz w:val="16"/>
          <w:szCs w:val="16"/>
          <w:lang w:val="es-CR"/>
        </w:rPr>
        <w:t>e</w:t>
      </w:r>
      <w:r w:rsidRPr="00CC58FD">
        <w:rPr>
          <w:rFonts w:eastAsia="Verdana" w:cs="Verdana"/>
          <w:spacing w:val="1"/>
          <w:sz w:val="16"/>
          <w:szCs w:val="16"/>
          <w:lang w:val="es-CR"/>
        </w:rPr>
        <w:t>r</w:t>
      </w:r>
      <w:r w:rsidRPr="00CC58FD">
        <w:rPr>
          <w:rFonts w:eastAsia="Verdana" w:cs="Verdana"/>
          <w:spacing w:val="-1"/>
          <w:sz w:val="16"/>
          <w:szCs w:val="16"/>
          <w:lang w:val="es-CR"/>
        </w:rPr>
        <w:t>a</w:t>
      </w:r>
      <w:r w:rsidRPr="00CC58FD">
        <w:rPr>
          <w:rFonts w:eastAsia="Verdana" w:cs="Verdana"/>
          <w:sz w:val="16"/>
          <w:szCs w:val="16"/>
          <w:lang w:val="es-CR"/>
        </w:rPr>
        <w:t>m</w:t>
      </w:r>
      <w:r w:rsidRPr="00CC58FD">
        <w:rPr>
          <w:rFonts w:eastAsia="Verdana" w:cs="Verdana"/>
          <w:spacing w:val="-2"/>
          <w:sz w:val="16"/>
          <w:szCs w:val="16"/>
          <w:lang w:val="es-CR"/>
        </w:rPr>
        <w:t>e</w:t>
      </w:r>
      <w:r w:rsidRPr="00CC58FD">
        <w:rPr>
          <w:rFonts w:eastAsia="Verdana" w:cs="Verdana"/>
          <w:spacing w:val="1"/>
          <w:sz w:val="16"/>
          <w:szCs w:val="16"/>
          <w:lang w:val="es-CR"/>
        </w:rPr>
        <w:t>r</w:t>
      </w:r>
      <w:r w:rsidRPr="00CC58FD">
        <w:rPr>
          <w:rFonts w:eastAsia="Verdana" w:cs="Verdana"/>
          <w:spacing w:val="-1"/>
          <w:sz w:val="16"/>
          <w:szCs w:val="16"/>
          <w:lang w:val="es-CR"/>
        </w:rPr>
        <w:t>i</w:t>
      </w:r>
      <w:r w:rsidRPr="00CC58FD">
        <w:rPr>
          <w:rFonts w:eastAsia="Verdana" w:cs="Verdana"/>
          <w:sz w:val="16"/>
          <w:szCs w:val="16"/>
          <w:lang w:val="es-CR"/>
        </w:rPr>
        <w:t>c</w:t>
      </w:r>
      <w:r w:rsidRPr="00CC58FD">
        <w:rPr>
          <w:rFonts w:eastAsia="Verdana" w:cs="Verdana"/>
          <w:spacing w:val="-1"/>
          <w:sz w:val="16"/>
          <w:szCs w:val="16"/>
          <w:lang w:val="es-CR"/>
        </w:rPr>
        <w:t>an</w:t>
      </w:r>
      <w:r w:rsidRPr="00CC58FD">
        <w:rPr>
          <w:rFonts w:eastAsia="Verdana" w:cs="Verdana"/>
          <w:sz w:val="16"/>
          <w:szCs w:val="16"/>
          <w:lang w:val="es-CR"/>
        </w:rPr>
        <w:t>a</w:t>
      </w:r>
      <w:r w:rsidRPr="00CC58FD">
        <w:rPr>
          <w:rFonts w:eastAsia="Verdana" w:cs="Verdana"/>
          <w:spacing w:val="3"/>
          <w:sz w:val="16"/>
          <w:szCs w:val="16"/>
          <w:lang w:val="es-CR"/>
        </w:rPr>
        <w:t xml:space="preserve"> </w:t>
      </w:r>
      <w:r w:rsidRPr="00CC58FD">
        <w:rPr>
          <w:rFonts w:eastAsia="Verdana" w:cs="Verdana"/>
          <w:spacing w:val="1"/>
          <w:sz w:val="16"/>
          <w:szCs w:val="16"/>
          <w:lang w:val="es-CR"/>
        </w:rPr>
        <w:t>d</w:t>
      </w:r>
      <w:r w:rsidRPr="00CC58FD">
        <w:rPr>
          <w:rFonts w:eastAsia="Verdana" w:cs="Verdana"/>
          <w:sz w:val="16"/>
          <w:szCs w:val="16"/>
          <w:lang w:val="es-CR"/>
        </w:rPr>
        <w:t>e</w:t>
      </w:r>
      <w:r w:rsidRPr="00CC58FD">
        <w:rPr>
          <w:rFonts w:eastAsia="Verdana" w:cs="Verdana"/>
          <w:spacing w:val="4"/>
          <w:sz w:val="16"/>
          <w:szCs w:val="16"/>
          <w:lang w:val="es-CR"/>
        </w:rPr>
        <w:t xml:space="preserve"> </w:t>
      </w:r>
      <w:r w:rsidRPr="00CC58FD">
        <w:rPr>
          <w:rFonts w:eastAsia="Verdana" w:cs="Verdana"/>
          <w:spacing w:val="-2"/>
          <w:sz w:val="16"/>
          <w:szCs w:val="16"/>
          <w:lang w:val="es-CR"/>
        </w:rPr>
        <w:t>D</w:t>
      </w:r>
      <w:r w:rsidRPr="00CC58FD">
        <w:rPr>
          <w:rFonts w:eastAsia="Verdana" w:cs="Verdana"/>
          <w:sz w:val="16"/>
          <w:szCs w:val="16"/>
          <w:lang w:val="es-CR"/>
        </w:rPr>
        <w:t>e</w:t>
      </w:r>
      <w:r w:rsidRPr="00CC58FD">
        <w:rPr>
          <w:rFonts w:eastAsia="Verdana" w:cs="Verdana"/>
          <w:spacing w:val="-1"/>
          <w:sz w:val="16"/>
          <w:szCs w:val="16"/>
          <w:lang w:val="es-CR"/>
        </w:rPr>
        <w:t>r</w:t>
      </w:r>
      <w:r w:rsidRPr="00CC58FD">
        <w:rPr>
          <w:rFonts w:eastAsia="Verdana" w:cs="Verdana"/>
          <w:sz w:val="16"/>
          <w:szCs w:val="16"/>
          <w:lang w:val="es-CR"/>
        </w:rPr>
        <w:t>ec</w:t>
      </w:r>
      <w:r w:rsidRPr="00CC58FD">
        <w:rPr>
          <w:rFonts w:eastAsia="Verdana" w:cs="Verdana"/>
          <w:spacing w:val="-1"/>
          <w:sz w:val="16"/>
          <w:szCs w:val="16"/>
          <w:lang w:val="es-CR"/>
        </w:rPr>
        <w:t>h</w:t>
      </w:r>
      <w:r w:rsidRPr="00CC58FD">
        <w:rPr>
          <w:rFonts w:eastAsia="Verdana" w:cs="Verdana"/>
          <w:spacing w:val="1"/>
          <w:sz w:val="16"/>
          <w:szCs w:val="16"/>
          <w:lang w:val="es-CR"/>
        </w:rPr>
        <w:t>o</w:t>
      </w:r>
      <w:r w:rsidRPr="00CC58FD">
        <w:rPr>
          <w:rFonts w:eastAsia="Verdana" w:cs="Verdana"/>
          <w:sz w:val="16"/>
          <w:szCs w:val="16"/>
          <w:lang w:val="es-CR"/>
        </w:rPr>
        <w:t>s</w:t>
      </w:r>
      <w:r w:rsidRPr="00CC58FD">
        <w:rPr>
          <w:rFonts w:eastAsia="Verdana" w:cs="Verdana"/>
          <w:spacing w:val="4"/>
          <w:sz w:val="16"/>
          <w:szCs w:val="16"/>
          <w:lang w:val="es-CR"/>
        </w:rPr>
        <w:t xml:space="preserve"> </w:t>
      </w:r>
      <w:r w:rsidRPr="00CC58FD">
        <w:rPr>
          <w:rFonts w:eastAsia="Verdana" w:cs="Verdana"/>
          <w:spacing w:val="-1"/>
          <w:sz w:val="16"/>
          <w:szCs w:val="16"/>
          <w:lang w:val="es-CR"/>
        </w:rPr>
        <w:t>H</w:t>
      </w:r>
      <w:r w:rsidRPr="00CC58FD">
        <w:rPr>
          <w:rFonts w:eastAsia="Verdana" w:cs="Verdana"/>
          <w:spacing w:val="-3"/>
          <w:sz w:val="16"/>
          <w:szCs w:val="16"/>
          <w:lang w:val="es-CR"/>
        </w:rPr>
        <w:t>u</w:t>
      </w:r>
      <w:r w:rsidRPr="00CC58FD">
        <w:rPr>
          <w:rFonts w:eastAsia="Verdana" w:cs="Verdana"/>
          <w:sz w:val="16"/>
          <w:szCs w:val="16"/>
          <w:lang w:val="es-CR"/>
        </w:rPr>
        <w:t>m</w:t>
      </w:r>
      <w:r w:rsidRPr="00CC58FD">
        <w:rPr>
          <w:rFonts w:eastAsia="Verdana" w:cs="Verdana"/>
          <w:spacing w:val="-1"/>
          <w:sz w:val="16"/>
          <w:szCs w:val="16"/>
          <w:lang w:val="es-CR"/>
        </w:rPr>
        <w:t>an</w:t>
      </w:r>
      <w:r w:rsidRPr="00CC58FD">
        <w:rPr>
          <w:rFonts w:eastAsia="Verdana" w:cs="Verdana"/>
          <w:spacing w:val="1"/>
          <w:sz w:val="16"/>
          <w:szCs w:val="16"/>
          <w:lang w:val="es-CR"/>
        </w:rPr>
        <w:t>o</w:t>
      </w:r>
      <w:r w:rsidRPr="00CC58FD">
        <w:rPr>
          <w:rFonts w:eastAsia="Verdana" w:cs="Verdana"/>
          <w:sz w:val="16"/>
          <w:szCs w:val="16"/>
          <w:lang w:val="es-CR"/>
        </w:rPr>
        <w:t>s</w:t>
      </w:r>
      <w:r w:rsidRPr="00CC58FD">
        <w:rPr>
          <w:rFonts w:eastAsia="Verdana" w:cs="Verdana"/>
          <w:spacing w:val="4"/>
          <w:sz w:val="16"/>
          <w:szCs w:val="16"/>
          <w:lang w:val="es-CR"/>
        </w:rPr>
        <w:t xml:space="preserve"> </w:t>
      </w:r>
      <w:r w:rsidRPr="00CC58FD">
        <w:rPr>
          <w:rFonts w:eastAsia="Verdana" w:cs="Verdana"/>
          <w:spacing w:val="1"/>
          <w:sz w:val="16"/>
          <w:szCs w:val="16"/>
          <w:lang w:val="es-CR"/>
        </w:rPr>
        <w:t>r</w:t>
      </w:r>
      <w:r w:rsidRPr="00CC58FD">
        <w:rPr>
          <w:rFonts w:eastAsia="Verdana" w:cs="Verdana"/>
          <w:spacing w:val="-2"/>
          <w:sz w:val="16"/>
          <w:szCs w:val="16"/>
          <w:lang w:val="es-CR"/>
        </w:rPr>
        <w:t>e</w:t>
      </w:r>
      <w:r w:rsidRPr="00CC58FD">
        <w:rPr>
          <w:rFonts w:eastAsia="Verdana" w:cs="Verdana"/>
          <w:sz w:val="16"/>
          <w:szCs w:val="16"/>
          <w:lang w:val="es-CR"/>
        </w:rPr>
        <w:t>s</w:t>
      </w:r>
      <w:r w:rsidRPr="00CC58FD">
        <w:rPr>
          <w:rFonts w:eastAsia="Verdana" w:cs="Verdana"/>
          <w:spacing w:val="1"/>
          <w:sz w:val="16"/>
          <w:szCs w:val="16"/>
          <w:lang w:val="es-CR"/>
        </w:rPr>
        <w:t>p</w:t>
      </w:r>
      <w:r w:rsidRPr="00CC58FD">
        <w:rPr>
          <w:rFonts w:eastAsia="Verdana" w:cs="Verdana"/>
          <w:spacing w:val="-2"/>
          <w:sz w:val="16"/>
          <w:szCs w:val="16"/>
          <w:lang w:val="es-CR"/>
        </w:rPr>
        <w:t>e</w:t>
      </w:r>
      <w:r w:rsidRPr="00CC58FD">
        <w:rPr>
          <w:rFonts w:eastAsia="Verdana" w:cs="Verdana"/>
          <w:sz w:val="16"/>
          <w:szCs w:val="16"/>
          <w:lang w:val="es-CR"/>
        </w:rPr>
        <w:t>c</w:t>
      </w:r>
      <w:r w:rsidRPr="00CC58FD">
        <w:rPr>
          <w:rFonts w:eastAsia="Verdana" w:cs="Verdana"/>
          <w:spacing w:val="-1"/>
          <w:sz w:val="16"/>
          <w:szCs w:val="16"/>
          <w:lang w:val="es-CR"/>
        </w:rPr>
        <w:t>t</w:t>
      </w:r>
      <w:r w:rsidRPr="00CC58FD">
        <w:rPr>
          <w:rFonts w:eastAsia="Verdana" w:cs="Verdana"/>
          <w:sz w:val="16"/>
          <w:szCs w:val="16"/>
          <w:lang w:val="es-CR"/>
        </w:rPr>
        <w:t>o</w:t>
      </w:r>
      <w:r w:rsidRPr="00CC58FD">
        <w:rPr>
          <w:rFonts w:eastAsia="Verdana" w:cs="Verdana"/>
          <w:spacing w:val="4"/>
          <w:sz w:val="16"/>
          <w:szCs w:val="16"/>
          <w:lang w:val="es-CR"/>
        </w:rPr>
        <w:t xml:space="preserve"> </w:t>
      </w:r>
      <w:r w:rsidRPr="00CC58FD">
        <w:rPr>
          <w:rFonts w:eastAsia="Verdana" w:cs="Verdana"/>
          <w:spacing w:val="-2"/>
          <w:sz w:val="16"/>
          <w:szCs w:val="16"/>
          <w:lang w:val="es-CR"/>
        </w:rPr>
        <w:t>d</w:t>
      </w:r>
      <w:r w:rsidRPr="00CC58FD">
        <w:rPr>
          <w:rFonts w:eastAsia="Verdana" w:cs="Verdana"/>
          <w:sz w:val="16"/>
          <w:szCs w:val="16"/>
          <w:lang w:val="es-CR"/>
        </w:rPr>
        <w:t>e Ve</w:t>
      </w:r>
      <w:r w:rsidRPr="00CC58FD">
        <w:rPr>
          <w:rFonts w:eastAsia="Verdana" w:cs="Verdana"/>
          <w:spacing w:val="-1"/>
          <w:sz w:val="16"/>
          <w:szCs w:val="16"/>
          <w:lang w:val="es-CR"/>
        </w:rPr>
        <w:t>n</w:t>
      </w:r>
      <w:r w:rsidRPr="00CC58FD">
        <w:rPr>
          <w:rFonts w:eastAsia="Verdana" w:cs="Verdana"/>
          <w:sz w:val="16"/>
          <w:szCs w:val="16"/>
          <w:lang w:val="es-CR"/>
        </w:rPr>
        <w:t>ez</w:t>
      </w:r>
      <w:r w:rsidRPr="00CC58FD">
        <w:rPr>
          <w:rFonts w:eastAsia="Verdana" w:cs="Verdana"/>
          <w:spacing w:val="-1"/>
          <w:sz w:val="16"/>
          <w:szCs w:val="16"/>
          <w:lang w:val="es-CR"/>
        </w:rPr>
        <w:t>u</w:t>
      </w:r>
      <w:r w:rsidRPr="00CC58FD">
        <w:rPr>
          <w:rFonts w:eastAsia="Verdana" w:cs="Verdana"/>
          <w:sz w:val="16"/>
          <w:szCs w:val="16"/>
          <w:lang w:val="es-CR"/>
        </w:rPr>
        <w:t>e</w:t>
      </w:r>
      <w:r w:rsidRPr="00CC58FD">
        <w:rPr>
          <w:rFonts w:eastAsia="Verdana" w:cs="Verdana"/>
          <w:spacing w:val="-1"/>
          <w:sz w:val="16"/>
          <w:szCs w:val="16"/>
          <w:lang w:val="es-CR"/>
        </w:rPr>
        <w:t>la</w:t>
      </w:r>
      <w:r w:rsidRPr="00CC58FD">
        <w:rPr>
          <w:rFonts w:eastAsia="Verdana" w:cs="Verdana"/>
          <w:sz w:val="16"/>
          <w:szCs w:val="16"/>
          <w:lang w:val="es-CR"/>
        </w:rPr>
        <w:t>.</w:t>
      </w:r>
      <w:r w:rsidRPr="00CC58FD">
        <w:rPr>
          <w:rFonts w:eastAsia="Verdana" w:cs="Verdana"/>
          <w:spacing w:val="2"/>
          <w:sz w:val="16"/>
          <w:szCs w:val="16"/>
          <w:lang w:val="es-CR"/>
        </w:rPr>
        <w:t xml:space="preserve"> </w:t>
      </w:r>
      <w:r w:rsidRPr="00CC58FD">
        <w:rPr>
          <w:rFonts w:eastAsia="Verdana" w:cs="Verdana"/>
          <w:spacing w:val="-1"/>
          <w:sz w:val="16"/>
          <w:szCs w:val="16"/>
          <w:lang w:val="es-CR"/>
        </w:rPr>
        <w:t>R</w:t>
      </w:r>
      <w:r w:rsidRPr="00CC58FD">
        <w:rPr>
          <w:rFonts w:eastAsia="Verdana" w:cs="Verdana"/>
          <w:sz w:val="16"/>
          <w:szCs w:val="16"/>
          <w:lang w:val="es-CR"/>
        </w:rPr>
        <w:t>es</w:t>
      </w:r>
      <w:r w:rsidRPr="00CC58FD">
        <w:rPr>
          <w:rFonts w:eastAsia="Verdana" w:cs="Verdana"/>
          <w:spacing w:val="1"/>
          <w:sz w:val="16"/>
          <w:szCs w:val="16"/>
          <w:lang w:val="es-CR"/>
        </w:rPr>
        <w:t>o</w:t>
      </w:r>
      <w:r w:rsidRPr="00CC58FD">
        <w:rPr>
          <w:rFonts w:eastAsia="Verdana" w:cs="Verdana"/>
          <w:spacing w:val="-1"/>
          <w:sz w:val="16"/>
          <w:szCs w:val="16"/>
          <w:lang w:val="es-CR"/>
        </w:rPr>
        <w:t>lu</w:t>
      </w:r>
      <w:r w:rsidRPr="00CC58FD">
        <w:rPr>
          <w:rFonts w:eastAsia="Verdana" w:cs="Verdana"/>
          <w:sz w:val="16"/>
          <w:szCs w:val="16"/>
          <w:lang w:val="es-CR"/>
        </w:rPr>
        <w:t>c</w:t>
      </w:r>
      <w:r w:rsidRPr="00CC58FD">
        <w:rPr>
          <w:rFonts w:eastAsia="Verdana" w:cs="Verdana"/>
          <w:spacing w:val="-1"/>
          <w:sz w:val="16"/>
          <w:szCs w:val="16"/>
          <w:lang w:val="es-CR"/>
        </w:rPr>
        <w:t>i</w:t>
      </w:r>
      <w:r w:rsidRPr="00CC58FD">
        <w:rPr>
          <w:rFonts w:eastAsia="Verdana" w:cs="Verdana"/>
          <w:spacing w:val="1"/>
          <w:sz w:val="16"/>
          <w:szCs w:val="16"/>
          <w:lang w:val="es-CR"/>
        </w:rPr>
        <w:t>ó</w:t>
      </w:r>
      <w:r w:rsidRPr="00CC58FD">
        <w:rPr>
          <w:rFonts w:eastAsia="Verdana" w:cs="Verdana"/>
          <w:sz w:val="16"/>
          <w:szCs w:val="16"/>
          <w:lang w:val="es-CR"/>
        </w:rPr>
        <w:t xml:space="preserve">n </w:t>
      </w:r>
      <w:r w:rsidRPr="00CC58FD">
        <w:rPr>
          <w:rFonts w:eastAsia="Verdana" w:cs="Verdana"/>
          <w:spacing w:val="1"/>
          <w:sz w:val="16"/>
          <w:szCs w:val="16"/>
          <w:lang w:val="es-CR"/>
        </w:rPr>
        <w:t>d</w:t>
      </w:r>
      <w:r w:rsidRPr="00CC58FD">
        <w:rPr>
          <w:rFonts w:eastAsia="Verdana" w:cs="Verdana"/>
          <w:sz w:val="16"/>
          <w:szCs w:val="16"/>
          <w:lang w:val="es-CR"/>
        </w:rPr>
        <w:t>e</w:t>
      </w:r>
      <w:r w:rsidRPr="00CC58FD">
        <w:rPr>
          <w:rFonts w:eastAsia="Verdana" w:cs="Verdana"/>
          <w:spacing w:val="1"/>
          <w:sz w:val="16"/>
          <w:szCs w:val="16"/>
          <w:lang w:val="es-CR"/>
        </w:rPr>
        <w:t xml:space="preserve"> </w:t>
      </w:r>
      <w:r w:rsidRPr="00CC58FD">
        <w:rPr>
          <w:rFonts w:eastAsia="Verdana" w:cs="Verdana"/>
          <w:spacing w:val="-1"/>
          <w:sz w:val="16"/>
          <w:szCs w:val="16"/>
          <w:lang w:val="es-CR"/>
        </w:rPr>
        <w:t>l</w:t>
      </w:r>
      <w:r w:rsidRPr="00CC58FD">
        <w:rPr>
          <w:rFonts w:eastAsia="Verdana" w:cs="Verdana"/>
          <w:sz w:val="16"/>
          <w:szCs w:val="16"/>
          <w:lang w:val="es-CR"/>
        </w:rPr>
        <w:t>a</w:t>
      </w:r>
      <w:r w:rsidRPr="00CC58FD">
        <w:rPr>
          <w:rFonts w:eastAsia="Verdana" w:cs="Verdana"/>
          <w:spacing w:val="3"/>
          <w:sz w:val="16"/>
          <w:szCs w:val="16"/>
          <w:lang w:val="es-CR"/>
        </w:rPr>
        <w:t xml:space="preserve"> </w:t>
      </w:r>
      <w:r w:rsidRPr="00CC58FD">
        <w:rPr>
          <w:rFonts w:eastAsia="Verdana" w:cs="Verdana"/>
          <w:sz w:val="16"/>
          <w:szCs w:val="16"/>
          <w:lang w:val="es-CR"/>
        </w:rPr>
        <w:t>C</w:t>
      </w:r>
      <w:r w:rsidRPr="00CC58FD">
        <w:rPr>
          <w:rFonts w:eastAsia="Verdana" w:cs="Verdana"/>
          <w:spacing w:val="-2"/>
          <w:sz w:val="16"/>
          <w:szCs w:val="16"/>
          <w:lang w:val="es-CR"/>
        </w:rPr>
        <w:t>o</w:t>
      </w:r>
      <w:r w:rsidRPr="00CC58FD">
        <w:rPr>
          <w:rFonts w:eastAsia="Verdana" w:cs="Verdana"/>
          <w:spacing w:val="1"/>
          <w:sz w:val="16"/>
          <w:szCs w:val="16"/>
          <w:lang w:val="es-CR"/>
        </w:rPr>
        <w:t>r</w:t>
      </w:r>
      <w:r w:rsidRPr="00CC58FD">
        <w:rPr>
          <w:rFonts w:eastAsia="Verdana" w:cs="Verdana"/>
          <w:spacing w:val="-1"/>
          <w:sz w:val="16"/>
          <w:szCs w:val="16"/>
          <w:lang w:val="es-CR"/>
        </w:rPr>
        <w:t>t</w:t>
      </w:r>
      <w:r w:rsidRPr="00CC58FD">
        <w:rPr>
          <w:rFonts w:eastAsia="Verdana" w:cs="Verdana"/>
          <w:sz w:val="16"/>
          <w:szCs w:val="16"/>
          <w:lang w:val="es-CR"/>
        </w:rPr>
        <w:t>e</w:t>
      </w:r>
      <w:r w:rsidRPr="00CC58FD">
        <w:rPr>
          <w:rFonts w:eastAsia="Verdana" w:cs="Verdana"/>
          <w:spacing w:val="1"/>
          <w:sz w:val="16"/>
          <w:szCs w:val="16"/>
          <w:lang w:val="es-CR"/>
        </w:rPr>
        <w:t xml:space="preserve"> </w:t>
      </w:r>
      <w:r w:rsidRPr="00CC58FD">
        <w:rPr>
          <w:rFonts w:eastAsia="Verdana" w:cs="Verdana"/>
          <w:spacing w:val="2"/>
          <w:sz w:val="16"/>
          <w:szCs w:val="16"/>
          <w:lang w:val="es-CR"/>
        </w:rPr>
        <w:t>I</w:t>
      </w:r>
      <w:r w:rsidRPr="00CC58FD">
        <w:rPr>
          <w:rFonts w:eastAsia="Verdana" w:cs="Verdana"/>
          <w:spacing w:val="-1"/>
          <w:sz w:val="16"/>
          <w:szCs w:val="16"/>
          <w:lang w:val="es-CR"/>
        </w:rPr>
        <w:t>nt</w:t>
      </w:r>
      <w:r w:rsidRPr="00CC58FD">
        <w:rPr>
          <w:rFonts w:eastAsia="Verdana" w:cs="Verdana"/>
          <w:sz w:val="16"/>
          <w:szCs w:val="16"/>
          <w:lang w:val="es-CR"/>
        </w:rPr>
        <w:t>e</w:t>
      </w:r>
      <w:r w:rsidRPr="00CC58FD">
        <w:rPr>
          <w:rFonts w:eastAsia="Verdana" w:cs="Verdana"/>
          <w:spacing w:val="1"/>
          <w:sz w:val="16"/>
          <w:szCs w:val="16"/>
          <w:lang w:val="es-CR"/>
        </w:rPr>
        <w:t>r</w:t>
      </w:r>
      <w:r w:rsidRPr="00CC58FD">
        <w:rPr>
          <w:rFonts w:eastAsia="Verdana" w:cs="Verdana"/>
          <w:spacing w:val="-3"/>
          <w:sz w:val="16"/>
          <w:szCs w:val="16"/>
          <w:lang w:val="es-CR"/>
        </w:rPr>
        <w:t>a</w:t>
      </w:r>
      <w:r w:rsidRPr="00CC58FD">
        <w:rPr>
          <w:rFonts w:eastAsia="Verdana" w:cs="Verdana"/>
          <w:sz w:val="16"/>
          <w:szCs w:val="16"/>
          <w:lang w:val="es-CR"/>
        </w:rPr>
        <w:t>me</w:t>
      </w:r>
      <w:r w:rsidRPr="00CC58FD">
        <w:rPr>
          <w:rFonts w:eastAsia="Verdana" w:cs="Verdana"/>
          <w:spacing w:val="1"/>
          <w:sz w:val="16"/>
          <w:szCs w:val="16"/>
          <w:lang w:val="es-CR"/>
        </w:rPr>
        <w:t>r</w:t>
      </w:r>
      <w:r w:rsidRPr="00CC58FD">
        <w:rPr>
          <w:rFonts w:eastAsia="Verdana" w:cs="Verdana"/>
          <w:spacing w:val="-1"/>
          <w:sz w:val="16"/>
          <w:szCs w:val="16"/>
          <w:lang w:val="es-CR"/>
        </w:rPr>
        <w:t>i</w:t>
      </w:r>
      <w:r w:rsidRPr="00CC58FD">
        <w:rPr>
          <w:rFonts w:eastAsia="Verdana" w:cs="Verdana"/>
          <w:sz w:val="16"/>
          <w:szCs w:val="16"/>
          <w:lang w:val="es-CR"/>
        </w:rPr>
        <w:t>c</w:t>
      </w:r>
      <w:r w:rsidRPr="00CC58FD">
        <w:rPr>
          <w:rFonts w:eastAsia="Verdana" w:cs="Verdana"/>
          <w:spacing w:val="-1"/>
          <w:sz w:val="16"/>
          <w:szCs w:val="16"/>
          <w:lang w:val="es-CR"/>
        </w:rPr>
        <w:t>an</w:t>
      </w:r>
      <w:r w:rsidRPr="00CC58FD">
        <w:rPr>
          <w:rFonts w:eastAsia="Verdana" w:cs="Verdana"/>
          <w:sz w:val="16"/>
          <w:szCs w:val="16"/>
          <w:lang w:val="es-CR"/>
        </w:rPr>
        <w:t xml:space="preserve">a </w:t>
      </w:r>
      <w:r w:rsidRPr="00CC58FD">
        <w:rPr>
          <w:rFonts w:eastAsia="Verdana" w:cs="Verdana"/>
          <w:spacing w:val="1"/>
          <w:sz w:val="16"/>
          <w:szCs w:val="16"/>
          <w:lang w:val="es-CR"/>
        </w:rPr>
        <w:t>d</w:t>
      </w:r>
      <w:r w:rsidRPr="00CC58FD">
        <w:rPr>
          <w:rFonts w:eastAsia="Verdana" w:cs="Verdana"/>
          <w:sz w:val="16"/>
          <w:szCs w:val="16"/>
          <w:lang w:val="es-CR"/>
        </w:rPr>
        <w:t>e</w:t>
      </w:r>
      <w:r w:rsidRPr="00CC58FD">
        <w:rPr>
          <w:rFonts w:eastAsia="Verdana" w:cs="Verdana"/>
          <w:spacing w:val="1"/>
          <w:sz w:val="16"/>
          <w:szCs w:val="16"/>
          <w:lang w:val="es-CR"/>
        </w:rPr>
        <w:t xml:space="preserve"> D</w:t>
      </w:r>
      <w:r w:rsidRPr="00CC58FD">
        <w:rPr>
          <w:rFonts w:eastAsia="Verdana" w:cs="Verdana"/>
          <w:sz w:val="16"/>
          <w:szCs w:val="16"/>
          <w:lang w:val="es-CR"/>
        </w:rPr>
        <w:t>e</w:t>
      </w:r>
      <w:r w:rsidRPr="00CC58FD">
        <w:rPr>
          <w:rFonts w:eastAsia="Verdana" w:cs="Verdana"/>
          <w:spacing w:val="-1"/>
          <w:sz w:val="16"/>
          <w:szCs w:val="16"/>
          <w:lang w:val="es-CR"/>
        </w:rPr>
        <w:t>r</w:t>
      </w:r>
      <w:r w:rsidRPr="00CC58FD">
        <w:rPr>
          <w:rFonts w:eastAsia="Verdana" w:cs="Verdana"/>
          <w:sz w:val="16"/>
          <w:szCs w:val="16"/>
          <w:lang w:val="es-CR"/>
        </w:rPr>
        <w:t>ec</w:t>
      </w:r>
      <w:r w:rsidRPr="00CC58FD">
        <w:rPr>
          <w:rFonts w:eastAsia="Verdana" w:cs="Verdana"/>
          <w:spacing w:val="-1"/>
          <w:sz w:val="16"/>
          <w:szCs w:val="16"/>
          <w:lang w:val="es-CR"/>
        </w:rPr>
        <w:t>h</w:t>
      </w:r>
      <w:r w:rsidRPr="00CC58FD">
        <w:rPr>
          <w:rFonts w:eastAsia="Verdana" w:cs="Verdana"/>
          <w:spacing w:val="-2"/>
          <w:sz w:val="16"/>
          <w:szCs w:val="16"/>
          <w:lang w:val="es-CR"/>
        </w:rPr>
        <w:t>o</w:t>
      </w:r>
      <w:r w:rsidRPr="00CC58FD">
        <w:rPr>
          <w:rFonts w:eastAsia="Verdana" w:cs="Verdana"/>
          <w:sz w:val="16"/>
          <w:szCs w:val="16"/>
          <w:lang w:val="es-CR"/>
        </w:rPr>
        <w:t>s</w:t>
      </w:r>
      <w:r w:rsidRPr="00CC58FD">
        <w:rPr>
          <w:rFonts w:eastAsia="Verdana" w:cs="Verdana"/>
          <w:spacing w:val="3"/>
          <w:sz w:val="16"/>
          <w:szCs w:val="16"/>
          <w:lang w:val="es-CR"/>
        </w:rPr>
        <w:t xml:space="preserve"> </w:t>
      </w:r>
      <w:r w:rsidRPr="00CC58FD">
        <w:rPr>
          <w:rFonts w:eastAsia="Verdana" w:cs="Verdana"/>
          <w:spacing w:val="-1"/>
          <w:sz w:val="16"/>
          <w:szCs w:val="16"/>
          <w:lang w:val="es-CR"/>
        </w:rPr>
        <w:t>Hu</w:t>
      </w:r>
      <w:r w:rsidRPr="00CC58FD">
        <w:rPr>
          <w:rFonts w:eastAsia="Verdana" w:cs="Verdana"/>
          <w:sz w:val="16"/>
          <w:szCs w:val="16"/>
          <w:lang w:val="es-CR"/>
        </w:rPr>
        <w:t>m</w:t>
      </w:r>
      <w:r w:rsidRPr="00CC58FD">
        <w:rPr>
          <w:rFonts w:eastAsia="Verdana" w:cs="Verdana"/>
          <w:spacing w:val="-1"/>
          <w:sz w:val="16"/>
          <w:szCs w:val="16"/>
          <w:lang w:val="es-CR"/>
        </w:rPr>
        <w:t>an</w:t>
      </w:r>
      <w:r w:rsidRPr="00CC58FD">
        <w:rPr>
          <w:rFonts w:eastAsia="Verdana" w:cs="Verdana"/>
          <w:spacing w:val="1"/>
          <w:sz w:val="16"/>
          <w:szCs w:val="16"/>
          <w:lang w:val="es-CR"/>
        </w:rPr>
        <w:t>o</w:t>
      </w:r>
      <w:r w:rsidRPr="00CC58FD">
        <w:rPr>
          <w:rFonts w:eastAsia="Verdana" w:cs="Verdana"/>
          <w:sz w:val="16"/>
          <w:szCs w:val="16"/>
          <w:lang w:val="es-CR"/>
        </w:rPr>
        <w:t>s</w:t>
      </w:r>
      <w:r w:rsidRPr="00CC58FD">
        <w:rPr>
          <w:rFonts w:eastAsia="Verdana" w:cs="Verdana"/>
          <w:spacing w:val="1"/>
          <w:sz w:val="16"/>
          <w:szCs w:val="16"/>
          <w:lang w:val="es-CR"/>
        </w:rPr>
        <w:t xml:space="preserve"> d</w:t>
      </w:r>
      <w:r w:rsidRPr="00CC58FD">
        <w:rPr>
          <w:rFonts w:eastAsia="Verdana" w:cs="Verdana"/>
          <w:sz w:val="16"/>
          <w:szCs w:val="16"/>
          <w:lang w:val="es-CR"/>
        </w:rPr>
        <w:t>e</w:t>
      </w:r>
      <w:r w:rsidRPr="00CC58FD">
        <w:rPr>
          <w:rFonts w:eastAsia="Verdana" w:cs="Verdana"/>
          <w:spacing w:val="1"/>
          <w:sz w:val="16"/>
          <w:szCs w:val="16"/>
          <w:lang w:val="es-CR"/>
        </w:rPr>
        <w:t xml:space="preserve"> </w:t>
      </w:r>
      <w:r w:rsidRPr="00CC58FD">
        <w:rPr>
          <w:rFonts w:eastAsia="Verdana" w:cs="Verdana"/>
          <w:sz w:val="16"/>
          <w:szCs w:val="16"/>
          <w:lang w:val="es-CR"/>
        </w:rPr>
        <w:t>2</w:t>
      </w:r>
      <w:r w:rsidRPr="00CC58FD">
        <w:rPr>
          <w:rFonts w:eastAsia="Verdana" w:cs="Verdana"/>
          <w:spacing w:val="2"/>
          <w:sz w:val="16"/>
          <w:szCs w:val="16"/>
          <w:lang w:val="es-CR"/>
        </w:rPr>
        <w:t xml:space="preserve"> </w:t>
      </w:r>
      <w:r w:rsidRPr="00CC58FD">
        <w:rPr>
          <w:rFonts w:eastAsia="Verdana" w:cs="Verdana"/>
          <w:spacing w:val="-2"/>
          <w:sz w:val="16"/>
          <w:szCs w:val="16"/>
          <w:lang w:val="es-CR"/>
        </w:rPr>
        <w:t>d</w:t>
      </w:r>
      <w:r w:rsidRPr="00CC58FD">
        <w:rPr>
          <w:rFonts w:eastAsia="Verdana" w:cs="Verdana"/>
          <w:sz w:val="16"/>
          <w:szCs w:val="16"/>
          <w:lang w:val="es-CR"/>
        </w:rPr>
        <w:t>e</w:t>
      </w:r>
      <w:r w:rsidRPr="00CC58FD">
        <w:rPr>
          <w:rFonts w:eastAsia="Verdana" w:cs="Verdana"/>
          <w:spacing w:val="3"/>
          <w:sz w:val="16"/>
          <w:szCs w:val="16"/>
          <w:lang w:val="es-CR"/>
        </w:rPr>
        <w:t xml:space="preserve"> </w:t>
      </w:r>
      <w:r w:rsidRPr="00CC58FD">
        <w:rPr>
          <w:rFonts w:eastAsia="Verdana" w:cs="Verdana"/>
          <w:spacing w:val="1"/>
          <w:sz w:val="16"/>
          <w:szCs w:val="16"/>
          <w:lang w:val="es-CR"/>
        </w:rPr>
        <w:t>f</w:t>
      </w:r>
      <w:r w:rsidRPr="00CC58FD">
        <w:rPr>
          <w:rFonts w:eastAsia="Verdana" w:cs="Verdana"/>
          <w:spacing w:val="-2"/>
          <w:sz w:val="16"/>
          <w:szCs w:val="16"/>
          <w:lang w:val="es-CR"/>
        </w:rPr>
        <w:t>e</w:t>
      </w:r>
      <w:r w:rsidRPr="00CC58FD">
        <w:rPr>
          <w:rFonts w:eastAsia="Verdana" w:cs="Verdana"/>
          <w:spacing w:val="1"/>
          <w:sz w:val="16"/>
          <w:szCs w:val="16"/>
          <w:lang w:val="es-CR"/>
        </w:rPr>
        <w:t>b</w:t>
      </w:r>
      <w:r w:rsidRPr="00CC58FD">
        <w:rPr>
          <w:rFonts w:eastAsia="Verdana" w:cs="Verdana"/>
          <w:spacing w:val="-1"/>
          <w:sz w:val="16"/>
          <w:szCs w:val="16"/>
          <w:lang w:val="es-CR"/>
        </w:rPr>
        <w:t>r</w:t>
      </w:r>
      <w:r w:rsidRPr="00CC58FD">
        <w:rPr>
          <w:rFonts w:eastAsia="Verdana" w:cs="Verdana"/>
          <w:sz w:val="16"/>
          <w:szCs w:val="16"/>
          <w:lang w:val="es-CR"/>
        </w:rPr>
        <w:t>e</w:t>
      </w:r>
      <w:r w:rsidRPr="00CC58FD">
        <w:rPr>
          <w:rFonts w:eastAsia="Verdana" w:cs="Verdana"/>
          <w:spacing w:val="-1"/>
          <w:sz w:val="16"/>
          <w:szCs w:val="16"/>
          <w:lang w:val="es-CR"/>
        </w:rPr>
        <w:t>r</w:t>
      </w:r>
      <w:r w:rsidRPr="00CC58FD">
        <w:rPr>
          <w:rFonts w:eastAsia="Verdana" w:cs="Verdana"/>
          <w:sz w:val="16"/>
          <w:szCs w:val="16"/>
          <w:lang w:val="es-CR"/>
        </w:rPr>
        <w:t>o</w:t>
      </w:r>
      <w:r w:rsidRPr="00CC58FD">
        <w:rPr>
          <w:rFonts w:eastAsia="Verdana" w:cs="Verdana"/>
          <w:spacing w:val="2"/>
          <w:sz w:val="16"/>
          <w:szCs w:val="16"/>
          <w:lang w:val="es-CR"/>
        </w:rPr>
        <w:t xml:space="preserve"> </w:t>
      </w:r>
      <w:r w:rsidRPr="00CC58FD">
        <w:rPr>
          <w:rFonts w:eastAsia="Verdana" w:cs="Verdana"/>
          <w:spacing w:val="1"/>
          <w:sz w:val="16"/>
          <w:szCs w:val="16"/>
          <w:lang w:val="es-CR"/>
        </w:rPr>
        <w:t>d</w:t>
      </w:r>
      <w:r w:rsidRPr="00CC58FD">
        <w:rPr>
          <w:rFonts w:eastAsia="Verdana" w:cs="Verdana"/>
          <w:sz w:val="16"/>
          <w:szCs w:val="16"/>
          <w:lang w:val="es-CR"/>
        </w:rPr>
        <w:t>e</w:t>
      </w:r>
      <w:r w:rsidRPr="00CC58FD">
        <w:rPr>
          <w:rFonts w:eastAsia="Verdana" w:cs="Verdana"/>
          <w:spacing w:val="1"/>
          <w:sz w:val="16"/>
          <w:szCs w:val="16"/>
          <w:lang w:val="es-CR"/>
        </w:rPr>
        <w:t xml:space="preserve"> 2</w:t>
      </w:r>
      <w:r w:rsidRPr="00CC58FD">
        <w:rPr>
          <w:rFonts w:eastAsia="Verdana" w:cs="Verdana"/>
          <w:spacing w:val="-1"/>
          <w:sz w:val="16"/>
          <w:szCs w:val="16"/>
          <w:lang w:val="es-CR"/>
        </w:rPr>
        <w:t xml:space="preserve">007, </w:t>
      </w:r>
      <w:r w:rsidRPr="00CC58FD">
        <w:rPr>
          <w:rFonts w:eastAsia="Verdana" w:cs="Verdana"/>
          <w:sz w:val="16"/>
          <w:szCs w:val="16"/>
          <w:lang w:val="es-CR"/>
        </w:rPr>
        <w:t>C</w:t>
      </w:r>
      <w:r w:rsidRPr="00CC58FD">
        <w:rPr>
          <w:rFonts w:eastAsia="Verdana" w:cs="Verdana"/>
          <w:spacing w:val="1"/>
          <w:sz w:val="16"/>
          <w:szCs w:val="16"/>
          <w:lang w:val="es-CR"/>
        </w:rPr>
        <w:t>o</w:t>
      </w:r>
      <w:r w:rsidRPr="00CC58FD">
        <w:rPr>
          <w:rFonts w:eastAsia="Verdana" w:cs="Verdana"/>
          <w:spacing w:val="-1"/>
          <w:sz w:val="16"/>
          <w:szCs w:val="16"/>
          <w:lang w:val="es-CR"/>
        </w:rPr>
        <w:t>n</w:t>
      </w:r>
      <w:r w:rsidRPr="00CC58FD">
        <w:rPr>
          <w:rFonts w:eastAsia="Verdana" w:cs="Verdana"/>
          <w:sz w:val="16"/>
          <w:szCs w:val="16"/>
          <w:lang w:val="es-CR"/>
        </w:rPr>
        <w:t>s</w:t>
      </w:r>
      <w:r w:rsidRPr="00CC58FD">
        <w:rPr>
          <w:rFonts w:eastAsia="Verdana" w:cs="Verdana"/>
          <w:spacing w:val="-1"/>
          <w:sz w:val="16"/>
          <w:szCs w:val="16"/>
          <w:lang w:val="es-CR"/>
        </w:rPr>
        <w:t>i</w:t>
      </w:r>
      <w:r w:rsidRPr="00CC58FD">
        <w:rPr>
          <w:rFonts w:eastAsia="Verdana" w:cs="Verdana"/>
          <w:spacing w:val="-2"/>
          <w:sz w:val="16"/>
          <w:szCs w:val="16"/>
          <w:lang w:val="es-CR"/>
        </w:rPr>
        <w:t>d</w:t>
      </w:r>
      <w:r w:rsidRPr="00CC58FD">
        <w:rPr>
          <w:rFonts w:eastAsia="Verdana" w:cs="Verdana"/>
          <w:sz w:val="16"/>
          <w:szCs w:val="16"/>
          <w:lang w:val="es-CR"/>
        </w:rPr>
        <w:t>e</w:t>
      </w:r>
      <w:r w:rsidRPr="00CC58FD">
        <w:rPr>
          <w:rFonts w:eastAsia="Verdana" w:cs="Verdana"/>
          <w:spacing w:val="1"/>
          <w:sz w:val="16"/>
          <w:szCs w:val="16"/>
          <w:lang w:val="es-CR"/>
        </w:rPr>
        <w:t>r</w:t>
      </w:r>
      <w:r w:rsidRPr="00CC58FD">
        <w:rPr>
          <w:rFonts w:eastAsia="Verdana" w:cs="Verdana"/>
          <w:spacing w:val="-1"/>
          <w:sz w:val="16"/>
          <w:szCs w:val="16"/>
          <w:lang w:val="es-CR"/>
        </w:rPr>
        <w:t>an</w:t>
      </w:r>
      <w:r w:rsidRPr="00CC58FD">
        <w:rPr>
          <w:rFonts w:eastAsia="Verdana" w:cs="Verdana"/>
          <w:spacing w:val="-2"/>
          <w:sz w:val="16"/>
          <w:szCs w:val="16"/>
          <w:lang w:val="es-CR"/>
        </w:rPr>
        <w:t>d</w:t>
      </w:r>
      <w:r w:rsidRPr="00CC58FD">
        <w:rPr>
          <w:rFonts w:eastAsia="Verdana" w:cs="Verdana"/>
          <w:sz w:val="16"/>
          <w:szCs w:val="16"/>
          <w:lang w:val="es-CR"/>
        </w:rPr>
        <w:t xml:space="preserve">o </w:t>
      </w:r>
      <w:r>
        <w:rPr>
          <w:rFonts w:eastAsia="Verdana" w:cs="Verdana"/>
          <w:spacing w:val="-1"/>
          <w:sz w:val="16"/>
          <w:szCs w:val="16"/>
          <w:lang w:val="es-CR"/>
        </w:rPr>
        <w:t>11</w:t>
      </w:r>
      <w:r w:rsidRPr="00CC58FD">
        <w:rPr>
          <w:rFonts w:eastAsia="Verdana" w:cs="Verdana"/>
          <w:sz w:val="16"/>
          <w:szCs w:val="16"/>
          <w:lang w:val="es-CR"/>
        </w:rPr>
        <w:t xml:space="preserve">, y </w:t>
      </w:r>
      <w:r w:rsidRPr="00CC58FD">
        <w:rPr>
          <w:rFonts w:eastAsia="Verdana" w:cs="Verdana"/>
          <w:i/>
          <w:spacing w:val="1"/>
          <w:sz w:val="16"/>
          <w:szCs w:val="16"/>
          <w:lang w:val="es-CR"/>
        </w:rPr>
        <w:t>A</w:t>
      </w:r>
      <w:r w:rsidRPr="00CC58FD">
        <w:rPr>
          <w:rFonts w:eastAsia="Verdana" w:cs="Verdana"/>
          <w:i/>
          <w:spacing w:val="-2"/>
          <w:sz w:val="16"/>
          <w:szCs w:val="16"/>
          <w:lang w:val="es-CR"/>
        </w:rPr>
        <w:t>s</w:t>
      </w:r>
      <w:r w:rsidRPr="00CC58FD">
        <w:rPr>
          <w:rFonts w:eastAsia="Verdana" w:cs="Verdana"/>
          <w:i/>
          <w:spacing w:val="-1"/>
          <w:sz w:val="16"/>
          <w:szCs w:val="16"/>
          <w:lang w:val="es-CR"/>
        </w:rPr>
        <w:t>unt</w:t>
      </w:r>
      <w:r w:rsidRPr="00CC58FD">
        <w:rPr>
          <w:rFonts w:eastAsia="Verdana" w:cs="Verdana"/>
          <w:i/>
          <w:sz w:val="16"/>
          <w:szCs w:val="16"/>
          <w:lang w:val="es-CR"/>
        </w:rPr>
        <w:t>o</w:t>
      </w:r>
      <w:r w:rsidRPr="00CC58FD">
        <w:rPr>
          <w:rFonts w:eastAsia="Verdana" w:cs="Verdana"/>
          <w:i/>
          <w:spacing w:val="2"/>
          <w:sz w:val="16"/>
          <w:szCs w:val="16"/>
          <w:lang w:val="es-CR"/>
        </w:rPr>
        <w:t xml:space="preserve"> </w:t>
      </w:r>
      <w:r w:rsidRPr="00CC58FD">
        <w:rPr>
          <w:rFonts w:eastAsia="Verdana" w:cs="Verdana"/>
          <w:i/>
          <w:spacing w:val="1"/>
          <w:sz w:val="16"/>
          <w:szCs w:val="16"/>
          <w:lang w:val="es-CR"/>
        </w:rPr>
        <w:t xml:space="preserve">del Complejo Penitenciario de Curado, </w:t>
      </w:r>
      <w:r w:rsidRPr="00CC58FD">
        <w:rPr>
          <w:rFonts w:eastAsia="Verdana" w:cs="Verdana"/>
          <w:sz w:val="16"/>
          <w:szCs w:val="16"/>
          <w:lang w:val="es-CR"/>
        </w:rPr>
        <w:t>C</w:t>
      </w:r>
      <w:r w:rsidRPr="00CC58FD">
        <w:rPr>
          <w:rFonts w:eastAsia="Verdana" w:cs="Verdana"/>
          <w:spacing w:val="1"/>
          <w:sz w:val="16"/>
          <w:szCs w:val="16"/>
          <w:lang w:val="es-CR"/>
        </w:rPr>
        <w:t>o</w:t>
      </w:r>
      <w:r w:rsidRPr="00CC58FD">
        <w:rPr>
          <w:rFonts w:eastAsia="Verdana" w:cs="Verdana"/>
          <w:sz w:val="16"/>
          <w:szCs w:val="16"/>
          <w:lang w:val="es-CR"/>
        </w:rPr>
        <w:t>ns</w:t>
      </w:r>
      <w:r w:rsidRPr="00CC58FD">
        <w:rPr>
          <w:rFonts w:eastAsia="Verdana" w:cs="Verdana"/>
          <w:spacing w:val="-3"/>
          <w:sz w:val="16"/>
          <w:szCs w:val="16"/>
          <w:lang w:val="es-CR"/>
        </w:rPr>
        <w:t>i</w:t>
      </w:r>
      <w:r w:rsidRPr="00CC58FD">
        <w:rPr>
          <w:rFonts w:eastAsia="Verdana" w:cs="Verdana"/>
          <w:spacing w:val="1"/>
          <w:sz w:val="16"/>
          <w:szCs w:val="16"/>
          <w:lang w:val="es-CR"/>
        </w:rPr>
        <w:t>d</w:t>
      </w:r>
      <w:r w:rsidRPr="00CC58FD">
        <w:rPr>
          <w:rFonts w:eastAsia="Verdana" w:cs="Verdana"/>
          <w:sz w:val="16"/>
          <w:szCs w:val="16"/>
          <w:lang w:val="es-CR"/>
        </w:rPr>
        <w:t>e</w:t>
      </w:r>
      <w:r w:rsidRPr="00CC58FD">
        <w:rPr>
          <w:rFonts w:eastAsia="Verdana" w:cs="Verdana"/>
          <w:spacing w:val="1"/>
          <w:sz w:val="16"/>
          <w:szCs w:val="16"/>
          <w:lang w:val="es-CR"/>
        </w:rPr>
        <w:t>r</w:t>
      </w:r>
      <w:r w:rsidRPr="00CC58FD">
        <w:rPr>
          <w:rFonts w:eastAsia="Verdana" w:cs="Verdana"/>
          <w:spacing w:val="-1"/>
          <w:sz w:val="16"/>
          <w:szCs w:val="16"/>
          <w:lang w:val="es-CR"/>
        </w:rPr>
        <w:t>a</w:t>
      </w:r>
      <w:r w:rsidRPr="00CC58FD">
        <w:rPr>
          <w:rFonts w:eastAsia="Verdana" w:cs="Verdana"/>
          <w:spacing w:val="-3"/>
          <w:sz w:val="16"/>
          <w:szCs w:val="16"/>
          <w:lang w:val="es-CR"/>
        </w:rPr>
        <w:t>n</w:t>
      </w:r>
      <w:r w:rsidRPr="00CC58FD">
        <w:rPr>
          <w:rFonts w:eastAsia="Verdana" w:cs="Verdana"/>
          <w:spacing w:val="1"/>
          <w:sz w:val="16"/>
          <w:szCs w:val="16"/>
          <w:lang w:val="es-CR"/>
        </w:rPr>
        <w:t>d</w:t>
      </w:r>
      <w:r w:rsidRPr="00CC58FD">
        <w:rPr>
          <w:rFonts w:eastAsia="Verdana" w:cs="Verdana"/>
          <w:sz w:val="16"/>
          <w:szCs w:val="16"/>
          <w:lang w:val="es-CR"/>
        </w:rPr>
        <w:t xml:space="preserve">o </w:t>
      </w:r>
      <w:r>
        <w:rPr>
          <w:rFonts w:eastAsia="Verdana" w:cs="Verdana"/>
          <w:sz w:val="16"/>
          <w:szCs w:val="16"/>
          <w:lang w:val="es-CR"/>
        </w:rPr>
        <w:t>15</w:t>
      </w:r>
      <w:r w:rsidRPr="00CC58FD">
        <w:rPr>
          <w:rFonts w:eastAsia="Verdana" w:cs="Verdana"/>
          <w:sz w:val="16"/>
          <w:szCs w:val="16"/>
          <w:lang w:val="es-CR"/>
        </w:rPr>
        <w:t>.</w:t>
      </w:r>
      <w:r>
        <w:rPr>
          <w:rFonts w:eastAsia="Verdana" w:cs="Verdana"/>
          <w:sz w:val="16"/>
          <w:szCs w:val="16"/>
          <w:lang w:val="es-CR"/>
        </w:rPr>
        <w:t xml:space="preserve"> </w:t>
      </w:r>
    </w:p>
  </w:footnote>
  <w:footnote w:id="34">
    <w:p w14:paraId="27943766" w14:textId="77777777" w:rsidR="00CA3DEA" w:rsidRPr="00CC58FD" w:rsidRDefault="00CA3DEA" w:rsidP="000E1744">
      <w:pPr>
        <w:pStyle w:val="FootnoteText"/>
      </w:pPr>
      <w:r w:rsidRPr="00CC58FD">
        <w:rPr>
          <w:rStyle w:val="FootnoteReference"/>
          <w:szCs w:val="16"/>
        </w:rPr>
        <w:footnoteRef/>
      </w:r>
      <w:r w:rsidRPr="00CC58FD">
        <w:t xml:space="preserve"> </w:t>
      </w:r>
      <w:r w:rsidRPr="00CC58FD">
        <w:rPr>
          <w:rFonts w:eastAsia="Verdana" w:cs="Verdana"/>
          <w:i/>
          <w:lang w:val="es-CR"/>
        </w:rPr>
        <w:t>C</w:t>
      </w:r>
      <w:r w:rsidRPr="00CC58FD">
        <w:rPr>
          <w:rFonts w:eastAsia="Verdana" w:cs="Verdana"/>
          <w:i/>
          <w:spacing w:val="-1"/>
          <w:lang w:val="es-CR"/>
        </w:rPr>
        <w:t>f</w:t>
      </w:r>
      <w:r w:rsidRPr="00CC58FD">
        <w:rPr>
          <w:rFonts w:eastAsia="Verdana" w:cs="Verdana"/>
          <w:i/>
          <w:spacing w:val="1"/>
          <w:lang w:val="es-CR"/>
        </w:rPr>
        <w:t>r</w:t>
      </w:r>
      <w:r w:rsidRPr="00CC58FD">
        <w:rPr>
          <w:rFonts w:eastAsia="Verdana" w:cs="Verdana"/>
          <w:i/>
          <w:lang w:val="es-CR"/>
        </w:rPr>
        <w:t>.</w:t>
      </w:r>
      <w:r w:rsidRPr="00CC58FD">
        <w:rPr>
          <w:rFonts w:eastAsia="Verdana" w:cs="Verdana"/>
          <w:i/>
          <w:spacing w:val="8"/>
          <w:lang w:val="es-CR"/>
        </w:rPr>
        <w:t xml:space="preserve"> </w:t>
      </w:r>
      <w:r w:rsidRPr="00CC58FD">
        <w:rPr>
          <w:rFonts w:eastAsia="Verdana" w:cs="Verdana"/>
          <w:i/>
          <w:lang w:val="es-CR"/>
        </w:rPr>
        <w:t>As</w:t>
      </w:r>
      <w:r w:rsidRPr="00CC58FD">
        <w:rPr>
          <w:rFonts w:eastAsia="Verdana" w:cs="Verdana"/>
          <w:i/>
          <w:spacing w:val="-1"/>
          <w:lang w:val="es-CR"/>
        </w:rPr>
        <w:t>unt</w:t>
      </w:r>
      <w:r w:rsidRPr="00CC58FD">
        <w:rPr>
          <w:rFonts w:eastAsia="Verdana" w:cs="Verdana"/>
          <w:i/>
          <w:lang w:val="es-CR"/>
        </w:rPr>
        <w:t>o</w:t>
      </w:r>
      <w:r w:rsidRPr="00CC58FD">
        <w:rPr>
          <w:rFonts w:eastAsia="Verdana" w:cs="Verdana"/>
          <w:i/>
          <w:spacing w:val="9"/>
          <w:lang w:val="es-CR"/>
        </w:rPr>
        <w:t xml:space="preserve"> </w:t>
      </w:r>
      <w:r w:rsidRPr="00CC58FD">
        <w:rPr>
          <w:rFonts w:eastAsia="Verdana" w:cs="Verdana"/>
          <w:i/>
          <w:spacing w:val="-2"/>
          <w:lang w:val="es-CR"/>
        </w:rPr>
        <w:t>d</w:t>
      </w:r>
      <w:r w:rsidRPr="00CC58FD">
        <w:rPr>
          <w:rFonts w:eastAsia="Verdana" w:cs="Verdana"/>
          <w:i/>
          <w:lang w:val="es-CR"/>
        </w:rPr>
        <w:t>e</w:t>
      </w:r>
      <w:r w:rsidRPr="00CC58FD">
        <w:rPr>
          <w:rFonts w:eastAsia="Verdana" w:cs="Verdana"/>
          <w:i/>
          <w:spacing w:val="9"/>
          <w:lang w:val="es-CR"/>
        </w:rPr>
        <w:t xml:space="preserve"> </w:t>
      </w:r>
      <w:r w:rsidRPr="00CC58FD">
        <w:rPr>
          <w:rFonts w:eastAsia="Verdana" w:cs="Verdana"/>
          <w:i/>
          <w:spacing w:val="-1"/>
          <w:lang w:val="es-CR"/>
        </w:rPr>
        <w:t>la</w:t>
      </w:r>
      <w:r w:rsidRPr="00CC58FD">
        <w:rPr>
          <w:rFonts w:eastAsia="Verdana" w:cs="Verdana"/>
          <w:i/>
          <w:lang w:val="es-CR"/>
        </w:rPr>
        <w:t>s</w:t>
      </w:r>
      <w:r w:rsidRPr="00CC58FD">
        <w:rPr>
          <w:rFonts w:eastAsia="Verdana" w:cs="Verdana"/>
          <w:i/>
          <w:spacing w:val="9"/>
          <w:lang w:val="es-CR"/>
        </w:rPr>
        <w:t xml:space="preserve"> </w:t>
      </w:r>
      <w:r w:rsidRPr="00CC58FD">
        <w:rPr>
          <w:rFonts w:eastAsia="Verdana" w:cs="Verdana"/>
          <w:i/>
          <w:spacing w:val="1"/>
          <w:lang w:val="es-CR"/>
        </w:rPr>
        <w:t>p</w:t>
      </w:r>
      <w:r w:rsidRPr="00CC58FD">
        <w:rPr>
          <w:rFonts w:eastAsia="Verdana" w:cs="Verdana"/>
          <w:i/>
          <w:spacing w:val="-2"/>
          <w:lang w:val="es-CR"/>
        </w:rPr>
        <w:t>e</w:t>
      </w:r>
      <w:r w:rsidRPr="00CC58FD">
        <w:rPr>
          <w:rFonts w:eastAsia="Verdana" w:cs="Verdana"/>
          <w:i/>
          <w:spacing w:val="1"/>
          <w:lang w:val="es-CR"/>
        </w:rPr>
        <w:t>r</w:t>
      </w:r>
      <w:r w:rsidRPr="00CC58FD">
        <w:rPr>
          <w:rFonts w:eastAsia="Verdana" w:cs="Verdana"/>
          <w:i/>
          <w:lang w:val="es-CR"/>
        </w:rPr>
        <w:t>s</w:t>
      </w:r>
      <w:r w:rsidRPr="00CC58FD">
        <w:rPr>
          <w:rFonts w:eastAsia="Verdana" w:cs="Verdana"/>
          <w:i/>
          <w:spacing w:val="1"/>
          <w:lang w:val="es-CR"/>
        </w:rPr>
        <w:t>o</w:t>
      </w:r>
      <w:r w:rsidRPr="00CC58FD">
        <w:rPr>
          <w:rFonts w:eastAsia="Verdana" w:cs="Verdana"/>
          <w:i/>
          <w:spacing w:val="-1"/>
          <w:lang w:val="es-CR"/>
        </w:rPr>
        <w:t>na</w:t>
      </w:r>
      <w:r w:rsidRPr="00CC58FD">
        <w:rPr>
          <w:rFonts w:eastAsia="Verdana" w:cs="Verdana"/>
          <w:i/>
          <w:lang w:val="es-CR"/>
        </w:rPr>
        <w:t>s</w:t>
      </w:r>
      <w:r w:rsidRPr="00CC58FD">
        <w:rPr>
          <w:rFonts w:eastAsia="Verdana" w:cs="Verdana"/>
          <w:i/>
          <w:spacing w:val="6"/>
          <w:lang w:val="es-CR"/>
        </w:rPr>
        <w:t xml:space="preserve"> </w:t>
      </w:r>
      <w:r w:rsidRPr="00CC58FD">
        <w:rPr>
          <w:rFonts w:eastAsia="Verdana" w:cs="Verdana"/>
          <w:i/>
          <w:spacing w:val="-2"/>
          <w:lang w:val="es-CR"/>
        </w:rPr>
        <w:t>p</w:t>
      </w:r>
      <w:r w:rsidRPr="00CC58FD">
        <w:rPr>
          <w:rFonts w:eastAsia="Verdana" w:cs="Verdana"/>
          <w:i/>
          <w:spacing w:val="1"/>
          <w:lang w:val="es-CR"/>
        </w:rPr>
        <w:t>r</w:t>
      </w:r>
      <w:r w:rsidRPr="00CC58FD">
        <w:rPr>
          <w:rFonts w:eastAsia="Verdana" w:cs="Verdana"/>
          <w:i/>
          <w:spacing w:val="-1"/>
          <w:lang w:val="es-CR"/>
        </w:rPr>
        <w:t>i</w:t>
      </w:r>
      <w:r w:rsidRPr="00CC58FD">
        <w:rPr>
          <w:rFonts w:eastAsia="Verdana" w:cs="Verdana"/>
          <w:i/>
          <w:spacing w:val="1"/>
          <w:lang w:val="es-CR"/>
        </w:rPr>
        <w:t>v</w:t>
      </w:r>
      <w:r w:rsidRPr="00CC58FD">
        <w:rPr>
          <w:rFonts w:eastAsia="Verdana" w:cs="Verdana"/>
          <w:i/>
          <w:spacing w:val="-1"/>
          <w:lang w:val="es-CR"/>
        </w:rPr>
        <w:t>a</w:t>
      </w:r>
      <w:r w:rsidRPr="00CC58FD">
        <w:rPr>
          <w:rFonts w:eastAsia="Verdana" w:cs="Verdana"/>
          <w:i/>
          <w:spacing w:val="1"/>
          <w:lang w:val="es-CR"/>
        </w:rPr>
        <w:t>d</w:t>
      </w:r>
      <w:r w:rsidRPr="00CC58FD">
        <w:rPr>
          <w:rFonts w:eastAsia="Verdana" w:cs="Verdana"/>
          <w:i/>
          <w:spacing w:val="-3"/>
          <w:lang w:val="es-CR"/>
        </w:rPr>
        <w:t>a</w:t>
      </w:r>
      <w:r w:rsidRPr="00CC58FD">
        <w:rPr>
          <w:rFonts w:eastAsia="Verdana" w:cs="Verdana"/>
          <w:i/>
          <w:lang w:val="es-CR"/>
        </w:rPr>
        <w:t>s</w:t>
      </w:r>
      <w:r w:rsidRPr="00CC58FD">
        <w:rPr>
          <w:rFonts w:eastAsia="Verdana" w:cs="Verdana"/>
          <w:i/>
          <w:spacing w:val="9"/>
          <w:lang w:val="es-CR"/>
        </w:rPr>
        <w:t xml:space="preserve"> </w:t>
      </w:r>
      <w:r w:rsidRPr="00CC58FD">
        <w:rPr>
          <w:rFonts w:eastAsia="Verdana" w:cs="Verdana"/>
          <w:i/>
          <w:spacing w:val="1"/>
          <w:lang w:val="es-CR"/>
        </w:rPr>
        <w:t>d</w:t>
      </w:r>
      <w:r w:rsidRPr="00CC58FD">
        <w:rPr>
          <w:rFonts w:eastAsia="Verdana" w:cs="Verdana"/>
          <w:i/>
          <w:lang w:val="es-CR"/>
        </w:rPr>
        <w:t>e</w:t>
      </w:r>
      <w:r w:rsidRPr="00CC58FD">
        <w:rPr>
          <w:rFonts w:eastAsia="Verdana" w:cs="Verdana"/>
          <w:i/>
          <w:spacing w:val="9"/>
          <w:lang w:val="es-CR"/>
        </w:rPr>
        <w:t xml:space="preserve"> </w:t>
      </w:r>
      <w:r w:rsidRPr="00CC58FD">
        <w:rPr>
          <w:rFonts w:eastAsia="Verdana" w:cs="Verdana"/>
          <w:i/>
          <w:spacing w:val="-1"/>
          <w:lang w:val="es-CR"/>
        </w:rPr>
        <w:t>li</w:t>
      </w:r>
      <w:r w:rsidRPr="00CC58FD">
        <w:rPr>
          <w:rFonts w:eastAsia="Verdana" w:cs="Verdana"/>
          <w:i/>
          <w:spacing w:val="1"/>
          <w:lang w:val="es-CR"/>
        </w:rPr>
        <w:t>b</w:t>
      </w:r>
      <w:r w:rsidRPr="00CC58FD">
        <w:rPr>
          <w:rFonts w:eastAsia="Verdana" w:cs="Verdana"/>
          <w:i/>
          <w:spacing w:val="-2"/>
          <w:lang w:val="es-CR"/>
        </w:rPr>
        <w:t>e</w:t>
      </w:r>
      <w:r w:rsidRPr="00CC58FD">
        <w:rPr>
          <w:rFonts w:eastAsia="Verdana" w:cs="Verdana"/>
          <w:i/>
          <w:spacing w:val="1"/>
          <w:lang w:val="es-CR"/>
        </w:rPr>
        <w:t>r</w:t>
      </w:r>
      <w:r w:rsidRPr="00CC58FD">
        <w:rPr>
          <w:rFonts w:eastAsia="Verdana" w:cs="Verdana"/>
          <w:i/>
          <w:spacing w:val="-1"/>
          <w:lang w:val="es-CR"/>
        </w:rPr>
        <w:t>ta</w:t>
      </w:r>
      <w:r w:rsidRPr="00CC58FD">
        <w:rPr>
          <w:rFonts w:eastAsia="Verdana" w:cs="Verdana"/>
          <w:i/>
          <w:lang w:val="es-CR"/>
        </w:rPr>
        <w:t>d</w:t>
      </w:r>
      <w:r w:rsidRPr="00CC58FD">
        <w:rPr>
          <w:rFonts w:eastAsia="Verdana" w:cs="Verdana"/>
          <w:i/>
          <w:spacing w:val="9"/>
          <w:lang w:val="es-CR"/>
        </w:rPr>
        <w:t xml:space="preserve"> </w:t>
      </w:r>
      <w:r w:rsidRPr="00CC58FD">
        <w:rPr>
          <w:rFonts w:eastAsia="Verdana" w:cs="Verdana"/>
          <w:i/>
          <w:spacing w:val="-2"/>
          <w:lang w:val="es-CR"/>
        </w:rPr>
        <w:t>d</w:t>
      </w:r>
      <w:r w:rsidRPr="00CC58FD">
        <w:rPr>
          <w:rFonts w:eastAsia="Verdana" w:cs="Verdana"/>
          <w:i/>
          <w:lang w:val="es-CR"/>
        </w:rPr>
        <w:t>e</w:t>
      </w:r>
      <w:r w:rsidRPr="00CC58FD">
        <w:rPr>
          <w:rFonts w:eastAsia="Verdana" w:cs="Verdana"/>
          <w:i/>
          <w:spacing w:val="9"/>
          <w:lang w:val="es-CR"/>
        </w:rPr>
        <w:t xml:space="preserve"> </w:t>
      </w:r>
      <w:r w:rsidRPr="00CC58FD">
        <w:rPr>
          <w:rFonts w:eastAsia="Verdana" w:cs="Verdana"/>
          <w:i/>
          <w:spacing w:val="-1"/>
          <w:lang w:val="es-CR"/>
        </w:rPr>
        <w:t>l</w:t>
      </w:r>
      <w:r w:rsidRPr="00CC58FD">
        <w:rPr>
          <w:rFonts w:eastAsia="Verdana" w:cs="Verdana"/>
          <w:i/>
          <w:lang w:val="es-CR"/>
        </w:rPr>
        <w:t>a</w:t>
      </w:r>
      <w:r w:rsidRPr="00CC58FD">
        <w:rPr>
          <w:rFonts w:eastAsia="Verdana" w:cs="Verdana"/>
          <w:i/>
          <w:spacing w:val="8"/>
          <w:lang w:val="es-CR"/>
        </w:rPr>
        <w:t xml:space="preserve"> </w:t>
      </w:r>
      <w:r w:rsidRPr="00CC58FD">
        <w:rPr>
          <w:rFonts w:eastAsia="Verdana" w:cs="Verdana"/>
          <w:i/>
          <w:spacing w:val="-1"/>
          <w:lang w:val="es-CR"/>
        </w:rPr>
        <w:t>P</w:t>
      </w:r>
      <w:r w:rsidRPr="00CC58FD">
        <w:rPr>
          <w:rFonts w:eastAsia="Verdana" w:cs="Verdana"/>
          <w:i/>
          <w:lang w:val="es-CR"/>
        </w:rPr>
        <w:t>e</w:t>
      </w:r>
      <w:r w:rsidRPr="00CC58FD">
        <w:rPr>
          <w:rFonts w:eastAsia="Verdana" w:cs="Verdana"/>
          <w:i/>
          <w:spacing w:val="-1"/>
          <w:lang w:val="es-CR"/>
        </w:rPr>
        <w:t>ni</w:t>
      </w:r>
      <w:r w:rsidRPr="00CC58FD">
        <w:rPr>
          <w:rFonts w:eastAsia="Verdana" w:cs="Verdana"/>
          <w:i/>
          <w:spacing w:val="1"/>
          <w:lang w:val="es-CR"/>
        </w:rPr>
        <w:t>t</w:t>
      </w:r>
      <w:r w:rsidRPr="00CC58FD">
        <w:rPr>
          <w:rFonts w:eastAsia="Verdana" w:cs="Verdana"/>
          <w:i/>
          <w:lang w:val="es-CR"/>
        </w:rPr>
        <w:t>e</w:t>
      </w:r>
      <w:r w:rsidRPr="00CC58FD">
        <w:rPr>
          <w:rFonts w:eastAsia="Verdana" w:cs="Verdana"/>
          <w:i/>
          <w:spacing w:val="-1"/>
          <w:lang w:val="es-CR"/>
        </w:rPr>
        <w:t>n</w:t>
      </w:r>
      <w:r w:rsidRPr="00CC58FD">
        <w:rPr>
          <w:rFonts w:eastAsia="Verdana" w:cs="Verdana"/>
          <w:i/>
          <w:lang w:val="es-CR"/>
        </w:rPr>
        <w:t>c</w:t>
      </w:r>
      <w:r w:rsidRPr="00CC58FD">
        <w:rPr>
          <w:rFonts w:eastAsia="Verdana" w:cs="Verdana"/>
          <w:i/>
          <w:spacing w:val="-1"/>
          <w:lang w:val="es-CR"/>
        </w:rPr>
        <w:t>ia</w:t>
      </w:r>
      <w:r w:rsidRPr="00CC58FD">
        <w:rPr>
          <w:rFonts w:eastAsia="Verdana" w:cs="Verdana"/>
          <w:i/>
          <w:spacing w:val="1"/>
          <w:lang w:val="es-CR"/>
        </w:rPr>
        <w:t>r</w:t>
      </w:r>
      <w:r w:rsidRPr="00CC58FD">
        <w:rPr>
          <w:rFonts w:eastAsia="Verdana" w:cs="Verdana"/>
          <w:i/>
          <w:spacing w:val="-1"/>
          <w:lang w:val="es-CR"/>
        </w:rPr>
        <w:t>i</w:t>
      </w:r>
      <w:r w:rsidRPr="00CC58FD">
        <w:rPr>
          <w:rFonts w:eastAsia="Verdana" w:cs="Verdana"/>
          <w:i/>
          <w:lang w:val="es-CR"/>
        </w:rPr>
        <w:t>a</w:t>
      </w:r>
      <w:r w:rsidRPr="00CC58FD">
        <w:rPr>
          <w:rFonts w:eastAsia="Verdana" w:cs="Verdana"/>
          <w:i/>
          <w:spacing w:val="8"/>
          <w:lang w:val="es-CR"/>
        </w:rPr>
        <w:t xml:space="preserve"> </w:t>
      </w:r>
      <w:r w:rsidRPr="00CC58FD">
        <w:rPr>
          <w:rFonts w:eastAsia="Verdana" w:cs="Verdana"/>
          <w:i/>
          <w:spacing w:val="1"/>
          <w:lang w:val="es-CR"/>
        </w:rPr>
        <w:t>"</w:t>
      </w:r>
      <w:r w:rsidRPr="00CC58FD">
        <w:rPr>
          <w:rFonts w:eastAsia="Verdana" w:cs="Verdana"/>
          <w:i/>
          <w:spacing w:val="-1"/>
          <w:lang w:val="es-CR"/>
        </w:rPr>
        <w:t>D</w:t>
      </w:r>
      <w:r w:rsidRPr="00CC58FD">
        <w:rPr>
          <w:rFonts w:eastAsia="Verdana" w:cs="Verdana"/>
          <w:i/>
          <w:spacing w:val="1"/>
          <w:lang w:val="es-CR"/>
        </w:rPr>
        <w:t>r</w:t>
      </w:r>
      <w:r w:rsidRPr="00CC58FD">
        <w:rPr>
          <w:rFonts w:eastAsia="Verdana" w:cs="Verdana"/>
          <w:i/>
          <w:lang w:val="es-CR"/>
        </w:rPr>
        <w:t>.</w:t>
      </w:r>
      <w:r w:rsidRPr="00CC58FD">
        <w:rPr>
          <w:rFonts w:eastAsia="Verdana" w:cs="Verdana"/>
          <w:i/>
          <w:spacing w:val="8"/>
          <w:lang w:val="es-CR"/>
        </w:rPr>
        <w:t xml:space="preserve"> </w:t>
      </w:r>
      <w:r w:rsidRPr="00CC58FD">
        <w:rPr>
          <w:rFonts w:eastAsia="Verdana" w:cs="Verdana"/>
          <w:i/>
          <w:lang w:val="es-CR"/>
        </w:rPr>
        <w:t>S</w:t>
      </w:r>
      <w:r w:rsidRPr="00CC58FD">
        <w:rPr>
          <w:rFonts w:eastAsia="Verdana" w:cs="Verdana"/>
          <w:i/>
          <w:spacing w:val="-2"/>
          <w:lang w:val="es-CR"/>
        </w:rPr>
        <w:t>e</w:t>
      </w:r>
      <w:r w:rsidRPr="00CC58FD">
        <w:rPr>
          <w:rFonts w:eastAsia="Verdana" w:cs="Verdana"/>
          <w:i/>
          <w:spacing w:val="1"/>
          <w:lang w:val="es-CR"/>
        </w:rPr>
        <w:t>b</w:t>
      </w:r>
      <w:r w:rsidRPr="00CC58FD">
        <w:rPr>
          <w:rFonts w:eastAsia="Verdana" w:cs="Verdana"/>
          <w:i/>
          <w:spacing w:val="-1"/>
          <w:lang w:val="es-CR"/>
        </w:rPr>
        <w:t>a</w:t>
      </w:r>
      <w:r w:rsidRPr="00CC58FD">
        <w:rPr>
          <w:rFonts w:eastAsia="Verdana" w:cs="Verdana"/>
          <w:i/>
          <w:lang w:val="es-CR"/>
        </w:rPr>
        <w:t>s</w:t>
      </w:r>
      <w:r w:rsidRPr="00CC58FD">
        <w:rPr>
          <w:rFonts w:eastAsia="Verdana" w:cs="Verdana"/>
          <w:i/>
          <w:spacing w:val="-1"/>
          <w:lang w:val="es-CR"/>
        </w:rPr>
        <w:t>tiã</w:t>
      </w:r>
      <w:r w:rsidRPr="00CC58FD">
        <w:rPr>
          <w:rFonts w:eastAsia="Verdana" w:cs="Verdana"/>
          <w:i/>
          <w:lang w:val="es-CR"/>
        </w:rPr>
        <w:t>o</w:t>
      </w:r>
      <w:r w:rsidRPr="00CC58FD">
        <w:rPr>
          <w:rFonts w:eastAsia="Verdana" w:cs="Verdana"/>
          <w:i/>
          <w:spacing w:val="9"/>
          <w:lang w:val="es-CR"/>
        </w:rPr>
        <w:t xml:space="preserve"> </w:t>
      </w:r>
      <w:r w:rsidRPr="00CC58FD">
        <w:rPr>
          <w:rFonts w:eastAsia="Verdana" w:cs="Verdana"/>
          <w:i/>
          <w:spacing w:val="-1"/>
          <w:lang w:val="es-CR"/>
        </w:rPr>
        <w:t>Ma</w:t>
      </w:r>
      <w:r w:rsidRPr="00CC58FD">
        <w:rPr>
          <w:rFonts w:eastAsia="Verdana" w:cs="Verdana"/>
          <w:i/>
          <w:spacing w:val="1"/>
          <w:lang w:val="es-CR"/>
        </w:rPr>
        <w:t>r</w:t>
      </w:r>
      <w:r w:rsidRPr="00CC58FD">
        <w:rPr>
          <w:rFonts w:eastAsia="Verdana" w:cs="Verdana"/>
          <w:i/>
          <w:spacing w:val="-1"/>
          <w:lang w:val="es-CR"/>
        </w:rPr>
        <w:t>ti</w:t>
      </w:r>
      <w:r w:rsidRPr="00CC58FD">
        <w:rPr>
          <w:rFonts w:eastAsia="Verdana" w:cs="Verdana"/>
          <w:i/>
          <w:spacing w:val="-3"/>
          <w:lang w:val="es-CR"/>
        </w:rPr>
        <w:t>n</w:t>
      </w:r>
      <w:r w:rsidRPr="00CC58FD">
        <w:rPr>
          <w:rFonts w:eastAsia="Verdana" w:cs="Verdana"/>
          <w:i/>
          <w:lang w:val="es-CR"/>
        </w:rPr>
        <w:t>s</w:t>
      </w:r>
      <w:r w:rsidRPr="00CC58FD">
        <w:rPr>
          <w:rFonts w:eastAsia="Verdana" w:cs="Verdana"/>
          <w:i/>
          <w:spacing w:val="9"/>
          <w:lang w:val="es-CR"/>
        </w:rPr>
        <w:t xml:space="preserve"> </w:t>
      </w:r>
      <w:r w:rsidRPr="00CC58FD">
        <w:rPr>
          <w:rFonts w:eastAsia="Verdana" w:cs="Verdana"/>
          <w:i/>
          <w:lang w:val="es-CR"/>
        </w:rPr>
        <w:t>S</w:t>
      </w:r>
      <w:r w:rsidRPr="00CC58FD">
        <w:rPr>
          <w:rFonts w:eastAsia="Verdana" w:cs="Verdana"/>
          <w:i/>
          <w:spacing w:val="-1"/>
          <w:lang w:val="es-CR"/>
        </w:rPr>
        <w:t>il</w:t>
      </w:r>
      <w:r w:rsidRPr="00CC58FD">
        <w:rPr>
          <w:rFonts w:eastAsia="Verdana" w:cs="Verdana"/>
          <w:i/>
          <w:spacing w:val="1"/>
          <w:lang w:val="es-CR"/>
        </w:rPr>
        <w:t>v</w:t>
      </w:r>
      <w:r w:rsidRPr="00CC58FD">
        <w:rPr>
          <w:rFonts w:eastAsia="Verdana" w:cs="Verdana"/>
          <w:i/>
          <w:lang w:val="es-CR"/>
        </w:rPr>
        <w:t>e</w:t>
      </w:r>
      <w:r w:rsidRPr="00CC58FD">
        <w:rPr>
          <w:rFonts w:eastAsia="Verdana" w:cs="Verdana"/>
          <w:i/>
          <w:spacing w:val="-1"/>
          <w:lang w:val="es-CR"/>
        </w:rPr>
        <w:t>i</w:t>
      </w:r>
      <w:r w:rsidRPr="00CC58FD">
        <w:rPr>
          <w:rFonts w:eastAsia="Verdana" w:cs="Verdana"/>
          <w:i/>
          <w:spacing w:val="1"/>
          <w:lang w:val="es-CR"/>
        </w:rPr>
        <w:t>r</w:t>
      </w:r>
      <w:r w:rsidRPr="00CC58FD">
        <w:rPr>
          <w:rFonts w:eastAsia="Verdana" w:cs="Verdana"/>
          <w:i/>
          <w:spacing w:val="-3"/>
          <w:lang w:val="es-CR"/>
        </w:rPr>
        <w:t>a</w:t>
      </w:r>
      <w:r w:rsidRPr="00CC58FD">
        <w:rPr>
          <w:rFonts w:eastAsia="Verdana" w:cs="Verdana"/>
          <w:i/>
          <w:lang w:val="es-CR"/>
        </w:rPr>
        <w:t xml:space="preserve">" en </w:t>
      </w:r>
      <w:r w:rsidRPr="00CC58FD">
        <w:rPr>
          <w:rFonts w:eastAsia="Verdana" w:cs="Verdana"/>
          <w:i/>
          <w:spacing w:val="-2"/>
          <w:lang w:val="es-CR"/>
        </w:rPr>
        <w:t>A</w:t>
      </w:r>
      <w:r w:rsidRPr="00CC58FD">
        <w:rPr>
          <w:rFonts w:eastAsia="Verdana" w:cs="Verdana"/>
          <w:i/>
          <w:spacing w:val="1"/>
          <w:lang w:val="es-CR"/>
        </w:rPr>
        <w:t>r</w:t>
      </w:r>
      <w:r w:rsidRPr="00CC58FD">
        <w:rPr>
          <w:rFonts w:eastAsia="Verdana" w:cs="Verdana"/>
          <w:i/>
          <w:spacing w:val="-1"/>
          <w:lang w:val="es-CR"/>
        </w:rPr>
        <w:t>a</w:t>
      </w:r>
      <w:r w:rsidRPr="00CC58FD">
        <w:rPr>
          <w:rFonts w:eastAsia="Verdana" w:cs="Verdana"/>
          <w:i/>
          <w:spacing w:val="1"/>
          <w:lang w:val="es-CR"/>
        </w:rPr>
        <w:t>r</w:t>
      </w:r>
      <w:r w:rsidRPr="00CC58FD">
        <w:rPr>
          <w:rFonts w:eastAsia="Verdana" w:cs="Verdana"/>
          <w:i/>
          <w:spacing w:val="-3"/>
          <w:lang w:val="es-CR"/>
        </w:rPr>
        <w:t>a</w:t>
      </w:r>
      <w:r w:rsidRPr="00CC58FD">
        <w:rPr>
          <w:rFonts w:eastAsia="Verdana" w:cs="Verdana"/>
          <w:i/>
          <w:spacing w:val="1"/>
          <w:lang w:val="es-CR"/>
        </w:rPr>
        <w:t>q</w:t>
      </w:r>
      <w:r w:rsidRPr="00CC58FD">
        <w:rPr>
          <w:rFonts w:eastAsia="Verdana" w:cs="Verdana"/>
          <w:i/>
          <w:spacing w:val="-1"/>
          <w:lang w:val="es-CR"/>
        </w:rPr>
        <w:t>ua</w:t>
      </w:r>
      <w:r w:rsidRPr="00CC58FD">
        <w:rPr>
          <w:rFonts w:eastAsia="Verdana" w:cs="Verdana"/>
          <w:i/>
          <w:spacing w:val="1"/>
          <w:lang w:val="es-CR"/>
        </w:rPr>
        <w:t>r</w:t>
      </w:r>
      <w:r w:rsidRPr="00CC58FD">
        <w:rPr>
          <w:rFonts w:eastAsia="Verdana" w:cs="Verdana"/>
          <w:i/>
          <w:spacing w:val="-1"/>
          <w:lang w:val="es-CR"/>
        </w:rPr>
        <w:t>a</w:t>
      </w:r>
      <w:r w:rsidRPr="00CC58FD">
        <w:rPr>
          <w:rFonts w:eastAsia="Verdana" w:cs="Verdana"/>
          <w:lang w:val="es-CR"/>
        </w:rPr>
        <w:t>,</w:t>
      </w:r>
      <w:r w:rsidRPr="00CC58FD">
        <w:rPr>
          <w:rFonts w:eastAsia="Verdana" w:cs="Verdana"/>
          <w:spacing w:val="-2"/>
          <w:lang w:val="es-CR"/>
        </w:rPr>
        <w:t xml:space="preserve"> </w:t>
      </w:r>
      <w:r w:rsidRPr="00CC58FD">
        <w:rPr>
          <w:rFonts w:eastAsia="Verdana" w:cs="Verdana"/>
          <w:lang w:val="es-CR"/>
        </w:rPr>
        <w:t>S</w:t>
      </w:r>
      <w:r w:rsidRPr="00CC58FD">
        <w:rPr>
          <w:rFonts w:eastAsia="Verdana" w:cs="Verdana"/>
          <w:spacing w:val="-1"/>
          <w:lang w:val="es-CR"/>
        </w:rPr>
        <w:t>ã</w:t>
      </w:r>
      <w:r w:rsidRPr="00CC58FD">
        <w:rPr>
          <w:rFonts w:eastAsia="Verdana" w:cs="Verdana"/>
          <w:lang w:val="es-CR"/>
        </w:rPr>
        <w:t xml:space="preserve">o </w:t>
      </w:r>
      <w:r w:rsidRPr="00CC58FD">
        <w:rPr>
          <w:rFonts w:eastAsia="Verdana" w:cs="Verdana"/>
          <w:spacing w:val="-1"/>
          <w:lang w:val="es-CR"/>
        </w:rPr>
        <w:t>Paul</w:t>
      </w:r>
      <w:r w:rsidRPr="00CC58FD">
        <w:rPr>
          <w:rFonts w:eastAsia="Verdana" w:cs="Verdana"/>
          <w:spacing w:val="1"/>
          <w:lang w:val="es-CR"/>
        </w:rPr>
        <w:t>o</w:t>
      </w:r>
      <w:r w:rsidRPr="00CC58FD">
        <w:rPr>
          <w:rFonts w:eastAsia="Verdana" w:cs="Verdana"/>
          <w:lang w:val="es-CR"/>
        </w:rPr>
        <w:t xml:space="preserve">. </w:t>
      </w:r>
      <w:r w:rsidRPr="00CC58FD">
        <w:rPr>
          <w:rFonts w:eastAsia="Verdana" w:cs="Verdana"/>
          <w:spacing w:val="-2"/>
          <w:lang w:val="es-CR"/>
        </w:rPr>
        <w:t>S</w:t>
      </w:r>
      <w:r w:rsidRPr="00CC58FD">
        <w:rPr>
          <w:rFonts w:eastAsia="Verdana" w:cs="Verdana"/>
          <w:spacing w:val="1"/>
          <w:lang w:val="es-CR"/>
        </w:rPr>
        <w:t>o</w:t>
      </w:r>
      <w:r w:rsidRPr="00CC58FD">
        <w:rPr>
          <w:rFonts w:eastAsia="Verdana" w:cs="Verdana"/>
          <w:spacing w:val="-1"/>
          <w:lang w:val="es-CR"/>
        </w:rPr>
        <w:t>li</w:t>
      </w:r>
      <w:r w:rsidRPr="00CC58FD">
        <w:rPr>
          <w:rFonts w:eastAsia="Verdana" w:cs="Verdana"/>
          <w:lang w:val="es-CR"/>
        </w:rPr>
        <w:t>c</w:t>
      </w:r>
      <w:r w:rsidRPr="00CC58FD">
        <w:rPr>
          <w:rFonts w:eastAsia="Verdana" w:cs="Verdana"/>
          <w:spacing w:val="-1"/>
          <w:lang w:val="es-CR"/>
        </w:rPr>
        <w:t>itu</w:t>
      </w:r>
      <w:r w:rsidRPr="00CC58FD">
        <w:rPr>
          <w:rFonts w:eastAsia="Verdana" w:cs="Verdana"/>
          <w:lang w:val="es-CR"/>
        </w:rPr>
        <w:t>d</w:t>
      </w:r>
      <w:r w:rsidRPr="00CC58FD">
        <w:rPr>
          <w:rFonts w:eastAsia="Verdana" w:cs="Verdana"/>
          <w:spacing w:val="2"/>
          <w:lang w:val="es-CR"/>
        </w:rPr>
        <w:t xml:space="preserve"> </w:t>
      </w:r>
      <w:r w:rsidRPr="00CC58FD">
        <w:rPr>
          <w:rFonts w:eastAsia="Verdana" w:cs="Verdana"/>
          <w:spacing w:val="1"/>
          <w:lang w:val="es-CR"/>
        </w:rPr>
        <w:t>d</w:t>
      </w:r>
      <w:r w:rsidRPr="00CC58FD">
        <w:rPr>
          <w:rFonts w:eastAsia="Verdana" w:cs="Verdana"/>
          <w:lang w:val="es-CR"/>
        </w:rPr>
        <w:t>e</w:t>
      </w:r>
      <w:r w:rsidRPr="00CC58FD">
        <w:rPr>
          <w:rFonts w:eastAsia="Verdana" w:cs="Verdana"/>
          <w:spacing w:val="-1"/>
          <w:lang w:val="es-CR"/>
        </w:rPr>
        <w:t xml:space="preserve"> M</w:t>
      </w:r>
      <w:r w:rsidRPr="00CC58FD">
        <w:rPr>
          <w:rFonts w:eastAsia="Verdana" w:cs="Verdana"/>
          <w:lang w:val="es-CR"/>
        </w:rPr>
        <w:t>e</w:t>
      </w:r>
      <w:r w:rsidRPr="00CC58FD">
        <w:rPr>
          <w:rFonts w:eastAsia="Verdana" w:cs="Verdana"/>
          <w:spacing w:val="1"/>
          <w:lang w:val="es-CR"/>
        </w:rPr>
        <w:t>d</w:t>
      </w:r>
      <w:r w:rsidRPr="00CC58FD">
        <w:rPr>
          <w:rFonts w:eastAsia="Verdana" w:cs="Verdana"/>
          <w:spacing w:val="-1"/>
          <w:lang w:val="es-CR"/>
        </w:rPr>
        <w:t>i</w:t>
      </w:r>
      <w:r w:rsidRPr="00CC58FD">
        <w:rPr>
          <w:rFonts w:eastAsia="Verdana" w:cs="Verdana"/>
          <w:spacing w:val="1"/>
          <w:lang w:val="es-CR"/>
        </w:rPr>
        <w:t>d</w:t>
      </w:r>
      <w:r w:rsidRPr="00CC58FD">
        <w:rPr>
          <w:rFonts w:eastAsia="Verdana" w:cs="Verdana"/>
          <w:spacing w:val="-1"/>
          <w:lang w:val="es-CR"/>
        </w:rPr>
        <w:t>a</w:t>
      </w:r>
      <w:r w:rsidRPr="00CC58FD">
        <w:rPr>
          <w:rFonts w:eastAsia="Verdana" w:cs="Verdana"/>
          <w:lang w:val="es-CR"/>
        </w:rPr>
        <w:t>s</w:t>
      </w:r>
      <w:r w:rsidRPr="00CC58FD">
        <w:rPr>
          <w:rFonts w:eastAsia="Verdana" w:cs="Verdana"/>
          <w:spacing w:val="-1"/>
          <w:lang w:val="es-CR"/>
        </w:rPr>
        <w:t xml:space="preserve"> Pr</w:t>
      </w:r>
      <w:r w:rsidRPr="00CC58FD">
        <w:rPr>
          <w:rFonts w:eastAsia="Verdana" w:cs="Verdana"/>
          <w:spacing w:val="1"/>
          <w:lang w:val="es-CR"/>
        </w:rPr>
        <w:t>ov</w:t>
      </w:r>
      <w:r w:rsidRPr="00CC58FD">
        <w:rPr>
          <w:rFonts w:eastAsia="Verdana" w:cs="Verdana"/>
          <w:spacing w:val="-1"/>
          <w:lang w:val="es-CR"/>
        </w:rPr>
        <w:t>i</w:t>
      </w:r>
      <w:r w:rsidRPr="00CC58FD">
        <w:rPr>
          <w:rFonts w:eastAsia="Verdana" w:cs="Verdana"/>
          <w:lang w:val="es-CR"/>
        </w:rPr>
        <w:t>s</w:t>
      </w:r>
      <w:r w:rsidRPr="00CC58FD">
        <w:rPr>
          <w:rFonts w:eastAsia="Verdana" w:cs="Verdana"/>
          <w:spacing w:val="-3"/>
          <w:lang w:val="es-CR"/>
        </w:rPr>
        <w:t>i</w:t>
      </w:r>
      <w:r w:rsidRPr="00CC58FD">
        <w:rPr>
          <w:rFonts w:eastAsia="Verdana" w:cs="Verdana"/>
          <w:spacing w:val="1"/>
          <w:lang w:val="es-CR"/>
        </w:rPr>
        <w:t>o</w:t>
      </w:r>
      <w:r w:rsidRPr="00CC58FD">
        <w:rPr>
          <w:rFonts w:eastAsia="Verdana" w:cs="Verdana"/>
          <w:spacing w:val="-1"/>
          <w:lang w:val="es-CR"/>
        </w:rPr>
        <w:t>nal</w:t>
      </w:r>
      <w:r w:rsidRPr="00CC58FD">
        <w:rPr>
          <w:rFonts w:eastAsia="Verdana" w:cs="Verdana"/>
          <w:lang w:val="es-CR"/>
        </w:rPr>
        <w:t>es</w:t>
      </w:r>
      <w:r w:rsidRPr="00CC58FD">
        <w:rPr>
          <w:rFonts w:eastAsia="Verdana" w:cs="Verdana"/>
          <w:spacing w:val="1"/>
          <w:lang w:val="es-CR"/>
        </w:rPr>
        <w:t xml:space="preserve"> </w:t>
      </w:r>
      <w:r w:rsidRPr="00CC58FD">
        <w:rPr>
          <w:rFonts w:eastAsia="Verdana" w:cs="Verdana"/>
          <w:spacing w:val="-2"/>
          <w:lang w:val="es-CR"/>
        </w:rPr>
        <w:t>p</w:t>
      </w:r>
      <w:r w:rsidRPr="00CC58FD">
        <w:rPr>
          <w:rFonts w:eastAsia="Verdana" w:cs="Verdana"/>
          <w:spacing w:val="1"/>
          <w:lang w:val="es-CR"/>
        </w:rPr>
        <w:t>r</w:t>
      </w:r>
      <w:r w:rsidRPr="00CC58FD">
        <w:rPr>
          <w:rFonts w:eastAsia="Verdana" w:cs="Verdana"/>
          <w:lang w:val="es-CR"/>
        </w:rPr>
        <w:t>e</w:t>
      </w:r>
      <w:r w:rsidRPr="00CC58FD">
        <w:rPr>
          <w:rFonts w:eastAsia="Verdana" w:cs="Verdana"/>
          <w:spacing w:val="-2"/>
          <w:lang w:val="es-CR"/>
        </w:rPr>
        <w:t>s</w:t>
      </w:r>
      <w:r w:rsidRPr="00CC58FD">
        <w:rPr>
          <w:rFonts w:eastAsia="Verdana" w:cs="Verdana"/>
          <w:lang w:val="es-CR"/>
        </w:rPr>
        <w:t>e</w:t>
      </w:r>
      <w:r w:rsidRPr="00CC58FD">
        <w:rPr>
          <w:rFonts w:eastAsia="Verdana" w:cs="Verdana"/>
          <w:spacing w:val="-1"/>
          <w:lang w:val="es-CR"/>
        </w:rPr>
        <w:t>nta</w:t>
      </w:r>
      <w:r w:rsidRPr="00CC58FD">
        <w:rPr>
          <w:rFonts w:eastAsia="Verdana" w:cs="Verdana"/>
          <w:spacing w:val="1"/>
          <w:lang w:val="es-CR"/>
        </w:rPr>
        <w:t>d</w:t>
      </w:r>
      <w:r w:rsidRPr="00CC58FD">
        <w:rPr>
          <w:rFonts w:eastAsia="Verdana" w:cs="Verdana"/>
          <w:lang w:val="es-CR"/>
        </w:rPr>
        <w:t>a</w:t>
      </w:r>
      <w:r w:rsidRPr="00CC58FD">
        <w:rPr>
          <w:rFonts w:eastAsia="Verdana" w:cs="Verdana"/>
          <w:spacing w:val="-2"/>
          <w:lang w:val="es-CR"/>
        </w:rPr>
        <w:t xml:space="preserve"> </w:t>
      </w:r>
      <w:r w:rsidRPr="00CC58FD">
        <w:rPr>
          <w:rFonts w:eastAsia="Verdana" w:cs="Verdana"/>
          <w:spacing w:val="1"/>
          <w:lang w:val="es-CR"/>
        </w:rPr>
        <w:t>p</w:t>
      </w:r>
      <w:r w:rsidRPr="00CC58FD">
        <w:rPr>
          <w:rFonts w:eastAsia="Verdana" w:cs="Verdana"/>
          <w:spacing w:val="-2"/>
          <w:lang w:val="es-CR"/>
        </w:rPr>
        <w:t>o</w:t>
      </w:r>
      <w:r w:rsidRPr="00CC58FD">
        <w:rPr>
          <w:rFonts w:eastAsia="Verdana" w:cs="Verdana"/>
          <w:lang w:val="es-CR"/>
        </w:rPr>
        <w:t>r</w:t>
      </w:r>
      <w:r w:rsidRPr="00CC58FD">
        <w:rPr>
          <w:rFonts w:eastAsia="Verdana" w:cs="Verdana"/>
          <w:spacing w:val="2"/>
          <w:lang w:val="es-CR"/>
        </w:rPr>
        <w:t xml:space="preserve"> </w:t>
      </w:r>
      <w:r w:rsidRPr="00CC58FD">
        <w:rPr>
          <w:rFonts w:eastAsia="Verdana" w:cs="Verdana"/>
          <w:spacing w:val="-1"/>
          <w:lang w:val="es-CR"/>
        </w:rPr>
        <w:t>l</w:t>
      </w:r>
      <w:r w:rsidRPr="00CC58FD">
        <w:rPr>
          <w:rFonts w:eastAsia="Verdana" w:cs="Verdana"/>
          <w:lang w:val="es-CR"/>
        </w:rPr>
        <w:t>a</w:t>
      </w:r>
      <w:r w:rsidRPr="00CC58FD">
        <w:rPr>
          <w:rFonts w:eastAsia="Verdana" w:cs="Verdana"/>
          <w:spacing w:val="-2"/>
          <w:lang w:val="es-CR"/>
        </w:rPr>
        <w:t xml:space="preserve"> </w:t>
      </w:r>
      <w:r w:rsidRPr="00CC58FD">
        <w:rPr>
          <w:rFonts w:eastAsia="Verdana" w:cs="Verdana"/>
          <w:lang w:val="es-CR"/>
        </w:rPr>
        <w:t>C</w:t>
      </w:r>
      <w:r w:rsidRPr="00CC58FD">
        <w:rPr>
          <w:rFonts w:eastAsia="Verdana" w:cs="Verdana"/>
          <w:spacing w:val="-2"/>
          <w:lang w:val="es-CR"/>
        </w:rPr>
        <w:t>o</w:t>
      </w:r>
      <w:r w:rsidRPr="00CC58FD">
        <w:rPr>
          <w:rFonts w:eastAsia="Verdana" w:cs="Verdana"/>
          <w:lang w:val="es-CR"/>
        </w:rPr>
        <w:t>m</w:t>
      </w:r>
      <w:r w:rsidRPr="00CC58FD">
        <w:rPr>
          <w:rFonts w:eastAsia="Verdana" w:cs="Verdana"/>
          <w:spacing w:val="-1"/>
          <w:lang w:val="es-CR"/>
        </w:rPr>
        <w:t>i</w:t>
      </w:r>
      <w:r w:rsidRPr="00CC58FD">
        <w:rPr>
          <w:rFonts w:eastAsia="Verdana" w:cs="Verdana"/>
          <w:lang w:val="es-CR"/>
        </w:rPr>
        <w:t>s</w:t>
      </w:r>
      <w:r w:rsidRPr="00CC58FD">
        <w:rPr>
          <w:rFonts w:eastAsia="Verdana" w:cs="Verdana"/>
          <w:spacing w:val="-1"/>
          <w:lang w:val="es-CR"/>
        </w:rPr>
        <w:t>i</w:t>
      </w:r>
      <w:r w:rsidRPr="00CC58FD">
        <w:rPr>
          <w:rFonts w:eastAsia="Verdana" w:cs="Verdana"/>
          <w:spacing w:val="1"/>
          <w:lang w:val="es-CR"/>
        </w:rPr>
        <w:t>ó</w:t>
      </w:r>
      <w:r w:rsidRPr="00CC58FD">
        <w:rPr>
          <w:rFonts w:eastAsia="Verdana" w:cs="Verdana"/>
          <w:lang w:val="es-CR"/>
        </w:rPr>
        <w:t>n</w:t>
      </w:r>
      <w:r w:rsidRPr="00CC58FD">
        <w:rPr>
          <w:rFonts w:eastAsia="Verdana" w:cs="Verdana"/>
          <w:spacing w:val="-2"/>
          <w:lang w:val="es-CR"/>
        </w:rPr>
        <w:t xml:space="preserve"> </w:t>
      </w:r>
      <w:r w:rsidRPr="00CC58FD">
        <w:rPr>
          <w:rFonts w:eastAsia="Verdana" w:cs="Verdana"/>
          <w:spacing w:val="2"/>
          <w:lang w:val="es-CR"/>
        </w:rPr>
        <w:t>I</w:t>
      </w:r>
      <w:r w:rsidRPr="00CC58FD">
        <w:rPr>
          <w:rFonts w:eastAsia="Verdana" w:cs="Verdana"/>
          <w:spacing w:val="-1"/>
          <w:lang w:val="es-CR"/>
        </w:rPr>
        <w:t>nt</w:t>
      </w:r>
      <w:r w:rsidRPr="00CC58FD">
        <w:rPr>
          <w:rFonts w:eastAsia="Verdana" w:cs="Verdana"/>
          <w:lang w:val="es-CR"/>
        </w:rPr>
        <w:t>e</w:t>
      </w:r>
      <w:r w:rsidRPr="00CC58FD">
        <w:rPr>
          <w:rFonts w:eastAsia="Verdana" w:cs="Verdana"/>
          <w:spacing w:val="1"/>
          <w:lang w:val="es-CR"/>
        </w:rPr>
        <w:t>r</w:t>
      </w:r>
      <w:r w:rsidRPr="00CC58FD">
        <w:rPr>
          <w:rFonts w:eastAsia="Verdana" w:cs="Verdana"/>
          <w:spacing w:val="-1"/>
          <w:lang w:val="es-CR"/>
        </w:rPr>
        <w:t>a</w:t>
      </w:r>
      <w:r w:rsidRPr="00CC58FD">
        <w:rPr>
          <w:rFonts w:eastAsia="Verdana" w:cs="Verdana"/>
          <w:spacing w:val="-3"/>
          <w:lang w:val="es-CR"/>
        </w:rPr>
        <w:t>m</w:t>
      </w:r>
      <w:r w:rsidRPr="00CC58FD">
        <w:rPr>
          <w:rFonts w:eastAsia="Verdana" w:cs="Verdana"/>
          <w:lang w:val="es-CR"/>
        </w:rPr>
        <w:t>e</w:t>
      </w:r>
      <w:r w:rsidRPr="00CC58FD">
        <w:rPr>
          <w:rFonts w:eastAsia="Verdana" w:cs="Verdana"/>
          <w:spacing w:val="1"/>
          <w:lang w:val="es-CR"/>
        </w:rPr>
        <w:t>r</w:t>
      </w:r>
      <w:r w:rsidRPr="00CC58FD">
        <w:rPr>
          <w:rFonts w:eastAsia="Verdana" w:cs="Verdana"/>
          <w:spacing w:val="-1"/>
          <w:lang w:val="es-CR"/>
        </w:rPr>
        <w:t>i</w:t>
      </w:r>
      <w:r w:rsidRPr="00CC58FD">
        <w:rPr>
          <w:rFonts w:eastAsia="Verdana" w:cs="Verdana"/>
          <w:lang w:val="es-CR"/>
        </w:rPr>
        <w:t>c</w:t>
      </w:r>
      <w:r w:rsidRPr="00CC58FD">
        <w:rPr>
          <w:rFonts w:eastAsia="Verdana" w:cs="Verdana"/>
          <w:spacing w:val="-1"/>
          <w:lang w:val="es-CR"/>
        </w:rPr>
        <w:t>an</w:t>
      </w:r>
      <w:r w:rsidRPr="00CC58FD">
        <w:rPr>
          <w:rFonts w:eastAsia="Verdana" w:cs="Verdana"/>
          <w:lang w:val="es-CR"/>
        </w:rPr>
        <w:t>a</w:t>
      </w:r>
      <w:r w:rsidRPr="00CC58FD">
        <w:rPr>
          <w:rFonts w:eastAsia="Verdana" w:cs="Verdana"/>
          <w:spacing w:val="-2"/>
          <w:lang w:val="es-CR"/>
        </w:rPr>
        <w:t xml:space="preserve"> </w:t>
      </w:r>
      <w:r w:rsidRPr="00CC58FD">
        <w:rPr>
          <w:rFonts w:eastAsia="Verdana" w:cs="Verdana"/>
          <w:spacing w:val="1"/>
          <w:lang w:val="es-CR"/>
        </w:rPr>
        <w:t>d</w:t>
      </w:r>
      <w:r w:rsidRPr="00CC58FD">
        <w:rPr>
          <w:rFonts w:eastAsia="Verdana" w:cs="Verdana"/>
          <w:lang w:val="es-CR"/>
        </w:rPr>
        <w:t xml:space="preserve">e </w:t>
      </w:r>
      <w:r w:rsidRPr="00CC58FD">
        <w:rPr>
          <w:rFonts w:eastAsia="Verdana" w:cs="Verdana"/>
          <w:spacing w:val="1"/>
          <w:lang w:val="es-CR"/>
        </w:rPr>
        <w:t>D</w:t>
      </w:r>
      <w:r w:rsidRPr="00CC58FD">
        <w:rPr>
          <w:rFonts w:eastAsia="Verdana" w:cs="Verdana"/>
          <w:lang w:val="es-CR"/>
        </w:rPr>
        <w:t>e</w:t>
      </w:r>
      <w:r w:rsidRPr="00CC58FD">
        <w:rPr>
          <w:rFonts w:eastAsia="Verdana" w:cs="Verdana"/>
          <w:spacing w:val="-1"/>
          <w:lang w:val="es-CR"/>
        </w:rPr>
        <w:t>r</w:t>
      </w:r>
      <w:r w:rsidRPr="00CC58FD">
        <w:rPr>
          <w:rFonts w:eastAsia="Verdana" w:cs="Verdana"/>
          <w:lang w:val="es-CR"/>
        </w:rPr>
        <w:t>ec</w:t>
      </w:r>
      <w:r w:rsidRPr="00CC58FD">
        <w:rPr>
          <w:rFonts w:eastAsia="Verdana" w:cs="Verdana"/>
          <w:spacing w:val="-1"/>
          <w:lang w:val="es-CR"/>
        </w:rPr>
        <w:t>h</w:t>
      </w:r>
      <w:r w:rsidRPr="00CC58FD">
        <w:rPr>
          <w:rFonts w:eastAsia="Verdana" w:cs="Verdana"/>
          <w:spacing w:val="-2"/>
          <w:lang w:val="es-CR"/>
        </w:rPr>
        <w:t>o</w:t>
      </w:r>
      <w:r w:rsidRPr="00CC58FD">
        <w:rPr>
          <w:rFonts w:eastAsia="Verdana" w:cs="Verdana"/>
          <w:lang w:val="es-CR"/>
        </w:rPr>
        <w:t>s</w:t>
      </w:r>
      <w:r w:rsidRPr="00CC58FD">
        <w:rPr>
          <w:rFonts w:eastAsia="Verdana" w:cs="Verdana"/>
          <w:spacing w:val="16"/>
          <w:lang w:val="es-CR"/>
        </w:rPr>
        <w:t xml:space="preserve"> </w:t>
      </w:r>
      <w:r w:rsidRPr="00CC58FD">
        <w:rPr>
          <w:rFonts w:eastAsia="Verdana" w:cs="Verdana"/>
          <w:spacing w:val="-1"/>
          <w:lang w:val="es-CR"/>
        </w:rPr>
        <w:t>Hu</w:t>
      </w:r>
      <w:r w:rsidRPr="00CC58FD">
        <w:rPr>
          <w:rFonts w:eastAsia="Verdana" w:cs="Verdana"/>
          <w:lang w:val="es-CR"/>
        </w:rPr>
        <w:t>m</w:t>
      </w:r>
      <w:r w:rsidRPr="00CC58FD">
        <w:rPr>
          <w:rFonts w:eastAsia="Verdana" w:cs="Verdana"/>
          <w:spacing w:val="-1"/>
          <w:lang w:val="es-CR"/>
        </w:rPr>
        <w:t>an</w:t>
      </w:r>
      <w:r w:rsidRPr="00CC58FD">
        <w:rPr>
          <w:rFonts w:eastAsia="Verdana" w:cs="Verdana"/>
          <w:spacing w:val="1"/>
          <w:lang w:val="es-CR"/>
        </w:rPr>
        <w:t>o</w:t>
      </w:r>
      <w:r w:rsidRPr="00CC58FD">
        <w:rPr>
          <w:rFonts w:eastAsia="Verdana" w:cs="Verdana"/>
          <w:lang w:val="es-CR"/>
        </w:rPr>
        <w:t>s</w:t>
      </w:r>
      <w:r w:rsidRPr="00CC58FD">
        <w:rPr>
          <w:rFonts w:eastAsia="Verdana" w:cs="Verdana"/>
          <w:spacing w:val="13"/>
          <w:lang w:val="es-CR"/>
        </w:rPr>
        <w:t xml:space="preserve"> </w:t>
      </w:r>
      <w:r w:rsidRPr="00CC58FD">
        <w:rPr>
          <w:rFonts w:eastAsia="Verdana" w:cs="Verdana"/>
          <w:spacing w:val="-1"/>
          <w:lang w:val="es-CR"/>
        </w:rPr>
        <w:t>r</w:t>
      </w:r>
      <w:r w:rsidRPr="00CC58FD">
        <w:rPr>
          <w:rFonts w:eastAsia="Verdana" w:cs="Verdana"/>
          <w:lang w:val="es-CR"/>
        </w:rPr>
        <w:t>es</w:t>
      </w:r>
      <w:r w:rsidRPr="00CC58FD">
        <w:rPr>
          <w:rFonts w:eastAsia="Verdana" w:cs="Verdana"/>
          <w:spacing w:val="-2"/>
          <w:lang w:val="es-CR"/>
        </w:rPr>
        <w:t>p</w:t>
      </w:r>
      <w:r w:rsidRPr="00CC58FD">
        <w:rPr>
          <w:rFonts w:eastAsia="Verdana" w:cs="Verdana"/>
          <w:lang w:val="es-CR"/>
        </w:rPr>
        <w:t>ec</w:t>
      </w:r>
      <w:r w:rsidRPr="00CC58FD">
        <w:rPr>
          <w:rFonts w:eastAsia="Verdana" w:cs="Verdana"/>
          <w:spacing w:val="-1"/>
          <w:lang w:val="es-CR"/>
        </w:rPr>
        <w:t>t</w:t>
      </w:r>
      <w:r w:rsidRPr="00CC58FD">
        <w:rPr>
          <w:rFonts w:eastAsia="Verdana" w:cs="Verdana"/>
          <w:lang w:val="es-CR"/>
        </w:rPr>
        <w:t>o</w:t>
      </w:r>
      <w:r w:rsidRPr="00CC58FD">
        <w:rPr>
          <w:rFonts w:eastAsia="Verdana" w:cs="Verdana"/>
          <w:spacing w:val="14"/>
          <w:lang w:val="es-CR"/>
        </w:rPr>
        <w:t xml:space="preserve"> </w:t>
      </w:r>
      <w:r w:rsidRPr="00CC58FD">
        <w:rPr>
          <w:rFonts w:eastAsia="Verdana" w:cs="Verdana"/>
          <w:spacing w:val="1"/>
          <w:lang w:val="es-CR"/>
        </w:rPr>
        <w:t>d</w:t>
      </w:r>
      <w:r w:rsidRPr="00CC58FD">
        <w:rPr>
          <w:rFonts w:eastAsia="Verdana" w:cs="Verdana"/>
          <w:lang w:val="es-CR"/>
        </w:rPr>
        <w:t>e</w:t>
      </w:r>
      <w:r w:rsidRPr="00CC58FD">
        <w:rPr>
          <w:rFonts w:eastAsia="Verdana" w:cs="Verdana"/>
          <w:spacing w:val="16"/>
          <w:lang w:val="es-CR"/>
        </w:rPr>
        <w:t xml:space="preserve"> </w:t>
      </w:r>
      <w:r w:rsidRPr="00CC58FD">
        <w:rPr>
          <w:rFonts w:eastAsia="Verdana" w:cs="Verdana"/>
          <w:spacing w:val="-2"/>
          <w:lang w:val="es-CR"/>
        </w:rPr>
        <w:t>B</w:t>
      </w:r>
      <w:r w:rsidRPr="00CC58FD">
        <w:rPr>
          <w:rFonts w:eastAsia="Verdana" w:cs="Verdana"/>
          <w:spacing w:val="1"/>
          <w:lang w:val="es-CR"/>
        </w:rPr>
        <w:t>r</w:t>
      </w:r>
      <w:r w:rsidRPr="00CC58FD">
        <w:rPr>
          <w:rFonts w:eastAsia="Verdana" w:cs="Verdana"/>
          <w:spacing w:val="-1"/>
          <w:lang w:val="es-CR"/>
        </w:rPr>
        <w:t>a</w:t>
      </w:r>
      <w:r w:rsidRPr="00CC58FD">
        <w:rPr>
          <w:rFonts w:eastAsia="Verdana" w:cs="Verdana"/>
          <w:lang w:val="es-CR"/>
        </w:rPr>
        <w:t>s</w:t>
      </w:r>
      <w:r w:rsidRPr="00CC58FD">
        <w:rPr>
          <w:rFonts w:eastAsia="Verdana" w:cs="Verdana"/>
          <w:spacing w:val="-1"/>
          <w:lang w:val="es-CR"/>
        </w:rPr>
        <w:t>il</w:t>
      </w:r>
      <w:r w:rsidRPr="00CC58FD">
        <w:rPr>
          <w:rFonts w:eastAsia="Verdana" w:cs="Verdana"/>
          <w:lang w:val="es-CR"/>
        </w:rPr>
        <w:t>.</w:t>
      </w:r>
      <w:r w:rsidRPr="00CC58FD">
        <w:rPr>
          <w:rFonts w:eastAsia="Verdana" w:cs="Verdana"/>
          <w:spacing w:val="15"/>
          <w:lang w:val="es-CR"/>
        </w:rPr>
        <w:t xml:space="preserve"> </w:t>
      </w:r>
      <w:r w:rsidRPr="00CC58FD">
        <w:rPr>
          <w:rFonts w:eastAsia="Verdana" w:cs="Verdana"/>
          <w:spacing w:val="-1"/>
          <w:lang w:val="es-CR"/>
        </w:rPr>
        <w:t>R</w:t>
      </w:r>
      <w:r w:rsidRPr="00CC58FD">
        <w:rPr>
          <w:rFonts w:eastAsia="Verdana" w:cs="Verdana"/>
          <w:lang w:val="es-CR"/>
        </w:rPr>
        <w:t>es</w:t>
      </w:r>
      <w:r w:rsidRPr="00CC58FD">
        <w:rPr>
          <w:rFonts w:eastAsia="Verdana" w:cs="Verdana"/>
          <w:spacing w:val="1"/>
          <w:lang w:val="es-CR"/>
        </w:rPr>
        <w:t>o</w:t>
      </w:r>
      <w:r w:rsidRPr="00CC58FD">
        <w:rPr>
          <w:rFonts w:eastAsia="Verdana" w:cs="Verdana"/>
          <w:spacing w:val="-1"/>
          <w:lang w:val="es-CR"/>
        </w:rPr>
        <w:t>lu</w:t>
      </w:r>
      <w:r w:rsidRPr="00CC58FD">
        <w:rPr>
          <w:rFonts w:eastAsia="Verdana" w:cs="Verdana"/>
          <w:lang w:val="es-CR"/>
        </w:rPr>
        <w:t>c</w:t>
      </w:r>
      <w:r w:rsidRPr="00CC58FD">
        <w:rPr>
          <w:rFonts w:eastAsia="Verdana" w:cs="Verdana"/>
          <w:spacing w:val="-1"/>
          <w:lang w:val="es-CR"/>
        </w:rPr>
        <w:t>i</w:t>
      </w:r>
      <w:r w:rsidRPr="00CC58FD">
        <w:rPr>
          <w:rFonts w:eastAsia="Verdana" w:cs="Verdana"/>
          <w:spacing w:val="1"/>
          <w:lang w:val="es-CR"/>
        </w:rPr>
        <w:t>ó</w:t>
      </w:r>
      <w:r w:rsidRPr="00CC58FD">
        <w:rPr>
          <w:rFonts w:eastAsia="Verdana" w:cs="Verdana"/>
          <w:lang w:val="es-CR"/>
        </w:rPr>
        <w:t>n</w:t>
      </w:r>
      <w:r w:rsidRPr="00CC58FD">
        <w:rPr>
          <w:rFonts w:eastAsia="Verdana" w:cs="Verdana"/>
          <w:spacing w:val="12"/>
          <w:lang w:val="es-CR"/>
        </w:rPr>
        <w:t xml:space="preserve"> </w:t>
      </w:r>
      <w:r w:rsidRPr="00CC58FD">
        <w:rPr>
          <w:rFonts w:eastAsia="Verdana" w:cs="Verdana"/>
          <w:spacing w:val="1"/>
          <w:lang w:val="es-CR"/>
        </w:rPr>
        <w:t>d</w:t>
      </w:r>
      <w:r w:rsidRPr="00CC58FD">
        <w:rPr>
          <w:rFonts w:eastAsia="Verdana" w:cs="Verdana"/>
          <w:lang w:val="es-CR"/>
        </w:rPr>
        <w:t>e</w:t>
      </w:r>
      <w:r w:rsidRPr="00CC58FD">
        <w:rPr>
          <w:rFonts w:eastAsia="Verdana" w:cs="Verdana"/>
          <w:spacing w:val="13"/>
          <w:lang w:val="es-CR"/>
        </w:rPr>
        <w:t xml:space="preserve"> </w:t>
      </w:r>
      <w:r w:rsidRPr="00CC58FD">
        <w:rPr>
          <w:rFonts w:eastAsia="Verdana" w:cs="Verdana"/>
          <w:spacing w:val="-1"/>
          <w:lang w:val="es-CR"/>
        </w:rPr>
        <w:t>l</w:t>
      </w:r>
      <w:r w:rsidRPr="00CC58FD">
        <w:rPr>
          <w:rFonts w:eastAsia="Verdana" w:cs="Verdana"/>
          <w:lang w:val="es-CR"/>
        </w:rPr>
        <w:t>a</w:t>
      </w:r>
      <w:r w:rsidRPr="00CC58FD">
        <w:rPr>
          <w:rFonts w:eastAsia="Verdana" w:cs="Verdana"/>
          <w:spacing w:val="15"/>
          <w:lang w:val="es-CR"/>
        </w:rPr>
        <w:t xml:space="preserve"> </w:t>
      </w:r>
      <w:r w:rsidRPr="00CC58FD">
        <w:rPr>
          <w:rFonts w:eastAsia="Verdana" w:cs="Verdana"/>
          <w:spacing w:val="-2"/>
          <w:lang w:val="es-CR"/>
        </w:rPr>
        <w:t>Co</w:t>
      </w:r>
      <w:r w:rsidRPr="00CC58FD">
        <w:rPr>
          <w:rFonts w:eastAsia="Verdana" w:cs="Verdana"/>
          <w:spacing w:val="1"/>
          <w:lang w:val="es-CR"/>
        </w:rPr>
        <w:t>r</w:t>
      </w:r>
      <w:r w:rsidRPr="00CC58FD">
        <w:rPr>
          <w:rFonts w:eastAsia="Verdana" w:cs="Verdana"/>
          <w:spacing w:val="-1"/>
          <w:lang w:val="es-CR"/>
        </w:rPr>
        <w:t>t</w:t>
      </w:r>
      <w:r w:rsidRPr="00CC58FD">
        <w:rPr>
          <w:rFonts w:eastAsia="Verdana" w:cs="Verdana"/>
          <w:lang w:val="es-CR"/>
        </w:rPr>
        <w:t>e</w:t>
      </w:r>
      <w:r w:rsidRPr="00CC58FD">
        <w:rPr>
          <w:rFonts w:eastAsia="Verdana" w:cs="Verdana"/>
          <w:spacing w:val="13"/>
          <w:lang w:val="es-CR"/>
        </w:rPr>
        <w:t xml:space="preserve"> </w:t>
      </w:r>
      <w:r w:rsidRPr="00CC58FD">
        <w:rPr>
          <w:rFonts w:eastAsia="Verdana" w:cs="Verdana"/>
          <w:spacing w:val="2"/>
          <w:lang w:val="es-CR"/>
        </w:rPr>
        <w:t>I</w:t>
      </w:r>
      <w:r w:rsidRPr="00CC58FD">
        <w:rPr>
          <w:rFonts w:eastAsia="Verdana" w:cs="Verdana"/>
          <w:spacing w:val="-1"/>
          <w:lang w:val="es-CR"/>
        </w:rPr>
        <w:t>nt</w:t>
      </w:r>
      <w:r w:rsidRPr="00CC58FD">
        <w:rPr>
          <w:rFonts w:eastAsia="Verdana" w:cs="Verdana"/>
          <w:lang w:val="es-CR"/>
        </w:rPr>
        <w:t>e</w:t>
      </w:r>
      <w:r w:rsidRPr="00CC58FD">
        <w:rPr>
          <w:rFonts w:eastAsia="Verdana" w:cs="Verdana"/>
          <w:spacing w:val="1"/>
          <w:lang w:val="es-CR"/>
        </w:rPr>
        <w:t>r</w:t>
      </w:r>
      <w:r w:rsidRPr="00CC58FD">
        <w:rPr>
          <w:rFonts w:eastAsia="Verdana" w:cs="Verdana"/>
          <w:spacing w:val="-1"/>
          <w:lang w:val="es-CR"/>
        </w:rPr>
        <w:t>a</w:t>
      </w:r>
      <w:r w:rsidRPr="00CC58FD">
        <w:rPr>
          <w:rFonts w:eastAsia="Verdana" w:cs="Verdana"/>
          <w:spacing w:val="-3"/>
          <w:lang w:val="es-CR"/>
        </w:rPr>
        <w:t>m</w:t>
      </w:r>
      <w:r w:rsidRPr="00CC58FD">
        <w:rPr>
          <w:rFonts w:eastAsia="Verdana" w:cs="Verdana"/>
          <w:lang w:val="es-CR"/>
        </w:rPr>
        <w:t>e</w:t>
      </w:r>
      <w:r w:rsidRPr="00CC58FD">
        <w:rPr>
          <w:rFonts w:eastAsia="Verdana" w:cs="Verdana"/>
          <w:spacing w:val="1"/>
          <w:lang w:val="es-CR"/>
        </w:rPr>
        <w:t>r</w:t>
      </w:r>
      <w:r w:rsidRPr="00CC58FD">
        <w:rPr>
          <w:rFonts w:eastAsia="Verdana" w:cs="Verdana"/>
          <w:spacing w:val="-1"/>
          <w:lang w:val="es-CR"/>
        </w:rPr>
        <w:t>i</w:t>
      </w:r>
      <w:r w:rsidRPr="00CC58FD">
        <w:rPr>
          <w:rFonts w:eastAsia="Verdana" w:cs="Verdana"/>
          <w:lang w:val="es-CR"/>
        </w:rPr>
        <w:t>c</w:t>
      </w:r>
      <w:r w:rsidRPr="00CC58FD">
        <w:rPr>
          <w:rFonts w:eastAsia="Verdana" w:cs="Verdana"/>
          <w:spacing w:val="-1"/>
          <w:lang w:val="es-CR"/>
        </w:rPr>
        <w:t>an</w:t>
      </w:r>
      <w:r w:rsidRPr="00CC58FD">
        <w:rPr>
          <w:rFonts w:eastAsia="Verdana" w:cs="Verdana"/>
          <w:lang w:val="es-CR"/>
        </w:rPr>
        <w:t>a</w:t>
      </w:r>
      <w:r w:rsidRPr="00CC58FD">
        <w:rPr>
          <w:rFonts w:eastAsia="Verdana" w:cs="Verdana"/>
          <w:spacing w:val="13"/>
          <w:lang w:val="es-CR"/>
        </w:rPr>
        <w:t xml:space="preserve"> </w:t>
      </w:r>
      <w:r w:rsidRPr="00CC58FD">
        <w:rPr>
          <w:rFonts w:eastAsia="Verdana" w:cs="Verdana"/>
          <w:spacing w:val="1"/>
          <w:lang w:val="es-CR"/>
        </w:rPr>
        <w:t>d</w:t>
      </w:r>
      <w:r w:rsidRPr="00CC58FD">
        <w:rPr>
          <w:rFonts w:eastAsia="Verdana" w:cs="Verdana"/>
          <w:lang w:val="es-CR"/>
        </w:rPr>
        <w:t>e</w:t>
      </w:r>
      <w:r w:rsidRPr="00CC58FD">
        <w:rPr>
          <w:rFonts w:eastAsia="Verdana" w:cs="Verdana"/>
          <w:spacing w:val="13"/>
          <w:lang w:val="es-CR"/>
        </w:rPr>
        <w:t xml:space="preserve"> </w:t>
      </w:r>
      <w:r w:rsidRPr="00CC58FD">
        <w:rPr>
          <w:rFonts w:eastAsia="Verdana" w:cs="Verdana"/>
          <w:spacing w:val="1"/>
          <w:lang w:val="es-CR"/>
        </w:rPr>
        <w:t>D</w:t>
      </w:r>
      <w:r w:rsidRPr="00CC58FD">
        <w:rPr>
          <w:rFonts w:eastAsia="Verdana" w:cs="Verdana"/>
          <w:spacing w:val="-2"/>
          <w:lang w:val="es-CR"/>
        </w:rPr>
        <w:t>e</w:t>
      </w:r>
      <w:r w:rsidRPr="00CC58FD">
        <w:rPr>
          <w:rFonts w:eastAsia="Verdana" w:cs="Verdana"/>
          <w:spacing w:val="1"/>
          <w:lang w:val="es-CR"/>
        </w:rPr>
        <w:t>r</w:t>
      </w:r>
      <w:r w:rsidRPr="00CC58FD">
        <w:rPr>
          <w:rFonts w:eastAsia="Verdana" w:cs="Verdana"/>
          <w:lang w:val="es-CR"/>
        </w:rPr>
        <w:t>ec</w:t>
      </w:r>
      <w:r w:rsidRPr="00CC58FD">
        <w:rPr>
          <w:rFonts w:eastAsia="Verdana" w:cs="Verdana"/>
          <w:spacing w:val="-3"/>
          <w:lang w:val="es-CR"/>
        </w:rPr>
        <w:t>h</w:t>
      </w:r>
      <w:r w:rsidRPr="00CC58FD">
        <w:rPr>
          <w:rFonts w:eastAsia="Verdana" w:cs="Verdana"/>
          <w:spacing w:val="1"/>
          <w:lang w:val="es-CR"/>
        </w:rPr>
        <w:t>o</w:t>
      </w:r>
      <w:r w:rsidRPr="00CC58FD">
        <w:rPr>
          <w:rFonts w:eastAsia="Verdana" w:cs="Verdana"/>
          <w:lang w:val="es-CR"/>
        </w:rPr>
        <w:t>s</w:t>
      </w:r>
      <w:r w:rsidRPr="00CC58FD">
        <w:rPr>
          <w:rFonts w:eastAsia="Verdana" w:cs="Verdana"/>
          <w:spacing w:val="16"/>
          <w:lang w:val="es-CR"/>
        </w:rPr>
        <w:t xml:space="preserve"> </w:t>
      </w:r>
      <w:r w:rsidRPr="00CC58FD">
        <w:rPr>
          <w:rFonts w:eastAsia="Verdana" w:cs="Verdana"/>
          <w:spacing w:val="-1"/>
          <w:lang w:val="es-CR"/>
        </w:rPr>
        <w:t>Hu</w:t>
      </w:r>
      <w:r w:rsidRPr="00CC58FD">
        <w:rPr>
          <w:rFonts w:eastAsia="Verdana" w:cs="Verdana"/>
          <w:lang w:val="es-CR"/>
        </w:rPr>
        <w:t>m</w:t>
      </w:r>
      <w:r w:rsidRPr="00CC58FD">
        <w:rPr>
          <w:rFonts w:eastAsia="Verdana" w:cs="Verdana"/>
          <w:spacing w:val="-1"/>
          <w:lang w:val="es-CR"/>
        </w:rPr>
        <w:t>an</w:t>
      </w:r>
      <w:r w:rsidRPr="00CC58FD">
        <w:rPr>
          <w:rFonts w:eastAsia="Verdana" w:cs="Verdana"/>
          <w:spacing w:val="-2"/>
          <w:lang w:val="es-CR"/>
        </w:rPr>
        <w:t>o</w:t>
      </w:r>
      <w:r w:rsidRPr="00CC58FD">
        <w:rPr>
          <w:rFonts w:eastAsia="Verdana" w:cs="Verdana"/>
          <w:lang w:val="es-CR"/>
        </w:rPr>
        <w:t>s</w:t>
      </w:r>
      <w:r w:rsidRPr="00CC58FD">
        <w:rPr>
          <w:rFonts w:eastAsia="Verdana" w:cs="Verdana"/>
          <w:spacing w:val="16"/>
          <w:lang w:val="es-CR"/>
        </w:rPr>
        <w:t xml:space="preserve"> </w:t>
      </w:r>
      <w:r w:rsidRPr="00CC58FD">
        <w:rPr>
          <w:rFonts w:eastAsia="Verdana" w:cs="Verdana"/>
          <w:spacing w:val="-2"/>
          <w:lang w:val="es-CR"/>
        </w:rPr>
        <w:t>d</w:t>
      </w:r>
      <w:r w:rsidRPr="00CC58FD">
        <w:rPr>
          <w:rFonts w:eastAsia="Verdana" w:cs="Verdana"/>
          <w:lang w:val="es-CR"/>
        </w:rPr>
        <w:t>e</w:t>
      </w:r>
      <w:r w:rsidRPr="00CC58FD">
        <w:rPr>
          <w:rFonts w:eastAsia="Verdana" w:cs="Verdana"/>
          <w:spacing w:val="13"/>
          <w:lang w:val="es-CR"/>
        </w:rPr>
        <w:t xml:space="preserve"> </w:t>
      </w:r>
      <w:r w:rsidRPr="00CC58FD">
        <w:rPr>
          <w:rFonts w:eastAsia="Verdana" w:cs="Verdana"/>
          <w:spacing w:val="-1"/>
          <w:lang w:val="es-CR"/>
        </w:rPr>
        <w:t>3</w:t>
      </w:r>
      <w:r w:rsidRPr="00CC58FD">
        <w:rPr>
          <w:rFonts w:eastAsia="Verdana" w:cs="Verdana"/>
          <w:lang w:val="es-CR"/>
        </w:rPr>
        <w:t xml:space="preserve">0 </w:t>
      </w:r>
      <w:r w:rsidRPr="00CC58FD">
        <w:rPr>
          <w:rFonts w:eastAsia="Verdana" w:cs="Verdana"/>
          <w:spacing w:val="1"/>
          <w:lang w:val="es-CR"/>
        </w:rPr>
        <w:t>d</w:t>
      </w:r>
      <w:r w:rsidRPr="00CC58FD">
        <w:rPr>
          <w:rFonts w:eastAsia="Verdana" w:cs="Verdana"/>
          <w:lang w:val="es-CR"/>
        </w:rPr>
        <w:t>e</w:t>
      </w:r>
      <w:r w:rsidRPr="00CC58FD">
        <w:rPr>
          <w:rFonts w:eastAsia="Verdana" w:cs="Verdana"/>
          <w:spacing w:val="2"/>
          <w:lang w:val="es-CR"/>
        </w:rPr>
        <w:t xml:space="preserve"> </w:t>
      </w:r>
      <w:r w:rsidRPr="00CC58FD">
        <w:rPr>
          <w:rFonts w:eastAsia="Verdana" w:cs="Verdana"/>
          <w:lang w:val="es-CR"/>
        </w:rPr>
        <w:t>se</w:t>
      </w:r>
      <w:r w:rsidRPr="00CC58FD">
        <w:rPr>
          <w:rFonts w:eastAsia="Verdana" w:cs="Verdana"/>
          <w:spacing w:val="1"/>
          <w:lang w:val="es-CR"/>
        </w:rPr>
        <w:t>p</w:t>
      </w:r>
      <w:r w:rsidRPr="00CC58FD">
        <w:rPr>
          <w:rFonts w:eastAsia="Verdana" w:cs="Verdana"/>
          <w:spacing w:val="-1"/>
          <w:lang w:val="es-CR"/>
        </w:rPr>
        <w:t>ti</w:t>
      </w:r>
      <w:r w:rsidRPr="00CC58FD">
        <w:rPr>
          <w:rFonts w:eastAsia="Verdana" w:cs="Verdana"/>
          <w:lang w:val="es-CR"/>
        </w:rPr>
        <w:t>e</w:t>
      </w:r>
      <w:r w:rsidRPr="00CC58FD">
        <w:rPr>
          <w:rFonts w:eastAsia="Verdana" w:cs="Verdana"/>
          <w:spacing w:val="-3"/>
          <w:lang w:val="es-CR"/>
        </w:rPr>
        <w:t>m</w:t>
      </w:r>
      <w:r w:rsidRPr="00CC58FD">
        <w:rPr>
          <w:rFonts w:eastAsia="Verdana" w:cs="Verdana"/>
          <w:spacing w:val="1"/>
          <w:lang w:val="es-CR"/>
        </w:rPr>
        <w:t>br</w:t>
      </w:r>
      <w:r w:rsidRPr="00CC58FD">
        <w:rPr>
          <w:rFonts w:eastAsia="Verdana" w:cs="Verdana"/>
          <w:lang w:val="es-CR"/>
        </w:rPr>
        <w:t>e</w:t>
      </w:r>
      <w:r w:rsidRPr="00CC58FD">
        <w:rPr>
          <w:rFonts w:eastAsia="Verdana" w:cs="Verdana"/>
          <w:spacing w:val="2"/>
          <w:lang w:val="es-CR"/>
        </w:rPr>
        <w:t xml:space="preserve"> </w:t>
      </w:r>
      <w:r w:rsidRPr="00CC58FD">
        <w:rPr>
          <w:rFonts w:eastAsia="Verdana" w:cs="Verdana"/>
          <w:spacing w:val="-2"/>
          <w:lang w:val="es-CR"/>
        </w:rPr>
        <w:t>d</w:t>
      </w:r>
      <w:r w:rsidRPr="00CC58FD">
        <w:rPr>
          <w:rFonts w:eastAsia="Verdana" w:cs="Verdana"/>
          <w:lang w:val="es-CR"/>
        </w:rPr>
        <w:t>e</w:t>
      </w:r>
      <w:r w:rsidRPr="00CC58FD">
        <w:rPr>
          <w:rFonts w:eastAsia="Verdana" w:cs="Verdana"/>
          <w:spacing w:val="2"/>
          <w:lang w:val="es-CR"/>
        </w:rPr>
        <w:t xml:space="preserve"> </w:t>
      </w:r>
      <w:r w:rsidRPr="00CC58FD">
        <w:rPr>
          <w:rFonts w:eastAsia="Verdana" w:cs="Verdana"/>
          <w:spacing w:val="1"/>
          <w:lang w:val="es-CR"/>
        </w:rPr>
        <w:t>2</w:t>
      </w:r>
      <w:r w:rsidRPr="00CC58FD">
        <w:rPr>
          <w:rFonts w:eastAsia="Verdana" w:cs="Verdana"/>
          <w:spacing w:val="-1"/>
          <w:lang w:val="es-CR"/>
        </w:rPr>
        <w:t>00</w:t>
      </w:r>
      <w:r w:rsidRPr="00CC58FD">
        <w:rPr>
          <w:rFonts w:eastAsia="Verdana" w:cs="Verdana"/>
          <w:spacing w:val="1"/>
          <w:lang w:val="es-CR"/>
        </w:rPr>
        <w:t>6</w:t>
      </w:r>
      <w:r w:rsidRPr="00CC58FD">
        <w:rPr>
          <w:rFonts w:eastAsia="Verdana" w:cs="Verdana"/>
          <w:lang w:val="es-CR"/>
        </w:rPr>
        <w:t>,</w:t>
      </w:r>
      <w:r w:rsidRPr="00CC58FD">
        <w:rPr>
          <w:rFonts w:eastAsia="Verdana" w:cs="Verdana"/>
          <w:spacing w:val="1"/>
          <w:lang w:val="es-CR"/>
        </w:rPr>
        <w:t xml:space="preserve"> </w:t>
      </w:r>
      <w:r w:rsidRPr="00CC58FD">
        <w:rPr>
          <w:rFonts w:eastAsia="Verdana" w:cs="Verdana"/>
          <w:lang w:val="es-CR"/>
        </w:rPr>
        <w:t>C</w:t>
      </w:r>
      <w:r w:rsidRPr="00CC58FD">
        <w:rPr>
          <w:rFonts w:eastAsia="Verdana" w:cs="Verdana"/>
          <w:spacing w:val="1"/>
          <w:lang w:val="es-CR"/>
        </w:rPr>
        <w:t>o</w:t>
      </w:r>
      <w:r w:rsidRPr="00CC58FD">
        <w:rPr>
          <w:rFonts w:eastAsia="Verdana" w:cs="Verdana"/>
          <w:spacing w:val="-3"/>
          <w:lang w:val="es-CR"/>
        </w:rPr>
        <w:t>n</w:t>
      </w:r>
      <w:r w:rsidRPr="00CC58FD">
        <w:rPr>
          <w:rFonts w:eastAsia="Verdana" w:cs="Verdana"/>
          <w:lang w:val="es-CR"/>
        </w:rPr>
        <w:t>s</w:t>
      </w:r>
      <w:r w:rsidRPr="00CC58FD">
        <w:rPr>
          <w:rFonts w:eastAsia="Verdana" w:cs="Verdana"/>
          <w:spacing w:val="-1"/>
          <w:lang w:val="es-CR"/>
        </w:rPr>
        <w:t>i</w:t>
      </w:r>
      <w:r w:rsidRPr="00CC58FD">
        <w:rPr>
          <w:rFonts w:eastAsia="Verdana" w:cs="Verdana"/>
          <w:spacing w:val="1"/>
          <w:lang w:val="es-CR"/>
        </w:rPr>
        <w:t>d</w:t>
      </w:r>
      <w:r w:rsidRPr="00CC58FD">
        <w:rPr>
          <w:rFonts w:eastAsia="Verdana" w:cs="Verdana"/>
          <w:lang w:val="es-CR"/>
        </w:rPr>
        <w:t>e</w:t>
      </w:r>
      <w:r w:rsidRPr="00CC58FD">
        <w:rPr>
          <w:rFonts w:eastAsia="Verdana" w:cs="Verdana"/>
          <w:spacing w:val="1"/>
          <w:lang w:val="es-CR"/>
        </w:rPr>
        <w:t>r</w:t>
      </w:r>
      <w:r w:rsidRPr="00CC58FD">
        <w:rPr>
          <w:rFonts w:eastAsia="Verdana" w:cs="Verdana"/>
          <w:spacing w:val="-1"/>
          <w:lang w:val="es-CR"/>
        </w:rPr>
        <w:t>an</w:t>
      </w:r>
      <w:r w:rsidRPr="00CC58FD">
        <w:rPr>
          <w:rFonts w:eastAsia="Verdana" w:cs="Verdana"/>
          <w:spacing w:val="-2"/>
          <w:lang w:val="es-CR"/>
        </w:rPr>
        <w:t>d</w:t>
      </w:r>
      <w:r w:rsidRPr="00CC58FD">
        <w:rPr>
          <w:rFonts w:eastAsia="Verdana" w:cs="Verdana"/>
          <w:lang w:val="es-CR"/>
        </w:rPr>
        <w:t>o</w:t>
      </w:r>
      <w:r w:rsidRPr="00CC58FD">
        <w:rPr>
          <w:rFonts w:eastAsia="Verdana" w:cs="Verdana"/>
          <w:spacing w:val="3"/>
          <w:lang w:val="es-CR"/>
        </w:rPr>
        <w:t xml:space="preserve"> </w:t>
      </w:r>
      <w:r>
        <w:rPr>
          <w:rFonts w:eastAsia="Verdana" w:cs="Verdana"/>
          <w:spacing w:val="1"/>
          <w:lang w:val="es-CR"/>
        </w:rPr>
        <w:t>16</w:t>
      </w:r>
      <w:r w:rsidRPr="00CC58FD">
        <w:rPr>
          <w:rFonts w:eastAsia="Verdana" w:cs="Verdana"/>
          <w:lang w:val="es-CR"/>
        </w:rPr>
        <w:t>,</w:t>
      </w:r>
      <w:r w:rsidRPr="00CC58FD">
        <w:rPr>
          <w:rFonts w:eastAsia="Verdana" w:cs="Verdana"/>
          <w:spacing w:val="1"/>
          <w:lang w:val="es-CR"/>
        </w:rPr>
        <w:t xml:space="preserve"> </w:t>
      </w:r>
      <w:r w:rsidRPr="00CC58FD">
        <w:rPr>
          <w:rFonts w:eastAsia="Verdana" w:cs="Verdana"/>
          <w:lang w:val="es-CR"/>
        </w:rPr>
        <w:t>y</w:t>
      </w:r>
      <w:r w:rsidRPr="00CC58FD">
        <w:rPr>
          <w:rFonts w:eastAsia="Verdana" w:cs="Verdana"/>
          <w:spacing w:val="3"/>
          <w:lang w:val="es-CR"/>
        </w:rPr>
        <w:t xml:space="preserve"> </w:t>
      </w:r>
      <w:r w:rsidRPr="00CC58FD">
        <w:rPr>
          <w:rFonts w:eastAsia="Verdana" w:cs="Verdana"/>
          <w:i/>
          <w:spacing w:val="1"/>
          <w:lang w:val="es-CR"/>
        </w:rPr>
        <w:t>A</w:t>
      </w:r>
      <w:r w:rsidRPr="00CC58FD">
        <w:rPr>
          <w:rFonts w:eastAsia="Verdana" w:cs="Verdana"/>
          <w:i/>
          <w:spacing w:val="-2"/>
          <w:lang w:val="es-CR"/>
        </w:rPr>
        <w:t>s</w:t>
      </w:r>
      <w:r w:rsidRPr="00CC58FD">
        <w:rPr>
          <w:rFonts w:eastAsia="Verdana" w:cs="Verdana"/>
          <w:i/>
          <w:spacing w:val="-1"/>
          <w:lang w:val="es-CR"/>
        </w:rPr>
        <w:t>unt</w:t>
      </w:r>
      <w:r w:rsidRPr="00CC58FD">
        <w:rPr>
          <w:rFonts w:eastAsia="Verdana" w:cs="Verdana"/>
          <w:i/>
          <w:lang w:val="es-CR"/>
        </w:rPr>
        <w:t>o</w:t>
      </w:r>
      <w:r w:rsidRPr="00CC58FD">
        <w:rPr>
          <w:rFonts w:eastAsia="Verdana" w:cs="Verdana"/>
          <w:i/>
          <w:spacing w:val="2"/>
          <w:lang w:val="es-CR"/>
        </w:rPr>
        <w:t xml:space="preserve"> </w:t>
      </w:r>
      <w:r w:rsidRPr="00CC58FD">
        <w:rPr>
          <w:rFonts w:eastAsia="Verdana" w:cs="Verdana"/>
          <w:i/>
          <w:spacing w:val="1"/>
          <w:lang w:val="es-CR"/>
        </w:rPr>
        <w:t xml:space="preserve">del Complejo Penitenciario de Curado, </w:t>
      </w:r>
      <w:r w:rsidRPr="00CC58FD">
        <w:rPr>
          <w:rFonts w:eastAsia="Verdana" w:cs="Verdana"/>
          <w:lang w:val="es-CR"/>
        </w:rPr>
        <w:t>C</w:t>
      </w:r>
      <w:r w:rsidRPr="00CC58FD">
        <w:rPr>
          <w:rFonts w:eastAsia="Verdana" w:cs="Verdana"/>
          <w:spacing w:val="1"/>
          <w:lang w:val="es-CR"/>
        </w:rPr>
        <w:t>o</w:t>
      </w:r>
      <w:r w:rsidRPr="00CC58FD">
        <w:rPr>
          <w:rFonts w:eastAsia="Verdana" w:cs="Verdana"/>
          <w:spacing w:val="-1"/>
          <w:lang w:val="es-CR"/>
        </w:rPr>
        <w:t>n</w:t>
      </w:r>
      <w:r w:rsidRPr="00CC58FD">
        <w:rPr>
          <w:rFonts w:eastAsia="Verdana" w:cs="Verdana"/>
          <w:lang w:val="es-CR"/>
        </w:rPr>
        <w:t>s</w:t>
      </w:r>
      <w:r w:rsidRPr="00CC58FD">
        <w:rPr>
          <w:rFonts w:eastAsia="Verdana" w:cs="Verdana"/>
          <w:spacing w:val="-3"/>
          <w:lang w:val="es-CR"/>
        </w:rPr>
        <w:t>i</w:t>
      </w:r>
      <w:r w:rsidRPr="00CC58FD">
        <w:rPr>
          <w:rFonts w:eastAsia="Verdana" w:cs="Verdana"/>
          <w:spacing w:val="1"/>
          <w:lang w:val="es-CR"/>
        </w:rPr>
        <w:t>d</w:t>
      </w:r>
      <w:r w:rsidRPr="00CC58FD">
        <w:rPr>
          <w:rFonts w:eastAsia="Verdana" w:cs="Verdana"/>
          <w:lang w:val="es-CR"/>
        </w:rPr>
        <w:t>e</w:t>
      </w:r>
      <w:r w:rsidRPr="00CC58FD">
        <w:rPr>
          <w:rFonts w:eastAsia="Verdana" w:cs="Verdana"/>
          <w:spacing w:val="1"/>
          <w:lang w:val="es-CR"/>
        </w:rPr>
        <w:t>r</w:t>
      </w:r>
      <w:r w:rsidRPr="00CC58FD">
        <w:rPr>
          <w:rFonts w:eastAsia="Verdana" w:cs="Verdana"/>
          <w:spacing w:val="-1"/>
          <w:lang w:val="es-CR"/>
        </w:rPr>
        <w:t>a</w:t>
      </w:r>
      <w:r w:rsidRPr="00CC58FD">
        <w:rPr>
          <w:rFonts w:eastAsia="Verdana" w:cs="Verdana"/>
          <w:spacing w:val="-3"/>
          <w:lang w:val="es-CR"/>
        </w:rPr>
        <w:t>n</w:t>
      </w:r>
      <w:r w:rsidRPr="00CC58FD">
        <w:rPr>
          <w:rFonts w:eastAsia="Verdana" w:cs="Verdana"/>
          <w:spacing w:val="1"/>
          <w:lang w:val="es-CR"/>
        </w:rPr>
        <w:t>d</w:t>
      </w:r>
      <w:r w:rsidRPr="00CC58FD">
        <w:rPr>
          <w:rFonts w:eastAsia="Verdana" w:cs="Verdana"/>
          <w:lang w:val="es-CR"/>
        </w:rPr>
        <w:t xml:space="preserve">o </w:t>
      </w:r>
      <w:r>
        <w:rPr>
          <w:rFonts w:eastAsia="Verdana" w:cs="Verdana"/>
          <w:lang w:val="es-CR"/>
        </w:rPr>
        <w:t>15</w:t>
      </w:r>
      <w:r w:rsidRPr="00CC58FD">
        <w:rPr>
          <w:rFonts w:eastAsia="Verdana" w:cs="Verdana"/>
          <w:spacing w:val="1"/>
          <w:lang w:val="es-CR"/>
        </w:rPr>
        <w:t>.</w:t>
      </w:r>
      <w:r w:rsidRPr="00CC58FD">
        <w:rPr>
          <w:rFonts w:eastAsia="Verdana" w:cs="Verdana"/>
          <w:lang w:val="es-CR"/>
        </w:rPr>
        <w:t xml:space="preserve"> </w:t>
      </w:r>
    </w:p>
  </w:footnote>
  <w:footnote w:id="35">
    <w:p w14:paraId="7C1DFF2B" w14:textId="77777777" w:rsidR="00CA3DEA" w:rsidRDefault="00CA3DEA">
      <w:pPr>
        <w:pStyle w:val="FootnoteText"/>
      </w:pPr>
      <w:r>
        <w:rPr>
          <w:rStyle w:val="FootnoteReference"/>
        </w:rPr>
        <w:footnoteRef/>
      </w:r>
      <w:r>
        <w:t xml:space="preserve"> </w:t>
      </w:r>
      <w:r w:rsidRPr="00B77BE0">
        <w:rPr>
          <w:i/>
        </w:rPr>
        <w:t>Cfr.</w:t>
      </w:r>
      <w:r>
        <w:t xml:space="preserve"> </w:t>
      </w:r>
      <w:r w:rsidRPr="00B77BE0">
        <w:rPr>
          <w:i/>
        </w:rPr>
        <w:t>Asunto del Complejo Penitenciario de Pedrinhas respecto de Brasil.</w:t>
      </w:r>
      <w:r w:rsidRPr="00585739">
        <w:t xml:space="preserve"> Medidas Provisionales. Resolución Corte Interamericana de Derechos Humanos de 14 de noviembre de 2014</w:t>
      </w:r>
      <w:r>
        <w:t>, Considerando 17.</w:t>
      </w:r>
    </w:p>
  </w:footnote>
  <w:footnote w:id="36">
    <w:p w14:paraId="25D320E4" w14:textId="77777777" w:rsidR="00CA3DEA" w:rsidRDefault="00CA3DEA">
      <w:pPr>
        <w:pStyle w:val="FootnoteText"/>
      </w:pPr>
      <w:r>
        <w:rPr>
          <w:rStyle w:val="FootnoteReference"/>
        </w:rPr>
        <w:footnoteRef/>
      </w:r>
      <w:r w:rsidRPr="007721A7">
        <w:rPr>
          <w:lang w:val="pt-BR"/>
        </w:rPr>
        <w:t xml:space="preserve"> </w:t>
      </w:r>
      <w:r w:rsidRPr="00B77BE0">
        <w:rPr>
          <w:i/>
          <w:lang w:val="pt-BR"/>
        </w:rPr>
        <w:t>Cfr</w:t>
      </w:r>
      <w:r w:rsidRPr="007721A7">
        <w:rPr>
          <w:lang w:val="pt-BR"/>
        </w:rPr>
        <w:t xml:space="preserve">. </w:t>
      </w:r>
      <w:r w:rsidRPr="00B77BE0">
        <w:rPr>
          <w:i/>
          <w:lang w:val="pt-BR"/>
        </w:rPr>
        <w:t>Caso Ximenes Lopes Vs. Brasil</w:t>
      </w:r>
      <w:r w:rsidRPr="007721A7">
        <w:rPr>
          <w:lang w:val="pt-BR"/>
        </w:rPr>
        <w:t xml:space="preserve">. </w:t>
      </w:r>
      <w:r w:rsidRPr="008D0240">
        <w:t>Excepción Preliminar. Sentencia de 30 de noviembre de 2005. Serie C No. 139</w:t>
      </w:r>
      <w:r>
        <w:t xml:space="preserve">, párrs. 125 y 138.  y </w:t>
      </w:r>
      <w:r w:rsidRPr="00B77BE0">
        <w:rPr>
          <w:i/>
        </w:rPr>
        <w:t>Caso "Instituto de Reeducación del Menor" Vs. Paraguay</w:t>
      </w:r>
      <w:r w:rsidRPr="008D0240">
        <w:t>. Excepciones Preliminares, Fondo, Reparaciones y Costas. Sentencia de 2 de septiembre de 2004. Serie C No. 112</w:t>
      </w:r>
      <w:r>
        <w:t xml:space="preserve">, párr. 159 </w:t>
      </w:r>
    </w:p>
  </w:footnote>
  <w:footnote w:id="37">
    <w:p w14:paraId="2FA17F81" w14:textId="77777777" w:rsidR="00CA3DEA" w:rsidRDefault="00CA3DEA">
      <w:pPr>
        <w:pStyle w:val="FootnoteText"/>
      </w:pPr>
      <w:r>
        <w:rPr>
          <w:rStyle w:val="FootnoteReference"/>
        </w:rPr>
        <w:footnoteRef/>
      </w:r>
      <w:r>
        <w:t xml:space="preserve"> </w:t>
      </w:r>
      <w:r w:rsidRPr="00B77BE0">
        <w:rPr>
          <w:i/>
        </w:rPr>
        <w:t>Cfr. Asunto de las personas privadas de libertad de la Penitenciaria "Dr. Sebastião Martins Silveira" en Araraquara, São Paulo respecto Brasil</w:t>
      </w:r>
      <w:r w:rsidRPr="009870B2">
        <w:t>. Medidas Provisionales. Resolución de la Corte Interamericana de Derechos Humanos de 30 de septiembre de 2006</w:t>
      </w:r>
      <w:r>
        <w:t>, Considerando 19.</w:t>
      </w:r>
    </w:p>
  </w:footnote>
  <w:footnote w:id="38">
    <w:p w14:paraId="61A545F0" w14:textId="77777777" w:rsidR="00CA3DEA" w:rsidRDefault="00CA3DEA">
      <w:pPr>
        <w:pStyle w:val="FootnoteText"/>
      </w:pPr>
      <w:r>
        <w:rPr>
          <w:rStyle w:val="FootnoteReference"/>
        </w:rPr>
        <w:footnoteRef/>
      </w:r>
      <w:r>
        <w:t xml:space="preserve"> </w:t>
      </w:r>
      <w:r w:rsidRPr="001259B3">
        <w:rPr>
          <w:i/>
        </w:rPr>
        <w:t xml:space="preserve">Cfr. </w:t>
      </w:r>
      <w:r w:rsidR="00A541D7" w:rsidRPr="00CB1887">
        <w:rPr>
          <w:bCs/>
          <w:i/>
        </w:rPr>
        <w:t>Asunto de las Penitenciarías de Mendoza respecto Argentina. Medidas Provisionales. Resolución de la Corte Interamericana de Derechos Humanos de 30 de marzo de 2006,</w:t>
      </w:r>
      <w:r w:rsidR="00A541D7">
        <w:rPr>
          <w:b/>
          <w:bCs/>
          <w:i/>
        </w:rPr>
        <w:t xml:space="preserve"> </w:t>
      </w:r>
      <w:r w:rsidR="00A541D7">
        <w:rPr>
          <w:bCs/>
        </w:rPr>
        <w:t>Considerando 10</w:t>
      </w:r>
      <w:r w:rsidR="00A541D7" w:rsidRPr="00CB1887">
        <w:t xml:space="preserve">y </w:t>
      </w:r>
      <w:r w:rsidR="00A541D7" w:rsidRPr="00CB1887">
        <w:rPr>
          <w:bCs/>
          <w:i/>
        </w:rPr>
        <w:t>Caso familia Barrios Vs. Venezuela. Medidas Provisionales</w:t>
      </w:r>
      <w:r w:rsidR="00A541D7" w:rsidRPr="00CB1887">
        <w:rPr>
          <w:bCs/>
        </w:rPr>
        <w:t>. Resolución de la Corte Interamericana de Derechos Humanos de 13 de febrero de 2013, Considerando 2</w:t>
      </w:r>
      <w:r>
        <w:t>.</w:t>
      </w:r>
    </w:p>
  </w:footnote>
  <w:footnote w:id="39">
    <w:p w14:paraId="1C78EC5E" w14:textId="77777777" w:rsidR="00CA3DEA" w:rsidRPr="00CC58FD" w:rsidRDefault="00CA3DEA" w:rsidP="000E1744">
      <w:pPr>
        <w:pStyle w:val="FootnoteText"/>
      </w:pPr>
      <w:r w:rsidRPr="00CC58FD">
        <w:rPr>
          <w:rStyle w:val="FootnoteReference"/>
          <w:szCs w:val="16"/>
        </w:rPr>
        <w:footnoteRef/>
      </w:r>
      <w:r>
        <w:t xml:space="preserve"> </w:t>
      </w:r>
      <w:r w:rsidRPr="00CC58FD">
        <w:t xml:space="preserve">Artículo 2 de la Resolución nº 1 de 7 de febrero de 2013 del Consejo Nacional de Política Criminal y Penitenciaria (CNPCP), el cual sostiene que: "El registro audiovisual y fotográfico debe ser realizado de modo que no exponer ambientes y </w:t>
      </w:r>
      <w:r w:rsidR="00A541D7">
        <w:t>equipos</w:t>
      </w:r>
      <w:r w:rsidR="00A541D7" w:rsidRPr="00CC58FD">
        <w:t xml:space="preserve"> </w:t>
      </w:r>
      <w:r w:rsidRPr="00CC58FD">
        <w:t>imprescindibles a la seguridad del establecimiento penal, así considerados por acto escrito y motivado de la autoridad administrativa".</w:t>
      </w:r>
    </w:p>
  </w:footnote>
  <w:footnote w:id="40">
    <w:p w14:paraId="6610A65E" w14:textId="77777777" w:rsidR="00CA3DEA" w:rsidRDefault="00CA3DEA">
      <w:pPr>
        <w:pStyle w:val="FootnoteText"/>
      </w:pPr>
      <w:r>
        <w:rPr>
          <w:rStyle w:val="FootnoteReference"/>
        </w:rPr>
        <w:footnoteRef/>
      </w:r>
      <w:r>
        <w:t xml:space="preserve"> </w:t>
      </w:r>
      <w:r w:rsidRPr="00B77BE0">
        <w:rPr>
          <w:i/>
        </w:rPr>
        <w:t>Cfr. Asunto del Complejo Penitenciario Curado respecto de Brasil.</w:t>
      </w:r>
      <w:r w:rsidRPr="008E4845">
        <w:t xml:space="preserve"> Medidas Provisionales. Resolución de la Corte Interamericana de Derechos Humanos de 23 de noviembre de 2016</w:t>
      </w:r>
      <w:r>
        <w:t>, Considerando 52.</w:t>
      </w:r>
    </w:p>
  </w:footnote>
  <w:footnote w:id="41">
    <w:p w14:paraId="27CB4449" w14:textId="77777777" w:rsidR="00CA3DEA" w:rsidRDefault="00CA3DEA">
      <w:pPr>
        <w:pStyle w:val="FootnoteText"/>
      </w:pPr>
      <w:r>
        <w:rPr>
          <w:rStyle w:val="FootnoteReference"/>
        </w:rPr>
        <w:footnoteRef/>
      </w:r>
      <w:r>
        <w:t xml:space="preserve"> </w:t>
      </w:r>
      <w:r w:rsidRPr="00B77BE0">
        <w:rPr>
          <w:i/>
        </w:rPr>
        <w:t>Cfr. Asunto del Complejo Penitenciario de Curado respecto de Brasil.</w:t>
      </w:r>
      <w:r w:rsidRPr="008E4845">
        <w:t xml:space="preserve"> Medidas Provisionales. Resolución de la Corte Interamericana de Derechos Humanos de 7 de octubre de 2015</w:t>
      </w:r>
      <w:r>
        <w:t>, Considerando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823"/>
    <w:multiLevelType w:val="hybridMultilevel"/>
    <w:tmpl w:val="E4424618"/>
    <w:lvl w:ilvl="0" w:tplc="90BC1C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E76269"/>
    <w:multiLevelType w:val="hybridMultilevel"/>
    <w:tmpl w:val="2D0EF6C6"/>
    <w:lvl w:ilvl="0" w:tplc="BC86F826">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62ADC"/>
    <w:multiLevelType w:val="hybridMultilevel"/>
    <w:tmpl w:val="D108BF52"/>
    <w:lvl w:ilvl="0" w:tplc="6DA861EE">
      <w:start w:val="1"/>
      <w:numFmt w:val="lowerRoman"/>
      <w:lvlText w:val="%1."/>
      <w:lvlJc w:val="right"/>
      <w:pPr>
        <w:tabs>
          <w:tab w:val="num" w:pos="720"/>
        </w:tabs>
        <w:ind w:left="720" w:hanging="720"/>
      </w:pPr>
      <w:rPr>
        <w:b w:val="0"/>
      </w:rPr>
    </w:lvl>
    <w:lvl w:ilvl="1" w:tplc="D1388696">
      <w:start w:val="1"/>
      <w:numFmt w:val="lowerLetter"/>
      <w:lvlText w:val="%2)"/>
      <w:lvlJc w:val="left"/>
      <w:pPr>
        <w:tabs>
          <w:tab w:val="num" w:pos="1080"/>
        </w:tabs>
        <w:ind w:left="720" w:firstLine="0"/>
      </w:pPr>
      <w:rPr>
        <w:rFonts w:hint="default"/>
      </w:rPr>
    </w:lvl>
    <w:lvl w:ilvl="2" w:tplc="FFFFFFFF">
      <w:start w:val="1"/>
      <w:numFmt w:val="lowerRoman"/>
      <w:lvlText w:val="%3."/>
      <w:lvlJc w:val="right"/>
      <w:pPr>
        <w:tabs>
          <w:tab w:val="num" w:pos="1980"/>
        </w:tabs>
        <w:ind w:left="1980" w:hanging="360"/>
      </w:pPr>
    </w:lvl>
    <w:lvl w:ilvl="3" w:tplc="0C0A000F">
      <w:start w:val="1"/>
      <w:numFmt w:val="decimal"/>
      <w:lvlText w:val="%4."/>
      <w:lvlJc w:val="left"/>
      <w:pPr>
        <w:tabs>
          <w:tab w:val="num" w:pos="360"/>
        </w:tabs>
        <w:ind w:left="360" w:hanging="360"/>
      </w:pPr>
      <w:rPr>
        <w:rFonts w:hint="default"/>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EAE87DEE">
      <w:start w:val="1"/>
      <w:numFmt w:val="decimal"/>
      <w:lvlText w:val="%7."/>
      <w:lvlJc w:val="left"/>
      <w:pPr>
        <w:ind w:left="0" w:firstLine="0"/>
      </w:pPr>
      <w:rPr>
        <w:rFonts w:hint="default"/>
        <w:b w:val="0"/>
      </w:rPr>
    </w:lvl>
    <w:lvl w:ilvl="7" w:tplc="FFFFFFFF">
      <w:start w:val="1"/>
      <w:numFmt w:val="lowerLetter"/>
      <w:lvlText w:val="%8."/>
      <w:lvlJc w:val="left"/>
      <w:pPr>
        <w:tabs>
          <w:tab w:val="num" w:pos="5400"/>
        </w:tabs>
        <w:ind w:left="5400" w:hanging="360"/>
      </w:pPr>
    </w:lvl>
    <w:lvl w:ilvl="8" w:tplc="99B8B5AA">
      <w:start w:val="1"/>
      <w:numFmt w:val="lowerRoman"/>
      <w:lvlText w:val="%9."/>
      <w:lvlJc w:val="right"/>
      <w:pPr>
        <w:ind w:left="0" w:firstLine="0"/>
      </w:pPr>
      <w:rPr>
        <w:rFonts w:hint="default"/>
      </w:rPr>
    </w:lvl>
  </w:abstractNum>
  <w:abstractNum w:abstractNumId="3">
    <w:nsid w:val="15B31E0B"/>
    <w:multiLevelType w:val="hybridMultilevel"/>
    <w:tmpl w:val="B152267E"/>
    <w:lvl w:ilvl="0" w:tplc="90E4EC10">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F4374CD"/>
    <w:multiLevelType w:val="hybridMultilevel"/>
    <w:tmpl w:val="577E14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A20225"/>
    <w:multiLevelType w:val="hybridMultilevel"/>
    <w:tmpl w:val="791CB2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3216F"/>
    <w:multiLevelType w:val="hybridMultilevel"/>
    <w:tmpl w:val="6DB052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7C20F0C"/>
    <w:multiLevelType w:val="hybridMultilevel"/>
    <w:tmpl w:val="2A5A2BEA"/>
    <w:lvl w:ilvl="0" w:tplc="FDA8E0A8">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90F52"/>
    <w:multiLevelType w:val="hybridMultilevel"/>
    <w:tmpl w:val="7010A032"/>
    <w:lvl w:ilvl="0" w:tplc="0B8E96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2E47FB"/>
    <w:multiLevelType w:val="hybridMultilevel"/>
    <w:tmpl w:val="E1B812E2"/>
    <w:lvl w:ilvl="0" w:tplc="B846FA70">
      <w:start w:val="1"/>
      <w:numFmt w:val="decimal"/>
      <w:lvlText w:val="%1."/>
      <w:lvlJc w:val="left"/>
      <w:pPr>
        <w:ind w:left="720" w:hanging="360"/>
      </w:pPr>
      <w:rPr>
        <w:rFonts w:hint="default"/>
        <w:b w:val="0"/>
        <w:i w:val="0"/>
        <w:lang w:val="es-C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8D07DF7"/>
    <w:multiLevelType w:val="hybridMultilevel"/>
    <w:tmpl w:val="6E38C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614DA"/>
    <w:multiLevelType w:val="hybridMultilevel"/>
    <w:tmpl w:val="069AA480"/>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B4D64E8"/>
    <w:multiLevelType w:val="hybridMultilevel"/>
    <w:tmpl w:val="6B10B8E8"/>
    <w:lvl w:ilvl="0" w:tplc="0EF66FB8">
      <w:start w:val="1"/>
      <w:numFmt w:val="lowerRoman"/>
      <w:lvlText w:val="%1."/>
      <w:lvlJc w:val="left"/>
      <w:pPr>
        <w:ind w:left="1080" w:hanging="72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61402C7C"/>
    <w:multiLevelType w:val="hybridMultilevel"/>
    <w:tmpl w:val="312CEF9E"/>
    <w:name w:val="WW8Num2"/>
    <w:lvl w:ilvl="0" w:tplc="9C40F1FC">
      <w:start w:val="1"/>
      <w:numFmt w:val="decimal"/>
      <w:lvlText w:val="%1."/>
      <w:lvlJc w:val="left"/>
      <w:pPr>
        <w:tabs>
          <w:tab w:val="num" w:pos="567"/>
        </w:tabs>
        <w:ind w:left="0" w:firstLine="0"/>
      </w:pPr>
      <w:rPr>
        <w:rFonts w:ascii="Verdana" w:hAnsi="Verdana" w:hint="default"/>
        <w:b w:val="0"/>
        <w:i w:val="0"/>
        <w:strike w:val="0"/>
        <w:color w:val="auto"/>
        <w:sz w:val="20"/>
        <w:szCs w:val="20"/>
      </w:rPr>
    </w:lvl>
    <w:lvl w:ilvl="1" w:tplc="50F6700A">
      <w:start w:val="1"/>
      <w:numFmt w:val="lowerLetter"/>
      <w:lvlText w:val="%2)"/>
      <w:lvlJc w:val="left"/>
      <w:pPr>
        <w:tabs>
          <w:tab w:val="num" w:pos="1440"/>
        </w:tabs>
        <w:ind w:left="1440" w:hanging="360"/>
      </w:pPr>
      <w:rPr>
        <w:rFonts w:hint="default"/>
        <w:b w:val="0"/>
        <w:i w:val="0"/>
        <w:color w:val="auto"/>
        <w:sz w:val="20"/>
        <w:szCs w:val="20"/>
      </w:rPr>
    </w:lvl>
    <w:lvl w:ilvl="2" w:tplc="2906328C">
      <w:start w:val="1"/>
      <w:numFmt w:val="decimal"/>
      <w:lvlText w:val="%3."/>
      <w:lvlJc w:val="left"/>
      <w:pPr>
        <w:tabs>
          <w:tab w:val="num" w:pos="2340"/>
        </w:tabs>
        <w:ind w:left="2340" w:hanging="360"/>
      </w:pPr>
      <w:rPr>
        <w:rFonts w:hint="default"/>
        <w:b w:val="0"/>
        <w:i w:val="0"/>
        <w:strike w:val="0"/>
        <w:sz w:val="18"/>
        <w:szCs w:val="18"/>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6977EE3"/>
    <w:multiLevelType w:val="hybridMultilevel"/>
    <w:tmpl w:val="E1B812E2"/>
    <w:lvl w:ilvl="0" w:tplc="B846FA70">
      <w:start w:val="1"/>
      <w:numFmt w:val="decimal"/>
      <w:lvlText w:val="%1."/>
      <w:lvlJc w:val="left"/>
      <w:pPr>
        <w:ind w:left="928" w:hanging="360"/>
      </w:pPr>
      <w:rPr>
        <w:rFonts w:hint="default"/>
        <w:b w:val="0"/>
        <w:i w:val="0"/>
        <w:lang w:val="es-C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74F0290"/>
    <w:multiLevelType w:val="hybridMultilevel"/>
    <w:tmpl w:val="FE3E1A84"/>
    <w:lvl w:ilvl="0" w:tplc="C1E28092">
      <w:start w:val="1"/>
      <w:numFmt w:val="decimal"/>
      <w:lvlText w:val="%1."/>
      <w:lvlJc w:val="left"/>
      <w:pPr>
        <w:tabs>
          <w:tab w:val="num" w:pos="648"/>
        </w:tabs>
        <w:ind w:left="0" w:firstLine="0"/>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6C530C72"/>
    <w:multiLevelType w:val="hybridMultilevel"/>
    <w:tmpl w:val="56EC2F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B63CD1"/>
    <w:multiLevelType w:val="hybridMultilevel"/>
    <w:tmpl w:val="54769988"/>
    <w:lvl w:ilvl="0" w:tplc="77DEDC8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DF06C2E"/>
    <w:multiLevelType w:val="hybridMultilevel"/>
    <w:tmpl w:val="BCB06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B13D26"/>
    <w:multiLevelType w:val="hybridMultilevel"/>
    <w:tmpl w:val="57327B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1"/>
  </w:num>
  <w:num w:numId="3">
    <w:abstractNumId w:val="18"/>
  </w:num>
  <w:num w:numId="4">
    <w:abstractNumId w:val="8"/>
  </w:num>
  <w:num w:numId="5">
    <w:abstractNumId w:val="0"/>
  </w:num>
  <w:num w:numId="6">
    <w:abstractNumId w:val="19"/>
  </w:num>
  <w:num w:numId="7">
    <w:abstractNumId w:val="12"/>
  </w:num>
  <w:num w:numId="8">
    <w:abstractNumId w:val="17"/>
  </w:num>
  <w:num w:numId="9">
    <w:abstractNumId w:val="7"/>
  </w:num>
  <w:num w:numId="10">
    <w:abstractNumId w:val="11"/>
  </w:num>
  <w:num w:numId="11">
    <w:abstractNumId w:val="5"/>
  </w:num>
  <w:num w:numId="12">
    <w:abstractNumId w:val="16"/>
  </w:num>
  <w:num w:numId="13">
    <w:abstractNumId w:val="10"/>
  </w:num>
  <w:num w:numId="14">
    <w:abstractNumId w:val="4"/>
  </w:num>
  <w:num w:numId="15">
    <w:abstractNumId w:val="15"/>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04"/>
    <w:rsid w:val="0001103C"/>
    <w:rsid w:val="00015B44"/>
    <w:rsid w:val="00017897"/>
    <w:rsid w:val="00024D00"/>
    <w:rsid w:val="0004528E"/>
    <w:rsid w:val="0004544E"/>
    <w:rsid w:val="000535D1"/>
    <w:rsid w:val="00055ACD"/>
    <w:rsid w:val="00056F81"/>
    <w:rsid w:val="000602C8"/>
    <w:rsid w:val="00061E92"/>
    <w:rsid w:val="0006226B"/>
    <w:rsid w:val="000644BC"/>
    <w:rsid w:val="00073C0F"/>
    <w:rsid w:val="000811B3"/>
    <w:rsid w:val="00081D88"/>
    <w:rsid w:val="000820E3"/>
    <w:rsid w:val="000845AB"/>
    <w:rsid w:val="00094A1C"/>
    <w:rsid w:val="00096DC4"/>
    <w:rsid w:val="00096F73"/>
    <w:rsid w:val="00097E43"/>
    <w:rsid w:val="000A515E"/>
    <w:rsid w:val="000A6C11"/>
    <w:rsid w:val="000A6ED3"/>
    <w:rsid w:val="000B1CB9"/>
    <w:rsid w:val="000B2CB9"/>
    <w:rsid w:val="000C3448"/>
    <w:rsid w:val="000C5B3B"/>
    <w:rsid w:val="000D3C98"/>
    <w:rsid w:val="000D7B3F"/>
    <w:rsid w:val="000E1744"/>
    <w:rsid w:val="000E2483"/>
    <w:rsid w:val="000F6434"/>
    <w:rsid w:val="000F6E3B"/>
    <w:rsid w:val="000F7337"/>
    <w:rsid w:val="000F7755"/>
    <w:rsid w:val="00101641"/>
    <w:rsid w:val="00101970"/>
    <w:rsid w:val="001069FB"/>
    <w:rsid w:val="001115D4"/>
    <w:rsid w:val="00111FA7"/>
    <w:rsid w:val="00135A17"/>
    <w:rsid w:val="00135B90"/>
    <w:rsid w:val="00135D09"/>
    <w:rsid w:val="001364C6"/>
    <w:rsid w:val="001431D4"/>
    <w:rsid w:val="0015583D"/>
    <w:rsid w:val="00156E94"/>
    <w:rsid w:val="00162605"/>
    <w:rsid w:val="00163087"/>
    <w:rsid w:val="00171AB4"/>
    <w:rsid w:val="001724B3"/>
    <w:rsid w:val="00172B3B"/>
    <w:rsid w:val="00172DEC"/>
    <w:rsid w:val="00176E4B"/>
    <w:rsid w:val="00177C40"/>
    <w:rsid w:val="00183249"/>
    <w:rsid w:val="00190BC6"/>
    <w:rsid w:val="00192E52"/>
    <w:rsid w:val="001934CE"/>
    <w:rsid w:val="00193639"/>
    <w:rsid w:val="00194751"/>
    <w:rsid w:val="001A2971"/>
    <w:rsid w:val="001A7878"/>
    <w:rsid w:val="001B113E"/>
    <w:rsid w:val="001B64C0"/>
    <w:rsid w:val="001B677D"/>
    <w:rsid w:val="001C0C45"/>
    <w:rsid w:val="001C2373"/>
    <w:rsid w:val="001C28EF"/>
    <w:rsid w:val="001C3D26"/>
    <w:rsid w:val="001C44C4"/>
    <w:rsid w:val="001C4B09"/>
    <w:rsid w:val="001C6965"/>
    <w:rsid w:val="001D0679"/>
    <w:rsid w:val="001E00C3"/>
    <w:rsid w:val="001E513C"/>
    <w:rsid w:val="001E5811"/>
    <w:rsid w:val="001E641F"/>
    <w:rsid w:val="001E70F8"/>
    <w:rsid w:val="001E7628"/>
    <w:rsid w:val="001F014C"/>
    <w:rsid w:val="002026D1"/>
    <w:rsid w:val="0020545B"/>
    <w:rsid w:val="002074D5"/>
    <w:rsid w:val="0020769B"/>
    <w:rsid w:val="00210AB2"/>
    <w:rsid w:val="00210BE0"/>
    <w:rsid w:val="00212897"/>
    <w:rsid w:val="00214014"/>
    <w:rsid w:val="00214E2F"/>
    <w:rsid w:val="00225C5E"/>
    <w:rsid w:val="002331FF"/>
    <w:rsid w:val="002363BD"/>
    <w:rsid w:val="00241D55"/>
    <w:rsid w:val="002422CB"/>
    <w:rsid w:val="00243B92"/>
    <w:rsid w:val="00246AD3"/>
    <w:rsid w:val="00273C06"/>
    <w:rsid w:val="00273D17"/>
    <w:rsid w:val="00275F26"/>
    <w:rsid w:val="00277CC3"/>
    <w:rsid w:val="002804C9"/>
    <w:rsid w:val="0028700D"/>
    <w:rsid w:val="002939B3"/>
    <w:rsid w:val="002967AA"/>
    <w:rsid w:val="00297B7F"/>
    <w:rsid w:val="002A2323"/>
    <w:rsid w:val="002A4CAF"/>
    <w:rsid w:val="002A661A"/>
    <w:rsid w:val="002A76C4"/>
    <w:rsid w:val="002B197D"/>
    <w:rsid w:val="002B37D0"/>
    <w:rsid w:val="002B3D25"/>
    <w:rsid w:val="002C41F6"/>
    <w:rsid w:val="002C6D86"/>
    <w:rsid w:val="002C7D32"/>
    <w:rsid w:val="002D02C1"/>
    <w:rsid w:val="002D2A88"/>
    <w:rsid w:val="002D3521"/>
    <w:rsid w:val="002D3D65"/>
    <w:rsid w:val="002F520D"/>
    <w:rsid w:val="002F5B91"/>
    <w:rsid w:val="002F7CCE"/>
    <w:rsid w:val="00307F5A"/>
    <w:rsid w:val="0031611F"/>
    <w:rsid w:val="00316E96"/>
    <w:rsid w:val="00322559"/>
    <w:rsid w:val="00325D53"/>
    <w:rsid w:val="00331112"/>
    <w:rsid w:val="003423FB"/>
    <w:rsid w:val="003429D1"/>
    <w:rsid w:val="00342A1D"/>
    <w:rsid w:val="0034375E"/>
    <w:rsid w:val="003460A2"/>
    <w:rsid w:val="00346927"/>
    <w:rsid w:val="00361A2F"/>
    <w:rsid w:val="00361D59"/>
    <w:rsid w:val="00362FCF"/>
    <w:rsid w:val="00363624"/>
    <w:rsid w:val="003716B5"/>
    <w:rsid w:val="003778BE"/>
    <w:rsid w:val="00380F25"/>
    <w:rsid w:val="00384A46"/>
    <w:rsid w:val="0038598F"/>
    <w:rsid w:val="00390146"/>
    <w:rsid w:val="003906CA"/>
    <w:rsid w:val="00393BA9"/>
    <w:rsid w:val="00394545"/>
    <w:rsid w:val="00396BA5"/>
    <w:rsid w:val="003A1266"/>
    <w:rsid w:val="003A3151"/>
    <w:rsid w:val="003B148E"/>
    <w:rsid w:val="003B3AF4"/>
    <w:rsid w:val="003B6FEB"/>
    <w:rsid w:val="003C1651"/>
    <w:rsid w:val="003E4CD0"/>
    <w:rsid w:val="003E7400"/>
    <w:rsid w:val="003F1131"/>
    <w:rsid w:val="00400744"/>
    <w:rsid w:val="00405D71"/>
    <w:rsid w:val="004075C1"/>
    <w:rsid w:val="004135AA"/>
    <w:rsid w:val="004178C6"/>
    <w:rsid w:val="00423EA1"/>
    <w:rsid w:val="0043219D"/>
    <w:rsid w:val="00451142"/>
    <w:rsid w:val="00452F47"/>
    <w:rsid w:val="00453F09"/>
    <w:rsid w:val="00454C50"/>
    <w:rsid w:val="0045513D"/>
    <w:rsid w:val="00456058"/>
    <w:rsid w:val="0045629D"/>
    <w:rsid w:val="004576EE"/>
    <w:rsid w:val="004657FA"/>
    <w:rsid w:val="00465E1E"/>
    <w:rsid w:val="0046682C"/>
    <w:rsid w:val="004677C1"/>
    <w:rsid w:val="00470CAF"/>
    <w:rsid w:val="0048608A"/>
    <w:rsid w:val="00492891"/>
    <w:rsid w:val="0049601B"/>
    <w:rsid w:val="004A2925"/>
    <w:rsid w:val="004A3A17"/>
    <w:rsid w:val="004A60EF"/>
    <w:rsid w:val="004B63A0"/>
    <w:rsid w:val="004B66CB"/>
    <w:rsid w:val="004B6FB9"/>
    <w:rsid w:val="004B7520"/>
    <w:rsid w:val="004B7BDA"/>
    <w:rsid w:val="004C12F5"/>
    <w:rsid w:val="004C1AD7"/>
    <w:rsid w:val="004D1D0E"/>
    <w:rsid w:val="004D3B8F"/>
    <w:rsid w:val="004D59DC"/>
    <w:rsid w:val="004D6E31"/>
    <w:rsid w:val="004E0C6C"/>
    <w:rsid w:val="004E41AC"/>
    <w:rsid w:val="004E5F6F"/>
    <w:rsid w:val="004F3D8F"/>
    <w:rsid w:val="004F3D93"/>
    <w:rsid w:val="004F3E07"/>
    <w:rsid w:val="004F62B9"/>
    <w:rsid w:val="00507935"/>
    <w:rsid w:val="005135A8"/>
    <w:rsid w:val="005154BF"/>
    <w:rsid w:val="00521F41"/>
    <w:rsid w:val="005268CC"/>
    <w:rsid w:val="0053061D"/>
    <w:rsid w:val="0053319E"/>
    <w:rsid w:val="005379EC"/>
    <w:rsid w:val="0054135B"/>
    <w:rsid w:val="00544B1A"/>
    <w:rsid w:val="0055033F"/>
    <w:rsid w:val="005551A5"/>
    <w:rsid w:val="005556C6"/>
    <w:rsid w:val="00556529"/>
    <w:rsid w:val="00556648"/>
    <w:rsid w:val="0055682C"/>
    <w:rsid w:val="00571942"/>
    <w:rsid w:val="00573383"/>
    <w:rsid w:val="005754E0"/>
    <w:rsid w:val="00583636"/>
    <w:rsid w:val="00584C54"/>
    <w:rsid w:val="00585739"/>
    <w:rsid w:val="00587803"/>
    <w:rsid w:val="0059167B"/>
    <w:rsid w:val="00591D53"/>
    <w:rsid w:val="005922B7"/>
    <w:rsid w:val="00594D44"/>
    <w:rsid w:val="005952A8"/>
    <w:rsid w:val="005964FA"/>
    <w:rsid w:val="00597EE2"/>
    <w:rsid w:val="005A0269"/>
    <w:rsid w:val="005A3304"/>
    <w:rsid w:val="005A499C"/>
    <w:rsid w:val="005A569C"/>
    <w:rsid w:val="005B509D"/>
    <w:rsid w:val="005B6A62"/>
    <w:rsid w:val="005B6F65"/>
    <w:rsid w:val="005C38EC"/>
    <w:rsid w:val="005C4908"/>
    <w:rsid w:val="005D00F3"/>
    <w:rsid w:val="005D0C60"/>
    <w:rsid w:val="005D1C59"/>
    <w:rsid w:val="005D227C"/>
    <w:rsid w:val="005D2A26"/>
    <w:rsid w:val="005D4345"/>
    <w:rsid w:val="005D7CB5"/>
    <w:rsid w:val="005E1ED0"/>
    <w:rsid w:val="005E45B0"/>
    <w:rsid w:val="005E5BBC"/>
    <w:rsid w:val="005F5A8A"/>
    <w:rsid w:val="006004B0"/>
    <w:rsid w:val="00616A06"/>
    <w:rsid w:val="00617FDA"/>
    <w:rsid w:val="00626B3B"/>
    <w:rsid w:val="00630863"/>
    <w:rsid w:val="00635C78"/>
    <w:rsid w:val="00635D07"/>
    <w:rsid w:val="006371F2"/>
    <w:rsid w:val="006423B9"/>
    <w:rsid w:val="006425C7"/>
    <w:rsid w:val="00646C99"/>
    <w:rsid w:val="0065188D"/>
    <w:rsid w:val="00651BF4"/>
    <w:rsid w:val="006607E2"/>
    <w:rsid w:val="006655EF"/>
    <w:rsid w:val="006658A6"/>
    <w:rsid w:val="00671CBF"/>
    <w:rsid w:val="00683503"/>
    <w:rsid w:val="00685697"/>
    <w:rsid w:val="00690576"/>
    <w:rsid w:val="00690C33"/>
    <w:rsid w:val="006931D5"/>
    <w:rsid w:val="00693730"/>
    <w:rsid w:val="006A01D9"/>
    <w:rsid w:val="006A3A7A"/>
    <w:rsid w:val="006A647E"/>
    <w:rsid w:val="006B0828"/>
    <w:rsid w:val="006B4079"/>
    <w:rsid w:val="006C7BB0"/>
    <w:rsid w:val="006D12E2"/>
    <w:rsid w:val="006D2F1C"/>
    <w:rsid w:val="006D31D9"/>
    <w:rsid w:val="006D41FE"/>
    <w:rsid w:val="006E153E"/>
    <w:rsid w:val="006E27B8"/>
    <w:rsid w:val="006F5633"/>
    <w:rsid w:val="006F7AA7"/>
    <w:rsid w:val="00703B06"/>
    <w:rsid w:val="00704065"/>
    <w:rsid w:val="00704490"/>
    <w:rsid w:val="007103CC"/>
    <w:rsid w:val="007200C9"/>
    <w:rsid w:val="007306C7"/>
    <w:rsid w:val="00732A1B"/>
    <w:rsid w:val="007340B9"/>
    <w:rsid w:val="00737F79"/>
    <w:rsid w:val="00740AE5"/>
    <w:rsid w:val="00740C6A"/>
    <w:rsid w:val="007417FE"/>
    <w:rsid w:val="00743AD2"/>
    <w:rsid w:val="00745DBA"/>
    <w:rsid w:val="0074636C"/>
    <w:rsid w:val="00746870"/>
    <w:rsid w:val="00750238"/>
    <w:rsid w:val="007508AA"/>
    <w:rsid w:val="00753F3B"/>
    <w:rsid w:val="00761C32"/>
    <w:rsid w:val="007632AA"/>
    <w:rsid w:val="00767F2F"/>
    <w:rsid w:val="007716A2"/>
    <w:rsid w:val="007721A7"/>
    <w:rsid w:val="00772B80"/>
    <w:rsid w:val="007730A5"/>
    <w:rsid w:val="007818B0"/>
    <w:rsid w:val="00783640"/>
    <w:rsid w:val="00785E38"/>
    <w:rsid w:val="00791684"/>
    <w:rsid w:val="00796501"/>
    <w:rsid w:val="00797CE8"/>
    <w:rsid w:val="007A60F2"/>
    <w:rsid w:val="007B33F4"/>
    <w:rsid w:val="007B3A72"/>
    <w:rsid w:val="007B470B"/>
    <w:rsid w:val="007B715F"/>
    <w:rsid w:val="007C50BE"/>
    <w:rsid w:val="007C7042"/>
    <w:rsid w:val="007D01AF"/>
    <w:rsid w:val="007D4D2D"/>
    <w:rsid w:val="007D5999"/>
    <w:rsid w:val="007D602E"/>
    <w:rsid w:val="007E6862"/>
    <w:rsid w:val="007E7622"/>
    <w:rsid w:val="007F34F0"/>
    <w:rsid w:val="007F3993"/>
    <w:rsid w:val="007F3A6A"/>
    <w:rsid w:val="008077D1"/>
    <w:rsid w:val="00813AD9"/>
    <w:rsid w:val="00817CD2"/>
    <w:rsid w:val="00820F16"/>
    <w:rsid w:val="008273DB"/>
    <w:rsid w:val="00827938"/>
    <w:rsid w:val="00831DB7"/>
    <w:rsid w:val="008336A7"/>
    <w:rsid w:val="00833EAF"/>
    <w:rsid w:val="008341DC"/>
    <w:rsid w:val="00836D2A"/>
    <w:rsid w:val="008614AA"/>
    <w:rsid w:val="00863DBF"/>
    <w:rsid w:val="008833EC"/>
    <w:rsid w:val="00885A87"/>
    <w:rsid w:val="00885E13"/>
    <w:rsid w:val="00887F48"/>
    <w:rsid w:val="00896B31"/>
    <w:rsid w:val="008A1E1B"/>
    <w:rsid w:val="008A385F"/>
    <w:rsid w:val="008B0FB1"/>
    <w:rsid w:val="008C1977"/>
    <w:rsid w:val="008C3FE2"/>
    <w:rsid w:val="008C5C39"/>
    <w:rsid w:val="008D0240"/>
    <w:rsid w:val="008D05D4"/>
    <w:rsid w:val="008D2476"/>
    <w:rsid w:val="008E0F92"/>
    <w:rsid w:val="008E4658"/>
    <w:rsid w:val="008E4845"/>
    <w:rsid w:val="008F2FFF"/>
    <w:rsid w:val="008F3844"/>
    <w:rsid w:val="008F3ABB"/>
    <w:rsid w:val="008F4B4A"/>
    <w:rsid w:val="008F5DAA"/>
    <w:rsid w:val="008F791E"/>
    <w:rsid w:val="00901330"/>
    <w:rsid w:val="00902C16"/>
    <w:rsid w:val="00904A1E"/>
    <w:rsid w:val="009071C3"/>
    <w:rsid w:val="0090752C"/>
    <w:rsid w:val="009114FE"/>
    <w:rsid w:val="009161E0"/>
    <w:rsid w:val="00923755"/>
    <w:rsid w:val="00933053"/>
    <w:rsid w:val="009365A3"/>
    <w:rsid w:val="00936904"/>
    <w:rsid w:val="00941959"/>
    <w:rsid w:val="009447D3"/>
    <w:rsid w:val="00956436"/>
    <w:rsid w:val="009573EF"/>
    <w:rsid w:val="00957F95"/>
    <w:rsid w:val="00961375"/>
    <w:rsid w:val="00962A28"/>
    <w:rsid w:val="00963F77"/>
    <w:rsid w:val="0097258B"/>
    <w:rsid w:val="00981B8E"/>
    <w:rsid w:val="00981FF3"/>
    <w:rsid w:val="00983BBF"/>
    <w:rsid w:val="00983C2D"/>
    <w:rsid w:val="009870B2"/>
    <w:rsid w:val="009910FC"/>
    <w:rsid w:val="00991F13"/>
    <w:rsid w:val="009A3678"/>
    <w:rsid w:val="009A48F5"/>
    <w:rsid w:val="009A77CF"/>
    <w:rsid w:val="009B0BBD"/>
    <w:rsid w:val="009B1CB1"/>
    <w:rsid w:val="009B4AC3"/>
    <w:rsid w:val="009B5491"/>
    <w:rsid w:val="009B5E9B"/>
    <w:rsid w:val="009C0236"/>
    <w:rsid w:val="009C7C49"/>
    <w:rsid w:val="009C7DDF"/>
    <w:rsid w:val="009C7E05"/>
    <w:rsid w:val="009C7F3C"/>
    <w:rsid w:val="009D2FF1"/>
    <w:rsid w:val="009D32BC"/>
    <w:rsid w:val="009D4440"/>
    <w:rsid w:val="009E1EC3"/>
    <w:rsid w:val="009E4151"/>
    <w:rsid w:val="009E7884"/>
    <w:rsid w:val="009E7D8E"/>
    <w:rsid w:val="009E7F99"/>
    <w:rsid w:val="009F0A62"/>
    <w:rsid w:val="009F2112"/>
    <w:rsid w:val="009F2E52"/>
    <w:rsid w:val="009F4C12"/>
    <w:rsid w:val="009F7495"/>
    <w:rsid w:val="00A03BEC"/>
    <w:rsid w:val="00A05840"/>
    <w:rsid w:val="00A1413A"/>
    <w:rsid w:val="00A15498"/>
    <w:rsid w:val="00A17BE1"/>
    <w:rsid w:val="00A200AB"/>
    <w:rsid w:val="00A22961"/>
    <w:rsid w:val="00A23EDE"/>
    <w:rsid w:val="00A32669"/>
    <w:rsid w:val="00A3299E"/>
    <w:rsid w:val="00A34FD4"/>
    <w:rsid w:val="00A367DE"/>
    <w:rsid w:val="00A36858"/>
    <w:rsid w:val="00A37ABB"/>
    <w:rsid w:val="00A40ABF"/>
    <w:rsid w:val="00A43DF1"/>
    <w:rsid w:val="00A44832"/>
    <w:rsid w:val="00A541D7"/>
    <w:rsid w:val="00A55620"/>
    <w:rsid w:val="00A56FE5"/>
    <w:rsid w:val="00A62F55"/>
    <w:rsid w:val="00A64661"/>
    <w:rsid w:val="00A64FAF"/>
    <w:rsid w:val="00A6726D"/>
    <w:rsid w:val="00A707A7"/>
    <w:rsid w:val="00A71805"/>
    <w:rsid w:val="00A77B0C"/>
    <w:rsid w:val="00A80A08"/>
    <w:rsid w:val="00A83058"/>
    <w:rsid w:val="00A8438C"/>
    <w:rsid w:val="00A9094E"/>
    <w:rsid w:val="00A9707C"/>
    <w:rsid w:val="00AA0E8C"/>
    <w:rsid w:val="00AB3C90"/>
    <w:rsid w:val="00AC0CAA"/>
    <w:rsid w:val="00AC2EAD"/>
    <w:rsid w:val="00AC72DB"/>
    <w:rsid w:val="00AD0216"/>
    <w:rsid w:val="00AD5E8A"/>
    <w:rsid w:val="00AE2364"/>
    <w:rsid w:val="00AE44FA"/>
    <w:rsid w:val="00AE7DE6"/>
    <w:rsid w:val="00B01209"/>
    <w:rsid w:val="00B01705"/>
    <w:rsid w:val="00B07577"/>
    <w:rsid w:val="00B07B0E"/>
    <w:rsid w:val="00B13087"/>
    <w:rsid w:val="00B22BE6"/>
    <w:rsid w:val="00B22E01"/>
    <w:rsid w:val="00B24C6D"/>
    <w:rsid w:val="00B310B2"/>
    <w:rsid w:val="00B341EE"/>
    <w:rsid w:val="00B35F3C"/>
    <w:rsid w:val="00B36FF3"/>
    <w:rsid w:val="00B374C0"/>
    <w:rsid w:val="00B406CC"/>
    <w:rsid w:val="00B42322"/>
    <w:rsid w:val="00B46600"/>
    <w:rsid w:val="00B51787"/>
    <w:rsid w:val="00B573AF"/>
    <w:rsid w:val="00B57C3C"/>
    <w:rsid w:val="00B67D57"/>
    <w:rsid w:val="00B718AD"/>
    <w:rsid w:val="00B71C30"/>
    <w:rsid w:val="00B72870"/>
    <w:rsid w:val="00B77BE0"/>
    <w:rsid w:val="00B81147"/>
    <w:rsid w:val="00B82818"/>
    <w:rsid w:val="00B84802"/>
    <w:rsid w:val="00B85178"/>
    <w:rsid w:val="00B865AC"/>
    <w:rsid w:val="00B86934"/>
    <w:rsid w:val="00B869EB"/>
    <w:rsid w:val="00B8714E"/>
    <w:rsid w:val="00B87728"/>
    <w:rsid w:val="00B90947"/>
    <w:rsid w:val="00BB1893"/>
    <w:rsid w:val="00BB53BF"/>
    <w:rsid w:val="00BB71C3"/>
    <w:rsid w:val="00BC3E83"/>
    <w:rsid w:val="00BC57AD"/>
    <w:rsid w:val="00BC7892"/>
    <w:rsid w:val="00BE073A"/>
    <w:rsid w:val="00BF6137"/>
    <w:rsid w:val="00C00438"/>
    <w:rsid w:val="00C03C2E"/>
    <w:rsid w:val="00C04105"/>
    <w:rsid w:val="00C047CA"/>
    <w:rsid w:val="00C04F5A"/>
    <w:rsid w:val="00C05B52"/>
    <w:rsid w:val="00C06684"/>
    <w:rsid w:val="00C07B63"/>
    <w:rsid w:val="00C10FFD"/>
    <w:rsid w:val="00C22AE2"/>
    <w:rsid w:val="00C275A3"/>
    <w:rsid w:val="00C30915"/>
    <w:rsid w:val="00C32C4F"/>
    <w:rsid w:val="00C33455"/>
    <w:rsid w:val="00C3695E"/>
    <w:rsid w:val="00C43E85"/>
    <w:rsid w:val="00C502AF"/>
    <w:rsid w:val="00C52A36"/>
    <w:rsid w:val="00C5693E"/>
    <w:rsid w:val="00C60603"/>
    <w:rsid w:val="00C622F6"/>
    <w:rsid w:val="00C6436A"/>
    <w:rsid w:val="00C70576"/>
    <w:rsid w:val="00C70E23"/>
    <w:rsid w:val="00C72A6D"/>
    <w:rsid w:val="00C72DAB"/>
    <w:rsid w:val="00C74B2E"/>
    <w:rsid w:val="00C7682A"/>
    <w:rsid w:val="00C76881"/>
    <w:rsid w:val="00C77799"/>
    <w:rsid w:val="00C808BA"/>
    <w:rsid w:val="00C80A66"/>
    <w:rsid w:val="00C85B97"/>
    <w:rsid w:val="00C85F41"/>
    <w:rsid w:val="00C86860"/>
    <w:rsid w:val="00C94CEB"/>
    <w:rsid w:val="00CA3DEA"/>
    <w:rsid w:val="00CB1887"/>
    <w:rsid w:val="00CB18D5"/>
    <w:rsid w:val="00CB1AA1"/>
    <w:rsid w:val="00CB3D13"/>
    <w:rsid w:val="00CB5EF6"/>
    <w:rsid w:val="00CC1B79"/>
    <w:rsid w:val="00CC2B80"/>
    <w:rsid w:val="00CC58FD"/>
    <w:rsid w:val="00CD2A93"/>
    <w:rsid w:val="00CD5847"/>
    <w:rsid w:val="00CE0D4A"/>
    <w:rsid w:val="00CE19C1"/>
    <w:rsid w:val="00CE3C0E"/>
    <w:rsid w:val="00CE4104"/>
    <w:rsid w:val="00CE4F0F"/>
    <w:rsid w:val="00CE7AC0"/>
    <w:rsid w:val="00CF10C8"/>
    <w:rsid w:val="00CF1B59"/>
    <w:rsid w:val="00CF1E18"/>
    <w:rsid w:val="00CF2CD5"/>
    <w:rsid w:val="00D03F62"/>
    <w:rsid w:val="00D20EE2"/>
    <w:rsid w:val="00D213B4"/>
    <w:rsid w:val="00D317E0"/>
    <w:rsid w:val="00D351F8"/>
    <w:rsid w:val="00D35BFE"/>
    <w:rsid w:val="00D37EC8"/>
    <w:rsid w:val="00D405DB"/>
    <w:rsid w:val="00D42D09"/>
    <w:rsid w:val="00D44E0F"/>
    <w:rsid w:val="00D4667B"/>
    <w:rsid w:val="00D536D5"/>
    <w:rsid w:val="00D5452F"/>
    <w:rsid w:val="00D548C0"/>
    <w:rsid w:val="00D5676D"/>
    <w:rsid w:val="00D57C67"/>
    <w:rsid w:val="00D607EA"/>
    <w:rsid w:val="00D7274C"/>
    <w:rsid w:val="00D739A0"/>
    <w:rsid w:val="00D751FF"/>
    <w:rsid w:val="00D801F0"/>
    <w:rsid w:val="00D80680"/>
    <w:rsid w:val="00D80EDB"/>
    <w:rsid w:val="00D86573"/>
    <w:rsid w:val="00D91354"/>
    <w:rsid w:val="00D92BC1"/>
    <w:rsid w:val="00D93CF4"/>
    <w:rsid w:val="00D96491"/>
    <w:rsid w:val="00DA1CDD"/>
    <w:rsid w:val="00DA3C5D"/>
    <w:rsid w:val="00DB2866"/>
    <w:rsid w:val="00DC4A4A"/>
    <w:rsid w:val="00DC5642"/>
    <w:rsid w:val="00DD6EFA"/>
    <w:rsid w:val="00DE0D86"/>
    <w:rsid w:val="00DE7707"/>
    <w:rsid w:val="00DE78CF"/>
    <w:rsid w:val="00DF6D77"/>
    <w:rsid w:val="00E07DE3"/>
    <w:rsid w:val="00E21217"/>
    <w:rsid w:val="00E21D07"/>
    <w:rsid w:val="00E2612F"/>
    <w:rsid w:val="00E34546"/>
    <w:rsid w:val="00E36204"/>
    <w:rsid w:val="00E363ED"/>
    <w:rsid w:val="00E37107"/>
    <w:rsid w:val="00E43A7E"/>
    <w:rsid w:val="00E50C54"/>
    <w:rsid w:val="00E562B5"/>
    <w:rsid w:val="00E56CB9"/>
    <w:rsid w:val="00E5792E"/>
    <w:rsid w:val="00E60939"/>
    <w:rsid w:val="00E60BB7"/>
    <w:rsid w:val="00E61F52"/>
    <w:rsid w:val="00E73C9B"/>
    <w:rsid w:val="00E876E5"/>
    <w:rsid w:val="00EA40FB"/>
    <w:rsid w:val="00EB326C"/>
    <w:rsid w:val="00EB72A9"/>
    <w:rsid w:val="00EC7A4D"/>
    <w:rsid w:val="00ED437D"/>
    <w:rsid w:val="00EE055D"/>
    <w:rsid w:val="00EE2D2F"/>
    <w:rsid w:val="00EE3441"/>
    <w:rsid w:val="00EE4192"/>
    <w:rsid w:val="00EE48B0"/>
    <w:rsid w:val="00EE5F44"/>
    <w:rsid w:val="00EE6290"/>
    <w:rsid w:val="00EF2E6A"/>
    <w:rsid w:val="00F03E97"/>
    <w:rsid w:val="00F04A24"/>
    <w:rsid w:val="00F04E28"/>
    <w:rsid w:val="00F05A7F"/>
    <w:rsid w:val="00F174CE"/>
    <w:rsid w:val="00F20E9C"/>
    <w:rsid w:val="00F24186"/>
    <w:rsid w:val="00F25232"/>
    <w:rsid w:val="00F26BD5"/>
    <w:rsid w:val="00F30B4C"/>
    <w:rsid w:val="00F31647"/>
    <w:rsid w:val="00F347C3"/>
    <w:rsid w:val="00F361FF"/>
    <w:rsid w:val="00F36BE9"/>
    <w:rsid w:val="00F43B81"/>
    <w:rsid w:val="00F460A4"/>
    <w:rsid w:val="00F545D8"/>
    <w:rsid w:val="00F57FA4"/>
    <w:rsid w:val="00F74535"/>
    <w:rsid w:val="00F75107"/>
    <w:rsid w:val="00F75283"/>
    <w:rsid w:val="00F753B3"/>
    <w:rsid w:val="00F807EC"/>
    <w:rsid w:val="00F857E6"/>
    <w:rsid w:val="00F8652A"/>
    <w:rsid w:val="00F8773C"/>
    <w:rsid w:val="00F90C56"/>
    <w:rsid w:val="00F935C8"/>
    <w:rsid w:val="00FA4D6A"/>
    <w:rsid w:val="00FA62EF"/>
    <w:rsid w:val="00FB0A83"/>
    <w:rsid w:val="00FC2155"/>
    <w:rsid w:val="00FC5ABF"/>
    <w:rsid w:val="00FC5D78"/>
    <w:rsid w:val="00FC6D40"/>
    <w:rsid w:val="00FD1606"/>
    <w:rsid w:val="00FD2F53"/>
    <w:rsid w:val="00FE138D"/>
    <w:rsid w:val="00FE28D7"/>
    <w:rsid w:val="00FF3636"/>
    <w:rsid w:val="00FF4023"/>
    <w:rsid w:val="00FF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04"/>
    <w:pPr>
      <w:spacing w:after="0" w:line="240" w:lineRule="auto"/>
      <w:jc w:val="both"/>
    </w:pPr>
    <w:rPr>
      <w:rFonts w:ascii="Verdana" w:eastAsia="MS Mincho" w:hAnsi="Verdana" w:cs="Times New Roman"/>
      <w:sz w:val="20"/>
      <w:szCs w:val="24"/>
      <w:lang w:val="pt-BR"/>
    </w:rPr>
  </w:style>
  <w:style w:type="paragraph" w:styleId="Heading1">
    <w:name w:val="heading 1"/>
    <w:basedOn w:val="Normal"/>
    <w:next w:val="Normal"/>
    <w:link w:val="Heading1Char"/>
    <w:uiPriority w:val="9"/>
    <w:qFormat/>
    <w:rsid w:val="007468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4104"/>
    <w:pPr>
      <w:keepNext/>
      <w:tabs>
        <w:tab w:val="left" w:pos="720"/>
      </w:tabs>
      <w:jc w:val="center"/>
      <w:outlineLvl w:val="1"/>
    </w:pPr>
    <w:rPr>
      <w:b/>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4104"/>
    <w:rPr>
      <w:rFonts w:ascii="Verdana" w:eastAsia="MS Mincho" w:hAnsi="Verdana" w:cs="Times New Roman"/>
      <w:b/>
      <w:sz w:val="20"/>
      <w:szCs w:val="20"/>
      <w:lang w:val="es-E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CE4104"/>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Texto nota pie Car"/>
    <w:basedOn w:val="Normal"/>
    <w:link w:val="FootnoteTextChar1"/>
    <w:qFormat/>
    <w:rsid w:val="00CE4104"/>
    <w:pPr>
      <w:widowControl w:val="0"/>
    </w:pPr>
    <w:rPr>
      <w:sz w:val="16"/>
      <w:szCs w:val="16"/>
      <w:lang w:val="es-ES"/>
    </w:rPr>
  </w:style>
  <w:style w:type="character" w:customStyle="1" w:styleId="FootnoteTextChar">
    <w:name w:val="Footnote Text Char"/>
    <w:basedOn w:val="DefaultParagraphFont"/>
    <w:uiPriority w:val="99"/>
    <w:semiHidden/>
    <w:rsid w:val="00CE4104"/>
    <w:rPr>
      <w:rFonts w:ascii="Verdana" w:eastAsia="MS Mincho" w:hAnsi="Verdana" w:cs="Times New Roman"/>
      <w:sz w:val="20"/>
      <w:szCs w:val="20"/>
      <w:lang w:val="pt-BR"/>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CE4104"/>
    <w:rPr>
      <w:rFonts w:ascii="Verdana" w:eastAsia="MS Mincho" w:hAnsi="Verdana" w:cs="Times New Roman"/>
      <w:sz w:val="16"/>
      <w:szCs w:val="16"/>
      <w:lang w:val="es-ES"/>
    </w:rPr>
  </w:style>
  <w:style w:type="paragraph" w:styleId="ListParagraph">
    <w:name w:val="List Paragraph"/>
    <w:basedOn w:val="Normal"/>
    <w:uiPriority w:val="34"/>
    <w:qFormat/>
    <w:rsid w:val="00CE4104"/>
    <w:pPr>
      <w:ind w:left="720"/>
      <w:contextualSpacing/>
    </w:pPr>
  </w:style>
  <w:style w:type="paragraph" w:styleId="Header">
    <w:name w:val="header"/>
    <w:basedOn w:val="Normal"/>
    <w:link w:val="HeaderChar"/>
    <w:uiPriority w:val="99"/>
    <w:unhideWhenUsed/>
    <w:rsid w:val="009447D3"/>
    <w:pPr>
      <w:tabs>
        <w:tab w:val="center" w:pos="4680"/>
        <w:tab w:val="right" w:pos="9360"/>
      </w:tabs>
    </w:pPr>
  </w:style>
  <w:style w:type="character" w:customStyle="1" w:styleId="HeaderChar">
    <w:name w:val="Header Char"/>
    <w:basedOn w:val="DefaultParagraphFont"/>
    <w:link w:val="Header"/>
    <w:uiPriority w:val="99"/>
    <w:rsid w:val="009447D3"/>
    <w:rPr>
      <w:rFonts w:ascii="Verdana" w:eastAsia="MS Mincho" w:hAnsi="Verdana" w:cs="Times New Roman"/>
      <w:sz w:val="20"/>
      <w:szCs w:val="24"/>
      <w:lang w:val="pt-BR"/>
    </w:rPr>
  </w:style>
  <w:style w:type="paragraph" w:customStyle="1" w:styleId="Default">
    <w:name w:val="Default"/>
    <w:rsid w:val="00F04E28"/>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584C54"/>
    <w:rPr>
      <w:sz w:val="16"/>
      <w:szCs w:val="16"/>
    </w:rPr>
  </w:style>
  <w:style w:type="paragraph" w:styleId="CommentText">
    <w:name w:val="annotation text"/>
    <w:basedOn w:val="Normal"/>
    <w:link w:val="CommentTextChar"/>
    <w:uiPriority w:val="99"/>
    <w:unhideWhenUsed/>
    <w:rsid w:val="00584C54"/>
    <w:rPr>
      <w:szCs w:val="20"/>
    </w:rPr>
  </w:style>
  <w:style w:type="character" w:customStyle="1" w:styleId="CommentTextChar">
    <w:name w:val="Comment Text Char"/>
    <w:basedOn w:val="DefaultParagraphFont"/>
    <w:link w:val="CommentText"/>
    <w:uiPriority w:val="99"/>
    <w:rsid w:val="00584C54"/>
    <w:rPr>
      <w:rFonts w:ascii="Verdana" w:eastAsia="MS Mincho" w:hAnsi="Verdana"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584C54"/>
    <w:rPr>
      <w:b/>
      <w:bCs/>
    </w:rPr>
  </w:style>
  <w:style w:type="character" w:customStyle="1" w:styleId="CommentSubjectChar">
    <w:name w:val="Comment Subject Char"/>
    <w:basedOn w:val="CommentTextChar"/>
    <w:link w:val="CommentSubject"/>
    <w:uiPriority w:val="99"/>
    <w:semiHidden/>
    <w:rsid w:val="00584C54"/>
    <w:rPr>
      <w:rFonts w:ascii="Verdana" w:eastAsia="MS Mincho" w:hAnsi="Verdana" w:cs="Times New Roman"/>
      <w:b/>
      <w:bCs/>
      <w:sz w:val="20"/>
      <w:szCs w:val="20"/>
      <w:lang w:val="pt-BR"/>
    </w:rPr>
  </w:style>
  <w:style w:type="paragraph" w:styleId="BalloonText">
    <w:name w:val="Balloon Text"/>
    <w:basedOn w:val="Normal"/>
    <w:link w:val="BalloonTextChar"/>
    <w:uiPriority w:val="99"/>
    <w:semiHidden/>
    <w:unhideWhenUsed/>
    <w:rsid w:val="00584C54"/>
    <w:rPr>
      <w:rFonts w:ascii="Tahoma" w:hAnsi="Tahoma" w:cs="Tahoma"/>
      <w:sz w:val="16"/>
      <w:szCs w:val="16"/>
    </w:rPr>
  </w:style>
  <w:style w:type="character" w:customStyle="1" w:styleId="BalloonTextChar">
    <w:name w:val="Balloon Text Char"/>
    <w:basedOn w:val="DefaultParagraphFont"/>
    <w:link w:val="BalloonText"/>
    <w:uiPriority w:val="99"/>
    <w:semiHidden/>
    <w:rsid w:val="00584C54"/>
    <w:rPr>
      <w:rFonts w:ascii="Tahoma" w:eastAsia="MS Mincho" w:hAnsi="Tahoma" w:cs="Tahoma"/>
      <w:sz w:val="16"/>
      <w:szCs w:val="16"/>
      <w:lang w:val="pt-BR"/>
    </w:rPr>
  </w:style>
  <w:style w:type="paragraph" w:styleId="BodyText">
    <w:name w:val="Body Text"/>
    <w:basedOn w:val="Normal"/>
    <w:link w:val="BodyTextChar"/>
    <w:rsid w:val="00F75107"/>
    <w:pPr>
      <w:spacing w:after="120"/>
    </w:pPr>
  </w:style>
  <w:style w:type="character" w:customStyle="1" w:styleId="BodyTextChar">
    <w:name w:val="Body Text Char"/>
    <w:basedOn w:val="DefaultParagraphFont"/>
    <w:link w:val="BodyText"/>
    <w:rsid w:val="00F75107"/>
    <w:rPr>
      <w:rFonts w:ascii="Verdana" w:eastAsia="MS Mincho" w:hAnsi="Verdana" w:cs="Times New Roman"/>
      <w:sz w:val="20"/>
      <w:szCs w:val="24"/>
      <w:lang w:val="pt-BR"/>
    </w:rPr>
  </w:style>
  <w:style w:type="character" w:customStyle="1" w:styleId="Heading1Char">
    <w:name w:val="Heading 1 Char"/>
    <w:basedOn w:val="DefaultParagraphFont"/>
    <w:link w:val="Heading1"/>
    <w:uiPriority w:val="9"/>
    <w:rsid w:val="00746870"/>
    <w:rPr>
      <w:rFonts w:asciiTheme="majorHAnsi" w:eastAsiaTheme="majorEastAsia" w:hAnsiTheme="majorHAnsi" w:cstheme="majorBidi"/>
      <w:b/>
      <w:bCs/>
      <w:color w:val="365F91" w:themeColor="accent1" w:themeShade="BF"/>
      <w:sz w:val="28"/>
      <w:szCs w:val="28"/>
      <w:lang w:val="pt-BR"/>
    </w:rPr>
  </w:style>
  <w:style w:type="paragraph" w:styleId="Footer">
    <w:name w:val="footer"/>
    <w:basedOn w:val="Normal"/>
    <w:link w:val="FooterChar"/>
    <w:uiPriority w:val="99"/>
    <w:unhideWhenUsed/>
    <w:rsid w:val="00B01705"/>
    <w:pPr>
      <w:tabs>
        <w:tab w:val="center" w:pos="4680"/>
        <w:tab w:val="right" w:pos="9360"/>
      </w:tabs>
    </w:pPr>
  </w:style>
  <w:style w:type="character" w:customStyle="1" w:styleId="FooterChar">
    <w:name w:val="Footer Char"/>
    <w:basedOn w:val="DefaultParagraphFont"/>
    <w:link w:val="Footer"/>
    <w:uiPriority w:val="99"/>
    <w:rsid w:val="00B01705"/>
    <w:rPr>
      <w:rFonts w:ascii="Verdana" w:eastAsia="MS Mincho" w:hAnsi="Verdana" w:cs="Times New Roman"/>
      <w:sz w:val="20"/>
      <w:szCs w:val="24"/>
      <w:lang w:val="pt-BR"/>
    </w:rPr>
  </w:style>
  <w:style w:type="paragraph" w:styleId="BodyTextIndent">
    <w:name w:val="Body Text Indent"/>
    <w:basedOn w:val="Normal"/>
    <w:link w:val="BodyTextIndentChar"/>
    <w:uiPriority w:val="99"/>
    <w:semiHidden/>
    <w:unhideWhenUsed/>
    <w:rsid w:val="009D4440"/>
    <w:pPr>
      <w:spacing w:after="120"/>
      <w:ind w:left="360"/>
    </w:pPr>
  </w:style>
  <w:style w:type="character" w:customStyle="1" w:styleId="BodyTextIndentChar">
    <w:name w:val="Body Text Indent Char"/>
    <w:basedOn w:val="DefaultParagraphFont"/>
    <w:link w:val="BodyTextIndent"/>
    <w:uiPriority w:val="99"/>
    <w:semiHidden/>
    <w:rsid w:val="009D4440"/>
    <w:rPr>
      <w:rFonts w:ascii="Verdana" w:eastAsia="MS Mincho" w:hAnsi="Verdana" w:cs="Times New Roman"/>
      <w:sz w:val="20"/>
      <w:szCs w:val="24"/>
      <w:lang w:val="pt-BR"/>
    </w:rPr>
  </w:style>
  <w:style w:type="character" w:styleId="Hyperlink">
    <w:name w:val="Hyperlink"/>
    <w:basedOn w:val="DefaultParagraphFont"/>
    <w:uiPriority w:val="99"/>
    <w:unhideWhenUsed/>
    <w:rsid w:val="00B865AC"/>
    <w:rPr>
      <w:color w:val="0000FF" w:themeColor="hyperlink"/>
      <w:u w:val="single"/>
    </w:rPr>
  </w:style>
  <w:style w:type="paragraph" w:styleId="Revision">
    <w:name w:val="Revision"/>
    <w:hidden/>
    <w:uiPriority w:val="99"/>
    <w:semiHidden/>
    <w:rsid w:val="00017897"/>
    <w:pPr>
      <w:spacing w:after="0" w:line="240" w:lineRule="auto"/>
    </w:pPr>
    <w:rPr>
      <w:rFonts w:ascii="Verdana" w:eastAsia="MS Mincho" w:hAnsi="Verdana" w:cs="Times New Roman"/>
      <w:sz w:val="20"/>
      <w:szCs w:val="24"/>
      <w:lang w:val="pt-BR"/>
    </w:rPr>
  </w:style>
  <w:style w:type="character" w:customStyle="1" w:styleId="UnresolvedMention">
    <w:name w:val="Unresolved Mention"/>
    <w:basedOn w:val="DefaultParagraphFont"/>
    <w:uiPriority w:val="99"/>
    <w:semiHidden/>
    <w:unhideWhenUsed/>
    <w:rsid w:val="00EA40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04"/>
    <w:pPr>
      <w:spacing w:after="0" w:line="240" w:lineRule="auto"/>
      <w:jc w:val="both"/>
    </w:pPr>
    <w:rPr>
      <w:rFonts w:ascii="Verdana" w:eastAsia="MS Mincho" w:hAnsi="Verdana" w:cs="Times New Roman"/>
      <w:sz w:val="20"/>
      <w:szCs w:val="24"/>
      <w:lang w:val="pt-BR"/>
    </w:rPr>
  </w:style>
  <w:style w:type="paragraph" w:styleId="Heading1">
    <w:name w:val="heading 1"/>
    <w:basedOn w:val="Normal"/>
    <w:next w:val="Normal"/>
    <w:link w:val="Heading1Char"/>
    <w:uiPriority w:val="9"/>
    <w:qFormat/>
    <w:rsid w:val="007468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4104"/>
    <w:pPr>
      <w:keepNext/>
      <w:tabs>
        <w:tab w:val="left" w:pos="720"/>
      </w:tabs>
      <w:jc w:val="center"/>
      <w:outlineLvl w:val="1"/>
    </w:pPr>
    <w:rPr>
      <w:b/>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4104"/>
    <w:rPr>
      <w:rFonts w:ascii="Verdana" w:eastAsia="MS Mincho" w:hAnsi="Verdana" w:cs="Times New Roman"/>
      <w:b/>
      <w:sz w:val="20"/>
      <w:szCs w:val="20"/>
      <w:lang w:val="es-E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qFormat/>
    <w:rsid w:val="00CE4104"/>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Texto nota pie Car"/>
    <w:basedOn w:val="Normal"/>
    <w:link w:val="FootnoteTextChar1"/>
    <w:qFormat/>
    <w:rsid w:val="00CE4104"/>
    <w:pPr>
      <w:widowControl w:val="0"/>
    </w:pPr>
    <w:rPr>
      <w:sz w:val="16"/>
      <w:szCs w:val="16"/>
      <w:lang w:val="es-ES"/>
    </w:rPr>
  </w:style>
  <w:style w:type="character" w:customStyle="1" w:styleId="FootnoteTextChar">
    <w:name w:val="Footnote Text Char"/>
    <w:basedOn w:val="DefaultParagraphFont"/>
    <w:uiPriority w:val="99"/>
    <w:semiHidden/>
    <w:rsid w:val="00CE4104"/>
    <w:rPr>
      <w:rFonts w:ascii="Verdana" w:eastAsia="MS Mincho" w:hAnsi="Verdana" w:cs="Times New Roman"/>
      <w:sz w:val="20"/>
      <w:szCs w:val="20"/>
      <w:lang w:val="pt-BR"/>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CE4104"/>
    <w:rPr>
      <w:rFonts w:ascii="Verdana" w:eastAsia="MS Mincho" w:hAnsi="Verdana" w:cs="Times New Roman"/>
      <w:sz w:val="16"/>
      <w:szCs w:val="16"/>
      <w:lang w:val="es-ES"/>
    </w:rPr>
  </w:style>
  <w:style w:type="paragraph" w:styleId="ListParagraph">
    <w:name w:val="List Paragraph"/>
    <w:basedOn w:val="Normal"/>
    <w:uiPriority w:val="34"/>
    <w:qFormat/>
    <w:rsid w:val="00CE4104"/>
    <w:pPr>
      <w:ind w:left="720"/>
      <w:contextualSpacing/>
    </w:pPr>
  </w:style>
  <w:style w:type="paragraph" w:styleId="Header">
    <w:name w:val="header"/>
    <w:basedOn w:val="Normal"/>
    <w:link w:val="HeaderChar"/>
    <w:uiPriority w:val="99"/>
    <w:unhideWhenUsed/>
    <w:rsid w:val="009447D3"/>
    <w:pPr>
      <w:tabs>
        <w:tab w:val="center" w:pos="4680"/>
        <w:tab w:val="right" w:pos="9360"/>
      </w:tabs>
    </w:pPr>
  </w:style>
  <w:style w:type="character" w:customStyle="1" w:styleId="HeaderChar">
    <w:name w:val="Header Char"/>
    <w:basedOn w:val="DefaultParagraphFont"/>
    <w:link w:val="Header"/>
    <w:uiPriority w:val="99"/>
    <w:rsid w:val="009447D3"/>
    <w:rPr>
      <w:rFonts w:ascii="Verdana" w:eastAsia="MS Mincho" w:hAnsi="Verdana" w:cs="Times New Roman"/>
      <w:sz w:val="20"/>
      <w:szCs w:val="24"/>
      <w:lang w:val="pt-BR"/>
    </w:rPr>
  </w:style>
  <w:style w:type="paragraph" w:customStyle="1" w:styleId="Default">
    <w:name w:val="Default"/>
    <w:rsid w:val="00F04E28"/>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584C54"/>
    <w:rPr>
      <w:sz w:val="16"/>
      <w:szCs w:val="16"/>
    </w:rPr>
  </w:style>
  <w:style w:type="paragraph" w:styleId="CommentText">
    <w:name w:val="annotation text"/>
    <w:basedOn w:val="Normal"/>
    <w:link w:val="CommentTextChar"/>
    <w:uiPriority w:val="99"/>
    <w:unhideWhenUsed/>
    <w:rsid w:val="00584C54"/>
    <w:rPr>
      <w:szCs w:val="20"/>
    </w:rPr>
  </w:style>
  <w:style w:type="character" w:customStyle="1" w:styleId="CommentTextChar">
    <w:name w:val="Comment Text Char"/>
    <w:basedOn w:val="DefaultParagraphFont"/>
    <w:link w:val="CommentText"/>
    <w:uiPriority w:val="99"/>
    <w:rsid w:val="00584C54"/>
    <w:rPr>
      <w:rFonts w:ascii="Verdana" w:eastAsia="MS Mincho" w:hAnsi="Verdana"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584C54"/>
    <w:rPr>
      <w:b/>
      <w:bCs/>
    </w:rPr>
  </w:style>
  <w:style w:type="character" w:customStyle="1" w:styleId="CommentSubjectChar">
    <w:name w:val="Comment Subject Char"/>
    <w:basedOn w:val="CommentTextChar"/>
    <w:link w:val="CommentSubject"/>
    <w:uiPriority w:val="99"/>
    <w:semiHidden/>
    <w:rsid w:val="00584C54"/>
    <w:rPr>
      <w:rFonts w:ascii="Verdana" w:eastAsia="MS Mincho" w:hAnsi="Verdana" w:cs="Times New Roman"/>
      <w:b/>
      <w:bCs/>
      <w:sz w:val="20"/>
      <w:szCs w:val="20"/>
      <w:lang w:val="pt-BR"/>
    </w:rPr>
  </w:style>
  <w:style w:type="paragraph" w:styleId="BalloonText">
    <w:name w:val="Balloon Text"/>
    <w:basedOn w:val="Normal"/>
    <w:link w:val="BalloonTextChar"/>
    <w:uiPriority w:val="99"/>
    <w:semiHidden/>
    <w:unhideWhenUsed/>
    <w:rsid w:val="00584C54"/>
    <w:rPr>
      <w:rFonts w:ascii="Tahoma" w:hAnsi="Tahoma" w:cs="Tahoma"/>
      <w:sz w:val="16"/>
      <w:szCs w:val="16"/>
    </w:rPr>
  </w:style>
  <w:style w:type="character" w:customStyle="1" w:styleId="BalloonTextChar">
    <w:name w:val="Balloon Text Char"/>
    <w:basedOn w:val="DefaultParagraphFont"/>
    <w:link w:val="BalloonText"/>
    <w:uiPriority w:val="99"/>
    <w:semiHidden/>
    <w:rsid w:val="00584C54"/>
    <w:rPr>
      <w:rFonts w:ascii="Tahoma" w:eastAsia="MS Mincho" w:hAnsi="Tahoma" w:cs="Tahoma"/>
      <w:sz w:val="16"/>
      <w:szCs w:val="16"/>
      <w:lang w:val="pt-BR"/>
    </w:rPr>
  </w:style>
  <w:style w:type="paragraph" w:styleId="BodyText">
    <w:name w:val="Body Text"/>
    <w:basedOn w:val="Normal"/>
    <w:link w:val="BodyTextChar"/>
    <w:rsid w:val="00F75107"/>
    <w:pPr>
      <w:spacing w:after="120"/>
    </w:pPr>
  </w:style>
  <w:style w:type="character" w:customStyle="1" w:styleId="BodyTextChar">
    <w:name w:val="Body Text Char"/>
    <w:basedOn w:val="DefaultParagraphFont"/>
    <w:link w:val="BodyText"/>
    <w:rsid w:val="00F75107"/>
    <w:rPr>
      <w:rFonts w:ascii="Verdana" w:eastAsia="MS Mincho" w:hAnsi="Verdana" w:cs="Times New Roman"/>
      <w:sz w:val="20"/>
      <w:szCs w:val="24"/>
      <w:lang w:val="pt-BR"/>
    </w:rPr>
  </w:style>
  <w:style w:type="character" w:customStyle="1" w:styleId="Heading1Char">
    <w:name w:val="Heading 1 Char"/>
    <w:basedOn w:val="DefaultParagraphFont"/>
    <w:link w:val="Heading1"/>
    <w:uiPriority w:val="9"/>
    <w:rsid w:val="00746870"/>
    <w:rPr>
      <w:rFonts w:asciiTheme="majorHAnsi" w:eastAsiaTheme="majorEastAsia" w:hAnsiTheme="majorHAnsi" w:cstheme="majorBidi"/>
      <w:b/>
      <w:bCs/>
      <w:color w:val="365F91" w:themeColor="accent1" w:themeShade="BF"/>
      <w:sz w:val="28"/>
      <w:szCs w:val="28"/>
      <w:lang w:val="pt-BR"/>
    </w:rPr>
  </w:style>
  <w:style w:type="paragraph" w:styleId="Footer">
    <w:name w:val="footer"/>
    <w:basedOn w:val="Normal"/>
    <w:link w:val="FooterChar"/>
    <w:uiPriority w:val="99"/>
    <w:unhideWhenUsed/>
    <w:rsid w:val="00B01705"/>
    <w:pPr>
      <w:tabs>
        <w:tab w:val="center" w:pos="4680"/>
        <w:tab w:val="right" w:pos="9360"/>
      </w:tabs>
    </w:pPr>
  </w:style>
  <w:style w:type="character" w:customStyle="1" w:styleId="FooterChar">
    <w:name w:val="Footer Char"/>
    <w:basedOn w:val="DefaultParagraphFont"/>
    <w:link w:val="Footer"/>
    <w:uiPriority w:val="99"/>
    <w:rsid w:val="00B01705"/>
    <w:rPr>
      <w:rFonts w:ascii="Verdana" w:eastAsia="MS Mincho" w:hAnsi="Verdana" w:cs="Times New Roman"/>
      <w:sz w:val="20"/>
      <w:szCs w:val="24"/>
      <w:lang w:val="pt-BR"/>
    </w:rPr>
  </w:style>
  <w:style w:type="paragraph" w:styleId="BodyTextIndent">
    <w:name w:val="Body Text Indent"/>
    <w:basedOn w:val="Normal"/>
    <w:link w:val="BodyTextIndentChar"/>
    <w:uiPriority w:val="99"/>
    <w:semiHidden/>
    <w:unhideWhenUsed/>
    <w:rsid w:val="009D4440"/>
    <w:pPr>
      <w:spacing w:after="120"/>
      <w:ind w:left="360"/>
    </w:pPr>
  </w:style>
  <w:style w:type="character" w:customStyle="1" w:styleId="BodyTextIndentChar">
    <w:name w:val="Body Text Indent Char"/>
    <w:basedOn w:val="DefaultParagraphFont"/>
    <w:link w:val="BodyTextIndent"/>
    <w:uiPriority w:val="99"/>
    <w:semiHidden/>
    <w:rsid w:val="009D4440"/>
    <w:rPr>
      <w:rFonts w:ascii="Verdana" w:eastAsia="MS Mincho" w:hAnsi="Verdana" w:cs="Times New Roman"/>
      <w:sz w:val="20"/>
      <w:szCs w:val="24"/>
      <w:lang w:val="pt-BR"/>
    </w:rPr>
  </w:style>
  <w:style w:type="character" w:styleId="Hyperlink">
    <w:name w:val="Hyperlink"/>
    <w:basedOn w:val="DefaultParagraphFont"/>
    <w:uiPriority w:val="99"/>
    <w:unhideWhenUsed/>
    <w:rsid w:val="00B865AC"/>
    <w:rPr>
      <w:color w:val="0000FF" w:themeColor="hyperlink"/>
      <w:u w:val="single"/>
    </w:rPr>
  </w:style>
  <w:style w:type="paragraph" w:styleId="Revision">
    <w:name w:val="Revision"/>
    <w:hidden/>
    <w:uiPriority w:val="99"/>
    <w:semiHidden/>
    <w:rsid w:val="00017897"/>
    <w:pPr>
      <w:spacing w:after="0" w:line="240" w:lineRule="auto"/>
    </w:pPr>
    <w:rPr>
      <w:rFonts w:ascii="Verdana" w:eastAsia="MS Mincho" w:hAnsi="Verdana" w:cs="Times New Roman"/>
      <w:sz w:val="20"/>
      <w:szCs w:val="24"/>
      <w:lang w:val="pt-BR"/>
    </w:rPr>
  </w:style>
  <w:style w:type="character" w:customStyle="1" w:styleId="UnresolvedMention">
    <w:name w:val="Unresolved Mention"/>
    <w:basedOn w:val="DefaultParagraphFont"/>
    <w:uiPriority w:val="99"/>
    <w:semiHidden/>
    <w:unhideWhenUsed/>
    <w:rsid w:val="00EA40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713">
      <w:bodyDiv w:val="1"/>
      <w:marLeft w:val="0"/>
      <w:marRight w:val="0"/>
      <w:marTop w:val="0"/>
      <w:marBottom w:val="0"/>
      <w:divBdr>
        <w:top w:val="none" w:sz="0" w:space="0" w:color="auto"/>
        <w:left w:val="none" w:sz="0" w:space="0" w:color="auto"/>
        <w:bottom w:val="none" w:sz="0" w:space="0" w:color="auto"/>
        <w:right w:val="none" w:sz="0" w:space="0" w:color="auto"/>
      </w:divBdr>
    </w:div>
    <w:div w:id="951673105">
      <w:bodyDiv w:val="1"/>
      <w:marLeft w:val="0"/>
      <w:marRight w:val="0"/>
      <w:marTop w:val="0"/>
      <w:marBottom w:val="0"/>
      <w:divBdr>
        <w:top w:val="none" w:sz="0" w:space="0" w:color="auto"/>
        <w:left w:val="none" w:sz="0" w:space="0" w:color="auto"/>
        <w:bottom w:val="none" w:sz="0" w:space="0" w:color="auto"/>
        <w:right w:val="none" w:sz="0" w:space="0" w:color="auto"/>
      </w:divBdr>
    </w:div>
    <w:div w:id="17639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legislacao.planalto.gov.br/legisla/legislacao.nsf/Viw_Identificacao/lei%207.210-1984?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AB8-7C13-4CC6-8A06-6E8DBDD4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10776</Words>
  <Characters>59270</Characters>
  <Application>Microsoft Office Word</Application>
  <DocSecurity>4</DocSecurity>
  <Lines>493</Lines>
  <Paragraphs>139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2017-10-04T22:10:00Z</cp:lastPrinted>
  <dcterms:created xsi:type="dcterms:W3CDTF">2017-10-04T22:15:00Z</dcterms:created>
  <dcterms:modified xsi:type="dcterms:W3CDTF">2017-10-04T22:15:00Z</dcterms:modified>
</cp:coreProperties>
</file>