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4727F" w14:textId="77777777" w:rsidR="00CE4104" w:rsidRPr="002B4E6D" w:rsidRDefault="00CE4104" w:rsidP="006D31D9">
      <w:pPr>
        <w:jc w:val="center"/>
        <w:rPr>
          <w:b/>
          <w:szCs w:val="20"/>
          <w:lang w:val="es-CR"/>
        </w:rPr>
      </w:pPr>
    </w:p>
    <w:p w14:paraId="2B495E09" w14:textId="77777777" w:rsidR="00B84802" w:rsidRPr="002B4E6D" w:rsidRDefault="00B84802" w:rsidP="006D31D9">
      <w:pPr>
        <w:jc w:val="center"/>
        <w:rPr>
          <w:b/>
          <w:szCs w:val="20"/>
          <w:lang w:val="es-CR"/>
        </w:rPr>
      </w:pPr>
    </w:p>
    <w:p w14:paraId="38A94853" w14:textId="77777777" w:rsidR="00B84802" w:rsidRPr="002B4E6D" w:rsidRDefault="00B84802" w:rsidP="006D31D9">
      <w:pPr>
        <w:jc w:val="center"/>
        <w:rPr>
          <w:b/>
          <w:szCs w:val="20"/>
          <w:lang w:val="es-CR"/>
        </w:rPr>
      </w:pPr>
    </w:p>
    <w:p w14:paraId="514875D0" w14:textId="77777777" w:rsidR="00B84802" w:rsidRPr="002B4E6D" w:rsidRDefault="00B84802" w:rsidP="006D31D9">
      <w:pPr>
        <w:jc w:val="center"/>
        <w:rPr>
          <w:b/>
          <w:szCs w:val="20"/>
          <w:lang w:val="es-CR"/>
        </w:rPr>
      </w:pPr>
    </w:p>
    <w:p w14:paraId="63DC8859" w14:textId="77777777" w:rsidR="00B84802" w:rsidRPr="002B4E6D" w:rsidRDefault="00B84802" w:rsidP="006D31D9">
      <w:pPr>
        <w:jc w:val="center"/>
        <w:rPr>
          <w:b/>
          <w:szCs w:val="20"/>
          <w:lang w:val="es-CR"/>
        </w:rPr>
      </w:pPr>
    </w:p>
    <w:p w14:paraId="1E67ABBB" w14:textId="77777777" w:rsidR="00B84802" w:rsidRPr="002B4E6D" w:rsidRDefault="00B84802" w:rsidP="006D31D9">
      <w:pPr>
        <w:jc w:val="center"/>
        <w:rPr>
          <w:b/>
          <w:szCs w:val="20"/>
          <w:lang w:val="es-CR"/>
        </w:rPr>
      </w:pPr>
    </w:p>
    <w:p w14:paraId="0A33DFE8" w14:textId="77777777" w:rsidR="00B84802" w:rsidRPr="002B4E6D" w:rsidRDefault="00B84802" w:rsidP="006D31D9">
      <w:pPr>
        <w:jc w:val="center"/>
        <w:rPr>
          <w:b/>
          <w:szCs w:val="20"/>
          <w:lang w:val="es-CR"/>
        </w:rPr>
      </w:pPr>
    </w:p>
    <w:p w14:paraId="032178E3" w14:textId="77777777" w:rsidR="00B84802" w:rsidRPr="002B4E6D" w:rsidRDefault="00B84802" w:rsidP="006D31D9">
      <w:pPr>
        <w:jc w:val="center"/>
        <w:rPr>
          <w:b/>
          <w:szCs w:val="20"/>
          <w:lang w:val="es-CR"/>
        </w:rPr>
      </w:pPr>
    </w:p>
    <w:p w14:paraId="36275962" w14:textId="77777777" w:rsidR="008E4658" w:rsidRPr="002B4E6D" w:rsidRDefault="008E4658" w:rsidP="006D31D9">
      <w:pPr>
        <w:jc w:val="center"/>
        <w:rPr>
          <w:b/>
          <w:szCs w:val="20"/>
          <w:lang w:val="es-CR"/>
        </w:rPr>
      </w:pPr>
    </w:p>
    <w:p w14:paraId="1E9CD1EF" w14:textId="77777777" w:rsidR="00B84802" w:rsidRPr="002B4E6D" w:rsidRDefault="00B84802" w:rsidP="006D31D9">
      <w:pPr>
        <w:jc w:val="center"/>
        <w:rPr>
          <w:b/>
          <w:szCs w:val="20"/>
          <w:lang w:val="es-CR"/>
        </w:rPr>
      </w:pPr>
    </w:p>
    <w:p w14:paraId="012E7354" w14:textId="47761DA4" w:rsidR="00CE4104" w:rsidRDefault="00CE4104" w:rsidP="006D31D9">
      <w:pPr>
        <w:jc w:val="center"/>
        <w:rPr>
          <w:b/>
          <w:szCs w:val="20"/>
          <w:lang w:val="es-CR"/>
        </w:rPr>
      </w:pPr>
      <w:r w:rsidRPr="002B4E6D">
        <w:rPr>
          <w:b/>
          <w:szCs w:val="20"/>
          <w:lang w:val="es-CR"/>
        </w:rPr>
        <w:t>RESOLU</w:t>
      </w:r>
      <w:r w:rsidR="00AA1A37" w:rsidRPr="002B4E6D">
        <w:rPr>
          <w:b/>
          <w:szCs w:val="20"/>
          <w:lang w:val="es-CR"/>
        </w:rPr>
        <w:t>CIÓN</w:t>
      </w:r>
      <w:r w:rsidR="0084362C" w:rsidRPr="002B4E6D">
        <w:rPr>
          <w:b/>
          <w:szCs w:val="20"/>
          <w:lang w:val="es-CR"/>
        </w:rPr>
        <w:t xml:space="preserve"> </w:t>
      </w:r>
      <w:r w:rsidR="00AA1A37" w:rsidRPr="002B4E6D">
        <w:rPr>
          <w:b/>
          <w:szCs w:val="20"/>
          <w:lang w:val="es-CR"/>
        </w:rPr>
        <w:t>DE LA</w:t>
      </w:r>
      <w:r w:rsidR="0084362C" w:rsidRPr="002B4E6D">
        <w:rPr>
          <w:b/>
          <w:szCs w:val="20"/>
          <w:lang w:val="es-CR"/>
        </w:rPr>
        <w:t xml:space="preserve"> </w:t>
      </w:r>
    </w:p>
    <w:p w14:paraId="5B21F0FA" w14:textId="77777777" w:rsidR="00516CFF" w:rsidRPr="002B4E6D" w:rsidRDefault="00516CFF" w:rsidP="006D31D9">
      <w:pPr>
        <w:jc w:val="center"/>
        <w:rPr>
          <w:b/>
          <w:szCs w:val="20"/>
          <w:lang w:val="es-CR"/>
        </w:rPr>
      </w:pPr>
    </w:p>
    <w:p w14:paraId="6E0B0526" w14:textId="4FC7D8E5" w:rsidR="00CE4104" w:rsidRPr="002B4E6D" w:rsidRDefault="00CE4104" w:rsidP="006D31D9">
      <w:pPr>
        <w:jc w:val="center"/>
        <w:rPr>
          <w:b/>
          <w:szCs w:val="20"/>
          <w:lang w:val="es-CR"/>
        </w:rPr>
      </w:pPr>
      <w:r w:rsidRPr="002B4E6D">
        <w:rPr>
          <w:b/>
          <w:szCs w:val="20"/>
          <w:lang w:val="es-CR"/>
        </w:rPr>
        <w:t xml:space="preserve">CORTE INTERAMERICANA DE </w:t>
      </w:r>
      <w:r w:rsidR="00AA1A37" w:rsidRPr="002B4E6D">
        <w:rPr>
          <w:b/>
          <w:szCs w:val="20"/>
          <w:lang w:val="es-CR"/>
        </w:rPr>
        <w:t>DERECHOS</w:t>
      </w:r>
      <w:r w:rsidR="0084362C" w:rsidRPr="002B4E6D">
        <w:rPr>
          <w:b/>
          <w:szCs w:val="20"/>
          <w:lang w:val="es-CR"/>
        </w:rPr>
        <w:t xml:space="preserve"> </w:t>
      </w:r>
      <w:r w:rsidRPr="002B4E6D">
        <w:rPr>
          <w:b/>
          <w:szCs w:val="20"/>
          <w:lang w:val="es-CR"/>
        </w:rPr>
        <w:t>HUMANOS</w:t>
      </w:r>
      <w:r w:rsidR="00E4427D">
        <w:rPr>
          <w:rStyle w:val="FootnoteReference"/>
          <w:b/>
        </w:rPr>
        <w:footnoteReference w:id="1"/>
      </w:r>
    </w:p>
    <w:p w14:paraId="37D18661" w14:textId="77777777" w:rsidR="00CE4104" w:rsidRPr="002B4E6D" w:rsidRDefault="00CE4104" w:rsidP="006D31D9">
      <w:pPr>
        <w:jc w:val="center"/>
        <w:rPr>
          <w:b/>
          <w:szCs w:val="20"/>
          <w:lang w:val="es-CR"/>
        </w:rPr>
      </w:pPr>
    </w:p>
    <w:p w14:paraId="7C1D1B1D" w14:textId="25EDCAD6" w:rsidR="00CE4104" w:rsidRPr="002B4E6D" w:rsidRDefault="006E153E" w:rsidP="006D31D9">
      <w:pPr>
        <w:pStyle w:val="Heading2"/>
        <w:tabs>
          <w:tab w:val="clear" w:pos="720"/>
        </w:tabs>
        <w:rPr>
          <w:color w:val="000000" w:themeColor="text1"/>
          <w:lang w:val="es-CR"/>
        </w:rPr>
      </w:pPr>
      <w:r w:rsidRPr="002B4E6D">
        <w:rPr>
          <w:color w:val="000000" w:themeColor="text1"/>
          <w:lang w:val="es-CR"/>
        </w:rPr>
        <w:t xml:space="preserve">DE </w:t>
      </w:r>
      <w:r w:rsidR="00286306">
        <w:rPr>
          <w:color w:val="000000" w:themeColor="text1"/>
          <w:lang w:val="es-CR"/>
        </w:rPr>
        <w:t>22</w:t>
      </w:r>
      <w:r w:rsidR="00B84802" w:rsidRPr="002B4E6D">
        <w:rPr>
          <w:color w:val="000000" w:themeColor="text1"/>
          <w:lang w:val="es-CR"/>
        </w:rPr>
        <w:t xml:space="preserve"> </w:t>
      </w:r>
      <w:r w:rsidR="00584A87">
        <w:rPr>
          <w:color w:val="000000" w:themeColor="text1"/>
          <w:lang w:val="es-CR"/>
        </w:rPr>
        <w:t>NOVIEMBRE</w:t>
      </w:r>
      <w:r w:rsidR="00892F1F" w:rsidRPr="002B4E6D">
        <w:rPr>
          <w:color w:val="000000" w:themeColor="text1"/>
          <w:lang w:val="es-CR"/>
        </w:rPr>
        <w:t xml:space="preserve"> </w:t>
      </w:r>
      <w:r w:rsidR="00E5717F" w:rsidRPr="002B4E6D">
        <w:rPr>
          <w:color w:val="000000" w:themeColor="text1"/>
          <w:lang w:val="es-CR"/>
        </w:rPr>
        <w:t>DE 2018</w:t>
      </w:r>
    </w:p>
    <w:p w14:paraId="03A62C9D" w14:textId="77777777" w:rsidR="00CE4104" w:rsidRPr="002B4E6D" w:rsidRDefault="00CE4104" w:rsidP="006D31D9">
      <w:pPr>
        <w:jc w:val="center"/>
        <w:rPr>
          <w:b/>
          <w:szCs w:val="20"/>
          <w:lang w:val="es-CR"/>
        </w:rPr>
      </w:pPr>
    </w:p>
    <w:p w14:paraId="190A26EE" w14:textId="6F6C6303" w:rsidR="00CE4104" w:rsidRPr="002B4E6D" w:rsidRDefault="00CE4104" w:rsidP="006D31D9">
      <w:pPr>
        <w:jc w:val="center"/>
        <w:rPr>
          <w:b/>
          <w:szCs w:val="20"/>
          <w:u w:val="single"/>
          <w:lang w:val="es-CR"/>
        </w:rPr>
      </w:pPr>
      <w:r w:rsidRPr="002B4E6D">
        <w:rPr>
          <w:b/>
          <w:szCs w:val="20"/>
          <w:lang w:val="es-CR"/>
        </w:rPr>
        <w:t xml:space="preserve">MEDIDAS </w:t>
      </w:r>
      <w:r w:rsidR="00AA1A37" w:rsidRPr="002B4E6D">
        <w:rPr>
          <w:b/>
          <w:szCs w:val="20"/>
          <w:lang w:val="es-CR"/>
        </w:rPr>
        <w:t>PROVISIONALES</w:t>
      </w:r>
      <w:r w:rsidR="0084362C" w:rsidRPr="002B4E6D">
        <w:rPr>
          <w:b/>
          <w:szCs w:val="20"/>
          <w:lang w:val="es-CR"/>
        </w:rPr>
        <w:t xml:space="preserve"> </w:t>
      </w:r>
      <w:r w:rsidR="00AA1A37" w:rsidRPr="002B4E6D">
        <w:rPr>
          <w:b/>
          <w:szCs w:val="20"/>
          <w:lang w:val="es-CR"/>
        </w:rPr>
        <w:t>RESPECTO</w:t>
      </w:r>
      <w:r w:rsidR="0084362C" w:rsidRPr="002B4E6D">
        <w:rPr>
          <w:b/>
          <w:szCs w:val="20"/>
          <w:lang w:val="es-CR"/>
        </w:rPr>
        <w:t xml:space="preserve"> </w:t>
      </w:r>
      <w:r w:rsidR="00AA1A37" w:rsidRPr="002B4E6D">
        <w:rPr>
          <w:b/>
          <w:szCs w:val="20"/>
          <w:lang w:val="es-CR"/>
        </w:rPr>
        <w:t>DE</w:t>
      </w:r>
      <w:r w:rsidR="0084362C" w:rsidRPr="002B4E6D">
        <w:rPr>
          <w:b/>
          <w:szCs w:val="20"/>
          <w:lang w:val="es-CR"/>
        </w:rPr>
        <w:t xml:space="preserve"> </w:t>
      </w:r>
      <w:r w:rsidRPr="002B4E6D">
        <w:rPr>
          <w:b/>
          <w:szCs w:val="20"/>
          <w:lang w:val="es-CR"/>
        </w:rPr>
        <w:t>BRASIL</w:t>
      </w:r>
    </w:p>
    <w:p w14:paraId="35842C2A" w14:textId="77777777" w:rsidR="00CE4104" w:rsidRPr="002B4E6D" w:rsidRDefault="00CE4104" w:rsidP="006D31D9">
      <w:pPr>
        <w:jc w:val="center"/>
        <w:rPr>
          <w:b/>
          <w:szCs w:val="20"/>
          <w:lang w:val="es-CR"/>
        </w:rPr>
      </w:pPr>
    </w:p>
    <w:p w14:paraId="2A9F0779" w14:textId="40F74750" w:rsidR="00CE4104" w:rsidRPr="002B4E6D" w:rsidRDefault="00AA1A37" w:rsidP="006D31D9">
      <w:pPr>
        <w:jc w:val="center"/>
        <w:rPr>
          <w:b/>
          <w:szCs w:val="20"/>
          <w:lang w:val="es-CR"/>
        </w:rPr>
      </w:pPr>
      <w:r w:rsidRPr="002B4E6D">
        <w:rPr>
          <w:b/>
          <w:szCs w:val="20"/>
          <w:lang w:val="es-CR"/>
        </w:rPr>
        <w:t>ASUNTO</w:t>
      </w:r>
      <w:r w:rsidR="00CE4104" w:rsidRPr="002B4E6D">
        <w:rPr>
          <w:b/>
          <w:szCs w:val="20"/>
          <w:lang w:val="es-CR"/>
        </w:rPr>
        <w:t xml:space="preserve"> </w:t>
      </w:r>
      <w:r w:rsidRPr="002B4E6D">
        <w:rPr>
          <w:b/>
          <w:szCs w:val="20"/>
          <w:lang w:val="es-CR"/>
        </w:rPr>
        <w:t>DEL</w:t>
      </w:r>
      <w:r w:rsidR="00CE4104" w:rsidRPr="002B4E6D">
        <w:rPr>
          <w:b/>
          <w:szCs w:val="20"/>
          <w:lang w:val="es-CR"/>
        </w:rPr>
        <w:t xml:space="preserve"> INSTITUTO PENAL PLÁCIDO DE SÁ CARVALHO</w:t>
      </w:r>
    </w:p>
    <w:p w14:paraId="31EE79FC" w14:textId="77777777" w:rsidR="00462F3D" w:rsidRPr="002B4E6D" w:rsidRDefault="00462F3D" w:rsidP="006D31D9">
      <w:pPr>
        <w:jc w:val="center"/>
        <w:rPr>
          <w:b/>
          <w:szCs w:val="20"/>
          <w:lang w:val="es-CR"/>
        </w:rPr>
      </w:pPr>
    </w:p>
    <w:p w14:paraId="24CA87E6" w14:textId="77777777" w:rsidR="00462F3D" w:rsidRPr="002B4E6D" w:rsidRDefault="00462F3D" w:rsidP="006D31D9">
      <w:pPr>
        <w:jc w:val="center"/>
        <w:rPr>
          <w:b/>
          <w:szCs w:val="20"/>
          <w:lang w:val="es-CR"/>
        </w:rPr>
      </w:pPr>
    </w:p>
    <w:p w14:paraId="08CC43BF" w14:textId="77777777" w:rsidR="00CE4104" w:rsidRPr="002B4E6D" w:rsidRDefault="00CE4104" w:rsidP="006D31D9">
      <w:pPr>
        <w:rPr>
          <w:b/>
          <w:szCs w:val="20"/>
          <w:lang w:val="es-CR"/>
        </w:rPr>
      </w:pPr>
      <w:r w:rsidRPr="002B4E6D">
        <w:rPr>
          <w:b/>
          <w:szCs w:val="20"/>
          <w:lang w:val="es-CR"/>
        </w:rPr>
        <w:t>VISTO:</w:t>
      </w:r>
    </w:p>
    <w:p w14:paraId="1F4FAAEA" w14:textId="77777777" w:rsidR="00CE4104" w:rsidRPr="002B4E6D" w:rsidRDefault="00CE4104" w:rsidP="006D31D9">
      <w:pPr>
        <w:rPr>
          <w:b/>
          <w:szCs w:val="20"/>
          <w:lang w:val="es-CR"/>
        </w:rPr>
      </w:pPr>
    </w:p>
    <w:p w14:paraId="4E5C9325" w14:textId="66A24AB1" w:rsidR="00CE4104" w:rsidRPr="002B4E6D" w:rsidRDefault="00AA1A37" w:rsidP="00AA1A37">
      <w:pPr>
        <w:pStyle w:val="ListParagraph"/>
        <w:numPr>
          <w:ilvl w:val="0"/>
          <w:numId w:val="1"/>
        </w:numPr>
        <w:ind w:left="0" w:firstLine="0"/>
        <w:contextualSpacing w:val="0"/>
        <w:outlineLvl w:val="0"/>
        <w:rPr>
          <w:szCs w:val="20"/>
          <w:lang w:val="es-CR"/>
        </w:rPr>
      </w:pPr>
      <w:r w:rsidRPr="002B4E6D">
        <w:rPr>
          <w:rFonts w:cs="Arial"/>
          <w:lang w:val="es-CR"/>
        </w:rPr>
        <w:t>La</w:t>
      </w:r>
      <w:r w:rsidR="00B84802" w:rsidRPr="002B4E6D">
        <w:rPr>
          <w:rFonts w:cs="Arial"/>
          <w:lang w:val="es-CR"/>
        </w:rPr>
        <w:t xml:space="preserve"> </w:t>
      </w:r>
      <w:r w:rsidR="00DA3193" w:rsidRPr="002B4E6D">
        <w:rPr>
          <w:rFonts w:cs="Arial"/>
          <w:lang w:val="es-CR"/>
        </w:rPr>
        <w:t>R</w:t>
      </w:r>
      <w:r w:rsidR="00B84802" w:rsidRPr="002B4E6D">
        <w:rPr>
          <w:rFonts w:cs="Arial"/>
          <w:lang w:val="es-CR"/>
        </w:rPr>
        <w:t>esolu</w:t>
      </w:r>
      <w:r w:rsidRPr="002B4E6D">
        <w:rPr>
          <w:rFonts w:cs="Arial"/>
          <w:lang w:val="es-CR"/>
        </w:rPr>
        <w:t>ción</w:t>
      </w:r>
      <w:r w:rsidR="00B84802" w:rsidRPr="002B4E6D">
        <w:rPr>
          <w:rFonts w:cs="Arial"/>
          <w:lang w:val="es-CR"/>
        </w:rPr>
        <w:t xml:space="preserve"> </w:t>
      </w:r>
      <w:r w:rsidR="0035037E" w:rsidRPr="002B4E6D">
        <w:rPr>
          <w:rFonts w:cs="Arial"/>
          <w:lang w:val="es-CR"/>
        </w:rPr>
        <w:t>emitida</w:t>
      </w:r>
      <w:r w:rsidR="00CE4104" w:rsidRPr="002B4E6D">
        <w:rPr>
          <w:rFonts w:cs="Arial"/>
          <w:lang w:val="es-CR"/>
        </w:rPr>
        <w:t xml:space="preserve"> </w:t>
      </w:r>
      <w:r w:rsidRPr="002B4E6D">
        <w:rPr>
          <w:rFonts w:cs="Arial"/>
          <w:lang w:val="es-CR"/>
        </w:rPr>
        <w:t>por la</w:t>
      </w:r>
      <w:r w:rsidR="00807A14" w:rsidRPr="002B4E6D">
        <w:rPr>
          <w:rFonts w:cs="Arial"/>
          <w:lang w:val="es-CR"/>
        </w:rPr>
        <w:t xml:space="preserve"> </w:t>
      </w:r>
      <w:r w:rsidR="00CE4104" w:rsidRPr="002B4E6D">
        <w:rPr>
          <w:rFonts w:cs="Arial"/>
          <w:lang w:val="es-CR"/>
        </w:rPr>
        <w:t xml:space="preserve">Corte Interamericana de </w:t>
      </w:r>
      <w:r w:rsidRPr="002B4E6D">
        <w:rPr>
          <w:rFonts w:cs="Arial"/>
          <w:lang w:val="es-CR"/>
        </w:rPr>
        <w:t>Derechos</w:t>
      </w:r>
      <w:r w:rsidR="005F3E72" w:rsidRPr="002B4E6D">
        <w:rPr>
          <w:rFonts w:cs="Arial"/>
          <w:lang w:val="es-CR"/>
        </w:rPr>
        <w:t xml:space="preserve"> </w:t>
      </w:r>
      <w:r w:rsidR="00CE4104" w:rsidRPr="002B4E6D">
        <w:rPr>
          <w:rFonts w:cs="Arial"/>
          <w:lang w:val="es-CR"/>
        </w:rPr>
        <w:t>Humanos (</w:t>
      </w:r>
      <w:r w:rsidRPr="002B4E6D">
        <w:rPr>
          <w:rFonts w:cs="Arial"/>
          <w:lang w:val="es-CR"/>
        </w:rPr>
        <w:t>en adelante</w:t>
      </w:r>
      <w:r w:rsidR="00807A14" w:rsidRPr="002B4E6D">
        <w:rPr>
          <w:rFonts w:cs="Arial"/>
          <w:lang w:val="es-CR"/>
        </w:rPr>
        <w:t xml:space="preserve"> </w:t>
      </w:r>
      <w:r w:rsidR="00CE4104" w:rsidRPr="002B4E6D">
        <w:rPr>
          <w:rFonts w:cs="Arial"/>
          <w:lang w:val="es-CR"/>
        </w:rPr>
        <w:t>“</w:t>
      </w:r>
      <w:r w:rsidR="009F64E8" w:rsidRPr="002B4E6D">
        <w:rPr>
          <w:rFonts w:cs="Arial"/>
          <w:lang w:val="es-CR"/>
        </w:rPr>
        <w:t xml:space="preserve">la </w:t>
      </w:r>
      <w:r w:rsidR="00CE4104" w:rsidRPr="002B4E6D">
        <w:rPr>
          <w:rFonts w:cs="Arial"/>
          <w:lang w:val="es-CR"/>
        </w:rPr>
        <w:t>Corte Interamericana”, “</w:t>
      </w:r>
      <w:r w:rsidR="006A3EE5" w:rsidRPr="002B4E6D">
        <w:rPr>
          <w:rFonts w:cs="Arial"/>
          <w:lang w:val="es-CR"/>
        </w:rPr>
        <w:t xml:space="preserve">la </w:t>
      </w:r>
      <w:r w:rsidR="00CE4104" w:rsidRPr="002B4E6D">
        <w:rPr>
          <w:rFonts w:cs="Arial"/>
          <w:lang w:val="es-CR"/>
        </w:rPr>
        <w:t xml:space="preserve">Corte” </w:t>
      </w:r>
      <w:r w:rsidRPr="002B4E6D">
        <w:rPr>
          <w:rFonts w:cs="Arial"/>
          <w:lang w:val="es-CR"/>
        </w:rPr>
        <w:t>o</w:t>
      </w:r>
      <w:r w:rsidR="00CE4104" w:rsidRPr="002B4E6D">
        <w:rPr>
          <w:rFonts w:cs="Arial"/>
          <w:lang w:val="es-CR"/>
        </w:rPr>
        <w:t xml:space="preserve"> “</w:t>
      </w:r>
      <w:r w:rsidR="006A3EE5" w:rsidRPr="002B4E6D">
        <w:rPr>
          <w:rFonts w:cs="Arial"/>
          <w:lang w:val="es-CR"/>
        </w:rPr>
        <w:t xml:space="preserve">el </w:t>
      </w:r>
      <w:r w:rsidR="00CE4104" w:rsidRPr="002B4E6D">
        <w:rPr>
          <w:rFonts w:cs="Arial"/>
          <w:lang w:val="es-CR"/>
        </w:rPr>
        <w:t>Tribunal”)</w:t>
      </w:r>
      <w:r w:rsidR="00807A14" w:rsidRPr="002B4E6D">
        <w:rPr>
          <w:rFonts w:cs="Arial"/>
          <w:lang w:val="es-CR"/>
        </w:rPr>
        <w:t xml:space="preserve"> e</w:t>
      </w:r>
      <w:r w:rsidRPr="002B4E6D">
        <w:rPr>
          <w:rFonts w:cs="Arial"/>
          <w:lang w:val="es-CR"/>
        </w:rPr>
        <w:t>l</w:t>
      </w:r>
      <w:r w:rsidR="00807A14" w:rsidRPr="002B4E6D">
        <w:rPr>
          <w:rFonts w:cs="Arial"/>
          <w:lang w:val="es-CR"/>
        </w:rPr>
        <w:t xml:space="preserve"> </w:t>
      </w:r>
      <w:r w:rsidR="002D184E" w:rsidRPr="002B4E6D">
        <w:rPr>
          <w:rFonts w:cs="Arial"/>
          <w:lang w:val="es-CR"/>
        </w:rPr>
        <w:t>31</w:t>
      </w:r>
      <w:r w:rsidR="00B84802" w:rsidRPr="002B4E6D">
        <w:rPr>
          <w:szCs w:val="20"/>
          <w:lang w:val="es-CR"/>
        </w:rPr>
        <w:t xml:space="preserve"> de </w:t>
      </w:r>
      <w:r w:rsidR="002D184E" w:rsidRPr="002B4E6D">
        <w:rPr>
          <w:szCs w:val="20"/>
          <w:lang w:val="es-CR"/>
        </w:rPr>
        <w:t>agosto</w:t>
      </w:r>
      <w:r w:rsidR="005F3E72" w:rsidRPr="002B4E6D">
        <w:rPr>
          <w:szCs w:val="20"/>
          <w:lang w:val="es-CR"/>
        </w:rPr>
        <w:t xml:space="preserve"> </w:t>
      </w:r>
      <w:r w:rsidR="00D20C37" w:rsidRPr="002B4E6D">
        <w:rPr>
          <w:szCs w:val="20"/>
          <w:lang w:val="es-CR"/>
        </w:rPr>
        <w:t>de 2017,</w:t>
      </w:r>
      <w:r w:rsidR="00B84802" w:rsidRPr="002B4E6D">
        <w:rPr>
          <w:szCs w:val="20"/>
          <w:lang w:val="es-CR"/>
        </w:rPr>
        <w:t xml:space="preserve"> </w:t>
      </w:r>
      <w:r w:rsidRPr="002B4E6D">
        <w:rPr>
          <w:szCs w:val="20"/>
          <w:lang w:val="es-CR"/>
        </w:rPr>
        <w:t>en la</w:t>
      </w:r>
      <w:r w:rsidR="00807A14" w:rsidRPr="002B4E6D">
        <w:rPr>
          <w:szCs w:val="20"/>
          <w:lang w:val="es-CR"/>
        </w:rPr>
        <w:t xml:space="preserve"> </w:t>
      </w:r>
      <w:r w:rsidRPr="002B4E6D">
        <w:rPr>
          <w:szCs w:val="20"/>
          <w:lang w:val="es-CR"/>
        </w:rPr>
        <w:t>c</w:t>
      </w:r>
      <w:r w:rsidR="00807A14" w:rsidRPr="002B4E6D">
        <w:rPr>
          <w:szCs w:val="20"/>
          <w:lang w:val="es-CR"/>
        </w:rPr>
        <w:t xml:space="preserve">ual, </w:t>
      </w:r>
      <w:r w:rsidR="00CE4104" w:rsidRPr="002B4E6D">
        <w:rPr>
          <w:szCs w:val="20"/>
          <w:lang w:val="es-CR"/>
        </w:rPr>
        <w:t xml:space="preserve">entre </w:t>
      </w:r>
      <w:r w:rsidRPr="002B4E6D">
        <w:rPr>
          <w:szCs w:val="20"/>
          <w:lang w:val="es-CR"/>
        </w:rPr>
        <w:t>otros</w:t>
      </w:r>
      <w:r w:rsidR="00CE4104" w:rsidRPr="002B4E6D">
        <w:rPr>
          <w:szCs w:val="20"/>
          <w:lang w:val="es-CR"/>
        </w:rPr>
        <w:t xml:space="preserve">, </w:t>
      </w:r>
      <w:r w:rsidRPr="002B4E6D">
        <w:rPr>
          <w:szCs w:val="20"/>
          <w:lang w:val="es-CR"/>
        </w:rPr>
        <w:t>se requirió</w:t>
      </w:r>
      <w:r w:rsidR="00807A14" w:rsidRPr="002B4E6D">
        <w:rPr>
          <w:szCs w:val="20"/>
          <w:lang w:val="es-CR"/>
        </w:rPr>
        <w:t xml:space="preserve"> </w:t>
      </w:r>
      <w:r w:rsidRPr="002B4E6D">
        <w:rPr>
          <w:szCs w:val="20"/>
          <w:lang w:val="es-CR"/>
        </w:rPr>
        <w:t>a la</w:t>
      </w:r>
      <w:r w:rsidR="00807A14" w:rsidRPr="002B4E6D">
        <w:rPr>
          <w:szCs w:val="20"/>
          <w:lang w:val="es-CR"/>
        </w:rPr>
        <w:t xml:space="preserve"> </w:t>
      </w:r>
      <w:r w:rsidR="00CE4104" w:rsidRPr="002B4E6D">
        <w:rPr>
          <w:szCs w:val="20"/>
          <w:lang w:val="es-CR"/>
        </w:rPr>
        <w:t xml:space="preserve">República Federativa </w:t>
      </w:r>
      <w:r w:rsidRPr="002B4E6D">
        <w:rPr>
          <w:szCs w:val="20"/>
          <w:lang w:val="es-CR"/>
        </w:rPr>
        <w:t>de</w:t>
      </w:r>
      <w:r w:rsidR="00CE4104" w:rsidRPr="002B4E6D">
        <w:rPr>
          <w:szCs w:val="20"/>
          <w:lang w:val="es-CR"/>
        </w:rPr>
        <w:t xml:space="preserve"> Brasil (</w:t>
      </w:r>
      <w:r w:rsidRPr="002B4E6D">
        <w:rPr>
          <w:szCs w:val="20"/>
          <w:lang w:val="es-CR"/>
        </w:rPr>
        <w:t>en adelante</w:t>
      </w:r>
      <w:r w:rsidR="00807A14" w:rsidRPr="002B4E6D">
        <w:rPr>
          <w:szCs w:val="20"/>
          <w:lang w:val="es-CR"/>
        </w:rPr>
        <w:t xml:space="preserve"> </w:t>
      </w:r>
      <w:r w:rsidR="00CE4104" w:rsidRPr="002B4E6D">
        <w:rPr>
          <w:szCs w:val="20"/>
          <w:lang w:val="es-CR"/>
        </w:rPr>
        <w:t xml:space="preserve">“Brasil” </w:t>
      </w:r>
      <w:r w:rsidRPr="002B4E6D">
        <w:rPr>
          <w:szCs w:val="20"/>
          <w:lang w:val="es-CR"/>
        </w:rPr>
        <w:t>o</w:t>
      </w:r>
      <w:r w:rsidR="00CE4104" w:rsidRPr="002B4E6D">
        <w:rPr>
          <w:szCs w:val="20"/>
          <w:lang w:val="es-CR"/>
        </w:rPr>
        <w:t xml:space="preserve"> “</w:t>
      </w:r>
      <w:r w:rsidR="00131FB7" w:rsidRPr="002B4E6D">
        <w:rPr>
          <w:szCs w:val="20"/>
          <w:lang w:val="es-CR"/>
        </w:rPr>
        <w:t xml:space="preserve">el </w:t>
      </w:r>
      <w:r w:rsidR="00CE4104" w:rsidRPr="002B4E6D">
        <w:rPr>
          <w:szCs w:val="20"/>
          <w:lang w:val="es-CR"/>
        </w:rPr>
        <w:t xml:space="preserve">Estado”) </w:t>
      </w:r>
      <w:r w:rsidR="00C906BB" w:rsidRPr="002B4E6D">
        <w:rPr>
          <w:szCs w:val="20"/>
          <w:lang w:val="es-CR"/>
        </w:rPr>
        <w:t>adoptar de forma inmediata</w:t>
      </w:r>
      <w:r w:rsidR="00807A14" w:rsidRPr="002B4E6D">
        <w:rPr>
          <w:rFonts w:eastAsia="Times"/>
          <w:szCs w:val="20"/>
          <w:lang w:val="es-CR"/>
        </w:rPr>
        <w:t xml:space="preserve"> </w:t>
      </w:r>
      <w:r w:rsidR="00CE4104" w:rsidRPr="002B4E6D">
        <w:rPr>
          <w:szCs w:val="20"/>
          <w:lang w:val="es-CR"/>
        </w:rPr>
        <w:t xml:space="preserve">todas </w:t>
      </w:r>
      <w:r w:rsidRPr="002B4E6D">
        <w:rPr>
          <w:szCs w:val="20"/>
          <w:lang w:val="es-CR"/>
        </w:rPr>
        <w:t>l</w:t>
      </w:r>
      <w:r w:rsidR="00CE4104" w:rsidRPr="002B4E6D">
        <w:rPr>
          <w:szCs w:val="20"/>
          <w:lang w:val="es-CR"/>
        </w:rPr>
        <w:t xml:space="preserve">as medidas que </w:t>
      </w:r>
      <w:r w:rsidRPr="002B4E6D">
        <w:rPr>
          <w:szCs w:val="20"/>
          <w:lang w:val="es-CR"/>
        </w:rPr>
        <w:t>fueran</w:t>
      </w:r>
      <w:r w:rsidR="00807A14" w:rsidRPr="002B4E6D">
        <w:rPr>
          <w:szCs w:val="20"/>
          <w:lang w:val="es-CR"/>
        </w:rPr>
        <w:t xml:space="preserve"> </w:t>
      </w:r>
      <w:r w:rsidRPr="002B4E6D">
        <w:rPr>
          <w:szCs w:val="20"/>
          <w:lang w:val="es-CR"/>
        </w:rPr>
        <w:t>necesarias</w:t>
      </w:r>
      <w:r w:rsidR="00807A14" w:rsidRPr="002B4E6D">
        <w:rPr>
          <w:szCs w:val="20"/>
          <w:lang w:val="es-CR"/>
        </w:rPr>
        <w:t xml:space="preserve"> </w:t>
      </w:r>
      <w:r w:rsidR="00CE4104" w:rsidRPr="002B4E6D">
        <w:rPr>
          <w:szCs w:val="20"/>
          <w:lang w:val="es-CR"/>
        </w:rPr>
        <w:t xml:space="preserve">para proteger eficazmente </w:t>
      </w:r>
      <w:r w:rsidRPr="002B4E6D">
        <w:rPr>
          <w:szCs w:val="20"/>
          <w:lang w:val="es-CR"/>
        </w:rPr>
        <w:t>l</w:t>
      </w:r>
      <w:r w:rsidR="00CE4104" w:rsidRPr="002B4E6D">
        <w:rPr>
          <w:szCs w:val="20"/>
          <w:lang w:val="es-CR"/>
        </w:rPr>
        <w:t xml:space="preserve">a vida </w:t>
      </w:r>
      <w:r w:rsidRPr="002B4E6D">
        <w:rPr>
          <w:szCs w:val="20"/>
          <w:lang w:val="es-CR"/>
        </w:rPr>
        <w:t>y</w:t>
      </w:r>
      <w:r w:rsidR="005F3E72" w:rsidRPr="002B4E6D">
        <w:rPr>
          <w:szCs w:val="20"/>
          <w:lang w:val="es-CR"/>
        </w:rPr>
        <w:t xml:space="preserve"> </w:t>
      </w:r>
      <w:r w:rsidRPr="002B4E6D">
        <w:rPr>
          <w:szCs w:val="20"/>
          <w:lang w:val="es-CR"/>
        </w:rPr>
        <w:t>l</w:t>
      </w:r>
      <w:r w:rsidR="00CE4104" w:rsidRPr="002B4E6D">
        <w:rPr>
          <w:szCs w:val="20"/>
          <w:lang w:val="es-CR"/>
        </w:rPr>
        <w:t xml:space="preserve">a </w:t>
      </w:r>
      <w:r w:rsidRPr="002B4E6D">
        <w:rPr>
          <w:szCs w:val="20"/>
          <w:lang w:val="es-CR"/>
        </w:rPr>
        <w:t>integridad</w:t>
      </w:r>
      <w:r w:rsidR="00CE4104" w:rsidRPr="002B4E6D">
        <w:rPr>
          <w:szCs w:val="20"/>
          <w:lang w:val="es-CR"/>
        </w:rPr>
        <w:t xml:space="preserve"> </w:t>
      </w:r>
      <w:r w:rsidRPr="002B4E6D">
        <w:rPr>
          <w:szCs w:val="20"/>
          <w:lang w:val="es-CR"/>
        </w:rPr>
        <w:t>personal</w:t>
      </w:r>
      <w:r w:rsidR="005F3E72" w:rsidRPr="002B4E6D">
        <w:rPr>
          <w:szCs w:val="20"/>
          <w:lang w:val="es-CR"/>
        </w:rPr>
        <w:t xml:space="preserve"> </w:t>
      </w:r>
      <w:r w:rsidRPr="002B4E6D">
        <w:rPr>
          <w:szCs w:val="20"/>
          <w:lang w:val="es-CR"/>
        </w:rPr>
        <w:t>de las</w:t>
      </w:r>
      <w:r w:rsidR="00807A14" w:rsidRPr="002B4E6D">
        <w:rPr>
          <w:szCs w:val="20"/>
          <w:lang w:val="es-CR"/>
        </w:rPr>
        <w:t xml:space="preserve"> </w:t>
      </w:r>
      <w:r w:rsidRPr="002B4E6D">
        <w:rPr>
          <w:szCs w:val="20"/>
          <w:lang w:val="es-CR"/>
        </w:rPr>
        <w:t>personas</w:t>
      </w:r>
      <w:r w:rsidR="005F3E72" w:rsidRPr="002B4E6D">
        <w:rPr>
          <w:szCs w:val="20"/>
          <w:lang w:val="es-CR"/>
        </w:rPr>
        <w:t xml:space="preserve"> </w:t>
      </w:r>
      <w:r w:rsidR="00CE4104" w:rsidRPr="002B4E6D">
        <w:rPr>
          <w:szCs w:val="20"/>
          <w:lang w:val="es-CR"/>
        </w:rPr>
        <w:t xml:space="preserve">privadas de </w:t>
      </w:r>
      <w:r w:rsidRPr="002B4E6D">
        <w:rPr>
          <w:szCs w:val="20"/>
          <w:lang w:val="es-CR"/>
        </w:rPr>
        <w:t>libertad</w:t>
      </w:r>
      <w:r w:rsidR="005F3E72" w:rsidRPr="002B4E6D">
        <w:rPr>
          <w:szCs w:val="20"/>
          <w:lang w:val="es-CR"/>
        </w:rPr>
        <w:t xml:space="preserve"> </w:t>
      </w:r>
      <w:r w:rsidRPr="002B4E6D">
        <w:rPr>
          <w:szCs w:val="20"/>
          <w:lang w:val="es-CR"/>
        </w:rPr>
        <w:t>en el</w:t>
      </w:r>
      <w:r w:rsidR="00807A14" w:rsidRPr="002B4E6D">
        <w:rPr>
          <w:szCs w:val="20"/>
          <w:lang w:val="es-CR"/>
        </w:rPr>
        <w:t xml:space="preserve"> </w:t>
      </w:r>
      <w:r w:rsidR="00CE4104" w:rsidRPr="002B4E6D">
        <w:rPr>
          <w:szCs w:val="20"/>
          <w:lang w:val="es-CR"/>
        </w:rPr>
        <w:t xml:space="preserve">Instituto Penal Plácido de </w:t>
      </w:r>
      <w:proofErr w:type="spellStart"/>
      <w:r w:rsidR="00CE4104" w:rsidRPr="002B4E6D">
        <w:rPr>
          <w:szCs w:val="20"/>
          <w:lang w:val="es-CR"/>
        </w:rPr>
        <w:t>Sá</w:t>
      </w:r>
      <w:proofErr w:type="spellEnd"/>
      <w:r w:rsidR="00CE4104" w:rsidRPr="002B4E6D">
        <w:rPr>
          <w:szCs w:val="20"/>
          <w:lang w:val="es-CR"/>
        </w:rPr>
        <w:t xml:space="preserve"> Carvalho (</w:t>
      </w:r>
      <w:r w:rsidRPr="002B4E6D">
        <w:rPr>
          <w:szCs w:val="20"/>
          <w:lang w:val="es-CR"/>
        </w:rPr>
        <w:t>en adelante</w:t>
      </w:r>
      <w:r w:rsidR="00807A14" w:rsidRPr="002B4E6D">
        <w:rPr>
          <w:szCs w:val="20"/>
          <w:lang w:val="es-CR"/>
        </w:rPr>
        <w:t xml:space="preserve"> </w:t>
      </w:r>
      <w:r w:rsidR="006D31D9" w:rsidRPr="002B4E6D">
        <w:rPr>
          <w:szCs w:val="20"/>
          <w:lang w:val="es-CR"/>
        </w:rPr>
        <w:t>“</w:t>
      </w:r>
      <w:r w:rsidR="007B2F51" w:rsidRPr="002B4E6D">
        <w:rPr>
          <w:szCs w:val="20"/>
          <w:lang w:val="es-CR"/>
        </w:rPr>
        <w:t xml:space="preserve">el </w:t>
      </w:r>
      <w:r w:rsidR="006D31D9" w:rsidRPr="002B4E6D">
        <w:rPr>
          <w:szCs w:val="20"/>
          <w:lang w:val="es-CR"/>
        </w:rPr>
        <w:t xml:space="preserve">Instituto” </w:t>
      </w:r>
      <w:r w:rsidRPr="002B4E6D">
        <w:rPr>
          <w:szCs w:val="20"/>
          <w:lang w:val="es-CR"/>
        </w:rPr>
        <w:t>o</w:t>
      </w:r>
      <w:r w:rsidR="006D31D9" w:rsidRPr="002B4E6D">
        <w:rPr>
          <w:szCs w:val="20"/>
          <w:lang w:val="es-CR"/>
        </w:rPr>
        <w:t xml:space="preserve"> </w:t>
      </w:r>
      <w:r w:rsidR="00CE4104" w:rsidRPr="002B4E6D">
        <w:rPr>
          <w:szCs w:val="20"/>
          <w:lang w:val="es-CR"/>
        </w:rPr>
        <w:t>“IPPSC”)</w:t>
      </w:r>
      <w:r w:rsidR="002D184E" w:rsidRPr="002B4E6D">
        <w:rPr>
          <w:szCs w:val="20"/>
          <w:lang w:val="es-CR"/>
        </w:rPr>
        <w:t>,</w:t>
      </w:r>
      <w:r w:rsidR="00CE4104" w:rsidRPr="002B4E6D">
        <w:rPr>
          <w:szCs w:val="20"/>
          <w:lang w:val="es-CR"/>
        </w:rPr>
        <w:t xml:space="preserve"> </w:t>
      </w:r>
      <w:r w:rsidRPr="002B4E6D">
        <w:rPr>
          <w:szCs w:val="20"/>
          <w:lang w:val="es-CR"/>
        </w:rPr>
        <w:t>así</w:t>
      </w:r>
      <w:r w:rsidR="00807A14" w:rsidRPr="002B4E6D">
        <w:rPr>
          <w:szCs w:val="20"/>
          <w:lang w:val="es-CR"/>
        </w:rPr>
        <w:t xml:space="preserve"> como de </w:t>
      </w:r>
      <w:r w:rsidRPr="002B4E6D">
        <w:rPr>
          <w:szCs w:val="20"/>
          <w:lang w:val="es-CR"/>
        </w:rPr>
        <w:t>cualquier</w:t>
      </w:r>
      <w:r w:rsidR="00807A14" w:rsidRPr="002B4E6D">
        <w:rPr>
          <w:szCs w:val="20"/>
          <w:lang w:val="es-CR"/>
        </w:rPr>
        <w:t xml:space="preserve"> </w:t>
      </w:r>
      <w:r w:rsidRPr="002B4E6D">
        <w:rPr>
          <w:szCs w:val="20"/>
          <w:lang w:val="es-CR"/>
        </w:rPr>
        <w:t>persona</w:t>
      </w:r>
      <w:r w:rsidR="005F3E72" w:rsidRPr="002B4E6D">
        <w:rPr>
          <w:szCs w:val="20"/>
          <w:lang w:val="es-CR"/>
        </w:rPr>
        <w:t xml:space="preserve"> </w:t>
      </w:r>
      <w:r w:rsidR="00CE4104" w:rsidRPr="002B4E6D">
        <w:rPr>
          <w:szCs w:val="20"/>
          <w:lang w:val="es-CR"/>
        </w:rPr>
        <w:t xml:space="preserve">que se </w:t>
      </w:r>
      <w:r w:rsidRPr="002B4E6D">
        <w:rPr>
          <w:szCs w:val="20"/>
          <w:lang w:val="es-CR"/>
        </w:rPr>
        <w:t>encuentre</w:t>
      </w:r>
      <w:r w:rsidR="00807A14" w:rsidRPr="002B4E6D">
        <w:rPr>
          <w:szCs w:val="20"/>
          <w:lang w:val="es-CR"/>
        </w:rPr>
        <w:t xml:space="preserve"> </w:t>
      </w:r>
      <w:r w:rsidRPr="002B4E6D">
        <w:rPr>
          <w:szCs w:val="20"/>
          <w:lang w:val="es-CR"/>
        </w:rPr>
        <w:t>en dicho</w:t>
      </w:r>
      <w:r w:rsidR="00807A14" w:rsidRPr="002B4E6D">
        <w:rPr>
          <w:szCs w:val="20"/>
          <w:lang w:val="es-CR"/>
        </w:rPr>
        <w:t xml:space="preserve"> </w:t>
      </w:r>
      <w:r w:rsidRPr="002B4E6D">
        <w:rPr>
          <w:szCs w:val="20"/>
          <w:lang w:val="es-CR"/>
        </w:rPr>
        <w:t>estabelecimiento</w:t>
      </w:r>
      <w:r w:rsidR="00CE4104" w:rsidRPr="002B4E6D">
        <w:rPr>
          <w:szCs w:val="20"/>
          <w:lang w:val="es-CR"/>
        </w:rPr>
        <w:t xml:space="preserve">, </w:t>
      </w:r>
      <w:r w:rsidR="00271111" w:rsidRPr="002B4E6D">
        <w:rPr>
          <w:szCs w:val="20"/>
          <w:lang w:val="es-CR"/>
        </w:rPr>
        <w:t>ubicado</w:t>
      </w:r>
      <w:r w:rsidR="00807A14" w:rsidRPr="002B4E6D">
        <w:rPr>
          <w:szCs w:val="20"/>
          <w:lang w:val="es-CR"/>
        </w:rPr>
        <w:t xml:space="preserve"> </w:t>
      </w:r>
      <w:r w:rsidRPr="002B4E6D">
        <w:rPr>
          <w:szCs w:val="20"/>
          <w:lang w:val="es-CR"/>
        </w:rPr>
        <w:t>en el</w:t>
      </w:r>
      <w:r w:rsidR="00807A14" w:rsidRPr="002B4E6D">
        <w:rPr>
          <w:szCs w:val="20"/>
          <w:lang w:val="es-CR"/>
        </w:rPr>
        <w:t xml:space="preserve"> </w:t>
      </w:r>
      <w:r w:rsidR="00CE4104" w:rsidRPr="002B4E6D">
        <w:rPr>
          <w:szCs w:val="20"/>
          <w:lang w:val="es-CR"/>
        </w:rPr>
        <w:t>Comple</w:t>
      </w:r>
      <w:r w:rsidRPr="002B4E6D">
        <w:rPr>
          <w:szCs w:val="20"/>
          <w:lang w:val="es-CR"/>
        </w:rPr>
        <w:t>j</w:t>
      </w:r>
      <w:r w:rsidR="00CE4104" w:rsidRPr="002B4E6D">
        <w:rPr>
          <w:szCs w:val="20"/>
          <w:lang w:val="es-CR"/>
        </w:rPr>
        <w:t xml:space="preserve">o </w:t>
      </w:r>
      <w:r w:rsidRPr="002B4E6D">
        <w:rPr>
          <w:szCs w:val="20"/>
          <w:lang w:val="es-CR"/>
        </w:rPr>
        <w:t>Penitenciario</w:t>
      </w:r>
      <w:r w:rsidR="00CE4104" w:rsidRPr="002B4E6D">
        <w:rPr>
          <w:szCs w:val="20"/>
          <w:lang w:val="es-CR"/>
        </w:rPr>
        <w:t xml:space="preserve"> de </w:t>
      </w:r>
      <w:proofErr w:type="spellStart"/>
      <w:r w:rsidR="00CE4104" w:rsidRPr="002B4E6D">
        <w:rPr>
          <w:szCs w:val="20"/>
          <w:lang w:val="es-CR"/>
        </w:rPr>
        <w:t>Gericinó</w:t>
      </w:r>
      <w:proofErr w:type="spellEnd"/>
      <w:r w:rsidR="00CE4104" w:rsidRPr="002B4E6D">
        <w:rPr>
          <w:szCs w:val="20"/>
          <w:lang w:val="es-CR"/>
        </w:rPr>
        <w:t xml:space="preserve">, </w:t>
      </w:r>
      <w:r w:rsidRPr="002B4E6D">
        <w:rPr>
          <w:szCs w:val="20"/>
          <w:lang w:val="es-CR"/>
        </w:rPr>
        <w:t>en la</w:t>
      </w:r>
      <w:r w:rsidR="00CE4104" w:rsidRPr="002B4E6D">
        <w:rPr>
          <w:szCs w:val="20"/>
          <w:lang w:val="es-CR"/>
        </w:rPr>
        <w:t xml:space="preserve"> </w:t>
      </w:r>
      <w:r w:rsidRPr="002B4E6D">
        <w:rPr>
          <w:szCs w:val="20"/>
          <w:lang w:val="es-CR"/>
        </w:rPr>
        <w:t>ciudad</w:t>
      </w:r>
      <w:r w:rsidR="00B84802" w:rsidRPr="002B4E6D">
        <w:rPr>
          <w:szCs w:val="20"/>
          <w:lang w:val="es-CR"/>
        </w:rPr>
        <w:t xml:space="preserve"> </w:t>
      </w:r>
      <w:r w:rsidRPr="002B4E6D">
        <w:rPr>
          <w:szCs w:val="20"/>
          <w:lang w:val="es-CR"/>
        </w:rPr>
        <w:t>de</w:t>
      </w:r>
      <w:r w:rsidR="00B84802" w:rsidRPr="002B4E6D">
        <w:rPr>
          <w:szCs w:val="20"/>
          <w:lang w:val="es-CR"/>
        </w:rPr>
        <w:t xml:space="preserve"> R</w:t>
      </w:r>
      <w:r w:rsidRPr="002B4E6D">
        <w:rPr>
          <w:szCs w:val="20"/>
          <w:lang w:val="es-CR"/>
        </w:rPr>
        <w:t>í</w:t>
      </w:r>
      <w:r w:rsidR="00B84802" w:rsidRPr="002B4E6D">
        <w:rPr>
          <w:szCs w:val="20"/>
          <w:lang w:val="es-CR"/>
        </w:rPr>
        <w:t>o de Janeiro, Brasil.</w:t>
      </w:r>
    </w:p>
    <w:p w14:paraId="5085DEDD" w14:textId="77777777" w:rsidR="00B84802" w:rsidRPr="002B4E6D" w:rsidRDefault="00B84802" w:rsidP="006D31D9">
      <w:pPr>
        <w:pStyle w:val="ListParagraph"/>
        <w:ind w:left="0"/>
        <w:contextualSpacing w:val="0"/>
        <w:outlineLvl w:val="0"/>
        <w:rPr>
          <w:szCs w:val="20"/>
          <w:lang w:val="es-CR"/>
        </w:rPr>
      </w:pPr>
    </w:p>
    <w:p w14:paraId="3AC397C2" w14:textId="2DF323EB" w:rsidR="00B84802" w:rsidRPr="002B4E6D" w:rsidRDefault="00AA1A37" w:rsidP="006D31D9">
      <w:pPr>
        <w:pStyle w:val="ListParagraph"/>
        <w:numPr>
          <w:ilvl w:val="0"/>
          <w:numId w:val="1"/>
        </w:numPr>
        <w:snapToGrid w:val="0"/>
        <w:ind w:left="0" w:firstLine="0"/>
        <w:contextualSpacing w:val="0"/>
        <w:rPr>
          <w:szCs w:val="20"/>
          <w:lang w:val="es-CR"/>
        </w:rPr>
      </w:pPr>
      <w:r w:rsidRPr="002B4E6D">
        <w:rPr>
          <w:rFonts w:cs="Arial"/>
          <w:lang w:val="es-CR"/>
        </w:rPr>
        <w:t>Los</w:t>
      </w:r>
      <w:r w:rsidR="005F3E72" w:rsidRPr="002B4E6D">
        <w:rPr>
          <w:rFonts w:cs="Arial"/>
          <w:lang w:val="es-CR"/>
        </w:rPr>
        <w:t xml:space="preserve"> escritos </w:t>
      </w:r>
      <w:r w:rsidRPr="002B4E6D">
        <w:rPr>
          <w:rFonts w:cs="Arial"/>
          <w:lang w:val="es-CR"/>
        </w:rPr>
        <w:t>recibidos</w:t>
      </w:r>
      <w:r w:rsidR="005F3E72" w:rsidRPr="002B4E6D">
        <w:rPr>
          <w:rFonts w:cs="Arial"/>
          <w:lang w:val="es-CR"/>
        </w:rPr>
        <w:t xml:space="preserve"> entre </w:t>
      </w:r>
      <w:r w:rsidRPr="002B4E6D">
        <w:rPr>
          <w:rFonts w:cs="Arial"/>
          <w:lang w:val="es-CR"/>
        </w:rPr>
        <w:t>enero</w:t>
      </w:r>
      <w:r w:rsidR="005F3E72" w:rsidRPr="002B4E6D">
        <w:rPr>
          <w:rFonts w:cs="Arial"/>
          <w:lang w:val="es-CR"/>
        </w:rPr>
        <w:t xml:space="preserve"> </w:t>
      </w:r>
      <w:r w:rsidRPr="002B4E6D">
        <w:rPr>
          <w:rFonts w:cs="Arial"/>
          <w:lang w:val="es-CR"/>
        </w:rPr>
        <w:t>y</w:t>
      </w:r>
      <w:r w:rsidR="005F3E72" w:rsidRPr="002B4E6D">
        <w:rPr>
          <w:rFonts w:cs="Arial"/>
          <w:lang w:val="es-CR"/>
        </w:rPr>
        <w:t xml:space="preserve"> </w:t>
      </w:r>
      <w:r w:rsidR="00286306">
        <w:rPr>
          <w:rFonts w:cs="Arial"/>
          <w:lang w:val="es-CR"/>
        </w:rPr>
        <w:t>noviembre</w:t>
      </w:r>
      <w:r w:rsidR="00286306" w:rsidRPr="002B4E6D">
        <w:rPr>
          <w:rFonts w:cs="Arial"/>
          <w:lang w:val="es-CR"/>
        </w:rPr>
        <w:t xml:space="preserve"> </w:t>
      </w:r>
      <w:r w:rsidR="0088243B" w:rsidRPr="002B4E6D">
        <w:rPr>
          <w:rFonts w:cs="Arial"/>
          <w:lang w:val="es-CR"/>
        </w:rPr>
        <w:t>de 2018</w:t>
      </w:r>
      <w:r w:rsidR="005F3E72" w:rsidRPr="002B4E6D">
        <w:rPr>
          <w:rFonts w:cs="Arial"/>
          <w:lang w:val="es-CR"/>
        </w:rPr>
        <w:t xml:space="preserve">, mediante </w:t>
      </w:r>
      <w:r w:rsidRPr="002B4E6D">
        <w:rPr>
          <w:rFonts w:cs="Arial"/>
          <w:lang w:val="es-CR"/>
        </w:rPr>
        <w:t>los</w:t>
      </w:r>
      <w:r w:rsidR="005F3E72" w:rsidRPr="002B4E6D">
        <w:rPr>
          <w:rFonts w:cs="Arial"/>
          <w:lang w:val="es-CR"/>
        </w:rPr>
        <w:t xml:space="preserve"> </w:t>
      </w:r>
      <w:r w:rsidRPr="002B4E6D">
        <w:rPr>
          <w:rFonts w:cs="Arial"/>
          <w:lang w:val="es-CR"/>
        </w:rPr>
        <w:t>cuales el</w:t>
      </w:r>
      <w:r w:rsidR="005F3E72" w:rsidRPr="002B4E6D">
        <w:rPr>
          <w:rFonts w:cs="Arial"/>
          <w:lang w:val="es-CR"/>
        </w:rPr>
        <w:t xml:space="preserve"> Estado </w:t>
      </w:r>
      <w:r w:rsidRPr="002B4E6D">
        <w:rPr>
          <w:rFonts w:cs="Arial"/>
          <w:lang w:val="es-CR"/>
        </w:rPr>
        <w:t>presentó</w:t>
      </w:r>
      <w:r w:rsidR="005F3E72" w:rsidRPr="002B4E6D">
        <w:rPr>
          <w:rFonts w:cs="Arial"/>
          <w:lang w:val="es-CR"/>
        </w:rPr>
        <w:t xml:space="preserve"> </w:t>
      </w:r>
      <w:r w:rsidRPr="002B4E6D">
        <w:rPr>
          <w:rFonts w:cs="Arial"/>
          <w:lang w:val="es-CR"/>
        </w:rPr>
        <w:t>informes</w:t>
      </w:r>
      <w:r w:rsidR="005F3E72" w:rsidRPr="002B4E6D">
        <w:rPr>
          <w:rFonts w:cs="Arial"/>
          <w:lang w:val="es-CR"/>
        </w:rPr>
        <w:t xml:space="preserve"> sobre </w:t>
      </w:r>
      <w:r w:rsidRPr="002B4E6D">
        <w:rPr>
          <w:rFonts w:cs="Arial"/>
          <w:lang w:val="es-CR"/>
        </w:rPr>
        <w:t>el</w:t>
      </w:r>
      <w:r w:rsidR="005F3E72" w:rsidRPr="002B4E6D">
        <w:rPr>
          <w:rFonts w:cs="Arial"/>
          <w:lang w:val="es-CR"/>
        </w:rPr>
        <w:t xml:space="preserve"> </w:t>
      </w:r>
      <w:r w:rsidRPr="002B4E6D">
        <w:rPr>
          <w:rFonts w:cs="Arial"/>
          <w:lang w:val="es-CR"/>
        </w:rPr>
        <w:t>cumplimento</w:t>
      </w:r>
      <w:r w:rsidR="005F3E72" w:rsidRPr="002B4E6D">
        <w:rPr>
          <w:rFonts w:cs="Arial"/>
          <w:lang w:val="es-CR"/>
        </w:rPr>
        <w:t xml:space="preserve"> </w:t>
      </w:r>
      <w:r w:rsidR="00945D4E" w:rsidRPr="002B4E6D">
        <w:rPr>
          <w:rFonts w:cs="Arial"/>
          <w:lang w:val="es-CR"/>
        </w:rPr>
        <w:t xml:space="preserve">de </w:t>
      </w:r>
      <w:r w:rsidR="00271111" w:rsidRPr="002B4E6D">
        <w:rPr>
          <w:rFonts w:cs="Arial"/>
          <w:lang w:val="es-CR"/>
        </w:rPr>
        <w:t>las presentes</w:t>
      </w:r>
      <w:r w:rsidR="005F3E72" w:rsidRPr="002B4E6D">
        <w:rPr>
          <w:rFonts w:cs="Arial"/>
          <w:lang w:val="es-CR"/>
        </w:rPr>
        <w:t xml:space="preserve"> medidas </w:t>
      </w:r>
      <w:r w:rsidR="00945D4E" w:rsidRPr="002B4E6D">
        <w:rPr>
          <w:rFonts w:cs="Arial"/>
          <w:lang w:val="es-CR"/>
        </w:rPr>
        <w:t>provisionales</w:t>
      </w:r>
      <w:r w:rsidR="0088243B" w:rsidRPr="002B4E6D">
        <w:rPr>
          <w:rFonts w:cs="Arial"/>
          <w:lang w:val="es-CR"/>
        </w:rPr>
        <w:t xml:space="preserve"> </w:t>
      </w:r>
      <w:r w:rsidR="00945D4E" w:rsidRPr="002B4E6D">
        <w:rPr>
          <w:rFonts w:cs="Arial"/>
          <w:lang w:val="es-CR"/>
        </w:rPr>
        <w:t>y</w:t>
      </w:r>
      <w:r w:rsidR="0088243B" w:rsidRPr="002B4E6D">
        <w:rPr>
          <w:rFonts w:cs="Arial"/>
          <w:lang w:val="es-CR"/>
        </w:rPr>
        <w:t xml:space="preserve"> </w:t>
      </w:r>
      <w:r w:rsidR="00945D4E" w:rsidRPr="002B4E6D">
        <w:rPr>
          <w:rFonts w:cs="Arial"/>
          <w:lang w:val="es-CR"/>
        </w:rPr>
        <w:t>un</w:t>
      </w:r>
      <w:r w:rsidR="00DA3193" w:rsidRPr="002B4E6D">
        <w:rPr>
          <w:rFonts w:cs="Arial"/>
          <w:lang w:val="es-CR"/>
        </w:rPr>
        <w:t xml:space="preserve"> Diagnóstico Técnico</w:t>
      </w:r>
      <w:r w:rsidR="00D20C37" w:rsidRPr="002B4E6D">
        <w:rPr>
          <w:rFonts w:cs="Arial"/>
          <w:lang w:val="es-CR"/>
        </w:rPr>
        <w:t>,</w:t>
      </w:r>
      <w:r w:rsidR="005F3E72" w:rsidRPr="002B4E6D">
        <w:rPr>
          <w:rFonts w:cs="Arial"/>
          <w:lang w:val="es-CR"/>
        </w:rPr>
        <w:t xml:space="preserve"> </w:t>
      </w:r>
      <w:r w:rsidR="00D01E8F" w:rsidRPr="002B4E6D">
        <w:rPr>
          <w:rFonts w:cs="Arial"/>
          <w:lang w:val="es-CR"/>
        </w:rPr>
        <w:t xml:space="preserve">y </w:t>
      </w:r>
      <w:r w:rsidR="00945D4E" w:rsidRPr="002B4E6D">
        <w:rPr>
          <w:rFonts w:cs="Arial"/>
          <w:lang w:val="es-CR"/>
        </w:rPr>
        <w:t>l</w:t>
      </w:r>
      <w:r w:rsidR="005F3E72" w:rsidRPr="002B4E6D">
        <w:rPr>
          <w:rFonts w:cs="Arial"/>
          <w:lang w:val="es-CR"/>
        </w:rPr>
        <w:t xml:space="preserve">os representantes </w:t>
      </w:r>
      <w:r w:rsidR="00945D4E" w:rsidRPr="002B4E6D">
        <w:rPr>
          <w:rFonts w:cs="Arial"/>
          <w:lang w:val="es-CR"/>
        </w:rPr>
        <w:t>de los</w:t>
      </w:r>
      <w:r w:rsidR="005F3E72" w:rsidRPr="002B4E6D">
        <w:rPr>
          <w:rFonts w:cs="Arial"/>
          <w:lang w:val="es-CR"/>
        </w:rPr>
        <w:t xml:space="preserve"> </w:t>
      </w:r>
      <w:r w:rsidR="00945D4E" w:rsidRPr="002B4E6D">
        <w:rPr>
          <w:rFonts w:cs="Arial"/>
          <w:lang w:val="es-CR"/>
        </w:rPr>
        <w:t>beneficiarios</w:t>
      </w:r>
      <w:r w:rsidR="005F3E72" w:rsidRPr="002B4E6D">
        <w:rPr>
          <w:rFonts w:cs="Arial"/>
          <w:lang w:val="es-CR"/>
        </w:rPr>
        <w:t xml:space="preserve"> (</w:t>
      </w:r>
      <w:r w:rsidRPr="002B4E6D">
        <w:rPr>
          <w:rFonts w:cs="Arial"/>
          <w:lang w:val="es-CR"/>
        </w:rPr>
        <w:t>en adelante</w:t>
      </w:r>
      <w:r w:rsidR="005F3E72" w:rsidRPr="002B4E6D">
        <w:rPr>
          <w:rFonts w:cs="Arial"/>
          <w:lang w:val="es-CR"/>
        </w:rPr>
        <w:t xml:space="preserve"> “representantes”) </w:t>
      </w:r>
      <w:r w:rsidR="00945D4E" w:rsidRPr="002B4E6D">
        <w:rPr>
          <w:rFonts w:cs="Arial"/>
          <w:lang w:val="es-CR"/>
        </w:rPr>
        <w:t>y</w:t>
      </w:r>
      <w:r w:rsidR="006004CF" w:rsidRPr="002B4E6D">
        <w:rPr>
          <w:rFonts w:cs="Arial"/>
          <w:lang w:val="es-CR"/>
        </w:rPr>
        <w:t xml:space="preserve"> </w:t>
      </w:r>
      <w:r w:rsidR="00945D4E" w:rsidRPr="002B4E6D">
        <w:rPr>
          <w:rFonts w:cs="Arial"/>
          <w:lang w:val="es-CR"/>
        </w:rPr>
        <w:t>la</w:t>
      </w:r>
      <w:r w:rsidR="006004CF" w:rsidRPr="002B4E6D">
        <w:rPr>
          <w:rFonts w:cs="Arial"/>
          <w:lang w:val="es-CR"/>
        </w:rPr>
        <w:t xml:space="preserve"> </w:t>
      </w:r>
      <w:r w:rsidR="00945D4E" w:rsidRPr="002B4E6D">
        <w:rPr>
          <w:rFonts w:cs="Arial"/>
          <w:lang w:val="es-CR"/>
        </w:rPr>
        <w:t>Comisión</w:t>
      </w:r>
      <w:r w:rsidR="006004CF" w:rsidRPr="002B4E6D">
        <w:rPr>
          <w:rFonts w:cs="Arial"/>
          <w:lang w:val="es-CR"/>
        </w:rPr>
        <w:t xml:space="preserve"> Interamericana de </w:t>
      </w:r>
      <w:r w:rsidRPr="002B4E6D">
        <w:rPr>
          <w:rFonts w:cs="Arial"/>
          <w:lang w:val="es-CR"/>
        </w:rPr>
        <w:t>Derechos</w:t>
      </w:r>
      <w:r w:rsidR="006004CF" w:rsidRPr="002B4E6D">
        <w:rPr>
          <w:rFonts w:cs="Arial"/>
          <w:lang w:val="es-CR"/>
        </w:rPr>
        <w:t xml:space="preserve"> Humanos</w:t>
      </w:r>
      <w:r w:rsidR="008209A5">
        <w:rPr>
          <w:rFonts w:cs="Arial"/>
          <w:lang w:val="es-CR"/>
        </w:rPr>
        <w:t xml:space="preserve"> </w:t>
      </w:r>
      <w:r w:rsidR="008209A5" w:rsidRPr="008209A5">
        <w:rPr>
          <w:rFonts w:cs="Arial"/>
        </w:rPr>
        <w:t>(en adelante “la Comisión Interamericana” o “la Comisión”)</w:t>
      </w:r>
      <w:r w:rsidR="006004CF" w:rsidRPr="002B4E6D">
        <w:rPr>
          <w:rFonts w:cs="Arial"/>
          <w:lang w:val="es-CR"/>
        </w:rPr>
        <w:t xml:space="preserve"> </w:t>
      </w:r>
      <w:r w:rsidR="00E93BEE" w:rsidRPr="002B4E6D">
        <w:rPr>
          <w:rFonts w:cs="Arial"/>
          <w:lang w:val="es-CR"/>
        </w:rPr>
        <w:t>remitieron sus</w:t>
      </w:r>
      <w:r w:rsidR="005F3E72" w:rsidRPr="002B4E6D">
        <w:rPr>
          <w:rFonts w:cs="Arial"/>
          <w:lang w:val="es-CR"/>
        </w:rPr>
        <w:t xml:space="preserve"> </w:t>
      </w:r>
      <w:r w:rsidR="00945D4E" w:rsidRPr="002B4E6D">
        <w:rPr>
          <w:rFonts w:cs="Arial"/>
          <w:lang w:val="es-CR"/>
        </w:rPr>
        <w:t>observaciones</w:t>
      </w:r>
      <w:r w:rsidR="005F3E72" w:rsidRPr="002B4E6D">
        <w:rPr>
          <w:rFonts w:cs="Arial"/>
          <w:lang w:val="es-CR"/>
        </w:rPr>
        <w:t xml:space="preserve"> </w:t>
      </w:r>
      <w:r w:rsidR="00E93BEE" w:rsidRPr="002B4E6D">
        <w:rPr>
          <w:rFonts w:cs="Arial"/>
          <w:lang w:val="es-CR"/>
        </w:rPr>
        <w:t>a</w:t>
      </w:r>
      <w:r w:rsidR="005F3E72" w:rsidRPr="002B4E6D">
        <w:rPr>
          <w:rFonts w:cs="Arial"/>
          <w:lang w:val="es-CR"/>
        </w:rPr>
        <w:t xml:space="preserve"> </w:t>
      </w:r>
      <w:r w:rsidR="00945D4E" w:rsidRPr="002B4E6D">
        <w:rPr>
          <w:rFonts w:cs="Arial"/>
          <w:lang w:val="es-CR"/>
        </w:rPr>
        <w:t>l</w:t>
      </w:r>
      <w:r w:rsidR="005F3E72" w:rsidRPr="002B4E6D">
        <w:rPr>
          <w:rFonts w:cs="Arial"/>
          <w:lang w:val="es-CR"/>
        </w:rPr>
        <w:t xml:space="preserve">os </w:t>
      </w:r>
      <w:r w:rsidRPr="002B4E6D">
        <w:rPr>
          <w:rFonts w:cs="Arial"/>
          <w:lang w:val="es-CR"/>
        </w:rPr>
        <w:t>informes</w:t>
      </w:r>
      <w:r w:rsidR="005F3E72" w:rsidRPr="002B4E6D">
        <w:rPr>
          <w:rFonts w:cs="Arial"/>
          <w:lang w:val="es-CR"/>
        </w:rPr>
        <w:t xml:space="preserve"> </w:t>
      </w:r>
      <w:r w:rsidR="00E93BEE" w:rsidRPr="002B4E6D">
        <w:rPr>
          <w:rFonts w:cs="Arial"/>
          <w:lang w:val="es-CR"/>
        </w:rPr>
        <w:t>estatales</w:t>
      </w:r>
      <w:r w:rsidR="00D20C37" w:rsidRPr="002B4E6D">
        <w:rPr>
          <w:rFonts w:cs="Arial"/>
          <w:lang w:val="es-CR"/>
        </w:rPr>
        <w:t>,</w:t>
      </w:r>
      <w:r w:rsidR="005F3E72" w:rsidRPr="002B4E6D">
        <w:rPr>
          <w:rFonts w:cs="Arial"/>
          <w:lang w:val="es-CR"/>
        </w:rPr>
        <w:t xml:space="preserve"> </w:t>
      </w:r>
      <w:r w:rsidR="00945D4E" w:rsidRPr="002B4E6D">
        <w:rPr>
          <w:rFonts w:cs="Arial"/>
          <w:lang w:val="es-CR"/>
        </w:rPr>
        <w:t>así</w:t>
      </w:r>
      <w:r w:rsidR="005F3E72" w:rsidRPr="002B4E6D">
        <w:rPr>
          <w:rFonts w:cs="Arial"/>
          <w:lang w:val="es-CR"/>
        </w:rPr>
        <w:t xml:space="preserve"> como informa</w:t>
      </w:r>
      <w:r w:rsidR="00945D4E" w:rsidRPr="002B4E6D">
        <w:rPr>
          <w:rFonts w:cs="Arial"/>
          <w:lang w:val="es-CR"/>
        </w:rPr>
        <w:t>ciones</w:t>
      </w:r>
      <w:r w:rsidR="005F3E72" w:rsidRPr="002B4E6D">
        <w:rPr>
          <w:rFonts w:cs="Arial"/>
          <w:lang w:val="es-CR"/>
        </w:rPr>
        <w:t xml:space="preserve"> relativas </w:t>
      </w:r>
      <w:r w:rsidR="00945D4E" w:rsidRPr="002B4E6D">
        <w:rPr>
          <w:rFonts w:cs="Arial"/>
          <w:lang w:val="es-CR"/>
        </w:rPr>
        <w:t>al</w:t>
      </w:r>
      <w:r w:rsidR="005F3E72" w:rsidRPr="002B4E6D">
        <w:rPr>
          <w:rFonts w:cs="Arial"/>
          <w:lang w:val="es-CR"/>
        </w:rPr>
        <w:t xml:space="preserve"> </w:t>
      </w:r>
      <w:r w:rsidR="00945D4E" w:rsidRPr="002B4E6D">
        <w:rPr>
          <w:rFonts w:cs="Arial"/>
          <w:lang w:val="es-CR"/>
        </w:rPr>
        <w:t>cumplimento</w:t>
      </w:r>
      <w:r w:rsidR="005F3E72" w:rsidRPr="002B4E6D">
        <w:rPr>
          <w:rFonts w:cs="Arial"/>
          <w:lang w:val="es-CR"/>
        </w:rPr>
        <w:t xml:space="preserve"> </w:t>
      </w:r>
      <w:r w:rsidR="00945D4E" w:rsidRPr="002B4E6D">
        <w:rPr>
          <w:rFonts w:cs="Arial"/>
          <w:lang w:val="es-CR"/>
        </w:rPr>
        <w:t>de las</w:t>
      </w:r>
      <w:r w:rsidR="005F3E72" w:rsidRPr="002B4E6D">
        <w:rPr>
          <w:rFonts w:cs="Arial"/>
          <w:lang w:val="es-CR"/>
        </w:rPr>
        <w:t xml:space="preserve"> medidas </w:t>
      </w:r>
      <w:r w:rsidR="00945D4E" w:rsidRPr="002B4E6D">
        <w:rPr>
          <w:rFonts w:cs="Arial"/>
          <w:lang w:val="es-CR"/>
        </w:rPr>
        <w:t>provisionales</w:t>
      </w:r>
      <w:r w:rsidR="0088243B" w:rsidRPr="002B4E6D">
        <w:rPr>
          <w:rFonts w:cs="Arial"/>
          <w:lang w:val="es-CR"/>
        </w:rPr>
        <w:t>.</w:t>
      </w:r>
    </w:p>
    <w:p w14:paraId="7C60A194" w14:textId="77777777" w:rsidR="00CE4104" w:rsidRPr="002B4E6D" w:rsidRDefault="00CE4104" w:rsidP="006D31D9">
      <w:pPr>
        <w:pStyle w:val="ListParagraph"/>
        <w:rPr>
          <w:rFonts w:cs="Arial"/>
          <w:lang w:val="es-CR"/>
        </w:rPr>
      </w:pPr>
    </w:p>
    <w:p w14:paraId="2223AC52" w14:textId="77777777" w:rsidR="00CE4104" w:rsidRPr="002B4E6D" w:rsidRDefault="00CE4104" w:rsidP="006D31D9">
      <w:pPr>
        <w:pStyle w:val="ListParagraph"/>
        <w:snapToGrid w:val="0"/>
        <w:ind w:left="0"/>
        <w:contextualSpacing w:val="0"/>
        <w:rPr>
          <w:b/>
          <w:szCs w:val="20"/>
          <w:lang w:val="es-CR"/>
        </w:rPr>
      </w:pPr>
      <w:r w:rsidRPr="002B4E6D">
        <w:rPr>
          <w:b/>
          <w:szCs w:val="20"/>
          <w:lang w:val="es-CR"/>
        </w:rPr>
        <w:t>CONSIDERANDO QUE:</w:t>
      </w:r>
    </w:p>
    <w:p w14:paraId="4D967B83" w14:textId="77777777" w:rsidR="00CE4104" w:rsidRPr="002B4E6D" w:rsidRDefault="00CE4104" w:rsidP="006D31D9">
      <w:pPr>
        <w:pStyle w:val="ListParagraph"/>
        <w:snapToGrid w:val="0"/>
        <w:ind w:left="0"/>
        <w:contextualSpacing w:val="0"/>
        <w:rPr>
          <w:b/>
          <w:szCs w:val="20"/>
          <w:lang w:val="es-CR"/>
        </w:rPr>
      </w:pPr>
    </w:p>
    <w:p w14:paraId="127D5FFD" w14:textId="22419A7D" w:rsidR="00743AD2" w:rsidRPr="002B4E6D" w:rsidRDefault="00945D4E" w:rsidP="00743AD2">
      <w:pPr>
        <w:pStyle w:val="ListParagraph"/>
        <w:numPr>
          <w:ilvl w:val="0"/>
          <w:numId w:val="20"/>
        </w:numPr>
        <w:snapToGrid w:val="0"/>
        <w:ind w:left="0" w:firstLine="0"/>
        <w:contextualSpacing w:val="0"/>
        <w:rPr>
          <w:szCs w:val="20"/>
          <w:lang w:val="es-CR"/>
        </w:rPr>
      </w:pPr>
      <w:r w:rsidRPr="002B4E6D">
        <w:rPr>
          <w:rFonts w:cs="Arial"/>
          <w:lang w:val="es-CR"/>
        </w:rPr>
        <w:t>En la</w:t>
      </w:r>
      <w:r w:rsidR="00F1454A" w:rsidRPr="002B4E6D">
        <w:rPr>
          <w:rFonts w:cs="Arial"/>
          <w:lang w:val="es-CR"/>
        </w:rPr>
        <w:t xml:space="preserve"> </w:t>
      </w:r>
      <w:r w:rsidR="00DA3193" w:rsidRPr="002B4E6D">
        <w:rPr>
          <w:rFonts w:cs="Arial"/>
          <w:lang w:val="es-CR"/>
        </w:rPr>
        <w:t>R</w:t>
      </w:r>
      <w:r w:rsidR="00CE4104" w:rsidRPr="002B4E6D">
        <w:rPr>
          <w:lang w:val="es-CR"/>
        </w:rPr>
        <w:t>esolu</w:t>
      </w:r>
      <w:r w:rsidR="00AA1A37" w:rsidRPr="002B4E6D">
        <w:rPr>
          <w:lang w:val="es-CR"/>
        </w:rPr>
        <w:t>ción</w:t>
      </w:r>
      <w:r w:rsidR="0088243B" w:rsidRPr="002B4E6D">
        <w:rPr>
          <w:lang w:val="es-CR"/>
        </w:rPr>
        <w:t xml:space="preserve"> de 31</w:t>
      </w:r>
      <w:r w:rsidR="00CE4104" w:rsidRPr="002B4E6D">
        <w:rPr>
          <w:lang w:val="es-CR"/>
        </w:rPr>
        <w:t xml:space="preserve"> de </w:t>
      </w:r>
      <w:r w:rsidR="000178AA" w:rsidRPr="002B4E6D">
        <w:rPr>
          <w:lang w:val="es-CR"/>
        </w:rPr>
        <w:t>agosto</w:t>
      </w:r>
      <w:r w:rsidR="005F3E72" w:rsidRPr="002B4E6D">
        <w:rPr>
          <w:lang w:val="es-CR"/>
        </w:rPr>
        <w:t xml:space="preserve"> </w:t>
      </w:r>
      <w:r w:rsidR="00CE4104" w:rsidRPr="002B4E6D">
        <w:rPr>
          <w:lang w:val="es-CR"/>
        </w:rPr>
        <w:t xml:space="preserve">de 2017, </w:t>
      </w:r>
      <w:r w:rsidRPr="002B4E6D">
        <w:rPr>
          <w:lang w:val="es-CR"/>
        </w:rPr>
        <w:t>l</w:t>
      </w:r>
      <w:r w:rsidR="00CE4104" w:rsidRPr="002B4E6D">
        <w:rPr>
          <w:lang w:val="es-CR"/>
        </w:rPr>
        <w:t xml:space="preserve">a Corte </w:t>
      </w:r>
      <w:r w:rsidRPr="002B4E6D">
        <w:rPr>
          <w:lang w:val="es-CR"/>
        </w:rPr>
        <w:t>resolvió</w:t>
      </w:r>
      <w:r w:rsidR="00F1454A" w:rsidRPr="002B4E6D">
        <w:rPr>
          <w:lang w:val="es-CR"/>
        </w:rPr>
        <w:t xml:space="preserve"> que </w:t>
      </w:r>
      <w:r w:rsidR="00477774" w:rsidRPr="002B4E6D">
        <w:rPr>
          <w:lang w:val="es-CR"/>
        </w:rPr>
        <w:t>compete</w:t>
      </w:r>
      <w:r w:rsidR="00F1454A" w:rsidRPr="002B4E6D">
        <w:rPr>
          <w:lang w:val="es-CR"/>
        </w:rPr>
        <w:t xml:space="preserve"> </w:t>
      </w:r>
      <w:r w:rsidRPr="002B4E6D">
        <w:rPr>
          <w:lang w:val="es-CR"/>
        </w:rPr>
        <w:t>al</w:t>
      </w:r>
      <w:r w:rsidR="00F1454A" w:rsidRPr="002B4E6D">
        <w:rPr>
          <w:lang w:val="es-CR"/>
        </w:rPr>
        <w:t xml:space="preserve"> </w:t>
      </w:r>
      <w:r w:rsidR="00CE4104" w:rsidRPr="002B4E6D">
        <w:rPr>
          <w:lang w:val="es-CR"/>
        </w:rPr>
        <w:t>Estado</w:t>
      </w:r>
      <w:r w:rsidR="000811B3" w:rsidRPr="002B4E6D">
        <w:rPr>
          <w:lang w:val="es-CR"/>
        </w:rPr>
        <w:t xml:space="preserve">, de </w:t>
      </w:r>
      <w:r w:rsidRPr="002B4E6D">
        <w:rPr>
          <w:lang w:val="es-CR"/>
        </w:rPr>
        <w:t>inmediato</w:t>
      </w:r>
      <w:r w:rsidR="00CE4104" w:rsidRPr="002B4E6D">
        <w:rPr>
          <w:lang w:val="es-CR"/>
        </w:rPr>
        <w:t>: a)</w:t>
      </w:r>
      <w:r w:rsidR="00CE4104" w:rsidRPr="002B4E6D">
        <w:rPr>
          <w:rFonts w:eastAsia="Verdana" w:cs="Verdana"/>
          <w:szCs w:val="20"/>
          <w:lang w:val="es-CR"/>
        </w:rPr>
        <w:t xml:space="preserve"> </w:t>
      </w:r>
      <w:r w:rsidRPr="002B4E6D">
        <w:rPr>
          <w:rFonts w:eastAsia="Verdana" w:cs="Verdana"/>
          <w:szCs w:val="20"/>
          <w:lang w:val="es-CR"/>
        </w:rPr>
        <w:t>adoptar</w:t>
      </w:r>
      <w:r w:rsidR="005F3E72" w:rsidRPr="002B4E6D">
        <w:rPr>
          <w:rFonts w:eastAsia="Verdana" w:cs="Verdana"/>
          <w:szCs w:val="20"/>
          <w:lang w:val="es-CR"/>
        </w:rPr>
        <w:t xml:space="preserve"> </w:t>
      </w:r>
      <w:r w:rsidR="00F1454A" w:rsidRPr="002B4E6D">
        <w:rPr>
          <w:rFonts w:eastAsia="Verdana" w:cs="Verdana"/>
          <w:szCs w:val="20"/>
          <w:lang w:val="es-CR"/>
        </w:rPr>
        <w:t xml:space="preserve">todas </w:t>
      </w:r>
      <w:r w:rsidRPr="002B4E6D">
        <w:rPr>
          <w:rFonts w:eastAsia="Verdana" w:cs="Verdana"/>
          <w:szCs w:val="20"/>
          <w:lang w:val="es-CR"/>
        </w:rPr>
        <w:t>l</w:t>
      </w:r>
      <w:r w:rsidR="00CE4104" w:rsidRPr="002B4E6D">
        <w:rPr>
          <w:rFonts w:eastAsia="Verdana" w:cs="Verdana"/>
          <w:szCs w:val="20"/>
          <w:lang w:val="es-CR"/>
        </w:rPr>
        <w:t xml:space="preserve">as medidas </w:t>
      </w:r>
      <w:r w:rsidRPr="002B4E6D">
        <w:rPr>
          <w:rFonts w:eastAsia="Verdana" w:cs="Verdana"/>
          <w:szCs w:val="20"/>
          <w:lang w:val="es-CR"/>
        </w:rPr>
        <w:t>necesarias</w:t>
      </w:r>
      <w:r w:rsidR="005F3E72" w:rsidRPr="002B4E6D">
        <w:rPr>
          <w:rFonts w:eastAsia="Verdana" w:cs="Verdana"/>
          <w:szCs w:val="20"/>
          <w:lang w:val="es-CR"/>
        </w:rPr>
        <w:t xml:space="preserve"> </w:t>
      </w:r>
      <w:r w:rsidR="00CE4104" w:rsidRPr="002B4E6D">
        <w:rPr>
          <w:rFonts w:eastAsia="Verdana" w:cs="Verdana"/>
          <w:szCs w:val="20"/>
          <w:lang w:val="es-CR"/>
        </w:rPr>
        <w:t xml:space="preserve">para proteger eficazmente </w:t>
      </w:r>
      <w:r w:rsidRPr="002B4E6D">
        <w:rPr>
          <w:rFonts w:eastAsia="Verdana" w:cs="Verdana"/>
          <w:szCs w:val="20"/>
          <w:lang w:val="es-CR"/>
        </w:rPr>
        <w:t>l</w:t>
      </w:r>
      <w:r w:rsidR="00CE4104" w:rsidRPr="002B4E6D">
        <w:rPr>
          <w:rFonts w:eastAsia="Verdana" w:cs="Verdana"/>
          <w:szCs w:val="20"/>
          <w:lang w:val="es-CR"/>
        </w:rPr>
        <w:t xml:space="preserve">a vida </w:t>
      </w:r>
      <w:r w:rsidRPr="002B4E6D">
        <w:rPr>
          <w:rFonts w:eastAsia="Verdana" w:cs="Verdana"/>
          <w:szCs w:val="20"/>
          <w:lang w:val="es-CR"/>
        </w:rPr>
        <w:t>y</w:t>
      </w:r>
      <w:r w:rsidR="005F3E72" w:rsidRPr="002B4E6D">
        <w:rPr>
          <w:rFonts w:eastAsia="Verdana" w:cs="Verdana"/>
          <w:szCs w:val="20"/>
          <w:lang w:val="es-CR"/>
        </w:rPr>
        <w:t xml:space="preserve"> </w:t>
      </w:r>
      <w:r w:rsidRPr="002B4E6D">
        <w:rPr>
          <w:rFonts w:eastAsia="Verdana" w:cs="Verdana"/>
          <w:szCs w:val="20"/>
          <w:lang w:val="es-CR"/>
        </w:rPr>
        <w:t>l</w:t>
      </w:r>
      <w:r w:rsidR="00CE4104" w:rsidRPr="002B4E6D">
        <w:rPr>
          <w:rFonts w:eastAsia="Verdana" w:cs="Verdana"/>
          <w:szCs w:val="20"/>
          <w:lang w:val="es-CR"/>
        </w:rPr>
        <w:t xml:space="preserve">a </w:t>
      </w:r>
      <w:r w:rsidR="00AA1A37" w:rsidRPr="002B4E6D">
        <w:rPr>
          <w:rFonts w:eastAsia="Verdana" w:cs="Verdana"/>
          <w:szCs w:val="20"/>
          <w:lang w:val="es-CR"/>
        </w:rPr>
        <w:t>integridad</w:t>
      </w:r>
      <w:r w:rsidR="00CE4104" w:rsidRPr="002B4E6D">
        <w:rPr>
          <w:rFonts w:eastAsia="Verdana" w:cs="Verdana"/>
          <w:szCs w:val="20"/>
          <w:lang w:val="es-CR"/>
        </w:rPr>
        <w:t xml:space="preserve"> </w:t>
      </w:r>
      <w:r w:rsidR="00AA1A37" w:rsidRPr="002B4E6D">
        <w:rPr>
          <w:rFonts w:eastAsia="Verdana" w:cs="Verdana"/>
          <w:szCs w:val="20"/>
          <w:lang w:val="es-CR"/>
        </w:rPr>
        <w:t>personal</w:t>
      </w:r>
      <w:r w:rsidR="005F3E72" w:rsidRPr="002B4E6D">
        <w:rPr>
          <w:rFonts w:eastAsia="Verdana" w:cs="Verdana"/>
          <w:szCs w:val="20"/>
          <w:lang w:val="es-CR"/>
        </w:rPr>
        <w:t xml:space="preserve"> </w:t>
      </w:r>
      <w:r w:rsidR="00CE4104" w:rsidRPr="002B4E6D">
        <w:rPr>
          <w:rFonts w:eastAsia="Verdana" w:cs="Verdana"/>
          <w:szCs w:val="20"/>
          <w:lang w:val="es-CR"/>
        </w:rPr>
        <w:t xml:space="preserve">de todas </w:t>
      </w:r>
      <w:r w:rsidRPr="002B4E6D">
        <w:rPr>
          <w:rFonts w:eastAsia="Verdana" w:cs="Verdana"/>
          <w:szCs w:val="20"/>
          <w:lang w:val="es-CR"/>
        </w:rPr>
        <w:t>l</w:t>
      </w:r>
      <w:r w:rsidR="00CE4104" w:rsidRPr="002B4E6D">
        <w:rPr>
          <w:rFonts w:eastAsia="Verdana" w:cs="Verdana"/>
          <w:szCs w:val="20"/>
          <w:lang w:val="es-CR"/>
        </w:rPr>
        <w:t xml:space="preserve">as </w:t>
      </w:r>
      <w:r w:rsidR="00AA1A37" w:rsidRPr="002B4E6D">
        <w:rPr>
          <w:rFonts w:eastAsia="Verdana" w:cs="Verdana"/>
          <w:szCs w:val="20"/>
          <w:lang w:val="es-CR"/>
        </w:rPr>
        <w:t>personas</w:t>
      </w:r>
      <w:r w:rsidR="005F3E72" w:rsidRPr="002B4E6D">
        <w:rPr>
          <w:rFonts w:eastAsia="Verdana" w:cs="Verdana"/>
          <w:szCs w:val="20"/>
          <w:lang w:val="es-CR"/>
        </w:rPr>
        <w:t xml:space="preserve"> </w:t>
      </w:r>
      <w:r w:rsidR="00CE4104" w:rsidRPr="002B4E6D">
        <w:rPr>
          <w:rFonts w:eastAsia="Verdana" w:cs="Verdana"/>
          <w:szCs w:val="20"/>
          <w:lang w:val="es-CR"/>
        </w:rPr>
        <w:t xml:space="preserve">privadas de </w:t>
      </w:r>
      <w:r w:rsidR="00AA1A37" w:rsidRPr="002B4E6D">
        <w:rPr>
          <w:rFonts w:eastAsia="Verdana" w:cs="Verdana"/>
          <w:szCs w:val="20"/>
          <w:lang w:val="es-CR"/>
        </w:rPr>
        <w:t>libertad</w:t>
      </w:r>
      <w:r w:rsidR="005F3E72" w:rsidRPr="002B4E6D">
        <w:rPr>
          <w:rFonts w:eastAsia="Verdana" w:cs="Verdana"/>
          <w:szCs w:val="20"/>
          <w:lang w:val="es-CR"/>
        </w:rPr>
        <w:t xml:space="preserve"> </w:t>
      </w:r>
      <w:r w:rsidRPr="002B4E6D">
        <w:rPr>
          <w:rFonts w:eastAsia="Verdana" w:cs="Verdana"/>
          <w:szCs w:val="20"/>
          <w:lang w:val="es-CR"/>
        </w:rPr>
        <w:t>en el</w:t>
      </w:r>
      <w:r w:rsidR="00F1454A" w:rsidRPr="002B4E6D">
        <w:rPr>
          <w:rFonts w:eastAsia="Verdana" w:cs="Verdana"/>
          <w:szCs w:val="20"/>
          <w:lang w:val="es-CR"/>
        </w:rPr>
        <w:t xml:space="preserve"> </w:t>
      </w:r>
      <w:r w:rsidR="00CE4104" w:rsidRPr="002B4E6D">
        <w:rPr>
          <w:szCs w:val="20"/>
          <w:lang w:val="es-CR"/>
        </w:rPr>
        <w:t xml:space="preserve">Instituto Penal Plácido de </w:t>
      </w:r>
      <w:proofErr w:type="spellStart"/>
      <w:r w:rsidR="00CE4104" w:rsidRPr="002B4E6D">
        <w:rPr>
          <w:szCs w:val="20"/>
          <w:lang w:val="es-CR"/>
        </w:rPr>
        <w:t>Sá</w:t>
      </w:r>
      <w:proofErr w:type="spellEnd"/>
      <w:r w:rsidR="00CE4104" w:rsidRPr="002B4E6D">
        <w:rPr>
          <w:szCs w:val="20"/>
          <w:lang w:val="es-CR"/>
        </w:rPr>
        <w:t xml:space="preserve"> Carvalho</w:t>
      </w:r>
      <w:r w:rsidR="00F1454A" w:rsidRPr="002B4E6D">
        <w:rPr>
          <w:szCs w:val="20"/>
          <w:lang w:val="es-CR"/>
        </w:rPr>
        <w:t>;</w:t>
      </w:r>
      <w:r w:rsidR="00C03C2E" w:rsidRPr="002B4E6D">
        <w:rPr>
          <w:rStyle w:val="FootnoteReference"/>
          <w:lang w:val="es-CR"/>
        </w:rPr>
        <w:footnoteReference w:id="2"/>
      </w:r>
      <w:r w:rsidR="00CE4104" w:rsidRPr="002B4E6D">
        <w:rPr>
          <w:lang w:val="es-CR"/>
        </w:rPr>
        <w:t xml:space="preserve"> b) </w:t>
      </w:r>
      <w:r w:rsidR="00CE4104" w:rsidRPr="002B4E6D">
        <w:rPr>
          <w:rFonts w:eastAsia="Verdana" w:cs="Verdana"/>
          <w:szCs w:val="20"/>
          <w:lang w:val="es-CR"/>
        </w:rPr>
        <w:t xml:space="preserve">erradicar concretamente </w:t>
      </w:r>
      <w:r w:rsidRPr="002B4E6D">
        <w:rPr>
          <w:rFonts w:eastAsia="Verdana" w:cs="Verdana"/>
          <w:szCs w:val="20"/>
          <w:lang w:val="es-CR"/>
        </w:rPr>
        <w:t>l</w:t>
      </w:r>
      <w:r w:rsidR="00CE4104" w:rsidRPr="002B4E6D">
        <w:rPr>
          <w:rFonts w:eastAsia="Verdana" w:cs="Verdana"/>
          <w:szCs w:val="20"/>
          <w:lang w:val="es-CR"/>
        </w:rPr>
        <w:t xml:space="preserve">os </w:t>
      </w:r>
      <w:r w:rsidRPr="002B4E6D">
        <w:rPr>
          <w:rFonts w:eastAsia="Verdana" w:cs="Verdana"/>
          <w:szCs w:val="20"/>
          <w:lang w:val="es-CR"/>
        </w:rPr>
        <w:t>riesgos</w:t>
      </w:r>
      <w:r w:rsidR="00F1454A" w:rsidRPr="002B4E6D">
        <w:rPr>
          <w:rFonts w:eastAsia="Verdana" w:cs="Verdana"/>
          <w:szCs w:val="20"/>
          <w:lang w:val="es-CR"/>
        </w:rPr>
        <w:t xml:space="preserve"> </w:t>
      </w:r>
      <w:r w:rsidR="00CE4104" w:rsidRPr="002B4E6D">
        <w:rPr>
          <w:rFonts w:eastAsia="Verdana" w:cs="Verdana"/>
          <w:szCs w:val="20"/>
          <w:lang w:val="es-CR"/>
        </w:rPr>
        <w:t xml:space="preserve">de </w:t>
      </w:r>
      <w:r w:rsidRPr="002B4E6D">
        <w:rPr>
          <w:rFonts w:eastAsia="Verdana" w:cs="Verdana"/>
          <w:szCs w:val="20"/>
          <w:lang w:val="es-CR"/>
        </w:rPr>
        <w:t>muerte</w:t>
      </w:r>
      <w:r w:rsidR="005F3E72" w:rsidRPr="002B4E6D">
        <w:rPr>
          <w:rFonts w:eastAsia="Verdana" w:cs="Verdana"/>
          <w:szCs w:val="20"/>
          <w:lang w:val="es-CR"/>
        </w:rPr>
        <w:t xml:space="preserve"> </w:t>
      </w:r>
      <w:r w:rsidRPr="002B4E6D">
        <w:rPr>
          <w:rFonts w:eastAsia="Verdana" w:cs="Verdana"/>
          <w:szCs w:val="20"/>
          <w:lang w:val="es-CR"/>
        </w:rPr>
        <w:t>y</w:t>
      </w:r>
      <w:r w:rsidR="005F3E72" w:rsidRPr="002B4E6D">
        <w:rPr>
          <w:rFonts w:eastAsia="Verdana" w:cs="Verdana"/>
          <w:szCs w:val="20"/>
          <w:lang w:val="es-CR"/>
        </w:rPr>
        <w:t xml:space="preserve"> </w:t>
      </w:r>
      <w:r w:rsidR="00CE4104" w:rsidRPr="002B4E6D">
        <w:rPr>
          <w:rFonts w:eastAsia="Verdana" w:cs="Verdana"/>
          <w:szCs w:val="20"/>
          <w:lang w:val="es-CR"/>
        </w:rPr>
        <w:t xml:space="preserve">de atentados contra </w:t>
      </w:r>
      <w:r w:rsidRPr="002B4E6D">
        <w:rPr>
          <w:rFonts w:eastAsia="Verdana" w:cs="Verdana"/>
          <w:szCs w:val="20"/>
          <w:lang w:val="es-CR"/>
        </w:rPr>
        <w:t>l</w:t>
      </w:r>
      <w:r w:rsidR="00CE4104" w:rsidRPr="002B4E6D">
        <w:rPr>
          <w:rFonts w:eastAsia="Verdana" w:cs="Verdana"/>
          <w:szCs w:val="20"/>
          <w:lang w:val="es-CR"/>
        </w:rPr>
        <w:t xml:space="preserve">a vida </w:t>
      </w:r>
      <w:r w:rsidRPr="002B4E6D">
        <w:rPr>
          <w:rFonts w:eastAsia="Verdana" w:cs="Verdana"/>
          <w:szCs w:val="20"/>
          <w:lang w:val="es-CR"/>
        </w:rPr>
        <w:t>y</w:t>
      </w:r>
      <w:r w:rsidR="005F3E72" w:rsidRPr="002B4E6D">
        <w:rPr>
          <w:rFonts w:eastAsia="Verdana" w:cs="Verdana"/>
          <w:szCs w:val="20"/>
          <w:lang w:val="es-CR"/>
        </w:rPr>
        <w:t xml:space="preserve"> </w:t>
      </w:r>
      <w:r w:rsidRPr="002B4E6D">
        <w:rPr>
          <w:rFonts w:eastAsia="Verdana" w:cs="Verdana"/>
          <w:szCs w:val="20"/>
          <w:lang w:val="es-CR"/>
        </w:rPr>
        <w:t>l</w:t>
      </w:r>
      <w:r w:rsidR="00CE4104" w:rsidRPr="002B4E6D">
        <w:rPr>
          <w:rFonts w:eastAsia="Verdana" w:cs="Verdana"/>
          <w:szCs w:val="20"/>
          <w:lang w:val="es-CR"/>
        </w:rPr>
        <w:t xml:space="preserve">a </w:t>
      </w:r>
      <w:r w:rsidR="00AA1A37" w:rsidRPr="002B4E6D">
        <w:rPr>
          <w:rFonts w:eastAsia="Verdana" w:cs="Verdana"/>
          <w:szCs w:val="20"/>
          <w:lang w:val="es-CR"/>
        </w:rPr>
        <w:t>integridad</w:t>
      </w:r>
      <w:r w:rsidR="00CE4104" w:rsidRPr="002B4E6D">
        <w:rPr>
          <w:rFonts w:eastAsia="Verdana" w:cs="Verdana"/>
          <w:szCs w:val="20"/>
          <w:lang w:val="es-CR"/>
        </w:rPr>
        <w:t xml:space="preserve"> </w:t>
      </w:r>
      <w:r w:rsidR="00AA1A37" w:rsidRPr="002B4E6D">
        <w:rPr>
          <w:rFonts w:eastAsia="Verdana" w:cs="Verdana"/>
          <w:szCs w:val="20"/>
          <w:lang w:val="es-CR"/>
        </w:rPr>
        <w:t>personal</w:t>
      </w:r>
      <w:r w:rsidR="005F3E72" w:rsidRPr="002B4E6D">
        <w:rPr>
          <w:rFonts w:eastAsia="Verdana" w:cs="Verdana"/>
          <w:szCs w:val="20"/>
          <w:lang w:val="es-CR"/>
        </w:rPr>
        <w:t xml:space="preserve"> </w:t>
      </w:r>
      <w:r w:rsidRPr="002B4E6D">
        <w:rPr>
          <w:rFonts w:eastAsia="Verdana" w:cs="Verdana"/>
          <w:szCs w:val="20"/>
          <w:lang w:val="es-CR"/>
        </w:rPr>
        <w:t>de las</w:t>
      </w:r>
      <w:r w:rsidR="00807A14" w:rsidRPr="002B4E6D">
        <w:rPr>
          <w:rFonts w:eastAsia="Verdana" w:cs="Verdana"/>
          <w:szCs w:val="20"/>
          <w:lang w:val="es-CR"/>
        </w:rPr>
        <w:t xml:space="preserve"> </w:t>
      </w:r>
      <w:r w:rsidR="00AA1A37" w:rsidRPr="002B4E6D">
        <w:rPr>
          <w:rFonts w:eastAsia="Verdana" w:cs="Verdana"/>
          <w:szCs w:val="20"/>
          <w:lang w:val="es-CR"/>
        </w:rPr>
        <w:t>personas</w:t>
      </w:r>
      <w:r w:rsidR="005F3E72" w:rsidRPr="002B4E6D">
        <w:rPr>
          <w:rFonts w:eastAsia="Verdana" w:cs="Verdana"/>
          <w:szCs w:val="20"/>
          <w:lang w:val="es-CR"/>
        </w:rPr>
        <w:t xml:space="preserve"> </w:t>
      </w:r>
      <w:r w:rsidR="00CE4104" w:rsidRPr="002B4E6D">
        <w:rPr>
          <w:rFonts w:eastAsia="Verdana" w:cs="Verdana"/>
          <w:szCs w:val="20"/>
          <w:lang w:val="es-CR"/>
        </w:rPr>
        <w:t xml:space="preserve">privadas de </w:t>
      </w:r>
      <w:r w:rsidR="00AA1A37" w:rsidRPr="002B4E6D">
        <w:rPr>
          <w:rFonts w:eastAsia="Verdana" w:cs="Verdana"/>
          <w:szCs w:val="20"/>
          <w:lang w:val="es-CR"/>
        </w:rPr>
        <w:t>libertad</w:t>
      </w:r>
      <w:r w:rsidR="005F3E72" w:rsidRPr="002B4E6D">
        <w:rPr>
          <w:rFonts w:eastAsia="Verdana" w:cs="Verdana"/>
          <w:szCs w:val="20"/>
          <w:lang w:val="es-CR"/>
        </w:rPr>
        <w:t xml:space="preserve"> </w:t>
      </w:r>
      <w:r w:rsidRPr="002B4E6D">
        <w:rPr>
          <w:rFonts w:eastAsia="Verdana" w:cs="Verdana"/>
          <w:szCs w:val="20"/>
          <w:lang w:val="es-CR"/>
        </w:rPr>
        <w:t>en el</w:t>
      </w:r>
      <w:r w:rsidR="00F1454A" w:rsidRPr="002B4E6D">
        <w:rPr>
          <w:rFonts w:eastAsia="Verdana" w:cs="Verdana"/>
          <w:szCs w:val="20"/>
          <w:lang w:val="es-CR"/>
        </w:rPr>
        <w:t xml:space="preserve"> </w:t>
      </w:r>
      <w:r w:rsidR="00CE4104" w:rsidRPr="002B4E6D">
        <w:rPr>
          <w:rFonts w:eastAsia="Verdana" w:cs="Verdana"/>
          <w:szCs w:val="20"/>
          <w:lang w:val="es-CR"/>
        </w:rPr>
        <w:t xml:space="preserve">centro </w:t>
      </w:r>
      <w:r w:rsidRPr="002B4E6D">
        <w:rPr>
          <w:rFonts w:eastAsia="Verdana" w:cs="Verdana"/>
          <w:szCs w:val="20"/>
          <w:lang w:val="es-CR"/>
        </w:rPr>
        <w:t>penitenciario</w:t>
      </w:r>
      <w:r w:rsidR="00F1454A" w:rsidRPr="002B4E6D">
        <w:rPr>
          <w:rFonts w:eastAsia="Verdana" w:cs="Verdana"/>
          <w:szCs w:val="20"/>
          <w:lang w:val="es-CR"/>
        </w:rPr>
        <w:t>;</w:t>
      </w:r>
      <w:r w:rsidR="00C03C2E" w:rsidRPr="002B4E6D">
        <w:rPr>
          <w:rStyle w:val="FootnoteReference"/>
          <w:lang w:val="es-CR"/>
        </w:rPr>
        <w:footnoteReference w:id="3"/>
      </w:r>
      <w:r w:rsidR="00CE4104" w:rsidRPr="002B4E6D">
        <w:rPr>
          <w:lang w:val="es-CR"/>
        </w:rPr>
        <w:t xml:space="preserve"> c) </w:t>
      </w:r>
      <w:r w:rsidR="00A15D19" w:rsidRPr="002B4E6D">
        <w:rPr>
          <w:rFonts w:eastAsia="Verdana" w:cs="Verdana"/>
          <w:szCs w:val="20"/>
          <w:lang w:val="es-CR"/>
        </w:rPr>
        <w:t xml:space="preserve">elaborar </w:t>
      </w:r>
      <w:r w:rsidRPr="002B4E6D">
        <w:rPr>
          <w:rFonts w:eastAsia="Verdana" w:cs="Verdana"/>
          <w:szCs w:val="20"/>
          <w:lang w:val="es-CR"/>
        </w:rPr>
        <w:t>un</w:t>
      </w:r>
      <w:r w:rsidR="00A15D19" w:rsidRPr="002B4E6D">
        <w:rPr>
          <w:rFonts w:eastAsia="Verdana" w:cs="Verdana"/>
          <w:szCs w:val="20"/>
          <w:lang w:val="es-CR"/>
        </w:rPr>
        <w:t xml:space="preserve"> Diagnóstico Técnico </w:t>
      </w:r>
      <w:r w:rsidRPr="002B4E6D">
        <w:rPr>
          <w:rFonts w:eastAsia="Verdana" w:cs="Verdana"/>
          <w:szCs w:val="20"/>
          <w:lang w:val="es-CR"/>
        </w:rPr>
        <w:t>y</w:t>
      </w:r>
      <w:r w:rsidR="00A15D19" w:rsidRPr="002B4E6D">
        <w:rPr>
          <w:rFonts w:eastAsia="Verdana" w:cs="Verdana"/>
          <w:szCs w:val="20"/>
          <w:lang w:val="es-CR"/>
        </w:rPr>
        <w:t xml:space="preserve">, </w:t>
      </w:r>
      <w:r w:rsidRPr="002B4E6D">
        <w:rPr>
          <w:rFonts w:eastAsia="Verdana" w:cs="Verdana"/>
          <w:szCs w:val="20"/>
          <w:lang w:val="es-CR"/>
        </w:rPr>
        <w:t>con</w:t>
      </w:r>
      <w:r w:rsidR="00A15D19" w:rsidRPr="002B4E6D">
        <w:rPr>
          <w:rFonts w:eastAsia="Verdana" w:cs="Verdana"/>
          <w:szCs w:val="20"/>
          <w:lang w:val="es-CR"/>
        </w:rPr>
        <w:t xml:space="preserve"> base </w:t>
      </w:r>
      <w:r w:rsidRPr="002B4E6D">
        <w:rPr>
          <w:rFonts w:eastAsia="Verdana" w:cs="Verdana"/>
          <w:szCs w:val="20"/>
          <w:lang w:val="es-CR"/>
        </w:rPr>
        <w:t>en los</w:t>
      </w:r>
      <w:r w:rsidR="00A15D19" w:rsidRPr="002B4E6D">
        <w:rPr>
          <w:rFonts w:eastAsia="Verdana" w:cs="Verdana"/>
          <w:szCs w:val="20"/>
          <w:lang w:val="es-CR"/>
        </w:rPr>
        <w:t xml:space="preserve"> resultados </w:t>
      </w:r>
      <w:r w:rsidRPr="002B4E6D">
        <w:rPr>
          <w:rFonts w:eastAsia="Verdana" w:cs="Verdana"/>
          <w:szCs w:val="20"/>
          <w:lang w:val="es-CR"/>
        </w:rPr>
        <w:t>de ese</w:t>
      </w:r>
      <w:r w:rsidR="00A15D19" w:rsidRPr="002B4E6D">
        <w:rPr>
          <w:rFonts w:eastAsia="Verdana" w:cs="Verdana"/>
          <w:szCs w:val="20"/>
          <w:lang w:val="es-CR"/>
        </w:rPr>
        <w:t xml:space="preserve"> </w:t>
      </w:r>
      <w:r w:rsidR="00AE65F3" w:rsidRPr="002B4E6D">
        <w:rPr>
          <w:rFonts w:eastAsia="Verdana" w:cs="Verdana"/>
          <w:szCs w:val="20"/>
          <w:lang w:val="es-CR"/>
        </w:rPr>
        <w:t>D</w:t>
      </w:r>
      <w:r w:rsidR="00A15D19" w:rsidRPr="002B4E6D">
        <w:rPr>
          <w:rFonts w:eastAsia="Verdana" w:cs="Verdana"/>
          <w:szCs w:val="20"/>
          <w:lang w:val="es-CR"/>
        </w:rPr>
        <w:t xml:space="preserve">iagnóstico, </w:t>
      </w:r>
      <w:r w:rsidRPr="002B4E6D">
        <w:rPr>
          <w:rFonts w:eastAsia="Verdana" w:cs="Verdana"/>
          <w:szCs w:val="20"/>
          <w:lang w:val="es-CR"/>
        </w:rPr>
        <w:t>un</w:t>
      </w:r>
      <w:r w:rsidR="00A15D19" w:rsidRPr="002B4E6D">
        <w:rPr>
          <w:rFonts w:eastAsia="Verdana" w:cs="Verdana"/>
          <w:szCs w:val="20"/>
          <w:lang w:val="es-CR"/>
        </w:rPr>
        <w:t xml:space="preserve"> Plan </w:t>
      </w:r>
      <w:r w:rsidR="00A15D19" w:rsidRPr="002B4E6D">
        <w:rPr>
          <w:rFonts w:eastAsia="Verdana" w:cs="Verdana"/>
          <w:szCs w:val="20"/>
          <w:lang w:val="es-CR"/>
        </w:rPr>
        <w:lastRenderedPageBreak/>
        <w:t xml:space="preserve">de </w:t>
      </w:r>
      <w:r w:rsidRPr="002B4E6D">
        <w:rPr>
          <w:rFonts w:eastAsia="Verdana" w:cs="Verdana"/>
          <w:szCs w:val="20"/>
          <w:lang w:val="es-CR"/>
        </w:rPr>
        <w:t>Contingencia</w:t>
      </w:r>
      <w:r w:rsidR="00A15D19" w:rsidRPr="002B4E6D">
        <w:rPr>
          <w:rFonts w:eastAsia="Verdana" w:cs="Verdana"/>
          <w:szCs w:val="20"/>
          <w:lang w:val="es-CR"/>
        </w:rPr>
        <w:t xml:space="preserve"> para </w:t>
      </w:r>
      <w:r w:rsidRPr="002B4E6D">
        <w:rPr>
          <w:rFonts w:eastAsia="Verdana" w:cs="Verdana"/>
          <w:szCs w:val="20"/>
          <w:lang w:val="es-CR"/>
        </w:rPr>
        <w:t>l</w:t>
      </w:r>
      <w:r w:rsidR="00A15D19" w:rsidRPr="002B4E6D">
        <w:rPr>
          <w:rFonts w:eastAsia="Verdana" w:cs="Verdana"/>
          <w:szCs w:val="20"/>
          <w:lang w:val="es-CR"/>
        </w:rPr>
        <w:t xml:space="preserve">a reforma </w:t>
      </w:r>
      <w:r w:rsidRPr="002B4E6D">
        <w:rPr>
          <w:rFonts w:eastAsia="Verdana" w:cs="Verdana"/>
          <w:szCs w:val="20"/>
          <w:lang w:val="es-CR"/>
        </w:rPr>
        <w:t>estructural</w:t>
      </w:r>
      <w:r w:rsidR="00A15D19" w:rsidRPr="002B4E6D">
        <w:rPr>
          <w:rFonts w:eastAsia="Verdana" w:cs="Verdana"/>
          <w:szCs w:val="20"/>
          <w:lang w:val="es-CR"/>
        </w:rPr>
        <w:t xml:space="preserve"> </w:t>
      </w:r>
      <w:r w:rsidRPr="002B4E6D">
        <w:rPr>
          <w:rFonts w:eastAsia="Verdana" w:cs="Verdana"/>
          <w:szCs w:val="20"/>
          <w:lang w:val="es-CR"/>
        </w:rPr>
        <w:t>y</w:t>
      </w:r>
      <w:r w:rsidR="00A15D19" w:rsidRPr="002B4E6D">
        <w:rPr>
          <w:rFonts w:eastAsia="Verdana" w:cs="Verdana"/>
          <w:szCs w:val="20"/>
          <w:lang w:val="es-CR"/>
        </w:rPr>
        <w:t xml:space="preserve"> de </w:t>
      </w:r>
      <w:r w:rsidRPr="002B4E6D">
        <w:rPr>
          <w:rFonts w:eastAsia="Verdana" w:cs="Verdana"/>
          <w:szCs w:val="20"/>
          <w:lang w:val="es-CR"/>
        </w:rPr>
        <w:t>reducción</w:t>
      </w:r>
      <w:r w:rsidR="00A15D19" w:rsidRPr="002B4E6D">
        <w:rPr>
          <w:rFonts w:eastAsia="Verdana" w:cs="Verdana"/>
          <w:szCs w:val="20"/>
          <w:lang w:val="es-CR"/>
        </w:rPr>
        <w:t xml:space="preserve"> </w:t>
      </w:r>
      <w:r w:rsidRPr="002B4E6D">
        <w:rPr>
          <w:rFonts w:eastAsia="Verdana" w:cs="Verdana"/>
          <w:szCs w:val="20"/>
          <w:lang w:val="es-CR"/>
        </w:rPr>
        <w:t>de la</w:t>
      </w:r>
      <w:r w:rsidR="00A15D19" w:rsidRPr="002B4E6D">
        <w:rPr>
          <w:rFonts w:eastAsia="Verdana" w:cs="Verdana"/>
          <w:szCs w:val="20"/>
          <w:lang w:val="es-CR"/>
        </w:rPr>
        <w:t xml:space="preserve"> </w:t>
      </w:r>
      <w:r w:rsidRPr="002B4E6D">
        <w:rPr>
          <w:rFonts w:eastAsia="Verdana" w:cs="Verdana"/>
          <w:szCs w:val="20"/>
          <w:lang w:val="es-CR"/>
        </w:rPr>
        <w:t>superpoblación y</w:t>
      </w:r>
      <w:r w:rsidR="00A15D19" w:rsidRPr="002B4E6D">
        <w:rPr>
          <w:rFonts w:eastAsia="Verdana" w:cs="Verdana"/>
          <w:szCs w:val="20"/>
          <w:lang w:val="es-CR"/>
        </w:rPr>
        <w:t xml:space="preserve"> </w:t>
      </w:r>
      <w:r w:rsidRPr="002B4E6D">
        <w:rPr>
          <w:rFonts w:eastAsia="Verdana" w:cs="Verdana"/>
          <w:szCs w:val="20"/>
          <w:lang w:val="es-CR"/>
        </w:rPr>
        <w:t>hacinamiento en el</w:t>
      </w:r>
      <w:r w:rsidR="00A15D19" w:rsidRPr="002B4E6D">
        <w:rPr>
          <w:rFonts w:eastAsia="Verdana" w:cs="Verdana"/>
          <w:szCs w:val="20"/>
          <w:lang w:val="es-CR"/>
        </w:rPr>
        <w:t xml:space="preserve"> Instituto Penal Plácido de </w:t>
      </w:r>
      <w:proofErr w:type="spellStart"/>
      <w:r w:rsidR="00A15D19" w:rsidRPr="002B4E6D">
        <w:rPr>
          <w:rFonts w:eastAsia="Verdana" w:cs="Verdana"/>
          <w:szCs w:val="20"/>
          <w:lang w:val="es-CR"/>
        </w:rPr>
        <w:t>Sá</w:t>
      </w:r>
      <w:proofErr w:type="spellEnd"/>
      <w:r w:rsidR="00A15D19" w:rsidRPr="002B4E6D">
        <w:rPr>
          <w:rFonts w:eastAsia="Verdana" w:cs="Verdana"/>
          <w:szCs w:val="20"/>
          <w:lang w:val="es-CR"/>
        </w:rPr>
        <w:t xml:space="preserve"> Carvalho;</w:t>
      </w:r>
      <w:r w:rsidR="00A15D19" w:rsidRPr="002B4E6D">
        <w:rPr>
          <w:rStyle w:val="FootnoteReference"/>
          <w:lang w:val="es-CR"/>
        </w:rPr>
        <w:footnoteReference w:id="4"/>
      </w:r>
      <w:r w:rsidR="00A15D19" w:rsidRPr="002B4E6D">
        <w:rPr>
          <w:szCs w:val="20"/>
          <w:lang w:val="es-CR"/>
        </w:rPr>
        <w:t xml:space="preserve"> </w:t>
      </w:r>
      <w:r w:rsidR="00CE4104" w:rsidRPr="002B4E6D">
        <w:rPr>
          <w:szCs w:val="20"/>
          <w:lang w:val="es-CR"/>
        </w:rPr>
        <w:t xml:space="preserve">d) </w:t>
      </w:r>
      <w:r w:rsidRPr="002B4E6D">
        <w:rPr>
          <w:rFonts w:eastAsia="Verdana" w:cs="Verdana"/>
          <w:szCs w:val="20"/>
          <w:lang w:val="es-CR"/>
        </w:rPr>
        <w:t>presentar</w:t>
      </w:r>
      <w:r w:rsidR="00A15D19" w:rsidRPr="002B4E6D">
        <w:rPr>
          <w:rFonts w:eastAsia="Verdana" w:cs="Verdana"/>
          <w:szCs w:val="20"/>
          <w:lang w:val="es-CR"/>
        </w:rPr>
        <w:t xml:space="preserve"> </w:t>
      </w:r>
      <w:r w:rsidRPr="002B4E6D">
        <w:rPr>
          <w:rFonts w:eastAsia="Verdana" w:cs="Verdana"/>
          <w:szCs w:val="20"/>
          <w:lang w:val="es-CR"/>
        </w:rPr>
        <w:t>un</w:t>
      </w:r>
      <w:r w:rsidR="00781069" w:rsidRPr="002B4E6D">
        <w:rPr>
          <w:rFonts w:eastAsia="Verdana" w:cs="Verdana"/>
          <w:szCs w:val="20"/>
          <w:lang w:val="es-CR"/>
        </w:rPr>
        <w:t xml:space="preserve"> </w:t>
      </w:r>
      <w:r w:rsidRPr="002B4E6D">
        <w:rPr>
          <w:rFonts w:eastAsia="Verdana" w:cs="Verdana"/>
          <w:szCs w:val="20"/>
          <w:lang w:val="es-CR"/>
        </w:rPr>
        <w:t>informe</w:t>
      </w:r>
      <w:r w:rsidR="00781069" w:rsidRPr="002B4E6D">
        <w:rPr>
          <w:rFonts w:eastAsia="Verdana" w:cs="Verdana"/>
          <w:szCs w:val="20"/>
          <w:lang w:val="es-CR"/>
        </w:rPr>
        <w:t xml:space="preserve"> </w:t>
      </w:r>
      <w:r w:rsidR="00CE4104" w:rsidRPr="002B4E6D">
        <w:rPr>
          <w:rFonts w:eastAsia="Verdana" w:cs="Verdana"/>
          <w:szCs w:val="20"/>
          <w:lang w:val="es-CR"/>
        </w:rPr>
        <w:t>periódico</w:t>
      </w:r>
      <w:r w:rsidR="00781069" w:rsidRPr="002B4E6D">
        <w:rPr>
          <w:rFonts w:eastAsia="Verdana" w:cs="Verdana"/>
          <w:szCs w:val="20"/>
          <w:lang w:val="es-CR"/>
        </w:rPr>
        <w:t>,</w:t>
      </w:r>
      <w:r w:rsidR="00CE4104" w:rsidRPr="002B4E6D">
        <w:rPr>
          <w:rFonts w:eastAsia="Verdana" w:cs="Verdana"/>
          <w:szCs w:val="20"/>
          <w:lang w:val="es-CR"/>
        </w:rPr>
        <w:t xml:space="preserve"> cada </w:t>
      </w:r>
      <w:r w:rsidRPr="002B4E6D">
        <w:rPr>
          <w:rFonts w:eastAsia="Verdana" w:cs="Verdana"/>
          <w:szCs w:val="20"/>
          <w:lang w:val="es-CR"/>
        </w:rPr>
        <w:t>tres</w:t>
      </w:r>
      <w:r w:rsidR="00CE4104" w:rsidRPr="002B4E6D">
        <w:rPr>
          <w:rFonts w:eastAsia="Verdana" w:cs="Verdana"/>
          <w:szCs w:val="20"/>
          <w:lang w:val="es-CR"/>
        </w:rPr>
        <w:t xml:space="preserve"> meses</w:t>
      </w:r>
      <w:r w:rsidR="00781069" w:rsidRPr="002B4E6D">
        <w:rPr>
          <w:rFonts w:eastAsia="Verdana" w:cs="Verdana"/>
          <w:szCs w:val="20"/>
          <w:lang w:val="es-CR"/>
        </w:rPr>
        <w:t xml:space="preserve">, </w:t>
      </w:r>
      <w:r w:rsidRPr="002B4E6D">
        <w:rPr>
          <w:rFonts w:eastAsia="Verdana" w:cs="Verdana"/>
          <w:szCs w:val="20"/>
          <w:lang w:val="es-CR"/>
        </w:rPr>
        <w:t>con</w:t>
      </w:r>
      <w:r w:rsidR="00781069" w:rsidRPr="002B4E6D">
        <w:rPr>
          <w:rFonts w:eastAsia="Verdana" w:cs="Verdana"/>
          <w:szCs w:val="20"/>
          <w:lang w:val="es-CR"/>
        </w:rPr>
        <w:t xml:space="preserve"> </w:t>
      </w:r>
      <w:r w:rsidRPr="002B4E6D">
        <w:rPr>
          <w:rFonts w:eastAsia="Verdana" w:cs="Verdana"/>
          <w:szCs w:val="20"/>
          <w:lang w:val="es-CR"/>
        </w:rPr>
        <w:t>l</w:t>
      </w:r>
      <w:r w:rsidR="00781069" w:rsidRPr="002B4E6D">
        <w:rPr>
          <w:rFonts w:eastAsia="Verdana" w:cs="Verdana"/>
          <w:szCs w:val="20"/>
          <w:lang w:val="es-CR"/>
        </w:rPr>
        <w:t xml:space="preserve">as </w:t>
      </w:r>
      <w:r w:rsidR="00CE4104" w:rsidRPr="002B4E6D">
        <w:rPr>
          <w:rFonts w:eastAsia="Verdana" w:cs="Verdana"/>
          <w:szCs w:val="20"/>
          <w:lang w:val="es-CR"/>
        </w:rPr>
        <w:t xml:space="preserve">medidas </w:t>
      </w:r>
      <w:r w:rsidRPr="002B4E6D">
        <w:rPr>
          <w:rFonts w:eastAsia="Verdana" w:cs="Verdana"/>
          <w:szCs w:val="20"/>
          <w:lang w:val="es-CR"/>
        </w:rPr>
        <w:t>adoptadas</w:t>
      </w:r>
      <w:r w:rsidR="00CE4104" w:rsidRPr="002B4E6D">
        <w:rPr>
          <w:rFonts w:eastAsia="Verdana" w:cs="Verdana"/>
          <w:szCs w:val="20"/>
          <w:lang w:val="es-CR"/>
        </w:rPr>
        <w:t xml:space="preserve"> </w:t>
      </w:r>
      <w:r w:rsidRPr="002B4E6D">
        <w:rPr>
          <w:rFonts w:eastAsia="Verdana" w:cs="Verdana"/>
          <w:szCs w:val="20"/>
          <w:lang w:val="es-CR"/>
        </w:rPr>
        <w:t>de</w:t>
      </w:r>
      <w:r w:rsidR="00781069" w:rsidRPr="002B4E6D">
        <w:rPr>
          <w:rFonts w:eastAsia="Verdana" w:cs="Verdana"/>
          <w:szCs w:val="20"/>
          <w:lang w:val="es-CR"/>
        </w:rPr>
        <w:t xml:space="preserve"> </w:t>
      </w:r>
      <w:r w:rsidRPr="002B4E6D">
        <w:rPr>
          <w:rFonts w:eastAsia="Verdana" w:cs="Verdana"/>
          <w:szCs w:val="20"/>
          <w:lang w:val="es-CR"/>
        </w:rPr>
        <w:t>conformidad</w:t>
      </w:r>
      <w:r w:rsidR="00CE4104" w:rsidRPr="002B4E6D">
        <w:rPr>
          <w:rFonts w:eastAsia="Verdana" w:cs="Verdana"/>
          <w:szCs w:val="20"/>
          <w:lang w:val="es-CR"/>
        </w:rPr>
        <w:t xml:space="preserve"> </w:t>
      </w:r>
      <w:r w:rsidRPr="002B4E6D">
        <w:rPr>
          <w:rFonts w:eastAsia="Verdana" w:cs="Verdana"/>
          <w:szCs w:val="20"/>
          <w:lang w:val="es-CR"/>
        </w:rPr>
        <w:t>con</w:t>
      </w:r>
      <w:r w:rsidR="002B6072" w:rsidRPr="002B4E6D">
        <w:rPr>
          <w:rFonts w:eastAsia="Verdana" w:cs="Verdana"/>
          <w:szCs w:val="20"/>
          <w:lang w:val="es-CR"/>
        </w:rPr>
        <w:t xml:space="preserve"> </w:t>
      </w:r>
      <w:r w:rsidRPr="002B4E6D">
        <w:rPr>
          <w:rFonts w:eastAsia="Verdana" w:cs="Verdana"/>
          <w:szCs w:val="20"/>
          <w:lang w:val="es-CR"/>
        </w:rPr>
        <w:t>esa</w:t>
      </w:r>
      <w:r w:rsidR="002B6072" w:rsidRPr="002B4E6D">
        <w:rPr>
          <w:rFonts w:eastAsia="Verdana" w:cs="Verdana"/>
          <w:szCs w:val="20"/>
          <w:lang w:val="es-CR"/>
        </w:rPr>
        <w:t xml:space="preserve"> </w:t>
      </w:r>
      <w:r w:rsidRPr="002B4E6D">
        <w:rPr>
          <w:rFonts w:eastAsia="Verdana" w:cs="Verdana"/>
          <w:szCs w:val="20"/>
          <w:lang w:val="es-CR"/>
        </w:rPr>
        <w:t>decisión</w:t>
      </w:r>
      <w:r w:rsidR="002B6072" w:rsidRPr="002B4E6D">
        <w:rPr>
          <w:rFonts w:eastAsia="Verdana" w:cs="Verdana"/>
          <w:szCs w:val="20"/>
          <w:lang w:val="es-CR"/>
        </w:rPr>
        <w:t>.</w:t>
      </w:r>
      <w:r w:rsidR="00CE4104" w:rsidRPr="002B4E6D">
        <w:rPr>
          <w:rStyle w:val="FootnoteReference"/>
          <w:lang w:val="es-CR"/>
        </w:rPr>
        <w:footnoteReference w:id="5"/>
      </w:r>
    </w:p>
    <w:p w14:paraId="7450E848" w14:textId="77777777" w:rsidR="00743AD2" w:rsidRPr="002B4E6D" w:rsidRDefault="00743AD2" w:rsidP="00A15D19">
      <w:pPr>
        <w:rPr>
          <w:szCs w:val="20"/>
          <w:lang w:val="es-CR"/>
        </w:rPr>
      </w:pPr>
    </w:p>
    <w:p w14:paraId="5EEC0039" w14:textId="1F09CBAD" w:rsidR="00743AD2" w:rsidRPr="002B4E6D" w:rsidRDefault="00945D4E" w:rsidP="00743AD2">
      <w:pPr>
        <w:pStyle w:val="ListParagraph"/>
        <w:numPr>
          <w:ilvl w:val="0"/>
          <w:numId w:val="20"/>
        </w:numPr>
        <w:snapToGrid w:val="0"/>
        <w:ind w:left="0" w:firstLine="0"/>
        <w:contextualSpacing w:val="0"/>
        <w:rPr>
          <w:szCs w:val="20"/>
          <w:lang w:val="es-CR"/>
        </w:rPr>
      </w:pPr>
      <w:r w:rsidRPr="002B4E6D">
        <w:rPr>
          <w:szCs w:val="20"/>
          <w:lang w:val="es-CR"/>
        </w:rPr>
        <w:t>A continuación, la</w:t>
      </w:r>
      <w:r w:rsidR="00743AD2" w:rsidRPr="002B4E6D">
        <w:rPr>
          <w:szCs w:val="20"/>
          <w:lang w:val="es-CR"/>
        </w:rPr>
        <w:t xml:space="preserve"> Corte se referirá</w:t>
      </w:r>
      <w:r w:rsidR="004E793E" w:rsidRPr="002B4E6D">
        <w:rPr>
          <w:szCs w:val="20"/>
          <w:lang w:val="es-CR"/>
        </w:rPr>
        <w:t xml:space="preserve"> a</w:t>
      </w:r>
      <w:r w:rsidR="00FB13D8" w:rsidRPr="002B4E6D">
        <w:rPr>
          <w:szCs w:val="20"/>
          <w:lang w:val="es-CR"/>
        </w:rPr>
        <w:t>:</w:t>
      </w:r>
      <w:r w:rsidR="00781069" w:rsidRPr="002B4E6D">
        <w:rPr>
          <w:szCs w:val="20"/>
          <w:lang w:val="es-CR"/>
        </w:rPr>
        <w:t xml:space="preserve"> a) </w:t>
      </w:r>
      <w:r w:rsidR="00EE30F7" w:rsidRPr="002B4E6D">
        <w:rPr>
          <w:szCs w:val="20"/>
          <w:lang w:val="es-CR"/>
        </w:rPr>
        <w:t xml:space="preserve">la </w:t>
      </w:r>
      <w:r w:rsidR="00B35F3C" w:rsidRPr="002B4E6D">
        <w:rPr>
          <w:szCs w:val="20"/>
          <w:lang w:val="es-CR"/>
        </w:rPr>
        <w:t>situa</w:t>
      </w:r>
      <w:r w:rsidR="00AA1A37" w:rsidRPr="002B4E6D">
        <w:rPr>
          <w:szCs w:val="20"/>
          <w:lang w:val="es-CR"/>
        </w:rPr>
        <w:t>ción</w:t>
      </w:r>
      <w:r w:rsidR="00B35F3C" w:rsidRPr="002B4E6D">
        <w:rPr>
          <w:szCs w:val="20"/>
          <w:lang w:val="es-CR"/>
        </w:rPr>
        <w:t xml:space="preserve"> de </w:t>
      </w:r>
      <w:r w:rsidR="00DD08F3" w:rsidRPr="002B4E6D">
        <w:rPr>
          <w:szCs w:val="20"/>
          <w:lang w:val="es-CR"/>
        </w:rPr>
        <w:t>hacinamiento</w:t>
      </w:r>
      <w:r w:rsidR="00B35F3C" w:rsidRPr="002B4E6D">
        <w:rPr>
          <w:szCs w:val="20"/>
          <w:lang w:val="es-CR"/>
        </w:rPr>
        <w:t xml:space="preserve">; </w:t>
      </w:r>
      <w:r w:rsidR="002B6072" w:rsidRPr="002B4E6D">
        <w:rPr>
          <w:szCs w:val="20"/>
          <w:lang w:val="es-CR"/>
        </w:rPr>
        <w:t>b</w:t>
      </w:r>
      <w:r w:rsidR="00B35F3C" w:rsidRPr="002B4E6D">
        <w:rPr>
          <w:szCs w:val="20"/>
          <w:lang w:val="es-CR"/>
        </w:rPr>
        <w:t xml:space="preserve">) </w:t>
      </w:r>
      <w:r w:rsidRPr="002B4E6D">
        <w:rPr>
          <w:szCs w:val="20"/>
          <w:lang w:val="es-CR"/>
        </w:rPr>
        <w:t>muerte</w:t>
      </w:r>
      <w:r w:rsidR="002B6072" w:rsidRPr="002B4E6D">
        <w:rPr>
          <w:szCs w:val="20"/>
          <w:lang w:val="es-CR"/>
        </w:rPr>
        <w:t xml:space="preserve">s </w:t>
      </w:r>
      <w:r w:rsidR="00DD08F3" w:rsidRPr="002B4E6D">
        <w:rPr>
          <w:szCs w:val="20"/>
          <w:lang w:val="es-CR"/>
        </w:rPr>
        <w:t>recientes</w:t>
      </w:r>
      <w:r w:rsidR="00B82DCF">
        <w:rPr>
          <w:szCs w:val="20"/>
          <w:lang w:val="es-CR"/>
        </w:rPr>
        <w:t>,</w:t>
      </w:r>
      <w:r w:rsidR="002B6072" w:rsidRPr="002B4E6D">
        <w:rPr>
          <w:szCs w:val="20"/>
          <w:lang w:val="es-CR"/>
        </w:rPr>
        <w:t xml:space="preserve"> </w:t>
      </w:r>
      <w:r w:rsidR="00DD08F3" w:rsidRPr="002B4E6D">
        <w:rPr>
          <w:szCs w:val="20"/>
          <w:lang w:val="es-CR"/>
        </w:rPr>
        <w:t>y</w:t>
      </w:r>
      <w:r w:rsidR="005F3E72" w:rsidRPr="002B4E6D">
        <w:rPr>
          <w:szCs w:val="20"/>
          <w:lang w:val="es-CR"/>
        </w:rPr>
        <w:t xml:space="preserve"> </w:t>
      </w:r>
      <w:r w:rsidR="00B82DCF">
        <w:rPr>
          <w:szCs w:val="20"/>
          <w:lang w:val="es-CR"/>
        </w:rPr>
        <w:t>c</w:t>
      </w:r>
      <w:r w:rsidR="00B35F3C" w:rsidRPr="002B4E6D">
        <w:rPr>
          <w:szCs w:val="20"/>
          <w:lang w:val="es-CR"/>
        </w:rPr>
        <w:t>) condi</w:t>
      </w:r>
      <w:r w:rsidRPr="002B4E6D">
        <w:rPr>
          <w:szCs w:val="20"/>
          <w:lang w:val="es-CR"/>
        </w:rPr>
        <w:t>ciones</w:t>
      </w:r>
      <w:r w:rsidR="00B35F3C" w:rsidRPr="002B4E6D">
        <w:rPr>
          <w:szCs w:val="20"/>
          <w:lang w:val="es-CR"/>
        </w:rPr>
        <w:t xml:space="preserve"> de deten</w:t>
      </w:r>
      <w:r w:rsidR="00AA1A37" w:rsidRPr="002B4E6D">
        <w:rPr>
          <w:szCs w:val="20"/>
          <w:lang w:val="es-CR"/>
        </w:rPr>
        <w:t>ción</w:t>
      </w:r>
      <w:r w:rsidR="009910C5" w:rsidRPr="002B4E6D">
        <w:rPr>
          <w:szCs w:val="20"/>
          <w:lang w:val="es-CR"/>
        </w:rPr>
        <w:t xml:space="preserve"> e </w:t>
      </w:r>
      <w:r w:rsidR="00DD08F3" w:rsidRPr="002B4E6D">
        <w:rPr>
          <w:szCs w:val="20"/>
          <w:lang w:val="es-CR"/>
        </w:rPr>
        <w:t>infraestructura</w:t>
      </w:r>
      <w:r w:rsidR="00B35F3C" w:rsidRPr="002B4E6D">
        <w:rPr>
          <w:szCs w:val="20"/>
          <w:lang w:val="es-CR"/>
        </w:rPr>
        <w:t xml:space="preserve">. Finalmente, </w:t>
      </w:r>
      <w:r w:rsidR="00DD08F3" w:rsidRPr="002B4E6D">
        <w:rPr>
          <w:szCs w:val="20"/>
          <w:lang w:val="es-CR"/>
        </w:rPr>
        <w:t>l</w:t>
      </w:r>
      <w:r w:rsidR="00B35F3C" w:rsidRPr="002B4E6D">
        <w:rPr>
          <w:szCs w:val="20"/>
          <w:lang w:val="es-CR"/>
        </w:rPr>
        <w:t xml:space="preserve">a Corte se referirá </w:t>
      </w:r>
      <w:r w:rsidR="00DD08F3" w:rsidRPr="002B4E6D">
        <w:rPr>
          <w:szCs w:val="20"/>
          <w:lang w:val="es-CR"/>
        </w:rPr>
        <w:t>a las</w:t>
      </w:r>
      <w:r w:rsidR="00781069" w:rsidRPr="002B4E6D">
        <w:rPr>
          <w:szCs w:val="20"/>
          <w:lang w:val="es-CR"/>
        </w:rPr>
        <w:t xml:space="preserve"> </w:t>
      </w:r>
      <w:r w:rsidR="00B35F3C" w:rsidRPr="002B4E6D">
        <w:rPr>
          <w:szCs w:val="20"/>
          <w:lang w:val="es-CR"/>
        </w:rPr>
        <w:t>informa</w:t>
      </w:r>
      <w:r w:rsidRPr="002B4E6D">
        <w:rPr>
          <w:szCs w:val="20"/>
          <w:lang w:val="es-CR"/>
        </w:rPr>
        <w:t>ciones</w:t>
      </w:r>
      <w:r w:rsidR="00B35F3C" w:rsidRPr="002B4E6D">
        <w:rPr>
          <w:szCs w:val="20"/>
          <w:lang w:val="es-CR"/>
        </w:rPr>
        <w:t xml:space="preserve"> solicitada</w:t>
      </w:r>
      <w:r w:rsidR="00FB13D8" w:rsidRPr="002B4E6D">
        <w:rPr>
          <w:szCs w:val="20"/>
          <w:lang w:val="es-CR"/>
        </w:rPr>
        <w:t>s</w:t>
      </w:r>
      <w:r w:rsidR="00B35F3C" w:rsidRPr="002B4E6D">
        <w:rPr>
          <w:szCs w:val="20"/>
          <w:lang w:val="es-CR"/>
        </w:rPr>
        <w:t xml:space="preserve"> </w:t>
      </w:r>
      <w:r w:rsidR="00DD08F3" w:rsidRPr="002B4E6D">
        <w:rPr>
          <w:szCs w:val="20"/>
          <w:lang w:val="es-CR"/>
        </w:rPr>
        <w:t>al</w:t>
      </w:r>
      <w:r w:rsidR="00B35F3C" w:rsidRPr="002B4E6D">
        <w:rPr>
          <w:szCs w:val="20"/>
          <w:lang w:val="es-CR"/>
        </w:rPr>
        <w:t xml:space="preserve"> Estado </w:t>
      </w:r>
      <w:r w:rsidR="00DD08F3" w:rsidRPr="002B4E6D">
        <w:rPr>
          <w:szCs w:val="20"/>
          <w:lang w:val="es-CR"/>
        </w:rPr>
        <w:t>y</w:t>
      </w:r>
      <w:r w:rsidR="005F3E72" w:rsidRPr="002B4E6D">
        <w:rPr>
          <w:szCs w:val="20"/>
          <w:lang w:val="es-CR"/>
        </w:rPr>
        <w:t xml:space="preserve"> </w:t>
      </w:r>
      <w:r w:rsidR="00DD08F3" w:rsidRPr="002B4E6D">
        <w:rPr>
          <w:szCs w:val="20"/>
          <w:lang w:val="es-CR"/>
        </w:rPr>
        <w:t>establecerá</w:t>
      </w:r>
      <w:r w:rsidR="00B35F3C" w:rsidRPr="002B4E6D">
        <w:rPr>
          <w:szCs w:val="20"/>
          <w:lang w:val="es-CR"/>
        </w:rPr>
        <w:t xml:space="preserve"> </w:t>
      </w:r>
      <w:r w:rsidR="00DD08F3" w:rsidRPr="002B4E6D">
        <w:rPr>
          <w:szCs w:val="20"/>
          <w:lang w:val="es-CR"/>
        </w:rPr>
        <w:t>sus</w:t>
      </w:r>
      <w:r w:rsidR="00B35F3C" w:rsidRPr="002B4E6D">
        <w:rPr>
          <w:szCs w:val="20"/>
          <w:lang w:val="es-CR"/>
        </w:rPr>
        <w:t xml:space="preserve"> conclus</w:t>
      </w:r>
      <w:r w:rsidR="00DD08F3" w:rsidRPr="002B4E6D">
        <w:rPr>
          <w:szCs w:val="20"/>
          <w:lang w:val="es-CR"/>
        </w:rPr>
        <w:t>ion</w:t>
      </w:r>
      <w:r w:rsidR="00781069" w:rsidRPr="002B4E6D">
        <w:rPr>
          <w:szCs w:val="20"/>
          <w:lang w:val="es-CR"/>
        </w:rPr>
        <w:t xml:space="preserve">es sobre </w:t>
      </w:r>
      <w:r w:rsidR="00DD08F3" w:rsidRPr="002B4E6D">
        <w:rPr>
          <w:szCs w:val="20"/>
          <w:lang w:val="es-CR"/>
        </w:rPr>
        <w:t>la</w:t>
      </w:r>
      <w:r w:rsidR="00781069" w:rsidRPr="002B4E6D">
        <w:rPr>
          <w:szCs w:val="20"/>
          <w:lang w:val="es-CR"/>
        </w:rPr>
        <w:t xml:space="preserve"> a</w:t>
      </w:r>
      <w:r w:rsidR="00DD08F3" w:rsidRPr="002B4E6D">
        <w:rPr>
          <w:szCs w:val="20"/>
          <w:lang w:val="es-CR"/>
        </w:rPr>
        <w:t>c</w:t>
      </w:r>
      <w:r w:rsidR="00781069" w:rsidRPr="002B4E6D">
        <w:rPr>
          <w:szCs w:val="20"/>
          <w:lang w:val="es-CR"/>
        </w:rPr>
        <w:t xml:space="preserve">tual </w:t>
      </w:r>
      <w:r w:rsidR="00B35F3C" w:rsidRPr="002B4E6D">
        <w:rPr>
          <w:szCs w:val="20"/>
          <w:lang w:val="es-CR"/>
        </w:rPr>
        <w:t>situa</w:t>
      </w:r>
      <w:r w:rsidR="00AA1A37" w:rsidRPr="002B4E6D">
        <w:rPr>
          <w:szCs w:val="20"/>
          <w:lang w:val="es-CR"/>
        </w:rPr>
        <w:t>ción</w:t>
      </w:r>
      <w:r w:rsidR="00B35F3C" w:rsidRPr="002B4E6D">
        <w:rPr>
          <w:szCs w:val="20"/>
          <w:lang w:val="es-CR"/>
        </w:rPr>
        <w:t xml:space="preserve"> </w:t>
      </w:r>
      <w:r w:rsidR="009E16F7" w:rsidRPr="002B4E6D">
        <w:rPr>
          <w:szCs w:val="20"/>
          <w:lang w:val="es-CR"/>
        </w:rPr>
        <w:t>del</w:t>
      </w:r>
      <w:r w:rsidR="00B35F3C" w:rsidRPr="002B4E6D">
        <w:rPr>
          <w:szCs w:val="20"/>
          <w:lang w:val="es-CR"/>
        </w:rPr>
        <w:t xml:space="preserve"> Instituto </w:t>
      </w:r>
      <w:r w:rsidR="009E16F7" w:rsidRPr="002B4E6D">
        <w:rPr>
          <w:szCs w:val="20"/>
          <w:lang w:val="es-CR"/>
        </w:rPr>
        <w:t>y</w:t>
      </w:r>
      <w:r w:rsidR="005F3E72" w:rsidRPr="002B4E6D">
        <w:rPr>
          <w:szCs w:val="20"/>
          <w:lang w:val="es-CR"/>
        </w:rPr>
        <w:t xml:space="preserve"> </w:t>
      </w:r>
      <w:r w:rsidR="009E16F7" w:rsidRPr="002B4E6D">
        <w:rPr>
          <w:szCs w:val="20"/>
          <w:lang w:val="es-CR"/>
        </w:rPr>
        <w:t>l</w:t>
      </w:r>
      <w:r w:rsidR="00B35F3C" w:rsidRPr="002B4E6D">
        <w:rPr>
          <w:szCs w:val="20"/>
          <w:lang w:val="es-CR"/>
        </w:rPr>
        <w:t>a continua</w:t>
      </w:r>
      <w:r w:rsidR="00AA1A37" w:rsidRPr="002B4E6D">
        <w:rPr>
          <w:szCs w:val="20"/>
          <w:lang w:val="es-CR"/>
        </w:rPr>
        <w:t>ción</w:t>
      </w:r>
      <w:r w:rsidR="00B35F3C" w:rsidRPr="002B4E6D">
        <w:rPr>
          <w:szCs w:val="20"/>
          <w:lang w:val="es-CR"/>
        </w:rPr>
        <w:t xml:space="preserve"> </w:t>
      </w:r>
      <w:r w:rsidR="009E16F7" w:rsidRPr="002B4E6D">
        <w:rPr>
          <w:szCs w:val="20"/>
          <w:lang w:val="es-CR"/>
        </w:rPr>
        <w:t>de las</w:t>
      </w:r>
      <w:r w:rsidR="00807A14" w:rsidRPr="002B4E6D">
        <w:rPr>
          <w:szCs w:val="20"/>
          <w:lang w:val="es-CR"/>
        </w:rPr>
        <w:t xml:space="preserve"> </w:t>
      </w:r>
      <w:r w:rsidR="00B35F3C" w:rsidRPr="002B4E6D">
        <w:rPr>
          <w:szCs w:val="20"/>
          <w:lang w:val="es-CR"/>
        </w:rPr>
        <w:t xml:space="preserve">medidas </w:t>
      </w:r>
      <w:r w:rsidRPr="002B4E6D">
        <w:rPr>
          <w:szCs w:val="20"/>
          <w:lang w:val="es-CR"/>
        </w:rPr>
        <w:t>provisionales</w:t>
      </w:r>
      <w:r w:rsidR="00B35F3C" w:rsidRPr="002B4E6D">
        <w:rPr>
          <w:szCs w:val="20"/>
          <w:lang w:val="es-CR"/>
        </w:rPr>
        <w:t xml:space="preserve">. </w:t>
      </w:r>
    </w:p>
    <w:p w14:paraId="1ED18478" w14:textId="77777777" w:rsidR="008614AA" w:rsidRPr="002B4E6D" w:rsidRDefault="008614AA" w:rsidP="006D31D9">
      <w:pPr>
        <w:rPr>
          <w:lang w:val="es-CR"/>
        </w:rPr>
      </w:pPr>
    </w:p>
    <w:p w14:paraId="205EA0D8" w14:textId="5ECB2E9D" w:rsidR="00CE4104" w:rsidRPr="002B4E6D" w:rsidRDefault="0004528E" w:rsidP="006D31D9">
      <w:pPr>
        <w:pStyle w:val="Default"/>
        <w:numPr>
          <w:ilvl w:val="0"/>
          <w:numId w:val="9"/>
        </w:numPr>
        <w:rPr>
          <w:b/>
          <w:sz w:val="20"/>
          <w:szCs w:val="20"/>
          <w:lang w:val="es-CR"/>
        </w:rPr>
      </w:pPr>
      <w:r w:rsidRPr="002B4E6D">
        <w:rPr>
          <w:b/>
          <w:i/>
          <w:iCs/>
          <w:sz w:val="20"/>
          <w:szCs w:val="20"/>
          <w:lang w:val="es-CR"/>
        </w:rPr>
        <w:t>Situa</w:t>
      </w:r>
      <w:r w:rsidR="00AA1A37" w:rsidRPr="002B4E6D">
        <w:rPr>
          <w:b/>
          <w:i/>
          <w:iCs/>
          <w:sz w:val="20"/>
          <w:szCs w:val="20"/>
          <w:lang w:val="es-CR"/>
        </w:rPr>
        <w:t>ción</w:t>
      </w:r>
      <w:r w:rsidRPr="002B4E6D">
        <w:rPr>
          <w:b/>
          <w:i/>
          <w:iCs/>
          <w:sz w:val="20"/>
          <w:szCs w:val="20"/>
          <w:lang w:val="es-CR"/>
        </w:rPr>
        <w:t xml:space="preserve"> de </w:t>
      </w:r>
      <w:r w:rsidR="00945D4E" w:rsidRPr="002B4E6D">
        <w:rPr>
          <w:b/>
          <w:i/>
          <w:iCs/>
          <w:sz w:val="20"/>
          <w:szCs w:val="20"/>
          <w:lang w:val="es-CR"/>
        </w:rPr>
        <w:t xml:space="preserve">hacinamiento </w:t>
      </w:r>
    </w:p>
    <w:p w14:paraId="694D3324" w14:textId="77777777" w:rsidR="00CE4104" w:rsidRPr="002B4E6D" w:rsidRDefault="00CE4104" w:rsidP="006D31D9">
      <w:pPr>
        <w:snapToGrid w:val="0"/>
        <w:ind w:right="4"/>
        <w:outlineLvl w:val="0"/>
        <w:rPr>
          <w:lang w:val="es-CR"/>
        </w:rPr>
      </w:pPr>
    </w:p>
    <w:p w14:paraId="6CAD6C57" w14:textId="1631F2C3" w:rsidR="00FD7BE5" w:rsidRPr="002B4E6D" w:rsidRDefault="009E16F7" w:rsidP="00356FEE">
      <w:pPr>
        <w:pStyle w:val="ListParagraph"/>
        <w:numPr>
          <w:ilvl w:val="0"/>
          <w:numId w:val="20"/>
        </w:numPr>
        <w:snapToGrid w:val="0"/>
        <w:ind w:left="0" w:firstLine="0"/>
        <w:contextualSpacing w:val="0"/>
        <w:rPr>
          <w:rFonts w:eastAsiaTheme="minorHAnsi" w:cs="Verdana"/>
          <w:color w:val="000000"/>
          <w:szCs w:val="20"/>
          <w:lang w:val="es-CR"/>
        </w:rPr>
      </w:pPr>
      <w:r w:rsidRPr="002B4E6D">
        <w:rPr>
          <w:lang w:val="es-CR"/>
        </w:rPr>
        <w:t>En la</w:t>
      </w:r>
      <w:r w:rsidR="004F3D93" w:rsidRPr="002B4E6D">
        <w:rPr>
          <w:lang w:val="es-CR"/>
        </w:rPr>
        <w:t xml:space="preserve"> </w:t>
      </w:r>
      <w:r w:rsidR="00DA3193" w:rsidRPr="002B4E6D">
        <w:rPr>
          <w:lang w:val="es-CR"/>
        </w:rPr>
        <w:t>R</w:t>
      </w:r>
      <w:r w:rsidR="00CE4104" w:rsidRPr="002B4E6D">
        <w:rPr>
          <w:lang w:val="es-CR"/>
        </w:rPr>
        <w:t>esolu</w:t>
      </w:r>
      <w:r w:rsidR="00AA1A37" w:rsidRPr="002B4E6D">
        <w:rPr>
          <w:lang w:val="es-CR"/>
        </w:rPr>
        <w:t>ción</w:t>
      </w:r>
      <w:r w:rsidR="00CE4104" w:rsidRPr="002B4E6D">
        <w:rPr>
          <w:lang w:val="es-CR"/>
        </w:rPr>
        <w:t xml:space="preserve"> de </w:t>
      </w:r>
      <w:r w:rsidR="00FD7BE5" w:rsidRPr="002B4E6D">
        <w:rPr>
          <w:lang w:val="es-CR"/>
        </w:rPr>
        <w:t>31</w:t>
      </w:r>
      <w:r w:rsidR="00CE4104" w:rsidRPr="002B4E6D">
        <w:rPr>
          <w:lang w:val="es-CR"/>
        </w:rPr>
        <w:t xml:space="preserve"> de </w:t>
      </w:r>
      <w:r w:rsidR="00FD7BE5" w:rsidRPr="002B4E6D">
        <w:rPr>
          <w:lang w:val="es-CR"/>
        </w:rPr>
        <w:t>agosto</w:t>
      </w:r>
      <w:r w:rsidR="005F3E72" w:rsidRPr="002B4E6D">
        <w:rPr>
          <w:lang w:val="es-CR"/>
        </w:rPr>
        <w:t xml:space="preserve"> </w:t>
      </w:r>
      <w:r w:rsidR="00CE4104" w:rsidRPr="002B4E6D">
        <w:rPr>
          <w:lang w:val="es-CR"/>
        </w:rPr>
        <w:t>de 2017</w:t>
      </w:r>
      <w:r w:rsidR="006106C5" w:rsidRPr="002B4E6D">
        <w:rPr>
          <w:lang w:val="es-CR"/>
        </w:rPr>
        <w:t>,</w:t>
      </w:r>
      <w:r w:rsidR="004F3D93" w:rsidRPr="002B4E6D">
        <w:rPr>
          <w:lang w:val="es-CR"/>
        </w:rPr>
        <w:t xml:space="preserve"> </w:t>
      </w:r>
      <w:r w:rsidRPr="002B4E6D">
        <w:rPr>
          <w:lang w:val="es-CR"/>
        </w:rPr>
        <w:t>l</w:t>
      </w:r>
      <w:r w:rsidR="004F3D93" w:rsidRPr="002B4E6D">
        <w:rPr>
          <w:lang w:val="es-CR"/>
        </w:rPr>
        <w:t xml:space="preserve">a Corte </w:t>
      </w:r>
      <w:r w:rsidRPr="002B4E6D">
        <w:rPr>
          <w:lang w:val="es-CR"/>
        </w:rPr>
        <w:t>hizo notar</w:t>
      </w:r>
      <w:r w:rsidR="00FD231B" w:rsidRPr="002B4E6D">
        <w:rPr>
          <w:lang w:val="es-CR"/>
        </w:rPr>
        <w:t xml:space="preserve"> que </w:t>
      </w:r>
      <w:r w:rsidRPr="002B4E6D">
        <w:rPr>
          <w:lang w:val="es-CR"/>
        </w:rPr>
        <w:t>el</w:t>
      </w:r>
      <w:r w:rsidR="00FD231B" w:rsidRPr="002B4E6D">
        <w:rPr>
          <w:lang w:val="es-CR"/>
        </w:rPr>
        <w:t xml:space="preserve"> Estado </w:t>
      </w:r>
      <w:r w:rsidRPr="002B4E6D">
        <w:rPr>
          <w:lang w:val="es-CR"/>
        </w:rPr>
        <w:t>debe</w:t>
      </w:r>
      <w:r w:rsidR="00FD231B" w:rsidRPr="002B4E6D">
        <w:rPr>
          <w:lang w:val="es-CR"/>
        </w:rPr>
        <w:t xml:space="preserve"> “</w:t>
      </w:r>
      <w:r w:rsidRPr="002B4E6D">
        <w:rPr>
          <w:rFonts w:eastAsiaTheme="minorHAnsi" w:cs="Verdana"/>
          <w:color w:val="000000"/>
          <w:szCs w:val="20"/>
          <w:lang w:val="es-CR"/>
        </w:rPr>
        <w:t>avanzar</w:t>
      </w:r>
      <w:r w:rsidR="00FD231B" w:rsidRPr="002B4E6D">
        <w:rPr>
          <w:rFonts w:eastAsiaTheme="minorHAnsi" w:cs="Verdana"/>
          <w:color w:val="000000"/>
          <w:szCs w:val="20"/>
          <w:lang w:val="es-CR"/>
        </w:rPr>
        <w:t xml:space="preserve"> de </w:t>
      </w:r>
      <w:r w:rsidRPr="002B4E6D">
        <w:rPr>
          <w:rFonts w:eastAsiaTheme="minorHAnsi" w:cs="Verdana"/>
          <w:color w:val="000000"/>
          <w:szCs w:val="20"/>
          <w:lang w:val="es-CR"/>
        </w:rPr>
        <w:t>manera</w:t>
      </w:r>
      <w:r w:rsidR="00FD231B" w:rsidRPr="002B4E6D">
        <w:rPr>
          <w:rFonts w:eastAsiaTheme="minorHAnsi" w:cs="Verdana"/>
          <w:color w:val="000000"/>
          <w:szCs w:val="20"/>
          <w:lang w:val="es-CR"/>
        </w:rPr>
        <w:t xml:space="preserve"> </w:t>
      </w:r>
      <w:r w:rsidRPr="002B4E6D">
        <w:rPr>
          <w:rFonts w:eastAsiaTheme="minorHAnsi" w:cs="Verdana"/>
          <w:color w:val="000000"/>
          <w:szCs w:val="20"/>
          <w:lang w:val="es-CR"/>
        </w:rPr>
        <w:t>más</w:t>
      </w:r>
      <w:r w:rsidR="00FD231B" w:rsidRPr="002B4E6D">
        <w:rPr>
          <w:rFonts w:eastAsiaTheme="minorHAnsi" w:cs="Verdana"/>
          <w:color w:val="000000"/>
          <w:szCs w:val="20"/>
          <w:lang w:val="es-CR"/>
        </w:rPr>
        <w:t xml:space="preserve"> </w:t>
      </w:r>
      <w:r w:rsidR="003B2500" w:rsidRPr="002B4E6D">
        <w:rPr>
          <w:rFonts w:eastAsiaTheme="minorHAnsi" w:cs="Verdana"/>
          <w:color w:val="000000"/>
          <w:szCs w:val="20"/>
          <w:lang w:val="es-CR"/>
        </w:rPr>
        <w:t>célere</w:t>
      </w:r>
      <w:r w:rsidR="00FD231B" w:rsidRPr="002B4E6D">
        <w:rPr>
          <w:rFonts w:eastAsiaTheme="minorHAnsi" w:cs="Verdana"/>
          <w:color w:val="000000"/>
          <w:szCs w:val="20"/>
          <w:lang w:val="es-CR"/>
        </w:rPr>
        <w:t xml:space="preserve"> para </w:t>
      </w:r>
      <w:r w:rsidRPr="002B4E6D">
        <w:rPr>
          <w:rFonts w:eastAsiaTheme="minorHAnsi" w:cs="Verdana"/>
          <w:color w:val="000000"/>
          <w:szCs w:val="20"/>
          <w:lang w:val="es-CR"/>
        </w:rPr>
        <w:t>reducir</w:t>
      </w:r>
      <w:r w:rsidR="00FD231B" w:rsidRPr="002B4E6D">
        <w:rPr>
          <w:rFonts w:eastAsiaTheme="minorHAnsi" w:cs="Verdana"/>
          <w:color w:val="000000"/>
          <w:szCs w:val="20"/>
          <w:lang w:val="es-CR"/>
        </w:rPr>
        <w:t xml:space="preserve"> </w:t>
      </w:r>
      <w:r w:rsidRPr="002B4E6D">
        <w:rPr>
          <w:rFonts w:eastAsiaTheme="minorHAnsi" w:cs="Verdana"/>
          <w:color w:val="000000"/>
          <w:szCs w:val="20"/>
          <w:lang w:val="es-CR"/>
        </w:rPr>
        <w:t>el</w:t>
      </w:r>
      <w:r w:rsidR="00FD231B" w:rsidRPr="002B4E6D">
        <w:rPr>
          <w:rFonts w:eastAsiaTheme="minorHAnsi" w:cs="Verdana"/>
          <w:color w:val="000000"/>
          <w:szCs w:val="20"/>
          <w:lang w:val="es-CR"/>
        </w:rPr>
        <w:t xml:space="preserve"> </w:t>
      </w:r>
      <w:r w:rsidR="003B2500" w:rsidRPr="002B4E6D">
        <w:rPr>
          <w:rFonts w:eastAsiaTheme="minorHAnsi" w:cs="Verdana"/>
          <w:color w:val="000000"/>
          <w:szCs w:val="20"/>
          <w:lang w:val="es-CR"/>
        </w:rPr>
        <w:t xml:space="preserve">hacinamiento </w:t>
      </w:r>
      <w:r w:rsidRPr="002B4E6D">
        <w:rPr>
          <w:rFonts w:eastAsiaTheme="minorHAnsi" w:cs="Verdana"/>
          <w:color w:val="000000"/>
          <w:szCs w:val="20"/>
          <w:lang w:val="es-CR"/>
        </w:rPr>
        <w:t xml:space="preserve">y </w:t>
      </w:r>
      <w:r w:rsidR="00945D4E" w:rsidRPr="002B4E6D">
        <w:rPr>
          <w:rFonts w:eastAsiaTheme="minorHAnsi" w:cs="Verdana"/>
          <w:color w:val="000000"/>
          <w:szCs w:val="20"/>
          <w:lang w:val="es-CR"/>
        </w:rPr>
        <w:t xml:space="preserve">superpoblación </w:t>
      </w:r>
      <w:r w:rsidR="00FD231B" w:rsidRPr="002B4E6D">
        <w:rPr>
          <w:rFonts w:eastAsiaTheme="minorHAnsi" w:cs="Verdana"/>
          <w:color w:val="000000"/>
          <w:szCs w:val="20"/>
          <w:lang w:val="es-CR"/>
        </w:rPr>
        <w:t xml:space="preserve">existentes </w:t>
      </w:r>
      <w:r w:rsidRPr="002B4E6D">
        <w:rPr>
          <w:rFonts w:eastAsiaTheme="minorHAnsi" w:cs="Verdana"/>
          <w:color w:val="000000"/>
          <w:szCs w:val="20"/>
          <w:lang w:val="es-CR"/>
        </w:rPr>
        <w:t>en el</w:t>
      </w:r>
      <w:r w:rsidR="00356FEE" w:rsidRPr="002B4E6D">
        <w:rPr>
          <w:rFonts w:eastAsiaTheme="minorHAnsi" w:cs="Verdana"/>
          <w:color w:val="000000"/>
          <w:szCs w:val="20"/>
          <w:lang w:val="es-CR"/>
        </w:rPr>
        <w:t xml:space="preserve"> Instituto”, </w:t>
      </w:r>
      <w:r w:rsidRPr="002B4E6D">
        <w:rPr>
          <w:rFonts w:eastAsiaTheme="minorHAnsi" w:cs="Verdana"/>
          <w:color w:val="000000"/>
          <w:szCs w:val="20"/>
          <w:lang w:val="es-CR"/>
        </w:rPr>
        <w:t>no</w:t>
      </w:r>
      <w:r w:rsidR="00356FEE" w:rsidRPr="002B4E6D">
        <w:rPr>
          <w:rFonts w:eastAsiaTheme="minorHAnsi" w:cs="Verdana"/>
          <w:color w:val="000000"/>
          <w:szCs w:val="20"/>
          <w:lang w:val="es-CR"/>
        </w:rPr>
        <w:t xml:space="preserve"> </w:t>
      </w:r>
      <w:r w:rsidRPr="002B4E6D">
        <w:rPr>
          <w:rFonts w:eastAsiaTheme="minorHAnsi" w:cs="Verdana"/>
          <w:color w:val="000000"/>
          <w:szCs w:val="20"/>
          <w:lang w:val="es-CR"/>
        </w:rPr>
        <w:t>pudiendo</w:t>
      </w:r>
      <w:r w:rsidR="00356FEE" w:rsidRPr="002B4E6D">
        <w:rPr>
          <w:rFonts w:eastAsiaTheme="minorHAnsi" w:cs="Verdana"/>
          <w:color w:val="000000"/>
          <w:szCs w:val="20"/>
          <w:lang w:val="es-CR"/>
        </w:rPr>
        <w:t xml:space="preserve"> “alegar </w:t>
      </w:r>
      <w:r w:rsidRPr="002B4E6D">
        <w:rPr>
          <w:rFonts w:eastAsiaTheme="minorHAnsi" w:cs="Verdana"/>
          <w:color w:val="000000"/>
          <w:szCs w:val="20"/>
          <w:lang w:val="es-CR"/>
        </w:rPr>
        <w:t>dificultades</w:t>
      </w:r>
      <w:r w:rsidR="00356FEE" w:rsidRPr="002B4E6D">
        <w:rPr>
          <w:rFonts w:eastAsiaTheme="minorHAnsi" w:cs="Verdana"/>
          <w:color w:val="000000"/>
          <w:szCs w:val="20"/>
          <w:lang w:val="es-CR"/>
        </w:rPr>
        <w:t xml:space="preserve"> </w:t>
      </w:r>
      <w:r w:rsidRPr="002B4E6D">
        <w:rPr>
          <w:rFonts w:eastAsiaTheme="minorHAnsi" w:cs="Verdana"/>
          <w:color w:val="000000"/>
          <w:szCs w:val="20"/>
          <w:lang w:val="es-CR"/>
        </w:rPr>
        <w:t>financieras</w:t>
      </w:r>
      <w:r w:rsidR="00356FEE" w:rsidRPr="002B4E6D">
        <w:rPr>
          <w:rFonts w:eastAsiaTheme="minorHAnsi" w:cs="Verdana"/>
          <w:color w:val="000000"/>
          <w:szCs w:val="20"/>
          <w:lang w:val="es-CR"/>
        </w:rPr>
        <w:t xml:space="preserve"> para justificar </w:t>
      </w:r>
      <w:r w:rsidRPr="002B4E6D">
        <w:rPr>
          <w:rFonts w:eastAsiaTheme="minorHAnsi" w:cs="Verdana"/>
          <w:color w:val="000000"/>
          <w:szCs w:val="20"/>
          <w:lang w:val="es-CR"/>
        </w:rPr>
        <w:t>el</w:t>
      </w:r>
      <w:r w:rsidR="00356FEE" w:rsidRPr="002B4E6D">
        <w:rPr>
          <w:rFonts w:eastAsiaTheme="minorHAnsi" w:cs="Verdana"/>
          <w:color w:val="000000"/>
          <w:szCs w:val="20"/>
          <w:lang w:val="es-CR"/>
        </w:rPr>
        <w:t xml:space="preserve"> </w:t>
      </w:r>
      <w:r w:rsidRPr="002B4E6D">
        <w:rPr>
          <w:rFonts w:eastAsiaTheme="minorHAnsi" w:cs="Verdana"/>
          <w:color w:val="000000"/>
          <w:szCs w:val="20"/>
          <w:lang w:val="es-CR"/>
        </w:rPr>
        <w:t>incumplimiento</w:t>
      </w:r>
      <w:r w:rsidR="00356FEE" w:rsidRPr="002B4E6D">
        <w:rPr>
          <w:rFonts w:eastAsiaTheme="minorHAnsi" w:cs="Verdana"/>
          <w:color w:val="000000"/>
          <w:szCs w:val="20"/>
          <w:lang w:val="es-CR"/>
        </w:rPr>
        <w:t xml:space="preserve"> de </w:t>
      </w:r>
      <w:r w:rsidRPr="002B4E6D">
        <w:rPr>
          <w:rFonts w:eastAsiaTheme="minorHAnsi" w:cs="Verdana"/>
          <w:color w:val="000000"/>
          <w:szCs w:val="20"/>
          <w:lang w:val="es-CR"/>
        </w:rPr>
        <w:t>sus</w:t>
      </w:r>
      <w:r w:rsidR="00356FEE" w:rsidRPr="002B4E6D">
        <w:rPr>
          <w:rFonts w:eastAsiaTheme="minorHAnsi" w:cs="Verdana"/>
          <w:color w:val="000000"/>
          <w:szCs w:val="20"/>
          <w:lang w:val="es-CR"/>
        </w:rPr>
        <w:t xml:space="preserve"> </w:t>
      </w:r>
      <w:r w:rsidRPr="002B4E6D">
        <w:rPr>
          <w:rFonts w:eastAsiaTheme="minorHAnsi" w:cs="Verdana"/>
          <w:color w:val="000000"/>
          <w:szCs w:val="20"/>
          <w:lang w:val="es-CR"/>
        </w:rPr>
        <w:t>obligaciones</w:t>
      </w:r>
      <w:r w:rsidR="00356FEE" w:rsidRPr="002B4E6D">
        <w:rPr>
          <w:rFonts w:eastAsiaTheme="minorHAnsi" w:cs="Verdana"/>
          <w:color w:val="000000"/>
          <w:szCs w:val="20"/>
          <w:lang w:val="es-CR"/>
        </w:rPr>
        <w:t xml:space="preserve"> </w:t>
      </w:r>
      <w:r w:rsidRPr="002B4E6D">
        <w:rPr>
          <w:rFonts w:eastAsiaTheme="minorHAnsi" w:cs="Verdana"/>
          <w:color w:val="000000"/>
          <w:szCs w:val="20"/>
          <w:lang w:val="es-CR"/>
        </w:rPr>
        <w:t>internacionales</w:t>
      </w:r>
      <w:r w:rsidR="00356FEE" w:rsidRPr="002B4E6D">
        <w:rPr>
          <w:rFonts w:eastAsiaTheme="minorHAnsi" w:cs="Verdana"/>
          <w:color w:val="000000"/>
          <w:szCs w:val="20"/>
          <w:lang w:val="es-CR"/>
        </w:rPr>
        <w:t>”.</w:t>
      </w:r>
      <w:r w:rsidR="00356FEE" w:rsidRPr="002B4E6D">
        <w:rPr>
          <w:rStyle w:val="FootnoteReference"/>
          <w:lang w:val="es-CR"/>
        </w:rPr>
        <w:footnoteReference w:id="6"/>
      </w:r>
      <w:r w:rsidR="00356FEE" w:rsidRPr="002B4E6D">
        <w:rPr>
          <w:lang w:val="es-CR"/>
        </w:rPr>
        <w:t xml:space="preserve"> Adicionalmente</w:t>
      </w:r>
      <w:r w:rsidR="00FD7BE5" w:rsidRPr="002B4E6D">
        <w:rPr>
          <w:lang w:val="es-CR"/>
        </w:rPr>
        <w:t xml:space="preserve">, </w:t>
      </w:r>
      <w:r w:rsidRPr="002B4E6D">
        <w:rPr>
          <w:lang w:val="es-CR"/>
        </w:rPr>
        <w:t>el</w:t>
      </w:r>
      <w:r w:rsidR="00CE4104" w:rsidRPr="002B4E6D">
        <w:rPr>
          <w:lang w:val="es-CR"/>
        </w:rPr>
        <w:t xml:space="preserve"> Tribunal</w:t>
      </w:r>
      <w:r w:rsidR="004F3D93" w:rsidRPr="002B4E6D">
        <w:rPr>
          <w:lang w:val="es-CR"/>
        </w:rPr>
        <w:t xml:space="preserve"> </w:t>
      </w:r>
      <w:r w:rsidRPr="002B4E6D">
        <w:rPr>
          <w:lang w:val="es-CR"/>
        </w:rPr>
        <w:t>consideró</w:t>
      </w:r>
      <w:r w:rsidR="00FD7BE5" w:rsidRPr="002B4E6D">
        <w:rPr>
          <w:lang w:val="es-CR"/>
        </w:rPr>
        <w:t xml:space="preserve"> </w:t>
      </w:r>
      <w:r w:rsidRPr="002B4E6D">
        <w:rPr>
          <w:lang w:val="es-CR"/>
        </w:rPr>
        <w:t>necesario</w:t>
      </w:r>
      <w:r w:rsidR="00FD7BE5" w:rsidRPr="002B4E6D">
        <w:rPr>
          <w:lang w:val="es-CR"/>
        </w:rPr>
        <w:t xml:space="preserve"> que </w:t>
      </w:r>
      <w:r w:rsidRPr="002B4E6D">
        <w:rPr>
          <w:lang w:val="es-CR"/>
        </w:rPr>
        <w:t>el</w:t>
      </w:r>
      <w:r w:rsidR="00FD7BE5" w:rsidRPr="002B4E6D">
        <w:rPr>
          <w:lang w:val="es-CR"/>
        </w:rPr>
        <w:t xml:space="preserve"> Estado </w:t>
      </w:r>
      <w:r w:rsidRPr="002B4E6D">
        <w:rPr>
          <w:lang w:val="es-CR"/>
        </w:rPr>
        <w:t>elaborase</w:t>
      </w:r>
      <w:r w:rsidR="00FD7BE5" w:rsidRPr="002B4E6D">
        <w:rPr>
          <w:lang w:val="es-CR"/>
        </w:rPr>
        <w:t xml:space="preserve"> </w:t>
      </w:r>
      <w:r w:rsidRPr="002B4E6D">
        <w:rPr>
          <w:rFonts w:eastAsiaTheme="minorHAnsi" w:cs="Verdana"/>
          <w:color w:val="000000"/>
          <w:szCs w:val="20"/>
          <w:lang w:val="es-CR"/>
        </w:rPr>
        <w:t>un</w:t>
      </w:r>
      <w:r w:rsidR="00FD7BE5" w:rsidRPr="002B4E6D">
        <w:rPr>
          <w:rFonts w:eastAsiaTheme="minorHAnsi" w:cs="Verdana"/>
          <w:color w:val="000000"/>
          <w:szCs w:val="20"/>
          <w:lang w:val="es-CR"/>
        </w:rPr>
        <w:t xml:space="preserve"> </w:t>
      </w:r>
      <w:r w:rsidR="00FD7BE5" w:rsidRPr="002B4E6D">
        <w:rPr>
          <w:rFonts w:eastAsiaTheme="minorHAnsi" w:cs="Verdana"/>
          <w:bCs/>
          <w:color w:val="000000"/>
          <w:szCs w:val="20"/>
          <w:lang w:val="es-CR"/>
        </w:rPr>
        <w:t xml:space="preserve">Diagnóstico Técnico </w:t>
      </w:r>
      <w:r w:rsidRPr="002B4E6D">
        <w:rPr>
          <w:rFonts w:eastAsiaTheme="minorHAnsi" w:cs="Verdana"/>
          <w:color w:val="000000"/>
          <w:szCs w:val="20"/>
          <w:lang w:val="es-CR"/>
        </w:rPr>
        <w:t>y</w:t>
      </w:r>
      <w:r w:rsidR="00FD7BE5" w:rsidRPr="002B4E6D">
        <w:rPr>
          <w:rFonts w:eastAsiaTheme="minorHAnsi" w:cs="Verdana"/>
          <w:color w:val="000000"/>
          <w:szCs w:val="20"/>
          <w:lang w:val="es-CR"/>
        </w:rPr>
        <w:t xml:space="preserve">, </w:t>
      </w:r>
      <w:r w:rsidRPr="002B4E6D">
        <w:rPr>
          <w:rFonts w:eastAsiaTheme="minorHAnsi" w:cs="Verdana"/>
          <w:color w:val="000000"/>
          <w:szCs w:val="20"/>
          <w:lang w:val="es-CR"/>
        </w:rPr>
        <w:t>con</w:t>
      </w:r>
      <w:r w:rsidR="00FD7BE5" w:rsidRPr="002B4E6D">
        <w:rPr>
          <w:rFonts w:eastAsiaTheme="minorHAnsi" w:cs="Verdana"/>
          <w:color w:val="000000"/>
          <w:szCs w:val="20"/>
          <w:lang w:val="es-CR"/>
        </w:rPr>
        <w:t xml:space="preserve"> base </w:t>
      </w:r>
      <w:r w:rsidRPr="002B4E6D">
        <w:rPr>
          <w:rFonts w:eastAsiaTheme="minorHAnsi" w:cs="Verdana"/>
          <w:color w:val="000000"/>
          <w:szCs w:val="20"/>
          <w:lang w:val="es-CR"/>
        </w:rPr>
        <w:t>en los</w:t>
      </w:r>
      <w:r w:rsidR="00FD7BE5" w:rsidRPr="002B4E6D">
        <w:rPr>
          <w:rFonts w:eastAsiaTheme="minorHAnsi" w:cs="Verdana"/>
          <w:color w:val="000000"/>
          <w:szCs w:val="20"/>
          <w:lang w:val="es-CR"/>
        </w:rPr>
        <w:t xml:space="preserve"> resul</w:t>
      </w:r>
      <w:r w:rsidR="00135F9B" w:rsidRPr="002B4E6D">
        <w:rPr>
          <w:rFonts w:eastAsiaTheme="minorHAnsi" w:cs="Verdana"/>
          <w:color w:val="000000"/>
          <w:szCs w:val="20"/>
          <w:lang w:val="es-CR"/>
        </w:rPr>
        <w:t xml:space="preserve">tados </w:t>
      </w:r>
      <w:r w:rsidRPr="002B4E6D">
        <w:rPr>
          <w:rFonts w:eastAsiaTheme="minorHAnsi" w:cs="Verdana"/>
          <w:color w:val="000000"/>
          <w:szCs w:val="20"/>
          <w:lang w:val="es-CR"/>
        </w:rPr>
        <w:t>del</w:t>
      </w:r>
      <w:r w:rsidR="00ED1089" w:rsidRPr="002B4E6D">
        <w:rPr>
          <w:rFonts w:eastAsiaTheme="minorHAnsi" w:cs="Verdana"/>
          <w:color w:val="000000"/>
          <w:szCs w:val="20"/>
          <w:lang w:val="es-CR"/>
        </w:rPr>
        <w:t xml:space="preserve"> D</w:t>
      </w:r>
      <w:r w:rsidR="00135F9B" w:rsidRPr="002B4E6D">
        <w:rPr>
          <w:rFonts w:eastAsiaTheme="minorHAnsi" w:cs="Verdana"/>
          <w:color w:val="000000"/>
          <w:szCs w:val="20"/>
          <w:lang w:val="es-CR"/>
        </w:rPr>
        <w:t>iagnóstico, “</w:t>
      </w:r>
      <w:r w:rsidRPr="002B4E6D">
        <w:rPr>
          <w:rFonts w:eastAsiaTheme="minorHAnsi" w:cs="Verdana"/>
          <w:color w:val="000000"/>
          <w:szCs w:val="20"/>
          <w:lang w:val="es-CR"/>
        </w:rPr>
        <w:t>un</w:t>
      </w:r>
      <w:r w:rsidR="00FD7BE5" w:rsidRPr="002B4E6D">
        <w:rPr>
          <w:rFonts w:eastAsiaTheme="minorHAnsi" w:cs="Verdana"/>
          <w:color w:val="000000"/>
          <w:szCs w:val="20"/>
          <w:lang w:val="es-CR"/>
        </w:rPr>
        <w:t xml:space="preserve"> </w:t>
      </w:r>
      <w:r w:rsidR="00FD7BE5" w:rsidRPr="002B4E6D">
        <w:rPr>
          <w:rFonts w:eastAsiaTheme="minorHAnsi" w:cs="Verdana"/>
          <w:bCs/>
          <w:color w:val="000000"/>
          <w:szCs w:val="20"/>
          <w:lang w:val="es-CR"/>
        </w:rPr>
        <w:t xml:space="preserve">Plan de </w:t>
      </w:r>
      <w:r w:rsidRPr="002B4E6D">
        <w:rPr>
          <w:rFonts w:eastAsiaTheme="minorHAnsi" w:cs="Verdana"/>
          <w:bCs/>
          <w:color w:val="000000"/>
          <w:szCs w:val="20"/>
          <w:lang w:val="es-CR"/>
        </w:rPr>
        <w:t>Contingencia</w:t>
      </w:r>
      <w:r w:rsidR="00FD7BE5" w:rsidRPr="002B4E6D">
        <w:rPr>
          <w:rFonts w:eastAsiaTheme="minorHAnsi" w:cs="Verdana"/>
          <w:bCs/>
          <w:color w:val="000000"/>
          <w:szCs w:val="20"/>
          <w:lang w:val="es-CR"/>
        </w:rPr>
        <w:t xml:space="preserve"> </w:t>
      </w:r>
      <w:r w:rsidR="00FD7BE5" w:rsidRPr="002B4E6D">
        <w:rPr>
          <w:rFonts w:eastAsiaTheme="minorHAnsi" w:cs="Verdana"/>
          <w:color w:val="000000"/>
          <w:szCs w:val="20"/>
          <w:lang w:val="es-CR"/>
        </w:rPr>
        <w:t xml:space="preserve">para </w:t>
      </w:r>
      <w:r w:rsidRPr="002B4E6D">
        <w:rPr>
          <w:rFonts w:eastAsiaTheme="minorHAnsi" w:cs="Verdana"/>
          <w:color w:val="000000"/>
          <w:szCs w:val="20"/>
          <w:lang w:val="es-CR"/>
        </w:rPr>
        <w:t>l</w:t>
      </w:r>
      <w:r w:rsidR="00FD7BE5" w:rsidRPr="002B4E6D">
        <w:rPr>
          <w:rFonts w:eastAsiaTheme="minorHAnsi" w:cs="Verdana"/>
          <w:color w:val="000000"/>
          <w:szCs w:val="20"/>
          <w:lang w:val="es-CR"/>
        </w:rPr>
        <w:t xml:space="preserve">a reforma </w:t>
      </w:r>
      <w:r w:rsidRPr="002B4E6D">
        <w:rPr>
          <w:rFonts w:eastAsiaTheme="minorHAnsi" w:cs="Verdana"/>
          <w:color w:val="000000"/>
          <w:szCs w:val="20"/>
          <w:lang w:val="es-CR"/>
        </w:rPr>
        <w:t>estructural</w:t>
      </w:r>
      <w:r w:rsidR="00FD7BE5" w:rsidRPr="002B4E6D">
        <w:rPr>
          <w:rFonts w:eastAsiaTheme="minorHAnsi" w:cs="Verdana"/>
          <w:color w:val="000000"/>
          <w:szCs w:val="20"/>
          <w:lang w:val="es-CR"/>
        </w:rPr>
        <w:t xml:space="preserve"> </w:t>
      </w:r>
      <w:r w:rsidRPr="002B4E6D">
        <w:rPr>
          <w:rFonts w:eastAsiaTheme="minorHAnsi" w:cs="Verdana"/>
          <w:color w:val="000000"/>
          <w:szCs w:val="20"/>
          <w:lang w:val="es-CR"/>
        </w:rPr>
        <w:t>y</w:t>
      </w:r>
      <w:r w:rsidR="00FD7BE5" w:rsidRPr="002B4E6D">
        <w:rPr>
          <w:rFonts w:eastAsiaTheme="minorHAnsi" w:cs="Verdana"/>
          <w:color w:val="000000"/>
          <w:szCs w:val="20"/>
          <w:lang w:val="es-CR"/>
        </w:rPr>
        <w:t xml:space="preserve"> de </w:t>
      </w:r>
      <w:r w:rsidRPr="002B4E6D">
        <w:rPr>
          <w:rFonts w:eastAsiaTheme="minorHAnsi" w:cs="Verdana"/>
          <w:color w:val="000000"/>
          <w:szCs w:val="20"/>
          <w:lang w:val="es-CR"/>
        </w:rPr>
        <w:t>reducción</w:t>
      </w:r>
      <w:r w:rsidR="00FD7BE5" w:rsidRPr="002B4E6D">
        <w:rPr>
          <w:rFonts w:eastAsiaTheme="minorHAnsi" w:cs="Verdana"/>
          <w:color w:val="000000"/>
          <w:szCs w:val="20"/>
          <w:lang w:val="es-CR"/>
        </w:rPr>
        <w:t xml:space="preserve"> </w:t>
      </w:r>
      <w:r w:rsidRPr="002B4E6D">
        <w:rPr>
          <w:rFonts w:eastAsiaTheme="minorHAnsi" w:cs="Verdana"/>
          <w:color w:val="000000"/>
          <w:szCs w:val="20"/>
          <w:lang w:val="es-CR"/>
        </w:rPr>
        <w:t>de la</w:t>
      </w:r>
      <w:r w:rsidR="00FD7BE5" w:rsidRPr="002B4E6D">
        <w:rPr>
          <w:rFonts w:eastAsiaTheme="minorHAnsi" w:cs="Verdana"/>
          <w:color w:val="000000"/>
          <w:szCs w:val="20"/>
          <w:lang w:val="es-CR"/>
        </w:rPr>
        <w:t xml:space="preserve"> </w:t>
      </w:r>
      <w:r w:rsidR="00945D4E" w:rsidRPr="002B4E6D">
        <w:rPr>
          <w:rFonts w:eastAsiaTheme="minorHAnsi" w:cs="Verdana"/>
          <w:color w:val="000000"/>
          <w:szCs w:val="20"/>
          <w:lang w:val="es-CR"/>
        </w:rPr>
        <w:t>superpoblación</w:t>
      </w:r>
      <w:r w:rsidR="00FD7BE5" w:rsidRPr="002B4E6D">
        <w:rPr>
          <w:rFonts w:eastAsiaTheme="minorHAnsi" w:cs="Verdana"/>
          <w:color w:val="000000"/>
          <w:szCs w:val="20"/>
          <w:lang w:val="es-CR"/>
        </w:rPr>
        <w:t xml:space="preserve"> </w:t>
      </w:r>
      <w:r w:rsidRPr="002B4E6D">
        <w:rPr>
          <w:rFonts w:eastAsiaTheme="minorHAnsi" w:cs="Verdana"/>
          <w:color w:val="000000"/>
          <w:szCs w:val="20"/>
          <w:lang w:val="es-CR"/>
        </w:rPr>
        <w:t>y</w:t>
      </w:r>
      <w:r w:rsidR="00FD7BE5" w:rsidRPr="002B4E6D">
        <w:rPr>
          <w:rFonts w:eastAsiaTheme="minorHAnsi" w:cs="Verdana"/>
          <w:color w:val="000000"/>
          <w:szCs w:val="20"/>
          <w:lang w:val="es-CR"/>
        </w:rPr>
        <w:t xml:space="preserve"> </w:t>
      </w:r>
      <w:r w:rsidR="00945D4E" w:rsidRPr="002B4E6D">
        <w:rPr>
          <w:rFonts w:eastAsiaTheme="minorHAnsi" w:cs="Verdana"/>
          <w:color w:val="000000"/>
          <w:szCs w:val="20"/>
          <w:lang w:val="es-CR"/>
        </w:rPr>
        <w:t xml:space="preserve">hacinamiento </w:t>
      </w:r>
      <w:r w:rsidRPr="002B4E6D">
        <w:rPr>
          <w:rFonts w:eastAsiaTheme="minorHAnsi" w:cs="Verdana"/>
          <w:color w:val="000000"/>
          <w:szCs w:val="20"/>
          <w:lang w:val="es-CR"/>
        </w:rPr>
        <w:t>en el</w:t>
      </w:r>
      <w:r w:rsidR="00FD7BE5" w:rsidRPr="002B4E6D">
        <w:rPr>
          <w:rFonts w:eastAsiaTheme="minorHAnsi" w:cs="Verdana"/>
          <w:color w:val="000000"/>
          <w:szCs w:val="20"/>
          <w:lang w:val="es-CR"/>
        </w:rPr>
        <w:t xml:space="preserve"> Instituto Penal Plácido de </w:t>
      </w:r>
      <w:proofErr w:type="spellStart"/>
      <w:r w:rsidR="00FD7BE5" w:rsidRPr="002B4E6D">
        <w:rPr>
          <w:rFonts w:eastAsiaTheme="minorHAnsi" w:cs="Verdana"/>
          <w:color w:val="000000"/>
          <w:szCs w:val="20"/>
          <w:lang w:val="es-CR"/>
        </w:rPr>
        <w:t>Sá</w:t>
      </w:r>
      <w:proofErr w:type="spellEnd"/>
      <w:r w:rsidR="00FD7BE5" w:rsidRPr="002B4E6D">
        <w:rPr>
          <w:rFonts w:eastAsiaTheme="minorHAnsi" w:cs="Verdana"/>
          <w:color w:val="000000"/>
          <w:szCs w:val="20"/>
          <w:lang w:val="es-CR"/>
        </w:rPr>
        <w:t xml:space="preserve"> Carvalho”.</w:t>
      </w:r>
      <w:r w:rsidR="00FD7BE5" w:rsidRPr="002B4E6D">
        <w:rPr>
          <w:rStyle w:val="FootnoteReference"/>
          <w:lang w:val="es-CR"/>
        </w:rPr>
        <w:footnoteReference w:id="7"/>
      </w:r>
    </w:p>
    <w:p w14:paraId="209D8BA1" w14:textId="77777777" w:rsidR="00FD7BE5" w:rsidRPr="002B4E6D" w:rsidRDefault="00FD7BE5" w:rsidP="006D31D9">
      <w:pPr>
        <w:pStyle w:val="ListParagraph"/>
        <w:snapToGrid w:val="0"/>
        <w:ind w:left="0"/>
        <w:contextualSpacing w:val="0"/>
        <w:rPr>
          <w:szCs w:val="20"/>
          <w:lang w:val="es-CR"/>
        </w:rPr>
      </w:pPr>
    </w:p>
    <w:p w14:paraId="12221C62" w14:textId="3C5F44BE" w:rsidR="00B07451" w:rsidRPr="002B4E6D" w:rsidRDefault="009E16F7" w:rsidP="00195B8F">
      <w:pPr>
        <w:pStyle w:val="ListParagraph"/>
        <w:numPr>
          <w:ilvl w:val="0"/>
          <w:numId w:val="20"/>
        </w:numPr>
        <w:snapToGrid w:val="0"/>
        <w:ind w:left="0" w:firstLine="0"/>
        <w:contextualSpacing w:val="0"/>
        <w:rPr>
          <w:szCs w:val="20"/>
          <w:lang w:val="es-CR"/>
        </w:rPr>
      </w:pPr>
      <w:r w:rsidRPr="002B4E6D">
        <w:rPr>
          <w:lang w:val="es-CR"/>
        </w:rPr>
        <w:t>El</w:t>
      </w:r>
      <w:r w:rsidR="00F36BE9" w:rsidRPr="002B4E6D">
        <w:rPr>
          <w:lang w:val="es-CR"/>
        </w:rPr>
        <w:t xml:space="preserve"> </w:t>
      </w:r>
      <w:r w:rsidR="00F36BE9" w:rsidRPr="002B4E6D">
        <w:rPr>
          <w:b/>
          <w:i/>
          <w:lang w:val="es-CR"/>
        </w:rPr>
        <w:t>E</w:t>
      </w:r>
      <w:r w:rsidR="00096F73" w:rsidRPr="002B4E6D">
        <w:rPr>
          <w:b/>
          <w:i/>
          <w:lang w:val="es-CR"/>
        </w:rPr>
        <w:t>stado</w:t>
      </w:r>
      <w:r w:rsidR="00096F73" w:rsidRPr="002B4E6D">
        <w:rPr>
          <w:lang w:val="es-CR"/>
        </w:rPr>
        <w:t xml:space="preserve"> </w:t>
      </w:r>
      <w:r w:rsidRPr="002B4E6D">
        <w:rPr>
          <w:lang w:val="es-CR"/>
        </w:rPr>
        <w:t>argumentó</w:t>
      </w:r>
      <w:r w:rsidR="006106C5" w:rsidRPr="002B4E6D">
        <w:rPr>
          <w:lang w:val="es-CR"/>
        </w:rPr>
        <w:t xml:space="preserve"> que </w:t>
      </w:r>
      <w:r w:rsidRPr="002B4E6D">
        <w:rPr>
          <w:lang w:val="es-CR"/>
        </w:rPr>
        <w:t>l</w:t>
      </w:r>
      <w:r w:rsidR="006106C5" w:rsidRPr="002B4E6D">
        <w:rPr>
          <w:lang w:val="es-CR"/>
        </w:rPr>
        <w:t xml:space="preserve">a </w:t>
      </w:r>
      <w:r w:rsidR="000602C8" w:rsidRPr="002B4E6D">
        <w:rPr>
          <w:lang w:val="es-CR"/>
        </w:rPr>
        <w:t>situa</w:t>
      </w:r>
      <w:r w:rsidR="00AA1A37" w:rsidRPr="002B4E6D">
        <w:rPr>
          <w:lang w:val="es-CR"/>
        </w:rPr>
        <w:t>ción</w:t>
      </w:r>
      <w:r w:rsidR="000602C8" w:rsidRPr="002B4E6D">
        <w:rPr>
          <w:lang w:val="es-CR"/>
        </w:rPr>
        <w:t xml:space="preserve"> crítica de </w:t>
      </w:r>
      <w:r w:rsidR="00945D4E" w:rsidRPr="002B4E6D">
        <w:rPr>
          <w:lang w:val="es-CR"/>
        </w:rPr>
        <w:t xml:space="preserve">hacinamiento </w:t>
      </w:r>
      <w:r w:rsidRPr="002B4E6D">
        <w:rPr>
          <w:lang w:val="es-CR"/>
        </w:rPr>
        <w:t xml:space="preserve">en el </w:t>
      </w:r>
      <w:r w:rsidR="000602C8" w:rsidRPr="002B4E6D">
        <w:rPr>
          <w:lang w:val="es-CR"/>
        </w:rPr>
        <w:t>IPPSC</w:t>
      </w:r>
      <w:r w:rsidR="00F36BE9" w:rsidRPr="002B4E6D">
        <w:rPr>
          <w:lang w:val="es-CR"/>
        </w:rPr>
        <w:t xml:space="preserve"> </w:t>
      </w:r>
      <w:r w:rsidRPr="002B4E6D">
        <w:rPr>
          <w:lang w:val="es-CR"/>
        </w:rPr>
        <w:t>no</w:t>
      </w:r>
      <w:r w:rsidR="00F36BE9" w:rsidRPr="002B4E6D">
        <w:rPr>
          <w:lang w:val="es-CR"/>
        </w:rPr>
        <w:t xml:space="preserve"> </w:t>
      </w:r>
      <w:r w:rsidRPr="002B4E6D">
        <w:rPr>
          <w:lang w:val="es-CR"/>
        </w:rPr>
        <w:t>es</w:t>
      </w:r>
      <w:r w:rsidR="000A7095" w:rsidRPr="002B4E6D">
        <w:rPr>
          <w:lang w:val="es-CR"/>
        </w:rPr>
        <w:t xml:space="preserve"> </w:t>
      </w:r>
      <w:r w:rsidRPr="002B4E6D">
        <w:rPr>
          <w:lang w:val="es-CR"/>
        </w:rPr>
        <w:t>un</w:t>
      </w:r>
      <w:r w:rsidR="00AD241B" w:rsidRPr="002B4E6D">
        <w:rPr>
          <w:lang w:val="es-CR"/>
        </w:rPr>
        <w:t xml:space="preserve"> </w:t>
      </w:r>
      <w:r w:rsidR="00F36BE9" w:rsidRPr="002B4E6D">
        <w:rPr>
          <w:lang w:val="es-CR"/>
        </w:rPr>
        <w:t xml:space="preserve">problema exclusivo </w:t>
      </w:r>
      <w:r w:rsidRPr="002B4E6D">
        <w:rPr>
          <w:lang w:val="es-CR"/>
        </w:rPr>
        <w:t>de es</w:t>
      </w:r>
      <w:r w:rsidR="00236915" w:rsidRPr="002B4E6D">
        <w:rPr>
          <w:lang w:val="es-CR"/>
        </w:rPr>
        <w:t>t</w:t>
      </w:r>
      <w:r w:rsidRPr="002B4E6D">
        <w:rPr>
          <w:lang w:val="es-CR"/>
        </w:rPr>
        <w:t>a</w:t>
      </w:r>
      <w:r w:rsidR="000602C8" w:rsidRPr="002B4E6D">
        <w:rPr>
          <w:lang w:val="es-CR"/>
        </w:rPr>
        <w:t xml:space="preserve"> </w:t>
      </w:r>
      <w:r w:rsidRPr="002B4E6D">
        <w:rPr>
          <w:lang w:val="es-CR"/>
        </w:rPr>
        <w:t>unidad</w:t>
      </w:r>
      <w:r w:rsidR="000602C8" w:rsidRPr="002B4E6D">
        <w:rPr>
          <w:lang w:val="es-CR"/>
        </w:rPr>
        <w:t>,</w:t>
      </w:r>
      <w:r w:rsidR="009D2FF1" w:rsidRPr="002B4E6D">
        <w:rPr>
          <w:lang w:val="es-CR"/>
        </w:rPr>
        <w:t xml:space="preserve"> </w:t>
      </w:r>
      <w:r w:rsidR="00236915" w:rsidRPr="002B4E6D">
        <w:rPr>
          <w:lang w:val="es-CR"/>
        </w:rPr>
        <w:t>sino</w:t>
      </w:r>
      <w:r w:rsidR="00766C80" w:rsidRPr="002B4E6D">
        <w:rPr>
          <w:lang w:val="es-CR"/>
        </w:rPr>
        <w:t xml:space="preserve"> que,</w:t>
      </w:r>
      <w:r w:rsidR="00236915" w:rsidRPr="002B4E6D">
        <w:rPr>
          <w:lang w:val="es-CR"/>
        </w:rPr>
        <w:t xml:space="preserve"> por el contrario, es </w:t>
      </w:r>
      <w:r w:rsidRPr="002B4E6D">
        <w:rPr>
          <w:lang w:val="es-CR"/>
        </w:rPr>
        <w:t>un</w:t>
      </w:r>
      <w:r w:rsidR="00236915" w:rsidRPr="002B4E6D">
        <w:rPr>
          <w:lang w:val="es-CR"/>
        </w:rPr>
        <w:t>a</w:t>
      </w:r>
      <w:r w:rsidR="00AD241B" w:rsidRPr="002B4E6D">
        <w:rPr>
          <w:lang w:val="es-CR"/>
        </w:rPr>
        <w:t xml:space="preserve"> </w:t>
      </w:r>
      <w:r w:rsidR="00236915" w:rsidRPr="002B4E6D">
        <w:rPr>
          <w:lang w:val="es-CR"/>
        </w:rPr>
        <w:t>problemática</w:t>
      </w:r>
      <w:r w:rsidR="000602C8" w:rsidRPr="002B4E6D">
        <w:rPr>
          <w:lang w:val="es-CR"/>
        </w:rPr>
        <w:t xml:space="preserve"> que </w:t>
      </w:r>
      <w:r w:rsidRPr="002B4E6D">
        <w:rPr>
          <w:lang w:val="es-CR"/>
        </w:rPr>
        <w:t>abarca</w:t>
      </w:r>
      <w:r w:rsidR="00AD241B" w:rsidRPr="002B4E6D">
        <w:rPr>
          <w:lang w:val="es-CR"/>
        </w:rPr>
        <w:t xml:space="preserve"> </w:t>
      </w:r>
      <w:r w:rsidR="00F36BE9" w:rsidRPr="002B4E6D">
        <w:rPr>
          <w:lang w:val="es-CR"/>
        </w:rPr>
        <w:t xml:space="preserve">todo </w:t>
      </w:r>
      <w:r w:rsidRPr="002B4E6D">
        <w:rPr>
          <w:lang w:val="es-CR"/>
        </w:rPr>
        <w:t>el</w:t>
      </w:r>
      <w:r w:rsidR="00F36BE9" w:rsidRPr="002B4E6D">
        <w:rPr>
          <w:lang w:val="es-CR"/>
        </w:rPr>
        <w:t xml:space="preserve"> sistema </w:t>
      </w:r>
      <w:r w:rsidRPr="002B4E6D">
        <w:rPr>
          <w:lang w:val="es-CR"/>
        </w:rPr>
        <w:t>penitenciario</w:t>
      </w:r>
      <w:r w:rsidR="005F3E72" w:rsidRPr="002B4E6D">
        <w:rPr>
          <w:lang w:val="es-CR"/>
        </w:rPr>
        <w:t xml:space="preserve"> </w:t>
      </w:r>
      <w:r w:rsidRPr="002B4E6D">
        <w:rPr>
          <w:lang w:val="es-CR"/>
        </w:rPr>
        <w:t>del</w:t>
      </w:r>
      <w:r w:rsidR="00A64FAF" w:rsidRPr="002B4E6D">
        <w:rPr>
          <w:lang w:val="es-CR"/>
        </w:rPr>
        <w:t xml:space="preserve"> </w:t>
      </w:r>
      <w:r w:rsidR="00FB13D8" w:rsidRPr="002B4E6D">
        <w:rPr>
          <w:lang w:val="es-CR"/>
        </w:rPr>
        <w:t xml:space="preserve">estado </w:t>
      </w:r>
      <w:r w:rsidRPr="002B4E6D">
        <w:rPr>
          <w:lang w:val="es-CR"/>
        </w:rPr>
        <w:t>de</w:t>
      </w:r>
      <w:r w:rsidR="00FB13D8" w:rsidRPr="002B4E6D">
        <w:rPr>
          <w:lang w:val="es-CR"/>
        </w:rPr>
        <w:t xml:space="preserve"> </w:t>
      </w:r>
      <w:r w:rsidRPr="002B4E6D">
        <w:rPr>
          <w:lang w:val="es-CR"/>
        </w:rPr>
        <w:t>Rí</w:t>
      </w:r>
      <w:r w:rsidR="00A64FAF" w:rsidRPr="002B4E6D">
        <w:rPr>
          <w:lang w:val="es-CR"/>
        </w:rPr>
        <w:t>o de Janeiro</w:t>
      </w:r>
      <w:r w:rsidR="00F36BE9" w:rsidRPr="002B4E6D">
        <w:rPr>
          <w:lang w:val="es-CR"/>
        </w:rPr>
        <w:t>.</w:t>
      </w:r>
      <w:r w:rsidR="004732A8" w:rsidRPr="002B4E6D">
        <w:rPr>
          <w:lang w:val="es-CR"/>
        </w:rPr>
        <w:t xml:space="preserve"> </w:t>
      </w:r>
      <w:r w:rsidRPr="002B4E6D">
        <w:rPr>
          <w:lang w:val="es-CR"/>
        </w:rPr>
        <w:t>Destacó</w:t>
      </w:r>
      <w:r w:rsidR="00FB13D8" w:rsidRPr="002B4E6D">
        <w:rPr>
          <w:lang w:val="es-CR"/>
        </w:rPr>
        <w:t xml:space="preserve"> </w:t>
      </w:r>
      <w:r w:rsidRPr="002B4E6D">
        <w:rPr>
          <w:lang w:val="es-CR"/>
        </w:rPr>
        <w:t>l</w:t>
      </w:r>
      <w:r w:rsidR="00FB13D8" w:rsidRPr="002B4E6D">
        <w:rPr>
          <w:lang w:val="es-CR"/>
        </w:rPr>
        <w:t xml:space="preserve">a </w:t>
      </w:r>
      <w:r w:rsidRPr="002B4E6D">
        <w:rPr>
          <w:lang w:val="es-CR"/>
        </w:rPr>
        <w:t>creación</w:t>
      </w:r>
      <w:r w:rsidR="00FB13D8" w:rsidRPr="002B4E6D">
        <w:rPr>
          <w:lang w:val="es-CR"/>
        </w:rPr>
        <w:t xml:space="preserve"> </w:t>
      </w:r>
      <w:r w:rsidRPr="002B4E6D">
        <w:rPr>
          <w:lang w:val="es-CR"/>
        </w:rPr>
        <w:t>del</w:t>
      </w:r>
      <w:r w:rsidR="004732A8" w:rsidRPr="002B4E6D">
        <w:rPr>
          <w:szCs w:val="20"/>
          <w:lang w:val="es-CR"/>
        </w:rPr>
        <w:t xml:space="preserve"> Grupo de </w:t>
      </w:r>
      <w:r w:rsidRPr="002B4E6D">
        <w:rPr>
          <w:szCs w:val="20"/>
          <w:lang w:val="es-CR"/>
        </w:rPr>
        <w:t>Trabajo</w:t>
      </w:r>
      <w:r w:rsidR="004732A8" w:rsidRPr="002B4E6D">
        <w:rPr>
          <w:szCs w:val="20"/>
          <w:lang w:val="es-CR"/>
        </w:rPr>
        <w:t xml:space="preserve"> sobre Sistema </w:t>
      </w:r>
      <w:r w:rsidR="00031269" w:rsidRPr="002B4E6D">
        <w:rPr>
          <w:szCs w:val="20"/>
          <w:lang w:val="es-CR"/>
        </w:rPr>
        <w:t>Carcelario</w:t>
      </w:r>
      <w:r w:rsidR="004732A8" w:rsidRPr="002B4E6D">
        <w:rPr>
          <w:szCs w:val="20"/>
          <w:lang w:val="es-CR"/>
        </w:rPr>
        <w:t xml:space="preserve"> </w:t>
      </w:r>
      <w:r w:rsidR="00031269" w:rsidRPr="002B4E6D">
        <w:rPr>
          <w:szCs w:val="20"/>
          <w:lang w:val="es-CR"/>
        </w:rPr>
        <w:t>en el</w:t>
      </w:r>
      <w:r w:rsidR="004732A8" w:rsidRPr="002B4E6D">
        <w:rPr>
          <w:szCs w:val="20"/>
          <w:lang w:val="es-CR"/>
        </w:rPr>
        <w:t xml:space="preserve"> </w:t>
      </w:r>
      <w:r w:rsidR="00031269" w:rsidRPr="002B4E6D">
        <w:rPr>
          <w:szCs w:val="20"/>
          <w:lang w:val="es-CR"/>
        </w:rPr>
        <w:t>ámbito</w:t>
      </w:r>
      <w:r w:rsidR="004732A8" w:rsidRPr="002B4E6D">
        <w:rPr>
          <w:szCs w:val="20"/>
          <w:lang w:val="es-CR"/>
        </w:rPr>
        <w:t xml:space="preserve"> </w:t>
      </w:r>
      <w:r w:rsidR="00031269" w:rsidRPr="002B4E6D">
        <w:rPr>
          <w:szCs w:val="20"/>
          <w:lang w:val="es-CR"/>
        </w:rPr>
        <w:t>del</w:t>
      </w:r>
      <w:r w:rsidR="004732A8" w:rsidRPr="002B4E6D">
        <w:rPr>
          <w:szCs w:val="20"/>
          <w:lang w:val="es-CR"/>
        </w:rPr>
        <w:t xml:space="preserve"> </w:t>
      </w:r>
      <w:r w:rsidR="00031269" w:rsidRPr="002B4E6D">
        <w:rPr>
          <w:szCs w:val="20"/>
          <w:lang w:val="es-CR"/>
        </w:rPr>
        <w:t>Ministerio</w:t>
      </w:r>
      <w:r w:rsidR="004732A8" w:rsidRPr="002B4E6D">
        <w:rPr>
          <w:szCs w:val="20"/>
          <w:lang w:val="es-CR"/>
        </w:rPr>
        <w:t xml:space="preserve"> Público </w:t>
      </w:r>
      <w:r w:rsidR="00031269" w:rsidRPr="002B4E6D">
        <w:rPr>
          <w:szCs w:val="20"/>
          <w:lang w:val="es-CR"/>
        </w:rPr>
        <w:t>del</w:t>
      </w:r>
      <w:r w:rsidR="004732A8" w:rsidRPr="002B4E6D">
        <w:rPr>
          <w:szCs w:val="20"/>
          <w:lang w:val="es-CR"/>
        </w:rPr>
        <w:t xml:space="preserve"> </w:t>
      </w:r>
      <w:r w:rsidR="00BF2AC5">
        <w:rPr>
          <w:szCs w:val="20"/>
          <w:lang w:val="es-CR"/>
        </w:rPr>
        <w:t>e</w:t>
      </w:r>
      <w:r w:rsidR="00BF2AC5" w:rsidRPr="002B4E6D">
        <w:rPr>
          <w:szCs w:val="20"/>
          <w:lang w:val="es-CR"/>
        </w:rPr>
        <w:t xml:space="preserve">stado </w:t>
      </w:r>
      <w:r w:rsidR="00031269" w:rsidRPr="002B4E6D">
        <w:rPr>
          <w:szCs w:val="20"/>
          <w:lang w:val="es-CR"/>
        </w:rPr>
        <w:t>de Río</w:t>
      </w:r>
      <w:r w:rsidR="004732A8" w:rsidRPr="002B4E6D">
        <w:rPr>
          <w:szCs w:val="20"/>
          <w:lang w:val="es-CR"/>
        </w:rPr>
        <w:t xml:space="preserve"> de Janeiro</w:t>
      </w:r>
      <w:r w:rsidR="00195B8F" w:rsidRPr="002B4E6D">
        <w:rPr>
          <w:szCs w:val="20"/>
          <w:lang w:val="es-CR"/>
        </w:rPr>
        <w:t>,</w:t>
      </w:r>
      <w:r w:rsidR="004732A8" w:rsidRPr="002B4E6D">
        <w:rPr>
          <w:szCs w:val="20"/>
          <w:lang w:val="es-CR"/>
        </w:rPr>
        <w:t xml:space="preserve"> para tratar </w:t>
      </w:r>
      <w:r w:rsidR="00031269" w:rsidRPr="002B4E6D">
        <w:rPr>
          <w:szCs w:val="20"/>
          <w:lang w:val="es-CR"/>
        </w:rPr>
        <w:t>el</w:t>
      </w:r>
      <w:r w:rsidR="004732A8" w:rsidRPr="002B4E6D">
        <w:rPr>
          <w:szCs w:val="20"/>
          <w:lang w:val="es-CR"/>
        </w:rPr>
        <w:t xml:space="preserve"> </w:t>
      </w:r>
      <w:r w:rsidR="00945D4E" w:rsidRPr="002B4E6D">
        <w:rPr>
          <w:szCs w:val="20"/>
          <w:lang w:val="es-CR"/>
        </w:rPr>
        <w:t xml:space="preserve">hacinamiento </w:t>
      </w:r>
      <w:r w:rsidR="00031269" w:rsidRPr="002B4E6D">
        <w:rPr>
          <w:szCs w:val="20"/>
          <w:lang w:val="es-CR"/>
        </w:rPr>
        <w:t>en el</w:t>
      </w:r>
      <w:r w:rsidR="004732A8" w:rsidRPr="002B4E6D">
        <w:rPr>
          <w:szCs w:val="20"/>
          <w:lang w:val="es-CR"/>
        </w:rPr>
        <w:t xml:space="preserve"> sistema </w:t>
      </w:r>
      <w:r w:rsidR="00031269" w:rsidRPr="002B4E6D">
        <w:rPr>
          <w:szCs w:val="20"/>
          <w:lang w:val="es-CR"/>
        </w:rPr>
        <w:t>carcelario</w:t>
      </w:r>
      <w:r w:rsidR="004732A8" w:rsidRPr="002B4E6D">
        <w:rPr>
          <w:szCs w:val="20"/>
          <w:lang w:val="es-CR"/>
        </w:rPr>
        <w:t>.</w:t>
      </w:r>
      <w:r w:rsidR="00195B8F" w:rsidRPr="002B4E6D">
        <w:rPr>
          <w:szCs w:val="20"/>
          <w:lang w:val="es-CR"/>
        </w:rPr>
        <w:t xml:space="preserve"> </w:t>
      </w:r>
      <w:r w:rsidR="00031269" w:rsidRPr="002B4E6D">
        <w:rPr>
          <w:szCs w:val="20"/>
          <w:lang w:val="es-CR"/>
        </w:rPr>
        <w:t>También, destacó el</w:t>
      </w:r>
      <w:r w:rsidR="001B70C1" w:rsidRPr="002B4E6D">
        <w:rPr>
          <w:szCs w:val="20"/>
          <w:lang w:val="es-CR"/>
        </w:rPr>
        <w:t xml:space="preserve"> </w:t>
      </w:r>
      <w:r w:rsidR="00031269" w:rsidRPr="002B4E6D">
        <w:rPr>
          <w:szCs w:val="20"/>
          <w:lang w:val="es-CR"/>
        </w:rPr>
        <w:t>Comité</w:t>
      </w:r>
      <w:r w:rsidR="001B70C1" w:rsidRPr="002B4E6D">
        <w:rPr>
          <w:szCs w:val="20"/>
          <w:lang w:val="es-CR"/>
        </w:rPr>
        <w:t xml:space="preserve"> Interinstitucional de </w:t>
      </w:r>
      <w:r w:rsidR="00031269" w:rsidRPr="002B4E6D">
        <w:rPr>
          <w:szCs w:val="20"/>
          <w:lang w:val="es-CR"/>
        </w:rPr>
        <w:t>Enfrentamiento</w:t>
      </w:r>
      <w:r w:rsidR="001B70C1" w:rsidRPr="002B4E6D">
        <w:rPr>
          <w:szCs w:val="20"/>
          <w:lang w:val="es-CR"/>
        </w:rPr>
        <w:t xml:space="preserve"> </w:t>
      </w:r>
      <w:r w:rsidR="003A043F" w:rsidRPr="002B4E6D">
        <w:rPr>
          <w:szCs w:val="20"/>
          <w:lang w:val="es-CR"/>
        </w:rPr>
        <w:t xml:space="preserve">de </w:t>
      </w:r>
      <w:r w:rsidR="00031269" w:rsidRPr="002B4E6D">
        <w:rPr>
          <w:szCs w:val="20"/>
          <w:lang w:val="es-CR"/>
        </w:rPr>
        <w:t>la</w:t>
      </w:r>
      <w:r w:rsidR="001B70C1" w:rsidRPr="002B4E6D">
        <w:rPr>
          <w:szCs w:val="20"/>
          <w:lang w:val="es-CR"/>
        </w:rPr>
        <w:t xml:space="preserve"> </w:t>
      </w:r>
      <w:r w:rsidR="00945D4E" w:rsidRPr="002B4E6D">
        <w:rPr>
          <w:szCs w:val="20"/>
          <w:lang w:val="es-CR"/>
        </w:rPr>
        <w:t xml:space="preserve">Superpoblación </w:t>
      </w:r>
      <w:r w:rsidR="00031269" w:rsidRPr="002B4E6D">
        <w:rPr>
          <w:szCs w:val="20"/>
          <w:lang w:val="es-CR"/>
        </w:rPr>
        <w:t>Carcelaria</w:t>
      </w:r>
      <w:r w:rsidR="001B70C1" w:rsidRPr="002B4E6D">
        <w:rPr>
          <w:szCs w:val="20"/>
          <w:lang w:val="es-CR"/>
        </w:rPr>
        <w:t xml:space="preserve"> </w:t>
      </w:r>
      <w:r w:rsidR="00031269" w:rsidRPr="002B4E6D">
        <w:rPr>
          <w:szCs w:val="20"/>
          <w:lang w:val="es-CR"/>
        </w:rPr>
        <w:t>y</w:t>
      </w:r>
      <w:r w:rsidR="001B70C1" w:rsidRPr="002B4E6D">
        <w:rPr>
          <w:szCs w:val="20"/>
          <w:lang w:val="es-CR"/>
        </w:rPr>
        <w:t xml:space="preserve"> </w:t>
      </w:r>
      <w:r w:rsidR="00031269" w:rsidRPr="002B4E6D">
        <w:rPr>
          <w:szCs w:val="20"/>
          <w:lang w:val="es-CR"/>
        </w:rPr>
        <w:t>dos</w:t>
      </w:r>
      <w:r w:rsidR="001B70C1" w:rsidRPr="002B4E6D">
        <w:rPr>
          <w:szCs w:val="20"/>
          <w:lang w:val="es-CR"/>
        </w:rPr>
        <w:t xml:space="preserve"> </w:t>
      </w:r>
      <w:r w:rsidR="00031269" w:rsidRPr="002B4E6D">
        <w:rPr>
          <w:szCs w:val="20"/>
          <w:lang w:val="es-CR"/>
        </w:rPr>
        <w:t>subcomités</w:t>
      </w:r>
      <w:r w:rsidR="001B70C1" w:rsidRPr="002B4E6D">
        <w:rPr>
          <w:szCs w:val="20"/>
          <w:lang w:val="es-CR"/>
        </w:rPr>
        <w:t xml:space="preserve"> específicos, </w:t>
      </w:r>
      <w:r w:rsidR="00031269" w:rsidRPr="002B4E6D">
        <w:rPr>
          <w:szCs w:val="20"/>
          <w:lang w:val="es-CR"/>
        </w:rPr>
        <w:t>el</w:t>
      </w:r>
      <w:r w:rsidR="001B70C1" w:rsidRPr="002B4E6D">
        <w:rPr>
          <w:szCs w:val="20"/>
          <w:lang w:val="es-CR"/>
        </w:rPr>
        <w:t xml:space="preserve"> </w:t>
      </w:r>
      <w:r w:rsidR="00031269" w:rsidRPr="002B4E6D">
        <w:rPr>
          <w:szCs w:val="20"/>
          <w:lang w:val="es-CR"/>
        </w:rPr>
        <w:t>Subcomité</w:t>
      </w:r>
      <w:r w:rsidR="001B70C1" w:rsidRPr="002B4E6D">
        <w:rPr>
          <w:szCs w:val="20"/>
          <w:lang w:val="es-CR"/>
        </w:rPr>
        <w:t xml:space="preserve"> para</w:t>
      </w:r>
      <w:r w:rsidR="00031269" w:rsidRPr="002B4E6D">
        <w:rPr>
          <w:szCs w:val="20"/>
          <w:lang w:val="es-CR"/>
        </w:rPr>
        <w:t xml:space="preserve"> la</w:t>
      </w:r>
      <w:r w:rsidR="001B70C1" w:rsidRPr="002B4E6D">
        <w:rPr>
          <w:szCs w:val="20"/>
          <w:lang w:val="es-CR"/>
        </w:rPr>
        <w:t xml:space="preserve"> </w:t>
      </w:r>
      <w:r w:rsidR="00031269" w:rsidRPr="002B4E6D">
        <w:rPr>
          <w:szCs w:val="20"/>
          <w:lang w:val="es-CR"/>
        </w:rPr>
        <w:t>Evaluación</w:t>
      </w:r>
      <w:r w:rsidR="001B70C1" w:rsidRPr="002B4E6D">
        <w:rPr>
          <w:szCs w:val="20"/>
          <w:lang w:val="es-CR"/>
        </w:rPr>
        <w:t xml:space="preserve"> </w:t>
      </w:r>
      <w:r w:rsidR="00031269" w:rsidRPr="002B4E6D">
        <w:rPr>
          <w:szCs w:val="20"/>
          <w:lang w:val="es-CR"/>
        </w:rPr>
        <w:t>de las</w:t>
      </w:r>
      <w:r w:rsidR="001B70C1" w:rsidRPr="002B4E6D">
        <w:rPr>
          <w:szCs w:val="20"/>
          <w:lang w:val="es-CR"/>
        </w:rPr>
        <w:t xml:space="preserve"> Medidas Relacionadas </w:t>
      </w:r>
      <w:r w:rsidR="00031269" w:rsidRPr="002B4E6D">
        <w:rPr>
          <w:szCs w:val="20"/>
          <w:lang w:val="es-CR"/>
        </w:rPr>
        <w:t>a la</w:t>
      </w:r>
      <w:r w:rsidR="001B70C1" w:rsidRPr="002B4E6D">
        <w:rPr>
          <w:szCs w:val="20"/>
          <w:lang w:val="es-CR"/>
        </w:rPr>
        <w:t xml:space="preserve"> </w:t>
      </w:r>
      <w:r w:rsidR="00031269" w:rsidRPr="002B4E6D">
        <w:rPr>
          <w:szCs w:val="20"/>
          <w:lang w:val="es-CR"/>
        </w:rPr>
        <w:t>Ejecución</w:t>
      </w:r>
      <w:r w:rsidR="001B70C1" w:rsidRPr="002B4E6D">
        <w:rPr>
          <w:szCs w:val="20"/>
          <w:lang w:val="es-CR"/>
        </w:rPr>
        <w:t xml:space="preserve"> Penal (COMEP) </w:t>
      </w:r>
      <w:r w:rsidR="00031269" w:rsidRPr="002B4E6D">
        <w:rPr>
          <w:szCs w:val="20"/>
          <w:lang w:val="es-CR"/>
        </w:rPr>
        <w:t>y</w:t>
      </w:r>
      <w:r w:rsidR="001B70C1" w:rsidRPr="002B4E6D">
        <w:rPr>
          <w:szCs w:val="20"/>
          <w:lang w:val="es-CR"/>
        </w:rPr>
        <w:t xml:space="preserve"> </w:t>
      </w:r>
      <w:r w:rsidR="00031269" w:rsidRPr="002B4E6D">
        <w:rPr>
          <w:szCs w:val="20"/>
          <w:lang w:val="es-CR"/>
        </w:rPr>
        <w:t>el</w:t>
      </w:r>
      <w:r w:rsidR="001B70C1" w:rsidRPr="002B4E6D">
        <w:rPr>
          <w:szCs w:val="20"/>
          <w:lang w:val="es-CR"/>
        </w:rPr>
        <w:t xml:space="preserve"> </w:t>
      </w:r>
      <w:r w:rsidR="00031269" w:rsidRPr="002B4E6D">
        <w:rPr>
          <w:szCs w:val="20"/>
          <w:lang w:val="es-CR"/>
        </w:rPr>
        <w:t>Subcomité</w:t>
      </w:r>
      <w:r w:rsidR="001B70C1" w:rsidRPr="002B4E6D">
        <w:rPr>
          <w:szCs w:val="20"/>
          <w:lang w:val="es-CR"/>
        </w:rPr>
        <w:t xml:space="preserve"> para </w:t>
      </w:r>
      <w:r w:rsidR="003A043F" w:rsidRPr="002B4E6D">
        <w:rPr>
          <w:szCs w:val="20"/>
          <w:lang w:val="es-CR"/>
        </w:rPr>
        <w:t xml:space="preserve">la </w:t>
      </w:r>
      <w:r w:rsidR="00031269" w:rsidRPr="002B4E6D">
        <w:rPr>
          <w:szCs w:val="20"/>
          <w:lang w:val="es-CR"/>
        </w:rPr>
        <w:t>Evaluación</w:t>
      </w:r>
      <w:r w:rsidR="001B70C1" w:rsidRPr="002B4E6D">
        <w:rPr>
          <w:szCs w:val="20"/>
          <w:lang w:val="es-CR"/>
        </w:rPr>
        <w:t xml:space="preserve"> </w:t>
      </w:r>
      <w:r w:rsidR="00031269" w:rsidRPr="002B4E6D">
        <w:rPr>
          <w:szCs w:val="20"/>
          <w:lang w:val="es-CR"/>
        </w:rPr>
        <w:t>de las</w:t>
      </w:r>
      <w:r w:rsidR="001B70C1" w:rsidRPr="002B4E6D">
        <w:rPr>
          <w:szCs w:val="20"/>
          <w:lang w:val="es-CR"/>
        </w:rPr>
        <w:t xml:space="preserve"> Medidas Relacionadas </w:t>
      </w:r>
      <w:r w:rsidR="00031269" w:rsidRPr="002B4E6D">
        <w:rPr>
          <w:szCs w:val="20"/>
          <w:lang w:val="es-CR"/>
        </w:rPr>
        <w:t>al</w:t>
      </w:r>
      <w:r w:rsidR="001B70C1" w:rsidRPr="002B4E6D">
        <w:rPr>
          <w:szCs w:val="20"/>
          <w:lang w:val="es-CR"/>
        </w:rPr>
        <w:t xml:space="preserve"> </w:t>
      </w:r>
      <w:r w:rsidR="00031269" w:rsidRPr="002B4E6D">
        <w:rPr>
          <w:szCs w:val="20"/>
          <w:lang w:val="es-CR"/>
        </w:rPr>
        <w:t>Ingreso</w:t>
      </w:r>
      <w:r w:rsidR="001B70C1" w:rsidRPr="002B4E6D">
        <w:rPr>
          <w:szCs w:val="20"/>
          <w:lang w:val="es-CR"/>
        </w:rPr>
        <w:t xml:space="preserve"> de Presos </w:t>
      </w:r>
      <w:r w:rsidR="002B4E6D" w:rsidRPr="002B4E6D">
        <w:rPr>
          <w:szCs w:val="20"/>
          <w:lang w:val="es-CR"/>
        </w:rPr>
        <w:t xml:space="preserve">en </w:t>
      </w:r>
      <w:r w:rsidR="002B4E6D">
        <w:rPr>
          <w:szCs w:val="20"/>
          <w:lang w:val="es-CR"/>
        </w:rPr>
        <w:t>Prisión</w:t>
      </w:r>
      <w:r w:rsidR="002B4E6D" w:rsidRPr="002B4E6D">
        <w:rPr>
          <w:szCs w:val="20"/>
          <w:lang w:val="es-CR"/>
        </w:rPr>
        <w:t xml:space="preserve"> Preventiva</w:t>
      </w:r>
      <w:r w:rsidR="001B70C1" w:rsidRPr="002B4E6D">
        <w:rPr>
          <w:szCs w:val="20"/>
          <w:lang w:val="es-CR"/>
        </w:rPr>
        <w:t xml:space="preserve"> </w:t>
      </w:r>
      <w:r w:rsidR="00031269" w:rsidRPr="002B4E6D">
        <w:rPr>
          <w:szCs w:val="20"/>
          <w:lang w:val="es-CR"/>
        </w:rPr>
        <w:t>en el</w:t>
      </w:r>
      <w:r w:rsidR="001B70C1" w:rsidRPr="002B4E6D">
        <w:rPr>
          <w:szCs w:val="20"/>
          <w:lang w:val="es-CR"/>
        </w:rPr>
        <w:t xml:space="preserve"> Sistema </w:t>
      </w:r>
      <w:r w:rsidR="00031269" w:rsidRPr="002B4E6D">
        <w:rPr>
          <w:szCs w:val="20"/>
          <w:lang w:val="es-CR"/>
        </w:rPr>
        <w:t>Carcelario</w:t>
      </w:r>
      <w:r w:rsidR="001B70C1" w:rsidRPr="002B4E6D">
        <w:rPr>
          <w:szCs w:val="20"/>
          <w:lang w:val="es-CR"/>
        </w:rPr>
        <w:t xml:space="preserve"> (COPEP</w:t>
      </w:r>
      <w:r w:rsidR="008B7C40">
        <w:rPr>
          <w:szCs w:val="20"/>
          <w:lang w:val="es-CR"/>
        </w:rPr>
        <w:t>)</w:t>
      </w:r>
      <w:r w:rsidR="00195B8F" w:rsidRPr="002B4E6D">
        <w:rPr>
          <w:szCs w:val="20"/>
          <w:lang w:val="es-CR"/>
        </w:rPr>
        <w:t xml:space="preserve">. </w:t>
      </w:r>
      <w:r w:rsidR="00031269" w:rsidRPr="002B4E6D">
        <w:rPr>
          <w:szCs w:val="20"/>
          <w:lang w:val="es-CR"/>
        </w:rPr>
        <w:t>Finalmente</w:t>
      </w:r>
      <w:r w:rsidR="00195B8F" w:rsidRPr="002B4E6D">
        <w:rPr>
          <w:szCs w:val="20"/>
          <w:lang w:val="es-CR"/>
        </w:rPr>
        <w:t xml:space="preserve">, </w:t>
      </w:r>
      <w:r w:rsidR="00031269" w:rsidRPr="002B4E6D">
        <w:rPr>
          <w:szCs w:val="20"/>
          <w:lang w:val="es-CR"/>
        </w:rPr>
        <w:t>hizo</w:t>
      </w:r>
      <w:r w:rsidR="00195B8F" w:rsidRPr="002B4E6D">
        <w:rPr>
          <w:szCs w:val="20"/>
          <w:lang w:val="es-CR"/>
        </w:rPr>
        <w:t xml:space="preserve"> </w:t>
      </w:r>
      <w:r w:rsidR="00031269" w:rsidRPr="002B4E6D">
        <w:rPr>
          <w:szCs w:val="20"/>
          <w:lang w:val="es-CR"/>
        </w:rPr>
        <w:t>referencia</w:t>
      </w:r>
      <w:r w:rsidR="00195B8F" w:rsidRPr="002B4E6D">
        <w:rPr>
          <w:szCs w:val="20"/>
          <w:lang w:val="es-CR"/>
        </w:rPr>
        <w:t xml:space="preserve"> </w:t>
      </w:r>
      <w:r w:rsidR="00031269" w:rsidRPr="002B4E6D">
        <w:rPr>
          <w:szCs w:val="20"/>
          <w:lang w:val="es-CR"/>
        </w:rPr>
        <w:t>al</w:t>
      </w:r>
      <w:r w:rsidR="00313038" w:rsidRPr="002B4E6D">
        <w:rPr>
          <w:szCs w:val="20"/>
          <w:lang w:val="es-CR"/>
        </w:rPr>
        <w:t xml:space="preserve"> </w:t>
      </w:r>
      <w:r w:rsidR="00031269" w:rsidRPr="002B4E6D">
        <w:rPr>
          <w:szCs w:val="20"/>
          <w:lang w:val="es-CR"/>
        </w:rPr>
        <w:t>Comité</w:t>
      </w:r>
      <w:r w:rsidR="00313038" w:rsidRPr="002B4E6D">
        <w:rPr>
          <w:szCs w:val="20"/>
          <w:lang w:val="es-CR"/>
        </w:rPr>
        <w:t xml:space="preserve"> Interinstitucional de </w:t>
      </w:r>
      <w:r w:rsidR="00031269" w:rsidRPr="002B4E6D">
        <w:rPr>
          <w:szCs w:val="20"/>
          <w:lang w:val="es-CR"/>
        </w:rPr>
        <w:t>Enfrentamiento</w:t>
      </w:r>
      <w:r w:rsidR="00313038" w:rsidRPr="002B4E6D">
        <w:rPr>
          <w:szCs w:val="20"/>
          <w:lang w:val="es-CR"/>
        </w:rPr>
        <w:t xml:space="preserve"> </w:t>
      </w:r>
      <w:r w:rsidR="002D46A1" w:rsidRPr="002B4E6D">
        <w:rPr>
          <w:szCs w:val="20"/>
          <w:lang w:val="es-CR"/>
        </w:rPr>
        <w:t>de la</w:t>
      </w:r>
      <w:r w:rsidR="00313038" w:rsidRPr="002B4E6D">
        <w:rPr>
          <w:szCs w:val="20"/>
          <w:lang w:val="es-CR"/>
        </w:rPr>
        <w:t xml:space="preserve"> </w:t>
      </w:r>
      <w:r w:rsidR="00945D4E" w:rsidRPr="002B4E6D">
        <w:rPr>
          <w:szCs w:val="20"/>
          <w:lang w:val="es-CR"/>
        </w:rPr>
        <w:t xml:space="preserve">Superpoblación </w:t>
      </w:r>
      <w:r w:rsidR="00313038" w:rsidRPr="002B4E6D">
        <w:rPr>
          <w:szCs w:val="20"/>
          <w:lang w:val="es-CR"/>
        </w:rPr>
        <w:t xml:space="preserve">(CI – Sistema </w:t>
      </w:r>
      <w:r w:rsidR="002D46A1" w:rsidRPr="002B4E6D">
        <w:rPr>
          <w:szCs w:val="20"/>
          <w:lang w:val="es-CR"/>
        </w:rPr>
        <w:t>Carcelario</w:t>
      </w:r>
      <w:r w:rsidR="00313038" w:rsidRPr="002B4E6D">
        <w:rPr>
          <w:szCs w:val="20"/>
          <w:lang w:val="es-CR"/>
        </w:rPr>
        <w:t>)</w:t>
      </w:r>
      <w:r w:rsidR="002F2021" w:rsidRPr="002B4E6D">
        <w:rPr>
          <w:szCs w:val="20"/>
          <w:lang w:val="es-CR"/>
        </w:rPr>
        <w:t xml:space="preserve">, </w:t>
      </w:r>
      <w:r w:rsidR="002839D9">
        <w:rPr>
          <w:szCs w:val="20"/>
          <w:lang w:val="es-CR"/>
        </w:rPr>
        <w:t>co</w:t>
      </w:r>
      <w:r w:rsidR="002D46A1" w:rsidRPr="002B4E6D">
        <w:rPr>
          <w:szCs w:val="20"/>
          <w:lang w:val="es-CR"/>
        </w:rPr>
        <w:t>nstituido</w:t>
      </w:r>
      <w:r w:rsidR="00313038" w:rsidRPr="002B4E6D">
        <w:rPr>
          <w:szCs w:val="20"/>
          <w:lang w:val="es-CR"/>
        </w:rPr>
        <w:t xml:space="preserve"> </w:t>
      </w:r>
      <w:r w:rsidR="002D46A1" w:rsidRPr="002B4E6D">
        <w:rPr>
          <w:szCs w:val="20"/>
          <w:lang w:val="es-CR"/>
        </w:rPr>
        <w:t>en el</w:t>
      </w:r>
      <w:r w:rsidR="002F2021" w:rsidRPr="002B4E6D">
        <w:rPr>
          <w:szCs w:val="20"/>
          <w:lang w:val="es-CR"/>
        </w:rPr>
        <w:t xml:space="preserve"> </w:t>
      </w:r>
      <w:r w:rsidR="002D46A1" w:rsidRPr="002B4E6D">
        <w:rPr>
          <w:szCs w:val="20"/>
          <w:lang w:val="es-CR"/>
        </w:rPr>
        <w:t>ámbito</w:t>
      </w:r>
      <w:r w:rsidR="002F2021" w:rsidRPr="002B4E6D">
        <w:rPr>
          <w:szCs w:val="20"/>
          <w:lang w:val="es-CR"/>
        </w:rPr>
        <w:t xml:space="preserve"> </w:t>
      </w:r>
      <w:r w:rsidR="002D46A1" w:rsidRPr="002B4E6D">
        <w:rPr>
          <w:szCs w:val="20"/>
          <w:lang w:val="es-CR"/>
        </w:rPr>
        <w:t>del</w:t>
      </w:r>
      <w:r w:rsidR="002F2021" w:rsidRPr="002B4E6D">
        <w:rPr>
          <w:szCs w:val="20"/>
          <w:lang w:val="es-CR"/>
        </w:rPr>
        <w:t xml:space="preserve"> Tribunal </w:t>
      </w:r>
      <w:r w:rsidR="00135F9B" w:rsidRPr="002B4E6D">
        <w:rPr>
          <w:szCs w:val="20"/>
          <w:lang w:val="es-CR"/>
        </w:rPr>
        <w:t xml:space="preserve">de </w:t>
      </w:r>
      <w:r w:rsidR="002D46A1" w:rsidRPr="002B4E6D">
        <w:rPr>
          <w:szCs w:val="20"/>
          <w:lang w:val="es-CR"/>
        </w:rPr>
        <w:t>Justicia</w:t>
      </w:r>
      <w:r w:rsidR="00135F9B" w:rsidRPr="002B4E6D">
        <w:rPr>
          <w:szCs w:val="20"/>
          <w:lang w:val="es-CR"/>
        </w:rPr>
        <w:t xml:space="preserve"> </w:t>
      </w:r>
      <w:r w:rsidR="002D46A1" w:rsidRPr="002B4E6D">
        <w:rPr>
          <w:szCs w:val="20"/>
          <w:lang w:val="es-CR"/>
        </w:rPr>
        <w:t>del</w:t>
      </w:r>
      <w:r w:rsidR="002F2021" w:rsidRPr="002B4E6D">
        <w:rPr>
          <w:szCs w:val="20"/>
          <w:lang w:val="es-CR"/>
        </w:rPr>
        <w:t xml:space="preserve"> </w:t>
      </w:r>
      <w:r w:rsidR="00BF2AC5">
        <w:rPr>
          <w:szCs w:val="20"/>
          <w:lang w:val="es-CR"/>
        </w:rPr>
        <w:t>e</w:t>
      </w:r>
      <w:r w:rsidR="00BF2AC5" w:rsidRPr="002B4E6D">
        <w:rPr>
          <w:szCs w:val="20"/>
          <w:lang w:val="es-CR"/>
        </w:rPr>
        <w:t xml:space="preserve">stado </w:t>
      </w:r>
      <w:r w:rsidR="002D46A1" w:rsidRPr="002B4E6D">
        <w:rPr>
          <w:szCs w:val="20"/>
          <w:lang w:val="es-CR"/>
        </w:rPr>
        <w:t>de Rí</w:t>
      </w:r>
      <w:r w:rsidR="002F2021" w:rsidRPr="002B4E6D">
        <w:rPr>
          <w:szCs w:val="20"/>
          <w:lang w:val="es-CR"/>
        </w:rPr>
        <w:t>o de Janeiro</w:t>
      </w:r>
      <w:r w:rsidR="00195B8F" w:rsidRPr="002B4E6D">
        <w:rPr>
          <w:szCs w:val="20"/>
          <w:lang w:val="es-CR"/>
        </w:rPr>
        <w:t xml:space="preserve">, </w:t>
      </w:r>
      <w:r w:rsidR="002D46A1" w:rsidRPr="002B4E6D">
        <w:rPr>
          <w:szCs w:val="20"/>
          <w:lang w:val="es-CR"/>
        </w:rPr>
        <w:t>así</w:t>
      </w:r>
      <w:r w:rsidR="00195B8F" w:rsidRPr="002B4E6D">
        <w:rPr>
          <w:szCs w:val="20"/>
          <w:lang w:val="es-CR"/>
        </w:rPr>
        <w:t xml:space="preserve"> como </w:t>
      </w:r>
      <w:r w:rsidR="002D46A1" w:rsidRPr="002B4E6D">
        <w:rPr>
          <w:szCs w:val="20"/>
          <w:lang w:val="es-CR"/>
        </w:rPr>
        <w:t>al</w:t>
      </w:r>
      <w:r w:rsidR="00B07451" w:rsidRPr="002B4E6D">
        <w:rPr>
          <w:szCs w:val="20"/>
          <w:lang w:val="es-CR"/>
        </w:rPr>
        <w:t xml:space="preserve"> Departamento </w:t>
      </w:r>
      <w:r w:rsidR="002D46A1" w:rsidRPr="002B4E6D">
        <w:rPr>
          <w:szCs w:val="20"/>
          <w:lang w:val="es-CR"/>
        </w:rPr>
        <w:t>Penitenciario</w:t>
      </w:r>
      <w:r w:rsidR="00B07451" w:rsidRPr="002B4E6D">
        <w:rPr>
          <w:szCs w:val="20"/>
          <w:lang w:val="es-CR"/>
        </w:rPr>
        <w:t xml:space="preserve"> Nacional (DEPEN)</w:t>
      </w:r>
      <w:r w:rsidR="002B6BEC" w:rsidRPr="002B4E6D">
        <w:rPr>
          <w:szCs w:val="20"/>
          <w:lang w:val="es-CR"/>
        </w:rPr>
        <w:t xml:space="preserve">, </w:t>
      </w:r>
      <w:r w:rsidR="002D46A1" w:rsidRPr="002B4E6D">
        <w:rPr>
          <w:szCs w:val="20"/>
          <w:lang w:val="es-CR"/>
        </w:rPr>
        <w:t>cuyos</w:t>
      </w:r>
      <w:r w:rsidR="002B6BEC" w:rsidRPr="002B4E6D">
        <w:rPr>
          <w:szCs w:val="20"/>
          <w:lang w:val="es-CR"/>
        </w:rPr>
        <w:t xml:space="preserve"> </w:t>
      </w:r>
      <w:r w:rsidR="002D46A1" w:rsidRPr="002B4E6D">
        <w:rPr>
          <w:szCs w:val="20"/>
          <w:lang w:val="es-CR"/>
        </w:rPr>
        <w:t>ejes</w:t>
      </w:r>
      <w:r w:rsidR="002B6BEC" w:rsidRPr="002B4E6D">
        <w:rPr>
          <w:szCs w:val="20"/>
          <w:lang w:val="es-CR"/>
        </w:rPr>
        <w:t xml:space="preserve"> de </w:t>
      </w:r>
      <w:r w:rsidR="002D46A1" w:rsidRPr="002B4E6D">
        <w:rPr>
          <w:szCs w:val="20"/>
          <w:lang w:val="es-CR"/>
        </w:rPr>
        <w:t>actuación</w:t>
      </w:r>
      <w:r w:rsidR="002B6BEC" w:rsidRPr="002B4E6D">
        <w:rPr>
          <w:szCs w:val="20"/>
          <w:lang w:val="es-CR"/>
        </w:rPr>
        <w:t xml:space="preserve"> </w:t>
      </w:r>
      <w:r w:rsidR="002D46A1" w:rsidRPr="002B4E6D">
        <w:rPr>
          <w:szCs w:val="20"/>
          <w:lang w:val="es-CR"/>
        </w:rPr>
        <w:t>incluyen</w:t>
      </w:r>
      <w:r w:rsidR="003A7367" w:rsidRPr="002B4E6D">
        <w:rPr>
          <w:szCs w:val="20"/>
          <w:lang w:val="es-CR"/>
        </w:rPr>
        <w:t xml:space="preserve"> alternativas </w:t>
      </w:r>
      <w:r w:rsidR="002D46A1" w:rsidRPr="002B4E6D">
        <w:rPr>
          <w:szCs w:val="20"/>
          <w:lang w:val="es-CR"/>
        </w:rPr>
        <w:t>al</w:t>
      </w:r>
      <w:r w:rsidR="003A7367" w:rsidRPr="002B4E6D">
        <w:rPr>
          <w:szCs w:val="20"/>
          <w:lang w:val="es-CR"/>
        </w:rPr>
        <w:t xml:space="preserve"> </w:t>
      </w:r>
      <w:r w:rsidR="002D46A1" w:rsidRPr="002B4E6D">
        <w:rPr>
          <w:szCs w:val="20"/>
          <w:lang w:val="es-CR"/>
        </w:rPr>
        <w:t>encarcelamiento</w:t>
      </w:r>
      <w:r w:rsidR="003A7367" w:rsidRPr="002B4E6D">
        <w:rPr>
          <w:szCs w:val="20"/>
          <w:lang w:val="es-CR"/>
        </w:rPr>
        <w:t>.</w:t>
      </w:r>
    </w:p>
    <w:p w14:paraId="28FA6B4C" w14:textId="77777777" w:rsidR="000F6E3B" w:rsidRPr="002B4E6D" w:rsidRDefault="000F6E3B" w:rsidP="006D31D9">
      <w:pPr>
        <w:pStyle w:val="ListParagraph"/>
        <w:rPr>
          <w:lang w:val="es-CR"/>
        </w:rPr>
      </w:pPr>
    </w:p>
    <w:p w14:paraId="29F30CDD" w14:textId="56B74511" w:rsidR="00B81147" w:rsidRPr="002839D9" w:rsidRDefault="002D46A1" w:rsidP="002839D9">
      <w:pPr>
        <w:pStyle w:val="ListParagraph"/>
        <w:numPr>
          <w:ilvl w:val="0"/>
          <w:numId w:val="20"/>
        </w:numPr>
        <w:snapToGrid w:val="0"/>
        <w:ind w:left="0" w:firstLine="0"/>
        <w:contextualSpacing w:val="0"/>
        <w:rPr>
          <w:szCs w:val="20"/>
          <w:lang w:val="es-CR"/>
        </w:rPr>
      </w:pPr>
      <w:r w:rsidRPr="002B4E6D">
        <w:rPr>
          <w:szCs w:val="20"/>
          <w:lang w:val="es-CR"/>
        </w:rPr>
        <w:t>El</w:t>
      </w:r>
      <w:r w:rsidR="00316AED" w:rsidRPr="002B4E6D">
        <w:rPr>
          <w:szCs w:val="20"/>
          <w:lang w:val="es-CR"/>
        </w:rPr>
        <w:t xml:space="preserve"> Estado </w:t>
      </w:r>
      <w:r w:rsidRPr="002B4E6D">
        <w:rPr>
          <w:szCs w:val="20"/>
          <w:lang w:val="es-CR"/>
        </w:rPr>
        <w:t>reconoció</w:t>
      </w:r>
      <w:r w:rsidR="00316AED" w:rsidRPr="002B4E6D">
        <w:rPr>
          <w:szCs w:val="20"/>
          <w:lang w:val="es-CR"/>
        </w:rPr>
        <w:t xml:space="preserve"> </w:t>
      </w:r>
      <w:r w:rsidRPr="002B4E6D">
        <w:rPr>
          <w:szCs w:val="20"/>
          <w:lang w:val="es-CR"/>
        </w:rPr>
        <w:t>el</w:t>
      </w:r>
      <w:r w:rsidR="00316AED" w:rsidRPr="002B4E6D">
        <w:rPr>
          <w:szCs w:val="20"/>
          <w:lang w:val="es-CR"/>
        </w:rPr>
        <w:t xml:space="preserve"> </w:t>
      </w:r>
      <w:r w:rsidR="00945D4E" w:rsidRPr="002B4E6D">
        <w:rPr>
          <w:szCs w:val="20"/>
          <w:lang w:val="es-CR"/>
        </w:rPr>
        <w:t xml:space="preserve">hacinamiento </w:t>
      </w:r>
      <w:r w:rsidR="002839D9">
        <w:rPr>
          <w:szCs w:val="20"/>
          <w:lang w:val="es-CR"/>
        </w:rPr>
        <w:t>al interior de</w:t>
      </w:r>
      <w:r w:rsidR="00316AED" w:rsidRPr="002839D9">
        <w:rPr>
          <w:szCs w:val="20"/>
          <w:lang w:val="es-CR"/>
        </w:rPr>
        <w:t xml:space="preserve"> </w:t>
      </w:r>
      <w:r w:rsidRPr="002839D9">
        <w:rPr>
          <w:szCs w:val="20"/>
          <w:lang w:val="es-CR"/>
        </w:rPr>
        <w:t>sus</w:t>
      </w:r>
      <w:r w:rsidR="00316AED" w:rsidRPr="002839D9">
        <w:rPr>
          <w:szCs w:val="20"/>
          <w:lang w:val="es-CR"/>
        </w:rPr>
        <w:t xml:space="preserve"> </w:t>
      </w:r>
      <w:r w:rsidR="00ED6186" w:rsidRPr="002839D9">
        <w:rPr>
          <w:szCs w:val="20"/>
          <w:lang w:val="es-CR"/>
        </w:rPr>
        <w:t>unidad</w:t>
      </w:r>
      <w:r w:rsidR="0063119A" w:rsidRPr="002839D9">
        <w:rPr>
          <w:szCs w:val="20"/>
          <w:lang w:val="es-CR"/>
        </w:rPr>
        <w:t>e</w:t>
      </w:r>
      <w:r w:rsidR="00316AED" w:rsidRPr="002839D9">
        <w:rPr>
          <w:szCs w:val="20"/>
          <w:lang w:val="es-CR"/>
        </w:rPr>
        <w:t xml:space="preserve">s </w:t>
      </w:r>
      <w:r w:rsidRPr="002839D9">
        <w:rPr>
          <w:szCs w:val="20"/>
          <w:lang w:val="es-CR"/>
        </w:rPr>
        <w:t>penitenciarias</w:t>
      </w:r>
      <w:r w:rsidR="00316AED" w:rsidRPr="002839D9">
        <w:rPr>
          <w:szCs w:val="20"/>
          <w:lang w:val="es-CR"/>
        </w:rPr>
        <w:t xml:space="preserve">. </w:t>
      </w:r>
      <w:r w:rsidRPr="003B748F">
        <w:rPr>
          <w:lang w:val="es-CR"/>
        </w:rPr>
        <w:t>En</w:t>
      </w:r>
      <w:r w:rsidR="00316AED" w:rsidRPr="009A096E">
        <w:rPr>
          <w:lang w:val="es-CR"/>
        </w:rPr>
        <w:t xml:space="preserve"> </w:t>
      </w:r>
      <w:r w:rsidRPr="002839D9">
        <w:rPr>
          <w:lang w:val="es-CR"/>
        </w:rPr>
        <w:t>respuesta</w:t>
      </w:r>
      <w:r w:rsidR="00316AED" w:rsidRPr="002839D9">
        <w:rPr>
          <w:lang w:val="es-CR"/>
        </w:rPr>
        <w:t xml:space="preserve"> a </w:t>
      </w:r>
      <w:r w:rsidRPr="002839D9">
        <w:rPr>
          <w:lang w:val="es-CR"/>
        </w:rPr>
        <w:t>ese</w:t>
      </w:r>
      <w:r w:rsidR="00316AED" w:rsidRPr="002839D9">
        <w:rPr>
          <w:lang w:val="es-CR"/>
        </w:rPr>
        <w:t xml:space="preserve"> </w:t>
      </w:r>
      <w:r w:rsidRPr="002839D9">
        <w:rPr>
          <w:lang w:val="es-CR"/>
        </w:rPr>
        <w:t>escenario</w:t>
      </w:r>
      <w:r w:rsidR="00316AED" w:rsidRPr="002839D9">
        <w:rPr>
          <w:lang w:val="es-CR"/>
        </w:rPr>
        <w:t xml:space="preserve">, </w:t>
      </w:r>
      <w:r w:rsidR="0063119A" w:rsidRPr="002839D9">
        <w:rPr>
          <w:lang w:val="es-CR"/>
        </w:rPr>
        <w:t>sostuvo</w:t>
      </w:r>
      <w:r w:rsidR="00FB13D8" w:rsidRPr="002839D9">
        <w:rPr>
          <w:lang w:val="es-CR"/>
        </w:rPr>
        <w:t xml:space="preserve"> </w:t>
      </w:r>
      <w:r w:rsidR="0063119A" w:rsidRPr="002839D9">
        <w:rPr>
          <w:lang w:val="es-CR"/>
        </w:rPr>
        <w:t>que ha</w:t>
      </w:r>
      <w:r w:rsidR="00FB13D8" w:rsidRPr="002839D9">
        <w:rPr>
          <w:lang w:val="es-CR"/>
        </w:rPr>
        <w:t xml:space="preserve"> implementado </w:t>
      </w:r>
      <w:r w:rsidRPr="002839D9">
        <w:rPr>
          <w:lang w:val="es-CR"/>
        </w:rPr>
        <w:t>l</w:t>
      </w:r>
      <w:r w:rsidR="007E51EF" w:rsidRPr="002839D9">
        <w:rPr>
          <w:lang w:val="es-CR"/>
        </w:rPr>
        <w:t xml:space="preserve">as </w:t>
      </w:r>
      <w:r w:rsidRPr="002839D9">
        <w:rPr>
          <w:lang w:val="es-CR"/>
        </w:rPr>
        <w:t>siguientes</w:t>
      </w:r>
      <w:r w:rsidR="007E51EF" w:rsidRPr="002839D9">
        <w:rPr>
          <w:lang w:val="es-CR"/>
        </w:rPr>
        <w:t xml:space="preserve"> </w:t>
      </w:r>
      <w:r w:rsidR="00BB71C3" w:rsidRPr="002839D9">
        <w:rPr>
          <w:lang w:val="es-CR"/>
        </w:rPr>
        <w:t>medidas</w:t>
      </w:r>
      <w:r w:rsidR="007E51EF" w:rsidRPr="002839D9">
        <w:rPr>
          <w:lang w:val="es-CR"/>
        </w:rPr>
        <w:t xml:space="preserve">, </w:t>
      </w:r>
      <w:r w:rsidRPr="002839D9">
        <w:rPr>
          <w:lang w:val="es-CR"/>
        </w:rPr>
        <w:t xml:space="preserve">con el </w:t>
      </w:r>
      <w:r w:rsidR="0063119A" w:rsidRPr="002839D9">
        <w:rPr>
          <w:lang w:val="es-CR"/>
        </w:rPr>
        <w:t>objetivo</w:t>
      </w:r>
      <w:r w:rsidRPr="002839D9">
        <w:rPr>
          <w:lang w:val="es-CR"/>
        </w:rPr>
        <w:t xml:space="preserve"> de</w:t>
      </w:r>
      <w:r w:rsidR="007E51EF" w:rsidRPr="002839D9">
        <w:rPr>
          <w:lang w:val="es-CR"/>
        </w:rPr>
        <w:t xml:space="preserve"> </w:t>
      </w:r>
      <w:r w:rsidR="0063119A" w:rsidRPr="002839D9">
        <w:rPr>
          <w:lang w:val="es-CR"/>
        </w:rPr>
        <w:t>mejorar</w:t>
      </w:r>
      <w:r w:rsidR="007E51EF" w:rsidRPr="002839D9">
        <w:rPr>
          <w:lang w:val="es-CR"/>
        </w:rPr>
        <w:t xml:space="preserve"> </w:t>
      </w:r>
      <w:r w:rsidR="002839D9" w:rsidRPr="002839D9">
        <w:rPr>
          <w:lang w:val="es-CR"/>
        </w:rPr>
        <w:t>la situación de</w:t>
      </w:r>
      <w:r w:rsidR="007E51EF" w:rsidRPr="002839D9">
        <w:rPr>
          <w:lang w:val="es-CR"/>
        </w:rPr>
        <w:t xml:space="preserve"> </w:t>
      </w:r>
      <w:r w:rsidR="0063119A" w:rsidRPr="002839D9">
        <w:rPr>
          <w:lang w:val="es-CR"/>
        </w:rPr>
        <w:t>hacinamiento</w:t>
      </w:r>
      <w:r w:rsidR="007E51EF" w:rsidRPr="002839D9">
        <w:rPr>
          <w:lang w:val="es-CR"/>
        </w:rPr>
        <w:t>:</w:t>
      </w:r>
    </w:p>
    <w:p w14:paraId="60ABCCD2" w14:textId="77777777" w:rsidR="00FE138D" w:rsidRPr="002B4E6D" w:rsidRDefault="00FE138D" w:rsidP="003A7367">
      <w:pPr>
        <w:rPr>
          <w:szCs w:val="20"/>
          <w:lang w:val="es-CR"/>
        </w:rPr>
      </w:pPr>
    </w:p>
    <w:p w14:paraId="26018ADA" w14:textId="46F572E5" w:rsidR="008906D1" w:rsidRPr="002B4E6D" w:rsidRDefault="008906D1" w:rsidP="00E22992">
      <w:pPr>
        <w:pStyle w:val="ListParagraph"/>
        <w:numPr>
          <w:ilvl w:val="0"/>
          <w:numId w:val="6"/>
        </w:numPr>
        <w:ind w:left="993"/>
        <w:rPr>
          <w:szCs w:val="20"/>
          <w:lang w:val="es-CR"/>
        </w:rPr>
      </w:pPr>
      <w:r w:rsidRPr="002B4E6D">
        <w:rPr>
          <w:szCs w:val="20"/>
          <w:lang w:val="es-CR"/>
        </w:rPr>
        <w:t>Realiza</w:t>
      </w:r>
      <w:r w:rsidR="00AA1A37" w:rsidRPr="002B4E6D">
        <w:rPr>
          <w:szCs w:val="20"/>
          <w:lang w:val="es-CR"/>
        </w:rPr>
        <w:t>ción</w:t>
      </w:r>
      <w:r w:rsidRPr="002B4E6D">
        <w:rPr>
          <w:szCs w:val="20"/>
          <w:lang w:val="es-CR"/>
        </w:rPr>
        <w:t xml:space="preserve"> de </w:t>
      </w:r>
      <w:r w:rsidR="002D46A1" w:rsidRPr="002B4E6D">
        <w:rPr>
          <w:szCs w:val="20"/>
          <w:lang w:val="es-CR"/>
        </w:rPr>
        <w:t>audiencias</w:t>
      </w:r>
      <w:r w:rsidR="00D50C30" w:rsidRPr="002B4E6D">
        <w:rPr>
          <w:szCs w:val="20"/>
          <w:lang w:val="es-CR"/>
        </w:rPr>
        <w:t xml:space="preserve"> de </w:t>
      </w:r>
      <w:r w:rsidR="002D46A1" w:rsidRPr="002B4E6D">
        <w:rPr>
          <w:szCs w:val="20"/>
          <w:lang w:val="es-CR"/>
        </w:rPr>
        <w:t>custodia</w:t>
      </w:r>
      <w:r w:rsidRPr="002B4E6D">
        <w:rPr>
          <w:szCs w:val="20"/>
          <w:lang w:val="es-CR"/>
        </w:rPr>
        <w:t xml:space="preserve">, </w:t>
      </w:r>
      <w:r w:rsidR="002D46A1" w:rsidRPr="002B4E6D">
        <w:rPr>
          <w:szCs w:val="20"/>
          <w:lang w:val="es-CR"/>
        </w:rPr>
        <w:t>las</w:t>
      </w:r>
      <w:r w:rsidRPr="002B4E6D">
        <w:rPr>
          <w:szCs w:val="20"/>
          <w:lang w:val="es-CR"/>
        </w:rPr>
        <w:t xml:space="preserve"> </w:t>
      </w:r>
      <w:r w:rsidR="002D46A1" w:rsidRPr="002B4E6D">
        <w:rPr>
          <w:szCs w:val="20"/>
          <w:lang w:val="es-CR"/>
        </w:rPr>
        <w:t>cuales</w:t>
      </w:r>
      <w:r w:rsidR="00D341D8" w:rsidRPr="002B4E6D">
        <w:rPr>
          <w:szCs w:val="20"/>
          <w:lang w:val="es-CR"/>
        </w:rPr>
        <w:t xml:space="preserve"> </w:t>
      </w:r>
      <w:r w:rsidR="002D46A1" w:rsidRPr="002B4E6D">
        <w:rPr>
          <w:szCs w:val="20"/>
          <w:lang w:val="es-CR"/>
        </w:rPr>
        <w:t>contribuyen</w:t>
      </w:r>
      <w:r w:rsidRPr="002B4E6D">
        <w:rPr>
          <w:szCs w:val="20"/>
          <w:lang w:val="es-CR"/>
        </w:rPr>
        <w:t xml:space="preserve"> a </w:t>
      </w:r>
      <w:r w:rsidR="002D46A1" w:rsidRPr="002B4E6D">
        <w:rPr>
          <w:szCs w:val="20"/>
          <w:lang w:val="es-CR"/>
        </w:rPr>
        <w:t>l</w:t>
      </w:r>
      <w:r w:rsidRPr="002B4E6D">
        <w:rPr>
          <w:szCs w:val="20"/>
          <w:lang w:val="es-CR"/>
        </w:rPr>
        <w:t xml:space="preserve">a </w:t>
      </w:r>
      <w:r w:rsidR="002D46A1" w:rsidRPr="002B4E6D">
        <w:rPr>
          <w:szCs w:val="20"/>
          <w:lang w:val="es-CR"/>
        </w:rPr>
        <w:t>reducción</w:t>
      </w:r>
      <w:r w:rsidRPr="002B4E6D">
        <w:rPr>
          <w:szCs w:val="20"/>
          <w:lang w:val="es-CR"/>
        </w:rPr>
        <w:t xml:space="preserve"> </w:t>
      </w:r>
      <w:r w:rsidR="002D46A1" w:rsidRPr="002B4E6D">
        <w:rPr>
          <w:szCs w:val="20"/>
          <w:lang w:val="es-CR"/>
        </w:rPr>
        <w:t>del</w:t>
      </w:r>
      <w:r w:rsidRPr="002B4E6D">
        <w:rPr>
          <w:szCs w:val="20"/>
          <w:lang w:val="es-CR"/>
        </w:rPr>
        <w:t xml:space="preserve"> </w:t>
      </w:r>
      <w:r w:rsidR="00945D4E" w:rsidRPr="002B4E6D">
        <w:rPr>
          <w:szCs w:val="20"/>
          <w:lang w:val="es-CR"/>
        </w:rPr>
        <w:t xml:space="preserve">hacinamiento </w:t>
      </w:r>
      <w:r w:rsidR="0063119A" w:rsidRPr="002B4E6D">
        <w:rPr>
          <w:szCs w:val="20"/>
          <w:lang w:val="es-CR"/>
        </w:rPr>
        <w:t>a</w:t>
      </w:r>
      <w:r w:rsidR="006004CF" w:rsidRPr="002B4E6D">
        <w:rPr>
          <w:szCs w:val="20"/>
          <w:lang w:val="es-CR"/>
        </w:rPr>
        <w:t xml:space="preserve"> </w:t>
      </w:r>
      <w:r w:rsidR="002D46A1" w:rsidRPr="002B4E6D">
        <w:rPr>
          <w:szCs w:val="20"/>
          <w:lang w:val="es-CR"/>
        </w:rPr>
        <w:t>largo</w:t>
      </w:r>
      <w:r w:rsidR="00384BC9">
        <w:rPr>
          <w:szCs w:val="20"/>
          <w:lang w:val="es-CR"/>
        </w:rPr>
        <w:t xml:space="preserve"> plazo</w:t>
      </w:r>
      <w:r w:rsidRPr="002B4E6D">
        <w:rPr>
          <w:szCs w:val="20"/>
          <w:lang w:val="es-CR"/>
        </w:rPr>
        <w:t xml:space="preserve">. </w:t>
      </w:r>
      <w:r w:rsidR="002D46A1" w:rsidRPr="002B4E6D">
        <w:rPr>
          <w:szCs w:val="20"/>
          <w:lang w:val="es-CR"/>
        </w:rPr>
        <w:t>En</w:t>
      </w:r>
      <w:r w:rsidRPr="002B4E6D">
        <w:rPr>
          <w:szCs w:val="20"/>
          <w:lang w:val="es-CR"/>
        </w:rPr>
        <w:t xml:space="preserve"> </w:t>
      </w:r>
      <w:r w:rsidR="002D46A1" w:rsidRPr="002B4E6D">
        <w:rPr>
          <w:szCs w:val="20"/>
          <w:lang w:val="es-CR"/>
        </w:rPr>
        <w:t>noviembre</w:t>
      </w:r>
      <w:r w:rsidR="00053380" w:rsidRPr="002B4E6D">
        <w:rPr>
          <w:szCs w:val="20"/>
          <w:lang w:val="es-CR"/>
        </w:rPr>
        <w:t xml:space="preserve"> de 2017 </w:t>
      </w:r>
      <w:r w:rsidR="0063119A" w:rsidRPr="002B4E6D">
        <w:rPr>
          <w:szCs w:val="20"/>
          <w:lang w:val="es-CR"/>
        </w:rPr>
        <w:t>se alcanzó</w:t>
      </w:r>
      <w:r w:rsidR="00053380" w:rsidRPr="002B4E6D">
        <w:rPr>
          <w:szCs w:val="20"/>
          <w:lang w:val="es-CR"/>
        </w:rPr>
        <w:t xml:space="preserve"> el</w:t>
      </w:r>
      <w:r w:rsidRPr="002B4E6D">
        <w:rPr>
          <w:szCs w:val="20"/>
          <w:lang w:val="es-CR"/>
        </w:rPr>
        <w:t xml:space="preserve"> </w:t>
      </w:r>
      <w:r w:rsidR="00AD7355" w:rsidRPr="002B4E6D">
        <w:rPr>
          <w:szCs w:val="20"/>
          <w:lang w:val="es-CR"/>
        </w:rPr>
        <w:t>mayor número</w:t>
      </w:r>
      <w:r w:rsidR="00053380" w:rsidRPr="002B4E6D">
        <w:rPr>
          <w:szCs w:val="20"/>
          <w:lang w:val="es-CR"/>
        </w:rPr>
        <w:t xml:space="preserve"> </w:t>
      </w:r>
      <w:r w:rsidRPr="002B4E6D">
        <w:rPr>
          <w:szCs w:val="20"/>
          <w:lang w:val="es-CR"/>
        </w:rPr>
        <w:t xml:space="preserve">de </w:t>
      </w:r>
      <w:r w:rsidR="00053380" w:rsidRPr="002B4E6D">
        <w:rPr>
          <w:szCs w:val="20"/>
          <w:lang w:val="es-CR"/>
        </w:rPr>
        <w:t>audiencias</w:t>
      </w:r>
      <w:r w:rsidRPr="002B4E6D">
        <w:rPr>
          <w:szCs w:val="20"/>
          <w:lang w:val="es-CR"/>
        </w:rPr>
        <w:t xml:space="preserve"> de </w:t>
      </w:r>
      <w:r w:rsidR="00AD7355" w:rsidRPr="002B4E6D">
        <w:rPr>
          <w:szCs w:val="20"/>
          <w:lang w:val="es-CR"/>
        </w:rPr>
        <w:t>custodia</w:t>
      </w:r>
      <w:r w:rsidRPr="002B4E6D">
        <w:rPr>
          <w:szCs w:val="20"/>
          <w:lang w:val="es-CR"/>
        </w:rPr>
        <w:t xml:space="preserve"> desde </w:t>
      </w:r>
      <w:r w:rsidR="00053380" w:rsidRPr="002B4E6D">
        <w:rPr>
          <w:szCs w:val="20"/>
          <w:lang w:val="es-CR"/>
        </w:rPr>
        <w:t>diciembre</w:t>
      </w:r>
      <w:r w:rsidRPr="002B4E6D">
        <w:rPr>
          <w:szCs w:val="20"/>
          <w:lang w:val="es-CR"/>
        </w:rPr>
        <w:t xml:space="preserve"> de 2016. </w:t>
      </w:r>
      <w:r w:rsidR="002839D9">
        <w:rPr>
          <w:szCs w:val="20"/>
          <w:lang w:val="es-CR"/>
        </w:rPr>
        <w:t>E</w:t>
      </w:r>
      <w:r w:rsidR="00053380" w:rsidRPr="002B4E6D">
        <w:rPr>
          <w:szCs w:val="20"/>
          <w:lang w:val="es-CR"/>
        </w:rPr>
        <w:t>l</w:t>
      </w:r>
      <w:r w:rsidRPr="002B4E6D">
        <w:rPr>
          <w:szCs w:val="20"/>
          <w:lang w:val="es-CR"/>
        </w:rPr>
        <w:t xml:space="preserve"> Estado </w:t>
      </w:r>
      <w:r w:rsidR="00053380" w:rsidRPr="002B4E6D">
        <w:rPr>
          <w:szCs w:val="20"/>
          <w:lang w:val="es-CR"/>
        </w:rPr>
        <w:t>indicó</w:t>
      </w:r>
      <w:r w:rsidRPr="002B4E6D">
        <w:rPr>
          <w:szCs w:val="20"/>
          <w:lang w:val="es-CR"/>
        </w:rPr>
        <w:t xml:space="preserve"> que, </w:t>
      </w:r>
      <w:r w:rsidR="00053380" w:rsidRPr="002B4E6D">
        <w:rPr>
          <w:szCs w:val="20"/>
          <w:lang w:val="es-CR"/>
        </w:rPr>
        <w:t>en</w:t>
      </w:r>
      <w:r w:rsidRPr="002B4E6D">
        <w:rPr>
          <w:szCs w:val="20"/>
          <w:lang w:val="es-CR"/>
        </w:rPr>
        <w:t xml:space="preserve"> agosto de 2017, </w:t>
      </w:r>
      <w:r w:rsidR="00053380" w:rsidRPr="002B4E6D">
        <w:rPr>
          <w:szCs w:val="20"/>
          <w:lang w:val="es-CR"/>
        </w:rPr>
        <w:t>solo</w:t>
      </w:r>
      <w:r w:rsidRPr="002B4E6D">
        <w:rPr>
          <w:szCs w:val="20"/>
          <w:lang w:val="es-CR"/>
        </w:rPr>
        <w:t xml:space="preserve"> </w:t>
      </w:r>
      <w:r w:rsidR="00053380" w:rsidRPr="002B4E6D">
        <w:rPr>
          <w:szCs w:val="20"/>
          <w:lang w:val="es-CR"/>
        </w:rPr>
        <w:t>habían</w:t>
      </w:r>
      <w:r w:rsidRPr="002B4E6D">
        <w:rPr>
          <w:szCs w:val="20"/>
          <w:lang w:val="es-CR"/>
        </w:rPr>
        <w:t xml:space="preserve"> sido realizadas</w:t>
      </w:r>
      <w:r w:rsidR="002839D9">
        <w:rPr>
          <w:szCs w:val="20"/>
          <w:lang w:val="es-CR"/>
        </w:rPr>
        <w:t xml:space="preserve"> </w:t>
      </w:r>
      <w:r w:rsidR="002839D9" w:rsidRPr="002B4E6D">
        <w:rPr>
          <w:szCs w:val="20"/>
          <w:lang w:val="es-CR"/>
        </w:rPr>
        <w:t>555 audiencias de custodia</w:t>
      </w:r>
      <w:r w:rsidR="002839D9">
        <w:rPr>
          <w:szCs w:val="20"/>
          <w:lang w:val="es-CR"/>
        </w:rPr>
        <w:t xml:space="preserve"> mientras que e</w:t>
      </w:r>
      <w:r w:rsidR="00053380" w:rsidRPr="002B4E6D">
        <w:rPr>
          <w:szCs w:val="20"/>
          <w:lang w:val="es-CR"/>
        </w:rPr>
        <w:t>n</w:t>
      </w:r>
      <w:r w:rsidRPr="002B4E6D">
        <w:rPr>
          <w:szCs w:val="20"/>
          <w:lang w:val="es-CR"/>
        </w:rPr>
        <w:t xml:space="preserve"> </w:t>
      </w:r>
      <w:r w:rsidR="00053380" w:rsidRPr="002B4E6D">
        <w:rPr>
          <w:szCs w:val="20"/>
          <w:lang w:val="es-CR"/>
        </w:rPr>
        <w:t>noviembre</w:t>
      </w:r>
      <w:r w:rsidRPr="002B4E6D">
        <w:rPr>
          <w:szCs w:val="20"/>
          <w:lang w:val="es-CR"/>
        </w:rPr>
        <w:t xml:space="preserve"> </w:t>
      </w:r>
      <w:r w:rsidR="00053380" w:rsidRPr="002B4E6D">
        <w:rPr>
          <w:szCs w:val="20"/>
          <w:lang w:val="es-CR"/>
        </w:rPr>
        <w:t>del</w:t>
      </w:r>
      <w:r w:rsidRPr="002B4E6D">
        <w:rPr>
          <w:szCs w:val="20"/>
          <w:lang w:val="es-CR"/>
        </w:rPr>
        <w:t xml:space="preserve"> </w:t>
      </w:r>
      <w:r w:rsidR="00053380" w:rsidRPr="002B4E6D">
        <w:rPr>
          <w:szCs w:val="20"/>
          <w:lang w:val="es-CR"/>
        </w:rPr>
        <w:t>mismo</w:t>
      </w:r>
      <w:r w:rsidRPr="002B4E6D">
        <w:rPr>
          <w:szCs w:val="20"/>
          <w:lang w:val="es-CR"/>
        </w:rPr>
        <w:t xml:space="preserve"> a</w:t>
      </w:r>
      <w:r w:rsidR="00053380" w:rsidRPr="002B4E6D">
        <w:rPr>
          <w:szCs w:val="20"/>
          <w:lang w:val="es-CR"/>
        </w:rPr>
        <w:t>ñ</w:t>
      </w:r>
      <w:r w:rsidRPr="002B4E6D">
        <w:rPr>
          <w:szCs w:val="20"/>
          <w:lang w:val="es-CR"/>
        </w:rPr>
        <w:t xml:space="preserve">o, </w:t>
      </w:r>
      <w:r w:rsidR="00053380" w:rsidRPr="002B4E6D">
        <w:rPr>
          <w:szCs w:val="20"/>
          <w:lang w:val="es-CR"/>
        </w:rPr>
        <w:t>e</w:t>
      </w:r>
      <w:r w:rsidR="002839D9">
        <w:rPr>
          <w:szCs w:val="20"/>
          <w:lang w:val="es-CR"/>
        </w:rPr>
        <w:t>l</w:t>
      </w:r>
      <w:r w:rsidRPr="002B4E6D">
        <w:rPr>
          <w:szCs w:val="20"/>
          <w:lang w:val="es-CR"/>
        </w:rPr>
        <w:t xml:space="preserve"> número </w:t>
      </w:r>
      <w:r w:rsidR="002839D9">
        <w:rPr>
          <w:szCs w:val="20"/>
          <w:lang w:val="es-CR"/>
        </w:rPr>
        <w:t>aument</w:t>
      </w:r>
      <w:r w:rsidR="00053380" w:rsidRPr="002B4E6D">
        <w:rPr>
          <w:szCs w:val="20"/>
          <w:lang w:val="es-CR"/>
        </w:rPr>
        <w:t>ó</w:t>
      </w:r>
      <w:r w:rsidRPr="002B4E6D">
        <w:rPr>
          <w:szCs w:val="20"/>
          <w:lang w:val="es-CR"/>
        </w:rPr>
        <w:t xml:space="preserve"> a 1048;</w:t>
      </w:r>
    </w:p>
    <w:p w14:paraId="1E4472C4" w14:textId="77777777" w:rsidR="008906D1" w:rsidRPr="002B4E6D" w:rsidRDefault="008906D1" w:rsidP="00E22992">
      <w:pPr>
        <w:pStyle w:val="ListParagraph"/>
        <w:ind w:left="993"/>
        <w:rPr>
          <w:szCs w:val="20"/>
          <w:lang w:val="es-CR"/>
        </w:rPr>
      </w:pPr>
    </w:p>
    <w:p w14:paraId="39DD6F8D" w14:textId="49EDD45E" w:rsidR="00FE138D" w:rsidRPr="002B4E6D" w:rsidRDefault="00053380" w:rsidP="00E22992">
      <w:pPr>
        <w:pStyle w:val="ListParagraph"/>
        <w:numPr>
          <w:ilvl w:val="0"/>
          <w:numId w:val="6"/>
        </w:numPr>
        <w:ind w:left="993"/>
        <w:rPr>
          <w:szCs w:val="20"/>
          <w:lang w:val="es-CR"/>
        </w:rPr>
      </w:pPr>
      <w:r w:rsidRPr="002B4E6D">
        <w:rPr>
          <w:szCs w:val="20"/>
          <w:lang w:val="es-CR"/>
        </w:rPr>
        <w:t>Adopción</w:t>
      </w:r>
      <w:r w:rsidR="00D50C30" w:rsidRPr="002B4E6D">
        <w:rPr>
          <w:szCs w:val="20"/>
          <w:lang w:val="es-CR"/>
        </w:rPr>
        <w:t xml:space="preserve"> de alternativas pena</w:t>
      </w:r>
      <w:r w:rsidRPr="002B4E6D">
        <w:rPr>
          <w:szCs w:val="20"/>
          <w:lang w:val="es-CR"/>
        </w:rPr>
        <w:t>le</w:t>
      </w:r>
      <w:r w:rsidR="00D50C30" w:rsidRPr="002B4E6D">
        <w:rPr>
          <w:szCs w:val="20"/>
          <w:lang w:val="es-CR"/>
        </w:rPr>
        <w:t>s</w:t>
      </w:r>
      <w:r w:rsidR="001325BC" w:rsidRPr="002B4E6D">
        <w:rPr>
          <w:szCs w:val="20"/>
          <w:lang w:val="es-CR"/>
        </w:rPr>
        <w:t xml:space="preserve"> </w:t>
      </w:r>
      <w:r w:rsidRPr="002B4E6D">
        <w:rPr>
          <w:szCs w:val="20"/>
          <w:lang w:val="es-CR"/>
        </w:rPr>
        <w:t>y</w:t>
      </w:r>
      <w:r w:rsidR="00D50C30" w:rsidRPr="002B4E6D">
        <w:rPr>
          <w:szCs w:val="20"/>
          <w:lang w:val="es-CR"/>
        </w:rPr>
        <w:t xml:space="preserve"> de medida</w:t>
      </w:r>
      <w:r w:rsidR="006955F0" w:rsidRPr="002B4E6D">
        <w:rPr>
          <w:szCs w:val="20"/>
          <w:lang w:val="es-CR"/>
        </w:rPr>
        <w:t>s como el</w:t>
      </w:r>
      <w:r w:rsidR="008906D1" w:rsidRPr="002B4E6D">
        <w:rPr>
          <w:szCs w:val="20"/>
          <w:lang w:val="es-CR"/>
        </w:rPr>
        <w:t xml:space="preserve"> </w:t>
      </w:r>
      <w:r w:rsidRPr="002B4E6D">
        <w:rPr>
          <w:szCs w:val="20"/>
          <w:lang w:val="es-CR"/>
        </w:rPr>
        <w:t>monitoreo</w:t>
      </w:r>
      <w:r w:rsidR="008906D1" w:rsidRPr="002B4E6D">
        <w:rPr>
          <w:szCs w:val="20"/>
          <w:lang w:val="es-CR"/>
        </w:rPr>
        <w:t xml:space="preserve"> </w:t>
      </w:r>
      <w:r w:rsidRPr="002B4E6D">
        <w:rPr>
          <w:szCs w:val="20"/>
          <w:lang w:val="es-CR"/>
        </w:rPr>
        <w:t>electrónico</w:t>
      </w:r>
      <w:r w:rsidR="008906D1" w:rsidRPr="002B4E6D">
        <w:rPr>
          <w:szCs w:val="20"/>
          <w:lang w:val="es-CR"/>
        </w:rPr>
        <w:t>.</w:t>
      </w:r>
      <w:r w:rsidR="001325BC" w:rsidRPr="002B4E6D">
        <w:rPr>
          <w:szCs w:val="20"/>
          <w:lang w:val="es-CR"/>
        </w:rPr>
        <w:t xml:space="preserve"> </w:t>
      </w:r>
      <w:r w:rsidRPr="002B4E6D">
        <w:rPr>
          <w:szCs w:val="20"/>
          <w:lang w:val="es-CR"/>
        </w:rPr>
        <w:t>El</w:t>
      </w:r>
      <w:r w:rsidR="001325BC" w:rsidRPr="002B4E6D">
        <w:rPr>
          <w:szCs w:val="20"/>
          <w:lang w:val="es-CR"/>
        </w:rPr>
        <w:t xml:space="preserve"> Estado </w:t>
      </w:r>
      <w:r w:rsidRPr="002B4E6D">
        <w:rPr>
          <w:szCs w:val="20"/>
          <w:lang w:val="es-CR"/>
        </w:rPr>
        <w:t>indicó</w:t>
      </w:r>
      <w:r w:rsidR="001325BC" w:rsidRPr="002B4E6D">
        <w:rPr>
          <w:szCs w:val="20"/>
          <w:lang w:val="es-CR"/>
        </w:rPr>
        <w:t xml:space="preserve"> como principal </w:t>
      </w:r>
      <w:r w:rsidR="002839D9">
        <w:rPr>
          <w:szCs w:val="20"/>
          <w:lang w:val="es-CR"/>
        </w:rPr>
        <w:t xml:space="preserve">obstáculo </w:t>
      </w:r>
      <w:r w:rsidR="001325BC" w:rsidRPr="002B4E6D">
        <w:rPr>
          <w:szCs w:val="20"/>
          <w:lang w:val="es-CR"/>
        </w:rPr>
        <w:t xml:space="preserve">para </w:t>
      </w:r>
      <w:r w:rsidRPr="002B4E6D">
        <w:rPr>
          <w:szCs w:val="20"/>
          <w:lang w:val="es-CR"/>
        </w:rPr>
        <w:t>l</w:t>
      </w:r>
      <w:r w:rsidR="001325BC" w:rsidRPr="002B4E6D">
        <w:rPr>
          <w:szCs w:val="20"/>
          <w:lang w:val="es-CR"/>
        </w:rPr>
        <w:t>a amplia</w:t>
      </w:r>
      <w:r w:rsidR="00AA1A37" w:rsidRPr="002B4E6D">
        <w:rPr>
          <w:szCs w:val="20"/>
          <w:lang w:val="es-CR"/>
        </w:rPr>
        <w:t>ción</w:t>
      </w:r>
      <w:r w:rsidR="001325BC" w:rsidRPr="002B4E6D">
        <w:rPr>
          <w:szCs w:val="20"/>
          <w:lang w:val="es-CR"/>
        </w:rPr>
        <w:t xml:space="preserve"> de medidas cautelares </w:t>
      </w:r>
      <w:r w:rsidR="001325BC" w:rsidRPr="002B4E6D">
        <w:rPr>
          <w:szCs w:val="20"/>
          <w:lang w:val="es-CR"/>
        </w:rPr>
        <w:lastRenderedPageBreak/>
        <w:t xml:space="preserve">alternativas </w:t>
      </w:r>
      <w:r w:rsidRPr="002B4E6D">
        <w:rPr>
          <w:szCs w:val="20"/>
          <w:lang w:val="es-CR"/>
        </w:rPr>
        <w:t>al</w:t>
      </w:r>
      <w:r w:rsidR="001325BC" w:rsidRPr="002B4E6D">
        <w:rPr>
          <w:szCs w:val="20"/>
          <w:lang w:val="es-CR"/>
        </w:rPr>
        <w:t xml:space="preserve"> </w:t>
      </w:r>
      <w:r w:rsidRPr="002B4E6D">
        <w:rPr>
          <w:szCs w:val="20"/>
          <w:lang w:val="es-CR"/>
        </w:rPr>
        <w:t>encarcelamiento</w:t>
      </w:r>
      <w:r w:rsidR="001325BC" w:rsidRPr="002B4E6D">
        <w:rPr>
          <w:szCs w:val="20"/>
          <w:lang w:val="es-CR"/>
        </w:rPr>
        <w:t xml:space="preserve"> </w:t>
      </w:r>
      <w:r w:rsidR="002839D9">
        <w:rPr>
          <w:szCs w:val="20"/>
          <w:lang w:val="es-CR"/>
        </w:rPr>
        <w:t xml:space="preserve">las </w:t>
      </w:r>
      <w:r w:rsidRPr="002B4E6D">
        <w:rPr>
          <w:szCs w:val="20"/>
          <w:lang w:val="es-CR"/>
        </w:rPr>
        <w:t>dificultades</w:t>
      </w:r>
      <w:r w:rsidR="001325BC" w:rsidRPr="002B4E6D">
        <w:rPr>
          <w:szCs w:val="20"/>
          <w:lang w:val="es-CR"/>
        </w:rPr>
        <w:t xml:space="preserve"> </w:t>
      </w:r>
      <w:r w:rsidRPr="002B4E6D">
        <w:rPr>
          <w:szCs w:val="20"/>
          <w:lang w:val="es-CR"/>
        </w:rPr>
        <w:t>en la</w:t>
      </w:r>
      <w:r w:rsidR="001325BC" w:rsidRPr="002B4E6D">
        <w:rPr>
          <w:szCs w:val="20"/>
          <w:lang w:val="es-CR"/>
        </w:rPr>
        <w:t xml:space="preserve"> fiscaliza</w:t>
      </w:r>
      <w:r w:rsidR="00AA1A37" w:rsidRPr="002B4E6D">
        <w:rPr>
          <w:szCs w:val="20"/>
          <w:lang w:val="es-CR"/>
        </w:rPr>
        <w:t>ción</w:t>
      </w:r>
      <w:r w:rsidR="001325BC" w:rsidRPr="002B4E6D">
        <w:rPr>
          <w:szCs w:val="20"/>
          <w:lang w:val="es-CR"/>
        </w:rPr>
        <w:t xml:space="preserve"> de </w:t>
      </w:r>
      <w:r w:rsidRPr="002B4E6D">
        <w:rPr>
          <w:szCs w:val="20"/>
          <w:lang w:val="es-CR"/>
        </w:rPr>
        <w:t>su</w:t>
      </w:r>
      <w:r w:rsidR="001325BC" w:rsidRPr="002B4E6D">
        <w:rPr>
          <w:szCs w:val="20"/>
          <w:lang w:val="es-CR"/>
        </w:rPr>
        <w:t xml:space="preserve"> </w:t>
      </w:r>
      <w:r w:rsidRPr="002B4E6D">
        <w:rPr>
          <w:szCs w:val="20"/>
          <w:lang w:val="es-CR"/>
        </w:rPr>
        <w:t>cumplimento</w:t>
      </w:r>
      <w:r w:rsidR="00F943F1" w:rsidRPr="002B4E6D">
        <w:rPr>
          <w:szCs w:val="20"/>
          <w:lang w:val="es-CR"/>
        </w:rPr>
        <w:t>;</w:t>
      </w:r>
    </w:p>
    <w:p w14:paraId="7C67A113" w14:textId="77777777" w:rsidR="001325BC" w:rsidRPr="002B4E6D" w:rsidRDefault="001325BC" w:rsidP="00E22992">
      <w:pPr>
        <w:pStyle w:val="ListParagraph"/>
        <w:ind w:left="993"/>
        <w:rPr>
          <w:szCs w:val="20"/>
          <w:lang w:val="es-CR"/>
        </w:rPr>
      </w:pPr>
    </w:p>
    <w:p w14:paraId="046E2BAD" w14:textId="1660FF45" w:rsidR="00BA2E10" w:rsidRPr="002B4E6D" w:rsidRDefault="002839D9" w:rsidP="00E22992">
      <w:pPr>
        <w:pStyle w:val="ListParagraph"/>
        <w:numPr>
          <w:ilvl w:val="0"/>
          <w:numId w:val="6"/>
        </w:numPr>
        <w:ind w:left="993"/>
        <w:rPr>
          <w:szCs w:val="20"/>
          <w:lang w:val="es-CR"/>
        </w:rPr>
      </w:pPr>
      <w:r>
        <w:rPr>
          <w:szCs w:val="20"/>
          <w:lang w:val="es-CR"/>
        </w:rPr>
        <w:t>P</w:t>
      </w:r>
      <w:r w:rsidR="00053380" w:rsidRPr="002B4E6D">
        <w:rPr>
          <w:szCs w:val="20"/>
          <w:lang w:val="es-CR"/>
        </w:rPr>
        <w:t>osibilidad</w:t>
      </w:r>
      <w:r w:rsidR="00BA2E10" w:rsidRPr="002B4E6D">
        <w:rPr>
          <w:szCs w:val="20"/>
          <w:lang w:val="es-CR"/>
        </w:rPr>
        <w:t xml:space="preserve"> de </w:t>
      </w:r>
      <w:r w:rsidR="00053380" w:rsidRPr="002B4E6D">
        <w:rPr>
          <w:szCs w:val="20"/>
          <w:lang w:val="es-CR"/>
        </w:rPr>
        <w:t>conce</w:t>
      </w:r>
      <w:r>
        <w:rPr>
          <w:szCs w:val="20"/>
          <w:lang w:val="es-CR"/>
        </w:rPr>
        <w:t>der</w:t>
      </w:r>
      <w:r w:rsidR="00BA2E10" w:rsidRPr="002B4E6D">
        <w:rPr>
          <w:szCs w:val="20"/>
          <w:lang w:val="es-CR"/>
        </w:rPr>
        <w:t xml:space="preserve"> </w:t>
      </w:r>
      <w:r w:rsidR="00053380" w:rsidRPr="002B4E6D">
        <w:rPr>
          <w:szCs w:val="20"/>
          <w:lang w:val="es-CR"/>
        </w:rPr>
        <w:t>prisión</w:t>
      </w:r>
      <w:r w:rsidR="00BA2E10" w:rsidRPr="002B4E6D">
        <w:rPr>
          <w:szCs w:val="20"/>
          <w:lang w:val="es-CR"/>
        </w:rPr>
        <w:t xml:space="preserve"> domiciliar</w:t>
      </w:r>
      <w:r w:rsidR="00053380" w:rsidRPr="002B4E6D">
        <w:rPr>
          <w:szCs w:val="20"/>
          <w:lang w:val="es-CR"/>
        </w:rPr>
        <w:t>ia</w:t>
      </w:r>
      <w:r w:rsidR="00BA2E10" w:rsidRPr="002B4E6D">
        <w:rPr>
          <w:szCs w:val="20"/>
          <w:lang w:val="es-CR"/>
        </w:rPr>
        <w:t xml:space="preserve"> </w:t>
      </w:r>
      <w:r w:rsidR="00053380" w:rsidRPr="002B4E6D">
        <w:rPr>
          <w:szCs w:val="20"/>
          <w:lang w:val="es-CR"/>
        </w:rPr>
        <w:t>a los</w:t>
      </w:r>
      <w:r w:rsidR="00BA2E10" w:rsidRPr="002B4E6D">
        <w:rPr>
          <w:szCs w:val="20"/>
          <w:lang w:val="es-CR"/>
        </w:rPr>
        <w:t xml:space="preserve"> internos que </w:t>
      </w:r>
      <w:r w:rsidR="00053380" w:rsidRPr="002B4E6D">
        <w:rPr>
          <w:szCs w:val="20"/>
          <w:lang w:val="es-CR"/>
        </w:rPr>
        <w:t>estén</w:t>
      </w:r>
      <w:r w:rsidR="00BA2E10" w:rsidRPr="002B4E6D">
        <w:rPr>
          <w:szCs w:val="20"/>
          <w:lang w:val="es-CR"/>
        </w:rPr>
        <w:t xml:space="preserve"> </w:t>
      </w:r>
      <w:r w:rsidR="00053380" w:rsidRPr="002B4E6D">
        <w:rPr>
          <w:szCs w:val="20"/>
          <w:lang w:val="es-CR"/>
        </w:rPr>
        <w:t>cumpliendo</w:t>
      </w:r>
      <w:r w:rsidR="00BA2E10" w:rsidRPr="002B4E6D">
        <w:rPr>
          <w:szCs w:val="20"/>
          <w:lang w:val="es-CR"/>
        </w:rPr>
        <w:t xml:space="preserve"> </w:t>
      </w:r>
      <w:r w:rsidR="00053380" w:rsidRPr="002B4E6D">
        <w:rPr>
          <w:szCs w:val="20"/>
          <w:lang w:val="es-CR"/>
        </w:rPr>
        <w:t>satisfactoriamente</w:t>
      </w:r>
      <w:r w:rsidR="00BA2E10" w:rsidRPr="002B4E6D">
        <w:rPr>
          <w:szCs w:val="20"/>
          <w:lang w:val="es-CR"/>
        </w:rPr>
        <w:t xml:space="preserve"> </w:t>
      </w:r>
      <w:r w:rsidR="00053380" w:rsidRPr="002B4E6D">
        <w:rPr>
          <w:szCs w:val="20"/>
          <w:lang w:val="es-CR"/>
        </w:rPr>
        <w:t>l</w:t>
      </w:r>
      <w:r w:rsidR="00BA2E10" w:rsidRPr="002B4E6D">
        <w:rPr>
          <w:szCs w:val="20"/>
          <w:lang w:val="es-CR"/>
        </w:rPr>
        <w:t xml:space="preserve">a pena </w:t>
      </w:r>
      <w:r w:rsidR="00053380" w:rsidRPr="002B4E6D">
        <w:rPr>
          <w:szCs w:val="20"/>
          <w:lang w:val="es-CR"/>
        </w:rPr>
        <w:t>en</w:t>
      </w:r>
      <w:r w:rsidR="00BA2E10" w:rsidRPr="002B4E6D">
        <w:rPr>
          <w:szCs w:val="20"/>
          <w:lang w:val="es-CR"/>
        </w:rPr>
        <w:t xml:space="preserve"> </w:t>
      </w:r>
      <w:r w:rsidR="00053380" w:rsidRPr="002B4E6D">
        <w:rPr>
          <w:szCs w:val="20"/>
          <w:lang w:val="es-CR"/>
        </w:rPr>
        <w:t>régimen</w:t>
      </w:r>
      <w:r w:rsidR="00BA2E10" w:rsidRPr="002B4E6D">
        <w:rPr>
          <w:szCs w:val="20"/>
          <w:lang w:val="es-CR"/>
        </w:rPr>
        <w:t xml:space="preserve"> </w:t>
      </w:r>
      <w:r w:rsidR="00053380" w:rsidRPr="002B4E6D">
        <w:rPr>
          <w:szCs w:val="20"/>
          <w:lang w:val="es-CR"/>
        </w:rPr>
        <w:t>abierto</w:t>
      </w:r>
      <w:r w:rsidR="00BA2E10" w:rsidRPr="002B4E6D">
        <w:rPr>
          <w:szCs w:val="20"/>
          <w:lang w:val="es-CR"/>
        </w:rPr>
        <w:t>;</w:t>
      </w:r>
    </w:p>
    <w:p w14:paraId="1B172E32" w14:textId="77777777" w:rsidR="00BA2E10" w:rsidRPr="002B4E6D" w:rsidRDefault="00BA2E10" w:rsidP="00E22992">
      <w:pPr>
        <w:ind w:left="993"/>
        <w:rPr>
          <w:szCs w:val="20"/>
          <w:lang w:val="es-CR"/>
        </w:rPr>
      </w:pPr>
    </w:p>
    <w:p w14:paraId="3DD73DB5" w14:textId="3EE077AA" w:rsidR="00FE138D" w:rsidRPr="002B4E6D" w:rsidRDefault="00E4427D" w:rsidP="00E22992">
      <w:pPr>
        <w:pStyle w:val="ListParagraph"/>
        <w:numPr>
          <w:ilvl w:val="0"/>
          <w:numId w:val="6"/>
        </w:numPr>
        <w:ind w:left="993"/>
        <w:rPr>
          <w:szCs w:val="20"/>
          <w:lang w:val="es-CR"/>
        </w:rPr>
      </w:pPr>
      <w:r>
        <w:rPr>
          <w:szCs w:val="20"/>
          <w:lang w:val="es-CR"/>
        </w:rPr>
        <w:t xml:space="preserve">Puesta </w:t>
      </w:r>
      <w:r w:rsidR="00053380" w:rsidRPr="002B4E6D">
        <w:rPr>
          <w:szCs w:val="20"/>
          <w:lang w:val="es-CR"/>
        </w:rPr>
        <w:t>en</w:t>
      </w:r>
      <w:r w:rsidR="00316AED" w:rsidRPr="002B4E6D">
        <w:rPr>
          <w:szCs w:val="20"/>
          <w:lang w:val="es-CR"/>
        </w:rPr>
        <w:t xml:space="preserve"> </w:t>
      </w:r>
      <w:r w:rsidR="00053380" w:rsidRPr="002B4E6D">
        <w:rPr>
          <w:szCs w:val="20"/>
          <w:lang w:val="es-CR"/>
        </w:rPr>
        <w:t>marcha</w:t>
      </w:r>
      <w:r w:rsidR="00316AED" w:rsidRPr="002B4E6D">
        <w:rPr>
          <w:szCs w:val="20"/>
          <w:lang w:val="es-CR"/>
        </w:rPr>
        <w:t xml:space="preserve"> </w:t>
      </w:r>
      <w:r>
        <w:rPr>
          <w:szCs w:val="20"/>
          <w:lang w:val="es-CR"/>
        </w:rPr>
        <w:t xml:space="preserve">de </w:t>
      </w:r>
      <w:r w:rsidR="00053380" w:rsidRPr="002B4E6D">
        <w:rPr>
          <w:szCs w:val="20"/>
          <w:lang w:val="es-CR"/>
        </w:rPr>
        <w:t>procesos</w:t>
      </w:r>
      <w:r w:rsidR="00316AED" w:rsidRPr="002B4E6D">
        <w:rPr>
          <w:szCs w:val="20"/>
          <w:lang w:val="es-CR"/>
        </w:rPr>
        <w:t xml:space="preserve"> para viabilizar obras </w:t>
      </w:r>
      <w:r w:rsidR="006955F0" w:rsidRPr="002B4E6D">
        <w:rPr>
          <w:szCs w:val="20"/>
          <w:lang w:val="es-CR"/>
        </w:rPr>
        <w:t>con miras al</w:t>
      </w:r>
      <w:r w:rsidR="00316AED" w:rsidRPr="002B4E6D">
        <w:rPr>
          <w:szCs w:val="20"/>
          <w:lang w:val="es-CR"/>
        </w:rPr>
        <w:t xml:space="preserve"> aumento de </w:t>
      </w:r>
      <w:r w:rsidR="002839D9">
        <w:rPr>
          <w:szCs w:val="20"/>
          <w:lang w:val="es-CR"/>
        </w:rPr>
        <w:t xml:space="preserve">la </w:t>
      </w:r>
      <w:r w:rsidR="00316AED" w:rsidRPr="002B4E6D">
        <w:rPr>
          <w:szCs w:val="20"/>
          <w:lang w:val="es-CR"/>
        </w:rPr>
        <w:t xml:space="preserve">oferta de </w:t>
      </w:r>
      <w:r w:rsidR="006955F0" w:rsidRPr="002B4E6D">
        <w:rPr>
          <w:szCs w:val="20"/>
          <w:lang w:val="es-CR"/>
        </w:rPr>
        <w:t>plazas</w:t>
      </w:r>
      <w:r w:rsidR="00316AED" w:rsidRPr="002B4E6D">
        <w:rPr>
          <w:szCs w:val="20"/>
          <w:lang w:val="es-CR"/>
        </w:rPr>
        <w:t xml:space="preserve"> </w:t>
      </w:r>
      <w:r w:rsidR="00053380" w:rsidRPr="002B4E6D">
        <w:rPr>
          <w:szCs w:val="20"/>
          <w:lang w:val="es-CR"/>
        </w:rPr>
        <w:t>en</w:t>
      </w:r>
      <w:r w:rsidR="00316AED" w:rsidRPr="002B4E6D">
        <w:rPr>
          <w:szCs w:val="20"/>
          <w:lang w:val="es-CR"/>
        </w:rPr>
        <w:t xml:space="preserve"> </w:t>
      </w:r>
      <w:r w:rsidR="00053380" w:rsidRPr="002B4E6D">
        <w:rPr>
          <w:szCs w:val="20"/>
          <w:lang w:val="es-CR"/>
        </w:rPr>
        <w:t>otras</w:t>
      </w:r>
      <w:r w:rsidR="00316AED" w:rsidRPr="002B4E6D">
        <w:rPr>
          <w:szCs w:val="20"/>
          <w:lang w:val="es-CR"/>
        </w:rPr>
        <w:t xml:space="preserve"> </w:t>
      </w:r>
      <w:r w:rsidR="00ED6186" w:rsidRPr="002B4E6D">
        <w:rPr>
          <w:szCs w:val="20"/>
          <w:lang w:val="es-CR"/>
        </w:rPr>
        <w:t>unidad</w:t>
      </w:r>
      <w:r w:rsidR="006955F0" w:rsidRPr="002B4E6D">
        <w:rPr>
          <w:szCs w:val="20"/>
          <w:lang w:val="es-CR"/>
        </w:rPr>
        <w:t>e</w:t>
      </w:r>
      <w:r w:rsidR="00316AED" w:rsidRPr="002B4E6D">
        <w:rPr>
          <w:szCs w:val="20"/>
          <w:lang w:val="es-CR"/>
        </w:rPr>
        <w:t xml:space="preserve">s </w:t>
      </w:r>
      <w:r w:rsidR="002D46A1" w:rsidRPr="002B4E6D">
        <w:rPr>
          <w:szCs w:val="20"/>
          <w:lang w:val="es-CR"/>
        </w:rPr>
        <w:t>penitenciarias</w:t>
      </w:r>
      <w:r w:rsidR="002C72C4" w:rsidRPr="002B4E6D">
        <w:rPr>
          <w:szCs w:val="20"/>
          <w:lang w:val="es-CR"/>
        </w:rPr>
        <w:t xml:space="preserve">, </w:t>
      </w:r>
      <w:r w:rsidR="00053380" w:rsidRPr="002B4E6D">
        <w:rPr>
          <w:szCs w:val="20"/>
          <w:lang w:val="es-CR"/>
        </w:rPr>
        <w:t>además del</w:t>
      </w:r>
      <w:r w:rsidR="002C72C4" w:rsidRPr="002B4E6D">
        <w:rPr>
          <w:szCs w:val="20"/>
          <w:lang w:val="es-CR"/>
        </w:rPr>
        <w:t xml:space="preserve"> IPPSC</w:t>
      </w:r>
      <w:r w:rsidR="00BA2E10" w:rsidRPr="002B4E6D">
        <w:rPr>
          <w:szCs w:val="20"/>
          <w:lang w:val="es-CR"/>
        </w:rPr>
        <w:t>.</w:t>
      </w:r>
    </w:p>
    <w:p w14:paraId="1229EA27" w14:textId="77777777" w:rsidR="000F6E3B" w:rsidRPr="002B4E6D" w:rsidRDefault="000F6E3B" w:rsidP="00BA2E10">
      <w:pPr>
        <w:rPr>
          <w:szCs w:val="20"/>
          <w:lang w:val="es-CR"/>
        </w:rPr>
      </w:pPr>
    </w:p>
    <w:p w14:paraId="2B90A203" w14:textId="10E73E21" w:rsidR="00195B8F" w:rsidRPr="002B4E6D" w:rsidRDefault="00053380" w:rsidP="002C706F">
      <w:pPr>
        <w:pStyle w:val="ListParagraph"/>
        <w:numPr>
          <w:ilvl w:val="0"/>
          <w:numId w:val="20"/>
        </w:numPr>
        <w:snapToGrid w:val="0"/>
        <w:ind w:left="0" w:firstLine="0"/>
        <w:contextualSpacing w:val="0"/>
        <w:rPr>
          <w:szCs w:val="20"/>
          <w:lang w:val="es-CR"/>
        </w:rPr>
      </w:pPr>
      <w:r w:rsidRPr="002B4E6D">
        <w:rPr>
          <w:szCs w:val="20"/>
          <w:lang w:val="es-CR"/>
        </w:rPr>
        <w:t>Específicamente</w:t>
      </w:r>
      <w:r w:rsidR="00210C54" w:rsidRPr="002B4E6D">
        <w:rPr>
          <w:szCs w:val="20"/>
          <w:lang w:val="es-CR"/>
        </w:rPr>
        <w:t xml:space="preserve"> </w:t>
      </w:r>
      <w:r w:rsidRPr="002B4E6D">
        <w:rPr>
          <w:szCs w:val="20"/>
          <w:lang w:val="es-CR"/>
        </w:rPr>
        <w:t>en</w:t>
      </w:r>
      <w:r w:rsidR="00210C54" w:rsidRPr="002B4E6D">
        <w:rPr>
          <w:szCs w:val="20"/>
          <w:lang w:val="es-CR"/>
        </w:rPr>
        <w:t xml:space="preserve"> rela</w:t>
      </w:r>
      <w:r w:rsidR="00AA1A37" w:rsidRPr="002B4E6D">
        <w:rPr>
          <w:szCs w:val="20"/>
          <w:lang w:val="es-CR"/>
        </w:rPr>
        <w:t>ción</w:t>
      </w:r>
      <w:r w:rsidR="00210C54" w:rsidRPr="002B4E6D">
        <w:rPr>
          <w:szCs w:val="20"/>
          <w:lang w:val="es-CR"/>
        </w:rPr>
        <w:t xml:space="preserve"> </w:t>
      </w:r>
      <w:r w:rsidRPr="002B4E6D">
        <w:rPr>
          <w:szCs w:val="20"/>
          <w:lang w:val="es-CR"/>
        </w:rPr>
        <w:t>al</w:t>
      </w:r>
      <w:r w:rsidR="00210C54" w:rsidRPr="002B4E6D">
        <w:rPr>
          <w:szCs w:val="20"/>
          <w:lang w:val="es-CR"/>
        </w:rPr>
        <w:t xml:space="preserve"> IPPSC,</w:t>
      </w:r>
      <w:r w:rsidR="00F05D0B" w:rsidRPr="002B4E6D">
        <w:rPr>
          <w:szCs w:val="20"/>
          <w:lang w:val="es-CR"/>
        </w:rPr>
        <w:t xml:space="preserve"> </w:t>
      </w:r>
      <w:r w:rsidRPr="002B4E6D">
        <w:rPr>
          <w:szCs w:val="20"/>
          <w:lang w:val="es-CR"/>
        </w:rPr>
        <w:t>el</w:t>
      </w:r>
      <w:r w:rsidR="00F05D0B" w:rsidRPr="002B4E6D">
        <w:rPr>
          <w:szCs w:val="20"/>
          <w:lang w:val="es-CR"/>
        </w:rPr>
        <w:t xml:space="preserve"> Estado </w:t>
      </w:r>
      <w:r w:rsidRPr="002B4E6D">
        <w:rPr>
          <w:szCs w:val="20"/>
          <w:lang w:val="es-CR"/>
        </w:rPr>
        <w:t>informó</w:t>
      </w:r>
      <w:r w:rsidR="00F05D0B" w:rsidRPr="002B4E6D">
        <w:rPr>
          <w:szCs w:val="20"/>
          <w:lang w:val="es-CR"/>
        </w:rPr>
        <w:t xml:space="preserve"> </w:t>
      </w:r>
      <w:r w:rsidRPr="002B4E6D">
        <w:rPr>
          <w:szCs w:val="20"/>
          <w:lang w:val="es-CR"/>
        </w:rPr>
        <w:t>l</w:t>
      </w:r>
      <w:r w:rsidR="00F05D0B" w:rsidRPr="002B4E6D">
        <w:rPr>
          <w:szCs w:val="20"/>
          <w:lang w:val="es-CR"/>
        </w:rPr>
        <w:t xml:space="preserve">as </w:t>
      </w:r>
      <w:r w:rsidRPr="002B4E6D">
        <w:rPr>
          <w:szCs w:val="20"/>
          <w:lang w:val="es-CR"/>
        </w:rPr>
        <w:t>siguientes</w:t>
      </w:r>
      <w:r w:rsidR="00F05D0B" w:rsidRPr="002B4E6D">
        <w:rPr>
          <w:szCs w:val="20"/>
          <w:lang w:val="es-CR"/>
        </w:rPr>
        <w:t xml:space="preserve"> medidas:</w:t>
      </w:r>
    </w:p>
    <w:p w14:paraId="5015E4CA" w14:textId="77777777" w:rsidR="00EE62DA" w:rsidRPr="002B4E6D" w:rsidRDefault="00EE62DA" w:rsidP="00EE62DA">
      <w:pPr>
        <w:pStyle w:val="ListParagraph"/>
        <w:rPr>
          <w:szCs w:val="20"/>
          <w:lang w:val="es-CR"/>
        </w:rPr>
      </w:pPr>
    </w:p>
    <w:p w14:paraId="736BE8F8" w14:textId="16929C25" w:rsidR="00EE62DA" w:rsidRPr="002B4E6D" w:rsidRDefault="00EE62DA" w:rsidP="00E22992">
      <w:pPr>
        <w:pStyle w:val="ListParagraph"/>
        <w:numPr>
          <w:ilvl w:val="0"/>
          <w:numId w:val="22"/>
        </w:numPr>
        <w:ind w:left="993" w:hanging="450"/>
        <w:rPr>
          <w:szCs w:val="20"/>
          <w:lang w:val="es-CR"/>
        </w:rPr>
      </w:pPr>
      <w:r w:rsidRPr="002B4E6D">
        <w:rPr>
          <w:szCs w:val="20"/>
          <w:lang w:val="es-CR"/>
        </w:rPr>
        <w:t>Elabora</w:t>
      </w:r>
      <w:r w:rsidR="00AA1A37" w:rsidRPr="002B4E6D">
        <w:rPr>
          <w:szCs w:val="20"/>
          <w:lang w:val="es-CR"/>
        </w:rPr>
        <w:t>ción</w:t>
      </w:r>
      <w:r w:rsidRPr="002B4E6D">
        <w:rPr>
          <w:szCs w:val="20"/>
          <w:lang w:val="es-CR"/>
        </w:rPr>
        <w:t xml:space="preserve"> de </w:t>
      </w:r>
      <w:r w:rsidR="00053380" w:rsidRPr="002B4E6D">
        <w:rPr>
          <w:szCs w:val="20"/>
          <w:lang w:val="es-CR"/>
        </w:rPr>
        <w:t>un proyecto</w:t>
      </w:r>
      <w:r w:rsidRPr="002B4E6D">
        <w:rPr>
          <w:szCs w:val="20"/>
          <w:lang w:val="es-CR"/>
        </w:rPr>
        <w:t xml:space="preserve"> básico </w:t>
      </w:r>
      <w:r w:rsidR="00053380" w:rsidRPr="002B4E6D">
        <w:rPr>
          <w:szCs w:val="20"/>
          <w:lang w:val="es-CR"/>
        </w:rPr>
        <w:t>buscando</w:t>
      </w:r>
      <w:r w:rsidRPr="002B4E6D">
        <w:rPr>
          <w:szCs w:val="20"/>
          <w:lang w:val="es-CR"/>
        </w:rPr>
        <w:t xml:space="preserve"> </w:t>
      </w:r>
      <w:r w:rsidR="00053380" w:rsidRPr="002B4E6D">
        <w:rPr>
          <w:szCs w:val="20"/>
          <w:lang w:val="es-CR"/>
        </w:rPr>
        <w:t>la</w:t>
      </w:r>
      <w:r w:rsidRPr="002B4E6D">
        <w:rPr>
          <w:szCs w:val="20"/>
          <w:lang w:val="es-CR"/>
        </w:rPr>
        <w:t xml:space="preserve"> </w:t>
      </w:r>
      <w:r w:rsidR="00053380" w:rsidRPr="002B4E6D">
        <w:rPr>
          <w:szCs w:val="20"/>
          <w:lang w:val="es-CR"/>
        </w:rPr>
        <w:t>construcción</w:t>
      </w:r>
      <w:r w:rsidRPr="002B4E6D">
        <w:rPr>
          <w:szCs w:val="20"/>
          <w:lang w:val="es-CR"/>
        </w:rPr>
        <w:t xml:space="preserve"> de </w:t>
      </w:r>
      <w:r w:rsidR="00053380" w:rsidRPr="002B4E6D">
        <w:rPr>
          <w:szCs w:val="20"/>
          <w:lang w:val="es-CR"/>
        </w:rPr>
        <w:t>un</w:t>
      </w:r>
      <w:r w:rsidRPr="002B4E6D">
        <w:rPr>
          <w:szCs w:val="20"/>
          <w:lang w:val="es-CR"/>
        </w:rPr>
        <w:t xml:space="preserve"> módulo de </w:t>
      </w:r>
      <w:r w:rsidR="00053380" w:rsidRPr="002B4E6D">
        <w:rPr>
          <w:szCs w:val="20"/>
          <w:lang w:val="es-CR"/>
        </w:rPr>
        <w:t>galería</w:t>
      </w:r>
      <w:r w:rsidRPr="002B4E6D">
        <w:rPr>
          <w:szCs w:val="20"/>
          <w:lang w:val="es-CR"/>
        </w:rPr>
        <w:t xml:space="preserve"> </w:t>
      </w:r>
      <w:r w:rsidR="00053380" w:rsidRPr="002B4E6D">
        <w:rPr>
          <w:szCs w:val="20"/>
          <w:lang w:val="es-CR"/>
        </w:rPr>
        <w:t>con</w:t>
      </w:r>
      <w:r w:rsidRPr="002B4E6D">
        <w:rPr>
          <w:szCs w:val="20"/>
          <w:lang w:val="es-CR"/>
        </w:rPr>
        <w:t xml:space="preserve"> </w:t>
      </w:r>
      <w:r w:rsidR="00053380" w:rsidRPr="002B4E6D">
        <w:rPr>
          <w:szCs w:val="20"/>
          <w:lang w:val="es-CR"/>
        </w:rPr>
        <w:t>capacidad</w:t>
      </w:r>
      <w:r w:rsidRPr="002B4E6D">
        <w:rPr>
          <w:szCs w:val="20"/>
          <w:lang w:val="es-CR"/>
        </w:rPr>
        <w:t xml:space="preserve"> para 200 </w:t>
      </w:r>
      <w:r w:rsidR="00DA3193" w:rsidRPr="002B4E6D">
        <w:rPr>
          <w:szCs w:val="20"/>
          <w:lang w:val="es-CR"/>
        </w:rPr>
        <w:t>internos</w:t>
      </w:r>
      <w:r w:rsidRPr="002B4E6D">
        <w:rPr>
          <w:szCs w:val="20"/>
          <w:lang w:val="es-CR"/>
        </w:rPr>
        <w:t>;</w:t>
      </w:r>
    </w:p>
    <w:p w14:paraId="47C7ABF9" w14:textId="77777777" w:rsidR="00EE62DA" w:rsidRPr="002B4E6D" w:rsidRDefault="00EE62DA" w:rsidP="00E22992">
      <w:pPr>
        <w:pStyle w:val="ListParagraph"/>
        <w:ind w:left="993"/>
        <w:rPr>
          <w:szCs w:val="20"/>
          <w:lang w:val="es-CR"/>
        </w:rPr>
      </w:pPr>
    </w:p>
    <w:p w14:paraId="13EBE894" w14:textId="463F8476" w:rsidR="002C706F" w:rsidRPr="002B4E6D" w:rsidRDefault="00053380" w:rsidP="00E22992">
      <w:pPr>
        <w:pStyle w:val="ListParagraph"/>
        <w:numPr>
          <w:ilvl w:val="0"/>
          <w:numId w:val="22"/>
        </w:numPr>
        <w:ind w:left="993" w:hanging="450"/>
        <w:rPr>
          <w:szCs w:val="20"/>
          <w:lang w:val="es-CR"/>
        </w:rPr>
      </w:pPr>
      <w:r w:rsidRPr="002B4E6D">
        <w:rPr>
          <w:szCs w:val="20"/>
          <w:lang w:val="es-CR"/>
        </w:rPr>
        <w:t>El</w:t>
      </w:r>
      <w:r w:rsidR="002C706F" w:rsidRPr="002B4E6D">
        <w:rPr>
          <w:szCs w:val="20"/>
          <w:lang w:val="es-CR"/>
        </w:rPr>
        <w:t xml:space="preserve"> </w:t>
      </w:r>
      <w:r w:rsidR="000D1815" w:rsidRPr="002B4E6D">
        <w:rPr>
          <w:szCs w:val="20"/>
          <w:lang w:val="es-CR"/>
        </w:rPr>
        <w:t>Consejo</w:t>
      </w:r>
      <w:r w:rsidR="002C706F" w:rsidRPr="002B4E6D">
        <w:rPr>
          <w:szCs w:val="20"/>
          <w:lang w:val="es-CR"/>
        </w:rPr>
        <w:t xml:space="preserve"> </w:t>
      </w:r>
      <w:r w:rsidR="000D1815" w:rsidRPr="002B4E6D">
        <w:rPr>
          <w:szCs w:val="20"/>
          <w:lang w:val="es-CR"/>
        </w:rPr>
        <w:t>Penitenciario</w:t>
      </w:r>
      <w:r w:rsidR="002C706F" w:rsidRPr="002B4E6D">
        <w:rPr>
          <w:szCs w:val="20"/>
          <w:lang w:val="es-CR"/>
        </w:rPr>
        <w:t xml:space="preserve"> </w:t>
      </w:r>
      <w:r w:rsidR="000D1815" w:rsidRPr="002B4E6D">
        <w:rPr>
          <w:szCs w:val="20"/>
          <w:lang w:val="es-CR"/>
        </w:rPr>
        <w:t>de</w:t>
      </w:r>
      <w:r w:rsidR="002C706F" w:rsidRPr="002B4E6D">
        <w:rPr>
          <w:szCs w:val="20"/>
          <w:lang w:val="es-CR"/>
        </w:rPr>
        <w:t xml:space="preserve"> R</w:t>
      </w:r>
      <w:r w:rsidR="000D1815" w:rsidRPr="002B4E6D">
        <w:rPr>
          <w:szCs w:val="20"/>
          <w:lang w:val="es-CR"/>
        </w:rPr>
        <w:t>í</w:t>
      </w:r>
      <w:r w:rsidR="002C706F" w:rsidRPr="002B4E6D">
        <w:rPr>
          <w:szCs w:val="20"/>
          <w:lang w:val="es-CR"/>
        </w:rPr>
        <w:t xml:space="preserve">o de Janeiro </w:t>
      </w:r>
      <w:r w:rsidR="000D1815" w:rsidRPr="002B4E6D">
        <w:rPr>
          <w:szCs w:val="20"/>
          <w:lang w:val="es-CR"/>
        </w:rPr>
        <w:t>inició</w:t>
      </w:r>
      <w:r w:rsidR="002C706F" w:rsidRPr="002B4E6D">
        <w:rPr>
          <w:szCs w:val="20"/>
          <w:lang w:val="es-CR"/>
        </w:rPr>
        <w:t xml:space="preserve"> </w:t>
      </w:r>
      <w:r w:rsidR="000D1815" w:rsidRPr="002B4E6D">
        <w:rPr>
          <w:szCs w:val="20"/>
          <w:lang w:val="es-CR"/>
        </w:rPr>
        <w:t>un procedimiento</w:t>
      </w:r>
      <w:r w:rsidR="002C706F" w:rsidRPr="002B4E6D">
        <w:rPr>
          <w:szCs w:val="20"/>
          <w:lang w:val="es-CR"/>
        </w:rPr>
        <w:t xml:space="preserve"> de verifica</w:t>
      </w:r>
      <w:r w:rsidR="00AA1A37" w:rsidRPr="002B4E6D">
        <w:rPr>
          <w:szCs w:val="20"/>
          <w:lang w:val="es-CR"/>
        </w:rPr>
        <w:t>ción</w:t>
      </w:r>
      <w:r w:rsidR="002C706F" w:rsidRPr="002B4E6D">
        <w:rPr>
          <w:szCs w:val="20"/>
          <w:lang w:val="es-CR"/>
        </w:rPr>
        <w:t xml:space="preserve"> </w:t>
      </w:r>
      <w:r w:rsidR="000D1815" w:rsidRPr="002B4E6D">
        <w:rPr>
          <w:szCs w:val="20"/>
          <w:lang w:val="es-CR"/>
        </w:rPr>
        <w:t>y</w:t>
      </w:r>
      <w:r w:rsidR="002C706F" w:rsidRPr="002B4E6D">
        <w:rPr>
          <w:szCs w:val="20"/>
          <w:lang w:val="es-CR"/>
        </w:rPr>
        <w:t xml:space="preserve"> declara</w:t>
      </w:r>
      <w:r w:rsidR="00AA1A37" w:rsidRPr="002B4E6D">
        <w:rPr>
          <w:szCs w:val="20"/>
          <w:lang w:val="es-CR"/>
        </w:rPr>
        <w:t>ción</w:t>
      </w:r>
      <w:r w:rsidR="002C706F" w:rsidRPr="002B4E6D">
        <w:rPr>
          <w:szCs w:val="20"/>
          <w:lang w:val="es-CR"/>
        </w:rPr>
        <w:t xml:space="preserve"> </w:t>
      </w:r>
      <w:r w:rsidR="000D1815" w:rsidRPr="002B4E6D">
        <w:rPr>
          <w:szCs w:val="20"/>
          <w:lang w:val="es-CR"/>
        </w:rPr>
        <w:t>de</w:t>
      </w:r>
      <w:r w:rsidR="002C706F" w:rsidRPr="002B4E6D">
        <w:rPr>
          <w:szCs w:val="20"/>
          <w:lang w:val="es-CR"/>
        </w:rPr>
        <w:t xml:space="preserve"> </w:t>
      </w:r>
      <w:r w:rsidR="00E367A4" w:rsidRPr="002B4E6D">
        <w:rPr>
          <w:szCs w:val="20"/>
          <w:lang w:val="es-CR"/>
        </w:rPr>
        <w:t xml:space="preserve">la </w:t>
      </w:r>
      <w:r w:rsidR="000D1815" w:rsidRPr="002B4E6D">
        <w:rPr>
          <w:szCs w:val="20"/>
          <w:lang w:val="es-CR"/>
        </w:rPr>
        <w:t>capacidad</w:t>
      </w:r>
      <w:r w:rsidR="002C706F" w:rsidRPr="002B4E6D">
        <w:rPr>
          <w:szCs w:val="20"/>
          <w:lang w:val="es-CR"/>
        </w:rPr>
        <w:t xml:space="preserve"> instalada </w:t>
      </w:r>
      <w:r w:rsidR="000D1815" w:rsidRPr="002B4E6D">
        <w:rPr>
          <w:szCs w:val="20"/>
          <w:lang w:val="es-CR"/>
        </w:rPr>
        <w:t>en el</w:t>
      </w:r>
      <w:r w:rsidR="002C706F" w:rsidRPr="002B4E6D">
        <w:rPr>
          <w:szCs w:val="20"/>
          <w:lang w:val="es-CR"/>
        </w:rPr>
        <w:t xml:space="preserve"> IPPSC;</w:t>
      </w:r>
    </w:p>
    <w:p w14:paraId="5C462498" w14:textId="77777777" w:rsidR="002C706F" w:rsidRPr="002B4E6D" w:rsidRDefault="002C706F" w:rsidP="00E22992">
      <w:pPr>
        <w:ind w:left="993"/>
        <w:rPr>
          <w:szCs w:val="20"/>
          <w:lang w:val="es-CR"/>
        </w:rPr>
      </w:pPr>
    </w:p>
    <w:p w14:paraId="01F6E84E" w14:textId="39104975" w:rsidR="002C706F" w:rsidRPr="002B4E6D" w:rsidRDefault="002C706F" w:rsidP="00E22992">
      <w:pPr>
        <w:pStyle w:val="ListParagraph"/>
        <w:numPr>
          <w:ilvl w:val="0"/>
          <w:numId w:val="22"/>
        </w:numPr>
        <w:ind w:left="993" w:hanging="450"/>
        <w:rPr>
          <w:szCs w:val="20"/>
          <w:lang w:val="es-CR"/>
        </w:rPr>
      </w:pPr>
      <w:r w:rsidRPr="002B4E6D">
        <w:rPr>
          <w:szCs w:val="20"/>
          <w:lang w:val="es-CR"/>
        </w:rPr>
        <w:t>Designa</w:t>
      </w:r>
      <w:r w:rsidR="00AA1A37" w:rsidRPr="002B4E6D">
        <w:rPr>
          <w:szCs w:val="20"/>
          <w:lang w:val="es-CR"/>
        </w:rPr>
        <w:t>ción</w:t>
      </w:r>
      <w:r w:rsidRPr="002B4E6D">
        <w:rPr>
          <w:szCs w:val="20"/>
          <w:lang w:val="es-CR"/>
        </w:rPr>
        <w:t xml:space="preserve"> de </w:t>
      </w:r>
      <w:r w:rsidR="00286306">
        <w:rPr>
          <w:szCs w:val="20"/>
          <w:lang w:val="es-CR"/>
        </w:rPr>
        <w:t>Fiscales (</w:t>
      </w:r>
      <w:r w:rsidRPr="008A344F">
        <w:rPr>
          <w:i/>
          <w:szCs w:val="20"/>
          <w:lang w:val="es-CR"/>
        </w:rPr>
        <w:t xml:space="preserve">Promotores de </w:t>
      </w:r>
      <w:proofErr w:type="spellStart"/>
      <w:r w:rsidR="000D1815" w:rsidRPr="008A344F">
        <w:rPr>
          <w:i/>
          <w:szCs w:val="20"/>
          <w:lang w:val="es-CR"/>
        </w:rPr>
        <w:t>Justi</w:t>
      </w:r>
      <w:r w:rsidR="00286306" w:rsidRPr="008A344F">
        <w:rPr>
          <w:i/>
          <w:szCs w:val="20"/>
          <w:lang w:val="es-CR"/>
        </w:rPr>
        <w:t>ç</w:t>
      </w:r>
      <w:r w:rsidR="000D1815" w:rsidRPr="008A344F">
        <w:rPr>
          <w:i/>
          <w:szCs w:val="20"/>
          <w:lang w:val="es-CR"/>
        </w:rPr>
        <w:t>a</w:t>
      </w:r>
      <w:proofErr w:type="spellEnd"/>
      <w:r w:rsidR="00286306">
        <w:rPr>
          <w:szCs w:val="20"/>
          <w:lang w:val="es-CR"/>
        </w:rPr>
        <w:t>)</w:t>
      </w:r>
      <w:r w:rsidRPr="002B4E6D">
        <w:rPr>
          <w:szCs w:val="20"/>
          <w:lang w:val="es-CR"/>
        </w:rPr>
        <w:t xml:space="preserve"> para </w:t>
      </w:r>
      <w:r w:rsidR="000D1815" w:rsidRPr="002B4E6D">
        <w:rPr>
          <w:szCs w:val="20"/>
          <w:lang w:val="es-CR"/>
        </w:rPr>
        <w:t>evaluar</w:t>
      </w:r>
      <w:r w:rsidRPr="002B4E6D">
        <w:rPr>
          <w:szCs w:val="20"/>
          <w:lang w:val="es-CR"/>
        </w:rPr>
        <w:t xml:space="preserve"> </w:t>
      </w:r>
      <w:r w:rsidR="000D1815" w:rsidRPr="002B4E6D">
        <w:rPr>
          <w:szCs w:val="20"/>
          <w:lang w:val="es-CR"/>
        </w:rPr>
        <w:t>l</w:t>
      </w:r>
      <w:r w:rsidRPr="002B4E6D">
        <w:rPr>
          <w:szCs w:val="20"/>
          <w:lang w:val="es-CR"/>
        </w:rPr>
        <w:t>a situa</w:t>
      </w:r>
      <w:r w:rsidR="00AA1A37" w:rsidRPr="002B4E6D">
        <w:rPr>
          <w:szCs w:val="20"/>
          <w:lang w:val="es-CR"/>
        </w:rPr>
        <w:t>ción</w:t>
      </w:r>
      <w:r w:rsidRPr="002B4E6D">
        <w:rPr>
          <w:szCs w:val="20"/>
          <w:lang w:val="es-CR"/>
        </w:rPr>
        <w:t xml:space="preserve"> jurídica </w:t>
      </w:r>
      <w:r w:rsidR="000D1815" w:rsidRPr="002B4E6D">
        <w:rPr>
          <w:szCs w:val="20"/>
          <w:lang w:val="es-CR"/>
        </w:rPr>
        <w:t>de los</w:t>
      </w:r>
      <w:r w:rsidRPr="002B4E6D">
        <w:rPr>
          <w:szCs w:val="20"/>
          <w:lang w:val="es-CR"/>
        </w:rPr>
        <w:t xml:space="preserve"> </w:t>
      </w:r>
      <w:r w:rsidR="000D1815" w:rsidRPr="002B4E6D">
        <w:rPr>
          <w:szCs w:val="20"/>
          <w:lang w:val="es-CR"/>
        </w:rPr>
        <w:t>detenidos</w:t>
      </w:r>
      <w:r w:rsidRPr="002B4E6D">
        <w:rPr>
          <w:szCs w:val="20"/>
          <w:lang w:val="es-CR"/>
        </w:rPr>
        <w:t xml:space="preserve"> </w:t>
      </w:r>
      <w:r w:rsidR="000D1815" w:rsidRPr="002B4E6D">
        <w:rPr>
          <w:szCs w:val="20"/>
          <w:lang w:val="es-CR"/>
        </w:rPr>
        <w:t>del</w:t>
      </w:r>
      <w:r w:rsidRPr="002B4E6D">
        <w:rPr>
          <w:szCs w:val="20"/>
          <w:lang w:val="es-CR"/>
        </w:rPr>
        <w:t xml:space="preserve"> IPPSC;</w:t>
      </w:r>
    </w:p>
    <w:p w14:paraId="292BC33B" w14:textId="77777777" w:rsidR="00195B8F" w:rsidRPr="002B4E6D" w:rsidRDefault="00195B8F" w:rsidP="00E22992">
      <w:pPr>
        <w:pStyle w:val="ListParagraph"/>
        <w:ind w:left="993"/>
        <w:rPr>
          <w:szCs w:val="20"/>
          <w:lang w:val="es-CR"/>
        </w:rPr>
      </w:pPr>
    </w:p>
    <w:p w14:paraId="125F4970" w14:textId="28DB2269" w:rsidR="006B24D7" w:rsidRPr="002B4E6D" w:rsidRDefault="006809C6" w:rsidP="00E22992">
      <w:pPr>
        <w:pStyle w:val="ListParagraph"/>
        <w:numPr>
          <w:ilvl w:val="0"/>
          <w:numId w:val="22"/>
        </w:numPr>
        <w:ind w:left="993" w:hanging="450"/>
        <w:rPr>
          <w:szCs w:val="20"/>
          <w:lang w:val="es-CR"/>
        </w:rPr>
      </w:pPr>
      <w:r w:rsidRPr="002B4E6D">
        <w:rPr>
          <w:szCs w:val="20"/>
          <w:lang w:val="es-CR"/>
        </w:rPr>
        <w:t>E</w:t>
      </w:r>
      <w:r w:rsidR="000D1815" w:rsidRPr="002B4E6D">
        <w:rPr>
          <w:szCs w:val="20"/>
          <w:lang w:val="es-CR"/>
        </w:rPr>
        <w:t>l</w:t>
      </w:r>
      <w:r w:rsidRPr="002B4E6D">
        <w:rPr>
          <w:szCs w:val="20"/>
          <w:lang w:val="es-CR"/>
        </w:rPr>
        <w:t xml:space="preserve"> 31 de </w:t>
      </w:r>
      <w:r w:rsidR="000D1815" w:rsidRPr="002B4E6D">
        <w:rPr>
          <w:szCs w:val="20"/>
          <w:lang w:val="es-CR"/>
        </w:rPr>
        <w:t>octubre</w:t>
      </w:r>
      <w:r w:rsidRPr="002B4E6D">
        <w:rPr>
          <w:szCs w:val="20"/>
          <w:lang w:val="es-CR"/>
        </w:rPr>
        <w:t xml:space="preserve"> de 2017, </w:t>
      </w:r>
      <w:r w:rsidR="000D1815" w:rsidRPr="002B4E6D">
        <w:rPr>
          <w:szCs w:val="20"/>
          <w:lang w:val="es-CR"/>
        </w:rPr>
        <w:t>el</w:t>
      </w:r>
      <w:r w:rsidR="006B24D7" w:rsidRPr="002B4E6D">
        <w:rPr>
          <w:szCs w:val="20"/>
          <w:lang w:val="es-CR"/>
        </w:rPr>
        <w:t xml:space="preserve"> </w:t>
      </w:r>
      <w:r w:rsidR="000D1815" w:rsidRPr="002B4E6D">
        <w:rPr>
          <w:szCs w:val="20"/>
          <w:lang w:val="es-CR"/>
        </w:rPr>
        <w:t>Consejo</w:t>
      </w:r>
      <w:r w:rsidR="00D341D8" w:rsidRPr="002B4E6D">
        <w:rPr>
          <w:szCs w:val="20"/>
          <w:lang w:val="es-CR"/>
        </w:rPr>
        <w:t xml:space="preserve"> Nacional de </w:t>
      </w:r>
      <w:r w:rsidR="000D1815" w:rsidRPr="002B4E6D">
        <w:rPr>
          <w:szCs w:val="20"/>
          <w:lang w:val="es-CR"/>
        </w:rPr>
        <w:t>Justicia</w:t>
      </w:r>
      <w:r w:rsidR="00D341D8" w:rsidRPr="002B4E6D">
        <w:rPr>
          <w:szCs w:val="20"/>
          <w:lang w:val="es-CR"/>
        </w:rPr>
        <w:t xml:space="preserve"> (CNJ)</w:t>
      </w:r>
      <w:r w:rsidR="006B24D7" w:rsidRPr="002B4E6D">
        <w:rPr>
          <w:szCs w:val="20"/>
          <w:lang w:val="es-CR"/>
        </w:rPr>
        <w:t xml:space="preserve"> </w:t>
      </w:r>
      <w:r w:rsidR="000D1815" w:rsidRPr="002B4E6D">
        <w:rPr>
          <w:szCs w:val="20"/>
          <w:lang w:val="es-CR"/>
        </w:rPr>
        <w:t>envió</w:t>
      </w:r>
      <w:r w:rsidR="006B24D7" w:rsidRPr="002B4E6D">
        <w:rPr>
          <w:szCs w:val="20"/>
          <w:lang w:val="es-CR"/>
        </w:rPr>
        <w:t xml:space="preserve"> </w:t>
      </w:r>
      <w:r w:rsidR="000D1815" w:rsidRPr="002B4E6D">
        <w:rPr>
          <w:szCs w:val="20"/>
          <w:lang w:val="es-CR"/>
        </w:rPr>
        <w:t>al</w:t>
      </w:r>
      <w:r w:rsidR="006B24D7" w:rsidRPr="002B4E6D">
        <w:rPr>
          <w:szCs w:val="20"/>
          <w:lang w:val="es-CR"/>
        </w:rPr>
        <w:t xml:space="preserve"> Grupo de Monitor</w:t>
      </w:r>
      <w:r w:rsidR="000D1815" w:rsidRPr="002B4E6D">
        <w:rPr>
          <w:szCs w:val="20"/>
          <w:lang w:val="es-CR"/>
        </w:rPr>
        <w:t>eo</w:t>
      </w:r>
      <w:r w:rsidR="006B24D7" w:rsidRPr="002B4E6D">
        <w:rPr>
          <w:szCs w:val="20"/>
          <w:lang w:val="es-CR"/>
        </w:rPr>
        <w:t xml:space="preserve"> </w:t>
      </w:r>
      <w:r w:rsidR="000D1815" w:rsidRPr="002B4E6D">
        <w:rPr>
          <w:szCs w:val="20"/>
          <w:lang w:val="es-CR"/>
        </w:rPr>
        <w:t>y</w:t>
      </w:r>
      <w:r w:rsidR="006B24D7" w:rsidRPr="002B4E6D">
        <w:rPr>
          <w:szCs w:val="20"/>
          <w:lang w:val="es-CR"/>
        </w:rPr>
        <w:t xml:space="preserve"> </w:t>
      </w:r>
      <w:r w:rsidR="003B035C" w:rsidRPr="002B4E6D">
        <w:rPr>
          <w:szCs w:val="20"/>
          <w:lang w:val="es-CR"/>
        </w:rPr>
        <w:t>Fiscalización</w:t>
      </w:r>
      <w:r w:rsidR="006B24D7" w:rsidRPr="002B4E6D">
        <w:rPr>
          <w:szCs w:val="20"/>
          <w:lang w:val="es-CR"/>
        </w:rPr>
        <w:t xml:space="preserve"> </w:t>
      </w:r>
      <w:r w:rsidR="000D1815" w:rsidRPr="002B4E6D">
        <w:rPr>
          <w:szCs w:val="20"/>
          <w:lang w:val="es-CR"/>
        </w:rPr>
        <w:t>del</w:t>
      </w:r>
      <w:r w:rsidR="006B24D7" w:rsidRPr="002B4E6D">
        <w:rPr>
          <w:szCs w:val="20"/>
          <w:lang w:val="es-CR"/>
        </w:rPr>
        <w:t xml:space="preserve"> Sistema </w:t>
      </w:r>
      <w:r w:rsidR="000D1815" w:rsidRPr="002B4E6D">
        <w:rPr>
          <w:szCs w:val="20"/>
          <w:lang w:val="es-CR"/>
        </w:rPr>
        <w:t>Penitenciario</w:t>
      </w:r>
      <w:r w:rsidR="006B24D7" w:rsidRPr="002B4E6D">
        <w:rPr>
          <w:szCs w:val="20"/>
          <w:lang w:val="es-CR"/>
        </w:rPr>
        <w:t xml:space="preserve"> </w:t>
      </w:r>
      <w:r w:rsidR="000D1815" w:rsidRPr="002B4E6D">
        <w:rPr>
          <w:szCs w:val="20"/>
          <w:lang w:val="es-CR"/>
        </w:rPr>
        <w:t>del</w:t>
      </w:r>
      <w:r w:rsidR="006B24D7" w:rsidRPr="002B4E6D">
        <w:rPr>
          <w:szCs w:val="20"/>
          <w:lang w:val="es-CR"/>
        </w:rPr>
        <w:t xml:space="preserve"> </w:t>
      </w:r>
      <w:r w:rsidR="003B748F">
        <w:rPr>
          <w:szCs w:val="20"/>
          <w:lang w:val="es-CR"/>
        </w:rPr>
        <w:t>e</w:t>
      </w:r>
      <w:r w:rsidR="006B24D7" w:rsidRPr="002B4E6D">
        <w:rPr>
          <w:szCs w:val="20"/>
          <w:lang w:val="es-CR"/>
        </w:rPr>
        <w:t xml:space="preserve">stado </w:t>
      </w:r>
      <w:r w:rsidR="000D1815" w:rsidRPr="002B4E6D">
        <w:rPr>
          <w:szCs w:val="20"/>
          <w:lang w:val="es-CR"/>
        </w:rPr>
        <w:t>de Rí</w:t>
      </w:r>
      <w:r w:rsidR="006B24D7" w:rsidRPr="002B4E6D">
        <w:rPr>
          <w:szCs w:val="20"/>
          <w:lang w:val="es-CR"/>
        </w:rPr>
        <w:t>o de Janeiro</w:t>
      </w:r>
      <w:r w:rsidR="009D5AB4" w:rsidRPr="002B4E6D">
        <w:rPr>
          <w:szCs w:val="20"/>
          <w:lang w:val="es-CR"/>
        </w:rPr>
        <w:t xml:space="preserve"> (GMF-RJ)</w:t>
      </w:r>
      <w:r w:rsidR="009620AB" w:rsidRPr="002B4E6D">
        <w:rPr>
          <w:rStyle w:val="FootnoteReference"/>
          <w:lang w:val="es-CR"/>
        </w:rPr>
        <w:footnoteReference w:id="8"/>
      </w:r>
      <w:r w:rsidR="006B24D7" w:rsidRPr="002B4E6D">
        <w:rPr>
          <w:szCs w:val="20"/>
          <w:lang w:val="es-CR"/>
        </w:rPr>
        <w:t xml:space="preserve"> </w:t>
      </w:r>
      <w:r w:rsidR="0036766F">
        <w:rPr>
          <w:szCs w:val="20"/>
          <w:lang w:val="es-CR"/>
        </w:rPr>
        <w:t xml:space="preserve">una </w:t>
      </w:r>
      <w:r w:rsidR="000D1815" w:rsidRPr="002B4E6D">
        <w:rPr>
          <w:szCs w:val="20"/>
          <w:lang w:val="es-CR"/>
        </w:rPr>
        <w:t>solicitud</w:t>
      </w:r>
      <w:r w:rsidR="006B24D7" w:rsidRPr="002B4E6D">
        <w:rPr>
          <w:szCs w:val="20"/>
          <w:lang w:val="es-CR"/>
        </w:rPr>
        <w:t xml:space="preserve"> </w:t>
      </w:r>
      <w:r w:rsidR="009D5AB4" w:rsidRPr="002B4E6D">
        <w:rPr>
          <w:szCs w:val="20"/>
          <w:lang w:val="es-CR"/>
        </w:rPr>
        <w:t xml:space="preserve">para que </w:t>
      </w:r>
      <w:r w:rsidR="003B035C" w:rsidRPr="002B4E6D">
        <w:rPr>
          <w:szCs w:val="20"/>
          <w:lang w:val="es-CR"/>
        </w:rPr>
        <w:t>fuese</w:t>
      </w:r>
      <w:r w:rsidR="006E449D" w:rsidRPr="002B4E6D">
        <w:rPr>
          <w:szCs w:val="20"/>
          <w:lang w:val="es-CR"/>
        </w:rPr>
        <w:t xml:space="preserve"> </w:t>
      </w:r>
      <w:r w:rsidR="000D1815" w:rsidRPr="002B4E6D">
        <w:rPr>
          <w:szCs w:val="20"/>
          <w:lang w:val="es-CR"/>
        </w:rPr>
        <w:t>evaluada</w:t>
      </w:r>
      <w:r w:rsidR="006B24D7" w:rsidRPr="002B4E6D">
        <w:rPr>
          <w:szCs w:val="20"/>
          <w:lang w:val="es-CR"/>
        </w:rPr>
        <w:t xml:space="preserve"> </w:t>
      </w:r>
      <w:r w:rsidR="000D1815" w:rsidRPr="002B4E6D">
        <w:rPr>
          <w:szCs w:val="20"/>
          <w:lang w:val="es-CR"/>
        </w:rPr>
        <w:t>l</w:t>
      </w:r>
      <w:r w:rsidR="006B24D7" w:rsidRPr="002B4E6D">
        <w:rPr>
          <w:szCs w:val="20"/>
          <w:lang w:val="es-CR"/>
        </w:rPr>
        <w:t xml:space="preserve">a </w:t>
      </w:r>
      <w:r w:rsidR="000D1815" w:rsidRPr="002B4E6D">
        <w:rPr>
          <w:szCs w:val="20"/>
          <w:lang w:val="es-CR"/>
        </w:rPr>
        <w:t>pertinencia</w:t>
      </w:r>
      <w:r w:rsidR="006B24D7" w:rsidRPr="002B4E6D">
        <w:rPr>
          <w:szCs w:val="20"/>
          <w:lang w:val="es-CR"/>
        </w:rPr>
        <w:t xml:space="preserve"> de</w:t>
      </w:r>
      <w:r w:rsidR="003B748F">
        <w:rPr>
          <w:szCs w:val="20"/>
          <w:lang w:val="es-CR"/>
        </w:rPr>
        <w:t xml:space="preserve"> concentrar esfuerzos </w:t>
      </w:r>
      <w:r w:rsidR="006B24D7" w:rsidRPr="002B4E6D">
        <w:rPr>
          <w:szCs w:val="20"/>
          <w:lang w:val="es-CR"/>
        </w:rPr>
        <w:t xml:space="preserve">para </w:t>
      </w:r>
      <w:r w:rsidR="000D1815" w:rsidRPr="002B4E6D">
        <w:rPr>
          <w:szCs w:val="20"/>
          <w:lang w:val="es-CR"/>
        </w:rPr>
        <w:t xml:space="preserve">la </w:t>
      </w:r>
      <w:r w:rsidR="006B24D7" w:rsidRPr="002B4E6D">
        <w:rPr>
          <w:szCs w:val="20"/>
          <w:lang w:val="es-CR"/>
        </w:rPr>
        <w:t>aplica</w:t>
      </w:r>
      <w:r w:rsidR="00AA1A37" w:rsidRPr="002B4E6D">
        <w:rPr>
          <w:szCs w:val="20"/>
          <w:lang w:val="es-CR"/>
        </w:rPr>
        <w:t>ción</w:t>
      </w:r>
      <w:r w:rsidR="006B24D7" w:rsidRPr="002B4E6D">
        <w:rPr>
          <w:szCs w:val="20"/>
          <w:lang w:val="es-CR"/>
        </w:rPr>
        <w:t xml:space="preserve"> </w:t>
      </w:r>
      <w:r w:rsidR="000D1815" w:rsidRPr="002B4E6D">
        <w:rPr>
          <w:szCs w:val="20"/>
          <w:lang w:val="es-CR"/>
        </w:rPr>
        <w:t>de la</w:t>
      </w:r>
      <w:r w:rsidR="00B37866" w:rsidRPr="002B4E6D">
        <w:rPr>
          <w:szCs w:val="20"/>
          <w:lang w:val="es-CR"/>
        </w:rPr>
        <w:t xml:space="preserve"> Interpretación</w:t>
      </w:r>
      <w:r w:rsidR="006B24D7" w:rsidRPr="002B4E6D">
        <w:rPr>
          <w:szCs w:val="20"/>
          <w:lang w:val="es-CR"/>
        </w:rPr>
        <w:t xml:space="preserve"> </w:t>
      </w:r>
      <w:r w:rsidR="00B37866" w:rsidRPr="002B4E6D">
        <w:rPr>
          <w:szCs w:val="20"/>
          <w:lang w:val="es-CR"/>
        </w:rPr>
        <w:t>Vinculante (</w:t>
      </w:r>
      <w:proofErr w:type="spellStart"/>
      <w:r w:rsidR="006B24D7" w:rsidRPr="002B4E6D">
        <w:rPr>
          <w:i/>
          <w:szCs w:val="20"/>
          <w:lang w:val="es-CR"/>
        </w:rPr>
        <w:t>Súmula</w:t>
      </w:r>
      <w:proofErr w:type="spellEnd"/>
      <w:r w:rsidR="006B24D7" w:rsidRPr="002B4E6D">
        <w:rPr>
          <w:i/>
          <w:szCs w:val="20"/>
          <w:lang w:val="es-CR"/>
        </w:rPr>
        <w:t xml:space="preserve"> Vinculante</w:t>
      </w:r>
      <w:r w:rsidR="00B37866" w:rsidRPr="002B4E6D">
        <w:rPr>
          <w:szCs w:val="20"/>
          <w:lang w:val="es-CR"/>
        </w:rPr>
        <w:t>)</w:t>
      </w:r>
      <w:r w:rsidR="006B24D7" w:rsidRPr="002B4E6D">
        <w:rPr>
          <w:szCs w:val="20"/>
          <w:lang w:val="es-CR"/>
        </w:rPr>
        <w:t xml:space="preserve"> nº 56</w:t>
      </w:r>
      <w:r w:rsidR="006B24D7" w:rsidRPr="002B4E6D">
        <w:rPr>
          <w:rStyle w:val="FootnoteReference"/>
          <w:lang w:val="es-CR"/>
        </w:rPr>
        <w:footnoteReference w:id="9"/>
      </w:r>
      <w:r w:rsidR="006B24D7" w:rsidRPr="002B4E6D">
        <w:rPr>
          <w:szCs w:val="20"/>
          <w:lang w:val="es-CR"/>
        </w:rPr>
        <w:t xml:space="preserve"> </w:t>
      </w:r>
      <w:r w:rsidR="00B37866" w:rsidRPr="002B4E6D">
        <w:rPr>
          <w:szCs w:val="20"/>
          <w:lang w:val="es-CR"/>
        </w:rPr>
        <w:t>en</w:t>
      </w:r>
      <w:r w:rsidR="006B24D7" w:rsidRPr="002B4E6D">
        <w:rPr>
          <w:szCs w:val="20"/>
          <w:lang w:val="es-CR"/>
        </w:rPr>
        <w:t xml:space="preserve"> favor </w:t>
      </w:r>
      <w:r w:rsidR="00B37866" w:rsidRPr="002B4E6D">
        <w:rPr>
          <w:szCs w:val="20"/>
          <w:lang w:val="es-CR"/>
        </w:rPr>
        <w:t>de las</w:t>
      </w:r>
      <w:r w:rsidR="006B24D7" w:rsidRPr="002B4E6D">
        <w:rPr>
          <w:szCs w:val="20"/>
          <w:lang w:val="es-CR"/>
        </w:rPr>
        <w:t xml:space="preserve"> </w:t>
      </w:r>
      <w:r w:rsidR="00AA1A37" w:rsidRPr="002B4E6D">
        <w:rPr>
          <w:szCs w:val="20"/>
          <w:lang w:val="es-CR"/>
        </w:rPr>
        <w:t>personas</w:t>
      </w:r>
      <w:r w:rsidR="006B24D7" w:rsidRPr="002B4E6D">
        <w:rPr>
          <w:szCs w:val="20"/>
          <w:lang w:val="es-CR"/>
        </w:rPr>
        <w:t xml:space="preserve"> custodiadas </w:t>
      </w:r>
      <w:r w:rsidR="00B37866" w:rsidRPr="002B4E6D">
        <w:rPr>
          <w:szCs w:val="20"/>
          <w:lang w:val="es-CR"/>
        </w:rPr>
        <w:t>en el</w:t>
      </w:r>
      <w:r w:rsidR="006B24D7" w:rsidRPr="002B4E6D">
        <w:rPr>
          <w:szCs w:val="20"/>
          <w:lang w:val="es-CR"/>
        </w:rPr>
        <w:t xml:space="preserve"> IPPSC</w:t>
      </w:r>
      <w:r w:rsidR="004F26AD">
        <w:rPr>
          <w:szCs w:val="20"/>
          <w:lang w:val="es-CR"/>
        </w:rPr>
        <w:t>.</w:t>
      </w:r>
    </w:p>
    <w:p w14:paraId="7D6DB063" w14:textId="2E5C4F3C" w:rsidR="00210C54" w:rsidRPr="002B4E6D" w:rsidRDefault="00210C54" w:rsidP="00210C54">
      <w:pPr>
        <w:snapToGrid w:val="0"/>
        <w:rPr>
          <w:szCs w:val="20"/>
          <w:lang w:val="es-CR"/>
        </w:rPr>
      </w:pPr>
    </w:p>
    <w:p w14:paraId="7BFDE6CF" w14:textId="4C4F2339" w:rsidR="00783640" w:rsidRPr="002B4E6D" w:rsidRDefault="00341448" w:rsidP="00DC16B7">
      <w:pPr>
        <w:pStyle w:val="ListParagraph"/>
        <w:numPr>
          <w:ilvl w:val="0"/>
          <w:numId w:val="20"/>
        </w:numPr>
        <w:snapToGrid w:val="0"/>
        <w:ind w:left="0" w:firstLine="0"/>
        <w:contextualSpacing w:val="0"/>
        <w:rPr>
          <w:szCs w:val="20"/>
          <w:lang w:val="es-CR"/>
        </w:rPr>
      </w:pPr>
      <w:r w:rsidRPr="002B4E6D">
        <w:rPr>
          <w:szCs w:val="20"/>
          <w:lang w:val="es-CR"/>
        </w:rPr>
        <w:t>En su Diagnóstico Técnico, e</w:t>
      </w:r>
      <w:r w:rsidR="00B37866" w:rsidRPr="002B4E6D">
        <w:rPr>
          <w:szCs w:val="20"/>
          <w:lang w:val="es-CR"/>
        </w:rPr>
        <w:t>l</w:t>
      </w:r>
      <w:r w:rsidR="00EE62DA" w:rsidRPr="002B4E6D">
        <w:rPr>
          <w:szCs w:val="20"/>
          <w:lang w:val="es-CR"/>
        </w:rPr>
        <w:t xml:space="preserve"> Estado </w:t>
      </w:r>
      <w:r w:rsidR="00286306">
        <w:rPr>
          <w:szCs w:val="20"/>
          <w:lang w:val="es-CR"/>
        </w:rPr>
        <w:t>presentó</w:t>
      </w:r>
      <w:r w:rsidR="00286306" w:rsidRPr="002B4E6D">
        <w:rPr>
          <w:szCs w:val="20"/>
          <w:lang w:val="es-CR"/>
        </w:rPr>
        <w:t xml:space="preserve"> </w:t>
      </w:r>
      <w:r w:rsidR="00EE62DA" w:rsidRPr="002B4E6D">
        <w:rPr>
          <w:szCs w:val="20"/>
          <w:lang w:val="es-CR"/>
        </w:rPr>
        <w:t>da</w:t>
      </w:r>
      <w:r w:rsidR="00B37866" w:rsidRPr="002B4E6D">
        <w:rPr>
          <w:szCs w:val="20"/>
          <w:lang w:val="es-CR"/>
        </w:rPr>
        <w:t>t</w:t>
      </w:r>
      <w:r w:rsidR="00EE62DA" w:rsidRPr="002B4E6D">
        <w:rPr>
          <w:szCs w:val="20"/>
          <w:lang w:val="es-CR"/>
        </w:rPr>
        <w:t xml:space="preserve">os </w:t>
      </w:r>
      <w:r w:rsidR="00CA58E9" w:rsidRPr="002B4E6D">
        <w:rPr>
          <w:szCs w:val="20"/>
          <w:lang w:val="es-CR"/>
        </w:rPr>
        <w:t xml:space="preserve">sobre </w:t>
      </w:r>
      <w:r w:rsidR="00B37866" w:rsidRPr="002B4E6D">
        <w:rPr>
          <w:szCs w:val="20"/>
          <w:lang w:val="es-CR"/>
        </w:rPr>
        <w:t>l</w:t>
      </w:r>
      <w:r w:rsidR="00CA58E9" w:rsidRPr="002B4E6D">
        <w:rPr>
          <w:szCs w:val="20"/>
          <w:lang w:val="es-CR"/>
        </w:rPr>
        <w:t>a</w:t>
      </w:r>
      <w:r w:rsidR="00EE62DA" w:rsidRPr="002B4E6D">
        <w:rPr>
          <w:szCs w:val="20"/>
          <w:lang w:val="es-CR"/>
        </w:rPr>
        <w:t xml:space="preserve"> situa</w:t>
      </w:r>
      <w:r w:rsidR="00AA1A37" w:rsidRPr="002B4E6D">
        <w:rPr>
          <w:szCs w:val="20"/>
          <w:lang w:val="es-CR"/>
        </w:rPr>
        <w:t>ción</w:t>
      </w:r>
      <w:r w:rsidR="00EE62DA" w:rsidRPr="002B4E6D">
        <w:rPr>
          <w:szCs w:val="20"/>
          <w:lang w:val="es-CR"/>
        </w:rPr>
        <w:t xml:space="preserve"> de </w:t>
      </w:r>
      <w:r w:rsidR="00945D4E" w:rsidRPr="002B4E6D">
        <w:rPr>
          <w:szCs w:val="20"/>
          <w:lang w:val="es-CR"/>
        </w:rPr>
        <w:t xml:space="preserve">hacinamiento </w:t>
      </w:r>
      <w:r w:rsidR="00AD0F21" w:rsidRPr="002B4E6D">
        <w:rPr>
          <w:szCs w:val="20"/>
          <w:lang w:val="es-CR"/>
        </w:rPr>
        <w:t>del</w:t>
      </w:r>
      <w:r w:rsidR="00CA58E9" w:rsidRPr="002B4E6D">
        <w:rPr>
          <w:szCs w:val="20"/>
          <w:lang w:val="es-CR"/>
        </w:rPr>
        <w:t xml:space="preserve"> sistema </w:t>
      </w:r>
      <w:r w:rsidR="00031269" w:rsidRPr="002B4E6D">
        <w:rPr>
          <w:szCs w:val="20"/>
          <w:lang w:val="es-CR"/>
        </w:rPr>
        <w:t>carcelario</w:t>
      </w:r>
      <w:r w:rsidR="00CA58E9" w:rsidRPr="002B4E6D">
        <w:rPr>
          <w:szCs w:val="20"/>
          <w:lang w:val="es-CR"/>
        </w:rPr>
        <w:t xml:space="preserve"> </w:t>
      </w:r>
      <w:r w:rsidR="00286306">
        <w:rPr>
          <w:szCs w:val="20"/>
          <w:lang w:val="es-CR"/>
        </w:rPr>
        <w:t>de Rio de Janeiro</w:t>
      </w:r>
      <w:r w:rsidR="00286306" w:rsidRPr="002B4E6D">
        <w:rPr>
          <w:szCs w:val="20"/>
          <w:lang w:val="es-CR"/>
        </w:rPr>
        <w:t xml:space="preserve"> </w:t>
      </w:r>
      <w:r w:rsidR="00AD0F21" w:rsidRPr="002B4E6D">
        <w:rPr>
          <w:szCs w:val="20"/>
          <w:lang w:val="es-CR"/>
        </w:rPr>
        <w:t>como un todo,</w:t>
      </w:r>
      <w:r w:rsidR="00CA58E9" w:rsidRPr="002B4E6D">
        <w:rPr>
          <w:szCs w:val="20"/>
          <w:lang w:val="es-CR"/>
        </w:rPr>
        <w:t xml:space="preserve"> </w:t>
      </w:r>
      <w:r w:rsidR="00AD0F21" w:rsidRPr="002B4E6D">
        <w:rPr>
          <w:szCs w:val="20"/>
          <w:lang w:val="es-CR"/>
        </w:rPr>
        <w:t>así como</w:t>
      </w:r>
      <w:r w:rsidR="00CA58E9" w:rsidRPr="002B4E6D">
        <w:rPr>
          <w:szCs w:val="20"/>
          <w:lang w:val="es-CR"/>
        </w:rPr>
        <w:t xml:space="preserve"> </w:t>
      </w:r>
      <w:r w:rsidR="00B37866" w:rsidRPr="002B4E6D">
        <w:rPr>
          <w:szCs w:val="20"/>
          <w:lang w:val="es-CR"/>
        </w:rPr>
        <w:t>específicamente</w:t>
      </w:r>
      <w:r w:rsidR="00EE62DA" w:rsidRPr="002B4E6D">
        <w:rPr>
          <w:szCs w:val="20"/>
          <w:lang w:val="es-CR"/>
        </w:rPr>
        <w:t xml:space="preserve"> </w:t>
      </w:r>
      <w:r w:rsidR="00B37866" w:rsidRPr="002B4E6D">
        <w:rPr>
          <w:szCs w:val="20"/>
          <w:lang w:val="es-CR"/>
        </w:rPr>
        <w:t>del</w:t>
      </w:r>
      <w:r w:rsidR="00EE62DA" w:rsidRPr="002B4E6D">
        <w:rPr>
          <w:szCs w:val="20"/>
          <w:lang w:val="es-CR"/>
        </w:rPr>
        <w:t xml:space="preserve"> IPPSC</w:t>
      </w:r>
      <w:r w:rsidR="00CA58E9" w:rsidRPr="002B4E6D">
        <w:rPr>
          <w:szCs w:val="20"/>
          <w:lang w:val="es-CR"/>
        </w:rPr>
        <w:t xml:space="preserve">. </w:t>
      </w:r>
      <w:r w:rsidR="00B37866" w:rsidRPr="002B4E6D">
        <w:rPr>
          <w:szCs w:val="20"/>
          <w:lang w:val="es-CR"/>
        </w:rPr>
        <w:t>El</w:t>
      </w:r>
      <w:r w:rsidR="00D341D8" w:rsidRPr="002B4E6D">
        <w:rPr>
          <w:szCs w:val="20"/>
          <w:lang w:val="es-CR"/>
        </w:rPr>
        <w:t xml:space="preserve"> Diagnóstico Técnico </w:t>
      </w:r>
      <w:r w:rsidR="00B37866" w:rsidRPr="002B4E6D">
        <w:rPr>
          <w:szCs w:val="20"/>
          <w:lang w:val="es-CR"/>
        </w:rPr>
        <w:t xml:space="preserve">también </w:t>
      </w:r>
      <w:r w:rsidR="003B748F">
        <w:rPr>
          <w:szCs w:val="20"/>
          <w:lang w:val="es-CR"/>
        </w:rPr>
        <w:t xml:space="preserve">propone </w:t>
      </w:r>
      <w:r w:rsidR="00B37866" w:rsidRPr="002B4E6D">
        <w:rPr>
          <w:szCs w:val="20"/>
          <w:lang w:val="es-CR"/>
        </w:rPr>
        <w:t>algunas</w:t>
      </w:r>
      <w:r w:rsidR="00CA58E9" w:rsidRPr="002B4E6D">
        <w:rPr>
          <w:szCs w:val="20"/>
          <w:lang w:val="es-CR"/>
        </w:rPr>
        <w:t xml:space="preserve"> </w:t>
      </w:r>
      <w:r w:rsidR="00B37866" w:rsidRPr="002B4E6D">
        <w:rPr>
          <w:szCs w:val="20"/>
          <w:lang w:val="es-CR"/>
        </w:rPr>
        <w:t>propuestas</w:t>
      </w:r>
      <w:r w:rsidR="00CA58E9" w:rsidRPr="002B4E6D">
        <w:rPr>
          <w:szCs w:val="20"/>
          <w:lang w:val="es-CR"/>
        </w:rPr>
        <w:t xml:space="preserve"> de a</w:t>
      </w:r>
      <w:r w:rsidR="00B37866" w:rsidRPr="002B4E6D">
        <w:rPr>
          <w:szCs w:val="20"/>
          <w:lang w:val="es-CR"/>
        </w:rPr>
        <w:t>c</w:t>
      </w:r>
      <w:r w:rsidR="00AA1A37" w:rsidRPr="002B4E6D">
        <w:rPr>
          <w:szCs w:val="20"/>
          <w:lang w:val="es-CR"/>
        </w:rPr>
        <w:t>ción</w:t>
      </w:r>
      <w:r w:rsidR="00D341D8" w:rsidRPr="002B4E6D">
        <w:rPr>
          <w:szCs w:val="20"/>
          <w:lang w:val="es-CR"/>
        </w:rPr>
        <w:t xml:space="preserve">, </w:t>
      </w:r>
      <w:r w:rsidR="00B37866" w:rsidRPr="002B4E6D">
        <w:rPr>
          <w:szCs w:val="20"/>
          <w:lang w:val="es-CR"/>
        </w:rPr>
        <w:t>las</w:t>
      </w:r>
      <w:r w:rsidR="00D341D8" w:rsidRPr="002B4E6D">
        <w:rPr>
          <w:szCs w:val="20"/>
          <w:lang w:val="es-CR"/>
        </w:rPr>
        <w:t xml:space="preserve"> </w:t>
      </w:r>
      <w:r w:rsidR="00B37866" w:rsidRPr="002B4E6D">
        <w:rPr>
          <w:szCs w:val="20"/>
          <w:lang w:val="es-CR"/>
        </w:rPr>
        <w:t>cuales</w:t>
      </w:r>
      <w:r w:rsidR="00D341D8" w:rsidRPr="002B4E6D">
        <w:rPr>
          <w:szCs w:val="20"/>
          <w:lang w:val="es-CR"/>
        </w:rPr>
        <w:t xml:space="preserve"> </w:t>
      </w:r>
      <w:r w:rsidR="00B37866" w:rsidRPr="002B4E6D">
        <w:rPr>
          <w:szCs w:val="20"/>
          <w:lang w:val="es-CR"/>
        </w:rPr>
        <w:t>serán</w:t>
      </w:r>
      <w:r w:rsidR="00D341D8" w:rsidRPr="002B4E6D">
        <w:rPr>
          <w:szCs w:val="20"/>
          <w:lang w:val="es-CR"/>
        </w:rPr>
        <w:t xml:space="preserve"> resumidas </w:t>
      </w:r>
      <w:r w:rsidR="00B37866" w:rsidRPr="002B4E6D">
        <w:rPr>
          <w:szCs w:val="20"/>
          <w:lang w:val="es-CR"/>
        </w:rPr>
        <w:t>a continuación</w:t>
      </w:r>
      <w:r w:rsidR="00DC16B7" w:rsidRPr="002B4E6D">
        <w:rPr>
          <w:szCs w:val="20"/>
          <w:lang w:val="es-CR"/>
        </w:rPr>
        <w:t>.</w:t>
      </w:r>
    </w:p>
    <w:p w14:paraId="22663AC9" w14:textId="77777777" w:rsidR="00DC16B7" w:rsidRPr="002B4E6D" w:rsidRDefault="00DC16B7" w:rsidP="00DC16B7">
      <w:pPr>
        <w:pStyle w:val="ListParagraph"/>
        <w:snapToGrid w:val="0"/>
        <w:ind w:left="0"/>
        <w:contextualSpacing w:val="0"/>
        <w:rPr>
          <w:szCs w:val="20"/>
          <w:lang w:val="es-CR"/>
        </w:rPr>
      </w:pPr>
    </w:p>
    <w:p w14:paraId="46C685AC" w14:textId="1629EE37" w:rsidR="00D341D8" w:rsidRPr="002B4E6D" w:rsidRDefault="00B37866" w:rsidP="00DC16B7">
      <w:pPr>
        <w:pStyle w:val="ListParagraph"/>
        <w:numPr>
          <w:ilvl w:val="0"/>
          <w:numId w:val="20"/>
        </w:numPr>
        <w:snapToGrid w:val="0"/>
        <w:ind w:left="0" w:firstLine="0"/>
        <w:contextualSpacing w:val="0"/>
        <w:rPr>
          <w:szCs w:val="20"/>
          <w:lang w:val="es-CR"/>
        </w:rPr>
      </w:pPr>
      <w:r w:rsidRPr="002B4E6D">
        <w:rPr>
          <w:szCs w:val="20"/>
          <w:lang w:val="es-CR"/>
        </w:rPr>
        <w:t>El</w:t>
      </w:r>
      <w:r w:rsidR="00DC16B7" w:rsidRPr="002B4E6D">
        <w:rPr>
          <w:szCs w:val="20"/>
          <w:lang w:val="es-CR"/>
        </w:rPr>
        <w:t xml:space="preserve"> último </w:t>
      </w:r>
      <w:r w:rsidR="004321FF" w:rsidRPr="002B4E6D">
        <w:rPr>
          <w:szCs w:val="20"/>
          <w:lang w:val="es-CR"/>
        </w:rPr>
        <w:t>estudio</w:t>
      </w:r>
      <w:r w:rsidR="00DC16B7" w:rsidRPr="002B4E6D">
        <w:rPr>
          <w:szCs w:val="20"/>
          <w:lang w:val="es-CR"/>
        </w:rPr>
        <w:t xml:space="preserve"> oficial de da</w:t>
      </w:r>
      <w:r w:rsidRPr="002B4E6D">
        <w:rPr>
          <w:szCs w:val="20"/>
          <w:lang w:val="es-CR"/>
        </w:rPr>
        <w:t>t</w:t>
      </w:r>
      <w:r w:rsidR="00DC16B7" w:rsidRPr="002B4E6D">
        <w:rPr>
          <w:szCs w:val="20"/>
          <w:lang w:val="es-CR"/>
        </w:rPr>
        <w:t xml:space="preserve">os </w:t>
      </w:r>
      <w:r w:rsidRPr="002B4E6D">
        <w:rPr>
          <w:szCs w:val="20"/>
          <w:lang w:val="es-CR"/>
        </w:rPr>
        <w:t>penitenciarios</w:t>
      </w:r>
      <w:r w:rsidR="00DC16B7" w:rsidRPr="002B4E6D">
        <w:rPr>
          <w:szCs w:val="20"/>
          <w:lang w:val="es-CR"/>
        </w:rPr>
        <w:t xml:space="preserve"> </w:t>
      </w:r>
      <w:r w:rsidRPr="002B4E6D">
        <w:rPr>
          <w:szCs w:val="20"/>
          <w:lang w:val="es-CR"/>
        </w:rPr>
        <w:t>de</w:t>
      </w:r>
      <w:r w:rsidR="00DC16B7" w:rsidRPr="002B4E6D">
        <w:rPr>
          <w:szCs w:val="20"/>
          <w:lang w:val="es-CR"/>
        </w:rPr>
        <w:t xml:space="preserve"> Brasil </w:t>
      </w:r>
      <w:r w:rsidRPr="002B4E6D">
        <w:rPr>
          <w:szCs w:val="20"/>
          <w:lang w:val="es-CR"/>
        </w:rPr>
        <w:t>fue</w:t>
      </w:r>
      <w:r w:rsidR="00DC16B7" w:rsidRPr="002B4E6D">
        <w:rPr>
          <w:szCs w:val="20"/>
          <w:lang w:val="es-CR"/>
        </w:rPr>
        <w:t xml:space="preserve"> realizado </w:t>
      </w:r>
      <w:r w:rsidRPr="002B4E6D">
        <w:rPr>
          <w:szCs w:val="20"/>
          <w:lang w:val="es-CR"/>
        </w:rPr>
        <w:t>en</w:t>
      </w:r>
      <w:r w:rsidR="00DC16B7" w:rsidRPr="002B4E6D">
        <w:rPr>
          <w:szCs w:val="20"/>
          <w:lang w:val="es-CR"/>
        </w:rPr>
        <w:t xml:space="preserve"> </w:t>
      </w:r>
      <w:r w:rsidRPr="002B4E6D">
        <w:rPr>
          <w:szCs w:val="20"/>
          <w:lang w:val="es-CR"/>
        </w:rPr>
        <w:t>junio</w:t>
      </w:r>
      <w:r w:rsidR="00DC16B7" w:rsidRPr="002B4E6D">
        <w:rPr>
          <w:szCs w:val="20"/>
          <w:lang w:val="es-CR"/>
        </w:rPr>
        <w:t xml:space="preserve"> de 2016. </w:t>
      </w:r>
      <w:r w:rsidRPr="002B4E6D">
        <w:rPr>
          <w:szCs w:val="20"/>
          <w:lang w:val="es-CR"/>
        </w:rPr>
        <w:t>En aquel</w:t>
      </w:r>
      <w:r w:rsidR="00DC16B7" w:rsidRPr="002B4E6D">
        <w:rPr>
          <w:szCs w:val="20"/>
          <w:lang w:val="es-CR"/>
        </w:rPr>
        <w:t xml:space="preserve"> momento, </w:t>
      </w:r>
      <w:r w:rsidRPr="002B4E6D">
        <w:rPr>
          <w:szCs w:val="20"/>
          <w:lang w:val="es-CR"/>
        </w:rPr>
        <w:t>el</w:t>
      </w:r>
      <w:r w:rsidR="00A84750" w:rsidRPr="002B4E6D">
        <w:rPr>
          <w:szCs w:val="20"/>
          <w:lang w:val="es-CR"/>
        </w:rPr>
        <w:t xml:space="preserve"> sistema </w:t>
      </w:r>
      <w:r w:rsidR="00031269" w:rsidRPr="002B4E6D">
        <w:rPr>
          <w:szCs w:val="20"/>
          <w:lang w:val="es-CR"/>
        </w:rPr>
        <w:t>carcelario</w:t>
      </w:r>
      <w:r w:rsidR="00D341D8" w:rsidRPr="002B4E6D">
        <w:rPr>
          <w:szCs w:val="20"/>
          <w:lang w:val="es-CR"/>
        </w:rPr>
        <w:t xml:space="preserve"> </w:t>
      </w:r>
      <w:r w:rsidRPr="002B4E6D">
        <w:rPr>
          <w:szCs w:val="20"/>
          <w:lang w:val="es-CR"/>
        </w:rPr>
        <w:t>del</w:t>
      </w:r>
      <w:r w:rsidR="00D341D8" w:rsidRPr="002B4E6D">
        <w:rPr>
          <w:szCs w:val="20"/>
          <w:lang w:val="es-CR"/>
        </w:rPr>
        <w:t xml:space="preserve"> e</w:t>
      </w:r>
      <w:r w:rsidR="00A84750" w:rsidRPr="002B4E6D">
        <w:rPr>
          <w:szCs w:val="20"/>
          <w:lang w:val="es-CR"/>
        </w:rPr>
        <w:t xml:space="preserve">stado </w:t>
      </w:r>
      <w:r w:rsidRPr="002B4E6D">
        <w:rPr>
          <w:szCs w:val="20"/>
          <w:lang w:val="es-CR"/>
        </w:rPr>
        <w:t>de Río</w:t>
      </w:r>
      <w:r w:rsidR="00A84750" w:rsidRPr="002B4E6D">
        <w:rPr>
          <w:szCs w:val="20"/>
          <w:lang w:val="es-CR"/>
        </w:rPr>
        <w:t xml:space="preserve"> de Janeiro </w:t>
      </w:r>
      <w:r w:rsidRPr="002B4E6D">
        <w:rPr>
          <w:szCs w:val="20"/>
          <w:lang w:val="es-CR"/>
        </w:rPr>
        <w:t>tenía</w:t>
      </w:r>
      <w:r w:rsidR="00A84750" w:rsidRPr="002B4E6D">
        <w:rPr>
          <w:szCs w:val="20"/>
          <w:lang w:val="es-CR"/>
        </w:rPr>
        <w:t xml:space="preserve">, aproximadamente, 28 mil </w:t>
      </w:r>
      <w:r w:rsidR="004321FF" w:rsidRPr="002B4E6D">
        <w:rPr>
          <w:szCs w:val="20"/>
          <w:lang w:val="es-CR"/>
        </w:rPr>
        <w:t>plazas</w:t>
      </w:r>
      <w:r w:rsidR="00A84750" w:rsidRPr="002B4E6D">
        <w:rPr>
          <w:szCs w:val="20"/>
          <w:lang w:val="es-CR"/>
        </w:rPr>
        <w:t xml:space="preserve"> </w:t>
      </w:r>
      <w:r w:rsidRPr="002B4E6D">
        <w:rPr>
          <w:szCs w:val="20"/>
          <w:lang w:val="es-CR"/>
        </w:rPr>
        <w:t>disponibles</w:t>
      </w:r>
      <w:r w:rsidR="00A84750" w:rsidRPr="002B4E6D">
        <w:rPr>
          <w:szCs w:val="20"/>
          <w:lang w:val="es-CR"/>
        </w:rPr>
        <w:t xml:space="preserve"> </w:t>
      </w:r>
      <w:r w:rsidRPr="002B4E6D">
        <w:rPr>
          <w:szCs w:val="20"/>
          <w:lang w:val="es-CR"/>
        </w:rPr>
        <w:t>en</w:t>
      </w:r>
      <w:r w:rsidR="00A84750" w:rsidRPr="002B4E6D">
        <w:rPr>
          <w:szCs w:val="20"/>
          <w:lang w:val="es-CR"/>
        </w:rPr>
        <w:t xml:space="preserve"> </w:t>
      </w:r>
      <w:r w:rsidRPr="002B4E6D">
        <w:rPr>
          <w:szCs w:val="20"/>
          <w:lang w:val="es-CR"/>
        </w:rPr>
        <w:t>un</w:t>
      </w:r>
      <w:r w:rsidR="00A84750" w:rsidRPr="002B4E6D">
        <w:rPr>
          <w:szCs w:val="20"/>
          <w:lang w:val="es-CR"/>
        </w:rPr>
        <w:t xml:space="preserve"> total de 51 </w:t>
      </w:r>
      <w:r w:rsidR="00ED6186" w:rsidRPr="002B4E6D">
        <w:rPr>
          <w:szCs w:val="20"/>
          <w:lang w:val="es-CR"/>
        </w:rPr>
        <w:t>unidad</w:t>
      </w:r>
      <w:r w:rsidR="004321FF" w:rsidRPr="002B4E6D">
        <w:rPr>
          <w:szCs w:val="20"/>
          <w:lang w:val="es-CR"/>
        </w:rPr>
        <w:t>e</w:t>
      </w:r>
      <w:r w:rsidR="00A84750" w:rsidRPr="002B4E6D">
        <w:rPr>
          <w:szCs w:val="20"/>
          <w:lang w:val="es-CR"/>
        </w:rPr>
        <w:t>s de priva</w:t>
      </w:r>
      <w:r w:rsidR="00AA1A37" w:rsidRPr="002B4E6D">
        <w:rPr>
          <w:szCs w:val="20"/>
          <w:lang w:val="es-CR"/>
        </w:rPr>
        <w:t>ción</w:t>
      </w:r>
      <w:r w:rsidR="00A84750" w:rsidRPr="002B4E6D">
        <w:rPr>
          <w:szCs w:val="20"/>
          <w:lang w:val="es-CR"/>
        </w:rPr>
        <w:t xml:space="preserve"> de </w:t>
      </w:r>
      <w:r w:rsidR="00AA1A37" w:rsidRPr="002B4E6D">
        <w:rPr>
          <w:szCs w:val="20"/>
          <w:lang w:val="es-CR"/>
        </w:rPr>
        <w:t>libertad</w:t>
      </w:r>
      <w:r w:rsidR="00A84750" w:rsidRPr="002B4E6D">
        <w:rPr>
          <w:szCs w:val="20"/>
          <w:lang w:val="es-CR"/>
        </w:rPr>
        <w:t xml:space="preserve">. </w:t>
      </w:r>
    </w:p>
    <w:p w14:paraId="0F9ABE38" w14:textId="77777777" w:rsidR="00D341D8" w:rsidRPr="002B4E6D" w:rsidRDefault="00D341D8" w:rsidP="00D341D8">
      <w:pPr>
        <w:pStyle w:val="ListParagraph"/>
        <w:rPr>
          <w:szCs w:val="20"/>
          <w:lang w:val="es-CR"/>
        </w:rPr>
      </w:pPr>
    </w:p>
    <w:p w14:paraId="2C0EAC9E" w14:textId="31B1F8AC" w:rsidR="00D341D8" w:rsidRPr="002B4E6D" w:rsidRDefault="00EA4B5B" w:rsidP="004E076B">
      <w:pPr>
        <w:pStyle w:val="ListParagraph"/>
        <w:numPr>
          <w:ilvl w:val="0"/>
          <w:numId w:val="20"/>
        </w:numPr>
        <w:snapToGrid w:val="0"/>
        <w:ind w:left="0" w:firstLine="0"/>
        <w:contextualSpacing w:val="0"/>
        <w:rPr>
          <w:szCs w:val="20"/>
          <w:lang w:val="es-CR"/>
        </w:rPr>
      </w:pPr>
      <w:r w:rsidRPr="002B4E6D">
        <w:rPr>
          <w:szCs w:val="20"/>
          <w:lang w:val="es-CR"/>
        </w:rPr>
        <w:lastRenderedPageBreak/>
        <w:t>En</w:t>
      </w:r>
      <w:r w:rsidR="00D341D8" w:rsidRPr="002B4E6D">
        <w:rPr>
          <w:szCs w:val="20"/>
          <w:lang w:val="es-CR"/>
        </w:rPr>
        <w:t xml:space="preserve"> </w:t>
      </w:r>
      <w:r w:rsidRPr="002B4E6D">
        <w:rPr>
          <w:szCs w:val="20"/>
          <w:lang w:val="es-CR"/>
        </w:rPr>
        <w:t>junio</w:t>
      </w:r>
      <w:r w:rsidR="00D341D8" w:rsidRPr="002B4E6D">
        <w:rPr>
          <w:szCs w:val="20"/>
          <w:lang w:val="es-CR"/>
        </w:rPr>
        <w:t xml:space="preserve"> de 2016, </w:t>
      </w:r>
      <w:r w:rsidRPr="002B4E6D">
        <w:rPr>
          <w:szCs w:val="20"/>
          <w:lang w:val="es-CR"/>
        </w:rPr>
        <w:t>la</w:t>
      </w:r>
      <w:r w:rsidR="00DC16B7" w:rsidRPr="002B4E6D">
        <w:rPr>
          <w:szCs w:val="20"/>
          <w:lang w:val="es-CR"/>
        </w:rPr>
        <w:t xml:space="preserve"> </w:t>
      </w:r>
      <w:r w:rsidR="007B78BA" w:rsidRPr="002B4E6D">
        <w:rPr>
          <w:szCs w:val="20"/>
          <w:lang w:val="es-CR"/>
        </w:rPr>
        <w:t>población</w:t>
      </w:r>
      <w:r w:rsidR="00DC16B7" w:rsidRPr="002B4E6D">
        <w:rPr>
          <w:szCs w:val="20"/>
          <w:lang w:val="es-CR"/>
        </w:rPr>
        <w:t xml:space="preserve"> total</w:t>
      </w:r>
      <w:r w:rsidR="00D71133" w:rsidRPr="002B4E6D">
        <w:rPr>
          <w:szCs w:val="20"/>
          <w:lang w:val="es-CR"/>
        </w:rPr>
        <w:t xml:space="preserve"> carcelaria</w:t>
      </w:r>
      <w:r w:rsidR="00DC16B7" w:rsidRPr="002B4E6D">
        <w:rPr>
          <w:szCs w:val="20"/>
          <w:lang w:val="es-CR"/>
        </w:rPr>
        <w:t xml:space="preserve"> </w:t>
      </w:r>
      <w:r w:rsidRPr="002B4E6D">
        <w:rPr>
          <w:szCs w:val="20"/>
          <w:lang w:val="es-CR"/>
        </w:rPr>
        <w:t>del</w:t>
      </w:r>
      <w:r w:rsidR="00DC16B7" w:rsidRPr="002B4E6D">
        <w:rPr>
          <w:szCs w:val="20"/>
          <w:lang w:val="es-CR"/>
        </w:rPr>
        <w:t xml:space="preserve"> </w:t>
      </w:r>
      <w:r w:rsidR="00BF2AC5">
        <w:rPr>
          <w:szCs w:val="20"/>
          <w:lang w:val="es-CR"/>
        </w:rPr>
        <w:t>e</w:t>
      </w:r>
      <w:r w:rsidR="00BF2AC5" w:rsidRPr="002B4E6D">
        <w:rPr>
          <w:szCs w:val="20"/>
          <w:lang w:val="es-CR"/>
        </w:rPr>
        <w:t xml:space="preserve">stado </w:t>
      </w:r>
      <w:r w:rsidRPr="002B4E6D">
        <w:rPr>
          <w:szCs w:val="20"/>
          <w:lang w:val="es-CR"/>
        </w:rPr>
        <w:t>de Rí</w:t>
      </w:r>
      <w:r w:rsidR="00DC16B7" w:rsidRPr="002B4E6D">
        <w:rPr>
          <w:szCs w:val="20"/>
          <w:lang w:val="es-CR"/>
        </w:rPr>
        <w:t xml:space="preserve">o de Janeiro </w:t>
      </w:r>
      <w:r w:rsidR="00D341D8" w:rsidRPr="002B4E6D">
        <w:rPr>
          <w:szCs w:val="20"/>
          <w:lang w:val="es-CR"/>
        </w:rPr>
        <w:t xml:space="preserve">era de 50.219 </w:t>
      </w:r>
      <w:r w:rsidR="000D1815" w:rsidRPr="002B4E6D">
        <w:rPr>
          <w:szCs w:val="20"/>
          <w:lang w:val="es-CR"/>
        </w:rPr>
        <w:t>detenidos</w:t>
      </w:r>
      <w:r w:rsidR="00D341D8" w:rsidRPr="002B4E6D">
        <w:rPr>
          <w:szCs w:val="20"/>
          <w:lang w:val="es-CR"/>
        </w:rPr>
        <w:t xml:space="preserve">, </w:t>
      </w:r>
      <w:r w:rsidR="003B748F">
        <w:rPr>
          <w:szCs w:val="20"/>
          <w:lang w:val="es-CR"/>
        </w:rPr>
        <w:t>con</w:t>
      </w:r>
      <w:r w:rsidR="00A84750" w:rsidRPr="002B4E6D">
        <w:rPr>
          <w:szCs w:val="20"/>
          <w:lang w:val="es-CR"/>
        </w:rPr>
        <w:t xml:space="preserve"> </w:t>
      </w:r>
      <w:r w:rsidRPr="002B4E6D">
        <w:rPr>
          <w:szCs w:val="20"/>
          <w:lang w:val="es-CR"/>
        </w:rPr>
        <w:t>una</w:t>
      </w:r>
      <w:r w:rsidR="00A84750" w:rsidRPr="002B4E6D">
        <w:rPr>
          <w:szCs w:val="20"/>
          <w:lang w:val="es-CR"/>
        </w:rPr>
        <w:t xml:space="preserve"> ta</w:t>
      </w:r>
      <w:r w:rsidRPr="002B4E6D">
        <w:rPr>
          <w:szCs w:val="20"/>
          <w:lang w:val="es-CR"/>
        </w:rPr>
        <w:t>s</w:t>
      </w:r>
      <w:r w:rsidR="00D341D8" w:rsidRPr="002B4E6D">
        <w:rPr>
          <w:szCs w:val="20"/>
          <w:lang w:val="es-CR"/>
        </w:rPr>
        <w:t xml:space="preserve">a </w:t>
      </w:r>
      <w:r w:rsidRPr="002B4E6D">
        <w:rPr>
          <w:szCs w:val="20"/>
          <w:lang w:val="es-CR"/>
        </w:rPr>
        <w:t>promedio</w:t>
      </w:r>
      <w:r w:rsidR="00D341D8" w:rsidRPr="002B4E6D">
        <w:rPr>
          <w:szCs w:val="20"/>
          <w:lang w:val="es-CR"/>
        </w:rPr>
        <w:t xml:space="preserve"> de ocupa</w:t>
      </w:r>
      <w:r w:rsidR="00AA1A37" w:rsidRPr="002B4E6D">
        <w:rPr>
          <w:szCs w:val="20"/>
          <w:lang w:val="es-CR"/>
        </w:rPr>
        <w:t>ción</w:t>
      </w:r>
      <w:r w:rsidR="00D341D8" w:rsidRPr="002B4E6D">
        <w:rPr>
          <w:szCs w:val="20"/>
          <w:lang w:val="es-CR"/>
        </w:rPr>
        <w:t xml:space="preserve"> </w:t>
      </w:r>
      <w:r w:rsidRPr="002B4E6D">
        <w:rPr>
          <w:szCs w:val="20"/>
          <w:lang w:val="es-CR"/>
        </w:rPr>
        <w:t>en los</w:t>
      </w:r>
      <w:r w:rsidR="00D341D8" w:rsidRPr="002B4E6D">
        <w:rPr>
          <w:szCs w:val="20"/>
          <w:lang w:val="es-CR"/>
        </w:rPr>
        <w:t xml:space="preserve"> </w:t>
      </w:r>
      <w:r w:rsidRPr="002B4E6D">
        <w:rPr>
          <w:szCs w:val="20"/>
          <w:lang w:val="es-CR"/>
        </w:rPr>
        <w:t>establecimientos</w:t>
      </w:r>
      <w:r w:rsidR="00A84750" w:rsidRPr="002B4E6D">
        <w:rPr>
          <w:szCs w:val="20"/>
          <w:lang w:val="es-CR"/>
        </w:rPr>
        <w:t xml:space="preserve"> </w:t>
      </w:r>
      <w:r w:rsidR="00D71133" w:rsidRPr="002B4E6D">
        <w:rPr>
          <w:szCs w:val="20"/>
          <w:lang w:val="es-CR"/>
        </w:rPr>
        <w:t>penitenciario</w:t>
      </w:r>
      <w:r w:rsidR="002D46A1" w:rsidRPr="002B4E6D">
        <w:rPr>
          <w:szCs w:val="20"/>
          <w:lang w:val="es-CR"/>
        </w:rPr>
        <w:t>s</w:t>
      </w:r>
      <w:r w:rsidR="00A84750" w:rsidRPr="002B4E6D">
        <w:rPr>
          <w:szCs w:val="20"/>
          <w:lang w:val="es-CR"/>
        </w:rPr>
        <w:t xml:space="preserve"> de 176,6%.</w:t>
      </w:r>
      <w:r w:rsidR="0079400B" w:rsidRPr="002B4E6D">
        <w:rPr>
          <w:szCs w:val="20"/>
          <w:lang w:val="es-CR"/>
        </w:rPr>
        <w:t xml:space="preserve"> </w:t>
      </w:r>
      <w:r w:rsidRPr="002B4E6D">
        <w:rPr>
          <w:szCs w:val="20"/>
          <w:lang w:val="es-CR"/>
        </w:rPr>
        <w:t>La</w:t>
      </w:r>
      <w:r w:rsidR="004E076B" w:rsidRPr="002B4E6D">
        <w:rPr>
          <w:szCs w:val="20"/>
          <w:lang w:val="es-CR"/>
        </w:rPr>
        <w:t xml:space="preserve"> alta </w:t>
      </w:r>
      <w:r w:rsidRPr="002B4E6D">
        <w:rPr>
          <w:szCs w:val="20"/>
          <w:lang w:val="es-CR"/>
        </w:rPr>
        <w:t>tasa</w:t>
      </w:r>
      <w:r w:rsidR="004E076B" w:rsidRPr="002B4E6D">
        <w:rPr>
          <w:szCs w:val="20"/>
          <w:lang w:val="es-CR"/>
        </w:rPr>
        <w:t xml:space="preserve"> de ocupa</w:t>
      </w:r>
      <w:r w:rsidR="00AA1A37" w:rsidRPr="002B4E6D">
        <w:rPr>
          <w:szCs w:val="20"/>
          <w:lang w:val="es-CR"/>
        </w:rPr>
        <w:t>ción</w:t>
      </w:r>
      <w:r w:rsidR="004E076B" w:rsidRPr="002B4E6D">
        <w:rPr>
          <w:szCs w:val="20"/>
          <w:lang w:val="es-CR"/>
        </w:rPr>
        <w:t xml:space="preserve"> </w:t>
      </w:r>
      <w:r w:rsidRPr="002B4E6D">
        <w:rPr>
          <w:szCs w:val="20"/>
          <w:lang w:val="es-CR"/>
        </w:rPr>
        <w:t>de las</w:t>
      </w:r>
      <w:r w:rsidR="004E076B" w:rsidRPr="002B4E6D">
        <w:rPr>
          <w:szCs w:val="20"/>
          <w:lang w:val="es-CR"/>
        </w:rPr>
        <w:t xml:space="preserve"> </w:t>
      </w:r>
      <w:r w:rsidR="00ED6186" w:rsidRPr="002B4E6D">
        <w:rPr>
          <w:szCs w:val="20"/>
          <w:lang w:val="es-CR"/>
        </w:rPr>
        <w:t>unidad</w:t>
      </w:r>
      <w:r w:rsidR="00D71133" w:rsidRPr="002B4E6D">
        <w:rPr>
          <w:szCs w:val="20"/>
          <w:lang w:val="es-CR"/>
        </w:rPr>
        <w:t>e</w:t>
      </w:r>
      <w:r w:rsidR="004E076B" w:rsidRPr="002B4E6D">
        <w:rPr>
          <w:szCs w:val="20"/>
          <w:lang w:val="es-CR"/>
        </w:rPr>
        <w:t xml:space="preserve">s </w:t>
      </w:r>
      <w:r w:rsidR="002D46A1" w:rsidRPr="002B4E6D">
        <w:rPr>
          <w:szCs w:val="20"/>
          <w:lang w:val="es-CR"/>
        </w:rPr>
        <w:t>penitenciarias</w:t>
      </w:r>
      <w:r w:rsidR="004E076B" w:rsidRPr="002B4E6D">
        <w:rPr>
          <w:szCs w:val="20"/>
          <w:lang w:val="es-CR"/>
        </w:rPr>
        <w:t xml:space="preserve"> </w:t>
      </w:r>
      <w:r w:rsidR="00725F6E">
        <w:rPr>
          <w:szCs w:val="20"/>
          <w:lang w:val="es-CR"/>
        </w:rPr>
        <w:t>se ve</w:t>
      </w:r>
      <w:r w:rsidR="004E076B" w:rsidRPr="002B4E6D">
        <w:rPr>
          <w:szCs w:val="20"/>
          <w:lang w:val="es-CR"/>
        </w:rPr>
        <w:t xml:space="preserve"> agravada </w:t>
      </w:r>
      <w:r w:rsidRPr="002B4E6D">
        <w:rPr>
          <w:szCs w:val="20"/>
          <w:lang w:val="es-CR"/>
        </w:rPr>
        <w:t>por el</w:t>
      </w:r>
      <w:r w:rsidR="004E076B" w:rsidRPr="002B4E6D">
        <w:rPr>
          <w:szCs w:val="20"/>
          <w:lang w:val="es-CR"/>
        </w:rPr>
        <w:t xml:space="preserve"> </w:t>
      </w:r>
      <w:r w:rsidRPr="002B4E6D">
        <w:rPr>
          <w:szCs w:val="20"/>
          <w:lang w:val="es-CR"/>
        </w:rPr>
        <w:t>hecho</w:t>
      </w:r>
      <w:r w:rsidR="004E076B" w:rsidRPr="002B4E6D">
        <w:rPr>
          <w:szCs w:val="20"/>
          <w:lang w:val="es-CR"/>
        </w:rPr>
        <w:t xml:space="preserve"> de que, </w:t>
      </w:r>
      <w:r w:rsidRPr="002B4E6D">
        <w:rPr>
          <w:szCs w:val="20"/>
          <w:lang w:val="es-CR"/>
        </w:rPr>
        <w:t>en el</w:t>
      </w:r>
      <w:r w:rsidR="00D341D8" w:rsidRPr="002B4E6D">
        <w:rPr>
          <w:szCs w:val="20"/>
          <w:lang w:val="es-CR"/>
        </w:rPr>
        <w:t xml:space="preserve"> estado d</w:t>
      </w:r>
      <w:r w:rsidRPr="002B4E6D">
        <w:rPr>
          <w:szCs w:val="20"/>
          <w:lang w:val="es-CR"/>
        </w:rPr>
        <w:t>e</w:t>
      </w:r>
      <w:r w:rsidR="00D341D8" w:rsidRPr="002B4E6D">
        <w:rPr>
          <w:szCs w:val="20"/>
          <w:lang w:val="es-CR"/>
        </w:rPr>
        <w:t xml:space="preserve"> </w:t>
      </w:r>
      <w:r w:rsidRPr="002B4E6D">
        <w:rPr>
          <w:szCs w:val="20"/>
          <w:lang w:val="es-CR"/>
        </w:rPr>
        <w:t>Río</w:t>
      </w:r>
      <w:r w:rsidR="00D341D8" w:rsidRPr="002B4E6D">
        <w:rPr>
          <w:szCs w:val="20"/>
          <w:lang w:val="es-CR"/>
        </w:rPr>
        <w:t xml:space="preserve"> de Janeiro, </w:t>
      </w:r>
      <w:r w:rsidR="00725F6E">
        <w:rPr>
          <w:szCs w:val="20"/>
          <w:lang w:val="es-CR"/>
        </w:rPr>
        <w:t>por</w:t>
      </w:r>
      <w:r w:rsidR="007C5B36" w:rsidRPr="002B4E6D">
        <w:rPr>
          <w:szCs w:val="20"/>
          <w:lang w:val="es-CR"/>
        </w:rPr>
        <w:t xml:space="preserve"> cada 14 </w:t>
      </w:r>
      <w:r w:rsidR="00AA1A37" w:rsidRPr="002B4E6D">
        <w:rPr>
          <w:szCs w:val="20"/>
          <w:lang w:val="es-CR"/>
        </w:rPr>
        <w:t>personas</w:t>
      </w:r>
      <w:r w:rsidR="007C5B36" w:rsidRPr="002B4E6D">
        <w:rPr>
          <w:szCs w:val="20"/>
          <w:lang w:val="es-CR"/>
        </w:rPr>
        <w:t xml:space="preserve"> que </w:t>
      </w:r>
      <w:r w:rsidRPr="002B4E6D">
        <w:rPr>
          <w:szCs w:val="20"/>
          <w:lang w:val="es-CR"/>
        </w:rPr>
        <w:t>ingresan</w:t>
      </w:r>
      <w:r w:rsidR="007C5B36" w:rsidRPr="002B4E6D">
        <w:rPr>
          <w:szCs w:val="20"/>
          <w:lang w:val="es-CR"/>
        </w:rPr>
        <w:t xml:space="preserve"> </w:t>
      </w:r>
      <w:r w:rsidRPr="002B4E6D">
        <w:rPr>
          <w:szCs w:val="20"/>
          <w:lang w:val="es-CR"/>
        </w:rPr>
        <w:t>en el</w:t>
      </w:r>
      <w:r w:rsidR="007C5B36" w:rsidRPr="002B4E6D">
        <w:rPr>
          <w:szCs w:val="20"/>
          <w:lang w:val="es-CR"/>
        </w:rPr>
        <w:t xml:space="preserve"> sistema </w:t>
      </w:r>
      <w:r w:rsidR="00031269" w:rsidRPr="002B4E6D">
        <w:rPr>
          <w:szCs w:val="20"/>
          <w:lang w:val="es-CR"/>
        </w:rPr>
        <w:t>carcelario</w:t>
      </w:r>
      <w:r w:rsidR="007C5B36" w:rsidRPr="002B4E6D">
        <w:rPr>
          <w:szCs w:val="20"/>
          <w:lang w:val="es-CR"/>
        </w:rPr>
        <w:t xml:space="preserve">, </w:t>
      </w:r>
      <w:r w:rsidR="00004E0A">
        <w:rPr>
          <w:szCs w:val="20"/>
          <w:lang w:val="es-CR"/>
        </w:rPr>
        <w:t>solamente salen</w:t>
      </w:r>
      <w:r w:rsidR="00004E0A" w:rsidRPr="002B4E6D">
        <w:rPr>
          <w:szCs w:val="20"/>
          <w:lang w:val="es-CR"/>
        </w:rPr>
        <w:t xml:space="preserve"> </w:t>
      </w:r>
      <w:r w:rsidR="007C5B36" w:rsidRPr="002B4E6D">
        <w:rPr>
          <w:szCs w:val="20"/>
          <w:lang w:val="es-CR"/>
        </w:rPr>
        <w:t>10.</w:t>
      </w:r>
      <w:r w:rsidR="00D341D8" w:rsidRPr="002B4E6D">
        <w:rPr>
          <w:szCs w:val="20"/>
          <w:lang w:val="es-CR"/>
        </w:rPr>
        <w:t xml:space="preserve"> </w:t>
      </w:r>
    </w:p>
    <w:p w14:paraId="550C2A77" w14:textId="77777777" w:rsidR="003D41FC" w:rsidRPr="002B4E6D" w:rsidRDefault="003D41FC" w:rsidP="004E076B">
      <w:pPr>
        <w:rPr>
          <w:szCs w:val="20"/>
          <w:lang w:val="es-CR"/>
        </w:rPr>
      </w:pPr>
    </w:p>
    <w:p w14:paraId="0B5D4163" w14:textId="5FC62786" w:rsidR="007C5B36" w:rsidRPr="002B4E6D" w:rsidRDefault="007C5B36" w:rsidP="007C5B36">
      <w:pPr>
        <w:pStyle w:val="ListParagraph"/>
        <w:numPr>
          <w:ilvl w:val="0"/>
          <w:numId w:val="20"/>
        </w:numPr>
        <w:snapToGrid w:val="0"/>
        <w:ind w:left="0" w:firstLine="0"/>
        <w:contextualSpacing w:val="0"/>
        <w:rPr>
          <w:szCs w:val="20"/>
          <w:lang w:val="es-CR"/>
        </w:rPr>
      </w:pPr>
      <w:r w:rsidRPr="002B4E6D">
        <w:rPr>
          <w:szCs w:val="20"/>
          <w:lang w:val="es-CR"/>
        </w:rPr>
        <w:t xml:space="preserve">A partir </w:t>
      </w:r>
      <w:r w:rsidR="00EA4B5B" w:rsidRPr="002B4E6D">
        <w:rPr>
          <w:szCs w:val="20"/>
          <w:lang w:val="es-CR"/>
        </w:rPr>
        <w:t>de los</w:t>
      </w:r>
      <w:r w:rsidRPr="002B4E6D">
        <w:rPr>
          <w:szCs w:val="20"/>
          <w:lang w:val="es-CR"/>
        </w:rPr>
        <w:t xml:space="preserve"> gráficos </w:t>
      </w:r>
      <w:r w:rsidR="00EA4B5B" w:rsidRPr="002B4E6D">
        <w:rPr>
          <w:szCs w:val="20"/>
          <w:lang w:val="es-CR"/>
        </w:rPr>
        <w:t>introducidos</w:t>
      </w:r>
      <w:r w:rsidRPr="002B4E6D">
        <w:rPr>
          <w:szCs w:val="20"/>
          <w:lang w:val="es-CR"/>
        </w:rPr>
        <w:t xml:space="preserve"> </w:t>
      </w:r>
      <w:r w:rsidR="00725F6E">
        <w:rPr>
          <w:szCs w:val="20"/>
          <w:lang w:val="es-CR"/>
        </w:rPr>
        <w:t>en</w:t>
      </w:r>
      <w:r w:rsidR="00EA4B5B" w:rsidRPr="002B4E6D">
        <w:rPr>
          <w:szCs w:val="20"/>
          <w:lang w:val="es-CR"/>
        </w:rPr>
        <w:t xml:space="preserve"> el</w:t>
      </w:r>
      <w:r w:rsidRPr="002B4E6D">
        <w:rPr>
          <w:szCs w:val="20"/>
          <w:lang w:val="es-CR"/>
        </w:rPr>
        <w:t xml:space="preserve"> Diagnóstico Técnico, </w:t>
      </w:r>
      <w:r w:rsidR="00EA4B5B" w:rsidRPr="002B4E6D">
        <w:rPr>
          <w:szCs w:val="20"/>
          <w:lang w:val="es-CR"/>
        </w:rPr>
        <w:t>se observa</w:t>
      </w:r>
      <w:r w:rsidRPr="002B4E6D">
        <w:rPr>
          <w:szCs w:val="20"/>
          <w:lang w:val="es-CR"/>
        </w:rPr>
        <w:t xml:space="preserve"> que, entre 2012 </w:t>
      </w:r>
      <w:r w:rsidR="00EA4B5B" w:rsidRPr="002B4E6D">
        <w:rPr>
          <w:szCs w:val="20"/>
          <w:lang w:val="es-CR"/>
        </w:rPr>
        <w:t>y</w:t>
      </w:r>
      <w:r w:rsidRPr="002B4E6D">
        <w:rPr>
          <w:szCs w:val="20"/>
          <w:lang w:val="es-CR"/>
        </w:rPr>
        <w:t xml:space="preserve"> 2017, </w:t>
      </w:r>
      <w:r w:rsidR="00EA4B5B" w:rsidRPr="002B4E6D">
        <w:rPr>
          <w:szCs w:val="20"/>
          <w:lang w:val="es-CR"/>
        </w:rPr>
        <w:t>hubo</w:t>
      </w:r>
      <w:r w:rsidRPr="002B4E6D">
        <w:rPr>
          <w:szCs w:val="20"/>
          <w:lang w:val="es-CR"/>
        </w:rPr>
        <w:t xml:space="preserve"> </w:t>
      </w:r>
      <w:r w:rsidR="00EA4B5B" w:rsidRPr="002B4E6D">
        <w:rPr>
          <w:szCs w:val="20"/>
          <w:lang w:val="es-CR"/>
        </w:rPr>
        <w:t>un</w:t>
      </w:r>
      <w:r w:rsidRPr="002B4E6D">
        <w:rPr>
          <w:szCs w:val="20"/>
          <w:lang w:val="es-CR"/>
        </w:rPr>
        <w:t xml:space="preserve"> </w:t>
      </w:r>
      <w:r w:rsidR="00EA4B5B" w:rsidRPr="002B4E6D">
        <w:rPr>
          <w:szCs w:val="20"/>
          <w:lang w:val="es-CR"/>
        </w:rPr>
        <w:t>considerable</w:t>
      </w:r>
      <w:r w:rsidRPr="002B4E6D">
        <w:rPr>
          <w:szCs w:val="20"/>
          <w:lang w:val="es-CR"/>
        </w:rPr>
        <w:t xml:space="preserve"> </w:t>
      </w:r>
      <w:r w:rsidR="002B4E6D">
        <w:rPr>
          <w:szCs w:val="20"/>
          <w:lang w:val="es-CR"/>
        </w:rPr>
        <w:t xml:space="preserve">aumento </w:t>
      </w:r>
      <w:r w:rsidR="00EA4B5B" w:rsidRPr="002B4E6D">
        <w:rPr>
          <w:szCs w:val="20"/>
          <w:lang w:val="es-CR"/>
        </w:rPr>
        <w:t>del</w:t>
      </w:r>
      <w:r w:rsidRPr="002B4E6D">
        <w:rPr>
          <w:szCs w:val="20"/>
          <w:lang w:val="es-CR"/>
        </w:rPr>
        <w:t xml:space="preserve"> número total de </w:t>
      </w:r>
      <w:r w:rsidR="000D1815" w:rsidRPr="002B4E6D">
        <w:rPr>
          <w:szCs w:val="20"/>
          <w:lang w:val="es-CR"/>
        </w:rPr>
        <w:t>detenidos</w:t>
      </w:r>
      <w:r w:rsidRPr="002B4E6D">
        <w:rPr>
          <w:szCs w:val="20"/>
          <w:lang w:val="es-CR"/>
        </w:rPr>
        <w:t xml:space="preserve"> </w:t>
      </w:r>
      <w:r w:rsidR="00EA4B5B" w:rsidRPr="002B4E6D">
        <w:rPr>
          <w:szCs w:val="20"/>
          <w:lang w:val="es-CR"/>
        </w:rPr>
        <w:t>en</w:t>
      </w:r>
      <w:r w:rsidRPr="002B4E6D">
        <w:rPr>
          <w:szCs w:val="20"/>
          <w:lang w:val="es-CR"/>
        </w:rPr>
        <w:t xml:space="preserve"> </w:t>
      </w:r>
      <w:r w:rsidR="00EA4B5B" w:rsidRPr="002B4E6D">
        <w:rPr>
          <w:szCs w:val="20"/>
          <w:lang w:val="es-CR"/>
        </w:rPr>
        <w:t>prisión</w:t>
      </w:r>
      <w:r w:rsidR="004E076B" w:rsidRPr="002B4E6D">
        <w:rPr>
          <w:szCs w:val="20"/>
          <w:lang w:val="es-CR"/>
        </w:rPr>
        <w:t xml:space="preserve"> </w:t>
      </w:r>
      <w:r w:rsidR="002C1E74" w:rsidRPr="002B4E6D">
        <w:rPr>
          <w:szCs w:val="20"/>
          <w:lang w:val="es-CR"/>
        </w:rPr>
        <w:t>preventiva</w:t>
      </w:r>
      <w:r w:rsidR="004E076B" w:rsidRPr="002B4E6D">
        <w:rPr>
          <w:szCs w:val="20"/>
          <w:lang w:val="es-CR"/>
        </w:rPr>
        <w:t xml:space="preserve"> </w:t>
      </w:r>
      <w:r w:rsidR="00EA4B5B" w:rsidRPr="002B4E6D">
        <w:rPr>
          <w:szCs w:val="20"/>
          <w:lang w:val="es-CR"/>
        </w:rPr>
        <w:t>y</w:t>
      </w:r>
      <w:r w:rsidR="004E076B" w:rsidRPr="002B4E6D">
        <w:rPr>
          <w:szCs w:val="20"/>
          <w:lang w:val="es-CR"/>
        </w:rPr>
        <w:t xml:space="preserve"> </w:t>
      </w:r>
      <w:r w:rsidR="00EA4B5B" w:rsidRPr="002B4E6D">
        <w:rPr>
          <w:szCs w:val="20"/>
          <w:lang w:val="es-CR"/>
        </w:rPr>
        <w:t>en</w:t>
      </w:r>
      <w:r w:rsidR="004E076B" w:rsidRPr="002B4E6D">
        <w:rPr>
          <w:szCs w:val="20"/>
          <w:lang w:val="es-CR"/>
        </w:rPr>
        <w:t xml:space="preserve"> </w:t>
      </w:r>
      <w:r w:rsidR="00EA4B5B" w:rsidRPr="002B4E6D">
        <w:rPr>
          <w:szCs w:val="20"/>
          <w:lang w:val="es-CR"/>
        </w:rPr>
        <w:t>régimen</w:t>
      </w:r>
      <w:r w:rsidR="004E076B" w:rsidRPr="002B4E6D">
        <w:rPr>
          <w:szCs w:val="20"/>
          <w:lang w:val="es-CR"/>
        </w:rPr>
        <w:t xml:space="preserve"> </w:t>
      </w:r>
      <w:r w:rsidR="00EA4B5B" w:rsidRPr="002B4E6D">
        <w:rPr>
          <w:szCs w:val="20"/>
          <w:lang w:val="es-CR"/>
        </w:rPr>
        <w:t>cerrado</w:t>
      </w:r>
      <w:r w:rsidR="004E076B" w:rsidRPr="002B4E6D">
        <w:rPr>
          <w:szCs w:val="20"/>
          <w:lang w:val="es-CR"/>
        </w:rPr>
        <w:t xml:space="preserve">. Menos </w:t>
      </w:r>
      <w:r w:rsidR="00EA4B5B" w:rsidRPr="002B4E6D">
        <w:rPr>
          <w:szCs w:val="20"/>
          <w:lang w:val="es-CR"/>
        </w:rPr>
        <w:t>considerable</w:t>
      </w:r>
      <w:r w:rsidR="004E076B" w:rsidRPr="002B4E6D">
        <w:rPr>
          <w:szCs w:val="20"/>
          <w:lang w:val="es-CR"/>
        </w:rPr>
        <w:t xml:space="preserve"> </w:t>
      </w:r>
      <w:r w:rsidR="00EA4B5B" w:rsidRPr="002B4E6D">
        <w:rPr>
          <w:szCs w:val="20"/>
          <w:lang w:val="es-CR"/>
        </w:rPr>
        <w:t>fue</w:t>
      </w:r>
      <w:r w:rsidR="004E076B" w:rsidRPr="002B4E6D">
        <w:rPr>
          <w:szCs w:val="20"/>
          <w:lang w:val="es-CR"/>
        </w:rPr>
        <w:t xml:space="preserve"> </w:t>
      </w:r>
      <w:r w:rsidR="00EA4B5B" w:rsidRPr="002B4E6D">
        <w:rPr>
          <w:szCs w:val="20"/>
          <w:lang w:val="es-CR"/>
        </w:rPr>
        <w:t>el</w:t>
      </w:r>
      <w:r w:rsidR="004E076B" w:rsidRPr="002B4E6D">
        <w:rPr>
          <w:szCs w:val="20"/>
          <w:lang w:val="es-CR"/>
        </w:rPr>
        <w:t xml:space="preserve"> aumento </w:t>
      </w:r>
      <w:r w:rsidR="00EA4B5B" w:rsidRPr="002B4E6D">
        <w:rPr>
          <w:szCs w:val="20"/>
          <w:lang w:val="es-CR"/>
        </w:rPr>
        <w:t>del</w:t>
      </w:r>
      <w:r w:rsidR="004E076B" w:rsidRPr="002B4E6D">
        <w:rPr>
          <w:szCs w:val="20"/>
          <w:lang w:val="es-CR"/>
        </w:rPr>
        <w:t xml:space="preserve"> número total de </w:t>
      </w:r>
      <w:r w:rsidR="000D1815" w:rsidRPr="002B4E6D">
        <w:rPr>
          <w:szCs w:val="20"/>
          <w:lang w:val="es-CR"/>
        </w:rPr>
        <w:t>detenidos</w:t>
      </w:r>
      <w:r w:rsidR="004E076B" w:rsidRPr="002B4E6D">
        <w:rPr>
          <w:szCs w:val="20"/>
          <w:lang w:val="es-CR"/>
        </w:rPr>
        <w:t xml:space="preserve"> </w:t>
      </w:r>
      <w:r w:rsidR="00EA4B5B" w:rsidRPr="002B4E6D">
        <w:rPr>
          <w:szCs w:val="20"/>
          <w:lang w:val="es-CR"/>
        </w:rPr>
        <w:t>en</w:t>
      </w:r>
      <w:r w:rsidRPr="002B4E6D">
        <w:rPr>
          <w:szCs w:val="20"/>
          <w:lang w:val="es-CR"/>
        </w:rPr>
        <w:t xml:space="preserve"> </w:t>
      </w:r>
      <w:r w:rsidR="00EA4B5B" w:rsidRPr="002B4E6D">
        <w:rPr>
          <w:szCs w:val="20"/>
          <w:lang w:val="es-CR"/>
        </w:rPr>
        <w:t>régimen</w:t>
      </w:r>
      <w:r w:rsidRPr="002B4E6D">
        <w:rPr>
          <w:szCs w:val="20"/>
          <w:lang w:val="es-CR"/>
        </w:rPr>
        <w:t xml:space="preserve"> </w:t>
      </w:r>
      <w:proofErr w:type="spellStart"/>
      <w:r w:rsidRPr="002B4E6D">
        <w:rPr>
          <w:szCs w:val="20"/>
          <w:lang w:val="es-CR"/>
        </w:rPr>
        <w:t>semiab</w:t>
      </w:r>
      <w:r w:rsidR="00EA4B5B" w:rsidRPr="002B4E6D">
        <w:rPr>
          <w:szCs w:val="20"/>
          <w:lang w:val="es-CR"/>
        </w:rPr>
        <w:t>i</w:t>
      </w:r>
      <w:r w:rsidRPr="002B4E6D">
        <w:rPr>
          <w:szCs w:val="20"/>
          <w:lang w:val="es-CR"/>
        </w:rPr>
        <w:t>erto</w:t>
      </w:r>
      <w:proofErr w:type="spellEnd"/>
      <w:r w:rsidRPr="002B4E6D">
        <w:rPr>
          <w:szCs w:val="20"/>
          <w:lang w:val="es-CR"/>
        </w:rPr>
        <w:t xml:space="preserve"> </w:t>
      </w:r>
      <w:r w:rsidR="00EA4B5B" w:rsidRPr="002B4E6D">
        <w:rPr>
          <w:szCs w:val="20"/>
          <w:lang w:val="es-CR"/>
        </w:rPr>
        <w:t>y</w:t>
      </w:r>
      <w:r w:rsidRPr="002B4E6D">
        <w:rPr>
          <w:szCs w:val="20"/>
          <w:lang w:val="es-CR"/>
        </w:rPr>
        <w:t xml:space="preserve">, </w:t>
      </w:r>
      <w:r w:rsidR="00EA4B5B" w:rsidRPr="002B4E6D">
        <w:rPr>
          <w:szCs w:val="20"/>
          <w:lang w:val="es-CR"/>
        </w:rPr>
        <w:t>principalmente</w:t>
      </w:r>
      <w:r w:rsidRPr="002B4E6D">
        <w:rPr>
          <w:szCs w:val="20"/>
          <w:lang w:val="es-CR"/>
        </w:rPr>
        <w:t xml:space="preserve">, </w:t>
      </w:r>
      <w:r w:rsidR="004E076B" w:rsidRPr="002B4E6D">
        <w:rPr>
          <w:szCs w:val="20"/>
          <w:lang w:val="es-CR"/>
        </w:rPr>
        <w:t xml:space="preserve">de </w:t>
      </w:r>
      <w:r w:rsidR="00EA4B5B" w:rsidRPr="002B4E6D">
        <w:rPr>
          <w:szCs w:val="20"/>
          <w:lang w:val="es-CR"/>
        </w:rPr>
        <w:t>individuos</w:t>
      </w:r>
      <w:r w:rsidR="004E076B" w:rsidRPr="002B4E6D">
        <w:rPr>
          <w:szCs w:val="20"/>
          <w:lang w:val="es-CR"/>
        </w:rPr>
        <w:t xml:space="preserve"> </w:t>
      </w:r>
      <w:r w:rsidR="00EA4B5B" w:rsidRPr="002B4E6D">
        <w:rPr>
          <w:szCs w:val="20"/>
          <w:lang w:val="es-CR"/>
        </w:rPr>
        <w:t>en</w:t>
      </w:r>
      <w:r w:rsidRPr="002B4E6D">
        <w:rPr>
          <w:szCs w:val="20"/>
          <w:lang w:val="es-CR"/>
        </w:rPr>
        <w:t xml:space="preserve"> </w:t>
      </w:r>
      <w:r w:rsidR="00EA4B5B" w:rsidRPr="002B4E6D">
        <w:rPr>
          <w:szCs w:val="20"/>
          <w:lang w:val="es-CR"/>
        </w:rPr>
        <w:t>régimen</w:t>
      </w:r>
      <w:r w:rsidRPr="002B4E6D">
        <w:rPr>
          <w:szCs w:val="20"/>
          <w:lang w:val="es-CR"/>
        </w:rPr>
        <w:t xml:space="preserve"> </w:t>
      </w:r>
      <w:r w:rsidR="00EA4B5B" w:rsidRPr="002B4E6D">
        <w:rPr>
          <w:szCs w:val="20"/>
          <w:lang w:val="es-CR"/>
        </w:rPr>
        <w:t>abierto</w:t>
      </w:r>
      <w:r w:rsidRPr="002B4E6D">
        <w:rPr>
          <w:szCs w:val="20"/>
          <w:lang w:val="es-CR"/>
        </w:rPr>
        <w:t>.</w:t>
      </w:r>
    </w:p>
    <w:p w14:paraId="3EE41E3C" w14:textId="77777777" w:rsidR="004E076B" w:rsidRPr="002B4E6D" w:rsidRDefault="004E076B" w:rsidP="004E076B">
      <w:pPr>
        <w:pStyle w:val="ListParagraph"/>
        <w:rPr>
          <w:szCs w:val="20"/>
          <w:lang w:val="es-CR"/>
        </w:rPr>
      </w:pPr>
    </w:p>
    <w:p w14:paraId="05057EF5" w14:textId="502457FA" w:rsidR="004E076B" w:rsidRPr="002B4E6D" w:rsidRDefault="00EA4B5B" w:rsidP="004E076B">
      <w:pPr>
        <w:pStyle w:val="ListParagraph"/>
        <w:numPr>
          <w:ilvl w:val="0"/>
          <w:numId w:val="20"/>
        </w:numPr>
        <w:snapToGrid w:val="0"/>
        <w:ind w:left="0" w:firstLine="0"/>
        <w:contextualSpacing w:val="0"/>
        <w:rPr>
          <w:szCs w:val="20"/>
          <w:lang w:val="es-CR"/>
        </w:rPr>
      </w:pPr>
      <w:r w:rsidRPr="002B4E6D">
        <w:rPr>
          <w:szCs w:val="20"/>
          <w:lang w:val="es-CR"/>
        </w:rPr>
        <w:t>El</w:t>
      </w:r>
      <w:r w:rsidR="004E076B" w:rsidRPr="002B4E6D">
        <w:rPr>
          <w:szCs w:val="20"/>
          <w:lang w:val="es-CR"/>
        </w:rPr>
        <w:t xml:space="preserve"> </w:t>
      </w:r>
      <w:r w:rsidRPr="002B4E6D">
        <w:rPr>
          <w:szCs w:val="20"/>
          <w:lang w:val="es-CR"/>
        </w:rPr>
        <w:t>cumplimento</w:t>
      </w:r>
      <w:r w:rsidR="004E076B" w:rsidRPr="002B4E6D">
        <w:rPr>
          <w:szCs w:val="20"/>
          <w:lang w:val="es-CR"/>
        </w:rPr>
        <w:t xml:space="preserve"> de </w:t>
      </w:r>
      <w:r w:rsidR="00725F6E">
        <w:rPr>
          <w:szCs w:val="20"/>
          <w:lang w:val="es-CR"/>
        </w:rPr>
        <w:t xml:space="preserve">la </w:t>
      </w:r>
      <w:r w:rsidR="004E076B" w:rsidRPr="002B4E6D">
        <w:rPr>
          <w:szCs w:val="20"/>
          <w:lang w:val="es-CR"/>
        </w:rPr>
        <w:t xml:space="preserve">pena </w:t>
      </w:r>
      <w:r w:rsidRPr="002B4E6D">
        <w:rPr>
          <w:szCs w:val="20"/>
          <w:lang w:val="es-CR"/>
        </w:rPr>
        <w:t>y</w:t>
      </w:r>
      <w:r w:rsidR="004E076B" w:rsidRPr="002B4E6D">
        <w:rPr>
          <w:szCs w:val="20"/>
          <w:lang w:val="es-CR"/>
        </w:rPr>
        <w:t xml:space="preserve"> </w:t>
      </w:r>
      <w:r w:rsidRPr="002B4E6D">
        <w:rPr>
          <w:szCs w:val="20"/>
          <w:lang w:val="es-CR"/>
        </w:rPr>
        <w:t>el</w:t>
      </w:r>
      <w:r w:rsidR="004E076B" w:rsidRPr="002B4E6D">
        <w:rPr>
          <w:szCs w:val="20"/>
          <w:lang w:val="es-CR"/>
        </w:rPr>
        <w:t xml:space="preserve"> </w:t>
      </w:r>
      <w:r w:rsidRPr="002B4E6D">
        <w:rPr>
          <w:szCs w:val="20"/>
          <w:lang w:val="es-CR"/>
        </w:rPr>
        <w:t>régimen</w:t>
      </w:r>
      <w:r w:rsidR="004E076B" w:rsidRPr="002B4E6D">
        <w:rPr>
          <w:szCs w:val="20"/>
          <w:lang w:val="es-CR"/>
        </w:rPr>
        <w:t xml:space="preserve"> de </w:t>
      </w:r>
      <w:r w:rsidRPr="002B4E6D">
        <w:rPr>
          <w:szCs w:val="20"/>
          <w:lang w:val="es-CR"/>
        </w:rPr>
        <w:t>ejecución</w:t>
      </w:r>
      <w:r w:rsidR="004E076B" w:rsidRPr="002B4E6D">
        <w:rPr>
          <w:szCs w:val="20"/>
          <w:lang w:val="es-CR"/>
        </w:rPr>
        <w:t xml:space="preserve"> de</w:t>
      </w:r>
      <w:r w:rsidR="00725F6E">
        <w:rPr>
          <w:szCs w:val="20"/>
          <w:lang w:val="es-CR"/>
        </w:rPr>
        <w:t xml:space="preserve"> la misma de</w:t>
      </w:r>
      <w:r w:rsidR="004E076B" w:rsidRPr="002B4E6D">
        <w:rPr>
          <w:szCs w:val="20"/>
          <w:lang w:val="es-CR"/>
        </w:rPr>
        <w:t xml:space="preserve"> </w:t>
      </w:r>
      <w:r w:rsidRPr="002B4E6D">
        <w:rPr>
          <w:szCs w:val="20"/>
          <w:lang w:val="es-CR"/>
        </w:rPr>
        <w:t>más</w:t>
      </w:r>
      <w:r w:rsidR="004E076B" w:rsidRPr="002B4E6D">
        <w:rPr>
          <w:szCs w:val="20"/>
          <w:lang w:val="es-CR"/>
        </w:rPr>
        <w:t xml:space="preserve"> de 50 mil </w:t>
      </w:r>
      <w:r w:rsidR="00AA1A37" w:rsidRPr="002B4E6D">
        <w:rPr>
          <w:szCs w:val="20"/>
          <w:lang w:val="es-CR"/>
        </w:rPr>
        <w:t>personas</w:t>
      </w:r>
      <w:r w:rsidR="004E076B" w:rsidRPr="002B4E6D">
        <w:rPr>
          <w:szCs w:val="20"/>
          <w:lang w:val="es-CR"/>
        </w:rPr>
        <w:t xml:space="preserve"> privadas de </w:t>
      </w:r>
      <w:r w:rsidR="00AA1A37" w:rsidRPr="002B4E6D">
        <w:rPr>
          <w:szCs w:val="20"/>
          <w:lang w:val="es-CR"/>
        </w:rPr>
        <w:t>libertad</w:t>
      </w:r>
      <w:r w:rsidR="004E076B" w:rsidRPr="002B4E6D">
        <w:rPr>
          <w:szCs w:val="20"/>
          <w:lang w:val="es-CR"/>
        </w:rPr>
        <w:t xml:space="preserve"> </w:t>
      </w:r>
      <w:r w:rsidR="00707254">
        <w:rPr>
          <w:szCs w:val="20"/>
          <w:lang w:val="es-CR"/>
        </w:rPr>
        <w:t>son</w:t>
      </w:r>
      <w:r w:rsidR="00707254" w:rsidRPr="002B4E6D">
        <w:rPr>
          <w:szCs w:val="20"/>
          <w:lang w:val="es-CR"/>
        </w:rPr>
        <w:t xml:space="preserve"> </w:t>
      </w:r>
      <w:r w:rsidR="00707254">
        <w:rPr>
          <w:szCs w:val="20"/>
          <w:lang w:val="es-CR"/>
        </w:rPr>
        <w:t>supervisad</w:t>
      </w:r>
      <w:r w:rsidR="00725F6E">
        <w:rPr>
          <w:szCs w:val="20"/>
          <w:lang w:val="es-CR"/>
        </w:rPr>
        <w:t>o</w:t>
      </w:r>
      <w:r w:rsidR="00707254">
        <w:rPr>
          <w:szCs w:val="20"/>
          <w:lang w:val="es-CR"/>
        </w:rPr>
        <w:t>s</w:t>
      </w:r>
      <w:r w:rsidR="00707254" w:rsidRPr="002B4E6D">
        <w:rPr>
          <w:szCs w:val="20"/>
          <w:lang w:val="es-CR"/>
        </w:rPr>
        <w:t xml:space="preserve"> </w:t>
      </w:r>
      <w:r w:rsidR="004E076B" w:rsidRPr="002B4E6D">
        <w:rPr>
          <w:szCs w:val="20"/>
          <w:lang w:val="es-CR"/>
        </w:rPr>
        <w:t xml:space="preserve">por </w:t>
      </w:r>
      <w:r w:rsidR="002C1E74" w:rsidRPr="002B4E6D">
        <w:rPr>
          <w:szCs w:val="20"/>
          <w:lang w:val="es-CR"/>
        </w:rPr>
        <w:t>solo</w:t>
      </w:r>
      <w:r w:rsidR="004E076B" w:rsidRPr="002B4E6D">
        <w:rPr>
          <w:szCs w:val="20"/>
          <w:lang w:val="es-CR"/>
        </w:rPr>
        <w:t xml:space="preserve"> 7 </w:t>
      </w:r>
      <w:r w:rsidR="00CB3355" w:rsidRPr="002B4E6D">
        <w:rPr>
          <w:szCs w:val="20"/>
          <w:lang w:val="es-CR"/>
        </w:rPr>
        <w:t>jueces</w:t>
      </w:r>
      <w:r w:rsidR="004E076B" w:rsidRPr="002B4E6D">
        <w:rPr>
          <w:szCs w:val="20"/>
          <w:lang w:val="es-CR"/>
        </w:rPr>
        <w:t xml:space="preserve"> </w:t>
      </w:r>
      <w:r w:rsidR="006004CF" w:rsidRPr="002B4E6D">
        <w:rPr>
          <w:szCs w:val="20"/>
          <w:lang w:val="es-CR"/>
        </w:rPr>
        <w:t xml:space="preserve">de </w:t>
      </w:r>
      <w:r w:rsidR="00CB3355" w:rsidRPr="002B4E6D">
        <w:rPr>
          <w:szCs w:val="20"/>
          <w:lang w:val="es-CR"/>
        </w:rPr>
        <w:t>ejecución</w:t>
      </w:r>
      <w:r w:rsidR="004E076B" w:rsidRPr="002B4E6D">
        <w:rPr>
          <w:szCs w:val="20"/>
          <w:lang w:val="es-CR"/>
        </w:rPr>
        <w:t xml:space="preserve"> penal </w:t>
      </w:r>
      <w:r w:rsidR="00CB3355" w:rsidRPr="002B4E6D">
        <w:rPr>
          <w:szCs w:val="20"/>
          <w:lang w:val="es-CR"/>
        </w:rPr>
        <w:t>en el</w:t>
      </w:r>
      <w:r w:rsidR="004E076B" w:rsidRPr="002B4E6D">
        <w:rPr>
          <w:szCs w:val="20"/>
          <w:lang w:val="es-CR"/>
        </w:rPr>
        <w:t xml:space="preserve"> </w:t>
      </w:r>
      <w:r w:rsidR="00BF2AC5">
        <w:rPr>
          <w:szCs w:val="20"/>
          <w:lang w:val="es-CR"/>
        </w:rPr>
        <w:t>e</w:t>
      </w:r>
      <w:r w:rsidR="00BF2AC5" w:rsidRPr="002B4E6D">
        <w:rPr>
          <w:szCs w:val="20"/>
          <w:lang w:val="es-CR"/>
        </w:rPr>
        <w:t xml:space="preserve">stado </w:t>
      </w:r>
      <w:r w:rsidR="00CB3355" w:rsidRPr="002B4E6D">
        <w:rPr>
          <w:szCs w:val="20"/>
          <w:lang w:val="es-CR"/>
        </w:rPr>
        <w:t>de</w:t>
      </w:r>
      <w:r w:rsidR="004E076B" w:rsidRPr="002B4E6D">
        <w:rPr>
          <w:szCs w:val="20"/>
          <w:lang w:val="es-CR"/>
        </w:rPr>
        <w:t xml:space="preserve"> R</w:t>
      </w:r>
      <w:r w:rsidR="00CB3355" w:rsidRPr="002B4E6D">
        <w:rPr>
          <w:szCs w:val="20"/>
          <w:lang w:val="es-CR"/>
        </w:rPr>
        <w:t>í</w:t>
      </w:r>
      <w:r w:rsidR="004E076B" w:rsidRPr="002B4E6D">
        <w:rPr>
          <w:szCs w:val="20"/>
          <w:lang w:val="es-CR"/>
        </w:rPr>
        <w:t>o de Janeiro.</w:t>
      </w:r>
    </w:p>
    <w:p w14:paraId="0F84B7E1" w14:textId="77777777" w:rsidR="0074752E" w:rsidRPr="002B4E6D" w:rsidRDefault="0074752E" w:rsidP="0074752E">
      <w:pPr>
        <w:rPr>
          <w:szCs w:val="20"/>
          <w:lang w:val="es-CR"/>
        </w:rPr>
      </w:pPr>
    </w:p>
    <w:p w14:paraId="7FEEC0F9" w14:textId="445B7B57" w:rsidR="0074752E" w:rsidRPr="002B4E6D" w:rsidRDefault="00CB3355" w:rsidP="0074752E">
      <w:pPr>
        <w:pStyle w:val="ListParagraph"/>
        <w:numPr>
          <w:ilvl w:val="0"/>
          <w:numId w:val="20"/>
        </w:numPr>
        <w:snapToGrid w:val="0"/>
        <w:ind w:left="0" w:firstLine="0"/>
        <w:contextualSpacing w:val="0"/>
        <w:rPr>
          <w:szCs w:val="20"/>
          <w:lang w:val="es-CR"/>
        </w:rPr>
      </w:pPr>
      <w:r w:rsidRPr="002B4E6D">
        <w:rPr>
          <w:szCs w:val="20"/>
          <w:lang w:val="es-CR"/>
        </w:rPr>
        <w:t>De las</w:t>
      </w:r>
      <w:r w:rsidR="0079400B" w:rsidRPr="002B4E6D">
        <w:rPr>
          <w:szCs w:val="20"/>
          <w:lang w:val="es-CR"/>
        </w:rPr>
        <w:t xml:space="preserve"> 51 </w:t>
      </w:r>
      <w:r w:rsidR="00ED6186" w:rsidRPr="002B4E6D">
        <w:rPr>
          <w:szCs w:val="20"/>
          <w:lang w:val="es-CR"/>
        </w:rPr>
        <w:t>unidad</w:t>
      </w:r>
      <w:r w:rsidR="002C1E74" w:rsidRPr="002B4E6D">
        <w:rPr>
          <w:szCs w:val="20"/>
          <w:lang w:val="es-CR"/>
        </w:rPr>
        <w:t>e</w:t>
      </w:r>
      <w:r w:rsidR="0079400B" w:rsidRPr="002B4E6D">
        <w:rPr>
          <w:szCs w:val="20"/>
          <w:lang w:val="es-CR"/>
        </w:rPr>
        <w:t xml:space="preserve">s </w:t>
      </w:r>
      <w:r w:rsidR="002D46A1" w:rsidRPr="002B4E6D">
        <w:rPr>
          <w:szCs w:val="20"/>
          <w:lang w:val="es-CR"/>
        </w:rPr>
        <w:t>penitenciarias</w:t>
      </w:r>
      <w:r w:rsidR="0079400B" w:rsidRPr="002B4E6D">
        <w:rPr>
          <w:szCs w:val="20"/>
          <w:lang w:val="es-CR"/>
        </w:rPr>
        <w:t xml:space="preserve">, 8 </w:t>
      </w:r>
      <w:r w:rsidR="00725F6E">
        <w:rPr>
          <w:szCs w:val="20"/>
          <w:lang w:val="es-CR"/>
        </w:rPr>
        <w:t xml:space="preserve">están </w:t>
      </w:r>
      <w:r w:rsidR="0079400B" w:rsidRPr="002B4E6D">
        <w:rPr>
          <w:szCs w:val="20"/>
          <w:lang w:val="es-CR"/>
        </w:rPr>
        <w:t xml:space="preserve">originalmente destinadas </w:t>
      </w:r>
      <w:r w:rsidR="00725F6E">
        <w:rPr>
          <w:szCs w:val="20"/>
          <w:lang w:val="es-CR"/>
        </w:rPr>
        <w:t xml:space="preserve">a condenados </w:t>
      </w:r>
      <w:r w:rsidRPr="002B4E6D">
        <w:rPr>
          <w:szCs w:val="20"/>
          <w:lang w:val="es-CR"/>
        </w:rPr>
        <w:t>en régimen</w:t>
      </w:r>
      <w:r w:rsidR="0079400B" w:rsidRPr="002B4E6D">
        <w:rPr>
          <w:szCs w:val="20"/>
          <w:lang w:val="es-CR"/>
        </w:rPr>
        <w:t xml:space="preserve"> </w:t>
      </w:r>
      <w:proofErr w:type="spellStart"/>
      <w:r w:rsidRPr="002B4E6D">
        <w:rPr>
          <w:szCs w:val="20"/>
          <w:lang w:val="es-CR"/>
        </w:rPr>
        <w:t>semiabierto</w:t>
      </w:r>
      <w:proofErr w:type="spellEnd"/>
      <w:r w:rsidR="0079400B" w:rsidRPr="002B4E6D">
        <w:rPr>
          <w:szCs w:val="20"/>
          <w:lang w:val="es-CR"/>
        </w:rPr>
        <w:t xml:space="preserve">. </w:t>
      </w:r>
      <w:r w:rsidRPr="002B4E6D">
        <w:rPr>
          <w:szCs w:val="20"/>
          <w:lang w:val="es-CR"/>
        </w:rPr>
        <w:t>Esas</w:t>
      </w:r>
      <w:r w:rsidR="0079400B" w:rsidRPr="002B4E6D">
        <w:rPr>
          <w:szCs w:val="20"/>
          <w:lang w:val="es-CR"/>
        </w:rPr>
        <w:t xml:space="preserve"> </w:t>
      </w:r>
      <w:r w:rsidR="00ED6186" w:rsidRPr="002B4E6D">
        <w:rPr>
          <w:szCs w:val="20"/>
          <w:lang w:val="es-CR"/>
        </w:rPr>
        <w:t>unidad</w:t>
      </w:r>
      <w:r w:rsidR="00DF3E33" w:rsidRPr="002B4E6D">
        <w:rPr>
          <w:szCs w:val="20"/>
          <w:lang w:val="es-CR"/>
        </w:rPr>
        <w:t>e</w:t>
      </w:r>
      <w:r w:rsidR="0079400B" w:rsidRPr="002B4E6D">
        <w:rPr>
          <w:szCs w:val="20"/>
          <w:lang w:val="es-CR"/>
        </w:rPr>
        <w:t xml:space="preserve">s </w:t>
      </w:r>
      <w:r w:rsidR="001D4F4A" w:rsidRPr="002B4E6D">
        <w:rPr>
          <w:szCs w:val="20"/>
          <w:lang w:val="es-CR"/>
        </w:rPr>
        <w:t>tienen el</w:t>
      </w:r>
      <w:r w:rsidR="0079400B" w:rsidRPr="002B4E6D">
        <w:rPr>
          <w:szCs w:val="20"/>
          <w:lang w:val="es-CR"/>
        </w:rPr>
        <w:t xml:space="preserve"> 24% </w:t>
      </w:r>
      <w:r w:rsidRPr="002B4E6D">
        <w:rPr>
          <w:szCs w:val="20"/>
          <w:lang w:val="es-CR"/>
        </w:rPr>
        <w:t>del</w:t>
      </w:r>
      <w:r w:rsidR="0079400B" w:rsidRPr="002B4E6D">
        <w:rPr>
          <w:szCs w:val="20"/>
          <w:lang w:val="es-CR"/>
        </w:rPr>
        <w:t xml:space="preserve"> total de </w:t>
      </w:r>
      <w:r w:rsidR="001D4F4A" w:rsidRPr="002B4E6D">
        <w:rPr>
          <w:szCs w:val="20"/>
          <w:lang w:val="es-CR"/>
        </w:rPr>
        <w:t>plazas</w:t>
      </w:r>
      <w:r w:rsidRPr="002B4E6D">
        <w:rPr>
          <w:szCs w:val="20"/>
          <w:lang w:val="es-CR"/>
        </w:rPr>
        <w:t xml:space="preserve"> del</w:t>
      </w:r>
      <w:r w:rsidR="0079400B" w:rsidRPr="002B4E6D">
        <w:rPr>
          <w:szCs w:val="20"/>
          <w:lang w:val="es-CR"/>
        </w:rPr>
        <w:t xml:space="preserve"> sistema </w:t>
      </w:r>
      <w:r w:rsidR="001D4F4A" w:rsidRPr="002B4E6D">
        <w:rPr>
          <w:szCs w:val="20"/>
          <w:lang w:val="es-CR"/>
        </w:rPr>
        <w:t>estadual</w:t>
      </w:r>
      <w:r w:rsidR="0079400B" w:rsidRPr="002B4E6D">
        <w:rPr>
          <w:szCs w:val="20"/>
          <w:lang w:val="es-CR"/>
        </w:rPr>
        <w:t>.</w:t>
      </w:r>
      <w:r w:rsidR="00392A25" w:rsidRPr="002B4E6D">
        <w:rPr>
          <w:szCs w:val="20"/>
          <w:lang w:val="es-CR"/>
        </w:rPr>
        <w:t xml:space="preserve"> </w:t>
      </w:r>
      <w:r w:rsidR="0074752E" w:rsidRPr="002B4E6D">
        <w:rPr>
          <w:szCs w:val="20"/>
          <w:lang w:val="es-CR"/>
        </w:rPr>
        <w:t xml:space="preserve">Entre 2016 </w:t>
      </w:r>
      <w:r w:rsidRPr="002B4E6D">
        <w:rPr>
          <w:szCs w:val="20"/>
          <w:lang w:val="es-CR"/>
        </w:rPr>
        <w:t>y</w:t>
      </w:r>
      <w:r w:rsidR="0074752E" w:rsidRPr="002B4E6D">
        <w:rPr>
          <w:szCs w:val="20"/>
          <w:lang w:val="es-CR"/>
        </w:rPr>
        <w:t xml:space="preserve"> 2017, </w:t>
      </w:r>
      <w:r w:rsidRPr="002B4E6D">
        <w:rPr>
          <w:szCs w:val="20"/>
          <w:lang w:val="es-CR"/>
        </w:rPr>
        <w:t>hubo</w:t>
      </w:r>
      <w:r w:rsidR="0074752E" w:rsidRPr="002B4E6D">
        <w:rPr>
          <w:szCs w:val="20"/>
          <w:lang w:val="es-CR"/>
        </w:rPr>
        <w:t xml:space="preserve"> </w:t>
      </w:r>
      <w:r w:rsidRPr="002B4E6D">
        <w:rPr>
          <w:szCs w:val="20"/>
          <w:lang w:val="es-CR"/>
        </w:rPr>
        <w:t>un</w:t>
      </w:r>
      <w:r w:rsidR="0074752E" w:rsidRPr="002B4E6D">
        <w:rPr>
          <w:szCs w:val="20"/>
          <w:lang w:val="es-CR"/>
        </w:rPr>
        <w:t xml:space="preserve"> modesto aumento </w:t>
      </w:r>
      <w:r w:rsidRPr="002B4E6D">
        <w:rPr>
          <w:szCs w:val="20"/>
          <w:lang w:val="es-CR"/>
        </w:rPr>
        <w:t>del</w:t>
      </w:r>
      <w:r w:rsidR="0074752E" w:rsidRPr="002B4E6D">
        <w:rPr>
          <w:szCs w:val="20"/>
          <w:lang w:val="es-CR"/>
        </w:rPr>
        <w:t xml:space="preserve"> número de </w:t>
      </w:r>
      <w:r w:rsidR="001D4F4A" w:rsidRPr="002B4E6D">
        <w:rPr>
          <w:szCs w:val="20"/>
          <w:lang w:val="es-CR"/>
        </w:rPr>
        <w:t>plazas</w:t>
      </w:r>
      <w:r w:rsidR="0074752E" w:rsidRPr="002B4E6D">
        <w:rPr>
          <w:szCs w:val="20"/>
          <w:lang w:val="es-CR"/>
        </w:rPr>
        <w:t xml:space="preserve"> destinadas </w:t>
      </w:r>
      <w:r w:rsidRPr="002B4E6D">
        <w:rPr>
          <w:szCs w:val="20"/>
          <w:lang w:val="es-CR"/>
        </w:rPr>
        <w:t>al</w:t>
      </w:r>
      <w:r w:rsidR="0074752E" w:rsidRPr="002B4E6D">
        <w:rPr>
          <w:szCs w:val="20"/>
          <w:lang w:val="es-CR"/>
        </w:rPr>
        <w:t xml:space="preserve"> </w:t>
      </w:r>
      <w:r w:rsidRPr="002B4E6D">
        <w:rPr>
          <w:szCs w:val="20"/>
          <w:lang w:val="es-CR"/>
        </w:rPr>
        <w:t>régimen</w:t>
      </w:r>
      <w:r w:rsidR="0074752E" w:rsidRPr="002B4E6D">
        <w:rPr>
          <w:szCs w:val="20"/>
          <w:lang w:val="es-CR"/>
        </w:rPr>
        <w:t xml:space="preserve"> </w:t>
      </w:r>
      <w:proofErr w:type="spellStart"/>
      <w:r w:rsidRPr="002B4E6D">
        <w:rPr>
          <w:szCs w:val="20"/>
          <w:lang w:val="es-CR"/>
        </w:rPr>
        <w:t>semiabierto</w:t>
      </w:r>
      <w:proofErr w:type="spellEnd"/>
      <w:r w:rsidR="00D24676">
        <w:rPr>
          <w:szCs w:val="20"/>
          <w:lang w:val="es-CR"/>
        </w:rPr>
        <w:t>.</w:t>
      </w:r>
      <w:r w:rsidR="0074752E" w:rsidRPr="002B4E6D">
        <w:rPr>
          <w:szCs w:val="20"/>
          <w:lang w:val="es-CR"/>
        </w:rPr>
        <w:t xml:space="preserve"> No </w:t>
      </w:r>
      <w:r w:rsidRPr="002B4E6D">
        <w:rPr>
          <w:szCs w:val="20"/>
          <w:lang w:val="es-CR"/>
        </w:rPr>
        <w:t>obstante</w:t>
      </w:r>
      <w:r w:rsidR="0074752E" w:rsidRPr="002B4E6D">
        <w:rPr>
          <w:szCs w:val="20"/>
          <w:lang w:val="es-CR"/>
        </w:rPr>
        <w:t xml:space="preserve">, </w:t>
      </w:r>
      <w:r w:rsidRPr="002B4E6D">
        <w:rPr>
          <w:szCs w:val="20"/>
          <w:lang w:val="es-CR"/>
        </w:rPr>
        <w:t>el</w:t>
      </w:r>
      <w:r w:rsidR="0074752E" w:rsidRPr="002B4E6D">
        <w:rPr>
          <w:szCs w:val="20"/>
          <w:lang w:val="es-CR"/>
        </w:rPr>
        <w:t xml:space="preserve"> Estado </w:t>
      </w:r>
      <w:r w:rsidR="004E076B" w:rsidRPr="002B4E6D">
        <w:rPr>
          <w:szCs w:val="20"/>
          <w:lang w:val="es-CR"/>
        </w:rPr>
        <w:t>reco</w:t>
      </w:r>
      <w:r w:rsidRPr="002B4E6D">
        <w:rPr>
          <w:szCs w:val="20"/>
          <w:lang w:val="es-CR"/>
        </w:rPr>
        <w:t>no</w:t>
      </w:r>
      <w:r w:rsidR="004E076B" w:rsidRPr="002B4E6D">
        <w:rPr>
          <w:szCs w:val="20"/>
          <w:lang w:val="es-CR"/>
        </w:rPr>
        <w:t>ce</w:t>
      </w:r>
      <w:r w:rsidR="0074752E" w:rsidRPr="002B4E6D">
        <w:rPr>
          <w:szCs w:val="20"/>
          <w:lang w:val="es-CR"/>
        </w:rPr>
        <w:t xml:space="preserve"> que </w:t>
      </w:r>
      <w:r w:rsidRPr="002B4E6D">
        <w:rPr>
          <w:szCs w:val="20"/>
          <w:lang w:val="es-CR"/>
        </w:rPr>
        <w:t>el</w:t>
      </w:r>
      <w:r w:rsidR="0074752E" w:rsidRPr="002B4E6D">
        <w:rPr>
          <w:szCs w:val="20"/>
          <w:lang w:val="es-CR"/>
        </w:rPr>
        <w:t xml:space="preserve"> aumento </w:t>
      </w:r>
      <w:r w:rsidRPr="002B4E6D">
        <w:rPr>
          <w:szCs w:val="20"/>
          <w:lang w:val="es-CR"/>
        </w:rPr>
        <w:t>es</w:t>
      </w:r>
      <w:r w:rsidR="0074752E" w:rsidRPr="002B4E6D">
        <w:rPr>
          <w:szCs w:val="20"/>
          <w:lang w:val="es-CR"/>
        </w:rPr>
        <w:t xml:space="preserve"> </w:t>
      </w:r>
      <w:r w:rsidR="00FB25FF" w:rsidRPr="002B4E6D">
        <w:rPr>
          <w:szCs w:val="20"/>
          <w:lang w:val="es-CR"/>
        </w:rPr>
        <w:t>débil</w:t>
      </w:r>
      <w:r w:rsidR="0074752E" w:rsidRPr="002B4E6D">
        <w:rPr>
          <w:szCs w:val="20"/>
          <w:lang w:val="es-CR"/>
        </w:rPr>
        <w:t xml:space="preserve"> </w:t>
      </w:r>
      <w:r w:rsidR="00FB25FF" w:rsidRPr="002B4E6D">
        <w:rPr>
          <w:szCs w:val="20"/>
          <w:lang w:val="es-CR"/>
        </w:rPr>
        <w:t>ante</w:t>
      </w:r>
      <w:r w:rsidRPr="002B4E6D">
        <w:rPr>
          <w:szCs w:val="20"/>
          <w:lang w:val="es-CR"/>
        </w:rPr>
        <w:t xml:space="preserve"> la</w:t>
      </w:r>
      <w:r w:rsidR="0074752E" w:rsidRPr="002B4E6D">
        <w:rPr>
          <w:szCs w:val="20"/>
          <w:lang w:val="es-CR"/>
        </w:rPr>
        <w:t xml:space="preserve"> </w:t>
      </w:r>
      <w:r w:rsidRPr="002B4E6D">
        <w:rPr>
          <w:szCs w:val="20"/>
          <w:lang w:val="es-CR"/>
        </w:rPr>
        <w:t>expansión</w:t>
      </w:r>
      <w:r w:rsidR="0074752E" w:rsidRPr="002B4E6D">
        <w:rPr>
          <w:szCs w:val="20"/>
          <w:lang w:val="es-CR"/>
        </w:rPr>
        <w:t xml:space="preserve"> </w:t>
      </w:r>
      <w:r w:rsidRPr="002B4E6D">
        <w:rPr>
          <w:szCs w:val="20"/>
          <w:lang w:val="es-CR"/>
        </w:rPr>
        <w:t>del</w:t>
      </w:r>
      <w:r w:rsidR="0074752E" w:rsidRPr="002B4E6D">
        <w:rPr>
          <w:szCs w:val="20"/>
          <w:lang w:val="es-CR"/>
        </w:rPr>
        <w:t xml:space="preserve"> número de </w:t>
      </w:r>
      <w:r w:rsidRPr="002B4E6D">
        <w:rPr>
          <w:szCs w:val="20"/>
          <w:lang w:val="es-CR"/>
        </w:rPr>
        <w:t>ingresos</w:t>
      </w:r>
      <w:r w:rsidR="0074752E" w:rsidRPr="002B4E6D">
        <w:rPr>
          <w:szCs w:val="20"/>
          <w:lang w:val="es-CR"/>
        </w:rPr>
        <w:t xml:space="preserve"> </w:t>
      </w:r>
      <w:r w:rsidRPr="002B4E6D">
        <w:rPr>
          <w:szCs w:val="20"/>
          <w:lang w:val="es-CR"/>
        </w:rPr>
        <w:t xml:space="preserve">en </w:t>
      </w:r>
      <w:r w:rsidR="00725F6E">
        <w:rPr>
          <w:szCs w:val="20"/>
          <w:lang w:val="es-CR"/>
        </w:rPr>
        <w:t xml:space="preserve">dicho </w:t>
      </w:r>
      <w:r w:rsidRPr="002B4E6D">
        <w:rPr>
          <w:szCs w:val="20"/>
          <w:lang w:val="es-CR"/>
        </w:rPr>
        <w:t>régimen</w:t>
      </w:r>
      <w:r w:rsidR="0074752E" w:rsidRPr="002B4E6D">
        <w:rPr>
          <w:szCs w:val="20"/>
          <w:lang w:val="es-CR"/>
        </w:rPr>
        <w:t>.</w:t>
      </w:r>
    </w:p>
    <w:p w14:paraId="46741E15" w14:textId="77777777" w:rsidR="0074752E" w:rsidRPr="002B4E6D" w:rsidRDefault="0074752E" w:rsidP="0074752E">
      <w:pPr>
        <w:pStyle w:val="ListParagraph"/>
        <w:snapToGrid w:val="0"/>
        <w:ind w:left="0"/>
        <w:contextualSpacing w:val="0"/>
        <w:rPr>
          <w:szCs w:val="20"/>
          <w:lang w:val="es-CR"/>
        </w:rPr>
      </w:pPr>
    </w:p>
    <w:p w14:paraId="441049ED" w14:textId="0419CC2C" w:rsidR="003D415E" w:rsidRPr="002B4E6D" w:rsidRDefault="00CB3355" w:rsidP="00DC16B7">
      <w:pPr>
        <w:pStyle w:val="ListParagraph"/>
        <w:numPr>
          <w:ilvl w:val="0"/>
          <w:numId w:val="20"/>
        </w:numPr>
        <w:snapToGrid w:val="0"/>
        <w:ind w:left="0" w:firstLine="0"/>
        <w:contextualSpacing w:val="0"/>
        <w:rPr>
          <w:szCs w:val="20"/>
          <w:lang w:val="es-CR"/>
        </w:rPr>
      </w:pPr>
      <w:r w:rsidRPr="002B4E6D">
        <w:rPr>
          <w:szCs w:val="20"/>
          <w:lang w:val="es-CR"/>
        </w:rPr>
        <w:t>El</w:t>
      </w:r>
      <w:r w:rsidR="00392A25" w:rsidRPr="002B4E6D">
        <w:rPr>
          <w:szCs w:val="20"/>
          <w:lang w:val="es-CR"/>
        </w:rPr>
        <w:t xml:space="preserve"> Diagnóstico Técnico </w:t>
      </w:r>
      <w:r w:rsidRPr="002B4E6D">
        <w:rPr>
          <w:szCs w:val="20"/>
          <w:lang w:val="es-CR"/>
        </w:rPr>
        <w:t>resaltó</w:t>
      </w:r>
      <w:r w:rsidR="00392A25" w:rsidRPr="002B4E6D">
        <w:rPr>
          <w:szCs w:val="20"/>
          <w:lang w:val="es-CR"/>
        </w:rPr>
        <w:t xml:space="preserve"> </w:t>
      </w:r>
      <w:r w:rsidRPr="002B4E6D">
        <w:rPr>
          <w:szCs w:val="20"/>
          <w:lang w:val="es-CR"/>
        </w:rPr>
        <w:t>l</w:t>
      </w:r>
      <w:r w:rsidR="00392A25" w:rsidRPr="002B4E6D">
        <w:rPr>
          <w:szCs w:val="20"/>
          <w:lang w:val="es-CR"/>
        </w:rPr>
        <w:t xml:space="preserve">a </w:t>
      </w:r>
      <w:r w:rsidRPr="002B4E6D">
        <w:rPr>
          <w:szCs w:val="20"/>
          <w:lang w:val="es-CR"/>
        </w:rPr>
        <w:t>tendencia</w:t>
      </w:r>
      <w:r w:rsidR="00392A25" w:rsidRPr="002B4E6D">
        <w:rPr>
          <w:szCs w:val="20"/>
          <w:lang w:val="es-CR"/>
        </w:rPr>
        <w:t xml:space="preserve"> de </w:t>
      </w:r>
      <w:r w:rsidR="006004CF" w:rsidRPr="002B4E6D">
        <w:rPr>
          <w:szCs w:val="20"/>
          <w:lang w:val="es-CR"/>
        </w:rPr>
        <w:t xml:space="preserve">aumento </w:t>
      </w:r>
      <w:r w:rsidR="00FB25FF" w:rsidRPr="002B4E6D">
        <w:rPr>
          <w:szCs w:val="20"/>
          <w:lang w:val="es-CR"/>
        </w:rPr>
        <w:t xml:space="preserve">progresivo </w:t>
      </w:r>
      <w:r w:rsidRPr="002B4E6D">
        <w:rPr>
          <w:szCs w:val="20"/>
          <w:lang w:val="es-CR"/>
        </w:rPr>
        <w:t>del</w:t>
      </w:r>
      <w:r w:rsidR="00392A25" w:rsidRPr="002B4E6D">
        <w:rPr>
          <w:szCs w:val="20"/>
          <w:lang w:val="es-CR"/>
        </w:rPr>
        <w:t xml:space="preserve"> total de </w:t>
      </w:r>
      <w:r w:rsidR="00AA1A37" w:rsidRPr="002B4E6D">
        <w:rPr>
          <w:szCs w:val="20"/>
          <w:lang w:val="es-CR"/>
        </w:rPr>
        <w:t>personas</w:t>
      </w:r>
      <w:r w:rsidR="00392A25" w:rsidRPr="002B4E6D">
        <w:rPr>
          <w:szCs w:val="20"/>
          <w:lang w:val="es-CR"/>
        </w:rPr>
        <w:t xml:space="preserve"> </w:t>
      </w:r>
      <w:r w:rsidRPr="002B4E6D">
        <w:rPr>
          <w:szCs w:val="20"/>
          <w:lang w:val="es-CR"/>
        </w:rPr>
        <w:t>en</w:t>
      </w:r>
      <w:r w:rsidR="00392A25" w:rsidRPr="002B4E6D">
        <w:rPr>
          <w:szCs w:val="20"/>
          <w:lang w:val="es-CR"/>
        </w:rPr>
        <w:t xml:space="preserve"> </w:t>
      </w:r>
      <w:r w:rsidRPr="002B4E6D">
        <w:rPr>
          <w:szCs w:val="20"/>
          <w:lang w:val="es-CR"/>
        </w:rPr>
        <w:t>cumplimento</w:t>
      </w:r>
      <w:r w:rsidR="00392A25" w:rsidRPr="002B4E6D">
        <w:rPr>
          <w:szCs w:val="20"/>
          <w:lang w:val="es-CR"/>
        </w:rPr>
        <w:t xml:space="preserve"> de pena </w:t>
      </w:r>
      <w:r w:rsidRPr="002B4E6D">
        <w:rPr>
          <w:szCs w:val="20"/>
          <w:lang w:val="es-CR"/>
        </w:rPr>
        <w:t>en</w:t>
      </w:r>
      <w:r w:rsidR="00392A25" w:rsidRPr="002B4E6D">
        <w:rPr>
          <w:szCs w:val="20"/>
          <w:lang w:val="es-CR"/>
        </w:rPr>
        <w:t xml:space="preserve"> </w:t>
      </w:r>
      <w:r w:rsidRPr="002B4E6D">
        <w:rPr>
          <w:szCs w:val="20"/>
          <w:lang w:val="es-CR"/>
        </w:rPr>
        <w:t>regímenes</w:t>
      </w:r>
      <w:r w:rsidR="00392A25" w:rsidRPr="002B4E6D">
        <w:rPr>
          <w:szCs w:val="20"/>
          <w:lang w:val="es-CR"/>
        </w:rPr>
        <w:t xml:space="preserve"> menos gravosos que </w:t>
      </w:r>
      <w:r w:rsidRPr="002B4E6D">
        <w:rPr>
          <w:szCs w:val="20"/>
          <w:lang w:val="es-CR"/>
        </w:rPr>
        <w:t>el</w:t>
      </w:r>
      <w:r w:rsidR="00392A25" w:rsidRPr="002B4E6D">
        <w:rPr>
          <w:szCs w:val="20"/>
          <w:lang w:val="es-CR"/>
        </w:rPr>
        <w:t xml:space="preserve"> </w:t>
      </w:r>
      <w:r w:rsidRPr="002B4E6D">
        <w:rPr>
          <w:szCs w:val="20"/>
          <w:lang w:val="es-CR"/>
        </w:rPr>
        <w:t>cerrado</w:t>
      </w:r>
      <w:r w:rsidR="00392A25" w:rsidRPr="002B4E6D">
        <w:rPr>
          <w:szCs w:val="20"/>
          <w:lang w:val="es-CR"/>
        </w:rPr>
        <w:t xml:space="preserve">, </w:t>
      </w:r>
      <w:r w:rsidRPr="002B4E6D">
        <w:rPr>
          <w:szCs w:val="20"/>
          <w:lang w:val="es-CR"/>
        </w:rPr>
        <w:t>teniendo</w:t>
      </w:r>
      <w:r w:rsidR="004E076B" w:rsidRPr="002B4E6D">
        <w:rPr>
          <w:szCs w:val="20"/>
          <w:lang w:val="es-CR"/>
        </w:rPr>
        <w:t xml:space="preserve"> </w:t>
      </w:r>
      <w:r w:rsidRPr="002B4E6D">
        <w:rPr>
          <w:szCs w:val="20"/>
          <w:lang w:val="es-CR"/>
        </w:rPr>
        <w:t>en</w:t>
      </w:r>
      <w:r w:rsidR="00392A25" w:rsidRPr="002B4E6D">
        <w:rPr>
          <w:szCs w:val="20"/>
          <w:lang w:val="es-CR"/>
        </w:rPr>
        <w:t xml:space="preserve"> </w:t>
      </w:r>
      <w:r w:rsidRPr="002B4E6D">
        <w:rPr>
          <w:szCs w:val="20"/>
          <w:lang w:val="es-CR"/>
        </w:rPr>
        <w:t>cuenta</w:t>
      </w:r>
      <w:r w:rsidR="00392A25" w:rsidRPr="002B4E6D">
        <w:rPr>
          <w:szCs w:val="20"/>
          <w:lang w:val="es-CR"/>
        </w:rPr>
        <w:t xml:space="preserve"> que</w:t>
      </w:r>
      <w:r w:rsidR="004E076B" w:rsidRPr="002B4E6D">
        <w:rPr>
          <w:szCs w:val="20"/>
          <w:lang w:val="es-CR"/>
        </w:rPr>
        <w:t xml:space="preserve"> </w:t>
      </w:r>
      <w:r w:rsidRPr="002B4E6D">
        <w:rPr>
          <w:szCs w:val="20"/>
          <w:lang w:val="es-CR"/>
        </w:rPr>
        <w:t>la</w:t>
      </w:r>
      <w:r w:rsidR="004E076B" w:rsidRPr="002B4E6D">
        <w:rPr>
          <w:szCs w:val="20"/>
          <w:lang w:val="es-CR"/>
        </w:rPr>
        <w:t xml:space="preserve"> </w:t>
      </w:r>
      <w:r w:rsidRPr="002B4E6D">
        <w:rPr>
          <w:szCs w:val="20"/>
          <w:lang w:val="es-CR"/>
        </w:rPr>
        <w:t>regla</w:t>
      </w:r>
      <w:r w:rsidR="004E076B" w:rsidRPr="002B4E6D">
        <w:rPr>
          <w:szCs w:val="20"/>
          <w:lang w:val="es-CR"/>
        </w:rPr>
        <w:t xml:space="preserve"> </w:t>
      </w:r>
      <w:r w:rsidRPr="002B4E6D">
        <w:rPr>
          <w:szCs w:val="20"/>
          <w:lang w:val="es-CR"/>
        </w:rPr>
        <w:t>es</w:t>
      </w:r>
      <w:r w:rsidR="00392A25" w:rsidRPr="002B4E6D">
        <w:rPr>
          <w:szCs w:val="20"/>
          <w:lang w:val="es-CR"/>
        </w:rPr>
        <w:t xml:space="preserve"> </w:t>
      </w:r>
      <w:r w:rsidRPr="002B4E6D">
        <w:rPr>
          <w:szCs w:val="20"/>
          <w:lang w:val="es-CR"/>
        </w:rPr>
        <w:t>la</w:t>
      </w:r>
      <w:r w:rsidR="00392A25" w:rsidRPr="002B4E6D">
        <w:rPr>
          <w:szCs w:val="20"/>
          <w:lang w:val="es-CR"/>
        </w:rPr>
        <w:t xml:space="preserve"> </w:t>
      </w:r>
      <w:r w:rsidRPr="002B4E6D">
        <w:rPr>
          <w:szCs w:val="20"/>
          <w:lang w:val="es-CR"/>
        </w:rPr>
        <w:t>progresividad</w:t>
      </w:r>
      <w:r w:rsidR="00392A25" w:rsidRPr="002B4E6D">
        <w:rPr>
          <w:szCs w:val="20"/>
          <w:lang w:val="es-CR"/>
        </w:rPr>
        <w:t xml:space="preserve"> </w:t>
      </w:r>
      <w:r w:rsidRPr="002B4E6D">
        <w:rPr>
          <w:szCs w:val="20"/>
          <w:lang w:val="es-CR"/>
        </w:rPr>
        <w:t>del</w:t>
      </w:r>
      <w:r w:rsidR="00392A25" w:rsidRPr="002B4E6D">
        <w:rPr>
          <w:szCs w:val="20"/>
          <w:lang w:val="es-CR"/>
        </w:rPr>
        <w:t xml:space="preserve"> sistema de </w:t>
      </w:r>
      <w:r w:rsidRPr="002B4E6D">
        <w:rPr>
          <w:szCs w:val="20"/>
          <w:lang w:val="es-CR"/>
        </w:rPr>
        <w:t>ejecución</w:t>
      </w:r>
      <w:r w:rsidR="00392A25" w:rsidRPr="002B4E6D">
        <w:rPr>
          <w:szCs w:val="20"/>
          <w:lang w:val="es-CR"/>
        </w:rPr>
        <w:t xml:space="preserve"> de penas privativas de </w:t>
      </w:r>
      <w:r w:rsidR="00AA1A37" w:rsidRPr="002B4E6D">
        <w:rPr>
          <w:szCs w:val="20"/>
          <w:lang w:val="es-CR"/>
        </w:rPr>
        <w:t>libertad</w:t>
      </w:r>
      <w:r w:rsidR="00392A25" w:rsidRPr="002B4E6D">
        <w:rPr>
          <w:szCs w:val="20"/>
          <w:lang w:val="es-CR"/>
        </w:rPr>
        <w:t>.</w:t>
      </w:r>
    </w:p>
    <w:p w14:paraId="147BE2A6" w14:textId="77777777" w:rsidR="00EE62DA" w:rsidRPr="002B4E6D" w:rsidRDefault="00EE62DA" w:rsidP="006D31D9">
      <w:pPr>
        <w:pStyle w:val="ListParagraph"/>
        <w:rPr>
          <w:szCs w:val="20"/>
          <w:lang w:val="es-CR"/>
        </w:rPr>
      </w:pPr>
    </w:p>
    <w:p w14:paraId="6B2B884F" w14:textId="5694C704" w:rsidR="00392A25" w:rsidRPr="002B4E6D" w:rsidRDefault="00CB3355" w:rsidP="00392A25">
      <w:pPr>
        <w:pStyle w:val="ListParagraph"/>
        <w:numPr>
          <w:ilvl w:val="0"/>
          <w:numId w:val="20"/>
        </w:numPr>
        <w:snapToGrid w:val="0"/>
        <w:ind w:left="0" w:firstLine="0"/>
        <w:contextualSpacing w:val="0"/>
        <w:rPr>
          <w:szCs w:val="20"/>
          <w:lang w:val="es-CR"/>
        </w:rPr>
      </w:pPr>
      <w:r w:rsidRPr="002B4E6D">
        <w:rPr>
          <w:szCs w:val="20"/>
          <w:lang w:val="es-CR"/>
        </w:rPr>
        <w:t>El</w:t>
      </w:r>
      <w:r w:rsidR="00392A25" w:rsidRPr="002B4E6D">
        <w:rPr>
          <w:szCs w:val="20"/>
          <w:lang w:val="es-CR"/>
        </w:rPr>
        <w:t xml:space="preserve"> Diagnóstico Técnico </w:t>
      </w:r>
      <w:r w:rsidRPr="002B4E6D">
        <w:rPr>
          <w:szCs w:val="20"/>
          <w:lang w:val="es-CR"/>
        </w:rPr>
        <w:t>notó</w:t>
      </w:r>
      <w:r w:rsidR="00392A25" w:rsidRPr="002B4E6D">
        <w:rPr>
          <w:szCs w:val="20"/>
          <w:lang w:val="es-CR"/>
        </w:rPr>
        <w:t xml:space="preserve"> que, </w:t>
      </w:r>
      <w:r w:rsidRPr="002B4E6D">
        <w:rPr>
          <w:szCs w:val="20"/>
          <w:lang w:val="es-CR"/>
        </w:rPr>
        <w:t>a la</w:t>
      </w:r>
      <w:r w:rsidR="00392A25" w:rsidRPr="002B4E6D">
        <w:rPr>
          <w:szCs w:val="20"/>
          <w:lang w:val="es-CR"/>
        </w:rPr>
        <w:t xml:space="preserve"> luz </w:t>
      </w:r>
      <w:r w:rsidRPr="002B4E6D">
        <w:rPr>
          <w:szCs w:val="20"/>
          <w:lang w:val="es-CR"/>
        </w:rPr>
        <w:t>de la</w:t>
      </w:r>
      <w:r w:rsidR="00392A25" w:rsidRPr="002B4E6D">
        <w:rPr>
          <w:szCs w:val="20"/>
          <w:lang w:val="es-CR"/>
        </w:rPr>
        <w:t xml:space="preserve"> legisla</w:t>
      </w:r>
      <w:r w:rsidR="00AA1A37" w:rsidRPr="002B4E6D">
        <w:rPr>
          <w:szCs w:val="20"/>
          <w:lang w:val="es-CR"/>
        </w:rPr>
        <w:t>ción</w:t>
      </w:r>
      <w:r w:rsidR="00392A25" w:rsidRPr="002B4E6D">
        <w:rPr>
          <w:szCs w:val="20"/>
          <w:lang w:val="es-CR"/>
        </w:rPr>
        <w:t xml:space="preserve"> brasil</w:t>
      </w:r>
      <w:r w:rsidRPr="002B4E6D">
        <w:rPr>
          <w:szCs w:val="20"/>
          <w:lang w:val="es-CR"/>
        </w:rPr>
        <w:t>eñ</w:t>
      </w:r>
      <w:r w:rsidR="00392A25" w:rsidRPr="002B4E6D">
        <w:rPr>
          <w:szCs w:val="20"/>
          <w:lang w:val="es-CR"/>
        </w:rPr>
        <w:t xml:space="preserve">a, </w:t>
      </w:r>
      <w:r w:rsidRPr="002B4E6D">
        <w:rPr>
          <w:szCs w:val="20"/>
          <w:lang w:val="es-CR"/>
        </w:rPr>
        <w:t>la</w:t>
      </w:r>
      <w:r w:rsidR="00392A25" w:rsidRPr="002B4E6D">
        <w:rPr>
          <w:szCs w:val="20"/>
          <w:lang w:val="es-CR"/>
        </w:rPr>
        <w:t xml:space="preserve"> pena privativa de </w:t>
      </w:r>
      <w:r w:rsidR="00AA1A37" w:rsidRPr="002B4E6D">
        <w:rPr>
          <w:szCs w:val="20"/>
          <w:lang w:val="es-CR"/>
        </w:rPr>
        <w:t>libertad</w:t>
      </w:r>
      <w:r w:rsidR="00392A25" w:rsidRPr="002B4E6D">
        <w:rPr>
          <w:szCs w:val="20"/>
          <w:lang w:val="es-CR"/>
        </w:rPr>
        <w:t xml:space="preserve"> </w:t>
      </w:r>
      <w:r w:rsidRPr="002B4E6D">
        <w:rPr>
          <w:szCs w:val="20"/>
          <w:lang w:val="es-CR"/>
        </w:rPr>
        <w:t>en</w:t>
      </w:r>
      <w:r w:rsidR="00392A25" w:rsidRPr="002B4E6D">
        <w:rPr>
          <w:szCs w:val="20"/>
          <w:lang w:val="es-CR"/>
        </w:rPr>
        <w:t xml:space="preserve"> </w:t>
      </w:r>
      <w:r w:rsidRPr="002B4E6D">
        <w:rPr>
          <w:szCs w:val="20"/>
          <w:lang w:val="es-CR"/>
        </w:rPr>
        <w:t>régimen</w:t>
      </w:r>
      <w:r w:rsidR="00392A25" w:rsidRPr="002B4E6D">
        <w:rPr>
          <w:szCs w:val="20"/>
          <w:lang w:val="es-CR"/>
        </w:rPr>
        <w:t xml:space="preserve"> </w:t>
      </w:r>
      <w:proofErr w:type="spellStart"/>
      <w:r w:rsidRPr="002B4E6D">
        <w:rPr>
          <w:szCs w:val="20"/>
          <w:lang w:val="es-CR"/>
        </w:rPr>
        <w:t>semiabierto</w:t>
      </w:r>
      <w:proofErr w:type="spellEnd"/>
      <w:r w:rsidR="00392A25" w:rsidRPr="002B4E6D">
        <w:rPr>
          <w:szCs w:val="20"/>
          <w:lang w:val="es-CR"/>
        </w:rPr>
        <w:t xml:space="preserve"> </w:t>
      </w:r>
      <w:r w:rsidRPr="002B4E6D">
        <w:rPr>
          <w:szCs w:val="20"/>
          <w:lang w:val="es-CR"/>
        </w:rPr>
        <w:t>debería</w:t>
      </w:r>
      <w:r w:rsidR="00392A25" w:rsidRPr="002B4E6D">
        <w:rPr>
          <w:szCs w:val="20"/>
          <w:lang w:val="es-CR"/>
        </w:rPr>
        <w:t xml:space="preserve"> ser </w:t>
      </w:r>
      <w:r w:rsidRPr="002B4E6D">
        <w:rPr>
          <w:szCs w:val="20"/>
          <w:lang w:val="es-CR"/>
        </w:rPr>
        <w:t>cumplida</w:t>
      </w:r>
      <w:r w:rsidR="00392A25" w:rsidRPr="002B4E6D">
        <w:rPr>
          <w:szCs w:val="20"/>
          <w:lang w:val="es-CR"/>
        </w:rPr>
        <w:t xml:space="preserve"> </w:t>
      </w:r>
      <w:r w:rsidRPr="002B4E6D">
        <w:rPr>
          <w:szCs w:val="20"/>
          <w:lang w:val="es-CR"/>
        </w:rPr>
        <w:t>en</w:t>
      </w:r>
      <w:r w:rsidR="00392A25" w:rsidRPr="002B4E6D">
        <w:rPr>
          <w:szCs w:val="20"/>
          <w:lang w:val="es-CR"/>
        </w:rPr>
        <w:t xml:space="preserve"> </w:t>
      </w:r>
      <w:r w:rsidR="00FB25FF" w:rsidRPr="002B4E6D">
        <w:rPr>
          <w:szCs w:val="20"/>
          <w:lang w:val="es-CR"/>
        </w:rPr>
        <w:t>unidades</w:t>
      </w:r>
      <w:r w:rsidR="00392A25" w:rsidRPr="002B4E6D">
        <w:rPr>
          <w:szCs w:val="20"/>
          <w:lang w:val="es-CR"/>
        </w:rPr>
        <w:t xml:space="preserve"> de interna</w:t>
      </w:r>
      <w:r w:rsidR="00AA1A37" w:rsidRPr="002B4E6D">
        <w:rPr>
          <w:szCs w:val="20"/>
          <w:lang w:val="es-CR"/>
        </w:rPr>
        <w:t>ción</w:t>
      </w:r>
      <w:r w:rsidR="00392A25" w:rsidRPr="002B4E6D">
        <w:rPr>
          <w:szCs w:val="20"/>
          <w:lang w:val="es-CR"/>
        </w:rPr>
        <w:t xml:space="preserve"> con</w:t>
      </w:r>
      <w:r w:rsidRPr="002B4E6D">
        <w:rPr>
          <w:szCs w:val="20"/>
          <w:lang w:val="es-CR"/>
        </w:rPr>
        <w:t>o</w:t>
      </w:r>
      <w:r w:rsidR="00392A25" w:rsidRPr="002B4E6D">
        <w:rPr>
          <w:szCs w:val="20"/>
          <w:lang w:val="es-CR"/>
        </w:rPr>
        <w:t xml:space="preserve">cidas como </w:t>
      </w:r>
      <w:r w:rsidRPr="002B4E6D">
        <w:rPr>
          <w:szCs w:val="20"/>
          <w:lang w:val="es-CR"/>
        </w:rPr>
        <w:t>colonias</w:t>
      </w:r>
      <w:r w:rsidR="00392A25" w:rsidRPr="002B4E6D">
        <w:rPr>
          <w:szCs w:val="20"/>
          <w:lang w:val="es-CR"/>
        </w:rPr>
        <w:t xml:space="preserve"> agrícolas, industria</w:t>
      </w:r>
      <w:r w:rsidRPr="002B4E6D">
        <w:rPr>
          <w:szCs w:val="20"/>
          <w:lang w:val="es-CR"/>
        </w:rPr>
        <w:t>le</w:t>
      </w:r>
      <w:r w:rsidR="00392A25" w:rsidRPr="002B4E6D">
        <w:rPr>
          <w:szCs w:val="20"/>
          <w:lang w:val="es-CR"/>
        </w:rPr>
        <w:t xml:space="preserve">s </w:t>
      </w:r>
      <w:r w:rsidRPr="002B4E6D">
        <w:rPr>
          <w:szCs w:val="20"/>
          <w:lang w:val="es-CR"/>
        </w:rPr>
        <w:t>o</w:t>
      </w:r>
      <w:r w:rsidR="00392A25" w:rsidRPr="002B4E6D">
        <w:rPr>
          <w:szCs w:val="20"/>
          <w:lang w:val="es-CR"/>
        </w:rPr>
        <w:t xml:space="preserve"> similares. Ta</w:t>
      </w:r>
      <w:r w:rsidRPr="002B4E6D">
        <w:rPr>
          <w:szCs w:val="20"/>
          <w:lang w:val="es-CR"/>
        </w:rPr>
        <w:t>le</w:t>
      </w:r>
      <w:r w:rsidR="00392A25" w:rsidRPr="002B4E6D">
        <w:rPr>
          <w:szCs w:val="20"/>
          <w:lang w:val="es-CR"/>
        </w:rPr>
        <w:t xml:space="preserve">s </w:t>
      </w:r>
      <w:r w:rsidR="00ED6186" w:rsidRPr="002B4E6D">
        <w:rPr>
          <w:szCs w:val="20"/>
          <w:lang w:val="es-CR"/>
        </w:rPr>
        <w:t>unidad</w:t>
      </w:r>
      <w:r w:rsidR="009A0756" w:rsidRPr="002B4E6D">
        <w:rPr>
          <w:szCs w:val="20"/>
          <w:lang w:val="es-CR"/>
        </w:rPr>
        <w:t>e</w:t>
      </w:r>
      <w:r w:rsidR="00392A25" w:rsidRPr="002B4E6D">
        <w:rPr>
          <w:szCs w:val="20"/>
          <w:lang w:val="es-CR"/>
        </w:rPr>
        <w:t xml:space="preserve">s </w:t>
      </w:r>
      <w:r w:rsidRPr="002B4E6D">
        <w:rPr>
          <w:szCs w:val="20"/>
          <w:lang w:val="es-CR"/>
        </w:rPr>
        <w:t>deberían</w:t>
      </w:r>
      <w:r w:rsidR="00392A25" w:rsidRPr="002B4E6D">
        <w:rPr>
          <w:szCs w:val="20"/>
          <w:lang w:val="es-CR"/>
        </w:rPr>
        <w:t xml:space="preserve"> pr</w:t>
      </w:r>
      <w:r w:rsidR="003B748F">
        <w:rPr>
          <w:szCs w:val="20"/>
          <w:lang w:val="es-CR"/>
        </w:rPr>
        <w:t>opender</w:t>
      </w:r>
      <w:r w:rsidR="00392A25" w:rsidRPr="002B4E6D">
        <w:rPr>
          <w:szCs w:val="20"/>
          <w:lang w:val="es-CR"/>
        </w:rPr>
        <w:t xml:space="preserve"> </w:t>
      </w:r>
      <w:r w:rsidRPr="002B4E6D">
        <w:rPr>
          <w:szCs w:val="20"/>
          <w:lang w:val="es-CR"/>
        </w:rPr>
        <w:t>por la</w:t>
      </w:r>
      <w:r w:rsidR="00392A25" w:rsidRPr="002B4E6D">
        <w:rPr>
          <w:szCs w:val="20"/>
          <w:lang w:val="es-CR"/>
        </w:rPr>
        <w:t xml:space="preserve"> oferta de </w:t>
      </w:r>
      <w:r w:rsidR="009E16F7" w:rsidRPr="002B4E6D">
        <w:rPr>
          <w:szCs w:val="20"/>
          <w:lang w:val="es-CR"/>
        </w:rPr>
        <w:t>trabajo</w:t>
      </w:r>
      <w:r w:rsidR="00392A25" w:rsidRPr="002B4E6D">
        <w:rPr>
          <w:szCs w:val="20"/>
          <w:lang w:val="es-CR"/>
        </w:rPr>
        <w:t xml:space="preserve"> diurno (</w:t>
      </w:r>
      <w:r w:rsidRPr="002B4E6D">
        <w:rPr>
          <w:szCs w:val="20"/>
          <w:lang w:val="es-CR"/>
        </w:rPr>
        <w:t>en</w:t>
      </w:r>
      <w:r w:rsidR="00392A25" w:rsidRPr="002B4E6D">
        <w:rPr>
          <w:szCs w:val="20"/>
          <w:lang w:val="es-CR"/>
        </w:rPr>
        <w:t xml:space="preserve"> </w:t>
      </w:r>
      <w:r w:rsidRPr="002B4E6D">
        <w:rPr>
          <w:szCs w:val="20"/>
          <w:lang w:val="es-CR"/>
        </w:rPr>
        <w:t>actividades</w:t>
      </w:r>
      <w:r w:rsidR="00392A25" w:rsidRPr="002B4E6D">
        <w:rPr>
          <w:szCs w:val="20"/>
          <w:lang w:val="es-CR"/>
        </w:rPr>
        <w:t xml:space="preserve"> agrícolas, </w:t>
      </w:r>
      <w:r w:rsidR="009C2723" w:rsidRPr="002B4E6D">
        <w:rPr>
          <w:szCs w:val="20"/>
          <w:lang w:val="es-CR"/>
        </w:rPr>
        <w:t>manufactureras</w:t>
      </w:r>
      <w:r w:rsidR="00392A25" w:rsidRPr="002B4E6D">
        <w:rPr>
          <w:szCs w:val="20"/>
          <w:lang w:val="es-CR"/>
        </w:rPr>
        <w:t xml:space="preserve"> e industria</w:t>
      </w:r>
      <w:r w:rsidRPr="002B4E6D">
        <w:rPr>
          <w:szCs w:val="20"/>
          <w:lang w:val="es-CR"/>
        </w:rPr>
        <w:t>le</w:t>
      </w:r>
      <w:r w:rsidR="00392A25" w:rsidRPr="002B4E6D">
        <w:rPr>
          <w:szCs w:val="20"/>
          <w:lang w:val="es-CR"/>
        </w:rPr>
        <w:t xml:space="preserve">s). No </w:t>
      </w:r>
      <w:r w:rsidRPr="002B4E6D">
        <w:rPr>
          <w:szCs w:val="20"/>
          <w:lang w:val="es-CR"/>
        </w:rPr>
        <w:t>obstante</w:t>
      </w:r>
      <w:r w:rsidR="00392A25" w:rsidRPr="002B4E6D">
        <w:rPr>
          <w:szCs w:val="20"/>
          <w:lang w:val="es-CR"/>
        </w:rPr>
        <w:t xml:space="preserve">, </w:t>
      </w:r>
      <w:r w:rsidRPr="002B4E6D">
        <w:rPr>
          <w:szCs w:val="20"/>
          <w:lang w:val="es-CR"/>
        </w:rPr>
        <w:t>esas</w:t>
      </w:r>
      <w:r w:rsidR="00392A25" w:rsidRPr="002B4E6D">
        <w:rPr>
          <w:szCs w:val="20"/>
          <w:lang w:val="es-CR"/>
        </w:rPr>
        <w:t xml:space="preserve"> </w:t>
      </w:r>
      <w:r w:rsidR="00ED6186" w:rsidRPr="002B4E6D">
        <w:rPr>
          <w:szCs w:val="20"/>
          <w:lang w:val="es-CR"/>
        </w:rPr>
        <w:t>unidad</w:t>
      </w:r>
      <w:r w:rsidR="009C2723" w:rsidRPr="002B4E6D">
        <w:rPr>
          <w:szCs w:val="20"/>
          <w:lang w:val="es-CR"/>
        </w:rPr>
        <w:t>e</w:t>
      </w:r>
      <w:r w:rsidR="00392A25" w:rsidRPr="002B4E6D">
        <w:rPr>
          <w:szCs w:val="20"/>
          <w:lang w:val="es-CR"/>
        </w:rPr>
        <w:t xml:space="preserve">s </w:t>
      </w:r>
      <w:r w:rsidRPr="002B4E6D">
        <w:rPr>
          <w:szCs w:val="20"/>
          <w:lang w:val="es-CR"/>
        </w:rPr>
        <w:t>escasean</w:t>
      </w:r>
      <w:r w:rsidR="00392A25" w:rsidRPr="002B4E6D">
        <w:rPr>
          <w:szCs w:val="20"/>
          <w:lang w:val="es-CR"/>
        </w:rPr>
        <w:t xml:space="preserve"> </w:t>
      </w:r>
      <w:r w:rsidRPr="002B4E6D">
        <w:rPr>
          <w:szCs w:val="20"/>
          <w:lang w:val="es-CR"/>
        </w:rPr>
        <w:t>o</w:t>
      </w:r>
      <w:r w:rsidR="00392A25" w:rsidRPr="002B4E6D">
        <w:rPr>
          <w:szCs w:val="20"/>
          <w:lang w:val="es-CR"/>
        </w:rPr>
        <w:t xml:space="preserve"> </w:t>
      </w:r>
      <w:r w:rsidRPr="002B4E6D">
        <w:rPr>
          <w:szCs w:val="20"/>
          <w:lang w:val="es-CR"/>
        </w:rPr>
        <w:t>existen</w:t>
      </w:r>
      <w:r w:rsidR="00392A25" w:rsidRPr="002B4E6D">
        <w:rPr>
          <w:szCs w:val="20"/>
          <w:lang w:val="es-CR"/>
        </w:rPr>
        <w:t xml:space="preserve"> </w:t>
      </w:r>
      <w:r w:rsidR="003B748F">
        <w:rPr>
          <w:szCs w:val="20"/>
          <w:lang w:val="es-CR"/>
        </w:rPr>
        <w:t xml:space="preserve">de manera precaria </w:t>
      </w:r>
      <w:r w:rsidRPr="002B4E6D">
        <w:rPr>
          <w:szCs w:val="20"/>
          <w:lang w:val="es-CR"/>
        </w:rPr>
        <w:t>en el</w:t>
      </w:r>
      <w:r w:rsidR="00392A25" w:rsidRPr="002B4E6D">
        <w:rPr>
          <w:szCs w:val="20"/>
          <w:lang w:val="es-CR"/>
        </w:rPr>
        <w:t xml:space="preserve"> </w:t>
      </w:r>
      <w:r w:rsidR="00707254">
        <w:rPr>
          <w:szCs w:val="20"/>
          <w:lang w:val="es-CR"/>
        </w:rPr>
        <w:t>p</w:t>
      </w:r>
      <w:r w:rsidR="00392A25" w:rsidRPr="002B4E6D">
        <w:rPr>
          <w:szCs w:val="20"/>
          <w:lang w:val="es-CR"/>
        </w:rPr>
        <w:t xml:space="preserve">aís. </w:t>
      </w:r>
      <w:r w:rsidR="00E9782F" w:rsidRPr="002B4E6D">
        <w:rPr>
          <w:szCs w:val="20"/>
          <w:lang w:val="es-CR"/>
        </w:rPr>
        <w:t>El</w:t>
      </w:r>
      <w:r w:rsidR="00392A25" w:rsidRPr="002B4E6D">
        <w:rPr>
          <w:szCs w:val="20"/>
          <w:lang w:val="es-CR"/>
        </w:rPr>
        <w:t xml:space="preserve"> IPPSC </w:t>
      </w:r>
      <w:r w:rsidR="00E9782F" w:rsidRPr="002B4E6D">
        <w:rPr>
          <w:szCs w:val="20"/>
          <w:lang w:val="es-CR"/>
        </w:rPr>
        <w:t>es</w:t>
      </w:r>
      <w:r w:rsidR="00392A25" w:rsidRPr="002B4E6D">
        <w:rPr>
          <w:szCs w:val="20"/>
          <w:lang w:val="es-CR"/>
        </w:rPr>
        <w:t xml:space="preserve"> considerado </w:t>
      </w:r>
      <w:r w:rsidR="00E9782F" w:rsidRPr="002B4E6D">
        <w:rPr>
          <w:szCs w:val="20"/>
          <w:lang w:val="es-CR"/>
        </w:rPr>
        <w:t>una</w:t>
      </w:r>
      <w:r w:rsidR="00DA3193" w:rsidRPr="002B4E6D">
        <w:rPr>
          <w:szCs w:val="20"/>
          <w:lang w:val="es-CR"/>
        </w:rPr>
        <w:t xml:space="preserve"> </w:t>
      </w:r>
      <w:r w:rsidR="00E9782F" w:rsidRPr="002B4E6D">
        <w:rPr>
          <w:szCs w:val="20"/>
          <w:lang w:val="es-CR"/>
        </w:rPr>
        <w:t>unidad</w:t>
      </w:r>
      <w:r w:rsidR="00DA3193" w:rsidRPr="002B4E6D">
        <w:rPr>
          <w:szCs w:val="20"/>
          <w:lang w:val="es-CR"/>
        </w:rPr>
        <w:t xml:space="preserve"> </w:t>
      </w:r>
      <w:r w:rsidR="00E9782F" w:rsidRPr="002B4E6D">
        <w:rPr>
          <w:szCs w:val="20"/>
          <w:lang w:val="es-CR"/>
        </w:rPr>
        <w:t>de</w:t>
      </w:r>
      <w:r w:rsidR="00392A25" w:rsidRPr="002B4E6D">
        <w:rPr>
          <w:szCs w:val="20"/>
          <w:lang w:val="es-CR"/>
        </w:rPr>
        <w:t xml:space="preserve"> </w:t>
      </w:r>
      <w:r w:rsidR="00E9782F" w:rsidRPr="002B4E6D">
        <w:rPr>
          <w:szCs w:val="20"/>
          <w:lang w:val="es-CR"/>
        </w:rPr>
        <w:t>régimen</w:t>
      </w:r>
      <w:r w:rsidR="00392A25" w:rsidRPr="002B4E6D">
        <w:rPr>
          <w:szCs w:val="20"/>
          <w:lang w:val="es-CR"/>
        </w:rPr>
        <w:t xml:space="preserve"> </w:t>
      </w:r>
      <w:proofErr w:type="spellStart"/>
      <w:r w:rsidR="00E9782F" w:rsidRPr="002B4E6D">
        <w:rPr>
          <w:szCs w:val="20"/>
          <w:lang w:val="es-CR"/>
        </w:rPr>
        <w:t>semiabierto</w:t>
      </w:r>
      <w:proofErr w:type="spellEnd"/>
      <w:r w:rsidR="00392A25" w:rsidRPr="002B4E6D">
        <w:rPr>
          <w:szCs w:val="20"/>
          <w:lang w:val="es-CR"/>
        </w:rPr>
        <w:t xml:space="preserve"> por garanti</w:t>
      </w:r>
      <w:r w:rsidR="00E9782F" w:rsidRPr="002B4E6D">
        <w:rPr>
          <w:szCs w:val="20"/>
          <w:lang w:val="es-CR"/>
        </w:rPr>
        <w:t>za</w:t>
      </w:r>
      <w:r w:rsidR="00392A25" w:rsidRPr="002B4E6D">
        <w:rPr>
          <w:szCs w:val="20"/>
          <w:lang w:val="es-CR"/>
        </w:rPr>
        <w:t xml:space="preserve">r </w:t>
      </w:r>
      <w:r w:rsidR="00E9782F" w:rsidRPr="002B4E6D">
        <w:rPr>
          <w:szCs w:val="20"/>
          <w:lang w:val="es-CR"/>
        </w:rPr>
        <w:t>el</w:t>
      </w:r>
      <w:r w:rsidR="00392A25" w:rsidRPr="002B4E6D">
        <w:rPr>
          <w:szCs w:val="20"/>
          <w:lang w:val="es-CR"/>
        </w:rPr>
        <w:t xml:space="preserve"> </w:t>
      </w:r>
      <w:r w:rsidR="00E9782F" w:rsidRPr="002B4E6D">
        <w:rPr>
          <w:szCs w:val="20"/>
          <w:lang w:val="es-CR"/>
        </w:rPr>
        <w:t>libre</w:t>
      </w:r>
      <w:r w:rsidR="004F73D1" w:rsidRPr="002B4E6D">
        <w:rPr>
          <w:szCs w:val="20"/>
          <w:lang w:val="es-CR"/>
        </w:rPr>
        <w:t xml:space="preserve"> tránsito</w:t>
      </w:r>
      <w:r w:rsidR="00392A25" w:rsidRPr="002B4E6D">
        <w:rPr>
          <w:szCs w:val="20"/>
          <w:lang w:val="es-CR"/>
        </w:rPr>
        <w:t xml:space="preserve"> </w:t>
      </w:r>
      <w:r w:rsidR="00E9782F" w:rsidRPr="002B4E6D">
        <w:rPr>
          <w:szCs w:val="20"/>
          <w:lang w:val="es-CR"/>
        </w:rPr>
        <w:t>de los</w:t>
      </w:r>
      <w:r w:rsidR="00392A25" w:rsidRPr="002B4E6D">
        <w:rPr>
          <w:szCs w:val="20"/>
          <w:lang w:val="es-CR"/>
        </w:rPr>
        <w:t xml:space="preserve"> condenados </w:t>
      </w:r>
      <w:r w:rsidR="00E9782F" w:rsidRPr="002B4E6D">
        <w:rPr>
          <w:szCs w:val="20"/>
          <w:lang w:val="es-CR"/>
        </w:rPr>
        <w:t>en</w:t>
      </w:r>
      <w:r w:rsidR="00392A25" w:rsidRPr="002B4E6D">
        <w:rPr>
          <w:szCs w:val="20"/>
          <w:lang w:val="es-CR"/>
        </w:rPr>
        <w:t xml:space="preserve"> </w:t>
      </w:r>
      <w:r w:rsidR="00E9782F" w:rsidRPr="002B4E6D">
        <w:rPr>
          <w:szCs w:val="20"/>
          <w:lang w:val="es-CR"/>
        </w:rPr>
        <w:t>su</w:t>
      </w:r>
      <w:r w:rsidR="00392A25" w:rsidRPr="002B4E6D">
        <w:rPr>
          <w:szCs w:val="20"/>
          <w:lang w:val="es-CR"/>
        </w:rPr>
        <w:t xml:space="preserve"> interior durante </w:t>
      </w:r>
      <w:r w:rsidR="00E9782F" w:rsidRPr="002B4E6D">
        <w:rPr>
          <w:szCs w:val="20"/>
          <w:lang w:val="es-CR"/>
        </w:rPr>
        <w:t>el</w:t>
      </w:r>
      <w:r w:rsidR="00392A25" w:rsidRPr="002B4E6D">
        <w:rPr>
          <w:szCs w:val="20"/>
          <w:lang w:val="es-CR"/>
        </w:rPr>
        <w:t xml:space="preserve"> </w:t>
      </w:r>
      <w:r w:rsidR="00E9782F" w:rsidRPr="002B4E6D">
        <w:rPr>
          <w:szCs w:val="20"/>
          <w:lang w:val="es-CR"/>
        </w:rPr>
        <w:t>día</w:t>
      </w:r>
      <w:r w:rsidR="00392A25" w:rsidRPr="002B4E6D">
        <w:rPr>
          <w:szCs w:val="20"/>
          <w:lang w:val="es-CR"/>
        </w:rPr>
        <w:t xml:space="preserve">, </w:t>
      </w:r>
      <w:r w:rsidR="00E9782F" w:rsidRPr="002B4E6D">
        <w:rPr>
          <w:szCs w:val="20"/>
          <w:lang w:val="es-CR"/>
        </w:rPr>
        <w:t>sin</w:t>
      </w:r>
      <w:r w:rsidR="00392A25" w:rsidRPr="002B4E6D">
        <w:rPr>
          <w:szCs w:val="20"/>
          <w:lang w:val="es-CR"/>
        </w:rPr>
        <w:t xml:space="preserve"> </w:t>
      </w:r>
      <w:r w:rsidR="00E9782F" w:rsidRPr="002B4E6D">
        <w:rPr>
          <w:szCs w:val="20"/>
          <w:lang w:val="es-CR"/>
        </w:rPr>
        <w:t>permanecer</w:t>
      </w:r>
      <w:r w:rsidR="00392A25" w:rsidRPr="002B4E6D">
        <w:rPr>
          <w:szCs w:val="20"/>
          <w:lang w:val="es-CR"/>
        </w:rPr>
        <w:t xml:space="preserve"> </w:t>
      </w:r>
      <w:r w:rsidR="00E9782F" w:rsidRPr="002B4E6D">
        <w:rPr>
          <w:szCs w:val="20"/>
          <w:lang w:val="es-CR"/>
        </w:rPr>
        <w:t>necesariamente</w:t>
      </w:r>
      <w:r w:rsidR="0045598D" w:rsidRPr="002B4E6D">
        <w:rPr>
          <w:szCs w:val="20"/>
          <w:lang w:val="es-CR"/>
        </w:rPr>
        <w:t xml:space="preserve"> </w:t>
      </w:r>
      <w:r w:rsidR="00E9782F" w:rsidRPr="002B4E6D">
        <w:rPr>
          <w:szCs w:val="20"/>
          <w:lang w:val="es-CR"/>
        </w:rPr>
        <w:t>bajo</w:t>
      </w:r>
      <w:r w:rsidR="00392A25" w:rsidRPr="002B4E6D">
        <w:rPr>
          <w:szCs w:val="20"/>
          <w:lang w:val="es-CR"/>
        </w:rPr>
        <w:t xml:space="preserve"> </w:t>
      </w:r>
      <w:r w:rsidR="00E9782F" w:rsidRPr="002B4E6D">
        <w:rPr>
          <w:szCs w:val="20"/>
          <w:lang w:val="es-CR"/>
        </w:rPr>
        <w:t>reclusión</w:t>
      </w:r>
      <w:r w:rsidR="00392A25" w:rsidRPr="002B4E6D">
        <w:rPr>
          <w:szCs w:val="20"/>
          <w:lang w:val="es-CR"/>
        </w:rPr>
        <w:t xml:space="preserve"> </w:t>
      </w:r>
      <w:r w:rsidR="00E9782F" w:rsidRPr="002B4E6D">
        <w:rPr>
          <w:szCs w:val="20"/>
          <w:lang w:val="es-CR"/>
        </w:rPr>
        <w:t>en</w:t>
      </w:r>
      <w:r w:rsidR="00392A25" w:rsidRPr="002B4E6D">
        <w:rPr>
          <w:szCs w:val="20"/>
          <w:lang w:val="es-CR"/>
        </w:rPr>
        <w:t xml:space="preserve"> cel</w:t>
      </w:r>
      <w:r w:rsidR="00E9782F" w:rsidRPr="002B4E6D">
        <w:rPr>
          <w:szCs w:val="20"/>
          <w:lang w:val="es-CR"/>
        </w:rPr>
        <w:t>d</w:t>
      </w:r>
      <w:r w:rsidR="00392A25" w:rsidRPr="002B4E6D">
        <w:rPr>
          <w:szCs w:val="20"/>
          <w:lang w:val="es-CR"/>
        </w:rPr>
        <w:t xml:space="preserve">as </w:t>
      </w:r>
      <w:r w:rsidR="00E9782F" w:rsidRPr="002B4E6D">
        <w:rPr>
          <w:szCs w:val="20"/>
          <w:lang w:val="es-CR"/>
        </w:rPr>
        <w:t>cerradas</w:t>
      </w:r>
      <w:r w:rsidR="00392A25" w:rsidRPr="002B4E6D">
        <w:rPr>
          <w:szCs w:val="20"/>
          <w:lang w:val="es-CR"/>
        </w:rPr>
        <w:t xml:space="preserve"> durante </w:t>
      </w:r>
      <w:r w:rsidR="00E9782F" w:rsidRPr="002B4E6D">
        <w:rPr>
          <w:szCs w:val="20"/>
          <w:lang w:val="es-CR"/>
        </w:rPr>
        <w:t>ese</w:t>
      </w:r>
      <w:r w:rsidR="00392A25" w:rsidRPr="002B4E6D">
        <w:rPr>
          <w:szCs w:val="20"/>
          <w:lang w:val="es-CR"/>
        </w:rPr>
        <w:t xml:space="preserve"> período.</w:t>
      </w:r>
    </w:p>
    <w:p w14:paraId="255FE6F2" w14:textId="77777777" w:rsidR="00392A25" w:rsidRPr="002B4E6D" w:rsidRDefault="00392A25" w:rsidP="00392A25">
      <w:pPr>
        <w:snapToGrid w:val="0"/>
        <w:rPr>
          <w:szCs w:val="20"/>
          <w:lang w:val="es-CR"/>
        </w:rPr>
      </w:pPr>
    </w:p>
    <w:p w14:paraId="54357C93" w14:textId="60357AEB" w:rsidR="00356FEE" w:rsidRPr="002B4E6D" w:rsidRDefault="00392A25" w:rsidP="00356FEE">
      <w:pPr>
        <w:pStyle w:val="ListParagraph"/>
        <w:numPr>
          <w:ilvl w:val="0"/>
          <w:numId w:val="20"/>
        </w:numPr>
        <w:snapToGrid w:val="0"/>
        <w:ind w:left="0" w:firstLine="0"/>
        <w:contextualSpacing w:val="0"/>
        <w:rPr>
          <w:szCs w:val="20"/>
          <w:lang w:val="es-CR"/>
        </w:rPr>
      </w:pPr>
      <w:r w:rsidRPr="002B4E6D">
        <w:rPr>
          <w:szCs w:val="20"/>
          <w:lang w:val="es-CR"/>
        </w:rPr>
        <w:t xml:space="preserve">Cerca de 1/3 </w:t>
      </w:r>
      <w:r w:rsidR="00E9782F" w:rsidRPr="002B4E6D">
        <w:rPr>
          <w:szCs w:val="20"/>
          <w:lang w:val="es-CR"/>
        </w:rPr>
        <w:t>del</w:t>
      </w:r>
      <w:r w:rsidRPr="002B4E6D">
        <w:rPr>
          <w:szCs w:val="20"/>
          <w:lang w:val="es-CR"/>
        </w:rPr>
        <w:t xml:space="preserve"> total de </w:t>
      </w:r>
      <w:r w:rsidR="00AA1A37" w:rsidRPr="002B4E6D">
        <w:rPr>
          <w:szCs w:val="20"/>
          <w:lang w:val="es-CR"/>
        </w:rPr>
        <w:t>personas</w:t>
      </w:r>
      <w:r w:rsidRPr="002B4E6D">
        <w:rPr>
          <w:szCs w:val="20"/>
          <w:lang w:val="es-CR"/>
        </w:rPr>
        <w:t xml:space="preserve"> </w:t>
      </w:r>
      <w:r w:rsidR="00E9782F" w:rsidRPr="002B4E6D">
        <w:rPr>
          <w:szCs w:val="20"/>
          <w:lang w:val="es-CR"/>
        </w:rPr>
        <w:t>en</w:t>
      </w:r>
      <w:r w:rsidRPr="002B4E6D">
        <w:rPr>
          <w:szCs w:val="20"/>
          <w:lang w:val="es-CR"/>
        </w:rPr>
        <w:t xml:space="preserve"> </w:t>
      </w:r>
      <w:r w:rsidR="00E9782F" w:rsidRPr="002B4E6D">
        <w:rPr>
          <w:szCs w:val="20"/>
          <w:lang w:val="es-CR"/>
        </w:rPr>
        <w:t>régimen</w:t>
      </w:r>
      <w:r w:rsidRPr="002B4E6D">
        <w:rPr>
          <w:szCs w:val="20"/>
          <w:lang w:val="es-CR"/>
        </w:rPr>
        <w:t xml:space="preserve"> </w:t>
      </w:r>
      <w:proofErr w:type="spellStart"/>
      <w:r w:rsidR="00E9782F" w:rsidRPr="002B4E6D">
        <w:rPr>
          <w:szCs w:val="20"/>
          <w:lang w:val="es-CR"/>
        </w:rPr>
        <w:t>semiabierto</w:t>
      </w:r>
      <w:proofErr w:type="spellEnd"/>
      <w:r w:rsidRPr="002B4E6D">
        <w:rPr>
          <w:szCs w:val="20"/>
          <w:lang w:val="es-CR"/>
        </w:rPr>
        <w:t xml:space="preserve"> </w:t>
      </w:r>
      <w:r w:rsidR="00E9782F" w:rsidRPr="002B4E6D">
        <w:rPr>
          <w:szCs w:val="20"/>
          <w:lang w:val="es-CR"/>
        </w:rPr>
        <w:t>en el</w:t>
      </w:r>
      <w:r w:rsidRPr="002B4E6D">
        <w:rPr>
          <w:szCs w:val="20"/>
          <w:lang w:val="es-CR"/>
        </w:rPr>
        <w:t xml:space="preserve"> </w:t>
      </w:r>
      <w:r w:rsidR="00BF2AC5">
        <w:rPr>
          <w:szCs w:val="20"/>
          <w:lang w:val="es-CR"/>
        </w:rPr>
        <w:t>e</w:t>
      </w:r>
      <w:r w:rsidR="00BF2AC5" w:rsidRPr="002B4E6D">
        <w:rPr>
          <w:szCs w:val="20"/>
          <w:lang w:val="es-CR"/>
        </w:rPr>
        <w:t xml:space="preserve">stado </w:t>
      </w:r>
      <w:r w:rsidR="00E9782F" w:rsidRPr="002B4E6D">
        <w:rPr>
          <w:szCs w:val="20"/>
          <w:lang w:val="es-CR"/>
        </w:rPr>
        <w:t>de</w:t>
      </w:r>
      <w:r w:rsidRPr="002B4E6D">
        <w:rPr>
          <w:szCs w:val="20"/>
          <w:lang w:val="es-CR"/>
        </w:rPr>
        <w:t xml:space="preserve"> R</w:t>
      </w:r>
      <w:r w:rsidR="00E9782F" w:rsidRPr="002B4E6D">
        <w:rPr>
          <w:szCs w:val="20"/>
          <w:lang w:val="es-CR"/>
        </w:rPr>
        <w:t>ío</w:t>
      </w:r>
      <w:r w:rsidRPr="002B4E6D">
        <w:rPr>
          <w:szCs w:val="20"/>
          <w:lang w:val="es-CR"/>
        </w:rPr>
        <w:t xml:space="preserve"> de Janeiro </w:t>
      </w:r>
      <w:r w:rsidR="00E9782F" w:rsidRPr="002B4E6D">
        <w:rPr>
          <w:szCs w:val="20"/>
          <w:lang w:val="es-CR"/>
        </w:rPr>
        <w:t>se encuentra</w:t>
      </w:r>
      <w:r w:rsidR="007C5B36" w:rsidRPr="002B4E6D">
        <w:rPr>
          <w:szCs w:val="20"/>
          <w:lang w:val="es-CR"/>
        </w:rPr>
        <w:t xml:space="preserve"> </w:t>
      </w:r>
      <w:r w:rsidR="00E9782F" w:rsidRPr="002B4E6D">
        <w:rPr>
          <w:szCs w:val="20"/>
          <w:lang w:val="es-CR"/>
        </w:rPr>
        <w:t>en el</w:t>
      </w:r>
      <w:r w:rsidR="007C5B36" w:rsidRPr="002B4E6D">
        <w:rPr>
          <w:szCs w:val="20"/>
          <w:lang w:val="es-CR"/>
        </w:rPr>
        <w:t xml:space="preserve"> IPPSC</w:t>
      </w:r>
      <w:r w:rsidR="00D23388" w:rsidRPr="002B4E6D">
        <w:rPr>
          <w:szCs w:val="20"/>
          <w:lang w:val="es-CR"/>
        </w:rPr>
        <w:t>.</w:t>
      </w:r>
    </w:p>
    <w:p w14:paraId="08147B58" w14:textId="77777777" w:rsidR="000C6DA2" w:rsidRPr="002B4E6D" w:rsidRDefault="000C6DA2" w:rsidP="000C6DA2">
      <w:pPr>
        <w:pStyle w:val="ListParagraph"/>
        <w:rPr>
          <w:szCs w:val="20"/>
          <w:lang w:val="es-CR"/>
        </w:rPr>
      </w:pPr>
    </w:p>
    <w:p w14:paraId="6DEEB411" w14:textId="3E111827" w:rsidR="007C5B36" w:rsidRPr="002B4E6D" w:rsidRDefault="00E9782F" w:rsidP="007C5B36">
      <w:pPr>
        <w:pStyle w:val="ListParagraph"/>
        <w:numPr>
          <w:ilvl w:val="0"/>
          <w:numId w:val="20"/>
        </w:numPr>
        <w:snapToGrid w:val="0"/>
        <w:ind w:left="0" w:firstLine="0"/>
        <w:contextualSpacing w:val="0"/>
        <w:rPr>
          <w:szCs w:val="20"/>
          <w:lang w:val="es-CR"/>
        </w:rPr>
      </w:pPr>
      <w:r w:rsidRPr="002B4E6D">
        <w:rPr>
          <w:szCs w:val="20"/>
          <w:lang w:val="es-CR"/>
        </w:rPr>
        <w:t>En</w:t>
      </w:r>
      <w:r w:rsidR="000C6DA2" w:rsidRPr="002B4E6D">
        <w:rPr>
          <w:szCs w:val="20"/>
          <w:lang w:val="es-CR"/>
        </w:rPr>
        <w:t xml:space="preserve"> 2014, </w:t>
      </w:r>
      <w:r w:rsidRPr="002B4E6D">
        <w:rPr>
          <w:szCs w:val="20"/>
          <w:lang w:val="es-CR"/>
        </w:rPr>
        <w:t>la</w:t>
      </w:r>
      <w:r w:rsidR="000C6DA2" w:rsidRPr="002B4E6D">
        <w:rPr>
          <w:szCs w:val="20"/>
          <w:lang w:val="es-CR"/>
        </w:rPr>
        <w:t xml:space="preserve"> </w:t>
      </w:r>
      <w:r w:rsidR="007B78BA" w:rsidRPr="002B4E6D">
        <w:rPr>
          <w:szCs w:val="20"/>
          <w:lang w:val="es-CR"/>
        </w:rPr>
        <w:t>población</w:t>
      </w:r>
      <w:r w:rsidR="000C6DA2" w:rsidRPr="002B4E6D">
        <w:rPr>
          <w:szCs w:val="20"/>
          <w:lang w:val="es-CR"/>
        </w:rPr>
        <w:t xml:space="preserve"> </w:t>
      </w:r>
      <w:r w:rsidRPr="002B4E6D">
        <w:rPr>
          <w:szCs w:val="20"/>
          <w:lang w:val="es-CR"/>
        </w:rPr>
        <w:t>del</w:t>
      </w:r>
      <w:r w:rsidR="000C6DA2" w:rsidRPr="002B4E6D">
        <w:rPr>
          <w:szCs w:val="20"/>
          <w:lang w:val="es-CR"/>
        </w:rPr>
        <w:t xml:space="preserve"> IPPSC era de 3</w:t>
      </w:r>
      <w:r w:rsidR="005563EB" w:rsidRPr="002B4E6D">
        <w:rPr>
          <w:szCs w:val="20"/>
          <w:lang w:val="es-CR"/>
        </w:rPr>
        <w:t>.</w:t>
      </w:r>
      <w:r w:rsidR="000C6DA2" w:rsidRPr="002B4E6D">
        <w:rPr>
          <w:szCs w:val="20"/>
          <w:lang w:val="es-CR"/>
        </w:rPr>
        <w:t xml:space="preserve">139 </w:t>
      </w:r>
      <w:r w:rsidR="000D1815" w:rsidRPr="002B4E6D">
        <w:rPr>
          <w:szCs w:val="20"/>
          <w:lang w:val="es-CR"/>
        </w:rPr>
        <w:t>detenidos</w:t>
      </w:r>
      <w:r w:rsidR="000C6DA2" w:rsidRPr="002B4E6D">
        <w:rPr>
          <w:szCs w:val="20"/>
          <w:lang w:val="es-CR"/>
        </w:rPr>
        <w:t xml:space="preserve">. </w:t>
      </w:r>
      <w:r w:rsidRPr="002B4E6D">
        <w:rPr>
          <w:szCs w:val="20"/>
          <w:lang w:val="es-CR"/>
        </w:rPr>
        <w:t>El</w:t>
      </w:r>
      <w:r w:rsidR="000C6DA2" w:rsidRPr="002B4E6D">
        <w:rPr>
          <w:szCs w:val="20"/>
          <w:lang w:val="es-CR"/>
        </w:rPr>
        <w:t xml:space="preserve"> número de </w:t>
      </w:r>
      <w:r w:rsidR="001F70E5">
        <w:rPr>
          <w:szCs w:val="20"/>
          <w:lang w:val="es-CR"/>
        </w:rPr>
        <w:t>detenidos que ingresaron</w:t>
      </w:r>
      <w:r w:rsidR="001F70E5" w:rsidRPr="002B4E6D">
        <w:rPr>
          <w:szCs w:val="20"/>
          <w:lang w:val="es-CR"/>
        </w:rPr>
        <w:t xml:space="preserve"> </w:t>
      </w:r>
      <w:r w:rsidRPr="002B4E6D">
        <w:rPr>
          <w:szCs w:val="20"/>
          <w:lang w:val="es-CR"/>
        </w:rPr>
        <w:t>en el</w:t>
      </w:r>
      <w:r w:rsidR="005563EB" w:rsidRPr="002B4E6D">
        <w:rPr>
          <w:szCs w:val="20"/>
          <w:lang w:val="es-CR"/>
        </w:rPr>
        <w:t xml:space="preserve"> sistema</w:t>
      </w:r>
      <w:r w:rsidR="000C6DA2" w:rsidRPr="002B4E6D">
        <w:rPr>
          <w:szCs w:val="20"/>
          <w:lang w:val="es-CR"/>
        </w:rPr>
        <w:t xml:space="preserve"> </w:t>
      </w:r>
      <w:r w:rsidRPr="002B4E6D">
        <w:rPr>
          <w:szCs w:val="20"/>
          <w:lang w:val="es-CR"/>
        </w:rPr>
        <w:t>fue</w:t>
      </w:r>
      <w:r w:rsidR="005563EB" w:rsidRPr="002B4E6D">
        <w:rPr>
          <w:szCs w:val="20"/>
          <w:lang w:val="es-CR"/>
        </w:rPr>
        <w:t xml:space="preserve"> de 4.</w:t>
      </w:r>
      <w:r w:rsidR="000C6DA2" w:rsidRPr="002B4E6D">
        <w:rPr>
          <w:szCs w:val="20"/>
          <w:lang w:val="es-CR"/>
        </w:rPr>
        <w:t xml:space="preserve">662, </w:t>
      </w:r>
      <w:r w:rsidR="007B78BA" w:rsidRPr="002B4E6D">
        <w:rPr>
          <w:szCs w:val="20"/>
          <w:lang w:val="es-CR"/>
        </w:rPr>
        <w:t>mientras que</w:t>
      </w:r>
      <w:r w:rsidR="005563EB" w:rsidRPr="002B4E6D">
        <w:rPr>
          <w:szCs w:val="20"/>
          <w:lang w:val="es-CR"/>
        </w:rPr>
        <w:t xml:space="preserve"> </w:t>
      </w:r>
      <w:r w:rsidR="004F73D1" w:rsidRPr="002B4E6D">
        <w:rPr>
          <w:szCs w:val="20"/>
          <w:lang w:val="es-CR"/>
        </w:rPr>
        <w:t>solo</w:t>
      </w:r>
      <w:r w:rsidR="005563EB" w:rsidRPr="002B4E6D">
        <w:rPr>
          <w:szCs w:val="20"/>
          <w:lang w:val="es-CR"/>
        </w:rPr>
        <w:t xml:space="preserve"> 2.680</w:t>
      </w:r>
      <w:r w:rsidR="000C6DA2" w:rsidRPr="002B4E6D">
        <w:rPr>
          <w:szCs w:val="20"/>
          <w:lang w:val="es-CR"/>
        </w:rPr>
        <w:t xml:space="preserve"> </w:t>
      </w:r>
      <w:r w:rsidR="000D1815" w:rsidRPr="002B4E6D">
        <w:rPr>
          <w:szCs w:val="20"/>
          <w:lang w:val="es-CR"/>
        </w:rPr>
        <w:t>detenidos</w:t>
      </w:r>
      <w:r w:rsidR="000C6DA2" w:rsidRPr="002B4E6D">
        <w:rPr>
          <w:szCs w:val="20"/>
          <w:lang w:val="es-CR"/>
        </w:rPr>
        <w:t xml:space="preserve"> </w:t>
      </w:r>
      <w:r w:rsidR="007B78BA" w:rsidRPr="002B4E6D">
        <w:rPr>
          <w:szCs w:val="20"/>
          <w:lang w:val="es-CR"/>
        </w:rPr>
        <w:t>dejaron</w:t>
      </w:r>
      <w:r w:rsidR="000C6DA2" w:rsidRPr="002B4E6D">
        <w:rPr>
          <w:szCs w:val="20"/>
          <w:lang w:val="es-CR"/>
        </w:rPr>
        <w:t xml:space="preserve"> </w:t>
      </w:r>
      <w:r w:rsidR="007B78BA" w:rsidRPr="002B4E6D">
        <w:rPr>
          <w:szCs w:val="20"/>
          <w:lang w:val="es-CR"/>
        </w:rPr>
        <w:t>l</w:t>
      </w:r>
      <w:r w:rsidR="000C6DA2" w:rsidRPr="002B4E6D">
        <w:rPr>
          <w:szCs w:val="20"/>
          <w:lang w:val="es-CR"/>
        </w:rPr>
        <w:t xml:space="preserve">a </w:t>
      </w:r>
      <w:r w:rsidR="007B78BA" w:rsidRPr="002B4E6D">
        <w:rPr>
          <w:szCs w:val="20"/>
          <w:lang w:val="es-CR"/>
        </w:rPr>
        <w:t>unidad</w:t>
      </w:r>
      <w:r w:rsidR="000C6DA2" w:rsidRPr="002B4E6D">
        <w:rPr>
          <w:szCs w:val="20"/>
          <w:lang w:val="es-CR"/>
        </w:rPr>
        <w:t xml:space="preserve"> </w:t>
      </w:r>
      <w:r w:rsidR="00031269" w:rsidRPr="002B4E6D">
        <w:rPr>
          <w:szCs w:val="20"/>
          <w:lang w:val="es-CR"/>
        </w:rPr>
        <w:t>carcelari</w:t>
      </w:r>
      <w:r w:rsidR="007B78BA" w:rsidRPr="002B4E6D">
        <w:rPr>
          <w:szCs w:val="20"/>
          <w:lang w:val="es-CR"/>
        </w:rPr>
        <w:t>a</w:t>
      </w:r>
      <w:r w:rsidR="000C6DA2" w:rsidRPr="002B4E6D">
        <w:rPr>
          <w:szCs w:val="20"/>
          <w:lang w:val="es-CR"/>
        </w:rPr>
        <w:t xml:space="preserve">, resultando </w:t>
      </w:r>
      <w:r w:rsidR="007B78BA" w:rsidRPr="002B4E6D">
        <w:rPr>
          <w:szCs w:val="20"/>
          <w:lang w:val="es-CR"/>
        </w:rPr>
        <w:t>en</w:t>
      </w:r>
      <w:r w:rsidR="000C6DA2" w:rsidRPr="002B4E6D">
        <w:rPr>
          <w:szCs w:val="20"/>
          <w:lang w:val="es-CR"/>
        </w:rPr>
        <w:t xml:space="preserve"> </w:t>
      </w:r>
      <w:r w:rsidR="007B78BA" w:rsidRPr="002B4E6D">
        <w:rPr>
          <w:szCs w:val="20"/>
          <w:lang w:val="es-CR"/>
        </w:rPr>
        <w:t>un</w:t>
      </w:r>
      <w:r w:rsidR="000C6DA2" w:rsidRPr="002B4E6D">
        <w:rPr>
          <w:szCs w:val="20"/>
          <w:lang w:val="es-CR"/>
        </w:rPr>
        <w:t xml:space="preserve"> </w:t>
      </w:r>
      <w:r w:rsidR="00DA3193" w:rsidRPr="002B4E6D">
        <w:rPr>
          <w:szCs w:val="20"/>
          <w:lang w:val="es-CR"/>
        </w:rPr>
        <w:t xml:space="preserve">excedente </w:t>
      </w:r>
      <w:r w:rsidR="007B78BA" w:rsidRPr="002B4E6D">
        <w:rPr>
          <w:szCs w:val="20"/>
          <w:lang w:val="es-CR"/>
        </w:rPr>
        <w:t>poblacional</w:t>
      </w:r>
      <w:r w:rsidR="000C6DA2" w:rsidRPr="002B4E6D">
        <w:rPr>
          <w:szCs w:val="20"/>
          <w:lang w:val="es-CR"/>
        </w:rPr>
        <w:t xml:space="preserve"> de 1</w:t>
      </w:r>
      <w:r w:rsidR="005563EB" w:rsidRPr="002B4E6D">
        <w:rPr>
          <w:szCs w:val="20"/>
          <w:lang w:val="es-CR"/>
        </w:rPr>
        <w:t>.</w:t>
      </w:r>
      <w:r w:rsidR="000C6DA2" w:rsidRPr="002B4E6D">
        <w:rPr>
          <w:szCs w:val="20"/>
          <w:lang w:val="es-CR"/>
        </w:rPr>
        <w:t>982</w:t>
      </w:r>
      <w:r w:rsidR="005563EB" w:rsidRPr="002B4E6D">
        <w:rPr>
          <w:szCs w:val="20"/>
          <w:lang w:val="es-CR"/>
        </w:rPr>
        <w:t xml:space="preserve"> </w:t>
      </w:r>
      <w:r w:rsidR="000D1815" w:rsidRPr="002B4E6D">
        <w:rPr>
          <w:szCs w:val="20"/>
          <w:lang w:val="es-CR"/>
        </w:rPr>
        <w:t>detenidos</w:t>
      </w:r>
      <w:r w:rsidR="000C6DA2" w:rsidRPr="002B4E6D">
        <w:rPr>
          <w:szCs w:val="20"/>
          <w:lang w:val="es-CR"/>
        </w:rPr>
        <w:t xml:space="preserve">. </w:t>
      </w:r>
      <w:r w:rsidR="007B78BA" w:rsidRPr="002B4E6D">
        <w:rPr>
          <w:szCs w:val="20"/>
          <w:lang w:val="es-CR"/>
        </w:rPr>
        <w:t>En</w:t>
      </w:r>
      <w:r w:rsidR="000C6DA2" w:rsidRPr="002B4E6D">
        <w:rPr>
          <w:szCs w:val="20"/>
          <w:lang w:val="es-CR"/>
        </w:rPr>
        <w:t xml:space="preserve"> 2016, </w:t>
      </w:r>
      <w:r w:rsidR="007B78BA" w:rsidRPr="002B4E6D">
        <w:rPr>
          <w:szCs w:val="20"/>
          <w:lang w:val="es-CR"/>
        </w:rPr>
        <w:t>la</w:t>
      </w:r>
      <w:r w:rsidR="000C6DA2" w:rsidRPr="002B4E6D">
        <w:rPr>
          <w:szCs w:val="20"/>
          <w:lang w:val="es-CR"/>
        </w:rPr>
        <w:t xml:space="preserve"> </w:t>
      </w:r>
      <w:r w:rsidR="007B78BA" w:rsidRPr="002B4E6D">
        <w:rPr>
          <w:szCs w:val="20"/>
          <w:lang w:val="es-CR"/>
        </w:rPr>
        <w:t>población</w:t>
      </w:r>
      <w:r w:rsidR="000C6DA2" w:rsidRPr="002B4E6D">
        <w:rPr>
          <w:szCs w:val="20"/>
          <w:lang w:val="es-CR"/>
        </w:rPr>
        <w:t xml:space="preserve"> </w:t>
      </w:r>
      <w:r w:rsidR="007B78BA" w:rsidRPr="002B4E6D">
        <w:rPr>
          <w:szCs w:val="20"/>
          <w:lang w:val="es-CR"/>
        </w:rPr>
        <w:t>del</w:t>
      </w:r>
      <w:r w:rsidR="000C6DA2" w:rsidRPr="002B4E6D">
        <w:rPr>
          <w:szCs w:val="20"/>
          <w:lang w:val="es-CR"/>
        </w:rPr>
        <w:t xml:space="preserve"> IPPSC</w:t>
      </w:r>
      <w:r w:rsidR="005563EB" w:rsidRPr="002B4E6D">
        <w:rPr>
          <w:szCs w:val="20"/>
          <w:lang w:val="es-CR"/>
        </w:rPr>
        <w:t xml:space="preserve"> </w:t>
      </w:r>
      <w:r w:rsidR="007B78BA" w:rsidRPr="002B4E6D">
        <w:rPr>
          <w:szCs w:val="20"/>
          <w:lang w:val="es-CR"/>
        </w:rPr>
        <w:t>había</w:t>
      </w:r>
      <w:r w:rsidR="005563EB" w:rsidRPr="002B4E6D">
        <w:rPr>
          <w:szCs w:val="20"/>
          <w:lang w:val="es-CR"/>
        </w:rPr>
        <w:t xml:space="preserve"> subido </w:t>
      </w:r>
      <w:r w:rsidR="001F70E5">
        <w:rPr>
          <w:szCs w:val="20"/>
          <w:lang w:val="es-CR"/>
        </w:rPr>
        <w:t>a</w:t>
      </w:r>
      <w:r w:rsidR="001F70E5" w:rsidRPr="002B4E6D">
        <w:rPr>
          <w:szCs w:val="20"/>
          <w:lang w:val="es-CR"/>
        </w:rPr>
        <w:t xml:space="preserve"> </w:t>
      </w:r>
      <w:r w:rsidR="005563EB" w:rsidRPr="002B4E6D">
        <w:rPr>
          <w:szCs w:val="20"/>
          <w:lang w:val="es-CR"/>
        </w:rPr>
        <w:t>3.477</w:t>
      </w:r>
      <w:r w:rsidR="000C6DA2" w:rsidRPr="002B4E6D">
        <w:rPr>
          <w:szCs w:val="20"/>
          <w:lang w:val="es-CR"/>
        </w:rPr>
        <w:t xml:space="preserve"> </w:t>
      </w:r>
      <w:r w:rsidR="000D1815" w:rsidRPr="002B4E6D">
        <w:rPr>
          <w:szCs w:val="20"/>
          <w:lang w:val="es-CR"/>
        </w:rPr>
        <w:t>detenidos</w:t>
      </w:r>
      <w:r w:rsidR="000C6DA2" w:rsidRPr="002B4E6D">
        <w:rPr>
          <w:szCs w:val="20"/>
          <w:lang w:val="es-CR"/>
        </w:rPr>
        <w:t xml:space="preserve">. </w:t>
      </w:r>
      <w:r w:rsidR="007B78BA" w:rsidRPr="002B4E6D">
        <w:rPr>
          <w:szCs w:val="20"/>
          <w:lang w:val="es-CR"/>
        </w:rPr>
        <w:t>Ingresaron</w:t>
      </w:r>
      <w:r w:rsidR="005563EB" w:rsidRPr="002B4E6D">
        <w:rPr>
          <w:szCs w:val="20"/>
          <w:lang w:val="es-CR"/>
        </w:rPr>
        <w:t xml:space="preserve"> 2.325 </w:t>
      </w:r>
      <w:r w:rsidR="007B78BA" w:rsidRPr="002B4E6D">
        <w:rPr>
          <w:szCs w:val="20"/>
          <w:lang w:val="es-CR"/>
        </w:rPr>
        <w:t>nuevos</w:t>
      </w:r>
      <w:r w:rsidR="005563EB" w:rsidRPr="002B4E6D">
        <w:rPr>
          <w:szCs w:val="20"/>
          <w:lang w:val="es-CR"/>
        </w:rPr>
        <w:t xml:space="preserve"> </w:t>
      </w:r>
      <w:r w:rsidR="000D1815" w:rsidRPr="002B4E6D">
        <w:rPr>
          <w:szCs w:val="20"/>
          <w:lang w:val="es-CR"/>
        </w:rPr>
        <w:t>detenidos</w:t>
      </w:r>
      <w:r w:rsidR="005563EB" w:rsidRPr="002B4E6D">
        <w:rPr>
          <w:szCs w:val="20"/>
          <w:lang w:val="es-CR"/>
        </w:rPr>
        <w:t xml:space="preserve">, </w:t>
      </w:r>
      <w:r w:rsidR="007B78BA" w:rsidRPr="002B4E6D">
        <w:rPr>
          <w:szCs w:val="20"/>
          <w:lang w:val="es-CR"/>
        </w:rPr>
        <w:t>y</w:t>
      </w:r>
      <w:r w:rsidR="005563EB" w:rsidRPr="002B4E6D">
        <w:rPr>
          <w:szCs w:val="20"/>
          <w:lang w:val="es-CR"/>
        </w:rPr>
        <w:t xml:space="preserve"> </w:t>
      </w:r>
      <w:r w:rsidR="007B78BA" w:rsidRPr="002B4E6D">
        <w:rPr>
          <w:szCs w:val="20"/>
          <w:lang w:val="es-CR"/>
        </w:rPr>
        <w:t>dejaron el</w:t>
      </w:r>
      <w:r w:rsidR="00DA3193" w:rsidRPr="002B4E6D">
        <w:rPr>
          <w:szCs w:val="20"/>
          <w:lang w:val="es-CR"/>
        </w:rPr>
        <w:t xml:space="preserve"> centro 1.202 </w:t>
      </w:r>
      <w:r w:rsidR="000D1815" w:rsidRPr="002B4E6D">
        <w:rPr>
          <w:szCs w:val="20"/>
          <w:lang w:val="es-CR"/>
        </w:rPr>
        <w:t>detenidos</w:t>
      </w:r>
      <w:r w:rsidR="00DA3193" w:rsidRPr="002B4E6D">
        <w:rPr>
          <w:szCs w:val="20"/>
          <w:lang w:val="es-CR"/>
        </w:rPr>
        <w:t xml:space="preserve">. </w:t>
      </w:r>
      <w:r w:rsidR="007B78BA" w:rsidRPr="002B4E6D">
        <w:rPr>
          <w:szCs w:val="20"/>
          <w:lang w:val="es-CR"/>
        </w:rPr>
        <w:t>Creándose así</w:t>
      </w:r>
      <w:r w:rsidR="00DA3193" w:rsidRPr="002B4E6D">
        <w:rPr>
          <w:szCs w:val="20"/>
          <w:lang w:val="es-CR"/>
        </w:rPr>
        <w:t xml:space="preserve"> </w:t>
      </w:r>
      <w:r w:rsidR="007B78BA" w:rsidRPr="002B4E6D">
        <w:rPr>
          <w:szCs w:val="20"/>
          <w:lang w:val="es-CR"/>
        </w:rPr>
        <w:t>un</w:t>
      </w:r>
      <w:r w:rsidR="00DA3193" w:rsidRPr="002B4E6D">
        <w:rPr>
          <w:szCs w:val="20"/>
          <w:lang w:val="es-CR"/>
        </w:rPr>
        <w:t xml:space="preserve"> excedente</w:t>
      </w:r>
      <w:r w:rsidR="005563EB" w:rsidRPr="002B4E6D">
        <w:rPr>
          <w:szCs w:val="20"/>
          <w:lang w:val="es-CR"/>
        </w:rPr>
        <w:t xml:space="preserve"> </w:t>
      </w:r>
      <w:r w:rsidR="00DA3193" w:rsidRPr="002B4E6D">
        <w:rPr>
          <w:szCs w:val="20"/>
          <w:lang w:val="es-CR"/>
        </w:rPr>
        <w:t>de</w:t>
      </w:r>
      <w:r w:rsidR="005563EB" w:rsidRPr="002B4E6D">
        <w:rPr>
          <w:szCs w:val="20"/>
          <w:lang w:val="es-CR"/>
        </w:rPr>
        <w:t xml:space="preserve"> 1.123</w:t>
      </w:r>
      <w:r w:rsidR="00DA3193" w:rsidRPr="002B4E6D">
        <w:rPr>
          <w:szCs w:val="20"/>
          <w:lang w:val="es-CR"/>
        </w:rPr>
        <w:t xml:space="preserve"> </w:t>
      </w:r>
      <w:r w:rsidR="000D1815" w:rsidRPr="002B4E6D">
        <w:rPr>
          <w:szCs w:val="20"/>
          <w:lang w:val="es-CR"/>
        </w:rPr>
        <w:t>detenidos</w:t>
      </w:r>
      <w:r w:rsidR="005563EB" w:rsidRPr="002B4E6D">
        <w:rPr>
          <w:szCs w:val="20"/>
          <w:lang w:val="es-CR"/>
        </w:rPr>
        <w:t xml:space="preserve">. </w:t>
      </w:r>
      <w:r w:rsidR="007B78BA" w:rsidRPr="002B4E6D">
        <w:rPr>
          <w:szCs w:val="20"/>
          <w:lang w:val="es-CR"/>
        </w:rPr>
        <w:t>En</w:t>
      </w:r>
      <w:r w:rsidR="005563EB" w:rsidRPr="002B4E6D">
        <w:rPr>
          <w:szCs w:val="20"/>
          <w:lang w:val="es-CR"/>
        </w:rPr>
        <w:t xml:space="preserve"> 2017, </w:t>
      </w:r>
      <w:r w:rsidR="007B78BA" w:rsidRPr="002B4E6D">
        <w:rPr>
          <w:szCs w:val="20"/>
          <w:lang w:val="es-CR"/>
        </w:rPr>
        <w:t>el</w:t>
      </w:r>
      <w:r w:rsidR="005563EB" w:rsidRPr="002B4E6D">
        <w:rPr>
          <w:szCs w:val="20"/>
          <w:lang w:val="es-CR"/>
        </w:rPr>
        <w:t xml:space="preserve"> número total de </w:t>
      </w:r>
      <w:r w:rsidR="000D1815" w:rsidRPr="002B4E6D">
        <w:rPr>
          <w:szCs w:val="20"/>
          <w:lang w:val="es-CR"/>
        </w:rPr>
        <w:t>detenidos</w:t>
      </w:r>
      <w:r w:rsidR="005563EB" w:rsidRPr="002B4E6D">
        <w:rPr>
          <w:szCs w:val="20"/>
          <w:lang w:val="es-CR"/>
        </w:rPr>
        <w:t xml:space="preserve"> </w:t>
      </w:r>
      <w:r w:rsidR="007B78BA" w:rsidRPr="002B4E6D">
        <w:rPr>
          <w:szCs w:val="20"/>
          <w:lang w:val="es-CR"/>
        </w:rPr>
        <w:t>en el</w:t>
      </w:r>
      <w:r w:rsidR="005563EB" w:rsidRPr="002B4E6D">
        <w:rPr>
          <w:szCs w:val="20"/>
          <w:lang w:val="es-CR"/>
        </w:rPr>
        <w:t xml:space="preserve"> IPPSC </w:t>
      </w:r>
      <w:r w:rsidR="007B78BA" w:rsidRPr="002B4E6D">
        <w:rPr>
          <w:szCs w:val="20"/>
          <w:lang w:val="es-CR"/>
        </w:rPr>
        <w:t>permaneció</w:t>
      </w:r>
      <w:r w:rsidR="005563EB" w:rsidRPr="002B4E6D">
        <w:rPr>
          <w:szCs w:val="20"/>
          <w:lang w:val="es-CR"/>
        </w:rPr>
        <w:t xml:space="preserve"> </w:t>
      </w:r>
      <w:r w:rsidR="007B78BA" w:rsidRPr="002B4E6D">
        <w:rPr>
          <w:szCs w:val="20"/>
          <w:lang w:val="es-CR"/>
        </w:rPr>
        <w:t>casi</w:t>
      </w:r>
      <w:r w:rsidR="005563EB" w:rsidRPr="002B4E6D">
        <w:rPr>
          <w:szCs w:val="20"/>
          <w:lang w:val="es-CR"/>
        </w:rPr>
        <w:t xml:space="preserve"> inalterado </w:t>
      </w:r>
      <w:r w:rsidR="007B78BA" w:rsidRPr="002B4E6D">
        <w:rPr>
          <w:szCs w:val="20"/>
          <w:lang w:val="es-CR"/>
        </w:rPr>
        <w:t>en</w:t>
      </w:r>
      <w:r w:rsidR="005563EB" w:rsidRPr="002B4E6D">
        <w:rPr>
          <w:szCs w:val="20"/>
          <w:lang w:val="es-CR"/>
        </w:rPr>
        <w:t xml:space="preserve"> rela</w:t>
      </w:r>
      <w:r w:rsidR="00AA1A37" w:rsidRPr="002B4E6D">
        <w:rPr>
          <w:szCs w:val="20"/>
          <w:lang w:val="es-CR"/>
        </w:rPr>
        <w:t>ción</w:t>
      </w:r>
      <w:r w:rsidR="005563EB" w:rsidRPr="002B4E6D">
        <w:rPr>
          <w:szCs w:val="20"/>
          <w:lang w:val="es-CR"/>
        </w:rPr>
        <w:t xml:space="preserve"> </w:t>
      </w:r>
      <w:r w:rsidR="007B78BA" w:rsidRPr="002B4E6D">
        <w:rPr>
          <w:szCs w:val="20"/>
          <w:lang w:val="es-CR"/>
        </w:rPr>
        <w:t>al</w:t>
      </w:r>
      <w:r w:rsidR="005563EB" w:rsidRPr="002B4E6D">
        <w:rPr>
          <w:szCs w:val="20"/>
          <w:lang w:val="es-CR"/>
        </w:rPr>
        <w:t xml:space="preserve"> a</w:t>
      </w:r>
      <w:r w:rsidR="007B78BA" w:rsidRPr="002B4E6D">
        <w:rPr>
          <w:szCs w:val="20"/>
          <w:lang w:val="es-CR"/>
        </w:rPr>
        <w:t>ñ</w:t>
      </w:r>
      <w:r w:rsidR="005563EB" w:rsidRPr="002B4E6D">
        <w:rPr>
          <w:szCs w:val="20"/>
          <w:lang w:val="es-CR"/>
        </w:rPr>
        <w:t xml:space="preserve">o anterior, </w:t>
      </w:r>
      <w:r w:rsidR="007B78BA" w:rsidRPr="002B4E6D">
        <w:rPr>
          <w:szCs w:val="20"/>
          <w:lang w:val="es-CR"/>
        </w:rPr>
        <w:t>alcanzando</w:t>
      </w:r>
      <w:r w:rsidR="005563EB" w:rsidRPr="002B4E6D">
        <w:rPr>
          <w:szCs w:val="20"/>
          <w:lang w:val="es-CR"/>
        </w:rPr>
        <w:t xml:space="preserve"> 3.498. </w:t>
      </w:r>
    </w:p>
    <w:p w14:paraId="58844603" w14:textId="77777777" w:rsidR="005563EB" w:rsidRPr="002B4E6D" w:rsidRDefault="005563EB" w:rsidP="005563EB">
      <w:pPr>
        <w:pStyle w:val="ListParagraph"/>
        <w:rPr>
          <w:szCs w:val="20"/>
          <w:lang w:val="es-CR"/>
        </w:rPr>
      </w:pPr>
    </w:p>
    <w:p w14:paraId="3D374E64" w14:textId="1594B1F5" w:rsidR="005563EB" w:rsidRPr="002B4E6D" w:rsidRDefault="007B78BA" w:rsidP="005563EB">
      <w:pPr>
        <w:pStyle w:val="ListParagraph"/>
        <w:numPr>
          <w:ilvl w:val="0"/>
          <w:numId w:val="20"/>
        </w:numPr>
        <w:snapToGrid w:val="0"/>
        <w:ind w:left="0" w:firstLine="0"/>
        <w:contextualSpacing w:val="0"/>
        <w:rPr>
          <w:szCs w:val="20"/>
          <w:lang w:val="es-CR"/>
        </w:rPr>
      </w:pPr>
      <w:r w:rsidRPr="002B4E6D">
        <w:rPr>
          <w:szCs w:val="20"/>
          <w:lang w:val="es-CR"/>
        </w:rPr>
        <w:t>En el</w:t>
      </w:r>
      <w:r w:rsidR="005563EB" w:rsidRPr="002B4E6D">
        <w:rPr>
          <w:szCs w:val="20"/>
          <w:lang w:val="es-CR"/>
        </w:rPr>
        <w:t xml:space="preserve"> </w:t>
      </w:r>
      <w:r w:rsidRPr="002B4E6D">
        <w:rPr>
          <w:szCs w:val="20"/>
          <w:lang w:val="es-CR"/>
        </w:rPr>
        <w:t>primer</w:t>
      </w:r>
      <w:r w:rsidR="005563EB" w:rsidRPr="002B4E6D">
        <w:rPr>
          <w:szCs w:val="20"/>
          <w:lang w:val="es-CR"/>
        </w:rPr>
        <w:t xml:space="preserve"> trimestre de</w:t>
      </w:r>
      <w:r w:rsidR="009A308D">
        <w:rPr>
          <w:szCs w:val="20"/>
          <w:lang w:val="es-CR"/>
        </w:rPr>
        <w:t>l</w:t>
      </w:r>
      <w:r w:rsidR="005563EB" w:rsidRPr="002B4E6D">
        <w:rPr>
          <w:szCs w:val="20"/>
          <w:lang w:val="es-CR"/>
        </w:rPr>
        <w:t xml:space="preserve"> 2018, </w:t>
      </w:r>
      <w:r w:rsidRPr="002B4E6D">
        <w:rPr>
          <w:szCs w:val="20"/>
          <w:lang w:val="es-CR"/>
        </w:rPr>
        <w:t>el</w:t>
      </w:r>
      <w:r w:rsidR="005563EB" w:rsidRPr="002B4E6D">
        <w:rPr>
          <w:szCs w:val="20"/>
          <w:lang w:val="es-CR"/>
        </w:rPr>
        <w:t xml:space="preserve"> IPPSC </w:t>
      </w:r>
      <w:r w:rsidR="004F73D1" w:rsidRPr="002B4E6D">
        <w:rPr>
          <w:szCs w:val="20"/>
          <w:lang w:val="es-CR"/>
        </w:rPr>
        <w:t>contaba</w:t>
      </w:r>
      <w:r w:rsidR="005563EB" w:rsidRPr="002B4E6D">
        <w:rPr>
          <w:szCs w:val="20"/>
          <w:lang w:val="es-CR"/>
        </w:rPr>
        <w:t xml:space="preserve"> </w:t>
      </w:r>
      <w:r w:rsidRPr="002B4E6D">
        <w:rPr>
          <w:szCs w:val="20"/>
          <w:lang w:val="es-CR"/>
        </w:rPr>
        <w:t>con</w:t>
      </w:r>
      <w:r w:rsidR="005563EB" w:rsidRPr="002B4E6D">
        <w:rPr>
          <w:szCs w:val="20"/>
          <w:lang w:val="es-CR"/>
        </w:rPr>
        <w:t xml:space="preserve"> </w:t>
      </w:r>
      <w:r w:rsidRPr="002B4E6D">
        <w:rPr>
          <w:szCs w:val="20"/>
          <w:lang w:val="es-CR"/>
        </w:rPr>
        <w:t>una</w:t>
      </w:r>
      <w:r w:rsidR="005563EB" w:rsidRPr="002B4E6D">
        <w:rPr>
          <w:szCs w:val="20"/>
          <w:lang w:val="es-CR"/>
        </w:rPr>
        <w:t xml:space="preserve"> </w:t>
      </w:r>
      <w:r w:rsidRPr="002B4E6D">
        <w:rPr>
          <w:szCs w:val="20"/>
          <w:lang w:val="es-CR"/>
        </w:rPr>
        <w:t>población</w:t>
      </w:r>
      <w:r w:rsidR="005563EB" w:rsidRPr="002B4E6D">
        <w:rPr>
          <w:szCs w:val="20"/>
          <w:lang w:val="es-CR"/>
        </w:rPr>
        <w:t xml:space="preserve"> total de 3.820 </w:t>
      </w:r>
      <w:r w:rsidR="000D1815" w:rsidRPr="002B4E6D">
        <w:rPr>
          <w:szCs w:val="20"/>
          <w:lang w:val="es-CR"/>
        </w:rPr>
        <w:t>detenidos</w:t>
      </w:r>
      <w:r w:rsidR="005563EB" w:rsidRPr="002B4E6D">
        <w:rPr>
          <w:szCs w:val="20"/>
          <w:lang w:val="es-CR"/>
        </w:rPr>
        <w:t>.</w:t>
      </w:r>
    </w:p>
    <w:p w14:paraId="262C1F61" w14:textId="77777777" w:rsidR="005563EB" w:rsidRPr="002B4E6D" w:rsidRDefault="005563EB" w:rsidP="005563EB">
      <w:pPr>
        <w:pStyle w:val="ListParagraph"/>
        <w:rPr>
          <w:szCs w:val="20"/>
          <w:lang w:val="es-CR"/>
        </w:rPr>
      </w:pPr>
    </w:p>
    <w:p w14:paraId="0A1A188A" w14:textId="1BA35251" w:rsidR="005563EB" w:rsidRPr="002B4E6D" w:rsidRDefault="007B78BA" w:rsidP="005563EB">
      <w:pPr>
        <w:pStyle w:val="ListParagraph"/>
        <w:numPr>
          <w:ilvl w:val="0"/>
          <w:numId w:val="20"/>
        </w:numPr>
        <w:snapToGrid w:val="0"/>
        <w:ind w:left="0" w:firstLine="0"/>
        <w:contextualSpacing w:val="0"/>
        <w:rPr>
          <w:szCs w:val="20"/>
          <w:lang w:val="es-CR"/>
        </w:rPr>
      </w:pPr>
      <w:r w:rsidRPr="002B4E6D">
        <w:rPr>
          <w:szCs w:val="20"/>
          <w:lang w:val="es-CR"/>
        </w:rPr>
        <w:t>El</w:t>
      </w:r>
      <w:r w:rsidR="005563EB" w:rsidRPr="002B4E6D">
        <w:rPr>
          <w:szCs w:val="20"/>
          <w:lang w:val="es-CR"/>
        </w:rPr>
        <w:t xml:space="preserve"> Estado </w:t>
      </w:r>
      <w:r w:rsidR="00A944E5" w:rsidRPr="002B4E6D">
        <w:rPr>
          <w:szCs w:val="20"/>
          <w:lang w:val="es-CR"/>
        </w:rPr>
        <w:t>señaló</w:t>
      </w:r>
      <w:r w:rsidR="005563EB" w:rsidRPr="002B4E6D">
        <w:rPr>
          <w:szCs w:val="20"/>
          <w:lang w:val="es-CR"/>
        </w:rPr>
        <w:t xml:space="preserve"> </w:t>
      </w:r>
      <w:r w:rsidRPr="002B4E6D">
        <w:rPr>
          <w:szCs w:val="20"/>
          <w:lang w:val="es-CR"/>
        </w:rPr>
        <w:t>su</w:t>
      </w:r>
      <w:r w:rsidR="005563EB" w:rsidRPr="002B4E6D">
        <w:rPr>
          <w:szCs w:val="20"/>
          <w:lang w:val="es-CR"/>
        </w:rPr>
        <w:t xml:space="preserve"> </w:t>
      </w:r>
      <w:r w:rsidRPr="002B4E6D">
        <w:rPr>
          <w:szCs w:val="20"/>
          <w:lang w:val="es-CR"/>
        </w:rPr>
        <w:t>esfuerzo</w:t>
      </w:r>
      <w:r w:rsidR="005563EB" w:rsidRPr="002B4E6D">
        <w:rPr>
          <w:szCs w:val="20"/>
          <w:lang w:val="es-CR"/>
        </w:rPr>
        <w:t xml:space="preserve"> de </w:t>
      </w:r>
      <w:r w:rsidR="00A944E5" w:rsidRPr="002B4E6D">
        <w:rPr>
          <w:szCs w:val="20"/>
          <w:lang w:val="es-CR"/>
        </w:rPr>
        <w:t>promover la</w:t>
      </w:r>
      <w:r w:rsidR="005563EB" w:rsidRPr="002B4E6D">
        <w:rPr>
          <w:szCs w:val="20"/>
          <w:lang w:val="es-CR"/>
        </w:rPr>
        <w:t xml:space="preserve"> </w:t>
      </w:r>
      <w:r w:rsidR="009A5A7A" w:rsidRPr="002B4E6D">
        <w:rPr>
          <w:szCs w:val="20"/>
          <w:lang w:val="es-CR"/>
        </w:rPr>
        <w:t>salida</w:t>
      </w:r>
      <w:r w:rsidR="005563EB" w:rsidRPr="002B4E6D">
        <w:rPr>
          <w:szCs w:val="20"/>
          <w:lang w:val="es-CR"/>
        </w:rPr>
        <w:t xml:space="preserve"> de </w:t>
      </w:r>
      <w:r w:rsidR="000D1815" w:rsidRPr="002B4E6D">
        <w:rPr>
          <w:szCs w:val="20"/>
          <w:lang w:val="es-CR"/>
        </w:rPr>
        <w:t>detenidos</w:t>
      </w:r>
      <w:r w:rsidR="005563EB" w:rsidRPr="002B4E6D">
        <w:rPr>
          <w:szCs w:val="20"/>
          <w:lang w:val="es-CR"/>
        </w:rPr>
        <w:t xml:space="preserve"> </w:t>
      </w:r>
      <w:r w:rsidR="009A5A7A" w:rsidRPr="002B4E6D">
        <w:rPr>
          <w:szCs w:val="20"/>
          <w:lang w:val="es-CR"/>
        </w:rPr>
        <w:t>del</w:t>
      </w:r>
      <w:r w:rsidR="00DA3193" w:rsidRPr="002B4E6D">
        <w:rPr>
          <w:szCs w:val="20"/>
          <w:lang w:val="es-CR"/>
        </w:rPr>
        <w:t xml:space="preserve"> IPPSC </w:t>
      </w:r>
      <w:r w:rsidR="009A5A7A" w:rsidRPr="002B4E6D">
        <w:rPr>
          <w:szCs w:val="20"/>
          <w:lang w:val="es-CR"/>
        </w:rPr>
        <w:t>en el</w:t>
      </w:r>
      <w:r w:rsidR="005563EB" w:rsidRPr="002B4E6D">
        <w:rPr>
          <w:szCs w:val="20"/>
          <w:lang w:val="es-CR"/>
        </w:rPr>
        <w:t xml:space="preserve"> a</w:t>
      </w:r>
      <w:r w:rsidR="009A5A7A" w:rsidRPr="002B4E6D">
        <w:rPr>
          <w:szCs w:val="20"/>
          <w:lang w:val="es-CR"/>
        </w:rPr>
        <w:t>ñ</w:t>
      </w:r>
      <w:r w:rsidR="005563EB" w:rsidRPr="002B4E6D">
        <w:rPr>
          <w:szCs w:val="20"/>
          <w:lang w:val="es-CR"/>
        </w:rPr>
        <w:t>o</w:t>
      </w:r>
      <w:r w:rsidR="00DA3193" w:rsidRPr="002B4E6D">
        <w:rPr>
          <w:szCs w:val="20"/>
          <w:lang w:val="es-CR"/>
        </w:rPr>
        <w:t xml:space="preserve"> de 2017</w:t>
      </w:r>
      <w:r w:rsidR="005563EB" w:rsidRPr="002B4E6D">
        <w:rPr>
          <w:szCs w:val="20"/>
          <w:lang w:val="es-CR"/>
        </w:rPr>
        <w:t xml:space="preserve">. </w:t>
      </w:r>
      <w:r w:rsidR="009A5A7A" w:rsidRPr="002B4E6D">
        <w:rPr>
          <w:szCs w:val="20"/>
          <w:lang w:val="es-CR"/>
        </w:rPr>
        <w:t>Sin embargo</w:t>
      </w:r>
      <w:r w:rsidR="005563EB" w:rsidRPr="002B4E6D">
        <w:rPr>
          <w:szCs w:val="20"/>
          <w:lang w:val="es-CR"/>
        </w:rPr>
        <w:t xml:space="preserve">, </w:t>
      </w:r>
      <w:r w:rsidR="009A5A7A" w:rsidRPr="002B4E6D">
        <w:rPr>
          <w:szCs w:val="20"/>
          <w:lang w:val="es-CR"/>
        </w:rPr>
        <w:t>reconoció</w:t>
      </w:r>
      <w:r w:rsidR="005563EB" w:rsidRPr="002B4E6D">
        <w:rPr>
          <w:szCs w:val="20"/>
          <w:lang w:val="es-CR"/>
        </w:rPr>
        <w:t xml:space="preserve"> </w:t>
      </w:r>
      <w:r w:rsidR="009A5A7A" w:rsidRPr="002B4E6D">
        <w:rPr>
          <w:szCs w:val="20"/>
          <w:lang w:val="es-CR"/>
        </w:rPr>
        <w:t>que es</w:t>
      </w:r>
      <w:r w:rsidR="006E6957" w:rsidRPr="002B4E6D">
        <w:rPr>
          <w:szCs w:val="20"/>
          <w:lang w:val="es-CR"/>
        </w:rPr>
        <w:t xml:space="preserve"> importante intensificar </w:t>
      </w:r>
      <w:r w:rsidR="009A5A7A" w:rsidRPr="002B4E6D">
        <w:rPr>
          <w:szCs w:val="20"/>
          <w:lang w:val="es-CR"/>
        </w:rPr>
        <w:t>esos</w:t>
      </w:r>
      <w:r w:rsidR="006E6957" w:rsidRPr="002B4E6D">
        <w:rPr>
          <w:szCs w:val="20"/>
          <w:lang w:val="es-CR"/>
        </w:rPr>
        <w:t xml:space="preserve"> </w:t>
      </w:r>
      <w:r w:rsidR="009A5A7A" w:rsidRPr="002B4E6D">
        <w:rPr>
          <w:szCs w:val="20"/>
          <w:lang w:val="es-CR"/>
        </w:rPr>
        <w:t>esfuerzos</w:t>
      </w:r>
      <w:r w:rsidR="006E6957" w:rsidRPr="002B4E6D">
        <w:rPr>
          <w:szCs w:val="20"/>
          <w:lang w:val="es-CR"/>
        </w:rPr>
        <w:t xml:space="preserve"> </w:t>
      </w:r>
      <w:r w:rsidR="009A5A7A" w:rsidRPr="002B4E6D">
        <w:rPr>
          <w:szCs w:val="20"/>
          <w:lang w:val="es-CR"/>
        </w:rPr>
        <w:t>con el</w:t>
      </w:r>
      <w:r w:rsidR="00A944E5" w:rsidRPr="002B4E6D">
        <w:rPr>
          <w:szCs w:val="20"/>
          <w:lang w:val="es-CR"/>
        </w:rPr>
        <w:t xml:space="preserve"> fin</w:t>
      </w:r>
      <w:r w:rsidR="009A5A7A" w:rsidRPr="002B4E6D">
        <w:rPr>
          <w:szCs w:val="20"/>
          <w:lang w:val="es-CR"/>
        </w:rPr>
        <w:t xml:space="preserve"> de</w:t>
      </w:r>
      <w:r w:rsidR="00DA3193" w:rsidRPr="002B4E6D">
        <w:rPr>
          <w:szCs w:val="20"/>
          <w:lang w:val="es-CR"/>
        </w:rPr>
        <w:t>,</w:t>
      </w:r>
      <w:r w:rsidR="006E6957" w:rsidRPr="002B4E6D">
        <w:rPr>
          <w:szCs w:val="20"/>
          <w:lang w:val="es-CR"/>
        </w:rPr>
        <w:t xml:space="preserve"> </w:t>
      </w:r>
      <w:r w:rsidR="009A5A7A" w:rsidRPr="002B4E6D">
        <w:rPr>
          <w:szCs w:val="20"/>
          <w:lang w:val="es-CR"/>
        </w:rPr>
        <w:t>efectivamente</w:t>
      </w:r>
      <w:r w:rsidR="00DA3193" w:rsidRPr="002B4E6D">
        <w:rPr>
          <w:szCs w:val="20"/>
          <w:lang w:val="es-CR"/>
        </w:rPr>
        <w:t>,</w:t>
      </w:r>
      <w:r w:rsidR="006E6957" w:rsidRPr="002B4E6D">
        <w:rPr>
          <w:szCs w:val="20"/>
          <w:lang w:val="es-CR"/>
        </w:rPr>
        <w:t xml:space="preserve"> </w:t>
      </w:r>
      <w:r w:rsidR="009A5A7A" w:rsidRPr="002B4E6D">
        <w:rPr>
          <w:szCs w:val="20"/>
          <w:lang w:val="es-CR"/>
        </w:rPr>
        <w:t>reducir</w:t>
      </w:r>
      <w:r w:rsidR="006E6957" w:rsidRPr="002B4E6D">
        <w:rPr>
          <w:szCs w:val="20"/>
          <w:lang w:val="es-CR"/>
        </w:rPr>
        <w:t xml:space="preserve"> </w:t>
      </w:r>
      <w:r w:rsidR="009A5A7A" w:rsidRPr="002B4E6D">
        <w:rPr>
          <w:szCs w:val="20"/>
          <w:lang w:val="es-CR"/>
        </w:rPr>
        <w:t>el</w:t>
      </w:r>
      <w:r w:rsidR="006E6957" w:rsidRPr="002B4E6D">
        <w:rPr>
          <w:szCs w:val="20"/>
          <w:lang w:val="es-CR"/>
        </w:rPr>
        <w:t xml:space="preserve"> total de </w:t>
      </w:r>
      <w:r w:rsidR="00AA1A37" w:rsidRPr="002B4E6D">
        <w:rPr>
          <w:szCs w:val="20"/>
          <w:lang w:val="es-CR"/>
        </w:rPr>
        <w:t>personas</w:t>
      </w:r>
      <w:r w:rsidR="006E6957" w:rsidRPr="002B4E6D">
        <w:rPr>
          <w:szCs w:val="20"/>
          <w:lang w:val="es-CR"/>
        </w:rPr>
        <w:t xml:space="preserve"> </w:t>
      </w:r>
      <w:r w:rsidR="00A944E5" w:rsidRPr="002B4E6D">
        <w:rPr>
          <w:szCs w:val="20"/>
          <w:lang w:val="es-CR"/>
        </w:rPr>
        <w:t xml:space="preserve">albergadas </w:t>
      </w:r>
      <w:r w:rsidR="009A5A7A" w:rsidRPr="002B4E6D">
        <w:rPr>
          <w:szCs w:val="20"/>
          <w:lang w:val="es-CR"/>
        </w:rPr>
        <w:t>en la</w:t>
      </w:r>
      <w:r w:rsidR="006E6957" w:rsidRPr="002B4E6D">
        <w:rPr>
          <w:szCs w:val="20"/>
          <w:lang w:val="es-CR"/>
        </w:rPr>
        <w:t xml:space="preserve"> </w:t>
      </w:r>
      <w:r w:rsidR="009A5A7A" w:rsidRPr="002B4E6D">
        <w:rPr>
          <w:szCs w:val="20"/>
          <w:lang w:val="es-CR"/>
        </w:rPr>
        <w:t>unidad</w:t>
      </w:r>
      <w:r w:rsidR="006E6957" w:rsidRPr="002B4E6D">
        <w:rPr>
          <w:szCs w:val="20"/>
          <w:lang w:val="es-CR"/>
        </w:rPr>
        <w:t xml:space="preserve">. Adicionalmente, </w:t>
      </w:r>
      <w:r w:rsidR="009A5A7A" w:rsidRPr="002B4E6D">
        <w:rPr>
          <w:szCs w:val="20"/>
          <w:lang w:val="es-CR"/>
        </w:rPr>
        <w:t>reconoció que aún</w:t>
      </w:r>
      <w:r w:rsidR="006E6957" w:rsidRPr="002B4E6D">
        <w:rPr>
          <w:szCs w:val="20"/>
          <w:lang w:val="es-CR"/>
        </w:rPr>
        <w:t xml:space="preserve"> </w:t>
      </w:r>
      <w:r w:rsidR="009A5A7A" w:rsidRPr="002B4E6D">
        <w:rPr>
          <w:szCs w:val="20"/>
          <w:lang w:val="es-CR"/>
        </w:rPr>
        <w:t>no es posible</w:t>
      </w:r>
      <w:r w:rsidR="005563EB" w:rsidRPr="002B4E6D">
        <w:rPr>
          <w:szCs w:val="20"/>
          <w:lang w:val="es-CR"/>
        </w:rPr>
        <w:t xml:space="preserve"> observar </w:t>
      </w:r>
      <w:r w:rsidR="009A5A7A" w:rsidRPr="002B4E6D">
        <w:rPr>
          <w:szCs w:val="20"/>
          <w:lang w:val="es-CR"/>
        </w:rPr>
        <w:t>el</w:t>
      </w:r>
      <w:r w:rsidR="0045598D" w:rsidRPr="002B4E6D">
        <w:rPr>
          <w:szCs w:val="20"/>
          <w:lang w:val="es-CR"/>
        </w:rPr>
        <w:t xml:space="preserve"> </w:t>
      </w:r>
      <w:r w:rsidR="005563EB" w:rsidRPr="002B4E6D">
        <w:rPr>
          <w:szCs w:val="20"/>
          <w:lang w:val="es-CR"/>
        </w:rPr>
        <w:t xml:space="preserve">impacto de </w:t>
      </w:r>
      <w:r w:rsidR="00A944E5" w:rsidRPr="002B4E6D">
        <w:rPr>
          <w:szCs w:val="20"/>
          <w:lang w:val="es-CR"/>
        </w:rPr>
        <w:t>la disminución</w:t>
      </w:r>
      <w:r w:rsidR="005563EB" w:rsidRPr="002B4E6D">
        <w:rPr>
          <w:szCs w:val="20"/>
          <w:lang w:val="es-CR"/>
        </w:rPr>
        <w:t xml:space="preserve"> de </w:t>
      </w:r>
      <w:r w:rsidR="00AA1A37" w:rsidRPr="002B4E6D">
        <w:rPr>
          <w:szCs w:val="20"/>
          <w:lang w:val="es-CR"/>
        </w:rPr>
        <w:t>personas</w:t>
      </w:r>
      <w:r w:rsidR="005563EB" w:rsidRPr="002B4E6D">
        <w:rPr>
          <w:szCs w:val="20"/>
          <w:lang w:val="es-CR"/>
        </w:rPr>
        <w:t xml:space="preserve"> </w:t>
      </w:r>
      <w:r w:rsidR="009A5A7A" w:rsidRPr="002B4E6D">
        <w:rPr>
          <w:szCs w:val="20"/>
          <w:lang w:val="es-CR"/>
        </w:rPr>
        <w:t>en la</w:t>
      </w:r>
      <w:r w:rsidR="005563EB" w:rsidRPr="002B4E6D">
        <w:rPr>
          <w:szCs w:val="20"/>
          <w:lang w:val="es-CR"/>
        </w:rPr>
        <w:t xml:space="preserve"> </w:t>
      </w:r>
      <w:r w:rsidR="009A5A7A" w:rsidRPr="002B4E6D">
        <w:rPr>
          <w:szCs w:val="20"/>
          <w:lang w:val="es-CR"/>
        </w:rPr>
        <w:lastRenderedPageBreak/>
        <w:t>unidad</w:t>
      </w:r>
      <w:r w:rsidR="005563EB" w:rsidRPr="002B4E6D">
        <w:rPr>
          <w:szCs w:val="20"/>
          <w:lang w:val="es-CR"/>
        </w:rPr>
        <w:t xml:space="preserve">, </w:t>
      </w:r>
      <w:r w:rsidR="009A5A7A" w:rsidRPr="002B4E6D">
        <w:rPr>
          <w:szCs w:val="20"/>
          <w:lang w:val="es-CR"/>
        </w:rPr>
        <w:t>atribuyendo</w:t>
      </w:r>
      <w:r w:rsidR="005563EB" w:rsidRPr="002B4E6D">
        <w:rPr>
          <w:szCs w:val="20"/>
          <w:lang w:val="es-CR"/>
        </w:rPr>
        <w:t xml:space="preserve"> </w:t>
      </w:r>
      <w:r w:rsidR="009A5A7A" w:rsidRPr="002B4E6D">
        <w:rPr>
          <w:szCs w:val="20"/>
          <w:lang w:val="es-CR"/>
        </w:rPr>
        <w:t>eso</w:t>
      </w:r>
      <w:r w:rsidR="005563EB" w:rsidRPr="002B4E6D">
        <w:rPr>
          <w:szCs w:val="20"/>
          <w:lang w:val="es-CR"/>
        </w:rPr>
        <w:t xml:space="preserve">, </w:t>
      </w:r>
      <w:r w:rsidR="009A5A7A" w:rsidRPr="002B4E6D">
        <w:rPr>
          <w:szCs w:val="20"/>
          <w:lang w:val="es-CR"/>
        </w:rPr>
        <w:t>en gran</w:t>
      </w:r>
      <w:r w:rsidR="005563EB" w:rsidRPr="002B4E6D">
        <w:rPr>
          <w:szCs w:val="20"/>
          <w:lang w:val="es-CR"/>
        </w:rPr>
        <w:t xml:space="preserve"> parte, </w:t>
      </w:r>
      <w:r w:rsidR="009A5A7A" w:rsidRPr="002B4E6D">
        <w:rPr>
          <w:szCs w:val="20"/>
          <w:lang w:val="es-CR"/>
        </w:rPr>
        <w:t>a la</w:t>
      </w:r>
      <w:r w:rsidR="005563EB" w:rsidRPr="002B4E6D">
        <w:rPr>
          <w:szCs w:val="20"/>
          <w:lang w:val="es-CR"/>
        </w:rPr>
        <w:t xml:space="preserve"> </w:t>
      </w:r>
      <w:r w:rsidR="009A5A7A" w:rsidRPr="002B4E6D">
        <w:rPr>
          <w:szCs w:val="20"/>
          <w:lang w:val="es-CR"/>
        </w:rPr>
        <w:t>presión</w:t>
      </w:r>
      <w:r w:rsidR="005563EB" w:rsidRPr="002B4E6D">
        <w:rPr>
          <w:szCs w:val="20"/>
          <w:lang w:val="es-CR"/>
        </w:rPr>
        <w:t xml:space="preserve"> </w:t>
      </w:r>
      <w:r w:rsidR="009A5A7A" w:rsidRPr="002B4E6D">
        <w:rPr>
          <w:szCs w:val="20"/>
          <w:lang w:val="es-CR"/>
        </w:rPr>
        <w:t>de los nuevos ingresos</w:t>
      </w:r>
      <w:r w:rsidR="005563EB" w:rsidRPr="002B4E6D">
        <w:rPr>
          <w:szCs w:val="20"/>
          <w:lang w:val="es-CR"/>
        </w:rPr>
        <w:t xml:space="preserve"> </w:t>
      </w:r>
      <w:r w:rsidR="009A5A7A" w:rsidRPr="002B4E6D">
        <w:rPr>
          <w:szCs w:val="20"/>
          <w:lang w:val="es-CR"/>
        </w:rPr>
        <w:t>sin</w:t>
      </w:r>
      <w:r w:rsidR="005563EB" w:rsidRPr="002B4E6D">
        <w:rPr>
          <w:szCs w:val="20"/>
          <w:lang w:val="es-CR"/>
        </w:rPr>
        <w:t xml:space="preserve"> </w:t>
      </w:r>
      <w:r w:rsidR="009A5A7A" w:rsidRPr="002B4E6D">
        <w:rPr>
          <w:szCs w:val="20"/>
          <w:lang w:val="es-CR"/>
        </w:rPr>
        <w:t>l</w:t>
      </w:r>
      <w:r w:rsidR="005563EB" w:rsidRPr="002B4E6D">
        <w:rPr>
          <w:szCs w:val="20"/>
          <w:lang w:val="es-CR"/>
        </w:rPr>
        <w:t xml:space="preserve">a contrapartida de </w:t>
      </w:r>
      <w:r w:rsidR="009A5A7A" w:rsidRPr="002B4E6D">
        <w:rPr>
          <w:szCs w:val="20"/>
          <w:lang w:val="es-CR"/>
        </w:rPr>
        <w:t>nuevas salidas</w:t>
      </w:r>
      <w:r w:rsidR="005563EB" w:rsidRPr="002B4E6D">
        <w:rPr>
          <w:szCs w:val="20"/>
          <w:lang w:val="es-CR"/>
        </w:rPr>
        <w:t>.</w:t>
      </w:r>
    </w:p>
    <w:p w14:paraId="3A6E9551" w14:textId="77777777" w:rsidR="007F528F" w:rsidRPr="002B4E6D" w:rsidRDefault="007F528F" w:rsidP="007F528F">
      <w:pPr>
        <w:pStyle w:val="ListParagraph"/>
        <w:rPr>
          <w:szCs w:val="20"/>
          <w:lang w:val="es-CR"/>
        </w:rPr>
      </w:pPr>
    </w:p>
    <w:p w14:paraId="6E2271A4" w14:textId="0497967F" w:rsidR="007F528F" w:rsidRPr="002B4E6D" w:rsidRDefault="009A5A7A" w:rsidP="00237CFD">
      <w:pPr>
        <w:pStyle w:val="ListParagraph"/>
        <w:numPr>
          <w:ilvl w:val="0"/>
          <w:numId w:val="20"/>
        </w:numPr>
        <w:snapToGrid w:val="0"/>
        <w:ind w:left="0" w:firstLine="0"/>
        <w:contextualSpacing w:val="0"/>
        <w:rPr>
          <w:szCs w:val="20"/>
          <w:lang w:val="es-CR"/>
        </w:rPr>
      </w:pPr>
      <w:r w:rsidRPr="002B4E6D">
        <w:rPr>
          <w:szCs w:val="20"/>
          <w:lang w:val="es-CR"/>
        </w:rPr>
        <w:t>El</w:t>
      </w:r>
      <w:r w:rsidR="007F528F" w:rsidRPr="002B4E6D">
        <w:rPr>
          <w:szCs w:val="20"/>
          <w:lang w:val="es-CR"/>
        </w:rPr>
        <w:t xml:space="preserve"> </w:t>
      </w:r>
      <w:r w:rsidR="00237CFD" w:rsidRPr="002B4E6D">
        <w:rPr>
          <w:szCs w:val="20"/>
          <w:lang w:val="es-CR"/>
        </w:rPr>
        <w:t xml:space="preserve">Estado </w:t>
      </w:r>
      <w:r w:rsidRPr="002B4E6D">
        <w:rPr>
          <w:szCs w:val="20"/>
          <w:lang w:val="es-CR"/>
        </w:rPr>
        <w:t>señaló</w:t>
      </w:r>
      <w:r w:rsidR="00237CFD" w:rsidRPr="002B4E6D">
        <w:rPr>
          <w:szCs w:val="20"/>
          <w:lang w:val="es-CR"/>
        </w:rPr>
        <w:t xml:space="preserve"> que </w:t>
      </w:r>
      <w:r w:rsidRPr="002B4E6D">
        <w:rPr>
          <w:szCs w:val="20"/>
          <w:lang w:val="es-CR"/>
        </w:rPr>
        <w:t>el</w:t>
      </w:r>
      <w:r w:rsidR="00237CFD" w:rsidRPr="002B4E6D">
        <w:rPr>
          <w:szCs w:val="20"/>
          <w:lang w:val="es-CR"/>
        </w:rPr>
        <w:t xml:space="preserve"> </w:t>
      </w:r>
      <w:r w:rsidRPr="002B4E6D">
        <w:rPr>
          <w:szCs w:val="20"/>
          <w:lang w:val="es-CR"/>
        </w:rPr>
        <w:t>análisis</w:t>
      </w:r>
      <w:r w:rsidR="00237CFD" w:rsidRPr="002B4E6D">
        <w:rPr>
          <w:szCs w:val="20"/>
          <w:lang w:val="es-CR"/>
        </w:rPr>
        <w:t xml:space="preserve"> </w:t>
      </w:r>
      <w:r w:rsidRPr="002B4E6D">
        <w:rPr>
          <w:szCs w:val="20"/>
          <w:lang w:val="es-CR"/>
        </w:rPr>
        <w:t>de la</w:t>
      </w:r>
      <w:r w:rsidR="00237CFD" w:rsidRPr="002B4E6D">
        <w:rPr>
          <w:szCs w:val="20"/>
          <w:lang w:val="es-CR"/>
        </w:rPr>
        <w:t xml:space="preserve"> situa</w:t>
      </w:r>
      <w:r w:rsidR="00AA1A37" w:rsidRPr="002B4E6D">
        <w:rPr>
          <w:szCs w:val="20"/>
          <w:lang w:val="es-CR"/>
        </w:rPr>
        <w:t>ción</w:t>
      </w:r>
      <w:r w:rsidR="00237CFD" w:rsidRPr="002B4E6D">
        <w:rPr>
          <w:szCs w:val="20"/>
          <w:lang w:val="es-CR"/>
        </w:rPr>
        <w:t xml:space="preserve"> </w:t>
      </w:r>
      <w:r w:rsidRPr="002B4E6D">
        <w:rPr>
          <w:szCs w:val="20"/>
          <w:lang w:val="es-CR"/>
        </w:rPr>
        <w:t>procesal</w:t>
      </w:r>
      <w:r w:rsidR="00237CFD" w:rsidRPr="002B4E6D">
        <w:rPr>
          <w:szCs w:val="20"/>
          <w:lang w:val="es-CR"/>
        </w:rPr>
        <w:t xml:space="preserve"> de cada interno </w:t>
      </w:r>
      <w:r w:rsidRPr="002B4E6D">
        <w:rPr>
          <w:szCs w:val="20"/>
          <w:lang w:val="es-CR"/>
        </w:rPr>
        <w:t>podría</w:t>
      </w:r>
      <w:r w:rsidR="00237CFD" w:rsidRPr="002B4E6D">
        <w:rPr>
          <w:szCs w:val="20"/>
          <w:lang w:val="es-CR"/>
        </w:rPr>
        <w:t xml:space="preserve"> </w:t>
      </w:r>
      <w:r w:rsidRPr="002B4E6D">
        <w:rPr>
          <w:szCs w:val="20"/>
          <w:lang w:val="es-CR"/>
        </w:rPr>
        <w:t>ayudar el plan</w:t>
      </w:r>
      <w:r w:rsidR="00237CFD" w:rsidRPr="002B4E6D">
        <w:rPr>
          <w:szCs w:val="20"/>
          <w:lang w:val="es-CR"/>
        </w:rPr>
        <w:t xml:space="preserve"> de desocupa</w:t>
      </w:r>
      <w:r w:rsidR="00AA1A37" w:rsidRPr="002B4E6D">
        <w:rPr>
          <w:szCs w:val="20"/>
          <w:lang w:val="es-CR"/>
        </w:rPr>
        <w:t>ción</w:t>
      </w:r>
      <w:r w:rsidR="00237CFD" w:rsidRPr="002B4E6D">
        <w:rPr>
          <w:szCs w:val="20"/>
          <w:lang w:val="es-CR"/>
        </w:rPr>
        <w:t xml:space="preserve"> parcial </w:t>
      </w:r>
      <w:r w:rsidRPr="002B4E6D">
        <w:rPr>
          <w:szCs w:val="20"/>
          <w:lang w:val="es-CR"/>
        </w:rPr>
        <w:t>de la</w:t>
      </w:r>
      <w:r w:rsidR="00237CFD" w:rsidRPr="002B4E6D">
        <w:rPr>
          <w:szCs w:val="20"/>
          <w:lang w:val="es-CR"/>
        </w:rPr>
        <w:t xml:space="preserve"> </w:t>
      </w:r>
      <w:r w:rsidRPr="002B4E6D">
        <w:rPr>
          <w:szCs w:val="20"/>
          <w:lang w:val="es-CR"/>
        </w:rPr>
        <w:t>unidad</w:t>
      </w:r>
      <w:r w:rsidR="00237CFD" w:rsidRPr="002B4E6D">
        <w:rPr>
          <w:szCs w:val="20"/>
          <w:lang w:val="es-CR"/>
        </w:rPr>
        <w:t xml:space="preserve">, a </w:t>
      </w:r>
      <w:r w:rsidRPr="002B4E6D">
        <w:rPr>
          <w:szCs w:val="20"/>
          <w:lang w:val="es-CR"/>
        </w:rPr>
        <w:t>fin</w:t>
      </w:r>
      <w:r w:rsidR="00237CFD" w:rsidRPr="002B4E6D">
        <w:rPr>
          <w:szCs w:val="20"/>
          <w:lang w:val="es-CR"/>
        </w:rPr>
        <w:t xml:space="preserve"> de que </w:t>
      </w:r>
      <w:r w:rsidR="006D77AC" w:rsidRPr="002B4E6D">
        <w:rPr>
          <w:szCs w:val="20"/>
          <w:lang w:val="es-CR"/>
        </w:rPr>
        <w:t>allí</w:t>
      </w:r>
      <w:r w:rsidR="00237CFD" w:rsidRPr="002B4E6D">
        <w:rPr>
          <w:szCs w:val="20"/>
          <w:lang w:val="es-CR"/>
        </w:rPr>
        <w:t xml:space="preserve"> </w:t>
      </w:r>
      <w:r w:rsidRPr="002B4E6D">
        <w:rPr>
          <w:szCs w:val="20"/>
          <w:lang w:val="es-CR"/>
        </w:rPr>
        <w:t>permanezcan</w:t>
      </w:r>
      <w:r w:rsidR="00237CFD" w:rsidRPr="002B4E6D">
        <w:rPr>
          <w:szCs w:val="20"/>
          <w:lang w:val="es-CR"/>
        </w:rPr>
        <w:t xml:space="preserve"> </w:t>
      </w:r>
      <w:r w:rsidRPr="002B4E6D">
        <w:rPr>
          <w:szCs w:val="20"/>
          <w:lang w:val="es-CR"/>
        </w:rPr>
        <w:t xml:space="preserve">solo los </w:t>
      </w:r>
      <w:r w:rsidR="000D1815" w:rsidRPr="002B4E6D">
        <w:rPr>
          <w:szCs w:val="20"/>
          <w:lang w:val="es-CR"/>
        </w:rPr>
        <w:t>detenidos</w:t>
      </w:r>
      <w:r w:rsidR="00237CFD" w:rsidRPr="002B4E6D">
        <w:rPr>
          <w:szCs w:val="20"/>
          <w:lang w:val="es-CR"/>
        </w:rPr>
        <w:t xml:space="preserve"> cu</w:t>
      </w:r>
      <w:r w:rsidRPr="002B4E6D">
        <w:rPr>
          <w:szCs w:val="20"/>
          <w:lang w:val="es-CR"/>
        </w:rPr>
        <w:t>y</w:t>
      </w:r>
      <w:r w:rsidR="00237CFD" w:rsidRPr="002B4E6D">
        <w:rPr>
          <w:szCs w:val="20"/>
          <w:lang w:val="es-CR"/>
        </w:rPr>
        <w:t>a situa</w:t>
      </w:r>
      <w:r w:rsidR="00AA1A37" w:rsidRPr="002B4E6D">
        <w:rPr>
          <w:szCs w:val="20"/>
          <w:lang w:val="es-CR"/>
        </w:rPr>
        <w:t>ción</w:t>
      </w:r>
      <w:r w:rsidR="00237CFD" w:rsidRPr="002B4E6D">
        <w:rPr>
          <w:szCs w:val="20"/>
          <w:lang w:val="es-CR"/>
        </w:rPr>
        <w:t xml:space="preserve"> </w:t>
      </w:r>
      <w:r w:rsidRPr="002B4E6D">
        <w:rPr>
          <w:szCs w:val="20"/>
          <w:lang w:val="es-CR"/>
        </w:rPr>
        <w:t>procesal</w:t>
      </w:r>
      <w:r w:rsidR="00237CFD" w:rsidRPr="002B4E6D">
        <w:rPr>
          <w:szCs w:val="20"/>
          <w:lang w:val="es-CR"/>
        </w:rPr>
        <w:t xml:space="preserve"> </w:t>
      </w:r>
      <w:r w:rsidRPr="002B4E6D">
        <w:rPr>
          <w:szCs w:val="20"/>
          <w:lang w:val="es-CR"/>
        </w:rPr>
        <w:t>sea</w:t>
      </w:r>
      <w:r w:rsidR="00237CFD" w:rsidRPr="002B4E6D">
        <w:rPr>
          <w:szCs w:val="20"/>
          <w:lang w:val="es-CR"/>
        </w:rPr>
        <w:t xml:space="preserve"> </w:t>
      </w:r>
      <w:r w:rsidRPr="002B4E6D">
        <w:rPr>
          <w:szCs w:val="20"/>
          <w:lang w:val="es-CR"/>
        </w:rPr>
        <w:t>incompatible</w:t>
      </w:r>
      <w:r w:rsidR="00237CFD" w:rsidRPr="002B4E6D">
        <w:rPr>
          <w:szCs w:val="20"/>
          <w:lang w:val="es-CR"/>
        </w:rPr>
        <w:t xml:space="preserve"> </w:t>
      </w:r>
      <w:r w:rsidRPr="002B4E6D">
        <w:rPr>
          <w:szCs w:val="20"/>
          <w:lang w:val="es-CR"/>
        </w:rPr>
        <w:t>con</w:t>
      </w:r>
      <w:r w:rsidR="00237CFD" w:rsidRPr="002B4E6D">
        <w:rPr>
          <w:szCs w:val="20"/>
          <w:lang w:val="es-CR"/>
        </w:rPr>
        <w:t xml:space="preserve"> </w:t>
      </w:r>
      <w:r w:rsidRPr="002B4E6D">
        <w:rPr>
          <w:szCs w:val="20"/>
          <w:lang w:val="es-CR"/>
        </w:rPr>
        <w:t>la</w:t>
      </w:r>
      <w:r w:rsidR="00237CFD" w:rsidRPr="002B4E6D">
        <w:rPr>
          <w:szCs w:val="20"/>
          <w:lang w:val="es-CR"/>
        </w:rPr>
        <w:t xml:space="preserve"> </w:t>
      </w:r>
      <w:r w:rsidR="00B65220" w:rsidRPr="002B4E6D">
        <w:rPr>
          <w:szCs w:val="20"/>
          <w:lang w:val="es-CR"/>
        </w:rPr>
        <w:t>concesión</w:t>
      </w:r>
      <w:r w:rsidR="00237CFD" w:rsidRPr="002B4E6D">
        <w:rPr>
          <w:szCs w:val="20"/>
          <w:lang w:val="es-CR"/>
        </w:rPr>
        <w:t xml:space="preserve"> </w:t>
      </w:r>
      <w:r w:rsidR="00B65220" w:rsidRPr="002B4E6D">
        <w:rPr>
          <w:szCs w:val="20"/>
          <w:lang w:val="es-CR"/>
        </w:rPr>
        <w:t>de la</w:t>
      </w:r>
      <w:r w:rsidR="00237CFD" w:rsidRPr="002B4E6D">
        <w:rPr>
          <w:szCs w:val="20"/>
          <w:lang w:val="es-CR"/>
        </w:rPr>
        <w:t xml:space="preserve"> progres</w:t>
      </w:r>
      <w:r w:rsidR="00B65220" w:rsidRPr="002B4E6D">
        <w:rPr>
          <w:szCs w:val="20"/>
          <w:lang w:val="es-CR"/>
        </w:rPr>
        <w:t>ión</w:t>
      </w:r>
      <w:r w:rsidR="00237CFD" w:rsidRPr="002B4E6D">
        <w:rPr>
          <w:szCs w:val="20"/>
          <w:lang w:val="es-CR"/>
        </w:rPr>
        <w:t xml:space="preserve"> </w:t>
      </w:r>
      <w:r w:rsidR="00B65220" w:rsidRPr="002B4E6D">
        <w:rPr>
          <w:szCs w:val="20"/>
          <w:lang w:val="es-CR"/>
        </w:rPr>
        <w:t>del</w:t>
      </w:r>
      <w:r w:rsidR="00237CFD" w:rsidRPr="002B4E6D">
        <w:rPr>
          <w:szCs w:val="20"/>
          <w:lang w:val="es-CR"/>
        </w:rPr>
        <w:t xml:space="preserve"> </w:t>
      </w:r>
      <w:r w:rsidR="00B65220" w:rsidRPr="002B4E6D">
        <w:rPr>
          <w:szCs w:val="20"/>
          <w:lang w:val="es-CR"/>
        </w:rPr>
        <w:t>régimen</w:t>
      </w:r>
      <w:r w:rsidR="00237CFD" w:rsidRPr="002B4E6D">
        <w:rPr>
          <w:szCs w:val="20"/>
          <w:lang w:val="es-CR"/>
        </w:rPr>
        <w:t xml:space="preserve"> </w:t>
      </w:r>
      <w:r w:rsidR="00B65220" w:rsidRPr="002B4E6D">
        <w:rPr>
          <w:szCs w:val="20"/>
          <w:lang w:val="es-CR"/>
        </w:rPr>
        <w:t>u</w:t>
      </w:r>
      <w:r w:rsidR="00237CFD" w:rsidRPr="002B4E6D">
        <w:rPr>
          <w:szCs w:val="20"/>
          <w:lang w:val="es-CR"/>
        </w:rPr>
        <w:t xml:space="preserve"> </w:t>
      </w:r>
      <w:r w:rsidR="00B65220" w:rsidRPr="002B4E6D">
        <w:rPr>
          <w:szCs w:val="20"/>
          <w:lang w:val="es-CR"/>
        </w:rPr>
        <w:t>otros</w:t>
      </w:r>
      <w:r w:rsidR="00237CFD" w:rsidRPr="002B4E6D">
        <w:rPr>
          <w:szCs w:val="20"/>
          <w:lang w:val="es-CR"/>
        </w:rPr>
        <w:t xml:space="preserve"> </w:t>
      </w:r>
      <w:r w:rsidR="006D77AC" w:rsidRPr="002B4E6D">
        <w:rPr>
          <w:szCs w:val="20"/>
          <w:lang w:val="es-CR"/>
        </w:rPr>
        <w:t>beneficios</w:t>
      </w:r>
      <w:r w:rsidR="00237CFD" w:rsidRPr="002B4E6D">
        <w:rPr>
          <w:szCs w:val="20"/>
          <w:lang w:val="es-CR"/>
        </w:rPr>
        <w:t xml:space="preserve"> lega</w:t>
      </w:r>
      <w:r w:rsidR="00B65220" w:rsidRPr="002B4E6D">
        <w:rPr>
          <w:szCs w:val="20"/>
          <w:lang w:val="es-CR"/>
        </w:rPr>
        <w:t>le</w:t>
      </w:r>
      <w:r w:rsidR="00237CFD" w:rsidRPr="002B4E6D">
        <w:rPr>
          <w:szCs w:val="20"/>
          <w:lang w:val="es-CR"/>
        </w:rPr>
        <w:t xml:space="preserve">s. </w:t>
      </w:r>
      <w:r w:rsidR="00B65220" w:rsidRPr="002B4E6D">
        <w:rPr>
          <w:szCs w:val="20"/>
          <w:lang w:val="es-CR"/>
        </w:rPr>
        <w:t>En ese</w:t>
      </w:r>
      <w:r w:rsidR="00237CFD" w:rsidRPr="002B4E6D">
        <w:rPr>
          <w:szCs w:val="20"/>
          <w:lang w:val="es-CR"/>
        </w:rPr>
        <w:t xml:space="preserve"> sentido, </w:t>
      </w:r>
      <w:r w:rsidR="00B65220" w:rsidRPr="002B4E6D">
        <w:rPr>
          <w:szCs w:val="20"/>
          <w:lang w:val="es-CR"/>
        </w:rPr>
        <w:t>el</w:t>
      </w:r>
      <w:r w:rsidR="00237CFD" w:rsidRPr="002B4E6D">
        <w:rPr>
          <w:szCs w:val="20"/>
          <w:lang w:val="es-CR"/>
        </w:rPr>
        <w:t xml:space="preserve"> Diagnóstico Técnico </w:t>
      </w:r>
      <w:r w:rsidR="00B65220" w:rsidRPr="002B4E6D">
        <w:rPr>
          <w:szCs w:val="20"/>
          <w:lang w:val="es-CR"/>
        </w:rPr>
        <w:t>destacó</w:t>
      </w:r>
      <w:r w:rsidR="007F528F" w:rsidRPr="002B4E6D">
        <w:rPr>
          <w:szCs w:val="20"/>
          <w:lang w:val="es-CR"/>
        </w:rPr>
        <w:t xml:space="preserve"> </w:t>
      </w:r>
      <w:r w:rsidR="00B65220" w:rsidRPr="002B4E6D">
        <w:rPr>
          <w:szCs w:val="20"/>
          <w:lang w:val="es-CR"/>
        </w:rPr>
        <w:t>l</w:t>
      </w:r>
      <w:r w:rsidR="007F528F" w:rsidRPr="002B4E6D">
        <w:rPr>
          <w:szCs w:val="20"/>
          <w:lang w:val="es-CR"/>
        </w:rPr>
        <w:t xml:space="preserve">a </w:t>
      </w:r>
      <w:r w:rsidR="00B65220" w:rsidRPr="002B4E6D">
        <w:rPr>
          <w:szCs w:val="20"/>
          <w:lang w:val="es-CR"/>
        </w:rPr>
        <w:t>proyección</w:t>
      </w:r>
      <w:r w:rsidR="007F528F" w:rsidRPr="002B4E6D">
        <w:rPr>
          <w:szCs w:val="20"/>
          <w:lang w:val="es-CR"/>
        </w:rPr>
        <w:t xml:space="preserve"> de </w:t>
      </w:r>
      <w:r w:rsidR="00B65220" w:rsidRPr="002B4E6D">
        <w:rPr>
          <w:szCs w:val="20"/>
          <w:lang w:val="es-CR"/>
        </w:rPr>
        <w:t>permanencia</w:t>
      </w:r>
      <w:r w:rsidR="007F528F" w:rsidRPr="002B4E6D">
        <w:rPr>
          <w:szCs w:val="20"/>
          <w:lang w:val="es-CR"/>
        </w:rPr>
        <w:t xml:space="preserve"> </w:t>
      </w:r>
      <w:r w:rsidR="00B65220" w:rsidRPr="002B4E6D">
        <w:rPr>
          <w:szCs w:val="20"/>
          <w:lang w:val="es-CR"/>
        </w:rPr>
        <w:t>de los</w:t>
      </w:r>
      <w:r w:rsidR="007F528F" w:rsidRPr="002B4E6D">
        <w:rPr>
          <w:szCs w:val="20"/>
          <w:lang w:val="es-CR"/>
        </w:rPr>
        <w:t xml:space="preserve"> </w:t>
      </w:r>
      <w:r w:rsidR="000D1815" w:rsidRPr="002B4E6D">
        <w:rPr>
          <w:szCs w:val="20"/>
          <w:lang w:val="es-CR"/>
        </w:rPr>
        <w:t>detenidos</w:t>
      </w:r>
      <w:r w:rsidR="007F528F" w:rsidRPr="002B4E6D">
        <w:rPr>
          <w:szCs w:val="20"/>
          <w:lang w:val="es-CR"/>
        </w:rPr>
        <w:t xml:space="preserve"> </w:t>
      </w:r>
      <w:r w:rsidR="00B65220" w:rsidRPr="002B4E6D">
        <w:rPr>
          <w:szCs w:val="20"/>
          <w:lang w:val="es-CR"/>
        </w:rPr>
        <w:t>del</w:t>
      </w:r>
      <w:r w:rsidR="007F528F" w:rsidRPr="002B4E6D">
        <w:rPr>
          <w:szCs w:val="20"/>
          <w:lang w:val="es-CR"/>
        </w:rPr>
        <w:t xml:space="preserve"> IPPSC</w:t>
      </w:r>
      <w:r w:rsidR="00B65220" w:rsidRPr="002B4E6D">
        <w:rPr>
          <w:szCs w:val="20"/>
          <w:lang w:val="es-CR"/>
        </w:rPr>
        <w:t>. Según</w:t>
      </w:r>
      <w:r w:rsidR="00237CFD" w:rsidRPr="002B4E6D">
        <w:rPr>
          <w:szCs w:val="20"/>
          <w:lang w:val="es-CR"/>
        </w:rPr>
        <w:t xml:space="preserve"> informa</w:t>
      </w:r>
      <w:r w:rsidR="00945D4E" w:rsidRPr="002B4E6D">
        <w:rPr>
          <w:szCs w:val="20"/>
          <w:lang w:val="es-CR"/>
        </w:rPr>
        <w:t>ci</w:t>
      </w:r>
      <w:r w:rsidR="001F70E5">
        <w:rPr>
          <w:szCs w:val="20"/>
          <w:lang w:val="es-CR"/>
        </w:rPr>
        <w:t>ó</w:t>
      </w:r>
      <w:r w:rsidR="00945D4E" w:rsidRPr="002B4E6D">
        <w:rPr>
          <w:szCs w:val="20"/>
          <w:lang w:val="es-CR"/>
        </w:rPr>
        <w:t>n</w:t>
      </w:r>
      <w:r w:rsidR="00237CFD" w:rsidRPr="002B4E6D">
        <w:rPr>
          <w:szCs w:val="20"/>
          <w:lang w:val="es-CR"/>
        </w:rPr>
        <w:t xml:space="preserve"> </w:t>
      </w:r>
      <w:r w:rsidR="006D77AC" w:rsidRPr="002B4E6D">
        <w:rPr>
          <w:szCs w:val="20"/>
          <w:lang w:val="es-CR"/>
        </w:rPr>
        <w:t>suministrada</w:t>
      </w:r>
      <w:r w:rsidR="00237CFD" w:rsidRPr="002B4E6D">
        <w:rPr>
          <w:szCs w:val="20"/>
          <w:lang w:val="es-CR"/>
        </w:rPr>
        <w:t xml:space="preserve"> </w:t>
      </w:r>
      <w:r w:rsidR="00B65220" w:rsidRPr="002B4E6D">
        <w:rPr>
          <w:szCs w:val="20"/>
          <w:lang w:val="es-CR"/>
        </w:rPr>
        <w:t>por el</w:t>
      </w:r>
      <w:r w:rsidR="00237CFD" w:rsidRPr="002B4E6D">
        <w:rPr>
          <w:szCs w:val="20"/>
          <w:lang w:val="es-CR"/>
        </w:rPr>
        <w:t xml:space="preserve"> Tribunal de </w:t>
      </w:r>
      <w:r w:rsidR="000D1815" w:rsidRPr="002B4E6D">
        <w:rPr>
          <w:szCs w:val="20"/>
          <w:lang w:val="es-CR"/>
        </w:rPr>
        <w:t>Justicia</w:t>
      </w:r>
      <w:r w:rsidR="00237CFD" w:rsidRPr="002B4E6D">
        <w:rPr>
          <w:szCs w:val="20"/>
          <w:lang w:val="es-CR"/>
        </w:rPr>
        <w:t xml:space="preserve"> </w:t>
      </w:r>
      <w:r w:rsidR="00B65220" w:rsidRPr="002B4E6D">
        <w:rPr>
          <w:szCs w:val="20"/>
          <w:lang w:val="es-CR"/>
        </w:rPr>
        <w:t>del</w:t>
      </w:r>
      <w:r w:rsidR="00237CFD" w:rsidRPr="002B4E6D">
        <w:rPr>
          <w:szCs w:val="20"/>
          <w:lang w:val="es-CR"/>
        </w:rPr>
        <w:t xml:space="preserve"> </w:t>
      </w:r>
      <w:r w:rsidR="00BF2AC5">
        <w:rPr>
          <w:szCs w:val="20"/>
          <w:lang w:val="es-CR"/>
        </w:rPr>
        <w:t>e</w:t>
      </w:r>
      <w:r w:rsidR="00BF2AC5" w:rsidRPr="002B4E6D">
        <w:rPr>
          <w:szCs w:val="20"/>
          <w:lang w:val="es-CR"/>
        </w:rPr>
        <w:t xml:space="preserve">stado </w:t>
      </w:r>
      <w:r w:rsidR="00B65220" w:rsidRPr="002B4E6D">
        <w:rPr>
          <w:szCs w:val="20"/>
          <w:lang w:val="es-CR"/>
        </w:rPr>
        <w:t>de Rí</w:t>
      </w:r>
      <w:r w:rsidR="00237CFD" w:rsidRPr="002B4E6D">
        <w:rPr>
          <w:szCs w:val="20"/>
          <w:lang w:val="es-CR"/>
        </w:rPr>
        <w:t xml:space="preserve">o de Janeiro, </w:t>
      </w:r>
      <w:r w:rsidR="00B65220" w:rsidRPr="002B4E6D">
        <w:rPr>
          <w:szCs w:val="20"/>
          <w:lang w:val="es-CR"/>
        </w:rPr>
        <w:t>con</w:t>
      </w:r>
      <w:r w:rsidR="006004CF" w:rsidRPr="002B4E6D">
        <w:rPr>
          <w:szCs w:val="20"/>
          <w:lang w:val="es-CR"/>
        </w:rPr>
        <w:t xml:space="preserve"> base </w:t>
      </w:r>
      <w:r w:rsidR="00B65220" w:rsidRPr="002B4E6D">
        <w:rPr>
          <w:szCs w:val="20"/>
          <w:lang w:val="es-CR"/>
        </w:rPr>
        <w:t>en los</w:t>
      </w:r>
      <w:r w:rsidR="006004CF" w:rsidRPr="002B4E6D">
        <w:rPr>
          <w:szCs w:val="20"/>
          <w:lang w:val="es-CR"/>
        </w:rPr>
        <w:t xml:space="preserve"> únicos da</w:t>
      </w:r>
      <w:r w:rsidR="00B65220" w:rsidRPr="002B4E6D">
        <w:rPr>
          <w:szCs w:val="20"/>
          <w:lang w:val="es-CR"/>
        </w:rPr>
        <w:t>t</w:t>
      </w:r>
      <w:r w:rsidR="006004CF" w:rsidRPr="002B4E6D">
        <w:rPr>
          <w:szCs w:val="20"/>
          <w:lang w:val="es-CR"/>
        </w:rPr>
        <w:t xml:space="preserve">os </w:t>
      </w:r>
      <w:r w:rsidR="00B65220" w:rsidRPr="002B4E6D">
        <w:rPr>
          <w:szCs w:val="20"/>
          <w:lang w:val="es-CR"/>
        </w:rPr>
        <w:t>disponibles</w:t>
      </w:r>
      <w:r w:rsidR="006004CF" w:rsidRPr="002B4E6D">
        <w:rPr>
          <w:szCs w:val="20"/>
          <w:lang w:val="es-CR"/>
        </w:rPr>
        <w:t xml:space="preserve">, </w:t>
      </w:r>
      <w:r w:rsidR="00725F6E">
        <w:rPr>
          <w:szCs w:val="20"/>
          <w:lang w:val="es-CR"/>
        </w:rPr>
        <w:t xml:space="preserve">a </w:t>
      </w:r>
      <w:r w:rsidR="007F528F" w:rsidRPr="002B4E6D">
        <w:rPr>
          <w:szCs w:val="20"/>
          <w:lang w:val="es-CR"/>
        </w:rPr>
        <w:t xml:space="preserve">44 </w:t>
      </w:r>
      <w:r w:rsidR="000D1815" w:rsidRPr="002B4E6D">
        <w:rPr>
          <w:szCs w:val="20"/>
          <w:lang w:val="es-CR"/>
        </w:rPr>
        <w:t>detenidos</w:t>
      </w:r>
      <w:r w:rsidR="007F528F" w:rsidRPr="002B4E6D">
        <w:rPr>
          <w:szCs w:val="20"/>
          <w:lang w:val="es-CR"/>
        </w:rPr>
        <w:t xml:space="preserve"> </w:t>
      </w:r>
      <w:r w:rsidR="00725F6E">
        <w:rPr>
          <w:szCs w:val="20"/>
          <w:lang w:val="es-CR"/>
        </w:rPr>
        <w:t xml:space="preserve">les resta una pena </w:t>
      </w:r>
      <w:r w:rsidR="00712F86">
        <w:rPr>
          <w:szCs w:val="20"/>
          <w:lang w:val="es-CR"/>
        </w:rPr>
        <w:t xml:space="preserve">por cumplir inferior a </w:t>
      </w:r>
      <w:r w:rsidR="007F528F" w:rsidRPr="002B4E6D">
        <w:rPr>
          <w:szCs w:val="20"/>
          <w:lang w:val="es-CR"/>
        </w:rPr>
        <w:t>1 a</w:t>
      </w:r>
      <w:r w:rsidR="00B65220" w:rsidRPr="002B4E6D">
        <w:rPr>
          <w:szCs w:val="20"/>
          <w:lang w:val="es-CR"/>
        </w:rPr>
        <w:t>ñ</w:t>
      </w:r>
      <w:r w:rsidR="007F528F" w:rsidRPr="002B4E6D">
        <w:rPr>
          <w:szCs w:val="20"/>
          <w:lang w:val="es-CR"/>
        </w:rPr>
        <w:t>o</w:t>
      </w:r>
      <w:r w:rsidR="00712F86">
        <w:rPr>
          <w:szCs w:val="20"/>
          <w:lang w:val="es-CR"/>
        </w:rPr>
        <w:t>,</w:t>
      </w:r>
      <w:r w:rsidR="00725F6E">
        <w:rPr>
          <w:szCs w:val="20"/>
          <w:lang w:val="es-CR"/>
        </w:rPr>
        <w:t xml:space="preserve"> a </w:t>
      </w:r>
      <w:r w:rsidR="007F528F" w:rsidRPr="002B4E6D">
        <w:rPr>
          <w:szCs w:val="20"/>
          <w:lang w:val="es-CR"/>
        </w:rPr>
        <w:t xml:space="preserve">60 </w:t>
      </w:r>
      <w:r w:rsidR="000D1815" w:rsidRPr="002B4E6D">
        <w:rPr>
          <w:szCs w:val="20"/>
          <w:lang w:val="es-CR"/>
        </w:rPr>
        <w:t>detenidos</w:t>
      </w:r>
      <w:r w:rsidR="007F528F" w:rsidRPr="002B4E6D">
        <w:rPr>
          <w:szCs w:val="20"/>
          <w:lang w:val="es-CR"/>
        </w:rPr>
        <w:t xml:space="preserve"> de 1 a 2 </w:t>
      </w:r>
      <w:r w:rsidR="007B78BA" w:rsidRPr="002B4E6D">
        <w:rPr>
          <w:szCs w:val="20"/>
          <w:lang w:val="es-CR"/>
        </w:rPr>
        <w:t>años</w:t>
      </w:r>
      <w:r w:rsidR="00712F86">
        <w:rPr>
          <w:szCs w:val="20"/>
          <w:lang w:val="es-CR"/>
        </w:rPr>
        <w:t>, a</w:t>
      </w:r>
      <w:r w:rsidR="007F528F" w:rsidRPr="002B4E6D">
        <w:rPr>
          <w:szCs w:val="20"/>
          <w:lang w:val="es-CR"/>
        </w:rPr>
        <w:t xml:space="preserve"> 191 </w:t>
      </w:r>
      <w:r w:rsidR="000D1815" w:rsidRPr="002B4E6D">
        <w:rPr>
          <w:szCs w:val="20"/>
          <w:lang w:val="es-CR"/>
        </w:rPr>
        <w:t>detenidos</w:t>
      </w:r>
      <w:r w:rsidR="007F528F" w:rsidRPr="002B4E6D">
        <w:rPr>
          <w:szCs w:val="20"/>
          <w:lang w:val="es-CR"/>
        </w:rPr>
        <w:t xml:space="preserve"> de 2 a 4 </w:t>
      </w:r>
      <w:r w:rsidR="00B65220" w:rsidRPr="002B4E6D">
        <w:rPr>
          <w:szCs w:val="20"/>
          <w:lang w:val="es-CR"/>
        </w:rPr>
        <w:t>años</w:t>
      </w:r>
      <w:r w:rsidR="007F528F" w:rsidRPr="002B4E6D">
        <w:rPr>
          <w:szCs w:val="20"/>
          <w:lang w:val="es-CR"/>
        </w:rPr>
        <w:t xml:space="preserve">. </w:t>
      </w:r>
      <w:r w:rsidR="00B65220" w:rsidRPr="002B4E6D">
        <w:rPr>
          <w:szCs w:val="20"/>
          <w:lang w:val="es-CR"/>
        </w:rPr>
        <w:t>La</w:t>
      </w:r>
      <w:r w:rsidR="007F528F" w:rsidRPr="002B4E6D">
        <w:rPr>
          <w:szCs w:val="20"/>
          <w:lang w:val="es-CR"/>
        </w:rPr>
        <w:t xml:space="preserve"> gran </w:t>
      </w:r>
      <w:r w:rsidR="00B65220" w:rsidRPr="002B4E6D">
        <w:rPr>
          <w:szCs w:val="20"/>
          <w:lang w:val="es-CR"/>
        </w:rPr>
        <w:t>mayoría</w:t>
      </w:r>
      <w:r w:rsidR="007F528F" w:rsidRPr="002B4E6D">
        <w:rPr>
          <w:szCs w:val="20"/>
          <w:lang w:val="es-CR"/>
        </w:rPr>
        <w:t xml:space="preserve">, </w:t>
      </w:r>
      <w:r w:rsidR="00B65220" w:rsidRPr="002B4E6D">
        <w:rPr>
          <w:szCs w:val="20"/>
          <w:lang w:val="es-CR"/>
        </w:rPr>
        <w:t>esto</w:t>
      </w:r>
      <w:r w:rsidR="007F528F" w:rsidRPr="002B4E6D">
        <w:rPr>
          <w:szCs w:val="20"/>
          <w:lang w:val="es-CR"/>
        </w:rPr>
        <w:t xml:space="preserve"> </w:t>
      </w:r>
      <w:r w:rsidR="00B65220" w:rsidRPr="002B4E6D">
        <w:rPr>
          <w:szCs w:val="20"/>
          <w:lang w:val="es-CR"/>
        </w:rPr>
        <w:t>es</w:t>
      </w:r>
      <w:r w:rsidR="007F528F" w:rsidRPr="002B4E6D">
        <w:rPr>
          <w:szCs w:val="20"/>
          <w:lang w:val="es-CR"/>
        </w:rPr>
        <w:t xml:space="preserve">, 562 </w:t>
      </w:r>
      <w:r w:rsidR="000D1815" w:rsidRPr="002B4E6D">
        <w:rPr>
          <w:szCs w:val="20"/>
          <w:lang w:val="es-CR"/>
        </w:rPr>
        <w:t>detenidos</w:t>
      </w:r>
      <w:r w:rsidR="007F528F" w:rsidRPr="002B4E6D">
        <w:rPr>
          <w:szCs w:val="20"/>
          <w:lang w:val="es-CR"/>
        </w:rPr>
        <w:t xml:space="preserve">, </w:t>
      </w:r>
      <w:r w:rsidR="00712F86">
        <w:rPr>
          <w:szCs w:val="20"/>
          <w:lang w:val="es-CR"/>
        </w:rPr>
        <w:t xml:space="preserve">tienen una </w:t>
      </w:r>
      <w:r w:rsidR="007F528F" w:rsidRPr="002B4E6D">
        <w:rPr>
          <w:szCs w:val="20"/>
          <w:lang w:val="es-CR"/>
        </w:rPr>
        <w:t xml:space="preserve">pena restante superior a 4 </w:t>
      </w:r>
      <w:r w:rsidR="00B65220" w:rsidRPr="002B4E6D">
        <w:rPr>
          <w:szCs w:val="20"/>
          <w:lang w:val="es-CR"/>
        </w:rPr>
        <w:t>años</w:t>
      </w:r>
      <w:r w:rsidR="007F528F" w:rsidRPr="002B4E6D">
        <w:rPr>
          <w:szCs w:val="20"/>
          <w:lang w:val="es-CR"/>
        </w:rPr>
        <w:t>.</w:t>
      </w:r>
    </w:p>
    <w:p w14:paraId="63F8A096" w14:textId="77777777" w:rsidR="00356FEE" w:rsidRPr="002B4E6D" w:rsidRDefault="00356FEE" w:rsidP="006D31D9">
      <w:pPr>
        <w:pStyle w:val="ListParagraph"/>
        <w:rPr>
          <w:szCs w:val="20"/>
          <w:lang w:val="es-CR"/>
        </w:rPr>
      </w:pPr>
    </w:p>
    <w:p w14:paraId="120851E5" w14:textId="29377DB9" w:rsidR="004E5F6F" w:rsidRPr="002B4E6D" w:rsidRDefault="00B65220" w:rsidP="006D31D9">
      <w:pPr>
        <w:pStyle w:val="ListParagraph"/>
        <w:numPr>
          <w:ilvl w:val="0"/>
          <w:numId w:val="20"/>
        </w:numPr>
        <w:snapToGrid w:val="0"/>
        <w:ind w:left="0" w:firstLine="0"/>
        <w:contextualSpacing w:val="0"/>
        <w:rPr>
          <w:szCs w:val="20"/>
          <w:lang w:val="es-CR"/>
        </w:rPr>
      </w:pPr>
      <w:r w:rsidRPr="002B4E6D">
        <w:rPr>
          <w:szCs w:val="20"/>
          <w:lang w:val="es-CR"/>
        </w:rPr>
        <w:t>El</w:t>
      </w:r>
      <w:r w:rsidR="009232F2" w:rsidRPr="002B4E6D">
        <w:rPr>
          <w:szCs w:val="20"/>
          <w:lang w:val="es-CR"/>
        </w:rPr>
        <w:t xml:space="preserve"> Estado </w:t>
      </w:r>
      <w:r w:rsidRPr="002B4E6D">
        <w:rPr>
          <w:szCs w:val="20"/>
          <w:lang w:val="es-CR"/>
        </w:rPr>
        <w:t>reconoció</w:t>
      </w:r>
      <w:r w:rsidR="009232F2" w:rsidRPr="002B4E6D">
        <w:rPr>
          <w:szCs w:val="20"/>
          <w:lang w:val="es-CR"/>
        </w:rPr>
        <w:t xml:space="preserve"> </w:t>
      </w:r>
      <w:r w:rsidRPr="002B4E6D">
        <w:rPr>
          <w:szCs w:val="20"/>
          <w:lang w:val="es-CR"/>
        </w:rPr>
        <w:t>el</w:t>
      </w:r>
      <w:r w:rsidR="009232F2" w:rsidRPr="002B4E6D">
        <w:rPr>
          <w:szCs w:val="20"/>
          <w:lang w:val="es-CR"/>
        </w:rPr>
        <w:t xml:space="preserve"> uso modesto que </w:t>
      </w:r>
      <w:r w:rsidR="008367F4" w:rsidRPr="002B4E6D">
        <w:rPr>
          <w:szCs w:val="20"/>
          <w:lang w:val="es-CR"/>
        </w:rPr>
        <w:t>hace</w:t>
      </w:r>
      <w:r w:rsidR="004E076B" w:rsidRPr="002B4E6D">
        <w:rPr>
          <w:szCs w:val="20"/>
          <w:lang w:val="es-CR"/>
        </w:rPr>
        <w:t xml:space="preserve"> de alternativas </w:t>
      </w:r>
      <w:r w:rsidR="006D77AC" w:rsidRPr="002B4E6D">
        <w:rPr>
          <w:szCs w:val="20"/>
          <w:lang w:val="es-CR"/>
        </w:rPr>
        <w:t xml:space="preserve">al encarcelamiento </w:t>
      </w:r>
      <w:r w:rsidR="008367F4" w:rsidRPr="002B4E6D">
        <w:rPr>
          <w:szCs w:val="20"/>
          <w:lang w:val="es-CR"/>
        </w:rPr>
        <w:t>en el</w:t>
      </w:r>
      <w:r w:rsidR="004E076B" w:rsidRPr="002B4E6D">
        <w:rPr>
          <w:szCs w:val="20"/>
          <w:lang w:val="es-CR"/>
        </w:rPr>
        <w:t xml:space="preserve"> e</w:t>
      </w:r>
      <w:r w:rsidR="009232F2" w:rsidRPr="002B4E6D">
        <w:rPr>
          <w:szCs w:val="20"/>
          <w:lang w:val="es-CR"/>
        </w:rPr>
        <w:t xml:space="preserve">stado </w:t>
      </w:r>
      <w:r w:rsidR="00CF6EA4" w:rsidRPr="002B4E6D">
        <w:rPr>
          <w:szCs w:val="20"/>
          <w:lang w:val="es-CR"/>
        </w:rPr>
        <w:t xml:space="preserve"> </w:t>
      </w:r>
      <w:r w:rsidR="008367F4" w:rsidRPr="002B4E6D">
        <w:rPr>
          <w:szCs w:val="20"/>
          <w:lang w:val="es-CR"/>
        </w:rPr>
        <w:t>de</w:t>
      </w:r>
      <w:r w:rsidR="009232F2" w:rsidRPr="002B4E6D">
        <w:rPr>
          <w:szCs w:val="20"/>
          <w:lang w:val="es-CR"/>
        </w:rPr>
        <w:t xml:space="preserve"> R</w:t>
      </w:r>
      <w:r w:rsidR="008367F4" w:rsidRPr="002B4E6D">
        <w:rPr>
          <w:szCs w:val="20"/>
          <w:lang w:val="es-CR"/>
        </w:rPr>
        <w:t>ío</w:t>
      </w:r>
      <w:r w:rsidR="009232F2" w:rsidRPr="002B4E6D">
        <w:rPr>
          <w:szCs w:val="20"/>
          <w:lang w:val="es-CR"/>
        </w:rPr>
        <w:t xml:space="preserve"> de Janeiro. </w:t>
      </w:r>
      <w:r w:rsidR="006D77AC" w:rsidRPr="002B4E6D">
        <w:rPr>
          <w:szCs w:val="20"/>
          <w:lang w:val="es-CR"/>
        </w:rPr>
        <w:t>E</w:t>
      </w:r>
      <w:r w:rsidR="008367F4" w:rsidRPr="002B4E6D">
        <w:rPr>
          <w:szCs w:val="20"/>
          <w:lang w:val="es-CR"/>
        </w:rPr>
        <w:t>n</w:t>
      </w:r>
      <w:r w:rsidR="009232F2" w:rsidRPr="002B4E6D">
        <w:rPr>
          <w:szCs w:val="20"/>
          <w:lang w:val="es-CR"/>
        </w:rPr>
        <w:t xml:space="preserve"> </w:t>
      </w:r>
      <w:r w:rsidRPr="002B4E6D">
        <w:rPr>
          <w:szCs w:val="20"/>
          <w:lang w:val="es-CR"/>
        </w:rPr>
        <w:t>noviembre</w:t>
      </w:r>
      <w:r w:rsidR="009232F2" w:rsidRPr="002B4E6D">
        <w:rPr>
          <w:szCs w:val="20"/>
          <w:lang w:val="es-CR"/>
        </w:rPr>
        <w:t xml:space="preserve"> de 2017,</w:t>
      </w:r>
      <w:r w:rsidR="006D77AC" w:rsidRPr="002B4E6D">
        <w:rPr>
          <w:szCs w:val="20"/>
          <w:lang w:val="es-CR"/>
        </w:rPr>
        <w:t xml:space="preserve"> a título ilustrativo, solo</w:t>
      </w:r>
      <w:r w:rsidR="009232F2" w:rsidRPr="002B4E6D">
        <w:rPr>
          <w:szCs w:val="20"/>
          <w:lang w:val="es-CR"/>
        </w:rPr>
        <w:t xml:space="preserve"> 2.472 </w:t>
      </w:r>
      <w:r w:rsidR="00AA1A37" w:rsidRPr="002B4E6D">
        <w:rPr>
          <w:szCs w:val="20"/>
          <w:lang w:val="es-CR"/>
        </w:rPr>
        <w:t>personas</w:t>
      </w:r>
      <w:r w:rsidR="009232F2" w:rsidRPr="002B4E6D">
        <w:rPr>
          <w:szCs w:val="20"/>
          <w:lang w:val="es-CR"/>
        </w:rPr>
        <w:t xml:space="preserve"> </w:t>
      </w:r>
      <w:r w:rsidR="006D77AC" w:rsidRPr="002B4E6D">
        <w:rPr>
          <w:szCs w:val="20"/>
          <w:lang w:val="es-CR"/>
        </w:rPr>
        <w:t>se encontraban</w:t>
      </w:r>
      <w:r w:rsidR="009232F2" w:rsidRPr="002B4E6D">
        <w:rPr>
          <w:szCs w:val="20"/>
          <w:lang w:val="es-CR"/>
        </w:rPr>
        <w:t xml:space="preserve"> </w:t>
      </w:r>
      <w:r w:rsidRPr="002B4E6D">
        <w:rPr>
          <w:szCs w:val="20"/>
          <w:lang w:val="es-CR"/>
        </w:rPr>
        <w:t>cumpliendo</w:t>
      </w:r>
      <w:r w:rsidR="009232F2" w:rsidRPr="002B4E6D">
        <w:rPr>
          <w:szCs w:val="20"/>
          <w:lang w:val="es-CR"/>
        </w:rPr>
        <w:t xml:space="preserve"> penas </w:t>
      </w:r>
      <w:r w:rsidR="008367F4" w:rsidRPr="002B4E6D">
        <w:rPr>
          <w:szCs w:val="20"/>
          <w:lang w:val="es-CR"/>
        </w:rPr>
        <w:t>o</w:t>
      </w:r>
      <w:r w:rsidR="009232F2" w:rsidRPr="002B4E6D">
        <w:rPr>
          <w:szCs w:val="20"/>
          <w:lang w:val="es-CR"/>
        </w:rPr>
        <w:t xml:space="preserve"> medidas alternativas </w:t>
      </w:r>
      <w:r w:rsidR="006D77AC" w:rsidRPr="002B4E6D">
        <w:rPr>
          <w:szCs w:val="20"/>
          <w:lang w:val="es-CR"/>
        </w:rPr>
        <w:t>al encarcelamiento</w:t>
      </w:r>
      <w:r w:rsidR="009232F2" w:rsidRPr="002B4E6D">
        <w:rPr>
          <w:szCs w:val="20"/>
          <w:lang w:val="es-CR"/>
        </w:rPr>
        <w:t xml:space="preserve">, </w:t>
      </w:r>
      <w:r w:rsidR="008367F4" w:rsidRPr="002B4E6D">
        <w:rPr>
          <w:szCs w:val="20"/>
          <w:lang w:val="es-CR"/>
        </w:rPr>
        <w:t>y</w:t>
      </w:r>
      <w:r w:rsidR="009232F2" w:rsidRPr="002B4E6D">
        <w:rPr>
          <w:szCs w:val="20"/>
          <w:lang w:val="es-CR"/>
        </w:rPr>
        <w:t xml:space="preserve"> 1.672</w:t>
      </w:r>
      <w:r w:rsidR="001F70E5">
        <w:rPr>
          <w:szCs w:val="20"/>
          <w:lang w:val="es-CR"/>
        </w:rPr>
        <w:t xml:space="preserve"> personas</w:t>
      </w:r>
      <w:r w:rsidR="009232F2" w:rsidRPr="002B4E6D">
        <w:rPr>
          <w:szCs w:val="20"/>
          <w:lang w:val="es-CR"/>
        </w:rPr>
        <w:t xml:space="preserve"> </w:t>
      </w:r>
      <w:r w:rsidR="001F70E5" w:rsidRPr="002B4E6D">
        <w:rPr>
          <w:szCs w:val="20"/>
          <w:lang w:val="es-CR"/>
        </w:rPr>
        <w:t>investigad</w:t>
      </w:r>
      <w:r w:rsidR="001F70E5">
        <w:rPr>
          <w:szCs w:val="20"/>
          <w:lang w:val="es-CR"/>
        </w:rPr>
        <w:t>a</w:t>
      </w:r>
      <w:r w:rsidR="001F70E5" w:rsidRPr="002B4E6D">
        <w:rPr>
          <w:szCs w:val="20"/>
          <w:lang w:val="es-CR"/>
        </w:rPr>
        <w:t xml:space="preserve">s </w:t>
      </w:r>
      <w:r w:rsidR="008367F4" w:rsidRPr="002B4E6D">
        <w:rPr>
          <w:szCs w:val="20"/>
          <w:lang w:val="es-CR"/>
        </w:rPr>
        <w:t>y</w:t>
      </w:r>
      <w:r w:rsidR="009232F2" w:rsidRPr="002B4E6D">
        <w:rPr>
          <w:szCs w:val="20"/>
          <w:lang w:val="es-CR"/>
        </w:rPr>
        <w:t xml:space="preserve"> </w:t>
      </w:r>
      <w:r w:rsidR="001F70E5" w:rsidRPr="002B4E6D">
        <w:rPr>
          <w:szCs w:val="20"/>
          <w:lang w:val="es-CR"/>
        </w:rPr>
        <w:t>condenad</w:t>
      </w:r>
      <w:r w:rsidR="001F70E5">
        <w:rPr>
          <w:szCs w:val="20"/>
          <w:lang w:val="es-CR"/>
        </w:rPr>
        <w:t>a</w:t>
      </w:r>
      <w:r w:rsidR="001F70E5" w:rsidRPr="002B4E6D">
        <w:rPr>
          <w:szCs w:val="20"/>
          <w:lang w:val="es-CR"/>
        </w:rPr>
        <w:t xml:space="preserve">s </w:t>
      </w:r>
      <w:r w:rsidRPr="002B4E6D">
        <w:rPr>
          <w:szCs w:val="20"/>
          <w:lang w:val="es-CR"/>
        </w:rPr>
        <w:t>eran</w:t>
      </w:r>
      <w:r w:rsidR="009232F2" w:rsidRPr="002B4E6D">
        <w:rPr>
          <w:szCs w:val="20"/>
          <w:lang w:val="es-CR"/>
        </w:rPr>
        <w:t xml:space="preserve"> </w:t>
      </w:r>
      <w:r w:rsidRPr="002B4E6D">
        <w:rPr>
          <w:szCs w:val="20"/>
          <w:lang w:val="es-CR"/>
        </w:rPr>
        <w:t>monitoreadas</w:t>
      </w:r>
      <w:r w:rsidR="009232F2" w:rsidRPr="002B4E6D">
        <w:rPr>
          <w:szCs w:val="20"/>
          <w:lang w:val="es-CR"/>
        </w:rPr>
        <w:t xml:space="preserve"> </w:t>
      </w:r>
      <w:r w:rsidRPr="002B4E6D">
        <w:rPr>
          <w:szCs w:val="20"/>
          <w:lang w:val="es-CR"/>
        </w:rPr>
        <w:t>electrónicamente</w:t>
      </w:r>
      <w:r w:rsidR="009232F2" w:rsidRPr="002B4E6D">
        <w:rPr>
          <w:szCs w:val="20"/>
          <w:lang w:val="es-CR"/>
        </w:rPr>
        <w:t>.</w:t>
      </w:r>
      <w:r w:rsidR="00BF375D" w:rsidRPr="002B4E6D">
        <w:rPr>
          <w:szCs w:val="20"/>
          <w:lang w:val="es-CR"/>
        </w:rPr>
        <w:t xml:space="preserve"> </w:t>
      </w:r>
      <w:r w:rsidR="008367F4" w:rsidRPr="002B4E6D">
        <w:rPr>
          <w:szCs w:val="20"/>
          <w:lang w:val="es-CR"/>
        </w:rPr>
        <w:t>El</w:t>
      </w:r>
      <w:r w:rsidR="00BF375D" w:rsidRPr="002B4E6D">
        <w:rPr>
          <w:szCs w:val="20"/>
          <w:lang w:val="es-CR"/>
        </w:rPr>
        <w:t xml:space="preserve"> Estado </w:t>
      </w:r>
      <w:r w:rsidRPr="002B4E6D">
        <w:rPr>
          <w:szCs w:val="20"/>
          <w:lang w:val="es-CR"/>
        </w:rPr>
        <w:t>afirmó</w:t>
      </w:r>
      <w:r w:rsidR="00BF375D" w:rsidRPr="002B4E6D">
        <w:rPr>
          <w:szCs w:val="20"/>
          <w:lang w:val="es-CR"/>
        </w:rPr>
        <w:t xml:space="preserve"> que </w:t>
      </w:r>
      <w:r w:rsidR="008367F4" w:rsidRPr="002B4E6D">
        <w:rPr>
          <w:szCs w:val="20"/>
          <w:lang w:val="es-CR"/>
        </w:rPr>
        <w:t>la</w:t>
      </w:r>
      <w:r w:rsidR="00BF375D" w:rsidRPr="002B4E6D">
        <w:rPr>
          <w:szCs w:val="20"/>
          <w:lang w:val="es-CR"/>
        </w:rPr>
        <w:t xml:space="preserve"> amplia</w:t>
      </w:r>
      <w:r w:rsidR="00AA1A37" w:rsidRPr="002B4E6D">
        <w:rPr>
          <w:szCs w:val="20"/>
          <w:lang w:val="es-CR"/>
        </w:rPr>
        <w:t>ción</w:t>
      </w:r>
      <w:r w:rsidR="00BF375D" w:rsidRPr="002B4E6D">
        <w:rPr>
          <w:szCs w:val="20"/>
          <w:lang w:val="es-CR"/>
        </w:rPr>
        <w:t xml:space="preserve"> </w:t>
      </w:r>
      <w:r w:rsidR="008367F4" w:rsidRPr="002B4E6D">
        <w:rPr>
          <w:szCs w:val="20"/>
          <w:lang w:val="es-CR"/>
        </w:rPr>
        <w:t>del</w:t>
      </w:r>
      <w:r w:rsidR="00BF375D" w:rsidRPr="002B4E6D">
        <w:rPr>
          <w:szCs w:val="20"/>
          <w:lang w:val="es-CR"/>
        </w:rPr>
        <w:t xml:space="preserve"> uso de </w:t>
      </w:r>
      <w:r w:rsidR="00053380" w:rsidRPr="002B4E6D">
        <w:rPr>
          <w:szCs w:val="20"/>
          <w:lang w:val="es-CR"/>
        </w:rPr>
        <w:t>monitoreo</w:t>
      </w:r>
      <w:r w:rsidR="00BF375D" w:rsidRPr="002B4E6D">
        <w:rPr>
          <w:szCs w:val="20"/>
          <w:lang w:val="es-CR"/>
        </w:rPr>
        <w:t xml:space="preserve"> </w:t>
      </w:r>
      <w:r w:rsidRPr="002B4E6D">
        <w:rPr>
          <w:szCs w:val="20"/>
          <w:lang w:val="es-CR"/>
        </w:rPr>
        <w:t>electrónico</w:t>
      </w:r>
      <w:r w:rsidR="00BF375D" w:rsidRPr="002B4E6D">
        <w:rPr>
          <w:szCs w:val="20"/>
          <w:lang w:val="es-CR"/>
        </w:rPr>
        <w:t xml:space="preserve"> como medida cautelar, </w:t>
      </w:r>
      <w:r w:rsidR="008F5567" w:rsidRPr="002B4E6D">
        <w:rPr>
          <w:szCs w:val="20"/>
          <w:lang w:val="es-CR"/>
        </w:rPr>
        <w:t>aun en la</w:t>
      </w:r>
      <w:r w:rsidR="00BF375D" w:rsidRPr="002B4E6D">
        <w:rPr>
          <w:szCs w:val="20"/>
          <w:lang w:val="es-CR"/>
        </w:rPr>
        <w:t xml:space="preserve"> fase investigativa, </w:t>
      </w:r>
      <w:r w:rsidRPr="002B4E6D">
        <w:rPr>
          <w:szCs w:val="20"/>
          <w:lang w:val="es-CR"/>
        </w:rPr>
        <w:t>posibilitaría</w:t>
      </w:r>
      <w:r w:rsidR="00BF375D" w:rsidRPr="002B4E6D">
        <w:rPr>
          <w:szCs w:val="20"/>
          <w:lang w:val="es-CR"/>
        </w:rPr>
        <w:t xml:space="preserve"> </w:t>
      </w:r>
      <w:r w:rsidR="008F5567" w:rsidRPr="002B4E6D">
        <w:rPr>
          <w:szCs w:val="20"/>
          <w:lang w:val="es-CR"/>
        </w:rPr>
        <w:t>l</w:t>
      </w:r>
      <w:r w:rsidR="00BF375D" w:rsidRPr="002B4E6D">
        <w:rPr>
          <w:szCs w:val="20"/>
          <w:lang w:val="es-CR"/>
        </w:rPr>
        <w:t xml:space="preserve">a </w:t>
      </w:r>
      <w:r w:rsidRPr="002B4E6D">
        <w:rPr>
          <w:szCs w:val="20"/>
          <w:lang w:val="es-CR"/>
        </w:rPr>
        <w:t>reducción</w:t>
      </w:r>
      <w:r w:rsidR="00BF375D" w:rsidRPr="002B4E6D">
        <w:rPr>
          <w:szCs w:val="20"/>
          <w:lang w:val="es-CR"/>
        </w:rPr>
        <w:t xml:space="preserve"> </w:t>
      </w:r>
      <w:r w:rsidR="008F5567" w:rsidRPr="002B4E6D">
        <w:rPr>
          <w:szCs w:val="20"/>
          <w:lang w:val="es-CR"/>
        </w:rPr>
        <w:t>del</w:t>
      </w:r>
      <w:r w:rsidR="00BF375D" w:rsidRPr="002B4E6D">
        <w:rPr>
          <w:szCs w:val="20"/>
          <w:lang w:val="es-CR"/>
        </w:rPr>
        <w:t xml:space="preserve"> contingente </w:t>
      </w:r>
      <w:r w:rsidR="00031269" w:rsidRPr="002B4E6D">
        <w:rPr>
          <w:szCs w:val="20"/>
          <w:lang w:val="es-CR"/>
        </w:rPr>
        <w:t>carcelario</w:t>
      </w:r>
      <w:r w:rsidR="00BF375D" w:rsidRPr="002B4E6D">
        <w:rPr>
          <w:szCs w:val="20"/>
          <w:lang w:val="es-CR"/>
        </w:rPr>
        <w:t xml:space="preserve"> </w:t>
      </w:r>
      <w:r w:rsidR="00E67F7D" w:rsidRPr="002B4E6D">
        <w:rPr>
          <w:szCs w:val="20"/>
          <w:lang w:val="es-CR"/>
        </w:rPr>
        <w:t>en</w:t>
      </w:r>
      <w:r w:rsidR="00BF375D" w:rsidRPr="002B4E6D">
        <w:rPr>
          <w:szCs w:val="20"/>
          <w:lang w:val="es-CR"/>
        </w:rPr>
        <w:t xml:space="preserve"> </w:t>
      </w:r>
      <w:r w:rsidR="00E4427D">
        <w:rPr>
          <w:szCs w:val="20"/>
          <w:lang w:val="es-CR"/>
        </w:rPr>
        <w:t xml:space="preserve">centros de detención </w:t>
      </w:r>
      <w:r w:rsidR="00945D4E" w:rsidRPr="002B4E6D">
        <w:rPr>
          <w:szCs w:val="20"/>
          <w:lang w:val="es-CR"/>
        </w:rPr>
        <w:t>provisional</w:t>
      </w:r>
      <w:r w:rsidR="00BF375D" w:rsidRPr="002B4E6D">
        <w:rPr>
          <w:szCs w:val="20"/>
          <w:lang w:val="es-CR"/>
        </w:rPr>
        <w:t xml:space="preserve">, </w:t>
      </w:r>
      <w:r w:rsidR="008F5567" w:rsidRPr="002B4E6D">
        <w:rPr>
          <w:szCs w:val="20"/>
          <w:lang w:val="es-CR"/>
        </w:rPr>
        <w:t>l</w:t>
      </w:r>
      <w:r w:rsidR="00BF375D" w:rsidRPr="002B4E6D">
        <w:rPr>
          <w:szCs w:val="20"/>
          <w:lang w:val="es-CR"/>
        </w:rPr>
        <w:t>o q</w:t>
      </w:r>
      <w:r w:rsidR="004E076B" w:rsidRPr="002B4E6D">
        <w:rPr>
          <w:szCs w:val="20"/>
          <w:lang w:val="es-CR"/>
        </w:rPr>
        <w:t xml:space="preserve">ue </w:t>
      </w:r>
      <w:r w:rsidR="008F5567" w:rsidRPr="002B4E6D">
        <w:rPr>
          <w:szCs w:val="20"/>
          <w:lang w:val="es-CR"/>
        </w:rPr>
        <w:t>le</w:t>
      </w:r>
      <w:r w:rsidR="004E076B" w:rsidRPr="002B4E6D">
        <w:rPr>
          <w:szCs w:val="20"/>
          <w:lang w:val="es-CR"/>
        </w:rPr>
        <w:t xml:space="preserve"> </w:t>
      </w:r>
      <w:r w:rsidR="00144228">
        <w:rPr>
          <w:szCs w:val="20"/>
          <w:lang w:val="es-CR"/>
        </w:rPr>
        <w:t xml:space="preserve"> permitiría</w:t>
      </w:r>
      <w:r w:rsidR="004E076B" w:rsidRPr="002B4E6D">
        <w:rPr>
          <w:szCs w:val="20"/>
          <w:lang w:val="es-CR"/>
        </w:rPr>
        <w:t xml:space="preserve"> destinar</w:t>
      </w:r>
      <w:r w:rsidR="00BF375D" w:rsidRPr="002B4E6D">
        <w:rPr>
          <w:szCs w:val="20"/>
          <w:lang w:val="es-CR"/>
        </w:rPr>
        <w:t xml:space="preserve"> </w:t>
      </w:r>
      <w:r w:rsidRPr="002B4E6D">
        <w:rPr>
          <w:szCs w:val="20"/>
          <w:lang w:val="es-CR"/>
        </w:rPr>
        <w:t>una</w:t>
      </w:r>
      <w:r w:rsidR="00BF375D" w:rsidRPr="002B4E6D">
        <w:rPr>
          <w:szCs w:val="20"/>
          <w:lang w:val="es-CR"/>
        </w:rPr>
        <w:t xml:space="preserve"> </w:t>
      </w:r>
      <w:r w:rsidRPr="002B4E6D">
        <w:rPr>
          <w:szCs w:val="20"/>
          <w:lang w:val="es-CR"/>
        </w:rPr>
        <w:t>mayor</w:t>
      </w:r>
      <w:r w:rsidR="00BF375D" w:rsidRPr="002B4E6D">
        <w:rPr>
          <w:szCs w:val="20"/>
          <w:lang w:val="es-CR"/>
        </w:rPr>
        <w:t xml:space="preserve"> </w:t>
      </w:r>
      <w:r w:rsidR="008F5567" w:rsidRPr="002B4E6D">
        <w:rPr>
          <w:szCs w:val="20"/>
          <w:lang w:val="es-CR"/>
        </w:rPr>
        <w:t>cantidad</w:t>
      </w:r>
      <w:r w:rsidR="00BF375D" w:rsidRPr="002B4E6D">
        <w:rPr>
          <w:szCs w:val="20"/>
          <w:lang w:val="es-CR"/>
        </w:rPr>
        <w:t xml:space="preserve"> de recursos </w:t>
      </w:r>
      <w:r w:rsidRPr="002B4E6D">
        <w:rPr>
          <w:szCs w:val="20"/>
          <w:lang w:val="es-CR"/>
        </w:rPr>
        <w:t>financieros</w:t>
      </w:r>
      <w:r w:rsidR="004E076B" w:rsidRPr="002B4E6D">
        <w:rPr>
          <w:szCs w:val="20"/>
          <w:lang w:val="es-CR"/>
        </w:rPr>
        <w:t xml:space="preserve"> a</w:t>
      </w:r>
      <w:r w:rsidR="00BF375D" w:rsidRPr="002B4E6D">
        <w:rPr>
          <w:szCs w:val="20"/>
          <w:lang w:val="es-CR"/>
        </w:rPr>
        <w:t xml:space="preserve"> </w:t>
      </w:r>
      <w:r w:rsidR="00ED6186" w:rsidRPr="002B4E6D">
        <w:rPr>
          <w:szCs w:val="20"/>
          <w:lang w:val="es-CR"/>
        </w:rPr>
        <w:t>unidad</w:t>
      </w:r>
      <w:r w:rsidR="003A4AD3" w:rsidRPr="002B4E6D">
        <w:rPr>
          <w:szCs w:val="20"/>
          <w:lang w:val="es-CR"/>
        </w:rPr>
        <w:t>e</w:t>
      </w:r>
      <w:r w:rsidR="00BF375D" w:rsidRPr="002B4E6D">
        <w:rPr>
          <w:szCs w:val="20"/>
          <w:lang w:val="es-CR"/>
        </w:rPr>
        <w:t xml:space="preserve">s que </w:t>
      </w:r>
      <w:r w:rsidR="008F5567" w:rsidRPr="002B4E6D">
        <w:rPr>
          <w:szCs w:val="20"/>
          <w:lang w:val="es-CR"/>
        </w:rPr>
        <w:t>albergan</w:t>
      </w:r>
      <w:r w:rsidR="00BF375D" w:rsidRPr="002B4E6D">
        <w:rPr>
          <w:szCs w:val="20"/>
          <w:lang w:val="es-CR"/>
        </w:rPr>
        <w:t xml:space="preserve"> </w:t>
      </w:r>
      <w:r w:rsidR="00144228">
        <w:rPr>
          <w:szCs w:val="20"/>
          <w:lang w:val="es-CR"/>
        </w:rPr>
        <w:t xml:space="preserve">a </w:t>
      </w:r>
      <w:r w:rsidRPr="002B4E6D">
        <w:rPr>
          <w:szCs w:val="20"/>
          <w:lang w:val="es-CR"/>
        </w:rPr>
        <w:t>individuos</w:t>
      </w:r>
      <w:r w:rsidR="00BF375D" w:rsidRPr="002B4E6D">
        <w:rPr>
          <w:szCs w:val="20"/>
          <w:lang w:val="es-CR"/>
        </w:rPr>
        <w:t xml:space="preserve"> </w:t>
      </w:r>
      <w:r w:rsidR="00144228">
        <w:rPr>
          <w:szCs w:val="20"/>
          <w:lang w:val="es-CR"/>
        </w:rPr>
        <w:t xml:space="preserve">privados de libertad </w:t>
      </w:r>
      <w:r w:rsidR="00BF375D" w:rsidRPr="002B4E6D">
        <w:rPr>
          <w:szCs w:val="20"/>
          <w:lang w:val="es-CR"/>
        </w:rPr>
        <w:t>sentenciados.</w:t>
      </w:r>
      <w:r w:rsidR="00B43D93" w:rsidRPr="002B4E6D">
        <w:rPr>
          <w:szCs w:val="20"/>
          <w:lang w:val="es-CR"/>
        </w:rPr>
        <w:t xml:space="preserve"> </w:t>
      </w:r>
      <w:r w:rsidR="00353420" w:rsidRPr="002B4E6D">
        <w:rPr>
          <w:szCs w:val="20"/>
          <w:lang w:val="es-CR"/>
        </w:rPr>
        <w:t>Al</w:t>
      </w:r>
      <w:r w:rsidR="00B43D93" w:rsidRPr="002B4E6D">
        <w:rPr>
          <w:szCs w:val="20"/>
          <w:lang w:val="es-CR"/>
        </w:rPr>
        <w:t xml:space="preserve"> </w:t>
      </w:r>
      <w:r w:rsidR="008F5567" w:rsidRPr="002B4E6D">
        <w:rPr>
          <w:szCs w:val="20"/>
          <w:lang w:val="es-CR"/>
        </w:rPr>
        <w:t>respecto, el</w:t>
      </w:r>
      <w:r w:rsidR="00B43D93" w:rsidRPr="002B4E6D">
        <w:rPr>
          <w:szCs w:val="20"/>
          <w:lang w:val="es-CR"/>
        </w:rPr>
        <w:t xml:space="preserve"> Diagnóstico Técnico </w:t>
      </w:r>
      <w:r w:rsidR="008367F4" w:rsidRPr="002B4E6D">
        <w:rPr>
          <w:szCs w:val="20"/>
          <w:lang w:val="es-CR"/>
        </w:rPr>
        <w:t>notó</w:t>
      </w:r>
      <w:r w:rsidR="00B43D93" w:rsidRPr="002B4E6D">
        <w:rPr>
          <w:szCs w:val="20"/>
          <w:lang w:val="es-CR"/>
        </w:rPr>
        <w:t xml:space="preserve"> que, </w:t>
      </w:r>
      <w:r w:rsidR="008F5567" w:rsidRPr="002B4E6D">
        <w:rPr>
          <w:szCs w:val="20"/>
          <w:lang w:val="es-CR"/>
        </w:rPr>
        <w:t>al</w:t>
      </w:r>
      <w:r w:rsidR="00B43D93" w:rsidRPr="002B4E6D">
        <w:rPr>
          <w:szCs w:val="20"/>
          <w:lang w:val="es-CR"/>
        </w:rPr>
        <w:t xml:space="preserve"> final de 2016, </w:t>
      </w:r>
      <w:r w:rsidR="008F5567" w:rsidRPr="002B4E6D">
        <w:rPr>
          <w:szCs w:val="20"/>
          <w:lang w:val="es-CR"/>
        </w:rPr>
        <w:t>la</w:t>
      </w:r>
      <w:r w:rsidR="00B43D93" w:rsidRPr="002B4E6D">
        <w:rPr>
          <w:szCs w:val="20"/>
          <w:lang w:val="es-CR"/>
        </w:rPr>
        <w:t xml:space="preserve"> </w:t>
      </w:r>
      <w:r w:rsidR="00353420" w:rsidRPr="002B4E6D">
        <w:rPr>
          <w:szCs w:val="20"/>
          <w:lang w:val="es-CR"/>
        </w:rPr>
        <w:t>Secretaría</w:t>
      </w:r>
      <w:r w:rsidR="00B43D93" w:rsidRPr="002B4E6D">
        <w:rPr>
          <w:szCs w:val="20"/>
          <w:lang w:val="es-CR"/>
        </w:rPr>
        <w:t xml:space="preserve"> de Administra</w:t>
      </w:r>
      <w:r w:rsidR="00AA1A37" w:rsidRPr="002B4E6D">
        <w:rPr>
          <w:szCs w:val="20"/>
          <w:lang w:val="es-CR"/>
        </w:rPr>
        <w:t>ción</w:t>
      </w:r>
      <w:r w:rsidR="00B43D93" w:rsidRPr="002B4E6D">
        <w:rPr>
          <w:szCs w:val="20"/>
          <w:lang w:val="es-CR"/>
        </w:rPr>
        <w:t xml:space="preserve"> </w:t>
      </w:r>
      <w:r w:rsidRPr="002B4E6D">
        <w:rPr>
          <w:szCs w:val="20"/>
          <w:lang w:val="es-CR"/>
        </w:rPr>
        <w:t>Penitenciaria</w:t>
      </w:r>
      <w:r w:rsidR="00B43D93" w:rsidRPr="002B4E6D">
        <w:rPr>
          <w:szCs w:val="20"/>
          <w:lang w:val="es-CR"/>
        </w:rPr>
        <w:t xml:space="preserve"> </w:t>
      </w:r>
      <w:r w:rsidR="008F5567" w:rsidRPr="002B4E6D">
        <w:rPr>
          <w:szCs w:val="20"/>
          <w:lang w:val="es-CR"/>
        </w:rPr>
        <w:t>de Rí</w:t>
      </w:r>
      <w:r w:rsidR="00B43D93" w:rsidRPr="002B4E6D">
        <w:rPr>
          <w:szCs w:val="20"/>
          <w:lang w:val="es-CR"/>
        </w:rPr>
        <w:t xml:space="preserve">o de Janeiro </w:t>
      </w:r>
      <w:r w:rsidRPr="002B4E6D">
        <w:rPr>
          <w:szCs w:val="20"/>
          <w:lang w:val="es-CR"/>
        </w:rPr>
        <w:t>firmó</w:t>
      </w:r>
      <w:r w:rsidR="00B43D93" w:rsidRPr="002B4E6D">
        <w:rPr>
          <w:szCs w:val="20"/>
          <w:lang w:val="es-CR"/>
        </w:rPr>
        <w:t xml:space="preserve"> </w:t>
      </w:r>
      <w:r w:rsidR="00353420" w:rsidRPr="002B4E6D">
        <w:rPr>
          <w:szCs w:val="20"/>
          <w:lang w:val="es-CR"/>
        </w:rPr>
        <w:t xml:space="preserve">un </w:t>
      </w:r>
      <w:r w:rsidRPr="002B4E6D">
        <w:rPr>
          <w:szCs w:val="20"/>
          <w:lang w:val="es-CR"/>
        </w:rPr>
        <w:t>convenio</w:t>
      </w:r>
      <w:r w:rsidR="00B43D93" w:rsidRPr="002B4E6D">
        <w:rPr>
          <w:szCs w:val="20"/>
          <w:lang w:val="es-CR"/>
        </w:rPr>
        <w:t xml:space="preserve"> </w:t>
      </w:r>
      <w:r w:rsidR="00E67F7D" w:rsidRPr="002B4E6D">
        <w:rPr>
          <w:szCs w:val="20"/>
          <w:lang w:val="es-CR"/>
        </w:rPr>
        <w:t>con</w:t>
      </w:r>
      <w:r w:rsidR="00B43D93" w:rsidRPr="002B4E6D">
        <w:rPr>
          <w:szCs w:val="20"/>
          <w:lang w:val="es-CR"/>
        </w:rPr>
        <w:t xml:space="preserve"> </w:t>
      </w:r>
      <w:r w:rsidR="00B153F5" w:rsidRPr="002B4E6D">
        <w:rPr>
          <w:szCs w:val="20"/>
          <w:lang w:val="es-CR"/>
        </w:rPr>
        <w:t>el</w:t>
      </w:r>
      <w:r w:rsidR="00B43D93" w:rsidRPr="002B4E6D">
        <w:rPr>
          <w:szCs w:val="20"/>
          <w:lang w:val="es-CR"/>
        </w:rPr>
        <w:t xml:space="preserve"> DEPEN para </w:t>
      </w:r>
      <w:r w:rsidR="008F5567" w:rsidRPr="002B4E6D">
        <w:rPr>
          <w:szCs w:val="20"/>
          <w:lang w:val="es-CR"/>
        </w:rPr>
        <w:t>l</w:t>
      </w:r>
      <w:r w:rsidR="00B43D93" w:rsidRPr="002B4E6D">
        <w:rPr>
          <w:szCs w:val="20"/>
          <w:lang w:val="es-CR"/>
        </w:rPr>
        <w:t xml:space="preserve">a </w:t>
      </w:r>
      <w:r w:rsidR="00E67F7D" w:rsidRPr="002B4E6D">
        <w:rPr>
          <w:szCs w:val="20"/>
          <w:lang w:val="es-CR"/>
        </w:rPr>
        <w:t>creación</w:t>
      </w:r>
      <w:r w:rsidR="00B43D93" w:rsidRPr="002B4E6D">
        <w:rPr>
          <w:szCs w:val="20"/>
          <w:lang w:val="es-CR"/>
        </w:rPr>
        <w:t xml:space="preserve"> </w:t>
      </w:r>
      <w:r w:rsidR="008F5567" w:rsidRPr="002B4E6D">
        <w:rPr>
          <w:szCs w:val="20"/>
          <w:lang w:val="es-CR"/>
        </w:rPr>
        <w:t>de la</w:t>
      </w:r>
      <w:r w:rsidR="00B43D93" w:rsidRPr="002B4E6D">
        <w:rPr>
          <w:szCs w:val="20"/>
          <w:lang w:val="es-CR"/>
        </w:rPr>
        <w:t xml:space="preserve"> </w:t>
      </w:r>
      <w:r w:rsidRPr="002B4E6D">
        <w:rPr>
          <w:szCs w:val="20"/>
          <w:lang w:val="es-CR"/>
        </w:rPr>
        <w:t>primera</w:t>
      </w:r>
      <w:r w:rsidR="00B43D93" w:rsidRPr="002B4E6D">
        <w:rPr>
          <w:szCs w:val="20"/>
          <w:lang w:val="es-CR"/>
        </w:rPr>
        <w:t xml:space="preserve"> Central de Alternativas Pena</w:t>
      </w:r>
      <w:r w:rsidR="008F5567" w:rsidRPr="002B4E6D">
        <w:rPr>
          <w:szCs w:val="20"/>
          <w:lang w:val="es-CR"/>
        </w:rPr>
        <w:t>le</w:t>
      </w:r>
      <w:r w:rsidR="00B43D93" w:rsidRPr="002B4E6D">
        <w:rPr>
          <w:szCs w:val="20"/>
          <w:lang w:val="es-CR"/>
        </w:rPr>
        <w:t>s.</w:t>
      </w:r>
    </w:p>
    <w:p w14:paraId="20BF3E2C" w14:textId="77777777" w:rsidR="00584AFB" w:rsidRPr="002B4E6D" w:rsidRDefault="00584AFB" w:rsidP="00584AFB">
      <w:pPr>
        <w:pStyle w:val="ListParagraph"/>
        <w:rPr>
          <w:szCs w:val="20"/>
          <w:lang w:val="es-CR"/>
        </w:rPr>
      </w:pPr>
    </w:p>
    <w:p w14:paraId="76E415D8" w14:textId="15ED3A31" w:rsidR="00D727AC" w:rsidRPr="002B4E6D" w:rsidRDefault="008F5567" w:rsidP="00271E64">
      <w:pPr>
        <w:pStyle w:val="ListParagraph"/>
        <w:numPr>
          <w:ilvl w:val="0"/>
          <w:numId w:val="20"/>
        </w:numPr>
        <w:snapToGrid w:val="0"/>
        <w:ind w:left="0" w:firstLine="0"/>
        <w:contextualSpacing w:val="0"/>
        <w:rPr>
          <w:szCs w:val="20"/>
          <w:lang w:val="es-CR"/>
        </w:rPr>
      </w:pPr>
      <w:r w:rsidRPr="002B4E6D">
        <w:rPr>
          <w:szCs w:val="20"/>
          <w:lang w:val="es-CR"/>
        </w:rPr>
        <w:t>El</w:t>
      </w:r>
      <w:r w:rsidR="00584AFB" w:rsidRPr="002B4E6D">
        <w:rPr>
          <w:szCs w:val="20"/>
          <w:lang w:val="es-CR"/>
        </w:rPr>
        <w:t xml:space="preserve"> Estado </w:t>
      </w:r>
      <w:r w:rsidR="00B65220" w:rsidRPr="002B4E6D">
        <w:rPr>
          <w:szCs w:val="20"/>
          <w:lang w:val="es-CR"/>
        </w:rPr>
        <w:t>reconoció</w:t>
      </w:r>
      <w:r w:rsidR="00584AFB" w:rsidRPr="002B4E6D">
        <w:rPr>
          <w:szCs w:val="20"/>
          <w:lang w:val="es-CR"/>
        </w:rPr>
        <w:t xml:space="preserve"> que </w:t>
      </w:r>
      <w:r w:rsidRPr="002B4E6D">
        <w:rPr>
          <w:szCs w:val="20"/>
          <w:lang w:val="es-CR"/>
        </w:rPr>
        <w:t>l</w:t>
      </w:r>
      <w:r w:rsidR="00584AFB" w:rsidRPr="002B4E6D">
        <w:rPr>
          <w:szCs w:val="20"/>
          <w:lang w:val="es-CR"/>
        </w:rPr>
        <w:t xml:space="preserve">a </w:t>
      </w:r>
      <w:r w:rsidRPr="002B4E6D">
        <w:rPr>
          <w:szCs w:val="20"/>
          <w:lang w:val="es-CR"/>
        </w:rPr>
        <w:t>simple</w:t>
      </w:r>
      <w:r w:rsidR="00584AFB" w:rsidRPr="002B4E6D">
        <w:rPr>
          <w:szCs w:val="20"/>
          <w:lang w:val="es-CR"/>
        </w:rPr>
        <w:t xml:space="preserve"> </w:t>
      </w:r>
      <w:r w:rsidR="008367F4" w:rsidRPr="002B4E6D">
        <w:rPr>
          <w:szCs w:val="20"/>
          <w:lang w:val="es-CR"/>
        </w:rPr>
        <w:t>creación</w:t>
      </w:r>
      <w:r w:rsidR="00584AFB" w:rsidRPr="002B4E6D">
        <w:rPr>
          <w:szCs w:val="20"/>
          <w:lang w:val="es-CR"/>
        </w:rPr>
        <w:t xml:space="preserve"> de </w:t>
      </w:r>
      <w:r w:rsidRPr="002B4E6D">
        <w:rPr>
          <w:szCs w:val="20"/>
          <w:lang w:val="es-CR"/>
        </w:rPr>
        <w:t>nuevas</w:t>
      </w:r>
      <w:r w:rsidR="00584AFB" w:rsidRPr="002B4E6D">
        <w:rPr>
          <w:szCs w:val="20"/>
          <w:lang w:val="es-CR"/>
        </w:rPr>
        <w:t xml:space="preserve"> </w:t>
      </w:r>
      <w:r w:rsidR="00ED6186" w:rsidRPr="002B4E6D">
        <w:rPr>
          <w:szCs w:val="20"/>
          <w:lang w:val="es-CR"/>
        </w:rPr>
        <w:t>unidad</w:t>
      </w:r>
      <w:r w:rsidR="00B153F5" w:rsidRPr="002B4E6D">
        <w:rPr>
          <w:szCs w:val="20"/>
          <w:lang w:val="es-CR"/>
        </w:rPr>
        <w:t>e</w:t>
      </w:r>
      <w:r w:rsidR="00584AFB" w:rsidRPr="002B4E6D">
        <w:rPr>
          <w:szCs w:val="20"/>
          <w:lang w:val="es-CR"/>
        </w:rPr>
        <w:t xml:space="preserve">s </w:t>
      </w:r>
      <w:r w:rsidR="002D46A1" w:rsidRPr="002B4E6D">
        <w:rPr>
          <w:szCs w:val="20"/>
          <w:lang w:val="es-CR"/>
        </w:rPr>
        <w:t>penitenciarias</w:t>
      </w:r>
      <w:r w:rsidR="00584AFB" w:rsidRPr="002B4E6D">
        <w:rPr>
          <w:szCs w:val="20"/>
          <w:lang w:val="es-CR"/>
        </w:rPr>
        <w:t xml:space="preserve"> </w:t>
      </w:r>
      <w:r w:rsidRPr="002B4E6D">
        <w:rPr>
          <w:szCs w:val="20"/>
          <w:lang w:val="es-CR"/>
        </w:rPr>
        <w:t>es</w:t>
      </w:r>
      <w:r w:rsidR="00584AFB" w:rsidRPr="002B4E6D">
        <w:rPr>
          <w:szCs w:val="20"/>
          <w:lang w:val="es-CR"/>
        </w:rPr>
        <w:t xml:space="preserve"> </w:t>
      </w:r>
      <w:r w:rsidR="006354DE" w:rsidRPr="002B4E6D">
        <w:rPr>
          <w:szCs w:val="20"/>
          <w:lang w:val="es-CR"/>
        </w:rPr>
        <w:t xml:space="preserve">“incapaz de </w:t>
      </w:r>
      <w:r w:rsidRPr="002B4E6D">
        <w:rPr>
          <w:szCs w:val="20"/>
          <w:lang w:val="es-CR"/>
        </w:rPr>
        <w:t>frenar el</w:t>
      </w:r>
      <w:r w:rsidR="006354DE" w:rsidRPr="002B4E6D">
        <w:rPr>
          <w:szCs w:val="20"/>
          <w:lang w:val="es-CR"/>
        </w:rPr>
        <w:t xml:space="preserve"> ritmo </w:t>
      </w:r>
      <w:r w:rsidRPr="002B4E6D">
        <w:rPr>
          <w:szCs w:val="20"/>
          <w:lang w:val="es-CR"/>
        </w:rPr>
        <w:t>y</w:t>
      </w:r>
      <w:r w:rsidR="006354DE" w:rsidRPr="002B4E6D">
        <w:rPr>
          <w:szCs w:val="20"/>
          <w:lang w:val="es-CR"/>
        </w:rPr>
        <w:t xml:space="preserve"> </w:t>
      </w:r>
      <w:r w:rsidR="008367F4" w:rsidRPr="002B4E6D">
        <w:rPr>
          <w:szCs w:val="20"/>
          <w:lang w:val="es-CR"/>
        </w:rPr>
        <w:t>tendencias</w:t>
      </w:r>
      <w:r w:rsidR="006354DE" w:rsidRPr="002B4E6D">
        <w:rPr>
          <w:szCs w:val="20"/>
          <w:lang w:val="es-CR"/>
        </w:rPr>
        <w:t xml:space="preserve"> de </w:t>
      </w:r>
      <w:r w:rsidRPr="002B4E6D">
        <w:rPr>
          <w:szCs w:val="20"/>
          <w:lang w:val="es-CR"/>
        </w:rPr>
        <w:t>encarcelamiento</w:t>
      </w:r>
      <w:r w:rsidR="006354DE" w:rsidRPr="002B4E6D">
        <w:rPr>
          <w:szCs w:val="20"/>
          <w:lang w:val="es-CR"/>
        </w:rPr>
        <w:t xml:space="preserve">, </w:t>
      </w:r>
      <w:r w:rsidRPr="002B4E6D">
        <w:rPr>
          <w:szCs w:val="20"/>
          <w:lang w:val="es-CR"/>
        </w:rPr>
        <w:t>una</w:t>
      </w:r>
      <w:r w:rsidR="006354DE" w:rsidRPr="002B4E6D">
        <w:rPr>
          <w:szCs w:val="20"/>
          <w:lang w:val="es-CR"/>
        </w:rPr>
        <w:t xml:space="preserve"> vez que </w:t>
      </w:r>
      <w:r w:rsidRPr="002B4E6D">
        <w:rPr>
          <w:szCs w:val="20"/>
          <w:lang w:val="es-CR"/>
        </w:rPr>
        <w:t>l</w:t>
      </w:r>
      <w:r w:rsidR="006354DE" w:rsidRPr="002B4E6D">
        <w:rPr>
          <w:szCs w:val="20"/>
          <w:lang w:val="es-CR"/>
        </w:rPr>
        <w:t xml:space="preserve">a </w:t>
      </w:r>
      <w:r w:rsidR="008367F4" w:rsidRPr="002B4E6D">
        <w:rPr>
          <w:szCs w:val="20"/>
          <w:lang w:val="es-CR"/>
        </w:rPr>
        <w:t>construcción</w:t>
      </w:r>
      <w:r w:rsidR="006354DE" w:rsidRPr="002B4E6D">
        <w:rPr>
          <w:szCs w:val="20"/>
          <w:lang w:val="es-CR"/>
        </w:rPr>
        <w:t xml:space="preserve"> de </w:t>
      </w:r>
      <w:r w:rsidRPr="002B4E6D">
        <w:rPr>
          <w:szCs w:val="20"/>
          <w:lang w:val="es-CR"/>
        </w:rPr>
        <w:t>nuevas</w:t>
      </w:r>
      <w:r w:rsidR="006354DE" w:rsidRPr="002B4E6D">
        <w:rPr>
          <w:szCs w:val="20"/>
          <w:lang w:val="es-CR"/>
        </w:rPr>
        <w:t xml:space="preserve"> </w:t>
      </w:r>
      <w:r w:rsidR="00ED6186" w:rsidRPr="002B4E6D">
        <w:rPr>
          <w:szCs w:val="20"/>
          <w:lang w:val="es-CR"/>
        </w:rPr>
        <w:t>unidad</w:t>
      </w:r>
      <w:r w:rsidR="00B153F5" w:rsidRPr="002B4E6D">
        <w:rPr>
          <w:szCs w:val="20"/>
          <w:lang w:val="es-CR"/>
        </w:rPr>
        <w:t>e</w:t>
      </w:r>
      <w:r w:rsidR="006354DE" w:rsidRPr="002B4E6D">
        <w:rPr>
          <w:szCs w:val="20"/>
          <w:lang w:val="es-CR"/>
        </w:rPr>
        <w:t xml:space="preserve">s, </w:t>
      </w:r>
      <w:r w:rsidRPr="002B4E6D">
        <w:rPr>
          <w:szCs w:val="20"/>
          <w:lang w:val="es-CR"/>
        </w:rPr>
        <w:t>además</w:t>
      </w:r>
      <w:r w:rsidR="006354DE" w:rsidRPr="002B4E6D">
        <w:rPr>
          <w:szCs w:val="20"/>
          <w:lang w:val="es-CR"/>
        </w:rPr>
        <w:t xml:space="preserve"> de </w:t>
      </w:r>
      <w:r w:rsidR="00B153F5" w:rsidRPr="002B4E6D">
        <w:rPr>
          <w:szCs w:val="20"/>
          <w:lang w:val="es-CR"/>
        </w:rPr>
        <w:t>lenta</w:t>
      </w:r>
      <w:r w:rsidR="006354DE" w:rsidRPr="002B4E6D">
        <w:rPr>
          <w:szCs w:val="20"/>
          <w:lang w:val="es-CR"/>
        </w:rPr>
        <w:t xml:space="preserve">, </w:t>
      </w:r>
      <w:r w:rsidRPr="002B4E6D">
        <w:rPr>
          <w:szCs w:val="20"/>
          <w:lang w:val="es-CR"/>
        </w:rPr>
        <w:t>puede</w:t>
      </w:r>
      <w:r w:rsidR="00B153F5" w:rsidRPr="002B4E6D">
        <w:rPr>
          <w:szCs w:val="20"/>
          <w:lang w:val="es-CR"/>
        </w:rPr>
        <w:t xml:space="preserve"> simplemente</w:t>
      </w:r>
      <w:r w:rsidRPr="002B4E6D">
        <w:rPr>
          <w:szCs w:val="20"/>
          <w:lang w:val="es-CR"/>
        </w:rPr>
        <w:t xml:space="preserve"> n</w:t>
      </w:r>
      <w:r w:rsidR="006354DE" w:rsidRPr="002B4E6D">
        <w:rPr>
          <w:szCs w:val="20"/>
          <w:lang w:val="es-CR"/>
        </w:rPr>
        <w:t xml:space="preserve">o ser suficiente para </w:t>
      </w:r>
      <w:r w:rsidR="008367F4" w:rsidRPr="002B4E6D">
        <w:rPr>
          <w:szCs w:val="20"/>
          <w:lang w:val="es-CR"/>
        </w:rPr>
        <w:t>absorber</w:t>
      </w:r>
      <w:r w:rsidR="006354DE" w:rsidRPr="002B4E6D">
        <w:rPr>
          <w:szCs w:val="20"/>
          <w:lang w:val="es-CR"/>
        </w:rPr>
        <w:t xml:space="preserve"> </w:t>
      </w:r>
      <w:r w:rsidRPr="002B4E6D">
        <w:rPr>
          <w:szCs w:val="20"/>
          <w:lang w:val="es-CR"/>
        </w:rPr>
        <w:t>nuevas</w:t>
      </w:r>
      <w:r w:rsidR="006354DE" w:rsidRPr="002B4E6D">
        <w:rPr>
          <w:szCs w:val="20"/>
          <w:lang w:val="es-CR"/>
        </w:rPr>
        <w:t xml:space="preserve"> </w:t>
      </w:r>
      <w:r w:rsidR="008367F4" w:rsidRPr="002B4E6D">
        <w:rPr>
          <w:szCs w:val="20"/>
          <w:lang w:val="es-CR"/>
        </w:rPr>
        <w:t>tendencias</w:t>
      </w:r>
      <w:r w:rsidR="006354DE" w:rsidRPr="002B4E6D">
        <w:rPr>
          <w:szCs w:val="20"/>
          <w:lang w:val="es-CR"/>
        </w:rPr>
        <w:t xml:space="preserve"> de </w:t>
      </w:r>
      <w:r w:rsidR="008367F4" w:rsidRPr="002B4E6D">
        <w:rPr>
          <w:szCs w:val="20"/>
          <w:lang w:val="es-CR"/>
        </w:rPr>
        <w:t>encarcelamiento</w:t>
      </w:r>
      <w:r w:rsidR="006354DE" w:rsidRPr="002B4E6D">
        <w:rPr>
          <w:szCs w:val="20"/>
          <w:lang w:val="es-CR"/>
        </w:rPr>
        <w:t>”</w:t>
      </w:r>
      <w:r w:rsidR="00584AFB" w:rsidRPr="002B4E6D">
        <w:rPr>
          <w:szCs w:val="20"/>
          <w:lang w:val="es-CR"/>
        </w:rPr>
        <w:t>.</w:t>
      </w:r>
      <w:r w:rsidR="00D715AD" w:rsidRPr="002B4E6D">
        <w:rPr>
          <w:rStyle w:val="FootnoteReference"/>
          <w:lang w:val="es-CR"/>
        </w:rPr>
        <w:footnoteReference w:id="10"/>
      </w:r>
      <w:r w:rsidR="00584AFB" w:rsidRPr="002B4E6D">
        <w:rPr>
          <w:szCs w:val="20"/>
          <w:lang w:val="es-CR"/>
        </w:rPr>
        <w:t xml:space="preserve"> </w:t>
      </w:r>
      <w:r w:rsidR="008B49BC" w:rsidRPr="002B4E6D">
        <w:rPr>
          <w:szCs w:val="20"/>
          <w:lang w:val="es-CR"/>
        </w:rPr>
        <w:t xml:space="preserve">Sin embargo, estas </w:t>
      </w:r>
      <w:r w:rsidR="00E67F7D" w:rsidRPr="002B4E6D">
        <w:rPr>
          <w:szCs w:val="20"/>
          <w:lang w:val="es-CR"/>
        </w:rPr>
        <w:t>tendencias</w:t>
      </w:r>
      <w:r w:rsidR="00584AFB" w:rsidRPr="002B4E6D">
        <w:rPr>
          <w:szCs w:val="20"/>
          <w:lang w:val="es-CR"/>
        </w:rPr>
        <w:t xml:space="preserve"> </w:t>
      </w:r>
      <w:r w:rsidR="008367F4" w:rsidRPr="002B4E6D">
        <w:rPr>
          <w:szCs w:val="20"/>
          <w:lang w:val="es-CR"/>
        </w:rPr>
        <w:t>podrían</w:t>
      </w:r>
      <w:r w:rsidR="008B49BC" w:rsidRPr="002B4E6D">
        <w:rPr>
          <w:szCs w:val="20"/>
          <w:lang w:val="es-CR"/>
        </w:rPr>
        <w:t xml:space="preserve"> </w:t>
      </w:r>
      <w:r w:rsidRPr="002B4E6D">
        <w:rPr>
          <w:szCs w:val="20"/>
          <w:lang w:val="es-CR"/>
        </w:rPr>
        <w:t>ser</w:t>
      </w:r>
      <w:r w:rsidR="00584AFB" w:rsidRPr="002B4E6D">
        <w:rPr>
          <w:szCs w:val="20"/>
          <w:lang w:val="es-CR"/>
        </w:rPr>
        <w:t xml:space="preserve"> alteradas por eventua</w:t>
      </w:r>
      <w:r w:rsidRPr="002B4E6D">
        <w:rPr>
          <w:szCs w:val="20"/>
          <w:lang w:val="es-CR"/>
        </w:rPr>
        <w:t>le</w:t>
      </w:r>
      <w:r w:rsidR="00584AFB" w:rsidRPr="002B4E6D">
        <w:rPr>
          <w:szCs w:val="20"/>
          <w:lang w:val="es-CR"/>
        </w:rPr>
        <w:t>s modifica</w:t>
      </w:r>
      <w:r w:rsidR="00945D4E" w:rsidRPr="002B4E6D">
        <w:rPr>
          <w:szCs w:val="20"/>
          <w:lang w:val="es-CR"/>
        </w:rPr>
        <w:t>ciones</w:t>
      </w:r>
      <w:r w:rsidR="00584AFB" w:rsidRPr="002B4E6D">
        <w:rPr>
          <w:szCs w:val="20"/>
          <w:lang w:val="es-CR"/>
        </w:rPr>
        <w:t xml:space="preserve"> legislativas, culturas </w:t>
      </w:r>
      <w:r w:rsidRPr="002B4E6D">
        <w:rPr>
          <w:szCs w:val="20"/>
          <w:lang w:val="es-CR"/>
        </w:rPr>
        <w:t>judiciales</w:t>
      </w:r>
      <w:r w:rsidR="00584AFB" w:rsidRPr="002B4E6D">
        <w:rPr>
          <w:szCs w:val="20"/>
          <w:lang w:val="es-CR"/>
        </w:rPr>
        <w:t xml:space="preserve"> </w:t>
      </w:r>
      <w:r w:rsidRPr="002B4E6D">
        <w:rPr>
          <w:szCs w:val="20"/>
          <w:lang w:val="es-CR"/>
        </w:rPr>
        <w:t>y</w:t>
      </w:r>
      <w:r w:rsidR="00584AFB" w:rsidRPr="002B4E6D">
        <w:rPr>
          <w:szCs w:val="20"/>
          <w:lang w:val="es-CR"/>
        </w:rPr>
        <w:t xml:space="preserve"> clamores populares de natura</w:t>
      </w:r>
      <w:r w:rsidRPr="002B4E6D">
        <w:rPr>
          <w:szCs w:val="20"/>
          <w:lang w:val="es-CR"/>
        </w:rPr>
        <w:t>leza</w:t>
      </w:r>
      <w:r w:rsidR="00584AFB" w:rsidRPr="002B4E6D">
        <w:rPr>
          <w:szCs w:val="20"/>
          <w:lang w:val="es-CR"/>
        </w:rPr>
        <w:t xml:space="preserve"> retributiva </w:t>
      </w:r>
      <w:r w:rsidRPr="002B4E6D">
        <w:rPr>
          <w:szCs w:val="20"/>
          <w:lang w:val="es-CR"/>
        </w:rPr>
        <w:t>y</w:t>
      </w:r>
      <w:r w:rsidR="00584AFB" w:rsidRPr="002B4E6D">
        <w:rPr>
          <w:szCs w:val="20"/>
          <w:lang w:val="es-CR"/>
        </w:rPr>
        <w:t xml:space="preserve"> </w:t>
      </w:r>
      <w:r w:rsidR="0048120F" w:rsidRPr="002B4E6D">
        <w:rPr>
          <w:szCs w:val="20"/>
          <w:lang w:val="es-CR"/>
        </w:rPr>
        <w:t>punitiva</w:t>
      </w:r>
      <w:r w:rsidR="00584AFB" w:rsidRPr="002B4E6D">
        <w:rPr>
          <w:szCs w:val="20"/>
          <w:lang w:val="es-CR"/>
        </w:rPr>
        <w:t>.</w:t>
      </w:r>
      <w:r w:rsidR="00D727AC" w:rsidRPr="002B4E6D">
        <w:rPr>
          <w:szCs w:val="20"/>
          <w:lang w:val="es-CR"/>
        </w:rPr>
        <w:t xml:space="preserve"> </w:t>
      </w:r>
    </w:p>
    <w:p w14:paraId="1B0C1F30" w14:textId="77777777" w:rsidR="00D727AC" w:rsidRPr="002B4E6D" w:rsidRDefault="00D727AC" w:rsidP="001B0184">
      <w:pPr>
        <w:rPr>
          <w:szCs w:val="20"/>
          <w:lang w:val="es-CR"/>
        </w:rPr>
      </w:pPr>
    </w:p>
    <w:p w14:paraId="643A8B71" w14:textId="726CD96A" w:rsidR="004E5F6F" w:rsidRPr="002B4E6D" w:rsidRDefault="00500549" w:rsidP="00D727AC">
      <w:pPr>
        <w:pStyle w:val="ListParagraph"/>
        <w:numPr>
          <w:ilvl w:val="0"/>
          <w:numId w:val="20"/>
        </w:numPr>
        <w:snapToGrid w:val="0"/>
        <w:ind w:left="0" w:firstLine="0"/>
        <w:contextualSpacing w:val="0"/>
        <w:rPr>
          <w:szCs w:val="20"/>
          <w:lang w:val="es-CR"/>
        </w:rPr>
      </w:pPr>
      <w:r w:rsidRPr="002B4E6D">
        <w:rPr>
          <w:szCs w:val="20"/>
          <w:lang w:val="es-CR"/>
        </w:rPr>
        <w:t>Finalmente</w:t>
      </w:r>
      <w:r w:rsidR="00D727AC" w:rsidRPr="002B4E6D">
        <w:rPr>
          <w:szCs w:val="20"/>
          <w:lang w:val="es-CR"/>
        </w:rPr>
        <w:t xml:space="preserve">, </w:t>
      </w:r>
      <w:r w:rsidR="008367F4" w:rsidRPr="002B4E6D">
        <w:rPr>
          <w:szCs w:val="20"/>
          <w:lang w:val="es-CR"/>
        </w:rPr>
        <w:t>consideró</w:t>
      </w:r>
      <w:r w:rsidR="003D41FC" w:rsidRPr="002B4E6D">
        <w:rPr>
          <w:szCs w:val="20"/>
          <w:lang w:val="es-CR"/>
        </w:rPr>
        <w:t xml:space="preserve"> como</w:t>
      </w:r>
      <w:r w:rsidR="00D727AC" w:rsidRPr="002B4E6D">
        <w:rPr>
          <w:szCs w:val="20"/>
          <w:lang w:val="es-CR"/>
        </w:rPr>
        <w:t xml:space="preserve"> relevante e </w:t>
      </w:r>
      <w:r w:rsidR="008367F4" w:rsidRPr="002B4E6D">
        <w:rPr>
          <w:szCs w:val="20"/>
          <w:lang w:val="es-CR"/>
        </w:rPr>
        <w:t>indispensable</w:t>
      </w:r>
      <w:r w:rsidR="00D727AC" w:rsidRPr="002B4E6D">
        <w:rPr>
          <w:szCs w:val="20"/>
          <w:lang w:val="es-CR"/>
        </w:rPr>
        <w:t xml:space="preserve"> </w:t>
      </w:r>
      <w:r w:rsidRPr="002B4E6D">
        <w:rPr>
          <w:szCs w:val="20"/>
          <w:lang w:val="es-CR"/>
        </w:rPr>
        <w:t>l</w:t>
      </w:r>
      <w:r w:rsidR="00D727AC" w:rsidRPr="002B4E6D">
        <w:rPr>
          <w:szCs w:val="20"/>
          <w:lang w:val="es-CR"/>
        </w:rPr>
        <w:t xml:space="preserve">a </w:t>
      </w:r>
      <w:r w:rsidR="0048120F" w:rsidRPr="002B4E6D">
        <w:rPr>
          <w:szCs w:val="20"/>
          <w:lang w:val="es-CR"/>
        </w:rPr>
        <w:t xml:space="preserve">efectiva </w:t>
      </w:r>
      <w:r w:rsidR="008F5567" w:rsidRPr="002B4E6D">
        <w:rPr>
          <w:szCs w:val="20"/>
          <w:lang w:val="es-CR"/>
        </w:rPr>
        <w:t>actuación</w:t>
      </w:r>
      <w:r w:rsidR="00D727AC" w:rsidRPr="002B4E6D">
        <w:rPr>
          <w:szCs w:val="20"/>
          <w:lang w:val="es-CR"/>
        </w:rPr>
        <w:t xml:space="preserve"> </w:t>
      </w:r>
      <w:r w:rsidRPr="002B4E6D">
        <w:rPr>
          <w:szCs w:val="20"/>
          <w:lang w:val="es-CR"/>
        </w:rPr>
        <w:t>del</w:t>
      </w:r>
      <w:r w:rsidR="00D727AC" w:rsidRPr="002B4E6D">
        <w:rPr>
          <w:szCs w:val="20"/>
          <w:lang w:val="es-CR"/>
        </w:rPr>
        <w:t xml:space="preserve"> Poder </w:t>
      </w:r>
      <w:r w:rsidRPr="002B4E6D">
        <w:rPr>
          <w:szCs w:val="20"/>
          <w:lang w:val="es-CR"/>
        </w:rPr>
        <w:t>Judicial</w:t>
      </w:r>
      <w:r w:rsidR="00D727AC" w:rsidRPr="002B4E6D">
        <w:rPr>
          <w:szCs w:val="20"/>
          <w:lang w:val="es-CR"/>
        </w:rPr>
        <w:t xml:space="preserve"> para </w:t>
      </w:r>
      <w:r w:rsidRPr="002B4E6D">
        <w:rPr>
          <w:szCs w:val="20"/>
          <w:lang w:val="es-CR"/>
        </w:rPr>
        <w:t>la</w:t>
      </w:r>
      <w:r w:rsidR="00D727AC" w:rsidRPr="002B4E6D">
        <w:rPr>
          <w:szCs w:val="20"/>
          <w:lang w:val="es-CR"/>
        </w:rPr>
        <w:t xml:space="preserve"> promo</w:t>
      </w:r>
      <w:r w:rsidR="00AA1A37" w:rsidRPr="002B4E6D">
        <w:rPr>
          <w:szCs w:val="20"/>
          <w:lang w:val="es-CR"/>
        </w:rPr>
        <w:t>ción</w:t>
      </w:r>
      <w:r w:rsidR="00D727AC" w:rsidRPr="002B4E6D">
        <w:rPr>
          <w:szCs w:val="20"/>
          <w:lang w:val="es-CR"/>
        </w:rPr>
        <w:t xml:space="preserve"> de </w:t>
      </w:r>
      <w:r w:rsidR="00E67F7D" w:rsidRPr="002B4E6D">
        <w:rPr>
          <w:szCs w:val="20"/>
          <w:lang w:val="es-CR"/>
        </w:rPr>
        <w:t>revisiones</w:t>
      </w:r>
      <w:r w:rsidR="00D727AC" w:rsidRPr="002B4E6D">
        <w:rPr>
          <w:szCs w:val="20"/>
          <w:lang w:val="es-CR"/>
        </w:rPr>
        <w:t xml:space="preserve"> </w:t>
      </w:r>
      <w:r w:rsidRPr="002B4E6D">
        <w:rPr>
          <w:szCs w:val="20"/>
          <w:lang w:val="es-CR"/>
        </w:rPr>
        <w:t>procesales</w:t>
      </w:r>
      <w:r w:rsidR="00D727AC" w:rsidRPr="002B4E6D">
        <w:rPr>
          <w:szCs w:val="20"/>
          <w:lang w:val="es-CR"/>
        </w:rPr>
        <w:t xml:space="preserve"> d</w:t>
      </w:r>
      <w:r w:rsidRPr="002B4E6D">
        <w:rPr>
          <w:szCs w:val="20"/>
          <w:lang w:val="es-CR"/>
        </w:rPr>
        <w:t>e l</w:t>
      </w:r>
      <w:r w:rsidR="00D727AC" w:rsidRPr="002B4E6D">
        <w:rPr>
          <w:szCs w:val="20"/>
          <w:lang w:val="es-CR"/>
        </w:rPr>
        <w:t xml:space="preserve">os internos </w:t>
      </w:r>
      <w:r w:rsidRPr="002B4E6D">
        <w:rPr>
          <w:szCs w:val="20"/>
          <w:lang w:val="es-CR"/>
        </w:rPr>
        <w:t>del</w:t>
      </w:r>
      <w:r w:rsidR="00D727AC" w:rsidRPr="002B4E6D">
        <w:rPr>
          <w:szCs w:val="20"/>
          <w:lang w:val="es-CR"/>
        </w:rPr>
        <w:t xml:space="preserve"> IPPSC, </w:t>
      </w:r>
      <w:r w:rsidR="00635143">
        <w:rPr>
          <w:szCs w:val="20"/>
          <w:lang w:val="es-CR"/>
        </w:rPr>
        <w:t xml:space="preserve">la </w:t>
      </w:r>
      <w:r w:rsidR="00D727AC" w:rsidRPr="002B4E6D">
        <w:rPr>
          <w:szCs w:val="20"/>
          <w:lang w:val="es-CR"/>
        </w:rPr>
        <w:t>ra</w:t>
      </w:r>
      <w:r w:rsidR="003D41FC" w:rsidRPr="002B4E6D">
        <w:rPr>
          <w:szCs w:val="20"/>
          <w:lang w:val="es-CR"/>
        </w:rPr>
        <w:t>cionaliza</w:t>
      </w:r>
      <w:r w:rsidR="00AA1A37" w:rsidRPr="002B4E6D">
        <w:rPr>
          <w:szCs w:val="20"/>
          <w:lang w:val="es-CR"/>
        </w:rPr>
        <w:t>ción</w:t>
      </w:r>
      <w:r w:rsidR="00D727AC" w:rsidRPr="002B4E6D">
        <w:rPr>
          <w:szCs w:val="20"/>
          <w:lang w:val="es-CR"/>
        </w:rPr>
        <w:t xml:space="preserve"> </w:t>
      </w:r>
      <w:r w:rsidRPr="002B4E6D">
        <w:rPr>
          <w:szCs w:val="20"/>
          <w:lang w:val="es-CR"/>
        </w:rPr>
        <w:t>del</w:t>
      </w:r>
      <w:r w:rsidR="00D727AC" w:rsidRPr="002B4E6D">
        <w:rPr>
          <w:szCs w:val="20"/>
          <w:lang w:val="es-CR"/>
        </w:rPr>
        <w:t xml:space="preserve"> total de entradas, </w:t>
      </w:r>
      <w:r w:rsidR="00635143">
        <w:rPr>
          <w:szCs w:val="20"/>
          <w:lang w:val="es-CR"/>
        </w:rPr>
        <w:t xml:space="preserve">la </w:t>
      </w:r>
      <w:r w:rsidR="00D727AC" w:rsidRPr="002B4E6D">
        <w:rPr>
          <w:szCs w:val="20"/>
          <w:lang w:val="es-CR"/>
        </w:rPr>
        <w:t>considera</w:t>
      </w:r>
      <w:r w:rsidR="00AA1A37" w:rsidRPr="002B4E6D">
        <w:rPr>
          <w:szCs w:val="20"/>
          <w:lang w:val="es-CR"/>
        </w:rPr>
        <w:t>ción</w:t>
      </w:r>
      <w:r w:rsidR="00D727AC" w:rsidRPr="002B4E6D">
        <w:rPr>
          <w:szCs w:val="20"/>
          <w:lang w:val="es-CR"/>
        </w:rPr>
        <w:t xml:space="preserve"> </w:t>
      </w:r>
      <w:r w:rsidRPr="002B4E6D">
        <w:rPr>
          <w:szCs w:val="20"/>
          <w:lang w:val="es-CR"/>
        </w:rPr>
        <w:t>de la</w:t>
      </w:r>
      <w:r w:rsidR="00D727AC" w:rsidRPr="002B4E6D">
        <w:rPr>
          <w:szCs w:val="20"/>
          <w:lang w:val="es-CR"/>
        </w:rPr>
        <w:t xml:space="preserve"> </w:t>
      </w:r>
      <w:r w:rsidR="00E67F7D" w:rsidRPr="002B4E6D">
        <w:rPr>
          <w:szCs w:val="20"/>
          <w:lang w:val="es-CR"/>
        </w:rPr>
        <w:t>posibilidad</w:t>
      </w:r>
      <w:r w:rsidR="00D727AC" w:rsidRPr="002B4E6D">
        <w:rPr>
          <w:szCs w:val="20"/>
          <w:lang w:val="es-CR"/>
        </w:rPr>
        <w:t xml:space="preserve"> </w:t>
      </w:r>
      <w:r w:rsidR="003B748F">
        <w:rPr>
          <w:szCs w:val="20"/>
          <w:lang w:val="es-CR"/>
        </w:rPr>
        <w:t xml:space="preserve">de conceder </w:t>
      </w:r>
      <w:r w:rsidR="00B65220" w:rsidRPr="002B4E6D">
        <w:rPr>
          <w:szCs w:val="20"/>
          <w:lang w:val="es-CR"/>
        </w:rPr>
        <w:t>prisión</w:t>
      </w:r>
      <w:r w:rsidR="00D727AC" w:rsidRPr="002B4E6D">
        <w:rPr>
          <w:szCs w:val="20"/>
          <w:lang w:val="es-CR"/>
        </w:rPr>
        <w:t xml:space="preserve"> domiciliar</w:t>
      </w:r>
      <w:r w:rsidRPr="002B4E6D">
        <w:rPr>
          <w:szCs w:val="20"/>
          <w:lang w:val="es-CR"/>
        </w:rPr>
        <w:t>ia</w:t>
      </w:r>
      <w:r w:rsidR="003D41FC" w:rsidRPr="002B4E6D">
        <w:rPr>
          <w:szCs w:val="20"/>
          <w:lang w:val="es-CR"/>
        </w:rPr>
        <w:t xml:space="preserve"> </w:t>
      </w:r>
      <w:r w:rsidRPr="002B4E6D">
        <w:rPr>
          <w:szCs w:val="20"/>
          <w:lang w:val="es-CR"/>
        </w:rPr>
        <w:t>y</w:t>
      </w:r>
      <w:r w:rsidR="00D727AC" w:rsidRPr="002B4E6D">
        <w:rPr>
          <w:szCs w:val="20"/>
          <w:lang w:val="es-CR"/>
        </w:rPr>
        <w:t xml:space="preserve"> </w:t>
      </w:r>
      <w:r w:rsidR="00635143">
        <w:rPr>
          <w:szCs w:val="20"/>
          <w:lang w:val="es-CR"/>
        </w:rPr>
        <w:t xml:space="preserve">la </w:t>
      </w:r>
      <w:r w:rsidR="00D727AC" w:rsidRPr="002B4E6D">
        <w:rPr>
          <w:szCs w:val="20"/>
          <w:lang w:val="es-CR"/>
        </w:rPr>
        <w:t>aplica</w:t>
      </w:r>
      <w:r w:rsidR="00AA1A37" w:rsidRPr="002B4E6D">
        <w:rPr>
          <w:szCs w:val="20"/>
          <w:lang w:val="es-CR"/>
        </w:rPr>
        <w:t>ción</w:t>
      </w:r>
      <w:r w:rsidR="00D727AC" w:rsidRPr="002B4E6D">
        <w:rPr>
          <w:szCs w:val="20"/>
          <w:lang w:val="es-CR"/>
        </w:rPr>
        <w:t xml:space="preserve"> de penas </w:t>
      </w:r>
      <w:r w:rsidRPr="002B4E6D">
        <w:rPr>
          <w:szCs w:val="20"/>
          <w:lang w:val="es-CR"/>
        </w:rPr>
        <w:t>y</w:t>
      </w:r>
      <w:r w:rsidR="00D727AC" w:rsidRPr="002B4E6D">
        <w:rPr>
          <w:szCs w:val="20"/>
          <w:lang w:val="es-CR"/>
        </w:rPr>
        <w:t xml:space="preserve"> medidas alternativas.</w:t>
      </w:r>
    </w:p>
    <w:p w14:paraId="2B0EBF74" w14:textId="77777777" w:rsidR="00A17BE1" w:rsidRPr="002B4E6D" w:rsidRDefault="00A17BE1" w:rsidP="006D31D9">
      <w:pPr>
        <w:pStyle w:val="ListParagraph"/>
        <w:snapToGrid w:val="0"/>
        <w:ind w:left="0"/>
        <w:contextualSpacing w:val="0"/>
        <w:rPr>
          <w:szCs w:val="20"/>
          <w:lang w:val="es-CR"/>
        </w:rPr>
      </w:pPr>
    </w:p>
    <w:p w14:paraId="607EBB35" w14:textId="50DED89B" w:rsidR="00E92E37" w:rsidRPr="002B4E6D" w:rsidRDefault="00500549" w:rsidP="006D31D9">
      <w:pPr>
        <w:pStyle w:val="ListParagraph"/>
        <w:numPr>
          <w:ilvl w:val="0"/>
          <w:numId w:val="20"/>
        </w:numPr>
        <w:snapToGrid w:val="0"/>
        <w:ind w:left="0" w:firstLine="0"/>
        <w:contextualSpacing w:val="0"/>
        <w:rPr>
          <w:szCs w:val="20"/>
          <w:lang w:val="es-CR"/>
        </w:rPr>
      </w:pPr>
      <w:r w:rsidRPr="002B4E6D">
        <w:rPr>
          <w:szCs w:val="20"/>
          <w:lang w:val="es-CR"/>
        </w:rPr>
        <w:t>Los</w:t>
      </w:r>
      <w:r w:rsidR="000F6E3B" w:rsidRPr="002B4E6D">
        <w:rPr>
          <w:szCs w:val="20"/>
          <w:lang w:val="es-CR"/>
        </w:rPr>
        <w:t xml:space="preserve"> </w:t>
      </w:r>
      <w:r w:rsidR="00C035D8" w:rsidRPr="002B4E6D">
        <w:rPr>
          <w:b/>
          <w:i/>
          <w:szCs w:val="20"/>
          <w:lang w:val="es-CR"/>
        </w:rPr>
        <w:t>r</w:t>
      </w:r>
      <w:r w:rsidR="000F6E3B" w:rsidRPr="002B4E6D">
        <w:rPr>
          <w:b/>
          <w:i/>
          <w:szCs w:val="20"/>
          <w:lang w:val="es-CR"/>
        </w:rPr>
        <w:t>epresentantes</w:t>
      </w:r>
      <w:r w:rsidR="00101970" w:rsidRPr="002B4E6D">
        <w:rPr>
          <w:szCs w:val="20"/>
          <w:lang w:val="es-CR"/>
        </w:rPr>
        <w:t xml:space="preserve"> </w:t>
      </w:r>
      <w:r w:rsidR="00ED2260" w:rsidRPr="002B4E6D">
        <w:rPr>
          <w:szCs w:val="20"/>
          <w:lang w:val="es-CR"/>
        </w:rPr>
        <w:t>d</w:t>
      </w:r>
      <w:r w:rsidRPr="002B4E6D">
        <w:rPr>
          <w:szCs w:val="20"/>
          <w:lang w:val="es-CR"/>
        </w:rPr>
        <w:t>e l</w:t>
      </w:r>
      <w:r w:rsidR="00ED2260" w:rsidRPr="002B4E6D">
        <w:rPr>
          <w:szCs w:val="20"/>
          <w:lang w:val="es-CR"/>
        </w:rPr>
        <w:t xml:space="preserve">os </w:t>
      </w:r>
      <w:r w:rsidR="00E67F7D" w:rsidRPr="002B4E6D">
        <w:rPr>
          <w:szCs w:val="20"/>
          <w:lang w:val="es-CR"/>
        </w:rPr>
        <w:t>beneficiarios</w:t>
      </w:r>
      <w:r w:rsidR="00ED2260" w:rsidRPr="002B4E6D">
        <w:rPr>
          <w:szCs w:val="20"/>
          <w:lang w:val="es-CR"/>
        </w:rPr>
        <w:t xml:space="preserve"> </w:t>
      </w:r>
      <w:r w:rsidRPr="002B4E6D">
        <w:rPr>
          <w:szCs w:val="20"/>
          <w:lang w:val="es-CR"/>
        </w:rPr>
        <w:t>criticaron</w:t>
      </w:r>
      <w:r w:rsidR="00E92E37" w:rsidRPr="002B4E6D">
        <w:rPr>
          <w:szCs w:val="20"/>
          <w:lang w:val="es-CR"/>
        </w:rPr>
        <w:t xml:space="preserve"> </w:t>
      </w:r>
      <w:r w:rsidRPr="002B4E6D">
        <w:rPr>
          <w:szCs w:val="20"/>
          <w:lang w:val="es-CR"/>
        </w:rPr>
        <w:t>l</w:t>
      </w:r>
      <w:r w:rsidR="00E92E37" w:rsidRPr="002B4E6D">
        <w:rPr>
          <w:szCs w:val="20"/>
          <w:lang w:val="es-CR"/>
        </w:rPr>
        <w:t xml:space="preserve">a </w:t>
      </w:r>
      <w:r w:rsidRPr="002B4E6D">
        <w:rPr>
          <w:szCs w:val="20"/>
          <w:lang w:val="es-CR"/>
        </w:rPr>
        <w:t>decisión</w:t>
      </w:r>
      <w:r w:rsidR="00E92E37" w:rsidRPr="002B4E6D">
        <w:rPr>
          <w:szCs w:val="20"/>
          <w:lang w:val="es-CR"/>
        </w:rPr>
        <w:t xml:space="preserve"> </w:t>
      </w:r>
      <w:r w:rsidRPr="002B4E6D">
        <w:rPr>
          <w:szCs w:val="20"/>
          <w:lang w:val="es-CR"/>
        </w:rPr>
        <w:t>del</w:t>
      </w:r>
      <w:r w:rsidR="00E92E37" w:rsidRPr="002B4E6D">
        <w:rPr>
          <w:szCs w:val="20"/>
          <w:lang w:val="es-CR"/>
        </w:rPr>
        <w:t xml:space="preserve"> Estado </w:t>
      </w:r>
      <w:r w:rsidR="007F6E37" w:rsidRPr="002B4E6D">
        <w:rPr>
          <w:szCs w:val="20"/>
          <w:lang w:val="es-CR"/>
        </w:rPr>
        <w:t xml:space="preserve">de tratar, </w:t>
      </w:r>
      <w:r w:rsidRPr="002B4E6D">
        <w:rPr>
          <w:szCs w:val="20"/>
          <w:lang w:val="es-CR"/>
        </w:rPr>
        <w:t>en</w:t>
      </w:r>
      <w:r w:rsidR="007F6E37" w:rsidRPr="002B4E6D">
        <w:rPr>
          <w:szCs w:val="20"/>
          <w:lang w:val="es-CR"/>
        </w:rPr>
        <w:t xml:space="preserve"> </w:t>
      </w:r>
      <w:r w:rsidRPr="002B4E6D">
        <w:rPr>
          <w:szCs w:val="20"/>
          <w:lang w:val="es-CR"/>
        </w:rPr>
        <w:t>sus</w:t>
      </w:r>
      <w:r w:rsidR="007F6E37" w:rsidRPr="002B4E6D">
        <w:rPr>
          <w:szCs w:val="20"/>
          <w:lang w:val="es-CR"/>
        </w:rPr>
        <w:t xml:space="preserve"> </w:t>
      </w:r>
      <w:r w:rsidR="00AA1A37" w:rsidRPr="002B4E6D">
        <w:rPr>
          <w:szCs w:val="20"/>
          <w:lang w:val="es-CR"/>
        </w:rPr>
        <w:t>informes</w:t>
      </w:r>
      <w:r w:rsidR="007F6E37" w:rsidRPr="002B4E6D">
        <w:rPr>
          <w:szCs w:val="20"/>
          <w:lang w:val="es-CR"/>
        </w:rPr>
        <w:t xml:space="preserve">, </w:t>
      </w:r>
      <w:r w:rsidRPr="002B4E6D">
        <w:rPr>
          <w:szCs w:val="20"/>
          <w:lang w:val="es-CR"/>
        </w:rPr>
        <w:t>el</w:t>
      </w:r>
      <w:r w:rsidR="007F6E37" w:rsidRPr="002B4E6D">
        <w:rPr>
          <w:szCs w:val="20"/>
          <w:lang w:val="es-CR"/>
        </w:rPr>
        <w:t xml:space="preserve"> sistema </w:t>
      </w:r>
      <w:r w:rsidR="008833DE" w:rsidRPr="002B4E6D">
        <w:rPr>
          <w:szCs w:val="20"/>
          <w:lang w:val="es-CR"/>
        </w:rPr>
        <w:t>penitenciario</w:t>
      </w:r>
      <w:r w:rsidR="007F6E37" w:rsidRPr="002B4E6D">
        <w:rPr>
          <w:szCs w:val="20"/>
          <w:lang w:val="es-CR"/>
        </w:rPr>
        <w:t xml:space="preserve"> </w:t>
      </w:r>
      <w:r w:rsidR="00286306">
        <w:rPr>
          <w:szCs w:val="20"/>
          <w:lang w:val="es-CR"/>
        </w:rPr>
        <w:t>de R</w:t>
      </w:r>
      <w:r w:rsidR="00E4427D">
        <w:rPr>
          <w:szCs w:val="20"/>
          <w:lang w:val="es-CR"/>
        </w:rPr>
        <w:t>í</w:t>
      </w:r>
      <w:r w:rsidR="00286306">
        <w:rPr>
          <w:szCs w:val="20"/>
          <w:lang w:val="es-CR"/>
        </w:rPr>
        <w:t>o de Janeiro</w:t>
      </w:r>
      <w:r w:rsidR="00286306" w:rsidRPr="002B4E6D">
        <w:rPr>
          <w:szCs w:val="20"/>
          <w:lang w:val="es-CR"/>
        </w:rPr>
        <w:t xml:space="preserve"> </w:t>
      </w:r>
      <w:r w:rsidR="007F6E37" w:rsidRPr="002B4E6D">
        <w:rPr>
          <w:szCs w:val="20"/>
          <w:lang w:val="es-CR"/>
        </w:rPr>
        <w:t xml:space="preserve">como </w:t>
      </w:r>
      <w:r w:rsidRPr="002B4E6D">
        <w:rPr>
          <w:szCs w:val="20"/>
          <w:lang w:val="es-CR"/>
        </w:rPr>
        <w:t>un</w:t>
      </w:r>
      <w:r w:rsidR="007F6E37" w:rsidRPr="002B4E6D">
        <w:rPr>
          <w:szCs w:val="20"/>
          <w:lang w:val="es-CR"/>
        </w:rPr>
        <w:t xml:space="preserve"> todo, </w:t>
      </w:r>
      <w:r w:rsidR="0048120F" w:rsidRPr="002B4E6D">
        <w:rPr>
          <w:szCs w:val="20"/>
          <w:lang w:val="es-CR"/>
        </w:rPr>
        <w:t>en lugar</w:t>
      </w:r>
      <w:r w:rsidR="007F6E37" w:rsidRPr="002B4E6D">
        <w:rPr>
          <w:szCs w:val="20"/>
          <w:lang w:val="es-CR"/>
        </w:rPr>
        <w:t xml:space="preserve"> de</w:t>
      </w:r>
      <w:r w:rsidR="00E92E37" w:rsidRPr="002B4E6D">
        <w:rPr>
          <w:szCs w:val="20"/>
          <w:lang w:val="es-CR"/>
        </w:rPr>
        <w:t xml:space="preserve"> </w:t>
      </w:r>
      <w:r w:rsidR="007F6E37" w:rsidRPr="002B4E6D">
        <w:rPr>
          <w:szCs w:val="20"/>
          <w:lang w:val="es-CR"/>
        </w:rPr>
        <w:t>reportar</w:t>
      </w:r>
      <w:r w:rsidR="00E92E37" w:rsidRPr="002B4E6D">
        <w:rPr>
          <w:szCs w:val="20"/>
          <w:lang w:val="es-CR"/>
        </w:rPr>
        <w:t xml:space="preserve"> </w:t>
      </w:r>
      <w:r w:rsidRPr="002B4E6D">
        <w:rPr>
          <w:szCs w:val="20"/>
          <w:lang w:val="es-CR"/>
        </w:rPr>
        <w:t>l</w:t>
      </w:r>
      <w:r w:rsidR="007F6E37" w:rsidRPr="002B4E6D">
        <w:rPr>
          <w:szCs w:val="20"/>
          <w:lang w:val="es-CR"/>
        </w:rPr>
        <w:t>a situa</w:t>
      </w:r>
      <w:r w:rsidR="00AA1A37" w:rsidRPr="002B4E6D">
        <w:rPr>
          <w:szCs w:val="20"/>
          <w:lang w:val="es-CR"/>
        </w:rPr>
        <w:t>ción</w:t>
      </w:r>
      <w:r w:rsidR="007F6E37" w:rsidRPr="002B4E6D">
        <w:rPr>
          <w:szCs w:val="20"/>
          <w:lang w:val="es-CR"/>
        </w:rPr>
        <w:t xml:space="preserve"> específica </w:t>
      </w:r>
      <w:r w:rsidRPr="002B4E6D">
        <w:rPr>
          <w:szCs w:val="20"/>
          <w:lang w:val="es-CR"/>
        </w:rPr>
        <w:t>del</w:t>
      </w:r>
      <w:r w:rsidR="007F6E37" w:rsidRPr="002B4E6D">
        <w:rPr>
          <w:szCs w:val="20"/>
          <w:lang w:val="es-CR"/>
        </w:rPr>
        <w:t xml:space="preserve"> IPPSC</w:t>
      </w:r>
      <w:r w:rsidR="00E92E37" w:rsidRPr="002B4E6D">
        <w:rPr>
          <w:szCs w:val="20"/>
          <w:lang w:val="es-CR"/>
        </w:rPr>
        <w:t xml:space="preserve">. </w:t>
      </w:r>
      <w:r w:rsidRPr="002B4E6D">
        <w:rPr>
          <w:szCs w:val="20"/>
          <w:lang w:val="es-CR"/>
        </w:rPr>
        <w:t>Afirmaron</w:t>
      </w:r>
      <w:r w:rsidR="00E92E37" w:rsidRPr="002B4E6D">
        <w:rPr>
          <w:szCs w:val="20"/>
          <w:lang w:val="es-CR"/>
        </w:rPr>
        <w:t xml:space="preserve"> que se trata de </w:t>
      </w:r>
      <w:r w:rsidRPr="002B4E6D">
        <w:rPr>
          <w:szCs w:val="20"/>
          <w:lang w:val="es-CR"/>
        </w:rPr>
        <w:t xml:space="preserve">una </w:t>
      </w:r>
      <w:r w:rsidR="008833DE" w:rsidRPr="002B4E6D">
        <w:rPr>
          <w:szCs w:val="20"/>
          <w:lang w:val="es-CR"/>
        </w:rPr>
        <w:t>estrategia</w:t>
      </w:r>
      <w:r w:rsidR="007F4481" w:rsidRPr="002B4E6D">
        <w:rPr>
          <w:szCs w:val="20"/>
          <w:lang w:val="es-CR"/>
        </w:rPr>
        <w:t xml:space="preserve"> utilizada </w:t>
      </w:r>
      <w:r w:rsidRPr="002B4E6D">
        <w:rPr>
          <w:szCs w:val="20"/>
          <w:lang w:val="es-CR"/>
        </w:rPr>
        <w:t>a la</w:t>
      </w:r>
      <w:r w:rsidR="007F4481" w:rsidRPr="002B4E6D">
        <w:rPr>
          <w:szCs w:val="20"/>
          <w:lang w:val="es-CR"/>
        </w:rPr>
        <w:t xml:space="preserve"> luz </w:t>
      </w:r>
      <w:r w:rsidRPr="002B4E6D">
        <w:rPr>
          <w:szCs w:val="20"/>
          <w:lang w:val="es-CR"/>
        </w:rPr>
        <w:t>de la</w:t>
      </w:r>
      <w:r w:rsidR="007F4481" w:rsidRPr="002B4E6D">
        <w:rPr>
          <w:szCs w:val="20"/>
          <w:lang w:val="es-CR"/>
        </w:rPr>
        <w:t xml:space="preserve"> completa </w:t>
      </w:r>
      <w:r w:rsidRPr="002B4E6D">
        <w:rPr>
          <w:szCs w:val="20"/>
          <w:lang w:val="es-CR"/>
        </w:rPr>
        <w:t>omisión</w:t>
      </w:r>
      <w:r w:rsidR="007F4481" w:rsidRPr="002B4E6D">
        <w:rPr>
          <w:szCs w:val="20"/>
          <w:lang w:val="es-CR"/>
        </w:rPr>
        <w:t xml:space="preserve"> </w:t>
      </w:r>
      <w:r w:rsidRPr="002B4E6D">
        <w:rPr>
          <w:szCs w:val="20"/>
          <w:lang w:val="es-CR"/>
        </w:rPr>
        <w:t>del</w:t>
      </w:r>
      <w:r w:rsidR="007F4481" w:rsidRPr="002B4E6D">
        <w:rPr>
          <w:szCs w:val="20"/>
          <w:lang w:val="es-CR"/>
        </w:rPr>
        <w:t xml:space="preserve"> Estado </w:t>
      </w:r>
      <w:r w:rsidR="0048120F" w:rsidRPr="002B4E6D">
        <w:rPr>
          <w:szCs w:val="20"/>
          <w:lang w:val="es-CR"/>
        </w:rPr>
        <w:t>de</w:t>
      </w:r>
      <w:r w:rsidR="007F4481" w:rsidRPr="002B4E6D">
        <w:rPr>
          <w:szCs w:val="20"/>
          <w:lang w:val="es-CR"/>
        </w:rPr>
        <w:t xml:space="preserve"> </w:t>
      </w:r>
      <w:r w:rsidR="008833DE" w:rsidRPr="002B4E6D">
        <w:rPr>
          <w:szCs w:val="20"/>
          <w:lang w:val="es-CR"/>
        </w:rPr>
        <w:t>cumplir</w:t>
      </w:r>
      <w:r w:rsidR="007F4481" w:rsidRPr="002B4E6D">
        <w:rPr>
          <w:szCs w:val="20"/>
          <w:lang w:val="es-CR"/>
        </w:rPr>
        <w:t xml:space="preserve"> </w:t>
      </w:r>
      <w:r w:rsidRPr="002B4E6D">
        <w:rPr>
          <w:szCs w:val="20"/>
          <w:lang w:val="es-CR"/>
        </w:rPr>
        <w:t>con</w:t>
      </w:r>
      <w:r w:rsidR="007F4481" w:rsidRPr="002B4E6D">
        <w:rPr>
          <w:szCs w:val="20"/>
          <w:lang w:val="es-CR"/>
        </w:rPr>
        <w:t xml:space="preserve"> </w:t>
      </w:r>
      <w:r w:rsidRPr="002B4E6D">
        <w:rPr>
          <w:szCs w:val="20"/>
          <w:lang w:val="es-CR"/>
        </w:rPr>
        <w:t>las</w:t>
      </w:r>
      <w:r w:rsidR="007F4481" w:rsidRPr="002B4E6D">
        <w:rPr>
          <w:szCs w:val="20"/>
          <w:lang w:val="es-CR"/>
        </w:rPr>
        <w:t xml:space="preserve"> medidas </w:t>
      </w:r>
      <w:r w:rsidR="00945D4E" w:rsidRPr="002B4E6D">
        <w:rPr>
          <w:szCs w:val="20"/>
          <w:lang w:val="es-CR"/>
        </w:rPr>
        <w:t>provisionales</w:t>
      </w:r>
      <w:r w:rsidR="002336F5" w:rsidRPr="002B4E6D">
        <w:rPr>
          <w:szCs w:val="20"/>
          <w:lang w:val="es-CR"/>
        </w:rPr>
        <w:t xml:space="preserve"> ordenadas </w:t>
      </w:r>
      <w:r w:rsidRPr="002B4E6D">
        <w:rPr>
          <w:szCs w:val="20"/>
          <w:lang w:val="es-CR"/>
        </w:rPr>
        <w:t>por la</w:t>
      </w:r>
      <w:r w:rsidR="002336F5" w:rsidRPr="002B4E6D">
        <w:rPr>
          <w:szCs w:val="20"/>
          <w:lang w:val="es-CR"/>
        </w:rPr>
        <w:t xml:space="preserve"> Corte</w:t>
      </w:r>
      <w:r w:rsidR="007F4481" w:rsidRPr="002B4E6D">
        <w:rPr>
          <w:szCs w:val="20"/>
          <w:lang w:val="es-CR"/>
        </w:rPr>
        <w:t xml:space="preserve">. </w:t>
      </w:r>
    </w:p>
    <w:p w14:paraId="614CF102" w14:textId="77777777" w:rsidR="00E92E37" w:rsidRPr="002B4E6D" w:rsidRDefault="00E92E37" w:rsidP="00E92E37">
      <w:pPr>
        <w:pStyle w:val="ListParagraph"/>
        <w:snapToGrid w:val="0"/>
        <w:ind w:left="0"/>
        <w:contextualSpacing w:val="0"/>
        <w:rPr>
          <w:szCs w:val="20"/>
          <w:lang w:val="es-CR"/>
        </w:rPr>
      </w:pPr>
    </w:p>
    <w:p w14:paraId="6D1445B8" w14:textId="10288735" w:rsidR="00E92E37" w:rsidRPr="002B4E6D" w:rsidRDefault="00500549" w:rsidP="000144A6">
      <w:pPr>
        <w:pStyle w:val="ListParagraph"/>
        <w:numPr>
          <w:ilvl w:val="0"/>
          <w:numId w:val="20"/>
        </w:numPr>
        <w:snapToGrid w:val="0"/>
        <w:ind w:left="0" w:firstLine="0"/>
        <w:contextualSpacing w:val="0"/>
        <w:rPr>
          <w:szCs w:val="20"/>
          <w:lang w:val="es-CR"/>
        </w:rPr>
      </w:pPr>
      <w:r w:rsidRPr="002B4E6D">
        <w:rPr>
          <w:szCs w:val="20"/>
          <w:lang w:val="es-CR"/>
        </w:rPr>
        <w:t>Afirmaron</w:t>
      </w:r>
      <w:r w:rsidR="000F48D1" w:rsidRPr="002B4E6D">
        <w:rPr>
          <w:szCs w:val="20"/>
          <w:lang w:val="es-CR"/>
        </w:rPr>
        <w:t xml:space="preserve"> que </w:t>
      </w:r>
      <w:r w:rsidRPr="002B4E6D">
        <w:rPr>
          <w:szCs w:val="20"/>
          <w:lang w:val="es-CR"/>
        </w:rPr>
        <w:t>l</w:t>
      </w:r>
      <w:r w:rsidR="000F48D1" w:rsidRPr="002B4E6D">
        <w:rPr>
          <w:szCs w:val="20"/>
          <w:lang w:val="es-CR"/>
        </w:rPr>
        <w:t>a situa</w:t>
      </w:r>
      <w:r w:rsidR="00AA1A37" w:rsidRPr="002B4E6D">
        <w:rPr>
          <w:szCs w:val="20"/>
          <w:lang w:val="es-CR"/>
        </w:rPr>
        <w:t>ción</w:t>
      </w:r>
      <w:r w:rsidR="000F48D1" w:rsidRPr="002B4E6D">
        <w:rPr>
          <w:szCs w:val="20"/>
          <w:lang w:val="es-CR"/>
        </w:rPr>
        <w:t xml:space="preserve"> de</w:t>
      </w:r>
      <w:r w:rsidR="0048120F" w:rsidRPr="002B4E6D">
        <w:rPr>
          <w:szCs w:val="20"/>
          <w:lang w:val="es-CR"/>
        </w:rPr>
        <w:t>l</w:t>
      </w:r>
      <w:r w:rsidR="000F48D1" w:rsidRPr="002B4E6D">
        <w:rPr>
          <w:szCs w:val="20"/>
          <w:lang w:val="es-CR"/>
        </w:rPr>
        <w:t xml:space="preserve"> </w:t>
      </w:r>
      <w:r w:rsidR="00945D4E" w:rsidRPr="002B4E6D">
        <w:rPr>
          <w:szCs w:val="20"/>
          <w:lang w:val="es-CR"/>
        </w:rPr>
        <w:t xml:space="preserve">hacinamiento </w:t>
      </w:r>
      <w:r w:rsidR="0048120F" w:rsidRPr="002B4E6D">
        <w:rPr>
          <w:szCs w:val="20"/>
          <w:lang w:val="es-CR"/>
        </w:rPr>
        <w:t>carcelario</w:t>
      </w:r>
      <w:r w:rsidR="000F48D1" w:rsidRPr="002B4E6D">
        <w:rPr>
          <w:szCs w:val="20"/>
          <w:lang w:val="es-CR"/>
        </w:rPr>
        <w:t xml:space="preserve"> está </w:t>
      </w:r>
      <w:r w:rsidRPr="002B4E6D">
        <w:rPr>
          <w:szCs w:val="20"/>
          <w:lang w:val="es-CR"/>
        </w:rPr>
        <w:t>agravándose</w:t>
      </w:r>
      <w:r w:rsidR="000F48D1" w:rsidRPr="002B4E6D">
        <w:rPr>
          <w:szCs w:val="20"/>
          <w:lang w:val="es-CR"/>
        </w:rPr>
        <w:t xml:space="preserve"> paulatinamente </w:t>
      </w:r>
      <w:r w:rsidRPr="002B4E6D">
        <w:rPr>
          <w:szCs w:val="20"/>
          <w:lang w:val="es-CR"/>
        </w:rPr>
        <w:t>en el</w:t>
      </w:r>
      <w:r w:rsidR="00E92E37" w:rsidRPr="002B4E6D">
        <w:rPr>
          <w:szCs w:val="20"/>
          <w:lang w:val="es-CR"/>
        </w:rPr>
        <w:t xml:space="preserve"> IPPSC.</w:t>
      </w:r>
      <w:r w:rsidR="000F48D1" w:rsidRPr="002B4E6D">
        <w:rPr>
          <w:szCs w:val="20"/>
          <w:lang w:val="es-CR"/>
        </w:rPr>
        <w:t xml:space="preserve"> </w:t>
      </w:r>
      <w:r w:rsidR="008833DE" w:rsidRPr="002B4E6D">
        <w:rPr>
          <w:szCs w:val="20"/>
          <w:lang w:val="es-CR"/>
        </w:rPr>
        <w:t>E</w:t>
      </w:r>
      <w:r w:rsidRPr="002B4E6D">
        <w:rPr>
          <w:szCs w:val="20"/>
          <w:lang w:val="es-CR"/>
        </w:rPr>
        <w:t>l</w:t>
      </w:r>
      <w:r w:rsidR="00E92E37" w:rsidRPr="002B4E6D">
        <w:rPr>
          <w:szCs w:val="20"/>
          <w:lang w:val="es-CR"/>
        </w:rPr>
        <w:t xml:space="preserve"> 1 de </w:t>
      </w:r>
      <w:r w:rsidR="008833DE" w:rsidRPr="002B4E6D">
        <w:rPr>
          <w:szCs w:val="20"/>
          <w:lang w:val="es-CR"/>
        </w:rPr>
        <w:t>febrero</w:t>
      </w:r>
      <w:r w:rsidR="00E92E37" w:rsidRPr="002B4E6D">
        <w:rPr>
          <w:szCs w:val="20"/>
          <w:lang w:val="es-CR"/>
        </w:rPr>
        <w:t xml:space="preserve"> de 2018, </w:t>
      </w:r>
      <w:r w:rsidRPr="002B4E6D">
        <w:rPr>
          <w:szCs w:val="20"/>
          <w:lang w:val="es-CR"/>
        </w:rPr>
        <w:t>l</w:t>
      </w:r>
      <w:r w:rsidR="00E92E37" w:rsidRPr="002B4E6D">
        <w:rPr>
          <w:szCs w:val="20"/>
          <w:lang w:val="es-CR"/>
        </w:rPr>
        <w:t xml:space="preserve">a </w:t>
      </w:r>
      <w:r w:rsidR="007B78BA" w:rsidRPr="002B4E6D">
        <w:rPr>
          <w:szCs w:val="20"/>
          <w:lang w:val="es-CR"/>
        </w:rPr>
        <w:t>población</w:t>
      </w:r>
      <w:r w:rsidR="00E92E37" w:rsidRPr="002B4E6D">
        <w:rPr>
          <w:szCs w:val="20"/>
          <w:lang w:val="es-CR"/>
        </w:rPr>
        <w:t xml:space="preserve"> </w:t>
      </w:r>
      <w:r w:rsidR="009D0749" w:rsidRPr="002B4E6D">
        <w:rPr>
          <w:szCs w:val="20"/>
          <w:lang w:val="es-CR"/>
        </w:rPr>
        <w:t>carcelaria</w:t>
      </w:r>
      <w:r w:rsidR="00E92E37" w:rsidRPr="002B4E6D">
        <w:rPr>
          <w:szCs w:val="20"/>
          <w:lang w:val="es-CR"/>
        </w:rPr>
        <w:t xml:space="preserve"> </w:t>
      </w:r>
      <w:r w:rsidR="000144A6" w:rsidRPr="002B4E6D">
        <w:rPr>
          <w:szCs w:val="20"/>
          <w:lang w:val="es-CR"/>
        </w:rPr>
        <w:t>era</w:t>
      </w:r>
      <w:r w:rsidR="00E92E37" w:rsidRPr="002B4E6D">
        <w:rPr>
          <w:szCs w:val="20"/>
          <w:lang w:val="es-CR"/>
        </w:rPr>
        <w:t xml:space="preserve"> </w:t>
      </w:r>
      <w:r w:rsidR="000144A6" w:rsidRPr="002B4E6D">
        <w:rPr>
          <w:szCs w:val="20"/>
          <w:lang w:val="es-CR"/>
        </w:rPr>
        <w:t xml:space="preserve">de </w:t>
      </w:r>
      <w:r w:rsidR="00E92E37" w:rsidRPr="002B4E6D">
        <w:rPr>
          <w:szCs w:val="20"/>
          <w:lang w:val="es-CR"/>
        </w:rPr>
        <w:t>3.634</w:t>
      </w:r>
      <w:r w:rsidR="000144A6" w:rsidRPr="002B4E6D">
        <w:rPr>
          <w:szCs w:val="20"/>
          <w:lang w:val="es-CR"/>
        </w:rPr>
        <w:t xml:space="preserve"> </w:t>
      </w:r>
      <w:r w:rsidR="000D1815" w:rsidRPr="002B4E6D">
        <w:rPr>
          <w:szCs w:val="20"/>
          <w:lang w:val="es-CR"/>
        </w:rPr>
        <w:t>detenidos</w:t>
      </w:r>
      <w:r w:rsidR="000144A6" w:rsidRPr="002B4E6D">
        <w:rPr>
          <w:szCs w:val="20"/>
          <w:lang w:val="es-CR"/>
        </w:rPr>
        <w:t xml:space="preserve">, </w:t>
      </w:r>
      <w:r w:rsidRPr="002B4E6D">
        <w:rPr>
          <w:szCs w:val="20"/>
          <w:lang w:val="es-CR"/>
        </w:rPr>
        <w:t>es decir</w:t>
      </w:r>
      <w:r w:rsidR="000144A6" w:rsidRPr="002B4E6D">
        <w:rPr>
          <w:szCs w:val="20"/>
          <w:lang w:val="es-CR"/>
        </w:rPr>
        <w:t>,</w:t>
      </w:r>
      <w:r w:rsidR="00E92E37" w:rsidRPr="002B4E6D">
        <w:rPr>
          <w:szCs w:val="20"/>
          <w:lang w:val="es-CR"/>
        </w:rPr>
        <w:t xml:space="preserve"> 1.935</w:t>
      </w:r>
      <w:r w:rsidR="000144A6" w:rsidRPr="002B4E6D">
        <w:rPr>
          <w:szCs w:val="20"/>
          <w:lang w:val="es-CR"/>
        </w:rPr>
        <w:t xml:space="preserve"> </w:t>
      </w:r>
      <w:r w:rsidR="000D1815" w:rsidRPr="002B4E6D">
        <w:rPr>
          <w:szCs w:val="20"/>
          <w:lang w:val="es-CR"/>
        </w:rPr>
        <w:t>detenidos</w:t>
      </w:r>
      <w:r w:rsidR="000144A6" w:rsidRPr="002B4E6D">
        <w:rPr>
          <w:szCs w:val="20"/>
          <w:lang w:val="es-CR"/>
        </w:rPr>
        <w:t xml:space="preserve"> </w:t>
      </w:r>
      <w:r w:rsidRPr="002B4E6D">
        <w:rPr>
          <w:szCs w:val="20"/>
          <w:lang w:val="es-CR"/>
        </w:rPr>
        <w:t>más</w:t>
      </w:r>
      <w:r w:rsidR="000144A6" w:rsidRPr="002B4E6D">
        <w:rPr>
          <w:szCs w:val="20"/>
          <w:lang w:val="es-CR"/>
        </w:rPr>
        <w:t xml:space="preserve"> </w:t>
      </w:r>
      <w:r w:rsidRPr="002B4E6D">
        <w:rPr>
          <w:szCs w:val="20"/>
          <w:lang w:val="es-CR"/>
        </w:rPr>
        <w:t>que la</w:t>
      </w:r>
      <w:r w:rsidR="000144A6" w:rsidRPr="002B4E6D">
        <w:rPr>
          <w:szCs w:val="20"/>
          <w:lang w:val="es-CR"/>
        </w:rPr>
        <w:t xml:space="preserve"> </w:t>
      </w:r>
      <w:r w:rsidRPr="002B4E6D">
        <w:rPr>
          <w:szCs w:val="20"/>
          <w:lang w:val="es-CR"/>
        </w:rPr>
        <w:t>cantidad</w:t>
      </w:r>
      <w:r w:rsidR="000144A6" w:rsidRPr="002B4E6D">
        <w:rPr>
          <w:szCs w:val="20"/>
          <w:lang w:val="es-CR"/>
        </w:rPr>
        <w:t xml:space="preserve"> de </w:t>
      </w:r>
      <w:r w:rsidR="0048120F" w:rsidRPr="002B4E6D">
        <w:rPr>
          <w:szCs w:val="20"/>
          <w:lang w:val="es-CR"/>
        </w:rPr>
        <w:t>plazas</w:t>
      </w:r>
      <w:r w:rsidR="000144A6" w:rsidRPr="002B4E6D">
        <w:rPr>
          <w:szCs w:val="20"/>
          <w:lang w:val="es-CR"/>
        </w:rPr>
        <w:t xml:space="preserve"> </w:t>
      </w:r>
      <w:r w:rsidRPr="002B4E6D">
        <w:rPr>
          <w:szCs w:val="20"/>
          <w:lang w:val="es-CR"/>
        </w:rPr>
        <w:t>del</w:t>
      </w:r>
      <w:r w:rsidR="000144A6" w:rsidRPr="002B4E6D">
        <w:rPr>
          <w:szCs w:val="20"/>
          <w:lang w:val="es-CR"/>
        </w:rPr>
        <w:t xml:space="preserve"> IPPSC</w:t>
      </w:r>
      <w:r w:rsidR="006004CF" w:rsidRPr="002B4E6D">
        <w:rPr>
          <w:szCs w:val="20"/>
          <w:lang w:val="es-CR"/>
        </w:rPr>
        <w:t xml:space="preserve">. </w:t>
      </w:r>
      <w:r w:rsidR="009D0749" w:rsidRPr="002B4E6D">
        <w:rPr>
          <w:szCs w:val="20"/>
          <w:lang w:val="es-CR"/>
        </w:rPr>
        <w:t>E</w:t>
      </w:r>
      <w:r w:rsidRPr="002B4E6D">
        <w:rPr>
          <w:szCs w:val="20"/>
          <w:lang w:val="es-CR"/>
        </w:rPr>
        <w:t>l</w:t>
      </w:r>
      <w:r w:rsidR="006004CF" w:rsidRPr="002B4E6D">
        <w:rPr>
          <w:szCs w:val="20"/>
          <w:lang w:val="es-CR"/>
        </w:rPr>
        <w:t xml:space="preserve"> </w:t>
      </w:r>
      <w:r w:rsidR="00E92E37" w:rsidRPr="002B4E6D">
        <w:rPr>
          <w:szCs w:val="20"/>
          <w:lang w:val="es-CR"/>
        </w:rPr>
        <w:t>6 de mar</w:t>
      </w:r>
      <w:r w:rsidR="009D0749" w:rsidRPr="002B4E6D">
        <w:rPr>
          <w:szCs w:val="20"/>
          <w:lang w:val="es-CR"/>
        </w:rPr>
        <w:t>z</w:t>
      </w:r>
      <w:r w:rsidR="00E92E37" w:rsidRPr="002B4E6D">
        <w:rPr>
          <w:szCs w:val="20"/>
          <w:lang w:val="es-CR"/>
        </w:rPr>
        <w:t xml:space="preserve">o de 2018, </w:t>
      </w:r>
      <w:r w:rsidRPr="002B4E6D">
        <w:rPr>
          <w:szCs w:val="20"/>
          <w:lang w:val="es-CR"/>
        </w:rPr>
        <w:t>l</w:t>
      </w:r>
      <w:r w:rsidR="000144A6" w:rsidRPr="002B4E6D">
        <w:rPr>
          <w:szCs w:val="20"/>
          <w:lang w:val="es-CR"/>
        </w:rPr>
        <w:t xml:space="preserve">a </w:t>
      </w:r>
      <w:r w:rsidR="007B78BA" w:rsidRPr="002B4E6D">
        <w:rPr>
          <w:szCs w:val="20"/>
          <w:lang w:val="es-CR"/>
        </w:rPr>
        <w:t>población</w:t>
      </w:r>
      <w:r w:rsidR="000144A6" w:rsidRPr="002B4E6D">
        <w:rPr>
          <w:szCs w:val="20"/>
          <w:lang w:val="es-CR"/>
        </w:rPr>
        <w:t xml:space="preserve"> </w:t>
      </w:r>
      <w:r w:rsidRPr="002B4E6D">
        <w:rPr>
          <w:szCs w:val="20"/>
          <w:lang w:val="es-CR"/>
        </w:rPr>
        <w:t>del</w:t>
      </w:r>
      <w:r w:rsidR="000144A6" w:rsidRPr="002B4E6D">
        <w:rPr>
          <w:szCs w:val="20"/>
          <w:lang w:val="es-CR"/>
        </w:rPr>
        <w:t xml:space="preserve"> IPPSC </w:t>
      </w:r>
      <w:r w:rsidR="008833DE" w:rsidRPr="002B4E6D">
        <w:rPr>
          <w:szCs w:val="20"/>
          <w:lang w:val="es-CR"/>
        </w:rPr>
        <w:t>había</w:t>
      </w:r>
      <w:r w:rsidR="000144A6" w:rsidRPr="002B4E6D">
        <w:rPr>
          <w:szCs w:val="20"/>
          <w:lang w:val="es-CR"/>
        </w:rPr>
        <w:t xml:space="preserve"> aumentado </w:t>
      </w:r>
      <w:r w:rsidR="009D0749" w:rsidRPr="002B4E6D">
        <w:rPr>
          <w:szCs w:val="20"/>
          <w:lang w:val="es-CR"/>
        </w:rPr>
        <w:t>nuevamente</w:t>
      </w:r>
      <w:r w:rsidR="000144A6" w:rsidRPr="002B4E6D">
        <w:rPr>
          <w:szCs w:val="20"/>
          <w:lang w:val="es-CR"/>
        </w:rPr>
        <w:t xml:space="preserve">, </w:t>
      </w:r>
      <w:r w:rsidR="00ED6186" w:rsidRPr="002B4E6D">
        <w:rPr>
          <w:szCs w:val="20"/>
          <w:lang w:val="es-CR"/>
        </w:rPr>
        <w:t>contando</w:t>
      </w:r>
      <w:r w:rsidR="009620AB" w:rsidRPr="002B4E6D">
        <w:rPr>
          <w:szCs w:val="20"/>
          <w:lang w:val="es-CR"/>
        </w:rPr>
        <w:t xml:space="preserve"> </w:t>
      </w:r>
      <w:r w:rsidR="009D0749" w:rsidRPr="002B4E6D">
        <w:rPr>
          <w:szCs w:val="20"/>
          <w:lang w:val="es-CR"/>
        </w:rPr>
        <w:t>ahora</w:t>
      </w:r>
      <w:r w:rsidR="000144A6" w:rsidRPr="002B4E6D">
        <w:rPr>
          <w:szCs w:val="20"/>
          <w:lang w:val="es-CR"/>
        </w:rPr>
        <w:t xml:space="preserve"> </w:t>
      </w:r>
      <w:r w:rsidR="009D0749" w:rsidRPr="002B4E6D">
        <w:rPr>
          <w:szCs w:val="20"/>
          <w:lang w:val="es-CR"/>
        </w:rPr>
        <w:t>con</w:t>
      </w:r>
      <w:r w:rsidR="00E92E37" w:rsidRPr="002B4E6D">
        <w:rPr>
          <w:szCs w:val="20"/>
          <w:lang w:val="es-CR"/>
        </w:rPr>
        <w:t xml:space="preserve"> 3.766 </w:t>
      </w:r>
      <w:r w:rsidR="000D1815" w:rsidRPr="002B4E6D">
        <w:rPr>
          <w:szCs w:val="20"/>
          <w:lang w:val="es-CR"/>
        </w:rPr>
        <w:t>detenidos</w:t>
      </w:r>
      <w:r w:rsidR="000144A6" w:rsidRPr="002B4E6D">
        <w:rPr>
          <w:szCs w:val="20"/>
          <w:lang w:val="es-CR"/>
        </w:rPr>
        <w:t xml:space="preserve">, </w:t>
      </w:r>
      <w:r w:rsidR="00401093" w:rsidRPr="002B4E6D">
        <w:rPr>
          <w:szCs w:val="20"/>
          <w:lang w:val="es-CR"/>
        </w:rPr>
        <w:t>l</w:t>
      </w:r>
      <w:r w:rsidR="000144A6" w:rsidRPr="002B4E6D">
        <w:rPr>
          <w:szCs w:val="20"/>
          <w:lang w:val="es-CR"/>
        </w:rPr>
        <w:t xml:space="preserve">o que significa </w:t>
      </w:r>
      <w:r w:rsidR="00E92E37" w:rsidRPr="002B4E6D">
        <w:rPr>
          <w:szCs w:val="20"/>
          <w:lang w:val="es-CR"/>
        </w:rPr>
        <w:t>2.067</w:t>
      </w:r>
      <w:r w:rsidR="000144A6" w:rsidRPr="002B4E6D">
        <w:rPr>
          <w:szCs w:val="20"/>
          <w:lang w:val="es-CR"/>
        </w:rPr>
        <w:t xml:space="preserve"> </w:t>
      </w:r>
      <w:r w:rsidR="000D1815" w:rsidRPr="002B4E6D">
        <w:rPr>
          <w:szCs w:val="20"/>
          <w:lang w:val="es-CR"/>
        </w:rPr>
        <w:t>detenidos</w:t>
      </w:r>
      <w:r w:rsidR="000144A6" w:rsidRPr="002B4E6D">
        <w:rPr>
          <w:szCs w:val="20"/>
          <w:lang w:val="es-CR"/>
        </w:rPr>
        <w:t xml:space="preserve"> </w:t>
      </w:r>
      <w:r w:rsidR="006022F3" w:rsidRPr="002B4E6D">
        <w:rPr>
          <w:szCs w:val="20"/>
          <w:lang w:val="es-CR"/>
        </w:rPr>
        <w:t>de</w:t>
      </w:r>
      <w:r w:rsidR="00635143">
        <w:rPr>
          <w:szCs w:val="20"/>
          <w:lang w:val="es-CR"/>
        </w:rPr>
        <w:t xml:space="preserve"> </w:t>
      </w:r>
      <w:r w:rsidR="006022F3" w:rsidRPr="002B4E6D">
        <w:rPr>
          <w:szCs w:val="20"/>
          <w:lang w:val="es-CR"/>
        </w:rPr>
        <w:t xml:space="preserve">más </w:t>
      </w:r>
      <w:r w:rsidR="00635143">
        <w:rPr>
          <w:szCs w:val="20"/>
          <w:lang w:val="es-CR"/>
        </w:rPr>
        <w:t xml:space="preserve">en relación con </w:t>
      </w:r>
      <w:r w:rsidR="00401093" w:rsidRPr="002B4E6D">
        <w:rPr>
          <w:szCs w:val="20"/>
          <w:lang w:val="es-CR"/>
        </w:rPr>
        <w:t>el</w:t>
      </w:r>
      <w:r w:rsidR="000144A6" w:rsidRPr="002B4E6D">
        <w:rPr>
          <w:szCs w:val="20"/>
          <w:lang w:val="es-CR"/>
        </w:rPr>
        <w:t xml:space="preserve"> número de </w:t>
      </w:r>
      <w:r w:rsidR="0048120F" w:rsidRPr="002B4E6D">
        <w:rPr>
          <w:szCs w:val="20"/>
          <w:lang w:val="es-CR"/>
        </w:rPr>
        <w:t>plazas</w:t>
      </w:r>
      <w:r w:rsidR="000144A6" w:rsidRPr="002B4E6D">
        <w:rPr>
          <w:szCs w:val="20"/>
          <w:lang w:val="es-CR"/>
        </w:rPr>
        <w:t xml:space="preserve"> </w:t>
      </w:r>
      <w:r w:rsidR="00401093" w:rsidRPr="002B4E6D">
        <w:rPr>
          <w:szCs w:val="20"/>
          <w:lang w:val="es-CR"/>
        </w:rPr>
        <w:t>del</w:t>
      </w:r>
      <w:r w:rsidR="000144A6" w:rsidRPr="002B4E6D">
        <w:rPr>
          <w:szCs w:val="20"/>
          <w:lang w:val="es-CR"/>
        </w:rPr>
        <w:t xml:space="preserve"> </w:t>
      </w:r>
      <w:r w:rsidR="008833DE" w:rsidRPr="002B4E6D">
        <w:rPr>
          <w:szCs w:val="20"/>
          <w:lang w:val="es-CR"/>
        </w:rPr>
        <w:t>estabelecimiento</w:t>
      </w:r>
      <w:r w:rsidR="00E92E37" w:rsidRPr="002B4E6D">
        <w:rPr>
          <w:szCs w:val="20"/>
          <w:lang w:val="es-CR"/>
        </w:rPr>
        <w:t>.</w:t>
      </w:r>
      <w:r w:rsidR="00AB5A69" w:rsidRPr="002B4E6D">
        <w:rPr>
          <w:szCs w:val="20"/>
          <w:lang w:val="es-CR"/>
        </w:rPr>
        <w:t xml:space="preserve"> </w:t>
      </w:r>
    </w:p>
    <w:p w14:paraId="49EA2CC4" w14:textId="77777777" w:rsidR="00EE62DA" w:rsidRPr="002B4E6D" w:rsidRDefault="00EE62DA" w:rsidP="00EE62DA">
      <w:pPr>
        <w:pStyle w:val="ListParagraph"/>
        <w:snapToGrid w:val="0"/>
        <w:ind w:left="0"/>
        <w:contextualSpacing w:val="0"/>
        <w:rPr>
          <w:szCs w:val="20"/>
          <w:lang w:val="es-CR"/>
        </w:rPr>
      </w:pPr>
    </w:p>
    <w:p w14:paraId="2BF9E623" w14:textId="62A525EE" w:rsidR="003E74C0" w:rsidRPr="002B4E6D" w:rsidRDefault="00401093" w:rsidP="005B2EB5">
      <w:pPr>
        <w:pStyle w:val="ListParagraph"/>
        <w:numPr>
          <w:ilvl w:val="0"/>
          <w:numId w:val="20"/>
        </w:numPr>
        <w:snapToGrid w:val="0"/>
        <w:ind w:left="0" w:firstLine="0"/>
        <w:contextualSpacing w:val="0"/>
        <w:rPr>
          <w:szCs w:val="20"/>
          <w:lang w:val="es-CR"/>
        </w:rPr>
      </w:pPr>
      <w:r w:rsidRPr="002B4E6D">
        <w:rPr>
          <w:szCs w:val="20"/>
          <w:lang w:val="es-CR"/>
        </w:rPr>
        <w:lastRenderedPageBreak/>
        <w:t>Los</w:t>
      </w:r>
      <w:r w:rsidR="004F1581" w:rsidRPr="002B4E6D">
        <w:rPr>
          <w:szCs w:val="20"/>
          <w:lang w:val="es-CR"/>
        </w:rPr>
        <w:t xml:space="preserve"> representantes </w:t>
      </w:r>
      <w:r w:rsidRPr="002B4E6D">
        <w:rPr>
          <w:szCs w:val="20"/>
          <w:lang w:val="es-CR"/>
        </w:rPr>
        <w:t>destacaron</w:t>
      </w:r>
      <w:r w:rsidR="003E74C0" w:rsidRPr="002B4E6D">
        <w:rPr>
          <w:szCs w:val="20"/>
          <w:lang w:val="es-CR"/>
        </w:rPr>
        <w:t xml:space="preserve"> </w:t>
      </w:r>
      <w:r w:rsidRPr="002B4E6D">
        <w:rPr>
          <w:szCs w:val="20"/>
          <w:lang w:val="es-CR"/>
        </w:rPr>
        <w:t>el</w:t>
      </w:r>
      <w:r w:rsidR="003E74C0" w:rsidRPr="002B4E6D">
        <w:rPr>
          <w:szCs w:val="20"/>
          <w:lang w:val="es-CR"/>
        </w:rPr>
        <w:t xml:space="preserve"> </w:t>
      </w:r>
      <w:r w:rsidRPr="002B4E6D">
        <w:rPr>
          <w:szCs w:val="20"/>
          <w:lang w:val="es-CR"/>
        </w:rPr>
        <w:t>hecho</w:t>
      </w:r>
      <w:r w:rsidR="003E74C0" w:rsidRPr="002B4E6D">
        <w:rPr>
          <w:szCs w:val="20"/>
          <w:lang w:val="es-CR"/>
        </w:rPr>
        <w:t xml:space="preserve"> de que </w:t>
      </w:r>
      <w:r w:rsidRPr="002B4E6D">
        <w:rPr>
          <w:szCs w:val="20"/>
          <w:lang w:val="es-CR"/>
        </w:rPr>
        <w:t>el</w:t>
      </w:r>
      <w:r w:rsidR="003E74C0" w:rsidRPr="002B4E6D">
        <w:rPr>
          <w:szCs w:val="20"/>
          <w:lang w:val="es-CR"/>
        </w:rPr>
        <w:t xml:space="preserve"> número de </w:t>
      </w:r>
      <w:r w:rsidR="001E620D">
        <w:rPr>
          <w:szCs w:val="20"/>
          <w:lang w:val="es-CR"/>
        </w:rPr>
        <w:t>individuos que ingresan</w:t>
      </w:r>
      <w:r w:rsidR="001E620D" w:rsidRPr="002B4E6D">
        <w:rPr>
          <w:szCs w:val="20"/>
          <w:lang w:val="es-CR"/>
        </w:rPr>
        <w:t xml:space="preserve"> </w:t>
      </w:r>
      <w:r w:rsidRPr="002B4E6D">
        <w:rPr>
          <w:szCs w:val="20"/>
          <w:lang w:val="es-CR"/>
        </w:rPr>
        <w:t>en la</w:t>
      </w:r>
      <w:r w:rsidR="003E74C0" w:rsidRPr="002B4E6D">
        <w:rPr>
          <w:szCs w:val="20"/>
          <w:lang w:val="es-CR"/>
        </w:rPr>
        <w:t xml:space="preserve"> </w:t>
      </w:r>
      <w:r w:rsidRPr="002B4E6D">
        <w:rPr>
          <w:szCs w:val="20"/>
          <w:lang w:val="es-CR"/>
        </w:rPr>
        <w:t>unidad</w:t>
      </w:r>
      <w:r w:rsidR="003E74C0" w:rsidRPr="002B4E6D">
        <w:rPr>
          <w:szCs w:val="20"/>
          <w:lang w:val="es-CR"/>
        </w:rPr>
        <w:t xml:space="preserve"> </w:t>
      </w:r>
      <w:r w:rsidR="00031269" w:rsidRPr="002B4E6D">
        <w:rPr>
          <w:szCs w:val="20"/>
          <w:lang w:val="es-CR"/>
        </w:rPr>
        <w:t>carcelari</w:t>
      </w:r>
      <w:r w:rsidRPr="002B4E6D">
        <w:rPr>
          <w:szCs w:val="20"/>
          <w:lang w:val="es-CR"/>
        </w:rPr>
        <w:t>a</w:t>
      </w:r>
      <w:r w:rsidR="003E74C0" w:rsidRPr="002B4E6D">
        <w:rPr>
          <w:szCs w:val="20"/>
          <w:lang w:val="es-CR"/>
        </w:rPr>
        <w:t xml:space="preserve"> </w:t>
      </w:r>
      <w:r w:rsidRPr="002B4E6D">
        <w:rPr>
          <w:szCs w:val="20"/>
          <w:lang w:val="es-CR"/>
        </w:rPr>
        <w:t>es</w:t>
      </w:r>
      <w:r w:rsidR="003E74C0" w:rsidRPr="002B4E6D">
        <w:rPr>
          <w:szCs w:val="20"/>
          <w:lang w:val="es-CR"/>
        </w:rPr>
        <w:t xml:space="preserve"> </w:t>
      </w:r>
      <w:r w:rsidR="009D0749" w:rsidRPr="002B4E6D">
        <w:rPr>
          <w:szCs w:val="20"/>
          <w:lang w:val="es-CR"/>
        </w:rPr>
        <w:t>mayor</w:t>
      </w:r>
      <w:r w:rsidR="003E74C0" w:rsidRPr="002B4E6D">
        <w:rPr>
          <w:szCs w:val="20"/>
          <w:lang w:val="es-CR"/>
        </w:rPr>
        <w:t xml:space="preserve"> </w:t>
      </w:r>
      <w:r w:rsidRPr="002B4E6D">
        <w:rPr>
          <w:szCs w:val="20"/>
          <w:lang w:val="es-CR"/>
        </w:rPr>
        <w:t>que el</w:t>
      </w:r>
      <w:r w:rsidR="003E74C0" w:rsidRPr="002B4E6D">
        <w:rPr>
          <w:szCs w:val="20"/>
          <w:lang w:val="es-CR"/>
        </w:rPr>
        <w:t xml:space="preserve"> número de </w:t>
      </w:r>
      <w:r w:rsidR="00AA1A37" w:rsidRPr="002B4E6D">
        <w:rPr>
          <w:szCs w:val="20"/>
          <w:lang w:val="es-CR"/>
        </w:rPr>
        <w:t>personas</w:t>
      </w:r>
      <w:r w:rsidR="003E74C0" w:rsidRPr="002B4E6D">
        <w:rPr>
          <w:szCs w:val="20"/>
          <w:lang w:val="es-CR"/>
        </w:rPr>
        <w:t xml:space="preserve"> que </w:t>
      </w:r>
      <w:r w:rsidRPr="002B4E6D">
        <w:rPr>
          <w:szCs w:val="20"/>
          <w:lang w:val="es-CR"/>
        </w:rPr>
        <w:t>l</w:t>
      </w:r>
      <w:r w:rsidR="003E74C0" w:rsidRPr="002B4E6D">
        <w:rPr>
          <w:szCs w:val="20"/>
          <w:lang w:val="es-CR"/>
        </w:rPr>
        <w:t xml:space="preserve">a </w:t>
      </w:r>
      <w:r w:rsidRPr="002B4E6D">
        <w:rPr>
          <w:szCs w:val="20"/>
          <w:lang w:val="es-CR"/>
        </w:rPr>
        <w:t>dejan</w:t>
      </w:r>
      <w:r w:rsidR="003E74C0" w:rsidRPr="002B4E6D">
        <w:rPr>
          <w:szCs w:val="20"/>
          <w:lang w:val="es-CR"/>
        </w:rPr>
        <w:t xml:space="preserve">. </w:t>
      </w:r>
      <w:r w:rsidR="009D0749" w:rsidRPr="002B4E6D">
        <w:rPr>
          <w:szCs w:val="20"/>
          <w:lang w:val="es-CR"/>
        </w:rPr>
        <w:t>Afirmaron</w:t>
      </w:r>
      <w:r w:rsidR="003E74C0" w:rsidRPr="002B4E6D">
        <w:rPr>
          <w:szCs w:val="20"/>
          <w:lang w:val="es-CR"/>
        </w:rPr>
        <w:t xml:space="preserve"> que, </w:t>
      </w:r>
      <w:r w:rsidR="0072104C" w:rsidRPr="002B4E6D">
        <w:rPr>
          <w:szCs w:val="20"/>
          <w:lang w:val="es-CR"/>
        </w:rPr>
        <w:t xml:space="preserve">en </w:t>
      </w:r>
      <w:r w:rsidR="003E74C0" w:rsidRPr="002B4E6D">
        <w:rPr>
          <w:szCs w:val="20"/>
          <w:lang w:val="es-CR"/>
        </w:rPr>
        <w:t>caso</w:t>
      </w:r>
      <w:r w:rsidR="0072104C" w:rsidRPr="002B4E6D">
        <w:rPr>
          <w:szCs w:val="20"/>
          <w:lang w:val="es-CR"/>
        </w:rPr>
        <w:t xml:space="preserve"> de que</w:t>
      </w:r>
      <w:r w:rsidR="003E74C0" w:rsidRPr="002B4E6D">
        <w:rPr>
          <w:szCs w:val="20"/>
          <w:lang w:val="es-CR"/>
        </w:rPr>
        <w:t xml:space="preserve"> </w:t>
      </w:r>
      <w:r w:rsidR="009D0749" w:rsidRPr="002B4E6D">
        <w:rPr>
          <w:szCs w:val="20"/>
          <w:lang w:val="es-CR"/>
        </w:rPr>
        <w:t>esa</w:t>
      </w:r>
      <w:r w:rsidR="003E74C0" w:rsidRPr="002B4E6D">
        <w:rPr>
          <w:szCs w:val="20"/>
          <w:lang w:val="es-CR"/>
        </w:rPr>
        <w:t xml:space="preserve"> </w:t>
      </w:r>
      <w:r w:rsidR="008833DE" w:rsidRPr="002B4E6D">
        <w:rPr>
          <w:szCs w:val="20"/>
          <w:lang w:val="es-CR"/>
        </w:rPr>
        <w:t>tendencia</w:t>
      </w:r>
      <w:r w:rsidR="003E74C0" w:rsidRPr="002B4E6D">
        <w:rPr>
          <w:szCs w:val="20"/>
          <w:lang w:val="es-CR"/>
        </w:rPr>
        <w:t xml:space="preserve"> </w:t>
      </w:r>
      <w:r w:rsidR="009D0749" w:rsidRPr="002B4E6D">
        <w:rPr>
          <w:szCs w:val="20"/>
          <w:lang w:val="es-CR"/>
        </w:rPr>
        <w:t>sea</w:t>
      </w:r>
      <w:r w:rsidR="003E74C0" w:rsidRPr="002B4E6D">
        <w:rPr>
          <w:szCs w:val="20"/>
          <w:lang w:val="es-CR"/>
        </w:rPr>
        <w:t xml:space="preserve"> mant</w:t>
      </w:r>
      <w:r w:rsidR="009D0749" w:rsidRPr="002B4E6D">
        <w:rPr>
          <w:szCs w:val="20"/>
          <w:lang w:val="es-CR"/>
        </w:rPr>
        <w:t>en</w:t>
      </w:r>
      <w:r w:rsidR="003E74C0" w:rsidRPr="002B4E6D">
        <w:rPr>
          <w:szCs w:val="20"/>
          <w:lang w:val="es-CR"/>
        </w:rPr>
        <w:t xml:space="preserve">ida, </w:t>
      </w:r>
      <w:r w:rsidRPr="002B4E6D">
        <w:rPr>
          <w:szCs w:val="20"/>
          <w:lang w:val="es-CR"/>
        </w:rPr>
        <w:t>jamás</w:t>
      </w:r>
      <w:r w:rsidR="003E74C0" w:rsidRPr="002B4E6D">
        <w:rPr>
          <w:szCs w:val="20"/>
          <w:lang w:val="es-CR"/>
        </w:rPr>
        <w:t xml:space="preserve"> será </w:t>
      </w:r>
      <w:r w:rsidRPr="002B4E6D">
        <w:rPr>
          <w:szCs w:val="20"/>
          <w:lang w:val="es-CR"/>
        </w:rPr>
        <w:t>alcanzada</w:t>
      </w:r>
      <w:r w:rsidR="003E74C0" w:rsidRPr="002B4E6D">
        <w:rPr>
          <w:szCs w:val="20"/>
          <w:lang w:val="es-CR"/>
        </w:rPr>
        <w:t xml:space="preserve"> </w:t>
      </w:r>
      <w:r w:rsidRPr="002B4E6D">
        <w:rPr>
          <w:szCs w:val="20"/>
          <w:lang w:val="es-CR"/>
        </w:rPr>
        <w:t>l</w:t>
      </w:r>
      <w:r w:rsidR="003E74C0" w:rsidRPr="002B4E6D">
        <w:rPr>
          <w:szCs w:val="20"/>
          <w:lang w:val="es-CR"/>
        </w:rPr>
        <w:t xml:space="preserve">a </w:t>
      </w:r>
      <w:r w:rsidR="008833DE" w:rsidRPr="002B4E6D">
        <w:rPr>
          <w:szCs w:val="20"/>
          <w:lang w:val="es-CR"/>
        </w:rPr>
        <w:t>capacidad</w:t>
      </w:r>
      <w:r w:rsidR="003E74C0" w:rsidRPr="002B4E6D">
        <w:rPr>
          <w:szCs w:val="20"/>
          <w:lang w:val="es-CR"/>
        </w:rPr>
        <w:t xml:space="preserve"> ocupacional máxima </w:t>
      </w:r>
      <w:r w:rsidRPr="002B4E6D">
        <w:rPr>
          <w:szCs w:val="20"/>
          <w:lang w:val="es-CR"/>
        </w:rPr>
        <w:t>del</w:t>
      </w:r>
      <w:r w:rsidR="003E74C0" w:rsidRPr="002B4E6D">
        <w:rPr>
          <w:szCs w:val="20"/>
          <w:lang w:val="es-CR"/>
        </w:rPr>
        <w:t xml:space="preserve"> IPPSC</w:t>
      </w:r>
      <w:r w:rsidR="000144A6" w:rsidRPr="002B4E6D">
        <w:rPr>
          <w:szCs w:val="20"/>
          <w:lang w:val="es-CR"/>
        </w:rPr>
        <w:t xml:space="preserve"> de 1</w:t>
      </w:r>
      <w:r w:rsidR="009620AB" w:rsidRPr="002B4E6D">
        <w:rPr>
          <w:szCs w:val="20"/>
          <w:lang w:val="es-CR"/>
        </w:rPr>
        <w:t>.</w:t>
      </w:r>
      <w:r w:rsidR="000144A6" w:rsidRPr="002B4E6D">
        <w:rPr>
          <w:szCs w:val="20"/>
          <w:lang w:val="es-CR"/>
        </w:rPr>
        <w:t xml:space="preserve">699 </w:t>
      </w:r>
      <w:r w:rsidR="000D1815" w:rsidRPr="002B4E6D">
        <w:rPr>
          <w:szCs w:val="20"/>
          <w:lang w:val="es-CR"/>
        </w:rPr>
        <w:t>detenidos</w:t>
      </w:r>
      <w:r w:rsidR="003E74C0" w:rsidRPr="002B4E6D">
        <w:rPr>
          <w:szCs w:val="20"/>
          <w:lang w:val="es-CR"/>
        </w:rPr>
        <w:t>.</w:t>
      </w:r>
    </w:p>
    <w:p w14:paraId="40766530" w14:textId="77777777" w:rsidR="003E74C0" w:rsidRPr="002B4E6D" w:rsidRDefault="003E74C0" w:rsidP="003E74C0">
      <w:pPr>
        <w:pStyle w:val="ListParagraph"/>
        <w:rPr>
          <w:szCs w:val="20"/>
          <w:lang w:val="es-CR"/>
        </w:rPr>
      </w:pPr>
    </w:p>
    <w:p w14:paraId="38172596" w14:textId="555557ED" w:rsidR="005B2EB5" w:rsidRPr="002B4E6D" w:rsidRDefault="00401093" w:rsidP="005B2EB5">
      <w:pPr>
        <w:pStyle w:val="ListParagraph"/>
        <w:numPr>
          <w:ilvl w:val="0"/>
          <w:numId w:val="20"/>
        </w:numPr>
        <w:snapToGrid w:val="0"/>
        <w:ind w:left="0" w:firstLine="0"/>
        <w:contextualSpacing w:val="0"/>
        <w:rPr>
          <w:szCs w:val="20"/>
          <w:lang w:val="es-CR"/>
        </w:rPr>
      </w:pPr>
      <w:r w:rsidRPr="002B4E6D">
        <w:rPr>
          <w:szCs w:val="20"/>
          <w:lang w:val="es-CR"/>
        </w:rPr>
        <w:t>Los</w:t>
      </w:r>
      <w:r w:rsidR="00271E64" w:rsidRPr="002B4E6D">
        <w:rPr>
          <w:szCs w:val="20"/>
          <w:lang w:val="es-CR"/>
        </w:rPr>
        <w:t xml:space="preserve"> representantes</w:t>
      </w:r>
      <w:r w:rsidR="000E5962" w:rsidRPr="002B4E6D">
        <w:rPr>
          <w:szCs w:val="20"/>
          <w:lang w:val="es-CR"/>
        </w:rPr>
        <w:t xml:space="preserve"> </w:t>
      </w:r>
      <w:r w:rsidR="009D0749" w:rsidRPr="002B4E6D">
        <w:rPr>
          <w:szCs w:val="20"/>
          <w:lang w:val="es-CR"/>
        </w:rPr>
        <w:t>informaron</w:t>
      </w:r>
      <w:r w:rsidR="009620AB" w:rsidRPr="002B4E6D">
        <w:rPr>
          <w:szCs w:val="20"/>
          <w:lang w:val="es-CR"/>
        </w:rPr>
        <w:t xml:space="preserve"> </w:t>
      </w:r>
      <w:r w:rsidRPr="002B4E6D">
        <w:rPr>
          <w:szCs w:val="20"/>
          <w:lang w:val="es-CR"/>
        </w:rPr>
        <w:t>a la</w:t>
      </w:r>
      <w:r w:rsidR="009620AB" w:rsidRPr="002B4E6D">
        <w:rPr>
          <w:szCs w:val="20"/>
          <w:lang w:val="es-CR"/>
        </w:rPr>
        <w:t xml:space="preserve"> Corte</w:t>
      </w:r>
      <w:r w:rsidR="000E5962" w:rsidRPr="002B4E6D">
        <w:rPr>
          <w:szCs w:val="20"/>
          <w:lang w:val="es-CR"/>
        </w:rPr>
        <w:t xml:space="preserve"> que, </w:t>
      </w:r>
      <w:r w:rsidRPr="002B4E6D">
        <w:rPr>
          <w:szCs w:val="20"/>
          <w:lang w:val="es-CR"/>
        </w:rPr>
        <w:t>aunque</w:t>
      </w:r>
      <w:r w:rsidR="000E5962" w:rsidRPr="002B4E6D">
        <w:rPr>
          <w:szCs w:val="20"/>
          <w:lang w:val="es-CR"/>
        </w:rPr>
        <w:t xml:space="preserve"> </w:t>
      </w:r>
      <w:r w:rsidRPr="002B4E6D">
        <w:rPr>
          <w:szCs w:val="20"/>
          <w:lang w:val="es-CR"/>
        </w:rPr>
        <w:t>no</w:t>
      </w:r>
      <w:r w:rsidR="000E5962" w:rsidRPr="002B4E6D">
        <w:rPr>
          <w:szCs w:val="20"/>
          <w:lang w:val="es-CR"/>
        </w:rPr>
        <w:t xml:space="preserve"> </w:t>
      </w:r>
      <w:r w:rsidRPr="002B4E6D">
        <w:rPr>
          <w:szCs w:val="20"/>
          <w:lang w:val="es-CR"/>
        </w:rPr>
        <w:t>haya</w:t>
      </w:r>
      <w:r w:rsidR="000E5962" w:rsidRPr="002B4E6D">
        <w:rPr>
          <w:szCs w:val="20"/>
          <w:lang w:val="es-CR"/>
        </w:rPr>
        <w:t xml:space="preserve"> sido formalmente </w:t>
      </w:r>
      <w:r w:rsidR="00E31F81">
        <w:rPr>
          <w:szCs w:val="20"/>
          <w:lang w:val="es-CR"/>
        </w:rPr>
        <w:t>disuelto</w:t>
      </w:r>
      <w:r w:rsidR="000E5962" w:rsidRPr="002B4E6D">
        <w:rPr>
          <w:szCs w:val="20"/>
          <w:lang w:val="es-CR"/>
        </w:rPr>
        <w:t xml:space="preserve">, </w:t>
      </w:r>
      <w:r w:rsidRPr="002B4E6D">
        <w:rPr>
          <w:szCs w:val="20"/>
          <w:lang w:val="es-CR"/>
        </w:rPr>
        <w:t>el</w:t>
      </w:r>
      <w:r w:rsidR="000E5962" w:rsidRPr="002B4E6D">
        <w:rPr>
          <w:szCs w:val="20"/>
          <w:lang w:val="es-CR"/>
        </w:rPr>
        <w:t xml:space="preserve"> </w:t>
      </w:r>
      <w:r w:rsidRPr="002B4E6D">
        <w:rPr>
          <w:szCs w:val="20"/>
          <w:lang w:val="es-CR"/>
        </w:rPr>
        <w:t>recién</w:t>
      </w:r>
      <w:r w:rsidR="0072104C" w:rsidRPr="002B4E6D">
        <w:rPr>
          <w:szCs w:val="20"/>
          <w:lang w:val="es-CR"/>
        </w:rPr>
        <w:t xml:space="preserve"> </w:t>
      </w:r>
      <w:r w:rsidR="00BE473C" w:rsidRPr="002B4E6D">
        <w:rPr>
          <w:szCs w:val="20"/>
          <w:lang w:val="es-CR"/>
        </w:rPr>
        <w:t>creado</w:t>
      </w:r>
      <w:r w:rsidR="000E5962" w:rsidRPr="002B4E6D">
        <w:rPr>
          <w:szCs w:val="20"/>
          <w:lang w:val="es-CR"/>
        </w:rPr>
        <w:t xml:space="preserve"> </w:t>
      </w:r>
      <w:r w:rsidR="008833DE" w:rsidRPr="002B4E6D">
        <w:rPr>
          <w:szCs w:val="20"/>
          <w:lang w:val="es-CR"/>
        </w:rPr>
        <w:t>Comité</w:t>
      </w:r>
      <w:r w:rsidR="000E5962" w:rsidRPr="002B4E6D">
        <w:rPr>
          <w:szCs w:val="20"/>
          <w:lang w:val="es-CR"/>
        </w:rPr>
        <w:t xml:space="preserve"> Colegiado </w:t>
      </w:r>
      <w:r w:rsidRPr="002B4E6D">
        <w:rPr>
          <w:szCs w:val="20"/>
          <w:lang w:val="es-CR"/>
        </w:rPr>
        <w:t>del</w:t>
      </w:r>
      <w:r w:rsidR="000E5962" w:rsidRPr="002B4E6D">
        <w:rPr>
          <w:szCs w:val="20"/>
          <w:lang w:val="es-CR"/>
        </w:rPr>
        <w:t xml:space="preserve"> Tribunal de </w:t>
      </w:r>
      <w:r w:rsidR="000D1815" w:rsidRPr="002B4E6D">
        <w:rPr>
          <w:szCs w:val="20"/>
          <w:lang w:val="es-CR"/>
        </w:rPr>
        <w:t>Justicia</w:t>
      </w:r>
      <w:r w:rsidR="000E5962" w:rsidRPr="002B4E6D">
        <w:rPr>
          <w:szCs w:val="20"/>
          <w:lang w:val="es-CR"/>
        </w:rPr>
        <w:t xml:space="preserve"> </w:t>
      </w:r>
      <w:r w:rsidRPr="002B4E6D">
        <w:rPr>
          <w:szCs w:val="20"/>
          <w:lang w:val="es-CR"/>
        </w:rPr>
        <w:t>ya</w:t>
      </w:r>
      <w:r w:rsidR="000E5962" w:rsidRPr="002B4E6D">
        <w:rPr>
          <w:szCs w:val="20"/>
          <w:lang w:val="es-CR"/>
        </w:rPr>
        <w:t xml:space="preserve"> </w:t>
      </w:r>
      <w:r w:rsidRPr="002B4E6D">
        <w:rPr>
          <w:szCs w:val="20"/>
          <w:lang w:val="es-CR"/>
        </w:rPr>
        <w:t>no</w:t>
      </w:r>
      <w:r w:rsidR="000E5962" w:rsidRPr="002B4E6D">
        <w:rPr>
          <w:szCs w:val="20"/>
          <w:lang w:val="es-CR"/>
        </w:rPr>
        <w:t xml:space="preserve"> existe</w:t>
      </w:r>
      <w:r w:rsidRPr="002B4E6D">
        <w:rPr>
          <w:szCs w:val="20"/>
          <w:lang w:val="es-CR"/>
        </w:rPr>
        <w:t xml:space="preserve"> ni</w:t>
      </w:r>
      <w:r w:rsidR="0072104C" w:rsidRPr="002B4E6D">
        <w:rPr>
          <w:szCs w:val="20"/>
          <w:lang w:val="es-CR"/>
        </w:rPr>
        <w:t xml:space="preserve"> tampoco</w:t>
      </w:r>
      <w:r w:rsidR="000E5962" w:rsidRPr="002B4E6D">
        <w:rPr>
          <w:szCs w:val="20"/>
          <w:lang w:val="es-CR"/>
        </w:rPr>
        <w:t xml:space="preserve"> funciona. </w:t>
      </w:r>
      <w:r w:rsidR="0072104C" w:rsidRPr="002B4E6D">
        <w:rPr>
          <w:szCs w:val="20"/>
          <w:lang w:val="es-CR"/>
        </w:rPr>
        <w:t>Esta</w:t>
      </w:r>
      <w:r w:rsidR="000E5962" w:rsidRPr="002B4E6D">
        <w:rPr>
          <w:szCs w:val="20"/>
          <w:lang w:val="es-CR"/>
        </w:rPr>
        <w:t xml:space="preserve"> informa</w:t>
      </w:r>
      <w:r w:rsidR="00AA1A37" w:rsidRPr="002B4E6D">
        <w:rPr>
          <w:szCs w:val="20"/>
          <w:lang w:val="es-CR"/>
        </w:rPr>
        <w:t>ción</w:t>
      </w:r>
      <w:r w:rsidR="000E5962" w:rsidRPr="002B4E6D">
        <w:rPr>
          <w:szCs w:val="20"/>
          <w:lang w:val="es-CR"/>
        </w:rPr>
        <w:t xml:space="preserve"> </w:t>
      </w:r>
      <w:r w:rsidRPr="002B4E6D">
        <w:rPr>
          <w:szCs w:val="20"/>
          <w:lang w:val="es-CR"/>
        </w:rPr>
        <w:t>les</w:t>
      </w:r>
      <w:r w:rsidR="007F6E37" w:rsidRPr="002B4E6D">
        <w:rPr>
          <w:szCs w:val="20"/>
          <w:lang w:val="es-CR"/>
        </w:rPr>
        <w:t xml:space="preserve"> </w:t>
      </w:r>
      <w:r w:rsidRPr="002B4E6D">
        <w:rPr>
          <w:szCs w:val="20"/>
          <w:lang w:val="es-CR"/>
        </w:rPr>
        <w:t>habría</w:t>
      </w:r>
      <w:r w:rsidR="000E5962" w:rsidRPr="002B4E6D">
        <w:rPr>
          <w:szCs w:val="20"/>
          <w:lang w:val="es-CR"/>
        </w:rPr>
        <w:t xml:space="preserve"> sido </w:t>
      </w:r>
      <w:r w:rsidR="00286306">
        <w:rPr>
          <w:szCs w:val="20"/>
          <w:lang w:val="es-CR"/>
        </w:rPr>
        <w:t>brindada</w:t>
      </w:r>
      <w:r w:rsidR="00286306" w:rsidRPr="002B4E6D">
        <w:rPr>
          <w:szCs w:val="20"/>
          <w:lang w:val="es-CR"/>
        </w:rPr>
        <w:t xml:space="preserve"> </w:t>
      </w:r>
      <w:r w:rsidR="00C14AC3" w:rsidRPr="002B4E6D">
        <w:rPr>
          <w:szCs w:val="20"/>
          <w:lang w:val="es-CR"/>
        </w:rPr>
        <w:t>de manera verbal</w:t>
      </w:r>
      <w:r w:rsidR="000E5962" w:rsidRPr="002B4E6D">
        <w:rPr>
          <w:szCs w:val="20"/>
          <w:lang w:val="es-CR"/>
        </w:rPr>
        <w:t xml:space="preserve"> </w:t>
      </w:r>
      <w:r w:rsidRPr="002B4E6D">
        <w:rPr>
          <w:szCs w:val="20"/>
          <w:lang w:val="es-CR"/>
        </w:rPr>
        <w:t>en</w:t>
      </w:r>
      <w:r w:rsidR="000E5962" w:rsidRPr="002B4E6D">
        <w:rPr>
          <w:szCs w:val="20"/>
          <w:lang w:val="es-CR"/>
        </w:rPr>
        <w:t xml:space="preserve"> </w:t>
      </w:r>
      <w:r w:rsidR="001E620D">
        <w:rPr>
          <w:szCs w:val="20"/>
          <w:lang w:val="es-CR"/>
        </w:rPr>
        <w:t xml:space="preserve">la </w:t>
      </w:r>
      <w:r w:rsidR="009D0749" w:rsidRPr="002B4E6D">
        <w:rPr>
          <w:szCs w:val="20"/>
          <w:lang w:val="es-CR"/>
        </w:rPr>
        <w:t>reunión</w:t>
      </w:r>
      <w:r w:rsidR="000E5962" w:rsidRPr="002B4E6D">
        <w:rPr>
          <w:szCs w:val="20"/>
          <w:lang w:val="es-CR"/>
        </w:rPr>
        <w:t xml:space="preserve"> </w:t>
      </w:r>
      <w:r w:rsidRPr="002B4E6D">
        <w:rPr>
          <w:szCs w:val="20"/>
          <w:lang w:val="es-CR"/>
        </w:rPr>
        <w:t>con el</w:t>
      </w:r>
      <w:r w:rsidR="000E5962" w:rsidRPr="002B4E6D">
        <w:rPr>
          <w:szCs w:val="20"/>
          <w:lang w:val="es-CR"/>
        </w:rPr>
        <w:t xml:space="preserve"> </w:t>
      </w:r>
      <w:r w:rsidR="009D5AB4" w:rsidRPr="002B4E6D">
        <w:rPr>
          <w:szCs w:val="20"/>
          <w:lang w:val="es-CR"/>
        </w:rPr>
        <w:t>GMF-RJ</w:t>
      </w:r>
      <w:r w:rsidR="009620AB" w:rsidRPr="002B4E6D">
        <w:rPr>
          <w:szCs w:val="20"/>
          <w:lang w:val="es-CR"/>
        </w:rPr>
        <w:t>.</w:t>
      </w:r>
      <w:r w:rsidR="005B2EB5" w:rsidRPr="002B4E6D">
        <w:rPr>
          <w:szCs w:val="20"/>
          <w:lang w:val="es-CR"/>
        </w:rPr>
        <w:t xml:space="preserve"> </w:t>
      </w:r>
    </w:p>
    <w:p w14:paraId="6EED162E" w14:textId="77777777" w:rsidR="005B2EB5" w:rsidRPr="002B4E6D" w:rsidRDefault="005B2EB5" w:rsidP="005B2EB5">
      <w:pPr>
        <w:pStyle w:val="ListParagraph"/>
        <w:rPr>
          <w:szCs w:val="20"/>
          <w:lang w:val="es-CR"/>
        </w:rPr>
      </w:pPr>
    </w:p>
    <w:p w14:paraId="6E6CB0BB" w14:textId="0619A8F9" w:rsidR="00827DF3" w:rsidRPr="002B4E6D" w:rsidRDefault="00401093" w:rsidP="00827DF3">
      <w:pPr>
        <w:pStyle w:val="ListParagraph"/>
        <w:numPr>
          <w:ilvl w:val="0"/>
          <w:numId w:val="20"/>
        </w:numPr>
        <w:snapToGrid w:val="0"/>
        <w:ind w:left="0" w:firstLine="0"/>
        <w:contextualSpacing w:val="0"/>
        <w:rPr>
          <w:szCs w:val="20"/>
          <w:lang w:val="es-CR"/>
        </w:rPr>
      </w:pPr>
      <w:r w:rsidRPr="002B4E6D">
        <w:rPr>
          <w:szCs w:val="20"/>
          <w:lang w:val="es-CR"/>
        </w:rPr>
        <w:t>Los</w:t>
      </w:r>
      <w:r w:rsidR="00271E64" w:rsidRPr="002B4E6D">
        <w:rPr>
          <w:szCs w:val="20"/>
          <w:lang w:val="es-CR"/>
        </w:rPr>
        <w:t xml:space="preserve"> representantes </w:t>
      </w:r>
      <w:r w:rsidR="009D0749" w:rsidRPr="002B4E6D">
        <w:rPr>
          <w:szCs w:val="20"/>
          <w:lang w:val="es-CR"/>
        </w:rPr>
        <w:t>también</w:t>
      </w:r>
      <w:r w:rsidR="005B2EB5" w:rsidRPr="002B4E6D">
        <w:rPr>
          <w:szCs w:val="20"/>
          <w:lang w:val="es-CR"/>
        </w:rPr>
        <w:t xml:space="preserve"> </w:t>
      </w:r>
      <w:r w:rsidRPr="002B4E6D">
        <w:rPr>
          <w:szCs w:val="20"/>
          <w:lang w:val="es-CR"/>
        </w:rPr>
        <w:t>comentaron</w:t>
      </w:r>
      <w:r w:rsidR="00271E64" w:rsidRPr="002B4E6D">
        <w:rPr>
          <w:szCs w:val="20"/>
          <w:lang w:val="es-CR"/>
        </w:rPr>
        <w:t xml:space="preserve"> sobre </w:t>
      </w:r>
      <w:r w:rsidRPr="002B4E6D">
        <w:rPr>
          <w:szCs w:val="20"/>
          <w:lang w:val="es-CR"/>
        </w:rPr>
        <w:t>l</w:t>
      </w:r>
      <w:r w:rsidR="00271E64" w:rsidRPr="002B4E6D">
        <w:rPr>
          <w:szCs w:val="20"/>
          <w:lang w:val="es-CR"/>
        </w:rPr>
        <w:t xml:space="preserve">as </w:t>
      </w:r>
      <w:r w:rsidR="008833DE" w:rsidRPr="002B4E6D">
        <w:rPr>
          <w:szCs w:val="20"/>
          <w:lang w:val="es-CR"/>
        </w:rPr>
        <w:t>actividades</w:t>
      </w:r>
      <w:r w:rsidR="00271E64" w:rsidRPr="002B4E6D">
        <w:rPr>
          <w:szCs w:val="20"/>
          <w:lang w:val="es-CR"/>
        </w:rPr>
        <w:t xml:space="preserve"> </w:t>
      </w:r>
      <w:r w:rsidRPr="002B4E6D">
        <w:rPr>
          <w:szCs w:val="20"/>
          <w:lang w:val="es-CR"/>
        </w:rPr>
        <w:t>de los</w:t>
      </w:r>
      <w:r w:rsidR="00271E64" w:rsidRPr="002B4E6D">
        <w:rPr>
          <w:szCs w:val="20"/>
          <w:lang w:val="es-CR"/>
        </w:rPr>
        <w:t xml:space="preserve"> </w:t>
      </w:r>
      <w:r w:rsidR="00A3453D" w:rsidRPr="002B4E6D">
        <w:rPr>
          <w:szCs w:val="20"/>
          <w:lang w:val="es-CR"/>
        </w:rPr>
        <w:t>dos</w:t>
      </w:r>
      <w:r w:rsidR="00271E64" w:rsidRPr="002B4E6D">
        <w:rPr>
          <w:szCs w:val="20"/>
          <w:lang w:val="es-CR"/>
        </w:rPr>
        <w:t xml:space="preserve"> </w:t>
      </w:r>
      <w:r w:rsidR="009D0749" w:rsidRPr="002B4E6D">
        <w:rPr>
          <w:szCs w:val="20"/>
          <w:lang w:val="es-CR"/>
        </w:rPr>
        <w:t>subcomités</w:t>
      </w:r>
      <w:r w:rsidR="00827DF3" w:rsidRPr="002B4E6D">
        <w:rPr>
          <w:szCs w:val="20"/>
          <w:lang w:val="es-CR"/>
        </w:rPr>
        <w:t xml:space="preserve"> </w:t>
      </w:r>
      <w:r w:rsidR="00A3453D" w:rsidRPr="002B4E6D">
        <w:rPr>
          <w:szCs w:val="20"/>
          <w:lang w:val="es-CR"/>
        </w:rPr>
        <w:t>instituidos</w:t>
      </w:r>
      <w:r w:rsidR="00271E64" w:rsidRPr="002B4E6D">
        <w:rPr>
          <w:szCs w:val="20"/>
          <w:lang w:val="es-CR"/>
        </w:rPr>
        <w:t xml:space="preserve"> </w:t>
      </w:r>
      <w:r w:rsidR="00A3453D" w:rsidRPr="002B4E6D">
        <w:rPr>
          <w:szCs w:val="20"/>
          <w:lang w:val="es-CR"/>
        </w:rPr>
        <w:t>bajo</w:t>
      </w:r>
      <w:r w:rsidR="00271E64" w:rsidRPr="002B4E6D">
        <w:rPr>
          <w:szCs w:val="20"/>
          <w:lang w:val="es-CR"/>
        </w:rPr>
        <w:t xml:space="preserve"> </w:t>
      </w:r>
      <w:r w:rsidR="007430EE" w:rsidRPr="002B4E6D">
        <w:rPr>
          <w:szCs w:val="20"/>
          <w:lang w:val="es-CR"/>
        </w:rPr>
        <w:t>la égida</w:t>
      </w:r>
      <w:r w:rsidR="00271E64" w:rsidRPr="002B4E6D">
        <w:rPr>
          <w:szCs w:val="20"/>
          <w:lang w:val="es-CR"/>
        </w:rPr>
        <w:t xml:space="preserve"> </w:t>
      </w:r>
      <w:r w:rsidR="00A3453D" w:rsidRPr="002B4E6D">
        <w:rPr>
          <w:szCs w:val="20"/>
          <w:lang w:val="es-CR"/>
        </w:rPr>
        <w:t>del</w:t>
      </w:r>
      <w:r w:rsidR="00827DF3" w:rsidRPr="002B4E6D">
        <w:rPr>
          <w:szCs w:val="20"/>
          <w:lang w:val="es-CR"/>
        </w:rPr>
        <w:t xml:space="preserve"> </w:t>
      </w:r>
      <w:r w:rsidR="009D0749" w:rsidRPr="002B4E6D">
        <w:rPr>
          <w:szCs w:val="20"/>
          <w:lang w:val="es-CR"/>
        </w:rPr>
        <w:t>Comité</w:t>
      </w:r>
      <w:r w:rsidR="00827DF3" w:rsidRPr="002B4E6D">
        <w:rPr>
          <w:szCs w:val="20"/>
          <w:lang w:val="es-CR"/>
        </w:rPr>
        <w:t xml:space="preserve"> Colegiado</w:t>
      </w:r>
      <w:r w:rsidR="00271E64" w:rsidRPr="002B4E6D">
        <w:rPr>
          <w:szCs w:val="20"/>
          <w:lang w:val="es-CR"/>
        </w:rPr>
        <w:t xml:space="preserve">. </w:t>
      </w:r>
      <w:r w:rsidR="00A3453D" w:rsidRPr="002B4E6D">
        <w:rPr>
          <w:szCs w:val="20"/>
          <w:lang w:val="es-CR"/>
        </w:rPr>
        <w:t>Según</w:t>
      </w:r>
      <w:r w:rsidR="00271E64" w:rsidRPr="002B4E6D">
        <w:rPr>
          <w:szCs w:val="20"/>
          <w:lang w:val="es-CR"/>
        </w:rPr>
        <w:t xml:space="preserve"> </w:t>
      </w:r>
      <w:r w:rsidR="00A3453D" w:rsidRPr="002B4E6D">
        <w:rPr>
          <w:szCs w:val="20"/>
          <w:lang w:val="es-CR"/>
        </w:rPr>
        <w:t>ellos</w:t>
      </w:r>
      <w:r w:rsidR="00271E64" w:rsidRPr="002B4E6D">
        <w:rPr>
          <w:szCs w:val="20"/>
          <w:lang w:val="es-CR"/>
        </w:rPr>
        <w:t>,</w:t>
      </w:r>
      <w:r w:rsidR="00827DF3" w:rsidRPr="002B4E6D">
        <w:rPr>
          <w:szCs w:val="20"/>
          <w:lang w:val="es-CR"/>
        </w:rPr>
        <w:t xml:space="preserve"> </w:t>
      </w:r>
      <w:r w:rsidR="00A3453D" w:rsidRPr="002B4E6D">
        <w:rPr>
          <w:szCs w:val="20"/>
          <w:lang w:val="es-CR"/>
        </w:rPr>
        <w:t>solo el</w:t>
      </w:r>
      <w:r w:rsidR="00827DF3" w:rsidRPr="002B4E6D">
        <w:rPr>
          <w:szCs w:val="20"/>
          <w:lang w:val="es-CR"/>
        </w:rPr>
        <w:t xml:space="preserve"> COPEP, </w:t>
      </w:r>
      <w:r w:rsidR="009D0749" w:rsidRPr="002B4E6D">
        <w:rPr>
          <w:szCs w:val="20"/>
          <w:lang w:val="es-CR"/>
        </w:rPr>
        <w:t>responsable</w:t>
      </w:r>
      <w:r w:rsidR="00827DF3" w:rsidRPr="002B4E6D">
        <w:rPr>
          <w:szCs w:val="20"/>
          <w:lang w:val="es-CR"/>
        </w:rPr>
        <w:t xml:space="preserve"> por </w:t>
      </w:r>
      <w:r w:rsidR="00A3453D" w:rsidRPr="002B4E6D">
        <w:rPr>
          <w:szCs w:val="20"/>
          <w:lang w:val="es-CR"/>
        </w:rPr>
        <w:t>trazar</w:t>
      </w:r>
      <w:r w:rsidR="00827DF3" w:rsidRPr="002B4E6D">
        <w:rPr>
          <w:szCs w:val="20"/>
          <w:lang w:val="es-CR"/>
        </w:rPr>
        <w:t xml:space="preserve"> </w:t>
      </w:r>
      <w:r w:rsidR="008833DE" w:rsidRPr="002B4E6D">
        <w:rPr>
          <w:szCs w:val="20"/>
          <w:lang w:val="es-CR"/>
        </w:rPr>
        <w:t>directrices</w:t>
      </w:r>
      <w:r w:rsidR="00827DF3" w:rsidRPr="002B4E6D">
        <w:rPr>
          <w:szCs w:val="20"/>
          <w:lang w:val="es-CR"/>
        </w:rPr>
        <w:t xml:space="preserve"> para </w:t>
      </w:r>
      <w:r w:rsidR="008833DE" w:rsidRPr="002B4E6D">
        <w:rPr>
          <w:szCs w:val="20"/>
          <w:lang w:val="es-CR"/>
        </w:rPr>
        <w:t>disminuir</w:t>
      </w:r>
      <w:r w:rsidR="00827DF3" w:rsidRPr="002B4E6D">
        <w:rPr>
          <w:szCs w:val="20"/>
          <w:lang w:val="es-CR"/>
        </w:rPr>
        <w:t xml:space="preserve"> </w:t>
      </w:r>
      <w:r w:rsidR="00A3453D" w:rsidRPr="002B4E6D">
        <w:rPr>
          <w:szCs w:val="20"/>
          <w:lang w:val="es-CR"/>
        </w:rPr>
        <w:t>el</w:t>
      </w:r>
      <w:r w:rsidR="00827DF3" w:rsidRPr="002B4E6D">
        <w:rPr>
          <w:szCs w:val="20"/>
          <w:lang w:val="es-CR"/>
        </w:rPr>
        <w:t xml:space="preserve"> </w:t>
      </w:r>
      <w:r w:rsidR="00A3453D" w:rsidRPr="002B4E6D">
        <w:rPr>
          <w:szCs w:val="20"/>
          <w:lang w:val="es-CR"/>
        </w:rPr>
        <w:t>ingreso</w:t>
      </w:r>
      <w:r w:rsidR="00827DF3" w:rsidRPr="002B4E6D">
        <w:rPr>
          <w:szCs w:val="20"/>
          <w:lang w:val="es-CR"/>
        </w:rPr>
        <w:t xml:space="preserve"> de presos </w:t>
      </w:r>
      <w:r w:rsidR="002B4E6D">
        <w:rPr>
          <w:szCs w:val="20"/>
          <w:lang w:val="es-CR"/>
        </w:rPr>
        <w:t>en prisión preventiva</w:t>
      </w:r>
      <w:r w:rsidR="00827DF3" w:rsidRPr="002B4E6D">
        <w:rPr>
          <w:szCs w:val="20"/>
          <w:lang w:val="es-CR"/>
        </w:rPr>
        <w:t xml:space="preserve"> </w:t>
      </w:r>
      <w:r w:rsidR="00A3453D" w:rsidRPr="002B4E6D">
        <w:rPr>
          <w:szCs w:val="20"/>
          <w:lang w:val="es-CR"/>
        </w:rPr>
        <w:t>en el</w:t>
      </w:r>
      <w:r w:rsidR="00827DF3" w:rsidRPr="002B4E6D">
        <w:rPr>
          <w:szCs w:val="20"/>
          <w:lang w:val="es-CR"/>
        </w:rPr>
        <w:t xml:space="preserve"> sistema </w:t>
      </w:r>
      <w:r w:rsidR="008833DE" w:rsidRPr="002B4E6D">
        <w:rPr>
          <w:szCs w:val="20"/>
          <w:lang w:val="es-CR"/>
        </w:rPr>
        <w:t>penitenciario</w:t>
      </w:r>
      <w:r w:rsidR="00827DF3" w:rsidRPr="002B4E6D">
        <w:rPr>
          <w:szCs w:val="20"/>
          <w:lang w:val="es-CR"/>
        </w:rPr>
        <w:t xml:space="preserve">, </w:t>
      </w:r>
      <w:r w:rsidR="008833DE" w:rsidRPr="002B4E6D">
        <w:rPr>
          <w:szCs w:val="20"/>
          <w:lang w:val="es-CR"/>
        </w:rPr>
        <w:t>registró</w:t>
      </w:r>
      <w:r w:rsidR="00E31F81">
        <w:rPr>
          <w:szCs w:val="20"/>
          <w:lang w:val="es-CR"/>
        </w:rPr>
        <w:t xml:space="preserve"> una </w:t>
      </w:r>
      <w:r w:rsidR="00827DF3" w:rsidRPr="002B4E6D">
        <w:rPr>
          <w:szCs w:val="20"/>
          <w:lang w:val="es-CR"/>
        </w:rPr>
        <w:t xml:space="preserve">intensa </w:t>
      </w:r>
      <w:r w:rsidR="008833DE" w:rsidRPr="002B4E6D">
        <w:rPr>
          <w:szCs w:val="20"/>
          <w:lang w:val="es-CR"/>
        </w:rPr>
        <w:t>actividad</w:t>
      </w:r>
      <w:r w:rsidR="00827DF3" w:rsidRPr="002B4E6D">
        <w:rPr>
          <w:szCs w:val="20"/>
          <w:lang w:val="es-CR"/>
        </w:rPr>
        <w:t xml:space="preserve"> </w:t>
      </w:r>
      <w:r w:rsidR="00A3453D" w:rsidRPr="002B4E6D">
        <w:rPr>
          <w:szCs w:val="20"/>
          <w:lang w:val="es-CR"/>
        </w:rPr>
        <w:t>y</w:t>
      </w:r>
      <w:r w:rsidR="00827DF3" w:rsidRPr="002B4E6D">
        <w:rPr>
          <w:szCs w:val="20"/>
          <w:lang w:val="es-CR"/>
        </w:rPr>
        <w:t xml:space="preserve"> </w:t>
      </w:r>
      <w:r w:rsidR="00A3453D" w:rsidRPr="002B4E6D">
        <w:rPr>
          <w:szCs w:val="20"/>
          <w:lang w:val="es-CR"/>
        </w:rPr>
        <w:t>propició</w:t>
      </w:r>
      <w:r w:rsidR="00827DF3" w:rsidRPr="002B4E6D">
        <w:rPr>
          <w:szCs w:val="20"/>
          <w:lang w:val="es-CR"/>
        </w:rPr>
        <w:t xml:space="preserve"> </w:t>
      </w:r>
      <w:r w:rsidR="00A3453D" w:rsidRPr="002B4E6D">
        <w:rPr>
          <w:szCs w:val="20"/>
          <w:lang w:val="es-CR"/>
        </w:rPr>
        <w:t>la</w:t>
      </w:r>
      <w:r w:rsidR="00827DF3" w:rsidRPr="002B4E6D">
        <w:rPr>
          <w:szCs w:val="20"/>
          <w:lang w:val="es-CR"/>
        </w:rPr>
        <w:t xml:space="preserve"> </w:t>
      </w:r>
      <w:r w:rsidR="00A3453D" w:rsidRPr="002B4E6D">
        <w:rPr>
          <w:szCs w:val="20"/>
          <w:lang w:val="es-CR"/>
        </w:rPr>
        <w:t>expansión</w:t>
      </w:r>
      <w:r w:rsidR="00827DF3" w:rsidRPr="002B4E6D">
        <w:rPr>
          <w:szCs w:val="20"/>
          <w:lang w:val="es-CR"/>
        </w:rPr>
        <w:t xml:space="preserve"> </w:t>
      </w:r>
      <w:r w:rsidR="00A3453D" w:rsidRPr="002B4E6D">
        <w:rPr>
          <w:szCs w:val="20"/>
          <w:lang w:val="es-CR"/>
        </w:rPr>
        <w:t>de las</w:t>
      </w:r>
      <w:r w:rsidR="00827DF3" w:rsidRPr="002B4E6D">
        <w:rPr>
          <w:szCs w:val="20"/>
          <w:lang w:val="es-CR"/>
        </w:rPr>
        <w:t xml:space="preserve"> </w:t>
      </w:r>
      <w:r w:rsidR="009D0749" w:rsidRPr="002B4E6D">
        <w:rPr>
          <w:szCs w:val="20"/>
          <w:lang w:val="es-CR"/>
        </w:rPr>
        <w:t>audiencias</w:t>
      </w:r>
      <w:r w:rsidR="00827DF3" w:rsidRPr="002B4E6D">
        <w:rPr>
          <w:szCs w:val="20"/>
          <w:lang w:val="es-CR"/>
        </w:rPr>
        <w:t xml:space="preserve"> de </w:t>
      </w:r>
      <w:r w:rsidR="008833DE" w:rsidRPr="002B4E6D">
        <w:rPr>
          <w:szCs w:val="20"/>
          <w:lang w:val="es-CR"/>
        </w:rPr>
        <w:t>custodia</w:t>
      </w:r>
      <w:r w:rsidR="00827DF3" w:rsidRPr="002B4E6D">
        <w:rPr>
          <w:szCs w:val="20"/>
          <w:lang w:val="es-CR"/>
        </w:rPr>
        <w:t xml:space="preserve"> para todo </w:t>
      </w:r>
      <w:r w:rsidR="00A3453D" w:rsidRPr="002B4E6D">
        <w:rPr>
          <w:szCs w:val="20"/>
          <w:lang w:val="es-CR"/>
        </w:rPr>
        <w:t>el</w:t>
      </w:r>
      <w:r w:rsidR="00827DF3" w:rsidRPr="002B4E6D">
        <w:rPr>
          <w:szCs w:val="20"/>
          <w:lang w:val="es-CR"/>
        </w:rPr>
        <w:t xml:space="preserve"> </w:t>
      </w:r>
      <w:r w:rsidR="009D0749" w:rsidRPr="002B4E6D">
        <w:rPr>
          <w:szCs w:val="20"/>
          <w:lang w:val="es-CR"/>
        </w:rPr>
        <w:t>territorio</w:t>
      </w:r>
      <w:r w:rsidR="00827DF3" w:rsidRPr="002B4E6D">
        <w:rPr>
          <w:szCs w:val="20"/>
          <w:lang w:val="es-CR"/>
        </w:rPr>
        <w:t xml:space="preserve"> </w:t>
      </w:r>
      <w:r w:rsidR="00A3453D" w:rsidRPr="002B4E6D">
        <w:rPr>
          <w:szCs w:val="20"/>
          <w:lang w:val="es-CR"/>
        </w:rPr>
        <w:t>del</w:t>
      </w:r>
      <w:r w:rsidR="00827DF3" w:rsidRPr="002B4E6D">
        <w:rPr>
          <w:szCs w:val="20"/>
          <w:lang w:val="es-CR"/>
        </w:rPr>
        <w:t xml:space="preserve"> </w:t>
      </w:r>
      <w:r w:rsidR="00BF2AC5">
        <w:rPr>
          <w:szCs w:val="20"/>
          <w:lang w:val="es-CR"/>
        </w:rPr>
        <w:t>e</w:t>
      </w:r>
      <w:r w:rsidR="00BF2AC5" w:rsidRPr="002B4E6D">
        <w:rPr>
          <w:szCs w:val="20"/>
          <w:lang w:val="es-CR"/>
        </w:rPr>
        <w:t xml:space="preserve">stado </w:t>
      </w:r>
      <w:r w:rsidR="00A3453D" w:rsidRPr="002B4E6D">
        <w:rPr>
          <w:szCs w:val="20"/>
          <w:lang w:val="es-CR"/>
        </w:rPr>
        <w:t>de Rí</w:t>
      </w:r>
      <w:r w:rsidR="00827DF3" w:rsidRPr="002B4E6D">
        <w:rPr>
          <w:szCs w:val="20"/>
          <w:lang w:val="es-CR"/>
        </w:rPr>
        <w:t xml:space="preserve">o de Janeiro. </w:t>
      </w:r>
      <w:r w:rsidR="00E31F81">
        <w:rPr>
          <w:szCs w:val="20"/>
          <w:lang w:val="es-CR"/>
        </w:rPr>
        <w:t>E</w:t>
      </w:r>
      <w:r w:rsidR="00A3453D" w:rsidRPr="002B4E6D">
        <w:rPr>
          <w:szCs w:val="20"/>
          <w:lang w:val="es-CR"/>
        </w:rPr>
        <w:t>l</w:t>
      </w:r>
      <w:r w:rsidR="00827DF3" w:rsidRPr="002B4E6D">
        <w:rPr>
          <w:szCs w:val="20"/>
          <w:lang w:val="es-CR"/>
        </w:rPr>
        <w:t xml:space="preserve"> COMEP, </w:t>
      </w:r>
      <w:r w:rsidR="009D0749" w:rsidRPr="002B4E6D">
        <w:rPr>
          <w:szCs w:val="20"/>
          <w:lang w:val="es-CR"/>
        </w:rPr>
        <w:t>responsable</w:t>
      </w:r>
      <w:r w:rsidR="00827DF3" w:rsidRPr="002B4E6D">
        <w:rPr>
          <w:szCs w:val="20"/>
          <w:lang w:val="es-CR"/>
        </w:rPr>
        <w:t xml:space="preserve"> por preparar </w:t>
      </w:r>
      <w:r w:rsidR="008833DE" w:rsidRPr="002B4E6D">
        <w:rPr>
          <w:szCs w:val="20"/>
          <w:lang w:val="es-CR"/>
        </w:rPr>
        <w:t>estrategias</w:t>
      </w:r>
      <w:r w:rsidR="00827DF3" w:rsidRPr="002B4E6D">
        <w:rPr>
          <w:szCs w:val="20"/>
          <w:lang w:val="es-CR"/>
        </w:rPr>
        <w:t xml:space="preserve"> de </w:t>
      </w:r>
      <w:r w:rsidR="008833DE" w:rsidRPr="002B4E6D">
        <w:rPr>
          <w:szCs w:val="20"/>
          <w:lang w:val="es-CR"/>
        </w:rPr>
        <w:t>reducción</w:t>
      </w:r>
      <w:r w:rsidR="00827DF3" w:rsidRPr="002B4E6D">
        <w:rPr>
          <w:szCs w:val="20"/>
          <w:lang w:val="es-CR"/>
        </w:rPr>
        <w:t xml:space="preserve"> </w:t>
      </w:r>
      <w:r w:rsidR="00A3453D" w:rsidRPr="002B4E6D">
        <w:rPr>
          <w:szCs w:val="20"/>
          <w:lang w:val="es-CR"/>
        </w:rPr>
        <w:t>del</w:t>
      </w:r>
      <w:r w:rsidR="00827DF3" w:rsidRPr="002B4E6D">
        <w:rPr>
          <w:szCs w:val="20"/>
          <w:lang w:val="es-CR"/>
        </w:rPr>
        <w:t xml:space="preserve"> número de </w:t>
      </w:r>
      <w:r w:rsidR="000D1815" w:rsidRPr="002B4E6D">
        <w:rPr>
          <w:szCs w:val="20"/>
          <w:lang w:val="es-CR"/>
        </w:rPr>
        <w:t>detenidos</w:t>
      </w:r>
      <w:r w:rsidR="00827DF3" w:rsidRPr="002B4E6D">
        <w:rPr>
          <w:szCs w:val="20"/>
          <w:lang w:val="es-CR"/>
        </w:rPr>
        <w:t xml:space="preserve"> </w:t>
      </w:r>
      <w:r w:rsidR="00A3453D" w:rsidRPr="002B4E6D">
        <w:rPr>
          <w:szCs w:val="20"/>
          <w:lang w:val="es-CR"/>
        </w:rPr>
        <w:t>ya</w:t>
      </w:r>
      <w:r w:rsidR="00827DF3" w:rsidRPr="002B4E6D">
        <w:rPr>
          <w:szCs w:val="20"/>
          <w:lang w:val="es-CR"/>
        </w:rPr>
        <w:t xml:space="preserve"> condenados, </w:t>
      </w:r>
      <w:r w:rsidR="009D0749" w:rsidRPr="002B4E6D">
        <w:rPr>
          <w:szCs w:val="20"/>
          <w:lang w:val="es-CR"/>
        </w:rPr>
        <w:t>estrategias</w:t>
      </w:r>
      <w:r w:rsidR="00827DF3" w:rsidRPr="002B4E6D">
        <w:rPr>
          <w:szCs w:val="20"/>
          <w:lang w:val="es-CR"/>
        </w:rPr>
        <w:t xml:space="preserve"> estas que </w:t>
      </w:r>
      <w:r w:rsidR="00A3453D" w:rsidRPr="002B4E6D">
        <w:rPr>
          <w:szCs w:val="20"/>
          <w:lang w:val="es-CR"/>
        </w:rPr>
        <w:t>podrían</w:t>
      </w:r>
      <w:r w:rsidR="00827DF3" w:rsidRPr="002B4E6D">
        <w:rPr>
          <w:szCs w:val="20"/>
          <w:lang w:val="es-CR"/>
        </w:rPr>
        <w:t xml:space="preserve"> </w:t>
      </w:r>
      <w:r w:rsidR="009D0749" w:rsidRPr="002B4E6D">
        <w:rPr>
          <w:szCs w:val="20"/>
          <w:lang w:val="es-CR"/>
        </w:rPr>
        <w:t>afectar</w:t>
      </w:r>
      <w:r w:rsidR="00827DF3" w:rsidRPr="002B4E6D">
        <w:rPr>
          <w:szCs w:val="20"/>
          <w:lang w:val="es-CR"/>
        </w:rPr>
        <w:t xml:space="preserve"> </w:t>
      </w:r>
      <w:r w:rsidR="00A74224" w:rsidRPr="002B4E6D">
        <w:rPr>
          <w:szCs w:val="20"/>
          <w:lang w:val="es-CR"/>
        </w:rPr>
        <w:t>al</w:t>
      </w:r>
      <w:r w:rsidR="00827DF3" w:rsidRPr="002B4E6D">
        <w:rPr>
          <w:szCs w:val="20"/>
          <w:lang w:val="es-CR"/>
        </w:rPr>
        <w:t xml:space="preserve"> IPPSC, </w:t>
      </w:r>
      <w:r w:rsidR="00A3453D" w:rsidRPr="002B4E6D">
        <w:rPr>
          <w:szCs w:val="20"/>
          <w:lang w:val="es-CR"/>
        </w:rPr>
        <w:t>se reunió</w:t>
      </w:r>
      <w:r w:rsidR="00827DF3" w:rsidRPr="002B4E6D">
        <w:rPr>
          <w:szCs w:val="20"/>
          <w:lang w:val="es-CR"/>
        </w:rPr>
        <w:t xml:space="preserve"> </w:t>
      </w:r>
      <w:r w:rsidR="00A3453D" w:rsidRPr="002B4E6D">
        <w:rPr>
          <w:szCs w:val="20"/>
          <w:lang w:val="es-CR"/>
        </w:rPr>
        <w:t>solo</w:t>
      </w:r>
      <w:r w:rsidR="00827DF3" w:rsidRPr="002B4E6D">
        <w:rPr>
          <w:szCs w:val="20"/>
          <w:lang w:val="es-CR"/>
        </w:rPr>
        <w:t xml:space="preserve"> </w:t>
      </w:r>
      <w:r w:rsidR="00286306">
        <w:rPr>
          <w:szCs w:val="20"/>
          <w:lang w:val="es-CR"/>
        </w:rPr>
        <w:t>dos</w:t>
      </w:r>
      <w:r w:rsidR="00827DF3" w:rsidRPr="002B4E6D">
        <w:rPr>
          <w:szCs w:val="20"/>
          <w:lang w:val="es-CR"/>
        </w:rPr>
        <w:t xml:space="preserve"> </w:t>
      </w:r>
      <w:r w:rsidR="00A3453D" w:rsidRPr="002B4E6D">
        <w:rPr>
          <w:szCs w:val="20"/>
          <w:lang w:val="es-CR"/>
        </w:rPr>
        <w:t>veces</w:t>
      </w:r>
      <w:r w:rsidR="00827DF3" w:rsidRPr="002B4E6D">
        <w:rPr>
          <w:szCs w:val="20"/>
          <w:lang w:val="es-CR"/>
        </w:rPr>
        <w:t>, e</w:t>
      </w:r>
      <w:r w:rsidR="00E4427D">
        <w:rPr>
          <w:szCs w:val="20"/>
          <w:lang w:val="es-CR"/>
        </w:rPr>
        <w:t xml:space="preserve">n </w:t>
      </w:r>
      <w:r w:rsidR="00D52705" w:rsidRPr="002B4E6D">
        <w:rPr>
          <w:szCs w:val="20"/>
          <w:lang w:val="es-CR"/>
        </w:rPr>
        <w:t>ma</w:t>
      </w:r>
      <w:r w:rsidR="00D52705">
        <w:rPr>
          <w:szCs w:val="20"/>
          <w:lang w:val="es-CR"/>
        </w:rPr>
        <w:t>rz</w:t>
      </w:r>
      <w:r w:rsidR="00D52705" w:rsidRPr="002B4E6D">
        <w:rPr>
          <w:szCs w:val="20"/>
          <w:lang w:val="es-CR"/>
        </w:rPr>
        <w:t xml:space="preserve">o </w:t>
      </w:r>
      <w:r w:rsidR="00A3453D" w:rsidRPr="002B4E6D">
        <w:rPr>
          <w:szCs w:val="20"/>
          <w:lang w:val="es-CR"/>
        </w:rPr>
        <w:t>y</w:t>
      </w:r>
      <w:r w:rsidR="00A116F8" w:rsidRPr="002B4E6D">
        <w:rPr>
          <w:szCs w:val="20"/>
          <w:lang w:val="es-CR"/>
        </w:rPr>
        <w:t xml:space="preserve"> </w:t>
      </w:r>
      <w:r w:rsidR="009D0749" w:rsidRPr="002B4E6D">
        <w:rPr>
          <w:szCs w:val="20"/>
          <w:lang w:val="es-CR"/>
        </w:rPr>
        <w:t>mayo</w:t>
      </w:r>
      <w:r w:rsidR="00A116F8" w:rsidRPr="002B4E6D">
        <w:rPr>
          <w:szCs w:val="20"/>
          <w:lang w:val="es-CR"/>
        </w:rPr>
        <w:t xml:space="preserve"> de 2017.</w:t>
      </w:r>
    </w:p>
    <w:p w14:paraId="4B152C86" w14:textId="77777777" w:rsidR="00827DF3" w:rsidRPr="002B4E6D" w:rsidRDefault="00827DF3" w:rsidP="00827DF3">
      <w:pPr>
        <w:pStyle w:val="ListParagraph"/>
        <w:rPr>
          <w:szCs w:val="20"/>
          <w:lang w:val="es-CR"/>
        </w:rPr>
      </w:pPr>
    </w:p>
    <w:p w14:paraId="2EA863AC" w14:textId="2173FC93" w:rsidR="005B2EB5" w:rsidRPr="002B4E6D" w:rsidRDefault="00A3453D" w:rsidP="005B2EB5">
      <w:pPr>
        <w:pStyle w:val="ListParagraph"/>
        <w:numPr>
          <w:ilvl w:val="0"/>
          <w:numId w:val="20"/>
        </w:numPr>
        <w:snapToGrid w:val="0"/>
        <w:ind w:left="0" w:firstLine="0"/>
        <w:contextualSpacing w:val="0"/>
        <w:rPr>
          <w:szCs w:val="20"/>
          <w:lang w:val="es-CR"/>
        </w:rPr>
      </w:pPr>
      <w:r w:rsidRPr="002B4E6D">
        <w:rPr>
          <w:szCs w:val="20"/>
          <w:lang w:val="es-CR"/>
        </w:rPr>
        <w:t>Los</w:t>
      </w:r>
      <w:r w:rsidR="005B2EB5" w:rsidRPr="002B4E6D">
        <w:rPr>
          <w:szCs w:val="20"/>
          <w:lang w:val="es-CR"/>
        </w:rPr>
        <w:t xml:space="preserve"> representantes </w:t>
      </w:r>
      <w:r w:rsidRPr="002B4E6D">
        <w:rPr>
          <w:szCs w:val="20"/>
          <w:lang w:val="es-CR"/>
        </w:rPr>
        <w:t>criticaron</w:t>
      </w:r>
      <w:r w:rsidR="005B2EB5" w:rsidRPr="002B4E6D">
        <w:rPr>
          <w:szCs w:val="20"/>
          <w:lang w:val="es-CR"/>
        </w:rPr>
        <w:t xml:space="preserve"> </w:t>
      </w:r>
      <w:r w:rsidRPr="002B4E6D">
        <w:rPr>
          <w:szCs w:val="20"/>
          <w:lang w:val="es-CR"/>
        </w:rPr>
        <w:t>la</w:t>
      </w:r>
      <w:r w:rsidR="005B2EB5" w:rsidRPr="002B4E6D">
        <w:rPr>
          <w:szCs w:val="20"/>
          <w:lang w:val="es-CR"/>
        </w:rPr>
        <w:t xml:space="preserve"> </w:t>
      </w:r>
      <w:r w:rsidRPr="002B4E6D">
        <w:rPr>
          <w:szCs w:val="20"/>
          <w:lang w:val="es-CR"/>
        </w:rPr>
        <w:t>omisión</w:t>
      </w:r>
      <w:r w:rsidR="005B2EB5" w:rsidRPr="002B4E6D">
        <w:rPr>
          <w:szCs w:val="20"/>
          <w:lang w:val="es-CR"/>
        </w:rPr>
        <w:t xml:space="preserve"> </w:t>
      </w:r>
      <w:r w:rsidRPr="002B4E6D">
        <w:rPr>
          <w:szCs w:val="20"/>
          <w:lang w:val="es-CR"/>
        </w:rPr>
        <w:t>del</w:t>
      </w:r>
      <w:r w:rsidR="005B2EB5" w:rsidRPr="002B4E6D">
        <w:rPr>
          <w:szCs w:val="20"/>
          <w:lang w:val="es-CR"/>
        </w:rPr>
        <w:t xml:space="preserve"> Estado </w:t>
      </w:r>
      <w:r w:rsidRPr="002B4E6D">
        <w:rPr>
          <w:szCs w:val="20"/>
          <w:lang w:val="es-CR"/>
        </w:rPr>
        <w:t>al</w:t>
      </w:r>
      <w:r w:rsidR="005B2EB5" w:rsidRPr="002B4E6D">
        <w:rPr>
          <w:szCs w:val="20"/>
          <w:lang w:val="es-CR"/>
        </w:rPr>
        <w:t xml:space="preserve"> </w:t>
      </w:r>
      <w:r w:rsidRPr="002B4E6D">
        <w:rPr>
          <w:szCs w:val="20"/>
          <w:lang w:val="es-CR"/>
        </w:rPr>
        <w:t>no</w:t>
      </w:r>
      <w:r w:rsidR="005B2EB5" w:rsidRPr="002B4E6D">
        <w:rPr>
          <w:szCs w:val="20"/>
          <w:lang w:val="es-CR"/>
        </w:rPr>
        <w:t xml:space="preserve"> preparar </w:t>
      </w:r>
      <w:r w:rsidRPr="002B4E6D">
        <w:rPr>
          <w:szCs w:val="20"/>
          <w:lang w:val="es-CR"/>
        </w:rPr>
        <w:t>un plan</w:t>
      </w:r>
      <w:r w:rsidR="005B2EB5" w:rsidRPr="002B4E6D">
        <w:rPr>
          <w:szCs w:val="20"/>
          <w:lang w:val="es-CR"/>
        </w:rPr>
        <w:t xml:space="preserve"> estratégico para </w:t>
      </w:r>
      <w:r w:rsidRPr="002B4E6D">
        <w:rPr>
          <w:szCs w:val="20"/>
          <w:lang w:val="es-CR"/>
        </w:rPr>
        <w:t>l</w:t>
      </w:r>
      <w:r w:rsidR="005B2EB5" w:rsidRPr="002B4E6D">
        <w:rPr>
          <w:szCs w:val="20"/>
          <w:lang w:val="es-CR"/>
        </w:rPr>
        <w:t xml:space="preserve">a </w:t>
      </w:r>
      <w:r w:rsidRPr="002B4E6D">
        <w:rPr>
          <w:szCs w:val="20"/>
          <w:lang w:val="es-CR"/>
        </w:rPr>
        <w:t>reducción</w:t>
      </w:r>
      <w:r w:rsidR="005B2EB5" w:rsidRPr="002B4E6D">
        <w:rPr>
          <w:szCs w:val="20"/>
          <w:lang w:val="es-CR"/>
        </w:rPr>
        <w:t xml:space="preserve"> </w:t>
      </w:r>
      <w:r w:rsidRPr="002B4E6D">
        <w:rPr>
          <w:szCs w:val="20"/>
          <w:lang w:val="es-CR"/>
        </w:rPr>
        <w:t>de la</w:t>
      </w:r>
      <w:r w:rsidR="005B2EB5" w:rsidRPr="002B4E6D">
        <w:rPr>
          <w:szCs w:val="20"/>
          <w:lang w:val="es-CR"/>
        </w:rPr>
        <w:t xml:space="preserve"> </w:t>
      </w:r>
      <w:r w:rsidR="007B78BA" w:rsidRPr="002B4E6D">
        <w:rPr>
          <w:szCs w:val="20"/>
          <w:lang w:val="es-CR"/>
        </w:rPr>
        <w:t>población</w:t>
      </w:r>
      <w:r w:rsidR="005B2EB5" w:rsidRPr="002B4E6D">
        <w:rPr>
          <w:szCs w:val="20"/>
          <w:lang w:val="es-CR"/>
        </w:rPr>
        <w:t xml:space="preserve"> </w:t>
      </w:r>
      <w:r w:rsidR="009D0749" w:rsidRPr="002B4E6D">
        <w:rPr>
          <w:szCs w:val="20"/>
          <w:lang w:val="es-CR"/>
        </w:rPr>
        <w:t>carcelaria</w:t>
      </w:r>
      <w:r w:rsidR="005B2EB5" w:rsidRPr="002B4E6D">
        <w:rPr>
          <w:szCs w:val="20"/>
          <w:lang w:val="es-CR"/>
        </w:rPr>
        <w:t xml:space="preserve">, como </w:t>
      </w:r>
      <w:r w:rsidR="00602D03">
        <w:rPr>
          <w:szCs w:val="20"/>
          <w:lang w:val="es-CR"/>
        </w:rPr>
        <w:t xml:space="preserve">el </w:t>
      </w:r>
      <w:r w:rsidRPr="002B4E6D">
        <w:rPr>
          <w:szCs w:val="20"/>
          <w:lang w:val="es-CR"/>
        </w:rPr>
        <w:t>solicitado</w:t>
      </w:r>
      <w:r w:rsidR="005B2EB5" w:rsidRPr="002B4E6D">
        <w:rPr>
          <w:szCs w:val="20"/>
          <w:lang w:val="es-CR"/>
        </w:rPr>
        <w:t xml:space="preserve"> </w:t>
      </w:r>
      <w:r w:rsidRPr="002B4E6D">
        <w:rPr>
          <w:szCs w:val="20"/>
          <w:lang w:val="es-CR"/>
        </w:rPr>
        <w:t>por la</w:t>
      </w:r>
      <w:r w:rsidR="005B2EB5" w:rsidRPr="002B4E6D">
        <w:rPr>
          <w:szCs w:val="20"/>
          <w:lang w:val="es-CR"/>
        </w:rPr>
        <w:t xml:space="preserve"> Corte </w:t>
      </w:r>
      <w:r w:rsidRPr="002B4E6D">
        <w:rPr>
          <w:szCs w:val="20"/>
          <w:lang w:val="es-CR"/>
        </w:rPr>
        <w:t>en la</w:t>
      </w:r>
      <w:r w:rsidR="005B2EB5" w:rsidRPr="002B4E6D">
        <w:rPr>
          <w:szCs w:val="20"/>
          <w:lang w:val="es-CR"/>
        </w:rPr>
        <w:t xml:space="preserve"> </w:t>
      </w:r>
      <w:r w:rsidR="00485931" w:rsidRPr="002B4E6D">
        <w:rPr>
          <w:szCs w:val="20"/>
          <w:lang w:val="es-CR"/>
        </w:rPr>
        <w:t>R</w:t>
      </w:r>
      <w:r w:rsidR="005B2EB5" w:rsidRPr="002B4E6D">
        <w:rPr>
          <w:szCs w:val="20"/>
          <w:lang w:val="es-CR"/>
        </w:rPr>
        <w:t>esolu</w:t>
      </w:r>
      <w:r w:rsidR="00AA1A37" w:rsidRPr="002B4E6D">
        <w:rPr>
          <w:szCs w:val="20"/>
          <w:lang w:val="es-CR"/>
        </w:rPr>
        <w:t>ción</w:t>
      </w:r>
      <w:r w:rsidR="005B2EB5" w:rsidRPr="002B4E6D">
        <w:rPr>
          <w:szCs w:val="20"/>
          <w:lang w:val="es-CR"/>
        </w:rPr>
        <w:t xml:space="preserve"> de 31 de agosto de 2017. </w:t>
      </w:r>
      <w:r w:rsidRPr="002B4E6D">
        <w:rPr>
          <w:szCs w:val="20"/>
          <w:lang w:val="es-CR"/>
        </w:rPr>
        <w:t>Resaltaron</w:t>
      </w:r>
      <w:r w:rsidR="005B2EB5" w:rsidRPr="002B4E6D">
        <w:rPr>
          <w:szCs w:val="20"/>
          <w:lang w:val="es-CR"/>
        </w:rPr>
        <w:t xml:space="preserve"> que</w:t>
      </w:r>
      <w:r w:rsidR="00576F34" w:rsidRPr="002B4E6D">
        <w:rPr>
          <w:szCs w:val="20"/>
          <w:lang w:val="es-CR"/>
        </w:rPr>
        <w:t>,</w:t>
      </w:r>
      <w:r w:rsidR="005B2EB5" w:rsidRPr="002B4E6D">
        <w:rPr>
          <w:szCs w:val="20"/>
          <w:lang w:val="es-CR"/>
        </w:rPr>
        <w:t xml:space="preserve"> </w:t>
      </w:r>
      <w:r w:rsidR="00602D03">
        <w:rPr>
          <w:szCs w:val="20"/>
          <w:lang w:val="es-CR"/>
        </w:rPr>
        <w:t>fueron</w:t>
      </w:r>
      <w:r w:rsidR="00602D03" w:rsidRPr="002B4E6D">
        <w:rPr>
          <w:szCs w:val="20"/>
          <w:lang w:val="es-CR"/>
        </w:rPr>
        <w:t xml:space="preserve"> </w:t>
      </w:r>
      <w:r w:rsidRPr="002B4E6D">
        <w:rPr>
          <w:szCs w:val="20"/>
          <w:lang w:val="es-CR"/>
        </w:rPr>
        <w:t>l</w:t>
      </w:r>
      <w:r w:rsidR="005B2EB5" w:rsidRPr="002B4E6D">
        <w:rPr>
          <w:szCs w:val="20"/>
          <w:lang w:val="es-CR"/>
        </w:rPr>
        <w:t xml:space="preserve">os </w:t>
      </w:r>
      <w:r w:rsidR="008833DE" w:rsidRPr="002B4E6D">
        <w:rPr>
          <w:szCs w:val="20"/>
          <w:lang w:val="es-CR"/>
        </w:rPr>
        <w:t>propios</w:t>
      </w:r>
      <w:r w:rsidR="005B2EB5" w:rsidRPr="002B4E6D">
        <w:rPr>
          <w:szCs w:val="20"/>
          <w:lang w:val="es-CR"/>
        </w:rPr>
        <w:t xml:space="preserve"> representantes </w:t>
      </w:r>
      <w:r w:rsidR="00602D03">
        <w:rPr>
          <w:szCs w:val="20"/>
          <w:lang w:val="es-CR"/>
        </w:rPr>
        <w:t xml:space="preserve">los que </w:t>
      </w:r>
      <w:r w:rsidRPr="002B4E6D">
        <w:rPr>
          <w:szCs w:val="20"/>
          <w:lang w:val="es-CR"/>
        </w:rPr>
        <w:t>formularon</w:t>
      </w:r>
      <w:r w:rsidR="005B2EB5" w:rsidRPr="002B4E6D">
        <w:rPr>
          <w:szCs w:val="20"/>
          <w:lang w:val="es-CR"/>
        </w:rPr>
        <w:t xml:space="preserve"> </w:t>
      </w:r>
      <w:r w:rsidR="00576F34" w:rsidRPr="002B4E6D">
        <w:rPr>
          <w:szCs w:val="20"/>
          <w:lang w:val="es-CR"/>
        </w:rPr>
        <w:t>ese</w:t>
      </w:r>
      <w:r w:rsidRPr="002B4E6D">
        <w:rPr>
          <w:szCs w:val="20"/>
          <w:lang w:val="es-CR"/>
        </w:rPr>
        <w:t xml:space="preserve"> plan, titulado Plan</w:t>
      </w:r>
      <w:r w:rsidR="005B2EB5" w:rsidRPr="002B4E6D">
        <w:rPr>
          <w:szCs w:val="20"/>
          <w:lang w:val="es-CR"/>
        </w:rPr>
        <w:t xml:space="preserve"> de </w:t>
      </w:r>
      <w:r w:rsidR="009D0749" w:rsidRPr="002B4E6D">
        <w:rPr>
          <w:szCs w:val="20"/>
          <w:lang w:val="es-CR"/>
        </w:rPr>
        <w:t>Reducción</w:t>
      </w:r>
      <w:r w:rsidR="005B2EB5" w:rsidRPr="002B4E6D">
        <w:rPr>
          <w:szCs w:val="20"/>
          <w:lang w:val="es-CR"/>
        </w:rPr>
        <w:t xml:space="preserve"> </w:t>
      </w:r>
      <w:r w:rsidR="00FE74C6" w:rsidRPr="002B4E6D">
        <w:rPr>
          <w:szCs w:val="20"/>
          <w:lang w:val="es-CR"/>
        </w:rPr>
        <w:t>Cuantitativ</w:t>
      </w:r>
      <w:r w:rsidR="00E4427D">
        <w:rPr>
          <w:szCs w:val="20"/>
          <w:lang w:val="es-CR"/>
        </w:rPr>
        <w:t>a</w:t>
      </w:r>
      <w:r w:rsidR="005B2EB5" w:rsidRPr="002B4E6D">
        <w:rPr>
          <w:szCs w:val="20"/>
          <w:lang w:val="es-CR"/>
        </w:rPr>
        <w:t xml:space="preserve"> </w:t>
      </w:r>
      <w:r w:rsidRPr="002B4E6D">
        <w:rPr>
          <w:szCs w:val="20"/>
          <w:lang w:val="es-CR"/>
        </w:rPr>
        <w:t>del</w:t>
      </w:r>
      <w:r w:rsidR="005B2EB5" w:rsidRPr="002B4E6D">
        <w:rPr>
          <w:szCs w:val="20"/>
          <w:lang w:val="es-CR"/>
        </w:rPr>
        <w:t xml:space="preserve"> </w:t>
      </w:r>
      <w:r w:rsidR="00945D4E" w:rsidRPr="002B4E6D">
        <w:rPr>
          <w:szCs w:val="20"/>
          <w:lang w:val="es-CR"/>
        </w:rPr>
        <w:t xml:space="preserve">Hacinamiento </w:t>
      </w:r>
      <w:r w:rsidRPr="002B4E6D">
        <w:rPr>
          <w:szCs w:val="20"/>
          <w:lang w:val="es-CR"/>
        </w:rPr>
        <w:t>Carcelario</w:t>
      </w:r>
      <w:r w:rsidR="005B2EB5" w:rsidRPr="002B4E6D">
        <w:rPr>
          <w:szCs w:val="20"/>
          <w:lang w:val="es-CR"/>
        </w:rPr>
        <w:t xml:space="preserve"> </w:t>
      </w:r>
      <w:r w:rsidRPr="002B4E6D">
        <w:rPr>
          <w:szCs w:val="20"/>
          <w:lang w:val="es-CR"/>
        </w:rPr>
        <w:t>del IPPSC (Plan</w:t>
      </w:r>
      <w:r w:rsidR="005B2EB5" w:rsidRPr="002B4E6D">
        <w:rPr>
          <w:szCs w:val="20"/>
          <w:lang w:val="es-CR"/>
        </w:rPr>
        <w:t xml:space="preserve"> IPPSC).</w:t>
      </w:r>
    </w:p>
    <w:p w14:paraId="0D049740" w14:textId="77777777" w:rsidR="005B2EB5" w:rsidRPr="002B4E6D" w:rsidRDefault="005B2EB5" w:rsidP="005B2EB5">
      <w:pPr>
        <w:pStyle w:val="ListParagraph"/>
        <w:snapToGrid w:val="0"/>
        <w:ind w:left="0"/>
        <w:contextualSpacing w:val="0"/>
        <w:rPr>
          <w:szCs w:val="20"/>
          <w:lang w:val="es-CR"/>
        </w:rPr>
      </w:pPr>
    </w:p>
    <w:p w14:paraId="45D081EF" w14:textId="5295DE67" w:rsidR="008124E8" w:rsidRPr="002B4E6D" w:rsidRDefault="00A3453D" w:rsidP="005B2EB5">
      <w:pPr>
        <w:pStyle w:val="ListParagraph"/>
        <w:numPr>
          <w:ilvl w:val="0"/>
          <w:numId w:val="20"/>
        </w:numPr>
        <w:snapToGrid w:val="0"/>
        <w:ind w:left="0" w:firstLine="0"/>
        <w:contextualSpacing w:val="0"/>
        <w:rPr>
          <w:szCs w:val="20"/>
          <w:lang w:val="es-CR"/>
        </w:rPr>
      </w:pPr>
      <w:r w:rsidRPr="002B4E6D">
        <w:rPr>
          <w:szCs w:val="20"/>
          <w:lang w:val="es-CR"/>
        </w:rPr>
        <w:t>El</w:t>
      </w:r>
      <w:r w:rsidR="00585B36" w:rsidRPr="002B4E6D">
        <w:rPr>
          <w:szCs w:val="20"/>
          <w:lang w:val="es-CR"/>
        </w:rPr>
        <w:t xml:space="preserve"> 8 de </w:t>
      </w:r>
      <w:r w:rsidRPr="002B4E6D">
        <w:rPr>
          <w:szCs w:val="20"/>
          <w:lang w:val="es-CR"/>
        </w:rPr>
        <w:t>marzo</w:t>
      </w:r>
      <w:r w:rsidR="00585B36" w:rsidRPr="002B4E6D">
        <w:rPr>
          <w:szCs w:val="20"/>
          <w:lang w:val="es-CR"/>
        </w:rPr>
        <w:t xml:space="preserve"> de 2018, </w:t>
      </w:r>
      <w:r w:rsidRPr="002B4E6D">
        <w:rPr>
          <w:szCs w:val="20"/>
          <w:lang w:val="es-CR"/>
        </w:rPr>
        <w:t>los</w:t>
      </w:r>
      <w:r w:rsidR="00360853" w:rsidRPr="002B4E6D">
        <w:rPr>
          <w:szCs w:val="20"/>
          <w:lang w:val="es-CR"/>
        </w:rPr>
        <w:t xml:space="preserve"> representantes se </w:t>
      </w:r>
      <w:r w:rsidRPr="002B4E6D">
        <w:rPr>
          <w:szCs w:val="20"/>
          <w:lang w:val="es-CR"/>
        </w:rPr>
        <w:t>reunieron</w:t>
      </w:r>
      <w:r w:rsidR="00360853" w:rsidRPr="002B4E6D">
        <w:rPr>
          <w:szCs w:val="20"/>
          <w:lang w:val="es-CR"/>
        </w:rPr>
        <w:t xml:space="preserve"> </w:t>
      </w:r>
      <w:r w:rsidRPr="002B4E6D">
        <w:rPr>
          <w:szCs w:val="20"/>
          <w:lang w:val="es-CR"/>
        </w:rPr>
        <w:t>con</w:t>
      </w:r>
      <w:r w:rsidR="00360853" w:rsidRPr="002B4E6D">
        <w:rPr>
          <w:szCs w:val="20"/>
          <w:lang w:val="es-CR"/>
        </w:rPr>
        <w:t xml:space="preserve"> </w:t>
      </w:r>
      <w:r w:rsidRPr="002B4E6D">
        <w:rPr>
          <w:szCs w:val="20"/>
          <w:lang w:val="es-CR"/>
        </w:rPr>
        <w:t>el</w:t>
      </w:r>
      <w:r w:rsidR="00D25A33" w:rsidRPr="002B4E6D">
        <w:rPr>
          <w:szCs w:val="20"/>
          <w:lang w:val="es-CR"/>
        </w:rPr>
        <w:t xml:space="preserve"> GMF</w:t>
      </w:r>
      <w:r w:rsidR="005B2EB5" w:rsidRPr="002B4E6D">
        <w:rPr>
          <w:szCs w:val="20"/>
          <w:lang w:val="es-CR"/>
        </w:rPr>
        <w:t xml:space="preserve">-RJ, </w:t>
      </w:r>
      <w:r w:rsidRPr="002B4E6D">
        <w:rPr>
          <w:szCs w:val="20"/>
          <w:lang w:val="es-CR"/>
        </w:rPr>
        <w:t>con</w:t>
      </w:r>
      <w:r w:rsidR="005B2EB5" w:rsidRPr="002B4E6D">
        <w:rPr>
          <w:szCs w:val="20"/>
          <w:lang w:val="es-CR"/>
        </w:rPr>
        <w:t xml:space="preserve"> </w:t>
      </w:r>
      <w:r w:rsidRPr="002B4E6D">
        <w:rPr>
          <w:szCs w:val="20"/>
          <w:lang w:val="es-CR"/>
        </w:rPr>
        <w:t>el</w:t>
      </w:r>
      <w:r w:rsidR="005B2EB5" w:rsidRPr="002B4E6D">
        <w:rPr>
          <w:szCs w:val="20"/>
          <w:lang w:val="es-CR"/>
        </w:rPr>
        <w:t xml:space="preserve"> propósito de </w:t>
      </w:r>
      <w:r w:rsidR="009D0749" w:rsidRPr="002B4E6D">
        <w:rPr>
          <w:szCs w:val="20"/>
          <w:lang w:val="es-CR"/>
        </w:rPr>
        <w:t>presentar</w:t>
      </w:r>
      <w:r w:rsidR="005B2EB5" w:rsidRPr="002B4E6D">
        <w:rPr>
          <w:szCs w:val="20"/>
          <w:lang w:val="es-CR"/>
        </w:rPr>
        <w:t xml:space="preserve"> </w:t>
      </w:r>
      <w:r w:rsidRPr="002B4E6D">
        <w:rPr>
          <w:szCs w:val="20"/>
          <w:lang w:val="es-CR"/>
        </w:rPr>
        <w:t>el referido Plan</w:t>
      </w:r>
      <w:r w:rsidR="005B2EB5" w:rsidRPr="002B4E6D">
        <w:rPr>
          <w:szCs w:val="20"/>
          <w:lang w:val="es-CR"/>
        </w:rPr>
        <w:t xml:space="preserve"> IPPSC</w:t>
      </w:r>
      <w:r w:rsidR="00585B36" w:rsidRPr="002B4E6D">
        <w:rPr>
          <w:szCs w:val="20"/>
          <w:lang w:val="es-CR"/>
        </w:rPr>
        <w:t xml:space="preserve">. </w:t>
      </w:r>
      <w:r w:rsidRPr="002B4E6D">
        <w:rPr>
          <w:szCs w:val="20"/>
          <w:lang w:val="es-CR"/>
        </w:rPr>
        <w:t>En esa</w:t>
      </w:r>
      <w:r w:rsidR="005B2EB5" w:rsidRPr="002B4E6D">
        <w:rPr>
          <w:szCs w:val="20"/>
          <w:lang w:val="es-CR"/>
        </w:rPr>
        <w:t xml:space="preserve"> </w:t>
      </w:r>
      <w:r w:rsidRPr="002B4E6D">
        <w:rPr>
          <w:szCs w:val="20"/>
          <w:lang w:val="es-CR"/>
        </w:rPr>
        <w:t>reunión, presentaron</w:t>
      </w:r>
      <w:r w:rsidR="005B2EB5" w:rsidRPr="002B4E6D">
        <w:rPr>
          <w:szCs w:val="20"/>
          <w:lang w:val="es-CR"/>
        </w:rPr>
        <w:t xml:space="preserve"> </w:t>
      </w:r>
      <w:r w:rsidRPr="002B4E6D">
        <w:rPr>
          <w:szCs w:val="20"/>
          <w:lang w:val="es-CR"/>
        </w:rPr>
        <w:t>dos</w:t>
      </w:r>
      <w:r w:rsidR="005B2EB5" w:rsidRPr="002B4E6D">
        <w:rPr>
          <w:szCs w:val="20"/>
          <w:lang w:val="es-CR"/>
        </w:rPr>
        <w:t xml:space="preserve"> </w:t>
      </w:r>
      <w:r w:rsidRPr="002B4E6D">
        <w:rPr>
          <w:szCs w:val="20"/>
          <w:lang w:val="es-CR"/>
        </w:rPr>
        <w:t>propuestas</w:t>
      </w:r>
      <w:r w:rsidR="00944483" w:rsidRPr="002B4E6D">
        <w:rPr>
          <w:szCs w:val="20"/>
          <w:lang w:val="es-CR"/>
        </w:rPr>
        <w:t xml:space="preserve"> para </w:t>
      </w:r>
      <w:r w:rsidR="009D0749" w:rsidRPr="002B4E6D">
        <w:rPr>
          <w:szCs w:val="20"/>
          <w:lang w:val="es-CR"/>
        </w:rPr>
        <w:t>reducir</w:t>
      </w:r>
      <w:r w:rsidR="00944483" w:rsidRPr="002B4E6D">
        <w:rPr>
          <w:szCs w:val="20"/>
          <w:lang w:val="es-CR"/>
        </w:rPr>
        <w:t xml:space="preserve"> </w:t>
      </w:r>
      <w:r w:rsidRPr="002B4E6D">
        <w:rPr>
          <w:szCs w:val="20"/>
          <w:lang w:val="es-CR"/>
        </w:rPr>
        <w:t>el</w:t>
      </w:r>
      <w:r w:rsidR="00944483" w:rsidRPr="002B4E6D">
        <w:rPr>
          <w:szCs w:val="20"/>
          <w:lang w:val="es-CR"/>
        </w:rPr>
        <w:t xml:space="preserve"> </w:t>
      </w:r>
      <w:r w:rsidR="00945D4E" w:rsidRPr="002B4E6D">
        <w:rPr>
          <w:szCs w:val="20"/>
          <w:lang w:val="es-CR"/>
        </w:rPr>
        <w:t xml:space="preserve">hacinamiento </w:t>
      </w:r>
      <w:r w:rsidR="00944483" w:rsidRPr="002B4E6D">
        <w:rPr>
          <w:szCs w:val="20"/>
          <w:lang w:val="es-CR"/>
        </w:rPr>
        <w:t>de</w:t>
      </w:r>
      <w:r w:rsidR="00F425F0" w:rsidRPr="002B4E6D">
        <w:rPr>
          <w:szCs w:val="20"/>
          <w:lang w:val="es-CR"/>
        </w:rPr>
        <w:t xml:space="preserve"> </w:t>
      </w:r>
      <w:r w:rsidRPr="002B4E6D">
        <w:rPr>
          <w:szCs w:val="20"/>
          <w:lang w:val="es-CR"/>
        </w:rPr>
        <w:t>esa</w:t>
      </w:r>
      <w:r w:rsidR="00944483" w:rsidRPr="002B4E6D">
        <w:rPr>
          <w:szCs w:val="20"/>
          <w:lang w:val="es-CR"/>
        </w:rPr>
        <w:t xml:space="preserve"> </w:t>
      </w:r>
      <w:r w:rsidR="008833DE" w:rsidRPr="002B4E6D">
        <w:rPr>
          <w:szCs w:val="20"/>
          <w:lang w:val="es-CR"/>
        </w:rPr>
        <w:t>unidad</w:t>
      </w:r>
      <w:r w:rsidR="00944483" w:rsidRPr="002B4E6D">
        <w:rPr>
          <w:szCs w:val="20"/>
          <w:lang w:val="es-CR"/>
        </w:rPr>
        <w:t xml:space="preserve"> </w:t>
      </w:r>
      <w:r w:rsidR="00031269" w:rsidRPr="002B4E6D">
        <w:rPr>
          <w:szCs w:val="20"/>
          <w:lang w:val="es-CR"/>
        </w:rPr>
        <w:t>carcelari</w:t>
      </w:r>
      <w:r w:rsidRPr="002B4E6D">
        <w:rPr>
          <w:szCs w:val="20"/>
          <w:lang w:val="es-CR"/>
        </w:rPr>
        <w:t>a</w:t>
      </w:r>
      <w:r w:rsidR="005B2EB5" w:rsidRPr="002B4E6D">
        <w:rPr>
          <w:szCs w:val="20"/>
          <w:lang w:val="es-CR"/>
        </w:rPr>
        <w:t xml:space="preserve">, </w:t>
      </w:r>
      <w:r w:rsidR="00485159">
        <w:rPr>
          <w:szCs w:val="20"/>
          <w:lang w:val="es-CR"/>
        </w:rPr>
        <w:t xml:space="preserve">las cuales </w:t>
      </w:r>
      <w:r w:rsidRPr="002B4E6D">
        <w:rPr>
          <w:szCs w:val="20"/>
          <w:lang w:val="es-CR"/>
        </w:rPr>
        <w:t>son</w:t>
      </w:r>
      <w:r w:rsidR="005B2EB5" w:rsidRPr="002B4E6D">
        <w:rPr>
          <w:szCs w:val="20"/>
          <w:lang w:val="es-CR"/>
        </w:rPr>
        <w:t>:</w:t>
      </w:r>
      <w:r w:rsidR="008124E8" w:rsidRPr="002B4E6D">
        <w:rPr>
          <w:szCs w:val="20"/>
          <w:lang w:val="es-CR"/>
        </w:rPr>
        <w:t xml:space="preserve"> i) </w:t>
      </w:r>
      <w:r w:rsidR="00485159">
        <w:rPr>
          <w:szCs w:val="20"/>
          <w:lang w:val="es-CR"/>
        </w:rPr>
        <w:t xml:space="preserve">la </w:t>
      </w:r>
      <w:r w:rsidRPr="002B4E6D">
        <w:rPr>
          <w:szCs w:val="20"/>
          <w:lang w:val="es-CR"/>
        </w:rPr>
        <w:t>concesión</w:t>
      </w:r>
      <w:r w:rsidR="008124E8" w:rsidRPr="002B4E6D">
        <w:rPr>
          <w:szCs w:val="20"/>
          <w:lang w:val="es-CR"/>
        </w:rPr>
        <w:t xml:space="preserve"> de </w:t>
      </w:r>
      <w:r w:rsidR="008833DE" w:rsidRPr="002B4E6D">
        <w:rPr>
          <w:szCs w:val="20"/>
          <w:lang w:val="es-CR"/>
        </w:rPr>
        <w:t>beneficios</w:t>
      </w:r>
      <w:r w:rsidR="008124E8" w:rsidRPr="002B4E6D">
        <w:rPr>
          <w:szCs w:val="20"/>
          <w:lang w:val="es-CR"/>
        </w:rPr>
        <w:t xml:space="preserve"> </w:t>
      </w:r>
      <w:r w:rsidR="009D0749" w:rsidRPr="002B4E6D">
        <w:rPr>
          <w:szCs w:val="20"/>
          <w:lang w:val="es-CR"/>
        </w:rPr>
        <w:t>penitenciarios</w:t>
      </w:r>
      <w:r w:rsidR="008124E8" w:rsidRPr="002B4E6D">
        <w:rPr>
          <w:szCs w:val="20"/>
          <w:lang w:val="es-CR"/>
        </w:rPr>
        <w:t xml:space="preserve"> temporalmente </w:t>
      </w:r>
      <w:r w:rsidR="009D0749" w:rsidRPr="002B4E6D">
        <w:rPr>
          <w:szCs w:val="20"/>
          <w:lang w:val="es-CR"/>
        </w:rPr>
        <w:t>anticipados</w:t>
      </w:r>
      <w:r w:rsidR="008124E8" w:rsidRPr="002B4E6D">
        <w:rPr>
          <w:szCs w:val="20"/>
          <w:lang w:val="es-CR"/>
        </w:rPr>
        <w:t xml:space="preserve">, </w:t>
      </w:r>
      <w:r w:rsidRPr="002B4E6D">
        <w:rPr>
          <w:szCs w:val="20"/>
          <w:lang w:val="es-CR"/>
        </w:rPr>
        <w:t xml:space="preserve">principalmente la </w:t>
      </w:r>
      <w:r w:rsidR="00560CCC" w:rsidRPr="002B4E6D">
        <w:rPr>
          <w:szCs w:val="20"/>
          <w:lang w:val="es-CR"/>
        </w:rPr>
        <w:t>libertad</w:t>
      </w:r>
      <w:r w:rsidR="008124E8" w:rsidRPr="002B4E6D">
        <w:rPr>
          <w:szCs w:val="20"/>
          <w:lang w:val="es-CR"/>
        </w:rPr>
        <w:t xml:space="preserve"> condicional </w:t>
      </w:r>
      <w:r w:rsidRPr="002B4E6D">
        <w:rPr>
          <w:szCs w:val="20"/>
          <w:lang w:val="es-CR"/>
        </w:rPr>
        <w:t>y</w:t>
      </w:r>
      <w:r w:rsidR="008124E8" w:rsidRPr="002B4E6D">
        <w:rPr>
          <w:szCs w:val="20"/>
          <w:lang w:val="es-CR"/>
        </w:rPr>
        <w:t xml:space="preserve"> </w:t>
      </w:r>
      <w:r w:rsidRPr="002B4E6D">
        <w:rPr>
          <w:szCs w:val="20"/>
          <w:lang w:val="es-CR"/>
        </w:rPr>
        <w:t>l</w:t>
      </w:r>
      <w:r w:rsidR="008124E8" w:rsidRPr="002B4E6D">
        <w:rPr>
          <w:szCs w:val="20"/>
          <w:lang w:val="es-CR"/>
        </w:rPr>
        <w:t xml:space="preserve">a </w:t>
      </w:r>
      <w:r w:rsidRPr="002B4E6D">
        <w:rPr>
          <w:szCs w:val="20"/>
          <w:lang w:val="es-CR"/>
        </w:rPr>
        <w:t>progresión</w:t>
      </w:r>
      <w:r w:rsidR="008124E8" w:rsidRPr="002B4E6D">
        <w:rPr>
          <w:szCs w:val="20"/>
          <w:lang w:val="es-CR"/>
        </w:rPr>
        <w:t xml:space="preserve"> para </w:t>
      </w:r>
      <w:r w:rsidRPr="002B4E6D">
        <w:rPr>
          <w:szCs w:val="20"/>
          <w:lang w:val="es-CR"/>
        </w:rPr>
        <w:t>el</w:t>
      </w:r>
      <w:r w:rsidR="008124E8" w:rsidRPr="002B4E6D">
        <w:rPr>
          <w:szCs w:val="20"/>
          <w:lang w:val="es-CR"/>
        </w:rPr>
        <w:t xml:space="preserve"> </w:t>
      </w:r>
      <w:r w:rsidRPr="002B4E6D">
        <w:rPr>
          <w:szCs w:val="20"/>
          <w:lang w:val="es-CR"/>
        </w:rPr>
        <w:t>régimen</w:t>
      </w:r>
      <w:r w:rsidR="008124E8" w:rsidRPr="002B4E6D">
        <w:rPr>
          <w:szCs w:val="20"/>
          <w:lang w:val="es-CR"/>
        </w:rPr>
        <w:t xml:space="preserve"> </w:t>
      </w:r>
      <w:r w:rsidR="009D0749" w:rsidRPr="002B4E6D">
        <w:rPr>
          <w:szCs w:val="20"/>
          <w:lang w:val="es-CR"/>
        </w:rPr>
        <w:t>abierto</w:t>
      </w:r>
      <w:r w:rsidR="008124E8" w:rsidRPr="002B4E6D">
        <w:rPr>
          <w:szCs w:val="20"/>
          <w:lang w:val="es-CR"/>
        </w:rPr>
        <w:t xml:space="preserve"> </w:t>
      </w:r>
      <w:r w:rsidRPr="002B4E6D">
        <w:rPr>
          <w:szCs w:val="20"/>
          <w:lang w:val="es-CR"/>
        </w:rPr>
        <w:t>en la</w:t>
      </w:r>
      <w:r w:rsidR="008124E8" w:rsidRPr="002B4E6D">
        <w:rPr>
          <w:szCs w:val="20"/>
          <w:lang w:val="es-CR"/>
        </w:rPr>
        <w:t xml:space="preserve"> </w:t>
      </w:r>
      <w:r w:rsidR="009D0749" w:rsidRPr="002B4E6D">
        <w:rPr>
          <w:szCs w:val="20"/>
          <w:lang w:val="es-CR"/>
        </w:rPr>
        <w:t>modalidad</w:t>
      </w:r>
      <w:r w:rsidR="008124E8" w:rsidRPr="002B4E6D">
        <w:rPr>
          <w:szCs w:val="20"/>
          <w:lang w:val="es-CR"/>
        </w:rPr>
        <w:t xml:space="preserve"> de </w:t>
      </w:r>
      <w:r w:rsidR="00B65220" w:rsidRPr="002B4E6D">
        <w:rPr>
          <w:szCs w:val="20"/>
          <w:lang w:val="es-CR"/>
        </w:rPr>
        <w:t>prisión</w:t>
      </w:r>
      <w:r w:rsidR="008124E8" w:rsidRPr="002B4E6D">
        <w:rPr>
          <w:szCs w:val="20"/>
          <w:lang w:val="es-CR"/>
        </w:rPr>
        <w:t xml:space="preserve"> domiciliar</w:t>
      </w:r>
      <w:r w:rsidRPr="002B4E6D">
        <w:rPr>
          <w:szCs w:val="20"/>
          <w:lang w:val="es-CR"/>
        </w:rPr>
        <w:t>ia</w:t>
      </w:r>
      <w:r w:rsidR="008124E8" w:rsidRPr="002B4E6D">
        <w:rPr>
          <w:szCs w:val="20"/>
          <w:lang w:val="es-CR"/>
        </w:rPr>
        <w:t xml:space="preserve">; </w:t>
      </w:r>
      <w:r w:rsidRPr="002B4E6D">
        <w:rPr>
          <w:szCs w:val="20"/>
          <w:lang w:val="es-CR"/>
        </w:rPr>
        <w:t>y</w:t>
      </w:r>
      <w:r w:rsidR="008124E8" w:rsidRPr="002B4E6D">
        <w:rPr>
          <w:szCs w:val="20"/>
          <w:lang w:val="es-CR"/>
        </w:rPr>
        <w:t xml:space="preserve"> ii) </w:t>
      </w:r>
      <w:r w:rsidR="00485159">
        <w:rPr>
          <w:szCs w:val="20"/>
          <w:lang w:val="es-CR"/>
        </w:rPr>
        <w:t xml:space="preserve">la </w:t>
      </w:r>
      <w:r w:rsidR="009D0749" w:rsidRPr="002B4E6D">
        <w:rPr>
          <w:szCs w:val="20"/>
          <w:lang w:val="es-CR"/>
        </w:rPr>
        <w:t>prohibición</w:t>
      </w:r>
      <w:r w:rsidR="008124E8" w:rsidRPr="002B4E6D">
        <w:rPr>
          <w:szCs w:val="20"/>
          <w:lang w:val="es-CR"/>
        </w:rPr>
        <w:t xml:space="preserve"> de </w:t>
      </w:r>
      <w:r w:rsidR="009D0749" w:rsidRPr="002B4E6D">
        <w:rPr>
          <w:szCs w:val="20"/>
          <w:lang w:val="es-CR"/>
        </w:rPr>
        <w:t>ingreso</w:t>
      </w:r>
      <w:r w:rsidR="008124E8" w:rsidRPr="002B4E6D">
        <w:rPr>
          <w:szCs w:val="20"/>
          <w:lang w:val="es-CR"/>
        </w:rPr>
        <w:t xml:space="preserve"> de </w:t>
      </w:r>
      <w:r w:rsidR="009D0749" w:rsidRPr="002B4E6D">
        <w:rPr>
          <w:szCs w:val="20"/>
          <w:lang w:val="es-CR"/>
        </w:rPr>
        <w:t>nuevos</w:t>
      </w:r>
      <w:r w:rsidR="008124E8" w:rsidRPr="002B4E6D">
        <w:rPr>
          <w:szCs w:val="20"/>
          <w:lang w:val="es-CR"/>
        </w:rPr>
        <w:t xml:space="preserve"> </w:t>
      </w:r>
      <w:r w:rsidR="000D1815" w:rsidRPr="002B4E6D">
        <w:rPr>
          <w:szCs w:val="20"/>
          <w:lang w:val="es-CR"/>
        </w:rPr>
        <w:t>detenidos</w:t>
      </w:r>
      <w:r w:rsidR="008124E8" w:rsidRPr="002B4E6D">
        <w:rPr>
          <w:szCs w:val="20"/>
          <w:lang w:val="es-CR"/>
        </w:rPr>
        <w:t xml:space="preserve"> </w:t>
      </w:r>
      <w:r w:rsidR="009D0749" w:rsidRPr="002B4E6D">
        <w:rPr>
          <w:szCs w:val="20"/>
          <w:lang w:val="es-CR"/>
        </w:rPr>
        <w:t>en la</w:t>
      </w:r>
      <w:r w:rsidR="008124E8" w:rsidRPr="002B4E6D">
        <w:rPr>
          <w:szCs w:val="20"/>
          <w:lang w:val="es-CR"/>
        </w:rPr>
        <w:t xml:space="preserve"> </w:t>
      </w:r>
      <w:r w:rsidR="009D0749" w:rsidRPr="002B4E6D">
        <w:rPr>
          <w:szCs w:val="20"/>
          <w:lang w:val="es-CR"/>
        </w:rPr>
        <w:t>unidad</w:t>
      </w:r>
      <w:r w:rsidR="005B2EB5" w:rsidRPr="002B4E6D">
        <w:rPr>
          <w:szCs w:val="20"/>
          <w:lang w:val="es-CR"/>
        </w:rPr>
        <w:t>.</w:t>
      </w:r>
    </w:p>
    <w:p w14:paraId="496A523F" w14:textId="77777777" w:rsidR="005B2EB5" w:rsidRPr="002B4E6D" w:rsidRDefault="005B2EB5" w:rsidP="005B2EB5">
      <w:pPr>
        <w:pStyle w:val="ListParagraph"/>
        <w:rPr>
          <w:szCs w:val="20"/>
          <w:lang w:val="es-CR"/>
        </w:rPr>
      </w:pPr>
    </w:p>
    <w:p w14:paraId="2456EC74" w14:textId="1C04DC19" w:rsidR="00D953CD" w:rsidRPr="002B4E6D" w:rsidRDefault="00A3453D" w:rsidP="005B2EB5">
      <w:pPr>
        <w:pStyle w:val="ListParagraph"/>
        <w:numPr>
          <w:ilvl w:val="0"/>
          <w:numId w:val="20"/>
        </w:numPr>
        <w:snapToGrid w:val="0"/>
        <w:ind w:left="0" w:firstLine="0"/>
        <w:contextualSpacing w:val="0"/>
        <w:rPr>
          <w:szCs w:val="20"/>
          <w:lang w:val="es-CR"/>
        </w:rPr>
      </w:pPr>
      <w:r w:rsidRPr="002B4E6D">
        <w:rPr>
          <w:szCs w:val="20"/>
          <w:lang w:val="es-CR"/>
        </w:rPr>
        <w:t>El</w:t>
      </w:r>
      <w:r w:rsidR="000E5962" w:rsidRPr="002B4E6D">
        <w:rPr>
          <w:szCs w:val="20"/>
          <w:lang w:val="es-CR"/>
        </w:rPr>
        <w:t xml:space="preserve"> G</w:t>
      </w:r>
      <w:r w:rsidR="005B2EB5" w:rsidRPr="002B4E6D">
        <w:rPr>
          <w:szCs w:val="20"/>
          <w:lang w:val="es-CR"/>
        </w:rPr>
        <w:t>M</w:t>
      </w:r>
      <w:r w:rsidR="000E5962" w:rsidRPr="002B4E6D">
        <w:rPr>
          <w:szCs w:val="20"/>
          <w:lang w:val="es-CR"/>
        </w:rPr>
        <w:t>F</w:t>
      </w:r>
      <w:r w:rsidR="005B2EB5" w:rsidRPr="002B4E6D">
        <w:rPr>
          <w:szCs w:val="20"/>
          <w:lang w:val="es-CR"/>
        </w:rPr>
        <w:t xml:space="preserve">-RJ </w:t>
      </w:r>
      <w:r w:rsidR="00E4427D">
        <w:rPr>
          <w:szCs w:val="20"/>
          <w:lang w:val="es-CR"/>
        </w:rPr>
        <w:t xml:space="preserve">se </w:t>
      </w:r>
      <w:r w:rsidRPr="002B4E6D">
        <w:rPr>
          <w:szCs w:val="20"/>
          <w:lang w:val="es-CR"/>
        </w:rPr>
        <w:t>mostró</w:t>
      </w:r>
      <w:r w:rsidR="005B2EB5" w:rsidRPr="002B4E6D">
        <w:rPr>
          <w:szCs w:val="20"/>
          <w:lang w:val="es-CR"/>
        </w:rPr>
        <w:t xml:space="preserve"> </w:t>
      </w:r>
      <w:r w:rsidR="00E4427D">
        <w:rPr>
          <w:szCs w:val="20"/>
          <w:lang w:val="es-CR"/>
        </w:rPr>
        <w:t xml:space="preserve">recalcitrante en </w:t>
      </w:r>
      <w:r w:rsidRPr="002B4E6D">
        <w:rPr>
          <w:szCs w:val="20"/>
          <w:lang w:val="es-CR"/>
        </w:rPr>
        <w:t xml:space="preserve">relación </w:t>
      </w:r>
      <w:r w:rsidR="00E4427D">
        <w:rPr>
          <w:szCs w:val="20"/>
          <w:lang w:val="es-CR"/>
        </w:rPr>
        <w:t>con</w:t>
      </w:r>
      <w:r w:rsidRPr="002B4E6D">
        <w:rPr>
          <w:szCs w:val="20"/>
          <w:lang w:val="es-CR"/>
        </w:rPr>
        <w:t xml:space="preserve"> la</w:t>
      </w:r>
      <w:r w:rsidR="005B2EB5" w:rsidRPr="002B4E6D">
        <w:rPr>
          <w:szCs w:val="20"/>
          <w:lang w:val="es-CR"/>
        </w:rPr>
        <w:t xml:space="preserve"> elabora</w:t>
      </w:r>
      <w:r w:rsidR="00AA1A37" w:rsidRPr="002B4E6D">
        <w:rPr>
          <w:szCs w:val="20"/>
          <w:lang w:val="es-CR"/>
        </w:rPr>
        <w:t>ción</w:t>
      </w:r>
      <w:r w:rsidR="005B2EB5" w:rsidRPr="002B4E6D">
        <w:rPr>
          <w:szCs w:val="20"/>
          <w:lang w:val="es-CR"/>
        </w:rPr>
        <w:t xml:space="preserve"> de </w:t>
      </w:r>
      <w:r w:rsidR="00F45945" w:rsidRPr="002B4E6D">
        <w:rPr>
          <w:szCs w:val="20"/>
          <w:lang w:val="es-CR"/>
        </w:rPr>
        <w:t xml:space="preserve">una </w:t>
      </w:r>
      <w:r w:rsidR="005B2EB5" w:rsidRPr="002B4E6D">
        <w:rPr>
          <w:szCs w:val="20"/>
          <w:lang w:val="es-CR"/>
        </w:rPr>
        <w:t>recomenda</w:t>
      </w:r>
      <w:r w:rsidR="00AA1A37" w:rsidRPr="002B4E6D">
        <w:rPr>
          <w:szCs w:val="20"/>
          <w:lang w:val="es-CR"/>
        </w:rPr>
        <w:t>ción</w:t>
      </w:r>
      <w:r w:rsidR="005B2EB5" w:rsidRPr="002B4E6D">
        <w:rPr>
          <w:szCs w:val="20"/>
          <w:lang w:val="es-CR"/>
        </w:rPr>
        <w:t xml:space="preserve"> a </w:t>
      </w:r>
      <w:r w:rsidR="00E31F81">
        <w:rPr>
          <w:szCs w:val="20"/>
          <w:lang w:val="es-CR"/>
        </w:rPr>
        <w:t xml:space="preserve">los </w:t>
      </w:r>
      <w:r w:rsidRPr="002B4E6D">
        <w:rPr>
          <w:szCs w:val="20"/>
          <w:lang w:val="es-CR"/>
        </w:rPr>
        <w:t>jueces</w:t>
      </w:r>
      <w:r w:rsidR="00E4427D">
        <w:rPr>
          <w:szCs w:val="20"/>
          <w:lang w:val="es-CR"/>
        </w:rPr>
        <w:t xml:space="preserve"> para </w:t>
      </w:r>
      <w:r w:rsidR="005B2EB5" w:rsidRPr="002B4E6D">
        <w:rPr>
          <w:szCs w:val="20"/>
          <w:lang w:val="es-CR"/>
        </w:rPr>
        <w:t>aplica</w:t>
      </w:r>
      <w:r w:rsidR="00E4427D">
        <w:rPr>
          <w:szCs w:val="20"/>
          <w:lang w:val="es-CR"/>
        </w:rPr>
        <w:t>r</w:t>
      </w:r>
      <w:r w:rsidR="00CD45AA" w:rsidRPr="002B4E6D">
        <w:rPr>
          <w:szCs w:val="20"/>
          <w:lang w:val="es-CR"/>
        </w:rPr>
        <w:t xml:space="preserve"> </w:t>
      </w:r>
      <w:r w:rsidRPr="002B4E6D">
        <w:rPr>
          <w:szCs w:val="20"/>
          <w:lang w:val="es-CR"/>
        </w:rPr>
        <w:t>l</w:t>
      </w:r>
      <w:r w:rsidR="005B2EB5" w:rsidRPr="002B4E6D">
        <w:rPr>
          <w:szCs w:val="20"/>
          <w:lang w:val="es-CR"/>
        </w:rPr>
        <w:t xml:space="preserve">as </w:t>
      </w:r>
      <w:r w:rsidR="00E43B29">
        <w:rPr>
          <w:szCs w:val="20"/>
          <w:lang w:val="es-CR"/>
        </w:rPr>
        <w:t>medidas</w:t>
      </w:r>
      <w:r w:rsidR="000E5962" w:rsidRPr="002B4E6D">
        <w:rPr>
          <w:szCs w:val="20"/>
          <w:lang w:val="es-CR"/>
        </w:rPr>
        <w:t xml:space="preserve"> indicadas </w:t>
      </w:r>
      <w:r w:rsidRPr="002B4E6D">
        <w:rPr>
          <w:szCs w:val="20"/>
          <w:lang w:val="es-CR"/>
        </w:rPr>
        <w:t>en las</w:t>
      </w:r>
      <w:r w:rsidR="000E5962" w:rsidRPr="002B4E6D">
        <w:rPr>
          <w:szCs w:val="20"/>
          <w:lang w:val="es-CR"/>
        </w:rPr>
        <w:t xml:space="preserve"> </w:t>
      </w:r>
      <w:r w:rsidR="009D0749" w:rsidRPr="002B4E6D">
        <w:rPr>
          <w:szCs w:val="20"/>
          <w:lang w:val="es-CR"/>
        </w:rPr>
        <w:t>propuestas</w:t>
      </w:r>
      <w:r w:rsidR="000E5962" w:rsidRPr="002B4E6D">
        <w:rPr>
          <w:szCs w:val="20"/>
          <w:lang w:val="es-CR"/>
        </w:rPr>
        <w:t xml:space="preserve"> </w:t>
      </w:r>
      <w:r w:rsidR="00A83D11" w:rsidRPr="002B4E6D">
        <w:rPr>
          <w:szCs w:val="20"/>
          <w:lang w:val="es-CR"/>
        </w:rPr>
        <w:t>antes</w:t>
      </w:r>
      <w:r w:rsidRPr="002B4E6D">
        <w:rPr>
          <w:szCs w:val="20"/>
          <w:lang w:val="es-CR"/>
        </w:rPr>
        <w:t xml:space="preserve"> mencionadas</w:t>
      </w:r>
      <w:r w:rsidR="00D953CD" w:rsidRPr="002B4E6D">
        <w:rPr>
          <w:szCs w:val="20"/>
          <w:lang w:val="es-CR"/>
        </w:rPr>
        <w:t xml:space="preserve">. </w:t>
      </w:r>
      <w:r w:rsidRPr="002B4E6D">
        <w:rPr>
          <w:szCs w:val="20"/>
          <w:lang w:val="es-CR"/>
        </w:rPr>
        <w:t>Según</w:t>
      </w:r>
      <w:r w:rsidR="00D953CD" w:rsidRPr="002B4E6D">
        <w:rPr>
          <w:szCs w:val="20"/>
          <w:lang w:val="es-CR"/>
        </w:rPr>
        <w:t xml:space="preserve"> </w:t>
      </w:r>
      <w:r w:rsidRPr="002B4E6D">
        <w:rPr>
          <w:szCs w:val="20"/>
          <w:lang w:val="es-CR"/>
        </w:rPr>
        <w:t>los</w:t>
      </w:r>
      <w:r w:rsidR="00D953CD" w:rsidRPr="002B4E6D">
        <w:rPr>
          <w:szCs w:val="20"/>
          <w:lang w:val="es-CR"/>
        </w:rPr>
        <w:t xml:space="preserve"> representantes, </w:t>
      </w:r>
      <w:r w:rsidRPr="002B4E6D">
        <w:rPr>
          <w:szCs w:val="20"/>
          <w:lang w:val="es-CR"/>
        </w:rPr>
        <w:t>el</w:t>
      </w:r>
      <w:r w:rsidR="00D953CD" w:rsidRPr="002B4E6D">
        <w:rPr>
          <w:szCs w:val="20"/>
          <w:lang w:val="es-CR"/>
        </w:rPr>
        <w:t xml:space="preserve"> Grupo de </w:t>
      </w:r>
      <w:r w:rsidR="00053380" w:rsidRPr="002B4E6D">
        <w:rPr>
          <w:szCs w:val="20"/>
          <w:lang w:val="es-CR"/>
        </w:rPr>
        <w:t>Monitoreo</w:t>
      </w:r>
      <w:r w:rsidR="00D953CD" w:rsidRPr="002B4E6D">
        <w:rPr>
          <w:szCs w:val="20"/>
          <w:lang w:val="es-CR"/>
        </w:rPr>
        <w:t xml:space="preserve"> </w:t>
      </w:r>
      <w:r w:rsidRPr="002B4E6D">
        <w:rPr>
          <w:szCs w:val="20"/>
          <w:lang w:val="es-CR"/>
        </w:rPr>
        <w:t xml:space="preserve">y </w:t>
      </w:r>
      <w:r w:rsidR="00D953CD" w:rsidRPr="002B4E6D">
        <w:rPr>
          <w:szCs w:val="20"/>
          <w:lang w:val="es-CR"/>
        </w:rPr>
        <w:t>Fiscaliza</w:t>
      </w:r>
      <w:r w:rsidR="00AA1A37" w:rsidRPr="002B4E6D">
        <w:rPr>
          <w:szCs w:val="20"/>
          <w:lang w:val="es-CR"/>
        </w:rPr>
        <w:t>ción</w:t>
      </w:r>
      <w:r w:rsidR="00D953CD" w:rsidRPr="002B4E6D">
        <w:rPr>
          <w:szCs w:val="20"/>
          <w:lang w:val="es-CR"/>
        </w:rPr>
        <w:t xml:space="preserve"> </w:t>
      </w:r>
      <w:r w:rsidRPr="002B4E6D">
        <w:rPr>
          <w:szCs w:val="20"/>
          <w:lang w:val="es-CR"/>
        </w:rPr>
        <w:t>del</w:t>
      </w:r>
      <w:r w:rsidR="00D953CD" w:rsidRPr="002B4E6D">
        <w:rPr>
          <w:szCs w:val="20"/>
          <w:lang w:val="es-CR"/>
        </w:rPr>
        <w:t xml:space="preserve"> Tribunal de </w:t>
      </w:r>
      <w:r w:rsidR="000D1815" w:rsidRPr="002B4E6D">
        <w:rPr>
          <w:szCs w:val="20"/>
          <w:lang w:val="es-CR"/>
        </w:rPr>
        <w:t>Justicia</w:t>
      </w:r>
      <w:r w:rsidR="00D953CD" w:rsidRPr="002B4E6D">
        <w:rPr>
          <w:szCs w:val="20"/>
          <w:lang w:val="es-CR"/>
        </w:rPr>
        <w:t xml:space="preserve"> </w:t>
      </w:r>
      <w:r w:rsidRPr="002B4E6D">
        <w:rPr>
          <w:szCs w:val="20"/>
          <w:lang w:val="es-CR"/>
        </w:rPr>
        <w:t>de</w:t>
      </w:r>
      <w:r w:rsidR="00D953CD" w:rsidRPr="002B4E6D">
        <w:rPr>
          <w:szCs w:val="20"/>
          <w:lang w:val="es-CR"/>
        </w:rPr>
        <w:t xml:space="preserve"> R</w:t>
      </w:r>
      <w:r w:rsidRPr="002B4E6D">
        <w:rPr>
          <w:szCs w:val="20"/>
          <w:lang w:val="es-CR"/>
        </w:rPr>
        <w:t>ío</w:t>
      </w:r>
      <w:r w:rsidR="00D953CD" w:rsidRPr="002B4E6D">
        <w:rPr>
          <w:szCs w:val="20"/>
          <w:lang w:val="es-CR"/>
        </w:rPr>
        <w:t xml:space="preserve"> de Janeiro </w:t>
      </w:r>
      <w:r w:rsidR="00F45945" w:rsidRPr="002B4E6D">
        <w:rPr>
          <w:szCs w:val="20"/>
          <w:lang w:val="es-CR"/>
        </w:rPr>
        <w:t xml:space="preserve">sostuvo </w:t>
      </w:r>
      <w:r w:rsidR="00D953CD" w:rsidRPr="002B4E6D">
        <w:rPr>
          <w:szCs w:val="20"/>
          <w:lang w:val="es-CR"/>
        </w:rPr>
        <w:t>que</w:t>
      </w:r>
      <w:r w:rsidR="000E5962" w:rsidRPr="002B4E6D">
        <w:rPr>
          <w:szCs w:val="20"/>
          <w:lang w:val="es-CR"/>
        </w:rPr>
        <w:t xml:space="preserve"> </w:t>
      </w:r>
      <w:r w:rsidRPr="002B4E6D">
        <w:rPr>
          <w:szCs w:val="20"/>
          <w:lang w:val="es-CR"/>
        </w:rPr>
        <w:t>l</w:t>
      </w:r>
      <w:r w:rsidR="000E5962" w:rsidRPr="002B4E6D">
        <w:rPr>
          <w:szCs w:val="20"/>
          <w:lang w:val="es-CR"/>
        </w:rPr>
        <w:t>a aplica</w:t>
      </w:r>
      <w:r w:rsidR="00AA1A37" w:rsidRPr="002B4E6D">
        <w:rPr>
          <w:szCs w:val="20"/>
          <w:lang w:val="es-CR"/>
        </w:rPr>
        <w:t>ción</w:t>
      </w:r>
      <w:r w:rsidR="000E5962" w:rsidRPr="002B4E6D">
        <w:rPr>
          <w:szCs w:val="20"/>
          <w:lang w:val="es-CR"/>
        </w:rPr>
        <w:t xml:space="preserve"> de </w:t>
      </w:r>
      <w:r w:rsidRPr="002B4E6D">
        <w:rPr>
          <w:szCs w:val="20"/>
          <w:lang w:val="es-CR"/>
        </w:rPr>
        <w:t>tales</w:t>
      </w:r>
      <w:r w:rsidR="000E5962" w:rsidRPr="002B4E6D">
        <w:rPr>
          <w:szCs w:val="20"/>
          <w:lang w:val="es-CR"/>
        </w:rPr>
        <w:t xml:space="preserve"> medidas </w:t>
      </w:r>
      <w:r w:rsidR="009D0749" w:rsidRPr="002B4E6D">
        <w:rPr>
          <w:szCs w:val="20"/>
          <w:lang w:val="es-CR"/>
        </w:rPr>
        <w:t>dependería</w:t>
      </w:r>
      <w:r w:rsidR="000E5962" w:rsidRPr="002B4E6D">
        <w:rPr>
          <w:szCs w:val="20"/>
          <w:lang w:val="es-CR"/>
        </w:rPr>
        <w:t xml:space="preserve"> de </w:t>
      </w:r>
      <w:r w:rsidR="00485159">
        <w:rPr>
          <w:szCs w:val="20"/>
          <w:lang w:val="es-CR"/>
        </w:rPr>
        <w:t xml:space="preserve">una </w:t>
      </w:r>
      <w:r w:rsidR="009D0749" w:rsidRPr="002B4E6D">
        <w:rPr>
          <w:szCs w:val="20"/>
          <w:lang w:val="es-CR"/>
        </w:rPr>
        <w:t>decisión</w:t>
      </w:r>
      <w:r w:rsidR="000E5962" w:rsidRPr="002B4E6D">
        <w:rPr>
          <w:szCs w:val="20"/>
          <w:lang w:val="es-CR"/>
        </w:rPr>
        <w:t xml:space="preserve"> superior.</w:t>
      </w:r>
      <w:r w:rsidR="00E864DE" w:rsidRPr="002B4E6D">
        <w:rPr>
          <w:szCs w:val="20"/>
          <w:lang w:val="es-CR"/>
        </w:rPr>
        <w:t xml:space="preserve"> </w:t>
      </w:r>
    </w:p>
    <w:p w14:paraId="39E40FEF" w14:textId="77777777" w:rsidR="00D953CD" w:rsidRPr="002B4E6D" w:rsidRDefault="00D953CD" w:rsidP="00D953CD">
      <w:pPr>
        <w:pStyle w:val="ListParagraph"/>
        <w:rPr>
          <w:szCs w:val="20"/>
          <w:lang w:val="es-CR"/>
        </w:rPr>
      </w:pPr>
    </w:p>
    <w:p w14:paraId="62B11735" w14:textId="5BE9D4FC" w:rsidR="000E5962" w:rsidRPr="002B4E6D" w:rsidRDefault="00A3453D" w:rsidP="005B2EB5">
      <w:pPr>
        <w:pStyle w:val="ListParagraph"/>
        <w:numPr>
          <w:ilvl w:val="0"/>
          <w:numId w:val="20"/>
        </w:numPr>
        <w:snapToGrid w:val="0"/>
        <w:ind w:left="0" w:firstLine="0"/>
        <w:contextualSpacing w:val="0"/>
        <w:rPr>
          <w:szCs w:val="20"/>
          <w:lang w:val="es-CR"/>
        </w:rPr>
      </w:pPr>
      <w:r w:rsidRPr="002B4E6D">
        <w:rPr>
          <w:szCs w:val="20"/>
          <w:lang w:val="es-CR"/>
        </w:rPr>
        <w:t>El</w:t>
      </w:r>
      <w:r w:rsidR="00D953CD" w:rsidRPr="002B4E6D">
        <w:rPr>
          <w:szCs w:val="20"/>
          <w:lang w:val="es-CR"/>
        </w:rPr>
        <w:t xml:space="preserve"> GMF-RJ</w:t>
      </w:r>
      <w:r w:rsidR="00E864DE" w:rsidRPr="002B4E6D">
        <w:rPr>
          <w:szCs w:val="20"/>
          <w:lang w:val="es-CR"/>
        </w:rPr>
        <w:t xml:space="preserve"> </w:t>
      </w:r>
      <w:r w:rsidR="00AA1A37" w:rsidRPr="002B4E6D">
        <w:rPr>
          <w:szCs w:val="20"/>
          <w:lang w:val="es-CR"/>
        </w:rPr>
        <w:t>presentó</w:t>
      </w:r>
      <w:r w:rsidR="000E5962" w:rsidRPr="002B4E6D">
        <w:rPr>
          <w:szCs w:val="20"/>
          <w:lang w:val="es-CR"/>
        </w:rPr>
        <w:t xml:space="preserve"> </w:t>
      </w:r>
      <w:r w:rsidR="009D0749" w:rsidRPr="002B4E6D">
        <w:rPr>
          <w:szCs w:val="20"/>
          <w:lang w:val="es-CR"/>
        </w:rPr>
        <w:t>dos</w:t>
      </w:r>
      <w:r w:rsidR="00CD45AA" w:rsidRPr="002B4E6D">
        <w:rPr>
          <w:szCs w:val="20"/>
          <w:lang w:val="es-CR"/>
        </w:rPr>
        <w:t xml:space="preserve"> </w:t>
      </w:r>
      <w:r w:rsidR="009D0749" w:rsidRPr="002B4E6D">
        <w:rPr>
          <w:szCs w:val="20"/>
          <w:lang w:val="es-CR"/>
        </w:rPr>
        <w:t>propuestas</w:t>
      </w:r>
      <w:r w:rsidR="00E864DE" w:rsidRPr="002B4E6D">
        <w:rPr>
          <w:szCs w:val="20"/>
          <w:lang w:val="es-CR"/>
        </w:rPr>
        <w:t xml:space="preserve"> </w:t>
      </w:r>
      <w:r w:rsidR="009D0749" w:rsidRPr="002B4E6D">
        <w:rPr>
          <w:szCs w:val="20"/>
          <w:lang w:val="es-CR"/>
        </w:rPr>
        <w:t>propias</w:t>
      </w:r>
      <w:r w:rsidR="000E5962" w:rsidRPr="002B4E6D">
        <w:rPr>
          <w:szCs w:val="20"/>
          <w:lang w:val="es-CR"/>
        </w:rPr>
        <w:t xml:space="preserve"> para </w:t>
      </w:r>
      <w:r w:rsidR="009D0749" w:rsidRPr="002B4E6D">
        <w:rPr>
          <w:szCs w:val="20"/>
          <w:lang w:val="es-CR"/>
        </w:rPr>
        <w:t>reducir</w:t>
      </w:r>
      <w:r w:rsidR="000E5962" w:rsidRPr="002B4E6D">
        <w:rPr>
          <w:szCs w:val="20"/>
          <w:lang w:val="es-CR"/>
        </w:rPr>
        <w:t xml:space="preserve"> </w:t>
      </w:r>
      <w:r w:rsidRPr="002B4E6D">
        <w:rPr>
          <w:szCs w:val="20"/>
          <w:lang w:val="es-CR"/>
        </w:rPr>
        <w:t>el</w:t>
      </w:r>
      <w:r w:rsidR="000E5962" w:rsidRPr="002B4E6D">
        <w:rPr>
          <w:szCs w:val="20"/>
          <w:lang w:val="es-CR"/>
        </w:rPr>
        <w:t xml:space="preserve"> </w:t>
      </w:r>
      <w:r w:rsidR="00945D4E" w:rsidRPr="002B4E6D">
        <w:rPr>
          <w:szCs w:val="20"/>
          <w:lang w:val="es-CR"/>
        </w:rPr>
        <w:t xml:space="preserve">hacinamiento </w:t>
      </w:r>
      <w:r w:rsidR="009D0749" w:rsidRPr="002B4E6D">
        <w:rPr>
          <w:szCs w:val="20"/>
          <w:lang w:val="es-CR"/>
        </w:rPr>
        <w:t>carcelari</w:t>
      </w:r>
      <w:r w:rsidRPr="002B4E6D">
        <w:rPr>
          <w:szCs w:val="20"/>
          <w:lang w:val="es-CR"/>
        </w:rPr>
        <w:t>o del</w:t>
      </w:r>
      <w:r w:rsidR="000E5962" w:rsidRPr="002B4E6D">
        <w:rPr>
          <w:szCs w:val="20"/>
          <w:lang w:val="es-CR"/>
        </w:rPr>
        <w:t xml:space="preserve"> </w:t>
      </w:r>
      <w:r w:rsidR="00D24676">
        <w:rPr>
          <w:szCs w:val="20"/>
          <w:lang w:val="es-CR"/>
        </w:rPr>
        <w:t>IPPSC</w:t>
      </w:r>
      <w:r w:rsidR="00CD45AA" w:rsidRPr="002B4E6D">
        <w:rPr>
          <w:szCs w:val="20"/>
          <w:lang w:val="es-CR"/>
        </w:rPr>
        <w:t xml:space="preserve">: i) </w:t>
      </w:r>
      <w:r w:rsidR="00F45945" w:rsidRPr="002B4E6D">
        <w:rPr>
          <w:szCs w:val="20"/>
          <w:lang w:val="es-CR"/>
        </w:rPr>
        <w:t xml:space="preserve">la </w:t>
      </w:r>
      <w:r w:rsidR="009D0749" w:rsidRPr="002B4E6D">
        <w:rPr>
          <w:szCs w:val="20"/>
          <w:lang w:val="es-CR"/>
        </w:rPr>
        <w:t>construcción</w:t>
      </w:r>
      <w:r w:rsidR="00CD45AA" w:rsidRPr="002B4E6D">
        <w:rPr>
          <w:szCs w:val="20"/>
          <w:lang w:val="es-CR"/>
        </w:rPr>
        <w:t xml:space="preserve"> de </w:t>
      </w:r>
      <w:r w:rsidR="009D0749" w:rsidRPr="002B4E6D">
        <w:rPr>
          <w:szCs w:val="20"/>
          <w:lang w:val="es-CR"/>
        </w:rPr>
        <w:t>un</w:t>
      </w:r>
      <w:r w:rsidR="00CD45AA" w:rsidRPr="002B4E6D">
        <w:rPr>
          <w:szCs w:val="20"/>
          <w:lang w:val="es-CR"/>
        </w:rPr>
        <w:t xml:space="preserve"> </w:t>
      </w:r>
      <w:r w:rsidRPr="002B4E6D">
        <w:rPr>
          <w:szCs w:val="20"/>
          <w:lang w:val="es-CR"/>
        </w:rPr>
        <w:t>pabellón</w:t>
      </w:r>
      <w:r w:rsidR="00CD45AA" w:rsidRPr="002B4E6D">
        <w:rPr>
          <w:szCs w:val="20"/>
          <w:lang w:val="es-CR"/>
        </w:rPr>
        <w:t xml:space="preserve"> </w:t>
      </w:r>
      <w:r w:rsidR="009D0749" w:rsidRPr="002B4E6D">
        <w:rPr>
          <w:szCs w:val="20"/>
          <w:lang w:val="es-CR"/>
        </w:rPr>
        <w:t>con</w:t>
      </w:r>
      <w:r w:rsidR="00CD45AA" w:rsidRPr="002B4E6D">
        <w:rPr>
          <w:szCs w:val="20"/>
          <w:lang w:val="es-CR"/>
        </w:rPr>
        <w:t xml:space="preserve"> </w:t>
      </w:r>
      <w:r w:rsidR="009D0749" w:rsidRPr="002B4E6D">
        <w:rPr>
          <w:szCs w:val="20"/>
          <w:lang w:val="es-CR"/>
        </w:rPr>
        <w:t>capacidad</w:t>
      </w:r>
      <w:r w:rsidR="00CD45AA" w:rsidRPr="002B4E6D">
        <w:rPr>
          <w:szCs w:val="20"/>
          <w:lang w:val="es-CR"/>
        </w:rPr>
        <w:t xml:space="preserve"> para </w:t>
      </w:r>
      <w:r w:rsidR="00F45945" w:rsidRPr="002B4E6D">
        <w:rPr>
          <w:szCs w:val="20"/>
          <w:lang w:val="es-CR"/>
        </w:rPr>
        <w:t>albergar</w:t>
      </w:r>
      <w:r w:rsidR="00CD45AA" w:rsidRPr="002B4E6D">
        <w:rPr>
          <w:szCs w:val="20"/>
          <w:lang w:val="es-CR"/>
        </w:rPr>
        <w:t xml:space="preserve"> 500 </w:t>
      </w:r>
      <w:r w:rsidR="000D1815" w:rsidRPr="002B4E6D">
        <w:rPr>
          <w:szCs w:val="20"/>
          <w:lang w:val="es-CR"/>
        </w:rPr>
        <w:t>detenidos</w:t>
      </w:r>
      <w:r w:rsidR="00CD45AA" w:rsidRPr="002B4E6D">
        <w:rPr>
          <w:szCs w:val="20"/>
          <w:lang w:val="es-CR"/>
        </w:rPr>
        <w:t xml:space="preserve"> </w:t>
      </w:r>
      <w:r w:rsidRPr="002B4E6D">
        <w:rPr>
          <w:szCs w:val="20"/>
          <w:lang w:val="es-CR"/>
        </w:rPr>
        <w:t>en el</w:t>
      </w:r>
      <w:r w:rsidR="00CD45AA" w:rsidRPr="002B4E6D">
        <w:rPr>
          <w:szCs w:val="20"/>
          <w:lang w:val="es-CR"/>
        </w:rPr>
        <w:t xml:space="preserve"> IPPSC; ii) </w:t>
      </w:r>
      <w:r w:rsidR="00F45945" w:rsidRPr="002B4E6D">
        <w:rPr>
          <w:szCs w:val="20"/>
          <w:lang w:val="es-CR"/>
        </w:rPr>
        <w:t xml:space="preserve">la </w:t>
      </w:r>
      <w:r w:rsidR="009D0749" w:rsidRPr="002B4E6D">
        <w:rPr>
          <w:szCs w:val="20"/>
          <w:lang w:val="es-CR"/>
        </w:rPr>
        <w:t>conclusión</w:t>
      </w:r>
      <w:r w:rsidR="00CD45AA" w:rsidRPr="002B4E6D">
        <w:rPr>
          <w:szCs w:val="20"/>
          <w:lang w:val="es-CR"/>
        </w:rPr>
        <w:t xml:space="preserve"> de obras para </w:t>
      </w:r>
      <w:r w:rsidR="00BE473C" w:rsidRPr="002B4E6D">
        <w:rPr>
          <w:szCs w:val="20"/>
          <w:lang w:val="es-CR"/>
        </w:rPr>
        <w:t>crear</w:t>
      </w:r>
      <w:r w:rsidR="00CD45AA" w:rsidRPr="002B4E6D">
        <w:rPr>
          <w:szCs w:val="20"/>
          <w:lang w:val="es-CR"/>
        </w:rPr>
        <w:t xml:space="preserve"> </w:t>
      </w:r>
      <w:r w:rsidRPr="002B4E6D">
        <w:rPr>
          <w:szCs w:val="20"/>
          <w:lang w:val="es-CR"/>
        </w:rPr>
        <w:t>un</w:t>
      </w:r>
      <w:r w:rsidR="00CD45AA" w:rsidRPr="002B4E6D">
        <w:rPr>
          <w:szCs w:val="20"/>
          <w:lang w:val="es-CR"/>
        </w:rPr>
        <w:t xml:space="preserve"> </w:t>
      </w:r>
      <w:r w:rsidR="009D0749" w:rsidRPr="002B4E6D">
        <w:rPr>
          <w:szCs w:val="20"/>
          <w:lang w:val="es-CR"/>
        </w:rPr>
        <w:t>nuevo</w:t>
      </w:r>
      <w:r w:rsidR="00CD45AA" w:rsidRPr="002B4E6D">
        <w:rPr>
          <w:szCs w:val="20"/>
          <w:lang w:val="es-CR"/>
        </w:rPr>
        <w:t xml:space="preserve"> </w:t>
      </w:r>
      <w:r w:rsidR="00E35378" w:rsidRPr="002B4E6D">
        <w:rPr>
          <w:szCs w:val="20"/>
          <w:lang w:val="es-CR"/>
        </w:rPr>
        <w:t>estab</w:t>
      </w:r>
      <w:r w:rsidR="009D0749" w:rsidRPr="002B4E6D">
        <w:rPr>
          <w:szCs w:val="20"/>
          <w:lang w:val="es-CR"/>
        </w:rPr>
        <w:t>lecimiento</w:t>
      </w:r>
      <w:r w:rsidR="00CD45AA" w:rsidRPr="002B4E6D">
        <w:rPr>
          <w:szCs w:val="20"/>
          <w:lang w:val="es-CR"/>
        </w:rPr>
        <w:t xml:space="preserve"> </w:t>
      </w:r>
      <w:r w:rsidR="00031269" w:rsidRPr="002B4E6D">
        <w:rPr>
          <w:szCs w:val="20"/>
          <w:lang w:val="es-CR"/>
        </w:rPr>
        <w:t>carcelario</w:t>
      </w:r>
      <w:r w:rsidR="00CD45AA" w:rsidRPr="002B4E6D">
        <w:rPr>
          <w:szCs w:val="20"/>
          <w:lang w:val="es-CR"/>
        </w:rPr>
        <w:t>.</w:t>
      </w:r>
    </w:p>
    <w:p w14:paraId="60AB85CD" w14:textId="77777777" w:rsidR="00CD45AA" w:rsidRPr="002B4E6D" w:rsidRDefault="00CD45AA" w:rsidP="00CD45AA">
      <w:pPr>
        <w:pStyle w:val="ListParagraph"/>
        <w:rPr>
          <w:szCs w:val="20"/>
          <w:lang w:val="es-CR"/>
        </w:rPr>
      </w:pPr>
    </w:p>
    <w:p w14:paraId="4BA3F441" w14:textId="76EEA20F" w:rsidR="00225C1C" w:rsidRPr="002B4E6D" w:rsidRDefault="00E35378" w:rsidP="00CD45AA">
      <w:pPr>
        <w:pStyle w:val="ListParagraph"/>
        <w:numPr>
          <w:ilvl w:val="0"/>
          <w:numId w:val="20"/>
        </w:numPr>
        <w:snapToGrid w:val="0"/>
        <w:ind w:left="0" w:firstLine="0"/>
        <w:contextualSpacing w:val="0"/>
        <w:rPr>
          <w:szCs w:val="20"/>
          <w:lang w:val="es-CR"/>
        </w:rPr>
      </w:pPr>
      <w:r w:rsidRPr="002B4E6D">
        <w:rPr>
          <w:szCs w:val="20"/>
          <w:lang w:val="es-CR"/>
        </w:rPr>
        <w:t>Los</w:t>
      </w:r>
      <w:r w:rsidR="00CD45AA" w:rsidRPr="002B4E6D">
        <w:rPr>
          <w:szCs w:val="20"/>
          <w:lang w:val="es-CR"/>
        </w:rPr>
        <w:t xml:space="preserve"> representantes </w:t>
      </w:r>
      <w:r w:rsidRPr="002B4E6D">
        <w:rPr>
          <w:szCs w:val="20"/>
          <w:lang w:val="es-CR"/>
        </w:rPr>
        <w:t>rechazaron</w:t>
      </w:r>
      <w:r w:rsidR="00CD45AA" w:rsidRPr="002B4E6D">
        <w:rPr>
          <w:szCs w:val="20"/>
          <w:lang w:val="es-CR"/>
        </w:rPr>
        <w:t xml:space="preserve"> </w:t>
      </w:r>
      <w:r w:rsidRPr="002B4E6D">
        <w:rPr>
          <w:szCs w:val="20"/>
          <w:lang w:val="es-CR"/>
        </w:rPr>
        <w:t>l</w:t>
      </w:r>
      <w:r w:rsidR="00CD45AA" w:rsidRPr="002B4E6D">
        <w:rPr>
          <w:szCs w:val="20"/>
          <w:lang w:val="es-CR"/>
        </w:rPr>
        <w:t xml:space="preserve">a </w:t>
      </w:r>
      <w:r w:rsidR="009D0749" w:rsidRPr="002B4E6D">
        <w:rPr>
          <w:szCs w:val="20"/>
          <w:lang w:val="es-CR"/>
        </w:rPr>
        <w:t>primera</w:t>
      </w:r>
      <w:r w:rsidR="00CD45AA" w:rsidRPr="002B4E6D">
        <w:rPr>
          <w:szCs w:val="20"/>
          <w:lang w:val="es-CR"/>
        </w:rPr>
        <w:t xml:space="preserve"> </w:t>
      </w:r>
      <w:r w:rsidRPr="002B4E6D">
        <w:rPr>
          <w:szCs w:val="20"/>
          <w:lang w:val="es-CR"/>
        </w:rPr>
        <w:t>propuesta</w:t>
      </w:r>
      <w:r w:rsidR="00E864DE" w:rsidRPr="002B4E6D">
        <w:rPr>
          <w:szCs w:val="20"/>
          <w:lang w:val="es-CR"/>
        </w:rPr>
        <w:t xml:space="preserve"> </w:t>
      </w:r>
      <w:r w:rsidRPr="002B4E6D">
        <w:rPr>
          <w:szCs w:val="20"/>
          <w:lang w:val="es-CR"/>
        </w:rPr>
        <w:t>del</w:t>
      </w:r>
      <w:r w:rsidR="00E864DE" w:rsidRPr="002B4E6D">
        <w:rPr>
          <w:szCs w:val="20"/>
          <w:lang w:val="es-CR"/>
        </w:rPr>
        <w:t xml:space="preserve"> GMF-RJ</w:t>
      </w:r>
      <w:r w:rsidR="00CD45AA" w:rsidRPr="002B4E6D">
        <w:rPr>
          <w:szCs w:val="20"/>
          <w:lang w:val="es-CR"/>
        </w:rPr>
        <w:t xml:space="preserve">, </w:t>
      </w:r>
      <w:r w:rsidR="00E4427D">
        <w:rPr>
          <w:szCs w:val="20"/>
          <w:lang w:val="es-CR"/>
        </w:rPr>
        <w:t xml:space="preserve">y </w:t>
      </w:r>
      <w:r w:rsidR="00CD45AA" w:rsidRPr="002B4E6D">
        <w:rPr>
          <w:szCs w:val="20"/>
          <w:lang w:val="es-CR"/>
        </w:rPr>
        <w:t>afirma</w:t>
      </w:r>
      <w:r w:rsidR="00E4427D">
        <w:rPr>
          <w:szCs w:val="20"/>
          <w:lang w:val="es-CR"/>
        </w:rPr>
        <w:t xml:space="preserve">ron </w:t>
      </w:r>
      <w:r w:rsidR="00CD45AA" w:rsidRPr="002B4E6D">
        <w:rPr>
          <w:szCs w:val="20"/>
          <w:lang w:val="es-CR"/>
        </w:rPr>
        <w:t xml:space="preserve">que, </w:t>
      </w:r>
      <w:r w:rsidR="00F45945" w:rsidRPr="002B4E6D">
        <w:rPr>
          <w:szCs w:val="20"/>
          <w:lang w:val="es-CR"/>
        </w:rPr>
        <w:t xml:space="preserve">en </w:t>
      </w:r>
      <w:r w:rsidR="00CD45AA" w:rsidRPr="002B4E6D">
        <w:rPr>
          <w:szCs w:val="20"/>
          <w:lang w:val="es-CR"/>
        </w:rPr>
        <w:t xml:space="preserve">caso </w:t>
      </w:r>
      <w:r w:rsidR="00F45945" w:rsidRPr="002B4E6D">
        <w:rPr>
          <w:szCs w:val="20"/>
          <w:lang w:val="es-CR"/>
        </w:rPr>
        <w:t xml:space="preserve">de que </w:t>
      </w:r>
      <w:r w:rsidRPr="002B4E6D">
        <w:rPr>
          <w:szCs w:val="20"/>
          <w:lang w:val="es-CR"/>
        </w:rPr>
        <w:t>fuese</w:t>
      </w:r>
      <w:r w:rsidR="00CD45AA" w:rsidRPr="002B4E6D">
        <w:rPr>
          <w:szCs w:val="20"/>
          <w:lang w:val="es-CR"/>
        </w:rPr>
        <w:t xml:space="preserve"> </w:t>
      </w:r>
      <w:r w:rsidR="009D0749" w:rsidRPr="002B4E6D">
        <w:rPr>
          <w:szCs w:val="20"/>
          <w:lang w:val="es-CR"/>
        </w:rPr>
        <w:t>adoptada</w:t>
      </w:r>
      <w:r w:rsidR="00CD45AA" w:rsidRPr="002B4E6D">
        <w:rPr>
          <w:szCs w:val="20"/>
          <w:lang w:val="es-CR"/>
        </w:rPr>
        <w:t xml:space="preserve">, </w:t>
      </w:r>
      <w:r w:rsidR="009D0749" w:rsidRPr="002B4E6D">
        <w:rPr>
          <w:szCs w:val="20"/>
          <w:lang w:val="es-CR"/>
        </w:rPr>
        <w:t>debería</w:t>
      </w:r>
      <w:r w:rsidR="00CD45AA" w:rsidRPr="002B4E6D">
        <w:rPr>
          <w:szCs w:val="20"/>
          <w:lang w:val="es-CR"/>
        </w:rPr>
        <w:t xml:space="preserve"> </w:t>
      </w:r>
      <w:r w:rsidR="009D0749" w:rsidRPr="002B4E6D">
        <w:rPr>
          <w:szCs w:val="20"/>
          <w:lang w:val="es-CR"/>
        </w:rPr>
        <w:t>haber</w:t>
      </w:r>
      <w:r w:rsidR="00CD45AA" w:rsidRPr="002B4E6D">
        <w:rPr>
          <w:szCs w:val="20"/>
          <w:lang w:val="es-CR"/>
        </w:rPr>
        <w:t xml:space="preserve"> </w:t>
      </w:r>
      <w:r w:rsidR="009D0749" w:rsidRPr="002B4E6D">
        <w:rPr>
          <w:szCs w:val="20"/>
          <w:lang w:val="es-CR"/>
        </w:rPr>
        <w:t>una</w:t>
      </w:r>
      <w:r w:rsidR="00CD45AA" w:rsidRPr="002B4E6D">
        <w:rPr>
          <w:szCs w:val="20"/>
          <w:lang w:val="es-CR"/>
        </w:rPr>
        <w:t xml:space="preserve"> </w:t>
      </w:r>
      <w:r w:rsidR="009D0749" w:rsidRPr="002B4E6D">
        <w:rPr>
          <w:szCs w:val="20"/>
          <w:lang w:val="es-CR"/>
        </w:rPr>
        <w:t>simultánea</w:t>
      </w:r>
      <w:r w:rsidR="00CD45AA" w:rsidRPr="002B4E6D">
        <w:rPr>
          <w:szCs w:val="20"/>
          <w:lang w:val="es-CR"/>
        </w:rPr>
        <w:t xml:space="preserve"> </w:t>
      </w:r>
      <w:r w:rsidR="009D0749" w:rsidRPr="002B4E6D">
        <w:rPr>
          <w:szCs w:val="20"/>
          <w:lang w:val="es-CR"/>
        </w:rPr>
        <w:t>prohibición</w:t>
      </w:r>
      <w:r w:rsidR="00CD45AA" w:rsidRPr="002B4E6D">
        <w:rPr>
          <w:szCs w:val="20"/>
          <w:lang w:val="es-CR"/>
        </w:rPr>
        <w:t xml:space="preserve"> judicial </w:t>
      </w:r>
      <w:r w:rsidRPr="002B4E6D">
        <w:rPr>
          <w:szCs w:val="20"/>
          <w:lang w:val="es-CR"/>
        </w:rPr>
        <w:t>del</w:t>
      </w:r>
      <w:r w:rsidR="00CD45AA" w:rsidRPr="002B4E6D">
        <w:rPr>
          <w:szCs w:val="20"/>
          <w:lang w:val="es-CR"/>
        </w:rPr>
        <w:t xml:space="preserve"> </w:t>
      </w:r>
      <w:r w:rsidR="009D0749" w:rsidRPr="002B4E6D">
        <w:rPr>
          <w:szCs w:val="20"/>
          <w:lang w:val="es-CR"/>
        </w:rPr>
        <w:t>ingreso</w:t>
      </w:r>
      <w:r w:rsidR="00CD45AA" w:rsidRPr="002B4E6D">
        <w:rPr>
          <w:szCs w:val="20"/>
          <w:lang w:val="es-CR"/>
        </w:rPr>
        <w:t xml:space="preserve"> de </w:t>
      </w:r>
      <w:r w:rsidRPr="002B4E6D">
        <w:rPr>
          <w:szCs w:val="20"/>
          <w:lang w:val="es-CR"/>
        </w:rPr>
        <w:t>nuevos</w:t>
      </w:r>
      <w:r w:rsidR="00CD45AA" w:rsidRPr="002B4E6D">
        <w:rPr>
          <w:szCs w:val="20"/>
          <w:lang w:val="es-CR"/>
        </w:rPr>
        <w:t xml:space="preserve"> </w:t>
      </w:r>
      <w:r w:rsidR="000D1815" w:rsidRPr="002B4E6D">
        <w:rPr>
          <w:szCs w:val="20"/>
          <w:lang w:val="es-CR"/>
        </w:rPr>
        <w:t>detenidos</w:t>
      </w:r>
      <w:r w:rsidR="00CD45AA" w:rsidRPr="002B4E6D">
        <w:rPr>
          <w:szCs w:val="20"/>
          <w:lang w:val="es-CR"/>
        </w:rPr>
        <w:t xml:space="preserve"> </w:t>
      </w:r>
      <w:r w:rsidRPr="002B4E6D">
        <w:rPr>
          <w:szCs w:val="20"/>
          <w:lang w:val="es-CR"/>
        </w:rPr>
        <w:t>en la</w:t>
      </w:r>
      <w:r w:rsidR="00CD45AA" w:rsidRPr="002B4E6D">
        <w:rPr>
          <w:szCs w:val="20"/>
          <w:lang w:val="es-CR"/>
        </w:rPr>
        <w:t xml:space="preserve"> </w:t>
      </w:r>
      <w:r w:rsidR="009D0749" w:rsidRPr="002B4E6D">
        <w:rPr>
          <w:szCs w:val="20"/>
          <w:lang w:val="es-CR"/>
        </w:rPr>
        <w:t>unidad</w:t>
      </w:r>
      <w:r w:rsidR="00CD45AA" w:rsidRPr="002B4E6D">
        <w:rPr>
          <w:szCs w:val="20"/>
          <w:lang w:val="es-CR"/>
        </w:rPr>
        <w:t xml:space="preserve"> </w:t>
      </w:r>
      <w:r w:rsidR="00485159">
        <w:rPr>
          <w:szCs w:val="20"/>
          <w:lang w:val="es-CR"/>
        </w:rPr>
        <w:t>penitenciaria</w:t>
      </w:r>
      <w:r w:rsidR="00CD45AA" w:rsidRPr="002B4E6D">
        <w:rPr>
          <w:szCs w:val="20"/>
          <w:lang w:val="es-CR"/>
        </w:rPr>
        <w:t xml:space="preserve">, evitando </w:t>
      </w:r>
      <w:r w:rsidRPr="002B4E6D">
        <w:rPr>
          <w:szCs w:val="20"/>
          <w:lang w:val="es-CR"/>
        </w:rPr>
        <w:t>el</w:t>
      </w:r>
      <w:r w:rsidR="00CD45AA" w:rsidRPr="002B4E6D">
        <w:rPr>
          <w:szCs w:val="20"/>
          <w:lang w:val="es-CR"/>
        </w:rPr>
        <w:t xml:space="preserve"> </w:t>
      </w:r>
      <w:r w:rsidRPr="002B4E6D">
        <w:rPr>
          <w:szCs w:val="20"/>
          <w:lang w:val="es-CR"/>
        </w:rPr>
        <w:t>aumento</w:t>
      </w:r>
      <w:r w:rsidR="00CD45AA" w:rsidRPr="002B4E6D">
        <w:rPr>
          <w:szCs w:val="20"/>
          <w:lang w:val="es-CR"/>
        </w:rPr>
        <w:t xml:space="preserve"> </w:t>
      </w:r>
      <w:r w:rsidR="009D0749" w:rsidRPr="002B4E6D">
        <w:rPr>
          <w:szCs w:val="20"/>
          <w:lang w:val="es-CR"/>
        </w:rPr>
        <w:t>cuantitativo</w:t>
      </w:r>
      <w:r w:rsidR="00CD45AA" w:rsidRPr="002B4E6D">
        <w:rPr>
          <w:szCs w:val="20"/>
          <w:lang w:val="es-CR"/>
        </w:rPr>
        <w:t xml:space="preserve"> </w:t>
      </w:r>
      <w:r w:rsidRPr="002B4E6D">
        <w:rPr>
          <w:szCs w:val="20"/>
          <w:lang w:val="es-CR"/>
        </w:rPr>
        <w:t>de la</w:t>
      </w:r>
      <w:r w:rsidR="00CD45AA" w:rsidRPr="002B4E6D">
        <w:rPr>
          <w:szCs w:val="20"/>
          <w:lang w:val="es-CR"/>
        </w:rPr>
        <w:t xml:space="preserve"> </w:t>
      </w:r>
      <w:r w:rsidR="007B78BA" w:rsidRPr="002B4E6D">
        <w:rPr>
          <w:szCs w:val="20"/>
          <w:lang w:val="es-CR"/>
        </w:rPr>
        <w:t>población</w:t>
      </w:r>
      <w:r w:rsidR="00CD45AA" w:rsidRPr="002B4E6D">
        <w:rPr>
          <w:szCs w:val="20"/>
          <w:lang w:val="es-CR"/>
        </w:rPr>
        <w:t xml:space="preserve"> </w:t>
      </w:r>
      <w:r w:rsidRPr="002B4E6D">
        <w:rPr>
          <w:szCs w:val="20"/>
          <w:lang w:val="es-CR"/>
        </w:rPr>
        <w:t>carcelaria</w:t>
      </w:r>
      <w:r w:rsidR="00CD45AA" w:rsidRPr="002B4E6D">
        <w:rPr>
          <w:szCs w:val="20"/>
          <w:lang w:val="es-CR"/>
        </w:rPr>
        <w:t xml:space="preserve">. </w:t>
      </w:r>
      <w:r w:rsidRPr="002B4E6D">
        <w:rPr>
          <w:szCs w:val="20"/>
          <w:lang w:val="es-CR"/>
        </w:rPr>
        <w:t>Los</w:t>
      </w:r>
      <w:r w:rsidR="00D953CD" w:rsidRPr="002B4E6D">
        <w:rPr>
          <w:szCs w:val="20"/>
          <w:lang w:val="es-CR"/>
        </w:rPr>
        <w:t xml:space="preserve"> representantes </w:t>
      </w:r>
      <w:r w:rsidRPr="002B4E6D">
        <w:rPr>
          <w:szCs w:val="20"/>
          <w:lang w:val="es-CR"/>
        </w:rPr>
        <w:t>alega</w:t>
      </w:r>
      <w:r w:rsidR="00485159">
        <w:rPr>
          <w:szCs w:val="20"/>
          <w:lang w:val="es-CR"/>
        </w:rPr>
        <w:t>ron</w:t>
      </w:r>
      <w:r w:rsidR="00D953CD" w:rsidRPr="002B4E6D">
        <w:rPr>
          <w:szCs w:val="20"/>
          <w:lang w:val="es-CR"/>
        </w:rPr>
        <w:t xml:space="preserve"> que, </w:t>
      </w:r>
      <w:r w:rsidRPr="002B4E6D">
        <w:rPr>
          <w:szCs w:val="20"/>
          <w:lang w:val="es-CR"/>
        </w:rPr>
        <w:t>en</w:t>
      </w:r>
      <w:r w:rsidR="00CD45AA" w:rsidRPr="002B4E6D">
        <w:rPr>
          <w:szCs w:val="20"/>
          <w:lang w:val="es-CR"/>
        </w:rPr>
        <w:t xml:space="preserve"> resp</w:t>
      </w:r>
      <w:r w:rsidRPr="002B4E6D">
        <w:rPr>
          <w:szCs w:val="20"/>
          <w:lang w:val="es-CR"/>
        </w:rPr>
        <w:t>ue</w:t>
      </w:r>
      <w:r w:rsidR="00CD45AA" w:rsidRPr="002B4E6D">
        <w:rPr>
          <w:szCs w:val="20"/>
          <w:lang w:val="es-CR"/>
        </w:rPr>
        <w:t xml:space="preserve">sta, </w:t>
      </w:r>
      <w:r w:rsidRPr="002B4E6D">
        <w:rPr>
          <w:szCs w:val="20"/>
          <w:lang w:val="es-CR"/>
        </w:rPr>
        <w:t>el</w:t>
      </w:r>
      <w:r w:rsidR="00CD45AA" w:rsidRPr="002B4E6D">
        <w:rPr>
          <w:szCs w:val="20"/>
          <w:lang w:val="es-CR"/>
        </w:rPr>
        <w:t xml:space="preserve"> GMF-RJ </w:t>
      </w:r>
      <w:r w:rsidR="00E4427D">
        <w:rPr>
          <w:szCs w:val="20"/>
          <w:lang w:val="es-CR"/>
        </w:rPr>
        <w:t xml:space="preserve">afirmó </w:t>
      </w:r>
      <w:r w:rsidR="000E5962" w:rsidRPr="002B4E6D">
        <w:rPr>
          <w:szCs w:val="20"/>
          <w:lang w:val="es-CR"/>
        </w:rPr>
        <w:t xml:space="preserve">que </w:t>
      </w:r>
      <w:r w:rsidR="00E31F81">
        <w:rPr>
          <w:szCs w:val="20"/>
          <w:lang w:val="es-CR"/>
        </w:rPr>
        <w:t xml:space="preserve">tal prohibición </w:t>
      </w:r>
      <w:r w:rsidRPr="002B4E6D">
        <w:rPr>
          <w:szCs w:val="20"/>
          <w:lang w:val="es-CR"/>
        </w:rPr>
        <w:t>jamás</w:t>
      </w:r>
      <w:r w:rsidR="000E5962" w:rsidRPr="002B4E6D">
        <w:rPr>
          <w:szCs w:val="20"/>
          <w:lang w:val="es-CR"/>
        </w:rPr>
        <w:t xml:space="preserve"> </w:t>
      </w:r>
      <w:r w:rsidRPr="002B4E6D">
        <w:rPr>
          <w:szCs w:val="20"/>
          <w:lang w:val="es-CR"/>
        </w:rPr>
        <w:t>ocurrirá</w:t>
      </w:r>
      <w:r w:rsidR="00CD45AA" w:rsidRPr="002B4E6D">
        <w:rPr>
          <w:szCs w:val="20"/>
          <w:lang w:val="es-CR"/>
        </w:rPr>
        <w:t>.</w:t>
      </w:r>
    </w:p>
    <w:p w14:paraId="68DFB27C" w14:textId="77777777" w:rsidR="003E74C0" w:rsidRPr="002B4E6D" w:rsidRDefault="003E74C0" w:rsidP="003E74C0">
      <w:pPr>
        <w:pStyle w:val="ListParagraph"/>
        <w:rPr>
          <w:szCs w:val="20"/>
          <w:lang w:val="es-CR"/>
        </w:rPr>
      </w:pPr>
    </w:p>
    <w:p w14:paraId="1FFCB46F" w14:textId="042E3C83" w:rsidR="00E864DE" w:rsidRPr="002B4E6D" w:rsidRDefault="00944483" w:rsidP="00CD45AA">
      <w:pPr>
        <w:pStyle w:val="ListParagraph"/>
        <w:numPr>
          <w:ilvl w:val="0"/>
          <w:numId w:val="20"/>
        </w:numPr>
        <w:snapToGrid w:val="0"/>
        <w:ind w:left="0" w:firstLine="0"/>
        <w:contextualSpacing w:val="0"/>
        <w:rPr>
          <w:szCs w:val="20"/>
          <w:lang w:val="es-CR"/>
        </w:rPr>
      </w:pPr>
      <w:r w:rsidRPr="002B4E6D">
        <w:rPr>
          <w:szCs w:val="20"/>
          <w:lang w:val="es-CR"/>
        </w:rPr>
        <w:t xml:space="preserve">Adicionalmente, </w:t>
      </w:r>
      <w:r w:rsidR="00536850" w:rsidRPr="002B4E6D">
        <w:rPr>
          <w:szCs w:val="20"/>
          <w:lang w:val="es-CR"/>
        </w:rPr>
        <w:t>los</w:t>
      </w:r>
      <w:r w:rsidR="002A1C41" w:rsidRPr="002B4E6D">
        <w:rPr>
          <w:szCs w:val="20"/>
          <w:lang w:val="es-CR"/>
        </w:rPr>
        <w:t xml:space="preserve"> representantes </w:t>
      </w:r>
      <w:r w:rsidR="00536850" w:rsidRPr="002B4E6D">
        <w:rPr>
          <w:szCs w:val="20"/>
          <w:lang w:val="es-CR"/>
        </w:rPr>
        <w:t>formalizaron</w:t>
      </w:r>
      <w:r w:rsidR="002A1C41" w:rsidRPr="002B4E6D">
        <w:rPr>
          <w:szCs w:val="20"/>
          <w:lang w:val="es-CR"/>
        </w:rPr>
        <w:t xml:space="preserve"> 337 pedidos de </w:t>
      </w:r>
      <w:r w:rsidR="00536850" w:rsidRPr="002B4E6D">
        <w:rPr>
          <w:szCs w:val="20"/>
          <w:lang w:val="es-CR"/>
        </w:rPr>
        <w:t>libertad</w:t>
      </w:r>
      <w:r w:rsidR="002A1C41" w:rsidRPr="002B4E6D">
        <w:rPr>
          <w:szCs w:val="20"/>
          <w:lang w:val="es-CR"/>
        </w:rPr>
        <w:t xml:space="preserve"> condicional </w:t>
      </w:r>
      <w:r w:rsidR="003B7390" w:rsidRPr="002B4E6D">
        <w:rPr>
          <w:szCs w:val="20"/>
          <w:lang w:val="es-CR"/>
        </w:rPr>
        <w:t>anticipada</w:t>
      </w:r>
      <w:r w:rsidRPr="002B4E6D">
        <w:rPr>
          <w:szCs w:val="20"/>
          <w:lang w:val="es-CR"/>
        </w:rPr>
        <w:t xml:space="preserve"> </w:t>
      </w:r>
      <w:r w:rsidR="00536850" w:rsidRPr="002B4E6D">
        <w:rPr>
          <w:szCs w:val="20"/>
          <w:lang w:val="es-CR"/>
        </w:rPr>
        <w:t>en</w:t>
      </w:r>
      <w:r w:rsidRPr="002B4E6D">
        <w:rPr>
          <w:szCs w:val="20"/>
          <w:lang w:val="es-CR"/>
        </w:rPr>
        <w:t xml:space="preserve"> </w:t>
      </w:r>
      <w:r w:rsidR="003B7390" w:rsidRPr="002B4E6D">
        <w:rPr>
          <w:szCs w:val="20"/>
          <w:lang w:val="es-CR"/>
        </w:rPr>
        <w:t>favor</w:t>
      </w:r>
      <w:r w:rsidRPr="002B4E6D">
        <w:rPr>
          <w:szCs w:val="20"/>
          <w:lang w:val="es-CR"/>
        </w:rPr>
        <w:t xml:space="preserve"> </w:t>
      </w:r>
      <w:r w:rsidR="00536850" w:rsidRPr="002B4E6D">
        <w:rPr>
          <w:szCs w:val="20"/>
          <w:lang w:val="es-CR"/>
        </w:rPr>
        <w:t>de los</w:t>
      </w:r>
      <w:r w:rsidR="002A1C41" w:rsidRPr="002B4E6D">
        <w:rPr>
          <w:szCs w:val="20"/>
          <w:lang w:val="es-CR"/>
        </w:rPr>
        <w:t xml:space="preserve"> </w:t>
      </w:r>
      <w:r w:rsidR="000D1815" w:rsidRPr="002B4E6D">
        <w:rPr>
          <w:szCs w:val="20"/>
          <w:lang w:val="es-CR"/>
        </w:rPr>
        <w:t>detenidos</w:t>
      </w:r>
      <w:r w:rsidR="002A1C41" w:rsidRPr="002B4E6D">
        <w:rPr>
          <w:szCs w:val="20"/>
          <w:lang w:val="es-CR"/>
        </w:rPr>
        <w:t xml:space="preserve"> </w:t>
      </w:r>
      <w:r w:rsidR="00536850" w:rsidRPr="002B4E6D">
        <w:rPr>
          <w:szCs w:val="20"/>
          <w:lang w:val="es-CR"/>
        </w:rPr>
        <w:t>del</w:t>
      </w:r>
      <w:r w:rsidR="002A1C41" w:rsidRPr="002B4E6D">
        <w:rPr>
          <w:szCs w:val="20"/>
          <w:lang w:val="es-CR"/>
        </w:rPr>
        <w:t xml:space="preserve"> IPPSC que </w:t>
      </w:r>
      <w:r w:rsidR="00CD4583">
        <w:rPr>
          <w:szCs w:val="20"/>
          <w:lang w:val="es-CR"/>
        </w:rPr>
        <w:t>cumpli</w:t>
      </w:r>
      <w:r w:rsidR="00536850" w:rsidRPr="002B4E6D">
        <w:rPr>
          <w:szCs w:val="20"/>
          <w:lang w:val="es-CR"/>
        </w:rPr>
        <w:t>rían</w:t>
      </w:r>
      <w:r w:rsidR="002A1C41" w:rsidRPr="002B4E6D">
        <w:rPr>
          <w:szCs w:val="20"/>
          <w:lang w:val="es-CR"/>
        </w:rPr>
        <w:t xml:space="preserve"> </w:t>
      </w:r>
      <w:r w:rsidR="00291B29">
        <w:rPr>
          <w:szCs w:val="20"/>
          <w:lang w:val="es-CR"/>
        </w:rPr>
        <w:t>el término</w:t>
      </w:r>
      <w:r w:rsidR="002A1C41" w:rsidRPr="002B4E6D">
        <w:rPr>
          <w:szCs w:val="20"/>
          <w:lang w:val="es-CR"/>
        </w:rPr>
        <w:t xml:space="preserve"> para </w:t>
      </w:r>
      <w:r w:rsidR="00291B29">
        <w:rPr>
          <w:szCs w:val="20"/>
          <w:lang w:val="es-CR"/>
        </w:rPr>
        <w:t xml:space="preserve">la </w:t>
      </w:r>
      <w:r w:rsidR="002A1C41" w:rsidRPr="002B4E6D">
        <w:rPr>
          <w:szCs w:val="20"/>
          <w:lang w:val="es-CR"/>
        </w:rPr>
        <w:t>conce</w:t>
      </w:r>
      <w:r w:rsidR="00536850" w:rsidRPr="002B4E6D">
        <w:rPr>
          <w:szCs w:val="20"/>
          <w:lang w:val="es-CR"/>
        </w:rPr>
        <w:t>sión</w:t>
      </w:r>
      <w:r w:rsidR="002A1C41" w:rsidRPr="002B4E6D">
        <w:rPr>
          <w:szCs w:val="20"/>
          <w:lang w:val="es-CR"/>
        </w:rPr>
        <w:t xml:space="preserve"> de</w:t>
      </w:r>
      <w:r w:rsidR="00536850" w:rsidRPr="002B4E6D">
        <w:rPr>
          <w:szCs w:val="20"/>
          <w:lang w:val="es-CR"/>
        </w:rPr>
        <w:t xml:space="preserve"> ese</w:t>
      </w:r>
      <w:r w:rsidR="002A1C41" w:rsidRPr="002B4E6D">
        <w:rPr>
          <w:szCs w:val="20"/>
          <w:lang w:val="es-CR"/>
        </w:rPr>
        <w:t xml:space="preserve"> </w:t>
      </w:r>
      <w:r w:rsidR="00536850" w:rsidRPr="002B4E6D">
        <w:rPr>
          <w:szCs w:val="20"/>
          <w:lang w:val="es-CR"/>
        </w:rPr>
        <w:t>beneficio</w:t>
      </w:r>
      <w:r w:rsidR="002A1C41" w:rsidRPr="002B4E6D">
        <w:rPr>
          <w:szCs w:val="20"/>
          <w:lang w:val="es-CR"/>
        </w:rPr>
        <w:t xml:space="preserve"> </w:t>
      </w:r>
      <w:r w:rsidR="00536850" w:rsidRPr="002B4E6D">
        <w:rPr>
          <w:szCs w:val="20"/>
          <w:lang w:val="es-CR"/>
        </w:rPr>
        <w:t>en</w:t>
      </w:r>
      <w:r w:rsidR="002A1C41" w:rsidRPr="002B4E6D">
        <w:rPr>
          <w:szCs w:val="20"/>
          <w:lang w:val="es-CR"/>
        </w:rPr>
        <w:t xml:space="preserve"> 2018. </w:t>
      </w:r>
      <w:r w:rsidR="00536850" w:rsidRPr="002B4E6D">
        <w:rPr>
          <w:szCs w:val="20"/>
          <w:lang w:val="es-CR"/>
        </w:rPr>
        <w:t>Notaron</w:t>
      </w:r>
      <w:r w:rsidR="002A1C41" w:rsidRPr="002B4E6D">
        <w:rPr>
          <w:szCs w:val="20"/>
          <w:lang w:val="es-CR"/>
        </w:rPr>
        <w:t xml:space="preserve"> que</w:t>
      </w:r>
      <w:r w:rsidR="00D953CD" w:rsidRPr="002B4E6D">
        <w:rPr>
          <w:szCs w:val="20"/>
          <w:lang w:val="es-CR"/>
        </w:rPr>
        <w:t>,</w:t>
      </w:r>
      <w:r w:rsidR="002A1C41" w:rsidRPr="002B4E6D">
        <w:rPr>
          <w:szCs w:val="20"/>
          <w:lang w:val="es-CR"/>
        </w:rPr>
        <w:t xml:space="preserve"> </w:t>
      </w:r>
      <w:r w:rsidR="00536850" w:rsidRPr="002B4E6D">
        <w:rPr>
          <w:szCs w:val="20"/>
          <w:lang w:val="es-CR"/>
        </w:rPr>
        <w:t xml:space="preserve">en </w:t>
      </w:r>
      <w:r w:rsidR="002A1C41" w:rsidRPr="002B4E6D">
        <w:rPr>
          <w:szCs w:val="20"/>
          <w:lang w:val="es-CR"/>
        </w:rPr>
        <w:t xml:space="preserve">caso </w:t>
      </w:r>
      <w:r w:rsidR="00536850" w:rsidRPr="002B4E6D">
        <w:rPr>
          <w:szCs w:val="20"/>
          <w:lang w:val="es-CR"/>
        </w:rPr>
        <w:t>de que es</w:t>
      </w:r>
      <w:r w:rsidR="00E31F81">
        <w:rPr>
          <w:szCs w:val="20"/>
          <w:lang w:val="es-CR"/>
        </w:rPr>
        <w:t>a</w:t>
      </w:r>
      <w:r w:rsidR="00536850" w:rsidRPr="002B4E6D">
        <w:rPr>
          <w:szCs w:val="20"/>
          <w:lang w:val="es-CR"/>
        </w:rPr>
        <w:t>s</w:t>
      </w:r>
      <w:r w:rsidR="002A1C41" w:rsidRPr="002B4E6D">
        <w:rPr>
          <w:szCs w:val="20"/>
          <w:lang w:val="es-CR"/>
        </w:rPr>
        <w:t xml:space="preserve"> </w:t>
      </w:r>
      <w:r w:rsidR="00E31F81">
        <w:rPr>
          <w:szCs w:val="20"/>
          <w:lang w:val="es-CR"/>
        </w:rPr>
        <w:t>solicitude</w:t>
      </w:r>
      <w:r w:rsidR="002A1C41" w:rsidRPr="002B4E6D">
        <w:rPr>
          <w:szCs w:val="20"/>
          <w:lang w:val="es-CR"/>
        </w:rPr>
        <w:t xml:space="preserve">s </w:t>
      </w:r>
      <w:r w:rsidR="00536850" w:rsidRPr="002B4E6D">
        <w:rPr>
          <w:szCs w:val="20"/>
          <w:lang w:val="es-CR"/>
        </w:rPr>
        <w:t>fuesen</w:t>
      </w:r>
      <w:r w:rsidR="002A1C41" w:rsidRPr="002B4E6D">
        <w:rPr>
          <w:szCs w:val="20"/>
          <w:lang w:val="es-CR"/>
        </w:rPr>
        <w:t xml:space="preserve"> </w:t>
      </w:r>
      <w:r w:rsidR="00E31F81">
        <w:rPr>
          <w:szCs w:val="20"/>
          <w:lang w:val="es-CR"/>
        </w:rPr>
        <w:t>conced</w:t>
      </w:r>
      <w:r w:rsidR="002A1C41" w:rsidRPr="002B4E6D">
        <w:rPr>
          <w:szCs w:val="20"/>
          <w:lang w:val="es-CR"/>
        </w:rPr>
        <w:t>id</w:t>
      </w:r>
      <w:r w:rsidR="00E31F81">
        <w:rPr>
          <w:szCs w:val="20"/>
          <w:lang w:val="es-CR"/>
        </w:rPr>
        <w:t>a</w:t>
      </w:r>
      <w:r w:rsidR="002A1C41" w:rsidRPr="002B4E6D">
        <w:rPr>
          <w:szCs w:val="20"/>
          <w:lang w:val="es-CR"/>
        </w:rPr>
        <w:t xml:space="preserve">s, </w:t>
      </w:r>
      <w:r w:rsidR="00536850" w:rsidRPr="002B4E6D">
        <w:rPr>
          <w:szCs w:val="20"/>
          <w:lang w:val="es-CR"/>
        </w:rPr>
        <w:t>casi</w:t>
      </w:r>
      <w:r w:rsidR="002A1C41" w:rsidRPr="002B4E6D">
        <w:rPr>
          <w:szCs w:val="20"/>
          <w:lang w:val="es-CR"/>
        </w:rPr>
        <w:t xml:space="preserve"> </w:t>
      </w:r>
      <w:r w:rsidR="0083765B">
        <w:rPr>
          <w:szCs w:val="20"/>
          <w:lang w:val="es-CR"/>
        </w:rPr>
        <w:t xml:space="preserve">el </w:t>
      </w:r>
      <w:r w:rsidR="002A1C41" w:rsidRPr="002B4E6D">
        <w:rPr>
          <w:szCs w:val="20"/>
          <w:lang w:val="es-CR"/>
        </w:rPr>
        <w:t xml:space="preserve">10% </w:t>
      </w:r>
      <w:r w:rsidR="00536850" w:rsidRPr="002B4E6D">
        <w:rPr>
          <w:szCs w:val="20"/>
          <w:lang w:val="es-CR"/>
        </w:rPr>
        <w:t>del</w:t>
      </w:r>
      <w:r w:rsidR="002A1C41" w:rsidRPr="002B4E6D">
        <w:rPr>
          <w:szCs w:val="20"/>
          <w:lang w:val="es-CR"/>
        </w:rPr>
        <w:t xml:space="preserve"> contingente </w:t>
      </w:r>
      <w:r w:rsidR="00E050FE" w:rsidRPr="002B4E6D">
        <w:rPr>
          <w:szCs w:val="20"/>
          <w:lang w:val="es-CR"/>
        </w:rPr>
        <w:t>poblacional</w:t>
      </w:r>
      <w:r w:rsidR="00536850" w:rsidRPr="002B4E6D">
        <w:rPr>
          <w:szCs w:val="20"/>
          <w:lang w:val="es-CR"/>
        </w:rPr>
        <w:t xml:space="preserve"> del</w:t>
      </w:r>
      <w:r w:rsidR="002A1C41" w:rsidRPr="002B4E6D">
        <w:rPr>
          <w:szCs w:val="20"/>
          <w:lang w:val="es-CR"/>
        </w:rPr>
        <w:t xml:space="preserve"> IPPSC </w:t>
      </w:r>
      <w:r w:rsidR="00536850" w:rsidRPr="002B4E6D">
        <w:rPr>
          <w:szCs w:val="20"/>
          <w:lang w:val="es-CR"/>
        </w:rPr>
        <w:t>dejaría</w:t>
      </w:r>
      <w:r w:rsidR="002A1C41" w:rsidRPr="002B4E6D">
        <w:rPr>
          <w:szCs w:val="20"/>
          <w:lang w:val="es-CR"/>
        </w:rPr>
        <w:t xml:space="preserve"> </w:t>
      </w:r>
      <w:r w:rsidR="00536850" w:rsidRPr="002B4E6D">
        <w:rPr>
          <w:szCs w:val="20"/>
          <w:lang w:val="es-CR"/>
        </w:rPr>
        <w:t>el</w:t>
      </w:r>
      <w:r w:rsidR="002A1C41" w:rsidRPr="002B4E6D">
        <w:rPr>
          <w:szCs w:val="20"/>
          <w:lang w:val="es-CR"/>
        </w:rPr>
        <w:t xml:space="preserve"> </w:t>
      </w:r>
      <w:r w:rsidR="00536850" w:rsidRPr="002B4E6D">
        <w:rPr>
          <w:szCs w:val="20"/>
          <w:lang w:val="es-CR"/>
        </w:rPr>
        <w:t>establecimiento</w:t>
      </w:r>
      <w:r w:rsidR="002A1C41" w:rsidRPr="002B4E6D">
        <w:rPr>
          <w:szCs w:val="20"/>
          <w:lang w:val="es-CR"/>
        </w:rPr>
        <w:t xml:space="preserve">. </w:t>
      </w:r>
      <w:r w:rsidR="00536850" w:rsidRPr="002B4E6D">
        <w:rPr>
          <w:szCs w:val="20"/>
          <w:lang w:val="es-CR"/>
        </w:rPr>
        <w:t>Sin embargo</w:t>
      </w:r>
      <w:r w:rsidR="002A1C41" w:rsidRPr="002B4E6D">
        <w:rPr>
          <w:szCs w:val="20"/>
          <w:lang w:val="es-CR"/>
        </w:rPr>
        <w:t xml:space="preserve">, </w:t>
      </w:r>
      <w:r w:rsidR="00536850" w:rsidRPr="002B4E6D">
        <w:rPr>
          <w:szCs w:val="20"/>
          <w:lang w:val="es-CR"/>
        </w:rPr>
        <w:t>esos</w:t>
      </w:r>
      <w:r w:rsidR="002A1C41" w:rsidRPr="002B4E6D">
        <w:rPr>
          <w:szCs w:val="20"/>
          <w:lang w:val="es-CR"/>
        </w:rPr>
        <w:t xml:space="preserve"> pedidos </w:t>
      </w:r>
      <w:r w:rsidR="00536850" w:rsidRPr="002B4E6D">
        <w:rPr>
          <w:szCs w:val="20"/>
          <w:lang w:val="es-CR"/>
        </w:rPr>
        <w:t>vienen</w:t>
      </w:r>
      <w:r w:rsidR="002A1C41" w:rsidRPr="002B4E6D">
        <w:rPr>
          <w:szCs w:val="20"/>
          <w:lang w:val="es-CR"/>
        </w:rPr>
        <w:t xml:space="preserve"> </w:t>
      </w:r>
      <w:r w:rsidR="009D0749" w:rsidRPr="002B4E6D">
        <w:rPr>
          <w:szCs w:val="20"/>
          <w:lang w:val="es-CR"/>
        </w:rPr>
        <w:t>siendo</w:t>
      </w:r>
      <w:r w:rsidR="002A1C41" w:rsidRPr="002B4E6D">
        <w:rPr>
          <w:szCs w:val="20"/>
          <w:lang w:val="es-CR"/>
        </w:rPr>
        <w:t xml:space="preserve"> sumariamente </w:t>
      </w:r>
      <w:r w:rsidR="00536850" w:rsidRPr="002B4E6D">
        <w:rPr>
          <w:szCs w:val="20"/>
          <w:lang w:val="es-CR"/>
        </w:rPr>
        <w:t>rechazados</w:t>
      </w:r>
      <w:r w:rsidR="002A1C41" w:rsidRPr="002B4E6D">
        <w:rPr>
          <w:szCs w:val="20"/>
          <w:lang w:val="es-CR"/>
        </w:rPr>
        <w:t xml:space="preserve">, </w:t>
      </w:r>
      <w:r w:rsidR="00536850" w:rsidRPr="002B4E6D">
        <w:rPr>
          <w:szCs w:val="20"/>
          <w:lang w:val="es-CR"/>
        </w:rPr>
        <w:t>bajo</w:t>
      </w:r>
      <w:r w:rsidR="002A1C41" w:rsidRPr="002B4E6D">
        <w:rPr>
          <w:szCs w:val="20"/>
          <w:lang w:val="es-CR"/>
        </w:rPr>
        <w:t xml:space="preserve"> </w:t>
      </w:r>
      <w:r w:rsidR="00536850" w:rsidRPr="002B4E6D">
        <w:rPr>
          <w:szCs w:val="20"/>
          <w:lang w:val="es-CR"/>
        </w:rPr>
        <w:t>el</w:t>
      </w:r>
      <w:r w:rsidRPr="002B4E6D">
        <w:rPr>
          <w:szCs w:val="20"/>
          <w:lang w:val="es-CR"/>
        </w:rPr>
        <w:t xml:space="preserve"> argumento de que </w:t>
      </w:r>
      <w:r w:rsidR="00E31F81">
        <w:rPr>
          <w:szCs w:val="20"/>
          <w:lang w:val="es-CR"/>
        </w:rPr>
        <w:t xml:space="preserve">no se ha </w:t>
      </w:r>
      <w:r w:rsidR="00291B29">
        <w:rPr>
          <w:szCs w:val="20"/>
          <w:lang w:val="es-CR"/>
        </w:rPr>
        <w:t xml:space="preserve">completado el término establecido </w:t>
      </w:r>
      <w:r w:rsidRPr="002B4E6D">
        <w:rPr>
          <w:szCs w:val="20"/>
          <w:lang w:val="es-CR"/>
        </w:rPr>
        <w:t>para</w:t>
      </w:r>
      <w:r w:rsidR="002A1C41" w:rsidRPr="002B4E6D">
        <w:rPr>
          <w:szCs w:val="20"/>
          <w:lang w:val="es-CR"/>
        </w:rPr>
        <w:t xml:space="preserve"> </w:t>
      </w:r>
      <w:r w:rsidR="00291B29">
        <w:rPr>
          <w:szCs w:val="20"/>
          <w:lang w:val="es-CR"/>
        </w:rPr>
        <w:t xml:space="preserve">conceder la </w:t>
      </w:r>
      <w:r w:rsidR="00CB7753" w:rsidRPr="002B4E6D">
        <w:rPr>
          <w:szCs w:val="20"/>
          <w:lang w:val="es-CR"/>
        </w:rPr>
        <w:t>libertad</w:t>
      </w:r>
      <w:r w:rsidR="002A1C41" w:rsidRPr="002B4E6D">
        <w:rPr>
          <w:szCs w:val="20"/>
          <w:lang w:val="es-CR"/>
        </w:rPr>
        <w:t xml:space="preserve"> condicional. </w:t>
      </w:r>
    </w:p>
    <w:p w14:paraId="4B7F2AF8" w14:textId="77777777" w:rsidR="00E864DE" w:rsidRPr="002B4E6D" w:rsidRDefault="00E864DE" w:rsidP="00E864DE">
      <w:pPr>
        <w:pStyle w:val="ListParagraph"/>
        <w:rPr>
          <w:szCs w:val="20"/>
          <w:lang w:val="es-CR"/>
        </w:rPr>
      </w:pPr>
    </w:p>
    <w:p w14:paraId="2A8DA058" w14:textId="55EEEAD9" w:rsidR="002A1C41" w:rsidRPr="002B4E6D" w:rsidRDefault="00536850" w:rsidP="00CD45AA">
      <w:pPr>
        <w:pStyle w:val="ListParagraph"/>
        <w:numPr>
          <w:ilvl w:val="0"/>
          <w:numId w:val="20"/>
        </w:numPr>
        <w:snapToGrid w:val="0"/>
        <w:ind w:left="0" w:firstLine="0"/>
        <w:contextualSpacing w:val="0"/>
        <w:rPr>
          <w:szCs w:val="20"/>
          <w:lang w:val="es-CR"/>
        </w:rPr>
      </w:pPr>
      <w:r w:rsidRPr="002B4E6D">
        <w:rPr>
          <w:szCs w:val="20"/>
          <w:lang w:val="es-CR"/>
        </w:rPr>
        <w:t>En ese</w:t>
      </w:r>
      <w:r w:rsidR="002A1C41" w:rsidRPr="002B4E6D">
        <w:rPr>
          <w:szCs w:val="20"/>
          <w:lang w:val="es-CR"/>
        </w:rPr>
        <w:t xml:space="preserve"> </w:t>
      </w:r>
      <w:r w:rsidR="009D0749" w:rsidRPr="002B4E6D">
        <w:rPr>
          <w:szCs w:val="20"/>
          <w:lang w:val="es-CR"/>
        </w:rPr>
        <w:t>escenario</w:t>
      </w:r>
      <w:r w:rsidR="002A1C41" w:rsidRPr="002B4E6D">
        <w:rPr>
          <w:szCs w:val="20"/>
          <w:lang w:val="es-CR"/>
        </w:rPr>
        <w:t xml:space="preserve">, </w:t>
      </w:r>
      <w:r w:rsidRPr="002B4E6D">
        <w:rPr>
          <w:szCs w:val="20"/>
          <w:lang w:val="es-CR"/>
        </w:rPr>
        <w:t>l</w:t>
      </w:r>
      <w:r w:rsidR="002A1C41" w:rsidRPr="002B4E6D">
        <w:rPr>
          <w:szCs w:val="20"/>
          <w:lang w:val="es-CR"/>
        </w:rPr>
        <w:t xml:space="preserve">os representantes </w:t>
      </w:r>
      <w:r w:rsidRPr="002B4E6D">
        <w:rPr>
          <w:szCs w:val="20"/>
          <w:lang w:val="es-CR"/>
        </w:rPr>
        <w:t>denunciaron</w:t>
      </w:r>
      <w:r w:rsidR="002A1C41" w:rsidRPr="002B4E6D">
        <w:rPr>
          <w:szCs w:val="20"/>
          <w:lang w:val="es-CR"/>
        </w:rPr>
        <w:t xml:space="preserve"> </w:t>
      </w:r>
      <w:r w:rsidR="00CB7753" w:rsidRPr="002B4E6D">
        <w:rPr>
          <w:szCs w:val="20"/>
          <w:lang w:val="es-CR"/>
        </w:rPr>
        <w:t>la negativa</w:t>
      </w:r>
      <w:r w:rsidR="002A1C41" w:rsidRPr="002B4E6D">
        <w:rPr>
          <w:szCs w:val="20"/>
          <w:lang w:val="es-CR"/>
        </w:rPr>
        <w:t xml:space="preserve"> </w:t>
      </w:r>
      <w:r w:rsidRPr="002B4E6D">
        <w:rPr>
          <w:szCs w:val="20"/>
          <w:lang w:val="es-CR"/>
        </w:rPr>
        <w:t>de los</w:t>
      </w:r>
      <w:r w:rsidR="002A1C41" w:rsidRPr="002B4E6D">
        <w:rPr>
          <w:szCs w:val="20"/>
          <w:lang w:val="es-CR"/>
        </w:rPr>
        <w:t xml:space="preserve"> </w:t>
      </w:r>
      <w:r w:rsidR="009D0749" w:rsidRPr="002B4E6D">
        <w:rPr>
          <w:szCs w:val="20"/>
          <w:lang w:val="es-CR"/>
        </w:rPr>
        <w:t>Jueces</w:t>
      </w:r>
      <w:r w:rsidR="002A1C41" w:rsidRPr="002B4E6D">
        <w:rPr>
          <w:szCs w:val="20"/>
          <w:lang w:val="es-CR"/>
        </w:rPr>
        <w:t xml:space="preserve"> </w:t>
      </w:r>
      <w:r w:rsidRPr="002B4E6D">
        <w:rPr>
          <w:szCs w:val="20"/>
          <w:lang w:val="es-CR"/>
        </w:rPr>
        <w:t>de</w:t>
      </w:r>
      <w:r w:rsidR="00E4427D">
        <w:rPr>
          <w:szCs w:val="20"/>
          <w:lang w:val="es-CR"/>
        </w:rPr>
        <w:t xml:space="preserve"> Derecho de la </w:t>
      </w:r>
      <w:r w:rsidR="00107B2B" w:rsidRPr="002B4E6D">
        <w:rPr>
          <w:szCs w:val="20"/>
          <w:lang w:val="es-CR"/>
        </w:rPr>
        <w:t>VEP/RJ</w:t>
      </w:r>
      <w:r w:rsidR="002A1C41" w:rsidRPr="002B4E6D">
        <w:rPr>
          <w:szCs w:val="20"/>
          <w:lang w:val="es-CR"/>
        </w:rPr>
        <w:t xml:space="preserve">, </w:t>
      </w:r>
      <w:r w:rsidRPr="002B4E6D">
        <w:rPr>
          <w:szCs w:val="20"/>
          <w:lang w:val="es-CR"/>
        </w:rPr>
        <w:t>de los</w:t>
      </w:r>
      <w:r w:rsidR="002A1C41" w:rsidRPr="002B4E6D">
        <w:rPr>
          <w:szCs w:val="20"/>
          <w:lang w:val="es-CR"/>
        </w:rPr>
        <w:t xml:space="preserve"> </w:t>
      </w:r>
      <w:r w:rsidR="009D0749" w:rsidRPr="002B4E6D">
        <w:rPr>
          <w:szCs w:val="20"/>
          <w:lang w:val="es-CR"/>
        </w:rPr>
        <w:t>miembros</w:t>
      </w:r>
      <w:r w:rsidR="002A1C41" w:rsidRPr="002B4E6D">
        <w:rPr>
          <w:szCs w:val="20"/>
          <w:lang w:val="es-CR"/>
        </w:rPr>
        <w:t xml:space="preserve"> </w:t>
      </w:r>
      <w:r w:rsidRPr="002B4E6D">
        <w:rPr>
          <w:szCs w:val="20"/>
          <w:lang w:val="es-CR"/>
        </w:rPr>
        <w:t>del</w:t>
      </w:r>
      <w:r w:rsidR="002A1C41" w:rsidRPr="002B4E6D">
        <w:rPr>
          <w:szCs w:val="20"/>
          <w:lang w:val="es-CR"/>
        </w:rPr>
        <w:t xml:space="preserve"> </w:t>
      </w:r>
      <w:r w:rsidR="009D0749" w:rsidRPr="002B4E6D">
        <w:rPr>
          <w:szCs w:val="20"/>
          <w:lang w:val="es-CR"/>
        </w:rPr>
        <w:t>Ministerio</w:t>
      </w:r>
      <w:r w:rsidR="002A1C41" w:rsidRPr="002B4E6D">
        <w:rPr>
          <w:szCs w:val="20"/>
          <w:lang w:val="es-CR"/>
        </w:rPr>
        <w:t xml:space="preserve"> Público, </w:t>
      </w:r>
      <w:r w:rsidRPr="002B4E6D">
        <w:rPr>
          <w:szCs w:val="20"/>
          <w:lang w:val="es-CR"/>
        </w:rPr>
        <w:t>del</w:t>
      </w:r>
      <w:r w:rsidR="002A1C41" w:rsidRPr="002B4E6D">
        <w:rPr>
          <w:szCs w:val="20"/>
          <w:lang w:val="es-CR"/>
        </w:rPr>
        <w:t xml:space="preserve"> GMF/RJ </w:t>
      </w:r>
      <w:r w:rsidRPr="002B4E6D">
        <w:rPr>
          <w:szCs w:val="20"/>
          <w:lang w:val="es-CR"/>
        </w:rPr>
        <w:t>y</w:t>
      </w:r>
      <w:r w:rsidR="002A1C41" w:rsidRPr="002B4E6D">
        <w:rPr>
          <w:szCs w:val="20"/>
          <w:lang w:val="es-CR"/>
        </w:rPr>
        <w:t xml:space="preserve"> </w:t>
      </w:r>
      <w:r w:rsidRPr="002B4E6D">
        <w:rPr>
          <w:szCs w:val="20"/>
          <w:lang w:val="es-CR"/>
        </w:rPr>
        <w:t>del</w:t>
      </w:r>
      <w:r w:rsidR="002A1C41" w:rsidRPr="002B4E6D">
        <w:rPr>
          <w:szCs w:val="20"/>
          <w:lang w:val="es-CR"/>
        </w:rPr>
        <w:t xml:space="preserve"> </w:t>
      </w:r>
      <w:r w:rsidR="009D0749" w:rsidRPr="002B4E6D">
        <w:rPr>
          <w:szCs w:val="20"/>
          <w:lang w:val="es-CR"/>
        </w:rPr>
        <w:t>Comité</w:t>
      </w:r>
      <w:r w:rsidR="002A1C41" w:rsidRPr="002B4E6D">
        <w:rPr>
          <w:szCs w:val="20"/>
          <w:lang w:val="es-CR"/>
        </w:rPr>
        <w:t xml:space="preserve"> Colegiado </w:t>
      </w:r>
      <w:r w:rsidRPr="002B4E6D">
        <w:rPr>
          <w:szCs w:val="20"/>
          <w:lang w:val="es-CR"/>
        </w:rPr>
        <w:t>del</w:t>
      </w:r>
      <w:r w:rsidR="002A1C41" w:rsidRPr="002B4E6D">
        <w:rPr>
          <w:szCs w:val="20"/>
          <w:lang w:val="es-CR"/>
        </w:rPr>
        <w:t xml:space="preserve"> Tribunal de </w:t>
      </w:r>
      <w:r w:rsidR="000D1815" w:rsidRPr="002B4E6D">
        <w:rPr>
          <w:szCs w:val="20"/>
          <w:lang w:val="es-CR"/>
        </w:rPr>
        <w:t>Justicia</w:t>
      </w:r>
      <w:r w:rsidR="002A1C41" w:rsidRPr="002B4E6D">
        <w:rPr>
          <w:szCs w:val="20"/>
          <w:lang w:val="es-CR"/>
        </w:rPr>
        <w:t xml:space="preserve"> de </w:t>
      </w:r>
      <w:r w:rsidR="009D0749" w:rsidRPr="002B4E6D">
        <w:rPr>
          <w:szCs w:val="20"/>
          <w:lang w:val="es-CR"/>
        </w:rPr>
        <w:t>cumplir</w:t>
      </w:r>
      <w:r w:rsidR="002A1C41" w:rsidRPr="002B4E6D">
        <w:rPr>
          <w:szCs w:val="20"/>
          <w:lang w:val="es-CR"/>
        </w:rPr>
        <w:t xml:space="preserve"> </w:t>
      </w:r>
      <w:r w:rsidRPr="002B4E6D">
        <w:rPr>
          <w:szCs w:val="20"/>
          <w:lang w:val="es-CR"/>
        </w:rPr>
        <w:t>con</w:t>
      </w:r>
      <w:r w:rsidR="002A1C41" w:rsidRPr="002B4E6D">
        <w:rPr>
          <w:szCs w:val="20"/>
          <w:lang w:val="es-CR"/>
        </w:rPr>
        <w:t xml:space="preserve"> </w:t>
      </w:r>
      <w:r w:rsidRPr="002B4E6D">
        <w:rPr>
          <w:szCs w:val="20"/>
          <w:lang w:val="es-CR"/>
        </w:rPr>
        <w:t>las</w:t>
      </w:r>
      <w:r w:rsidR="002A1C41" w:rsidRPr="002B4E6D">
        <w:rPr>
          <w:szCs w:val="20"/>
          <w:lang w:val="es-CR"/>
        </w:rPr>
        <w:t xml:space="preserve"> resolu</w:t>
      </w:r>
      <w:r w:rsidR="00945D4E" w:rsidRPr="002B4E6D">
        <w:rPr>
          <w:szCs w:val="20"/>
          <w:lang w:val="es-CR"/>
        </w:rPr>
        <w:t>ciones</w:t>
      </w:r>
      <w:r w:rsidR="002A1C41" w:rsidRPr="002B4E6D">
        <w:rPr>
          <w:szCs w:val="20"/>
          <w:lang w:val="es-CR"/>
        </w:rPr>
        <w:t xml:space="preserve"> </w:t>
      </w:r>
      <w:r w:rsidRPr="002B4E6D">
        <w:rPr>
          <w:szCs w:val="20"/>
          <w:lang w:val="es-CR"/>
        </w:rPr>
        <w:t>de la</w:t>
      </w:r>
      <w:r w:rsidR="002A1C41" w:rsidRPr="002B4E6D">
        <w:rPr>
          <w:szCs w:val="20"/>
          <w:lang w:val="es-CR"/>
        </w:rPr>
        <w:t xml:space="preserve"> Corte de 13 de </w:t>
      </w:r>
      <w:r w:rsidR="009D0749" w:rsidRPr="002B4E6D">
        <w:rPr>
          <w:szCs w:val="20"/>
          <w:lang w:val="es-CR"/>
        </w:rPr>
        <w:t>febrero</w:t>
      </w:r>
      <w:r w:rsidR="002A1C41" w:rsidRPr="002B4E6D">
        <w:rPr>
          <w:szCs w:val="20"/>
          <w:lang w:val="es-CR"/>
        </w:rPr>
        <w:t xml:space="preserve"> </w:t>
      </w:r>
      <w:r w:rsidRPr="002B4E6D">
        <w:rPr>
          <w:szCs w:val="20"/>
          <w:lang w:val="es-CR"/>
        </w:rPr>
        <w:t>y</w:t>
      </w:r>
      <w:r w:rsidR="002A1C41" w:rsidRPr="002B4E6D">
        <w:rPr>
          <w:szCs w:val="20"/>
          <w:lang w:val="es-CR"/>
        </w:rPr>
        <w:t xml:space="preserve"> de 31 de agosto de 2017.</w:t>
      </w:r>
      <w:r w:rsidR="005A1DA1" w:rsidRPr="002B4E6D">
        <w:rPr>
          <w:szCs w:val="20"/>
          <w:lang w:val="es-CR"/>
        </w:rPr>
        <w:t xml:space="preserve"> </w:t>
      </w:r>
      <w:r w:rsidRPr="002B4E6D">
        <w:rPr>
          <w:szCs w:val="20"/>
          <w:lang w:val="es-CR"/>
        </w:rPr>
        <w:t>Alegaron</w:t>
      </w:r>
      <w:r w:rsidR="005A1DA1" w:rsidRPr="002B4E6D">
        <w:rPr>
          <w:szCs w:val="20"/>
          <w:lang w:val="es-CR"/>
        </w:rPr>
        <w:t xml:space="preserve"> </w:t>
      </w:r>
      <w:r w:rsidR="00CB7753" w:rsidRPr="002B4E6D">
        <w:rPr>
          <w:szCs w:val="20"/>
          <w:lang w:val="es-CR"/>
        </w:rPr>
        <w:t>que es</w:t>
      </w:r>
      <w:r w:rsidR="005A1DA1" w:rsidRPr="002B4E6D">
        <w:rPr>
          <w:szCs w:val="20"/>
          <w:lang w:val="es-CR"/>
        </w:rPr>
        <w:t xml:space="preserve"> </w:t>
      </w:r>
      <w:r w:rsidRPr="002B4E6D">
        <w:rPr>
          <w:szCs w:val="20"/>
          <w:lang w:val="es-CR"/>
        </w:rPr>
        <w:t>el</w:t>
      </w:r>
      <w:r w:rsidR="005A1DA1" w:rsidRPr="002B4E6D">
        <w:rPr>
          <w:szCs w:val="20"/>
          <w:lang w:val="es-CR"/>
        </w:rPr>
        <w:t xml:space="preserve"> Poder </w:t>
      </w:r>
      <w:r w:rsidR="009D0749" w:rsidRPr="002B4E6D">
        <w:rPr>
          <w:szCs w:val="20"/>
          <w:lang w:val="es-CR"/>
        </w:rPr>
        <w:t>Judicial</w:t>
      </w:r>
      <w:r w:rsidR="005A1DA1" w:rsidRPr="002B4E6D">
        <w:rPr>
          <w:szCs w:val="20"/>
          <w:lang w:val="es-CR"/>
        </w:rPr>
        <w:t xml:space="preserve"> </w:t>
      </w:r>
      <w:r w:rsidRPr="002B4E6D">
        <w:rPr>
          <w:szCs w:val="20"/>
          <w:lang w:val="es-CR"/>
        </w:rPr>
        <w:t>l</w:t>
      </w:r>
      <w:r w:rsidR="005A1DA1" w:rsidRPr="002B4E6D">
        <w:rPr>
          <w:szCs w:val="20"/>
          <w:lang w:val="es-CR"/>
        </w:rPr>
        <w:t xml:space="preserve">a </w:t>
      </w:r>
      <w:r w:rsidRPr="002B4E6D">
        <w:rPr>
          <w:szCs w:val="20"/>
          <w:lang w:val="es-CR"/>
        </w:rPr>
        <w:t>fuente</w:t>
      </w:r>
      <w:r w:rsidR="005A1DA1" w:rsidRPr="002B4E6D">
        <w:rPr>
          <w:szCs w:val="20"/>
          <w:lang w:val="es-CR"/>
        </w:rPr>
        <w:t xml:space="preserve"> principal </w:t>
      </w:r>
      <w:r w:rsidRPr="002B4E6D">
        <w:rPr>
          <w:szCs w:val="20"/>
          <w:lang w:val="es-CR"/>
        </w:rPr>
        <w:t>y</w:t>
      </w:r>
      <w:r w:rsidR="005A1DA1" w:rsidRPr="002B4E6D">
        <w:rPr>
          <w:szCs w:val="20"/>
          <w:lang w:val="es-CR"/>
        </w:rPr>
        <w:t xml:space="preserve"> </w:t>
      </w:r>
      <w:r w:rsidR="009D0749" w:rsidRPr="002B4E6D">
        <w:rPr>
          <w:szCs w:val="20"/>
          <w:lang w:val="es-CR"/>
        </w:rPr>
        <w:t>primaria</w:t>
      </w:r>
      <w:r w:rsidR="005A1DA1" w:rsidRPr="002B4E6D">
        <w:rPr>
          <w:szCs w:val="20"/>
          <w:lang w:val="es-CR"/>
        </w:rPr>
        <w:t xml:space="preserve"> de </w:t>
      </w:r>
      <w:r w:rsidR="009E16F7" w:rsidRPr="002B4E6D">
        <w:rPr>
          <w:szCs w:val="20"/>
          <w:lang w:val="es-CR"/>
        </w:rPr>
        <w:t>incumplimiento</w:t>
      </w:r>
      <w:r w:rsidR="005A1DA1" w:rsidRPr="002B4E6D">
        <w:rPr>
          <w:szCs w:val="20"/>
          <w:lang w:val="es-CR"/>
        </w:rPr>
        <w:t xml:space="preserve"> </w:t>
      </w:r>
      <w:r w:rsidRPr="002B4E6D">
        <w:rPr>
          <w:szCs w:val="20"/>
          <w:lang w:val="es-CR"/>
        </w:rPr>
        <w:t>de las</w:t>
      </w:r>
      <w:r w:rsidR="005A1DA1" w:rsidRPr="002B4E6D">
        <w:rPr>
          <w:szCs w:val="20"/>
          <w:lang w:val="es-CR"/>
        </w:rPr>
        <w:t xml:space="preserve"> medidas </w:t>
      </w:r>
      <w:r w:rsidR="00945D4E" w:rsidRPr="002B4E6D">
        <w:rPr>
          <w:szCs w:val="20"/>
          <w:lang w:val="es-CR"/>
        </w:rPr>
        <w:t>provisionales</w:t>
      </w:r>
      <w:r w:rsidR="005A1DA1" w:rsidRPr="002B4E6D">
        <w:rPr>
          <w:szCs w:val="20"/>
          <w:lang w:val="es-CR"/>
        </w:rPr>
        <w:t xml:space="preserve">. </w:t>
      </w:r>
    </w:p>
    <w:p w14:paraId="48BA21A4" w14:textId="77777777" w:rsidR="00107B2B" w:rsidRPr="002B4E6D" w:rsidRDefault="00107B2B" w:rsidP="00107B2B">
      <w:pPr>
        <w:pStyle w:val="ListParagraph"/>
        <w:rPr>
          <w:szCs w:val="20"/>
          <w:lang w:val="es-CR"/>
        </w:rPr>
      </w:pPr>
    </w:p>
    <w:p w14:paraId="737D73A5" w14:textId="12A8B092" w:rsidR="008009C6" w:rsidRPr="002B4E6D" w:rsidRDefault="00536850" w:rsidP="002A1E52">
      <w:pPr>
        <w:pStyle w:val="ListParagraph"/>
        <w:numPr>
          <w:ilvl w:val="0"/>
          <w:numId w:val="20"/>
        </w:numPr>
        <w:snapToGrid w:val="0"/>
        <w:ind w:left="0" w:firstLine="0"/>
        <w:contextualSpacing w:val="0"/>
        <w:rPr>
          <w:szCs w:val="20"/>
          <w:lang w:val="es-CR"/>
        </w:rPr>
      </w:pPr>
      <w:r w:rsidRPr="002B4E6D">
        <w:rPr>
          <w:szCs w:val="20"/>
          <w:lang w:val="es-CR"/>
        </w:rPr>
        <w:t>También notaron,</w:t>
      </w:r>
      <w:r w:rsidR="008009C6" w:rsidRPr="002B4E6D">
        <w:rPr>
          <w:szCs w:val="20"/>
          <w:lang w:val="es-CR"/>
        </w:rPr>
        <w:t xml:space="preserve"> </w:t>
      </w:r>
      <w:r w:rsidR="00CB7753" w:rsidRPr="002B4E6D">
        <w:rPr>
          <w:szCs w:val="20"/>
          <w:lang w:val="es-CR"/>
        </w:rPr>
        <w:t>que,</w:t>
      </w:r>
      <w:r w:rsidR="008009C6" w:rsidRPr="002B4E6D">
        <w:rPr>
          <w:szCs w:val="20"/>
          <w:lang w:val="es-CR"/>
        </w:rPr>
        <w:t xml:space="preserve"> </w:t>
      </w:r>
      <w:r w:rsidRPr="002B4E6D">
        <w:rPr>
          <w:szCs w:val="20"/>
          <w:lang w:val="es-CR"/>
        </w:rPr>
        <w:t>tras</w:t>
      </w:r>
      <w:r w:rsidR="008009C6" w:rsidRPr="002B4E6D">
        <w:rPr>
          <w:szCs w:val="20"/>
          <w:lang w:val="es-CR"/>
        </w:rPr>
        <w:t xml:space="preserve"> </w:t>
      </w:r>
      <w:r w:rsidRPr="002B4E6D">
        <w:rPr>
          <w:szCs w:val="20"/>
          <w:lang w:val="es-CR"/>
        </w:rPr>
        <w:t>l</w:t>
      </w:r>
      <w:r w:rsidR="008009C6" w:rsidRPr="002B4E6D">
        <w:rPr>
          <w:szCs w:val="20"/>
          <w:lang w:val="es-CR"/>
        </w:rPr>
        <w:t>a interven</w:t>
      </w:r>
      <w:r w:rsidR="00AA1A37" w:rsidRPr="002B4E6D">
        <w:rPr>
          <w:szCs w:val="20"/>
          <w:lang w:val="es-CR"/>
        </w:rPr>
        <w:t>ción</w:t>
      </w:r>
      <w:r w:rsidR="008009C6" w:rsidRPr="002B4E6D">
        <w:rPr>
          <w:szCs w:val="20"/>
          <w:lang w:val="es-CR"/>
        </w:rPr>
        <w:t xml:space="preserve"> federal, </w:t>
      </w:r>
      <w:r w:rsidRPr="002B4E6D">
        <w:rPr>
          <w:szCs w:val="20"/>
          <w:lang w:val="es-CR"/>
        </w:rPr>
        <w:t>fue</w:t>
      </w:r>
      <w:r w:rsidR="008009C6" w:rsidRPr="002B4E6D">
        <w:rPr>
          <w:szCs w:val="20"/>
          <w:lang w:val="es-CR"/>
        </w:rPr>
        <w:t xml:space="preserve"> editado </w:t>
      </w:r>
      <w:r w:rsidRPr="002B4E6D">
        <w:rPr>
          <w:szCs w:val="20"/>
          <w:lang w:val="es-CR"/>
        </w:rPr>
        <w:t>el</w:t>
      </w:r>
      <w:r w:rsidR="008009C6" w:rsidRPr="002B4E6D">
        <w:rPr>
          <w:szCs w:val="20"/>
          <w:lang w:val="es-CR"/>
        </w:rPr>
        <w:t xml:space="preserve"> Decreto nº 4, de 27 de abril de 2018. </w:t>
      </w:r>
      <w:r w:rsidRPr="002B4E6D">
        <w:rPr>
          <w:szCs w:val="20"/>
          <w:lang w:val="es-CR"/>
        </w:rPr>
        <w:t>Este</w:t>
      </w:r>
      <w:r w:rsidR="008009C6" w:rsidRPr="002B4E6D">
        <w:rPr>
          <w:szCs w:val="20"/>
          <w:lang w:val="es-CR"/>
        </w:rPr>
        <w:t xml:space="preserve"> decreto </w:t>
      </w:r>
      <w:r w:rsidR="009D0749" w:rsidRPr="002B4E6D">
        <w:rPr>
          <w:szCs w:val="20"/>
          <w:lang w:val="es-CR"/>
        </w:rPr>
        <w:t>modificó</w:t>
      </w:r>
      <w:r w:rsidR="008009C6" w:rsidRPr="002B4E6D">
        <w:rPr>
          <w:szCs w:val="20"/>
          <w:lang w:val="es-CR"/>
        </w:rPr>
        <w:t xml:space="preserve"> </w:t>
      </w:r>
      <w:r w:rsidRPr="002B4E6D">
        <w:rPr>
          <w:szCs w:val="20"/>
          <w:lang w:val="es-CR"/>
        </w:rPr>
        <w:t>el</w:t>
      </w:r>
      <w:r w:rsidR="008009C6" w:rsidRPr="002B4E6D">
        <w:rPr>
          <w:szCs w:val="20"/>
          <w:lang w:val="es-CR"/>
        </w:rPr>
        <w:t xml:space="preserve"> perfil </w:t>
      </w:r>
      <w:r w:rsidR="006004CF" w:rsidRPr="002B4E6D">
        <w:rPr>
          <w:szCs w:val="20"/>
          <w:lang w:val="es-CR"/>
        </w:rPr>
        <w:t>criminológico</w:t>
      </w:r>
      <w:r w:rsidR="00FF35BD" w:rsidRPr="002B4E6D">
        <w:rPr>
          <w:szCs w:val="20"/>
          <w:lang w:val="es-CR"/>
        </w:rPr>
        <w:t xml:space="preserve"> de 12 </w:t>
      </w:r>
      <w:r w:rsidR="009D0749" w:rsidRPr="002B4E6D">
        <w:rPr>
          <w:szCs w:val="20"/>
          <w:lang w:val="es-CR"/>
        </w:rPr>
        <w:t>establecimientos</w:t>
      </w:r>
      <w:r w:rsidR="00FF35BD" w:rsidRPr="002B4E6D">
        <w:rPr>
          <w:szCs w:val="20"/>
          <w:lang w:val="es-CR"/>
        </w:rPr>
        <w:t xml:space="preserve"> </w:t>
      </w:r>
      <w:r w:rsidRPr="002B4E6D">
        <w:rPr>
          <w:szCs w:val="20"/>
          <w:lang w:val="es-CR"/>
        </w:rPr>
        <w:t>del</w:t>
      </w:r>
      <w:r w:rsidR="00FF35BD" w:rsidRPr="002B4E6D">
        <w:rPr>
          <w:szCs w:val="20"/>
          <w:lang w:val="es-CR"/>
        </w:rPr>
        <w:t xml:space="preserve"> parque </w:t>
      </w:r>
      <w:r w:rsidR="00031269" w:rsidRPr="002B4E6D">
        <w:rPr>
          <w:szCs w:val="20"/>
          <w:lang w:val="es-CR"/>
        </w:rPr>
        <w:t>carcelario</w:t>
      </w:r>
      <w:r w:rsidR="00FF35BD" w:rsidRPr="002B4E6D">
        <w:rPr>
          <w:szCs w:val="20"/>
          <w:lang w:val="es-CR"/>
        </w:rPr>
        <w:t xml:space="preserve"> </w:t>
      </w:r>
      <w:r w:rsidRPr="002B4E6D">
        <w:rPr>
          <w:szCs w:val="20"/>
          <w:lang w:val="es-CR"/>
        </w:rPr>
        <w:t>del</w:t>
      </w:r>
      <w:r w:rsidR="00FF35BD" w:rsidRPr="002B4E6D">
        <w:rPr>
          <w:szCs w:val="20"/>
          <w:lang w:val="es-CR"/>
        </w:rPr>
        <w:t xml:space="preserve"> </w:t>
      </w:r>
      <w:r w:rsidR="00BF2AC5">
        <w:rPr>
          <w:szCs w:val="20"/>
          <w:lang w:val="es-CR"/>
        </w:rPr>
        <w:t>e</w:t>
      </w:r>
      <w:r w:rsidR="00BF2AC5" w:rsidRPr="002B4E6D">
        <w:rPr>
          <w:szCs w:val="20"/>
          <w:lang w:val="es-CR"/>
        </w:rPr>
        <w:t xml:space="preserve">stado </w:t>
      </w:r>
      <w:r w:rsidRPr="002B4E6D">
        <w:rPr>
          <w:szCs w:val="20"/>
          <w:lang w:val="es-CR"/>
        </w:rPr>
        <w:t>de</w:t>
      </w:r>
      <w:r w:rsidR="00FF35BD" w:rsidRPr="002B4E6D">
        <w:rPr>
          <w:szCs w:val="20"/>
          <w:lang w:val="es-CR"/>
        </w:rPr>
        <w:t xml:space="preserve"> </w:t>
      </w:r>
      <w:r w:rsidRPr="002B4E6D">
        <w:rPr>
          <w:szCs w:val="20"/>
          <w:lang w:val="es-CR"/>
        </w:rPr>
        <w:t>Río</w:t>
      </w:r>
      <w:r w:rsidR="00FF35BD" w:rsidRPr="002B4E6D">
        <w:rPr>
          <w:szCs w:val="20"/>
          <w:lang w:val="es-CR"/>
        </w:rPr>
        <w:t xml:space="preserve"> de Janeiro, </w:t>
      </w:r>
      <w:r w:rsidRPr="002B4E6D">
        <w:rPr>
          <w:szCs w:val="20"/>
          <w:lang w:val="es-CR"/>
        </w:rPr>
        <w:t>teniendo</w:t>
      </w:r>
      <w:r w:rsidR="00FF35BD" w:rsidRPr="002B4E6D">
        <w:rPr>
          <w:szCs w:val="20"/>
          <w:lang w:val="es-CR"/>
        </w:rPr>
        <w:t xml:space="preserve"> </w:t>
      </w:r>
      <w:r w:rsidRPr="002B4E6D">
        <w:rPr>
          <w:szCs w:val="20"/>
          <w:lang w:val="es-CR"/>
        </w:rPr>
        <w:t>en</w:t>
      </w:r>
      <w:r w:rsidR="00FF35BD" w:rsidRPr="002B4E6D">
        <w:rPr>
          <w:szCs w:val="20"/>
          <w:lang w:val="es-CR"/>
        </w:rPr>
        <w:t xml:space="preserve"> </w:t>
      </w:r>
      <w:r w:rsidRPr="002B4E6D">
        <w:rPr>
          <w:szCs w:val="20"/>
          <w:lang w:val="es-CR"/>
        </w:rPr>
        <w:t xml:space="preserve">cuenta, </w:t>
      </w:r>
      <w:r w:rsidR="00FF35BD" w:rsidRPr="002B4E6D">
        <w:rPr>
          <w:szCs w:val="20"/>
          <w:lang w:val="es-CR"/>
        </w:rPr>
        <w:t xml:space="preserve">entre </w:t>
      </w:r>
      <w:r w:rsidRPr="002B4E6D">
        <w:rPr>
          <w:szCs w:val="20"/>
          <w:lang w:val="es-CR"/>
        </w:rPr>
        <w:t>otros</w:t>
      </w:r>
      <w:r w:rsidR="00FF35BD" w:rsidRPr="002B4E6D">
        <w:rPr>
          <w:szCs w:val="20"/>
          <w:lang w:val="es-CR"/>
        </w:rPr>
        <w:t xml:space="preserve"> </w:t>
      </w:r>
      <w:r w:rsidRPr="002B4E6D">
        <w:rPr>
          <w:szCs w:val="20"/>
          <w:lang w:val="es-CR"/>
        </w:rPr>
        <w:t>factores</w:t>
      </w:r>
      <w:r w:rsidR="00FF35BD" w:rsidRPr="002B4E6D">
        <w:rPr>
          <w:szCs w:val="20"/>
          <w:lang w:val="es-CR"/>
        </w:rPr>
        <w:t xml:space="preserve">, </w:t>
      </w:r>
      <w:r w:rsidRPr="002B4E6D">
        <w:rPr>
          <w:szCs w:val="20"/>
          <w:lang w:val="es-CR"/>
        </w:rPr>
        <w:t>el</w:t>
      </w:r>
      <w:r w:rsidR="00FF35BD" w:rsidRPr="002B4E6D">
        <w:rPr>
          <w:szCs w:val="20"/>
          <w:lang w:val="es-CR"/>
        </w:rPr>
        <w:t xml:space="preserve"> </w:t>
      </w:r>
      <w:r w:rsidR="00945D4E" w:rsidRPr="002B4E6D">
        <w:rPr>
          <w:szCs w:val="20"/>
          <w:lang w:val="es-CR"/>
        </w:rPr>
        <w:t xml:space="preserve">hacinamiento </w:t>
      </w:r>
      <w:r w:rsidR="00FF35BD" w:rsidRPr="002B4E6D">
        <w:rPr>
          <w:szCs w:val="20"/>
          <w:lang w:val="es-CR"/>
        </w:rPr>
        <w:t>de</w:t>
      </w:r>
      <w:r w:rsidRPr="002B4E6D">
        <w:rPr>
          <w:szCs w:val="20"/>
          <w:lang w:val="es-CR"/>
        </w:rPr>
        <w:t xml:space="preserve"> esas</w:t>
      </w:r>
      <w:r w:rsidR="00FF35BD" w:rsidRPr="002B4E6D">
        <w:rPr>
          <w:szCs w:val="20"/>
          <w:lang w:val="es-CR"/>
        </w:rPr>
        <w:t xml:space="preserve"> </w:t>
      </w:r>
      <w:r w:rsidR="00ED6186" w:rsidRPr="002B4E6D">
        <w:rPr>
          <w:szCs w:val="20"/>
          <w:lang w:val="es-CR"/>
        </w:rPr>
        <w:t>unidad</w:t>
      </w:r>
      <w:r w:rsidR="00CB7753" w:rsidRPr="002B4E6D">
        <w:rPr>
          <w:szCs w:val="20"/>
          <w:lang w:val="es-CR"/>
        </w:rPr>
        <w:t>e</w:t>
      </w:r>
      <w:r w:rsidR="00FF35BD" w:rsidRPr="002B4E6D">
        <w:rPr>
          <w:szCs w:val="20"/>
          <w:lang w:val="es-CR"/>
        </w:rPr>
        <w:t xml:space="preserve">s </w:t>
      </w:r>
      <w:r w:rsidR="002D46A1" w:rsidRPr="002B4E6D">
        <w:rPr>
          <w:szCs w:val="20"/>
          <w:lang w:val="es-CR"/>
        </w:rPr>
        <w:t>penitenciarias</w:t>
      </w:r>
      <w:r w:rsidR="00FF35BD" w:rsidRPr="002B4E6D">
        <w:rPr>
          <w:szCs w:val="20"/>
          <w:lang w:val="es-CR"/>
        </w:rPr>
        <w:t xml:space="preserve">. </w:t>
      </w:r>
      <w:r w:rsidRPr="002B4E6D">
        <w:rPr>
          <w:szCs w:val="20"/>
          <w:lang w:val="es-CR"/>
        </w:rPr>
        <w:t>El</w:t>
      </w:r>
      <w:r w:rsidR="00FF35BD" w:rsidRPr="002B4E6D">
        <w:rPr>
          <w:szCs w:val="20"/>
          <w:lang w:val="es-CR"/>
        </w:rPr>
        <w:t xml:space="preserve"> IPPSC </w:t>
      </w:r>
      <w:r w:rsidRPr="002B4E6D">
        <w:rPr>
          <w:szCs w:val="20"/>
          <w:lang w:val="es-CR"/>
        </w:rPr>
        <w:t>no</w:t>
      </w:r>
      <w:r w:rsidR="00FF35BD" w:rsidRPr="002B4E6D">
        <w:rPr>
          <w:szCs w:val="20"/>
          <w:lang w:val="es-CR"/>
        </w:rPr>
        <w:t xml:space="preserve"> se enc</w:t>
      </w:r>
      <w:r w:rsidRPr="002B4E6D">
        <w:rPr>
          <w:szCs w:val="20"/>
          <w:lang w:val="es-CR"/>
        </w:rPr>
        <w:t>ue</w:t>
      </w:r>
      <w:r w:rsidR="00FF35BD" w:rsidRPr="002B4E6D">
        <w:rPr>
          <w:szCs w:val="20"/>
          <w:lang w:val="es-CR"/>
        </w:rPr>
        <w:t xml:space="preserve">ntra entre </w:t>
      </w:r>
      <w:r w:rsidRPr="002B4E6D">
        <w:rPr>
          <w:szCs w:val="20"/>
          <w:lang w:val="es-CR"/>
        </w:rPr>
        <w:t>l</w:t>
      </w:r>
      <w:r w:rsidR="00FF35BD" w:rsidRPr="002B4E6D">
        <w:rPr>
          <w:szCs w:val="20"/>
          <w:lang w:val="es-CR"/>
        </w:rPr>
        <w:t xml:space="preserve">os </w:t>
      </w:r>
      <w:r w:rsidR="009D0749" w:rsidRPr="002B4E6D">
        <w:rPr>
          <w:szCs w:val="20"/>
          <w:lang w:val="es-CR"/>
        </w:rPr>
        <w:t>establecimientos</w:t>
      </w:r>
      <w:r w:rsidR="00FF35BD" w:rsidRPr="002B4E6D">
        <w:rPr>
          <w:szCs w:val="20"/>
          <w:lang w:val="es-CR"/>
        </w:rPr>
        <w:t xml:space="preserve"> objeto </w:t>
      </w:r>
      <w:r w:rsidRPr="002B4E6D">
        <w:rPr>
          <w:szCs w:val="20"/>
          <w:lang w:val="es-CR"/>
        </w:rPr>
        <w:t>del</w:t>
      </w:r>
      <w:r w:rsidR="00FF35BD" w:rsidRPr="002B4E6D">
        <w:rPr>
          <w:szCs w:val="20"/>
          <w:lang w:val="es-CR"/>
        </w:rPr>
        <w:t xml:space="preserve"> Decreto nº 4/18.</w:t>
      </w:r>
    </w:p>
    <w:p w14:paraId="5EC96ECB" w14:textId="77777777" w:rsidR="008009C6" w:rsidRPr="002B4E6D" w:rsidRDefault="008009C6" w:rsidP="008009C6">
      <w:pPr>
        <w:pStyle w:val="ListParagraph"/>
        <w:snapToGrid w:val="0"/>
        <w:ind w:left="0"/>
        <w:contextualSpacing w:val="0"/>
        <w:rPr>
          <w:szCs w:val="20"/>
          <w:lang w:val="es-CR"/>
        </w:rPr>
      </w:pPr>
    </w:p>
    <w:p w14:paraId="2589D464" w14:textId="464244A5" w:rsidR="002A772F" w:rsidRPr="002B4E6D" w:rsidRDefault="00536850" w:rsidP="002A772F">
      <w:pPr>
        <w:pStyle w:val="ListParagraph"/>
        <w:numPr>
          <w:ilvl w:val="0"/>
          <w:numId w:val="20"/>
        </w:numPr>
        <w:snapToGrid w:val="0"/>
        <w:ind w:left="0" w:firstLine="0"/>
        <w:contextualSpacing w:val="0"/>
        <w:rPr>
          <w:szCs w:val="20"/>
          <w:lang w:val="es-CR"/>
        </w:rPr>
      </w:pPr>
      <w:r w:rsidRPr="002B4E6D">
        <w:rPr>
          <w:szCs w:val="20"/>
          <w:lang w:val="es-CR"/>
        </w:rPr>
        <w:t>Finalmente</w:t>
      </w:r>
      <w:r w:rsidR="00107B2B" w:rsidRPr="002B4E6D">
        <w:rPr>
          <w:szCs w:val="20"/>
          <w:lang w:val="es-CR"/>
        </w:rPr>
        <w:t xml:space="preserve">, </w:t>
      </w:r>
      <w:r w:rsidRPr="002B4E6D">
        <w:rPr>
          <w:szCs w:val="20"/>
          <w:lang w:val="es-CR"/>
        </w:rPr>
        <w:t>pidieron a la</w:t>
      </w:r>
      <w:r w:rsidR="00107B2B" w:rsidRPr="002B4E6D">
        <w:rPr>
          <w:szCs w:val="20"/>
          <w:lang w:val="es-CR"/>
        </w:rPr>
        <w:t xml:space="preserve"> Corte que, </w:t>
      </w:r>
      <w:r w:rsidRPr="002B4E6D">
        <w:rPr>
          <w:szCs w:val="20"/>
          <w:lang w:val="es-CR"/>
        </w:rPr>
        <w:t>ante la</w:t>
      </w:r>
      <w:r w:rsidR="00107B2B" w:rsidRPr="002B4E6D">
        <w:rPr>
          <w:szCs w:val="20"/>
          <w:lang w:val="es-CR"/>
        </w:rPr>
        <w:t xml:space="preserve"> </w:t>
      </w:r>
      <w:r w:rsidR="00CB7753" w:rsidRPr="002B4E6D">
        <w:rPr>
          <w:szCs w:val="20"/>
          <w:lang w:val="es-CR"/>
        </w:rPr>
        <w:t>flagrante</w:t>
      </w:r>
      <w:r w:rsidR="00107B2B" w:rsidRPr="002B4E6D">
        <w:rPr>
          <w:szCs w:val="20"/>
          <w:lang w:val="es-CR"/>
        </w:rPr>
        <w:t xml:space="preserve"> omi</w:t>
      </w:r>
      <w:r w:rsidRPr="002B4E6D">
        <w:rPr>
          <w:szCs w:val="20"/>
          <w:lang w:val="es-CR"/>
        </w:rPr>
        <w:t>sión</w:t>
      </w:r>
      <w:r w:rsidR="00107B2B" w:rsidRPr="002B4E6D">
        <w:rPr>
          <w:szCs w:val="20"/>
          <w:lang w:val="es-CR"/>
        </w:rPr>
        <w:t xml:space="preserve"> </w:t>
      </w:r>
      <w:r w:rsidRPr="002B4E6D">
        <w:rPr>
          <w:szCs w:val="20"/>
          <w:lang w:val="es-CR"/>
        </w:rPr>
        <w:t>del</w:t>
      </w:r>
      <w:r w:rsidR="00107B2B" w:rsidRPr="002B4E6D">
        <w:rPr>
          <w:szCs w:val="20"/>
          <w:lang w:val="es-CR"/>
        </w:rPr>
        <w:t xml:space="preserve"> Estado brasile</w:t>
      </w:r>
      <w:r w:rsidRPr="002B4E6D">
        <w:rPr>
          <w:szCs w:val="20"/>
          <w:lang w:val="es-CR"/>
        </w:rPr>
        <w:t>ñ</w:t>
      </w:r>
      <w:r w:rsidR="00107B2B" w:rsidRPr="002B4E6D">
        <w:rPr>
          <w:szCs w:val="20"/>
          <w:lang w:val="es-CR"/>
        </w:rPr>
        <w:t xml:space="preserve">o </w:t>
      </w:r>
      <w:r w:rsidRPr="002B4E6D">
        <w:rPr>
          <w:szCs w:val="20"/>
          <w:lang w:val="es-CR"/>
        </w:rPr>
        <w:t>en</w:t>
      </w:r>
      <w:r w:rsidR="00107B2B" w:rsidRPr="002B4E6D">
        <w:rPr>
          <w:szCs w:val="20"/>
          <w:lang w:val="es-CR"/>
        </w:rPr>
        <w:t xml:space="preserve"> </w:t>
      </w:r>
      <w:r w:rsidRPr="002B4E6D">
        <w:rPr>
          <w:szCs w:val="20"/>
          <w:lang w:val="es-CR"/>
        </w:rPr>
        <w:t>cumplir</w:t>
      </w:r>
      <w:r w:rsidR="00107B2B" w:rsidRPr="002B4E6D">
        <w:rPr>
          <w:szCs w:val="20"/>
          <w:lang w:val="es-CR"/>
        </w:rPr>
        <w:t xml:space="preserve"> </w:t>
      </w:r>
      <w:r w:rsidRPr="002B4E6D">
        <w:rPr>
          <w:szCs w:val="20"/>
          <w:lang w:val="es-CR"/>
        </w:rPr>
        <w:t>con</w:t>
      </w:r>
      <w:r w:rsidR="00107B2B" w:rsidRPr="002B4E6D">
        <w:rPr>
          <w:szCs w:val="20"/>
          <w:lang w:val="es-CR"/>
        </w:rPr>
        <w:t xml:space="preserve"> </w:t>
      </w:r>
      <w:r w:rsidRPr="002B4E6D">
        <w:rPr>
          <w:szCs w:val="20"/>
          <w:lang w:val="es-CR"/>
        </w:rPr>
        <w:t>l</w:t>
      </w:r>
      <w:r w:rsidR="00107B2B" w:rsidRPr="002B4E6D">
        <w:rPr>
          <w:szCs w:val="20"/>
          <w:lang w:val="es-CR"/>
        </w:rPr>
        <w:t xml:space="preserve">as medidas </w:t>
      </w:r>
      <w:r w:rsidR="00945D4E" w:rsidRPr="002B4E6D">
        <w:rPr>
          <w:szCs w:val="20"/>
          <w:lang w:val="es-CR"/>
        </w:rPr>
        <w:t>provisionales</w:t>
      </w:r>
      <w:r w:rsidR="00107B2B" w:rsidRPr="002B4E6D">
        <w:rPr>
          <w:szCs w:val="20"/>
          <w:lang w:val="es-CR"/>
        </w:rPr>
        <w:t xml:space="preserve"> ordenadas </w:t>
      </w:r>
      <w:r w:rsidRPr="002B4E6D">
        <w:rPr>
          <w:szCs w:val="20"/>
          <w:lang w:val="es-CR"/>
        </w:rPr>
        <w:t>en</w:t>
      </w:r>
      <w:r w:rsidR="00107B2B" w:rsidRPr="002B4E6D">
        <w:rPr>
          <w:szCs w:val="20"/>
          <w:lang w:val="es-CR"/>
        </w:rPr>
        <w:t xml:space="preserve"> 2017, ordene medidas </w:t>
      </w:r>
      <w:r w:rsidRPr="002B4E6D">
        <w:rPr>
          <w:szCs w:val="20"/>
          <w:lang w:val="es-CR"/>
        </w:rPr>
        <w:t>más</w:t>
      </w:r>
      <w:r w:rsidR="00107B2B" w:rsidRPr="002B4E6D">
        <w:rPr>
          <w:szCs w:val="20"/>
          <w:lang w:val="es-CR"/>
        </w:rPr>
        <w:t xml:space="preserve"> concretas </w:t>
      </w:r>
      <w:r w:rsidRPr="002B4E6D">
        <w:rPr>
          <w:szCs w:val="20"/>
          <w:lang w:val="es-CR"/>
        </w:rPr>
        <w:t>y</w:t>
      </w:r>
      <w:r w:rsidR="00107B2B" w:rsidRPr="002B4E6D">
        <w:rPr>
          <w:szCs w:val="20"/>
          <w:lang w:val="es-CR"/>
        </w:rPr>
        <w:t xml:space="preserve"> objetivas, aptas </w:t>
      </w:r>
      <w:r w:rsidRPr="002B4E6D">
        <w:rPr>
          <w:szCs w:val="20"/>
          <w:lang w:val="es-CR"/>
        </w:rPr>
        <w:t>para</w:t>
      </w:r>
      <w:r w:rsidR="00107B2B" w:rsidRPr="002B4E6D">
        <w:rPr>
          <w:szCs w:val="20"/>
          <w:lang w:val="es-CR"/>
        </w:rPr>
        <w:t xml:space="preserve"> </w:t>
      </w:r>
      <w:r w:rsidR="009D0749" w:rsidRPr="002B4E6D">
        <w:rPr>
          <w:szCs w:val="20"/>
          <w:lang w:val="es-CR"/>
        </w:rPr>
        <w:t>producir</w:t>
      </w:r>
      <w:r w:rsidR="00107B2B" w:rsidRPr="002B4E6D">
        <w:rPr>
          <w:szCs w:val="20"/>
          <w:lang w:val="es-CR"/>
        </w:rPr>
        <w:t xml:space="preserve"> </w:t>
      </w:r>
      <w:r w:rsidRPr="002B4E6D">
        <w:rPr>
          <w:szCs w:val="20"/>
          <w:lang w:val="es-CR"/>
        </w:rPr>
        <w:t>efectos</w:t>
      </w:r>
      <w:r w:rsidR="00107B2B" w:rsidRPr="002B4E6D">
        <w:rPr>
          <w:szCs w:val="20"/>
          <w:lang w:val="es-CR"/>
        </w:rPr>
        <w:t xml:space="preserve"> </w:t>
      </w:r>
      <w:r w:rsidR="009D0749" w:rsidRPr="002B4E6D">
        <w:rPr>
          <w:szCs w:val="20"/>
          <w:lang w:val="es-CR"/>
        </w:rPr>
        <w:t>prácticos</w:t>
      </w:r>
      <w:r w:rsidR="00D64B8B" w:rsidRPr="002B4E6D">
        <w:rPr>
          <w:szCs w:val="20"/>
          <w:lang w:val="es-CR"/>
        </w:rPr>
        <w:t xml:space="preserve">. </w:t>
      </w:r>
      <w:r w:rsidRPr="002B4E6D">
        <w:rPr>
          <w:szCs w:val="20"/>
          <w:lang w:val="es-CR"/>
        </w:rPr>
        <w:t>En ese</w:t>
      </w:r>
      <w:r w:rsidR="00107B2B" w:rsidRPr="002B4E6D">
        <w:rPr>
          <w:szCs w:val="20"/>
          <w:lang w:val="es-CR"/>
        </w:rPr>
        <w:t xml:space="preserve"> sentido</w:t>
      </w:r>
      <w:r w:rsidR="00D953CD" w:rsidRPr="002B4E6D">
        <w:rPr>
          <w:szCs w:val="20"/>
          <w:lang w:val="es-CR"/>
        </w:rPr>
        <w:t xml:space="preserve">, </w:t>
      </w:r>
      <w:r w:rsidRPr="002B4E6D">
        <w:rPr>
          <w:szCs w:val="20"/>
          <w:lang w:val="es-CR"/>
        </w:rPr>
        <w:t>presentaron</w:t>
      </w:r>
      <w:r w:rsidR="00107B2B" w:rsidRPr="002B4E6D">
        <w:rPr>
          <w:szCs w:val="20"/>
          <w:lang w:val="es-CR"/>
        </w:rPr>
        <w:t xml:space="preserve"> </w:t>
      </w:r>
      <w:r w:rsidRPr="002B4E6D">
        <w:rPr>
          <w:szCs w:val="20"/>
          <w:lang w:val="es-CR"/>
        </w:rPr>
        <w:t>a la</w:t>
      </w:r>
      <w:r w:rsidR="00107B2B" w:rsidRPr="002B4E6D">
        <w:rPr>
          <w:szCs w:val="20"/>
          <w:lang w:val="es-CR"/>
        </w:rPr>
        <w:t xml:space="preserve"> Corte </w:t>
      </w:r>
      <w:r w:rsidRPr="002B4E6D">
        <w:rPr>
          <w:szCs w:val="20"/>
          <w:lang w:val="es-CR"/>
        </w:rPr>
        <w:t>dos</w:t>
      </w:r>
      <w:r w:rsidR="00107B2B" w:rsidRPr="002B4E6D">
        <w:rPr>
          <w:szCs w:val="20"/>
          <w:lang w:val="es-CR"/>
        </w:rPr>
        <w:t xml:space="preserve"> </w:t>
      </w:r>
      <w:r w:rsidRPr="002B4E6D">
        <w:rPr>
          <w:szCs w:val="20"/>
          <w:lang w:val="es-CR"/>
        </w:rPr>
        <w:t>sugerencias</w:t>
      </w:r>
      <w:r w:rsidR="00107B2B" w:rsidRPr="002B4E6D">
        <w:rPr>
          <w:szCs w:val="20"/>
          <w:lang w:val="es-CR"/>
        </w:rPr>
        <w:t xml:space="preserve"> de </w:t>
      </w:r>
      <w:r w:rsidR="009D0749" w:rsidRPr="002B4E6D">
        <w:rPr>
          <w:szCs w:val="20"/>
          <w:lang w:val="es-CR"/>
        </w:rPr>
        <w:t>ordenes</w:t>
      </w:r>
      <w:r w:rsidR="00107B2B" w:rsidRPr="002B4E6D">
        <w:rPr>
          <w:szCs w:val="20"/>
          <w:lang w:val="es-CR"/>
        </w:rPr>
        <w:t xml:space="preserve"> </w:t>
      </w:r>
      <w:r w:rsidRPr="002B4E6D">
        <w:rPr>
          <w:szCs w:val="20"/>
          <w:lang w:val="es-CR"/>
        </w:rPr>
        <w:t>más</w:t>
      </w:r>
      <w:r w:rsidR="00107B2B" w:rsidRPr="002B4E6D">
        <w:rPr>
          <w:szCs w:val="20"/>
          <w:lang w:val="es-CR"/>
        </w:rPr>
        <w:t xml:space="preserve"> concretas</w:t>
      </w:r>
      <w:r w:rsidR="00D953CD" w:rsidRPr="002B4E6D">
        <w:rPr>
          <w:szCs w:val="20"/>
          <w:lang w:val="es-CR"/>
        </w:rPr>
        <w:t xml:space="preserve">, </w:t>
      </w:r>
      <w:r w:rsidRPr="002B4E6D">
        <w:rPr>
          <w:szCs w:val="20"/>
          <w:lang w:val="es-CR"/>
        </w:rPr>
        <w:t>las cuales son</w:t>
      </w:r>
      <w:r w:rsidR="00107B2B" w:rsidRPr="002B4E6D">
        <w:rPr>
          <w:szCs w:val="20"/>
          <w:lang w:val="es-CR"/>
        </w:rPr>
        <w:t xml:space="preserve">: i) </w:t>
      </w:r>
      <w:r w:rsidR="00CB7753" w:rsidRPr="002B4E6D">
        <w:rPr>
          <w:szCs w:val="20"/>
          <w:lang w:val="es-CR"/>
        </w:rPr>
        <w:t xml:space="preserve">la </w:t>
      </w:r>
      <w:r w:rsidRPr="002B4E6D">
        <w:rPr>
          <w:szCs w:val="20"/>
          <w:lang w:val="es-CR"/>
        </w:rPr>
        <w:t>adopción</w:t>
      </w:r>
      <w:r w:rsidR="00107B2B" w:rsidRPr="002B4E6D">
        <w:rPr>
          <w:szCs w:val="20"/>
          <w:lang w:val="es-CR"/>
        </w:rPr>
        <w:t xml:space="preserve"> de todas </w:t>
      </w:r>
      <w:r w:rsidRPr="002B4E6D">
        <w:rPr>
          <w:szCs w:val="20"/>
          <w:lang w:val="es-CR"/>
        </w:rPr>
        <w:t>l</w:t>
      </w:r>
      <w:r w:rsidR="00107B2B" w:rsidRPr="002B4E6D">
        <w:rPr>
          <w:szCs w:val="20"/>
          <w:lang w:val="es-CR"/>
        </w:rPr>
        <w:t xml:space="preserve">as medidas </w:t>
      </w:r>
      <w:r w:rsidRPr="002B4E6D">
        <w:rPr>
          <w:szCs w:val="20"/>
          <w:lang w:val="es-CR"/>
        </w:rPr>
        <w:t>que constan del “Plan</w:t>
      </w:r>
      <w:r w:rsidR="00107B2B" w:rsidRPr="002B4E6D">
        <w:rPr>
          <w:szCs w:val="20"/>
          <w:lang w:val="es-CR"/>
        </w:rPr>
        <w:t xml:space="preserve"> de </w:t>
      </w:r>
      <w:r w:rsidR="009D0749" w:rsidRPr="002B4E6D">
        <w:rPr>
          <w:szCs w:val="20"/>
          <w:lang w:val="es-CR"/>
        </w:rPr>
        <w:t>Reducción</w:t>
      </w:r>
      <w:r w:rsidR="00107B2B" w:rsidRPr="002B4E6D">
        <w:rPr>
          <w:szCs w:val="20"/>
          <w:lang w:val="es-CR"/>
        </w:rPr>
        <w:t xml:space="preserve"> </w:t>
      </w:r>
      <w:r w:rsidR="00CB7753" w:rsidRPr="002B4E6D">
        <w:rPr>
          <w:szCs w:val="20"/>
          <w:lang w:val="es-CR"/>
        </w:rPr>
        <w:t>Cuantitativo</w:t>
      </w:r>
      <w:r w:rsidR="00107B2B" w:rsidRPr="002B4E6D">
        <w:rPr>
          <w:szCs w:val="20"/>
          <w:lang w:val="es-CR"/>
        </w:rPr>
        <w:t xml:space="preserve"> </w:t>
      </w:r>
      <w:r w:rsidRPr="002B4E6D">
        <w:rPr>
          <w:szCs w:val="20"/>
          <w:lang w:val="es-CR"/>
        </w:rPr>
        <w:t>del</w:t>
      </w:r>
      <w:r w:rsidR="00107B2B" w:rsidRPr="002B4E6D">
        <w:rPr>
          <w:szCs w:val="20"/>
          <w:lang w:val="es-CR"/>
        </w:rPr>
        <w:t xml:space="preserve"> </w:t>
      </w:r>
      <w:r w:rsidR="00945D4E" w:rsidRPr="002B4E6D">
        <w:rPr>
          <w:szCs w:val="20"/>
          <w:lang w:val="es-CR"/>
        </w:rPr>
        <w:t xml:space="preserve">Hacinamiento </w:t>
      </w:r>
      <w:r w:rsidRPr="002B4E6D">
        <w:rPr>
          <w:szCs w:val="20"/>
          <w:lang w:val="es-CR"/>
        </w:rPr>
        <w:t>Carcelario</w:t>
      </w:r>
      <w:r w:rsidR="00107B2B" w:rsidRPr="002B4E6D">
        <w:rPr>
          <w:szCs w:val="20"/>
          <w:lang w:val="es-CR"/>
        </w:rPr>
        <w:t xml:space="preserve"> </w:t>
      </w:r>
      <w:r w:rsidRPr="002B4E6D">
        <w:rPr>
          <w:szCs w:val="20"/>
          <w:lang w:val="es-CR"/>
        </w:rPr>
        <w:t>del</w:t>
      </w:r>
      <w:r w:rsidR="00107B2B" w:rsidRPr="002B4E6D">
        <w:rPr>
          <w:szCs w:val="20"/>
          <w:lang w:val="es-CR"/>
        </w:rPr>
        <w:t xml:space="preserve"> Instituto Penal Plácido de </w:t>
      </w:r>
      <w:proofErr w:type="spellStart"/>
      <w:r w:rsidR="00107B2B" w:rsidRPr="002B4E6D">
        <w:rPr>
          <w:szCs w:val="20"/>
          <w:lang w:val="es-CR"/>
        </w:rPr>
        <w:t>Sá</w:t>
      </w:r>
      <w:proofErr w:type="spellEnd"/>
      <w:r w:rsidR="00107B2B" w:rsidRPr="002B4E6D">
        <w:rPr>
          <w:szCs w:val="20"/>
          <w:lang w:val="es-CR"/>
        </w:rPr>
        <w:t xml:space="preserve"> Carvalho”, impon</w:t>
      </w:r>
      <w:r w:rsidRPr="002B4E6D">
        <w:rPr>
          <w:szCs w:val="20"/>
          <w:lang w:val="es-CR"/>
        </w:rPr>
        <w:t>ien</w:t>
      </w:r>
      <w:r w:rsidR="00107B2B" w:rsidRPr="002B4E6D">
        <w:rPr>
          <w:szCs w:val="20"/>
          <w:lang w:val="es-CR"/>
        </w:rPr>
        <w:t xml:space="preserve">do </w:t>
      </w:r>
      <w:r w:rsidR="00F501AA" w:rsidRPr="002B4E6D">
        <w:rPr>
          <w:szCs w:val="20"/>
          <w:lang w:val="es-CR"/>
        </w:rPr>
        <w:t>a</w:t>
      </w:r>
      <w:r w:rsidR="00107B2B" w:rsidRPr="002B4E6D">
        <w:rPr>
          <w:szCs w:val="20"/>
          <w:lang w:val="es-CR"/>
        </w:rPr>
        <w:t xml:space="preserve"> Brasil </w:t>
      </w:r>
      <w:r w:rsidRPr="002B4E6D">
        <w:rPr>
          <w:szCs w:val="20"/>
          <w:lang w:val="es-CR"/>
        </w:rPr>
        <w:t>y</w:t>
      </w:r>
      <w:r w:rsidR="00107B2B" w:rsidRPr="002B4E6D">
        <w:rPr>
          <w:szCs w:val="20"/>
          <w:lang w:val="es-CR"/>
        </w:rPr>
        <w:t xml:space="preserve">, principal </w:t>
      </w:r>
      <w:r w:rsidRPr="002B4E6D">
        <w:rPr>
          <w:szCs w:val="20"/>
          <w:lang w:val="es-CR"/>
        </w:rPr>
        <w:t>y</w:t>
      </w:r>
      <w:r w:rsidR="00107B2B" w:rsidRPr="002B4E6D">
        <w:rPr>
          <w:szCs w:val="20"/>
          <w:lang w:val="es-CR"/>
        </w:rPr>
        <w:t xml:space="preserve"> espe</w:t>
      </w:r>
      <w:r w:rsidR="00944483" w:rsidRPr="002B4E6D">
        <w:rPr>
          <w:szCs w:val="20"/>
          <w:lang w:val="es-CR"/>
        </w:rPr>
        <w:t>ci</w:t>
      </w:r>
      <w:r w:rsidR="00107B2B" w:rsidRPr="002B4E6D">
        <w:rPr>
          <w:szCs w:val="20"/>
          <w:lang w:val="es-CR"/>
        </w:rPr>
        <w:t xml:space="preserve">ficadamente, </w:t>
      </w:r>
      <w:r w:rsidRPr="002B4E6D">
        <w:rPr>
          <w:szCs w:val="20"/>
          <w:lang w:val="es-CR"/>
        </w:rPr>
        <w:t>al</w:t>
      </w:r>
      <w:r w:rsidR="00107B2B" w:rsidRPr="002B4E6D">
        <w:rPr>
          <w:szCs w:val="20"/>
          <w:lang w:val="es-CR"/>
        </w:rPr>
        <w:t xml:space="preserve"> Poder </w:t>
      </w:r>
      <w:r w:rsidR="009D0749" w:rsidRPr="002B4E6D">
        <w:rPr>
          <w:szCs w:val="20"/>
          <w:lang w:val="es-CR"/>
        </w:rPr>
        <w:t>Judicial</w:t>
      </w:r>
      <w:r w:rsidR="00107B2B" w:rsidRPr="002B4E6D">
        <w:rPr>
          <w:szCs w:val="20"/>
          <w:lang w:val="es-CR"/>
        </w:rPr>
        <w:t xml:space="preserve"> </w:t>
      </w:r>
      <w:r w:rsidR="00FE011C" w:rsidRPr="002B4E6D">
        <w:rPr>
          <w:szCs w:val="20"/>
          <w:lang w:val="es-CR"/>
        </w:rPr>
        <w:t>del</w:t>
      </w:r>
      <w:r w:rsidR="00107B2B" w:rsidRPr="002B4E6D">
        <w:rPr>
          <w:szCs w:val="20"/>
          <w:lang w:val="es-CR"/>
        </w:rPr>
        <w:t xml:space="preserve"> </w:t>
      </w:r>
      <w:r w:rsidR="00BF2AC5">
        <w:rPr>
          <w:szCs w:val="20"/>
          <w:lang w:val="es-CR"/>
        </w:rPr>
        <w:t>e</w:t>
      </w:r>
      <w:r w:rsidR="00BF2AC5" w:rsidRPr="002B4E6D">
        <w:rPr>
          <w:szCs w:val="20"/>
          <w:lang w:val="es-CR"/>
        </w:rPr>
        <w:t xml:space="preserve">stado </w:t>
      </w:r>
      <w:r w:rsidR="00FE011C" w:rsidRPr="002B4E6D">
        <w:rPr>
          <w:szCs w:val="20"/>
          <w:lang w:val="es-CR"/>
        </w:rPr>
        <w:t>de</w:t>
      </w:r>
      <w:r w:rsidR="00107B2B" w:rsidRPr="002B4E6D">
        <w:rPr>
          <w:szCs w:val="20"/>
          <w:lang w:val="es-CR"/>
        </w:rPr>
        <w:t xml:space="preserve"> R</w:t>
      </w:r>
      <w:r w:rsidR="00FE011C" w:rsidRPr="002B4E6D">
        <w:rPr>
          <w:szCs w:val="20"/>
          <w:lang w:val="es-CR"/>
        </w:rPr>
        <w:t>í</w:t>
      </w:r>
      <w:r w:rsidR="00107B2B" w:rsidRPr="002B4E6D">
        <w:rPr>
          <w:szCs w:val="20"/>
          <w:lang w:val="es-CR"/>
        </w:rPr>
        <w:t xml:space="preserve">o de Janeiro, </w:t>
      </w:r>
      <w:r w:rsidR="00FE011C" w:rsidRPr="002B4E6D">
        <w:rPr>
          <w:szCs w:val="20"/>
          <w:lang w:val="es-CR"/>
        </w:rPr>
        <w:t>el</w:t>
      </w:r>
      <w:r w:rsidR="00107B2B" w:rsidRPr="002B4E6D">
        <w:rPr>
          <w:szCs w:val="20"/>
          <w:lang w:val="es-CR"/>
        </w:rPr>
        <w:t xml:space="preserve"> </w:t>
      </w:r>
      <w:r w:rsidR="009D0749" w:rsidRPr="002B4E6D">
        <w:rPr>
          <w:szCs w:val="20"/>
          <w:lang w:val="es-CR"/>
        </w:rPr>
        <w:t>irrestrict</w:t>
      </w:r>
      <w:r w:rsidR="00FE011C" w:rsidRPr="002B4E6D">
        <w:rPr>
          <w:szCs w:val="20"/>
          <w:lang w:val="es-CR"/>
        </w:rPr>
        <w:t>o</w:t>
      </w:r>
      <w:r w:rsidR="00107B2B" w:rsidRPr="002B4E6D">
        <w:rPr>
          <w:szCs w:val="20"/>
          <w:lang w:val="es-CR"/>
        </w:rPr>
        <w:t xml:space="preserve"> </w:t>
      </w:r>
      <w:r w:rsidR="009D0749" w:rsidRPr="002B4E6D">
        <w:rPr>
          <w:szCs w:val="20"/>
          <w:lang w:val="es-CR"/>
        </w:rPr>
        <w:t>cumplimento</w:t>
      </w:r>
      <w:r w:rsidR="00107B2B" w:rsidRPr="002B4E6D">
        <w:rPr>
          <w:szCs w:val="20"/>
          <w:lang w:val="es-CR"/>
        </w:rPr>
        <w:t xml:space="preserve"> </w:t>
      </w:r>
      <w:r w:rsidR="00FE011C" w:rsidRPr="002B4E6D">
        <w:rPr>
          <w:szCs w:val="20"/>
          <w:lang w:val="es-CR"/>
        </w:rPr>
        <w:t>de las</w:t>
      </w:r>
      <w:r w:rsidR="00107B2B" w:rsidRPr="002B4E6D">
        <w:rPr>
          <w:szCs w:val="20"/>
          <w:lang w:val="es-CR"/>
        </w:rPr>
        <w:t xml:space="preserve"> cláusulas </w:t>
      </w:r>
      <w:r w:rsidR="00FE011C" w:rsidRPr="002B4E6D">
        <w:rPr>
          <w:szCs w:val="20"/>
          <w:lang w:val="es-CR"/>
        </w:rPr>
        <w:t>que constan</w:t>
      </w:r>
      <w:r w:rsidR="00107B2B" w:rsidRPr="002B4E6D">
        <w:rPr>
          <w:szCs w:val="20"/>
          <w:lang w:val="es-CR"/>
        </w:rPr>
        <w:t xml:space="preserve"> </w:t>
      </w:r>
      <w:r w:rsidR="00FE011C" w:rsidRPr="002B4E6D">
        <w:rPr>
          <w:szCs w:val="20"/>
          <w:lang w:val="es-CR"/>
        </w:rPr>
        <w:t>del</w:t>
      </w:r>
      <w:r w:rsidR="00107B2B" w:rsidRPr="002B4E6D">
        <w:rPr>
          <w:szCs w:val="20"/>
          <w:lang w:val="es-CR"/>
        </w:rPr>
        <w:t xml:space="preserve"> </w:t>
      </w:r>
      <w:r w:rsidR="00FE011C" w:rsidRPr="002B4E6D">
        <w:rPr>
          <w:szCs w:val="20"/>
          <w:lang w:val="es-CR"/>
        </w:rPr>
        <w:t>mencionado</w:t>
      </w:r>
      <w:r w:rsidR="00107B2B" w:rsidRPr="002B4E6D">
        <w:rPr>
          <w:szCs w:val="20"/>
          <w:lang w:val="es-CR"/>
        </w:rPr>
        <w:t xml:space="preserve"> </w:t>
      </w:r>
      <w:r w:rsidR="006004CF" w:rsidRPr="002B4E6D">
        <w:rPr>
          <w:szCs w:val="20"/>
          <w:lang w:val="es-CR"/>
        </w:rPr>
        <w:t>plan</w:t>
      </w:r>
      <w:r w:rsidR="00107B2B" w:rsidRPr="002B4E6D">
        <w:rPr>
          <w:szCs w:val="20"/>
          <w:lang w:val="es-CR"/>
        </w:rPr>
        <w:t xml:space="preserve">; </w:t>
      </w:r>
      <w:r w:rsidR="00FE011C" w:rsidRPr="002B4E6D">
        <w:rPr>
          <w:szCs w:val="20"/>
          <w:lang w:val="es-CR"/>
        </w:rPr>
        <w:t>y</w:t>
      </w:r>
      <w:r w:rsidR="00107B2B" w:rsidRPr="002B4E6D">
        <w:rPr>
          <w:szCs w:val="20"/>
          <w:lang w:val="es-CR"/>
        </w:rPr>
        <w:t xml:space="preserve"> ii)</w:t>
      </w:r>
      <w:r w:rsidR="00F501AA" w:rsidRPr="002B4E6D">
        <w:rPr>
          <w:szCs w:val="20"/>
          <w:lang w:val="es-CR"/>
        </w:rPr>
        <w:t xml:space="preserve"> la</w:t>
      </w:r>
      <w:r w:rsidR="00107B2B" w:rsidRPr="002B4E6D">
        <w:rPr>
          <w:szCs w:val="20"/>
          <w:lang w:val="es-CR"/>
        </w:rPr>
        <w:t xml:space="preserve"> </w:t>
      </w:r>
      <w:r w:rsidR="009D0749" w:rsidRPr="002B4E6D">
        <w:rPr>
          <w:szCs w:val="20"/>
          <w:lang w:val="es-CR"/>
        </w:rPr>
        <w:t>concesión</w:t>
      </w:r>
      <w:r w:rsidR="00107B2B" w:rsidRPr="002B4E6D">
        <w:rPr>
          <w:szCs w:val="20"/>
          <w:lang w:val="es-CR"/>
        </w:rPr>
        <w:t xml:space="preserve"> de </w:t>
      </w:r>
      <w:r w:rsidR="00F501AA" w:rsidRPr="002B4E6D">
        <w:rPr>
          <w:szCs w:val="20"/>
          <w:lang w:val="es-CR"/>
        </w:rPr>
        <w:t>la libertad</w:t>
      </w:r>
      <w:r w:rsidR="00107B2B" w:rsidRPr="002B4E6D">
        <w:rPr>
          <w:szCs w:val="20"/>
          <w:lang w:val="es-CR"/>
        </w:rPr>
        <w:t xml:space="preserve"> condicional </w:t>
      </w:r>
      <w:r w:rsidR="009D0749" w:rsidRPr="002B4E6D">
        <w:rPr>
          <w:szCs w:val="20"/>
          <w:lang w:val="es-CR"/>
        </w:rPr>
        <w:t>anticipad</w:t>
      </w:r>
      <w:r w:rsidR="00FE011C" w:rsidRPr="002B4E6D">
        <w:rPr>
          <w:szCs w:val="20"/>
          <w:lang w:val="es-CR"/>
        </w:rPr>
        <w:t>a</w:t>
      </w:r>
      <w:r w:rsidR="00107B2B" w:rsidRPr="002B4E6D">
        <w:rPr>
          <w:szCs w:val="20"/>
          <w:lang w:val="es-CR"/>
        </w:rPr>
        <w:t xml:space="preserve"> </w:t>
      </w:r>
      <w:r w:rsidR="00FE011C" w:rsidRPr="002B4E6D">
        <w:rPr>
          <w:szCs w:val="20"/>
          <w:lang w:val="es-CR"/>
        </w:rPr>
        <w:t>a las</w:t>
      </w:r>
      <w:r w:rsidR="00107B2B" w:rsidRPr="002B4E6D">
        <w:rPr>
          <w:szCs w:val="20"/>
          <w:lang w:val="es-CR"/>
        </w:rPr>
        <w:t xml:space="preserve"> </w:t>
      </w:r>
      <w:r w:rsidR="00AA1A37" w:rsidRPr="002B4E6D">
        <w:rPr>
          <w:szCs w:val="20"/>
          <w:lang w:val="es-CR"/>
        </w:rPr>
        <w:t>personas</w:t>
      </w:r>
      <w:r w:rsidR="00107B2B" w:rsidRPr="002B4E6D">
        <w:rPr>
          <w:szCs w:val="20"/>
          <w:lang w:val="es-CR"/>
        </w:rPr>
        <w:t xml:space="preserve"> privadas de </w:t>
      </w:r>
      <w:r w:rsidR="00AA1A37" w:rsidRPr="002B4E6D">
        <w:rPr>
          <w:szCs w:val="20"/>
          <w:lang w:val="es-CR"/>
        </w:rPr>
        <w:t>libertad</w:t>
      </w:r>
      <w:r w:rsidR="00107B2B" w:rsidRPr="002B4E6D">
        <w:rPr>
          <w:szCs w:val="20"/>
          <w:lang w:val="es-CR"/>
        </w:rPr>
        <w:t xml:space="preserve"> que </w:t>
      </w:r>
      <w:r w:rsidR="00CD4583">
        <w:rPr>
          <w:szCs w:val="20"/>
          <w:lang w:val="es-CR"/>
        </w:rPr>
        <w:t>cumplan con</w:t>
      </w:r>
      <w:r w:rsidR="00107B2B" w:rsidRPr="002B4E6D">
        <w:rPr>
          <w:szCs w:val="20"/>
          <w:lang w:val="es-CR"/>
        </w:rPr>
        <w:t xml:space="preserve"> </w:t>
      </w:r>
      <w:r w:rsidR="00FE011C" w:rsidRPr="002B4E6D">
        <w:rPr>
          <w:szCs w:val="20"/>
          <w:lang w:val="es-CR"/>
        </w:rPr>
        <w:t>el</w:t>
      </w:r>
      <w:r w:rsidR="00107B2B" w:rsidRPr="002B4E6D">
        <w:rPr>
          <w:szCs w:val="20"/>
          <w:lang w:val="es-CR"/>
        </w:rPr>
        <w:t xml:space="preserve"> requisito objetivo-temporal (</w:t>
      </w:r>
      <w:r w:rsidR="00CD4583">
        <w:rPr>
          <w:szCs w:val="20"/>
          <w:lang w:val="es-CR"/>
        </w:rPr>
        <w:t>término</w:t>
      </w:r>
      <w:r w:rsidR="00107B2B" w:rsidRPr="002B4E6D">
        <w:rPr>
          <w:szCs w:val="20"/>
          <w:lang w:val="es-CR"/>
        </w:rPr>
        <w:t xml:space="preserve">) </w:t>
      </w:r>
      <w:r w:rsidR="00FE011C" w:rsidRPr="002B4E6D">
        <w:rPr>
          <w:szCs w:val="20"/>
          <w:lang w:val="es-CR"/>
        </w:rPr>
        <w:t>en el</w:t>
      </w:r>
      <w:r w:rsidR="00107B2B" w:rsidRPr="002B4E6D">
        <w:rPr>
          <w:szCs w:val="20"/>
          <w:lang w:val="es-CR"/>
        </w:rPr>
        <w:t xml:space="preserve"> a</w:t>
      </w:r>
      <w:r w:rsidR="00FE011C" w:rsidRPr="002B4E6D">
        <w:rPr>
          <w:szCs w:val="20"/>
          <w:lang w:val="es-CR"/>
        </w:rPr>
        <w:t>ñ</w:t>
      </w:r>
      <w:r w:rsidR="00107B2B" w:rsidRPr="002B4E6D">
        <w:rPr>
          <w:szCs w:val="20"/>
          <w:lang w:val="es-CR"/>
        </w:rPr>
        <w:t xml:space="preserve">o de 2018, </w:t>
      </w:r>
      <w:r w:rsidR="00E31F81">
        <w:rPr>
          <w:szCs w:val="20"/>
          <w:lang w:val="es-CR"/>
        </w:rPr>
        <w:t>ordena</w:t>
      </w:r>
      <w:r w:rsidR="00107B2B" w:rsidRPr="002B4E6D">
        <w:rPr>
          <w:szCs w:val="20"/>
          <w:lang w:val="es-CR"/>
        </w:rPr>
        <w:t xml:space="preserve">ndo </w:t>
      </w:r>
      <w:r w:rsidR="00FE011C" w:rsidRPr="002B4E6D">
        <w:rPr>
          <w:szCs w:val="20"/>
          <w:lang w:val="es-CR"/>
        </w:rPr>
        <w:t>al</w:t>
      </w:r>
      <w:r w:rsidR="00107B2B" w:rsidRPr="002B4E6D">
        <w:rPr>
          <w:szCs w:val="20"/>
          <w:lang w:val="es-CR"/>
        </w:rPr>
        <w:t xml:space="preserve"> Estado </w:t>
      </w:r>
      <w:r w:rsidR="00FE011C" w:rsidRPr="002B4E6D">
        <w:rPr>
          <w:szCs w:val="20"/>
          <w:lang w:val="es-CR"/>
        </w:rPr>
        <w:t>de</w:t>
      </w:r>
      <w:r w:rsidR="00107B2B" w:rsidRPr="002B4E6D">
        <w:rPr>
          <w:szCs w:val="20"/>
          <w:lang w:val="es-CR"/>
        </w:rPr>
        <w:t xml:space="preserve"> Brasil </w:t>
      </w:r>
      <w:r w:rsidR="00FE011C" w:rsidRPr="002B4E6D">
        <w:rPr>
          <w:szCs w:val="20"/>
          <w:lang w:val="es-CR"/>
        </w:rPr>
        <w:t>y</w:t>
      </w:r>
      <w:r w:rsidR="00107B2B" w:rsidRPr="002B4E6D">
        <w:rPr>
          <w:szCs w:val="20"/>
          <w:lang w:val="es-CR"/>
        </w:rPr>
        <w:t xml:space="preserve">, principal </w:t>
      </w:r>
      <w:r w:rsidR="00FE011C" w:rsidRPr="002B4E6D">
        <w:rPr>
          <w:szCs w:val="20"/>
          <w:lang w:val="es-CR"/>
        </w:rPr>
        <w:t>y</w:t>
      </w:r>
      <w:r w:rsidR="00107B2B" w:rsidRPr="002B4E6D">
        <w:rPr>
          <w:szCs w:val="20"/>
          <w:lang w:val="es-CR"/>
        </w:rPr>
        <w:t xml:space="preserve"> espe</w:t>
      </w:r>
      <w:r w:rsidR="00944483" w:rsidRPr="002B4E6D">
        <w:rPr>
          <w:szCs w:val="20"/>
          <w:lang w:val="es-CR"/>
        </w:rPr>
        <w:t>ci</w:t>
      </w:r>
      <w:r w:rsidR="00107B2B" w:rsidRPr="002B4E6D">
        <w:rPr>
          <w:szCs w:val="20"/>
          <w:lang w:val="es-CR"/>
        </w:rPr>
        <w:t xml:space="preserve">ficadamente, </w:t>
      </w:r>
      <w:r w:rsidR="00FE011C" w:rsidRPr="002B4E6D">
        <w:rPr>
          <w:szCs w:val="20"/>
          <w:lang w:val="es-CR"/>
        </w:rPr>
        <w:t>a los</w:t>
      </w:r>
      <w:r w:rsidR="00107B2B" w:rsidRPr="002B4E6D">
        <w:rPr>
          <w:szCs w:val="20"/>
          <w:lang w:val="es-CR"/>
        </w:rPr>
        <w:t xml:space="preserve"> </w:t>
      </w:r>
      <w:r w:rsidR="00FE011C" w:rsidRPr="002B4E6D">
        <w:rPr>
          <w:szCs w:val="20"/>
          <w:lang w:val="es-CR"/>
        </w:rPr>
        <w:t>Jueces</w:t>
      </w:r>
      <w:r w:rsidR="00107B2B" w:rsidRPr="002B4E6D">
        <w:rPr>
          <w:szCs w:val="20"/>
          <w:lang w:val="es-CR"/>
        </w:rPr>
        <w:t xml:space="preserve"> </w:t>
      </w:r>
      <w:r w:rsidR="00FE011C" w:rsidRPr="002B4E6D">
        <w:rPr>
          <w:szCs w:val="20"/>
          <w:lang w:val="es-CR"/>
        </w:rPr>
        <w:t xml:space="preserve">de </w:t>
      </w:r>
      <w:r w:rsidR="00E4427D">
        <w:rPr>
          <w:szCs w:val="20"/>
          <w:lang w:val="es-CR"/>
        </w:rPr>
        <w:t xml:space="preserve">Derecho de </w:t>
      </w:r>
      <w:r w:rsidR="00FE011C" w:rsidRPr="002B4E6D">
        <w:rPr>
          <w:szCs w:val="20"/>
          <w:lang w:val="es-CR"/>
        </w:rPr>
        <w:t>la</w:t>
      </w:r>
      <w:r w:rsidR="00107B2B" w:rsidRPr="002B4E6D">
        <w:rPr>
          <w:szCs w:val="20"/>
          <w:lang w:val="es-CR"/>
        </w:rPr>
        <w:t xml:space="preserve"> VEP/RJ, </w:t>
      </w:r>
      <w:r w:rsidR="00FE011C" w:rsidRPr="002B4E6D">
        <w:rPr>
          <w:szCs w:val="20"/>
          <w:lang w:val="es-CR"/>
        </w:rPr>
        <w:t>el</w:t>
      </w:r>
      <w:r w:rsidR="00107B2B" w:rsidRPr="002B4E6D">
        <w:rPr>
          <w:szCs w:val="20"/>
          <w:lang w:val="es-CR"/>
        </w:rPr>
        <w:t xml:space="preserve"> </w:t>
      </w:r>
      <w:r w:rsidR="00F501AA" w:rsidRPr="002B4E6D">
        <w:rPr>
          <w:szCs w:val="20"/>
          <w:lang w:val="es-CR"/>
        </w:rPr>
        <w:t>cumplimento</w:t>
      </w:r>
      <w:r w:rsidR="00107B2B" w:rsidRPr="002B4E6D">
        <w:rPr>
          <w:szCs w:val="20"/>
          <w:lang w:val="es-CR"/>
        </w:rPr>
        <w:t xml:space="preserve"> </w:t>
      </w:r>
      <w:r w:rsidR="009D0749" w:rsidRPr="002B4E6D">
        <w:rPr>
          <w:szCs w:val="20"/>
          <w:lang w:val="es-CR"/>
        </w:rPr>
        <w:t>práctico</w:t>
      </w:r>
      <w:r w:rsidR="00107B2B" w:rsidRPr="002B4E6D">
        <w:rPr>
          <w:szCs w:val="20"/>
          <w:lang w:val="es-CR"/>
        </w:rPr>
        <w:t xml:space="preserve"> </w:t>
      </w:r>
      <w:r w:rsidR="00FE011C" w:rsidRPr="002B4E6D">
        <w:rPr>
          <w:szCs w:val="20"/>
          <w:lang w:val="es-CR"/>
        </w:rPr>
        <w:t>de las</w:t>
      </w:r>
      <w:r w:rsidR="00107B2B" w:rsidRPr="002B4E6D">
        <w:rPr>
          <w:szCs w:val="20"/>
          <w:lang w:val="es-CR"/>
        </w:rPr>
        <w:t xml:space="preserve"> decis</w:t>
      </w:r>
      <w:r w:rsidR="009D0749" w:rsidRPr="002B4E6D">
        <w:rPr>
          <w:szCs w:val="20"/>
          <w:lang w:val="es-CR"/>
        </w:rPr>
        <w:t>iones</w:t>
      </w:r>
      <w:r w:rsidR="00107B2B" w:rsidRPr="002B4E6D">
        <w:rPr>
          <w:szCs w:val="20"/>
          <w:lang w:val="es-CR"/>
        </w:rPr>
        <w:t>.</w:t>
      </w:r>
      <w:r w:rsidR="00D64B8B" w:rsidRPr="002B4E6D">
        <w:rPr>
          <w:szCs w:val="20"/>
          <w:lang w:val="es-CR"/>
        </w:rPr>
        <w:t xml:space="preserve"> </w:t>
      </w:r>
    </w:p>
    <w:p w14:paraId="773A7424" w14:textId="77777777" w:rsidR="002A772F" w:rsidRPr="002B4E6D" w:rsidRDefault="002A772F" w:rsidP="002A772F">
      <w:pPr>
        <w:pStyle w:val="ListParagraph"/>
        <w:rPr>
          <w:szCs w:val="20"/>
          <w:lang w:val="es-CR"/>
        </w:rPr>
      </w:pPr>
    </w:p>
    <w:p w14:paraId="32E77B25" w14:textId="639ACEE0" w:rsidR="00F857E6" w:rsidRPr="002B4E6D" w:rsidRDefault="00945D4E" w:rsidP="00A562C5">
      <w:pPr>
        <w:pStyle w:val="Default"/>
        <w:numPr>
          <w:ilvl w:val="0"/>
          <w:numId w:val="9"/>
        </w:numPr>
        <w:ind w:left="0" w:firstLine="0"/>
        <w:rPr>
          <w:b/>
          <w:sz w:val="20"/>
          <w:szCs w:val="20"/>
          <w:lang w:val="es-CR"/>
        </w:rPr>
      </w:pPr>
      <w:r w:rsidRPr="002B4E6D">
        <w:rPr>
          <w:b/>
          <w:i/>
          <w:iCs/>
          <w:sz w:val="20"/>
          <w:szCs w:val="20"/>
          <w:lang w:val="es-CR"/>
        </w:rPr>
        <w:t>Muerte</w:t>
      </w:r>
      <w:r w:rsidR="00F857E6" w:rsidRPr="002B4E6D">
        <w:rPr>
          <w:b/>
          <w:i/>
          <w:iCs/>
          <w:sz w:val="20"/>
          <w:szCs w:val="20"/>
          <w:lang w:val="es-CR"/>
        </w:rPr>
        <w:t xml:space="preserve">s </w:t>
      </w:r>
      <w:r w:rsidR="004A7EB8" w:rsidRPr="002B4E6D">
        <w:rPr>
          <w:b/>
          <w:i/>
          <w:iCs/>
          <w:sz w:val="20"/>
          <w:szCs w:val="20"/>
          <w:lang w:val="es-CR"/>
        </w:rPr>
        <w:t>recientes</w:t>
      </w:r>
      <w:r w:rsidR="00F857E6" w:rsidRPr="002B4E6D">
        <w:rPr>
          <w:b/>
          <w:i/>
          <w:iCs/>
          <w:sz w:val="20"/>
          <w:szCs w:val="20"/>
          <w:lang w:val="es-CR"/>
        </w:rPr>
        <w:t xml:space="preserve"> </w:t>
      </w:r>
    </w:p>
    <w:p w14:paraId="756C025F" w14:textId="77777777" w:rsidR="00F857E6" w:rsidRPr="002B4E6D" w:rsidRDefault="00F857E6" w:rsidP="00A562C5">
      <w:pPr>
        <w:snapToGrid w:val="0"/>
        <w:rPr>
          <w:szCs w:val="20"/>
          <w:lang w:val="es-CR"/>
        </w:rPr>
      </w:pPr>
    </w:p>
    <w:p w14:paraId="1B8BB916" w14:textId="49B460AC" w:rsidR="007D5D8E" w:rsidRPr="002B4E6D" w:rsidRDefault="004A7EB8" w:rsidP="00A562C5">
      <w:pPr>
        <w:pStyle w:val="ListParagraph"/>
        <w:numPr>
          <w:ilvl w:val="0"/>
          <w:numId w:val="20"/>
        </w:numPr>
        <w:snapToGrid w:val="0"/>
        <w:ind w:left="0" w:firstLine="0"/>
        <w:contextualSpacing w:val="0"/>
        <w:rPr>
          <w:szCs w:val="20"/>
          <w:lang w:val="es-CR"/>
        </w:rPr>
      </w:pPr>
      <w:r w:rsidRPr="002B4E6D">
        <w:rPr>
          <w:szCs w:val="20"/>
          <w:lang w:val="es-CR"/>
        </w:rPr>
        <w:t>La</w:t>
      </w:r>
      <w:r w:rsidR="005F3E72" w:rsidRPr="002B4E6D">
        <w:rPr>
          <w:szCs w:val="20"/>
          <w:lang w:val="es-CR"/>
        </w:rPr>
        <w:t xml:space="preserve"> </w:t>
      </w:r>
      <w:r w:rsidR="00485931" w:rsidRPr="002B4E6D">
        <w:rPr>
          <w:szCs w:val="20"/>
          <w:lang w:val="es-CR"/>
        </w:rPr>
        <w:t>R</w:t>
      </w:r>
      <w:r w:rsidR="005F3E72" w:rsidRPr="002B4E6D">
        <w:rPr>
          <w:szCs w:val="20"/>
          <w:lang w:val="es-CR"/>
        </w:rPr>
        <w:t>esolu</w:t>
      </w:r>
      <w:r w:rsidR="00AA1A37" w:rsidRPr="002B4E6D">
        <w:rPr>
          <w:szCs w:val="20"/>
          <w:lang w:val="es-CR"/>
        </w:rPr>
        <w:t>ción</w:t>
      </w:r>
      <w:r w:rsidR="005F3E72" w:rsidRPr="002B4E6D">
        <w:rPr>
          <w:szCs w:val="20"/>
          <w:lang w:val="es-CR"/>
        </w:rPr>
        <w:t xml:space="preserve"> de </w:t>
      </w:r>
      <w:r w:rsidR="00D07DF6" w:rsidRPr="002B4E6D">
        <w:rPr>
          <w:szCs w:val="20"/>
          <w:lang w:val="es-CR"/>
        </w:rPr>
        <w:t>31</w:t>
      </w:r>
      <w:r w:rsidR="005F3E72" w:rsidRPr="002B4E6D">
        <w:rPr>
          <w:szCs w:val="20"/>
          <w:lang w:val="es-CR"/>
        </w:rPr>
        <w:t xml:space="preserve"> de </w:t>
      </w:r>
      <w:r w:rsidR="00D07DF6" w:rsidRPr="002B4E6D">
        <w:rPr>
          <w:szCs w:val="20"/>
          <w:lang w:val="es-CR"/>
        </w:rPr>
        <w:t>agosto</w:t>
      </w:r>
      <w:r w:rsidR="005F3E72" w:rsidRPr="002B4E6D">
        <w:rPr>
          <w:szCs w:val="20"/>
          <w:lang w:val="es-CR"/>
        </w:rPr>
        <w:t xml:space="preserve"> </w:t>
      </w:r>
      <w:r w:rsidR="00D07DF6" w:rsidRPr="002B4E6D">
        <w:rPr>
          <w:szCs w:val="20"/>
          <w:lang w:val="es-CR"/>
        </w:rPr>
        <w:t>de 201</w:t>
      </w:r>
      <w:r w:rsidR="007D5D8E" w:rsidRPr="002B4E6D">
        <w:rPr>
          <w:szCs w:val="20"/>
          <w:lang w:val="es-CR"/>
        </w:rPr>
        <w:t>7</w:t>
      </w:r>
      <w:r w:rsidR="005F3E72" w:rsidRPr="002B4E6D">
        <w:rPr>
          <w:szCs w:val="20"/>
          <w:lang w:val="es-CR"/>
        </w:rPr>
        <w:t xml:space="preserve"> </w:t>
      </w:r>
      <w:r w:rsidR="0092121B" w:rsidRPr="002B4E6D">
        <w:rPr>
          <w:szCs w:val="20"/>
          <w:lang w:val="es-CR"/>
        </w:rPr>
        <w:t>ordenó</w:t>
      </w:r>
      <w:r w:rsidR="005F3E72" w:rsidRPr="002B4E6D">
        <w:rPr>
          <w:szCs w:val="20"/>
          <w:lang w:val="es-CR"/>
        </w:rPr>
        <w:t xml:space="preserve"> </w:t>
      </w:r>
      <w:r w:rsidR="0092121B" w:rsidRPr="002B4E6D">
        <w:rPr>
          <w:szCs w:val="20"/>
          <w:lang w:val="es-CR"/>
        </w:rPr>
        <w:t>al</w:t>
      </w:r>
      <w:r w:rsidR="005F3E72" w:rsidRPr="002B4E6D">
        <w:rPr>
          <w:szCs w:val="20"/>
          <w:lang w:val="es-CR"/>
        </w:rPr>
        <w:t xml:space="preserve"> Estado </w:t>
      </w:r>
      <w:r w:rsidR="007D5D8E" w:rsidRPr="002B4E6D">
        <w:rPr>
          <w:szCs w:val="20"/>
          <w:lang w:val="es-CR"/>
        </w:rPr>
        <w:t xml:space="preserve">que “determine </w:t>
      </w:r>
      <w:r w:rsidR="006F6FF5">
        <w:rPr>
          <w:szCs w:val="20"/>
          <w:lang w:val="es-CR"/>
        </w:rPr>
        <w:t xml:space="preserve">e informe </w:t>
      </w:r>
      <w:r w:rsidR="00E4427D">
        <w:rPr>
          <w:szCs w:val="20"/>
          <w:lang w:val="es-CR"/>
        </w:rPr>
        <w:t xml:space="preserve">[…] </w:t>
      </w:r>
      <w:r w:rsidR="0092121B" w:rsidRPr="002B4E6D">
        <w:rPr>
          <w:szCs w:val="20"/>
          <w:lang w:val="es-CR"/>
        </w:rPr>
        <w:t>las</w:t>
      </w:r>
      <w:r w:rsidR="007D5D8E" w:rsidRPr="002B4E6D">
        <w:rPr>
          <w:szCs w:val="20"/>
          <w:lang w:val="es-CR"/>
        </w:rPr>
        <w:t xml:space="preserve"> causas de todas </w:t>
      </w:r>
      <w:r w:rsidR="0092121B" w:rsidRPr="002B4E6D">
        <w:rPr>
          <w:szCs w:val="20"/>
          <w:lang w:val="es-CR"/>
        </w:rPr>
        <w:t>las</w:t>
      </w:r>
      <w:r w:rsidR="007D5D8E" w:rsidRPr="002B4E6D">
        <w:rPr>
          <w:szCs w:val="20"/>
          <w:lang w:val="es-CR"/>
        </w:rPr>
        <w:t xml:space="preserve"> </w:t>
      </w:r>
      <w:r w:rsidR="00945D4E" w:rsidRPr="002B4E6D">
        <w:rPr>
          <w:szCs w:val="20"/>
          <w:lang w:val="es-CR"/>
        </w:rPr>
        <w:t>muerte</w:t>
      </w:r>
      <w:r w:rsidR="007D5D8E" w:rsidRPr="002B4E6D">
        <w:rPr>
          <w:szCs w:val="20"/>
          <w:lang w:val="es-CR"/>
        </w:rPr>
        <w:t xml:space="preserve">s de internos que </w:t>
      </w:r>
      <w:r w:rsidR="00E4427D">
        <w:rPr>
          <w:szCs w:val="20"/>
          <w:lang w:val="es-CR"/>
        </w:rPr>
        <w:t>[</w:t>
      </w:r>
      <w:r w:rsidR="0092121B" w:rsidRPr="002B4E6D">
        <w:rPr>
          <w:szCs w:val="20"/>
          <w:lang w:val="es-CR"/>
        </w:rPr>
        <w:t>ocurrieron</w:t>
      </w:r>
      <w:r w:rsidR="00E4427D">
        <w:rPr>
          <w:szCs w:val="20"/>
          <w:lang w:val="es-CR"/>
        </w:rPr>
        <w:t>]</w:t>
      </w:r>
      <w:r w:rsidR="007D5D8E" w:rsidRPr="002B4E6D">
        <w:rPr>
          <w:szCs w:val="20"/>
          <w:lang w:val="es-CR"/>
        </w:rPr>
        <w:t xml:space="preserve"> durante </w:t>
      </w:r>
      <w:r w:rsidR="0092121B" w:rsidRPr="002B4E6D">
        <w:rPr>
          <w:szCs w:val="20"/>
          <w:lang w:val="es-CR"/>
        </w:rPr>
        <w:t>la</w:t>
      </w:r>
      <w:r w:rsidR="007D5D8E" w:rsidRPr="002B4E6D">
        <w:rPr>
          <w:szCs w:val="20"/>
          <w:lang w:val="es-CR"/>
        </w:rPr>
        <w:t xml:space="preserve"> </w:t>
      </w:r>
      <w:r w:rsidR="0092121B" w:rsidRPr="002B4E6D">
        <w:rPr>
          <w:szCs w:val="20"/>
          <w:lang w:val="es-CR"/>
        </w:rPr>
        <w:t>vigencia</w:t>
      </w:r>
      <w:r w:rsidR="007D5D8E" w:rsidRPr="002B4E6D">
        <w:rPr>
          <w:szCs w:val="20"/>
          <w:lang w:val="es-CR"/>
        </w:rPr>
        <w:t xml:space="preserve"> de</w:t>
      </w:r>
      <w:r w:rsidR="0092121B" w:rsidRPr="002B4E6D">
        <w:rPr>
          <w:szCs w:val="20"/>
          <w:lang w:val="es-CR"/>
        </w:rPr>
        <w:t xml:space="preserve"> </w:t>
      </w:r>
      <w:r w:rsidR="002F6DD8">
        <w:rPr>
          <w:szCs w:val="20"/>
          <w:lang w:val="es-CR"/>
        </w:rPr>
        <w:t>las presentes</w:t>
      </w:r>
      <w:r w:rsidR="007D5D8E" w:rsidRPr="002B4E6D">
        <w:rPr>
          <w:szCs w:val="20"/>
          <w:lang w:val="es-CR"/>
        </w:rPr>
        <w:t xml:space="preserve"> medidas de </w:t>
      </w:r>
      <w:r w:rsidR="0092121B" w:rsidRPr="002B4E6D">
        <w:rPr>
          <w:szCs w:val="20"/>
          <w:lang w:val="es-CR"/>
        </w:rPr>
        <w:t>protección</w:t>
      </w:r>
      <w:r w:rsidR="007D5D8E" w:rsidRPr="002B4E6D">
        <w:rPr>
          <w:szCs w:val="20"/>
          <w:lang w:val="es-CR"/>
        </w:rPr>
        <w:t>”.</w:t>
      </w:r>
      <w:r w:rsidR="007D5D8E" w:rsidRPr="002B4E6D">
        <w:rPr>
          <w:rStyle w:val="FootnoteReference"/>
          <w:lang w:val="es-CR"/>
        </w:rPr>
        <w:footnoteReference w:id="11"/>
      </w:r>
      <w:r w:rsidR="007D5D8E" w:rsidRPr="002B4E6D">
        <w:rPr>
          <w:szCs w:val="20"/>
          <w:lang w:val="es-CR"/>
        </w:rPr>
        <w:t xml:space="preserve"> Igualmente, </w:t>
      </w:r>
      <w:r w:rsidR="0092121B" w:rsidRPr="002B4E6D">
        <w:rPr>
          <w:szCs w:val="20"/>
          <w:lang w:val="es-CR"/>
        </w:rPr>
        <w:t>determinó</w:t>
      </w:r>
      <w:r w:rsidR="007D5D8E" w:rsidRPr="002B4E6D">
        <w:rPr>
          <w:szCs w:val="20"/>
          <w:lang w:val="es-CR"/>
        </w:rPr>
        <w:t xml:space="preserve"> que </w:t>
      </w:r>
      <w:r w:rsidR="0092121B" w:rsidRPr="002B4E6D">
        <w:rPr>
          <w:szCs w:val="20"/>
          <w:lang w:val="es-CR"/>
        </w:rPr>
        <w:t>el</w:t>
      </w:r>
      <w:r w:rsidR="007D5D8E" w:rsidRPr="002B4E6D">
        <w:rPr>
          <w:szCs w:val="20"/>
          <w:lang w:val="es-CR"/>
        </w:rPr>
        <w:t xml:space="preserve"> Estado </w:t>
      </w:r>
      <w:r w:rsidR="0092121B" w:rsidRPr="002B4E6D">
        <w:rPr>
          <w:szCs w:val="20"/>
          <w:lang w:val="es-CR"/>
        </w:rPr>
        <w:t>adopte</w:t>
      </w:r>
      <w:r w:rsidR="007D5D8E" w:rsidRPr="002B4E6D">
        <w:rPr>
          <w:szCs w:val="20"/>
          <w:lang w:val="es-CR"/>
        </w:rPr>
        <w:t xml:space="preserve"> </w:t>
      </w:r>
      <w:r w:rsidR="0092121B" w:rsidRPr="002B4E6D">
        <w:rPr>
          <w:szCs w:val="20"/>
          <w:lang w:val="es-CR"/>
        </w:rPr>
        <w:t>inmediatamente</w:t>
      </w:r>
      <w:r w:rsidR="007D5D8E" w:rsidRPr="002B4E6D">
        <w:rPr>
          <w:szCs w:val="20"/>
          <w:lang w:val="es-CR"/>
        </w:rPr>
        <w:t xml:space="preserve"> “todas </w:t>
      </w:r>
      <w:r w:rsidR="00E4427D">
        <w:rPr>
          <w:szCs w:val="20"/>
          <w:lang w:val="es-CR"/>
        </w:rPr>
        <w:t>aquel</w:t>
      </w:r>
      <w:r w:rsidR="0092121B" w:rsidRPr="002B4E6D">
        <w:rPr>
          <w:szCs w:val="20"/>
          <w:lang w:val="es-CR"/>
        </w:rPr>
        <w:t>l</w:t>
      </w:r>
      <w:r w:rsidR="007D5D8E" w:rsidRPr="002B4E6D">
        <w:rPr>
          <w:szCs w:val="20"/>
          <w:lang w:val="es-CR"/>
        </w:rPr>
        <w:t xml:space="preserve">as medidas </w:t>
      </w:r>
      <w:r w:rsidR="0092121B" w:rsidRPr="002B4E6D">
        <w:rPr>
          <w:szCs w:val="20"/>
          <w:lang w:val="es-CR"/>
        </w:rPr>
        <w:t>necesarias</w:t>
      </w:r>
      <w:r w:rsidR="007D5D8E" w:rsidRPr="002B4E6D">
        <w:rPr>
          <w:szCs w:val="20"/>
          <w:lang w:val="es-CR"/>
        </w:rPr>
        <w:t xml:space="preserve"> para evitar que </w:t>
      </w:r>
      <w:r w:rsidR="0092121B" w:rsidRPr="002B4E6D">
        <w:rPr>
          <w:szCs w:val="20"/>
          <w:lang w:val="es-CR"/>
        </w:rPr>
        <w:t>ocurran</w:t>
      </w:r>
      <w:r w:rsidR="007D5D8E" w:rsidRPr="002B4E6D">
        <w:rPr>
          <w:szCs w:val="20"/>
          <w:lang w:val="es-CR"/>
        </w:rPr>
        <w:t xml:space="preserve"> </w:t>
      </w:r>
      <w:r w:rsidR="0092121B" w:rsidRPr="002B4E6D">
        <w:rPr>
          <w:szCs w:val="20"/>
          <w:lang w:val="es-CR"/>
        </w:rPr>
        <w:t>más</w:t>
      </w:r>
      <w:r w:rsidR="007D5D8E" w:rsidRPr="002B4E6D">
        <w:rPr>
          <w:szCs w:val="20"/>
          <w:lang w:val="es-CR"/>
        </w:rPr>
        <w:t xml:space="preserve"> </w:t>
      </w:r>
      <w:r w:rsidR="00945D4E" w:rsidRPr="002B4E6D">
        <w:rPr>
          <w:szCs w:val="20"/>
          <w:lang w:val="es-CR"/>
        </w:rPr>
        <w:t>muerte</w:t>
      </w:r>
      <w:r w:rsidR="007D5D8E" w:rsidRPr="002B4E6D">
        <w:rPr>
          <w:szCs w:val="20"/>
          <w:lang w:val="es-CR"/>
        </w:rPr>
        <w:t xml:space="preserve">s </w:t>
      </w:r>
      <w:r w:rsidR="0092121B" w:rsidRPr="002B4E6D">
        <w:rPr>
          <w:szCs w:val="20"/>
          <w:lang w:val="es-CR"/>
        </w:rPr>
        <w:t>en el</w:t>
      </w:r>
      <w:r w:rsidR="007D5D8E" w:rsidRPr="002B4E6D">
        <w:rPr>
          <w:szCs w:val="20"/>
          <w:lang w:val="es-CR"/>
        </w:rPr>
        <w:t xml:space="preserve"> IPPSC” </w:t>
      </w:r>
      <w:r w:rsidR="0092121B" w:rsidRPr="002B4E6D">
        <w:rPr>
          <w:szCs w:val="20"/>
          <w:lang w:val="es-CR"/>
        </w:rPr>
        <w:t>y</w:t>
      </w:r>
      <w:r w:rsidR="007D5D8E" w:rsidRPr="002B4E6D">
        <w:rPr>
          <w:szCs w:val="20"/>
          <w:lang w:val="es-CR"/>
        </w:rPr>
        <w:t xml:space="preserve"> que informe a </w:t>
      </w:r>
      <w:r w:rsidR="0092121B" w:rsidRPr="002B4E6D">
        <w:rPr>
          <w:szCs w:val="20"/>
          <w:lang w:val="es-CR"/>
        </w:rPr>
        <w:t xml:space="preserve">la </w:t>
      </w:r>
      <w:r w:rsidR="007D5D8E" w:rsidRPr="002B4E6D">
        <w:rPr>
          <w:szCs w:val="20"/>
          <w:lang w:val="es-CR"/>
        </w:rPr>
        <w:t xml:space="preserve">Corte, “de </w:t>
      </w:r>
      <w:r w:rsidR="0092121B" w:rsidRPr="002B4E6D">
        <w:rPr>
          <w:szCs w:val="20"/>
          <w:lang w:val="es-CR"/>
        </w:rPr>
        <w:t>manera</w:t>
      </w:r>
      <w:r w:rsidR="007D5D8E" w:rsidRPr="002B4E6D">
        <w:rPr>
          <w:szCs w:val="20"/>
          <w:lang w:val="es-CR"/>
        </w:rPr>
        <w:t xml:space="preserve"> </w:t>
      </w:r>
      <w:r w:rsidR="002F6DD8">
        <w:rPr>
          <w:szCs w:val="20"/>
          <w:lang w:val="es-CR"/>
        </w:rPr>
        <w:t>detallada</w:t>
      </w:r>
      <w:r w:rsidR="007D5D8E" w:rsidRPr="002B4E6D">
        <w:rPr>
          <w:szCs w:val="20"/>
          <w:lang w:val="es-CR"/>
        </w:rPr>
        <w:t xml:space="preserve"> </w:t>
      </w:r>
      <w:r w:rsidR="0092121B" w:rsidRPr="002B4E6D">
        <w:rPr>
          <w:szCs w:val="20"/>
          <w:lang w:val="es-CR"/>
        </w:rPr>
        <w:t>y</w:t>
      </w:r>
      <w:r w:rsidR="007D5D8E" w:rsidRPr="002B4E6D">
        <w:rPr>
          <w:szCs w:val="20"/>
          <w:lang w:val="es-CR"/>
        </w:rPr>
        <w:t xml:space="preserve"> precisa, </w:t>
      </w:r>
      <w:r w:rsidR="00E4427D">
        <w:rPr>
          <w:szCs w:val="20"/>
          <w:lang w:val="es-CR"/>
        </w:rPr>
        <w:t>de</w:t>
      </w:r>
      <w:r w:rsidR="00E4427D" w:rsidRPr="002B4E6D">
        <w:rPr>
          <w:szCs w:val="20"/>
          <w:lang w:val="es-CR"/>
        </w:rPr>
        <w:t xml:space="preserve"> </w:t>
      </w:r>
      <w:r w:rsidR="0092121B" w:rsidRPr="002B4E6D">
        <w:rPr>
          <w:szCs w:val="20"/>
          <w:lang w:val="es-CR"/>
        </w:rPr>
        <w:t>las</w:t>
      </w:r>
      <w:r w:rsidR="007D5D8E" w:rsidRPr="002B4E6D">
        <w:rPr>
          <w:szCs w:val="20"/>
          <w:lang w:val="es-CR"/>
        </w:rPr>
        <w:t xml:space="preserve"> </w:t>
      </w:r>
      <w:r w:rsidR="0092121B" w:rsidRPr="002B4E6D">
        <w:rPr>
          <w:szCs w:val="20"/>
          <w:lang w:val="es-CR"/>
        </w:rPr>
        <w:t>acciones</w:t>
      </w:r>
      <w:r w:rsidR="007D5D8E" w:rsidRPr="002B4E6D">
        <w:rPr>
          <w:szCs w:val="20"/>
          <w:lang w:val="es-CR"/>
        </w:rPr>
        <w:t xml:space="preserve"> concretas </w:t>
      </w:r>
      <w:r w:rsidR="002F6DD8">
        <w:rPr>
          <w:szCs w:val="20"/>
          <w:lang w:val="es-CR"/>
        </w:rPr>
        <w:t>emprendidas</w:t>
      </w:r>
      <w:r w:rsidR="007D5D8E" w:rsidRPr="002B4E6D">
        <w:rPr>
          <w:szCs w:val="20"/>
          <w:lang w:val="es-CR"/>
        </w:rPr>
        <w:t xml:space="preserve"> para prevenir </w:t>
      </w:r>
      <w:r w:rsidR="0092121B" w:rsidRPr="002B4E6D">
        <w:rPr>
          <w:szCs w:val="20"/>
          <w:lang w:val="es-CR"/>
        </w:rPr>
        <w:t>más</w:t>
      </w:r>
      <w:r w:rsidR="007D5D8E" w:rsidRPr="002B4E6D">
        <w:rPr>
          <w:szCs w:val="20"/>
          <w:lang w:val="es-CR"/>
        </w:rPr>
        <w:t xml:space="preserve"> </w:t>
      </w:r>
      <w:r w:rsidR="002F6DD8">
        <w:rPr>
          <w:szCs w:val="20"/>
          <w:lang w:val="es-CR"/>
        </w:rPr>
        <w:t>decesos</w:t>
      </w:r>
      <w:r w:rsidR="007D5D8E" w:rsidRPr="002B4E6D">
        <w:rPr>
          <w:szCs w:val="20"/>
          <w:lang w:val="es-CR"/>
        </w:rPr>
        <w:t xml:space="preserve"> de </w:t>
      </w:r>
      <w:r w:rsidR="00AA1A37" w:rsidRPr="002B4E6D">
        <w:rPr>
          <w:szCs w:val="20"/>
          <w:lang w:val="es-CR"/>
        </w:rPr>
        <w:t>personas</w:t>
      </w:r>
      <w:r w:rsidR="007D5D8E" w:rsidRPr="002B4E6D">
        <w:rPr>
          <w:szCs w:val="20"/>
          <w:lang w:val="es-CR"/>
        </w:rPr>
        <w:t xml:space="preserve"> </w:t>
      </w:r>
      <w:r w:rsidR="0092121B" w:rsidRPr="002B4E6D">
        <w:rPr>
          <w:szCs w:val="20"/>
          <w:lang w:val="es-CR"/>
        </w:rPr>
        <w:t>beneficiarias</w:t>
      </w:r>
      <w:r w:rsidR="007D5D8E" w:rsidRPr="002B4E6D">
        <w:rPr>
          <w:szCs w:val="20"/>
          <w:lang w:val="es-CR"/>
        </w:rPr>
        <w:t>”.</w:t>
      </w:r>
      <w:r w:rsidR="007D5D8E" w:rsidRPr="002B4E6D">
        <w:rPr>
          <w:rStyle w:val="FootnoteReference"/>
          <w:lang w:val="es-CR"/>
        </w:rPr>
        <w:footnoteReference w:id="12"/>
      </w:r>
    </w:p>
    <w:p w14:paraId="24D72E2F" w14:textId="77777777" w:rsidR="00E60BB7" w:rsidRPr="002B4E6D" w:rsidRDefault="00E60BB7" w:rsidP="00A562C5">
      <w:pPr>
        <w:rPr>
          <w:lang w:val="es-CR"/>
        </w:rPr>
      </w:pPr>
    </w:p>
    <w:p w14:paraId="0D214257" w14:textId="713FC450" w:rsidR="00F8773C" w:rsidRPr="002B4E6D" w:rsidRDefault="0092121B" w:rsidP="00A562C5">
      <w:pPr>
        <w:pStyle w:val="ListParagraph"/>
        <w:numPr>
          <w:ilvl w:val="0"/>
          <w:numId w:val="20"/>
        </w:numPr>
        <w:snapToGrid w:val="0"/>
        <w:ind w:left="0" w:firstLine="0"/>
        <w:contextualSpacing w:val="0"/>
        <w:rPr>
          <w:szCs w:val="20"/>
          <w:lang w:val="es-CR"/>
        </w:rPr>
      </w:pPr>
      <w:r w:rsidRPr="002B4E6D">
        <w:rPr>
          <w:lang w:val="es-CR"/>
        </w:rPr>
        <w:t>El</w:t>
      </w:r>
      <w:r w:rsidR="00E60BB7" w:rsidRPr="002B4E6D">
        <w:rPr>
          <w:lang w:val="es-CR"/>
        </w:rPr>
        <w:t xml:space="preserve"> </w:t>
      </w:r>
      <w:r w:rsidR="00E60BB7" w:rsidRPr="002B4E6D">
        <w:rPr>
          <w:b/>
          <w:i/>
          <w:lang w:val="es-CR"/>
        </w:rPr>
        <w:t>Estado</w:t>
      </w:r>
      <w:r w:rsidR="00E60BB7" w:rsidRPr="002B4E6D">
        <w:rPr>
          <w:lang w:val="es-CR"/>
        </w:rPr>
        <w:t xml:space="preserve"> </w:t>
      </w:r>
      <w:r w:rsidRPr="002B4E6D">
        <w:rPr>
          <w:lang w:val="es-CR"/>
        </w:rPr>
        <w:t>informó</w:t>
      </w:r>
      <w:r w:rsidR="00385E83" w:rsidRPr="002B4E6D">
        <w:rPr>
          <w:lang w:val="es-CR"/>
        </w:rPr>
        <w:t xml:space="preserve"> </w:t>
      </w:r>
      <w:r w:rsidR="000B3346" w:rsidRPr="002B4E6D">
        <w:rPr>
          <w:lang w:val="es-CR"/>
        </w:rPr>
        <w:t xml:space="preserve">que </w:t>
      </w:r>
      <w:r w:rsidRPr="002B4E6D">
        <w:rPr>
          <w:lang w:val="es-CR"/>
        </w:rPr>
        <w:t>fue</w:t>
      </w:r>
      <w:r w:rsidR="000B3346" w:rsidRPr="002B4E6D">
        <w:rPr>
          <w:lang w:val="es-CR"/>
        </w:rPr>
        <w:t xml:space="preserve"> instaurad</w:t>
      </w:r>
      <w:r w:rsidR="009E5E47">
        <w:rPr>
          <w:lang w:val="es-CR"/>
        </w:rPr>
        <w:t>o</w:t>
      </w:r>
      <w:r w:rsidR="000B3346" w:rsidRPr="002B4E6D">
        <w:rPr>
          <w:lang w:val="es-CR"/>
        </w:rPr>
        <w:t xml:space="preserve"> </w:t>
      </w:r>
      <w:r w:rsidR="00E85218">
        <w:rPr>
          <w:lang w:val="es-CR"/>
        </w:rPr>
        <w:t xml:space="preserve">un </w:t>
      </w:r>
      <w:r w:rsidR="009E5E47">
        <w:rPr>
          <w:lang w:val="es-CR"/>
        </w:rPr>
        <w:t>procedimiento</w:t>
      </w:r>
      <w:r w:rsidR="000B3346" w:rsidRPr="002B4E6D">
        <w:rPr>
          <w:lang w:val="es-CR"/>
        </w:rPr>
        <w:t xml:space="preserve"> para </w:t>
      </w:r>
      <w:r w:rsidRPr="002B4E6D">
        <w:rPr>
          <w:lang w:val="es-CR"/>
        </w:rPr>
        <w:t>investigar</w:t>
      </w:r>
      <w:r w:rsidR="000B3346" w:rsidRPr="002B4E6D">
        <w:rPr>
          <w:lang w:val="es-CR"/>
        </w:rPr>
        <w:t xml:space="preserve"> </w:t>
      </w:r>
      <w:r w:rsidR="009E5E47">
        <w:rPr>
          <w:lang w:val="es-CR"/>
        </w:rPr>
        <w:t xml:space="preserve">las </w:t>
      </w:r>
      <w:r w:rsidR="00945D4E" w:rsidRPr="002B4E6D">
        <w:rPr>
          <w:lang w:val="es-CR"/>
        </w:rPr>
        <w:t>muerte</w:t>
      </w:r>
      <w:r w:rsidR="000B3346" w:rsidRPr="002B4E6D">
        <w:rPr>
          <w:lang w:val="es-CR"/>
        </w:rPr>
        <w:t xml:space="preserve">s </w:t>
      </w:r>
      <w:r w:rsidRPr="002B4E6D">
        <w:rPr>
          <w:lang w:val="es-CR"/>
        </w:rPr>
        <w:t>ocurridas</w:t>
      </w:r>
      <w:r w:rsidR="000B3346" w:rsidRPr="002B4E6D">
        <w:rPr>
          <w:lang w:val="es-CR"/>
        </w:rPr>
        <w:t xml:space="preserve"> </w:t>
      </w:r>
      <w:r w:rsidRPr="002B4E6D">
        <w:rPr>
          <w:lang w:val="es-CR"/>
        </w:rPr>
        <w:t>en el</w:t>
      </w:r>
      <w:r w:rsidR="000B3346" w:rsidRPr="002B4E6D">
        <w:rPr>
          <w:lang w:val="es-CR"/>
        </w:rPr>
        <w:t xml:space="preserve"> IPPSC</w:t>
      </w:r>
      <w:r w:rsidR="002B4FE8" w:rsidRPr="002B4E6D">
        <w:rPr>
          <w:lang w:val="es-CR"/>
        </w:rPr>
        <w:t xml:space="preserve">, </w:t>
      </w:r>
      <w:r w:rsidRPr="002B4E6D">
        <w:rPr>
          <w:lang w:val="es-CR"/>
        </w:rPr>
        <w:t>con</w:t>
      </w:r>
      <w:r w:rsidR="002B4FE8" w:rsidRPr="002B4E6D">
        <w:rPr>
          <w:lang w:val="es-CR"/>
        </w:rPr>
        <w:t xml:space="preserve"> </w:t>
      </w:r>
      <w:r w:rsidRPr="002B4E6D">
        <w:rPr>
          <w:lang w:val="es-CR"/>
        </w:rPr>
        <w:t>el fin</w:t>
      </w:r>
      <w:r w:rsidR="002B4FE8" w:rsidRPr="002B4E6D">
        <w:rPr>
          <w:lang w:val="es-CR"/>
        </w:rPr>
        <w:t xml:space="preserve"> de </w:t>
      </w:r>
      <w:r w:rsidRPr="002B4E6D">
        <w:rPr>
          <w:lang w:val="es-CR"/>
        </w:rPr>
        <w:t>determinar</w:t>
      </w:r>
      <w:r w:rsidR="002B4FE8" w:rsidRPr="002B4E6D">
        <w:rPr>
          <w:lang w:val="es-CR"/>
        </w:rPr>
        <w:t xml:space="preserve"> </w:t>
      </w:r>
      <w:r w:rsidR="00E85218">
        <w:rPr>
          <w:lang w:val="es-CR"/>
        </w:rPr>
        <w:t xml:space="preserve">una </w:t>
      </w:r>
      <w:r w:rsidR="002B4FE8" w:rsidRPr="002B4E6D">
        <w:rPr>
          <w:lang w:val="es-CR"/>
        </w:rPr>
        <w:t xml:space="preserve">eventual </w:t>
      </w:r>
      <w:r w:rsidRPr="002B4E6D">
        <w:rPr>
          <w:lang w:val="es-CR"/>
        </w:rPr>
        <w:t>responsabilidad</w:t>
      </w:r>
      <w:r w:rsidR="002B4FE8" w:rsidRPr="002B4E6D">
        <w:rPr>
          <w:lang w:val="es-CR"/>
        </w:rPr>
        <w:t xml:space="preserve"> </w:t>
      </w:r>
      <w:r w:rsidRPr="002B4E6D">
        <w:rPr>
          <w:lang w:val="es-CR"/>
        </w:rPr>
        <w:t>del</w:t>
      </w:r>
      <w:r w:rsidR="002B4FE8" w:rsidRPr="002B4E6D">
        <w:rPr>
          <w:lang w:val="es-CR"/>
        </w:rPr>
        <w:t xml:space="preserve"> </w:t>
      </w:r>
      <w:r w:rsidR="00E4427D">
        <w:rPr>
          <w:lang w:val="es-CR"/>
        </w:rPr>
        <w:t>funcionario</w:t>
      </w:r>
      <w:r w:rsidR="000B3346" w:rsidRPr="002B4E6D">
        <w:rPr>
          <w:szCs w:val="20"/>
          <w:lang w:val="es-CR"/>
        </w:rPr>
        <w:t>.</w:t>
      </w:r>
      <w:r w:rsidR="000B3346" w:rsidRPr="002B4E6D">
        <w:rPr>
          <w:lang w:val="es-CR"/>
        </w:rPr>
        <w:t xml:space="preserve"> </w:t>
      </w:r>
    </w:p>
    <w:p w14:paraId="2C9693AE" w14:textId="77777777" w:rsidR="002B4FE8" w:rsidRPr="002B4E6D" w:rsidRDefault="002B4FE8" w:rsidP="00A562C5">
      <w:pPr>
        <w:pStyle w:val="ListParagraph"/>
        <w:ind w:left="0"/>
        <w:rPr>
          <w:szCs w:val="20"/>
          <w:lang w:val="es-CR"/>
        </w:rPr>
      </w:pPr>
    </w:p>
    <w:p w14:paraId="1D179407" w14:textId="0369DA90" w:rsidR="002B4FE8" w:rsidRPr="002B4E6D" w:rsidRDefault="0092121B" w:rsidP="00A562C5">
      <w:pPr>
        <w:pStyle w:val="ListParagraph"/>
        <w:numPr>
          <w:ilvl w:val="0"/>
          <w:numId w:val="20"/>
        </w:numPr>
        <w:snapToGrid w:val="0"/>
        <w:ind w:left="0" w:firstLine="0"/>
        <w:contextualSpacing w:val="0"/>
        <w:rPr>
          <w:szCs w:val="20"/>
          <w:lang w:val="es-CR"/>
        </w:rPr>
      </w:pPr>
      <w:r w:rsidRPr="002B4E6D">
        <w:rPr>
          <w:szCs w:val="20"/>
          <w:lang w:val="es-CR"/>
        </w:rPr>
        <w:t>También informó</w:t>
      </w:r>
      <w:r w:rsidR="002B4FE8" w:rsidRPr="002B4E6D">
        <w:rPr>
          <w:szCs w:val="20"/>
          <w:lang w:val="es-CR"/>
        </w:rPr>
        <w:t xml:space="preserve"> que </w:t>
      </w:r>
      <w:r w:rsidRPr="002B4E6D">
        <w:rPr>
          <w:szCs w:val="20"/>
          <w:lang w:val="es-CR"/>
        </w:rPr>
        <w:t>l</w:t>
      </w:r>
      <w:r w:rsidR="002B4FE8" w:rsidRPr="002B4E6D">
        <w:rPr>
          <w:szCs w:val="20"/>
          <w:lang w:val="es-CR"/>
        </w:rPr>
        <w:t xml:space="preserve">a </w:t>
      </w:r>
      <w:r w:rsidRPr="002B4E6D">
        <w:rPr>
          <w:szCs w:val="20"/>
          <w:lang w:val="es-CR"/>
        </w:rPr>
        <w:t>Asesoría</w:t>
      </w:r>
      <w:r w:rsidR="002B4FE8" w:rsidRPr="002B4E6D">
        <w:rPr>
          <w:szCs w:val="20"/>
          <w:lang w:val="es-CR"/>
        </w:rPr>
        <w:t xml:space="preserve"> de </w:t>
      </w:r>
      <w:r w:rsidR="00AA1A37" w:rsidRPr="002B4E6D">
        <w:rPr>
          <w:szCs w:val="20"/>
          <w:lang w:val="es-CR"/>
        </w:rPr>
        <w:t>Derechos</w:t>
      </w:r>
      <w:r w:rsidR="002B4FE8" w:rsidRPr="002B4E6D">
        <w:rPr>
          <w:szCs w:val="20"/>
          <w:lang w:val="es-CR"/>
        </w:rPr>
        <w:t xml:space="preserve"> Humanos </w:t>
      </w:r>
      <w:r w:rsidRPr="002B4E6D">
        <w:rPr>
          <w:szCs w:val="20"/>
          <w:lang w:val="es-CR"/>
        </w:rPr>
        <w:t>y</w:t>
      </w:r>
      <w:r w:rsidR="002B4FE8" w:rsidRPr="002B4E6D">
        <w:rPr>
          <w:szCs w:val="20"/>
          <w:lang w:val="es-CR"/>
        </w:rPr>
        <w:t xml:space="preserve"> de </w:t>
      </w:r>
      <w:r w:rsidRPr="002B4E6D">
        <w:rPr>
          <w:szCs w:val="20"/>
          <w:lang w:val="es-CR"/>
        </w:rPr>
        <w:t>Minorías</w:t>
      </w:r>
      <w:r w:rsidR="002B4FE8" w:rsidRPr="002B4E6D">
        <w:rPr>
          <w:szCs w:val="20"/>
          <w:lang w:val="es-CR"/>
        </w:rPr>
        <w:t xml:space="preserve"> </w:t>
      </w:r>
      <w:r w:rsidRPr="002B4E6D">
        <w:rPr>
          <w:szCs w:val="20"/>
          <w:lang w:val="es-CR"/>
        </w:rPr>
        <w:t>del</w:t>
      </w:r>
      <w:r w:rsidR="002B4FE8" w:rsidRPr="002B4E6D">
        <w:rPr>
          <w:szCs w:val="20"/>
          <w:lang w:val="es-CR"/>
        </w:rPr>
        <w:t xml:space="preserve"> </w:t>
      </w:r>
      <w:r w:rsidRPr="002B4E6D">
        <w:rPr>
          <w:szCs w:val="20"/>
          <w:lang w:val="es-CR"/>
        </w:rPr>
        <w:t>Ministerio</w:t>
      </w:r>
      <w:r w:rsidR="002B4FE8" w:rsidRPr="002B4E6D">
        <w:rPr>
          <w:szCs w:val="20"/>
          <w:lang w:val="es-CR"/>
        </w:rPr>
        <w:t xml:space="preserve"> Público </w:t>
      </w:r>
      <w:r w:rsidRPr="002B4E6D">
        <w:rPr>
          <w:szCs w:val="20"/>
          <w:lang w:val="es-CR"/>
        </w:rPr>
        <w:t>y</w:t>
      </w:r>
      <w:r w:rsidR="002B4FE8" w:rsidRPr="002B4E6D">
        <w:rPr>
          <w:szCs w:val="20"/>
          <w:lang w:val="es-CR"/>
        </w:rPr>
        <w:t xml:space="preserve"> </w:t>
      </w:r>
      <w:r w:rsidRPr="002B4E6D">
        <w:rPr>
          <w:szCs w:val="20"/>
          <w:lang w:val="es-CR"/>
        </w:rPr>
        <w:t>la</w:t>
      </w:r>
      <w:r w:rsidR="002B4FE8" w:rsidRPr="002B4E6D">
        <w:rPr>
          <w:szCs w:val="20"/>
          <w:lang w:val="es-CR"/>
        </w:rPr>
        <w:t xml:space="preserve"> </w:t>
      </w:r>
      <w:r w:rsidR="009E5E47">
        <w:rPr>
          <w:szCs w:val="20"/>
          <w:lang w:val="es-CR"/>
        </w:rPr>
        <w:t>Fiscalía</w:t>
      </w:r>
      <w:r w:rsidR="002B4FE8" w:rsidRPr="002B4E6D">
        <w:rPr>
          <w:szCs w:val="20"/>
          <w:lang w:val="es-CR"/>
        </w:rPr>
        <w:t xml:space="preserve"> de Tutela </w:t>
      </w:r>
      <w:r w:rsidRPr="002B4E6D">
        <w:rPr>
          <w:szCs w:val="20"/>
          <w:lang w:val="es-CR"/>
        </w:rPr>
        <w:t>Col</w:t>
      </w:r>
      <w:r w:rsidR="009E5E47">
        <w:rPr>
          <w:szCs w:val="20"/>
          <w:lang w:val="es-CR"/>
        </w:rPr>
        <w:t>ec</w:t>
      </w:r>
      <w:r w:rsidRPr="002B4E6D">
        <w:rPr>
          <w:szCs w:val="20"/>
          <w:lang w:val="es-CR"/>
        </w:rPr>
        <w:t>tiva</w:t>
      </w:r>
      <w:r w:rsidR="002B4FE8" w:rsidRPr="002B4E6D">
        <w:rPr>
          <w:szCs w:val="20"/>
          <w:lang w:val="es-CR"/>
        </w:rPr>
        <w:t xml:space="preserve"> </w:t>
      </w:r>
      <w:r w:rsidRPr="002B4E6D">
        <w:rPr>
          <w:szCs w:val="20"/>
          <w:lang w:val="es-CR"/>
        </w:rPr>
        <w:t>del</w:t>
      </w:r>
      <w:r w:rsidR="002B4FE8" w:rsidRPr="002B4E6D">
        <w:rPr>
          <w:szCs w:val="20"/>
          <w:lang w:val="es-CR"/>
        </w:rPr>
        <w:t xml:space="preserve"> Sistema </w:t>
      </w:r>
      <w:r w:rsidR="00031269" w:rsidRPr="002B4E6D">
        <w:rPr>
          <w:szCs w:val="20"/>
          <w:lang w:val="es-CR"/>
        </w:rPr>
        <w:t>Carcelario</w:t>
      </w:r>
      <w:r w:rsidR="002B4FE8" w:rsidRPr="002B4E6D">
        <w:rPr>
          <w:szCs w:val="20"/>
          <w:lang w:val="es-CR"/>
        </w:rPr>
        <w:t xml:space="preserve"> </w:t>
      </w:r>
      <w:r w:rsidRPr="002B4E6D">
        <w:rPr>
          <w:szCs w:val="20"/>
          <w:lang w:val="es-CR"/>
        </w:rPr>
        <w:t>están</w:t>
      </w:r>
      <w:r w:rsidR="002B4FE8" w:rsidRPr="002B4E6D">
        <w:rPr>
          <w:szCs w:val="20"/>
          <w:lang w:val="es-CR"/>
        </w:rPr>
        <w:t xml:space="preserve"> elaborando </w:t>
      </w:r>
      <w:r w:rsidR="009E5E47">
        <w:rPr>
          <w:szCs w:val="20"/>
          <w:lang w:val="es-CR"/>
        </w:rPr>
        <w:t xml:space="preserve">una </w:t>
      </w:r>
      <w:r w:rsidRPr="002B4E6D">
        <w:rPr>
          <w:szCs w:val="20"/>
          <w:lang w:val="es-CR"/>
        </w:rPr>
        <w:t>planilla</w:t>
      </w:r>
      <w:r w:rsidR="002B4FE8" w:rsidRPr="002B4E6D">
        <w:rPr>
          <w:szCs w:val="20"/>
          <w:lang w:val="es-CR"/>
        </w:rPr>
        <w:t xml:space="preserve"> que </w:t>
      </w:r>
      <w:r w:rsidRPr="002B4E6D">
        <w:rPr>
          <w:szCs w:val="20"/>
          <w:lang w:val="es-CR"/>
        </w:rPr>
        <w:t>busca</w:t>
      </w:r>
      <w:r w:rsidR="002B4FE8" w:rsidRPr="002B4E6D">
        <w:rPr>
          <w:szCs w:val="20"/>
          <w:lang w:val="es-CR"/>
        </w:rPr>
        <w:t xml:space="preserve"> compilar </w:t>
      </w:r>
      <w:r w:rsidRPr="002B4E6D">
        <w:rPr>
          <w:szCs w:val="20"/>
          <w:lang w:val="es-CR"/>
        </w:rPr>
        <w:t>los dato</w:t>
      </w:r>
      <w:r w:rsidR="002B4FE8" w:rsidRPr="002B4E6D">
        <w:rPr>
          <w:szCs w:val="20"/>
          <w:lang w:val="es-CR"/>
        </w:rPr>
        <w:t xml:space="preserve">s referentes </w:t>
      </w:r>
      <w:r w:rsidRPr="002B4E6D">
        <w:rPr>
          <w:szCs w:val="20"/>
          <w:lang w:val="es-CR"/>
        </w:rPr>
        <w:t xml:space="preserve">a </w:t>
      </w:r>
      <w:r w:rsidR="009E5E47">
        <w:rPr>
          <w:szCs w:val="20"/>
          <w:lang w:val="es-CR"/>
        </w:rPr>
        <w:t>los decesos</w:t>
      </w:r>
      <w:r w:rsidR="002B4FE8" w:rsidRPr="002B4E6D">
        <w:rPr>
          <w:szCs w:val="20"/>
          <w:lang w:val="es-CR"/>
        </w:rPr>
        <w:t xml:space="preserve"> </w:t>
      </w:r>
      <w:r w:rsidRPr="002B4E6D">
        <w:rPr>
          <w:szCs w:val="20"/>
          <w:lang w:val="es-CR"/>
        </w:rPr>
        <w:t>ocurrid</w:t>
      </w:r>
      <w:r w:rsidR="009E5E47">
        <w:rPr>
          <w:szCs w:val="20"/>
          <w:lang w:val="es-CR"/>
        </w:rPr>
        <w:t>os</w:t>
      </w:r>
      <w:r w:rsidR="002B4FE8" w:rsidRPr="002B4E6D">
        <w:rPr>
          <w:szCs w:val="20"/>
          <w:lang w:val="es-CR"/>
        </w:rPr>
        <w:t xml:space="preserve"> dentro </w:t>
      </w:r>
      <w:r w:rsidRPr="002B4E6D">
        <w:rPr>
          <w:szCs w:val="20"/>
          <w:lang w:val="es-CR"/>
        </w:rPr>
        <w:t>del</w:t>
      </w:r>
      <w:r w:rsidR="002B4FE8" w:rsidRPr="002B4E6D">
        <w:rPr>
          <w:szCs w:val="20"/>
          <w:lang w:val="es-CR"/>
        </w:rPr>
        <w:t xml:space="preserve"> sistema </w:t>
      </w:r>
      <w:r w:rsidR="00031269" w:rsidRPr="002B4E6D">
        <w:rPr>
          <w:szCs w:val="20"/>
          <w:lang w:val="es-CR"/>
        </w:rPr>
        <w:t>carcelario</w:t>
      </w:r>
      <w:r w:rsidR="002B4FE8" w:rsidRPr="002B4E6D">
        <w:rPr>
          <w:szCs w:val="20"/>
          <w:lang w:val="es-CR"/>
        </w:rPr>
        <w:t>.</w:t>
      </w:r>
      <w:r w:rsidR="000619E7" w:rsidRPr="002B4E6D">
        <w:rPr>
          <w:szCs w:val="20"/>
          <w:lang w:val="es-CR"/>
        </w:rPr>
        <w:t xml:space="preserve"> </w:t>
      </w:r>
      <w:r w:rsidRPr="002B4E6D">
        <w:rPr>
          <w:szCs w:val="20"/>
          <w:lang w:val="es-CR"/>
        </w:rPr>
        <w:t>Esa</w:t>
      </w:r>
      <w:r w:rsidR="002B4FE8" w:rsidRPr="002B4E6D">
        <w:rPr>
          <w:szCs w:val="20"/>
          <w:lang w:val="es-CR"/>
        </w:rPr>
        <w:t xml:space="preserve"> </w:t>
      </w:r>
      <w:r w:rsidRPr="002B4E6D">
        <w:rPr>
          <w:szCs w:val="20"/>
          <w:lang w:val="es-CR"/>
        </w:rPr>
        <w:t>planilla</w:t>
      </w:r>
      <w:r w:rsidR="002B4FE8" w:rsidRPr="002B4E6D">
        <w:rPr>
          <w:szCs w:val="20"/>
          <w:lang w:val="es-CR"/>
        </w:rPr>
        <w:t xml:space="preserve"> será </w:t>
      </w:r>
      <w:r w:rsidR="009E5E47">
        <w:rPr>
          <w:szCs w:val="20"/>
          <w:lang w:val="es-CR"/>
        </w:rPr>
        <w:t>discutida</w:t>
      </w:r>
      <w:r w:rsidR="002B4FE8" w:rsidRPr="002B4E6D">
        <w:rPr>
          <w:szCs w:val="20"/>
          <w:lang w:val="es-CR"/>
        </w:rPr>
        <w:t xml:space="preserve"> junto </w:t>
      </w:r>
      <w:r w:rsidRPr="002B4E6D">
        <w:rPr>
          <w:szCs w:val="20"/>
          <w:lang w:val="es-CR"/>
        </w:rPr>
        <w:t>a la</w:t>
      </w:r>
      <w:r w:rsidR="002B4FE8" w:rsidRPr="002B4E6D">
        <w:rPr>
          <w:szCs w:val="20"/>
          <w:lang w:val="es-CR"/>
        </w:rPr>
        <w:t xml:space="preserve"> </w:t>
      </w:r>
      <w:r w:rsidR="00E4427D">
        <w:rPr>
          <w:szCs w:val="20"/>
          <w:lang w:val="es-CR"/>
        </w:rPr>
        <w:t>Fundación Oswaldo Cruz (</w:t>
      </w:r>
      <w:proofErr w:type="spellStart"/>
      <w:r w:rsidR="002B4FE8" w:rsidRPr="002B4E6D">
        <w:rPr>
          <w:szCs w:val="20"/>
          <w:lang w:val="es-CR"/>
        </w:rPr>
        <w:t>Fiocruz</w:t>
      </w:r>
      <w:proofErr w:type="spellEnd"/>
      <w:r w:rsidR="00E4427D">
        <w:rPr>
          <w:szCs w:val="20"/>
          <w:lang w:val="es-CR"/>
        </w:rPr>
        <w:t>)</w:t>
      </w:r>
      <w:r w:rsidR="002B4FE8" w:rsidRPr="002B4E6D">
        <w:rPr>
          <w:szCs w:val="20"/>
          <w:lang w:val="es-CR"/>
        </w:rPr>
        <w:t xml:space="preserve">, </w:t>
      </w:r>
      <w:r w:rsidRPr="002B4E6D">
        <w:rPr>
          <w:szCs w:val="20"/>
          <w:lang w:val="es-CR"/>
        </w:rPr>
        <w:t>l</w:t>
      </w:r>
      <w:r w:rsidR="002B4FE8" w:rsidRPr="002B4E6D">
        <w:rPr>
          <w:szCs w:val="20"/>
          <w:lang w:val="es-CR"/>
        </w:rPr>
        <w:t xml:space="preserve">o que servirá para </w:t>
      </w:r>
      <w:r w:rsidRPr="002B4E6D">
        <w:rPr>
          <w:szCs w:val="20"/>
          <w:lang w:val="es-CR"/>
        </w:rPr>
        <w:t>l</w:t>
      </w:r>
      <w:r w:rsidR="002B4FE8" w:rsidRPr="002B4E6D">
        <w:rPr>
          <w:szCs w:val="20"/>
          <w:lang w:val="es-CR"/>
        </w:rPr>
        <w:t xml:space="preserve">a </w:t>
      </w:r>
      <w:r w:rsidR="00492526">
        <w:rPr>
          <w:szCs w:val="20"/>
          <w:lang w:val="es-CR"/>
        </w:rPr>
        <w:t>realización</w:t>
      </w:r>
      <w:r w:rsidR="002B4FE8" w:rsidRPr="002B4E6D">
        <w:rPr>
          <w:szCs w:val="20"/>
          <w:lang w:val="es-CR"/>
        </w:rPr>
        <w:t xml:space="preserve"> de </w:t>
      </w:r>
      <w:r w:rsidRPr="002B4E6D">
        <w:rPr>
          <w:szCs w:val="20"/>
          <w:lang w:val="es-CR"/>
        </w:rPr>
        <w:t>un</w:t>
      </w:r>
      <w:r w:rsidR="002B4FE8" w:rsidRPr="002B4E6D">
        <w:rPr>
          <w:szCs w:val="20"/>
          <w:lang w:val="es-CR"/>
        </w:rPr>
        <w:t xml:space="preserve"> </w:t>
      </w:r>
      <w:r w:rsidRPr="002B4E6D">
        <w:rPr>
          <w:szCs w:val="20"/>
          <w:lang w:val="es-CR"/>
        </w:rPr>
        <w:t>estudio</w:t>
      </w:r>
      <w:r w:rsidR="002B4FE8" w:rsidRPr="002B4E6D">
        <w:rPr>
          <w:szCs w:val="20"/>
          <w:lang w:val="es-CR"/>
        </w:rPr>
        <w:t xml:space="preserve"> </w:t>
      </w:r>
      <w:r w:rsidR="002B4FE8" w:rsidRPr="002B4E6D">
        <w:rPr>
          <w:i/>
          <w:szCs w:val="20"/>
          <w:lang w:val="es-CR"/>
        </w:rPr>
        <w:t xml:space="preserve">causa mortis </w:t>
      </w:r>
      <w:r w:rsidR="002B4FE8" w:rsidRPr="002B4E6D">
        <w:rPr>
          <w:szCs w:val="20"/>
          <w:lang w:val="es-CR"/>
        </w:rPr>
        <w:t xml:space="preserve">dentro </w:t>
      </w:r>
      <w:r w:rsidRPr="002B4E6D">
        <w:rPr>
          <w:szCs w:val="20"/>
          <w:lang w:val="es-CR"/>
        </w:rPr>
        <w:t>del</w:t>
      </w:r>
      <w:r w:rsidR="002B4FE8" w:rsidRPr="002B4E6D">
        <w:rPr>
          <w:szCs w:val="20"/>
          <w:lang w:val="es-CR"/>
        </w:rPr>
        <w:t xml:space="preserve"> sistema </w:t>
      </w:r>
      <w:r w:rsidR="00031269" w:rsidRPr="002B4E6D">
        <w:rPr>
          <w:szCs w:val="20"/>
          <w:lang w:val="es-CR"/>
        </w:rPr>
        <w:t>carcelario</w:t>
      </w:r>
      <w:r w:rsidR="002B4FE8" w:rsidRPr="002B4E6D">
        <w:rPr>
          <w:szCs w:val="20"/>
          <w:lang w:val="es-CR"/>
        </w:rPr>
        <w:t xml:space="preserve"> </w:t>
      </w:r>
      <w:r w:rsidRPr="002B4E6D">
        <w:rPr>
          <w:szCs w:val="20"/>
          <w:lang w:val="es-CR"/>
        </w:rPr>
        <w:t>y</w:t>
      </w:r>
      <w:r w:rsidR="002B4FE8" w:rsidRPr="002B4E6D">
        <w:rPr>
          <w:szCs w:val="20"/>
          <w:lang w:val="es-CR"/>
        </w:rPr>
        <w:t xml:space="preserve"> para </w:t>
      </w:r>
      <w:r w:rsidR="00636B7C">
        <w:rPr>
          <w:szCs w:val="20"/>
          <w:lang w:val="es-CR"/>
        </w:rPr>
        <w:t>el perfeccionamiento</w:t>
      </w:r>
      <w:r w:rsidR="002B4FE8" w:rsidRPr="002B4E6D">
        <w:rPr>
          <w:szCs w:val="20"/>
          <w:lang w:val="es-CR"/>
        </w:rPr>
        <w:t xml:space="preserve"> </w:t>
      </w:r>
      <w:r w:rsidRPr="002B4E6D">
        <w:rPr>
          <w:szCs w:val="20"/>
          <w:lang w:val="es-CR"/>
        </w:rPr>
        <w:t>del</w:t>
      </w:r>
      <w:r w:rsidR="002B4FE8" w:rsidRPr="002B4E6D">
        <w:rPr>
          <w:szCs w:val="20"/>
          <w:lang w:val="es-CR"/>
        </w:rPr>
        <w:t xml:space="preserve"> </w:t>
      </w:r>
      <w:r w:rsidRPr="002B4E6D">
        <w:rPr>
          <w:szCs w:val="20"/>
          <w:lang w:val="es-CR"/>
        </w:rPr>
        <w:t>monitoreo</w:t>
      </w:r>
      <w:r w:rsidR="002B4FE8" w:rsidRPr="002B4E6D">
        <w:rPr>
          <w:szCs w:val="20"/>
          <w:lang w:val="es-CR"/>
        </w:rPr>
        <w:t>.</w:t>
      </w:r>
    </w:p>
    <w:p w14:paraId="612308F9" w14:textId="77777777" w:rsidR="002B4FE8" w:rsidRPr="002B4E6D" w:rsidRDefault="002B4FE8" w:rsidP="00A562C5">
      <w:pPr>
        <w:pStyle w:val="ListParagraph"/>
        <w:ind w:left="0"/>
        <w:rPr>
          <w:szCs w:val="20"/>
          <w:lang w:val="es-CR"/>
        </w:rPr>
      </w:pPr>
    </w:p>
    <w:p w14:paraId="7B2BFA02" w14:textId="2EFCE981" w:rsidR="002B4FE8" w:rsidRPr="002B4E6D" w:rsidRDefault="0092121B" w:rsidP="00A562C5">
      <w:pPr>
        <w:pStyle w:val="ListParagraph"/>
        <w:numPr>
          <w:ilvl w:val="0"/>
          <w:numId w:val="20"/>
        </w:numPr>
        <w:snapToGrid w:val="0"/>
        <w:ind w:left="0" w:firstLine="0"/>
        <w:contextualSpacing w:val="0"/>
        <w:rPr>
          <w:szCs w:val="20"/>
          <w:lang w:val="es-CR"/>
        </w:rPr>
      </w:pPr>
      <w:r w:rsidRPr="002B4E6D">
        <w:rPr>
          <w:szCs w:val="20"/>
          <w:lang w:val="es-CR"/>
        </w:rPr>
        <w:t>El</w:t>
      </w:r>
      <w:r w:rsidR="002B4FE8" w:rsidRPr="002B4E6D">
        <w:rPr>
          <w:szCs w:val="20"/>
          <w:lang w:val="es-CR"/>
        </w:rPr>
        <w:t xml:space="preserve"> Diagnóstico Técnico </w:t>
      </w:r>
      <w:r w:rsidRPr="002B4E6D">
        <w:rPr>
          <w:szCs w:val="20"/>
          <w:lang w:val="es-CR"/>
        </w:rPr>
        <w:t>informó</w:t>
      </w:r>
      <w:r w:rsidR="002B4FE8" w:rsidRPr="002B4E6D">
        <w:rPr>
          <w:szCs w:val="20"/>
          <w:lang w:val="es-CR"/>
        </w:rPr>
        <w:t xml:space="preserve"> que </w:t>
      </w:r>
      <w:r w:rsidRPr="002B4E6D">
        <w:rPr>
          <w:szCs w:val="20"/>
          <w:lang w:val="es-CR"/>
        </w:rPr>
        <w:t>ocurrieron</w:t>
      </w:r>
      <w:r w:rsidR="002B4FE8" w:rsidRPr="002B4E6D">
        <w:rPr>
          <w:szCs w:val="20"/>
          <w:lang w:val="es-CR"/>
        </w:rPr>
        <w:t xml:space="preserve"> 56 </w:t>
      </w:r>
      <w:r w:rsidR="00945D4E" w:rsidRPr="002B4E6D">
        <w:rPr>
          <w:szCs w:val="20"/>
          <w:lang w:val="es-CR"/>
        </w:rPr>
        <w:t>muerte</w:t>
      </w:r>
      <w:r w:rsidR="002B4FE8" w:rsidRPr="002B4E6D">
        <w:rPr>
          <w:szCs w:val="20"/>
          <w:lang w:val="es-CR"/>
        </w:rPr>
        <w:t xml:space="preserve">s entre 2016 </w:t>
      </w:r>
      <w:r w:rsidRPr="002B4E6D">
        <w:rPr>
          <w:szCs w:val="20"/>
          <w:lang w:val="es-CR"/>
        </w:rPr>
        <w:t>y</w:t>
      </w:r>
      <w:r w:rsidR="002B4FE8" w:rsidRPr="002B4E6D">
        <w:rPr>
          <w:szCs w:val="20"/>
          <w:lang w:val="es-CR"/>
        </w:rPr>
        <w:t xml:space="preserve"> </w:t>
      </w:r>
      <w:r w:rsidRPr="002B4E6D">
        <w:rPr>
          <w:szCs w:val="20"/>
          <w:lang w:val="es-CR"/>
        </w:rPr>
        <w:t>el</w:t>
      </w:r>
      <w:r w:rsidR="002B4FE8" w:rsidRPr="002B4E6D">
        <w:rPr>
          <w:szCs w:val="20"/>
          <w:lang w:val="es-CR"/>
        </w:rPr>
        <w:t xml:space="preserve"> </w:t>
      </w:r>
      <w:r w:rsidRPr="002B4E6D">
        <w:rPr>
          <w:szCs w:val="20"/>
          <w:lang w:val="es-CR"/>
        </w:rPr>
        <w:t>primer</w:t>
      </w:r>
      <w:r w:rsidR="002B4FE8" w:rsidRPr="002B4E6D">
        <w:rPr>
          <w:szCs w:val="20"/>
          <w:lang w:val="es-CR"/>
        </w:rPr>
        <w:t xml:space="preserve"> trimestre de</w:t>
      </w:r>
      <w:r w:rsidR="009A308D">
        <w:rPr>
          <w:szCs w:val="20"/>
          <w:lang w:val="es-CR"/>
        </w:rPr>
        <w:t>l</w:t>
      </w:r>
      <w:r w:rsidR="002B4FE8" w:rsidRPr="002B4E6D">
        <w:rPr>
          <w:szCs w:val="20"/>
          <w:lang w:val="es-CR"/>
        </w:rPr>
        <w:t xml:space="preserve"> 2018. </w:t>
      </w:r>
      <w:r w:rsidRPr="002B4E6D">
        <w:rPr>
          <w:szCs w:val="20"/>
          <w:lang w:val="es-CR"/>
        </w:rPr>
        <w:t>En</w:t>
      </w:r>
      <w:r w:rsidR="002B4FE8" w:rsidRPr="002B4E6D">
        <w:rPr>
          <w:szCs w:val="20"/>
          <w:lang w:val="es-CR"/>
        </w:rPr>
        <w:t xml:space="preserve"> </w:t>
      </w:r>
      <w:r w:rsidRPr="002B4E6D">
        <w:rPr>
          <w:szCs w:val="20"/>
          <w:lang w:val="es-CR"/>
        </w:rPr>
        <w:t>su gran</w:t>
      </w:r>
      <w:r w:rsidR="002B4FE8" w:rsidRPr="002B4E6D">
        <w:rPr>
          <w:szCs w:val="20"/>
          <w:lang w:val="es-CR"/>
        </w:rPr>
        <w:t xml:space="preserve"> </w:t>
      </w:r>
      <w:r w:rsidRPr="002B4E6D">
        <w:rPr>
          <w:szCs w:val="20"/>
          <w:lang w:val="es-CR"/>
        </w:rPr>
        <w:t>mayoría</w:t>
      </w:r>
      <w:r w:rsidR="002B4FE8" w:rsidRPr="002B4E6D">
        <w:rPr>
          <w:szCs w:val="20"/>
          <w:lang w:val="es-CR"/>
        </w:rPr>
        <w:t xml:space="preserve">, </w:t>
      </w:r>
      <w:r w:rsidRPr="002B4E6D">
        <w:rPr>
          <w:szCs w:val="20"/>
          <w:lang w:val="es-CR"/>
        </w:rPr>
        <w:t>esos</w:t>
      </w:r>
      <w:r w:rsidR="002B4FE8" w:rsidRPr="002B4E6D">
        <w:rPr>
          <w:szCs w:val="20"/>
          <w:lang w:val="es-CR"/>
        </w:rPr>
        <w:t xml:space="preserve"> </w:t>
      </w:r>
      <w:r w:rsidR="00636B7C">
        <w:rPr>
          <w:szCs w:val="20"/>
          <w:lang w:val="es-CR"/>
        </w:rPr>
        <w:t>decesos</w:t>
      </w:r>
      <w:r w:rsidR="002B4FE8" w:rsidRPr="002B4E6D">
        <w:rPr>
          <w:szCs w:val="20"/>
          <w:lang w:val="es-CR"/>
        </w:rPr>
        <w:t xml:space="preserve"> </w:t>
      </w:r>
      <w:r w:rsidR="00DD4DBC" w:rsidRPr="002B4E6D">
        <w:rPr>
          <w:szCs w:val="20"/>
          <w:lang w:val="es-CR"/>
        </w:rPr>
        <w:t>fueron</w:t>
      </w:r>
      <w:r w:rsidR="002B4FE8" w:rsidRPr="002B4E6D">
        <w:rPr>
          <w:szCs w:val="20"/>
          <w:lang w:val="es-CR"/>
        </w:rPr>
        <w:t xml:space="preserve"> </w:t>
      </w:r>
      <w:r w:rsidRPr="002B4E6D">
        <w:rPr>
          <w:szCs w:val="20"/>
          <w:lang w:val="es-CR"/>
        </w:rPr>
        <w:t>clasificados</w:t>
      </w:r>
      <w:r w:rsidR="002B4FE8" w:rsidRPr="002B4E6D">
        <w:rPr>
          <w:szCs w:val="20"/>
          <w:lang w:val="es-CR"/>
        </w:rPr>
        <w:t xml:space="preserve"> como </w:t>
      </w:r>
      <w:r w:rsidR="00636B7C">
        <w:rPr>
          <w:szCs w:val="20"/>
          <w:lang w:val="es-CR"/>
        </w:rPr>
        <w:t>resultantes</w:t>
      </w:r>
      <w:r w:rsidR="002B4FE8" w:rsidRPr="002B4E6D">
        <w:rPr>
          <w:szCs w:val="20"/>
          <w:lang w:val="es-CR"/>
        </w:rPr>
        <w:t xml:space="preserve"> de </w:t>
      </w:r>
      <w:r w:rsidRPr="002B4E6D">
        <w:rPr>
          <w:szCs w:val="20"/>
          <w:lang w:val="es-CR"/>
        </w:rPr>
        <w:t>enfermedad</w:t>
      </w:r>
      <w:r w:rsidR="002B4FE8" w:rsidRPr="002B4E6D">
        <w:rPr>
          <w:szCs w:val="20"/>
          <w:lang w:val="es-CR"/>
        </w:rPr>
        <w:t xml:space="preserve"> </w:t>
      </w:r>
      <w:r w:rsidRPr="002B4E6D">
        <w:rPr>
          <w:szCs w:val="20"/>
          <w:lang w:val="es-CR"/>
        </w:rPr>
        <w:t>o</w:t>
      </w:r>
      <w:r w:rsidR="002B4FE8" w:rsidRPr="002B4E6D">
        <w:rPr>
          <w:szCs w:val="20"/>
          <w:lang w:val="es-CR"/>
        </w:rPr>
        <w:t xml:space="preserve"> motivo </w:t>
      </w:r>
      <w:r w:rsidRPr="002B4E6D">
        <w:rPr>
          <w:szCs w:val="20"/>
          <w:lang w:val="es-CR"/>
        </w:rPr>
        <w:t>no</w:t>
      </w:r>
      <w:r w:rsidR="002B4FE8" w:rsidRPr="002B4E6D">
        <w:rPr>
          <w:szCs w:val="20"/>
          <w:lang w:val="es-CR"/>
        </w:rPr>
        <w:t xml:space="preserve"> informado. </w:t>
      </w:r>
      <w:r w:rsidRPr="002B4E6D">
        <w:rPr>
          <w:szCs w:val="20"/>
          <w:lang w:val="es-CR"/>
        </w:rPr>
        <w:t>Los</w:t>
      </w:r>
      <w:r w:rsidR="002B4FE8" w:rsidRPr="002B4E6D">
        <w:rPr>
          <w:szCs w:val="20"/>
          <w:lang w:val="es-CR"/>
        </w:rPr>
        <w:t xml:space="preserve"> </w:t>
      </w:r>
      <w:r w:rsidR="0055733F">
        <w:rPr>
          <w:szCs w:val="20"/>
          <w:lang w:val="es-CR"/>
        </w:rPr>
        <w:t>reporte</w:t>
      </w:r>
      <w:r w:rsidR="002B4FE8" w:rsidRPr="002B4E6D">
        <w:rPr>
          <w:szCs w:val="20"/>
          <w:lang w:val="es-CR"/>
        </w:rPr>
        <w:t xml:space="preserve">s </w:t>
      </w:r>
      <w:r w:rsidRPr="002B4E6D">
        <w:rPr>
          <w:szCs w:val="20"/>
          <w:lang w:val="es-CR"/>
        </w:rPr>
        <w:t>carecen</w:t>
      </w:r>
      <w:r w:rsidR="002B4FE8" w:rsidRPr="002B4E6D">
        <w:rPr>
          <w:szCs w:val="20"/>
          <w:lang w:val="es-CR"/>
        </w:rPr>
        <w:t xml:space="preserve"> de informa</w:t>
      </w:r>
      <w:r w:rsidR="00AA1A37" w:rsidRPr="002B4E6D">
        <w:rPr>
          <w:szCs w:val="20"/>
          <w:lang w:val="es-CR"/>
        </w:rPr>
        <w:t>ción</w:t>
      </w:r>
      <w:r w:rsidR="002B4FE8" w:rsidRPr="002B4E6D">
        <w:rPr>
          <w:szCs w:val="20"/>
          <w:lang w:val="es-CR"/>
        </w:rPr>
        <w:t xml:space="preserve"> </w:t>
      </w:r>
      <w:r w:rsidRPr="002B4E6D">
        <w:rPr>
          <w:szCs w:val="20"/>
          <w:lang w:val="es-CR"/>
        </w:rPr>
        <w:t>más</w:t>
      </w:r>
      <w:r w:rsidR="002B4FE8" w:rsidRPr="002B4E6D">
        <w:rPr>
          <w:szCs w:val="20"/>
          <w:lang w:val="es-CR"/>
        </w:rPr>
        <w:t xml:space="preserve"> precisa sobre </w:t>
      </w:r>
      <w:r w:rsidRPr="002B4E6D">
        <w:rPr>
          <w:szCs w:val="20"/>
          <w:lang w:val="es-CR"/>
        </w:rPr>
        <w:t>la</w:t>
      </w:r>
      <w:r w:rsidR="002B4FE8" w:rsidRPr="002B4E6D">
        <w:rPr>
          <w:szCs w:val="20"/>
          <w:lang w:val="es-CR"/>
        </w:rPr>
        <w:t xml:space="preserve"> natur</w:t>
      </w:r>
      <w:r w:rsidRPr="002B4E6D">
        <w:rPr>
          <w:szCs w:val="20"/>
          <w:lang w:val="es-CR"/>
        </w:rPr>
        <w:t>al</w:t>
      </w:r>
      <w:r w:rsidR="002B4FE8" w:rsidRPr="002B4E6D">
        <w:rPr>
          <w:szCs w:val="20"/>
          <w:lang w:val="es-CR"/>
        </w:rPr>
        <w:t xml:space="preserve">eza </w:t>
      </w:r>
      <w:r w:rsidRPr="002B4E6D">
        <w:rPr>
          <w:szCs w:val="20"/>
          <w:lang w:val="es-CR"/>
        </w:rPr>
        <w:t>de las</w:t>
      </w:r>
      <w:r w:rsidR="002B4FE8" w:rsidRPr="002B4E6D">
        <w:rPr>
          <w:szCs w:val="20"/>
          <w:lang w:val="es-CR"/>
        </w:rPr>
        <w:t xml:space="preserve"> </w:t>
      </w:r>
      <w:r w:rsidR="00051A80" w:rsidRPr="002B4E6D">
        <w:rPr>
          <w:szCs w:val="20"/>
          <w:lang w:val="es-CR"/>
        </w:rPr>
        <w:t>enfermedades</w:t>
      </w:r>
      <w:r w:rsidR="002B4FE8" w:rsidRPr="002B4E6D">
        <w:rPr>
          <w:szCs w:val="20"/>
          <w:lang w:val="es-CR"/>
        </w:rPr>
        <w:t xml:space="preserve"> que </w:t>
      </w:r>
      <w:r w:rsidRPr="002B4E6D">
        <w:rPr>
          <w:szCs w:val="20"/>
          <w:lang w:val="es-CR"/>
        </w:rPr>
        <w:t>están</w:t>
      </w:r>
      <w:r w:rsidR="002B4FE8" w:rsidRPr="002B4E6D">
        <w:rPr>
          <w:szCs w:val="20"/>
          <w:lang w:val="es-CR"/>
        </w:rPr>
        <w:t xml:space="preserve"> </w:t>
      </w:r>
      <w:r w:rsidR="0055733F">
        <w:rPr>
          <w:szCs w:val="20"/>
          <w:lang w:val="es-CR"/>
        </w:rPr>
        <w:t xml:space="preserve">ocasionando </w:t>
      </w:r>
      <w:r w:rsidRPr="002B4E6D">
        <w:rPr>
          <w:szCs w:val="20"/>
          <w:lang w:val="es-CR"/>
        </w:rPr>
        <w:t>un</w:t>
      </w:r>
      <w:r w:rsidR="000619E7" w:rsidRPr="002B4E6D">
        <w:rPr>
          <w:szCs w:val="20"/>
          <w:lang w:val="es-CR"/>
        </w:rPr>
        <w:t xml:space="preserve"> nú</w:t>
      </w:r>
      <w:r w:rsidR="002B4FE8" w:rsidRPr="002B4E6D">
        <w:rPr>
          <w:szCs w:val="20"/>
          <w:lang w:val="es-CR"/>
        </w:rPr>
        <w:t>mero</w:t>
      </w:r>
      <w:r w:rsidR="00636B7C">
        <w:rPr>
          <w:szCs w:val="20"/>
          <w:lang w:val="es-CR"/>
        </w:rPr>
        <w:t xml:space="preserve"> </w:t>
      </w:r>
      <w:r w:rsidR="00636B7C" w:rsidRPr="002B4E6D">
        <w:rPr>
          <w:szCs w:val="20"/>
          <w:lang w:val="es-CR"/>
        </w:rPr>
        <w:t>elevado</w:t>
      </w:r>
      <w:r w:rsidR="002B4FE8" w:rsidRPr="002B4E6D">
        <w:rPr>
          <w:szCs w:val="20"/>
          <w:lang w:val="es-CR"/>
        </w:rPr>
        <w:t xml:space="preserve"> de </w:t>
      </w:r>
      <w:r w:rsidR="00945D4E" w:rsidRPr="002B4E6D">
        <w:rPr>
          <w:szCs w:val="20"/>
          <w:lang w:val="es-CR"/>
        </w:rPr>
        <w:lastRenderedPageBreak/>
        <w:t>muerte</w:t>
      </w:r>
      <w:r w:rsidR="002B4FE8" w:rsidRPr="002B4E6D">
        <w:rPr>
          <w:szCs w:val="20"/>
          <w:lang w:val="es-CR"/>
        </w:rPr>
        <w:t xml:space="preserve">s. </w:t>
      </w:r>
      <w:r w:rsidRPr="002B4E6D">
        <w:rPr>
          <w:szCs w:val="20"/>
          <w:lang w:val="es-CR"/>
        </w:rPr>
        <w:t>El</w:t>
      </w:r>
      <w:r w:rsidR="00242EDC" w:rsidRPr="002B4E6D">
        <w:rPr>
          <w:szCs w:val="20"/>
          <w:lang w:val="es-CR"/>
        </w:rPr>
        <w:t xml:space="preserve"> Diagnóstico </w:t>
      </w:r>
      <w:r w:rsidR="00051A80" w:rsidRPr="002B4E6D">
        <w:rPr>
          <w:szCs w:val="20"/>
          <w:lang w:val="es-CR"/>
        </w:rPr>
        <w:t>reconoce</w:t>
      </w:r>
      <w:r w:rsidR="00242EDC" w:rsidRPr="002B4E6D">
        <w:rPr>
          <w:szCs w:val="20"/>
          <w:lang w:val="es-CR"/>
        </w:rPr>
        <w:t xml:space="preserve"> que </w:t>
      </w:r>
      <w:r w:rsidRPr="002B4E6D">
        <w:rPr>
          <w:szCs w:val="20"/>
          <w:lang w:val="es-CR"/>
        </w:rPr>
        <w:t>el</w:t>
      </w:r>
      <w:r w:rsidR="00242EDC" w:rsidRPr="002B4E6D">
        <w:rPr>
          <w:szCs w:val="20"/>
          <w:lang w:val="es-CR"/>
        </w:rPr>
        <w:t xml:space="preserve"> </w:t>
      </w:r>
      <w:r w:rsidRPr="002B4E6D">
        <w:rPr>
          <w:szCs w:val="20"/>
          <w:lang w:val="es-CR"/>
        </w:rPr>
        <w:t>acceso</w:t>
      </w:r>
      <w:r w:rsidR="002B4FE8" w:rsidRPr="002B4E6D">
        <w:rPr>
          <w:szCs w:val="20"/>
          <w:lang w:val="es-CR"/>
        </w:rPr>
        <w:t xml:space="preserve"> a </w:t>
      </w:r>
      <w:r w:rsidRPr="002B4E6D">
        <w:rPr>
          <w:szCs w:val="20"/>
          <w:lang w:val="es-CR"/>
        </w:rPr>
        <w:t>una</w:t>
      </w:r>
      <w:r w:rsidR="002B4FE8" w:rsidRPr="002B4E6D">
        <w:rPr>
          <w:szCs w:val="20"/>
          <w:lang w:val="es-CR"/>
        </w:rPr>
        <w:t xml:space="preserve"> informa</w:t>
      </w:r>
      <w:r w:rsidR="00AA1A37" w:rsidRPr="002B4E6D">
        <w:rPr>
          <w:szCs w:val="20"/>
          <w:lang w:val="es-CR"/>
        </w:rPr>
        <w:t>ción</w:t>
      </w:r>
      <w:r w:rsidR="002B4FE8" w:rsidRPr="002B4E6D">
        <w:rPr>
          <w:szCs w:val="20"/>
          <w:lang w:val="es-CR"/>
        </w:rPr>
        <w:t xml:space="preserve"> </w:t>
      </w:r>
      <w:r w:rsidRPr="002B4E6D">
        <w:rPr>
          <w:szCs w:val="20"/>
          <w:lang w:val="es-CR"/>
        </w:rPr>
        <w:t>más</w:t>
      </w:r>
      <w:r w:rsidR="002B4FE8" w:rsidRPr="002B4E6D">
        <w:rPr>
          <w:szCs w:val="20"/>
          <w:lang w:val="es-CR"/>
        </w:rPr>
        <w:t xml:space="preserve"> precisa </w:t>
      </w:r>
      <w:r w:rsidRPr="002B4E6D">
        <w:rPr>
          <w:szCs w:val="20"/>
          <w:lang w:val="es-CR"/>
        </w:rPr>
        <w:t>posibilitaría</w:t>
      </w:r>
      <w:r w:rsidR="002B4FE8" w:rsidRPr="002B4E6D">
        <w:rPr>
          <w:szCs w:val="20"/>
          <w:lang w:val="es-CR"/>
        </w:rPr>
        <w:t xml:space="preserve"> </w:t>
      </w:r>
      <w:r w:rsidRPr="002B4E6D">
        <w:rPr>
          <w:szCs w:val="20"/>
          <w:lang w:val="es-CR"/>
        </w:rPr>
        <w:t>l</w:t>
      </w:r>
      <w:r w:rsidR="002B4FE8" w:rsidRPr="002B4E6D">
        <w:rPr>
          <w:szCs w:val="20"/>
          <w:lang w:val="es-CR"/>
        </w:rPr>
        <w:t xml:space="preserve">a </w:t>
      </w:r>
      <w:r w:rsidRPr="002B4E6D">
        <w:rPr>
          <w:szCs w:val="20"/>
          <w:lang w:val="es-CR"/>
        </w:rPr>
        <w:t>adecuación</w:t>
      </w:r>
      <w:r w:rsidR="002B4FE8" w:rsidRPr="002B4E6D">
        <w:rPr>
          <w:szCs w:val="20"/>
          <w:lang w:val="es-CR"/>
        </w:rPr>
        <w:t xml:space="preserve"> </w:t>
      </w:r>
      <w:r w:rsidRPr="002B4E6D">
        <w:rPr>
          <w:szCs w:val="20"/>
          <w:lang w:val="es-CR"/>
        </w:rPr>
        <w:t>de las</w:t>
      </w:r>
      <w:r w:rsidR="002B4FE8" w:rsidRPr="002B4E6D">
        <w:rPr>
          <w:szCs w:val="20"/>
          <w:lang w:val="es-CR"/>
        </w:rPr>
        <w:t xml:space="preserve"> medidas de </w:t>
      </w:r>
      <w:r w:rsidRPr="002B4E6D">
        <w:rPr>
          <w:szCs w:val="20"/>
          <w:lang w:val="es-CR"/>
        </w:rPr>
        <w:t>profilaxis</w:t>
      </w:r>
      <w:r w:rsidR="002B4FE8" w:rsidRPr="002B4E6D">
        <w:rPr>
          <w:szCs w:val="20"/>
          <w:lang w:val="es-CR"/>
        </w:rPr>
        <w:t xml:space="preserve"> </w:t>
      </w:r>
      <w:r w:rsidRPr="002B4E6D">
        <w:rPr>
          <w:szCs w:val="20"/>
          <w:lang w:val="es-CR"/>
        </w:rPr>
        <w:t>y</w:t>
      </w:r>
      <w:r w:rsidR="002B4FE8" w:rsidRPr="002B4E6D">
        <w:rPr>
          <w:szCs w:val="20"/>
          <w:lang w:val="es-CR"/>
        </w:rPr>
        <w:t xml:space="preserve"> </w:t>
      </w:r>
      <w:r w:rsidRPr="002B4E6D">
        <w:rPr>
          <w:szCs w:val="20"/>
          <w:lang w:val="es-CR"/>
        </w:rPr>
        <w:t>tratamiento</w:t>
      </w:r>
      <w:r w:rsidR="002B4FE8" w:rsidRPr="002B4E6D">
        <w:rPr>
          <w:szCs w:val="20"/>
          <w:lang w:val="es-CR"/>
        </w:rPr>
        <w:t>.</w:t>
      </w:r>
    </w:p>
    <w:p w14:paraId="2E0A83F4" w14:textId="77777777" w:rsidR="002B4FE8" w:rsidRPr="002B4E6D" w:rsidRDefault="002B4FE8" w:rsidP="00A562C5">
      <w:pPr>
        <w:pStyle w:val="ListParagraph"/>
        <w:ind w:left="0"/>
        <w:rPr>
          <w:szCs w:val="20"/>
          <w:lang w:val="es-CR"/>
        </w:rPr>
      </w:pPr>
    </w:p>
    <w:p w14:paraId="7CC11430" w14:textId="54329391" w:rsidR="009910C5" w:rsidRPr="002B4E6D" w:rsidRDefault="0092121B" w:rsidP="00A562C5">
      <w:pPr>
        <w:pStyle w:val="ListParagraph"/>
        <w:numPr>
          <w:ilvl w:val="0"/>
          <w:numId w:val="20"/>
        </w:numPr>
        <w:snapToGrid w:val="0"/>
        <w:ind w:left="0" w:firstLine="0"/>
        <w:contextualSpacing w:val="0"/>
        <w:rPr>
          <w:szCs w:val="20"/>
          <w:lang w:val="es-CR"/>
        </w:rPr>
      </w:pPr>
      <w:r w:rsidRPr="002B4E6D">
        <w:rPr>
          <w:szCs w:val="20"/>
          <w:lang w:val="es-CR"/>
        </w:rPr>
        <w:t>El</w:t>
      </w:r>
      <w:r w:rsidR="002B4FE8" w:rsidRPr="002B4E6D">
        <w:rPr>
          <w:szCs w:val="20"/>
          <w:lang w:val="es-CR"/>
        </w:rPr>
        <w:t xml:space="preserve"> Diagnóstico Técnico </w:t>
      </w:r>
      <w:r w:rsidRPr="002B4E6D">
        <w:rPr>
          <w:szCs w:val="20"/>
          <w:lang w:val="es-CR"/>
        </w:rPr>
        <w:t>también</w:t>
      </w:r>
      <w:r w:rsidR="002B4FE8" w:rsidRPr="002B4E6D">
        <w:rPr>
          <w:szCs w:val="20"/>
          <w:lang w:val="es-CR"/>
        </w:rPr>
        <w:t xml:space="preserve"> </w:t>
      </w:r>
      <w:r w:rsidRPr="002B4E6D">
        <w:rPr>
          <w:szCs w:val="20"/>
          <w:lang w:val="es-CR"/>
        </w:rPr>
        <w:t>resaltó</w:t>
      </w:r>
      <w:r w:rsidR="002B4FE8" w:rsidRPr="002B4E6D">
        <w:rPr>
          <w:szCs w:val="20"/>
          <w:lang w:val="es-CR"/>
        </w:rPr>
        <w:t xml:space="preserve"> </w:t>
      </w:r>
      <w:r w:rsidRPr="002B4E6D">
        <w:rPr>
          <w:szCs w:val="20"/>
          <w:lang w:val="es-CR"/>
        </w:rPr>
        <w:t>l</w:t>
      </w:r>
      <w:r w:rsidR="002B4FE8" w:rsidRPr="002B4E6D">
        <w:rPr>
          <w:szCs w:val="20"/>
          <w:lang w:val="es-CR"/>
        </w:rPr>
        <w:t xml:space="preserve">a </w:t>
      </w:r>
      <w:r w:rsidRPr="002B4E6D">
        <w:rPr>
          <w:szCs w:val="20"/>
          <w:lang w:val="es-CR"/>
        </w:rPr>
        <w:t>necesidad</w:t>
      </w:r>
      <w:r w:rsidR="002B4FE8" w:rsidRPr="002B4E6D">
        <w:rPr>
          <w:szCs w:val="20"/>
          <w:lang w:val="es-CR"/>
        </w:rPr>
        <w:t xml:space="preserve"> de </w:t>
      </w:r>
      <w:r w:rsidRPr="002B4E6D">
        <w:rPr>
          <w:szCs w:val="20"/>
          <w:lang w:val="es-CR"/>
        </w:rPr>
        <w:t>otorgar</w:t>
      </w:r>
      <w:r w:rsidR="002B4FE8" w:rsidRPr="002B4E6D">
        <w:rPr>
          <w:szCs w:val="20"/>
          <w:lang w:val="es-CR"/>
        </w:rPr>
        <w:t xml:space="preserve"> </w:t>
      </w:r>
      <w:r w:rsidRPr="002B4E6D">
        <w:rPr>
          <w:szCs w:val="20"/>
          <w:lang w:val="es-CR"/>
        </w:rPr>
        <w:t>mayor</w:t>
      </w:r>
      <w:r w:rsidR="002B4FE8" w:rsidRPr="002B4E6D">
        <w:rPr>
          <w:szCs w:val="20"/>
          <w:lang w:val="es-CR"/>
        </w:rPr>
        <w:t xml:space="preserve"> </w:t>
      </w:r>
      <w:r w:rsidRPr="002B4E6D">
        <w:rPr>
          <w:szCs w:val="20"/>
          <w:lang w:val="es-CR"/>
        </w:rPr>
        <w:t>celeridad</w:t>
      </w:r>
      <w:r w:rsidR="002B4FE8" w:rsidRPr="002B4E6D">
        <w:rPr>
          <w:szCs w:val="20"/>
          <w:lang w:val="es-CR"/>
        </w:rPr>
        <w:t xml:space="preserve"> </w:t>
      </w:r>
      <w:r w:rsidRPr="002B4E6D">
        <w:rPr>
          <w:szCs w:val="20"/>
          <w:lang w:val="es-CR"/>
        </w:rPr>
        <w:t>a las</w:t>
      </w:r>
      <w:r w:rsidR="002B4FE8" w:rsidRPr="002B4E6D">
        <w:rPr>
          <w:szCs w:val="20"/>
          <w:lang w:val="es-CR"/>
        </w:rPr>
        <w:t xml:space="preserve"> investiga</w:t>
      </w:r>
      <w:r w:rsidR="00945D4E" w:rsidRPr="002B4E6D">
        <w:rPr>
          <w:szCs w:val="20"/>
          <w:lang w:val="es-CR"/>
        </w:rPr>
        <w:t>ciones</w:t>
      </w:r>
      <w:r w:rsidR="002B4FE8" w:rsidRPr="002B4E6D">
        <w:rPr>
          <w:szCs w:val="20"/>
          <w:lang w:val="es-CR"/>
        </w:rPr>
        <w:t xml:space="preserve"> </w:t>
      </w:r>
      <w:r w:rsidRPr="002B4E6D">
        <w:rPr>
          <w:szCs w:val="20"/>
          <w:lang w:val="es-CR"/>
        </w:rPr>
        <w:t>y clasificar</w:t>
      </w:r>
      <w:r w:rsidR="002B4FE8" w:rsidRPr="002B4E6D">
        <w:rPr>
          <w:szCs w:val="20"/>
          <w:lang w:val="es-CR"/>
        </w:rPr>
        <w:t xml:space="preserve"> de modo </w:t>
      </w:r>
      <w:r w:rsidRPr="002B4E6D">
        <w:rPr>
          <w:szCs w:val="20"/>
          <w:lang w:val="es-CR"/>
        </w:rPr>
        <w:t>coherente</w:t>
      </w:r>
      <w:r w:rsidR="002B4FE8" w:rsidRPr="002B4E6D">
        <w:rPr>
          <w:szCs w:val="20"/>
          <w:lang w:val="es-CR"/>
        </w:rPr>
        <w:t xml:space="preserve"> </w:t>
      </w:r>
      <w:r w:rsidR="00285CA9">
        <w:rPr>
          <w:szCs w:val="20"/>
          <w:lang w:val="es-CR"/>
        </w:rPr>
        <w:t>la</w:t>
      </w:r>
      <w:r w:rsidR="00924C45">
        <w:rPr>
          <w:szCs w:val="20"/>
          <w:lang w:val="es-CR"/>
        </w:rPr>
        <w:t>s</w:t>
      </w:r>
      <w:r w:rsidR="00285CA9">
        <w:rPr>
          <w:szCs w:val="20"/>
          <w:lang w:val="es-CR"/>
        </w:rPr>
        <w:t xml:space="preserve"> </w:t>
      </w:r>
      <w:r w:rsidR="00945D4E" w:rsidRPr="002B4E6D">
        <w:rPr>
          <w:szCs w:val="20"/>
          <w:lang w:val="es-CR"/>
        </w:rPr>
        <w:t>muerte</w:t>
      </w:r>
      <w:r w:rsidR="002B4FE8" w:rsidRPr="002B4E6D">
        <w:rPr>
          <w:szCs w:val="20"/>
          <w:lang w:val="es-CR"/>
        </w:rPr>
        <w:t xml:space="preserve">s </w:t>
      </w:r>
      <w:r w:rsidRPr="002B4E6D">
        <w:rPr>
          <w:szCs w:val="20"/>
          <w:lang w:val="es-CR"/>
        </w:rPr>
        <w:t>en el</w:t>
      </w:r>
      <w:r w:rsidR="002B4FE8" w:rsidRPr="002B4E6D">
        <w:rPr>
          <w:szCs w:val="20"/>
          <w:lang w:val="es-CR"/>
        </w:rPr>
        <w:t xml:space="preserve"> interior </w:t>
      </w:r>
      <w:r w:rsidRPr="002B4E6D">
        <w:rPr>
          <w:szCs w:val="20"/>
          <w:lang w:val="es-CR"/>
        </w:rPr>
        <w:t>de la</w:t>
      </w:r>
      <w:r w:rsidR="002B4FE8" w:rsidRPr="002B4E6D">
        <w:rPr>
          <w:szCs w:val="20"/>
          <w:lang w:val="es-CR"/>
        </w:rPr>
        <w:t xml:space="preserve"> </w:t>
      </w:r>
      <w:r w:rsidR="00ED6186" w:rsidRPr="002B4E6D">
        <w:rPr>
          <w:szCs w:val="20"/>
          <w:lang w:val="es-CR"/>
        </w:rPr>
        <w:t>unidad</w:t>
      </w:r>
      <w:r w:rsidR="002B4FE8" w:rsidRPr="002B4E6D">
        <w:rPr>
          <w:szCs w:val="20"/>
          <w:lang w:val="es-CR"/>
        </w:rPr>
        <w:t xml:space="preserve">, </w:t>
      </w:r>
      <w:r w:rsidRPr="002B4E6D">
        <w:rPr>
          <w:szCs w:val="20"/>
          <w:lang w:val="es-CR"/>
        </w:rPr>
        <w:t>así</w:t>
      </w:r>
      <w:r w:rsidR="002B4FE8" w:rsidRPr="002B4E6D">
        <w:rPr>
          <w:szCs w:val="20"/>
          <w:lang w:val="es-CR"/>
        </w:rPr>
        <w:t xml:space="preserve"> como </w:t>
      </w:r>
      <w:r w:rsidRPr="002B4E6D">
        <w:rPr>
          <w:szCs w:val="20"/>
          <w:lang w:val="es-CR"/>
        </w:rPr>
        <w:t>proveer</w:t>
      </w:r>
      <w:r w:rsidR="002B4FE8" w:rsidRPr="002B4E6D">
        <w:rPr>
          <w:szCs w:val="20"/>
          <w:lang w:val="es-CR"/>
        </w:rPr>
        <w:t xml:space="preserve"> informa</w:t>
      </w:r>
      <w:r w:rsidR="00AA1A37" w:rsidRPr="002B4E6D">
        <w:rPr>
          <w:szCs w:val="20"/>
          <w:lang w:val="es-CR"/>
        </w:rPr>
        <w:t>ción</w:t>
      </w:r>
      <w:r w:rsidR="002B4FE8" w:rsidRPr="002B4E6D">
        <w:rPr>
          <w:szCs w:val="20"/>
          <w:lang w:val="es-CR"/>
        </w:rPr>
        <w:t xml:space="preserve"> </w:t>
      </w:r>
      <w:r w:rsidR="00924C45">
        <w:rPr>
          <w:szCs w:val="20"/>
          <w:lang w:val="es-CR"/>
        </w:rPr>
        <w:t xml:space="preserve">de las razones de los fallecimientos </w:t>
      </w:r>
      <w:r w:rsidRPr="002B4E6D">
        <w:rPr>
          <w:szCs w:val="20"/>
          <w:lang w:val="es-CR"/>
        </w:rPr>
        <w:t>a los</w:t>
      </w:r>
      <w:r w:rsidR="002B4FE8" w:rsidRPr="002B4E6D">
        <w:rPr>
          <w:szCs w:val="20"/>
          <w:lang w:val="es-CR"/>
        </w:rPr>
        <w:t xml:space="preserve"> familiares</w:t>
      </w:r>
      <w:r w:rsidR="00924C45">
        <w:rPr>
          <w:szCs w:val="20"/>
          <w:lang w:val="es-CR"/>
        </w:rPr>
        <w:t>.</w:t>
      </w:r>
    </w:p>
    <w:p w14:paraId="7B6F6D4D" w14:textId="77777777" w:rsidR="009910C5" w:rsidRPr="002B4E6D" w:rsidRDefault="009910C5" w:rsidP="00A562C5">
      <w:pPr>
        <w:pStyle w:val="ListParagraph"/>
        <w:snapToGrid w:val="0"/>
        <w:ind w:left="0"/>
        <w:contextualSpacing w:val="0"/>
        <w:rPr>
          <w:szCs w:val="20"/>
          <w:lang w:val="es-CR"/>
        </w:rPr>
      </w:pPr>
    </w:p>
    <w:p w14:paraId="10120A16" w14:textId="5B6E4A8F" w:rsidR="006655EF" w:rsidRPr="002B4E6D" w:rsidRDefault="0092121B" w:rsidP="00A562C5">
      <w:pPr>
        <w:pStyle w:val="ListParagraph"/>
        <w:numPr>
          <w:ilvl w:val="0"/>
          <w:numId w:val="20"/>
        </w:numPr>
        <w:snapToGrid w:val="0"/>
        <w:ind w:left="0" w:firstLine="0"/>
        <w:contextualSpacing w:val="0"/>
        <w:rPr>
          <w:b/>
          <w:i/>
          <w:szCs w:val="20"/>
          <w:lang w:val="es-CR"/>
        </w:rPr>
      </w:pPr>
      <w:r w:rsidRPr="002B4E6D">
        <w:rPr>
          <w:szCs w:val="20"/>
          <w:lang w:val="es-CR"/>
        </w:rPr>
        <w:t>Los</w:t>
      </w:r>
      <w:r w:rsidR="00F8773C" w:rsidRPr="002B4E6D">
        <w:rPr>
          <w:szCs w:val="20"/>
          <w:lang w:val="es-CR"/>
        </w:rPr>
        <w:t xml:space="preserve"> </w:t>
      </w:r>
      <w:r w:rsidR="0091085F" w:rsidRPr="002B4E6D">
        <w:rPr>
          <w:b/>
          <w:i/>
          <w:szCs w:val="20"/>
          <w:lang w:val="es-CR"/>
        </w:rPr>
        <w:t>r</w:t>
      </w:r>
      <w:r w:rsidR="00F8773C" w:rsidRPr="002B4E6D">
        <w:rPr>
          <w:b/>
          <w:i/>
          <w:szCs w:val="20"/>
          <w:lang w:val="es-CR"/>
        </w:rPr>
        <w:t>epresentantes</w:t>
      </w:r>
      <w:r w:rsidR="009E1EC3" w:rsidRPr="002B4E6D">
        <w:rPr>
          <w:szCs w:val="20"/>
          <w:lang w:val="es-CR"/>
        </w:rPr>
        <w:t xml:space="preserve"> </w:t>
      </w:r>
      <w:r w:rsidR="00924C45">
        <w:rPr>
          <w:szCs w:val="20"/>
          <w:lang w:val="es-CR"/>
        </w:rPr>
        <w:t xml:space="preserve">hicieron </w:t>
      </w:r>
      <w:r w:rsidRPr="002B4E6D">
        <w:rPr>
          <w:szCs w:val="20"/>
          <w:lang w:val="es-CR"/>
        </w:rPr>
        <w:t>notar</w:t>
      </w:r>
      <w:r w:rsidR="007850F5" w:rsidRPr="002B4E6D">
        <w:rPr>
          <w:szCs w:val="20"/>
          <w:lang w:val="es-CR"/>
        </w:rPr>
        <w:t xml:space="preserve"> que, desde </w:t>
      </w:r>
      <w:r w:rsidRPr="002B4E6D">
        <w:rPr>
          <w:szCs w:val="20"/>
          <w:lang w:val="es-CR"/>
        </w:rPr>
        <w:t>la</w:t>
      </w:r>
      <w:r w:rsidR="007850F5" w:rsidRPr="002B4E6D">
        <w:rPr>
          <w:szCs w:val="20"/>
          <w:lang w:val="es-CR"/>
        </w:rPr>
        <w:t xml:space="preserve"> visita </w:t>
      </w:r>
      <w:r w:rsidR="007850F5" w:rsidRPr="002B4E6D">
        <w:rPr>
          <w:i/>
          <w:szCs w:val="20"/>
          <w:lang w:val="es-CR"/>
        </w:rPr>
        <w:t xml:space="preserve">in situ </w:t>
      </w:r>
      <w:r w:rsidR="007850F5" w:rsidRPr="002B4E6D">
        <w:rPr>
          <w:szCs w:val="20"/>
          <w:lang w:val="es-CR"/>
        </w:rPr>
        <w:t>d</w:t>
      </w:r>
      <w:r w:rsidRPr="002B4E6D">
        <w:rPr>
          <w:szCs w:val="20"/>
          <w:lang w:val="es-CR"/>
        </w:rPr>
        <w:t>e l</w:t>
      </w:r>
      <w:r w:rsidR="007850F5" w:rsidRPr="002B4E6D">
        <w:rPr>
          <w:szCs w:val="20"/>
          <w:lang w:val="es-CR"/>
        </w:rPr>
        <w:t xml:space="preserve">a Corte </w:t>
      </w:r>
      <w:r w:rsidRPr="002B4E6D">
        <w:rPr>
          <w:szCs w:val="20"/>
          <w:lang w:val="es-CR"/>
        </w:rPr>
        <w:t>al</w:t>
      </w:r>
      <w:r w:rsidR="007850F5" w:rsidRPr="002B4E6D">
        <w:rPr>
          <w:szCs w:val="20"/>
          <w:lang w:val="es-CR"/>
        </w:rPr>
        <w:t xml:space="preserve"> IPPSC, realizada </w:t>
      </w:r>
      <w:r w:rsidRPr="002B4E6D">
        <w:rPr>
          <w:szCs w:val="20"/>
          <w:lang w:val="es-CR"/>
        </w:rPr>
        <w:t>el</w:t>
      </w:r>
      <w:r w:rsidR="007850F5" w:rsidRPr="002B4E6D">
        <w:rPr>
          <w:szCs w:val="20"/>
          <w:lang w:val="es-CR"/>
        </w:rPr>
        <w:t xml:space="preserve"> 19 de </w:t>
      </w:r>
      <w:r w:rsidRPr="002B4E6D">
        <w:rPr>
          <w:szCs w:val="20"/>
          <w:lang w:val="es-CR"/>
        </w:rPr>
        <w:t>junio</w:t>
      </w:r>
      <w:r w:rsidR="007850F5" w:rsidRPr="002B4E6D">
        <w:rPr>
          <w:szCs w:val="20"/>
          <w:lang w:val="es-CR"/>
        </w:rPr>
        <w:t xml:space="preserve"> de 2017,</w:t>
      </w:r>
      <w:r w:rsidR="006262F8" w:rsidRPr="002B4E6D">
        <w:rPr>
          <w:szCs w:val="20"/>
          <w:lang w:val="es-CR"/>
        </w:rPr>
        <w:t xml:space="preserve"> </w:t>
      </w:r>
      <w:r w:rsidR="007850F5" w:rsidRPr="002B4E6D">
        <w:rPr>
          <w:szCs w:val="20"/>
          <w:lang w:val="es-CR"/>
        </w:rPr>
        <w:t xml:space="preserve">14 </w:t>
      </w:r>
      <w:r w:rsidR="00AC044F" w:rsidRPr="002B4E6D">
        <w:rPr>
          <w:szCs w:val="20"/>
          <w:lang w:val="es-CR"/>
        </w:rPr>
        <w:t>nuevo</w:t>
      </w:r>
      <w:r w:rsidR="007850F5" w:rsidRPr="002B4E6D">
        <w:rPr>
          <w:szCs w:val="20"/>
          <w:lang w:val="es-CR"/>
        </w:rPr>
        <w:t xml:space="preserve">s </w:t>
      </w:r>
      <w:r w:rsidR="00F815E1">
        <w:rPr>
          <w:szCs w:val="20"/>
          <w:lang w:val="es-CR"/>
        </w:rPr>
        <w:t>decesos</w:t>
      </w:r>
      <w:r w:rsidR="007850F5" w:rsidRPr="002B4E6D">
        <w:rPr>
          <w:szCs w:val="20"/>
          <w:lang w:val="es-CR"/>
        </w:rPr>
        <w:t xml:space="preserve"> </w:t>
      </w:r>
      <w:r w:rsidRPr="002B4E6D">
        <w:rPr>
          <w:szCs w:val="20"/>
          <w:lang w:val="es-CR"/>
        </w:rPr>
        <w:t>ocurrieron</w:t>
      </w:r>
      <w:r w:rsidR="007850F5" w:rsidRPr="002B4E6D">
        <w:rPr>
          <w:szCs w:val="20"/>
          <w:lang w:val="es-CR"/>
        </w:rPr>
        <w:t xml:space="preserve"> dentro </w:t>
      </w:r>
      <w:r w:rsidRPr="002B4E6D">
        <w:rPr>
          <w:szCs w:val="20"/>
          <w:lang w:val="es-CR"/>
        </w:rPr>
        <w:t>de la</w:t>
      </w:r>
      <w:r w:rsidR="007850F5" w:rsidRPr="002B4E6D">
        <w:rPr>
          <w:szCs w:val="20"/>
          <w:lang w:val="es-CR"/>
        </w:rPr>
        <w:t xml:space="preserve"> </w:t>
      </w:r>
      <w:r w:rsidR="00ED6186" w:rsidRPr="002B4E6D">
        <w:rPr>
          <w:szCs w:val="20"/>
          <w:lang w:val="es-CR"/>
        </w:rPr>
        <w:t>unidad</w:t>
      </w:r>
      <w:r w:rsidR="007850F5" w:rsidRPr="002B4E6D">
        <w:rPr>
          <w:szCs w:val="20"/>
          <w:lang w:val="es-CR"/>
        </w:rPr>
        <w:t xml:space="preserve"> </w:t>
      </w:r>
      <w:r w:rsidR="00031269" w:rsidRPr="002B4E6D">
        <w:rPr>
          <w:szCs w:val="20"/>
          <w:lang w:val="es-CR"/>
        </w:rPr>
        <w:t>carcelar</w:t>
      </w:r>
      <w:r w:rsidRPr="002B4E6D">
        <w:rPr>
          <w:szCs w:val="20"/>
          <w:lang w:val="es-CR"/>
        </w:rPr>
        <w:t>ia</w:t>
      </w:r>
      <w:r w:rsidR="007850F5" w:rsidRPr="002B4E6D">
        <w:rPr>
          <w:szCs w:val="20"/>
          <w:lang w:val="es-CR"/>
        </w:rPr>
        <w:t>. 10 d</w:t>
      </w:r>
      <w:r w:rsidRPr="002B4E6D">
        <w:rPr>
          <w:szCs w:val="20"/>
          <w:lang w:val="es-CR"/>
        </w:rPr>
        <w:t xml:space="preserve">e </w:t>
      </w:r>
      <w:r w:rsidR="007850F5" w:rsidRPr="002B4E6D">
        <w:rPr>
          <w:szCs w:val="20"/>
          <w:lang w:val="es-CR"/>
        </w:rPr>
        <w:t xml:space="preserve">estas </w:t>
      </w:r>
      <w:r w:rsidR="00945D4E" w:rsidRPr="002B4E6D">
        <w:rPr>
          <w:szCs w:val="20"/>
          <w:lang w:val="es-CR"/>
        </w:rPr>
        <w:t>muerte</w:t>
      </w:r>
      <w:r w:rsidR="007850F5" w:rsidRPr="002B4E6D">
        <w:rPr>
          <w:szCs w:val="20"/>
          <w:lang w:val="es-CR"/>
        </w:rPr>
        <w:t xml:space="preserve">s </w:t>
      </w:r>
      <w:r w:rsidRPr="002B4E6D">
        <w:rPr>
          <w:szCs w:val="20"/>
          <w:lang w:val="es-CR"/>
        </w:rPr>
        <w:t>ocurrier</w:t>
      </w:r>
      <w:r w:rsidR="00D24676">
        <w:rPr>
          <w:szCs w:val="20"/>
          <w:lang w:val="es-CR"/>
        </w:rPr>
        <w:t>o</w:t>
      </w:r>
      <w:r w:rsidRPr="002B4E6D">
        <w:rPr>
          <w:szCs w:val="20"/>
          <w:lang w:val="es-CR"/>
        </w:rPr>
        <w:t>n</w:t>
      </w:r>
      <w:r w:rsidR="007850F5" w:rsidRPr="002B4E6D">
        <w:rPr>
          <w:szCs w:val="20"/>
          <w:lang w:val="es-CR"/>
        </w:rPr>
        <w:t xml:space="preserve"> </w:t>
      </w:r>
      <w:r w:rsidR="008C7BC2">
        <w:rPr>
          <w:szCs w:val="20"/>
          <w:lang w:val="es-CR"/>
        </w:rPr>
        <w:t xml:space="preserve">entre enero y junio de </w:t>
      </w:r>
      <w:r w:rsidR="007850F5" w:rsidRPr="002B4E6D">
        <w:rPr>
          <w:szCs w:val="20"/>
          <w:lang w:val="es-CR"/>
        </w:rPr>
        <w:t>2018.</w:t>
      </w:r>
    </w:p>
    <w:p w14:paraId="428E2504" w14:textId="77777777" w:rsidR="007850F5" w:rsidRPr="002B4E6D" w:rsidRDefault="007850F5" w:rsidP="00A562C5">
      <w:pPr>
        <w:pStyle w:val="ListParagraph"/>
        <w:ind w:left="0"/>
        <w:rPr>
          <w:b/>
          <w:i/>
          <w:szCs w:val="20"/>
          <w:lang w:val="es-CR"/>
        </w:rPr>
      </w:pPr>
    </w:p>
    <w:p w14:paraId="29CD42F3" w14:textId="7BD59FDC" w:rsidR="007850F5" w:rsidRPr="002B4E6D" w:rsidRDefault="0092656B" w:rsidP="00A562C5">
      <w:pPr>
        <w:pStyle w:val="ListParagraph"/>
        <w:numPr>
          <w:ilvl w:val="0"/>
          <w:numId w:val="20"/>
        </w:numPr>
        <w:snapToGrid w:val="0"/>
        <w:ind w:left="0" w:firstLine="0"/>
        <w:contextualSpacing w:val="0"/>
        <w:rPr>
          <w:b/>
          <w:i/>
          <w:szCs w:val="20"/>
          <w:lang w:val="es-CR"/>
        </w:rPr>
      </w:pPr>
      <w:r w:rsidRPr="002B4E6D">
        <w:rPr>
          <w:szCs w:val="20"/>
          <w:lang w:val="es-CR"/>
        </w:rPr>
        <w:t>Los</w:t>
      </w:r>
      <w:r w:rsidR="007850F5" w:rsidRPr="002B4E6D">
        <w:rPr>
          <w:szCs w:val="20"/>
          <w:lang w:val="es-CR"/>
        </w:rPr>
        <w:t xml:space="preserve"> representantes </w:t>
      </w:r>
      <w:r w:rsidR="00286306">
        <w:rPr>
          <w:szCs w:val="20"/>
          <w:lang w:val="es-CR"/>
        </w:rPr>
        <w:t>señalaron</w:t>
      </w:r>
      <w:r w:rsidR="00286306" w:rsidRPr="002B4E6D">
        <w:rPr>
          <w:szCs w:val="20"/>
          <w:lang w:val="es-CR"/>
        </w:rPr>
        <w:t xml:space="preserve"> </w:t>
      </w:r>
      <w:r w:rsidR="007850F5" w:rsidRPr="002B4E6D">
        <w:rPr>
          <w:szCs w:val="20"/>
          <w:lang w:val="es-CR"/>
        </w:rPr>
        <w:t xml:space="preserve">que </w:t>
      </w:r>
      <w:r w:rsidR="00D24676">
        <w:rPr>
          <w:szCs w:val="20"/>
          <w:lang w:val="es-CR"/>
        </w:rPr>
        <w:t>hubo</w:t>
      </w:r>
      <w:r w:rsidR="00D24676" w:rsidRPr="002B4E6D">
        <w:rPr>
          <w:szCs w:val="20"/>
          <w:lang w:val="es-CR"/>
        </w:rPr>
        <w:t xml:space="preserve"> </w:t>
      </w:r>
      <w:r w:rsidRPr="002B4E6D">
        <w:rPr>
          <w:szCs w:val="20"/>
          <w:lang w:val="es-CR"/>
        </w:rPr>
        <w:t>una</w:t>
      </w:r>
      <w:r w:rsidR="007850F5" w:rsidRPr="002B4E6D">
        <w:rPr>
          <w:szCs w:val="20"/>
          <w:lang w:val="es-CR"/>
        </w:rPr>
        <w:t xml:space="preserve"> </w:t>
      </w:r>
      <w:r w:rsidRPr="002B4E6D">
        <w:rPr>
          <w:szCs w:val="20"/>
          <w:lang w:val="es-CR"/>
        </w:rPr>
        <w:t>reducción</w:t>
      </w:r>
      <w:r w:rsidR="007850F5" w:rsidRPr="002B4E6D">
        <w:rPr>
          <w:szCs w:val="20"/>
          <w:lang w:val="es-CR"/>
        </w:rPr>
        <w:t xml:space="preserve"> de </w:t>
      </w:r>
      <w:r w:rsidR="00945D4E" w:rsidRPr="002B4E6D">
        <w:rPr>
          <w:szCs w:val="20"/>
          <w:lang w:val="es-CR"/>
        </w:rPr>
        <w:t>muerte</w:t>
      </w:r>
      <w:r w:rsidR="007850F5" w:rsidRPr="002B4E6D">
        <w:rPr>
          <w:szCs w:val="20"/>
          <w:lang w:val="es-CR"/>
        </w:rPr>
        <w:t xml:space="preserve">s </w:t>
      </w:r>
      <w:r w:rsidRPr="002B4E6D">
        <w:rPr>
          <w:szCs w:val="20"/>
          <w:lang w:val="es-CR"/>
        </w:rPr>
        <w:t>en</w:t>
      </w:r>
      <w:r w:rsidR="007850F5" w:rsidRPr="002B4E6D">
        <w:rPr>
          <w:szCs w:val="20"/>
          <w:lang w:val="es-CR"/>
        </w:rPr>
        <w:t xml:space="preserve"> 2017 (20 </w:t>
      </w:r>
      <w:r w:rsidR="00F815E1">
        <w:rPr>
          <w:szCs w:val="20"/>
          <w:lang w:val="es-CR"/>
        </w:rPr>
        <w:t>decesos</w:t>
      </w:r>
      <w:r w:rsidR="007850F5" w:rsidRPr="002B4E6D">
        <w:rPr>
          <w:szCs w:val="20"/>
          <w:lang w:val="es-CR"/>
        </w:rPr>
        <w:t>)</w:t>
      </w:r>
      <w:r w:rsidR="00242EDC" w:rsidRPr="002B4E6D">
        <w:rPr>
          <w:szCs w:val="20"/>
          <w:lang w:val="es-CR"/>
        </w:rPr>
        <w:t>,</w:t>
      </w:r>
      <w:r w:rsidR="007850F5" w:rsidRPr="002B4E6D">
        <w:rPr>
          <w:szCs w:val="20"/>
          <w:lang w:val="es-CR"/>
        </w:rPr>
        <w:t xml:space="preserve"> </w:t>
      </w:r>
      <w:r w:rsidRPr="002B4E6D">
        <w:rPr>
          <w:szCs w:val="20"/>
          <w:lang w:val="es-CR"/>
        </w:rPr>
        <w:t>en</w:t>
      </w:r>
      <w:r w:rsidR="007850F5" w:rsidRPr="002B4E6D">
        <w:rPr>
          <w:szCs w:val="20"/>
          <w:lang w:val="es-CR"/>
        </w:rPr>
        <w:t xml:space="preserve"> rela</w:t>
      </w:r>
      <w:r w:rsidR="00AA1A37" w:rsidRPr="002B4E6D">
        <w:rPr>
          <w:szCs w:val="20"/>
          <w:lang w:val="es-CR"/>
        </w:rPr>
        <w:t>ción</w:t>
      </w:r>
      <w:r w:rsidR="007850F5" w:rsidRPr="002B4E6D">
        <w:rPr>
          <w:szCs w:val="20"/>
          <w:lang w:val="es-CR"/>
        </w:rPr>
        <w:t xml:space="preserve"> a</w:t>
      </w:r>
      <w:r w:rsidRPr="002B4E6D">
        <w:rPr>
          <w:szCs w:val="20"/>
          <w:lang w:val="es-CR"/>
        </w:rPr>
        <w:t>l</w:t>
      </w:r>
      <w:r w:rsidR="007850F5" w:rsidRPr="002B4E6D">
        <w:rPr>
          <w:szCs w:val="20"/>
          <w:lang w:val="es-CR"/>
        </w:rPr>
        <w:t xml:space="preserve"> 2016 (32). </w:t>
      </w:r>
      <w:r w:rsidRPr="002B4E6D">
        <w:rPr>
          <w:szCs w:val="20"/>
          <w:lang w:val="es-CR"/>
        </w:rPr>
        <w:t>Sin embargo</w:t>
      </w:r>
      <w:r w:rsidR="007850F5" w:rsidRPr="002B4E6D">
        <w:rPr>
          <w:szCs w:val="20"/>
          <w:lang w:val="es-CR"/>
        </w:rPr>
        <w:t xml:space="preserve">, </w:t>
      </w:r>
      <w:r w:rsidRPr="002B4E6D">
        <w:rPr>
          <w:szCs w:val="20"/>
          <w:lang w:val="es-CR"/>
        </w:rPr>
        <w:t>afirmaron</w:t>
      </w:r>
      <w:r w:rsidR="007850F5" w:rsidRPr="002B4E6D">
        <w:rPr>
          <w:szCs w:val="20"/>
          <w:lang w:val="es-CR"/>
        </w:rPr>
        <w:t xml:space="preserve"> que </w:t>
      </w:r>
      <w:r w:rsidRPr="002B4E6D">
        <w:rPr>
          <w:szCs w:val="20"/>
          <w:lang w:val="es-CR"/>
        </w:rPr>
        <w:t>el</w:t>
      </w:r>
      <w:r w:rsidR="007850F5" w:rsidRPr="002B4E6D">
        <w:rPr>
          <w:szCs w:val="20"/>
          <w:lang w:val="es-CR"/>
        </w:rPr>
        <w:t xml:space="preserve"> IPPSC </w:t>
      </w:r>
      <w:r w:rsidRPr="002B4E6D">
        <w:rPr>
          <w:szCs w:val="20"/>
          <w:lang w:val="es-CR"/>
        </w:rPr>
        <w:t>continúa</w:t>
      </w:r>
      <w:r w:rsidR="007850F5" w:rsidRPr="002B4E6D">
        <w:rPr>
          <w:szCs w:val="20"/>
          <w:lang w:val="es-CR"/>
        </w:rPr>
        <w:t xml:space="preserve"> </w:t>
      </w:r>
      <w:r w:rsidR="0055733F">
        <w:rPr>
          <w:szCs w:val="20"/>
          <w:lang w:val="es-CR"/>
        </w:rPr>
        <w:t xml:space="preserve">liderando </w:t>
      </w:r>
      <w:r w:rsidRPr="002B4E6D">
        <w:rPr>
          <w:szCs w:val="20"/>
          <w:lang w:val="es-CR"/>
        </w:rPr>
        <w:t>el</w:t>
      </w:r>
      <w:r w:rsidR="007850F5" w:rsidRPr="002B4E6D">
        <w:rPr>
          <w:szCs w:val="20"/>
          <w:lang w:val="es-CR"/>
        </w:rPr>
        <w:t xml:space="preserve"> ranking </w:t>
      </w:r>
      <w:r w:rsidR="00F815E1">
        <w:rPr>
          <w:szCs w:val="20"/>
          <w:lang w:val="es-CR"/>
        </w:rPr>
        <w:t>de</w:t>
      </w:r>
      <w:r w:rsidRPr="002B4E6D">
        <w:rPr>
          <w:szCs w:val="20"/>
          <w:lang w:val="es-CR"/>
        </w:rPr>
        <w:t xml:space="preserve"> las</w:t>
      </w:r>
      <w:r w:rsidR="007850F5" w:rsidRPr="002B4E6D">
        <w:rPr>
          <w:szCs w:val="20"/>
          <w:lang w:val="es-CR"/>
        </w:rPr>
        <w:t xml:space="preserve"> </w:t>
      </w:r>
      <w:r w:rsidRPr="002B4E6D">
        <w:rPr>
          <w:szCs w:val="20"/>
          <w:lang w:val="es-CR"/>
        </w:rPr>
        <w:t>unidades</w:t>
      </w:r>
      <w:r w:rsidR="007850F5" w:rsidRPr="002B4E6D">
        <w:rPr>
          <w:szCs w:val="20"/>
          <w:lang w:val="es-CR"/>
        </w:rPr>
        <w:t xml:space="preserve"> </w:t>
      </w:r>
      <w:r w:rsidR="002D46A1" w:rsidRPr="002B4E6D">
        <w:rPr>
          <w:szCs w:val="20"/>
          <w:lang w:val="es-CR"/>
        </w:rPr>
        <w:t>penitenciarias</w:t>
      </w:r>
      <w:r w:rsidR="007850F5" w:rsidRPr="002B4E6D">
        <w:rPr>
          <w:szCs w:val="20"/>
          <w:lang w:val="es-CR"/>
        </w:rPr>
        <w:t xml:space="preserve"> </w:t>
      </w:r>
      <w:r w:rsidR="00F06B40">
        <w:rPr>
          <w:szCs w:val="20"/>
          <w:lang w:val="es-CR"/>
        </w:rPr>
        <w:t xml:space="preserve">con </w:t>
      </w:r>
      <w:r w:rsidRPr="002B4E6D">
        <w:rPr>
          <w:szCs w:val="20"/>
          <w:lang w:val="es-CR"/>
        </w:rPr>
        <w:t>más</w:t>
      </w:r>
      <w:r w:rsidR="007850F5" w:rsidRPr="002B4E6D">
        <w:rPr>
          <w:szCs w:val="20"/>
          <w:lang w:val="es-CR"/>
        </w:rPr>
        <w:t xml:space="preserve"> </w:t>
      </w:r>
      <w:r w:rsidR="00F06B40">
        <w:rPr>
          <w:szCs w:val="20"/>
          <w:lang w:val="es-CR"/>
        </w:rPr>
        <w:t>presos muertos</w:t>
      </w:r>
      <w:r w:rsidR="007850F5" w:rsidRPr="002B4E6D">
        <w:rPr>
          <w:szCs w:val="20"/>
          <w:lang w:val="es-CR"/>
        </w:rPr>
        <w:t>.</w:t>
      </w:r>
    </w:p>
    <w:p w14:paraId="1B79A4FF" w14:textId="77777777" w:rsidR="007850F5" w:rsidRPr="002B4E6D" w:rsidRDefault="007850F5" w:rsidP="00A562C5">
      <w:pPr>
        <w:pStyle w:val="ListParagraph"/>
        <w:ind w:left="0"/>
        <w:rPr>
          <w:b/>
          <w:i/>
          <w:szCs w:val="20"/>
          <w:lang w:val="es-CR"/>
        </w:rPr>
      </w:pPr>
    </w:p>
    <w:p w14:paraId="1A5EDD8B" w14:textId="21B0E974" w:rsidR="009910C5" w:rsidRPr="002B4E6D" w:rsidRDefault="0092656B" w:rsidP="00A562C5">
      <w:pPr>
        <w:pStyle w:val="ListParagraph"/>
        <w:numPr>
          <w:ilvl w:val="0"/>
          <w:numId w:val="20"/>
        </w:numPr>
        <w:snapToGrid w:val="0"/>
        <w:ind w:left="0" w:firstLine="0"/>
        <w:contextualSpacing w:val="0"/>
        <w:rPr>
          <w:b/>
          <w:i/>
          <w:szCs w:val="20"/>
          <w:lang w:val="es-CR"/>
        </w:rPr>
      </w:pPr>
      <w:r w:rsidRPr="002B4E6D">
        <w:rPr>
          <w:szCs w:val="20"/>
          <w:lang w:val="es-CR"/>
        </w:rPr>
        <w:t>Los</w:t>
      </w:r>
      <w:r w:rsidR="0077448D" w:rsidRPr="002B4E6D">
        <w:rPr>
          <w:szCs w:val="20"/>
          <w:lang w:val="es-CR"/>
        </w:rPr>
        <w:t xml:space="preserve"> representantes </w:t>
      </w:r>
      <w:r w:rsidR="00286306">
        <w:rPr>
          <w:szCs w:val="20"/>
          <w:lang w:val="es-CR"/>
        </w:rPr>
        <w:t>observaron</w:t>
      </w:r>
      <w:r w:rsidR="007850F5" w:rsidRPr="002B4E6D">
        <w:rPr>
          <w:szCs w:val="20"/>
          <w:lang w:val="es-CR"/>
        </w:rPr>
        <w:t xml:space="preserve">, </w:t>
      </w:r>
      <w:r w:rsidRPr="002B4E6D">
        <w:rPr>
          <w:szCs w:val="20"/>
          <w:lang w:val="es-CR"/>
        </w:rPr>
        <w:t>con</w:t>
      </w:r>
      <w:r w:rsidR="007850F5" w:rsidRPr="002B4E6D">
        <w:rPr>
          <w:szCs w:val="20"/>
          <w:lang w:val="es-CR"/>
        </w:rPr>
        <w:t xml:space="preserve"> preocupa</w:t>
      </w:r>
      <w:r w:rsidR="00AA1A37" w:rsidRPr="002B4E6D">
        <w:rPr>
          <w:szCs w:val="20"/>
          <w:lang w:val="es-CR"/>
        </w:rPr>
        <w:t>ción</w:t>
      </w:r>
      <w:r w:rsidR="007850F5" w:rsidRPr="002B4E6D">
        <w:rPr>
          <w:szCs w:val="20"/>
          <w:lang w:val="es-CR"/>
        </w:rPr>
        <w:t xml:space="preserve">, </w:t>
      </w:r>
      <w:r w:rsidRPr="002B4E6D">
        <w:rPr>
          <w:szCs w:val="20"/>
          <w:lang w:val="es-CR"/>
        </w:rPr>
        <w:t>el</w:t>
      </w:r>
      <w:r w:rsidR="007850F5" w:rsidRPr="002B4E6D">
        <w:rPr>
          <w:szCs w:val="20"/>
          <w:lang w:val="es-CR"/>
        </w:rPr>
        <w:t xml:space="preserve"> </w:t>
      </w:r>
      <w:r w:rsidRPr="002B4E6D">
        <w:rPr>
          <w:szCs w:val="20"/>
          <w:lang w:val="es-CR"/>
        </w:rPr>
        <w:t>proyecto</w:t>
      </w:r>
      <w:r w:rsidR="007850F5" w:rsidRPr="002B4E6D">
        <w:rPr>
          <w:szCs w:val="20"/>
          <w:lang w:val="es-CR"/>
        </w:rPr>
        <w:t xml:space="preserve"> de </w:t>
      </w:r>
      <w:r w:rsidRPr="002B4E6D">
        <w:rPr>
          <w:szCs w:val="20"/>
          <w:lang w:val="es-CR"/>
        </w:rPr>
        <w:t>Ley</w:t>
      </w:r>
      <w:r w:rsidR="007850F5" w:rsidRPr="002B4E6D">
        <w:rPr>
          <w:szCs w:val="20"/>
          <w:lang w:val="es-CR"/>
        </w:rPr>
        <w:t xml:space="preserve"> </w:t>
      </w:r>
      <w:r w:rsidR="008505A2" w:rsidRPr="002B4E6D">
        <w:rPr>
          <w:szCs w:val="20"/>
          <w:lang w:val="es-CR"/>
        </w:rPr>
        <w:t>N</w:t>
      </w:r>
      <w:r w:rsidR="00286306">
        <w:rPr>
          <w:szCs w:val="20"/>
          <w:lang w:val="es-CR"/>
        </w:rPr>
        <w:t>o.</w:t>
      </w:r>
      <w:r w:rsidR="008505A2" w:rsidRPr="002B4E6D">
        <w:rPr>
          <w:szCs w:val="20"/>
          <w:lang w:val="es-CR"/>
        </w:rPr>
        <w:t xml:space="preserve"> </w:t>
      </w:r>
      <w:r w:rsidR="007850F5" w:rsidRPr="002B4E6D">
        <w:rPr>
          <w:szCs w:val="20"/>
          <w:lang w:val="es-CR"/>
        </w:rPr>
        <w:t xml:space="preserve">1919/16, </w:t>
      </w:r>
      <w:r w:rsidRPr="002B4E6D">
        <w:rPr>
          <w:szCs w:val="20"/>
          <w:lang w:val="es-CR"/>
        </w:rPr>
        <w:t>en</w:t>
      </w:r>
      <w:r w:rsidR="007850F5" w:rsidRPr="002B4E6D">
        <w:rPr>
          <w:szCs w:val="20"/>
          <w:lang w:val="es-CR"/>
        </w:rPr>
        <w:t xml:space="preserve"> </w:t>
      </w:r>
      <w:r w:rsidRPr="002B4E6D">
        <w:rPr>
          <w:szCs w:val="20"/>
          <w:lang w:val="es-CR"/>
        </w:rPr>
        <w:t>trámite</w:t>
      </w:r>
      <w:r w:rsidR="007850F5" w:rsidRPr="002B4E6D">
        <w:rPr>
          <w:szCs w:val="20"/>
          <w:lang w:val="es-CR"/>
        </w:rPr>
        <w:t xml:space="preserve"> </w:t>
      </w:r>
      <w:r w:rsidRPr="002B4E6D">
        <w:rPr>
          <w:szCs w:val="20"/>
          <w:lang w:val="es-CR"/>
        </w:rPr>
        <w:t>en la</w:t>
      </w:r>
      <w:r w:rsidR="007850F5" w:rsidRPr="002B4E6D">
        <w:rPr>
          <w:szCs w:val="20"/>
          <w:lang w:val="es-CR"/>
        </w:rPr>
        <w:t xml:space="preserve"> </w:t>
      </w:r>
      <w:r w:rsidRPr="002B4E6D">
        <w:rPr>
          <w:szCs w:val="20"/>
          <w:lang w:val="es-CR"/>
        </w:rPr>
        <w:t>Asamblea</w:t>
      </w:r>
      <w:r w:rsidR="007850F5" w:rsidRPr="002B4E6D">
        <w:rPr>
          <w:szCs w:val="20"/>
          <w:lang w:val="es-CR"/>
        </w:rPr>
        <w:t xml:space="preserve"> Legislativa </w:t>
      </w:r>
      <w:r w:rsidRPr="002B4E6D">
        <w:rPr>
          <w:szCs w:val="20"/>
          <w:lang w:val="es-CR"/>
        </w:rPr>
        <w:t>del</w:t>
      </w:r>
      <w:r w:rsidR="007850F5" w:rsidRPr="002B4E6D">
        <w:rPr>
          <w:szCs w:val="20"/>
          <w:lang w:val="es-CR"/>
        </w:rPr>
        <w:t xml:space="preserve"> Estado </w:t>
      </w:r>
      <w:r w:rsidRPr="002B4E6D">
        <w:rPr>
          <w:szCs w:val="20"/>
          <w:lang w:val="es-CR"/>
        </w:rPr>
        <w:t>de</w:t>
      </w:r>
      <w:r w:rsidR="007850F5" w:rsidRPr="002B4E6D">
        <w:rPr>
          <w:szCs w:val="20"/>
          <w:lang w:val="es-CR"/>
        </w:rPr>
        <w:t xml:space="preserve"> </w:t>
      </w:r>
      <w:r w:rsidR="00E9168C" w:rsidRPr="002B4E6D">
        <w:rPr>
          <w:szCs w:val="20"/>
          <w:lang w:val="es-CR"/>
        </w:rPr>
        <w:t>Río de Janeiro</w:t>
      </w:r>
      <w:r w:rsidR="007850F5" w:rsidRPr="002B4E6D">
        <w:rPr>
          <w:szCs w:val="20"/>
          <w:lang w:val="es-CR"/>
        </w:rPr>
        <w:t xml:space="preserve"> (ALERJ). </w:t>
      </w:r>
      <w:r w:rsidRPr="002B4E6D">
        <w:rPr>
          <w:szCs w:val="20"/>
          <w:lang w:val="es-CR"/>
        </w:rPr>
        <w:t>Este</w:t>
      </w:r>
      <w:r w:rsidR="007850F5" w:rsidRPr="002B4E6D">
        <w:rPr>
          <w:szCs w:val="20"/>
          <w:lang w:val="es-CR"/>
        </w:rPr>
        <w:t xml:space="preserve"> </w:t>
      </w:r>
      <w:r w:rsidRPr="002B4E6D">
        <w:rPr>
          <w:szCs w:val="20"/>
          <w:lang w:val="es-CR"/>
        </w:rPr>
        <w:t>proyecto</w:t>
      </w:r>
      <w:r w:rsidR="007850F5" w:rsidRPr="002B4E6D">
        <w:rPr>
          <w:szCs w:val="20"/>
          <w:lang w:val="es-CR"/>
        </w:rPr>
        <w:t xml:space="preserve"> de le</w:t>
      </w:r>
      <w:r w:rsidRPr="002B4E6D">
        <w:rPr>
          <w:szCs w:val="20"/>
          <w:lang w:val="es-CR"/>
        </w:rPr>
        <w:t>y</w:t>
      </w:r>
      <w:r w:rsidR="007850F5" w:rsidRPr="002B4E6D">
        <w:rPr>
          <w:szCs w:val="20"/>
          <w:lang w:val="es-CR"/>
        </w:rPr>
        <w:t xml:space="preserve"> </w:t>
      </w:r>
      <w:r w:rsidRPr="002B4E6D">
        <w:rPr>
          <w:szCs w:val="20"/>
          <w:lang w:val="es-CR"/>
        </w:rPr>
        <w:t>busca</w:t>
      </w:r>
      <w:r w:rsidR="0077448D" w:rsidRPr="002B4E6D">
        <w:rPr>
          <w:szCs w:val="20"/>
          <w:lang w:val="es-CR"/>
        </w:rPr>
        <w:t xml:space="preserve"> </w:t>
      </w:r>
      <w:r w:rsidR="007850F5" w:rsidRPr="002B4E6D">
        <w:rPr>
          <w:szCs w:val="20"/>
          <w:lang w:val="es-CR"/>
        </w:rPr>
        <w:t xml:space="preserve">restringir </w:t>
      </w:r>
      <w:r w:rsidRPr="002B4E6D">
        <w:rPr>
          <w:szCs w:val="20"/>
          <w:lang w:val="es-CR"/>
        </w:rPr>
        <w:t>el</w:t>
      </w:r>
      <w:r w:rsidR="007850F5" w:rsidRPr="002B4E6D">
        <w:rPr>
          <w:szCs w:val="20"/>
          <w:lang w:val="es-CR"/>
        </w:rPr>
        <w:t xml:space="preserve"> </w:t>
      </w:r>
      <w:r w:rsidRPr="002B4E6D">
        <w:rPr>
          <w:szCs w:val="20"/>
          <w:lang w:val="es-CR"/>
        </w:rPr>
        <w:t>acceso</w:t>
      </w:r>
      <w:r w:rsidR="007850F5" w:rsidRPr="002B4E6D">
        <w:rPr>
          <w:szCs w:val="20"/>
          <w:lang w:val="es-CR"/>
        </w:rPr>
        <w:t xml:space="preserve"> de </w:t>
      </w:r>
      <w:r w:rsidR="00AA1A37" w:rsidRPr="002B4E6D">
        <w:rPr>
          <w:szCs w:val="20"/>
          <w:lang w:val="es-CR"/>
        </w:rPr>
        <w:t>personas</w:t>
      </w:r>
      <w:r w:rsidR="007850F5" w:rsidRPr="002B4E6D">
        <w:rPr>
          <w:szCs w:val="20"/>
          <w:lang w:val="es-CR"/>
        </w:rPr>
        <w:t xml:space="preserve"> privadas de </w:t>
      </w:r>
      <w:r w:rsidR="00AA1A37" w:rsidRPr="002B4E6D">
        <w:rPr>
          <w:szCs w:val="20"/>
          <w:lang w:val="es-CR"/>
        </w:rPr>
        <w:t>libertad</w:t>
      </w:r>
      <w:r w:rsidR="007850F5" w:rsidRPr="002B4E6D">
        <w:rPr>
          <w:szCs w:val="20"/>
          <w:lang w:val="es-CR"/>
        </w:rPr>
        <w:t xml:space="preserve"> </w:t>
      </w:r>
      <w:r w:rsidRPr="002B4E6D">
        <w:rPr>
          <w:szCs w:val="20"/>
          <w:lang w:val="es-CR"/>
        </w:rPr>
        <w:t>a los</w:t>
      </w:r>
      <w:r w:rsidR="007850F5" w:rsidRPr="002B4E6D">
        <w:rPr>
          <w:szCs w:val="20"/>
          <w:lang w:val="es-CR"/>
        </w:rPr>
        <w:t xml:space="preserve"> hospita</w:t>
      </w:r>
      <w:r w:rsidRPr="002B4E6D">
        <w:rPr>
          <w:szCs w:val="20"/>
          <w:lang w:val="es-CR"/>
        </w:rPr>
        <w:t>le</w:t>
      </w:r>
      <w:r w:rsidR="007850F5" w:rsidRPr="002B4E6D">
        <w:rPr>
          <w:szCs w:val="20"/>
          <w:lang w:val="es-CR"/>
        </w:rPr>
        <w:t xml:space="preserve">s públicos </w:t>
      </w:r>
      <w:r w:rsidRPr="002B4E6D">
        <w:rPr>
          <w:szCs w:val="20"/>
          <w:lang w:val="es-CR"/>
        </w:rPr>
        <w:t>de</w:t>
      </w:r>
      <w:r w:rsidR="007850F5" w:rsidRPr="002B4E6D">
        <w:rPr>
          <w:szCs w:val="20"/>
          <w:lang w:val="es-CR"/>
        </w:rPr>
        <w:t xml:space="preserve"> </w:t>
      </w:r>
      <w:r w:rsidR="00E9168C" w:rsidRPr="002B4E6D">
        <w:rPr>
          <w:szCs w:val="20"/>
          <w:lang w:val="es-CR"/>
        </w:rPr>
        <w:t>Río de Janeiro</w:t>
      </w:r>
      <w:r w:rsidR="007850F5" w:rsidRPr="002B4E6D">
        <w:rPr>
          <w:szCs w:val="20"/>
          <w:lang w:val="es-CR"/>
        </w:rPr>
        <w:t xml:space="preserve">. </w:t>
      </w:r>
      <w:r w:rsidRPr="002B4E6D">
        <w:rPr>
          <w:szCs w:val="20"/>
          <w:lang w:val="es-CR"/>
        </w:rPr>
        <w:t>Los</w:t>
      </w:r>
      <w:r w:rsidR="007850F5" w:rsidRPr="002B4E6D">
        <w:rPr>
          <w:szCs w:val="20"/>
          <w:lang w:val="es-CR"/>
        </w:rPr>
        <w:t xml:space="preserve"> representantes </w:t>
      </w:r>
      <w:r w:rsidRPr="002B4E6D">
        <w:rPr>
          <w:szCs w:val="20"/>
          <w:lang w:val="es-CR"/>
        </w:rPr>
        <w:t>argumentaron</w:t>
      </w:r>
      <w:r w:rsidR="007850F5" w:rsidRPr="002B4E6D">
        <w:rPr>
          <w:szCs w:val="20"/>
          <w:lang w:val="es-CR"/>
        </w:rPr>
        <w:t xml:space="preserve"> que </w:t>
      </w:r>
      <w:r w:rsidRPr="002B4E6D">
        <w:rPr>
          <w:szCs w:val="20"/>
          <w:lang w:val="es-CR"/>
        </w:rPr>
        <w:t>ese</w:t>
      </w:r>
      <w:r w:rsidR="007850F5" w:rsidRPr="002B4E6D">
        <w:rPr>
          <w:szCs w:val="20"/>
          <w:lang w:val="es-CR"/>
        </w:rPr>
        <w:t xml:space="preserve"> </w:t>
      </w:r>
      <w:r w:rsidRPr="002B4E6D">
        <w:rPr>
          <w:szCs w:val="20"/>
          <w:lang w:val="es-CR"/>
        </w:rPr>
        <w:t>proyecto</w:t>
      </w:r>
      <w:r w:rsidR="0025355A" w:rsidRPr="002B4E6D">
        <w:rPr>
          <w:szCs w:val="20"/>
          <w:lang w:val="es-CR"/>
        </w:rPr>
        <w:t xml:space="preserve"> de le</w:t>
      </w:r>
      <w:r w:rsidRPr="002B4E6D">
        <w:rPr>
          <w:szCs w:val="20"/>
          <w:lang w:val="es-CR"/>
        </w:rPr>
        <w:t>y</w:t>
      </w:r>
      <w:r w:rsidR="007850F5" w:rsidRPr="002B4E6D">
        <w:rPr>
          <w:szCs w:val="20"/>
          <w:lang w:val="es-CR"/>
        </w:rPr>
        <w:t xml:space="preserve"> se </w:t>
      </w:r>
      <w:r w:rsidRPr="002B4E6D">
        <w:rPr>
          <w:szCs w:val="20"/>
          <w:lang w:val="es-CR"/>
        </w:rPr>
        <w:t>vuelve</w:t>
      </w:r>
      <w:r w:rsidR="007850F5" w:rsidRPr="002B4E6D">
        <w:rPr>
          <w:szCs w:val="20"/>
          <w:lang w:val="es-CR"/>
        </w:rPr>
        <w:t xml:space="preserve"> particularmente preocupante </w:t>
      </w:r>
      <w:r w:rsidRPr="002B4E6D">
        <w:rPr>
          <w:szCs w:val="20"/>
          <w:lang w:val="es-CR"/>
        </w:rPr>
        <w:t>a la</w:t>
      </w:r>
      <w:r w:rsidR="007850F5" w:rsidRPr="002B4E6D">
        <w:rPr>
          <w:szCs w:val="20"/>
          <w:lang w:val="es-CR"/>
        </w:rPr>
        <w:t xml:space="preserve"> luz de que</w:t>
      </w:r>
      <w:r w:rsidR="00B21937">
        <w:rPr>
          <w:szCs w:val="20"/>
          <w:lang w:val="es-CR"/>
        </w:rPr>
        <w:t xml:space="preserve"> solo</w:t>
      </w:r>
      <w:r w:rsidR="007850F5" w:rsidRPr="002B4E6D">
        <w:rPr>
          <w:szCs w:val="20"/>
          <w:lang w:val="es-CR"/>
        </w:rPr>
        <w:t xml:space="preserve"> </w:t>
      </w:r>
      <w:r w:rsidR="00350CBE">
        <w:rPr>
          <w:szCs w:val="20"/>
          <w:lang w:val="es-CR"/>
        </w:rPr>
        <w:t xml:space="preserve">existe </w:t>
      </w:r>
      <w:r w:rsidR="007850F5" w:rsidRPr="002B4E6D">
        <w:rPr>
          <w:szCs w:val="20"/>
          <w:lang w:val="es-CR"/>
        </w:rPr>
        <w:t>1 hospital</w:t>
      </w:r>
      <w:r w:rsidR="0025355A" w:rsidRPr="002B4E6D">
        <w:rPr>
          <w:szCs w:val="20"/>
          <w:lang w:val="es-CR"/>
        </w:rPr>
        <w:t xml:space="preserve"> </w:t>
      </w:r>
      <w:r w:rsidRPr="002B4E6D">
        <w:rPr>
          <w:szCs w:val="20"/>
          <w:lang w:val="es-CR"/>
        </w:rPr>
        <w:t>penitenciario</w:t>
      </w:r>
      <w:r w:rsidR="0025355A" w:rsidRPr="002B4E6D">
        <w:rPr>
          <w:szCs w:val="20"/>
          <w:lang w:val="es-CR"/>
        </w:rPr>
        <w:t xml:space="preserve"> para </w:t>
      </w:r>
      <w:r w:rsidRPr="002B4E6D">
        <w:rPr>
          <w:szCs w:val="20"/>
          <w:lang w:val="es-CR"/>
        </w:rPr>
        <w:t>aproximadamente</w:t>
      </w:r>
      <w:r w:rsidR="0025355A" w:rsidRPr="002B4E6D">
        <w:rPr>
          <w:szCs w:val="20"/>
          <w:lang w:val="es-CR"/>
        </w:rPr>
        <w:t xml:space="preserve"> 51.</w:t>
      </w:r>
      <w:r w:rsidR="007850F5" w:rsidRPr="002B4E6D">
        <w:rPr>
          <w:szCs w:val="20"/>
          <w:lang w:val="es-CR"/>
        </w:rPr>
        <w:t xml:space="preserve">000 </w:t>
      </w:r>
      <w:proofErr w:type="gramStart"/>
      <w:r w:rsidR="000D1815" w:rsidRPr="002B4E6D">
        <w:rPr>
          <w:szCs w:val="20"/>
          <w:lang w:val="es-CR"/>
        </w:rPr>
        <w:t>detenidos</w:t>
      </w:r>
      <w:r w:rsidR="007850F5" w:rsidRPr="002B4E6D">
        <w:rPr>
          <w:szCs w:val="20"/>
          <w:lang w:val="es-CR"/>
        </w:rPr>
        <w:t xml:space="preserve"> .</w:t>
      </w:r>
      <w:proofErr w:type="gramEnd"/>
    </w:p>
    <w:p w14:paraId="5EBE5AA2" w14:textId="77777777" w:rsidR="009F7D20" w:rsidRPr="002B4E6D" w:rsidRDefault="009F7D20" w:rsidP="00A562C5">
      <w:pPr>
        <w:snapToGrid w:val="0"/>
        <w:rPr>
          <w:b/>
          <w:i/>
          <w:szCs w:val="20"/>
          <w:lang w:val="es-CR"/>
        </w:rPr>
      </w:pPr>
    </w:p>
    <w:p w14:paraId="1F1996E8" w14:textId="0AB0758B" w:rsidR="009A77CF" w:rsidRPr="002B4E6D" w:rsidRDefault="004A181B" w:rsidP="00A562C5">
      <w:pPr>
        <w:pStyle w:val="ListParagraph"/>
        <w:numPr>
          <w:ilvl w:val="0"/>
          <w:numId w:val="9"/>
        </w:numPr>
        <w:snapToGrid w:val="0"/>
        <w:ind w:left="0" w:firstLine="0"/>
        <w:rPr>
          <w:b/>
          <w:i/>
          <w:szCs w:val="20"/>
          <w:lang w:val="es-CR"/>
        </w:rPr>
      </w:pPr>
      <w:r w:rsidRPr="002B4E6D">
        <w:rPr>
          <w:b/>
          <w:i/>
          <w:szCs w:val="20"/>
          <w:lang w:val="es-CR"/>
        </w:rPr>
        <w:t>C</w:t>
      </w:r>
      <w:r w:rsidR="00584C54" w:rsidRPr="002B4E6D">
        <w:rPr>
          <w:b/>
          <w:i/>
          <w:szCs w:val="20"/>
          <w:lang w:val="es-CR"/>
        </w:rPr>
        <w:t>ondi</w:t>
      </w:r>
      <w:r w:rsidR="00945D4E" w:rsidRPr="002B4E6D">
        <w:rPr>
          <w:b/>
          <w:i/>
          <w:szCs w:val="20"/>
          <w:lang w:val="es-CR"/>
        </w:rPr>
        <w:t>ciones</w:t>
      </w:r>
      <w:r w:rsidR="00584C54" w:rsidRPr="002B4E6D">
        <w:rPr>
          <w:b/>
          <w:i/>
          <w:szCs w:val="20"/>
          <w:lang w:val="es-CR"/>
        </w:rPr>
        <w:t xml:space="preserve"> de </w:t>
      </w:r>
      <w:r w:rsidR="00B57C3C" w:rsidRPr="002B4E6D">
        <w:rPr>
          <w:b/>
          <w:i/>
          <w:szCs w:val="20"/>
          <w:lang w:val="es-CR"/>
        </w:rPr>
        <w:t>d</w:t>
      </w:r>
      <w:r w:rsidR="00584C54" w:rsidRPr="002B4E6D">
        <w:rPr>
          <w:b/>
          <w:i/>
          <w:szCs w:val="20"/>
          <w:lang w:val="es-CR"/>
        </w:rPr>
        <w:t>eten</w:t>
      </w:r>
      <w:r w:rsidR="00AA1A37" w:rsidRPr="002B4E6D">
        <w:rPr>
          <w:b/>
          <w:i/>
          <w:szCs w:val="20"/>
          <w:lang w:val="es-CR"/>
        </w:rPr>
        <w:t>ción</w:t>
      </w:r>
      <w:r w:rsidR="00584C54" w:rsidRPr="002B4E6D">
        <w:rPr>
          <w:b/>
          <w:i/>
          <w:szCs w:val="20"/>
          <w:lang w:val="es-CR"/>
        </w:rPr>
        <w:t xml:space="preserve"> </w:t>
      </w:r>
      <w:r w:rsidRPr="002B4E6D">
        <w:rPr>
          <w:b/>
          <w:i/>
          <w:szCs w:val="20"/>
          <w:lang w:val="es-CR"/>
        </w:rPr>
        <w:t xml:space="preserve">e </w:t>
      </w:r>
      <w:r w:rsidR="00FA02D6" w:rsidRPr="002B4E6D">
        <w:rPr>
          <w:b/>
          <w:i/>
          <w:szCs w:val="20"/>
          <w:lang w:val="es-CR"/>
        </w:rPr>
        <w:t>infraestructura</w:t>
      </w:r>
    </w:p>
    <w:p w14:paraId="33BEFC80" w14:textId="77777777" w:rsidR="00F857E6" w:rsidRPr="002B4E6D" w:rsidRDefault="00F857E6" w:rsidP="00A562C5">
      <w:pPr>
        <w:rPr>
          <w:szCs w:val="20"/>
          <w:lang w:val="es-CR"/>
        </w:rPr>
      </w:pPr>
    </w:p>
    <w:p w14:paraId="63046DF8" w14:textId="38EEBD76" w:rsidR="00A352BA" w:rsidRPr="002B4E6D" w:rsidRDefault="00FA02D6" w:rsidP="00EF58B2">
      <w:pPr>
        <w:pStyle w:val="ListParagraph"/>
        <w:numPr>
          <w:ilvl w:val="0"/>
          <w:numId w:val="20"/>
        </w:numPr>
        <w:snapToGrid w:val="0"/>
        <w:ind w:left="0" w:firstLine="0"/>
        <w:contextualSpacing w:val="0"/>
        <w:rPr>
          <w:szCs w:val="20"/>
          <w:lang w:val="es-CR"/>
        </w:rPr>
      </w:pPr>
      <w:r w:rsidRPr="002B4E6D">
        <w:rPr>
          <w:szCs w:val="20"/>
          <w:lang w:val="es-CR"/>
        </w:rPr>
        <w:t>En la</w:t>
      </w:r>
      <w:r w:rsidR="000A42A3" w:rsidRPr="002B4E6D">
        <w:rPr>
          <w:szCs w:val="20"/>
          <w:lang w:val="es-CR"/>
        </w:rPr>
        <w:t xml:space="preserve"> </w:t>
      </w:r>
      <w:r w:rsidR="00485931" w:rsidRPr="002B4E6D">
        <w:rPr>
          <w:szCs w:val="20"/>
          <w:lang w:val="es-CR"/>
        </w:rPr>
        <w:t>R</w:t>
      </w:r>
      <w:r w:rsidR="00584C54" w:rsidRPr="002B4E6D">
        <w:rPr>
          <w:szCs w:val="20"/>
          <w:lang w:val="es-CR"/>
        </w:rPr>
        <w:t>esolu</w:t>
      </w:r>
      <w:r w:rsidR="00AA1A37" w:rsidRPr="002B4E6D">
        <w:rPr>
          <w:szCs w:val="20"/>
          <w:lang w:val="es-CR"/>
        </w:rPr>
        <w:t>ción</w:t>
      </w:r>
      <w:r w:rsidR="00584C54" w:rsidRPr="002B4E6D">
        <w:rPr>
          <w:szCs w:val="20"/>
          <w:lang w:val="es-CR"/>
        </w:rPr>
        <w:t xml:space="preserve"> de </w:t>
      </w:r>
      <w:r w:rsidR="004A0164" w:rsidRPr="002B4E6D">
        <w:rPr>
          <w:szCs w:val="20"/>
          <w:lang w:val="es-CR"/>
        </w:rPr>
        <w:t>31</w:t>
      </w:r>
      <w:r w:rsidR="00584C54" w:rsidRPr="002B4E6D">
        <w:rPr>
          <w:szCs w:val="20"/>
          <w:lang w:val="es-CR"/>
        </w:rPr>
        <w:t xml:space="preserve"> de </w:t>
      </w:r>
      <w:r w:rsidR="004A0164" w:rsidRPr="002B4E6D">
        <w:rPr>
          <w:szCs w:val="20"/>
          <w:lang w:val="es-CR"/>
        </w:rPr>
        <w:t>agosto</w:t>
      </w:r>
      <w:r w:rsidR="00807A14" w:rsidRPr="002B4E6D">
        <w:rPr>
          <w:szCs w:val="20"/>
          <w:lang w:val="es-CR"/>
        </w:rPr>
        <w:t xml:space="preserve"> </w:t>
      </w:r>
      <w:r w:rsidR="00584C54" w:rsidRPr="002B4E6D">
        <w:rPr>
          <w:szCs w:val="20"/>
          <w:lang w:val="es-CR"/>
        </w:rPr>
        <w:t xml:space="preserve">de 2017, </w:t>
      </w:r>
      <w:r w:rsidRPr="002B4E6D">
        <w:rPr>
          <w:szCs w:val="20"/>
          <w:lang w:val="es-CR"/>
        </w:rPr>
        <w:t>la</w:t>
      </w:r>
      <w:r w:rsidR="00B57C3C" w:rsidRPr="002B4E6D">
        <w:rPr>
          <w:szCs w:val="20"/>
          <w:lang w:val="es-CR"/>
        </w:rPr>
        <w:t xml:space="preserve"> Corte</w:t>
      </w:r>
      <w:r w:rsidR="000E51A9" w:rsidRPr="002B4E6D">
        <w:rPr>
          <w:szCs w:val="20"/>
          <w:lang w:val="es-CR"/>
        </w:rPr>
        <w:t xml:space="preserve"> </w:t>
      </w:r>
      <w:r w:rsidR="00705528">
        <w:rPr>
          <w:szCs w:val="20"/>
          <w:lang w:val="es-CR"/>
        </w:rPr>
        <w:t>señaló</w:t>
      </w:r>
      <w:r w:rsidR="000A42A3" w:rsidRPr="002B4E6D">
        <w:rPr>
          <w:szCs w:val="20"/>
          <w:lang w:val="es-CR"/>
        </w:rPr>
        <w:t xml:space="preserve"> que </w:t>
      </w:r>
      <w:r w:rsidRPr="002B4E6D">
        <w:rPr>
          <w:szCs w:val="20"/>
          <w:lang w:val="es-CR"/>
        </w:rPr>
        <w:t>el</w:t>
      </w:r>
      <w:r w:rsidR="000A42A3" w:rsidRPr="002B4E6D">
        <w:rPr>
          <w:szCs w:val="20"/>
          <w:lang w:val="es-CR"/>
        </w:rPr>
        <w:t xml:space="preserve"> </w:t>
      </w:r>
      <w:r w:rsidR="00584C54" w:rsidRPr="002B4E6D">
        <w:rPr>
          <w:szCs w:val="20"/>
          <w:lang w:val="es-CR"/>
        </w:rPr>
        <w:t xml:space="preserve">Estado </w:t>
      </w:r>
      <w:r w:rsidRPr="002B4E6D">
        <w:rPr>
          <w:szCs w:val="20"/>
          <w:lang w:val="es-CR"/>
        </w:rPr>
        <w:t>tiene</w:t>
      </w:r>
      <w:r w:rsidR="000A42A3" w:rsidRPr="002B4E6D">
        <w:rPr>
          <w:szCs w:val="20"/>
          <w:lang w:val="es-CR"/>
        </w:rPr>
        <w:t xml:space="preserve"> </w:t>
      </w:r>
      <w:r w:rsidR="00022C73" w:rsidRPr="002B4E6D">
        <w:rPr>
          <w:szCs w:val="20"/>
          <w:lang w:val="es-CR"/>
        </w:rPr>
        <w:t>el</w:t>
      </w:r>
      <w:r w:rsidR="000A42A3" w:rsidRPr="002B4E6D">
        <w:rPr>
          <w:szCs w:val="20"/>
          <w:lang w:val="es-CR"/>
        </w:rPr>
        <w:t xml:space="preserve"> </w:t>
      </w:r>
      <w:r w:rsidR="00022C73" w:rsidRPr="002B4E6D">
        <w:rPr>
          <w:szCs w:val="20"/>
          <w:lang w:val="es-CR"/>
        </w:rPr>
        <w:t>deber</w:t>
      </w:r>
      <w:r w:rsidR="000A42A3" w:rsidRPr="002B4E6D">
        <w:rPr>
          <w:szCs w:val="20"/>
          <w:lang w:val="es-CR"/>
        </w:rPr>
        <w:t xml:space="preserve"> de </w:t>
      </w:r>
      <w:r w:rsidR="004A0164" w:rsidRPr="002B4E6D">
        <w:rPr>
          <w:szCs w:val="20"/>
          <w:lang w:val="es-CR"/>
        </w:rPr>
        <w:t>“</w:t>
      </w:r>
      <w:r w:rsidR="00705528">
        <w:rPr>
          <w:szCs w:val="20"/>
          <w:lang w:val="es-CR"/>
        </w:rPr>
        <w:t>procurar</w:t>
      </w:r>
      <w:r w:rsidR="004A0164" w:rsidRPr="002B4E6D">
        <w:rPr>
          <w:szCs w:val="20"/>
          <w:lang w:val="es-CR"/>
        </w:rPr>
        <w:t xml:space="preserve"> </w:t>
      </w:r>
      <w:r w:rsidR="00022C73" w:rsidRPr="002B4E6D">
        <w:rPr>
          <w:szCs w:val="20"/>
          <w:lang w:val="es-CR"/>
        </w:rPr>
        <w:t>l</w:t>
      </w:r>
      <w:r w:rsidR="004A0164" w:rsidRPr="002B4E6D">
        <w:rPr>
          <w:szCs w:val="20"/>
          <w:lang w:val="es-CR"/>
        </w:rPr>
        <w:t>as condi</w:t>
      </w:r>
      <w:r w:rsidR="00945D4E" w:rsidRPr="002B4E6D">
        <w:rPr>
          <w:szCs w:val="20"/>
          <w:lang w:val="es-CR"/>
        </w:rPr>
        <w:t>ciones</w:t>
      </w:r>
      <w:r w:rsidR="004A0164" w:rsidRPr="002B4E6D">
        <w:rPr>
          <w:szCs w:val="20"/>
          <w:lang w:val="es-CR"/>
        </w:rPr>
        <w:t xml:space="preserve"> de deten</w:t>
      </w:r>
      <w:r w:rsidR="00AA1A37" w:rsidRPr="002B4E6D">
        <w:rPr>
          <w:szCs w:val="20"/>
          <w:lang w:val="es-CR"/>
        </w:rPr>
        <w:t>ción</w:t>
      </w:r>
      <w:r w:rsidR="004A0164" w:rsidRPr="002B4E6D">
        <w:rPr>
          <w:szCs w:val="20"/>
          <w:lang w:val="es-CR"/>
        </w:rPr>
        <w:t xml:space="preserve"> mínimas </w:t>
      </w:r>
      <w:r w:rsidR="00022C73" w:rsidRPr="002B4E6D">
        <w:rPr>
          <w:szCs w:val="20"/>
          <w:lang w:val="es-CR"/>
        </w:rPr>
        <w:t>compatibles</w:t>
      </w:r>
      <w:r w:rsidR="004A0164" w:rsidRPr="002B4E6D">
        <w:rPr>
          <w:szCs w:val="20"/>
          <w:lang w:val="es-CR"/>
        </w:rPr>
        <w:t xml:space="preserve"> </w:t>
      </w:r>
      <w:r w:rsidR="00022C73" w:rsidRPr="002B4E6D">
        <w:rPr>
          <w:szCs w:val="20"/>
          <w:lang w:val="es-CR"/>
        </w:rPr>
        <w:t>con</w:t>
      </w:r>
      <w:r w:rsidR="004A0164" w:rsidRPr="002B4E6D">
        <w:rPr>
          <w:szCs w:val="20"/>
          <w:lang w:val="es-CR"/>
        </w:rPr>
        <w:t xml:space="preserve"> </w:t>
      </w:r>
      <w:r w:rsidR="000E51A9" w:rsidRPr="002B4E6D">
        <w:rPr>
          <w:szCs w:val="20"/>
          <w:lang w:val="es-CR"/>
        </w:rPr>
        <w:t xml:space="preserve"> [</w:t>
      </w:r>
      <w:r w:rsidR="00022C73" w:rsidRPr="002B4E6D">
        <w:rPr>
          <w:szCs w:val="20"/>
          <w:lang w:val="es-CR"/>
        </w:rPr>
        <w:t>l</w:t>
      </w:r>
      <w:r w:rsidR="000E51A9" w:rsidRPr="002B4E6D">
        <w:rPr>
          <w:szCs w:val="20"/>
          <w:lang w:val="es-CR"/>
        </w:rPr>
        <w:t>a]</w:t>
      </w:r>
      <w:r w:rsidR="004A0164" w:rsidRPr="002B4E6D">
        <w:rPr>
          <w:szCs w:val="20"/>
          <w:lang w:val="es-CR"/>
        </w:rPr>
        <w:t xml:space="preserve"> </w:t>
      </w:r>
      <w:r w:rsidR="00022C73" w:rsidRPr="002B4E6D">
        <w:rPr>
          <w:szCs w:val="20"/>
          <w:lang w:val="es-CR"/>
        </w:rPr>
        <w:t>dignidad</w:t>
      </w:r>
      <w:r w:rsidR="000E51A9" w:rsidRPr="002B4E6D">
        <w:rPr>
          <w:szCs w:val="20"/>
          <w:lang w:val="es-CR"/>
        </w:rPr>
        <w:t xml:space="preserve"> [</w:t>
      </w:r>
      <w:r w:rsidR="00022C73" w:rsidRPr="002B4E6D">
        <w:rPr>
          <w:szCs w:val="20"/>
          <w:lang w:val="es-CR"/>
        </w:rPr>
        <w:t>de las</w:t>
      </w:r>
      <w:r w:rsidR="000E51A9" w:rsidRPr="002B4E6D">
        <w:rPr>
          <w:szCs w:val="20"/>
          <w:lang w:val="es-CR"/>
        </w:rPr>
        <w:t xml:space="preserve"> </w:t>
      </w:r>
      <w:r w:rsidR="00AA1A37" w:rsidRPr="002B4E6D">
        <w:rPr>
          <w:szCs w:val="20"/>
          <w:lang w:val="es-CR"/>
        </w:rPr>
        <w:t>personas</w:t>
      </w:r>
      <w:r w:rsidR="000E51A9" w:rsidRPr="002B4E6D">
        <w:rPr>
          <w:szCs w:val="20"/>
          <w:lang w:val="es-CR"/>
        </w:rPr>
        <w:t xml:space="preserve"> privadas de </w:t>
      </w:r>
      <w:r w:rsidR="00AA1A37" w:rsidRPr="002B4E6D">
        <w:rPr>
          <w:szCs w:val="20"/>
          <w:lang w:val="es-CR"/>
        </w:rPr>
        <w:t>libertad</w:t>
      </w:r>
      <w:r w:rsidR="000E51A9" w:rsidRPr="002B4E6D">
        <w:rPr>
          <w:szCs w:val="20"/>
          <w:lang w:val="es-CR"/>
        </w:rPr>
        <w:t>]</w:t>
      </w:r>
      <w:r w:rsidR="004A0164" w:rsidRPr="002B4E6D">
        <w:rPr>
          <w:szCs w:val="20"/>
          <w:lang w:val="es-CR"/>
        </w:rPr>
        <w:t xml:space="preserve">, </w:t>
      </w:r>
      <w:r w:rsidR="00615CED">
        <w:rPr>
          <w:szCs w:val="20"/>
          <w:lang w:val="es-CR"/>
        </w:rPr>
        <w:t>lo que implica</w:t>
      </w:r>
      <w:r w:rsidR="004A0164" w:rsidRPr="002B4E6D">
        <w:rPr>
          <w:szCs w:val="20"/>
          <w:lang w:val="es-CR"/>
        </w:rPr>
        <w:t xml:space="preserve"> </w:t>
      </w:r>
      <w:r w:rsidR="00022C73" w:rsidRPr="002B4E6D">
        <w:rPr>
          <w:szCs w:val="20"/>
          <w:lang w:val="es-CR"/>
        </w:rPr>
        <w:t>proveer</w:t>
      </w:r>
      <w:r w:rsidR="004A0164" w:rsidRPr="002B4E6D">
        <w:rPr>
          <w:szCs w:val="20"/>
          <w:lang w:val="es-CR"/>
        </w:rPr>
        <w:t xml:space="preserve"> </w:t>
      </w:r>
      <w:r w:rsidR="00615CED">
        <w:rPr>
          <w:szCs w:val="20"/>
          <w:lang w:val="es-CR"/>
        </w:rPr>
        <w:t xml:space="preserve">suficiente </w:t>
      </w:r>
      <w:r w:rsidR="00AA1A37" w:rsidRPr="002B4E6D">
        <w:rPr>
          <w:szCs w:val="20"/>
          <w:lang w:val="es-CR"/>
        </w:rPr>
        <w:t>personal</w:t>
      </w:r>
      <w:r w:rsidR="004A0164" w:rsidRPr="002B4E6D">
        <w:rPr>
          <w:szCs w:val="20"/>
          <w:lang w:val="es-CR"/>
        </w:rPr>
        <w:t xml:space="preserve"> capacitado para </w:t>
      </w:r>
      <w:r w:rsidR="00022C73" w:rsidRPr="002B4E6D">
        <w:rPr>
          <w:szCs w:val="20"/>
          <w:lang w:val="es-CR"/>
        </w:rPr>
        <w:t>asegurar</w:t>
      </w:r>
      <w:r w:rsidR="004A0164" w:rsidRPr="002B4E6D">
        <w:rPr>
          <w:szCs w:val="20"/>
          <w:lang w:val="es-CR"/>
        </w:rPr>
        <w:t xml:space="preserve"> </w:t>
      </w:r>
      <w:r w:rsidR="00022C73" w:rsidRPr="002B4E6D">
        <w:rPr>
          <w:szCs w:val="20"/>
          <w:lang w:val="es-CR"/>
        </w:rPr>
        <w:t>el</w:t>
      </w:r>
      <w:r w:rsidR="004A0164" w:rsidRPr="002B4E6D">
        <w:rPr>
          <w:szCs w:val="20"/>
          <w:lang w:val="es-CR"/>
        </w:rPr>
        <w:t xml:space="preserve"> </w:t>
      </w:r>
      <w:r w:rsidR="00022C73" w:rsidRPr="002B4E6D">
        <w:rPr>
          <w:szCs w:val="20"/>
          <w:lang w:val="es-CR"/>
        </w:rPr>
        <w:t>adecuado</w:t>
      </w:r>
      <w:r w:rsidR="004A0164" w:rsidRPr="002B4E6D">
        <w:rPr>
          <w:szCs w:val="20"/>
          <w:lang w:val="es-CR"/>
        </w:rPr>
        <w:t xml:space="preserve"> </w:t>
      </w:r>
      <w:r w:rsidR="00022C73" w:rsidRPr="002B4E6D">
        <w:rPr>
          <w:szCs w:val="20"/>
          <w:lang w:val="es-CR"/>
        </w:rPr>
        <w:t>y</w:t>
      </w:r>
      <w:r w:rsidR="004A0164" w:rsidRPr="002B4E6D">
        <w:rPr>
          <w:szCs w:val="20"/>
          <w:lang w:val="es-CR"/>
        </w:rPr>
        <w:t xml:space="preserve"> </w:t>
      </w:r>
      <w:r w:rsidR="00022C73" w:rsidRPr="002B4E6D">
        <w:rPr>
          <w:szCs w:val="20"/>
          <w:lang w:val="es-CR"/>
        </w:rPr>
        <w:t>efectivo control</w:t>
      </w:r>
      <w:r w:rsidR="004A0164" w:rsidRPr="002B4E6D">
        <w:rPr>
          <w:szCs w:val="20"/>
          <w:lang w:val="es-CR"/>
        </w:rPr>
        <w:t xml:space="preserve">, </w:t>
      </w:r>
      <w:r w:rsidR="00022C73" w:rsidRPr="002B4E6D">
        <w:rPr>
          <w:szCs w:val="20"/>
          <w:lang w:val="es-CR"/>
        </w:rPr>
        <w:t>custodia</w:t>
      </w:r>
      <w:r w:rsidR="004A0164" w:rsidRPr="002B4E6D">
        <w:rPr>
          <w:szCs w:val="20"/>
          <w:lang w:val="es-CR"/>
        </w:rPr>
        <w:t xml:space="preserve"> </w:t>
      </w:r>
      <w:r w:rsidR="00022C73" w:rsidRPr="002B4E6D">
        <w:rPr>
          <w:szCs w:val="20"/>
          <w:lang w:val="es-CR"/>
        </w:rPr>
        <w:t>y</w:t>
      </w:r>
      <w:r w:rsidR="004A0164" w:rsidRPr="002B4E6D">
        <w:rPr>
          <w:szCs w:val="20"/>
          <w:lang w:val="es-CR"/>
        </w:rPr>
        <w:t xml:space="preserve"> </w:t>
      </w:r>
      <w:r w:rsidR="00022C73" w:rsidRPr="002B4E6D">
        <w:rPr>
          <w:szCs w:val="20"/>
          <w:lang w:val="es-CR"/>
        </w:rPr>
        <w:t>vigilancia</w:t>
      </w:r>
      <w:r w:rsidR="004A0164" w:rsidRPr="002B4E6D">
        <w:rPr>
          <w:szCs w:val="20"/>
          <w:lang w:val="es-CR"/>
        </w:rPr>
        <w:t xml:space="preserve"> </w:t>
      </w:r>
      <w:r w:rsidR="00022C73" w:rsidRPr="002B4E6D">
        <w:rPr>
          <w:szCs w:val="20"/>
          <w:lang w:val="es-CR"/>
        </w:rPr>
        <w:t>del</w:t>
      </w:r>
      <w:r w:rsidR="004A0164" w:rsidRPr="002B4E6D">
        <w:rPr>
          <w:szCs w:val="20"/>
          <w:lang w:val="es-CR"/>
        </w:rPr>
        <w:t xml:space="preserve"> centro </w:t>
      </w:r>
      <w:r w:rsidR="00022C73" w:rsidRPr="002B4E6D">
        <w:rPr>
          <w:szCs w:val="20"/>
          <w:lang w:val="es-CR"/>
        </w:rPr>
        <w:t>penitenciario</w:t>
      </w:r>
      <w:r w:rsidR="004A0164" w:rsidRPr="002B4E6D">
        <w:rPr>
          <w:szCs w:val="20"/>
          <w:lang w:val="es-CR"/>
        </w:rPr>
        <w:t>”.</w:t>
      </w:r>
      <w:r w:rsidR="004A0164" w:rsidRPr="002B4E6D">
        <w:rPr>
          <w:rStyle w:val="FootnoteReference"/>
          <w:lang w:val="es-CR"/>
        </w:rPr>
        <w:footnoteReference w:id="13"/>
      </w:r>
      <w:r w:rsidR="00EF58B2" w:rsidRPr="002B4E6D">
        <w:rPr>
          <w:szCs w:val="20"/>
          <w:lang w:val="es-CR"/>
        </w:rPr>
        <w:t xml:space="preserve"> </w:t>
      </w:r>
      <w:r w:rsidR="00A352BA" w:rsidRPr="002B4E6D">
        <w:rPr>
          <w:szCs w:val="20"/>
          <w:lang w:val="es-CR"/>
        </w:rPr>
        <w:t xml:space="preserve">Adicionalmente, </w:t>
      </w:r>
      <w:r w:rsidR="00022C73" w:rsidRPr="002B4E6D">
        <w:rPr>
          <w:szCs w:val="20"/>
          <w:lang w:val="es-CR"/>
        </w:rPr>
        <w:t>ordenó</w:t>
      </w:r>
      <w:r w:rsidR="00A352BA" w:rsidRPr="002B4E6D">
        <w:rPr>
          <w:szCs w:val="20"/>
          <w:lang w:val="es-CR"/>
        </w:rPr>
        <w:t xml:space="preserve"> </w:t>
      </w:r>
      <w:r w:rsidR="00022C73" w:rsidRPr="002B4E6D">
        <w:rPr>
          <w:szCs w:val="20"/>
          <w:lang w:val="es-CR"/>
        </w:rPr>
        <w:t>al</w:t>
      </w:r>
      <w:r w:rsidR="00A352BA" w:rsidRPr="002B4E6D">
        <w:rPr>
          <w:szCs w:val="20"/>
          <w:lang w:val="es-CR"/>
        </w:rPr>
        <w:t xml:space="preserve"> Estado que </w:t>
      </w:r>
      <w:r w:rsidR="00022C73" w:rsidRPr="002B4E6D">
        <w:rPr>
          <w:szCs w:val="20"/>
          <w:lang w:val="es-CR"/>
        </w:rPr>
        <w:t>adopte</w:t>
      </w:r>
      <w:r w:rsidR="00A352BA" w:rsidRPr="002B4E6D">
        <w:rPr>
          <w:szCs w:val="20"/>
          <w:lang w:val="es-CR"/>
        </w:rPr>
        <w:t xml:space="preserve"> </w:t>
      </w:r>
      <w:r w:rsidR="00022C73" w:rsidRPr="002B4E6D">
        <w:rPr>
          <w:szCs w:val="20"/>
          <w:lang w:val="es-CR"/>
        </w:rPr>
        <w:t>inmediatamente</w:t>
      </w:r>
      <w:r w:rsidR="00A352BA" w:rsidRPr="002B4E6D">
        <w:rPr>
          <w:szCs w:val="20"/>
          <w:lang w:val="es-CR"/>
        </w:rPr>
        <w:t xml:space="preserve"> </w:t>
      </w:r>
      <w:r w:rsidR="00022C73" w:rsidRPr="002B4E6D">
        <w:rPr>
          <w:szCs w:val="20"/>
          <w:lang w:val="es-CR"/>
        </w:rPr>
        <w:t>las</w:t>
      </w:r>
      <w:r w:rsidR="00A352BA" w:rsidRPr="002B4E6D">
        <w:rPr>
          <w:szCs w:val="20"/>
          <w:lang w:val="es-CR"/>
        </w:rPr>
        <w:t xml:space="preserve"> medidas </w:t>
      </w:r>
      <w:r w:rsidR="00022C73" w:rsidRPr="002B4E6D">
        <w:rPr>
          <w:szCs w:val="20"/>
          <w:lang w:val="es-CR"/>
        </w:rPr>
        <w:t>necesarias</w:t>
      </w:r>
      <w:r w:rsidR="00A352BA" w:rsidRPr="002B4E6D">
        <w:rPr>
          <w:szCs w:val="20"/>
          <w:lang w:val="es-CR"/>
        </w:rPr>
        <w:t xml:space="preserve"> para proteger </w:t>
      </w:r>
      <w:r w:rsidR="00022C73" w:rsidRPr="002B4E6D">
        <w:rPr>
          <w:szCs w:val="20"/>
          <w:lang w:val="es-CR"/>
        </w:rPr>
        <w:t>la</w:t>
      </w:r>
      <w:r w:rsidR="00A352BA" w:rsidRPr="002B4E6D">
        <w:rPr>
          <w:szCs w:val="20"/>
          <w:lang w:val="es-CR"/>
        </w:rPr>
        <w:t xml:space="preserve"> vida </w:t>
      </w:r>
      <w:r w:rsidR="00022C73" w:rsidRPr="002B4E6D">
        <w:rPr>
          <w:szCs w:val="20"/>
          <w:lang w:val="es-CR"/>
        </w:rPr>
        <w:t>y la</w:t>
      </w:r>
      <w:r w:rsidR="00A352BA" w:rsidRPr="002B4E6D">
        <w:rPr>
          <w:szCs w:val="20"/>
          <w:lang w:val="es-CR"/>
        </w:rPr>
        <w:t xml:space="preserve"> </w:t>
      </w:r>
      <w:r w:rsidR="00AA1A37" w:rsidRPr="002B4E6D">
        <w:rPr>
          <w:szCs w:val="20"/>
          <w:lang w:val="es-CR"/>
        </w:rPr>
        <w:t>integridad</w:t>
      </w:r>
      <w:r w:rsidR="00A352BA" w:rsidRPr="002B4E6D">
        <w:rPr>
          <w:szCs w:val="20"/>
          <w:lang w:val="es-CR"/>
        </w:rPr>
        <w:t xml:space="preserve"> de todas </w:t>
      </w:r>
      <w:r w:rsidR="00022C73" w:rsidRPr="002B4E6D">
        <w:rPr>
          <w:szCs w:val="20"/>
          <w:lang w:val="es-CR"/>
        </w:rPr>
        <w:t>las</w:t>
      </w:r>
      <w:r w:rsidR="00A352BA" w:rsidRPr="002B4E6D">
        <w:rPr>
          <w:szCs w:val="20"/>
          <w:lang w:val="es-CR"/>
        </w:rPr>
        <w:t xml:space="preserve"> </w:t>
      </w:r>
      <w:r w:rsidR="00AA1A37" w:rsidRPr="002B4E6D">
        <w:rPr>
          <w:szCs w:val="20"/>
          <w:lang w:val="es-CR"/>
        </w:rPr>
        <w:t>personas</w:t>
      </w:r>
      <w:r w:rsidR="00A352BA" w:rsidRPr="002B4E6D">
        <w:rPr>
          <w:szCs w:val="20"/>
          <w:lang w:val="es-CR"/>
        </w:rPr>
        <w:t xml:space="preserve"> que se </w:t>
      </w:r>
      <w:r w:rsidR="00022C73" w:rsidRPr="002B4E6D">
        <w:rPr>
          <w:szCs w:val="20"/>
          <w:lang w:val="es-CR"/>
        </w:rPr>
        <w:t>encuentren</w:t>
      </w:r>
      <w:r w:rsidR="00A352BA" w:rsidRPr="002B4E6D">
        <w:rPr>
          <w:szCs w:val="20"/>
          <w:lang w:val="es-CR"/>
        </w:rPr>
        <w:t xml:space="preserve"> </w:t>
      </w:r>
      <w:r w:rsidR="00022C73" w:rsidRPr="002B4E6D">
        <w:rPr>
          <w:szCs w:val="20"/>
          <w:lang w:val="es-CR"/>
        </w:rPr>
        <w:t>en el</w:t>
      </w:r>
      <w:r w:rsidR="00A352BA" w:rsidRPr="002B4E6D">
        <w:rPr>
          <w:szCs w:val="20"/>
          <w:lang w:val="es-CR"/>
        </w:rPr>
        <w:t xml:space="preserve"> IPPSC, </w:t>
      </w:r>
      <w:r w:rsidR="00A352BA" w:rsidRPr="002B4E6D">
        <w:rPr>
          <w:rFonts w:eastAsia="Times"/>
          <w:szCs w:val="20"/>
          <w:lang w:val="es-CR"/>
        </w:rPr>
        <w:t>“</w:t>
      </w:r>
      <w:r w:rsidR="00705528">
        <w:rPr>
          <w:szCs w:val="20"/>
          <w:lang w:val="es-CR"/>
        </w:rPr>
        <w:t>incluyendo</w:t>
      </w:r>
      <w:r w:rsidR="00A352BA" w:rsidRPr="002B4E6D">
        <w:rPr>
          <w:szCs w:val="20"/>
          <w:lang w:val="es-CR"/>
        </w:rPr>
        <w:t xml:space="preserve"> </w:t>
      </w:r>
      <w:r w:rsidR="00022C73" w:rsidRPr="002B4E6D">
        <w:rPr>
          <w:szCs w:val="20"/>
          <w:lang w:val="es-CR"/>
        </w:rPr>
        <w:t>los</w:t>
      </w:r>
      <w:r w:rsidR="00A352BA" w:rsidRPr="002B4E6D">
        <w:rPr>
          <w:szCs w:val="20"/>
          <w:lang w:val="es-CR"/>
        </w:rPr>
        <w:t xml:space="preserve"> agentes </w:t>
      </w:r>
      <w:r w:rsidR="00022C73" w:rsidRPr="002B4E6D">
        <w:rPr>
          <w:szCs w:val="20"/>
          <w:lang w:val="es-CR"/>
        </w:rPr>
        <w:t>penitenciarios</w:t>
      </w:r>
      <w:r w:rsidR="00A352BA" w:rsidRPr="002B4E6D">
        <w:rPr>
          <w:szCs w:val="20"/>
          <w:lang w:val="es-CR"/>
        </w:rPr>
        <w:t xml:space="preserve">, </w:t>
      </w:r>
      <w:r w:rsidR="00022C73" w:rsidRPr="002B4E6D">
        <w:rPr>
          <w:szCs w:val="20"/>
          <w:lang w:val="es-CR"/>
        </w:rPr>
        <w:t>funcionarios</w:t>
      </w:r>
      <w:r w:rsidR="00A352BA" w:rsidRPr="002B4E6D">
        <w:rPr>
          <w:szCs w:val="20"/>
          <w:lang w:val="es-CR"/>
        </w:rPr>
        <w:t xml:space="preserve"> </w:t>
      </w:r>
      <w:r w:rsidR="00022C73" w:rsidRPr="002B4E6D">
        <w:rPr>
          <w:szCs w:val="20"/>
          <w:lang w:val="es-CR"/>
        </w:rPr>
        <w:t xml:space="preserve">y </w:t>
      </w:r>
      <w:r w:rsidR="00A352BA" w:rsidRPr="002B4E6D">
        <w:rPr>
          <w:szCs w:val="20"/>
          <w:lang w:val="es-CR"/>
        </w:rPr>
        <w:t>visitantes”.</w:t>
      </w:r>
      <w:r w:rsidR="00A352BA" w:rsidRPr="002B4E6D">
        <w:rPr>
          <w:rStyle w:val="FootnoteReference"/>
          <w:lang w:val="es-CR"/>
        </w:rPr>
        <w:footnoteReference w:id="14"/>
      </w:r>
    </w:p>
    <w:p w14:paraId="0F4D43E0" w14:textId="77777777" w:rsidR="004A0164" w:rsidRPr="002B4E6D" w:rsidRDefault="004A0164" w:rsidP="00A562C5">
      <w:pPr>
        <w:pStyle w:val="ListParagraph"/>
        <w:snapToGrid w:val="0"/>
        <w:ind w:left="0"/>
        <w:contextualSpacing w:val="0"/>
        <w:rPr>
          <w:szCs w:val="20"/>
          <w:lang w:val="es-CR"/>
        </w:rPr>
      </w:pPr>
    </w:p>
    <w:p w14:paraId="17075BBE" w14:textId="57B0DC4E" w:rsidR="005379EC" w:rsidRPr="002B4E6D" w:rsidRDefault="00022C73" w:rsidP="00A562C5">
      <w:pPr>
        <w:pStyle w:val="ListParagraph"/>
        <w:numPr>
          <w:ilvl w:val="0"/>
          <w:numId w:val="20"/>
        </w:numPr>
        <w:snapToGrid w:val="0"/>
        <w:ind w:left="0" w:firstLine="0"/>
        <w:contextualSpacing w:val="0"/>
        <w:rPr>
          <w:szCs w:val="20"/>
          <w:lang w:val="es-CR"/>
        </w:rPr>
      </w:pPr>
      <w:r w:rsidRPr="002B4E6D">
        <w:rPr>
          <w:szCs w:val="20"/>
          <w:lang w:val="es-CR"/>
        </w:rPr>
        <w:t>El</w:t>
      </w:r>
      <w:r w:rsidR="00584C54" w:rsidRPr="002B4E6D">
        <w:rPr>
          <w:szCs w:val="20"/>
          <w:lang w:val="es-CR"/>
        </w:rPr>
        <w:t xml:space="preserve"> </w:t>
      </w:r>
      <w:r w:rsidR="00584C54" w:rsidRPr="002B4E6D">
        <w:rPr>
          <w:b/>
          <w:i/>
          <w:szCs w:val="20"/>
          <w:lang w:val="es-CR"/>
        </w:rPr>
        <w:t>Estado</w:t>
      </w:r>
      <w:r w:rsidR="006E25AA" w:rsidRPr="002B4E6D">
        <w:rPr>
          <w:b/>
          <w:i/>
          <w:szCs w:val="20"/>
          <w:lang w:val="es-CR"/>
        </w:rPr>
        <w:t xml:space="preserve"> </w:t>
      </w:r>
      <w:r w:rsidRPr="002B4E6D">
        <w:rPr>
          <w:szCs w:val="20"/>
          <w:lang w:val="es-CR"/>
        </w:rPr>
        <w:t>informó</w:t>
      </w:r>
      <w:r w:rsidR="006E25AA" w:rsidRPr="002B4E6D">
        <w:rPr>
          <w:szCs w:val="20"/>
          <w:lang w:val="es-CR"/>
        </w:rPr>
        <w:t xml:space="preserve"> que está </w:t>
      </w:r>
      <w:r w:rsidRPr="002B4E6D">
        <w:rPr>
          <w:szCs w:val="20"/>
          <w:lang w:val="es-CR"/>
        </w:rPr>
        <w:t>en</w:t>
      </w:r>
      <w:r w:rsidR="006E25AA" w:rsidRPr="002B4E6D">
        <w:rPr>
          <w:szCs w:val="20"/>
          <w:lang w:val="es-CR"/>
        </w:rPr>
        <w:t xml:space="preserve"> </w:t>
      </w:r>
      <w:r w:rsidR="00611B19">
        <w:rPr>
          <w:szCs w:val="20"/>
          <w:lang w:val="es-CR"/>
        </w:rPr>
        <w:t>curso una</w:t>
      </w:r>
      <w:r w:rsidRPr="002B4E6D">
        <w:rPr>
          <w:szCs w:val="20"/>
          <w:lang w:val="es-CR"/>
        </w:rPr>
        <w:t xml:space="preserve"> investigación</w:t>
      </w:r>
      <w:r w:rsidR="006E25AA" w:rsidRPr="002B4E6D">
        <w:rPr>
          <w:szCs w:val="20"/>
          <w:lang w:val="es-CR"/>
        </w:rPr>
        <w:t xml:space="preserve"> civil </w:t>
      </w:r>
      <w:r w:rsidRPr="002B4E6D">
        <w:rPr>
          <w:szCs w:val="20"/>
          <w:lang w:val="es-CR"/>
        </w:rPr>
        <w:t>y</w:t>
      </w:r>
      <w:r w:rsidR="006E25AA" w:rsidRPr="002B4E6D">
        <w:rPr>
          <w:szCs w:val="20"/>
          <w:lang w:val="es-CR"/>
        </w:rPr>
        <w:t xml:space="preserve"> </w:t>
      </w:r>
      <w:r w:rsidRPr="002B4E6D">
        <w:rPr>
          <w:szCs w:val="20"/>
          <w:lang w:val="es-CR"/>
        </w:rPr>
        <w:t>acciones</w:t>
      </w:r>
      <w:r w:rsidR="006E25AA" w:rsidRPr="002B4E6D">
        <w:rPr>
          <w:szCs w:val="20"/>
          <w:lang w:val="es-CR"/>
        </w:rPr>
        <w:t xml:space="preserve"> civi</w:t>
      </w:r>
      <w:r w:rsidRPr="002B4E6D">
        <w:rPr>
          <w:szCs w:val="20"/>
          <w:lang w:val="es-CR"/>
        </w:rPr>
        <w:t>le</w:t>
      </w:r>
      <w:r w:rsidR="006E25AA" w:rsidRPr="002B4E6D">
        <w:rPr>
          <w:szCs w:val="20"/>
          <w:lang w:val="es-CR"/>
        </w:rPr>
        <w:t xml:space="preserve">s públicas </w:t>
      </w:r>
      <w:r w:rsidR="00611B19">
        <w:rPr>
          <w:szCs w:val="20"/>
          <w:lang w:val="es-CR"/>
        </w:rPr>
        <w:t>relacionadas</w:t>
      </w:r>
      <w:r w:rsidR="006E25AA" w:rsidRPr="002B4E6D">
        <w:rPr>
          <w:szCs w:val="20"/>
          <w:lang w:val="es-CR"/>
        </w:rPr>
        <w:t xml:space="preserve"> </w:t>
      </w:r>
      <w:r w:rsidRPr="002B4E6D">
        <w:rPr>
          <w:szCs w:val="20"/>
          <w:lang w:val="es-CR"/>
        </w:rPr>
        <w:t>a las</w:t>
      </w:r>
      <w:r w:rsidR="006E25AA" w:rsidRPr="002B4E6D">
        <w:rPr>
          <w:szCs w:val="20"/>
          <w:lang w:val="es-CR"/>
        </w:rPr>
        <w:t xml:space="preserve"> condi</w:t>
      </w:r>
      <w:r w:rsidR="00945D4E" w:rsidRPr="002B4E6D">
        <w:rPr>
          <w:szCs w:val="20"/>
          <w:lang w:val="es-CR"/>
        </w:rPr>
        <w:t>ciones</w:t>
      </w:r>
      <w:r w:rsidR="006E25AA" w:rsidRPr="002B4E6D">
        <w:rPr>
          <w:szCs w:val="20"/>
          <w:lang w:val="es-CR"/>
        </w:rPr>
        <w:t xml:space="preserve"> </w:t>
      </w:r>
      <w:r w:rsidRPr="002B4E6D">
        <w:rPr>
          <w:szCs w:val="20"/>
          <w:lang w:val="es-CR"/>
        </w:rPr>
        <w:t>estructurales</w:t>
      </w:r>
      <w:r w:rsidR="006E25AA" w:rsidRPr="002B4E6D">
        <w:rPr>
          <w:szCs w:val="20"/>
          <w:lang w:val="es-CR"/>
        </w:rPr>
        <w:t xml:space="preserve"> </w:t>
      </w:r>
      <w:r w:rsidR="002D46A1" w:rsidRPr="002B4E6D">
        <w:rPr>
          <w:szCs w:val="20"/>
          <w:lang w:val="es-CR"/>
        </w:rPr>
        <w:t>penitenciarias</w:t>
      </w:r>
      <w:r w:rsidR="006E25AA" w:rsidRPr="002B4E6D">
        <w:rPr>
          <w:szCs w:val="20"/>
          <w:lang w:val="es-CR"/>
        </w:rPr>
        <w:t xml:space="preserve">. </w:t>
      </w:r>
      <w:r w:rsidRPr="002B4E6D">
        <w:rPr>
          <w:szCs w:val="20"/>
          <w:lang w:val="es-CR"/>
        </w:rPr>
        <w:t>También</w:t>
      </w:r>
      <w:r w:rsidR="006E25AA" w:rsidRPr="002B4E6D">
        <w:rPr>
          <w:szCs w:val="20"/>
          <w:lang w:val="es-CR"/>
        </w:rPr>
        <w:t xml:space="preserve"> </w:t>
      </w:r>
      <w:r w:rsidRPr="002B4E6D">
        <w:rPr>
          <w:szCs w:val="20"/>
          <w:lang w:val="es-CR"/>
        </w:rPr>
        <w:t>informó</w:t>
      </w:r>
      <w:r w:rsidR="006E25AA" w:rsidRPr="002B4E6D">
        <w:rPr>
          <w:szCs w:val="20"/>
          <w:lang w:val="es-CR"/>
        </w:rPr>
        <w:t xml:space="preserve"> </w:t>
      </w:r>
      <w:r w:rsidRPr="002B4E6D">
        <w:rPr>
          <w:szCs w:val="20"/>
          <w:lang w:val="es-CR"/>
        </w:rPr>
        <w:t>a la</w:t>
      </w:r>
      <w:r w:rsidR="006E25AA" w:rsidRPr="002B4E6D">
        <w:rPr>
          <w:szCs w:val="20"/>
          <w:lang w:val="es-CR"/>
        </w:rPr>
        <w:t xml:space="preserve"> Corte sobre </w:t>
      </w:r>
      <w:r w:rsidRPr="002B4E6D">
        <w:rPr>
          <w:szCs w:val="20"/>
          <w:lang w:val="es-CR"/>
        </w:rPr>
        <w:t>la</w:t>
      </w:r>
      <w:r w:rsidR="006E25AA" w:rsidRPr="002B4E6D">
        <w:rPr>
          <w:szCs w:val="20"/>
          <w:lang w:val="es-CR"/>
        </w:rPr>
        <w:t xml:space="preserve"> </w:t>
      </w:r>
      <w:r w:rsidRPr="002B4E6D">
        <w:rPr>
          <w:szCs w:val="20"/>
          <w:lang w:val="es-CR"/>
        </w:rPr>
        <w:t>existencia</w:t>
      </w:r>
      <w:r w:rsidR="006E25AA" w:rsidRPr="002B4E6D">
        <w:rPr>
          <w:szCs w:val="20"/>
          <w:lang w:val="es-CR"/>
        </w:rPr>
        <w:t xml:space="preserve"> de </w:t>
      </w:r>
      <w:r w:rsidR="00611B19">
        <w:rPr>
          <w:szCs w:val="20"/>
          <w:lang w:val="es-CR"/>
        </w:rPr>
        <w:t xml:space="preserve">una </w:t>
      </w:r>
      <w:r w:rsidRPr="002B4E6D">
        <w:rPr>
          <w:szCs w:val="20"/>
          <w:lang w:val="es-CR"/>
        </w:rPr>
        <w:t>propuesta</w:t>
      </w:r>
      <w:r w:rsidR="006E25AA" w:rsidRPr="002B4E6D">
        <w:rPr>
          <w:szCs w:val="20"/>
          <w:lang w:val="es-CR"/>
        </w:rPr>
        <w:t xml:space="preserve"> preliminar para</w:t>
      </w:r>
      <w:r w:rsidRPr="002B4E6D">
        <w:rPr>
          <w:szCs w:val="20"/>
          <w:lang w:val="es-CR"/>
        </w:rPr>
        <w:t xml:space="preserve"> </w:t>
      </w:r>
      <w:r w:rsidR="002B39B9">
        <w:rPr>
          <w:szCs w:val="20"/>
          <w:lang w:val="es-CR"/>
        </w:rPr>
        <w:t>realizar</w:t>
      </w:r>
      <w:r w:rsidR="006E25AA" w:rsidRPr="002B4E6D">
        <w:rPr>
          <w:szCs w:val="20"/>
          <w:lang w:val="es-CR"/>
        </w:rPr>
        <w:t xml:space="preserve"> </w:t>
      </w:r>
      <w:r w:rsidR="002B39B9">
        <w:rPr>
          <w:szCs w:val="20"/>
          <w:lang w:val="es-CR"/>
        </w:rPr>
        <w:t>“</w:t>
      </w:r>
      <w:r w:rsidR="00104989" w:rsidRPr="002B4E6D">
        <w:rPr>
          <w:szCs w:val="20"/>
          <w:lang w:val="es-CR"/>
        </w:rPr>
        <w:t>auto</w:t>
      </w:r>
      <w:r w:rsidR="002B39B9">
        <w:rPr>
          <w:szCs w:val="20"/>
          <w:lang w:val="es-CR"/>
        </w:rPr>
        <w:t xml:space="preserve"> inspecciones”</w:t>
      </w:r>
      <w:r w:rsidR="00611B19">
        <w:rPr>
          <w:szCs w:val="20"/>
          <w:lang w:val="es-CR"/>
        </w:rPr>
        <w:t xml:space="preserve"> </w:t>
      </w:r>
      <w:r w:rsidRPr="002B4E6D">
        <w:rPr>
          <w:szCs w:val="20"/>
          <w:lang w:val="es-CR"/>
        </w:rPr>
        <w:t>de las</w:t>
      </w:r>
      <w:r w:rsidR="006E25AA" w:rsidRPr="002B4E6D">
        <w:rPr>
          <w:szCs w:val="20"/>
          <w:lang w:val="es-CR"/>
        </w:rPr>
        <w:t xml:space="preserve"> </w:t>
      </w:r>
      <w:r w:rsidR="00ED6186" w:rsidRPr="002B4E6D">
        <w:rPr>
          <w:szCs w:val="20"/>
          <w:lang w:val="es-CR"/>
        </w:rPr>
        <w:t>unidad</w:t>
      </w:r>
      <w:r w:rsidRPr="002B4E6D">
        <w:rPr>
          <w:szCs w:val="20"/>
          <w:lang w:val="es-CR"/>
        </w:rPr>
        <w:t>e</w:t>
      </w:r>
      <w:r w:rsidR="006E25AA" w:rsidRPr="002B4E6D">
        <w:rPr>
          <w:szCs w:val="20"/>
          <w:lang w:val="es-CR"/>
        </w:rPr>
        <w:t xml:space="preserve">s </w:t>
      </w:r>
      <w:r w:rsidR="002D46A1" w:rsidRPr="002B4E6D">
        <w:rPr>
          <w:szCs w:val="20"/>
          <w:lang w:val="es-CR"/>
        </w:rPr>
        <w:t>penitenciarias</w:t>
      </w:r>
      <w:r w:rsidR="006E25AA" w:rsidRPr="002B4E6D">
        <w:rPr>
          <w:szCs w:val="20"/>
          <w:lang w:val="es-CR"/>
        </w:rPr>
        <w:t xml:space="preserve">, </w:t>
      </w:r>
      <w:r w:rsidRPr="002B4E6D">
        <w:rPr>
          <w:szCs w:val="20"/>
          <w:lang w:val="es-CR"/>
        </w:rPr>
        <w:t>con</w:t>
      </w:r>
      <w:r w:rsidR="006E25AA" w:rsidRPr="002B4E6D">
        <w:rPr>
          <w:szCs w:val="20"/>
          <w:lang w:val="es-CR"/>
        </w:rPr>
        <w:t xml:space="preserve"> identifica</w:t>
      </w:r>
      <w:r w:rsidR="00AA1A37" w:rsidRPr="002B4E6D">
        <w:rPr>
          <w:szCs w:val="20"/>
          <w:lang w:val="es-CR"/>
        </w:rPr>
        <w:t>ción</w:t>
      </w:r>
      <w:r w:rsidR="006E25AA" w:rsidRPr="002B4E6D">
        <w:rPr>
          <w:szCs w:val="20"/>
          <w:lang w:val="es-CR"/>
        </w:rPr>
        <w:t xml:space="preserve"> </w:t>
      </w:r>
      <w:r w:rsidRPr="002B4E6D">
        <w:rPr>
          <w:szCs w:val="20"/>
          <w:lang w:val="es-CR"/>
        </w:rPr>
        <w:t>del</w:t>
      </w:r>
      <w:r w:rsidR="006E25AA" w:rsidRPr="002B4E6D">
        <w:rPr>
          <w:szCs w:val="20"/>
          <w:lang w:val="es-CR"/>
        </w:rPr>
        <w:t xml:space="preserve"> estado de conserva</w:t>
      </w:r>
      <w:r w:rsidR="00AA1A37" w:rsidRPr="002B4E6D">
        <w:rPr>
          <w:szCs w:val="20"/>
          <w:lang w:val="es-CR"/>
        </w:rPr>
        <w:t>ción</w:t>
      </w:r>
      <w:r w:rsidR="006E25AA" w:rsidRPr="002B4E6D">
        <w:rPr>
          <w:szCs w:val="20"/>
          <w:lang w:val="es-CR"/>
        </w:rPr>
        <w:t xml:space="preserve"> </w:t>
      </w:r>
      <w:r w:rsidRPr="002B4E6D">
        <w:rPr>
          <w:szCs w:val="20"/>
          <w:lang w:val="es-CR"/>
        </w:rPr>
        <w:t>y</w:t>
      </w:r>
      <w:r w:rsidR="006E25AA" w:rsidRPr="002B4E6D">
        <w:rPr>
          <w:szCs w:val="20"/>
          <w:lang w:val="es-CR"/>
        </w:rPr>
        <w:t xml:space="preserve"> </w:t>
      </w:r>
      <w:r w:rsidRPr="002B4E6D">
        <w:rPr>
          <w:szCs w:val="20"/>
          <w:lang w:val="es-CR"/>
        </w:rPr>
        <w:t>de las</w:t>
      </w:r>
      <w:r w:rsidR="006E25AA" w:rsidRPr="002B4E6D">
        <w:rPr>
          <w:szCs w:val="20"/>
          <w:lang w:val="es-CR"/>
        </w:rPr>
        <w:t xml:space="preserve"> medidas de interven</w:t>
      </w:r>
      <w:r w:rsidR="00AA1A37" w:rsidRPr="002B4E6D">
        <w:rPr>
          <w:szCs w:val="20"/>
          <w:lang w:val="es-CR"/>
        </w:rPr>
        <w:t>ción</w:t>
      </w:r>
      <w:r w:rsidR="006E25AA" w:rsidRPr="002B4E6D">
        <w:rPr>
          <w:szCs w:val="20"/>
          <w:lang w:val="es-CR"/>
        </w:rPr>
        <w:t xml:space="preserve"> </w:t>
      </w:r>
      <w:r w:rsidRPr="002B4E6D">
        <w:rPr>
          <w:szCs w:val="20"/>
          <w:lang w:val="es-CR"/>
        </w:rPr>
        <w:t>necesarias</w:t>
      </w:r>
      <w:r w:rsidR="006E25AA" w:rsidRPr="002B4E6D">
        <w:rPr>
          <w:szCs w:val="20"/>
          <w:lang w:val="es-CR"/>
        </w:rPr>
        <w:t xml:space="preserve">. </w:t>
      </w:r>
      <w:r w:rsidRPr="002B4E6D">
        <w:rPr>
          <w:szCs w:val="20"/>
          <w:lang w:val="es-CR"/>
        </w:rPr>
        <w:t>El</w:t>
      </w:r>
      <w:r w:rsidR="006E25AA" w:rsidRPr="002B4E6D">
        <w:rPr>
          <w:szCs w:val="20"/>
          <w:lang w:val="es-CR"/>
        </w:rPr>
        <w:t xml:space="preserve"> objetivo </w:t>
      </w:r>
      <w:r w:rsidRPr="002B4E6D">
        <w:rPr>
          <w:szCs w:val="20"/>
          <w:lang w:val="es-CR"/>
        </w:rPr>
        <w:t>de la</w:t>
      </w:r>
      <w:r w:rsidR="006E25AA" w:rsidRPr="002B4E6D">
        <w:rPr>
          <w:szCs w:val="20"/>
          <w:lang w:val="es-CR"/>
        </w:rPr>
        <w:t xml:space="preserve"> </w:t>
      </w:r>
      <w:r w:rsidRPr="002B4E6D">
        <w:rPr>
          <w:szCs w:val="20"/>
          <w:lang w:val="es-CR"/>
        </w:rPr>
        <w:t>propuesta</w:t>
      </w:r>
      <w:r w:rsidR="006E25AA" w:rsidRPr="002B4E6D">
        <w:rPr>
          <w:szCs w:val="20"/>
          <w:lang w:val="es-CR"/>
        </w:rPr>
        <w:t xml:space="preserve"> </w:t>
      </w:r>
      <w:r w:rsidRPr="002B4E6D">
        <w:rPr>
          <w:szCs w:val="20"/>
          <w:lang w:val="es-CR"/>
        </w:rPr>
        <w:t>sería</w:t>
      </w:r>
      <w:r w:rsidR="006E25AA" w:rsidRPr="002B4E6D">
        <w:rPr>
          <w:szCs w:val="20"/>
          <w:lang w:val="es-CR"/>
        </w:rPr>
        <w:t xml:space="preserve"> </w:t>
      </w:r>
      <w:r w:rsidRPr="002B4E6D">
        <w:rPr>
          <w:szCs w:val="20"/>
          <w:lang w:val="es-CR"/>
        </w:rPr>
        <w:t>establecer</w:t>
      </w:r>
      <w:r w:rsidR="006E25AA" w:rsidRPr="002B4E6D">
        <w:rPr>
          <w:szCs w:val="20"/>
          <w:lang w:val="es-CR"/>
        </w:rPr>
        <w:t xml:space="preserve"> </w:t>
      </w:r>
      <w:r w:rsidRPr="002B4E6D">
        <w:rPr>
          <w:szCs w:val="20"/>
          <w:lang w:val="es-CR"/>
        </w:rPr>
        <w:t>criterios</w:t>
      </w:r>
      <w:r w:rsidR="006E25AA" w:rsidRPr="002B4E6D">
        <w:rPr>
          <w:szCs w:val="20"/>
          <w:lang w:val="es-CR"/>
        </w:rPr>
        <w:t xml:space="preserve"> de </w:t>
      </w:r>
      <w:r w:rsidRPr="002B4E6D">
        <w:rPr>
          <w:szCs w:val="20"/>
          <w:lang w:val="es-CR"/>
        </w:rPr>
        <w:t>prioridad</w:t>
      </w:r>
      <w:r w:rsidR="006E25AA" w:rsidRPr="002B4E6D">
        <w:rPr>
          <w:szCs w:val="20"/>
          <w:lang w:val="es-CR"/>
        </w:rPr>
        <w:t xml:space="preserve"> </w:t>
      </w:r>
      <w:r w:rsidRPr="002B4E6D">
        <w:rPr>
          <w:szCs w:val="20"/>
          <w:lang w:val="es-CR"/>
        </w:rPr>
        <w:t>ante</w:t>
      </w:r>
      <w:r w:rsidR="006E25AA" w:rsidRPr="002B4E6D">
        <w:rPr>
          <w:szCs w:val="20"/>
          <w:lang w:val="es-CR"/>
        </w:rPr>
        <w:t xml:space="preserve"> </w:t>
      </w:r>
      <w:r w:rsidRPr="002B4E6D">
        <w:rPr>
          <w:szCs w:val="20"/>
          <w:lang w:val="es-CR"/>
        </w:rPr>
        <w:t>la</w:t>
      </w:r>
      <w:r w:rsidR="006E25AA" w:rsidRPr="002B4E6D">
        <w:rPr>
          <w:szCs w:val="20"/>
          <w:lang w:val="es-CR"/>
        </w:rPr>
        <w:t xml:space="preserve"> </w:t>
      </w:r>
      <w:r w:rsidRPr="002B4E6D">
        <w:rPr>
          <w:szCs w:val="20"/>
          <w:lang w:val="es-CR"/>
        </w:rPr>
        <w:t>escasez</w:t>
      </w:r>
      <w:r w:rsidR="006E25AA" w:rsidRPr="002B4E6D">
        <w:rPr>
          <w:szCs w:val="20"/>
          <w:lang w:val="es-CR"/>
        </w:rPr>
        <w:t xml:space="preserve"> de recursos </w:t>
      </w:r>
      <w:r w:rsidRPr="002B4E6D">
        <w:rPr>
          <w:szCs w:val="20"/>
          <w:lang w:val="es-CR"/>
        </w:rPr>
        <w:t>presupuestarios</w:t>
      </w:r>
      <w:r w:rsidR="009D5D3D" w:rsidRPr="002B4E6D">
        <w:rPr>
          <w:szCs w:val="20"/>
          <w:lang w:val="es-CR"/>
        </w:rPr>
        <w:t>.</w:t>
      </w:r>
    </w:p>
    <w:p w14:paraId="25D4811D" w14:textId="77777777" w:rsidR="00EA160D" w:rsidRPr="002B4E6D" w:rsidRDefault="00EA160D" w:rsidP="00A562C5">
      <w:pPr>
        <w:pStyle w:val="ListParagraph"/>
        <w:ind w:left="0"/>
        <w:rPr>
          <w:szCs w:val="20"/>
          <w:lang w:val="es-CR"/>
        </w:rPr>
      </w:pPr>
    </w:p>
    <w:p w14:paraId="08D35EC7" w14:textId="418A7BC5" w:rsidR="006E25AA" w:rsidRPr="002B4E6D" w:rsidRDefault="00022C73" w:rsidP="00A562C5">
      <w:pPr>
        <w:pStyle w:val="ListParagraph"/>
        <w:numPr>
          <w:ilvl w:val="0"/>
          <w:numId w:val="20"/>
        </w:numPr>
        <w:snapToGrid w:val="0"/>
        <w:ind w:left="0" w:firstLine="0"/>
        <w:contextualSpacing w:val="0"/>
        <w:rPr>
          <w:szCs w:val="20"/>
          <w:lang w:val="es-CR"/>
        </w:rPr>
      </w:pPr>
      <w:r w:rsidRPr="002B4E6D">
        <w:rPr>
          <w:szCs w:val="20"/>
          <w:lang w:val="es-CR"/>
        </w:rPr>
        <w:t>Específicamente</w:t>
      </w:r>
      <w:r w:rsidR="00EA160D" w:rsidRPr="002B4E6D">
        <w:rPr>
          <w:szCs w:val="20"/>
          <w:lang w:val="es-CR"/>
        </w:rPr>
        <w:t xml:space="preserve"> </w:t>
      </w:r>
      <w:r w:rsidRPr="002B4E6D">
        <w:rPr>
          <w:szCs w:val="20"/>
          <w:lang w:val="es-CR"/>
        </w:rPr>
        <w:t>en</w:t>
      </w:r>
      <w:r w:rsidR="00EA160D" w:rsidRPr="002B4E6D">
        <w:rPr>
          <w:szCs w:val="20"/>
          <w:lang w:val="es-CR"/>
        </w:rPr>
        <w:t xml:space="preserve"> rela</w:t>
      </w:r>
      <w:r w:rsidR="00AA1A37" w:rsidRPr="002B4E6D">
        <w:rPr>
          <w:szCs w:val="20"/>
          <w:lang w:val="es-CR"/>
        </w:rPr>
        <w:t>ción</w:t>
      </w:r>
      <w:r w:rsidR="00EA160D" w:rsidRPr="002B4E6D">
        <w:rPr>
          <w:szCs w:val="20"/>
          <w:lang w:val="es-CR"/>
        </w:rPr>
        <w:t xml:space="preserve"> </w:t>
      </w:r>
      <w:r w:rsidRPr="002B4E6D">
        <w:rPr>
          <w:szCs w:val="20"/>
          <w:lang w:val="es-CR"/>
        </w:rPr>
        <w:t>al</w:t>
      </w:r>
      <w:r w:rsidR="00EA160D" w:rsidRPr="002B4E6D">
        <w:rPr>
          <w:szCs w:val="20"/>
          <w:lang w:val="es-CR"/>
        </w:rPr>
        <w:t xml:space="preserve"> IPPSC, </w:t>
      </w:r>
      <w:r w:rsidRPr="002B4E6D">
        <w:rPr>
          <w:szCs w:val="20"/>
          <w:lang w:val="es-CR"/>
        </w:rPr>
        <w:t>el</w:t>
      </w:r>
      <w:r w:rsidR="00EA160D" w:rsidRPr="002B4E6D">
        <w:rPr>
          <w:szCs w:val="20"/>
          <w:lang w:val="es-CR"/>
        </w:rPr>
        <w:t xml:space="preserve"> Estado </w:t>
      </w:r>
      <w:r w:rsidRPr="002B4E6D">
        <w:rPr>
          <w:szCs w:val="20"/>
          <w:lang w:val="es-CR"/>
        </w:rPr>
        <w:t>informó</w:t>
      </w:r>
      <w:r w:rsidR="00EA160D" w:rsidRPr="002B4E6D">
        <w:rPr>
          <w:szCs w:val="20"/>
          <w:lang w:val="es-CR"/>
        </w:rPr>
        <w:t xml:space="preserve"> que </w:t>
      </w:r>
      <w:r w:rsidR="00C061E0">
        <w:rPr>
          <w:szCs w:val="20"/>
          <w:lang w:val="es-CR"/>
        </w:rPr>
        <w:t xml:space="preserve">está </w:t>
      </w:r>
      <w:r w:rsidR="00EA160D" w:rsidRPr="002B4E6D">
        <w:rPr>
          <w:szCs w:val="20"/>
          <w:lang w:val="es-CR"/>
        </w:rPr>
        <w:t>tramita</w:t>
      </w:r>
      <w:r w:rsidR="00C061E0">
        <w:rPr>
          <w:szCs w:val="20"/>
          <w:lang w:val="es-CR"/>
        </w:rPr>
        <w:t>ndo</w:t>
      </w:r>
      <w:r w:rsidR="00EA160D" w:rsidRPr="002B4E6D">
        <w:rPr>
          <w:szCs w:val="20"/>
          <w:lang w:val="es-CR"/>
        </w:rPr>
        <w:t xml:space="preserve"> </w:t>
      </w:r>
      <w:r w:rsidRPr="002B4E6D">
        <w:rPr>
          <w:szCs w:val="20"/>
          <w:lang w:val="es-CR"/>
        </w:rPr>
        <w:t>el</w:t>
      </w:r>
      <w:r w:rsidR="00EA160D" w:rsidRPr="002B4E6D">
        <w:rPr>
          <w:szCs w:val="20"/>
          <w:lang w:val="es-CR"/>
        </w:rPr>
        <w:t xml:space="preserve"> </w:t>
      </w:r>
      <w:r w:rsidRPr="002B4E6D">
        <w:rPr>
          <w:szCs w:val="20"/>
          <w:lang w:val="es-CR"/>
        </w:rPr>
        <w:t>proceso</w:t>
      </w:r>
      <w:r w:rsidR="00EA160D" w:rsidRPr="002B4E6D">
        <w:rPr>
          <w:szCs w:val="20"/>
          <w:lang w:val="es-CR"/>
        </w:rPr>
        <w:t xml:space="preserve"> administrativo </w:t>
      </w:r>
      <w:r w:rsidR="00C061E0">
        <w:rPr>
          <w:szCs w:val="20"/>
          <w:lang w:val="es-CR"/>
        </w:rPr>
        <w:t>para</w:t>
      </w:r>
      <w:r w:rsidRPr="002B4E6D">
        <w:rPr>
          <w:szCs w:val="20"/>
          <w:lang w:val="es-CR"/>
        </w:rPr>
        <w:t xml:space="preserve"> la</w:t>
      </w:r>
      <w:r w:rsidR="00EA160D" w:rsidRPr="002B4E6D">
        <w:rPr>
          <w:szCs w:val="20"/>
          <w:lang w:val="es-CR"/>
        </w:rPr>
        <w:t xml:space="preserve"> reforma </w:t>
      </w:r>
      <w:r w:rsidRPr="002B4E6D">
        <w:rPr>
          <w:szCs w:val="20"/>
          <w:lang w:val="es-CR"/>
        </w:rPr>
        <w:t>de los</w:t>
      </w:r>
      <w:r w:rsidR="00EA160D" w:rsidRPr="002B4E6D">
        <w:rPr>
          <w:szCs w:val="20"/>
          <w:lang w:val="es-CR"/>
        </w:rPr>
        <w:t xml:space="preserve"> </w:t>
      </w:r>
      <w:r w:rsidR="00817430">
        <w:rPr>
          <w:szCs w:val="20"/>
          <w:lang w:val="es-CR"/>
        </w:rPr>
        <w:t>p</w:t>
      </w:r>
      <w:r w:rsidR="00B12DBC" w:rsidRPr="002B4E6D">
        <w:rPr>
          <w:szCs w:val="20"/>
          <w:lang w:val="es-CR"/>
        </w:rPr>
        <w:t>abellones</w:t>
      </w:r>
      <w:r w:rsidR="00EA160D" w:rsidRPr="002B4E6D">
        <w:rPr>
          <w:szCs w:val="20"/>
          <w:lang w:val="es-CR"/>
        </w:rPr>
        <w:t xml:space="preserve"> A, B, C, D </w:t>
      </w:r>
      <w:r w:rsidRPr="002B4E6D">
        <w:rPr>
          <w:szCs w:val="20"/>
          <w:lang w:val="es-CR"/>
        </w:rPr>
        <w:t>y</w:t>
      </w:r>
      <w:r w:rsidR="00EA160D" w:rsidRPr="002B4E6D">
        <w:rPr>
          <w:szCs w:val="20"/>
          <w:lang w:val="es-CR"/>
        </w:rPr>
        <w:t xml:space="preserve"> E. </w:t>
      </w:r>
      <w:r w:rsidRPr="002B4E6D">
        <w:rPr>
          <w:szCs w:val="20"/>
          <w:lang w:val="es-CR"/>
        </w:rPr>
        <w:t>Hasta</w:t>
      </w:r>
      <w:r w:rsidR="00EA160D" w:rsidRPr="002B4E6D">
        <w:rPr>
          <w:szCs w:val="20"/>
          <w:lang w:val="es-CR"/>
        </w:rPr>
        <w:t xml:space="preserve"> m</w:t>
      </w:r>
      <w:r w:rsidRPr="002B4E6D">
        <w:rPr>
          <w:szCs w:val="20"/>
          <w:lang w:val="es-CR"/>
        </w:rPr>
        <w:t>ay</w:t>
      </w:r>
      <w:r w:rsidR="00EA160D" w:rsidRPr="002B4E6D">
        <w:rPr>
          <w:szCs w:val="20"/>
          <w:lang w:val="es-CR"/>
        </w:rPr>
        <w:t>o de</w:t>
      </w:r>
      <w:r w:rsidR="001971D9">
        <w:rPr>
          <w:szCs w:val="20"/>
          <w:lang w:val="es-CR"/>
        </w:rPr>
        <w:t>l</w:t>
      </w:r>
      <w:r w:rsidR="00EA160D" w:rsidRPr="002B4E6D">
        <w:rPr>
          <w:szCs w:val="20"/>
          <w:lang w:val="es-CR"/>
        </w:rPr>
        <w:t xml:space="preserve"> 2018, </w:t>
      </w:r>
      <w:r w:rsidRPr="002B4E6D">
        <w:rPr>
          <w:szCs w:val="20"/>
          <w:lang w:val="es-CR"/>
        </w:rPr>
        <w:t>el</w:t>
      </w:r>
      <w:r w:rsidR="00EA160D" w:rsidRPr="002B4E6D">
        <w:rPr>
          <w:szCs w:val="20"/>
          <w:lang w:val="es-CR"/>
        </w:rPr>
        <w:t xml:space="preserve"> </w:t>
      </w:r>
      <w:r w:rsidRPr="002B4E6D">
        <w:rPr>
          <w:szCs w:val="20"/>
          <w:lang w:val="es-CR"/>
        </w:rPr>
        <w:t>proceso</w:t>
      </w:r>
      <w:r w:rsidR="00EA160D" w:rsidRPr="002B4E6D">
        <w:rPr>
          <w:szCs w:val="20"/>
          <w:lang w:val="es-CR"/>
        </w:rPr>
        <w:t xml:space="preserve"> </w:t>
      </w:r>
      <w:r w:rsidRPr="002B4E6D">
        <w:rPr>
          <w:szCs w:val="20"/>
          <w:lang w:val="es-CR"/>
        </w:rPr>
        <w:t>se encontraba</w:t>
      </w:r>
      <w:r w:rsidR="00EA160D" w:rsidRPr="002B4E6D">
        <w:rPr>
          <w:szCs w:val="20"/>
          <w:lang w:val="es-CR"/>
        </w:rPr>
        <w:t xml:space="preserve"> </w:t>
      </w:r>
      <w:r w:rsidRPr="002B4E6D">
        <w:rPr>
          <w:szCs w:val="20"/>
          <w:lang w:val="es-CR"/>
        </w:rPr>
        <w:t>en el</w:t>
      </w:r>
      <w:r w:rsidR="00EA160D" w:rsidRPr="002B4E6D">
        <w:rPr>
          <w:szCs w:val="20"/>
          <w:lang w:val="es-CR"/>
        </w:rPr>
        <w:t xml:space="preserve"> </w:t>
      </w:r>
      <w:r w:rsidRPr="002B4E6D">
        <w:rPr>
          <w:szCs w:val="20"/>
          <w:lang w:val="es-CR"/>
        </w:rPr>
        <w:t>sector</w:t>
      </w:r>
      <w:r w:rsidR="00EA160D" w:rsidRPr="002B4E6D">
        <w:rPr>
          <w:szCs w:val="20"/>
          <w:lang w:val="es-CR"/>
        </w:rPr>
        <w:t xml:space="preserve"> de </w:t>
      </w:r>
      <w:r w:rsidRPr="002B4E6D">
        <w:rPr>
          <w:szCs w:val="20"/>
          <w:lang w:val="es-CR"/>
        </w:rPr>
        <w:t>presupuestos de</w:t>
      </w:r>
      <w:r w:rsidR="00286306">
        <w:rPr>
          <w:szCs w:val="20"/>
          <w:lang w:val="es-CR"/>
        </w:rPr>
        <w:t xml:space="preserve"> </w:t>
      </w:r>
      <w:r w:rsidRPr="002B4E6D">
        <w:rPr>
          <w:szCs w:val="20"/>
          <w:lang w:val="es-CR"/>
        </w:rPr>
        <w:t>l</w:t>
      </w:r>
      <w:r w:rsidR="00286306">
        <w:rPr>
          <w:szCs w:val="20"/>
          <w:lang w:val="es-CR"/>
        </w:rPr>
        <w:t>a</w:t>
      </w:r>
      <w:r w:rsidR="00EA160D" w:rsidRPr="002B4E6D">
        <w:rPr>
          <w:szCs w:val="20"/>
          <w:lang w:val="es-CR"/>
        </w:rPr>
        <w:t xml:space="preserve"> SEAP/RJ. </w:t>
      </w:r>
      <w:r w:rsidR="001971D9">
        <w:rPr>
          <w:szCs w:val="20"/>
          <w:lang w:val="es-CR"/>
        </w:rPr>
        <w:t>T</w:t>
      </w:r>
      <w:r w:rsidRPr="002B4E6D">
        <w:rPr>
          <w:szCs w:val="20"/>
          <w:lang w:val="es-CR"/>
        </w:rPr>
        <w:t>ambién</w:t>
      </w:r>
      <w:r w:rsidR="001971D9">
        <w:rPr>
          <w:szCs w:val="20"/>
          <w:lang w:val="es-CR"/>
        </w:rPr>
        <w:t xml:space="preserve"> </w:t>
      </w:r>
      <w:r w:rsidR="00531823">
        <w:rPr>
          <w:szCs w:val="20"/>
          <w:lang w:val="es-CR"/>
        </w:rPr>
        <w:t>i</w:t>
      </w:r>
      <w:r w:rsidR="001971D9" w:rsidRPr="002B4E6D">
        <w:rPr>
          <w:szCs w:val="20"/>
          <w:lang w:val="es-CR"/>
        </w:rPr>
        <w:t>nformó</w:t>
      </w:r>
      <w:r w:rsidR="00EA160D" w:rsidRPr="002B4E6D">
        <w:rPr>
          <w:szCs w:val="20"/>
          <w:lang w:val="es-CR"/>
        </w:rPr>
        <w:t xml:space="preserve"> </w:t>
      </w:r>
      <w:r w:rsidR="00531823">
        <w:rPr>
          <w:szCs w:val="20"/>
          <w:lang w:val="es-CR"/>
        </w:rPr>
        <w:t>que está</w:t>
      </w:r>
      <w:r w:rsidR="00EA160D" w:rsidRPr="002B4E6D">
        <w:rPr>
          <w:szCs w:val="20"/>
          <w:lang w:val="es-CR"/>
        </w:rPr>
        <w:t xml:space="preserve"> </w:t>
      </w:r>
      <w:r w:rsidRPr="002B4E6D">
        <w:rPr>
          <w:szCs w:val="20"/>
          <w:lang w:val="es-CR"/>
        </w:rPr>
        <w:t>en</w:t>
      </w:r>
      <w:r w:rsidR="00EA160D" w:rsidRPr="002B4E6D">
        <w:rPr>
          <w:szCs w:val="20"/>
          <w:lang w:val="es-CR"/>
        </w:rPr>
        <w:t xml:space="preserve"> </w:t>
      </w:r>
      <w:r w:rsidRPr="002B4E6D">
        <w:rPr>
          <w:szCs w:val="20"/>
          <w:lang w:val="es-CR"/>
        </w:rPr>
        <w:t>etapa</w:t>
      </w:r>
      <w:r w:rsidR="00EA160D" w:rsidRPr="002B4E6D">
        <w:rPr>
          <w:szCs w:val="20"/>
          <w:lang w:val="es-CR"/>
        </w:rPr>
        <w:t xml:space="preserve"> de </w:t>
      </w:r>
      <w:r w:rsidRPr="002B4E6D">
        <w:rPr>
          <w:szCs w:val="20"/>
          <w:lang w:val="es-CR"/>
        </w:rPr>
        <w:t>instrucción</w:t>
      </w:r>
      <w:r w:rsidR="00EA160D" w:rsidRPr="002B4E6D">
        <w:rPr>
          <w:szCs w:val="20"/>
          <w:lang w:val="es-CR"/>
        </w:rPr>
        <w:t xml:space="preserve"> </w:t>
      </w:r>
      <w:r w:rsidRPr="002B4E6D">
        <w:rPr>
          <w:szCs w:val="20"/>
          <w:lang w:val="es-CR"/>
        </w:rPr>
        <w:t>l</w:t>
      </w:r>
      <w:r w:rsidR="00EA160D" w:rsidRPr="002B4E6D">
        <w:rPr>
          <w:szCs w:val="20"/>
          <w:lang w:val="es-CR"/>
        </w:rPr>
        <w:t xml:space="preserve">a </w:t>
      </w:r>
      <w:r w:rsidRPr="002B4E6D">
        <w:rPr>
          <w:szCs w:val="20"/>
          <w:lang w:val="es-CR"/>
        </w:rPr>
        <w:t>Acción</w:t>
      </w:r>
      <w:r w:rsidR="00EA160D" w:rsidRPr="002B4E6D">
        <w:rPr>
          <w:szCs w:val="20"/>
          <w:lang w:val="es-CR"/>
        </w:rPr>
        <w:t xml:space="preserve"> Civil Pública 0252862-39.2012.8.19.0001, </w:t>
      </w:r>
      <w:r w:rsidR="00104989">
        <w:rPr>
          <w:szCs w:val="20"/>
          <w:lang w:val="es-CR"/>
        </w:rPr>
        <w:t>promovida</w:t>
      </w:r>
      <w:r w:rsidR="00EA160D" w:rsidRPr="002B4E6D">
        <w:rPr>
          <w:szCs w:val="20"/>
          <w:lang w:val="es-CR"/>
        </w:rPr>
        <w:t xml:space="preserve"> </w:t>
      </w:r>
      <w:r w:rsidRPr="002B4E6D">
        <w:rPr>
          <w:szCs w:val="20"/>
          <w:lang w:val="es-CR"/>
        </w:rPr>
        <w:t>por el</w:t>
      </w:r>
      <w:r w:rsidR="00EA160D" w:rsidRPr="002B4E6D">
        <w:rPr>
          <w:szCs w:val="20"/>
          <w:lang w:val="es-CR"/>
        </w:rPr>
        <w:t xml:space="preserve"> </w:t>
      </w:r>
      <w:r w:rsidRPr="002B4E6D">
        <w:rPr>
          <w:szCs w:val="20"/>
          <w:lang w:val="es-CR"/>
        </w:rPr>
        <w:t>Ministerio</w:t>
      </w:r>
      <w:r w:rsidR="00EA160D" w:rsidRPr="002B4E6D">
        <w:rPr>
          <w:szCs w:val="20"/>
          <w:lang w:val="es-CR"/>
        </w:rPr>
        <w:t xml:space="preserve"> Público </w:t>
      </w:r>
      <w:r w:rsidRPr="002B4E6D">
        <w:rPr>
          <w:szCs w:val="20"/>
          <w:lang w:val="es-CR"/>
        </w:rPr>
        <w:t>del</w:t>
      </w:r>
      <w:r w:rsidR="00EA160D" w:rsidRPr="002B4E6D">
        <w:rPr>
          <w:szCs w:val="20"/>
          <w:lang w:val="es-CR"/>
        </w:rPr>
        <w:t xml:space="preserve"> </w:t>
      </w:r>
      <w:r w:rsidR="00817430">
        <w:rPr>
          <w:szCs w:val="20"/>
          <w:lang w:val="es-CR"/>
        </w:rPr>
        <w:t>e</w:t>
      </w:r>
      <w:r w:rsidR="00EA160D" w:rsidRPr="002B4E6D">
        <w:rPr>
          <w:szCs w:val="20"/>
          <w:lang w:val="es-CR"/>
        </w:rPr>
        <w:t xml:space="preserve">stado </w:t>
      </w:r>
      <w:r w:rsidRPr="002B4E6D">
        <w:rPr>
          <w:szCs w:val="20"/>
          <w:lang w:val="es-CR"/>
        </w:rPr>
        <w:t>de</w:t>
      </w:r>
      <w:r w:rsidR="00EA160D" w:rsidRPr="002B4E6D">
        <w:rPr>
          <w:szCs w:val="20"/>
          <w:lang w:val="es-CR"/>
        </w:rPr>
        <w:t xml:space="preserve"> </w:t>
      </w:r>
      <w:r w:rsidR="00E9168C" w:rsidRPr="002B4E6D">
        <w:rPr>
          <w:szCs w:val="20"/>
          <w:lang w:val="es-CR"/>
        </w:rPr>
        <w:t>Río de Janeiro</w:t>
      </w:r>
      <w:r w:rsidR="00EA160D" w:rsidRPr="002B4E6D">
        <w:rPr>
          <w:szCs w:val="20"/>
          <w:lang w:val="es-CR"/>
        </w:rPr>
        <w:t xml:space="preserve">, </w:t>
      </w:r>
      <w:r w:rsidR="00104989">
        <w:rPr>
          <w:szCs w:val="20"/>
          <w:lang w:val="es-CR"/>
        </w:rPr>
        <w:t>tendiente</w:t>
      </w:r>
      <w:r w:rsidR="00EA160D" w:rsidRPr="002B4E6D">
        <w:rPr>
          <w:szCs w:val="20"/>
          <w:lang w:val="es-CR"/>
        </w:rPr>
        <w:t xml:space="preserve"> </w:t>
      </w:r>
      <w:r w:rsidRPr="002B4E6D">
        <w:rPr>
          <w:szCs w:val="20"/>
          <w:lang w:val="es-CR"/>
        </w:rPr>
        <w:t xml:space="preserve">a la </w:t>
      </w:r>
      <w:r w:rsidR="00EA160D" w:rsidRPr="002B4E6D">
        <w:rPr>
          <w:szCs w:val="20"/>
          <w:lang w:val="es-CR"/>
        </w:rPr>
        <w:t xml:space="preserve">reforma </w:t>
      </w:r>
      <w:r w:rsidRPr="002B4E6D">
        <w:rPr>
          <w:szCs w:val="20"/>
          <w:lang w:val="es-CR"/>
        </w:rPr>
        <w:t>del</w:t>
      </w:r>
      <w:r w:rsidR="00EA160D" w:rsidRPr="002B4E6D">
        <w:rPr>
          <w:szCs w:val="20"/>
          <w:lang w:val="es-CR"/>
        </w:rPr>
        <w:t xml:space="preserve"> IPPSC.</w:t>
      </w:r>
    </w:p>
    <w:p w14:paraId="089EB902" w14:textId="77777777" w:rsidR="009D5D3D" w:rsidRPr="002B4E6D" w:rsidRDefault="009D5D3D" w:rsidP="00A562C5">
      <w:pPr>
        <w:pStyle w:val="ListParagraph"/>
        <w:ind w:left="0"/>
        <w:rPr>
          <w:szCs w:val="20"/>
          <w:lang w:val="es-CR"/>
        </w:rPr>
      </w:pPr>
    </w:p>
    <w:p w14:paraId="751D5504" w14:textId="3B917A3E" w:rsidR="00853BD7" w:rsidRPr="002B4E6D" w:rsidRDefault="00F42201" w:rsidP="00A562C5">
      <w:pPr>
        <w:pStyle w:val="ListParagraph"/>
        <w:numPr>
          <w:ilvl w:val="0"/>
          <w:numId w:val="20"/>
        </w:numPr>
        <w:snapToGrid w:val="0"/>
        <w:ind w:left="0" w:firstLine="0"/>
        <w:contextualSpacing w:val="0"/>
        <w:rPr>
          <w:szCs w:val="20"/>
          <w:lang w:val="es-CR"/>
        </w:rPr>
      </w:pPr>
      <w:r w:rsidRPr="002B4E6D">
        <w:rPr>
          <w:szCs w:val="20"/>
          <w:lang w:val="es-CR"/>
        </w:rPr>
        <w:t>El</w:t>
      </w:r>
      <w:r w:rsidR="009D5D3D" w:rsidRPr="002B4E6D">
        <w:rPr>
          <w:szCs w:val="20"/>
          <w:lang w:val="es-CR"/>
        </w:rPr>
        <w:t xml:space="preserve"> Diagnóstico Técnico </w:t>
      </w:r>
      <w:r w:rsidRPr="002B4E6D">
        <w:rPr>
          <w:szCs w:val="20"/>
          <w:lang w:val="es-CR"/>
        </w:rPr>
        <w:t>presentado</w:t>
      </w:r>
      <w:r w:rsidR="009D5D3D" w:rsidRPr="002B4E6D">
        <w:rPr>
          <w:szCs w:val="20"/>
          <w:lang w:val="es-CR"/>
        </w:rPr>
        <w:t xml:space="preserve"> </w:t>
      </w:r>
      <w:r w:rsidRPr="002B4E6D">
        <w:rPr>
          <w:szCs w:val="20"/>
          <w:lang w:val="es-CR"/>
        </w:rPr>
        <w:t>por el</w:t>
      </w:r>
      <w:r w:rsidR="009D5D3D" w:rsidRPr="002B4E6D">
        <w:rPr>
          <w:szCs w:val="20"/>
          <w:lang w:val="es-CR"/>
        </w:rPr>
        <w:t xml:space="preserve"> Estado </w:t>
      </w:r>
      <w:r w:rsidR="00104989" w:rsidRPr="002B4E6D">
        <w:rPr>
          <w:szCs w:val="20"/>
          <w:lang w:val="es-CR"/>
        </w:rPr>
        <w:t>introdujo</w:t>
      </w:r>
      <w:r w:rsidRPr="002B4E6D">
        <w:rPr>
          <w:szCs w:val="20"/>
          <w:lang w:val="es-CR"/>
        </w:rPr>
        <w:t xml:space="preserve"> </w:t>
      </w:r>
      <w:r w:rsidR="009D5D3D" w:rsidRPr="002B4E6D">
        <w:rPr>
          <w:szCs w:val="20"/>
          <w:lang w:val="es-CR"/>
        </w:rPr>
        <w:t>da</w:t>
      </w:r>
      <w:r w:rsidRPr="002B4E6D">
        <w:rPr>
          <w:szCs w:val="20"/>
          <w:lang w:val="es-CR"/>
        </w:rPr>
        <w:t>t</w:t>
      </w:r>
      <w:r w:rsidR="009D5D3D" w:rsidRPr="002B4E6D">
        <w:rPr>
          <w:szCs w:val="20"/>
          <w:lang w:val="es-CR"/>
        </w:rPr>
        <w:t xml:space="preserve">os relevantes sobre </w:t>
      </w:r>
      <w:r w:rsidRPr="002B4E6D">
        <w:rPr>
          <w:szCs w:val="20"/>
          <w:lang w:val="es-CR"/>
        </w:rPr>
        <w:t>las</w:t>
      </w:r>
      <w:r w:rsidR="009D5D3D" w:rsidRPr="002B4E6D">
        <w:rPr>
          <w:szCs w:val="20"/>
          <w:lang w:val="es-CR"/>
        </w:rPr>
        <w:t xml:space="preserve"> condi</w:t>
      </w:r>
      <w:r w:rsidR="00945D4E" w:rsidRPr="002B4E6D">
        <w:rPr>
          <w:szCs w:val="20"/>
          <w:lang w:val="es-CR"/>
        </w:rPr>
        <w:t>ciones</w:t>
      </w:r>
      <w:r w:rsidR="009D5D3D" w:rsidRPr="002B4E6D">
        <w:rPr>
          <w:szCs w:val="20"/>
          <w:lang w:val="es-CR"/>
        </w:rPr>
        <w:t xml:space="preserve"> de deten</w:t>
      </w:r>
      <w:r w:rsidR="00AA1A37" w:rsidRPr="002B4E6D">
        <w:rPr>
          <w:szCs w:val="20"/>
          <w:lang w:val="es-CR"/>
        </w:rPr>
        <w:t>ción</w:t>
      </w:r>
      <w:r w:rsidR="000E51A9" w:rsidRPr="002B4E6D">
        <w:rPr>
          <w:szCs w:val="20"/>
          <w:lang w:val="es-CR"/>
        </w:rPr>
        <w:t xml:space="preserve"> e </w:t>
      </w:r>
      <w:r w:rsidRPr="002B4E6D">
        <w:rPr>
          <w:szCs w:val="20"/>
          <w:lang w:val="es-CR"/>
        </w:rPr>
        <w:t>infraestructura</w:t>
      </w:r>
      <w:r w:rsidR="000E51A9" w:rsidRPr="002B4E6D">
        <w:rPr>
          <w:szCs w:val="20"/>
          <w:lang w:val="es-CR"/>
        </w:rPr>
        <w:t xml:space="preserve"> </w:t>
      </w:r>
      <w:r w:rsidRPr="002B4E6D">
        <w:rPr>
          <w:szCs w:val="20"/>
          <w:lang w:val="es-CR"/>
        </w:rPr>
        <w:t>del</w:t>
      </w:r>
      <w:r w:rsidR="009D5D3D" w:rsidRPr="002B4E6D">
        <w:rPr>
          <w:szCs w:val="20"/>
          <w:lang w:val="es-CR"/>
        </w:rPr>
        <w:t xml:space="preserve"> IPPSC. Entre </w:t>
      </w:r>
      <w:r w:rsidRPr="002B4E6D">
        <w:rPr>
          <w:szCs w:val="20"/>
          <w:lang w:val="es-CR"/>
        </w:rPr>
        <w:t>otros</w:t>
      </w:r>
      <w:r w:rsidR="009D5D3D" w:rsidRPr="002B4E6D">
        <w:rPr>
          <w:szCs w:val="20"/>
          <w:lang w:val="es-CR"/>
        </w:rPr>
        <w:t xml:space="preserve">, </w:t>
      </w:r>
      <w:r w:rsidRPr="002B4E6D">
        <w:rPr>
          <w:szCs w:val="20"/>
          <w:lang w:val="es-CR"/>
        </w:rPr>
        <w:t>afirmó</w:t>
      </w:r>
      <w:r w:rsidR="009D5D3D" w:rsidRPr="002B4E6D">
        <w:rPr>
          <w:szCs w:val="20"/>
          <w:lang w:val="es-CR"/>
        </w:rPr>
        <w:t xml:space="preserve"> que </w:t>
      </w:r>
      <w:r w:rsidRPr="002B4E6D">
        <w:rPr>
          <w:szCs w:val="20"/>
          <w:lang w:val="es-CR"/>
        </w:rPr>
        <w:t>el</w:t>
      </w:r>
      <w:r w:rsidR="009D5D3D" w:rsidRPr="002B4E6D">
        <w:rPr>
          <w:szCs w:val="20"/>
          <w:lang w:val="es-CR"/>
        </w:rPr>
        <w:t xml:space="preserve"> IPPSC </w:t>
      </w:r>
      <w:r w:rsidRPr="002B4E6D">
        <w:rPr>
          <w:szCs w:val="20"/>
          <w:lang w:val="es-CR"/>
        </w:rPr>
        <w:t>no</w:t>
      </w:r>
      <w:r w:rsidR="009D5D3D" w:rsidRPr="002B4E6D">
        <w:rPr>
          <w:szCs w:val="20"/>
          <w:lang w:val="es-CR"/>
        </w:rPr>
        <w:t xml:space="preserve"> </w:t>
      </w:r>
      <w:r w:rsidRPr="002B4E6D">
        <w:rPr>
          <w:szCs w:val="20"/>
          <w:lang w:val="es-CR"/>
        </w:rPr>
        <w:t>posee</w:t>
      </w:r>
      <w:r w:rsidR="009D5D3D" w:rsidRPr="002B4E6D">
        <w:rPr>
          <w:szCs w:val="20"/>
          <w:lang w:val="es-CR"/>
        </w:rPr>
        <w:t xml:space="preserve"> </w:t>
      </w:r>
      <w:r w:rsidR="00C061E0">
        <w:rPr>
          <w:szCs w:val="20"/>
          <w:lang w:val="es-CR"/>
        </w:rPr>
        <w:t xml:space="preserve">un </w:t>
      </w:r>
      <w:r w:rsidR="00D24676">
        <w:rPr>
          <w:szCs w:val="20"/>
          <w:lang w:val="es-CR"/>
        </w:rPr>
        <w:t>lugar</w:t>
      </w:r>
      <w:r w:rsidR="00D24676" w:rsidRPr="002B4E6D">
        <w:rPr>
          <w:szCs w:val="20"/>
          <w:lang w:val="es-CR"/>
        </w:rPr>
        <w:t xml:space="preserve"> </w:t>
      </w:r>
      <w:r w:rsidR="009D5D3D" w:rsidRPr="002B4E6D">
        <w:rPr>
          <w:szCs w:val="20"/>
          <w:lang w:val="es-CR"/>
        </w:rPr>
        <w:t>separad</w:t>
      </w:r>
      <w:r w:rsidR="00D24676">
        <w:rPr>
          <w:szCs w:val="20"/>
          <w:lang w:val="es-CR"/>
        </w:rPr>
        <w:t>o</w:t>
      </w:r>
      <w:r w:rsidR="009D5D3D" w:rsidRPr="002B4E6D">
        <w:rPr>
          <w:szCs w:val="20"/>
          <w:lang w:val="es-CR"/>
        </w:rPr>
        <w:t xml:space="preserve"> para </w:t>
      </w:r>
      <w:r w:rsidR="009C0296">
        <w:rPr>
          <w:szCs w:val="20"/>
          <w:lang w:val="es-CR"/>
        </w:rPr>
        <w:t xml:space="preserve">personas adultas mayores </w:t>
      </w:r>
      <w:r w:rsidRPr="002B4E6D">
        <w:rPr>
          <w:szCs w:val="20"/>
          <w:lang w:val="es-CR"/>
        </w:rPr>
        <w:t>y</w:t>
      </w:r>
      <w:r w:rsidR="009D5D3D" w:rsidRPr="002B4E6D">
        <w:rPr>
          <w:szCs w:val="20"/>
          <w:lang w:val="es-CR"/>
        </w:rPr>
        <w:t xml:space="preserve"> LGBT</w:t>
      </w:r>
      <w:r w:rsidR="00817430">
        <w:rPr>
          <w:szCs w:val="20"/>
          <w:lang w:val="es-CR"/>
        </w:rPr>
        <w:t>I</w:t>
      </w:r>
      <w:r w:rsidR="009D5D3D" w:rsidRPr="002B4E6D">
        <w:rPr>
          <w:szCs w:val="20"/>
          <w:lang w:val="es-CR"/>
        </w:rPr>
        <w:t xml:space="preserve">, </w:t>
      </w:r>
      <w:r w:rsidRPr="002B4E6D">
        <w:rPr>
          <w:szCs w:val="20"/>
          <w:lang w:val="es-CR"/>
        </w:rPr>
        <w:t>y</w:t>
      </w:r>
      <w:r w:rsidR="009D5D3D" w:rsidRPr="002B4E6D">
        <w:rPr>
          <w:szCs w:val="20"/>
          <w:lang w:val="es-CR"/>
        </w:rPr>
        <w:t xml:space="preserve"> que </w:t>
      </w:r>
      <w:r w:rsidRPr="002B4E6D">
        <w:rPr>
          <w:szCs w:val="20"/>
          <w:lang w:val="es-CR"/>
        </w:rPr>
        <w:t>no</w:t>
      </w:r>
      <w:r w:rsidR="009D5D3D" w:rsidRPr="002B4E6D">
        <w:rPr>
          <w:szCs w:val="20"/>
          <w:lang w:val="es-CR"/>
        </w:rPr>
        <w:t xml:space="preserve"> todos </w:t>
      </w:r>
      <w:r w:rsidRPr="002B4E6D">
        <w:rPr>
          <w:szCs w:val="20"/>
          <w:lang w:val="es-CR"/>
        </w:rPr>
        <w:t>l</w:t>
      </w:r>
      <w:r w:rsidR="009D5D3D" w:rsidRPr="002B4E6D">
        <w:rPr>
          <w:szCs w:val="20"/>
          <w:lang w:val="es-CR"/>
        </w:rPr>
        <w:t xml:space="preserve">os presos </w:t>
      </w:r>
      <w:r w:rsidR="00C061E0">
        <w:rPr>
          <w:szCs w:val="20"/>
          <w:lang w:val="es-CR"/>
        </w:rPr>
        <w:lastRenderedPageBreak/>
        <w:t>cuentan co</w:t>
      </w:r>
      <w:r w:rsidRPr="002B4E6D">
        <w:rPr>
          <w:szCs w:val="20"/>
          <w:lang w:val="es-CR"/>
        </w:rPr>
        <w:t>n</w:t>
      </w:r>
      <w:r w:rsidR="009D5D3D" w:rsidRPr="002B4E6D">
        <w:rPr>
          <w:szCs w:val="20"/>
          <w:lang w:val="es-CR"/>
        </w:rPr>
        <w:t xml:space="preserve"> </w:t>
      </w:r>
      <w:r w:rsidRPr="002B4E6D">
        <w:rPr>
          <w:szCs w:val="20"/>
          <w:lang w:val="es-CR"/>
        </w:rPr>
        <w:t>colchones</w:t>
      </w:r>
      <w:r w:rsidR="00853BD7" w:rsidRPr="002B4E6D">
        <w:rPr>
          <w:szCs w:val="20"/>
          <w:lang w:val="es-CR"/>
        </w:rPr>
        <w:t>.</w:t>
      </w:r>
      <w:r w:rsidR="009D5D3D" w:rsidRPr="002B4E6D">
        <w:rPr>
          <w:szCs w:val="20"/>
          <w:lang w:val="es-CR"/>
        </w:rPr>
        <w:t xml:space="preserve"> </w:t>
      </w:r>
      <w:r w:rsidRPr="002B4E6D">
        <w:rPr>
          <w:szCs w:val="20"/>
          <w:lang w:val="es-CR"/>
        </w:rPr>
        <w:t>Tampoco</w:t>
      </w:r>
      <w:r w:rsidR="00853BD7" w:rsidRPr="002B4E6D">
        <w:rPr>
          <w:szCs w:val="20"/>
          <w:lang w:val="es-CR"/>
        </w:rPr>
        <w:t xml:space="preserve"> </w:t>
      </w:r>
      <w:r w:rsidRPr="002B4E6D">
        <w:rPr>
          <w:szCs w:val="20"/>
          <w:lang w:val="es-CR"/>
        </w:rPr>
        <w:t>hay</w:t>
      </w:r>
      <w:r w:rsidR="00853BD7" w:rsidRPr="002B4E6D">
        <w:rPr>
          <w:szCs w:val="20"/>
          <w:lang w:val="es-CR"/>
        </w:rPr>
        <w:t xml:space="preserve"> suficiente </w:t>
      </w:r>
      <w:r w:rsidRPr="002B4E6D">
        <w:rPr>
          <w:szCs w:val="20"/>
          <w:lang w:val="es-CR"/>
        </w:rPr>
        <w:t>distribución</w:t>
      </w:r>
      <w:r w:rsidR="00853BD7" w:rsidRPr="002B4E6D">
        <w:rPr>
          <w:szCs w:val="20"/>
          <w:lang w:val="es-CR"/>
        </w:rPr>
        <w:t xml:space="preserve"> de uniformes, cal</w:t>
      </w:r>
      <w:r w:rsidRPr="002B4E6D">
        <w:rPr>
          <w:szCs w:val="20"/>
          <w:lang w:val="es-CR"/>
        </w:rPr>
        <w:t>z</w:t>
      </w:r>
      <w:r w:rsidR="000E51A9" w:rsidRPr="002B4E6D">
        <w:rPr>
          <w:szCs w:val="20"/>
          <w:lang w:val="es-CR"/>
        </w:rPr>
        <w:t xml:space="preserve">ados, </w:t>
      </w:r>
      <w:r w:rsidR="00104989">
        <w:rPr>
          <w:szCs w:val="20"/>
          <w:lang w:val="es-CR"/>
        </w:rPr>
        <w:t>ropa</w:t>
      </w:r>
      <w:r w:rsidR="000E51A9" w:rsidRPr="002B4E6D">
        <w:rPr>
          <w:szCs w:val="20"/>
          <w:lang w:val="es-CR"/>
        </w:rPr>
        <w:t xml:space="preserve"> de cama </w:t>
      </w:r>
      <w:r w:rsidRPr="002B4E6D">
        <w:rPr>
          <w:szCs w:val="20"/>
          <w:lang w:val="es-CR"/>
        </w:rPr>
        <w:t>y</w:t>
      </w:r>
      <w:r w:rsidR="000E51A9" w:rsidRPr="002B4E6D">
        <w:rPr>
          <w:szCs w:val="20"/>
          <w:lang w:val="es-CR"/>
        </w:rPr>
        <w:t xml:space="preserve"> </w:t>
      </w:r>
      <w:r w:rsidRPr="002B4E6D">
        <w:rPr>
          <w:szCs w:val="20"/>
          <w:lang w:val="es-CR"/>
        </w:rPr>
        <w:t>toallas</w:t>
      </w:r>
      <w:r w:rsidR="00853BD7" w:rsidRPr="002B4E6D">
        <w:rPr>
          <w:szCs w:val="20"/>
          <w:lang w:val="es-CR"/>
        </w:rPr>
        <w:t xml:space="preserve"> para </w:t>
      </w:r>
      <w:r w:rsidRPr="002B4E6D">
        <w:rPr>
          <w:szCs w:val="20"/>
          <w:lang w:val="es-CR"/>
        </w:rPr>
        <w:t>el gran</w:t>
      </w:r>
      <w:r w:rsidR="00853BD7" w:rsidRPr="002B4E6D">
        <w:rPr>
          <w:szCs w:val="20"/>
          <w:lang w:val="es-CR"/>
        </w:rPr>
        <w:t xml:space="preserve"> número de internos </w:t>
      </w:r>
      <w:r w:rsidRPr="002B4E6D">
        <w:rPr>
          <w:szCs w:val="20"/>
          <w:lang w:val="es-CR"/>
        </w:rPr>
        <w:t>de la</w:t>
      </w:r>
      <w:r w:rsidR="00853BD7" w:rsidRPr="002B4E6D">
        <w:rPr>
          <w:szCs w:val="20"/>
          <w:lang w:val="es-CR"/>
        </w:rPr>
        <w:t xml:space="preserve"> </w:t>
      </w:r>
      <w:r w:rsidR="00ED6186" w:rsidRPr="002B4E6D">
        <w:rPr>
          <w:szCs w:val="20"/>
          <w:lang w:val="es-CR"/>
        </w:rPr>
        <w:t>unidad</w:t>
      </w:r>
      <w:r w:rsidR="00853BD7" w:rsidRPr="002B4E6D">
        <w:rPr>
          <w:szCs w:val="20"/>
          <w:lang w:val="es-CR"/>
        </w:rPr>
        <w:t xml:space="preserve"> </w:t>
      </w:r>
      <w:r w:rsidR="00031269" w:rsidRPr="002B4E6D">
        <w:rPr>
          <w:szCs w:val="20"/>
          <w:lang w:val="es-CR"/>
        </w:rPr>
        <w:t>carcelari</w:t>
      </w:r>
      <w:r w:rsidRPr="002B4E6D">
        <w:rPr>
          <w:szCs w:val="20"/>
          <w:lang w:val="es-CR"/>
        </w:rPr>
        <w:t>a</w:t>
      </w:r>
      <w:r w:rsidR="00853BD7" w:rsidRPr="002B4E6D">
        <w:rPr>
          <w:szCs w:val="20"/>
          <w:lang w:val="es-CR"/>
        </w:rPr>
        <w:t>.</w:t>
      </w:r>
    </w:p>
    <w:p w14:paraId="138365A2" w14:textId="77777777" w:rsidR="00853BD7" w:rsidRPr="002B4E6D" w:rsidRDefault="00853BD7" w:rsidP="00A562C5">
      <w:pPr>
        <w:rPr>
          <w:szCs w:val="20"/>
          <w:lang w:val="es-CR"/>
        </w:rPr>
      </w:pPr>
    </w:p>
    <w:p w14:paraId="6BE446CB" w14:textId="607C01D9" w:rsidR="009D5D3D" w:rsidRPr="002B4E6D" w:rsidRDefault="00F42201" w:rsidP="00A562C5">
      <w:pPr>
        <w:pStyle w:val="ListParagraph"/>
        <w:numPr>
          <w:ilvl w:val="0"/>
          <w:numId w:val="20"/>
        </w:numPr>
        <w:snapToGrid w:val="0"/>
        <w:ind w:left="0" w:firstLine="0"/>
        <w:contextualSpacing w:val="0"/>
        <w:rPr>
          <w:szCs w:val="20"/>
          <w:lang w:val="es-CR"/>
        </w:rPr>
      </w:pPr>
      <w:r w:rsidRPr="002B4E6D">
        <w:rPr>
          <w:szCs w:val="20"/>
          <w:lang w:val="es-CR"/>
        </w:rPr>
        <w:t>El</w:t>
      </w:r>
      <w:r w:rsidR="00853BD7" w:rsidRPr="002B4E6D">
        <w:rPr>
          <w:szCs w:val="20"/>
          <w:lang w:val="es-CR"/>
        </w:rPr>
        <w:t xml:space="preserve"> Diagnóstico Técnico </w:t>
      </w:r>
      <w:r w:rsidR="00C061E0">
        <w:rPr>
          <w:szCs w:val="20"/>
          <w:lang w:val="es-CR"/>
        </w:rPr>
        <w:t xml:space="preserve">consigna que es </w:t>
      </w:r>
      <w:r w:rsidR="00853BD7" w:rsidRPr="002B4E6D">
        <w:rPr>
          <w:szCs w:val="20"/>
          <w:lang w:val="es-CR"/>
        </w:rPr>
        <w:t xml:space="preserve">insuficiente </w:t>
      </w:r>
      <w:r w:rsidRPr="002B4E6D">
        <w:rPr>
          <w:szCs w:val="20"/>
          <w:lang w:val="es-CR"/>
        </w:rPr>
        <w:t>la</w:t>
      </w:r>
      <w:r w:rsidR="00853BD7" w:rsidRPr="002B4E6D">
        <w:rPr>
          <w:szCs w:val="20"/>
          <w:lang w:val="es-CR"/>
        </w:rPr>
        <w:t xml:space="preserve"> </w:t>
      </w:r>
      <w:r w:rsidR="004448A5" w:rsidRPr="002B4E6D">
        <w:rPr>
          <w:szCs w:val="20"/>
          <w:lang w:val="es-CR"/>
        </w:rPr>
        <w:t>incidencia</w:t>
      </w:r>
      <w:r w:rsidR="00853BD7" w:rsidRPr="002B4E6D">
        <w:rPr>
          <w:szCs w:val="20"/>
          <w:lang w:val="es-CR"/>
        </w:rPr>
        <w:t xml:space="preserve"> de</w:t>
      </w:r>
      <w:r w:rsidR="00104989">
        <w:rPr>
          <w:szCs w:val="20"/>
          <w:lang w:val="es-CR"/>
        </w:rPr>
        <w:t>l</w:t>
      </w:r>
      <w:r w:rsidR="00853BD7" w:rsidRPr="002B4E6D">
        <w:rPr>
          <w:szCs w:val="20"/>
          <w:lang w:val="es-CR"/>
        </w:rPr>
        <w:t xml:space="preserve"> sol </w:t>
      </w:r>
      <w:r w:rsidR="004448A5" w:rsidRPr="002B4E6D">
        <w:rPr>
          <w:szCs w:val="20"/>
          <w:lang w:val="es-CR"/>
        </w:rPr>
        <w:t>y</w:t>
      </w:r>
      <w:r w:rsidR="00853BD7" w:rsidRPr="002B4E6D">
        <w:rPr>
          <w:szCs w:val="20"/>
          <w:lang w:val="es-CR"/>
        </w:rPr>
        <w:t xml:space="preserve"> ventila</w:t>
      </w:r>
      <w:r w:rsidR="00AA1A37" w:rsidRPr="002B4E6D">
        <w:rPr>
          <w:szCs w:val="20"/>
          <w:lang w:val="es-CR"/>
        </w:rPr>
        <w:t>ción</w:t>
      </w:r>
      <w:r w:rsidR="00853BD7" w:rsidRPr="002B4E6D">
        <w:rPr>
          <w:szCs w:val="20"/>
          <w:lang w:val="es-CR"/>
        </w:rPr>
        <w:t xml:space="preserve"> cruzada </w:t>
      </w:r>
      <w:r w:rsidR="004448A5" w:rsidRPr="002B4E6D">
        <w:rPr>
          <w:szCs w:val="20"/>
          <w:lang w:val="es-CR"/>
        </w:rPr>
        <w:t>en las</w:t>
      </w:r>
      <w:r w:rsidR="00853BD7" w:rsidRPr="002B4E6D">
        <w:rPr>
          <w:szCs w:val="20"/>
          <w:lang w:val="es-CR"/>
        </w:rPr>
        <w:t xml:space="preserve"> cel</w:t>
      </w:r>
      <w:r w:rsidR="004448A5" w:rsidRPr="002B4E6D">
        <w:rPr>
          <w:szCs w:val="20"/>
          <w:lang w:val="es-CR"/>
        </w:rPr>
        <w:t>d</w:t>
      </w:r>
      <w:r w:rsidR="00853BD7" w:rsidRPr="002B4E6D">
        <w:rPr>
          <w:szCs w:val="20"/>
          <w:lang w:val="es-CR"/>
        </w:rPr>
        <w:t xml:space="preserve">as, </w:t>
      </w:r>
      <w:r w:rsidR="004448A5" w:rsidRPr="002B4E6D">
        <w:rPr>
          <w:szCs w:val="20"/>
          <w:lang w:val="es-CR"/>
        </w:rPr>
        <w:t>y</w:t>
      </w:r>
      <w:r w:rsidR="00853BD7" w:rsidRPr="002B4E6D">
        <w:rPr>
          <w:szCs w:val="20"/>
          <w:lang w:val="es-CR"/>
        </w:rPr>
        <w:t xml:space="preserve"> </w:t>
      </w:r>
      <w:r w:rsidR="00C061E0">
        <w:rPr>
          <w:szCs w:val="20"/>
          <w:lang w:val="es-CR"/>
        </w:rPr>
        <w:t>hace notar</w:t>
      </w:r>
      <w:r w:rsidR="004448A5" w:rsidRPr="002B4E6D">
        <w:rPr>
          <w:szCs w:val="20"/>
          <w:lang w:val="es-CR"/>
        </w:rPr>
        <w:t xml:space="preserve"> que </w:t>
      </w:r>
      <w:r w:rsidR="00C061E0">
        <w:rPr>
          <w:szCs w:val="20"/>
          <w:lang w:val="es-CR"/>
        </w:rPr>
        <w:t xml:space="preserve">no hay agua caliente </w:t>
      </w:r>
      <w:r w:rsidR="004448A5" w:rsidRPr="002B4E6D">
        <w:rPr>
          <w:szCs w:val="20"/>
          <w:lang w:val="es-CR"/>
        </w:rPr>
        <w:t>disponible</w:t>
      </w:r>
      <w:r w:rsidR="00853BD7" w:rsidRPr="002B4E6D">
        <w:rPr>
          <w:szCs w:val="20"/>
          <w:lang w:val="es-CR"/>
        </w:rPr>
        <w:t xml:space="preserve"> </w:t>
      </w:r>
      <w:r w:rsidR="004448A5" w:rsidRPr="002B4E6D">
        <w:rPr>
          <w:szCs w:val="20"/>
          <w:lang w:val="es-CR"/>
        </w:rPr>
        <w:t>en la</w:t>
      </w:r>
      <w:r w:rsidR="00853BD7" w:rsidRPr="002B4E6D">
        <w:rPr>
          <w:szCs w:val="20"/>
          <w:lang w:val="es-CR"/>
        </w:rPr>
        <w:t xml:space="preserve"> </w:t>
      </w:r>
      <w:r w:rsidR="00ED6186" w:rsidRPr="002B4E6D">
        <w:rPr>
          <w:szCs w:val="20"/>
          <w:lang w:val="es-CR"/>
        </w:rPr>
        <w:t>unidad</w:t>
      </w:r>
      <w:r w:rsidR="00853BD7" w:rsidRPr="002B4E6D">
        <w:rPr>
          <w:szCs w:val="20"/>
          <w:lang w:val="es-CR"/>
        </w:rPr>
        <w:t xml:space="preserve"> </w:t>
      </w:r>
      <w:r w:rsidR="00031269" w:rsidRPr="002B4E6D">
        <w:rPr>
          <w:szCs w:val="20"/>
          <w:lang w:val="es-CR"/>
        </w:rPr>
        <w:t>carcelari</w:t>
      </w:r>
      <w:r w:rsidR="004448A5" w:rsidRPr="002B4E6D">
        <w:rPr>
          <w:szCs w:val="20"/>
          <w:lang w:val="es-CR"/>
        </w:rPr>
        <w:t>a</w:t>
      </w:r>
      <w:r w:rsidR="00853BD7" w:rsidRPr="002B4E6D">
        <w:rPr>
          <w:szCs w:val="20"/>
          <w:lang w:val="es-CR"/>
        </w:rPr>
        <w:t xml:space="preserve">. </w:t>
      </w:r>
      <w:r w:rsidR="004448A5" w:rsidRPr="002B4E6D">
        <w:rPr>
          <w:szCs w:val="20"/>
          <w:lang w:val="es-CR"/>
        </w:rPr>
        <w:t>También destacó</w:t>
      </w:r>
      <w:r w:rsidR="009D5D3D" w:rsidRPr="002B4E6D">
        <w:rPr>
          <w:szCs w:val="20"/>
          <w:lang w:val="es-CR"/>
        </w:rPr>
        <w:t xml:space="preserve"> </w:t>
      </w:r>
      <w:r w:rsidR="004448A5" w:rsidRPr="002B4E6D">
        <w:rPr>
          <w:szCs w:val="20"/>
          <w:lang w:val="es-CR"/>
        </w:rPr>
        <w:t>la ausencia</w:t>
      </w:r>
      <w:r w:rsidR="009D5D3D" w:rsidRPr="002B4E6D">
        <w:rPr>
          <w:szCs w:val="20"/>
          <w:lang w:val="es-CR"/>
        </w:rPr>
        <w:t xml:space="preserve"> </w:t>
      </w:r>
      <w:r w:rsidR="00104989">
        <w:rPr>
          <w:szCs w:val="20"/>
          <w:lang w:val="es-CR"/>
        </w:rPr>
        <w:t>de un</w:t>
      </w:r>
      <w:r w:rsidR="009D5D3D" w:rsidRPr="002B4E6D">
        <w:rPr>
          <w:szCs w:val="20"/>
          <w:lang w:val="es-CR"/>
        </w:rPr>
        <w:t xml:space="preserve"> plan de preven</w:t>
      </w:r>
      <w:r w:rsidR="00AA1A37" w:rsidRPr="002B4E6D">
        <w:rPr>
          <w:szCs w:val="20"/>
          <w:lang w:val="es-CR"/>
        </w:rPr>
        <w:t>ción</w:t>
      </w:r>
      <w:r w:rsidR="009D5D3D" w:rsidRPr="002B4E6D">
        <w:rPr>
          <w:szCs w:val="20"/>
          <w:lang w:val="es-CR"/>
        </w:rPr>
        <w:t xml:space="preserve"> </w:t>
      </w:r>
      <w:r w:rsidR="004448A5" w:rsidRPr="002B4E6D">
        <w:rPr>
          <w:szCs w:val="20"/>
          <w:lang w:val="es-CR"/>
        </w:rPr>
        <w:t>y</w:t>
      </w:r>
      <w:r w:rsidR="009D5D3D" w:rsidRPr="002B4E6D">
        <w:rPr>
          <w:szCs w:val="20"/>
          <w:lang w:val="es-CR"/>
        </w:rPr>
        <w:t xml:space="preserve"> combate </w:t>
      </w:r>
      <w:r w:rsidR="00283013">
        <w:rPr>
          <w:szCs w:val="20"/>
          <w:lang w:val="es-CR"/>
        </w:rPr>
        <w:t>de</w:t>
      </w:r>
      <w:r w:rsidR="009D5D3D" w:rsidRPr="002B4E6D">
        <w:rPr>
          <w:szCs w:val="20"/>
          <w:lang w:val="es-CR"/>
        </w:rPr>
        <w:t xml:space="preserve"> </w:t>
      </w:r>
      <w:r w:rsidR="004448A5" w:rsidRPr="002B4E6D">
        <w:rPr>
          <w:szCs w:val="20"/>
          <w:lang w:val="es-CR"/>
        </w:rPr>
        <w:t>incendios</w:t>
      </w:r>
      <w:r w:rsidR="00853BD7" w:rsidRPr="002B4E6D">
        <w:rPr>
          <w:szCs w:val="20"/>
          <w:lang w:val="es-CR"/>
        </w:rPr>
        <w:t xml:space="preserve"> </w:t>
      </w:r>
      <w:r w:rsidR="004448A5" w:rsidRPr="002B4E6D">
        <w:rPr>
          <w:szCs w:val="20"/>
          <w:lang w:val="es-CR"/>
        </w:rPr>
        <w:t>en el</w:t>
      </w:r>
      <w:r w:rsidR="00853BD7" w:rsidRPr="002B4E6D">
        <w:rPr>
          <w:szCs w:val="20"/>
          <w:lang w:val="es-CR"/>
        </w:rPr>
        <w:t xml:space="preserve"> Instituto </w:t>
      </w:r>
      <w:r w:rsidR="004448A5" w:rsidRPr="002B4E6D">
        <w:rPr>
          <w:szCs w:val="20"/>
          <w:lang w:val="es-CR"/>
        </w:rPr>
        <w:t>y</w:t>
      </w:r>
      <w:r w:rsidR="009D5D3D" w:rsidRPr="002B4E6D">
        <w:rPr>
          <w:szCs w:val="20"/>
          <w:lang w:val="es-CR"/>
        </w:rPr>
        <w:t xml:space="preserve"> </w:t>
      </w:r>
      <w:r w:rsidR="004448A5" w:rsidRPr="002B4E6D">
        <w:rPr>
          <w:szCs w:val="20"/>
          <w:lang w:val="es-CR"/>
        </w:rPr>
        <w:t>l</w:t>
      </w:r>
      <w:r w:rsidR="00C061E0">
        <w:rPr>
          <w:szCs w:val="20"/>
          <w:lang w:val="es-CR"/>
        </w:rPr>
        <w:t xml:space="preserve">a escasez de </w:t>
      </w:r>
      <w:r w:rsidR="004448A5" w:rsidRPr="002B4E6D">
        <w:rPr>
          <w:szCs w:val="20"/>
          <w:lang w:val="es-CR"/>
        </w:rPr>
        <w:t>equip</w:t>
      </w:r>
      <w:r w:rsidR="009D5D3D" w:rsidRPr="002B4E6D">
        <w:rPr>
          <w:szCs w:val="20"/>
          <w:lang w:val="es-CR"/>
        </w:rPr>
        <w:t xml:space="preserve">os para tal </w:t>
      </w:r>
      <w:r w:rsidR="004448A5" w:rsidRPr="002B4E6D">
        <w:rPr>
          <w:szCs w:val="20"/>
          <w:lang w:val="es-CR"/>
        </w:rPr>
        <w:t>fin</w:t>
      </w:r>
      <w:r w:rsidR="009D5D3D" w:rsidRPr="002B4E6D">
        <w:rPr>
          <w:szCs w:val="20"/>
          <w:lang w:val="es-CR"/>
        </w:rPr>
        <w:t>.</w:t>
      </w:r>
    </w:p>
    <w:p w14:paraId="5827D5C0" w14:textId="77777777" w:rsidR="009910C5" w:rsidRPr="002B4E6D" w:rsidRDefault="009910C5" w:rsidP="00A562C5">
      <w:pPr>
        <w:pStyle w:val="ListParagraph"/>
        <w:snapToGrid w:val="0"/>
        <w:ind w:left="0"/>
        <w:contextualSpacing w:val="0"/>
        <w:rPr>
          <w:szCs w:val="20"/>
          <w:lang w:val="es-CR"/>
        </w:rPr>
      </w:pPr>
    </w:p>
    <w:p w14:paraId="16783455" w14:textId="1B78F501" w:rsidR="005379EC" w:rsidRPr="002B4E6D" w:rsidRDefault="00104989" w:rsidP="00A562C5">
      <w:pPr>
        <w:pStyle w:val="ListParagraph"/>
        <w:numPr>
          <w:ilvl w:val="0"/>
          <w:numId w:val="20"/>
        </w:numPr>
        <w:snapToGrid w:val="0"/>
        <w:ind w:left="0" w:firstLine="0"/>
        <w:contextualSpacing w:val="0"/>
        <w:rPr>
          <w:szCs w:val="20"/>
          <w:lang w:val="es-CR"/>
        </w:rPr>
      </w:pPr>
      <w:r>
        <w:rPr>
          <w:szCs w:val="20"/>
          <w:lang w:val="es-CR"/>
        </w:rPr>
        <w:t xml:space="preserve">Los </w:t>
      </w:r>
      <w:r w:rsidR="005D1920" w:rsidRPr="002B4E6D">
        <w:rPr>
          <w:b/>
          <w:i/>
          <w:szCs w:val="20"/>
          <w:lang w:val="es-CR"/>
        </w:rPr>
        <w:t>r</w:t>
      </w:r>
      <w:r w:rsidR="00584C54" w:rsidRPr="002B4E6D">
        <w:rPr>
          <w:b/>
          <w:i/>
          <w:szCs w:val="20"/>
          <w:lang w:val="es-CR"/>
        </w:rPr>
        <w:t>epresentantes</w:t>
      </w:r>
      <w:r w:rsidR="004448A5" w:rsidRPr="002B4E6D">
        <w:rPr>
          <w:szCs w:val="20"/>
          <w:lang w:val="es-CR"/>
        </w:rPr>
        <w:t xml:space="preserve"> </w:t>
      </w:r>
      <w:r>
        <w:rPr>
          <w:szCs w:val="20"/>
          <w:lang w:val="es-CR"/>
        </w:rPr>
        <w:t xml:space="preserve">por su parte, </w:t>
      </w:r>
      <w:r w:rsidR="00817430" w:rsidRPr="002B4E6D">
        <w:rPr>
          <w:szCs w:val="20"/>
          <w:lang w:val="es-CR"/>
        </w:rPr>
        <w:t>afirmar</w:t>
      </w:r>
      <w:r w:rsidR="00817430">
        <w:rPr>
          <w:szCs w:val="20"/>
          <w:lang w:val="es-CR"/>
        </w:rPr>
        <w:t>o</w:t>
      </w:r>
      <w:r w:rsidR="00817430" w:rsidRPr="002B4E6D">
        <w:rPr>
          <w:szCs w:val="20"/>
          <w:lang w:val="es-CR"/>
        </w:rPr>
        <w:t xml:space="preserve">n </w:t>
      </w:r>
      <w:r w:rsidR="000E51A9" w:rsidRPr="002B4E6D">
        <w:rPr>
          <w:szCs w:val="20"/>
          <w:lang w:val="es-CR"/>
        </w:rPr>
        <w:t xml:space="preserve">que </w:t>
      </w:r>
      <w:r w:rsidR="004448A5" w:rsidRPr="002B4E6D">
        <w:rPr>
          <w:szCs w:val="20"/>
          <w:lang w:val="es-CR"/>
        </w:rPr>
        <w:t>las</w:t>
      </w:r>
      <w:r w:rsidR="00A87C5B" w:rsidRPr="002B4E6D">
        <w:rPr>
          <w:szCs w:val="20"/>
          <w:lang w:val="es-CR"/>
        </w:rPr>
        <w:t xml:space="preserve"> condi</w:t>
      </w:r>
      <w:r w:rsidR="00945D4E" w:rsidRPr="002B4E6D">
        <w:rPr>
          <w:szCs w:val="20"/>
          <w:lang w:val="es-CR"/>
        </w:rPr>
        <w:t>ciones</w:t>
      </w:r>
      <w:r w:rsidR="00A87C5B" w:rsidRPr="002B4E6D">
        <w:rPr>
          <w:szCs w:val="20"/>
          <w:lang w:val="es-CR"/>
        </w:rPr>
        <w:t xml:space="preserve"> materia</w:t>
      </w:r>
      <w:r w:rsidR="004448A5" w:rsidRPr="002B4E6D">
        <w:rPr>
          <w:szCs w:val="20"/>
          <w:lang w:val="es-CR"/>
        </w:rPr>
        <w:t>le</w:t>
      </w:r>
      <w:r w:rsidR="00A87C5B" w:rsidRPr="002B4E6D">
        <w:rPr>
          <w:szCs w:val="20"/>
          <w:lang w:val="es-CR"/>
        </w:rPr>
        <w:t>s de deten</w:t>
      </w:r>
      <w:r w:rsidR="00AA1A37" w:rsidRPr="002B4E6D">
        <w:rPr>
          <w:szCs w:val="20"/>
          <w:lang w:val="es-CR"/>
        </w:rPr>
        <w:t>ción</w:t>
      </w:r>
      <w:r w:rsidR="00A87C5B" w:rsidRPr="002B4E6D">
        <w:rPr>
          <w:szCs w:val="20"/>
          <w:lang w:val="es-CR"/>
        </w:rPr>
        <w:t xml:space="preserve"> </w:t>
      </w:r>
      <w:r w:rsidR="004448A5" w:rsidRPr="002B4E6D">
        <w:rPr>
          <w:szCs w:val="20"/>
          <w:lang w:val="es-CR"/>
        </w:rPr>
        <w:t>del</w:t>
      </w:r>
      <w:r w:rsidR="00A87C5B" w:rsidRPr="002B4E6D">
        <w:rPr>
          <w:szCs w:val="20"/>
          <w:lang w:val="es-CR"/>
        </w:rPr>
        <w:t xml:space="preserve"> IPPSC</w:t>
      </w:r>
      <w:r w:rsidR="00817430">
        <w:rPr>
          <w:szCs w:val="20"/>
          <w:lang w:val="es-CR"/>
        </w:rPr>
        <w:t xml:space="preserve"> permanecen inalteradas</w:t>
      </w:r>
      <w:r w:rsidR="00A87C5B" w:rsidRPr="002B4E6D">
        <w:rPr>
          <w:szCs w:val="20"/>
          <w:lang w:val="es-CR"/>
        </w:rPr>
        <w:t>.</w:t>
      </w:r>
      <w:r w:rsidR="00670DBB" w:rsidRPr="002B4E6D">
        <w:rPr>
          <w:szCs w:val="20"/>
          <w:lang w:val="es-CR"/>
        </w:rPr>
        <w:t xml:space="preserve"> </w:t>
      </w:r>
      <w:r w:rsidR="004448A5" w:rsidRPr="002B4E6D">
        <w:rPr>
          <w:szCs w:val="20"/>
          <w:lang w:val="es-CR"/>
        </w:rPr>
        <w:t>Además</w:t>
      </w:r>
      <w:r w:rsidR="00670DBB" w:rsidRPr="002B4E6D">
        <w:rPr>
          <w:szCs w:val="20"/>
          <w:lang w:val="es-CR"/>
        </w:rPr>
        <w:t xml:space="preserve">, </w:t>
      </w:r>
      <w:r w:rsidR="00817430" w:rsidRPr="002B4E6D">
        <w:rPr>
          <w:szCs w:val="20"/>
          <w:lang w:val="es-CR"/>
        </w:rPr>
        <w:t>tomar</w:t>
      </w:r>
      <w:r w:rsidR="00817430">
        <w:rPr>
          <w:szCs w:val="20"/>
          <w:lang w:val="es-CR"/>
        </w:rPr>
        <w:t>on</w:t>
      </w:r>
      <w:r w:rsidR="00817430" w:rsidRPr="002B4E6D">
        <w:rPr>
          <w:szCs w:val="20"/>
          <w:lang w:val="es-CR"/>
        </w:rPr>
        <w:t xml:space="preserve"> </w:t>
      </w:r>
      <w:r w:rsidR="00670DBB" w:rsidRPr="002B4E6D">
        <w:rPr>
          <w:szCs w:val="20"/>
          <w:lang w:val="es-CR"/>
        </w:rPr>
        <w:t xml:space="preserve">nota </w:t>
      </w:r>
      <w:r w:rsidR="004448A5" w:rsidRPr="002B4E6D">
        <w:rPr>
          <w:szCs w:val="20"/>
          <w:lang w:val="es-CR"/>
        </w:rPr>
        <w:t>de</w:t>
      </w:r>
      <w:r w:rsidR="00C061E0">
        <w:rPr>
          <w:szCs w:val="20"/>
          <w:lang w:val="es-CR"/>
        </w:rPr>
        <w:t>l reporte</w:t>
      </w:r>
      <w:r w:rsidR="00670DBB" w:rsidRPr="002B4E6D">
        <w:rPr>
          <w:szCs w:val="20"/>
          <w:lang w:val="es-CR"/>
        </w:rPr>
        <w:t xml:space="preserve"> técnic</w:t>
      </w:r>
      <w:r w:rsidR="00286306">
        <w:rPr>
          <w:szCs w:val="20"/>
          <w:lang w:val="es-CR"/>
        </w:rPr>
        <w:t>o</w:t>
      </w:r>
      <w:r w:rsidR="00670DBB" w:rsidRPr="002B4E6D">
        <w:rPr>
          <w:szCs w:val="20"/>
          <w:lang w:val="es-CR"/>
        </w:rPr>
        <w:t xml:space="preserve"> elaborad</w:t>
      </w:r>
      <w:r w:rsidR="00286306">
        <w:rPr>
          <w:szCs w:val="20"/>
          <w:lang w:val="es-CR"/>
        </w:rPr>
        <w:t>o</w:t>
      </w:r>
      <w:r w:rsidR="00670DBB" w:rsidRPr="002B4E6D">
        <w:rPr>
          <w:szCs w:val="20"/>
          <w:lang w:val="es-CR"/>
        </w:rPr>
        <w:t xml:space="preserve"> </w:t>
      </w:r>
      <w:r w:rsidR="004448A5" w:rsidRPr="002B4E6D">
        <w:rPr>
          <w:szCs w:val="20"/>
          <w:lang w:val="es-CR"/>
        </w:rPr>
        <w:t>por el</w:t>
      </w:r>
      <w:r w:rsidR="00670DBB" w:rsidRPr="002B4E6D">
        <w:rPr>
          <w:szCs w:val="20"/>
          <w:lang w:val="es-CR"/>
        </w:rPr>
        <w:t xml:space="preserve"> C</w:t>
      </w:r>
      <w:r w:rsidR="004448A5" w:rsidRPr="002B4E6D">
        <w:rPr>
          <w:szCs w:val="20"/>
          <w:lang w:val="es-CR"/>
        </w:rPr>
        <w:t>ue</w:t>
      </w:r>
      <w:r w:rsidR="00670DBB" w:rsidRPr="002B4E6D">
        <w:rPr>
          <w:szCs w:val="20"/>
          <w:lang w:val="es-CR"/>
        </w:rPr>
        <w:t xml:space="preserve">rpo de </w:t>
      </w:r>
      <w:r w:rsidR="004448A5" w:rsidRPr="002B4E6D">
        <w:rPr>
          <w:szCs w:val="20"/>
          <w:lang w:val="es-CR"/>
        </w:rPr>
        <w:t>Bomberos</w:t>
      </w:r>
      <w:r w:rsidR="00670DBB" w:rsidRPr="002B4E6D">
        <w:rPr>
          <w:szCs w:val="20"/>
          <w:lang w:val="es-CR"/>
        </w:rPr>
        <w:t xml:space="preserve">, </w:t>
      </w:r>
      <w:r w:rsidR="004448A5" w:rsidRPr="002B4E6D">
        <w:rPr>
          <w:szCs w:val="20"/>
          <w:lang w:val="es-CR"/>
        </w:rPr>
        <w:t>tras la</w:t>
      </w:r>
      <w:r w:rsidR="00670DBB" w:rsidRPr="002B4E6D">
        <w:rPr>
          <w:szCs w:val="20"/>
          <w:lang w:val="es-CR"/>
        </w:rPr>
        <w:t xml:space="preserve"> </w:t>
      </w:r>
      <w:r w:rsidR="004448A5" w:rsidRPr="002B4E6D">
        <w:rPr>
          <w:szCs w:val="20"/>
          <w:lang w:val="es-CR"/>
        </w:rPr>
        <w:t xml:space="preserve">inspección </w:t>
      </w:r>
      <w:r w:rsidR="008E1110" w:rsidRPr="002B4E6D">
        <w:rPr>
          <w:szCs w:val="20"/>
          <w:lang w:val="es-CR"/>
        </w:rPr>
        <w:t>realizada el 11 de octubre de 2016</w:t>
      </w:r>
      <w:r w:rsidR="008E1110">
        <w:rPr>
          <w:szCs w:val="20"/>
          <w:lang w:val="es-CR"/>
        </w:rPr>
        <w:t xml:space="preserve"> </w:t>
      </w:r>
      <w:r w:rsidR="004448A5" w:rsidRPr="002B4E6D">
        <w:rPr>
          <w:szCs w:val="20"/>
          <w:lang w:val="es-CR"/>
        </w:rPr>
        <w:t>al</w:t>
      </w:r>
      <w:r w:rsidR="00670DBB" w:rsidRPr="002B4E6D">
        <w:rPr>
          <w:szCs w:val="20"/>
          <w:lang w:val="es-CR"/>
        </w:rPr>
        <w:t xml:space="preserve"> IPPSC. De ac</w:t>
      </w:r>
      <w:r w:rsidR="004448A5" w:rsidRPr="002B4E6D">
        <w:rPr>
          <w:szCs w:val="20"/>
          <w:lang w:val="es-CR"/>
        </w:rPr>
        <w:t>ue</w:t>
      </w:r>
      <w:r w:rsidR="00670DBB" w:rsidRPr="002B4E6D">
        <w:rPr>
          <w:szCs w:val="20"/>
          <w:lang w:val="es-CR"/>
        </w:rPr>
        <w:t xml:space="preserve">rdo </w:t>
      </w:r>
      <w:r w:rsidR="004448A5" w:rsidRPr="002B4E6D">
        <w:rPr>
          <w:szCs w:val="20"/>
          <w:lang w:val="es-CR"/>
        </w:rPr>
        <w:t xml:space="preserve">con </w:t>
      </w:r>
      <w:r w:rsidR="00286306">
        <w:rPr>
          <w:szCs w:val="20"/>
          <w:lang w:val="es-CR"/>
        </w:rPr>
        <w:t>ese reporte técnico</w:t>
      </w:r>
      <w:r w:rsidR="00670DBB" w:rsidRPr="002B4E6D">
        <w:rPr>
          <w:szCs w:val="20"/>
          <w:lang w:val="es-CR"/>
        </w:rPr>
        <w:t xml:space="preserve">, </w:t>
      </w:r>
      <w:r w:rsidR="004448A5" w:rsidRPr="002B4E6D">
        <w:rPr>
          <w:szCs w:val="20"/>
          <w:lang w:val="es-CR"/>
        </w:rPr>
        <w:t>el</w:t>
      </w:r>
      <w:r w:rsidR="00670DBB" w:rsidRPr="002B4E6D">
        <w:rPr>
          <w:szCs w:val="20"/>
          <w:lang w:val="es-CR"/>
        </w:rPr>
        <w:t xml:space="preserve"> IPPSC </w:t>
      </w:r>
      <w:r w:rsidR="004448A5" w:rsidRPr="002B4E6D">
        <w:rPr>
          <w:szCs w:val="20"/>
          <w:lang w:val="es-CR"/>
        </w:rPr>
        <w:t>no</w:t>
      </w:r>
      <w:r w:rsidR="00670DBB" w:rsidRPr="002B4E6D">
        <w:rPr>
          <w:szCs w:val="20"/>
          <w:lang w:val="es-CR"/>
        </w:rPr>
        <w:t xml:space="preserve"> </w:t>
      </w:r>
      <w:r w:rsidR="004448A5" w:rsidRPr="002B4E6D">
        <w:rPr>
          <w:szCs w:val="20"/>
          <w:lang w:val="es-CR"/>
        </w:rPr>
        <w:t>poseía</w:t>
      </w:r>
      <w:r w:rsidR="00670DBB" w:rsidRPr="002B4E6D">
        <w:rPr>
          <w:szCs w:val="20"/>
          <w:lang w:val="es-CR"/>
        </w:rPr>
        <w:t xml:space="preserve"> sistema</w:t>
      </w:r>
      <w:r w:rsidR="00D24676">
        <w:rPr>
          <w:szCs w:val="20"/>
          <w:lang w:val="es-CR"/>
        </w:rPr>
        <w:t>s</w:t>
      </w:r>
      <w:r w:rsidR="00670DBB" w:rsidRPr="002B4E6D">
        <w:rPr>
          <w:szCs w:val="20"/>
          <w:lang w:val="es-CR"/>
        </w:rPr>
        <w:t xml:space="preserve"> de </w:t>
      </w:r>
      <w:r w:rsidR="004448A5" w:rsidRPr="002B4E6D">
        <w:rPr>
          <w:szCs w:val="20"/>
          <w:lang w:val="es-CR"/>
        </w:rPr>
        <w:t>señalización</w:t>
      </w:r>
      <w:r w:rsidR="00670DBB" w:rsidRPr="002B4E6D">
        <w:rPr>
          <w:szCs w:val="20"/>
          <w:lang w:val="es-CR"/>
        </w:rPr>
        <w:t xml:space="preserve"> de </w:t>
      </w:r>
      <w:r w:rsidR="004448A5" w:rsidRPr="002B4E6D">
        <w:rPr>
          <w:szCs w:val="20"/>
          <w:lang w:val="es-CR"/>
        </w:rPr>
        <w:t>incendio</w:t>
      </w:r>
      <w:r w:rsidR="00670DBB" w:rsidRPr="002B4E6D">
        <w:rPr>
          <w:szCs w:val="20"/>
          <w:lang w:val="es-CR"/>
        </w:rPr>
        <w:t>, de ilumina</w:t>
      </w:r>
      <w:r w:rsidR="00AA1A37" w:rsidRPr="002B4E6D">
        <w:rPr>
          <w:szCs w:val="20"/>
          <w:lang w:val="es-CR"/>
        </w:rPr>
        <w:t>ción</w:t>
      </w:r>
      <w:r w:rsidR="00670DBB" w:rsidRPr="002B4E6D">
        <w:rPr>
          <w:szCs w:val="20"/>
          <w:lang w:val="es-CR"/>
        </w:rPr>
        <w:t xml:space="preserve"> de </w:t>
      </w:r>
      <w:r w:rsidR="004448A5" w:rsidRPr="002B4E6D">
        <w:rPr>
          <w:szCs w:val="20"/>
          <w:lang w:val="es-CR"/>
        </w:rPr>
        <w:t>emergencia</w:t>
      </w:r>
      <w:r w:rsidR="00670DBB" w:rsidRPr="002B4E6D">
        <w:rPr>
          <w:szCs w:val="20"/>
          <w:lang w:val="es-CR"/>
        </w:rPr>
        <w:t>, de detec</w:t>
      </w:r>
      <w:r w:rsidR="00AA1A37" w:rsidRPr="002B4E6D">
        <w:rPr>
          <w:szCs w:val="20"/>
          <w:lang w:val="es-CR"/>
        </w:rPr>
        <w:t>ción</w:t>
      </w:r>
      <w:r w:rsidR="00670DBB" w:rsidRPr="002B4E6D">
        <w:rPr>
          <w:szCs w:val="20"/>
          <w:lang w:val="es-CR"/>
        </w:rPr>
        <w:t xml:space="preserve"> de </w:t>
      </w:r>
      <w:r w:rsidR="004448A5" w:rsidRPr="002B4E6D">
        <w:rPr>
          <w:szCs w:val="20"/>
          <w:lang w:val="es-CR"/>
        </w:rPr>
        <w:t>incendio</w:t>
      </w:r>
      <w:r w:rsidR="00670DBB" w:rsidRPr="002B4E6D">
        <w:rPr>
          <w:szCs w:val="20"/>
          <w:lang w:val="es-CR"/>
        </w:rPr>
        <w:t xml:space="preserve"> </w:t>
      </w:r>
      <w:r w:rsidR="004448A5" w:rsidRPr="002B4E6D">
        <w:rPr>
          <w:szCs w:val="20"/>
          <w:lang w:val="es-CR"/>
        </w:rPr>
        <w:t>o</w:t>
      </w:r>
      <w:r w:rsidR="00670DBB" w:rsidRPr="002B4E6D">
        <w:rPr>
          <w:szCs w:val="20"/>
          <w:lang w:val="es-CR"/>
        </w:rPr>
        <w:t xml:space="preserve"> de alarm</w:t>
      </w:r>
      <w:r w:rsidR="004448A5" w:rsidRPr="002B4E6D">
        <w:rPr>
          <w:szCs w:val="20"/>
          <w:lang w:val="es-CR"/>
        </w:rPr>
        <w:t>a</w:t>
      </w:r>
      <w:r w:rsidR="00670DBB" w:rsidRPr="002B4E6D">
        <w:rPr>
          <w:szCs w:val="20"/>
          <w:lang w:val="es-CR"/>
        </w:rPr>
        <w:t xml:space="preserve"> </w:t>
      </w:r>
      <w:r w:rsidR="004448A5" w:rsidRPr="002B4E6D">
        <w:rPr>
          <w:szCs w:val="20"/>
          <w:lang w:val="es-CR"/>
        </w:rPr>
        <w:t>o</w:t>
      </w:r>
      <w:r w:rsidR="00670DBB" w:rsidRPr="002B4E6D">
        <w:rPr>
          <w:szCs w:val="20"/>
          <w:lang w:val="es-CR"/>
        </w:rPr>
        <w:t xml:space="preserve"> avisadores. </w:t>
      </w:r>
      <w:r w:rsidR="004448A5" w:rsidRPr="002B4E6D">
        <w:rPr>
          <w:szCs w:val="20"/>
          <w:lang w:val="es-CR"/>
        </w:rPr>
        <w:t>La</w:t>
      </w:r>
      <w:r w:rsidR="00670DBB" w:rsidRPr="002B4E6D">
        <w:rPr>
          <w:szCs w:val="20"/>
          <w:lang w:val="es-CR"/>
        </w:rPr>
        <w:t xml:space="preserve"> </w:t>
      </w:r>
      <w:r w:rsidR="00ED6186" w:rsidRPr="002B4E6D">
        <w:rPr>
          <w:szCs w:val="20"/>
          <w:lang w:val="es-CR"/>
        </w:rPr>
        <w:t>unidad</w:t>
      </w:r>
      <w:r w:rsidR="00670DBB" w:rsidRPr="002B4E6D">
        <w:rPr>
          <w:szCs w:val="20"/>
          <w:lang w:val="es-CR"/>
        </w:rPr>
        <w:t xml:space="preserve"> </w:t>
      </w:r>
      <w:r w:rsidR="004448A5" w:rsidRPr="002B4E6D">
        <w:rPr>
          <w:szCs w:val="20"/>
          <w:lang w:val="es-CR"/>
        </w:rPr>
        <w:t>tampoco</w:t>
      </w:r>
      <w:r w:rsidR="00670DBB" w:rsidRPr="002B4E6D">
        <w:rPr>
          <w:szCs w:val="20"/>
          <w:lang w:val="es-CR"/>
        </w:rPr>
        <w:t xml:space="preserve"> </w:t>
      </w:r>
      <w:r w:rsidR="004448A5" w:rsidRPr="002B4E6D">
        <w:rPr>
          <w:szCs w:val="20"/>
          <w:lang w:val="es-CR"/>
        </w:rPr>
        <w:t>disponía</w:t>
      </w:r>
      <w:r w:rsidR="00670DBB" w:rsidRPr="002B4E6D">
        <w:rPr>
          <w:szCs w:val="20"/>
          <w:lang w:val="es-CR"/>
        </w:rPr>
        <w:t xml:space="preserve"> de </w:t>
      </w:r>
      <w:r w:rsidR="008E1110">
        <w:rPr>
          <w:szCs w:val="20"/>
          <w:lang w:val="es-CR"/>
        </w:rPr>
        <w:t xml:space="preserve">un </w:t>
      </w:r>
      <w:r w:rsidR="00670DBB" w:rsidRPr="002B4E6D">
        <w:rPr>
          <w:szCs w:val="20"/>
          <w:lang w:val="es-CR"/>
        </w:rPr>
        <w:t xml:space="preserve">manual de </w:t>
      </w:r>
      <w:r w:rsidR="00FA02D6" w:rsidRPr="002B4E6D">
        <w:rPr>
          <w:szCs w:val="20"/>
          <w:lang w:val="es-CR"/>
        </w:rPr>
        <w:t>seguridad</w:t>
      </w:r>
      <w:r w:rsidR="00670DBB" w:rsidRPr="002B4E6D">
        <w:rPr>
          <w:szCs w:val="20"/>
          <w:lang w:val="es-CR"/>
        </w:rPr>
        <w:t xml:space="preserve"> </w:t>
      </w:r>
      <w:r w:rsidR="004448A5" w:rsidRPr="002B4E6D">
        <w:rPr>
          <w:szCs w:val="20"/>
          <w:lang w:val="es-CR"/>
        </w:rPr>
        <w:t>en</w:t>
      </w:r>
      <w:r w:rsidR="00670DBB" w:rsidRPr="002B4E6D">
        <w:rPr>
          <w:szCs w:val="20"/>
          <w:lang w:val="es-CR"/>
        </w:rPr>
        <w:t xml:space="preserve"> </w:t>
      </w:r>
      <w:r w:rsidR="00C061E0">
        <w:rPr>
          <w:szCs w:val="20"/>
          <w:lang w:val="es-CR"/>
        </w:rPr>
        <w:t xml:space="preserve">el </w:t>
      </w:r>
      <w:r w:rsidR="00670DBB" w:rsidRPr="002B4E6D">
        <w:rPr>
          <w:szCs w:val="20"/>
          <w:lang w:val="es-CR"/>
        </w:rPr>
        <w:t xml:space="preserve">que </w:t>
      </w:r>
      <w:r w:rsidR="008E1110">
        <w:rPr>
          <w:szCs w:val="20"/>
          <w:lang w:val="es-CR"/>
        </w:rPr>
        <w:t>figuren</w:t>
      </w:r>
      <w:r w:rsidR="00670DBB" w:rsidRPr="002B4E6D">
        <w:rPr>
          <w:szCs w:val="20"/>
          <w:lang w:val="es-CR"/>
        </w:rPr>
        <w:t xml:space="preserve"> </w:t>
      </w:r>
      <w:r w:rsidR="008E1110">
        <w:rPr>
          <w:szCs w:val="20"/>
          <w:lang w:val="es-CR"/>
        </w:rPr>
        <w:t>los mantenimientos</w:t>
      </w:r>
      <w:r w:rsidR="00670DBB" w:rsidRPr="002B4E6D">
        <w:rPr>
          <w:szCs w:val="20"/>
          <w:lang w:val="es-CR"/>
        </w:rPr>
        <w:t xml:space="preserve"> preventiv</w:t>
      </w:r>
      <w:r w:rsidR="008E1110">
        <w:rPr>
          <w:szCs w:val="20"/>
          <w:lang w:val="es-CR"/>
        </w:rPr>
        <w:t>o</w:t>
      </w:r>
      <w:r w:rsidR="00670DBB" w:rsidRPr="002B4E6D">
        <w:rPr>
          <w:szCs w:val="20"/>
          <w:lang w:val="es-CR"/>
        </w:rPr>
        <w:t xml:space="preserve">s </w:t>
      </w:r>
      <w:r w:rsidR="004448A5" w:rsidRPr="002B4E6D">
        <w:rPr>
          <w:szCs w:val="20"/>
          <w:lang w:val="es-CR"/>
        </w:rPr>
        <w:t>y</w:t>
      </w:r>
      <w:r w:rsidR="00670DBB" w:rsidRPr="002B4E6D">
        <w:rPr>
          <w:szCs w:val="20"/>
          <w:lang w:val="es-CR"/>
        </w:rPr>
        <w:t xml:space="preserve"> </w:t>
      </w:r>
      <w:r w:rsidR="004448A5" w:rsidRPr="002B4E6D">
        <w:rPr>
          <w:szCs w:val="20"/>
          <w:lang w:val="es-CR"/>
        </w:rPr>
        <w:t>correctiv</w:t>
      </w:r>
      <w:r w:rsidR="008E1110">
        <w:rPr>
          <w:szCs w:val="20"/>
          <w:lang w:val="es-CR"/>
        </w:rPr>
        <w:t>o</w:t>
      </w:r>
      <w:r w:rsidR="004448A5" w:rsidRPr="002B4E6D">
        <w:rPr>
          <w:szCs w:val="20"/>
          <w:lang w:val="es-CR"/>
        </w:rPr>
        <w:t>s</w:t>
      </w:r>
      <w:r w:rsidR="00670DBB" w:rsidRPr="002B4E6D">
        <w:rPr>
          <w:szCs w:val="20"/>
          <w:lang w:val="es-CR"/>
        </w:rPr>
        <w:t xml:space="preserve">, </w:t>
      </w:r>
      <w:r w:rsidR="004448A5" w:rsidRPr="002B4E6D">
        <w:rPr>
          <w:szCs w:val="20"/>
          <w:lang w:val="es-CR"/>
        </w:rPr>
        <w:t>ni plan</w:t>
      </w:r>
      <w:r w:rsidR="00670DBB" w:rsidRPr="002B4E6D">
        <w:rPr>
          <w:szCs w:val="20"/>
          <w:lang w:val="es-CR"/>
        </w:rPr>
        <w:t xml:space="preserve"> de escape. </w:t>
      </w:r>
      <w:r w:rsidR="00C061E0">
        <w:rPr>
          <w:szCs w:val="20"/>
          <w:lang w:val="es-CR"/>
        </w:rPr>
        <w:t xml:space="preserve">El reporte </w:t>
      </w:r>
      <w:r w:rsidR="004448A5" w:rsidRPr="002B4E6D">
        <w:rPr>
          <w:szCs w:val="20"/>
          <w:lang w:val="es-CR"/>
        </w:rPr>
        <w:t>también</w:t>
      </w:r>
      <w:r w:rsidR="00670DBB" w:rsidRPr="002B4E6D">
        <w:rPr>
          <w:szCs w:val="20"/>
          <w:lang w:val="es-CR"/>
        </w:rPr>
        <w:t xml:space="preserve"> </w:t>
      </w:r>
      <w:r w:rsidR="004448A5" w:rsidRPr="002B4E6D">
        <w:rPr>
          <w:szCs w:val="20"/>
          <w:lang w:val="es-CR"/>
        </w:rPr>
        <w:t>concluyó</w:t>
      </w:r>
      <w:r w:rsidR="00670DBB" w:rsidRPr="002B4E6D">
        <w:rPr>
          <w:szCs w:val="20"/>
          <w:lang w:val="es-CR"/>
        </w:rPr>
        <w:t xml:space="preserve"> que </w:t>
      </w:r>
      <w:r w:rsidR="004448A5" w:rsidRPr="002B4E6D">
        <w:rPr>
          <w:szCs w:val="20"/>
          <w:lang w:val="es-CR"/>
        </w:rPr>
        <w:t>las</w:t>
      </w:r>
      <w:r w:rsidR="00670DBB" w:rsidRPr="002B4E6D">
        <w:rPr>
          <w:szCs w:val="20"/>
          <w:lang w:val="es-CR"/>
        </w:rPr>
        <w:t xml:space="preserve"> </w:t>
      </w:r>
      <w:r w:rsidR="004448A5" w:rsidRPr="002B4E6D">
        <w:rPr>
          <w:szCs w:val="20"/>
          <w:lang w:val="es-CR"/>
        </w:rPr>
        <w:t>mangueras</w:t>
      </w:r>
      <w:r w:rsidR="00670DBB" w:rsidRPr="002B4E6D">
        <w:rPr>
          <w:szCs w:val="20"/>
          <w:lang w:val="es-CR"/>
        </w:rPr>
        <w:t xml:space="preserve"> </w:t>
      </w:r>
      <w:r w:rsidR="004448A5" w:rsidRPr="002B4E6D">
        <w:rPr>
          <w:szCs w:val="20"/>
          <w:lang w:val="es-CR"/>
        </w:rPr>
        <w:t>y</w:t>
      </w:r>
      <w:r w:rsidR="00670DBB" w:rsidRPr="002B4E6D">
        <w:rPr>
          <w:szCs w:val="20"/>
          <w:lang w:val="es-CR"/>
        </w:rPr>
        <w:t xml:space="preserve"> </w:t>
      </w:r>
      <w:r w:rsidR="004448A5" w:rsidRPr="002B4E6D">
        <w:rPr>
          <w:szCs w:val="20"/>
          <w:lang w:val="es-CR"/>
        </w:rPr>
        <w:t>l</w:t>
      </w:r>
      <w:r w:rsidR="00670DBB" w:rsidRPr="002B4E6D">
        <w:rPr>
          <w:szCs w:val="20"/>
          <w:lang w:val="es-CR"/>
        </w:rPr>
        <w:t xml:space="preserve">os hidrantes </w:t>
      </w:r>
      <w:r w:rsidR="004448A5" w:rsidRPr="002B4E6D">
        <w:rPr>
          <w:szCs w:val="20"/>
          <w:lang w:val="es-CR"/>
        </w:rPr>
        <w:t>del</w:t>
      </w:r>
      <w:r w:rsidR="00670DBB" w:rsidRPr="002B4E6D">
        <w:rPr>
          <w:szCs w:val="20"/>
          <w:lang w:val="es-CR"/>
        </w:rPr>
        <w:t xml:space="preserve"> IPPSC </w:t>
      </w:r>
      <w:r w:rsidR="004448A5" w:rsidRPr="002B4E6D">
        <w:rPr>
          <w:szCs w:val="20"/>
          <w:lang w:val="es-CR"/>
        </w:rPr>
        <w:t>no</w:t>
      </w:r>
      <w:r w:rsidR="00670DBB" w:rsidRPr="002B4E6D">
        <w:rPr>
          <w:szCs w:val="20"/>
          <w:lang w:val="es-CR"/>
        </w:rPr>
        <w:t xml:space="preserve"> </w:t>
      </w:r>
      <w:r w:rsidR="004448A5" w:rsidRPr="002B4E6D">
        <w:rPr>
          <w:szCs w:val="20"/>
          <w:lang w:val="es-CR"/>
        </w:rPr>
        <w:t>estaban</w:t>
      </w:r>
      <w:r w:rsidR="00670DBB" w:rsidRPr="002B4E6D">
        <w:rPr>
          <w:szCs w:val="20"/>
          <w:lang w:val="es-CR"/>
        </w:rPr>
        <w:t xml:space="preserve"> </w:t>
      </w:r>
      <w:r w:rsidR="004448A5" w:rsidRPr="002B4E6D">
        <w:rPr>
          <w:szCs w:val="20"/>
          <w:lang w:val="es-CR"/>
        </w:rPr>
        <w:t>en</w:t>
      </w:r>
      <w:r w:rsidR="00670DBB" w:rsidRPr="002B4E6D">
        <w:rPr>
          <w:szCs w:val="20"/>
          <w:lang w:val="es-CR"/>
        </w:rPr>
        <w:t xml:space="preserve"> condi</w:t>
      </w:r>
      <w:r w:rsidR="00945D4E" w:rsidRPr="002B4E6D">
        <w:rPr>
          <w:szCs w:val="20"/>
          <w:lang w:val="es-CR"/>
        </w:rPr>
        <w:t>ciones</w:t>
      </w:r>
      <w:r w:rsidR="00670DBB" w:rsidRPr="002B4E6D">
        <w:rPr>
          <w:szCs w:val="20"/>
          <w:lang w:val="es-CR"/>
        </w:rPr>
        <w:t xml:space="preserve"> de uso, que </w:t>
      </w:r>
      <w:r w:rsidR="004448A5" w:rsidRPr="002B4E6D">
        <w:rPr>
          <w:szCs w:val="20"/>
          <w:lang w:val="es-CR"/>
        </w:rPr>
        <w:t>las</w:t>
      </w:r>
      <w:r w:rsidR="00670DBB" w:rsidRPr="002B4E6D">
        <w:rPr>
          <w:szCs w:val="20"/>
          <w:lang w:val="es-CR"/>
        </w:rPr>
        <w:t xml:space="preserve"> ca</w:t>
      </w:r>
      <w:r w:rsidR="004448A5" w:rsidRPr="002B4E6D">
        <w:rPr>
          <w:szCs w:val="20"/>
          <w:lang w:val="es-CR"/>
        </w:rPr>
        <w:t>j</w:t>
      </w:r>
      <w:r w:rsidR="00670DBB" w:rsidRPr="002B4E6D">
        <w:rPr>
          <w:szCs w:val="20"/>
          <w:lang w:val="es-CR"/>
        </w:rPr>
        <w:t xml:space="preserve">as </w:t>
      </w:r>
      <w:r w:rsidR="008E1110">
        <w:rPr>
          <w:szCs w:val="20"/>
          <w:lang w:val="es-CR"/>
        </w:rPr>
        <w:t>contra</w:t>
      </w:r>
      <w:r w:rsidR="00670DBB" w:rsidRPr="002B4E6D">
        <w:rPr>
          <w:szCs w:val="20"/>
          <w:lang w:val="es-CR"/>
        </w:rPr>
        <w:t xml:space="preserve"> </w:t>
      </w:r>
      <w:r w:rsidR="004448A5" w:rsidRPr="002B4E6D">
        <w:rPr>
          <w:szCs w:val="20"/>
          <w:lang w:val="es-CR"/>
        </w:rPr>
        <w:t>incendio</w:t>
      </w:r>
      <w:r w:rsidR="00670DBB" w:rsidRPr="002B4E6D">
        <w:rPr>
          <w:szCs w:val="20"/>
          <w:lang w:val="es-CR"/>
        </w:rPr>
        <w:t xml:space="preserve"> </w:t>
      </w:r>
      <w:r w:rsidR="004448A5" w:rsidRPr="002B4E6D">
        <w:rPr>
          <w:szCs w:val="20"/>
          <w:lang w:val="es-CR"/>
        </w:rPr>
        <w:t>no</w:t>
      </w:r>
      <w:r w:rsidR="00670DBB" w:rsidRPr="002B4E6D">
        <w:rPr>
          <w:szCs w:val="20"/>
          <w:lang w:val="es-CR"/>
        </w:rPr>
        <w:t xml:space="preserve"> </w:t>
      </w:r>
      <w:r w:rsidR="004448A5" w:rsidRPr="002B4E6D">
        <w:rPr>
          <w:szCs w:val="20"/>
          <w:lang w:val="es-CR"/>
        </w:rPr>
        <w:t>estaban</w:t>
      </w:r>
      <w:r w:rsidR="00670DBB" w:rsidRPr="002B4E6D">
        <w:rPr>
          <w:szCs w:val="20"/>
          <w:lang w:val="es-CR"/>
        </w:rPr>
        <w:t xml:space="preserve"> </w:t>
      </w:r>
      <w:r w:rsidR="004448A5" w:rsidRPr="002B4E6D">
        <w:rPr>
          <w:szCs w:val="20"/>
          <w:lang w:val="es-CR"/>
        </w:rPr>
        <w:t>señalizadas</w:t>
      </w:r>
      <w:r w:rsidR="00670DBB" w:rsidRPr="002B4E6D">
        <w:rPr>
          <w:szCs w:val="20"/>
          <w:lang w:val="es-CR"/>
        </w:rPr>
        <w:t xml:space="preserve">, que </w:t>
      </w:r>
      <w:r w:rsidR="004448A5" w:rsidRPr="002B4E6D">
        <w:rPr>
          <w:szCs w:val="20"/>
          <w:lang w:val="es-CR"/>
        </w:rPr>
        <w:t>las</w:t>
      </w:r>
      <w:r w:rsidR="00670DBB" w:rsidRPr="002B4E6D">
        <w:rPr>
          <w:szCs w:val="20"/>
          <w:lang w:val="es-CR"/>
        </w:rPr>
        <w:t xml:space="preserve"> p</w:t>
      </w:r>
      <w:r w:rsidR="004448A5" w:rsidRPr="002B4E6D">
        <w:rPr>
          <w:szCs w:val="20"/>
          <w:lang w:val="es-CR"/>
        </w:rPr>
        <w:t>ue</w:t>
      </w:r>
      <w:r w:rsidR="00670DBB" w:rsidRPr="002B4E6D">
        <w:rPr>
          <w:szCs w:val="20"/>
          <w:lang w:val="es-CR"/>
        </w:rPr>
        <w:t xml:space="preserve">rtas </w:t>
      </w:r>
      <w:r w:rsidR="004448A5" w:rsidRPr="002B4E6D">
        <w:rPr>
          <w:szCs w:val="20"/>
          <w:lang w:val="es-CR"/>
        </w:rPr>
        <w:t>no</w:t>
      </w:r>
      <w:r w:rsidR="00670DBB" w:rsidRPr="002B4E6D">
        <w:rPr>
          <w:szCs w:val="20"/>
          <w:lang w:val="es-CR"/>
        </w:rPr>
        <w:t xml:space="preserve"> </w:t>
      </w:r>
      <w:r w:rsidR="008E1110">
        <w:rPr>
          <w:szCs w:val="20"/>
          <w:lang w:val="es-CR"/>
        </w:rPr>
        <w:t>tenían</w:t>
      </w:r>
      <w:r w:rsidR="00670DBB" w:rsidRPr="002B4E6D">
        <w:rPr>
          <w:szCs w:val="20"/>
          <w:lang w:val="es-CR"/>
        </w:rPr>
        <w:t xml:space="preserve"> </w:t>
      </w:r>
      <w:r w:rsidR="004448A5" w:rsidRPr="002B4E6D">
        <w:rPr>
          <w:szCs w:val="20"/>
          <w:lang w:val="es-CR"/>
        </w:rPr>
        <w:t>herrajes</w:t>
      </w:r>
      <w:r w:rsidR="00670DBB" w:rsidRPr="002B4E6D">
        <w:rPr>
          <w:szCs w:val="20"/>
          <w:lang w:val="es-CR"/>
        </w:rPr>
        <w:t xml:space="preserve"> </w:t>
      </w:r>
      <w:r w:rsidR="00286306">
        <w:rPr>
          <w:szCs w:val="20"/>
          <w:lang w:val="es-CR"/>
        </w:rPr>
        <w:t>anti</w:t>
      </w:r>
      <w:r w:rsidR="00286306" w:rsidRPr="002B4E6D">
        <w:rPr>
          <w:szCs w:val="20"/>
          <w:lang w:val="es-CR"/>
        </w:rPr>
        <w:t xml:space="preserve"> pánico</w:t>
      </w:r>
      <w:r w:rsidR="000E51A9" w:rsidRPr="002B4E6D">
        <w:rPr>
          <w:szCs w:val="20"/>
          <w:lang w:val="es-CR"/>
        </w:rPr>
        <w:t>,</w:t>
      </w:r>
      <w:r w:rsidR="00925CA5" w:rsidRPr="002B4E6D">
        <w:rPr>
          <w:szCs w:val="20"/>
          <w:lang w:val="es-CR"/>
        </w:rPr>
        <w:t xml:space="preserve"> </w:t>
      </w:r>
      <w:r w:rsidR="004448A5" w:rsidRPr="002B4E6D">
        <w:rPr>
          <w:szCs w:val="20"/>
          <w:lang w:val="es-CR"/>
        </w:rPr>
        <w:t>y</w:t>
      </w:r>
      <w:r w:rsidR="00925CA5" w:rsidRPr="002B4E6D">
        <w:rPr>
          <w:szCs w:val="20"/>
          <w:lang w:val="es-CR"/>
        </w:rPr>
        <w:t xml:space="preserve"> que </w:t>
      </w:r>
      <w:r w:rsidR="004448A5" w:rsidRPr="002B4E6D">
        <w:rPr>
          <w:szCs w:val="20"/>
          <w:lang w:val="es-CR"/>
        </w:rPr>
        <w:t>las</w:t>
      </w:r>
      <w:r w:rsidR="00925CA5" w:rsidRPr="002B4E6D">
        <w:rPr>
          <w:szCs w:val="20"/>
          <w:lang w:val="es-CR"/>
        </w:rPr>
        <w:t xml:space="preserve"> </w:t>
      </w:r>
      <w:r w:rsidR="00C061E0">
        <w:rPr>
          <w:szCs w:val="20"/>
          <w:lang w:val="es-CR"/>
        </w:rPr>
        <w:t xml:space="preserve">salidas de emergencia </w:t>
      </w:r>
      <w:r w:rsidR="004448A5" w:rsidRPr="002B4E6D">
        <w:rPr>
          <w:szCs w:val="20"/>
          <w:lang w:val="es-CR"/>
        </w:rPr>
        <w:t>no</w:t>
      </w:r>
      <w:r w:rsidR="00670DBB" w:rsidRPr="002B4E6D">
        <w:rPr>
          <w:szCs w:val="20"/>
          <w:lang w:val="es-CR"/>
        </w:rPr>
        <w:t xml:space="preserve"> </w:t>
      </w:r>
      <w:r w:rsidR="004448A5" w:rsidRPr="002B4E6D">
        <w:rPr>
          <w:szCs w:val="20"/>
          <w:lang w:val="es-CR"/>
        </w:rPr>
        <w:t>estaban</w:t>
      </w:r>
      <w:r w:rsidR="00670DBB" w:rsidRPr="002B4E6D">
        <w:rPr>
          <w:szCs w:val="20"/>
          <w:lang w:val="es-CR"/>
        </w:rPr>
        <w:t xml:space="preserve"> </w:t>
      </w:r>
      <w:r w:rsidR="009C0296">
        <w:rPr>
          <w:szCs w:val="20"/>
          <w:lang w:val="es-CR"/>
        </w:rPr>
        <w:t>destrabadas</w:t>
      </w:r>
      <w:r w:rsidR="00670DBB" w:rsidRPr="002B4E6D">
        <w:rPr>
          <w:szCs w:val="20"/>
          <w:lang w:val="es-CR"/>
        </w:rPr>
        <w:t xml:space="preserve">. </w:t>
      </w:r>
      <w:r w:rsidR="004448A5" w:rsidRPr="002B4E6D">
        <w:rPr>
          <w:szCs w:val="20"/>
          <w:lang w:val="es-CR"/>
        </w:rPr>
        <w:t>Además</w:t>
      </w:r>
      <w:r w:rsidR="00B87B20" w:rsidRPr="002B4E6D">
        <w:rPr>
          <w:szCs w:val="20"/>
          <w:lang w:val="es-CR"/>
        </w:rPr>
        <w:t xml:space="preserve">, </w:t>
      </w:r>
      <w:r w:rsidR="004448A5" w:rsidRPr="002B4E6D">
        <w:rPr>
          <w:szCs w:val="20"/>
          <w:lang w:val="es-CR"/>
        </w:rPr>
        <w:t>el</w:t>
      </w:r>
      <w:r w:rsidR="00670DBB" w:rsidRPr="002B4E6D">
        <w:rPr>
          <w:szCs w:val="20"/>
          <w:lang w:val="es-CR"/>
        </w:rPr>
        <w:t xml:space="preserve"> </w:t>
      </w:r>
      <w:r w:rsidR="00B12DBC" w:rsidRPr="002B4E6D">
        <w:rPr>
          <w:szCs w:val="20"/>
          <w:lang w:val="es-CR"/>
        </w:rPr>
        <w:t>informe</w:t>
      </w:r>
      <w:r w:rsidR="00670DBB" w:rsidRPr="002B4E6D">
        <w:rPr>
          <w:szCs w:val="20"/>
          <w:lang w:val="es-CR"/>
        </w:rPr>
        <w:t xml:space="preserve"> </w:t>
      </w:r>
      <w:r w:rsidR="009C0296">
        <w:rPr>
          <w:szCs w:val="20"/>
          <w:lang w:val="es-CR"/>
        </w:rPr>
        <w:t xml:space="preserve">consigna </w:t>
      </w:r>
      <w:r w:rsidR="00670DBB" w:rsidRPr="002B4E6D">
        <w:rPr>
          <w:szCs w:val="20"/>
          <w:lang w:val="es-CR"/>
        </w:rPr>
        <w:t xml:space="preserve">que </w:t>
      </w:r>
      <w:r w:rsidR="004448A5" w:rsidRPr="002B4E6D">
        <w:rPr>
          <w:szCs w:val="20"/>
          <w:lang w:val="es-CR"/>
        </w:rPr>
        <w:t>la</w:t>
      </w:r>
      <w:r w:rsidR="00670DBB" w:rsidRPr="002B4E6D">
        <w:rPr>
          <w:szCs w:val="20"/>
          <w:lang w:val="es-CR"/>
        </w:rPr>
        <w:t xml:space="preserve"> </w:t>
      </w:r>
      <w:r w:rsidR="004448A5" w:rsidRPr="002B4E6D">
        <w:rPr>
          <w:szCs w:val="20"/>
          <w:lang w:val="es-CR"/>
        </w:rPr>
        <w:t>cantidad</w:t>
      </w:r>
      <w:r w:rsidR="00670DBB" w:rsidRPr="002B4E6D">
        <w:rPr>
          <w:szCs w:val="20"/>
          <w:lang w:val="es-CR"/>
        </w:rPr>
        <w:t xml:space="preserve"> de </w:t>
      </w:r>
      <w:r w:rsidR="00AA1A37" w:rsidRPr="002B4E6D">
        <w:rPr>
          <w:szCs w:val="20"/>
          <w:lang w:val="es-CR"/>
        </w:rPr>
        <w:t>personas</w:t>
      </w:r>
      <w:r w:rsidR="00670DBB" w:rsidRPr="002B4E6D">
        <w:rPr>
          <w:szCs w:val="20"/>
          <w:lang w:val="es-CR"/>
        </w:rPr>
        <w:t xml:space="preserve"> </w:t>
      </w:r>
      <w:r w:rsidR="004448A5" w:rsidRPr="002B4E6D">
        <w:rPr>
          <w:szCs w:val="20"/>
          <w:lang w:val="es-CR"/>
        </w:rPr>
        <w:t>en la</w:t>
      </w:r>
      <w:r w:rsidR="00670DBB" w:rsidRPr="002B4E6D">
        <w:rPr>
          <w:szCs w:val="20"/>
          <w:lang w:val="es-CR"/>
        </w:rPr>
        <w:t xml:space="preserve"> </w:t>
      </w:r>
      <w:r w:rsidR="00ED6186" w:rsidRPr="002B4E6D">
        <w:rPr>
          <w:szCs w:val="20"/>
          <w:lang w:val="es-CR"/>
        </w:rPr>
        <w:t>unidad</w:t>
      </w:r>
      <w:r w:rsidR="00670DBB" w:rsidRPr="002B4E6D">
        <w:rPr>
          <w:szCs w:val="20"/>
          <w:lang w:val="es-CR"/>
        </w:rPr>
        <w:t xml:space="preserve"> </w:t>
      </w:r>
      <w:r w:rsidR="00031269" w:rsidRPr="002B4E6D">
        <w:rPr>
          <w:szCs w:val="20"/>
          <w:lang w:val="es-CR"/>
        </w:rPr>
        <w:t>carcelari</w:t>
      </w:r>
      <w:r w:rsidR="004448A5" w:rsidRPr="002B4E6D">
        <w:rPr>
          <w:szCs w:val="20"/>
          <w:lang w:val="es-CR"/>
        </w:rPr>
        <w:t>a</w:t>
      </w:r>
      <w:r w:rsidR="00670DBB" w:rsidRPr="002B4E6D">
        <w:rPr>
          <w:szCs w:val="20"/>
          <w:lang w:val="es-CR"/>
        </w:rPr>
        <w:t xml:space="preserve"> </w:t>
      </w:r>
      <w:r w:rsidR="004448A5" w:rsidRPr="002B4E6D">
        <w:rPr>
          <w:szCs w:val="20"/>
          <w:lang w:val="es-CR"/>
        </w:rPr>
        <w:t>no</w:t>
      </w:r>
      <w:r w:rsidR="00670DBB" w:rsidRPr="002B4E6D">
        <w:rPr>
          <w:szCs w:val="20"/>
          <w:lang w:val="es-CR"/>
        </w:rPr>
        <w:t xml:space="preserve"> </w:t>
      </w:r>
      <w:r w:rsidR="00C63C26">
        <w:rPr>
          <w:szCs w:val="20"/>
          <w:lang w:val="es-CR"/>
        </w:rPr>
        <w:t>era</w:t>
      </w:r>
      <w:r w:rsidR="00670DBB" w:rsidRPr="002B4E6D">
        <w:rPr>
          <w:szCs w:val="20"/>
          <w:lang w:val="es-CR"/>
        </w:rPr>
        <w:t xml:space="preserve"> </w:t>
      </w:r>
      <w:r w:rsidR="004448A5" w:rsidRPr="002B4E6D">
        <w:rPr>
          <w:szCs w:val="20"/>
          <w:lang w:val="es-CR"/>
        </w:rPr>
        <w:t>compatible</w:t>
      </w:r>
      <w:r w:rsidR="00670DBB" w:rsidRPr="002B4E6D">
        <w:rPr>
          <w:szCs w:val="20"/>
          <w:lang w:val="es-CR"/>
        </w:rPr>
        <w:t xml:space="preserve"> </w:t>
      </w:r>
      <w:r w:rsidR="004448A5" w:rsidRPr="002B4E6D">
        <w:rPr>
          <w:szCs w:val="20"/>
          <w:lang w:val="es-CR"/>
        </w:rPr>
        <w:t>con</w:t>
      </w:r>
      <w:r w:rsidR="00670DBB" w:rsidRPr="002B4E6D">
        <w:rPr>
          <w:szCs w:val="20"/>
          <w:lang w:val="es-CR"/>
        </w:rPr>
        <w:t xml:space="preserve"> </w:t>
      </w:r>
      <w:r w:rsidR="004448A5" w:rsidRPr="002B4E6D">
        <w:rPr>
          <w:szCs w:val="20"/>
          <w:lang w:val="es-CR"/>
        </w:rPr>
        <w:t>la</w:t>
      </w:r>
      <w:r w:rsidR="00670DBB" w:rsidRPr="002B4E6D">
        <w:rPr>
          <w:szCs w:val="20"/>
          <w:lang w:val="es-CR"/>
        </w:rPr>
        <w:t xml:space="preserve"> </w:t>
      </w:r>
      <w:r w:rsidR="004448A5" w:rsidRPr="002B4E6D">
        <w:rPr>
          <w:szCs w:val="20"/>
          <w:lang w:val="es-CR"/>
        </w:rPr>
        <w:t>capacidad</w:t>
      </w:r>
      <w:r w:rsidR="00670DBB" w:rsidRPr="002B4E6D">
        <w:rPr>
          <w:szCs w:val="20"/>
          <w:lang w:val="es-CR"/>
        </w:rPr>
        <w:t xml:space="preserve">, </w:t>
      </w:r>
      <w:r w:rsidR="004448A5" w:rsidRPr="002B4E6D">
        <w:rPr>
          <w:szCs w:val="20"/>
          <w:lang w:val="es-CR"/>
        </w:rPr>
        <w:t>y</w:t>
      </w:r>
      <w:r w:rsidR="00670DBB" w:rsidRPr="002B4E6D">
        <w:rPr>
          <w:szCs w:val="20"/>
          <w:lang w:val="es-CR"/>
        </w:rPr>
        <w:t xml:space="preserve"> que </w:t>
      </w:r>
      <w:r w:rsidR="004448A5" w:rsidRPr="002B4E6D">
        <w:rPr>
          <w:szCs w:val="20"/>
          <w:lang w:val="es-CR"/>
        </w:rPr>
        <w:t>los</w:t>
      </w:r>
      <w:r w:rsidR="00670DBB" w:rsidRPr="002B4E6D">
        <w:rPr>
          <w:szCs w:val="20"/>
          <w:lang w:val="es-CR"/>
        </w:rPr>
        <w:t xml:space="preserve"> </w:t>
      </w:r>
      <w:r w:rsidR="004448A5" w:rsidRPr="002B4E6D">
        <w:rPr>
          <w:szCs w:val="20"/>
          <w:lang w:val="es-CR"/>
        </w:rPr>
        <w:t>funcionarios</w:t>
      </w:r>
      <w:r w:rsidR="00670DBB" w:rsidRPr="002B4E6D">
        <w:rPr>
          <w:szCs w:val="20"/>
          <w:lang w:val="es-CR"/>
        </w:rPr>
        <w:t xml:space="preserve"> </w:t>
      </w:r>
      <w:r w:rsidR="004448A5" w:rsidRPr="002B4E6D">
        <w:rPr>
          <w:szCs w:val="20"/>
          <w:lang w:val="es-CR"/>
        </w:rPr>
        <w:t>del</w:t>
      </w:r>
      <w:r w:rsidR="00670DBB" w:rsidRPr="002B4E6D">
        <w:rPr>
          <w:szCs w:val="20"/>
          <w:lang w:val="es-CR"/>
        </w:rPr>
        <w:t xml:space="preserve"> </w:t>
      </w:r>
      <w:r w:rsidR="004448A5" w:rsidRPr="002B4E6D">
        <w:rPr>
          <w:szCs w:val="20"/>
          <w:lang w:val="es-CR"/>
        </w:rPr>
        <w:t>establecimiento</w:t>
      </w:r>
      <w:r w:rsidR="00670DBB" w:rsidRPr="002B4E6D">
        <w:rPr>
          <w:szCs w:val="20"/>
          <w:lang w:val="es-CR"/>
        </w:rPr>
        <w:t xml:space="preserve"> </w:t>
      </w:r>
      <w:r w:rsidR="004448A5" w:rsidRPr="002B4E6D">
        <w:rPr>
          <w:szCs w:val="20"/>
          <w:lang w:val="es-CR"/>
        </w:rPr>
        <w:t>no</w:t>
      </w:r>
      <w:r w:rsidR="00670DBB" w:rsidRPr="002B4E6D">
        <w:rPr>
          <w:szCs w:val="20"/>
          <w:lang w:val="es-CR"/>
        </w:rPr>
        <w:t xml:space="preserve"> </w:t>
      </w:r>
      <w:r w:rsidR="004448A5" w:rsidRPr="002B4E6D">
        <w:rPr>
          <w:szCs w:val="20"/>
          <w:lang w:val="es-CR"/>
        </w:rPr>
        <w:t>habían</w:t>
      </w:r>
      <w:r w:rsidR="000E51A9" w:rsidRPr="002B4E6D">
        <w:rPr>
          <w:szCs w:val="20"/>
          <w:lang w:val="es-CR"/>
        </w:rPr>
        <w:t xml:space="preserve"> sido</w:t>
      </w:r>
      <w:r w:rsidR="00670DBB" w:rsidRPr="002B4E6D">
        <w:rPr>
          <w:szCs w:val="20"/>
          <w:lang w:val="es-CR"/>
        </w:rPr>
        <w:t xml:space="preserve"> </w:t>
      </w:r>
      <w:r w:rsidR="004448A5" w:rsidRPr="002B4E6D">
        <w:rPr>
          <w:szCs w:val="20"/>
          <w:lang w:val="es-CR"/>
        </w:rPr>
        <w:t>entrenados</w:t>
      </w:r>
      <w:r w:rsidR="00670DBB" w:rsidRPr="002B4E6D">
        <w:rPr>
          <w:szCs w:val="20"/>
          <w:lang w:val="es-CR"/>
        </w:rPr>
        <w:t xml:space="preserve"> para </w:t>
      </w:r>
      <w:r w:rsidR="004448A5" w:rsidRPr="002B4E6D">
        <w:rPr>
          <w:szCs w:val="20"/>
          <w:lang w:val="es-CR"/>
        </w:rPr>
        <w:t>una</w:t>
      </w:r>
      <w:r w:rsidR="00670DBB" w:rsidRPr="002B4E6D">
        <w:rPr>
          <w:szCs w:val="20"/>
          <w:lang w:val="es-CR"/>
        </w:rPr>
        <w:t xml:space="preserve"> situa</w:t>
      </w:r>
      <w:r w:rsidR="00AA1A37" w:rsidRPr="002B4E6D">
        <w:rPr>
          <w:szCs w:val="20"/>
          <w:lang w:val="es-CR"/>
        </w:rPr>
        <w:t>ción</w:t>
      </w:r>
      <w:r w:rsidR="00670DBB" w:rsidRPr="002B4E6D">
        <w:rPr>
          <w:szCs w:val="20"/>
          <w:lang w:val="es-CR"/>
        </w:rPr>
        <w:t xml:space="preserve"> de </w:t>
      </w:r>
      <w:r w:rsidR="004448A5" w:rsidRPr="002B4E6D">
        <w:rPr>
          <w:szCs w:val="20"/>
          <w:lang w:val="es-CR"/>
        </w:rPr>
        <w:t>emergencia</w:t>
      </w:r>
      <w:r w:rsidR="00670DBB" w:rsidRPr="002B4E6D">
        <w:rPr>
          <w:szCs w:val="20"/>
          <w:lang w:val="es-CR"/>
        </w:rPr>
        <w:t>.</w:t>
      </w:r>
    </w:p>
    <w:p w14:paraId="5AC8A4E7" w14:textId="77777777" w:rsidR="00A352BA" w:rsidRPr="002B4E6D" w:rsidRDefault="00A352BA" w:rsidP="00A562C5">
      <w:pPr>
        <w:pStyle w:val="ListParagraph"/>
        <w:snapToGrid w:val="0"/>
        <w:ind w:left="0"/>
        <w:contextualSpacing w:val="0"/>
        <w:rPr>
          <w:szCs w:val="20"/>
          <w:lang w:val="es-CR"/>
        </w:rPr>
      </w:pPr>
    </w:p>
    <w:p w14:paraId="15BD09C5" w14:textId="3B5F9248" w:rsidR="00394FB5" w:rsidRPr="002B4E6D" w:rsidRDefault="004448A5" w:rsidP="00394FB5">
      <w:pPr>
        <w:pStyle w:val="ListParagraph"/>
        <w:numPr>
          <w:ilvl w:val="0"/>
          <w:numId w:val="20"/>
        </w:numPr>
        <w:snapToGrid w:val="0"/>
        <w:ind w:left="0" w:firstLine="0"/>
        <w:contextualSpacing w:val="0"/>
        <w:rPr>
          <w:szCs w:val="20"/>
          <w:lang w:val="es-CR"/>
        </w:rPr>
      </w:pPr>
      <w:r w:rsidRPr="002B4E6D">
        <w:rPr>
          <w:szCs w:val="20"/>
          <w:lang w:val="es-CR"/>
        </w:rPr>
        <w:t>Los</w:t>
      </w:r>
      <w:r w:rsidR="00A352BA" w:rsidRPr="002B4E6D">
        <w:rPr>
          <w:szCs w:val="20"/>
          <w:lang w:val="es-CR"/>
        </w:rPr>
        <w:t xml:space="preserve"> representantes </w:t>
      </w:r>
      <w:r w:rsidRPr="002B4E6D">
        <w:rPr>
          <w:szCs w:val="20"/>
          <w:lang w:val="es-CR"/>
        </w:rPr>
        <w:t>también</w:t>
      </w:r>
      <w:r w:rsidR="00A352BA" w:rsidRPr="002B4E6D">
        <w:rPr>
          <w:szCs w:val="20"/>
          <w:lang w:val="es-CR"/>
        </w:rPr>
        <w:t xml:space="preserve"> </w:t>
      </w:r>
      <w:r w:rsidRPr="002B4E6D">
        <w:rPr>
          <w:szCs w:val="20"/>
          <w:lang w:val="es-CR"/>
        </w:rPr>
        <w:t>hicieron</w:t>
      </w:r>
      <w:r w:rsidR="00A352BA" w:rsidRPr="002B4E6D">
        <w:rPr>
          <w:szCs w:val="20"/>
          <w:lang w:val="es-CR"/>
        </w:rPr>
        <w:t xml:space="preserve"> </w:t>
      </w:r>
      <w:r w:rsidRPr="002B4E6D">
        <w:rPr>
          <w:szCs w:val="20"/>
          <w:lang w:val="es-CR"/>
        </w:rPr>
        <w:t>referencia</w:t>
      </w:r>
      <w:r w:rsidR="00A352BA" w:rsidRPr="002B4E6D">
        <w:rPr>
          <w:szCs w:val="20"/>
          <w:lang w:val="es-CR"/>
        </w:rPr>
        <w:t xml:space="preserve"> </w:t>
      </w:r>
      <w:r w:rsidRPr="002B4E6D">
        <w:rPr>
          <w:szCs w:val="20"/>
          <w:lang w:val="es-CR"/>
        </w:rPr>
        <w:t>al</w:t>
      </w:r>
      <w:r w:rsidR="00A352BA" w:rsidRPr="002B4E6D">
        <w:rPr>
          <w:szCs w:val="20"/>
          <w:lang w:val="es-CR"/>
        </w:rPr>
        <w:t xml:space="preserve"> </w:t>
      </w:r>
      <w:r w:rsidR="00B12DBC" w:rsidRPr="002B4E6D">
        <w:rPr>
          <w:szCs w:val="20"/>
          <w:lang w:val="es-CR"/>
        </w:rPr>
        <w:t>informe</w:t>
      </w:r>
      <w:r w:rsidR="00A352BA" w:rsidRPr="002B4E6D">
        <w:rPr>
          <w:szCs w:val="20"/>
          <w:lang w:val="es-CR"/>
        </w:rPr>
        <w:t xml:space="preserve"> </w:t>
      </w:r>
      <w:r w:rsidRPr="002B4E6D">
        <w:rPr>
          <w:szCs w:val="20"/>
          <w:lang w:val="es-CR"/>
        </w:rPr>
        <w:t>del</w:t>
      </w:r>
      <w:r w:rsidR="00A352BA" w:rsidRPr="002B4E6D">
        <w:rPr>
          <w:szCs w:val="20"/>
          <w:lang w:val="es-CR"/>
        </w:rPr>
        <w:t xml:space="preserve"> Sindicato </w:t>
      </w:r>
      <w:r w:rsidRPr="002B4E6D">
        <w:rPr>
          <w:szCs w:val="20"/>
          <w:lang w:val="es-CR"/>
        </w:rPr>
        <w:t>de los</w:t>
      </w:r>
      <w:r w:rsidR="00A352BA" w:rsidRPr="002B4E6D">
        <w:rPr>
          <w:szCs w:val="20"/>
          <w:lang w:val="es-CR"/>
        </w:rPr>
        <w:t xml:space="preserve"> Servidores </w:t>
      </w:r>
      <w:r w:rsidRPr="002B4E6D">
        <w:rPr>
          <w:szCs w:val="20"/>
          <w:lang w:val="es-CR"/>
        </w:rPr>
        <w:t>del</w:t>
      </w:r>
      <w:r w:rsidR="00A352BA" w:rsidRPr="002B4E6D">
        <w:rPr>
          <w:szCs w:val="20"/>
          <w:lang w:val="es-CR"/>
        </w:rPr>
        <w:t xml:space="preserve"> Sistema Penal </w:t>
      </w:r>
      <w:r w:rsidRPr="002B4E6D">
        <w:rPr>
          <w:szCs w:val="20"/>
          <w:lang w:val="es-CR"/>
        </w:rPr>
        <w:t>del</w:t>
      </w:r>
      <w:r w:rsidR="00A352BA" w:rsidRPr="002B4E6D">
        <w:rPr>
          <w:szCs w:val="20"/>
          <w:lang w:val="es-CR"/>
        </w:rPr>
        <w:t xml:space="preserve"> Estado </w:t>
      </w:r>
      <w:r w:rsidRPr="002B4E6D">
        <w:rPr>
          <w:szCs w:val="20"/>
          <w:lang w:val="es-CR"/>
        </w:rPr>
        <w:t>de</w:t>
      </w:r>
      <w:r w:rsidR="00A352BA" w:rsidRPr="002B4E6D">
        <w:rPr>
          <w:szCs w:val="20"/>
          <w:lang w:val="es-CR"/>
        </w:rPr>
        <w:t xml:space="preserve"> </w:t>
      </w:r>
      <w:r w:rsidR="00E9168C" w:rsidRPr="002B4E6D">
        <w:rPr>
          <w:szCs w:val="20"/>
          <w:lang w:val="es-CR"/>
        </w:rPr>
        <w:t>Río de Janeiro</w:t>
      </w:r>
      <w:r w:rsidR="00A352BA" w:rsidRPr="002B4E6D">
        <w:rPr>
          <w:szCs w:val="20"/>
          <w:lang w:val="es-CR"/>
        </w:rPr>
        <w:t xml:space="preserve"> (SINDSISTEMA) sobre </w:t>
      </w:r>
      <w:r w:rsidRPr="002B4E6D">
        <w:rPr>
          <w:szCs w:val="20"/>
          <w:lang w:val="es-CR"/>
        </w:rPr>
        <w:t>las</w:t>
      </w:r>
      <w:r w:rsidR="00A352BA" w:rsidRPr="002B4E6D">
        <w:rPr>
          <w:szCs w:val="20"/>
          <w:lang w:val="es-CR"/>
        </w:rPr>
        <w:t xml:space="preserve"> condi</w:t>
      </w:r>
      <w:r w:rsidR="00945D4E" w:rsidRPr="002B4E6D">
        <w:rPr>
          <w:szCs w:val="20"/>
          <w:lang w:val="es-CR"/>
        </w:rPr>
        <w:t>ciones</w:t>
      </w:r>
      <w:r w:rsidR="00A352BA" w:rsidRPr="002B4E6D">
        <w:rPr>
          <w:szCs w:val="20"/>
          <w:lang w:val="es-CR"/>
        </w:rPr>
        <w:t xml:space="preserve"> de </w:t>
      </w:r>
      <w:r w:rsidR="009E16F7" w:rsidRPr="002B4E6D">
        <w:rPr>
          <w:szCs w:val="20"/>
          <w:lang w:val="es-CR"/>
        </w:rPr>
        <w:t>trabajo</w:t>
      </w:r>
      <w:r w:rsidR="00A352BA" w:rsidRPr="002B4E6D">
        <w:rPr>
          <w:szCs w:val="20"/>
          <w:lang w:val="es-CR"/>
        </w:rPr>
        <w:t xml:space="preserve"> </w:t>
      </w:r>
      <w:r w:rsidRPr="002B4E6D">
        <w:rPr>
          <w:szCs w:val="20"/>
          <w:lang w:val="es-CR"/>
        </w:rPr>
        <w:t>de los</w:t>
      </w:r>
      <w:r w:rsidR="00A352BA" w:rsidRPr="002B4E6D">
        <w:rPr>
          <w:szCs w:val="20"/>
          <w:lang w:val="es-CR"/>
        </w:rPr>
        <w:t xml:space="preserve"> agentes </w:t>
      </w:r>
      <w:r w:rsidRPr="002B4E6D">
        <w:rPr>
          <w:szCs w:val="20"/>
          <w:lang w:val="es-CR"/>
        </w:rPr>
        <w:t>penitenciarios</w:t>
      </w:r>
      <w:r w:rsidR="00A352BA" w:rsidRPr="002B4E6D">
        <w:rPr>
          <w:szCs w:val="20"/>
          <w:lang w:val="es-CR"/>
        </w:rPr>
        <w:t xml:space="preserve"> </w:t>
      </w:r>
      <w:r w:rsidRPr="002B4E6D">
        <w:rPr>
          <w:szCs w:val="20"/>
          <w:lang w:val="es-CR"/>
        </w:rPr>
        <w:t>de</w:t>
      </w:r>
      <w:r w:rsidR="002476FC">
        <w:rPr>
          <w:szCs w:val="20"/>
          <w:lang w:val="es-CR"/>
        </w:rPr>
        <w:t>l</w:t>
      </w:r>
      <w:r w:rsidR="00A352BA" w:rsidRPr="002B4E6D">
        <w:rPr>
          <w:szCs w:val="20"/>
          <w:lang w:val="es-CR"/>
        </w:rPr>
        <w:t xml:space="preserve"> IPPSC. </w:t>
      </w:r>
      <w:r w:rsidRPr="002B4E6D">
        <w:rPr>
          <w:szCs w:val="20"/>
          <w:lang w:val="es-CR"/>
        </w:rPr>
        <w:t>Este</w:t>
      </w:r>
      <w:r w:rsidR="00A352BA" w:rsidRPr="002B4E6D">
        <w:rPr>
          <w:szCs w:val="20"/>
          <w:lang w:val="es-CR"/>
        </w:rPr>
        <w:t xml:space="preserve"> </w:t>
      </w:r>
      <w:r w:rsidR="00B12DBC" w:rsidRPr="002B4E6D">
        <w:rPr>
          <w:szCs w:val="20"/>
          <w:lang w:val="es-CR"/>
        </w:rPr>
        <w:t>informe</w:t>
      </w:r>
      <w:r w:rsidR="00A352BA" w:rsidRPr="002B4E6D">
        <w:rPr>
          <w:szCs w:val="20"/>
          <w:lang w:val="es-CR"/>
        </w:rPr>
        <w:t xml:space="preserve"> </w:t>
      </w:r>
      <w:r w:rsidR="00817430">
        <w:rPr>
          <w:szCs w:val="20"/>
          <w:lang w:val="es-CR"/>
        </w:rPr>
        <w:t>concluyó</w:t>
      </w:r>
      <w:r w:rsidR="00817430" w:rsidRPr="002B4E6D">
        <w:rPr>
          <w:szCs w:val="20"/>
          <w:lang w:val="es-CR"/>
        </w:rPr>
        <w:t xml:space="preserve"> </w:t>
      </w:r>
      <w:r w:rsidR="00A352BA" w:rsidRPr="002B4E6D">
        <w:rPr>
          <w:szCs w:val="20"/>
          <w:lang w:val="es-CR"/>
        </w:rPr>
        <w:t xml:space="preserve">que </w:t>
      </w:r>
      <w:r w:rsidRPr="002B4E6D">
        <w:rPr>
          <w:szCs w:val="20"/>
          <w:lang w:val="es-CR"/>
        </w:rPr>
        <w:t>la</w:t>
      </w:r>
      <w:r w:rsidR="00A352BA" w:rsidRPr="002B4E6D">
        <w:rPr>
          <w:szCs w:val="20"/>
          <w:lang w:val="es-CR"/>
        </w:rPr>
        <w:t xml:space="preserve"> </w:t>
      </w:r>
      <w:r w:rsidRPr="002B4E6D">
        <w:rPr>
          <w:szCs w:val="20"/>
          <w:lang w:val="es-CR"/>
        </w:rPr>
        <w:t>cantidad</w:t>
      </w:r>
      <w:r w:rsidR="00A352BA" w:rsidRPr="002B4E6D">
        <w:rPr>
          <w:szCs w:val="20"/>
          <w:lang w:val="es-CR"/>
        </w:rPr>
        <w:t xml:space="preserve"> ideal de </w:t>
      </w:r>
      <w:r w:rsidRPr="002B4E6D">
        <w:rPr>
          <w:szCs w:val="20"/>
          <w:lang w:val="es-CR"/>
        </w:rPr>
        <w:t>inspectores</w:t>
      </w:r>
      <w:r w:rsidR="00A352BA" w:rsidRPr="002B4E6D">
        <w:rPr>
          <w:szCs w:val="20"/>
          <w:lang w:val="es-CR"/>
        </w:rPr>
        <w:t xml:space="preserve"> de </w:t>
      </w:r>
      <w:r w:rsidR="00FA02D6" w:rsidRPr="002B4E6D">
        <w:rPr>
          <w:szCs w:val="20"/>
          <w:lang w:val="es-CR"/>
        </w:rPr>
        <w:t>seguridad</w:t>
      </w:r>
      <w:r w:rsidR="00A352BA" w:rsidRPr="002B4E6D">
        <w:rPr>
          <w:szCs w:val="20"/>
          <w:lang w:val="es-CR"/>
        </w:rPr>
        <w:t xml:space="preserve"> </w:t>
      </w:r>
      <w:r w:rsidRPr="002B4E6D">
        <w:rPr>
          <w:szCs w:val="20"/>
          <w:lang w:val="es-CR"/>
        </w:rPr>
        <w:t>penitenciaria</w:t>
      </w:r>
      <w:r w:rsidR="00A352BA" w:rsidRPr="002B4E6D">
        <w:rPr>
          <w:szCs w:val="20"/>
          <w:lang w:val="es-CR"/>
        </w:rPr>
        <w:t xml:space="preserve"> </w:t>
      </w:r>
      <w:r w:rsidRPr="002B4E6D">
        <w:rPr>
          <w:szCs w:val="20"/>
          <w:lang w:val="es-CR"/>
        </w:rPr>
        <w:t>en el</w:t>
      </w:r>
      <w:r w:rsidR="00A352BA" w:rsidRPr="002B4E6D">
        <w:rPr>
          <w:szCs w:val="20"/>
          <w:lang w:val="es-CR"/>
        </w:rPr>
        <w:t xml:space="preserve"> IPPSC </w:t>
      </w:r>
      <w:r w:rsidRPr="002B4E6D">
        <w:rPr>
          <w:szCs w:val="20"/>
          <w:lang w:val="es-CR"/>
        </w:rPr>
        <w:t>sería</w:t>
      </w:r>
      <w:r w:rsidR="00A352BA" w:rsidRPr="002B4E6D">
        <w:rPr>
          <w:szCs w:val="20"/>
          <w:lang w:val="es-CR"/>
        </w:rPr>
        <w:t xml:space="preserve"> de 33 </w:t>
      </w:r>
      <w:r w:rsidRPr="002B4E6D">
        <w:rPr>
          <w:szCs w:val="20"/>
          <w:lang w:val="es-CR"/>
        </w:rPr>
        <w:t>inspectores</w:t>
      </w:r>
      <w:r w:rsidR="00A352BA" w:rsidRPr="002B4E6D">
        <w:rPr>
          <w:szCs w:val="20"/>
          <w:lang w:val="es-CR"/>
        </w:rPr>
        <w:t xml:space="preserve">. </w:t>
      </w:r>
      <w:r w:rsidRPr="002B4E6D">
        <w:rPr>
          <w:szCs w:val="20"/>
          <w:lang w:val="es-CR"/>
        </w:rPr>
        <w:t>El</w:t>
      </w:r>
      <w:r w:rsidR="00A352BA" w:rsidRPr="002B4E6D">
        <w:rPr>
          <w:szCs w:val="20"/>
          <w:lang w:val="es-CR"/>
        </w:rPr>
        <w:t xml:space="preserve"> </w:t>
      </w:r>
      <w:r w:rsidR="002476FC" w:rsidRPr="002B4E6D">
        <w:rPr>
          <w:szCs w:val="20"/>
          <w:lang w:val="es-CR"/>
        </w:rPr>
        <w:t xml:space="preserve">actual </w:t>
      </w:r>
      <w:r w:rsidR="00A352BA" w:rsidRPr="002B4E6D">
        <w:rPr>
          <w:szCs w:val="20"/>
          <w:lang w:val="es-CR"/>
        </w:rPr>
        <w:t>contingente que traba</w:t>
      </w:r>
      <w:r w:rsidRPr="002B4E6D">
        <w:rPr>
          <w:szCs w:val="20"/>
          <w:lang w:val="es-CR"/>
        </w:rPr>
        <w:t>j</w:t>
      </w:r>
      <w:r w:rsidR="00A352BA" w:rsidRPr="002B4E6D">
        <w:rPr>
          <w:szCs w:val="20"/>
          <w:lang w:val="es-CR"/>
        </w:rPr>
        <w:t xml:space="preserve">a </w:t>
      </w:r>
      <w:r w:rsidRPr="002B4E6D">
        <w:rPr>
          <w:szCs w:val="20"/>
          <w:lang w:val="es-CR"/>
        </w:rPr>
        <w:t>en la</w:t>
      </w:r>
      <w:r w:rsidR="00A352BA" w:rsidRPr="002B4E6D">
        <w:rPr>
          <w:szCs w:val="20"/>
          <w:lang w:val="es-CR"/>
        </w:rPr>
        <w:t xml:space="preserve"> </w:t>
      </w:r>
      <w:r w:rsidR="00ED6186" w:rsidRPr="002B4E6D">
        <w:rPr>
          <w:szCs w:val="20"/>
          <w:lang w:val="es-CR"/>
        </w:rPr>
        <w:t>unidad</w:t>
      </w:r>
      <w:r w:rsidR="00A352BA" w:rsidRPr="002B4E6D">
        <w:rPr>
          <w:szCs w:val="20"/>
          <w:lang w:val="es-CR"/>
        </w:rPr>
        <w:t xml:space="preserve"> </w:t>
      </w:r>
      <w:r w:rsidR="00031269" w:rsidRPr="002B4E6D">
        <w:rPr>
          <w:szCs w:val="20"/>
          <w:lang w:val="es-CR"/>
        </w:rPr>
        <w:t>carcelar</w:t>
      </w:r>
      <w:r w:rsidRPr="002B4E6D">
        <w:rPr>
          <w:szCs w:val="20"/>
          <w:lang w:val="es-CR"/>
        </w:rPr>
        <w:t>ia, según</w:t>
      </w:r>
      <w:r w:rsidR="00B87B20" w:rsidRPr="002B4E6D">
        <w:rPr>
          <w:szCs w:val="20"/>
          <w:lang w:val="es-CR"/>
        </w:rPr>
        <w:t xml:space="preserve"> </w:t>
      </w:r>
      <w:r w:rsidRPr="002B4E6D">
        <w:rPr>
          <w:szCs w:val="20"/>
          <w:lang w:val="es-CR"/>
        </w:rPr>
        <w:t xml:space="preserve">el </w:t>
      </w:r>
      <w:r w:rsidR="00B87B20" w:rsidRPr="002B4E6D">
        <w:rPr>
          <w:szCs w:val="20"/>
          <w:lang w:val="es-CR"/>
        </w:rPr>
        <w:t>SINDSISTEMA,</w:t>
      </w:r>
      <w:r w:rsidR="00394FB5" w:rsidRPr="002B4E6D">
        <w:rPr>
          <w:szCs w:val="20"/>
          <w:lang w:val="es-CR"/>
        </w:rPr>
        <w:t xml:space="preserve"> </w:t>
      </w:r>
      <w:r w:rsidR="00CC6A5B" w:rsidRPr="002B4E6D">
        <w:rPr>
          <w:szCs w:val="20"/>
          <w:lang w:val="es-CR"/>
        </w:rPr>
        <w:t>cuenta</w:t>
      </w:r>
      <w:r w:rsidR="00394FB5" w:rsidRPr="002B4E6D">
        <w:rPr>
          <w:szCs w:val="20"/>
          <w:lang w:val="es-CR"/>
        </w:rPr>
        <w:t xml:space="preserve"> </w:t>
      </w:r>
      <w:r w:rsidRPr="002B4E6D">
        <w:rPr>
          <w:szCs w:val="20"/>
          <w:lang w:val="es-CR"/>
        </w:rPr>
        <w:t>con</w:t>
      </w:r>
      <w:r w:rsidR="00394FB5" w:rsidRPr="002B4E6D">
        <w:rPr>
          <w:szCs w:val="20"/>
          <w:lang w:val="es-CR"/>
        </w:rPr>
        <w:t xml:space="preserve"> </w:t>
      </w:r>
      <w:r w:rsidRPr="002B4E6D">
        <w:rPr>
          <w:szCs w:val="20"/>
          <w:lang w:val="es-CR"/>
        </w:rPr>
        <w:t>un</w:t>
      </w:r>
      <w:r w:rsidR="00394FB5" w:rsidRPr="002B4E6D">
        <w:rPr>
          <w:szCs w:val="20"/>
          <w:lang w:val="es-CR"/>
        </w:rPr>
        <w:t xml:space="preserve"> </w:t>
      </w:r>
      <w:r w:rsidRPr="002B4E6D">
        <w:rPr>
          <w:szCs w:val="20"/>
          <w:lang w:val="es-CR"/>
        </w:rPr>
        <w:t>efectivo</w:t>
      </w:r>
      <w:r w:rsidR="00394FB5" w:rsidRPr="002B4E6D">
        <w:rPr>
          <w:szCs w:val="20"/>
          <w:lang w:val="es-CR"/>
        </w:rPr>
        <w:t xml:space="preserve"> funcional de </w:t>
      </w:r>
      <w:r w:rsidR="00B87B20" w:rsidRPr="002B4E6D">
        <w:rPr>
          <w:szCs w:val="20"/>
          <w:lang w:val="es-CR"/>
        </w:rPr>
        <w:t>9</w:t>
      </w:r>
      <w:r w:rsidR="00394FB5" w:rsidRPr="002B4E6D">
        <w:rPr>
          <w:szCs w:val="20"/>
          <w:lang w:val="es-CR"/>
        </w:rPr>
        <w:t xml:space="preserve"> </w:t>
      </w:r>
      <w:r w:rsidRPr="002B4E6D">
        <w:rPr>
          <w:szCs w:val="20"/>
          <w:lang w:val="es-CR"/>
        </w:rPr>
        <w:t>inspectores</w:t>
      </w:r>
      <w:r w:rsidR="00394FB5" w:rsidRPr="002B4E6D">
        <w:rPr>
          <w:szCs w:val="20"/>
          <w:lang w:val="es-CR"/>
        </w:rPr>
        <w:t xml:space="preserve"> </w:t>
      </w:r>
      <w:r w:rsidRPr="002B4E6D">
        <w:rPr>
          <w:szCs w:val="20"/>
          <w:lang w:val="es-CR"/>
        </w:rPr>
        <w:t>en</w:t>
      </w:r>
      <w:r w:rsidR="00394FB5" w:rsidRPr="002B4E6D">
        <w:rPr>
          <w:szCs w:val="20"/>
          <w:lang w:val="es-CR"/>
        </w:rPr>
        <w:t xml:space="preserve"> cada turno</w:t>
      </w:r>
      <w:r w:rsidR="00B87B20" w:rsidRPr="002B4E6D">
        <w:rPr>
          <w:szCs w:val="20"/>
          <w:lang w:val="es-CR"/>
        </w:rPr>
        <w:t xml:space="preserve">, </w:t>
      </w:r>
      <w:r w:rsidRPr="002B4E6D">
        <w:rPr>
          <w:szCs w:val="20"/>
          <w:lang w:val="es-CR"/>
        </w:rPr>
        <w:t>los</w:t>
      </w:r>
      <w:r w:rsidR="00B87B20" w:rsidRPr="002B4E6D">
        <w:rPr>
          <w:szCs w:val="20"/>
          <w:lang w:val="es-CR"/>
        </w:rPr>
        <w:t xml:space="preserve"> </w:t>
      </w:r>
      <w:r w:rsidRPr="002B4E6D">
        <w:rPr>
          <w:szCs w:val="20"/>
          <w:lang w:val="es-CR"/>
        </w:rPr>
        <w:t>cuales</w:t>
      </w:r>
      <w:r w:rsidR="00394FB5" w:rsidRPr="002B4E6D">
        <w:rPr>
          <w:szCs w:val="20"/>
          <w:lang w:val="es-CR"/>
        </w:rPr>
        <w:t xml:space="preserve"> </w:t>
      </w:r>
      <w:r w:rsidR="00B87B20" w:rsidRPr="002B4E6D">
        <w:rPr>
          <w:szCs w:val="20"/>
          <w:lang w:val="es-CR"/>
        </w:rPr>
        <w:t>“</w:t>
      </w:r>
      <w:r w:rsidRPr="002B4E6D">
        <w:rPr>
          <w:szCs w:val="20"/>
          <w:lang w:val="es-CR"/>
        </w:rPr>
        <w:t>tienen</w:t>
      </w:r>
      <w:r w:rsidR="00394FB5" w:rsidRPr="002B4E6D">
        <w:rPr>
          <w:szCs w:val="20"/>
          <w:lang w:val="es-CR"/>
        </w:rPr>
        <w:t xml:space="preserve"> que atender </w:t>
      </w:r>
      <w:r w:rsidRPr="002B4E6D">
        <w:rPr>
          <w:szCs w:val="20"/>
          <w:lang w:val="es-CR"/>
        </w:rPr>
        <w:t>a las</w:t>
      </w:r>
      <w:r w:rsidR="00394FB5" w:rsidRPr="002B4E6D">
        <w:rPr>
          <w:szCs w:val="20"/>
          <w:lang w:val="es-CR"/>
        </w:rPr>
        <w:t xml:space="preserve"> demandas</w:t>
      </w:r>
      <w:r w:rsidRPr="002B4E6D">
        <w:rPr>
          <w:szCs w:val="20"/>
          <w:lang w:val="es-CR"/>
        </w:rPr>
        <w:t xml:space="preserve"> del</w:t>
      </w:r>
      <w:r w:rsidR="00394FB5" w:rsidRPr="002B4E6D">
        <w:rPr>
          <w:szCs w:val="20"/>
          <w:lang w:val="es-CR"/>
        </w:rPr>
        <w:t xml:space="preserve"> </w:t>
      </w:r>
      <w:r w:rsidRPr="002B4E6D">
        <w:rPr>
          <w:szCs w:val="20"/>
          <w:lang w:val="es-CR"/>
        </w:rPr>
        <w:t>efectivo</w:t>
      </w:r>
      <w:r w:rsidR="00394FB5" w:rsidRPr="002B4E6D">
        <w:rPr>
          <w:szCs w:val="20"/>
          <w:lang w:val="es-CR"/>
        </w:rPr>
        <w:t xml:space="preserve"> </w:t>
      </w:r>
      <w:r w:rsidRPr="002B4E6D">
        <w:rPr>
          <w:szCs w:val="20"/>
          <w:lang w:val="es-CR"/>
        </w:rPr>
        <w:t>carcelario</w:t>
      </w:r>
      <w:r w:rsidR="00394FB5" w:rsidRPr="002B4E6D">
        <w:rPr>
          <w:szCs w:val="20"/>
          <w:lang w:val="es-CR"/>
        </w:rPr>
        <w:t xml:space="preserve"> de </w:t>
      </w:r>
      <w:r w:rsidRPr="002B4E6D">
        <w:rPr>
          <w:szCs w:val="20"/>
          <w:lang w:val="es-CR"/>
        </w:rPr>
        <w:t>más</w:t>
      </w:r>
      <w:r w:rsidR="00394FB5" w:rsidRPr="002B4E6D">
        <w:rPr>
          <w:szCs w:val="20"/>
          <w:lang w:val="es-CR"/>
        </w:rPr>
        <w:t xml:space="preserve"> de 3 mil </w:t>
      </w:r>
      <w:r w:rsidR="000D1815" w:rsidRPr="002B4E6D">
        <w:rPr>
          <w:szCs w:val="20"/>
          <w:lang w:val="es-CR"/>
        </w:rPr>
        <w:t>detenidos</w:t>
      </w:r>
      <w:r w:rsidR="00394FB5" w:rsidRPr="002B4E6D">
        <w:rPr>
          <w:szCs w:val="20"/>
          <w:lang w:val="es-CR"/>
        </w:rPr>
        <w:t xml:space="preserve"> (</w:t>
      </w:r>
      <w:r w:rsidRPr="002B4E6D">
        <w:rPr>
          <w:szCs w:val="20"/>
          <w:lang w:val="es-CR"/>
        </w:rPr>
        <w:t>régimen</w:t>
      </w:r>
      <w:r w:rsidR="00394FB5" w:rsidRPr="002B4E6D">
        <w:rPr>
          <w:szCs w:val="20"/>
          <w:lang w:val="es-CR"/>
        </w:rPr>
        <w:t xml:space="preserve"> </w:t>
      </w:r>
      <w:proofErr w:type="spellStart"/>
      <w:r w:rsidRPr="002B4E6D">
        <w:rPr>
          <w:szCs w:val="20"/>
          <w:lang w:val="es-CR"/>
        </w:rPr>
        <w:t>semiabierto</w:t>
      </w:r>
      <w:proofErr w:type="spellEnd"/>
      <w:r w:rsidR="00394FB5" w:rsidRPr="002B4E6D">
        <w:rPr>
          <w:szCs w:val="20"/>
          <w:lang w:val="es-CR"/>
        </w:rPr>
        <w:t xml:space="preserve">), </w:t>
      </w:r>
      <w:r w:rsidRPr="002B4E6D">
        <w:rPr>
          <w:szCs w:val="20"/>
          <w:lang w:val="es-CR"/>
        </w:rPr>
        <w:t>libres</w:t>
      </w:r>
      <w:r w:rsidR="00394FB5" w:rsidRPr="002B4E6D">
        <w:rPr>
          <w:szCs w:val="20"/>
          <w:lang w:val="es-CR"/>
        </w:rPr>
        <w:t xml:space="preserve"> </w:t>
      </w:r>
      <w:r w:rsidRPr="002B4E6D">
        <w:rPr>
          <w:szCs w:val="20"/>
          <w:lang w:val="es-CR"/>
        </w:rPr>
        <w:t>en el</w:t>
      </w:r>
      <w:r w:rsidR="00394FB5" w:rsidRPr="002B4E6D">
        <w:rPr>
          <w:szCs w:val="20"/>
          <w:lang w:val="es-CR"/>
        </w:rPr>
        <w:t xml:space="preserve"> </w:t>
      </w:r>
      <w:r w:rsidRPr="002B4E6D">
        <w:rPr>
          <w:szCs w:val="20"/>
          <w:lang w:val="es-CR"/>
        </w:rPr>
        <w:t>patio</w:t>
      </w:r>
      <w:r w:rsidR="00394FB5" w:rsidRPr="002B4E6D">
        <w:rPr>
          <w:szCs w:val="20"/>
          <w:lang w:val="es-CR"/>
        </w:rPr>
        <w:t xml:space="preserve"> </w:t>
      </w:r>
      <w:r w:rsidRPr="002B4E6D">
        <w:rPr>
          <w:szCs w:val="20"/>
          <w:lang w:val="es-CR"/>
        </w:rPr>
        <w:t>de la</w:t>
      </w:r>
      <w:r w:rsidR="00B87B20" w:rsidRPr="002B4E6D">
        <w:rPr>
          <w:szCs w:val="20"/>
          <w:lang w:val="es-CR"/>
        </w:rPr>
        <w:t xml:space="preserve"> </w:t>
      </w:r>
      <w:r w:rsidR="00ED6186" w:rsidRPr="002B4E6D">
        <w:rPr>
          <w:szCs w:val="20"/>
          <w:lang w:val="es-CR"/>
        </w:rPr>
        <w:t>unidad</w:t>
      </w:r>
      <w:r w:rsidR="00B87B20" w:rsidRPr="002B4E6D">
        <w:rPr>
          <w:szCs w:val="20"/>
          <w:lang w:val="es-CR"/>
        </w:rPr>
        <w:t xml:space="preserve"> </w:t>
      </w:r>
      <w:r w:rsidRPr="002B4E6D">
        <w:rPr>
          <w:szCs w:val="20"/>
          <w:lang w:val="es-CR"/>
        </w:rPr>
        <w:t>carcelaria</w:t>
      </w:r>
      <w:r w:rsidR="00B87B20" w:rsidRPr="002B4E6D">
        <w:rPr>
          <w:szCs w:val="20"/>
          <w:lang w:val="es-CR"/>
        </w:rPr>
        <w:t xml:space="preserve"> </w:t>
      </w:r>
      <w:r w:rsidRPr="002B4E6D">
        <w:rPr>
          <w:szCs w:val="20"/>
          <w:lang w:val="es-CR"/>
        </w:rPr>
        <w:t>de</w:t>
      </w:r>
      <w:r w:rsidR="000321A7">
        <w:rPr>
          <w:szCs w:val="20"/>
          <w:lang w:val="es-CR"/>
        </w:rPr>
        <w:t>sde</w:t>
      </w:r>
      <w:r w:rsidRPr="002B4E6D">
        <w:rPr>
          <w:szCs w:val="20"/>
          <w:lang w:val="es-CR"/>
        </w:rPr>
        <w:t xml:space="preserve"> las</w:t>
      </w:r>
      <w:r w:rsidR="00B87B20" w:rsidRPr="002B4E6D">
        <w:rPr>
          <w:szCs w:val="20"/>
          <w:lang w:val="es-CR"/>
        </w:rPr>
        <w:t xml:space="preserve"> 8</w:t>
      </w:r>
      <w:r w:rsidR="000321A7">
        <w:rPr>
          <w:szCs w:val="20"/>
          <w:lang w:val="es-CR"/>
        </w:rPr>
        <w:t xml:space="preserve"> de la mañana hasta</w:t>
      </w:r>
      <w:r w:rsidRPr="002B4E6D">
        <w:rPr>
          <w:szCs w:val="20"/>
          <w:lang w:val="es-CR"/>
        </w:rPr>
        <w:t xml:space="preserve"> las</w:t>
      </w:r>
      <w:r w:rsidR="00B87B20" w:rsidRPr="002B4E6D">
        <w:rPr>
          <w:szCs w:val="20"/>
          <w:lang w:val="es-CR"/>
        </w:rPr>
        <w:t xml:space="preserve"> 16</w:t>
      </w:r>
      <w:r w:rsidRPr="002B4E6D">
        <w:rPr>
          <w:szCs w:val="20"/>
          <w:lang w:val="es-CR"/>
        </w:rPr>
        <w:t xml:space="preserve"> </w:t>
      </w:r>
      <w:r w:rsidR="00B87B20" w:rsidRPr="002B4E6D">
        <w:rPr>
          <w:szCs w:val="20"/>
          <w:lang w:val="es-CR"/>
        </w:rPr>
        <w:t>h</w:t>
      </w:r>
      <w:r w:rsidRPr="002B4E6D">
        <w:rPr>
          <w:szCs w:val="20"/>
          <w:lang w:val="es-CR"/>
        </w:rPr>
        <w:t>oras</w:t>
      </w:r>
      <w:r w:rsidR="00394FB5" w:rsidRPr="002B4E6D">
        <w:rPr>
          <w:szCs w:val="20"/>
          <w:lang w:val="es-CR"/>
        </w:rPr>
        <w:t>”.</w:t>
      </w:r>
      <w:r w:rsidR="00B87B20" w:rsidRPr="002B4E6D">
        <w:rPr>
          <w:rStyle w:val="FootnoteReference"/>
          <w:lang w:val="es-CR"/>
        </w:rPr>
        <w:footnoteReference w:id="15"/>
      </w:r>
    </w:p>
    <w:p w14:paraId="3D8DD6AE" w14:textId="77777777" w:rsidR="00CC2D6B" w:rsidRPr="002B4E6D" w:rsidRDefault="00CC2D6B" w:rsidP="00A562C5">
      <w:pPr>
        <w:pStyle w:val="ListParagraph"/>
        <w:ind w:left="0"/>
        <w:rPr>
          <w:szCs w:val="20"/>
          <w:lang w:val="es-CR"/>
        </w:rPr>
      </w:pPr>
    </w:p>
    <w:p w14:paraId="5C3376CD" w14:textId="2D90CB83" w:rsidR="00CC2D6B" w:rsidRPr="002B4E6D" w:rsidRDefault="004448A5" w:rsidP="00A562C5">
      <w:pPr>
        <w:pStyle w:val="ListParagraph"/>
        <w:numPr>
          <w:ilvl w:val="0"/>
          <w:numId w:val="20"/>
        </w:numPr>
        <w:snapToGrid w:val="0"/>
        <w:ind w:left="0" w:firstLine="0"/>
        <w:contextualSpacing w:val="0"/>
        <w:rPr>
          <w:szCs w:val="20"/>
          <w:lang w:val="es-CR"/>
        </w:rPr>
      </w:pPr>
      <w:r w:rsidRPr="002B4E6D">
        <w:rPr>
          <w:szCs w:val="20"/>
          <w:lang w:val="es-CR"/>
        </w:rPr>
        <w:t>El</w:t>
      </w:r>
      <w:r w:rsidR="00A352BA" w:rsidRPr="002B4E6D">
        <w:rPr>
          <w:szCs w:val="20"/>
          <w:lang w:val="es-CR"/>
        </w:rPr>
        <w:t xml:space="preserve"> </w:t>
      </w:r>
      <w:r w:rsidR="00B12DBC" w:rsidRPr="002B4E6D">
        <w:rPr>
          <w:szCs w:val="20"/>
          <w:lang w:val="es-CR"/>
        </w:rPr>
        <w:t>informe</w:t>
      </w:r>
      <w:r w:rsidR="00A352BA" w:rsidRPr="002B4E6D">
        <w:rPr>
          <w:szCs w:val="20"/>
          <w:lang w:val="es-CR"/>
        </w:rPr>
        <w:t xml:space="preserve"> </w:t>
      </w:r>
      <w:r w:rsidRPr="002B4E6D">
        <w:rPr>
          <w:szCs w:val="20"/>
          <w:lang w:val="es-CR"/>
        </w:rPr>
        <w:t>del</w:t>
      </w:r>
      <w:r w:rsidR="00CC2D6B" w:rsidRPr="002B4E6D">
        <w:rPr>
          <w:szCs w:val="20"/>
          <w:lang w:val="es-CR"/>
        </w:rPr>
        <w:t xml:space="preserve"> SINDSISTEMA </w:t>
      </w:r>
      <w:r w:rsidRPr="002B4E6D">
        <w:rPr>
          <w:szCs w:val="20"/>
          <w:lang w:val="es-CR"/>
        </w:rPr>
        <w:t>destacó</w:t>
      </w:r>
      <w:r w:rsidR="00A352BA" w:rsidRPr="002B4E6D">
        <w:rPr>
          <w:szCs w:val="20"/>
          <w:lang w:val="es-CR"/>
        </w:rPr>
        <w:t xml:space="preserve"> </w:t>
      </w:r>
      <w:r w:rsidRPr="002B4E6D">
        <w:rPr>
          <w:szCs w:val="20"/>
          <w:lang w:val="es-CR"/>
        </w:rPr>
        <w:t>l</w:t>
      </w:r>
      <w:r w:rsidR="00A352BA" w:rsidRPr="002B4E6D">
        <w:rPr>
          <w:szCs w:val="20"/>
          <w:lang w:val="es-CR"/>
        </w:rPr>
        <w:t xml:space="preserve">a </w:t>
      </w:r>
      <w:r w:rsidRPr="002B4E6D">
        <w:rPr>
          <w:szCs w:val="20"/>
          <w:lang w:val="es-CR"/>
        </w:rPr>
        <w:t>necesidad</w:t>
      </w:r>
      <w:r w:rsidR="00A352BA" w:rsidRPr="002B4E6D">
        <w:rPr>
          <w:szCs w:val="20"/>
          <w:lang w:val="es-CR"/>
        </w:rPr>
        <w:t xml:space="preserve"> de </w:t>
      </w:r>
      <w:r w:rsidRPr="002B4E6D">
        <w:rPr>
          <w:szCs w:val="20"/>
          <w:lang w:val="es-CR"/>
        </w:rPr>
        <w:t>adecuación</w:t>
      </w:r>
      <w:r w:rsidR="00A352BA" w:rsidRPr="002B4E6D">
        <w:rPr>
          <w:szCs w:val="20"/>
          <w:lang w:val="es-CR"/>
        </w:rPr>
        <w:t xml:space="preserve"> d</w:t>
      </w:r>
      <w:r w:rsidRPr="002B4E6D">
        <w:rPr>
          <w:szCs w:val="20"/>
          <w:lang w:val="es-CR"/>
        </w:rPr>
        <w:t>e l</w:t>
      </w:r>
      <w:r w:rsidR="00A352BA" w:rsidRPr="002B4E6D">
        <w:rPr>
          <w:szCs w:val="20"/>
          <w:lang w:val="es-CR"/>
        </w:rPr>
        <w:t>as instala</w:t>
      </w:r>
      <w:r w:rsidR="00945D4E" w:rsidRPr="002B4E6D">
        <w:rPr>
          <w:szCs w:val="20"/>
          <w:lang w:val="es-CR"/>
        </w:rPr>
        <w:t>ciones</w:t>
      </w:r>
      <w:r w:rsidR="00A352BA" w:rsidRPr="002B4E6D">
        <w:rPr>
          <w:szCs w:val="20"/>
          <w:lang w:val="es-CR"/>
        </w:rPr>
        <w:t xml:space="preserve"> </w:t>
      </w:r>
      <w:r w:rsidRPr="002B4E6D">
        <w:rPr>
          <w:szCs w:val="20"/>
          <w:lang w:val="es-CR"/>
        </w:rPr>
        <w:t>eléctricas</w:t>
      </w:r>
      <w:r w:rsidR="00CC2D6B" w:rsidRPr="002B4E6D">
        <w:rPr>
          <w:szCs w:val="20"/>
          <w:lang w:val="es-CR"/>
        </w:rPr>
        <w:t>,</w:t>
      </w:r>
      <w:r w:rsidR="00A352BA" w:rsidRPr="002B4E6D">
        <w:rPr>
          <w:szCs w:val="20"/>
          <w:lang w:val="es-CR"/>
        </w:rPr>
        <w:t xml:space="preserve"> hidráulicas </w:t>
      </w:r>
      <w:r w:rsidRPr="002B4E6D">
        <w:rPr>
          <w:szCs w:val="20"/>
          <w:lang w:val="es-CR"/>
        </w:rPr>
        <w:t>y</w:t>
      </w:r>
      <w:r w:rsidR="00A352BA" w:rsidRPr="002B4E6D">
        <w:rPr>
          <w:szCs w:val="20"/>
          <w:lang w:val="es-CR"/>
        </w:rPr>
        <w:t xml:space="preserve"> </w:t>
      </w:r>
      <w:r w:rsidR="008C7BC2">
        <w:rPr>
          <w:szCs w:val="20"/>
          <w:lang w:val="es-CR"/>
        </w:rPr>
        <w:t>alcantarillas</w:t>
      </w:r>
      <w:r w:rsidR="00A352BA" w:rsidRPr="002B4E6D">
        <w:rPr>
          <w:szCs w:val="20"/>
          <w:lang w:val="es-CR"/>
        </w:rPr>
        <w:t xml:space="preserve">. </w:t>
      </w:r>
      <w:r w:rsidRPr="002B4E6D">
        <w:rPr>
          <w:szCs w:val="20"/>
          <w:lang w:val="es-CR"/>
        </w:rPr>
        <w:t>Resaltó</w:t>
      </w:r>
      <w:r w:rsidR="00A352BA" w:rsidRPr="002B4E6D">
        <w:rPr>
          <w:szCs w:val="20"/>
          <w:lang w:val="es-CR"/>
        </w:rPr>
        <w:t xml:space="preserve"> </w:t>
      </w:r>
      <w:r w:rsidRPr="002B4E6D">
        <w:rPr>
          <w:szCs w:val="20"/>
          <w:lang w:val="es-CR"/>
        </w:rPr>
        <w:t>la</w:t>
      </w:r>
      <w:r w:rsidR="00A352BA" w:rsidRPr="002B4E6D">
        <w:rPr>
          <w:szCs w:val="20"/>
          <w:lang w:val="es-CR"/>
        </w:rPr>
        <w:t xml:space="preserve"> </w:t>
      </w:r>
      <w:r w:rsidRPr="002B4E6D">
        <w:rPr>
          <w:szCs w:val="20"/>
          <w:lang w:val="es-CR"/>
        </w:rPr>
        <w:t>inestable red</w:t>
      </w:r>
      <w:r w:rsidR="00A352BA" w:rsidRPr="002B4E6D">
        <w:rPr>
          <w:szCs w:val="20"/>
          <w:lang w:val="es-CR"/>
        </w:rPr>
        <w:t xml:space="preserve"> </w:t>
      </w:r>
      <w:r w:rsidRPr="002B4E6D">
        <w:rPr>
          <w:szCs w:val="20"/>
          <w:lang w:val="es-CR"/>
        </w:rPr>
        <w:t>eléctrica</w:t>
      </w:r>
      <w:r w:rsidR="00A352BA" w:rsidRPr="002B4E6D">
        <w:rPr>
          <w:szCs w:val="20"/>
          <w:lang w:val="es-CR"/>
        </w:rPr>
        <w:t xml:space="preserve"> </w:t>
      </w:r>
      <w:r w:rsidRPr="002B4E6D">
        <w:rPr>
          <w:szCs w:val="20"/>
          <w:lang w:val="es-CR"/>
        </w:rPr>
        <w:t>y</w:t>
      </w:r>
      <w:r w:rsidR="00A352BA" w:rsidRPr="002B4E6D">
        <w:rPr>
          <w:szCs w:val="20"/>
          <w:lang w:val="es-CR"/>
        </w:rPr>
        <w:t xml:space="preserve"> </w:t>
      </w:r>
      <w:r w:rsidRPr="002B4E6D">
        <w:rPr>
          <w:szCs w:val="20"/>
          <w:lang w:val="es-CR"/>
        </w:rPr>
        <w:t>el</w:t>
      </w:r>
      <w:r w:rsidR="00A352BA" w:rsidRPr="002B4E6D">
        <w:rPr>
          <w:szCs w:val="20"/>
          <w:lang w:val="es-CR"/>
        </w:rPr>
        <w:t xml:space="preserve"> ri</w:t>
      </w:r>
      <w:r w:rsidRPr="002B4E6D">
        <w:rPr>
          <w:szCs w:val="20"/>
          <w:lang w:val="es-CR"/>
        </w:rPr>
        <w:t>e</w:t>
      </w:r>
      <w:r w:rsidR="00A352BA" w:rsidRPr="002B4E6D">
        <w:rPr>
          <w:szCs w:val="20"/>
          <w:lang w:val="es-CR"/>
        </w:rPr>
        <w:t>s</w:t>
      </w:r>
      <w:r w:rsidRPr="002B4E6D">
        <w:rPr>
          <w:szCs w:val="20"/>
          <w:lang w:val="es-CR"/>
        </w:rPr>
        <w:t>g</w:t>
      </w:r>
      <w:r w:rsidR="00A352BA" w:rsidRPr="002B4E6D">
        <w:rPr>
          <w:szCs w:val="20"/>
          <w:lang w:val="es-CR"/>
        </w:rPr>
        <w:t xml:space="preserve">o de </w:t>
      </w:r>
      <w:r w:rsidRPr="002B4E6D">
        <w:rPr>
          <w:szCs w:val="20"/>
          <w:lang w:val="es-CR"/>
        </w:rPr>
        <w:t>incendio</w:t>
      </w:r>
      <w:r w:rsidR="00A352BA" w:rsidRPr="002B4E6D">
        <w:rPr>
          <w:szCs w:val="20"/>
          <w:lang w:val="es-CR"/>
        </w:rPr>
        <w:t xml:space="preserve"> </w:t>
      </w:r>
      <w:r w:rsidR="007B7768">
        <w:rPr>
          <w:szCs w:val="20"/>
          <w:lang w:val="es-CR"/>
        </w:rPr>
        <w:t>en razón del cableado</w:t>
      </w:r>
      <w:r w:rsidR="00A352BA" w:rsidRPr="002B4E6D">
        <w:rPr>
          <w:szCs w:val="20"/>
          <w:lang w:val="es-CR"/>
        </w:rPr>
        <w:t xml:space="preserve"> </w:t>
      </w:r>
      <w:r w:rsidR="00481C10" w:rsidRPr="002B4E6D">
        <w:rPr>
          <w:szCs w:val="20"/>
          <w:lang w:val="es-CR"/>
        </w:rPr>
        <w:t>expuest</w:t>
      </w:r>
      <w:r w:rsidR="007B7768">
        <w:rPr>
          <w:szCs w:val="20"/>
          <w:lang w:val="es-CR"/>
        </w:rPr>
        <w:t>o</w:t>
      </w:r>
      <w:r w:rsidR="000E51A9" w:rsidRPr="002B4E6D">
        <w:rPr>
          <w:szCs w:val="20"/>
          <w:lang w:val="es-CR"/>
        </w:rPr>
        <w:t xml:space="preserve">. </w:t>
      </w:r>
      <w:r w:rsidR="00481C10" w:rsidRPr="002B4E6D">
        <w:rPr>
          <w:szCs w:val="20"/>
          <w:lang w:val="es-CR"/>
        </w:rPr>
        <w:t>Además</w:t>
      </w:r>
      <w:r w:rsidR="000E51A9" w:rsidRPr="002B4E6D">
        <w:rPr>
          <w:szCs w:val="20"/>
          <w:lang w:val="es-CR"/>
        </w:rPr>
        <w:t xml:space="preserve">, </w:t>
      </w:r>
      <w:r w:rsidR="00924C45">
        <w:rPr>
          <w:szCs w:val="20"/>
          <w:lang w:val="es-CR"/>
        </w:rPr>
        <w:t>advirtió</w:t>
      </w:r>
      <w:r w:rsidR="00A352BA" w:rsidRPr="002B4E6D">
        <w:rPr>
          <w:szCs w:val="20"/>
          <w:lang w:val="es-CR"/>
        </w:rPr>
        <w:t xml:space="preserve"> </w:t>
      </w:r>
      <w:r w:rsidR="00481C10" w:rsidRPr="002B4E6D">
        <w:rPr>
          <w:szCs w:val="20"/>
          <w:lang w:val="es-CR"/>
        </w:rPr>
        <w:t>la</w:t>
      </w:r>
      <w:r w:rsidR="00A352BA" w:rsidRPr="002B4E6D">
        <w:rPr>
          <w:szCs w:val="20"/>
          <w:lang w:val="es-CR"/>
        </w:rPr>
        <w:t xml:space="preserve"> falta de </w:t>
      </w:r>
      <w:r w:rsidR="007B7768">
        <w:rPr>
          <w:szCs w:val="20"/>
          <w:lang w:val="es-CR"/>
        </w:rPr>
        <w:t>mantenimiento</w:t>
      </w:r>
      <w:r w:rsidR="00A352BA" w:rsidRPr="002B4E6D">
        <w:rPr>
          <w:szCs w:val="20"/>
          <w:lang w:val="es-CR"/>
        </w:rPr>
        <w:t xml:space="preserve"> de extintores de </w:t>
      </w:r>
      <w:r w:rsidR="00481C10" w:rsidRPr="002B4E6D">
        <w:rPr>
          <w:szCs w:val="20"/>
          <w:lang w:val="es-CR"/>
        </w:rPr>
        <w:t>incendio</w:t>
      </w:r>
      <w:r w:rsidR="00A352BA" w:rsidRPr="002B4E6D">
        <w:rPr>
          <w:szCs w:val="20"/>
          <w:lang w:val="es-CR"/>
        </w:rPr>
        <w:t xml:space="preserve">, </w:t>
      </w:r>
      <w:r w:rsidR="00481C10" w:rsidRPr="002B4E6D">
        <w:rPr>
          <w:szCs w:val="20"/>
          <w:lang w:val="es-CR"/>
        </w:rPr>
        <w:t>así</w:t>
      </w:r>
      <w:r w:rsidR="00A352BA" w:rsidRPr="002B4E6D">
        <w:rPr>
          <w:szCs w:val="20"/>
          <w:lang w:val="es-CR"/>
        </w:rPr>
        <w:t xml:space="preserve"> como </w:t>
      </w:r>
      <w:r w:rsidR="007B7768">
        <w:rPr>
          <w:szCs w:val="20"/>
          <w:lang w:val="es-CR"/>
        </w:rPr>
        <w:t>l</w:t>
      </w:r>
      <w:r w:rsidR="00A352BA" w:rsidRPr="002B4E6D">
        <w:rPr>
          <w:szCs w:val="20"/>
          <w:lang w:val="es-CR"/>
        </w:rPr>
        <w:t xml:space="preserve">a falta de </w:t>
      </w:r>
      <w:r w:rsidR="00481C10" w:rsidRPr="002B4E6D">
        <w:rPr>
          <w:szCs w:val="20"/>
          <w:lang w:val="es-CR"/>
        </w:rPr>
        <w:t>visibilidad</w:t>
      </w:r>
      <w:r w:rsidR="00A352BA" w:rsidRPr="002B4E6D">
        <w:rPr>
          <w:szCs w:val="20"/>
          <w:lang w:val="es-CR"/>
        </w:rPr>
        <w:t xml:space="preserve"> durante </w:t>
      </w:r>
      <w:r w:rsidR="00481C10" w:rsidRPr="002B4E6D">
        <w:rPr>
          <w:szCs w:val="20"/>
          <w:lang w:val="es-CR"/>
        </w:rPr>
        <w:t>revisiones</w:t>
      </w:r>
      <w:r w:rsidR="00A352BA" w:rsidRPr="002B4E6D">
        <w:rPr>
          <w:szCs w:val="20"/>
          <w:lang w:val="es-CR"/>
        </w:rPr>
        <w:t xml:space="preserve"> </w:t>
      </w:r>
      <w:r w:rsidR="00481C10" w:rsidRPr="002B4E6D">
        <w:rPr>
          <w:szCs w:val="20"/>
          <w:lang w:val="es-CR"/>
        </w:rPr>
        <w:t>en el</w:t>
      </w:r>
      <w:r w:rsidR="00A352BA" w:rsidRPr="002B4E6D">
        <w:rPr>
          <w:szCs w:val="20"/>
          <w:lang w:val="es-CR"/>
        </w:rPr>
        <w:t xml:space="preserve"> interior </w:t>
      </w:r>
      <w:r w:rsidR="00481C10" w:rsidRPr="002B4E6D">
        <w:rPr>
          <w:szCs w:val="20"/>
          <w:lang w:val="es-CR"/>
        </w:rPr>
        <w:t>de las</w:t>
      </w:r>
      <w:r w:rsidR="00A352BA" w:rsidRPr="002B4E6D">
        <w:rPr>
          <w:szCs w:val="20"/>
          <w:lang w:val="es-CR"/>
        </w:rPr>
        <w:t xml:space="preserve"> cel</w:t>
      </w:r>
      <w:r w:rsidR="00817430">
        <w:rPr>
          <w:szCs w:val="20"/>
          <w:lang w:val="es-CR"/>
        </w:rPr>
        <w:t>d</w:t>
      </w:r>
      <w:r w:rsidR="00A352BA" w:rsidRPr="002B4E6D">
        <w:rPr>
          <w:szCs w:val="20"/>
          <w:lang w:val="es-CR"/>
        </w:rPr>
        <w:t xml:space="preserve">as, causada </w:t>
      </w:r>
      <w:r w:rsidR="00481C10" w:rsidRPr="002B4E6D">
        <w:rPr>
          <w:szCs w:val="20"/>
          <w:lang w:val="es-CR"/>
        </w:rPr>
        <w:t>por la</w:t>
      </w:r>
      <w:r w:rsidR="00A352BA" w:rsidRPr="002B4E6D">
        <w:rPr>
          <w:szCs w:val="20"/>
          <w:lang w:val="es-CR"/>
        </w:rPr>
        <w:t xml:space="preserve"> falta de ilumina</w:t>
      </w:r>
      <w:r w:rsidR="00AA1A37" w:rsidRPr="002B4E6D">
        <w:rPr>
          <w:szCs w:val="20"/>
          <w:lang w:val="es-CR"/>
        </w:rPr>
        <w:t>ción</w:t>
      </w:r>
      <w:r w:rsidR="00A352BA" w:rsidRPr="002B4E6D">
        <w:rPr>
          <w:szCs w:val="20"/>
          <w:lang w:val="es-CR"/>
        </w:rPr>
        <w:t xml:space="preserve"> </w:t>
      </w:r>
      <w:r w:rsidR="00481C10" w:rsidRPr="002B4E6D">
        <w:rPr>
          <w:szCs w:val="20"/>
          <w:lang w:val="es-CR"/>
        </w:rPr>
        <w:t>y</w:t>
      </w:r>
      <w:r w:rsidR="00A352BA" w:rsidRPr="002B4E6D">
        <w:rPr>
          <w:szCs w:val="20"/>
          <w:lang w:val="es-CR"/>
        </w:rPr>
        <w:t xml:space="preserve"> ventila</w:t>
      </w:r>
      <w:r w:rsidR="00AA1A37" w:rsidRPr="002B4E6D">
        <w:rPr>
          <w:szCs w:val="20"/>
          <w:lang w:val="es-CR"/>
        </w:rPr>
        <w:t>ción</w:t>
      </w:r>
      <w:r w:rsidR="00A352BA" w:rsidRPr="002B4E6D">
        <w:rPr>
          <w:szCs w:val="20"/>
          <w:lang w:val="es-CR"/>
        </w:rPr>
        <w:t xml:space="preserve"> natura</w:t>
      </w:r>
      <w:r w:rsidR="00481C10" w:rsidRPr="002B4E6D">
        <w:rPr>
          <w:szCs w:val="20"/>
          <w:lang w:val="es-CR"/>
        </w:rPr>
        <w:t>l</w:t>
      </w:r>
      <w:r w:rsidR="00CC2D6B" w:rsidRPr="002B4E6D">
        <w:rPr>
          <w:szCs w:val="20"/>
          <w:lang w:val="es-CR"/>
        </w:rPr>
        <w:t xml:space="preserve">. </w:t>
      </w:r>
    </w:p>
    <w:p w14:paraId="62CA5FF0" w14:textId="77777777" w:rsidR="00CC2D6B" w:rsidRPr="002B4E6D" w:rsidRDefault="00CC2D6B" w:rsidP="00A562C5">
      <w:pPr>
        <w:pStyle w:val="ListParagraph"/>
        <w:ind w:left="0"/>
        <w:rPr>
          <w:szCs w:val="20"/>
          <w:lang w:val="es-CR"/>
        </w:rPr>
      </w:pPr>
    </w:p>
    <w:p w14:paraId="488056BE" w14:textId="26DC2BAB" w:rsidR="00A352BA" w:rsidRPr="002B4E6D" w:rsidRDefault="00481C10" w:rsidP="00A562C5">
      <w:pPr>
        <w:pStyle w:val="ListParagraph"/>
        <w:numPr>
          <w:ilvl w:val="0"/>
          <w:numId w:val="20"/>
        </w:numPr>
        <w:snapToGrid w:val="0"/>
        <w:ind w:left="0" w:firstLine="0"/>
        <w:contextualSpacing w:val="0"/>
        <w:rPr>
          <w:szCs w:val="20"/>
          <w:lang w:val="es-CR"/>
        </w:rPr>
      </w:pPr>
      <w:r w:rsidRPr="002B4E6D">
        <w:rPr>
          <w:szCs w:val="20"/>
          <w:lang w:val="es-CR"/>
        </w:rPr>
        <w:t>El</w:t>
      </w:r>
      <w:r w:rsidR="00CC2D6B" w:rsidRPr="002B4E6D">
        <w:rPr>
          <w:szCs w:val="20"/>
          <w:lang w:val="es-CR"/>
        </w:rPr>
        <w:t xml:space="preserve"> SINDSISTEMA </w:t>
      </w:r>
      <w:r w:rsidRPr="002B4E6D">
        <w:rPr>
          <w:szCs w:val="20"/>
          <w:lang w:val="es-CR"/>
        </w:rPr>
        <w:t>afirmó</w:t>
      </w:r>
      <w:r w:rsidR="00CC2D6B" w:rsidRPr="002B4E6D">
        <w:rPr>
          <w:szCs w:val="20"/>
          <w:lang w:val="es-CR"/>
        </w:rPr>
        <w:t xml:space="preserve"> </w:t>
      </w:r>
      <w:r w:rsidRPr="002B4E6D">
        <w:rPr>
          <w:szCs w:val="20"/>
          <w:lang w:val="es-CR"/>
        </w:rPr>
        <w:t>que no existen</w:t>
      </w:r>
      <w:r w:rsidR="00A352BA" w:rsidRPr="002B4E6D">
        <w:rPr>
          <w:szCs w:val="20"/>
          <w:lang w:val="es-CR"/>
        </w:rPr>
        <w:t xml:space="preserve"> </w:t>
      </w:r>
      <w:r w:rsidR="00AC044F" w:rsidRPr="002B4E6D">
        <w:rPr>
          <w:szCs w:val="20"/>
          <w:lang w:val="es-CR"/>
        </w:rPr>
        <w:t>nuevas</w:t>
      </w:r>
      <w:r w:rsidR="00A352BA" w:rsidRPr="002B4E6D">
        <w:rPr>
          <w:szCs w:val="20"/>
          <w:lang w:val="es-CR"/>
        </w:rPr>
        <w:t xml:space="preserve"> medidas </w:t>
      </w:r>
      <w:r w:rsidRPr="002B4E6D">
        <w:rPr>
          <w:szCs w:val="20"/>
          <w:lang w:val="es-CR"/>
        </w:rPr>
        <w:t>adoptadas</w:t>
      </w:r>
      <w:r w:rsidR="00A352BA" w:rsidRPr="002B4E6D">
        <w:rPr>
          <w:szCs w:val="20"/>
          <w:lang w:val="es-CR"/>
        </w:rPr>
        <w:t xml:space="preserve"> </w:t>
      </w:r>
      <w:r w:rsidRPr="002B4E6D">
        <w:rPr>
          <w:szCs w:val="20"/>
          <w:lang w:val="es-CR"/>
        </w:rPr>
        <w:t>por el</w:t>
      </w:r>
      <w:r w:rsidR="00A352BA" w:rsidRPr="002B4E6D">
        <w:rPr>
          <w:szCs w:val="20"/>
          <w:lang w:val="es-CR"/>
        </w:rPr>
        <w:t xml:space="preserve"> Estado para proteger </w:t>
      </w:r>
      <w:r w:rsidRPr="002B4E6D">
        <w:rPr>
          <w:szCs w:val="20"/>
          <w:lang w:val="es-CR"/>
        </w:rPr>
        <w:t>l</w:t>
      </w:r>
      <w:r w:rsidR="00A352BA" w:rsidRPr="002B4E6D">
        <w:rPr>
          <w:szCs w:val="20"/>
          <w:lang w:val="es-CR"/>
        </w:rPr>
        <w:t xml:space="preserve">a vida </w:t>
      </w:r>
      <w:r w:rsidRPr="002B4E6D">
        <w:rPr>
          <w:szCs w:val="20"/>
          <w:lang w:val="es-CR"/>
        </w:rPr>
        <w:t>y</w:t>
      </w:r>
      <w:r w:rsidR="00A352BA" w:rsidRPr="002B4E6D">
        <w:rPr>
          <w:szCs w:val="20"/>
          <w:lang w:val="es-CR"/>
        </w:rPr>
        <w:t xml:space="preserve"> </w:t>
      </w:r>
      <w:r w:rsidRPr="002B4E6D">
        <w:rPr>
          <w:szCs w:val="20"/>
          <w:lang w:val="es-CR"/>
        </w:rPr>
        <w:t>la</w:t>
      </w:r>
      <w:r w:rsidR="00A352BA" w:rsidRPr="002B4E6D">
        <w:rPr>
          <w:szCs w:val="20"/>
          <w:lang w:val="es-CR"/>
        </w:rPr>
        <w:t xml:space="preserve"> </w:t>
      </w:r>
      <w:r w:rsidR="00AA1A37" w:rsidRPr="002B4E6D">
        <w:rPr>
          <w:szCs w:val="20"/>
          <w:lang w:val="es-CR"/>
        </w:rPr>
        <w:t>integridad</w:t>
      </w:r>
      <w:r w:rsidR="00A352BA" w:rsidRPr="002B4E6D">
        <w:rPr>
          <w:szCs w:val="20"/>
          <w:lang w:val="es-CR"/>
        </w:rPr>
        <w:t xml:space="preserve"> física </w:t>
      </w:r>
      <w:r w:rsidRPr="002B4E6D">
        <w:rPr>
          <w:szCs w:val="20"/>
          <w:lang w:val="es-CR"/>
        </w:rPr>
        <w:t>de los</w:t>
      </w:r>
      <w:r w:rsidR="00A352BA" w:rsidRPr="002B4E6D">
        <w:rPr>
          <w:szCs w:val="20"/>
          <w:lang w:val="es-CR"/>
        </w:rPr>
        <w:t xml:space="preserve"> agentes</w:t>
      </w:r>
      <w:r w:rsidR="00CC2D6B" w:rsidRPr="002B4E6D">
        <w:rPr>
          <w:szCs w:val="20"/>
          <w:lang w:val="es-CR"/>
        </w:rPr>
        <w:t xml:space="preserve"> </w:t>
      </w:r>
      <w:r w:rsidRPr="002B4E6D">
        <w:rPr>
          <w:szCs w:val="20"/>
          <w:lang w:val="es-CR"/>
        </w:rPr>
        <w:t>penitenciarios</w:t>
      </w:r>
      <w:r w:rsidR="00CC2D6B" w:rsidRPr="002B4E6D">
        <w:rPr>
          <w:szCs w:val="20"/>
          <w:lang w:val="es-CR"/>
        </w:rPr>
        <w:t>.</w:t>
      </w:r>
      <w:r w:rsidR="00A352BA" w:rsidRPr="002B4E6D">
        <w:rPr>
          <w:szCs w:val="20"/>
          <w:lang w:val="es-CR"/>
        </w:rPr>
        <w:t xml:space="preserve"> </w:t>
      </w:r>
      <w:r w:rsidR="00CC2D6B" w:rsidRPr="002B4E6D">
        <w:rPr>
          <w:szCs w:val="20"/>
          <w:lang w:val="es-CR"/>
        </w:rPr>
        <w:t>Adicionalmente</w:t>
      </w:r>
      <w:r w:rsidR="00A352BA" w:rsidRPr="002B4E6D">
        <w:rPr>
          <w:szCs w:val="20"/>
          <w:lang w:val="es-CR"/>
        </w:rPr>
        <w:t xml:space="preserve">, </w:t>
      </w:r>
      <w:r w:rsidRPr="002B4E6D">
        <w:rPr>
          <w:szCs w:val="20"/>
          <w:lang w:val="es-CR"/>
        </w:rPr>
        <w:t>consideró</w:t>
      </w:r>
      <w:r w:rsidR="00A352BA" w:rsidRPr="002B4E6D">
        <w:rPr>
          <w:szCs w:val="20"/>
          <w:lang w:val="es-CR"/>
        </w:rPr>
        <w:t xml:space="preserve"> </w:t>
      </w:r>
      <w:r w:rsidRPr="002B4E6D">
        <w:rPr>
          <w:szCs w:val="20"/>
          <w:lang w:val="es-CR"/>
        </w:rPr>
        <w:t>el</w:t>
      </w:r>
      <w:r w:rsidR="00A352BA" w:rsidRPr="002B4E6D">
        <w:rPr>
          <w:szCs w:val="20"/>
          <w:lang w:val="es-CR"/>
        </w:rPr>
        <w:t xml:space="preserve"> </w:t>
      </w:r>
      <w:r w:rsidR="00945D4E" w:rsidRPr="002B4E6D">
        <w:rPr>
          <w:szCs w:val="20"/>
          <w:lang w:val="es-CR"/>
        </w:rPr>
        <w:t xml:space="preserve">hacinamiento </w:t>
      </w:r>
      <w:r w:rsidR="00A352BA" w:rsidRPr="002B4E6D">
        <w:rPr>
          <w:szCs w:val="20"/>
          <w:lang w:val="es-CR"/>
        </w:rPr>
        <w:t xml:space="preserve"> como </w:t>
      </w:r>
      <w:r w:rsidRPr="002B4E6D">
        <w:rPr>
          <w:szCs w:val="20"/>
          <w:lang w:val="es-CR"/>
        </w:rPr>
        <w:t>el</w:t>
      </w:r>
      <w:r w:rsidR="00A352BA" w:rsidRPr="002B4E6D">
        <w:rPr>
          <w:szCs w:val="20"/>
          <w:lang w:val="es-CR"/>
        </w:rPr>
        <w:t xml:space="preserve"> </w:t>
      </w:r>
      <w:r w:rsidRPr="002B4E6D">
        <w:rPr>
          <w:szCs w:val="20"/>
          <w:lang w:val="es-CR"/>
        </w:rPr>
        <w:t>mayor</w:t>
      </w:r>
      <w:r w:rsidR="00A352BA" w:rsidRPr="002B4E6D">
        <w:rPr>
          <w:szCs w:val="20"/>
          <w:lang w:val="es-CR"/>
        </w:rPr>
        <w:t xml:space="preserve"> problema</w:t>
      </w:r>
      <w:r w:rsidR="00CC2D6B" w:rsidRPr="002B4E6D">
        <w:rPr>
          <w:szCs w:val="20"/>
          <w:lang w:val="es-CR"/>
        </w:rPr>
        <w:t xml:space="preserve"> </w:t>
      </w:r>
      <w:r w:rsidRPr="002B4E6D">
        <w:rPr>
          <w:szCs w:val="20"/>
          <w:lang w:val="es-CR"/>
        </w:rPr>
        <w:t>del</w:t>
      </w:r>
      <w:r w:rsidR="00CC2D6B" w:rsidRPr="002B4E6D">
        <w:rPr>
          <w:szCs w:val="20"/>
          <w:lang w:val="es-CR"/>
        </w:rPr>
        <w:t xml:space="preserve"> IPPSC</w:t>
      </w:r>
      <w:r w:rsidR="00A352BA" w:rsidRPr="002B4E6D">
        <w:rPr>
          <w:szCs w:val="20"/>
          <w:lang w:val="es-CR"/>
        </w:rPr>
        <w:t xml:space="preserve">, </w:t>
      </w:r>
      <w:r w:rsidRPr="002B4E6D">
        <w:rPr>
          <w:szCs w:val="20"/>
          <w:lang w:val="es-CR"/>
        </w:rPr>
        <w:t>con</w:t>
      </w:r>
      <w:r w:rsidR="00A352BA" w:rsidRPr="002B4E6D">
        <w:rPr>
          <w:szCs w:val="20"/>
          <w:lang w:val="es-CR"/>
        </w:rPr>
        <w:t xml:space="preserve"> </w:t>
      </w:r>
      <w:r w:rsidRPr="002B4E6D">
        <w:rPr>
          <w:szCs w:val="20"/>
          <w:lang w:val="es-CR"/>
        </w:rPr>
        <w:t>efectos</w:t>
      </w:r>
      <w:r w:rsidR="00A352BA" w:rsidRPr="002B4E6D">
        <w:rPr>
          <w:szCs w:val="20"/>
          <w:lang w:val="es-CR"/>
        </w:rPr>
        <w:t xml:space="preserve"> altamente </w:t>
      </w:r>
      <w:r w:rsidRPr="002B4E6D">
        <w:rPr>
          <w:szCs w:val="20"/>
          <w:lang w:val="es-CR"/>
        </w:rPr>
        <w:t>perjudiciales</w:t>
      </w:r>
      <w:r w:rsidR="00CC2D6B" w:rsidRPr="002B4E6D">
        <w:rPr>
          <w:szCs w:val="20"/>
          <w:lang w:val="es-CR"/>
        </w:rPr>
        <w:t xml:space="preserve"> </w:t>
      </w:r>
      <w:r w:rsidR="00A352BA" w:rsidRPr="002B4E6D">
        <w:rPr>
          <w:szCs w:val="20"/>
          <w:lang w:val="es-CR"/>
        </w:rPr>
        <w:t xml:space="preserve">sobre </w:t>
      </w:r>
      <w:r w:rsidRPr="002B4E6D">
        <w:rPr>
          <w:szCs w:val="20"/>
          <w:lang w:val="es-CR"/>
        </w:rPr>
        <w:t>la rutina</w:t>
      </w:r>
      <w:r w:rsidR="000E51A9" w:rsidRPr="002B4E6D">
        <w:rPr>
          <w:szCs w:val="20"/>
          <w:lang w:val="es-CR"/>
        </w:rPr>
        <w:t xml:space="preserve"> d</w:t>
      </w:r>
      <w:r w:rsidRPr="002B4E6D">
        <w:rPr>
          <w:szCs w:val="20"/>
          <w:lang w:val="es-CR"/>
        </w:rPr>
        <w:t>e l</w:t>
      </w:r>
      <w:r w:rsidR="000E51A9" w:rsidRPr="002B4E6D">
        <w:rPr>
          <w:szCs w:val="20"/>
          <w:lang w:val="es-CR"/>
        </w:rPr>
        <w:t xml:space="preserve">a </w:t>
      </w:r>
      <w:r w:rsidR="00ED6186" w:rsidRPr="002B4E6D">
        <w:rPr>
          <w:szCs w:val="20"/>
          <w:lang w:val="es-CR"/>
        </w:rPr>
        <w:t>unidad</w:t>
      </w:r>
      <w:r w:rsidR="000E51A9" w:rsidRPr="002B4E6D">
        <w:rPr>
          <w:szCs w:val="20"/>
          <w:lang w:val="es-CR"/>
        </w:rPr>
        <w:t xml:space="preserve"> </w:t>
      </w:r>
      <w:r w:rsidRPr="002B4E6D">
        <w:rPr>
          <w:szCs w:val="20"/>
          <w:lang w:val="es-CR"/>
        </w:rPr>
        <w:t>carcelaria</w:t>
      </w:r>
      <w:r w:rsidR="000E51A9" w:rsidRPr="002B4E6D">
        <w:rPr>
          <w:szCs w:val="20"/>
          <w:lang w:val="es-CR"/>
        </w:rPr>
        <w:t xml:space="preserve">, causando </w:t>
      </w:r>
      <w:r w:rsidR="00945D4E" w:rsidRPr="002B4E6D">
        <w:rPr>
          <w:szCs w:val="20"/>
          <w:lang w:val="es-CR"/>
        </w:rPr>
        <w:t>riesgos</w:t>
      </w:r>
      <w:r w:rsidR="00A352BA" w:rsidRPr="002B4E6D">
        <w:rPr>
          <w:szCs w:val="20"/>
          <w:lang w:val="es-CR"/>
        </w:rPr>
        <w:t xml:space="preserve"> </w:t>
      </w:r>
      <w:r w:rsidRPr="002B4E6D">
        <w:rPr>
          <w:szCs w:val="20"/>
          <w:lang w:val="es-CR"/>
        </w:rPr>
        <w:t>a la</w:t>
      </w:r>
      <w:r w:rsidR="00A352BA" w:rsidRPr="002B4E6D">
        <w:rPr>
          <w:szCs w:val="20"/>
          <w:lang w:val="es-CR"/>
        </w:rPr>
        <w:t xml:space="preserve"> </w:t>
      </w:r>
      <w:r w:rsidR="00FA02D6" w:rsidRPr="002B4E6D">
        <w:rPr>
          <w:szCs w:val="20"/>
          <w:lang w:val="es-CR"/>
        </w:rPr>
        <w:t>seguridad</w:t>
      </w:r>
      <w:r w:rsidR="00A352BA" w:rsidRPr="002B4E6D">
        <w:rPr>
          <w:szCs w:val="20"/>
          <w:lang w:val="es-CR"/>
        </w:rPr>
        <w:t xml:space="preserve"> </w:t>
      </w:r>
      <w:r w:rsidRPr="002B4E6D">
        <w:rPr>
          <w:szCs w:val="20"/>
          <w:lang w:val="es-CR"/>
        </w:rPr>
        <w:t>y</w:t>
      </w:r>
      <w:r w:rsidR="00A352BA" w:rsidRPr="002B4E6D">
        <w:rPr>
          <w:szCs w:val="20"/>
          <w:lang w:val="es-CR"/>
        </w:rPr>
        <w:t xml:space="preserve"> </w:t>
      </w:r>
      <w:r w:rsidRPr="002B4E6D">
        <w:rPr>
          <w:szCs w:val="20"/>
          <w:lang w:val="es-CR"/>
        </w:rPr>
        <w:t>a la</w:t>
      </w:r>
      <w:r w:rsidR="00A352BA" w:rsidRPr="002B4E6D">
        <w:rPr>
          <w:szCs w:val="20"/>
          <w:lang w:val="es-CR"/>
        </w:rPr>
        <w:t xml:space="preserve"> </w:t>
      </w:r>
      <w:r w:rsidRPr="002B4E6D">
        <w:rPr>
          <w:szCs w:val="20"/>
          <w:lang w:val="es-CR"/>
        </w:rPr>
        <w:t>vigilancia</w:t>
      </w:r>
      <w:r w:rsidR="00A352BA" w:rsidRPr="002B4E6D">
        <w:rPr>
          <w:szCs w:val="20"/>
          <w:lang w:val="es-CR"/>
        </w:rPr>
        <w:t xml:space="preserve"> dentro </w:t>
      </w:r>
      <w:r w:rsidRPr="002B4E6D">
        <w:rPr>
          <w:szCs w:val="20"/>
          <w:lang w:val="es-CR"/>
        </w:rPr>
        <w:t>del</w:t>
      </w:r>
      <w:r w:rsidR="00A352BA" w:rsidRPr="002B4E6D">
        <w:rPr>
          <w:szCs w:val="20"/>
          <w:lang w:val="es-CR"/>
        </w:rPr>
        <w:t xml:space="preserve"> </w:t>
      </w:r>
      <w:r w:rsidR="00D24676">
        <w:rPr>
          <w:szCs w:val="20"/>
          <w:lang w:val="es-CR"/>
        </w:rPr>
        <w:t>IPPSC</w:t>
      </w:r>
      <w:r w:rsidR="00A352BA" w:rsidRPr="002B4E6D">
        <w:rPr>
          <w:szCs w:val="20"/>
          <w:lang w:val="es-CR"/>
        </w:rPr>
        <w:t>.</w:t>
      </w:r>
    </w:p>
    <w:p w14:paraId="2677CF98" w14:textId="77777777" w:rsidR="00FE033A" w:rsidRPr="002B4E6D" w:rsidRDefault="00FE033A" w:rsidP="00A562C5">
      <w:pPr>
        <w:pStyle w:val="ListParagraph"/>
        <w:snapToGrid w:val="0"/>
        <w:ind w:left="0"/>
        <w:contextualSpacing w:val="0"/>
        <w:rPr>
          <w:b/>
          <w:i/>
          <w:szCs w:val="20"/>
          <w:lang w:val="es-CR"/>
        </w:rPr>
      </w:pPr>
    </w:p>
    <w:p w14:paraId="3687B974" w14:textId="632D5529" w:rsidR="00E56CB9" w:rsidRPr="002B4E6D" w:rsidRDefault="00E56CB9" w:rsidP="00A562C5">
      <w:pPr>
        <w:pStyle w:val="ListParagraph"/>
        <w:numPr>
          <w:ilvl w:val="0"/>
          <w:numId w:val="9"/>
        </w:numPr>
        <w:snapToGrid w:val="0"/>
        <w:ind w:left="0" w:firstLine="0"/>
        <w:rPr>
          <w:b/>
          <w:i/>
          <w:szCs w:val="20"/>
          <w:lang w:val="es-CR"/>
        </w:rPr>
      </w:pPr>
      <w:r w:rsidRPr="002B4E6D">
        <w:rPr>
          <w:b/>
          <w:i/>
          <w:szCs w:val="20"/>
          <w:lang w:val="es-CR"/>
        </w:rPr>
        <w:t>Informa</w:t>
      </w:r>
      <w:r w:rsidR="00AA1A37" w:rsidRPr="002B4E6D">
        <w:rPr>
          <w:b/>
          <w:i/>
          <w:szCs w:val="20"/>
          <w:lang w:val="es-CR"/>
        </w:rPr>
        <w:t>ción</w:t>
      </w:r>
      <w:r w:rsidRPr="002B4E6D">
        <w:rPr>
          <w:b/>
          <w:i/>
          <w:szCs w:val="20"/>
          <w:lang w:val="es-CR"/>
        </w:rPr>
        <w:t xml:space="preserve"> solicitada </w:t>
      </w:r>
      <w:r w:rsidR="00474D33" w:rsidRPr="002B4E6D">
        <w:rPr>
          <w:b/>
          <w:i/>
          <w:szCs w:val="20"/>
          <w:lang w:val="es-CR"/>
        </w:rPr>
        <w:t>al</w:t>
      </w:r>
      <w:r w:rsidRPr="002B4E6D">
        <w:rPr>
          <w:b/>
          <w:i/>
          <w:szCs w:val="20"/>
          <w:lang w:val="es-CR"/>
        </w:rPr>
        <w:t xml:space="preserve"> Estado</w:t>
      </w:r>
      <w:r w:rsidR="005F3E72" w:rsidRPr="002B4E6D">
        <w:rPr>
          <w:b/>
          <w:i/>
          <w:szCs w:val="20"/>
          <w:lang w:val="es-CR"/>
        </w:rPr>
        <w:t xml:space="preserve"> </w:t>
      </w:r>
    </w:p>
    <w:p w14:paraId="0FE266CB" w14:textId="77777777" w:rsidR="00E56CB9" w:rsidRPr="002B4E6D" w:rsidRDefault="00E56CB9" w:rsidP="00A562C5">
      <w:pPr>
        <w:snapToGrid w:val="0"/>
        <w:rPr>
          <w:szCs w:val="20"/>
          <w:lang w:val="es-CR"/>
        </w:rPr>
      </w:pPr>
    </w:p>
    <w:p w14:paraId="015C0432" w14:textId="3317C03D" w:rsidR="009829D0" w:rsidRPr="002B4E6D" w:rsidRDefault="00474D33" w:rsidP="00A562C5">
      <w:pPr>
        <w:pStyle w:val="ListParagraph"/>
        <w:numPr>
          <w:ilvl w:val="0"/>
          <w:numId w:val="20"/>
        </w:numPr>
        <w:snapToGrid w:val="0"/>
        <w:ind w:left="0" w:firstLine="0"/>
        <w:contextualSpacing w:val="0"/>
        <w:rPr>
          <w:rFonts w:eastAsia="Verdana" w:cs="Verdana"/>
          <w:szCs w:val="20"/>
          <w:lang w:val="es-CR"/>
        </w:rPr>
      </w:pPr>
      <w:r w:rsidRPr="002B4E6D">
        <w:rPr>
          <w:szCs w:val="20"/>
          <w:lang w:val="es-CR"/>
        </w:rPr>
        <w:t>En la</w:t>
      </w:r>
      <w:r w:rsidR="009829D0" w:rsidRPr="002B4E6D">
        <w:rPr>
          <w:szCs w:val="20"/>
          <w:lang w:val="es-CR"/>
        </w:rPr>
        <w:t xml:space="preserve"> </w:t>
      </w:r>
      <w:r w:rsidR="00485931" w:rsidRPr="002B4E6D">
        <w:rPr>
          <w:szCs w:val="20"/>
          <w:lang w:val="es-CR"/>
        </w:rPr>
        <w:t>R</w:t>
      </w:r>
      <w:r w:rsidR="009829D0" w:rsidRPr="002B4E6D">
        <w:rPr>
          <w:szCs w:val="20"/>
          <w:lang w:val="es-CR"/>
        </w:rPr>
        <w:t>esolu</w:t>
      </w:r>
      <w:r w:rsidR="00AA1A37" w:rsidRPr="002B4E6D">
        <w:rPr>
          <w:szCs w:val="20"/>
          <w:lang w:val="es-CR"/>
        </w:rPr>
        <w:t>ción</w:t>
      </w:r>
      <w:r w:rsidR="009829D0" w:rsidRPr="002B4E6D">
        <w:rPr>
          <w:szCs w:val="20"/>
          <w:lang w:val="es-CR"/>
        </w:rPr>
        <w:t xml:space="preserve"> de 31 de agosto de 2017, </w:t>
      </w:r>
      <w:r w:rsidRPr="002B4E6D">
        <w:rPr>
          <w:szCs w:val="20"/>
          <w:lang w:val="es-CR"/>
        </w:rPr>
        <w:t>l</w:t>
      </w:r>
      <w:r w:rsidR="009829D0" w:rsidRPr="002B4E6D">
        <w:rPr>
          <w:szCs w:val="20"/>
          <w:lang w:val="es-CR"/>
        </w:rPr>
        <w:t xml:space="preserve">a Corte </w:t>
      </w:r>
      <w:r w:rsidRPr="002B4E6D">
        <w:rPr>
          <w:szCs w:val="20"/>
          <w:lang w:val="es-CR"/>
        </w:rPr>
        <w:t>solicitó</w:t>
      </w:r>
      <w:r w:rsidR="009829D0" w:rsidRPr="002B4E6D">
        <w:rPr>
          <w:szCs w:val="20"/>
          <w:lang w:val="es-CR"/>
        </w:rPr>
        <w:t xml:space="preserve"> </w:t>
      </w:r>
      <w:r w:rsidRPr="002B4E6D">
        <w:rPr>
          <w:szCs w:val="20"/>
          <w:lang w:val="es-CR"/>
        </w:rPr>
        <w:t>al</w:t>
      </w:r>
      <w:r w:rsidR="009829D0" w:rsidRPr="002B4E6D">
        <w:rPr>
          <w:szCs w:val="20"/>
          <w:lang w:val="es-CR"/>
        </w:rPr>
        <w:t xml:space="preserve"> Estado que </w:t>
      </w:r>
      <w:r w:rsidRPr="002B4E6D">
        <w:rPr>
          <w:szCs w:val="20"/>
          <w:lang w:val="es-CR"/>
        </w:rPr>
        <w:t>elaborase</w:t>
      </w:r>
      <w:r w:rsidR="009829D0" w:rsidRPr="002B4E6D">
        <w:rPr>
          <w:rFonts w:eastAsia="Verdana" w:cs="Verdana"/>
          <w:szCs w:val="20"/>
          <w:lang w:val="es-CR"/>
        </w:rPr>
        <w:t xml:space="preserve"> </w:t>
      </w:r>
      <w:r w:rsidRPr="002B4E6D">
        <w:rPr>
          <w:rFonts w:eastAsia="Verdana" w:cs="Verdana"/>
          <w:szCs w:val="20"/>
          <w:lang w:val="es-CR"/>
        </w:rPr>
        <w:t>un</w:t>
      </w:r>
      <w:r w:rsidR="009829D0" w:rsidRPr="002B4E6D">
        <w:rPr>
          <w:rFonts w:eastAsia="Verdana" w:cs="Verdana"/>
          <w:szCs w:val="20"/>
          <w:lang w:val="es-CR"/>
        </w:rPr>
        <w:t xml:space="preserve"> Diagnóstico Técnico </w:t>
      </w:r>
      <w:r w:rsidRPr="002B4E6D">
        <w:rPr>
          <w:rFonts w:eastAsia="Verdana" w:cs="Verdana"/>
          <w:szCs w:val="20"/>
          <w:lang w:val="es-CR"/>
        </w:rPr>
        <w:t>y</w:t>
      </w:r>
      <w:r w:rsidR="009829D0" w:rsidRPr="002B4E6D">
        <w:rPr>
          <w:rFonts w:eastAsia="Verdana" w:cs="Verdana"/>
          <w:szCs w:val="20"/>
          <w:lang w:val="es-CR"/>
        </w:rPr>
        <w:t xml:space="preserve">, </w:t>
      </w:r>
      <w:r w:rsidRPr="002B4E6D">
        <w:rPr>
          <w:rFonts w:eastAsia="Verdana" w:cs="Verdana"/>
          <w:szCs w:val="20"/>
          <w:lang w:val="es-CR"/>
        </w:rPr>
        <w:t>con</w:t>
      </w:r>
      <w:r w:rsidR="009829D0" w:rsidRPr="002B4E6D">
        <w:rPr>
          <w:rFonts w:eastAsia="Verdana" w:cs="Verdana"/>
          <w:szCs w:val="20"/>
          <w:lang w:val="es-CR"/>
        </w:rPr>
        <w:t xml:space="preserve"> base </w:t>
      </w:r>
      <w:r w:rsidRPr="002B4E6D">
        <w:rPr>
          <w:rFonts w:eastAsia="Verdana" w:cs="Verdana"/>
          <w:szCs w:val="20"/>
          <w:lang w:val="es-CR"/>
        </w:rPr>
        <w:t>en los</w:t>
      </w:r>
      <w:r w:rsidR="009829D0" w:rsidRPr="002B4E6D">
        <w:rPr>
          <w:rFonts w:eastAsia="Verdana" w:cs="Verdana"/>
          <w:szCs w:val="20"/>
          <w:lang w:val="es-CR"/>
        </w:rPr>
        <w:t xml:space="preserve"> resultados de</w:t>
      </w:r>
      <w:r w:rsidRPr="002B4E6D">
        <w:rPr>
          <w:rFonts w:eastAsia="Verdana" w:cs="Verdana"/>
          <w:szCs w:val="20"/>
          <w:lang w:val="es-CR"/>
        </w:rPr>
        <w:t xml:space="preserve"> e</w:t>
      </w:r>
      <w:r w:rsidR="009829D0" w:rsidRPr="002B4E6D">
        <w:rPr>
          <w:rFonts w:eastAsia="Verdana" w:cs="Verdana"/>
          <w:szCs w:val="20"/>
          <w:lang w:val="es-CR"/>
        </w:rPr>
        <w:t xml:space="preserve">se Diagnóstico, </w:t>
      </w:r>
      <w:r w:rsidRPr="002B4E6D">
        <w:rPr>
          <w:rFonts w:eastAsia="Verdana" w:cs="Verdana"/>
          <w:szCs w:val="20"/>
          <w:lang w:val="es-CR"/>
        </w:rPr>
        <w:t>un Plan</w:t>
      </w:r>
      <w:r w:rsidR="009829D0" w:rsidRPr="002B4E6D">
        <w:rPr>
          <w:rFonts w:eastAsia="Verdana" w:cs="Verdana"/>
          <w:szCs w:val="20"/>
          <w:lang w:val="es-CR"/>
        </w:rPr>
        <w:t xml:space="preserve"> de </w:t>
      </w:r>
      <w:r w:rsidRPr="002B4E6D">
        <w:rPr>
          <w:rFonts w:eastAsia="Verdana" w:cs="Verdana"/>
          <w:szCs w:val="20"/>
          <w:lang w:val="es-CR"/>
        </w:rPr>
        <w:t>Contingencia</w:t>
      </w:r>
      <w:r w:rsidR="009829D0" w:rsidRPr="002B4E6D">
        <w:rPr>
          <w:rFonts w:eastAsia="Verdana" w:cs="Verdana"/>
          <w:szCs w:val="20"/>
          <w:lang w:val="es-CR"/>
        </w:rPr>
        <w:t xml:space="preserve"> “para </w:t>
      </w:r>
      <w:r w:rsidRPr="002B4E6D">
        <w:rPr>
          <w:rFonts w:eastAsia="Verdana" w:cs="Verdana"/>
          <w:szCs w:val="20"/>
          <w:lang w:val="es-CR"/>
        </w:rPr>
        <w:t>l</w:t>
      </w:r>
      <w:r w:rsidR="009829D0" w:rsidRPr="002B4E6D">
        <w:rPr>
          <w:rFonts w:eastAsia="Verdana" w:cs="Verdana"/>
          <w:szCs w:val="20"/>
          <w:lang w:val="es-CR"/>
        </w:rPr>
        <w:t>a reforma estru</w:t>
      </w:r>
      <w:r w:rsidRPr="002B4E6D">
        <w:rPr>
          <w:rFonts w:eastAsia="Verdana" w:cs="Verdana"/>
          <w:szCs w:val="20"/>
          <w:lang w:val="es-CR"/>
        </w:rPr>
        <w:t>c</w:t>
      </w:r>
      <w:r w:rsidR="009829D0" w:rsidRPr="002B4E6D">
        <w:rPr>
          <w:rFonts w:eastAsia="Verdana" w:cs="Verdana"/>
          <w:szCs w:val="20"/>
          <w:lang w:val="es-CR"/>
        </w:rPr>
        <w:t xml:space="preserve">tural </w:t>
      </w:r>
      <w:r w:rsidRPr="002B4E6D">
        <w:rPr>
          <w:rFonts w:eastAsia="Verdana" w:cs="Verdana"/>
          <w:szCs w:val="20"/>
          <w:lang w:val="es-CR"/>
        </w:rPr>
        <w:t>y</w:t>
      </w:r>
      <w:r w:rsidR="009829D0" w:rsidRPr="002B4E6D">
        <w:rPr>
          <w:rFonts w:eastAsia="Verdana" w:cs="Verdana"/>
          <w:szCs w:val="20"/>
          <w:lang w:val="es-CR"/>
        </w:rPr>
        <w:t xml:space="preserve"> de </w:t>
      </w:r>
      <w:r w:rsidRPr="002B4E6D">
        <w:rPr>
          <w:rFonts w:eastAsia="Verdana" w:cs="Verdana"/>
          <w:szCs w:val="20"/>
          <w:lang w:val="es-CR"/>
        </w:rPr>
        <w:t>reducción</w:t>
      </w:r>
      <w:r w:rsidR="009829D0" w:rsidRPr="002B4E6D">
        <w:rPr>
          <w:rFonts w:eastAsia="Verdana" w:cs="Verdana"/>
          <w:szCs w:val="20"/>
          <w:lang w:val="es-CR"/>
        </w:rPr>
        <w:t xml:space="preserve"> </w:t>
      </w:r>
      <w:r w:rsidRPr="002B4E6D">
        <w:rPr>
          <w:rFonts w:eastAsia="Verdana" w:cs="Verdana"/>
          <w:szCs w:val="20"/>
          <w:lang w:val="es-CR"/>
        </w:rPr>
        <w:t>de la</w:t>
      </w:r>
      <w:r w:rsidR="009829D0" w:rsidRPr="002B4E6D">
        <w:rPr>
          <w:rFonts w:eastAsia="Verdana" w:cs="Verdana"/>
          <w:szCs w:val="20"/>
          <w:lang w:val="es-CR"/>
        </w:rPr>
        <w:t xml:space="preserve"> </w:t>
      </w:r>
      <w:r w:rsidR="00945D4E" w:rsidRPr="002B4E6D">
        <w:rPr>
          <w:rFonts w:eastAsia="Verdana" w:cs="Verdana"/>
          <w:szCs w:val="20"/>
          <w:lang w:val="es-CR"/>
        </w:rPr>
        <w:t xml:space="preserve">superpoblación </w:t>
      </w:r>
      <w:r w:rsidRPr="002B4E6D">
        <w:rPr>
          <w:rFonts w:eastAsia="Verdana" w:cs="Verdana"/>
          <w:szCs w:val="20"/>
          <w:lang w:val="es-CR"/>
        </w:rPr>
        <w:t>y</w:t>
      </w:r>
      <w:r w:rsidR="009829D0" w:rsidRPr="002B4E6D">
        <w:rPr>
          <w:rFonts w:eastAsia="Verdana" w:cs="Verdana"/>
          <w:szCs w:val="20"/>
          <w:lang w:val="es-CR"/>
        </w:rPr>
        <w:t xml:space="preserve"> </w:t>
      </w:r>
      <w:r w:rsidR="00945D4E" w:rsidRPr="002B4E6D">
        <w:rPr>
          <w:rFonts w:eastAsia="Verdana" w:cs="Verdana"/>
          <w:szCs w:val="20"/>
          <w:lang w:val="es-CR"/>
        </w:rPr>
        <w:t xml:space="preserve">hacinamiento </w:t>
      </w:r>
      <w:r w:rsidRPr="002B4E6D">
        <w:rPr>
          <w:rFonts w:eastAsia="Verdana" w:cs="Verdana"/>
          <w:szCs w:val="20"/>
          <w:lang w:val="es-CR"/>
        </w:rPr>
        <w:t>en el</w:t>
      </w:r>
      <w:r w:rsidR="009829D0" w:rsidRPr="002B4E6D">
        <w:rPr>
          <w:rFonts w:eastAsia="Verdana" w:cs="Verdana"/>
          <w:szCs w:val="20"/>
          <w:lang w:val="es-CR"/>
        </w:rPr>
        <w:t xml:space="preserve"> Instituto Penal Plácido de </w:t>
      </w:r>
      <w:proofErr w:type="spellStart"/>
      <w:r w:rsidR="009829D0" w:rsidRPr="002B4E6D">
        <w:rPr>
          <w:rFonts w:eastAsia="Verdana" w:cs="Verdana"/>
          <w:szCs w:val="20"/>
          <w:lang w:val="es-CR"/>
        </w:rPr>
        <w:t>Sá</w:t>
      </w:r>
      <w:proofErr w:type="spellEnd"/>
      <w:r w:rsidR="009829D0" w:rsidRPr="002B4E6D">
        <w:rPr>
          <w:rFonts w:eastAsia="Verdana" w:cs="Verdana"/>
          <w:szCs w:val="20"/>
          <w:lang w:val="es-CR"/>
        </w:rPr>
        <w:t xml:space="preserve"> Carvalho”.</w:t>
      </w:r>
      <w:r w:rsidR="009829D0" w:rsidRPr="002B4E6D">
        <w:rPr>
          <w:rStyle w:val="FootnoteReference"/>
          <w:lang w:val="es-CR"/>
        </w:rPr>
        <w:footnoteReference w:id="16"/>
      </w:r>
    </w:p>
    <w:p w14:paraId="026F4B00" w14:textId="77777777" w:rsidR="009829D0" w:rsidRPr="002B4E6D" w:rsidRDefault="009829D0" w:rsidP="00A562C5">
      <w:pPr>
        <w:pStyle w:val="ListParagraph"/>
        <w:snapToGrid w:val="0"/>
        <w:ind w:left="0"/>
        <w:contextualSpacing w:val="0"/>
        <w:rPr>
          <w:rFonts w:eastAsia="Verdana" w:cs="Verdana"/>
          <w:szCs w:val="20"/>
          <w:lang w:val="es-CR"/>
        </w:rPr>
      </w:pPr>
    </w:p>
    <w:p w14:paraId="43FE00BE" w14:textId="6784191C" w:rsidR="009829D0" w:rsidRPr="002B4E6D" w:rsidRDefault="00474D33" w:rsidP="00A562C5">
      <w:pPr>
        <w:pStyle w:val="ListParagraph"/>
        <w:numPr>
          <w:ilvl w:val="0"/>
          <w:numId w:val="20"/>
        </w:numPr>
        <w:snapToGrid w:val="0"/>
        <w:ind w:left="0" w:firstLine="0"/>
        <w:contextualSpacing w:val="0"/>
        <w:rPr>
          <w:rFonts w:eastAsia="Verdana" w:cs="Verdana"/>
          <w:szCs w:val="20"/>
          <w:lang w:val="es-CR"/>
        </w:rPr>
      </w:pPr>
      <w:r w:rsidRPr="002B4E6D">
        <w:rPr>
          <w:rFonts w:eastAsia="Verdana" w:cs="Verdana"/>
          <w:szCs w:val="20"/>
          <w:lang w:val="es-CR"/>
        </w:rPr>
        <w:t>El</w:t>
      </w:r>
      <w:r w:rsidR="009829D0" w:rsidRPr="002B4E6D">
        <w:rPr>
          <w:rFonts w:eastAsia="Verdana" w:cs="Verdana"/>
          <w:szCs w:val="20"/>
          <w:lang w:val="es-CR"/>
        </w:rPr>
        <w:t xml:space="preserve"> </w:t>
      </w:r>
      <w:r w:rsidR="009829D0" w:rsidRPr="002B4E6D">
        <w:rPr>
          <w:rFonts w:eastAsia="Verdana" w:cs="Verdana"/>
          <w:b/>
          <w:i/>
          <w:szCs w:val="20"/>
          <w:lang w:val="es-CR"/>
        </w:rPr>
        <w:t>Estado</w:t>
      </w:r>
      <w:r w:rsidR="009829D0" w:rsidRPr="002B4E6D">
        <w:rPr>
          <w:rFonts w:eastAsia="Verdana" w:cs="Verdana"/>
          <w:szCs w:val="20"/>
          <w:lang w:val="es-CR"/>
        </w:rPr>
        <w:t xml:space="preserve"> </w:t>
      </w:r>
      <w:r w:rsidR="00AA1A37" w:rsidRPr="002B4E6D">
        <w:rPr>
          <w:rFonts w:eastAsia="Verdana" w:cs="Verdana"/>
          <w:szCs w:val="20"/>
          <w:lang w:val="es-CR"/>
        </w:rPr>
        <w:t>presentó</w:t>
      </w:r>
      <w:r w:rsidR="009829D0" w:rsidRPr="002B4E6D">
        <w:rPr>
          <w:rFonts w:eastAsia="Verdana" w:cs="Verdana"/>
          <w:szCs w:val="20"/>
          <w:lang w:val="es-CR"/>
        </w:rPr>
        <w:t xml:space="preserve"> </w:t>
      </w:r>
      <w:r w:rsidRPr="002B4E6D">
        <w:rPr>
          <w:rFonts w:eastAsia="Verdana" w:cs="Verdana"/>
          <w:szCs w:val="20"/>
          <w:lang w:val="es-CR"/>
        </w:rPr>
        <w:t>a la</w:t>
      </w:r>
      <w:r w:rsidR="000E51A9" w:rsidRPr="002B4E6D">
        <w:rPr>
          <w:rFonts w:eastAsia="Verdana" w:cs="Verdana"/>
          <w:szCs w:val="20"/>
          <w:lang w:val="es-CR"/>
        </w:rPr>
        <w:t xml:space="preserve"> Corte </w:t>
      </w:r>
      <w:r w:rsidRPr="002B4E6D">
        <w:rPr>
          <w:rFonts w:eastAsia="Verdana" w:cs="Verdana"/>
          <w:szCs w:val="20"/>
          <w:lang w:val="es-CR"/>
        </w:rPr>
        <w:t>el</w:t>
      </w:r>
      <w:r w:rsidR="009829D0" w:rsidRPr="002B4E6D">
        <w:rPr>
          <w:rFonts w:eastAsia="Verdana" w:cs="Verdana"/>
          <w:szCs w:val="20"/>
          <w:lang w:val="es-CR"/>
        </w:rPr>
        <w:t xml:space="preserve"> Diagnóstico Técnico </w:t>
      </w:r>
      <w:r w:rsidRPr="002B4E6D">
        <w:rPr>
          <w:rFonts w:eastAsia="Verdana" w:cs="Verdana"/>
          <w:szCs w:val="20"/>
          <w:lang w:val="es-CR"/>
        </w:rPr>
        <w:t>junto con s</w:t>
      </w:r>
      <w:r w:rsidR="009829D0" w:rsidRPr="002B4E6D">
        <w:rPr>
          <w:rFonts w:eastAsia="Verdana" w:cs="Verdana"/>
          <w:szCs w:val="20"/>
          <w:lang w:val="es-CR"/>
        </w:rPr>
        <w:t xml:space="preserve">u </w:t>
      </w:r>
      <w:r w:rsidR="00B12DBC" w:rsidRPr="002B4E6D">
        <w:rPr>
          <w:rFonts w:eastAsia="Verdana" w:cs="Verdana"/>
          <w:szCs w:val="20"/>
          <w:lang w:val="es-CR"/>
        </w:rPr>
        <w:t>informe</w:t>
      </w:r>
      <w:r w:rsidR="00F81245" w:rsidRPr="002B4E6D">
        <w:rPr>
          <w:rFonts w:eastAsia="Verdana" w:cs="Verdana"/>
          <w:szCs w:val="20"/>
          <w:lang w:val="es-CR"/>
        </w:rPr>
        <w:t xml:space="preserve"> de 25 de </w:t>
      </w:r>
      <w:r w:rsidRPr="002B4E6D">
        <w:rPr>
          <w:rFonts w:eastAsia="Verdana" w:cs="Verdana"/>
          <w:szCs w:val="20"/>
          <w:lang w:val="es-CR"/>
        </w:rPr>
        <w:t>mayo</w:t>
      </w:r>
      <w:r w:rsidR="00F81245" w:rsidRPr="002B4E6D">
        <w:rPr>
          <w:rFonts w:eastAsia="Verdana" w:cs="Verdana"/>
          <w:szCs w:val="20"/>
          <w:lang w:val="es-CR"/>
        </w:rPr>
        <w:t xml:space="preserve"> de 2018</w:t>
      </w:r>
      <w:r w:rsidR="00D24676">
        <w:rPr>
          <w:rFonts w:eastAsia="Verdana" w:cs="Verdana"/>
          <w:szCs w:val="20"/>
          <w:lang w:val="es-CR"/>
        </w:rPr>
        <w:t>,</w:t>
      </w:r>
      <w:r w:rsidR="00F81245" w:rsidRPr="002B4E6D">
        <w:rPr>
          <w:rFonts w:eastAsia="Verdana" w:cs="Verdana"/>
          <w:szCs w:val="20"/>
          <w:lang w:val="es-CR"/>
        </w:rPr>
        <w:t xml:space="preserve"> sobre </w:t>
      </w:r>
      <w:r w:rsidRPr="002B4E6D">
        <w:rPr>
          <w:rFonts w:eastAsia="Verdana" w:cs="Verdana"/>
          <w:szCs w:val="20"/>
          <w:lang w:val="es-CR"/>
        </w:rPr>
        <w:t>el</w:t>
      </w:r>
      <w:r w:rsidR="00F81245" w:rsidRPr="002B4E6D">
        <w:rPr>
          <w:rFonts w:eastAsia="Verdana" w:cs="Verdana"/>
          <w:szCs w:val="20"/>
          <w:lang w:val="es-CR"/>
        </w:rPr>
        <w:t xml:space="preserve"> </w:t>
      </w:r>
      <w:r w:rsidRPr="002B4E6D">
        <w:rPr>
          <w:rFonts w:eastAsia="Verdana" w:cs="Verdana"/>
          <w:szCs w:val="20"/>
          <w:lang w:val="es-CR"/>
        </w:rPr>
        <w:t>cumplimento</w:t>
      </w:r>
      <w:r w:rsidR="00F81245" w:rsidRPr="002B4E6D">
        <w:rPr>
          <w:rFonts w:eastAsia="Verdana" w:cs="Verdana"/>
          <w:szCs w:val="20"/>
          <w:lang w:val="es-CR"/>
        </w:rPr>
        <w:t xml:space="preserve"> </w:t>
      </w:r>
      <w:r w:rsidRPr="002B4E6D">
        <w:rPr>
          <w:rFonts w:eastAsia="Verdana" w:cs="Verdana"/>
          <w:szCs w:val="20"/>
          <w:lang w:val="es-CR"/>
        </w:rPr>
        <w:t>de las</w:t>
      </w:r>
      <w:r w:rsidR="00F81245" w:rsidRPr="002B4E6D">
        <w:rPr>
          <w:rFonts w:eastAsia="Verdana" w:cs="Verdana"/>
          <w:szCs w:val="20"/>
          <w:lang w:val="es-CR"/>
        </w:rPr>
        <w:t xml:space="preserve"> medidas </w:t>
      </w:r>
      <w:r w:rsidR="00945D4E" w:rsidRPr="002B4E6D">
        <w:rPr>
          <w:rFonts w:eastAsia="Verdana" w:cs="Verdana"/>
          <w:szCs w:val="20"/>
          <w:lang w:val="es-CR"/>
        </w:rPr>
        <w:t>provisionales</w:t>
      </w:r>
      <w:r w:rsidR="009829D0" w:rsidRPr="002B4E6D">
        <w:rPr>
          <w:szCs w:val="20"/>
          <w:lang w:val="es-CR"/>
        </w:rPr>
        <w:t>.</w:t>
      </w:r>
      <w:r w:rsidR="00E44880" w:rsidRPr="002B4E6D">
        <w:rPr>
          <w:szCs w:val="20"/>
          <w:lang w:val="es-CR"/>
        </w:rPr>
        <w:t xml:space="preserve"> </w:t>
      </w:r>
    </w:p>
    <w:p w14:paraId="45661150" w14:textId="77777777" w:rsidR="00E44880" w:rsidRPr="002B4E6D" w:rsidRDefault="00E44880" w:rsidP="00A562C5">
      <w:pPr>
        <w:pStyle w:val="ListParagraph"/>
        <w:ind w:left="0"/>
        <w:rPr>
          <w:rFonts w:eastAsia="Verdana" w:cs="Verdana"/>
          <w:szCs w:val="20"/>
          <w:lang w:val="es-CR"/>
        </w:rPr>
      </w:pPr>
    </w:p>
    <w:p w14:paraId="7A6D125A" w14:textId="1F93B0DB" w:rsidR="00E44880" w:rsidRPr="002B4E6D" w:rsidRDefault="0070515A" w:rsidP="00A562C5">
      <w:pPr>
        <w:pStyle w:val="ListParagraph"/>
        <w:numPr>
          <w:ilvl w:val="0"/>
          <w:numId w:val="20"/>
        </w:numPr>
        <w:snapToGrid w:val="0"/>
        <w:ind w:left="0" w:firstLine="0"/>
        <w:contextualSpacing w:val="0"/>
        <w:rPr>
          <w:rFonts w:eastAsia="Verdana" w:cs="Verdana"/>
          <w:szCs w:val="20"/>
          <w:lang w:val="es-CR"/>
        </w:rPr>
      </w:pPr>
      <w:r w:rsidRPr="002B4E6D">
        <w:rPr>
          <w:rFonts w:eastAsia="Verdana" w:cs="Verdana"/>
          <w:szCs w:val="20"/>
          <w:lang w:val="es-CR"/>
        </w:rPr>
        <w:t>El</w:t>
      </w:r>
      <w:r w:rsidR="00E44880" w:rsidRPr="002B4E6D">
        <w:rPr>
          <w:rFonts w:eastAsia="Verdana" w:cs="Verdana"/>
          <w:szCs w:val="20"/>
          <w:lang w:val="es-CR"/>
        </w:rPr>
        <w:t xml:space="preserve"> Estado </w:t>
      </w:r>
      <w:r w:rsidRPr="002B4E6D">
        <w:rPr>
          <w:rFonts w:eastAsia="Verdana" w:cs="Verdana"/>
          <w:szCs w:val="20"/>
          <w:lang w:val="es-CR"/>
        </w:rPr>
        <w:t>justificó</w:t>
      </w:r>
      <w:r w:rsidR="00E44880" w:rsidRPr="002B4E6D">
        <w:rPr>
          <w:rFonts w:eastAsia="Verdana" w:cs="Verdana"/>
          <w:szCs w:val="20"/>
          <w:lang w:val="es-CR"/>
        </w:rPr>
        <w:t xml:space="preserve"> </w:t>
      </w:r>
      <w:r w:rsidRPr="002B4E6D">
        <w:rPr>
          <w:rFonts w:eastAsia="Verdana" w:cs="Verdana"/>
          <w:szCs w:val="20"/>
          <w:lang w:val="es-CR"/>
        </w:rPr>
        <w:t>l</w:t>
      </w:r>
      <w:r w:rsidR="00E44880" w:rsidRPr="002B4E6D">
        <w:rPr>
          <w:rFonts w:eastAsia="Verdana" w:cs="Verdana"/>
          <w:szCs w:val="20"/>
          <w:lang w:val="es-CR"/>
        </w:rPr>
        <w:t xml:space="preserve">a </w:t>
      </w:r>
      <w:r w:rsidRPr="002B4E6D">
        <w:rPr>
          <w:rFonts w:eastAsia="Verdana" w:cs="Verdana"/>
          <w:szCs w:val="20"/>
          <w:lang w:val="es-CR"/>
        </w:rPr>
        <w:t>ausencia</w:t>
      </w:r>
      <w:r w:rsidR="00E44880" w:rsidRPr="002B4E6D">
        <w:rPr>
          <w:rFonts w:eastAsia="Verdana" w:cs="Verdana"/>
          <w:szCs w:val="20"/>
          <w:lang w:val="es-CR"/>
        </w:rPr>
        <w:t xml:space="preserve"> de elabora</w:t>
      </w:r>
      <w:r w:rsidR="00AA1A37" w:rsidRPr="002B4E6D">
        <w:rPr>
          <w:rFonts w:eastAsia="Verdana" w:cs="Verdana"/>
          <w:szCs w:val="20"/>
          <w:lang w:val="es-CR"/>
        </w:rPr>
        <w:t>ción</w:t>
      </w:r>
      <w:r w:rsidR="00E44880" w:rsidRPr="002B4E6D">
        <w:rPr>
          <w:rFonts w:eastAsia="Verdana" w:cs="Verdana"/>
          <w:szCs w:val="20"/>
          <w:lang w:val="es-CR"/>
        </w:rPr>
        <w:t xml:space="preserve"> d</w:t>
      </w:r>
      <w:r w:rsidR="00F81245" w:rsidRPr="002B4E6D">
        <w:rPr>
          <w:rFonts w:eastAsia="Verdana" w:cs="Verdana"/>
          <w:szCs w:val="20"/>
          <w:lang w:val="es-CR"/>
        </w:rPr>
        <w:t xml:space="preserve">e </w:t>
      </w:r>
      <w:r w:rsidRPr="002B4E6D">
        <w:rPr>
          <w:rFonts w:eastAsia="Verdana" w:cs="Verdana"/>
          <w:szCs w:val="20"/>
          <w:lang w:val="es-CR"/>
        </w:rPr>
        <w:t>su Plan</w:t>
      </w:r>
      <w:r w:rsidR="00E44880" w:rsidRPr="002B4E6D">
        <w:rPr>
          <w:rFonts w:eastAsia="Verdana" w:cs="Verdana"/>
          <w:szCs w:val="20"/>
          <w:lang w:val="es-CR"/>
        </w:rPr>
        <w:t xml:space="preserve"> de </w:t>
      </w:r>
      <w:r w:rsidRPr="002B4E6D">
        <w:rPr>
          <w:rFonts w:eastAsia="Verdana" w:cs="Verdana"/>
          <w:szCs w:val="20"/>
          <w:lang w:val="es-CR"/>
        </w:rPr>
        <w:t>Contingencia</w:t>
      </w:r>
      <w:r w:rsidR="00E44880" w:rsidRPr="002B4E6D">
        <w:rPr>
          <w:rFonts w:eastAsia="Verdana" w:cs="Verdana"/>
          <w:szCs w:val="20"/>
          <w:lang w:val="es-CR"/>
        </w:rPr>
        <w:t xml:space="preserve"> </w:t>
      </w:r>
      <w:r w:rsidR="009C0296">
        <w:rPr>
          <w:rFonts w:eastAsia="Verdana" w:cs="Verdana"/>
          <w:szCs w:val="20"/>
          <w:lang w:val="es-CR"/>
        </w:rPr>
        <w:t xml:space="preserve">en la expedición del </w:t>
      </w:r>
      <w:r w:rsidRPr="002B4E6D">
        <w:rPr>
          <w:rFonts w:eastAsia="Verdana" w:cs="Verdana"/>
          <w:szCs w:val="20"/>
          <w:lang w:val="es-CR"/>
        </w:rPr>
        <w:t xml:space="preserve">decreto </w:t>
      </w:r>
      <w:r w:rsidR="00E44880" w:rsidRPr="002B4E6D">
        <w:rPr>
          <w:rFonts w:eastAsia="Verdana" w:cs="Verdana"/>
          <w:szCs w:val="20"/>
          <w:lang w:val="es-CR"/>
        </w:rPr>
        <w:t>de interven</w:t>
      </w:r>
      <w:r w:rsidR="00AA1A37" w:rsidRPr="002B4E6D">
        <w:rPr>
          <w:rFonts w:eastAsia="Verdana" w:cs="Verdana"/>
          <w:szCs w:val="20"/>
          <w:lang w:val="es-CR"/>
        </w:rPr>
        <w:t>ción</w:t>
      </w:r>
      <w:r w:rsidR="00E44880" w:rsidRPr="002B4E6D">
        <w:rPr>
          <w:rFonts w:eastAsia="Verdana" w:cs="Verdana"/>
          <w:szCs w:val="20"/>
          <w:lang w:val="es-CR"/>
        </w:rPr>
        <w:t xml:space="preserve"> federal</w:t>
      </w:r>
      <w:r w:rsidR="00F81245" w:rsidRPr="002B4E6D">
        <w:rPr>
          <w:rFonts w:eastAsia="Verdana" w:cs="Verdana"/>
          <w:szCs w:val="20"/>
          <w:lang w:val="es-CR"/>
        </w:rPr>
        <w:t xml:space="preserve"> </w:t>
      </w:r>
      <w:r w:rsidRPr="002B4E6D">
        <w:rPr>
          <w:rFonts w:eastAsia="Verdana" w:cs="Verdana"/>
          <w:szCs w:val="20"/>
          <w:lang w:val="es-CR"/>
        </w:rPr>
        <w:t>en</w:t>
      </w:r>
      <w:r w:rsidR="00F81245" w:rsidRPr="002B4E6D">
        <w:rPr>
          <w:rFonts w:eastAsia="Verdana" w:cs="Verdana"/>
          <w:szCs w:val="20"/>
          <w:lang w:val="es-CR"/>
        </w:rPr>
        <w:t xml:space="preserve"> </w:t>
      </w:r>
      <w:r w:rsidR="00E9168C" w:rsidRPr="002B4E6D">
        <w:rPr>
          <w:rFonts w:eastAsia="Verdana" w:cs="Verdana"/>
          <w:szCs w:val="20"/>
          <w:lang w:val="es-CR"/>
        </w:rPr>
        <w:t>Río de Janeiro</w:t>
      </w:r>
      <w:r w:rsidR="0067286C">
        <w:rPr>
          <w:rFonts w:eastAsia="Verdana" w:cs="Verdana"/>
          <w:szCs w:val="20"/>
          <w:lang w:val="es-CR"/>
        </w:rPr>
        <w:t xml:space="preserve"> de 2018</w:t>
      </w:r>
      <w:r w:rsidR="008B347C" w:rsidRPr="002B4E6D">
        <w:rPr>
          <w:rFonts w:eastAsia="Verdana" w:cs="Verdana"/>
          <w:szCs w:val="20"/>
          <w:lang w:val="es-CR"/>
        </w:rPr>
        <w:t xml:space="preserve">, </w:t>
      </w:r>
      <w:r w:rsidRPr="002B4E6D">
        <w:rPr>
          <w:rFonts w:eastAsia="Verdana" w:cs="Verdana"/>
          <w:szCs w:val="20"/>
          <w:lang w:val="es-CR"/>
        </w:rPr>
        <w:t>así</w:t>
      </w:r>
      <w:r w:rsidR="008B347C" w:rsidRPr="002B4E6D">
        <w:rPr>
          <w:rFonts w:eastAsia="Verdana" w:cs="Verdana"/>
          <w:szCs w:val="20"/>
          <w:lang w:val="es-CR"/>
        </w:rPr>
        <w:t xml:space="preserve"> como </w:t>
      </w:r>
      <w:r w:rsidR="009C0296">
        <w:rPr>
          <w:rFonts w:eastAsia="Verdana" w:cs="Verdana"/>
          <w:szCs w:val="20"/>
          <w:lang w:val="es-CR"/>
        </w:rPr>
        <w:t>con</w:t>
      </w:r>
      <w:r w:rsidRPr="002B4E6D">
        <w:rPr>
          <w:rFonts w:eastAsia="Verdana" w:cs="Verdana"/>
          <w:szCs w:val="20"/>
          <w:lang w:val="es-CR"/>
        </w:rPr>
        <w:t xml:space="preserve"> los</w:t>
      </w:r>
      <w:r w:rsidR="00E44880" w:rsidRPr="002B4E6D">
        <w:rPr>
          <w:rFonts w:eastAsia="Verdana" w:cs="Verdana"/>
          <w:szCs w:val="20"/>
          <w:lang w:val="es-CR"/>
        </w:rPr>
        <w:t xml:space="preserve"> </w:t>
      </w:r>
      <w:r w:rsidRPr="002B4E6D">
        <w:rPr>
          <w:rFonts w:eastAsia="Verdana" w:cs="Verdana"/>
          <w:szCs w:val="20"/>
          <w:lang w:val="es-CR"/>
        </w:rPr>
        <w:t>cambios</w:t>
      </w:r>
      <w:r w:rsidR="00E44880" w:rsidRPr="002B4E6D">
        <w:rPr>
          <w:rFonts w:eastAsia="Verdana" w:cs="Verdana"/>
          <w:szCs w:val="20"/>
          <w:lang w:val="es-CR"/>
        </w:rPr>
        <w:t xml:space="preserve"> instituciona</w:t>
      </w:r>
      <w:r w:rsidRPr="002B4E6D">
        <w:rPr>
          <w:rFonts w:eastAsia="Verdana" w:cs="Verdana"/>
          <w:szCs w:val="20"/>
          <w:lang w:val="es-CR"/>
        </w:rPr>
        <w:t>le</w:t>
      </w:r>
      <w:r w:rsidR="00E44880" w:rsidRPr="002B4E6D">
        <w:rPr>
          <w:rFonts w:eastAsia="Verdana" w:cs="Verdana"/>
          <w:szCs w:val="20"/>
          <w:lang w:val="es-CR"/>
        </w:rPr>
        <w:t xml:space="preserve">s </w:t>
      </w:r>
      <w:r w:rsidR="009948D0" w:rsidRPr="002B4E6D">
        <w:rPr>
          <w:rFonts w:eastAsia="Verdana" w:cs="Verdana"/>
          <w:szCs w:val="20"/>
          <w:lang w:val="es-CR"/>
        </w:rPr>
        <w:t>ocurridos</w:t>
      </w:r>
      <w:r w:rsidR="000A2B48" w:rsidRPr="002B4E6D">
        <w:rPr>
          <w:rFonts w:eastAsia="Verdana" w:cs="Verdana"/>
          <w:szCs w:val="20"/>
          <w:lang w:val="es-CR"/>
        </w:rPr>
        <w:t xml:space="preserve"> </w:t>
      </w:r>
      <w:r w:rsidRPr="002B4E6D">
        <w:rPr>
          <w:rFonts w:eastAsia="Verdana" w:cs="Verdana"/>
          <w:szCs w:val="20"/>
          <w:lang w:val="es-CR"/>
        </w:rPr>
        <w:t>en ese</w:t>
      </w:r>
      <w:r w:rsidR="000A2B48" w:rsidRPr="002B4E6D">
        <w:rPr>
          <w:rFonts w:eastAsia="Verdana" w:cs="Verdana"/>
          <w:szCs w:val="20"/>
          <w:lang w:val="es-CR"/>
        </w:rPr>
        <w:t xml:space="preserve"> período</w:t>
      </w:r>
      <w:r w:rsidR="00E44880" w:rsidRPr="002B4E6D">
        <w:rPr>
          <w:rFonts w:eastAsia="Verdana" w:cs="Verdana"/>
          <w:szCs w:val="20"/>
          <w:lang w:val="es-CR"/>
        </w:rPr>
        <w:t>.</w:t>
      </w:r>
      <w:r w:rsidR="000A2B48" w:rsidRPr="002B4E6D">
        <w:rPr>
          <w:rFonts w:eastAsia="Verdana" w:cs="Verdana"/>
          <w:szCs w:val="20"/>
          <w:lang w:val="es-CR"/>
        </w:rPr>
        <w:t xml:space="preserve"> </w:t>
      </w:r>
      <w:r w:rsidRPr="002B4E6D">
        <w:rPr>
          <w:rFonts w:eastAsia="Verdana" w:cs="Verdana"/>
          <w:szCs w:val="20"/>
          <w:lang w:val="es-CR"/>
        </w:rPr>
        <w:t>Debido</w:t>
      </w:r>
      <w:r w:rsidR="00F81245" w:rsidRPr="002B4E6D">
        <w:rPr>
          <w:rFonts w:eastAsia="Verdana" w:cs="Verdana"/>
          <w:szCs w:val="20"/>
          <w:lang w:val="es-CR"/>
        </w:rPr>
        <w:t xml:space="preserve"> </w:t>
      </w:r>
      <w:r w:rsidRPr="002B4E6D">
        <w:rPr>
          <w:rFonts w:eastAsia="Verdana" w:cs="Verdana"/>
          <w:szCs w:val="20"/>
          <w:lang w:val="es-CR"/>
        </w:rPr>
        <w:t>a la</w:t>
      </w:r>
      <w:r w:rsidR="000A2B48" w:rsidRPr="002B4E6D">
        <w:rPr>
          <w:rFonts w:eastAsia="Verdana" w:cs="Verdana"/>
          <w:szCs w:val="20"/>
          <w:lang w:val="es-CR"/>
        </w:rPr>
        <w:t xml:space="preserve"> interven</w:t>
      </w:r>
      <w:r w:rsidR="00AA1A37" w:rsidRPr="002B4E6D">
        <w:rPr>
          <w:rFonts w:eastAsia="Verdana" w:cs="Verdana"/>
          <w:szCs w:val="20"/>
          <w:lang w:val="es-CR"/>
        </w:rPr>
        <w:t>ción</w:t>
      </w:r>
      <w:r w:rsidR="000A2B48" w:rsidRPr="002B4E6D">
        <w:rPr>
          <w:rFonts w:eastAsia="Verdana" w:cs="Verdana"/>
          <w:szCs w:val="20"/>
          <w:lang w:val="es-CR"/>
        </w:rPr>
        <w:t xml:space="preserve">, </w:t>
      </w:r>
      <w:r w:rsidRPr="002B4E6D">
        <w:rPr>
          <w:rFonts w:eastAsia="Verdana" w:cs="Verdana"/>
          <w:szCs w:val="20"/>
          <w:lang w:val="es-CR"/>
        </w:rPr>
        <w:t>el</w:t>
      </w:r>
      <w:r w:rsidR="000A2B48" w:rsidRPr="002B4E6D">
        <w:rPr>
          <w:rFonts w:eastAsia="Verdana" w:cs="Verdana"/>
          <w:szCs w:val="20"/>
          <w:lang w:val="es-CR"/>
        </w:rPr>
        <w:t xml:space="preserve"> sistema </w:t>
      </w:r>
      <w:r w:rsidRPr="002B4E6D">
        <w:rPr>
          <w:rFonts w:eastAsia="Verdana" w:cs="Verdana"/>
          <w:szCs w:val="20"/>
          <w:lang w:val="es-CR"/>
        </w:rPr>
        <w:t>penitenciario</w:t>
      </w:r>
      <w:r w:rsidR="000A2B48" w:rsidRPr="002B4E6D">
        <w:rPr>
          <w:rFonts w:eastAsia="Verdana" w:cs="Verdana"/>
          <w:szCs w:val="20"/>
          <w:lang w:val="es-CR"/>
        </w:rPr>
        <w:t xml:space="preserve"> </w:t>
      </w:r>
      <w:r w:rsidR="00286306">
        <w:rPr>
          <w:rFonts w:eastAsia="Verdana" w:cs="Verdana"/>
          <w:szCs w:val="20"/>
          <w:lang w:val="es-CR"/>
        </w:rPr>
        <w:t>de Rio de Janeiro</w:t>
      </w:r>
      <w:r w:rsidR="00286306" w:rsidRPr="002B4E6D">
        <w:rPr>
          <w:rFonts w:eastAsia="Verdana" w:cs="Verdana"/>
          <w:szCs w:val="20"/>
          <w:lang w:val="es-CR"/>
        </w:rPr>
        <w:t xml:space="preserve"> </w:t>
      </w:r>
      <w:r w:rsidRPr="002B4E6D">
        <w:rPr>
          <w:rFonts w:eastAsia="Verdana" w:cs="Verdana"/>
          <w:szCs w:val="20"/>
          <w:lang w:val="es-CR"/>
        </w:rPr>
        <w:t>pasó</w:t>
      </w:r>
      <w:r w:rsidR="000A2B48" w:rsidRPr="002B4E6D">
        <w:rPr>
          <w:rFonts w:eastAsia="Verdana" w:cs="Verdana"/>
          <w:szCs w:val="20"/>
          <w:lang w:val="es-CR"/>
        </w:rPr>
        <w:t xml:space="preserve"> a ser </w:t>
      </w:r>
      <w:r w:rsidRPr="002B4E6D">
        <w:rPr>
          <w:rFonts w:eastAsia="Verdana" w:cs="Verdana"/>
          <w:szCs w:val="20"/>
          <w:lang w:val="es-CR"/>
        </w:rPr>
        <w:t>dirigido</w:t>
      </w:r>
      <w:r w:rsidR="000A2B48" w:rsidRPr="002B4E6D">
        <w:rPr>
          <w:rFonts w:eastAsia="Verdana" w:cs="Verdana"/>
          <w:szCs w:val="20"/>
          <w:lang w:val="es-CR"/>
        </w:rPr>
        <w:t xml:space="preserve"> </w:t>
      </w:r>
      <w:r w:rsidRPr="002B4E6D">
        <w:rPr>
          <w:rFonts w:eastAsia="Verdana" w:cs="Verdana"/>
          <w:szCs w:val="20"/>
          <w:lang w:val="es-CR"/>
        </w:rPr>
        <w:t>por el</w:t>
      </w:r>
      <w:r w:rsidR="000A2B48" w:rsidRPr="002B4E6D">
        <w:rPr>
          <w:rFonts w:eastAsia="Verdana" w:cs="Verdana"/>
          <w:szCs w:val="20"/>
          <w:lang w:val="es-CR"/>
        </w:rPr>
        <w:t xml:space="preserve"> </w:t>
      </w:r>
      <w:r w:rsidRPr="002B4E6D">
        <w:rPr>
          <w:rFonts w:eastAsia="Verdana" w:cs="Verdana"/>
          <w:szCs w:val="20"/>
          <w:lang w:val="es-CR"/>
        </w:rPr>
        <w:t>gobierno</w:t>
      </w:r>
      <w:r w:rsidR="000A2B48" w:rsidRPr="002B4E6D">
        <w:rPr>
          <w:rFonts w:eastAsia="Verdana" w:cs="Verdana"/>
          <w:szCs w:val="20"/>
          <w:lang w:val="es-CR"/>
        </w:rPr>
        <w:t xml:space="preserve"> federal. </w:t>
      </w:r>
      <w:r w:rsidR="00F81245" w:rsidRPr="002B4E6D">
        <w:rPr>
          <w:rFonts w:eastAsia="Verdana" w:cs="Verdana"/>
          <w:szCs w:val="20"/>
          <w:lang w:val="es-CR"/>
        </w:rPr>
        <w:t xml:space="preserve">A </w:t>
      </w:r>
      <w:r w:rsidRPr="002B4E6D">
        <w:rPr>
          <w:rFonts w:eastAsia="Verdana" w:cs="Verdana"/>
          <w:szCs w:val="20"/>
          <w:lang w:val="es-CR"/>
        </w:rPr>
        <w:t>eso</w:t>
      </w:r>
      <w:r w:rsidR="00F81245" w:rsidRPr="002B4E6D">
        <w:rPr>
          <w:rFonts w:eastAsia="Verdana" w:cs="Verdana"/>
          <w:szCs w:val="20"/>
          <w:lang w:val="es-CR"/>
        </w:rPr>
        <w:t xml:space="preserve"> se </w:t>
      </w:r>
      <w:r w:rsidRPr="002B4E6D">
        <w:rPr>
          <w:rFonts w:eastAsia="Verdana" w:cs="Verdana"/>
          <w:szCs w:val="20"/>
          <w:lang w:val="es-CR"/>
        </w:rPr>
        <w:t>sumó el</w:t>
      </w:r>
      <w:r w:rsidR="00F81245" w:rsidRPr="002B4E6D">
        <w:rPr>
          <w:rFonts w:eastAsia="Verdana" w:cs="Verdana"/>
          <w:szCs w:val="20"/>
          <w:lang w:val="es-CR"/>
        </w:rPr>
        <w:t xml:space="preserve"> </w:t>
      </w:r>
      <w:r w:rsidRPr="002B4E6D">
        <w:rPr>
          <w:rFonts w:eastAsia="Verdana" w:cs="Verdana"/>
          <w:szCs w:val="20"/>
          <w:lang w:val="es-CR"/>
        </w:rPr>
        <w:t>hecho</w:t>
      </w:r>
      <w:r w:rsidR="00F81245" w:rsidRPr="002B4E6D">
        <w:rPr>
          <w:rFonts w:eastAsia="Verdana" w:cs="Verdana"/>
          <w:szCs w:val="20"/>
          <w:lang w:val="es-CR"/>
        </w:rPr>
        <w:t xml:space="preserve"> de que</w:t>
      </w:r>
      <w:r w:rsidR="000A2B48" w:rsidRPr="002B4E6D">
        <w:rPr>
          <w:rFonts w:eastAsia="Verdana" w:cs="Verdana"/>
          <w:szCs w:val="20"/>
          <w:lang w:val="es-CR"/>
        </w:rPr>
        <w:t xml:space="preserve"> </w:t>
      </w:r>
      <w:r w:rsidRPr="002B4E6D">
        <w:rPr>
          <w:rFonts w:eastAsia="Verdana" w:cs="Verdana"/>
          <w:szCs w:val="20"/>
          <w:lang w:val="es-CR"/>
        </w:rPr>
        <w:t>el</w:t>
      </w:r>
      <w:r w:rsidR="000A2B48" w:rsidRPr="002B4E6D">
        <w:rPr>
          <w:rFonts w:eastAsia="Verdana" w:cs="Verdana"/>
          <w:szCs w:val="20"/>
          <w:lang w:val="es-CR"/>
        </w:rPr>
        <w:t xml:space="preserve"> DEPEN, originalmente vinculado </w:t>
      </w:r>
      <w:r w:rsidRPr="002B4E6D">
        <w:rPr>
          <w:rFonts w:eastAsia="Verdana" w:cs="Verdana"/>
          <w:szCs w:val="20"/>
          <w:lang w:val="es-CR"/>
        </w:rPr>
        <w:t>al</w:t>
      </w:r>
      <w:r w:rsidR="000A2B48" w:rsidRPr="002B4E6D">
        <w:rPr>
          <w:rFonts w:eastAsia="Verdana" w:cs="Verdana"/>
          <w:szCs w:val="20"/>
          <w:lang w:val="es-CR"/>
        </w:rPr>
        <w:t xml:space="preserve"> </w:t>
      </w:r>
      <w:r w:rsidRPr="002B4E6D">
        <w:rPr>
          <w:rFonts w:eastAsia="Verdana" w:cs="Verdana"/>
          <w:szCs w:val="20"/>
          <w:lang w:val="es-CR"/>
        </w:rPr>
        <w:t>Ministerio</w:t>
      </w:r>
      <w:r w:rsidR="000A2B48" w:rsidRPr="002B4E6D">
        <w:rPr>
          <w:rFonts w:eastAsia="Verdana" w:cs="Verdana"/>
          <w:szCs w:val="20"/>
          <w:lang w:val="es-CR"/>
        </w:rPr>
        <w:t xml:space="preserve"> </w:t>
      </w:r>
      <w:r w:rsidRPr="002B4E6D">
        <w:rPr>
          <w:rFonts w:eastAsia="Verdana" w:cs="Verdana"/>
          <w:szCs w:val="20"/>
          <w:lang w:val="es-CR"/>
        </w:rPr>
        <w:t>de</w:t>
      </w:r>
      <w:r w:rsidR="000A2B48" w:rsidRPr="002B4E6D">
        <w:rPr>
          <w:rFonts w:eastAsia="Verdana" w:cs="Verdana"/>
          <w:szCs w:val="20"/>
          <w:lang w:val="es-CR"/>
        </w:rPr>
        <w:t xml:space="preserve"> </w:t>
      </w:r>
      <w:r w:rsidR="000D1815" w:rsidRPr="002B4E6D">
        <w:rPr>
          <w:rFonts w:eastAsia="Verdana" w:cs="Verdana"/>
          <w:szCs w:val="20"/>
          <w:lang w:val="es-CR"/>
        </w:rPr>
        <w:t>Justicia</w:t>
      </w:r>
      <w:r w:rsidR="000A2B48" w:rsidRPr="002B4E6D">
        <w:rPr>
          <w:rFonts w:eastAsia="Verdana" w:cs="Verdana"/>
          <w:szCs w:val="20"/>
          <w:lang w:val="es-CR"/>
        </w:rPr>
        <w:t xml:space="preserve">, </w:t>
      </w:r>
      <w:r w:rsidRPr="002B4E6D">
        <w:rPr>
          <w:rFonts w:eastAsia="Verdana" w:cs="Verdana"/>
          <w:szCs w:val="20"/>
          <w:lang w:val="es-CR"/>
        </w:rPr>
        <w:t>pasó</w:t>
      </w:r>
      <w:r w:rsidR="000A2B48" w:rsidRPr="002B4E6D">
        <w:rPr>
          <w:rFonts w:eastAsia="Verdana" w:cs="Verdana"/>
          <w:szCs w:val="20"/>
          <w:lang w:val="es-CR"/>
        </w:rPr>
        <w:t xml:space="preserve"> a integrar </w:t>
      </w:r>
      <w:r w:rsidRPr="002B4E6D">
        <w:rPr>
          <w:rFonts w:eastAsia="Verdana" w:cs="Verdana"/>
          <w:szCs w:val="20"/>
          <w:lang w:val="es-CR"/>
        </w:rPr>
        <w:t>el</w:t>
      </w:r>
      <w:r w:rsidR="000A2B48" w:rsidRPr="002B4E6D">
        <w:rPr>
          <w:rFonts w:eastAsia="Verdana" w:cs="Verdana"/>
          <w:szCs w:val="20"/>
          <w:lang w:val="es-CR"/>
        </w:rPr>
        <w:t xml:space="preserve"> </w:t>
      </w:r>
      <w:r w:rsidRPr="002B4E6D">
        <w:rPr>
          <w:rFonts w:eastAsia="Verdana" w:cs="Verdana"/>
          <w:szCs w:val="20"/>
          <w:lang w:val="es-CR"/>
        </w:rPr>
        <w:t xml:space="preserve">recién </w:t>
      </w:r>
      <w:r w:rsidR="009E7D65" w:rsidRPr="002B4E6D">
        <w:rPr>
          <w:rFonts w:eastAsia="Verdana" w:cs="Verdana"/>
          <w:szCs w:val="20"/>
          <w:lang w:val="es-CR"/>
        </w:rPr>
        <w:t>cr</w:t>
      </w:r>
      <w:r w:rsidRPr="002B4E6D">
        <w:rPr>
          <w:rFonts w:eastAsia="Verdana" w:cs="Verdana"/>
          <w:szCs w:val="20"/>
          <w:lang w:val="es-CR"/>
        </w:rPr>
        <w:t>e</w:t>
      </w:r>
      <w:r w:rsidR="009E7D65" w:rsidRPr="002B4E6D">
        <w:rPr>
          <w:rFonts w:eastAsia="Verdana" w:cs="Verdana"/>
          <w:szCs w:val="20"/>
          <w:lang w:val="es-CR"/>
        </w:rPr>
        <w:t>ado</w:t>
      </w:r>
      <w:r w:rsidR="000A2B48" w:rsidRPr="002B4E6D">
        <w:rPr>
          <w:rFonts w:eastAsia="Verdana" w:cs="Verdana"/>
          <w:szCs w:val="20"/>
          <w:lang w:val="es-CR"/>
        </w:rPr>
        <w:t xml:space="preserve"> </w:t>
      </w:r>
      <w:r w:rsidRPr="002B4E6D">
        <w:rPr>
          <w:rFonts w:eastAsia="Verdana" w:cs="Verdana"/>
          <w:szCs w:val="20"/>
          <w:lang w:val="es-CR"/>
        </w:rPr>
        <w:t>Ministerio</w:t>
      </w:r>
      <w:r w:rsidR="000A2B48" w:rsidRPr="002B4E6D">
        <w:rPr>
          <w:rFonts w:eastAsia="Verdana" w:cs="Verdana"/>
          <w:szCs w:val="20"/>
          <w:lang w:val="es-CR"/>
        </w:rPr>
        <w:t xml:space="preserve"> </w:t>
      </w:r>
      <w:r w:rsidRPr="002B4E6D">
        <w:rPr>
          <w:rFonts w:eastAsia="Verdana" w:cs="Verdana"/>
          <w:szCs w:val="20"/>
          <w:lang w:val="es-CR"/>
        </w:rPr>
        <w:t>Extraordinario</w:t>
      </w:r>
      <w:r w:rsidR="008B347C" w:rsidRPr="002B4E6D">
        <w:rPr>
          <w:rFonts w:eastAsia="Verdana" w:cs="Verdana"/>
          <w:szCs w:val="20"/>
          <w:lang w:val="es-CR"/>
        </w:rPr>
        <w:t xml:space="preserve"> de </w:t>
      </w:r>
      <w:r w:rsidR="00FA02D6" w:rsidRPr="002B4E6D">
        <w:rPr>
          <w:rFonts w:eastAsia="Verdana" w:cs="Verdana"/>
          <w:szCs w:val="20"/>
          <w:lang w:val="es-CR"/>
        </w:rPr>
        <w:t>Seguridad</w:t>
      </w:r>
      <w:r w:rsidR="008B347C" w:rsidRPr="002B4E6D">
        <w:rPr>
          <w:rFonts w:eastAsia="Verdana" w:cs="Verdana"/>
          <w:szCs w:val="20"/>
          <w:lang w:val="es-CR"/>
        </w:rPr>
        <w:t xml:space="preserve"> Pública (MESP). </w:t>
      </w:r>
      <w:r w:rsidRPr="002B4E6D">
        <w:rPr>
          <w:rFonts w:eastAsia="Verdana" w:cs="Verdana"/>
          <w:szCs w:val="20"/>
          <w:lang w:val="es-CR"/>
        </w:rPr>
        <w:t>Según</w:t>
      </w:r>
      <w:r w:rsidR="008B347C" w:rsidRPr="002B4E6D">
        <w:rPr>
          <w:rFonts w:eastAsia="Verdana" w:cs="Verdana"/>
          <w:szCs w:val="20"/>
          <w:lang w:val="es-CR"/>
        </w:rPr>
        <w:t xml:space="preserve"> </w:t>
      </w:r>
      <w:r w:rsidRPr="002B4E6D">
        <w:rPr>
          <w:rFonts w:eastAsia="Verdana" w:cs="Verdana"/>
          <w:szCs w:val="20"/>
          <w:lang w:val="es-CR"/>
        </w:rPr>
        <w:t>el</w:t>
      </w:r>
      <w:r w:rsidR="008B347C" w:rsidRPr="002B4E6D">
        <w:rPr>
          <w:rFonts w:eastAsia="Verdana" w:cs="Verdana"/>
          <w:szCs w:val="20"/>
          <w:lang w:val="es-CR"/>
        </w:rPr>
        <w:t xml:space="preserve"> Estado, </w:t>
      </w:r>
      <w:r w:rsidRPr="002B4E6D">
        <w:rPr>
          <w:rFonts w:eastAsia="Verdana" w:cs="Verdana"/>
          <w:szCs w:val="20"/>
          <w:lang w:val="es-CR"/>
        </w:rPr>
        <w:t>esos</w:t>
      </w:r>
      <w:r w:rsidR="009E7D65" w:rsidRPr="002B4E6D">
        <w:rPr>
          <w:rFonts w:eastAsia="Verdana" w:cs="Verdana"/>
          <w:szCs w:val="20"/>
          <w:lang w:val="es-CR"/>
        </w:rPr>
        <w:t xml:space="preserve"> fa</w:t>
      </w:r>
      <w:r w:rsidRPr="002B4E6D">
        <w:rPr>
          <w:rFonts w:eastAsia="Verdana" w:cs="Verdana"/>
          <w:szCs w:val="20"/>
          <w:lang w:val="es-CR"/>
        </w:rPr>
        <w:t>c</w:t>
      </w:r>
      <w:r w:rsidR="009E7D65" w:rsidRPr="002B4E6D">
        <w:rPr>
          <w:rFonts w:eastAsia="Verdana" w:cs="Verdana"/>
          <w:szCs w:val="20"/>
          <w:lang w:val="es-CR"/>
        </w:rPr>
        <w:t xml:space="preserve">tores </w:t>
      </w:r>
      <w:r w:rsidRPr="002B4E6D">
        <w:rPr>
          <w:rFonts w:eastAsia="Verdana" w:cs="Verdana"/>
          <w:szCs w:val="20"/>
          <w:lang w:val="es-CR"/>
        </w:rPr>
        <w:t>habrían</w:t>
      </w:r>
      <w:r w:rsidR="009E7D65" w:rsidRPr="002B4E6D">
        <w:rPr>
          <w:rFonts w:eastAsia="Verdana" w:cs="Verdana"/>
          <w:szCs w:val="20"/>
          <w:lang w:val="es-CR"/>
        </w:rPr>
        <w:t xml:space="preserve"> ocasionad</w:t>
      </w:r>
      <w:r w:rsidRPr="002B4E6D">
        <w:rPr>
          <w:rFonts w:eastAsia="Verdana" w:cs="Verdana"/>
          <w:szCs w:val="20"/>
          <w:lang w:val="es-CR"/>
        </w:rPr>
        <w:t>o</w:t>
      </w:r>
      <w:r w:rsidR="009E7D65" w:rsidRPr="002B4E6D">
        <w:rPr>
          <w:rFonts w:eastAsia="Verdana" w:cs="Verdana"/>
          <w:szCs w:val="20"/>
          <w:lang w:val="es-CR"/>
        </w:rPr>
        <w:t xml:space="preserve"> </w:t>
      </w:r>
      <w:r w:rsidRPr="002B4E6D">
        <w:rPr>
          <w:rFonts w:eastAsia="Verdana" w:cs="Verdana"/>
          <w:szCs w:val="20"/>
          <w:lang w:val="es-CR"/>
        </w:rPr>
        <w:t>la</w:t>
      </w:r>
      <w:r w:rsidR="009E7D65" w:rsidRPr="002B4E6D">
        <w:rPr>
          <w:rFonts w:eastAsia="Verdana" w:cs="Verdana"/>
          <w:szCs w:val="20"/>
          <w:lang w:val="es-CR"/>
        </w:rPr>
        <w:t xml:space="preserve"> posterga</w:t>
      </w:r>
      <w:r w:rsidR="00AA1A37" w:rsidRPr="002B4E6D">
        <w:rPr>
          <w:rFonts w:eastAsia="Verdana" w:cs="Verdana"/>
          <w:szCs w:val="20"/>
          <w:lang w:val="es-CR"/>
        </w:rPr>
        <w:t>ción</w:t>
      </w:r>
      <w:r w:rsidR="009E7D65" w:rsidRPr="002B4E6D">
        <w:rPr>
          <w:rFonts w:eastAsia="Verdana" w:cs="Verdana"/>
          <w:szCs w:val="20"/>
          <w:lang w:val="es-CR"/>
        </w:rPr>
        <w:t xml:space="preserve"> </w:t>
      </w:r>
      <w:r w:rsidRPr="002B4E6D">
        <w:rPr>
          <w:rFonts w:eastAsia="Verdana" w:cs="Verdana"/>
          <w:szCs w:val="20"/>
          <w:lang w:val="es-CR"/>
        </w:rPr>
        <w:t>de la</w:t>
      </w:r>
      <w:r w:rsidR="009E7D65" w:rsidRPr="002B4E6D">
        <w:rPr>
          <w:rFonts w:eastAsia="Verdana" w:cs="Verdana"/>
          <w:szCs w:val="20"/>
          <w:lang w:val="es-CR"/>
        </w:rPr>
        <w:t xml:space="preserve"> elabora</w:t>
      </w:r>
      <w:r w:rsidR="00AA1A37" w:rsidRPr="002B4E6D">
        <w:rPr>
          <w:rFonts w:eastAsia="Verdana" w:cs="Verdana"/>
          <w:szCs w:val="20"/>
          <w:lang w:val="es-CR"/>
        </w:rPr>
        <w:t>ción</w:t>
      </w:r>
      <w:r w:rsidRPr="002B4E6D">
        <w:rPr>
          <w:rFonts w:eastAsia="Verdana" w:cs="Verdana"/>
          <w:szCs w:val="20"/>
          <w:lang w:val="es-CR"/>
        </w:rPr>
        <w:t xml:space="preserve"> del Plan </w:t>
      </w:r>
      <w:r w:rsidR="009E7D65" w:rsidRPr="002B4E6D">
        <w:rPr>
          <w:rFonts w:eastAsia="Verdana" w:cs="Verdana"/>
          <w:szCs w:val="20"/>
          <w:lang w:val="es-CR"/>
        </w:rPr>
        <w:t xml:space="preserve">de Contingencia para </w:t>
      </w:r>
      <w:r w:rsidRPr="002B4E6D">
        <w:rPr>
          <w:rFonts w:eastAsia="Verdana" w:cs="Verdana"/>
          <w:szCs w:val="20"/>
          <w:lang w:val="es-CR"/>
        </w:rPr>
        <w:t>el</w:t>
      </w:r>
      <w:r w:rsidR="004F26AD">
        <w:rPr>
          <w:rFonts w:eastAsia="Verdana" w:cs="Verdana"/>
          <w:szCs w:val="20"/>
          <w:lang w:val="es-CR"/>
        </w:rPr>
        <w:t xml:space="preserve"> IPPSC.</w:t>
      </w:r>
    </w:p>
    <w:p w14:paraId="113EB411" w14:textId="77777777" w:rsidR="009E7D65" w:rsidRPr="002B4E6D" w:rsidRDefault="009E7D65" w:rsidP="00A562C5">
      <w:pPr>
        <w:pStyle w:val="ListParagraph"/>
        <w:ind w:left="0"/>
        <w:rPr>
          <w:rFonts w:eastAsia="Verdana" w:cs="Verdana"/>
          <w:szCs w:val="20"/>
          <w:lang w:val="es-CR"/>
        </w:rPr>
      </w:pPr>
    </w:p>
    <w:p w14:paraId="249E3DB9" w14:textId="6E50FB98" w:rsidR="009E7D65" w:rsidRPr="002B4E6D" w:rsidRDefault="0070515A" w:rsidP="00A562C5">
      <w:pPr>
        <w:pStyle w:val="ListParagraph"/>
        <w:numPr>
          <w:ilvl w:val="0"/>
          <w:numId w:val="20"/>
        </w:numPr>
        <w:snapToGrid w:val="0"/>
        <w:ind w:left="0" w:firstLine="0"/>
        <w:contextualSpacing w:val="0"/>
        <w:rPr>
          <w:rFonts w:eastAsia="Verdana" w:cs="Verdana"/>
          <w:szCs w:val="20"/>
          <w:lang w:val="es-CR"/>
        </w:rPr>
      </w:pPr>
      <w:r w:rsidRPr="002B4E6D">
        <w:rPr>
          <w:rFonts w:eastAsia="Verdana" w:cs="Verdana"/>
          <w:szCs w:val="20"/>
          <w:lang w:val="es-CR"/>
        </w:rPr>
        <w:t>El</w:t>
      </w:r>
      <w:r w:rsidR="009E7D65" w:rsidRPr="002B4E6D">
        <w:rPr>
          <w:rFonts w:eastAsia="Verdana" w:cs="Verdana"/>
          <w:szCs w:val="20"/>
          <w:lang w:val="es-CR"/>
        </w:rPr>
        <w:t xml:space="preserve"> Estado </w:t>
      </w:r>
      <w:r w:rsidRPr="002B4E6D">
        <w:rPr>
          <w:rFonts w:eastAsia="Verdana" w:cs="Verdana"/>
          <w:szCs w:val="20"/>
          <w:lang w:val="es-CR"/>
        </w:rPr>
        <w:t>afirmó</w:t>
      </w:r>
      <w:r w:rsidR="009E7D65" w:rsidRPr="002B4E6D">
        <w:rPr>
          <w:rFonts w:eastAsia="Verdana" w:cs="Verdana"/>
          <w:szCs w:val="20"/>
          <w:lang w:val="es-CR"/>
        </w:rPr>
        <w:t xml:space="preserve"> estar </w:t>
      </w:r>
      <w:r w:rsidRPr="002B4E6D">
        <w:rPr>
          <w:rFonts w:eastAsia="Verdana" w:cs="Verdana"/>
          <w:szCs w:val="20"/>
          <w:lang w:val="es-CR"/>
        </w:rPr>
        <w:t>evaluando</w:t>
      </w:r>
      <w:r w:rsidR="009E7D65" w:rsidRPr="002B4E6D">
        <w:rPr>
          <w:rFonts w:eastAsia="Verdana" w:cs="Verdana"/>
          <w:szCs w:val="20"/>
          <w:lang w:val="es-CR"/>
        </w:rPr>
        <w:t xml:space="preserve"> </w:t>
      </w:r>
      <w:r w:rsidRPr="002B4E6D">
        <w:rPr>
          <w:rFonts w:eastAsia="Verdana" w:cs="Verdana"/>
          <w:szCs w:val="20"/>
          <w:lang w:val="es-CR"/>
        </w:rPr>
        <w:t>el</w:t>
      </w:r>
      <w:r w:rsidR="009E7D65" w:rsidRPr="002B4E6D">
        <w:rPr>
          <w:rFonts w:eastAsia="Verdana" w:cs="Verdana"/>
          <w:szCs w:val="20"/>
          <w:lang w:val="es-CR"/>
        </w:rPr>
        <w:t xml:space="preserve"> momento oportuno para </w:t>
      </w:r>
      <w:r w:rsidRPr="002B4E6D">
        <w:rPr>
          <w:rFonts w:eastAsia="Verdana" w:cs="Verdana"/>
          <w:szCs w:val="20"/>
          <w:lang w:val="es-CR"/>
        </w:rPr>
        <w:t>l</w:t>
      </w:r>
      <w:r w:rsidR="009E7D65" w:rsidRPr="002B4E6D">
        <w:rPr>
          <w:rFonts w:eastAsia="Verdana" w:cs="Verdana"/>
          <w:szCs w:val="20"/>
          <w:lang w:val="es-CR"/>
        </w:rPr>
        <w:t xml:space="preserve">a </w:t>
      </w:r>
      <w:r w:rsidR="00492526">
        <w:rPr>
          <w:rFonts w:eastAsia="Verdana" w:cs="Verdana"/>
          <w:szCs w:val="20"/>
          <w:lang w:val="es-CR"/>
        </w:rPr>
        <w:t>realización</w:t>
      </w:r>
      <w:r w:rsidR="009E7D65" w:rsidRPr="002B4E6D">
        <w:rPr>
          <w:rFonts w:eastAsia="Verdana" w:cs="Verdana"/>
          <w:szCs w:val="20"/>
          <w:lang w:val="es-CR"/>
        </w:rPr>
        <w:t xml:space="preserve"> de </w:t>
      </w:r>
      <w:r w:rsidRPr="002B4E6D">
        <w:rPr>
          <w:rFonts w:eastAsia="Verdana" w:cs="Verdana"/>
          <w:szCs w:val="20"/>
          <w:lang w:val="es-CR"/>
        </w:rPr>
        <w:t>una</w:t>
      </w:r>
      <w:r w:rsidR="009E7D65" w:rsidRPr="002B4E6D">
        <w:rPr>
          <w:rFonts w:eastAsia="Verdana" w:cs="Verdana"/>
          <w:szCs w:val="20"/>
          <w:lang w:val="es-CR"/>
        </w:rPr>
        <w:t xml:space="preserve"> visita </w:t>
      </w:r>
      <w:r w:rsidR="009E7D65" w:rsidRPr="002B4E6D">
        <w:rPr>
          <w:rFonts w:eastAsia="Verdana" w:cs="Verdana"/>
          <w:i/>
          <w:szCs w:val="20"/>
          <w:lang w:val="es-CR"/>
        </w:rPr>
        <w:t xml:space="preserve">in loco </w:t>
      </w:r>
      <w:r w:rsidRPr="002B4E6D">
        <w:rPr>
          <w:rFonts w:eastAsia="Verdana" w:cs="Verdana"/>
          <w:szCs w:val="20"/>
          <w:lang w:val="es-CR"/>
        </w:rPr>
        <w:t>al</w:t>
      </w:r>
      <w:r w:rsidR="009E7D65" w:rsidRPr="002B4E6D">
        <w:rPr>
          <w:rFonts w:eastAsia="Verdana" w:cs="Verdana"/>
          <w:szCs w:val="20"/>
          <w:lang w:val="es-CR"/>
        </w:rPr>
        <w:t xml:space="preserve"> IPPSC, para </w:t>
      </w:r>
      <w:r w:rsidR="00924C45">
        <w:rPr>
          <w:rFonts w:eastAsia="Verdana" w:cs="Verdana"/>
          <w:szCs w:val="20"/>
          <w:lang w:val="es-CR"/>
        </w:rPr>
        <w:t>elabora</w:t>
      </w:r>
      <w:r w:rsidR="009E7D65" w:rsidRPr="002B4E6D">
        <w:rPr>
          <w:rFonts w:eastAsia="Verdana" w:cs="Verdana"/>
          <w:szCs w:val="20"/>
          <w:lang w:val="es-CR"/>
        </w:rPr>
        <w:t>r</w:t>
      </w:r>
      <w:r w:rsidR="00F81245" w:rsidRPr="002B4E6D">
        <w:rPr>
          <w:rFonts w:eastAsia="Verdana" w:cs="Verdana"/>
          <w:szCs w:val="20"/>
          <w:lang w:val="es-CR"/>
        </w:rPr>
        <w:t xml:space="preserve"> </w:t>
      </w:r>
      <w:r w:rsidRPr="002B4E6D">
        <w:rPr>
          <w:rFonts w:eastAsia="Verdana" w:cs="Verdana"/>
          <w:szCs w:val="20"/>
          <w:lang w:val="es-CR"/>
        </w:rPr>
        <w:t>el</w:t>
      </w:r>
      <w:r w:rsidR="009F2D9E">
        <w:rPr>
          <w:rFonts w:eastAsia="Verdana" w:cs="Verdana"/>
          <w:szCs w:val="20"/>
          <w:lang w:val="es-CR"/>
        </w:rPr>
        <w:t xml:space="preserve"> Plan</w:t>
      </w:r>
      <w:r w:rsidR="00F81245" w:rsidRPr="002B4E6D">
        <w:rPr>
          <w:rFonts w:eastAsia="Verdana" w:cs="Verdana"/>
          <w:szCs w:val="20"/>
          <w:lang w:val="es-CR"/>
        </w:rPr>
        <w:t xml:space="preserve"> de </w:t>
      </w:r>
      <w:r w:rsidRPr="002B4E6D">
        <w:rPr>
          <w:rFonts w:eastAsia="Verdana" w:cs="Verdana"/>
          <w:szCs w:val="20"/>
          <w:lang w:val="es-CR"/>
        </w:rPr>
        <w:t>Contingencia</w:t>
      </w:r>
      <w:r w:rsidR="004F26AD">
        <w:rPr>
          <w:rFonts w:eastAsia="Verdana" w:cs="Verdana"/>
          <w:szCs w:val="20"/>
          <w:lang w:val="es-CR"/>
        </w:rPr>
        <w:t>.</w:t>
      </w:r>
      <w:r w:rsidR="009E7D65" w:rsidRPr="002B4E6D">
        <w:rPr>
          <w:rFonts w:eastAsia="Verdana" w:cs="Verdana"/>
          <w:szCs w:val="20"/>
          <w:lang w:val="es-CR"/>
        </w:rPr>
        <w:t xml:space="preserve"> </w:t>
      </w:r>
    </w:p>
    <w:p w14:paraId="43B45B0E" w14:textId="77777777" w:rsidR="00692A11" w:rsidRPr="002B4E6D" w:rsidRDefault="00692A11" w:rsidP="00A562C5">
      <w:pPr>
        <w:rPr>
          <w:b/>
          <w:i/>
          <w:szCs w:val="20"/>
          <w:lang w:val="es-CR"/>
        </w:rPr>
      </w:pPr>
    </w:p>
    <w:p w14:paraId="7FDD5699" w14:textId="61CAB154" w:rsidR="00EA35E5" w:rsidRPr="002B4E6D" w:rsidRDefault="00E90CDB" w:rsidP="006D31D9">
      <w:pPr>
        <w:pStyle w:val="ListParagraph"/>
        <w:numPr>
          <w:ilvl w:val="0"/>
          <w:numId w:val="9"/>
        </w:numPr>
        <w:snapToGrid w:val="0"/>
        <w:rPr>
          <w:b/>
          <w:i/>
          <w:szCs w:val="20"/>
          <w:lang w:val="es-CR"/>
        </w:rPr>
      </w:pPr>
      <w:r w:rsidRPr="002B4E6D">
        <w:rPr>
          <w:b/>
          <w:i/>
          <w:szCs w:val="20"/>
          <w:lang w:val="es-CR"/>
        </w:rPr>
        <w:t>Con</w:t>
      </w:r>
      <w:r w:rsidR="009E7BBE">
        <w:rPr>
          <w:b/>
          <w:i/>
          <w:szCs w:val="20"/>
          <w:lang w:val="es-CR"/>
        </w:rPr>
        <w:t>sideraciones de la Corte</w:t>
      </w:r>
      <w:r w:rsidR="00D97D4E" w:rsidRPr="002B4E6D">
        <w:rPr>
          <w:b/>
          <w:i/>
          <w:szCs w:val="20"/>
          <w:lang w:val="es-CR"/>
        </w:rPr>
        <w:t xml:space="preserve"> </w:t>
      </w:r>
    </w:p>
    <w:p w14:paraId="514DB219" w14:textId="2702CC05" w:rsidR="00EA35E5" w:rsidRPr="002B4E6D" w:rsidRDefault="00EA35E5" w:rsidP="00EA35E5">
      <w:pPr>
        <w:pStyle w:val="Default"/>
        <w:rPr>
          <w:sz w:val="20"/>
          <w:szCs w:val="20"/>
          <w:lang w:val="es-CR"/>
        </w:rPr>
      </w:pPr>
      <w:r w:rsidRPr="002B4E6D">
        <w:rPr>
          <w:szCs w:val="20"/>
          <w:lang w:val="es-CR"/>
        </w:rPr>
        <w:tab/>
      </w:r>
      <w:r w:rsidRPr="002B4E6D">
        <w:rPr>
          <w:sz w:val="20"/>
          <w:szCs w:val="20"/>
          <w:lang w:val="es-CR"/>
        </w:rPr>
        <w:t xml:space="preserve"> </w:t>
      </w:r>
    </w:p>
    <w:p w14:paraId="1F2F6A4A" w14:textId="75FE69CF" w:rsidR="00EA35E5" w:rsidRPr="002B4E6D" w:rsidRDefault="00E90CDB" w:rsidP="00AB2DC4">
      <w:pPr>
        <w:pStyle w:val="ListParagraph"/>
        <w:numPr>
          <w:ilvl w:val="0"/>
          <w:numId w:val="20"/>
        </w:numPr>
        <w:snapToGrid w:val="0"/>
        <w:ind w:left="0" w:firstLine="0"/>
        <w:contextualSpacing w:val="0"/>
        <w:rPr>
          <w:szCs w:val="20"/>
          <w:lang w:val="es-CR"/>
        </w:rPr>
      </w:pPr>
      <w:r w:rsidRPr="002B4E6D">
        <w:rPr>
          <w:szCs w:val="20"/>
          <w:lang w:val="es-CR"/>
        </w:rPr>
        <w:t>La</w:t>
      </w:r>
      <w:r w:rsidR="00EA35E5" w:rsidRPr="002B4E6D">
        <w:rPr>
          <w:szCs w:val="20"/>
          <w:lang w:val="es-CR"/>
        </w:rPr>
        <w:t xml:space="preserve"> Corte toma nota </w:t>
      </w:r>
      <w:r w:rsidRPr="002B4E6D">
        <w:rPr>
          <w:szCs w:val="20"/>
          <w:lang w:val="es-CR"/>
        </w:rPr>
        <w:t>de los</w:t>
      </w:r>
      <w:r w:rsidR="008505A2" w:rsidRPr="002B4E6D">
        <w:rPr>
          <w:szCs w:val="20"/>
          <w:lang w:val="es-CR"/>
        </w:rPr>
        <w:t xml:space="preserve"> </w:t>
      </w:r>
      <w:r w:rsidR="00051A80" w:rsidRPr="002B4E6D">
        <w:rPr>
          <w:szCs w:val="20"/>
          <w:lang w:val="es-CR"/>
        </w:rPr>
        <w:t>esfuerzo</w:t>
      </w:r>
      <w:r w:rsidR="008505A2" w:rsidRPr="002B4E6D">
        <w:rPr>
          <w:szCs w:val="20"/>
          <w:lang w:val="es-CR"/>
        </w:rPr>
        <w:t xml:space="preserve">s </w:t>
      </w:r>
      <w:r w:rsidR="00374C34">
        <w:rPr>
          <w:szCs w:val="20"/>
          <w:lang w:val="es-CR"/>
        </w:rPr>
        <w:t>realizados</w:t>
      </w:r>
      <w:r w:rsidR="008505A2" w:rsidRPr="002B4E6D">
        <w:rPr>
          <w:szCs w:val="20"/>
          <w:lang w:val="es-CR"/>
        </w:rPr>
        <w:t xml:space="preserve"> </w:t>
      </w:r>
      <w:r w:rsidRPr="002B4E6D">
        <w:rPr>
          <w:szCs w:val="20"/>
          <w:lang w:val="es-CR"/>
        </w:rPr>
        <w:t>por el</w:t>
      </w:r>
      <w:r w:rsidR="008505A2" w:rsidRPr="002B4E6D">
        <w:rPr>
          <w:szCs w:val="20"/>
          <w:lang w:val="es-CR"/>
        </w:rPr>
        <w:t xml:space="preserve"> Estado, principalmente</w:t>
      </w:r>
      <w:r w:rsidR="00491719">
        <w:rPr>
          <w:szCs w:val="20"/>
          <w:lang w:val="es-CR"/>
        </w:rPr>
        <w:t>,</w:t>
      </w:r>
      <w:r w:rsidR="008505A2" w:rsidRPr="002B4E6D">
        <w:rPr>
          <w:szCs w:val="20"/>
          <w:lang w:val="es-CR"/>
        </w:rPr>
        <w:t xml:space="preserve"> </w:t>
      </w:r>
      <w:r w:rsidRPr="002B4E6D">
        <w:rPr>
          <w:szCs w:val="20"/>
          <w:lang w:val="es-CR"/>
        </w:rPr>
        <w:t>la</w:t>
      </w:r>
      <w:r w:rsidR="008505A2" w:rsidRPr="002B4E6D">
        <w:rPr>
          <w:szCs w:val="20"/>
          <w:lang w:val="es-CR"/>
        </w:rPr>
        <w:t xml:space="preserve"> elabora</w:t>
      </w:r>
      <w:r w:rsidR="00AA1A37" w:rsidRPr="002B4E6D">
        <w:rPr>
          <w:szCs w:val="20"/>
          <w:lang w:val="es-CR"/>
        </w:rPr>
        <w:t>ción</w:t>
      </w:r>
      <w:r w:rsidR="008505A2" w:rsidRPr="002B4E6D">
        <w:rPr>
          <w:szCs w:val="20"/>
          <w:lang w:val="es-CR"/>
        </w:rPr>
        <w:t xml:space="preserve"> </w:t>
      </w:r>
      <w:r w:rsidRPr="002B4E6D">
        <w:rPr>
          <w:szCs w:val="20"/>
          <w:lang w:val="es-CR"/>
        </w:rPr>
        <w:t>del</w:t>
      </w:r>
      <w:r w:rsidR="008505A2" w:rsidRPr="002B4E6D">
        <w:rPr>
          <w:szCs w:val="20"/>
          <w:lang w:val="es-CR"/>
        </w:rPr>
        <w:t xml:space="preserve"> Diagnóstico Técnico </w:t>
      </w:r>
      <w:r w:rsidRPr="002B4E6D">
        <w:rPr>
          <w:szCs w:val="20"/>
          <w:lang w:val="es-CR"/>
        </w:rPr>
        <w:t>requerido</w:t>
      </w:r>
      <w:r w:rsidR="008505A2" w:rsidRPr="002B4E6D">
        <w:rPr>
          <w:szCs w:val="20"/>
          <w:lang w:val="es-CR"/>
        </w:rPr>
        <w:t xml:space="preserve"> </w:t>
      </w:r>
      <w:r w:rsidRPr="002B4E6D">
        <w:rPr>
          <w:szCs w:val="20"/>
          <w:lang w:val="es-CR"/>
        </w:rPr>
        <w:t>en</w:t>
      </w:r>
      <w:r w:rsidR="008505A2" w:rsidRPr="002B4E6D">
        <w:rPr>
          <w:szCs w:val="20"/>
          <w:lang w:val="es-CR"/>
        </w:rPr>
        <w:t xml:space="preserve"> </w:t>
      </w:r>
      <w:r w:rsidRPr="002B4E6D">
        <w:rPr>
          <w:szCs w:val="20"/>
          <w:lang w:val="es-CR"/>
        </w:rPr>
        <w:t>su</w:t>
      </w:r>
      <w:r w:rsidR="008505A2" w:rsidRPr="002B4E6D">
        <w:rPr>
          <w:szCs w:val="20"/>
          <w:lang w:val="es-CR"/>
        </w:rPr>
        <w:t xml:space="preserve"> última resolu</w:t>
      </w:r>
      <w:r w:rsidR="00AA1A37" w:rsidRPr="002B4E6D">
        <w:rPr>
          <w:szCs w:val="20"/>
          <w:lang w:val="es-CR"/>
        </w:rPr>
        <w:t>ción</w:t>
      </w:r>
      <w:r w:rsidR="008505A2" w:rsidRPr="002B4E6D">
        <w:rPr>
          <w:szCs w:val="20"/>
          <w:lang w:val="es-CR"/>
        </w:rPr>
        <w:t xml:space="preserve"> sobre </w:t>
      </w:r>
      <w:r w:rsidRPr="002B4E6D">
        <w:rPr>
          <w:szCs w:val="20"/>
          <w:lang w:val="es-CR"/>
        </w:rPr>
        <w:t>el</w:t>
      </w:r>
      <w:r w:rsidR="008505A2" w:rsidRPr="002B4E6D">
        <w:rPr>
          <w:szCs w:val="20"/>
          <w:lang w:val="es-CR"/>
        </w:rPr>
        <w:t xml:space="preserve"> presente </w:t>
      </w:r>
      <w:r w:rsidRPr="002B4E6D">
        <w:rPr>
          <w:szCs w:val="20"/>
          <w:lang w:val="es-CR"/>
        </w:rPr>
        <w:t>asunto</w:t>
      </w:r>
      <w:r w:rsidR="008505A2" w:rsidRPr="002B4E6D">
        <w:rPr>
          <w:szCs w:val="20"/>
          <w:lang w:val="es-CR"/>
        </w:rPr>
        <w:t xml:space="preserve">. </w:t>
      </w:r>
    </w:p>
    <w:p w14:paraId="5107AC56" w14:textId="77777777" w:rsidR="005A69B7" w:rsidRPr="002B4E6D" w:rsidRDefault="005A69B7" w:rsidP="005A69B7">
      <w:pPr>
        <w:pStyle w:val="ListParagraph"/>
        <w:snapToGrid w:val="0"/>
        <w:ind w:left="0"/>
        <w:contextualSpacing w:val="0"/>
        <w:rPr>
          <w:szCs w:val="20"/>
          <w:lang w:val="es-CR"/>
        </w:rPr>
      </w:pPr>
    </w:p>
    <w:p w14:paraId="5036C4BA" w14:textId="1679E824" w:rsidR="00603D06" w:rsidRPr="002B4E6D" w:rsidRDefault="00E90CDB" w:rsidP="00603D06">
      <w:pPr>
        <w:pStyle w:val="ListParagraph"/>
        <w:numPr>
          <w:ilvl w:val="0"/>
          <w:numId w:val="20"/>
        </w:numPr>
        <w:snapToGrid w:val="0"/>
        <w:ind w:left="0" w:firstLine="0"/>
        <w:contextualSpacing w:val="0"/>
        <w:rPr>
          <w:szCs w:val="20"/>
          <w:lang w:val="es-CR"/>
        </w:rPr>
      </w:pPr>
      <w:r w:rsidRPr="002B4E6D">
        <w:rPr>
          <w:szCs w:val="20"/>
          <w:lang w:val="es-CR"/>
        </w:rPr>
        <w:t>La</w:t>
      </w:r>
      <w:r w:rsidR="00EA35E5" w:rsidRPr="002B4E6D">
        <w:rPr>
          <w:szCs w:val="20"/>
          <w:lang w:val="es-CR"/>
        </w:rPr>
        <w:t xml:space="preserve"> Corte </w:t>
      </w:r>
      <w:r w:rsidRPr="002B4E6D">
        <w:rPr>
          <w:szCs w:val="20"/>
          <w:lang w:val="es-CR"/>
        </w:rPr>
        <w:t>también</w:t>
      </w:r>
      <w:r w:rsidR="00603D06" w:rsidRPr="002B4E6D">
        <w:rPr>
          <w:szCs w:val="20"/>
          <w:lang w:val="es-CR"/>
        </w:rPr>
        <w:t xml:space="preserve"> </w:t>
      </w:r>
      <w:r w:rsidR="008505A2" w:rsidRPr="002B4E6D">
        <w:rPr>
          <w:szCs w:val="20"/>
          <w:lang w:val="es-CR"/>
        </w:rPr>
        <w:t xml:space="preserve">toma </w:t>
      </w:r>
      <w:r w:rsidR="00603D06" w:rsidRPr="002B4E6D">
        <w:rPr>
          <w:szCs w:val="20"/>
          <w:lang w:val="es-CR"/>
        </w:rPr>
        <w:t xml:space="preserve">nota </w:t>
      </w:r>
      <w:r w:rsidRPr="002B4E6D">
        <w:rPr>
          <w:szCs w:val="20"/>
          <w:lang w:val="es-CR"/>
        </w:rPr>
        <w:t>del</w:t>
      </w:r>
      <w:r w:rsidR="00EA35E5" w:rsidRPr="002B4E6D">
        <w:rPr>
          <w:szCs w:val="20"/>
          <w:lang w:val="es-CR"/>
        </w:rPr>
        <w:t xml:space="preserve"> </w:t>
      </w:r>
      <w:r w:rsidRPr="002B4E6D">
        <w:rPr>
          <w:szCs w:val="20"/>
          <w:lang w:val="es-CR"/>
        </w:rPr>
        <w:t>compromiso</w:t>
      </w:r>
      <w:r w:rsidR="00EA35E5" w:rsidRPr="002B4E6D">
        <w:rPr>
          <w:szCs w:val="20"/>
          <w:lang w:val="es-CR"/>
        </w:rPr>
        <w:t xml:space="preserve"> </w:t>
      </w:r>
      <w:r w:rsidRPr="002B4E6D">
        <w:rPr>
          <w:szCs w:val="20"/>
          <w:lang w:val="es-CR"/>
        </w:rPr>
        <w:t>expres</w:t>
      </w:r>
      <w:r w:rsidR="00374C34">
        <w:rPr>
          <w:szCs w:val="20"/>
          <w:lang w:val="es-CR"/>
        </w:rPr>
        <w:t>ado</w:t>
      </w:r>
      <w:r w:rsidR="00EA35E5" w:rsidRPr="002B4E6D">
        <w:rPr>
          <w:szCs w:val="20"/>
          <w:lang w:val="es-CR"/>
        </w:rPr>
        <w:t xml:space="preserve"> </w:t>
      </w:r>
      <w:r w:rsidRPr="002B4E6D">
        <w:rPr>
          <w:szCs w:val="20"/>
          <w:lang w:val="es-CR"/>
        </w:rPr>
        <w:t>por</w:t>
      </w:r>
      <w:r w:rsidR="00EA35E5" w:rsidRPr="002B4E6D">
        <w:rPr>
          <w:szCs w:val="20"/>
          <w:lang w:val="es-CR"/>
        </w:rPr>
        <w:t xml:space="preserve"> Brasil </w:t>
      </w:r>
      <w:r w:rsidRPr="002B4E6D">
        <w:rPr>
          <w:szCs w:val="20"/>
          <w:lang w:val="es-CR"/>
        </w:rPr>
        <w:t>en lo que se refiere a la</w:t>
      </w:r>
      <w:r w:rsidR="00EA35E5" w:rsidRPr="002B4E6D">
        <w:rPr>
          <w:szCs w:val="20"/>
          <w:lang w:val="es-CR"/>
        </w:rPr>
        <w:t xml:space="preserve"> </w:t>
      </w:r>
      <w:r w:rsidRPr="002B4E6D">
        <w:rPr>
          <w:szCs w:val="20"/>
          <w:lang w:val="es-CR"/>
        </w:rPr>
        <w:t>mejoría</w:t>
      </w:r>
      <w:r w:rsidR="00EA35E5" w:rsidRPr="002B4E6D">
        <w:rPr>
          <w:szCs w:val="20"/>
          <w:lang w:val="es-CR"/>
        </w:rPr>
        <w:t xml:space="preserve"> </w:t>
      </w:r>
      <w:r w:rsidRPr="002B4E6D">
        <w:rPr>
          <w:szCs w:val="20"/>
          <w:lang w:val="es-CR"/>
        </w:rPr>
        <w:t>de las</w:t>
      </w:r>
      <w:r w:rsidR="00EA35E5" w:rsidRPr="002B4E6D">
        <w:rPr>
          <w:szCs w:val="20"/>
          <w:lang w:val="es-CR"/>
        </w:rPr>
        <w:t xml:space="preserve"> condi</w:t>
      </w:r>
      <w:r w:rsidR="00945D4E" w:rsidRPr="002B4E6D">
        <w:rPr>
          <w:szCs w:val="20"/>
          <w:lang w:val="es-CR"/>
        </w:rPr>
        <w:t>ciones</w:t>
      </w:r>
      <w:r w:rsidRPr="002B4E6D">
        <w:rPr>
          <w:szCs w:val="20"/>
          <w:lang w:val="es-CR"/>
        </w:rPr>
        <w:t xml:space="preserve"> de la</w:t>
      </w:r>
      <w:r w:rsidR="00EA35E5" w:rsidRPr="002B4E6D">
        <w:rPr>
          <w:szCs w:val="20"/>
          <w:lang w:val="es-CR"/>
        </w:rPr>
        <w:t xml:space="preserve">s </w:t>
      </w:r>
      <w:r w:rsidR="00AA1A37" w:rsidRPr="002B4E6D">
        <w:rPr>
          <w:szCs w:val="20"/>
          <w:lang w:val="es-CR"/>
        </w:rPr>
        <w:t>personas</w:t>
      </w:r>
      <w:r w:rsidR="00EA35E5" w:rsidRPr="002B4E6D">
        <w:rPr>
          <w:szCs w:val="20"/>
          <w:lang w:val="es-CR"/>
        </w:rPr>
        <w:t xml:space="preserve"> privadas </w:t>
      </w:r>
      <w:r w:rsidRPr="002B4E6D">
        <w:rPr>
          <w:szCs w:val="20"/>
          <w:lang w:val="es-CR"/>
        </w:rPr>
        <w:t>de</w:t>
      </w:r>
      <w:r w:rsidR="00EA35E5" w:rsidRPr="002B4E6D">
        <w:rPr>
          <w:szCs w:val="20"/>
          <w:lang w:val="es-CR"/>
        </w:rPr>
        <w:t xml:space="preserve"> </w:t>
      </w:r>
      <w:r w:rsidR="00AA1A37" w:rsidRPr="002B4E6D">
        <w:rPr>
          <w:szCs w:val="20"/>
          <w:lang w:val="es-CR"/>
        </w:rPr>
        <w:t>libertad</w:t>
      </w:r>
      <w:r w:rsidR="00EA35E5" w:rsidRPr="002B4E6D">
        <w:rPr>
          <w:szCs w:val="20"/>
          <w:lang w:val="es-CR"/>
        </w:rPr>
        <w:t xml:space="preserve"> </w:t>
      </w:r>
      <w:r w:rsidRPr="002B4E6D">
        <w:rPr>
          <w:szCs w:val="20"/>
          <w:lang w:val="es-CR"/>
        </w:rPr>
        <w:t>en los</w:t>
      </w:r>
      <w:r w:rsidR="00EA35E5" w:rsidRPr="002B4E6D">
        <w:rPr>
          <w:szCs w:val="20"/>
          <w:lang w:val="es-CR"/>
        </w:rPr>
        <w:t xml:space="preserve"> diferentes centros </w:t>
      </w:r>
      <w:r w:rsidRPr="002B4E6D">
        <w:rPr>
          <w:szCs w:val="20"/>
          <w:lang w:val="es-CR"/>
        </w:rPr>
        <w:t>penitenciarios</w:t>
      </w:r>
      <w:r w:rsidR="00EA35E5" w:rsidRPr="002B4E6D">
        <w:rPr>
          <w:szCs w:val="20"/>
          <w:lang w:val="es-CR"/>
        </w:rPr>
        <w:t xml:space="preserve"> </w:t>
      </w:r>
      <w:r w:rsidRPr="002B4E6D">
        <w:rPr>
          <w:szCs w:val="20"/>
          <w:lang w:val="es-CR"/>
        </w:rPr>
        <w:t>del</w:t>
      </w:r>
      <w:r w:rsidR="00EA35E5" w:rsidRPr="002B4E6D">
        <w:rPr>
          <w:szCs w:val="20"/>
          <w:lang w:val="es-CR"/>
        </w:rPr>
        <w:t xml:space="preserve"> país </w:t>
      </w:r>
      <w:r w:rsidRPr="002B4E6D">
        <w:rPr>
          <w:szCs w:val="20"/>
          <w:lang w:val="es-CR"/>
        </w:rPr>
        <w:t>y</w:t>
      </w:r>
      <w:r w:rsidR="00EA35E5" w:rsidRPr="002B4E6D">
        <w:rPr>
          <w:szCs w:val="20"/>
          <w:lang w:val="es-CR"/>
        </w:rPr>
        <w:t xml:space="preserve"> especialmente </w:t>
      </w:r>
      <w:r w:rsidRPr="002B4E6D">
        <w:rPr>
          <w:szCs w:val="20"/>
          <w:lang w:val="es-CR"/>
        </w:rPr>
        <w:t>en el</w:t>
      </w:r>
      <w:r w:rsidR="00EA35E5" w:rsidRPr="002B4E6D">
        <w:rPr>
          <w:szCs w:val="20"/>
          <w:lang w:val="es-CR"/>
        </w:rPr>
        <w:t xml:space="preserve"> estado </w:t>
      </w:r>
      <w:r w:rsidRPr="002B4E6D">
        <w:rPr>
          <w:szCs w:val="20"/>
          <w:lang w:val="es-CR"/>
        </w:rPr>
        <w:t>de</w:t>
      </w:r>
      <w:r w:rsidR="00EA35E5" w:rsidRPr="002B4E6D">
        <w:rPr>
          <w:szCs w:val="20"/>
          <w:lang w:val="es-CR"/>
        </w:rPr>
        <w:t xml:space="preserve"> </w:t>
      </w:r>
      <w:r w:rsidR="00E9168C" w:rsidRPr="002B4E6D">
        <w:rPr>
          <w:szCs w:val="20"/>
          <w:lang w:val="es-CR"/>
        </w:rPr>
        <w:t>Río de Janeiro</w:t>
      </w:r>
      <w:r w:rsidR="00EA35E5" w:rsidRPr="002B4E6D">
        <w:rPr>
          <w:szCs w:val="20"/>
          <w:lang w:val="es-CR"/>
        </w:rPr>
        <w:t xml:space="preserve">. </w:t>
      </w:r>
      <w:r w:rsidRPr="002B4E6D">
        <w:rPr>
          <w:szCs w:val="20"/>
          <w:lang w:val="es-CR"/>
        </w:rPr>
        <w:t>Sin embargo</w:t>
      </w:r>
      <w:r w:rsidR="005A69B7" w:rsidRPr="002B4E6D">
        <w:rPr>
          <w:szCs w:val="20"/>
          <w:lang w:val="es-CR"/>
        </w:rPr>
        <w:t>,</w:t>
      </w:r>
      <w:r w:rsidR="00603D06" w:rsidRPr="002B4E6D">
        <w:rPr>
          <w:szCs w:val="20"/>
          <w:lang w:val="es-CR"/>
        </w:rPr>
        <w:t xml:space="preserve"> </w:t>
      </w:r>
      <w:r w:rsidRPr="002B4E6D">
        <w:rPr>
          <w:szCs w:val="20"/>
          <w:lang w:val="es-CR"/>
        </w:rPr>
        <w:t>l</w:t>
      </w:r>
      <w:r w:rsidR="00603D06" w:rsidRPr="002B4E6D">
        <w:rPr>
          <w:szCs w:val="20"/>
          <w:lang w:val="es-CR"/>
        </w:rPr>
        <w:t>a Corte</w:t>
      </w:r>
      <w:r w:rsidR="005A69B7" w:rsidRPr="002B4E6D">
        <w:rPr>
          <w:szCs w:val="20"/>
          <w:lang w:val="es-CR"/>
        </w:rPr>
        <w:t xml:space="preserve"> observa que, </w:t>
      </w:r>
      <w:r w:rsidRPr="002B4E6D">
        <w:rPr>
          <w:szCs w:val="20"/>
          <w:lang w:val="es-CR"/>
        </w:rPr>
        <w:t>en el ámbito</w:t>
      </w:r>
      <w:r w:rsidR="005A69B7" w:rsidRPr="002B4E6D">
        <w:rPr>
          <w:szCs w:val="20"/>
          <w:lang w:val="es-CR"/>
        </w:rPr>
        <w:t xml:space="preserve"> de</w:t>
      </w:r>
      <w:r w:rsidRPr="002B4E6D">
        <w:rPr>
          <w:szCs w:val="20"/>
          <w:lang w:val="es-CR"/>
        </w:rPr>
        <w:t xml:space="preserve"> esas</w:t>
      </w:r>
      <w:r w:rsidR="005A69B7" w:rsidRPr="002B4E6D">
        <w:rPr>
          <w:szCs w:val="20"/>
          <w:lang w:val="es-CR"/>
        </w:rPr>
        <w:t xml:space="preserve"> medidas </w:t>
      </w:r>
      <w:r w:rsidR="00945D4E" w:rsidRPr="002B4E6D">
        <w:rPr>
          <w:szCs w:val="20"/>
          <w:lang w:val="es-CR"/>
        </w:rPr>
        <w:t>provisionales</w:t>
      </w:r>
      <w:r w:rsidR="00603D06" w:rsidRPr="002B4E6D">
        <w:rPr>
          <w:szCs w:val="20"/>
          <w:lang w:val="es-CR"/>
        </w:rPr>
        <w:t xml:space="preserve">, </w:t>
      </w:r>
      <w:r w:rsidRPr="002B4E6D">
        <w:rPr>
          <w:szCs w:val="20"/>
          <w:lang w:val="es-CR"/>
        </w:rPr>
        <w:t>la</w:t>
      </w:r>
      <w:r w:rsidR="00603D06" w:rsidRPr="002B4E6D">
        <w:rPr>
          <w:szCs w:val="20"/>
          <w:lang w:val="es-CR"/>
        </w:rPr>
        <w:t xml:space="preserve"> situa</w:t>
      </w:r>
      <w:r w:rsidR="00AA1A37" w:rsidRPr="002B4E6D">
        <w:rPr>
          <w:szCs w:val="20"/>
          <w:lang w:val="es-CR"/>
        </w:rPr>
        <w:t>ción</w:t>
      </w:r>
      <w:r w:rsidR="00603D06" w:rsidRPr="002B4E6D">
        <w:rPr>
          <w:szCs w:val="20"/>
          <w:lang w:val="es-CR"/>
        </w:rPr>
        <w:t xml:space="preserve"> </w:t>
      </w:r>
      <w:r w:rsidRPr="002B4E6D">
        <w:rPr>
          <w:szCs w:val="20"/>
          <w:lang w:val="es-CR"/>
        </w:rPr>
        <w:t>de los</w:t>
      </w:r>
      <w:r w:rsidR="00603D06" w:rsidRPr="002B4E6D">
        <w:rPr>
          <w:szCs w:val="20"/>
          <w:lang w:val="es-CR"/>
        </w:rPr>
        <w:t xml:space="preserve"> </w:t>
      </w:r>
      <w:r w:rsidRPr="002B4E6D">
        <w:rPr>
          <w:szCs w:val="20"/>
          <w:lang w:val="es-CR"/>
        </w:rPr>
        <w:t>beneficiarios</w:t>
      </w:r>
      <w:r w:rsidR="005A69B7" w:rsidRPr="002B4E6D">
        <w:rPr>
          <w:szCs w:val="20"/>
          <w:lang w:val="es-CR"/>
        </w:rPr>
        <w:t xml:space="preserve"> continua </w:t>
      </w:r>
      <w:r w:rsidRPr="002B4E6D">
        <w:rPr>
          <w:szCs w:val="20"/>
          <w:lang w:val="es-CR"/>
        </w:rPr>
        <w:t>siendo</w:t>
      </w:r>
      <w:r w:rsidR="005A69B7" w:rsidRPr="002B4E6D">
        <w:rPr>
          <w:szCs w:val="20"/>
          <w:lang w:val="es-CR"/>
        </w:rPr>
        <w:t xml:space="preserve"> </w:t>
      </w:r>
      <w:r w:rsidRPr="002B4E6D">
        <w:rPr>
          <w:szCs w:val="20"/>
          <w:lang w:val="es-CR"/>
        </w:rPr>
        <w:t>muy</w:t>
      </w:r>
      <w:r w:rsidR="005A69B7" w:rsidRPr="002B4E6D">
        <w:rPr>
          <w:szCs w:val="20"/>
          <w:lang w:val="es-CR"/>
        </w:rPr>
        <w:t xml:space="preserve"> preocupante</w:t>
      </w:r>
      <w:r w:rsidR="00603D06" w:rsidRPr="002B4E6D">
        <w:rPr>
          <w:szCs w:val="20"/>
          <w:lang w:val="es-CR"/>
        </w:rPr>
        <w:t xml:space="preserve"> </w:t>
      </w:r>
      <w:r w:rsidRPr="002B4E6D">
        <w:rPr>
          <w:szCs w:val="20"/>
          <w:lang w:val="es-CR"/>
        </w:rPr>
        <w:t>en lo</w:t>
      </w:r>
      <w:r w:rsidR="00603D06" w:rsidRPr="002B4E6D">
        <w:rPr>
          <w:szCs w:val="20"/>
          <w:lang w:val="es-CR"/>
        </w:rPr>
        <w:t xml:space="preserve"> que se </w:t>
      </w:r>
      <w:r w:rsidRPr="002B4E6D">
        <w:rPr>
          <w:szCs w:val="20"/>
          <w:lang w:val="es-CR"/>
        </w:rPr>
        <w:t>refiere</w:t>
      </w:r>
      <w:r w:rsidR="00603D06" w:rsidRPr="002B4E6D">
        <w:rPr>
          <w:szCs w:val="20"/>
          <w:lang w:val="es-CR"/>
        </w:rPr>
        <w:t xml:space="preserve"> a todas </w:t>
      </w:r>
      <w:r w:rsidRPr="002B4E6D">
        <w:rPr>
          <w:szCs w:val="20"/>
          <w:lang w:val="es-CR"/>
        </w:rPr>
        <w:t>las</w:t>
      </w:r>
      <w:r w:rsidR="00603D06" w:rsidRPr="002B4E6D">
        <w:rPr>
          <w:szCs w:val="20"/>
          <w:lang w:val="es-CR"/>
        </w:rPr>
        <w:t xml:space="preserve"> áreas mencionadas</w:t>
      </w:r>
      <w:r w:rsidR="005A69B7" w:rsidRPr="002B4E6D">
        <w:rPr>
          <w:szCs w:val="20"/>
          <w:lang w:val="es-CR"/>
        </w:rPr>
        <w:t xml:space="preserve"> </w:t>
      </w:r>
      <w:r w:rsidRPr="002B4E6D">
        <w:rPr>
          <w:szCs w:val="20"/>
          <w:lang w:val="es-CR"/>
        </w:rPr>
        <w:t>y</w:t>
      </w:r>
      <w:r w:rsidR="005A69B7" w:rsidRPr="002B4E6D">
        <w:rPr>
          <w:szCs w:val="20"/>
          <w:lang w:val="es-CR"/>
        </w:rPr>
        <w:t xml:space="preserve"> </w:t>
      </w:r>
      <w:r w:rsidR="00374C34">
        <w:rPr>
          <w:szCs w:val="20"/>
          <w:lang w:val="es-CR"/>
        </w:rPr>
        <w:t>requiere</w:t>
      </w:r>
      <w:r w:rsidR="005A69B7" w:rsidRPr="002B4E6D">
        <w:rPr>
          <w:szCs w:val="20"/>
          <w:lang w:val="es-CR"/>
        </w:rPr>
        <w:t xml:space="preserve"> </w:t>
      </w:r>
      <w:r w:rsidRPr="002B4E6D">
        <w:rPr>
          <w:szCs w:val="20"/>
          <w:lang w:val="es-CR"/>
        </w:rPr>
        <w:t>cambios</w:t>
      </w:r>
      <w:r w:rsidR="005A69B7" w:rsidRPr="002B4E6D">
        <w:rPr>
          <w:szCs w:val="20"/>
          <w:lang w:val="es-CR"/>
        </w:rPr>
        <w:t xml:space="preserve"> </w:t>
      </w:r>
      <w:r w:rsidRPr="002B4E6D">
        <w:rPr>
          <w:szCs w:val="20"/>
          <w:lang w:val="es-CR"/>
        </w:rPr>
        <w:t>estructurales</w:t>
      </w:r>
      <w:r w:rsidR="005A69B7" w:rsidRPr="002B4E6D">
        <w:rPr>
          <w:szCs w:val="20"/>
          <w:lang w:val="es-CR"/>
        </w:rPr>
        <w:t xml:space="preserve"> urgentes.</w:t>
      </w:r>
      <w:r w:rsidR="00603D06" w:rsidRPr="002B4E6D">
        <w:rPr>
          <w:szCs w:val="20"/>
          <w:lang w:val="es-CR"/>
        </w:rPr>
        <w:t xml:space="preserve"> </w:t>
      </w:r>
    </w:p>
    <w:p w14:paraId="0B4D2863" w14:textId="77777777" w:rsidR="00EA35E5" w:rsidRPr="002B4E6D" w:rsidRDefault="00EA35E5" w:rsidP="00603D06">
      <w:pPr>
        <w:rPr>
          <w:szCs w:val="20"/>
          <w:lang w:val="es-CR"/>
        </w:rPr>
      </w:pPr>
    </w:p>
    <w:p w14:paraId="43D843F6" w14:textId="544DC9EC" w:rsidR="00AB2DC4" w:rsidRDefault="009E7BBE" w:rsidP="005A69B7">
      <w:pPr>
        <w:pStyle w:val="ListParagraph"/>
        <w:numPr>
          <w:ilvl w:val="0"/>
          <w:numId w:val="20"/>
        </w:numPr>
        <w:snapToGrid w:val="0"/>
        <w:ind w:left="0" w:firstLine="0"/>
        <w:contextualSpacing w:val="0"/>
        <w:rPr>
          <w:szCs w:val="20"/>
          <w:lang w:val="es-CR"/>
        </w:rPr>
      </w:pPr>
      <w:r>
        <w:rPr>
          <w:szCs w:val="20"/>
          <w:lang w:val="es-CR"/>
        </w:rPr>
        <w:t xml:space="preserve">A continuación la Corte realizará consideraciones específicas sobre los principales temas de preocupación en las presentes medidas provisionales: muertes recientes, infraestructura y situación de hacinamiento y superpoblación del IPPSC. </w:t>
      </w:r>
    </w:p>
    <w:p w14:paraId="680025DD" w14:textId="77777777" w:rsidR="009E7BBE" w:rsidRPr="009E7BBE" w:rsidRDefault="009E7BBE" w:rsidP="009E7BBE">
      <w:pPr>
        <w:pStyle w:val="ListParagraph"/>
        <w:rPr>
          <w:szCs w:val="20"/>
          <w:lang w:val="es-CR"/>
        </w:rPr>
      </w:pPr>
    </w:p>
    <w:p w14:paraId="1D4B7E0B" w14:textId="77777777" w:rsidR="009E7BBE" w:rsidRPr="00B06C31" w:rsidRDefault="009E7BBE" w:rsidP="009E7BBE">
      <w:pPr>
        <w:pStyle w:val="ListParagraph"/>
        <w:snapToGrid w:val="0"/>
        <w:ind w:left="0"/>
        <w:contextualSpacing w:val="0"/>
        <w:rPr>
          <w:b/>
          <w:szCs w:val="20"/>
          <w:lang w:val="es-CR"/>
        </w:rPr>
      </w:pPr>
      <w:r w:rsidRPr="00B06C31">
        <w:rPr>
          <w:b/>
          <w:szCs w:val="20"/>
          <w:lang w:val="es-CR"/>
        </w:rPr>
        <w:t>Sobre las muertes ocurridas en el IPPSC</w:t>
      </w:r>
    </w:p>
    <w:p w14:paraId="742F3C04" w14:textId="77777777" w:rsidR="009E7BBE" w:rsidRPr="00B06C31" w:rsidRDefault="009E7BBE" w:rsidP="009E7BBE">
      <w:pPr>
        <w:pStyle w:val="ListParagraph"/>
        <w:snapToGrid w:val="0"/>
        <w:ind w:left="0"/>
        <w:contextualSpacing w:val="0"/>
        <w:rPr>
          <w:szCs w:val="20"/>
          <w:lang w:val="es-CR"/>
        </w:rPr>
      </w:pPr>
    </w:p>
    <w:p w14:paraId="531E655B" w14:textId="77777777"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La </w:t>
      </w:r>
      <w:r w:rsidRPr="009E7BBE">
        <w:rPr>
          <w:szCs w:val="20"/>
          <w:lang w:val="es-CR"/>
        </w:rPr>
        <w:t>Corte</w:t>
      </w:r>
      <w:r w:rsidRPr="00B06C31">
        <w:rPr>
          <w:szCs w:val="20"/>
          <w:lang w:val="es-CR"/>
        </w:rPr>
        <w:t xml:space="preserve"> lamenta las recientes muertes de internos del IPPSC y considera sumamente grave que eso haya ocurrido a pesar de la vigencia de las presentes medidas provisionales. Expresa preocupación con el elevado número de muertes ocurridas dentro del IPPSC en los primeros meses del 2018, así como con la ausencia de información precisa y detallada sobre las causas de los decesos ocurridos en la unidad. Resalta que la falta de información sobre las causas de un número tan alto de muertes en un centro de privación de libertad puede indicar negligencia por parte de las autoridades responsables en relación a sus obligaciones de respetar y garantizar el derecho a la vida y a la integridad personal de las personas privadas de libertad en el IPPSC. </w:t>
      </w:r>
    </w:p>
    <w:p w14:paraId="5023304B" w14:textId="77777777" w:rsidR="009E7BBE" w:rsidRPr="00B06C31" w:rsidRDefault="009E7BBE" w:rsidP="009E7BBE">
      <w:pPr>
        <w:pStyle w:val="ListParagraph"/>
        <w:rPr>
          <w:szCs w:val="20"/>
          <w:lang w:val="es-CR"/>
        </w:rPr>
      </w:pPr>
    </w:p>
    <w:p w14:paraId="71009E16" w14:textId="309C88D0"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La Corte requiere al Estado que concluya, con urgencia: i) la confección de la planilla que busca compilar los dados referentes a los decesos ocurridos dentro del IPPSC; y ii) la realización del estudio </w:t>
      </w:r>
      <w:r w:rsidRPr="00B06C31">
        <w:rPr>
          <w:i/>
          <w:szCs w:val="20"/>
          <w:lang w:val="es-CR"/>
        </w:rPr>
        <w:t>causa mortis</w:t>
      </w:r>
      <w:r w:rsidRPr="00B06C31">
        <w:rPr>
          <w:szCs w:val="20"/>
          <w:lang w:val="es-CR"/>
        </w:rPr>
        <w:t xml:space="preserve"> dentro del sistema carcelario. También ordena al Estado que adopte, sin mayores demoras, las sugerencias </w:t>
      </w:r>
      <w:r w:rsidR="005553A2">
        <w:rPr>
          <w:szCs w:val="20"/>
          <w:lang w:val="es-CR"/>
        </w:rPr>
        <w:t xml:space="preserve">contenidas </w:t>
      </w:r>
      <w:r w:rsidRPr="00B06C31">
        <w:rPr>
          <w:szCs w:val="20"/>
          <w:lang w:val="es-CR"/>
        </w:rPr>
        <w:t>en su propio Diagnóstico Técnico: i) la realización de investigaciones más céleres; ii) la clasificación coherente de la cantidad de muertes en el interior del IP</w:t>
      </w:r>
      <w:r w:rsidR="00D24676">
        <w:rPr>
          <w:szCs w:val="20"/>
          <w:lang w:val="es-CR"/>
        </w:rPr>
        <w:t>P</w:t>
      </w:r>
      <w:r w:rsidRPr="00B06C31">
        <w:rPr>
          <w:szCs w:val="20"/>
          <w:lang w:val="es-CR"/>
        </w:rPr>
        <w:t>S</w:t>
      </w:r>
      <w:r w:rsidR="00D24676">
        <w:rPr>
          <w:szCs w:val="20"/>
          <w:lang w:val="es-CR"/>
        </w:rPr>
        <w:t>C</w:t>
      </w:r>
      <w:r w:rsidRPr="00B06C31">
        <w:rPr>
          <w:szCs w:val="20"/>
          <w:lang w:val="es-CR"/>
        </w:rPr>
        <w:t xml:space="preserve">; y iii) el suministro de información a los familiares sobre las razones de </w:t>
      </w:r>
      <w:r w:rsidR="005553A2">
        <w:rPr>
          <w:szCs w:val="20"/>
          <w:lang w:val="es-CR"/>
        </w:rPr>
        <w:t>los fallecimientos</w:t>
      </w:r>
      <w:r w:rsidRPr="00B06C31">
        <w:rPr>
          <w:szCs w:val="20"/>
          <w:lang w:val="es-CR"/>
        </w:rPr>
        <w:t>.</w:t>
      </w:r>
    </w:p>
    <w:p w14:paraId="3FBDA0F6" w14:textId="77777777" w:rsidR="009E7BBE" w:rsidRPr="00B06C31" w:rsidRDefault="009E7BBE" w:rsidP="009E7BBE">
      <w:pPr>
        <w:pStyle w:val="ListParagraph"/>
        <w:ind w:left="0"/>
        <w:rPr>
          <w:szCs w:val="20"/>
          <w:lang w:val="es-CR"/>
        </w:rPr>
      </w:pPr>
    </w:p>
    <w:p w14:paraId="68D4D7A7" w14:textId="77777777" w:rsidR="009E7BBE" w:rsidRPr="00B06C31" w:rsidRDefault="009E7BBE" w:rsidP="009E7BBE">
      <w:pPr>
        <w:pStyle w:val="ListParagraph"/>
        <w:numPr>
          <w:ilvl w:val="0"/>
          <w:numId w:val="20"/>
        </w:numPr>
        <w:snapToGrid w:val="0"/>
        <w:ind w:left="0" w:firstLine="0"/>
        <w:contextualSpacing w:val="0"/>
        <w:rPr>
          <w:sz w:val="13"/>
          <w:szCs w:val="13"/>
          <w:lang w:val="es-CR"/>
        </w:rPr>
      </w:pPr>
      <w:r w:rsidRPr="00B06C31">
        <w:rPr>
          <w:szCs w:val="20"/>
          <w:lang w:val="es-CR"/>
        </w:rPr>
        <w:lastRenderedPageBreak/>
        <w:t>Es imperativo que el Estado determine las causas de todas las muertes de internos que ocurrieron durante la vigencia de las presentes medidas de protección, y sobre eso informe a la Corte, independientemente de su indiscutible obligación de esclarecer aquellas que ocurrieron antes. Además, el Estado debe tomar inmediatamente todas las medidas necesarias para evitar que ocurran más muertes en el IPPSC. La Corte también solicita al Estado que informe, de manera detallada y precisa, sobre las acciones concretas emprendidas para prevenir más decesos de personas beneficiarias. El Tribunal recuerda que no basta que el Estado adopte determinadas medidas de protección, pero que es necesario que su implementación efectiva cese el riesgo para las personas cuya protección se pretende.</w:t>
      </w:r>
      <w:r w:rsidRPr="00B06C31">
        <w:rPr>
          <w:rStyle w:val="FootnoteReference"/>
          <w:lang w:val="es-CR"/>
        </w:rPr>
        <w:footnoteReference w:id="17"/>
      </w:r>
    </w:p>
    <w:p w14:paraId="48621D26" w14:textId="77777777" w:rsidR="009E7BBE" w:rsidRPr="00B06C31" w:rsidRDefault="009E7BBE" w:rsidP="009E7BBE">
      <w:pPr>
        <w:pStyle w:val="ListParagraph"/>
        <w:rPr>
          <w:sz w:val="13"/>
          <w:szCs w:val="13"/>
          <w:lang w:val="es-CR"/>
        </w:rPr>
      </w:pPr>
    </w:p>
    <w:p w14:paraId="770521D4" w14:textId="77777777" w:rsidR="009E7BBE" w:rsidRPr="00B06C31" w:rsidRDefault="009E7BBE" w:rsidP="009E7BBE">
      <w:pPr>
        <w:pStyle w:val="ListParagraph"/>
        <w:snapToGrid w:val="0"/>
        <w:ind w:left="0"/>
        <w:contextualSpacing w:val="0"/>
        <w:rPr>
          <w:sz w:val="13"/>
          <w:szCs w:val="13"/>
          <w:lang w:val="es-CR"/>
        </w:rPr>
      </w:pPr>
    </w:p>
    <w:p w14:paraId="1AEFB8DB" w14:textId="77777777"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La Corte reitera que, cuando una persona bajo la jurisdicción de un Estado Parte de la Convención Americana es beneficiaria de medidas provisionales, el deber general de ese Estado de respetar y garantizar los derechos humanos consagrados en la Convención se ve reforzado, debiendo, así, haber un especial debido cuidado de protección.</w:t>
      </w:r>
      <w:r w:rsidRPr="00B06C31">
        <w:rPr>
          <w:rStyle w:val="FootnoteReference"/>
          <w:lang w:val="es-CR"/>
        </w:rPr>
        <w:footnoteReference w:id="18"/>
      </w:r>
      <w:r w:rsidRPr="00B06C31">
        <w:rPr>
          <w:szCs w:val="20"/>
          <w:lang w:val="es-CR"/>
        </w:rPr>
        <w:t xml:space="preserve"> En ese sentido, a fin de dar eficacia a las presentes medidas provisionales, el Estado debe erradicar concretamente los riesgos de muerte y afectaciones a la integridad personal de los internos. Para que eso ocurra, las medidas que se adopten deben incluir aquellas orientadas directamente a proteger los derechos a la vida e integridad de los beneficiarios, particularmente en relación a las deficientes condiciones de acceso a la salud, así como a las condiciones de seguridad y controles internos del Instituto Penal Plácido de </w:t>
      </w:r>
      <w:proofErr w:type="spellStart"/>
      <w:r w:rsidRPr="00B06C31">
        <w:rPr>
          <w:szCs w:val="20"/>
          <w:lang w:val="es-CR"/>
        </w:rPr>
        <w:t>Sá</w:t>
      </w:r>
      <w:proofErr w:type="spellEnd"/>
      <w:r w:rsidRPr="00B06C31">
        <w:rPr>
          <w:szCs w:val="20"/>
          <w:lang w:val="es-CR"/>
        </w:rPr>
        <w:t xml:space="preserve"> Carvalho.</w:t>
      </w:r>
      <w:r w:rsidRPr="00B06C31">
        <w:rPr>
          <w:rStyle w:val="FootnoteReference"/>
          <w:lang w:val="es-CR"/>
        </w:rPr>
        <w:footnoteReference w:id="19"/>
      </w:r>
    </w:p>
    <w:p w14:paraId="79936054" w14:textId="77777777" w:rsidR="009E7BBE" w:rsidRPr="00B06C31" w:rsidRDefault="009E7BBE" w:rsidP="009E7BBE">
      <w:pPr>
        <w:rPr>
          <w:lang w:val="es-CR"/>
        </w:rPr>
      </w:pPr>
    </w:p>
    <w:p w14:paraId="25E36E41" w14:textId="77777777" w:rsidR="009E7BBE" w:rsidRPr="009E7BBE" w:rsidRDefault="009E7BBE" w:rsidP="009E7BBE">
      <w:pPr>
        <w:pStyle w:val="Heading5"/>
      </w:pPr>
      <w:r w:rsidRPr="009E7BBE">
        <w:t>Sobre la infraestructura</w:t>
      </w:r>
    </w:p>
    <w:p w14:paraId="21097148" w14:textId="77777777" w:rsidR="009E7BBE" w:rsidRPr="00B06C31" w:rsidRDefault="009E7BBE" w:rsidP="009E7BBE">
      <w:pPr>
        <w:rPr>
          <w:lang w:val="es-CR"/>
        </w:rPr>
      </w:pPr>
    </w:p>
    <w:p w14:paraId="024B9D71" w14:textId="77777777"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La </w:t>
      </w:r>
      <w:r w:rsidRPr="009E7BBE">
        <w:rPr>
          <w:szCs w:val="20"/>
          <w:lang w:val="es-CR"/>
        </w:rPr>
        <w:t>Corte</w:t>
      </w:r>
      <w:r w:rsidRPr="00B06C31">
        <w:rPr>
          <w:szCs w:val="20"/>
          <w:lang w:val="es-CR"/>
        </w:rPr>
        <w:t xml:space="preserve"> toma nota de que el Diagnóstico Técnico presentado por el Estado refuerza lo que se verificó en su visita </w:t>
      </w:r>
      <w:r w:rsidRPr="00B06C31">
        <w:rPr>
          <w:i/>
          <w:szCs w:val="20"/>
          <w:lang w:val="es-CR"/>
        </w:rPr>
        <w:t xml:space="preserve">in situ </w:t>
      </w:r>
      <w:r w:rsidRPr="00B06C31">
        <w:rPr>
          <w:szCs w:val="20"/>
          <w:lang w:val="es-CR"/>
        </w:rPr>
        <w:t>realizada al IPPSC en junio de 2017. Se percibe así, que el Estado no adoptó medidas concretas y efectivas para cambiar, de modo significativo, los problemas de infraestructura de la unidad carcelaria.</w:t>
      </w:r>
    </w:p>
    <w:p w14:paraId="29E3BA10" w14:textId="77777777" w:rsidR="009E7BBE" w:rsidRPr="00B06C31" w:rsidRDefault="009E7BBE" w:rsidP="009E7BBE">
      <w:pPr>
        <w:pStyle w:val="ListParagraph"/>
        <w:rPr>
          <w:szCs w:val="20"/>
          <w:lang w:val="es-CR"/>
        </w:rPr>
      </w:pPr>
    </w:p>
    <w:p w14:paraId="2065D2A1" w14:textId="2800E9CF"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Nota con aprehensión la información ofrecida por el Estado de que el IPPSC no posee ala separada para personas adultas mayores y LGBTI. Adicionalmente, expresa preocupación con la ausencia de un plan de prevención y combate de incendios en el IPPSC, así como con la precaria estructura de la unidad carcelaria para responder a una situación de emergencia, como lo evidencia el reporte técnico de 2016 elaborado por el Cuerpo de Bomberos. Solicita al Estado que tome, con urgencia, medidas para garantizar la seguridad de los detenidos y agentes penitenciarios en una eventual situación de emergencia.</w:t>
      </w:r>
    </w:p>
    <w:p w14:paraId="7D4E3AA8" w14:textId="77777777" w:rsidR="009E7BBE" w:rsidRPr="00B06C31" w:rsidRDefault="009E7BBE" w:rsidP="009E7BBE">
      <w:pPr>
        <w:pStyle w:val="ListParagraph"/>
        <w:rPr>
          <w:szCs w:val="20"/>
          <w:lang w:val="es-CR"/>
        </w:rPr>
      </w:pPr>
    </w:p>
    <w:p w14:paraId="3D2D4CDF" w14:textId="6E85AC5C"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La Corte considera alarmante el hecho de que el IPPSC solo tiene nueve personas encargadas de la seguridad de un centro penal que cuenta con una población de más de 3.</w:t>
      </w:r>
      <w:r w:rsidR="00286306">
        <w:rPr>
          <w:szCs w:val="20"/>
          <w:lang w:val="es-CR"/>
        </w:rPr>
        <w:t>8</w:t>
      </w:r>
      <w:r w:rsidRPr="00B06C31">
        <w:rPr>
          <w:szCs w:val="20"/>
          <w:lang w:val="es-CR"/>
        </w:rPr>
        <w:t xml:space="preserve">00 personas. Reitera que, en centros de detención como el IPPSC, el Estado se encuentra en posición especial de garante de los derechos de las personas allí recluidas, puesto que </w:t>
      </w:r>
      <w:r w:rsidRPr="00B06C31">
        <w:rPr>
          <w:szCs w:val="20"/>
          <w:lang w:val="es-CR"/>
        </w:rPr>
        <w:lastRenderedPageBreak/>
        <w:t>ejerce un control total sobre ellas.</w:t>
      </w:r>
      <w:r w:rsidRPr="00B06C31">
        <w:rPr>
          <w:rStyle w:val="FootnoteReference"/>
          <w:lang w:val="es-CR"/>
        </w:rPr>
        <w:footnoteReference w:id="20"/>
      </w:r>
      <w:r w:rsidRPr="00B06C31">
        <w:rPr>
          <w:sz w:val="13"/>
          <w:szCs w:val="13"/>
          <w:lang w:val="es-CR"/>
        </w:rPr>
        <w:t xml:space="preserve"> </w:t>
      </w:r>
      <w:r w:rsidRPr="00B06C31">
        <w:rPr>
          <w:szCs w:val="20"/>
          <w:lang w:val="es-CR"/>
        </w:rPr>
        <w:t xml:space="preserve">En tal virtud, el Estado debe de manera inmediata tomar las medidas necesarias para asegurar el adecuado control del centro y asegurar que no se suscite violencia, amenaza ni menoscabo a la integridad personal de las personas detenidas. </w:t>
      </w:r>
    </w:p>
    <w:p w14:paraId="0DEADB02" w14:textId="77777777" w:rsidR="009E7BBE" w:rsidRPr="00B06C31" w:rsidRDefault="009E7BBE" w:rsidP="009E7BBE">
      <w:pPr>
        <w:rPr>
          <w:szCs w:val="20"/>
          <w:lang w:val="es-CR"/>
        </w:rPr>
      </w:pPr>
    </w:p>
    <w:p w14:paraId="05E0A6F5" w14:textId="23E4CB89"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La Corte también expresa preocupación en relación con las condiciones materiales de detención del estabelecimiento, como la ausencia de colchón para todos los detenidos, uniformes, calzado, ropa de cama y toallas, además de iluminación y ventilación adecuada en las celdas. Destaca que tal situación </w:t>
      </w:r>
      <w:r w:rsidR="00516CFF">
        <w:rPr>
          <w:szCs w:val="20"/>
          <w:lang w:val="es-CR"/>
        </w:rPr>
        <w:t xml:space="preserve">es incompatible </w:t>
      </w:r>
      <w:r w:rsidRPr="00B06C31">
        <w:rPr>
          <w:szCs w:val="20"/>
          <w:lang w:val="es-CR"/>
        </w:rPr>
        <w:t>con las condiciones mínimas de tratamiento de los presos, previstas en el derecho interno del Estado brasileño (más específicamente, en las resoluciones Nº 14/1994 y 09/2011 del CNPCP</w:t>
      </w:r>
      <w:r w:rsidRPr="00B06C31">
        <w:rPr>
          <w:rStyle w:val="FootnoteReference"/>
          <w:lang w:val="es-CR"/>
        </w:rPr>
        <w:footnoteReference w:id="21"/>
      </w:r>
      <w:r w:rsidRPr="00B06C31">
        <w:rPr>
          <w:szCs w:val="20"/>
          <w:lang w:val="es-CR"/>
        </w:rPr>
        <w:t>), así como en las Reglas de Mandela, de las Naciones Unidas</w:t>
      </w:r>
      <w:r w:rsidRPr="00B06C31">
        <w:rPr>
          <w:rStyle w:val="FootnoteReference"/>
          <w:lang w:val="es-CR"/>
        </w:rPr>
        <w:footnoteReference w:id="22"/>
      </w:r>
      <w:r w:rsidRPr="00B06C31">
        <w:rPr>
          <w:szCs w:val="20"/>
          <w:lang w:val="es-CR"/>
        </w:rPr>
        <w:t xml:space="preserve"> y, en los Principios y Buenas Prácticas sobre la Protección de las Personas Privadas de Libertad en las Américas,</w:t>
      </w:r>
      <w:r w:rsidRPr="00B06C31">
        <w:rPr>
          <w:sz w:val="13"/>
          <w:szCs w:val="13"/>
          <w:lang w:val="es-CR"/>
        </w:rPr>
        <w:t xml:space="preserve"> </w:t>
      </w:r>
      <w:r w:rsidRPr="00B06C31">
        <w:rPr>
          <w:szCs w:val="20"/>
          <w:lang w:val="es-CR"/>
        </w:rPr>
        <w:t>de la Comisión Interamericana de Derechos Humanos.</w:t>
      </w:r>
      <w:r w:rsidRPr="00B06C31">
        <w:rPr>
          <w:rStyle w:val="FootnoteReference"/>
          <w:lang w:val="es-CR"/>
        </w:rPr>
        <w:footnoteReference w:id="23"/>
      </w:r>
    </w:p>
    <w:p w14:paraId="1671C692" w14:textId="77777777" w:rsidR="009E7BBE" w:rsidRPr="00B06C31" w:rsidRDefault="009E7BBE" w:rsidP="009E7BBE">
      <w:pPr>
        <w:pStyle w:val="ListParagraph"/>
        <w:rPr>
          <w:szCs w:val="20"/>
          <w:lang w:val="es-CR"/>
        </w:rPr>
      </w:pPr>
    </w:p>
    <w:p w14:paraId="25DB800B" w14:textId="34D768A4"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La Corte urge al Estado que adapte las condiciones de infraestructura del IPPSC a aquellas mínimamente necesarias para proveer una vida digna a los detenidos. En consonancia con la jurisprudencia constante de este </w:t>
      </w:r>
      <w:r w:rsidR="008C7BC2">
        <w:rPr>
          <w:szCs w:val="20"/>
          <w:lang w:val="es-CR"/>
        </w:rPr>
        <w:t>T</w:t>
      </w:r>
      <w:r w:rsidRPr="00B06C31">
        <w:rPr>
          <w:szCs w:val="20"/>
          <w:lang w:val="es-CR"/>
        </w:rPr>
        <w:t>ribunal, la Corte resalta que los Estados deben abstenerse de crear condiciones incompatibles con la existencia digna de las personas privadas de libertad.</w:t>
      </w:r>
      <w:r w:rsidRPr="00B06C31">
        <w:rPr>
          <w:rStyle w:val="FootnoteReference"/>
          <w:lang w:val="es-CR"/>
        </w:rPr>
        <w:footnoteReference w:id="24"/>
      </w:r>
      <w:r w:rsidRPr="00B06C31">
        <w:rPr>
          <w:sz w:val="13"/>
          <w:szCs w:val="13"/>
          <w:lang w:val="es-CR"/>
        </w:rPr>
        <w:t xml:space="preserve"> </w:t>
      </w:r>
      <w:r w:rsidRPr="00B06C31">
        <w:rPr>
          <w:szCs w:val="20"/>
          <w:lang w:val="es-CR"/>
        </w:rPr>
        <w:t>El Estado, por tanto, debe tomar medidas concretas para, entre otros aspectos, implementar lo dispuesto en la Ley Nº</w:t>
      </w:r>
      <w:r w:rsidRPr="00B06C31">
        <w:rPr>
          <w:sz w:val="13"/>
          <w:szCs w:val="13"/>
          <w:lang w:val="es-CR"/>
        </w:rPr>
        <w:t xml:space="preserve"> </w:t>
      </w:r>
      <w:r w:rsidRPr="00B06C31">
        <w:rPr>
          <w:szCs w:val="20"/>
          <w:lang w:val="es-CR"/>
        </w:rPr>
        <w:t xml:space="preserve">7.210/84 y garantizar que los internos gocen de los derechos que la citada norma les concede. </w:t>
      </w:r>
    </w:p>
    <w:p w14:paraId="70CBF7E4" w14:textId="77777777" w:rsidR="009E7BBE" w:rsidRPr="00B06C31" w:rsidRDefault="009E7BBE" w:rsidP="009E7BBE">
      <w:pPr>
        <w:rPr>
          <w:lang w:val="es-CR"/>
        </w:rPr>
      </w:pPr>
    </w:p>
    <w:p w14:paraId="5BF1D41F" w14:textId="77777777" w:rsidR="009E7BBE" w:rsidRPr="009E7BBE" w:rsidRDefault="009E7BBE" w:rsidP="009E7BBE">
      <w:pPr>
        <w:pStyle w:val="Heading5"/>
      </w:pPr>
      <w:r w:rsidRPr="009E7BBE">
        <w:t>Sobre la situación de sobrepoblación y hacinamiento</w:t>
      </w:r>
    </w:p>
    <w:p w14:paraId="6763917C" w14:textId="77777777" w:rsidR="009E7BBE" w:rsidRPr="00B06C31" w:rsidRDefault="009E7BBE" w:rsidP="009E7BBE">
      <w:pPr>
        <w:rPr>
          <w:lang w:val="es-CR"/>
        </w:rPr>
      </w:pPr>
    </w:p>
    <w:p w14:paraId="71D13549" w14:textId="4A37C6B9" w:rsidR="009E7BBE" w:rsidRPr="00B06C31" w:rsidRDefault="00286306" w:rsidP="009E7BBE">
      <w:pPr>
        <w:pStyle w:val="Heading2"/>
        <w:numPr>
          <w:ilvl w:val="0"/>
          <w:numId w:val="20"/>
        </w:numPr>
        <w:tabs>
          <w:tab w:val="clear" w:pos="720"/>
        </w:tabs>
        <w:snapToGrid w:val="0"/>
        <w:ind w:left="0" w:firstLine="0"/>
        <w:jc w:val="both"/>
        <w:rPr>
          <w:b w:val="0"/>
          <w:lang w:val="es-CR"/>
        </w:rPr>
      </w:pPr>
      <w:r>
        <w:rPr>
          <w:b w:val="0"/>
        </w:rPr>
        <w:t>L</w:t>
      </w:r>
      <w:r w:rsidR="009E7BBE" w:rsidRPr="00B06C31">
        <w:rPr>
          <w:b w:val="0"/>
          <w:lang w:val="es-CR"/>
        </w:rPr>
        <w:t>a Corte valora los esfuerzos del Estado de aumentar la eficacia del control judicial de las detenciones por medio de audiencias de custodia, así como el reconocimiento expreso de Brasil en relación a la necesidad de recurrir con mayor frecuencia, a medidas alternativas al encarcelamiento.</w:t>
      </w:r>
    </w:p>
    <w:p w14:paraId="01F6194D" w14:textId="77777777" w:rsidR="009E7BBE" w:rsidRPr="00B06C31" w:rsidRDefault="009E7BBE" w:rsidP="009E7BBE">
      <w:pPr>
        <w:rPr>
          <w:lang w:val="es-CR"/>
        </w:rPr>
      </w:pPr>
    </w:p>
    <w:p w14:paraId="5935421D" w14:textId="6336E2C6" w:rsidR="009E7BBE" w:rsidRPr="00B06C31" w:rsidRDefault="009E7BBE" w:rsidP="009E7BBE">
      <w:pPr>
        <w:pStyle w:val="Heading2"/>
        <w:numPr>
          <w:ilvl w:val="0"/>
          <w:numId w:val="20"/>
        </w:numPr>
        <w:tabs>
          <w:tab w:val="clear" w:pos="720"/>
        </w:tabs>
        <w:snapToGrid w:val="0"/>
        <w:ind w:left="0" w:firstLine="0"/>
        <w:jc w:val="both"/>
        <w:rPr>
          <w:b w:val="0"/>
        </w:rPr>
      </w:pPr>
      <w:r w:rsidRPr="00B06C31">
        <w:rPr>
          <w:b w:val="0"/>
          <w:lang w:val="es-CR"/>
        </w:rPr>
        <w:t>Además, toma nota del pedido del C</w:t>
      </w:r>
      <w:r w:rsidR="00286306">
        <w:rPr>
          <w:b w:val="0"/>
          <w:lang w:val="es-CR"/>
        </w:rPr>
        <w:t xml:space="preserve">onsejo </w:t>
      </w:r>
      <w:r w:rsidRPr="00B06C31">
        <w:rPr>
          <w:b w:val="0"/>
          <w:lang w:val="es-CR"/>
        </w:rPr>
        <w:t>N</w:t>
      </w:r>
      <w:r w:rsidR="00286306">
        <w:rPr>
          <w:b w:val="0"/>
          <w:lang w:val="es-CR"/>
        </w:rPr>
        <w:t xml:space="preserve">acional de </w:t>
      </w:r>
      <w:r w:rsidRPr="00B06C31">
        <w:rPr>
          <w:b w:val="0"/>
          <w:lang w:val="es-CR"/>
        </w:rPr>
        <w:t>J</w:t>
      </w:r>
      <w:r w:rsidR="00286306">
        <w:rPr>
          <w:b w:val="0"/>
          <w:lang w:val="es-CR"/>
        </w:rPr>
        <w:t>usticia (CNJ)</w:t>
      </w:r>
      <w:r w:rsidRPr="00B06C31">
        <w:rPr>
          <w:b w:val="0"/>
          <w:lang w:val="es-CR"/>
        </w:rPr>
        <w:t xml:space="preserve"> al GMF-RJ para que sea evaluada la pertinencia de </w:t>
      </w:r>
      <w:r w:rsidR="005553A2">
        <w:rPr>
          <w:b w:val="0"/>
          <w:lang w:val="es-CR"/>
        </w:rPr>
        <w:t xml:space="preserve">un </w:t>
      </w:r>
      <w:r w:rsidRPr="00B06C31">
        <w:rPr>
          <w:b w:val="0"/>
          <w:lang w:val="es-CR"/>
        </w:rPr>
        <w:t>esfuerzo concentrado para la aplicación de la Interpretación Vinculante (</w:t>
      </w:r>
      <w:proofErr w:type="spellStart"/>
      <w:r w:rsidRPr="00B06C31">
        <w:rPr>
          <w:b w:val="0"/>
          <w:i/>
          <w:lang w:val="es-CR"/>
        </w:rPr>
        <w:t>Súmula</w:t>
      </w:r>
      <w:proofErr w:type="spellEnd"/>
      <w:r w:rsidRPr="00B06C31">
        <w:rPr>
          <w:b w:val="0"/>
          <w:i/>
          <w:lang w:val="es-CR"/>
        </w:rPr>
        <w:t xml:space="preserve"> Vinculante)</w:t>
      </w:r>
      <w:r w:rsidRPr="00B06C31">
        <w:rPr>
          <w:b w:val="0"/>
          <w:lang w:val="es-CR"/>
        </w:rPr>
        <w:t xml:space="preserve"> </w:t>
      </w:r>
      <w:r w:rsidR="00286306">
        <w:rPr>
          <w:b w:val="0"/>
          <w:lang w:val="es-CR"/>
        </w:rPr>
        <w:t>No.</w:t>
      </w:r>
      <w:r w:rsidR="00286306" w:rsidRPr="00B06C31">
        <w:rPr>
          <w:b w:val="0"/>
          <w:lang w:val="es-CR"/>
        </w:rPr>
        <w:t xml:space="preserve"> </w:t>
      </w:r>
      <w:r w:rsidRPr="00B06C31">
        <w:rPr>
          <w:b w:val="0"/>
          <w:lang w:val="es-CR"/>
        </w:rPr>
        <w:t xml:space="preserve">56 en favor de las personas custodiadas en el IPPSC. </w:t>
      </w:r>
    </w:p>
    <w:p w14:paraId="6B3633A4" w14:textId="77777777" w:rsidR="009E7BBE" w:rsidRPr="00B06C31" w:rsidRDefault="009E7BBE" w:rsidP="009E7BBE">
      <w:pPr>
        <w:pStyle w:val="ListParagraph"/>
        <w:snapToGrid w:val="0"/>
        <w:ind w:left="0"/>
        <w:contextualSpacing w:val="0"/>
        <w:rPr>
          <w:szCs w:val="20"/>
          <w:lang w:val="es-CR"/>
        </w:rPr>
      </w:pPr>
    </w:p>
    <w:p w14:paraId="19681B02" w14:textId="4BA6C30F"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La Corte observa con preocupación el hecho de que el Estado dispone de solo 7 jueces de ejecución penal en el estado de Río de Janeiro para acompañar el cumplimento de pena y el régimen de ejecución de más de 50 mil personas privadas de libertad. Tal cantidad de jueces es evidentemente insuficiente para garantizar un efectivo control judicial sobre las detenciones y para acompañar prontamente la situación procesal de todos los detenidos.</w:t>
      </w:r>
    </w:p>
    <w:p w14:paraId="49E0DC17" w14:textId="77777777" w:rsidR="009E7BBE" w:rsidRPr="00B06C31" w:rsidRDefault="009E7BBE" w:rsidP="009E7BBE">
      <w:pPr>
        <w:pStyle w:val="ListParagraph"/>
        <w:rPr>
          <w:szCs w:val="20"/>
          <w:lang w:val="es-CR"/>
        </w:rPr>
      </w:pPr>
    </w:p>
    <w:p w14:paraId="52683951" w14:textId="4BD9F563"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También resalta el papel central del Poder Judicial en el combate al hacinamiento del IPPSC. Reitera que todos los órganos de un Estado Parte de la Convención Americana de </w:t>
      </w:r>
      <w:r w:rsidRPr="00B06C31">
        <w:rPr>
          <w:szCs w:val="20"/>
          <w:lang w:val="es-CR"/>
        </w:rPr>
        <w:lastRenderedPageBreak/>
        <w:t>Derechos Humanos, incluidos sus jueces, son vinculados a la Convención y obligados a velar por el cumplimento de sus disposiciones, así como por la observación de las medidas ordenadas por la Corte.</w:t>
      </w:r>
    </w:p>
    <w:p w14:paraId="036BC5E6" w14:textId="77777777" w:rsidR="009E7BBE" w:rsidRPr="00B06C31" w:rsidRDefault="009E7BBE" w:rsidP="009E7BBE">
      <w:pPr>
        <w:pStyle w:val="ListParagraph"/>
        <w:rPr>
          <w:szCs w:val="20"/>
          <w:lang w:val="es-CR"/>
        </w:rPr>
      </w:pPr>
    </w:p>
    <w:p w14:paraId="5893CA7E" w14:textId="46D61E90" w:rsidR="009E7BBE" w:rsidRPr="005553A2" w:rsidRDefault="009E7BBE" w:rsidP="005553A2">
      <w:pPr>
        <w:pStyle w:val="ListParagraph"/>
        <w:numPr>
          <w:ilvl w:val="0"/>
          <w:numId w:val="20"/>
        </w:numPr>
        <w:snapToGrid w:val="0"/>
        <w:ind w:left="0" w:firstLine="0"/>
        <w:contextualSpacing w:val="0"/>
        <w:rPr>
          <w:szCs w:val="20"/>
          <w:lang w:val="es-CR"/>
        </w:rPr>
      </w:pPr>
      <w:r w:rsidRPr="005553A2">
        <w:rPr>
          <w:szCs w:val="20"/>
          <w:lang w:val="es-CR"/>
        </w:rPr>
        <w:t>El Tribunal toma conocimiento de la afirmación remitida por los representantes en relación a</w:t>
      </w:r>
      <w:r w:rsidR="005553A2">
        <w:rPr>
          <w:szCs w:val="20"/>
          <w:lang w:val="es-CR"/>
        </w:rPr>
        <w:t xml:space="preserve">l cese </w:t>
      </w:r>
      <w:r w:rsidRPr="005553A2">
        <w:rPr>
          <w:szCs w:val="20"/>
          <w:lang w:val="es-CR"/>
        </w:rPr>
        <w:t>del recién creado Comité Colegiado del Tribunal de Justicia del Estado de Río de Janeiro. En ese sentido, requiere al Estado información al respecto, así como en relación a las medidas adoptadas por el Comité para reducir el hacinamiento del IPPSC. En el caso de que el Comité Colegiado efectivamente haya desaparecido, la Corte requiere que el Estado le informe sobre cu</w:t>
      </w:r>
      <w:r w:rsidR="008C7BC2">
        <w:rPr>
          <w:szCs w:val="20"/>
          <w:lang w:val="es-CR"/>
        </w:rPr>
        <w:t>á</w:t>
      </w:r>
      <w:r w:rsidRPr="005553A2">
        <w:rPr>
          <w:szCs w:val="20"/>
          <w:lang w:val="es-CR"/>
        </w:rPr>
        <w:t xml:space="preserve">l órgano estatal actualmente es responsable por las atribuciones anteriormente en cabeza del Comité. </w:t>
      </w:r>
    </w:p>
    <w:p w14:paraId="38CC179E" w14:textId="77777777" w:rsidR="009E7BBE" w:rsidRPr="00B06C31" w:rsidRDefault="009E7BBE" w:rsidP="009E7BBE">
      <w:pPr>
        <w:pStyle w:val="ListParagraph"/>
        <w:snapToGrid w:val="0"/>
        <w:ind w:left="0"/>
        <w:contextualSpacing w:val="0"/>
        <w:rPr>
          <w:szCs w:val="20"/>
          <w:lang w:val="es-CR"/>
        </w:rPr>
      </w:pPr>
    </w:p>
    <w:p w14:paraId="08B2EC0F" w14:textId="3DD84826"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 xml:space="preserve">Además, </w:t>
      </w:r>
      <w:r w:rsidR="00286306">
        <w:rPr>
          <w:szCs w:val="20"/>
          <w:lang w:val="es-CR"/>
        </w:rPr>
        <w:t xml:space="preserve">la Corte </w:t>
      </w:r>
      <w:r w:rsidRPr="00B06C31">
        <w:rPr>
          <w:szCs w:val="20"/>
          <w:lang w:val="es-CR"/>
        </w:rPr>
        <w:t xml:space="preserve">toma nota de la información enviada por </w:t>
      </w:r>
      <w:r w:rsidR="00286306">
        <w:rPr>
          <w:szCs w:val="20"/>
          <w:lang w:val="es-CR"/>
        </w:rPr>
        <w:t xml:space="preserve">Brasil </w:t>
      </w:r>
      <w:r w:rsidRPr="00B06C31">
        <w:rPr>
          <w:szCs w:val="20"/>
          <w:lang w:val="es-CR"/>
        </w:rPr>
        <w:t xml:space="preserve">de que, en el año 2017, el excedente carcelario del IPPSC se redujo considerablemente. Sin embargo, observa que no hubo reducción del total de la población </w:t>
      </w:r>
      <w:r w:rsidR="005553A2">
        <w:rPr>
          <w:szCs w:val="20"/>
          <w:lang w:val="es-CR"/>
        </w:rPr>
        <w:t xml:space="preserve"> recluida en </w:t>
      </w:r>
      <w:r w:rsidRPr="00B06C31">
        <w:rPr>
          <w:szCs w:val="20"/>
          <w:lang w:val="es-CR"/>
        </w:rPr>
        <w:t>el Instituto. Al contrario, a pesar de las medidas provisionales ordenadas por la Corte, la población del IPPSC sigue aumentando. A partir de las informaciones enviadas a la Corte por el Estado y por los representantes, se percibe que la situación de hacinamiento del IPPSC continúa agravándose, aunque en menor ritmo en el año 2017, en comparación con el año anterior.</w:t>
      </w:r>
    </w:p>
    <w:p w14:paraId="53169EE4" w14:textId="77777777" w:rsidR="009E7BBE" w:rsidRPr="00B06C31" w:rsidRDefault="009E7BBE" w:rsidP="009E7BBE">
      <w:pPr>
        <w:rPr>
          <w:szCs w:val="20"/>
          <w:lang w:val="es-CR"/>
        </w:rPr>
      </w:pPr>
    </w:p>
    <w:p w14:paraId="35D3C2D7" w14:textId="77777777" w:rsidR="009E7BBE" w:rsidRPr="00B06C31" w:rsidRDefault="009E7BBE" w:rsidP="009E7BBE">
      <w:pPr>
        <w:pStyle w:val="ListParagraph"/>
        <w:numPr>
          <w:ilvl w:val="0"/>
          <w:numId w:val="20"/>
        </w:numPr>
        <w:snapToGrid w:val="0"/>
        <w:ind w:left="0" w:firstLine="0"/>
        <w:contextualSpacing w:val="0"/>
        <w:rPr>
          <w:szCs w:val="20"/>
          <w:lang w:val="es-CR"/>
        </w:rPr>
      </w:pPr>
      <w:r w:rsidRPr="00B06C31">
        <w:rPr>
          <w:szCs w:val="20"/>
          <w:lang w:val="es-CR"/>
        </w:rPr>
        <w:t>La Corte hace notar que alegados obstáculos presupuestarios del estado de Río de Janeiro y cambios institucionales derivados del decreto de intervención federal no pueden ser utilizados como disculpa para el incumplimiento de las presentes medidas provisionales.</w:t>
      </w:r>
    </w:p>
    <w:p w14:paraId="7E6C046F" w14:textId="77777777" w:rsidR="009E7BBE" w:rsidRPr="00B06C31" w:rsidRDefault="009E7BBE" w:rsidP="008A344F">
      <w:pPr>
        <w:pStyle w:val="Heading2"/>
        <w:tabs>
          <w:tab w:val="clear" w:pos="720"/>
        </w:tabs>
        <w:snapToGrid w:val="0"/>
        <w:jc w:val="both"/>
        <w:rPr>
          <w:b w:val="0"/>
        </w:rPr>
      </w:pPr>
    </w:p>
    <w:p w14:paraId="10F30C57" w14:textId="77777777" w:rsidR="009E7BBE" w:rsidRPr="00B06C31" w:rsidRDefault="009E7BBE" w:rsidP="009E7BBE">
      <w:pPr>
        <w:pStyle w:val="Heading2"/>
        <w:tabs>
          <w:tab w:val="clear" w:pos="720"/>
        </w:tabs>
        <w:jc w:val="both"/>
      </w:pPr>
      <w:r w:rsidRPr="00B06C31">
        <w:t>La actual situación de los presos en el IPPSC</w:t>
      </w:r>
    </w:p>
    <w:p w14:paraId="572D1C61" w14:textId="77777777" w:rsidR="009E7BBE" w:rsidRPr="00B06C31" w:rsidRDefault="009E7BBE" w:rsidP="009E7BBE">
      <w:pPr>
        <w:snapToGrid w:val="0"/>
        <w:rPr>
          <w:szCs w:val="20"/>
          <w:lang w:val="es-CR"/>
        </w:rPr>
      </w:pPr>
    </w:p>
    <w:p w14:paraId="78A6869B"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La Corte no puede dejar de observar que, pese al tiempo transcurrido, las medidas antes dispuestas no han permitido mejorar en concreto las condiciones de detención de las personas que se hallan privadas de libertad en el IPPSC de Rio de Janeiro. </w:t>
      </w:r>
    </w:p>
    <w:p w14:paraId="2786F28E" w14:textId="77777777" w:rsidR="009E7BBE" w:rsidRPr="00B06C31" w:rsidRDefault="009E7BBE" w:rsidP="009E7BBE">
      <w:pPr>
        <w:pStyle w:val="ListParagraph"/>
        <w:snapToGrid w:val="0"/>
        <w:ind w:left="0"/>
        <w:rPr>
          <w:szCs w:val="20"/>
          <w:lang w:val="es-CR"/>
        </w:rPr>
      </w:pPr>
    </w:p>
    <w:p w14:paraId="7F13EA01"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La Corte verifica que esas personas están padeciendo las consecuencias de una sobrepoblación con densidad aproximada del 200%, cuando los criterios internacionales -como el del Consejo de Europa- señalan que sobrepasar el 120% implica sobrepoblación crítica.  </w:t>
      </w:r>
    </w:p>
    <w:p w14:paraId="3A051FF3" w14:textId="77777777" w:rsidR="009E7BBE" w:rsidRPr="00B06C31" w:rsidRDefault="009E7BBE" w:rsidP="009E7BBE">
      <w:pPr>
        <w:pStyle w:val="ListParagraph"/>
        <w:snapToGrid w:val="0"/>
        <w:ind w:left="0"/>
        <w:rPr>
          <w:szCs w:val="20"/>
          <w:lang w:val="es-CR"/>
        </w:rPr>
      </w:pPr>
    </w:p>
    <w:p w14:paraId="71A78338"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Conforme a los conocimientos elementales en materia penitenciaria y a lo verificado hasta el presente e incluso reconocido por el Estado, estas consecuencias se traducen principalmente en:</w:t>
      </w:r>
    </w:p>
    <w:p w14:paraId="4261E24C" w14:textId="77777777" w:rsidR="009E7BBE" w:rsidRPr="00B06C31" w:rsidRDefault="009E7BBE" w:rsidP="009E7BBE">
      <w:pPr>
        <w:pStyle w:val="ListParagraph"/>
        <w:snapToGrid w:val="0"/>
        <w:ind w:left="0"/>
        <w:rPr>
          <w:szCs w:val="20"/>
          <w:lang w:val="es-CR"/>
        </w:rPr>
      </w:pPr>
    </w:p>
    <w:p w14:paraId="40334744" w14:textId="77777777" w:rsidR="009E7BBE" w:rsidRPr="00B06C31" w:rsidRDefault="009E7BBE" w:rsidP="00E22992">
      <w:pPr>
        <w:pStyle w:val="ListParagraph"/>
        <w:numPr>
          <w:ilvl w:val="1"/>
          <w:numId w:val="20"/>
        </w:numPr>
        <w:snapToGrid w:val="0"/>
        <w:ind w:left="993" w:hanging="426"/>
        <w:rPr>
          <w:szCs w:val="20"/>
          <w:lang w:val="es-CR"/>
        </w:rPr>
      </w:pPr>
      <w:r w:rsidRPr="00B06C31">
        <w:rPr>
          <w:szCs w:val="20"/>
          <w:lang w:val="es-CR"/>
        </w:rPr>
        <w:t>Atención médica ínfima, con una médica a cargo de más de tres mil presos, cuando la OMS/OPS considera que, como mínimo, debe haber 2,5 médicos por cada 1.000 habitantes para prestar los más elementales servicios en materia de salud a población libre</w:t>
      </w:r>
      <w:r w:rsidRPr="00B06C31">
        <w:rPr>
          <w:rStyle w:val="FootnoteReference"/>
          <w:lang w:val="es-CR"/>
        </w:rPr>
        <w:footnoteReference w:id="25"/>
      </w:r>
      <w:r w:rsidRPr="00B06C31">
        <w:rPr>
          <w:szCs w:val="20"/>
          <w:lang w:val="es-CR"/>
        </w:rPr>
        <w:t xml:space="preserve">. </w:t>
      </w:r>
    </w:p>
    <w:p w14:paraId="0A41C463" w14:textId="77777777" w:rsidR="009E7BBE" w:rsidRPr="00B06C31" w:rsidRDefault="009E7BBE" w:rsidP="00E22992">
      <w:pPr>
        <w:pStyle w:val="ListParagraph"/>
        <w:numPr>
          <w:ilvl w:val="1"/>
          <w:numId w:val="20"/>
        </w:numPr>
        <w:snapToGrid w:val="0"/>
        <w:ind w:left="993" w:hanging="426"/>
        <w:rPr>
          <w:szCs w:val="20"/>
          <w:lang w:val="es-CR"/>
        </w:rPr>
      </w:pPr>
      <w:r w:rsidRPr="00B06C31">
        <w:rPr>
          <w:szCs w:val="20"/>
          <w:lang w:val="es-CR"/>
        </w:rPr>
        <w:t>Mortalidad superior a la de la población libre.</w:t>
      </w:r>
    </w:p>
    <w:p w14:paraId="1817C4C9" w14:textId="77777777" w:rsidR="009E7BBE" w:rsidRPr="00B06C31" w:rsidRDefault="009E7BBE" w:rsidP="00E22992">
      <w:pPr>
        <w:pStyle w:val="ListParagraph"/>
        <w:numPr>
          <w:ilvl w:val="1"/>
          <w:numId w:val="20"/>
        </w:numPr>
        <w:snapToGrid w:val="0"/>
        <w:ind w:left="993" w:hanging="426"/>
        <w:rPr>
          <w:szCs w:val="20"/>
          <w:lang w:val="es-CR"/>
        </w:rPr>
      </w:pPr>
      <w:r w:rsidRPr="00B06C31">
        <w:rPr>
          <w:szCs w:val="20"/>
          <w:lang w:val="es-CR"/>
        </w:rPr>
        <w:t>Carencia de información acerca de las causas de muerte.</w:t>
      </w:r>
    </w:p>
    <w:p w14:paraId="62E51D0C" w14:textId="77777777" w:rsidR="009E7BBE" w:rsidRPr="00B06C31" w:rsidRDefault="009E7BBE" w:rsidP="00E22992">
      <w:pPr>
        <w:pStyle w:val="ListParagraph"/>
        <w:numPr>
          <w:ilvl w:val="1"/>
          <w:numId w:val="20"/>
        </w:numPr>
        <w:snapToGrid w:val="0"/>
        <w:ind w:left="993" w:hanging="426"/>
        <w:rPr>
          <w:i/>
          <w:szCs w:val="20"/>
          <w:lang w:val="es-CR"/>
        </w:rPr>
      </w:pPr>
      <w:r w:rsidRPr="00B06C31">
        <w:rPr>
          <w:szCs w:val="20"/>
          <w:lang w:val="es-CR"/>
        </w:rPr>
        <w:t xml:space="preserve">Carencia de espacios dignos para el descanso nocturno, con hacinamiento en dormitorios, verificado </w:t>
      </w:r>
      <w:r w:rsidRPr="00B06C31">
        <w:rPr>
          <w:i/>
          <w:szCs w:val="20"/>
          <w:lang w:val="es-CR"/>
        </w:rPr>
        <w:t xml:space="preserve">in situ. </w:t>
      </w:r>
    </w:p>
    <w:p w14:paraId="0A9840E3" w14:textId="77777777" w:rsidR="009E7BBE" w:rsidRPr="00B06C31" w:rsidRDefault="009E7BBE" w:rsidP="00E22992">
      <w:pPr>
        <w:pStyle w:val="ListParagraph"/>
        <w:numPr>
          <w:ilvl w:val="1"/>
          <w:numId w:val="20"/>
        </w:numPr>
        <w:snapToGrid w:val="0"/>
        <w:ind w:left="993" w:hanging="426"/>
        <w:rPr>
          <w:szCs w:val="20"/>
          <w:lang w:val="es-CR"/>
        </w:rPr>
      </w:pPr>
      <w:r w:rsidRPr="00B06C31">
        <w:rPr>
          <w:szCs w:val="20"/>
          <w:lang w:val="es-CR"/>
        </w:rPr>
        <w:t xml:space="preserve">Inseguridad física por imprevisión de incendios, en particular con colchones que no son ignífugos, verificada </w:t>
      </w:r>
      <w:r w:rsidRPr="00B06C31">
        <w:rPr>
          <w:i/>
          <w:szCs w:val="20"/>
          <w:lang w:val="es-CR"/>
        </w:rPr>
        <w:t>in situ</w:t>
      </w:r>
      <w:r w:rsidRPr="00B06C31">
        <w:rPr>
          <w:szCs w:val="20"/>
          <w:lang w:val="es-CR"/>
        </w:rPr>
        <w:t xml:space="preserve">. </w:t>
      </w:r>
    </w:p>
    <w:p w14:paraId="0DFDEAAF" w14:textId="77777777" w:rsidR="009E7BBE" w:rsidRPr="00B06C31" w:rsidRDefault="009E7BBE" w:rsidP="00E22992">
      <w:pPr>
        <w:pStyle w:val="ListParagraph"/>
        <w:numPr>
          <w:ilvl w:val="1"/>
          <w:numId w:val="20"/>
        </w:numPr>
        <w:snapToGrid w:val="0"/>
        <w:ind w:left="993" w:hanging="426"/>
        <w:rPr>
          <w:szCs w:val="20"/>
          <w:lang w:val="es-CR"/>
        </w:rPr>
      </w:pPr>
      <w:r w:rsidRPr="00B06C31">
        <w:rPr>
          <w:szCs w:val="20"/>
          <w:lang w:val="es-CR"/>
        </w:rPr>
        <w:t xml:space="preserve">Inseguridad personal y física resultante de la desproporción de personal en relación al número de presos. </w:t>
      </w:r>
    </w:p>
    <w:p w14:paraId="6120E11D" w14:textId="77777777" w:rsidR="009E7BBE" w:rsidRPr="00B06C31" w:rsidRDefault="009E7BBE" w:rsidP="009E7BBE">
      <w:pPr>
        <w:pStyle w:val="ListParagraph"/>
        <w:snapToGrid w:val="0"/>
        <w:ind w:left="0"/>
        <w:rPr>
          <w:szCs w:val="20"/>
          <w:lang w:val="es-CR"/>
        </w:rPr>
      </w:pPr>
    </w:p>
    <w:p w14:paraId="4568EF73" w14:textId="6E3D14F6"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Con respecto a esta desproporción, la experiencia penitenciaria y los criterios internacionales, indican que se trata de un dato de fundamental importancia para caracterizar cualquier institución penal. Los expertos internacionales suelen señalar que no debe haber más que 12 presos por funcionario, pues dado que el personal trabaja por turnos y el cálculo de la </w:t>
      </w:r>
      <w:r w:rsidRPr="00B06C31">
        <w:rPr>
          <w:i/>
          <w:szCs w:val="20"/>
          <w:lang w:val="es-CR"/>
        </w:rPr>
        <w:t>ratio</w:t>
      </w:r>
      <w:r w:rsidRPr="00B06C31">
        <w:rPr>
          <w:szCs w:val="20"/>
          <w:lang w:val="es-CR"/>
        </w:rPr>
        <w:t xml:space="preserve"> funcionario/preso debe multiplicarse por el número de turnos.</w:t>
      </w:r>
      <w:r w:rsidR="00286306">
        <w:rPr>
          <w:szCs w:val="20"/>
          <w:lang w:val="es-CR"/>
        </w:rPr>
        <w:t xml:space="preserve"> </w:t>
      </w:r>
      <w:r w:rsidR="00DF3B57">
        <w:rPr>
          <w:szCs w:val="20"/>
          <w:lang w:val="es-CR"/>
        </w:rPr>
        <w:t xml:space="preserve">Aunque Brasil no cuente con </w:t>
      </w:r>
      <w:r w:rsidR="00286306" w:rsidRPr="00DF3B57">
        <w:rPr>
          <w:szCs w:val="20"/>
          <w:lang w:val="es-CR"/>
        </w:rPr>
        <w:t xml:space="preserve">normativa en ámbito interno </w:t>
      </w:r>
      <w:r w:rsidR="00DF3B57" w:rsidRPr="008A344F">
        <w:rPr>
          <w:szCs w:val="20"/>
          <w:lang w:val="es-CR"/>
        </w:rPr>
        <w:t xml:space="preserve">que reglamente específicamente la proporción de agentes penitenciarios por presos en régimen </w:t>
      </w:r>
      <w:proofErr w:type="spellStart"/>
      <w:r w:rsidR="00DF3B57" w:rsidRPr="008A344F">
        <w:rPr>
          <w:szCs w:val="20"/>
          <w:lang w:val="es-CR"/>
        </w:rPr>
        <w:t>semiabierto</w:t>
      </w:r>
      <w:proofErr w:type="spellEnd"/>
      <w:r w:rsidR="00DF3B57" w:rsidRPr="008A344F">
        <w:rPr>
          <w:szCs w:val="20"/>
          <w:lang w:val="es-CR"/>
        </w:rPr>
        <w:t xml:space="preserve">, la Corte toma nota de los criterios adoptados </w:t>
      </w:r>
      <w:r w:rsidR="00286306" w:rsidRPr="00DF3B57">
        <w:rPr>
          <w:szCs w:val="20"/>
          <w:lang w:val="es-CR"/>
        </w:rPr>
        <w:t>a través de la Resolución No. 1/2009 del Consejo Nacional de Política Criminal y Penitenciaria</w:t>
      </w:r>
      <w:r w:rsidR="00DF3B57" w:rsidRPr="008A344F">
        <w:rPr>
          <w:szCs w:val="20"/>
          <w:lang w:val="es-CR"/>
        </w:rPr>
        <w:t xml:space="preserve"> para el régimen cerrado como parámetro importante.</w:t>
      </w:r>
      <w:r w:rsidR="00286306">
        <w:rPr>
          <w:szCs w:val="20"/>
          <w:lang w:val="es-CR"/>
        </w:rPr>
        <w:t xml:space="preserve"> </w:t>
      </w:r>
      <w:r w:rsidRPr="00B06C31">
        <w:rPr>
          <w:szCs w:val="20"/>
          <w:lang w:val="es-CR"/>
        </w:rPr>
        <w:t xml:space="preserve"> </w:t>
      </w:r>
    </w:p>
    <w:p w14:paraId="65B6E76A" w14:textId="77777777" w:rsidR="009E7BBE" w:rsidRPr="00B06C31" w:rsidRDefault="009E7BBE" w:rsidP="009E7BBE">
      <w:pPr>
        <w:pStyle w:val="ListParagraph"/>
        <w:snapToGrid w:val="0"/>
        <w:ind w:left="0"/>
        <w:rPr>
          <w:szCs w:val="20"/>
          <w:lang w:val="es-CR"/>
        </w:rPr>
      </w:pPr>
    </w:p>
    <w:p w14:paraId="34D8C924"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El escasísimo personal de inspección del IPPSC demuestra que el control por parte de éste sólo puede ser mínimo y en algunos momentos o lugares del extenso penal poco menos de inexistente. De este modo, se produce el indeseable fenómeno de que el control efectivo del orden interno del instituto queda en buena medida en manos de los propios presos, o sea, que no es ejercido por la autoridad penitenciaria, sino que depende de los grupos de convivencia internos, por regla general de los más violentos organizados para supervivencia o autodefensa, que se imponen a los otros presos por la fuerza y establecen pautas de conducta obligatorias que éstos deben </w:t>
      </w:r>
      <w:proofErr w:type="spellStart"/>
      <w:r w:rsidRPr="00B06C31">
        <w:rPr>
          <w:szCs w:val="20"/>
          <w:lang w:val="es-CR"/>
        </w:rPr>
        <w:t>introyectar</w:t>
      </w:r>
      <w:proofErr w:type="spellEnd"/>
      <w:r w:rsidRPr="00B06C31">
        <w:rPr>
          <w:szCs w:val="20"/>
          <w:lang w:val="es-CR"/>
        </w:rPr>
        <w:t xml:space="preserve"> y que son por completo inadecuadas para la posterior convivencia en la sociedad libre. </w:t>
      </w:r>
    </w:p>
    <w:p w14:paraId="7BA938AD" w14:textId="77777777" w:rsidR="009E7BBE" w:rsidRPr="00B06C31" w:rsidRDefault="009E7BBE" w:rsidP="009E7BBE">
      <w:pPr>
        <w:pStyle w:val="ListParagraph"/>
        <w:snapToGrid w:val="0"/>
        <w:ind w:left="0"/>
        <w:rPr>
          <w:szCs w:val="20"/>
          <w:lang w:val="es-CR"/>
        </w:rPr>
      </w:pPr>
    </w:p>
    <w:p w14:paraId="25F03372" w14:textId="258182BA"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De hecho, la baja </w:t>
      </w:r>
      <w:r w:rsidRPr="00B06C31">
        <w:rPr>
          <w:i/>
          <w:szCs w:val="20"/>
          <w:lang w:val="es-CR"/>
        </w:rPr>
        <w:t>ratio</w:t>
      </w:r>
      <w:r w:rsidRPr="00B06C31">
        <w:rPr>
          <w:szCs w:val="20"/>
          <w:lang w:val="es-CR"/>
        </w:rPr>
        <w:t xml:space="preserve"> de funcionario por preso </w:t>
      </w:r>
      <w:r w:rsidR="003B4943">
        <w:rPr>
          <w:szCs w:val="20"/>
          <w:lang w:val="es-CR"/>
        </w:rPr>
        <w:t>indica</w:t>
      </w:r>
      <w:r w:rsidR="003B4943" w:rsidRPr="00B06C31">
        <w:rPr>
          <w:szCs w:val="20"/>
          <w:lang w:val="es-CR"/>
        </w:rPr>
        <w:t xml:space="preserve"> </w:t>
      </w:r>
      <w:r w:rsidRPr="00B06C31">
        <w:rPr>
          <w:szCs w:val="20"/>
          <w:lang w:val="es-CR"/>
        </w:rPr>
        <w:t>que el Estado no controla por completo el orden del instituto o, dicho de otra manera, que lo delega</w:t>
      </w:r>
      <w:r w:rsidR="003B4943">
        <w:rPr>
          <w:szCs w:val="20"/>
          <w:lang w:val="es-CR"/>
        </w:rPr>
        <w:t>ría</w:t>
      </w:r>
      <w:r w:rsidRPr="00B06C31">
        <w:rPr>
          <w:szCs w:val="20"/>
          <w:lang w:val="es-CR"/>
        </w:rPr>
        <w:t xml:space="preserve"> por omisión en los propios presos, con las consecuencias </w:t>
      </w:r>
      <w:proofErr w:type="spellStart"/>
      <w:r w:rsidRPr="00B06C31">
        <w:rPr>
          <w:szCs w:val="20"/>
          <w:lang w:val="es-CR"/>
        </w:rPr>
        <w:t>deteriorantes</w:t>
      </w:r>
      <w:proofErr w:type="spellEnd"/>
      <w:r w:rsidRPr="00B06C31">
        <w:rPr>
          <w:szCs w:val="20"/>
          <w:lang w:val="es-CR"/>
        </w:rPr>
        <w:t xml:space="preserve"> y violentas que la experiencia demuestra.  </w:t>
      </w:r>
    </w:p>
    <w:p w14:paraId="0AF253CA" w14:textId="77777777" w:rsidR="009E7BBE" w:rsidRPr="00B06C31" w:rsidRDefault="009E7BBE" w:rsidP="009E7BBE">
      <w:pPr>
        <w:snapToGrid w:val="0"/>
        <w:rPr>
          <w:szCs w:val="20"/>
          <w:lang w:val="es-CR"/>
        </w:rPr>
      </w:pPr>
    </w:p>
    <w:p w14:paraId="0D8528C7" w14:textId="77777777" w:rsidR="009E7BBE" w:rsidRPr="00B06C31" w:rsidRDefault="009E7BBE" w:rsidP="009E7BBE">
      <w:pPr>
        <w:pStyle w:val="ListParagraph"/>
        <w:snapToGrid w:val="0"/>
        <w:ind w:left="0"/>
        <w:rPr>
          <w:b/>
          <w:szCs w:val="20"/>
          <w:lang w:val="es-CR"/>
        </w:rPr>
      </w:pPr>
      <w:r w:rsidRPr="00B06C31">
        <w:rPr>
          <w:b/>
          <w:szCs w:val="20"/>
          <w:lang w:val="es-CR"/>
        </w:rPr>
        <w:t>Encuadre jurídico-convencional de la situación</w:t>
      </w:r>
    </w:p>
    <w:p w14:paraId="487A1D34" w14:textId="77777777" w:rsidR="009E7BBE" w:rsidRPr="00B06C31" w:rsidRDefault="009E7BBE" w:rsidP="009E7BBE">
      <w:pPr>
        <w:snapToGrid w:val="0"/>
        <w:rPr>
          <w:szCs w:val="20"/>
          <w:lang w:val="es-CR"/>
        </w:rPr>
      </w:pPr>
    </w:p>
    <w:p w14:paraId="0FBF359A" w14:textId="119F597A" w:rsidR="009E7BBE" w:rsidRPr="00B06C31" w:rsidRDefault="009E7BBE" w:rsidP="009E7BBE">
      <w:pPr>
        <w:pStyle w:val="ListParagraph"/>
        <w:numPr>
          <w:ilvl w:val="0"/>
          <w:numId w:val="20"/>
        </w:numPr>
        <w:snapToGrid w:val="0"/>
        <w:ind w:left="0" w:firstLine="0"/>
        <w:rPr>
          <w:i/>
          <w:szCs w:val="20"/>
          <w:lang w:val="es-CR"/>
        </w:rPr>
      </w:pPr>
      <w:r w:rsidRPr="00B06C31">
        <w:rPr>
          <w:szCs w:val="20"/>
          <w:lang w:val="es-CR"/>
        </w:rPr>
        <w:t xml:space="preserve">En las condiciones antes señaladas, la Corte reconoce que la ejecución de penas privativas de libertad o de detenciones preventivas en el IPPSC </w:t>
      </w:r>
      <w:r w:rsidR="003B4943">
        <w:rPr>
          <w:szCs w:val="20"/>
          <w:lang w:val="es-CR"/>
        </w:rPr>
        <w:t xml:space="preserve">eventualmente </w:t>
      </w:r>
      <w:r w:rsidRPr="00B06C31">
        <w:rPr>
          <w:szCs w:val="20"/>
          <w:lang w:val="es-CR"/>
        </w:rPr>
        <w:t>viola</w:t>
      </w:r>
      <w:r w:rsidR="003B4943">
        <w:rPr>
          <w:szCs w:val="20"/>
          <w:lang w:val="es-CR"/>
        </w:rPr>
        <w:t>ría</w:t>
      </w:r>
      <w:r w:rsidRPr="00B06C31">
        <w:rPr>
          <w:szCs w:val="20"/>
          <w:lang w:val="es-CR"/>
        </w:rPr>
        <w:t xml:space="preserve"> el artículo 5</w:t>
      </w:r>
      <w:r w:rsidR="003B4943">
        <w:rPr>
          <w:szCs w:val="20"/>
          <w:lang w:val="es-CR"/>
        </w:rPr>
        <w:t>.</w:t>
      </w:r>
      <w:r w:rsidRPr="00B06C31">
        <w:rPr>
          <w:szCs w:val="20"/>
          <w:lang w:val="es-CR"/>
        </w:rPr>
        <w:t xml:space="preserve">2 de la </w:t>
      </w:r>
      <w:r w:rsidR="003B4943">
        <w:rPr>
          <w:szCs w:val="20"/>
          <w:lang w:val="es-CR"/>
        </w:rPr>
        <w:t>Convención Americana</w:t>
      </w:r>
      <w:r w:rsidRPr="00B06C31">
        <w:rPr>
          <w:szCs w:val="20"/>
          <w:lang w:val="es-CR"/>
        </w:rPr>
        <w:t xml:space="preserve">, situación que no se ha superado y tampoco atenuado desde que la Corte dispusiera la medida y llevara a cabo la visita </w:t>
      </w:r>
      <w:r w:rsidRPr="00B06C31">
        <w:rPr>
          <w:i/>
          <w:szCs w:val="20"/>
          <w:lang w:val="es-CR"/>
        </w:rPr>
        <w:t xml:space="preserve">in situ. </w:t>
      </w:r>
    </w:p>
    <w:p w14:paraId="35780307" w14:textId="77777777" w:rsidR="009E7BBE" w:rsidRPr="00B06C31" w:rsidRDefault="009E7BBE" w:rsidP="009E7BBE">
      <w:pPr>
        <w:pStyle w:val="ListParagraph"/>
        <w:snapToGrid w:val="0"/>
        <w:ind w:left="0"/>
        <w:rPr>
          <w:i/>
          <w:szCs w:val="20"/>
          <w:lang w:val="es-CR"/>
        </w:rPr>
      </w:pPr>
    </w:p>
    <w:p w14:paraId="5818F237" w14:textId="69B365E1"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Si bien, la Corte valora los esfuerzos que el Estado expone, lo cierto es que éstos</w:t>
      </w:r>
      <w:r w:rsidR="00B029FC">
        <w:rPr>
          <w:szCs w:val="20"/>
          <w:lang w:val="es-CR"/>
        </w:rPr>
        <w:t>,</w:t>
      </w:r>
      <w:r w:rsidRPr="00B06C31">
        <w:rPr>
          <w:szCs w:val="20"/>
          <w:lang w:val="es-CR"/>
        </w:rPr>
        <w:t xml:space="preserve"> hasta el presente</w:t>
      </w:r>
      <w:r w:rsidR="00B029FC">
        <w:rPr>
          <w:szCs w:val="20"/>
          <w:lang w:val="es-CR"/>
        </w:rPr>
        <w:t>,</w:t>
      </w:r>
      <w:r w:rsidRPr="00B06C31">
        <w:rPr>
          <w:szCs w:val="20"/>
          <w:lang w:val="es-CR"/>
        </w:rPr>
        <w:t xml:space="preserve"> resultan ineficaces para paliar la </w:t>
      </w:r>
      <w:r w:rsidR="003B4943">
        <w:rPr>
          <w:szCs w:val="20"/>
          <w:lang w:val="es-CR"/>
        </w:rPr>
        <w:t xml:space="preserve">eventual </w:t>
      </w:r>
      <w:r w:rsidRPr="00B06C31">
        <w:rPr>
          <w:szCs w:val="20"/>
          <w:lang w:val="es-CR"/>
        </w:rPr>
        <w:t xml:space="preserve">violación a la </w:t>
      </w:r>
      <w:r w:rsidR="003B4943">
        <w:rPr>
          <w:szCs w:val="20"/>
          <w:lang w:val="es-CR"/>
        </w:rPr>
        <w:t>Convención Americana</w:t>
      </w:r>
      <w:r w:rsidRPr="00B06C31">
        <w:rPr>
          <w:szCs w:val="20"/>
          <w:lang w:val="es-CR"/>
        </w:rPr>
        <w:t xml:space="preserve"> que se mantiene en el tiempo sin solución de continuidad. </w:t>
      </w:r>
    </w:p>
    <w:p w14:paraId="50111D8B" w14:textId="77777777" w:rsidR="009E7BBE" w:rsidRPr="00B06C31" w:rsidRDefault="009E7BBE" w:rsidP="009E7BBE">
      <w:pPr>
        <w:pStyle w:val="ListParagraph"/>
        <w:snapToGrid w:val="0"/>
        <w:ind w:left="0"/>
        <w:rPr>
          <w:szCs w:val="20"/>
          <w:lang w:val="es-CR"/>
        </w:rPr>
      </w:pPr>
    </w:p>
    <w:p w14:paraId="3BA7371C" w14:textId="5E13A10F"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Además, condiciones de privación de libertad como las que se mantienen en el IPPSC también </w:t>
      </w:r>
      <w:r w:rsidR="003B4943">
        <w:rPr>
          <w:szCs w:val="20"/>
          <w:lang w:val="es-CR"/>
        </w:rPr>
        <w:t xml:space="preserve">eventualmente </w:t>
      </w:r>
      <w:r w:rsidRPr="00B06C31">
        <w:rPr>
          <w:szCs w:val="20"/>
          <w:lang w:val="es-CR"/>
        </w:rPr>
        <w:t>viola</w:t>
      </w:r>
      <w:r w:rsidR="003B4943">
        <w:rPr>
          <w:szCs w:val="20"/>
          <w:lang w:val="es-CR"/>
        </w:rPr>
        <w:t>ría</w:t>
      </w:r>
      <w:r w:rsidRPr="00B06C31">
        <w:rPr>
          <w:szCs w:val="20"/>
          <w:lang w:val="es-CR"/>
        </w:rPr>
        <w:t>n el artículo 5</w:t>
      </w:r>
      <w:r w:rsidR="003B4943">
        <w:rPr>
          <w:szCs w:val="20"/>
          <w:lang w:val="es-CR"/>
        </w:rPr>
        <w:t>.</w:t>
      </w:r>
      <w:r w:rsidRPr="00B06C31">
        <w:rPr>
          <w:szCs w:val="20"/>
          <w:lang w:val="es-CR"/>
        </w:rPr>
        <w:t xml:space="preserve">6 de la </w:t>
      </w:r>
      <w:r w:rsidR="003B4943">
        <w:rPr>
          <w:szCs w:val="20"/>
          <w:lang w:val="es-CR"/>
        </w:rPr>
        <w:t>Convención Americana</w:t>
      </w:r>
      <w:r w:rsidRPr="00B06C31">
        <w:rPr>
          <w:szCs w:val="20"/>
          <w:lang w:val="es-CR"/>
        </w:rPr>
        <w:t xml:space="preserve">, pues las penas así ejecutadas nunca podrán cumplir con la reforma y readaptación social del condenado, tal como lo prescribe el citado dispositivo convencional como objetivo principal de esas penas. Conforme a lo preceptuado por la </w:t>
      </w:r>
      <w:r w:rsidR="003B4943">
        <w:rPr>
          <w:szCs w:val="20"/>
          <w:lang w:val="es-CR"/>
        </w:rPr>
        <w:t>Convención Americana</w:t>
      </w:r>
      <w:r w:rsidRPr="00B06C31">
        <w:rPr>
          <w:szCs w:val="20"/>
          <w:lang w:val="es-CR"/>
        </w:rPr>
        <w:t xml:space="preserve"> se supone que la pena debe tratar de obtener la reincorporación del penado a la vida civil en condiciones de desenvolverse en ella conforme a los principios de la convivencia pacífica y con respeto a la ley. </w:t>
      </w:r>
    </w:p>
    <w:p w14:paraId="18FA104E" w14:textId="77777777" w:rsidR="009E7BBE" w:rsidRPr="00B06C31" w:rsidRDefault="009E7BBE" w:rsidP="009E7BBE">
      <w:pPr>
        <w:pStyle w:val="ListParagraph"/>
        <w:snapToGrid w:val="0"/>
        <w:ind w:left="0"/>
        <w:rPr>
          <w:szCs w:val="20"/>
          <w:lang w:val="es-CR"/>
        </w:rPr>
      </w:pPr>
    </w:p>
    <w:p w14:paraId="4C503FBA"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Es imposible que este objetivo se logre cuando los presos quedan inmersos en un orden interno controlado por los grupos de fuerza que se sabe que, por su naturaleza, imponen pautas de conducta violentas que, tanto en los grupos que ejercen el poder como en los que se deben someter a ellos, son claramente proclives a condicionar nuevas desviaciones de conducta en su futura vida libre. </w:t>
      </w:r>
    </w:p>
    <w:p w14:paraId="3DA98FAC" w14:textId="77777777" w:rsidR="009E7BBE" w:rsidRPr="00B06C31" w:rsidRDefault="009E7BBE" w:rsidP="009E7BBE">
      <w:pPr>
        <w:pStyle w:val="ListParagraph"/>
        <w:snapToGrid w:val="0"/>
        <w:ind w:left="0"/>
        <w:rPr>
          <w:szCs w:val="20"/>
          <w:lang w:val="es-CR"/>
        </w:rPr>
      </w:pPr>
    </w:p>
    <w:p w14:paraId="2CF98FCE"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El deterioro de las condiciones carcelarias hasta el extremo de resultar en una pena por lo menos degradante, afecta la autoestima del preso y, por consiguiente, lo condiciona a </w:t>
      </w:r>
      <w:r w:rsidRPr="00B06C31">
        <w:rPr>
          <w:szCs w:val="20"/>
          <w:lang w:val="es-CR"/>
        </w:rPr>
        <w:lastRenderedPageBreak/>
        <w:t>la introyección de normas de convivencia violentas, completamente inadecuadas para el comportamiento pacífico y respetuoso del derecho en la convivencia libre.</w:t>
      </w:r>
    </w:p>
    <w:p w14:paraId="7D0E8EE6" w14:textId="77777777" w:rsidR="009E7BBE" w:rsidRPr="00B06C31" w:rsidRDefault="009E7BBE" w:rsidP="009E7BBE">
      <w:pPr>
        <w:pStyle w:val="ListParagraph"/>
        <w:snapToGrid w:val="0"/>
        <w:ind w:left="0"/>
        <w:rPr>
          <w:szCs w:val="20"/>
          <w:lang w:val="es-CR"/>
        </w:rPr>
      </w:pPr>
    </w:p>
    <w:p w14:paraId="328D0F2F" w14:textId="636AF13F"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De este modo, </w:t>
      </w:r>
      <w:r w:rsidR="003B4943">
        <w:rPr>
          <w:szCs w:val="20"/>
          <w:lang w:val="es-CR"/>
        </w:rPr>
        <w:t>una</w:t>
      </w:r>
      <w:r w:rsidRPr="00B06C31">
        <w:rPr>
          <w:szCs w:val="20"/>
          <w:lang w:val="es-CR"/>
        </w:rPr>
        <w:t xml:space="preserve"> violación prolongada del artículo 5</w:t>
      </w:r>
      <w:r w:rsidR="003B4943">
        <w:rPr>
          <w:szCs w:val="20"/>
          <w:lang w:val="es-CR"/>
        </w:rPr>
        <w:t>.</w:t>
      </w:r>
      <w:r w:rsidRPr="00B06C31">
        <w:rPr>
          <w:szCs w:val="20"/>
          <w:lang w:val="es-CR"/>
        </w:rPr>
        <w:t xml:space="preserve">6 de la </w:t>
      </w:r>
      <w:r w:rsidR="003B4943">
        <w:rPr>
          <w:szCs w:val="20"/>
          <w:lang w:val="es-CR"/>
        </w:rPr>
        <w:t>Convención Americana</w:t>
      </w:r>
      <w:r w:rsidRPr="00B06C31">
        <w:rPr>
          <w:szCs w:val="20"/>
          <w:lang w:val="es-CR"/>
        </w:rPr>
        <w:t xml:space="preserve"> pone en serio peligro los derechos de todos los habitantes, puesto que los presos en un establecimiento regido por grupos violentos dominantes, habrán de sufrir cometimientos y humillaciones que en buena parte de ellos provocarán a su egreso, con grave deterioro de su subjetividad y autoestima, un alto riego de reproducción de violencia con desviaciones delictivas incluso más graves que las que motivaron la prisión. </w:t>
      </w:r>
    </w:p>
    <w:p w14:paraId="688C3AD7" w14:textId="77777777" w:rsidR="009E7BBE" w:rsidRPr="00B06C31" w:rsidRDefault="009E7BBE" w:rsidP="009E7BBE">
      <w:pPr>
        <w:pStyle w:val="ListParagraph"/>
        <w:snapToGrid w:val="0"/>
        <w:ind w:left="0"/>
        <w:rPr>
          <w:szCs w:val="20"/>
          <w:lang w:val="es-CR"/>
        </w:rPr>
      </w:pPr>
    </w:p>
    <w:p w14:paraId="66BA2FDB" w14:textId="4B2CB6FD"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Si bien, por un lado, </w:t>
      </w:r>
      <w:r w:rsidR="003B4943">
        <w:rPr>
          <w:szCs w:val="20"/>
          <w:lang w:val="es-CR"/>
        </w:rPr>
        <w:t>una</w:t>
      </w:r>
      <w:r w:rsidRPr="00B06C31">
        <w:rPr>
          <w:szCs w:val="20"/>
          <w:lang w:val="es-CR"/>
        </w:rPr>
        <w:t xml:space="preserve"> violación del artículo 5</w:t>
      </w:r>
      <w:r w:rsidR="003B4943">
        <w:rPr>
          <w:szCs w:val="20"/>
          <w:lang w:val="es-CR"/>
        </w:rPr>
        <w:t>.</w:t>
      </w:r>
      <w:r w:rsidRPr="00B06C31">
        <w:rPr>
          <w:szCs w:val="20"/>
          <w:lang w:val="es-CR"/>
        </w:rPr>
        <w:t xml:space="preserve">2 </w:t>
      </w:r>
      <w:r w:rsidR="003B4943">
        <w:rPr>
          <w:szCs w:val="20"/>
          <w:lang w:val="es-CR"/>
        </w:rPr>
        <w:t>Convención Americana</w:t>
      </w:r>
      <w:r w:rsidRPr="00B06C31">
        <w:rPr>
          <w:szCs w:val="20"/>
          <w:lang w:val="es-CR"/>
        </w:rPr>
        <w:t xml:space="preserve"> lesiona los derechos de las personas privadas de libertad, por tratarse de una pena por lo menos degradante, por otro la violación del artículo 5</w:t>
      </w:r>
      <w:r w:rsidR="003B4943">
        <w:rPr>
          <w:szCs w:val="20"/>
          <w:lang w:val="es-CR"/>
        </w:rPr>
        <w:t>.</w:t>
      </w:r>
      <w:r w:rsidRPr="00B06C31">
        <w:rPr>
          <w:szCs w:val="20"/>
          <w:lang w:val="es-CR"/>
        </w:rPr>
        <w:t>6 condiciona</w:t>
      </w:r>
      <w:r w:rsidR="003B4943">
        <w:rPr>
          <w:szCs w:val="20"/>
          <w:lang w:val="es-CR"/>
        </w:rPr>
        <w:t>ría</w:t>
      </w:r>
      <w:r w:rsidRPr="00B06C31">
        <w:rPr>
          <w:szCs w:val="20"/>
          <w:lang w:val="es-CR"/>
        </w:rPr>
        <w:t xml:space="preserve"> futuras reincidencias o recaídas en el delito que ponen en riesgo los derechos de todos los habitantes.  </w:t>
      </w:r>
    </w:p>
    <w:p w14:paraId="0FCAD807" w14:textId="77777777" w:rsidR="009E7BBE" w:rsidRPr="00B06C31" w:rsidRDefault="009E7BBE" w:rsidP="009E7BBE">
      <w:pPr>
        <w:snapToGrid w:val="0"/>
        <w:rPr>
          <w:szCs w:val="20"/>
          <w:lang w:val="es-CR"/>
        </w:rPr>
      </w:pPr>
    </w:p>
    <w:p w14:paraId="73CE347F" w14:textId="77777777" w:rsidR="009E7BBE" w:rsidRPr="00B06C31" w:rsidRDefault="009E7BBE" w:rsidP="009E7BBE">
      <w:pPr>
        <w:pStyle w:val="ListParagraph"/>
        <w:snapToGrid w:val="0"/>
        <w:ind w:left="0"/>
        <w:rPr>
          <w:szCs w:val="20"/>
          <w:lang w:val="es-CR"/>
        </w:rPr>
      </w:pPr>
      <w:r w:rsidRPr="00B06C31">
        <w:rPr>
          <w:b/>
          <w:szCs w:val="20"/>
          <w:lang w:val="es-CR"/>
        </w:rPr>
        <w:t>Las alternativas propuestas en casos como el presente</w:t>
      </w:r>
    </w:p>
    <w:p w14:paraId="48C0CF91" w14:textId="77777777" w:rsidR="009E7BBE" w:rsidRPr="00B06C31" w:rsidRDefault="009E7BBE" w:rsidP="009E7BBE">
      <w:pPr>
        <w:snapToGrid w:val="0"/>
        <w:rPr>
          <w:szCs w:val="20"/>
          <w:lang w:val="es-CR"/>
        </w:rPr>
      </w:pPr>
    </w:p>
    <w:p w14:paraId="27E7C904" w14:textId="77777777" w:rsidR="009E7BBE" w:rsidRPr="00B06C31" w:rsidRDefault="009E7BBE" w:rsidP="009E7BBE">
      <w:pPr>
        <w:pStyle w:val="ListParagraph"/>
        <w:numPr>
          <w:ilvl w:val="0"/>
          <w:numId w:val="20"/>
        </w:numPr>
        <w:ind w:left="0" w:firstLine="0"/>
        <w:rPr>
          <w:szCs w:val="20"/>
          <w:lang w:val="es-AR"/>
        </w:rPr>
      </w:pPr>
      <w:r w:rsidRPr="00B06C31">
        <w:rPr>
          <w:szCs w:val="20"/>
          <w:lang w:val="es-AR"/>
        </w:rPr>
        <w:t>Situaciones de grave deterioro de las condiciones de privación de libertad se han presentado reiteradamente en los países miembros de la Organización de los Estados Americanos. Hace más de cuatro décadas que la justicia de California consideró justificado o exculpado el quebrantamiento de la pena por evasión ante una situación carcelaria similar, por parte de un preso que fue víctima de una agresión homosexual</w:t>
      </w:r>
      <w:r w:rsidRPr="00B06C31">
        <w:rPr>
          <w:rStyle w:val="FootnoteReference"/>
          <w:lang w:val="es-AR"/>
        </w:rPr>
        <w:footnoteReference w:id="26"/>
      </w:r>
      <w:r w:rsidRPr="00B06C31">
        <w:rPr>
          <w:szCs w:val="20"/>
          <w:lang w:val="es-AR"/>
        </w:rPr>
        <w:t xml:space="preserve">. </w:t>
      </w:r>
    </w:p>
    <w:p w14:paraId="0217620B" w14:textId="77777777" w:rsidR="009E7BBE" w:rsidRPr="00B06C31" w:rsidRDefault="009E7BBE" w:rsidP="009E7BBE">
      <w:pPr>
        <w:pStyle w:val="ListParagraph"/>
        <w:ind w:left="0"/>
        <w:rPr>
          <w:szCs w:val="20"/>
          <w:lang w:val="es-AR"/>
        </w:rPr>
      </w:pPr>
    </w:p>
    <w:p w14:paraId="5618ED54" w14:textId="77777777" w:rsidR="009E7BBE" w:rsidRPr="00B06C31" w:rsidRDefault="009E7BBE" w:rsidP="009E7BBE">
      <w:pPr>
        <w:pStyle w:val="ListParagraph"/>
        <w:numPr>
          <w:ilvl w:val="0"/>
          <w:numId w:val="20"/>
        </w:numPr>
        <w:ind w:left="0" w:firstLine="0"/>
        <w:rPr>
          <w:szCs w:val="20"/>
          <w:lang w:val="es-AR"/>
        </w:rPr>
      </w:pPr>
      <w:r w:rsidRPr="00B06C31">
        <w:rPr>
          <w:szCs w:val="20"/>
          <w:lang w:val="es-AR"/>
        </w:rPr>
        <w:t>Toda pena privativa de libertad y cualquier privación de libertad, aún a título preventivo o cautelar, conlleva necesariamente una cuota de dolor o aflicción inevitable. No obstante, ésta se reduce básicamente a las inevitables consecuencias de la limitación ambulatoria de la persona, a la necesaria convivencia impuesta por una institución total y al respeto a los reglamentos indispensable para la conservación del orden interno del establecimiento.</w:t>
      </w:r>
    </w:p>
    <w:p w14:paraId="1555853D" w14:textId="77777777" w:rsidR="009E7BBE" w:rsidRPr="00B06C31" w:rsidRDefault="009E7BBE" w:rsidP="009E7BBE">
      <w:pPr>
        <w:pStyle w:val="ListParagraph"/>
        <w:ind w:left="0"/>
        <w:rPr>
          <w:szCs w:val="20"/>
          <w:lang w:val="es-AR"/>
        </w:rPr>
      </w:pPr>
    </w:p>
    <w:p w14:paraId="0CE537DA" w14:textId="77777777"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Cuando las condiciones del establecimiento se deterioran hasta dar lugar a una pena degradante como consecuencia de la sobrepoblación y de sus efectos antes señalados, el contenido aflictivo de la pena o de la privación de libertad preventiva se incrementa en una medida que deviene ilícita o antijurídica. </w:t>
      </w:r>
    </w:p>
    <w:p w14:paraId="509C4CA2" w14:textId="77777777" w:rsidR="009E7BBE" w:rsidRPr="00B06C31" w:rsidRDefault="009E7BBE" w:rsidP="009E7BBE">
      <w:pPr>
        <w:pStyle w:val="ListParagraph"/>
        <w:ind w:left="0"/>
        <w:rPr>
          <w:szCs w:val="20"/>
          <w:lang w:val="es-AR"/>
        </w:rPr>
      </w:pPr>
    </w:p>
    <w:p w14:paraId="1734C3A9" w14:textId="59868317" w:rsidR="009E7BBE" w:rsidRPr="00B06C31" w:rsidRDefault="009E7BBE" w:rsidP="009E7BBE">
      <w:pPr>
        <w:pStyle w:val="ListParagraph"/>
        <w:numPr>
          <w:ilvl w:val="0"/>
          <w:numId w:val="20"/>
        </w:numPr>
        <w:ind w:left="0" w:firstLine="0"/>
        <w:rPr>
          <w:szCs w:val="20"/>
          <w:lang w:val="es-AR"/>
        </w:rPr>
      </w:pPr>
      <w:r w:rsidRPr="00B06C31">
        <w:rPr>
          <w:szCs w:val="20"/>
          <w:lang w:val="es-AR"/>
        </w:rPr>
        <w:t>Las soluciones jurídicas que se postulan para el caso en que el agravamiento de las condiciones de privación de libertad sea tan extremo que resulte violatorio del artículo 5</w:t>
      </w:r>
      <w:r w:rsidR="003B4943">
        <w:rPr>
          <w:szCs w:val="20"/>
          <w:lang w:val="es-AR"/>
        </w:rPr>
        <w:t>.</w:t>
      </w:r>
      <w:r w:rsidRPr="00B06C31">
        <w:rPr>
          <w:szCs w:val="20"/>
          <w:lang w:val="es-AR"/>
        </w:rPr>
        <w:t xml:space="preserve">2 de la </w:t>
      </w:r>
      <w:r w:rsidR="003B4943">
        <w:rPr>
          <w:szCs w:val="20"/>
          <w:lang w:val="es-AR"/>
        </w:rPr>
        <w:t>Convención Americana</w:t>
      </w:r>
      <w:r w:rsidRPr="00B06C31">
        <w:rPr>
          <w:szCs w:val="20"/>
          <w:lang w:val="es-AR"/>
        </w:rPr>
        <w:t xml:space="preserve"> o de sus equivalentes constitucionales nacionales, en razón de que esa pena impone un dolor o aflicción que excede en mucho el que es inherente a toda pena o privación de libertad, han sido básicamente dos: </w:t>
      </w:r>
    </w:p>
    <w:p w14:paraId="5E42F7F2" w14:textId="77777777" w:rsidR="009E7BBE" w:rsidRPr="00B06C31" w:rsidRDefault="009E7BBE" w:rsidP="009E7BBE">
      <w:pPr>
        <w:pStyle w:val="ListParagraph"/>
        <w:ind w:left="0"/>
        <w:rPr>
          <w:szCs w:val="20"/>
          <w:lang w:val="es-AR"/>
        </w:rPr>
      </w:pPr>
    </w:p>
    <w:p w14:paraId="4A2ED8AE" w14:textId="77777777" w:rsidR="009E7BBE" w:rsidRPr="00B06C31" w:rsidRDefault="009E7BBE" w:rsidP="00E22992">
      <w:pPr>
        <w:pStyle w:val="ListParagraph"/>
        <w:numPr>
          <w:ilvl w:val="2"/>
          <w:numId w:val="20"/>
        </w:numPr>
        <w:ind w:left="993" w:hanging="426"/>
        <w:rPr>
          <w:szCs w:val="20"/>
          <w:lang w:val="es-AR"/>
        </w:rPr>
      </w:pPr>
      <w:r w:rsidRPr="00B06C31">
        <w:rPr>
          <w:szCs w:val="20"/>
          <w:lang w:val="es-AR"/>
        </w:rPr>
        <w:t>Hay quienes postulan que en ese caso se proceda a la directa liberación de los presos, considerando que es intolerable que un Estado de derecho ejecute penas que son por lo menos degradantes</w:t>
      </w:r>
      <w:r w:rsidRPr="00B06C31">
        <w:rPr>
          <w:rStyle w:val="FootnoteReference"/>
          <w:lang w:val="es-AR"/>
        </w:rPr>
        <w:footnoteReference w:id="27"/>
      </w:r>
      <w:r w:rsidRPr="00B06C31">
        <w:rPr>
          <w:szCs w:val="20"/>
          <w:lang w:val="es-AR"/>
        </w:rPr>
        <w:t xml:space="preserve">. </w:t>
      </w:r>
    </w:p>
    <w:p w14:paraId="023B55EB" w14:textId="77777777" w:rsidR="009E7BBE" w:rsidRPr="00B06C31" w:rsidRDefault="009E7BBE" w:rsidP="00E22992">
      <w:pPr>
        <w:pStyle w:val="ListParagraph"/>
        <w:numPr>
          <w:ilvl w:val="2"/>
          <w:numId w:val="20"/>
        </w:numPr>
        <w:ind w:left="993" w:hanging="426"/>
        <w:rPr>
          <w:szCs w:val="20"/>
          <w:lang w:val="es-AR"/>
        </w:rPr>
      </w:pPr>
      <w:r w:rsidRPr="00B06C31">
        <w:rPr>
          <w:szCs w:val="20"/>
          <w:lang w:val="es-AR"/>
        </w:rPr>
        <w:lastRenderedPageBreak/>
        <w:t xml:space="preserve">La otra alternativa consiste en que de algún modo se provoque una disminución de la población penal, por lo general mediante un cálculo de tiempo de pena o de privación de libertad que abrevie el tiempo real, atendiendo al mayor contenido aflictivo, producto de la sobrepoblación penal.  </w:t>
      </w:r>
    </w:p>
    <w:p w14:paraId="395BCF85" w14:textId="77777777" w:rsidR="009E7BBE" w:rsidRPr="00B06C31" w:rsidRDefault="009E7BBE" w:rsidP="009E7BBE">
      <w:pPr>
        <w:pStyle w:val="ListParagraph"/>
        <w:ind w:left="0"/>
        <w:rPr>
          <w:szCs w:val="20"/>
          <w:lang w:val="es-AR"/>
        </w:rPr>
      </w:pPr>
    </w:p>
    <w:p w14:paraId="1234EF2C" w14:textId="185FF9FA"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La Corte considera ilustrativo tomar en cuenta las sentencias más significativas que, ante situaciones como la presente, pronunciaron </w:t>
      </w:r>
      <w:r w:rsidR="003B4943">
        <w:rPr>
          <w:szCs w:val="20"/>
          <w:lang w:val="es-AR"/>
        </w:rPr>
        <w:t>tres</w:t>
      </w:r>
      <w:r w:rsidR="003B4943" w:rsidRPr="00B06C31">
        <w:rPr>
          <w:szCs w:val="20"/>
          <w:lang w:val="es-AR"/>
        </w:rPr>
        <w:t xml:space="preserve"> </w:t>
      </w:r>
      <w:r w:rsidRPr="00B06C31">
        <w:rPr>
          <w:szCs w:val="20"/>
          <w:lang w:val="es-AR"/>
        </w:rPr>
        <w:t xml:space="preserve">máximas instancias judiciales de Estados miembros de la Organización de Estados Americanos y una del Tribunal Europeo de Derechos Humanos, porque indican un prudente camino intermedio ante la opción antes señalada, lo que seguramente contribuirá a hallar una solución razonable al presente caso, acorde con esos antecedentes continentales e internacional.    </w:t>
      </w:r>
    </w:p>
    <w:p w14:paraId="13C82AE7" w14:textId="77777777" w:rsidR="009E7BBE" w:rsidRPr="00B06C31" w:rsidRDefault="009E7BBE" w:rsidP="009E7BBE">
      <w:pPr>
        <w:rPr>
          <w:szCs w:val="20"/>
          <w:lang w:val="es-CR"/>
        </w:rPr>
      </w:pPr>
    </w:p>
    <w:p w14:paraId="01229113" w14:textId="77777777" w:rsidR="009E7BBE" w:rsidRPr="00B06C31" w:rsidRDefault="009E7BBE" w:rsidP="009E7BBE">
      <w:pPr>
        <w:pStyle w:val="ListParagraph"/>
        <w:snapToGrid w:val="0"/>
        <w:ind w:left="0"/>
        <w:rPr>
          <w:b/>
          <w:szCs w:val="20"/>
          <w:lang w:val="es-CR"/>
        </w:rPr>
      </w:pPr>
      <w:r w:rsidRPr="00B06C31">
        <w:rPr>
          <w:b/>
          <w:szCs w:val="20"/>
          <w:lang w:val="es-CR"/>
        </w:rPr>
        <w:t>Sentencia de la Corte Constitucional de Colombia</w:t>
      </w:r>
    </w:p>
    <w:p w14:paraId="26243F60" w14:textId="77777777" w:rsidR="009E7BBE" w:rsidRPr="00B06C31" w:rsidRDefault="009E7BBE" w:rsidP="009E7BBE">
      <w:pPr>
        <w:snapToGrid w:val="0"/>
        <w:rPr>
          <w:szCs w:val="20"/>
          <w:lang w:val="es-CR"/>
        </w:rPr>
      </w:pPr>
    </w:p>
    <w:p w14:paraId="57A00590"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La Corte Constitucional de Colombia ante la sobrepoblación penal generalizada en las prisiones de esa República</w:t>
      </w:r>
      <w:r w:rsidRPr="00B06C31">
        <w:rPr>
          <w:rStyle w:val="FootnoteReference"/>
          <w:lang w:val="es-CR"/>
        </w:rPr>
        <w:footnoteReference w:id="28"/>
      </w:r>
      <w:r w:rsidRPr="00B06C31">
        <w:rPr>
          <w:szCs w:val="20"/>
          <w:lang w:val="es-CR"/>
        </w:rPr>
        <w:t xml:space="preserve">, señaló la gravedad que implica el hacinamiento del siguiente modo: </w:t>
      </w:r>
    </w:p>
    <w:p w14:paraId="310259CA" w14:textId="77777777" w:rsidR="009E7BBE" w:rsidRPr="00B06C31" w:rsidRDefault="009E7BBE" w:rsidP="009E7BBE">
      <w:pPr>
        <w:pStyle w:val="ListParagraph"/>
        <w:snapToGrid w:val="0"/>
        <w:ind w:left="0"/>
        <w:rPr>
          <w:szCs w:val="20"/>
          <w:lang w:val="es-CR"/>
        </w:rPr>
      </w:pPr>
    </w:p>
    <w:p w14:paraId="423B6EE7" w14:textId="77777777" w:rsidR="009E7BBE" w:rsidRPr="00B06C31" w:rsidRDefault="009E7BBE" w:rsidP="009E7BBE">
      <w:pPr>
        <w:pStyle w:val="ListParagraph"/>
        <w:snapToGrid w:val="0"/>
        <w:ind w:left="567" w:right="566"/>
        <w:rPr>
          <w:sz w:val="18"/>
          <w:szCs w:val="18"/>
        </w:rPr>
      </w:pPr>
      <w:r w:rsidRPr="00B06C31">
        <w:rPr>
          <w:sz w:val="18"/>
          <w:szCs w:val="18"/>
          <w:lang w:val="es-CR"/>
        </w:rPr>
        <w:t>“L</w:t>
      </w:r>
      <w:r w:rsidRPr="00B06C31">
        <w:rPr>
          <w:sz w:val="18"/>
          <w:szCs w:val="18"/>
          <w:lang w:val="es-CO"/>
        </w:rPr>
        <w:t>os problemas más importantes de una prisión, y el caso colombiano no es la excepción, consisten en poder cumplir con sus cometidos básicos y principales, como por ejemplo, controlar las personas que cometen grandes ofensas en contra de la sociedad, neutralizar su accionar y resocializarlos para que puedan vivir nuevamente en una sociedad libre y democrática, fundada en el respeto a la dignidad de todo ser humano. Sin embargo, el hacinamiento es el primer problema a resolver por el efecto nefasto que produce sobre cualquiera de los problemas básicos de la prisión. El efecto potenciador y amplificador de las dificultades que tiene el hacinamiento lleva a que sea el primer problema a resolver, la cuestión que requiere atención de manera inmediata y urgente, puesto que si no se supera, difícilmente se podrá hacer avances importantes, eficientes y sostenibles en cualquier otra área. Como se ha mostrado y sostenido varias veces, el hacinamiento aumenta los riesgos a la salud, las posibilidades de afecciones y contagios, la probabilidad de que no haya suficientes médicos para atender a las personas o para que haya mayores restricciones para acceder a los bienes y dotación básica para la subsistencia. Mayor riesgo de conflictos violentos, menos capacidad de la Guardia para evitarlos o la imposibilidad física de que se puedan adelantar visitas por parte de familiares y amigos; por mencionar solo algunos de los principales factores de violación y amenaza a los derechos fundamentales que se agudizan con el hacinamiento”. </w:t>
      </w:r>
    </w:p>
    <w:p w14:paraId="7D1A698F" w14:textId="77777777" w:rsidR="009E7BBE" w:rsidRPr="00B06C31" w:rsidRDefault="009E7BBE" w:rsidP="009E7BBE">
      <w:pPr>
        <w:pStyle w:val="ListParagraph"/>
        <w:shd w:val="clear" w:color="auto" w:fill="FFFFFF"/>
        <w:ind w:left="0"/>
        <w:rPr>
          <w:szCs w:val="20"/>
        </w:rPr>
      </w:pPr>
    </w:p>
    <w:p w14:paraId="79508463" w14:textId="77777777" w:rsidR="009E7BBE" w:rsidRPr="00B06C31" w:rsidRDefault="009E7BBE" w:rsidP="009E7BBE">
      <w:pPr>
        <w:pStyle w:val="ListParagraph"/>
        <w:numPr>
          <w:ilvl w:val="0"/>
          <w:numId w:val="20"/>
        </w:numPr>
        <w:shd w:val="clear" w:color="auto" w:fill="FFFFFF"/>
        <w:ind w:left="0" w:firstLine="0"/>
        <w:rPr>
          <w:szCs w:val="20"/>
        </w:rPr>
      </w:pPr>
      <w:r w:rsidRPr="00B06C31">
        <w:rPr>
          <w:szCs w:val="20"/>
        </w:rPr>
        <w:t xml:space="preserve">Ante las soluciones propuestas al problema y, en especial, la que se pretende con la construcción de nuevas prisiones, la Corte colombiana señaló que no es el camino idóneo para ese efecto, en los siguientes términos: </w:t>
      </w:r>
    </w:p>
    <w:p w14:paraId="20F3CA78" w14:textId="77777777" w:rsidR="009E7BBE" w:rsidRPr="00B06C31" w:rsidRDefault="009E7BBE" w:rsidP="009E7BBE">
      <w:pPr>
        <w:pStyle w:val="ListParagraph"/>
        <w:shd w:val="clear" w:color="auto" w:fill="FFFFFF"/>
        <w:ind w:left="0"/>
        <w:rPr>
          <w:szCs w:val="20"/>
        </w:rPr>
      </w:pPr>
    </w:p>
    <w:p w14:paraId="43AB24DA" w14:textId="77777777" w:rsidR="009E7BBE" w:rsidRPr="00B06C31" w:rsidRDefault="009E7BBE" w:rsidP="009E7BBE">
      <w:pPr>
        <w:pStyle w:val="ListParagraph"/>
        <w:shd w:val="clear" w:color="auto" w:fill="FFFFFF"/>
        <w:ind w:left="567" w:right="566"/>
        <w:rPr>
          <w:sz w:val="18"/>
          <w:szCs w:val="18"/>
        </w:rPr>
      </w:pPr>
      <w:r w:rsidRPr="00B06C31">
        <w:rPr>
          <w:sz w:val="18"/>
          <w:szCs w:val="18"/>
        </w:rPr>
        <w:t>“</w:t>
      </w:r>
      <w:r w:rsidRPr="00B06C31">
        <w:rPr>
          <w:sz w:val="18"/>
          <w:szCs w:val="18"/>
          <w:lang w:val="es-CO"/>
        </w:rPr>
        <w:t xml:space="preserve">De la información aportada al proceso, la Sala concluye que es muy probable que sea necesario construir nuevos centros de reclusión para atender la demanda existente, pudiendo reemplazar viejos establecimientos que hoy en día no pueden seguir funcionando, dado el grave deterioro en que se encuentran. No obstante, de los </w:t>
      </w:r>
      <w:r w:rsidRPr="00B06C31">
        <w:rPr>
          <w:sz w:val="18"/>
          <w:szCs w:val="18"/>
          <w:lang w:val="es-CO"/>
        </w:rPr>
        <w:lastRenderedPageBreak/>
        <w:t>diagnósticos aportados también es posible concluir que el hacinamiento no sólo requiere para su solución, la construcción de nuevos centros para privar de la libertad a las personas. La evidencia de que existen personas que están recluidas a pesar de tener razones constitucionales y legales para haber sido puestas en libertad (por la edad que tienen, porque sufren una grave enfermedad terminal o porque su solicitud de libertad justificada no ha sido tramitada por el respectivo juez de ejecución de penas y medidas de seguridad, entre otras razones), muestra que no es un tema exclusivamente de tener que construir más cárceles. Tal camino supone que el número de todas las personas recluidas en prisión es justo el que debe ser y, por tanto, la única opción es tener más celdas. La verdad es que no todas las personas que están en prisión deberían estar allá, por lo que la solución al hacinamiento no sólo pasa por tener nuevos lugares de reclusión, sino también por disminuir el número de personas que se encuentran privadas de la libertad. Esto es, disminuir la demanda social que se hace de la cárcel y la prisión. En otras palabras, el hacinamiento no sólo se resuelve con más cárceles, también con menos cárcel”.</w:t>
      </w:r>
    </w:p>
    <w:p w14:paraId="17B18F12" w14:textId="77777777" w:rsidR="009E7BBE" w:rsidRPr="00B06C31" w:rsidRDefault="009E7BBE" w:rsidP="009E7BBE">
      <w:pPr>
        <w:pStyle w:val="ListParagraph"/>
        <w:shd w:val="clear" w:color="auto" w:fill="FFFFFF"/>
        <w:ind w:left="0"/>
        <w:rPr>
          <w:rFonts w:eastAsia="Times New Roman"/>
          <w:szCs w:val="20"/>
          <w:lang w:val="es-CO" w:eastAsia="es-AR"/>
        </w:rPr>
      </w:pPr>
    </w:p>
    <w:p w14:paraId="11CA7125" w14:textId="77777777" w:rsidR="009E7BBE" w:rsidRPr="00B06C31" w:rsidRDefault="009E7BBE" w:rsidP="009E7BBE">
      <w:pPr>
        <w:pStyle w:val="ListParagraph"/>
        <w:numPr>
          <w:ilvl w:val="0"/>
          <w:numId w:val="20"/>
        </w:numPr>
        <w:shd w:val="clear" w:color="auto" w:fill="FFFFFF"/>
        <w:ind w:left="0" w:firstLine="0"/>
        <w:rPr>
          <w:rFonts w:eastAsia="Times New Roman"/>
          <w:szCs w:val="20"/>
          <w:lang w:val="es-CO" w:eastAsia="es-AR"/>
        </w:rPr>
      </w:pPr>
      <w:r w:rsidRPr="00B06C31">
        <w:rPr>
          <w:rFonts w:eastAsia="Times New Roman"/>
          <w:bCs/>
          <w:szCs w:val="20"/>
          <w:lang w:val="es-CO" w:eastAsia="es-AR"/>
        </w:rPr>
        <w:t xml:space="preserve">La Corte Constitucional colombiana, con buen criterio ante la emergencia, resolvió que “una persona privada de la libertad, no adquiere un derecho constitucional a ser liberada, por el hecho de haber sido destinada a un lugar de reclusión que se encuentra en situación de hacinamiento y que supone de por sí un atentado a la dignidad humana”. Pondera que no corresponde una liberación automática de la persona privada de libertad en esas condiciones, dado que afectaría otros derechos fundamentales de víctimas y de la población en general, o sea, que la situación de hacinamiento no genera automáticamente un </w:t>
      </w:r>
      <w:r w:rsidRPr="00B06C31">
        <w:rPr>
          <w:rFonts w:eastAsia="Times New Roman"/>
          <w:szCs w:val="20"/>
          <w:lang w:val="es-CO" w:eastAsia="es-AR"/>
        </w:rPr>
        <w:t>derecho subjetivo inmediato a ser excarcelado. Al respecto dice la Corte colombiana:</w:t>
      </w:r>
    </w:p>
    <w:p w14:paraId="1E63567C" w14:textId="77777777" w:rsidR="009E7BBE" w:rsidRPr="00B06C31" w:rsidRDefault="009E7BBE" w:rsidP="009E7BBE">
      <w:pPr>
        <w:pStyle w:val="ListParagraph"/>
        <w:shd w:val="clear" w:color="auto" w:fill="FFFFFF"/>
        <w:ind w:left="0"/>
        <w:rPr>
          <w:rFonts w:eastAsia="Times New Roman"/>
          <w:szCs w:val="20"/>
          <w:lang w:val="es-CO" w:eastAsia="es-AR"/>
        </w:rPr>
      </w:pPr>
    </w:p>
    <w:p w14:paraId="63F995CE" w14:textId="77777777" w:rsidR="009E7BBE" w:rsidRPr="00B06C31" w:rsidRDefault="009E7BBE" w:rsidP="009E7BBE">
      <w:pPr>
        <w:pStyle w:val="ListParagraph"/>
        <w:shd w:val="clear" w:color="auto" w:fill="FFFFFF"/>
        <w:ind w:left="567" w:right="566"/>
        <w:rPr>
          <w:rFonts w:eastAsia="Times New Roman"/>
          <w:sz w:val="18"/>
          <w:szCs w:val="18"/>
          <w:lang w:val="es-CO" w:eastAsia="es-AR"/>
        </w:rPr>
      </w:pPr>
      <w:r w:rsidRPr="00B06C31">
        <w:rPr>
          <w:rFonts w:eastAsia="Times New Roman"/>
          <w:sz w:val="18"/>
          <w:szCs w:val="18"/>
          <w:lang w:val="es-CO" w:eastAsia="es-AR"/>
        </w:rPr>
        <w:t xml:space="preserve">“Los derechos, principios y valores constitucionales involucrados son múltiples, y no pueden ser desconocidos por el juez de tutela. El derecho de las víctimas, el derecho al debido proceso, al derecho a vivir en un orden justo, el derecho de las personas a que se condene y prevenga la comisión de delitos o el respeto a las decisiones judiciales de los jueces de constitucionalidad, deben ser ponderados por el juez de tutela al momento de resolver esta solicitud presentada por los accionantes. Permitir la excarcelación de la persona implicaría una amplia protección de los derechos de la persona que se encuentra sindicada o condenada, pero supondría a la vez un amplio sacrificio de los derechos de las víctimas de los actos criminales de los cuales se les sindica o por los cuales fueron condenados. La respuesta que se dé al problema jurídico planteado, debe ponderar todos los valores, reglas, principios y derechos constitucionales que se encuentran en tensión”. </w:t>
      </w:r>
    </w:p>
    <w:p w14:paraId="78F4F9F7" w14:textId="77777777" w:rsidR="009E7BBE" w:rsidRPr="00B06C31" w:rsidRDefault="009E7BBE" w:rsidP="009E7BBE">
      <w:pPr>
        <w:pStyle w:val="ListParagraph"/>
        <w:shd w:val="clear" w:color="auto" w:fill="FFFFFF"/>
        <w:ind w:left="0"/>
        <w:rPr>
          <w:rFonts w:eastAsia="Times New Roman"/>
          <w:szCs w:val="20"/>
          <w:lang w:val="es-CO" w:eastAsia="es-AR"/>
        </w:rPr>
      </w:pPr>
    </w:p>
    <w:p w14:paraId="69267BC7" w14:textId="71938935" w:rsidR="009E7BBE" w:rsidRPr="00B06C31" w:rsidRDefault="009E7BBE" w:rsidP="009E7BBE">
      <w:pPr>
        <w:pStyle w:val="ListParagraph"/>
        <w:numPr>
          <w:ilvl w:val="0"/>
          <w:numId w:val="20"/>
        </w:numPr>
        <w:shd w:val="clear" w:color="auto" w:fill="FFFFFF"/>
        <w:ind w:left="0" w:firstLine="0"/>
        <w:rPr>
          <w:rFonts w:eastAsia="Times New Roman"/>
          <w:szCs w:val="20"/>
          <w:lang w:val="es-CO" w:eastAsia="es-AR"/>
        </w:rPr>
      </w:pPr>
      <w:r w:rsidRPr="00B06C31">
        <w:rPr>
          <w:rFonts w:eastAsia="Times New Roman"/>
          <w:szCs w:val="20"/>
          <w:lang w:val="es-CO" w:eastAsia="es-AR"/>
        </w:rPr>
        <w:t xml:space="preserve">No obstante esta prudente advertencia, seguidamente la Corte </w:t>
      </w:r>
      <w:r w:rsidR="003B4943">
        <w:rPr>
          <w:rFonts w:eastAsia="Times New Roman"/>
          <w:szCs w:val="20"/>
          <w:lang w:val="es-CO" w:eastAsia="es-AR"/>
        </w:rPr>
        <w:t xml:space="preserve">Constitucional Colombiana </w:t>
      </w:r>
      <w:r w:rsidRPr="00B06C31">
        <w:rPr>
          <w:rFonts w:eastAsia="Times New Roman"/>
          <w:szCs w:val="20"/>
          <w:lang w:val="es-CO" w:eastAsia="es-AR"/>
        </w:rPr>
        <w:t xml:space="preserve">consideró que “dicho lo anterior (que el estado de cosas contrario a la constitución al que se enfrente una persona en un determinado centro de reclusión no le da derecho constitucional a ser excarcelado), es preciso aclarar que para enfrentar una grave crisis penitenciaria y carcelaria como la actual, en la que el hacinamiento cumple un rol destacado, es necesario incluir políticas que favorezcan la libertad y la excarcelación, incluso de forma masiva. El uso desmedido y exagerado de la política criminal y penitenciaria, es insostenible en un estado social y democrático de derecho, por los costos que implica a los derechos fundamentales, a la cohesión social y a los escasos recursos públicos que se cuenta para cumplir los variados y múltiples cometidos y funciones estatales.  De tal suerte que, ante estados de cosas penitenciarios y carcelarios contrarios al orden constitucional, se deban implementar políticas que lleven a que ciertas personas tengan el derecho a ser excarceladas. Pero, se insiste, no se trata de una cuestión automática. La decisión de excarcelación, debe considerar el caso que se le presenta”. </w:t>
      </w:r>
    </w:p>
    <w:p w14:paraId="046775A9" w14:textId="77777777" w:rsidR="009E7BBE" w:rsidRPr="00B06C31" w:rsidRDefault="009E7BBE" w:rsidP="009E7BBE">
      <w:pPr>
        <w:pStyle w:val="ListParagraph"/>
        <w:shd w:val="clear" w:color="auto" w:fill="FFFFFF"/>
        <w:ind w:left="0"/>
        <w:rPr>
          <w:rFonts w:eastAsia="Times New Roman"/>
          <w:szCs w:val="20"/>
          <w:lang w:val="es-CO" w:eastAsia="es-AR"/>
        </w:rPr>
      </w:pPr>
    </w:p>
    <w:p w14:paraId="10198B3F" w14:textId="77777777" w:rsidR="009E7BBE" w:rsidRPr="00B06C31" w:rsidRDefault="009E7BBE" w:rsidP="009E7BBE">
      <w:pPr>
        <w:pStyle w:val="ListParagraph"/>
        <w:numPr>
          <w:ilvl w:val="0"/>
          <w:numId w:val="20"/>
        </w:numPr>
        <w:shd w:val="clear" w:color="auto" w:fill="FFFFFF"/>
        <w:ind w:left="0" w:firstLine="0"/>
        <w:rPr>
          <w:rFonts w:eastAsia="Times New Roman"/>
          <w:szCs w:val="20"/>
          <w:lang w:val="es-CO" w:eastAsia="es-AR"/>
        </w:rPr>
      </w:pPr>
      <w:r w:rsidRPr="00B06C31">
        <w:rPr>
          <w:rFonts w:eastAsia="Times New Roman"/>
          <w:szCs w:val="20"/>
          <w:lang w:val="es-CO" w:eastAsia="es-AR"/>
        </w:rPr>
        <w:t xml:space="preserve">En síntesis, la Corte Constitucional de Colombia entendió que la sobrepoblación penal se debe a un uso exagerado de la privación de libertad, que debe reducirse conforme a una política y decisiones judiciales prudentes de excarcelación, no indiscriminadas, porque niega que haya un derecho subjetivo automático a la excarcelación, pero reclama una política de </w:t>
      </w:r>
      <w:r w:rsidRPr="00B06C31">
        <w:rPr>
          <w:rFonts w:eastAsia="Times New Roman"/>
          <w:szCs w:val="20"/>
          <w:lang w:val="es-CO" w:eastAsia="es-AR"/>
        </w:rPr>
        <w:lastRenderedPageBreak/>
        <w:t xml:space="preserve">excarcelación razonable, atendiendo a la particularidad de los casos, para hacer cesar una situación constitucionalmente insostenible.  </w:t>
      </w:r>
    </w:p>
    <w:p w14:paraId="3EFFA1DD" w14:textId="77777777" w:rsidR="009E7BBE" w:rsidRPr="00B06C31" w:rsidRDefault="009E7BBE" w:rsidP="009E7BBE">
      <w:pPr>
        <w:shd w:val="clear" w:color="auto" w:fill="FFFFFF"/>
        <w:rPr>
          <w:rFonts w:eastAsia="Times New Roman"/>
          <w:szCs w:val="20"/>
          <w:lang w:val="es-AR" w:eastAsia="es-AR"/>
        </w:rPr>
      </w:pPr>
    </w:p>
    <w:p w14:paraId="6FF17B0A" w14:textId="77777777" w:rsidR="009E7BBE" w:rsidRPr="00B06C31" w:rsidRDefault="009E7BBE" w:rsidP="009E7BBE">
      <w:pPr>
        <w:pStyle w:val="ListParagraph"/>
        <w:shd w:val="clear" w:color="auto" w:fill="FFFFFF"/>
        <w:ind w:left="0"/>
        <w:rPr>
          <w:rFonts w:eastAsia="Times New Roman"/>
          <w:b/>
          <w:szCs w:val="20"/>
          <w:lang w:val="es-AR" w:eastAsia="es-AR"/>
        </w:rPr>
      </w:pPr>
      <w:r w:rsidRPr="00B06C31">
        <w:rPr>
          <w:rFonts w:eastAsia="Times New Roman"/>
          <w:b/>
          <w:szCs w:val="20"/>
          <w:lang w:val="es-AR" w:eastAsia="es-AR"/>
        </w:rPr>
        <w:t>Sentencia de la Suprema Corte de los Estados Unidos</w:t>
      </w:r>
    </w:p>
    <w:p w14:paraId="1E0A3415" w14:textId="77777777" w:rsidR="009E7BBE" w:rsidRPr="00B06C31" w:rsidRDefault="009E7BBE" w:rsidP="009E7BBE">
      <w:pPr>
        <w:shd w:val="clear" w:color="auto" w:fill="FFFFFF"/>
        <w:rPr>
          <w:rFonts w:eastAsia="Times New Roman"/>
          <w:b/>
          <w:szCs w:val="20"/>
          <w:u w:val="single"/>
          <w:lang w:val="es-AR" w:eastAsia="es-AR"/>
        </w:rPr>
      </w:pPr>
    </w:p>
    <w:p w14:paraId="087CD071" w14:textId="77777777" w:rsidR="009E7BBE" w:rsidRPr="00B06C31" w:rsidRDefault="009E7BBE" w:rsidP="009E7BBE">
      <w:pPr>
        <w:pStyle w:val="ListParagraph"/>
        <w:numPr>
          <w:ilvl w:val="0"/>
          <w:numId w:val="20"/>
        </w:numPr>
        <w:ind w:left="0" w:firstLine="0"/>
        <w:rPr>
          <w:szCs w:val="20"/>
          <w:lang w:val="es-AR"/>
        </w:rPr>
      </w:pPr>
      <w:r w:rsidRPr="00B06C31">
        <w:rPr>
          <w:szCs w:val="20"/>
          <w:lang w:val="es-AR"/>
        </w:rPr>
        <w:t>La sentencia significativa y específica más resonante del continente ha sido la pronunciada por la Suprema Corte de los Estados Unidos el 23 de mayo de 2011</w:t>
      </w:r>
      <w:r w:rsidRPr="00B06C31">
        <w:rPr>
          <w:rStyle w:val="FootnoteReference"/>
          <w:lang w:val="es-AR"/>
        </w:rPr>
        <w:footnoteReference w:id="29"/>
      </w:r>
      <w:r w:rsidRPr="00B06C31">
        <w:rPr>
          <w:szCs w:val="20"/>
          <w:lang w:val="es-AR"/>
        </w:rPr>
        <w:t>.</w:t>
      </w:r>
    </w:p>
    <w:p w14:paraId="3755251D" w14:textId="77777777" w:rsidR="009E7BBE" w:rsidRPr="00B06C31" w:rsidRDefault="009E7BBE" w:rsidP="009E7BBE">
      <w:pPr>
        <w:pStyle w:val="ListParagraph"/>
        <w:ind w:left="0"/>
        <w:rPr>
          <w:i/>
          <w:szCs w:val="20"/>
        </w:rPr>
      </w:pPr>
    </w:p>
    <w:p w14:paraId="587DADDD" w14:textId="77777777" w:rsidR="009E7BBE" w:rsidRPr="00B06C31" w:rsidRDefault="009E7BBE" w:rsidP="009E7BBE">
      <w:pPr>
        <w:pStyle w:val="ListParagraph"/>
        <w:numPr>
          <w:ilvl w:val="0"/>
          <w:numId w:val="20"/>
        </w:numPr>
        <w:ind w:left="0" w:firstLine="0"/>
        <w:rPr>
          <w:i/>
          <w:szCs w:val="20"/>
        </w:rPr>
      </w:pPr>
      <w:r w:rsidRPr="00B06C31">
        <w:rPr>
          <w:szCs w:val="20"/>
        </w:rPr>
        <w:t xml:space="preserve">Las prisiones de California tenían capacidad para unos 80.000 presos, pero la población penal alcanzaba el 200% de densidad, es decir, condiciones de sobrepoblación análogas a las del IPPSC de Rio de Janeiro. En </w:t>
      </w:r>
      <w:r w:rsidRPr="00B06C31">
        <w:rPr>
          <w:i/>
          <w:szCs w:val="20"/>
        </w:rPr>
        <w:t>Coleman v. Brown</w:t>
      </w:r>
      <w:r w:rsidRPr="00B06C31">
        <w:rPr>
          <w:szCs w:val="20"/>
        </w:rPr>
        <w:t xml:space="preserve"> (archivado en 1990), el Tribunal de Distrito había verificado que los presos con enfermedades mentales graves no recibían atención mínima y adecuada. El encargado de la supervisión de los esfuerzos destinados a remediar esta situación informó más de diez años después que el estado de la atención de salud mental en las prisiones de California se estaba deteriorando debido al aumento del hacinamiento. En </w:t>
      </w:r>
      <w:r w:rsidRPr="00B06C31">
        <w:rPr>
          <w:i/>
          <w:szCs w:val="20"/>
        </w:rPr>
        <w:t>Plata v. Brown</w:t>
      </w:r>
      <w:r w:rsidRPr="00B06C31">
        <w:rPr>
          <w:szCs w:val="20"/>
        </w:rPr>
        <w:t xml:space="preserve">, presentado en 2001, el Estado reconoció que las deficiencias en la atención médica en las prisiones violaban los derechos de la Octava Enmienda de los presos y se dispuso una medida cautelar. En 2005, dado que el Estado no había cumplido con el requerimiento judicial, el tribunal designó un </w:t>
      </w:r>
      <w:r w:rsidRPr="00B06C31">
        <w:rPr>
          <w:i/>
          <w:szCs w:val="20"/>
        </w:rPr>
        <w:t>Receptor</w:t>
      </w:r>
      <w:r w:rsidRPr="00B06C31">
        <w:rPr>
          <w:szCs w:val="20"/>
        </w:rPr>
        <w:t xml:space="preserve"> para supervisar los esfuerzos estatales, quien en 2008 no hizo más que describir la continuidad de las deficiencias causadas por el hacinamiento. Entendiendo que no era posible resolver la situación sin reducir el hacinamiento, los demandantes promovieron ante sus respectivos Tribunales de Distrito la convocatoria a un tribunal de tres jueces facultados por la </w:t>
      </w:r>
      <w:r w:rsidRPr="004F26AD">
        <w:rPr>
          <w:szCs w:val="20"/>
        </w:rPr>
        <w:t>Ley de Reforma de Litigios de Prisiones</w:t>
      </w:r>
      <w:r w:rsidRPr="00B06C31">
        <w:rPr>
          <w:szCs w:val="20"/>
        </w:rPr>
        <w:t xml:space="preserve"> de 1995 (PLRA) para disponer reducciones de población carcelaria. Los jueces de Distrito hicieron lugar a lo solicitado y los casos se radicaron ante un único tribunal </w:t>
      </w:r>
      <w:proofErr w:type="spellStart"/>
      <w:r w:rsidRPr="00B06C31">
        <w:rPr>
          <w:szCs w:val="20"/>
        </w:rPr>
        <w:t>tripersonal</w:t>
      </w:r>
      <w:proofErr w:type="spellEnd"/>
      <w:r w:rsidRPr="00B06C31">
        <w:rPr>
          <w:szCs w:val="20"/>
        </w:rPr>
        <w:t xml:space="preserve">, que después de escuchar testimonios y realizar verificaciones de los hechos, ordenó a California </w:t>
      </w:r>
      <w:r w:rsidRPr="004F26AD">
        <w:rPr>
          <w:szCs w:val="20"/>
        </w:rPr>
        <w:t>reducir su población carcelaria al 137.5% de la capacidad de diseño dentro de dos años</w:t>
      </w:r>
      <w:r w:rsidRPr="00B06C31">
        <w:rPr>
          <w:i/>
          <w:szCs w:val="20"/>
        </w:rPr>
        <w:t xml:space="preserve">. </w:t>
      </w:r>
    </w:p>
    <w:p w14:paraId="6883D970" w14:textId="77777777" w:rsidR="009E7BBE" w:rsidRPr="00B06C31" w:rsidRDefault="009E7BBE" w:rsidP="009E7BBE">
      <w:pPr>
        <w:pStyle w:val="ListParagraph"/>
        <w:ind w:left="0"/>
        <w:rPr>
          <w:i/>
          <w:szCs w:val="20"/>
        </w:rPr>
      </w:pPr>
    </w:p>
    <w:p w14:paraId="25399BF2" w14:textId="77777777" w:rsidR="009E7BBE" w:rsidRPr="00B06C31" w:rsidRDefault="009E7BBE" w:rsidP="009E7BBE">
      <w:pPr>
        <w:pStyle w:val="ListParagraph"/>
        <w:numPr>
          <w:ilvl w:val="0"/>
          <w:numId w:val="20"/>
        </w:numPr>
        <w:ind w:left="0" w:firstLine="0"/>
        <w:rPr>
          <w:szCs w:val="20"/>
        </w:rPr>
      </w:pPr>
      <w:r w:rsidRPr="00B06C31">
        <w:rPr>
          <w:szCs w:val="20"/>
        </w:rPr>
        <w:t xml:space="preserve">Ante la evidencia de que la población carcelaria tendría que reducirse, en razón de que no era posible aumentar la capacidad con nuevas construcciones, el tribunal ordenó al Estado que formule un plan de cumplimiento y lo presente para su aprobación. </w:t>
      </w:r>
    </w:p>
    <w:p w14:paraId="2E2048DD" w14:textId="77777777" w:rsidR="009E7BBE" w:rsidRPr="00B06C31" w:rsidRDefault="009E7BBE" w:rsidP="009E7BBE">
      <w:pPr>
        <w:pStyle w:val="ListParagraph"/>
        <w:ind w:left="0"/>
        <w:rPr>
          <w:szCs w:val="20"/>
        </w:rPr>
      </w:pPr>
    </w:p>
    <w:p w14:paraId="279817BC" w14:textId="77777777" w:rsidR="009E7BBE" w:rsidRPr="00B06C31" w:rsidRDefault="009E7BBE" w:rsidP="009E7BBE">
      <w:pPr>
        <w:pStyle w:val="ListParagraph"/>
        <w:numPr>
          <w:ilvl w:val="0"/>
          <w:numId w:val="20"/>
        </w:numPr>
        <w:ind w:left="0" w:firstLine="0"/>
        <w:rPr>
          <w:szCs w:val="20"/>
        </w:rPr>
      </w:pPr>
      <w:r w:rsidRPr="00B06C31">
        <w:rPr>
          <w:szCs w:val="20"/>
        </w:rPr>
        <w:t xml:space="preserve">El Estado de California acudió ante la Suprema Corte de los Estados Unidos que, finalmente, por </w:t>
      </w:r>
      <w:r w:rsidRPr="008A344F">
        <w:rPr>
          <w:szCs w:val="20"/>
        </w:rPr>
        <w:t xml:space="preserve">mayoría de cinco votos confirmó lo resuelto por el tribunal </w:t>
      </w:r>
      <w:proofErr w:type="spellStart"/>
      <w:r w:rsidRPr="008A344F">
        <w:rPr>
          <w:szCs w:val="20"/>
        </w:rPr>
        <w:t>tripersonal</w:t>
      </w:r>
      <w:proofErr w:type="spellEnd"/>
      <w:r w:rsidRPr="00B06C31">
        <w:rPr>
          <w:szCs w:val="20"/>
        </w:rPr>
        <w:t xml:space="preserve">. El relator fue el Juez Kennedy, que resumió así el caso: </w:t>
      </w:r>
    </w:p>
    <w:p w14:paraId="10D34BC9" w14:textId="77777777" w:rsidR="009E7BBE" w:rsidRPr="00B06C31" w:rsidRDefault="009E7BBE" w:rsidP="009E7BBE">
      <w:pPr>
        <w:pStyle w:val="ListParagraph"/>
        <w:ind w:left="0"/>
        <w:rPr>
          <w:szCs w:val="20"/>
        </w:rPr>
      </w:pPr>
    </w:p>
    <w:p w14:paraId="150F123F" w14:textId="1FE90643" w:rsidR="009E7BBE" w:rsidRPr="00E22992" w:rsidRDefault="00E22992" w:rsidP="009E7BBE">
      <w:pPr>
        <w:pStyle w:val="ListParagraph"/>
        <w:ind w:left="567" w:right="566"/>
        <w:rPr>
          <w:sz w:val="18"/>
          <w:szCs w:val="18"/>
        </w:rPr>
      </w:pPr>
      <w:r w:rsidRPr="00E22992">
        <w:rPr>
          <w:sz w:val="18"/>
          <w:szCs w:val="18"/>
        </w:rPr>
        <w:t>Este caso surge de graves violaciones constitucionales en el sistema penitenciario de California. Las violaciones han persistido durante años. Permanecen sin corregir. La apelación llega a este Tribunal por una orden del Tribunal de Distrito de tres jueces que ordena a California remediar dos violaciones continuas de la Cláusula de Castigo Crueles e Inusuales, una garantía vinculante para los Estados por la Cláusula de Debido Proceso de la Decimocuarta Enmienda. Las violaciones son objeto de dos acciones colectivas en dos Tribunales del Distrito Federal. El primero involucra a la clase de presos con trastornos mentales graves. Ese caso es Coleman v. Brown. El segundo involucra a los presos con afecciones médicas graves. Ese caso es Plata v. Brown. La orden del Tribunal de Distrito de tres jueces es aplicable a ambos casos</w:t>
      </w:r>
      <w:r w:rsidR="009E7BBE" w:rsidRPr="00B06C31">
        <w:rPr>
          <w:rStyle w:val="FootnoteReference"/>
          <w:sz w:val="18"/>
          <w:szCs w:val="18"/>
        </w:rPr>
        <w:footnoteReference w:id="30"/>
      </w:r>
      <w:r w:rsidR="009E7BBE" w:rsidRPr="00E22992">
        <w:rPr>
          <w:sz w:val="18"/>
          <w:szCs w:val="18"/>
        </w:rPr>
        <w:t>.</w:t>
      </w:r>
    </w:p>
    <w:p w14:paraId="7E3BC583" w14:textId="77777777" w:rsidR="009E7BBE" w:rsidRPr="00E22992" w:rsidRDefault="009E7BBE" w:rsidP="009E7BBE">
      <w:pPr>
        <w:pStyle w:val="ListParagraph"/>
        <w:ind w:left="0"/>
        <w:rPr>
          <w:szCs w:val="20"/>
        </w:rPr>
      </w:pPr>
    </w:p>
    <w:p w14:paraId="56152F7F" w14:textId="77777777" w:rsidR="009E7BBE" w:rsidRPr="00B06C31" w:rsidRDefault="009E7BBE" w:rsidP="009E7BBE">
      <w:pPr>
        <w:pStyle w:val="ListParagraph"/>
        <w:numPr>
          <w:ilvl w:val="0"/>
          <w:numId w:val="20"/>
        </w:numPr>
        <w:ind w:left="0" w:firstLine="0"/>
        <w:rPr>
          <w:szCs w:val="20"/>
        </w:rPr>
      </w:pPr>
      <w:r w:rsidRPr="00B06C31">
        <w:rPr>
          <w:szCs w:val="20"/>
        </w:rPr>
        <w:t>La situación la sintetizaba de la siguiente manera:</w:t>
      </w:r>
    </w:p>
    <w:p w14:paraId="05CBED30" w14:textId="77777777" w:rsidR="009E7BBE" w:rsidRPr="00B06C31" w:rsidRDefault="009E7BBE" w:rsidP="009E7BBE">
      <w:pPr>
        <w:pStyle w:val="ListParagraph"/>
        <w:ind w:left="567" w:right="566"/>
        <w:rPr>
          <w:szCs w:val="20"/>
        </w:rPr>
      </w:pPr>
    </w:p>
    <w:p w14:paraId="7B56F9F0" w14:textId="4DA9F484" w:rsidR="009E7BBE" w:rsidRPr="00E22992" w:rsidRDefault="00E22992" w:rsidP="009E7BBE">
      <w:pPr>
        <w:pStyle w:val="ListParagraph"/>
        <w:ind w:left="567" w:right="566"/>
        <w:rPr>
          <w:sz w:val="18"/>
          <w:szCs w:val="18"/>
        </w:rPr>
      </w:pPr>
      <w:r w:rsidRPr="00E22992">
        <w:rPr>
          <w:sz w:val="18"/>
          <w:szCs w:val="18"/>
        </w:rPr>
        <w:lastRenderedPageBreak/>
        <w:t xml:space="preserve">En el momento del juicio, las instalaciones penitenciarias de California tenían unas 156,000 personas. Esto es casi el doble del número para el que las prisiones de California fueron diseñadas para mantener, y a California se le ha ordenado reducir su población carcelaria al 137.5% de la capacidad de diseño. Según el propio cálculo del tribunal de tres jueces, la reducción de la población requerida podría ser de hasta 46,000 personas. Si bien el Estado ha reducido la población en al menos 9,000 personas durante la tramitación de esta apelación, esto significa que se podría requerir una reducción adicional de 37,000 personas. Como se observará, la reducción no necesita realizarse de manera indiscriminada o en estos números sustanciales, si son satisfactorios, se diseñan recursos alternativos o medios para el cumplimiento. El Estado puede emplear medidas, incluidos los créditos de buen tiempo y el desvío de delincuentes de bajo riesgo y violadores técnicos de libertad condicional a programas basados </w:t>
      </w:r>
      <w:r w:rsidRPr="00E22992">
        <w:rPr>
          <w:rFonts w:ascii="Arial" w:hAnsi="Arial" w:cs="Arial"/>
          <w:sz w:val="18"/>
          <w:szCs w:val="18"/>
        </w:rPr>
        <w:t>​​</w:t>
      </w:r>
      <w:r w:rsidRPr="00E22992">
        <w:rPr>
          <w:sz w:val="18"/>
          <w:szCs w:val="18"/>
        </w:rPr>
        <w:t>en la comunidad, que mitigarán el impacto de la orden. La reducción de la población potencialmente requerida es, sin embargo, de barrido y extensión sin precedentes</w:t>
      </w:r>
      <w:r w:rsidR="009E7BBE" w:rsidRPr="00B06C31">
        <w:rPr>
          <w:rStyle w:val="FootnoteReference"/>
          <w:sz w:val="18"/>
          <w:szCs w:val="18"/>
        </w:rPr>
        <w:footnoteReference w:id="31"/>
      </w:r>
      <w:r w:rsidR="009E7BBE" w:rsidRPr="00E22992">
        <w:rPr>
          <w:sz w:val="18"/>
          <w:szCs w:val="18"/>
        </w:rPr>
        <w:t>.</w:t>
      </w:r>
    </w:p>
    <w:p w14:paraId="52BF7288" w14:textId="77777777" w:rsidR="009E7BBE" w:rsidRPr="00E22992" w:rsidRDefault="009E7BBE" w:rsidP="009E7BBE">
      <w:pPr>
        <w:pStyle w:val="ListParagraph"/>
        <w:ind w:left="567" w:right="566"/>
        <w:rPr>
          <w:sz w:val="18"/>
          <w:szCs w:val="18"/>
        </w:rPr>
      </w:pPr>
    </w:p>
    <w:p w14:paraId="1599BF79" w14:textId="59129117" w:rsidR="009E7BBE" w:rsidRPr="00E22992" w:rsidRDefault="00E22992" w:rsidP="009E7BBE">
      <w:pPr>
        <w:pStyle w:val="ListParagraph"/>
        <w:ind w:left="567" w:right="566"/>
        <w:rPr>
          <w:sz w:val="18"/>
          <w:szCs w:val="18"/>
        </w:rPr>
      </w:pPr>
      <w:r w:rsidRPr="00E22992">
        <w:rPr>
          <w:sz w:val="18"/>
          <w:szCs w:val="18"/>
        </w:rPr>
        <w:t>Sin embargo, también lo son las lesiones continuas y los daños resultantes de estas graves violaciones constitucionales. Durante años, la atención médica y de salud mental brindada por las prisiones de California no ha cumplido con los requisitos constitucionales mínimos y no ha cumplido con las necesidades básicas de salud de los reclusos. El sufrimiento y la muerte innecesarios han sido el resultado bien documentado. Durante todo el transcurso de los años durante los cuales este litigio ha estado pendiente, no se han encontrado otros recursos suficientes. Los esfuerzos para remediar la violación se han visto frustrados por el grave hacinamiento en el sistema penitenciario de California. Los beneficios a corto plazo en la prestación de atención se han visto erosionados por los efectos a largo plazo de un hacinamiento grave y generalizado</w:t>
      </w:r>
      <w:r w:rsidR="009E7BBE" w:rsidRPr="00B06C31">
        <w:rPr>
          <w:rStyle w:val="FootnoteReference"/>
          <w:sz w:val="18"/>
          <w:szCs w:val="18"/>
        </w:rPr>
        <w:footnoteReference w:id="32"/>
      </w:r>
      <w:r w:rsidR="009E7BBE" w:rsidRPr="00E22992">
        <w:rPr>
          <w:sz w:val="18"/>
          <w:szCs w:val="18"/>
        </w:rPr>
        <w:t>.</w:t>
      </w:r>
    </w:p>
    <w:p w14:paraId="4653464B" w14:textId="77777777" w:rsidR="009E7BBE" w:rsidRPr="00E22992" w:rsidRDefault="009E7BBE" w:rsidP="009E7BBE">
      <w:pPr>
        <w:pStyle w:val="ListParagraph"/>
        <w:ind w:left="567" w:right="566"/>
        <w:rPr>
          <w:sz w:val="18"/>
          <w:szCs w:val="18"/>
        </w:rPr>
      </w:pPr>
    </w:p>
    <w:p w14:paraId="03BC9413" w14:textId="588FCF23" w:rsidR="009E7BBE" w:rsidRPr="00E22992" w:rsidRDefault="00E22992" w:rsidP="009E7BBE">
      <w:pPr>
        <w:pStyle w:val="ListParagraph"/>
        <w:ind w:left="567" w:right="566"/>
        <w:rPr>
          <w:sz w:val="18"/>
          <w:szCs w:val="18"/>
        </w:rPr>
      </w:pPr>
      <w:r w:rsidRPr="00E22992">
        <w:rPr>
          <w:sz w:val="18"/>
          <w:szCs w:val="18"/>
        </w:rPr>
        <w:t>El hacinamiento ha superado los recursos limitados del personal de la prisión; demandas impuestas más allá de la capacidad de las instalaciones médicas y de salud mental; y creó condiciones insalubres e inseguras que hacen que el progreso en la provisión de atención sea difícil o imposible de lograr. El hacinamiento es la "causa principal de la violación de un derecho federal", 18 USC §3626 (a) (3) (E) (i), específicamente el maltrato severo e ilegal de los presos a través de una prestación de salud médica y mental sumamente inadecuada para su cuidado. Este tribunal ahora sostiene que el PLRA autoriza el alivio otorgado en este caso y que el límite de población exigido por el tribunal es necesario para remediar la violación de los derechos constitucionales de los presos. La orden del tribunal de tres jueces, sujeta al derecho del Estado a buscar su modificación en circunstancias apropiadas, debe ser confirmada</w:t>
      </w:r>
      <w:r w:rsidR="009E7BBE" w:rsidRPr="00B06C31">
        <w:rPr>
          <w:rStyle w:val="FootnoteReference"/>
          <w:sz w:val="18"/>
          <w:szCs w:val="18"/>
        </w:rPr>
        <w:footnoteReference w:id="33"/>
      </w:r>
      <w:r w:rsidR="009E7BBE" w:rsidRPr="00E22992">
        <w:rPr>
          <w:sz w:val="18"/>
          <w:szCs w:val="18"/>
        </w:rPr>
        <w:t>.</w:t>
      </w:r>
    </w:p>
    <w:p w14:paraId="748954CC" w14:textId="77777777" w:rsidR="009E7BBE" w:rsidRPr="00E22992" w:rsidRDefault="009E7BBE" w:rsidP="009E7BBE">
      <w:pPr>
        <w:pStyle w:val="ListParagraph"/>
        <w:ind w:left="567" w:right="566"/>
        <w:rPr>
          <w:sz w:val="18"/>
          <w:szCs w:val="18"/>
        </w:rPr>
      </w:pPr>
    </w:p>
    <w:p w14:paraId="53870347" w14:textId="7D7A451F" w:rsidR="009E7BBE" w:rsidRPr="00E22992" w:rsidRDefault="00E22992" w:rsidP="009E7BBE">
      <w:pPr>
        <w:pStyle w:val="ListParagraph"/>
        <w:ind w:left="567" w:right="566"/>
        <w:rPr>
          <w:sz w:val="18"/>
          <w:szCs w:val="18"/>
        </w:rPr>
      </w:pPr>
      <w:r w:rsidRPr="00E22992">
        <w:rPr>
          <w:sz w:val="18"/>
          <w:szCs w:val="18"/>
        </w:rPr>
        <w:t>El grado de hacinamiento en las prisiones de California es excepcional. Las prisiones de California están diseñadas para albergar a una población de poco menos de 80,000 habitantes, pero en el momento de la decisión de la corte de tres jueces, la población era casi el doble. Las cárceles del estado habían operado en torno al 200% de la capacidad de diseño durante al menos 11 años. Los presos están abarrotados en espacios que no están diseñados ni destinados a alojar presos. Hasta 200 prisioneros pueden vivir en un gimnasio, monitoreado por tan solo dos o tres oficiales correccionales. App. 1337–1338, 1350; Ver Apéndice B, infra. Hasta 54 presos pueden compartir un solo baño. App. 1337</w:t>
      </w:r>
      <w:r w:rsidR="009E7BBE" w:rsidRPr="00B06C31">
        <w:rPr>
          <w:rStyle w:val="FootnoteReference"/>
          <w:sz w:val="18"/>
          <w:szCs w:val="18"/>
        </w:rPr>
        <w:footnoteReference w:id="34"/>
      </w:r>
      <w:r w:rsidR="009E7BBE" w:rsidRPr="00E22992">
        <w:rPr>
          <w:sz w:val="18"/>
          <w:szCs w:val="18"/>
        </w:rPr>
        <w:t>.</w:t>
      </w:r>
    </w:p>
    <w:p w14:paraId="7D95ADA8" w14:textId="77777777" w:rsidR="009E7BBE" w:rsidRPr="00E22992" w:rsidRDefault="009E7BBE" w:rsidP="009E7BBE">
      <w:pPr>
        <w:pStyle w:val="ListParagraph"/>
        <w:ind w:left="567" w:right="566"/>
        <w:rPr>
          <w:sz w:val="18"/>
          <w:szCs w:val="18"/>
        </w:rPr>
      </w:pPr>
    </w:p>
    <w:p w14:paraId="7233F153" w14:textId="697F8311" w:rsidR="009E7BBE" w:rsidRPr="00E22992" w:rsidRDefault="00E22992" w:rsidP="009E7BBE">
      <w:pPr>
        <w:pStyle w:val="ListParagraph"/>
        <w:ind w:left="567" w:right="566"/>
        <w:rPr>
          <w:sz w:val="18"/>
          <w:szCs w:val="18"/>
        </w:rPr>
      </w:pPr>
      <w:r w:rsidRPr="00E22992">
        <w:rPr>
          <w:sz w:val="18"/>
          <w:szCs w:val="18"/>
        </w:rPr>
        <w:t xml:space="preserve">El hacinamiento también crea condiciones de vida inseguras e insalubres que dificultan la prestación efectiva de atención médica y de salud mental. Un experto médico describió las viviendas en gimnasios o salas de día convertidos, donde un gran número de reclusos puede compartir solo unos pocos inodoros y duchas, como "lugares de cultivo para enfermedades". 7 </w:t>
      </w:r>
      <w:proofErr w:type="spellStart"/>
      <w:r w:rsidRPr="00E22992">
        <w:rPr>
          <w:sz w:val="18"/>
          <w:szCs w:val="18"/>
        </w:rPr>
        <w:t>Juris</w:t>
      </w:r>
      <w:proofErr w:type="spellEnd"/>
      <w:r w:rsidRPr="00E22992">
        <w:rPr>
          <w:sz w:val="18"/>
          <w:szCs w:val="18"/>
        </w:rPr>
        <w:t xml:space="preserve">. App. 102a. Las condiciones reducidas promueven la inestabilidad y la violencia, lo que dificulta que los funcionarios penitenciarios vigilen y controlen a la </w:t>
      </w:r>
      <w:r w:rsidRPr="00E22992">
        <w:rPr>
          <w:sz w:val="18"/>
          <w:szCs w:val="18"/>
        </w:rPr>
        <w:lastRenderedPageBreak/>
        <w:t xml:space="preserve">población penitenciaria. En un día cualquiera, los presos en la población general de la prisión pueden enfermarse, por lo que ingresan a la clase demandante; y el hacinamiento puede evitar la atención médica inmediata necesaria para evitar el sufrimiento, la muerte o la propagación de enfermedades. Después de que un prisionero fue agredido en un gimnasio abarrotado, el personal de la prisión ni siquiera se enteró de la herida hasta que el prisionero estuvo muerto por varias horas. </w:t>
      </w:r>
      <w:proofErr w:type="spellStart"/>
      <w:r w:rsidRPr="00E22992">
        <w:rPr>
          <w:sz w:val="18"/>
          <w:szCs w:val="18"/>
        </w:rPr>
        <w:t>Tr</w:t>
      </w:r>
      <w:proofErr w:type="spellEnd"/>
      <w:r w:rsidRPr="00E22992">
        <w:rPr>
          <w:sz w:val="18"/>
          <w:szCs w:val="18"/>
        </w:rPr>
        <w:t>. 382. Vivir en condiciones de hacinamiento, inseguras e insalubres puede hacer que los presos con enfermedades mentales latentes empeoren y desarrollen síntomas manifiesto</w:t>
      </w:r>
      <w:r>
        <w:rPr>
          <w:sz w:val="18"/>
          <w:szCs w:val="18"/>
        </w:rPr>
        <w:t>s</w:t>
      </w:r>
      <w:r w:rsidR="009E7BBE" w:rsidRPr="00B06C31">
        <w:rPr>
          <w:rStyle w:val="FootnoteReference"/>
          <w:sz w:val="18"/>
          <w:szCs w:val="18"/>
        </w:rPr>
        <w:footnoteReference w:id="35"/>
      </w:r>
      <w:r w:rsidR="009E7BBE" w:rsidRPr="00E22992">
        <w:rPr>
          <w:sz w:val="18"/>
          <w:szCs w:val="18"/>
        </w:rPr>
        <w:t>.</w:t>
      </w:r>
    </w:p>
    <w:p w14:paraId="4DBE018D" w14:textId="77777777" w:rsidR="009E7BBE" w:rsidRPr="00E22992" w:rsidRDefault="009E7BBE" w:rsidP="009E7BBE">
      <w:pPr>
        <w:pStyle w:val="ListParagraph"/>
        <w:ind w:left="567" w:right="566"/>
        <w:rPr>
          <w:sz w:val="18"/>
          <w:szCs w:val="18"/>
        </w:rPr>
      </w:pPr>
    </w:p>
    <w:p w14:paraId="0D4E5691" w14:textId="29F36083" w:rsidR="009E7BBE" w:rsidRPr="00E22992" w:rsidRDefault="00E22992" w:rsidP="009E7BBE">
      <w:pPr>
        <w:pStyle w:val="ListParagraph"/>
        <w:ind w:left="567" w:right="566"/>
        <w:rPr>
          <w:sz w:val="18"/>
          <w:szCs w:val="18"/>
        </w:rPr>
      </w:pPr>
      <w:r w:rsidRPr="00E22992">
        <w:rPr>
          <w:sz w:val="18"/>
          <w:szCs w:val="18"/>
        </w:rPr>
        <w:t>Numerosos expertos declararon que el hacinamiento es la causa principal de las violaciones constitucionales. El ex director de San Qu</w:t>
      </w:r>
      <w:r w:rsidR="00B029FC">
        <w:rPr>
          <w:sz w:val="18"/>
          <w:szCs w:val="18"/>
        </w:rPr>
        <w:t>e</w:t>
      </w:r>
      <w:r w:rsidRPr="00E22992">
        <w:rPr>
          <w:sz w:val="18"/>
          <w:szCs w:val="18"/>
        </w:rPr>
        <w:t>nt</w:t>
      </w:r>
      <w:r w:rsidR="00B029FC">
        <w:rPr>
          <w:sz w:val="18"/>
          <w:szCs w:val="18"/>
        </w:rPr>
        <w:t>i</w:t>
      </w:r>
      <w:r w:rsidRPr="00E22992">
        <w:rPr>
          <w:sz w:val="18"/>
          <w:szCs w:val="18"/>
        </w:rPr>
        <w:t xml:space="preserve">n y el ex secretario interino de las prisiones de California concluyeron que el hacinamiento "hace que sea prácticamente imposible para la organización desarrollar, y mucho menos implementar, un plan para brindar a los reclusos la atención adecuada". Id., En 83a. El ex director ejecutivo del Departamento de Justicia Criminal de Texas declaró que "todo gira en torno al hacinamiento" y que "el hacinamiento es la causa principal de las violaciones de atención médica y de salud mental". Id., En 127a. El ex jefe de correcciones en Pennsylvania, Washington y Maine declaró que el hacinamiento está "abrumando al sistema tanto en términos de números absolutos, en términos de espacio disponible, en términos de asistencia médica". </w:t>
      </w:r>
      <w:proofErr w:type="spellStart"/>
      <w:r w:rsidRPr="00E22992">
        <w:rPr>
          <w:sz w:val="18"/>
          <w:szCs w:val="18"/>
        </w:rPr>
        <w:t>Ibid</w:t>
      </w:r>
      <w:proofErr w:type="spellEnd"/>
      <w:r w:rsidRPr="00E22992">
        <w:rPr>
          <w:sz w:val="18"/>
          <w:szCs w:val="18"/>
        </w:rPr>
        <w:t xml:space="preserve">. Y el actual secretario del Departamento de Correcciones de Pennsylvania declaró que "el factor de inhibición más grande en este momento en California obedece a que la capacidad de atención médica y de salud mental adecuada responde al grave </w:t>
      </w:r>
      <w:proofErr w:type="gramStart"/>
      <w:r w:rsidRPr="00E22992">
        <w:rPr>
          <w:sz w:val="18"/>
          <w:szCs w:val="18"/>
        </w:rPr>
        <w:t>hacinamiento "</w:t>
      </w:r>
      <w:proofErr w:type="gramEnd"/>
      <w:r w:rsidRPr="00E22992">
        <w:rPr>
          <w:sz w:val="18"/>
          <w:szCs w:val="18"/>
        </w:rPr>
        <w:t>. Id., En 82a.</w:t>
      </w:r>
      <w:r w:rsidR="009E7BBE" w:rsidRPr="00B06C31">
        <w:rPr>
          <w:rStyle w:val="FootnoteReference"/>
          <w:sz w:val="18"/>
          <w:szCs w:val="18"/>
        </w:rPr>
        <w:footnoteReference w:id="36"/>
      </w:r>
    </w:p>
    <w:p w14:paraId="115BB213" w14:textId="77777777" w:rsidR="009E7BBE" w:rsidRPr="00E22992" w:rsidRDefault="009E7BBE" w:rsidP="009E7BBE">
      <w:pPr>
        <w:rPr>
          <w:szCs w:val="20"/>
        </w:rPr>
      </w:pPr>
    </w:p>
    <w:p w14:paraId="05CB3BA0" w14:textId="77777777" w:rsidR="009E7BBE" w:rsidRPr="00B06C31" w:rsidRDefault="009E7BBE" w:rsidP="009E7BBE">
      <w:pPr>
        <w:pStyle w:val="ListParagraph"/>
        <w:ind w:left="0"/>
        <w:rPr>
          <w:b/>
          <w:szCs w:val="20"/>
          <w:lang w:val="es-AR"/>
        </w:rPr>
      </w:pPr>
      <w:r w:rsidRPr="00B06C31">
        <w:rPr>
          <w:b/>
          <w:szCs w:val="20"/>
          <w:lang w:val="es-AR"/>
        </w:rPr>
        <w:t>Sentencia del Tribunal Europeo de Derechos Humanos</w:t>
      </w:r>
    </w:p>
    <w:p w14:paraId="60BB2FDB" w14:textId="77777777" w:rsidR="009E7BBE" w:rsidRPr="00B06C31" w:rsidRDefault="009E7BBE" w:rsidP="009E7BBE">
      <w:pPr>
        <w:rPr>
          <w:szCs w:val="20"/>
          <w:lang w:val="es-AR"/>
        </w:rPr>
      </w:pPr>
    </w:p>
    <w:p w14:paraId="0827D062" w14:textId="77777777" w:rsidR="009E7BBE" w:rsidRPr="00B06C31" w:rsidRDefault="009E7BBE" w:rsidP="009E7BBE">
      <w:pPr>
        <w:pStyle w:val="ListParagraph"/>
        <w:numPr>
          <w:ilvl w:val="0"/>
          <w:numId w:val="20"/>
        </w:numPr>
        <w:ind w:left="0" w:firstLine="0"/>
        <w:rPr>
          <w:szCs w:val="20"/>
          <w:lang w:val="it-IT"/>
        </w:rPr>
      </w:pPr>
      <w:r w:rsidRPr="00B06C31">
        <w:rPr>
          <w:szCs w:val="20"/>
          <w:lang w:val="es-AR"/>
        </w:rPr>
        <w:t xml:space="preserve">El Tribunal Europeo de Derechos Humanos se pronunció sobre este problema en su sentencia del 8 de enero de 2013 en la causa </w:t>
      </w:r>
      <w:proofErr w:type="spellStart"/>
      <w:r w:rsidRPr="00B06C31">
        <w:rPr>
          <w:i/>
          <w:szCs w:val="20"/>
          <w:lang w:val="es-AR"/>
        </w:rPr>
        <w:t>Torregiani</w:t>
      </w:r>
      <w:proofErr w:type="spellEnd"/>
      <w:r w:rsidRPr="00B06C31">
        <w:rPr>
          <w:i/>
          <w:szCs w:val="20"/>
          <w:lang w:val="es-AR"/>
        </w:rPr>
        <w:t xml:space="preserve"> y otros vs. Italia. </w:t>
      </w:r>
      <w:r w:rsidRPr="00B06C31">
        <w:rPr>
          <w:szCs w:val="20"/>
          <w:lang w:val="it-IT"/>
        </w:rPr>
        <w:t xml:space="preserve">En el párrafo 65 de dicha sentencia el Tribunal señaló: </w:t>
      </w:r>
    </w:p>
    <w:p w14:paraId="7A7201AF" w14:textId="77777777" w:rsidR="009E7BBE" w:rsidRPr="00B06C31" w:rsidRDefault="009E7BBE" w:rsidP="009E7BBE">
      <w:pPr>
        <w:pStyle w:val="ListParagraph"/>
        <w:ind w:left="0"/>
        <w:rPr>
          <w:szCs w:val="20"/>
          <w:lang w:val="it-IT"/>
        </w:rPr>
      </w:pPr>
    </w:p>
    <w:p w14:paraId="02B79EB9" w14:textId="77777777" w:rsidR="009E7BBE" w:rsidRPr="00B06C31" w:rsidRDefault="009E7BBE" w:rsidP="009E7BBE">
      <w:pPr>
        <w:pStyle w:val="ListParagraph"/>
        <w:shd w:val="clear" w:color="auto" w:fill="FFFFFF"/>
        <w:ind w:left="567" w:right="566"/>
        <w:rPr>
          <w:sz w:val="18"/>
          <w:szCs w:val="18"/>
          <w:lang w:val="it-IT"/>
        </w:rPr>
      </w:pPr>
      <w:r w:rsidRPr="00B06C31">
        <w:rPr>
          <w:rFonts w:eastAsia="Times New Roman" w:cstheme="minorHAnsi"/>
          <w:sz w:val="18"/>
          <w:szCs w:val="18"/>
          <w:lang w:eastAsia="es-AR"/>
        </w:rPr>
        <w:t>El Tribunal señala que, por lo general, la privación de libertad implica ciertos inconvenientes para el recluso. Sin embargo, recuerda que el encarcelamiento no hace que el prisionero pierda los derechos consagrados en la Convención. Por el contrario, en algunos casos, la persona encarcelada puede necesitar más protección debido a la vulnerabilidad de su situación y porque está totalmente bajo la responsabilidad del estado. En este contexto, el artículo 3 impone a las autoridades una obligación positiva de garantizar que todos los reclusos que se encuentren en condiciones compatibles con el respeto por la dignidad humana, que las disposiciones para implementar la medida no sometan a la persona interesada a incomodidad o a una prueba de intensidad que exceda el inevitable nivel de sufrimiento inherente a la detención y que, teniendo en cuenta las necesidades prácticas de encarcelamiento, la salud y el bienestar del detenido estén adecuadamente asegurados (</w:t>
      </w:r>
      <w:proofErr w:type="spellStart"/>
      <w:r w:rsidRPr="00B06C31">
        <w:rPr>
          <w:rFonts w:eastAsia="Times New Roman" w:cstheme="minorHAnsi"/>
          <w:sz w:val="18"/>
          <w:szCs w:val="18"/>
          <w:lang w:eastAsia="es-AR"/>
        </w:rPr>
        <w:t>Kudła</w:t>
      </w:r>
      <w:proofErr w:type="spellEnd"/>
      <w:r w:rsidRPr="00B06C31">
        <w:rPr>
          <w:rFonts w:eastAsia="Times New Roman" w:cstheme="minorHAnsi"/>
          <w:sz w:val="18"/>
          <w:szCs w:val="18"/>
          <w:lang w:eastAsia="es-AR"/>
        </w:rPr>
        <w:t xml:space="preserve"> vs </w:t>
      </w:r>
      <w:proofErr w:type="spellStart"/>
      <w:r w:rsidRPr="00B06C31">
        <w:rPr>
          <w:rFonts w:eastAsia="Times New Roman" w:cstheme="minorHAnsi"/>
          <w:sz w:val="18"/>
          <w:szCs w:val="18"/>
          <w:lang w:eastAsia="es-AR"/>
        </w:rPr>
        <w:t>Poland</w:t>
      </w:r>
      <w:proofErr w:type="spellEnd"/>
      <w:r w:rsidRPr="00B06C31">
        <w:rPr>
          <w:rFonts w:eastAsia="Times New Roman" w:cstheme="minorHAnsi"/>
          <w:sz w:val="18"/>
          <w:szCs w:val="18"/>
          <w:lang w:eastAsia="es-AR"/>
        </w:rPr>
        <w:t xml:space="preserve"> [GC] , No. 30210/96, § 94, ECHR 2000-XI, </w:t>
      </w:r>
      <w:proofErr w:type="spellStart"/>
      <w:r w:rsidRPr="00B06C31">
        <w:rPr>
          <w:rFonts w:eastAsia="Times New Roman" w:cstheme="minorHAnsi"/>
          <w:sz w:val="18"/>
          <w:szCs w:val="18"/>
          <w:lang w:eastAsia="es-AR"/>
        </w:rPr>
        <w:t>Norbert</w:t>
      </w:r>
      <w:proofErr w:type="spellEnd"/>
      <w:r w:rsidRPr="00B06C31">
        <w:rPr>
          <w:rFonts w:eastAsia="Times New Roman" w:cstheme="minorHAnsi"/>
          <w:sz w:val="18"/>
          <w:szCs w:val="18"/>
          <w:lang w:eastAsia="es-AR"/>
        </w:rPr>
        <w:t xml:space="preserve"> </w:t>
      </w:r>
      <w:proofErr w:type="spellStart"/>
      <w:r w:rsidRPr="00B06C31">
        <w:rPr>
          <w:rFonts w:eastAsia="Times New Roman" w:cstheme="minorHAnsi"/>
          <w:sz w:val="18"/>
          <w:szCs w:val="18"/>
          <w:lang w:eastAsia="es-AR"/>
        </w:rPr>
        <w:t>Sikorski</w:t>
      </w:r>
      <w:proofErr w:type="spellEnd"/>
      <w:r w:rsidRPr="00B06C31">
        <w:rPr>
          <w:rFonts w:eastAsia="Times New Roman" w:cstheme="minorHAnsi"/>
          <w:sz w:val="18"/>
          <w:szCs w:val="18"/>
          <w:lang w:eastAsia="es-AR"/>
        </w:rPr>
        <w:t xml:space="preserve"> v. Polonia, citado anteriormente, § 131)</w:t>
      </w:r>
      <w:r w:rsidRPr="00B06C31">
        <w:rPr>
          <w:rFonts w:eastAsia="Times New Roman" w:cstheme="minorHAnsi"/>
          <w:sz w:val="18"/>
          <w:szCs w:val="18"/>
          <w:lang w:val="it-IT" w:eastAsia="es-AR"/>
        </w:rPr>
        <w:t>.</w:t>
      </w:r>
    </w:p>
    <w:p w14:paraId="5950D454" w14:textId="77777777" w:rsidR="009E7BBE" w:rsidRPr="00B06C31" w:rsidRDefault="009E7BBE" w:rsidP="009E7BBE">
      <w:pPr>
        <w:pStyle w:val="ListParagraph"/>
        <w:ind w:left="0"/>
        <w:rPr>
          <w:szCs w:val="20"/>
          <w:lang w:val="it-IT"/>
        </w:rPr>
      </w:pPr>
    </w:p>
    <w:p w14:paraId="0CEE9268" w14:textId="53CE3C2B" w:rsidR="009E7BBE" w:rsidRPr="00B06C31" w:rsidRDefault="009E7BBE" w:rsidP="009E7BBE">
      <w:pPr>
        <w:pStyle w:val="ListParagraph"/>
        <w:numPr>
          <w:ilvl w:val="0"/>
          <w:numId w:val="20"/>
        </w:numPr>
        <w:ind w:left="0" w:firstLine="0"/>
        <w:rPr>
          <w:szCs w:val="20"/>
          <w:lang w:val="it-IT"/>
        </w:rPr>
      </w:pPr>
      <w:r w:rsidRPr="00B06C31">
        <w:rPr>
          <w:szCs w:val="20"/>
          <w:lang w:val="it-IT"/>
        </w:rPr>
        <w:t xml:space="preserve">En el párrafo 88 </w:t>
      </w:r>
      <w:r w:rsidR="003B4943">
        <w:rPr>
          <w:szCs w:val="20"/>
          <w:lang w:val="it-IT"/>
        </w:rPr>
        <w:t>afirmó</w:t>
      </w:r>
      <w:r w:rsidRPr="00B06C31">
        <w:rPr>
          <w:szCs w:val="20"/>
          <w:lang w:val="it-IT"/>
        </w:rPr>
        <w:t xml:space="preserve">: </w:t>
      </w:r>
      <w:r w:rsidR="003B4943">
        <w:rPr>
          <w:szCs w:val="20"/>
          <w:lang w:val="it-IT"/>
        </w:rPr>
        <w:t>“</w:t>
      </w:r>
      <w:r w:rsidRPr="00B06C31">
        <w:rPr>
          <w:szCs w:val="20"/>
        </w:rPr>
        <w:t xml:space="preserve">En general, estos datos revelan que la violación del derecho de los solicitantes a beneficiarse de condiciones de detención adecuadas no es consecuencia de incidentes aislados, sino que se debe a un problema sistémico resultante de un mal funcionamiento crónico del sistema penitenciario italiano, que afectó a y aún puede interesar a muchas personas en el futuro (véase, mutatis mutandis, </w:t>
      </w:r>
      <w:proofErr w:type="spellStart"/>
      <w:r w:rsidRPr="00B06C31">
        <w:rPr>
          <w:szCs w:val="20"/>
        </w:rPr>
        <w:t>Broniowski</w:t>
      </w:r>
      <w:proofErr w:type="spellEnd"/>
      <w:r w:rsidRPr="00B06C31">
        <w:rPr>
          <w:szCs w:val="20"/>
        </w:rPr>
        <w:t xml:space="preserve"> v. Polonia, citado anteriormente, § 189). Según </w:t>
      </w:r>
      <w:r w:rsidR="00516CFF">
        <w:rPr>
          <w:szCs w:val="20"/>
        </w:rPr>
        <w:t>el Tribunal Europeo</w:t>
      </w:r>
      <w:r w:rsidRPr="00B06C31">
        <w:rPr>
          <w:szCs w:val="20"/>
        </w:rPr>
        <w:t xml:space="preserve">, la situación establecida en el presente caso es, por lo tanto, constitutiva de una práctica incompatible con </w:t>
      </w:r>
      <w:r w:rsidR="00516CFF">
        <w:rPr>
          <w:szCs w:val="20"/>
        </w:rPr>
        <w:t xml:space="preserve">el Convenio Europeo de Derechos Humanos </w:t>
      </w:r>
      <w:r w:rsidRPr="00B06C31">
        <w:rPr>
          <w:szCs w:val="20"/>
        </w:rPr>
        <w:t>(</w:t>
      </w:r>
      <w:proofErr w:type="spellStart"/>
      <w:r w:rsidRPr="00B06C31">
        <w:rPr>
          <w:szCs w:val="20"/>
        </w:rPr>
        <w:t>Bottazzi</w:t>
      </w:r>
      <w:proofErr w:type="spellEnd"/>
      <w:r w:rsidRPr="00B06C31">
        <w:rPr>
          <w:szCs w:val="20"/>
        </w:rPr>
        <w:t xml:space="preserve"> v. </w:t>
      </w:r>
      <w:proofErr w:type="spellStart"/>
      <w:r w:rsidRPr="00B06C31">
        <w:rPr>
          <w:szCs w:val="20"/>
        </w:rPr>
        <w:t>Italy</w:t>
      </w:r>
      <w:proofErr w:type="spellEnd"/>
      <w:r w:rsidRPr="00B06C31">
        <w:rPr>
          <w:szCs w:val="20"/>
        </w:rPr>
        <w:t xml:space="preserve"> [GC], n ° 34884/97, § 22, ECHR 1999-V, </w:t>
      </w:r>
      <w:proofErr w:type="spellStart"/>
      <w:r w:rsidRPr="00B06C31">
        <w:rPr>
          <w:szCs w:val="20"/>
        </w:rPr>
        <w:t>Bourdov</w:t>
      </w:r>
      <w:proofErr w:type="spellEnd"/>
      <w:r w:rsidRPr="00B06C31">
        <w:rPr>
          <w:szCs w:val="20"/>
        </w:rPr>
        <w:t xml:space="preserve"> (no. 2), citado anteriormente, § 135)”.</w:t>
      </w:r>
      <w:r w:rsidRPr="00B06C31">
        <w:rPr>
          <w:szCs w:val="20"/>
          <w:lang w:val="it-IT"/>
        </w:rPr>
        <w:t xml:space="preserve"> </w:t>
      </w:r>
    </w:p>
    <w:p w14:paraId="37735BE0" w14:textId="77777777" w:rsidR="009E7BBE" w:rsidRPr="00B06C31" w:rsidRDefault="009E7BBE" w:rsidP="009E7BBE">
      <w:pPr>
        <w:pStyle w:val="ListParagraph"/>
        <w:ind w:left="0"/>
        <w:rPr>
          <w:szCs w:val="20"/>
          <w:lang w:val="es-AR"/>
        </w:rPr>
      </w:pPr>
    </w:p>
    <w:p w14:paraId="5F986DC6" w14:textId="33C597E5" w:rsidR="009E7BBE" w:rsidRPr="00B06C31" w:rsidRDefault="009E7BBE" w:rsidP="009E7BBE">
      <w:pPr>
        <w:pStyle w:val="ListParagraph"/>
        <w:numPr>
          <w:ilvl w:val="0"/>
          <w:numId w:val="20"/>
        </w:numPr>
        <w:ind w:left="0" w:firstLine="0"/>
        <w:rPr>
          <w:szCs w:val="20"/>
          <w:lang w:val="es-AR"/>
        </w:rPr>
      </w:pPr>
      <w:r w:rsidRPr="00B06C31">
        <w:rPr>
          <w:szCs w:val="20"/>
          <w:lang w:val="es-AR"/>
        </w:rPr>
        <w:lastRenderedPageBreak/>
        <w:t>En el párrafo siguiente expres</w:t>
      </w:r>
      <w:r w:rsidR="003B4943">
        <w:rPr>
          <w:szCs w:val="20"/>
          <w:lang w:val="es-AR"/>
        </w:rPr>
        <w:t>ó</w:t>
      </w:r>
      <w:r w:rsidRPr="00B06C31">
        <w:rPr>
          <w:szCs w:val="20"/>
          <w:lang w:val="es-AR"/>
        </w:rPr>
        <w:t xml:space="preserve">: </w:t>
      </w:r>
    </w:p>
    <w:p w14:paraId="75B8371E" w14:textId="77777777" w:rsidR="009E7BBE" w:rsidRPr="00B06C31" w:rsidRDefault="009E7BBE" w:rsidP="009E7BBE">
      <w:pPr>
        <w:pStyle w:val="ListParagraph"/>
        <w:ind w:left="567" w:right="566"/>
        <w:rPr>
          <w:sz w:val="18"/>
          <w:szCs w:val="18"/>
          <w:lang w:val="it-IT"/>
        </w:rPr>
      </w:pPr>
    </w:p>
    <w:p w14:paraId="37277335" w14:textId="77777777" w:rsidR="009E7BBE" w:rsidRPr="00B06C31" w:rsidRDefault="009E7BBE" w:rsidP="009E7BBE">
      <w:pPr>
        <w:pStyle w:val="ListParagraph"/>
        <w:ind w:left="567" w:right="566"/>
        <w:rPr>
          <w:sz w:val="18"/>
          <w:szCs w:val="18"/>
          <w:lang w:val="it-IT"/>
        </w:rPr>
      </w:pPr>
      <w:r w:rsidRPr="00B06C31">
        <w:rPr>
          <w:sz w:val="18"/>
          <w:szCs w:val="18"/>
        </w:rPr>
        <w:t>Además, la naturaleza estructural del problema identificado en los casos presentes se confirma por el hecho de que varios cientos de recursos interpuestos contra Italia para plantear un problema de compatibilidad con el artículo 3 de la Convención de condiciones carcelarias inadecuadas vinculadas al hacinamiento. La prisión en varias cárceles italianas se encuentra actualmente pendiente ante ella. El número de este tipo de recursos está en constante aumento”.</w:t>
      </w:r>
    </w:p>
    <w:p w14:paraId="7F7B9516" w14:textId="77777777" w:rsidR="009E7BBE" w:rsidRPr="00B06C31" w:rsidRDefault="009E7BBE" w:rsidP="009E7BBE">
      <w:pPr>
        <w:pStyle w:val="ListParagraph"/>
        <w:rPr>
          <w:szCs w:val="20"/>
          <w:lang w:val="es-AR"/>
        </w:rPr>
      </w:pPr>
    </w:p>
    <w:p w14:paraId="43136F38" w14:textId="78CA4698"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En conclusión, en el párrafo 99, el Tribunal requiere y urge al Estado </w:t>
      </w:r>
      <w:r w:rsidR="00B029FC">
        <w:rPr>
          <w:szCs w:val="20"/>
          <w:lang w:val="es-AR"/>
        </w:rPr>
        <w:t>i</w:t>
      </w:r>
      <w:r w:rsidRPr="00B06C31">
        <w:rPr>
          <w:szCs w:val="20"/>
          <w:lang w:val="es-AR"/>
        </w:rPr>
        <w:t xml:space="preserve">taliano en los siguientes términos: </w:t>
      </w:r>
    </w:p>
    <w:p w14:paraId="5B9E857E" w14:textId="77777777" w:rsidR="009E7BBE" w:rsidRPr="00B06C31" w:rsidRDefault="009E7BBE" w:rsidP="009E7BBE">
      <w:pPr>
        <w:pStyle w:val="ListParagraph"/>
        <w:ind w:left="567" w:right="566"/>
        <w:rPr>
          <w:sz w:val="18"/>
          <w:szCs w:val="18"/>
          <w:lang w:val="it-IT"/>
        </w:rPr>
      </w:pPr>
    </w:p>
    <w:p w14:paraId="6B741DEB" w14:textId="2945A8B2" w:rsidR="009E7BBE" w:rsidRPr="00B06C31" w:rsidRDefault="009E7BBE" w:rsidP="009E7BBE">
      <w:pPr>
        <w:pStyle w:val="ListParagraph"/>
        <w:ind w:left="567" w:right="566"/>
        <w:rPr>
          <w:sz w:val="18"/>
          <w:szCs w:val="18"/>
          <w:lang w:val="it-IT"/>
        </w:rPr>
      </w:pPr>
      <w:r w:rsidRPr="00B06C31">
        <w:rPr>
          <w:sz w:val="18"/>
          <w:szCs w:val="18"/>
        </w:rPr>
        <w:t xml:space="preserve">El Tribunal concluye que las autoridades nacionales deben crear inmediatamente una apelación o una combinación de apelaciones que tengan efectos preventivos y compensatorios y, de hecho, garantizar un remedio efectivo de las violaciones a la Convención resultantes del hacinamiento en las prisiones en Italia. Tales apelaciones o recursos deben cumplir con los principios de la Convención, como se menciona en particular en esta sentencia (ver, entre otros, los párrafos 50 y 95 anteriores), y deben implementarse dentro de un año a partir de la fecha en que esto se habrá convertido en definitivo (ver, a modo de comparación, </w:t>
      </w:r>
      <w:proofErr w:type="spellStart"/>
      <w:r w:rsidRPr="00B06C31">
        <w:rPr>
          <w:sz w:val="18"/>
          <w:szCs w:val="18"/>
        </w:rPr>
        <w:t>Xenides-Arestis</w:t>
      </w:r>
      <w:proofErr w:type="spellEnd"/>
      <w:r w:rsidRPr="00B06C31">
        <w:rPr>
          <w:sz w:val="18"/>
          <w:szCs w:val="18"/>
        </w:rPr>
        <w:t>, § 40, y punto 5 del dispositivo).</w:t>
      </w:r>
    </w:p>
    <w:p w14:paraId="60ACB6D5" w14:textId="77777777" w:rsidR="009E7BBE" w:rsidRPr="00B06C31" w:rsidRDefault="009E7BBE" w:rsidP="009E7BBE">
      <w:pPr>
        <w:pStyle w:val="ListParagraph"/>
        <w:ind w:left="0"/>
        <w:rPr>
          <w:szCs w:val="20"/>
          <w:lang w:val="es-AR"/>
        </w:rPr>
      </w:pPr>
    </w:p>
    <w:p w14:paraId="5CEEE9F6" w14:textId="77777777"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Esta sentencia ha motivado en Italia un amplio debate sobre los medios que debería arbitrar el Estado para dar cumplimiento a la sentencia del Tribunal Europeo, entre los que se señalan penas no privativas de libertad, reformas procesales, derogación de presunciones de peligrosidad, reforma a la ley de estupefacientes, detención domiciliaria, </w:t>
      </w:r>
      <w:proofErr w:type="spellStart"/>
      <w:r w:rsidRPr="00B06C31">
        <w:rPr>
          <w:i/>
          <w:szCs w:val="20"/>
          <w:lang w:val="es-AR"/>
        </w:rPr>
        <w:t>probation</w:t>
      </w:r>
      <w:proofErr w:type="spellEnd"/>
      <w:r w:rsidRPr="00B06C31">
        <w:rPr>
          <w:i/>
          <w:szCs w:val="20"/>
          <w:lang w:val="es-AR"/>
        </w:rPr>
        <w:t xml:space="preserve">, </w:t>
      </w:r>
      <w:r w:rsidRPr="00B06C31">
        <w:rPr>
          <w:szCs w:val="20"/>
          <w:lang w:val="es-AR"/>
        </w:rPr>
        <w:t>control electrónico, anticipación de liberaciones, etc., todas convergentes en definitiva en la excarcelación o reducción de presos</w:t>
      </w:r>
      <w:r w:rsidRPr="00B06C31">
        <w:rPr>
          <w:rStyle w:val="FootnoteReference"/>
          <w:lang w:val="es-AR"/>
        </w:rPr>
        <w:footnoteReference w:id="37"/>
      </w:r>
      <w:r w:rsidRPr="00B06C31">
        <w:rPr>
          <w:szCs w:val="20"/>
          <w:lang w:val="es-AR"/>
        </w:rPr>
        <w:t xml:space="preserve">. </w:t>
      </w:r>
    </w:p>
    <w:p w14:paraId="54926160" w14:textId="77777777" w:rsidR="009E7BBE" w:rsidRDefault="009E7BBE" w:rsidP="009E7BBE">
      <w:pPr>
        <w:rPr>
          <w:szCs w:val="20"/>
          <w:lang w:val="es-AR"/>
        </w:rPr>
      </w:pPr>
    </w:p>
    <w:p w14:paraId="6DA8FD8F" w14:textId="28949735" w:rsidR="003B4943" w:rsidRPr="00B06C31" w:rsidRDefault="003B4943" w:rsidP="003B4943">
      <w:pPr>
        <w:pStyle w:val="ListParagraph"/>
        <w:ind w:left="0"/>
        <w:rPr>
          <w:b/>
          <w:szCs w:val="20"/>
          <w:lang w:val="es-AR"/>
        </w:rPr>
      </w:pPr>
      <w:r>
        <w:rPr>
          <w:b/>
          <w:szCs w:val="20"/>
          <w:lang w:val="es-AR"/>
        </w:rPr>
        <w:t xml:space="preserve">Decisión del Supremo </w:t>
      </w:r>
      <w:r w:rsidRPr="00B06C31">
        <w:rPr>
          <w:b/>
          <w:szCs w:val="20"/>
          <w:lang w:val="es-AR"/>
        </w:rPr>
        <w:t xml:space="preserve">Tribunal </w:t>
      </w:r>
      <w:r>
        <w:rPr>
          <w:b/>
          <w:szCs w:val="20"/>
          <w:lang w:val="es-AR"/>
        </w:rPr>
        <w:t>Federal de Brasil</w:t>
      </w:r>
    </w:p>
    <w:p w14:paraId="25BEECBF" w14:textId="77777777" w:rsidR="003B4943" w:rsidRDefault="003B4943" w:rsidP="009E7BBE">
      <w:pPr>
        <w:rPr>
          <w:szCs w:val="20"/>
          <w:lang w:val="es-AR"/>
        </w:rPr>
      </w:pPr>
    </w:p>
    <w:p w14:paraId="6193523F" w14:textId="6A686BEC" w:rsidR="003B4943" w:rsidRPr="008A344F" w:rsidRDefault="003B4943" w:rsidP="008A344F">
      <w:pPr>
        <w:pStyle w:val="ListParagraph"/>
        <w:numPr>
          <w:ilvl w:val="0"/>
          <w:numId w:val="20"/>
        </w:numPr>
        <w:ind w:left="0" w:firstLine="0"/>
        <w:rPr>
          <w:szCs w:val="20"/>
        </w:rPr>
      </w:pPr>
      <w:r>
        <w:rPr>
          <w:szCs w:val="20"/>
          <w:lang w:val="es-AR"/>
        </w:rPr>
        <w:t xml:space="preserve">En </w:t>
      </w:r>
      <w:r w:rsidR="0008715D">
        <w:rPr>
          <w:szCs w:val="20"/>
          <w:lang w:val="es-AR"/>
        </w:rPr>
        <w:t xml:space="preserve">un </w:t>
      </w:r>
      <w:r>
        <w:rPr>
          <w:szCs w:val="20"/>
          <w:lang w:val="es-AR"/>
        </w:rPr>
        <w:t xml:space="preserve">último análisis, la Corte considera fundamental hacer referencia al importante precedente de la mencionada </w:t>
      </w:r>
      <w:proofErr w:type="spellStart"/>
      <w:r>
        <w:rPr>
          <w:i/>
          <w:szCs w:val="20"/>
          <w:lang w:val="es-AR"/>
        </w:rPr>
        <w:t>Súmula</w:t>
      </w:r>
      <w:proofErr w:type="spellEnd"/>
      <w:r>
        <w:rPr>
          <w:i/>
          <w:szCs w:val="20"/>
          <w:lang w:val="es-AR"/>
        </w:rPr>
        <w:t xml:space="preserve"> Vinculante </w:t>
      </w:r>
      <w:r>
        <w:rPr>
          <w:szCs w:val="20"/>
          <w:lang w:val="es-AR"/>
        </w:rPr>
        <w:t xml:space="preserve">No. 56, del Supremo Tribunal Federal de Brasil. Las “súmulas vinculantes” </w:t>
      </w:r>
      <w:r w:rsidR="00362A3E">
        <w:rPr>
          <w:szCs w:val="20"/>
          <w:lang w:val="es-AR"/>
        </w:rPr>
        <w:t>tienen su base normativa en el artículo 103-A de la Constitución de Brasil</w:t>
      </w:r>
      <w:r w:rsidR="00362A3E">
        <w:rPr>
          <w:rStyle w:val="FootnoteReference"/>
        </w:rPr>
        <w:footnoteReference w:id="38"/>
      </w:r>
      <w:r w:rsidR="00362A3E">
        <w:rPr>
          <w:szCs w:val="20"/>
          <w:lang w:val="es-AR"/>
        </w:rPr>
        <w:t>, y su reglamentación fue concluida con la ley No. 11417/2006</w:t>
      </w:r>
      <w:r w:rsidR="00362A3E">
        <w:rPr>
          <w:rStyle w:val="FootnoteReference"/>
        </w:rPr>
        <w:footnoteReference w:id="39"/>
      </w:r>
      <w:r w:rsidR="00362A3E">
        <w:rPr>
          <w:szCs w:val="20"/>
          <w:lang w:val="es-AR"/>
        </w:rPr>
        <w:t xml:space="preserve">. Una </w:t>
      </w:r>
      <w:proofErr w:type="spellStart"/>
      <w:r w:rsidR="00362A3E">
        <w:rPr>
          <w:szCs w:val="20"/>
          <w:lang w:val="es-AR"/>
        </w:rPr>
        <w:t>súmula</w:t>
      </w:r>
      <w:proofErr w:type="spellEnd"/>
      <w:r w:rsidR="00362A3E">
        <w:rPr>
          <w:szCs w:val="20"/>
          <w:lang w:val="es-AR"/>
        </w:rPr>
        <w:t xml:space="preserve"> vinculante es obligatoria para todos los </w:t>
      </w:r>
      <w:r w:rsidR="00B029FC">
        <w:rPr>
          <w:szCs w:val="20"/>
          <w:lang w:val="es-AR"/>
        </w:rPr>
        <w:t>j</w:t>
      </w:r>
      <w:r w:rsidR="00362A3E">
        <w:rPr>
          <w:szCs w:val="20"/>
          <w:lang w:val="es-AR"/>
        </w:rPr>
        <w:t xml:space="preserve">ueces, </w:t>
      </w:r>
      <w:r w:rsidR="00B029FC">
        <w:rPr>
          <w:szCs w:val="20"/>
          <w:lang w:val="es-AR"/>
        </w:rPr>
        <w:t>t</w:t>
      </w:r>
      <w:r w:rsidR="00362A3E">
        <w:rPr>
          <w:szCs w:val="20"/>
          <w:lang w:val="es-AR"/>
        </w:rPr>
        <w:t xml:space="preserve">ribunales y órganos de la Administración Pública. Su contenido resume, de manera objetiva, precedentes </w:t>
      </w:r>
      <w:r w:rsidR="00362A3E">
        <w:rPr>
          <w:szCs w:val="20"/>
          <w:lang w:val="es-AR"/>
        </w:rPr>
        <w:lastRenderedPageBreak/>
        <w:t>jurisprudenciales del STF</w:t>
      </w:r>
      <w:r w:rsidR="00F035C9">
        <w:rPr>
          <w:szCs w:val="20"/>
          <w:lang w:val="es-AR"/>
        </w:rPr>
        <w:t xml:space="preserve">. </w:t>
      </w:r>
      <w:r w:rsidR="00F035C9" w:rsidRPr="008A344F">
        <w:rPr>
          <w:szCs w:val="20"/>
        </w:rPr>
        <w:t xml:space="preserve">Asimismo, una </w:t>
      </w:r>
      <w:proofErr w:type="spellStart"/>
      <w:r w:rsidR="00F035C9" w:rsidRPr="008A344F">
        <w:rPr>
          <w:i/>
          <w:szCs w:val="20"/>
        </w:rPr>
        <w:t>súmula</w:t>
      </w:r>
      <w:proofErr w:type="spellEnd"/>
      <w:r w:rsidR="00F035C9" w:rsidRPr="008A344F">
        <w:rPr>
          <w:i/>
          <w:szCs w:val="20"/>
        </w:rPr>
        <w:t xml:space="preserve"> vinculante</w:t>
      </w:r>
      <w:r w:rsidR="00F035C9" w:rsidRPr="00F035C9">
        <w:rPr>
          <w:szCs w:val="20"/>
        </w:rPr>
        <w:t xml:space="preserve"> tiene por objeto temas constitucionales y solo puede ser modificada por el </w:t>
      </w:r>
      <w:r w:rsidR="00F035C9" w:rsidRPr="008A344F">
        <w:rPr>
          <w:szCs w:val="20"/>
        </w:rPr>
        <w:t>pr</w:t>
      </w:r>
      <w:r w:rsidR="00045715">
        <w:rPr>
          <w:szCs w:val="20"/>
        </w:rPr>
        <w:t>o</w:t>
      </w:r>
      <w:r w:rsidR="00F035C9" w:rsidRPr="008A344F">
        <w:rPr>
          <w:szCs w:val="20"/>
        </w:rPr>
        <w:t xml:space="preserve">pio STF. Cualquier decisión judicial o de la Administración Pública en </w:t>
      </w:r>
      <w:r w:rsidR="00F035C9">
        <w:rPr>
          <w:szCs w:val="20"/>
        </w:rPr>
        <w:t xml:space="preserve">sentido </w:t>
      </w:r>
      <w:r w:rsidR="00F035C9" w:rsidRPr="008A344F">
        <w:rPr>
          <w:szCs w:val="20"/>
        </w:rPr>
        <w:t>contrario a u</w:t>
      </w:r>
      <w:r w:rsidR="00F035C9">
        <w:rPr>
          <w:szCs w:val="20"/>
        </w:rPr>
        <w:t>n</w:t>
      </w:r>
      <w:r w:rsidR="00F035C9" w:rsidRPr="008A344F">
        <w:rPr>
          <w:szCs w:val="20"/>
        </w:rPr>
        <w:t xml:space="preserve">a </w:t>
      </w:r>
      <w:proofErr w:type="spellStart"/>
      <w:r w:rsidR="00F035C9" w:rsidRPr="008A344F">
        <w:rPr>
          <w:i/>
          <w:szCs w:val="20"/>
        </w:rPr>
        <w:t>súmula</w:t>
      </w:r>
      <w:proofErr w:type="spellEnd"/>
      <w:r w:rsidR="00F035C9" w:rsidRPr="008A344F">
        <w:rPr>
          <w:i/>
          <w:szCs w:val="20"/>
        </w:rPr>
        <w:t xml:space="preserve"> vincula</w:t>
      </w:r>
      <w:r w:rsidR="00F035C9">
        <w:rPr>
          <w:i/>
          <w:szCs w:val="20"/>
        </w:rPr>
        <w:t>n</w:t>
      </w:r>
      <w:r w:rsidR="00F035C9" w:rsidRPr="008A344F">
        <w:rPr>
          <w:i/>
          <w:szCs w:val="20"/>
        </w:rPr>
        <w:t>te</w:t>
      </w:r>
      <w:r w:rsidR="00F035C9" w:rsidRPr="008A344F">
        <w:rPr>
          <w:szCs w:val="20"/>
        </w:rPr>
        <w:t xml:space="preserve"> resultará nula. </w:t>
      </w:r>
    </w:p>
    <w:p w14:paraId="1FDA6FE3" w14:textId="58C489EB" w:rsidR="00F035C9" w:rsidRPr="008A344F" w:rsidRDefault="00F035C9" w:rsidP="008A344F">
      <w:pPr>
        <w:pStyle w:val="ListParagraph"/>
        <w:ind w:left="0"/>
        <w:rPr>
          <w:szCs w:val="20"/>
        </w:rPr>
      </w:pPr>
    </w:p>
    <w:p w14:paraId="1642E62E" w14:textId="2E39891A" w:rsidR="00F035C9" w:rsidRDefault="00F035C9" w:rsidP="008A344F">
      <w:pPr>
        <w:pStyle w:val="ListParagraph"/>
        <w:numPr>
          <w:ilvl w:val="0"/>
          <w:numId w:val="20"/>
        </w:numPr>
        <w:ind w:left="0" w:firstLine="0"/>
        <w:rPr>
          <w:szCs w:val="20"/>
        </w:rPr>
      </w:pPr>
      <w:r>
        <w:rPr>
          <w:szCs w:val="20"/>
        </w:rPr>
        <w:t xml:space="preserve">En 2016 el STF emitió la </w:t>
      </w:r>
      <w:proofErr w:type="spellStart"/>
      <w:r>
        <w:rPr>
          <w:i/>
          <w:szCs w:val="20"/>
        </w:rPr>
        <w:t>Súmula</w:t>
      </w:r>
      <w:proofErr w:type="spellEnd"/>
      <w:r>
        <w:rPr>
          <w:i/>
          <w:szCs w:val="20"/>
        </w:rPr>
        <w:t xml:space="preserve"> Vinculante </w:t>
      </w:r>
      <w:r>
        <w:rPr>
          <w:szCs w:val="20"/>
        </w:rPr>
        <w:t xml:space="preserve">No. 56, sobre el tema de plazas en establecimientos penales de la siguiente manera: </w:t>
      </w:r>
    </w:p>
    <w:p w14:paraId="7D35C548" w14:textId="77777777" w:rsidR="00F035C9" w:rsidRPr="00F035C9" w:rsidRDefault="00F035C9" w:rsidP="008A344F">
      <w:pPr>
        <w:pStyle w:val="ListParagraph"/>
        <w:rPr>
          <w:szCs w:val="20"/>
        </w:rPr>
      </w:pPr>
    </w:p>
    <w:p w14:paraId="09836E72" w14:textId="7B785371" w:rsidR="00F035C9" w:rsidRPr="008A344F" w:rsidRDefault="00F035C9" w:rsidP="008A344F">
      <w:pPr>
        <w:pStyle w:val="ListParagraph"/>
        <w:ind w:left="709" w:right="615"/>
        <w:rPr>
          <w:sz w:val="18"/>
          <w:szCs w:val="18"/>
          <w:lang w:val="pt-BR"/>
        </w:rPr>
      </w:pPr>
      <w:r w:rsidRPr="008A344F">
        <w:rPr>
          <w:sz w:val="18"/>
          <w:szCs w:val="18"/>
          <w:lang w:val="pt-BR"/>
        </w:rPr>
        <w:t>A falta de estabelecimento penal adequado não autoriza a manutenção do condenado em regime prisional mais gravoso, devendo-se observar, nessa hipótese, os parâmetros fixados no RE 641.320/RS.</w:t>
      </w:r>
    </w:p>
    <w:p w14:paraId="09569E78" w14:textId="77777777" w:rsidR="00F035C9" w:rsidRPr="00F035C9" w:rsidRDefault="00F035C9" w:rsidP="008A344F">
      <w:pPr>
        <w:pStyle w:val="ListParagraph"/>
        <w:rPr>
          <w:szCs w:val="20"/>
          <w:lang w:val="pt-BR"/>
        </w:rPr>
      </w:pPr>
    </w:p>
    <w:p w14:paraId="250F979B" w14:textId="32CDB1F2" w:rsidR="00F035C9" w:rsidRDefault="00F035C9" w:rsidP="008A344F">
      <w:pPr>
        <w:pStyle w:val="ListParagraph"/>
        <w:numPr>
          <w:ilvl w:val="0"/>
          <w:numId w:val="20"/>
        </w:numPr>
        <w:ind w:left="0" w:firstLine="0"/>
        <w:rPr>
          <w:szCs w:val="20"/>
        </w:rPr>
      </w:pPr>
      <w:r>
        <w:rPr>
          <w:szCs w:val="20"/>
        </w:rPr>
        <w:t xml:space="preserve">El precedente concreto que </w:t>
      </w:r>
      <w:r w:rsidR="00C35CA0">
        <w:rPr>
          <w:szCs w:val="20"/>
        </w:rPr>
        <w:t xml:space="preserve">dio lugar a </w:t>
      </w:r>
      <w:r>
        <w:rPr>
          <w:szCs w:val="20"/>
        </w:rPr>
        <w:t xml:space="preserve">la emisión de dicha </w:t>
      </w:r>
      <w:proofErr w:type="spellStart"/>
      <w:r>
        <w:rPr>
          <w:i/>
          <w:szCs w:val="20"/>
        </w:rPr>
        <w:t>Súmula</w:t>
      </w:r>
      <w:proofErr w:type="spellEnd"/>
      <w:r>
        <w:rPr>
          <w:i/>
          <w:szCs w:val="20"/>
        </w:rPr>
        <w:t xml:space="preserve"> Vinculante </w:t>
      </w:r>
      <w:r>
        <w:rPr>
          <w:szCs w:val="20"/>
        </w:rPr>
        <w:t xml:space="preserve">fue el Recurso </w:t>
      </w:r>
      <w:r w:rsidR="00D26016">
        <w:rPr>
          <w:szCs w:val="20"/>
        </w:rPr>
        <w:t>Extraordinario</w:t>
      </w:r>
      <w:r>
        <w:rPr>
          <w:szCs w:val="20"/>
        </w:rPr>
        <w:t xml:space="preserve"> (RE) decidido por el Magistrado </w:t>
      </w:r>
      <w:proofErr w:type="spellStart"/>
      <w:r>
        <w:rPr>
          <w:szCs w:val="20"/>
        </w:rPr>
        <w:t>Gilmar</w:t>
      </w:r>
      <w:proofErr w:type="spellEnd"/>
      <w:r>
        <w:rPr>
          <w:szCs w:val="20"/>
        </w:rPr>
        <w:t xml:space="preserve"> </w:t>
      </w:r>
      <w:proofErr w:type="spellStart"/>
      <w:r>
        <w:rPr>
          <w:szCs w:val="20"/>
        </w:rPr>
        <w:t>Mendes</w:t>
      </w:r>
      <w:proofErr w:type="spellEnd"/>
      <w:r>
        <w:rPr>
          <w:szCs w:val="20"/>
        </w:rPr>
        <w:t xml:space="preserve"> y </w:t>
      </w:r>
      <w:r w:rsidR="00C35CA0">
        <w:rPr>
          <w:szCs w:val="20"/>
        </w:rPr>
        <w:t xml:space="preserve">en ella se precisó </w:t>
      </w:r>
      <w:r>
        <w:rPr>
          <w:szCs w:val="20"/>
        </w:rPr>
        <w:t xml:space="preserve">que “en la </w:t>
      </w:r>
      <w:r w:rsidRPr="00F035C9">
        <w:rPr>
          <w:szCs w:val="20"/>
        </w:rPr>
        <w:t xml:space="preserve">hipótesis de </w:t>
      </w:r>
      <w:r>
        <w:rPr>
          <w:szCs w:val="20"/>
        </w:rPr>
        <w:t xml:space="preserve">no existir plazas </w:t>
      </w:r>
      <w:r w:rsidRPr="00F035C9">
        <w:rPr>
          <w:szCs w:val="20"/>
        </w:rPr>
        <w:t>en establecimiento adecuado a su régimen</w:t>
      </w:r>
      <w:r>
        <w:rPr>
          <w:szCs w:val="20"/>
        </w:rPr>
        <w:t xml:space="preserve"> [de cumplimiento de pena, estarían violados] </w:t>
      </w:r>
      <w:r w:rsidRPr="00F035C9">
        <w:rPr>
          <w:szCs w:val="20"/>
        </w:rPr>
        <w:t>los principios de la individualización de la pena (artículo 5, XLVI</w:t>
      </w:r>
      <w:r>
        <w:rPr>
          <w:szCs w:val="20"/>
        </w:rPr>
        <w:t xml:space="preserve"> [de la Constitución]</w:t>
      </w:r>
      <w:r w:rsidRPr="00F035C9">
        <w:rPr>
          <w:szCs w:val="20"/>
        </w:rPr>
        <w:t>) y de la legalidad (artículo 5, XXXIX</w:t>
      </w:r>
      <w:r>
        <w:rPr>
          <w:szCs w:val="20"/>
        </w:rPr>
        <w:t xml:space="preserve"> [de la Constitución]</w:t>
      </w:r>
      <w:r w:rsidRPr="00F035C9">
        <w:rPr>
          <w:szCs w:val="20"/>
        </w:rPr>
        <w:t xml:space="preserve">). La falta de establecimiento penal adecuado no autoriza el mantenimiento del condenado en </w:t>
      </w:r>
      <w:r w:rsidR="00C35CA0">
        <w:rPr>
          <w:szCs w:val="20"/>
        </w:rPr>
        <w:t xml:space="preserve">un </w:t>
      </w:r>
      <w:r w:rsidRPr="00F035C9">
        <w:rPr>
          <w:szCs w:val="20"/>
        </w:rPr>
        <w:t xml:space="preserve">régimen penitenciario más gravoso. </w:t>
      </w:r>
      <w:r>
        <w:rPr>
          <w:szCs w:val="20"/>
        </w:rPr>
        <w:t>[…]</w:t>
      </w:r>
      <w:r w:rsidRPr="00F035C9">
        <w:rPr>
          <w:szCs w:val="20"/>
        </w:rPr>
        <w:t xml:space="preserve"> Los jueces de la ejecución penal podrán evaluar los establecimientos destinados a los regímenes </w:t>
      </w:r>
      <w:proofErr w:type="spellStart"/>
      <w:r w:rsidRPr="00F035C9">
        <w:rPr>
          <w:szCs w:val="20"/>
        </w:rPr>
        <w:t>semiabierto</w:t>
      </w:r>
      <w:proofErr w:type="spellEnd"/>
      <w:r w:rsidRPr="00F035C9">
        <w:rPr>
          <w:szCs w:val="20"/>
        </w:rPr>
        <w:t xml:space="preserve"> y abierto, para </w:t>
      </w:r>
      <w:r w:rsidR="0008715D">
        <w:rPr>
          <w:szCs w:val="20"/>
        </w:rPr>
        <w:t>su</w:t>
      </w:r>
      <w:r w:rsidRPr="00F035C9">
        <w:rPr>
          <w:szCs w:val="20"/>
        </w:rPr>
        <w:t xml:space="preserve"> calificación como adecuados </w:t>
      </w:r>
      <w:r w:rsidR="0008715D">
        <w:rPr>
          <w:szCs w:val="20"/>
        </w:rPr>
        <w:t>par</w:t>
      </w:r>
      <w:r w:rsidRPr="00F035C9">
        <w:rPr>
          <w:szCs w:val="20"/>
        </w:rPr>
        <w:t xml:space="preserve">a dichos regímenes. </w:t>
      </w:r>
      <w:r w:rsidR="007F09F3">
        <w:rPr>
          <w:szCs w:val="20"/>
        </w:rPr>
        <w:t>[…]</w:t>
      </w:r>
      <w:r w:rsidRPr="00F035C9">
        <w:rPr>
          <w:szCs w:val="20"/>
        </w:rPr>
        <w:t xml:space="preserve"> Habiendo déficit de plazas, deberán</w:t>
      </w:r>
      <w:r w:rsidR="00C35CA0">
        <w:rPr>
          <w:szCs w:val="20"/>
        </w:rPr>
        <w:t xml:space="preserve"> adoptarse</w:t>
      </w:r>
      <w:r w:rsidRPr="00F035C9">
        <w:rPr>
          <w:szCs w:val="20"/>
        </w:rPr>
        <w:t>: (i) la salida anticipada de</w:t>
      </w:r>
      <w:r w:rsidR="00C35CA0">
        <w:rPr>
          <w:szCs w:val="20"/>
        </w:rPr>
        <w:t>l</w:t>
      </w:r>
      <w:r w:rsidRPr="00F035C9">
        <w:rPr>
          <w:szCs w:val="20"/>
        </w:rPr>
        <w:t xml:space="preserve"> sentenciado en el régimen con falta de vacantes; (ii) la libertad electrónicamente monitoreada </w:t>
      </w:r>
      <w:r w:rsidR="00C35CA0">
        <w:rPr>
          <w:szCs w:val="20"/>
        </w:rPr>
        <w:t>de</w:t>
      </w:r>
      <w:r w:rsidRPr="00F035C9">
        <w:rPr>
          <w:szCs w:val="20"/>
        </w:rPr>
        <w:t xml:space="preserve">l condenado </w:t>
      </w:r>
      <w:r w:rsidR="0008715D">
        <w:rPr>
          <w:szCs w:val="20"/>
        </w:rPr>
        <w:t xml:space="preserve">puesto en libertad de forma anticipada </w:t>
      </w:r>
      <w:r w:rsidRPr="00F035C9">
        <w:rPr>
          <w:szCs w:val="20"/>
        </w:rPr>
        <w:t>o puesto en arresto domiciliario por falta de vacantes; (iii</w:t>
      </w:r>
      <w:r w:rsidRPr="00870A87">
        <w:rPr>
          <w:szCs w:val="20"/>
        </w:rPr>
        <w:t>) el cumplimiento de penas restrictivas de derecho y / o estudio al condenado que p</w:t>
      </w:r>
      <w:r w:rsidR="0008715D">
        <w:rPr>
          <w:szCs w:val="20"/>
        </w:rPr>
        <w:t>ase</w:t>
      </w:r>
      <w:r w:rsidRPr="00870A87">
        <w:rPr>
          <w:szCs w:val="20"/>
        </w:rPr>
        <w:t xml:space="preserve"> al régimen abierto</w:t>
      </w:r>
      <w:r w:rsidRPr="00F035C9">
        <w:rPr>
          <w:szCs w:val="20"/>
        </w:rPr>
        <w:t xml:space="preserve">. Hasta que sean estructuradas las medidas alternativas propuestas, </w:t>
      </w:r>
      <w:r w:rsidR="006D343A">
        <w:rPr>
          <w:szCs w:val="20"/>
        </w:rPr>
        <w:t xml:space="preserve">podrá ser concedida la prisión domiciliaria </w:t>
      </w:r>
      <w:r w:rsidRPr="00F035C9">
        <w:rPr>
          <w:szCs w:val="20"/>
        </w:rPr>
        <w:t>al condenado</w:t>
      </w:r>
      <w:r w:rsidR="007F09F3">
        <w:rPr>
          <w:rStyle w:val="FootnoteReference"/>
        </w:rPr>
        <w:footnoteReference w:id="40"/>
      </w:r>
      <w:r w:rsidR="007F09F3">
        <w:rPr>
          <w:szCs w:val="20"/>
        </w:rPr>
        <w:t>.</w:t>
      </w:r>
    </w:p>
    <w:p w14:paraId="6798CF0A" w14:textId="45F0C540" w:rsidR="007F09F3" w:rsidRDefault="007F09F3" w:rsidP="008A344F">
      <w:pPr>
        <w:pStyle w:val="ListParagraph"/>
        <w:ind w:left="0"/>
        <w:rPr>
          <w:szCs w:val="20"/>
        </w:rPr>
      </w:pPr>
    </w:p>
    <w:p w14:paraId="23590B57" w14:textId="4E0AF34B" w:rsidR="00F035C9" w:rsidRPr="008A344F" w:rsidRDefault="007F09F3" w:rsidP="008A344F">
      <w:pPr>
        <w:pStyle w:val="ListParagraph"/>
        <w:numPr>
          <w:ilvl w:val="0"/>
          <w:numId w:val="20"/>
        </w:numPr>
        <w:ind w:left="0" w:firstLine="0"/>
        <w:rPr>
          <w:sz w:val="18"/>
          <w:szCs w:val="18"/>
        </w:rPr>
      </w:pPr>
      <w:r>
        <w:rPr>
          <w:szCs w:val="20"/>
        </w:rPr>
        <w:t xml:space="preserve">Esta Corte constata que la decisión del Supremo Tribunal Federal de Brasil es meridianamente clara y no deja margen a dudas </w:t>
      </w:r>
      <w:r w:rsidR="00870A87">
        <w:rPr>
          <w:szCs w:val="20"/>
        </w:rPr>
        <w:t xml:space="preserve">que </w:t>
      </w:r>
      <w:r>
        <w:rPr>
          <w:szCs w:val="20"/>
        </w:rPr>
        <w:t xml:space="preserve">en casos de falta de plazas, es decir de hacinamiento y sobrepoblación, el Juez de Ejecución Penal debe determinar </w:t>
      </w:r>
      <w:r w:rsidRPr="00F035C9">
        <w:t>la salida anticipada de</w:t>
      </w:r>
      <w:r>
        <w:t xml:space="preserve">l preso, su </w:t>
      </w:r>
      <w:r w:rsidRPr="00F035C9">
        <w:t>libertad electrónicamente monitoreada</w:t>
      </w:r>
      <w:r>
        <w:t xml:space="preserve"> o </w:t>
      </w:r>
      <w:r w:rsidR="006D343A">
        <w:t xml:space="preserve">prisión </w:t>
      </w:r>
      <w:r>
        <w:t>domiciliari</w:t>
      </w:r>
      <w:r w:rsidR="006D343A">
        <w:t>a</w:t>
      </w:r>
      <w:r>
        <w:t xml:space="preserve">. La lógica jurídica de esa decisión es garantizar que la pena del condenado no sea ilícita o viole los derechos fundamentales de la individualización de la pena y la integridad personal del preso. </w:t>
      </w:r>
    </w:p>
    <w:p w14:paraId="6630109D" w14:textId="77777777" w:rsidR="007F09F3" w:rsidRPr="007F09F3" w:rsidRDefault="007F09F3" w:rsidP="008A344F">
      <w:pPr>
        <w:pStyle w:val="ListParagraph"/>
        <w:rPr>
          <w:szCs w:val="20"/>
        </w:rPr>
      </w:pPr>
    </w:p>
    <w:p w14:paraId="4BB26456" w14:textId="011C23DC" w:rsidR="007F09F3" w:rsidRPr="008A344F" w:rsidRDefault="007F09F3" w:rsidP="008A344F">
      <w:pPr>
        <w:pStyle w:val="ListParagraph"/>
        <w:numPr>
          <w:ilvl w:val="0"/>
          <w:numId w:val="20"/>
        </w:numPr>
        <w:ind w:left="0" w:firstLine="0"/>
        <w:rPr>
          <w:szCs w:val="20"/>
        </w:rPr>
      </w:pPr>
      <w:r>
        <w:rPr>
          <w:szCs w:val="20"/>
        </w:rPr>
        <w:t xml:space="preserve">Sin embargo, corresponde a los jueces de ejecución penal realizar la determinación si el local de detención es adecuado al régimen de cumplimiento de pena del condenado. La Corte Interamericana considera que la </w:t>
      </w:r>
      <w:proofErr w:type="spellStart"/>
      <w:r>
        <w:rPr>
          <w:i/>
          <w:szCs w:val="20"/>
        </w:rPr>
        <w:t>Súmula</w:t>
      </w:r>
      <w:proofErr w:type="spellEnd"/>
      <w:r>
        <w:rPr>
          <w:i/>
          <w:szCs w:val="20"/>
        </w:rPr>
        <w:t xml:space="preserve"> Vinculante 56</w:t>
      </w:r>
      <w:r w:rsidRPr="008A344F">
        <w:rPr>
          <w:szCs w:val="20"/>
        </w:rPr>
        <w:t xml:space="preserve"> es plenamente aplicable como precedente obligatorio a la situación de los beneficiarios de las presentes medidas provisionales en razón de los hechos reseñados en la presente Resolución y en resoluciones anteriores del Tribunal. </w:t>
      </w:r>
    </w:p>
    <w:p w14:paraId="7F1A7933" w14:textId="77777777" w:rsidR="003B4943" w:rsidRPr="008A344F" w:rsidRDefault="003B4943" w:rsidP="009E7BBE">
      <w:pPr>
        <w:rPr>
          <w:szCs w:val="20"/>
        </w:rPr>
      </w:pPr>
    </w:p>
    <w:p w14:paraId="0EAE8601" w14:textId="77777777" w:rsidR="009E7BBE" w:rsidRPr="00B06C31" w:rsidRDefault="009E7BBE" w:rsidP="009E7BBE">
      <w:pPr>
        <w:pStyle w:val="ListParagraph"/>
        <w:ind w:left="0"/>
        <w:rPr>
          <w:b/>
          <w:szCs w:val="20"/>
          <w:lang w:val="es-AR"/>
        </w:rPr>
      </w:pPr>
      <w:r w:rsidRPr="00B06C31">
        <w:rPr>
          <w:b/>
          <w:szCs w:val="20"/>
          <w:lang w:val="es-AR"/>
        </w:rPr>
        <w:lastRenderedPageBreak/>
        <w:t>Con</w:t>
      </w:r>
      <w:r>
        <w:rPr>
          <w:b/>
          <w:szCs w:val="20"/>
          <w:lang w:val="es-AR"/>
        </w:rPr>
        <w:t>clusiones</w:t>
      </w:r>
    </w:p>
    <w:p w14:paraId="58579DF1" w14:textId="77777777" w:rsidR="009E7BBE" w:rsidRPr="00B06C31" w:rsidRDefault="009E7BBE" w:rsidP="009E7BBE">
      <w:pPr>
        <w:rPr>
          <w:szCs w:val="20"/>
          <w:lang w:val="es-AR"/>
        </w:rPr>
      </w:pPr>
    </w:p>
    <w:p w14:paraId="34530EA1" w14:textId="43013226"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Al igual que en las sentencias mencionadas, la </w:t>
      </w:r>
      <w:r w:rsidR="007A6241">
        <w:rPr>
          <w:szCs w:val="20"/>
          <w:lang w:val="es-AR"/>
        </w:rPr>
        <w:t xml:space="preserve">eventual </w:t>
      </w:r>
      <w:r w:rsidRPr="00B06C31">
        <w:rPr>
          <w:szCs w:val="20"/>
          <w:lang w:val="es-AR"/>
        </w:rPr>
        <w:t>situación violatoria del artículo 5</w:t>
      </w:r>
      <w:r w:rsidR="007A6241">
        <w:rPr>
          <w:szCs w:val="20"/>
          <w:lang w:val="es-AR"/>
        </w:rPr>
        <w:t>.</w:t>
      </w:r>
      <w:r w:rsidRPr="00B06C31">
        <w:rPr>
          <w:szCs w:val="20"/>
          <w:lang w:val="es-AR"/>
        </w:rPr>
        <w:t xml:space="preserve">2 de la </w:t>
      </w:r>
      <w:r w:rsidR="003B4943">
        <w:rPr>
          <w:szCs w:val="20"/>
          <w:lang w:val="es-AR"/>
        </w:rPr>
        <w:t>Convención Americana</w:t>
      </w:r>
      <w:r w:rsidRPr="00B06C31">
        <w:rPr>
          <w:szCs w:val="20"/>
          <w:lang w:val="es-AR"/>
        </w:rPr>
        <w:t xml:space="preserve"> no puede resolverse en el presente </w:t>
      </w:r>
      <w:r w:rsidR="00B029FC">
        <w:rPr>
          <w:szCs w:val="20"/>
          <w:lang w:val="es-AR"/>
        </w:rPr>
        <w:t>asunto</w:t>
      </w:r>
      <w:r w:rsidR="00B029FC" w:rsidRPr="00B06C31">
        <w:rPr>
          <w:szCs w:val="20"/>
          <w:lang w:val="es-AR"/>
        </w:rPr>
        <w:t xml:space="preserve"> </w:t>
      </w:r>
      <w:r w:rsidRPr="00B06C31">
        <w:rPr>
          <w:szCs w:val="20"/>
          <w:lang w:val="es-AR"/>
        </w:rPr>
        <w:t xml:space="preserve">aguardando la construcción de nuevos establecimientos, dado que ni siquiera se han proyectado y, por otra parte, el propio Estado alega la falta de recursos, </w:t>
      </w:r>
      <w:r w:rsidR="00DF3B57">
        <w:rPr>
          <w:szCs w:val="20"/>
          <w:lang w:val="es-AR"/>
        </w:rPr>
        <w:t xml:space="preserve">tanto en sus informes como </w:t>
      </w:r>
      <w:r w:rsidRPr="00B06C31">
        <w:rPr>
          <w:szCs w:val="20"/>
          <w:lang w:val="es-AR"/>
        </w:rPr>
        <w:t xml:space="preserve">en ocasión de la visita </w:t>
      </w:r>
      <w:r w:rsidRPr="00B06C31">
        <w:rPr>
          <w:i/>
          <w:szCs w:val="20"/>
          <w:lang w:val="es-AR"/>
        </w:rPr>
        <w:t xml:space="preserve">in situ. </w:t>
      </w:r>
    </w:p>
    <w:p w14:paraId="7164F56D" w14:textId="77777777" w:rsidR="009E7BBE" w:rsidRPr="00B06C31" w:rsidRDefault="009E7BBE" w:rsidP="009E7BBE">
      <w:pPr>
        <w:pStyle w:val="ListParagraph"/>
        <w:ind w:left="0"/>
        <w:rPr>
          <w:szCs w:val="20"/>
          <w:lang w:val="es-AR"/>
        </w:rPr>
      </w:pPr>
    </w:p>
    <w:p w14:paraId="4928469D" w14:textId="449578C1"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De las respuestas proporcionadas por el Estado acerca de la situación penitenciaria general, se desprende que tampoco es posible aportar una solución a la actual situación por medio de traslados a otros establecimientos, porque éstos no tienen capacidad para recibir presos, lo que, de forzar esos traslados, se generaría mayor sobrepoblación en otros centros penitenciarios, con el consiguiente riesgo de alteraciones del orden, motines y consecuencias luctuosas para presos y personal. </w:t>
      </w:r>
      <w:r w:rsidR="007A6241">
        <w:rPr>
          <w:szCs w:val="20"/>
          <w:lang w:val="es-AR"/>
        </w:rPr>
        <w:t>Lo anterior indica que persiste una situación de riesgo de daño irreparable a los derechos a la integridad personal y la vida de los beneficiarios de las presentes medidas provisionales, lo que exige de la Corte Interamericana la disposición de medidas concretas para preservar dichos derechos fundamentales.</w:t>
      </w:r>
    </w:p>
    <w:p w14:paraId="2929E428" w14:textId="77777777" w:rsidR="009E7BBE" w:rsidRPr="00B06C31" w:rsidRDefault="009E7BBE" w:rsidP="009E7BBE">
      <w:pPr>
        <w:pStyle w:val="ListParagraph"/>
        <w:ind w:left="0"/>
        <w:rPr>
          <w:szCs w:val="20"/>
          <w:lang w:val="es-AR"/>
        </w:rPr>
      </w:pPr>
    </w:p>
    <w:p w14:paraId="47229451" w14:textId="6AE0089D" w:rsidR="009E7BBE" w:rsidRPr="00B06C31" w:rsidRDefault="009E7BBE" w:rsidP="009E7BBE">
      <w:pPr>
        <w:pStyle w:val="ListParagraph"/>
        <w:numPr>
          <w:ilvl w:val="0"/>
          <w:numId w:val="20"/>
        </w:numPr>
        <w:ind w:left="0" w:firstLine="0"/>
        <w:rPr>
          <w:szCs w:val="20"/>
          <w:lang w:val="es-AR"/>
        </w:rPr>
      </w:pPr>
      <w:r w:rsidRPr="00B06C31">
        <w:rPr>
          <w:szCs w:val="20"/>
          <w:lang w:val="es-AR"/>
        </w:rPr>
        <w:t xml:space="preserve">Por ende, el único medio para hacer cesar la continuidad de la </w:t>
      </w:r>
      <w:r w:rsidR="00DF3B57">
        <w:rPr>
          <w:szCs w:val="20"/>
          <w:lang w:val="es-AR"/>
        </w:rPr>
        <w:t xml:space="preserve">eventual </w:t>
      </w:r>
      <w:r w:rsidRPr="00B06C31">
        <w:rPr>
          <w:szCs w:val="20"/>
          <w:lang w:val="es-AR"/>
        </w:rPr>
        <w:t xml:space="preserve">situación ilícita frente a la </w:t>
      </w:r>
      <w:r w:rsidR="003B4943">
        <w:rPr>
          <w:szCs w:val="20"/>
          <w:lang w:val="es-AR"/>
        </w:rPr>
        <w:t>Convención Americana</w:t>
      </w:r>
      <w:r w:rsidRPr="00B06C31">
        <w:rPr>
          <w:szCs w:val="20"/>
          <w:lang w:val="es-AR"/>
        </w:rPr>
        <w:t xml:space="preserve"> consiste en procurar la reducción de la población del IPPSC.</w:t>
      </w:r>
    </w:p>
    <w:p w14:paraId="14A0D3B3" w14:textId="77777777" w:rsidR="009E7BBE" w:rsidRPr="00B06C31" w:rsidRDefault="009E7BBE" w:rsidP="009E7BBE">
      <w:pPr>
        <w:pStyle w:val="ListParagraph"/>
        <w:snapToGrid w:val="0"/>
        <w:ind w:left="0"/>
        <w:rPr>
          <w:szCs w:val="20"/>
          <w:lang w:val="es-CR"/>
        </w:rPr>
      </w:pPr>
    </w:p>
    <w:p w14:paraId="78E63F8F" w14:textId="2AF6A7B4"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La Corte considera que</w:t>
      </w:r>
      <w:r w:rsidR="00DF3B57">
        <w:rPr>
          <w:szCs w:val="20"/>
          <w:lang w:val="es-CR"/>
        </w:rPr>
        <w:t xml:space="preserve"> por</w:t>
      </w:r>
      <w:r w:rsidRPr="00B06C31">
        <w:rPr>
          <w:szCs w:val="20"/>
          <w:lang w:val="es-CR"/>
        </w:rPr>
        <w:t xml:space="preserve"> la circunstancia de tratarse de un establecimiento en particular y no de la situación penitenciaria general del Estado, que no es materia sometida a su jurisdicción, no es esta Corte competente para incidir sobre la política criminal del Estado, sino sólo sobre la situación concreta del IPPSC y de las personas allí alojadas. No obstante, esto no invalida la invocación de los anteriores antecedentes jurisprudenciales y la orientación prudente que de ellos se desprende, ante la imposibilidad de arbitrar otra solución que la reducción misma de la población del IPPSC.  </w:t>
      </w:r>
    </w:p>
    <w:p w14:paraId="3421405E" w14:textId="77777777" w:rsidR="009E7BBE" w:rsidRPr="00B06C31" w:rsidRDefault="009E7BBE" w:rsidP="009E7BBE">
      <w:pPr>
        <w:pStyle w:val="ListParagraph"/>
        <w:snapToGrid w:val="0"/>
        <w:ind w:left="0"/>
        <w:rPr>
          <w:szCs w:val="20"/>
          <w:lang w:val="es-CR"/>
        </w:rPr>
      </w:pPr>
    </w:p>
    <w:p w14:paraId="7AAF33E1" w14:textId="2FB75A7C"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La particularidad de estar ante la situación concreta de un establecimiento penal, de toda forma, impone a la Corte la necesidad de ser más precisa en cuanto a las medidas concretas a adoptar, dentro de la prudente inspiración de las líneas generales que surgen de las sentencias generales a tener en cuenta como antecedentes jurisprudenciales criteriosos. Debe observarse, entre otras cosas que, al parecer, la atención de la salud de los presos en las cárceles californianas, al menos por lo descripto por el Juez relator de la Suprema Corte </w:t>
      </w:r>
      <w:r w:rsidR="007A6241">
        <w:rPr>
          <w:szCs w:val="20"/>
          <w:lang w:val="es-CR"/>
        </w:rPr>
        <w:t>F</w:t>
      </w:r>
      <w:r w:rsidRPr="00B06C31">
        <w:rPr>
          <w:szCs w:val="20"/>
          <w:lang w:val="es-CR"/>
        </w:rPr>
        <w:t xml:space="preserve">ederal, no eran tan deficientes como las que se han verificado en el IPPSC. </w:t>
      </w:r>
    </w:p>
    <w:p w14:paraId="2E6647DC" w14:textId="77777777" w:rsidR="009E7BBE" w:rsidRPr="00B06C31" w:rsidRDefault="009E7BBE" w:rsidP="009E7BBE">
      <w:pPr>
        <w:pStyle w:val="ListParagraph"/>
        <w:snapToGrid w:val="0"/>
        <w:ind w:left="0"/>
        <w:rPr>
          <w:szCs w:val="20"/>
          <w:lang w:val="es-CR"/>
        </w:rPr>
      </w:pPr>
    </w:p>
    <w:p w14:paraId="24DF85FC" w14:textId="28170CCF"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En principio, y dado que es innegable que las personas privadas de libertad en el IPPSC </w:t>
      </w:r>
      <w:r w:rsidR="00DF3B57">
        <w:rPr>
          <w:szCs w:val="20"/>
          <w:lang w:val="es-CR"/>
        </w:rPr>
        <w:t xml:space="preserve">pueden </w:t>
      </w:r>
      <w:r w:rsidRPr="00B06C31">
        <w:rPr>
          <w:szCs w:val="20"/>
          <w:lang w:val="es-CR"/>
        </w:rPr>
        <w:t>est</w:t>
      </w:r>
      <w:r w:rsidR="00DF3B57">
        <w:rPr>
          <w:szCs w:val="20"/>
          <w:lang w:val="es-CR"/>
        </w:rPr>
        <w:t>ar</w:t>
      </w:r>
      <w:r w:rsidRPr="00B06C31">
        <w:rPr>
          <w:szCs w:val="20"/>
          <w:lang w:val="es-CR"/>
        </w:rPr>
        <w:t xml:space="preserve"> sufriendo una pena que les impone un sufrimiento antijurídico mucho mayor que el inherente a la mera privación de libertad, por un lado, resulta equitativo reducir su tiempo de encierro, para lo cual debe atenerse a un cálculo razonable, y por otro, esa reducción implica compensar de algún modo la pena hasta ahora sufrida en la parte antijurídica de su ejecución. Las penas ilícitas, no por su antijuridicidad dejan de ser penas y, lo cierto es que se están ejecutando y sufriendo, circunstancia que no puede obviarse para llegar a una solución lo más racional posible dentro del marco jurídico internacional.</w:t>
      </w:r>
      <w:r w:rsidR="00DF3B57">
        <w:rPr>
          <w:szCs w:val="20"/>
          <w:lang w:val="es-CR"/>
        </w:rPr>
        <w:t xml:space="preserve"> Lo anterior es concordante con el </w:t>
      </w:r>
      <w:proofErr w:type="spellStart"/>
      <w:r w:rsidR="00DF3B57">
        <w:rPr>
          <w:i/>
          <w:szCs w:val="20"/>
          <w:lang w:val="es-CR"/>
        </w:rPr>
        <w:t>mandamus</w:t>
      </w:r>
      <w:proofErr w:type="spellEnd"/>
      <w:r w:rsidR="00DF3B57">
        <w:rPr>
          <w:i/>
          <w:szCs w:val="20"/>
          <w:lang w:val="es-CR"/>
        </w:rPr>
        <w:t xml:space="preserve"> </w:t>
      </w:r>
      <w:r w:rsidR="00DF3B57">
        <w:rPr>
          <w:szCs w:val="20"/>
          <w:lang w:val="es-CR"/>
        </w:rPr>
        <w:t xml:space="preserve">del Supremo Tribunal Federal establecido en la </w:t>
      </w:r>
      <w:proofErr w:type="spellStart"/>
      <w:r w:rsidR="00DF3B57">
        <w:rPr>
          <w:i/>
          <w:szCs w:val="20"/>
          <w:lang w:val="es-CR"/>
        </w:rPr>
        <w:t>Súmula</w:t>
      </w:r>
      <w:proofErr w:type="spellEnd"/>
      <w:r w:rsidR="00DF3B57">
        <w:rPr>
          <w:i/>
          <w:szCs w:val="20"/>
          <w:lang w:val="es-CR"/>
        </w:rPr>
        <w:t xml:space="preserve"> Vinculante </w:t>
      </w:r>
      <w:r w:rsidR="00DF3B57">
        <w:rPr>
          <w:szCs w:val="20"/>
          <w:lang w:val="es-CR"/>
        </w:rPr>
        <w:t xml:space="preserve">No. 56. </w:t>
      </w:r>
    </w:p>
    <w:p w14:paraId="2E23DDD4" w14:textId="77777777" w:rsidR="009E7BBE" w:rsidRPr="00B06C31" w:rsidRDefault="009E7BBE" w:rsidP="009E7BBE">
      <w:pPr>
        <w:pStyle w:val="ListParagraph"/>
        <w:snapToGrid w:val="0"/>
        <w:ind w:left="0"/>
        <w:rPr>
          <w:szCs w:val="20"/>
          <w:lang w:val="es-CR"/>
        </w:rPr>
      </w:pPr>
    </w:p>
    <w:p w14:paraId="3101DA38"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Dado que está fuera de toda duda que la degradación en curso obedece a la superpoblación del IPPSC, cuya densidad es del 200%, o sea, que duplica su capacidad, de ello se deduciría que duplica también la </w:t>
      </w:r>
      <w:proofErr w:type="spellStart"/>
      <w:r w:rsidRPr="00B06C31">
        <w:rPr>
          <w:szCs w:val="20"/>
          <w:lang w:val="es-CR"/>
        </w:rPr>
        <w:t>inflicción</w:t>
      </w:r>
      <w:proofErr w:type="spellEnd"/>
      <w:r w:rsidRPr="00B06C31">
        <w:rPr>
          <w:szCs w:val="20"/>
          <w:lang w:val="es-CR"/>
        </w:rPr>
        <w:t xml:space="preserve"> antijurídica sobrante de dolor de la pena que se está ejecutando, lo que impondría que el tiempo de pena o de medida preventiva </w:t>
      </w:r>
      <w:r w:rsidRPr="00B06C31">
        <w:rPr>
          <w:szCs w:val="20"/>
          <w:lang w:val="es-CR"/>
        </w:rPr>
        <w:lastRenderedPageBreak/>
        <w:t>ilícita realmente sufrida se les computase a razón de dos días de pena lícita por cada día de efectiva privación de libertad en condiciones degradantes.</w:t>
      </w:r>
    </w:p>
    <w:p w14:paraId="2F1D65C5" w14:textId="77777777" w:rsidR="009E7BBE" w:rsidRPr="00B06C31" w:rsidRDefault="009E7BBE" w:rsidP="009E7BBE">
      <w:pPr>
        <w:pStyle w:val="ListParagraph"/>
        <w:snapToGrid w:val="0"/>
        <w:ind w:left="0"/>
        <w:rPr>
          <w:szCs w:val="20"/>
          <w:lang w:val="es-CR"/>
        </w:rPr>
      </w:pPr>
    </w:p>
    <w:p w14:paraId="15D5FEBA"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Considera la Corte que la solución radical, antes mencionada, que se inclina por la inmediata libertad de los presos en razón de la inadmisibilidad de penas ilícitas en un Estado de derecho, si bien es firmemente principista y en la lógica jurídica casi inobjetable, desconoce que sería causa de una enorme alarma social que puede ser motivo de males aún mayores. </w:t>
      </w:r>
    </w:p>
    <w:p w14:paraId="4D99D5F9" w14:textId="77777777" w:rsidR="009E7BBE" w:rsidRPr="00B06C31" w:rsidRDefault="009E7BBE" w:rsidP="009E7BBE">
      <w:pPr>
        <w:pStyle w:val="ListParagraph"/>
        <w:snapToGrid w:val="0"/>
        <w:ind w:left="0"/>
        <w:rPr>
          <w:szCs w:val="20"/>
          <w:lang w:val="es-CR"/>
        </w:rPr>
      </w:pPr>
    </w:p>
    <w:p w14:paraId="21B29856" w14:textId="175318CC"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Cabe presuponer en forma absoluta que las privaciones de libertad dispuestas por los jueces del Estado, a título penal o cautelar, lo han sido en el previo entendimiento de su licitud por parte de los magistrados que las dispusieron, porque los jueces no </w:t>
      </w:r>
      <w:r w:rsidR="00DF3B57">
        <w:rPr>
          <w:szCs w:val="20"/>
          <w:lang w:val="es-CR"/>
        </w:rPr>
        <w:t xml:space="preserve">suelen </w:t>
      </w:r>
      <w:r w:rsidRPr="00B06C31">
        <w:rPr>
          <w:szCs w:val="20"/>
          <w:lang w:val="es-CR"/>
        </w:rPr>
        <w:t>dispone</w:t>
      </w:r>
      <w:r w:rsidR="00DF3B57">
        <w:rPr>
          <w:szCs w:val="20"/>
          <w:lang w:val="es-CR"/>
        </w:rPr>
        <w:t>r</w:t>
      </w:r>
      <w:r w:rsidRPr="00B06C31">
        <w:rPr>
          <w:szCs w:val="20"/>
          <w:lang w:val="es-CR"/>
        </w:rPr>
        <w:t xml:space="preserve"> prisiones ilícitas. Sin embargo, se están ejecutando ilícitamente y, por ende, dada la situación que se continúa y que </w:t>
      </w:r>
      <w:r w:rsidRPr="00B06C31">
        <w:rPr>
          <w:i/>
          <w:szCs w:val="20"/>
          <w:lang w:val="es-CR"/>
        </w:rPr>
        <w:t>nunca debió existir pero existe</w:t>
      </w:r>
      <w:r w:rsidRPr="00B06C31">
        <w:rPr>
          <w:szCs w:val="20"/>
          <w:lang w:val="es-CR"/>
        </w:rPr>
        <w:t xml:space="preserve">, ante la emergencia y la situación real, lo más prudente es reducirlas en forma que se les compute como pena cumplida el sobrante antijurídico de sufrimiento no dispuesto ni autorizado por los jueces del Estado.  </w:t>
      </w:r>
    </w:p>
    <w:p w14:paraId="5B8ADDC7" w14:textId="77777777" w:rsidR="009E7BBE" w:rsidRPr="00B06C31" w:rsidRDefault="009E7BBE" w:rsidP="009E7BBE">
      <w:pPr>
        <w:pStyle w:val="ListParagraph"/>
        <w:snapToGrid w:val="0"/>
        <w:ind w:left="0"/>
        <w:rPr>
          <w:szCs w:val="20"/>
          <w:lang w:val="es-CR"/>
        </w:rPr>
      </w:pPr>
    </w:p>
    <w:p w14:paraId="796B0085" w14:textId="1FEDA77C"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La vía institucional para arbitrar este cómputo tomando en cuenta como pena el sobrante antijurídico de dolor o sufrimiento padecido, la deberá escoger el Estado conforme a su derecho interno, no siendo la Corte competente para señalarla. </w:t>
      </w:r>
      <w:r w:rsidR="00DF3B57">
        <w:rPr>
          <w:szCs w:val="20"/>
          <w:lang w:val="es-CR"/>
        </w:rPr>
        <w:t xml:space="preserve">Obviamente en ese proceso decisorio los jueces internos deben dar cumplimiento a lo determinado por el STF en la </w:t>
      </w:r>
      <w:proofErr w:type="spellStart"/>
      <w:r w:rsidR="00DF3B57">
        <w:rPr>
          <w:i/>
          <w:szCs w:val="20"/>
          <w:lang w:val="es-CR"/>
        </w:rPr>
        <w:t>Súmula</w:t>
      </w:r>
      <w:proofErr w:type="spellEnd"/>
      <w:r w:rsidR="00DF3B57">
        <w:rPr>
          <w:i/>
          <w:szCs w:val="20"/>
          <w:lang w:val="es-CR"/>
        </w:rPr>
        <w:t xml:space="preserve"> </w:t>
      </w:r>
      <w:r w:rsidR="00DF3B57" w:rsidRPr="00DF3B57">
        <w:rPr>
          <w:i/>
          <w:szCs w:val="20"/>
          <w:lang w:val="es-CR"/>
        </w:rPr>
        <w:t>Vinculante</w:t>
      </w:r>
      <w:r w:rsidR="00DF3B57">
        <w:rPr>
          <w:szCs w:val="20"/>
          <w:lang w:val="es-CR"/>
        </w:rPr>
        <w:t xml:space="preserve"> No. 56 (</w:t>
      </w:r>
      <w:r w:rsidR="00DF3B57">
        <w:rPr>
          <w:i/>
          <w:szCs w:val="20"/>
          <w:lang w:val="es-CR"/>
        </w:rPr>
        <w:t xml:space="preserve">supra </w:t>
      </w:r>
      <w:r w:rsidR="007A6241">
        <w:rPr>
          <w:szCs w:val="20"/>
          <w:lang w:val="es-CR"/>
        </w:rPr>
        <w:t>Considerandos</w:t>
      </w:r>
      <w:r w:rsidR="00DF3B57">
        <w:rPr>
          <w:szCs w:val="20"/>
          <w:lang w:val="es-CR"/>
        </w:rPr>
        <w:t xml:space="preserve"> </w:t>
      </w:r>
      <w:r w:rsidR="00B029FC">
        <w:rPr>
          <w:szCs w:val="20"/>
          <w:lang w:val="es-CR"/>
        </w:rPr>
        <w:t>110 a 114</w:t>
      </w:r>
      <w:r w:rsidR="00DF3B57">
        <w:rPr>
          <w:szCs w:val="20"/>
          <w:lang w:val="es-CR"/>
        </w:rPr>
        <w:t xml:space="preserve">). </w:t>
      </w:r>
      <w:r w:rsidRPr="00DF3B57">
        <w:rPr>
          <w:szCs w:val="20"/>
          <w:lang w:val="es-CR"/>
        </w:rPr>
        <w:t>No</w:t>
      </w:r>
      <w:r w:rsidRPr="00B06C31">
        <w:rPr>
          <w:szCs w:val="20"/>
          <w:lang w:val="es-CR"/>
        </w:rPr>
        <w:t xml:space="preserve"> obstante, la Corte recuerda que, conforme a los principios del derecho internacional de los </w:t>
      </w:r>
      <w:r w:rsidR="00DF3B57">
        <w:rPr>
          <w:szCs w:val="20"/>
          <w:lang w:val="es-CR"/>
        </w:rPr>
        <w:t>d</w:t>
      </w:r>
      <w:r w:rsidRPr="00B06C31">
        <w:rPr>
          <w:szCs w:val="20"/>
          <w:lang w:val="es-CR"/>
        </w:rPr>
        <w:t xml:space="preserve">erechos </w:t>
      </w:r>
      <w:r w:rsidR="00DF3B57">
        <w:rPr>
          <w:szCs w:val="20"/>
          <w:lang w:val="es-CR"/>
        </w:rPr>
        <w:t>h</w:t>
      </w:r>
      <w:r w:rsidRPr="00B06C31">
        <w:rPr>
          <w:szCs w:val="20"/>
          <w:lang w:val="es-CR"/>
        </w:rPr>
        <w:t xml:space="preserve">umanos, el Estado no podrá alegar incumplimiento por obstáculos de derecho interno. </w:t>
      </w:r>
    </w:p>
    <w:p w14:paraId="18FFD75E" w14:textId="77777777" w:rsidR="009E7BBE" w:rsidRPr="00B06C31" w:rsidRDefault="009E7BBE" w:rsidP="009E7BBE">
      <w:pPr>
        <w:pStyle w:val="ListParagraph"/>
        <w:snapToGrid w:val="0"/>
        <w:ind w:left="0"/>
        <w:rPr>
          <w:szCs w:val="20"/>
          <w:lang w:val="es-CR"/>
        </w:rPr>
      </w:pPr>
    </w:p>
    <w:p w14:paraId="29F5FE1A"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La aplicación de este cómputo no exime tampoco al Estado de la obligación de redoblar los esfuerzos para que, incluso con la reducción poblacional que provoque, logre condiciones dignas de ejecución penal para la población que no alcance la libertad, pese a computársele como pena o prevención la parte antijurídica de su ejecución. </w:t>
      </w:r>
    </w:p>
    <w:p w14:paraId="5D21F3D3" w14:textId="77777777" w:rsidR="009E7BBE" w:rsidRPr="00B06C31" w:rsidRDefault="009E7BBE" w:rsidP="009E7BBE">
      <w:pPr>
        <w:pStyle w:val="ListParagraph"/>
        <w:snapToGrid w:val="0"/>
        <w:ind w:left="0"/>
        <w:rPr>
          <w:szCs w:val="20"/>
          <w:lang w:val="es-CR"/>
        </w:rPr>
      </w:pPr>
    </w:p>
    <w:p w14:paraId="7A93D152"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Tampoco la Corte excluye la posibilidad de que el Estado arbitre también otros medios sustitutivos de la privación de libertad para contribuir a resolver la sobrepoblación del IPPSC, sino que en tal sentido también insta al Estado a llevar a cabo el máximo de esfuerzo posible para hacer cesar la actual situación.</w:t>
      </w:r>
    </w:p>
    <w:p w14:paraId="13D237AB" w14:textId="77777777" w:rsidR="009E7BBE" w:rsidRPr="00B06C31" w:rsidRDefault="009E7BBE" w:rsidP="009E7BBE">
      <w:pPr>
        <w:pStyle w:val="ListParagraph"/>
        <w:snapToGrid w:val="0"/>
        <w:ind w:left="0"/>
        <w:rPr>
          <w:szCs w:val="20"/>
          <w:lang w:val="es-CR"/>
        </w:rPr>
      </w:pPr>
    </w:p>
    <w:p w14:paraId="02AE5EC9" w14:textId="0DC42C9C"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No obstante lo anterior, la Corte tiene en cuenta que el daño emergente de la </w:t>
      </w:r>
      <w:r w:rsidR="00DF3B57">
        <w:rPr>
          <w:szCs w:val="20"/>
          <w:lang w:val="es-CR"/>
        </w:rPr>
        <w:t xml:space="preserve">eventual </w:t>
      </w:r>
      <w:r w:rsidRPr="00B06C31">
        <w:rPr>
          <w:szCs w:val="20"/>
          <w:lang w:val="es-CR"/>
        </w:rPr>
        <w:t>violación del art</w:t>
      </w:r>
      <w:r w:rsidR="00DF3B57">
        <w:rPr>
          <w:szCs w:val="20"/>
          <w:lang w:val="es-CR"/>
        </w:rPr>
        <w:t>ículo</w:t>
      </w:r>
      <w:r w:rsidRPr="00B06C31">
        <w:rPr>
          <w:szCs w:val="20"/>
          <w:lang w:val="es-CR"/>
        </w:rPr>
        <w:t xml:space="preserve"> 5</w:t>
      </w:r>
      <w:r w:rsidR="00DF3B57">
        <w:rPr>
          <w:szCs w:val="20"/>
          <w:lang w:val="es-CR"/>
        </w:rPr>
        <w:t>.</w:t>
      </w:r>
      <w:r w:rsidRPr="00B06C31">
        <w:rPr>
          <w:szCs w:val="20"/>
          <w:lang w:val="es-CR"/>
        </w:rPr>
        <w:t xml:space="preserve">6 de la </w:t>
      </w:r>
      <w:r w:rsidR="003B4943">
        <w:rPr>
          <w:szCs w:val="20"/>
          <w:lang w:val="es-CR"/>
        </w:rPr>
        <w:t>Convención Americana</w:t>
      </w:r>
      <w:r w:rsidRPr="00B06C31">
        <w:rPr>
          <w:szCs w:val="20"/>
          <w:lang w:val="es-CR"/>
        </w:rPr>
        <w:t xml:space="preserve"> </w:t>
      </w:r>
      <w:r w:rsidR="009D6399">
        <w:rPr>
          <w:szCs w:val="20"/>
          <w:lang w:val="es-CR"/>
        </w:rPr>
        <w:t>se habría</w:t>
      </w:r>
      <w:r w:rsidRPr="00B06C31">
        <w:rPr>
          <w:szCs w:val="20"/>
          <w:lang w:val="es-CR"/>
        </w:rPr>
        <w:t xml:space="preserve"> producido en el plano de la realidad, o sea que, el deterioro de las personas privadas de libertad opera en ellas de modo totalmente inverso al señalado en la </w:t>
      </w:r>
      <w:r w:rsidR="003B4943">
        <w:rPr>
          <w:szCs w:val="20"/>
          <w:lang w:val="es-CR"/>
        </w:rPr>
        <w:t>Convención Americana</w:t>
      </w:r>
      <w:r w:rsidRPr="00B06C31">
        <w:rPr>
          <w:szCs w:val="20"/>
          <w:lang w:val="es-CR"/>
        </w:rPr>
        <w:t>, es decir, que las condiciones del IPPSC, lejos de promover la reinserción social de los presos en vistas a una convivencia pacífica y respetuosa de la ley y de los derechos de los otros habitantes, en muchos casos habr</w:t>
      </w:r>
      <w:r w:rsidR="009D6399">
        <w:rPr>
          <w:szCs w:val="20"/>
          <w:lang w:val="es-CR"/>
        </w:rPr>
        <w:t>ía</w:t>
      </w:r>
      <w:r w:rsidRPr="00B06C31">
        <w:rPr>
          <w:szCs w:val="20"/>
          <w:lang w:val="es-CR"/>
        </w:rPr>
        <w:t xml:space="preserve"> operado en sentido contrario, reforzando la desviación de conducta de las personas sometidas a las observadas condiciones degradantes. Por lamentable que sea la consecuencia, el mal está hecho y es indispensable tenerlo presente y en cuenta al decidir acerca de la medida a adoptar en el presente caso.</w:t>
      </w:r>
    </w:p>
    <w:p w14:paraId="7676F951" w14:textId="77777777" w:rsidR="009E7BBE" w:rsidRPr="00B06C31" w:rsidRDefault="009E7BBE" w:rsidP="009E7BBE">
      <w:pPr>
        <w:pStyle w:val="ListParagraph"/>
        <w:snapToGrid w:val="0"/>
        <w:ind w:left="0"/>
        <w:rPr>
          <w:szCs w:val="20"/>
          <w:lang w:val="es-CR"/>
        </w:rPr>
      </w:pPr>
    </w:p>
    <w:p w14:paraId="4D479063" w14:textId="77777777"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Las desviaciones de conducta generadas por condiciones degradantes de ejecución de privaciones de libertad ponen en peligro los derechos y bienes jurídicos del resto de la población, porque genera en alguna medida un efecto reproductor de delincuencia. La Corte no puede ignorar esta circunstancia y, al menos, respecto de los derechos fundamentales, se le impone formular un distinto tratamiento para el caso de presos condenados o imputados por delitos o supuestos delitos contra la vida, la integridad física o de naturaleza sexual, si </w:t>
      </w:r>
      <w:r w:rsidRPr="00B06C31">
        <w:rPr>
          <w:szCs w:val="20"/>
          <w:lang w:val="es-CR"/>
        </w:rPr>
        <w:lastRenderedPageBreak/>
        <w:t>bien tomando en cuenta que esas desviaciones secundarias de conducta no se producen inexorablemente, lo que requiere un tratamiento particularizado en cada caso.</w:t>
      </w:r>
    </w:p>
    <w:p w14:paraId="4D7B0F63" w14:textId="77777777" w:rsidR="009E7BBE" w:rsidRPr="00B06C31" w:rsidRDefault="009E7BBE" w:rsidP="009E7BBE">
      <w:pPr>
        <w:pStyle w:val="ListParagraph"/>
        <w:snapToGrid w:val="0"/>
        <w:ind w:left="0"/>
        <w:rPr>
          <w:szCs w:val="20"/>
          <w:lang w:val="es-CR"/>
        </w:rPr>
      </w:pPr>
    </w:p>
    <w:p w14:paraId="050A389D" w14:textId="692E4E5C"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Por consiguiente, la Corte entiende que la reducción del tiempo de prisión compensatoria de la ejecución antijurídica, conforme al cómputo antes señalado para la población penal del IPPSC en general, en el caso de imputados o condenados por delitos contra la vida, la integridad física o sexuales, deberá quedar supeditada en cada caso a un examen o peritaje técnico criminológico que indique, según el pronóstico de conducta resultante y, en particular, </w:t>
      </w:r>
      <w:r w:rsidR="009C77A4">
        <w:rPr>
          <w:szCs w:val="20"/>
          <w:lang w:val="es-CR"/>
        </w:rPr>
        <w:t xml:space="preserve">con base a </w:t>
      </w:r>
      <w:r w:rsidRPr="009C77A4">
        <w:rPr>
          <w:szCs w:val="20"/>
          <w:lang w:val="es-CR"/>
        </w:rPr>
        <w:t>indicadores</w:t>
      </w:r>
      <w:r w:rsidRPr="00B06C31">
        <w:rPr>
          <w:szCs w:val="20"/>
          <w:lang w:val="es-CR"/>
        </w:rPr>
        <w:t xml:space="preserve"> de agresividad de la persona, si corresponde la reducción del tiempo real de privación de libertad en la forma señalada del 50%, si éste no es aconsejable en razón de un pronóstico de conducta totalmente negativo o si debe abreviarse en menor medida que el 50%. </w:t>
      </w:r>
    </w:p>
    <w:p w14:paraId="742A84DF" w14:textId="77777777" w:rsidR="009E7BBE" w:rsidRPr="00B06C31" w:rsidRDefault="009E7BBE" w:rsidP="009E7BBE">
      <w:pPr>
        <w:pStyle w:val="ListParagraph"/>
        <w:snapToGrid w:val="0"/>
        <w:ind w:left="0"/>
        <w:rPr>
          <w:szCs w:val="20"/>
          <w:lang w:val="es-CR"/>
        </w:rPr>
      </w:pPr>
    </w:p>
    <w:p w14:paraId="1E3854CD" w14:textId="50233F18" w:rsidR="009E7BBE" w:rsidRPr="00B06C31" w:rsidRDefault="009E7BBE" w:rsidP="009E7BBE">
      <w:pPr>
        <w:pStyle w:val="ListParagraph"/>
        <w:numPr>
          <w:ilvl w:val="0"/>
          <w:numId w:val="20"/>
        </w:numPr>
        <w:snapToGrid w:val="0"/>
        <w:ind w:left="0" w:firstLine="0"/>
        <w:rPr>
          <w:szCs w:val="20"/>
          <w:lang w:val="es-CR"/>
        </w:rPr>
      </w:pPr>
      <w:r w:rsidRPr="00B06C31">
        <w:rPr>
          <w:szCs w:val="20"/>
          <w:lang w:val="es-CR"/>
        </w:rPr>
        <w:t xml:space="preserve">Con ese objeto, el Estado deberá arbitrar los medios para llevar a cabo estos exámenes o peritajes criminológicos, </w:t>
      </w:r>
      <w:r w:rsidR="00310F32">
        <w:rPr>
          <w:szCs w:val="20"/>
          <w:lang w:val="es-CR"/>
        </w:rPr>
        <w:t xml:space="preserve">de forma diligente y prioritaria, </w:t>
      </w:r>
      <w:r w:rsidRPr="00B06C31">
        <w:rPr>
          <w:szCs w:val="20"/>
          <w:lang w:val="es-CR"/>
        </w:rPr>
        <w:t xml:space="preserve">organizando a ese efecto un equipo de profesionales, en particular compuesto por psicólogos y asistentes sociales (sin perjuicio de otros) de probada experiencia y adecuada formación académica, que deberá actuar al menos en grupos de tres expertos, sin que sea suficiente la opinión de un profesional único. La pluralidad de expertos evitará o reducirá la eventualidad de decisiones que respondan a favoritismos o preferencias arbitrarias e incluso a posibles actos de corrupción. </w:t>
      </w:r>
    </w:p>
    <w:p w14:paraId="721A04A0" w14:textId="77777777" w:rsidR="009E7BBE" w:rsidRDefault="009E7BBE" w:rsidP="009E7BBE">
      <w:pPr>
        <w:snapToGrid w:val="0"/>
        <w:rPr>
          <w:szCs w:val="20"/>
          <w:lang w:val="es-CR"/>
        </w:rPr>
      </w:pPr>
    </w:p>
    <w:p w14:paraId="6B306B41" w14:textId="77777777" w:rsidR="009E7BBE" w:rsidRDefault="009E7BBE" w:rsidP="009E7BBE">
      <w:pPr>
        <w:snapToGrid w:val="0"/>
        <w:rPr>
          <w:szCs w:val="20"/>
          <w:lang w:val="es-CR"/>
        </w:rPr>
      </w:pPr>
      <w:r>
        <w:rPr>
          <w:b/>
          <w:szCs w:val="20"/>
          <w:lang w:val="es-CR"/>
        </w:rPr>
        <w:t>Sobre la falta de información solicitada al Estado</w:t>
      </w:r>
    </w:p>
    <w:p w14:paraId="3B8F83A4" w14:textId="77777777" w:rsidR="009E7BBE" w:rsidRDefault="009E7BBE" w:rsidP="009E7BBE">
      <w:pPr>
        <w:snapToGrid w:val="0"/>
        <w:rPr>
          <w:szCs w:val="20"/>
          <w:lang w:val="es-CR"/>
        </w:rPr>
      </w:pPr>
    </w:p>
    <w:p w14:paraId="0BB9FB21" w14:textId="6941B833" w:rsidR="009E7BBE" w:rsidRPr="002B4E6D" w:rsidRDefault="009E7BBE" w:rsidP="009E7BBE">
      <w:pPr>
        <w:pStyle w:val="ListParagraph"/>
        <w:numPr>
          <w:ilvl w:val="0"/>
          <w:numId w:val="20"/>
        </w:numPr>
        <w:snapToGrid w:val="0"/>
        <w:ind w:left="0" w:firstLine="0"/>
        <w:contextualSpacing w:val="0"/>
        <w:rPr>
          <w:szCs w:val="20"/>
          <w:lang w:val="es-CR"/>
        </w:rPr>
      </w:pPr>
      <w:r w:rsidRPr="002B4E6D">
        <w:rPr>
          <w:szCs w:val="20"/>
          <w:lang w:val="es-CR"/>
        </w:rPr>
        <w:t xml:space="preserve">La </w:t>
      </w:r>
      <w:r w:rsidRPr="00B06C31">
        <w:rPr>
          <w:szCs w:val="20"/>
          <w:lang w:val="es-CR"/>
        </w:rPr>
        <w:t>Corte</w:t>
      </w:r>
      <w:r w:rsidRPr="002B4E6D">
        <w:rPr>
          <w:b/>
          <w:i/>
          <w:szCs w:val="20"/>
          <w:lang w:val="es-CR"/>
        </w:rPr>
        <w:t xml:space="preserve"> </w:t>
      </w:r>
      <w:r>
        <w:rPr>
          <w:szCs w:val="20"/>
          <w:lang w:val="es-CR"/>
        </w:rPr>
        <w:t>destaca</w:t>
      </w:r>
      <w:r w:rsidRPr="002B4E6D">
        <w:rPr>
          <w:szCs w:val="20"/>
          <w:lang w:val="es-CR"/>
        </w:rPr>
        <w:t xml:space="preserve"> la elaboración del Diagnóstico Técnico por </w:t>
      </w:r>
      <w:r>
        <w:rPr>
          <w:szCs w:val="20"/>
          <w:lang w:val="es-CR"/>
        </w:rPr>
        <w:t>parte d</w:t>
      </w:r>
      <w:r w:rsidRPr="002B4E6D">
        <w:rPr>
          <w:szCs w:val="20"/>
          <w:lang w:val="es-CR"/>
        </w:rPr>
        <w:t xml:space="preserve">el Estado de Brasil. </w:t>
      </w:r>
      <w:r>
        <w:rPr>
          <w:szCs w:val="20"/>
          <w:lang w:val="es-CR"/>
        </w:rPr>
        <w:t xml:space="preserve">También nota </w:t>
      </w:r>
      <w:r w:rsidRPr="002B4E6D">
        <w:rPr>
          <w:szCs w:val="20"/>
          <w:lang w:val="es-CR"/>
        </w:rPr>
        <w:t>las propuestas de acción presentadas en el Diagnóstico Técnico, a la luz de los problemas centrales identificados en ese documento.</w:t>
      </w:r>
    </w:p>
    <w:p w14:paraId="78E3DE94" w14:textId="77777777" w:rsidR="009E7BBE" w:rsidRPr="002B4E6D" w:rsidRDefault="009E7BBE" w:rsidP="009E7BBE">
      <w:pPr>
        <w:pStyle w:val="ListParagraph"/>
        <w:snapToGrid w:val="0"/>
        <w:ind w:left="0"/>
        <w:contextualSpacing w:val="0"/>
        <w:rPr>
          <w:szCs w:val="20"/>
          <w:lang w:val="es-CR"/>
        </w:rPr>
      </w:pPr>
    </w:p>
    <w:p w14:paraId="58DEB971" w14:textId="77777777" w:rsidR="009E7BBE" w:rsidRPr="002B4E6D" w:rsidRDefault="009E7BBE" w:rsidP="009E7BBE">
      <w:pPr>
        <w:pStyle w:val="ListParagraph"/>
        <w:numPr>
          <w:ilvl w:val="0"/>
          <w:numId w:val="20"/>
        </w:numPr>
        <w:snapToGrid w:val="0"/>
        <w:ind w:left="0" w:firstLine="0"/>
        <w:contextualSpacing w:val="0"/>
        <w:rPr>
          <w:szCs w:val="20"/>
          <w:lang w:val="es-CR"/>
        </w:rPr>
      </w:pPr>
      <w:r>
        <w:rPr>
          <w:szCs w:val="20"/>
          <w:lang w:val="es-CR"/>
        </w:rPr>
        <w:t>Asimismo, valora</w:t>
      </w:r>
      <w:r w:rsidRPr="002B4E6D">
        <w:rPr>
          <w:szCs w:val="20"/>
          <w:lang w:val="es-CR"/>
        </w:rPr>
        <w:t xml:space="preserve"> la elaboración de un</w:t>
      </w:r>
      <w:r>
        <w:rPr>
          <w:szCs w:val="20"/>
          <w:lang w:val="es-CR"/>
        </w:rPr>
        <w:t xml:space="preserve"> Plan</w:t>
      </w:r>
      <w:r w:rsidRPr="002B4E6D">
        <w:rPr>
          <w:szCs w:val="20"/>
          <w:lang w:val="es-CR"/>
        </w:rPr>
        <w:t xml:space="preserve"> de Reducción Cuantitativa del Hacinamiento Carcelario del IPPSC por parte de los representantes. Sin embargo, </w:t>
      </w:r>
      <w:r>
        <w:rPr>
          <w:szCs w:val="20"/>
          <w:lang w:val="es-CR"/>
        </w:rPr>
        <w:t xml:space="preserve">resalta </w:t>
      </w:r>
      <w:r w:rsidRPr="002B4E6D">
        <w:rPr>
          <w:szCs w:val="20"/>
          <w:lang w:val="es-CR"/>
        </w:rPr>
        <w:t>la grave omisión del Estado en cumplir con la obligación de elaborar un Plan de Contingencia</w:t>
      </w:r>
      <w:r w:rsidRPr="002B4E6D">
        <w:rPr>
          <w:b/>
          <w:bCs/>
          <w:szCs w:val="20"/>
          <w:lang w:val="es-CR"/>
        </w:rPr>
        <w:t xml:space="preserve"> </w:t>
      </w:r>
      <w:r w:rsidRPr="002B4E6D">
        <w:rPr>
          <w:szCs w:val="20"/>
          <w:lang w:val="es-CR"/>
        </w:rPr>
        <w:t xml:space="preserve">para la reforma estructural y de reducción de la superpoblación y hacinamiento en el Instituto Penal Plácido de </w:t>
      </w:r>
      <w:proofErr w:type="spellStart"/>
      <w:r w:rsidRPr="002B4E6D">
        <w:rPr>
          <w:szCs w:val="20"/>
          <w:lang w:val="es-CR"/>
        </w:rPr>
        <w:t>Sá</w:t>
      </w:r>
      <w:proofErr w:type="spellEnd"/>
      <w:r w:rsidRPr="002B4E6D">
        <w:rPr>
          <w:szCs w:val="20"/>
          <w:lang w:val="es-CR"/>
        </w:rPr>
        <w:t xml:space="preserve"> Carvalho. </w:t>
      </w:r>
      <w:r>
        <w:rPr>
          <w:szCs w:val="20"/>
          <w:lang w:val="es-CR"/>
        </w:rPr>
        <w:t xml:space="preserve">Pone de manifiesto </w:t>
      </w:r>
      <w:r w:rsidRPr="002B4E6D">
        <w:rPr>
          <w:szCs w:val="20"/>
          <w:lang w:val="es-CR"/>
        </w:rPr>
        <w:t xml:space="preserve">que eventuales cambios dentro de la estructura federal del Estado </w:t>
      </w:r>
      <w:r>
        <w:rPr>
          <w:szCs w:val="20"/>
          <w:lang w:val="es-CR"/>
        </w:rPr>
        <w:t xml:space="preserve">en cuanto a </w:t>
      </w:r>
      <w:r w:rsidRPr="002B4E6D">
        <w:rPr>
          <w:szCs w:val="20"/>
          <w:lang w:val="es-CR"/>
        </w:rPr>
        <w:t xml:space="preserve">la atribución de responsabilidad por el sistema carcelario fluminense no justifican el incumplimiento de las medidas ordenadas por la Corte IDH. Destaca que la responsabilidad por el cumplimento de las referidas medidas es del Estado brasileño, y no únicamente del estado de Río de Janeiro, no importando, así, eventuales cambios </w:t>
      </w:r>
      <w:r>
        <w:rPr>
          <w:szCs w:val="20"/>
          <w:lang w:val="es-CR"/>
        </w:rPr>
        <w:t>derivados</w:t>
      </w:r>
      <w:r w:rsidRPr="002B4E6D">
        <w:rPr>
          <w:szCs w:val="20"/>
          <w:lang w:val="es-CR"/>
        </w:rPr>
        <w:t xml:space="preserve"> del decreto de intervención federal. En ese sentido, la Corte recuerda que, a la luz del Artículo 28 de la Convención Americana sobre Derechos Humanos y de las reglas de responsabilidad estatal por actos internacionalmente ilícitos</w:t>
      </w:r>
      <w:r w:rsidRPr="002B4E6D">
        <w:rPr>
          <w:rStyle w:val="FootnoteReference"/>
          <w:lang w:val="es-CR"/>
        </w:rPr>
        <w:footnoteReference w:id="41"/>
      </w:r>
      <w:r w:rsidRPr="002B4E6D">
        <w:rPr>
          <w:szCs w:val="20"/>
          <w:lang w:val="es-CR"/>
        </w:rPr>
        <w:t xml:space="preserve">, un Estado no puede alegar disposiciones de derecho interno o divisiones de atribuciones </w:t>
      </w:r>
      <w:r>
        <w:rPr>
          <w:szCs w:val="20"/>
          <w:lang w:val="es-CR"/>
        </w:rPr>
        <w:t>derivados</w:t>
      </w:r>
      <w:r w:rsidRPr="002B4E6D">
        <w:rPr>
          <w:szCs w:val="20"/>
          <w:lang w:val="es-CR"/>
        </w:rPr>
        <w:t xml:space="preserve"> de su organización política como federación para justificar </w:t>
      </w:r>
      <w:r>
        <w:rPr>
          <w:szCs w:val="20"/>
          <w:lang w:val="es-CR"/>
        </w:rPr>
        <w:t>el</w:t>
      </w:r>
      <w:r w:rsidRPr="002B4E6D">
        <w:rPr>
          <w:szCs w:val="20"/>
          <w:lang w:val="es-CR"/>
        </w:rPr>
        <w:t xml:space="preserve"> incumplimiento de sus obligaciones internacionales.</w:t>
      </w:r>
    </w:p>
    <w:p w14:paraId="737D109E" w14:textId="77777777" w:rsidR="009E7BBE" w:rsidRPr="002B4E6D" w:rsidRDefault="009E7BBE" w:rsidP="009E7BBE">
      <w:pPr>
        <w:rPr>
          <w:szCs w:val="20"/>
          <w:lang w:val="es-CR"/>
        </w:rPr>
      </w:pPr>
    </w:p>
    <w:p w14:paraId="1FF3852C" w14:textId="77777777" w:rsidR="009E7BBE" w:rsidRPr="002B4E6D" w:rsidRDefault="009E7BBE" w:rsidP="009E7BBE">
      <w:pPr>
        <w:pStyle w:val="ListParagraph"/>
        <w:numPr>
          <w:ilvl w:val="0"/>
          <w:numId w:val="20"/>
        </w:numPr>
        <w:snapToGrid w:val="0"/>
        <w:ind w:left="0" w:firstLine="0"/>
        <w:contextualSpacing w:val="0"/>
        <w:rPr>
          <w:szCs w:val="20"/>
          <w:lang w:val="es-CR"/>
        </w:rPr>
      </w:pPr>
      <w:r w:rsidRPr="002B4E6D">
        <w:rPr>
          <w:szCs w:val="20"/>
          <w:lang w:val="es-CR"/>
        </w:rPr>
        <w:t xml:space="preserve">La Corte considera inaceptable que el Estado esté tan solamente evaluando el momento oportuno para la </w:t>
      </w:r>
      <w:r>
        <w:rPr>
          <w:szCs w:val="20"/>
          <w:lang w:val="es-CR"/>
        </w:rPr>
        <w:t>realización</w:t>
      </w:r>
      <w:r w:rsidRPr="002B4E6D">
        <w:rPr>
          <w:szCs w:val="20"/>
          <w:lang w:val="es-CR"/>
        </w:rPr>
        <w:t xml:space="preserve"> de la visita </w:t>
      </w:r>
      <w:r w:rsidRPr="002B4E6D">
        <w:rPr>
          <w:i/>
          <w:szCs w:val="20"/>
          <w:lang w:val="es-CR"/>
        </w:rPr>
        <w:t xml:space="preserve">in loco </w:t>
      </w:r>
      <w:r w:rsidRPr="002B4E6D">
        <w:rPr>
          <w:szCs w:val="20"/>
          <w:lang w:val="es-CR"/>
        </w:rPr>
        <w:t>al IPPSC. Reitera la obligación del Estado de adoptar, con urgencia, el referido Plan de Contingencia.</w:t>
      </w:r>
    </w:p>
    <w:p w14:paraId="5C48A18E" w14:textId="77777777" w:rsidR="009E7BBE" w:rsidRPr="002B4E6D" w:rsidRDefault="009E7BBE" w:rsidP="009E7BBE">
      <w:pPr>
        <w:pStyle w:val="ListParagraph"/>
        <w:rPr>
          <w:szCs w:val="20"/>
          <w:lang w:val="es-CR"/>
        </w:rPr>
      </w:pPr>
    </w:p>
    <w:p w14:paraId="52AC2CA7" w14:textId="76138D67" w:rsidR="00310F32" w:rsidRDefault="009E7BBE" w:rsidP="009E7BBE">
      <w:pPr>
        <w:pStyle w:val="ListParagraph"/>
        <w:numPr>
          <w:ilvl w:val="0"/>
          <w:numId w:val="20"/>
        </w:numPr>
        <w:snapToGrid w:val="0"/>
        <w:ind w:left="0" w:firstLine="0"/>
        <w:contextualSpacing w:val="0"/>
        <w:rPr>
          <w:szCs w:val="20"/>
          <w:lang w:val="es-CR"/>
        </w:rPr>
      </w:pPr>
      <w:r w:rsidRPr="002B4E6D">
        <w:rPr>
          <w:szCs w:val="20"/>
          <w:lang w:val="es-CR"/>
        </w:rPr>
        <w:t>Teniendo presente la solicitud expresa</w:t>
      </w:r>
      <w:r>
        <w:rPr>
          <w:szCs w:val="20"/>
          <w:lang w:val="es-CR"/>
        </w:rPr>
        <w:t>da</w:t>
      </w:r>
      <w:r w:rsidRPr="002B4E6D">
        <w:rPr>
          <w:szCs w:val="20"/>
          <w:lang w:val="es-CR"/>
        </w:rPr>
        <w:t xml:space="preserve"> en la Resolución de 31 de agosto de 2017, así como la flagrante omisión del Estado en cumplir con </w:t>
      </w:r>
      <w:r>
        <w:rPr>
          <w:szCs w:val="20"/>
          <w:lang w:val="es-CR"/>
        </w:rPr>
        <w:t xml:space="preserve">las </w:t>
      </w:r>
      <w:r w:rsidRPr="002B4E6D">
        <w:rPr>
          <w:szCs w:val="20"/>
          <w:lang w:val="es-CR"/>
        </w:rPr>
        <w:t xml:space="preserve">medidas en ella ordenadas, la </w:t>
      </w:r>
      <w:r w:rsidRPr="002B4E6D">
        <w:rPr>
          <w:szCs w:val="20"/>
          <w:lang w:val="es-CR"/>
        </w:rPr>
        <w:lastRenderedPageBreak/>
        <w:t xml:space="preserve">Corte considera necesario que, en los próximos tres meses, el Estado elabore un </w:t>
      </w:r>
      <w:r w:rsidRPr="004F26AD">
        <w:rPr>
          <w:bCs/>
          <w:szCs w:val="20"/>
          <w:lang w:val="es-CR"/>
        </w:rPr>
        <w:t xml:space="preserve">Plan de Contingencia </w:t>
      </w:r>
      <w:r w:rsidRPr="004F26AD">
        <w:rPr>
          <w:szCs w:val="20"/>
          <w:lang w:val="es-CR"/>
        </w:rPr>
        <w:t xml:space="preserve">para la reforma estructural y de reducción de la superpoblación y hacinamiento en el Instituto Penal Plácido de </w:t>
      </w:r>
      <w:proofErr w:type="spellStart"/>
      <w:r w:rsidRPr="004F26AD">
        <w:rPr>
          <w:szCs w:val="20"/>
          <w:lang w:val="es-CR"/>
        </w:rPr>
        <w:t>Sá</w:t>
      </w:r>
      <w:proofErr w:type="spellEnd"/>
      <w:r w:rsidRPr="004F26AD">
        <w:rPr>
          <w:szCs w:val="20"/>
          <w:lang w:val="es-CR"/>
        </w:rPr>
        <w:t xml:space="preserve"> Carvalho</w:t>
      </w:r>
      <w:r w:rsidRPr="002B4E6D">
        <w:rPr>
          <w:szCs w:val="20"/>
          <w:lang w:val="es-CR"/>
        </w:rPr>
        <w:t>. Ese plan debe prever</w:t>
      </w:r>
      <w:r w:rsidR="00310F32">
        <w:rPr>
          <w:szCs w:val="20"/>
          <w:lang w:val="es-CR"/>
        </w:rPr>
        <w:t>, como elementos mínimos:</w:t>
      </w:r>
    </w:p>
    <w:p w14:paraId="4D15B983" w14:textId="77777777" w:rsidR="00310F32" w:rsidRPr="00310F32" w:rsidRDefault="00310F32" w:rsidP="008A344F">
      <w:pPr>
        <w:pStyle w:val="ListParagraph"/>
        <w:rPr>
          <w:szCs w:val="20"/>
          <w:lang w:val="es-CR"/>
        </w:rPr>
      </w:pPr>
    </w:p>
    <w:p w14:paraId="089DB45C" w14:textId="2F57468A" w:rsidR="00310F32" w:rsidRDefault="009E7BBE" w:rsidP="008A344F">
      <w:pPr>
        <w:pStyle w:val="ListParagraph"/>
        <w:numPr>
          <w:ilvl w:val="1"/>
          <w:numId w:val="20"/>
        </w:numPr>
        <w:snapToGrid w:val="0"/>
        <w:contextualSpacing w:val="0"/>
        <w:rPr>
          <w:szCs w:val="20"/>
          <w:lang w:val="es-CR"/>
        </w:rPr>
      </w:pPr>
      <w:r w:rsidRPr="002B4E6D">
        <w:rPr>
          <w:szCs w:val="20"/>
          <w:lang w:val="es-CR"/>
        </w:rPr>
        <w:t>la remodelación de todos los pabellones, celdas y espacios comunes</w:t>
      </w:r>
    </w:p>
    <w:p w14:paraId="78727E19" w14:textId="7B3F050D" w:rsidR="00310F32" w:rsidRDefault="009E7BBE" w:rsidP="008A344F">
      <w:pPr>
        <w:pStyle w:val="ListParagraph"/>
        <w:numPr>
          <w:ilvl w:val="1"/>
          <w:numId w:val="20"/>
        </w:numPr>
        <w:snapToGrid w:val="0"/>
        <w:contextualSpacing w:val="0"/>
        <w:rPr>
          <w:szCs w:val="20"/>
          <w:lang w:val="es-CR"/>
        </w:rPr>
      </w:pPr>
      <w:r w:rsidRPr="002B4E6D">
        <w:rPr>
          <w:szCs w:val="20"/>
          <w:lang w:val="es-CR"/>
        </w:rPr>
        <w:t>a reducción substancial del número de internos</w:t>
      </w:r>
      <w:r w:rsidR="00310F32">
        <w:rPr>
          <w:szCs w:val="20"/>
          <w:lang w:val="es-CR"/>
        </w:rPr>
        <w:t xml:space="preserve"> a través de la aplicación de la </w:t>
      </w:r>
      <w:proofErr w:type="spellStart"/>
      <w:r w:rsidR="00310F32">
        <w:rPr>
          <w:i/>
          <w:szCs w:val="20"/>
          <w:lang w:val="es-CR"/>
        </w:rPr>
        <w:t>Súmula</w:t>
      </w:r>
      <w:proofErr w:type="spellEnd"/>
      <w:r w:rsidR="00310F32">
        <w:rPr>
          <w:i/>
          <w:szCs w:val="20"/>
          <w:lang w:val="es-CR"/>
        </w:rPr>
        <w:t xml:space="preserve"> Vinculante </w:t>
      </w:r>
      <w:r w:rsidR="00310F32">
        <w:rPr>
          <w:szCs w:val="20"/>
          <w:lang w:val="es-CR"/>
        </w:rPr>
        <w:t>No. 56 y de los criterios estableci</w:t>
      </w:r>
      <w:r w:rsidR="00600918">
        <w:rPr>
          <w:szCs w:val="20"/>
          <w:lang w:val="es-CR"/>
        </w:rPr>
        <w:t>d</w:t>
      </w:r>
      <w:r w:rsidR="00310F32">
        <w:rPr>
          <w:szCs w:val="20"/>
          <w:lang w:val="es-CR"/>
        </w:rPr>
        <w:t>os en la presente resolución (</w:t>
      </w:r>
      <w:r w:rsidR="00310F32">
        <w:rPr>
          <w:i/>
          <w:szCs w:val="20"/>
          <w:lang w:val="es-CR"/>
        </w:rPr>
        <w:t xml:space="preserve">supra </w:t>
      </w:r>
      <w:r w:rsidR="00310F32">
        <w:rPr>
          <w:szCs w:val="20"/>
          <w:lang w:val="es-CR"/>
        </w:rPr>
        <w:t>Considerandos 115 a 130)</w:t>
      </w:r>
    </w:p>
    <w:p w14:paraId="77956EB3" w14:textId="77FE9587" w:rsidR="00310F32" w:rsidRDefault="00310F32" w:rsidP="008A344F">
      <w:pPr>
        <w:pStyle w:val="ListParagraph"/>
        <w:numPr>
          <w:ilvl w:val="1"/>
          <w:numId w:val="20"/>
        </w:numPr>
        <w:snapToGrid w:val="0"/>
        <w:contextualSpacing w:val="0"/>
        <w:rPr>
          <w:szCs w:val="20"/>
          <w:lang w:val="es-CR"/>
        </w:rPr>
      </w:pPr>
      <w:r>
        <w:rPr>
          <w:szCs w:val="20"/>
          <w:lang w:val="es-CR"/>
        </w:rPr>
        <w:t>la ampliación del uso de monitor</w:t>
      </w:r>
      <w:r w:rsidR="00600918">
        <w:rPr>
          <w:szCs w:val="20"/>
          <w:lang w:val="es-CR"/>
        </w:rPr>
        <w:t xml:space="preserve">eo </w:t>
      </w:r>
      <w:r>
        <w:rPr>
          <w:szCs w:val="20"/>
          <w:lang w:val="es-CR"/>
        </w:rPr>
        <w:t>electrónico (</w:t>
      </w:r>
      <w:r>
        <w:rPr>
          <w:i/>
          <w:szCs w:val="20"/>
          <w:lang w:val="es-CR"/>
        </w:rPr>
        <w:t xml:space="preserve">supra </w:t>
      </w:r>
      <w:r>
        <w:rPr>
          <w:szCs w:val="20"/>
          <w:lang w:val="es-CR"/>
        </w:rPr>
        <w:t>Considerando 20)</w:t>
      </w:r>
    </w:p>
    <w:p w14:paraId="54860EA3" w14:textId="6971FCDB" w:rsidR="00310F32" w:rsidRDefault="00310F32" w:rsidP="008A344F">
      <w:pPr>
        <w:pStyle w:val="ListParagraph"/>
        <w:numPr>
          <w:ilvl w:val="1"/>
          <w:numId w:val="20"/>
        </w:numPr>
        <w:snapToGrid w:val="0"/>
        <w:contextualSpacing w:val="0"/>
        <w:rPr>
          <w:szCs w:val="20"/>
          <w:lang w:val="es-CR"/>
        </w:rPr>
      </w:pPr>
      <w:r>
        <w:rPr>
          <w:szCs w:val="20"/>
          <w:lang w:val="es-CR"/>
        </w:rPr>
        <w:t>l</w:t>
      </w:r>
      <w:r w:rsidR="009E7BBE" w:rsidRPr="002B4E6D">
        <w:rPr>
          <w:szCs w:val="20"/>
          <w:lang w:val="es-CR"/>
        </w:rPr>
        <w:t>a capacidad máxima de internos debe ser determinada atendiendo a los indicadores concretos establecidos en el artículo 85 de la resolución N</w:t>
      </w:r>
      <w:r>
        <w:rPr>
          <w:szCs w:val="20"/>
          <w:lang w:val="es-CR"/>
        </w:rPr>
        <w:t>o.</w:t>
      </w:r>
      <w:r>
        <w:rPr>
          <w:sz w:val="13"/>
          <w:szCs w:val="13"/>
          <w:lang w:val="es-CR"/>
        </w:rPr>
        <w:t xml:space="preserve"> </w:t>
      </w:r>
      <w:r w:rsidR="009E7BBE" w:rsidRPr="002B4E6D">
        <w:rPr>
          <w:sz w:val="13"/>
          <w:szCs w:val="13"/>
          <w:lang w:val="es-CR"/>
        </w:rPr>
        <w:t xml:space="preserve"> </w:t>
      </w:r>
      <w:r w:rsidR="009E7BBE" w:rsidRPr="002B4E6D">
        <w:rPr>
          <w:szCs w:val="20"/>
          <w:lang w:val="es-CR"/>
        </w:rPr>
        <w:t>09/2011 del Consejo Nacional de Política Criminal y Penitenciaria (CNPCP)</w:t>
      </w:r>
      <w:r w:rsidR="009E7BBE" w:rsidRPr="002B4E6D">
        <w:rPr>
          <w:rStyle w:val="FootnoteReference"/>
          <w:lang w:val="es-CR"/>
        </w:rPr>
        <w:footnoteReference w:id="42"/>
      </w:r>
    </w:p>
    <w:p w14:paraId="1F8A83C7" w14:textId="54FE44F5" w:rsidR="00310F32" w:rsidRDefault="00310F32" w:rsidP="008A344F">
      <w:pPr>
        <w:pStyle w:val="ListParagraph"/>
        <w:numPr>
          <w:ilvl w:val="1"/>
          <w:numId w:val="20"/>
        </w:numPr>
        <w:snapToGrid w:val="0"/>
        <w:contextualSpacing w:val="0"/>
        <w:rPr>
          <w:szCs w:val="20"/>
          <w:lang w:val="es-CR"/>
        </w:rPr>
      </w:pPr>
      <w:r>
        <w:rPr>
          <w:szCs w:val="20"/>
          <w:lang w:val="es-CR"/>
        </w:rPr>
        <w:t xml:space="preserve">la implementación de las recomendaciones incluidas en el Reporte Técnico del Cuerpo de Bomberos de octubre de 2016, entre otros, </w:t>
      </w:r>
      <w:r w:rsidRPr="00310F32">
        <w:rPr>
          <w:szCs w:val="20"/>
          <w:lang w:val="es-CR"/>
        </w:rPr>
        <w:t>sistema de iluminación de emergencia, sistema de detección de incendio o sistema de alarma o avisadores</w:t>
      </w:r>
      <w:r>
        <w:rPr>
          <w:szCs w:val="20"/>
          <w:lang w:val="es-CR"/>
        </w:rPr>
        <w:t>;</w:t>
      </w:r>
      <w:r w:rsidRPr="008A344F">
        <w:rPr>
          <w:b/>
          <w:szCs w:val="20"/>
          <w:lang w:val="es-CR"/>
        </w:rPr>
        <w:t xml:space="preserve"> </w:t>
      </w:r>
      <w:r w:rsidRPr="008A344F">
        <w:rPr>
          <w:szCs w:val="20"/>
          <w:lang w:val="es-CR"/>
        </w:rPr>
        <w:t>elaboración</w:t>
      </w:r>
      <w:r>
        <w:rPr>
          <w:b/>
          <w:szCs w:val="20"/>
          <w:lang w:val="es-CR"/>
        </w:rPr>
        <w:t xml:space="preserve"> </w:t>
      </w:r>
      <w:r w:rsidRPr="00310F32">
        <w:rPr>
          <w:szCs w:val="20"/>
          <w:lang w:val="es-CR"/>
        </w:rPr>
        <w:t xml:space="preserve">de un manual de seguridad </w:t>
      </w:r>
      <w:r>
        <w:rPr>
          <w:szCs w:val="20"/>
          <w:lang w:val="es-CR"/>
        </w:rPr>
        <w:t xml:space="preserve">con </w:t>
      </w:r>
      <w:r w:rsidRPr="00310F32">
        <w:rPr>
          <w:szCs w:val="20"/>
          <w:lang w:val="es-CR"/>
        </w:rPr>
        <w:t>mantenimientos preventivos y correctivos</w:t>
      </w:r>
      <w:r>
        <w:rPr>
          <w:szCs w:val="20"/>
          <w:lang w:val="es-CR"/>
        </w:rPr>
        <w:t xml:space="preserve">, y </w:t>
      </w:r>
      <w:r w:rsidRPr="00310F32">
        <w:rPr>
          <w:szCs w:val="20"/>
          <w:lang w:val="es-CR"/>
        </w:rPr>
        <w:t>plan de escape</w:t>
      </w:r>
      <w:r w:rsidR="009A2EEA">
        <w:rPr>
          <w:szCs w:val="20"/>
          <w:lang w:val="es-CR"/>
        </w:rPr>
        <w:t xml:space="preserve">; </w:t>
      </w:r>
      <w:r w:rsidR="009A2EEA" w:rsidRPr="008A344F">
        <w:rPr>
          <w:szCs w:val="20"/>
          <w:lang w:val="es-CR"/>
        </w:rPr>
        <w:t>reforma de</w:t>
      </w:r>
      <w:r w:rsidR="009A2EEA">
        <w:rPr>
          <w:b/>
          <w:szCs w:val="20"/>
          <w:lang w:val="es-CR"/>
        </w:rPr>
        <w:t xml:space="preserve"> </w:t>
      </w:r>
      <w:r w:rsidRPr="009A2EEA">
        <w:rPr>
          <w:szCs w:val="20"/>
          <w:lang w:val="es-CR"/>
        </w:rPr>
        <w:t xml:space="preserve">las mangueras </w:t>
      </w:r>
      <w:r w:rsidR="009A2EEA">
        <w:rPr>
          <w:szCs w:val="20"/>
          <w:lang w:val="es-CR"/>
        </w:rPr>
        <w:t>e</w:t>
      </w:r>
      <w:r w:rsidRPr="009A2EEA">
        <w:rPr>
          <w:szCs w:val="20"/>
          <w:lang w:val="es-CR"/>
        </w:rPr>
        <w:t xml:space="preserve"> hidrantes</w:t>
      </w:r>
      <w:r w:rsidR="009A2EEA">
        <w:rPr>
          <w:szCs w:val="20"/>
          <w:lang w:val="es-CR"/>
        </w:rPr>
        <w:t xml:space="preserve">; </w:t>
      </w:r>
      <w:r w:rsidRPr="009A2EEA">
        <w:rPr>
          <w:szCs w:val="20"/>
          <w:lang w:val="es-CR"/>
        </w:rPr>
        <w:t xml:space="preserve">puertas </w:t>
      </w:r>
      <w:r w:rsidR="009A2EEA">
        <w:rPr>
          <w:szCs w:val="20"/>
          <w:lang w:val="es-CR"/>
        </w:rPr>
        <w:t xml:space="preserve">con </w:t>
      </w:r>
      <w:r w:rsidRPr="009A2EEA">
        <w:rPr>
          <w:szCs w:val="20"/>
          <w:lang w:val="es-CR"/>
        </w:rPr>
        <w:t>herrajes anti pánico</w:t>
      </w:r>
      <w:r w:rsidR="009A2EEA">
        <w:rPr>
          <w:szCs w:val="20"/>
          <w:lang w:val="es-CR"/>
        </w:rPr>
        <w:t xml:space="preserve">; y entrenamiento de </w:t>
      </w:r>
      <w:r w:rsidRPr="009A2EEA">
        <w:rPr>
          <w:szCs w:val="20"/>
          <w:lang w:val="es-CR"/>
        </w:rPr>
        <w:t>los funcionarios para situaci</w:t>
      </w:r>
      <w:r w:rsidR="009A2EEA">
        <w:rPr>
          <w:szCs w:val="20"/>
          <w:lang w:val="es-CR"/>
        </w:rPr>
        <w:t xml:space="preserve">ones </w:t>
      </w:r>
      <w:r w:rsidRPr="009A2EEA">
        <w:rPr>
          <w:szCs w:val="20"/>
          <w:lang w:val="es-CR"/>
        </w:rPr>
        <w:t>de emergencia</w:t>
      </w:r>
      <w:r w:rsidR="009A2EEA">
        <w:rPr>
          <w:szCs w:val="20"/>
          <w:lang w:val="es-CR"/>
        </w:rPr>
        <w:t xml:space="preserve"> (</w:t>
      </w:r>
      <w:r w:rsidR="009A2EEA">
        <w:rPr>
          <w:i/>
          <w:szCs w:val="20"/>
          <w:lang w:val="es-CR"/>
        </w:rPr>
        <w:t xml:space="preserve">supra </w:t>
      </w:r>
      <w:r w:rsidR="009A2EEA">
        <w:rPr>
          <w:szCs w:val="20"/>
          <w:lang w:val="es-CR"/>
        </w:rPr>
        <w:t>Considerando 50</w:t>
      </w:r>
      <w:r w:rsidR="001C0EDA">
        <w:rPr>
          <w:szCs w:val="20"/>
          <w:lang w:val="es-CR"/>
        </w:rPr>
        <w:t xml:space="preserve"> y 66</w:t>
      </w:r>
      <w:r w:rsidR="009A2EEA">
        <w:rPr>
          <w:szCs w:val="20"/>
          <w:lang w:val="es-CR"/>
        </w:rPr>
        <w:t>)</w:t>
      </w:r>
    </w:p>
    <w:p w14:paraId="41E6743D" w14:textId="3BB1CF17" w:rsidR="00600918" w:rsidRDefault="00600918" w:rsidP="008A344F">
      <w:pPr>
        <w:pStyle w:val="ListParagraph"/>
        <w:numPr>
          <w:ilvl w:val="1"/>
          <w:numId w:val="20"/>
        </w:numPr>
        <w:snapToGrid w:val="0"/>
        <w:contextualSpacing w:val="0"/>
        <w:rPr>
          <w:szCs w:val="20"/>
          <w:lang w:val="es-CR"/>
        </w:rPr>
      </w:pPr>
      <w:r>
        <w:rPr>
          <w:szCs w:val="20"/>
          <w:lang w:val="es-CR"/>
        </w:rPr>
        <w:t>la previsión de un número de agentes penitenciarios ajustado a</w:t>
      </w:r>
      <w:r w:rsidR="00B029FC">
        <w:rPr>
          <w:szCs w:val="20"/>
          <w:lang w:val="es-CR"/>
        </w:rPr>
        <w:t xml:space="preserve"> </w:t>
      </w:r>
      <w:r>
        <w:rPr>
          <w:szCs w:val="20"/>
          <w:lang w:val="es-CR"/>
        </w:rPr>
        <w:t>l</w:t>
      </w:r>
      <w:r w:rsidR="00B029FC">
        <w:rPr>
          <w:szCs w:val="20"/>
          <w:lang w:val="es-CR"/>
        </w:rPr>
        <w:t>as</w:t>
      </w:r>
      <w:r>
        <w:rPr>
          <w:szCs w:val="20"/>
          <w:lang w:val="es-CR"/>
        </w:rPr>
        <w:t xml:space="preserve"> personas privadas de libertad en el IPPSC</w:t>
      </w:r>
      <w:r w:rsidR="001C0EDA">
        <w:rPr>
          <w:szCs w:val="20"/>
          <w:lang w:val="es-CR"/>
        </w:rPr>
        <w:t xml:space="preserve"> (ver Considerando 52)</w:t>
      </w:r>
      <w:r>
        <w:rPr>
          <w:szCs w:val="20"/>
          <w:lang w:val="es-CR"/>
        </w:rPr>
        <w:t xml:space="preserve">, tanto en los días actuales como durante la implementación del </w:t>
      </w:r>
      <w:r w:rsidR="001C0EDA">
        <w:rPr>
          <w:szCs w:val="20"/>
          <w:lang w:val="es-CR"/>
        </w:rPr>
        <w:t>plan de reducción de internos</w:t>
      </w:r>
    </w:p>
    <w:p w14:paraId="0F6B588B" w14:textId="774876C0" w:rsidR="001C0EDA" w:rsidRDefault="001C0EDA" w:rsidP="008A344F">
      <w:pPr>
        <w:pStyle w:val="ListParagraph"/>
        <w:numPr>
          <w:ilvl w:val="1"/>
          <w:numId w:val="20"/>
        </w:numPr>
        <w:snapToGrid w:val="0"/>
        <w:contextualSpacing w:val="0"/>
        <w:rPr>
          <w:szCs w:val="20"/>
          <w:lang w:val="es-CR"/>
        </w:rPr>
      </w:pPr>
      <w:r w:rsidRPr="00B06C31">
        <w:rPr>
          <w:szCs w:val="20"/>
          <w:lang w:val="es-CR"/>
        </w:rPr>
        <w:t>medidas orientadas directamente a proteger los derechos a la vida e integridad de los beneficiarios, particularmente en relación a las deficientes condiciones de acceso a la salud, así como a las condiciones de</w:t>
      </w:r>
      <w:r>
        <w:rPr>
          <w:szCs w:val="20"/>
          <w:lang w:val="es-CR"/>
        </w:rPr>
        <w:t xml:space="preserve"> seguridad y controles internos</w:t>
      </w:r>
    </w:p>
    <w:p w14:paraId="696AA3BE" w14:textId="1B532D2A" w:rsidR="009E7BBE" w:rsidRPr="002B4E6D" w:rsidRDefault="009E7BBE" w:rsidP="008A344F">
      <w:pPr>
        <w:pStyle w:val="ListParagraph"/>
        <w:numPr>
          <w:ilvl w:val="1"/>
          <w:numId w:val="20"/>
        </w:numPr>
        <w:snapToGrid w:val="0"/>
        <w:contextualSpacing w:val="0"/>
        <w:rPr>
          <w:szCs w:val="20"/>
          <w:lang w:val="es-CR"/>
        </w:rPr>
      </w:pPr>
      <w:r w:rsidRPr="002B4E6D">
        <w:rPr>
          <w:szCs w:val="20"/>
          <w:lang w:val="es-CR"/>
        </w:rPr>
        <w:t>el Plan debe ser implementado en carácter prioritario</w:t>
      </w:r>
      <w:r w:rsidR="001C0EDA">
        <w:rPr>
          <w:szCs w:val="20"/>
          <w:lang w:val="es-CR"/>
        </w:rPr>
        <w:t xml:space="preserve">, sin que el Estado pueda </w:t>
      </w:r>
      <w:r w:rsidRPr="002B4E6D">
        <w:rPr>
          <w:szCs w:val="20"/>
          <w:lang w:val="es-CR"/>
        </w:rPr>
        <w:t xml:space="preserve">alegar dificultades financieras para justificar el incumplimiento de sus obligaciones internacionales. </w:t>
      </w:r>
    </w:p>
    <w:p w14:paraId="3B18A417" w14:textId="77777777" w:rsidR="009E7BBE" w:rsidRPr="002B4E6D" w:rsidRDefault="009E7BBE" w:rsidP="009E7BBE">
      <w:pPr>
        <w:pStyle w:val="ListParagraph"/>
        <w:rPr>
          <w:szCs w:val="20"/>
          <w:lang w:val="es-CR"/>
        </w:rPr>
      </w:pPr>
    </w:p>
    <w:p w14:paraId="66CA9376" w14:textId="26D751FB" w:rsidR="001C0EDA" w:rsidRPr="001C0EDA" w:rsidRDefault="009E7BBE" w:rsidP="001C0EDA">
      <w:pPr>
        <w:pStyle w:val="ListParagraph"/>
        <w:numPr>
          <w:ilvl w:val="0"/>
          <w:numId w:val="20"/>
        </w:numPr>
        <w:snapToGrid w:val="0"/>
        <w:ind w:left="0" w:firstLine="0"/>
        <w:contextualSpacing w:val="0"/>
        <w:rPr>
          <w:szCs w:val="20"/>
          <w:lang w:val="es-CR"/>
        </w:rPr>
      </w:pPr>
      <w:r w:rsidRPr="002B4E6D">
        <w:rPr>
          <w:szCs w:val="20"/>
          <w:lang w:val="es-CR"/>
        </w:rPr>
        <w:t>Finalmente, la Corte resalta el deber del Estado de cooperar y ofrecer la informaci</w:t>
      </w:r>
      <w:r>
        <w:rPr>
          <w:szCs w:val="20"/>
          <w:lang w:val="es-CR"/>
        </w:rPr>
        <w:t>ó</w:t>
      </w:r>
      <w:r w:rsidRPr="002B4E6D">
        <w:rPr>
          <w:szCs w:val="20"/>
          <w:lang w:val="es-CR"/>
        </w:rPr>
        <w:t xml:space="preserve">n </w:t>
      </w:r>
      <w:r>
        <w:rPr>
          <w:szCs w:val="20"/>
          <w:lang w:val="es-CR"/>
        </w:rPr>
        <w:t>solicitada</w:t>
      </w:r>
      <w:r w:rsidRPr="002B4E6D">
        <w:rPr>
          <w:szCs w:val="20"/>
          <w:lang w:val="es-CR"/>
        </w:rPr>
        <w:t xml:space="preserve"> por el Tribunal. En ese sentido, la Corte destaca que los informes presentados por el Estado entre enero y mayo de 2018, </w:t>
      </w:r>
      <w:r>
        <w:rPr>
          <w:szCs w:val="20"/>
          <w:lang w:val="es-CR"/>
        </w:rPr>
        <w:t>a</w:t>
      </w:r>
      <w:r w:rsidRPr="002B4E6D">
        <w:rPr>
          <w:szCs w:val="20"/>
          <w:lang w:val="es-CR"/>
        </w:rPr>
        <w:t xml:space="preserve"> excepción del Diagnóstico Técnico, incluyen una amplia gama de </w:t>
      </w:r>
      <w:r>
        <w:rPr>
          <w:szCs w:val="20"/>
          <w:lang w:val="es-CR"/>
        </w:rPr>
        <w:t xml:space="preserve">datos que no guardan relación con </w:t>
      </w:r>
      <w:r w:rsidRPr="002B4E6D">
        <w:rPr>
          <w:szCs w:val="20"/>
          <w:lang w:val="es-CR"/>
        </w:rPr>
        <w:t>el caso concreto en análisis</w:t>
      </w:r>
      <w:r>
        <w:rPr>
          <w:szCs w:val="20"/>
          <w:lang w:val="es-CR"/>
        </w:rPr>
        <w:t xml:space="preserve">, por </w:t>
      </w:r>
      <w:r w:rsidRPr="002B4E6D">
        <w:rPr>
          <w:szCs w:val="20"/>
          <w:lang w:val="es-CR"/>
        </w:rPr>
        <w:t xml:space="preserve">ejemplo </w:t>
      </w:r>
      <w:r>
        <w:rPr>
          <w:szCs w:val="20"/>
          <w:lang w:val="es-CR"/>
        </w:rPr>
        <w:t xml:space="preserve">algunos </w:t>
      </w:r>
      <w:r w:rsidRPr="002B4E6D">
        <w:rPr>
          <w:szCs w:val="20"/>
          <w:lang w:val="es-CR"/>
        </w:rPr>
        <w:t xml:space="preserve">relativos a proyectos que buscan la protección de mujeres embarazadas privadas de libertad, </w:t>
      </w:r>
      <w:r>
        <w:rPr>
          <w:szCs w:val="20"/>
          <w:lang w:val="es-CR"/>
        </w:rPr>
        <w:t xml:space="preserve">a pesar de que </w:t>
      </w:r>
      <w:r w:rsidRPr="002B4E6D">
        <w:rPr>
          <w:szCs w:val="20"/>
          <w:lang w:val="es-CR"/>
        </w:rPr>
        <w:t xml:space="preserve">el IPPSC </w:t>
      </w:r>
      <w:r>
        <w:rPr>
          <w:szCs w:val="20"/>
          <w:lang w:val="es-CR"/>
        </w:rPr>
        <w:t xml:space="preserve">es </w:t>
      </w:r>
      <w:r w:rsidRPr="002B4E6D">
        <w:rPr>
          <w:szCs w:val="20"/>
          <w:lang w:val="es-CR"/>
        </w:rPr>
        <w:t xml:space="preserve">un centro de detención masculino en régimen </w:t>
      </w:r>
      <w:proofErr w:type="spellStart"/>
      <w:r w:rsidRPr="002B4E6D">
        <w:rPr>
          <w:szCs w:val="20"/>
          <w:lang w:val="es-CR"/>
        </w:rPr>
        <w:t>semiabierto</w:t>
      </w:r>
      <w:proofErr w:type="spellEnd"/>
      <w:r w:rsidRPr="002B4E6D">
        <w:rPr>
          <w:szCs w:val="20"/>
          <w:lang w:val="es-CR"/>
        </w:rPr>
        <w:t>. En ese sentido, reitera que el Estado posee la obligación de cooperar y ofrecer la informaci</w:t>
      </w:r>
      <w:r>
        <w:rPr>
          <w:szCs w:val="20"/>
          <w:lang w:val="es-CR"/>
        </w:rPr>
        <w:t>ón</w:t>
      </w:r>
      <w:r w:rsidRPr="002B4E6D">
        <w:rPr>
          <w:szCs w:val="20"/>
          <w:lang w:val="es-CR"/>
        </w:rPr>
        <w:t xml:space="preserve"> </w:t>
      </w:r>
      <w:r>
        <w:rPr>
          <w:szCs w:val="20"/>
          <w:lang w:val="es-CR"/>
        </w:rPr>
        <w:t>solicitada</w:t>
      </w:r>
      <w:r w:rsidRPr="002B4E6D">
        <w:rPr>
          <w:szCs w:val="20"/>
          <w:lang w:val="es-CR"/>
        </w:rPr>
        <w:t xml:space="preserve"> por la Corte, </w:t>
      </w:r>
      <w:r>
        <w:rPr>
          <w:szCs w:val="20"/>
          <w:lang w:val="es-CR"/>
        </w:rPr>
        <w:t>información</w:t>
      </w:r>
      <w:r w:rsidRPr="002B4E6D">
        <w:rPr>
          <w:szCs w:val="20"/>
          <w:lang w:val="es-CR"/>
        </w:rPr>
        <w:t xml:space="preserve"> que deben ser apta </w:t>
      </w:r>
      <w:r>
        <w:rPr>
          <w:szCs w:val="20"/>
          <w:lang w:val="es-CR"/>
        </w:rPr>
        <w:t>para</w:t>
      </w:r>
      <w:r w:rsidRPr="002B4E6D">
        <w:rPr>
          <w:szCs w:val="20"/>
          <w:lang w:val="es-CR"/>
        </w:rPr>
        <w:t xml:space="preserve"> permitir que la Corte analice el progreso real de la situación específica del IPPSC, desde el establecimiento de las medidas provisionales hasta el presente momento.</w:t>
      </w:r>
      <w:r w:rsidR="001C0EDA">
        <w:rPr>
          <w:szCs w:val="20"/>
          <w:lang w:val="es-CR"/>
        </w:rPr>
        <w:t xml:space="preserve"> En particular, la Corte reitera que el Estado debe </w:t>
      </w:r>
      <w:r w:rsidR="001C0EDA" w:rsidRPr="001C0EDA">
        <w:rPr>
          <w:szCs w:val="20"/>
          <w:lang w:val="es-CR"/>
        </w:rPr>
        <w:t>conclu</w:t>
      </w:r>
      <w:r w:rsidR="001C0EDA">
        <w:rPr>
          <w:szCs w:val="20"/>
          <w:lang w:val="es-CR"/>
        </w:rPr>
        <w:t>ir</w:t>
      </w:r>
      <w:r w:rsidR="001C0EDA" w:rsidRPr="001C0EDA">
        <w:rPr>
          <w:szCs w:val="20"/>
          <w:lang w:val="es-CR"/>
        </w:rPr>
        <w:t xml:space="preserve">, con urgencia: i) la confección de la planilla que busca compilar los dados referentes a los decesos ocurridos dentro del IPPSC; y ii) la realización del estudio </w:t>
      </w:r>
      <w:r w:rsidR="001C0EDA" w:rsidRPr="00045715">
        <w:rPr>
          <w:i/>
          <w:szCs w:val="20"/>
          <w:lang w:val="es-CR"/>
        </w:rPr>
        <w:t>causa mortis</w:t>
      </w:r>
      <w:r w:rsidR="001C0EDA" w:rsidRPr="00C35CA0">
        <w:rPr>
          <w:szCs w:val="20"/>
          <w:lang w:val="es-CR"/>
        </w:rPr>
        <w:t xml:space="preserve"> dentro del sistema carcelario. También ordena al Estado, sin mayores demoras, </w:t>
      </w:r>
      <w:r w:rsidR="001C0EDA">
        <w:rPr>
          <w:szCs w:val="20"/>
          <w:lang w:val="es-CR"/>
        </w:rPr>
        <w:t>iii</w:t>
      </w:r>
      <w:r w:rsidR="001C0EDA" w:rsidRPr="001C0EDA">
        <w:rPr>
          <w:szCs w:val="20"/>
          <w:lang w:val="es-CR"/>
        </w:rPr>
        <w:t xml:space="preserve">) la realización de investigaciones más céleres; </w:t>
      </w:r>
      <w:r w:rsidR="001C0EDA">
        <w:rPr>
          <w:szCs w:val="20"/>
          <w:lang w:val="es-CR"/>
        </w:rPr>
        <w:t>iv</w:t>
      </w:r>
      <w:r w:rsidR="001C0EDA" w:rsidRPr="001C0EDA">
        <w:rPr>
          <w:szCs w:val="20"/>
          <w:lang w:val="es-CR"/>
        </w:rPr>
        <w:t xml:space="preserve">) la clasificación coherente de la cantidad de muertes en el interior del IPSS; y </w:t>
      </w:r>
      <w:r w:rsidR="001C0EDA">
        <w:rPr>
          <w:szCs w:val="20"/>
          <w:lang w:val="es-CR"/>
        </w:rPr>
        <w:t>v</w:t>
      </w:r>
      <w:r w:rsidR="001C0EDA" w:rsidRPr="001C0EDA">
        <w:rPr>
          <w:szCs w:val="20"/>
          <w:lang w:val="es-CR"/>
        </w:rPr>
        <w:t>) el suministro de información a los familiares sobre las razones de la muerte de su ser querido</w:t>
      </w:r>
      <w:r w:rsidR="001C0EDA">
        <w:rPr>
          <w:szCs w:val="20"/>
          <w:lang w:val="es-CR"/>
        </w:rPr>
        <w:t xml:space="preserve"> (</w:t>
      </w:r>
      <w:r w:rsidR="001C0EDA">
        <w:rPr>
          <w:i/>
          <w:szCs w:val="20"/>
          <w:lang w:val="es-CR"/>
        </w:rPr>
        <w:t xml:space="preserve">supra </w:t>
      </w:r>
      <w:r w:rsidR="001C0EDA">
        <w:rPr>
          <w:szCs w:val="20"/>
          <w:lang w:val="es-CR"/>
        </w:rPr>
        <w:t>Considerando 62).</w:t>
      </w:r>
    </w:p>
    <w:p w14:paraId="0488139A" w14:textId="77777777" w:rsidR="001C0EDA" w:rsidRPr="00B06C31" w:rsidRDefault="001C0EDA" w:rsidP="001C0EDA">
      <w:pPr>
        <w:pStyle w:val="ListParagraph"/>
        <w:ind w:left="0"/>
        <w:rPr>
          <w:szCs w:val="20"/>
          <w:lang w:val="es-CR"/>
        </w:rPr>
      </w:pPr>
    </w:p>
    <w:p w14:paraId="78418A40" w14:textId="79395247" w:rsidR="001C0EDA" w:rsidRPr="002B4E6D" w:rsidRDefault="001C0EDA" w:rsidP="001C0EDA">
      <w:pPr>
        <w:pStyle w:val="ListParagraph"/>
        <w:numPr>
          <w:ilvl w:val="0"/>
          <w:numId w:val="20"/>
        </w:numPr>
        <w:snapToGrid w:val="0"/>
        <w:ind w:left="0" w:firstLine="0"/>
        <w:contextualSpacing w:val="0"/>
        <w:rPr>
          <w:szCs w:val="20"/>
          <w:lang w:val="es-CR"/>
        </w:rPr>
      </w:pPr>
      <w:r>
        <w:rPr>
          <w:szCs w:val="20"/>
          <w:lang w:val="es-CR"/>
        </w:rPr>
        <w:lastRenderedPageBreak/>
        <w:t xml:space="preserve">En lo que se refiere a las muertes ocurridas en el IPPSC, </w:t>
      </w:r>
      <w:r w:rsidRPr="00B06C31">
        <w:rPr>
          <w:szCs w:val="20"/>
          <w:lang w:val="es-CR"/>
        </w:rPr>
        <w:t xml:space="preserve">el Estado debe </w:t>
      </w:r>
      <w:r>
        <w:rPr>
          <w:szCs w:val="20"/>
          <w:lang w:val="es-CR"/>
        </w:rPr>
        <w:t>informar</w:t>
      </w:r>
      <w:r w:rsidRPr="00B06C31">
        <w:rPr>
          <w:szCs w:val="20"/>
          <w:lang w:val="es-CR"/>
        </w:rPr>
        <w:t>, de manera detallada y precisa, sobre las acciones concretas emprendidas para prevenir más decesos de personas beneficiarias</w:t>
      </w:r>
      <w:r>
        <w:rPr>
          <w:szCs w:val="20"/>
          <w:lang w:val="es-CR"/>
        </w:rPr>
        <w:t xml:space="preserve"> (</w:t>
      </w:r>
      <w:r>
        <w:rPr>
          <w:i/>
          <w:szCs w:val="20"/>
          <w:lang w:val="es-CR"/>
        </w:rPr>
        <w:t xml:space="preserve">supra </w:t>
      </w:r>
      <w:r>
        <w:rPr>
          <w:szCs w:val="20"/>
          <w:lang w:val="es-CR"/>
        </w:rPr>
        <w:t>Considerando 63)</w:t>
      </w:r>
      <w:r w:rsidRPr="00B06C31">
        <w:rPr>
          <w:szCs w:val="20"/>
          <w:lang w:val="es-CR"/>
        </w:rPr>
        <w:t xml:space="preserve">. </w:t>
      </w:r>
    </w:p>
    <w:p w14:paraId="4C73E7A8" w14:textId="77777777" w:rsidR="00AB2DC4" w:rsidRPr="002B4E6D" w:rsidRDefault="00AB2DC4" w:rsidP="00AB2DC4">
      <w:pPr>
        <w:pStyle w:val="ListParagraph"/>
        <w:rPr>
          <w:szCs w:val="20"/>
          <w:lang w:val="es-CR"/>
        </w:rPr>
      </w:pPr>
    </w:p>
    <w:p w14:paraId="4F5E9D1D" w14:textId="114E2C5B" w:rsidR="00AB2DC4" w:rsidRPr="002B4E6D" w:rsidRDefault="00AB2DC4" w:rsidP="00AB2DC4">
      <w:pPr>
        <w:pStyle w:val="ListParagraph"/>
        <w:numPr>
          <w:ilvl w:val="0"/>
          <w:numId w:val="20"/>
        </w:numPr>
        <w:snapToGrid w:val="0"/>
        <w:ind w:left="0" w:firstLine="0"/>
        <w:contextualSpacing w:val="0"/>
        <w:rPr>
          <w:szCs w:val="20"/>
          <w:lang w:val="es-CR"/>
        </w:rPr>
      </w:pPr>
      <w:r w:rsidRPr="002B4E6D">
        <w:rPr>
          <w:szCs w:val="20"/>
          <w:lang w:val="es-CR"/>
        </w:rPr>
        <w:t xml:space="preserve">Finalmente, </w:t>
      </w:r>
      <w:r w:rsidR="000B2356" w:rsidRPr="002B4E6D">
        <w:rPr>
          <w:szCs w:val="20"/>
          <w:lang w:val="es-CR"/>
        </w:rPr>
        <w:t>el</w:t>
      </w:r>
      <w:r w:rsidRPr="002B4E6D">
        <w:rPr>
          <w:szCs w:val="20"/>
          <w:lang w:val="es-CR"/>
        </w:rPr>
        <w:t xml:space="preserve"> Tribunal reitera que </w:t>
      </w:r>
      <w:r w:rsidR="000B2356" w:rsidRPr="002B4E6D">
        <w:rPr>
          <w:szCs w:val="20"/>
          <w:lang w:val="es-CR"/>
        </w:rPr>
        <w:t>el</w:t>
      </w:r>
      <w:r w:rsidRPr="002B4E6D">
        <w:rPr>
          <w:szCs w:val="20"/>
          <w:lang w:val="es-CR"/>
        </w:rPr>
        <w:t xml:space="preserve"> Estado </w:t>
      </w:r>
      <w:r w:rsidR="00474D33" w:rsidRPr="002B4E6D">
        <w:rPr>
          <w:szCs w:val="20"/>
          <w:lang w:val="es-CR"/>
        </w:rPr>
        <w:t>brasileño</w:t>
      </w:r>
      <w:r w:rsidRPr="002B4E6D">
        <w:rPr>
          <w:szCs w:val="20"/>
          <w:lang w:val="es-CR"/>
        </w:rPr>
        <w:t xml:space="preserve"> </w:t>
      </w:r>
      <w:r w:rsidR="000B2356" w:rsidRPr="002B4E6D">
        <w:rPr>
          <w:szCs w:val="20"/>
          <w:lang w:val="es-CR"/>
        </w:rPr>
        <w:t>tiene</w:t>
      </w:r>
      <w:r w:rsidRPr="002B4E6D">
        <w:rPr>
          <w:szCs w:val="20"/>
          <w:lang w:val="es-CR"/>
        </w:rPr>
        <w:t xml:space="preserve"> </w:t>
      </w:r>
      <w:r w:rsidR="000B2356" w:rsidRPr="002B4E6D">
        <w:rPr>
          <w:szCs w:val="20"/>
          <w:lang w:val="es-CR"/>
        </w:rPr>
        <w:t>el</w:t>
      </w:r>
      <w:r w:rsidRPr="002B4E6D">
        <w:rPr>
          <w:szCs w:val="20"/>
          <w:lang w:val="es-CR"/>
        </w:rPr>
        <w:t xml:space="preserve"> </w:t>
      </w:r>
      <w:r w:rsidR="000B2356" w:rsidRPr="002B4E6D">
        <w:rPr>
          <w:szCs w:val="20"/>
          <w:lang w:val="es-CR"/>
        </w:rPr>
        <w:t>deber</w:t>
      </w:r>
      <w:r w:rsidRPr="002B4E6D">
        <w:rPr>
          <w:szCs w:val="20"/>
          <w:lang w:val="es-CR"/>
        </w:rPr>
        <w:t xml:space="preserve"> de </w:t>
      </w:r>
      <w:r w:rsidR="000B2356" w:rsidRPr="002B4E6D">
        <w:rPr>
          <w:szCs w:val="20"/>
          <w:lang w:val="es-CR"/>
        </w:rPr>
        <w:t>cumplir</w:t>
      </w:r>
      <w:r w:rsidRPr="002B4E6D">
        <w:rPr>
          <w:szCs w:val="20"/>
          <w:lang w:val="es-CR"/>
        </w:rPr>
        <w:t xml:space="preserve"> </w:t>
      </w:r>
      <w:r w:rsidR="000B2356" w:rsidRPr="002B4E6D">
        <w:rPr>
          <w:szCs w:val="20"/>
          <w:lang w:val="es-CR"/>
        </w:rPr>
        <w:t>con</w:t>
      </w:r>
      <w:r w:rsidR="00A24396" w:rsidRPr="002B4E6D">
        <w:rPr>
          <w:szCs w:val="20"/>
          <w:lang w:val="es-CR"/>
        </w:rPr>
        <w:t xml:space="preserve"> </w:t>
      </w:r>
      <w:r w:rsidR="000B2356" w:rsidRPr="002B4E6D">
        <w:rPr>
          <w:szCs w:val="20"/>
          <w:lang w:val="es-CR"/>
        </w:rPr>
        <w:t>las</w:t>
      </w:r>
      <w:r w:rsidRPr="002B4E6D">
        <w:rPr>
          <w:szCs w:val="20"/>
          <w:lang w:val="es-CR"/>
        </w:rPr>
        <w:t xml:space="preserve"> presentes medidas </w:t>
      </w:r>
      <w:r w:rsidR="00945D4E" w:rsidRPr="002B4E6D">
        <w:rPr>
          <w:szCs w:val="20"/>
          <w:lang w:val="es-CR"/>
        </w:rPr>
        <w:t>provisionales</w:t>
      </w:r>
      <w:r w:rsidRPr="002B4E6D">
        <w:rPr>
          <w:szCs w:val="20"/>
          <w:lang w:val="es-CR"/>
        </w:rPr>
        <w:t xml:space="preserve"> de b</w:t>
      </w:r>
      <w:r w:rsidR="000B2356" w:rsidRPr="002B4E6D">
        <w:rPr>
          <w:szCs w:val="20"/>
          <w:lang w:val="es-CR"/>
        </w:rPr>
        <w:t>uena</w:t>
      </w:r>
      <w:r w:rsidR="00491719">
        <w:rPr>
          <w:szCs w:val="20"/>
          <w:lang w:val="es-CR"/>
        </w:rPr>
        <w:t xml:space="preserve"> </w:t>
      </w:r>
      <w:r w:rsidR="000B2356" w:rsidRPr="002B4E6D">
        <w:rPr>
          <w:szCs w:val="20"/>
          <w:lang w:val="es-CR"/>
        </w:rPr>
        <w:t>fe</w:t>
      </w:r>
      <w:r w:rsidRPr="002B4E6D">
        <w:rPr>
          <w:szCs w:val="20"/>
          <w:lang w:val="es-CR"/>
        </w:rPr>
        <w:t xml:space="preserve">, </w:t>
      </w:r>
      <w:r w:rsidR="000B2356" w:rsidRPr="002B4E6D">
        <w:rPr>
          <w:szCs w:val="20"/>
          <w:lang w:val="es-CR"/>
        </w:rPr>
        <w:t>l</w:t>
      </w:r>
      <w:r w:rsidRPr="002B4E6D">
        <w:rPr>
          <w:szCs w:val="20"/>
          <w:lang w:val="es-CR"/>
        </w:rPr>
        <w:t>o que inclu</w:t>
      </w:r>
      <w:r w:rsidR="000B2356" w:rsidRPr="002B4E6D">
        <w:rPr>
          <w:szCs w:val="20"/>
          <w:lang w:val="es-CR"/>
        </w:rPr>
        <w:t>ye</w:t>
      </w:r>
      <w:r w:rsidRPr="002B4E6D">
        <w:rPr>
          <w:szCs w:val="20"/>
          <w:lang w:val="es-CR"/>
        </w:rPr>
        <w:t xml:space="preserve"> </w:t>
      </w:r>
      <w:r w:rsidR="005C0402" w:rsidRPr="002B4E6D">
        <w:rPr>
          <w:szCs w:val="20"/>
          <w:lang w:val="es-CR"/>
        </w:rPr>
        <w:t>garantizar</w:t>
      </w:r>
      <w:r w:rsidRPr="002B4E6D">
        <w:rPr>
          <w:szCs w:val="20"/>
          <w:lang w:val="es-CR"/>
        </w:rPr>
        <w:t xml:space="preserve"> que </w:t>
      </w:r>
      <w:r w:rsidR="000B2356" w:rsidRPr="002B4E6D">
        <w:rPr>
          <w:szCs w:val="20"/>
          <w:lang w:val="es-CR"/>
        </w:rPr>
        <w:t>l</w:t>
      </w:r>
      <w:r w:rsidRPr="002B4E6D">
        <w:rPr>
          <w:szCs w:val="20"/>
          <w:lang w:val="es-CR"/>
        </w:rPr>
        <w:t xml:space="preserve">os defensores de </w:t>
      </w:r>
      <w:r w:rsidR="003B3A44">
        <w:rPr>
          <w:szCs w:val="20"/>
          <w:lang w:val="es-CR"/>
        </w:rPr>
        <w:t>d</w:t>
      </w:r>
      <w:r w:rsidR="00AA1A37" w:rsidRPr="002B4E6D">
        <w:rPr>
          <w:szCs w:val="20"/>
          <w:lang w:val="es-CR"/>
        </w:rPr>
        <w:t>erechos</w:t>
      </w:r>
      <w:r w:rsidRPr="002B4E6D">
        <w:rPr>
          <w:szCs w:val="20"/>
          <w:lang w:val="es-CR"/>
        </w:rPr>
        <w:t xml:space="preserve"> humanos que </w:t>
      </w:r>
      <w:r w:rsidR="000B2356" w:rsidRPr="002B4E6D">
        <w:rPr>
          <w:szCs w:val="20"/>
          <w:lang w:val="es-CR"/>
        </w:rPr>
        <w:t>representan</w:t>
      </w:r>
      <w:r w:rsidR="00A24396" w:rsidRPr="002B4E6D">
        <w:rPr>
          <w:szCs w:val="20"/>
          <w:lang w:val="es-CR"/>
        </w:rPr>
        <w:t xml:space="preserve"> </w:t>
      </w:r>
      <w:r w:rsidR="000B2356" w:rsidRPr="002B4E6D">
        <w:rPr>
          <w:szCs w:val="20"/>
          <w:lang w:val="es-CR"/>
        </w:rPr>
        <w:t>a las</w:t>
      </w:r>
      <w:r w:rsidR="00A24396" w:rsidRPr="002B4E6D">
        <w:rPr>
          <w:szCs w:val="20"/>
          <w:lang w:val="es-CR"/>
        </w:rPr>
        <w:t xml:space="preserve"> </w:t>
      </w:r>
      <w:r w:rsidR="00AA1A37" w:rsidRPr="002B4E6D">
        <w:rPr>
          <w:szCs w:val="20"/>
          <w:lang w:val="es-CR"/>
        </w:rPr>
        <w:t>personas</w:t>
      </w:r>
      <w:r w:rsidR="00A24396" w:rsidRPr="002B4E6D">
        <w:rPr>
          <w:szCs w:val="20"/>
          <w:lang w:val="es-CR"/>
        </w:rPr>
        <w:t xml:space="preserve"> </w:t>
      </w:r>
      <w:r w:rsidR="000B2356" w:rsidRPr="002B4E6D">
        <w:rPr>
          <w:szCs w:val="20"/>
          <w:lang w:val="es-CR"/>
        </w:rPr>
        <w:t>beneficiarias</w:t>
      </w:r>
      <w:r w:rsidRPr="002B4E6D">
        <w:rPr>
          <w:szCs w:val="20"/>
          <w:lang w:val="es-CR"/>
        </w:rPr>
        <w:t xml:space="preserve"> </w:t>
      </w:r>
      <w:r w:rsidR="000B2356" w:rsidRPr="002B4E6D">
        <w:rPr>
          <w:szCs w:val="20"/>
          <w:lang w:val="es-CR"/>
        </w:rPr>
        <w:t>puedan</w:t>
      </w:r>
      <w:r w:rsidRPr="002B4E6D">
        <w:rPr>
          <w:szCs w:val="20"/>
          <w:lang w:val="es-CR"/>
        </w:rPr>
        <w:t xml:space="preserve"> </w:t>
      </w:r>
      <w:r w:rsidR="000B2356" w:rsidRPr="002B4E6D">
        <w:rPr>
          <w:szCs w:val="20"/>
          <w:lang w:val="es-CR"/>
        </w:rPr>
        <w:t>desempeñar</w:t>
      </w:r>
      <w:r w:rsidR="00A24396" w:rsidRPr="002B4E6D">
        <w:rPr>
          <w:szCs w:val="20"/>
          <w:lang w:val="es-CR"/>
        </w:rPr>
        <w:t xml:space="preserve"> </w:t>
      </w:r>
      <w:r w:rsidR="000B2356" w:rsidRPr="002B4E6D">
        <w:rPr>
          <w:szCs w:val="20"/>
          <w:lang w:val="es-CR"/>
        </w:rPr>
        <w:t>su</w:t>
      </w:r>
      <w:r w:rsidR="00A24396" w:rsidRPr="002B4E6D">
        <w:rPr>
          <w:szCs w:val="20"/>
          <w:lang w:val="es-CR"/>
        </w:rPr>
        <w:t xml:space="preserve"> </w:t>
      </w:r>
      <w:r w:rsidR="009E16F7" w:rsidRPr="002B4E6D">
        <w:rPr>
          <w:szCs w:val="20"/>
          <w:lang w:val="es-CR"/>
        </w:rPr>
        <w:t>trabajo</w:t>
      </w:r>
      <w:r w:rsidR="00A24396" w:rsidRPr="002B4E6D">
        <w:rPr>
          <w:szCs w:val="20"/>
          <w:lang w:val="es-CR"/>
        </w:rPr>
        <w:t xml:space="preserve"> </w:t>
      </w:r>
      <w:r w:rsidR="000B2356" w:rsidRPr="002B4E6D">
        <w:rPr>
          <w:szCs w:val="20"/>
          <w:lang w:val="es-CR"/>
        </w:rPr>
        <w:t>con</w:t>
      </w:r>
      <w:r w:rsidR="00A24396" w:rsidRPr="002B4E6D">
        <w:rPr>
          <w:szCs w:val="20"/>
          <w:lang w:val="es-CR"/>
        </w:rPr>
        <w:t xml:space="preserve"> </w:t>
      </w:r>
      <w:r w:rsidR="00AA1A37" w:rsidRPr="002B4E6D">
        <w:rPr>
          <w:szCs w:val="20"/>
          <w:lang w:val="es-CR"/>
        </w:rPr>
        <w:t>libertad</w:t>
      </w:r>
      <w:r w:rsidR="00A24396" w:rsidRPr="002B4E6D">
        <w:rPr>
          <w:szCs w:val="20"/>
          <w:lang w:val="es-CR"/>
        </w:rPr>
        <w:t>. Inclu</w:t>
      </w:r>
      <w:r w:rsidR="000B2356" w:rsidRPr="002B4E6D">
        <w:rPr>
          <w:szCs w:val="20"/>
          <w:lang w:val="es-CR"/>
        </w:rPr>
        <w:t>ye</w:t>
      </w:r>
      <w:r w:rsidR="00A24396" w:rsidRPr="002B4E6D">
        <w:rPr>
          <w:szCs w:val="20"/>
          <w:lang w:val="es-CR"/>
        </w:rPr>
        <w:t xml:space="preserve"> </w:t>
      </w:r>
      <w:r w:rsidR="000B2356" w:rsidRPr="002B4E6D">
        <w:rPr>
          <w:szCs w:val="20"/>
          <w:lang w:val="es-CR"/>
        </w:rPr>
        <w:t>también</w:t>
      </w:r>
      <w:r w:rsidR="00A24396" w:rsidRPr="002B4E6D">
        <w:rPr>
          <w:szCs w:val="20"/>
          <w:lang w:val="es-CR"/>
        </w:rPr>
        <w:t xml:space="preserve"> </w:t>
      </w:r>
      <w:r w:rsidR="000B2356" w:rsidRPr="002B4E6D">
        <w:rPr>
          <w:szCs w:val="20"/>
          <w:lang w:val="es-CR"/>
        </w:rPr>
        <w:t>el</w:t>
      </w:r>
      <w:r w:rsidR="00A24396" w:rsidRPr="002B4E6D">
        <w:rPr>
          <w:szCs w:val="20"/>
          <w:lang w:val="es-CR"/>
        </w:rPr>
        <w:t xml:space="preserve"> </w:t>
      </w:r>
      <w:r w:rsidR="000B2356" w:rsidRPr="002B4E6D">
        <w:rPr>
          <w:szCs w:val="20"/>
          <w:lang w:val="es-CR"/>
        </w:rPr>
        <w:t>deber</w:t>
      </w:r>
      <w:r w:rsidR="00A24396" w:rsidRPr="002B4E6D">
        <w:rPr>
          <w:szCs w:val="20"/>
          <w:lang w:val="es-CR"/>
        </w:rPr>
        <w:t xml:space="preserve"> de</w:t>
      </w:r>
      <w:r w:rsidRPr="002B4E6D">
        <w:rPr>
          <w:szCs w:val="20"/>
          <w:lang w:val="es-CR"/>
        </w:rPr>
        <w:t xml:space="preserve"> </w:t>
      </w:r>
      <w:r w:rsidR="000B2356" w:rsidRPr="002B4E6D">
        <w:rPr>
          <w:szCs w:val="20"/>
          <w:lang w:val="es-CR"/>
        </w:rPr>
        <w:t>ofrecer</w:t>
      </w:r>
      <w:r w:rsidRPr="002B4E6D">
        <w:rPr>
          <w:szCs w:val="20"/>
          <w:lang w:val="es-CR"/>
        </w:rPr>
        <w:t xml:space="preserve"> informa</w:t>
      </w:r>
      <w:r w:rsidR="00AA1A37" w:rsidRPr="002B4E6D">
        <w:rPr>
          <w:szCs w:val="20"/>
          <w:lang w:val="es-CR"/>
        </w:rPr>
        <w:t>ción</w:t>
      </w:r>
      <w:r w:rsidRPr="002B4E6D">
        <w:rPr>
          <w:szCs w:val="20"/>
          <w:lang w:val="es-CR"/>
        </w:rPr>
        <w:t xml:space="preserve"> veraz, oportuna </w:t>
      </w:r>
      <w:r w:rsidR="000B2356" w:rsidRPr="002B4E6D">
        <w:rPr>
          <w:szCs w:val="20"/>
          <w:lang w:val="es-CR"/>
        </w:rPr>
        <w:t>y</w:t>
      </w:r>
      <w:r w:rsidRPr="002B4E6D">
        <w:rPr>
          <w:szCs w:val="20"/>
          <w:lang w:val="es-CR"/>
        </w:rPr>
        <w:t xml:space="preserve"> precisa sobre </w:t>
      </w:r>
      <w:r w:rsidR="000B2356" w:rsidRPr="002B4E6D">
        <w:rPr>
          <w:szCs w:val="20"/>
          <w:lang w:val="es-CR"/>
        </w:rPr>
        <w:t>el</w:t>
      </w:r>
      <w:r w:rsidRPr="002B4E6D">
        <w:rPr>
          <w:szCs w:val="20"/>
          <w:lang w:val="es-CR"/>
        </w:rPr>
        <w:t xml:space="preserve"> </w:t>
      </w:r>
      <w:r w:rsidR="000B2356" w:rsidRPr="002B4E6D">
        <w:rPr>
          <w:szCs w:val="20"/>
          <w:lang w:val="es-CR"/>
        </w:rPr>
        <w:t>cumplimento</w:t>
      </w:r>
      <w:r w:rsidRPr="002B4E6D">
        <w:rPr>
          <w:szCs w:val="20"/>
          <w:lang w:val="es-CR"/>
        </w:rPr>
        <w:t xml:space="preserve"> </w:t>
      </w:r>
      <w:r w:rsidR="000B2356" w:rsidRPr="002B4E6D">
        <w:rPr>
          <w:szCs w:val="20"/>
          <w:lang w:val="es-CR"/>
        </w:rPr>
        <w:t>de lo</w:t>
      </w:r>
      <w:r w:rsidRPr="002B4E6D">
        <w:rPr>
          <w:szCs w:val="20"/>
          <w:lang w:val="es-CR"/>
        </w:rPr>
        <w:t xml:space="preserve"> dis</w:t>
      </w:r>
      <w:r w:rsidR="000B2356" w:rsidRPr="002B4E6D">
        <w:rPr>
          <w:szCs w:val="20"/>
          <w:lang w:val="es-CR"/>
        </w:rPr>
        <w:t>pue</w:t>
      </w:r>
      <w:r w:rsidRPr="002B4E6D">
        <w:rPr>
          <w:szCs w:val="20"/>
          <w:lang w:val="es-CR"/>
        </w:rPr>
        <w:t xml:space="preserve">sto </w:t>
      </w:r>
      <w:r w:rsidR="000B2356" w:rsidRPr="002B4E6D">
        <w:rPr>
          <w:szCs w:val="20"/>
          <w:lang w:val="es-CR"/>
        </w:rPr>
        <w:t>por la</w:t>
      </w:r>
      <w:r w:rsidRPr="002B4E6D">
        <w:rPr>
          <w:szCs w:val="20"/>
          <w:lang w:val="es-CR"/>
        </w:rPr>
        <w:t xml:space="preserve"> Corte. </w:t>
      </w:r>
    </w:p>
    <w:p w14:paraId="272319F8" w14:textId="77777777" w:rsidR="007340B9" w:rsidRPr="002B4E6D" w:rsidRDefault="007340B9" w:rsidP="008A344F">
      <w:pPr>
        <w:pStyle w:val="Default"/>
        <w:rPr>
          <w:b/>
          <w:i/>
          <w:szCs w:val="20"/>
          <w:lang w:val="es-CR"/>
        </w:rPr>
      </w:pPr>
    </w:p>
    <w:p w14:paraId="08A8156A" w14:textId="73ABB635" w:rsidR="00F75107" w:rsidRPr="002B4E6D" w:rsidRDefault="00F75107" w:rsidP="006D31D9">
      <w:pPr>
        <w:pStyle w:val="BodyText"/>
        <w:spacing w:after="0"/>
        <w:rPr>
          <w:b/>
          <w:szCs w:val="20"/>
          <w:lang w:val="es-CR"/>
        </w:rPr>
      </w:pPr>
      <w:r w:rsidRPr="002B4E6D">
        <w:rPr>
          <w:b/>
          <w:szCs w:val="20"/>
          <w:lang w:val="es-CR"/>
        </w:rPr>
        <w:t>POR</w:t>
      </w:r>
      <w:r w:rsidR="000B2356" w:rsidRPr="002B4E6D">
        <w:rPr>
          <w:b/>
          <w:szCs w:val="20"/>
          <w:lang w:val="es-CR"/>
        </w:rPr>
        <w:t xml:space="preserve"> </w:t>
      </w:r>
      <w:r w:rsidRPr="002B4E6D">
        <w:rPr>
          <w:b/>
          <w:szCs w:val="20"/>
          <w:lang w:val="es-CR"/>
        </w:rPr>
        <w:t>TANTO:</w:t>
      </w:r>
    </w:p>
    <w:p w14:paraId="334A4093" w14:textId="77777777" w:rsidR="00F75107" w:rsidRPr="002B4E6D" w:rsidRDefault="00F75107" w:rsidP="006D31D9">
      <w:pPr>
        <w:rPr>
          <w:b/>
          <w:szCs w:val="20"/>
          <w:lang w:val="es-CR"/>
        </w:rPr>
      </w:pPr>
    </w:p>
    <w:p w14:paraId="429C22AA" w14:textId="3BD8034B" w:rsidR="00F75107" w:rsidRPr="002B4E6D" w:rsidRDefault="000B2356" w:rsidP="006D31D9">
      <w:pPr>
        <w:rPr>
          <w:b/>
          <w:szCs w:val="20"/>
          <w:lang w:val="es-CR"/>
        </w:rPr>
      </w:pPr>
      <w:r w:rsidRPr="002B4E6D">
        <w:rPr>
          <w:b/>
          <w:szCs w:val="20"/>
          <w:lang w:val="es-CR"/>
        </w:rPr>
        <w:t>LA</w:t>
      </w:r>
      <w:r w:rsidR="00F75107" w:rsidRPr="002B4E6D">
        <w:rPr>
          <w:b/>
          <w:szCs w:val="20"/>
          <w:lang w:val="es-CR"/>
        </w:rPr>
        <w:t xml:space="preserve"> CORTE INTERAMERICANA DE </w:t>
      </w:r>
      <w:r w:rsidR="00AA1A37" w:rsidRPr="002B4E6D">
        <w:rPr>
          <w:b/>
          <w:szCs w:val="20"/>
          <w:lang w:val="es-CR"/>
        </w:rPr>
        <w:t>DERECHOS</w:t>
      </w:r>
      <w:r w:rsidR="00172667" w:rsidRPr="002B4E6D">
        <w:rPr>
          <w:b/>
          <w:szCs w:val="20"/>
          <w:lang w:val="es-CR"/>
        </w:rPr>
        <w:t xml:space="preserve"> </w:t>
      </w:r>
      <w:r w:rsidR="00F75107" w:rsidRPr="002B4E6D">
        <w:rPr>
          <w:b/>
          <w:szCs w:val="20"/>
          <w:lang w:val="es-CR"/>
        </w:rPr>
        <w:t xml:space="preserve">HUMANOS, </w:t>
      </w:r>
    </w:p>
    <w:p w14:paraId="7AEAB6BC" w14:textId="77777777" w:rsidR="00F75107" w:rsidRPr="002B4E6D" w:rsidRDefault="00F75107" w:rsidP="006D31D9">
      <w:pPr>
        <w:ind w:right="22"/>
        <w:rPr>
          <w:szCs w:val="20"/>
          <w:lang w:val="es-CR"/>
        </w:rPr>
      </w:pPr>
    </w:p>
    <w:p w14:paraId="1971487B" w14:textId="4159D5FF" w:rsidR="00F75107" w:rsidRPr="002B4E6D" w:rsidRDefault="000B2356" w:rsidP="006D31D9">
      <w:pPr>
        <w:ind w:right="22"/>
        <w:rPr>
          <w:szCs w:val="20"/>
          <w:lang w:val="es-CR"/>
        </w:rPr>
      </w:pPr>
      <w:r w:rsidRPr="002B4E6D">
        <w:rPr>
          <w:szCs w:val="20"/>
          <w:lang w:val="es-CR"/>
        </w:rPr>
        <w:t>en el</w:t>
      </w:r>
      <w:r w:rsidR="00D94189" w:rsidRPr="002B4E6D">
        <w:rPr>
          <w:szCs w:val="20"/>
          <w:lang w:val="es-CR"/>
        </w:rPr>
        <w:t xml:space="preserve"> </w:t>
      </w:r>
      <w:r w:rsidRPr="002B4E6D">
        <w:rPr>
          <w:szCs w:val="20"/>
          <w:lang w:val="es-CR"/>
        </w:rPr>
        <w:t>ejercicio</w:t>
      </w:r>
      <w:r w:rsidR="005964FA" w:rsidRPr="002B4E6D">
        <w:rPr>
          <w:szCs w:val="20"/>
          <w:lang w:val="es-CR"/>
        </w:rPr>
        <w:t xml:space="preserve"> </w:t>
      </w:r>
      <w:r w:rsidRPr="002B4E6D">
        <w:rPr>
          <w:szCs w:val="20"/>
          <w:lang w:val="es-CR"/>
        </w:rPr>
        <w:t>de las</w:t>
      </w:r>
      <w:r w:rsidR="00807A14" w:rsidRPr="002B4E6D">
        <w:rPr>
          <w:szCs w:val="20"/>
          <w:lang w:val="es-CR"/>
        </w:rPr>
        <w:t xml:space="preserve"> </w:t>
      </w:r>
      <w:r w:rsidRPr="002B4E6D">
        <w:rPr>
          <w:szCs w:val="20"/>
          <w:lang w:val="es-CR"/>
        </w:rPr>
        <w:t>atribuciones</w:t>
      </w:r>
      <w:r w:rsidR="00F75107" w:rsidRPr="002B4E6D">
        <w:rPr>
          <w:szCs w:val="20"/>
          <w:lang w:val="es-CR"/>
        </w:rPr>
        <w:t xml:space="preserve"> que </w:t>
      </w:r>
      <w:r w:rsidRPr="002B4E6D">
        <w:rPr>
          <w:szCs w:val="20"/>
          <w:lang w:val="es-CR"/>
        </w:rPr>
        <w:t>le</w:t>
      </w:r>
      <w:r w:rsidR="00F75107" w:rsidRPr="002B4E6D">
        <w:rPr>
          <w:szCs w:val="20"/>
          <w:lang w:val="es-CR"/>
        </w:rPr>
        <w:t xml:space="preserve"> </w:t>
      </w:r>
      <w:r w:rsidRPr="002B4E6D">
        <w:rPr>
          <w:szCs w:val="20"/>
          <w:lang w:val="es-CR"/>
        </w:rPr>
        <w:t>confieren</w:t>
      </w:r>
      <w:r w:rsidR="00D94189" w:rsidRPr="002B4E6D">
        <w:rPr>
          <w:szCs w:val="20"/>
          <w:lang w:val="es-CR"/>
        </w:rPr>
        <w:t xml:space="preserve"> </w:t>
      </w:r>
      <w:r w:rsidRPr="002B4E6D">
        <w:rPr>
          <w:szCs w:val="20"/>
          <w:lang w:val="es-CR"/>
        </w:rPr>
        <w:t>el</w:t>
      </w:r>
      <w:r w:rsidR="00D94189" w:rsidRPr="002B4E6D">
        <w:rPr>
          <w:szCs w:val="20"/>
          <w:lang w:val="es-CR"/>
        </w:rPr>
        <w:t xml:space="preserve"> </w:t>
      </w:r>
      <w:r w:rsidR="00936641" w:rsidRPr="002B4E6D">
        <w:rPr>
          <w:szCs w:val="20"/>
          <w:lang w:val="es-CR"/>
        </w:rPr>
        <w:t>artículo</w:t>
      </w:r>
      <w:r w:rsidR="00D94189" w:rsidRPr="002B4E6D">
        <w:rPr>
          <w:szCs w:val="20"/>
          <w:lang w:val="es-CR"/>
        </w:rPr>
        <w:t xml:space="preserve"> </w:t>
      </w:r>
      <w:r w:rsidR="00F75107" w:rsidRPr="002B4E6D">
        <w:rPr>
          <w:szCs w:val="20"/>
          <w:lang w:val="es-CR"/>
        </w:rPr>
        <w:t xml:space="preserve">63.2 </w:t>
      </w:r>
      <w:r w:rsidRPr="002B4E6D">
        <w:rPr>
          <w:szCs w:val="20"/>
          <w:lang w:val="es-CR"/>
        </w:rPr>
        <w:t>de la</w:t>
      </w:r>
      <w:r w:rsidR="00781069" w:rsidRPr="002B4E6D">
        <w:rPr>
          <w:szCs w:val="20"/>
          <w:lang w:val="es-CR"/>
        </w:rPr>
        <w:t xml:space="preserve"> </w:t>
      </w:r>
      <w:r w:rsidR="00F75107" w:rsidRPr="002B4E6D">
        <w:rPr>
          <w:szCs w:val="20"/>
          <w:lang w:val="es-CR"/>
        </w:rPr>
        <w:t>Conven</w:t>
      </w:r>
      <w:r w:rsidR="00AA1A37" w:rsidRPr="002B4E6D">
        <w:rPr>
          <w:szCs w:val="20"/>
          <w:lang w:val="es-CR"/>
        </w:rPr>
        <w:t>ción</w:t>
      </w:r>
      <w:r w:rsidR="00F75107" w:rsidRPr="002B4E6D">
        <w:rPr>
          <w:szCs w:val="20"/>
          <w:lang w:val="es-CR"/>
        </w:rPr>
        <w:t xml:space="preserve"> Americana</w:t>
      </w:r>
      <w:r w:rsidR="001C0EDA">
        <w:rPr>
          <w:szCs w:val="20"/>
          <w:lang w:val="es-CR"/>
        </w:rPr>
        <w:t>, en relación con los artículos 1.1 y 2 del mismo instrumento,</w:t>
      </w:r>
      <w:r w:rsidR="00F75107" w:rsidRPr="002B4E6D">
        <w:rPr>
          <w:szCs w:val="20"/>
          <w:lang w:val="es-CR"/>
        </w:rPr>
        <w:t xml:space="preserve"> </w:t>
      </w:r>
      <w:r w:rsidRPr="002B4E6D">
        <w:rPr>
          <w:szCs w:val="20"/>
          <w:lang w:val="es-CR"/>
        </w:rPr>
        <w:t>y</w:t>
      </w:r>
      <w:r w:rsidR="005F3E72" w:rsidRPr="002B4E6D">
        <w:rPr>
          <w:szCs w:val="20"/>
          <w:lang w:val="es-CR"/>
        </w:rPr>
        <w:t xml:space="preserve"> </w:t>
      </w:r>
      <w:r w:rsidRPr="002B4E6D">
        <w:rPr>
          <w:szCs w:val="20"/>
          <w:lang w:val="es-CR"/>
        </w:rPr>
        <w:t>el</w:t>
      </w:r>
      <w:r w:rsidR="00F75107" w:rsidRPr="002B4E6D">
        <w:rPr>
          <w:szCs w:val="20"/>
          <w:lang w:val="es-CR"/>
        </w:rPr>
        <w:t xml:space="preserve"> </w:t>
      </w:r>
      <w:r w:rsidR="00936641" w:rsidRPr="002B4E6D">
        <w:rPr>
          <w:szCs w:val="20"/>
          <w:lang w:val="es-CR"/>
        </w:rPr>
        <w:t>artículo</w:t>
      </w:r>
      <w:r w:rsidR="00D94189" w:rsidRPr="002B4E6D">
        <w:rPr>
          <w:szCs w:val="20"/>
          <w:lang w:val="es-CR"/>
        </w:rPr>
        <w:t xml:space="preserve"> </w:t>
      </w:r>
      <w:r w:rsidR="00F75107" w:rsidRPr="002B4E6D">
        <w:rPr>
          <w:szCs w:val="20"/>
          <w:lang w:val="es-CR"/>
        </w:rPr>
        <w:t>27 de</w:t>
      </w:r>
      <w:r w:rsidR="00D94189" w:rsidRPr="002B4E6D">
        <w:rPr>
          <w:szCs w:val="20"/>
          <w:lang w:val="es-CR"/>
        </w:rPr>
        <w:t xml:space="preserve"> </w:t>
      </w:r>
      <w:r w:rsidRPr="002B4E6D">
        <w:rPr>
          <w:szCs w:val="20"/>
          <w:lang w:val="es-CR"/>
        </w:rPr>
        <w:t>su</w:t>
      </w:r>
      <w:r w:rsidR="00D94189" w:rsidRPr="002B4E6D">
        <w:rPr>
          <w:szCs w:val="20"/>
          <w:lang w:val="es-CR"/>
        </w:rPr>
        <w:t xml:space="preserve"> </w:t>
      </w:r>
      <w:r w:rsidRPr="002B4E6D">
        <w:rPr>
          <w:szCs w:val="20"/>
          <w:lang w:val="es-CR"/>
        </w:rPr>
        <w:t>Reglamento</w:t>
      </w:r>
      <w:r w:rsidR="00F75107" w:rsidRPr="002B4E6D">
        <w:rPr>
          <w:szCs w:val="20"/>
          <w:lang w:val="es-CR"/>
        </w:rPr>
        <w:t>,</w:t>
      </w:r>
    </w:p>
    <w:p w14:paraId="29F645AA" w14:textId="77777777" w:rsidR="00F75107" w:rsidRPr="002B4E6D" w:rsidRDefault="00F75107" w:rsidP="006D31D9">
      <w:pPr>
        <w:ind w:right="22"/>
        <w:rPr>
          <w:b/>
          <w:szCs w:val="20"/>
          <w:lang w:val="es-CR"/>
        </w:rPr>
      </w:pPr>
    </w:p>
    <w:p w14:paraId="67DB6053" w14:textId="4F785623" w:rsidR="00F75107" w:rsidRPr="002B4E6D" w:rsidRDefault="000B2356" w:rsidP="00B069CF">
      <w:pPr>
        <w:ind w:right="22"/>
        <w:rPr>
          <w:b/>
          <w:szCs w:val="20"/>
          <w:lang w:val="es-CR"/>
        </w:rPr>
      </w:pPr>
      <w:r w:rsidRPr="002B4E6D">
        <w:rPr>
          <w:b/>
          <w:szCs w:val="20"/>
          <w:lang w:val="es-CR"/>
        </w:rPr>
        <w:t>RESUELVE</w:t>
      </w:r>
      <w:r w:rsidR="00F75107" w:rsidRPr="002B4E6D">
        <w:rPr>
          <w:b/>
          <w:szCs w:val="20"/>
          <w:lang w:val="es-CR"/>
        </w:rPr>
        <w:t>:</w:t>
      </w:r>
    </w:p>
    <w:p w14:paraId="660B3AA0" w14:textId="77777777" w:rsidR="00D317E0" w:rsidRPr="002B4E6D" w:rsidRDefault="00D317E0" w:rsidP="00B069CF">
      <w:pPr>
        <w:ind w:right="22"/>
        <w:rPr>
          <w:rFonts w:eastAsia="Times"/>
          <w:szCs w:val="20"/>
          <w:lang w:val="es-CR"/>
        </w:rPr>
      </w:pPr>
    </w:p>
    <w:p w14:paraId="1E9630D6" w14:textId="6FDBFCA9" w:rsidR="002E1BF1" w:rsidRDefault="000B2356" w:rsidP="002E1BF1">
      <w:pPr>
        <w:pStyle w:val="ListParagraph"/>
        <w:numPr>
          <w:ilvl w:val="0"/>
          <w:numId w:val="15"/>
        </w:numPr>
        <w:tabs>
          <w:tab w:val="clear" w:pos="648"/>
        </w:tabs>
        <w:snapToGrid w:val="0"/>
        <w:contextualSpacing w:val="0"/>
        <w:rPr>
          <w:sz w:val="24"/>
          <w:lang w:val="es-CR"/>
        </w:rPr>
      </w:pPr>
      <w:r w:rsidRPr="002B4E6D">
        <w:rPr>
          <w:szCs w:val="20"/>
          <w:lang w:val="es-CR"/>
        </w:rPr>
        <w:t>Requerir</w:t>
      </w:r>
      <w:r w:rsidR="00EA35E5" w:rsidRPr="002B4E6D">
        <w:rPr>
          <w:szCs w:val="20"/>
          <w:lang w:val="es-CR"/>
        </w:rPr>
        <w:t xml:space="preserve"> </w:t>
      </w:r>
      <w:r w:rsidRPr="002B4E6D">
        <w:rPr>
          <w:szCs w:val="20"/>
          <w:lang w:val="es-CR"/>
        </w:rPr>
        <w:t>al</w:t>
      </w:r>
      <w:r w:rsidR="00EA35E5" w:rsidRPr="002B4E6D">
        <w:rPr>
          <w:szCs w:val="20"/>
          <w:lang w:val="es-CR"/>
        </w:rPr>
        <w:t xml:space="preserve"> Estado que </w:t>
      </w:r>
      <w:r w:rsidRPr="002B4E6D">
        <w:rPr>
          <w:szCs w:val="20"/>
          <w:lang w:val="es-CR"/>
        </w:rPr>
        <w:t>adopte</w:t>
      </w:r>
      <w:r w:rsidR="00EA35E5" w:rsidRPr="002B4E6D">
        <w:rPr>
          <w:szCs w:val="20"/>
          <w:lang w:val="es-CR"/>
        </w:rPr>
        <w:t xml:space="preserve"> </w:t>
      </w:r>
      <w:r w:rsidRPr="002B4E6D">
        <w:rPr>
          <w:szCs w:val="20"/>
          <w:lang w:val="es-CR"/>
        </w:rPr>
        <w:t>inmediatamente</w:t>
      </w:r>
      <w:r w:rsidR="00EA35E5" w:rsidRPr="002B4E6D">
        <w:rPr>
          <w:szCs w:val="20"/>
          <w:lang w:val="es-CR"/>
        </w:rPr>
        <w:t xml:space="preserve"> todas </w:t>
      </w:r>
      <w:r w:rsidRPr="002B4E6D">
        <w:rPr>
          <w:szCs w:val="20"/>
          <w:lang w:val="es-CR"/>
        </w:rPr>
        <w:t>l</w:t>
      </w:r>
      <w:r w:rsidR="00EA35E5" w:rsidRPr="002B4E6D">
        <w:rPr>
          <w:szCs w:val="20"/>
          <w:lang w:val="es-CR"/>
        </w:rPr>
        <w:t xml:space="preserve">as medidas que </w:t>
      </w:r>
      <w:r w:rsidRPr="002B4E6D">
        <w:rPr>
          <w:szCs w:val="20"/>
          <w:lang w:val="es-CR"/>
        </w:rPr>
        <w:t>sean</w:t>
      </w:r>
      <w:r w:rsidR="00EA35E5" w:rsidRPr="002B4E6D">
        <w:rPr>
          <w:szCs w:val="20"/>
          <w:lang w:val="es-CR"/>
        </w:rPr>
        <w:t xml:space="preserve"> </w:t>
      </w:r>
      <w:r w:rsidRPr="002B4E6D">
        <w:rPr>
          <w:szCs w:val="20"/>
          <w:lang w:val="es-CR"/>
        </w:rPr>
        <w:t>necesarias</w:t>
      </w:r>
      <w:r w:rsidR="00EA35E5" w:rsidRPr="002B4E6D">
        <w:rPr>
          <w:szCs w:val="20"/>
          <w:lang w:val="es-CR"/>
        </w:rPr>
        <w:t xml:space="preserve"> para proteger eficazmente </w:t>
      </w:r>
      <w:r w:rsidRPr="002B4E6D">
        <w:rPr>
          <w:szCs w:val="20"/>
          <w:lang w:val="es-CR"/>
        </w:rPr>
        <w:t>l</w:t>
      </w:r>
      <w:r w:rsidR="00EA35E5" w:rsidRPr="002B4E6D">
        <w:rPr>
          <w:szCs w:val="20"/>
          <w:lang w:val="es-CR"/>
        </w:rPr>
        <w:t xml:space="preserve">a vida </w:t>
      </w:r>
      <w:r w:rsidRPr="002B4E6D">
        <w:rPr>
          <w:szCs w:val="20"/>
          <w:lang w:val="es-CR"/>
        </w:rPr>
        <w:t>y</w:t>
      </w:r>
      <w:r w:rsidR="00EA35E5" w:rsidRPr="002B4E6D">
        <w:rPr>
          <w:szCs w:val="20"/>
          <w:lang w:val="es-CR"/>
        </w:rPr>
        <w:t xml:space="preserve"> </w:t>
      </w:r>
      <w:r w:rsidRPr="002B4E6D">
        <w:rPr>
          <w:szCs w:val="20"/>
          <w:lang w:val="es-CR"/>
        </w:rPr>
        <w:t>l</w:t>
      </w:r>
      <w:r w:rsidR="00EA35E5" w:rsidRPr="002B4E6D">
        <w:rPr>
          <w:szCs w:val="20"/>
          <w:lang w:val="es-CR"/>
        </w:rPr>
        <w:t xml:space="preserve">a </w:t>
      </w:r>
      <w:r w:rsidR="00AA1A37" w:rsidRPr="002B4E6D">
        <w:rPr>
          <w:szCs w:val="20"/>
          <w:lang w:val="es-CR"/>
        </w:rPr>
        <w:t>integridad</w:t>
      </w:r>
      <w:r w:rsidR="00EA35E5" w:rsidRPr="002B4E6D">
        <w:rPr>
          <w:szCs w:val="20"/>
          <w:lang w:val="es-CR"/>
        </w:rPr>
        <w:t xml:space="preserve"> </w:t>
      </w:r>
      <w:r w:rsidR="00AA1A37" w:rsidRPr="002B4E6D">
        <w:rPr>
          <w:szCs w:val="20"/>
          <w:lang w:val="es-CR"/>
        </w:rPr>
        <w:t>personal</w:t>
      </w:r>
      <w:r w:rsidR="00EA35E5" w:rsidRPr="002B4E6D">
        <w:rPr>
          <w:szCs w:val="20"/>
          <w:lang w:val="es-CR"/>
        </w:rPr>
        <w:t xml:space="preserve"> de todas </w:t>
      </w:r>
      <w:r w:rsidRPr="002B4E6D">
        <w:rPr>
          <w:szCs w:val="20"/>
          <w:lang w:val="es-CR"/>
        </w:rPr>
        <w:t>l</w:t>
      </w:r>
      <w:r w:rsidR="00EA35E5" w:rsidRPr="002B4E6D">
        <w:rPr>
          <w:szCs w:val="20"/>
          <w:lang w:val="es-CR"/>
        </w:rPr>
        <w:t xml:space="preserve">as </w:t>
      </w:r>
      <w:r w:rsidR="00AA1A37" w:rsidRPr="002B4E6D">
        <w:rPr>
          <w:szCs w:val="20"/>
          <w:lang w:val="es-CR"/>
        </w:rPr>
        <w:t>personas</w:t>
      </w:r>
      <w:r w:rsidR="00EA35E5" w:rsidRPr="002B4E6D">
        <w:rPr>
          <w:szCs w:val="20"/>
          <w:lang w:val="es-CR"/>
        </w:rPr>
        <w:t xml:space="preserve"> privadas de </w:t>
      </w:r>
      <w:r w:rsidR="00AA1A37" w:rsidRPr="002B4E6D">
        <w:rPr>
          <w:szCs w:val="20"/>
          <w:lang w:val="es-CR"/>
        </w:rPr>
        <w:t>libertad</w:t>
      </w:r>
      <w:r w:rsidR="00EA35E5" w:rsidRPr="002B4E6D">
        <w:rPr>
          <w:szCs w:val="20"/>
          <w:lang w:val="es-CR"/>
        </w:rPr>
        <w:t xml:space="preserve"> </w:t>
      </w:r>
      <w:r w:rsidRPr="002B4E6D">
        <w:rPr>
          <w:szCs w:val="20"/>
          <w:lang w:val="es-CR"/>
        </w:rPr>
        <w:t>en el</w:t>
      </w:r>
      <w:r w:rsidR="00EA35E5" w:rsidRPr="002B4E6D">
        <w:rPr>
          <w:szCs w:val="20"/>
          <w:lang w:val="es-CR"/>
        </w:rPr>
        <w:t xml:space="preserve"> Instituto Penal Plácido de </w:t>
      </w:r>
      <w:proofErr w:type="spellStart"/>
      <w:r w:rsidR="00EA35E5" w:rsidRPr="002B4E6D">
        <w:rPr>
          <w:szCs w:val="20"/>
          <w:lang w:val="es-CR"/>
        </w:rPr>
        <w:t>Sá</w:t>
      </w:r>
      <w:proofErr w:type="spellEnd"/>
      <w:r w:rsidR="00EA35E5" w:rsidRPr="002B4E6D">
        <w:rPr>
          <w:szCs w:val="20"/>
          <w:lang w:val="es-CR"/>
        </w:rPr>
        <w:t xml:space="preserve"> Carvalho</w:t>
      </w:r>
      <w:r w:rsidR="00A24396" w:rsidRPr="002B4E6D">
        <w:rPr>
          <w:szCs w:val="20"/>
          <w:lang w:val="es-CR"/>
        </w:rPr>
        <w:t>,</w:t>
      </w:r>
      <w:r w:rsidR="00EA35E5" w:rsidRPr="002B4E6D">
        <w:rPr>
          <w:szCs w:val="20"/>
          <w:lang w:val="es-CR"/>
        </w:rPr>
        <w:t xml:space="preserve"> </w:t>
      </w:r>
      <w:r w:rsidRPr="002B4E6D">
        <w:rPr>
          <w:szCs w:val="20"/>
          <w:lang w:val="es-CR"/>
        </w:rPr>
        <w:t>así</w:t>
      </w:r>
      <w:r w:rsidR="00EA35E5" w:rsidRPr="002B4E6D">
        <w:rPr>
          <w:szCs w:val="20"/>
          <w:lang w:val="es-CR"/>
        </w:rPr>
        <w:t xml:space="preserve"> como de </w:t>
      </w:r>
      <w:r w:rsidRPr="002B4E6D">
        <w:rPr>
          <w:szCs w:val="20"/>
          <w:lang w:val="es-CR"/>
        </w:rPr>
        <w:t>cualquier</w:t>
      </w:r>
      <w:r w:rsidR="00EA35E5" w:rsidRPr="002B4E6D">
        <w:rPr>
          <w:szCs w:val="20"/>
          <w:lang w:val="es-CR"/>
        </w:rPr>
        <w:t xml:space="preserve"> </w:t>
      </w:r>
      <w:r w:rsidR="00AA1A37" w:rsidRPr="002B4E6D">
        <w:rPr>
          <w:szCs w:val="20"/>
          <w:lang w:val="es-CR"/>
        </w:rPr>
        <w:t>persona</w:t>
      </w:r>
      <w:r w:rsidR="00EA35E5" w:rsidRPr="002B4E6D">
        <w:rPr>
          <w:szCs w:val="20"/>
          <w:lang w:val="es-CR"/>
        </w:rPr>
        <w:t xml:space="preserve"> que se enc</w:t>
      </w:r>
      <w:r w:rsidRPr="002B4E6D">
        <w:rPr>
          <w:szCs w:val="20"/>
          <w:lang w:val="es-CR"/>
        </w:rPr>
        <w:t>ue</w:t>
      </w:r>
      <w:r w:rsidR="00EA35E5" w:rsidRPr="002B4E6D">
        <w:rPr>
          <w:szCs w:val="20"/>
          <w:lang w:val="es-CR"/>
        </w:rPr>
        <w:t xml:space="preserve">ntre </w:t>
      </w:r>
      <w:r w:rsidRPr="002B4E6D">
        <w:rPr>
          <w:szCs w:val="20"/>
          <w:lang w:val="es-CR"/>
        </w:rPr>
        <w:t>e</w:t>
      </w:r>
      <w:r w:rsidR="00EA35E5" w:rsidRPr="002B4E6D">
        <w:rPr>
          <w:szCs w:val="20"/>
          <w:lang w:val="es-CR"/>
        </w:rPr>
        <w:t>n</w:t>
      </w:r>
      <w:r w:rsidRPr="002B4E6D">
        <w:rPr>
          <w:szCs w:val="20"/>
          <w:lang w:val="es-CR"/>
        </w:rPr>
        <w:t xml:space="preserve"> ese</w:t>
      </w:r>
      <w:r w:rsidR="00EA35E5" w:rsidRPr="002B4E6D">
        <w:rPr>
          <w:szCs w:val="20"/>
          <w:lang w:val="es-CR"/>
        </w:rPr>
        <w:t xml:space="preserve"> </w:t>
      </w:r>
      <w:r w:rsidRPr="002B4E6D">
        <w:rPr>
          <w:szCs w:val="20"/>
          <w:lang w:val="es-CR"/>
        </w:rPr>
        <w:t>establecimiento</w:t>
      </w:r>
      <w:r w:rsidR="00EA35E5" w:rsidRPr="002B4E6D">
        <w:rPr>
          <w:szCs w:val="20"/>
          <w:lang w:val="es-CR"/>
        </w:rPr>
        <w:t xml:space="preserve">, </w:t>
      </w:r>
      <w:r w:rsidR="003B3A44">
        <w:rPr>
          <w:szCs w:val="20"/>
          <w:lang w:val="es-CR"/>
        </w:rPr>
        <w:t>incluyendo</w:t>
      </w:r>
      <w:r w:rsidR="00EA35E5" w:rsidRPr="002B4E6D">
        <w:rPr>
          <w:szCs w:val="20"/>
          <w:lang w:val="es-CR"/>
        </w:rPr>
        <w:t xml:space="preserve"> </w:t>
      </w:r>
      <w:r w:rsidRPr="002B4E6D">
        <w:rPr>
          <w:szCs w:val="20"/>
          <w:lang w:val="es-CR"/>
        </w:rPr>
        <w:t>l</w:t>
      </w:r>
      <w:r w:rsidR="00EA35E5" w:rsidRPr="002B4E6D">
        <w:rPr>
          <w:szCs w:val="20"/>
          <w:lang w:val="es-CR"/>
        </w:rPr>
        <w:t xml:space="preserve">os agentes </w:t>
      </w:r>
      <w:r w:rsidRPr="002B4E6D">
        <w:rPr>
          <w:szCs w:val="20"/>
          <w:lang w:val="es-CR"/>
        </w:rPr>
        <w:t>penitenciarios</w:t>
      </w:r>
      <w:r w:rsidR="00EA35E5" w:rsidRPr="002B4E6D">
        <w:rPr>
          <w:szCs w:val="20"/>
          <w:lang w:val="es-CR"/>
        </w:rPr>
        <w:t xml:space="preserve">, </w:t>
      </w:r>
      <w:r w:rsidRPr="002B4E6D">
        <w:rPr>
          <w:szCs w:val="20"/>
          <w:lang w:val="es-CR"/>
        </w:rPr>
        <w:t>funcionarios</w:t>
      </w:r>
      <w:r w:rsidR="00EA35E5" w:rsidRPr="002B4E6D">
        <w:rPr>
          <w:szCs w:val="20"/>
          <w:lang w:val="es-CR"/>
        </w:rPr>
        <w:t xml:space="preserve"> </w:t>
      </w:r>
      <w:r w:rsidRPr="002B4E6D">
        <w:rPr>
          <w:szCs w:val="20"/>
          <w:lang w:val="es-CR"/>
        </w:rPr>
        <w:t>y</w:t>
      </w:r>
      <w:r w:rsidR="00EA35E5" w:rsidRPr="002B4E6D">
        <w:rPr>
          <w:szCs w:val="20"/>
          <w:lang w:val="es-CR"/>
        </w:rPr>
        <w:t xml:space="preserve"> visitantes, </w:t>
      </w:r>
      <w:r w:rsidRPr="002B4E6D">
        <w:rPr>
          <w:szCs w:val="20"/>
          <w:lang w:val="es-CR"/>
        </w:rPr>
        <w:t>en los</w:t>
      </w:r>
      <w:r w:rsidR="00E330D5" w:rsidRPr="002B4E6D">
        <w:rPr>
          <w:szCs w:val="20"/>
          <w:lang w:val="es-CR"/>
        </w:rPr>
        <w:t xml:space="preserve"> </w:t>
      </w:r>
      <w:r w:rsidRPr="002B4E6D">
        <w:rPr>
          <w:szCs w:val="20"/>
          <w:lang w:val="es-CR"/>
        </w:rPr>
        <w:t>términos</w:t>
      </w:r>
      <w:r w:rsidR="00E330D5" w:rsidRPr="002B4E6D">
        <w:rPr>
          <w:szCs w:val="20"/>
          <w:lang w:val="es-CR"/>
        </w:rPr>
        <w:t xml:space="preserve"> </w:t>
      </w:r>
      <w:r w:rsidRPr="002B4E6D">
        <w:rPr>
          <w:szCs w:val="20"/>
          <w:lang w:val="es-CR"/>
        </w:rPr>
        <w:t>de los</w:t>
      </w:r>
      <w:r w:rsidR="00E330D5" w:rsidRPr="002B4E6D">
        <w:rPr>
          <w:szCs w:val="20"/>
          <w:lang w:val="es-CR"/>
        </w:rPr>
        <w:t xml:space="preserve"> </w:t>
      </w:r>
      <w:r w:rsidR="00E71D8D">
        <w:rPr>
          <w:szCs w:val="20"/>
          <w:lang w:val="es-CR"/>
        </w:rPr>
        <w:t>Considerandos</w:t>
      </w:r>
      <w:r w:rsidR="003B3A44">
        <w:rPr>
          <w:szCs w:val="20"/>
          <w:lang w:val="es-CR"/>
        </w:rPr>
        <w:t xml:space="preserve"> </w:t>
      </w:r>
      <w:r w:rsidR="00B029FC">
        <w:rPr>
          <w:szCs w:val="20"/>
          <w:lang w:val="es-CR"/>
        </w:rPr>
        <w:t>61 a 64 y 67.</w:t>
      </w:r>
      <w:r w:rsidR="00EA35E5" w:rsidRPr="002B4E6D">
        <w:rPr>
          <w:szCs w:val="20"/>
          <w:lang w:val="es-CR"/>
        </w:rPr>
        <w:t xml:space="preserve"> </w:t>
      </w:r>
    </w:p>
    <w:p w14:paraId="32E79F62" w14:textId="77777777" w:rsidR="002E1BF1" w:rsidRDefault="002E1BF1" w:rsidP="002E1BF1">
      <w:pPr>
        <w:pStyle w:val="ListParagraph"/>
        <w:snapToGrid w:val="0"/>
        <w:ind w:left="0"/>
        <w:contextualSpacing w:val="0"/>
        <w:rPr>
          <w:sz w:val="24"/>
          <w:lang w:val="es-CR"/>
        </w:rPr>
      </w:pPr>
    </w:p>
    <w:p w14:paraId="265C02A3" w14:textId="6A06F83D" w:rsidR="002E1BF1" w:rsidRDefault="002E1BF1" w:rsidP="002E1BF1">
      <w:pPr>
        <w:pStyle w:val="ListParagraph"/>
        <w:numPr>
          <w:ilvl w:val="0"/>
          <w:numId w:val="15"/>
        </w:numPr>
        <w:tabs>
          <w:tab w:val="clear" w:pos="648"/>
        </w:tabs>
        <w:snapToGrid w:val="0"/>
        <w:contextualSpacing w:val="0"/>
        <w:rPr>
          <w:sz w:val="24"/>
          <w:lang w:val="es-CR"/>
        </w:rPr>
      </w:pPr>
      <w:r w:rsidRPr="002E1BF1">
        <w:rPr>
          <w:szCs w:val="20"/>
          <w:lang w:val="es-CR"/>
        </w:rPr>
        <w:t xml:space="preserve">El Estado </w:t>
      </w:r>
      <w:r>
        <w:rPr>
          <w:szCs w:val="20"/>
          <w:lang w:val="es-CR"/>
        </w:rPr>
        <w:t xml:space="preserve">debe tomar </w:t>
      </w:r>
      <w:r w:rsidRPr="002E1BF1">
        <w:rPr>
          <w:szCs w:val="20"/>
          <w:lang w:val="es-CR"/>
        </w:rPr>
        <w:t>las medidas necesarias para que</w:t>
      </w:r>
      <w:r w:rsidR="001C0EDA">
        <w:rPr>
          <w:szCs w:val="20"/>
          <w:lang w:val="es-CR"/>
        </w:rPr>
        <w:t xml:space="preserve">, en atención a lo dispuesto en la </w:t>
      </w:r>
      <w:proofErr w:type="spellStart"/>
      <w:r w:rsidR="001C0EDA">
        <w:rPr>
          <w:i/>
          <w:szCs w:val="20"/>
          <w:lang w:val="es-CR"/>
        </w:rPr>
        <w:t>Súmula</w:t>
      </w:r>
      <w:proofErr w:type="spellEnd"/>
      <w:r w:rsidR="001C0EDA">
        <w:rPr>
          <w:i/>
          <w:szCs w:val="20"/>
          <w:lang w:val="es-CR"/>
        </w:rPr>
        <w:t xml:space="preserve"> Vinculante </w:t>
      </w:r>
      <w:r w:rsidR="001C0EDA">
        <w:rPr>
          <w:szCs w:val="20"/>
          <w:lang w:val="es-CR"/>
        </w:rPr>
        <w:t>No. 56 del Supremo Tribunal Federal de Brasil,</w:t>
      </w:r>
      <w:r w:rsidRPr="002E1BF1">
        <w:rPr>
          <w:szCs w:val="20"/>
          <w:lang w:val="es-CR"/>
        </w:rPr>
        <w:t xml:space="preserve"> a partir de la notificación de la presente</w:t>
      </w:r>
      <w:r>
        <w:rPr>
          <w:szCs w:val="20"/>
          <w:lang w:val="es-CR"/>
        </w:rPr>
        <w:t xml:space="preserve"> Resolución</w:t>
      </w:r>
      <w:r w:rsidRPr="002E1BF1">
        <w:rPr>
          <w:szCs w:val="20"/>
          <w:lang w:val="es-CR"/>
        </w:rPr>
        <w:t xml:space="preserve">, no ingresen nuevos presos al IPPSC, como tampoco se produzcan traslados de los allí alojados a otros establecimientos penales por disposición administrativa. </w:t>
      </w:r>
      <w:r>
        <w:rPr>
          <w:sz w:val="24"/>
          <w:lang w:val="es-CR"/>
        </w:rPr>
        <w:t xml:space="preserve"> </w:t>
      </w:r>
      <w:r w:rsidRPr="002E1BF1">
        <w:rPr>
          <w:szCs w:val="20"/>
          <w:lang w:val="es-CR"/>
        </w:rPr>
        <w:t>Cuando por orden judicial deba trasladarse a un preso a otro establecimiento, lo dispuesto a continuación respecto del cómputo doble se hará valer para los días en que hubiese permanecido privado de libertad en el IPPSC</w:t>
      </w:r>
      <w:r w:rsidR="001C0EDA">
        <w:rPr>
          <w:szCs w:val="20"/>
          <w:lang w:val="es-CR"/>
        </w:rPr>
        <w:t xml:space="preserve">, en atención a lo dispuesto en los Considerandos </w:t>
      </w:r>
      <w:r w:rsidR="00B029FC">
        <w:rPr>
          <w:szCs w:val="20"/>
          <w:lang w:val="es-CR"/>
        </w:rPr>
        <w:t xml:space="preserve">115 </w:t>
      </w:r>
      <w:r w:rsidR="001C0EDA">
        <w:rPr>
          <w:szCs w:val="20"/>
          <w:lang w:val="es-CR"/>
        </w:rPr>
        <w:t xml:space="preserve">a </w:t>
      </w:r>
      <w:r w:rsidR="00B029FC">
        <w:rPr>
          <w:szCs w:val="20"/>
          <w:lang w:val="es-CR"/>
        </w:rPr>
        <w:t>130</w:t>
      </w:r>
      <w:r w:rsidR="001C0EDA">
        <w:rPr>
          <w:szCs w:val="20"/>
          <w:lang w:val="es-CR"/>
        </w:rPr>
        <w:t xml:space="preserve"> de la presente Resolución</w:t>
      </w:r>
      <w:r w:rsidRPr="002E1BF1">
        <w:rPr>
          <w:szCs w:val="20"/>
          <w:lang w:val="es-CR"/>
        </w:rPr>
        <w:t>.</w:t>
      </w:r>
    </w:p>
    <w:p w14:paraId="053D4375" w14:textId="77777777" w:rsidR="002E1BF1" w:rsidRPr="002E1BF1" w:rsidRDefault="002E1BF1" w:rsidP="002E1BF1">
      <w:pPr>
        <w:pStyle w:val="ListParagraph"/>
        <w:rPr>
          <w:szCs w:val="20"/>
          <w:lang w:val="es-CR"/>
        </w:rPr>
      </w:pPr>
    </w:p>
    <w:p w14:paraId="01DAFAD2" w14:textId="2EB92E74" w:rsidR="002E1BF1" w:rsidRDefault="002E1BF1" w:rsidP="002E1BF1">
      <w:pPr>
        <w:pStyle w:val="ListParagraph"/>
        <w:numPr>
          <w:ilvl w:val="0"/>
          <w:numId w:val="15"/>
        </w:numPr>
        <w:tabs>
          <w:tab w:val="clear" w:pos="648"/>
        </w:tabs>
        <w:snapToGrid w:val="0"/>
        <w:contextualSpacing w:val="0"/>
        <w:rPr>
          <w:sz w:val="24"/>
          <w:lang w:val="es-CR"/>
        </w:rPr>
      </w:pPr>
      <w:r>
        <w:rPr>
          <w:szCs w:val="20"/>
          <w:lang w:val="es-CR"/>
        </w:rPr>
        <w:t>El Estado debe adoptar las medidas necesarias para que e</w:t>
      </w:r>
      <w:r w:rsidRPr="002E1BF1">
        <w:rPr>
          <w:szCs w:val="20"/>
          <w:lang w:val="es-CR"/>
        </w:rPr>
        <w:t xml:space="preserve">l mismo cómputo </w:t>
      </w:r>
      <w:r>
        <w:rPr>
          <w:szCs w:val="20"/>
          <w:lang w:val="es-CR"/>
        </w:rPr>
        <w:t>se aplique</w:t>
      </w:r>
      <w:r w:rsidRPr="002E1BF1">
        <w:rPr>
          <w:szCs w:val="20"/>
          <w:lang w:val="es-CR"/>
        </w:rPr>
        <w:t>, conforme a lo dispuesto seguidamente, para quienes hubiesen egresado del IPPSC, en todo lo que hace al cálculo del tiempo en que hubiesen permanecido en éste</w:t>
      </w:r>
      <w:r w:rsidR="001C0EDA">
        <w:rPr>
          <w:szCs w:val="20"/>
          <w:lang w:val="es-CR"/>
        </w:rPr>
        <w:t xml:space="preserve">, de acuerdo a los Considerandos </w:t>
      </w:r>
      <w:r w:rsidR="00B029FC">
        <w:rPr>
          <w:szCs w:val="20"/>
          <w:lang w:val="es-CR"/>
        </w:rPr>
        <w:t>1</w:t>
      </w:r>
      <w:r w:rsidR="009D6399">
        <w:rPr>
          <w:szCs w:val="20"/>
          <w:lang w:val="es-CR"/>
        </w:rPr>
        <w:t>15</w:t>
      </w:r>
      <w:r w:rsidR="00B029FC">
        <w:rPr>
          <w:szCs w:val="20"/>
          <w:lang w:val="es-CR"/>
        </w:rPr>
        <w:t xml:space="preserve"> a 1</w:t>
      </w:r>
      <w:r w:rsidR="009D6399">
        <w:rPr>
          <w:szCs w:val="20"/>
          <w:lang w:val="es-CR"/>
        </w:rPr>
        <w:t>30</w:t>
      </w:r>
      <w:r w:rsidR="001C0EDA">
        <w:rPr>
          <w:szCs w:val="20"/>
          <w:lang w:val="es-CR"/>
        </w:rPr>
        <w:t xml:space="preserve"> de la presente Resolución</w:t>
      </w:r>
      <w:r w:rsidRPr="002E1BF1">
        <w:rPr>
          <w:szCs w:val="20"/>
          <w:lang w:val="es-CR"/>
        </w:rPr>
        <w:t xml:space="preserve">. </w:t>
      </w:r>
    </w:p>
    <w:p w14:paraId="0E56975C" w14:textId="77777777" w:rsidR="002E1BF1" w:rsidRPr="002E1BF1" w:rsidRDefault="002E1BF1" w:rsidP="002E1BF1">
      <w:pPr>
        <w:pStyle w:val="ListParagraph"/>
        <w:rPr>
          <w:szCs w:val="20"/>
          <w:lang w:val="es-CR"/>
        </w:rPr>
      </w:pPr>
    </w:p>
    <w:p w14:paraId="43AB37DB" w14:textId="7AE56207" w:rsidR="002E1BF1" w:rsidRDefault="002E1BF1" w:rsidP="002E1BF1">
      <w:pPr>
        <w:pStyle w:val="ListParagraph"/>
        <w:numPr>
          <w:ilvl w:val="0"/>
          <w:numId w:val="15"/>
        </w:numPr>
        <w:tabs>
          <w:tab w:val="clear" w:pos="648"/>
        </w:tabs>
        <w:snapToGrid w:val="0"/>
        <w:contextualSpacing w:val="0"/>
        <w:rPr>
          <w:sz w:val="24"/>
          <w:lang w:val="es-CR"/>
        </w:rPr>
      </w:pPr>
      <w:r w:rsidRPr="002E1BF1">
        <w:rPr>
          <w:szCs w:val="20"/>
          <w:lang w:val="es-CR"/>
        </w:rPr>
        <w:t xml:space="preserve">El Estado deberá arbitrar los medios para que, </w:t>
      </w:r>
      <w:r w:rsidRPr="004F26AD">
        <w:rPr>
          <w:szCs w:val="20"/>
          <w:lang w:val="es-CR"/>
        </w:rPr>
        <w:t>en el plazo de seis meses a contar de la presente decisión</w:t>
      </w:r>
      <w:r w:rsidRPr="002E1BF1">
        <w:rPr>
          <w:szCs w:val="20"/>
          <w:lang w:val="es-CR"/>
        </w:rPr>
        <w:t>, se compute doble cada día de privación de libertad cumplido en el IPPSC, para todas las personas allí alojadas que no sean condenadas o imputadas por delitos contra la vida, la integridad física o sexuales</w:t>
      </w:r>
      <w:r w:rsidR="001C0EDA">
        <w:rPr>
          <w:szCs w:val="20"/>
          <w:lang w:val="es-CR"/>
        </w:rPr>
        <w:t xml:space="preserve">, en los términos de los Considerandos </w:t>
      </w:r>
      <w:r w:rsidR="00B029FC">
        <w:rPr>
          <w:szCs w:val="20"/>
          <w:lang w:val="es-CR"/>
        </w:rPr>
        <w:t>1</w:t>
      </w:r>
      <w:r w:rsidR="009D6399">
        <w:rPr>
          <w:szCs w:val="20"/>
          <w:lang w:val="es-CR"/>
        </w:rPr>
        <w:t>15</w:t>
      </w:r>
      <w:r w:rsidR="001C0EDA">
        <w:rPr>
          <w:szCs w:val="20"/>
          <w:lang w:val="es-CR"/>
        </w:rPr>
        <w:t xml:space="preserve"> </w:t>
      </w:r>
      <w:r w:rsidR="00516CFF">
        <w:rPr>
          <w:szCs w:val="20"/>
          <w:lang w:val="es-CR"/>
        </w:rPr>
        <w:t>a</w:t>
      </w:r>
      <w:r w:rsidR="001C0EDA">
        <w:rPr>
          <w:szCs w:val="20"/>
          <w:lang w:val="es-CR"/>
        </w:rPr>
        <w:t xml:space="preserve"> </w:t>
      </w:r>
      <w:r w:rsidR="00B029FC">
        <w:rPr>
          <w:szCs w:val="20"/>
          <w:lang w:val="es-CR"/>
        </w:rPr>
        <w:t>1</w:t>
      </w:r>
      <w:r w:rsidR="009D6399">
        <w:rPr>
          <w:szCs w:val="20"/>
          <w:lang w:val="es-CR"/>
        </w:rPr>
        <w:t>30</w:t>
      </w:r>
      <w:r w:rsidR="001C0EDA">
        <w:rPr>
          <w:szCs w:val="20"/>
          <w:lang w:val="es-CR"/>
        </w:rPr>
        <w:t xml:space="preserve"> de la presente Resolución</w:t>
      </w:r>
      <w:r w:rsidRPr="002E1BF1">
        <w:rPr>
          <w:szCs w:val="20"/>
          <w:lang w:val="es-CR"/>
        </w:rPr>
        <w:t>.</w:t>
      </w:r>
    </w:p>
    <w:p w14:paraId="651AD3A7" w14:textId="77777777" w:rsidR="002E1BF1" w:rsidRPr="002E1BF1" w:rsidRDefault="002E1BF1" w:rsidP="002E1BF1">
      <w:pPr>
        <w:pStyle w:val="ListParagraph"/>
        <w:rPr>
          <w:szCs w:val="20"/>
          <w:lang w:val="es-CR"/>
        </w:rPr>
      </w:pPr>
    </w:p>
    <w:p w14:paraId="6A8CA3A0" w14:textId="79FA574F" w:rsidR="002E1BF1" w:rsidRDefault="002E1BF1" w:rsidP="002E1BF1">
      <w:pPr>
        <w:pStyle w:val="ListParagraph"/>
        <w:numPr>
          <w:ilvl w:val="0"/>
          <w:numId w:val="15"/>
        </w:numPr>
        <w:tabs>
          <w:tab w:val="clear" w:pos="648"/>
        </w:tabs>
        <w:snapToGrid w:val="0"/>
        <w:contextualSpacing w:val="0"/>
        <w:rPr>
          <w:sz w:val="24"/>
          <w:lang w:val="es-CR"/>
        </w:rPr>
      </w:pPr>
      <w:r w:rsidRPr="002E1BF1">
        <w:rPr>
          <w:szCs w:val="20"/>
          <w:lang w:val="es-CR"/>
        </w:rPr>
        <w:t xml:space="preserve">El Estado deberá, </w:t>
      </w:r>
      <w:r w:rsidRPr="004F26AD">
        <w:rPr>
          <w:szCs w:val="20"/>
          <w:lang w:val="es-CR"/>
        </w:rPr>
        <w:t>en el plazo de cuatro meses a partir de la presente decisión</w:t>
      </w:r>
      <w:r w:rsidRPr="002E1BF1">
        <w:rPr>
          <w:szCs w:val="20"/>
          <w:lang w:val="es-CR"/>
        </w:rPr>
        <w:t xml:space="preserve">, organizar un equipo criminológico de profesionales, en particular psicólogos y asistentes sociales, sin perjuicio de otros, que en dictámenes suscriptos por lo menos por tres de ellos, evalúe el pronóstico de conducta </w:t>
      </w:r>
      <w:r w:rsidR="009C77A4">
        <w:rPr>
          <w:szCs w:val="20"/>
          <w:lang w:val="es-CR"/>
        </w:rPr>
        <w:t>con base a</w:t>
      </w:r>
      <w:r w:rsidRPr="002E1BF1">
        <w:rPr>
          <w:szCs w:val="20"/>
          <w:lang w:val="es-CR"/>
        </w:rPr>
        <w:t xml:space="preserve"> indicadores de agresividad de los presos alojados en el IPPSC condenados o imputados por delitos contra la vida, la integridad física o sexuales. Según el resultado alcanzado en cada caso, el equipo criminológico o tres por lo menos de sus profesionales, conforme al pronóstico de conducta a que hubiese llegado, </w:t>
      </w:r>
      <w:r w:rsidRPr="002E1BF1">
        <w:rPr>
          <w:szCs w:val="20"/>
          <w:lang w:val="es-CR"/>
        </w:rPr>
        <w:lastRenderedPageBreak/>
        <w:t>aconsejará la conveniencia o inconveniencia del cómputo doble del tiempo de privación de libertad, o bien su reducción en menor medida.</w:t>
      </w:r>
    </w:p>
    <w:p w14:paraId="4D22DF3A" w14:textId="77777777" w:rsidR="002E1BF1" w:rsidRPr="002E1BF1" w:rsidRDefault="002E1BF1" w:rsidP="002E1BF1">
      <w:pPr>
        <w:pStyle w:val="ListParagraph"/>
        <w:rPr>
          <w:szCs w:val="20"/>
          <w:lang w:val="es-CR"/>
        </w:rPr>
      </w:pPr>
    </w:p>
    <w:p w14:paraId="78450EF9" w14:textId="38D1B1C4" w:rsidR="002E1BF1" w:rsidRPr="002E1BF1" w:rsidRDefault="002E1BF1" w:rsidP="002E1BF1">
      <w:pPr>
        <w:pStyle w:val="ListParagraph"/>
        <w:numPr>
          <w:ilvl w:val="0"/>
          <w:numId w:val="15"/>
        </w:numPr>
        <w:tabs>
          <w:tab w:val="clear" w:pos="648"/>
        </w:tabs>
        <w:snapToGrid w:val="0"/>
        <w:contextualSpacing w:val="0"/>
        <w:rPr>
          <w:sz w:val="24"/>
          <w:lang w:val="es-CR"/>
        </w:rPr>
      </w:pPr>
      <w:r w:rsidRPr="002E1BF1">
        <w:rPr>
          <w:szCs w:val="20"/>
          <w:lang w:val="es-CR"/>
        </w:rPr>
        <w:t xml:space="preserve">El Estado deberá dotar al equipo criminológico del número de profesionales y de la infraestructura necesaria para que su labor pueda </w:t>
      </w:r>
      <w:r w:rsidR="001C6419">
        <w:rPr>
          <w:szCs w:val="20"/>
          <w:lang w:val="es-CR"/>
        </w:rPr>
        <w:t>llevarse a cabo</w:t>
      </w:r>
      <w:r w:rsidRPr="002E1BF1">
        <w:rPr>
          <w:szCs w:val="20"/>
          <w:lang w:val="es-CR"/>
        </w:rPr>
        <w:t xml:space="preserve"> </w:t>
      </w:r>
      <w:r w:rsidRPr="004F26AD">
        <w:rPr>
          <w:szCs w:val="20"/>
          <w:lang w:val="es-CR"/>
        </w:rPr>
        <w:t>en el término de ocho meses a partir de su</w:t>
      </w:r>
      <w:r w:rsidR="001C6419" w:rsidRPr="004F26AD">
        <w:rPr>
          <w:szCs w:val="20"/>
          <w:lang w:val="es-CR"/>
        </w:rPr>
        <w:t xml:space="preserve"> iniciación</w:t>
      </w:r>
      <w:r w:rsidRPr="004F26AD">
        <w:rPr>
          <w:szCs w:val="20"/>
          <w:lang w:val="es-CR"/>
        </w:rPr>
        <w:t>.</w:t>
      </w:r>
      <w:r w:rsidRPr="002E1BF1">
        <w:rPr>
          <w:b/>
          <w:szCs w:val="20"/>
          <w:lang w:val="es-CR"/>
        </w:rPr>
        <w:t xml:space="preserve"> </w:t>
      </w:r>
    </w:p>
    <w:p w14:paraId="1E2ADF08" w14:textId="77777777" w:rsidR="009D4440" w:rsidRPr="002B4E6D" w:rsidRDefault="009D4440" w:rsidP="00B069CF">
      <w:pPr>
        <w:ind w:right="18"/>
        <w:rPr>
          <w:szCs w:val="20"/>
          <w:lang w:val="es-CR"/>
        </w:rPr>
      </w:pPr>
    </w:p>
    <w:p w14:paraId="6DBB0A93" w14:textId="31A1E9A0" w:rsidR="009D4440" w:rsidRPr="002B4E6D" w:rsidRDefault="000B2356" w:rsidP="00B069CF">
      <w:pPr>
        <w:numPr>
          <w:ilvl w:val="0"/>
          <w:numId w:val="15"/>
        </w:numPr>
        <w:tabs>
          <w:tab w:val="clear" w:pos="648"/>
        </w:tabs>
        <w:ind w:right="18"/>
        <w:rPr>
          <w:szCs w:val="20"/>
          <w:lang w:val="es-CR"/>
        </w:rPr>
      </w:pPr>
      <w:r w:rsidRPr="002B4E6D">
        <w:rPr>
          <w:rFonts w:eastAsia="Times"/>
          <w:szCs w:val="20"/>
          <w:lang w:val="es-CR"/>
        </w:rPr>
        <w:t>Requerir</w:t>
      </w:r>
      <w:r w:rsidR="00D94189" w:rsidRPr="002B4E6D">
        <w:rPr>
          <w:rFonts w:eastAsia="Times"/>
          <w:szCs w:val="20"/>
          <w:lang w:val="es-CR"/>
        </w:rPr>
        <w:t xml:space="preserve"> </w:t>
      </w:r>
      <w:r w:rsidRPr="002B4E6D">
        <w:rPr>
          <w:rFonts w:eastAsia="Times"/>
          <w:szCs w:val="20"/>
          <w:lang w:val="es-CR"/>
        </w:rPr>
        <w:t>al</w:t>
      </w:r>
      <w:r w:rsidR="00D94189" w:rsidRPr="002B4E6D">
        <w:rPr>
          <w:rFonts w:eastAsia="Times"/>
          <w:szCs w:val="20"/>
          <w:lang w:val="es-CR"/>
        </w:rPr>
        <w:t xml:space="preserve"> </w:t>
      </w:r>
      <w:r w:rsidR="009D4440" w:rsidRPr="002B4E6D">
        <w:rPr>
          <w:szCs w:val="20"/>
          <w:lang w:val="es-CR"/>
        </w:rPr>
        <w:t xml:space="preserve">Estado que </w:t>
      </w:r>
      <w:r w:rsidRPr="002B4E6D">
        <w:rPr>
          <w:szCs w:val="20"/>
          <w:lang w:val="es-CR"/>
        </w:rPr>
        <w:t>mantenga</w:t>
      </w:r>
      <w:r w:rsidR="00D94189" w:rsidRPr="002B4E6D">
        <w:rPr>
          <w:szCs w:val="20"/>
          <w:lang w:val="es-CR"/>
        </w:rPr>
        <w:t xml:space="preserve"> </w:t>
      </w:r>
      <w:r w:rsidRPr="002B4E6D">
        <w:rPr>
          <w:szCs w:val="20"/>
          <w:lang w:val="es-CR"/>
        </w:rPr>
        <w:t>a la</w:t>
      </w:r>
      <w:r w:rsidR="00B858C2" w:rsidRPr="002B4E6D">
        <w:rPr>
          <w:szCs w:val="20"/>
          <w:lang w:val="es-CR"/>
        </w:rPr>
        <w:t xml:space="preserve"> </w:t>
      </w:r>
      <w:r w:rsidRPr="002B4E6D">
        <w:rPr>
          <w:szCs w:val="20"/>
          <w:lang w:val="es-CR"/>
        </w:rPr>
        <w:t>Defensoría</w:t>
      </w:r>
      <w:r w:rsidR="00B858C2" w:rsidRPr="002B4E6D">
        <w:rPr>
          <w:szCs w:val="20"/>
          <w:lang w:val="es-CR"/>
        </w:rPr>
        <w:t xml:space="preserve"> Pública </w:t>
      </w:r>
      <w:r w:rsidRPr="002B4E6D">
        <w:rPr>
          <w:szCs w:val="20"/>
          <w:lang w:val="es-CR"/>
        </w:rPr>
        <w:t>del</w:t>
      </w:r>
      <w:r w:rsidR="00B858C2" w:rsidRPr="002B4E6D">
        <w:rPr>
          <w:szCs w:val="20"/>
          <w:lang w:val="es-CR"/>
        </w:rPr>
        <w:t xml:space="preserve"> Estado </w:t>
      </w:r>
      <w:r w:rsidRPr="002B4E6D">
        <w:rPr>
          <w:szCs w:val="20"/>
          <w:lang w:val="es-CR"/>
        </w:rPr>
        <w:t>de</w:t>
      </w:r>
      <w:r w:rsidR="00B858C2" w:rsidRPr="002B4E6D">
        <w:rPr>
          <w:szCs w:val="20"/>
          <w:lang w:val="es-CR"/>
        </w:rPr>
        <w:t xml:space="preserve"> </w:t>
      </w:r>
      <w:r w:rsidR="00E9168C" w:rsidRPr="002B4E6D">
        <w:rPr>
          <w:szCs w:val="20"/>
          <w:lang w:val="es-CR"/>
        </w:rPr>
        <w:t>Río de Janeiro</w:t>
      </w:r>
      <w:r w:rsidR="00B858C2" w:rsidRPr="002B4E6D">
        <w:rPr>
          <w:szCs w:val="20"/>
          <w:lang w:val="es-CR"/>
        </w:rPr>
        <w:t xml:space="preserve">, </w:t>
      </w:r>
      <w:r w:rsidR="003B3A44">
        <w:rPr>
          <w:szCs w:val="20"/>
          <w:lang w:val="es-CR"/>
        </w:rPr>
        <w:t>como</w:t>
      </w:r>
      <w:r w:rsidR="00B858C2" w:rsidRPr="002B4E6D">
        <w:rPr>
          <w:szCs w:val="20"/>
          <w:lang w:val="es-CR"/>
        </w:rPr>
        <w:t xml:space="preserve"> representante</w:t>
      </w:r>
      <w:r w:rsidR="009D4440" w:rsidRPr="002B4E6D">
        <w:rPr>
          <w:szCs w:val="20"/>
          <w:lang w:val="es-CR"/>
        </w:rPr>
        <w:t xml:space="preserve"> </w:t>
      </w:r>
      <w:r w:rsidR="0084358C" w:rsidRPr="002B4E6D">
        <w:rPr>
          <w:szCs w:val="20"/>
          <w:lang w:val="es-CR"/>
        </w:rPr>
        <w:t>d</w:t>
      </w:r>
      <w:r w:rsidRPr="002B4E6D">
        <w:rPr>
          <w:szCs w:val="20"/>
          <w:lang w:val="es-CR"/>
        </w:rPr>
        <w:t>e l</w:t>
      </w:r>
      <w:r w:rsidR="0084358C" w:rsidRPr="002B4E6D">
        <w:rPr>
          <w:szCs w:val="20"/>
          <w:lang w:val="es-CR"/>
        </w:rPr>
        <w:t xml:space="preserve">os </w:t>
      </w:r>
      <w:r w:rsidRPr="002B4E6D">
        <w:rPr>
          <w:szCs w:val="20"/>
          <w:lang w:val="es-CR"/>
        </w:rPr>
        <w:t>beneficiarios</w:t>
      </w:r>
      <w:r w:rsidR="00B858C2" w:rsidRPr="002B4E6D">
        <w:rPr>
          <w:szCs w:val="20"/>
          <w:lang w:val="es-CR"/>
        </w:rPr>
        <w:t>,</w:t>
      </w:r>
      <w:r w:rsidR="005F3E72" w:rsidRPr="002B4E6D">
        <w:rPr>
          <w:szCs w:val="20"/>
          <w:lang w:val="es-CR"/>
        </w:rPr>
        <w:t xml:space="preserve"> </w:t>
      </w:r>
      <w:r w:rsidR="00B858C2" w:rsidRPr="002B4E6D">
        <w:rPr>
          <w:szCs w:val="20"/>
          <w:lang w:val="es-CR"/>
        </w:rPr>
        <w:t>informada</w:t>
      </w:r>
      <w:r w:rsidR="009D4440" w:rsidRPr="002B4E6D">
        <w:rPr>
          <w:szCs w:val="20"/>
          <w:lang w:val="es-CR"/>
        </w:rPr>
        <w:t xml:space="preserve"> sobre </w:t>
      </w:r>
      <w:r w:rsidRPr="002B4E6D">
        <w:rPr>
          <w:szCs w:val="20"/>
          <w:lang w:val="es-CR"/>
        </w:rPr>
        <w:t>l</w:t>
      </w:r>
      <w:r w:rsidR="009D4440" w:rsidRPr="002B4E6D">
        <w:rPr>
          <w:szCs w:val="20"/>
          <w:lang w:val="es-CR"/>
        </w:rPr>
        <w:t xml:space="preserve">as medidas </w:t>
      </w:r>
      <w:r w:rsidRPr="002B4E6D">
        <w:rPr>
          <w:szCs w:val="20"/>
          <w:lang w:val="es-CR"/>
        </w:rPr>
        <w:t>adoptadas</w:t>
      </w:r>
      <w:r w:rsidR="005F3E72" w:rsidRPr="002B4E6D">
        <w:rPr>
          <w:szCs w:val="20"/>
          <w:lang w:val="es-CR"/>
        </w:rPr>
        <w:t xml:space="preserve"> </w:t>
      </w:r>
      <w:r w:rsidR="009D4440" w:rsidRPr="002B4E6D">
        <w:rPr>
          <w:szCs w:val="20"/>
          <w:lang w:val="es-CR"/>
        </w:rPr>
        <w:t xml:space="preserve">para </w:t>
      </w:r>
      <w:r w:rsidRPr="002B4E6D">
        <w:rPr>
          <w:szCs w:val="20"/>
          <w:lang w:val="es-CR"/>
        </w:rPr>
        <w:t>el</w:t>
      </w:r>
      <w:r w:rsidR="00D94189" w:rsidRPr="002B4E6D">
        <w:rPr>
          <w:szCs w:val="20"/>
          <w:lang w:val="es-CR"/>
        </w:rPr>
        <w:t xml:space="preserve"> </w:t>
      </w:r>
      <w:r w:rsidRPr="002B4E6D">
        <w:rPr>
          <w:szCs w:val="20"/>
          <w:lang w:val="es-CR"/>
        </w:rPr>
        <w:t>cumplimento</w:t>
      </w:r>
      <w:r w:rsidR="00D94189" w:rsidRPr="002B4E6D">
        <w:rPr>
          <w:szCs w:val="20"/>
          <w:lang w:val="es-CR"/>
        </w:rPr>
        <w:t xml:space="preserve"> </w:t>
      </w:r>
      <w:r w:rsidRPr="002B4E6D">
        <w:rPr>
          <w:szCs w:val="20"/>
          <w:lang w:val="es-CR"/>
        </w:rPr>
        <w:t>de las</w:t>
      </w:r>
      <w:r w:rsidR="00D94189" w:rsidRPr="002B4E6D">
        <w:rPr>
          <w:szCs w:val="20"/>
          <w:lang w:val="es-CR"/>
        </w:rPr>
        <w:t xml:space="preserve"> </w:t>
      </w:r>
      <w:r w:rsidR="009D4440" w:rsidRPr="002B4E6D">
        <w:rPr>
          <w:szCs w:val="20"/>
          <w:lang w:val="es-CR"/>
        </w:rPr>
        <w:t xml:space="preserve">medidas </w:t>
      </w:r>
      <w:r w:rsidR="00945D4E" w:rsidRPr="002B4E6D">
        <w:rPr>
          <w:szCs w:val="20"/>
          <w:lang w:val="es-CR"/>
        </w:rPr>
        <w:t>provisionales</w:t>
      </w:r>
      <w:r w:rsidR="005F3E72" w:rsidRPr="002B4E6D">
        <w:rPr>
          <w:szCs w:val="20"/>
          <w:lang w:val="es-CR"/>
        </w:rPr>
        <w:t xml:space="preserve"> </w:t>
      </w:r>
      <w:r w:rsidR="009D4440" w:rsidRPr="002B4E6D">
        <w:rPr>
          <w:szCs w:val="20"/>
          <w:lang w:val="es-CR"/>
        </w:rPr>
        <w:t>ordenadas</w:t>
      </w:r>
      <w:r w:rsidR="00D94189" w:rsidRPr="002B4E6D">
        <w:rPr>
          <w:szCs w:val="20"/>
          <w:lang w:val="es-CR"/>
        </w:rPr>
        <w:t>,</w:t>
      </w:r>
      <w:r w:rsidR="009D4440" w:rsidRPr="002B4E6D">
        <w:rPr>
          <w:szCs w:val="20"/>
          <w:lang w:val="es-CR"/>
        </w:rPr>
        <w:t xml:space="preserve"> </w:t>
      </w:r>
      <w:r w:rsidRPr="002B4E6D">
        <w:rPr>
          <w:szCs w:val="20"/>
          <w:lang w:val="es-CR"/>
        </w:rPr>
        <w:t>y</w:t>
      </w:r>
      <w:r w:rsidR="005F3E72" w:rsidRPr="002B4E6D">
        <w:rPr>
          <w:szCs w:val="20"/>
          <w:lang w:val="es-CR"/>
        </w:rPr>
        <w:t xml:space="preserve"> </w:t>
      </w:r>
      <w:r w:rsidR="009D4440" w:rsidRPr="002B4E6D">
        <w:rPr>
          <w:szCs w:val="20"/>
          <w:lang w:val="es-CR"/>
        </w:rPr>
        <w:t xml:space="preserve">que </w:t>
      </w:r>
      <w:r w:rsidRPr="002B4E6D">
        <w:rPr>
          <w:szCs w:val="20"/>
          <w:lang w:val="es-CR"/>
        </w:rPr>
        <w:t>les</w:t>
      </w:r>
      <w:r w:rsidR="009D4440" w:rsidRPr="002B4E6D">
        <w:rPr>
          <w:szCs w:val="20"/>
          <w:lang w:val="es-CR"/>
        </w:rPr>
        <w:t xml:space="preserve"> garant</w:t>
      </w:r>
      <w:r w:rsidRPr="002B4E6D">
        <w:rPr>
          <w:szCs w:val="20"/>
          <w:lang w:val="es-CR"/>
        </w:rPr>
        <w:t>ice</w:t>
      </w:r>
      <w:r w:rsidR="009D4440" w:rsidRPr="002B4E6D">
        <w:rPr>
          <w:szCs w:val="20"/>
          <w:lang w:val="es-CR"/>
        </w:rPr>
        <w:t xml:space="preserve"> </w:t>
      </w:r>
      <w:r w:rsidRPr="002B4E6D">
        <w:rPr>
          <w:szCs w:val="20"/>
          <w:lang w:val="es-CR"/>
        </w:rPr>
        <w:t>el acceso</w:t>
      </w:r>
      <w:r w:rsidR="00D94189" w:rsidRPr="002B4E6D">
        <w:rPr>
          <w:szCs w:val="20"/>
          <w:lang w:val="es-CR"/>
        </w:rPr>
        <w:t xml:space="preserve"> </w:t>
      </w:r>
      <w:r w:rsidRPr="002B4E6D">
        <w:rPr>
          <w:szCs w:val="20"/>
          <w:lang w:val="es-CR"/>
        </w:rPr>
        <w:t>amplio</w:t>
      </w:r>
      <w:r w:rsidR="00D94189" w:rsidRPr="002B4E6D">
        <w:rPr>
          <w:szCs w:val="20"/>
          <w:lang w:val="es-CR"/>
        </w:rPr>
        <w:t xml:space="preserve"> e </w:t>
      </w:r>
      <w:r w:rsidRPr="002B4E6D">
        <w:rPr>
          <w:szCs w:val="20"/>
          <w:lang w:val="es-CR"/>
        </w:rPr>
        <w:t>irrestricto</w:t>
      </w:r>
      <w:r w:rsidR="00D94189" w:rsidRPr="002B4E6D">
        <w:rPr>
          <w:szCs w:val="20"/>
          <w:lang w:val="es-CR"/>
        </w:rPr>
        <w:t xml:space="preserve"> </w:t>
      </w:r>
      <w:r w:rsidRPr="002B4E6D">
        <w:rPr>
          <w:szCs w:val="20"/>
          <w:lang w:val="es-CR"/>
        </w:rPr>
        <w:t>al</w:t>
      </w:r>
      <w:r w:rsidR="00D94189" w:rsidRPr="002B4E6D">
        <w:rPr>
          <w:szCs w:val="20"/>
          <w:lang w:val="es-CR"/>
        </w:rPr>
        <w:t xml:space="preserve"> </w:t>
      </w:r>
      <w:r w:rsidR="009D4440" w:rsidRPr="002B4E6D">
        <w:rPr>
          <w:szCs w:val="20"/>
          <w:lang w:val="es-CR"/>
        </w:rPr>
        <w:t xml:space="preserve">Instituto Penal Plácido de </w:t>
      </w:r>
      <w:proofErr w:type="spellStart"/>
      <w:r w:rsidR="009D4440" w:rsidRPr="002B4E6D">
        <w:rPr>
          <w:szCs w:val="20"/>
          <w:lang w:val="es-CR"/>
        </w:rPr>
        <w:t>Sá</w:t>
      </w:r>
      <w:proofErr w:type="spellEnd"/>
      <w:r w:rsidR="009D4440" w:rsidRPr="002B4E6D">
        <w:rPr>
          <w:szCs w:val="20"/>
          <w:lang w:val="es-CR"/>
        </w:rPr>
        <w:t xml:space="preserve"> Carvalho, </w:t>
      </w:r>
      <w:r w:rsidRPr="002B4E6D">
        <w:rPr>
          <w:szCs w:val="20"/>
          <w:lang w:val="es-CR"/>
        </w:rPr>
        <w:t>con</w:t>
      </w:r>
      <w:r w:rsidR="00D94189" w:rsidRPr="002B4E6D">
        <w:rPr>
          <w:szCs w:val="20"/>
          <w:lang w:val="es-CR"/>
        </w:rPr>
        <w:t xml:space="preserve"> </w:t>
      </w:r>
      <w:r w:rsidRPr="002B4E6D">
        <w:rPr>
          <w:szCs w:val="20"/>
          <w:lang w:val="es-CR"/>
        </w:rPr>
        <w:t>el</w:t>
      </w:r>
      <w:r w:rsidR="00D94189" w:rsidRPr="002B4E6D">
        <w:rPr>
          <w:szCs w:val="20"/>
          <w:lang w:val="es-CR"/>
        </w:rPr>
        <w:t xml:space="preserve"> </w:t>
      </w:r>
      <w:r w:rsidR="009D4440" w:rsidRPr="002B4E6D">
        <w:rPr>
          <w:szCs w:val="20"/>
          <w:lang w:val="es-CR"/>
        </w:rPr>
        <w:t xml:space="preserve">exclusivo propósito de </w:t>
      </w:r>
      <w:r w:rsidR="003B3A44">
        <w:rPr>
          <w:szCs w:val="20"/>
          <w:lang w:val="es-CR"/>
        </w:rPr>
        <w:t>dar seguimiento</w:t>
      </w:r>
      <w:r w:rsidR="00D94189" w:rsidRPr="002B4E6D">
        <w:rPr>
          <w:szCs w:val="20"/>
          <w:lang w:val="es-CR"/>
        </w:rPr>
        <w:t xml:space="preserve"> </w:t>
      </w:r>
      <w:r w:rsidRPr="002B4E6D">
        <w:rPr>
          <w:szCs w:val="20"/>
          <w:lang w:val="es-CR"/>
        </w:rPr>
        <w:t>y</w:t>
      </w:r>
      <w:r w:rsidR="00D94189" w:rsidRPr="002B4E6D">
        <w:rPr>
          <w:szCs w:val="20"/>
          <w:lang w:val="es-CR"/>
        </w:rPr>
        <w:t xml:space="preserve"> </w:t>
      </w:r>
      <w:r w:rsidR="009D4440" w:rsidRPr="002B4E6D">
        <w:rPr>
          <w:szCs w:val="20"/>
          <w:lang w:val="es-CR"/>
        </w:rPr>
        <w:t xml:space="preserve">documentar </w:t>
      </w:r>
      <w:r w:rsidR="003B3A44" w:rsidRPr="00F57FA4">
        <w:rPr>
          <w:szCs w:val="20"/>
          <w:lang w:val="es-CO"/>
        </w:rPr>
        <w:t xml:space="preserve">fehacientemente </w:t>
      </w:r>
      <w:r w:rsidRPr="002B4E6D">
        <w:rPr>
          <w:szCs w:val="20"/>
          <w:lang w:val="es-CR"/>
        </w:rPr>
        <w:t>l</w:t>
      </w:r>
      <w:r w:rsidR="00D94189" w:rsidRPr="002B4E6D">
        <w:rPr>
          <w:szCs w:val="20"/>
          <w:lang w:val="es-CR"/>
        </w:rPr>
        <w:t xml:space="preserve">a </w:t>
      </w:r>
      <w:r w:rsidR="009D4440" w:rsidRPr="002B4E6D">
        <w:rPr>
          <w:szCs w:val="20"/>
          <w:lang w:val="es-CR"/>
        </w:rPr>
        <w:t>implementa</w:t>
      </w:r>
      <w:r w:rsidR="00AA1A37" w:rsidRPr="002B4E6D">
        <w:rPr>
          <w:szCs w:val="20"/>
          <w:lang w:val="es-CR"/>
        </w:rPr>
        <w:t>ción</w:t>
      </w:r>
      <w:r w:rsidR="009D4440" w:rsidRPr="002B4E6D">
        <w:rPr>
          <w:szCs w:val="20"/>
          <w:lang w:val="es-CR"/>
        </w:rPr>
        <w:t xml:space="preserve"> </w:t>
      </w:r>
      <w:r w:rsidR="00807A14" w:rsidRPr="002B4E6D">
        <w:rPr>
          <w:szCs w:val="20"/>
          <w:lang w:val="es-CR"/>
        </w:rPr>
        <w:t>d</w:t>
      </w:r>
      <w:r w:rsidRPr="002B4E6D">
        <w:rPr>
          <w:szCs w:val="20"/>
          <w:lang w:val="es-CR"/>
        </w:rPr>
        <w:t>e la</w:t>
      </w:r>
      <w:r w:rsidR="00807A14" w:rsidRPr="002B4E6D">
        <w:rPr>
          <w:szCs w:val="20"/>
          <w:lang w:val="es-CR"/>
        </w:rPr>
        <w:t xml:space="preserve">s </w:t>
      </w:r>
      <w:r w:rsidR="009D4440" w:rsidRPr="002B4E6D">
        <w:rPr>
          <w:szCs w:val="20"/>
          <w:lang w:val="es-CR"/>
        </w:rPr>
        <w:t>presentes medidas.</w:t>
      </w:r>
    </w:p>
    <w:p w14:paraId="3B918CFC" w14:textId="77777777" w:rsidR="009D4440" w:rsidRPr="002B4E6D" w:rsidRDefault="009D4440" w:rsidP="00B069CF">
      <w:pPr>
        <w:pStyle w:val="BodyTextIndent"/>
        <w:spacing w:after="0"/>
        <w:ind w:left="0"/>
        <w:rPr>
          <w:rFonts w:eastAsia="Times"/>
          <w:szCs w:val="20"/>
          <w:lang w:val="es-CR"/>
        </w:rPr>
      </w:pPr>
    </w:p>
    <w:p w14:paraId="374FCE97" w14:textId="2316C0AC" w:rsidR="004553F4" w:rsidRPr="002E1BF1" w:rsidRDefault="000B2356" w:rsidP="00B069CF">
      <w:pPr>
        <w:pStyle w:val="BodyTextIndent"/>
        <w:numPr>
          <w:ilvl w:val="0"/>
          <w:numId w:val="15"/>
        </w:numPr>
        <w:tabs>
          <w:tab w:val="clear" w:pos="648"/>
        </w:tabs>
        <w:spacing w:after="0"/>
        <w:rPr>
          <w:b/>
          <w:i/>
          <w:szCs w:val="20"/>
          <w:lang w:val="es-CR"/>
        </w:rPr>
      </w:pPr>
      <w:r w:rsidRPr="002B4E6D">
        <w:rPr>
          <w:szCs w:val="20"/>
          <w:lang w:val="es-CR"/>
        </w:rPr>
        <w:t>Requerir</w:t>
      </w:r>
      <w:r w:rsidR="00D94189" w:rsidRPr="002B4E6D">
        <w:rPr>
          <w:szCs w:val="20"/>
          <w:lang w:val="es-CR"/>
        </w:rPr>
        <w:t xml:space="preserve"> </w:t>
      </w:r>
      <w:r w:rsidRPr="002B4E6D">
        <w:rPr>
          <w:szCs w:val="20"/>
          <w:lang w:val="es-CR"/>
        </w:rPr>
        <w:t>al</w:t>
      </w:r>
      <w:r w:rsidR="00D94189" w:rsidRPr="002B4E6D">
        <w:rPr>
          <w:szCs w:val="20"/>
          <w:lang w:val="es-CR"/>
        </w:rPr>
        <w:t xml:space="preserve"> </w:t>
      </w:r>
      <w:r w:rsidR="009D4440" w:rsidRPr="002B4E6D">
        <w:rPr>
          <w:szCs w:val="20"/>
          <w:lang w:val="es-CR"/>
        </w:rPr>
        <w:t xml:space="preserve">Estado que </w:t>
      </w:r>
      <w:r w:rsidRPr="002B4E6D">
        <w:rPr>
          <w:szCs w:val="20"/>
          <w:lang w:val="es-CR"/>
        </w:rPr>
        <w:t>continúe</w:t>
      </w:r>
      <w:r w:rsidR="009D4440" w:rsidRPr="002B4E6D">
        <w:rPr>
          <w:szCs w:val="20"/>
          <w:lang w:val="es-CR"/>
        </w:rPr>
        <w:t xml:space="preserve"> informando a</w:t>
      </w:r>
      <w:r w:rsidRPr="002B4E6D">
        <w:rPr>
          <w:szCs w:val="20"/>
          <w:lang w:val="es-CR"/>
        </w:rPr>
        <w:t xml:space="preserve"> la</w:t>
      </w:r>
      <w:r w:rsidR="009D4440" w:rsidRPr="002B4E6D">
        <w:rPr>
          <w:szCs w:val="20"/>
          <w:lang w:val="es-CR"/>
        </w:rPr>
        <w:t xml:space="preserve"> Corte Interamericana de </w:t>
      </w:r>
      <w:r w:rsidR="00AA1A37" w:rsidRPr="002B4E6D">
        <w:rPr>
          <w:szCs w:val="20"/>
          <w:lang w:val="es-CR"/>
        </w:rPr>
        <w:t>Derechos</w:t>
      </w:r>
      <w:r w:rsidR="005F3E72" w:rsidRPr="002B4E6D">
        <w:rPr>
          <w:szCs w:val="20"/>
          <w:lang w:val="es-CR"/>
        </w:rPr>
        <w:t xml:space="preserve"> </w:t>
      </w:r>
      <w:r w:rsidR="009D4440" w:rsidRPr="002B4E6D">
        <w:rPr>
          <w:szCs w:val="20"/>
          <w:lang w:val="es-CR"/>
        </w:rPr>
        <w:t>Humanos</w:t>
      </w:r>
      <w:r w:rsidR="00D94189" w:rsidRPr="002B4E6D">
        <w:rPr>
          <w:szCs w:val="20"/>
          <w:lang w:val="es-CR"/>
        </w:rPr>
        <w:t xml:space="preserve">, </w:t>
      </w:r>
      <w:r w:rsidR="009D4440" w:rsidRPr="002B4E6D">
        <w:rPr>
          <w:szCs w:val="20"/>
          <w:lang w:val="es-CR"/>
        </w:rPr>
        <w:t xml:space="preserve">cada </w:t>
      </w:r>
      <w:r w:rsidRPr="002B4E6D">
        <w:rPr>
          <w:szCs w:val="20"/>
          <w:lang w:val="es-CR"/>
        </w:rPr>
        <w:t>tres</w:t>
      </w:r>
      <w:r w:rsidR="009D4440" w:rsidRPr="002B4E6D">
        <w:rPr>
          <w:szCs w:val="20"/>
          <w:lang w:val="es-CR"/>
        </w:rPr>
        <w:t xml:space="preserve"> meses, </w:t>
      </w:r>
      <w:r w:rsidR="00CC6A5B" w:rsidRPr="002B4E6D">
        <w:rPr>
          <w:szCs w:val="20"/>
          <w:lang w:val="es-CR"/>
        </w:rPr>
        <w:t>c</w:t>
      </w:r>
      <w:r w:rsidRPr="002B4E6D">
        <w:rPr>
          <w:szCs w:val="20"/>
          <w:lang w:val="es-CR"/>
        </w:rPr>
        <w:t>o</w:t>
      </w:r>
      <w:r w:rsidR="00CC6A5B" w:rsidRPr="002B4E6D">
        <w:rPr>
          <w:szCs w:val="20"/>
          <w:lang w:val="es-CR"/>
        </w:rPr>
        <w:t>nta</w:t>
      </w:r>
      <w:r w:rsidR="009D4440" w:rsidRPr="002B4E6D">
        <w:rPr>
          <w:szCs w:val="20"/>
          <w:lang w:val="es-CR"/>
        </w:rPr>
        <w:t xml:space="preserve">dos a partir </w:t>
      </w:r>
      <w:r w:rsidRPr="002B4E6D">
        <w:rPr>
          <w:szCs w:val="20"/>
          <w:lang w:val="es-CR"/>
        </w:rPr>
        <w:t>de la</w:t>
      </w:r>
      <w:r w:rsidR="00781069" w:rsidRPr="002B4E6D">
        <w:rPr>
          <w:szCs w:val="20"/>
          <w:lang w:val="es-CR"/>
        </w:rPr>
        <w:t xml:space="preserve"> </w:t>
      </w:r>
      <w:r w:rsidR="009D4440" w:rsidRPr="002B4E6D">
        <w:rPr>
          <w:szCs w:val="20"/>
          <w:lang w:val="es-CR"/>
        </w:rPr>
        <w:t>notifica</w:t>
      </w:r>
      <w:r w:rsidR="00AA1A37" w:rsidRPr="002B4E6D">
        <w:rPr>
          <w:szCs w:val="20"/>
          <w:lang w:val="es-CR"/>
        </w:rPr>
        <w:t>ción</w:t>
      </w:r>
      <w:r w:rsidR="009D4440" w:rsidRPr="002B4E6D">
        <w:rPr>
          <w:szCs w:val="20"/>
          <w:lang w:val="es-CR"/>
        </w:rPr>
        <w:t xml:space="preserve"> </w:t>
      </w:r>
      <w:r w:rsidR="00781069" w:rsidRPr="002B4E6D">
        <w:rPr>
          <w:szCs w:val="20"/>
          <w:lang w:val="es-CR"/>
        </w:rPr>
        <w:t>d</w:t>
      </w:r>
      <w:r w:rsidRPr="002B4E6D">
        <w:rPr>
          <w:szCs w:val="20"/>
          <w:lang w:val="es-CR"/>
        </w:rPr>
        <w:t>e l</w:t>
      </w:r>
      <w:r w:rsidR="00781069" w:rsidRPr="002B4E6D">
        <w:rPr>
          <w:szCs w:val="20"/>
          <w:lang w:val="es-CR"/>
        </w:rPr>
        <w:t xml:space="preserve">a </w:t>
      </w:r>
      <w:r w:rsidR="009D4440" w:rsidRPr="002B4E6D">
        <w:rPr>
          <w:szCs w:val="20"/>
          <w:lang w:val="es-CR"/>
        </w:rPr>
        <w:t xml:space="preserve">presente </w:t>
      </w:r>
      <w:r w:rsidR="00485931" w:rsidRPr="002B4E6D">
        <w:rPr>
          <w:szCs w:val="20"/>
          <w:lang w:val="es-CR"/>
        </w:rPr>
        <w:t>R</w:t>
      </w:r>
      <w:r w:rsidR="009D4440" w:rsidRPr="002B4E6D">
        <w:rPr>
          <w:szCs w:val="20"/>
          <w:lang w:val="es-CR"/>
        </w:rPr>
        <w:t>esolu</w:t>
      </w:r>
      <w:r w:rsidR="00AA1A37" w:rsidRPr="002B4E6D">
        <w:rPr>
          <w:szCs w:val="20"/>
          <w:lang w:val="es-CR"/>
        </w:rPr>
        <w:t>ción</w:t>
      </w:r>
      <w:r w:rsidR="009D4440" w:rsidRPr="002B4E6D">
        <w:rPr>
          <w:szCs w:val="20"/>
          <w:lang w:val="es-CR"/>
        </w:rPr>
        <w:t xml:space="preserve">, sobre </w:t>
      </w:r>
      <w:r w:rsidRPr="002B4E6D">
        <w:rPr>
          <w:szCs w:val="20"/>
          <w:lang w:val="es-CR"/>
        </w:rPr>
        <w:t>l</w:t>
      </w:r>
      <w:r w:rsidR="009D4440" w:rsidRPr="002B4E6D">
        <w:rPr>
          <w:szCs w:val="20"/>
          <w:lang w:val="es-CR"/>
        </w:rPr>
        <w:t>a implementa</w:t>
      </w:r>
      <w:r w:rsidR="00AA1A37" w:rsidRPr="002B4E6D">
        <w:rPr>
          <w:szCs w:val="20"/>
          <w:lang w:val="es-CR"/>
        </w:rPr>
        <w:t>ción</w:t>
      </w:r>
      <w:r w:rsidR="009D4440" w:rsidRPr="002B4E6D">
        <w:rPr>
          <w:szCs w:val="20"/>
          <w:lang w:val="es-CR"/>
        </w:rPr>
        <w:t xml:space="preserve"> </w:t>
      </w:r>
      <w:r w:rsidR="00807A14" w:rsidRPr="002B4E6D">
        <w:rPr>
          <w:szCs w:val="20"/>
          <w:lang w:val="es-CR"/>
        </w:rPr>
        <w:t>d</w:t>
      </w:r>
      <w:r w:rsidRPr="002B4E6D">
        <w:rPr>
          <w:szCs w:val="20"/>
          <w:lang w:val="es-CR"/>
        </w:rPr>
        <w:t>e l</w:t>
      </w:r>
      <w:r w:rsidR="00807A14" w:rsidRPr="002B4E6D">
        <w:rPr>
          <w:szCs w:val="20"/>
          <w:lang w:val="es-CR"/>
        </w:rPr>
        <w:t xml:space="preserve">as </w:t>
      </w:r>
      <w:r w:rsidR="009D4440" w:rsidRPr="002B4E6D">
        <w:rPr>
          <w:szCs w:val="20"/>
          <w:lang w:val="es-CR"/>
        </w:rPr>
        <w:t xml:space="preserve">medidas </w:t>
      </w:r>
      <w:r w:rsidR="00945D4E" w:rsidRPr="002B4E6D">
        <w:rPr>
          <w:szCs w:val="20"/>
          <w:lang w:val="es-CR"/>
        </w:rPr>
        <w:t>provisionales</w:t>
      </w:r>
      <w:r w:rsidR="005F3E72" w:rsidRPr="002B4E6D">
        <w:rPr>
          <w:szCs w:val="20"/>
          <w:lang w:val="es-CR"/>
        </w:rPr>
        <w:t xml:space="preserve"> </w:t>
      </w:r>
      <w:r w:rsidRPr="002B4E6D">
        <w:rPr>
          <w:szCs w:val="20"/>
          <w:lang w:val="es-CR"/>
        </w:rPr>
        <w:t>adoptadas</w:t>
      </w:r>
      <w:r w:rsidR="005F3E72" w:rsidRPr="002B4E6D">
        <w:rPr>
          <w:szCs w:val="20"/>
          <w:lang w:val="es-CR"/>
        </w:rPr>
        <w:t xml:space="preserve"> </w:t>
      </w:r>
      <w:r w:rsidR="003B3A44">
        <w:rPr>
          <w:szCs w:val="20"/>
          <w:lang w:val="es-CR"/>
        </w:rPr>
        <w:t>de</w:t>
      </w:r>
      <w:r w:rsidR="00D94189" w:rsidRPr="002B4E6D">
        <w:rPr>
          <w:szCs w:val="20"/>
          <w:lang w:val="es-CR"/>
        </w:rPr>
        <w:t xml:space="preserve"> </w:t>
      </w:r>
      <w:r w:rsidRPr="002B4E6D">
        <w:rPr>
          <w:szCs w:val="20"/>
          <w:lang w:val="es-CR"/>
        </w:rPr>
        <w:t>conformidad</w:t>
      </w:r>
      <w:r w:rsidR="00D94189" w:rsidRPr="002B4E6D">
        <w:rPr>
          <w:szCs w:val="20"/>
          <w:lang w:val="es-CR"/>
        </w:rPr>
        <w:t xml:space="preserve"> </w:t>
      </w:r>
      <w:r w:rsidRPr="002B4E6D">
        <w:rPr>
          <w:szCs w:val="20"/>
          <w:lang w:val="es-CR"/>
        </w:rPr>
        <w:t>con</w:t>
      </w:r>
      <w:r w:rsidR="00D94189" w:rsidRPr="002B4E6D">
        <w:rPr>
          <w:szCs w:val="20"/>
          <w:lang w:val="es-CR"/>
        </w:rPr>
        <w:t xml:space="preserve"> esta </w:t>
      </w:r>
      <w:r w:rsidRPr="002B4E6D">
        <w:rPr>
          <w:szCs w:val="20"/>
          <w:lang w:val="es-CR"/>
        </w:rPr>
        <w:t>decisión</w:t>
      </w:r>
      <w:r w:rsidR="00D94189" w:rsidRPr="002B4E6D">
        <w:rPr>
          <w:szCs w:val="20"/>
          <w:lang w:val="es-CR"/>
        </w:rPr>
        <w:t xml:space="preserve"> </w:t>
      </w:r>
      <w:r w:rsidRPr="002B4E6D">
        <w:rPr>
          <w:szCs w:val="20"/>
          <w:lang w:val="es-CR"/>
        </w:rPr>
        <w:t>y</w:t>
      </w:r>
      <w:r w:rsidR="00D94189" w:rsidRPr="002B4E6D">
        <w:rPr>
          <w:szCs w:val="20"/>
          <w:lang w:val="es-CR"/>
        </w:rPr>
        <w:t xml:space="preserve"> </w:t>
      </w:r>
      <w:r w:rsidRPr="002B4E6D">
        <w:rPr>
          <w:szCs w:val="20"/>
          <w:lang w:val="es-CR"/>
        </w:rPr>
        <w:t>sus</w:t>
      </w:r>
      <w:r w:rsidR="00D94189" w:rsidRPr="002B4E6D">
        <w:rPr>
          <w:szCs w:val="20"/>
          <w:lang w:val="es-CR"/>
        </w:rPr>
        <w:t xml:space="preserve"> </w:t>
      </w:r>
      <w:r w:rsidRPr="002B4E6D">
        <w:rPr>
          <w:szCs w:val="20"/>
          <w:lang w:val="es-CR"/>
        </w:rPr>
        <w:t>efectos</w:t>
      </w:r>
      <w:r w:rsidR="009D4440" w:rsidRPr="002B4E6D">
        <w:rPr>
          <w:szCs w:val="20"/>
          <w:lang w:val="es-CR"/>
        </w:rPr>
        <w:t>.</w:t>
      </w:r>
      <w:r w:rsidR="004553F4" w:rsidRPr="002B4E6D">
        <w:rPr>
          <w:szCs w:val="20"/>
          <w:lang w:val="es-CR"/>
        </w:rPr>
        <w:t xml:space="preserve"> </w:t>
      </w:r>
    </w:p>
    <w:p w14:paraId="68718954" w14:textId="77777777" w:rsidR="002E1BF1" w:rsidRDefault="002E1BF1" w:rsidP="002E1BF1">
      <w:pPr>
        <w:pStyle w:val="ListParagraph"/>
        <w:rPr>
          <w:b/>
          <w:i/>
          <w:szCs w:val="20"/>
          <w:lang w:val="es-CR"/>
        </w:rPr>
      </w:pPr>
    </w:p>
    <w:p w14:paraId="5DAE600F" w14:textId="53D1A8C1" w:rsidR="009D4440" w:rsidRPr="002B4E6D" w:rsidRDefault="000B2356" w:rsidP="00B069CF">
      <w:pPr>
        <w:pStyle w:val="BodyText"/>
        <w:widowControl w:val="0"/>
        <w:numPr>
          <w:ilvl w:val="0"/>
          <w:numId w:val="15"/>
        </w:numPr>
        <w:tabs>
          <w:tab w:val="clear" w:pos="648"/>
        </w:tabs>
        <w:spacing w:after="0"/>
        <w:rPr>
          <w:szCs w:val="20"/>
          <w:lang w:val="es-CR"/>
        </w:rPr>
      </w:pPr>
      <w:r w:rsidRPr="002B4E6D">
        <w:rPr>
          <w:szCs w:val="20"/>
          <w:lang w:val="es-CR"/>
        </w:rPr>
        <w:t>Requerir</w:t>
      </w:r>
      <w:r w:rsidR="009D4440" w:rsidRPr="002B4E6D">
        <w:rPr>
          <w:szCs w:val="20"/>
          <w:lang w:val="es-CR"/>
        </w:rPr>
        <w:t xml:space="preserve"> a</w:t>
      </w:r>
      <w:r w:rsidRPr="002B4E6D">
        <w:rPr>
          <w:szCs w:val="20"/>
          <w:lang w:val="es-CR"/>
        </w:rPr>
        <w:t xml:space="preserve"> l</w:t>
      </w:r>
      <w:r w:rsidR="009D4440" w:rsidRPr="002B4E6D">
        <w:rPr>
          <w:szCs w:val="20"/>
          <w:lang w:val="es-CR"/>
        </w:rPr>
        <w:t xml:space="preserve">os representantes </w:t>
      </w:r>
      <w:r w:rsidR="0084358C" w:rsidRPr="002B4E6D">
        <w:rPr>
          <w:szCs w:val="20"/>
          <w:lang w:val="es-CR"/>
        </w:rPr>
        <w:t>d</w:t>
      </w:r>
      <w:r w:rsidRPr="002B4E6D">
        <w:rPr>
          <w:szCs w:val="20"/>
          <w:lang w:val="es-CR"/>
        </w:rPr>
        <w:t>e l</w:t>
      </w:r>
      <w:r w:rsidR="0084358C" w:rsidRPr="002B4E6D">
        <w:rPr>
          <w:szCs w:val="20"/>
          <w:lang w:val="es-CR"/>
        </w:rPr>
        <w:t xml:space="preserve">os </w:t>
      </w:r>
      <w:r w:rsidRPr="002B4E6D">
        <w:rPr>
          <w:szCs w:val="20"/>
          <w:lang w:val="es-CR"/>
        </w:rPr>
        <w:t>beneficiarios</w:t>
      </w:r>
      <w:r w:rsidR="005F3E72" w:rsidRPr="002B4E6D">
        <w:rPr>
          <w:szCs w:val="20"/>
          <w:lang w:val="es-CR"/>
        </w:rPr>
        <w:t xml:space="preserve"> </w:t>
      </w:r>
      <w:r w:rsidR="009D4440" w:rsidRPr="002B4E6D">
        <w:rPr>
          <w:szCs w:val="20"/>
          <w:lang w:val="es-CR"/>
        </w:rPr>
        <w:t xml:space="preserve">que </w:t>
      </w:r>
      <w:r w:rsidRPr="002B4E6D">
        <w:rPr>
          <w:szCs w:val="20"/>
          <w:lang w:val="es-CR"/>
        </w:rPr>
        <w:t>presenten</w:t>
      </w:r>
      <w:r w:rsidR="00D94189" w:rsidRPr="002B4E6D">
        <w:rPr>
          <w:szCs w:val="20"/>
          <w:lang w:val="es-CR"/>
        </w:rPr>
        <w:t xml:space="preserve"> </w:t>
      </w:r>
      <w:r w:rsidRPr="002B4E6D">
        <w:rPr>
          <w:szCs w:val="20"/>
          <w:lang w:val="es-CR"/>
        </w:rPr>
        <w:t>las</w:t>
      </w:r>
      <w:r w:rsidR="00D94189" w:rsidRPr="002B4E6D">
        <w:rPr>
          <w:szCs w:val="20"/>
          <w:lang w:val="es-CR"/>
        </w:rPr>
        <w:t xml:space="preserve"> </w:t>
      </w:r>
      <w:r w:rsidR="00945D4E" w:rsidRPr="002B4E6D">
        <w:rPr>
          <w:szCs w:val="20"/>
          <w:lang w:val="es-CR"/>
        </w:rPr>
        <w:t>observaciones</w:t>
      </w:r>
      <w:r w:rsidR="009D4440" w:rsidRPr="002B4E6D">
        <w:rPr>
          <w:szCs w:val="20"/>
          <w:lang w:val="es-CR"/>
        </w:rPr>
        <w:t xml:space="preserve"> que </w:t>
      </w:r>
      <w:r w:rsidR="008F1939">
        <w:rPr>
          <w:szCs w:val="20"/>
          <w:lang w:val="es-CR"/>
        </w:rPr>
        <w:t>estimen</w:t>
      </w:r>
      <w:r w:rsidR="00D94189" w:rsidRPr="002B4E6D">
        <w:rPr>
          <w:szCs w:val="20"/>
          <w:lang w:val="es-CR"/>
        </w:rPr>
        <w:t xml:space="preserve"> </w:t>
      </w:r>
      <w:r w:rsidR="009D4440" w:rsidRPr="002B4E6D">
        <w:rPr>
          <w:szCs w:val="20"/>
          <w:lang w:val="es-CR"/>
        </w:rPr>
        <w:t xml:space="preserve">pertinentes </w:t>
      </w:r>
      <w:r w:rsidR="00D94189" w:rsidRPr="002B4E6D">
        <w:rPr>
          <w:szCs w:val="20"/>
          <w:lang w:val="es-CR"/>
        </w:rPr>
        <w:t xml:space="preserve">sobre </w:t>
      </w:r>
      <w:r w:rsidRPr="002B4E6D">
        <w:rPr>
          <w:szCs w:val="20"/>
          <w:lang w:val="es-CR"/>
        </w:rPr>
        <w:t>el</w:t>
      </w:r>
      <w:r w:rsidR="00D94189" w:rsidRPr="002B4E6D">
        <w:rPr>
          <w:szCs w:val="20"/>
          <w:lang w:val="es-CR"/>
        </w:rPr>
        <w:t xml:space="preserve"> </w:t>
      </w:r>
      <w:r w:rsidR="00B12DBC" w:rsidRPr="002B4E6D">
        <w:rPr>
          <w:szCs w:val="20"/>
          <w:lang w:val="es-CR"/>
        </w:rPr>
        <w:t>informe</w:t>
      </w:r>
      <w:r w:rsidR="00D94189" w:rsidRPr="002B4E6D">
        <w:rPr>
          <w:szCs w:val="20"/>
          <w:lang w:val="es-CR"/>
        </w:rPr>
        <w:t xml:space="preserve"> a</w:t>
      </w:r>
      <w:r w:rsidR="003B3A44">
        <w:rPr>
          <w:szCs w:val="20"/>
          <w:lang w:val="es-CR"/>
        </w:rPr>
        <w:t>l</w:t>
      </w:r>
      <w:r w:rsidR="00D94189" w:rsidRPr="002B4E6D">
        <w:rPr>
          <w:szCs w:val="20"/>
          <w:lang w:val="es-CR"/>
        </w:rPr>
        <w:t xml:space="preserve"> que se </w:t>
      </w:r>
      <w:r w:rsidRPr="002B4E6D">
        <w:rPr>
          <w:szCs w:val="20"/>
          <w:lang w:val="es-CR"/>
        </w:rPr>
        <w:t>refiere</w:t>
      </w:r>
      <w:r w:rsidR="00D94189" w:rsidRPr="002B4E6D">
        <w:rPr>
          <w:szCs w:val="20"/>
          <w:lang w:val="es-CR"/>
        </w:rPr>
        <w:t xml:space="preserve"> </w:t>
      </w:r>
      <w:r w:rsidRPr="002B4E6D">
        <w:rPr>
          <w:szCs w:val="20"/>
          <w:lang w:val="es-CR"/>
        </w:rPr>
        <w:t>el</w:t>
      </w:r>
      <w:r w:rsidR="00D94189" w:rsidRPr="002B4E6D">
        <w:rPr>
          <w:szCs w:val="20"/>
          <w:lang w:val="es-CR"/>
        </w:rPr>
        <w:t xml:space="preserve"> </w:t>
      </w:r>
      <w:r w:rsidR="003B3A44">
        <w:rPr>
          <w:szCs w:val="20"/>
          <w:lang w:val="es-CR"/>
        </w:rPr>
        <w:t>punto</w:t>
      </w:r>
      <w:r w:rsidR="00D94189" w:rsidRPr="002B4E6D">
        <w:rPr>
          <w:szCs w:val="20"/>
          <w:lang w:val="es-CR"/>
        </w:rPr>
        <w:t xml:space="preserve"> </w:t>
      </w:r>
      <w:r w:rsidR="009D4440" w:rsidRPr="002B4E6D">
        <w:rPr>
          <w:szCs w:val="20"/>
          <w:lang w:val="es-CR"/>
        </w:rPr>
        <w:t>resolutivo anterior</w:t>
      </w:r>
      <w:r w:rsidR="00D94189" w:rsidRPr="002B4E6D">
        <w:rPr>
          <w:szCs w:val="20"/>
          <w:lang w:val="es-CR"/>
        </w:rPr>
        <w:t>,</w:t>
      </w:r>
      <w:r w:rsidR="009D4440" w:rsidRPr="002B4E6D">
        <w:rPr>
          <w:szCs w:val="20"/>
          <w:lang w:val="es-CR"/>
        </w:rPr>
        <w:t xml:space="preserve"> </w:t>
      </w:r>
      <w:r w:rsidRPr="002B4E6D">
        <w:rPr>
          <w:szCs w:val="20"/>
          <w:lang w:val="es-CR"/>
        </w:rPr>
        <w:t>en el</w:t>
      </w:r>
      <w:r w:rsidR="00D94189" w:rsidRPr="002B4E6D">
        <w:rPr>
          <w:szCs w:val="20"/>
          <w:lang w:val="es-CR"/>
        </w:rPr>
        <w:t xml:space="preserve"> </w:t>
      </w:r>
      <w:r w:rsidRPr="002B4E6D">
        <w:rPr>
          <w:szCs w:val="20"/>
          <w:lang w:val="es-CR"/>
        </w:rPr>
        <w:t>plazo</w:t>
      </w:r>
      <w:r w:rsidR="00D94189" w:rsidRPr="002B4E6D">
        <w:rPr>
          <w:szCs w:val="20"/>
          <w:lang w:val="es-CR"/>
        </w:rPr>
        <w:t xml:space="preserve"> de </w:t>
      </w:r>
      <w:r w:rsidRPr="002B4E6D">
        <w:rPr>
          <w:szCs w:val="20"/>
          <w:lang w:val="es-CR"/>
        </w:rPr>
        <w:t>cuatro</w:t>
      </w:r>
      <w:r w:rsidR="00D94189" w:rsidRPr="002B4E6D">
        <w:rPr>
          <w:szCs w:val="20"/>
          <w:lang w:val="es-CR"/>
        </w:rPr>
        <w:t xml:space="preserve"> </w:t>
      </w:r>
      <w:r w:rsidR="009D4440" w:rsidRPr="002B4E6D">
        <w:rPr>
          <w:szCs w:val="20"/>
          <w:lang w:val="es-CR"/>
        </w:rPr>
        <w:t xml:space="preserve">semanas, </w:t>
      </w:r>
      <w:r w:rsidRPr="002B4E6D">
        <w:rPr>
          <w:szCs w:val="20"/>
          <w:lang w:val="es-CR"/>
        </w:rPr>
        <w:t>co</w:t>
      </w:r>
      <w:r w:rsidR="00CC6A5B" w:rsidRPr="002B4E6D">
        <w:rPr>
          <w:szCs w:val="20"/>
          <w:lang w:val="es-CR"/>
        </w:rPr>
        <w:t>nta</w:t>
      </w:r>
      <w:r w:rsidR="009D4440" w:rsidRPr="002B4E6D">
        <w:rPr>
          <w:szCs w:val="20"/>
          <w:lang w:val="es-CR"/>
        </w:rPr>
        <w:t xml:space="preserve">do a partir </w:t>
      </w:r>
      <w:r w:rsidRPr="002B4E6D">
        <w:rPr>
          <w:szCs w:val="20"/>
          <w:lang w:val="es-CR"/>
        </w:rPr>
        <w:t>de</w:t>
      </w:r>
      <w:r w:rsidR="007545BB">
        <w:rPr>
          <w:szCs w:val="20"/>
          <w:lang w:val="es-CR"/>
        </w:rPr>
        <w:t xml:space="preserve"> la recepción</w:t>
      </w:r>
      <w:r w:rsidR="00D94189" w:rsidRPr="002B4E6D">
        <w:rPr>
          <w:szCs w:val="20"/>
          <w:lang w:val="es-CR"/>
        </w:rPr>
        <w:t xml:space="preserve"> </w:t>
      </w:r>
      <w:r w:rsidRPr="002B4E6D">
        <w:rPr>
          <w:szCs w:val="20"/>
          <w:lang w:val="es-CR"/>
        </w:rPr>
        <w:t>del</w:t>
      </w:r>
      <w:r w:rsidR="00D94189" w:rsidRPr="002B4E6D">
        <w:rPr>
          <w:szCs w:val="20"/>
          <w:lang w:val="es-CR"/>
        </w:rPr>
        <w:t xml:space="preserve"> </w:t>
      </w:r>
      <w:r w:rsidR="009D4440" w:rsidRPr="002B4E6D">
        <w:rPr>
          <w:szCs w:val="20"/>
          <w:lang w:val="es-CR"/>
        </w:rPr>
        <w:t xml:space="preserve">referido </w:t>
      </w:r>
      <w:r w:rsidR="00B12DBC" w:rsidRPr="002B4E6D">
        <w:rPr>
          <w:szCs w:val="20"/>
          <w:lang w:val="es-CR"/>
        </w:rPr>
        <w:t>informe</w:t>
      </w:r>
      <w:r w:rsidR="00D94189" w:rsidRPr="002B4E6D">
        <w:rPr>
          <w:szCs w:val="20"/>
          <w:lang w:val="es-CR"/>
        </w:rPr>
        <w:t xml:space="preserve"> </w:t>
      </w:r>
      <w:r w:rsidR="009D4440" w:rsidRPr="002B4E6D">
        <w:rPr>
          <w:szCs w:val="20"/>
          <w:lang w:val="es-CR"/>
        </w:rPr>
        <w:t xml:space="preserve">estatal. </w:t>
      </w:r>
    </w:p>
    <w:p w14:paraId="05A8147E" w14:textId="77777777" w:rsidR="009D4440" w:rsidRPr="002B4E6D" w:rsidRDefault="009D4440" w:rsidP="00B069CF">
      <w:pPr>
        <w:pStyle w:val="BodyText"/>
        <w:widowControl w:val="0"/>
        <w:spacing w:after="0"/>
        <w:rPr>
          <w:szCs w:val="20"/>
          <w:lang w:val="es-CR"/>
        </w:rPr>
      </w:pPr>
    </w:p>
    <w:p w14:paraId="1C26CE9D" w14:textId="2D43E4F5" w:rsidR="00936904" w:rsidRPr="002B4E6D" w:rsidRDefault="000B2356" w:rsidP="00B069CF">
      <w:pPr>
        <w:pStyle w:val="BodyText"/>
        <w:widowControl w:val="0"/>
        <w:numPr>
          <w:ilvl w:val="0"/>
          <w:numId w:val="15"/>
        </w:numPr>
        <w:tabs>
          <w:tab w:val="clear" w:pos="648"/>
        </w:tabs>
        <w:spacing w:after="0"/>
        <w:rPr>
          <w:szCs w:val="20"/>
          <w:lang w:val="es-CR"/>
        </w:rPr>
      </w:pPr>
      <w:r w:rsidRPr="002B4E6D">
        <w:rPr>
          <w:szCs w:val="20"/>
          <w:lang w:val="es-CR"/>
        </w:rPr>
        <w:t>Requerir</w:t>
      </w:r>
      <w:r w:rsidR="009D4440" w:rsidRPr="002B4E6D">
        <w:rPr>
          <w:szCs w:val="20"/>
          <w:lang w:val="es-CR"/>
        </w:rPr>
        <w:t xml:space="preserve"> </w:t>
      </w:r>
      <w:r w:rsidRPr="002B4E6D">
        <w:rPr>
          <w:szCs w:val="20"/>
          <w:lang w:val="es-CR"/>
        </w:rPr>
        <w:t>a la</w:t>
      </w:r>
      <w:r w:rsidR="00D94189" w:rsidRPr="002B4E6D">
        <w:rPr>
          <w:szCs w:val="20"/>
          <w:lang w:val="es-CR"/>
        </w:rPr>
        <w:t xml:space="preserve"> </w:t>
      </w:r>
      <w:r w:rsidR="00945D4E" w:rsidRPr="002B4E6D">
        <w:rPr>
          <w:szCs w:val="20"/>
          <w:lang w:val="es-CR"/>
        </w:rPr>
        <w:t>Comisión</w:t>
      </w:r>
      <w:r w:rsidR="005F3E72" w:rsidRPr="002B4E6D">
        <w:rPr>
          <w:szCs w:val="20"/>
          <w:lang w:val="es-CR"/>
        </w:rPr>
        <w:t xml:space="preserve"> </w:t>
      </w:r>
      <w:r w:rsidR="009D4440" w:rsidRPr="002B4E6D">
        <w:rPr>
          <w:szCs w:val="20"/>
          <w:lang w:val="es-CR"/>
        </w:rPr>
        <w:t xml:space="preserve">Interamericana de </w:t>
      </w:r>
      <w:r w:rsidR="00AA1A37" w:rsidRPr="002B4E6D">
        <w:rPr>
          <w:szCs w:val="20"/>
          <w:lang w:val="es-CR"/>
        </w:rPr>
        <w:t>Derechos</w:t>
      </w:r>
      <w:r w:rsidR="005F3E72" w:rsidRPr="002B4E6D">
        <w:rPr>
          <w:szCs w:val="20"/>
          <w:lang w:val="es-CR"/>
        </w:rPr>
        <w:t xml:space="preserve"> </w:t>
      </w:r>
      <w:r w:rsidR="009D4440" w:rsidRPr="002B4E6D">
        <w:rPr>
          <w:szCs w:val="20"/>
          <w:lang w:val="es-CR"/>
        </w:rPr>
        <w:t xml:space="preserve">Humanos que presente </w:t>
      </w:r>
      <w:r w:rsidRPr="002B4E6D">
        <w:rPr>
          <w:szCs w:val="20"/>
          <w:lang w:val="es-CR"/>
        </w:rPr>
        <w:t>las</w:t>
      </w:r>
      <w:r w:rsidR="009D4440" w:rsidRPr="002B4E6D">
        <w:rPr>
          <w:szCs w:val="20"/>
          <w:lang w:val="es-CR"/>
        </w:rPr>
        <w:t xml:space="preserve"> </w:t>
      </w:r>
      <w:r w:rsidR="00945D4E" w:rsidRPr="002B4E6D">
        <w:rPr>
          <w:szCs w:val="20"/>
          <w:lang w:val="es-CR"/>
        </w:rPr>
        <w:t>observaciones</w:t>
      </w:r>
      <w:r w:rsidR="009D4440" w:rsidRPr="002B4E6D">
        <w:rPr>
          <w:szCs w:val="20"/>
          <w:lang w:val="es-CR"/>
        </w:rPr>
        <w:t xml:space="preserve"> que </w:t>
      </w:r>
      <w:r w:rsidR="008F1939">
        <w:rPr>
          <w:szCs w:val="20"/>
          <w:lang w:val="es-CR"/>
        </w:rPr>
        <w:t>estime</w:t>
      </w:r>
      <w:r w:rsidR="00D94189" w:rsidRPr="002B4E6D">
        <w:rPr>
          <w:szCs w:val="20"/>
          <w:lang w:val="es-CR"/>
        </w:rPr>
        <w:t xml:space="preserve"> </w:t>
      </w:r>
      <w:r w:rsidR="009D4440" w:rsidRPr="002B4E6D">
        <w:rPr>
          <w:szCs w:val="20"/>
          <w:lang w:val="es-CR"/>
        </w:rPr>
        <w:t xml:space="preserve">pertinentes </w:t>
      </w:r>
      <w:r w:rsidR="00D94189" w:rsidRPr="002B4E6D">
        <w:rPr>
          <w:szCs w:val="20"/>
          <w:lang w:val="es-CR"/>
        </w:rPr>
        <w:t xml:space="preserve">sobre </w:t>
      </w:r>
      <w:r w:rsidRPr="002B4E6D">
        <w:rPr>
          <w:szCs w:val="20"/>
          <w:lang w:val="es-CR"/>
        </w:rPr>
        <w:t>el</w:t>
      </w:r>
      <w:r w:rsidR="00D94189" w:rsidRPr="002B4E6D">
        <w:rPr>
          <w:szCs w:val="20"/>
          <w:lang w:val="es-CR"/>
        </w:rPr>
        <w:t xml:space="preserve"> </w:t>
      </w:r>
      <w:r w:rsidR="00B12DBC" w:rsidRPr="002B4E6D">
        <w:rPr>
          <w:szCs w:val="20"/>
          <w:lang w:val="es-CR"/>
        </w:rPr>
        <w:t>informe</w:t>
      </w:r>
      <w:r w:rsidR="00D94189" w:rsidRPr="002B4E6D">
        <w:rPr>
          <w:szCs w:val="20"/>
          <w:lang w:val="es-CR"/>
        </w:rPr>
        <w:t xml:space="preserve"> </w:t>
      </w:r>
      <w:r w:rsidR="009D4440" w:rsidRPr="002B4E6D">
        <w:rPr>
          <w:szCs w:val="20"/>
          <w:lang w:val="es-CR"/>
        </w:rPr>
        <w:t xml:space="preserve">estatal </w:t>
      </w:r>
      <w:r w:rsidR="008F1939">
        <w:rPr>
          <w:szCs w:val="20"/>
          <w:lang w:val="es-CR"/>
        </w:rPr>
        <w:t>requerido en</w:t>
      </w:r>
      <w:r w:rsidR="00D94189" w:rsidRPr="002B4E6D">
        <w:rPr>
          <w:szCs w:val="20"/>
          <w:lang w:val="es-CR"/>
        </w:rPr>
        <w:t xml:space="preserve"> </w:t>
      </w:r>
      <w:r w:rsidRPr="002B4E6D">
        <w:rPr>
          <w:szCs w:val="20"/>
          <w:lang w:val="es-CR"/>
        </w:rPr>
        <w:t>el</w:t>
      </w:r>
      <w:r w:rsidR="00D94189" w:rsidRPr="002B4E6D">
        <w:rPr>
          <w:szCs w:val="20"/>
          <w:lang w:val="es-CR"/>
        </w:rPr>
        <w:t xml:space="preserve"> </w:t>
      </w:r>
      <w:r w:rsidR="008F1939">
        <w:rPr>
          <w:szCs w:val="20"/>
          <w:lang w:val="es-CR"/>
        </w:rPr>
        <w:t>punto</w:t>
      </w:r>
      <w:r w:rsidR="00D94189" w:rsidRPr="002B4E6D">
        <w:rPr>
          <w:szCs w:val="20"/>
          <w:lang w:val="es-CR"/>
        </w:rPr>
        <w:t xml:space="preserve"> </w:t>
      </w:r>
      <w:r w:rsidR="009D4440" w:rsidRPr="002B4E6D">
        <w:rPr>
          <w:szCs w:val="20"/>
          <w:lang w:val="es-CR"/>
        </w:rPr>
        <w:t xml:space="preserve">resolutivo </w:t>
      </w:r>
      <w:r w:rsidRPr="002B4E6D">
        <w:rPr>
          <w:szCs w:val="20"/>
          <w:lang w:val="es-CR"/>
        </w:rPr>
        <w:t>tercero</w:t>
      </w:r>
      <w:r w:rsidR="009D4440" w:rsidRPr="002B4E6D">
        <w:rPr>
          <w:szCs w:val="20"/>
          <w:lang w:val="es-CR"/>
        </w:rPr>
        <w:t xml:space="preserve"> </w:t>
      </w:r>
      <w:r w:rsidRPr="002B4E6D">
        <w:rPr>
          <w:szCs w:val="20"/>
          <w:lang w:val="es-CR"/>
        </w:rPr>
        <w:t>y</w:t>
      </w:r>
      <w:r w:rsidR="00807A14" w:rsidRPr="002B4E6D">
        <w:rPr>
          <w:szCs w:val="20"/>
          <w:lang w:val="es-CR"/>
        </w:rPr>
        <w:t xml:space="preserve"> </w:t>
      </w:r>
      <w:r w:rsidR="00D94189" w:rsidRPr="002B4E6D">
        <w:rPr>
          <w:szCs w:val="20"/>
          <w:lang w:val="es-CR"/>
        </w:rPr>
        <w:t xml:space="preserve">sobre </w:t>
      </w:r>
      <w:r w:rsidRPr="002B4E6D">
        <w:rPr>
          <w:szCs w:val="20"/>
          <w:lang w:val="es-CR"/>
        </w:rPr>
        <w:t>l</w:t>
      </w:r>
      <w:r w:rsidR="00D94189" w:rsidRPr="002B4E6D">
        <w:rPr>
          <w:szCs w:val="20"/>
          <w:lang w:val="es-CR"/>
        </w:rPr>
        <w:t xml:space="preserve">as respectivas </w:t>
      </w:r>
      <w:r w:rsidR="00945D4E" w:rsidRPr="002B4E6D">
        <w:rPr>
          <w:szCs w:val="20"/>
          <w:lang w:val="es-CR"/>
        </w:rPr>
        <w:t>observaciones</w:t>
      </w:r>
      <w:r w:rsidR="009D4440" w:rsidRPr="002B4E6D">
        <w:rPr>
          <w:szCs w:val="20"/>
          <w:lang w:val="es-CR"/>
        </w:rPr>
        <w:t xml:space="preserve"> </w:t>
      </w:r>
      <w:r w:rsidRPr="002B4E6D">
        <w:rPr>
          <w:szCs w:val="20"/>
          <w:lang w:val="es-CR"/>
        </w:rPr>
        <w:t>de los</w:t>
      </w:r>
      <w:r w:rsidR="0084358C" w:rsidRPr="002B4E6D">
        <w:rPr>
          <w:szCs w:val="20"/>
          <w:lang w:val="es-CR"/>
        </w:rPr>
        <w:t xml:space="preserve"> </w:t>
      </w:r>
      <w:r w:rsidR="009D4440" w:rsidRPr="002B4E6D">
        <w:rPr>
          <w:szCs w:val="20"/>
          <w:lang w:val="es-CR"/>
        </w:rPr>
        <w:t xml:space="preserve">representantes </w:t>
      </w:r>
      <w:r w:rsidR="0084358C" w:rsidRPr="002B4E6D">
        <w:rPr>
          <w:szCs w:val="20"/>
          <w:lang w:val="es-CR"/>
        </w:rPr>
        <w:t>d</w:t>
      </w:r>
      <w:r w:rsidRPr="002B4E6D">
        <w:rPr>
          <w:szCs w:val="20"/>
          <w:lang w:val="es-CR"/>
        </w:rPr>
        <w:t>e l</w:t>
      </w:r>
      <w:r w:rsidR="0084358C" w:rsidRPr="002B4E6D">
        <w:rPr>
          <w:szCs w:val="20"/>
          <w:lang w:val="es-CR"/>
        </w:rPr>
        <w:t xml:space="preserve">os </w:t>
      </w:r>
      <w:r w:rsidRPr="002B4E6D">
        <w:rPr>
          <w:szCs w:val="20"/>
          <w:lang w:val="es-CR"/>
        </w:rPr>
        <w:t>beneficiarios</w:t>
      </w:r>
      <w:r w:rsidR="00D94189" w:rsidRPr="002B4E6D">
        <w:rPr>
          <w:szCs w:val="20"/>
          <w:lang w:val="es-CR"/>
        </w:rPr>
        <w:t xml:space="preserve">, </w:t>
      </w:r>
      <w:r w:rsidRPr="002B4E6D">
        <w:rPr>
          <w:szCs w:val="20"/>
          <w:lang w:val="es-CR"/>
        </w:rPr>
        <w:t>en el</w:t>
      </w:r>
      <w:r w:rsidR="00D94189" w:rsidRPr="002B4E6D">
        <w:rPr>
          <w:szCs w:val="20"/>
          <w:lang w:val="es-CR"/>
        </w:rPr>
        <w:t xml:space="preserve"> </w:t>
      </w:r>
      <w:r w:rsidRPr="002B4E6D">
        <w:rPr>
          <w:szCs w:val="20"/>
          <w:lang w:val="es-CR"/>
        </w:rPr>
        <w:t>plazo</w:t>
      </w:r>
      <w:r w:rsidR="00D94189" w:rsidRPr="002B4E6D">
        <w:rPr>
          <w:szCs w:val="20"/>
          <w:lang w:val="es-CR"/>
        </w:rPr>
        <w:t xml:space="preserve"> de </w:t>
      </w:r>
      <w:r w:rsidRPr="002B4E6D">
        <w:rPr>
          <w:szCs w:val="20"/>
          <w:lang w:val="es-CR"/>
        </w:rPr>
        <w:t>dos</w:t>
      </w:r>
      <w:r w:rsidR="00D94189" w:rsidRPr="002B4E6D">
        <w:rPr>
          <w:szCs w:val="20"/>
          <w:lang w:val="es-CR"/>
        </w:rPr>
        <w:t xml:space="preserve"> </w:t>
      </w:r>
      <w:r w:rsidR="009D4440" w:rsidRPr="002B4E6D">
        <w:rPr>
          <w:szCs w:val="20"/>
          <w:lang w:val="es-CR"/>
        </w:rPr>
        <w:t xml:space="preserve">semanas, </w:t>
      </w:r>
      <w:r w:rsidR="00CC6A5B" w:rsidRPr="002B4E6D">
        <w:rPr>
          <w:szCs w:val="20"/>
          <w:lang w:val="es-CR"/>
        </w:rPr>
        <w:t>c</w:t>
      </w:r>
      <w:r w:rsidRPr="002B4E6D">
        <w:rPr>
          <w:szCs w:val="20"/>
          <w:lang w:val="es-CR"/>
        </w:rPr>
        <w:t>o</w:t>
      </w:r>
      <w:r w:rsidR="00CC6A5B" w:rsidRPr="002B4E6D">
        <w:rPr>
          <w:szCs w:val="20"/>
          <w:lang w:val="es-CR"/>
        </w:rPr>
        <w:t>nta</w:t>
      </w:r>
      <w:r w:rsidR="009D4440" w:rsidRPr="002B4E6D">
        <w:rPr>
          <w:szCs w:val="20"/>
          <w:lang w:val="es-CR"/>
        </w:rPr>
        <w:t xml:space="preserve">do a partir </w:t>
      </w:r>
      <w:r w:rsidR="008F1939">
        <w:rPr>
          <w:szCs w:val="20"/>
          <w:lang w:val="es-CR"/>
        </w:rPr>
        <w:t xml:space="preserve">de la </w:t>
      </w:r>
      <w:r w:rsidR="007545BB">
        <w:rPr>
          <w:szCs w:val="20"/>
          <w:lang w:val="es-CR"/>
        </w:rPr>
        <w:t xml:space="preserve">remisión </w:t>
      </w:r>
      <w:r w:rsidRPr="002B4E6D">
        <w:rPr>
          <w:szCs w:val="20"/>
          <w:lang w:val="es-CR"/>
        </w:rPr>
        <w:t>de las</w:t>
      </w:r>
      <w:r w:rsidR="00807A14" w:rsidRPr="002B4E6D">
        <w:rPr>
          <w:szCs w:val="20"/>
          <w:lang w:val="es-CR"/>
        </w:rPr>
        <w:t xml:space="preserve"> </w:t>
      </w:r>
      <w:r w:rsidR="009D4440" w:rsidRPr="002B4E6D">
        <w:rPr>
          <w:szCs w:val="20"/>
          <w:lang w:val="es-CR"/>
        </w:rPr>
        <w:t xml:space="preserve">referidas </w:t>
      </w:r>
      <w:r w:rsidR="00945D4E" w:rsidRPr="002B4E6D">
        <w:rPr>
          <w:szCs w:val="20"/>
          <w:lang w:val="es-CR"/>
        </w:rPr>
        <w:t>observaciones</w:t>
      </w:r>
      <w:r w:rsidR="009D4440" w:rsidRPr="002B4E6D">
        <w:rPr>
          <w:szCs w:val="20"/>
          <w:lang w:val="es-CR"/>
        </w:rPr>
        <w:t xml:space="preserve"> </w:t>
      </w:r>
      <w:r w:rsidR="0084358C" w:rsidRPr="002B4E6D">
        <w:rPr>
          <w:szCs w:val="20"/>
          <w:lang w:val="es-CR"/>
        </w:rPr>
        <w:t>d</w:t>
      </w:r>
      <w:r w:rsidRPr="002B4E6D">
        <w:rPr>
          <w:szCs w:val="20"/>
          <w:lang w:val="es-CR"/>
        </w:rPr>
        <w:t>e l</w:t>
      </w:r>
      <w:r w:rsidR="0084358C" w:rsidRPr="002B4E6D">
        <w:rPr>
          <w:szCs w:val="20"/>
          <w:lang w:val="es-CR"/>
        </w:rPr>
        <w:t xml:space="preserve">os </w:t>
      </w:r>
      <w:r w:rsidR="009D4440" w:rsidRPr="002B4E6D">
        <w:rPr>
          <w:szCs w:val="20"/>
          <w:lang w:val="es-CR"/>
        </w:rPr>
        <w:t>representantes.</w:t>
      </w:r>
    </w:p>
    <w:p w14:paraId="7814FD0E" w14:textId="77777777" w:rsidR="009D4440" w:rsidRPr="002B4E6D" w:rsidRDefault="009D4440" w:rsidP="00B069CF">
      <w:pPr>
        <w:pStyle w:val="BodyText"/>
        <w:widowControl w:val="0"/>
        <w:spacing w:after="0"/>
        <w:rPr>
          <w:szCs w:val="20"/>
          <w:lang w:val="es-CR"/>
        </w:rPr>
      </w:pPr>
    </w:p>
    <w:p w14:paraId="14E28970" w14:textId="2FA36A17" w:rsidR="009D4440" w:rsidRPr="002B4E6D" w:rsidRDefault="009D4440" w:rsidP="00B069CF">
      <w:pPr>
        <w:pStyle w:val="BodyText"/>
        <w:widowControl w:val="0"/>
        <w:numPr>
          <w:ilvl w:val="0"/>
          <w:numId w:val="15"/>
        </w:numPr>
        <w:tabs>
          <w:tab w:val="clear" w:pos="648"/>
        </w:tabs>
        <w:snapToGrid w:val="0"/>
        <w:spacing w:after="0"/>
        <w:rPr>
          <w:lang w:val="es-CR"/>
        </w:rPr>
      </w:pPr>
      <w:r w:rsidRPr="002B4E6D">
        <w:rPr>
          <w:szCs w:val="20"/>
          <w:lang w:val="es-CR"/>
        </w:rPr>
        <w:t>Dispo</w:t>
      </w:r>
      <w:r w:rsidR="000B2356" w:rsidRPr="002B4E6D">
        <w:rPr>
          <w:szCs w:val="20"/>
          <w:lang w:val="es-CR"/>
        </w:rPr>
        <w:t>ne</w:t>
      </w:r>
      <w:r w:rsidRPr="002B4E6D">
        <w:rPr>
          <w:szCs w:val="20"/>
          <w:lang w:val="es-CR"/>
        </w:rPr>
        <w:t xml:space="preserve">r que </w:t>
      </w:r>
      <w:r w:rsidR="000B2356" w:rsidRPr="002B4E6D">
        <w:rPr>
          <w:szCs w:val="20"/>
          <w:lang w:val="es-CR"/>
        </w:rPr>
        <w:t>l</w:t>
      </w:r>
      <w:r w:rsidRPr="002B4E6D">
        <w:rPr>
          <w:szCs w:val="20"/>
          <w:lang w:val="es-CR"/>
        </w:rPr>
        <w:t xml:space="preserve">a </w:t>
      </w:r>
      <w:r w:rsidR="00781069" w:rsidRPr="002B4E6D">
        <w:rPr>
          <w:szCs w:val="20"/>
          <w:lang w:val="es-CR"/>
        </w:rPr>
        <w:t xml:space="preserve">Secretaria da </w:t>
      </w:r>
      <w:r w:rsidRPr="002B4E6D">
        <w:rPr>
          <w:szCs w:val="20"/>
          <w:lang w:val="es-CR"/>
        </w:rPr>
        <w:t xml:space="preserve">Corte </w:t>
      </w:r>
      <w:r w:rsidR="00B858C2" w:rsidRPr="002B4E6D">
        <w:rPr>
          <w:szCs w:val="20"/>
          <w:lang w:val="es-CR"/>
        </w:rPr>
        <w:t>notifique</w:t>
      </w:r>
      <w:r w:rsidR="005C1947" w:rsidRPr="002B4E6D">
        <w:rPr>
          <w:szCs w:val="20"/>
          <w:lang w:val="es-CR"/>
        </w:rPr>
        <w:t xml:space="preserve"> </w:t>
      </w:r>
      <w:r w:rsidR="008F1939">
        <w:rPr>
          <w:szCs w:val="20"/>
          <w:lang w:val="es-CR"/>
        </w:rPr>
        <w:t>la presente</w:t>
      </w:r>
      <w:r w:rsidRPr="002B4E6D">
        <w:rPr>
          <w:szCs w:val="20"/>
          <w:lang w:val="es-CR"/>
        </w:rPr>
        <w:t xml:space="preserve"> </w:t>
      </w:r>
      <w:r w:rsidR="00B858C2" w:rsidRPr="002B4E6D">
        <w:rPr>
          <w:szCs w:val="20"/>
          <w:lang w:val="es-CR"/>
        </w:rPr>
        <w:t>R</w:t>
      </w:r>
      <w:r w:rsidRPr="002B4E6D">
        <w:rPr>
          <w:szCs w:val="20"/>
          <w:lang w:val="es-CR"/>
        </w:rPr>
        <w:t>esolu</w:t>
      </w:r>
      <w:r w:rsidR="00AA1A37" w:rsidRPr="002B4E6D">
        <w:rPr>
          <w:szCs w:val="20"/>
          <w:lang w:val="es-CR"/>
        </w:rPr>
        <w:t>ción</w:t>
      </w:r>
      <w:r w:rsidRPr="002B4E6D">
        <w:rPr>
          <w:szCs w:val="20"/>
          <w:lang w:val="es-CR"/>
        </w:rPr>
        <w:t xml:space="preserve"> </w:t>
      </w:r>
      <w:r w:rsidR="000B2356" w:rsidRPr="002B4E6D">
        <w:rPr>
          <w:szCs w:val="20"/>
          <w:lang w:val="es-CR"/>
        </w:rPr>
        <w:t>al</w:t>
      </w:r>
      <w:r w:rsidRPr="002B4E6D">
        <w:rPr>
          <w:szCs w:val="20"/>
          <w:lang w:val="es-CR"/>
        </w:rPr>
        <w:t xml:space="preserve"> Estado, </w:t>
      </w:r>
      <w:r w:rsidR="000B2356" w:rsidRPr="002B4E6D">
        <w:rPr>
          <w:szCs w:val="20"/>
          <w:lang w:val="es-CR"/>
        </w:rPr>
        <w:t>a la</w:t>
      </w:r>
      <w:r w:rsidR="00456DCA" w:rsidRPr="002B4E6D">
        <w:rPr>
          <w:szCs w:val="20"/>
          <w:lang w:val="es-CR"/>
        </w:rPr>
        <w:t xml:space="preserve"> </w:t>
      </w:r>
      <w:r w:rsidR="00945D4E" w:rsidRPr="002B4E6D">
        <w:rPr>
          <w:szCs w:val="20"/>
          <w:lang w:val="es-CR"/>
        </w:rPr>
        <w:t>Comisión</w:t>
      </w:r>
      <w:r w:rsidR="005F3E72" w:rsidRPr="002B4E6D">
        <w:rPr>
          <w:szCs w:val="20"/>
          <w:lang w:val="es-CR"/>
        </w:rPr>
        <w:t xml:space="preserve"> </w:t>
      </w:r>
      <w:r w:rsidRPr="002B4E6D">
        <w:rPr>
          <w:szCs w:val="20"/>
          <w:lang w:val="es-CR"/>
        </w:rPr>
        <w:t xml:space="preserve">Interamericana </w:t>
      </w:r>
      <w:r w:rsidR="000B2356" w:rsidRPr="002B4E6D">
        <w:rPr>
          <w:szCs w:val="20"/>
          <w:lang w:val="es-CR"/>
        </w:rPr>
        <w:t>y</w:t>
      </w:r>
      <w:r w:rsidR="005F3E72" w:rsidRPr="002B4E6D">
        <w:rPr>
          <w:szCs w:val="20"/>
          <w:lang w:val="es-CR"/>
        </w:rPr>
        <w:t xml:space="preserve"> </w:t>
      </w:r>
      <w:r w:rsidRPr="002B4E6D">
        <w:rPr>
          <w:szCs w:val="20"/>
          <w:lang w:val="es-CR"/>
        </w:rPr>
        <w:t>a</w:t>
      </w:r>
      <w:r w:rsidR="000B2356" w:rsidRPr="002B4E6D">
        <w:rPr>
          <w:szCs w:val="20"/>
          <w:lang w:val="es-CR"/>
        </w:rPr>
        <w:t xml:space="preserve"> l</w:t>
      </w:r>
      <w:r w:rsidRPr="002B4E6D">
        <w:rPr>
          <w:szCs w:val="20"/>
          <w:lang w:val="es-CR"/>
        </w:rPr>
        <w:t xml:space="preserve">os representantes </w:t>
      </w:r>
      <w:r w:rsidR="0084358C" w:rsidRPr="002B4E6D">
        <w:rPr>
          <w:szCs w:val="20"/>
          <w:lang w:val="es-CR"/>
        </w:rPr>
        <w:t>d</w:t>
      </w:r>
      <w:r w:rsidR="000B2356" w:rsidRPr="002B4E6D">
        <w:rPr>
          <w:szCs w:val="20"/>
          <w:lang w:val="es-CR"/>
        </w:rPr>
        <w:t>e l</w:t>
      </w:r>
      <w:r w:rsidR="0084358C" w:rsidRPr="002B4E6D">
        <w:rPr>
          <w:szCs w:val="20"/>
          <w:lang w:val="es-CR"/>
        </w:rPr>
        <w:t xml:space="preserve">os </w:t>
      </w:r>
      <w:r w:rsidR="000B2356" w:rsidRPr="002B4E6D">
        <w:rPr>
          <w:szCs w:val="20"/>
          <w:lang w:val="es-CR"/>
        </w:rPr>
        <w:t>beneficiarios</w:t>
      </w:r>
      <w:r w:rsidRPr="002B4E6D">
        <w:rPr>
          <w:szCs w:val="20"/>
          <w:lang w:val="es-CR"/>
        </w:rPr>
        <w:t>.</w:t>
      </w:r>
    </w:p>
    <w:p w14:paraId="3ECE5359" w14:textId="77777777" w:rsidR="00AF61DE" w:rsidRPr="002B4E6D" w:rsidRDefault="00AF61DE" w:rsidP="00B069CF">
      <w:pPr>
        <w:pStyle w:val="ListParagraph"/>
        <w:rPr>
          <w:lang w:val="es-CR"/>
        </w:rPr>
      </w:pPr>
    </w:p>
    <w:p w14:paraId="0D68655F" w14:textId="04018B93" w:rsidR="00A24396" w:rsidRDefault="00AF61DE" w:rsidP="00E4427D">
      <w:pPr>
        <w:pStyle w:val="BodyText"/>
        <w:widowControl w:val="0"/>
        <w:numPr>
          <w:ilvl w:val="0"/>
          <w:numId w:val="15"/>
        </w:numPr>
        <w:tabs>
          <w:tab w:val="clear" w:pos="648"/>
        </w:tabs>
        <w:snapToGrid w:val="0"/>
        <w:spacing w:after="0"/>
        <w:rPr>
          <w:lang w:val="es-CR"/>
        </w:rPr>
      </w:pPr>
      <w:r w:rsidRPr="008314C2">
        <w:rPr>
          <w:lang w:val="es-CR"/>
        </w:rPr>
        <w:t>Dispo</w:t>
      </w:r>
      <w:r w:rsidR="000B2356" w:rsidRPr="008314C2">
        <w:rPr>
          <w:lang w:val="es-CR"/>
        </w:rPr>
        <w:t>ne</w:t>
      </w:r>
      <w:r w:rsidRPr="008314C2">
        <w:rPr>
          <w:lang w:val="es-CR"/>
        </w:rPr>
        <w:t xml:space="preserve">r que </w:t>
      </w:r>
      <w:r w:rsidR="000B2356" w:rsidRPr="008314C2">
        <w:rPr>
          <w:lang w:val="es-CR"/>
        </w:rPr>
        <w:t>el</w:t>
      </w:r>
      <w:r w:rsidRPr="008314C2">
        <w:rPr>
          <w:lang w:val="es-CR"/>
        </w:rPr>
        <w:t xml:space="preserve"> Estado </w:t>
      </w:r>
      <w:r w:rsidR="000B2356" w:rsidRPr="008314C2">
        <w:rPr>
          <w:lang w:val="es-CR"/>
        </w:rPr>
        <w:t>de</w:t>
      </w:r>
      <w:r w:rsidRPr="008314C2">
        <w:rPr>
          <w:lang w:val="es-CR"/>
        </w:rPr>
        <w:t xml:space="preserve"> </w:t>
      </w:r>
      <w:r w:rsidR="004A7EB8" w:rsidRPr="008314C2">
        <w:rPr>
          <w:lang w:val="es-CR"/>
        </w:rPr>
        <w:t>conocimiento</w:t>
      </w:r>
      <w:r w:rsidRPr="008314C2">
        <w:rPr>
          <w:lang w:val="es-CR"/>
        </w:rPr>
        <w:t xml:space="preserve"> </w:t>
      </w:r>
      <w:r w:rsidR="000B2356" w:rsidRPr="008314C2">
        <w:rPr>
          <w:lang w:val="es-CR"/>
        </w:rPr>
        <w:t>inmediato</w:t>
      </w:r>
      <w:r w:rsidRPr="008314C2">
        <w:rPr>
          <w:lang w:val="es-CR"/>
        </w:rPr>
        <w:t xml:space="preserve"> </w:t>
      </w:r>
      <w:r w:rsidR="000B2356" w:rsidRPr="008314C2">
        <w:rPr>
          <w:lang w:val="es-CR"/>
        </w:rPr>
        <w:t>de la</w:t>
      </w:r>
      <w:r w:rsidRPr="008314C2">
        <w:rPr>
          <w:lang w:val="es-CR"/>
        </w:rPr>
        <w:t xml:space="preserve"> presente Resolu</w:t>
      </w:r>
      <w:r w:rsidR="00AA1A37" w:rsidRPr="008314C2">
        <w:rPr>
          <w:lang w:val="es-CR"/>
        </w:rPr>
        <w:t>ción</w:t>
      </w:r>
      <w:r w:rsidRPr="008314C2">
        <w:rPr>
          <w:lang w:val="es-CR"/>
        </w:rPr>
        <w:t xml:space="preserve"> a</w:t>
      </w:r>
      <w:r w:rsidR="000B2356" w:rsidRPr="008314C2">
        <w:rPr>
          <w:lang w:val="es-CR"/>
        </w:rPr>
        <w:t xml:space="preserve"> l</w:t>
      </w:r>
      <w:r w:rsidRPr="008314C2">
        <w:rPr>
          <w:lang w:val="es-CR"/>
        </w:rPr>
        <w:t xml:space="preserve">os </w:t>
      </w:r>
      <w:r w:rsidR="000B2356" w:rsidRPr="008314C2">
        <w:rPr>
          <w:lang w:val="es-CR"/>
        </w:rPr>
        <w:t>órganos encar</w:t>
      </w:r>
      <w:r w:rsidRPr="008314C2">
        <w:rPr>
          <w:lang w:val="es-CR"/>
        </w:rPr>
        <w:t xml:space="preserve">gados de </w:t>
      </w:r>
      <w:r w:rsidR="000B2356" w:rsidRPr="008314C2">
        <w:rPr>
          <w:lang w:val="es-CR"/>
        </w:rPr>
        <w:t>monitorear</w:t>
      </w:r>
      <w:r w:rsidRPr="008314C2">
        <w:rPr>
          <w:lang w:val="es-CR"/>
        </w:rPr>
        <w:t xml:space="preserve"> estas medidas </w:t>
      </w:r>
      <w:r w:rsidR="00945D4E" w:rsidRPr="008314C2">
        <w:rPr>
          <w:lang w:val="es-CR"/>
        </w:rPr>
        <w:t>provisionales</w:t>
      </w:r>
      <w:r w:rsidRPr="008314C2">
        <w:rPr>
          <w:lang w:val="es-CR"/>
        </w:rPr>
        <w:t xml:space="preserve">, </w:t>
      </w:r>
      <w:r w:rsidR="000B2356" w:rsidRPr="008314C2">
        <w:rPr>
          <w:lang w:val="es-CR"/>
        </w:rPr>
        <w:t>así</w:t>
      </w:r>
      <w:r w:rsidRPr="008314C2">
        <w:rPr>
          <w:lang w:val="es-CR"/>
        </w:rPr>
        <w:t xml:space="preserve"> como </w:t>
      </w:r>
      <w:r w:rsidR="000B2356" w:rsidRPr="008314C2">
        <w:rPr>
          <w:lang w:val="es-CR"/>
        </w:rPr>
        <w:t>al</w:t>
      </w:r>
      <w:r w:rsidRPr="008314C2">
        <w:rPr>
          <w:lang w:val="es-CR"/>
        </w:rPr>
        <w:t xml:space="preserve"> Supremo Tribunal Federal </w:t>
      </w:r>
      <w:r w:rsidR="000B2356" w:rsidRPr="008314C2">
        <w:rPr>
          <w:lang w:val="es-CR"/>
        </w:rPr>
        <w:t>y</w:t>
      </w:r>
      <w:r w:rsidRPr="008314C2">
        <w:rPr>
          <w:lang w:val="es-CR"/>
        </w:rPr>
        <w:t xml:space="preserve"> </w:t>
      </w:r>
      <w:r w:rsidR="000B2356" w:rsidRPr="008314C2">
        <w:rPr>
          <w:lang w:val="es-CR"/>
        </w:rPr>
        <w:t>al</w:t>
      </w:r>
      <w:r w:rsidRPr="008314C2">
        <w:rPr>
          <w:lang w:val="es-CR"/>
        </w:rPr>
        <w:t xml:space="preserve"> </w:t>
      </w:r>
      <w:r w:rsidR="000D1815" w:rsidRPr="008314C2">
        <w:rPr>
          <w:lang w:val="es-CR"/>
        </w:rPr>
        <w:t>Consejo</w:t>
      </w:r>
      <w:r w:rsidRPr="008314C2">
        <w:rPr>
          <w:lang w:val="es-CR"/>
        </w:rPr>
        <w:t xml:space="preserve"> Nacional de </w:t>
      </w:r>
      <w:r w:rsidR="000D1815" w:rsidRPr="008314C2">
        <w:rPr>
          <w:lang w:val="es-CR"/>
        </w:rPr>
        <w:t>Justicia</w:t>
      </w:r>
      <w:r w:rsidRPr="008314C2">
        <w:rPr>
          <w:lang w:val="es-CR"/>
        </w:rPr>
        <w:t>.</w:t>
      </w:r>
    </w:p>
    <w:p w14:paraId="6FA6BDEE" w14:textId="77777777" w:rsidR="00225E53" w:rsidRDefault="00225E53" w:rsidP="00225E53">
      <w:pPr>
        <w:pStyle w:val="ListParagraph"/>
        <w:rPr>
          <w:lang w:val="es-CR"/>
        </w:rPr>
      </w:pPr>
    </w:p>
    <w:p w14:paraId="7659D755" w14:textId="77777777" w:rsidR="00225E53" w:rsidRDefault="00225E53" w:rsidP="00225E53">
      <w:pPr>
        <w:pStyle w:val="BodyText"/>
        <w:widowControl w:val="0"/>
        <w:snapToGrid w:val="0"/>
        <w:spacing w:after="0"/>
        <w:rPr>
          <w:lang w:val="es-CR"/>
        </w:rPr>
      </w:pPr>
    </w:p>
    <w:p w14:paraId="6AD13C95" w14:textId="77777777" w:rsidR="00225E53" w:rsidRDefault="00225E53" w:rsidP="00225E53">
      <w:pPr>
        <w:pStyle w:val="BodyText"/>
        <w:widowControl w:val="0"/>
        <w:snapToGrid w:val="0"/>
        <w:spacing w:after="0"/>
        <w:rPr>
          <w:lang w:val="es-CR"/>
        </w:rPr>
      </w:pPr>
    </w:p>
    <w:p w14:paraId="780E1A55" w14:textId="77777777" w:rsidR="00225E53" w:rsidRDefault="00225E53" w:rsidP="00225E53">
      <w:pPr>
        <w:pStyle w:val="BodyText"/>
        <w:widowControl w:val="0"/>
        <w:snapToGrid w:val="0"/>
        <w:spacing w:after="0"/>
        <w:rPr>
          <w:lang w:val="es-CR"/>
        </w:rPr>
      </w:pPr>
    </w:p>
    <w:p w14:paraId="501538F9" w14:textId="77777777" w:rsidR="00225E53" w:rsidRDefault="00225E53" w:rsidP="00225E53">
      <w:pPr>
        <w:pStyle w:val="BodyText"/>
        <w:widowControl w:val="0"/>
        <w:snapToGrid w:val="0"/>
        <w:spacing w:after="0"/>
        <w:rPr>
          <w:lang w:val="es-CR"/>
        </w:rPr>
      </w:pPr>
    </w:p>
    <w:p w14:paraId="5937794E" w14:textId="77777777" w:rsidR="00225E53" w:rsidRDefault="00225E53" w:rsidP="00225E53">
      <w:pPr>
        <w:pStyle w:val="BodyText"/>
        <w:widowControl w:val="0"/>
        <w:snapToGrid w:val="0"/>
        <w:spacing w:after="0"/>
        <w:rPr>
          <w:lang w:val="es-CR"/>
        </w:rPr>
      </w:pPr>
    </w:p>
    <w:p w14:paraId="40357ECD" w14:textId="77777777" w:rsidR="00225E53" w:rsidRDefault="00225E53" w:rsidP="00225E53">
      <w:pPr>
        <w:pStyle w:val="BodyText"/>
        <w:widowControl w:val="0"/>
        <w:snapToGrid w:val="0"/>
        <w:spacing w:after="0"/>
        <w:rPr>
          <w:lang w:val="es-CR"/>
        </w:rPr>
      </w:pPr>
    </w:p>
    <w:p w14:paraId="5F4E53AA" w14:textId="77777777" w:rsidR="00225E53" w:rsidRDefault="00225E53" w:rsidP="00225E53">
      <w:pPr>
        <w:pStyle w:val="BodyText"/>
        <w:widowControl w:val="0"/>
        <w:snapToGrid w:val="0"/>
        <w:spacing w:after="0"/>
        <w:rPr>
          <w:lang w:val="es-CR"/>
        </w:rPr>
      </w:pPr>
    </w:p>
    <w:p w14:paraId="5AEC8EC0" w14:textId="77777777" w:rsidR="00225E53" w:rsidRDefault="00225E53" w:rsidP="00225E53">
      <w:pPr>
        <w:pStyle w:val="BodyText"/>
        <w:widowControl w:val="0"/>
        <w:snapToGrid w:val="0"/>
        <w:spacing w:after="0"/>
        <w:rPr>
          <w:lang w:val="es-CR"/>
        </w:rPr>
      </w:pPr>
    </w:p>
    <w:p w14:paraId="402D4E77" w14:textId="77777777" w:rsidR="00225E53" w:rsidRDefault="00225E53" w:rsidP="00225E53">
      <w:pPr>
        <w:pStyle w:val="BodyText"/>
        <w:widowControl w:val="0"/>
        <w:snapToGrid w:val="0"/>
        <w:spacing w:after="0"/>
        <w:rPr>
          <w:lang w:val="es-CR"/>
        </w:rPr>
      </w:pPr>
    </w:p>
    <w:p w14:paraId="25280898" w14:textId="77777777" w:rsidR="00225E53" w:rsidRDefault="00225E53" w:rsidP="00225E53">
      <w:pPr>
        <w:pStyle w:val="BodyText"/>
        <w:widowControl w:val="0"/>
        <w:snapToGrid w:val="0"/>
        <w:spacing w:after="0"/>
        <w:rPr>
          <w:lang w:val="es-CR"/>
        </w:rPr>
      </w:pPr>
    </w:p>
    <w:p w14:paraId="0BDE6F23" w14:textId="77777777" w:rsidR="00225E53" w:rsidRDefault="00225E53" w:rsidP="00225E53">
      <w:pPr>
        <w:pStyle w:val="BodyText"/>
        <w:widowControl w:val="0"/>
        <w:snapToGrid w:val="0"/>
        <w:spacing w:after="0"/>
        <w:rPr>
          <w:lang w:val="es-CR"/>
        </w:rPr>
      </w:pPr>
    </w:p>
    <w:p w14:paraId="6F5A42DE" w14:textId="77777777" w:rsidR="00225E53" w:rsidRDefault="00225E53" w:rsidP="00225E53">
      <w:pPr>
        <w:pStyle w:val="BodyText"/>
        <w:widowControl w:val="0"/>
        <w:snapToGrid w:val="0"/>
        <w:spacing w:after="0"/>
        <w:rPr>
          <w:lang w:val="es-CR"/>
        </w:rPr>
      </w:pPr>
    </w:p>
    <w:p w14:paraId="74C41E7B" w14:textId="77777777" w:rsidR="00225E53" w:rsidRDefault="00225E53" w:rsidP="00225E53">
      <w:pPr>
        <w:pStyle w:val="BodyText"/>
        <w:widowControl w:val="0"/>
        <w:snapToGrid w:val="0"/>
        <w:spacing w:after="0"/>
        <w:rPr>
          <w:lang w:val="es-CR"/>
        </w:rPr>
      </w:pPr>
    </w:p>
    <w:p w14:paraId="22D23AD0" w14:textId="77777777" w:rsidR="00225E53" w:rsidRDefault="00225E53" w:rsidP="00225E53">
      <w:pPr>
        <w:pStyle w:val="BodyText"/>
        <w:widowControl w:val="0"/>
        <w:snapToGrid w:val="0"/>
        <w:spacing w:after="0"/>
        <w:rPr>
          <w:lang w:val="es-CR"/>
        </w:rPr>
      </w:pPr>
    </w:p>
    <w:p w14:paraId="76270737" w14:textId="77777777" w:rsidR="00225E53" w:rsidRDefault="00225E53" w:rsidP="00225E53">
      <w:pPr>
        <w:pStyle w:val="BodyText"/>
        <w:widowControl w:val="0"/>
        <w:snapToGrid w:val="0"/>
        <w:spacing w:after="0"/>
        <w:rPr>
          <w:lang w:val="es-CR"/>
        </w:rPr>
      </w:pPr>
    </w:p>
    <w:p w14:paraId="524CB806" w14:textId="77777777" w:rsidR="00225E53" w:rsidRDefault="00225E53" w:rsidP="00225E53">
      <w:pPr>
        <w:pStyle w:val="BodyText"/>
        <w:widowControl w:val="0"/>
        <w:snapToGrid w:val="0"/>
        <w:spacing w:after="0"/>
        <w:rPr>
          <w:lang w:val="es-CR"/>
        </w:rPr>
      </w:pPr>
    </w:p>
    <w:p w14:paraId="643C9F82" w14:textId="77777777" w:rsidR="00225E53" w:rsidRDefault="00225E53" w:rsidP="00225E53">
      <w:pPr>
        <w:pStyle w:val="BodyText"/>
        <w:widowControl w:val="0"/>
        <w:snapToGrid w:val="0"/>
        <w:spacing w:after="0"/>
        <w:rPr>
          <w:lang w:val="es-CR"/>
        </w:rPr>
      </w:pPr>
    </w:p>
    <w:p w14:paraId="5AA324D6" w14:textId="77777777" w:rsidR="00225E53" w:rsidRDefault="00225E53" w:rsidP="00225E53">
      <w:pPr>
        <w:pStyle w:val="BodyText"/>
        <w:widowControl w:val="0"/>
        <w:snapToGrid w:val="0"/>
        <w:spacing w:after="0"/>
        <w:rPr>
          <w:lang w:val="es-CR"/>
        </w:rPr>
      </w:pPr>
      <w:bookmarkStart w:id="0" w:name="_GoBack"/>
      <w:bookmarkEnd w:id="0"/>
    </w:p>
    <w:p w14:paraId="0D6D320A" w14:textId="77777777" w:rsidR="00225E53" w:rsidRDefault="00225E53" w:rsidP="00225E53">
      <w:pPr>
        <w:pStyle w:val="BodyText"/>
        <w:widowControl w:val="0"/>
        <w:snapToGrid w:val="0"/>
        <w:spacing w:after="0"/>
        <w:rPr>
          <w:lang w:val="pt-BR"/>
        </w:rPr>
      </w:pPr>
      <w:r>
        <w:rPr>
          <w:lang w:val="pt-BR"/>
        </w:rPr>
        <w:t>Resolu</w:t>
      </w:r>
      <w:r>
        <w:rPr>
          <w:szCs w:val="20"/>
          <w:lang w:val="pt-BR"/>
        </w:rPr>
        <w:t>ción</w:t>
      </w:r>
      <w:r>
        <w:rPr>
          <w:lang w:val="pt-BR"/>
        </w:rPr>
        <w:t xml:space="preserve"> de 22 de noviembre de 2018 de la Corte Interamericana de Derechos Humanos. Medidas Provisionales respecto de Brasil. Asunto del Instituto Penal Plácido de Sá Carvalho.</w:t>
      </w:r>
    </w:p>
    <w:p w14:paraId="31256580" w14:textId="77777777" w:rsidR="00225E53" w:rsidRDefault="00225E53" w:rsidP="00225E53">
      <w:pPr>
        <w:pStyle w:val="BodyText"/>
        <w:widowControl w:val="0"/>
        <w:snapToGrid w:val="0"/>
        <w:spacing w:after="0"/>
        <w:rPr>
          <w:lang w:val="pt-BR"/>
        </w:rPr>
      </w:pPr>
    </w:p>
    <w:p w14:paraId="02B3BE5D" w14:textId="77777777" w:rsidR="00225E53" w:rsidRDefault="00225E53" w:rsidP="00225E53">
      <w:pPr>
        <w:pStyle w:val="BodyText"/>
        <w:widowControl w:val="0"/>
        <w:snapToGrid w:val="0"/>
        <w:spacing w:after="0"/>
        <w:rPr>
          <w:lang w:val="pt-BR"/>
        </w:rPr>
      </w:pPr>
    </w:p>
    <w:p w14:paraId="449AA79D" w14:textId="77777777" w:rsidR="00225E53" w:rsidRDefault="00225E53" w:rsidP="00225E53">
      <w:pPr>
        <w:pStyle w:val="BodyText"/>
        <w:widowControl w:val="0"/>
        <w:snapToGrid w:val="0"/>
        <w:spacing w:after="0"/>
        <w:rPr>
          <w:lang w:val="pt-BR"/>
        </w:rPr>
      </w:pPr>
    </w:p>
    <w:p w14:paraId="7C1D03DB" w14:textId="77777777" w:rsidR="00225E53" w:rsidRDefault="00225E53" w:rsidP="00225E53">
      <w:pPr>
        <w:pStyle w:val="BodyText"/>
        <w:widowControl w:val="0"/>
        <w:snapToGrid w:val="0"/>
        <w:spacing w:after="0"/>
        <w:rPr>
          <w:lang w:val="pt-BR"/>
        </w:rPr>
      </w:pPr>
    </w:p>
    <w:p w14:paraId="0029E6E4" w14:textId="77777777" w:rsidR="00225E53" w:rsidRDefault="00225E53" w:rsidP="00225E53">
      <w:pPr>
        <w:pStyle w:val="BodyText"/>
        <w:widowControl w:val="0"/>
        <w:snapToGrid w:val="0"/>
        <w:spacing w:after="0"/>
        <w:rPr>
          <w:lang w:val="pt-BR"/>
        </w:rPr>
      </w:pPr>
    </w:p>
    <w:p w14:paraId="628B75E5" w14:textId="77777777" w:rsidR="00225E53" w:rsidRDefault="00225E53" w:rsidP="00225E53">
      <w:pPr>
        <w:pStyle w:val="BodyText"/>
        <w:widowControl w:val="0"/>
        <w:snapToGrid w:val="0"/>
        <w:spacing w:after="0"/>
        <w:rPr>
          <w:lang w:val="pt-BR"/>
        </w:rPr>
      </w:pPr>
    </w:p>
    <w:p w14:paraId="1B36AD75" w14:textId="77777777" w:rsidR="00225E53" w:rsidRDefault="00225E53" w:rsidP="00225E53">
      <w:pPr>
        <w:pStyle w:val="BodyText"/>
        <w:widowControl w:val="0"/>
        <w:snapToGrid w:val="0"/>
        <w:spacing w:after="0"/>
        <w:rPr>
          <w:lang w:val="pt-BR"/>
        </w:rPr>
      </w:pPr>
    </w:p>
    <w:p w14:paraId="1BA92C82" w14:textId="77777777" w:rsidR="00225E53" w:rsidRDefault="00225E53" w:rsidP="00225E53">
      <w:pPr>
        <w:jc w:val="center"/>
        <w:rPr>
          <w:lang w:val="pt-BR"/>
        </w:rPr>
      </w:pPr>
      <w:r>
        <w:rPr>
          <w:lang w:val="pt-BR"/>
        </w:rPr>
        <w:t>Eduardo Ferrer Mac-Gregor Poisot</w:t>
      </w:r>
    </w:p>
    <w:p w14:paraId="441D4A3F" w14:textId="77777777" w:rsidR="00225E53" w:rsidRDefault="00225E53" w:rsidP="00225E53">
      <w:pPr>
        <w:jc w:val="center"/>
        <w:rPr>
          <w:lang w:val="pt-BR"/>
        </w:rPr>
      </w:pPr>
      <w:r>
        <w:rPr>
          <w:lang w:val="pt-BR"/>
        </w:rPr>
        <w:t xml:space="preserve">Presidente </w:t>
      </w:r>
    </w:p>
    <w:p w14:paraId="32B6369E" w14:textId="77777777" w:rsidR="00225E53" w:rsidRDefault="00225E53" w:rsidP="00225E53">
      <w:pPr>
        <w:rPr>
          <w:lang w:val="pt-BR"/>
        </w:rPr>
      </w:pPr>
    </w:p>
    <w:p w14:paraId="135A1C2D" w14:textId="77777777" w:rsidR="00225E53" w:rsidRDefault="00225E53" w:rsidP="00225E53">
      <w:pPr>
        <w:rPr>
          <w:lang w:val="pt-BR"/>
        </w:rPr>
      </w:pPr>
    </w:p>
    <w:p w14:paraId="02F7967C" w14:textId="77777777" w:rsidR="00225E53" w:rsidRDefault="00225E53" w:rsidP="00225E53">
      <w:pPr>
        <w:rPr>
          <w:lang w:val="pt-BR"/>
        </w:rPr>
      </w:pPr>
    </w:p>
    <w:p w14:paraId="6F54C5FF" w14:textId="77777777" w:rsidR="00225E53" w:rsidRDefault="00225E53" w:rsidP="00225E53">
      <w:pPr>
        <w:rPr>
          <w:lang w:val="pt-BR"/>
        </w:rPr>
      </w:pPr>
    </w:p>
    <w:p w14:paraId="223CB543" w14:textId="77777777" w:rsidR="00225E53" w:rsidRDefault="00225E53" w:rsidP="00225E53">
      <w:pPr>
        <w:rPr>
          <w:lang w:val="pt-BR"/>
        </w:rPr>
      </w:pPr>
    </w:p>
    <w:p w14:paraId="0E028BDB" w14:textId="77777777" w:rsidR="00225E53" w:rsidRDefault="00225E53" w:rsidP="00225E53">
      <w:pPr>
        <w:rPr>
          <w:lang w:val="pt-BR"/>
        </w:rPr>
      </w:pPr>
    </w:p>
    <w:p w14:paraId="12BC1319" w14:textId="77777777" w:rsidR="00225E53" w:rsidRDefault="00225E53" w:rsidP="00225E53">
      <w:pPr>
        <w:rPr>
          <w:lang w:val="pt-BR"/>
        </w:rPr>
      </w:pPr>
      <w:r>
        <w:rPr>
          <w:lang w:val="pt-BR"/>
        </w:rPr>
        <w:t xml:space="preserve"> Eduardo Vio Grossi</w:t>
      </w:r>
      <w:r>
        <w:rPr>
          <w:lang w:val="pt-BR"/>
        </w:rPr>
        <w:tab/>
      </w:r>
      <w:r>
        <w:rPr>
          <w:lang w:val="pt-BR"/>
        </w:rPr>
        <w:tab/>
      </w:r>
      <w:r>
        <w:rPr>
          <w:lang w:val="pt-BR"/>
        </w:rPr>
        <w:tab/>
      </w:r>
      <w:r>
        <w:rPr>
          <w:lang w:val="pt-BR"/>
        </w:rPr>
        <w:tab/>
      </w:r>
      <w:r>
        <w:rPr>
          <w:lang w:val="pt-BR"/>
        </w:rPr>
        <w:tab/>
      </w:r>
      <w:r>
        <w:rPr>
          <w:lang w:val="pt-BR"/>
        </w:rPr>
        <w:tab/>
      </w:r>
      <w:r>
        <w:rPr>
          <w:lang w:val="pt-BR"/>
        </w:rPr>
        <w:tab/>
        <w:t xml:space="preserve">           Elizabeth Odio Benito</w:t>
      </w:r>
    </w:p>
    <w:p w14:paraId="543564F2" w14:textId="77777777" w:rsidR="00225E53" w:rsidRDefault="00225E53" w:rsidP="00225E53">
      <w:pPr>
        <w:rPr>
          <w:lang w:val="pt-BR"/>
        </w:rPr>
      </w:pPr>
    </w:p>
    <w:p w14:paraId="1F6E80F7" w14:textId="77777777" w:rsidR="00225E53" w:rsidRDefault="00225E53" w:rsidP="00225E53">
      <w:pPr>
        <w:rPr>
          <w:lang w:val="pt-BR"/>
        </w:rPr>
      </w:pPr>
    </w:p>
    <w:p w14:paraId="6D565088" w14:textId="77777777" w:rsidR="00225E53" w:rsidRDefault="00225E53" w:rsidP="00225E53">
      <w:pPr>
        <w:rPr>
          <w:lang w:val="pt-BR"/>
        </w:rPr>
      </w:pPr>
    </w:p>
    <w:p w14:paraId="235C5237" w14:textId="77777777" w:rsidR="00225E53" w:rsidRDefault="00225E53" w:rsidP="00225E53">
      <w:pPr>
        <w:rPr>
          <w:lang w:val="pt-BR"/>
        </w:rPr>
      </w:pPr>
    </w:p>
    <w:p w14:paraId="27CAD588" w14:textId="77777777" w:rsidR="00225E53" w:rsidRDefault="00225E53" w:rsidP="00225E53">
      <w:pPr>
        <w:rPr>
          <w:lang w:val="pt-BR"/>
        </w:rPr>
      </w:pPr>
    </w:p>
    <w:p w14:paraId="2B6E9C2C" w14:textId="77777777" w:rsidR="00225E53" w:rsidRDefault="00225E53" w:rsidP="00225E53">
      <w:pPr>
        <w:rPr>
          <w:lang w:val="pt-BR"/>
        </w:rPr>
      </w:pPr>
    </w:p>
    <w:p w14:paraId="4D6A0EB0" w14:textId="77777777" w:rsidR="00225E53" w:rsidRDefault="00225E53" w:rsidP="00225E53">
      <w:pPr>
        <w:rPr>
          <w:lang w:val="pt-BR"/>
        </w:rPr>
      </w:pPr>
      <w:r>
        <w:rPr>
          <w:lang w:val="pt-BR"/>
        </w:rPr>
        <w:t>Eugenio Raúl Zaffaroni</w:t>
      </w:r>
      <w:r>
        <w:rPr>
          <w:lang w:val="pt-BR"/>
        </w:rPr>
        <w:tab/>
      </w:r>
      <w:r>
        <w:rPr>
          <w:lang w:val="pt-BR"/>
        </w:rPr>
        <w:tab/>
      </w:r>
      <w:r>
        <w:rPr>
          <w:lang w:val="pt-BR"/>
        </w:rPr>
        <w:tab/>
      </w:r>
      <w:r>
        <w:rPr>
          <w:lang w:val="pt-BR"/>
        </w:rPr>
        <w:tab/>
      </w:r>
      <w:r>
        <w:rPr>
          <w:lang w:val="pt-BR"/>
        </w:rPr>
        <w:tab/>
      </w:r>
      <w:r>
        <w:rPr>
          <w:lang w:val="pt-BR"/>
        </w:rPr>
        <w:tab/>
        <w:t xml:space="preserve">     L. Patricio Pazmiño Freire</w:t>
      </w:r>
    </w:p>
    <w:p w14:paraId="78C25372" w14:textId="77777777" w:rsidR="00225E53" w:rsidRDefault="00225E53" w:rsidP="00225E53">
      <w:pPr>
        <w:rPr>
          <w:lang w:val="pt-BR"/>
        </w:rPr>
      </w:pPr>
    </w:p>
    <w:p w14:paraId="520830A1" w14:textId="77777777" w:rsidR="00225E53" w:rsidRDefault="00225E53" w:rsidP="00225E53">
      <w:pPr>
        <w:rPr>
          <w:lang w:val="pt-BR"/>
        </w:rPr>
      </w:pPr>
    </w:p>
    <w:p w14:paraId="1F3E5FD7" w14:textId="77777777" w:rsidR="00225E53" w:rsidRDefault="00225E53" w:rsidP="00225E53">
      <w:pPr>
        <w:rPr>
          <w:lang w:val="pt-BR"/>
        </w:rPr>
      </w:pPr>
    </w:p>
    <w:p w14:paraId="36EF7C4B" w14:textId="77777777" w:rsidR="00225E53" w:rsidRDefault="00225E53" w:rsidP="00225E53">
      <w:pPr>
        <w:rPr>
          <w:lang w:val="pt-BR"/>
        </w:rPr>
      </w:pPr>
    </w:p>
    <w:p w14:paraId="1C802423" w14:textId="77777777" w:rsidR="00225E53" w:rsidRDefault="00225E53" w:rsidP="00225E53">
      <w:pPr>
        <w:rPr>
          <w:lang w:val="pt-BR"/>
        </w:rPr>
      </w:pPr>
    </w:p>
    <w:p w14:paraId="7AF712DA" w14:textId="77777777" w:rsidR="00225E53" w:rsidRDefault="00225E53" w:rsidP="00225E53">
      <w:pPr>
        <w:rPr>
          <w:lang w:val="pt-BR"/>
        </w:rPr>
      </w:pPr>
    </w:p>
    <w:p w14:paraId="739B219D" w14:textId="77777777" w:rsidR="00225E53" w:rsidRDefault="00225E53" w:rsidP="00225E53">
      <w:pPr>
        <w:jc w:val="center"/>
        <w:rPr>
          <w:lang w:val="pt-BR"/>
        </w:rPr>
      </w:pPr>
      <w:r>
        <w:rPr>
          <w:lang w:val="pt-BR"/>
        </w:rPr>
        <w:t>Pablo Saavedra Alessandri</w:t>
      </w:r>
    </w:p>
    <w:p w14:paraId="21657DF2" w14:textId="77777777" w:rsidR="00225E53" w:rsidRDefault="00225E53" w:rsidP="00225E53">
      <w:pPr>
        <w:jc w:val="center"/>
        <w:rPr>
          <w:lang w:val="pt-BR"/>
        </w:rPr>
      </w:pPr>
      <w:r>
        <w:rPr>
          <w:lang w:val="pt-BR"/>
        </w:rPr>
        <w:t>Secretario</w:t>
      </w:r>
    </w:p>
    <w:p w14:paraId="4D9D74C5" w14:textId="77777777" w:rsidR="00225E53" w:rsidRDefault="00225E53" w:rsidP="00225E53">
      <w:pPr>
        <w:pStyle w:val="FootnoteText"/>
        <w:rPr>
          <w:lang w:val="pt-BR"/>
        </w:rPr>
      </w:pPr>
    </w:p>
    <w:p w14:paraId="2C958AD3" w14:textId="77777777" w:rsidR="00225E53" w:rsidRDefault="00225E53" w:rsidP="00225E53">
      <w:pPr>
        <w:pStyle w:val="FootnoteText"/>
        <w:rPr>
          <w:lang w:val="pt-BR"/>
        </w:rPr>
      </w:pPr>
    </w:p>
    <w:p w14:paraId="7FFB91A5" w14:textId="77777777" w:rsidR="00225E53" w:rsidRDefault="00225E53" w:rsidP="00225E53">
      <w:pPr>
        <w:pStyle w:val="FootnoteText"/>
        <w:rPr>
          <w:lang w:val="pt-BR"/>
        </w:rPr>
      </w:pPr>
    </w:p>
    <w:p w14:paraId="710F74B4" w14:textId="77777777" w:rsidR="00225E53" w:rsidRDefault="00225E53" w:rsidP="00225E53">
      <w:pPr>
        <w:pStyle w:val="FootnoteText"/>
        <w:rPr>
          <w:lang w:val="pt-BR"/>
        </w:rPr>
      </w:pPr>
    </w:p>
    <w:p w14:paraId="78FD10B4" w14:textId="77777777" w:rsidR="00225E53" w:rsidRDefault="00225E53" w:rsidP="00225E53">
      <w:pPr>
        <w:pStyle w:val="FootnoteText"/>
        <w:rPr>
          <w:lang w:val="pt-BR"/>
        </w:rPr>
      </w:pPr>
    </w:p>
    <w:p w14:paraId="1F76B836" w14:textId="77777777" w:rsidR="00225E53" w:rsidRDefault="00225E53" w:rsidP="00225E53">
      <w:pPr>
        <w:rPr>
          <w:lang w:val="pt-BR"/>
        </w:rPr>
      </w:pPr>
      <w:r>
        <w:rPr>
          <w:lang w:val="pt-BR"/>
        </w:rPr>
        <w:t>Comuníquese y ejecútese,</w:t>
      </w:r>
    </w:p>
    <w:p w14:paraId="2885BBF9" w14:textId="77777777" w:rsidR="00225E53" w:rsidRDefault="00225E53" w:rsidP="00225E53">
      <w:pPr>
        <w:rPr>
          <w:lang w:val="pt-BR"/>
        </w:rPr>
      </w:pPr>
    </w:p>
    <w:p w14:paraId="2D88F675" w14:textId="77777777" w:rsidR="00225E53" w:rsidRDefault="00225E53" w:rsidP="00225E53">
      <w:pPr>
        <w:rPr>
          <w:lang w:val="pt-BR"/>
        </w:rPr>
      </w:pPr>
    </w:p>
    <w:p w14:paraId="7A63A66A" w14:textId="77777777" w:rsidR="00225E53" w:rsidRDefault="00225E53" w:rsidP="00225E53">
      <w:pPr>
        <w:rPr>
          <w:lang w:val="pt-BR"/>
        </w:rPr>
      </w:pPr>
    </w:p>
    <w:p w14:paraId="5BF42E63" w14:textId="77777777" w:rsidR="00225E53" w:rsidRDefault="00225E53" w:rsidP="00225E53">
      <w:pPr>
        <w:jc w:val="right"/>
        <w:rPr>
          <w:lang w:val="pt-BR"/>
        </w:rPr>
      </w:pPr>
    </w:p>
    <w:p w14:paraId="41A46BCC" w14:textId="77777777" w:rsidR="00225E53" w:rsidRDefault="00225E53" w:rsidP="00225E53">
      <w:pPr>
        <w:jc w:val="right"/>
        <w:rPr>
          <w:lang w:val="pt-BR"/>
        </w:rPr>
      </w:pPr>
    </w:p>
    <w:p w14:paraId="5BC85729" w14:textId="77777777" w:rsidR="00225E53" w:rsidRDefault="00225E53" w:rsidP="00225E53">
      <w:pPr>
        <w:jc w:val="center"/>
        <w:rPr>
          <w:lang w:val="pt-BR"/>
        </w:rPr>
      </w:pPr>
      <w:r>
        <w:rPr>
          <w:lang w:val="pt-BR"/>
        </w:rPr>
        <w:t xml:space="preserve">                                                                                   Eduardo Ferrer Mac-Gregor Poisot</w:t>
      </w:r>
    </w:p>
    <w:p w14:paraId="2FC4A8DF" w14:textId="77777777" w:rsidR="00225E53" w:rsidRDefault="00225E53" w:rsidP="00225E53">
      <w:pPr>
        <w:ind w:left="6480"/>
        <w:rPr>
          <w:lang w:val="pt-BR"/>
        </w:rPr>
      </w:pPr>
      <w:r>
        <w:rPr>
          <w:lang w:val="pt-BR"/>
        </w:rPr>
        <w:t xml:space="preserve">        Presidente </w:t>
      </w:r>
    </w:p>
    <w:p w14:paraId="268F38D9" w14:textId="77777777" w:rsidR="00225E53" w:rsidRDefault="00225E53" w:rsidP="00225E53">
      <w:pPr>
        <w:ind w:left="5040" w:firstLine="720"/>
        <w:jc w:val="center"/>
        <w:rPr>
          <w:lang w:val="pt-BR"/>
        </w:rPr>
      </w:pPr>
    </w:p>
    <w:p w14:paraId="5F849B65" w14:textId="77777777" w:rsidR="00225E53" w:rsidRDefault="00225E53" w:rsidP="00225E53">
      <w:pPr>
        <w:rPr>
          <w:lang w:val="pt-BR"/>
        </w:rPr>
      </w:pPr>
    </w:p>
    <w:p w14:paraId="7D4A653A" w14:textId="77777777" w:rsidR="00225E53" w:rsidRDefault="00225E53" w:rsidP="00225E53">
      <w:pPr>
        <w:rPr>
          <w:lang w:val="pt-BR"/>
        </w:rPr>
      </w:pPr>
    </w:p>
    <w:p w14:paraId="2A1A65B9" w14:textId="77777777" w:rsidR="00225E53" w:rsidRDefault="00225E53" w:rsidP="00225E53">
      <w:pPr>
        <w:rPr>
          <w:lang w:val="pt-BR"/>
        </w:rPr>
      </w:pPr>
    </w:p>
    <w:p w14:paraId="51BD233A" w14:textId="77777777" w:rsidR="00225E53" w:rsidRDefault="00225E53" w:rsidP="00225E53">
      <w:pPr>
        <w:rPr>
          <w:lang w:val="pt-BR"/>
        </w:rPr>
      </w:pPr>
      <w:r>
        <w:rPr>
          <w:lang w:val="pt-BR"/>
        </w:rPr>
        <w:t>Pablo Saavedra Alessandri</w:t>
      </w:r>
    </w:p>
    <w:p w14:paraId="5FFD4AAD" w14:textId="77777777" w:rsidR="00225E53" w:rsidRDefault="00225E53" w:rsidP="00225E53">
      <w:r>
        <w:rPr>
          <w:lang w:val="pt-BR"/>
        </w:rPr>
        <w:tab/>
      </w:r>
      <w:r>
        <w:t>Secretario</w:t>
      </w:r>
    </w:p>
    <w:p w14:paraId="3FC8FBAF" w14:textId="77777777" w:rsidR="00225E53" w:rsidRPr="008314C2" w:rsidRDefault="00225E53" w:rsidP="00225E53">
      <w:pPr>
        <w:pStyle w:val="BodyText"/>
        <w:widowControl w:val="0"/>
        <w:snapToGrid w:val="0"/>
        <w:spacing w:after="0"/>
        <w:rPr>
          <w:lang w:val="es-CR"/>
        </w:rPr>
      </w:pPr>
    </w:p>
    <w:sectPr w:rsidR="00225E53" w:rsidRPr="008314C2" w:rsidSect="001F36BD">
      <w:footerReference w:type="defaul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2E241" w14:textId="77777777" w:rsidR="00132F65" w:rsidRDefault="00132F65" w:rsidP="00CE4104">
      <w:r>
        <w:separator/>
      </w:r>
    </w:p>
  </w:endnote>
  <w:endnote w:type="continuationSeparator" w:id="0">
    <w:p w14:paraId="77F84EFB" w14:textId="77777777" w:rsidR="00132F65" w:rsidRDefault="00132F65" w:rsidP="00CE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48025"/>
      <w:docPartObj>
        <w:docPartGallery w:val="Page Numbers (Bottom of Page)"/>
        <w:docPartUnique/>
      </w:docPartObj>
    </w:sdtPr>
    <w:sdtEndPr>
      <w:rPr>
        <w:noProof/>
      </w:rPr>
    </w:sdtEndPr>
    <w:sdtContent>
      <w:p w14:paraId="236EB592" w14:textId="77777777" w:rsidR="00E4427D" w:rsidRDefault="00E4427D">
        <w:pPr>
          <w:pStyle w:val="Footer"/>
          <w:jc w:val="center"/>
        </w:pPr>
        <w:r>
          <w:fldChar w:fldCharType="begin"/>
        </w:r>
        <w:r>
          <w:instrText xml:space="preserve"> PAGE   \* MERGEFORMAT </w:instrText>
        </w:r>
        <w:r>
          <w:fldChar w:fldCharType="separate"/>
        </w:r>
        <w:r w:rsidR="003836E7">
          <w:rPr>
            <w:noProof/>
          </w:rPr>
          <w:t>28</w:t>
        </w:r>
        <w:r>
          <w:rPr>
            <w:noProof/>
          </w:rPr>
          <w:fldChar w:fldCharType="end"/>
        </w:r>
      </w:p>
    </w:sdtContent>
  </w:sdt>
  <w:p w14:paraId="69386386" w14:textId="77777777" w:rsidR="00E4427D" w:rsidRDefault="00E4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31DF8" w14:textId="77777777" w:rsidR="00132F65" w:rsidRDefault="00132F65" w:rsidP="00CE4104">
      <w:r>
        <w:separator/>
      </w:r>
    </w:p>
  </w:footnote>
  <w:footnote w:type="continuationSeparator" w:id="0">
    <w:p w14:paraId="2F08278D" w14:textId="77777777" w:rsidR="00132F65" w:rsidRDefault="00132F65" w:rsidP="00CE4104">
      <w:r>
        <w:continuationSeparator/>
      </w:r>
    </w:p>
  </w:footnote>
  <w:footnote w:id="1">
    <w:p w14:paraId="40D8A50E" w14:textId="446CEA4C" w:rsidR="00E4427D" w:rsidRPr="00E4427D" w:rsidRDefault="00E4427D">
      <w:pPr>
        <w:pStyle w:val="FootnoteText"/>
      </w:pPr>
      <w:r w:rsidRPr="00384BC9">
        <w:rPr>
          <w:rStyle w:val="FootnoteReference"/>
        </w:rPr>
        <w:footnoteRef/>
      </w:r>
      <w:r w:rsidRPr="00384BC9">
        <w:t xml:space="preserve"> El Juez Humberto Antonio Sierra Porto, por razones de fuerza mayor aceptadas por el Pleno del Tribunal, no participó en la deliberación y firma de la presente Resolución.</w:t>
      </w:r>
    </w:p>
  </w:footnote>
  <w:footnote w:id="2">
    <w:p w14:paraId="5BB78D8A" w14:textId="64E3E9A0" w:rsidR="00E4427D" w:rsidRPr="009E7BBE" w:rsidRDefault="00E4427D">
      <w:pPr>
        <w:pStyle w:val="FootnoteText"/>
        <w:rPr>
          <w:lang w:val="pt-BR"/>
        </w:rPr>
      </w:pPr>
      <w:r w:rsidRPr="009E7BBE">
        <w:rPr>
          <w:rStyle w:val="FootnoteReference"/>
          <w:szCs w:val="16"/>
        </w:rPr>
        <w:footnoteRef/>
      </w:r>
      <w:r w:rsidRPr="009E7BBE">
        <w:rPr>
          <w:lang w:val="pt-BR"/>
        </w:rPr>
        <w:t xml:space="preserve"> </w:t>
      </w:r>
      <w:r w:rsidRPr="009E7BBE">
        <w:rPr>
          <w:i/>
          <w:lang w:val="pt-BR"/>
        </w:rPr>
        <w:t>Asunto del Instituto Penal Plácido de Sá Carvalho</w:t>
      </w:r>
      <w:r w:rsidRPr="009E7BBE">
        <w:rPr>
          <w:lang w:val="pt-BR"/>
        </w:rPr>
        <w:t>. Medidas Provisionales respecto de Brasil. Resolución de la Corte Interamericana de Derechos Humanos, de 31 de agosto de 2017, Punto Resolutivo 1.</w:t>
      </w:r>
    </w:p>
  </w:footnote>
  <w:footnote w:id="3">
    <w:p w14:paraId="2BBDCFA9" w14:textId="15D55A73" w:rsidR="00E4427D" w:rsidRPr="009E7BBE" w:rsidRDefault="00E4427D">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Medidas Provisionales respecto de Brasil. Resolución de la Corte Interamericana de Derechos Humanos, de 31 de agosto de 2017, Considerando 70.</w:t>
      </w:r>
    </w:p>
  </w:footnote>
  <w:footnote w:id="4">
    <w:p w14:paraId="125654FC" w14:textId="5A5E1CBF" w:rsidR="00E4427D" w:rsidRPr="009E7BBE" w:rsidRDefault="00E4427D" w:rsidP="00A15D19">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Medidas Provisionales respecto de Brasil. Resolución de la Corte Interamericana de Derechos Humanos, de 31 de agosto de 2017, Considerando 28.</w:t>
      </w:r>
    </w:p>
  </w:footnote>
  <w:footnote w:id="5">
    <w:p w14:paraId="09F8F7F4" w14:textId="57D58514" w:rsidR="00E4427D" w:rsidRPr="009E7BBE" w:rsidRDefault="00E4427D" w:rsidP="000E1744">
      <w:pPr>
        <w:tabs>
          <w:tab w:val="left" w:pos="720"/>
        </w:tabs>
        <w:rPr>
          <w:sz w:val="16"/>
          <w:szCs w:val="16"/>
          <w:lang w:val="pt-BR"/>
        </w:rPr>
      </w:pPr>
      <w:r w:rsidRPr="009E7BBE">
        <w:rPr>
          <w:rStyle w:val="FootnoteReference"/>
          <w:sz w:val="16"/>
          <w:szCs w:val="16"/>
        </w:rPr>
        <w:footnoteRef/>
      </w:r>
      <w:r w:rsidRPr="009E7BBE">
        <w:rPr>
          <w:i/>
          <w:sz w:val="16"/>
          <w:szCs w:val="16"/>
          <w:lang w:val="pt-BR"/>
        </w:rPr>
        <w:t xml:space="preserve"> </w:t>
      </w:r>
      <w:r w:rsidRPr="009E7BBE">
        <w:rPr>
          <w:i/>
          <w:sz w:val="16"/>
          <w:szCs w:val="16"/>
          <w:lang w:val="pt-BR"/>
        </w:rPr>
        <w:t xml:space="preserve">Asunto </w:t>
      </w:r>
      <w:r w:rsidRPr="009E7BBE">
        <w:rPr>
          <w:i/>
          <w:sz w:val="16"/>
          <w:szCs w:val="16"/>
          <w:lang w:val="pt-BR"/>
        </w:rPr>
        <w:t>del Instituto Penal Plácido de Sá Carvalho</w:t>
      </w:r>
      <w:r w:rsidRPr="009E7BBE">
        <w:rPr>
          <w:sz w:val="16"/>
          <w:szCs w:val="16"/>
          <w:lang w:val="pt-BR"/>
        </w:rPr>
        <w:t>. Medidas Provisionales respecto de Brasil. Resolución de la Corte Interamericana de Derechos Humanos, de 31 de agosto de 2017, Punto Resolutivo 3.</w:t>
      </w:r>
    </w:p>
  </w:footnote>
  <w:footnote w:id="6">
    <w:p w14:paraId="6488A913" w14:textId="7B60E5D1" w:rsidR="00E4427D" w:rsidRPr="009E7BBE" w:rsidRDefault="00E4427D" w:rsidP="00356FEE">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Medidas Provisionales respecto de Brasil. Resolución de la Corte Interamericana de Derechos Humanos, de 31 de agosto de 2017, Considerando 28.</w:t>
      </w:r>
    </w:p>
  </w:footnote>
  <w:footnote w:id="7">
    <w:p w14:paraId="4CEBCA62" w14:textId="7019BFE0" w:rsidR="00E4427D" w:rsidRPr="009E7BBE" w:rsidRDefault="00E4427D" w:rsidP="00FD7BE5">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Medidas Provisionales respecto de Brasil. Resolución de la Corte Interamericana de Derechos Humanos, de 31 de agosto de 2017, Considerando 28.</w:t>
      </w:r>
    </w:p>
  </w:footnote>
  <w:footnote w:id="8">
    <w:p w14:paraId="1AC5FB48" w14:textId="24566C55" w:rsidR="00E4427D" w:rsidRPr="009E7BBE" w:rsidRDefault="00E4427D" w:rsidP="009620AB">
      <w:pPr>
        <w:pStyle w:val="FootnoteText"/>
      </w:pPr>
      <w:r w:rsidRPr="009E7BBE">
        <w:rPr>
          <w:rStyle w:val="FootnoteReference"/>
          <w:szCs w:val="16"/>
        </w:rPr>
        <w:footnoteRef/>
      </w:r>
      <w:r w:rsidRPr="009E7BBE">
        <w:rPr>
          <w:lang w:val="pt-BR"/>
        </w:rPr>
        <w:t xml:space="preserve"> </w:t>
      </w:r>
      <w:r w:rsidRPr="009E7BBE">
        <w:rPr>
          <w:lang w:val="pt-BR"/>
        </w:rPr>
        <w:t xml:space="preserve">Acto </w:t>
      </w:r>
      <w:r w:rsidRPr="009E7BBE">
        <w:rPr>
          <w:lang w:val="pt-BR"/>
        </w:rPr>
        <w:t xml:space="preserve">Ejecutivo Conjunto nº 4/2017. </w:t>
      </w:r>
      <w:r w:rsidRPr="009E7BBE">
        <w:t>El artigo 3º, apartado X, del referido instrumento determina que el GMF-RJ posee, entre otras atribuciones, “[f]</w:t>
      </w:r>
      <w:proofErr w:type="spellStart"/>
      <w:r w:rsidRPr="009E7BBE">
        <w:t>iscalizar</w:t>
      </w:r>
      <w:proofErr w:type="spellEnd"/>
      <w:r w:rsidRPr="009E7BBE">
        <w:t xml:space="preserve"> y monitorear la condición del interno junto al sistema carcelario en el cumplimento de la pena y de la prisión preventiva, recomendando medidas necesarias para asegurar que el número de presos no exceda la capacidad de ocupación de los estabelecimientos penitenciarios”.</w:t>
      </w:r>
    </w:p>
  </w:footnote>
  <w:footnote w:id="9">
    <w:p w14:paraId="2BCCD1D8" w14:textId="0A3F4A68" w:rsidR="00E4427D" w:rsidRPr="009E7BBE" w:rsidRDefault="00E4427D">
      <w:pPr>
        <w:pStyle w:val="FootnoteText"/>
        <w:rPr>
          <w:lang w:val="pt-BR"/>
        </w:rPr>
      </w:pPr>
      <w:r w:rsidRPr="009E7BBE">
        <w:rPr>
          <w:rStyle w:val="FootnoteReference"/>
          <w:szCs w:val="16"/>
        </w:rPr>
        <w:footnoteRef/>
      </w:r>
      <w:r w:rsidRPr="009E7BBE">
        <w:rPr>
          <w:lang w:val="pt-BR"/>
        </w:rPr>
        <w:t xml:space="preserve"> </w:t>
      </w:r>
      <w:r w:rsidRPr="009E7BBE">
        <w:rPr>
          <w:lang w:val="pt-BR"/>
        </w:rPr>
        <w:t>Supremo Tribunal Federal. Interpretación Vinculante (</w:t>
      </w:r>
      <w:r w:rsidRPr="009E7BBE">
        <w:rPr>
          <w:i/>
          <w:lang w:val="pt-BR"/>
        </w:rPr>
        <w:t xml:space="preserve">Súmula Vinculante) </w:t>
      </w:r>
      <w:r w:rsidRPr="009E7BBE">
        <w:rPr>
          <w:lang w:val="pt-BR"/>
        </w:rPr>
        <w:t>nº 56, de 8 de agosto de 2016: “A falta de estabelecimento penal adequado não autoriza a manutenção do condenado em regime prisional mais gravoso, devendo-se observar, nessa hipótese, os parâmetros fixados no RE 641.320/RS.”. Precedente Interpretativo: “Cumprimento de pena em regime fechado, na hipótese de inexistir vaga em estabelecimento adequado a seu regime. Violação aos princípios da individualização da pena (art. 5º, XLVI) e da legalidade (art. 5º, XXXIX). A falta de estabelecimento penal adequado não autoriza a manutenção do condenado em regime prisional mais gravoso. 3. Os juízes da execução penal poderão avaliar os estabelecimentos destinados aos regimes semiaberto e aberto, para qualificação como adequados a tais regimes. São aceitáveis estabelecimentos que não se qualifiquem como “colônia agrícola, industrial” (regime semiaberto) ou “casa de albergado ou estabelecimento adequado” (regime aberto) (art. 33, § 1º, </w:t>
      </w:r>
      <w:r w:rsidRPr="009E7BBE">
        <w:rPr>
          <w:i/>
          <w:iCs/>
          <w:lang w:val="pt-BR"/>
        </w:rPr>
        <w:t>b</w:t>
      </w:r>
      <w:r w:rsidRPr="009E7BBE">
        <w:rPr>
          <w:lang w:val="pt-BR"/>
        </w:rPr>
        <w:t> e </w:t>
      </w:r>
      <w:r w:rsidRPr="009E7BBE">
        <w:rPr>
          <w:i/>
          <w:iCs/>
          <w:lang w:val="pt-BR"/>
        </w:rPr>
        <w:t>c</w:t>
      </w:r>
      <w:r w:rsidRPr="009E7BBE">
        <w:rPr>
          <w:lang w:val="pt-BR"/>
        </w:rPr>
        <w:t>). No entanto, não deverá haver alojamento conjunto de presos dos regimes semiaberto e aberto com presos do regime fechado. 4. Havendo déficit de vagas, deverão ser determinados: (i) a saída antecipada de sentenciado no regime com falta de vagas; (ii) a liberdade eletronicamente monitorada ao sentenciado que sai antecipadamente ou é posto em prisão domiciliar por falta de vagas; (iii) o cumprimento de penas restritivas de direito e/ou estudo ao sentenciado que progride ao regime aberto. Até que sejam estruturadas as medidas alternativas propostas, poderá ser deferida a prisão domiciliar ao sentenciado.” [RE 641.320, rel. min. Gilmar Mendes, P, j. 11-5-2016, </w:t>
      </w:r>
      <w:r w:rsidRPr="00384BC9">
        <w:rPr>
          <w:iCs/>
          <w:lang w:val="pt-BR"/>
        </w:rPr>
        <w:t>DJE</w:t>
      </w:r>
      <w:r w:rsidRPr="009E7BBE">
        <w:rPr>
          <w:lang w:val="pt-BR"/>
        </w:rPr>
        <w:t> 159 de 1º-8-2016, Tema 423]</w:t>
      </w:r>
    </w:p>
  </w:footnote>
  <w:footnote w:id="10">
    <w:p w14:paraId="465F3CF7" w14:textId="0041C070" w:rsidR="00E4427D" w:rsidRPr="009E7BBE" w:rsidRDefault="00E4427D" w:rsidP="00D715AD">
      <w:pPr>
        <w:pStyle w:val="FootnoteText"/>
        <w:rPr>
          <w:lang w:val="pt-BR"/>
        </w:rPr>
      </w:pPr>
      <w:r w:rsidRPr="009E7BBE">
        <w:rPr>
          <w:rStyle w:val="FootnoteReference"/>
          <w:szCs w:val="16"/>
        </w:rPr>
        <w:footnoteRef/>
      </w:r>
      <w:r w:rsidRPr="009E7BBE">
        <w:rPr>
          <w:lang w:val="pt-BR"/>
        </w:rPr>
        <w:t xml:space="preserve"> </w:t>
      </w:r>
      <w:r w:rsidRPr="009E7BBE">
        <w:rPr>
          <w:lang w:val="pt-BR"/>
        </w:rPr>
        <w:t xml:space="preserve">República </w:t>
      </w:r>
      <w:r w:rsidRPr="009E7BBE">
        <w:rPr>
          <w:lang w:val="pt-BR"/>
        </w:rPr>
        <w:t>Federativa de Brasil, Diagnóstico Técnico – Instituto Penal Plácido de Sá Carvalho, Anexo al informe de 25 de mayo de 2018, p. 7.</w:t>
      </w:r>
    </w:p>
  </w:footnote>
  <w:footnote w:id="11">
    <w:p w14:paraId="069A8B73" w14:textId="6DC75B02" w:rsidR="00E4427D" w:rsidRPr="009E7BBE" w:rsidRDefault="00E4427D" w:rsidP="007D5D8E">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Resolución de la Corte Interamericana de Derechos Humanos de 31 de agosto de 2017, Considerando 71.</w:t>
      </w:r>
    </w:p>
  </w:footnote>
  <w:footnote w:id="12">
    <w:p w14:paraId="64D6497D" w14:textId="5372272E" w:rsidR="00E4427D" w:rsidRPr="00E22992" w:rsidRDefault="00E4427D" w:rsidP="007D5D8E">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xml:space="preserve">. </w:t>
      </w:r>
      <w:r w:rsidRPr="00E22992">
        <w:rPr>
          <w:lang w:val="pt-BR"/>
        </w:rPr>
        <w:t>Resolución de la Corte Interamericana de Derechos Humanos de 31 de agosto de 2017, Considerando 71.</w:t>
      </w:r>
    </w:p>
  </w:footnote>
  <w:footnote w:id="13">
    <w:p w14:paraId="1BF7DE6E" w14:textId="0A2C82EB" w:rsidR="00E4427D" w:rsidRPr="00E22992" w:rsidRDefault="00E4427D" w:rsidP="004A0164">
      <w:pPr>
        <w:pStyle w:val="FootnoteText"/>
        <w:rPr>
          <w:lang w:val="pt-BR"/>
        </w:rPr>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xml:space="preserve">. </w:t>
      </w:r>
      <w:r w:rsidRPr="00E22992">
        <w:rPr>
          <w:lang w:val="pt-BR"/>
        </w:rPr>
        <w:t>Resolución de la Corte Interamericana de Derechos Humanos de 31 de agosto de 2017, Considerando 83.</w:t>
      </w:r>
    </w:p>
  </w:footnote>
  <w:footnote w:id="14">
    <w:p w14:paraId="5C72D44F" w14:textId="35A2F690" w:rsidR="00E4427D" w:rsidRPr="00E22992" w:rsidRDefault="00E4427D" w:rsidP="00A352BA">
      <w:pPr>
        <w:pStyle w:val="FootnoteText"/>
        <w:rPr>
          <w:lang w:val="pt-BR"/>
        </w:rPr>
      </w:pPr>
      <w:r w:rsidRPr="009E7BBE">
        <w:rPr>
          <w:rStyle w:val="FootnoteReference"/>
          <w:szCs w:val="16"/>
        </w:rPr>
        <w:footnoteRef/>
      </w:r>
      <w:r w:rsidRPr="00E22992">
        <w:rPr>
          <w:lang w:val="pt-BR"/>
        </w:rPr>
        <w:t xml:space="preserve"> </w:t>
      </w:r>
      <w:r w:rsidRPr="00E22992">
        <w:rPr>
          <w:i/>
          <w:lang w:val="pt-BR"/>
        </w:rPr>
        <w:t xml:space="preserve">Asunto </w:t>
      </w:r>
      <w:r w:rsidRPr="00E22992">
        <w:rPr>
          <w:i/>
          <w:lang w:val="pt-BR"/>
        </w:rPr>
        <w:t>del Instituto Penal Plácido de Sá Carvalho</w:t>
      </w:r>
      <w:r w:rsidRPr="00E22992">
        <w:rPr>
          <w:lang w:val="pt-BR"/>
        </w:rPr>
        <w:t>. Resolución de la Corte Interamericana de Derechos Humanos de 31 de agosto de 2017, Dispositivo 1.</w:t>
      </w:r>
    </w:p>
  </w:footnote>
  <w:footnote w:id="15">
    <w:p w14:paraId="251CBBA8" w14:textId="244F4F35" w:rsidR="00E4427D" w:rsidRPr="00D26016" w:rsidRDefault="00E4427D">
      <w:pPr>
        <w:pStyle w:val="FootnoteText"/>
        <w:rPr>
          <w:lang w:val="pt-BR"/>
        </w:rPr>
      </w:pPr>
      <w:r w:rsidRPr="009E7BBE">
        <w:rPr>
          <w:rStyle w:val="FootnoteReference"/>
          <w:szCs w:val="16"/>
        </w:rPr>
        <w:footnoteRef/>
      </w:r>
      <w:r w:rsidRPr="00D26016">
        <w:rPr>
          <w:lang w:val="pt-BR"/>
        </w:rPr>
        <w:t xml:space="preserve"> </w:t>
      </w:r>
      <w:r w:rsidRPr="00D26016">
        <w:rPr>
          <w:lang w:val="pt-BR"/>
        </w:rPr>
        <w:t xml:space="preserve">Informe </w:t>
      </w:r>
      <w:r w:rsidRPr="00D26016">
        <w:rPr>
          <w:lang w:val="pt-BR"/>
        </w:rPr>
        <w:t>del Sindicato de los Servidores del Sistema Penal del Estado de Río de Janeiro, de 6 de febrero de 2018, p. 1.</w:t>
      </w:r>
    </w:p>
  </w:footnote>
  <w:footnote w:id="16">
    <w:p w14:paraId="6B5C289D" w14:textId="79B8F6F6" w:rsidR="00E4427D" w:rsidRPr="009E7BBE" w:rsidRDefault="00E4427D" w:rsidP="009829D0">
      <w:pPr>
        <w:pStyle w:val="FootnoteText"/>
      </w:pPr>
      <w:r w:rsidRPr="009E7BBE">
        <w:rPr>
          <w:rStyle w:val="FootnoteReference"/>
          <w:szCs w:val="16"/>
        </w:rPr>
        <w:footnoteRef/>
      </w:r>
      <w:r w:rsidRPr="009E7BBE">
        <w:rPr>
          <w:lang w:val="pt-BR"/>
        </w:rPr>
        <w:t xml:space="preserve"> </w:t>
      </w:r>
      <w:r w:rsidRPr="009E7BBE">
        <w:rPr>
          <w:i/>
          <w:lang w:val="pt-BR"/>
        </w:rPr>
        <w:t xml:space="preserve">Asunto </w:t>
      </w:r>
      <w:r w:rsidRPr="009E7BBE">
        <w:rPr>
          <w:i/>
          <w:lang w:val="pt-BR"/>
        </w:rPr>
        <w:t>del Instituto Penal Plácido de Sá Carvalho</w:t>
      </w:r>
      <w:r w:rsidRPr="009E7BBE">
        <w:rPr>
          <w:lang w:val="pt-BR"/>
        </w:rPr>
        <w:t xml:space="preserve">. </w:t>
      </w:r>
      <w:r w:rsidRPr="009E7BBE">
        <w:t>Medidas Provisionales respecto de Brasil. Resolución de la Corte Interamericana de Derechos Humanos, de 31 de agosto de 2017, Considerando 28.</w:t>
      </w:r>
    </w:p>
  </w:footnote>
  <w:footnote w:id="17">
    <w:p w14:paraId="4B08BA20" w14:textId="638E8D43" w:rsidR="00E4427D" w:rsidRPr="009E7BBE" w:rsidRDefault="00E4427D" w:rsidP="009E7BBE">
      <w:pPr>
        <w:pStyle w:val="FootnoteText"/>
      </w:pPr>
      <w:r w:rsidRPr="009E7BBE">
        <w:rPr>
          <w:rStyle w:val="FootnoteReference"/>
          <w:szCs w:val="16"/>
        </w:rPr>
        <w:footnoteRef/>
      </w:r>
      <w:r w:rsidRPr="009E7BBE">
        <w:t xml:space="preserve"> </w:t>
      </w:r>
      <w:r w:rsidR="004F26AD">
        <w:rPr>
          <w:i/>
          <w:iCs/>
        </w:rPr>
        <w:t xml:space="preserve">Cfr. </w:t>
      </w:r>
      <w:r w:rsidRPr="009E7BBE">
        <w:rPr>
          <w:i/>
          <w:iCs/>
        </w:rPr>
        <w:t>Asunto Juan Almonte Herrera y otros</w:t>
      </w:r>
      <w:r w:rsidRPr="009E7BBE">
        <w:t xml:space="preserve">. Medidas Provisionales respecto de República Dominicana. Resolución del Presidente de la Corte Interamericana de Derechos Humanos, de 24 de marzo de 2010, Considerando 16; </w:t>
      </w:r>
      <w:r w:rsidRPr="009E7BBE">
        <w:rPr>
          <w:i/>
        </w:rPr>
        <w:t xml:space="preserve">Asunto del Instituto Penal Plácido de </w:t>
      </w:r>
      <w:proofErr w:type="spellStart"/>
      <w:r w:rsidRPr="009E7BBE">
        <w:rPr>
          <w:i/>
        </w:rPr>
        <w:t>Sá</w:t>
      </w:r>
      <w:proofErr w:type="spellEnd"/>
      <w:r w:rsidRPr="009E7BBE">
        <w:rPr>
          <w:i/>
        </w:rPr>
        <w:t xml:space="preserve"> Carvalho</w:t>
      </w:r>
      <w:r w:rsidRPr="009E7BBE">
        <w:t>. Resolución de la Corte Interamericana de Derechos Humanos de 31 de agosto de 2017, Considerando 67.</w:t>
      </w:r>
    </w:p>
  </w:footnote>
  <w:footnote w:id="18">
    <w:p w14:paraId="28D93BE3" w14:textId="1E6025FE" w:rsidR="00E4427D" w:rsidRPr="009E7BBE" w:rsidRDefault="00E4427D" w:rsidP="009E7BBE">
      <w:pPr>
        <w:pStyle w:val="FootnoteText"/>
      </w:pPr>
      <w:r w:rsidRPr="009E7BBE">
        <w:rPr>
          <w:rStyle w:val="FootnoteReference"/>
          <w:szCs w:val="16"/>
        </w:rPr>
        <w:footnoteRef/>
      </w:r>
      <w:r w:rsidRPr="009E7BBE">
        <w:t xml:space="preserve"> </w:t>
      </w:r>
      <w:r w:rsidR="004F26AD">
        <w:t xml:space="preserve">Cfr. </w:t>
      </w:r>
      <w:r w:rsidRPr="009E7BBE">
        <w:rPr>
          <w:i/>
          <w:iCs/>
        </w:rPr>
        <w:t>Caso Velásquez Rodríguez</w:t>
      </w:r>
      <w:r w:rsidRPr="009E7BBE">
        <w:t xml:space="preserve">. Medidas Provisionales respecto de Honduras. Resolución de la Corte Interamericana de Derechos Humanos, de 15 de enero de 1988, Considerando 3; </w:t>
      </w:r>
      <w:r w:rsidRPr="009E7BBE">
        <w:rPr>
          <w:i/>
        </w:rPr>
        <w:t xml:space="preserve">Asunto del Instituto Penal Plácido de </w:t>
      </w:r>
      <w:proofErr w:type="spellStart"/>
      <w:r w:rsidRPr="009E7BBE">
        <w:rPr>
          <w:i/>
        </w:rPr>
        <w:t>Sá</w:t>
      </w:r>
      <w:proofErr w:type="spellEnd"/>
      <w:r w:rsidRPr="009E7BBE">
        <w:rPr>
          <w:i/>
        </w:rPr>
        <w:t xml:space="preserve"> Carvalho</w:t>
      </w:r>
      <w:r w:rsidRPr="009E7BBE">
        <w:t>. Resolución de la Corte Interamericana de Derechos Humanos de 31 de agosto de 2017, Considerando 69.</w:t>
      </w:r>
    </w:p>
  </w:footnote>
  <w:footnote w:id="19">
    <w:p w14:paraId="30DB3A46" w14:textId="7C8E0FB5" w:rsidR="00E4427D" w:rsidRPr="009E7BBE" w:rsidRDefault="00E4427D" w:rsidP="009E7BBE">
      <w:pPr>
        <w:pStyle w:val="FootnoteText"/>
      </w:pPr>
      <w:r w:rsidRPr="009E7BBE">
        <w:rPr>
          <w:rStyle w:val="FootnoteReference"/>
          <w:szCs w:val="16"/>
        </w:rPr>
        <w:footnoteRef/>
      </w:r>
      <w:r w:rsidRPr="009E7BBE">
        <w:t xml:space="preserve"> </w:t>
      </w:r>
      <w:r w:rsidR="004F26AD">
        <w:rPr>
          <w:i/>
          <w:iCs/>
        </w:rPr>
        <w:t xml:space="preserve">Cfr. </w:t>
      </w:r>
      <w:r w:rsidRPr="009E7BBE">
        <w:rPr>
          <w:i/>
          <w:iCs/>
        </w:rPr>
        <w:t>Asuntos de Determinados Centros Penitenciarios de Venezuela</w:t>
      </w:r>
      <w:r w:rsidRPr="009E7BBE">
        <w:t xml:space="preserve">, </w:t>
      </w:r>
      <w:r w:rsidRPr="009E7BBE">
        <w:rPr>
          <w:i/>
          <w:iCs/>
        </w:rPr>
        <w:t xml:space="preserve">Centro Penitenciario de la Región Centro Occidental (Cárcel de </w:t>
      </w:r>
      <w:proofErr w:type="spellStart"/>
      <w:r w:rsidRPr="009E7BBE">
        <w:rPr>
          <w:i/>
          <w:iCs/>
        </w:rPr>
        <w:t>Uribana</w:t>
      </w:r>
      <w:proofErr w:type="spellEnd"/>
      <w:r w:rsidRPr="009E7BBE">
        <w:t xml:space="preserve">). Resolución de la Corte Interamericana de Derechos Humanos, de 13 de febrero de 2013, Considerando 15; </w:t>
      </w:r>
      <w:r w:rsidRPr="009E7BBE">
        <w:rPr>
          <w:i/>
        </w:rPr>
        <w:t xml:space="preserve">Asunto del Instituto Penal Plácido de </w:t>
      </w:r>
      <w:proofErr w:type="spellStart"/>
      <w:r w:rsidRPr="009E7BBE">
        <w:rPr>
          <w:i/>
        </w:rPr>
        <w:t>Sá</w:t>
      </w:r>
      <w:proofErr w:type="spellEnd"/>
      <w:r w:rsidRPr="009E7BBE">
        <w:rPr>
          <w:i/>
        </w:rPr>
        <w:t xml:space="preserve"> Carvalho</w:t>
      </w:r>
      <w:r w:rsidRPr="009E7BBE">
        <w:t>. Resolución de la Corte Interamericana de Derechos Humanos de 31 de agosto de 2017, Considerando 70.</w:t>
      </w:r>
    </w:p>
  </w:footnote>
  <w:footnote w:id="20">
    <w:p w14:paraId="65575BDB" w14:textId="039C8400" w:rsidR="00E4427D" w:rsidRPr="009E7BBE" w:rsidRDefault="00E4427D" w:rsidP="009E7BBE">
      <w:pPr>
        <w:pStyle w:val="FootnoteText"/>
      </w:pPr>
      <w:r w:rsidRPr="009E7BBE">
        <w:rPr>
          <w:rStyle w:val="FootnoteReference"/>
          <w:szCs w:val="16"/>
        </w:rPr>
        <w:footnoteRef/>
      </w:r>
      <w:r w:rsidRPr="009E7BBE">
        <w:t xml:space="preserve"> </w:t>
      </w:r>
      <w:r w:rsidR="004F26AD">
        <w:rPr>
          <w:i/>
          <w:iCs/>
        </w:rPr>
        <w:t xml:space="preserve">Cfr. </w:t>
      </w:r>
      <w:r w:rsidRPr="009E7BBE">
        <w:rPr>
          <w:i/>
          <w:iCs/>
        </w:rPr>
        <w:t xml:space="preserve">Asunto del Complejo Penitenciario de </w:t>
      </w:r>
      <w:proofErr w:type="spellStart"/>
      <w:r w:rsidRPr="009E7BBE">
        <w:rPr>
          <w:i/>
          <w:iCs/>
        </w:rPr>
        <w:t>Pedrinhas</w:t>
      </w:r>
      <w:proofErr w:type="spellEnd"/>
      <w:r w:rsidRPr="009E7BBE">
        <w:rPr>
          <w:i/>
          <w:iCs/>
        </w:rPr>
        <w:t xml:space="preserve"> respecto de Brasil. </w:t>
      </w:r>
      <w:r w:rsidRPr="009E7BBE">
        <w:t xml:space="preserve">Medidas Provisionales. Resolución de la Corte Interamericana de Derechos Humanos, de 14 de noviembre de 2014, Considerando 17; </w:t>
      </w:r>
      <w:r w:rsidRPr="009E7BBE">
        <w:rPr>
          <w:i/>
        </w:rPr>
        <w:t xml:space="preserve">Asunto del Instituto Penal Plácido de </w:t>
      </w:r>
      <w:proofErr w:type="spellStart"/>
      <w:r w:rsidRPr="009E7BBE">
        <w:rPr>
          <w:i/>
        </w:rPr>
        <w:t>Sá</w:t>
      </w:r>
      <w:proofErr w:type="spellEnd"/>
      <w:r w:rsidRPr="009E7BBE">
        <w:rPr>
          <w:i/>
        </w:rPr>
        <w:t xml:space="preserve"> Carvalho</w:t>
      </w:r>
      <w:r w:rsidRPr="009E7BBE">
        <w:t>. Resolución de la Corte Interamericana de Derechos Humanos de 31 de agosto de 2017, Considerando 84.</w:t>
      </w:r>
    </w:p>
  </w:footnote>
  <w:footnote w:id="21">
    <w:p w14:paraId="636BC4E3" w14:textId="77777777" w:rsidR="00E4427D" w:rsidRPr="009E7BBE" w:rsidRDefault="00E4427D" w:rsidP="009E7BBE">
      <w:pPr>
        <w:pStyle w:val="FootnoteText"/>
      </w:pPr>
      <w:r w:rsidRPr="009E7BBE">
        <w:rPr>
          <w:rStyle w:val="FootnoteReference"/>
          <w:szCs w:val="16"/>
        </w:rPr>
        <w:footnoteRef/>
      </w:r>
      <w:r w:rsidRPr="009E7BBE">
        <w:t xml:space="preserve"> Consejo Nacional de Política Criminal y Penitenciaria (CNPCP), </w:t>
      </w:r>
      <w:r w:rsidRPr="009E7BBE">
        <w:rPr>
          <w:i/>
        </w:rPr>
        <w:t>resolución Nº 14/1994</w:t>
      </w:r>
      <w:r w:rsidRPr="009E7BBE">
        <w:t xml:space="preserve">, de 11 de noviembre de 1994. CNPCP, </w:t>
      </w:r>
      <w:r w:rsidRPr="009E7BBE">
        <w:rPr>
          <w:i/>
        </w:rPr>
        <w:t>resolución Nº 09/2011</w:t>
      </w:r>
      <w:r w:rsidRPr="009E7BBE">
        <w:t>, de 18 de noviembre de 2011.</w:t>
      </w:r>
    </w:p>
  </w:footnote>
  <w:footnote w:id="22">
    <w:p w14:paraId="386D1A9F" w14:textId="77777777" w:rsidR="00E4427D" w:rsidRPr="009E7BBE" w:rsidRDefault="00E4427D" w:rsidP="009E7BBE">
      <w:pPr>
        <w:pStyle w:val="FootnoteText"/>
      </w:pPr>
      <w:r w:rsidRPr="009E7BBE">
        <w:rPr>
          <w:rStyle w:val="FootnoteReference"/>
          <w:szCs w:val="16"/>
        </w:rPr>
        <w:footnoteRef/>
      </w:r>
      <w:r w:rsidRPr="009E7BBE">
        <w:t xml:space="preserve"> Organización de las Naciones Unidas.</w:t>
      </w:r>
      <w:r w:rsidRPr="009E7BBE">
        <w:rPr>
          <w:i/>
        </w:rPr>
        <w:t xml:space="preserve"> Reglas de Mandela: Reglas Mínimas de las Naciones Unidas para el Tratamiento de los Reclusos</w:t>
      </w:r>
      <w:r w:rsidRPr="009E7BBE">
        <w:t>, de 18</w:t>
      </w:r>
      <w:r w:rsidRPr="009E7BBE">
        <w:noBreakHyphen/>
        <w:t>22 de mayo de 2015, Reglas 19 a 21.</w:t>
      </w:r>
    </w:p>
  </w:footnote>
  <w:footnote w:id="23">
    <w:p w14:paraId="4CA31DA7" w14:textId="77777777" w:rsidR="00E4427D" w:rsidRPr="009E7BBE" w:rsidRDefault="00E4427D" w:rsidP="009E7BBE">
      <w:pPr>
        <w:pStyle w:val="FootnoteText"/>
      </w:pPr>
      <w:r w:rsidRPr="009E7BBE">
        <w:rPr>
          <w:rStyle w:val="FootnoteReference"/>
          <w:szCs w:val="16"/>
        </w:rPr>
        <w:footnoteRef/>
      </w:r>
      <w:r w:rsidRPr="009E7BBE">
        <w:t xml:space="preserve"> Comisión Interamericana de Derechos Humanos.</w:t>
      </w:r>
      <w:r w:rsidRPr="009E7BBE">
        <w:rPr>
          <w:i/>
        </w:rPr>
        <w:t xml:space="preserve"> Principios y Buenas Prácticas sobre la Protección de las Personas Privadas de Libertad en las Américas</w:t>
      </w:r>
      <w:r w:rsidRPr="009E7BBE">
        <w:t>, OEA/</w:t>
      </w:r>
      <w:proofErr w:type="spellStart"/>
      <w:r w:rsidRPr="009E7BBE">
        <w:t>Ser.L</w:t>
      </w:r>
      <w:proofErr w:type="spellEnd"/>
      <w:r w:rsidRPr="009E7BBE">
        <w:t>/V/II.131 Doc. 38, de 13 de marzo de 2000, Principio XII.</w:t>
      </w:r>
    </w:p>
  </w:footnote>
  <w:footnote w:id="24">
    <w:p w14:paraId="28B56BFB" w14:textId="54A65B82" w:rsidR="00E4427D" w:rsidRPr="009E7BBE" w:rsidRDefault="00E4427D" w:rsidP="009E7BBE">
      <w:pPr>
        <w:pStyle w:val="FootnoteText"/>
      </w:pPr>
      <w:r w:rsidRPr="009E7BBE">
        <w:rPr>
          <w:rStyle w:val="FootnoteReference"/>
          <w:szCs w:val="16"/>
        </w:rPr>
        <w:footnoteRef/>
      </w:r>
      <w:r w:rsidRPr="009E7BBE">
        <w:rPr>
          <w:lang w:val="pt-BR"/>
        </w:rPr>
        <w:t xml:space="preserve"> </w:t>
      </w:r>
      <w:r w:rsidRPr="009E7BBE">
        <w:rPr>
          <w:i/>
          <w:iCs/>
          <w:lang w:val="pt-BR"/>
        </w:rPr>
        <w:t>Cf</w:t>
      </w:r>
      <w:r w:rsidR="004F26AD">
        <w:rPr>
          <w:i/>
          <w:iCs/>
          <w:lang w:val="pt-BR"/>
        </w:rPr>
        <w:t>r</w:t>
      </w:r>
      <w:r w:rsidRPr="009E7BBE">
        <w:rPr>
          <w:lang w:val="pt-BR"/>
        </w:rPr>
        <w:t xml:space="preserve">. </w:t>
      </w:r>
      <w:r w:rsidRPr="009E7BBE">
        <w:rPr>
          <w:i/>
          <w:iCs/>
          <w:lang w:val="pt-BR"/>
        </w:rPr>
        <w:t>Caso Ximenes Lopes Vs. Brasil</w:t>
      </w:r>
      <w:r w:rsidRPr="009E7BBE">
        <w:rPr>
          <w:lang w:val="pt-BR"/>
        </w:rPr>
        <w:t xml:space="preserve">. </w:t>
      </w:r>
      <w:r w:rsidRPr="00384BC9">
        <w:rPr>
          <w:lang w:val="pt-BR"/>
        </w:rPr>
        <w:t xml:space="preserve">Sentencia de </w:t>
      </w:r>
      <w:r w:rsidR="008C7BC2" w:rsidRPr="00384BC9">
        <w:rPr>
          <w:lang w:val="pt-BR"/>
        </w:rPr>
        <w:t>4</w:t>
      </w:r>
      <w:r w:rsidRPr="00384BC9">
        <w:rPr>
          <w:lang w:val="pt-BR"/>
        </w:rPr>
        <w:t xml:space="preserve"> de </w:t>
      </w:r>
      <w:r w:rsidR="008C7BC2" w:rsidRPr="00384BC9">
        <w:rPr>
          <w:lang w:val="pt-BR"/>
        </w:rPr>
        <w:t xml:space="preserve">julio </w:t>
      </w:r>
      <w:r w:rsidRPr="00384BC9">
        <w:rPr>
          <w:lang w:val="pt-BR"/>
        </w:rPr>
        <w:t>de 200</w:t>
      </w:r>
      <w:r w:rsidR="008C7BC2" w:rsidRPr="00384BC9">
        <w:rPr>
          <w:lang w:val="pt-BR"/>
        </w:rPr>
        <w:t>6</w:t>
      </w:r>
      <w:r w:rsidRPr="00384BC9">
        <w:rPr>
          <w:lang w:val="pt-BR"/>
        </w:rPr>
        <w:t>. Serie C No. 1</w:t>
      </w:r>
      <w:r w:rsidR="008C7BC2" w:rsidRPr="00384BC9">
        <w:rPr>
          <w:lang w:val="pt-BR"/>
        </w:rPr>
        <w:t>4</w:t>
      </w:r>
      <w:r w:rsidRPr="00384BC9">
        <w:rPr>
          <w:lang w:val="pt-BR"/>
        </w:rPr>
        <w:t xml:space="preserve">9, par. 125 y 138; </w:t>
      </w:r>
      <w:r w:rsidRPr="00384BC9">
        <w:rPr>
          <w:i/>
          <w:lang w:val="pt-BR"/>
        </w:rPr>
        <w:t>Asunto del Instituto Penal Plácido de Sá Carvalho</w:t>
      </w:r>
      <w:r w:rsidRPr="00384BC9">
        <w:rPr>
          <w:lang w:val="pt-BR"/>
        </w:rPr>
        <w:t xml:space="preserve">. Medidas Provisionales respecto de Brasil. </w:t>
      </w:r>
      <w:r w:rsidRPr="009E7BBE">
        <w:t>Resolución de la Corte Interamericana de Derechos Humanos, de 31 de agosto de 2017, Considerando 85.</w:t>
      </w:r>
    </w:p>
  </w:footnote>
  <w:footnote w:id="25">
    <w:p w14:paraId="52FC4DA1" w14:textId="18CEFF09" w:rsidR="00E4427D" w:rsidRPr="009E7BBE" w:rsidRDefault="00E4427D" w:rsidP="009E7BBE">
      <w:pPr>
        <w:pStyle w:val="FootnoteText"/>
        <w:rPr>
          <w:lang w:val="de-DE"/>
        </w:rPr>
      </w:pPr>
      <w:r w:rsidRPr="009E7BBE">
        <w:rPr>
          <w:rStyle w:val="FootnoteReference"/>
          <w:szCs w:val="16"/>
        </w:rPr>
        <w:footnoteRef/>
      </w:r>
      <w:r w:rsidRPr="009E7BBE">
        <w:rPr>
          <w:lang w:val="de-DE"/>
        </w:rPr>
        <w:t xml:space="preserve"> </w:t>
      </w:r>
      <w:r w:rsidRPr="009E7BBE">
        <w:rPr>
          <w:lang w:val="de-DE"/>
        </w:rPr>
        <w:t xml:space="preserve">Disponible en </w:t>
      </w:r>
      <w:r w:rsidRPr="008A344F">
        <w:t>https://datos.bancomundial.org/</w:t>
      </w:r>
      <w:r w:rsidR="00B029FC">
        <w:t>indicadores/</w:t>
      </w:r>
      <w:r w:rsidRPr="008A344F">
        <w:t>SH.MED.PHYS.SZ.</w:t>
      </w:r>
    </w:p>
  </w:footnote>
  <w:footnote w:id="26">
    <w:p w14:paraId="343B0456" w14:textId="19C7A687" w:rsidR="00E4427D" w:rsidRPr="009E7BBE" w:rsidRDefault="00E4427D" w:rsidP="009E7BBE">
      <w:pPr>
        <w:pStyle w:val="Heading1"/>
        <w:shd w:val="clear" w:color="auto" w:fill="FFFFFF"/>
        <w:spacing w:before="0"/>
        <w:jc w:val="left"/>
        <w:rPr>
          <w:rFonts w:ascii="Verdana" w:hAnsi="Verdana"/>
          <w:b w:val="0"/>
          <w:color w:val="auto"/>
          <w:sz w:val="16"/>
          <w:szCs w:val="16"/>
          <w:lang w:val="it-IT"/>
        </w:rPr>
      </w:pPr>
      <w:r w:rsidRPr="009E7BBE">
        <w:rPr>
          <w:rStyle w:val="FootnoteReference"/>
          <w:rFonts w:ascii="Verdana" w:hAnsi="Verdana"/>
          <w:b w:val="0"/>
          <w:color w:val="auto"/>
          <w:sz w:val="16"/>
          <w:szCs w:val="16"/>
        </w:rPr>
        <w:footnoteRef/>
      </w:r>
      <w:r w:rsidRPr="009E7BBE">
        <w:rPr>
          <w:rFonts w:ascii="Verdana" w:hAnsi="Verdana"/>
          <w:b w:val="0"/>
          <w:color w:val="auto"/>
          <w:sz w:val="16"/>
          <w:szCs w:val="16"/>
          <w:lang w:val="de-DE"/>
        </w:rPr>
        <w:t xml:space="preserve"> </w:t>
      </w:r>
      <w:r w:rsidRPr="009E7BBE">
        <w:rPr>
          <w:rFonts w:ascii="Verdana" w:hAnsi="Verdana"/>
          <w:b w:val="0"/>
          <w:color w:val="auto"/>
          <w:sz w:val="16"/>
          <w:szCs w:val="16"/>
          <w:lang w:val="de-DE"/>
        </w:rPr>
        <w:t xml:space="preserve">The People, Plaintiff and Respondent, v. Marsha Lovercamp, Defendant and Appellant. </w:t>
      </w:r>
      <w:r w:rsidRPr="009E7BBE">
        <w:rPr>
          <w:rFonts w:ascii="Verdana" w:hAnsi="Verdana"/>
          <w:b w:val="0"/>
          <w:color w:val="auto"/>
          <w:sz w:val="16"/>
          <w:szCs w:val="16"/>
          <w:lang w:val="it-IT"/>
        </w:rPr>
        <w:t>Docket No. 6280. Court of Appeals of California, Fourth District, Division Two.</w:t>
      </w:r>
      <w:r>
        <w:rPr>
          <w:rFonts w:ascii="Verdana" w:hAnsi="Verdana"/>
          <w:b w:val="0"/>
          <w:color w:val="auto"/>
          <w:sz w:val="16"/>
          <w:szCs w:val="16"/>
          <w:lang w:val="it-IT"/>
        </w:rPr>
        <w:t xml:space="preserve"> </w:t>
      </w:r>
      <w:r w:rsidRPr="009E7BBE">
        <w:rPr>
          <w:rFonts w:ascii="Verdana" w:hAnsi="Verdana"/>
          <w:b w:val="0"/>
          <w:color w:val="auto"/>
          <w:sz w:val="16"/>
          <w:szCs w:val="16"/>
          <w:lang w:val="it-IT"/>
        </w:rPr>
        <w:t>December 11, 1974.</w:t>
      </w:r>
    </w:p>
  </w:footnote>
  <w:footnote w:id="27">
    <w:p w14:paraId="572231D4" w14:textId="0D1174A1" w:rsidR="00E4427D" w:rsidRPr="008A344F" w:rsidRDefault="00E4427D" w:rsidP="009E7BBE">
      <w:pPr>
        <w:pStyle w:val="FootnoteText"/>
      </w:pPr>
      <w:r w:rsidRPr="009E7BBE">
        <w:rPr>
          <w:rStyle w:val="FootnoteReference"/>
          <w:szCs w:val="16"/>
        </w:rPr>
        <w:footnoteRef/>
      </w:r>
      <w:r w:rsidRPr="001F36BD">
        <w:t xml:space="preserve"> Ver, en ese sentido, Supremo Tribunal Federal. </w:t>
      </w:r>
      <w:r w:rsidRPr="009E7BBE">
        <w:rPr>
          <w:lang w:val="pt-BR"/>
        </w:rPr>
        <w:t>Interpretación Vinculante (</w:t>
      </w:r>
      <w:r w:rsidRPr="009E7BBE">
        <w:rPr>
          <w:i/>
          <w:lang w:val="pt-BR"/>
        </w:rPr>
        <w:t xml:space="preserve">Súmula Vinculante) </w:t>
      </w:r>
      <w:r w:rsidRPr="009E7BBE">
        <w:rPr>
          <w:lang w:val="pt-BR"/>
        </w:rPr>
        <w:t>nº 56, de 8 de agosto de 2016: “A falta de estabelecimento penal adequado não autoriza a manutenção do condenado em regime prisional mais gravoso, devendo-se observar, nessa hipótese, os parâmetros fixados no RE 641.320/RS.”. Precedente Interpretativo: “Cumprimento de pena em regime fechado, na hipótese de inexistir vaga em estabelecimento adequado a seu regime. Violação aos princípios da individualização da pena (art. 5º, XLVI) e da legalidade (art. 5º, XXXIX). A falta de estabelecimento penal adequado não autoriza a manutenção do condenado em regime prisional mais gravoso. 3. Os juízes da execução penal poderão avaliar os estabelecimentos destinados aos regimes semiaberto e aberto, para qualificação como adequados a tais regimes. São aceitáveis estabelecimentos que não se qualifiquem como “colônia agrícola, industrial” (regime semiaberto) ou “casa de albergado ou estabelecimento adequado” (regime aberto) (art. 33, § 1º, </w:t>
      </w:r>
      <w:r w:rsidRPr="009E7BBE">
        <w:rPr>
          <w:i/>
          <w:iCs/>
          <w:lang w:val="pt-BR"/>
        </w:rPr>
        <w:t>b</w:t>
      </w:r>
      <w:r w:rsidRPr="009E7BBE">
        <w:rPr>
          <w:lang w:val="pt-BR"/>
        </w:rPr>
        <w:t> e </w:t>
      </w:r>
      <w:r w:rsidRPr="009E7BBE">
        <w:rPr>
          <w:i/>
          <w:iCs/>
          <w:lang w:val="pt-BR"/>
        </w:rPr>
        <w:t>c</w:t>
      </w:r>
      <w:r w:rsidRPr="009E7BBE">
        <w:rPr>
          <w:lang w:val="pt-BR"/>
        </w:rPr>
        <w:t>). No entanto, não deverá haver alojamento conjunto de presos dos regimes semiaberto e aberto com presos do regime fechado. 4. Havendo déficit de vagas, deverão ser determinados: (i) a saída antecipada de sentenciado no regime com falta de vagas; (ii) a liberdade eletronicamente monitorada ao sentenciado que sai antecipadamente ou é posto em prisão domiciliar por falta de vagas; (iii) o cumprimento de penas restritivas de direito e/ou estudo ao sentenciado que progride ao regime aberto. Até que sejam estruturadas as medidas alternativas propostas, poderá ser deferida a prisão domiciliar ao sentenciado.” [RE 641.320, rel. min. Gilmar Mendes, P, j. 11-5-2016, </w:t>
      </w:r>
      <w:r w:rsidRPr="009E7BBE">
        <w:rPr>
          <w:i/>
          <w:iCs/>
          <w:lang w:val="pt-BR"/>
        </w:rPr>
        <w:t>DJE</w:t>
      </w:r>
      <w:r w:rsidRPr="009E7BBE">
        <w:rPr>
          <w:lang w:val="pt-BR"/>
        </w:rPr>
        <w:t> 159 de 1º-8-2016, Tema 423]</w:t>
      </w:r>
      <w:r>
        <w:rPr>
          <w:lang w:val="pt-BR"/>
        </w:rPr>
        <w:t xml:space="preserve">. También, </w:t>
      </w:r>
      <w:r w:rsidRPr="009E7BBE">
        <w:rPr>
          <w:lang w:val="pt-BR"/>
        </w:rPr>
        <w:t xml:space="preserve">Jesús-María Silva Sánchez, </w:t>
      </w:r>
      <w:r w:rsidRPr="009E7BBE">
        <w:rPr>
          <w:i/>
          <w:lang w:val="pt-BR"/>
        </w:rPr>
        <w:t xml:space="preserve">Malum passionis. </w:t>
      </w:r>
      <w:r w:rsidRPr="009E7BBE">
        <w:rPr>
          <w:i/>
          <w:lang w:val="es-AR"/>
        </w:rPr>
        <w:t xml:space="preserve">Mitigar el dolor del Derecho penal, </w:t>
      </w:r>
      <w:r w:rsidRPr="009E7BBE">
        <w:rPr>
          <w:lang w:val="es-AR"/>
        </w:rPr>
        <w:t xml:space="preserve">Barcelona, 2018, p. 154 y bibliografía allí citada. </w:t>
      </w:r>
    </w:p>
  </w:footnote>
  <w:footnote w:id="28">
    <w:p w14:paraId="55DE8302" w14:textId="71B3F544" w:rsidR="00E4427D" w:rsidRPr="00D7093F" w:rsidRDefault="00E4427D" w:rsidP="009E7BBE">
      <w:pPr>
        <w:pStyle w:val="FootnoteText"/>
      </w:pPr>
      <w:r w:rsidRPr="009E7BBE">
        <w:rPr>
          <w:rStyle w:val="FootnoteReference"/>
          <w:szCs w:val="16"/>
        </w:rPr>
        <w:footnoteRef/>
      </w:r>
      <w:r w:rsidRPr="00D7093F">
        <w:t xml:space="preserve"> Disponible en http://www</w:t>
      </w:r>
      <w:r w:rsidR="00B029FC">
        <w:t>.</w:t>
      </w:r>
      <w:r w:rsidRPr="00D7093F">
        <w:t>corteconstitucional.gov.co/relatoria/2013/t-388-13.htm.</w:t>
      </w:r>
    </w:p>
  </w:footnote>
  <w:footnote w:id="29">
    <w:p w14:paraId="5454BA45" w14:textId="77777777" w:rsidR="00E4427D" w:rsidRPr="009E7BBE" w:rsidRDefault="00E4427D" w:rsidP="009E7BBE">
      <w:pPr>
        <w:pStyle w:val="FootnoteText"/>
        <w:rPr>
          <w:lang w:val="en-US"/>
        </w:rPr>
      </w:pPr>
      <w:r w:rsidRPr="009E7BBE">
        <w:rPr>
          <w:rStyle w:val="FootnoteReference"/>
          <w:szCs w:val="16"/>
        </w:rPr>
        <w:footnoteRef/>
      </w:r>
      <w:r w:rsidRPr="009E7BBE">
        <w:rPr>
          <w:lang w:val="en-US"/>
        </w:rPr>
        <w:t xml:space="preserve"> Supreme Court of the United States, No. 09–1233, Edmund G. Brown Jr., Governor of California, et al., Appellants Vs. Marciano Plata et al. On Appeal from the United States District Courts for the Eastern District and the Northern District of California.</w:t>
      </w:r>
    </w:p>
  </w:footnote>
  <w:footnote w:id="30">
    <w:p w14:paraId="517ABB0A" w14:textId="77B8C905" w:rsidR="00E4427D" w:rsidRPr="00E22992" w:rsidRDefault="00E4427D" w:rsidP="009E7BBE">
      <w:pPr>
        <w:rPr>
          <w:sz w:val="16"/>
          <w:szCs w:val="16"/>
        </w:rPr>
      </w:pPr>
      <w:r w:rsidRPr="009E7BBE">
        <w:rPr>
          <w:rStyle w:val="FootnoteReference"/>
          <w:sz w:val="16"/>
          <w:szCs w:val="16"/>
        </w:rPr>
        <w:footnoteRef/>
      </w:r>
      <w:r w:rsidRPr="009E7BBE">
        <w:rPr>
          <w:sz w:val="16"/>
          <w:szCs w:val="16"/>
        </w:rPr>
        <w:t xml:space="preserve"> </w:t>
      </w:r>
      <w:r>
        <w:rPr>
          <w:sz w:val="16"/>
          <w:szCs w:val="16"/>
        </w:rPr>
        <w:t>P</w:t>
      </w:r>
      <w:r w:rsidRPr="009E7BBE">
        <w:rPr>
          <w:sz w:val="16"/>
          <w:szCs w:val="16"/>
        </w:rPr>
        <w:t xml:space="preserve">áginas 1 a 4 de la opinión de la </w:t>
      </w:r>
      <w:r>
        <w:rPr>
          <w:sz w:val="16"/>
          <w:szCs w:val="16"/>
        </w:rPr>
        <w:t xml:space="preserve">Suprema </w:t>
      </w:r>
      <w:r w:rsidRPr="009E7BBE">
        <w:rPr>
          <w:sz w:val="16"/>
          <w:szCs w:val="16"/>
        </w:rPr>
        <w:t>Corte</w:t>
      </w:r>
      <w:r w:rsidRPr="009E7BBE">
        <w:rPr>
          <w:i/>
          <w:sz w:val="16"/>
          <w:szCs w:val="16"/>
        </w:rPr>
        <w:t>.</w:t>
      </w:r>
      <w:r>
        <w:rPr>
          <w:i/>
          <w:sz w:val="16"/>
          <w:szCs w:val="16"/>
        </w:rPr>
        <w:t xml:space="preserve"> </w:t>
      </w:r>
      <w:r>
        <w:rPr>
          <w:sz w:val="16"/>
          <w:szCs w:val="16"/>
        </w:rPr>
        <w:t>Traducción de la Secretaría.</w:t>
      </w:r>
    </w:p>
  </w:footnote>
  <w:footnote w:id="31">
    <w:p w14:paraId="6C663D88" w14:textId="7D300F55" w:rsidR="00E4427D" w:rsidRPr="009E7BBE" w:rsidRDefault="00E4427D" w:rsidP="009E7BBE">
      <w:pPr>
        <w:rPr>
          <w:sz w:val="16"/>
          <w:szCs w:val="16"/>
        </w:rPr>
      </w:pPr>
      <w:r w:rsidRPr="009E7BBE">
        <w:rPr>
          <w:rStyle w:val="FootnoteReference"/>
          <w:sz w:val="16"/>
          <w:szCs w:val="16"/>
        </w:rPr>
        <w:footnoteRef/>
      </w:r>
      <w:r w:rsidRPr="009E7BBE">
        <w:rPr>
          <w:sz w:val="16"/>
          <w:szCs w:val="16"/>
        </w:rPr>
        <w:t xml:space="preserve"> </w:t>
      </w:r>
      <w:r>
        <w:rPr>
          <w:sz w:val="16"/>
          <w:szCs w:val="16"/>
        </w:rPr>
        <w:t>Traducción de la Secretaría.</w:t>
      </w:r>
    </w:p>
  </w:footnote>
  <w:footnote w:id="32">
    <w:p w14:paraId="29536E83" w14:textId="2ECF9ADD" w:rsidR="00E4427D" w:rsidRPr="009E7BBE" w:rsidRDefault="00E4427D" w:rsidP="009E7BBE">
      <w:pPr>
        <w:rPr>
          <w:sz w:val="16"/>
          <w:szCs w:val="16"/>
        </w:rPr>
      </w:pPr>
      <w:r w:rsidRPr="009E7BBE">
        <w:rPr>
          <w:rStyle w:val="FootnoteReference"/>
          <w:sz w:val="16"/>
          <w:szCs w:val="16"/>
        </w:rPr>
        <w:footnoteRef/>
      </w:r>
      <w:r w:rsidRPr="009E7BBE">
        <w:rPr>
          <w:sz w:val="16"/>
          <w:szCs w:val="16"/>
        </w:rPr>
        <w:t xml:space="preserve"> </w:t>
      </w:r>
      <w:r>
        <w:rPr>
          <w:sz w:val="16"/>
          <w:szCs w:val="16"/>
        </w:rPr>
        <w:t>Traducción de la Secretaría.</w:t>
      </w:r>
    </w:p>
  </w:footnote>
  <w:footnote w:id="33">
    <w:p w14:paraId="00C364D8" w14:textId="5C94EA59" w:rsidR="00E4427D" w:rsidRPr="009E7BBE" w:rsidRDefault="00E4427D" w:rsidP="009E7BBE">
      <w:pPr>
        <w:rPr>
          <w:sz w:val="16"/>
          <w:szCs w:val="16"/>
        </w:rPr>
      </w:pPr>
      <w:r w:rsidRPr="009E7BBE">
        <w:rPr>
          <w:rStyle w:val="FootnoteReference"/>
          <w:sz w:val="16"/>
          <w:szCs w:val="16"/>
        </w:rPr>
        <w:footnoteRef/>
      </w:r>
      <w:r w:rsidRPr="009E7BBE">
        <w:rPr>
          <w:sz w:val="16"/>
          <w:szCs w:val="16"/>
        </w:rPr>
        <w:t xml:space="preserve"> </w:t>
      </w:r>
      <w:r>
        <w:rPr>
          <w:sz w:val="16"/>
          <w:szCs w:val="16"/>
        </w:rPr>
        <w:t>Traducción de la Secretaría.</w:t>
      </w:r>
      <w:r w:rsidRPr="009E7BBE">
        <w:rPr>
          <w:sz w:val="16"/>
          <w:szCs w:val="16"/>
        </w:rPr>
        <w:t xml:space="preserve"> </w:t>
      </w:r>
    </w:p>
  </w:footnote>
  <w:footnote w:id="34">
    <w:p w14:paraId="6300705C" w14:textId="43B29A19" w:rsidR="00E4427D" w:rsidRPr="009E7BBE" w:rsidRDefault="00E4427D" w:rsidP="009E7BBE">
      <w:pPr>
        <w:rPr>
          <w:sz w:val="16"/>
          <w:szCs w:val="16"/>
        </w:rPr>
      </w:pPr>
      <w:r w:rsidRPr="009E7BBE">
        <w:rPr>
          <w:rStyle w:val="FootnoteReference"/>
          <w:sz w:val="16"/>
          <w:szCs w:val="16"/>
        </w:rPr>
        <w:footnoteRef/>
      </w:r>
      <w:r w:rsidRPr="009E7BBE">
        <w:rPr>
          <w:sz w:val="16"/>
          <w:szCs w:val="16"/>
        </w:rPr>
        <w:t xml:space="preserve"> </w:t>
      </w:r>
      <w:r>
        <w:rPr>
          <w:sz w:val="16"/>
          <w:szCs w:val="16"/>
        </w:rPr>
        <w:t>P</w:t>
      </w:r>
      <w:r w:rsidRPr="009E7BBE">
        <w:rPr>
          <w:sz w:val="16"/>
          <w:szCs w:val="16"/>
        </w:rPr>
        <w:t xml:space="preserve">ágina 4 de la </w:t>
      </w:r>
      <w:r>
        <w:rPr>
          <w:sz w:val="16"/>
          <w:szCs w:val="16"/>
        </w:rPr>
        <w:t xml:space="preserve">opinión de la Suprema </w:t>
      </w:r>
      <w:r w:rsidRPr="009E7BBE">
        <w:rPr>
          <w:sz w:val="16"/>
          <w:szCs w:val="16"/>
        </w:rPr>
        <w:t>Corte.</w:t>
      </w:r>
      <w:r>
        <w:rPr>
          <w:sz w:val="16"/>
          <w:szCs w:val="16"/>
        </w:rPr>
        <w:t xml:space="preserve"> Traducción de la Secretaría.</w:t>
      </w:r>
    </w:p>
  </w:footnote>
  <w:footnote w:id="35">
    <w:p w14:paraId="0631CC27" w14:textId="3899310C" w:rsidR="00E4427D" w:rsidRPr="009E7BBE" w:rsidRDefault="00E4427D" w:rsidP="008A344F">
      <w:r w:rsidRPr="009E7BBE">
        <w:rPr>
          <w:rStyle w:val="FootnoteReference"/>
          <w:sz w:val="16"/>
          <w:szCs w:val="16"/>
        </w:rPr>
        <w:footnoteRef/>
      </w:r>
      <w:r w:rsidRPr="009E7BBE">
        <w:rPr>
          <w:sz w:val="16"/>
          <w:szCs w:val="16"/>
        </w:rPr>
        <w:t xml:space="preserve"> </w:t>
      </w:r>
      <w:r>
        <w:rPr>
          <w:sz w:val="16"/>
          <w:szCs w:val="16"/>
        </w:rPr>
        <w:t>Traducción de la Secretaría.</w:t>
      </w:r>
    </w:p>
  </w:footnote>
  <w:footnote w:id="36">
    <w:p w14:paraId="3F71A1BA" w14:textId="004C8B1B" w:rsidR="00E4427D" w:rsidRPr="009E7BBE" w:rsidRDefault="00E4427D" w:rsidP="009E7BBE">
      <w:pPr>
        <w:rPr>
          <w:sz w:val="16"/>
          <w:szCs w:val="16"/>
          <w:lang w:val="es-AR"/>
        </w:rPr>
      </w:pPr>
      <w:r w:rsidRPr="009E7BBE">
        <w:rPr>
          <w:rStyle w:val="FootnoteReference"/>
          <w:sz w:val="16"/>
          <w:szCs w:val="16"/>
        </w:rPr>
        <w:footnoteRef/>
      </w:r>
      <w:r w:rsidRPr="009E7BBE">
        <w:rPr>
          <w:sz w:val="16"/>
          <w:szCs w:val="16"/>
        </w:rPr>
        <w:t xml:space="preserve"> </w:t>
      </w:r>
      <w:r>
        <w:rPr>
          <w:sz w:val="16"/>
          <w:szCs w:val="16"/>
        </w:rPr>
        <w:t>Traducción de la Secretaría.</w:t>
      </w:r>
      <w:r w:rsidRPr="009E7BBE">
        <w:rPr>
          <w:sz w:val="16"/>
          <w:szCs w:val="16"/>
        </w:rPr>
        <w:t xml:space="preserve"> </w:t>
      </w:r>
    </w:p>
  </w:footnote>
  <w:footnote w:id="37">
    <w:p w14:paraId="055620D5" w14:textId="77777777" w:rsidR="00E4427D" w:rsidRPr="009E7BBE" w:rsidRDefault="00E4427D" w:rsidP="009E7BBE">
      <w:pPr>
        <w:pStyle w:val="FootnoteText"/>
        <w:rPr>
          <w:lang w:val="it-IT"/>
        </w:rPr>
      </w:pPr>
      <w:r w:rsidRPr="009E7BBE">
        <w:rPr>
          <w:rStyle w:val="FootnoteReference"/>
          <w:szCs w:val="16"/>
        </w:rPr>
        <w:footnoteRef/>
      </w:r>
      <w:r w:rsidRPr="009E7BBE">
        <w:rPr>
          <w:lang w:val="it-IT"/>
        </w:rPr>
        <w:t xml:space="preserve"> </w:t>
      </w:r>
      <w:r w:rsidRPr="009E7BBE">
        <w:rPr>
          <w:lang w:val="it-IT"/>
        </w:rPr>
        <w:t xml:space="preserve">Cfr. </w:t>
      </w:r>
      <w:r w:rsidRPr="009E7BBE">
        <w:rPr>
          <w:i/>
          <w:lang w:val="it-IT"/>
        </w:rPr>
        <w:t xml:space="preserve">Emergenza Carceri. Radici remote e recenti soluzioni normative, Atti del Convegno Teramo, 6 marzo 2014, </w:t>
      </w:r>
      <w:r w:rsidRPr="009E7BBE">
        <w:rPr>
          <w:lang w:val="it-IT"/>
        </w:rPr>
        <w:t xml:space="preserve">a cura di Rosita Del Coco, Luca Marafioti e Nicoa Pisani, Torino, 2014. </w:t>
      </w:r>
    </w:p>
  </w:footnote>
  <w:footnote w:id="38">
    <w:p w14:paraId="1A5A34F7" w14:textId="77777777" w:rsidR="00E4427D" w:rsidRPr="00362A3E" w:rsidRDefault="00E4427D" w:rsidP="00362A3E">
      <w:pPr>
        <w:pStyle w:val="FootnoteText"/>
        <w:rPr>
          <w:lang w:val="pt-BR"/>
        </w:rPr>
      </w:pPr>
      <w:r>
        <w:rPr>
          <w:rStyle w:val="FootnoteReference"/>
        </w:rPr>
        <w:footnoteRef/>
      </w:r>
      <w:r>
        <w:t xml:space="preserve"> Constitución Brasileña de 1988, Artículo 103-A: “</w:t>
      </w:r>
      <w:r w:rsidRPr="00362A3E">
        <w:rPr>
          <w:bCs/>
        </w:rPr>
        <w:t>Art. 103-A.</w:t>
      </w:r>
      <w:r w:rsidRPr="00362A3E">
        <w:t> </w:t>
      </w:r>
      <w:r w:rsidRPr="00362A3E">
        <w:rPr>
          <w:lang w:val="pt-BR"/>
        </w:rPr>
        <w:t>O Supremo Tribunal Federal poderá, de ofício ou por provocação, mediante decisão de dois terços dos seus membros, após reiteradas decisões sobre matéria constitucional, aprovar súmula que, a partir de sua publicação na imprensa oficial, </w:t>
      </w:r>
      <w:r w:rsidRPr="00362A3E">
        <w:rPr>
          <w:bCs/>
          <w:lang w:val="pt-BR"/>
        </w:rPr>
        <w:t>terá efeito vinculante em relação aos demais órgãos do Poder Judiciário e à administração pública direta e indireta</w:t>
      </w:r>
      <w:r w:rsidRPr="00362A3E">
        <w:rPr>
          <w:lang w:val="pt-BR"/>
        </w:rPr>
        <w:t>, nas esferas federal, estadual e municipal, bem como proceder à sua revisão ou cancelamento, na forma estabelecida em lei.               </w:t>
      </w:r>
    </w:p>
    <w:p w14:paraId="11AEAD7E" w14:textId="77777777" w:rsidR="00E4427D" w:rsidRPr="00362A3E" w:rsidRDefault="00E4427D" w:rsidP="00362A3E">
      <w:pPr>
        <w:pStyle w:val="FootnoteText"/>
        <w:rPr>
          <w:lang w:val="pt-BR"/>
        </w:rPr>
      </w:pPr>
      <w:r w:rsidRPr="00362A3E">
        <w:rPr>
          <w:bCs/>
          <w:lang w:val="pt-BR"/>
        </w:rPr>
        <w:t>§ 1º</w:t>
      </w:r>
      <w:r w:rsidRPr="00362A3E">
        <w:rPr>
          <w:lang w:val="pt-BR"/>
        </w:rPr>
        <w:t> A súmula terá por objetivo a validade, a interpretação e a eficácia de normas determinadas, acerca das quais haja controvérsia atual entre órgãos judiciários ou entre esses e a administração pública que acarrete grave insegurança jurídica e relevante multiplicação de processos sobre questão idêntica.                  </w:t>
      </w:r>
    </w:p>
    <w:p w14:paraId="7542725E" w14:textId="77777777" w:rsidR="00E4427D" w:rsidRPr="00362A3E" w:rsidRDefault="00E4427D" w:rsidP="00362A3E">
      <w:pPr>
        <w:pStyle w:val="FootnoteText"/>
        <w:rPr>
          <w:lang w:val="pt-BR"/>
        </w:rPr>
      </w:pPr>
      <w:r w:rsidRPr="00362A3E">
        <w:rPr>
          <w:bCs/>
          <w:lang w:val="pt-BR"/>
        </w:rPr>
        <w:t>§ 2º</w:t>
      </w:r>
      <w:r w:rsidRPr="00362A3E">
        <w:rPr>
          <w:lang w:val="pt-BR"/>
        </w:rPr>
        <w:t> Sem prejuízo do que vier a ser estabelecido em lei, a aprovação, revisão ou cancelamento de súmula poderá ser provocada por aqueles que podem propor a ação direta de inconstitucionalidade.              </w:t>
      </w:r>
    </w:p>
    <w:p w14:paraId="38D3CAB6" w14:textId="37B5537C" w:rsidR="00E4427D" w:rsidRPr="00362A3E" w:rsidRDefault="00E4427D">
      <w:pPr>
        <w:pStyle w:val="FootnoteText"/>
        <w:rPr>
          <w:lang w:val="pt-BR"/>
        </w:rPr>
      </w:pPr>
      <w:r w:rsidRPr="00362A3E">
        <w:rPr>
          <w:bCs/>
          <w:lang w:val="pt-BR"/>
        </w:rPr>
        <w:t>§ 3º</w:t>
      </w:r>
      <w:r w:rsidRPr="00362A3E">
        <w:rPr>
          <w:lang w:val="pt-BR"/>
        </w:rPr>
        <w:t> Do ato administrativo ou decisão judicial que contrariar a súmula aplicável ou que indevidamente a aplicar, caberá reclamação ao Supremo Tribunal Federal que, julgando-a procedente, anulará o ato administrativo ou cassará a decisão judicial reclamada, e determinará que outra seja proferida com ou sem a aplicação da súmula, conforme o</w:t>
      </w:r>
      <w:r>
        <w:rPr>
          <w:lang w:val="pt-BR"/>
        </w:rPr>
        <w:t xml:space="preserve"> </w:t>
      </w:r>
      <w:r w:rsidRPr="00362A3E">
        <w:rPr>
          <w:lang w:val="pt-BR"/>
        </w:rPr>
        <w:t>caso.”</w:t>
      </w:r>
    </w:p>
  </w:footnote>
  <w:footnote w:id="39">
    <w:p w14:paraId="44D16048" w14:textId="05C4987E" w:rsidR="00E4427D" w:rsidRPr="00362A3E" w:rsidRDefault="00E4427D" w:rsidP="00362A3E">
      <w:pPr>
        <w:pStyle w:val="FootnoteText"/>
        <w:rPr>
          <w:b/>
        </w:rPr>
      </w:pPr>
      <w:r>
        <w:rPr>
          <w:rStyle w:val="FootnoteReference"/>
        </w:rPr>
        <w:footnoteRef/>
      </w:r>
      <w:r>
        <w:t xml:space="preserve"> Ley No. 11.417, de 19 de diciembre de 2006. </w:t>
      </w:r>
      <w:r w:rsidRPr="008A344F">
        <w:rPr>
          <w:lang w:val="pt-BR"/>
        </w:rPr>
        <w:t>Regulamenta o art. 103-A da Constituição Federal e altera a Lei no 9.784, de 29 de janeiro de 1999, disciplinando a edição, a revisão e o cancelamento de enunciado de súmula vinculante pelo Supremo Tribunal Federal, e dá outras providências.</w:t>
      </w:r>
      <w:r>
        <w:rPr>
          <w:lang w:val="pt-BR"/>
        </w:rPr>
        <w:t xml:space="preserve"> </w:t>
      </w:r>
      <w:r w:rsidRPr="008A344F">
        <w:t xml:space="preserve">Disponible en: </w:t>
      </w:r>
      <w:hyperlink r:id="rId1" w:history="1">
        <w:r w:rsidRPr="00362A3E">
          <w:rPr>
            <w:rStyle w:val="Hyperlink"/>
          </w:rPr>
          <w:t>http://www.planalto.gov.br/ccivil_03/_ato2004-2006/2006/lei/l11417.htm?TSPD_101_R0=f43227a8335d40fc31ff40b40db61bcbsw200000000000000005a7d7abbffff00000000000000000000000000005b231f3b009c693e9e</w:t>
        </w:r>
      </w:hyperlink>
      <w:r>
        <w:t xml:space="preserve">. </w:t>
      </w:r>
    </w:p>
  </w:footnote>
  <w:footnote w:id="40">
    <w:p w14:paraId="5C7F6CD4" w14:textId="66CF65A4" w:rsidR="00E4427D" w:rsidRPr="007F09F3" w:rsidRDefault="00E4427D">
      <w:pPr>
        <w:pStyle w:val="FootnoteText"/>
      </w:pPr>
      <w:r>
        <w:rPr>
          <w:rStyle w:val="FootnoteReference"/>
        </w:rPr>
        <w:footnoteRef/>
      </w:r>
      <w:r w:rsidRPr="008A344F">
        <w:rPr>
          <w:lang w:val="pt-BR"/>
        </w:rPr>
        <w:t xml:space="preserve"> </w:t>
      </w:r>
      <w:r w:rsidRPr="008A344F">
        <w:rPr>
          <w:lang w:val="pt-BR"/>
        </w:rPr>
        <w:t>Cumprimento de pena em regime fechado, na hipótese de inexistir vaga em estabelecimento adequado a seu regime. Violação aos pr</w:t>
      </w:r>
      <w:r w:rsidRPr="007F09F3">
        <w:rPr>
          <w:lang w:val="pt-BR"/>
        </w:rPr>
        <w:t>incípios da individualização da pena (art. 5º, XLVI) e da legalidade (art. 5º, XXXIX). A falta de estabelecimento penal adequado não autoriza a manutenção do condenado em regime prisional mais gravoso. 3. Os juízes da execução penal poderão avaliar os estabelecimentos destinados aos regimes semiaberto e aberto, para qualificação como adequados a tais regimes. São aceitáveis estabelecimentos que não se qualifiquem como “colônia agrícola, industrial” (regime semiaberto) ou “casa de albergado ou estabelecimento adequado” (regime aberto) (art. 33, § 1º, </w:t>
      </w:r>
      <w:r w:rsidRPr="007F09F3">
        <w:rPr>
          <w:i/>
          <w:iCs/>
          <w:lang w:val="pt-BR"/>
        </w:rPr>
        <w:t>b</w:t>
      </w:r>
      <w:r w:rsidRPr="007F09F3">
        <w:rPr>
          <w:lang w:val="pt-BR"/>
        </w:rPr>
        <w:t> e </w:t>
      </w:r>
      <w:r w:rsidRPr="007F09F3">
        <w:rPr>
          <w:i/>
          <w:iCs/>
          <w:lang w:val="pt-BR"/>
        </w:rPr>
        <w:t>c</w:t>
      </w:r>
      <w:r w:rsidRPr="007F09F3">
        <w:rPr>
          <w:lang w:val="pt-BR"/>
        </w:rPr>
        <w:t>). No entanto, não deverá haver alojamento conjunto de presos dos regimes semiaberto e aberto com presos do regime fechado. 4. Havendo déficit de vagas, deverão ser determinados: (i) a saída antecipada de sentenciado no regime com falta de vagas; (ii) a liberdade eletronicamente monitorada ao sentenciado que sai antecipadamente ou é posto em prisão domiciliar por falta de vagas; (iii) o cumprimento de penas restritivas de direito e/ou estudo ao sentenciado que progride ao regime aberto. Até que sejam estruturadas as medidas alternativas propostas, poderá ser deferida a prisão domiciliar ao sentenciado.</w:t>
      </w:r>
      <w:r>
        <w:rPr>
          <w:lang w:val="pt-BR"/>
        </w:rPr>
        <w:t xml:space="preserve"> </w:t>
      </w:r>
      <w:r w:rsidRPr="00DF3B57">
        <w:t>[</w:t>
      </w:r>
      <w:r w:rsidRPr="004F26AD">
        <w:t>RE 641.320</w:t>
      </w:r>
      <w:r w:rsidRPr="00DF3B57">
        <w:t xml:space="preserve">, </w:t>
      </w:r>
      <w:proofErr w:type="spellStart"/>
      <w:r w:rsidRPr="00DF3B57">
        <w:t>rel.</w:t>
      </w:r>
      <w:proofErr w:type="spellEnd"/>
      <w:r w:rsidRPr="00DF3B57">
        <w:t xml:space="preserve"> min. </w:t>
      </w:r>
      <w:proofErr w:type="spellStart"/>
      <w:r w:rsidRPr="008A344F">
        <w:rPr>
          <w:bCs/>
        </w:rPr>
        <w:t>Gilmar</w:t>
      </w:r>
      <w:proofErr w:type="spellEnd"/>
      <w:r w:rsidRPr="008A344F">
        <w:rPr>
          <w:bCs/>
        </w:rPr>
        <w:t xml:space="preserve"> </w:t>
      </w:r>
      <w:proofErr w:type="spellStart"/>
      <w:r w:rsidRPr="008A344F">
        <w:rPr>
          <w:bCs/>
        </w:rPr>
        <w:t>Mendes</w:t>
      </w:r>
      <w:proofErr w:type="spellEnd"/>
      <w:r w:rsidRPr="00DF3B57">
        <w:t>, P, j. 11-5-2016, </w:t>
      </w:r>
      <w:r w:rsidRPr="00DF3B57">
        <w:rPr>
          <w:i/>
          <w:iCs/>
        </w:rPr>
        <w:t>DJE</w:t>
      </w:r>
      <w:r w:rsidRPr="00DF3B57">
        <w:t> 159 de 1º-8-2016, </w:t>
      </w:r>
      <w:r w:rsidRPr="004F26AD">
        <w:t>Tema 423</w:t>
      </w:r>
      <w:r w:rsidRPr="00DF3B57">
        <w:t>.]</w:t>
      </w:r>
    </w:p>
  </w:footnote>
  <w:footnote w:id="41">
    <w:p w14:paraId="54365110" w14:textId="77777777" w:rsidR="00E4427D" w:rsidRPr="009E7BBE" w:rsidRDefault="00E4427D" w:rsidP="009E7BBE">
      <w:pPr>
        <w:pStyle w:val="FootnoteText"/>
      </w:pPr>
      <w:r w:rsidRPr="009E7BBE">
        <w:rPr>
          <w:rStyle w:val="FootnoteReference"/>
          <w:szCs w:val="16"/>
        </w:rPr>
        <w:footnoteRef/>
      </w:r>
      <w:r w:rsidRPr="009E7BBE">
        <w:t xml:space="preserve"> Comisión de Derecho Internacional de las Naciones Unidas, </w:t>
      </w:r>
      <w:r w:rsidRPr="009E7BBE">
        <w:rPr>
          <w:i/>
        </w:rPr>
        <w:t>Proyecto de la Responsabilidad Internacional de los Estados con Comentarios</w:t>
      </w:r>
      <w:r w:rsidRPr="009E7BBE">
        <w:t>, p. 41, par. 9.</w:t>
      </w:r>
    </w:p>
  </w:footnote>
  <w:footnote w:id="42">
    <w:p w14:paraId="42D0A9CE" w14:textId="77777777" w:rsidR="00E4427D" w:rsidRPr="009E7BBE" w:rsidRDefault="00E4427D" w:rsidP="009E7BBE">
      <w:pPr>
        <w:pStyle w:val="FootnoteText"/>
      </w:pPr>
      <w:r w:rsidRPr="009E7BBE">
        <w:rPr>
          <w:rStyle w:val="FootnoteReference"/>
          <w:szCs w:val="16"/>
        </w:rPr>
        <w:footnoteRef/>
      </w:r>
      <w:r w:rsidRPr="009E7BBE">
        <w:t xml:space="preserve"> Consejo Nacional de Política Criminal y Penitenciaria (CNPCP), </w:t>
      </w:r>
      <w:r w:rsidRPr="009E7BBE">
        <w:rPr>
          <w:i/>
        </w:rPr>
        <w:t>resolución No. 09/2011</w:t>
      </w:r>
      <w:r w:rsidRPr="009E7BBE">
        <w:t xml:space="preserve">, de 18 de noviembre de 2011. “Directrices básicas para arquitectura penal”.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23"/>
    <w:multiLevelType w:val="hybridMultilevel"/>
    <w:tmpl w:val="E4424618"/>
    <w:lvl w:ilvl="0" w:tplc="90BC1C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7A3780"/>
    <w:multiLevelType w:val="hybridMultilevel"/>
    <w:tmpl w:val="B8A65622"/>
    <w:lvl w:ilvl="0" w:tplc="17A2FE84">
      <w:start w:val="1"/>
      <w:numFmt w:val="decimal"/>
      <w:lvlText w:val="%1."/>
      <w:lvlJc w:val="left"/>
      <w:pPr>
        <w:ind w:left="1065" w:hanging="360"/>
      </w:pPr>
      <w:rPr>
        <w:rFonts w:hint="default"/>
      </w:rPr>
    </w:lvl>
    <w:lvl w:ilvl="1" w:tplc="580A0019" w:tentative="1">
      <w:start w:val="1"/>
      <w:numFmt w:val="lowerLetter"/>
      <w:lvlText w:val="%2."/>
      <w:lvlJc w:val="left"/>
      <w:pPr>
        <w:ind w:left="1785" w:hanging="360"/>
      </w:pPr>
    </w:lvl>
    <w:lvl w:ilvl="2" w:tplc="580A001B" w:tentative="1">
      <w:start w:val="1"/>
      <w:numFmt w:val="lowerRoman"/>
      <w:lvlText w:val="%3."/>
      <w:lvlJc w:val="right"/>
      <w:pPr>
        <w:ind w:left="2505" w:hanging="180"/>
      </w:pPr>
    </w:lvl>
    <w:lvl w:ilvl="3" w:tplc="580A000F" w:tentative="1">
      <w:start w:val="1"/>
      <w:numFmt w:val="decimal"/>
      <w:lvlText w:val="%4."/>
      <w:lvlJc w:val="left"/>
      <w:pPr>
        <w:ind w:left="3225" w:hanging="360"/>
      </w:pPr>
    </w:lvl>
    <w:lvl w:ilvl="4" w:tplc="580A0019" w:tentative="1">
      <w:start w:val="1"/>
      <w:numFmt w:val="lowerLetter"/>
      <w:lvlText w:val="%5."/>
      <w:lvlJc w:val="left"/>
      <w:pPr>
        <w:ind w:left="3945" w:hanging="360"/>
      </w:pPr>
    </w:lvl>
    <w:lvl w:ilvl="5" w:tplc="580A001B" w:tentative="1">
      <w:start w:val="1"/>
      <w:numFmt w:val="lowerRoman"/>
      <w:lvlText w:val="%6."/>
      <w:lvlJc w:val="right"/>
      <w:pPr>
        <w:ind w:left="4665" w:hanging="180"/>
      </w:pPr>
    </w:lvl>
    <w:lvl w:ilvl="6" w:tplc="580A000F" w:tentative="1">
      <w:start w:val="1"/>
      <w:numFmt w:val="decimal"/>
      <w:lvlText w:val="%7."/>
      <w:lvlJc w:val="left"/>
      <w:pPr>
        <w:ind w:left="5385" w:hanging="360"/>
      </w:pPr>
    </w:lvl>
    <w:lvl w:ilvl="7" w:tplc="580A0019" w:tentative="1">
      <w:start w:val="1"/>
      <w:numFmt w:val="lowerLetter"/>
      <w:lvlText w:val="%8."/>
      <w:lvlJc w:val="left"/>
      <w:pPr>
        <w:ind w:left="6105" w:hanging="360"/>
      </w:pPr>
    </w:lvl>
    <w:lvl w:ilvl="8" w:tplc="580A001B" w:tentative="1">
      <w:start w:val="1"/>
      <w:numFmt w:val="lowerRoman"/>
      <w:lvlText w:val="%9."/>
      <w:lvlJc w:val="right"/>
      <w:pPr>
        <w:ind w:left="6825" w:hanging="180"/>
      </w:pPr>
    </w:lvl>
  </w:abstractNum>
  <w:abstractNum w:abstractNumId="2">
    <w:nsid w:val="0AE76269"/>
    <w:multiLevelType w:val="hybridMultilevel"/>
    <w:tmpl w:val="2D0EF6C6"/>
    <w:lvl w:ilvl="0" w:tplc="BC86F82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62ADC"/>
    <w:multiLevelType w:val="hybridMultilevel"/>
    <w:tmpl w:val="D108BF52"/>
    <w:lvl w:ilvl="0" w:tplc="6DA861EE">
      <w:start w:val="1"/>
      <w:numFmt w:val="lowerRoman"/>
      <w:lvlText w:val="%1."/>
      <w:lvlJc w:val="right"/>
      <w:pPr>
        <w:tabs>
          <w:tab w:val="num" w:pos="720"/>
        </w:tabs>
        <w:ind w:left="720" w:hanging="720"/>
      </w:pPr>
      <w:rPr>
        <w:b w:val="0"/>
      </w:rPr>
    </w:lvl>
    <w:lvl w:ilvl="1" w:tplc="D1388696">
      <w:start w:val="1"/>
      <w:numFmt w:val="lowerLetter"/>
      <w:lvlText w:val="%2)"/>
      <w:lvlJc w:val="left"/>
      <w:pPr>
        <w:tabs>
          <w:tab w:val="num" w:pos="1080"/>
        </w:tabs>
        <w:ind w:left="720" w:firstLine="0"/>
      </w:pPr>
      <w:rPr>
        <w:rFonts w:hint="default"/>
      </w:rPr>
    </w:lvl>
    <w:lvl w:ilvl="2" w:tplc="FFFFFFFF">
      <w:start w:val="1"/>
      <w:numFmt w:val="lowerRoman"/>
      <w:lvlText w:val="%3."/>
      <w:lvlJc w:val="right"/>
      <w:pPr>
        <w:tabs>
          <w:tab w:val="num" w:pos="1980"/>
        </w:tabs>
        <w:ind w:left="1980" w:hanging="360"/>
      </w:pPr>
    </w:lvl>
    <w:lvl w:ilvl="3" w:tplc="0C0A000F">
      <w:start w:val="1"/>
      <w:numFmt w:val="decimal"/>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EAE87DEE">
      <w:start w:val="1"/>
      <w:numFmt w:val="decimal"/>
      <w:lvlText w:val="%7."/>
      <w:lvlJc w:val="left"/>
      <w:pPr>
        <w:ind w:left="0" w:firstLine="0"/>
      </w:pPr>
      <w:rPr>
        <w:rFonts w:hint="default"/>
        <w:b w:val="0"/>
      </w:rPr>
    </w:lvl>
    <w:lvl w:ilvl="7" w:tplc="FFFFFFFF">
      <w:start w:val="1"/>
      <w:numFmt w:val="lowerLetter"/>
      <w:lvlText w:val="%8."/>
      <w:lvlJc w:val="left"/>
      <w:pPr>
        <w:tabs>
          <w:tab w:val="num" w:pos="5400"/>
        </w:tabs>
        <w:ind w:left="5400" w:hanging="360"/>
      </w:pPr>
    </w:lvl>
    <w:lvl w:ilvl="8" w:tplc="99B8B5AA">
      <w:start w:val="1"/>
      <w:numFmt w:val="lowerRoman"/>
      <w:lvlText w:val="%9."/>
      <w:lvlJc w:val="right"/>
      <w:pPr>
        <w:ind w:left="0" w:firstLine="0"/>
      </w:pPr>
      <w:rPr>
        <w:rFonts w:hint="default"/>
      </w:rPr>
    </w:lvl>
  </w:abstractNum>
  <w:abstractNum w:abstractNumId="4">
    <w:nsid w:val="15B31E0B"/>
    <w:multiLevelType w:val="hybridMultilevel"/>
    <w:tmpl w:val="B152267E"/>
    <w:lvl w:ilvl="0" w:tplc="90E4EC10">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C9B238A"/>
    <w:multiLevelType w:val="hybridMultilevel"/>
    <w:tmpl w:val="A4BAEF2A"/>
    <w:lvl w:ilvl="0" w:tplc="A1083EFA">
      <w:start w:val="1"/>
      <w:numFmt w:val="decimal"/>
      <w:lvlText w:val="%1."/>
      <w:lvlJc w:val="left"/>
      <w:pPr>
        <w:ind w:left="928" w:hanging="360"/>
      </w:pPr>
      <w:rPr>
        <w:rFonts w:hint="default"/>
        <w:b w:val="0"/>
        <w:i w:val="0"/>
        <w:lang w:val="pt-BR"/>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B8426A"/>
    <w:multiLevelType w:val="hybridMultilevel"/>
    <w:tmpl w:val="A4BAEF2A"/>
    <w:lvl w:ilvl="0" w:tplc="A1083EFA">
      <w:start w:val="1"/>
      <w:numFmt w:val="decimal"/>
      <w:lvlText w:val="%1."/>
      <w:lvlJc w:val="left"/>
      <w:pPr>
        <w:ind w:left="928" w:hanging="360"/>
      </w:pPr>
      <w:rPr>
        <w:rFonts w:hint="default"/>
        <w:b w:val="0"/>
        <w:i w:val="0"/>
        <w:lang w:val="pt-BR"/>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4374CD"/>
    <w:multiLevelType w:val="hybridMultilevel"/>
    <w:tmpl w:val="577E14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A20225"/>
    <w:multiLevelType w:val="hybridMultilevel"/>
    <w:tmpl w:val="791CB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16F"/>
    <w:multiLevelType w:val="hybridMultilevel"/>
    <w:tmpl w:val="6DB052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284E6E"/>
    <w:multiLevelType w:val="hybridMultilevel"/>
    <w:tmpl w:val="6E6C98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nsid w:val="47C20F0C"/>
    <w:multiLevelType w:val="hybridMultilevel"/>
    <w:tmpl w:val="2A5A2BEA"/>
    <w:lvl w:ilvl="0" w:tplc="FDA8E0A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90F52"/>
    <w:multiLevelType w:val="hybridMultilevel"/>
    <w:tmpl w:val="7010A032"/>
    <w:lvl w:ilvl="0" w:tplc="0B8E96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2E47FB"/>
    <w:multiLevelType w:val="hybridMultilevel"/>
    <w:tmpl w:val="E1B812E2"/>
    <w:lvl w:ilvl="0" w:tplc="B846FA70">
      <w:start w:val="1"/>
      <w:numFmt w:val="decimal"/>
      <w:lvlText w:val="%1."/>
      <w:lvlJc w:val="left"/>
      <w:pPr>
        <w:ind w:left="720" w:hanging="360"/>
      </w:pPr>
      <w:rPr>
        <w:rFonts w:hint="default"/>
        <w:b w:val="0"/>
        <w:i w:val="0"/>
        <w:lang w:val="es-C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8D07DF7"/>
    <w:multiLevelType w:val="hybridMultilevel"/>
    <w:tmpl w:val="6E38C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2614DA"/>
    <w:multiLevelType w:val="hybridMultilevel"/>
    <w:tmpl w:val="069AA480"/>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4D64E8"/>
    <w:multiLevelType w:val="hybridMultilevel"/>
    <w:tmpl w:val="6B10B8E8"/>
    <w:lvl w:ilvl="0" w:tplc="0EF66FB8">
      <w:start w:val="1"/>
      <w:numFmt w:val="lowerRoman"/>
      <w:lvlText w:val="%1."/>
      <w:lvlJc w:val="left"/>
      <w:pPr>
        <w:ind w:left="1080" w:hanging="72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1402C7C"/>
    <w:multiLevelType w:val="hybridMultilevel"/>
    <w:tmpl w:val="312CEF9E"/>
    <w:name w:val="WW8Num2"/>
    <w:lvl w:ilvl="0" w:tplc="9C40F1FC">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50F6700A">
      <w:start w:val="1"/>
      <w:numFmt w:val="lowerLetter"/>
      <w:lvlText w:val="%2)"/>
      <w:lvlJc w:val="left"/>
      <w:pPr>
        <w:tabs>
          <w:tab w:val="num" w:pos="1440"/>
        </w:tabs>
        <w:ind w:left="1440" w:hanging="360"/>
      </w:pPr>
      <w:rPr>
        <w:rFonts w:hint="default"/>
        <w:b w:val="0"/>
        <w:i w:val="0"/>
        <w:color w:val="auto"/>
        <w:sz w:val="20"/>
        <w:szCs w:val="20"/>
      </w:rPr>
    </w:lvl>
    <w:lvl w:ilvl="2" w:tplc="2906328C">
      <w:start w:val="1"/>
      <w:numFmt w:val="decimal"/>
      <w:lvlText w:val="%3."/>
      <w:lvlJc w:val="left"/>
      <w:pPr>
        <w:tabs>
          <w:tab w:val="num" w:pos="2340"/>
        </w:tabs>
        <w:ind w:left="2340" w:hanging="360"/>
      </w:pPr>
      <w:rPr>
        <w:rFonts w:hint="default"/>
        <w:b w:val="0"/>
        <w:i w:val="0"/>
        <w:strike w:val="0"/>
        <w:sz w:val="18"/>
        <w:szCs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555239"/>
    <w:multiLevelType w:val="hybridMultilevel"/>
    <w:tmpl w:val="B2027AE0"/>
    <w:lvl w:ilvl="0" w:tplc="54CEE294">
      <w:start w:val="1"/>
      <w:numFmt w:val="decimal"/>
      <w:lvlText w:val="%1."/>
      <w:lvlJc w:val="left"/>
      <w:pPr>
        <w:ind w:left="720" w:hanging="360"/>
      </w:pPr>
      <w:rPr>
        <w:i w:val="0"/>
      </w:rPr>
    </w:lvl>
    <w:lvl w:ilvl="1" w:tplc="F61AE08C">
      <w:start w:val="1"/>
      <w:numFmt w:val="lowerLetter"/>
      <w:lvlText w:val="%2)"/>
      <w:lvlJc w:val="left"/>
      <w:pPr>
        <w:ind w:left="1440" w:hanging="360"/>
      </w:pPr>
      <w:rPr>
        <w:rFonts w:hint="default"/>
        <w:i w:val="0"/>
      </w:rPr>
    </w:lvl>
    <w:lvl w:ilvl="2" w:tplc="39D88DBE">
      <w:start w:val="1"/>
      <w:numFmt w:val="lowerLetter"/>
      <w:lvlText w:val="(%3)"/>
      <w:lvlJc w:val="left"/>
      <w:pPr>
        <w:ind w:left="2700" w:hanging="720"/>
      </w:pPr>
      <w:rPr>
        <w:rFonts w:hint="default"/>
      </w:r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66977EE3"/>
    <w:multiLevelType w:val="hybridMultilevel"/>
    <w:tmpl w:val="6C883A28"/>
    <w:lvl w:ilvl="0" w:tplc="D1789EFA">
      <w:start w:val="1"/>
      <w:numFmt w:val="decimal"/>
      <w:lvlText w:val="%1."/>
      <w:lvlJc w:val="left"/>
      <w:pPr>
        <w:ind w:left="928" w:hanging="360"/>
      </w:pPr>
      <w:rPr>
        <w:rFonts w:ascii="Verdana" w:hAnsi="Verdana" w:hint="default"/>
        <w:b w:val="0"/>
        <w:i w:val="0"/>
        <w:sz w:val="20"/>
        <w:szCs w:val="20"/>
        <w:lang w:val="pt-BR"/>
      </w:rPr>
    </w:lvl>
    <w:lvl w:ilvl="1" w:tplc="64769FB6">
      <w:start w:val="1"/>
      <w:numFmt w:val="lowerRoman"/>
      <w:lvlText w:val="%2."/>
      <w:lvlJc w:val="righ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74F0290"/>
    <w:multiLevelType w:val="hybridMultilevel"/>
    <w:tmpl w:val="1C5C4870"/>
    <w:lvl w:ilvl="0" w:tplc="69CADF88">
      <w:start w:val="1"/>
      <w:numFmt w:val="decimal"/>
      <w:lvlText w:val="%1."/>
      <w:lvlJc w:val="left"/>
      <w:pPr>
        <w:tabs>
          <w:tab w:val="num" w:pos="648"/>
        </w:tabs>
        <w:ind w:left="0" w:firstLine="0"/>
      </w:pPr>
      <w:rPr>
        <w:rFonts w:hint="default"/>
        <w:b w:val="0"/>
        <w:i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C530C72"/>
    <w:multiLevelType w:val="hybridMultilevel"/>
    <w:tmpl w:val="56EC2F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63CD1"/>
    <w:multiLevelType w:val="hybridMultilevel"/>
    <w:tmpl w:val="54769988"/>
    <w:lvl w:ilvl="0" w:tplc="77DEDC8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DF06C2E"/>
    <w:multiLevelType w:val="hybridMultilevel"/>
    <w:tmpl w:val="BCB06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13D26"/>
    <w:multiLevelType w:val="hybridMultilevel"/>
    <w:tmpl w:val="57327B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6614565"/>
    <w:multiLevelType w:val="hybridMultilevel"/>
    <w:tmpl w:val="57327B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
  </w:num>
  <w:num w:numId="3">
    <w:abstractNumId w:val="23"/>
  </w:num>
  <w:num w:numId="4">
    <w:abstractNumId w:val="12"/>
  </w:num>
  <w:num w:numId="5">
    <w:abstractNumId w:val="0"/>
  </w:num>
  <w:num w:numId="6">
    <w:abstractNumId w:val="24"/>
  </w:num>
  <w:num w:numId="7">
    <w:abstractNumId w:val="16"/>
  </w:num>
  <w:num w:numId="8">
    <w:abstractNumId w:val="22"/>
  </w:num>
  <w:num w:numId="9">
    <w:abstractNumId w:val="11"/>
  </w:num>
  <w:num w:numId="10">
    <w:abstractNumId w:val="15"/>
  </w:num>
  <w:num w:numId="11">
    <w:abstractNumId w:val="8"/>
  </w:num>
  <w:num w:numId="12">
    <w:abstractNumId w:val="21"/>
  </w:num>
  <w:num w:numId="13">
    <w:abstractNumId w:val="14"/>
  </w:num>
  <w:num w:numId="14">
    <w:abstractNumId w:val="7"/>
  </w:num>
  <w:num w:numId="15">
    <w:abstractNumId w:val="20"/>
  </w:num>
  <w:num w:numId="16">
    <w:abstractNumId w:val="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25"/>
  </w:num>
  <w:num w:numId="23">
    <w:abstractNumId w:val="5"/>
  </w:num>
  <w:num w:numId="24">
    <w:abstractNumId w:val="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CR"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04"/>
    <w:rsid w:val="00004E0A"/>
    <w:rsid w:val="00007833"/>
    <w:rsid w:val="00012586"/>
    <w:rsid w:val="000144A6"/>
    <w:rsid w:val="00015B44"/>
    <w:rsid w:val="000176FF"/>
    <w:rsid w:val="00017897"/>
    <w:rsid w:val="000178AA"/>
    <w:rsid w:val="000205F4"/>
    <w:rsid w:val="00022C73"/>
    <w:rsid w:val="00024D00"/>
    <w:rsid w:val="00031269"/>
    <w:rsid w:val="000321A7"/>
    <w:rsid w:val="0004528E"/>
    <w:rsid w:val="0004544E"/>
    <w:rsid w:val="00045715"/>
    <w:rsid w:val="00047C34"/>
    <w:rsid w:val="00051A80"/>
    <w:rsid w:val="00053380"/>
    <w:rsid w:val="00053598"/>
    <w:rsid w:val="000535D1"/>
    <w:rsid w:val="00055ACD"/>
    <w:rsid w:val="00056F81"/>
    <w:rsid w:val="00057566"/>
    <w:rsid w:val="000602C8"/>
    <w:rsid w:val="00060487"/>
    <w:rsid w:val="000619E7"/>
    <w:rsid w:val="00061E92"/>
    <w:rsid w:val="0006226B"/>
    <w:rsid w:val="000644BC"/>
    <w:rsid w:val="0006735D"/>
    <w:rsid w:val="00073C0F"/>
    <w:rsid w:val="00075556"/>
    <w:rsid w:val="00075716"/>
    <w:rsid w:val="00076881"/>
    <w:rsid w:val="000811B3"/>
    <w:rsid w:val="00081D88"/>
    <w:rsid w:val="000820E3"/>
    <w:rsid w:val="000822A2"/>
    <w:rsid w:val="00084233"/>
    <w:rsid w:val="000845AB"/>
    <w:rsid w:val="0008715D"/>
    <w:rsid w:val="00090EC5"/>
    <w:rsid w:val="00094A1C"/>
    <w:rsid w:val="00096B41"/>
    <w:rsid w:val="00096DC4"/>
    <w:rsid w:val="00096F73"/>
    <w:rsid w:val="00097E43"/>
    <w:rsid w:val="000A1D5B"/>
    <w:rsid w:val="000A2B48"/>
    <w:rsid w:val="000A42A3"/>
    <w:rsid w:val="000A498D"/>
    <w:rsid w:val="000A6ED3"/>
    <w:rsid w:val="000A7095"/>
    <w:rsid w:val="000B0FEB"/>
    <w:rsid w:val="000B18EE"/>
    <w:rsid w:val="000B1CB9"/>
    <w:rsid w:val="000B2219"/>
    <w:rsid w:val="000B2356"/>
    <w:rsid w:val="000B2CB9"/>
    <w:rsid w:val="000B3346"/>
    <w:rsid w:val="000B3FC4"/>
    <w:rsid w:val="000B695A"/>
    <w:rsid w:val="000B78EA"/>
    <w:rsid w:val="000C0020"/>
    <w:rsid w:val="000C3448"/>
    <w:rsid w:val="000C5B3B"/>
    <w:rsid w:val="000C6DA2"/>
    <w:rsid w:val="000D1815"/>
    <w:rsid w:val="000D3B10"/>
    <w:rsid w:val="000D56E6"/>
    <w:rsid w:val="000E1744"/>
    <w:rsid w:val="000E51A9"/>
    <w:rsid w:val="000E5962"/>
    <w:rsid w:val="000F45C6"/>
    <w:rsid w:val="000F48D1"/>
    <w:rsid w:val="000F5733"/>
    <w:rsid w:val="000F6E3B"/>
    <w:rsid w:val="000F7337"/>
    <w:rsid w:val="000F7755"/>
    <w:rsid w:val="00101641"/>
    <w:rsid w:val="00101970"/>
    <w:rsid w:val="00102B2B"/>
    <w:rsid w:val="0010410F"/>
    <w:rsid w:val="00104989"/>
    <w:rsid w:val="001069FB"/>
    <w:rsid w:val="00107B2B"/>
    <w:rsid w:val="001110CA"/>
    <w:rsid w:val="001115D4"/>
    <w:rsid w:val="0011305F"/>
    <w:rsid w:val="00113EC9"/>
    <w:rsid w:val="001209EE"/>
    <w:rsid w:val="001272C9"/>
    <w:rsid w:val="00131FB7"/>
    <w:rsid w:val="001325BC"/>
    <w:rsid w:val="00132F65"/>
    <w:rsid w:val="00133E6E"/>
    <w:rsid w:val="00135A17"/>
    <w:rsid w:val="00135D09"/>
    <w:rsid w:val="00135F9B"/>
    <w:rsid w:val="001431D4"/>
    <w:rsid w:val="001439FA"/>
    <w:rsid w:val="00144228"/>
    <w:rsid w:val="0014580C"/>
    <w:rsid w:val="00150F4C"/>
    <w:rsid w:val="00153E4A"/>
    <w:rsid w:val="001602BA"/>
    <w:rsid w:val="00162605"/>
    <w:rsid w:val="00165283"/>
    <w:rsid w:val="00171AB4"/>
    <w:rsid w:val="001724B3"/>
    <w:rsid w:val="00172667"/>
    <w:rsid w:val="00172B3B"/>
    <w:rsid w:val="001747E9"/>
    <w:rsid w:val="00175A03"/>
    <w:rsid w:val="00180A39"/>
    <w:rsid w:val="001815F3"/>
    <w:rsid w:val="00183249"/>
    <w:rsid w:val="00184D5E"/>
    <w:rsid w:val="00190BC6"/>
    <w:rsid w:val="00192E52"/>
    <w:rsid w:val="00193046"/>
    <w:rsid w:val="00193639"/>
    <w:rsid w:val="0019447A"/>
    <w:rsid w:val="00195B8F"/>
    <w:rsid w:val="001971D9"/>
    <w:rsid w:val="001A4333"/>
    <w:rsid w:val="001A5C31"/>
    <w:rsid w:val="001A7D20"/>
    <w:rsid w:val="001B0184"/>
    <w:rsid w:val="001B64C0"/>
    <w:rsid w:val="001B677D"/>
    <w:rsid w:val="001B70C1"/>
    <w:rsid w:val="001C0EDA"/>
    <w:rsid w:val="001C2373"/>
    <w:rsid w:val="001C28EF"/>
    <w:rsid w:val="001C3D26"/>
    <w:rsid w:val="001C44C4"/>
    <w:rsid w:val="001C4B09"/>
    <w:rsid w:val="001C6419"/>
    <w:rsid w:val="001C6965"/>
    <w:rsid w:val="001D00C6"/>
    <w:rsid w:val="001D0679"/>
    <w:rsid w:val="001D23F6"/>
    <w:rsid w:val="001D2669"/>
    <w:rsid w:val="001D4177"/>
    <w:rsid w:val="001D4F4A"/>
    <w:rsid w:val="001E00C3"/>
    <w:rsid w:val="001E1502"/>
    <w:rsid w:val="001E23A9"/>
    <w:rsid w:val="001E5811"/>
    <w:rsid w:val="001E604A"/>
    <w:rsid w:val="001E620D"/>
    <w:rsid w:val="001E641F"/>
    <w:rsid w:val="001E70F8"/>
    <w:rsid w:val="001F0752"/>
    <w:rsid w:val="001F198F"/>
    <w:rsid w:val="001F2A4C"/>
    <w:rsid w:val="001F3607"/>
    <w:rsid w:val="001F36AF"/>
    <w:rsid w:val="001F36BD"/>
    <w:rsid w:val="001F4CBF"/>
    <w:rsid w:val="001F6405"/>
    <w:rsid w:val="001F70E5"/>
    <w:rsid w:val="001F7C1F"/>
    <w:rsid w:val="00201B8A"/>
    <w:rsid w:val="002026D1"/>
    <w:rsid w:val="00206755"/>
    <w:rsid w:val="002074D5"/>
    <w:rsid w:val="0020769B"/>
    <w:rsid w:val="002109B0"/>
    <w:rsid w:val="00210BE0"/>
    <w:rsid w:val="00210C54"/>
    <w:rsid w:val="00214076"/>
    <w:rsid w:val="00217FA2"/>
    <w:rsid w:val="002224F4"/>
    <w:rsid w:val="00223D71"/>
    <w:rsid w:val="00224B07"/>
    <w:rsid w:val="00225C1C"/>
    <w:rsid w:val="00225E53"/>
    <w:rsid w:val="00226071"/>
    <w:rsid w:val="00231750"/>
    <w:rsid w:val="002331FF"/>
    <w:rsid w:val="002336F5"/>
    <w:rsid w:val="00235CC6"/>
    <w:rsid w:val="002363BD"/>
    <w:rsid w:val="00236915"/>
    <w:rsid w:val="00237ABB"/>
    <w:rsid w:val="00237CFD"/>
    <w:rsid w:val="00240F00"/>
    <w:rsid w:val="00241D55"/>
    <w:rsid w:val="00242CB7"/>
    <w:rsid w:val="00242EDC"/>
    <w:rsid w:val="0024583C"/>
    <w:rsid w:val="00246AF0"/>
    <w:rsid w:val="002476FC"/>
    <w:rsid w:val="0025355A"/>
    <w:rsid w:val="00254862"/>
    <w:rsid w:val="00255CEF"/>
    <w:rsid w:val="00262967"/>
    <w:rsid w:val="00266148"/>
    <w:rsid w:val="0026732D"/>
    <w:rsid w:val="00271111"/>
    <w:rsid w:val="00271478"/>
    <w:rsid w:val="00271E64"/>
    <w:rsid w:val="00273C06"/>
    <w:rsid w:val="00275F26"/>
    <w:rsid w:val="00277CC3"/>
    <w:rsid w:val="002804C9"/>
    <w:rsid w:val="00283013"/>
    <w:rsid w:val="002839D9"/>
    <w:rsid w:val="00284923"/>
    <w:rsid w:val="002854E9"/>
    <w:rsid w:val="00285CA9"/>
    <w:rsid w:val="00286306"/>
    <w:rsid w:val="0028700D"/>
    <w:rsid w:val="00287538"/>
    <w:rsid w:val="002903A4"/>
    <w:rsid w:val="00291B29"/>
    <w:rsid w:val="002967AA"/>
    <w:rsid w:val="002969E7"/>
    <w:rsid w:val="00297B7F"/>
    <w:rsid w:val="002A014C"/>
    <w:rsid w:val="002A0224"/>
    <w:rsid w:val="002A10DE"/>
    <w:rsid w:val="002A1C41"/>
    <w:rsid w:val="002A1E52"/>
    <w:rsid w:val="002A661A"/>
    <w:rsid w:val="002A76C4"/>
    <w:rsid w:val="002A772F"/>
    <w:rsid w:val="002A7835"/>
    <w:rsid w:val="002B197D"/>
    <w:rsid w:val="002B2E99"/>
    <w:rsid w:val="002B37D0"/>
    <w:rsid w:val="002B3802"/>
    <w:rsid w:val="002B39B9"/>
    <w:rsid w:val="002B3D25"/>
    <w:rsid w:val="002B4759"/>
    <w:rsid w:val="002B4E6D"/>
    <w:rsid w:val="002B4FE8"/>
    <w:rsid w:val="002B6072"/>
    <w:rsid w:val="002B60A7"/>
    <w:rsid w:val="002B6BEC"/>
    <w:rsid w:val="002C1E74"/>
    <w:rsid w:val="002C41F6"/>
    <w:rsid w:val="002C706F"/>
    <w:rsid w:val="002C72C4"/>
    <w:rsid w:val="002D184E"/>
    <w:rsid w:val="002D2A88"/>
    <w:rsid w:val="002D3521"/>
    <w:rsid w:val="002D36F2"/>
    <w:rsid w:val="002D46A1"/>
    <w:rsid w:val="002E1BF1"/>
    <w:rsid w:val="002E36D3"/>
    <w:rsid w:val="002E3DCB"/>
    <w:rsid w:val="002E42C9"/>
    <w:rsid w:val="002E524E"/>
    <w:rsid w:val="002F15E2"/>
    <w:rsid w:val="002F2021"/>
    <w:rsid w:val="002F5B91"/>
    <w:rsid w:val="002F6DD8"/>
    <w:rsid w:val="002F7A60"/>
    <w:rsid w:val="003008D2"/>
    <w:rsid w:val="00303B5E"/>
    <w:rsid w:val="003070E5"/>
    <w:rsid w:val="00310901"/>
    <w:rsid w:val="00310F0C"/>
    <w:rsid w:val="00310F32"/>
    <w:rsid w:val="00313038"/>
    <w:rsid w:val="00313136"/>
    <w:rsid w:val="00314CD2"/>
    <w:rsid w:val="00314EF9"/>
    <w:rsid w:val="00314F8E"/>
    <w:rsid w:val="0031611F"/>
    <w:rsid w:val="00316AED"/>
    <w:rsid w:val="0032017C"/>
    <w:rsid w:val="00322559"/>
    <w:rsid w:val="003245CC"/>
    <w:rsid w:val="00325293"/>
    <w:rsid w:val="0032658C"/>
    <w:rsid w:val="00327480"/>
    <w:rsid w:val="00331112"/>
    <w:rsid w:val="0033195A"/>
    <w:rsid w:val="00332986"/>
    <w:rsid w:val="003347FF"/>
    <w:rsid w:val="00335D05"/>
    <w:rsid w:val="003376DB"/>
    <w:rsid w:val="00337DE5"/>
    <w:rsid w:val="00341448"/>
    <w:rsid w:val="003423FB"/>
    <w:rsid w:val="003460A2"/>
    <w:rsid w:val="0034676F"/>
    <w:rsid w:val="0035037E"/>
    <w:rsid w:val="00350CBE"/>
    <w:rsid w:val="00353420"/>
    <w:rsid w:val="00356FEE"/>
    <w:rsid w:val="00360853"/>
    <w:rsid w:val="00362A3E"/>
    <w:rsid w:val="00363624"/>
    <w:rsid w:val="0036697D"/>
    <w:rsid w:val="0036766F"/>
    <w:rsid w:val="003716B5"/>
    <w:rsid w:val="0037187C"/>
    <w:rsid w:val="0037193A"/>
    <w:rsid w:val="00371EFE"/>
    <w:rsid w:val="00374C34"/>
    <w:rsid w:val="00375665"/>
    <w:rsid w:val="003778BE"/>
    <w:rsid w:val="00380F25"/>
    <w:rsid w:val="003811F6"/>
    <w:rsid w:val="003836E7"/>
    <w:rsid w:val="00383AEB"/>
    <w:rsid w:val="00384A46"/>
    <w:rsid w:val="00384BC9"/>
    <w:rsid w:val="00385E83"/>
    <w:rsid w:val="00386180"/>
    <w:rsid w:val="00390146"/>
    <w:rsid w:val="003906CA"/>
    <w:rsid w:val="003919F2"/>
    <w:rsid w:val="00392A25"/>
    <w:rsid w:val="00394545"/>
    <w:rsid w:val="00394FB5"/>
    <w:rsid w:val="003A043F"/>
    <w:rsid w:val="003A1266"/>
    <w:rsid w:val="003A3151"/>
    <w:rsid w:val="003A4AD3"/>
    <w:rsid w:val="003A7367"/>
    <w:rsid w:val="003B035C"/>
    <w:rsid w:val="003B2500"/>
    <w:rsid w:val="003B2BEC"/>
    <w:rsid w:val="003B3A44"/>
    <w:rsid w:val="003B3AF4"/>
    <w:rsid w:val="003B4943"/>
    <w:rsid w:val="003B7390"/>
    <w:rsid w:val="003B7413"/>
    <w:rsid w:val="003B748F"/>
    <w:rsid w:val="003C1143"/>
    <w:rsid w:val="003C5BAB"/>
    <w:rsid w:val="003D0E98"/>
    <w:rsid w:val="003D2024"/>
    <w:rsid w:val="003D415E"/>
    <w:rsid w:val="003D41FC"/>
    <w:rsid w:val="003E4CD0"/>
    <w:rsid w:val="003E74C0"/>
    <w:rsid w:val="003F1131"/>
    <w:rsid w:val="003F320A"/>
    <w:rsid w:val="003F4E51"/>
    <w:rsid w:val="00400744"/>
    <w:rsid w:val="00401093"/>
    <w:rsid w:val="004023F2"/>
    <w:rsid w:val="00402F04"/>
    <w:rsid w:val="00404C03"/>
    <w:rsid w:val="00407A2B"/>
    <w:rsid w:val="00411FE8"/>
    <w:rsid w:val="004135AA"/>
    <w:rsid w:val="00423EA1"/>
    <w:rsid w:val="004266D7"/>
    <w:rsid w:val="0043078D"/>
    <w:rsid w:val="004321FF"/>
    <w:rsid w:val="00432997"/>
    <w:rsid w:val="0043556D"/>
    <w:rsid w:val="0043586F"/>
    <w:rsid w:val="00437FEE"/>
    <w:rsid w:val="00442966"/>
    <w:rsid w:val="0044436A"/>
    <w:rsid w:val="004448A5"/>
    <w:rsid w:val="00446329"/>
    <w:rsid w:val="004478AA"/>
    <w:rsid w:val="004507E3"/>
    <w:rsid w:val="00452CA4"/>
    <w:rsid w:val="00452F47"/>
    <w:rsid w:val="00454C50"/>
    <w:rsid w:val="0045502C"/>
    <w:rsid w:val="004553F4"/>
    <w:rsid w:val="0045598D"/>
    <w:rsid w:val="00456058"/>
    <w:rsid w:val="00456DCA"/>
    <w:rsid w:val="004576EE"/>
    <w:rsid w:val="0046270E"/>
    <w:rsid w:val="00462F3D"/>
    <w:rsid w:val="004632AA"/>
    <w:rsid w:val="004634CD"/>
    <w:rsid w:val="004637FD"/>
    <w:rsid w:val="00465E1E"/>
    <w:rsid w:val="00466471"/>
    <w:rsid w:val="00470ECE"/>
    <w:rsid w:val="004732A8"/>
    <w:rsid w:val="00474D33"/>
    <w:rsid w:val="00475157"/>
    <w:rsid w:val="00477774"/>
    <w:rsid w:val="0048120F"/>
    <w:rsid w:val="00481C10"/>
    <w:rsid w:val="00485159"/>
    <w:rsid w:val="004853AF"/>
    <w:rsid w:val="00485931"/>
    <w:rsid w:val="0048608A"/>
    <w:rsid w:val="004862EB"/>
    <w:rsid w:val="00491719"/>
    <w:rsid w:val="00491D1D"/>
    <w:rsid w:val="00492526"/>
    <w:rsid w:val="00492891"/>
    <w:rsid w:val="00494828"/>
    <w:rsid w:val="004956E5"/>
    <w:rsid w:val="0049601B"/>
    <w:rsid w:val="004A0164"/>
    <w:rsid w:val="004A041E"/>
    <w:rsid w:val="004A181B"/>
    <w:rsid w:val="004A2925"/>
    <w:rsid w:val="004A353B"/>
    <w:rsid w:val="004A3ED6"/>
    <w:rsid w:val="004A4922"/>
    <w:rsid w:val="004A5567"/>
    <w:rsid w:val="004A7EB8"/>
    <w:rsid w:val="004B22CF"/>
    <w:rsid w:val="004B33FC"/>
    <w:rsid w:val="004B5211"/>
    <w:rsid w:val="004B5716"/>
    <w:rsid w:val="004B63A0"/>
    <w:rsid w:val="004B66CB"/>
    <w:rsid w:val="004B67C9"/>
    <w:rsid w:val="004B6FB9"/>
    <w:rsid w:val="004B7520"/>
    <w:rsid w:val="004B7BDA"/>
    <w:rsid w:val="004C0E3D"/>
    <w:rsid w:val="004C1AD7"/>
    <w:rsid w:val="004C4A44"/>
    <w:rsid w:val="004C6127"/>
    <w:rsid w:val="004D0DAC"/>
    <w:rsid w:val="004D1D0E"/>
    <w:rsid w:val="004D24A9"/>
    <w:rsid w:val="004D3138"/>
    <w:rsid w:val="004D3B8F"/>
    <w:rsid w:val="004D6BEE"/>
    <w:rsid w:val="004D6D71"/>
    <w:rsid w:val="004E00CC"/>
    <w:rsid w:val="004E076B"/>
    <w:rsid w:val="004E1B0B"/>
    <w:rsid w:val="004E2029"/>
    <w:rsid w:val="004E41AC"/>
    <w:rsid w:val="004E5F6F"/>
    <w:rsid w:val="004E793E"/>
    <w:rsid w:val="004F1581"/>
    <w:rsid w:val="004F26AD"/>
    <w:rsid w:val="004F3D93"/>
    <w:rsid w:val="004F3E07"/>
    <w:rsid w:val="004F62B9"/>
    <w:rsid w:val="004F73D1"/>
    <w:rsid w:val="004F7A5B"/>
    <w:rsid w:val="00500549"/>
    <w:rsid w:val="00504E40"/>
    <w:rsid w:val="005129F6"/>
    <w:rsid w:val="005135A8"/>
    <w:rsid w:val="00513A65"/>
    <w:rsid w:val="005154BF"/>
    <w:rsid w:val="00516CFF"/>
    <w:rsid w:val="00520C8E"/>
    <w:rsid w:val="0052171E"/>
    <w:rsid w:val="005218D0"/>
    <w:rsid w:val="00521F41"/>
    <w:rsid w:val="00522158"/>
    <w:rsid w:val="00525E3D"/>
    <w:rsid w:val="0053061D"/>
    <w:rsid w:val="00531823"/>
    <w:rsid w:val="00532436"/>
    <w:rsid w:val="005329BA"/>
    <w:rsid w:val="0053319E"/>
    <w:rsid w:val="0053507D"/>
    <w:rsid w:val="00536850"/>
    <w:rsid w:val="005379EC"/>
    <w:rsid w:val="0054135B"/>
    <w:rsid w:val="0054146A"/>
    <w:rsid w:val="0054494D"/>
    <w:rsid w:val="00544B1A"/>
    <w:rsid w:val="00545D5F"/>
    <w:rsid w:val="0055033F"/>
    <w:rsid w:val="0055133C"/>
    <w:rsid w:val="00552676"/>
    <w:rsid w:val="00552ED9"/>
    <w:rsid w:val="00553C8F"/>
    <w:rsid w:val="005551A5"/>
    <w:rsid w:val="005553A2"/>
    <w:rsid w:val="005556C6"/>
    <w:rsid w:val="005562B0"/>
    <w:rsid w:val="005563EB"/>
    <w:rsid w:val="00556435"/>
    <w:rsid w:val="0055682C"/>
    <w:rsid w:val="0055733F"/>
    <w:rsid w:val="00557F15"/>
    <w:rsid w:val="00560CCC"/>
    <w:rsid w:val="00571942"/>
    <w:rsid w:val="00573383"/>
    <w:rsid w:val="005754E0"/>
    <w:rsid w:val="00576F34"/>
    <w:rsid w:val="005808E9"/>
    <w:rsid w:val="00583636"/>
    <w:rsid w:val="00583F64"/>
    <w:rsid w:val="00584A87"/>
    <w:rsid w:val="00584AFB"/>
    <w:rsid w:val="00584C54"/>
    <w:rsid w:val="00585739"/>
    <w:rsid w:val="00585B36"/>
    <w:rsid w:val="0058711D"/>
    <w:rsid w:val="00587594"/>
    <w:rsid w:val="00587803"/>
    <w:rsid w:val="0059167B"/>
    <w:rsid w:val="00591D53"/>
    <w:rsid w:val="00594D44"/>
    <w:rsid w:val="00594D74"/>
    <w:rsid w:val="005952A8"/>
    <w:rsid w:val="005964FA"/>
    <w:rsid w:val="00597EE2"/>
    <w:rsid w:val="005A1052"/>
    <w:rsid w:val="005A142B"/>
    <w:rsid w:val="005A1DA1"/>
    <w:rsid w:val="005A499C"/>
    <w:rsid w:val="005A4AEB"/>
    <w:rsid w:val="005A569C"/>
    <w:rsid w:val="005A69B7"/>
    <w:rsid w:val="005A791A"/>
    <w:rsid w:val="005B2EB5"/>
    <w:rsid w:val="005B3048"/>
    <w:rsid w:val="005B6F65"/>
    <w:rsid w:val="005C0402"/>
    <w:rsid w:val="005C1947"/>
    <w:rsid w:val="005C1E56"/>
    <w:rsid w:val="005C2BE0"/>
    <w:rsid w:val="005C2EE0"/>
    <w:rsid w:val="005C38EC"/>
    <w:rsid w:val="005C4908"/>
    <w:rsid w:val="005C5C45"/>
    <w:rsid w:val="005D00F3"/>
    <w:rsid w:val="005D078B"/>
    <w:rsid w:val="005D0A60"/>
    <w:rsid w:val="005D1920"/>
    <w:rsid w:val="005D26C4"/>
    <w:rsid w:val="005D2A26"/>
    <w:rsid w:val="005D4345"/>
    <w:rsid w:val="005D635A"/>
    <w:rsid w:val="005D7CB5"/>
    <w:rsid w:val="005E0A58"/>
    <w:rsid w:val="005E1ED0"/>
    <w:rsid w:val="005E4254"/>
    <w:rsid w:val="005E5BBC"/>
    <w:rsid w:val="005F3253"/>
    <w:rsid w:val="005F3E72"/>
    <w:rsid w:val="006004B0"/>
    <w:rsid w:val="006004CF"/>
    <w:rsid w:val="00600918"/>
    <w:rsid w:val="006022F3"/>
    <w:rsid w:val="006025B5"/>
    <w:rsid w:val="00602D03"/>
    <w:rsid w:val="00603D06"/>
    <w:rsid w:val="0060607F"/>
    <w:rsid w:val="006062DF"/>
    <w:rsid w:val="00606B23"/>
    <w:rsid w:val="006106C5"/>
    <w:rsid w:val="00611B19"/>
    <w:rsid w:val="006133EF"/>
    <w:rsid w:val="00613C99"/>
    <w:rsid w:val="00615CED"/>
    <w:rsid w:val="00616A06"/>
    <w:rsid w:val="00617AFB"/>
    <w:rsid w:val="00622134"/>
    <w:rsid w:val="006232C4"/>
    <w:rsid w:val="0062531B"/>
    <w:rsid w:val="00625C34"/>
    <w:rsid w:val="006262F8"/>
    <w:rsid w:val="006279A0"/>
    <w:rsid w:val="006300F5"/>
    <w:rsid w:val="00630863"/>
    <w:rsid w:val="0063119A"/>
    <w:rsid w:val="00634746"/>
    <w:rsid w:val="00635143"/>
    <w:rsid w:val="006354DE"/>
    <w:rsid w:val="00635C78"/>
    <w:rsid w:val="00635D07"/>
    <w:rsid w:val="00636374"/>
    <w:rsid w:val="00636B7C"/>
    <w:rsid w:val="006371F2"/>
    <w:rsid w:val="006423B9"/>
    <w:rsid w:val="006423ED"/>
    <w:rsid w:val="006425C7"/>
    <w:rsid w:val="00646C99"/>
    <w:rsid w:val="0065188D"/>
    <w:rsid w:val="0065759C"/>
    <w:rsid w:val="00661984"/>
    <w:rsid w:val="00663648"/>
    <w:rsid w:val="00663655"/>
    <w:rsid w:val="006655EF"/>
    <w:rsid w:val="006658A6"/>
    <w:rsid w:val="006678F0"/>
    <w:rsid w:val="00670DBB"/>
    <w:rsid w:val="00671CBF"/>
    <w:rsid w:val="0067286C"/>
    <w:rsid w:val="00677834"/>
    <w:rsid w:val="006809C6"/>
    <w:rsid w:val="00682012"/>
    <w:rsid w:val="00683604"/>
    <w:rsid w:val="006847BA"/>
    <w:rsid w:val="00685697"/>
    <w:rsid w:val="00690576"/>
    <w:rsid w:val="00690C33"/>
    <w:rsid w:val="00692A11"/>
    <w:rsid w:val="006931D5"/>
    <w:rsid w:val="00693730"/>
    <w:rsid w:val="006955F0"/>
    <w:rsid w:val="006A01D9"/>
    <w:rsid w:val="006A1E7C"/>
    <w:rsid w:val="006A3A7A"/>
    <w:rsid w:val="006A3EE5"/>
    <w:rsid w:val="006A4C35"/>
    <w:rsid w:val="006A647E"/>
    <w:rsid w:val="006B0828"/>
    <w:rsid w:val="006B0B9C"/>
    <w:rsid w:val="006B24D7"/>
    <w:rsid w:val="006B4079"/>
    <w:rsid w:val="006C7BB0"/>
    <w:rsid w:val="006D05CB"/>
    <w:rsid w:val="006D2F1C"/>
    <w:rsid w:val="006D31D9"/>
    <w:rsid w:val="006D343A"/>
    <w:rsid w:val="006D4FC1"/>
    <w:rsid w:val="006D77AC"/>
    <w:rsid w:val="006E153E"/>
    <w:rsid w:val="006E25AA"/>
    <w:rsid w:val="006E27B8"/>
    <w:rsid w:val="006E449D"/>
    <w:rsid w:val="006E4D5B"/>
    <w:rsid w:val="006E606B"/>
    <w:rsid w:val="006E6957"/>
    <w:rsid w:val="006F0AEE"/>
    <w:rsid w:val="006F44FE"/>
    <w:rsid w:val="006F4FB4"/>
    <w:rsid w:val="006F5633"/>
    <w:rsid w:val="006F67AA"/>
    <w:rsid w:val="006F6FF5"/>
    <w:rsid w:val="00704065"/>
    <w:rsid w:val="00704490"/>
    <w:rsid w:val="00704B0A"/>
    <w:rsid w:val="0070515A"/>
    <w:rsid w:val="00705528"/>
    <w:rsid w:val="00707254"/>
    <w:rsid w:val="00712F86"/>
    <w:rsid w:val="0071495A"/>
    <w:rsid w:val="00715D4F"/>
    <w:rsid w:val="00717D20"/>
    <w:rsid w:val="00720B95"/>
    <w:rsid w:val="0072104C"/>
    <w:rsid w:val="0072274F"/>
    <w:rsid w:val="00725F6E"/>
    <w:rsid w:val="00727860"/>
    <w:rsid w:val="00727FE5"/>
    <w:rsid w:val="00732A1B"/>
    <w:rsid w:val="00733937"/>
    <w:rsid w:val="007340B9"/>
    <w:rsid w:val="00734ABC"/>
    <w:rsid w:val="00737F79"/>
    <w:rsid w:val="00740AE5"/>
    <w:rsid w:val="00740C6A"/>
    <w:rsid w:val="007417FE"/>
    <w:rsid w:val="007430EE"/>
    <w:rsid w:val="00743A30"/>
    <w:rsid w:val="00743AD2"/>
    <w:rsid w:val="00745D06"/>
    <w:rsid w:val="0074636C"/>
    <w:rsid w:val="00746870"/>
    <w:rsid w:val="0074752E"/>
    <w:rsid w:val="00747F1B"/>
    <w:rsid w:val="00750238"/>
    <w:rsid w:val="00750FC4"/>
    <w:rsid w:val="007513DE"/>
    <w:rsid w:val="00751BB4"/>
    <w:rsid w:val="00751F53"/>
    <w:rsid w:val="007531FA"/>
    <w:rsid w:val="007545BB"/>
    <w:rsid w:val="00756BEF"/>
    <w:rsid w:val="0075727A"/>
    <w:rsid w:val="0075786A"/>
    <w:rsid w:val="00757B69"/>
    <w:rsid w:val="00761C32"/>
    <w:rsid w:val="00761ECC"/>
    <w:rsid w:val="007632AA"/>
    <w:rsid w:val="0076349A"/>
    <w:rsid w:val="00764883"/>
    <w:rsid w:val="00766C80"/>
    <w:rsid w:val="00767A25"/>
    <w:rsid w:val="00767F2F"/>
    <w:rsid w:val="007716A2"/>
    <w:rsid w:val="007721A7"/>
    <w:rsid w:val="00772A19"/>
    <w:rsid w:val="00772B80"/>
    <w:rsid w:val="007730A5"/>
    <w:rsid w:val="0077448D"/>
    <w:rsid w:val="00775FD7"/>
    <w:rsid w:val="00781069"/>
    <w:rsid w:val="007818B0"/>
    <w:rsid w:val="00783640"/>
    <w:rsid w:val="007850F5"/>
    <w:rsid w:val="00786A82"/>
    <w:rsid w:val="00791444"/>
    <w:rsid w:val="00791684"/>
    <w:rsid w:val="00791FBE"/>
    <w:rsid w:val="0079400B"/>
    <w:rsid w:val="00797CE8"/>
    <w:rsid w:val="007A1354"/>
    <w:rsid w:val="007A1E00"/>
    <w:rsid w:val="007A5083"/>
    <w:rsid w:val="007A60F2"/>
    <w:rsid w:val="007A6241"/>
    <w:rsid w:val="007B0BE7"/>
    <w:rsid w:val="007B2F51"/>
    <w:rsid w:val="007B3A72"/>
    <w:rsid w:val="007B3E75"/>
    <w:rsid w:val="007B3FB4"/>
    <w:rsid w:val="007B470B"/>
    <w:rsid w:val="007B715F"/>
    <w:rsid w:val="007B7768"/>
    <w:rsid w:val="007B78BA"/>
    <w:rsid w:val="007C22B2"/>
    <w:rsid w:val="007C50BE"/>
    <w:rsid w:val="007C5433"/>
    <w:rsid w:val="007C56FA"/>
    <w:rsid w:val="007C5B36"/>
    <w:rsid w:val="007C6561"/>
    <w:rsid w:val="007D01AF"/>
    <w:rsid w:val="007D0D98"/>
    <w:rsid w:val="007D1A02"/>
    <w:rsid w:val="007D5D8E"/>
    <w:rsid w:val="007D602E"/>
    <w:rsid w:val="007E0502"/>
    <w:rsid w:val="007E0B13"/>
    <w:rsid w:val="007E2987"/>
    <w:rsid w:val="007E2D02"/>
    <w:rsid w:val="007E51EF"/>
    <w:rsid w:val="007E6862"/>
    <w:rsid w:val="007E7622"/>
    <w:rsid w:val="007F09F3"/>
    <w:rsid w:val="007F34F0"/>
    <w:rsid w:val="007F3A6A"/>
    <w:rsid w:val="007F4481"/>
    <w:rsid w:val="007F4732"/>
    <w:rsid w:val="007F528F"/>
    <w:rsid w:val="007F6E37"/>
    <w:rsid w:val="008009C6"/>
    <w:rsid w:val="00801CC7"/>
    <w:rsid w:val="0080395E"/>
    <w:rsid w:val="0080598F"/>
    <w:rsid w:val="008077D1"/>
    <w:rsid w:val="00807A14"/>
    <w:rsid w:val="008124E8"/>
    <w:rsid w:val="00813AD9"/>
    <w:rsid w:val="00815B72"/>
    <w:rsid w:val="00815ED2"/>
    <w:rsid w:val="00817430"/>
    <w:rsid w:val="00817CD2"/>
    <w:rsid w:val="0082022F"/>
    <w:rsid w:val="008209A5"/>
    <w:rsid w:val="00820F16"/>
    <w:rsid w:val="00821219"/>
    <w:rsid w:val="00827DF3"/>
    <w:rsid w:val="008314C2"/>
    <w:rsid w:val="00831DB7"/>
    <w:rsid w:val="0083227F"/>
    <w:rsid w:val="008330DB"/>
    <w:rsid w:val="008336A7"/>
    <w:rsid w:val="00833D6B"/>
    <w:rsid w:val="00833EAF"/>
    <w:rsid w:val="008341DC"/>
    <w:rsid w:val="00835707"/>
    <w:rsid w:val="008367F4"/>
    <w:rsid w:val="00836D2A"/>
    <w:rsid w:val="00837174"/>
    <w:rsid w:val="0083765B"/>
    <w:rsid w:val="00841872"/>
    <w:rsid w:val="0084358C"/>
    <w:rsid w:val="0084362C"/>
    <w:rsid w:val="008505A2"/>
    <w:rsid w:val="00853BD7"/>
    <w:rsid w:val="008544F1"/>
    <w:rsid w:val="0085737B"/>
    <w:rsid w:val="0086001B"/>
    <w:rsid w:val="008614AA"/>
    <w:rsid w:val="00863DBF"/>
    <w:rsid w:val="008646FF"/>
    <w:rsid w:val="008651D2"/>
    <w:rsid w:val="00870A87"/>
    <w:rsid w:val="00877A8A"/>
    <w:rsid w:val="0088243B"/>
    <w:rsid w:val="008833DE"/>
    <w:rsid w:val="008833EC"/>
    <w:rsid w:val="008845D5"/>
    <w:rsid w:val="00884C77"/>
    <w:rsid w:val="00885A87"/>
    <w:rsid w:val="00885E13"/>
    <w:rsid w:val="00886ACC"/>
    <w:rsid w:val="008906D1"/>
    <w:rsid w:val="008929F3"/>
    <w:rsid w:val="00892F1F"/>
    <w:rsid w:val="00893C4C"/>
    <w:rsid w:val="00895E11"/>
    <w:rsid w:val="00896ACA"/>
    <w:rsid w:val="00896B65"/>
    <w:rsid w:val="008A344F"/>
    <w:rsid w:val="008A385F"/>
    <w:rsid w:val="008A3E0F"/>
    <w:rsid w:val="008A67DA"/>
    <w:rsid w:val="008B0FB1"/>
    <w:rsid w:val="008B347C"/>
    <w:rsid w:val="008B49BC"/>
    <w:rsid w:val="008B7C40"/>
    <w:rsid w:val="008C1977"/>
    <w:rsid w:val="008C32A0"/>
    <w:rsid w:val="008C3C4E"/>
    <w:rsid w:val="008C5C39"/>
    <w:rsid w:val="008C6F8E"/>
    <w:rsid w:val="008C7BC2"/>
    <w:rsid w:val="008D0240"/>
    <w:rsid w:val="008D05D4"/>
    <w:rsid w:val="008D1E25"/>
    <w:rsid w:val="008D2476"/>
    <w:rsid w:val="008D2F23"/>
    <w:rsid w:val="008D41E7"/>
    <w:rsid w:val="008E1110"/>
    <w:rsid w:val="008E4658"/>
    <w:rsid w:val="008E4845"/>
    <w:rsid w:val="008E4CDA"/>
    <w:rsid w:val="008E7576"/>
    <w:rsid w:val="008F172B"/>
    <w:rsid w:val="008F1939"/>
    <w:rsid w:val="008F2FFF"/>
    <w:rsid w:val="008F3844"/>
    <w:rsid w:val="008F3A7C"/>
    <w:rsid w:val="008F4B4A"/>
    <w:rsid w:val="008F5567"/>
    <w:rsid w:val="008F5DAA"/>
    <w:rsid w:val="00901330"/>
    <w:rsid w:val="00902B2A"/>
    <w:rsid w:val="00902C16"/>
    <w:rsid w:val="00904A1E"/>
    <w:rsid w:val="009071C3"/>
    <w:rsid w:val="0090752C"/>
    <w:rsid w:val="00907A92"/>
    <w:rsid w:val="0091085F"/>
    <w:rsid w:val="009114FE"/>
    <w:rsid w:val="00911D36"/>
    <w:rsid w:val="009161E0"/>
    <w:rsid w:val="009167AF"/>
    <w:rsid w:val="0092121B"/>
    <w:rsid w:val="009232F2"/>
    <w:rsid w:val="00923755"/>
    <w:rsid w:val="00924C45"/>
    <w:rsid w:val="00925497"/>
    <w:rsid w:val="00925CA5"/>
    <w:rsid w:val="0092656B"/>
    <w:rsid w:val="00926EE1"/>
    <w:rsid w:val="00933053"/>
    <w:rsid w:val="00936641"/>
    <w:rsid w:val="00936904"/>
    <w:rsid w:val="00940E85"/>
    <w:rsid w:val="009422DD"/>
    <w:rsid w:val="00944483"/>
    <w:rsid w:val="009447D3"/>
    <w:rsid w:val="00945574"/>
    <w:rsid w:val="00945D4E"/>
    <w:rsid w:val="00951828"/>
    <w:rsid w:val="00952E1E"/>
    <w:rsid w:val="00956436"/>
    <w:rsid w:val="009573EF"/>
    <w:rsid w:val="00957F95"/>
    <w:rsid w:val="009620AB"/>
    <w:rsid w:val="00962A28"/>
    <w:rsid w:val="0096336D"/>
    <w:rsid w:val="00963F77"/>
    <w:rsid w:val="00966E49"/>
    <w:rsid w:val="0097258B"/>
    <w:rsid w:val="00973A7B"/>
    <w:rsid w:val="0097680E"/>
    <w:rsid w:val="00976D82"/>
    <w:rsid w:val="00981B8E"/>
    <w:rsid w:val="00981FF3"/>
    <w:rsid w:val="009829D0"/>
    <w:rsid w:val="00983BBF"/>
    <w:rsid w:val="00983C2D"/>
    <w:rsid w:val="009870B2"/>
    <w:rsid w:val="009910C5"/>
    <w:rsid w:val="009948D0"/>
    <w:rsid w:val="009A0756"/>
    <w:rsid w:val="009A096E"/>
    <w:rsid w:val="009A104A"/>
    <w:rsid w:val="009A19C9"/>
    <w:rsid w:val="009A2581"/>
    <w:rsid w:val="009A2EEA"/>
    <w:rsid w:val="009A308D"/>
    <w:rsid w:val="009A48F5"/>
    <w:rsid w:val="009A5A7A"/>
    <w:rsid w:val="009A77CF"/>
    <w:rsid w:val="009B1CB1"/>
    <w:rsid w:val="009B3079"/>
    <w:rsid w:val="009B31FE"/>
    <w:rsid w:val="009B5491"/>
    <w:rsid w:val="009B5E9B"/>
    <w:rsid w:val="009C0236"/>
    <w:rsid w:val="009C0296"/>
    <w:rsid w:val="009C2723"/>
    <w:rsid w:val="009C2A61"/>
    <w:rsid w:val="009C6504"/>
    <w:rsid w:val="009C761A"/>
    <w:rsid w:val="009C77A4"/>
    <w:rsid w:val="009C7C49"/>
    <w:rsid w:val="009C7DDF"/>
    <w:rsid w:val="009C7E05"/>
    <w:rsid w:val="009D067E"/>
    <w:rsid w:val="009D0749"/>
    <w:rsid w:val="009D2FF1"/>
    <w:rsid w:val="009D32BC"/>
    <w:rsid w:val="009D4440"/>
    <w:rsid w:val="009D45CF"/>
    <w:rsid w:val="009D5AB4"/>
    <w:rsid w:val="009D5D3D"/>
    <w:rsid w:val="009D5FAF"/>
    <w:rsid w:val="009D6399"/>
    <w:rsid w:val="009E16F7"/>
    <w:rsid w:val="009E1EC3"/>
    <w:rsid w:val="009E309A"/>
    <w:rsid w:val="009E5E47"/>
    <w:rsid w:val="009E7884"/>
    <w:rsid w:val="009E7BBE"/>
    <w:rsid w:val="009E7D65"/>
    <w:rsid w:val="009E7F99"/>
    <w:rsid w:val="009F0E97"/>
    <w:rsid w:val="009F2112"/>
    <w:rsid w:val="009F2D9E"/>
    <w:rsid w:val="009F2E52"/>
    <w:rsid w:val="009F44CA"/>
    <w:rsid w:val="009F4C12"/>
    <w:rsid w:val="009F585B"/>
    <w:rsid w:val="009F5CC8"/>
    <w:rsid w:val="009F64E8"/>
    <w:rsid w:val="009F7495"/>
    <w:rsid w:val="009F7D20"/>
    <w:rsid w:val="009F7D52"/>
    <w:rsid w:val="00A00C47"/>
    <w:rsid w:val="00A02AB2"/>
    <w:rsid w:val="00A038DF"/>
    <w:rsid w:val="00A03BEC"/>
    <w:rsid w:val="00A04CF8"/>
    <w:rsid w:val="00A05840"/>
    <w:rsid w:val="00A1094F"/>
    <w:rsid w:val="00A116F8"/>
    <w:rsid w:val="00A1413A"/>
    <w:rsid w:val="00A15D19"/>
    <w:rsid w:val="00A17BE1"/>
    <w:rsid w:val="00A200AB"/>
    <w:rsid w:val="00A23EDE"/>
    <w:rsid w:val="00A24396"/>
    <w:rsid w:val="00A25C0E"/>
    <w:rsid w:val="00A310FF"/>
    <w:rsid w:val="00A324EA"/>
    <w:rsid w:val="00A32669"/>
    <w:rsid w:val="00A3299E"/>
    <w:rsid w:val="00A33B34"/>
    <w:rsid w:val="00A3453D"/>
    <w:rsid w:val="00A34FD4"/>
    <w:rsid w:val="00A352BA"/>
    <w:rsid w:val="00A3535C"/>
    <w:rsid w:val="00A367AE"/>
    <w:rsid w:val="00A36858"/>
    <w:rsid w:val="00A37C75"/>
    <w:rsid w:val="00A44832"/>
    <w:rsid w:val="00A44DBE"/>
    <w:rsid w:val="00A52D74"/>
    <w:rsid w:val="00A54AAD"/>
    <w:rsid w:val="00A55620"/>
    <w:rsid w:val="00A55A95"/>
    <w:rsid w:val="00A562C5"/>
    <w:rsid w:val="00A5697C"/>
    <w:rsid w:val="00A56FE5"/>
    <w:rsid w:val="00A62F55"/>
    <w:rsid w:val="00A64661"/>
    <w:rsid w:val="00A64FAF"/>
    <w:rsid w:val="00A707A7"/>
    <w:rsid w:val="00A71805"/>
    <w:rsid w:val="00A73B6D"/>
    <w:rsid w:val="00A74224"/>
    <w:rsid w:val="00A77B0C"/>
    <w:rsid w:val="00A80A08"/>
    <w:rsid w:val="00A8161C"/>
    <w:rsid w:val="00A83058"/>
    <w:rsid w:val="00A83D11"/>
    <w:rsid w:val="00A8438C"/>
    <w:rsid w:val="00A84750"/>
    <w:rsid w:val="00A85637"/>
    <w:rsid w:val="00A87C5B"/>
    <w:rsid w:val="00A9094E"/>
    <w:rsid w:val="00A91AE3"/>
    <w:rsid w:val="00A944E5"/>
    <w:rsid w:val="00A9707C"/>
    <w:rsid w:val="00A97C54"/>
    <w:rsid w:val="00AA0E8C"/>
    <w:rsid w:val="00AA1A37"/>
    <w:rsid w:val="00AA5556"/>
    <w:rsid w:val="00AA6406"/>
    <w:rsid w:val="00AB2DC4"/>
    <w:rsid w:val="00AB5A69"/>
    <w:rsid w:val="00AB656F"/>
    <w:rsid w:val="00AC044F"/>
    <w:rsid w:val="00AC050D"/>
    <w:rsid w:val="00AC2EAD"/>
    <w:rsid w:val="00AC379F"/>
    <w:rsid w:val="00AC61E7"/>
    <w:rsid w:val="00AC72DB"/>
    <w:rsid w:val="00AC7B00"/>
    <w:rsid w:val="00AD0F21"/>
    <w:rsid w:val="00AD241B"/>
    <w:rsid w:val="00AD4E49"/>
    <w:rsid w:val="00AD7355"/>
    <w:rsid w:val="00AE2364"/>
    <w:rsid w:val="00AE44FA"/>
    <w:rsid w:val="00AE65F3"/>
    <w:rsid w:val="00AE7DE6"/>
    <w:rsid w:val="00AF5A33"/>
    <w:rsid w:val="00AF61DE"/>
    <w:rsid w:val="00AF6B9F"/>
    <w:rsid w:val="00B01209"/>
    <w:rsid w:val="00B01705"/>
    <w:rsid w:val="00B02565"/>
    <w:rsid w:val="00B029FC"/>
    <w:rsid w:val="00B066B9"/>
    <w:rsid w:val="00B06896"/>
    <w:rsid w:val="00B069CF"/>
    <w:rsid w:val="00B07451"/>
    <w:rsid w:val="00B07B0E"/>
    <w:rsid w:val="00B12DBC"/>
    <w:rsid w:val="00B153F5"/>
    <w:rsid w:val="00B21937"/>
    <w:rsid w:val="00B22BE6"/>
    <w:rsid w:val="00B23223"/>
    <w:rsid w:val="00B24C6D"/>
    <w:rsid w:val="00B24EA6"/>
    <w:rsid w:val="00B310B2"/>
    <w:rsid w:val="00B32587"/>
    <w:rsid w:val="00B35F3C"/>
    <w:rsid w:val="00B36C26"/>
    <w:rsid w:val="00B36FF3"/>
    <w:rsid w:val="00B37866"/>
    <w:rsid w:val="00B409C6"/>
    <w:rsid w:val="00B42322"/>
    <w:rsid w:val="00B43D93"/>
    <w:rsid w:val="00B511B1"/>
    <w:rsid w:val="00B51787"/>
    <w:rsid w:val="00B548CF"/>
    <w:rsid w:val="00B54C65"/>
    <w:rsid w:val="00B550AB"/>
    <w:rsid w:val="00B56608"/>
    <w:rsid w:val="00B573AF"/>
    <w:rsid w:val="00B57A25"/>
    <w:rsid w:val="00B57C3C"/>
    <w:rsid w:val="00B625D4"/>
    <w:rsid w:val="00B64CB5"/>
    <w:rsid w:val="00B65220"/>
    <w:rsid w:val="00B668C9"/>
    <w:rsid w:val="00B67D57"/>
    <w:rsid w:val="00B718AD"/>
    <w:rsid w:val="00B72870"/>
    <w:rsid w:val="00B74104"/>
    <w:rsid w:val="00B77BE0"/>
    <w:rsid w:val="00B81147"/>
    <w:rsid w:val="00B81ED0"/>
    <w:rsid w:val="00B82818"/>
    <w:rsid w:val="00B82DCF"/>
    <w:rsid w:val="00B84802"/>
    <w:rsid w:val="00B85178"/>
    <w:rsid w:val="00B8534A"/>
    <w:rsid w:val="00B858C2"/>
    <w:rsid w:val="00B865AC"/>
    <w:rsid w:val="00B86764"/>
    <w:rsid w:val="00B869EB"/>
    <w:rsid w:val="00B8714E"/>
    <w:rsid w:val="00B87B20"/>
    <w:rsid w:val="00B90947"/>
    <w:rsid w:val="00B90CB8"/>
    <w:rsid w:val="00B95567"/>
    <w:rsid w:val="00B96987"/>
    <w:rsid w:val="00B972C3"/>
    <w:rsid w:val="00BA216A"/>
    <w:rsid w:val="00BA22AC"/>
    <w:rsid w:val="00BA2E10"/>
    <w:rsid w:val="00BA418E"/>
    <w:rsid w:val="00BA4241"/>
    <w:rsid w:val="00BA6641"/>
    <w:rsid w:val="00BB1893"/>
    <w:rsid w:val="00BB3AE1"/>
    <w:rsid w:val="00BB4BCA"/>
    <w:rsid w:val="00BB53BF"/>
    <w:rsid w:val="00BB5B85"/>
    <w:rsid w:val="00BB5B9E"/>
    <w:rsid w:val="00BB71C3"/>
    <w:rsid w:val="00BB7216"/>
    <w:rsid w:val="00BC3E83"/>
    <w:rsid w:val="00BC57AD"/>
    <w:rsid w:val="00BC7892"/>
    <w:rsid w:val="00BD0F4A"/>
    <w:rsid w:val="00BD2D63"/>
    <w:rsid w:val="00BD47B7"/>
    <w:rsid w:val="00BD4D4B"/>
    <w:rsid w:val="00BE073A"/>
    <w:rsid w:val="00BE24B4"/>
    <w:rsid w:val="00BE473C"/>
    <w:rsid w:val="00BE53DF"/>
    <w:rsid w:val="00BF09AA"/>
    <w:rsid w:val="00BF2AC5"/>
    <w:rsid w:val="00BF2C9F"/>
    <w:rsid w:val="00BF375D"/>
    <w:rsid w:val="00BF4920"/>
    <w:rsid w:val="00BF6137"/>
    <w:rsid w:val="00BF7F6C"/>
    <w:rsid w:val="00C0105D"/>
    <w:rsid w:val="00C035D8"/>
    <w:rsid w:val="00C03C2E"/>
    <w:rsid w:val="00C04105"/>
    <w:rsid w:val="00C047CA"/>
    <w:rsid w:val="00C04F5A"/>
    <w:rsid w:val="00C04FE3"/>
    <w:rsid w:val="00C05258"/>
    <w:rsid w:val="00C05B52"/>
    <w:rsid w:val="00C061E0"/>
    <w:rsid w:val="00C07B63"/>
    <w:rsid w:val="00C10FFD"/>
    <w:rsid w:val="00C14AC3"/>
    <w:rsid w:val="00C155CA"/>
    <w:rsid w:val="00C210DA"/>
    <w:rsid w:val="00C22AE2"/>
    <w:rsid w:val="00C26C8D"/>
    <w:rsid w:val="00C30915"/>
    <w:rsid w:val="00C32C4F"/>
    <w:rsid w:val="00C332B4"/>
    <w:rsid w:val="00C33E55"/>
    <w:rsid w:val="00C35CA0"/>
    <w:rsid w:val="00C3695E"/>
    <w:rsid w:val="00C40B49"/>
    <w:rsid w:val="00C40B72"/>
    <w:rsid w:val="00C424D7"/>
    <w:rsid w:val="00C438D1"/>
    <w:rsid w:val="00C43E85"/>
    <w:rsid w:val="00C44997"/>
    <w:rsid w:val="00C50A83"/>
    <w:rsid w:val="00C50FE8"/>
    <w:rsid w:val="00C52A36"/>
    <w:rsid w:val="00C57B7F"/>
    <w:rsid w:val="00C60603"/>
    <w:rsid w:val="00C622F6"/>
    <w:rsid w:val="00C63C26"/>
    <w:rsid w:val="00C6436A"/>
    <w:rsid w:val="00C70E23"/>
    <w:rsid w:val="00C72A6D"/>
    <w:rsid w:val="00C72DAB"/>
    <w:rsid w:val="00C73701"/>
    <w:rsid w:val="00C75334"/>
    <w:rsid w:val="00C7682A"/>
    <w:rsid w:val="00C76881"/>
    <w:rsid w:val="00C77799"/>
    <w:rsid w:val="00C808BA"/>
    <w:rsid w:val="00C80C0D"/>
    <w:rsid w:val="00C84F79"/>
    <w:rsid w:val="00C85B97"/>
    <w:rsid w:val="00C85F41"/>
    <w:rsid w:val="00C86860"/>
    <w:rsid w:val="00C906BB"/>
    <w:rsid w:val="00C9156D"/>
    <w:rsid w:val="00C94CEB"/>
    <w:rsid w:val="00CA0FC6"/>
    <w:rsid w:val="00CA26E4"/>
    <w:rsid w:val="00CA4288"/>
    <w:rsid w:val="00CA58E9"/>
    <w:rsid w:val="00CA7241"/>
    <w:rsid w:val="00CB0919"/>
    <w:rsid w:val="00CB18D5"/>
    <w:rsid w:val="00CB1AA1"/>
    <w:rsid w:val="00CB2ABB"/>
    <w:rsid w:val="00CB3355"/>
    <w:rsid w:val="00CB3D13"/>
    <w:rsid w:val="00CB56A8"/>
    <w:rsid w:val="00CB5EF6"/>
    <w:rsid w:val="00CB7753"/>
    <w:rsid w:val="00CC2526"/>
    <w:rsid w:val="00CC2C2C"/>
    <w:rsid w:val="00CC2D6B"/>
    <w:rsid w:val="00CC4910"/>
    <w:rsid w:val="00CC58FD"/>
    <w:rsid w:val="00CC6A5B"/>
    <w:rsid w:val="00CD2A93"/>
    <w:rsid w:val="00CD4583"/>
    <w:rsid w:val="00CD45AA"/>
    <w:rsid w:val="00CE4104"/>
    <w:rsid w:val="00CE4F0F"/>
    <w:rsid w:val="00CE7AC0"/>
    <w:rsid w:val="00CF10C8"/>
    <w:rsid w:val="00CF1B59"/>
    <w:rsid w:val="00CF1E18"/>
    <w:rsid w:val="00CF2CD5"/>
    <w:rsid w:val="00CF4698"/>
    <w:rsid w:val="00CF6EA4"/>
    <w:rsid w:val="00D01E8F"/>
    <w:rsid w:val="00D04EF8"/>
    <w:rsid w:val="00D07DF6"/>
    <w:rsid w:val="00D127FE"/>
    <w:rsid w:val="00D20C37"/>
    <w:rsid w:val="00D20EE2"/>
    <w:rsid w:val="00D23388"/>
    <w:rsid w:val="00D24676"/>
    <w:rsid w:val="00D25A33"/>
    <w:rsid w:val="00D26016"/>
    <w:rsid w:val="00D267CA"/>
    <w:rsid w:val="00D27FC8"/>
    <w:rsid w:val="00D317E0"/>
    <w:rsid w:val="00D341D8"/>
    <w:rsid w:val="00D35BFE"/>
    <w:rsid w:val="00D3628B"/>
    <w:rsid w:val="00D37EC8"/>
    <w:rsid w:val="00D405DB"/>
    <w:rsid w:val="00D44AA6"/>
    <w:rsid w:val="00D44E0F"/>
    <w:rsid w:val="00D45A7E"/>
    <w:rsid w:val="00D4667B"/>
    <w:rsid w:val="00D47DFA"/>
    <w:rsid w:val="00D47F31"/>
    <w:rsid w:val="00D502CB"/>
    <w:rsid w:val="00D50C30"/>
    <w:rsid w:val="00D52705"/>
    <w:rsid w:val="00D536D5"/>
    <w:rsid w:val="00D565B1"/>
    <w:rsid w:val="00D56F42"/>
    <w:rsid w:val="00D57C67"/>
    <w:rsid w:val="00D607EA"/>
    <w:rsid w:val="00D64B8B"/>
    <w:rsid w:val="00D65CA2"/>
    <w:rsid w:val="00D7093F"/>
    <w:rsid w:val="00D71133"/>
    <w:rsid w:val="00D715AD"/>
    <w:rsid w:val="00D71893"/>
    <w:rsid w:val="00D7274C"/>
    <w:rsid w:val="00D727AC"/>
    <w:rsid w:val="00D74718"/>
    <w:rsid w:val="00D751FF"/>
    <w:rsid w:val="00D8120E"/>
    <w:rsid w:val="00D81B18"/>
    <w:rsid w:val="00D820D3"/>
    <w:rsid w:val="00D84228"/>
    <w:rsid w:val="00D8509B"/>
    <w:rsid w:val="00D85D3C"/>
    <w:rsid w:val="00D86573"/>
    <w:rsid w:val="00D92BC1"/>
    <w:rsid w:val="00D93CF4"/>
    <w:rsid w:val="00D94189"/>
    <w:rsid w:val="00D953CD"/>
    <w:rsid w:val="00D96263"/>
    <w:rsid w:val="00D96491"/>
    <w:rsid w:val="00D97D4E"/>
    <w:rsid w:val="00DA1CDD"/>
    <w:rsid w:val="00DA2033"/>
    <w:rsid w:val="00DA3193"/>
    <w:rsid w:val="00DA3C5D"/>
    <w:rsid w:val="00DA3F78"/>
    <w:rsid w:val="00DA6529"/>
    <w:rsid w:val="00DA7113"/>
    <w:rsid w:val="00DB2866"/>
    <w:rsid w:val="00DB3F44"/>
    <w:rsid w:val="00DC16B7"/>
    <w:rsid w:val="00DC1804"/>
    <w:rsid w:val="00DC4A4A"/>
    <w:rsid w:val="00DD0828"/>
    <w:rsid w:val="00DD08F3"/>
    <w:rsid w:val="00DD1EBB"/>
    <w:rsid w:val="00DD4DBC"/>
    <w:rsid w:val="00DD5C89"/>
    <w:rsid w:val="00DD6EFA"/>
    <w:rsid w:val="00DE5409"/>
    <w:rsid w:val="00DE709D"/>
    <w:rsid w:val="00DE7707"/>
    <w:rsid w:val="00DE78CF"/>
    <w:rsid w:val="00DE7A21"/>
    <w:rsid w:val="00DF1775"/>
    <w:rsid w:val="00DF3B57"/>
    <w:rsid w:val="00DF3E33"/>
    <w:rsid w:val="00DF512D"/>
    <w:rsid w:val="00DF6D77"/>
    <w:rsid w:val="00DF7F3F"/>
    <w:rsid w:val="00E050FE"/>
    <w:rsid w:val="00E074AB"/>
    <w:rsid w:val="00E07DE3"/>
    <w:rsid w:val="00E108AA"/>
    <w:rsid w:val="00E139DE"/>
    <w:rsid w:val="00E166DA"/>
    <w:rsid w:val="00E21D07"/>
    <w:rsid w:val="00E22992"/>
    <w:rsid w:val="00E241B7"/>
    <w:rsid w:val="00E245F3"/>
    <w:rsid w:val="00E2612F"/>
    <w:rsid w:val="00E2622F"/>
    <w:rsid w:val="00E31F81"/>
    <w:rsid w:val="00E330D5"/>
    <w:rsid w:val="00E34546"/>
    <w:rsid w:val="00E3496B"/>
    <w:rsid w:val="00E35378"/>
    <w:rsid w:val="00E36204"/>
    <w:rsid w:val="00E363ED"/>
    <w:rsid w:val="00E367A4"/>
    <w:rsid w:val="00E37107"/>
    <w:rsid w:val="00E433F5"/>
    <w:rsid w:val="00E43A7E"/>
    <w:rsid w:val="00E43B29"/>
    <w:rsid w:val="00E4427D"/>
    <w:rsid w:val="00E44880"/>
    <w:rsid w:val="00E47956"/>
    <w:rsid w:val="00E50C54"/>
    <w:rsid w:val="00E5121C"/>
    <w:rsid w:val="00E54554"/>
    <w:rsid w:val="00E54620"/>
    <w:rsid w:val="00E562B5"/>
    <w:rsid w:val="00E56CB9"/>
    <w:rsid w:val="00E5717F"/>
    <w:rsid w:val="00E5792E"/>
    <w:rsid w:val="00E60685"/>
    <w:rsid w:val="00E60B71"/>
    <w:rsid w:val="00E60BB7"/>
    <w:rsid w:val="00E61F52"/>
    <w:rsid w:val="00E62D6B"/>
    <w:rsid w:val="00E63644"/>
    <w:rsid w:val="00E65D36"/>
    <w:rsid w:val="00E65E5F"/>
    <w:rsid w:val="00E67F7D"/>
    <w:rsid w:val="00E71D8D"/>
    <w:rsid w:val="00E73C9B"/>
    <w:rsid w:val="00E76739"/>
    <w:rsid w:val="00E77A02"/>
    <w:rsid w:val="00E80698"/>
    <w:rsid w:val="00E85218"/>
    <w:rsid w:val="00E864DE"/>
    <w:rsid w:val="00E90CDB"/>
    <w:rsid w:val="00E9168C"/>
    <w:rsid w:val="00E92E37"/>
    <w:rsid w:val="00E93388"/>
    <w:rsid w:val="00E93BEE"/>
    <w:rsid w:val="00E95C9E"/>
    <w:rsid w:val="00E9782F"/>
    <w:rsid w:val="00EA0BE1"/>
    <w:rsid w:val="00EA160D"/>
    <w:rsid w:val="00EA26E8"/>
    <w:rsid w:val="00EA35E5"/>
    <w:rsid w:val="00EA40FB"/>
    <w:rsid w:val="00EA4B5B"/>
    <w:rsid w:val="00EB13B8"/>
    <w:rsid w:val="00EB19C5"/>
    <w:rsid w:val="00EB326C"/>
    <w:rsid w:val="00EB72A9"/>
    <w:rsid w:val="00EC263F"/>
    <w:rsid w:val="00EC4E4A"/>
    <w:rsid w:val="00EC7A4D"/>
    <w:rsid w:val="00ED1089"/>
    <w:rsid w:val="00ED15EA"/>
    <w:rsid w:val="00ED2260"/>
    <w:rsid w:val="00ED3CF3"/>
    <w:rsid w:val="00ED437D"/>
    <w:rsid w:val="00ED6186"/>
    <w:rsid w:val="00ED723A"/>
    <w:rsid w:val="00EE055D"/>
    <w:rsid w:val="00EE2D2F"/>
    <w:rsid w:val="00EE30F7"/>
    <w:rsid w:val="00EE48B0"/>
    <w:rsid w:val="00EE5F44"/>
    <w:rsid w:val="00EE62DA"/>
    <w:rsid w:val="00EF044E"/>
    <w:rsid w:val="00EF0E0E"/>
    <w:rsid w:val="00EF58B2"/>
    <w:rsid w:val="00EF7E09"/>
    <w:rsid w:val="00F035C9"/>
    <w:rsid w:val="00F03E97"/>
    <w:rsid w:val="00F04A24"/>
    <w:rsid w:val="00F04E28"/>
    <w:rsid w:val="00F04FF4"/>
    <w:rsid w:val="00F05D0B"/>
    <w:rsid w:val="00F06B40"/>
    <w:rsid w:val="00F06C1A"/>
    <w:rsid w:val="00F11879"/>
    <w:rsid w:val="00F1454A"/>
    <w:rsid w:val="00F14C2B"/>
    <w:rsid w:val="00F174CE"/>
    <w:rsid w:val="00F21426"/>
    <w:rsid w:val="00F23C10"/>
    <w:rsid w:val="00F24186"/>
    <w:rsid w:val="00F24923"/>
    <w:rsid w:val="00F25232"/>
    <w:rsid w:val="00F276C1"/>
    <w:rsid w:val="00F30825"/>
    <w:rsid w:val="00F31647"/>
    <w:rsid w:val="00F339E1"/>
    <w:rsid w:val="00F347C3"/>
    <w:rsid w:val="00F36BE9"/>
    <w:rsid w:val="00F41174"/>
    <w:rsid w:val="00F42201"/>
    <w:rsid w:val="00F425F0"/>
    <w:rsid w:val="00F449FB"/>
    <w:rsid w:val="00F45945"/>
    <w:rsid w:val="00F46BEF"/>
    <w:rsid w:val="00F501AA"/>
    <w:rsid w:val="00F51966"/>
    <w:rsid w:val="00F545D8"/>
    <w:rsid w:val="00F54EC1"/>
    <w:rsid w:val="00F57FA4"/>
    <w:rsid w:val="00F72D7D"/>
    <w:rsid w:val="00F74535"/>
    <w:rsid w:val="00F75107"/>
    <w:rsid w:val="00F75283"/>
    <w:rsid w:val="00F753B3"/>
    <w:rsid w:val="00F802CC"/>
    <w:rsid w:val="00F807EC"/>
    <w:rsid w:val="00F81245"/>
    <w:rsid w:val="00F815E1"/>
    <w:rsid w:val="00F83163"/>
    <w:rsid w:val="00F857E6"/>
    <w:rsid w:val="00F8773C"/>
    <w:rsid w:val="00F87AD2"/>
    <w:rsid w:val="00F90C56"/>
    <w:rsid w:val="00F9374D"/>
    <w:rsid w:val="00F943F1"/>
    <w:rsid w:val="00F94B66"/>
    <w:rsid w:val="00F96A2B"/>
    <w:rsid w:val="00F96AE7"/>
    <w:rsid w:val="00FA02D6"/>
    <w:rsid w:val="00FA4D6A"/>
    <w:rsid w:val="00FA4EA4"/>
    <w:rsid w:val="00FA65FA"/>
    <w:rsid w:val="00FB0A83"/>
    <w:rsid w:val="00FB13D8"/>
    <w:rsid w:val="00FB15F8"/>
    <w:rsid w:val="00FB1A06"/>
    <w:rsid w:val="00FB25FF"/>
    <w:rsid w:val="00FC1002"/>
    <w:rsid w:val="00FC2155"/>
    <w:rsid w:val="00FC38CA"/>
    <w:rsid w:val="00FC5ABF"/>
    <w:rsid w:val="00FC6D40"/>
    <w:rsid w:val="00FD16FA"/>
    <w:rsid w:val="00FD231B"/>
    <w:rsid w:val="00FD2F53"/>
    <w:rsid w:val="00FD7BE5"/>
    <w:rsid w:val="00FE011C"/>
    <w:rsid w:val="00FE033A"/>
    <w:rsid w:val="00FE138D"/>
    <w:rsid w:val="00FE28D7"/>
    <w:rsid w:val="00FE6495"/>
    <w:rsid w:val="00FE74C6"/>
    <w:rsid w:val="00FF015E"/>
    <w:rsid w:val="00FF35BD"/>
    <w:rsid w:val="00FF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4"/>
    <w:pPr>
      <w:spacing w:after="0" w:line="240" w:lineRule="auto"/>
      <w:jc w:val="both"/>
    </w:pPr>
    <w:rPr>
      <w:rFonts w:ascii="Verdana" w:eastAsia="MS Mincho" w:hAnsi="Verdana" w:cs="Times New Roman"/>
      <w:sz w:val="20"/>
      <w:szCs w:val="24"/>
      <w:lang w:val="es-ES"/>
    </w:rPr>
  </w:style>
  <w:style w:type="paragraph" w:styleId="Heading1">
    <w:name w:val="heading 1"/>
    <w:basedOn w:val="Normal"/>
    <w:next w:val="Normal"/>
    <w:link w:val="Heading1Char"/>
    <w:uiPriority w:val="9"/>
    <w:qFormat/>
    <w:rsid w:val="007468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104"/>
    <w:pPr>
      <w:keepNext/>
      <w:tabs>
        <w:tab w:val="left" w:pos="720"/>
      </w:tabs>
      <w:jc w:val="center"/>
      <w:outlineLvl w:val="1"/>
    </w:pPr>
    <w:rPr>
      <w:b/>
      <w:szCs w:val="20"/>
    </w:rPr>
  </w:style>
  <w:style w:type="paragraph" w:styleId="Heading3">
    <w:name w:val="heading 3"/>
    <w:basedOn w:val="Normal"/>
    <w:next w:val="Normal"/>
    <w:link w:val="Heading3Char"/>
    <w:uiPriority w:val="9"/>
    <w:unhideWhenUsed/>
    <w:qFormat/>
    <w:rsid w:val="000575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B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E7BBE"/>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104"/>
    <w:rPr>
      <w:rFonts w:ascii="Verdana" w:eastAsia="MS Mincho" w:hAnsi="Verdana" w:cs="Times New Roman"/>
      <w:b/>
      <w:sz w:val="20"/>
      <w:szCs w:val="20"/>
      <w:lang w:val="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CE4104"/>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
    <w:basedOn w:val="Normal"/>
    <w:link w:val="FootnoteTextChar1"/>
    <w:qFormat/>
    <w:rsid w:val="00CE4104"/>
    <w:pPr>
      <w:widowControl w:val="0"/>
    </w:pPr>
    <w:rPr>
      <w:sz w:val="16"/>
      <w:szCs w:val="16"/>
    </w:rPr>
  </w:style>
  <w:style w:type="character" w:customStyle="1" w:styleId="FootnoteTextChar">
    <w:name w:val="Footnote Text Char"/>
    <w:basedOn w:val="DefaultParagraphFont"/>
    <w:uiPriority w:val="99"/>
    <w:semiHidden/>
    <w:rsid w:val="00CE4104"/>
    <w:rPr>
      <w:rFonts w:ascii="Verdana" w:eastAsia="MS Mincho" w:hAnsi="Verdana" w:cs="Times New Roman"/>
      <w:sz w:val="20"/>
      <w:szCs w:val="20"/>
      <w:lang w:val="pt-BR"/>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CE4104"/>
    <w:rPr>
      <w:rFonts w:ascii="Verdana" w:eastAsia="MS Mincho" w:hAnsi="Verdana" w:cs="Times New Roman"/>
      <w:sz w:val="16"/>
      <w:szCs w:val="16"/>
      <w:lang w:val="es-ES"/>
    </w:rPr>
  </w:style>
  <w:style w:type="paragraph" w:styleId="ListParagraph">
    <w:name w:val="List Paragraph"/>
    <w:basedOn w:val="Normal"/>
    <w:uiPriority w:val="34"/>
    <w:qFormat/>
    <w:rsid w:val="00CE4104"/>
    <w:pPr>
      <w:ind w:left="720"/>
      <w:contextualSpacing/>
    </w:pPr>
  </w:style>
  <w:style w:type="paragraph" w:styleId="Header">
    <w:name w:val="header"/>
    <w:basedOn w:val="Normal"/>
    <w:link w:val="HeaderChar"/>
    <w:uiPriority w:val="99"/>
    <w:unhideWhenUsed/>
    <w:rsid w:val="009447D3"/>
    <w:pPr>
      <w:tabs>
        <w:tab w:val="center" w:pos="4680"/>
        <w:tab w:val="right" w:pos="9360"/>
      </w:tabs>
    </w:pPr>
  </w:style>
  <w:style w:type="character" w:customStyle="1" w:styleId="HeaderChar">
    <w:name w:val="Header Char"/>
    <w:basedOn w:val="DefaultParagraphFont"/>
    <w:link w:val="Header"/>
    <w:uiPriority w:val="99"/>
    <w:rsid w:val="009447D3"/>
    <w:rPr>
      <w:rFonts w:ascii="Verdana" w:eastAsia="MS Mincho" w:hAnsi="Verdana" w:cs="Times New Roman"/>
      <w:sz w:val="20"/>
      <w:szCs w:val="24"/>
      <w:lang w:val="pt-BR"/>
    </w:rPr>
  </w:style>
  <w:style w:type="paragraph" w:customStyle="1" w:styleId="Default">
    <w:name w:val="Default"/>
    <w:rsid w:val="00F04E28"/>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584C54"/>
    <w:rPr>
      <w:sz w:val="16"/>
      <w:szCs w:val="16"/>
    </w:rPr>
  </w:style>
  <w:style w:type="paragraph" w:styleId="CommentText">
    <w:name w:val="annotation text"/>
    <w:basedOn w:val="Normal"/>
    <w:link w:val="CommentTextChar"/>
    <w:uiPriority w:val="99"/>
    <w:unhideWhenUsed/>
    <w:rsid w:val="00584C54"/>
    <w:rPr>
      <w:szCs w:val="20"/>
    </w:rPr>
  </w:style>
  <w:style w:type="character" w:customStyle="1" w:styleId="CommentTextChar">
    <w:name w:val="Comment Text Char"/>
    <w:basedOn w:val="DefaultParagraphFont"/>
    <w:link w:val="CommentText"/>
    <w:uiPriority w:val="99"/>
    <w:rsid w:val="00584C54"/>
    <w:rPr>
      <w:rFonts w:ascii="Verdana" w:eastAsia="MS Mincho" w:hAnsi="Verdana"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84C54"/>
    <w:rPr>
      <w:b/>
      <w:bCs/>
    </w:rPr>
  </w:style>
  <w:style w:type="character" w:customStyle="1" w:styleId="CommentSubjectChar">
    <w:name w:val="Comment Subject Char"/>
    <w:basedOn w:val="CommentTextChar"/>
    <w:link w:val="CommentSubject"/>
    <w:uiPriority w:val="99"/>
    <w:semiHidden/>
    <w:rsid w:val="00584C54"/>
    <w:rPr>
      <w:rFonts w:ascii="Verdana" w:eastAsia="MS Mincho" w:hAnsi="Verdana" w:cs="Times New Roman"/>
      <w:b/>
      <w:bCs/>
      <w:sz w:val="20"/>
      <w:szCs w:val="20"/>
      <w:lang w:val="pt-BR"/>
    </w:rPr>
  </w:style>
  <w:style w:type="paragraph" w:styleId="BalloonText">
    <w:name w:val="Balloon Text"/>
    <w:basedOn w:val="Normal"/>
    <w:link w:val="BalloonTextChar"/>
    <w:uiPriority w:val="99"/>
    <w:semiHidden/>
    <w:unhideWhenUsed/>
    <w:rsid w:val="00584C54"/>
    <w:rPr>
      <w:rFonts w:ascii="Tahoma" w:hAnsi="Tahoma" w:cs="Tahoma"/>
      <w:sz w:val="16"/>
      <w:szCs w:val="16"/>
    </w:rPr>
  </w:style>
  <w:style w:type="character" w:customStyle="1" w:styleId="BalloonTextChar">
    <w:name w:val="Balloon Text Char"/>
    <w:basedOn w:val="DefaultParagraphFont"/>
    <w:link w:val="BalloonText"/>
    <w:uiPriority w:val="99"/>
    <w:semiHidden/>
    <w:rsid w:val="00584C54"/>
    <w:rPr>
      <w:rFonts w:ascii="Tahoma" w:eastAsia="MS Mincho" w:hAnsi="Tahoma" w:cs="Tahoma"/>
      <w:sz w:val="16"/>
      <w:szCs w:val="16"/>
      <w:lang w:val="pt-BR"/>
    </w:rPr>
  </w:style>
  <w:style w:type="paragraph" w:styleId="BodyText">
    <w:name w:val="Body Text"/>
    <w:basedOn w:val="Normal"/>
    <w:link w:val="BodyTextChar"/>
    <w:rsid w:val="00F75107"/>
    <w:pPr>
      <w:spacing w:after="120"/>
    </w:pPr>
  </w:style>
  <w:style w:type="character" w:customStyle="1" w:styleId="BodyTextChar">
    <w:name w:val="Body Text Char"/>
    <w:basedOn w:val="DefaultParagraphFont"/>
    <w:link w:val="BodyText"/>
    <w:rsid w:val="00F75107"/>
    <w:rPr>
      <w:rFonts w:ascii="Verdana" w:eastAsia="MS Mincho" w:hAnsi="Verdana" w:cs="Times New Roman"/>
      <w:sz w:val="20"/>
      <w:szCs w:val="24"/>
      <w:lang w:val="pt-BR"/>
    </w:rPr>
  </w:style>
  <w:style w:type="character" w:customStyle="1" w:styleId="Heading1Char">
    <w:name w:val="Heading 1 Char"/>
    <w:basedOn w:val="DefaultParagraphFont"/>
    <w:link w:val="Heading1"/>
    <w:uiPriority w:val="9"/>
    <w:rsid w:val="00746870"/>
    <w:rPr>
      <w:rFonts w:asciiTheme="majorHAnsi" w:eastAsiaTheme="majorEastAsia" w:hAnsiTheme="majorHAnsi" w:cstheme="majorBidi"/>
      <w:b/>
      <w:bCs/>
      <w:color w:val="365F91" w:themeColor="accent1" w:themeShade="BF"/>
      <w:sz w:val="28"/>
      <w:szCs w:val="28"/>
      <w:lang w:val="pt-BR"/>
    </w:rPr>
  </w:style>
  <w:style w:type="paragraph" w:styleId="Footer">
    <w:name w:val="footer"/>
    <w:basedOn w:val="Normal"/>
    <w:link w:val="FooterChar"/>
    <w:uiPriority w:val="99"/>
    <w:unhideWhenUsed/>
    <w:rsid w:val="00B01705"/>
    <w:pPr>
      <w:tabs>
        <w:tab w:val="center" w:pos="4680"/>
        <w:tab w:val="right" w:pos="9360"/>
      </w:tabs>
    </w:pPr>
  </w:style>
  <w:style w:type="character" w:customStyle="1" w:styleId="FooterChar">
    <w:name w:val="Footer Char"/>
    <w:basedOn w:val="DefaultParagraphFont"/>
    <w:link w:val="Footer"/>
    <w:uiPriority w:val="99"/>
    <w:rsid w:val="00B01705"/>
    <w:rPr>
      <w:rFonts w:ascii="Verdana" w:eastAsia="MS Mincho" w:hAnsi="Verdana" w:cs="Times New Roman"/>
      <w:sz w:val="20"/>
      <w:szCs w:val="24"/>
      <w:lang w:val="pt-BR"/>
    </w:rPr>
  </w:style>
  <w:style w:type="paragraph" w:styleId="BodyTextIndent">
    <w:name w:val="Body Text Indent"/>
    <w:basedOn w:val="Normal"/>
    <w:link w:val="BodyTextIndentChar"/>
    <w:uiPriority w:val="99"/>
    <w:semiHidden/>
    <w:unhideWhenUsed/>
    <w:rsid w:val="009D4440"/>
    <w:pPr>
      <w:spacing w:after="120"/>
      <w:ind w:left="360"/>
    </w:pPr>
  </w:style>
  <w:style w:type="character" w:customStyle="1" w:styleId="BodyTextIndentChar">
    <w:name w:val="Body Text Indent Char"/>
    <w:basedOn w:val="DefaultParagraphFont"/>
    <w:link w:val="BodyTextIndent"/>
    <w:uiPriority w:val="99"/>
    <w:semiHidden/>
    <w:rsid w:val="009D4440"/>
    <w:rPr>
      <w:rFonts w:ascii="Verdana" w:eastAsia="MS Mincho" w:hAnsi="Verdana" w:cs="Times New Roman"/>
      <w:sz w:val="20"/>
      <w:szCs w:val="24"/>
      <w:lang w:val="pt-BR"/>
    </w:rPr>
  </w:style>
  <w:style w:type="character" w:styleId="Hyperlink">
    <w:name w:val="Hyperlink"/>
    <w:basedOn w:val="DefaultParagraphFont"/>
    <w:uiPriority w:val="99"/>
    <w:unhideWhenUsed/>
    <w:rsid w:val="00B865AC"/>
    <w:rPr>
      <w:color w:val="0000FF" w:themeColor="hyperlink"/>
      <w:u w:val="single"/>
    </w:rPr>
  </w:style>
  <w:style w:type="paragraph" w:styleId="Revision">
    <w:name w:val="Revision"/>
    <w:hidden/>
    <w:uiPriority w:val="99"/>
    <w:semiHidden/>
    <w:rsid w:val="00017897"/>
    <w:pPr>
      <w:spacing w:after="0" w:line="240" w:lineRule="auto"/>
    </w:pPr>
    <w:rPr>
      <w:rFonts w:ascii="Verdana" w:eastAsia="MS Mincho" w:hAnsi="Verdana" w:cs="Times New Roman"/>
      <w:sz w:val="20"/>
      <w:szCs w:val="24"/>
      <w:lang w:val="pt-BR"/>
    </w:rPr>
  </w:style>
  <w:style w:type="character" w:customStyle="1" w:styleId="UnresolvedMention">
    <w:name w:val="Unresolved Mention"/>
    <w:basedOn w:val="DefaultParagraphFont"/>
    <w:uiPriority w:val="99"/>
    <w:semiHidden/>
    <w:unhideWhenUsed/>
    <w:rsid w:val="00EA40FB"/>
    <w:rPr>
      <w:color w:val="808080"/>
      <w:shd w:val="clear" w:color="auto" w:fill="E6E6E6"/>
    </w:rPr>
  </w:style>
  <w:style w:type="paragraph" w:styleId="EndnoteText">
    <w:name w:val="endnote text"/>
    <w:basedOn w:val="Normal"/>
    <w:link w:val="EndnoteTextChar"/>
    <w:uiPriority w:val="99"/>
    <w:semiHidden/>
    <w:unhideWhenUsed/>
    <w:rsid w:val="00D04EF8"/>
    <w:rPr>
      <w:szCs w:val="20"/>
    </w:rPr>
  </w:style>
  <w:style w:type="character" w:customStyle="1" w:styleId="EndnoteTextChar">
    <w:name w:val="Endnote Text Char"/>
    <w:basedOn w:val="DefaultParagraphFont"/>
    <w:link w:val="EndnoteText"/>
    <w:uiPriority w:val="99"/>
    <w:semiHidden/>
    <w:rsid w:val="00D04EF8"/>
    <w:rPr>
      <w:rFonts w:ascii="Verdana" w:eastAsia="MS Mincho" w:hAnsi="Verdana" w:cs="Times New Roman"/>
      <w:sz w:val="20"/>
      <w:szCs w:val="20"/>
      <w:lang w:val="pt-BR"/>
    </w:rPr>
  </w:style>
  <w:style w:type="character" w:styleId="EndnoteReference">
    <w:name w:val="endnote reference"/>
    <w:basedOn w:val="DefaultParagraphFont"/>
    <w:uiPriority w:val="99"/>
    <w:semiHidden/>
    <w:unhideWhenUsed/>
    <w:rsid w:val="00D04EF8"/>
    <w:rPr>
      <w:vertAlign w:val="superscript"/>
    </w:rPr>
  </w:style>
  <w:style w:type="paragraph" w:customStyle="1" w:styleId="parag2">
    <w:name w:val="parag2"/>
    <w:basedOn w:val="Normal"/>
    <w:rsid w:val="00D04EF8"/>
    <w:pPr>
      <w:spacing w:before="100" w:beforeAutospacing="1" w:after="100" w:afterAutospacing="1"/>
      <w:jc w:val="left"/>
    </w:pPr>
    <w:rPr>
      <w:rFonts w:ascii="Times New Roman" w:eastAsia="Times New Roman" w:hAnsi="Times New Roman"/>
      <w:sz w:val="24"/>
      <w:lang w:val="en-US"/>
    </w:rPr>
  </w:style>
  <w:style w:type="character" w:customStyle="1" w:styleId="Heading3Char">
    <w:name w:val="Heading 3 Char"/>
    <w:basedOn w:val="DefaultParagraphFont"/>
    <w:link w:val="Heading3"/>
    <w:uiPriority w:val="9"/>
    <w:rsid w:val="00057566"/>
    <w:rPr>
      <w:rFonts w:asciiTheme="majorHAnsi" w:eastAsiaTheme="majorEastAsia" w:hAnsiTheme="majorHAnsi" w:cstheme="majorBidi"/>
      <w:b/>
      <w:bCs/>
      <w:color w:val="4F81BD" w:themeColor="accent1"/>
      <w:sz w:val="20"/>
      <w:szCs w:val="24"/>
      <w:lang w:val="pt-BR"/>
    </w:rPr>
  </w:style>
  <w:style w:type="character" w:styleId="LineNumber">
    <w:name w:val="line number"/>
    <w:basedOn w:val="DefaultParagraphFont"/>
    <w:uiPriority w:val="99"/>
    <w:semiHidden/>
    <w:unhideWhenUsed/>
    <w:rsid w:val="00240F00"/>
  </w:style>
  <w:style w:type="character" w:customStyle="1" w:styleId="Heading4Char">
    <w:name w:val="Heading 4 Char"/>
    <w:basedOn w:val="DefaultParagraphFont"/>
    <w:link w:val="Heading4"/>
    <w:uiPriority w:val="9"/>
    <w:rsid w:val="009E7BBE"/>
    <w:rPr>
      <w:rFonts w:asciiTheme="majorHAnsi" w:eastAsiaTheme="majorEastAsia" w:hAnsiTheme="majorHAnsi" w:cstheme="majorBidi"/>
      <w:i/>
      <w:iCs/>
      <w:color w:val="365F91" w:themeColor="accent1" w:themeShade="BF"/>
      <w:sz w:val="20"/>
      <w:szCs w:val="24"/>
      <w:lang w:val="es-ES"/>
    </w:rPr>
  </w:style>
  <w:style w:type="character" w:customStyle="1" w:styleId="gd">
    <w:name w:val="gd"/>
    <w:basedOn w:val="DefaultParagraphFont"/>
    <w:rsid w:val="009E7BBE"/>
  </w:style>
  <w:style w:type="character" w:customStyle="1" w:styleId="g3">
    <w:name w:val="g3"/>
    <w:basedOn w:val="DefaultParagraphFont"/>
    <w:rsid w:val="009E7BBE"/>
  </w:style>
  <w:style w:type="character" w:customStyle="1" w:styleId="hb">
    <w:name w:val="hb"/>
    <w:basedOn w:val="DefaultParagraphFont"/>
    <w:rsid w:val="009E7BBE"/>
  </w:style>
  <w:style w:type="character" w:customStyle="1" w:styleId="g2">
    <w:name w:val="g2"/>
    <w:basedOn w:val="DefaultParagraphFont"/>
    <w:rsid w:val="009E7BBE"/>
  </w:style>
  <w:style w:type="paragraph" w:customStyle="1" w:styleId="m7450597850407850968gmail-msobodytext">
    <w:name w:val="m_7450597850407850968gmail-msobodytext"/>
    <w:basedOn w:val="Normal"/>
    <w:rsid w:val="009E7BBE"/>
    <w:pPr>
      <w:spacing w:before="100" w:beforeAutospacing="1" w:after="100" w:afterAutospacing="1"/>
      <w:jc w:val="left"/>
    </w:pPr>
    <w:rPr>
      <w:rFonts w:ascii="Times New Roman" w:eastAsia="Times New Roman" w:hAnsi="Times New Roman"/>
      <w:sz w:val="24"/>
      <w:lang w:val="es-AR" w:eastAsia="es-AR"/>
    </w:rPr>
  </w:style>
  <w:style w:type="character" w:customStyle="1" w:styleId="ams">
    <w:name w:val="ams"/>
    <w:basedOn w:val="DefaultParagraphFont"/>
    <w:rsid w:val="009E7BBE"/>
  </w:style>
  <w:style w:type="paragraph" w:styleId="NormalWeb">
    <w:name w:val="Normal (Web)"/>
    <w:basedOn w:val="Normal"/>
    <w:uiPriority w:val="99"/>
    <w:semiHidden/>
    <w:unhideWhenUsed/>
    <w:rsid w:val="009E7BBE"/>
    <w:pPr>
      <w:spacing w:before="100" w:beforeAutospacing="1" w:after="100" w:afterAutospacing="1"/>
      <w:jc w:val="left"/>
    </w:pPr>
    <w:rPr>
      <w:rFonts w:ascii="Times New Roman" w:eastAsia="Times New Roman" w:hAnsi="Times New Roman"/>
      <w:sz w:val="24"/>
      <w:lang w:val="es-AR" w:eastAsia="es-AR"/>
    </w:rPr>
  </w:style>
  <w:style w:type="character" w:customStyle="1" w:styleId="Heading5Char">
    <w:name w:val="Heading 5 Char"/>
    <w:basedOn w:val="DefaultParagraphFont"/>
    <w:link w:val="Heading5"/>
    <w:uiPriority w:val="9"/>
    <w:rsid w:val="009E7BBE"/>
    <w:rPr>
      <w:rFonts w:ascii="Verdana" w:eastAsia="MS Mincho" w:hAnsi="Verdana" w:cs="Times New Roman"/>
      <w:b/>
      <w:sz w:val="20"/>
      <w:szCs w:val="24"/>
      <w:lang w:val="es-ES"/>
    </w:rPr>
  </w:style>
  <w:style w:type="paragraph" w:styleId="BodyText2">
    <w:name w:val="Body Text 2"/>
    <w:basedOn w:val="Normal"/>
    <w:link w:val="BodyText2Char"/>
    <w:uiPriority w:val="99"/>
    <w:unhideWhenUsed/>
    <w:rsid w:val="007F09F3"/>
    <w:pPr>
      <w:ind w:right="48"/>
    </w:pPr>
    <w:rPr>
      <w:szCs w:val="20"/>
    </w:rPr>
  </w:style>
  <w:style w:type="character" w:customStyle="1" w:styleId="BodyText2Char">
    <w:name w:val="Body Text 2 Char"/>
    <w:basedOn w:val="DefaultParagraphFont"/>
    <w:link w:val="BodyText2"/>
    <w:uiPriority w:val="99"/>
    <w:rsid w:val="007F09F3"/>
    <w:rPr>
      <w:rFonts w:ascii="Verdana" w:eastAsia="MS Mincho" w:hAnsi="Verdana" w:cs="Times New Roman"/>
      <w:sz w:val="20"/>
      <w:szCs w:val="20"/>
    </w:rPr>
  </w:style>
  <w:style w:type="character" w:styleId="FollowedHyperlink">
    <w:name w:val="FollowedHyperlink"/>
    <w:basedOn w:val="DefaultParagraphFont"/>
    <w:uiPriority w:val="99"/>
    <w:semiHidden/>
    <w:unhideWhenUsed/>
    <w:rsid w:val="009D63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4"/>
    <w:pPr>
      <w:spacing w:after="0" w:line="240" w:lineRule="auto"/>
      <w:jc w:val="both"/>
    </w:pPr>
    <w:rPr>
      <w:rFonts w:ascii="Verdana" w:eastAsia="MS Mincho" w:hAnsi="Verdana" w:cs="Times New Roman"/>
      <w:sz w:val="20"/>
      <w:szCs w:val="24"/>
      <w:lang w:val="es-ES"/>
    </w:rPr>
  </w:style>
  <w:style w:type="paragraph" w:styleId="Heading1">
    <w:name w:val="heading 1"/>
    <w:basedOn w:val="Normal"/>
    <w:next w:val="Normal"/>
    <w:link w:val="Heading1Char"/>
    <w:uiPriority w:val="9"/>
    <w:qFormat/>
    <w:rsid w:val="007468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104"/>
    <w:pPr>
      <w:keepNext/>
      <w:tabs>
        <w:tab w:val="left" w:pos="720"/>
      </w:tabs>
      <w:jc w:val="center"/>
      <w:outlineLvl w:val="1"/>
    </w:pPr>
    <w:rPr>
      <w:b/>
      <w:szCs w:val="20"/>
    </w:rPr>
  </w:style>
  <w:style w:type="paragraph" w:styleId="Heading3">
    <w:name w:val="heading 3"/>
    <w:basedOn w:val="Normal"/>
    <w:next w:val="Normal"/>
    <w:link w:val="Heading3Char"/>
    <w:uiPriority w:val="9"/>
    <w:unhideWhenUsed/>
    <w:qFormat/>
    <w:rsid w:val="000575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B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E7BBE"/>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104"/>
    <w:rPr>
      <w:rFonts w:ascii="Verdana" w:eastAsia="MS Mincho" w:hAnsi="Verdana" w:cs="Times New Roman"/>
      <w:b/>
      <w:sz w:val="20"/>
      <w:szCs w:val="20"/>
      <w:lang w:val="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CE4104"/>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
    <w:basedOn w:val="Normal"/>
    <w:link w:val="FootnoteTextChar1"/>
    <w:qFormat/>
    <w:rsid w:val="00CE4104"/>
    <w:pPr>
      <w:widowControl w:val="0"/>
    </w:pPr>
    <w:rPr>
      <w:sz w:val="16"/>
      <w:szCs w:val="16"/>
    </w:rPr>
  </w:style>
  <w:style w:type="character" w:customStyle="1" w:styleId="FootnoteTextChar">
    <w:name w:val="Footnote Text Char"/>
    <w:basedOn w:val="DefaultParagraphFont"/>
    <w:uiPriority w:val="99"/>
    <w:semiHidden/>
    <w:rsid w:val="00CE4104"/>
    <w:rPr>
      <w:rFonts w:ascii="Verdana" w:eastAsia="MS Mincho" w:hAnsi="Verdana" w:cs="Times New Roman"/>
      <w:sz w:val="20"/>
      <w:szCs w:val="20"/>
      <w:lang w:val="pt-BR"/>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CE4104"/>
    <w:rPr>
      <w:rFonts w:ascii="Verdana" w:eastAsia="MS Mincho" w:hAnsi="Verdana" w:cs="Times New Roman"/>
      <w:sz w:val="16"/>
      <w:szCs w:val="16"/>
      <w:lang w:val="es-ES"/>
    </w:rPr>
  </w:style>
  <w:style w:type="paragraph" w:styleId="ListParagraph">
    <w:name w:val="List Paragraph"/>
    <w:basedOn w:val="Normal"/>
    <w:uiPriority w:val="34"/>
    <w:qFormat/>
    <w:rsid w:val="00CE4104"/>
    <w:pPr>
      <w:ind w:left="720"/>
      <w:contextualSpacing/>
    </w:pPr>
  </w:style>
  <w:style w:type="paragraph" w:styleId="Header">
    <w:name w:val="header"/>
    <w:basedOn w:val="Normal"/>
    <w:link w:val="HeaderChar"/>
    <w:uiPriority w:val="99"/>
    <w:unhideWhenUsed/>
    <w:rsid w:val="009447D3"/>
    <w:pPr>
      <w:tabs>
        <w:tab w:val="center" w:pos="4680"/>
        <w:tab w:val="right" w:pos="9360"/>
      </w:tabs>
    </w:pPr>
  </w:style>
  <w:style w:type="character" w:customStyle="1" w:styleId="HeaderChar">
    <w:name w:val="Header Char"/>
    <w:basedOn w:val="DefaultParagraphFont"/>
    <w:link w:val="Header"/>
    <w:uiPriority w:val="99"/>
    <w:rsid w:val="009447D3"/>
    <w:rPr>
      <w:rFonts w:ascii="Verdana" w:eastAsia="MS Mincho" w:hAnsi="Verdana" w:cs="Times New Roman"/>
      <w:sz w:val="20"/>
      <w:szCs w:val="24"/>
      <w:lang w:val="pt-BR"/>
    </w:rPr>
  </w:style>
  <w:style w:type="paragraph" w:customStyle="1" w:styleId="Default">
    <w:name w:val="Default"/>
    <w:rsid w:val="00F04E28"/>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584C54"/>
    <w:rPr>
      <w:sz w:val="16"/>
      <w:szCs w:val="16"/>
    </w:rPr>
  </w:style>
  <w:style w:type="paragraph" w:styleId="CommentText">
    <w:name w:val="annotation text"/>
    <w:basedOn w:val="Normal"/>
    <w:link w:val="CommentTextChar"/>
    <w:uiPriority w:val="99"/>
    <w:unhideWhenUsed/>
    <w:rsid w:val="00584C54"/>
    <w:rPr>
      <w:szCs w:val="20"/>
    </w:rPr>
  </w:style>
  <w:style w:type="character" w:customStyle="1" w:styleId="CommentTextChar">
    <w:name w:val="Comment Text Char"/>
    <w:basedOn w:val="DefaultParagraphFont"/>
    <w:link w:val="CommentText"/>
    <w:uiPriority w:val="99"/>
    <w:rsid w:val="00584C54"/>
    <w:rPr>
      <w:rFonts w:ascii="Verdana" w:eastAsia="MS Mincho" w:hAnsi="Verdana"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84C54"/>
    <w:rPr>
      <w:b/>
      <w:bCs/>
    </w:rPr>
  </w:style>
  <w:style w:type="character" w:customStyle="1" w:styleId="CommentSubjectChar">
    <w:name w:val="Comment Subject Char"/>
    <w:basedOn w:val="CommentTextChar"/>
    <w:link w:val="CommentSubject"/>
    <w:uiPriority w:val="99"/>
    <w:semiHidden/>
    <w:rsid w:val="00584C54"/>
    <w:rPr>
      <w:rFonts w:ascii="Verdana" w:eastAsia="MS Mincho" w:hAnsi="Verdana" w:cs="Times New Roman"/>
      <w:b/>
      <w:bCs/>
      <w:sz w:val="20"/>
      <w:szCs w:val="20"/>
      <w:lang w:val="pt-BR"/>
    </w:rPr>
  </w:style>
  <w:style w:type="paragraph" w:styleId="BalloonText">
    <w:name w:val="Balloon Text"/>
    <w:basedOn w:val="Normal"/>
    <w:link w:val="BalloonTextChar"/>
    <w:uiPriority w:val="99"/>
    <w:semiHidden/>
    <w:unhideWhenUsed/>
    <w:rsid w:val="00584C54"/>
    <w:rPr>
      <w:rFonts w:ascii="Tahoma" w:hAnsi="Tahoma" w:cs="Tahoma"/>
      <w:sz w:val="16"/>
      <w:szCs w:val="16"/>
    </w:rPr>
  </w:style>
  <w:style w:type="character" w:customStyle="1" w:styleId="BalloonTextChar">
    <w:name w:val="Balloon Text Char"/>
    <w:basedOn w:val="DefaultParagraphFont"/>
    <w:link w:val="BalloonText"/>
    <w:uiPriority w:val="99"/>
    <w:semiHidden/>
    <w:rsid w:val="00584C54"/>
    <w:rPr>
      <w:rFonts w:ascii="Tahoma" w:eastAsia="MS Mincho" w:hAnsi="Tahoma" w:cs="Tahoma"/>
      <w:sz w:val="16"/>
      <w:szCs w:val="16"/>
      <w:lang w:val="pt-BR"/>
    </w:rPr>
  </w:style>
  <w:style w:type="paragraph" w:styleId="BodyText">
    <w:name w:val="Body Text"/>
    <w:basedOn w:val="Normal"/>
    <w:link w:val="BodyTextChar"/>
    <w:rsid w:val="00F75107"/>
    <w:pPr>
      <w:spacing w:after="120"/>
    </w:pPr>
  </w:style>
  <w:style w:type="character" w:customStyle="1" w:styleId="BodyTextChar">
    <w:name w:val="Body Text Char"/>
    <w:basedOn w:val="DefaultParagraphFont"/>
    <w:link w:val="BodyText"/>
    <w:rsid w:val="00F75107"/>
    <w:rPr>
      <w:rFonts w:ascii="Verdana" w:eastAsia="MS Mincho" w:hAnsi="Verdana" w:cs="Times New Roman"/>
      <w:sz w:val="20"/>
      <w:szCs w:val="24"/>
      <w:lang w:val="pt-BR"/>
    </w:rPr>
  </w:style>
  <w:style w:type="character" w:customStyle="1" w:styleId="Heading1Char">
    <w:name w:val="Heading 1 Char"/>
    <w:basedOn w:val="DefaultParagraphFont"/>
    <w:link w:val="Heading1"/>
    <w:uiPriority w:val="9"/>
    <w:rsid w:val="00746870"/>
    <w:rPr>
      <w:rFonts w:asciiTheme="majorHAnsi" w:eastAsiaTheme="majorEastAsia" w:hAnsiTheme="majorHAnsi" w:cstheme="majorBidi"/>
      <w:b/>
      <w:bCs/>
      <w:color w:val="365F91" w:themeColor="accent1" w:themeShade="BF"/>
      <w:sz w:val="28"/>
      <w:szCs w:val="28"/>
      <w:lang w:val="pt-BR"/>
    </w:rPr>
  </w:style>
  <w:style w:type="paragraph" w:styleId="Footer">
    <w:name w:val="footer"/>
    <w:basedOn w:val="Normal"/>
    <w:link w:val="FooterChar"/>
    <w:uiPriority w:val="99"/>
    <w:unhideWhenUsed/>
    <w:rsid w:val="00B01705"/>
    <w:pPr>
      <w:tabs>
        <w:tab w:val="center" w:pos="4680"/>
        <w:tab w:val="right" w:pos="9360"/>
      </w:tabs>
    </w:pPr>
  </w:style>
  <w:style w:type="character" w:customStyle="1" w:styleId="FooterChar">
    <w:name w:val="Footer Char"/>
    <w:basedOn w:val="DefaultParagraphFont"/>
    <w:link w:val="Footer"/>
    <w:uiPriority w:val="99"/>
    <w:rsid w:val="00B01705"/>
    <w:rPr>
      <w:rFonts w:ascii="Verdana" w:eastAsia="MS Mincho" w:hAnsi="Verdana" w:cs="Times New Roman"/>
      <w:sz w:val="20"/>
      <w:szCs w:val="24"/>
      <w:lang w:val="pt-BR"/>
    </w:rPr>
  </w:style>
  <w:style w:type="paragraph" w:styleId="BodyTextIndent">
    <w:name w:val="Body Text Indent"/>
    <w:basedOn w:val="Normal"/>
    <w:link w:val="BodyTextIndentChar"/>
    <w:uiPriority w:val="99"/>
    <w:semiHidden/>
    <w:unhideWhenUsed/>
    <w:rsid w:val="009D4440"/>
    <w:pPr>
      <w:spacing w:after="120"/>
      <w:ind w:left="360"/>
    </w:pPr>
  </w:style>
  <w:style w:type="character" w:customStyle="1" w:styleId="BodyTextIndentChar">
    <w:name w:val="Body Text Indent Char"/>
    <w:basedOn w:val="DefaultParagraphFont"/>
    <w:link w:val="BodyTextIndent"/>
    <w:uiPriority w:val="99"/>
    <w:semiHidden/>
    <w:rsid w:val="009D4440"/>
    <w:rPr>
      <w:rFonts w:ascii="Verdana" w:eastAsia="MS Mincho" w:hAnsi="Verdana" w:cs="Times New Roman"/>
      <w:sz w:val="20"/>
      <w:szCs w:val="24"/>
      <w:lang w:val="pt-BR"/>
    </w:rPr>
  </w:style>
  <w:style w:type="character" w:styleId="Hyperlink">
    <w:name w:val="Hyperlink"/>
    <w:basedOn w:val="DefaultParagraphFont"/>
    <w:uiPriority w:val="99"/>
    <w:unhideWhenUsed/>
    <w:rsid w:val="00B865AC"/>
    <w:rPr>
      <w:color w:val="0000FF" w:themeColor="hyperlink"/>
      <w:u w:val="single"/>
    </w:rPr>
  </w:style>
  <w:style w:type="paragraph" w:styleId="Revision">
    <w:name w:val="Revision"/>
    <w:hidden/>
    <w:uiPriority w:val="99"/>
    <w:semiHidden/>
    <w:rsid w:val="00017897"/>
    <w:pPr>
      <w:spacing w:after="0" w:line="240" w:lineRule="auto"/>
    </w:pPr>
    <w:rPr>
      <w:rFonts w:ascii="Verdana" w:eastAsia="MS Mincho" w:hAnsi="Verdana" w:cs="Times New Roman"/>
      <w:sz w:val="20"/>
      <w:szCs w:val="24"/>
      <w:lang w:val="pt-BR"/>
    </w:rPr>
  </w:style>
  <w:style w:type="character" w:customStyle="1" w:styleId="UnresolvedMention">
    <w:name w:val="Unresolved Mention"/>
    <w:basedOn w:val="DefaultParagraphFont"/>
    <w:uiPriority w:val="99"/>
    <w:semiHidden/>
    <w:unhideWhenUsed/>
    <w:rsid w:val="00EA40FB"/>
    <w:rPr>
      <w:color w:val="808080"/>
      <w:shd w:val="clear" w:color="auto" w:fill="E6E6E6"/>
    </w:rPr>
  </w:style>
  <w:style w:type="paragraph" w:styleId="EndnoteText">
    <w:name w:val="endnote text"/>
    <w:basedOn w:val="Normal"/>
    <w:link w:val="EndnoteTextChar"/>
    <w:uiPriority w:val="99"/>
    <w:semiHidden/>
    <w:unhideWhenUsed/>
    <w:rsid w:val="00D04EF8"/>
    <w:rPr>
      <w:szCs w:val="20"/>
    </w:rPr>
  </w:style>
  <w:style w:type="character" w:customStyle="1" w:styleId="EndnoteTextChar">
    <w:name w:val="Endnote Text Char"/>
    <w:basedOn w:val="DefaultParagraphFont"/>
    <w:link w:val="EndnoteText"/>
    <w:uiPriority w:val="99"/>
    <w:semiHidden/>
    <w:rsid w:val="00D04EF8"/>
    <w:rPr>
      <w:rFonts w:ascii="Verdana" w:eastAsia="MS Mincho" w:hAnsi="Verdana" w:cs="Times New Roman"/>
      <w:sz w:val="20"/>
      <w:szCs w:val="20"/>
      <w:lang w:val="pt-BR"/>
    </w:rPr>
  </w:style>
  <w:style w:type="character" w:styleId="EndnoteReference">
    <w:name w:val="endnote reference"/>
    <w:basedOn w:val="DefaultParagraphFont"/>
    <w:uiPriority w:val="99"/>
    <w:semiHidden/>
    <w:unhideWhenUsed/>
    <w:rsid w:val="00D04EF8"/>
    <w:rPr>
      <w:vertAlign w:val="superscript"/>
    </w:rPr>
  </w:style>
  <w:style w:type="paragraph" w:customStyle="1" w:styleId="parag2">
    <w:name w:val="parag2"/>
    <w:basedOn w:val="Normal"/>
    <w:rsid w:val="00D04EF8"/>
    <w:pPr>
      <w:spacing w:before="100" w:beforeAutospacing="1" w:after="100" w:afterAutospacing="1"/>
      <w:jc w:val="left"/>
    </w:pPr>
    <w:rPr>
      <w:rFonts w:ascii="Times New Roman" w:eastAsia="Times New Roman" w:hAnsi="Times New Roman"/>
      <w:sz w:val="24"/>
      <w:lang w:val="en-US"/>
    </w:rPr>
  </w:style>
  <w:style w:type="character" w:customStyle="1" w:styleId="Heading3Char">
    <w:name w:val="Heading 3 Char"/>
    <w:basedOn w:val="DefaultParagraphFont"/>
    <w:link w:val="Heading3"/>
    <w:uiPriority w:val="9"/>
    <w:rsid w:val="00057566"/>
    <w:rPr>
      <w:rFonts w:asciiTheme="majorHAnsi" w:eastAsiaTheme="majorEastAsia" w:hAnsiTheme="majorHAnsi" w:cstheme="majorBidi"/>
      <w:b/>
      <w:bCs/>
      <w:color w:val="4F81BD" w:themeColor="accent1"/>
      <w:sz w:val="20"/>
      <w:szCs w:val="24"/>
      <w:lang w:val="pt-BR"/>
    </w:rPr>
  </w:style>
  <w:style w:type="character" w:styleId="LineNumber">
    <w:name w:val="line number"/>
    <w:basedOn w:val="DefaultParagraphFont"/>
    <w:uiPriority w:val="99"/>
    <w:semiHidden/>
    <w:unhideWhenUsed/>
    <w:rsid w:val="00240F00"/>
  </w:style>
  <w:style w:type="character" w:customStyle="1" w:styleId="Heading4Char">
    <w:name w:val="Heading 4 Char"/>
    <w:basedOn w:val="DefaultParagraphFont"/>
    <w:link w:val="Heading4"/>
    <w:uiPriority w:val="9"/>
    <w:rsid w:val="009E7BBE"/>
    <w:rPr>
      <w:rFonts w:asciiTheme="majorHAnsi" w:eastAsiaTheme="majorEastAsia" w:hAnsiTheme="majorHAnsi" w:cstheme="majorBidi"/>
      <w:i/>
      <w:iCs/>
      <w:color w:val="365F91" w:themeColor="accent1" w:themeShade="BF"/>
      <w:sz w:val="20"/>
      <w:szCs w:val="24"/>
      <w:lang w:val="es-ES"/>
    </w:rPr>
  </w:style>
  <w:style w:type="character" w:customStyle="1" w:styleId="gd">
    <w:name w:val="gd"/>
    <w:basedOn w:val="DefaultParagraphFont"/>
    <w:rsid w:val="009E7BBE"/>
  </w:style>
  <w:style w:type="character" w:customStyle="1" w:styleId="g3">
    <w:name w:val="g3"/>
    <w:basedOn w:val="DefaultParagraphFont"/>
    <w:rsid w:val="009E7BBE"/>
  </w:style>
  <w:style w:type="character" w:customStyle="1" w:styleId="hb">
    <w:name w:val="hb"/>
    <w:basedOn w:val="DefaultParagraphFont"/>
    <w:rsid w:val="009E7BBE"/>
  </w:style>
  <w:style w:type="character" w:customStyle="1" w:styleId="g2">
    <w:name w:val="g2"/>
    <w:basedOn w:val="DefaultParagraphFont"/>
    <w:rsid w:val="009E7BBE"/>
  </w:style>
  <w:style w:type="paragraph" w:customStyle="1" w:styleId="m7450597850407850968gmail-msobodytext">
    <w:name w:val="m_7450597850407850968gmail-msobodytext"/>
    <w:basedOn w:val="Normal"/>
    <w:rsid w:val="009E7BBE"/>
    <w:pPr>
      <w:spacing w:before="100" w:beforeAutospacing="1" w:after="100" w:afterAutospacing="1"/>
      <w:jc w:val="left"/>
    </w:pPr>
    <w:rPr>
      <w:rFonts w:ascii="Times New Roman" w:eastAsia="Times New Roman" w:hAnsi="Times New Roman"/>
      <w:sz w:val="24"/>
      <w:lang w:val="es-AR" w:eastAsia="es-AR"/>
    </w:rPr>
  </w:style>
  <w:style w:type="character" w:customStyle="1" w:styleId="ams">
    <w:name w:val="ams"/>
    <w:basedOn w:val="DefaultParagraphFont"/>
    <w:rsid w:val="009E7BBE"/>
  </w:style>
  <w:style w:type="paragraph" w:styleId="NormalWeb">
    <w:name w:val="Normal (Web)"/>
    <w:basedOn w:val="Normal"/>
    <w:uiPriority w:val="99"/>
    <w:semiHidden/>
    <w:unhideWhenUsed/>
    <w:rsid w:val="009E7BBE"/>
    <w:pPr>
      <w:spacing w:before="100" w:beforeAutospacing="1" w:after="100" w:afterAutospacing="1"/>
      <w:jc w:val="left"/>
    </w:pPr>
    <w:rPr>
      <w:rFonts w:ascii="Times New Roman" w:eastAsia="Times New Roman" w:hAnsi="Times New Roman"/>
      <w:sz w:val="24"/>
      <w:lang w:val="es-AR" w:eastAsia="es-AR"/>
    </w:rPr>
  </w:style>
  <w:style w:type="character" w:customStyle="1" w:styleId="Heading5Char">
    <w:name w:val="Heading 5 Char"/>
    <w:basedOn w:val="DefaultParagraphFont"/>
    <w:link w:val="Heading5"/>
    <w:uiPriority w:val="9"/>
    <w:rsid w:val="009E7BBE"/>
    <w:rPr>
      <w:rFonts w:ascii="Verdana" w:eastAsia="MS Mincho" w:hAnsi="Verdana" w:cs="Times New Roman"/>
      <w:b/>
      <w:sz w:val="20"/>
      <w:szCs w:val="24"/>
      <w:lang w:val="es-ES"/>
    </w:rPr>
  </w:style>
  <w:style w:type="paragraph" w:styleId="BodyText2">
    <w:name w:val="Body Text 2"/>
    <w:basedOn w:val="Normal"/>
    <w:link w:val="BodyText2Char"/>
    <w:uiPriority w:val="99"/>
    <w:unhideWhenUsed/>
    <w:rsid w:val="007F09F3"/>
    <w:pPr>
      <w:ind w:right="48"/>
    </w:pPr>
    <w:rPr>
      <w:szCs w:val="20"/>
    </w:rPr>
  </w:style>
  <w:style w:type="character" w:customStyle="1" w:styleId="BodyText2Char">
    <w:name w:val="Body Text 2 Char"/>
    <w:basedOn w:val="DefaultParagraphFont"/>
    <w:link w:val="BodyText2"/>
    <w:uiPriority w:val="99"/>
    <w:rsid w:val="007F09F3"/>
    <w:rPr>
      <w:rFonts w:ascii="Verdana" w:eastAsia="MS Mincho" w:hAnsi="Verdana" w:cs="Times New Roman"/>
      <w:sz w:val="20"/>
      <w:szCs w:val="20"/>
    </w:rPr>
  </w:style>
  <w:style w:type="character" w:styleId="FollowedHyperlink">
    <w:name w:val="FollowedHyperlink"/>
    <w:basedOn w:val="DefaultParagraphFont"/>
    <w:uiPriority w:val="99"/>
    <w:semiHidden/>
    <w:unhideWhenUsed/>
    <w:rsid w:val="009D6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6267">
      <w:bodyDiv w:val="1"/>
      <w:marLeft w:val="0"/>
      <w:marRight w:val="0"/>
      <w:marTop w:val="0"/>
      <w:marBottom w:val="0"/>
      <w:divBdr>
        <w:top w:val="none" w:sz="0" w:space="0" w:color="auto"/>
        <w:left w:val="none" w:sz="0" w:space="0" w:color="auto"/>
        <w:bottom w:val="none" w:sz="0" w:space="0" w:color="auto"/>
        <w:right w:val="none" w:sz="0" w:space="0" w:color="auto"/>
      </w:divBdr>
    </w:div>
    <w:div w:id="143015713">
      <w:bodyDiv w:val="1"/>
      <w:marLeft w:val="0"/>
      <w:marRight w:val="0"/>
      <w:marTop w:val="0"/>
      <w:marBottom w:val="0"/>
      <w:divBdr>
        <w:top w:val="none" w:sz="0" w:space="0" w:color="auto"/>
        <w:left w:val="none" w:sz="0" w:space="0" w:color="auto"/>
        <w:bottom w:val="none" w:sz="0" w:space="0" w:color="auto"/>
        <w:right w:val="none" w:sz="0" w:space="0" w:color="auto"/>
      </w:divBdr>
    </w:div>
    <w:div w:id="271210051">
      <w:bodyDiv w:val="1"/>
      <w:marLeft w:val="0"/>
      <w:marRight w:val="0"/>
      <w:marTop w:val="0"/>
      <w:marBottom w:val="0"/>
      <w:divBdr>
        <w:top w:val="none" w:sz="0" w:space="0" w:color="auto"/>
        <w:left w:val="none" w:sz="0" w:space="0" w:color="auto"/>
        <w:bottom w:val="none" w:sz="0" w:space="0" w:color="auto"/>
        <w:right w:val="none" w:sz="0" w:space="0" w:color="auto"/>
      </w:divBdr>
    </w:div>
    <w:div w:id="590309905">
      <w:bodyDiv w:val="1"/>
      <w:marLeft w:val="0"/>
      <w:marRight w:val="0"/>
      <w:marTop w:val="0"/>
      <w:marBottom w:val="0"/>
      <w:divBdr>
        <w:top w:val="none" w:sz="0" w:space="0" w:color="auto"/>
        <w:left w:val="none" w:sz="0" w:space="0" w:color="auto"/>
        <w:bottom w:val="none" w:sz="0" w:space="0" w:color="auto"/>
        <w:right w:val="none" w:sz="0" w:space="0" w:color="auto"/>
      </w:divBdr>
    </w:div>
    <w:div w:id="951673105">
      <w:bodyDiv w:val="1"/>
      <w:marLeft w:val="0"/>
      <w:marRight w:val="0"/>
      <w:marTop w:val="0"/>
      <w:marBottom w:val="0"/>
      <w:divBdr>
        <w:top w:val="none" w:sz="0" w:space="0" w:color="auto"/>
        <w:left w:val="none" w:sz="0" w:space="0" w:color="auto"/>
        <w:bottom w:val="none" w:sz="0" w:space="0" w:color="auto"/>
        <w:right w:val="none" w:sz="0" w:space="0" w:color="auto"/>
      </w:divBdr>
    </w:div>
    <w:div w:id="1268852079">
      <w:bodyDiv w:val="1"/>
      <w:marLeft w:val="0"/>
      <w:marRight w:val="0"/>
      <w:marTop w:val="0"/>
      <w:marBottom w:val="0"/>
      <w:divBdr>
        <w:top w:val="none" w:sz="0" w:space="0" w:color="auto"/>
        <w:left w:val="none" w:sz="0" w:space="0" w:color="auto"/>
        <w:bottom w:val="none" w:sz="0" w:space="0" w:color="auto"/>
        <w:right w:val="none" w:sz="0" w:space="0" w:color="auto"/>
      </w:divBdr>
    </w:div>
    <w:div w:id="1570848194">
      <w:bodyDiv w:val="1"/>
      <w:marLeft w:val="0"/>
      <w:marRight w:val="0"/>
      <w:marTop w:val="0"/>
      <w:marBottom w:val="0"/>
      <w:divBdr>
        <w:top w:val="none" w:sz="0" w:space="0" w:color="auto"/>
        <w:left w:val="none" w:sz="0" w:space="0" w:color="auto"/>
        <w:bottom w:val="none" w:sz="0" w:space="0" w:color="auto"/>
        <w:right w:val="none" w:sz="0" w:space="0" w:color="auto"/>
      </w:divBdr>
    </w:div>
    <w:div w:id="1763912350">
      <w:bodyDiv w:val="1"/>
      <w:marLeft w:val="0"/>
      <w:marRight w:val="0"/>
      <w:marTop w:val="0"/>
      <w:marBottom w:val="0"/>
      <w:divBdr>
        <w:top w:val="none" w:sz="0" w:space="0" w:color="auto"/>
        <w:left w:val="none" w:sz="0" w:space="0" w:color="auto"/>
        <w:bottom w:val="none" w:sz="0" w:space="0" w:color="auto"/>
        <w:right w:val="none" w:sz="0" w:space="0" w:color="auto"/>
      </w:divBdr>
    </w:div>
    <w:div w:id="1965770732">
      <w:bodyDiv w:val="1"/>
      <w:marLeft w:val="0"/>
      <w:marRight w:val="0"/>
      <w:marTop w:val="0"/>
      <w:marBottom w:val="0"/>
      <w:divBdr>
        <w:top w:val="none" w:sz="0" w:space="0" w:color="auto"/>
        <w:left w:val="none" w:sz="0" w:space="0" w:color="auto"/>
        <w:bottom w:val="none" w:sz="0" w:space="0" w:color="auto"/>
        <w:right w:val="none" w:sz="0" w:space="0" w:color="auto"/>
      </w:divBdr>
      <w:divsChild>
        <w:div w:id="155268366">
          <w:marLeft w:val="0"/>
          <w:marRight w:val="0"/>
          <w:marTop w:val="0"/>
          <w:marBottom w:val="0"/>
          <w:divBdr>
            <w:top w:val="none" w:sz="0" w:space="0" w:color="auto"/>
            <w:left w:val="none" w:sz="0" w:space="0" w:color="auto"/>
            <w:bottom w:val="none" w:sz="0" w:space="0" w:color="auto"/>
            <w:right w:val="none" w:sz="0" w:space="0" w:color="auto"/>
          </w:divBdr>
        </w:div>
        <w:div w:id="199630873">
          <w:marLeft w:val="0"/>
          <w:marRight w:val="0"/>
          <w:marTop w:val="0"/>
          <w:marBottom w:val="0"/>
          <w:divBdr>
            <w:top w:val="none" w:sz="0" w:space="0" w:color="auto"/>
            <w:left w:val="none" w:sz="0" w:space="0" w:color="auto"/>
            <w:bottom w:val="none" w:sz="0" w:space="0" w:color="auto"/>
            <w:right w:val="none" w:sz="0" w:space="0" w:color="auto"/>
          </w:divBdr>
        </w:div>
        <w:div w:id="454063560">
          <w:marLeft w:val="0"/>
          <w:marRight w:val="0"/>
          <w:marTop w:val="0"/>
          <w:marBottom w:val="0"/>
          <w:divBdr>
            <w:top w:val="none" w:sz="0" w:space="0" w:color="auto"/>
            <w:left w:val="none" w:sz="0" w:space="0" w:color="auto"/>
            <w:bottom w:val="none" w:sz="0" w:space="0" w:color="auto"/>
            <w:right w:val="none" w:sz="0" w:space="0" w:color="auto"/>
          </w:divBdr>
        </w:div>
        <w:div w:id="704402348">
          <w:marLeft w:val="0"/>
          <w:marRight w:val="0"/>
          <w:marTop w:val="0"/>
          <w:marBottom w:val="0"/>
          <w:divBdr>
            <w:top w:val="none" w:sz="0" w:space="0" w:color="auto"/>
            <w:left w:val="none" w:sz="0" w:space="0" w:color="auto"/>
            <w:bottom w:val="none" w:sz="0" w:space="0" w:color="auto"/>
            <w:right w:val="none" w:sz="0" w:space="0" w:color="auto"/>
          </w:divBdr>
        </w:div>
        <w:div w:id="908541037">
          <w:marLeft w:val="0"/>
          <w:marRight w:val="0"/>
          <w:marTop w:val="0"/>
          <w:marBottom w:val="0"/>
          <w:divBdr>
            <w:top w:val="none" w:sz="0" w:space="0" w:color="auto"/>
            <w:left w:val="none" w:sz="0" w:space="0" w:color="auto"/>
            <w:bottom w:val="none" w:sz="0" w:space="0" w:color="auto"/>
            <w:right w:val="none" w:sz="0" w:space="0" w:color="auto"/>
          </w:divBdr>
        </w:div>
        <w:div w:id="958024938">
          <w:marLeft w:val="0"/>
          <w:marRight w:val="0"/>
          <w:marTop w:val="0"/>
          <w:marBottom w:val="0"/>
          <w:divBdr>
            <w:top w:val="none" w:sz="0" w:space="0" w:color="auto"/>
            <w:left w:val="none" w:sz="0" w:space="0" w:color="auto"/>
            <w:bottom w:val="none" w:sz="0" w:space="0" w:color="auto"/>
            <w:right w:val="none" w:sz="0" w:space="0" w:color="auto"/>
          </w:divBdr>
        </w:div>
        <w:div w:id="1079979833">
          <w:marLeft w:val="0"/>
          <w:marRight w:val="0"/>
          <w:marTop w:val="0"/>
          <w:marBottom w:val="0"/>
          <w:divBdr>
            <w:top w:val="none" w:sz="0" w:space="0" w:color="auto"/>
            <w:left w:val="none" w:sz="0" w:space="0" w:color="auto"/>
            <w:bottom w:val="none" w:sz="0" w:space="0" w:color="auto"/>
            <w:right w:val="none" w:sz="0" w:space="0" w:color="auto"/>
          </w:divBdr>
        </w:div>
        <w:div w:id="1171750442">
          <w:marLeft w:val="0"/>
          <w:marRight w:val="0"/>
          <w:marTop w:val="0"/>
          <w:marBottom w:val="0"/>
          <w:divBdr>
            <w:top w:val="none" w:sz="0" w:space="0" w:color="auto"/>
            <w:left w:val="none" w:sz="0" w:space="0" w:color="auto"/>
            <w:bottom w:val="none" w:sz="0" w:space="0" w:color="auto"/>
            <w:right w:val="none" w:sz="0" w:space="0" w:color="auto"/>
          </w:divBdr>
        </w:div>
        <w:div w:id="1199471915">
          <w:marLeft w:val="0"/>
          <w:marRight w:val="0"/>
          <w:marTop w:val="0"/>
          <w:marBottom w:val="0"/>
          <w:divBdr>
            <w:top w:val="none" w:sz="0" w:space="0" w:color="auto"/>
            <w:left w:val="none" w:sz="0" w:space="0" w:color="auto"/>
            <w:bottom w:val="none" w:sz="0" w:space="0" w:color="auto"/>
            <w:right w:val="none" w:sz="0" w:space="0" w:color="auto"/>
          </w:divBdr>
        </w:div>
        <w:div w:id="1403334521">
          <w:marLeft w:val="0"/>
          <w:marRight w:val="0"/>
          <w:marTop w:val="0"/>
          <w:marBottom w:val="0"/>
          <w:divBdr>
            <w:top w:val="none" w:sz="0" w:space="0" w:color="auto"/>
            <w:left w:val="none" w:sz="0" w:space="0" w:color="auto"/>
            <w:bottom w:val="none" w:sz="0" w:space="0" w:color="auto"/>
            <w:right w:val="none" w:sz="0" w:space="0" w:color="auto"/>
          </w:divBdr>
        </w:div>
        <w:div w:id="2031027768">
          <w:marLeft w:val="0"/>
          <w:marRight w:val="0"/>
          <w:marTop w:val="0"/>
          <w:marBottom w:val="0"/>
          <w:divBdr>
            <w:top w:val="none" w:sz="0" w:space="0" w:color="auto"/>
            <w:left w:val="none" w:sz="0" w:space="0" w:color="auto"/>
            <w:bottom w:val="none" w:sz="0" w:space="0" w:color="auto"/>
            <w:right w:val="none" w:sz="0" w:space="0" w:color="auto"/>
          </w:divBdr>
        </w:div>
      </w:divsChild>
    </w:div>
    <w:div w:id="2088183119">
      <w:bodyDiv w:val="1"/>
      <w:marLeft w:val="0"/>
      <w:marRight w:val="0"/>
      <w:marTop w:val="0"/>
      <w:marBottom w:val="0"/>
      <w:divBdr>
        <w:top w:val="none" w:sz="0" w:space="0" w:color="auto"/>
        <w:left w:val="none" w:sz="0" w:space="0" w:color="auto"/>
        <w:bottom w:val="none" w:sz="0" w:space="0" w:color="auto"/>
        <w:right w:val="none" w:sz="0" w:space="0" w:color="auto"/>
      </w:divBdr>
    </w:div>
    <w:div w:id="21290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04-2006/2006/lei/l11417.htm?TSPD_101_R0=f43227a8335d40fc31ff40b40db61bcbsw200000000000000005a7d7abbffff00000000000000000000000000005b231f3b009c693e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39DD-A7EF-4764-9AC3-E353F850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13928</Words>
  <Characters>76607</Characters>
  <Application>Microsoft Office Word</Application>
  <DocSecurity>0</DocSecurity>
  <Lines>638</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3</cp:revision>
  <cp:lastPrinted>2018-11-13T20:56:00Z</cp:lastPrinted>
  <dcterms:created xsi:type="dcterms:W3CDTF">2018-12-18T17:35:00Z</dcterms:created>
  <dcterms:modified xsi:type="dcterms:W3CDTF">2019-01-08T22:57:00Z</dcterms:modified>
</cp:coreProperties>
</file>