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0A1AB" w14:textId="77777777" w:rsidR="005F0CCD" w:rsidRDefault="005F0CCD" w:rsidP="00F87CB1">
      <w:pPr>
        <w:spacing w:before="120" w:after="120"/>
        <w:rPr>
          <w:rFonts w:ascii="Verdana" w:hAnsi="Verdana"/>
          <w:b/>
          <w:sz w:val="20"/>
          <w:szCs w:val="20"/>
          <w:lang w:val="es-CR"/>
        </w:rPr>
      </w:pPr>
    </w:p>
    <w:p w14:paraId="40F6D6BE" w14:textId="77777777" w:rsidR="005F0CCD" w:rsidRDefault="005F0CCD" w:rsidP="005F0CCD">
      <w:pPr>
        <w:spacing w:after="0"/>
        <w:jc w:val="center"/>
        <w:rPr>
          <w:rFonts w:ascii="Verdana" w:hAnsi="Verdana"/>
          <w:b/>
          <w:sz w:val="20"/>
          <w:szCs w:val="20"/>
          <w:lang w:val="es-CR"/>
        </w:rPr>
      </w:pPr>
    </w:p>
    <w:p w14:paraId="1681642D" w14:textId="77777777" w:rsidR="006D110A" w:rsidRPr="002A4229" w:rsidRDefault="004105C9" w:rsidP="005F0CCD">
      <w:pPr>
        <w:spacing w:after="0"/>
        <w:jc w:val="center"/>
        <w:rPr>
          <w:rFonts w:ascii="Verdana" w:hAnsi="Verdana"/>
          <w:b/>
          <w:sz w:val="20"/>
          <w:szCs w:val="20"/>
          <w:lang w:val="es-CR"/>
        </w:rPr>
      </w:pPr>
      <w:r w:rsidRPr="002A4229">
        <w:rPr>
          <w:rFonts w:ascii="Verdana" w:hAnsi="Verdana"/>
          <w:b/>
          <w:sz w:val="20"/>
          <w:szCs w:val="20"/>
          <w:lang w:val="es-CR"/>
        </w:rPr>
        <w:t>RESOLUCIÓN DE LA</w:t>
      </w:r>
    </w:p>
    <w:p w14:paraId="7CECC2AC" w14:textId="77777777" w:rsidR="004105C9" w:rsidRDefault="004105C9" w:rsidP="005F0CCD">
      <w:pPr>
        <w:spacing w:after="0"/>
        <w:jc w:val="center"/>
        <w:rPr>
          <w:rFonts w:ascii="Verdana" w:hAnsi="Verdana"/>
          <w:b/>
          <w:sz w:val="20"/>
          <w:szCs w:val="20"/>
          <w:lang w:val="es-CR"/>
        </w:rPr>
      </w:pPr>
      <w:r w:rsidRPr="002A4229">
        <w:rPr>
          <w:rFonts w:ascii="Verdana" w:hAnsi="Verdana"/>
          <w:b/>
          <w:sz w:val="20"/>
          <w:szCs w:val="20"/>
          <w:lang w:val="es-CR"/>
        </w:rPr>
        <w:t>CORTE INTERAMERICANA DE DERECHOS HUMANOS</w:t>
      </w:r>
    </w:p>
    <w:p w14:paraId="21028168" w14:textId="77777777" w:rsidR="005F0CCD" w:rsidRPr="00F87CB1" w:rsidRDefault="005F0CCD" w:rsidP="005F0CCD">
      <w:pPr>
        <w:spacing w:after="0"/>
        <w:jc w:val="center"/>
        <w:rPr>
          <w:rFonts w:ascii="Verdana" w:hAnsi="Verdana"/>
          <w:b/>
          <w:sz w:val="20"/>
          <w:szCs w:val="20"/>
          <w:lang w:val="es-CR"/>
        </w:rPr>
      </w:pPr>
    </w:p>
    <w:p w14:paraId="21F546C2" w14:textId="09C36CE0" w:rsidR="004105C9" w:rsidRPr="002A4229" w:rsidRDefault="004105C9" w:rsidP="005F0CCD">
      <w:pPr>
        <w:spacing w:after="0"/>
        <w:jc w:val="center"/>
        <w:rPr>
          <w:rFonts w:ascii="Verdana" w:hAnsi="Verdana"/>
          <w:b/>
          <w:sz w:val="20"/>
          <w:szCs w:val="20"/>
          <w:lang w:val="es-CR"/>
        </w:rPr>
      </w:pPr>
      <w:r w:rsidRPr="002A4229">
        <w:rPr>
          <w:rFonts w:ascii="Verdana" w:hAnsi="Verdana"/>
          <w:b/>
          <w:sz w:val="20"/>
          <w:szCs w:val="20"/>
          <w:lang w:val="es-CR"/>
        </w:rPr>
        <w:t xml:space="preserve">DE </w:t>
      </w:r>
      <w:r w:rsidR="00200271">
        <w:rPr>
          <w:rFonts w:ascii="Verdana" w:hAnsi="Verdana"/>
          <w:b/>
          <w:sz w:val="20"/>
          <w:szCs w:val="20"/>
          <w:lang w:val="es-CR"/>
        </w:rPr>
        <w:t>22</w:t>
      </w:r>
      <w:r w:rsidRPr="002A4229">
        <w:rPr>
          <w:rFonts w:ascii="Verdana" w:hAnsi="Verdana"/>
          <w:b/>
          <w:sz w:val="20"/>
          <w:szCs w:val="20"/>
          <w:lang w:val="es-CR"/>
        </w:rPr>
        <w:t xml:space="preserve"> DE AGOSTO DE 2018</w:t>
      </w:r>
    </w:p>
    <w:p w14:paraId="16B8FA44" w14:textId="77777777" w:rsidR="005F0CCD" w:rsidRPr="00F87CB1" w:rsidRDefault="005F0CCD" w:rsidP="00F87CB1">
      <w:pPr>
        <w:spacing w:after="0"/>
        <w:rPr>
          <w:rFonts w:ascii="Verdana" w:hAnsi="Verdana"/>
          <w:b/>
          <w:sz w:val="20"/>
          <w:szCs w:val="20"/>
          <w:lang w:val="es-CR"/>
        </w:rPr>
      </w:pPr>
    </w:p>
    <w:p w14:paraId="27BDC835" w14:textId="77777777" w:rsidR="004105C9" w:rsidRPr="002A4229" w:rsidRDefault="004105C9" w:rsidP="005F0CCD">
      <w:pPr>
        <w:spacing w:after="0"/>
        <w:jc w:val="center"/>
        <w:rPr>
          <w:rFonts w:ascii="Verdana" w:hAnsi="Verdana"/>
          <w:b/>
          <w:sz w:val="20"/>
          <w:szCs w:val="20"/>
          <w:lang w:val="es-CR"/>
        </w:rPr>
      </w:pPr>
      <w:r w:rsidRPr="002A4229">
        <w:rPr>
          <w:rFonts w:ascii="Verdana" w:hAnsi="Verdana"/>
          <w:b/>
          <w:sz w:val="20"/>
          <w:szCs w:val="20"/>
          <w:lang w:val="es-CR"/>
        </w:rPr>
        <w:t>MEDIDAS PROVISIONALES RESPECTO DE LA</w:t>
      </w:r>
    </w:p>
    <w:p w14:paraId="36B65F76" w14:textId="77777777" w:rsidR="004105C9" w:rsidRPr="002A4229" w:rsidRDefault="004105C9" w:rsidP="005F0CCD">
      <w:pPr>
        <w:spacing w:after="0"/>
        <w:jc w:val="center"/>
        <w:rPr>
          <w:rFonts w:ascii="Verdana" w:hAnsi="Verdana"/>
          <w:b/>
          <w:sz w:val="20"/>
          <w:szCs w:val="20"/>
          <w:lang w:val="es-CR"/>
        </w:rPr>
      </w:pPr>
      <w:r w:rsidRPr="002A4229">
        <w:rPr>
          <w:rFonts w:ascii="Verdana" w:hAnsi="Verdana"/>
          <w:b/>
          <w:sz w:val="20"/>
          <w:szCs w:val="20"/>
          <w:lang w:val="es-CR"/>
        </w:rPr>
        <w:t>REPÚBLICA BOLIVARIANA DE VENEZUELA</w:t>
      </w:r>
    </w:p>
    <w:p w14:paraId="0D791347" w14:textId="77777777" w:rsidR="004105C9" w:rsidRPr="005F0CCD" w:rsidRDefault="004105C9" w:rsidP="005F0CCD">
      <w:pPr>
        <w:spacing w:after="0"/>
        <w:jc w:val="center"/>
        <w:rPr>
          <w:rFonts w:ascii="Verdana" w:hAnsi="Verdana"/>
          <w:b/>
          <w:sz w:val="14"/>
          <w:szCs w:val="20"/>
          <w:lang w:val="es-CR"/>
        </w:rPr>
      </w:pPr>
    </w:p>
    <w:p w14:paraId="2BE9048C" w14:textId="5C3034AB" w:rsidR="001010AA" w:rsidRDefault="004105C9" w:rsidP="005F0CCD">
      <w:pPr>
        <w:spacing w:after="0"/>
        <w:jc w:val="center"/>
        <w:rPr>
          <w:rFonts w:ascii="Verdana" w:hAnsi="Verdana"/>
          <w:b/>
          <w:sz w:val="20"/>
          <w:szCs w:val="20"/>
          <w:lang w:val="es-CR"/>
        </w:rPr>
      </w:pPr>
      <w:r w:rsidRPr="002A4229">
        <w:rPr>
          <w:rFonts w:ascii="Verdana" w:hAnsi="Verdana"/>
          <w:b/>
          <w:sz w:val="20"/>
          <w:szCs w:val="20"/>
          <w:lang w:val="es-CR"/>
        </w:rPr>
        <w:t>ASUNTO LUISIANA RÍOS Y OTROS</w:t>
      </w:r>
      <w:r w:rsidR="001010AA" w:rsidRPr="001010AA">
        <w:rPr>
          <w:rStyle w:val="FootnoteReference"/>
          <w:rFonts w:ascii="Verdana" w:hAnsi="Verdana"/>
          <w:b/>
          <w:sz w:val="20"/>
          <w:szCs w:val="20"/>
          <w:lang w:val="es-CR"/>
        </w:rPr>
        <w:footnoteReference w:customMarkFollows="1" w:id="1"/>
        <w:sym w:font="Symbol" w:char="F02A"/>
      </w:r>
    </w:p>
    <w:p w14:paraId="365853CF" w14:textId="6FB2CE89" w:rsidR="001010AA" w:rsidRDefault="001010AA" w:rsidP="001010AA">
      <w:pPr>
        <w:rPr>
          <w:rFonts w:ascii="Verdana" w:hAnsi="Verdana"/>
          <w:sz w:val="20"/>
          <w:szCs w:val="20"/>
          <w:lang w:val="es-CR"/>
        </w:rPr>
      </w:pPr>
      <w:bookmarkStart w:id="0" w:name="_GoBack"/>
      <w:bookmarkEnd w:id="0"/>
    </w:p>
    <w:p w14:paraId="19FA82C4" w14:textId="43BF2346" w:rsidR="004105C9" w:rsidRPr="002A4229" w:rsidRDefault="005F0CCD" w:rsidP="005F0CCD">
      <w:pPr>
        <w:spacing w:before="120" w:after="120"/>
        <w:jc w:val="both"/>
        <w:rPr>
          <w:rFonts w:ascii="Verdana" w:hAnsi="Verdana"/>
          <w:b/>
          <w:sz w:val="20"/>
          <w:szCs w:val="20"/>
          <w:lang w:val="es-CR"/>
        </w:rPr>
      </w:pPr>
      <w:r>
        <w:rPr>
          <w:rFonts w:ascii="Verdana" w:hAnsi="Verdana"/>
          <w:b/>
          <w:sz w:val="20"/>
          <w:szCs w:val="20"/>
          <w:lang w:val="es-CR"/>
        </w:rPr>
        <w:t>VISTO</w:t>
      </w:r>
      <w:r w:rsidR="004105C9" w:rsidRPr="002A4229">
        <w:rPr>
          <w:rFonts w:ascii="Verdana" w:hAnsi="Verdana"/>
          <w:b/>
          <w:sz w:val="20"/>
          <w:szCs w:val="20"/>
          <w:lang w:val="es-CR"/>
        </w:rPr>
        <w:t>:</w:t>
      </w:r>
    </w:p>
    <w:p w14:paraId="3A77687A" w14:textId="7B0F0B55" w:rsidR="00E36B3E" w:rsidRPr="002A4229" w:rsidRDefault="004105C9" w:rsidP="005F0CCD">
      <w:pPr>
        <w:spacing w:before="120" w:after="120"/>
        <w:jc w:val="both"/>
        <w:rPr>
          <w:rFonts w:ascii="Verdana" w:hAnsi="Verdana"/>
          <w:sz w:val="20"/>
          <w:szCs w:val="20"/>
          <w:lang w:val="es-CR"/>
        </w:rPr>
      </w:pPr>
      <w:r w:rsidRPr="002A4229">
        <w:rPr>
          <w:rFonts w:ascii="Verdana" w:hAnsi="Verdana"/>
          <w:sz w:val="20"/>
          <w:szCs w:val="20"/>
          <w:lang w:val="es-CR"/>
        </w:rPr>
        <w:t>1.</w:t>
      </w:r>
      <w:r w:rsidRPr="002A4229">
        <w:rPr>
          <w:rFonts w:ascii="Verdana" w:hAnsi="Verdana"/>
          <w:sz w:val="20"/>
          <w:szCs w:val="20"/>
          <w:lang w:val="es-CR"/>
        </w:rPr>
        <w:tab/>
        <w:t>La Resolución dictada por la Corte Interamericana de Derechos Humanos (en adelante “la Corte” o “el Tri</w:t>
      </w:r>
      <w:r w:rsidR="00C73E01" w:rsidRPr="002A4229">
        <w:rPr>
          <w:rFonts w:ascii="Verdana" w:hAnsi="Verdana"/>
          <w:sz w:val="20"/>
          <w:szCs w:val="20"/>
          <w:lang w:val="es-CR"/>
        </w:rPr>
        <w:t>b</w:t>
      </w:r>
      <w:r w:rsidRPr="002A4229">
        <w:rPr>
          <w:rFonts w:ascii="Verdana" w:hAnsi="Verdana"/>
          <w:sz w:val="20"/>
          <w:szCs w:val="20"/>
          <w:lang w:val="es-CR"/>
        </w:rPr>
        <w:t>unal”) el 27 de noviembre de 2002, media</w:t>
      </w:r>
      <w:r w:rsidR="00C73E01" w:rsidRPr="002A4229">
        <w:rPr>
          <w:rFonts w:ascii="Verdana" w:hAnsi="Verdana"/>
          <w:sz w:val="20"/>
          <w:szCs w:val="20"/>
          <w:lang w:val="es-CR"/>
        </w:rPr>
        <w:t>n</w:t>
      </w:r>
      <w:r w:rsidRPr="002A4229">
        <w:rPr>
          <w:rFonts w:ascii="Verdana" w:hAnsi="Verdana"/>
          <w:sz w:val="20"/>
          <w:szCs w:val="20"/>
          <w:lang w:val="es-CR"/>
        </w:rPr>
        <w:t>te la cual ordenó a la República Bolivariana de Venezuela (en adelante “Estado” o “Venezuela”), a solicitud de la Comisión Interamericana de Derechos Humanos (en adelante “la Comisión” o “la Comisión Interamericana”), la adopción de medidas provisionales para proteger la vida e integridad personal de Luisiana Ríos, Armando Amaya, Antonio José Monroy, Laura Castellanos y Argenis Uribe, trabajadores de la estación de televisión Radio Caracas Televisión (RCTV)</w:t>
      </w:r>
      <w:r w:rsidR="00E36B3E" w:rsidRPr="002A4229">
        <w:rPr>
          <w:rStyle w:val="FootnoteReference"/>
          <w:rFonts w:ascii="Verdana" w:hAnsi="Verdana"/>
          <w:sz w:val="20"/>
          <w:szCs w:val="20"/>
          <w:lang w:val="es-CR"/>
        </w:rPr>
        <w:footnoteReference w:id="2"/>
      </w:r>
      <w:r w:rsidRPr="002A4229">
        <w:rPr>
          <w:rFonts w:ascii="Verdana" w:hAnsi="Verdana"/>
          <w:sz w:val="20"/>
          <w:szCs w:val="20"/>
          <w:lang w:val="es-CR"/>
        </w:rPr>
        <w:t xml:space="preserve">. </w:t>
      </w:r>
    </w:p>
    <w:p w14:paraId="11EFF0E8" w14:textId="65DB3B31" w:rsidR="00962F65" w:rsidRPr="002A4229" w:rsidRDefault="00E36B3E" w:rsidP="005F0CCD">
      <w:pPr>
        <w:spacing w:before="120" w:after="120"/>
        <w:jc w:val="both"/>
        <w:rPr>
          <w:rFonts w:ascii="Verdana" w:hAnsi="Verdana"/>
          <w:sz w:val="20"/>
          <w:szCs w:val="20"/>
          <w:lang w:val="es-CR"/>
        </w:rPr>
      </w:pPr>
      <w:r w:rsidRPr="002A4229">
        <w:rPr>
          <w:rFonts w:ascii="Verdana" w:hAnsi="Verdana"/>
          <w:sz w:val="20"/>
          <w:szCs w:val="20"/>
          <w:lang w:val="es-CR"/>
        </w:rPr>
        <w:t xml:space="preserve">2.       </w:t>
      </w:r>
      <w:r w:rsidR="00962F65" w:rsidRPr="002A4229">
        <w:rPr>
          <w:rFonts w:ascii="Verdana" w:hAnsi="Verdana"/>
          <w:sz w:val="20"/>
          <w:szCs w:val="20"/>
          <w:lang w:val="es-CR"/>
        </w:rPr>
        <w:t>Las Resoluciones dictadas el</w:t>
      </w:r>
      <w:r w:rsidR="00DC3A22">
        <w:rPr>
          <w:rFonts w:ascii="Verdana" w:hAnsi="Verdana"/>
          <w:sz w:val="20"/>
          <w:szCs w:val="20"/>
          <w:lang w:val="es-CR"/>
        </w:rPr>
        <w:t xml:space="preserve"> 21 de noviembre de 2003, 8 de septiembre de 2004 y </w:t>
      </w:r>
      <w:r w:rsidR="004105C9" w:rsidRPr="002A4229">
        <w:rPr>
          <w:rFonts w:ascii="Verdana" w:hAnsi="Verdana"/>
          <w:sz w:val="20"/>
          <w:szCs w:val="20"/>
          <w:lang w:val="es-CR"/>
        </w:rPr>
        <w:t>12 de septiembre de 2005, mediante las cuales</w:t>
      </w:r>
      <w:r w:rsidR="00962F65" w:rsidRPr="002A4229">
        <w:rPr>
          <w:rFonts w:ascii="Verdana" w:hAnsi="Verdana"/>
          <w:sz w:val="20"/>
          <w:szCs w:val="20"/>
          <w:lang w:val="es-CR"/>
        </w:rPr>
        <w:t xml:space="preserve"> </w:t>
      </w:r>
      <w:r w:rsidR="004105C9" w:rsidRPr="002A4229">
        <w:rPr>
          <w:rFonts w:ascii="Verdana" w:hAnsi="Verdana"/>
          <w:sz w:val="20"/>
          <w:szCs w:val="20"/>
          <w:lang w:val="es-CR"/>
        </w:rPr>
        <w:t>el Tribunal amplió las medidas provisionales ordenadas</w:t>
      </w:r>
      <w:r w:rsidRPr="002A4229">
        <w:rPr>
          <w:rStyle w:val="FootnoteReference"/>
          <w:rFonts w:ascii="Verdana" w:hAnsi="Verdana"/>
          <w:sz w:val="20"/>
          <w:szCs w:val="20"/>
          <w:lang w:val="es-CR"/>
        </w:rPr>
        <w:footnoteReference w:id="3"/>
      </w:r>
      <w:r w:rsidR="004105C9" w:rsidRPr="002A4229">
        <w:rPr>
          <w:rFonts w:ascii="Verdana" w:hAnsi="Verdana"/>
          <w:sz w:val="20"/>
          <w:szCs w:val="20"/>
          <w:lang w:val="es-CR"/>
        </w:rPr>
        <w:t xml:space="preserve"> (</w:t>
      </w:r>
      <w:r w:rsidR="004105C9" w:rsidRPr="002A4229">
        <w:rPr>
          <w:rFonts w:ascii="Verdana" w:hAnsi="Verdana"/>
          <w:i/>
          <w:sz w:val="20"/>
          <w:szCs w:val="20"/>
          <w:lang w:val="es-CR"/>
        </w:rPr>
        <w:t xml:space="preserve">supra </w:t>
      </w:r>
      <w:r w:rsidR="004105C9" w:rsidRPr="002A4229">
        <w:rPr>
          <w:rFonts w:ascii="Verdana" w:hAnsi="Verdana"/>
          <w:sz w:val="20"/>
          <w:szCs w:val="20"/>
          <w:lang w:val="es-CR"/>
        </w:rPr>
        <w:t xml:space="preserve">Visto 1). </w:t>
      </w:r>
    </w:p>
    <w:p w14:paraId="3CF9ACED" w14:textId="195E8BA7" w:rsidR="004105C9" w:rsidRPr="002A4229" w:rsidRDefault="002A4229" w:rsidP="005F0CCD">
      <w:pPr>
        <w:spacing w:before="120" w:after="120"/>
        <w:jc w:val="both"/>
        <w:rPr>
          <w:rFonts w:ascii="Verdana" w:hAnsi="Verdana"/>
          <w:sz w:val="20"/>
          <w:szCs w:val="20"/>
          <w:lang w:val="es-CR"/>
        </w:rPr>
      </w:pPr>
      <w:r>
        <w:rPr>
          <w:rFonts w:ascii="Verdana" w:hAnsi="Verdana"/>
          <w:sz w:val="20"/>
          <w:szCs w:val="20"/>
          <w:lang w:val="es-CR"/>
        </w:rPr>
        <w:t>3.</w:t>
      </w:r>
      <w:r>
        <w:rPr>
          <w:rFonts w:ascii="Verdana" w:hAnsi="Verdana"/>
          <w:sz w:val="20"/>
          <w:szCs w:val="20"/>
          <w:lang w:val="es-CR"/>
        </w:rPr>
        <w:tab/>
      </w:r>
      <w:r w:rsidR="00962F65" w:rsidRPr="002A4229">
        <w:rPr>
          <w:rFonts w:ascii="Verdana" w:hAnsi="Verdana"/>
          <w:sz w:val="20"/>
          <w:szCs w:val="20"/>
          <w:lang w:val="es-CR"/>
        </w:rPr>
        <w:t xml:space="preserve">La Resolución dictada el </w:t>
      </w:r>
      <w:r w:rsidR="002D5A12" w:rsidRPr="002A4229">
        <w:rPr>
          <w:rFonts w:ascii="Verdana" w:hAnsi="Verdana"/>
          <w:sz w:val="20"/>
          <w:szCs w:val="20"/>
          <w:lang w:val="es-CR"/>
        </w:rPr>
        <w:t xml:space="preserve">3 de julio de 2007, mediante la cual la Corte requirió al Estado mantener las medidas provisionales impuestas. </w:t>
      </w:r>
      <w:r w:rsidR="004105C9" w:rsidRPr="002A4229">
        <w:rPr>
          <w:rFonts w:ascii="Verdana" w:hAnsi="Verdana"/>
          <w:sz w:val="20"/>
          <w:szCs w:val="20"/>
          <w:lang w:val="es-CR"/>
        </w:rPr>
        <w:t>Estas medidas se encuentran vigentes, de forma que a la fecha el Estado tiene las obligaciones de:</w:t>
      </w:r>
    </w:p>
    <w:p w14:paraId="516BE639" w14:textId="22611021" w:rsidR="004105C9" w:rsidRPr="00A41C2F" w:rsidRDefault="00CF385B" w:rsidP="00A41C2F">
      <w:pPr>
        <w:spacing w:before="120" w:after="120"/>
        <w:ind w:left="720" w:right="720"/>
        <w:jc w:val="both"/>
        <w:rPr>
          <w:rFonts w:ascii="Verdana" w:hAnsi="Verdana"/>
          <w:sz w:val="16"/>
          <w:szCs w:val="16"/>
          <w:lang w:val="es-CR"/>
        </w:rPr>
      </w:pPr>
      <w:r w:rsidRPr="00A41C2F">
        <w:rPr>
          <w:rFonts w:ascii="Verdana" w:hAnsi="Verdana"/>
          <w:sz w:val="16"/>
          <w:szCs w:val="16"/>
          <w:lang w:val="es-CR"/>
        </w:rPr>
        <w:t>[A]</w:t>
      </w:r>
      <w:r w:rsidR="004105C9" w:rsidRPr="00A41C2F">
        <w:rPr>
          <w:rFonts w:ascii="Verdana" w:hAnsi="Verdana"/>
          <w:sz w:val="16"/>
          <w:szCs w:val="16"/>
          <w:lang w:val="es-CR"/>
        </w:rPr>
        <w:t>doptar, sin dilación, cuantas medidas sean necesarias para proteger la vida e integridad personal de los señores Luisiana Ríos, Armando Amaya, Antonio José Monroy, Laura Castellanos, Argenis Uribe, Carlos Colmenares, Noé Pernía y Pedro Nikken, así como la libertad de expresión de los tres últimos.</w:t>
      </w:r>
    </w:p>
    <w:p w14:paraId="336C08A7" w14:textId="0304F9E3" w:rsidR="00E36B3E" w:rsidRPr="00A41C2F" w:rsidRDefault="00CF385B" w:rsidP="00A41C2F">
      <w:pPr>
        <w:spacing w:before="120" w:after="120"/>
        <w:ind w:left="720" w:right="720"/>
        <w:jc w:val="both"/>
        <w:rPr>
          <w:rFonts w:ascii="Verdana" w:hAnsi="Verdana"/>
          <w:sz w:val="16"/>
          <w:szCs w:val="16"/>
          <w:lang w:val="es-CR"/>
        </w:rPr>
      </w:pPr>
      <w:r w:rsidRPr="00A41C2F">
        <w:rPr>
          <w:rFonts w:ascii="Verdana" w:hAnsi="Verdana"/>
          <w:sz w:val="16"/>
          <w:szCs w:val="16"/>
          <w:lang w:val="es-CR"/>
        </w:rPr>
        <w:t>[A</w:t>
      </w:r>
      <w:r w:rsidRPr="00A41C2F">
        <w:rPr>
          <w:rFonts w:ascii="Verdana" w:hAnsi="Verdana" w:cs="Courier New"/>
          <w:color w:val="000000"/>
          <w:sz w:val="16"/>
          <w:szCs w:val="16"/>
          <w:shd w:val="clear" w:color="auto" w:fill="F8F9FA"/>
          <w:lang w:val="es-CR"/>
        </w:rPr>
        <w:t>]</w:t>
      </w:r>
      <w:r w:rsidRPr="00A41C2F">
        <w:rPr>
          <w:rFonts w:ascii="Verdana" w:hAnsi="Verdana"/>
          <w:sz w:val="16"/>
          <w:szCs w:val="16"/>
          <w:lang w:val="es-CR"/>
        </w:rPr>
        <w:t>dopt[ar]</w:t>
      </w:r>
      <w:r w:rsidR="0016711F" w:rsidRPr="00A41C2F">
        <w:rPr>
          <w:rFonts w:ascii="Verdana" w:hAnsi="Verdana"/>
          <w:sz w:val="16"/>
          <w:szCs w:val="16"/>
          <w:lang w:val="es-CR"/>
        </w:rPr>
        <w:t xml:space="preserve">, sin dilación, las medidas que sean necesarias para resguardar y proteger la vida, la integridad personal y la libertad de expresión de todos los periodistas, directivos y trabajadores del medio de comunicación social Radio Caracas Televisión (RCTV), así como de las personas que se encuentren en </w:t>
      </w:r>
      <w:r w:rsidR="00A76111">
        <w:rPr>
          <w:rFonts w:ascii="Verdana" w:hAnsi="Verdana"/>
          <w:sz w:val="16"/>
          <w:szCs w:val="16"/>
          <w:lang w:val="es-CR"/>
        </w:rPr>
        <w:t xml:space="preserve">[las] </w:t>
      </w:r>
      <w:r w:rsidR="0016711F" w:rsidRPr="00A41C2F">
        <w:rPr>
          <w:rFonts w:ascii="Verdana" w:hAnsi="Verdana"/>
          <w:sz w:val="16"/>
          <w:szCs w:val="16"/>
          <w:lang w:val="es-CR"/>
        </w:rPr>
        <w:t xml:space="preserve">instalaciones de este medio de comunicación social o que estén vinculadas a la operación periodística de dicho medio (RCTV). </w:t>
      </w:r>
    </w:p>
    <w:p w14:paraId="5294B061" w14:textId="25644805" w:rsidR="0016711F" w:rsidRPr="00A41C2F" w:rsidRDefault="00CF385B" w:rsidP="00A41C2F">
      <w:pPr>
        <w:spacing w:before="120" w:after="120"/>
        <w:ind w:left="720" w:right="720"/>
        <w:jc w:val="both"/>
        <w:rPr>
          <w:rFonts w:ascii="Verdana" w:hAnsi="Verdana"/>
          <w:sz w:val="16"/>
          <w:szCs w:val="16"/>
          <w:lang w:val="es-CR"/>
        </w:rPr>
      </w:pPr>
      <w:r w:rsidRPr="00A41C2F">
        <w:rPr>
          <w:rFonts w:ascii="Verdana" w:hAnsi="Verdana"/>
          <w:sz w:val="16"/>
          <w:szCs w:val="16"/>
          <w:lang w:val="es-CR"/>
        </w:rPr>
        <w:t>[A</w:t>
      </w:r>
      <w:r w:rsidRPr="00A41C2F">
        <w:rPr>
          <w:rFonts w:ascii="Verdana" w:hAnsi="Verdana" w:cs="Courier New"/>
          <w:color w:val="000000"/>
          <w:sz w:val="16"/>
          <w:szCs w:val="16"/>
          <w:shd w:val="clear" w:color="auto" w:fill="F8F9FA"/>
          <w:lang w:val="es-CR"/>
        </w:rPr>
        <w:t>]</w:t>
      </w:r>
      <w:r w:rsidRPr="00A41C2F">
        <w:rPr>
          <w:rFonts w:ascii="Verdana" w:hAnsi="Verdana"/>
          <w:sz w:val="16"/>
          <w:szCs w:val="16"/>
          <w:lang w:val="es-CR"/>
        </w:rPr>
        <w:t>dop[tar]</w:t>
      </w:r>
      <w:r w:rsidR="0016711F" w:rsidRPr="00A41C2F">
        <w:rPr>
          <w:rFonts w:ascii="Verdana" w:hAnsi="Verdana"/>
          <w:sz w:val="16"/>
          <w:szCs w:val="16"/>
          <w:lang w:val="es-CR"/>
        </w:rPr>
        <w:t>, sin dilación, las medidas que sean necesarias para brindar protección perimetral a la sede del medio de comunicación social Radio Caracas Televisión (RCTV).</w:t>
      </w:r>
    </w:p>
    <w:p w14:paraId="2D3F5E8B" w14:textId="77D269F3" w:rsidR="0016711F" w:rsidRPr="00A41C2F" w:rsidRDefault="00CF385B" w:rsidP="00A41C2F">
      <w:pPr>
        <w:spacing w:before="120" w:after="120"/>
        <w:ind w:left="720" w:right="720"/>
        <w:jc w:val="both"/>
        <w:rPr>
          <w:rFonts w:ascii="Verdana" w:hAnsi="Verdana"/>
          <w:sz w:val="16"/>
          <w:szCs w:val="16"/>
          <w:lang w:val="es-CR"/>
        </w:rPr>
      </w:pPr>
      <w:r w:rsidRPr="00A41C2F">
        <w:rPr>
          <w:rFonts w:ascii="Verdana" w:hAnsi="Verdana"/>
          <w:sz w:val="16"/>
          <w:szCs w:val="16"/>
          <w:lang w:val="es-CR"/>
        </w:rPr>
        <w:lastRenderedPageBreak/>
        <w:t>[I]nvestiga[r]</w:t>
      </w:r>
      <w:r w:rsidR="0016711F" w:rsidRPr="00A41C2F">
        <w:rPr>
          <w:rFonts w:ascii="Verdana" w:hAnsi="Verdana"/>
          <w:sz w:val="16"/>
          <w:szCs w:val="16"/>
          <w:lang w:val="es-CR"/>
        </w:rPr>
        <w:t xml:space="preserve"> los hechos que motivaron la adopción de estas medidas provisionales y su ampliación, con el fin de identificar a los responsables e imponerles las sanciones correspondientes.</w:t>
      </w:r>
    </w:p>
    <w:p w14:paraId="731AC426" w14:textId="50008D82" w:rsidR="0016711F" w:rsidRPr="00A41C2F" w:rsidRDefault="00CF385B" w:rsidP="00A41C2F">
      <w:pPr>
        <w:spacing w:before="120" w:after="120"/>
        <w:ind w:left="720" w:right="720"/>
        <w:jc w:val="both"/>
        <w:rPr>
          <w:rFonts w:ascii="Verdana" w:hAnsi="Verdana"/>
          <w:sz w:val="16"/>
          <w:szCs w:val="16"/>
          <w:lang w:val="es-CR"/>
        </w:rPr>
      </w:pPr>
      <w:r w:rsidRPr="00A41C2F">
        <w:rPr>
          <w:rFonts w:ascii="Verdana" w:hAnsi="Verdana"/>
          <w:sz w:val="16"/>
          <w:szCs w:val="16"/>
          <w:lang w:val="es-CR"/>
        </w:rPr>
        <w:t>[D</w:t>
      </w:r>
      <w:r w:rsidR="00A34338">
        <w:rPr>
          <w:rFonts w:ascii="Verdana" w:hAnsi="Verdana"/>
          <w:sz w:val="16"/>
          <w:szCs w:val="16"/>
          <w:lang w:val="es-CR"/>
        </w:rPr>
        <w:t>]</w:t>
      </w:r>
      <w:r w:rsidR="00A41C2F" w:rsidRPr="00A41C2F">
        <w:rPr>
          <w:rFonts w:ascii="Verdana" w:hAnsi="Verdana"/>
          <w:sz w:val="16"/>
          <w:szCs w:val="16"/>
          <w:lang w:val="es-CR"/>
        </w:rPr>
        <w:t>ar</w:t>
      </w:r>
      <w:r w:rsidR="0016711F" w:rsidRPr="00A41C2F">
        <w:rPr>
          <w:rFonts w:ascii="Verdana" w:hAnsi="Verdana"/>
          <w:sz w:val="16"/>
          <w:szCs w:val="16"/>
          <w:lang w:val="es-CR"/>
        </w:rPr>
        <w:t xml:space="preserve"> participación a los beneficiarios de las medidas o sus representantes en la planificación e implementación de las medidas de protección y </w:t>
      </w:r>
      <w:r w:rsidR="00A41C2F" w:rsidRPr="00A41C2F">
        <w:rPr>
          <w:rFonts w:ascii="Verdana" w:hAnsi="Verdana"/>
          <w:sz w:val="16"/>
          <w:szCs w:val="16"/>
          <w:lang w:val="es-CR"/>
        </w:rPr>
        <w:t>[…] en general, […]</w:t>
      </w:r>
      <w:r w:rsidRPr="00A41C2F">
        <w:rPr>
          <w:rFonts w:ascii="Verdana" w:hAnsi="Verdana"/>
          <w:sz w:val="16"/>
          <w:szCs w:val="16"/>
          <w:lang w:val="es-CR"/>
        </w:rPr>
        <w:t xml:space="preserve"> manten[erles</w:t>
      </w:r>
      <w:r w:rsidRPr="00A41C2F">
        <w:rPr>
          <w:rFonts w:ascii="Verdana" w:hAnsi="Verdana" w:cs="Courier New"/>
          <w:color w:val="000000"/>
          <w:sz w:val="16"/>
          <w:szCs w:val="16"/>
          <w:shd w:val="clear" w:color="auto" w:fill="F8F9FA"/>
          <w:lang w:val="es-CR"/>
        </w:rPr>
        <w:t>]</w:t>
      </w:r>
      <w:r w:rsidR="0016711F" w:rsidRPr="00A41C2F">
        <w:rPr>
          <w:rFonts w:ascii="Verdana" w:hAnsi="Verdana"/>
          <w:sz w:val="16"/>
          <w:szCs w:val="16"/>
          <w:lang w:val="es-CR"/>
        </w:rPr>
        <w:t xml:space="preserve"> informados sobre el avance de las medidas ordenadas por la Corte Interamericana de Derechos Humanos.</w:t>
      </w:r>
    </w:p>
    <w:p w14:paraId="47698233" w14:textId="26824FD9" w:rsidR="00D5076B" w:rsidRPr="002A4229" w:rsidRDefault="00A41C2F" w:rsidP="005F0CCD">
      <w:pPr>
        <w:spacing w:before="120" w:after="120"/>
        <w:jc w:val="both"/>
        <w:rPr>
          <w:rFonts w:ascii="Verdana" w:hAnsi="Verdana"/>
          <w:sz w:val="20"/>
          <w:szCs w:val="20"/>
          <w:lang w:val="es-CR"/>
        </w:rPr>
      </w:pPr>
      <w:r>
        <w:rPr>
          <w:rFonts w:ascii="Verdana" w:hAnsi="Verdana"/>
          <w:sz w:val="20"/>
          <w:szCs w:val="20"/>
          <w:lang w:val="es-CR"/>
        </w:rPr>
        <w:t>4</w:t>
      </w:r>
      <w:r w:rsidR="00D5076B" w:rsidRPr="002A4229">
        <w:rPr>
          <w:rFonts w:ascii="Verdana" w:hAnsi="Verdana"/>
          <w:sz w:val="20"/>
          <w:szCs w:val="20"/>
          <w:lang w:val="es-CR"/>
        </w:rPr>
        <w:t>.</w:t>
      </w:r>
      <w:r w:rsidR="002A4229">
        <w:rPr>
          <w:rFonts w:ascii="Verdana" w:hAnsi="Verdana"/>
          <w:sz w:val="20"/>
          <w:szCs w:val="20"/>
          <w:lang w:val="es-CR"/>
        </w:rPr>
        <w:tab/>
      </w:r>
      <w:r w:rsidR="00D5076B" w:rsidRPr="002A4229">
        <w:rPr>
          <w:rFonts w:ascii="Verdana" w:hAnsi="Verdana"/>
          <w:sz w:val="20"/>
          <w:szCs w:val="20"/>
          <w:lang w:val="es-CR"/>
        </w:rPr>
        <w:t>Los informes presentados por el Estado, y las respectivas observaciones a los mismos presentadas por la Comisión y los representantes de los beneficiarios, en el marco de las medidas provis</w:t>
      </w:r>
      <w:r>
        <w:rPr>
          <w:rFonts w:ascii="Verdana" w:hAnsi="Verdana"/>
          <w:sz w:val="20"/>
          <w:szCs w:val="20"/>
          <w:lang w:val="es-CR"/>
        </w:rPr>
        <w:t>ionales ordenadas por la Corte.</w:t>
      </w:r>
      <w:r w:rsidR="002A4229">
        <w:rPr>
          <w:rFonts w:ascii="Verdana" w:hAnsi="Verdana"/>
          <w:sz w:val="20"/>
          <w:szCs w:val="20"/>
          <w:lang w:val="es-CR"/>
        </w:rPr>
        <w:tab/>
      </w:r>
    </w:p>
    <w:p w14:paraId="35B4CC00" w14:textId="5165C144" w:rsidR="004E5467" w:rsidRPr="002A4229" w:rsidRDefault="004E5467" w:rsidP="004E49D9">
      <w:pPr>
        <w:spacing w:before="240" w:after="240"/>
        <w:jc w:val="both"/>
        <w:rPr>
          <w:rFonts w:ascii="Verdana" w:hAnsi="Verdana"/>
          <w:b/>
          <w:sz w:val="20"/>
          <w:szCs w:val="20"/>
          <w:lang w:val="es-CR"/>
        </w:rPr>
      </w:pPr>
      <w:r w:rsidRPr="002A4229">
        <w:rPr>
          <w:rFonts w:ascii="Verdana" w:hAnsi="Verdana"/>
          <w:b/>
          <w:sz w:val="20"/>
          <w:szCs w:val="20"/>
          <w:lang w:val="es-CR"/>
        </w:rPr>
        <w:t>CONSIDERANDO</w:t>
      </w:r>
      <w:r w:rsidR="005F0CCD">
        <w:rPr>
          <w:rFonts w:ascii="Verdana" w:hAnsi="Verdana"/>
          <w:b/>
          <w:sz w:val="20"/>
          <w:szCs w:val="20"/>
          <w:lang w:val="es-CR"/>
        </w:rPr>
        <w:t xml:space="preserve"> QUE</w:t>
      </w:r>
      <w:r w:rsidRPr="002A4229">
        <w:rPr>
          <w:rFonts w:ascii="Verdana" w:hAnsi="Verdana"/>
          <w:b/>
          <w:sz w:val="20"/>
          <w:szCs w:val="20"/>
          <w:lang w:val="es-CR"/>
        </w:rPr>
        <w:t>:</w:t>
      </w:r>
    </w:p>
    <w:p w14:paraId="6ED6DD62" w14:textId="7C39B7B9" w:rsidR="00AA6A90" w:rsidRPr="00F72A98" w:rsidRDefault="005F0CCD" w:rsidP="00F72A98">
      <w:pPr>
        <w:pStyle w:val="ListParagraph"/>
        <w:numPr>
          <w:ilvl w:val="0"/>
          <w:numId w:val="10"/>
        </w:numPr>
        <w:spacing w:before="120" w:after="120"/>
        <w:ind w:left="0" w:firstLine="0"/>
        <w:contextualSpacing w:val="0"/>
        <w:jc w:val="both"/>
        <w:rPr>
          <w:rFonts w:ascii="Verdana" w:hAnsi="Verdana"/>
          <w:sz w:val="20"/>
          <w:szCs w:val="20"/>
          <w:lang w:val="es-CR"/>
        </w:rPr>
      </w:pPr>
      <w:r w:rsidRPr="00F72A98">
        <w:rPr>
          <w:rFonts w:ascii="Verdana" w:hAnsi="Verdana"/>
          <w:sz w:val="20"/>
          <w:szCs w:val="20"/>
          <w:lang w:val="es-CR"/>
        </w:rPr>
        <w:t>E</w:t>
      </w:r>
      <w:r w:rsidR="006B4303" w:rsidRPr="00F72A98">
        <w:rPr>
          <w:rFonts w:ascii="Verdana" w:hAnsi="Verdana"/>
          <w:sz w:val="20"/>
          <w:szCs w:val="20"/>
          <w:lang w:val="es-CR"/>
        </w:rPr>
        <w:t>l artículo 63.2 de la Convención Americana dispone que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 Esta disposición está a su vez regulada en el artícul</w:t>
      </w:r>
      <w:r w:rsidR="00984B2A" w:rsidRPr="00F72A98">
        <w:rPr>
          <w:rFonts w:ascii="Verdana" w:hAnsi="Verdana"/>
          <w:sz w:val="20"/>
          <w:szCs w:val="20"/>
          <w:lang w:val="es-CR"/>
        </w:rPr>
        <w:t>o 27 del Reglamento de la Corte.</w:t>
      </w:r>
    </w:p>
    <w:p w14:paraId="123E87B9" w14:textId="2CC0A9FA" w:rsidR="00AA4F32" w:rsidRDefault="00AA4F32" w:rsidP="00F72A98">
      <w:pPr>
        <w:pStyle w:val="ListParagraph"/>
        <w:numPr>
          <w:ilvl w:val="0"/>
          <w:numId w:val="10"/>
        </w:numPr>
        <w:spacing w:before="120" w:after="120"/>
        <w:ind w:left="0" w:firstLine="0"/>
        <w:contextualSpacing w:val="0"/>
        <w:jc w:val="both"/>
        <w:rPr>
          <w:rFonts w:ascii="Verdana" w:hAnsi="Verdana"/>
          <w:sz w:val="20"/>
          <w:szCs w:val="20"/>
          <w:lang w:val="es-CR"/>
        </w:rPr>
      </w:pPr>
      <w:r>
        <w:rPr>
          <w:rFonts w:ascii="Verdana" w:hAnsi="Verdana"/>
          <w:sz w:val="20"/>
          <w:szCs w:val="20"/>
          <w:lang w:val="es-CR"/>
        </w:rPr>
        <w:t>L</w:t>
      </w:r>
      <w:r w:rsidRPr="002A4229">
        <w:rPr>
          <w:rFonts w:ascii="Verdana" w:hAnsi="Verdana"/>
          <w:sz w:val="20"/>
          <w:szCs w:val="20"/>
          <w:lang w:val="es-CR"/>
        </w:rPr>
        <w:t>as medidas provisionales tienen una naturaleza temporal y caráct</w:t>
      </w:r>
      <w:r>
        <w:rPr>
          <w:rFonts w:ascii="Verdana" w:hAnsi="Verdana"/>
          <w:sz w:val="20"/>
          <w:szCs w:val="20"/>
          <w:lang w:val="es-CR"/>
        </w:rPr>
        <w:t xml:space="preserve">er excepcional, </w:t>
      </w:r>
      <w:r w:rsidR="00445CDD">
        <w:rPr>
          <w:rFonts w:ascii="Verdana" w:hAnsi="Verdana"/>
          <w:sz w:val="20"/>
          <w:szCs w:val="20"/>
          <w:lang w:val="es-CR"/>
        </w:rPr>
        <w:t>y son</w:t>
      </w:r>
      <w:r>
        <w:rPr>
          <w:rFonts w:ascii="Verdana" w:hAnsi="Verdana"/>
          <w:sz w:val="20"/>
          <w:szCs w:val="20"/>
          <w:lang w:val="es-CR"/>
        </w:rPr>
        <w:t xml:space="preserve"> </w:t>
      </w:r>
      <w:r w:rsidR="00445CDD">
        <w:rPr>
          <w:rFonts w:ascii="Verdana" w:hAnsi="Verdana"/>
          <w:sz w:val="20"/>
          <w:szCs w:val="20"/>
          <w:lang w:val="es-CR"/>
        </w:rPr>
        <w:t>dictadas</w:t>
      </w:r>
      <w:r w:rsidR="006B4303" w:rsidRPr="002A4229">
        <w:rPr>
          <w:rFonts w:ascii="Verdana" w:hAnsi="Verdana"/>
          <w:sz w:val="20"/>
          <w:szCs w:val="20"/>
          <w:lang w:val="es-CR"/>
        </w:rPr>
        <w:t xml:space="preserve"> siempre y cuando se reúnan los requisitos básicos de extrema gravedad y urgencia</w:t>
      </w:r>
      <w:r w:rsidR="00984B2A">
        <w:rPr>
          <w:rFonts w:ascii="Verdana" w:hAnsi="Verdana"/>
          <w:sz w:val="20"/>
          <w:szCs w:val="20"/>
          <w:lang w:val="es-CR"/>
        </w:rPr>
        <w:t>,</w:t>
      </w:r>
      <w:r w:rsidR="001C0232">
        <w:rPr>
          <w:rFonts w:ascii="Verdana" w:hAnsi="Verdana"/>
          <w:sz w:val="20"/>
          <w:szCs w:val="20"/>
          <w:lang w:val="es-CR"/>
        </w:rPr>
        <w:t xml:space="preserve"> y</w:t>
      </w:r>
      <w:r w:rsidR="001C0232" w:rsidRPr="002A4229">
        <w:rPr>
          <w:rFonts w:ascii="Verdana" w:hAnsi="Verdana"/>
          <w:sz w:val="20"/>
          <w:szCs w:val="20"/>
          <w:lang w:val="es-CR"/>
        </w:rPr>
        <w:t xml:space="preserve"> necesidad de evitar daños irreparables a las personas</w:t>
      </w:r>
      <w:r w:rsidR="001C0232">
        <w:rPr>
          <w:rFonts w:ascii="Verdana" w:hAnsi="Verdana"/>
          <w:sz w:val="20"/>
          <w:szCs w:val="20"/>
          <w:lang w:val="es-CR"/>
        </w:rPr>
        <w:t>.</w:t>
      </w:r>
      <w:r>
        <w:rPr>
          <w:rFonts w:ascii="Verdana" w:hAnsi="Verdana"/>
          <w:sz w:val="20"/>
          <w:szCs w:val="20"/>
          <w:lang w:val="es-CR"/>
        </w:rPr>
        <w:t xml:space="preserve"> </w:t>
      </w:r>
      <w:r w:rsidR="006B4303" w:rsidRPr="002A4229">
        <w:rPr>
          <w:rFonts w:ascii="Verdana" w:hAnsi="Verdana"/>
          <w:sz w:val="20"/>
          <w:szCs w:val="20"/>
          <w:lang w:val="es-CR"/>
        </w:rPr>
        <w:t xml:space="preserve">Estos tres requisitos son coexistentes y deben persistir para que la Corte mantenga la protección ordenada; si uno de ellos ha dejado de tener vigencia, corresponderá al Tribunal valorar la pertinencia de </w:t>
      </w:r>
      <w:bookmarkStart w:id="1" w:name="_Ref268288324"/>
      <w:r w:rsidR="00984B2A">
        <w:rPr>
          <w:rFonts w:ascii="Verdana" w:hAnsi="Verdana"/>
          <w:sz w:val="20"/>
          <w:szCs w:val="20"/>
          <w:lang w:val="es-CR"/>
        </w:rPr>
        <w:t>su continuación</w:t>
      </w:r>
      <w:r w:rsidR="006B4303" w:rsidRPr="002A4229">
        <w:rPr>
          <w:rStyle w:val="FootnoteReference"/>
          <w:rFonts w:ascii="Verdana" w:eastAsia="Times" w:hAnsi="Verdana"/>
          <w:sz w:val="20"/>
          <w:szCs w:val="20"/>
          <w:lang w:val="es-CR"/>
        </w:rPr>
        <w:footnoteReference w:id="4"/>
      </w:r>
      <w:bookmarkEnd w:id="1"/>
      <w:r w:rsidR="006B4303" w:rsidRPr="002A4229">
        <w:rPr>
          <w:rFonts w:ascii="Verdana" w:hAnsi="Verdana"/>
          <w:sz w:val="20"/>
          <w:szCs w:val="20"/>
          <w:lang w:val="es-CR"/>
        </w:rPr>
        <w:t>.</w:t>
      </w:r>
      <w:r w:rsidR="00AA6A90" w:rsidRPr="002A4229">
        <w:rPr>
          <w:rFonts w:ascii="Verdana" w:hAnsi="Verdana"/>
          <w:sz w:val="20"/>
          <w:szCs w:val="20"/>
          <w:lang w:val="es-CR"/>
        </w:rPr>
        <w:t xml:space="preserve"> Así, a efectos de decidir si se mantiene la vigencia de las medidas provisionales, el Tribunal debe analizar si persiste la situación que determinó su adopción, o bien si nuevas circunstancias igualmente graves y urgentes ameritan su mantenimiento</w:t>
      </w:r>
      <w:r w:rsidR="00AA6A90" w:rsidRPr="002A4229">
        <w:rPr>
          <w:rStyle w:val="FootnoteReference"/>
          <w:rFonts w:ascii="Verdana" w:hAnsi="Verdana"/>
          <w:sz w:val="20"/>
          <w:szCs w:val="20"/>
          <w:lang w:val="es-CR"/>
        </w:rPr>
        <w:footnoteReference w:id="5"/>
      </w:r>
      <w:r w:rsidR="00B8045D" w:rsidRPr="002A4229">
        <w:rPr>
          <w:rFonts w:ascii="Verdana" w:hAnsi="Verdana"/>
          <w:sz w:val="20"/>
          <w:szCs w:val="20"/>
          <w:lang w:val="es-CR"/>
        </w:rPr>
        <w:t>.</w:t>
      </w:r>
      <w:r w:rsidR="00AA6A90" w:rsidRPr="002A4229">
        <w:rPr>
          <w:rFonts w:ascii="Verdana" w:hAnsi="Verdana"/>
          <w:sz w:val="20"/>
          <w:szCs w:val="20"/>
          <w:lang w:val="es-CR"/>
        </w:rPr>
        <w:t xml:space="preserve"> </w:t>
      </w:r>
    </w:p>
    <w:p w14:paraId="50525AA3" w14:textId="4D0AEE39" w:rsidR="006B4303" w:rsidRPr="002A4229" w:rsidRDefault="00565FE8" w:rsidP="00F72A98">
      <w:pPr>
        <w:pStyle w:val="ListParagraph"/>
        <w:numPr>
          <w:ilvl w:val="0"/>
          <w:numId w:val="10"/>
        </w:numPr>
        <w:spacing w:before="120" w:after="120"/>
        <w:ind w:left="0" w:firstLine="0"/>
        <w:contextualSpacing w:val="0"/>
        <w:jc w:val="both"/>
        <w:rPr>
          <w:rFonts w:ascii="Verdana" w:hAnsi="Verdana"/>
          <w:sz w:val="20"/>
          <w:szCs w:val="20"/>
          <w:lang w:val="es-CR"/>
        </w:rPr>
      </w:pPr>
      <w:r>
        <w:rPr>
          <w:rFonts w:ascii="Verdana" w:hAnsi="Verdana"/>
          <w:sz w:val="20"/>
          <w:szCs w:val="20"/>
          <w:lang w:val="es-CR"/>
        </w:rPr>
        <w:t>Dadas las características de temporalidad y urgencia, l</w:t>
      </w:r>
      <w:r w:rsidR="00AA4F32">
        <w:rPr>
          <w:rFonts w:ascii="Verdana" w:hAnsi="Verdana"/>
          <w:sz w:val="20"/>
          <w:szCs w:val="20"/>
          <w:lang w:val="es-CR"/>
        </w:rPr>
        <w:t>a</w:t>
      </w:r>
      <w:r w:rsidR="00AA6A90" w:rsidRPr="002A4229">
        <w:rPr>
          <w:rFonts w:ascii="Verdana" w:hAnsi="Verdana"/>
          <w:sz w:val="20"/>
          <w:szCs w:val="20"/>
          <w:lang w:val="es-CR"/>
        </w:rPr>
        <w:t xml:space="preserve"> evaluación de la persistencia de la situación que dio origen a las medidas provisionales exige una evaluación cada vez más rigurosa por parte de la Corte</w:t>
      </w:r>
      <w:r>
        <w:rPr>
          <w:rFonts w:ascii="Verdana" w:hAnsi="Verdana"/>
          <w:sz w:val="20"/>
          <w:szCs w:val="20"/>
          <w:lang w:val="es-CR"/>
        </w:rPr>
        <w:t xml:space="preserve"> a medida</w:t>
      </w:r>
      <w:r w:rsidR="00AA6A90" w:rsidRPr="002A4229">
        <w:rPr>
          <w:rFonts w:ascii="Verdana" w:hAnsi="Verdana"/>
          <w:sz w:val="20"/>
          <w:szCs w:val="20"/>
          <w:lang w:val="es-CR"/>
        </w:rPr>
        <w:t xml:space="preserve"> que se va prolongando el tiempo en que dichas medidas han permanecido vigentes</w:t>
      </w:r>
      <w:r w:rsidR="00AA6A90" w:rsidRPr="002A4229">
        <w:rPr>
          <w:rFonts w:ascii="Verdana" w:hAnsi="Verdana"/>
          <w:sz w:val="20"/>
          <w:szCs w:val="20"/>
          <w:vertAlign w:val="superscript"/>
        </w:rPr>
        <w:footnoteReference w:id="6"/>
      </w:r>
      <w:r w:rsidR="00AA6A90" w:rsidRPr="002A4229">
        <w:rPr>
          <w:rFonts w:ascii="Verdana" w:hAnsi="Verdana"/>
          <w:sz w:val="20"/>
          <w:szCs w:val="20"/>
          <w:lang w:val="es-CR"/>
        </w:rPr>
        <w:t xml:space="preserve">. </w:t>
      </w:r>
      <w:r w:rsidR="005F0CCD">
        <w:rPr>
          <w:rFonts w:ascii="Verdana" w:hAnsi="Verdana"/>
          <w:sz w:val="20"/>
          <w:szCs w:val="20"/>
          <w:lang w:val="es-CR"/>
        </w:rPr>
        <w:t>E</w:t>
      </w:r>
      <w:r w:rsidR="00B8045D" w:rsidRPr="002A4229">
        <w:rPr>
          <w:rFonts w:ascii="Verdana" w:hAnsi="Verdana"/>
          <w:sz w:val="20"/>
          <w:szCs w:val="20"/>
          <w:lang w:val="es-CR"/>
        </w:rPr>
        <w:t xml:space="preserve">ste </w:t>
      </w:r>
      <w:r w:rsidR="00EB457B" w:rsidRPr="002A4229">
        <w:rPr>
          <w:rFonts w:ascii="Verdana" w:hAnsi="Verdana"/>
          <w:bCs/>
          <w:sz w:val="20"/>
          <w:szCs w:val="20"/>
          <w:lang w:val="es-CR"/>
        </w:rPr>
        <w:t>Tribunal</w:t>
      </w:r>
      <w:r w:rsidR="00B8045D" w:rsidRPr="002A4229">
        <w:rPr>
          <w:rFonts w:ascii="Verdana" w:hAnsi="Verdana"/>
          <w:bCs/>
          <w:sz w:val="20"/>
          <w:szCs w:val="20"/>
          <w:lang w:val="es-CR"/>
        </w:rPr>
        <w:t xml:space="preserve"> ha señalado que, c</w:t>
      </w:r>
      <w:r w:rsidR="00B8045D" w:rsidRPr="002A4229">
        <w:rPr>
          <w:rFonts w:ascii="Verdana" w:hAnsi="Verdana"/>
          <w:sz w:val="20"/>
          <w:szCs w:val="20"/>
          <w:lang w:val="es-CR"/>
        </w:rPr>
        <w:t xml:space="preserve">onforme a la Convención y al Reglamento, la carga procesal de demostrar </w:t>
      </w:r>
      <w:r w:rsidR="00B8045D" w:rsidRPr="002A4229">
        <w:rPr>
          <w:rFonts w:ascii="Verdana" w:hAnsi="Verdana"/>
          <w:i/>
          <w:sz w:val="20"/>
          <w:szCs w:val="20"/>
          <w:lang w:val="es-CR"/>
        </w:rPr>
        <w:t>prima facie</w:t>
      </w:r>
      <w:r w:rsidR="00B8045D" w:rsidRPr="002A4229">
        <w:rPr>
          <w:rFonts w:ascii="Verdana" w:hAnsi="Verdana"/>
          <w:sz w:val="20"/>
          <w:szCs w:val="20"/>
          <w:lang w:val="es-CR"/>
        </w:rPr>
        <w:t xml:space="preserve"> dichos requisitos recae en el solicitante</w:t>
      </w:r>
      <w:r w:rsidR="00B8045D" w:rsidRPr="002A4229">
        <w:rPr>
          <w:rFonts w:ascii="Verdana" w:hAnsi="Verdana"/>
          <w:sz w:val="20"/>
          <w:szCs w:val="20"/>
          <w:vertAlign w:val="superscript"/>
          <w:lang w:val="es-CR"/>
        </w:rPr>
        <w:footnoteReference w:id="7"/>
      </w:r>
      <w:r w:rsidR="00B8045D" w:rsidRPr="002A4229">
        <w:rPr>
          <w:rFonts w:ascii="Verdana" w:hAnsi="Verdana"/>
          <w:sz w:val="20"/>
          <w:szCs w:val="20"/>
          <w:lang w:val="es-CR"/>
        </w:rPr>
        <w:t xml:space="preserve">. </w:t>
      </w:r>
      <w:r>
        <w:rPr>
          <w:rFonts w:ascii="Verdana" w:hAnsi="Verdana"/>
          <w:sz w:val="20"/>
          <w:szCs w:val="20"/>
          <w:lang w:val="es-MX"/>
        </w:rPr>
        <w:t>A su vez,</w:t>
      </w:r>
      <w:r w:rsidR="008D08C7" w:rsidRPr="002A4229">
        <w:rPr>
          <w:rFonts w:ascii="Verdana" w:hAnsi="Verdana"/>
          <w:sz w:val="20"/>
          <w:szCs w:val="20"/>
          <w:lang w:val="es-MX"/>
        </w:rPr>
        <w:t xml:space="preserve"> l</w:t>
      </w:r>
      <w:r w:rsidR="00B8045D" w:rsidRPr="002A4229">
        <w:rPr>
          <w:rFonts w:ascii="Verdana" w:hAnsi="Verdana"/>
          <w:sz w:val="20"/>
          <w:szCs w:val="20"/>
          <w:lang w:val="es-MX"/>
        </w:rPr>
        <w:t>os representantes de los beneficiarios que deseen que las medidas continúen, deberán presentar prueba de las razones para ello</w:t>
      </w:r>
      <w:r w:rsidR="00B8045D" w:rsidRPr="002A4229">
        <w:rPr>
          <w:rFonts w:ascii="Verdana" w:hAnsi="Verdana"/>
          <w:sz w:val="20"/>
          <w:szCs w:val="20"/>
          <w:vertAlign w:val="superscript"/>
          <w:lang w:val="es-MX"/>
        </w:rPr>
        <w:footnoteReference w:id="8"/>
      </w:r>
      <w:r w:rsidR="00B8045D" w:rsidRPr="002A4229">
        <w:rPr>
          <w:rFonts w:ascii="Verdana" w:hAnsi="Verdana"/>
          <w:sz w:val="20"/>
          <w:szCs w:val="20"/>
          <w:lang w:val="es-CR"/>
        </w:rPr>
        <w:t>.</w:t>
      </w:r>
    </w:p>
    <w:p w14:paraId="7D76AA77" w14:textId="14CE5877" w:rsidR="00D80982" w:rsidRDefault="005F0CCD" w:rsidP="00F72A98">
      <w:pPr>
        <w:pStyle w:val="ListParagraph"/>
        <w:numPr>
          <w:ilvl w:val="0"/>
          <w:numId w:val="10"/>
        </w:numPr>
        <w:spacing w:before="120" w:after="120"/>
        <w:ind w:left="0" w:firstLine="0"/>
        <w:contextualSpacing w:val="0"/>
        <w:jc w:val="both"/>
        <w:rPr>
          <w:rFonts w:ascii="Verdana" w:hAnsi="Verdana"/>
          <w:sz w:val="20"/>
          <w:szCs w:val="20"/>
          <w:lang w:val="es-CR"/>
        </w:rPr>
      </w:pPr>
      <w:r>
        <w:rPr>
          <w:rFonts w:ascii="Verdana" w:hAnsi="Verdana"/>
          <w:sz w:val="20"/>
          <w:szCs w:val="20"/>
          <w:lang w:val="es-CR"/>
        </w:rPr>
        <w:lastRenderedPageBreak/>
        <w:t>E</w:t>
      </w:r>
      <w:r w:rsidR="00D80982" w:rsidRPr="002A4229">
        <w:rPr>
          <w:rFonts w:ascii="Verdana" w:hAnsi="Verdana"/>
          <w:sz w:val="20"/>
          <w:szCs w:val="20"/>
          <w:lang w:val="es-CR"/>
        </w:rPr>
        <w:t xml:space="preserve">n </w:t>
      </w:r>
      <w:r w:rsidR="00565FE8">
        <w:rPr>
          <w:rFonts w:ascii="Verdana" w:hAnsi="Verdana"/>
          <w:sz w:val="20"/>
          <w:szCs w:val="20"/>
          <w:lang w:val="es-CR"/>
        </w:rPr>
        <w:t xml:space="preserve">cuanto </w:t>
      </w:r>
      <w:r w:rsidR="00D80982" w:rsidRPr="002A4229">
        <w:rPr>
          <w:rFonts w:ascii="Verdana" w:hAnsi="Verdana"/>
          <w:sz w:val="20"/>
          <w:szCs w:val="20"/>
          <w:lang w:val="es-CR"/>
        </w:rPr>
        <w:t xml:space="preserve">a </w:t>
      </w:r>
      <w:r w:rsidR="00565FE8">
        <w:rPr>
          <w:rFonts w:ascii="Verdana" w:hAnsi="Verdana"/>
          <w:sz w:val="20"/>
          <w:szCs w:val="20"/>
          <w:lang w:val="es-CR"/>
        </w:rPr>
        <w:t>los beneficiarios</w:t>
      </w:r>
      <w:r w:rsidR="00D80982" w:rsidRPr="002A4229">
        <w:rPr>
          <w:rFonts w:ascii="Verdana" w:hAnsi="Verdana"/>
          <w:sz w:val="20"/>
          <w:szCs w:val="20"/>
          <w:lang w:val="es-CR"/>
        </w:rPr>
        <w:t xml:space="preserve"> Luisiana Ríos y Noé Pernía, según </w:t>
      </w:r>
      <w:r w:rsidR="004E49D9">
        <w:rPr>
          <w:rFonts w:ascii="Verdana" w:hAnsi="Verdana"/>
          <w:sz w:val="20"/>
          <w:szCs w:val="20"/>
          <w:lang w:val="es-CR"/>
        </w:rPr>
        <w:t>fue</w:t>
      </w:r>
      <w:r w:rsidR="004E49D9" w:rsidRPr="002A4229">
        <w:rPr>
          <w:rFonts w:ascii="Verdana" w:hAnsi="Verdana"/>
          <w:sz w:val="20"/>
          <w:szCs w:val="20"/>
          <w:lang w:val="es-CR"/>
        </w:rPr>
        <w:t xml:space="preserve"> </w:t>
      </w:r>
      <w:r w:rsidR="00D80982" w:rsidRPr="002A4229">
        <w:rPr>
          <w:rFonts w:ascii="Verdana" w:hAnsi="Verdana"/>
          <w:sz w:val="20"/>
          <w:szCs w:val="20"/>
          <w:lang w:val="es-CR"/>
        </w:rPr>
        <w:t xml:space="preserve">informado por los representantes y conforme con </w:t>
      </w:r>
      <w:r w:rsidR="00231397" w:rsidRPr="002A4229">
        <w:rPr>
          <w:rFonts w:ascii="Verdana" w:hAnsi="Verdana"/>
          <w:sz w:val="20"/>
          <w:szCs w:val="20"/>
          <w:lang w:val="es-CR"/>
        </w:rPr>
        <w:t>los documentos migratorios anexados por el Estado</w:t>
      </w:r>
      <w:r w:rsidR="00D80982" w:rsidRPr="002A4229">
        <w:rPr>
          <w:rFonts w:ascii="Verdana" w:hAnsi="Verdana"/>
          <w:sz w:val="20"/>
          <w:szCs w:val="20"/>
          <w:lang w:val="es-CR"/>
        </w:rPr>
        <w:t>, estos se encuentran residiendo fuera de territorio venez</w:t>
      </w:r>
      <w:r w:rsidR="00565FE8">
        <w:rPr>
          <w:rFonts w:ascii="Verdana" w:hAnsi="Verdana"/>
          <w:sz w:val="20"/>
          <w:szCs w:val="20"/>
          <w:lang w:val="es-CR"/>
        </w:rPr>
        <w:t xml:space="preserve">olano, al menos, desde el año 2015. En relación a lo anterior, cabe hacer presente que el </w:t>
      </w:r>
      <w:r w:rsidR="00565FE8" w:rsidRPr="00AA4F32">
        <w:rPr>
          <w:rFonts w:ascii="Verdana" w:hAnsi="Verdana"/>
          <w:sz w:val="20"/>
          <w:szCs w:val="20"/>
          <w:lang w:val="es-CR"/>
        </w:rPr>
        <w:t>efecto útil de las medidas provisionales depende</w:t>
      </w:r>
      <w:r w:rsidR="00373BFC">
        <w:rPr>
          <w:rFonts w:ascii="Verdana" w:hAnsi="Verdana"/>
          <w:sz w:val="20"/>
          <w:szCs w:val="20"/>
          <w:lang w:val="es-CR"/>
        </w:rPr>
        <w:t xml:space="preserve"> de la posibilidad real de que e</w:t>
      </w:r>
      <w:r w:rsidR="00565FE8" w:rsidRPr="00AA4F32">
        <w:rPr>
          <w:rFonts w:ascii="Verdana" w:hAnsi="Verdana"/>
          <w:sz w:val="20"/>
          <w:szCs w:val="20"/>
          <w:lang w:val="es-CR"/>
        </w:rPr>
        <w:t>stas sean</w:t>
      </w:r>
      <w:r w:rsidR="00565FE8">
        <w:rPr>
          <w:rFonts w:ascii="Verdana" w:hAnsi="Verdana"/>
          <w:sz w:val="20"/>
          <w:szCs w:val="20"/>
          <w:lang w:val="es-CR"/>
        </w:rPr>
        <w:t xml:space="preserve"> </w:t>
      </w:r>
      <w:r w:rsidR="00565FE8" w:rsidRPr="00AA4F32">
        <w:rPr>
          <w:rFonts w:ascii="Verdana" w:hAnsi="Verdana"/>
          <w:sz w:val="20"/>
          <w:szCs w:val="20"/>
          <w:lang w:val="es-CR"/>
        </w:rPr>
        <w:t>implementadas</w:t>
      </w:r>
      <w:r w:rsidR="00565FE8">
        <w:rPr>
          <w:rStyle w:val="FootnoteReference"/>
          <w:rFonts w:ascii="Verdana" w:hAnsi="Verdana"/>
          <w:sz w:val="20"/>
          <w:szCs w:val="20"/>
          <w:lang w:val="es-CR"/>
        </w:rPr>
        <w:footnoteReference w:id="9"/>
      </w:r>
      <w:r w:rsidR="00565FE8">
        <w:rPr>
          <w:rFonts w:ascii="Verdana" w:hAnsi="Verdana"/>
          <w:sz w:val="20"/>
          <w:szCs w:val="20"/>
          <w:lang w:val="es-CR"/>
        </w:rPr>
        <w:t>. Respecto de los beneficiarios señalados</w:t>
      </w:r>
      <w:r w:rsidR="00077C5B" w:rsidRPr="002A4229">
        <w:rPr>
          <w:rFonts w:ascii="Verdana" w:hAnsi="Verdana"/>
          <w:sz w:val="20"/>
          <w:szCs w:val="20"/>
          <w:lang w:val="es-CR"/>
        </w:rPr>
        <w:t xml:space="preserve"> exist</w:t>
      </w:r>
      <w:r w:rsidR="00373BFC">
        <w:rPr>
          <w:rFonts w:ascii="Verdana" w:hAnsi="Verdana"/>
          <w:sz w:val="20"/>
          <w:szCs w:val="20"/>
          <w:lang w:val="es-CR"/>
        </w:rPr>
        <w:t>e una imposibilidad material para el</w:t>
      </w:r>
      <w:r w:rsidR="00077C5B" w:rsidRPr="002A4229">
        <w:rPr>
          <w:rFonts w:ascii="Verdana" w:hAnsi="Verdana"/>
          <w:sz w:val="20"/>
          <w:szCs w:val="20"/>
          <w:lang w:val="es-CR"/>
        </w:rPr>
        <w:t xml:space="preserve"> Estado de cumplir las medidas provisionales sobre territorios respecto de los cuales carece de soberanía, sin que, por otro lado, los representantes hayan manifestado la intención de estos beneficiarios de reingresar al país. </w:t>
      </w:r>
      <w:r w:rsidR="008C7A8B">
        <w:rPr>
          <w:rFonts w:ascii="Verdana" w:hAnsi="Verdana"/>
          <w:sz w:val="20"/>
          <w:szCs w:val="20"/>
          <w:lang w:val="es-CR"/>
        </w:rPr>
        <w:t>Adicionalmente</w:t>
      </w:r>
      <w:r w:rsidR="00077C5B" w:rsidRPr="002A4229">
        <w:rPr>
          <w:rFonts w:ascii="Verdana" w:hAnsi="Verdana"/>
          <w:sz w:val="20"/>
          <w:szCs w:val="20"/>
          <w:lang w:val="es-CR"/>
        </w:rPr>
        <w:t>, no consta respecto de estos la existencia de hechos nuevos</w:t>
      </w:r>
      <w:r w:rsidR="00373BFC">
        <w:rPr>
          <w:rFonts w:ascii="Verdana" w:hAnsi="Verdana"/>
          <w:sz w:val="20"/>
          <w:szCs w:val="20"/>
          <w:lang w:val="es-CR"/>
        </w:rPr>
        <w:t xml:space="preserve"> de gravedad</w:t>
      </w:r>
      <w:r w:rsidR="00077C5B" w:rsidRPr="002A4229">
        <w:rPr>
          <w:rFonts w:ascii="Verdana" w:hAnsi="Verdana"/>
          <w:sz w:val="20"/>
          <w:szCs w:val="20"/>
          <w:lang w:val="es-CR"/>
        </w:rPr>
        <w:t xml:space="preserve"> que pongan en riesgo su vida e integridad personal. Por estas razones, </w:t>
      </w:r>
      <w:r w:rsidR="009A2DD1">
        <w:rPr>
          <w:rFonts w:ascii="Verdana" w:hAnsi="Verdana"/>
          <w:sz w:val="20"/>
          <w:szCs w:val="20"/>
          <w:lang w:val="es-CR"/>
        </w:rPr>
        <w:t xml:space="preserve">la Corte considera que </w:t>
      </w:r>
      <w:r w:rsidR="00077C5B" w:rsidRPr="002A4229">
        <w:rPr>
          <w:rFonts w:ascii="Verdana" w:hAnsi="Verdana"/>
          <w:sz w:val="20"/>
          <w:szCs w:val="20"/>
          <w:lang w:val="es-CR"/>
        </w:rPr>
        <w:t>corresponde levantar las medi</w:t>
      </w:r>
      <w:r w:rsidR="00373BFC">
        <w:rPr>
          <w:rFonts w:ascii="Verdana" w:hAnsi="Verdana"/>
          <w:sz w:val="20"/>
          <w:szCs w:val="20"/>
          <w:lang w:val="es-CR"/>
        </w:rPr>
        <w:t xml:space="preserve">das provisionales respecto de </w:t>
      </w:r>
      <w:r w:rsidR="003C455D">
        <w:rPr>
          <w:rFonts w:ascii="Verdana" w:hAnsi="Verdana"/>
          <w:sz w:val="20"/>
          <w:szCs w:val="20"/>
          <w:lang w:val="es-CR"/>
        </w:rPr>
        <w:t>estas personas</w:t>
      </w:r>
      <w:r w:rsidR="00373BFC">
        <w:rPr>
          <w:rFonts w:ascii="Verdana" w:hAnsi="Verdana"/>
          <w:sz w:val="20"/>
          <w:szCs w:val="20"/>
          <w:lang w:val="es-CR"/>
        </w:rPr>
        <w:t>.</w:t>
      </w:r>
    </w:p>
    <w:p w14:paraId="24E1BFBE" w14:textId="0D533EE3" w:rsidR="00077C5B" w:rsidRPr="003C455D" w:rsidRDefault="005F0CCD" w:rsidP="00F72A98">
      <w:pPr>
        <w:pStyle w:val="ListParagraph"/>
        <w:numPr>
          <w:ilvl w:val="0"/>
          <w:numId w:val="10"/>
        </w:numPr>
        <w:spacing w:before="120" w:after="120"/>
        <w:ind w:left="0" w:firstLine="0"/>
        <w:contextualSpacing w:val="0"/>
        <w:jc w:val="both"/>
        <w:rPr>
          <w:rFonts w:ascii="Verdana" w:hAnsi="Verdana"/>
          <w:sz w:val="20"/>
          <w:szCs w:val="20"/>
          <w:lang w:val="es-CR"/>
        </w:rPr>
      </w:pPr>
      <w:r w:rsidRPr="003C455D">
        <w:rPr>
          <w:rFonts w:ascii="Verdana" w:hAnsi="Verdana"/>
          <w:sz w:val="20"/>
          <w:szCs w:val="20"/>
          <w:lang w:val="es-CR"/>
        </w:rPr>
        <w:t>E</w:t>
      </w:r>
      <w:r w:rsidR="00077C5B" w:rsidRPr="003C455D">
        <w:rPr>
          <w:rFonts w:ascii="Verdana" w:hAnsi="Verdana"/>
          <w:sz w:val="20"/>
          <w:szCs w:val="20"/>
          <w:lang w:val="es-CR"/>
        </w:rPr>
        <w:t xml:space="preserve">n relación a los beneficiarios Armando Amaya y Antonio José Monroy, </w:t>
      </w:r>
      <w:r w:rsidR="003C455D" w:rsidRPr="003C455D">
        <w:rPr>
          <w:rFonts w:ascii="Verdana" w:hAnsi="Verdana"/>
          <w:sz w:val="20"/>
          <w:szCs w:val="20"/>
          <w:lang w:val="es-CR"/>
        </w:rPr>
        <w:t xml:space="preserve">si bien </w:t>
      </w:r>
      <w:r w:rsidR="009A2DD1" w:rsidRPr="003C455D">
        <w:rPr>
          <w:rFonts w:ascii="Verdana" w:hAnsi="Verdana"/>
          <w:sz w:val="20"/>
          <w:szCs w:val="20"/>
          <w:lang w:val="es-CR"/>
        </w:rPr>
        <w:t xml:space="preserve">los representantes </w:t>
      </w:r>
      <w:r w:rsidR="003C455D" w:rsidRPr="003C455D">
        <w:rPr>
          <w:rFonts w:ascii="Verdana" w:hAnsi="Verdana"/>
          <w:sz w:val="20"/>
          <w:szCs w:val="20"/>
          <w:lang w:val="es-CR"/>
        </w:rPr>
        <w:t>adujeron de forma genérica presuntos hechos de acoso policial en contra de Armando Amaya, estos datarían del año 2015, sin que se invocaren situaciones nuevas y concretas en sus posteriores presentaciones.</w:t>
      </w:r>
      <w:r w:rsidR="003C455D">
        <w:rPr>
          <w:rFonts w:ascii="Verdana" w:hAnsi="Verdana"/>
          <w:sz w:val="20"/>
          <w:szCs w:val="20"/>
          <w:lang w:val="es-CR"/>
        </w:rPr>
        <w:t xml:space="preserve"> </w:t>
      </w:r>
      <w:r w:rsidR="009A2DD1" w:rsidRPr="003C455D">
        <w:rPr>
          <w:rFonts w:ascii="Verdana" w:hAnsi="Verdana"/>
          <w:sz w:val="20"/>
          <w:szCs w:val="20"/>
          <w:lang w:val="es-CR"/>
        </w:rPr>
        <w:t xml:space="preserve">Por lo demás, según la información aportada por los representantes en su escrito de 27 de noviembre de 2015, ya desde esa fecha Armando Amaya y Antonio José Monroy no </w:t>
      </w:r>
      <w:r w:rsidR="008E1050" w:rsidRPr="003C455D">
        <w:rPr>
          <w:rFonts w:ascii="Verdana" w:hAnsi="Verdana"/>
          <w:sz w:val="20"/>
          <w:szCs w:val="20"/>
          <w:lang w:val="es-CR"/>
        </w:rPr>
        <w:t xml:space="preserve">continuaron </w:t>
      </w:r>
      <w:r w:rsidR="009A2DD1" w:rsidRPr="003C455D">
        <w:rPr>
          <w:rFonts w:ascii="Verdana" w:hAnsi="Verdana"/>
          <w:sz w:val="20"/>
          <w:szCs w:val="20"/>
          <w:lang w:val="es-CR"/>
        </w:rPr>
        <w:t>dedicándose a la labor periodística. Al respecto, cabe destacar que la Corte Interamericana adoptó las presentes medidas provisionales en razón de la ocurrencia de hechos graves vinculados a su labor de comunicadores sociales en contextos violentos, lo que los ponía en especial vulnerabilidad</w:t>
      </w:r>
      <w:r w:rsidR="009A2DD1" w:rsidRPr="00612BCD">
        <w:rPr>
          <w:rStyle w:val="FootnoteReference"/>
          <w:rFonts w:ascii="Verdana" w:hAnsi="Verdana"/>
          <w:sz w:val="20"/>
          <w:szCs w:val="20"/>
          <w:lang w:val="es-CR"/>
        </w:rPr>
        <w:footnoteReference w:id="10"/>
      </w:r>
      <w:r w:rsidR="009A2DD1" w:rsidRPr="003C455D">
        <w:rPr>
          <w:rFonts w:ascii="Verdana" w:hAnsi="Verdana"/>
          <w:sz w:val="20"/>
          <w:szCs w:val="20"/>
          <w:lang w:val="es-CR"/>
        </w:rPr>
        <w:t>; por lo que de no dedicarse a dicha tarea, y a falta de hechos nuevos, la medida</w:t>
      </w:r>
      <w:r w:rsidR="008C7A8B" w:rsidRPr="003C455D">
        <w:rPr>
          <w:rFonts w:ascii="Verdana" w:hAnsi="Verdana"/>
          <w:sz w:val="20"/>
          <w:szCs w:val="20"/>
          <w:lang w:val="es-CR"/>
        </w:rPr>
        <w:t xml:space="preserve"> en cuestión</w:t>
      </w:r>
      <w:r w:rsidR="009A2DD1" w:rsidRPr="003C455D">
        <w:rPr>
          <w:rFonts w:ascii="Verdana" w:hAnsi="Verdana"/>
          <w:sz w:val="20"/>
          <w:szCs w:val="20"/>
          <w:lang w:val="es-CR"/>
        </w:rPr>
        <w:t xml:space="preserve"> carece de fundamento. </w:t>
      </w:r>
      <w:r w:rsidR="00ED4A6A" w:rsidRPr="003C455D">
        <w:rPr>
          <w:rFonts w:ascii="Verdana" w:hAnsi="Verdana"/>
          <w:sz w:val="20"/>
          <w:szCs w:val="20"/>
          <w:lang w:val="es-CR"/>
        </w:rPr>
        <w:t>Por las razones señaladas, esta Corte estima procedente el levantamiento de las medidas provisionale</w:t>
      </w:r>
      <w:r w:rsidR="009A2DD1" w:rsidRPr="003C455D">
        <w:rPr>
          <w:rFonts w:ascii="Verdana" w:hAnsi="Verdana"/>
          <w:sz w:val="20"/>
          <w:szCs w:val="20"/>
          <w:lang w:val="es-CR"/>
        </w:rPr>
        <w:t>s respecto de estos beneficiarios.</w:t>
      </w:r>
    </w:p>
    <w:p w14:paraId="3F24A8DF" w14:textId="33381F69" w:rsidR="00ED4A6A" w:rsidRPr="002A4229" w:rsidRDefault="005F0CCD" w:rsidP="00F72A98">
      <w:pPr>
        <w:pStyle w:val="ListParagraph"/>
        <w:numPr>
          <w:ilvl w:val="0"/>
          <w:numId w:val="10"/>
        </w:numPr>
        <w:spacing w:before="120" w:after="120"/>
        <w:ind w:left="0" w:firstLine="0"/>
        <w:contextualSpacing w:val="0"/>
        <w:jc w:val="both"/>
        <w:rPr>
          <w:rFonts w:ascii="Verdana" w:hAnsi="Verdana"/>
          <w:sz w:val="20"/>
          <w:szCs w:val="20"/>
          <w:lang w:val="es-CR"/>
        </w:rPr>
      </w:pPr>
      <w:r>
        <w:rPr>
          <w:rFonts w:ascii="Verdana" w:hAnsi="Verdana"/>
          <w:sz w:val="20"/>
          <w:szCs w:val="20"/>
          <w:lang w:val="es-CR"/>
        </w:rPr>
        <w:t>E</w:t>
      </w:r>
      <w:r w:rsidR="005B5631" w:rsidRPr="002A4229">
        <w:rPr>
          <w:rFonts w:ascii="Verdana" w:hAnsi="Verdana"/>
          <w:sz w:val="20"/>
          <w:szCs w:val="20"/>
          <w:lang w:val="es-CR"/>
        </w:rPr>
        <w:t xml:space="preserve">n </w:t>
      </w:r>
      <w:r w:rsidR="004E49D9">
        <w:rPr>
          <w:rFonts w:ascii="Verdana" w:hAnsi="Verdana"/>
          <w:sz w:val="20"/>
          <w:szCs w:val="20"/>
          <w:lang w:val="es-CR"/>
        </w:rPr>
        <w:t>cuanto a</w:t>
      </w:r>
      <w:r w:rsidR="005B5631" w:rsidRPr="002A4229">
        <w:rPr>
          <w:rFonts w:ascii="Verdana" w:hAnsi="Verdana"/>
          <w:sz w:val="20"/>
          <w:szCs w:val="20"/>
          <w:lang w:val="es-CR"/>
        </w:rPr>
        <w:t xml:space="preserve"> </w:t>
      </w:r>
      <w:r w:rsidR="00565BE3">
        <w:rPr>
          <w:rFonts w:ascii="Verdana" w:hAnsi="Verdana"/>
          <w:sz w:val="20"/>
          <w:szCs w:val="20"/>
          <w:lang w:val="es-CR"/>
        </w:rPr>
        <w:t>los beneficiarios</w:t>
      </w:r>
      <w:r w:rsidR="005B5631" w:rsidRPr="002A4229">
        <w:rPr>
          <w:rFonts w:ascii="Verdana" w:hAnsi="Verdana"/>
          <w:sz w:val="20"/>
          <w:szCs w:val="20"/>
          <w:lang w:val="es-CR"/>
        </w:rPr>
        <w:t xml:space="preserve"> Laura Castellanos, Argenis Uribe, Carlos Colmenares y Pedro Nikken, así como los periodistas, directivos y trabajadores del medio de comunicación social RCTV, y las personas que se encuentren en las instalaciones de este medio de comunicación social o que estén vinculadas a la operación periodística de dicho medio, </w:t>
      </w:r>
      <w:r w:rsidR="00373BFC">
        <w:rPr>
          <w:rFonts w:ascii="Verdana" w:hAnsi="Verdana"/>
          <w:sz w:val="20"/>
          <w:szCs w:val="20"/>
          <w:lang w:val="es-CR"/>
        </w:rPr>
        <w:t>tampoco</w:t>
      </w:r>
      <w:r w:rsidR="00367125" w:rsidRPr="002A4229">
        <w:rPr>
          <w:rFonts w:ascii="Verdana" w:hAnsi="Verdana"/>
          <w:sz w:val="20"/>
          <w:szCs w:val="20"/>
          <w:lang w:val="es-CR"/>
        </w:rPr>
        <w:t xml:space="preserve"> consta la </w:t>
      </w:r>
      <w:r w:rsidR="001C0232">
        <w:rPr>
          <w:rFonts w:ascii="Verdana" w:hAnsi="Verdana"/>
          <w:sz w:val="20"/>
          <w:szCs w:val="20"/>
          <w:lang w:val="es-CR"/>
        </w:rPr>
        <w:t>concurrencia de los requisitos exigidos en el artículo 63.2 de la Convención y 27 del Reglamento de la Corte, según se desarrollará</w:t>
      </w:r>
      <w:r w:rsidR="000B0CF7">
        <w:rPr>
          <w:rFonts w:ascii="Verdana" w:hAnsi="Verdana"/>
          <w:sz w:val="20"/>
          <w:szCs w:val="20"/>
          <w:lang w:val="es-CR"/>
        </w:rPr>
        <w:t xml:space="preserve"> </w:t>
      </w:r>
      <w:r w:rsidR="000B0CF7" w:rsidRPr="000B0CF7">
        <w:rPr>
          <w:rFonts w:ascii="Verdana" w:hAnsi="Verdana"/>
          <w:i/>
          <w:sz w:val="20"/>
          <w:szCs w:val="20"/>
          <w:lang w:val="es-CR"/>
        </w:rPr>
        <w:t>infra</w:t>
      </w:r>
      <w:r w:rsidR="001C0232">
        <w:rPr>
          <w:rFonts w:ascii="Verdana" w:hAnsi="Verdana"/>
          <w:sz w:val="20"/>
          <w:szCs w:val="20"/>
          <w:lang w:val="es-CR"/>
        </w:rPr>
        <w:t>.</w:t>
      </w:r>
      <w:r w:rsidR="00367125" w:rsidRPr="002A4229">
        <w:rPr>
          <w:rFonts w:ascii="Verdana" w:hAnsi="Verdana"/>
          <w:sz w:val="20"/>
          <w:szCs w:val="20"/>
          <w:lang w:val="es-CR"/>
        </w:rPr>
        <w:t xml:space="preserve"> </w:t>
      </w:r>
    </w:p>
    <w:p w14:paraId="43C33AF6" w14:textId="417370F6" w:rsidR="00367125" w:rsidRPr="002A4229" w:rsidRDefault="009A2DD1" w:rsidP="00F72A98">
      <w:pPr>
        <w:pStyle w:val="ListParagraph"/>
        <w:numPr>
          <w:ilvl w:val="0"/>
          <w:numId w:val="10"/>
        </w:numPr>
        <w:spacing w:before="120" w:after="120"/>
        <w:ind w:left="0" w:firstLine="0"/>
        <w:contextualSpacing w:val="0"/>
        <w:jc w:val="both"/>
        <w:rPr>
          <w:rFonts w:ascii="Verdana" w:hAnsi="Verdana"/>
          <w:sz w:val="20"/>
          <w:szCs w:val="20"/>
          <w:lang w:val="es-CR"/>
        </w:rPr>
      </w:pPr>
      <w:r>
        <w:rPr>
          <w:rFonts w:ascii="Verdana" w:hAnsi="Verdana"/>
          <w:sz w:val="20"/>
          <w:szCs w:val="20"/>
          <w:lang w:val="es-CR"/>
        </w:rPr>
        <w:t>Conforme</w:t>
      </w:r>
      <w:r w:rsidR="00367125" w:rsidRPr="002A4229">
        <w:rPr>
          <w:rFonts w:ascii="Verdana" w:hAnsi="Verdana"/>
          <w:sz w:val="20"/>
          <w:szCs w:val="20"/>
          <w:lang w:val="es-CR"/>
        </w:rPr>
        <w:t xml:space="preserve"> fue </w:t>
      </w:r>
      <w:r w:rsidR="006D4617">
        <w:rPr>
          <w:rFonts w:ascii="Verdana" w:hAnsi="Verdana"/>
          <w:sz w:val="20"/>
          <w:szCs w:val="20"/>
          <w:lang w:val="es-CR"/>
        </w:rPr>
        <w:t>señalado en la</w:t>
      </w:r>
      <w:r w:rsidR="00373BFC">
        <w:rPr>
          <w:rFonts w:ascii="Verdana" w:hAnsi="Verdana"/>
          <w:sz w:val="20"/>
          <w:szCs w:val="20"/>
          <w:lang w:val="es-CR"/>
        </w:rPr>
        <w:t>s</w:t>
      </w:r>
      <w:r w:rsidR="006D4617">
        <w:rPr>
          <w:rFonts w:ascii="Verdana" w:hAnsi="Verdana"/>
          <w:sz w:val="20"/>
          <w:szCs w:val="20"/>
          <w:lang w:val="es-CR"/>
        </w:rPr>
        <w:t xml:space="preserve"> última</w:t>
      </w:r>
      <w:r w:rsidR="00373BFC">
        <w:rPr>
          <w:rFonts w:ascii="Verdana" w:hAnsi="Verdana"/>
          <w:sz w:val="20"/>
          <w:szCs w:val="20"/>
          <w:lang w:val="es-CR"/>
        </w:rPr>
        <w:t>s Resolucio</w:t>
      </w:r>
      <w:r w:rsidR="006D4617">
        <w:rPr>
          <w:rFonts w:ascii="Verdana" w:hAnsi="Verdana"/>
          <w:sz w:val="20"/>
          <w:szCs w:val="20"/>
          <w:lang w:val="es-CR"/>
        </w:rPr>
        <w:t>n</w:t>
      </w:r>
      <w:r w:rsidR="00373BFC">
        <w:rPr>
          <w:rFonts w:ascii="Verdana" w:hAnsi="Verdana"/>
          <w:sz w:val="20"/>
          <w:szCs w:val="20"/>
          <w:lang w:val="es-CR"/>
        </w:rPr>
        <w:t>es</w:t>
      </w:r>
      <w:r w:rsidR="006D4617">
        <w:rPr>
          <w:rFonts w:ascii="Verdana" w:hAnsi="Verdana"/>
          <w:sz w:val="20"/>
          <w:szCs w:val="20"/>
          <w:lang w:val="es-CR"/>
        </w:rPr>
        <w:t xml:space="preserve"> dictada</w:t>
      </w:r>
      <w:r w:rsidR="00373BFC">
        <w:rPr>
          <w:rFonts w:ascii="Verdana" w:hAnsi="Verdana"/>
          <w:sz w:val="20"/>
          <w:szCs w:val="20"/>
          <w:lang w:val="es-CR"/>
        </w:rPr>
        <w:t>s</w:t>
      </w:r>
      <w:r w:rsidR="00367125" w:rsidRPr="002A4229">
        <w:rPr>
          <w:rFonts w:ascii="Verdana" w:hAnsi="Verdana"/>
          <w:sz w:val="20"/>
          <w:szCs w:val="20"/>
          <w:lang w:val="es-CR"/>
        </w:rPr>
        <w:t xml:space="preserve"> en el asunto Luisiana Ríos y otros</w:t>
      </w:r>
      <w:r w:rsidR="006D4617">
        <w:rPr>
          <w:rStyle w:val="FootnoteReference"/>
          <w:rFonts w:ascii="Verdana" w:hAnsi="Verdana"/>
          <w:sz w:val="20"/>
          <w:szCs w:val="20"/>
          <w:lang w:val="es-CR"/>
        </w:rPr>
        <w:footnoteReference w:id="11"/>
      </w:r>
      <w:r w:rsidR="00367125" w:rsidRPr="002A4229">
        <w:rPr>
          <w:rFonts w:ascii="Verdana" w:hAnsi="Verdana"/>
          <w:sz w:val="20"/>
          <w:szCs w:val="20"/>
          <w:lang w:val="es-CR"/>
        </w:rPr>
        <w:t xml:space="preserve">, cuando la Corte ordenó la adopción de las medidas provisionales y su posterior ampliación, determinó la referida protección a la libertad de expresión en relación </w:t>
      </w:r>
      <w:r w:rsidR="00367125" w:rsidRPr="002A4229">
        <w:rPr>
          <w:rFonts w:ascii="Verdana" w:hAnsi="Verdana"/>
          <w:sz w:val="20"/>
          <w:szCs w:val="20"/>
          <w:lang w:val="es-CR"/>
        </w:rPr>
        <w:lastRenderedPageBreak/>
        <w:t>directa con el peligro para la vida e integridad personal como consecuencia de las supuestas amenazas y agresiones de que estaban siendo objeto los beneficiarios de las medidas.</w:t>
      </w:r>
    </w:p>
    <w:p w14:paraId="30464C91" w14:textId="60265F83" w:rsidR="00367125" w:rsidRPr="002A4229" w:rsidRDefault="005F0CCD" w:rsidP="00F72A98">
      <w:pPr>
        <w:pStyle w:val="ListParagraph"/>
        <w:numPr>
          <w:ilvl w:val="0"/>
          <w:numId w:val="10"/>
        </w:numPr>
        <w:spacing w:before="120" w:after="120"/>
        <w:ind w:left="0" w:firstLine="0"/>
        <w:contextualSpacing w:val="0"/>
        <w:jc w:val="both"/>
        <w:rPr>
          <w:rFonts w:ascii="Verdana" w:hAnsi="Verdana"/>
          <w:sz w:val="20"/>
          <w:szCs w:val="20"/>
          <w:lang w:val="es-CR"/>
        </w:rPr>
      </w:pPr>
      <w:r>
        <w:rPr>
          <w:rFonts w:ascii="Verdana" w:hAnsi="Verdana"/>
          <w:sz w:val="20"/>
          <w:szCs w:val="20"/>
          <w:lang w:val="es-CR"/>
        </w:rPr>
        <w:t>L</w:t>
      </w:r>
      <w:r w:rsidR="008E0D81" w:rsidRPr="002A4229">
        <w:rPr>
          <w:rFonts w:ascii="Verdana" w:hAnsi="Verdana"/>
          <w:sz w:val="20"/>
          <w:szCs w:val="20"/>
          <w:lang w:val="es-CR"/>
        </w:rPr>
        <w:t xml:space="preserve">a Corte </w:t>
      </w:r>
      <w:r w:rsidR="00A06633">
        <w:rPr>
          <w:rFonts w:ascii="Verdana" w:hAnsi="Verdana"/>
          <w:sz w:val="20"/>
          <w:szCs w:val="20"/>
          <w:lang w:val="es-CR"/>
        </w:rPr>
        <w:t>nota</w:t>
      </w:r>
      <w:r w:rsidR="008E0D81" w:rsidRPr="002A4229">
        <w:rPr>
          <w:rFonts w:ascii="Verdana" w:hAnsi="Verdana"/>
          <w:sz w:val="20"/>
          <w:szCs w:val="20"/>
          <w:lang w:val="es-CR"/>
        </w:rPr>
        <w:t xml:space="preserve"> que los últimos hechos concretos</w:t>
      </w:r>
      <w:r w:rsidR="00565BE3">
        <w:rPr>
          <w:rFonts w:ascii="Verdana" w:hAnsi="Verdana"/>
          <w:sz w:val="20"/>
          <w:szCs w:val="20"/>
          <w:lang w:val="es-CR"/>
        </w:rPr>
        <w:t xml:space="preserve"> alegados que presuntamente ponían en riesgo la vida e integridad de beneficiarios fueron informados en noviembre de 2015, es decir, hace </w:t>
      </w:r>
      <w:r w:rsidR="008E1050">
        <w:rPr>
          <w:rFonts w:ascii="Verdana" w:hAnsi="Verdana"/>
          <w:sz w:val="20"/>
          <w:szCs w:val="20"/>
          <w:lang w:val="es-CR"/>
        </w:rPr>
        <w:t xml:space="preserve">casi tres </w:t>
      </w:r>
      <w:r w:rsidR="00565BE3">
        <w:rPr>
          <w:rFonts w:ascii="Verdana" w:hAnsi="Verdana"/>
          <w:sz w:val="20"/>
          <w:szCs w:val="20"/>
          <w:lang w:val="es-CR"/>
        </w:rPr>
        <w:t>años</w:t>
      </w:r>
      <w:r w:rsidR="00F72A98">
        <w:rPr>
          <w:rFonts w:ascii="Verdana" w:hAnsi="Verdana"/>
          <w:sz w:val="20"/>
          <w:szCs w:val="20"/>
          <w:lang w:val="es-CR"/>
        </w:rPr>
        <w:t xml:space="preserve"> (los que </w:t>
      </w:r>
      <w:r w:rsidR="003C455D">
        <w:rPr>
          <w:rFonts w:ascii="Verdana" w:hAnsi="Verdana"/>
          <w:sz w:val="20"/>
          <w:szCs w:val="20"/>
          <w:lang w:val="es-CR"/>
        </w:rPr>
        <w:t xml:space="preserve">habrían ocurrido </w:t>
      </w:r>
      <w:r w:rsidR="00F72A98">
        <w:rPr>
          <w:rFonts w:ascii="Verdana" w:hAnsi="Verdana"/>
          <w:sz w:val="20"/>
          <w:szCs w:val="20"/>
          <w:lang w:val="es-CR"/>
        </w:rPr>
        <w:t xml:space="preserve">en contra de Laura Castellanos y </w:t>
      </w:r>
      <w:r w:rsidR="00F72A98" w:rsidRPr="002A4229">
        <w:rPr>
          <w:rFonts w:ascii="Verdana" w:hAnsi="Verdana"/>
          <w:sz w:val="20"/>
          <w:szCs w:val="20"/>
          <w:lang w:val="es-CR"/>
        </w:rPr>
        <w:t>de Marcel Granier</w:t>
      </w:r>
      <w:r w:rsidR="00F72A98">
        <w:rPr>
          <w:rFonts w:ascii="Verdana" w:hAnsi="Verdana"/>
          <w:sz w:val="20"/>
          <w:szCs w:val="20"/>
          <w:lang w:val="es-CR"/>
        </w:rPr>
        <w:t>,</w:t>
      </w:r>
      <w:r w:rsidR="00F72A98" w:rsidRPr="002A4229">
        <w:rPr>
          <w:rFonts w:ascii="Verdana" w:hAnsi="Verdana"/>
          <w:sz w:val="20"/>
          <w:szCs w:val="20"/>
          <w:lang w:val="es-CR"/>
        </w:rPr>
        <w:t xml:space="preserve"> qui</w:t>
      </w:r>
      <w:r w:rsidR="00F72A98">
        <w:rPr>
          <w:rFonts w:ascii="Verdana" w:hAnsi="Verdana"/>
          <w:sz w:val="20"/>
          <w:szCs w:val="20"/>
          <w:lang w:val="es-CR"/>
        </w:rPr>
        <w:t>en fungía como director de RCTV)</w:t>
      </w:r>
      <w:r w:rsidR="008E0D81" w:rsidRPr="002A4229">
        <w:rPr>
          <w:rFonts w:ascii="Verdana" w:hAnsi="Verdana"/>
          <w:sz w:val="20"/>
          <w:szCs w:val="20"/>
          <w:lang w:val="es-CR"/>
        </w:rPr>
        <w:t xml:space="preserve">. Respecto </w:t>
      </w:r>
      <w:r w:rsidR="008E1050">
        <w:rPr>
          <w:rFonts w:ascii="Verdana" w:hAnsi="Verdana"/>
          <w:sz w:val="20"/>
          <w:szCs w:val="20"/>
          <w:lang w:val="es-CR"/>
        </w:rPr>
        <w:t>de los</w:t>
      </w:r>
      <w:r w:rsidR="008E1050" w:rsidRPr="002A4229">
        <w:rPr>
          <w:rFonts w:ascii="Verdana" w:hAnsi="Verdana"/>
          <w:sz w:val="20"/>
          <w:szCs w:val="20"/>
          <w:lang w:val="es-CR"/>
        </w:rPr>
        <w:t xml:space="preserve"> </w:t>
      </w:r>
      <w:r w:rsidR="008E1050">
        <w:rPr>
          <w:rFonts w:ascii="Verdana" w:hAnsi="Verdana"/>
          <w:sz w:val="20"/>
          <w:szCs w:val="20"/>
          <w:lang w:val="es-CR"/>
        </w:rPr>
        <w:t xml:space="preserve">demás </w:t>
      </w:r>
      <w:r w:rsidR="008E0D81" w:rsidRPr="002A4229">
        <w:rPr>
          <w:rFonts w:ascii="Verdana" w:hAnsi="Verdana"/>
          <w:sz w:val="20"/>
          <w:szCs w:val="20"/>
          <w:lang w:val="es-CR"/>
        </w:rPr>
        <w:t xml:space="preserve">beneficiarios, </w:t>
      </w:r>
      <w:r w:rsidR="009A2DD1">
        <w:rPr>
          <w:rFonts w:ascii="Verdana" w:hAnsi="Verdana"/>
          <w:sz w:val="20"/>
          <w:szCs w:val="20"/>
          <w:lang w:val="es-CR"/>
        </w:rPr>
        <w:t>los representantes no señala</w:t>
      </w:r>
      <w:r w:rsidR="00592D65">
        <w:rPr>
          <w:rFonts w:ascii="Verdana" w:hAnsi="Verdana"/>
          <w:sz w:val="20"/>
          <w:szCs w:val="20"/>
          <w:lang w:val="es-CR"/>
        </w:rPr>
        <w:t>ro</w:t>
      </w:r>
      <w:r w:rsidR="009A2DD1">
        <w:rPr>
          <w:rFonts w:ascii="Verdana" w:hAnsi="Verdana"/>
          <w:sz w:val="20"/>
          <w:szCs w:val="20"/>
          <w:lang w:val="es-CR"/>
        </w:rPr>
        <w:t>n en sus presentaciones</w:t>
      </w:r>
      <w:r w:rsidR="00D06215" w:rsidRPr="002A4229">
        <w:rPr>
          <w:rFonts w:ascii="Verdana" w:hAnsi="Verdana"/>
          <w:sz w:val="20"/>
          <w:szCs w:val="20"/>
          <w:lang w:val="es-CR"/>
        </w:rPr>
        <w:t xml:space="preserve"> </w:t>
      </w:r>
      <w:r w:rsidR="001C0232">
        <w:rPr>
          <w:rFonts w:ascii="Verdana" w:hAnsi="Verdana"/>
          <w:sz w:val="20"/>
          <w:szCs w:val="20"/>
          <w:lang w:val="es-CR"/>
        </w:rPr>
        <w:t xml:space="preserve">recientes </w:t>
      </w:r>
      <w:r w:rsidR="00D06215" w:rsidRPr="002A4229">
        <w:rPr>
          <w:rFonts w:ascii="Verdana" w:hAnsi="Verdana"/>
          <w:sz w:val="20"/>
          <w:szCs w:val="20"/>
          <w:lang w:val="es-CR"/>
        </w:rPr>
        <w:t>de fo</w:t>
      </w:r>
      <w:r w:rsidR="00565BE3">
        <w:rPr>
          <w:rFonts w:ascii="Verdana" w:hAnsi="Verdana"/>
          <w:sz w:val="20"/>
          <w:szCs w:val="20"/>
          <w:lang w:val="es-CR"/>
        </w:rPr>
        <w:t>rma concreta ningún hecho</w:t>
      </w:r>
      <w:r w:rsidR="00D06215" w:rsidRPr="002A4229">
        <w:rPr>
          <w:rFonts w:ascii="Verdana" w:hAnsi="Verdana"/>
          <w:sz w:val="20"/>
          <w:szCs w:val="20"/>
          <w:lang w:val="es-CR"/>
        </w:rPr>
        <w:t xml:space="preserve"> d</w:t>
      </w:r>
      <w:r w:rsidR="00565BE3">
        <w:rPr>
          <w:rFonts w:ascii="Verdana" w:hAnsi="Verdana"/>
          <w:sz w:val="20"/>
          <w:szCs w:val="20"/>
          <w:lang w:val="es-CR"/>
        </w:rPr>
        <w:t>e gravedad que ponga</w:t>
      </w:r>
      <w:r w:rsidR="00A06633">
        <w:rPr>
          <w:rFonts w:ascii="Verdana" w:hAnsi="Verdana"/>
          <w:sz w:val="20"/>
          <w:szCs w:val="20"/>
          <w:lang w:val="es-CR"/>
        </w:rPr>
        <w:t xml:space="preserve"> en riesgo su</w:t>
      </w:r>
      <w:r w:rsidR="00D06215" w:rsidRPr="002A4229">
        <w:rPr>
          <w:rFonts w:ascii="Verdana" w:hAnsi="Verdana"/>
          <w:sz w:val="20"/>
          <w:szCs w:val="20"/>
          <w:lang w:val="es-CR"/>
        </w:rPr>
        <w:t xml:space="preserve">s </w:t>
      </w:r>
      <w:r w:rsidR="00A06633">
        <w:rPr>
          <w:rFonts w:ascii="Verdana" w:hAnsi="Verdana"/>
          <w:sz w:val="20"/>
          <w:szCs w:val="20"/>
          <w:lang w:val="es-CR"/>
        </w:rPr>
        <w:t>derechos a la</w:t>
      </w:r>
      <w:r w:rsidR="009A2DD1">
        <w:rPr>
          <w:rFonts w:ascii="Verdana" w:hAnsi="Verdana"/>
          <w:sz w:val="20"/>
          <w:szCs w:val="20"/>
          <w:lang w:val="es-CR"/>
        </w:rPr>
        <w:t xml:space="preserve"> vida e integridad.</w:t>
      </w:r>
    </w:p>
    <w:p w14:paraId="60A82F98" w14:textId="2D63FAC9" w:rsidR="00D06215" w:rsidRPr="002A4229" w:rsidRDefault="003C455D" w:rsidP="00F72A98">
      <w:pPr>
        <w:pStyle w:val="ListParagraph"/>
        <w:numPr>
          <w:ilvl w:val="0"/>
          <w:numId w:val="10"/>
        </w:numPr>
        <w:spacing w:before="120" w:after="120"/>
        <w:ind w:left="0" w:firstLine="0"/>
        <w:contextualSpacing w:val="0"/>
        <w:jc w:val="both"/>
        <w:rPr>
          <w:rFonts w:ascii="Verdana" w:hAnsi="Verdana"/>
          <w:sz w:val="20"/>
          <w:szCs w:val="20"/>
          <w:lang w:val="es-CR"/>
        </w:rPr>
      </w:pPr>
      <w:r>
        <w:rPr>
          <w:rFonts w:ascii="Verdana" w:hAnsi="Verdana"/>
          <w:sz w:val="20"/>
          <w:szCs w:val="20"/>
          <w:lang w:val="es-CR"/>
        </w:rPr>
        <w:t>E</w:t>
      </w:r>
      <w:r w:rsidR="00D06215" w:rsidRPr="002A4229">
        <w:rPr>
          <w:rFonts w:ascii="Verdana" w:hAnsi="Verdana"/>
          <w:sz w:val="20"/>
          <w:szCs w:val="20"/>
          <w:lang w:val="es-CR"/>
        </w:rPr>
        <w:t>n sus escritos de 17 de febrero de 2017 y de 8 de mayo de 2018</w:t>
      </w:r>
      <w:r>
        <w:rPr>
          <w:rFonts w:ascii="Verdana" w:hAnsi="Verdana"/>
          <w:sz w:val="20"/>
          <w:szCs w:val="20"/>
          <w:lang w:val="es-CR"/>
        </w:rPr>
        <w:t>,</w:t>
      </w:r>
      <w:r w:rsidR="00D06215" w:rsidRPr="002A4229">
        <w:rPr>
          <w:rFonts w:ascii="Verdana" w:hAnsi="Verdana"/>
          <w:sz w:val="20"/>
          <w:szCs w:val="20"/>
          <w:lang w:val="es-CR"/>
        </w:rPr>
        <w:t xml:space="preserve"> los representantes indicaron que “RCTV y los periodistas objeto de las presentes medidas provisionales fueron objeto de nuevas agresiones”, </w:t>
      </w:r>
      <w:r>
        <w:rPr>
          <w:rFonts w:ascii="Verdana" w:hAnsi="Verdana"/>
          <w:sz w:val="20"/>
          <w:szCs w:val="20"/>
          <w:lang w:val="es-CR"/>
        </w:rPr>
        <w:t xml:space="preserve">sin embargo éstos </w:t>
      </w:r>
      <w:r w:rsidR="00D06215" w:rsidRPr="002A4229">
        <w:rPr>
          <w:rFonts w:ascii="Verdana" w:hAnsi="Verdana"/>
          <w:sz w:val="20"/>
          <w:szCs w:val="20"/>
          <w:lang w:val="es-CR"/>
        </w:rPr>
        <w:t>no brinda</w:t>
      </w:r>
      <w:r>
        <w:rPr>
          <w:rFonts w:ascii="Verdana" w:hAnsi="Verdana"/>
          <w:sz w:val="20"/>
          <w:szCs w:val="20"/>
          <w:lang w:val="es-CR"/>
        </w:rPr>
        <w:t>ron</w:t>
      </w:r>
      <w:r w:rsidR="00D06215" w:rsidRPr="002A4229">
        <w:rPr>
          <w:rFonts w:ascii="Verdana" w:hAnsi="Verdana"/>
          <w:sz w:val="20"/>
          <w:szCs w:val="20"/>
          <w:lang w:val="es-CR"/>
        </w:rPr>
        <w:t xml:space="preserve"> ningún detalle sobre situaciones particulares de riesgo en contra de los beneficiarios. En este sentido, la Corte ha señalado que si bien es cierto que los hechos que motivan una solicitud de medidas provisionales o ampliación de las mismas no requieren estar plenamente comprobados, sí se requiere un mínimo de detalle e información que permitan al Tribunal apreciar</w:t>
      </w:r>
      <w:r w:rsidR="00D06215" w:rsidRPr="002A4229">
        <w:rPr>
          <w:rFonts w:ascii="Verdana" w:hAnsi="Verdana"/>
          <w:i/>
          <w:sz w:val="20"/>
          <w:szCs w:val="20"/>
          <w:lang w:val="es-CR"/>
        </w:rPr>
        <w:t xml:space="preserve"> prima facie </w:t>
      </w:r>
      <w:r w:rsidR="00D06215" w:rsidRPr="002A4229">
        <w:rPr>
          <w:rFonts w:ascii="Verdana" w:hAnsi="Verdana"/>
          <w:sz w:val="20"/>
          <w:szCs w:val="20"/>
          <w:lang w:val="es-CR"/>
        </w:rPr>
        <w:t>una situación de extrema gravedad y urgencia</w:t>
      </w:r>
      <w:r w:rsidR="00D06215" w:rsidRPr="002A4229">
        <w:rPr>
          <w:rStyle w:val="FootnoteReference"/>
          <w:rFonts w:ascii="Verdana" w:hAnsi="Verdana"/>
          <w:sz w:val="20"/>
          <w:szCs w:val="20"/>
          <w:lang w:val="es-CR"/>
        </w:rPr>
        <w:footnoteReference w:id="12"/>
      </w:r>
      <w:r w:rsidR="00D06215" w:rsidRPr="002A4229">
        <w:rPr>
          <w:rFonts w:ascii="Verdana" w:hAnsi="Verdana"/>
          <w:sz w:val="20"/>
          <w:szCs w:val="20"/>
          <w:lang w:val="es-CR"/>
        </w:rPr>
        <w:t>. Lo anterior es aplicable también para la man</w:t>
      </w:r>
      <w:r w:rsidR="008E1050">
        <w:rPr>
          <w:rFonts w:ascii="Verdana" w:hAnsi="Verdana"/>
          <w:sz w:val="20"/>
          <w:szCs w:val="20"/>
          <w:lang w:val="es-CR"/>
        </w:rPr>
        <w:t>u</w:t>
      </w:r>
      <w:r w:rsidR="00D06215" w:rsidRPr="002A4229">
        <w:rPr>
          <w:rFonts w:ascii="Verdana" w:hAnsi="Verdana"/>
          <w:sz w:val="20"/>
          <w:szCs w:val="20"/>
          <w:lang w:val="es-CR"/>
        </w:rPr>
        <w:t>tención de medidas provisionales.</w:t>
      </w:r>
    </w:p>
    <w:p w14:paraId="32E07C3E" w14:textId="06F433EE" w:rsidR="00964518" w:rsidRPr="002A4229" w:rsidRDefault="005F0CCD" w:rsidP="00F72A98">
      <w:pPr>
        <w:pStyle w:val="ListParagraph"/>
        <w:numPr>
          <w:ilvl w:val="0"/>
          <w:numId w:val="10"/>
        </w:numPr>
        <w:spacing w:before="120" w:after="120"/>
        <w:ind w:left="0" w:firstLine="0"/>
        <w:contextualSpacing w:val="0"/>
        <w:jc w:val="both"/>
        <w:rPr>
          <w:rFonts w:ascii="Verdana" w:hAnsi="Verdana"/>
          <w:sz w:val="20"/>
          <w:szCs w:val="20"/>
          <w:lang w:val="es-CR"/>
        </w:rPr>
      </w:pPr>
      <w:r>
        <w:rPr>
          <w:rFonts w:ascii="Verdana" w:hAnsi="Verdana"/>
          <w:sz w:val="20"/>
          <w:szCs w:val="20"/>
          <w:lang w:val="es-CR"/>
        </w:rPr>
        <w:t>L</w:t>
      </w:r>
      <w:r w:rsidR="00D06215" w:rsidRPr="002A4229">
        <w:rPr>
          <w:rFonts w:ascii="Verdana" w:hAnsi="Verdana"/>
          <w:sz w:val="20"/>
          <w:szCs w:val="20"/>
          <w:lang w:val="es-CR"/>
        </w:rPr>
        <w:t xml:space="preserve">os argumentos expuestos </w:t>
      </w:r>
      <w:r w:rsidR="00964518" w:rsidRPr="002A4229">
        <w:rPr>
          <w:rFonts w:ascii="Verdana" w:hAnsi="Verdana"/>
          <w:sz w:val="20"/>
          <w:szCs w:val="20"/>
          <w:lang w:val="es-CR"/>
        </w:rPr>
        <w:t>por los representantes en su</w:t>
      </w:r>
      <w:r w:rsidR="00D06215" w:rsidRPr="002A4229">
        <w:rPr>
          <w:rFonts w:ascii="Verdana" w:hAnsi="Verdana"/>
          <w:sz w:val="20"/>
          <w:szCs w:val="20"/>
          <w:lang w:val="es-CR"/>
        </w:rPr>
        <w:t xml:space="preserve">s escritos de 27 de noviembre de 2015, </w:t>
      </w:r>
      <w:r w:rsidR="00964518" w:rsidRPr="002A4229">
        <w:rPr>
          <w:rFonts w:ascii="Verdana" w:hAnsi="Verdana"/>
          <w:sz w:val="20"/>
          <w:szCs w:val="20"/>
          <w:lang w:val="es-CR"/>
        </w:rPr>
        <w:t>17 de febrero de 2017 y 8 de mayo de 2018, relativos a que el Estado de Venezuela</w:t>
      </w:r>
      <w:r w:rsidR="00D06215" w:rsidRPr="002A4229">
        <w:rPr>
          <w:rFonts w:ascii="Verdana" w:hAnsi="Verdana"/>
          <w:sz w:val="20"/>
          <w:szCs w:val="20"/>
          <w:lang w:val="es-CR"/>
        </w:rPr>
        <w:t xml:space="preserve"> </w:t>
      </w:r>
      <w:r w:rsidR="009A2DD1">
        <w:rPr>
          <w:rFonts w:ascii="Verdana" w:hAnsi="Verdana"/>
          <w:sz w:val="20"/>
          <w:szCs w:val="20"/>
          <w:lang w:val="es-CR"/>
        </w:rPr>
        <w:t>seguiría</w:t>
      </w:r>
      <w:r w:rsidR="00964518" w:rsidRPr="002A4229">
        <w:rPr>
          <w:rFonts w:ascii="Verdana" w:hAnsi="Verdana"/>
          <w:sz w:val="20"/>
          <w:szCs w:val="20"/>
          <w:lang w:val="es-CR"/>
        </w:rPr>
        <w:t xml:space="preserve"> sin adoptar medidas para proteger la vida e integridad personal de</w:t>
      </w:r>
      <w:r w:rsidR="009661C4" w:rsidRPr="002A4229">
        <w:rPr>
          <w:rFonts w:ascii="Verdana" w:hAnsi="Verdana"/>
          <w:sz w:val="20"/>
          <w:szCs w:val="20"/>
          <w:lang w:val="es-CR"/>
        </w:rPr>
        <w:t xml:space="preserve"> los beneficiarios</w:t>
      </w:r>
      <w:r w:rsidR="00964518" w:rsidRPr="002A4229">
        <w:rPr>
          <w:rFonts w:ascii="Verdana" w:hAnsi="Verdana"/>
          <w:sz w:val="20"/>
          <w:szCs w:val="20"/>
          <w:lang w:val="es-CR"/>
        </w:rPr>
        <w:t xml:space="preserve"> por lo que persistiría la situación de grave riesgo, así como</w:t>
      </w:r>
      <w:r w:rsidR="006C101F">
        <w:rPr>
          <w:rFonts w:ascii="Verdana" w:hAnsi="Verdana"/>
          <w:sz w:val="20"/>
          <w:szCs w:val="20"/>
          <w:lang w:val="es-CR"/>
        </w:rPr>
        <w:t xml:space="preserve"> a</w:t>
      </w:r>
      <w:r w:rsidR="00964518" w:rsidRPr="002A4229">
        <w:rPr>
          <w:rFonts w:ascii="Verdana" w:hAnsi="Verdana"/>
          <w:sz w:val="20"/>
          <w:szCs w:val="20"/>
          <w:lang w:val="es-CR"/>
        </w:rPr>
        <w:t xml:space="preserve"> la falta de investigación de los </w:t>
      </w:r>
      <w:r w:rsidR="00A06633">
        <w:rPr>
          <w:rFonts w:ascii="Verdana" w:hAnsi="Verdana"/>
          <w:sz w:val="20"/>
          <w:szCs w:val="20"/>
          <w:lang w:val="es-CR"/>
        </w:rPr>
        <w:t>acto</w:t>
      </w:r>
      <w:r w:rsidR="00964518" w:rsidRPr="002A4229">
        <w:rPr>
          <w:rFonts w:ascii="Verdana" w:hAnsi="Verdana"/>
          <w:sz w:val="20"/>
          <w:szCs w:val="20"/>
          <w:lang w:val="es-CR"/>
        </w:rPr>
        <w:t>s de violencia</w:t>
      </w:r>
      <w:r w:rsidR="00A06633">
        <w:rPr>
          <w:rFonts w:ascii="Verdana" w:hAnsi="Verdana"/>
          <w:sz w:val="20"/>
          <w:szCs w:val="20"/>
          <w:lang w:val="es-CR"/>
        </w:rPr>
        <w:t xml:space="preserve"> que motivaron la adopción de las medidas</w:t>
      </w:r>
      <w:r w:rsidR="00964518" w:rsidRPr="002A4229">
        <w:rPr>
          <w:rFonts w:ascii="Verdana" w:hAnsi="Verdana"/>
          <w:sz w:val="20"/>
          <w:szCs w:val="20"/>
          <w:lang w:val="es-CR"/>
        </w:rPr>
        <w:t>, no constituyen por sí solos hechos de extrema gra</w:t>
      </w:r>
      <w:r w:rsidR="00A06633">
        <w:rPr>
          <w:rFonts w:ascii="Verdana" w:hAnsi="Verdana"/>
          <w:sz w:val="20"/>
          <w:szCs w:val="20"/>
          <w:lang w:val="es-CR"/>
        </w:rPr>
        <w:t>vedad y urgencia que ameriten su mantenimiento</w:t>
      </w:r>
      <w:r w:rsidR="00565BE3">
        <w:rPr>
          <w:rFonts w:ascii="Verdana" w:hAnsi="Verdana"/>
          <w:sz w:val="20"/>
          <w:szCs w:val="20"/>
          <w:lang w:val="es-CR"/>
        </w:rPr>
        <w:t>,</w:t>
      </w:r>
      <w:r w:rsidR="009661C4" w:rsidRPr="002A4229">
        <w:rPr>
          <w:rFonts w:ascii="Verdana" w:hAnsi="Verdana"/>
          <w:sz w:val="20"/>
          <w:szCs w:val="20"/>
          <w:lang w:val="es-CR"/>
        </w:rPr>
        <w:t xml:space="preserve"> ante la ausencia de nuevos hechos de riesgo por un razonable lapso</w:t>
      </w:r>
      <w:r w:rsidR="009661C4" w:rsidRPr="002A4229">
        <w:rPr>
          <w:rFonts w:ascii="Verdana" w:hAnsi="Verdana"/>
          <w:sz w:val="20"/>
          <w:szCs w:val="20"/>
          <w:vertAlign w:val="superscript"/>
        </w:rPr>
        <w:footnoteReference w:id="13"/>
      </w:r>
      <w:r w:rsidR="00964518" w:rsidRPr="002A4229">
        <w:rPr>
          <w:rFonts w:ascii="Verdana" w:hAnsi="Verdana"/>
          <w:sz w:val="20"/>
          <w:szCs w:val="20"/>
          <w:lang w:val="es-CR"/>
        </w:rPr>
        <w:t>. En razón de su competencia, en el marco de medidas provisionales la Corte debe considerar únicamente aquellos argumentos que se relacionen estricta y directamente con la extrema gravedad, urgencia y necesidad de evitar daños irreparables a las personas.</w:t>
      </w:r>
      <w:r w:rsidR="009661C4" w:rsidRPr="002A4229">
        <w:rPr>
          <w:rFonts w:ascii="Verdana" w:hAnsi="Verdana"/>
          <w:sz w:val="20"/>
          <w:szCs w:val="20"/>
          <w:lang w:val="es-CR"/>
        </w:rPr>
        <w:t xml:space="preserve"> </w:t>
      </w:r>
      <w:r w:rsidR="00964518" w:rsidRPr="002A4229">
        <w:rPr>
          <w:rFonts w:ascii="Verdana" w:hAnsi="Verdana"/>
          <w:sz w:val="20"/>
          <w:szCs w:val="20"/>
          <w:lang w:val="es-CR"/>
        </w:rPr>
        <w:t>Correspondería que l</w:t>
      </w:r>
      <w:r w:rsidR="003C455D">
        <w:rPr>
          <w:rFonts w:ascii="Verdana" w:hAnsi="Verdana"/>
          <w:sz w:val="20"/>
          <w:szCs w:val="20"/>
          <w:lang w:val="es-CR"/>
        </w:rPr>
        <w:t>o</w:t>
      </w:r>
      <w:r w:rsidR="00964518" w:rsidRPr="002A4229">
        <w:rPr>
          <w:rFonts w:ascii="Verdana" w:hAnsi="Verdana"/>
          <w:sz w:val="20"/>
          <w:szCs w:val="20"/>
          <w:lang w:val="es-CR"/>
        </w:rPr>
        <w:t>s beneficiari</w:t>
      </w:r>
      <w:r w:rsidR="003C455D">
        <w:rPr>
          <w:rFonts w:ascii="Verdana" w:hAnsi="Verdana"/>
          <w:sz w:val="20"/>
          <w:szCs w:val="20"/>
          <w:lang w:val="es-CR"/>
        </w:rPr>
        <w:t>o</w:t>
      </w:r>
      <w:r w:rsidR="00964518" w:rsidRPr="002A4229">
        <w:rPr>
          <w:rFonts w:ascii="Verdana" w:hAnsi="Verdana"/>
          <w:sz w:val="20"/>
          <w:szCs w:val="20"/>
          <w:lang w:val="es-CR"/>
        </w:rPr>
        <w:t xml:space="preserve">s, sus representantes o la Comisión argumenten y demuestren que tal falta de investigación contribuye o es la causante de una situación concreta de extrema gravedad y urgencia de evitar daños irreparables, lo cual no ha sucedido en </w:t>
      </w:r>
      <w:r w:rsidR="00563921">
        <w:rPr>
          <w:rFonts w:ascii="Verdana" w:hAnsi="Verdana"/>
          <w:sz w:val="20"/>
          <w:szCs w:val="20"/>
          <w:lang w:val="es-CR"/>
        </w:rPr>
        <w:t>este</w:t>
      </w:r>
      <w:r w:rsidR="00964518" w:rsidRPr="002A4229">
        <w:rPr>
          <w:rFonts w:ascii="Verdana" w:hAnsi="Verdana"/>
          <w:sz w:val="20"/>
          <w:szCs w:val="20"/>
          <w:lang w:val="es-CR"/>
        </w:rPr>
        <w:t xml:space="preserve"> caso.</w:t>
      </w:r>
    </w:p>
    <w:p w14:paraId="07885039" w14:textId="1F8FDFE7" w:rsidR="00C22E46" w:rsidRPr="002A4229" w:rsidRDefault="005F0CCD" w:rsidP="00F72A98">
      <w:pPr>
        <w:pStyle w:val="ListParagraph"/>
        <w:numPr>
          <w:ilvl w:val="0"/>
          <w:numId w:val="10"/>
        </w:numPr>
        <w:spacing w:before="120" w:after="120"/>
        <w:ind w:left="0" w:firstLine="0"/>
        <w:contextualSpacing w:val="0"/>
        <w:jc w:val="both"/>
        <w:rPr>
          <w:rFonts w:ascii="Verdana" w:hAnsi="Verdana"/>
          <w:sz w:val="20"/>
          <w:szCs w:val="20"/>
          <w:lang w:val="es-CR"/>
        </w:rPr>
      </w:pPr>
      <w:r>
        <w:rPr>
          <w:rFonts w:ascii="Verdana" w:hAnsi="Verdana"/>
          <w:sz w:val="20"/>
          <w:szCs w:val="20"/>
          <w:lang w:val="es-CR"/>
        </w:rPr>
        <w:t>R</w:t>
      </w:r>
      <w:r w:rsidR="0000439C" w:rsidRPr="002A4229">
        <w:rPr>
          <w:rFonts w:ascii="Verdana" w:hAnsi="Verdana"/>
          <w:sz w:val="20"/>
          <w:szCs w:val="20"/>
          <w:lang w:val="es-CR"/>
        </w:rPr>
        <w:t>especto a la situación contextual de violencia</w:t>
      </w:r>
      <w:r w:rsidR="00565BE3">
        <w:rPr>
          <w:rFonts w:ascii="Verdana" w:hAnsi="Verdana"/>
          <w:sz w:val="20"/>
          <w:szCs w:val="20"/>
          <w:lang w:val="es-CR"/>
        </w:rPr>
        <w:t xml:space="preserve"> en el país y</w:t>
      </w:r>
      <w:r w:rsidR="00182C7E" w:rsidRPr="002A4229">
        <w:rPr>
          <w:rFonts w:ascii="Verdana" w:hAnsi="Verdana"/>
          <w:sz w:val="20"/>
          <w:szCs w:val="20"/>
          <w:lang w:val="es-CR"/>
        </w:rPr>
        <w:t xml:space="preserve"> presuntas vulneraciones a la libertad de expresión</w:t>
      </w:r>
      <w:r w:rsidR="0000439C" w:rsidRPr="002A4229">
        <w:rPr>
          <w:rFonts w:ascii="Verdana" w:hAnsi="Verdana"/>
          <w:sz w:val="20"/>
          <w:szCs w:val="20"/>
          <w:lang w:val="es-CR"/>
        </w:rPr>
        <w:t xml:space="preserve">, esta Corte ha advertido que, aun cuando para determinar si existe una situación </w:t>
      </w:r>
      <w:r w:rsidR="006C101F">
        <w:rPr>
          <w:rFonts w:ascii="Verdana" w:hAnsi="Verdana"/>
          <w:sz w:val="20"/>
          <w:szCs w:val="20"/>
          <w:lang w:val="es-CR"/>
        </w:rPr>
        <w:t xml:space="preserve">que amerite la adopción o mantenimiento de una medida provisional </w:t>
      </w:r>
      <w:r w:rsidR="0000439C" w:rsidRPr="002A4229">
        <w:rPr>
          <w:rFonts w:ascii="Verdana" w:hAnsi="Verdana"/>
          <w:sz w:val="20"/>
          <w:szCs w:val="20"/>
          <w:lang w:val="es-CR"/>
        </w:rPr>
        <w:t xml:space="preserve">puede valorar el conjunto de factores o circunstancias políticas, históricas, culturales o de cualquier otra índole que afectan a un beneficiario o lo colocan en una situación de vulnerabilidad en un determinado momento, </w:t>
      </w:r>
      <w:r w:rsidR="00182C7E" w:rsidRPr="002A4229">
        <w:rPr>
          <w:rFonts w:ascii="Verdana" w:hAnsi="Verdana"/>
          <w:sz w:val="20"/>
          <w:szCs w:val="20"/>
          <w:lang w:val="es-CR"/>
        </w:rPr>
        <w:t>no podrá justificar en sí misma la concesión o el mantenimiento de las medidas provisionales</w:t>
      </w:r>
      <w:r w:rsidR="00182C7E" w:rsidRPr="002A4229">
        <w:rPr>
          <w:rFonts w:ascii="Verdana" w:hAnsi="Verdana"/>
          <w:sz w:val="20"/>
          <w:szCs w:val="20"/>
          <w:vertAlign w:val="superscript"/>
        </w:rPr>
        <w:footnoteReference w:id="14"/>
      </w:r>
      <w:r w:rsidR="0000439C" w:rsidRPr="002A4229">
        <w:rPr>
          <w:rFonts w:ascii="Verdana" w:hAnsi="Verdana"/>
          <w:sz w:val="20"/>
          <w:szCs w:val="20"/>
          <w:lang w:val="es-CR"/>
        </w:rPr>
        <w:t>.</w:t>
      </w:r>
      <w:r w:rsidR="00182C7E" w:rsidRPr="002A4229">
        <w:rPr>
          <w:rFonts w:ascii="Verdana" w:hAnsi="Verdana"/>
          <w:sz w:val="20"/>
          <w:szCs w:val="20"/>
          <w:lang w:val="es-CR"/>
        </w:rPr>
        <w:t xml:space="preserve"> En el presente caso, como se ha señalado, no se han </w:t>
      </w:r>
      <w:r w:rsidR="00182C7E" w:rsidRPr="002A4229">
        <w:rPr>
          <w:rFonts w:ascii="Verdana" w:hAnsi="Verdana"/>
          <w:sz w:val="20"/>
          <w:szCs w:val="20"/>
          <w:lang w:val="es-CR"/>
        </w:rPr>
        <w:lastRenderedPageBreak/>
        <w:t xml:space="preserve">alegado hechos </w:t>
      </w:r>
      <w:r w:rsidR="00564027" w:rsidRPr="002A4229">
        <w:rPr>
          <w:rFonts w:ascii="Verdana" w:hAnsi="Verdana"/>
          <w:sz w:val="20"/>
          <w:szCs w:val="20"/>
          <w:lang w:val="es-CR"/>
        </w:rPr>
        <w:t xml:space="preserve">recientes </w:t>
      </w:r>
      <w:r w:rsidR="00182C7E" w:rsidRPr="002A4229">
        <w:rPr>
          <w:rFonts w:ascii="Verdana" w:hAnsi="Verdana"/>
          <w:sz w:val="20"/>
          <w:szCs w:val="20"/>
          <w:lang w:val="es-CR"/>
        </w:rPr>
        <w:t xml:space="preserve">y </w:t>
      </w:r>
      <w:r w:rsidR="00564027" w:rsidRPr="002A4229">
        <w:rPr>
          <w:rFonts w:ascii="Verdana" w:hAnsi="Verdana"/>
          <w:sz w:val="20"/>
          <w:szCs w:val="20"/>
          <w:lang w:val="es-CR"/>
        </w:rPr>
        <w:t xml:space="preserve">específicos </w:t>
      </w:r>
      <w:r w:rsidR="00C22E46" w:rsidRPr="002A4229">
        <w:rPr>
          <w:rFonts w:ascii="Verdana" w:hAnsi="Verdana"/>
          <w:sz w:val="20"/>
          <w:szCs w:val="20"/>
          <w:lang w:val="es-CR"/>
        </w:rPr>
        <w:t xml:space="preserve">que afecten directamente a las personas beneficiarias que permitan concluir </w:t>
      </w:r>
      <w:r w:rsidR="00182C7E" w:rsidRPr="002A4229">
        <w:rPr>
          <w:rFonts w:ascii="Verdana" w:hAnsi="Verdana"/>
          <w:sz w:val="20"/>
          <w:szCs w:val="20"/>
          <w:lang w:val="es-CR"/>
        </w:rPr>
        <w:t>sobre los efectos que tendría el contexto alegado por los representantes en el caso concreto.</w:t>
      </w:r>
      <w:r w:rsidR="00C22E46" w:rsidRPr="002A4229">
        <w:rPr>
          <w:rFonts w:ascii="Verdana" w:hAnsi="Verdana"/>
          <w:sz w:val="20"/>
          <w:szCs w:val="20"/>
          <w:lang w:val="es-CR"/>
        </w:rPr>
        <w:t xml:space="preserve"> </w:t>
      </w:r>
    </w:p>
    <w:p w14:paraId="555518DB" w14:textId="4A958259" w:rsidR="000B0CF7" w:rsidRDefault="005F0CCD" w:rsidP="00F72A98">
      <w:pPr>
        <w:pStyle w:val="ListParagraph"/>
        <w:numPr>
          <w:ilvl w:val="0"/>
          <w:numId w:val="10"/>
        </w:numPr>
        <w:spacing w:before="120" w:after="120"/>
        <w:ind w:left="0" w:firstLine="0"/>
        <w:contextualSpacing w:val="0"/>
        <w:jc w:val="both"/>
        <w:rPr>
          <w:rFonts w:ascii="Verdana" w:hAnsi="Verdana"/>
          <w:sz w:val="20"/>
          <w:szCs w:val="20"/>
          <w:lang w:val="es-CR"/>
        </w:rPr>
      </w:pPr>
      <w:r>
        <w:rPr>
          <w:rFonts w:ascii="Verdana" w:hAnsi="Verdana"/>
          <w:sz w:val="20"/>
          <w:szCs w:val="20"/>
          <w:lang w:val="es-CR"/>
        </w:rPr>
        <w:t>E</w:t>
      </w:r>
      <w:r w:rsidR="00C22E46" w:rsidRPr="002A4229">
        <w:rPr>
          <w:rFonts w:ascii="Verdana" w:hAnsi="Verdana"/>
          <w:sz w:val="20"/>
          <w:szCs w:val="20"/>
          <w:lang w:val="es-CR"/>
        </w:rPr>
        <w:t xml:space="preserve">n </w:t>
      </w:r>
      <w:r w:rsidR="009A2DD1">
        <w:rPr>
          <w:rFonts w:ascii="Verdana" w:hAnsi="Verdana"/>
          <w:sz w:val="20"/>
          <w:szCs w:val="20"/>
          <w:lang w:val="es-CR"/>
        </w:rPr>
        <w:t>definitiva</w:t>
      </w:r>
      <w:r w:rsidR="00C22E46" w:rsidRPr="002A4229">
        <w:rPr>
          <w:rFonts w:ascii="Verdana" w:hAnsi="Verdana"/>
          <w:sz w:val="20"/>
          <w:szCs w:val="20"/>
          <w:lang w:val="es-CR"/>
        </w:rPr>
        <w:t xml:space="preserve">, el Tribunal observa que en los últimos años no se han </w:t>
      </w:r>
      <w:r w:rsidR="00565BE3">
        <w:rPr>
          <w:rFonts w:ascii="Verdana" w:hAnsi="Verdana"/>
          <w:sz w:val="20"/>
          <w:szCs w:val="20"/>
          <w:lang w:val="es-CR"/>
        </w:rPr>
        <w:t xml:space="preserve">informado </w:t>
      </w:r>
      <w:r w:rsidR="00C22E46" w:rsidRPr="002A4229">
        <w:rPr>
          <w:rFonts w:ascii="Verdana" w:hAnsi="Verdana"/>
          <w:sz w:val="20"/>
          <w:szCs w:val="20"/>
          <w:lang w:val="es-CR"/>
        </w:rPr>
        <w:t>situaciones particulares de riesgo en contra de</w:t>
      </w:r>
      <w:r w:rsidR="009A2DD1">
        <w:rPr>
          <w:rFonts w:ascii="Verdana" w:hAnsi="Verdana"/>
          <w:sz w:val="20"/>
          <w:szCs w:val="20"/>
          <w:lang w:val="es-CR"/>
        </w:rPr>
        <w:t xml:space="preserve"> la vida e integridad de</w:t>
      </w:r>
      <w:r w:rsidR="00C22E46" w:rsidRPr="002A4229">
        <w:rPr>
          <w:rFonts w:ascii="Verdana" w:hAnsi="Verdana"/>
          <w:sz w:val="20"/>
          <w:szCs w:val="20"/>
          <w:lang w:val="es-CR"/>
        </w:rPr>
        <w:t xml:space="preserve"> los beneficiarios, por lo que la Corte considera que el alegado e hipotético riesgo en que se encontrarían los beneficiarios producto del incumplimiento de las medidas provisionales, la situación contextual en Venezuela y las supuestas afectaciones a la libertad de expresión</w:t>
      </w:r>
      <w:r w:rsidR="009A2DD1">
        <w:rPr>
          <w:rFonts w:ascii="Verdana" w:hAnsi="Verdana"/>
          <w:sz w:val="20"/>
          <w:szCs w:val="20"/>
          <w:lang w:val="es-CR"/>
        </w:rPr>
        <w:t>,</w:t>
      </w:r>
      <w:r w:rsidR="00C22E46" w:rsidRPr="002A4229">
        <w:rPr>
          <w:rFonts w:ascii="Verdana" w:hAnsi="Verdana"/>
          <w:sz w:val="20"/>
          <w:szCs w:val="20"/>
          <w:lang w:val="es-CR"/>
        </w:rPr>
        <w:t xml:space="preserve"> no es suficiente en sí mismo para concluir que persiste una situación de extrema gravedad y urgencia que pudiera generar daños irreparables en su contra</w:t>
      </w:r>
      <w:r w:rsidR="006C101F">
        <w:rPr>
          <w:rFonts w:ascii="Verdana" w:hAnsi="Verdana"/>
          <w:sz w:val="20"/>
          <w:szCs w:val="20"/>
          <w:lang w:val="es-CR"/>
        </w:rPr>
        <w:t>, y</w:t>
      </w:r>
      <w:r w:rsidR="00C22E46" w:rsidRPr="002A4229">
        <w:rPr>
          <w:rFonts w:ascii="Verdana" w:hAnsi="Verdana"/>
          <w:sz w:val="20"/>
          <w:szCs w:val="20"/>
          <w:lang w:val="es-CR"/>
        </w:rPr>
        <w:t xml:space="preserve"> que justifique </w:t>
      </w:r>
      <w:r w:rsidR="00564027">
        <w:rPr>
          <w:rFonts w:ascii="Verdana" w:hAnsi="Verdana"/>
          <w:sz w:val="20"/>
          <w:szCs w:val="20"/>
          <w:lang w:val="es-CR"/>
        </w:rPr>
        <w:t>que se mantenga la</w:t>
      </w:r>
      <w:r w:rsidR="00C22E46" w:rsidRPr="002A4229">
        <w:rPr>
          <w:rFonts w:ascii="Verdana" w:hAnsi="Verdana"/>
          <w:sz w:val="20"/>
          <w:szCs w:val="20"/>
          <w:lang w:val="es-CR"/>
        </w:rPr>
        <w:t xml:space="preserve"> </w:t>
      </w:r>
      <w:r w:rsidR="009A2DD1">
        <w:rPr>
          <w:rFonts w:ascii="Verdana" w:hAnsi="Verdana"/>
          <w:sz w:val="20"/>
          <w:szCs w:val="20"/>
          <w:lang w:val="es-CR"/>
        </w:rPr>
        <w:t>vigencia</w:t>
      </w:r>
      <w:r w:rsidR="00C22E46" w:rsidRPr="002A4229">
        <w:rPr>
          <w:rFonts w:ascii="Verdana" w:hAnsi="Verdana"/>
          <w:sz w:val="20"/>
          <w:szCs w:val="20"/>
          <w:lang w:val="es-CR"/>
        </w:rPr>
        <w:t xml:space="preserve"> de medidas provisionales ordenadas por este Tribunal. Por lo tanto, la Corte estima que corresponde levantar las medidas dictadas </w:t>
      </w:r>
      <w:r w:rsidR="000B0CF7">
        <w:rPr>
          <w:rFonts w:ascii="Verdana" w:hAnsi="Verdana"/>
          <w:sz w:val="20"/>
          <w:szCs w:val="20"/>
          <w:lang w:val="es-CR"/>
        </w:rPr>
        <w:t>respecto de los beneficiarios</w:t>
      </w:r>
      <w:r w:rsidR="00C22E46" w:rsidRPr="002A4229">
        <w:rPr>
          <w:rFonts w:ascii="Verdana" w:hAnsi="Verdana"/>
          <w:sz w:val="20"/>
          <w:szCs w:val="20"/>
          <w:lang w:val="es-CR"/>
        </w:rPr>
        <w:t>.</w:t>
      </w:r>
      <w:r w:rsidR="000B0CF7">
        <w:rPr>
          <w:rFonts w:ascii="Verdana" w:hAnsi="Verdana"/>
          <w:sz w:val="20"/>
          <w:szCs w:val="20"/>
          <w:lang w:val="es-CR"/>
        </w:rPr>
        <w:t xml:space="preserve"> </w:t>
      </w:r>
    </w:p>
    <w:p w14:paraId="27759107" w14:textId="5A405A1A" w:rsidR="00C22E46" w:rsidRPr="002A4229" w:rsidRDefault="000B0CF7" w:rsidP="00F72A98">
      <w:pPr>
        <w:pStyle w:val="ListParagraph"/>
        <w:numPr>
          <w:ilvl w:val="0"/>
          <w:numId w:val="10"/>
        </w:numPr>
        <w:spacing w:before="120" w:after="120"/>
        <w:ind w:left="0" w:firstLine="0"/>
        <w:contextualSpacing w:val="0"/>
        <w:jc w:val="both"/>
        <w:rPr>
          <w:rFonts w:ascii="Verdana" w:hAnsi="Verdana"/>
          <w:sz w:val="20"/>
          <w:szCs w:val="20"/>
          <w:lang w:val="es-CR"/>
        </w:rPr>
      </w:pPr>
      <w:r>
        <w:rPr>
          <w:rFonts w:ascii="Verdana" w:hAnsi="Verdana"/>
          <w:sz w:val="20"/>
          <w:szCs w:val="20"/>
          <w:lang w:val="es-CR"/>
        </w:rPr>
        <w:t xml:space="preserve">El levantamiento de las medidas respecto de la totalidad de los beneficiarios </w:t>
      </w:r>
      <w:r w:rsidR="00C22E46" w:rsidRPr="002A4229">
        <w:rPr>
          <w:rFonts w:ascii="Verdana" w:hAnsi="Verdana"/>
          <w:sz w:val="20"/>
          <w:szCs w:val="20"/>
          <w:lang w:val="es-CR"/>
        </w:rPr>
        <w:t xml:space="preserve">no obsta </w:t>
      </w:r>
      <w:r>
        <w:rPr>
          <w:rFonts w:ascii="Verdana" w:hAnsi="Verdana"/>
          <w:sz w:val="20"/>
          <w:szCs w:val="20"/>
          <w:lang w:val="es-CR"/>
        </w:rPr>
        <w:t>a</w:t>
      </w:r>
      <w:r w:rsidR="00C22E46" w:rsidRPr="002A4229">
        <w:rPr>
          <w:rFonts w:ascii="Verdana" w:hAnsi="Verdana"/>
          <w:sz w:val="20"/>
          <w:szCs w:val="20"/>
          <w:lang w:val="es-CR"/>
        </w:rPr>
        <w:t xml:space="preserve"> que, si en el futuro se reúnen nuevamente las tres condiciones establecidas, el Tribunal pueda volver a ordenar las medidas provisionales.</w:t>
      </w:r>
    </w:p>
    <w:p w14:paraId="7F920F48" w14:textId="2864F653" w:rsidR="00C22E46" w:rsidRPr="002A4229" w:rsidRDefault="000B0CF7" w:rsidP="00F72A98">
      <w:pPr>
        <w:pStyle w:val="ListParagraph"/>
        <w:numPr>
          <w:ilvl w:val="0"/>
          <w:numId w:val="10"/>
        </w:numPr>
        <w:spacing w:before="120" w:after="120"/>
        <w:ind w:left="0" w:firstLine="0"/>
        <w:contextualSpacing w:val="0"/>
        <w:jc w:val="both"/>
        <w:rPr>
          <w:rFonts w:ascii="Verdana" w:hAnsi="Verdana"/>
          <w:sz w:val="20"/>
          <w:szCs w:val="20"/>
          <w:lang w:val="es-CR"/>
        </w:rPr>
      </w:pPr>
      <w:r>
        <w:rPr>
          <w:rFonts w:ascii="Verdana" w:hAnsi="Verdana"/>
          <w:sz w:val="20"/>
          <w:szCs w:val="20"/>
          <w:lang w:val="es-CR"/>
        </w:rPr>
        <w:t>Además, e</w:t>
      </w:r>
      <w:r w:rsidR="00C22E46" w:rsidRPr="002A4229">
        <w:rPr>
          <w:rFonts w:ascii="Verdana" w:hAnsi="Verdana"/>
          <w:sz w:val="20"/>
          <w:szCs w:val="20"/>
          <w:lang w:val="es-CR"/>
        </w:rPr>
        <w:t>l levantamiento de las presentes medidas no implica que el Estado quede relevado de sus obligaciones generales de protección, contenidas en el artículo 1.1 de la Convención, en el marco de las cuales el Estado se encuentra especialmente obligado a garantizar los derechos de las personas en situación de riesgo y</w:t>
      </w:r>
      <w:r w:rsidR="00564027">
        <w:rPr>
          <w:rFonts w:ascii="Verdana" w:hAnsi="Verdana"/>
          <w:sz w:val="20"/>
          <w:szCs w:val="20"/>
          <w:lang w:val="es-CR"/>
        </w:rPr>
        <w:t>,</w:t>
      </w:r>
      <w:r w:rsidR="00C22E46" w:rsidRPr="002A4229">
        <w:rPr>
          <w:rFonts w:ascii="Verdana" w:hAnsi="Verdana"/>
          <w:sz w:val="20"/>
          <w:szCs w:val="20"/>
          <w:lang w:val="es-CR"/>
        </w:rPr>
        <w:t xml:space="preserve"> </w:t>
      </w:r>
      <w:r w:rsidR="00564027">
        <w:rPr>
          <w:rFonts w:ascii="Verdana" w:hAnsi="Verdana"/>
          <w:sz w:val="20"/>
          <w:szCs w:val="20"/>
          <w:lang w:val="es-CR"/>
        </w:rPr>
        <w:t xml:space="preserve">en su caso, a </w:t>
      </w:r>
      <w:r w:rsidR="00C22E46" w:rsidRPr="002A4229">
        <w:rPr>
          <w:rFonts w:ascii="Verdana" w:hAnsi="Verdana"/>
          <w:sz w:val="20"/>
          <w:szCs w:val="20"/>
          <w:lang w:val="es-CR"/>
        </w:rPr>
        <w:t>impulsar las investigaciones necesarias para establecer los hechos, seguidas de las consecuencias que la legislación pertinente establezca</w:t>
      </w:r>
      <w:r w:rsidR="00C22E46" w:rsidRPr="002A4229">
        <w:rPr>
          <w:rStyle w:val="FootnoteReference"/>
          <w:rFonts w:ascii="Verdana" w:hAnsi="Verdana"/>
          <w:sz w:val="20"/>
          <w:szCs w:val="20"/>
          <w:lang w:val="es-CR"/>
        </w:rPr>
        <w:footnoteReference w:id="15"/>
      </w:r>
      <w:r w:rsidR="00C22E46" w:rsidRPr="002A4229">
        <w:rPr>
          <w:rFonts w:ascii="Verdana" w:hAnsi="Verdana"/>
          <w:sz w:val="20"/>
          <w:szCs w:val="20"/>
          <w:lang w:val="es-CR"/>
        </w:rPr>
        <w:t>.</w:t>
      </w:r>
    </w:p>
    <w:p w14:paraId="29C31BC6" w14:textId="2B4B8FB9" w:rsidR="002A4229" w:rsidRPr="005F0CCD" w:rsidRDefault="002A4229" w:rsidP="00E45686">
      <w:pPr>
        <w:spacing w:before="240" w:after="240" w:line="276" w:lineRule="auto"/>
        <w:jc w:val="both"/>
        <w:rPr>
          <w:rFonts w:ascii="Verdana" w:hAnsi="Verdana"/>
          <w:b/>
          <w:sz w:val="20"/>
          <w:szCs w:val="20"/>
          <w:lang w:val="es-ES_tradnl"/>
        </w:rPr>
      </w:pPr>
      <w:r w:rsidRPr="002A4229">
        <w:rPr>
          <w:rFonts w:ascii="Verdana" w:hAnsi="Verdana"/>
          <w:b/>
          <w:sz w:val="20"/>
          <w:szCs w:val="20"/>
          <w:lang w:val="es-ES_tradnl"/>
        </w:rPr>
        <w:t xml:space="preserve">POR TANTO </w:t>
      </w:r>
    </w:p>
    <w:p w14:paraId="3D0D512C" w14:textId="77777777" w:rsidR="002A4229" w:rsidRPr="002A4229" w:rsidRDefault="002A4229" w:rsidP="00E45686">
      <w:pPr>
        <w:spacing w:before="240" w:after="240" w:line="276" w:lineRule="auto"/>
        <w:jc w:val="both"/>
        <w:rPr>
          <w:rFonts w:ascii="Verdana" w:hAnsi="Verdana"/>
          <w:b/>
          <w:sz w:val="20"/>
          <w:szCs w:val="20"/>
          <w:lang w:val="es-ES_tradnl"/>
        </w:rPr>
      </w:pPr>
      <w:r w:rsidRPr="002A4229">
        <w:rPr>
          <w:rFonts w:ascii="Verdana" w:hAnsi="Verdana"/>
          <w:b/>
          <w:sz w:val="20"/>
          <w:szCs w:val="20"/>
          <w:lang w:val="es-ES_tradnl"/>
        </w:rPr>
        <w:t xml:space="preserve">LA CORTE INTERAMERICANA DE DERECHOS HUMANOS, </w:t>
      </w:r>
    </w:p>
    <w:p w14:paraId="07A8B1CD" w14:textId="716E269D" w:rsidR="002A4229" w:rsidRPr="002A4229" w:rsidRDefault="005F0CCD" w:rsidP="00E45686">
      <w:pPr>
        <w:spacing w:before="120" w:after="120" w:line="276" w:lineRule="auto"/>
        <w:jc w:val="both"/>
        <w:rPr>
          <w:rFonts w:ascii="Verdana" w:hAnsi="Verdana"/>
          <w:sz w:val="20"/>
          <w:szCs w:val="20"/>
          <w:lang w:val="es-ES_tradnl"/>
        </w:rPr>
      </w:pPr>
      <w:r>
        <w:rPr>
          <w:rFonts w:ascii="Verdana" w:hAnsi="Verdana"/>
          <w:sz w:val="20"/>
          <w:szCs w:val="20"/>
          <w:lang w:val="es-ES_tradnl"/>
        </w:rPr>
        <w:t>e</w:t>
      </w:r>
      <w:r w:rsidR="002A4229" w:rsidRPr="002A4229">
        <w:rPr>
          <w:rFonts w:ascii="Verdana" w:hAnsi="Verdana"/>
          <w:sz w:val="20"/>
          <w:szCs w:val="20"/>
          <w:lang w:val="es-ES_tradnl"/>
        </w:rPr>
        <w:t>n el ejercicio de las atribuciones que le confieren los artículos 63.2 de la Convención Americana sobre Derechos Humanos, y 27 y 31 del Reglamento de la Corte,</w:t>
      </w:r>
    </w:p>
    <w:p w14:paraId="43A8E96B" w14:textId="77777777" w:rsidR="005F0CCD" w:rsidRDefault="002A4229" w:rsidP="00E45686">
      <w:pPr>
        <w:spacing w:before="240" w:after="240" w:line="276" w:lineRule="auto"/>
        <w:jc w:val="both"/>
        <w:rPr>
          <w:rFonts w:ascii="Verdana" w:hAnsi="Verdana"/>
          <w:b/>
          <w:sz w:val="20"/>
          <w:szCs w:val="20"/>
          <w:lang w:val="es-ES_tradnl"/>
        </w:rPr>
      </w:pPr>
      <w:r w:rsidRPr="002A4229">
        <w:rPr>
          <w:rFonts w:ascii="Verdana" w:hAnsi="Verdana"/>
          <w:b/>
          <w:sz w:val="20"/>
          <w:szCs w:val="20"/>
          <w:lang w:val="es-ES_tradnl"/>
        </w:rPr>
        <w:t>RESUELVE:</w:t>
      </w:r>
    </w:p>
    <w:p w14:paraId="0B59F065" w14:textId="5DD4397A" w:rsidR="00F87CB1" w:rsidRPr="00F72A98" w:rsidRDefault="002A4229" w:rsidP="00E45686">
      <w:pPr>
        <w:pStyle w:val="ListParagraph"/>
        <w:numPr>
          <w:ilvl w:val="0"/>
          <w:numId w:val="12"/>
        </w:numPr>
        <w:spacing w:before="120" w:after="120" w:line="276" w:lineRule="auto"/>
        <w:ind w:left="0" w:firstLine="0"/>
        <w:contextualSpacing w:val="0"/>
        <w:jc w:val="both"/>
        <w:rPr>
          <w:rFonts w:ascii="Verdana" w:hAnsi="Verdana"/>
          <w:sz w:val="20"/>
          <w:szCs w:val="20"/>
          <w:lang w:val="es-ES_tradnl"/>
        </w:rPr>
      </w:pPr>
      <w:r w:rsidRPr="00F72A98">
        <w:rPr>
          <w:rFonts w:ascii="Verdana" w:hAnsi="Verdana"/>
          <w:sz w:val="20"/>
          <w:szCs w:val="20"/>
          <w:lang w:val="es-ES_tradnl"/>
        </w:rPr>
        <w:t>Levantar las medidas provisionales ordenadas y ratificadas por la Corte Interamericana de Derechos Humanos el 27 de noviembre de 2002, 20 de febrero de 2003, 2 de octubre de 2003, 21 de noviembre de 2003, 2 de diciembre de 2003, 4 de mayo de 2004, 8 de septiembre de 2004, 12 de septiembre de 2005, 14 de junio de 2007 y 3 de julio de 2007,</w:t>
      </w:r>
      <w:r w:rsidRPr="00F72A98">
        <w:rPr>
          <w:rFonts w:ascii="Verdana" w:hAnsi="Verdana"/>
          <w:sz w:val="20"/>
          <w:szCs w:val="20"/>
          <w:lang w:val="es-CR"/>
        </w:rPr>
        <w:t xml:space="preserve"> </w:t>
      </w:r>
      <w:r w:rsidR="001C0232" w:rsidRPr="00F72A98">
        <w:rPr>
          <w:rFonts w:ascii="Verdana" w:hAnsi="Verdana"/>
          <w:sz w:val="20"/>
          <w:szCs w:val="20"/>
          <w:lang w:val="es-ES_tradnl"/>
        </w:rPr>
        <w:t>en</w:t>
      </w:r>
      <w:r w:rsidRPr="00F72A98">
        <w:rPr>
          <w:rFonts w:ascii="Verdana" w:hAnsi="Verdana"/>
          <w:sz w:val="20"/>
          <w:szCs w:val="20"/>
          <w:lang w:val="es-ES_tradnl"/>
        </w:rPr>
        <w:t xml:space="preserve"> favor de Luisiana Ríos, Armando Anaya, Antonio José Monroy, Laura Castellanos, Argenis Uribe, Carlos Colmenares, Noé Pernía y Pedro Nikken, así como todos los periodistas, directivos y trabajadores del medio de comunicación RCTV, y las personas que se encuentren en las instalaciones de este medio de comunicación social o que estén vinculadas a la operación periodística de dicho medio.</w:t>
      </w:r>
    </w:p>
    <w:p w14:paraId="2DDB92D8" w14:textId="471A0EC5" w:rsidR="00F87CB1" w:rsidRDefault="002A4229" w:rsidP="00E45686">
      <w:pPr>
        <w:pStyle w:val="ListParagraph"/>
        <w:numPr>
          <w:ilvl w:val="0"/>
          <w:numId w:val="12"/>
        </w:numPr>
        <w:spacing w:before="120" w:after="120" w:line="276" w:lineRule="auto"/>
        <w:ind w:left="0" w:firstLine="0"/>
        <w:contextualSpacing w:val="0"/>
        <w:jc w:val="both"/>
        <w:rPr>
          <w:rFonts w:ascii="Verdana" w:hAnsi="Verdana"/>
          <w:b/>
          <w:sz w:val="20"/>
          <w:szCs w:val="20"/>
          <w:lang w:val="es-ES_tradnl"/>
        </w:rPr>
      </w:pPr>
      <w:r w:rsidRPr="002A4229">
        <w:rPr>
          <w:rFonts w:ascii="Verdana" w:hAnsi="Verdana"/>
          <w:sz w:val="20"/>
          <w:szCs w:val="20"/>
          <w:lang w:val="es-ES_tradnl"/>
        </w:rPr>
        <w:t>E</w:t>
      </w:r>
      <w:r w:rsidR="00934D55">
        <w:rPr>
          <w:rFonts w:ascii="Verdana" w:hAnsi="Verdana"/>
          <w:sz w:val="20"/>
          <w:szCs w:val="20"/>
          <w:lang w:val="es-ES_tradnl"/>
        </w:rPr>
        <w:t>n los términos del artículo 1.1</w:t>
      </w:r>
      <w:r w:rsidRPr="002A4229">
        <w:rPr>
          <w:rFonts w:ascii="Verdana" w:hAnsi="Verdana"/>
          <w:sz w:val="20"/>
          <w:szCs w:val="20"/>
          <w:lang w:val="es-ES_tradnl"/>
        </w:rPr>
        <w:t xml:space="preserve"> de la Convención Americana, el levantamiento de las medidas provisionales en este caso no implica que el Estado quede relevado de sus </w:t>
      </w:r>
      <w:r w:rsidRPr="002A4229">
        <w:rPr>
          <w:rFonts w:ascii="Verdana" w:hAnsi="Verdana"/>
          <w:sz w:val="20"/>
          <w:szCs w:val="20"/>
          <w:lang w:val="es-ES_tradnl"/>
        </w:rPr>
        <w:lastRenderedPageBreak/>
        <w:t>obligaciones convencionales de protección, de conformidad co</w:t>
      </w:r>
      <w:r>
        <w:rPr>
          <w:rFonts w:ascii="Verdana" w:hAnsi="Verdana"/>
          <w:sz w:val="20"/>
          <w:szCs w:val="20"/>
          <w:lang w:val="es-ES_tradnl"/>
        </w:rPr>
        <w:t xml:space="preserve">n el Considerando </w:t>
      </w:r>
      <w:r w:rsidR="00F72A98">
        <w:rPr>
          <w:rFonts w:ascii="Verdana" w:hAnsi="Verdana"/>
          <w:sz w:val="20"/>
          <w:szCs w:val="20"/>
          <w:lang w:val="es-ES_tradnl"/>
        </w:rPr>
        <w:t>14</w:t>
      </w:r>
      <w:r w:rsidRPr="002A4229">
        <w:rPr>
          <w:rFonts w:ascii="Verdana" w:hAnsi="Verdana"/>
          <w:sz w:val="20"/>
          <w:szCs w:val="20"/>
          <w:lang w:val="es-ES_tradnl"/>
        </w:rPr>
        <w:t xml:space="preserve"> de la presente Resolución. </w:t>
      </w:r>
    </w:p>
    <w:p w14:paraId="16746AE8" w14:textId="11796B2D" w:rsidR="00F87CB1" w:rsidRDefault="002A4229" w:rsidP="00E45686">
      <w:pPr>
        <w:pStyle w:val="ListParagraph"/>
        <w:numPr>
          <w:ilvl w:val="0"/>
          <w:numId w:val="12"/>
        </w:numPr>
        <w:spacing w:before="120" w:after="120" w:line="276" w:lineRule="auto"/>
        <w:ind w:left="0" w:firstLine="0"/>
        <w:contextualSpacing w:val="0"/>
        <w:jc w:val="both"/>
        <w:rPr>
          <w:rFonts w:ascii="Verdana" w:hAnsi="Verdana"/>
          <w:b/>
          <w:sz w:val="20"/>
          <w:szCs w:val="20"/>
          <w:lang w:val="es-ES_tradnl"/>
        </w:rPr>
      </w:pPr>
      <w:r w:rsidRPr="002A4229">
        <w:rPr>
          <w:rFonts w:ascii="Verdana" w:hAnsi="Verdana"/>
          <w:sz w:val="20"/>
          <w:szCs w:val="20"/>
          <w:lang w:val="es-ES_tradnl"/>
        </w:rPr>
        <w:t xml:space="preserve">Disponer que la Secretaría de la Corte Interamericana de Derechos Humanos notifique la presente Resolución a </w:t>
      </w:r>
      <w:r>
        <w:rPr>
          <w:rFonts w:ascii="Verdana" w:hAnsi="Verdana"/>
          <w:sz w:val="20"/>
          <w:szCs w:val="20"/>
          <w:lang w:val="es-ES_tradnl"/>
        </w:rPr>
        <w:t>Venezuela</w:t>
      </w:r>
      <w:r w:rsidRPr="002A4229">
        <w:rPr>
          <w:rFonts w:ascii="Verdana" w:hAnsi="Verdana"/>
          <w:sz w:val="20"/>
          <w:szCs w:val="20"/>
          <w:lang w:val="es-ES_tradnl"/>
        </w:rPr>
        <w:t>, a la Comisión Interamericana de Derechos Humanos y a los representantes.</w:t>
      </w:r>
    </w:p>
    <w:p w14:paraId="4A97316B" w14:textId="0376803E" w:rsidR="002A4229" w:rsidRPr="00F87CB1" w:rsidRDefault="002A4229" w:rsidP="00E45686">
      <w:pPr>
        <w:pStyle w:val="ListParagraph"/>
        <w:numPr>
          <w:ilvl w:val="0"/>
          <w:numId w:val="12"/>
        </w:numPr>
        <w:spacing w:before="120" w:after="120" w:line="276" w:lineRule="auto"/>
        <w:ind w:left="0" w:firstLine="0"/>
        <w:contextualSpacing w:val="0"/>
        <w:jc w:val="both"/>
        <w:rPr>
          <w:rFonts w:ascii="Verdana" w:hAnsi="Verdana"/>
          <w:b/>
          <w:sz w:val="20"/>
          <w:szCs w:val="20"/>
          <w:lang w:val="es-ES_tradnl"/>
        </w:rPr>
      </w:pPr>
      <w:r w:rsidRPr="002A4229">
        <w:rPr>
          <w:rFonts w:ascii="Verdana" w:hAnsi="Verdana"/>
          <w:sz w:val="20"/>
          <w:szCs w:val="20"/>
          <w:lang w:val="es-CR"/>
        </w:rPr>
        <w:t xml:space="preserve">Archivar </w:t>
      </w:r>
      <w:r w:rsidRPr="00F72A98">
        <w:rPr>
          <w:rFonts w:ascii="Verdana" w:hAnsi="Verdana"/>
          <w:sz w:val="20"/>
          <w:szCs w:val="20"/>
          <w:lang w:val="es-ES_tradnl"/>
        </w:rPr>
        <w:t>este</w:t>
      </w:r>
      <w:r w:rsidRPr="002A4229">
        <w:rPr>
          <w:rFonts w:ascii="Verdana" w:hAnsi="Verdana"/>
          <w:sz w:val="20"/>
          <w:szCs w:val="20"/>
          <w:lang w:val="es-CR"/>
        </w:rPr>
        <w:t xml:space="preserve"> expediente.</w:t>
      </w:r>
    </w:p>
    <w:p w14:paraId="281A8BD2" w14:textId="77777777" w:rsidR="00540FDB" w:rsidRDefault="00540FDB" w:rsidP="00E45686">
      <w:pPr>
        <w:spacing w:after="0" w:line="276" w:lineRule="auto"/>
        <w:jc w:val="both"/>
        <w:rPr>
          <w:rFonts w:ascii="Verdana" w:hAnsi="Verdana"/>
          <w:sz w:val="20"/>
          <w:szCs w:val="20"/>
          <w:lang w:val="es-CR"/>
        </w:rPr>
      </w:pPr>
    </w:p>
    <w:p w14:paraId="762F419B" w14:textId="77777777" w:rsidR="00E45686" w:rsidRDefault="00E45686" w:rsidP="00E45686">
      <w:pPr>
        <w:spacing w:after="0" w:line="276" w:lineRule="auto"/>
        <w:jc w:val="both"/>
        <w:rPr>
          <w:rFonts w:ascii="Verdana" w:hAnsi="Verdana"/>
          <w:sz w:val="20"/>
          <w:szCs w:val="20"/>
          <w:lang w:val="es-CR"/>
        </w:rPr>
      </w:pPr>
    </w:p>
    <w:p w14:paraId="0DF4BD37" w14:textId="77777777" w:rsidR="00E45686" w:rsidRDefault="00E45686" w:rsidP="00E45686">
      <w:pPr>
        <w:spacing w:after="0" w:line="276" w:lineRule="auto"/>
        <w:jc w:val="both"/>
        <w:rPr>
          <w:rFonts w:ascii="Verdana" w:hAnsi="Verdana"/>
          <w:sz w:val="20"/>
          <w:szCs w:val="20"/>
          <w:lang w:val="es-CR"/>
        </w:rPr>
      </w:pPr>
    </w:p>
    <w:p w14:paraId="010B9BA9" w14:textId="77777777" w:rsidR="00E45686" w:rsidRDefault="00E45686" w:rsidP="002B010F">
      <w:pPr>
        <w:spacing w:after="0" w:line="240" w:lineRule="auto"/>
        <w:jc w:val="both"/>
        <w:rPr>
          <w:rFonts w:ascii="Verdana" w:hAnsi="Verdana"/>
          <w:sz w:val="20"/>
          <w:szCs w:val="20"/>
          <w:lang w:val="es-CR"/>
        </w:rPr>
      </w:pPr>
    </w:p>
    <w:p w14:paraId="355F4A1C" w14:textId="77777777" w:rsidR="00E45686" w:rsidRDefault="00E45686" w:rsidP="002B010F">
      <w:pPr>
        <w:spacing w:after="0" w:line="240" w:lineRule="auto"/>
        <w:jc w:val="both"/>
        <w:rPr>
          <w:rFonts w:ascii="Verdana" w:hAnsi="Verdana"/>
          <w:sz w:val="20"/>
          <w:szCs w:val="20"/>
          <w:lang w:val="es-CR"/>
        </w:rPr>
      </w:pPr>
    </w:p>
    <w:p w14:paraId="23AAD1FE" w14:textId="77777777" w:rsidR="00E45686" w:rsidRDefault="00E45686" w:rsidP="002B010F">
      <w:pPr>
        <w:spacing w:after="0" w:line="240" w:lineRule="auto"/>
        <w:jc w:val="both"/>
        <w:rPr>
          <w:rFonts w:ascii="Verdana" w:hAnsi="Verdana"/>
          <w:sz w:val="20"/>
          <w:szCs w:val="20"/>
          <w:lang w:val="es-CR"/>
        </w:rPr>
      </w:pPr>
    </w:p>
    <w:p w14:paraId="6B46B6A1" w14:textId="77777777" w:rsidR="00E45686" w:rsidRDefault="00E45686" w:rsidP="002B010F">
      <w:pPr>
        <w:spacing w:after="0" w:line="240" w:lineRule="auto"/>
        <w:jc w:val="both"/>
        <w:rPr>
          <w:rFonts w:ascii="Verdana" w:hAnsi="Verdana"/>
          <w:sz w:val="20"/>
          <w:szCs w:val="20"/>
          <w:lang w:val="es-CR"/>
        </w:rPr>
      </w:pPr>
    </w:p>
    <w:p w14:paraId="12D92D46" w14:textId="77777777" w:rsidR="00E45686" w:rsidRDefault="00E45686" w:rsidP="002B010F">
      <w:pPr>
        <w:spacing w:after="0" w:line="240" w:lineRule="auto"/>
        <w:jc w:val="both"/>
        <w:rPr>
          <w:rFonts w:ascii="Verdana" w:hAnsi="Verdana"/>
          <w:sz w:val="20"/>
          <w:szCs w:val="20"/>
          <w:lang w:val="es-CR"/>
        </w:rPr>
      </w:pPr>
    </w:p>
    <w:p w14:paraId="30AA8C01" w14:textId="77777777" w:rsidR="00E45686" w:rsidRDefault="00E45686" w:rsidP="002B010F">
      <w:pPr>
        <w:spacing w:after="0" w:line="240" w:lineRule="auto"/>
        <w:jc w:val="both"/>
        <w:rPr>
          <w:rFonts w:ascii="Verdana" w:hAnsi="Verdana"/>
          <w:sz w:val="20"/>
          <w:szCs w:val="20"/>
          <w:lang w:val="es-CR"/>
        </w:rPr>
      </w:pPr>
    </w:p>
    <w:p w14:paraId="19C9D756" w14:textId="77777777" w:rsidR="00E45686" w:rsidRDefault="00E45686" w:rsidP="002B010F">
      <w:pPr>
        <w:spacing w:after="0" w:line="240" w:lineRule="auto"/>
        <w:jc w:val="both"/>
        <w:rPr>
          <w:rFonts w:ascii="Verdana" w:hAnsi="Verdana"/>
          <w:sz w:val="20"/>
          <w:szCs w:val="20"/>
          <w:lang w:val="es-CR"/>
        </w:rPr>
      </w:pPr>
    </w:p>
    <w:p w14:paraId="6F56B0F7" w14:textId="77777777" w:rsidR="00E45686" w:rsidRDefault="00E45686" w:rsidP="002B010F">
      <w:pPr>
        <w:spacing w:after="0" w:line="240" w:lineRule="auto"/>
        <w:jc w:val="both"/>
        <w:rPr>
          <w:rFonts w:ascii="Verdana" w:hAnsi="Verdana"/>
          <w:sz w:val="20"/>
          <w:szCs w:val="20"/>
          <w:lang w:val="es-CR"/>
        </w:rPr>
      </w:pPr>
    </w:p>
    <w:p w14:paraId="6BCFF2CE" w14:textId="77777777" w:rsidR="00E45686" w:rsidRDefault="00E45686" w:rsidP="002B010F">
      <w:pPr>
        <w:spacing w:after="0" w:line="240" w:lineRule="auto"/>
        <w:jc w:val="both"/>
        <w:rPr>
          <w:rFonts w:ascii="Verdana" w:hAnsi="Verdana"/>
          <w:sz w:val="20"/>
          <w:szCs w:val="20"/>
          <w:lang w:val="es-CR"/>
        </w:rPr>
      </w:pPr>
    </w:p>
    <w:p w14:paraId="23A2CB70" w14:textId="77777777" w:rsidR="00E45686" w:rsidRDefault="00E45686" w:rsidP="002B010F">
      <w:pPr>
        <w:spacing w:after="0" w:line="240" w:lineRule="auto"/>
        <w:jc w:val="both"/>
        <w:rPr>
          <w:rFonts w:ascii="Verdana" w:hAnsi="Verdana"/>
          <w:sz w:val="20"/>
          <w:szCs w:val="20"/>
          <w:lang w:val="es-CR"/>
        </w:rPr>
      </w:pPr>
    </w:p>
    <w:p w14:paraId="3763523E" w14:textId="77777777" w:rsidR="00E45686" w:rsidRDefault="00E45686" w:rsidP="002B010F">
      <w:pPr>
        <w:spacing w:after="0" w:line="240" w:lineRule="auto"/>
        <w:jc w:val="both"/>
        <w:rPr>
          <w:rFonts w:ascii="Verdana" w:hAnsi="Verdana"/>
          <w:sz w:val="20"/>
          <w:szCs w:val="20"/>
          <w:lang w:val="es-CR"/>
        </w:rPr>
      </w:pPr>
    </w:p>
    <w:p w14:paraId="7856E418" w14:textId="77777777" w:rsidR="00E45686" w:rsidRDefault="00E45686" w:rsidP="002B010F">
      <w:pPr>
        <w:spacing w:after="0" w:line="240" w:lineRule="auto"/>
        <w:jc w:val="both"/>
        <w:rPr>
          <w:rFonts w:ascii="Verdana" w:hAnsi="Verdana"/>
          <w:sz w:val="20"/>
          <w:szCs w:val="20"/>
          <w:lang w:val="es-CR"/>
        </w:rPr>
      </w:pPr>
    </w:p>
    <w:p w14:paraId="3879692D" w14:textId="77777777" w:rsidR="00E45686" w:rsidRDefault="00E45686" w:rsidP="002B010F">
      <w:pPr>
        <w:spacing w:after="0" w:line="240" w:lineRule="auto"/>
        <w:jc w:val="both"/>
        <w:rPr>
          <w:rFonts w:ascii="Verdana" w:hAnsi="Verdana"/>
          <w:sz w:val="20"/>
          <w:szCs w:val="20"/>
          <w:lang w:val="es-CR"/>
        </w:rPr>
      </w:pPr>
    </w:p>
    <w:p w14:paraId="24C4B1F3" w14:textId="77777777" w:rsidR="00E45686" w:rsidRDefault="00E45686" w:rsidP="002B010F">
      <w:pPr>
        <w:spacing w:after="0" w:line="240" w:lineRule="auto"/>
        <w:jc w:val="both"/>
        <w:rPr>
          <w:rFonts w:ascii="Verdana" w:hAnsi="Verdana"/>
          <w:sz w:val="20"/>
          <w:szCs w:val="20"/>
          <w:lang w:val="es-CR"/>
        </w:rPr>
      </w:pPr>
    </w:p>
    <w:p w14:paraId="28EB7F83" w14:textId="77777777" w:rsidR="00E45686" w:rsidRDefault="00E45686" w:rsidP="002B010F">
      <w:pPr>
        <w:spacing w:after="0" w:line="240" w:lineRule="auto"/>
        <w:jc w:val="both"/>
        <w:rPr>
          <w:rFonts w:ascii="Verdana" w:hAnsi="Verdana"/>
          <w:sz w:val="20"/>
          <w:szCs w:val="20"/>
          <w:lang w:val="es-CR"/>
        </w:rPr>
      </w:pPr>
    </w:p>
    <w:p w14:paraId="6D877BF6" w14:textId="77777777" w:rsidR="00E45686" w:rsidRDefault="00E45686" w:rsidP="002B010F">
      <w:pPr>
        <w:spacing w:after="0" w:line="240" w:lineRule="auto"/>
        <w:jc w:val="both"/>
        <w:rPr>
          <w:rFonts w:ascii="Verdana" w:hAnsi="Verdana"/>
          <w:sz w:val="20"/>
          <w:szCs w:val="20"/>
          <w:lang w:val="es-CR"/>
        </w:rPr>
      </w:pPr>
    </w:p>
    <w:p w14:paraId="01AB6F20" w14:textId="77777777" w:rsidR="00E45686" w:rsidRDefault="00E45686" w:rsidP="002B010F">
      <w:pPr>
        <w:spacing w:after="0" w:line="240" w:lineRule="auto"/>
        <w:jc w:val="both"/>
        <w:rPr>
          <w:rFonts w:ascii="Verdana" w:hAnsi="Verdana"/>
          <w:sz w:val="20"/>
          <w:szCs w:val="20"/>
          <w:lang w:val="es-CR"/>
        </w:rPr>
      </w:pPr>
    </w:p>
    <w:p w14:paraId="28D2E18A" w14:textId="77777777" w:rsidR="00E45686" w:rsidRDefault="00E45686" w:rsidP="002B010F">
      <w:pPr>
        <w:spacing w:after="0" w:line="240" w:lineRule="auto"/>
        <w:jc w:val="both"/>
        <w:rPr>
          <w:rFonts w:ascii="Verdana" w:hAnsi="Verdana"/>
          <w:sz w:val="20"/>
          <w:szCs w:val="20"/>
          <w:lang w:val="es-CR"/>
        </w:rPr>
      </w:pPr>
    </w:p>
    <w:p w14:paraId="3D23267B" w14:textId="77777777" w:rsidR="00E45686" w:rsidRDefault="00E45686" w:rsidP="002B010F">
      <w:pPr>
        <w:spacing w:after="0" w:line="240" w:lineRule="auto"/>
        <w:jc w:val="both"/>
        <w:rPr>
          <w:rFonts w:ascii="Verdana" w:hAnsi="Verdana"/>
          <w:sz w:val="20"/>
          <w:szCs w:val="20"/>
          <w:lang w:val="es-CR"/>
        </w:rPr>
      </w:pPr>
    </w:p>
    <w:p w14:paraId="088801C5" w14:textId="77777777" w:rsidR="00E45686" w:rsidRDefault="00E45686" w:rsidP="002B010F">
      <w:pPr>
        <w:spacing w:after="0" w:line="240" w:lineRule="auto"/>
        <w:jc w:val="both"/>
        <w:rPr>
          <w:rFonts w:ascii="Verdana" w:hAnsi="Verdana"/>
          <w:sz w:val="20"/>
          <w:szCs w:val="20"/>
          <w:lang w:val="es-CR"/>
        </w:rPr>
      </w:pPr>
    </w:p>
    <w:p w14:paraId="64B8A82C" w14:textId="77777777" w:rsidR="00E45686" w:rsidRDefault="00E45686" w:rsidP="002B010F">
      <w:pPr>
        <w:spacing w:after="0" w:line="240" w:lineRule="auto"/>
        <w:jc w:val="both"/>
        <w:rPr>
          <w:rFonts w:ascii="Verdana" w:hAnsi="Verdana"/>
          <w:sz w:val="20"/>
          <w:szCs w:val="20"/>
          <w:lang w:val="es-CR"/>
        </w:rPr>
      </w:pPr>
    </w:p>
    <w:p w14:paraId="1B189660" w14:textId="77777777" w:rsidR="00E45686" w:rsidRDefault="00E45686" w:rsidP="002B010F">
      <w:pPr>
        <w:spacing w:after="0" w:line="240" w:lineRule="auto"/>
        <w:jc w:val="both"/>
        <w:rPr>
          <w:rFonts w:ascii="Verdana" w:hAnsi="Verdana"/>
          <w:sz w:val="20"/>
          <w:szCs w:val="20"/>
          <w:lang w:val="es-CR"/>
        </w:rPr>
      </w:pPr>
    </w:p>
    <w:p w14:paraId="194D940E" w14:textId="77777777" w:rsidR="00E45686" w:rsidRDefault="00E45686" w:rsidP="002B010F">
      <w:pPr>
        <w:spacing w:after="0" w:line="240" w:lineRule="auto"/>
        <w:jc w:val="both"/>
        <w:rPr>
          <w:rFonts w:ascii="Verdana" w:hAnsi="Verdana"/>
          <w:sz w:val="20"/>
          <w:szCs w:val="20"/>
          <w:lang w:val="es-CR"/>
        </w:rPr>
      </w:pPr>
    </w:p>
    <w:p w14:paraId="503592E2" w14:textId="77777777" w:rsidR="00E45686" w:rsidRDefault="00E45686" w:rsidP="002B010F">
      <w:pPr>
        <w:spacing w:after="0" w:line="240" w:lineRule="auto"/>
        <w:jc w:val="both"/>
        <w:rPr>
          <w:rFonts w:ascii="Verdana" w:hAnsi="Verdana"/>
          <w:sz w:val="20"/>
          <w:szCs w:val="20"/>
          <w:lang w:val="es-CR"/>
        </w:rPr>
      </w:pPr>
    </w:p>
    <w:p w14:paraId="3250D1FA" w14:textId="77777777" w:rsidR="00E45686" w:rsidRDefault="00E45686" w:rsidP="002B010F">
      <w:pPr>
        <w:spacing w:after="0" w:line="240" w:lineRule="auto"/>
        <w:jc w:val="both"/>
        <w:rPr>
          <w:rFonts w:ascii="Verdana" w:hAnsi="Verdana"/>
          <w:sz w:val="20"/>
          <w:szCs w:val="20"/>
          <w:lang w:val="es-CR"/>
        </w:rPr>
      </w:pPr>
    </w:p>
    <w:p w14:paraId="6194308C" w14:textId="77777777" w:rsidR="00E45686" w:rsidRDefault="00E45686" w:rsidP="002B010F">
      <w:pPr>
        <w:spacing w:after="0" w:line="240" w:lineRule="auto"/>
        <w:jc w:val="both"/>
        <w:rPr>
          <w:rFonts w:ascii="Verdana" w:hAnsi="Verdana"/>
          <w:sz w:val="20"/>
          <w:szCs w:val="20"/>
          <w:lang w:val="es-CR"/>
        </w:rPr>
      </w:pPr>
    </w:p>
    <w:p w14:paraId="0D1744B4" w14:textId="77777777" w:rsidR="00E45686" w:rsidRDefault="00E45686" w:rsidP="002B010F">
      <w:pPr>
        <w:spacing w:after="0" w:line="240" w:lineRule="auto"/>
        <w:jc w:val="both"/>
        <w:rPr>
          <w:rFonts w:ascii="Verdana" w:hAnsi="Verdana"/>
          <w:sz w:val="20"/>
          <w:szCs w:val="20"/>
          <w:lang w:val="es-CR"/>
        </w:rPr>
      </w:pPr>
    </w:p>
    <w:p w14:paraId="50B358B3" w14:textId="77777777" w:rsidR="00E45686" w:rsidRDefault="00E45686" w:rsidP="002B010F">
      <w:pPr>
        <w:spacing w:after="0" w:line="240" w:lineRule="auto"/>
        <w:jc w:val="both"/>
        <w:rPr>
          <w:rFonts w:ascii="Verdana" w:hAnsi="Verdana"/>
          <w:sz w:val="20"/>
          <w:szCs w:val="20"/>
          <w:lang w:val="es-CR"/>
        </w:rPr>
      </w:pPr>
    </w:p>
    <w:p w14:paraId="0B5EA46C" w14:textId="77777777" w:rsidR="00E45686" w:rsidRDefault="00E45686" w:rsidP="002B010F">
      <w:pPr>
        <w:spacing w:after="0" w:line="240" w:lineRule="auto"/>
        <w:jc w:val="both"/>
        <w:rPr>
          <w:rFonts w:ascii="Verdana" w:hAnsi="Verdana"/>
          <w:sz w:val="20"/>
          <w:szCs w:val="20"/>
          <w:lang w:val="es-CR"/>
        </w:rPr>
      </w:pPr>
    </w:p>
    <w:p w14:paraId="48D66B19" w14:textId="77777777" w:rsidR="00E45686" w:rsidRDefault="00E45686" w:rsidP="002B010F">
      <w:pPr>
        <w:spacing w:after="0" w:line="240" w:lineRule="auto"/>
        <w:jc w:val="both"/>
        <w:rPr>
          <w:rFonts w:ascii="Verdana" w:hAnsi="Verdana"/>
          <w:sz w:val="20"/>
          <w:szCs w:val="20"/>
          <w:lang w:val="es-CR"/>
        </w:rPr>
      </w:pPr>
    </w:p>
    <w:p w14:paraId="64D769D5" w14:textId="77777777" w:rsidR="00E45686" w:rsidRDefault="00E45686" w:rsidP="002B010F">
      <w:pPr>
        <w:spacing w:after="0" w:line="240" w:lineRule="auto"/>
        <w:jc w:val="both"/>
        <w:rPr>
          <w:rFonts w:ascii="Verdana" w:hAnsi="Verdana"/>
          <w:sz w:val="20"/>
          <w:szCs w:val="20"/>
          <w:lang w:val="es-CR"/>
        </w:rPr>
      </w:pPr>
    </w:p>
    <w:p w14:paraId="370402B8" w14:textId="77777777" w:rsidR="00E45686" w:rsidRDefault="00E45686" w:rsidP="002B010F">
      <w:pPr>
        <w:spacing w:after="0" w:line="240" w:lineRule="auto"/>
        <w:jc w:val="both"/>
        <w:rPr>
          <w:rFonts w:ascii="Verdana" w:hAnsi="Verdana"/>
          <w:sz w:val="20"/>
          <w:szCs w:val="20"/>
          <w:lang w:val="es-CR"/>
        </w:rPr>
      </w:pPr>
    </w:p>
    <w:p w14:paraId="2FE92DBA" w14:textId="77777777" w:rsidR="00E45686" w:rsidRDefault="00E45686" w:rsidP="002B010F">
      <w:pPr>
        <w:spacing w:after="0" w:line="240" w:lineRule="auto"/>
        <w:jc w:val="both"/>
        <w:rPr>
          <w:rFonts w:ascii="Verdana" w:hAnsi="Verdana"/>
          <w:sz w:val="20"/>
          <w:szCs w:val="20"/>
          <w:lang w:val="es-CR"/>
        </w:rPr>
      </w:pPr>
    </w:p>
    <w:p w14:paraId="1F8C0D17" w14:textId="77777777" w:rsidR="00E45686" w:rsidRDefault="00E45686" w:rsidP="002B010F">
      <w:pPr>
        <w:spacing w:after="0" w:line="240" w:lineRule="auto"/>
        <w:jc w:val="both"/>
        <w:rPr>
          <w:rFonts w:ascii="Verdana" w:hAnsi="Verdana"/>
          <w:sz w:val="20"/>
          <w:szCs w:val="20"/>
          <w:lang w:val="es-CR"/>
        </w:rPr>
      </w:pPr>
    </w:p>
    <w:p w14:paraId="5ADF00FF" w14:textId="77777777" w:rsidR="00E45686" w:rsidRDefault="00E45686" w:rsidP="002B010F">
      <w:pPr>
        <w:spacing w:after="0" w:line="240" w:lineRule="auto"/>
        <w:jc w:val="both"/>
        <w:rPr>
          <w:rFonts w:ascii="Verdana" w:hAnsi="Verdana"/>
          <w:sz w:val="20"/>
          <w:szCs w:val="20"/>
          <w:lang w:val="es-CR"/>
        </w:rPr>
      </w:pPr>
    </w:p>
    <w:p w14:paraId="38362814" w14:textId="77777777" w:rsidR="00E45686" w:rsidRDefault="00E45686" w:rsidP="002B010F">
      <w:pPr>
        <w:spacing w:after="0" w:line="240" w:lineRule="auto"/>
        <w:jc w:val="both"/>
        <w:rPr>
          <w:rFonts w:ascii="Verdana" w:hAnsi="Verdana"/>
          <w:sz w:val="20"/>
          <w:szCs w:val="20"/>
          <w:lang w:val="es-CR"/>
        </w:rPr>
      </w:pPr>
    </w:p>
    <w:p w14:paraId="10AC6142" w14:textId="77777777" w:rsidR="00E45686" w:rsidRDefault="00E45686" w:rsidP="002B010F">
      <w:pPr>
        <w:spacing w:after="0" w:line="240" w:lineRule="auto"/>
        <w:jc w:val="both"/>
        <w:rPr>
          <w:rFonts w:ascii="Verdana" w:hAnsi="Verdana"/>
          <w:sz w:val="20"/>
          <w:szCs w:val="20"/>
          <w:lang w:val="es-CR"/>
        </w:rPr>
      </w:pPr>
    </w:p>
    <w:p w14:paraId="401BDA39" w14:textId="77777777" w:rsidR="00E45686" w:rsidRDefault="00E45686" w:rsidP="002B010F">
      <w:pPr>
        <w:spacing w:after="0" w:line="240" w:lineRule="auto"/>
        <w:jc w:val="both"/>
        <w:rPr>
          <w:rFonts w:ascii="Verdana" w:hAnsi="Verdana"/>
          <w:sz w:val="20"/>
          <w:szCs w:val="20"/>
          <w:lang w:val="es-CR"/>
        </w:rPr>
      </w:pPr>
    </w:p>
    <w:p w14:paraId="078F8DDC" w14:textId="77777777" w:rsidR="00E45686" w:rsidRDefault="00E45686" w:rsidP="002B010F">
      <w:pPr>
        <w:spacing w:after="0" w:line="240" w:lineRule="auto"/>
        <w:jc w:val="both"/>
        <w:rPr>
          <w:rFonts w:ascii="Verdana" w:hAnsi="Verdana"/>
          <w:sz w:val="20"/>
          <w:szCs w:val="20"/>
          <w:lang w:val="es-CR"/>
        </w:rPr>
      </w:pPr>
    </w:p>
    <w:p w14:paraId="2941D989" w14:textId="77777777" w:rsidR="00E45686" w:rsidRDefault="00E45686" w:rsidP="002B010F">
      <w:pPr>
        <w:spacing w:after="0" w:line="240" w:lineRule="auto"/>
        <w:jc w:val="both"/>
        <w:rPr>
          <w:rFonts w:ascii="Verdana" w:hAnsi="Verdana"/>
          <w:sz w:val="20"/>
          <w:szCs w:val="20"/>
          <w:lang w:val="es-CR"/>
        </w:rPr>
      </w:pPr>
    </w:p>
    <w:p w14:paraId="5E43217A" w14:textId="77777777" w:rsidR="00E45686" w:rsidRDefault="00E45686" w:rsidP="002B010F">
      <w:pPr>
        <w:spacing w:after="0" w:line="240" w:lineRule="auto"/>
        <w:jc w:val="both"/>
        <w:rPr>
          <w:rFonts w:ascii="Verdana" w:hAnsi="Verdana"/>
          <w:sz w:val="20"/>
          <w:szCs w:val="20"/>
          <w:lang w:val="es-CR"/>
        </w:rPr>
      </w:pPr>
    </w:p>
    <w:p w14:paraId="1E37689B" w14:textId="46786B40" w:rsidR="002B010F" w:rsidRPr="00BF0A5F" w:rsidRDefault="002B010F" w:rsidP="002B010F">
      <w:pPr>
        <w:spacing w:after="0" w:line="240" w:lineRule="auto"/>
        <w:jc w:val="both"/>
        <w:rPr>
          <w:rFonts w:ascii="Verdana" w:hAnsi="Verdana"/>
          <w:sz w:val="20"/>
          <w:szCs w:val="20"/>
          <w:lang w:val="es-CR"/>
        </w:rPr>
      </w:pPr>
      <w:r w:rsidRPr="00BF0A5F">
        <w:rPr>
          <w:rFonts w:ascii="Verdana" w:hAnsi="Verdana"/>
          <w:sz w:val="20"/>
          <w:szCs w:val="20"/>
          <w:lang w:val="es-CR"/>
        </w:rPr>
        <w:lastRenderedPageBreak/>
        <w:t xml:space="preserve">Corte IDH. Asunto Luisiana Ríos y otros respecto de Venezuela. Medidas provisionales. Resolución de la Corte Interamericana de Derechos Humanos de </w:t>
      </w:r>
      <w:r w:rsidR="00200271">
        <w:rPr>
          <w:rFonts w:ascii="Verdana" w:hAnsi="Verdana"/>
          <w:sz w:val="20"/>
          <w:szCs w:val="20"/>
          <w:lang w:val="es-CR"/>
        </w:rPr>
        <w:t>22</w:t>
      </w:r>
      <w:r w:rsidRPr="00BF0A5F">
        <w:rPr>
          <w:rFonts w:ascii="Verdana" w:hAnsi="Verdana"/>
          <w:sz w:val="20"/>
          <w:szCs w:val="20"/>
          <w:lang w:val="es-CR"/>
        </w:rPr>
        <w:t xml:space="preserve"> de agosto de 2018.</w:t>
      </w:r>
    </w:p>
    <w:p w14:paraId="4EB4C020" w14:textId="77777777" w:rsidR="002B010F" w:rsidRPr="00BF0A5F" w:rsidRDefault="002B010F" w:rsidP="002B010F">
      <w:pPr>
        <w:spacing w:after="0" w:line="240" w:lineRule="auto"/>
        <w:jc w:val="center"/>
        <w:rPr>
          <w:rFonts w:ascii="Verdana" w:eastAsia="Times" w:hAnsi="Verdana" w:cs="Times New Roman"/>
          <w:sz w:val="20"/>
          <w:szCs w:val="20"/>
          <w:lang w:val="es-ES"/>
        </w:rPr>
      </w:pPr>
    </w:p>
    <w:p w14:paraId="073B5FD9" w14:textId="77777777" w:rsidR="002B010F" w:rsidRPr="00BF0A5F" w:rsidRDefault="002B010F" w:rsidP="002B010F">
      <w:pPr>
        <w:spacing w:after="0" w:line="240" w:lineRule="auto"/>
        <w:jc w:val="center"/>
        <w:rPr>
          <w:rFonts w:ascii="Verdana" w:eastAsia="Times" w:hAnsi="Verdana" w:cs="Times New Roman"/>
          <w:sz w:val="20"/>
          <w:szCs w:val="20"/>
          <w:lang w:val="es-ES"/>
        </w:rPr>
      </w:pPr>
    </w:p>
    <w:p w14:paraId="0BD8C19B" w14:textId="77777777" w:rsidR="002B010F" w:rsidRPr="00BF0A5F" w:rsidRDefault="002B010F" w:rsidP="002B010F">
      <w:pPr>
        <w:spacing w:after="0" w:line="240" w:lineRule="auto"/>
        <w:jc w:val="center"/>
        <w:rPr>
          <w:rFonts w:ascii="Verdana" w:eastAsia="Times" w:hAnsi="Verdana" w:cs="Times New Roman"/>
          <w:sz w:val="20"/>
          <w:szCs w:val="20"/>
          <w:lang w:val="es-ES"/>
        </w:rPr>
      </w:pPr>
    </w:p>
    <w:p w14:paraId="15880C83" w14:textId="77777777" w:rsidR="002B010F" w:rsidRPr="00BF0A5F" w:rsidRDefault="002B010F" w:rsidP="002B010F">
      <w:pPr>
        <w:spacing w:after="0" w:line="240" w:lineRule="auto"/>
        <w:jc w:val="center"/>
        <w:rPr>
          <w:rFonts w:ascii="Verdana" w:eastAsia="Times" w:hAnsi="Verdana" w:cs="Times New Roman"/>
          <w:sz w:val="20"/>
          <w:szCs w:val="20"/>
          <w:lang w:val="es-ES"/>
        </w:rPr>
      </w:pPr>
    </w:p>
    <w:p w14:paraId="1F54AFB8" w14:textId="77777777" w:rsidR="002B010F" w:rsidRPr="00BF0A5F" w:rsidRDefault="002B010F" w:rsidP="002B010F">
      <w:pPr>
        <w:spacing w:after="0" w:line="240" w:lineRule="auto"/>
        <w:jc w:val="center"/>
        <w:rPr>
          <w:rFonts w:ascii="Verdana" w:eastAsia="Times" w:hAnsi="Verdana" w:cs="Times New Roman"/>
          <w:sz w:val="20"/>
          <w:szCs w:val="20"/>
          <w:lang w:val="es-ES"/>
        </w:rPr>
      </w:pPr>
    </w:p>
    <w:p w14:paraId="0EE5ED2E" w14:textId="77777777" w:rsidR="002B010F" w:rsidRPr="00BF0A5F" w:rsidRDefault="002B010F" w:rsidP="002B010F">
      <w:pPr>
        <w:spacing w:after="0" w:line="240" w:lineRule="auto"/>
        <w:jc w:val="center"/>
        <w:rPr>
          <w:rFonts w:ascii="Verdana" w:eastAsia="Times" w:hAnsi="Verdana" w:cs="Times New Roman"/>
          <w:sz w:val="20"/>
          <w:szCs w:val="20"/>
          <w:lang w:val="es-ES"/>
        </w:rPr>
      </w:pPr>
      <w:r w:rsidRPr="00BF0A5F">
        <w:rPr>
          <w:rFonts w:ascii="Verdana" w:eastAsia="Times" w:hAnsi="Verdana" w:cs="Times New Roman"/>
          <w:sz w:val="20"/>
          <w:szCs w:val="20"/>
          <w:lang w:val="es-ES"/>
        </w:rPr>
        <w:t>Eduardo Ferrer Mac-Gregor Poisot</w:t>
      </w:r>
    </w:p>
    <w:p w14:paraId="25C8AE31" w14:textId="77777777" w:rsidR="002B010F" w:rsidRPr="00BF0A5F" w:rsidRDefault="002B010F" w:rsidP="002B010F">
      <w:pPr>
        <w:spacing w:after="0" w:line="240" w:lineRule="auto"/>
        <w:jc w:val="center"/>
        <w:rPr>
          <w:rFonts w:ascii="Verdana" w:eastAsia="Times" w:hAnsi="Verdana" w:cs="Times New Roman"/>
          <w:sz w:val="20"/>
          <w:szCs w:val="20"/>
          <w:lang w:val="es-ES"/>
        </w:rPr>
      </w:pPr>
      <w:r w:rsidRPr="00BF0A5F">
        <w:rPr>
          <w:rFonts w:ascii="Verdana" w:eastAsia="Times" w:hAnsi="Verdana" w:cs="Times New Roman"/>
          <w:sz w:val="20"/>
          <w:szCs w:val="20"/>
          <w:lang w:val="es-ES"/>
        </w:rPr>
        <w:t xml:space="preserve">Presidente </w:t>
      </w:r>
    </w:p>
    <w:p w14:paraId="1ECF5549" w14:textId="77777777" w:rsidR="002B010F" w:rsidRPr="00BF0A5F" w:rsidRDefault="002B010F" w:rsidP="002B010F">
      <w:pPr>
        <w:spacing w:after="0" w:line="240" w:lineRule="auto"/>
        <w:jc w:val="both"/>
        <w:rPr>
          <w:rFonts w:ascii="Verdana" w:eastAsia="Times" w:hAnsi="Verdana" w:cs="Times New Roman"/>
          <w:sz w:val="20"/>
          <w:szCs w:val="20"/>
          <w:lang w:val="es-ES"/>
        </w:rPr>
      </w:pPr>
    </w:p>
    <w:p w14:paraId="13078FF0" w14:textId="77777777" w:rsidR="002B010F" w:rsidRPr="00BF0A5F" w:rsidRDefault="002B010F" w:rsidP="002B010F">
      <w:pPr>
        <w:spacing w:after="0" w:line="240" w:lineRule="auto"/>
        <w:jc w:val="both"/>
        <w:rPr>
          <w:rFonts w:ascii="Verdana" w:eastAsia="Times" w:hAnsi="Verdana" w:cs="Times New Roman"/>
          <w:sz w:val="20"/>
          <w:szCs w:val="20"/>
          <w:lang w:val="es-ES"/>
        </w:rPr>
      </w:pPr>
    </w:p>
    <w:p w14:paraId="2429A96E" w14:textId="77777777" w:rsidR="002B010F" w:rsidRPr="00BF0A5F" w:rsidRDefault="002B010F" w:rsidP="002B010F">
      <w:pPr>
        <w:spacing w:after="0" w:line="240" w:lineRule="auto"/>
        <w:jc w:val="both"/>
        <w:rPr>
          <w:rFonts w:ascii="Verdana" w:eastAsia="Times" w:hAnsi="Verdana" w:cs="Times New Roman"/>
          <w:sz w:val="20"/>
          <w:szCs w:val="20"/>
          <w:lang w:val="es-ES"/>
        </w:rPr>
      </w:pPr>
    </w:p>
    <w:p w14:paraId="6D55A020" w14:textId="77777777" w:rsidR="002B010F" w:rsidRPr="00BF0A5F" w:rsidRDefault="002B010F" w:rsidP="002B010F">
      <w:pPr>
        <w:spacing w:after="0" w:line="240" w:lineRule="auto"/>
        <w:jc w:val="both"/>
        <w:rPr>
          <w:rFonts w:ascii="Verdana" w:eastAsia="Times" w:hAnsi="Verdana" w:cs="Times New Roman"/>
          <w:sz w:val="20"/>
          <w:szCs w:val="20"/>
          <w:lang w:val="es-ES"/>
        </w:rPr>
      </w:pPr>
    </w:p>
    <w:p w14:paraId="08ECCA30" w14:textId="77777777" w:rsidR="002B010F" w:rsidRPr="00BF0A5F" w:rsidRDefault="002B010F" w:rsidP="002B010F">
      <w:pPr>
        <w:spacing w:after="0" w:line="240" w:lineRule="auto"/>
        <w:jc w:val="both"/>
        <w:rPr>
          <w:rFonts w:ascii="Verdana" w:eastAsia="Times" w:hAnsi="Verdana" w:cs="Times New Roman"/>
          <w:sz w:val="20"/>
          <w:szCs w:val="20"/>
          <w:lang w:val="es-ES"/>
        </w:rPr>
      </w:pPr>
    </w:p>
    <w:p w14:paraId="7F154FC0" w14:textId="082888AC" w:rsidR="002B010F" w:rsidRPr="00BF0A5F" w:rsidRDefault="002B010F" w:rsidP="002B010F">
      <w:pPr>
        <w:spacing w:after="0" w:line="240" w:lineRule="auto"/>
        <w:rPr>
          <w:rFonts w:ascii="Verdana" w:eastAsia="Times" w:hAnsi="Verdana" w:cs="Times New Roman"/>
          <w:sz w:val="20"/>
          <w:szCs w:val="20"/>
          <w:lang w:val="es-ES"/>
        </w:rPr>
      </w:pPr>
      <w:r w:rsidRPr="00BF0A5F">
        <w:rPr>
          <w:rFonts w:ascii="Verdana" w:eastAsia="Times" w:hAnsi="Verdana" w:cs="Times New Roman"/>
          <w:sz w:val="20"/>
          <w:szCs w:val="20"/>
          <w:lang w:val="es-ES"/>
        </w:rPr>
        <w:t xml:space="preserve">Humberto A. Sierra Porto </w:t>
      </w:r>
      <w:r w:rsidRPr="00BF0A5F">
        <w:rPr>
          <w:rFonts w:ascii="Verdana" w:eastAsia="Times" w:hAnsi="Verdana" w:cs="Times New Roman"/>
          <w:sz w:val="20"/>
          <w:szCs w:val="20"/>
          <w:lang w:val="es-ES"/>
        </w:rPr>
        <w:tab/>
      </w:r>
      <w:r w:rsidRPr="00BF0A5F">
        <w:rPr>
          <w:rFonts w:ascii="Verdana" w:eastAsia="Times" w:hAnsi="Verdana" w:cs="Times New Roman"/>
          <w:sz w:val="20"/>
          <w:szCs w:val="20"/>
          <w:lang w:val="es-ES"/>
        </w:rPr>
        <w:tab/>
      </w:r>
      <w:r w:rsidRPr="00BF0A5F">
        <w:rPr>
          <w:rFonts w:ascii="Verdana" w:eastAsia="Times" w:hAnsi="Verdana" w:cs="Times New Roman"/>
          <w:sz w:val="20"/>
          <w:szCs w:val="20"/>
          <w:lang w:val="es-ES"/>
        </w:rPr>
        <w:tab/>
      </w:r>
      <w:r w:rsidRPr="00BF0A5F">
        <w:rPr>
          <w:rFonts w:ascii="Verdana" w:eastAsia="Times" w:hAnsi="Verdana" w:cs="Times New Roman"/>
          <w:sz w:val="20"/>
          <w:szCs w:val="20"/>
          <w:lang w:val="es-ES"/>
        </w:rPr>
        <w:tab/>
      </w:r>
      <w:r w:rsidRPr="00BF0A5F">
        <w:rPr>
          <w:rFonts w:ascii="Verdana" w:eastAsia="Times" w:hAnsi="Verdana" w:cs="Times New Roman"/>
          <w:sz w:val="20"/>
          <w:szCs w:val="20"/>
          <w:lang w:val="es-ES"/>
        </w:rPr>
        <w:tab/>
      </w:r>
      <w:r w:rsidRPr="00BF0A5F">
        <w:rPr>
          <w:rFonts w:ascii="Verdana" w:eastAsia="Times" w:hAnsi="Verdana" w:cs="Times New Roman"/>
          <w:sz w:val="20"/>
          <w:szCs w:val="20"/>
          <w:lang w:val="es-ES"/>
        </w:rPr>
        <w:tab/>
        <w:t xml:space="preserve">    </w:t>
      </w:r>
      <w:r w:rsidR="007F5A0A">
        <w:rPr>
          <w:rFonts w:ascii="Verdana" w:eastAsia="Times" w:hAnsi="Verdana" w:cs="Times New Roman"/>
          <w:sz w:val="20"/>
          <w:szCs w:val="20"/>
          <w:lang w:val="es-ES"/>
        </w:rPr>
        <w:t xml:space="preserve">      </w:t>
      </w:r>
      <w:r w:rsidRPr="00BF0A5F">
        <w:rPr>
          <w:rFonts w:ascii="Verdana" w:eastAsia="Times" w:hAnsi="Verdana" w:cs="Times New Roman"/>
          <w:sz w:val="20"/>
          <w:szCs w:val="20"/>
          <w:lang w:val="es-ES"/>
        </w:rPr>
        <w:t>Elizabeth Odio Benito</w:t>
      </w:r>
    </w:p>
    <w:p w14:paraId="6FA1816B" w14:textId="77777777" w:rsidR="002B010F" w:rsidRPr="00BF0A5F" w:rsidRDefault="002B010F" w:rsidP="002B010F">
      <w:pPr>
        <w:spacing w:after="0" w:line="240" w:lineRule="auto"/>
        <w:jc w:val="both"/>
        <w:rPr>
          <w:rFonts w:ascii="Verdana" w:eastAsia="Times" w:hAnsi="Verdana" w:cs="Times New Roman"/>
          <w:sz w:val="20"/>
          <w:szCs w:val="20"/>
          <w:lang w:val="es-ES"/>
        </w:rPr>
      </w:pPr>
    </w:p>
    <w:p w14:paraId="21EECBB3" w14:textId="77777777" w:rsidR="002B010F" w:rsidRPr="00BF0A5F" w:rsidRDefault="002B010F" w:rsidP="002B010F">
      <w:pPr>
        <w:spacing w:after="0" w:line="240" w:lineRule="auto"/>
        <w:jc w:val="both"/>
        <w:rPr>
          <w:rFonts w:ascii="Verdana" w:eastAsia="Times" w:hAnsi="Verdana" w:cs="Times New Roman"/>
          <w:sz w:val="20"/>
          <w:szCs w:val="20"/>
          <w:lang w:val="es-ES"/>
        </w:rPr>
      </w:pPr>
    </w:p>
    <w:p w14:paraId="6109662C" w14:textId="77777777" w:rsidR="002B010F" w:rsidRPr="00BF0A5F" w:rsidRDefault="002B010F" w:rsidP="002B010F">
      <w:pPr>
        <w:spacing w:after="0" w:line="240" w:lineRule="auto"/>
        <w:jc w:val="both"/>
        <w:rPr>
          <w:rFonts w:ascii="Verdana" w:eastAsia="Times" w:hAnsi="Verdana" w:cs="Times New Roman"/>
          <w:sz w:val="20"/>
          <w:szCs w:val="20"/>
          <w:lang w:val="es-ES"/>
        </w:rPr>
      </w:pPr>
    </w:p>
    <w:p w14:paraId="40A17F26" w14:textId="77777777" w:rsidR="002B010F" w:rsidRPr="00BF0A5F" w:rsidRDefault="002B010F" w:rsidP="002B010F">
      <w:pPr>
        <w:spacing w:after="0" w:line="240" w:lineRule="auto"/>
        <w:jc w:val="both"/>
        <w:rPr>
          <w:rFonts w:ascii="Verdana" w:eastAsia="Times" w:hAnsi="Verdana" w:cs="Times New Roman"/>
          <w:sz w:val="20"/>
          <w:szCs w:val="20"/>
          <w:lang w:val="es-ES"/>
        </w:rPr>
      </w:pPr>
    </w:p>
    <w:p w14:paraId="0E97B47E" w14:textId="77777777" w:rsidR="002B010F" w:rsidRPr="00BF0A5F" w:rsidRDefault="002B010F" w:rsidP="002B010F">
      <w:pPr>
        <w:spacing w:after="0" w:line="240" w:lineRule="auto"/>
        <w:jc w:val="both"/>
        <w:rPr>
          <w:rFonts w:ascii="Verdana" w:eastAsia="Times" w:hAnsi="Verdana" w:cs="Times New Roman"/>
          <w:sz w:val="20"/>
          <w:szCs w:val="20"/>
          <w:lang w:val="es-ES"/>
        </w:rPr>
      </w:pPr>
    </w:p>
    <w:p w14:paraId="6CF3F786" w14:textId="737C71D9" w:rsidR="002B010F" w:rsidRPr="00A76111" w:rsidRDefault="002B010F" w:rsidP="002B010F">
      <w:pPr>
        <w:spacing w:after="0" w:line="240" w:lineRule="auto"/>
        <w:jc w:val="both"/>
        <w:rPr>
          <w:rFonts w:ascii="Verdana" w:hAnsi="Verdana"/>
          <w:sz w:val="20"/>
          <w:szCs w:val="20"/>
          <w:lang w:val="pt-BR"/>
        </w:rPr>
      </w:pPr>
      <w:r w:rsidRPr="00A76111">
        <w:rPr>
          <w:rFonts w:ascii="Verdana" w:hAnsi="Verdana"/>
          <w:sz w:val="20"/>
          <w:szCs w:val="20"/>
          <w:lang w:val="pt-BR"/>
        </w:rPr>
        <w:t>Eugenio Raúl Zaffaroni</w:t>
      </w:r>
      <w:r w:rsidRPr="00A76111">
        <w:rPr>
          <w:rFonts w:ascii="Verdana" w:hAnsi="Verdana"/>
          <w:sz w:val="20"/>
          <w:szCs w:val="20"/>
          <w:lang w:val="pt-BR"/>
        </w:rPr>
        <w:tab/>
      </w:r>
      <w:r w:rsidRPr="00A76111">
        <w:rPr>
          <w:rFonts w:ascii="Verdana" w:hAnsi="Verdana"/>
          <w:sz w:val="20"/>
          <w:szCs w:val="20"/>
          <w:lang w:val="pt-BR"/>
        </w:rPr>
        <w:tab/>
      </w:r>
      <w:r w:rsidRPr="00A76111">
        <w:rPr>
          <w:rFonts w:ascii="Verdana" w:hAnsi="Verdana"/>
          <w:sz w:val="20"/>
          <w:szCs w:val="20"/>
          <w:lang w:val="pt-BR"/>
        </w:rPr>
        <w:tab/>
      </w:r>
      <w:r w:rsidRPr="00A76111">
        <w:rPr>
          <w:rFonts w:ascii="Verdana" w:hAnsi="Verdana"/>
          <w:sz w:val="20"/>
          <w:szCs w:val="20"/>
          <w:lang w:val="pt-BR"/>
        </w:rPr>
        <w:tab/>
      </w:r>
      <w:r w:rsidRPr="00A76111">
        <w:rPr>
          <w:rFonts w:ascii="Verdana" w:hAnsi="Verdana"/>
          <w:sz w:val="20"/>
          <w:szCs w:val="20"/>
          <w:lang w:val="pt-BR"/>
        </w:rPr>
        <w:tab/>
        <w:t xml:space="preserve">        </w:t>
      </w:r>
      <w:r w:rsidR="007F5A0A" w:rsidRPr="00A76111">
        <w:rPr>
          <w:rFonts w:ascii="Verdana" w:hAnsi="Verdana"/>
          <w:sz w:val="20"/>
          <w:szCs w:val="20"/>
          <w:lang w:val="pt-BR"/>
        </w:rPr>
        <w:t xml:space="preserve">      </w:t>
      </w:r>
      <w:r w:rsidRPr="00A76111">
        <w:rPr>
          <w:rFonts w:ascii="Verdana" w:hAnsi="Verdana"/>
          <w:sz w:val="20"/>
          <w:szCs w:val="20"/>
          <w:lang w:val="pt-BR"/>
        </w:rPr>
        <w:t>L. Patricio Pazmiño Freire</w:t>
      </w:r>
    </w:p>
    <w:p w14:paraId="666BC0E5" w14:textId="77777777" w:rsidR="002B010F" w:rsidRPr="00A76111" w:rsidRDefault="002B010F" w:rsidP="002B010F">
      <w:pPr>
        <w:spacing w:after="0" w:line="240" w:lineRule="auto"/>
        <w:jc w:val="both"/>
        <w:rPr>
          <w:rFonts w:ascii="Verdana" w:hAnsi="Verdana"/>
          <w:sz w:val="20"/>
          <w:szCs w:val="20"/>
          <w:lang w:val="pt-BR"/>
        </w:rPr>
      </w:pPr>
    </w:p>
    <w:p w14:paraId="4ED3FCB7" w14:textId="77777777" w:rsidR="002B010F" w:rsidRPr="00A76111" w:rsidRDefault="002B010F" w:rsidP="002B010F">
      <w:pPr>
        <w:spacing w:after="0" w:line="240" w:lineRule="auto"/>
        <w:jc w:val="both"/>
        <w:rPr>
          <w:rFonts w:ascii="Verdana" w:hAnsi="Verdana"/>
          <w:sz w:val="20"/>
          <w:szCs w:val="20"/>
          <w:lang w:val="pt-BR"/>
        </w:rPr>
      </w:pPr>
    </w:p>
    <w:p w14:paraId="3592C50F" w14:textId="77777777" w:rsidR="002B010F" w:rsidRPr="00A76111" w:rsidRDefault="002B010F" w:rsidP="002B010F">
      <w:pPr>
        <w:spacing w:after="0" w:line="240" w:lineRule="auto"/>
        <w:jc w:val="both"/>
        <w:rPr>
          <w:rFonts w:ascii="Verdana" w:hAnsi="Verdana"/>
          <w:sz w:val="20"/>
          <w:szCs w:val="20"/>
          <w:lang w:val="pt-BR"/>
        </w:rPr>
      </w:pPr>
    </w:p>
    <w:p w14:paraId="5A9E9C5A" w14:textId="77777777" w:rsidR="002B010F" w:rsidRPr="00A76111" w:rsidRDefault="002B010F" w:rsidP="002B010F">
      <w:pPr>
        <w:spacing w:after="0" w:line="240" w:lineRule="auto"/>
        <w:jc w:val="both"/>
        <w:rPr>
          <w:rFonts w:ascii="Verdana" w:hAnsi="Verdana"/>
          <w:sz w:val="20"/>
          <w:szCs w:val="20"/>
          <w:lang w:val="pt-BR"/>
        </w:rPr>
      </w:pPr>
    </w:p>
    <w:p w14:paraId="11E1029D" w14:textId="77777777" w:rsidR="002B010F" w:rsidRPr="00A76111" w:rsidRDefault="002B010F" w:rsidP="002B010F">
      <w:pPr>
        <w:spacing w:after="0" w:line="240" w:lineRule="auto"/>
        <w:jc w:val="both"/>
        <w:rPr>
          <w:rFonts w:ascii="Verdana" w:hAnsi="Verdana"/>
          <w:sz w:val="20"/>
          <w:szCs w:val="20"/>
          <w:lang w:val="pt-BR"/>
        </w:rPr>
      </w:pPr>
    </w:p>
    <w:p w14:paraId="002DF351" w14:textId="77777777" w:rsidR="002B010F" w:rsidRPr="00BF0A5F" w:rsidRDefault="002B010F" w:rsidP="002B010F">
      <w:pPr>
        <w:spacing w:after="0" w:line="240" w:lineRule="auto"/>
        <w:jc w:val="center"/>
        <w:rPr>
          <w:rFonts w:ascii="Verdana" w:eastAsia="Times" w:hAnsi="Verdana" w:cs="Times New Roman"/>
          <w:sz w:val="20"/>
          <w:szCs w:val="20"/>
          <w:lang w:val="es-ES"/>
        </w:rPr>
      </w:pPr>
      <w:r w:rsidRPr="00BF0A5F">
        <w:rPr>
          <w:rFonts w:ascii="Verdana" w:eastAsia="Times" w:hAnsi="Verdana" w:cs="Times New Roman"/>
          <w:sz w:val="20"/>
          <w:szCs w:val="20"/>
          <w:lang w:val="es-ES"/>
        </w:rPr>
        <w:t>Pablo Saavedra Alessandri</w:t>
      </w:r>
    </w:p>
    <w:p w14:paraId="7DDC1954" w14:textId="77777777" w:rsidR="002B010F" w:rsidRPr="00BF0A5F" w:rsidRDefault="002B010F" w:rsidP="002B010F">
      <w:pPr>
        <w:spacing w:after="0" w:line="240" w:lineRule="auto"/>
        <w:jc w:val="center"/>
        <w:rPr>
          <w:rFonts w:ascii="Verdana" w:eastAsia="Times" w:hAnsi="Verdana" w:cs="Times New Roman"/>
          <w:sz w:val="20"/>
          <w:szCs w:val="20"/>
          <w:lang w:val="es-ES"/>
        </w:rPr>
      </w:pPr>
      <w:r w:rsidRPr="00BF0A5F">
        <w:rPr>
          <w:rFonts w:ascii="Verdana" w:eastAsia="Times" w:hAnsi="Verdana" w:cs="Times New Roman"/>
          <w:sz w:val="20"/>
          <w:szCs w:val="20"/>
          <w:lang w:val="es-ES"/>
        </w:rPr>
        <w:t>Secretario</w:t>
      </w:r>
    </w:p>
    <w:p w14:paraId="7FC4A07A" w14:textId="77777777" w:rsidR="002B010F" w:rsidRPr="00BF0A5F" w:rsidRDefault="002B010F" w:rsidP="002B010F">
      <w:pPr>
        <w:spacing w:after="0" w:line="240" w:lineRule="auto"/>
        <w:rPr>
          <w:rFonts w:ascii="Verdana" w:eastAsia="Times" w:hAnsi="Verdana" w:cs="Times New Roman"/>
          <w:sz w:val="20"/>
          <w:szCs w:val="20"/>
          <w:lang w:val="es-ES"/>
        </w:rPr>
      </w:pPr>
    </w:p>
    <w:p w14:paraId="354D653A" w14:textId="77777777" w:rsidR="002B010F" w:rsidRDefault="002B010F" w:rsidP="002B010F">
      <w:pPr>
        <w:spacing w:after="0" w:line="240" w:lineRule="auto"/>
        <w:jc w:val="both"/>
        <w:rPr>
          <w:rFonts w:ascii="Verdana" w:eastAsia="Times" w:hAnsi="Verdana" w:cs="Times New Roman"/>
          <w:sz w:val="20"/>
          <w:szCs w:val="20"/>
          <w:lang w:val="es-ES"/>
        </w:rPr>
      </w:pPr>
    </w:p>
    <w:p w14:paraId="506834D0" w14:textId="77777777" w:rsidR="00E45686" w:rsidRPr="00BF0A5F" w:rsidRDefault="00E45686" w:rsidP="002B010F">
      <w:pPr>
        <w:spacing w:after="0" w:line="240" w:lineRule="auto"/>
        <w:jc w:val="both"/>
        <w:rPr>
          <w:rFonts w:ascii="Verdana" w:eastAsia="Times" w:hAnsi="Verdana" w:cs="Times New Roman"/>
          <w:sz w:val="20"/>
          <w:szCs w:val="20"/>
          <w:lang w:val="es-ES"/>
        </w:rPr>
      </w:pPr>
    </w:p>
    <w:p w14:paraId="7531341D" w14:textId="77777777" w:rsidR="002B010F" w:rsidRPr="00BF0A5F" w:rsidRDefault="002B010F" w:rsidP="002B010F">
      <w:pPr>
        <w:spacing w:after="0" w:line="240" w:lineRule="auto"/>
        <w:jc w:val="both"/>
        <w:rPr>
          <w:rFonts w:ascii="Verdana" w:eastAsia="Times" w:hAnsi="Verdana" w:cs="Times New Roman"/>
          <w:sz w:val="20"/>
          <w:szCs w:val="20"/>
          <w:lang w:val="es-ES"/>
        </w:rPr>
      </w:pPr>
    </w:p>
    <w:p w14:paraId="7BA938C3" w14:textId="77777777" w:rsidR="002B010F" w:rsidRPr="00BF0A5F" w:rsidRDefault="002B010F" w:rsidP="002B010F">
      <w:pPr>
        <w:spacing w:after="0" w:line="240" w:lineRule="auto"/>
        <w:jc w:val="both"/>
        <w:rPr>
          <w:rFonts w:ascii="Verdana" w:eastAsia="Times" w:hAnsi="Verdana" w:cs="Times New Roman"/>
          <w:sz w:val="20"/>
          <w:szCs w:val="20"/>
          <w:lang w:val="es-ES"/>
        </w:rPr>
      </w:pPr>
    </w:p>
    <w:p w14:paraId="0CFBDA24" w14:textId="77777777" w:rsidR="002B010F" w:rsidRPr="00BF0A5F" w:rsidRDefault="002B010F" w:rsidP="002B010F">
      <w:pPr>
        <w:spacing w:after="0" w:line="240" w:lineRule="auto"/>
        <w:jc w:val="both"/>
        <w:rPr>
          <w:rFonts w:ascii="Verdana" w:eastAsia="Times" w:hAnsi="Verdana" w:cs="Times New Roman"/>
          <w:sz w:val="20"/>
          <w:szCs w:val="20"/>
          <w:lang w:val="es-ES"/>
        </w:rPr>
      </w:pPr>
      <w:r w:rsidRPr="00BF0A5F">
        <w:rPr>
          <w:rFonts w:ascii="Verdana" w:eastAsia="Times" w:hAnsi="Verdana" w:cs="Times New Roman"/>
          <w:sz w:val="20"/>
          <w:szCs w:val="20"/>
          <w:lang w:val="es-ES"/>
        </w:rPr>
        <w:t>Comuníquese y ejecútese,</w:t>
      </w:r>
    </w:p>
    <w:p w14:paraId="6A08C355" w14:textId="77777777" w:rsidR="002B010F" w:rsidRPr="00BF0A5F" w:rsidRDefault="002B010F" w:rsidP="002B010F">
      <w:pPr>
        <w:spacing w:after="0" w:line="240" w:lineRule="auto"/>
        <w:jc w:val="both"/>
        <w:rPr>
          <w:rFonts w:ascii="Verdana" w:eastAsia="Times" w:hAnsi="Verdana" w:cs="Times New Roman"/>
          <w:sz w:val="20"/>
          <w:szCs w:val="20"/>
          <w:lang w:val="es-ES"/>
        </w:rPr>
      </w:pPr>
    </w:p>
    <w:p w14:paraId="6D3A7223" w14:textId="77777777" w:rsidR="002B010F" w:rsidRDefault="002B010F" w:rsidP="002B010F">
      <w:pPr>
        <w:spacing w:after="0" w:line="240" w:lineRule="auto"/>
        <w:jc w:val="both"/>
        <w:rPr>
          <w:rFonts w:ascii="Verdana" w:eastAsia="Times" w:hAnsi="Verdana" w:cs="Times New Roman"/>
          <w:sz w:val="20"/>
          <w:szCs w:val="20"/>
          <w:lang w:val="es-ES"/>
        </w:rPr>
      </w:pPr>
    </w:p>
    <w:p w14:paraId="48BEF431" w14:textId="77777777" w:rsidR="00E45686" w:rsidRPr="00BF0A5F" w:rsidRDefault="00E45686" w:rsidP="002B010F">
      <w:pPr>
        <w:spacing w:after="0" w:line="240" w:lineRule="auto"/>
        <w:jc w:val="both"/>
        <w:rPr>
          <w:rFonts w:ascii="Verdana" w:eastAsia="Times" w:hAnsi="Verdana" w:cs="Times New Roman"/>
          <w:sz w:val="20"/>
          <w:szCs w:val="20"/>
          <w:lang w:val="es-ES"/>
        </w:rPr>
      </w:pPr>
    </w:p>
    <w:p w14:paraId="763995E2" w14:textId="77777777" w:rsidR="002B010F" w:rsidRPr="00BF0A5F" w:rsidRDefault="002B010F" w:rsidP="002B010F">
      <w:pPr>
        <w:spacing w:after="0" w:line="240" w:lineRule="auto"/>
        <w:jc w:val="both"/>
        <w:rPr>
          <w:rFonts w:ascii="Verdana" w:eastAsia="Times" w:hAnsi="Verdana" w:cs="Times New Roman"/>
          <w:sz w:val="20"/>
          <w:szCs w:val="20"/>
          <w:lang w:val="es-ES"/>
        </w:rPr>
      </w:pPr>
    </w:p>
    <w:p w14:paraId="1A37F1F8" w14:textId="77777777" w:rsidR="002B010F" w:rsidRPr="00BF0A5F" w:rsidRDefault="002B010F" w:rsidP="002B010F">
      <w:pPr>
        <w:spacing w:after="0" w:line="240" w:lineRule="auto"/>
        <w:jc w:val="both"/>
        <w:rPr>
          <w:rFonts w:ascii="Verdana" w:eastAsia="Times" w:hAnsi="Verdana" w:cs="Times New Roman"/>
          <w:sz w:val="20"/>
          <w:szCs w:val="20"/>
          <w:lang w:val="es-CR"/>
        </w:rPr>
      </w:pPr>
    </w:p>
    <w:p w14:paraId="6F4A7C1A" w14:textId="77777777" w:rsidR="002B010F" w:rsidRPr="00BF0A5F" w:rsidRDefault="002B010F" w:rsidP="002B010F">
      <w:pPr>
        <w:spacing w:after="0" w:line="240" w:lineRule="auto"/>
        <w:ind w:left="4956"/>
        <w:jc w:val="center"/>
        <w:rPr>
          <w:rFonts w:ascii="Verdana" w:eastAsia="Times" w:hAnsi="Verdana" w:cs="Times New Roman"/>
          <w:sz w:val="20"/>
          <w:szCs w:val="20"/>
          <w:lang w:val="es-ES"/>
        </w:rPr>
      </w:pPr>
      <w:r w:rsidRPr="00BF0A5F">
        <w:rPr>
          <w:rFonts w:ascii="Verdana" w:eastAsia="Times" w:hAnsi="Verdana" w:cs="Times New Roman"/>
          <w:sz w:val="20"/>
          <w:szCs w:val="20"/>
          <w:lang w:val="es-ES"/>
        </w:rPr>
        <w:t>Eduardo Ferrer Mac-Gregor Poisot</w:t>
      </w:r>
    </w:p>
    <w:p w14:paraId="1787D674" w14:textId="77777777" w:rsidR="002B010F" w:rsidRPr="00BF0A5F" w:rsidRDefault="002B010F" w:rsidP="002B010F">
      <w:pPr>
        <w:spacing w:after="0" w:line="240" w:lineRule="auto"/>
        <w:ind w:left="4956"/>
        <w:jc w:val="center"/>
        <w:rPr>
          <w:rFonts w:ascii="Verdana" w:eastAsia="Times" w:hAnsi="Verdana" w:cs="Times New Roman"/>
          <w:sz w:val="20"/>
          <w:szCs w:val="20"/>
          <w:lang w:val="es-ES"/>
        </w:rPr>
      </w:pPr>
      <w:r w:rsidRPr="00BF0A5F">
        <w:rPr>
          <w:rFonts w:ascii="Verdana" w:eastAsia="Times" w:hAnsi="Verdana" w:cs="Times New Roman"/>
          <w:sz w:val="20"/>
          <w:szCs w:val="20"/>
          <w:lang w:val="es-ES"/>
        </w:rPr>
        <w:t>Presidente</w:t>
      </w:r>
    </w:p>
    <w:p w14:paraId="513ACDEC" w14:textId="77777777" w:rsidR="002B010F" w:rsidRPr="00BF0A5F" w:rsidRDefault="002B010F" w:rsidP="002B010F">
      <w:pPr>
        <w:spacing w:after="0" w:line="240" w:lineRule="auto"/>
        <w:jc w:val="both"/>
        <w:rPr>
          <w:rFonts w:ascii="Verdana" w:eastAsia="Times" w:hAnsi="Verdana" w:cs="Times New Roman"/>
          <w:sz w:val="20"/>
          <w:szCs w:val="20"/>
          <w:lang w:val="es-ES"/>
        </w:rPr>
      </w:pPr>
    </w:p>
    <w:p w14:paraId="57FAAFE6" w14:textId="77777777" w:rsidR="002B010F" w:rsidRDefault="002B010F" w:rsidP="002B010F">
      <w:pPr>
        <w:spacing w:after="0" w:line="240" w:lineRule="auto"/>
        <w:jc w:val="both"/>
        <w:rPr>
          <w:rFonts w:ascii="Verdana" w:eastAsia="Times" w:hAnsi="Verdana" w:cs="Times New Roman"/>
          <w:sz w:val="20"/>
          <w:szCs w:val="20"/>
          <w:lang w:val="es-ES"/>
        </w:rPr>
      </w:pPr>
    </w:p>
    <w:p w14:paraId="60AAD377" w14:textId="77777777" w:rsidR="00E45686" w:rsidRDefault="00E45686" w:rsidP="002B010F">
      <w:pPr>
        <w:spacing w:after="0" w:line="240" w:lineRule="auto"/>
        <w:jc w:val="both"/>
        <w:rPr>
          <w:rFonts w:ascii="Verdana" w:eastAsia="Times" w:hAnsi="Verdana" w:cs="Times New Roman"/>
          <w:sz w:val="20"/>
          <w:szCs w:val="20"/>
          <w:lang w:val="es-ES"/>
        </w:rPr>
      </w:pPr>
    </w:p>
    <w:p w14:paraId="147F6A01" w14:textId="77777777" w:rsidR="00E45686" w:rsidRPr="00BF0A5F" w:rsidRDefault="00E45686" w:rsidP="002B010F">
      <w:pPr>
        <w:spacing w:after="0" w:line="240" w:lineRule="auto"/>
        <w:jc w:val="both"/>
        <w:rPr>
          <w:rFonts w:ascii="Verdana" w:eastAsia="Times" w:hAnsi="Verdana" w:cs="Times New Roman"/>
          <w:sz w:val="20"/>
          <w:szCs w:val="20"/>
          <w:lang w:val="es-ES"/>
        </w:rPr>
      </w:pPr>
    </w:p>
    <w:p w14:paraId="377FB4A6" w14:textId="77777777" w:rsidR="002B010F" w:rsidRPr="00BF0A5F" w:rsidRDefault="002B010F" w:rsidP="002B010F">
      <w:pPr>
        <w:spacing w:after="0" w:line="240" w:lineRule="auto"/>
        <w:jc w:val="both"/>
        <w:rPr>
          <w:rFonts w:ascii="Verdana" w:eastAsia="Times" w:hAnsi="Verdana" w:cs="Times New Roman"/>
          <w:sz w:val="20"/>
          <w:szCs w:val="20"/>
          <w:lang w:val="es-ES"/>
        </w:rPr>
      </w:pPr>
    </w:p>
    <w:p w14:paraId="39420964" w14:textId="77777777" w:rsidR="002B010F" w:rsidRPr="00BF0A5F" w:rsidRDefault="002B010F" w:rsidP="002B010F">
      <w:pPr>
        <w:spacing w:after="0" w:line="240" w:lineRule="auto"/>
        <w:jc w:val="both"/>
        <w:rPr>
          <w:rFonts w:ascii="Verdana" w:eastAsia="Times" w:hAnsi="Verdana" w:cs="Times New Roman"/>
          <w:sz w:val="20"/>
          <w:szCs w:val="20"/>
          <w:lang w:val="es-ES"/>
        </w:rPr>
      </w:pPr>
      <w:r w:rsidRPr="00BF0A5F">
        <w:rPr>
          <w:rFonts w:ascii="Verdana" w:eastAsia="Times" w:hAnsi="Verdana" w:cs="Times New Roman"/>
          <w:sz w:val="20"/>
          <w:szCs w:val="20"/>
          <w:lang w:val="es-ES"/>
        </w:rPr>
        <w:t>Pablo Saavedra Alessandri</w:t>
      </w:r>
    </w:p>
    <w:p w14:paraId="356F06F0" w14:textId="77777777" w:rsidR="002B010F" w:rsidRPr="00BF0A5F" w:rsidRDefault="002B010F" w:rsidP="002B010F">
      <w:pPr>
        <w:spacing w:after="0" w:line="240" w:lineRule="auto"/>
        <w:rPr>
          <w:rFonts w:ascii="Verdana" w:eastAsia="Times" w:hAnsi="Verdana" w:cs="Times New Roman"/>
          <w:sz w:val="20"/>
          <w:szCs w:val="20"/>
          <w:lang w:val="es-CR"/>
        </w:rPr>
      </w:pPr>
      <w:r w:rsidRPr="00BF0A5F">
        <w:rPr>
          <w:rFonts w:ascii="Verdana" w:eastAsia="Times" w:hAnsi="Verdana" w:cs="Times New Roman"/>
          <w:sz w:val="20"/>
          <w:szCs w:val="20"/>
          <w:lang w:val="es-ES"/>
        </w:rPr>
        <w:tab/>
      </w:r>
      <w:r w:rsidRPr="00BF0A5F">
        <w:rPr>
          <w:rFonts w:ascii="Verdana" w:eastAsia="Times" w:hAnsi="Verdana" w:cs="Times New Roman"/>
          <w:sz w:val="20"/>
          <w:szCs w:val="20"/>
          <w:lang w:val="es-CR"/>
        </w:rPr>
        <w:t>Secretario</w:t>
      </w:r>
    </w:p>
    <w:sectPr w:rsidR="002B010F" w:rsidRPr="00BF0A5F" w:rsidSect="001010AA">
      <w:foot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BBD43" w14:textId="77777777" w:rsidR="009B4A16" w:rsidRDefault="009B4A16" w:rsidP="00E36B3E">
      <w:pPr>
        <w:spacing w:after="0" w:line="240" w:lineRule="auto"/>
      </w:pPr>
      <w:r>
        <w:separator/>
      </w:r>
    </w:p>
  </w:endnote>
  <w:endnote w:type="continuationSeparator" w:id="0">
    <w:p w14:paraId="3FBDC2C8" w14:textId="77777777" w:rsidR="009B4A16" w:rsidRDefault="009B4A16" w:rsidP="00E3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A5CE" w14:textId="1E40B8BE" w:rsidR="00CF702F" w:rsidRDefault="00CF702F">
    <w:pPr>
      <w:pStyle w:val="Footer"/>
      <w:jc w:val="center"/>
    </w:pPr>
    <w:r>
      <w:t>-</w:t>
    </w:r>
    <w:sdt>
      <w:sdtPr>
        <w:id w:val="16160179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56F9">
          <w:rPr>
            <w:noProof/>
          </w:rPr>
          <w:t>2</w:t>
        </w:r>
        <w:r>
          <w:rPr>
            <w:noProof/>
          </w:rPr>
          <w:fldChar w:fldCharType="end"/>
        </w:r>
        <w:r>
          <w:rPr>
            <w:noProof/>
          </w:rPr>
          <w:t>-</w:t>
        </w:r>
      </w:sdtContent>
    </w:sdt>
  </w:p>
  <w:p w14:paraId="5DF9722F" w14:textId="77777777" w:rsidR="00CF702F" w:rsidRDefault="00CF7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9739C" w14:textId="77777777" w:rsidR="009B4A16" w:rsidRDefault="009B4A16" w:rsidP="00E36B3E">
      <w:pPr>
        <w:spacing w:after="0" w:line="240" w:lineRule="auto"/>
      </w:pPr>
      <w:r>
        <w:separator/>
      </w:r>
    </w:p>
  </w:footnote>
  <w:footnote w:type="continuationSeparator" w:id="0">
    <w:p w14:paraId="4520E61A" w14:textId="77777777" w:rsidR="009B4A16" w:rsidRDefault="009B4A16" w:rsidP="00E36B3E">
      <w:pPr>
        <w:spacing w:after="0" w:line="240" w:lineRule="auto"/>
      </w:pPr>
      <w:r>
        <w:continuationSeparator/>
      </w:r>
    </w:p>
  </w:footnote>
  <w:footnote w:id="1">
    <w:p w14:paraId="4061611B" w14:textId="305C3280" w:rsidR="001010AA" w:rsidRPr="009E4D56" w:rsidRDefault="001010AA" w:rsidP="009E4D56">
      <w:pPr>
        <w:pStyle w:val="FootnoteText"/>
        <w:jc w:val="both"/>
        <w:rPr>
          <w:rFonts w:ascii="Verdana" w:hAnsi="Verdana"/>
          <w:sz w:val="16"/>
          <w:szCs w:val="16"/>
          <w:lang w:val="es-ES"/>
        </w:rPr>
      </w:pPr>
      <w:r w:rsidRPr="009E4D56">
        <w:rPr>
          <w:rStyle w:val="FootnoteReference"/>
          <w:rFonts w:ascii="Verdana" w:hAnsi="Verdana"/>
          <w:sz w:val="16"/>
          <w:szCs w:val="16"/>
        </w:rPr>
        <w:sym w:font="Symbol" w:char="F02A"/>
      </w:r>
      <w:r w:rsidRPr="009E4D56">
        <w:rPr>
          <w:rFonts w:ascii="Verdana" w:hAnsi="Verdana"/>
          <w:sz w:val="16"/>
          <w:szCs w:val="16"/>
          <w:lang w:val="es-ES"/>
        </w:rPr>
        <w:t xml:space="preserve"> </w:t>
      </w:r>
      <w:r w:rsidRPr="009E4D56">
        <w:rPr>
          <w:rFonts w:ascii="Verdana" w:hAnsi="Verdana"/>
          <w:sz w:val="16"/>
          <w:szCs w:val="16"/>
          <w:lang w:val="es-ES"/>
        </w:rPr>
        <w:tab/>
        <w:t>El Juez Eduardo Vio Grossi, por razones de fuerza mayor aceptadas por el Pleno del Tribunal, no participó en la deliberación y firma de la presente resolución.</w:t>
      </w:r>
    </w:p>
  </w:footnote>
  <w:footnote w:id="2">
    <w:p w14:paraId="30A9ECC1" w14:textId="550D31D7" w:rsidR="00E36B3E" w:rsidRPr="009E4D56" w:rsidRDefault="00E36B3E" w:rsidP="009E4D56">
      <w:pPr>
        <w:pStyle w:val="FootnoteText"/>
        <w:spacing w:before="120" w:after="120"/>
        <w:jc w:val="both"/>
        <w:rPr>
          <w:rFonts w:ascii="Verdana" w:hAnsi="Verdana"/>
          <w:sz w:val="16"/>
          <w:szCs w:val="16"/>
          <w:lang w:val="es-CR"/>
        </w:rPr>
      </w:pPr>
      <w:r w:rsidRPr="009E4D56">
        <w:rPr>
          <w:rStyle w:val="FootnoteReference"/>
          <w:rFonts w:ascii="Verdana" w:hAnsi="Verdana"/>
          <w:sz w:val="16"/>
          <w:szCs w:val="16"/>
        </w:rPr>
        <w:footnoteRef/>
      </w:r>
      <w:r w:rsidRPr="009E4D56">
        <w:rPr>
          <w:rFonts w:ascii="Verdana" w:hAnsi="Verdana"/>
          <w:sz w:val="16"/>
          <w:szCs w:val="16"/>
          <w:lang w:val="es-CR"/>
        </w:rPr>
        <w:t xml:space="preserve"> </w:t>
      </w:r>
      <w:r w:rsidR="00F87CB1" w:rsidRPr="009E4D56">
        <w:rPr>
          <w:rFonts w:ascii="Verdana" w:hAnsi="Verdana"/>
          <w:sz w:val="16"/>
          <w:szCs w:val="16"/>
          <w:lang w:val="es-CR"/>
        </w:rPr>
        <w:tab/>
      </w:r>
      <w:r w:rsidRPr="009E4D56">
        <w:rPr>
          <w:rFonts w:ascii="Verdana" w:hAnsi="Verdana"/>
          <w:i/>
          <w:sz w:val="16"/>
          <w:szCs w:val="16"/>
          <w:lang w:val="es-CR"/>
        </w:rPr>
        <w:t>Cf</w:t>
      </w:r>
      <w:r w:rsidR="003B1D38" w:rsidRPr="009E4D56">
        <w:rPr>
          <w:rFonts w:ascii="Verdana" w:hAnsi="Verdana"/>
          <w:i/>
          <w:sz w:val="16"/>
          <w:szCs w:val="16"/>
          <w:lang w:val="es-CR"/>
        </w:rPr>
        <w:t>r. Asunto Luisiana Ríos y otros</w:t>
      </w:r>
      <w:r w:rsidR="005D61E2" w:rsidRPr="009E4D56">
        <w:rPr>
          <w:rFonts w:ascii="Verdana" w:hAnsi="Verdana"/>
          <w:i/>
          <w:sz w:val="16"/>
          <w:szCs w:val="16"/>
          <w:lang w:val="es-CR"/>
        </w:rPr>
        <w:t>. Medidas P</w:t>
      </w:r>
      <w:r w:rsidRPr="009E4D56">
        <w:rPr>
          <w:rFonts w:ascii="Verdana" w:hAnsi="Verdana"/>
          <w:i/>
          <w:sz w:val="16"/>
          <w:szCs w:val="16"/>
          <w:lang w:val="es-CR"/>
        </w:rPr>
        <w:t>rovisionales respecto de Venezuela.</w:t>
      </w:r>
      <w:r w:rsidRPr="009E4D56">
        <w:rPr>
          <w:rFonts w:ascii="Verdana" w:hAnsi="Verdana"/>
          <w:sz w:val="16"/>
          <w:szCs w:val="16"/>
          <w:lang w:val="es-CR"/>
        </w:rPr>
        <w:t xml:space="preserve"> Resolución de la Corte Interamericana de Derechos Humanos de 27 de noviembre de 2002. </w:t>
      </w:r>
    </w:p>
  </w:footnote>
  <w:footnote w:id="3">
    <w:p w14:paraId="01EC83E8" w14:textId="0EE6A8F7" w:rsidR="00E36B3E" w:rsidRPr="009E4D56" w:rsidRDefault="00E36B3E" w:rsidP="009E4D56">
      <w:pPr>
        <w:pStyle w:val="FootnoteText"/>
        <w:spacing w:before="120" w:after="120"/>
        <w:jc w:val="both"/>
        <w:rPr>
          <w:rFonts w:ascii="Verdana" w:hAnsi="Verdana"/>
          <w:sz w:val="16"/>
          <w:szCs w:val="16"/>
          <w:lang w:val="es-CR"/>
        </w:rPr>
      </w:pPr>
      <w:r w:rsidRPr="009E4D56">
        <w:rPr>
          <w:rStyle w:val="FootnoteReference"/>
          <w:rFonts w:ascii="Verdana" w:hAnsi="Verdana"/>
          <w:sz w:val="16"/>
          <w:szCs w:val="16"/>
        </w:rPr>
        <w:footnoteRef/>
      </w:r>
      <w:r w:rsidR="00F87CB1" w:rsidRPr="009E4D56">
        <w:rPr>
          <w:rFonts w:ascii="Verdana" w:hAnsi="Verdana"/>
          <w:sz w:val="16"/>
          <w:szCs w:val="16"/>
          <w:lang w:val="es-CR"/>
        </w:rPr>
        <w:t xml:space="preserve"> </w:t>
      </w:r>
      <w:r w:rsidR="00F87CB1" w:rsidRPr="009E4D56">
        <w:rPr>
          <w:rFonts w:ascii="Verdana" w:hAnsi="Verdana"/>
          <w:sz w:val="16"/>
          <w:szCs w:val="16"/>
          <w:lang w:val="es-CR"/>
        </w:rPr>
        <w:tab/>
      </w:r>
      <w:r w:rsidRPr="009E4D56">
        <w:rPr>
          <w:rFonts w:ascii="Verdana" w:hAnsi="Verdana"/>
          <w:i/>
          <w:sz w:val="16"/>
          <w:szCs w:val="16"/>
          <w:lang w:val="es-CR"/>
        </w:rPr>
        <w:t>Cf</w:t>
      </w:r>
      <w:r w:rsidR="00DC3A22" w:rsidRPr="009E4D56">
        <w:rPr>
          <w:rFonts w:ascii="Verdana" w:hAnsi="Verdana"/>
          <w:i/>
          <w:sz w:val="16"/>
          <w:szCs w:val="16"/>
          <w:lang w:val="es-CR"/>
        </w:rPr>
        <w:t>r. Asunto Luisiana Ríos y otros.</w:t>
      </w:r>
      <w:r w:rsidRPr="009E4D56">
        <w:rPr>
          <w:rFonts w:ascii="Verdana" w:hAnsi="Verdana"/>
          <w:i/>
          <w:sz w:val="16"/>
          <w:szCs w:val="16"/>
          <w:lang w:val="es-CR"/>
        </w:rPr>
        <w:t xml:space="preserve"> Medidas Provisionales </w:t>
      </w:r>
      <w:r w:rsidR="00DC3A22" w:rsidRPr="009E4D56">
        <w:rPr>
          <w:rFonts w:ascii="Verdana" w:hAnsi="Verdana"/>
          <w:i/>
          <w:sz w:val="16"/>
          <w:szCs w:val="16"/>
          <w:lang w:val="es-CR"/>
        </w:rPr>
        <w:t>respecto de Venezuela.</w:t>
      </w:r>
      <w:r w:rsidR="00DC3A22" w:rsidRPr="009E4D56">
        <w:rPr>
          <w:rFonts w:ascii="Verdana" w:hAnsi="Verdana"/>
          <w:sz w:val="16"/>
          <w:szCs w:val="16"/>
          <w:lang w:val="es-CR"/>
        </w:rPr>
        <w:t xml:space="preserve"> Resoluciones</w:t>
      </w:r>
      <w:r w:rsidRPr="009E4D56">
        <w:rPr>
          <w:rFonts w:ascii="Verdana" w:hAnsi="Verdana"/>
          <w:sz w:val="16"/>
          <w:szCs w:val="16"/>
          <w:lang w:val="es-CR"/>
        </w:rPr>
        <w:t xml:space="preserve"> de la Corte Interamericana de Derechos Hum</w:t>
      </w:r>
      <w:r w:rsidR="00DC3A22" w:rsidRPr="009E4D56">
        <w:rPr>
          <w:rFonts w:ascii="Verdana" w:hAnsi="Verdana"/>
          <w:sz w:val="16"/>
          <w:szCs w:val="16"/>
          <w:lang w:val="es-CR"/>
        </w:rPr>
        <w:t>anos de 21 de noviembre de 2003,</w:t>
      </w:r>
      <w:r w:rsidRPr="009E4D56">
        <w:rPr>
          <w:rFonts w:ascii="Verdana" w:hAnsi="Verdana"/>
          <w:sz w:val="16"/>
          <w:szCs w:val="16"/>
          <w:lang w:val="es-CR"/>
        </w:rPr>
        <w:t xml:space="preserve"> 8 de septiembre de 2004 y 12 de septiembre de 2005.</w:t>
      </w:r>
    </w:p>
  </w:footnote>
  <w:footnote w:id="4">
    <w:p w14:paraId="072EA1A5" w14:textId="05D2A363" w:rsidR="006B4303" w:rsidRPr="009E4D56" w:rsidRDefault="006B4303" w:rsidP="009E4D56">
      <w:pPr>
        <w:pStyle w:val="FootnoteText"/>
        <w:spacing w:before="120" w:after="120"/>
        <w:jc w:val="both"/>
        <w:rPr>
          <w:rFonts w:ascii="Verdana" w:hAnsi="Verdana" w:cs="Times-Roman"/>
          <w:i/>
          <w:sz w:val="16"/>
          <w:szCs w:val="16"/>
          <w:lang w:val="es-CR" w:bidi="en-US"/>
        </w:rPr>
      </w:pPr>
      <w:r w:rsidRPr="009E4D56">
        <w:rPr>
          <w:rStyle w:val="FootnoteReference"/>
          <w:rFonts w:ascii="Verdana" w:hAnsi="Verdana"/>
          <w:sz w:val="16"/>
          <w:szCs w:val="16"/>
        </w:rPr>
        <w:footnoteRef/>
      </w:r>
      <w:r w:rsidR="00AA6A90" w:rsidRPr="009E4D56">
        <w:rPr>
          <w:rFonts w:ascii="Verdana" w:hAnsi="Verdana"/>
          <w:sz w:val="16"/>
          <w:szCs w:val="16"/>
          <w:lang w:val="es-CR"/>
        </w:rPr>
        <w:t xml:space="preserve"> </w:t>
      </w:r>
      <w:r w:rsidR="004D49F4" w:rsidRPr="009E4D56">
        <w:rPr>
          <w:rFonts w:ascii="Verdana" w:hAnsi="Verdana"/>
          <w:sz w:val="16"/>
          <w:szCs w:val="16"/>
          <w:lang w:val="es-CR"/>
        </w:rPr>
        <w:tab/>
      </w:r>
      <w:r w:rsidRPr="009E4D56">
        <w:rPr>
          <w:rFonts w:ascii="Verdana" w:hAnsi="Verdana"/>
          <w:i/>
          <w:sz w:val="16"/>
          <w:szCs w:val="16"/>
          <w:lang w:val="es-CR"/>
        </w:rPr>
        <w:t xml:space="preserve">Cfr. </w:t>
      </w:r>
      <w:r w:rsidR="005D61E2" w:rsidRPr="009E4D56">
        <w:rPr>
          <w:rFonts w:ascii="Verdana" w:hAnsi="Verdana"/>
          <w:i/>
          <w:sz w:val="16"/>
          <w:szCs w:val="16"/>
          <w:lang w:val="es-CR"/>
        </w:rPr>
        <w:t xml:space="preserve">Asunto Álvarez y otros. Medidas Provisionales respecto de Colombia. </w:t>
      </w:r>
      <w:r w:rsidR="005D61E2" w:rsidRPr="009E4D56">
        <w:rPr>
          <w:rFonts w:ascii="Verdana" w:hAnsi="Verdana"/>
          <w:sz w:val="16"/>
          <w:szCs w:val="16"/>
          <w:lang w:val="es-CR"/>
        </w:rPr>
        <w:t xml:space="preserve">Resolución de la Corte Interamericana de Derechos </w:t>
      </w:r>
      <w:r w:rsidR="0072761C" w:rsidRPr="009E4D56">
        <w:rPr>
          <w:rFonts w:ascii="Verdana" w:hAnsi="Verdana"/>
          <w:sz w:val="16"/>
          <w:szCs w:val="16"/>
          <w:lang w:val="es-CR"/>
        </w:rPr>
        <w:t>Humanos de 22 de mayo de 2013, c</w:t>
      </w:r>
      <w:r w:rsidR="005D61E2" w:rsidRPr="009E4D56">
        <w:rPr>
          <w:rFonts w:ascii="Verdana" w:hAnsi="Verdana"/>
          <w:sz w:val="16"/>
          <w:szCs w:val="16"/>
          <w:lang w:val="es-CR"/>
        </w:rPr>
        <w:t>onsiderando 2</w:t>
      </w:r>
      <w:r w:rsidR="009E4D56">
        <w:rPr>
          <w:rFonts w:ascii="Verdana" w:hAnsi="Verdana"/>
          <w:sz w:val="16"/>
          <w:szCs w:val="16"/>
          <w:lang w:val="es-CR"/>
        </w:rPr>
        <w:t>, y</w:t>
      </w:r>
      <w:r w:rsidR="005D61E2" w:rsidRPr="009E4D56">
        <w:rPr>
          <w:rFonts w:ascii="Verdana" w:hAnsi="Verdana"/>
          <w:i/>
          <w:sz w:val="16"/>
          <w:szCs w:val="16"/>
          <w:lang w:val="es-CR"/>
        </w:rPr>
        <w:t xml:space="preserve"> </w:t>
      </w:r>
      <w:r w:rsidRPr="009E4D56">
        <w:rPr>
          <w:rFonts w:ascii="Verdana" w:hAnsi="Verdana"/>
          <w:i/>
          <w:sz w:val="16"/>
          <w:szCs w:val="16"/>
          <w:lang w:val="es-CR"/>
        </w:rPr>
        <w:t>Asunto de la Emisora Televisión “Globovisión”</w:t>
      </w:r>
      <w:r w:rsidR="005D61E2" w:rsidRPr="009E4D56">
        <w:rPr>
          <w:rFonts w:ascii="Verdana" w:hAnsi="Verdana"/>
          <w:i/>
          <w:sz w:val="16"/>
          <w:szCs w:val="16"/>
          <w:lang w:val="es-CR"/>
        </w:rPr>
        <w:t>. Medidas Provisionales</w:t>
      </w:r>
      <w:r w:rsidRPr="009E4D56">
        <w:rPr>
          <w:rFonts w:ascii="Verdana" w:hAnsi="Verdana"/>
          <w:i/>
          <w:sz w:val="16"/>
          <w:szCs w:val="16"/>
          <w:lang w:val="es-CR"/>
        </w:rPr>
        <w:t xml:space="preserve"> respecto de Venezuela.</w:t>
      </w:r>
      <w:r w:rsidRPr="009E4D56">
        <w:rPr>
          <w:rFonts w:ascii="Verdana" w:hAnsi="Verdana"/>
          <w:sz w:val="16"/>
          <w:szCs w:val="16"/>
          <w:lang w:val="es-CR"/>
        </w:rPr>
        <w:t xml:space="preserve"> Resolución de la Corte </w:t>
      </w:r>
      <w:r w:rsidR="004D49F4" w:rsidRPr="009E4D56">
        <w:rPr>
          <w:rFonts w:ascii="Verdana" w:hAnsi="Verdana"/>
          <w:sz w:val="16"/>
          <w:szCs w:val="16"/>
          <w:lang w:val="es-CR"/>
        </w:rPr>
        <w:t xml:space="preserve">Interamericana de Derechos Humanos </w:t>
      </w:r>
      <w:r w:rsidR="0072761C" w:rsidRPr="009E4D56">
        <w:rPr>
          <w:rFonts w:ascii="Verdana" w:hAnsi="Verdana"/>
          <w:sz w:val="16"/>
          <w:szCs w:val="16"/>
          <w:lang w:val="es-CR"/>
        </w:rPr>
        <w:t>de 13 de noviembre de 2015, c</w:t>
      </w:r>
      <w:r w:rsidRPr="009E4D56">
        <w:rPr>
          <w:rFonts w:ascii="Verdana" w:hAnsi="Verdana"/>
          <w:sz w:val="16"/>
          <w:szCs w:val="16"/>
          <w:lang w:val="es-CR"/>
        </w:rPr>
        <w:t>onsiderando 1.</w:t>
      </w:r>
    </w:p>
  </w:footnote>
  <w:footnote w:id="5">
    <w:p w14:paraId="17538AF7" w14:textId="2ED863E9" w:rsidR="00AA6A90" w:rsidRPr="009E4D56" w:rsidRDefault="00AA6A90" w:rsidP="009E4D56">
      <w:pPr>
        <w:pStyle w:val="FootnoteText"/>
        <w:spacing w:before="120" w:after="120"/>
        <w:jc w:val="both"/>
        <w:rPr>
          <w:rFonts w:ascii="Verdana" w:hAnsi="Verdana"/>
          <w:sz w:val="16"/>
          <w:szCs w:val="16"/>
          <w:lang w:val="es-MX"/>
        </w:rPr>
      </w:pPr>
      <w:r w:rsidRPr="009E4D56">
        <w:rPr>
          <w:rStyle w:val="FootnoteReference"/>
          <w:rFonts w:ascii="Verdana" w:hAnsi="Verdana"/>
          <w:sz w:val="16"/>
          <w:szCs w:val="16"/>
        </w:rPr>
        <w:footnoteRef/>
      </w:r>
      <w:r w:rsidRPr="009E4D56">
        <w:rPr>
          <w:rFonts w:ascii="Verdana" w:hAnsi="Verdana"/>
          <w:sz w:val="16"/>
          <w:szCs w:val="16"/>
          <w:lang w:val="es-CR"/>
        </w:rPr>
        <w:t xml:space="preserve"> </w:t>
      </w:r>
      <w:r w:rsidR="005D61E2" w:rsidRPr="009E4D56">
        <w:rPr>
          <w:rFonts w:ascii="Verdana" w:hAnsi="Verdana"/>
          <w:sz w:val="16"/>
          <w:szCs w:val="16"/>
          <w:lang w:val="es-CR"/>
        </w:rPr>
        <w:tab/>
      </w:r>
      <w:r w:rsidRPr="009E4D56">
        <w:rPr>
          <w:rFonts w:ascii="Verdana" w:hAnsi="Verdana"/>
          <w:i/>
          <w:sz w:val="16"/>
          <w:szCs w:val="16"/>
          <w:lang w:val="es-MX"/>
        </w:rPr>
        <w:t>Cfr</w:t>
      </w:r>
      <w:r w:rsidRPr="009E4D56">
        <w:rPr>
          <w:rFonts w:ascii="Verdana" w:hAnsi="Verdana"/>
          <w:sz w:val="16"/>
          <w:szCs w:val="16"/>
          <w:lang w:val="es-MX"/>
        </w:rPr>
        <w:t xml:space="preserve">. </w:t>
      </w:r>
      <w:r w:rsidRPr="009E4D56">
        <w:rPr>
          <w:rFonts w:ascii="Verdana" w:hAnsi="Verdana"/>
          <w:bCs/>
          <w:i/>
          <w:sz w:val="16"/>
          <w:szCs w:val="16"/>
          <w:lang w:val="es-CR"/>
        </w:rPr>
        <w:t>Asunto Gladys Lanza Ochoa</w:t>
      </w:r>
      <w:r w:rsidR="005D61E2" w:rsidRPr="009E4D56">
        <w:rPr>
          <w:rFonts w:ascii="Verdana" w:hAnsi="Verdana"/>
          <w:bCs/>
          <w:i/>
          <w:sz w:val="16"/>
          <w:szCs w:val="16"/>
          <w:lang w:val="es-CR"/>
        </w:rPr>
        <w:t>.</w:t>
      </w:r>
      <w:r w:rsidRPr="009E4D56">
        <w:rPr>
          <w:rFonts w:ascii="Verdana" w:hAnsi="Verdana"/>
          <w:bCs/>
          <w:i/>
          <w:sz w:val="16"/>
          <w:szCs w:val="16"/>
          <w:lang w:val="es-CR"/>
        </w:rPr>
        <w:t xml:space="preserve"> Medidas Provisionales</w:t>
      </w:r>
      <w:r w:rsidR="005D61E2" w:rsidRPr="009E4D56">
        <w:rPr>
          <w:rFonts w:ascii="Verdana" w:hAnsi="Verdana"/>
          <w:bCs/>
          <w:sz w:val="16"/>
          <w:szCs w:val="16"/>
          <w:lang w:val="es-CR"/>
        </w:rPr>
        <w:t xml:space="preserve"> </w:t>
      </w:r>
      <w:r w:rsidR="005D61E2" w:rsidRPr="009E4D56">
        <w:rPr>
          <w:rFonts w:ascii="Verdana" w:hAnsi="Verdana"/>
          <w:bCs/>
          <w:i/>
          <w:sz w:val="16"/>
          <w:szCs w:val="16"/>
          <w:lang w:val="es-CR"/>
        </w:rPr>
        <w:t>respecto de Honduras</w:t>
      </w:r>
      <w:r w:rsidRPr="009E4D56">
        <w:rPr>
          <w:rFonts w:ascii="Verdana" w:hAnsi="Verdana"/>
          <w:bCs/>
          <w:sz w:val="16"/>
          <w:szCs w:val="16"/>
          <w:lang w:val="es-CR"/>
        </w:rPr>
        <w:t xml:space="preserve">. Resolución de la Corte </w:t>
      </w:r>
      <w:r w:rsidR="005D61E2" w:rsidRPr="009E4D56">
        <w:rPr>
          <w:rFonts w:ascii="Verdana" w:hAnsi="Verdana"/>
          <w:bCs/>
          <w:sz w:val="16"/>
          <w:szCs w:val="16"/>
          <w:lang w:val="es-CR"/>
        </w:rPr>
        <w:t xml:space="preserve">Interamericana de Derechos Humanos </w:t>
      </w:r>
      <w:r w:rsidRPr="009E4D56">
        <w:rPr>
          <w:rFonts w:ascii="Verdana" w:hAnsi="Verdana"/>
          <w:bCs/>
          <w:sz w:val="16"/>
          <w:szCs w:val="16"/>
          <w:lang w:val="es-CR"/>
        </w:rPr>
        <w:t xml:space="preserve">de 23 de noviembre de </w:t>
      </w:r>
      <w:r w:rsidR="0072761C" w:rsidRPr="009E4D56">
        <w:rPr>
          <w:rFonts w:ascii="Verdana" w:hAnsi="Verdana"/>
          <w:bCs/>
          <w:sz w:val="16"/>
          <w:szCs w:val="16"/>
          <w:lang w:val="es-CR"/>
        </w:rPr>
        <w:t>2016, c</w:t>
      </w:r>
      <w:r w:rsidRPr="009E4D56">
        <w:rPr>
          <w:rFonts w:ascii="Verdana" w:hAnsi="Verdana"/>
          <w:bCs/>
          <w:sz w:val="16"/>
          <w:szCs w:val="16"/>
          <w:lang w:val="es-CR"/>
        </w:rPr>
        <w:t>onsiderando 3</w:t>
      </w:r>
      <w:r w:rsidR="009E4D56">
        <w:rPr>
          <w:rFonts w:ascii="Verdana" w:hAnsi="Verdana"/>
          <w:sz w:val="16"/>
          <w:szCs w:val="16"/>
          <w:lang w:val="es-CR"/>
        </w:rPr>
        <w:t>, y</w:t>
      </w:r>
      <w:r w:rsidR="00CF0076" w:rsidRPr="009E4D56">
        <w:rPr>
          <w:rFonts w:ascii="Verdana" w:hAnsi="Verdana"/>
          <w:sz w:val="16"/>
          <w:szCs w:val="16"/>
          <w:lang w:val="es-CR"/>
        </w:rPr>
        <w:t xml:space="preserve"> </w:t>
      </w:r>
      <w:r w:rsidR="00CF0076" w:rsidRPr="009E4D56">
        <w:rPr>
          <w:rFonts w:ascii="Verdana" w:hAnsi="Verdana"/>
          <w:i/>
          <w:sz w:val="16"/>
          <w:szCs w:val="16"/>
          <w:lang w:val="es-MX"/>
        </w:rPr>
        <w:t xml:space="preserve">Caso de la Masacre de la Rochela. Medidas Provisionales respecto de Colombia. </w:t>
      </w:r>
      <w:r w:rsidR="00CF0076" w:rsidRPr="009E4D56">
        <w:rPr>
          <w:rFonts w:ascii="Verdana" w:hAnsi="Verdana"/>
          <w:sz w:val="16"/>
          <w:szCs w:val="16"/>
          <w:lang w:val="es-MX"/>
        </w:rPr>
        <w:t>Resolución de la Corte Interamericana de Derechos Humanos de 16 de f</w:t>
      </w:r>
      <w:r w:rsidR="0072761C" w:rsidRPr="009E4D56">
        <w:rPr>
          <w:rFonts w:ascii="Verdana" w:hAnsi="Verdana"/>
          <w:sz w:val="16"/>
          <w:szCs w:val="16"/>
          <w:lang w:val="es-MX"/>
        </w:rPr>
        <w:t>ebrero de 2017, c</w:t>
      </w:r>
      <w:r w:rsidR="00CF0076" w:rsidRPr="009E4D56">
        <w:rPr>
          <w:rFonts w:ascii="Verdana" w:hAnsi="Verdana"/>
          <w:sz w:val="16"/>
          <w:szCs w:val="16"/>
          <w:lang w:val="es-MX"/>
        </w:rPr>
        <w:t>onsiderando 37.</w:t>
      </w:r>
    </w:p>
  </w:footnote>
  <w:footnote w:id="6">
    <w:p w14:paraId="77C05A0A" w14:textId="7CD2C36F" w:rsidR="00AA6A90" w:rsidRPr="009E4D56" w:rsidRDefault="00AA6A90" w:rsidP="009E4D56">
      <w:pPr>
        <w:pStyle w:val="FootnoteText"/>
        <w:spacing w:before="120" w:after="120"/>
        <w:jc w:val="both"/>
        <w:rPr>
          <w:rFonts w:ascii="Verdana" w:hAnsi="Verdana"/>
          <w:sz w:val="16"/>
          <w:szCs w:val="16"/>
          <w:lang w:val="es-CR"/>
        </w:rPr>
      </w:pPr>
      <w:r w:rsidRPr="009E4D56">
        <w:rPr>
          <w:rStyle w:val="FootnoteReference"/>
          <w:rFonts w:ascii="Verdana" w:hAnsi="Verdana"/>
          <w:sz w:val="16"/>
          <w:szCs w:val="16"/>
        </w:rPr>
        <w:footnoteRef/>
      </w:r>
      <w:r w:rsidRPr="009E4D56">
        <w:rPr>
          <w:rFonts w:ascii="Verdana" w:hAnsi="Verdana"/>
          <w:sz w:val="16"/>
          <w:szCs w:val="16"/>
          <w:lang w:val="es-CR"/>
        </w:rPr>
        <w:t xml:space="preserve"> </w:t>
      </w:r>
      <w:r w:rsidRPr="009E4D56">
        <w:rPr>
          <w:rFonts w:ascii="Verdana" w:hAnsi="Verdana"/>
          <w:sz w:val="16"/>
          <w:szCs w:val="16"/>
          <w:lang w:val="es-CR"/>
        </w:rPr>
        <w:tab/>
      </w:r>
      <w:r w:rsidRPr="009E4D56">
        <w:rPr>
          <w:rFonts w:ascii="Verdana" w:hAnsi="Verdana"/>
          <w:i/>
          <w:sz w:val="16"/>
          <w:szCs w:val="16"/>
          <w:lang w:val="es-CR"/>
        </w:rPr>
        <w:t>Cfr</w:t>
      </w:r>
      <w:r w:rsidRPr="009E4D56">
        <w:rPr>
          <w:rFonts w:ascii="Verdana" w:hAnsi="Verdana"/>
          <w:sz w:val="16"/>
          <w:szCs w:val="16"/>
          <w:lang w:val="es-CR"/>
        </w:rPr>
        <w:t>.</w:t>
      </w:r>
      <w:r w:rsidR="00CF0076" w:rsidRPr="009E4D56">
        <w:rPr>
          <w:rFonts w:ascii="Verdana" w:hAnsi="Verdana"/>
          <w:sz w:val="16"/>
          <w:szCs w:val="16"/>
          <w:lang w:val="es-CR"/>
        </w:rPr>
        <w:t xml:space="preserve"> </w:t>
      </w:r>
      <w:r w:rsidR="00CF0076" w:rsidRPr="009E4D56">
        <w:rPr>
          <w:rFonts w:ascii="Verdana" w:hAnsi="Verdana"/>
          <w:i/>
          <w:sz w:val="16"/>
          <w:szCs w:val="16"/>
          <w:lang w:val="es-CR"/>
        </w:rPr>
        <w:t>Asunto James y Otros. Medidas Provisionales respecto de Trinidad y Tobago.</w:t>
      </w:r>
      <w:r w:rsidR="00CF0076" w:rsidRPr="009E4D56">
        <w:rPr>
          <w:rFonts w:ascii="Verdana" w:hAnsi="Verdana"/>
          <w:sz w:val="16"/>
          <w:szCs w:val="16"/>
          <w:lang w:val="es-CR"/>
        </w:rPr>
        <w:t xml:space="preserve"> Resolución de la Corte Interamericana de Derechos Humanos de 29 de agosto de 1998, </w:t>
      </w:r>
      <w:r w:rsidR="0072761C" w:rsidRPr="009E4D56">
        <w:rPr>
          <w:rFonts w:ascii="Verdana" w:hAnsi="Verdana"/>
          <w:sz w:val="16"/>
          <w:szCs w:val="16"/>
          <w:lang w:val="es-CR"/>
        </w:rPr>
        <w:t>c</w:t>
      </w:r>
      <w:r w:rsidR="00CF0076" w:rsidRPr="009E4D56">
        <w:rPr>
          <w:rFonts w:ascii="Verdana" w:hAnsi="Verdana"/>
          <w:sz w:val="16"/>
          <w:szCs w:val="16"/>
          <w:lang w:val="es-CR"/>
        </w:rPr>
        <w:t>onsiderando 6</w:t>
      </w:r>
      <w:r w:rsidR="009E4D56">
        <w:rPr>
          <w:rFonts w:ascii="Verdana" w:hAnsi="Verdana"/>
          <w:sz w:val="16"/>
          <w:szCs w:val="16"/>
          <w:lang w:val="es-CR"/>
        </w:rPr>
        <w:t>, y</w:t>
      </w:r>
      <w:r w:rsidR="00CF0076" w:rsidRPr="009E4D56">
        <w:rPr>
          <w:rFonts w:ascii="Verdana" w:hAnsi="Verdana"/>
          <w:sz w:val="16"/>
          <w:szCs w:val="16"/>
          <w:lang w:val="es-CR"/>
        </w:rPr>
        <w:t xml:space="preserve"> </w:t>
      </w:r>
      <w:r w:rsidR="00457EA3" w:rsidRPr="009E4D56">
        <w:rPr>
          <w:rFonts w:ascii="Verdana" w:hAnsi="Verdana"/>
          <w:i/>
          <w:sz w:val="16"/>
          <w:szCs w:val="16"/>
          <w:lang w:val="es-MX"/>
        </w:rPr>
        <w:t>Caso de la Masacre de la Rochela. Medidas Provisionales respecto de Colombia</w:t>
      </w:r>
      <w:r w:rsidR="0072761C" w:rsidRPr="009E4D56">
        <w:rPr>
          <w:rFonts w:ascii="Verdana" w:hAnsi="Verdana"/>
          <w:sz w:val="16"/>
          <w:szCs w:val="16"/>
          <w:lang w:val="es-MX"/>
        </w:rPr>
        <w:t>, c</w:t>
      </w:r>
      <w:r w:rsidR="00457EA3" w:rsidRPr="009E4D56">
        <w:rPr>
          <w:rFonts w:ascii="Verdana" w:hAnsi="Verdana"/>
          <w:sz w:val="16"/>
          <w:szCs w:val="16"/>
          <w:lang w:val="es-MX"/>
        </w:rPr>
        <w:t>onsiderando 38</w:t>
      </w:r>
      <w:r w:rsidR="00CF0076" w:rsidRPr="009E4D56">
        <w:rPr>
          <w:rFonts w:ascii="Verdana" w:hAnsi="Verdana"/>
          <w:sz w:val="16"/>
          <w:szCs w:val="16"/>
          <w:lang w:val="es-MX"/>
        </w:rPr>
        <w:t>.</w:t>
      </w:r>
    </w:p>
  </w:footnote>
  <w:footnote w:id="7">
    <w:p w14:paraId="7DDAA9D5" w14:textId="4DA40075" w:rsidR="0072761C" w:rsidRPr="009E4D56" w:rsidRDefault="00B8045D" w:rsidP="009E4D56">
      <w:pPr>
        <w:tabs>
          <w:tab w:val="left" w:pos="567"/>
        </w:tabs>
        <w:spacing w:before="120" w:after="120" w:line="240" w:lineRule="auto"/>
        <w:jc w:val="both"/>
        <w:rPr>
          <w:rFonts w:ascii="Verdana" w:hAnsi="Verdana"/>
          <w:sz w:val="16"/>
          <w:szCs w:val="16"/>
          <w:lang w:val="es-ES_tradnl"/>
        </w:rPr>
      </w:pPr>
      <w:r w:rsidRPr="009E4D56">
        <w:rPr>
          <w:rStyle w:val="FootnoteReference"/>
          <w:rFonts w:ascii="Verdana" w:hAnsi="Verdana"/>
          <w:sz w:val="16"/>
          <w:szCs w:val="16"/>
        </w:rPr>
        <w:footnoteRef/>
      </w:r>
      <w:r w:rsidR="00A06633" w:rsidRPr="009E4D56">
        <w:rPr>
          <w:rFonts w:ascii="Verdana" w:hAnsi="Verdana"/>
          <w:i/>
          <w:iCs/>
          <w:sz w:val="16"/>
          <w:szCs w:val="16"/>
          <w:lang w:val="es-ES"/>
        </w:rPr>
        <w:t xml:space="preserve"> </w:t>
      </w:r>
      <w:r w:rsidR="00A06633" w:rsidRPr="009E4D56">
        <w:rPr>
          <w:rFonts w:ascii="Verdana" w:hAnsi="Verdana"/>
          <w:i/>
          <w:iCs/>
          <w:sz w:val="16"/>
          <w:szCs w:val="16"/>
          <w:lang w:val="es-ES"/>
        </w:rPr>
        <w:tab/>
      </w:r>
      <w:r w:rsidR="00A06633" w:rsidRPr="009E4D56">
        <w:rPr>
          <w:rFonts w:ascii="Verdana" w:hAnsi="Verdana"/>
          <w:i/>
          <w:iCs/>
          <w:sz w:val="16"/>
          <w:szCs w:val="16"/>
          <w:lang w:val="es-ES"/>
        </w:rPr>
        <w:tab/>
      </w:r>
      <w:r w:rsidR="0072761C" w:rsidRPr="009E4D56">
        <w:rPr>
          <w:rFonts w:ascii="Verdana" w:hAnsi="Verdana"/>
          <w:i/>
          <w:iCs/>
          <w:sz w:val="16"/>
          <w:szCs w:val="16"/>
          <w:lang w:val="es-ES"/>
        </w:rPr>
        <w:t xml:space="preserve">Cfr. </w:t>
      </w:r>
      <w:r w:rsidRPr="009E4D56">
        <w:rPr>
          <w:rFonts w:ascii="Verdana" w:hAnsi="Verdana"/>
          <w:i/>
          <w:sz w:val="16"/>
          <w:szCs w:val="16"/>
          <w:lang w:val="es-ES_tradnl"/>
        </w:rPr>
        <w:t>Asunto</w:t>
      </w:r>
      <w:r w:rsidRPr="009E4D56">
        <w:rPr>
          <w:rFonts w:ascii="Verdana" w:hAnsi="Verdana"/>
          <w:sz w:val="16"/>
          <w:szCs w:val="16"/>
          <w:lang w:val="es-ES_tradnl"/>
        </w:rPr>
        <w:t xml:space="preserve"> </w:t>
      </w:r>
      <w:r w:rsidRPr="009E4D56">
        <w:rPr>
          <w:rFonts w:ascii="Verdana" w:hAnsi="Verdana"/>
          <w:i/>
          <w:sz w:val="16"/>
          <w:szCs w:val="16"/>
          <w:lang w:val="es-ES_tradnl"/>
        </w:rPr>
        <w:t>Belfort Istúriz y otros</w:t>
      </w:r>
      <w:r w:rsidR="0072761C" w:rsidRPr="009E4D56">
        <w:rPr>
          <w:rFonts w:ascii="Verdana" w:hAnsi="Verdana"/>
          <w:i/>
          <w:sz w:val="16"/>
          <w:szCs w:val="16"/>
          <w:lang w:val="es-ES_tradnl"/>
        </w:rPr>
        <w:t>.</w:t>
      </w:r>
      <w:r w:rsidRPr="009E4D56">
        <w:rPr>
          <w:rFonts w:ascii="Verdana" w:hAnsi="Verdana"/>
          <w:i/>
          <w:sz w:val="16"/>
          <w:szCs w:val="16"/>
          <w:lang w:val="es-ES_tradnl"/>
        </w:rPr>
        <w:t xml:space="preserve"> Medidas Provisionales</w:t>
      </w:r>
      <w:r w:rsidR="0072761C" w:rsidRPr="009E4D56">
        <w:rPr>
          <w:rFonts w:ascii="Verdana" w:hAnsi="Verdana"/>
          <w:i/>
          <w:sz w:val="16"/>
          <w:szCs w:val="16"/>
          <w:lang w:val="es-ES_tradnl"/>
        </w:rPr>
        <w:t xml:space="preserve"> respecto de Venezuela</w:t>
      </w:r>
      <w:r w:rsidRPr="009E4D56">
        <w:rPr>
          <w:rFonts w:ascii="Verdana" w:hAnsi="Verdana"/>
          <w:i/>
          <w:sz w:val="16"/>
          <w:szCs w:val="16"/>
          <w:lang w:val="es-ES_tradnl"/>
        </w:rPr>
        <w:t xml:space="preserve">. </w:t>
      </w:r>
      <w:r w:rsidRPr="009E4D56">
        <w:rPr>
          <w:rFonts w:ascii="Verdana" w:hAnsi="Verdana"/>
          <w:sz w:val="16"/>
          <w:szCs w:val="16"/>
          <w:lang w:val="es-ES_tradnl"/>
        </w:rPr>
        <w:t>Resolución de la</w:t>
      </w:r>
      <w:r w:rsidR="0072761C" w:rsidRPr="009E4D56">
        <w:rPr>
          <w:rFonts w:ascii="Verdana" w:hAnsi="Verdana"/>
          <w:sz w:val="16"/>
          <w:szCs w:val="16"/>
          <w:lang w:val="es-ES_tradnl"/>
        </w:rPr>
        <w:t xml:space="preserve"> Corte Interamericana de Derechos Humanos de 15 de abril de 2010, considerando 5</w:t>
      </w:r>
      <w:r w:rsidR="009E4D56">
        <w:rPr>
          <w:rFonts w:ascii="Verdana" w:hAnsi="Verdana"/>
          <w:sz w:val="16"/>
          <w:szCs w:val="16"/>
          <w:lang w:val="es-ES_tradnl"/>
        </w:rPr>
        <w:t>,</w:t>
      </w:r>
      <w:r w:rsidRPr="009E4D56">
        <w:rPr>
          <w:rFonts w:ascii="Verdana" w:hAnsi="Verdana"/>
          <w:sz w:val="16"/>
          <w:szCs w:val="16"/>
          <w:lang w:val="es-ES_tradnl"/>
        </w:rPr>
        <w:t xml:space="preserve"> y </w:t>
      </w:r>
      <w:r w:rsidR="0072761C" w:rsidRPr="009E4D56">
        <w:rPr>
          <w:rFonts w:ascii="Verdana" w:hAnsi="Verdana"/>
          <w:i/>
          <w:sz w:val="16"/>
          <w:szCs w:val="16"/>
          <w:lang w:val="es-ES_tradnl"/>
        </w:rPr>
        <w:t>Caso Torres Millacura y otros. Medidas Provisionales respecto de Argentina.</w:t>
      </w:r>
      <w:r w:rsidR="0072761C" w:rsidRPr="009E4D56">
        <w:rPr>
          <w:rFonts w:ascii="Verdana" w:hAnsi="Verdana"/>
          <w:sz w:val="16"/>
          <w:szCs w:val="16"/>
          <w:lang w:val="es-ES_tradnl"/>
        </w:rPr>
        <w:t xml:space="preserve"> Resolución de la Corte Interamericana de Derechos Humanos de 14 de noviembre de 2017, considerando 5.</w:t>
      </w:r>
    </w:p>
  </w:footnote>
  <w:footnote w:id="8">
    <w:p w14:paraId="0B5474D8" w14:textId="57D1EDC1" w:rsidR="00B8045D" w:rsidRPr="009E4D56" w:rsidRDefault="00B8045D" w:rsidP="009E4D56">
      <w:pPr>
        <w:pStyle w:val="FootnoteText"/>
        <w:spacing w:before="120" w:after="120"/>
        <w:jc w:val="both"/>
        <w:rPr>
          <w:rFonts w:ascii="Verdana" w:hAnsi="Verdana"/>
          <w:sz w:val="16"/>
          <w:szCs w:val="16"/>
          <w:lang w:val="es-MX"/>
        </w:rPr>
      </w:pPr>
      <w:r w:rsidRPr="009E4D56">
        <w:rPr>
          <w:rStyle w:val="FootnoteReference"/>
          <w:rFonts w:ascii="Verdana" w:hAnsi="Verdana"/>
          <w:spacing w:val="-4"/>
          <w:sz w:val="16"/>
          <w:szCs w:val="16"/>
        </w:rPr>
        <w:footnoteRef/>
      </w:r>
      <w:r w:rsidRPr="009E4D56">
        <w:rPr>
          <w:rFonts w:ascii="Verdana" w:hAnsi="Verdana"/>
          <w:spacing w:val="-4"/>
          <w:sz w:val="16"/>
          <w:szCs w:val="16"/>
          <w:lang w:val="es-CR"/>
        </w:rPr>
        <w:t xml:space="preserve"> </w:t>
      </w:r>
      <w:r w:rsidRPr="009E4D56">
        <w:rPr>
          <w:rFonts w:ascii="Verdana" w:hAnsi="Verdana"/>
          <w:spacing w:val="-4"/>
          <w:sz w:val="16"/>
          <w:szCs w:val="16"/>
          <w:lang w:val="es-CR"/>
        </w:rPr>
        <w:tab/>
      </w:r>
      <w:r w:rsidR="0072761C" w:rsidRPr="009E4D56">
        <w:rPr>
          <w:rFonts w:ascii="Verdana" w:hAnsi="Verdana"/>
          <w:i/>
          <w:spacing w:val="-4"/>
          <w:sz w:val="16"/>
          <w:szCs w:val="16"/>
          <w:lang w:val="es-MX"/>
        </w:rPr>
        <w:t>Cfr. Caso Carpio Nicolle. Medidas Provisionales respecto de Guatemala</w:t>
      </w:r>
      <w:r w:rsidR="0072761C" w:rsidRPr="009E4D56">
        <w:rPr>
          <w:rFonts w:ascii="Verdana" w:hAnsi="Verdana"/>
          <w:spacing w:val="-4"/>
          <w:sz w:val="16"/>
          <w:szCs w:val="16"/>
          <w:lang w:val="es-MX"/>
        </w:rPr>
        <w:t>. Resolución de la Corte Interamericana de Derechos Humanos de 6 de julio de 2009,</w:t>
      </w:r>
      <w:r w:rsidR="008C7A8B" w:rsidRPr="009E4D56">
        <w:rPr>
          <w:rFonts w:ascii="Verdana" w:hAnsi="Verdana"/>
          <w:spacing w:val="-4"/>
          <w:sz w:val="16"/>
          <w:szCs w:val="16"/>
          <w:lang w:val="es-MX"/>
        </w:rPr>
        <w:t xml:space="preserve"> considerando 18</w:t>
      </w:r>
      <w:r w:rsidR="00E0206D">
        <w:rPr>
          <w:rFonts w:ascii="Verdana" w:hAnsi="Verdana"/>
          <w:spacing w:val="-4"/>
          <w:sz w:val="16"/>
          <w:szCs w:val="16"/>
          <w:lang w:val="es-MX"/>
        </w:rPr>
        <w:t>, y</w:t>
      </w:r>
      <w:r w:rsidR="008C7A8B" w:rsidRPr="009E4D56">
        <w:rPr>
          <w:rFonts w:ascii="Verdana" w:hAnsi="Verdana"/>
          <w:spacing w:val="-4"/>
          <w:sz w:val="16"/>
          <w:szCs w:val="16"/>
          <w:lang w:val="es-MX"/>
        </w:rPr>
        <w:t xml:space="preserve"> </w:t>
      </w:r>
      <w:r w:rsidR="008C7A8B" w:rsidRPr="009E4D56">
        <w:rPr>
          <w:rFonts w:ascii="Verdana" w:hAnsi="Verdana"/>
          <w:i/>
          <w:sz w:val="16"/>
          <w:szCs w:val="16"/>
          <w:lang w:val="es-MX"/>
        </w:rPr>
        <w:t>Caso Fernández Ortega y otros. Medidas Provisionales respecto de México.</w:t>
      </w:r>
      <w:r w:rsidR="008C7A8B" w:rsidRPr="009E4D56">
        <w:rPr>
          <w:rFonts w:ascii="Verdana" w:hAnsi="Verdana"/>
          <w:sz w:val="16"/>
          <w:szCs w:val="16"/>
          <w:lang w:val="es-MX"/>
        </w:rPr>
        <w:t xml:space="preserve"> Resolución de la Corte Interamericana de Derechos Humanos de 7 de febrero de 2017, considerando 16.</w:t>
      </w:r>
    </w:p>
  </w:footnote>
  <w:footnote w:id="9">
    <w:p w14:paraId="3A9C417B" w14:textId="2DDFD37E" w:rsidR="00565FE8" w:rsidRPr="009E4D56" w:rsidRDefault="00565FE8" w:rsidP="009E4D56">
      <w:pPr>
        <w:pStyle w:val="FootnoteText"/>
        <w:jc w:val="both"/>
        <w:rPr>
          <w:rFonts w:ascii="Verdana" w:hAnsi="Verdana"/>
          <w:sz w:val="16"/>
          <w:szCs w:val="16"/>
          <w:lang w:val="es-CR"/>
        </w:rPr>
      </w:pPr>
      <w:r w:rsidRPr="009E4D56">
        <w:rPr>
          <w:rStyle w:val="FootnoteReference"/>
          <w:rFonts w:ascii="Verdana" w:hAnsi="Verdana"/>
          <w:sz w:val="16"/>
          <w:szCs w:val="16"/>
        </w:rPr>
        <w:footnoteRef/>
      </w:r>
      <w:r w:rsidRPr="009E4D56">
        <w:rPr>
          <w:rFonts w:ascii="Verdana" w:hAnsi="Verdana"/>
          <w:sz w:val="16"/>
          <w:szCs w:val="16"/>
          <w:lang w:val="es-CR"/>
        </w:rPr>
        <w:t xml:space="preserve"> </w:t>
      </w:r>
      <w:r w:rsidRPr="009E4D56">
        <w:rPr>
          <w:rFonts w:ascii="Verdana" w:hAnsi="Verdana"/>
          <w:sz w:val="16"/>
          <w:szCs w:val="16"/>
          <w:lang w:val="es-CR"/>
        </w:rPr>
        <w:tab/>
      </w:r>
      <w:r w:rsidRPr="009E4D56">
        <w:rPr>
          <w:rFonts w:ascii="Verdana" w:hAnsi="Verdana"/>
          <w:i/>
          <w:sz w:val="16"/>
          <w:szCs w:val="16"/>
          <w:lang w:val="es-CR"/>
        </w:rPr>
        <w:t xml:space="preserve">Cfr. Caso Caballero Delgado y Santana. Medidas Provisionales respecto </w:t>
      </w:r>
      <w:r w:rsidR="008C7A8B" w:rsidRPr="009E4D56">
        <w:rPr>
          <w:rFonts w:ascii="Verdana" w:hAnsi="Verdana"/>
          <w:i/>
          <w:sz w:val="16"/>
          <w:szCs w:val="16"/>
          <w:lang w:val="es-CR"/>
        </w:rPr>
        <w:t>de</w:t>
      </w:r>
      <w:r w:rsidRPr="009E4D56">
        <w:rPr>
          <w:rFonts w:ascii="Verdana" w:hAnsi="Verdana"/>
          <w:i/>
          <w:sz w:val="16"/>
          <w:szCs w:val="16"/>
          <w:lang w:val="es-CR"/>
        </w:rPr>
        <w:t xml:space="preserve"> Colombia. </w:t>
      </w:r>
      <w:r w:rsidRPr="009E4D56">
        <w:rPr>
          <w:rFonts w:ascii="Verdana" w:hAnsi="Verdana"/>
          <w:sz w:val="16"/>
          <w:szCs w:val="16"/>
          <w:lang w:val="es-CR"/>
        </w:rPr>
        <w:t>Resolución de la Corte Interamericana de Derechos Humanos de 4 de julio de 2006, considerando 13</w:t>
      </w:r>
      <w:r w:rsidR="009E4D56">
        <w:rPr>
          <w:rFonts w:ascii="Verdana" w:hAnsi="Verdana"/>
          <w:sz w:val="16"/>
          <w:szCs w:val="16"/>
          <w:lang w:val="es-CR"/>
        </w:rPr>
        <w:t>, y</w:t>
      </w:r>
      <w:r w:rsidR="008C7A8B" w:rsidRPr="009E4D56">
        <w:rPr>
          <w:rFonts w:ascii="Verdana" w:hAnsi="Verdana"/>
          <w:sz w:val="16"/>
          <w:szCs w:val="16"/>
          <w:lang w:val="es-CR"/>
        </w:rPr>
        <w:t xml:space="preserve"> </w:t>
      </w:r>
      <w:r w:rsidR="008C7A8B" w:rsidRPr="009E4D56">
        <w:rPr>
          <w:rFonts w:ascii="Verdana" w:hAnsi="Verdana"/>
          <w:i/>
          <w:sz w:val="16"/>
          <w:szCs w:val="16"/>
          <w:lang w:val="es-CR"/>
        </w:rPr>
        <w:t>Asunto de la Emisora Televisión “Globovisión”. Medidas Provisionales respecto de Venezuela</w:t>
      </w:r>
      <w:r w:rsidR="008C7A8B" w:rsidRPr="009E4D56">
        <w:rPr>
          <w:rFonts w:ascii="Verdana" w:hAnsi="Verdana"/>
          <w:sz w:val="16"/>
          <w:szCs w:val="16"/>
          <w:lang w:val="es-CR"/>
        </w:rPr>
        <w:t>, considerando 2.</w:t>
      </w:r>
    </w:p>
  </w:footnote>
  <w:footnote w:id="10">
    <w:p w14:paraId="460E550A" w14:textId="036723CB" w:rsidR="009A2DD1" w:rsidRPr="009E4D56" w:rsidRDefault="009A2DD1" w:rsidP="009E4D56">
      <w:pPr>
        <w:pStyle w:val="FootnoteText"/>
        <w:spacing w:before="120" w:after="120"/>
        <w:jc w:val="both"/>
        <w:rPr>
          <w:rFonts w:ascii="Verdana" w:hAnsi="Verdana"/>
          <w:sz w:val="16"/>
          <w:szCs w:val="16"/>
          <w:lang w:val="es-CR"/>
        </w:rPr>
      </w:pPr>
      <w:r w:rsidRPr="009E4D56">
        <w:rPr>
          <w:rStyle w:val="FootnoteReference"/>
          <w:rFonts w:ascii="Verdana" w:hAnsi="Verdana"/>
          <w:sz w:val="16"/>
          <w:szCs w:val="16"/>
        </w:rPr>
        <w:footnoteRef/>
      </w:r>
      <w:r w:rsidRPr="009E4D56">
        <w:rPr>
          <w:rFonts w:ascii="Verdana" w:hAnsi="Verdana"/>
          <w:sz w:val="16"/>
          <w:szCs w:val="16"/>
          <w:lang w:val="es-CR"/>
        </w:rPr>
        <w:t xml:space="preserve"> </w:t>
      </w:r>
      <w:r w:rsidR="008C7A8B" w:rsidRPr="009E4D56">
        <w:rPr>
          <w:rFonts w:ascii="Verdana" w:hAnsi="Verdana"/>
          <w:sz w:val="16"/>
          <w:szCs w:val="16"/>
          <w:lang w:val="es-CR"/>
        </w:rPr>
        <w:tab/>
      </w:r>
      <w:r w:rsidRPr="009E4D56">
        <w:rPr>
          <w:rFonts w:ascii="Verdana" w:hAnsi="Verdana"/>
          <w:i/>
          <w:sz w:val="16"/>
          <w:szCs w:val="16"/>
          <w:lang w:val="es-CR"/>
        </w:rPr>
        <w:t>Cfr. Asunto Luisiana Ríos y otros</w:t>
      </w:r>
      <w:r w:rsidR="008C7A8B" w:rsidRPr="009E4D56">
        <w:rPr>
          <w:rFonts w:ascii="Verdana" w:hAnsi="Verdana"/>
          <w:i/>
          <w:sz w:val="16"/>
          <w:szCs w:val="16"/>
          <w:lang w:val="es-CR"/>
        </w:rPr>
        <w:t xml:space="preserve">. </w:t>
      </w:r>
      <w:r w:rsidRPr="009E4D56">
        <w:rPr>
          <w:rFonts w:ascii="Verdana" w:hAnsi="Verdana"/>
          <w:i/>
          <w:sz w:val="16"/>
          <w:szCs w:val="16"/>
          <w:lang w:val="es-CR"/>
        </w:rPr>
        <w:t>Medidas provisionales respecto de Venezuela.</w:t>
      </w:r>
      <w:r w:rsidRPr="009E4D56">
        <w:rPr>
          <w:rFonts w:ascii="Verdana" w:hAnsi="Verdana"/>
          <w:sz w:val="16"/>
          <w:szCs w:val="16"/>
          <w:lang w:val="es-CR"/>
        </w:rPr>
        <w:t xml:space="preserve"> Resolución de la Corte Interamericana de Derechos Huma</w:t>
      </w:r>
      <w:r w:rsidR="008C7A8B" w:rsidRPr="009E4D56">
        <w:rPr>
          <w:rFonts w:ascii="Verdana" w:hAnsi="Verdana"/>
          <w:sz w:val="16"/>
          <w:szCs w:val="16"/>
          <w:lang w:val="es-CR"/>
        </w:rPr>
        <w:t xml:space="preserve">nos de 27 de noviembre de 2002, vistos </w:t>
      </w:r>
      <w:r w:rsidRPr="009E4D56">
        <w:rPr>
          <w:rFonts w:ascii="Verdana" w:hAnsi="Verdana"/>
          <w:sz w:val="16"/>
          <w:szCs w:val="16"/>
          <w:lang w:val="es-CR"/>
        </w:rPr>
        <w:t xml:space="preserve">2 y 3; </w:t>
      </w:r>
      <w:r w:rsidR="008C7A8B" w:rsidRPr="009E4D56">
        <w:rPr>
          <w:rFonts w:ascii="Verdana" w:hAnsi="Verdana"/>
          <w:i/>
          <w:sz w:val="16"/>
          <w:szCs w:val="16"/>
          <w:lang w:val="es-CR"/>
        </w:rPr>
        <w:t xml:space="preserve">Asunto Luisiana Ríos y otros. </w:t>
      </w:r>
      <w:r w:rsidRPr="009E4D56">
        <w:rPr>
          <w:rFonts w:ascii="Verdana" w:hAnsi="Verdana"/>
          <w:i/>
          <w:sz w:val="16"/>
          <w:szCs w:val="16"/>
          <w:lang w:val="es-CR"/>
        </w:rPr>
        <w:t>Medidas provisionales respecto de Venezuela.</w:t>
      </w:r>
      <w:r w:rsidRPr="009E4D56">
        <w:rPr>
          <w:rFonts w:ascii="Verdana" w:hAnsi="Verdana"/>
          <w:sz w:val="16"/>
          <w:szCs w:val="16"/>
          <w:lang w:val="es-CR"/>
        </w:rPr>
        <w:t xml:space="preserve"> Resolución de la Corte Interamericana de Derechos Humanos de </w:t>
      </w:r>
      <w:r w:rsidR="008C7A8B" w:rsidRPr="009E4D56">
        <w:rPr>
          <w:rFonts w:ascii="Verdana" w:hAnsi="Verdana"/>
          <w:sz w:val="16"/>
          <w:szCs w:val="16"/>
          <w:lang w:val="es-CR"/>
        </w:rPr>
        <w:t>2 de octubre de 2003, v</w:t>
      </w:r>
      <w:r w:rsidRPr="009E4D56">
        <w:rPr>
          <w:rFonts w:ascii="Verdana" w:hAnsi="Verdana"/>
          <w:sz w:val="16"/>
          <w:szCs w:val="16"/>
          <w:lang w:val="es-CR"/>
        </w:rPr>
        <w:t>isto</w:t>
      </w:r>
      <w:r w:rsidR="008C7A8B" w:rsidRPr="009E4D56">
        <w:rPr>
          <w:rFonts w:ascii="Verdana" w:hAnsi="Verdana"/>
          <w:sz w:val="16"/>
          <w:szCs w:val="16"/>
          <w:lang w:val="es-CR"/>
        </w:rPr>
        <w:t>s</w:t>
      </w:r>
      <w:r w:rsidRPr="009E4D56">
        <w:rPr>
          <w:rFonts w:ascii="Verdana" w:hAnsi="Verdana"/>
          <w:sz w:val="16"/>
          <w:szCs w:val="16"/>
          <w:lang w:val="es-CR"/>
        </w:rPr>
        <w:t xml:space="preserve"> 4 y 5; </w:t>
      </w:r>
      <w:r w:rsidRPr="009E4D56">
        <w:rPr>
          <w:rFonts w:ascii="Verdana" w:hAnsi="Verdana"/>
          <w:i/>
          <w:sz w:val="16"/>
          <w:szCs w:val="16"/>
          <w:lang w:val="es-CR"/>
        </w:rPr>
        <w:t>Asunto Luisiana Ríos y otros. Medidas provisionales respecto de Venezuela.</w:t>
      </w:r>
      <w:r w:rsidRPr="009E4D56">
        <w:rPr>
          <w:rFonts w:ascii="Verdana" w:hAnsi="Verdana"/>
          <w:sz w:val="16"/>
          <w:szCs w:val="16"/>
          <w:lang w:val="es-CR"/>
        </w:rPr>
        <w:t xml:space="preserve"> Resolución de la Corte Interamericana de Derechos Humanos de </w:t>
      </w:r>
      <w:r w:rsidR="008C7A8B" w:rsidRPr="009E4D56">
        <w:rPr>
          <w:rFonts w:ascii="Verdana" w:hAnsi="Verdana"/>
          <w:sz w:val="16"/>
          <w:szCs w:val="16"/>
          <w:lang w:val="es-CR"/>
        </w:rPr>
        <w:t>8 de septiembre de 2004, c</w:t>
      </w:r>
      <w:r w:rsidRPr="009E4D56">
        <w:rPr>
          <w:rFonts w:ascii="Verdana" w:hAnsi="Verdana"/>
          <w:sz w:val="16"/>
          <w:szCs w:val="16"/>
          <w:lang w:val="es-CR"/>
        </w:rPr>
        <w:t>onsiderando 10 y 11</w:t>
      </w:r>
      <w:r w:rsidR="009E4D56">
        <w:rPr>
          <w:rFonts w:ascii="Verdana" w:hAnsi="Verdana"/>
          <w:sz w:val="16"/>
          <w:szCs w:val="16"/>
          <w:lang w:val="es-CR"/>
        </w:rPr>
        <w:t>, y</w:t>
      </w:r>
      <w:r w:rsidRPr="009E4D56">
        <w:rPr>
          <w:rFonts w:ascii="Verdana" w:hAnsi="Verdana"/>
          <w:sz w:val="16"/>
          <w:szCs w:val="16"/>
          <w:lang w:val="es-CR"/>
        </w:rPr>
        <w:t xml:space="preserve"> </w:t>
      </w:r>
      <w:r w:rsidRPr="009E4D56">
        <w:rPr>
          <w:rFonts w:ascii="Verdana" w:hAnsi="Verdana"/>
          <w:i/>
          <w:sz w:val="16"/>
          <w:szCs w:val="16"/>
          <w:lang w:val="es-CR"/>
        </w:rPr>
        <w:t>Asunto Luisiana Ríos y otros. Medidas provisionales respecto de Venezuela.</w:t>
      </w:r>
      <w:r w:rsidRPr="009E4D56">
        <w:rPr>
          <w:rFonts w:ascii="Verdana" w:hAnsi="Verdana"/>
          <w:sz w:val="16"/>
          <w:szCs w:val="16"/>
          <w:lang w:val="es-CR"/>
        </w:rPr>
        <w:t xml:space="preserve"> Resolución de la Corte Interamericana de Derechos Humanos de </w:t>
      </w:r>
      <w:r w:rsidR="008C7A8B" w:rsidRPr="009E4D56">
        <w:rPr>
          <w:rFonts w:ascii="Verdana" w:hAnsi="Verdana"/>
          <w:sz w:val="16"/>
          <w:szCs w:val="16"/>
          <w:lang w:val="es-CR"/>
        </w:rPr>
        <w:t>12 de septiembre de 2005, c</w:t>
      </w:r>
      <w:r w:rsidRPr="009E4D56">
        <w:rPr>
          <w:rFonts w:ascii="Verdana" w:hAnsi="Verdana"/>
          <w:sz w:val="16"/>
          <w:szCs w:val="16"/>
          <w:lang w:val="es-CR"/>
        </w:rPr>
        <w:t>onsiderando 9 y 10.</w:t>
      </w:r>
    </w:p>
  </w:footnote>
  <w:footnote w:id="11">
    <w:p w14:paraId="77D89C09" w14:textId="1D7BCB23" w:rsidR="006D4617" w:rsidRPr="009E4D56" w:rsidRDefault="006D4617" w:rsidP="009E4D56">
      <w:pPr>
        <w:pStyle w:val="FootnoteText"/>
        <w:jc w:val="both"/>
        <w:rPr>
          <w:rFonts w:ascii="Verdana" w:hAnsi="Verdana"/>
          <w:sz w:val="16"/>
          <w:szCs w:val="16"/>
          <w:lang w:val="es-CR"/>
        </w:rPr>
      </w:pPr>
      <w:r w:rsidRPr="009E4D56">
        <w:rPr>
          <w:rStyle w:val="FootnoteReference"/>
          <w:rFonts w:ascii="Verdana" w:hAnsi="Verdana"/>
          <w:sz w:val="16"/>
          <w:szCs w:val="16"/>
        </w:rPr>
        <w:footnoteRef/>
      </w:r>
      <w:r w:rsidRPr="009E4D56">
        <w:rPr>
          <w:rFonts w:ascii="Verdana" w:hAnsi="Verdana"/>
          <w:sz w:val="16"/>
          <w:szCs w:val="16"/>
          <w:lang w:val="es-CR"/>
        </w:rPr>
        <w:t xml:space="preserve"> </w:t>
      </w:r>
      <w:r w:rsidR="00A06633" w:rsidRPr="009E4D56">
        <w:rPr>
          <w:rFonts w:ascii="Verdana" w:hAnsi="Verdana"/>
          <w:sz w:val="16"/>
          <w:szCs w:val="16"/>
          <w:lang w:val="es-CR"/>
        </w:rPr>
        <w:tab/>
      </w:r>
      <w:r w:rsidRPr="009E4D56">
        <w:rPr>
          <w:rFonts w:ascii="Verdana" w:hAnsi="Verdana"/>
          <w:i/>
          <w:sz w:val="16"/>
          <w:szCs w:val="16"/>
          <w:lang w:val="es-CR"/>
        </w:rPr>
        <w:t>Cfr.</w:t>
      </w:r>
      <w:r w:rsidRPr="009E4D56">
        <w:rPr>
          <w:rFonts w:ascii="Verdana" w:hAnsi="Verdana"/>
          <w:sz w:val="16"/>
          <w:szCs w:val="16"/>
          <w:lang w:val="es-CR"/>
        </w:rPr>
        <w:t xml:space="preserve"> </w:t>
      </w:r>
      <w:r w:rsidRPr="009E4D56">
        <w:rPr>
          <w:rFonts w:ascii="Verdana" w:hAnsi="Verdana"/>
          <w:i/>
          <w:sz w:val="16"/>
          <w:szCs w:val="16"/>
          <w:lang w:val="es-CR"/>
        </w:rPr>
        <w:t>Asunto Luisiana Ríos y otros. Medidas provisionales respecto de Venezuela.</w:t>
      </w:r>
      <w:r w:rsidRPr="009E4D56">
        <w:rPr>
          <w:rFonts w:ascii="Verdana" w:hAnsi="Verdana"/>
          <w:sz w:val="16"/>
          <w:szCs w:val="16"/>
          <w:lang w:val="es-CR"/>
        </w:rPr>
        <w:t xml:space="preserve"> Resolución de la Corte Interamericana de Derechos </w:t>
      </w:r>
      <w:r w:rsidR="00A06633" w:rsidRPr="009E4D56">
        <w:rPr>
          <w:rFonts w:ascii="Verdana" w:hAnsi="Verdana"/>
          <w:sz w:val="16"/>
          <w:szCs w:val="16"/>
          <w:lang w:val="es-CR"/>
        </w:rPr>
        <w:t>Humanos de 3 de julio de 2007, c</w:t>
      </w:r>
      <w:r w:rsidRPr="009E4D56">
        <w:rPr>
          <w:rFonts w:ascii="Verdana" w:hAnsi="Verdana"/>
          <w:sz w:val="16"/>
          <w:szCs w:val="16"/>
          <w:lang w:val="es-CR"/>
        </w:rPr>
        <w:t>onsiderando</w:t>
      </w:r>
      <w:r w:rsidR="00373BFC" w:rsidRPr="009E4D56">
        <w:rPr>
          <w:rFonts w:ascii="Verdana" w:hAnsi="Verdana"/>
          <w:sz w:val="16"/>
          <w:szCs w:val="16"/>
          <w:lang w:val="es-CR"/>
        </w:rPr>
        <w:t xml:space="preserve"> 8</w:t>
      </w:r>
      <w:r w:rsidR="009E4D56">
        <w:rPr>
          <w:rFonts w:ascii="Verdana" w:hAnsi="Verdana"/>
          <w:sz w:val="16"/>
          <w:szCs w:val="16"/>
          <w:lang w:val="es-CR"/>
        </w:rPr>
        <w:t>, y</w:t>
      </w:r>
      <w:r w:rsidR="00373BFC" w:rsidRPr="009E4D56">
        <w:rPr>
          <w:rFonts w:ascii="Verdana" w:hAnsi="Verdana"/>
          <w:sz w:val="16"/>
          <w:szCs w:val="16"/>
          <w:lang w:val="es-CR"/>
        </w:rPr>
        <w:t xml:space="preserve"> </w:t>
      </w:r>
      <w:r w:rsidR="00A06633" w:rsidRPr="009E4D56">
        <w:rPr>
          <w:rFonts w:ascii="Verdana" w:hAnsi="Verdana"/>
          <w:i/>
          <w:sz w:val="16"/>
          <w:szCs w:val="16"/>
          <w:lang w:val="es-CR"/>
        </w:rPr>
        <w:t>Asunto Luisiana Ríos y otros</w:t>
      </w:r>
      <w:r w:rsidR="00373BFC" w:rsidRPr="009E4D56">
        <w:rPr>
          <w:rFonts w:ascii="Verdana" w:hAnsi="Verdana"/>
          <w:i/>
          <w:sz w:val="16"/>
          <w:szCs w:val="16"/>
          <w:lang w:val="es-CR"/>
        </w:rPr>
        <w:t>. Medidas provisionales respecto de Venezuela.</w:t>
      </w:r>
      <w:r w:rsidR="00373BFC" w:rsidRPr="009E4D56">
        <w:rPr>
          <w:rFonts w:ascii="Verdana" w:hAnsi="Verdana"/>
          <w:sz w:val="16"/>
          <w:szCs w:val="16"/>
          <w:lang w:val="es-CR"/>
        </w:rPr>
        <w:t xml:space="preserve"> Resolución de la Corte Interamericana de Derechos Humanos de </w:t>
      </w:r>
      <w:r w:rsidR="00A06633" w:rsidRPr="009E4D56">
        <w:rPr>
          <w:rFonts w:ascii="Verdana" w:hAnsi="Verdana"/>
          <w:sz w:val="16"/>
          <w:szCs w:val="16"/>
          <w:lang w:val="es-CR"/>
        </w:rPr>
        <w:t>14 de junio de 2007, c</w:t>
      </w:r>
      <w:r w:rsidR="00373BFC" w:rsidRPr="009E4D56">
        <w:rPr>
          <w:rFonts w:ascii="Verdana" w:hAnsi="Verdana"/>
          <w:sz w:val="16"/>
          <w:szCs w:val="16"/>
          <w:lang w:val="es-CR"/>
        </w:rPr>
        <w:t>onsiderando 8.</w:t>
      </w:r>
    </w:p>
  </w:footnote>
  <w:footnote w:id="12">
    <w:p w14:paraId="565359A0" w14:textId="52327F47" w:rsidR="00D06215" w:rsidRPr="009E4D56" w:rsidRDefault="00D06215" w:rsidP="009E4D56">
      <w:pPr>
        <w:pStyle w:val="FootnoteText"/>
        <w:spacing w:before="120" w:after="120"/>
        <w:jc w:val="both"/>
        <w:rPr>
          <w:rFonts w:ascii="Verdana" w:hAnsi="Verdana"/>
          <w:sz w:val="16"/>
          <w:szCs w:val="16"/>
          <w:lang w:val="es-CR"/>
        </w:rPr>
      </w:pPr>
      <w:r w:rsidRPr="009E4D56">
        <w:rPr>
          <w:rStyle w:val="FootnoteReference"/>
          <w:rFonts w:ascii="Verdana" w:hAnsi="Verdana"/>
          <w:sz w:val="16"/>
          <w:szCs w:val="16"/>
        </w:rPr>
        <w:footnoteRef/>
      </w:r>
      <w:r w:rsidRPr="009E4D56">
        <w:rPr>
          <w:rFonts w:ascii="Verdana" w:hAnsi="Verdana"/>
          <w:sz w:val="16"/>
          <w:szCs w:val="16"/>
          <w:lang w:val="es-CR"/>
        </w:rPr>
        <w:t xml:space="preserve"> </w:t>
      </w:r>
      <w:r w:rsidR="00A06633" w:rsidRPr="009E4D56">
        <w:rPr>
          <w:rFonts w:ascii="Verdana" w:hAnsi="Verdana"/>
          <w:sz w:val="16"/>
          <w:szCs w:val="16"/>
          <w:lang w:val="es-CR"/>
        </w:rPr>
        <w:tab/>
      </w:r>
      <w:r w:rsidRPr="009E4D56">
        <w:rPr>
          <w:rFonts w:ascii="Verdana" w:hAnsi="Verdana"/>
          <w:i/>
          <w:sz w:val="16"/>
          <w:szCs w:val="16"/>
          <w:lang w:val="es-CR"/>
        </w:rPr>
        <w:t xml:space="preserve">Cfr. </w:t>
      </w:r>
      <w:r w:rsidR="00A06633" w:rsidRPr="009E4D56">
        <w:rPr>
          <w:rFonts w:ascii="Verdana" w:hAnsi="Verdana"/>
          <w:i/>
          <w:sz w:val="16"/>
          <w:szCs w:val="16"/>
          <w:lang w:val="es-CR"/>
        </w:rPr>
        <w:t xml:space="preserve">Caso </w:t>
      </w:r>
      <w:r w:rsidRPr="009E4D56">
        <w:rPr>
          <w:rFonts w:ascii="Verdana" w:hAnsi="Verdana"/>
          <w:i/>
          <w:sz w:val="16"/>
          <w:szCs w:val="16"/>
          <w:lang w:val="es-CR"/>
        </w:rPr>
        <w:t>de los niños y adolescentes privados de libertad en el "Complexo do Tatuapé” da FEBEM. Medidas Provisionales</w:t>
      </w:r>
      <w:r w:rsidR="00A06633" w:rsidRPr="009E4D56">
        <w:rPr>
          <w:rFonts w:ascii="Verdana" w:hAnsi="Verdana"/>
          <w:i/>
          <w:sz w:val="16"/>
          <w:szCs w:val="16"/>
          <w:lang w:val="es-CR"/>
        </w:rPr>
        <w:t xml:space="preserve"> respecto de Brasil</w:t>
      </w:r>
      <w:r w:rsidRPr="009E4D56">
        <w:rPr>
          <w:rFonts w:ascii="Verdana" w:hAnsi="Verdana"/>
          <w:i/>
          <w:sz w:val="16"/>
          <w:szCs w:val="16"/>
          <w:lang w:val="es-CR"/>
        </w:rPr>
        <w:t xml:space="preserve">. </w:t>
      </w:r>
      <w:r w:rsidRPr="009E4D56">
        <w:rPr>
          <w:rFonts w:ascii="Verdana" w:hAnsi="Verdana"/>
          <w:sz w:val="16"/>
          <w:szCs w:val="16"/>
          <w:lang w:val="es-CR"/>
        </w:rPr>
        <w:t xml:space="preserve">Resolución de la Corte Interamericana de Derechos Humanos de 4 de julio de 2006, </w:t>
      </w:r>
      <w:r w:rsidR="00A06633" w:rsidRPr="009E4D56">
        <w:rPr>
          <w:rFonts w:ascii="Verdana" w:hAnsi="Verdana"/>
          <w:sz w:val="16"/>
          <w:szCs w:val="16"/>
          <w:lang w:val="es-CR"/>
        </w:rPr>
        <w:t>c</w:t>
      </w:r>
      <w:r w:rsidRPr="009E4D56">
        <w:rPr>
          <w:rFonts w:ascii="Verdana" w:hAnsi="Verdana"/>
          <w:sz w:val="16"/>
          <w:szCs w:val="16"/>
          <w:lang w:val="es-CR"/>
        </w:rPr>
        <w:t>onsiderando 23</w:t>
      </w:r>
      <w:r w:rsidR="00E0206D">
        <w:rPr>
          <w:rFonts w:ascii="Verdana" w:hAnsi="Verdana"/>
          <w:sz w:val="16"/>
          <w:szCs w:val="16"/>
          <w:lang w:val="es-CR"/>
        </w:rPr>
        <w:t>, y</w:t>
      </w:r>
      <w:r w:rsidRPr="009E4D56">
        <w:rPr>
          <w:rFonts w:ascii="Verdana" w:hAnsi="Verdana"/>
          <w:sz w:val="16"/>
          <w:szCs w:val="16"/>
          <w:lang w:val="es-CR"/>
        </w:rPr>
        <w:t xml:space="preserve"> </w:t>
      </w:r>
      <w:r w:rsidR="00A06633" w:rsidRPr="009E4D56">
        <w:rPr>
          <w:rFonts w:ascii="Verdana" w:hAnsi="Verdana"/>
          <w:i/>
          <w:sz w:val="16"/>
          <w:szCs w:val="16"/>
          <w:lang w:val="es-CR"/>
        </w:rPr>
        <w:t>Asunto Alvarado Reyes y otros. Medidas Provisionales respecto de México.</w:t>
      </w:r>
      <w:r w:rsidR="00A06633" w:rsidRPr="009E4D56">
        <w:rPr>
          <w:rFonts w:ascii="Verdana" w:hAnsi="Verdana"/>
          <w:sz w:val="16"/>
          <w:szCs w:val="16"/>
          <w:lang w:val="es-CR"/>
        </w:rPr>
        <w:t xml:space="preserve"> Resolución de la Corte Interamericana de Derechos Humanos de 14 de marzo de 2018, considerando 18.</w:t>
      </w:r>
    </w:p>
  </w:footnote>
  <w:footnote w:id="13">
    <w:p w14:paraId="33D89663" w14:textId="21DE15B3" w:rsidR="009661C4" w:rsidRPr="009E4D56" w:rsidRDefault="009661C4" w:rsidP="009E4D56">
      <w:pPr>
        <w:pStyle w:val="FootnoteText"/>
        <w:tabs>
          <w:tab w:val="left" w:pos="567"/>
        </w:tabs>
        <w:spacing w:before="120" w:after="120"/>
        <w:jc w:val="both"/>
        <w:rPr>
          <w:rFonts w:ascii="Verdana" w:hAnsi="Verdana"/>
          <w:i/>
          <w:spacing w:val="-4"/>
          <w:sz w:val="16"/>
          <w:szCs w:val="16"/>
          <w:lang w:val="es-ES"/>
        </w:rPr>
      </w:pPr>
      <w:r w:rsidRPr="009E4D56">
        <w:rPr>
          <w:rStyle w:val="FootnoteReference"/>
          <w:rFonts w:ascii="Verdana" w:hAnsi="Verdana"/>
          <w:spacing w:val="-4"/>
          <w:sz w:val="16"/>
          <w:szCs w:val="16"/>
        </w:rPr>
        <w:footnoteRef/>
      </w:r>
      <w:r w:rsidRPr="009E4D56">
        <w:rPr>
          <w:rFonts w:ascii="Verdana" w:hAnsi="Verdana"/>
          <w:spacing w:val="-4"/>
          <w:sz w:val="16"/>
          <w:szCs w:val="16"/>
          <w:lang w:val="es-ES"/>
        </w:rPr>
        <w:tab/>
      </w:r>
      <w:r w:rsidRPr="009E4D56">
        <w:rPr>
          <w:rFonts w:ascii="Verdana" w:hAnsi="Verdana"/>
          <w:i/>
          <w:spacing w:val="-4"/>
          <w:sz w:val="16"/>
          <w:szCs w:val="16"/>
          <w:lang w:val="es-ES"/>
        </w:rPr>
        <w:t>Cfr.</w:t>
      </w:r>
      <w:r w:rsidR="006C101F" w:rsidRPr="009E4D56">
        <w:rPr>
          <w:rFonts w:ascii="Verdana" w:hAnsi="Verdana"/>
          <w:i/>
          <w:spacing w:val="-4"/>
          <w:sz w:val="16"/>
          <w:szCs w:val="16"/>
          <w:lang w:val="es-ES"/>
        </w:rPr>
        <w:t xml:space="preserve"> </w:t>
      </w:r>
      <w:r w:rsidR="006C101F" w:rsidRPr="009E4D56">
        <w:rPr>
          <w:rFonts w:ascii="Verdana" w:hAnsi="Verdana"/>
          <w:i/>
          <w:spacing w:val="-4"/>
          <w:sz w:val="16"/>
          <w:szCs w:val="16"/>
          <w:lang w:val="es-MX"/>
        </w:rPr>
        <w:t>Caso Carpio Nicolle. Medidas Provisionales respecto de Guatemala</w:t>
      </w:r>
      <w:r w:rsidR="006C101F" w:rsidRPr="009E4D56">
        <w:rPr>
          <w:rFonts w:ascii="Verdana" w:hAnsi="Verdana"/>
          <w:spacing w:val="-4"/>
          <w:sz w:val="16"/>
          <w:szCs w:val="16"/>
          <w:lang w:val="es-MX"/>
        </w:rPr>
        <w:t xml:space="preserve">, considerando 24; </w:t>
      </w:r>
      <w:r w:rsidRPr="009E4D56">
        <w:rPr>
          <w:rFonts w:ascii="Verdana" w:hAnsi="Verdana" w:cs="Arial"/>
          <w:bCs/>
          <w:i/>
          <w:spacing w:val="-4"/>
          <w:sz w:val="16"/>
          <w:szCs w:val="16"/>
          <w:lang w:val="es-CR"/>
        </w:rPr>
        <w:t>Asunto Meléndez Quijano y otros</w:t>
      </w:r>
      <w:r w:rsidRPr="009E4D56">
        <w:rPr>
          <w:rFonts w:ascii="Verdana" w:hAnsi="Verdana" w:cs="Arial"/>
          <w:sz w:val="16"/>
          <w:szCs w:val="16"/>
          <w:lang w:val="es-ES"/>
        </w:rPr>
        <w:t xml:space="preserve">. Medidas provisionales respecto </w:t>
      </w:r>
      <w:r w:rsidRPr="009E4D56">
        <w:rPr>
          <w:rFonts w:ascii="Verdana" w:hAnsi="Verdana" w:cs="Arial"/>
          <w:bCs/>
          <w:i/>
          <w:spacing w:val="-4"/>
          <w:sz w:val="16"/>
          <w:szCs w:val="16"/>
          <w:lang w:val="es-CR"/>
        </w:rPr>
        <w:t xml:space="preserve">de El Salvador. </w:t>
      </w:r>
      <w:r w:rsidRPr="009E4D56">
        <w:rPr>
          <w:rFonts w:ascii="Verdana" w:hAnsi="Verdana" w:cs="Arial"/>
          <w:bCs/>
          <w:spacing w:val="-4"/>
          <w:sz w:val="16"/>
          <w:szCs w:val="16"/>
          <w:lang w:val="es-CR"/>
        </w:rPr>
        <w:t>Resolución de la Corte</w:t>
      </w:r>
      <w:r w:rsidR="006C101F" w:rsidRPr="009E4D56">
        <w:rPr>
          <w:rFonts w:ascii="Verdana" w:hAnsi="Verdana" w:cs="Arial"/>
          <w:bCs/>
          <w:spacing w:val="-4"/>
          <w:sz w:val="16"/>
          <w:szCs w:val="16"/>
          <w:lang w:val="es-CR"/>
        </w:rPr>
        <w:t xml:space="preserve"> Interamericana de Derechos Humanos</w:t>
      </w:r>
      <w:r w:rsidRPr="009E4D56">
        <w:rPr>
          <w:rFonts w:ascii="Verdana" w:hAnsi="Verdana" w:cs="Arial"/>
          <w:bCs/>
          <w:spacing w:val="-4"/>
          <w:sz w:val="16"/>
          <w:szCs w:val="16"/>
          <w:lang w:val="es-CR"/>
        </w:rPr>
        <w:t xml:space="preserve"> de 17 de</w:t>
      </w:r>
      <w:r w:rsidR="006C101F" w:rsidRPr="009E4D56">
        <w:rPr>
          <w:rFonts w:ascii="Verdana" w:hAnsi="Verdana" w:cs="Arial"/>
          <w:bCs/>
          <w:spacing w:val="-4"/>
          <w:sz w:val="16"/>
          <w:szCs w:val="16"/>
          <w:lang w:val="es-CR"/>
        </w:rPr>
        <w:t xml:space="preserve"> abril de 2015, considerando 24</w:t>
      </w:r>
      <w:r w:rsidR="00E0206D">
        <w:rPr>
          <w:rFonts w:ascii="Verdana" w:hAnsi="Verdana" w:cs="Arial"/>
          <w:bCs/>
          <w:spacing w:val="-4"/>
          <w:sz w:val="16"/>
          <w:szCs w:val="16"/>
          <w:lang w:val="es-CR"/>
        </w:rPr>
        <w:t>, y</w:t>
      </w:r>
      <w:r w:rsidR="006C101F" w:rsidRPr="009E4D56">
        <w:rPr>
          <w:rFonts w:ascii="Verdana" w:hAnsi="Verdana" w:cs="Arial"/>
          <w:bCs/>
          <w:spacing w:val="-4"/>
          <w:sz w:val="16"/>
          <w:szCs w:val="16"/>
          <w:lang w:val="es-CR"/>
        </w:rPr>
        <w:t xml:space="preserve"> </w:t>
      </w:r>
      <w:r w:rsidR="006C101F" w:rsidRPr="009E4D56">
        <w:rPr>
          <w:rFonts w:ascii="Verdana" w:hAnsi="Verdana" w:cs="Arial"/>
          <w:bCs/>
          <w:i/>
          <w:spacing w:val="-4"/>
          <w:sz w:val="16"/>
          <w:szCs w:val="16"/>
          <w:lang w:val="es-CR"/>
        </w:rPr>
        <w:t>Caso Rosendo Cantú y otra. Medidas Provisionales respecto de México.</w:t>
      </w:r>
      <w:r w:rsidR="006C101F" w:rsidRPr="009E4D56">
        <w:rPr>
          <w:rFonts w:ascii="Verdana" w:hAnsi="Verdana" w:cs="Arial"/>
          <w:bCs/>
          <w:spacing w:val="-4"/>
          <w:sz w:val="16"/>
          <w:szCs w:val="16"/>
          <w:lang w:val="es-CR"/>
        </w:rPr>
        <w:t xml:space="preserve"> Resolución de la Corte Interamericana de Derechos Humanos de 23 de febrero de 2016, considerando 21.</w:t>
      </w:r>
    </w:p>
  </w:footnote>
  <w:footnote w:id="14">
    <w:p w14:paraId="2B47221C" w14:textId="554E09EE" w:rsidR="00182C7E" w:rsidRPr="009E4D56" w:rsidRDefault="00182C7E" w:rsidP="009E4D56">
      <w:pPr>
        <w:tabs>
          <w:tab w:val="left" w:pos="567"/>
        </w:tabs>
        <w:spacing w:before="120" w:after="120" w:line="240" w:lineRule="auto"/>
        <w:jc w:val="both"/>
        <w:rPr>
          <w:rFonts w:ascii="Verdana" w:hAnsi="Verdana"/>
          <w:bCs/>
          <w:spacing w:val="-4"/>
          <w:sz w:val="16"/>
          <w:szCs w:val="16"/>
          <w:lang w:val="es-CR"/>
        </w:rPr>
      </w:pPr>
      <w:r w:rsidRPr="009E4D56">
        <w:rPr>
          <w:rStyle w:val="FootnoteReference"/>
          <w:rFonts w:ascii="Verdana" w:eastAsia="Times" w:hAnsi="Verdana"/>
          <w:spacing w:val="-4"/>
          <w:sz w:val="16"/>
          <w:szCs w:val="16"/>
        </w:rPr>
        <w:footnoteRef/>
      </w:r>
      <w:r w:rsidRPr="009E4D56">
        <w:rPr>
          <w:rFonts w:ascii="Verdana" w:hAnsi="Verdana"/>
          <w:spacing w:val="-4"/>
          <w:sz w:val="16"/>
          <w:szCs w:val="16"/>
          <w:lang w:val="es-CR"/>
        </w:rPr>
        <w:t xml:space="preserve"> </w:t>
      </w:r>
      <w:r w:rsidRPr="009E4D56">
        <w:rPr>
          <w:rFonts w:ascii="Verdana" w:hAnsi="Verdana"/>
          <w:spacing w:val="-4"/>
          <w:sz w:val="16"/>
          <w:szCs w:val="16"/>
          <w:lang w:val="es-CR"/>
        </w:rPr>
        <w:tab/>
      </w:r>
      <w:r w:rsidRPr="009E4D56">
        <w:rPr>
          <w:rFonts w:ascii="Verdana" w:hAnsi="Verdana"/>
          <w:i/>
          <w:spacing w:val="-4"/>
          <w:sz w:val="16"/>
          <w:szCs w:val="16"/>
          <w:lang w:val="es-CR"/>
        </w:rPr>
        <w:t>Cfr. Asunto Carlos Nieto</w:t>
      </w:r>
      <w:r w:rsidR="000B0CF7" w:rsidRPr="009E4D56">
        <w:rPr>
          <w:rFonts w:ascii="Verdana" w:hAnsi="Verdana"/>
          <w:i/>
          <w:spacing w:val="-4"/>
          <w:sz w:val="16"/>
          <w:szCs w:val="16"/>
          <w:lang w:val="es-CR"/>
        </w:rPr>
        <w:t xml:space="preserve"> Palma y otro</w:t>
      </w:r>
      <w:r w:rsidRPr="009E4D56">
        <w:rPr>
          <w:rFonts w:ascii="Verdana" w:hAnsi="Verdana"/>
          <w:spacing w:val="-4"/>
          <w:sz w:val="16"/>
          <w:szCs w:val="16"/>
          <w:lang w:val="es-CR"/>
        </w:rPr>
        <w:t>. Medidas Provisionales respecto de Venezuela. Resolución de la Corte</w:t>
      </w:r>
      <w:r w:rsidR="000B0CF7" w:rsidRPr="009E4D56">
        <w:rPr>
          <w:rFonts w:ascii="Verdana" w:hAnsi="Verdana"/>
          <w:spacing w:val="-4"/>
          <w:sz w:val="16"/>
          <w:szCs w:val="16"/>
          <w:lang w:val="es-CR"/>
        </w:rPr>
        <w:t xml:space="preserve"> Interamericana de Derechos Humanos de 26 de enero de 2009, c</w:t>
      </w:r>
      <w:r w:rsidRPr="009E4D56">
        <w:rPr>
          <w:rFonts w:ascii="Verdana" w:hAnsi="Verdana"/>
          <w:spacing w:val="-4"/>
          <w:sz w:val="16"/>
          <w:szCs w:val="16"/>
          <w:lang w:val="es-CR"/>
        </w:rPr>
        <w:t>onsiderando 19</w:t>
      </w:r>
      <w:r w:rsidR="00E0206D">
        <w:rPr>
          <w:rFonts w:ascii="Verdana" w:hAnsi="Verdana"/>
          <w:bCs/>
          <w:spacing w:val="-4"/>
          <w:sz w:val="16"/>
          <w:szCs w:val="16"/>
          <w:lang w:val="es-CR"/>
        </w:rPr>
        <w:t>, y</w:t>
      </w:r>
      <w:r w:rsidR="000B0CF7" w:rsidRPr="009E4D56">
        <w:rPr>
          <w:rFonts w:ascii="Verdana" w:hAnsi="Verdana"/>
          <w:bCs/>
          <w:spacing w:val="-4"/>
          <w:sz w:val="16"/>
          <w:szCs w:val="16"/>
          <w:lang w:val="es-CR"/>
        </w:rPr>
        <w:t xml:space="preserve"> </w:t>
      </w:r>
      <w:r w:rsidR="000B0CF7" w:rsidRPr="009E4D56">
        <w:rPr>
          <w:rFonts w:ascii="Verdana" w:hAnsi="Verdana" w:cs="Arial"/>
          <w:bCs/>
          <w:i/>
          <w:spacing w:val="-4"/>
          <w:sz w:val="16"/>
          <w:szCs w:val="16"/>
          <w:lang w:val="es-CR"/>
        </w:rPr>
        <w:t>Caso Rosendo Cantú y otra. Medidas Provisionales respecto de México</w:t>
      </w:r>
      <w:r w:rsidR="000B0CF7" w:rsidRPr="009E4D56">
        <w:rPr>
          <w:rFonts w:ascii="Verdana" w:hAnsi="Verdana" w:cs="Arial"/>
          <w:bCs/>
          <w:spacing w:val="-4"/>
          <w:sz w:val="16"/>
          <w:szCs w:val="16"/>
          <w:lang w:val="es-CR"/>
        </w:rPr>
        <w:t>, considerando 20.</w:t>
      </w:r>
    </w:p>
  </w:footnote>
  <w:footnote w:id="15">
    <w:p w14:paraId="20F18303" w14:textId="45467D49" w:rsidR="00C22E46" w:rsidRPr="009E4D56" w:rsidRDefault="00C22E46" w:rsidP="009E4D56">
      <w:pPr>
        <w:pStyle w:val="FootnoteText"/>
        <w:spacing w:before="120" w:after="120"/>
        <w:jc w:val="both"/>
        <w:rPr>
          <w:rFonts w:ascii="Verdana" w:hAnsi="Verdana"/>
          <w:sz w:val="16"/>
          <w:szCs w:val="16"/>
          <w:lang w:val="es-CR"/>
        </w:rPr>
      </w:pPr>
      <w:r w:rsidRPr="009E4D56">
        <w:rPr>
          <w:rStyle w:val="FootnoteReference"/>
          <w:rFonts w:ascii="Verdana" w:hAnsi="Verdana"/>
          <w:sz w:val="16"/>
          <w:szCs w:val="16"/>
        </w:rPr>
        <w:footnoteRef/>
      </w:r>
      <w:r w:rsidRPr="009E4D56">
        <w:rPr>
          <w:rFonts w:ascii="Verdana" w:hAnsi="Verdana"/>
          <w:sz w:val="16"/>
          <w:szCs w:val="16"/>
          <w:lang w:val="es-CR"/>
        </w:rPr>
        <w:t xml:space="preserve"> </w:t>
      </w:r>
      <w:r w:rsidR="00A34338" w:rsidRPr="009E4D56">
        <w:rPr>
          <w:rFonts w:ascii="Verdana" w:hAnsi="Verdana"/>
          <w:sz w:val="16"/>
          <w:szCs w:val="16"/>
          <w:lang w:val="es-CR"/>
        </w:rPr>
        <w:tab/>
      </w:r>
      <w:r w:rsidRPr="009E4D56">
        <w:rPr>
          <w:rFonts w:ascii="Verdana" w:hAnsi="Verdana"/>
          <w:i/>
          <w:sz w:val="16"/>
          <w:szCs w:val="16"/>
          <w:lang w:val="es-CR"/>
        </w:rPr>
        <w:t xml:space="preserve">Cfr. </w:t>
      </w:r>
      <w:r w:rsidR="00EF4B57" w:rsidRPr="009E4D56">
        <w:rPr>
          <w:rFonts w:ascii="Verdana" w:hAnsi="Verdana"/>
          <w:i/>
          <w:sz w:val="16"/>
          <w:szCs w:val="16"/>
          <w:lang w:val="es-ES"/>
        </w:rPr>
        <w:t>Caso Velásquez Rodríguez.</w:t>
      </w:r>
      <w:r w:rsidR="00EF4B57" w:rsidRPr="009E4D56">
        <w:rPr>
          <w:rFonts w:ascii="Verdana" w:hAnsi="Verdana"/>
          <w:sz w:val="16"/>
          <w:szCs w:val="16"/>
          <w:lang w:val="es-ES"/>
        </w:rPr>
        <w:t xml:space="preserve"> Medidas </w:t>
      </w:r>
      <w:r w:rsidR="00EF4B57" w:rsidRPr="009E4D56">
        <w:rPr>
          <w:rFonts w:ascii="Verdana" w:hAnsi="Verdana"/>
          <w:bCs/>
          <w:sz w:val="16"/>
          <w:szCs w:val="16"/>
          <w:lang w:val="es-CR"/>
        </w:rPr>
        <w:t>Provisionales</w:t>
      </w:r>
      <w:r w:rsidR="00EF4B57" w:rsidRPr="009E4D56">
        <w:rPr>
          <w:rFonts w:ascii="Verdana" w:hAnsi="Verdana"/>
          <w:sz w:val="16"/>
          <w:szCs w:val="16"/>
          <w:lang w:val="es-ES"/>
        </w:rPr>
        <w:t xml:space="preserve"> respecto de Honduras. Resolución de la Corte de 15 de enero de 1988, considerando 3; </w:t>
      </w:r>
      <w:r w:rsidR="00EF4B57" w:rsidRPr="00E0206D">
        <w:rPr>
          <w:rFonts w:ascii="Verdana" w:hAnsi="Verdana"/>
          <w:i/>
          <w:sz w:val="16"/>
          <w:szCs w:val="16"/>
          <w:lang w:val="es-ES"/>
        </w:rPr>
        <w:t>Caso Bámaca Velásquez</w:t>
      </w:r>
      <w:r w:rsidR="00EF4B57" w:rsidRPr="009E4D56">
        <w:rPr>
          <w:rFonts w:ascii="Verdana" w:hAnsi="Verdana"/>
          <w:sz w:val="16"/>
          <w:szCs w:val="16"/>
          <w:lang w:val="es-ES"/>
        </w:rPr>
        <w:t xml:space="preserve">. Medidas </w:t>
      </w:r>
      <w:r w:rsidR="00EF4B57" w:rsidRPr="009E4D56">
        <w:rPr>
          <w:rFonts w:ascii="Verdana" w:hAnsi="Verdana"/>
          <w:bCs/>
          <w:sz w:val="16"/>
          <w:szCs w:val="16"/>
          <w:lang w:val="es-CR"/>
        </w:rPr>
        <w:t>Provisionales</w:t>
      </w:r>
      <w:r w:rsidR="00EF4B57" w:rsidRPr="009E4D56">
        <w:rPr>
          <w:rFonts w:ascii="Verdana" w:hAnsi="Verdana"/>
          <w:sz w:val="16"/>
          <w:szCs w:val="16"/>
          <w:lang w:val="es-ES"/>
        </w:rPr>
        <w:t xml:space="preserve"> respecto de Guatemala. Resolución de la Corte de 31 de agosto de 2016, considerando 62</w:t>
      </w:r>
      <w:r w:rsidR="005D4A3F" w:rsidRPr="009E4D56">
        <w:rPr>
          <w:rFonts w:ascii="Verdana" w:hAnsi="Verdana"/>
          <w:sz w:val="16"/>
          <w:szCs w:val="16"/>
          <w:lang w:val="es-ES"/>
        </w:rPr>
        <w:t>, y</w:t>
      </w:r>
      <w:r w:rsidR="00EF4B57" w:rsidRPr="009E4D56">
        <w:rPr>
          <w:rFonts w:ascii="Verdana" w:hAnsi="Verdana"/>
          <w:sz w:val="16"/>
          <w:szCs w:val="16"/>
          <w:lang w:val="es-ES"/>
        </w:rPr>
        <w:t xml:space="preserve"> </w:t>
      </w:r>
      <w:r w:rsidR="00EF4B57" w:rsidRPr="009E4D56">
        <w:rPr>
          <w:rFonts w:ascii="Verdana" w:hAnsi="Verdana"/>
          <w:i/>
          <w:sz w:val="16"/>
          <w:szCs w:val="16"/>
          <w:lang w:val="es-CR"/>
        </w:rPr>
        <w:t xml:space="preserve">Asunto Marta Colomina. </w:t>
      </w:r>
      <w:r w:rsidR="00EF4B57" w:rsidRPr="009E4D56">
        <w:rPr>
          <w:rFonts w:ascii="Verdana" w:hAnsi="Verdana"/>
          <w:sz w:val="16"/>
          <w:szCs w:val="16"/>
          <w:lang w:val="es-ES"/>
        </w:rPr>
        <w:t xml:space="preserve">Medidas </w:t>
      </w:r>
      <w:r w:rsidR="00EF4B57" w:rsidRPr="009E4D56">
        <w:rPr>
          <w:rFonts w:ascii="Verdana" w:hAnsi="Verdana"/>
          <w:bCs/>
          <w:sz w:val="16"/>
          <w:szCs w:val="16"/>
          <w:lang w:val="es-CR"/>
        </w:rPr>
        <w:t>Provisionales</w:t>
      </w:r>
      <w:r w:rsidR="00EF4B57" w:rsidRPr="009E4D56">
        <w:rPr>
          <w:rFonts w:ascii="Verdana" w:hAnsi="Verdana"/>
          <w:sz w:val="16"/>
          <w:szCs w:val="16"/>
          <w:lang w:val="es-ES"/>
        </w:rPr>
        <w:t xml:space="preserve"> respecto de Venezuela. Resolución de la Corte de 19 de agosto de 2013, considerando 4</w:t>
      </w:r>
      <w:r w:rsidRPr="009E4D56">
        <w:rPr>
          <w:rFonts w:ascii="Verdana" w:hAnsi="Verdana"/>
          <w:bCs/>
          <w:sz w:val="16"/>
          <w:szCs w:val="16"/>
          <w:lang w:val="es-C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1C7"/>
    <w:multiLevelType w:val="hybridMultilevel"/>
    <w:tmpl w:val="929A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C35EC"/>
    <w:multiLevelType w:val="hybridMultilevel"/>
    <w:tmpl w:val="A8D46472"/>
    <w:lvl w:ilvl="0" w:tplc="0428B414">
      <w:start w:val="1"/>
      <w:numFmt w:val="decimal"/>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4C66DA"/>
    <w:multiLevelType w:val="hybridMultilevel"/>
    <w:tmpl w:val="B228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C15A8"/>
    <w:multiLevelType w:val="hybridMultilevel"/>
    <w:tmpl w:val="5B540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AD78AB"/>
    <w:multiLevelType w:val="hybridMultilevel"/>
    <w:tmpl w:val="00C4DF60"/>
    <w:lvl w:ilvl="0" w:tplc="B1604240">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FA7679"/>
    <w:multiLevelType w:val="hybridMultilevel"/>
    <w:tmpl w:val="CE90E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92FCC"/>
    <w:multiLevelType w:val="hybridMultilevel"/>
    <w:tmpl w:val="9C1432FA"/>
    <w:lvl w:ilvl="0" w:tplc="9D96FC8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16242E"/>
    <w:multiLevelType w:val="hybridMultilevel"/>
    <w:tmpl w:val="0E063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11C09"/>
    <w:multiLevelType w:val="hybridMultilevel"/>
    <w:tmpl w:val="D194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6225B2"/>
    <w:multiLevelType w:val="hybridMultilevel"/>
    <w:tmpl w:val="4AA4DB26"/>
    <w:lvl w:ilvl="0" w:tplc="D850167E">
      <w:start w:val="1"/>
      <w:numFmt w:val="decimal"/>
      <w:lvlText w:val="%1."/>
      <w:lvlJc w:val="left"/>
      <w:pPr>
        <w:tabs>
          <w:tab w:val="num" w:pos="2084"/>
        </w:tabs>
        <w:ind w:left="2084" w:hanging="360"/>
      </w:pPr>
      <w:rPr>
        <w:rFonts w:ascii="Verdana" w:hAnsi="Verdana"/>
        <w:b w:val="0"/>
        <w:i w:val="0"/>
        <w:color w:val="auto"/>
        <w:sz w:val="20"/>
        <w:szCs w:val="20"/>
        <w:lang w:val="es-CR"/>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0">
    <w:nsid w:val="6E923175"/>
    <w:multiLevelType w:val="hybridMultilevel"/>
    <w:tmpl w:val="A0B6FE7C"/>
    <w:lvl w:ilvl="0" w:tplc="D510687E">
      <w:start w:val="1"/>
      <w:numFmt w:val="decimal"/>
      <w:lvlText w:val="%1."/>
      <w:lvlJc w:val="left"/>
      <w:pPr>
        <w:ind w:left="1068" w:hanging="360"/>
      </w:pPr>
      <w:rPr>
        <w:rFonts w:ascii="Verdana" w:hAnsi="Verdana" w:hint="default"/>
        <w:b w:val="0"/>
        <w:sz w:val="20"/>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1">
    <w:nsid w:val="72C40F61"/>
    <w:multiLevelType w:val="hybridMultilevel"/>
    <w:tmpl w:val="377ABF76"/>
    <w:lvl w:ilvl="0" w:tplc="96863F82">
      <w:start w:val="1"/>
      <w:numFmt w:val="decimal"/>
      <w:lvlText w:val="%1."/>
      <w:lvlJc w:val="left"/>
      <w:pPr>
        <w:tabs>
          <w:tab w:val="num" w:pos="2084"/>
        </w:tabs>
        <w:ind w:left="2084" w:hanging="360"/>
      </w:pPr>
      <w:rPr>
        <w:rFonts w:ascii="Verdana" w:eastAsiaTheme="minorHAnsi" w:hAnsi="Verdana" w:cstheme="minorBidi"/>
        <w:b w:val="0"/>
        <w:i w:val="0"/>
        <w:color w:val="auto"/>
        <w:sz w:val="20"/>
        <w:szCs w:val="20"/>
        <w:lang w:val="es-CR"/>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num w:numId="1">
    <w:abstractNumId w:val="8"/>
  </w:num>
  <w:num w:numId="2">
    <w:abstractNumId w:val="3"/>
  </w:num>
  <w:num w:numId="3">
    <w:abstractNumId w:val="7"/>
  </w:num>
  <w:num w:numId="4">
    <w:abstractNumId w:val="5"/>
  </w:num>
  <w:num w:numId="5">
    <w:abstractNumId w:val="2"/>
  </w:num>
  <w:num w:numId="6">
    <w:abstractNumId w:val="10"/>
  </w:num>
  <w:num w:numId="7">
    <w:abstractNumId w:val="0"/>
  </w:num>
  <w:num w:numId="8">
    <w:abstractNumId w:val="9"/>
  </w:num>
  <w:num w:numId="9">
    <w:abstractNumId w:val="11"/>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C9"/>
    <w:rsid w:val="0000439C"/>
    <w:rsid w:val="000311D2"/>
    <w:rsid w:val="000517F0"/>
    <w:rsid w:val="00077C5B"/>
    <w:rsid w:val="000A16CF"/>
    <w:rsid w:val="000B0CF7"/>
    <w:rsid w:val="001010AA"/>
    <w:rsid w:val="0016711F"/>
    <w:rsid w:val="00167E37"/>
    <w:rsid w:val="00182C7E"/>
    <w:rsid w:val="001C0232"/>
    <w:rsid w:val="00200271"/>
    <w:rsid w:val="00217313"/>
    <w:rsid w:val="00231397"/>
    <w:rsid w:val="002A4229"/>
    <w:rsid w:val="002B010F"/>
    <w:rsid w:val="002D5A12"/>
    <w:rsid w:val="00302757"/>
    <w:rsid w:val="0036107D"/>
    <w:rsid w:val="00367125"/>
    <w:rsid w:val="00373BFC"/>
    <w:rsid w:val="003B1D38"/>
    <w:rsid w:val="003C455D"/>
    <w:rsid w:val="004105C9"/>
    <w:rsid w:val="00442E2D"/>
    <w:rsid w:val="00445CDD"/>
    <w:rsid w:val="00452C8B"/>
    <w:rsid w:val="00457EA3"/>
    <w:rsid w:val="00485283"/>
    <w:rsid w:val="004D49F4"/>
    <w:rsid w:val="004E49D9"/>
    <w:rsid w:val="004E5467"/>
    <w:rsid w:val="00540FDB"/>
    <w:rsid w:val="00563921"/>
    <w:rsid w:val="00564027"/>
    <w:rsid w:val="00565BE3"/>
    <w:rsid w:val="00565FE8"/>
    <w:rsid w:val="00592D65"/>
    <w:rsid w:val="005B5631"/>
    <w:rsid w:val="005D4A3F"/>
    <w:rsid w:val="005D61E2"/>
    <w:rsid w:val="005F0CCD"/>
    <w:rsid w:val="00612BCD"/>
    <w:rsid w:val="006B4303"/>
    <w:rsid w:val="006C101F"/>
    <w:rsid w:val="006D110A"/>
    <w:rsid w:val="006D4617"/>
    <w:rsid w:val="00712CA8"/>
    <w:rsid w:val="007156F9"/>
    <w:rsid w:val="0072761C"/>
    <w:rsid w:val="0076571E"/>
    <w:rsid w:val="007C3913"/>
    <w:rsid w:val="007C5B22"/>
    <w:rsid w:val="007F5A0A"/>
    <w:rsid w:val="008312D0"/>
    <w:rsid w:val="008671CA"/>
    <w:rsid w:val="008C3290"/>
    <w:rsid w:val="008C7A8B"/>
    <w:rsid w:val="008D08C7"/>
    <w:rsid w:val="008E0D81"/>
    <w:rsid w:val="008E1050"/>
    <w:rsid w:val="00934D55"/>
    <w:rsid w:val="00962F65"/>
    <w:rsid w:val="00964518"/>
    <w:rsid w:val="009661C4"/>
    <w:rsid w:val="0097059E"/>
    <w:rsid w:val="00984B2A"/>
    <w:rsid w:val="00985A5D"/>
    <w:rsid w:val="009A2DD1"/>
    <w:rsid w:val="009B4A16"/>
    <w:rsid w:val="009D01C1"/>
    <w:rsid w:val="009E4D56"/>
    <w:rsid w:val="009F30F8"/>
    <w:rsid w:val="00A06633"/>
    <w:rsid w:val="00A34338"/>
    <w:rsid w:val="00A41C2F"/>
    <w:rsid w:val="00A76111"/>
    <w:rsid w:val="00AA4F32"/>
    <w:rsid w:val="00AA6A90"/>
    <w:rsid w:val="00AB7096"/>
    <w:rsid w:val="00AF332A"/>
    <w:rsid w:val="00B71F52"/>
    <w:rsid w:val="00B8045D"/>
    <w:rsid w:val="00C0687A"/>
    <w:rsid w:val="00C22E46"/>
    <w:rsid w:val="00C46A3F"/>
    <w:rsid w:val="00C47AA2"/>
    <w:rsid w:val="00C73E01"/>
    <w:rsid w:val="00CF0076"/>
    <w:rsid w:val="00CF385B"/>
    <w:rsid w:val="00CF702F"/>
    <w:rsid w:val="00D06215"/>
    <w:rsid w:val="00D12427"/>
    <w:rsid w:val="00D5076B"/>
    <w:rsid w:val="00D80982"/>
    <w:rsid w:val="00DB3299"/>
    <w:rsid w:val="00DC3A22"/>
    <w:rsid w:val="00DF6364"/>
    <w:rsid w:val="00E0206D"/>
    <w:rsid w:val="00E2529E"/>
    <w:rsid w:val="00E36B3E"/>
    <w:rsid w:val="00E45686"/>
    <w:rsid w:val="00E46DA2"/>
    <w:rsid w:val="00EB457B"/>
    <w:rsid w:val="00ED4A6A"/>
    <w:rsid w:val="00EE229F"/>
    <w:rsid w:val="00EF4B57"/>
    <w:rsid w:val="00F176D6"/>
    <w:rsid w:val="00F43F91"/>
    <w:rsid w:val="00F72A98"/>
    <w:rsid w:val="00F87CB1"/>
    <w:rsid w:val="00F96015"/>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
    <w:basedOn w:val="Normal"/>
    <w:uiPriority w:val="34"/>
    <w:qFormat/>
    <w:rsid w:val="004105C9"/>
    <w:pPr>
      <w:ind w:left="720"/>
      <w:contextualSpacing/>
    </w:p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FootnoteTextChar"/>
    <w:unhideWhenUsed/>
    <w:qFormat/>
    <w:rsid w:val="00E36B3E"/>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rsid w:val="00E36B3E"/>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basedOn w:val="DefaultParagraphFont"/>
    <w:unhideWhenUsed/>
    <w:qFormat/>
    <w:rsid w:val="00E36B3E"/>
    <w:rPr>
      <w:vertAlign w:val="superscript"/>
    </w:rPr>
  </w:style>
  <w:style w:type="character" w:styleId="CommentReference">
    <w:name w:val="annotation reference"/>
    <w:basedOn w:val="DefaultParagraphFont"/>
    <w:uiPriority w:val="99"/>
    <w:semiHidden/>
    <w:unhideWhenUsed/>
    <w:rsid w:val="00962F65"/>
    <w:rPr>
      <w:sz w:val="16"/>
      <w:szCs w:val="16"/>
    </w:rPr>
  </w:style>
  <w:style w:type="paragraph" w:styleId="CommentText">
    <w:name w:val="annotation text"/>
    <w:basedOn w:val="Normal"/>
    <w:link w:val="CommentTextChar"/>
    <w:uiPriority w:val="99"/>
    <w:semiHidden/>
    <w:unhideWhenUsed/>
    <w:rsid w:val="00962F65"/>
    <w:pPr>
      <w:spacing w:line="240" w:lineRule="auto"/>
    </w:pPr>
    <w:rPr>
      <w:sz w:val="20"/>
      <w:szCs w:val="20"/>
    </w:rPr>
  </w:style>
  <w:style w:type="character" w:customStyle="1" w:styleId="CommentTextChar">
    <w:name w:val="Comment Text Char"/>
    <w:basedOn w:val="DefaultParagraphFont"/>
    <w:link w:val="CommentText"/>
    <w:uiPriority w:val="99"/>
    <w:semiHidden/>
    <w:rsid w:val="00962F65"/>
    <w:rPr>
      <w:sz w:val="20"/>
      <w:szCs w:val="20"/>
    </w:rPr>
  </w:style>
  <w:style w:type="paragraph" w:styleId="CommentSubject">
    <w:name w:val="annotation subject"/>
    <w:basedOn w:val="CommentText"/>
    <w:next w:val="CommentText"/>
    <w:link w:val="CommentSubjectChar"/>
    <w:uiPriority w:val="99"/>
    <w:semiHidden/>
    <w:unhideWhenUsed/>
    <w:rsid w:val="00962F65"/>
    <w:rPr>
      <w:b/>
      <w:bCs/>
    </w:rPr>
  </w:style>
  <w:style w:type="character" w:customStyle="1" w:styleId="CommentSubjectChar">
    <w:name w:val="Comment Subject Char"/>
    <w:basedOn w:val="CommentTextChar"/>
    <w:link w:val="CommentSubject"/>
    <w:uiPriority w:val="99"/>
    <w:semiHidden/>
    <w:rsid w:val="00962F65"/>
    <w:rPr>
      <w:b/>
      <w:bCs/>
      <w:sz w:val="20"/>
      <w:szCs w:val="20"/>
    </w:rPr>
  </w:style>
  <w:style w:type="paragraph" w:styleId="BalloonText">
    <w:name w:val="Balloon Text"/>
    <w:basedOn w:val="Normal"/>
    <w:link w:val="BalloonTextChar"/>
    <w:uiPriority w:val="99"/>
    <w:semiHidden/>
    <w:unhideWhenUsed/>
    <w:rsid w:val="00962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F65"/>
    <w:rPr>
      <w:rFonts w:ascii="Segoe UI" w:hAnsi="Segoe UI" w:cs="Segoe UI"/>
      <w:sz w:val="18"/>
      <w:szCs w:val="18"/>
    </w:rPr>
  </w:style>
  <w:style w:type="character" w:customStyle="1" w:styleId="TextonotapieCar1">
    <w:name w:val="Texto nota pie Car1"/>
    <w:aliases w:val="FA Fu Car1,Footnote Text Char Char Char Char Char Car,Footnote Text Char Char Char Char Car,Footnote reference Car,Footnote Text Char Char Char Car,Footnote Text Cha Car,FA Fußnotentext Car,FA Fuﬂnotentext Car,Texto nota pie Car Car"/>
    <w:uiPriority w:val="99"/>
    <w:rsid w:val="006B4303"/>
    <w:rPr>
      <w:lang w:val="es-ES_tradnl" w:eastAsia="en-US" w:bidi="ar-SA"/>
    </w:rPr>
  </w:style>
  <w:style w:type="character" w:styleId="Strong">
    <w:name w:val="Strong"/>
    <w:uiPriority w:val="22"/>
    <w:qFormat/>
    <w:rsid w:val="00AA6A90"/>
    <w:rPr>
      <w:b/>
      <w:bCs/>
    </w:rPr>
  </w:style>
  <w:style w:type="paragraph" w:styleId="Header">
    <w:name w:val="header"/>
    <w:basedOn w:val="Normal"/>
    <w:link w:val="HeaderChar"/>
    <w:uiPriority w:val="99"/>
    <w:unhideWhenUsed/>
    <w:rsid w:val="00CF702F"/>
    <w:pPr>
      <w:tabs>
        <w:tab w:val="center" w:pos="4252"/>
        <w:tab w:val="right" w:pos="8504"/>
      </w:tabs>
      <w:spacing w:after="0" w:line="240" w:lineRule="auto"/>
    </w:pPr>
  </w:style>
  <w:style w:type="character" w:customStyle="1" w:styleId="HeaderChar">
    <w:name w:val="Header Char"/>
    <w:basedOn w:val="DefaultParagraphFont"/>
    <w:link w:val="Header"/>
    <w:uiPriority w:val="99"/>
    <w:rsid w:val="00CF702F"/>
  </w:style>
  <w:style w:type="paragraph" w:styleId="Footer">
    <w:name w:val="footer"/>
    <w:basedOn w:val="Normal"/>
    <w:link w:val="FooterChar"/>
    <w:uiPriority w:val="99"/>
    <w:unhideWhenUsed/>
    <w:rsid w:val="00CF702F"/>
    <w:pPr>
      <w:tabs>
        <w:tab w:val="center" w:pos="4252"/>
        <w:tab w:val="right" w:pos="8504"/>
      </w:tabs>
      <w:spacing w:after="0" w:line="240" w:lineRule="auto"/>
    </w:pPr>
  </w:style>
  <w:style w:type="character" w:customStyle="1" w:styleId="FooterChar">
    <w:name w:val="Footer Char"/>
    <w:basedOn w:val="DefaultParagraphFont"/>
    <w:link w:val="Footer"/>
    <w:uiPriority w:val="99"/>
    <w:rsid w:val="00CF7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
    <w:basedOn w:val="Normal"/>
    <w:uiPriority w:val="34"/>
    <w:qFormat/>
    <w:rsid w:val="004105C9"/>
    <w:pPr>
      <w:ind w:left="720"/>
      <w:contextualSpacing/>
    </w:p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FootnoteTextChar"/>
    <w:unhideWhenUsed/>
    <w:qFormat/>
    <w:rsid w:val="00E36B3E"/>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rsid w:val="00E36B3E"/>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basedOn w:val="DefaultParagraphFont"/>
    <w:unhideWhenUsed/>
    <w:qFormat/>
    <w:rsid w:val="00E36B3E"/>
    <w:rPr>
      <w:vertAlign w:val="superscript"/>
    </w:rPr>
  </w:style>
  <w:style w:type="character" w:styleId="CommentReference">
    <w:name w:val="annotation reference"/>
    <w:basedOn w:val="DefaultParagraphFont"/>
    <w:uiPriority w:val="99"/>
    <w:semiHidden/>
    <w:unhideWhenUsed/>
    <w:rsid w:val="00962F65"/>
    <w:rPr>
      <w:sz w:val="16"/>
      <w:szCs w:val="16"/>
    </w:rPr>
  </w:style>
  <w:style w:type="paragraph" w:styleId="CommentText">
    <w:name w:val="annotation text"/>
    <w:basedOn w:val="Normal"/>
    <w:link w:val="CommentTextChar"/>
    <w:uiPriority w:val="99"/>
    <w:semiHidden/>
    <w:unhideWhenUsed/>
    <w:rsid w:val="00962F65"/>
    <w:pPr>
      <w:spacing w:line="240" w:lineRule="auto"/>
    </w:pPr>
    <w:rPr>
      <w:sz w:val="20"/>
      <w:szCs w:val="20"/>
    </w:rPr>
  </w:style>
  <w:style w:type="character" w:customStyle="1" w:styleId="CommentTextChar">
    <w:name w:val="Comment Text Char"/>
    <w:basedOn w:val="DefaultParagraphFont"/>
    <w:link w:val="CommentText"/>
    <w:uiPriority w:val="99"/>
    <w:semiHidden/>
    <w:rsid w:val="00962F65"/>
    <w:rPr>
      <w:sz w:val="20"/>
      <w:szCs w:val="20"/>
    </w:rPr>
  </w:style>
  <w:style w:type="paragraph" w:styleId="CommentSubject">
    <w:name w:val="annotation subject"/>
    <w:basedOn w:val="CommentText"/>
    <w:next w:val="CommentText"/>
    <w:link w:val="CommentSubjectChar"/>
    <w:uiPriority w:val="99"/>
    <w:semiHidden/>
    <w:unhideWhenUsed/>
    <w:rsid w:val="00962F65"/>
    <w:rPr>
      <w:b/>
      <w:bCs/>
    </w:rPr>
  </w:style>
  <w:style w:type="character" w:customStyle="1" w:styleId="CommentSubjectChar">
    <w:name w:val="Comment Subject Char"/>
    <w:basedOn w:val="CommentTextChar"/>
    <w:link w:val="CommentSubject"/>
    <w:uiPriority w:val="99"/>
    <w:semiHidden/>
    <w:rsid w:val="00962F65"/>
    <w:rPr>
      <w:b/>
      <w:bCs/>
      <w:sz w:val="20"/>
      <w:szCs w:val="20"/>
    </w:rPr>
  </w:style>
  <w:style w:type="paragraph" w:styleId="BalloonText">
    <w:name w:val="Balloon Text"/>
    <w:basedOn w:val="Normal"/>
    <w:link w:val="BalloonTextChar"/>
    <w:uiPriority w:val="99"/>
    <w:semiHidden/>
    <w:unhideWhenUsed/>
    <w:rsid w:val="00962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F65"/>
    <w:rPr>
      <w:rFonts w:ascii="Segoe UI" w:hAnsi="Segoe UI" w:cs="Segoe UI"/>
      <w:sz w:val="18"/>
      <w:szCs w:val="18"/>
    </w:rPr>
  </w:style>
  <w:style w:type="character" w:customStyle="1" w:styleId="TextonotapieCar1">
    <w:name w:val="Texto nota pie Car1"/>
    <w:aliases w:val="FA Fu Car1,Footnote Text Char Char Char Char Char Car,Footnote Text Char Char Char Char Car,Footnote reference Car,Footnote Text Char Char Char Car,Footnote Text Cha Car,FA Fußnotentext Car,FA Fuﬂnotentext Car,Texto nota pie Car Car"/>
    <w:uiPriority w:val="99"/>
    <w:rsid w:val="006B4303"/>
    <w:rPr>
      <w:lang w:val="es-ES_tradnl" w:eastAsia="en-US" w:bidi="ar-SA"/>
    </w:rPr>
  </w:style>
  <w:style w:type="character" w:styleId="Strong">
    <w:name w:val="Strong"/>
    <w:uiPriority w:val="22"/>
    <w:qFormat/>
    <w:rsid w:val="00AA6A90"/>
    <w:rPr>
      <w:b/>
      <w:bCs/>
    </w:rPr>
  </w:style>
  <w:style w:type="paragraph" w:styleId="Header">
    <w:name w:val="header"/>
    <w:basedOn w:val="Normal"/>
    <w:link w:val="HeaderChar"/>
    <w:uiPriority w:val="99"/>
    <w:unhideWhenUsed/>
    <w:rsid w:val="00CF702F"/>
    <w:pPr>
      <w:tabs>
        <w:tab w:val="center" w:pos="4252"/>
        <w:tab w:val="right" w:pos="8504"/>
      </w:tabs>
      <w:spacing w:after="0" w:line="240" w:lineRule="auto"/>
    </w:pPr>
  </w:style>
  <w:style w:type="character" w:customStyle="1" w:styleId="HeaderChar">
    <w:name w:val="Header Char"/>
    <w:basedOn w:val="DefaultParagraphFont"/>
    <w:link w:val="Header"/>
    <w:uiPriority w:val="99"/>
    <w:rsid w:val="00CF702F"/>
  </w:style>
  <w:style w:type="paragraph" w:styleId="Footer">
    <w:name w:val="footer"/>
    <w:basedOn w:val="Normal"/>
    <w:link w:val="FooterChar"/>
    <w:uiPriority w:val="99"/>
    <w:unhideWhenUsed/>
    <w:rsid w:val="00CF702F"/>
    <w:pPr>
      <w:tabs>
        <w:tab w:val="center" w:pos="4252"/>
        <w:tab w:val="right" w:pos="8504"/>
      </w:tabs>
      <w:spacing w:after="0" w:line="240" w:lineRule="auto"/>
    </w:pPr>
  </w:style>
  <w:style w:type="character" w:customStyle="1" w:styleId="FooterChar">
    <w:name w:val="Footer Char"/>
    <w:basedOn w:val="DefaultParagraphFont"/>
    <w:link w:val="Footer"/>
    <w:uiPriority w:val="99"/>
    <w:rsid w:val="00CF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C5B1F-A407-4EA9-8906-2A886327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2208</Words>
  <Characters>12150</Characters>
  <Application>Microsoft Office Word</Application>
  <DocSecurity>4</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2018-08-31T19:18:00Z</cp:lastPrinted>
  <dcterms:created xsi:type="dcterms:W3CDTF">2018-08-31T19:20:00Z</dcterms:created>
  <dcterms:modified xsi:type="dcterms:W3CDTF">2018-08-31T19:20:00Z</dcterms:modified>
</cp:coreProperties>
</file>