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56" w:rsidRPr="00E66140" w:rsidRDefault="00A02056" w:rsidP="008831BB">
      <w:pPr>
        <w:spacing w:line="240" w:lineRule="auto"/>
        <w:rPr>
          <w:spacing w:val="-4"/>
        </w:rPr>
      </w:pPr>
    </w:p>
    <w:p w:rsidR="00DF154A" w:rsidRPr="00E66140" w:rsidRDefault="00A02056" w:rsidP="008831BB">
      <w:pPr>
        <w:spacing w:line="240" w:lineRule="auto"/>
        <w:rPr>
          <w:spacing w:val="-4"/>
        </w:rPr>
      </w:pPr>
      <w:r w:rsidRPr="00E66140">
        <w:rPr>
          <w:spacing w:val="-4"/>
        </w:rPr>
        <w:t xml:space="preserve"> </w:t>
      </w:r>
      <w:r w:rsidRPr="00E66140">
        <w:rPr>
          <w:spacing w:val="-4"/>
        </w:rPr>
        <w:tab/>
      </w:r>
      <w:r w:rsidR="00FB3806" w:rsidRPr="00E66140">
        <w:rPr>
          <w:spacing w:val="-4"/>
        </w:rPr>
        <w:t xml:space="preserve"> </w:t>
      </w:r>
      <w:r w:rsidR="00832DBF" w:rsidRPr="00E66140">
        <w:rPr>
          <w:spacing w:val="-4"/>
        </w:rPr>
        <w:t xml:space="preserve">                    </w:t>
      </w:r>
    </w:p>
    <w:p w:rsidR="00DF154A" w:rsidRDefault="00DF154A" w:rsidP="008831BB">
      <w:pPr>
        <w:spacing w:line="240" w:lineRule="auto"/>
        <w:rPr>
          <w:spacing w:val="-4"/>
        </w:rPr>
      </w:pPr>
    </w:p>
    <w:p w:rsidR="00E66140" w:rsidRDefault="00E66140" w:rsidP="008831BB">
      <w:pPr>
        <w:spacing w:line="240" w:lineRule="auto"/>
        <w:rPr>
          <w:spacing w:val="-4"/>
        </w:rPr>
      </w:pPr>
    </w:p>
    <w:p w:rsidR="00584445" w:rsidRDefault="00584445" w:rsidP="008831BB">
      <w:pPr>
        <w:spacing w:line="240" w:lineRule="auto"/>
        <w:rPr>
          <w:spacing w:val="-4"/>
        </w:rPr>
      </w:pPr>
    </w:p>
    <w:p w:rsidR="00584445" w:rsidRDefault="00584445" w:rsidP="008831BB">
      <w:pPr>
        <w:spacing w:line="240" w:lineRule="auto"/>
        <w:rPr>
          <w:spacing w:val="-4"/>
        </w:rPr>
      </w:pPr>
    </w:p>
    <w:p w:rsidR="00584445" w:rsidRDefault="00584445" w:rsidP="008831BB">
      <w:pPr>
        <w:spacing w:line="240" w:lineRule="auto"/>
        <w:rPr>
          <w:spacing w:val="-4"/>
        </w:rPr>
      </w:pPr>
    </w:p>
    <w:p w:rsidR="00E66140" w:rsidRPr="00E66140" w:rsidRDefault="00E66140" w:rsidP="008831BB">
      <w:pPr>
        <w:spacing w:line="240" w:lineRule="auto"/>
        <w:rPr>
          <w:spacing w:val="-4"/>
        </w:rPr>
      </w:pPr>
    </w:p>
    <w:p w:rsidR="00DF154A" w:rsidRPr="00E66140" w:rsidRDefault="00DF154A" w:rsidP="008831BB">
      <w:pPr>
        <w:spacing w:line="240" w:lineRule="auto"/>
        <w:rPr>
          <w:spacing w:val="-4"/>
        </w:rPr>
      </w:pPr>
    </w:p>
    <w:p w:rsidR="00DF154A" w:rsidRPr="00E66140" w:rsidRDefault="00DF154A" w:rsidP="008831BB">
      <w:pPr>
        <w:spacing w:line="240" w:lineRule="auto"/>
        <w:rPr>
          <w:spacing w:val="-4"/>
        </w:rPr>
      </w:pPr>
    </w:p>
    <w:p w:rsidR="005061E1" w:rsidRPr="00E66140" w:rsidRDefault="005061E1" w:rsidP="008831BB">
      <w:pPr>
        <w:spacing w:line="240" w:lineRule="auto"/>
        <w:rPr>
          <w:b/>
          <w:spacing w:val="-4"/>
          <w:szCs w:val="20"/>
          <w:lang w:eastAsia="es-ES"/>
        </w:rPr>
      </w:pPr>
    </w:p>
    <w:p w:rsidR="00DF154A" w:rsidRPr="00E66140" w:rsidRDefault="00DF154A" w:rsidP="008831BB">
      <w:pPr>
        <w:spacing w:line="240" w:lineRule="auto"/>
        <w:rPr>
          <w:b/>
          <w:spacing w:val="-4"/>
          <w:szCs w:val="20"/>
          <w:lang w:eastAsia="es-ES"/>
        </w:rPr>
      </w:pPr>
    </w:p>
    <w:p w:rsidR="008C001C" w:rsidRPr="00E66140" w:rsidRDefault="00D37959" w:rsidP="008831BB">
      <w:pPr>
        <w:pStyle w:val="Heading1"/>
        <w:spacing w:line="240" w:lineRule="auto"/>
        <w:rPr>
          <w:spacing w:val="-4"/>
          <w:sz w:val="20"/>
        </w:rPr>
      </w:pPr>
      <w:r w:rsidRPr="00E66140">
        <w:rPr>
          <w:caps w:val="0"/>
          <w:spacing w:val="-4"/>
          <w:sz w:val="20"/>
        </w:rPr>
        <w:t>RESOLUCIÓN DE LA</w:t>
      </w:r>
    </w:p>
    <w:p w:rsidR="008C001C" w:rsidRPr="00E66140" w:rsidRDefault="00D37959" w:rsidP="008831BB">
      <w:pPr>
        <w:spacing w:line="240" w:lineRule="auto"/>
        <w:jc w:val="center"/>
        <w:rPr>
          <w:b/>
          <w:spacing w:val="-4"/>
          <w:szCs w:val="20"/>
        </w:rPr>
      </w:pPr>
      <w:r w:rsidRPr="00E66140">
        <w:rPr>
          <w:b/>
          <w:spacing w:val="-4"/>
          <w:szCs w:val="20"/>
        </w:rPr>
        <w:t>CORTE INTERAMERICANA DE DERECHOS HUMANOS</w:t>
      </w:r>
      <w:r w:rsidR="00F77CA7" w:rsidRPr="00E66140">
        <w:rPr>
          <w:rStyle w:val="FootnoteReference"/>
          <w:b/>
          <w:caps/>
          <w:spacing w:val="-4"/>
          <w:sz w:val="20"/>
          <w:szCs w:val="20"/>
        </w:rPr>
        <w:footnoteReference w:customMarkFollows="1" w:id="1"/>
        <w:sym w:font="Symbol" w:char="F02A"/>
      </w:r>
    </w:p>
    <w:p w:rsidR="008C001C" w:rsidRPr="00E66140" w:rsidRDefault="00D37959" w:rsidP="008831BB">
      <w:pPr>
        <w:spacing w:line="240" w:lineRule="auto"/>
        <w:jc w:val="center"/>
        <w:rPr>
          <w:b/>
          <w:spacing w:val="-4"/>
          <w:szCs w:val="20"/>
        </w:rPr>
      </w:pPr>
      <w:r w:rsidRPr="00E66140">
        <w:rPr>
          <w:b/>
          <w:spacing w:val="-4"/>
          <w:szCs w:val="20"/>
        </w:rPr>
        <w:t xml:space="preserve">DE </w:t>
      </w:r>
      <w:r w:rsidR="00A00F34">
        <w:rPr>
          <w:b/>
          <w:spacing w:val="-4"/>
          <w:szCs w:val="20"/>
        </w:rPr>
        <w:t>23</w:t>
      </w:r>
      <w:r w:rsidRPr="00E66140">
        <w:rPr>
          <w:b/>
          <w:spacing w:val="-4"/>
          <w:szCs w:val="20"/>
        </w:rPr>
        <w:t xml:space="preserve"> DE FEBRERO DE 2016</w:t>
      </w:r>
    </w:p>
    <w:p w:rsidR="005061E1" w:rsidRPr="00E66140" w:rsidRDefault="005061E1" w:rsidP="008831BB">
      <w:pPr>
        <w:spacing w:line="240" w:lineRule="auto"/>
        <w:jc w:val="center"/>
        <w:rPr>
          <w:b/>
          <w:spacing w:val="-4"/>
          <w:szCs w:val="20"/>
        </w:rPr>
      </w:pPr>
    </w:p>
    <w:p w:rsidR="008C001C" w:rsidRPr="00E66140" w:rsidRDefault="00D37959" w:rsidP="008831BB">
      <w:pPr>
        <w:spacing w:line="240" w:lineRule="auto"/>
        <w:jc w:val="center"/>
        <w:rPr>
          <w:b/>
          <w:spacing w:val="-4"/>
          <w:szCs w:val="20"/>
        </w:rPr>
      </w:pPr>
      <w:r w:rsidRPr="00E66140">
        <w:rPr>
          <w:b/>
          <w:spacing w:val="-4"/>
          <w:szCs w:val="20"/>
        </w:rPr>
        <w:t>MEDIDAS PROVISIONALES</w:t>
      </w:r>
    </w:p>
    <w:p w:rsidR="008C001C" w:rsidRPr="00E66140" w:rsidRDefault="00D37959" w:rsidP="008831BB">
      <w:pPr>
        <w:spacing w:line="240" w:lineRule="auto"/>
        <w:jc w:val="center"/>
        <w:rPr>
          <w:b/>
          <w:spacing w:val="-4"/>
          <w:szCs w:val="20"/>
        </w:rPr>
      </w:pPr>
      <w:r w:rsidRPr="00E66140">
        <w:rPr>
          <w:b/>
          <w:spacing w:val="-4"/>
          <w:szCs w:val="20"/>
        </w:rPr>
        <w:t>RESPECTO DE MÉXICO</w:t>
      </w:r>
    </w:p>
    <w:p w:rsidR="005061E1" w:rsidRPr="00E66140" w:rsidRDefault="005061E1" w:rsidP="008831BB">
      <w:pPr>
        <w:spacing w:line="240" w:lineRule="auto"/>
        <w:jc w:val="center"/>
        <w:rPr>
          <w:b/>
          <w:spacing w:val="-4"/>
          <w:szCs w:val="20"/>
        </w:rPr>
      </w:pPr>
    </w:p>
    <w:p w:rsidR="008C001C" w:rsidRPr="00E66140" w:rsidRDefault="00D37959" w:rsidP="008831BB">
      <w:pPr>
        <w:spacing w:line="240" w:lineRule="auto"/>
        <w:jc w:val="center"/>
        <w:rPr>
          <w:b/>
          <w:spacing w:val="-4"/>
          <w:szCs w:val="20"/>
        </w:rPr>
      </w:pPr>
      <w:r w:rsidRPr="00E66140">
        <w:rPr>
          <w:b/>
          <w:spacing w:val="-4"/>
          <w:szCs w:val="20"/>
        </w:rPr>
        <w:t>CASO ROSENDO CANTÚ Y OTRA</w:t>
      </w:r>
    </w:p>
    <w:p w:rsidR="0024180B" w:rsidRPr="00E66140" w:rsidRDefault="0024180B" w:rsidP="008831BB">
      <w:pPr>
        <w:spacing w:line="240" w:lineRule="auto"/>
        <w:rPr>
          <w:spacing w:val="-4"/>
        </w:rPr>
      </w:pPr>
    </w:p>
    <w:p w:rsidR="0024180B" w:rsidRPr="00E66140" w:rsidRDefault="0024180B" w:rsidP="008831BB">
      <w:pPr>
        <w:spacing w:line="240" w:lineRule="auto"/>
        <w:rPr>
          <w:b/>
          <w:spacing w:val="-4"/>
        </w:rPr>
      </w:pPr>
    </w:p>
    <w:p w:rsidR="006E70CB" w:rsidRPr="00E66140" w:rsidRDefault="008C001C" w:rsidP="008831BB">
      <w:pPr>
        <w:spacing w:line="240" w:lineRule="auto"/>
        <w:rPr>
          <w:b/>
          <w:spacing w:val="-4"/>
        </w:rPr>
      </w:pPr>
      <w:r w:rsidRPr="00E66140">
        <w:rPr>
          <w:b/>
          <w:spacing w:val="-4"/>
        </w:rPr>
        <w:t>VISTO:</w:t>
      </w:r>
    </w:p>
    <w:p w:rsidR="008C001C" w:rsidRPr="00E66140" w:rsidRDefault="008C001C" w:rsidP="008831BB">
      <w:pPr>
        <w:spacing w:line="240" w:lineRule="auto"/>
        <w:rPr>
          <w:spacing w:val="-4"/>
        </w:rPr>
      </w:pPr>
    </w:p>
    <w:p w:rsidR="003F0975" w:rsidRPr="00E66140" w:rsidRDefault="003F0975" w:rsidP="008831BB">
      <w:pPr>
        <w:pStyle w:val="MediumGrid1-Accent21"/>
        <w:numPr>
          <w:ilvl w:val="0"/>
          <w:numId w:val="1"/>
        </w:numPr>
        <w:spacing w:line="240" w:lineRule="auto"/>
        <w:rPr>
          <w:spacing w:val="-4"/>
        </w:rPr>
      </w:pPr>
      <w:r w:rsidRPr="00E66140">
        <w:rPr>
          <w:spacing w:val="-4"/>
        </w:rPr>
        <w:t>La</w:t>
      </w:r>
      <w:r w:rsidR="00066584" w:rsidRPr="00E66140">
        <w:rPr>
          <w:spacing w:val="-4"/>
        </w:rPr>
        <w:t>s Resoluciones</w:t>
      </w:r>
      <w:r w:rsidRPr="00E66140">
        <w:rPr>
          <w:spacing w:val="-4"/>
        </w:rPr>
        <w:t xml:space="preserve"> de la Corte</w:t>
      </w:r>
      <w:r w:rsidR="00B24065" w:rsidRPr="00E66140">
        <w:rPr>
          <w:spacing w:val="-4"/>
        </w:rPr>
        <w:t xml:space="preserve"> Interamericana de Derechos Humanos (en adelante “la Corte Interamericana”, “la Corte” o “</w:t>
      </w:r>
      <w:r w:rsidR="007A39AE" w:rsidRPr="00E66140">
        <w:rPr>
          <w:spacing w:val="-4"/>
        </w:rPr>
        <w:t xml:space="preserve">este </w:t>
      </w:r>
      <w:r w:rsidR="00B24065" w:rsidRPr="00E66140">
        <w:rPr>
          <w:spacing w:val="-4"/>
        </w:rPr>
        <w:t>Tribunal”)</w:t>
      </w:r>
      <w:r w:rsidRPr="00E66140">
        <w:rPr>
          <w:spacing w:val="-4"/>
        </w:rPr>
        <w:t xml:space="preserve"> de 2 de febrero de 2010</w:t>
      </w:r>
      <w:r w:rsidR="00A22A74" w:rsidRPr="00E66140">
        <w:rPr>
          <w:spacing w:val="-4"/>
        </w:rPr>
        <w:t>,</w:t>
      </w:r>
      <w:r w:rsidR="00066584" w:rsidRPr="00E66140">
        <w:rPr>
          <w:spacing w:val="-4"/>
        </w:rPr>
        <w:t xml:space="preserve"> 1 de julio de 2011</w:t>
      </w:r>
      <w:r w:rsidR="00A22A74" w:rsidRPr="00E66140">
        <w:rPr>
          <w:spacing w:val="-4"/>
        </w:rPr>
        <w:t xml:space="preserve"> y 23 de junio de 2015</w:t>
      </w:r>
      <w:r w:rsidR="000462E4">
        <w:rPr>
          <w:spacing w:val="-4"/>
        </w:rPr>
        <w:t>,</w:t>
      </w:r>
      <w:r w:rsidRPr="00E66140">
        <w:rPr>
          <w:spacing w:val="-4"/>
        </w:rPr>
        <w:t xml:space="preserve"> </w:t>
      </w:r>
      <w:r w:rsidR="00533476" w:rsidRPr="00E66140">
        <w:rPr>
          <w:spacing w:val="-4"/>
        </w:rPr>
        <w:t xml:space="preserve">mediante las cuales se ordenó la adopción de medidas provisionales en el presente </w:t>
      </w:r>
      <w:r w:rsidR="0050454F" w:rsidRPr="00E66140">
        <w:rPr>
          <w:spacing w:val="-4"/>
        </w:rPr>
        <w:t>caso</w:t>
      </w:r>
      <w:r w:rsidR="00533476" w:rsidRPr="00E66140">
        <w:rPr>
          <w:spacing w:val="-4"/>
        </w:rPr>
        <w:t xml:space="preserve"> y se s</w:t>
      </w:r>
      <w:r w:rsidR="00C16EE7">
        <w:rPr>
          <w:spacing w:val="-4"/>
        </w:rPr>
        <w:t>upervisó su implementación. En l</w:t>
      </w:r>
      <w:bookmarkStart w:id="0" w:name="_GoBack"/>
      <w:bookmarkEnd w:id="0"/>
      <w:r w:rsidR="00533476" w:rsidRPr="00E66140">
        <w:rPr>
          <w:spacing w:val="-4"/>
        </w:rPr>
        <w:t xml:space="preserve">a última Resolución este Tribunal resolvió, </w:t>
      </w:r>
      <w:r w:rsidR="00533476" w:rsidRPr="00E66140">
        <w:rPr>
          <w:i/>
          <w:spacing w:val="-4"/>
        </w:rPr>
        <w:t>inter alia</w:t>
      </w:r>
      <w:r w:rsidR="00533476" w:rsidRPr="00E66140">
        <w:rPr>
          <w:spacing w:val="-4"/>
        </w:rPr>
        <w:t>:</w:t>
      </w:r>
    </w:p>
    <w:p w:rsidR="00533476" w:rsidRPr="00E66140" w:rsidRDefault="00533476" w:rsidP="008831BB">
      <w:pPr>
        <w:pStyle w:val="MediumGrid1-Accent21"/>
        <w:spacing w:line="240" w:lineRule="auto"/>
        <w:ind w:right="332"/>
        <w:rPr>
          <w:spacing w:val="-4"/>
          <w:sz w:val="16"/>
          <w:szCs w:val="16"/>
        </w:rPr>
      </w:pPr>
    </w:p>
    <w:p w:rsidR="00A22A74" w:rsidRPr="00E66140" w:rsidRDefault="00A22A74" w:rsidP="008831BB">
      <w:pPr>
        <w:pStyle w:val="MediumGrid1-Accent21"/>
        <w:spacing w:line="240" w:lineRule="auto"/>
        <w:ind w:right="332"/>
        <w:rPr>
          <w:spacing w:val="-4"/>
          <w:sz w:val="16"/>
          <w:szCs w:val="16"/>
        </w:rPr>
      </w:pPr>
      <w:r w:rsidRPr="00E66140">
        <w:rPr>
          <w:spacing w:val="-4"/>
          <w:sz w:val="16"/>
          <w:szCs w:val="16"/>
        </w:rPr>
        <w:t>1. Mantener las medidas provisionales ordenadas a favor de Valentina Rosendo Cantú y de Yenis Bernardino Rosendo por un período adicional que vence el 23 de diciembre de 2015, por lo cual se requiere al Estado continuar adoptando las medidas que sean necesarias para proteger su vida e integridad personal, tomando en consideración la situación y las circun</w:t>
      </w:r>
      <w:r w:rsidR="00CC612D" w:rsidRPr="00E66140">
        <w:rPr>
          <w:spacing w:val="-4"/>
          <w:sz w:val="16"/>
          <w:szCs w:val="16"/>
        </w:rPr>
        <w:t>stancias particulares del caso.</w:t>
      </w:r>
    </w:p>
    <w:p w:rsidR="00A22A74" w:rsidRPr="00E66140" w:rsidRDefault="00A22A74" w:rsidP="008831BB">
      <w:pPr>
        <w:pStyle w:val="MediumGrid1-Accent21"/>
        <w:spacing w:line="240" w:lineRule="auto"/>
        <w:ind w:right="332"/>
        <w:rPr>
          <w:spacing w:val="-4"/>
          <w:sz w:val="16"/>
          <w:szCs w:val="16"/>
        </w:rPr>
      </w:pPr>
    </w:p>
    <w:p w:rsidR="00A22A74" w:rsidRPr="00E66140" w:rsidRDefault="00A22A74" w:rsidP="008831BB">
      <w:pPr>
        <w:pStyle w:val="MediumGrid1-Accent21"/>
        <w:spacing w:line="240" w:lineRule="auto"/>
        <w:ind w:right="332"/>
        <w:rPr>
          <w:spacing w:val="-4"/>
          <w:sz w:val="16"/>
          <w:szCs w:val="16"/>
        </w:rPr>
      </w:pPr>
      <w:r w:rsidRPr="00E66140">
        <w:rPr>
          <w:spacing w:val="-4"/>
          <w:sz w:val="16"/>
          <w:szCs w:val="16"/>
        </w:rPr>
        <w:t>2. Reiterar al Estado que realice todas las gestiones pertinentes para que las medidas ordenadas en [dicha] Resolución se planifiquen e implementen con la participación de las beneficiarias o sus representantes y que, en general, les mantenga informados sobre el avance de su ejecución.</w:t>
      </w:r>
    </w:p>
    <w:p w:rsidR="00A22A74" w:rsidRPr="00E66140" w:rsidRDefault="00A22A74" w:rsidP="008831BB">
      <w:pPr>
        <w:pStyle w:val="MediumGrid1-Accent21"/>
        <w:spacing w:line="240" w:lineRule="auto"/>
        <w:ind w:right="332"/>
        <w:rPr>
          <w:spacing w:val="-4"/>
          <w:sz w:val="16"/>
          <w:szCs w:val="16"/>
        </w:rPr>
      </w:pPr>
    </w:p>
    <w:p w:rsidR="00A22A74" w:rsidRPr="00E66140" w:rsidRDefault="00A22A74" w:rsidP="008831BB">
      <w:pPr>
        <w:pStyle w:val="MediumGrid1-Accent21"/>
        <w:spacing w:line="240" w:lineRule="auto"/>
        <w:ind w:right="332"/>
        <w:rPr>
          <w:spacing w:val="-4"/>
          <w:sz w:val="16"/>
          <w:szCs w:val="16"/>
        </w:rPr>
      </w:pPr>
      <w:r w:rsidRPr="00E66140">
        <w:rPr>
          <w:spacing w:val="-4"/>
          <w:sz w:val="16"/>
          <w:szCs w:val="16"/>
        </w:rPr>
        <w:t>3. Requerir al Estado que, a más tardar el 23 de septiembre de 2015, presente un informe detallado sobre la situación actual de las beneficiarias, en los términos del Considerando 36 de la presente Resolución. En dicha oportunidad, el Estado deberá presentar la información indicada en los Considerandos 16, 18, 22 y 25 de [dicha] Resolución. Con posterioridad a la presentación de dicho informe, el Estado deberá continuar informando, cada dos meses, sobre las medidas provisionales adoptadas de conformidad con [dicha] Resolución.</w:t>
      </w:r>
    </w:p>
    <w:p w:rsidR="00A22A74" w:rsidRPr="00E66140" w:rsidRDefault="00A22A74" w:rsidP="008831BB">
      <w:pPr>
        <w:pStyle w:val="MediumGrid1-Accent21"/>
        <w:spacing w:line="240" w:lineRule="auto"/>
        <w:ind w:right="332"/>
        <w:rPr>
          <w:spacing w:val="-4"/>
          <w:sz w:val="16"/>
          <w:szCs w:val="16"/>
        </w:rPr>
      </w:pPr>
    </w:p>
    <w:p w:rsidR="00A22A74" w:rsidRPr="00E66140" w:rsidRDefault="00A22A74" w:rsidP="008831BB">
      <w:pPr>
        <w:pStyle w:val="MediumGrid1-Accent21"/>
        <w:spacing w:line="240" w:lineRule="auto"/>
        <w:ind w:right="332"/>
        <w:rPr>
          <w:spacing w:val="-4"/>
          <w:sz w:val="16"/>
          <w:szCs w:val="16"/>
        </w:rPr>
      </w:pPr>
      <w:r w:rsidRPr="00E66140">
        <w:rPr>
          <w:spacing w:val="-4"/>
          <w:sz w:val="16"/>
          <w:szCs w:val="16"/>
        </w:rPr>
        <w:t>4. Requerir a los representantes de las beneficiarias que, en un plazo de cuatro semanas, contado a partir de la recepción de los informes estatales, presenten sus observaciones a los mismos, así como remitan la información solicitada en los Considerandos 17, 25 y 36 de [dicha] Resolución.</w:t>
      </w:r>
    </w:p>
    <w:p w:rsidR="00A22A74" w:rsidRPr="00E66140" w:rsidRDefault="00A22A74" w:rsidP="008831BB">
      <w:pPr>
        <w:pStyle w:val="MediumGrid1-Accent21"/>
        <w:spacing w:line="240" w:lineRule="auto"/>
        <w:ind w:right="332"/>
        <w:rPr>
          <w:spacing w:val="-4"/>
          <w:sz w:val="16"/>
          <w:szCs w:val="16"/>
        </w:rPr>
      </w:pPr>
    </w:p>
    <w:p w:rsidR="00A22A74" w:rsidRPr="00E66140" w:rsidRDefault="00A22A74" w:rsidP="008831BB">
      <w:pPr>
        <w:pStyle w:val="MediumGrid1-Accent21"/>
        <w:spacing w:line="240" w:lineRule="auto"/>
        <w:ind w:right="332"/>
        <w:rPr>
          <w:spacing w:val="-4"/>
          <w:sz w:val="16"/>
          <w:szCs w:val="16"/>
        </w:rPr>
      </w:pPr>
      <w:r w:rsidRPr="00E66140">
        <w:rPr>
          <w:spacing w:val="-4"/>
          <w:sz w:val="16"/>
          <w:szCs w:val="16"/>
        </w:rPr>
        <w:t xml:space="preserve">5. Requerir a la Comisión […] que presente las observaciones que estime pertinentes a los informes estatales requeridos en el punto resolutivo tercero y a las correspondientes observaciones de los representantes de las beneficiarias dentro de un plazo de dos semanas, contado a partir de la recepción de las referidas observaciones de los representantes. </w:t>
      </w:r>
    </w:p>
    <w:p w:rsidR="001E58D8" w:rsidRPr="00E66140" w:rsidRDefault="001E58D8" w:rsidP="008831BB">
      <w:pPr>
        <w:pStyle w:val="MediumGrid1-Accent21"/>
        <w:spacing w:line="240" w:lineRule="auto"/>
        <w:rPr>
          <w:spacing w:val="-4"/>
        </w:rPr>
      </w:pPr>
    </w:p>
    <w:p w:rsidR="00444847" w:rsidRPr="00E66140" w:rsidRDefault="00444847" w:rsidP="008831BB">
      <w:pPr>
        <w:pStyle w:val="ListParagraph"/>
        <w:numPr>
          <w:ilvl w:val="0"/>
          <w:numId w:val="1"/>
        </w:numPr>
        <w:spacing w:line="240" w:lineRule="auto"/>
        <w:rPr>
          <w:spacing w:val="-4"/>
          <w:lang w:val="es-ES"/>
        </w:rPr>
      </w:pPr>
      <w:r w:rsidRPr="00E66140">
        <w:rPr>
          <w:spacing w:val="-4"/>
          <w:lang w:val="es-ES"/>
        </w:rPr>
        <w:lastRenderedPageBreak/>
        <w:t xml:space="preserve">Los escritos de 25 de junio y 30 de julio de 2015 y sus anexos, mediante los cuales los representantes de las beneficiarias (en adelante “los representantes”) y la Comisión Interamericana de Derechos Humanos (en adelante “la Comisión Interamericana” o “la Comisión”) remitieron observaciones sobre la implementación de las medidas de protección en este caso. </w:t>
      </w:r>
    </w:p>
    <w:p w:rsidR="00444847" w:rsidRPr="00E66140" w:rsidRDefault="00444847" w:rsidP="008831BB">
      <w:pPr>
        <w:spacing w:line="240" w:lineRule="auto"/>
        <w:rPr>
          <w:spacing w:val="-4"/>
          <w:lang w:val="es-ES"/>
        </w:rPr>
      </w:pPr>
    </w:p>
    <w:p w:rsidR="00DF154A" w:rsidRPr="00E66140" w:rsidRDefault="00DF154A" w:rsidP="008831BB">
      <w:pPr>
        <w:pStyle w:val="ListParagraph"/>
        <w:numPr>
          <w:ilvl w:val="0"/>
          <w:numId w:val="1"/>
        </w:numPr>
        <w:spacing w:line="240" w:lineRule="auto"/>
        <w:rPr>
          <w:spacing w:val="-4"/>
          <w:lang w:val="es-ES"/>
        </w:rPr>
      </w:pPr>
      <w:r w:rsidRPr="00E66140">
        <w:rPr>
          <w:spacing w:val="-4"/>
          <w:lang w:val="es-ES"/>
        </w:rPr>
        <w:t xml:space="preserve">Los escritos de </w:t>
      </w:r>
      <w:r w:rsidR="00E572BD" w:rsidRPr="00E66140">
        <w:rPr>
          <w:spacing w:val="-4"/>
          <w:lang w:val="es-ES"/>
        </w:rPr>
        <w:t xml:space="preserve">6 de noviembre de 2015 y de 3 de febrero de </w:t>
      </w:r>
      <w:r w:rsidR="00E572BD" w:rsidRPr="007C22EE">
        <w:rPr>
          <w:spacing w:val="-4"/>
          <w:szCs w:val="20"/>
          <w:lang w:val="es-ES"/>
        </w:rPr>
        <w:t>2016</w:t>
      </w:r>
      <w:r w:rsidR="00120425" w:rsidRPr="007C22EE">
        <w:rPr>
          <w:rStyle w:val="FootnoteReference"/>
          <w:spacing w:val="-4"/>
          <w:sz w:val="20"/>
          <w:szCs w:val="20"/>
          <w:lang w:val="es-ES"/>
        </w:rPr>
        <w:footnoteReference w:id="2"/>
      </w:r>
      <w:r w:rsidR="00E572BD" w:rsidRPr="007C22EE">
        <w:rPr>
          <w:spacing w:val="-4"/>
          <w:szCs w:val="20"/>
          <w:lang w:val="es-ES"/>
        </w:rPr>
        <w:t xml:space="preserve"> y </w:t>
      </w:r>
      <w:r w:rsidRPr="007C22EE">
        <w:rPr>
          <w:spacing w:val="-4"/>
          <w:szCs w:val="20"/>
          <w:lang w:val="es-ES"/>
        </w:rPr>
        <w:t>sus anexos</w:t>
      </w:r>
      <w:r w:rsidR="006537A3" w:rsidRPr="007C22EE">
        <w:rPr>
          <w:spacing w:val="-4"/>
          <w:szCs w:val="20"/>
          <w:lang w:val="es-ES"/>
        </w:rPr>
        <w:t>,</w:t>
      </w:r>
      <w:r w:rsidR="00072294" w:rsidRPr="007C22EE">
        <w:rPr>
          <w:spacing w:val="-4"/>
          <w:szCs w:val="20"/>
          <w:lang w:val="es-ES"/>
        </w:rPr>
        <w:t xml:space="preserve"> </w:t>
      </w:r>
      <w:r w:rsidRPr="007C22EE">
        <w:rPr>
          <w:spacing w:val="-4"/>
          <w:szCs w:val="20"/>
          <w:lang w:val="es-ES"/>
        </w:rPr>
        <w:t xml:space="preserve">mediante los cuales </w:t>
      </w:r>
      <w:r w:rsidR="0042114F" w:rsidRPr="007C22EE">
        <w:rPr>
          <w:spacing w:val="-4"/>
          <w:szCs w:val="20"/>
          <w:lang w:val="es-ES"/>
        </w:rPr>
        <w:t xml:space="preserve">el Estado Mexicano </w:t>
      </w:r>
      <w:r w:rsidR="0042114F" w:rsidRPr="007C22EE">
        <w:rPr>
          <w:spacing w:val="-4"/>
          <w:szCs w:val="20"/>
        </w:rPr>
        <w:t>(en a</w:t>
      </w:r>
      <w:r w:rsidR="00E572BD" w:rsidRPr="007C22EE">
        <w:rPr>
          <w:spacing w:val="-4"/>
          <w:szCs w:val="20"/>
        </w:rPr>
        <w:t>delante “el Estado” o “México”)</w:t>
      </w:r>
      <w:r w:rsidRPr="007C22EE">
        <w:rPr>
          <w:spacing w:val="-4"/>
          <w:szCs w:val="20"/>
        </w:rPr>
        <w:t xml:space="preserve"> remitió </w:t>
      </w:r>
      <w:r w:rsidR="00E572BD" w:rsidRPr="007C22EE">
        <w:rPr>
          <w:spacing w:val="-4"/>
          <w:szCs w:val="20"/>
        </w:rPr>
        <w:t>la información solicitada en la Resoluci</w:t>
      </w:r>
      <w:r w:rsidR="00575A4D" w:rsidRPr="007C22EE">
        <w:rPr>
          <w:spacing w:val="-4"/>
          <w:szCs w:val="20"/>
        </w:rPr>
        <w:t>ón</w:t>
      </w:r>
      <w:r w:rsidR="00E572BD" w:rsidRPr="007C22EE">
        <w:rPr>
          <w:spacing w:val="-4"/>
          <w:szCs w:val="20"/>
        </w:rPr>
        <w:t xml:space="preserve"> de la Corte de 23 de junio de 2015, se refirió a los hechos</w:t>
      </w:r>
      <w:r w:rsidR="00E572BD" w:rsidRPr="00E66140">
        <w:rPr>
          <w:spacing w:val="-4"/>
        </w:rPr>
        <w:t xml:space="preserve"> de riesgo alegados por los representantes de las beneficiarias y </w:t>
      </w:r>
      <w:r w:rsidR="00481A3F" w:rsidRPr="00E66140">
        <w:rPr>
          <w:spacing w:val="-4"/>
        </w:rPr>
        <w:t xml:space="preserve">solicitó el levantamiento de </w:t>
      </w:r>
      <w:r w:rsidR="00E572BD" w:rsidRPr="00E66140">
        <w:rPr>
          <w:spacing w:val="-4"/>
        </w:rPr>
        <w:t xml:space="preserve">estas </w:t>
      </w:r>
      <w:r w:rsidR="00481A3F" w:rsidRPr="00E66140">
        <w:rPr>
          <w:spacing w:val="-4"/>
        </w:rPr>
        <w:t xml:space="preserve">medidas provisionales. </w:t>
      </w:r>
    </w:p>
    <w:p w:rsidR="00F16FB5" w:rsidRPr="00E66140" w:rsidRDefault="00F16FB5" w:rsidP="008831BB">
      <w:pPr>
        <w:spacing w:line="240" w:lineRule="auto"/>
        <w:rPr>
          <w:spacing w:val="-4"/>
          <w:lang w:val="es-ES"/>
        </w:rPr>
      </w:pPr>
    </w:p>
    <w:p w:rsidR="00575A4D" w:rsidRPr="007C22EE" w:rsidRDefault="00575A4D" w:rsidP="008831BB">
      <w:pPr>
        <w:pStyle w:val="MediumGrid1-Accent21"/>
        <w:numPr>
          <w:ilvl w:val="0"/>
          <w:numId w:val="1"/>
        </w:numPr>
        <w:spacing w:line="240" w:lineRule="auto"/>
        <w:rPr>
          <w:color w:val="auto"/>
          <w:spacing w:val="-4"/>
          <w:szCs w:val="20"/>
        </w:rPr>
      </w:pPr>
      <w:r w:rsidRPr="00E66140">
        <w:rPr>
          <w:spacing w:val="-4"/>
        </w:rPr>
        <w:t xml:space="preserve">La nota de </w:t>
      </w:r>
      <w:r w:rsidRPr="007C22EE">
        <w:rPr>
          <w:spacing w:val="-4"/>
          <w:szCs w:val="20"/>
        </w:rPr>
        <w:t>la Secretaría de la Corte de 18 de noviembre de 2015, mediante la cual, siguiendo instrucciones del pleno de la Corte, se extendió la vigencia de las presentes medidas provisionales hasta el 30 de abril de 2016, con el objeto de recibir las observaciones de los representantes y la Comisión al informe estatal</w:t>
      </w:r>
      <w:r w:rsidR="007C22EE" w:rsidRPr="007C22EE">
        <w:rPr>
          <w:spacing w:val="-4"/>
          <w:szCs w:val="20"/>
        </w:rPr>
        <w:t>, así como</w:t>
      </w:r>
      <w:r w:rsidRPr="007C22EE">
        <w:rPr>
          <w:spacing w:val="-4"/>
          <w:szCs w:val="20"/>
        </w:rPr>
        <w:t xml:space="preserve"> evaluar la pertinencia del mantenimiento de las presentes medidas. </w:t>
      </w:r>
    </w:p>
    <w:p w:rsidR="00575A4D" w:rsidRPr="007C22EE" w:rsidRDefault="00575A4D" w:rsidP="008831BB">
      <w:pPr>
        <w:pStyle w:val="MediumGrid1-Accent21"/>
        <w:spacing w:line="240" w:lineRule="auto"/>
        <w:rPr>
          <w:color w:val="auto"/>
          <w:spacing w:val="-4"/>
          <w:szCs w:val="20"/>
        </w:rPr>
      </w:pPr>
    </w:p>
    <w:p w:rsidR="001C2262" w:rsidRPr="007C22EE" w:rsidRDefault="00575A4D" w:rsidP="008831BB">
      <w:pPr>
        <w:pStyle w:val="MediumGrid1-Accent21"/>
        <w:numPr>
          <w:ilvl w:val="0"/>
          <w:numId w:val="1"/>
        </w:numPr>
        <w:spacing w:line="240" w:lineRule="auto"/>
        <w:rPr>
          <w:color w:val="auto"/>
          <w:spacing w:val="-4"/>
          <w:szCs w:val="20"/>
          <w:lang w:val="es-ES"/>
        </w:rPr>
      </w:pPr>
      <w:r w:rsidRPr="007C22EE">
        <w:rPr>
          <w:color w:val="auto"/>
          <w:spacing w:val="-4"/>
          <w:szCs w:val="20"/>
          <w:lang w:val="es-ES"/>
        </w:rPr>
        <w:t xml:space="preserve">El escrito de </w:t>
      </w:r>
      <w:r w:rsidR="00025FE0" w:rsidRPr="007C22EE">
        <w:rPr>
          <w:color w:val="auto"/>
          <w:spacing w:val="-4"/>
          <w:szCs w:val="20"/>
          <w:lang w:val="es-ES"/>
        </w:rPr>
        <w:t>1</w:t>
      </w:r>
      <w:r w:rsidRPr="007C22EE">
        <w:rPr>
          <w:color w:val="auto"/>
          <w:spacing w:val="-4"/>
          <w:szCs w:val="20"/>
          <w:lang w:val="es-ES"/>
        </w:rPr>
        <w:t>8</w:t>
      </w:r>
      <w:r w:rsidR="00025FE0" w:rsidRPr="007C22EE">
        <w:rPr>
          <w:color w:val="auto"/>
          <w:spacing w:val="-4"/>
          <w:szCs w:val="20"/>
          <w:lang w:val="es-ES"/>
        </w:rPr>
        <w:t xml:space="preserve"> de </w:t>
      </w:r>
      <w:r w:rsidRPr="007C22EE">
        <w:rPr>
          <w:color w:val="auto"/>
          <w:spacing w:val="-4"/>
          <w:szCs w:val="20"/>
          <w:lang w:val="es-ES"/>
        </w:rPr>
        <w:t xml:space="preserve">enero de 2016 y sus </w:t>
      </w:r>
      <w:r w:rsidR="001E58D8" w:rsidRPr="007C22EE">
        <w:rPr>
          <w:color w:val="auto"/>
          <w:spacing w:val="-4"/>
          <w:szCs w:val="20"/>
          <w:lang w:val="es-ES"/>
        </w:rPr>
        <w:t xml:space="preserve">anexos, mediante </w:t>
      </w:r>
      <w:r w:rsidRPr="007C22EE">
        <w:rPr>
          <w:color w:val="auto"/>
          <w:spacing w:val="-4"/>
          <w:szCs w:val="20"/>
          <w:lang w:val="es-ES"/>
        </w:rPr>
        <w:t>el cual</w:t>
      </w:r>
      <w:r w:rsidR="001E58D8" w:rsidRPr="007C22EE">
        <w:rPr>
          <w:color w:val="auto"/>
          <w:spacing w:val="-4"/>
          <w:szCs w:val="20"/>
          <w:lang w:val="es-ES"/>
        </w:rPr>
        <w:t xml:space="preserve"> los representantes</w:t>
      </w:r>
      <w:r w:rsidR="00452294" w:rsidRPr="007C22EE">
        <w:rPr>
          <w:color w:val="auto"/>
          <w:spacing w:val="-4"/>
          <w:szCs w:val="20"/>
          <w:lang w:val="es-ES"/>
        </w:rPr>
        <w:t xml:space="preserve"> de las beneficiarias</w:t>
      </w:r>
      <w:r w:rsidR="001E58D8" w:rsidRPr="007C22EE">
        <w:rPr>
          <w:color w:val="auto"/>
          <w:spacing w:val="-4"/>
          <w:szCs w:val="20"/>
          <w:lang w:val="es-ES"/>
        </w:rPr>
        <w:t xml:space="preserve"> </w:t>
      </w:r>
      <w:r w:rsidR="00452294" w:rsidRPr="007C22EE">
        <w:rPr>
          <w:color w:val="auto"/>
          <w:spacing w:val="-4"/>
          <w:szCs w:val="20"/>
          <w:lang w:val="es-ES"/>
        </w:rPr>
        <w:t>(en adelante “los representantes”)</w:t>
      </w:r>
      <w:r w:rsidR="00CD00EA" w:rsidRPr="007C22EE">
        <w:rPr>
          <w:color w:val="auto"/>
          <w:spacing w:val="-4"/>
          <w:szCs w:val="20"/>
          <w:lang w:val="es-ES"/>
        </w:rPr>
        <w:t xml:space="preserve"> </w:t>
      </w:r>
      <w:r w:rsidR="001E58D8" w:rsidRPr="007C22EE">
        <w:rPr>
          <w:color w:val="auto"/>
          <w:spacing w:val="-4"/>
          <w:szCs w:val="20"/>
          <w:lang w:val="es-ES"/>
        </w:rPr>
        <w:t>remitieron</w:t>
      </w:r>
      <w:r w:rsidR="00002D55" w:rsidRPr="007C22EE">
        <w:rPr>
          <w:color w:val="auto"/>
          <w:spacing w:val="-4"/>
          <w:szCs w:val="20"/>
          <w:lang w:val="es-ES"/>
        </w:rPr>
        <w:t xml:space="preserve"> </w:t>
      </w:r>
      <w:r w:rsidRPr="007C22EE">
        <w:rPr>
          <w:color w:val="auto"/>
          <w:spacing w:val="-4"/>
          <w:szCs w:val="20"/>
          <w:lang w:val="es-ES"/>
        </w:rPr>
        <w:t xml:space="preserve">sus observaciones a la </w:t>
      </w:r>
      <w:r w:rsidR="001E58D8" w:rsidRPr="007C22EE">
        <w:rPr>
          <w:color w:val="auto"/>
          <w:spacing w:val="-4"/>
          <w:szCs w:val="20"/>
          <w:lang w:val="es-ES"/>
        </w:rPr>
        <w:t xml:space="preserve">información </w:t>
      </w:r>
      <w:r w:rsidRPr="007C22EE">
        <w:rPr>
          <w:color w:val="auto"/>
          <w:spacing w:val="-4"/>
          <w:szCs w:val="20"/>
          <w:lang w:val="es-ES"/>
        </w:rPr>
        <w:t xml:space="preserve">presentada por el Estado, así como remitieron la información que les fue </w:t>
      </w:r>
      <w:r w:rsidR="001E58D8" w:rsidRPr="007C22EE">
        <w:rPr>
          <w:color w:val="auto"/>
          <w:spacing w:val="-4"/>
          <w:szCs w:val="20"/>
          <w:lang w:val="es-ES"/>
        </w:rPr>
        <w:t xml:space="preserve">requerida </w:t>
      </w:r>
      <w:r w:rsidRPr="007C22EE">
        <w:rPr>
          <w:color w:val="auto"/>
          <w:spacing w:val="-4"/>
          <w:szCs w:val="20"/>
          <w:lang w:val="es-ES"/>
        </w:rPr>
        <w:t xml:space="preserve">en </w:t>
      </w:r>
      <w:r w:rsidRPr="007C22EE">
        <w:rPr>
          <w:color w:val="auto"/>
          <w:spacing w:val="-4"/>
          <w:szCs w:val="20"/>
        </w:rPr>
        <w:t>la Resolución de la Corte de 23 de junio de 2015</w:t>
      </w:r>
      <w:r w:rsidRPr="007C22EE">
        <w:rPr>
          <w:color w:val="auto"/>
          <w:spacing w:val="-4"/>
          <w:szCs w:val="20"/>
          <w:lang w:val="es-ES"/>
        </w:rPr>
        <w:t>.</w:t>
      </w:r>
      <w:r w:rsidR="00002D55" w:rsidRPr="007C22EE">
        <w:rPr>
          <w:color w:val="auto"/>
          <w:spacing w:val="-4"/>
          <w:szCs w:val="20"/>
          <w:lang w:val="es-ES"/>
        </w:rPr>
        <w:t xml:space="preserve"> </w:t>
      </w:r>
    </w:p>
    <w:p w:rsidR="001E58D8" w:rsidRPr="007C22EE" w:rsidRDefault="001E58D8" w:rsidP="008831BB">
      <w:pPr>
        <w:pStyle w:val="MediumGrid1-Accent21"/>
        <w:spacing w:line="240" w:lineRule="auto"/>
        <w:rPr>
          <w:color w:val="auto"/>
          <w:spacing w:val="-4"/>
          <w:szCs w:val="20"/>
          <w:lang w:val="es-ES"/>
        </w:rPr>
      </w:pPr>
    </w:p>
    <w:p w:rsidR="001E1EFD" w:rsidRPr="007C22EE" w:rsidRDefault="00575A4D" w:rsidP="008831BB">
      <w:pPr>
        <w:pStyle w:val="MediumGrid1-Accent21"/>
        <w:numPr>
          <w:ilvl w:val="0"/>
          <w:numId w:val="1"/>
        </w:numPr>
        <w:spacing w:line="240" w:lineRule="auto"/>
        <w:rPr>
          <w:color w:val="auto"/>
          <w:spacing w:val="-4"/>
          <w:szCs w:val="20"/>
          <w:lang w:val="es-ES"/>
        </w:rPr>
      </w:pPr>
      <w:r w:rsidRPr="007C22EE">
        <w:rPr>
          <w:color w:val="auto"/>
          <w:spacing w:val="-4"/>
          <w:szCs w:val="20"/>
          <w:lang w:val="es-ES"/>
        </w:rPr>
        <w:t xml:space="preserve">El escrito de 12 de febrero de 2016, mediante el cual </w:t>
      </w:r>
      <w:r w:rsidR="001E58D8" w:rsidRPr="007C22EE">
        <w:rPr>
          <w:color w:val="auto"/>
          <w:spacing w:val="-4"/>
          <w:szCs w:val="20"/>
          <w:lang w:val="es-ES"/>
        </w:rPr>
        <w:t xml:space="preserve">la Comisión Interamericana </w:t>
      </w:r>
      <w:r w:rsidRPr="007C22EE">
        <w:rPr>
          <w:color w:val="auto"/>
          <w:spacing w:val="-4"/>
          <w:szCs w:val="20"/>
          <w:lang w:val="es-ES"/>
        </w:rPr>
        <w:t xml:space="preserve">remitió sus observaciones a la información remitida por el </w:t>
      </w:r>
      <w:r w:rsidR="001E58D8" w:rsidRPr="007C22EE">
        <w:rPr>
          <w:color w:val="auto"/>
          <w:spacing w:val="-4"/>
          <w:szCs w:val="20"/>
          <w:lang w:val="es-ES"/>
        </w:rPr>
        <w:t xml:space="preserve">Estado y </w:t>
      </w:r>
      <w:r w:rsidRPr="007C22EE">
        <w:rPr>
          <w:color w:val="auto"/>
          <w:spacing w:val="-4"/>
          <w:szCs w:val="20"/>
          <w:lang w:val="es-ES"/>
        </w:rPr>
        <w:t>los representantes</w:t>
      </w:r>
      <w:r w:rsidR="001E58D8" w:rsidRPr="007C22EE">
        <w:rPr>
          <w:color w:val="auto"/>
          <w:spacing w:val="-4"/>
          <w:szCs w:val="20"/>
          <w:lang w:val="es-ES"/>
        </w:rPr>
        <w:t>.</w:t>
      </w:r>
      <w:r w:rsidR="00B36855" w:rsidRPr="007C22EE">
        <w:rPr>
          <w:b/>
          <w:color w:val="auto"/>
          <w:spacing w:val="-4"/>
          <w:szCs w:val="20"/>
          <w:lang w:val="es-ES"/>
        </w:rPr>
        <w:t xml:space="preserve"> </w:t>
      </w:r>
    </w:p>
    <w:p w:rsidR="001E58D8" w:rsidRPr="007C22EE" w:rsidRDefault="001E58D8" w:rsidP="008831BB">
      <w:pPr>
        <w:spacing w:line="240" w:lineRule="auto"/>
        <w:rPr>
          <w:color w:val="auto"/>
          <w:spacing w:val="-4"/>
          <w:szCs w:val="20"/>
          <w:lang w:val="es-ES"/>
        </w:rPr>
      </w:pPr>
    </w:p>
    <w:p w:rsidR="001E58D8" w:rsidRPr="007C22EE" w:rsidRDefault="004F7C47" w:rsidP="008831BB">
      <w:pPr>
        <w:spacing w:line="240" w:lineRule="auto"/>
        <w:rPr>
          <w:b/>
          <w:i/>
          <w:color w:val="auto"/>
          <w:spacing w:val="-4"/>
          <w:szCs w:val="20"/>
        </w:rPr>
      </w:pPr>
      <w:r w:rsidRPr="007C22EE">
        <w:rPr>
          <w:b/>
          <w:color w:val="auto"/>
          <w:spacing w:val="-4"/>
          <w:szCs w:val="20"/>
        </w:rPr>
        <w:t>CONSIDERANDO QUE:</w:t>
      </w:r>
    </w:p>
    <w:p w:rsidR="001E58D8" w:rsidRPr="007C22EE" w:rsidRDefault="001E58D8" w:rsidP="008831BB">
      <w:pPr>
        <w:spacing w:line="240" w:lineRule="auto"/>
        <w:rPr>
          <w:color w:val="auto"/>
          <w:spacing w:val="-4"/>
          <w:szCs w:val="20"/>
        </w:rPr>
      </w:pPr>
    </w:p>
    <w:p w:rsidR="001E58D8" w:rsidRPr="007C22EE" w:rsidRDefault="001E58D8" w:rsidP="008831BB">
      <w:pPr>
        <w:pStyle w:val="ListParagraph"/>
        <w:numPr>
          <w:ilvl w:val="0"/>
          <w:numId w:val="2"/>
        </w:numPr>
        <w:spacing w:line="240" w:lineRule="auto"/>
        <w:rPr>
          <w:spacing w:val="-4"/>
          <w:szCs w:val="20"/>
        </w:rPr>
      </w:pPr>
      <w:r w:rsidRPr="007C22EE">
        <w:rPr>
          <w:color w:val="auto"/>
          <w:spacing w:val="-4"/>
          <w:szCs w:val="20"/>
        </w:rPr>
        <w:t xml:space="preserve">México es Estado Parte en la Convención Americana </w:t>
      </w:r>
      <w:r w:rsidR="00D4621D" w:rsidRPr="007C22EE">
        <w:rPr>
          <w:color w:val="auto"/>
          <w:spacing w:val="-4"/>
          <w:szCs w:val="20"/>
        </w:rPr>
        <w:t xml:space="preserve">sobre Derechos Humanos (en adelante “la Convención Americana” o “la Convención”) </w:t>
      </w:r>
      <w:r w:rsidRPr="007C22EE">
        <w:rPr>
          <w:color w:val="auto"/>
          <w:spacing w:val="-4"/>
          <w:szCs w:val="20"/>
        </w:rPr>
        <w:t xml:space="preserve">desde el 24 de marzo de 1981 y, de acuerdo con el artículo 62 de la </w:t>
      </w:r>
      <w:r w:rsidR="00D4621D" w:rsidRPr="007C22EE">
        <w:rPr>
          <w:color w:val="auto"/>
          <w:spacing w:val="-4"/>
          <w:szCs w:val="20"/>
        </w:rPr>
        <w:t>misma</w:t>
      </w:r>
      <w:r w:rsidRPr="007C22EE">
        <w:rPr>
          <w:color w:val="auto"/>
          <w:spacing w:val="-4"/>
          <w:szCs w:val="20"/>
        </w:rPr>
        <w:t xml:space="preserve">, reconoció la competencia contenciosa </w:t>
      </w:r>
      <w:r w:rsidRPr="007C22EE">
        <w:rPr>
          <w:spacing w:val="-4"/>
          <w:szCs w:val="20"/>
        </w:rPr>
        <w:t>de la Corte el 16 de diciembre de 1998.</w:t>
      </w:r>
    </w:p>
    <w:p w:rsidR="009D4449" w:rsidRPr="007C22EE" w:rsidRDefault="009D4449" w:rsidP="008831BB">
      <w:pPr>
        <w:spacing w:line="240" w:lineRule="auto"/>
        <w:rPr>
          <w:spacing w:val="-4"/>
          <w:szCs w:val="20"/>
          <w:lang w:val="es-MX"/>
        </w:rPr>
      </w:pPr>
    </w:p>
    <w:p w:rsidR="00686AAB" w:rsidRPr="007C22EE" w:rsidRDefault="00D54A0D" w:rsidP="008831BB">
      <w:pPr>
        <w:pStyle w:val="ListParagraph"/>
        <w:numPr>
          <w:ilvl w:val="0"/>
          <w:numId w:val="2"/>
        </w:numPr>
        <w:spacing w:line="240" w:lineRule="auto"/>
        <w:rPr>
          <w:bCs/>
          <w:spacing w:val="-4"/>
          <w:szCs w:val="20"/>
          <w:lang w:val="es-MX"/>
        </w:rPr>
      </w:pPr>
      <w:bookmarkStart w:id="1" w:name="_Ref444073303"/>
      <w:r w:rsidRPr="007C22EE">
        <w:rPr>
          <w:spacing w:val="-4"/>
          <w:szCs w:val="20"/>
          <w:lang w:val="es-MX"/>
        </w:rPr>
        <w:t>En el Derecho Internacional de los Derechos Humanos las medidas provisionales tienen un carácter no sólo cautelar, en el sentido de que preservan una situación jurídica, sino fundamentalmente tutelar, por cuanto protegen derechos humanos, en la medida en que buscan evitar daños irreparables a las personas. Las medidas se aplican siempre y cuando se reúnan los requisitos básicos de extrema gravedad y urgencia y de prevención de daños irreparables a las personas. De esta manera, las medidas provisionales se transforman en una verdadera garantía jurisdiccional de carácter preventivo</w:t>
      </w:r>
      <w:r w:rsidRPr="007C22EE">
        <w:rPr>
          <w:rStyle w:val="FootnoteReference"/>
          <w:spacing w:val="-4"/>
          <w:sz w:val="20"/>
          <w:szCs w:val="20"/>
          <w:lang w:val="es-MX"/>
        </w:rPr>
        <w:footnoteReference w:id="3"/>
      </w:r>
      <w:r w:rsidRPr="007C22EE">
        <w:rPr>
          <w:spacing w:val="-4"/>
          <w:szCs w:val="20"/>
          <w:lang w:val="es-MX"/>
        </w:rPr>
        <w:t>.</w:t>
      </w:r>
      <w:bookmarkEnd w:id="1"/>
    </w:p>
    <w:p w:rsidR="00575A4D" w:rsidRPr="00E66140" w:rsidRDefault="00575A4D" w:rsidP="008831BB">
      <w:pPr>
        <w:spacing w:line="240" w:lineRule="auto"/>
        <w:rPr>
          <w:spacing w:val="-4"/>
          <w:lang w:val="es-MX"/>
        </w:rPr>
      </w:pPr>
    </w:p>
    <w:p w:rsidR="00686AAB" w:rsidRPr="00E66140" w:rsidRDefault="00686AAB" w:rsidP="008831BB">
      <w:pPr>
        <w:pStyle w:val="ListParagraph"/>
        <w:numPr>
          <w:ilvl w:val="0"/>
          <w:numId w:val="2"/>
        </w:numPr>
        <w:spacing w:line="240" w:lineRule="auto"/>
        <w:rPr>
          <w:spacing w:val="-4"/>
        </w:rPr>
      </w:pPr>
      <w:bookmarkStart w:id="2" w:name="_Ref444073293"/>
      <w:r w:rsidRPr="00E66140">
        <w:rPr>
          <w:spacing w:val="-4"/>
        </w:rPr>
        <w:t xml:space="preserve">El artículo 63.2 de la Convención exige que para que la Corte pueda disponer de medidas provisionales deben concurrir tres condiciones: i) “extrema gravedad”; ii) “urgencia”, y iii) que se trate de “evitar daños irreparables a las personas”. Estas tres condiciones son coexistentes y deben estar presentes en toda situación en la que se solicite la intervención del Tribunal. Del </w:t>
      </w:r>
      <w:r w:rsidRPr="00E66140">
        <w:rPr>
          <w:spacing w:val="-4"/>
        </w:rPr>
        <w:lastRenderedPageBreak/>
        <w:t>mismo modo, las tres condiciones descritas deben persistir para que la Corte mantenga la protección ordenada. Si una de ellas ha dejado de tener vigencia, corresponderá al Tribunal valorar la pertinencia de continuar con la protección ordenada.</w:t>
      </w:r>
      <w:bookmarkEnd w:id="2"/>
      <w:r w:rsidRPr="00E66140">
        <w:rPr>
          <w:spacing w:val="-4"/>
        </w:rPr>
        <w:t xml:space="preserve"> </w:t>
      </w:r>
    </w:p>
    <w:p w:rsidR="00271719" w:rsidRPr="00E66140" w:rsidRDefault="00271719" w:rsidP="008831BB">
      <w:pPr>
        <w:spacing w:line="240" w:lineRule="auto"/>
        <w:rPr>
          <w:spacing w:val="-4"/>
        </w:rPr>
      </w:pPr>
    </w:p>
    <w:p w:rsidR="002C4DD9" w:rsidRPr="00E66140" w:rsidRDefault="002C4DD9" w:rsidP="008831BB">
      <w:pPr>
        <w:pStyle w:val="ListParagraph"/>
        <w:numPr>
          <w:ilvl w:val="0"/>
          <w:numId w:val="2"/>
        </w:numPr>
        <w:spacing w:line="240" w:lineRule="auto"/>
        <w:rPr>
          <w:spacing w:val="-4"/>
          <w:lang w:val="es-CR"/>
        </w:rPr>
      </w:pPr>
      <w:bookmarkStart w:id="3" w:name="_Ref444073325"/>
      <w:r w:rsidRPr="00E66140">
        <w:rPr>
          <w:spacing w:val="-4"/>
          <w:lang w:val="es-CR"/>
        </w:rPr>
        <w:t>Si un Estado solicita el levantamiento o la modificación de las medidas provisionales ordenadas, deberá presentar la suficiente prueba y argumentación que permita al Tribunal apreciar que el riesgo o la amenaza ya no reúne los requisitos de extrema gravedad y urgencia de evitar daños irreparables. A su vez los representantes de los beneficiarios que deseen que las medidas continúen, deberán presentar prueba de las razones para ello</w:t>
      </w:r>
      <w:r w:rsidRPr="00E66140">
        <w:rPr>
          <w:spacing w:val="-4"/>
          <w:vertAlign w:val="superscript"/>
          <w:lang w:val="es-CR"/>
        </w:rPr>
        <w:footnoteReference w:id="4"/>
      </w:r>
      <w:r w:rsidRPr="00E66140">
        <w:rPr>
          <w:spacing w:val="-4"/>
          <w:lang w:val="es-CR"/>
        </w:rPr>
        <w:t>. La Corte recuerda que el mantenimiento de las medidas de protección exige una evaluación más rigurosa de este Tribunal en cuanto a la persistencia de la situación que dio origen a las mismas</w:t>
      </w:r>
      <w:r w:rsidRPr="00E66140">
        <w:rPr>
          <w:spacing w:val="-4"/>
          <w:vertAlign w:val="superscript"/>
          <w:lang w:val="es-CR"/>
        </w:rPr>
        <w:footnoteReference w:id="5"/>
      </w:r>
      <w:r w:rsidRPr="00E66140">
        <w:rPr>
          <w:spacing w:val="-4"/>
          <w:lang w:val="es-CR"/>
        </w:rPr>
        <w:t>.</w:t>
      </w:r>
      <w:bookmarkEnd w:id="3"/>
    </w:p>
    <w:p w:rsidR="009D4449" w:rsidRPr="00E66140" w:rsidRDefault="009D4449" w:rsidP="008831BB">
      <w:pPr>
        <w:spacing w:line="240" w:lineRule="auto"/>
        <w:rPr>
          <w:spacing w:val="-4"/>
        </w:rPr>
      </w:pPr>
    </w:p>
    <w:p w:rsidR="009D4449" w:rsidRPr="00E66140" w:rsidRDefault="009D4449" w:rsidP="008831BB">
      <w:pPr>
        <w:pStyle w:val="ListParagraph"/>
        <w:numPr>
          <w:ilvl w:val="0"/>
          <w:numId w:val="2"/>
        </w:numPr>
        <w:spacing w:line="240" w:lineRule="auto"/>
        <w:rPr>
          <w:spacing w:val="-4"/>
        </w:rPr>
      </w:pPr>
      <w:r w:rsidRPr="00E66140">
        <w:rPr>
          <w:spacing w:val="-4"/>
        </w:rPr>
        <w:t>Asimismo, este Tribunal recuerda que en razón de su competencia, en el marco de medidas provisionales debe considerar únicamente aquellos argumentos que se relacionen estricta y directamente con la extrema gravedad, urgencia y necesidad de evitar daños irreparables a las personas. Es así que, a efectos de decidir si se mantiene la vigencia de las medidas provisionales, este Tribunal debe analizar si persiste la situación que determinó su adopción, o bien si nuevas circunstancias igualmente graves y urgentes ameritan su mantenimiento</w:t>
      </w:r>
      <w:r w:rsidRPr="00E66140">
        <w:rPr>
          <w:rStyle w:val="FootnoteReference"/>
          <w:spacing w:val="-4"/>
          <w:sz w:val="20"/>
          <w:szCs w:val="20"/>
        </w:rPr>
        <w:footnoteReference w:id="6"/>
      </w:r>
      <w:r w:rsidRPr="00E66140">
        <w:rPr>
          <w:spacing w:val="-4"/>
        </w:rPr>
        <w:t>. Cualquier otro hecho o argumento sólo puede ser analizado y resuelto por la Corte mediante la consideración del fondo de un caso contencioso o dentro del proceso de supervisión de cumplimiento de la sentencia respectiva</w:t>
      </w:r>
      <w:r w:rsidRPr="00E66140">
        <w:rPr>
          <w:rStyle w:val="FootnoteReference"/>
          <w:spacing w:val="-4"/>
          <w:sz w:val="20"/>
          <w:szCs w:val="20"/>
        </w:rPr>
        <w:footnoteReference w:id="7"/>
      </w:r>
      <w:r w:rsidRPr="00E66140">
        <w:rPr>
          <w:spacing w:val="-4"/>
        </w:rPr>
        <w:t>.</w:t>
      </w:r>
    </w:p>
    <w:p w:rsidR="009D4449" w:rsidRPr="00E66140" w:rsidRDefault="009D4449" w:rsidP="008831BB">
      <w:pPr>
        <w:spacing w:line="240" w:lineRule="auto"/>
        <w:rPr>
          <w:spacing w:val="-4"/>
        </w:rPr>
      </w:pPr>
    </w:p>
    <w:p w:rsidR="00C87786" w:rsidRPr="00E66140" w:rsidRDefault="00DC3577" w:rsidP="008831BB">
      <w:pPr>
        <w:pStyle w:val="ListParagraph"/>
        <w:numPr>
          <w:ilvl w:val="0"/>
          <w:numId w:val="2"/>
        </w:numPr>
        <w:spacing w:line="240" w:lineRule="auto"/>
        <w:rPr>
          <w:spacing w:val="-4"/>
          <w:lang w:val="es-ES"/>
        </w:rPr>
      </w:pPr>
      <w:r w:rsidRPr="00E66140">
        <w:rPr>
          <w:spacing w:val="-4"/>
        </w:rPr>
        <w:t xml:space="preserve">De conformidad con lo expuesto en la Resolución de 23 de junio de 2015, las presentes medidas se mantendrían por un período adicional, a efectos de que la Corte pudiera evaluar su pertinencia, luego de recibir información específica solicitada al Estado y a los representantes sobre la situación de riesgo de las beneficiarias. </w:t>
      </w:r>
      <w:r w:rsidR="00FB66DD">
        <w:rPr>
          <w:spacing w:val="-4"/>
        </w:rPr>
        <w:t>Asimismo, la C</w:t>
      </w:r>
      <w:r w:rsidR="007149AD" w:rsidRPr="00E66140">
        <w:rPr>
          <w:spacing w:val="-4"/>
        </w:rPr>
        <w:t>orte solicitó a las partes y a la Comisión la remisión de cierta información relativa a la implementación de las medidas de protección. Por consiguiente</w:t>
      </w:r>
      <w:r w:rsidR="004E2D09" w:rsidRPr="00E66140">
        <w:rPr>
          <w:spacing w:val="-4"/>
        </w:rPr>
        <w:t xml:space="preserve">, </w:t>
      </w:r>
      <w:r w:rsidR="000346FC" w:rsidRPr="00E66140">
        <w:rPr>
          <w:spacing w:val="-4"/>
        </w:rPr>
        <w:t xml:space="preserve">este </w:t>
      </w:r>
      <w:r w:rsidR="00F66F74" w:rsidRPr="00E66140">
        <w:rPr>
          <w:spacing w:val="-4"/>
        </w:rPr>
        <w:t>Tribunal examinará</w:t>
      </w:r>
      <w:r w:rsidR="00C40674" w:rsidRPr="00E66140">
        <w:rPr>
          <w:spacing w:val="-4"/>
        </w:rPr>
        <w:t xml:space="preserve"> la información remitida por las partes y la Comisión sobre</w:t>
      </w:r>
      <w:r w:rsidR="00F66F74" w:rsidRPr="00E66140">
        <w:rPr>
          <w:spacing w:val="-4"/>
        </w:rPr>
        <w:t>: (</w:t>
      </w:r>
      <w:r w:rsidR="007C771C" w:rsidRPr="00E66140">
        <w:rPr>
          <w:spacing w:val="-4"/>
        </w:rPr>
        <w:t>A</w:t>
      </w:r>
      <w:r w:rsidR="004E2D09" w:rsidRPr="00E66140">
        <w:rPr>
          <w:spacing w:val="-4"/>
        </w:rPr>
        <w:t xml:space="preserve">) la </w:t>
      </w:r>
      <w:r w:rsidR="00F66F74" w:rsidRPr="00E66140">
        <w:rPr>
          <w:spacing w:val="-4"/>
        </w:rPr>
        <w:t xml:space="preserve"> implementación de las medidas provisionales</w:t>
      </w:r>
      <w:r w:rsidR="00002D55" w:rsidRPr="00E66140">
        <w:rPr>
          <w:spacing w:val="-4"/>
        </w:rPr>
        <w:t xml:space="preserve"> </w:t>
      </w:r>
      <w:r w:rsidR="00F66F74" w:rsidRPr="00E66140">
        <w:rPr>
          <w:spacing w:val="-4"/>
        </w:rPr>
        <w:t>y (</w:t>
      </w:r>
      <w:r w:rsidR="007C771C" w:rsidRPr="00E66140">
        <w:rPr>
          <w:spacing w:val="-4"/>
        </w:rPr>
        <w:t>B</w:t>
      </w:r>
      <w:r w:rsidR="00F66F74" w:rsidRPr="00E66140">
        <w:rPr>
          <w:spacing w:val="-4"/>
        </w:rPr>
        <w:t xml:space="preserve">) la </w:t>
      </w:r>
      <w:r w:rsidR="00074C8D" w:rsidRPr="00E66140">
        <w:rPr>
          <w:spacing w:val="-4"/>
          <w:lang w:val="es-ES"/>
        </w:rPr>
        <w:t>situación</w:t>
      </w:r>
      <w:r w:rsidR="00110796" w:rsidRPr="00E66140">
        <w:rPr>
          <w:spacing w:val="-4"/>
        </w:rPr>
        <w:t xml:space="preserve"> de riesgo de </w:t>
      </w:r>
      <w:r w:rsidR="00F66F74" w:rsidRPr="00E66140">
        <w:rPr>
          <w:spacing w:val="-4"/>
          <w:lang w:val="es-ES"/>
        </w:rPr>
        <w:t>las beneficiarias.</w:t>
      </w:r>
      <w:r w:rsidR="000E2A92" w:rsidRPr="00E66140">
        <w:rPr>
          <w:spacing w:val="-4"/>
          <w:lang w:val="es-ES"/>
        </w:rPr>
        <w:t xml:space="preserve"> </w:t>
      </w:r>
      <w:bookmarkStart w:id="4" w:name="_Ref416263072"/>
    </w:p>
    <w:p w:rsidR="00C87786" w:rsidRPr="00E66140" w:rsidRDefault="00C87786" w:rsidP="00584445">
      <w:pPr>
        <w:spacing w:before="60" w:after="60" w:line="240" w:lineRule="auto"/>
        <w:rPr>
          <w:spacing w:val="-4"/>
          <w:lang w:val="es-ES"/>
        </w:rPr>
      </w:pPr>
    </w:p>
    <w:p w:rsidR="00C87786" w:rsidRPr="00E66140" w:rsidRDefault="00C87786" w:rsidP="00584445">
      <w:pPr>
        <w:pStyle w:val="ListParagraph"/>
        <w:numPr>
          <w:ilvl w:val="0"/>
          <w:numId w:val="3"/>
        </w:numPr>
        <w:spacing w:before="60" w:after="60" w:line="240" w:lineRule="auto"/>
        <w:rPr>
          <w:b/>
          <w:i/>
          <w:spacing w:val="-4"/>
          <w:sz w:val="18"/>
          <w:szCs w:val="18"/>
        </w:rPr>
      </w:pPr>
      <w:r w:rsidRPr="00E66140">
        <w:rPr>
          <w:b/>
          <w:i/>
          <w:spacing w:val="-4"/>
        </w:rPr>
        <w:t>Sobre la implementación de las medidas provisionales</w:t>
      </w:r>
    </w:p>
    <w:p w:rsidR="00D82719" w:rsidRPr="00E66140" w:rsidRDefault="00D82719" w:rsidP="00584445">
      <w:pPr>
        <w:spacing w:before="60" w:after="60" w:line="240" w:lineRule="auto"/>
        <w:rPr>
          <w:spacing w:val="-4"/>
        </w:rPr>
      </w:pPr>
    </w:p>
    <w:p w:rsidR="00446552" w:rsidRPr="00E66140" w:rsidRDefault="00DF15C5" w:rsidP="008831BB">
      <w:pPr>
        <w:pStyle w:val="ListParagraph"/>
        <w:numPr>
          <w:ilvl w:val="0"/>
          <w:numId w:val="2"/>
        </w:numPr>
        <w:spacing w:line="240" w:lineRule="auto"/>
        <w:rPr>
          <w:spacing w:val="-4"/>
          <w:lang w:val="es-ES"/>
        </w:rPr>
      </w:pPr>
      <w:r w:rsidRPr="00E66140">
        <w:rPr>
          <w:spacing w:val="-4"/>
          <w:lang w:val="es-ES"/>
        </w:rPr>
        <w:t xml:space="preserve">En </w:t>
      </w:r>
      <w:r w:rsidR="00D3040E">
        <w:rPr>
          <w:spacing w:val="-4"/>
          <w:lang w:val="es-ES"/>
        </w:rPr>
        <w:t>la</w:t>
      </w:r>
      <w:r w:rsidR="00D3040E" w:rsidRPr="00E66140">
        <w:rPr>
          <w:spacing w:val="-4"/>
          <w:lang w:val="es-ES"/>
        </w:rPr>
        <w:t xml:space="preserve"> </w:t>
      </w:r>
      <w:r w:rsidRPr="00E66140">
        <w:rPr>
          <w:spacing w:val="-4"/>
          <w:lang w:val="es-ES"/>
        </w:rPr>
        <w:t xml:space="preserve">Resolución de 23 de junio de 2015, </w:t>
      </w:r>
      <w:r w:rsidR="00446552" w:rsidRPr="00E66140">
        <w:rPr>
          <w:spacing w:val="-4"/>
          <w:lang w:val="es-ES"/>
        </w:rPr>
        <w:t xml:space="preserve">frente a la información presentada por las partes sobre las medidas de protección </w:t>
      </w:r>
      <w:r w:rsidR="00931BCF">
        <w:rPr>
          <w:spacing w:val="-4"/>
          <w:lang w:val="es-ES"/>
        </w:rPr>
        <w:t>y algunas</w:t>
      </w:r>
      <w:r w:rsidR="00446552" w:rsidRPr="00E66140">
        <w:rPr>
          <w:spacing w:val="-4"/>
          <w:lang w:val="es-ES"/>
        </w:rPr>
        <w:t xml:space="preserve"> dificultades enfrentadas para </w:t>
      </w:r>
      <w:r w:rsidR="00931BCF">
        <w:rPr>
          <w:spacing w:val="-4"/>
          <w:lang w:val="es-ES"/>
        </w:rPr>
        <w:t>su</w:t>
      </w:r>
      <w:r w:rsidR="00BF31A1">
        <w:rPr>
          <w:spacing w:val="-4"/>
          <w:lang w:val="es-ES"/>
        </w:rPr>
        <w:t xml:space="preserve"> adecuada </w:t>
      </w:r>
      <w:r w:rsidR="00446552" w:rsidRPr="00E66140">
        <w:rPr>
          <w:spacing w:val="-4"/>
          <w:lang w:val="es-ES"/>
        </w:rPr>
        <w:t xml:space="preserve">y efectiva implementación, </w:t>
      </w:r>
      <w:r w:rsidRPr="00E66140">
        <w:rPr>
          <w:spacing w:val="-4"/>
          <w:lang w:val="es-ES"/>
        </w:rPr>
        <w:t xml:space="preserve">la Corte solicitó al Estado que </w:t>
      </w:r>
      <w:r w:rsidR="008C2C4B" w:rsidRPr="00E66140">
        <w:rPr>
          <w:spacing w:val="-4"/>
          <w:lang w:val="es-ES"/>
        </w:rPr>
        <w:t xml:space="preserve">en su próximo informe </w:t>
      </w:r>
      <w:r w:rsidRPr="00E66140">
        <w:rPr>
          <w:spacing w:val="-4"/>
          <w:lang w:val="es-ES"/>
        </w:rPr>
        <w:t xml:space="preserve">se refiriera a </w:t>
      </w:r>
      <w:r w:rsidR="00446552" w:rsidRPr="00E66140">
        <w:rPr>
          <w:spacing w:val="-4"/>
          <w:lang w:val="es-ES"/>
        </w:rPr>
        <w:t xml:space="preserve">los siguientes </w:t>
      </w:r>
      <w:r w:rsidR="003075EE" w:rsidRPr="00E66140">
        <w:rPr>
          <w:spacing w:val="-4"/>
          <w:lang w:val="es-ES"/>
        </w:rPr>
        <w:t xml:space="preserve">aspectos de </w:t>
      </w:r>
      <w:r w:rsidR="00931BCF">
        <w:rPr>
          <w:spacing w:val="-4"/>
          <w:lang w:val="es-ES"/>
        </w:rPr>
        <w:t>dichas</w:t>
      </w:r>
      <w:r w:rsidR="003075EE" w:rsidRPr="00E66140">
        <w:rPr>
          <w:spacing w:val="-4"/>
          <w:lang w:val="es-ES"/>
        </w:rPr>
        <w:t xml:space="preserve"> medidas: </w:t>
      </w:r>
      <w:r w:rsidR="008C2C4B" w:rsidRPr="00E66140">
        <w:rPr>
          <w:spacing w:val="-4"/>
        </w:rPr>
        <w:t xml:space="preserve">(i) la reposición de los equipos de comunicación, así como del diseño de un mecanismo más expedito y eficiente para la reposición de los aparatos telefónicos cuando presentan problemas de funcionamiento; (ii) la realización del taller de detección de vigilancia y reacción ante cualquier acto de hostigamiento y </w:t>
      </w:r>
      <w:r w:rsidR="00FB66DD">
        <w:rPr>
          <w:spacing w:val="-4"/>
        </w:rPr>
        <w:t>e</w:t>
      </w:r>
      <w:r w:rsidR="00C062DD">
        <w:rPr>
          <w:spacing w:val="-4"/>
        </w:rPr>
        <w:t xml:space="preserve">l curso de autodefensa, así como </w:t>
      </w:r>
      <w:r w:rsidR="008C2C4B" w:rsidRPr="00E66140">
        <w:rPr>
          <w:spacing w:val="-4"/>
        </w:rPr>
        <w:t xml:space="preserve">un cronograma </w:t>
      </w:r>
      <w:r w:rsidR="008C2C4B" w:rsidRPr="00E66140">
        <w:rPr>
          <w:spacing w:val="-4"/>
        </w:rPr>
        <w:lastRenderedPageBreak/>
        <w:t xml:space="preserve">para su realización; (iii) </w:t>
      </w:r>
      <w:r w:rsidR="008C2C4B" w:rsidRPr="00E66140">
        <w:rPr>
          <w:spacing w:val="-4"/>
          <w:lang w:val="es-CR"/>
        </w:rPr>
        <w:t xml:space="preserve">ciertas medidas </w:t>
      </w:r>
      <w:r w:rsidR="00C87786" w:rsidRPr="00E66140">
        <w:rPr>
          <w:spacing w:val="-4"/>
          <w:lang w:val="es-CR"/>
        </w:rPr>
        <w:t xml:space="preserve">indicadas </w:t>
      </w:r>
      <w:r w:rsidR="008C2C4B" w:rsidRPr="00E66140">
        <w:rPr>
          <w:spacing w:val="-4"/>
          <w:lang w:val="es-CR"/>
        </w:rPr>
        <w:t xml:space="preserve">por los representantes en 2011 </w:t>
      </w:r>
      <w:r w:rsidR="00C87786" w:rsidRPr="00E66140">
        <w:rPr>
          <w:spacing w:val="-4"/>
          <w:lang w:val="es-CR"/>
        </w:rPr>
        <w:t>como pendientes de implementación</w:t>
      </w:r>
      <w:r w:rsidR="008C2C4B" w:rsidRPr="00E66140">
        <w:rPr>
          <w:spacing w:val="-4"/>
          <w:lang w:val="es-CR"/>
        </w:rPr>
        <w:t xml:space="preserve">, </w:t>
      </w:r>
      <w:r w:rsidR="00C062DD">
        <w:rPr>
          <w:spacing w:val="-4"/>
          <w:lang w:val="es-CR"/>
        </w:rPr>
        <w:t xml:space="preserve">y </w:t>
      </w:r>
      <w:r w:rsidR="008C2C4B" w:rsidRPr="00E66140">
        <w:rPr>
          <w:spacing w:val="-4"/>
          <w:lang w:val="es-CR"/>
        </w:rPr>
        <w:t xml:space="preserve">(iv) la celebración de </w:t>
      </w:r>
      <w:r w:rsidR="00C87786" w:rsidRPr="00E66140">
        <w:rPr>
          <w:spacing w:val="-4"/>
          <w:lang w:val="es-CR"/>
        </w:rPr>
        <w:t xml:space="preserve">reuniones </w:t>
      </w:r>
      <w:r w:rsidR="008C2C4B" w:rsidRPr="00E66140">
        <w:rPr>
          <w:spacing w:val="-4"/>
        </w:rPr>
        <w:t xml:space="preserve">entre las partes como </w:t>
      </w:r>
      <w:r w:rsidR="003075EE" w:rsidRPr="00E66140">
        <w:rPr>
          <w:rFonts w:cs="Arial"/>
          <w:spacing w:val="-4"/>
          <w:lang w:val="es-CR"/>
        </w:rPr>
        <w:t>m</w:t>
      </w:r>
      <w:r w:rsidRPr="00E66140">
        <w:rPr>
          <w:rFonts w:cs="Arial"/>
          <w:spacing w:val="-4"/>
          <w:lang w:val="es-CR"/>
        </w:rPr>
        <w:t>ecanismos de comunicación periódica</w:t>
      </w:r>
      <w:r w:rsidR="00C87786" w:rsidRPr="00E66140">
        <w:rPr>
          <w:rFonts w:cs="Arial"/>
          <w:spacing w:val="-4"/>
          <w:lang w:val="es-CR"/>
        </w:rPr>
        <w:t>. Asimismo, se solicitó a los representantes</w:t>
      </w:r>
      <w:r w:rsidR="006069B8">
        <w:rPr>
          <w:rFonts w:cs="Arial"/>
          <w:spacing w:val="-4"/>
          <w:lang w:val="es-CR"/>
        </w:rPr>
        <w:t>:</w:t>
      </w:r>
      <w:r w:rsidR="00C87786" w:rsidRPr="00E66140">
        <w:rPr>
          <w:rFonts w:cs="Arial"/>
          <w:spacing w:val="-4"/>
          <w:lang w:val="es-CR"/>
        </w:rPr>
        <w:t xml:space="preserve"> </w:t>
      </w:r>
      <w:r w:rsidR="00DD3794" w:rsidRPr="00E66140">
        <w:rPr>
          <w:spacing w:val="-4"/>
        </w:rPr>
        <w:t>(i) dar una respuesta al Estado sobre los oficiales designados para la realización de los acompañamientos a las beneficiarias, a la mayor brevedad posible, a fin de permitir la efectiva implementación de esta medida</w:t>
      </w:r>
      <w:r w:rsidR="00931BCF">
        <w:rPr>
          <w:spacing w:val="-4"/>
        </w:rPr>
        <w:t>, e (ii) informar sobre la celebración de reuniones con el Estado</w:t>
      </w:r>
      <w:r w:rsidR="00DD3794" w:rsidRPr="00E66140">
        <w:rPr>
          <w:spacing w:val="-4"/>
        </w:rPr>
        <w:t>.</w:t>
      </w:r>
      <w:r w:rsidR="00931BCF">
        <w:rPr>
          <w:spacing w:val="-4"/>
        </w:rPr>
        <w:t xml:space="preserve"> </w:t>
      </w:r>
      <w:r w:rsidR="00446552" w:rsidRPr="00E66140">
        <w:rPr>
          <w:spacing w:val="-4"/>
        </w:rPr>
        <w:t xml:space="preserve"> </w:t>
      </w:r>
    </w:p>
    <w:p w:rsidR="00446552" w:rsidRPr="00E66140" w:rsidRDefault="00446552" w:rsidP="008831BB">
      <w:pPr>
        <w:pStyle w:val="ListParagraph"/>
        <w:spacing w:line="240" w:lineRule="auto"/>
        <w:rPr>
          <w:spacing w:val="-4"/>
          <w:lang w:val="es-ES"/>
        </w:rPr>
      </w:pPr>
    </w:p>
    <w:p w:rsidR="00E376D1" w:rsidRPr="00E66140" w:rsidRDefault="00F75FEC" w:rsidP="008831BB">
      <w:pPr>
        <w:pStyle w:val="BodyText2"/>
        <w:numPr>
          <w:ilvl w:val="0"/>
          <w:numId w:val="2"/>
        </w:numPr>
        <w:spacing w:after="0" w:line="240" w:lineRule="auto"/>
        <w:rPr>
          <w:rFonts w:ascii="Verdana" w:hAnsi="Verdana"/>
          <w:spacing w:val="-4"/>
          <w:lang w:val="es-CR"/>
        </w:rPr>
      </w:pPr>
      <w:r w:rsidRPr="00E66140">
        <w:rPr>
          <w:rFonts w:ascii="Verdana" w:hAnsi="Verdana"/>
          <w:spacing w:val="-4"/>
          <w:lang w:val="es-ES"/>
        </w:rPr>
        <w:t>En respuesta a dichas solicitudes de información, e</w:t>
      </w:r>
      <w:r w:rsidR="003075EE" w:rsidRPr="00E66140">
        <w:rPr>
          <w:rFonts w:ascii="Verdana" w:hAnsi="Verdana"/>
          <w:spacing w:val="-4"/>
          <w:lang w:val="es-ES"/>
        </w:rPr>
        <w:t xml:space="preserve">l </w:t>
      </w:r>
      <w:r w:rsidR="00EE2326" w:rsidRPr="00E66140">
        <w:rPr>
          <w:rFonts w:ascii="Verdana" w:hAnsi="Verdana"/>
          <w:b/>
          <w:i/>
          <w:spacing w:val="-4"/>
          <w:lang w:val="es-ES"/>
        </w:rPr>
        <w:t>Estado</w:t>
      </w:r>
      <w:r w:rsidR="00EE2326" w:rsidRPr="00E66140">
        <w:rPr>
          <w:rFonts w:ascii="Verdana" w:hAnsi="Verdana"/>
          <w:b/>
          <w:spacing w:val="-4"/>
          <w:lang w:val="es-ES"/>
        </w:rPr>
        <w:t xml:space="preserve"> </w:t>
      </w:r>
      <w:r w:rsidR="00087E61" w:rsidRPr="00E66140">
        <w:rPr>
          <w:rFonts w:ascii="Verdana" w:hAnsi="Verdana"/>
          <w:spacing w:val="-4"/>
          <w:lang w:val="es-ES"/>
        </w:rPr>
        <w:t>in</w:t>
      </w:r>
      <w:r w:rsidR="00931BCF">
        <w:rPr>
          <w:rFonts w:ascii="Verdana" w:hAnsi="Verdana"/>
          <w:spacing w:val="-4"/>
          <w:lang w:val="es-ES"/>
        </w:rPr>
        <w:t>dicó</w:t>
      </w:r>
      <w:r w:rsidR="00087E61" w:rsidRPr="00E66140">
        <w:rPr>
          <w:rFonts w:ascii="Verdana" w:hAnsi="Verdana"/>
          <w:spacing w:val="-4"/>
          <w:lang w:val="es-ES"/>
        </w:rPr>
        <w:t xml:space="preserve"> que</w:t>
      </w:r>
      <w:r w:rsidR="003075EE" w:rsidRPr="00E66140">
        <w:rPr>
          <w:rFonts w:ascii="Verdana" w:eastAsia="Calibri" w:hAnsi="Verdana"/>
          <w:b/>
          <w:spacing w:val="-4"/>
          <w:lang w:val="es-CR"/>
        </w:rPr>
        <w:t xml:space="preserve"> </w:t>
      </w:r>
      <w:r w:rsidR="00DF15C5" w:rsidRPr="00E66140">
        <w:rPr>
          <w:rFonts w:ascii="Verdana" w:hAnsi="Verdana"/>
          <w:spacing w:val="-4"/>
          <w:lang w:val="es-ES"/>
        </w:rPr>
        <w:t xml:space="preserve">el 27 de octubre de 2015 entregó a las beneficiarias </w:t>
      </w:r>
      <w:r w:rsidR="003075EE" w:rsidRPr="00E66140">
        <w:rPr>
          <w:rFonts w:ascii="Verdana" w:hAnsi="Verdana"/>
          <w:spacing w:val="-4"/>
          <w:lang w:val="es-ES"/>
        </w:rPr>
        <w:t xml:space="preserve">cuatro </w:t>
      </w:r>
      <w:r w:rsidR="00DF15C5" w:rsidRPr="00E66140">
        <w:rPr>
          <w:rFonts w:ascii="Verdana" w:hAnsi="Verdana"/>
          <w:spacing w:val="-4"/>
          <w:lang w:val="es-ES"/>
        </w:rPr>
        <w:t>teléfonos celulares y un</w:t>
      </w:r>
      <w:r w:rsidR="00087E61" w:rsidRPr="00E66140">
        <w:rPr>
          <w:rFonts w:ascii="Verdana" w:hAnsi="Verdana"/>
          <w:spacing w:val="-4"/>
          <w:lang w:val="es-ES"/>
        </w:rPr>
        <w:t xml:space="preserve"> teléfono</w:t>
      </w:r>
      <w:r w:rsidR="00DF15C5" w:rsidRPr="00E66140">
        <w:rPr>
          <w:rFonts w:ascii="Verdana" w:hAnsi="Verdana"/>
          <w:spacing w:val="-4"/>
          <w:lang w:val="es-ES"/>
        </w:rPr>
        <w:t xml:space="preserve"> satelital en sustitución de los equipos </w:t>
      </w:r>
      <w:r w:rsidR="007E49AF" w:rsidRPr="00E66140">
        <w:rPr>
          <w:rFonts w:ascii="Verdana" w:hAnsi="Verdana"/>
          <w:spacing w:val="-4"/>
          <w:lang w:val="es-ES"/>
        </w:rPr>
        <w:t>que no funcionaban</w:t>
      </w:r>
      <w:r w:rsidR="00087E61" w:rsidRPr="00E66140">
        <w:rPr>
          <w:rFonts w:ascii="Verdana" w:hAnsi="Verdana"/>
          <w:spacing w:val="-4"/>
          <w:lang w:val="es-ES"/>
        </w:rPr>
        <w:t>. Aclaró que en la comunidad de Ayutla de los Libres “sí existe cobertura de la compañía de telefonía celular con el que cuentan las beneficiarias”</w:t>
      </w:r>
      <w:r w:rsidR="007E49AF" w:rsidRPr="00E66140">
        <w:rPr>
          <w:rFonts w:ascii="Verdana" w:hAnsi="Verdana"/>
          <w:spacing w:val="-4"/>
          <w:lang w:val="es-ES"/>
        </w:rPr>
        <w:t xml:space="preserve"> y que </w:t>
      </w:r>
      <w:r w:rsidR="006069B8">
        <w:rPr>
          <w:rFonts w:ascii="Verdana" w:hAnsi="Verdana"/>
          <w:spacing w:val="-4"/>
          <w:lang w:val="es-ES"/>
        </w:rPr>
        <w:t>“</w:t>
      </w:r>
      <w:r w:rsidR="007E49AF" w:rsidRPr="00E66140">
        <w:rPr>
          <w:rFonts w:ascii="Verdana" w:hAnsi="Verdana"/>
          <w:spacing w:val="-4"/>
          <w:lang w:val="es-CR"/>
        </w:rPr>
        <w:t>ha garantizado en todo momento la comunicación de las beneficiarias en cualquier caso de emergencia</w:t>
      </w:r>
      <w:r w:rsidR="006069B8">
        <w:rPr>
          <w:rFonts w:ascii="Verdana" w:hAnsi="Verdana"/>
          <w:spacing w:val="-4"/>
          <w:lang w:val="es-CR"/>
        </w:rPr>
        <w:t>”</w:t>
      </w:r>
      <w:r w:rsidR="007E49AF" w:rsidRPr="00E66140">
        <w:rPr>
          <w:rFonts w:ascii="Verdana" w:hAnsi="Verdana"/>
          <w:spacing w:val="-4"/>
          <w:lang w:val="es-CR"/>
        </w:rPr>
        <w:t>, ya que cuando los equipos han presentado problemas ha organizado reuniones de seguimiento.</w:t>
      </w:r>
      <w:r w:rsidR="00087E61" w:rsidRPr="00E66140">
        <w:rPr>
          <w:rFonts w:ascii="Verdana" w:hAnsi="Verdana"/>
          <w:spacing w:val="-4"/>
          <w:lang w:val="es-ES"/>
        </w:rPr>
        <w:t xml:space="preserve"> </w:t>
      </w:r>
      <w:bookmarkStart w:id="5" w:name="_Ref414009747"/>
      <w:bookmarkStart w:id="6" w:name="_Ref413936067"/>
      <w:r w:rsidR="007E49AF" w:rsidRPr="00E66140">
        <w:rPr>
          <w:rFonts w:ascii="Verdana" w:hAnsi="Verdana"/>
          <w:spacing w:val="-4"/>
          <w:lang w:val="es-ES"/>
        </w:rPr>
        <w:t>Respecto al curso de autodefensa,</w:t>
      </w:r>
      <w:r w:rsidR="00BF31A1">
        <w:rPr>
          <w:rFonts w:ascii="Verdana" w:hAnsi="Verdana"/>
          <w:spacing w:val="-4"/>
          <w:lang w:val="es-ES"/>
        </w:rPr>
        <w:t xml:space="preserve"> </w:t>
      </w:r>
      <w:r w:rsidR="007E49AF" w:rsidRPr="00E66140">
        <w:rPr>
          <w:rFonts w:ascii="Verdana" w:hAnsi="Verdana"/>
          <w:spacing w:val="-4"/>
          <w:lang w:val="es-ES"/>
        </w:rPr>
        <w:t xml:space="preserve">informó que se encontraba analizando con la </w:t>
      </w:r>
      <w:r w:rsidR="007E49AF" w:rsidRPr="00E66140">
        <w:rPr>
          <w:rFonts w:ascii="Verdana" w:eastAsia="Calibri" w:hAnsi="Verdana"/>
          <w:spacing w:val="-4"/>
          <w:lang w:val="es-CR"/>
        </w:rPr>
        <w:t xml:space="preserve">organización </w:t>
      </w:r>
      <w:r w:rsidR="007E49AF" w:rsidRPr="00E66140">
        <w:rPr>
          <w:rFonts w:ascii="Verdana" w:eastAsia="Calibri" w:hAnsi="Verdana"/>
          <w:i/>
          <w:spacing w:val="-4"/>
          <w:lang w:val="es-CR"/>
        </w:rPr>
        <w:t>Freedom House</w:t>
      </w:r>
      <w:r w:rsidR="007E49AF" w:rsidRPr="00E66140">
        <w:rPr>
          <w:rFonts w:ascii="Verdana" w:eastAsia="Calibri" w:hAnsi="Verdana"/>
          <w:spacing w:val="-4"/>
          <w:lang w:val="es-CR"/>
        </w:rPr>
        <w:t xml:space="preserve"> el esquema para la impartición del curso de autoprotección, así como los contenidos del mismo, los cuales discutiría en una reunión de trabajo que convocaría con los representantes y beneficiarias. </w:t>
      </w:r>
      <w:bookmarkEnd w:id="5"/>
      <w:r w:rsidR="00087E61" w:rsidRPr="00E66140">
        <w:rPr>
          <w:rFonts w:ascii="Verdana" w:hAnsi="Verdana"/>
          <w:spacing w:val="-4"/>
          <w:lang w:val="es-ES"/>
        </w:rPr>
        <w:t xml:space="preserve">Precisó que las medidas referidas por los representantes en 2011 constituían </w:t>
      </w:r>
      <w:r w:rsidR="00087E61" w:rsidRPr="00E66140">
        <w:rPr>
          <w:rFonts w:ascii="Verdana" w:eastAsia="Calibri" w:hAnsi="Verdana"/>
          <w:spacing w:val="-4"/>
          <w:lang w:val="es-CR"/>
        </w:rPr>
        <w:t xml:space="preserve">recomendaciones formuladas por </w:t>
      </w:r>
      <w:r w:rsidR="00087E61" w:rsidRPr="00E66140">
        <w:rPr>
          <w:rFonts w:ascii="Verdana" w:hAnsi="Verdana"/>
          <w:spacing w:val="-4"/>
          <w:lang w:val="es-ES"/>
        </w:rPr>
        <w:t xml:space="preserve">la </w:t>
      </w:r>
      <w:r w:rsidR="00087E61" w:rsidRPr="00E66140">
        <w:rPr>
          <w:rFonts w:ascii="Verdana" w:eastAsia="Calibri" w:hAnsi="Verdana"/>
          <w:spacing w:val="-4"/>
          <w:lang w:val="es-CR"/>
        </w:rPr>
        <w:t xml:space="preserve">organización </w:t>
      </w:r>
      <w:r w:rsidR="00087E61" w:rsidRPr="00E66140">
        <w:rPr>
          <w:rFonts w:ascii="Verdana" w:eastAsia="Calibri" w:hAnsi="Verdana"/>
          <w:i/>
          <w:spacing w:val="-4"/>
          <w:lang w:val="es-CR"/>
        </w:rPr>
        <w:t xml:space="preserve">Peace Brigades International </w:t>
      </w:r>
      <w:r w:rsidR="00087E61" w:rsidRPr="00E66140">
        <w:rPr>
          <w:rFonts w:ascii="Verdana" w:eastAsia="Calibri" w:hAnsi="Verdana"/>
          <w:spacing w:val="-4"/>
          <w:lang w:val="es-CR"/>
        </w:rPr>
        <w:t>(en adelante PBI), pero “no [eran] acuerdos asumidos entre el Estado mexicano y las beneficiarias y sus</w:t>
      </w:r>
      <w:r w:rsidR="0079409D">
        <w:rPr>
          <w:rFonts w:ascii="Verdana" w:eastAsia="Calibri" w:hAnsi="Verdana"/>
          <w:spacing w:val="-4"/>
          <w:lang w:val="es-CR"/>
        </w:rPr>
        <w:t xml:space="preserve"> representantes”. </w:t>
      </w:r>
      <w:r w:rsidR="00087E61" w:rsidRPr="00E66140">
        <w:rPr>
          <w:rFonts w:ascii="Verdana" w:hAnsi="Verdana"/>
          <w:spacing w:val="-4"/>
          <w:lang w:val="es-ES"/>
        </w:rPr>
        <w:t xml:space="preserve">Informó que ha </w:t>
      </w:r>
      <w:r w:rsidR="005811A8" w:rsidRPr="00E66140">
        <w:rPr>
          <w:rFonts w:ascii="Verdana" w:hAnsi="Verdana"/>
          <w:spacing w:val="-4"/>
          <w:lang w:val="es-ES"/>
        </w:rPr>
        <w:t xml:space="preserve">celebrado </w:t>
      </w:r>
      <w:r w:rsidR="00087E61" w:rsidRPr="00E66140">
        <w:rPr>
          <w:rFonts w:ascii="Verdana" w:eastAsia="Calibri" w:hAnsi="Verdana"/>
          <w:spacing w:val="-4"/>
          <w:lang w:val="es-CR"/>
        </w:rPr>
        <w:t>reuniones de trabajo</w:t>
      </w:r>
      <w:r w:rsidR="005811A8" w:rsidRPr="00E66140">
        <w:rPr>
          <w:rFonts w:ascii="Verdana" w:eastAsia="Calibri" w:hAnsi="Verdana"/>
          <w:spacing w:val="-4"/>
          <w:lang w:val="es-CR"/>
        </w:rPr>
        <w:t xml:space="preserve"> periódicas</w:t>
      </w:r>
      <w:r w:rsidR="006069B8" w:rsidRPr="006069B8">
        <w:rPr>
          <w:rFonts w:ascii="Verdana" w:hAnsi="Verdana"/>
          <w:spacing w:val="-4"/>
          <w:lang w:val="es-ES"/>
        </w:rPr>
        <w:t xml:space="preserve"> </w:t>
      </w:r>
      <w:r w:rsidR="006069B8" w:rsidRPr="00E66140">
        <w:rPr>
          <w:rFonts w:ascii="Verdana" w:hAnsi="Verdana"/>
          <w:spacing w:val="-4"/>
          <w:lang w:val="es-ES"/>
        </w:rPr>
        <w:t>con las beneficiarias y sus representantes</w:t>
      </w:r>
      <w:r w:rsidR="00087E61" w:rsidRPr="00E66140">
        <w:rPr>
          <w:rFonts w:ascii="Verdana" w:eastAsia="Calibri" w:hAnsi="Verdana"/>
          <w:spacing w:val="-4"/>
          <w:lang w:val="es-CR"/>
        </w:rPr>
        <w:t xml:space="preserve">. </w:t>
      </w:r>
      <w:bookmarkEnd w:id="6"/>
      <w:r w:rsidR="00087E61" w:rsidRPr="00E66140">
        <w:rPr>
          <w:rFonts w:ascii="Verdana" w:hAnsi="Verdana"/>
          <w:spacing w:val="-4"/>
          <w:lang w:val="es-ES"/>
        </w:rPr>
        <w:t>Agregó que</w:t>
      </w:r>
      <w:r w:rsidR="005811A8" w:rsidRPr="00E66140">
        <w:rPr>
          <w:rFonts w:ascii="Verdana" w:hAnsi="Verdana"/>
          <w:spacing w:val="-4"/>
          <w:lang w:val="es-ES"/>
        </w:rPr>
        <w:t>,</w:t>
      </w:r>
      <w:r w:rsidR="00087E61" w:rsidRPr="00E66140">
        <w:rPr>
          <w:rFonts w:ascii="Verdana" w:hAnsi="Verdana"/>
          <w:spacing w:val="-4"/>
          <w:lang w:val="es-ES"/>
        </w:rPr>
        <w:t xml:space="preserve"> además de las medidas ya mencionadas</w:t>
      </w:r>
      <w:r w:rsidR="005811A8" w:rsidRPr="00E66140">
        <w:rPr>
          <w:rFonts w:ascii="Verdana" w:hAnsi="Verdana"/>
          <w:spacing w:val="-4"/>
          <w:lang w:val="es-ES"/>
        </w:rPr>
        <w:t>,</w:t>
      </w:r>
      <w:r w:rsidR="00087E61" w:rsidRPr="00E66140">
        <w:rPr>
          <w:rFonts w:ascii="Verdana" w:hAnsi="Verdana"/>
          <w:spacing w:val="-4"/>
          <w:lang w:val="es-ES"/>
        </w:rPr>
        <w:t xml:space="preserve"> ha implementado otras medidas de </w:t>
      </w:r>
      <w:r w:rsidR="005811A8" w:rsidRPr="00E66140">
        <w:rPr>
          <w:rFonts w:ascii="Verdana" w:hAnsi="Verdana"/>
          <w:spacing w:val="-4"/>
          <w:lang w:val="es-ES"/>
        </w:rPr>
        <w:t>seguridad</w:t>
      </w:r>
      <w:r w:rsidR="00087E61" w:rsidRPr="00E66140">
        <w:rPr>
          <w:rFonts w:ascii="Verdana" w:hAnsi="Verdana"/>
          <w:spacing w:val="-4"/>
          <w:lang w:val="es-ES"/>
        </w:rPr>
        <w:t xml:space="preserve">, </w:t>
      </w:r>
      <w:r w:rsidR="005811A8" w:rsidRPr="00E66140">
        <w:rPr>
          <w:rFonts w:ascii="Verdana" w:hAnsi="Verdana"/>
          <w:spacing w:val="-4"/>
          <w:lang w:val="es-ES"/>
        </w:rPr>
        <w:t>a través del Fideicomiso para el Cumplimiento de las Obligaciones en Materia de Derechos Humano</w:t>
      </w:r>
      <w:r w:rsidR="0079409D">
        <w:rPr>
          <w:rFonts w:ascii="Verdana" w:hAnsi="Verdana"/>
          <w:spacing w:val="-4"/>
          <w:lang w:val="es-ES"/>
        </w:rPr>
        <w:t>s</w:t>
      </w:r>
      <w:r w:rsidR="005811A8" w:rsidRPr="00E66140">
        <w:rPr>
          <w:rFonts w:ascii="Verdana" w:hAnsi="Verdana"/>
          <w:spacing w:val="-4"/>
          <w:lang w:val="es-ES"/>
        </w:rPr>
        <w:t xml:space="preserve">, </w:t>
      </w:r>
      <w:r w:rsidR="00087E61" w:rsidRPr="00E66140">
        <w:rPr>
          <w:rFonts w:ascii="Verdana" w:hAnsi="Verdana"/>
          <w:spacing w:val="-4"/>
          <w:lang w:val="es-ES"/>
        </w:rPr>
        <w:t>tales como</w:t>
      </w:r>
      <w:r w:rsidR="005811A8" w:rsidRPr="00E66140">
        <w:rPr>
          <w:rFonts w:ascii="Verdana" w:hAnsi="Verdana"/>
          <w:spacing w:val="-4"/>
          <w:lang w:val="es-ES"/>
        </w:rPr>
        <w:t xml:space="preserve"> el </w:t>
      </w:r>
      <w:r w:rsidR="005811A8" w:rsidRPr="00E66140">
        <w:rPr>
          <w:rFonts w:ascii="Verdana" w:hAnsi="Verdana"/>
          <w:spacing w:val="-4"/>
          <w:lang w:val="es-CR"/>
        </w:rPr>
        <w:t xml:space="preserve">reforzamiento de las puertas y ventanas del domicilio de las beneficiarias, la instalación de cámaras, reflectores y equipos de videograbación, </w:t>
      </w:r>
      <w:r w:rsidR="006069B8" w:rsidRPr="00E66140">
        <w:rPr>
          <w:rFonts w:ascii="Verdana" w:eastAsia="Calibri" w:hAnsi="Verdana"/>
          <w:spacing w:val="-4"/>
          <w:lang w:val="es-CR"/>
        </w:rPr>
        <w:t>acompañamientos</w:t>
      </w:r>
      <w:r w:rsidR="00087E61" w:rsidRPr="00E66140">
        <w:rPr>
          <w:rFonts w:ascii="Verdana" w:eastAsia="Calibri" w:hAnsi="Verdana"/>
          <w:spacing w:val="-4"/>
          <w:lang w:val="es-CR"/>
        </w:rPr>
        <w:t xml:space="preserve"> policiales </w:t>
      </w:r>
      <w:r w:rsidR="005811A8" w:rsidRPr="00E66140">
        <w:rPr>
          <w:rFonts w:ascii="Verdana" w:eastAsia="Calibri" w:hAnsi="Verdana"/>
          <w:spacing w:val="-4"/>
          <w:lang w:val="es-CR"/>
        </w:rPr>
        <w:t xml:space="preserve">durante los desplazamientos de </w:t>
      </w:r>
      <w:r w:rsidR="00087E61" w:rsidRPr="00E66140">
        <w:rPr>
          <w:rFonts w:ascii="Verdana" w:eastAsia="Calibri" w:hAnsi="Verdana"/>
          <w:spacing w:val="-4"/>
          <w:lang w:val="es-CR"/>
        </w:rPr>
        <w:t>las beneficiarias</w:t>
      </w:r>
      <w:r w:rsidR="005811A8" w:rsidRPr="00E66140">
        <w:rPr>
          <w:rFonts w:ascii="Verdana" w:eastAsia="Calibri" w:hAnsi="Verdana"/>
          <w:spacing w:val="-4"/>
          <w:lang w:val="es-CR"/>
        </w:rPr>
        <w:t xml:space="preserve">, la </w:t>
      </w:r>
      <w:r w:rsidR="00087E61" w:rsidRPr="00E66140">
        <w:rPr>
          <w:rFonts w:ascii="Verdana" w:eastAsia="Calibri" w:hAnsi="Verdana"/>
          <w:spacing w:val="-4"/>
          <w:lang w:val="es-CR"/>
        </w:rPr>
        <w:t>entrega de los números de emergencia de la Policía Federal</w:t>
      </w:r>
      <w:r w:rsidR="005811A8" w:rsidRPr="00E66140">
        <w:rPr>
          <w:rFonts w:ascii="Verdana" w:eastAsia="Calibri" w:hAnsi="Verdana"/>
          <w:spacing w:val="-4"/>
          <w:lang w:val="es-CR"/>
        </w:rPr>
        <w:t>, así como</w:t>
      </w:r>
      <w:r w:rsidR="00087E61" w:rsidRPr="00E66140">
        <w:rPr>
          <w:rFonts w:ascii="Verdana" w:eastAsia="Calibri" w:hAnsi="Verdana"/>
          <w:spacing w:val="-4"/>
          <w:lang w:val="es-CR"/>
        </w:rPr>
        <w:t xml:space="preserve"> rondines </w:t>
      </w:r>
      <w:r w:rsidR="005811A8" w:rsidRPr="00E66140">
        <w:rPr>
          <w:rFonts w:ascii="Verdana" w:eastAsia="Calibri" w:hAnsi="Verdana"/>
          <w:spacing w:val="-4"/>
          <w:lang w:val="es-CR"/>
        </w:rPr>
        <w:t xml:space="preserve">periódicos </w:t>
      </w:r>
      <w:r w:rsidR="00087E61" w:rsidRPr="00E66140">
        <w:rPr>
          <w:rFonts w:ascii="Verdana" w:eastAsia="Calibri" w:hAnsi="Verdana"/>
          <w:spacing w:val="-4"/>
          <w:lang w:val="es-CR"/>
        </w:rPr>
        <w:t>en el domicilio de la beneficiaria</w:t>
      </w:r>
      <w:r w:rsidR="005811A8" w:rsidRPr="00E66140">
        <w:rPr>
          <w:rFonts w:ascii="Verdana" w:eastAsia="Calibri" w:hAnsi="Verdana"/>
          <w:spacing w:val="-4"/>
          <w:lang w:val="es-CR"/>
        </w:rPr>
        <w:t>.</w:t>
      </w:r>
      <w:r w:rsidR="00087E61" w:rsidRPr="00E66140">
        <w:rPr>
          <w:rFonts w:ascii="Verdana" w:hAnsi="Verdana"/>
          <w:b/>
          <w:spacing w:val="-4"/>
          <w:lang w:val="es-ES"/>
        </w:rPr>
        <w:t xml:space="preserve"> </w:t>
      </w:r>
    </w:p>
    <w:p w:rsidR="00E376D1" w:rsidRPr="00E66140" w:rsidRDefault="00E376D1" w:rsidP="008831BB">
      <w:pPr>
        <w:spacing w:line="240" w:lineRule="auto"/>
        <w:rPr>
          <w:spacing w:val="-4"/>
          <w:szCs w:val="20"/>
          <w:lang w:val="es-CR"/>
        </w:rPr>
      </w:pPr>
    </w:p>
    <w:p w:rsidR="007A4A3A" w:rsidRPr="00C14648" w:rsidRDefault="00EE2326" w:rsidP="008831BB">
      <w:pPr>
        <w:pStyle w:val="BodyText2"/>
        <w:numPr>
          <w:ilvl w:val="0"/>
          <w:numId w:val="2"/>
        </w:numPr>
        <w:spacing w:after="0" w:line="240" w:lineRule="auto"/>
        <w:rPr>
          <w:rFonts w:ascii="Verdana" w:hAnsi="Verdana"/>
          <w:color w:val="auto"/>
          <w:spacing w:val="-4"/>
          <w:lang w:val="es-ES"/>
        </w:rPr>
      </w:pPr>
      <w:r w:rsidRPr="00E66140">
        <w:rPr>
          <w:rFonts w:ascii="Verdana" w:hAnsi="Verdana"/>
          <w:spacing w:val="-4"/>
          <w:lang w:val="es-CR"/>
        </w:rPr>
        <w:t xml:space="preserve">Los </w:t>
      </w:r>
      <w:r w:rsidRPr="00E66140">
        <w:rPr>
          <w:rFonts w:ascii="Verdana" w:hAnsi="Verdana"/>
          <w:b/>
          <w:i/>
          <w:spacing w:val="-4"/>
          <w:lang w:val="es-CR"/>
        </w:rPr>
        <w:t>representantes</w:t>
      </w:r>
      <w:r w:rsidRPr="00E66140">
        <w:rPr>
          <w:rFonts w:ascii="Verdana" w:hAnsi="Verdana"/>
          <w:spacing w:val="-4"/>
          <w:lang w:val="es-CR"/>
        </w:rPr>
        <w:t xml:space="preserve"> </w:t>
      </w:r>
      <w:r w:rsidR="00BF31A1">
        <w:rPr>
          <w:rFonts w:ascii="Verdana" w:hAnsi="Verdana"/>
          <w:spacing w:val="-4"/>
          <w:lang w:val="es-ES"/>
        </w:rPr>
        <w:t>c</w:t>
      </w:r>
      <w:r w:rsidR="00BF31A1" w:rsidRPr="00E66140">
        <w:rPr>
          <w:rFonts w:ascii="Verdana" w:hAnsi="Verdana"/>
          <w:spacing w:val="-4"/>
          <w:lang w:val="es-ES"/>
        </w:rPr>
        <w:t xml:space="preserve">onfirmaron la entrega de los equipos de telefonía, pero indicaron que los “teléfonos Nextel </w:t>
      </w:r>
      <w:r w:rsidR="00BF31A1" w:rsidRPr="00E66140">
        <w:rPr>
          <w:rFonts w:ascii="Verdana" w:hAnsi="Verdana" w:cs="Arial"/>
          <w:spacing w:val="-4"/>
          <w:lang w:val="es-CR"/>
        </w:rPr>
        <w:t xml:space="preserve">[…] no [tienen cobertura] en la zona donde las beneficiarias habitan” y que según le habían informado al Estado, Telcel era la “la única compañía” que daba cobertura en el área. </w:t>
      </w:r>
      <w:r w:rsidR="00BF31A1" w:rsidRPr="00E66140">
        <w:rPr>
          <w:rFonts w:ascii="Verdana" w:hAnsi="Verdana"/>
          <w:spacing w:val="-4"/>
          <w:lang w:val="es-ES"/>
        </w:rPr>
        <w:t>Respecto al curso de autodefensa</w:t>
      </w:r>
      <w:r w:rsidR="00BF31A1">
        <w:rPr>
          <w:rFonts w:ascii="Verdana" w:hAnsi="Verdana"/>
          <w:spacing w:val="-4"/>
          <w:lang w:val="es-ES"/>
        </w:rPr>
        <w:t>,</w:t>
      </w:r>
      <w:r w:rsidR="00BF31A1" w:rsidRPr="00E66140">
        <w:rPr>
          <w:rFonts w:ascii="Verdana" w:hAnsi="Verdana"/>
          <w:spacing w:val="-4"/>
          <w:lang w:val="es-ES"/>
        </w:rPr>
        <w:t xml:space="preserve"> </w:t>
      </w:r>
      <w:r w:rsidR="00BF31A1">
        <w:rPr>
          <w:rFonts w:ascii="Verdana" w:hAnsi="Verdana"/>
          <w:spacing w:val="-4"/>
          <w:lang w:val="es-ES"/>
        </w:rPr>
        <w:t xml:space="preserve">resaltaron que el Estado aún no les habría suministrado información concreta sobre el esquema de </w:t>
      </w:r>
      <w:r w:rsidR="00BF31A1" w:rsidRPr="00E66140">
        <w:rPr>
          <w:rFonts w:ascii="Verdana" w:hAnsi="Verdana" w:cs="Arial"/>
          <w:spacing w:val="-4"/>
          <w:lang w:val="es-CR"/>
        </w:rPr>
        <w:t>dicho curso</w:t>
      </w:r>
      <w:r w:rsidR="00BF31A1">
        <w:rPr>
          <w:rFonts w:ascii="Verdana" w:hAnsi="Verdana" w:cs="Arial"/>
          <w:spacing w:val="-4"/>
          <w:lang w:val="es-CR"/>
        </w:rPr>
        <w:t xml:space="preserve"> y</w:t>
      </w:r>
      <w:r w:rsidR="00BF31A1" w:rsidRPr="00E66140">
        <w:rPr>
          <w:rFonts w:ascii="Verdana" w:hAnsi="Verdana" w:cs="Arial"/>
          <w:spacing w:val="-4"/>
          <w:lang w:val="es-CR"/>
        </w:rPr>
        <w:t xml:space="preserve"> advirtieron que esa medida no abarcaba solamente “cursos de defensa personal”, sino que era necesario que los cursos contaran con “perspectiva de protección para personas defensoras de derechos humanos”. </w:t>
      </w:r>
      <w:r w:rsidR="00BF31A1">
        <w:rPr>
          <w:rFonts w:ascii="Verdana" w:hAnsi="Verdana"/>
          <w:spacing w:val="-4"/>
          <w:lang w:val="es-CR"/>
        </w:rPr>
        <w:t>R</w:t>
      </w:r>
      <w:r w:rsidR="00E50903" w:rsidRPr="00E66140">
        <w:rPr>
          <w:rFonts w:ascii="Verdana" w:hAnsi="Verdana"/>
          <w:spacing w:val="-4"/>
          <w:lang w:val="es-CR"/>
        </w:rPr>
        <w:t>ecordaron que</w:t>
      </w:r>
      <w:r w:rsidR="00495AAA" w:rsidRPr="00E66140">
        <w:rPr>
          <w:rFonts w:ascii="Verdana" w:hAnsi="Verdana"/>
          <w:spacing w:val="-4"/>
          <w:lang w:val="es-CR"/>
        </w:rPr>
        <w:t xml:space="preserve"> </w:t>
      </w:r>
      <w:r w:rsidR="003075EE" w:rsidRPr="00E66140">
        <w:rPr>
          <w:rFonts w:ascii="Verdana" w:hAnsi="Verdana"/>
          <w:spacing w:val="-4"/>
          <w:lang w:val="es-CR"/>
        </w:rPr>
        <w:t>las</w:t>
      </w:r>
      <w:r w:rsidR="003C7F6D" w:rsidRPr="00E66140">
        <w:rPr>
          <w:rFonts w:ascii="Verdana" w:hAnsi="Verdana"/>
          <w:spacing w:val="-4"/>
          <w:lang w:val="es-CR"/>
        </w:rPr>
        <w:t xml:space="preserve"> recomendaciones</w:t>
      </w:r>
      <w:r w:rsidR="00E50903" w:rsidRPr="00E66140">
        <w:rPr>
          <w:rFonts w:ascii="Verdana" w:hAnsi="Verdana"/>
          <w:spacing w:val="-4"/>
          <w:lang w:val="es-CR"/>
        </w:rPr>
        <w:t xml:space="preserve"> </w:t>
      </w:r>
      <w:r w:rsidR="003075EE" w:rsidRPr="00E66140">
        <w:rPr>
          <w:rFonts w:ascii="Verdana" w:hAnsi="Verdana"/>
          <w:spacing w:val="-4"/>
          <w:lang w:val="es-CR"/>
        </w:rPr>
        <w:t xml:space="preserve">de PBI </w:t>
      </w:r>
      <w:r w:rsidR="004F0A56" w:rsidRPr="00E66140">
        <w:rPr>
          <w:rFonts w:ascii="Verdana" w:hAnsi="Verdana"/>
          <w:spacing w:val="-4"/>
          <w:lang w:val="es-CR"/>
        </w:rPr>
        <w:t xml:space="preserve">eran </w:t>
      </w:r>
      <w:r w:rsidR="00DB2371" w:rsidRPr="00E66140">
        <w:rPr>
          <w:rFonts w:ascii="Verdana" w:hAnsi="Verdana"/>
          <w:spacing w:val="-4"/>
          <w:lang w:val="es-CR"/>
        </w:rPr>
        <w:t xml:space="preserve">producto de </w:t>
      </w:r>
      <w:r w:rsidR="003075EE" w:rsidRPr="00E66140">
        <w:rPr>
          <w:rFonts w:ascii="Verdana" w:hAnsi="Verdana"/>
          <w:spacing w:val="-4"/>
          <w:lang w:val="es-CR"/>
        </w:rPr>
        <w:t xml:space="preserve">una </w:t>
      </w:r>
      <w:r w:rsidR="00DB2371" w:rsidRPr="00E66140">
        <w:rPr>
          <w:rFonts w:ascii="Verdana" w:hAnsi="Verdana"/>
          <w:spacing w:val="-4"/>
          <w:lang w:val="es-CR"/>
        </w:rPr>
        <w:t>evaluación de riesgo</w:t>
      </w:r>
      <w:r w:rsidR="006A5673" w:rsidRPr="00E66140">
        <w:rPr>
          <w:rFonts w:ascii="Verdana" w:hAnsi="Verdana"/>
          <w:spacing w:val="-4"/>
          <w:lang w:val="es-CR"/>
        </w:rPr>
        <w:t xml:space="preserve"> </w:t>
      </w:r>
      <w:r w:rsidR="003075EE" w:rsidRPr="00E66140">
        <w:rPr>
          <w:rFonts w:ascii="Verdana" w:hAnsi="Verdana"/>
          <w:spacing w:val="-4"/>
          <w:lang w:val="es-CR"/>
        </w:rPr>
        <w:t>realizada por dicha organización</w:t>
      </w:r>
      <w:r w:rsidR="0034249D" w:rsidRPr="00E66140">
        <w:rPr>
          <w:rFonts w:ascii="Verdana" w:hAnsi="Verdana"/>
          <w:spacing w:val="-4"/>
          <w:lang w:val="es-CR"/>
        </w:rPr>
        <w:t xml:space="preserve">, </w:t>
      </w:r>
      <w:r w:rsidR="003715B4" w:rsidRPr="00E66140">
        <w:rPr>
          <w:rFonts w:ascii="Verdana" w:hAnsi="Verdana"/>
          <w:spacing w:val="-4"/>
          <w:lang w:val="es-CR"/>
        </w:rPr>
        <w:t xml:space="preserve">que </w:t>
      </w:r>
      <w:r w:rsidR="00DB2371" w:rsidRPr="00E66140">
        <w:rPr>
          <w:rFonts w:ascii="Verdana" w:hAnsi="Verdana"/>
          <w:spacing w:val="-4"/>
          <w:lang w:val="es-CR"/>
        </w:rPr>
        <w:t xml:space="preserve">el Estado </w:t>
      </w:r>
      <w:r w:rsidR="00DF33EC" w:rsidRPr="00E66140">
        <w:rPr>
          <w:rFonts w:ascii="Verdana" w:hAnsi="Verdana"/>
          <w:spacing w:val="-4"/>
          <w:lang w:val="es-CR"/>
        </w:rPr>
        <w:t xml:space="preserve">había </w:t>
      </w:r>
      <w:r w:rsidR="003715B4" w:rsidRPr="00E66140">
        <w:rPr>
          <w:rFonts w:ascii="Verdana" w:hAnsi="Verdana"/>
          <w:spacing w:val="-4"/>
          <w:lang w:val="es-CR"/>
        </w:rPr>
        <w:t>acept</w:t>
      </w:r>
      <w:r w:rsidR="00DF33EC" w:rsidRPr="00E66140">
        <w:rPr>
          <w:rFonts w:ascii="Verdana" w:hAnsi="Verdana"/>
          <w:spacing w:val="-4"/>
          <w:lang w:val="es-CR"/>
        </w:rPr>
        <w:t>ado</w:t>
      </w:r>
      <w:r w:rsidR="003715B4" w:rsidRPr="00E66140">
        <w:rPr>
          <w:rFonts w:ascii="Verdana" w:hAnsi="Verdana"/>
          <w:spacing w:val="-4"/>
          <w:lang w:val="es-CR"/>
        </w:rPr>
        <w:t xml:space="preserve"> </w:t>
      </w:r>
      <w:r w:rsidR="00DF33EC" w:rsidRPr="00E66140">
        <w:rPr>
          <w:rFonts w:ascii="Verdana" w:hAnsi="Verdana"/>
          <w:spacing w:val="-4"/>
          <w:lang w:val="es-CR"/>
        </w:rPr>
        <w:t xml:space="preserve">en su escrito de julio de 2010 </w:t>
      </w:r>
      <w:r w:rsidR="00423B00" w:rsidRPr="00E66140">
        <w:rPr>
          <w:rFonts w:ascii="Verdana" w:hAnsi="Verdana"/>
          <w:spacing w:val="-4"/>
          <w:lang w:val="es-CR"/>
        </w:rPr>
        <w:t xml:space="preserve">y que </w:t>
      </w:r>
      <w:r w:rsidR="0034249D" w:rsidRPr="00E66140">
        <w:rPr>
          <w:rFonts w:ascii="Verdana" w:hAnsi="Verdana"/>
          <w:spacing w:val="-4"/>
          <w:lang w:val="es-CR"/>
        </w:rPr>
        <w:t>además había servido</w:t>
      </w:r>
      <w:r w:rsidR="00423B00" w:rsidRPr="00E66140">
        <w:rPr>
          <w:rFonts w:ascii="Verdana" w:hAnsi="Verdana"/>
          <w:spacing w:val="-4"/>
          <w:lang w:val="es-CR"/>
        </w:rPr>
        <w:t xml:space="preserve"> “como base para el plan de trabajo”</w:t>
      </w:r>
      <w:r w:rsidR="00DB2371" w:rsidRPr="00E66140">
        <w:rPr>
          <w:rFonts w:ascii="Verdana" w:hAnsi="Verdana"/>
          <w:spacing w:val="-4"/>
          <w:lang w:val="es-CR"/>
        </w:rPr>
        <w:t xml:space="preserve">. </w:t>
      </w:r>
      <w:bookmarkEnd w:id="4"/>
      <w:r w:rsidR="003075EE" w:rsidRPr="00E66140">
        <w:rPr>
          <w:rFonts w:ascii="Verdana" w:hAnsi="Verdana" w:cs="Arial"/>
          <w:spacing w:val="-4"/>
          <w:lang w:val="es-CR"/>
        </w:rPr>
        <w:t>I</w:t>
      </w:r>
      <w:r w:rsidR="003C7F6D" w:rsidRPr="00E66140">
        <w:rPr>
          <w:rFonts w:ascii="Verdana" w:hAnsi="Verdana" w:cs="Arial"/>
          <w:spacing w:val="-4"/>
          <w:lang w:val="es-CR"/>
        </w:rPr>
        <w:t>nformaron que pese a las reuniones de seguimiento sostenidas con el Estado, las medidas no siempre se han</w:t>
      </w:r>
      <w:r w:rsidR="00D87DF0" w:rsidRPr="00E66140">
        <w:rPr>
          <w:rFonts w:ascii="Verdana" w:hAnsi="Verdana" w:cs="Arial"/>
          <w:spacing w:val="-4"/>
          <w:lang w:val="es-CR"/>
        </w:rPr>
        <w:t xml:space="preserve"> implementado de forma efectiva.</w:t>
      </w:r>
      <w:r w:rsidR="003C7F6D" w:rsidRPr="00E66140">
        <w:rPr>
          <w:rFonts w:ascii="Verdana" w:hAnsi="Verdana" w:cs="Arial"/>
          <w:spacing w:val="-4"/>
          <w:lang w:val="es-CR"/>
        </w:rPr>
        <w:t xml:space="preserve"> </w:t>
      </w:r>
      <w:r w:rsidR="00274DE6">
        <w:rPr>
          <w:rFonts w:ascii="Verdana" w:hAnsi="Verdana" w:cs="Arial"/>
          <w:spacing w:val="-4"/>
          <w:lang w:val="es-CR"/>
        </w:rPr>
        <w:t>R</w:t>
      </w:r>
      <w:r w:rsidR="00274DE6" w:rsidRPr="00E66140">
        <w:rPr>
          <w:rFonts w:ascii="Verdana" w:hAnsi="Verdana" w:cs="Arial"/>
          <w:spacing w:val="-4"/>
          <w:lang w:val="es-CR"/>
        </w:rPr>
        <w:t>especto de los acompañamientos señalaron que “pese a haber sido solicitad[o], al día de hoy no ha sido necesari</w:t>
      </w:r>
      <w:r w:rsidR="00126C6F">
        <w:rPr>
          <w:rFonts w:ascii="Verdana" w:hAnsi="Verdana" w:cs="Arial"/>
          <w:spacing w:val="-4"/>
          <w:lang w:val="es-CR"/>
        </w:rPr>
        <w:t>a su implementación</w:t>
      </w:r>
      <w:r w:rsidR="00274DE6" w:rsidRPr="00E66140">
        <w:rPr>
          <w:rFonts w:ascii="Verdana" w:hAnsi="Verdana" w:cs="Arial"/>
          <w:spacing w:val="-4"/>
          <w:lang w:val="es-CR"/>
        </w:rPr>
        <w:t xml:space="preserve">”. </w:t>
      </w:r>
      <w:r w:rsidR="00274DE6">
        <w:rPr>
          <w:rFonts w:ascii="Verdana" w:hAnsi="Verdana"/>
          <w:spacing w:val="-4"/>
          <w:lang w:val="es-ES"/>
        </w:rPr>
        <w:t>Po</w:t>
      </w:r>
      <w:r w:rsidR="00557597">
        <w:rPr>
          <w:rFonts w:ascii="Verdana" w:hAnsi="Verdana"/>
          <w:spacing w:val="-4"/>
          <w:lang w:val="es-ES"/>
        </w:rPr>
        <w:t>r</w:t>
      </w:r>
      <w:r w:rsidR="00274DE6">
        <w:rPr>
          <w:rFonts w:ascii="Verdana" w:hAnsi="Verdana"/>
          <w:spacing w:val="-4"/>
          <w:lang w:val="es-ES"/>
        </w:rPr>
        <w:t xml:space="preserve"> último, s</w:t>
      </w:r>
      <w:r w:rsidR="007A4A3A" w:rsidRPr="00E66140">
        <w:rPr>
          <w:rFonts w:ascii="Verdana" w:hAnsi="Verdana" w:cs="Arial"/>
          <w:spacing w:val="-4"/>
          <w:lang w:val="es-CR" w:eastAsia="es-CR"/>
        </w:rPr>
        <w:t xml:space="preserve">eñalaron que </w:t>
      </w:r>
      <w:r w:rsidR="00BF31A1">
        <w:rPr>
          <w:rFonts w:ascii="Verdana" w:hAnsi="Verdana" w:cs="Arial"/>
          <w:spacing w:val="-4"/>
          <w:lang w:val="es-CR" w:eastAsia="es-CR"/>
        </w:rPr>
        <w:t xml:space="preserve">la información sobre </w:t>
      </w:r>
      <w:r w:rsidR="007A4A3A" w:rsidRPr="00E66140">
        <w:rPr>
          <w:rFonts w:ascii="Verdana" w:hAnsi="Verdana" w:cs="Arial"/>
          <w:spacing w:val="-4"/>
          <w:lang w:val="es-CR"/>
        </w:rPr>
        <w:t xml:space="preserve">los rondines </w:t>
      </w:r>
      <w:r w:rsidR="00BF31A1">
        <w:rPr>
          <w:rFonts w:ascii="Verdana" w:hAnsi="Verdana" w:cs="Arial"/>
          <w:spacing w:val="-4"/>
          <w:lang w:val="es-CR"/>
        </w:rPr>
        <w:t xml:space="preserve">y </w:t>
      </w:r>
      <w:r w:rsidR="007A4A3A" w:rsidRPr="00E66140">
        <w:rPr>
          <w:rFonts w:ascii="Verdana" w:hAnsi="Verdana" w:cs="Arial"/>
          <w:spacing w:val="-4"/>
          <w:lang w:val="es-CR"/>
        </w:rPr>
        <w:t xml:space="preserve">el reforzamiento </w:t>
      </w:r>
      <w:r w:rsidR="00BF31A1">
        <w:rPr>
          <w:rFonts w:ascii="Verdana" w:hAnsi="Verdana" w:cs="Arial"/>
          <w:spacing w:val="-4"/>
          <w:lang w:val="es-CR"/>
        </w:rPr>
        <w:t>de las puertas y ventanas es falsa</w:t>
      </w:r>
      <w:r w:rsidR="00274DE6">
        <w:rPr>
          <w:rFonts w:ascii="Verdana" w:hAnsi="Verdana" w:cs="Arial"/>
          <w:spacing w:val="-4"/>
          <w:lang w:val="es-CR"/>
        </w:rPr>
        <w:t xml:space="preserve"> y que dichas medidas no fueron acordadas</w:t>
      </w:r>
      <w:r w:rsidR="00490E77" w:rsidRPr="00E66140">
        <w:rPr>
          <w:rFonts w:ascii="Verdana" w:hAnsi="Verdana" w:cs="Arial"/>
          <w:spacing w:val="-4"/>
          <w:lang w:val="es-CR"/>
        </w:rPr>
        <w:t xml:space="preserve">. </w:t>
      </w:r>
      <w:r w:rsidR="00274DE6">
        <w:rPr>
          <w:rFonts w:ascii="Verdana" w:hAnsi="Verdana" w:cs="Arial"/>
          <w:spacing w:val="-4"/>
          <w:lang w:val="es-CR"/>
        </w:rPr>
        <w:t>Al respecto, explicaron que la confidencialidad de la ubicación de las beneficiarias constituyó un elemento central de estas medidas originalmente y que no fue sino hasta 2013 que se compartió su ubicación con el Estado para el cumplimiento de las medidas de reparación de salud. Por ello, aclararon que “es imposible que el Estado haya implementado medidas de infraestructura por vía del Fideicomiso y, mucho menos</w:t>
      </w:r>
      <w:r w:rsidR="00274DE6" w:rsidRPr="00C14648">
        <w:rPr>
          <w:rFonts w:ascii="Verdana" w:hAnsi="Verdana" w:cs="Arial"/>
          <w:color w:val="auto"/>
          <w:spacing w:val="-4"/>
          <w:lang w:val="es-CR"/>
        </w:rPr>
        <w:t>, rondines a su domicilio”.</w:t>
      </w:r>
      <w:r w:rsidR="00411A3A" w:rsidRPr="00C14648">
        <w:rPr>
          <w:rFonts w:ascii="Verdana" w:hAnsi="Verdana" w:cs="Arial"/>
          <w:color w:val="auto"/>
          <w:spacing w:val="-4"/>
          <w:lang w:val="es-CR"/>
        </w:rPr>
        <w:t xml:space="preserve"> </w:t>
      </w:r>
    </w:p>
    <w:p w:rsidR="00DF15C5" w:rsidRPr="00C14648" w:rsidRDefault="00DF15C5" w:rsidP="008831BB">
      <w:pPr>
        <w:pStyle w:val="BodyText2"/>
        <w:spacing w:after="0" w:line="240" w:lineRule="auto"/>
        <w:rPr>
          <w:rFonts w:ascii="Verdana" w:hAnsi="Verdana"/>
          <w:color w:val="auto"/>
          <w:spacing w:val="-4"/>
          <w:lang w:val="es-ES"/>
        </w:rPr>
      </w:pPr>
    </w:p>
    <w:p w:rsidR="00FC292B" w:rsidRPr="00C14648" w:rsidRDefault="00DF15C5" w:rsidP="008831BB">
      <w:pPr>
        <w:pStyle w:val="BodyText2"/>
        <w:numPr>
          <w:ilvl w:val="0"/>
          <w:numId w:val="2"/>
        </w:numPr>
        <w:spacing w:after="0" w:line="240" w:lineRule="auto"/>
        <w:rPr>
          <w:rFonts w:ascii="Verdana" w:hAnsi="Verdana"/>
          <w:color w:val="auto"/>
          <w:spacing w:val="-4"/>
          <w:lang w:val="es-ES"/>
        </w:rPr>
      </w:pPr>
      <w:r w:rsidRPr="00C14648">
        <w:rPr>
          <w:rFonts w:ascii="Verdana" w:hAnsi="Verdana"/>
          <w:color w:val="auto"/>
          <w:spacing w:val="-4"/>
          <w:lang w:val="es-ES"/>
        </w:rPr>
        <w:t>La</w:t>
      </w:r>
      <w:r w:rsidRPr="00C14648">
        <w:rPr>
          <w:rFonts w:ascii="Verdana" w:hAnsi="Verdana"/>
          <w:b/>
          <w:i/>
          <w:color w:val="auto"/>
          <w:spacing w:val="-4"/>
          <w:lang w:val="es-ES"/>
        </w:rPr>
        <w:t xml:space="preserve"> Comisión</w:t>
      </w:r>
      <w:r w:rsidRPr="00C14648">
        <w:rPr>
          <w:rFonts w:ascii="Verdana" w:hAnsi="Verdana"/>
          <w:color w:val="auto"/>
          <w:spacing w:val="-4"/>
          <w:lang w:val="es-ES"/>
        </w:rPr>
        <w:t xml:space="preserve"> </w:t>
      </w:r>
      <w:r w:rsidR="00094DCC" w:rsidRPr="00C14648">
        <w:rPr>
          <w:rFonts w:ascii="Verdana" w:hAnsi="Verdana"/>
          <w:color w:val="auto"/>
          <w:spacing w:val="-4"/>
          <w:lang w:val="es-ES"/>
        </w:rPr>
        <w:t xml:space="preserve">consideró que el Estado no había implementado adecuadamente </w:t>
      </w:r>
      <w:r w:rsidR="0079409D">
        <w:rPr>
          <w:rFonts w:ascii="Verdana" w:hAnsi="Verdana"/>
          <w:color w:val="auto"/>
          <w:spacing w:val="-4"/>
          <w:lang w:val="es-ES"/>
        </w:rPr>
        <w:t xml:space="preserve">todas </w:t>
      </w:r>
      <w:r w:rsidR="00094DCC" w:rsidRPr="00C14648">
        <w:rPr>
          <w:rFonts w:ascii="Verdana" w:hAnsi="Verdana"/>
          <w:color w:val="auto"/>
          <w:spacing w:val="-4"/>
          <w:lang w:val="es-ES"/>
        </w:rPr>
        <w:t>las medidas</w:t>
      </w:r>
      <w:r w:rsidR="0079409D">
        <w:rPr>
          <w:rFonts w:ascii="Verdana" w:hAnsi="Verdana"/>
          <w:color w:val="auto"/>
          <w:spacing w:val="-4"/>
          <w:lang w:val="es-ES"/>
        </w:rPr>
        <w:t xml:space="preserve"> acordadas con los representantes</w:t>
      </w:r>
      <w:r w:rsidR="00094DCC" w:rsidRPr="00C14648">
        <w:rPr>
          <w:rFonts w:ascii="Verdana" w:hAnsi="Verdana"/>
          <w:color w:val="auto"/>
          <w:spacing w:val="-4"/>
          <w:lang w:val="es-ES"/>
        </w:rPr>
        <w:t xml:space="preserve">. </w:t>
      </w:r>
    </w:p>
    <w:p w:rsidR="00D82719" w:rsidRPr="00C14648" w:rsidRDefault="00D82719" w:rsidP="008831BB">
      <w:pPr>
        <w:pStyle w:val="BodyText2"/>
        <w:spacing w:after="0" w:line="240" w:lineRule="auto"/>
        <w:rPr>
          <w:rFonts w:ascii="Verdana" w:hAnsi="Verdana"/>
          <w:color w:val="auto"/>
          <w:spacing w:val="-4"/>
        </w:rPr>
      </w:pPr>
    </w:p>
    <w:p w:rsidR="00AC21C3" w:rsidRPr="00E66140" w:rsidRDefault="00444847" w:rsidP="00AC21C3">
      <w:pPr>
        <w:pStyle w:val="Default"/>
        <w:numPr>
          <w:ilvl w:val="0"/>
          <w:numId w:val="2"/>
        </w:numPr>
        <w:jc w:val="both"/>
        <w:rPr>
          <w:b/>
          <w:i/>
          <w:spacing w:val="-4"/>
          <w:lang w:val="es-ES_tradnl"/>
        </w:rPr>
      </w:pPr>
      <w:r w:rsidRPr="00C14648">
        <w:rPr>
          <w:color w:val="auto"/>
          <w:spacing w:val="-4"/>
          <w:sz w:val="20"/>
          <w:szCs w:val="20"/>
          <w:lang w:val="es-ES_tradnl"/>
        </w:rPr>
        <w:t xml:space="preserve">La </w:t>
      </w:r>
      <w:r w:rsidRPr="00C14648">
        <w:rPr>
          <w:b/>
          <w:i/>
          <w:color w:val="auto"/>
          <w:spacing w:val="-4"/>
          <w:sz w:val="20"/>
          <w:szCs w:val="20"/>
          <w:lang w:val="es-ES_tradnl"/>
        </w:rPr>
        <w:t>Corte</w:t>
      </w:r>
      <w:r w:rsidRPr="00C14648">
        <w:rPr>
          <w:color w:val="auto"/>
          <w:spacing w:val="-4"/>
          <w:sz w:val="20"/>
          <w:szCs w:val="20"/>
          <w:lang w:val="es-ES_tradnl"/>
        </w:rPr>
        <w:t xml:space="preserve"> toma nota de la información remitida por las partes</w:t>
      </w:r>
      <w:r w:rsidR="00AC21C3" w:rsidRPr="00C14648">
        <w:rPr>
          <w:color w:val="auto"/>
          <w:spacing w:val="-4"/>
          <w:sz w:val="20"/>
          <w:szCs w:val="20"/>
          <w:lang w:val="es-ES_tradnl"/>
        </w:rPr>
        <w:t xml:space="preserve"> en respuesta</w:t>
      </w:r>
      <w:r w:rsidR="002D3478" w:rsidRPr="00C14648">
        <w:rPr>
          <w:color w:val="auto"/>
          <w:spacing w:val="-4"/>
          <w:sz w:val="20"/>
          <w:szCs w:val="20"/>
          <w:lang w:val="es-ES_tradnl"/>
        </w:rPr>
        <w:t xml:space="preserve"> a las solicitudes de información realizadas en su última Resolución</w:t>
      </w:r>
      <w:r w:rsidRPr="00C14648">
        <w:rPr>
          <w:color w:val="auto"/>
          <w:spacing w:val="-4"/>
          <w:sz w:val="20"/>
          <w:szCs w:val="20"/>
          <w:lang w:val="es-ES_tradnl"/>
        </w:rPr>
        <w:t xml:space="preserve">. Al respecto, </w:t>
      </w:r>
      <w:r w:rsidR="002D3478" w:rsidRPr="00C14648">
        <w:rPr>
          <w:color w:val="auto"/>
          <w:spacing w:val="-4"/>
          <w:sz w:val="20"/>
          <w:szCs w:val="20"/>
          <w:lang w:val="es-ES_tradnl"/>
        </w:rPr>
        <w:t>constata que, s</w:t>
      </w:r>
      <w:r w:rsidRPr="00C14648">
        <w:rPr>
          <w:color w:val="auto"/>
          <w:spacing w:val="-4"/>
          <w:sz w:val="20"/>
          <w:szCs w:val="20"/>
          <w:lang w:val="es-ES_tradnl"/>
        </w:rPr>
        <w:t xml:space="preserve">i bien </w:t>
      </w:r>
      <w:r w:rsidR="002D3478" w:rsidRPr="00C14648">
        <w:rPr>
          <w:color w:val="auto"/>
          <w:spacing w:val="-4"/>
          <w:sz w:val="20"/>
          <w:szCs w:val="20"/>
          <w:lang w:val="es-ES_tradnl"/>
        </w:rPr>
        <w:t xml:space="preserve">la </w:t>
      </w:r>
      <w:r w:rsidR="003075EE" w:rsidRPr="00C14648">
        <w:rPr>
          <w:color w:val="auto"/>
          <w:spacing w:val="-4"/>
          <w:sz w:val="20"/>
          <w:szCs w:val="20"/>
          <w:lang w:val="es-ES_tradnl"/>
        </w:rPr>
        <w:lastRenderedPageBreak/>
        <w:t xml:space="preserve">implementación </w:t>
      </w:r>
      <w:r w:rsidR="002D3478" w:rsidRPr="00C14648">
        <w:rPr>
          <w:color w:val="auto"/>
          <w:spacing w:val="-4"/>
          <w:sz w:val="20"/>
          <w:szCs w:val="20"/>
          <w:lang w:val="es-ES_tradnl"/>
        </w:rPr>
        <w:t xml:space="preserve">de las medidas </w:t>
      </w:r>
      <w:r w:rsidR="003075EE" w:rsidRPr="00C14648">
        <w:rPr>
          <w:color w:val="auto"/>
          <w:spacing w:val="-4"/>
          <w:sz w:val="20"/>
          <w:szCs w:val="20"/>
          <w:lang w:val="es-ES_tradnl"/>
        </w:rPr>
        <w:t xml:space="preserve">no se ha realizado de manera enteramente </w:t>
      </w:r>
      <w:r w:rsidR="003075EE" w:rsidRPr="00E66140">
        <w:rPr>
          <w:spacing w:val="-4"/>
          <w:sz w:val="20"/>
          <w:szCs w:val="20"/>
          <w:lang w:val="es-ES_tradnl"/>
        </w:rPr>
        <w:t>satisfactoria para las beneficiarias</w:t>
      </w:r>
      <w:r w:rsidRPr="00E66140">
        <w:rPr>
          <w:spacing w:val="-4"/>
          <w:sz w:val="20"/>
          <w:szCs w:val="20"/>
          <w:lang w:val="es-ES_tradnl"/>
        </w:rPr>
        <w:t xml:space="preserve">, </w:t>
      </w:r>
      <w:r w:rsidR="002D3478" w:rsidRPr="00E66140">
        <w:rPr>
          <w:spacing w:val="-4"/>
          <w:sz w:val="20"/>
          <w:szCs w:val="20"/>
          <w:lang w:val="es-ES_tradnl"/>
        </w:rPr>
        <w:t xml:space="preserve">el Estado ha realizado esfuerzos para </w:t>
      </w:r>
      <w:r w:rsidR="00AC21C3" w:rsidRPr="00E66140">
        <w:rPr>
          <w:spacing w:val="-4"/>
          <w:sz w:val="20"/>
          <w:szCs w:val="20"/>
          <w:lang w:val="es-ES_tradnl"/>
        </w:rPr>
        <w:t xml:space="preserve">proveer ciertas </w:t>
      </w:r>
      <w:r w:rsidR="002D3478" w:rsidRPr="00E66140">
        <w:rPr>
          <w:spacing w:val="-4"/>
          <w:sz w:val="20"/>
          <w:szCs w:val="20"/>
          <w:lang w:val="es-ES_tradnl"/>
        </w:rPr>
        <w:t xml:space="preserve">medidas de protección, tales como </w:t>
      </w:r>
      <w:r w:rsidR="00AC21C3" w:rsidRPr="00E66140">
        <w:rPr>
          <w:spacing w:val="-4"/>
          <w:sz w:val="20"/>
          <w:szCs w:val="20"/>
          <w:lang w:val="es-ES_tradnl"/>
        </w:rPr>
        <w:t xml:space="preserve">la provisión de </w:t>
      </w:r>
      <w:r w:rsidR="002D3478" w:rsidRPr="00E66140">
        <w:rPr>
          <w:spacing w:val="-4"/>
          <w:sz w:val="20"/>
          <w:szCs w:val="20"/>
          <w:lang w:val="es-ES_tradnl"/>
        </w:rPr>
        <w:t>medios de comunicación telefónica</w:t>
      </w:r>
      <w:r w:rsidR="00AC21C3" w:rsidRPr="00E66140">
        <w:rPr>
          <w:spacing w:val="-4"/>
          <w:sz w:val="20"/>
          <w:szCs w:val="20"/>
          <w:lang w:val="es-ES_tradnl"/>
        </w:rPr>
        <w:t>,</w:t>
      </w:r>
      <w:r w:rsidR="002D3478" w:rsidRPr="00E66140">
        <w:rPr>
          <w:spacing w:val="-4"/>
          <w:sz w:val="20"/>
          <w:szCs w:val="20"/>
          <w:lang w:val="es-ES_tradnl"/>
        </w:rPr>
        <w:t xml:space="preserve"> </w:t>
      </w:r>
      <w:r w:rsidR="00AC21C3" w:rsidRPr="00E66140">
        <w:rPr>
          <w:spacing w:val="-4"/>
          <w:sz w:val="20"/>
          <w:szCs w:val="20"/>
          <w:lang w:val="es-ES_tradnl"/>
        </w:rPr>
        <w:t xml:space="preserve">desde la adopción </w:t>
      </w:r>
      <w:r w:rsidR="002D3478" w:rsidRPr="00E66140">
        <w:rPr>
          <w:spacing w:val="-4"/>
          <w:sz w:val="20"/>
          <w:szCs w:val="20"/>
          <w:lang w:val="es-ES_tradnl"/>
        </w:rPr>
        <w:t xml:space="preserve">de las presentes medidas. </w:t>
      </w:r>
      <w:r w:rsidR="00AC21C3" w:rsidRPr="00E66140">
        <w:rPr>
          <w:spacing w:val="-4"/>
          <w:sz w:val="20"/>
          <w:szCs w:val="20"/>
          <w:lang w:val="es-ES_tradnl"/>
        </w:rPr>
        <w:t>Este Tribunal valora los esfuerzos realizado</w:t>
      </w:r>
      <w:r w:rsidR="00C66110">
        <w:rPr>
          <w:spacing w:val="-4"/>
          <w:sz w:val="20"/>
          <w:szCs w:val="20"/>
          <w:lang w:val="es-ES_tradnl"/>
        </w:rPr>
        <w:t>s</w:t>
      </w:r>
      <w:r w:rsidR="00AC21C3" w:rsidRPr="00E66140">
        <w:rPr>
          <w:spacing w:val="-4"/>
          <w:sz w:val="20"/>
          <w:szCs w:val="20"/>
          <w:lang w:val="es-ES_tradnl"/>
        </w:rPr>
        <w:t xml:space="preserve"> por el Estado, así como la colaboración y participación de los representantes para la implementación de las medidas ordenadas por la Corte. </w:t>
      </w:r>
      <w:r w:rsidRPr="00E66140">
        <w:rPr>
          <w:spacing w:val="-4"/>
          <w:sz w:val="20"/>
          <w:szCs w:val="20"/>
          <w:lang w:val="es-CR"/>
        </w:rPr>
        <w:t>En su anterior Resolución</w:t>
      </w:r>
      <w:r w:rsidR="003075EE" w:rsidRPr="00E66140">
        <w:rPr>
          <w:spacing w:val="-4"/>
          <w:sz w:val="20"/>
          <w:szCs w:val="20"/>
          <w:lang w:val="es-CR"/>
        </w:rPr>
        <w:t xml:space="preserve"> </w:t>
      </w:r>
      <w:r w:rsidRPr="00E66140">
        <w:rPr>
          <w:spacing w:val="-4"/>
          <w:sz w:val="20"/>
          <w:szCs w:val="20"/>
          <w:lang w:val="es-CR"/>
        </w:rPr>
        <w:t xml:space="preserve">esta Corte se refirió </w:t>
      </w:r>
      <w:r w:rsidR="003075EE" w:rsidRPr="00E66140">
        <w:rPr>
          <w:i/>
          <w:spacing w:val="-4"/>
          <w:sz w:val="20"/>
          <w:szCs w:val="20"/>
          <w:lang w:val="es-CR"/>
        </w:rPr>
        <w:t>in extenso</w:t>
      </w:r>
      <w:r w:rsidR="003075EE" w:rsidRPr="00E66140">
        <w:rPr>
          <w:spacing w:val="-4"/>
          <w:sz w:val="20"/>
          <w:szCs w:val="20"/>
          <w:lang w:val="es-CR"/>
        </w:rPr>
        <w:t xml:space="preserve"> </w:t>
      </w:r>
      <w:r w:rsidRPr="00E66140">
        <w:rPr>
          <w:spacing w:val="-4"/>
          <w:sz w:val="20"/>
          <w:szCs w:val="20"/>
          <w:lang w:val="es-CR"/>
        </w:rPr>
        <w:t xml:space="preserve">a </w:t>
      </w:r>
      <w:r w:rsidR="002D3478" w:rsidRPr="00E66140">
        <w:rPr>
          <w:spacing w:val="-4"/>
          <w:sz w:val="20"/>
          <w:szCs w:val="20"/>
          <w:lang w:val="es-CR"/>
        </w:rPr>
        <w:t xml:space="preserve">las </w:t>
      </w:r>
      <w:r w:rsidRPr="00E66140">
        <w:rPr>
          <w:spacing w:val="-4"/>
          <w:sz w:val="20"/>
          <w:szCs w:val="20"/>
          <w:lang w:val="es-CR"/>
        </w:rPr>
        <w:t xml:space="preserve">medidas de protección </w:t>
      </w:r>
      <w:r w:rsidR="00AC21C3" w:rsidRPr="00E66140">
        <w:rPr>
          <w:spacing w:val="-4"/>
          <w:sz w:val="20"/>
          <w:szCs w:val="20"/>
          <w:lang w:val="es-CR"/>
        </w:rPr>
        <w:t xml:space="preserve">adoptadas </w:t>
      </w:r>
      <w:r w:rsidR="003075EE" w:rsidRPr="00E66140">
        <w:rPr>
          <w:spacing w:val="-4"/>
          <w:sz w:val="20"/>
          <w:szCs w:val="20"/>
          <w:lang w:val="es-CR"/>
        </w:rPr>
        <w:t>(</w:t>
      </w:r>
      <w:r w:rsidR="003075EE" w:rsidRPr="00E66140">
        <w:rPr>
          <w:i/>
          <w:spacing w:val="-4"/>
          <w:sz w:val="20"/>
          <w:szCs w:val="20"/>
          <w:lang w:val="es-CR"/>
        </w:rPr>
        <w:t xml:space="preserve">supra </w:t>
      </w:r>
      <w:r w:rsidR="003075EE" w:rsidRPr="00E66140">
        <w:rPr>
          <w:spacing w:val="-4"/>
          <w:sz w:val="20"/>
          <w:szCs w:val="20"/>
          <w:lang w:val="es-CR"/>
        </w:rPr>
        <w:t>Visto 1)</w:t>
      </w:r>
      <w:r w:rsidR="00AC21C3" w:rsidRPr="00E66140">
        <w:rPr>
          <w:spacing w:val="-4"/>
          <w:sz w:val="20"/>
          <w:szCs w:val="20"/>
          <w:lang w:val="es-CR"/>
        </w:rPr>
        <w:t xml:space="preserve"> y a los problemas e inconvenientes que se habían presentado para su implementación efectiva.</w:t>
      </w:r>
      <w:r w:rsidR="002D3478" w:rsidRPr="00E66140">
        <w:rPr>
          <w:spacing w:val="-4"/>
          <w:sz w:val="20"/>
          <w:szCs w:val="20"/>
          <w:lang w:val="es-CR"/>
        </w:rPr>
        <w:t xml:space="preserve"> T</w:t>
      </w:r>
      <w:r w:rsidR="00AC21C3" w:rsidRPr="00E66140">
        <w:rPr>
          <w:spacing w:val="-4"/>
          <w:sz w:val="20"/>
          <w:szCs w:val="20"/>
          <w:lang w:val="es-CR"/>
        </w:rPr>
        <w:t>eniendo en cuenta lo anterior</w:t>
      </w:r>
      <w:r w:rsidR="0085254A">
        <w:rPr>
          <w:spacing w:val="-4"/>
          <w:sz w:val="20"/>
          <w:szCs w:val="20"/>
          <w:lang w:val="es-CR"/>
        </w:rPr>
        <w:t>,</w:t>
      </w:r>
      <w:r w:rsidR="002D3478" w:rsidRPr="00E66140">
        <w:rPr>
          <w:spacing w:val="-4"/>
          <w:sz w:val="20"/>
          <w:szCs w:val="20"/>
          <w:lang w:val="es-CR"/>
        </w:rPr>
        <w:t xml:space="preserve"> así como sus consideraciones respecto a la necesidad de mantenimiento de las medidas (</w:t>
      </w:r>
      <w:r w:rsidR="002D3478" w:rsidRPr="00E66140">
        <w:rPr>
          <w:i/>
          <w:spacing w:val="-4"/>
          <w:sz w:val="20"/>
          <w:szCs w:val="20"/>
          <w:lang w:val="es-CR"/>
        </w:rPr>
        <w:t>infra</w:t>
      </w:r>
      <w:r w:rsidR="002D3478" w:rsidRPr="00E66140">
        <w:rPr>
          <w:spacing w:val="-4"/>
          <w:sz w:val="20"/>
          <w:szCs w:val="20"/>
          <w:lang w:val="es-CR"/>
        </w:rPr>
        <w:t xml:space="preserve"> Considerandos </w:t>
      </w:r>
      <w:r w:rsidR="002D3478" w:rsidRPr="00E66140">
        <w:rPr>
          <w:spacing w:val="-4"/>
          <w:sz w:val="20"/>
          <w:szCs w:val="20"/>
          <w:lang w:val="es-CR"/>
        </w:rPr>
        <w:fldChar w:fldCharType="begin"/>
      </w:r>
      <w:r w:rsidR="002D3478" w:rsidRPr="00E66140">
        <w:rPr>
          <w:spacing w:val="-4"/>
          <w:sz w:val="20"/>
          <w:szCs w:val="20"/>
          <w:lang w:val="es-CR"/>
        </w:rPr>
        <w:instrText xml:space="preserve"> REF _Ref442880105 \r \h </w:instrText>
      </w:r>
      <w:r w:rsidR="00AC21C3" w:rsidRPr="00E66140">
        <w:rPr>
          <w:spacing w:val="-4"/>
          <w:sz w:val="20"/>
          <w:szCs w:val="20"/>
          <w:lang w:val="es-CR"/>
        </w:rPr>
        <w:instrText xml:space="preserve"> \* MERGEFORMAT </w:instrText>
      </w:r>
      <w:r w:rsidR="002D3478" w:rsidRPr="00E66140">
        <w:rPr>
          <w:spacing w:val="-4"/>
          <w:sz w:val="20"/>
          <w:szCs w:val="20"/>
          <w:lang w:val="es-CR"/>
        </w:rPr>
      </w:r>
      <w:r w:rsidR="002D3478" w:rsidRPr="00E66140">
        <w:rPr>
          <w:spacing w:val="-4"/>
          <w:sz w:val="20"/>
          <w:szCs w:val="20"/>
          <w:lang w:val="es-CR"/>
        </w:rPr>
        <w:fldChar w:fldCharType="separate"/>
      </w:r>
      <w:r w:rsidR="00C16EE7">
        <w:rPr>
          <w:spacing w:val="-4"/>
          <w:sz w:val="20"/>
          <w:szCs w:val="20"/>
          <w:lang w:val="es-CR"/>
        </w:rPr>
        <w:t>15</w:t>
      </w:r>
      <w:r w:rsidR="002D3478" w:rsidRPr="00E66140">
        <w:rPr>
          <w:spacing w:val="-4"/>
          <w:sz w:val="20"/>
          <w:szCs w:val="20"/>
          <w:lang w:val="es-CR"/>
        </w:rPr>
        <w:fldChar w:fldCharType="end"/>
      </w:r>
      <w:r w:rsidR="002D3478" w:rsidRPr="00E66140">
        <w:rPr>
          <w:spacing w:val="-4"/>
          <w:sz w:val="20"/>
          <w:szCs w:val="20"/>
          <w:lang w:val="es-CR"/>
        </w:rPr>
        <w:t xml:space="preserve"> a </w:t>
      </w:r>
      <w:r w:rsidR="002D3478" w:rsidRPr="00E66140">
        <w:rPr>
          <w:spacing w:val="-4"/>
          <w:sz w:val="20"/>
          <w:szCs w:val="20"/>
          <w:lang w:val="es-CR"/>
        </w:rPr>
        <w:fldChar w:fldCharType="begin"/>
      </w:r>
      <w:r w:rsidR="002D3478" w:rsidRPr="00E66140">
        <w:rPr>
          <w:spacing w:val="-4"/>
          <w:sz w:val="20"/>
          <w:szCs w:val="20"/>
          <w:lang w:val="es-CR"/>
        </w:rPr>
        <w:instrText xml:space="preserve"> REF _Ref442880134 \r \h </w:instrText>
      </w:r>
      <w:r w:rsidR="00AC21C3" w:rsidRPr="00E66140">
        <w:rPr>
          <w:spacing w:val="-4"/>
          <w:sz w:val="20"/>
          <w:szCs w:val="20"/>
          <w:lang w:val="es-CR"/>
        </w:rPr>
        <w:instrText xml:space="preserve"> \* MERGEFORMAT </w:instrText>
      </w:r>
      <w:r w:rsidR="002D3478" w:rsidRPr="00E66140">
        <w:rPr>
          <w:spacing w:val="-4"/>
          <w:sz w:val="20"/>
          <w:szCs w:val="20"/>
          <w:lang w:val="es-CR"/>
        </w:rPr>
      </w:r>
      <w:r w:rsidR="002D3478" w:rsidRPr="00E66140">
        <w:rPr>
          <w:spacing w:val="-4"/>
          <w:sz w:val="20"/>
          <w:szCs w:val="20"/>
          <w:lang w:val="es-CR"/>
        </w:rPr>
        <w:fldChar w:fldCharType="separate"/>
      </w:r>
      <w:r w:rsidR="00C16EE7">
        <w:rPr>
          <w:spacing w:val="-4"/>
          <w:sz w:val="20"/>
          <w:szCs w:val="20"/>
          <w:lang w:val="es-CR"/>
        </w:rPr>
        <w:t>26</w:t>
      </w:r>
      <w:r w:rsidR="002D3478" w:rsidRPr="00E66140">
        <w:rPr>
          <w:spacing w:val="-4"/>
          <w:sz w:val="20"/>
          <w:szCs w:val="20"/>
          <w:lang w:val="es-CR"/>
        </w:rPr>
        <w:fldChar w:fldCharType="end"/>
      </w:r>
      <w:r w:rsidR="002D3478" w:rsidRPr="00E66140">
        <w:rPr>
          <w:spacing w:val="-4"/>
          <w:sz w:val="20"/>
          <w:szCs w:val="20"/>
          <w:lang w:val="es-CR"/>
        </w:rPr>
        <w:t xml:space="preserve">), este </w:t>
      </w:r>
      <w:r w:rsidR="003075EE" w:rsidRPr="00E66140">
        <w:rPr>
          <w:color w:val="auto"/>
          <w:spacing w:val="-4"/>
          <w:sz w:val="20"/>
          <w:szCs w:val="20"/>
          <w:lang w:val="es-CR"/>
        </w:rPr>
        <w:t xml:space="preserve">Tribunal </w:t>
      </w:r>
      <w:r w:rsidR="002D3478" w:rsidRPr="00E66140">
        <w:rPr>
          <w:color w:val="auto"/>
          <w:spacing w:val="-4"/>
          <w:sz w:val="20"/>
          <w:szCs w:val="20"/>
          <w:lang w:val="es-CR"/>
        </w:rPr>
        <w:t xml:space="preserve">estima </w:t>
      </w:r>
      <w:r w:rsidR="00AC21C3" w:rsidRPr="00E66140">
        <w:rPr>
          <w:color w:val="auto"/>
          <w:spacing w:val="-4"/>
          <w:sz w:val="20"/>
          <w:szCs w:val="20"/>
          <w:lang w:val="es-CR"/>
        </w:rPr>
        <w:t xml:space="preserve">innecesario realizar consideraciones adicionales al respecto. </w:t>
      </w:r>
    </w:p>
    <w:p w:rsidR="00AC21C3" w:rsidRPr="00E66140" w:rsidRDefault="00AC21C3" w:rsidP="00584445">
      <w:pPr>
        <w:pStyle w:val="Default"/>
        <w:spacing w:before="60" w:after="60"/>
        <w:jc w:val="both"/>
        <w:rPr>
          <w:b/>
          <w:i/>
          <w:spacing w:val="-4"/>
          <w:lang w:val="es-ES_tradnl"/>
        </w:rPr>
      </w:pPr>
    </w:p>
    <w:p w:rsidR="004E0346" w:rsidRPr="00E66140" w:rsidRDefault="004E0346" w:rsidP="00584445">
      <w:pPr>
        <w:pStyle w:val="ListParagraph"/>
        <w:numPr>
          <w:ilvl w:val="0"/>
          <w:numId w:val="3"/>
        </w:numPr>
        <w:spacing w:before="60" w:after="60" w:line="240" w:lineRule="auto"/>
        <w:rPr>
          <w:b/>
          <w:i/>
          <w:spacing w:val="-4"/>
        </w:rPr>
      </w:pPr>
      <w:r w:rsidRPr="00E66140">
        <w:rPr>
          <w:b/>
          <w:i/>
          <w:spacing w:val="-4"/>
        </w:rPr>
        <w:t xml:space="preserve">Situación </w:t>
      </w:r>
      <w:r w:rsidR="00EF2BB6" w:rsidRPr="00E66140">
        <w:rPr>
          <w:b/>
          <w:i/>
          <w:spacing w:val="-4"/>
        </w:rPr>
        <w:t xml:space="preserve">de </w:t>
      </w:r>
      <w:r w:rsidR="00DF0889" w:rsidRPr="00E66140">
        <w:rPr>
          <w:b/>
          <w:i/>
          <w:spacing w:val="-4"/>
        </w:rPr>
        <w:t xml:space="preserve">riesgo de las </w:t>
      </w:r>
      <w:r w:rsidR="00EF2BB6" w:rsidRPr="00E66140">
        <w:rPr>
          <w:b/>
          <w:i/>
          <w:spacing w:val="-4"/>
        </w:rPr>
        <w:t xml:space="preserve">beneficiarias </w:t>
      </w:r>
    </w:p>
    <w:p w:rsidR="007A4E85" w:rsidRPr="00E66140" w:rsidRDefault="007A4E85" w:rsidP="00584445">
      <w:pPr>
        <w:pStyle w:val="ListParagraph"/>
        <w:spacing w:before="60" w:line="240" w:lineRule="auto"/>
        <w:ind w:left="1080"/>
        <w:rPr>
          <w:b/>
          <w:i/>
          <w:spacing w:val="-4"/>
        </w:rPr>
      </w:pPr>
    </w:p>
    <w:p w:rsidR="00D82719" w:rsidRPr="00E66140" w:rsidRDefault="00D82719" w:rsidP="00584445">
      <w:pPr>
        <w:pStyle w:val="BodyText2"/>
        <w:spacing w:before="60" w:after="0" w:line="240" w:lineRule="auto"/>
        <w:ind w:left="360" w:firstLine="720"/>
        <w:rPr>
          <w:rFonts w:ascii="Verdana" w:hAnsi="Verdana"/>
          <w:b/>
          <w:spacing w:val="-4"/>
        </w:rPr>
      </w:pPr>
      <w:r w:rsidRPr="00E66140">
        <w:rPr>
          <w:rFonts w:ascii="Verdana" w:hAnsi="Verdana"/>
          <w:b/>
          <w:spacing w:val="-4"/>
        </w:rPr>
        <w:t>B.1 Alegatos de las partes y la Comisión</w:t>
      </w:r>
    </w:p>
    <w:p w:rsidR="00D82719" w:rsidRPr="00E66140" w:rsidRDefault="00D82719" w:rsidP="00584445">
      <w:pPr>
        <w:pStyle w:val="BodyText2"/>
        <w:spacing w:before="60" w:after="0" w:line="240" w:lineRule="auto"/>
        <w:rPr>
          <w:rFonts w:ascii="Verdana" w:hAnsi="Verdana"/>
          <w:spacing w:val="-4"/>
        </w:rPr>
      </w:pPr>
    </w:p>
    <w:p w:rsidR="003D796F" w:rsidRPr="00E66140" w:rsidRDefault="004E0346" w:rsidP="008831BB">
      <w:pPr>
        <w:pStyle w:val="ListParagraph"/>
        <w:numPr>
          <w:ilvl w:val="0"/>
          <w:numId w:val="2"/>
        </w:numPr>
        <w:spacing w:line="240" w:lineRule="auto"/>
        <w:rPr>
          <w:spacing w:val="-4"/>
          <w:lang w:val="es-CR"/>
        </w:rPr>
      </w:pPr>
      <w:r w:rsidRPr="00E66140">
        <w:rPr>
          <w:spacing w:val="-4"/>
          <w:lang w:val="es-ES"/>
        </w:rPr>
        <w:t xml:space="preserve">El </w:t>
      </w:r>
      <w:r w:rsidRPr="00E66140">
        <w:rPr>
          <w:b/>
          <w:i/>
          <w:spacing w:val="-4"/>
          <w:lang w:val="es-ES"/>
        </w:rPr>
        <w:t>Estado</w:t>
      </w:r>
      <w:r w:rsidRPr="00E66140">
        <w:rPr>
          <w:b/>
          <w:spacing w:val="-4"/>
          <w:lang w:val="es-ES"/>
        </w:rPr>
        <w:t xml:space="preserve"> </w:t>
      </w:r>
      <w:r w:rsidR="00DC3577" w:rsidRPr="00E66140">
        <w:rPr>
          <w:spacing w:val="-4"/>
        </w:rPr>
        <w:t xml:space="preserve">solicitó el levantamiento de las </w:t>
      </w:r>
      <w:r w:rsidR="003D5AC4" w:rsidRPr="00E66140">
        <w:rPr>
          <w:spacing w:val="-4"/>
        </w:rPr>
        <w:t xml:space="preserve">presentes </w:t>
      </w:r>
      <w:r w:rsidR="00DC3577" w:rsidRPr="00E66140">
        <w:rPr>
          <w:spacing w:val="-4"/>
        </w:rPr>
        <w:t>medidas provisionales</w:t>
      </w:r>
      <w:r w:rsidR="003D5AC4" w:rsidRPr="00E66140">
        <w:rPr>
          <w:spacing w:val="-4"/>
        </w:rPr>
        <w:t>.</w:t>
      </w:r>
      <w:r w:rsidR="00DC3577" w:rsidRPr="00E66140">
        <w:rPr>
          <w:spacing w:val="-4"/>
        </w:rPr>
        <w:t xml:space="preserve"> </w:t>
      </w:r>
      <w:r w:rsidR="00DC3577" w:rsidRPr="00E66140">
        <w:rPr>
          <w:spacing w:val="-4"/>
          <w:lang w:val="es-ES"/>
        </w:rPr>
        <w:t>S</w:t>
      </w:r>
      <w:r w:rsidRPr="00E66140">
        <w:rPr>
          <w:spacing w:val="-4"/>
          <w:lang w:val="es-ES"/>
        </w:rPr>
        <w:t xml:space="preserve">eñaló que </w:t>
      </w:r>
      <w:r w:rsidR="003D5AC4" w:rsidRPr="00E66140">
        <w:rPr>
          <w:spacing w:val="-4"/>
          <w:lang w:val="es-ES"/>
        </w:rPr>
        <w:t>desde</w:t>
      </w:r>
      <w:r w:rsidRPr="00E66140">
        <w:rPr>
          <w:spacing w:val="-4"/>
          <w:lang w:val="es-CR"/>
        </w:rPr>
        <w:t xml:space="preserve"> febrero de 2010 </w:t>
      </w:r>
      <w:r w:rsidR="003D5AC4" w:rsidRPr="00E66140">
        <w:rPr>
          <w:spacing w:val="-4"/>
          <w:lang w:val="es-CR"/>
        </w:rPr>
        <w:t xml:space="preserve">había adoptado </w:t>
      </w:r>
      <w:r w:rsidRPr="00E66140">
        <w:rPr>
          <w:spacing w:val="-4"/>
          <w:lang w:val="es-CR"/>
        </w:rPr>
        <w:t>las medidas necesarias para atender la situación de gravedad y urgencia que en s</w:t>
      </w:r>
      <w:r w:rsidR="003D5AC4" w:rsidRPr="00E66140">
        <w:rPr>
          <w:spacing w:val="-4"/>
          <w:lang w:val="es-CR"/>
        </w:rPr>
        <w:t xml:space="preserve">u momento fue identificada por la Corte. </w:t>
      </w:r>
      <w:r w:rsidR="00951B72">
        <w:rPr>
          <w:spacing w:val="-4"/>
          <w:lang w:val="es-CR"/>
        </w:rPr>
        <w:t>Sin embargo, a</w:t>
      </w:r>
      <w:r w:rsidR="00BB056A" w:rsidRPr="00E66140">
        <w:rPr>
          <w:spacing w:val="-4"/>
          <w:lang w:val="es-CR"/>
        </w:rPr>
        <w:t xml:space="preserve">legó que actualmente no persiste una situación de extrema gravedad y urgencia que justifique el mantenimiento de las medidas. Además señaló que, si bien se han presentado dificultades a lo largo de más de cinco años de implementación de las medidas, actualmente las beneficiarias cuentan con medidas efectivas de seguridad que “han garantizado una protección clara por parte del Estado”. </w:t>
      </w:r>
      <w:r w:rsidR="00951B72">
        <w:rPr>
          <w:spacing w:val="-4"/>
          <w:lang w:val="es-ES"/>
        </w:rPr>
        <w:t>Por otra parte</w:t>
      </w:r>
      <w:r w:rsidRPr="00E66140">
        <w:rPr>
          <w:spacing w:val="-4"/>
          <w:lang w:val="es-ES"/>
        </w:rPr>
        <w:t xml:space="preserve">, </w:t>
      </w:r>
      <w:r w:rsidR="00BB056A" w:rsidRPr="00E66140">
        <w:rPr>
          <w:spacing w:val="-4"/>
          <w:lang w:val="es-ES"/>
        </w:rPr>
        <w:t xml:space="preserve">indicó que el </w:t>
      </w:r>
      <w:r w:rsidRPr="00E66140">
        <w:rPr>
          <w:spacing w:val="-4"/>
          <w:lang w:val="es-CR"/>
        </w:rPr>
        <w:t>avance de las investigaciones penales por los hechos de</w:t>
      </w:r>
      <w:r w:rsidR="00BB056A" w:rsidRPr="00E66140">
        <w:rPr>
          <w:spacing w:val="-4"/>
          <w:lang w:val="es-CR"/>
        </w:rPr>
        <w:t>l caso no deben ser considerados como un nuevo factor de riesgo sino un avance favorable en</w:t>
      </w:r>
      <w:r w:rsidRPr="00E66140">
        <w:rPr>
          <w:spacing w:val="-4"/>
          <w:lang w:val="es-CR"/>
        </w:rPr>
        <w:t xml:space="preserve"> </w:t>
      </w:r>
      <w:r w:rsidR="00BB056A" w:rsidRPr="00E66140">
        <w:rPr>
          <w:spacing w:val="-4"/>
          <w:lang w:val="es-CR"/>
        </w:rPr>
        <w:t xml:space="preserve">el </w:t>
      </w:r>
      <w:r w:rsidRPr="00E66140">
        <w:rPr>
          <w:spacing w:val="-4"/>
          <w:lang w:val="es-CR"/>
        </w:rPr>
        <w:t>caso</w:t>
      </w:r>
      <w:r w:rsidR="00BB056A" w:rsidRPr="00E66140">
        <w:rPr>
          <w:spacing w:val="-4"/>
          <w:lang w:val="es-CR"/>
        </w:rPr>
        <w:t>.</w:t>
      </w:r>
      <w:r w:rsidRPr="00E66140">
        <w:rPr>
          <w:spacing w:val="-4"/>
          <w:lang w:val="es-CR"/>
        </w:rPr>
        <w:t xml:space="preserve"> </w:t>
      </w:r>
      <w:r w:rsidR="00436CFD" w:rsidRPr="00E66140">
        <w:rPr>
          <w:spacing w:val="-4"/>
          <w:lang w:val="es-CR"/>
        </w:rPr>
        <w:t>Respecto al nuevo hecho informado por los representantes</w:t>
      </w:r>
      <w:r w:rsidR="00AA3EDF" w:rsidRPr="00E66140">
        <w:rPr>
          <w:spacing w:val="-4"/>
          <w:lang w:val="es-CR"/>
        </w:rPr>
        <w:t xml:space="preserve"> (</w:t>
      </w:r>
      <w:r w:rsidR="00AA3EDF" w:rsidRPr="00E66140">
        <w:rPr>
          <w:i/>
          <w:spacing w:val="-4"/>
          <w:lang w:val="es-CR"/>
        </w:rPr>
        <w:t>infra</w:t>
      </w:r>
      <w:r w:rsidR="00AA3EDF" w:rsidRPr="00E66140">
        <w:rPr>
          <w:spacing w:val="-4"/>
          <w:lang w:val="es-CR"/>
        </w:rPr>
        <w:t xml:space="preserve"> Considerando </w:t>
      </w:r>
      <w:r w:rsidR="00AA3EDF" w:rsidRPr="00E66140">
        <w:rPr>
          <w:spacing w:val="-4"/>
          <w:lang w:val="es-CR"/>
        </w:rPr>
        <w:fldChar w:fldCharType="begin"/>
      </w:r>
      <w:r w:rsidR="00AA3EDF" w:rsidRPr="00E66140">
        <w:rPr>
          <w:spacing w:val="-4"/>
          <w:lang w:val="es-CR"/>
        </w:rPr>
        <w:instrText xml:space="preserve"> REF _Ref442715648 \r \h </w:instrText>
      </w:r>
      <w:r w:rsidR="008831BB" w:rsidRPr="00E66140">
        <w:rPr>
          <w:spacing w:val="-4"/>
          <w:lang w:val="es-CR"/>
        </w:rPr>
        <w:instrText xml:space="preserve"> \* MERGEFORMAT </w:instrText>
      </w:r>
      <w:r w:rsidR="00AA3EDF" w:rsidRPr="00E66140">
        <w:rPr>
          <w:spacing w:val="-4"/>
          <w:lang w:val="es-CR"/>
        </w:rPr>
      </w:r>
      <w:r w:rsidR="00AA3EDF" w:rsidRPr="00E66140">
        <w:rPr>
          <w:spacing w:val="-4"/>
          <w:lang w:val="es-CR"/>
        </w:rPr>
        <w:fldChar w:fldCharType="separate"/>
      </w:r>
      <w:r w:rsidR="00C16EE7">
        <w:rPr>
          <w:spacing w:val="-4"/>
          <w:lang w:val="es-CR"/>
        </w:rPr>
        <w:t>13</w:t>
      </w:r>
      <w:r w:rsidR="00AA3EDF" w:rsidRPr="00E66140">
        <w:rPr>
          <w:spacing w:val="-4"/>
          <w:lang w:val="es-CR"/>
        </w:rPr>
        <w:fldChar w:fldCharType="end"/>
      </w:r>
      <w:r w:rsidR="00AA3EDF" w:rsidRPr="00E66140">
        <w:rPr>
          <w:spacing w:val="-4"/>
          <w:lang w:val="es-CR"/>
        </w:rPr>
        <w:t>)</w:t>
      </w:r>
      <w:r w:rsidR="00436CFD" w:rsidRPr="00E66140">
        <w:rPr>
          <w:spacing w:val="-4"/>
          <w:lang w:val="es-CR"/>
        </w:rPr>
        <w:t xml:space="preserve">, </w:t>
      </w:r>
      <w:r w:rsidR="004152B3" w:rsidRPr="00E66140">
        <w:rPr>
          <w:spacing w:val="-4"/>
          <w:lang w:val="es-CR"/>
        </w:rPr>
        <w:t xml:space="preserve">resaltaron </w:t>
      </w:r>
      <w:r w:rsidR="00C344F9" w:rsidRPr="00E66140">
        <w:rPr>
          <w:spacing w:val="-4"/>
          <w:lang w:val="es-CR"/>
        </w:rPr>
        <w:t>que</w:t>
      </w:r>
      <w:r w:rsidR="004152B3" w:rsidRPr="00E66140">
        <w:rPr>
          <w:spacing w:val="-4"/>
          <w:lang w:val="es-CR"/>
        </w:rPr>
        <w:t xml:space="preserve"> </w:t>
      </w:r>
      <w:r w:rsidR="00C344F9" w:rsidRPr="00E66140">
        <w:rPr>
          <w:spacing w:val="-4"/>
          <w:lang w:val="es-CR"/>
        </w:rPr>
        <w:t xml:space="preserve">no se hubiera informado </w:t>
      </w:r>
      <w:r w:rsidR="004152B3" w:rsidRPr="00E66140">
        <w:rPr>
          <w:spacing w:val="-4"/>
          <w:lang w:val="es-CR"/>
        </w:rPr>
        <w:t xml:space="preserve">de este nuevo </w:t>
      </w:r>
      <w:r w:rsidR="00C344F9" w:rsidRPr="00E66140">
        <w:rPr>
          <w:spacing w:val="-4"/>
          <w:lang w:val="es-CR"/>
        </w:rPr>
        <w:t xml:space="preserve">hecho sino hasta </w:t>
      </w:r>
      <w:r w:rsidR="004152B3" w:rsidRPr="00E66140">
        <w:rPr>
          <w:spacing w:val="-4"/>
          <w:lang w:val="es-CR"/>
        </w:rPr>
        <w:t xml:space="preserve">10 meses </w:t>
      </w:r>
      <w:r w:rsidR="00C344F9" w:rsidRPr="00E66140">
        <w:rPr>
          <w:spacing w:val="-4"/>
          <w:lang w:val="es-CR"/>
        </w:rPr>
        <w:t xml:space="preserve">después </w:t>
      </w:r>
      <w:r w:rsidR="004152B3" w:rsidRPr="00E66140">
        <w:rPr>
          <w:spacing w:val="-4"/>
          <w:lang w:val="es-CR"/>
        </w:rPr>
        <w:t xml:space="preserve">y que lo hubieran hecho “únicamente como respuesta a la solicitud de levantamiento de las medidas provisionales”. </w:t>
      </w:r>
      <w:r w:rsidR="003D796F" w:rsidRPr="00E66140">
        <w:rPr>
          <w:spacing w:val="-4"/>
          <w:lang w:val="es-CR"/>
        </w:rPr>
        <w:t xml:space="preserve">De acuerdo al Estado, esta demora demuestra “la inexistencia de una situación de gravedad, riesgo y, sobre todo, de </w:t>
      </w:r>
      <w:r w:rsidR="003D796F" w:rsidRPr="00E66140">
        <w:rPr>
          <w:i/>
          <w:iCs/>
          <w:spacing w:val="-4"/>
          <w:lang w:val="es-CR"/>
        </w:rPr>
        <w:t>urgencia</w:t>
      </w:r>
      <w:r w:rsidR="003D796F" w:rsidRPr="00E66140">
        <w:rPr>
          <w:b/>
          <w:spacing w:val="-4"/>
          <w:lang w:val="es-CR"/>
        </w:rPr>
        <w:t xml:space="preserve"> </w:t>
      </w:r>
      <w:r w:rsidR="003D796F" w:rsidRPr="00E66140">
        <w:rPr>
          <w:spacing w:val="-4"/>
          <w:lang w:val="es-CR"/>
        </w:rPr>
        <w:t xml:space="preserve">que justifique el mantenimiento de las […] medidas”, pues si </w:t>
      </w:r>
      <w:r w:rsidR="00951B72">
        <w:rPr>
          <w:spacing w:val="-4"/>
          <w:lang w:val="es-CR"/>
        </w:rPr>
        <w:t>“</w:t>
      </w:r>
      <w:r w:rsidR="003D796F" w:rsidRPr="00E66140">
        <w:rPr>
          <w:spacing w:val="-4"/>
          <w:lang w:val="es-CR"/>
        </w:rPr>
        <w:t xml:space="preserve">estimaban que en efecto existía una situación de urgencia </w:t>
      </w:r>
      <w:r w:rsidR="00C344F9" w:rsidRPr="00E66140">
        <w:rPr>
          <w:spacing w:val="-4"/>
          <w:lang w:val="es-CR"/>
        </w:rPr>
        <w:t>[…]</w:t>
      </w:r>
      <w:r w:rsidR="003D796F" w:rsidRPr="00E66140">
        <w:rPr>
          <w:spacing w:val="-4"/>
          <w:lang w:val="es-CR"/>
        </w:rPr>
        <w:t xml:space="preserve">, debieron así informarlo a la Corte Interamericana oportunamente, así como a las autoridades mexicanas”. Respecto de esto último, México informó que </w:t>
      </w:r>
      <w:r w:rsidR="00C344F9" w:rsidRPr="00E66140">
        <w:rPr>
          <w:spacing w:val="-4"/>
          <w:lang w:val="es-CR"/>
        </w:rPr>
        <w:t xml:space="preserve">no se ha presentado una denuncia </w:t>
      </w:r>
      <w:r w:rsidR="003D796F" w:rsidRPr="00E66140">
        <w:rPr>
          <w:spacing w:val="-4"/>
          <w:lang w:val="es-CR"/>
        </w:rPr>
        <w:t>por este presunto hecho nuevo</w:t>
      </w:r>
      <w:r w:rsidR="00C344F9" w:rsidRPr="00E66140">
        <w:rPr>
          <w:spacing w:val="-4"/>
          <w:lang w:val="es-CR"/>
        </w:rPr>
        <w:t xml:space="preserve"> ni a las autoridades ministeriales ni a las autoridades encargadas de la implementación de las medidas provisionales</w:t>
      </w:r>
      <w:r w:rsidR="003D796F" w:rsidRPr="00E66140">
        <w:rPr>
          <w:spacing w:val="-4"/>
          <w:lang w:val="es-CR"/>
        </w:rPr>
        <w:t xml:space="preserve">. </w:t>
      </w:r>
    </w:p>
    <w:p w:rsidR="004E0346" w:rsidRPr="00E66140" w:rsidRDefault="004E0346" w:rsidP="008831BB">
      <w:pPr>
        <w:spacing w:line="240" w:lineRule="auto"/>
        <w:rPr>
          <w:spacing w:val="-4"/>
          <w:lang w:val="es-ES"/>
        </w:rPr>
      </w:pPr>
    </w:p>
    <w:p w:rsidR="004E0346" w:rsidRPr="00C14648" w:rsidRDefault="004E0346" w:rsidP="008831BB">
      <w:pPr>
        <w:pStyle w:val="ListParagraph"/>
        <w:numPr>
          <w:ilvl w:val="0"/>
          <w:numId w:val="2"/>
        </w:numPr>
        <w:spacing w:line="240" w:lineRule="auto"/>
        <w:rPr>
          <w:rFonts w:cs="Arial"/>
          <w:color w:val="auto"/>
          <w:spacing w:val="-4"/>
          <w:lang w:val="es-CR"/>
        </w:rPr>
      </w:pPr>
      <w:bookmarkStart w:id="7" w:name="_Ref442715648"/>
      <w:r w:rsidRPr="00E66140">
        <w:rPr>
          <w:spacing w:val="-4"/>
          <w:lang w:val="es-ES"/>
        </w:rPr>
        <w:t xml:space="preserve">Los </w:t>
      </w:r>
      <w:r w:rsidRPr="00E66140">
        <w:rPr>
          <w:b/>
          <w:i/>
          <w:spacing w:val="-4"/>
          <w:lang w:val="es-ES"/>
        </w:rPr>
        <w:t>representantes</w:t>
      </w:r>
      <w:r w:rsidRPr="00E66140">
        <w:rPr>
          <w:spacing w:val="-4"/>
          <w:lang w:val="es-ES"/>
        </w:rPr>
        <w:t xml:space="preserve"> </w:t>
      </w:r>
      <w:r w:rsidR="00A7557B" w:rsidRPr="00E66140">
        <w:rPr>
          <w:spacing w:val="-4"/>
          <w:lang w:val="es-ES"/>
        </w:rPr>
        <w:t>alegaron que era indispensable garantizar los derechos a la vida e integridad personal de las beneficiarias “a efectos de que el Estado pueda cumplir con las medidas de reparación</w:t>
      </w:r>
      <w:r w:rsidR="00951B72">
        <w:rPr>
          <w:spacing w:val="-4"/>
          <w:lang w:val="es-ES"/>
        </w:rPr>
        <w:t xml:space="preserve"> que fueron dictadas por la […] Corte en su [S]entencia</w:t>
      </w:r>
      <w:r w:rsidR="00A7557B" w:rsidRPr="00E66140">
        <w:rPr>
          <w:spacing w:val="-4"/>
          <w:lang w:val="es-ES"/>
        </w:rPr>
        <w:t xml:space="preserve">”. </w:t>
      </w:r>
      <w:r w:rsidR="00974EFE" w:rsidRPr="00E66140">
        <w:rPr>
          <w:spacing w:val="-4"/>
          <w:lang w:val="es-ES"/>
        </w:rPr>
        <w:t>De acuerdo a los representantes, la situación de riesgo de las beneficiarias se deriva de: (i) elementos contextuales sobre la situación de violencia en México contra defensores de de</w:t>
      </w:r>
      <w:r w:rsidR="00F675A1">
        <w:rPr>
          <w:spacing w:val="-4"/>
          <w:lang w:val="es-ES"/>
        </w:rPr>
        <w:t>rechos humanos, particularmente</w:t>
      </w:r>
      <w:r w:rsidR="00974EFE" w:rsidRPr="00E66140">
        <w:rPr>
          <w:spacing w:val="-4"/>
          <w:lang w:val="es-ES"/>
        </w:rPr>
        <w:t xml:space="preserve"> </w:t>
      </w:r>
      <w:r w:rsidR="00901B05" w:rsidRPr="00E66140">
        <w:rPr>
          <w:spacing w:val="-4"/>
          <w:lang w:val="es-ES"/>
        </w:rPr>
        <w:t xml:space="preserve">en Guerrero y respecto de las </w:t>
      </w:r>
      <w:r w:rsidR="00974EFE" w:rsidRPr="00E66140">
        <w:rPr>
          <w:spacing w:val="-4"/>
          <w:lang w:val="es-ES"/>
        </w:rPr>
        <w:t>defensor</w:t>
      </w:r>
      <w:r w:rsidR="00901B05" w:rsidRPr="00E66140">
        <w:rPr>
          <w:spacing w:val="-4"/>
          <w:lang w:val="es-ES"/>
        </w:rPr>
        <w:t>a</w:t>
      </w:r>
      <w:r w:rsidR="00974EFE" w:rsidRPr="00E66140">
        <w:rPr>
          <w:spacing w:val="-4"/>
          <w:lang w:val="es-ES"/>
        </w:rPr>
        <w:t>s de los derechos de las mujeres; (ii) la falta de investigación de los hechos que dieron origen a las medidas, y (iii) ciertos hechos de preocupación ocurridos en junio de 2015. Al respecto, a</w:t>
      </w:r>
      <w:r w:rsidR="00A7557B" w:rsidRPr="00E66140">
        <w:rPr>
          <w:spacing w:val="-4"/>
          <w:lang w:val="es-ES"/>
        </w:rPr>
        <w:t xml:space="preserve">legaron que </w:t>
      </w:r>
      <w:r w:rsidR="00974EFE" w:rsidRPr="00E66140">
        <w:rPr>
          <w:spacing w:val="-4"/>
          <w:lang w:val="es-ES"/>
        </w:rPr>
        <w:t xml:space="preserve">al valorar la vigencia de las medidas es necesario considerar </w:t>
      </w:r>
      <w:r w:rsidR="00901B05" w:rsidRPr="00E66140">
        <w:rPr>
          <w:spacing w:val="-4"/>
          <w:lang w:val="es-ES"/>
        </w:rPr>
        <w:t xml:space="preserve">que la grave crisis de derechos humanos en México está </w:t>
      </w:r>
      <w:r w:rsidR="00901B05" w:rsidRPr="00E66140">
        <w:rPr>
          <w:rFonts w:cs="Arial"/>
          <w:spacing w:val="-4"/>
          <w:lang w:val="es-CR"/>
        </w:rPr>
        <w:t xml:space="preserve">relacionada con la participación del ejército en las funciones de seguridad pública y las políticas de combate al narcotráfico, que existe un </w:t>
      </w:r>
      <w:r w:rsidR="00901B05" w:rsidRPr="00E66140">
        <w:rPr>
          <w:spacing w:val="-4"/>
          <w:lang w:val="es-ES"/>
        </w:rPr>
        <w:t xml:space="preserve">contexto de violencia que afecta más gravemente a las defensoras de derechos humanos en Guerrero, </w:t>
      </w:r>
      <w:r w:rsidR="00974EFE" w:rsidRPr="00E66140">
        <w:rPr>
          <w:spacing w:val="-4"/>
          <w:lang w:val="es-ES"/>
        </w:rPr>
        <w:t xml:space="preserve">así como </w:t>
      </w:r>
      <w:r w:rsidR="00901B05" w:rsidRPr="00E66140">
        <w:rPr>
          <w:spacing w:val="-4"/>
          <w:lang w:val="es-ES"/>
        </w:rPr>
        <w:t xml:space="preserve">tener en cuenta </w:t>
      </w:r>
      <w:r w:rsidR="00974EFE" w:rsidRPr="00E66140">
        <w:rPr>
          <w:spacing w:val="-4"/>
          <w:lang w:val="es-ES"/>
        </w:rPr>
        <w:t xml:space="preserve">el riesgo específico </w:t>
      </w:r>
      <w:r w:rsidR="00901B05" w:rsidRPr="00E66140">
        <w:rPr>
          <w:spacing w:val="-4"/>
          <w:lang w:val="es-ES"/>
        </w:rPr>
        <w:t xml:space="preserve">asociado a la señora Rosendo Cantú por el </w:t>
      </w:r>
      <w:r w:rsidR="00974EFE" w:rsidRPr="00E66140">
        <w:rPr>
          <w:spacing w:val="-4"/>
          <w:lang w:val="es-ES"/>
        </w:rPr>
        <w:t xml:space="preserve">rol activo que ha asumido </w:t>
      </w:r>
      <w:r w:rsidR="00951B72">
        <w:rPr>
          <w:spacing w:val="-4"/>
          <w:lang w:val="es-ES"/>
        </w:rPr>
        <w:t>al</w:t>
      </w:r>
      <w:r w:rsidR="00951B72" w:rsidRPr="00E66140">
        <w:rPr>
          <w:spacing w:val="-4"/>
          <w:lang w:val="es-ES"/>
        </w:rPr>
        <w:t xml:space="preserve"> </w:t>
      </w:r>
      <w:r w:rsidR="00974EFE" w:rsidRPr="00E66140">
        <w:rPr>
          <w:spacing w:val="-4"/>
          <w:lang w:val="es-ES"/>
        </w:rPr>
        <w:t>reclamar justicia</w:t>
      </w:r>
      <w:r w:rsidR="00901B05" w:rsidRPr="00E66140">
        <w:rPr>
          <w:spacing w:val="-4"/>
          <w:lang w:val="es-ES"/>
        </w:rPr>
        <w:t xml:space="preserve"> por las violaciones de derechos humanos sufridas. </w:t>
      </w:r>
      <w:r w:rsidR="00E31310" w:rsidRPr="00E66140">
        <w:rPr>
          <w:rFonts w:cs="Arial"/>
          <w:spacing w:val="-4"/>
          <w:lang w:val="es-CR"/>
        </w:rPr>
        <w:t>Además, resaltaron que las amenazas e intimidaciones que dieron origen a las presentes medidas continúan sin ser adecuadamente investigadas</w:t>
      </w:r>
      <w:r w:rsidR="00436CFD" w:rsidRPr="00E66140">
        <w:rPr>
          <w:rFonts w:cs="Arial"/>
          <w:spacing w:val="-4"/>
          <w:lang w:val="es-CR"/>
        </w:rPr>
        <w:t>, lo cual constituye una fuente de riesgo.</w:t>
      </w:r>
      <w:r w:rsidR="00E31310" w:rsidRPr="00E66140">
        <w:rPr>
          <w:rFonts w:cs="Arial"/>
          <w:b/>
          <w:spacing w:val="-4"/>
          <w:lang w:val="es-CR"/>
        </w:rPr>
        <w:t xml:space="preserve"> </w:t>
      </w:r>
      <w:r w:rsidR="00436CFD" w:rsidRPr="00E66140">
        <w:rPr>
          <w:rFonts w:cs="Arial"/>
          <w:spacing w:val="-4"/>
          <w:lang w:val="es-CR"/>
        </w:rPr>
        <w:t>Asimismo</w:t>
      </w:r>
      <w:r w:rsidR="00901B05" w:rsidRPr="00E66140">
        <w:rPr>
          <w:rFonts w:cs="Arial"/>
          <w:spacing w:val="-4"/>
          <w:lang w:val="es-CR"/>
        </w:rPr>
        <w:t>,</w:t>
      </w:r>
      <w:r w:rsidR="00786F87" w:rsidRPr="00E66140">
        <w:rPr>
          <w:rFonts w:cs="Arial"/>
          <w:b/>
          <w:spacing w:val="-4"/>
          <w:lang w:val="es-CR"/>
        </w:rPr>
        <w:t xml:space="preserve"> </w:t>
      </w:r>
      <w:r w:rsidR="00901B05" w:rsidRPr="00E66140">
        <w:rPr>
          <w:rFonts w:cs="Arial"/>
          <w:spacing w:val="-4"/>
          <w:lang w:val="es-CR"/>
        </w:rPr>
        <w:t xml:space="preserve">informaron </w:t>
      </w:r>
      <w:r w:rsidRPr="00E66140">
        <w:rPr>
          <w:rFonts w:cs="Arial"/>
          <w:spacing w:val="-4"/>
          <w:lang w:val="es-CR"/>
        </w:rPr>
        <w:t>que “el 10 de mayo de 2015, la beneficiaria Rosendo</w:t>
      </w:r>
      <w:r w:rsidRPr="00E66140">
        <w:rPr>
          <w:spacing w:val="-4"/>
          <w:lang w:val="es-ES"/>
        </w:rPr>
        <w:t xml:space="preserve"> </w:t>
      </w:r>
      <w:r w:rsidRPr="00E66140">
        <w:rPr>
          <w:rFonts w:cs="Arial"/>
          <w:spacing w:val="-4"/>
          <w:lang w:val="es-CR"/>
        </w:rPr>
        <w:t>Cantú fue perseguida en la carretera federal que conduce al municipio de Tlapa,</w:t>
      </w:r>
      <w:r w:rsidRPr="00E66140">
        <w:rPr>
          <w:spacing w:val="-4"/>
          <w:lang w:val="es-ES"/>
        </w:rPr>
        <w:t xml:space="preserve"> </w:t>
      </w:r>
      <w:r w:rsidRPr="00E66140">
        <w:rPr>
          <w:rFonts w:cs="Arial"/>
          <w:spacing w:val="-4"/>
          <w:lang w:val="es-CR"/>
        </w:rPr>
        <w:t xml:space="preserve">teniendo como </w:t>
      </w:r>
      <w:r w:rsidRPr="00E66140">
        <w:rPr>
          <w:rFonts w:cs="Arial"/>
          <w:spacing w:val="-4"/>
          <w:lang w:val="es-CR"/>
        </w:rPr>
        <w:lastRenderedPageBreak/>
        <w:t>consecuencia un accidente en el automóvil que viajaba”</w:t>
      </w:r>
      <w:r w:rsidR="00786F87" w:rsidRPr="00E66140">
        <w:rPr>
          <w:rFonts w:cs="Arial"/>
          <w:spacing w:val="-4"/>
          <w:lang w:val="es-CR"/>
        </w:rPr>
        <w:t>.</w:t>
      </w:r>
      <w:r w:rsidRPr="00E66140">
        <w:rPr>
          <w:rFonts w:cs="Arial"/>
          <w:b/>
          <w:spacing w:val="-4"/>
          <w:lang w:val="es-CR"/>
        </w:rPr>
        <w:t xml:space="preserve"> </w:t>
      </w:r>
      <w:r w:rsidR="00436CFD" w:rsidRPr="00E66140">
        <w:rPr>
          <w:rFonts w:cs="Arial"/>
          <w:spacing w:val="-4"/>
          <w:lang w:val="es-CR"/>
        </w:rPr>
        <w:t>Al respecto, indicaron como prueba una nota periodística en la que se reporta que la señora Rosendo Cantú habría renunciado a una candidatura para la Alcaldía de Acatepec en Guerrero “por razones de seguridad”.</w:t>
      </w:r>
      <w:r w:rsidR="00436CFD" w:rsidRPr="00E66140">
        <w:rPr>
          <w:rFonts w:cs="Arial"/>
          <w:b/>
          <w:spacing w:val="-4"/>
          <w:lang w:val="es-CR"/>
        </w:rPr>
        <w:t xml:space="preserve"> </w:t>
      </w:r>
      <w:r w:rsidRPr="00E66140">
        <w:rPr>
          <w:rFonts w:cs="Arial"/>
          <w:spacing w:val="-4"/>
          <w:lang w:val="es-CR"/>
        </w:rPr>
        <w:t>Finalmente, los representantes manifestaron que</w:t>
      </w:r>
      <w:r w:rsidR="00436CFD" w:rsidRPr="00E66140">
        <w:rPr>
          <w:rFonts w:cs="Arial"/>
          <w:spacing w:val="-4"/>
          <w:lang w:val="es-CR"/>
        </w:rPr>
        <w:t>,</w:t>
      </w:r>
      <w:r w:rsidRPr="00E66140">
        <w:rPr>
          <w:rFonts w:cs="Arial"/>
          <w:spacing w:val="-4"/>
          <w:lang w:val="es-CR"/>
        </w:rPr>
        <w:t xml:space="preserve"> si bien “valora[ban] positivamente” los avances de las investigaciones, </w:t>
      </w:r>
      <w:r w:rsidR="00436CFD" w:rsidRPr="00E66140">
        <w:rPr>
          <w:rFonts w:cs="Arial"/>
          <w:spacing w:val="-4"/>
          <w:lang w:val="es-CR"/>
        </w:rPr>
        <w:t xml:space="preserve">era esencial valorar los riesgos que emanan de dichos avances porque “la </w:t>
      </w:r>
      <w:r w:rsidRPr="00E66140">
        <w:rPr>
          <w:rFonts w:cs="Arial"/>
          <w:spacing w:val="-4"/>
          <w:lang w:val="es-CR"/>
        </w:rPr>
        <w:t xml:space="preserve">situación de riesgo </w:t>
      </w:r>
      <w:r w:rsidR="00436CFD" w:rsidRPr="00E66140">
        <w:rPr>
          <w:rFonts w:cs="Arial"/>
          <w:spacing w:val="-4"/>
          <w:lang w:val="es-CR"/>
        </w:rPr>
        <w:t>de las beneficiarias ha</w:t>
      </w:r>
      <w:r w:rsidRPr="00E66140">
        <w:rPr>
          <w:rFonts w:cs="Arial"/>
          <w:spacing w:val="-4"/>
          <w:lang w:val="es-CR"/>
        </w:rPr>
        <w:t xml:space="preserve"> estado íntimamente relacionada con el movimiento de las </w:t>
      </w:r>
      <w:r w:rsidR="00436CFD" w:rsidRPr="00E66140">
        <w:rPr>
          <w:rFonts w:cs="Arial"/>
          <w:spacing w:val="-4"/>
          <w:lang w:val="es-CR"/>
        </w:rPr>
        <w:t>inve</w:t>
      </w:r>
      <w:r w:rsidR="00F675A1">
        <w:rPr>
          <w:rFonts w:cs="Arial"/>
          <w:spacing w:val="-4"/>
          <w:lang w:val="es-CR"/>
        </w:rPr>
        <w:t>stigaciones</w:t>
      </w:r>
      <w:r w:rsidRPr="00E66140">
        <w:rPr>
          <w:rFonts w:cs="Arial"/>
          <w:spacing w:val="-4"/>
          <w:lang w:val="es-CR"/>
        </w:rPr>
        <w:t xml:space="preserve">, </w:t>
      </w:r>
      <w:r w:rsidR="00436CFD" w:rsidRPr="00E66140">
        <w:rPr>
          <w:rFonts w:cs="Arial"/>
          <w:spacing w:val="-4"/>
          <w:lang w:val="es-CR"/>
        </w:rPr>
        <w:t xml:space="preserve">aunado a </w:t>
      </w:r>
      <w:r w:rsidRPr="00E66140">
        <w:rPr>
          <w:rFonts w:cs="Arial"/>
          <w:spacing w:val="-4"/>
          <w:lang w:val="es-CR"/>
        </w:rPr>
        <w:t xml:space="preserve">la participación de la beneficiaria en </w:t>
      </w:r>
      <w:r w:rsidRPr="00C14648">
        <w:rPr>
          <w:rFonts w:cs="Arial"/>
          <w:color w:val="auto"/>
          <w:spacing w:val="-4"/>
          <w:lang w:val="es-CR"/>
        </w:rPr>
        <w:t>diversas diligencias -</w:t>
      </w:r>
      <w:r w:rsidRPr="00C14648">
        <w:rPr>
          <w:color w:val="auto"/>
          <w:spacing w:val="-4"/>
          <w:lang w:val="es-ES"/>
        </w:rPr>
        <w:t xml:space="preserve"> </w:t>
      </w:r>
      <w:r w:rsidRPr="00C14648">
        <w:rPr>
          <w:rFonts w:cs="Arial"/>
          <w:color w:val="auto"/>
          <w:spacing w:val="-4"/>
          <w:lang w:val="es-CR"/>
        </w:rPr>
        <w:t>incluyendo careos- en el marco del proceso penal”</w:t>
      </w:r>
      <w:r w:rsidR="003075EE" w:rsidRPr="00C14648">
        <w:rPr>
          <w:rFonts w:cs="Arial"/>
          <w:color w:val="auto"/>
          <w:spacing w:val="-4"/>
          <w:lang w:val="es-CR"/>
        </w:rPr>
        <w:t>.</w:t>
      </w:r>
      <w:r w:rsidRPr="00C14648">
        <w:rPr>
          <w:rFonts w:cs="Arial"/>
          <w:color w:val="auto"/>
          <w:spacing w:val="-4"/>
          <w:lang w:val="es-CR"/>
        </w:rPr>
        <w:t xml:space="preserve"> </w:t>
      </w:r>
      <w:bookmarkEnd w:id="7"/>
    </w:p>
    <w:p w:rsidR="003075EE" w:rsidRPr="00C14648" w:rsidRDefault="003075EE" w:rsidP="008831BB">
      <w:pPr>
        <w:spacing w:line="240" w:lineRule="auto"/>
        <w:rPr>
          <w:color w:val="auto"/>
          <w:spacing w:val="-4"/>
          <w:lang w:val="es-CR"/>
        </w:rPr>
      </w:pPr>
    </w:p>
    <w:p w:rsidR="00AA12E4" w:rsidRPr="00C14648" w:rsidRDefault="003075EE" w:rsidP="008831BB">
      <w:pPr>
        <w:pStyle w:val="ListParagraph"/>
        <w:numPr>
          <w:ilvl w:val="0"/>
          <w:numId w:val="2"/>
        </w:numPr>
        <w:spacing w:line="240" w:lineRule="auto"/>
        <w:rPr>
          <w:color w:val="auto"/>
          <w:spacing w:val="-4"/>
          <w:lang w:val="es-CR"/>
        </w:rPr>
      </w:pPr>
      <w:r w:rsidRPr="00C14648">
        <w:rPr>
          <w:color w:val="auto"/>
          <w:spacing w:val="-4"/>
          <w:lang w:val="es-CR"/>
        </w:rPr>
        <w:t xml:space="preserve">La </w:t>
      </w:r>
      <w:r w:rsidRPr="00C14648">
        <w:rPr>
          <w:b/>
          <w:i/>
          <w:color w:val="auto"/>
          <w:spacing w:val="-4"/>
          <w:lang w:val="es-CR"/>
        </w:rPr>
        <w:t>Comisión</w:t>
      </w:r>
      <w:r w:rsidRPr="00C14648">
        <w:rPr>
          <w:color w:val="auto"/>
          <w:spacing w:val="-4"/>
          <w:lang w:val="es-CR"/>
        </w:rPr>
        <w:t xml:space="preserve"> </w:t>
      </w:r>
      <w:r w:rsidR="00DC011B" w:rsidRPr="00C14648">
        <w:rPr>
          <w:color w:val="auto"/>
          <w:spacing w:val="-4"/>
          <w:lang w:val="es-CR"/>
        </w:rPr>
        <w:t>observó que el Estado no habría presentado la información requerida por la Corte en su Resoluci</w:t>
      </w:r>
      <w:r w:rsidR="00A423E2" w:rsidRPr="00C14648">
        <w:rPr>
          <w:color w:val="auto"/>
          <w:spacing w:val="-4"/>
          <w:lang w:val="es-CR"/>
        </w:rPr>
        <w:t>ón</w:t>
      </w:r>
      <w:r w:rsidR="001B7DCD" w:rsidRPr="00C14648">
        <w:rPr>
          <w:color w:val="auto"/>
          <w:spacing w:val="-4"/>
          <w:lang w:val="es-CR"/>
        </w:rPr>
        <w:t xml:space="preserve">. Al respecto, señaló que México no presentó un informe detallado sobre la situación de riesgo de las beneficiarias, sino que “se ha limitado a indicar que, debido a una presunta falta de hechos violentos en contra de la señora Rosendo Cantú, las medidas establecidas a su favor deberían levantarse”.  Consideró que </w:t>
      </w:r>
      <w:r w:rsidR="005C7483">
        <w:rPr>
          <w:color w:val="auto"/>
          <w:spacing w:val="-4"/>
          <w:lang w:val="es-CR"/>
        </w:rPr>
        <w:t xml:space="preserve">no </w:t>
      </w:r>
      <w:r w:rsidR="001B7DCD" w:rsidRPr="00C14648">
        <w:rPr>
          <w:color w:val="auto"/>
          <w:spacing w:val="-4"/>
          <w:lang w:val="es-CR"/>
        </w:rPr>
        <w:t xml:space="preserve">están dadas las condiciones para que proceda la solicitud de levantamiento del Estado, debido a </w:t>
      </w:r>
      <w:r w:rsidR="00A423E2" w:rsidRPr="00C14648">
        <w:rPr>
          <w:color w:val="auto"/>
          <w:spacing w:val="-4"/>
          <w:lang w:val="es-CR"/>
        </w:rPr>
        <w:t xml:space="preserve">que: (i) sin perjuicio de que </w:t>
      </w:r>
      <w:r w:rsidR="005C7483">
        <w:rPr>
          <w:color w:val="auto"/>
          <w:spacing w:val="-4"/>
          <w:lang w:val="es-CR"/>
        </w:rPr>
        <w:t xml:space="preserve">no </w:t>
      </w:r>
      <w:r w:rsidR="00A423E2" w:rsidRPr="00C14648">
        <w:rPr>
          <w:color w:val="auto"/>
          <w:spacing w:val="-4"/>
          <w:lang w:val="es-CR"/>
        </w:rPr>
        <w:t xml:space="preserve">se hubiera denunciado a las autoridades, el hecho reportado por los representantes ya se encuentra en conocimiento del Estado, por lo cual el Estado debería adoptar las medidas para investigar tales hechos y determinar si los mismos se encuentran vinculados a la situación de riesgo que motivó las presentes medidas; (ii) </w:t>
      </w:r>
      <w:r w:rsidR="001B7DCD" w:rsidRPr="00C14648">
        <w:rPr>
          <w:color w:val="auto"/>
          <w:spacing w:val="-4"/>
          <w:lang w:val="es-CR"/>
        </w:rPr>
        <w:t>los diversos actos de violencia, hostigamiento y amenazas que ha sufrido la beneficiaria desde el otorgamiento de las medidas “se enmarcan en un contexto de afectaciones a defensores y defensoras de derechos humanos en México”. Al respecto resaltó que “</w:t>
      </w:r>
      <w:r w:rsidR="00B910D1" w:rsidRPr="00C14648">
        <w:rPr>
          <w:color w:val="auto"/>
          <w:spacing w:val="-4"/>
          <w:lang w:val="es-CR"/>
        </w:rPr>
        <w:t>a travé</w:t>
      </w:r>
      <w:r w:rsidR="001B7DCD" w:rsidRPr="00C14648">
        <w:rPr>
          <w:color w:val="auto"/>
          <w:spacing w:val="-4"/>
          <w:lang w:val="es-CR"/>
        </w:rPr>
        <w:t xml:space="preserve">s de sus diversos mecanismos, y recientemente en su visita </w:t>
      </w:r>
      <w:r w:rsidR="001B7DCD" w:rsidRPr="00CB6D8D">
        <w:rPr>
          <w:i/>
          <w:color w:val="auto"/>
          <w:spacing w:val="-4"/>
          <w:lang w:val="es-CR"/>
        </w:rPr>
        <w:t>in loco</w:t>
      </w:r>
      <w:r w:rsidR="001B7DCD" w:rsidRPr="00C14648">
        <w:rPr>
          <w:color w:val="auto"/>
          <w:spacing w:val="-4"/>
          <w:lang w:val="es-CR"/>
        </w:rPr>
        <w:t xml:space="preserve"> a México, ha conocido la situación de hostigamiento contra defensoras […] de derechos humanos en el estado de Guerrero, donde reside la señora Rosendo Cantú”, y (iii) el Estado no ha cumplido con implementar adecuadamente todas las medidas de protección acordadas con los representantes. </w:t>
      </w:r>
    </w:p>
    <w:p w:rsidR="00AA12E4" w:rsidRPr="00C14648" w:rsidRDefault="00AA12E4" w:rsidP="00584445">
      <w:pPr>
        <w:spacing w:before="60" w:after="60" w:line="240" w:lineRule="auto"/>
        <w:rPr>
          <w:color w:val="auto"/>
          <w:spacing w:val="-4"/>
          <w:lang w:val="es-CR"/>
        </w:rPr>
      </w:pPr>
    </w:p>
    <w:p w:rsidR="00D82719" w:rsidRPr="00C14648" w:rsidRDefault="00D82719" w:rsidP="00584445">
      <w:pPr>
        <w:pStyle w:val="BodyText2"/>
        <w:spacing w:before="60" w:after="60" w:line="240" w:lineRule="auto"/>
        <w:ind w:left="720" w:firstLine="720"/>
        <w:rPr>
          <w:rFonts w:ascii="Verdana" w:hAnsi="Verdana"/>
          <w:b/>
          <w:color w:val="auto"/>
          <w:spacing w:val="-4"/>
        </w:rPr>
      </w:pPr>
      <w:r w:rsidRPr="00C14648">
        <w:rPr>
          <w:rFonts w:ascii="Verdana" w:hAnsi="Verdana"/>
          <w:b/>
          <w:color w:val="auto"/>
          <w:spacing w:val="-4"/>
        </w:rPr>
        <w:t>B.2 Consideraciones de la Corte</w:t>
      </w:r>
    </w:p>
    <w:p w:rsidR="00D82719" w:rsidRPr="00E66140" w:rsidRDefault="00D82719" w:rsidP="00584445">
      <w:pPr>
        <w:spacing w:before="60" w:after="60" w:line="240" w:lineRule="auto"/>
        <w:rPr>
          <w:spacing w:val="-4"/>
          <w:lang w:val="es-CR"/>
        </w:rPr>
      </w:pPr>
    </w:p>
    <w:p w:rsidR="00AA12E4" w:rsidRPr="005C7483" w:rsidRDefault="00E650C3" w:rsidP="00E650C3">
      <w:pPr>
        <w:pStyle w:val="ListParagraph"/>
        <w:numPr>
          <w:ilvl w:val="0"/>
          <w:numId w:val="2"/>
        </w:numPr>
        <w:spacing w:line="240" w:lineRule="auto"/>
        <w:rPr>
          <w:rFonts w:cs="Arial"/>
          <w:spacing w:val="-4"/>
          <w:szCs w:val="20"/>
          <w:lang w:val="es-CR"/>
        </w:rPr>
      </w:pPr>
      <w:bookmarkStart w:id="8" w:name="_Ref442880105"/>
      <w:r w:rsidRPr="00E66140">
        <w:rPr>
          <w:spacing w:val="-4"/>
        </w:rPr>
        <w:t xml:space="preserve">Las presentes </w:t>
      </w:r>
      <w:r w:rsidRPr="005C7483">
        <w:rPr>
          <w:spacing w:val="-4"/>
          <w:szCs w:val="20"/>
        </w:rPr>
        <w:t>medidas provisionales se adoptaron en febrero de 2010 para proteger a la señora Valentina Rosendo Cantú y a su hija frente al riesgo generado como consecuencia de presuntos seguimientos sufridos, fotografías que le fueron tomadas y una tentativa de privación de libertad de su hija</w:t>
      </w:r>
      <w:r w:rsidRPr="005C7483">
        <w:rPr>
          <w:rStyle w:val="FootnoteReference"/>
          <w:spacing w:val="-4"/>
          <w:sz w:val="20"/>
          <w:szCs w:val="20"/>
        </w:rPr>
        <w:footnoteReference w:id="8"/>
      </w:r>
      <w:r w:rsidRPr="005C7483">
        <w:rPr>
          <w:spacing w:val="-4"/>
          <w:szCs w:val="20"/>
        </w:rPr>
        <w:t xml:space="preserve">. No obstante, la Corte no ha sido informado de hechos concretos que revelen una situación de extrema gravedad, urgencia o riesgo de daño irreparable a los derechos de las beneficiarias desde 2011, </w:t>
      </w:r>
      <w:r w:rsidR="00C73E41" w:rsidRPr="005C7483">
        <w:rPr>
          <w:spacing w:val="-4"/>
          <w:szCs w:val="20"/>
        </w:rPr>
        <w:t xml:space="preserve">es decir, en </w:t>
      </w:r>
      <w:r w:rsidRPr="005C7483">
        <w:rPr>
          <w:spacing w:val="-4"/>
          <w:szCs w:val="20"/>
        </w:rPr>
        <w:t xml:space="preserve">un período mayor a cinco años. Esta situación se resaltó </w:t>
      </w:r>
      <w:r w:rsidR="00DD3794" w:rsidRPr="005C7483">
        <w:rPr>
          <w:spacing w:val="-4"/>
          <w:szCs w:val="20"/>
        </w:rPr>
        <w:t xml:space="preserve">en </w:t>
      </w:r>
      <w:r w:rsidRPr="005C7483">
        <w:rPr>
          <w:spacing w:val="-4"/>
          <w:szCs w:val="20"/>
        </w:rPr>
        <w:t xml:space="preserve">la </w:t>
      </w:r>
      <w:r w:rsidR="00DD3794" w:rsidRPr="005C7483">
        <w:rPr>
          <w:spacing w:val="-4"/>
          <w:szCs w:val="20"/>
        </w:rPr>
        <w:t>Resolución de junio de 2015</w:t>
      </w:r>
      <w:r w:rsidR="00DD3794" w:rsidRPr="005C7483">
        <w:rPr>
          <w:rStyle w:val="FootnoteReference"/>
          <w:spacing w:val="-4"/>
          <w:sz w:val="20"/>
          <w:szCs w:val="20"/>
        </w:rPr>
        <w:footnoteReference w:id="9"/>
      </w:r>
      <w:r w:rsidRPr="005C7483">
        <w:rPr>
          <w:spacing w:val="-4"/>
          <w:szCs w:val="20"/>
        </w:rPr>
        <w:t xml:space="preserve"> y, en consecuencia, </w:t>
      </w:r>
      <w:bookmarkStart w:id="9" w:name="_Ref416206815"/>
      <w:r w:rsidRPr="005C7483">
        <w:rPr>
          <w:spacing w:val="-4"/>
          <w:szCs w:val="20"/>
        </w:rPr>
        <w:t xml:space="preserve">se </w:t>
      </w:r>
      <w:r w:rsidR="00AA12E4" w:rsidRPr="005C7483">
        <w:rPr>
          <w:spacing w:val="-4"/>
          <w:szCs w:val="20"/>
        </w:rPr>
        <w:t xml:space="preserve">solicitó al Estado </w:t>
      </w:r>
      <w:bookmarkStart w:id="10" w:name="_Ref416208073"/>
      <w:r w:rsidR="00AA12E4" w:rsidRPr="005C7483">
        <w:rPr>
          <w:rFonts w:cs="Arial"/>
          <w:spacing w:val="-4"/>
          <w:szCs w:val="20"/>
          <w:lang w:val="es-CR"/>
        </w:rPr>
        <w:t xml:space="preserve">y a los representantes </w:t>
      </w:r>
      <w:r w:rsidR="00AA12E4" w:rsidRPr="005C7483">
        <w:rPr>
          <w:rFonts w:eastAsia="Times"/>
          <w:spacing w:val="-4"/>
          <w:szCs w:val="20"/>
          <w:lang w:eastAsia="es-ES"/>
        </w:rPr>
        <w:t xml:space="preserve">remitir información </w:t>
      </w:r>
      <w:r w:rsidR="00AA12E4" w:rsidRPr="005C7483">
        <w:rPr>
          <w:rFonts w:eastAsia="Times"/>
          <w:spacing w:val="-4"/>
          <w:szCs w:val="20"/>
          <w:lang w:val="es-CR" w:eastAsia="es-ES"/>
        </w:rPr>
        <w:t>detallada sobre la situación actual de riesgo de las beneficiarias, en comparación con la situación que dio origen a las medidas provisionales</w:t>
      </w:r>
      <w:r w:rsidR="00453D44" w:rsidRPr="005C7483">
        <w:rPr>
          <w:rFonts w:eastAsia="Times"/>
          <w:spacing w:val="-4"/>
          <w:szCs w:val="20"/>
          <w:lang w:val="es-CR" w:eastAsia="es-ES"/>
        </w:rPr>
        <w:t xml:space="preserve"> y, de ser el caso, ofrecer los argumentos y prueba necesaria sobre la persistencia de una situación de </w:t>
      </w:r>
      <w:r w:rsidR="00453D44" w:rsidRPr="005C7483">
        <w:rPr>
          <w:rFonts w:cs="Arial"/>
          <w:spacing w:val="-4"/>
          <w:szCs w:val="20"/>
          <w:lang w:val="es-CR"/>
        </w:rPr>
        <w:t>extrema gravedad y urgencia y de necesidad de evitar daños irreparables</w:t>
      </w:r>
      <w:r w:rsidR="00AA12E4" w:rsidRPr="005C7483">
        <w:rPr>
          <w:rStyle w:val="FootnoteReference"/>
          <w:rFonts w:eastAsia="Times"/>
          <w:spacing w:val="-4"/>
          <w:sz w:val="20"/>
          <w:szCs w:val="20"/>
          <w:lang w:val="es-CR" w:eastAsia="es-ES"/>
        </w:rPr>
        <w:footnoteReference w:id="10"/>
      </w:r>
      <w:r w:rsidR="00453D44" w:rsidRPr="005C7483">
        <w:rPr>
          <w:rFonts w:eastAsia="Times"/>
          <w:spacing w:val="-4"/>
          <w:szCs w:val="20"/>
          <w:lang w:val="es-CR" w:eastAsia="es-ES"/>
        </w:rPr>
        <w:t>.</w:t>
      </w:r>
      <w:bookmarkEnd w:id="8"/>
      <w:r w:rsidR="00AA12E4" w:rsidRPr="005C7483">
        <w:rPr>
          <w:rFonts w:eastAsia="Times"/>
          <w:spacing w:val="-4"/>
          <w:szCs w:val="20"/>
          <w:lang w:val="es-CR" w:eastAsia="es-ES"/>
        </w:rPr>
        <w:t xml:space="preserve"> </w:t>
      </w:r>
      <w:bookmarkEnd w:id="10"/>
    </w:p>
    <w:p w:rsidR="00AA12E4" w:rsidRPr="005C7483" w:rsidRDefault="00AA12E4" w:rsidP="008831BB">
      <w:pPr>
        <w:pStyle w:val="BodyText2"/>
        <w:spacing w:after="0" w:line="240" w:lineRule="auto"/>
        <w:rPr>
          <w:rFonts w:ascii="Verdana" w:hAnsi="Verdana"/>
          <w:spacing w:val="-4"/>
        </w:rPr>
      </w:pPr>
    </w:p>
    <w:p w:rsidR="00AA12E4" w:rsidRPr="00E66140" w:rsidRDefault="00E650C3" w:rsidP="008831BB">
      <w:pPr>
        <w:pStyle w:val="BodyText2"/>
        <w:numPr>
          <w:ilvl w:val="0"/>
          <w:numId w:val="2"/>
        </w:numPr>
        <w:spacing w:after="0" w:line="240" w:lineRule="auto"/>
        <w:rPr>
          <w:rFonts w:ascii="Verdana" w:hAnsi="Verdana"/>
          <w:spacing w:val="-4"/>
        </w:rPr>
      </w:pPr>
      <w:bookmarkStart w:id="11" w:name="_Ref442720394"/>
      <w:r w:rsidRPr="00E66140">
        <w:rPr>
          <w:rFonts w:ascii="Verdana" w:hAnsi="Verdana"/>
          <w:spacing w:val="-4"/>
        </w:rPr>
        <w:t>E</w:t>
      </w:r>
      <w:r w:rsidR="00453D44" w:rsidRPr="00E66140">
        <w:rPr>
          <w:rFonts w:ascii="Verdana" w:hAnsi="Verdana"/>
          <w:spacing w:val="-4"/>
        </w:rPr>
        <w:t xml:space="preserve">sta Corte </w:t>
      </w:r>
      <w:r w:rsidR="00AA12E4" w:rsidRPr="00E66140">
        <w:rPr>
          <w:rFonts w:ascii="Verdana" w:hAnsi="Verdana"/>
          <w:spacing w:val="-4"/>
        </w:rPr>
        <w:t>reitera que la excepcionalidad y temporalidad es propia de las medidas provisionales</w:t>
      </w:r>
      <w:r w:rsidR="00AA12E4" w:rsidRPr="00E66140">
        <w:rPr>
          <w:rStyle w:val="FootnoteReference"/>
          <w:spacing w:val="-4"/>
          <w:sz w:val="20"/>
        </w:rPr>
        <w:footnoteReference w:id="11"/>
      </w:r>
      <w:r w:rsidR="00AA12E4" w:rsidRPr="00E66140">
        <w:rPr>
          <w:rFonts w:ascii="Verdana" w:hAnsi="Verdana"/>
          <w:spacing w:val="-4"/>
        </w:rPr>
        <w:t xml:space="preserve">. A efectos de decidir si se mantiene la vigencia de las medidas provisionales este </w:t>
      </w:r>
      <w:r w:rsidR="00AA12E4" w:rsidRPr="00E66140">
        <w:rPr>
          <w:rFonts w:ascii="Verdana" w:hAnsi="Verdana"/>
          <w:spacing w:val="-4"/>
        </w:rPr>
        <w:lastRenderedPageBreak/>
        <w:t>Tribunal debe analizar, de conformidad con el artículo 63 de la Convención, si persiste la situación de “extrema</w:t>
      </w:r>
      <w:r w:rsidR="004E6786">
        <w:rPr>
          <w:rFonts w:ascii="Verdana" w:hAnsi="Verdana"/>
          <w:spacing w:val="-4"/>
        </w:rPr>
        <w:t xml:space="preserve"> </w:t>
      </w:r>
      <w:r w:rsidR="00AA12E4" w:rsidRPr="00E66140">
        <w:rPr>
          <w:rFonts w:ascii="Verdana" w:hAnsi="Verdana"/>
          <w:spacing w:val="-4"/>
        </w:rPr>
        <w:t>gravedad” y “urgencia” relativa a posibles “daños irreparables a la […] persona […]” beneficiaria</w:t>
      </w:r>
      <w:r w:rsidR="00AA12E4" w:rsidRPr="00E66140">
        <w:rPr>
          <w:rStyle w:val="FootnoteReference"/>
          <w:spacing w:val="-4"/>
          <w:sz w:val="20"/>
        </w:rPr>
        <w:footnoteReference w:id="12"/>
      </w:r>
      <w:r w:rsidR="00AA12E4" w:rsidRPr="00E66140">
        <w:rPr>
          <w:rFonts w:ascii="Verdana" w:hAnsi="Verdana"/>
          <w:spacing w:val="-4"/>
        </w:rPr>
        <w:t>. Si bien la apreciación de tales requisitos al dictar la adopción de las medidas provisionales se hace “</w:t>
      </w:r>
      <w:r w:rsidR="00AA12E4" w:rsidRPr="00E66140">
        <w:rPr>
          <w:rFonts w:ascii="Verdana" w:hAnsi="Verdana"/>
          <w:i/>
          <w:spacing w:val="-4"/>
        </w:rPr>
        <w:t>prima facie</w:t>
      </w:r>
      <w:r w:rsidR="00AA12E4" w:rsidRPr="00E66140">
        <w:rPr>
          <w:rFonts w:ascii="Verdana" w:hAnsi="Verdana"/>
          <w:spacing w:val="-4"/>
        </w:rPr>
        <w:t>, siendo en ocasiones necesaria la aplicación de presunciones ante las necesidades de protección”</w:t>
      </w:r>
      <w:r w:rsidR="00AA12E4" w:rsidRPr="00E66140">
        <w:rPr>
          <w:rStyle w:val="FootnoteReference"/>
          <w:spacing w:val="-4"/>
          <w:sz w:val="20"/>
        </w:rPr>
        <w:footnoteReference w:id="13"/>
      </w:r>
      <w:r w:rsidR="00AA12E4" w:rsidRPr="00E66140">
        <w:rPr>
          <w:rFonts w:ascii="Verdana" w:hAnsi="Verdana"/>
          <w:spacing w:val="-4"/>
        </w:rPr>
        <w:t>, el mantenimiento de las medidas de protección exige una evaluación más rigurosa de la Corte en cuanto a la persistencia de la situac</w:t>
      </w:r>
      <w:r w:rsidR="00662690" w:rsidRPr="00E66140">
        <w:rPr>
          <w:rFonts w:ascii="Verdana" w:hAnsi="Verdana"/>
          <w:spacing w:val="-4"/>
        </w:rPr>
        <w:t>ión que dio origen a las mismas</w:t>
      </w:r>
      <w:r w:rsidR="00AA12E4" w:rsidRPr="00E66140">
        <w:rPr>
          <w:rStyle w:val="FootnoteReference"/>
          <w:spacing w:val="-4"/>
          <w:sz w:val="20"/>
        </w:rPr>
        <w:footnoteReference w:id="14"/>
      </w:r>
      <w:r w:rsidR="00AA12E4" w:rsidRPr="00E66140">
        <w:rPr>
          <w:rFonts w:ascii="Verdana" w:hAnsi="Verdana"/>
          <w:spacing w:val="-4"/>
        </w:rPr>
        <w:t xml:space="preserve">. A la vez, la carga probatoria y argumentativa de los </w:t>
      </w:r>
      <w:r w:rsidR="004E6786">
        <w:rPr>
          <w:rFonts w:ascii="Verdana" w:hAnsi="Verdana"/>
          <w:spacing w:val="-4"/>
        </w:rPr>
        <w:t>representantes</w:t>
      </w:r>
      <w:r w:rsidR="004E6786" w:rsidRPr="00E66140">
        <w:rPr>
          <w:rFonts w:ascii="Verdana" w:hAnsi="Verdana"/>
          <w:spacing w:val="-4"/>
        </w:rPr>
        <w:t xml:space="preserve"> </w:t>
      </w:r>
      <w:r w:rsidR="00AA12E4" w:rsidRPr="00E66140">
        <w:rPr>
          <w:rFonts w:ascii="Verdana" w:hAnsi="Verdana"/>
          <w:spacing w:val="-4"/>
        </w:rPr>
        <w:t>y de la Comisión aumentará conforme transcurre el tiempo y no se presentan nuevas amenazas. Ciertamente, el hecho de que no se presenten nuevas amenazas puede deberse precisamente a la efectividad de la protección brindada o a la disuasión ocasionada con la orden de la Corte. No obstante, el transcurso de un razonable período de tiempo sin amenazas o intimidaciones, sumado a la falta de un riesgo inminente, puede conllevar el levantamiento de las medidas provisionales</w:t>
      </w:r>
      <w:r w:rsidR="00AA12E4" w:rsidRPr="00E66140">
        <w:rPr>
          <w:rStyle w:val="FootnoteReference"/>
          <w:spacing w:val="-4"/>
          <w:sz w:val="20"/>
        </w:rPr>
        <w:footnoteReference w:id="15"/>
      </w:r>
      <w:r w:rsidR="00AA12E4" w:rsidRPr="00E66140">
        <w:rPr>
          <w:rFonts w:ascii="Verdana" w:hAnsi="Verdana"/>
          <w:spacing w:val="-4"/>
        </w:rPr>
        <w:t>.</w:t>
      </w:r>
      <w:bookmarkEnd w:id="9"/>
      <w:bookmarkEnd w:id="11"/>
    </w:p>
    <w:p w:rsidR="00AA12E4" w:rsidRPr="00E66140" w:rsidRDefault="00AA12E4" w:rsidP="008831BB">
      <w:pPr>
        <w:pStyle w:val="BodyText2"/>
        <w:spacing w:after="0" w:line="240" w:lineRule="auto"/>
        <w:rPr>
          <w:rFonts w:ascii="Verdana" w:hAnsi="Verdana"/>
          <w:spacing w:val="-4"/>
        </w:rPr>
      </w:pPr>
    </w:p>
    <w:p w:rsidR="00AA12E4" w:rsidRPr="00E66140" w:rsidRDefault="00AA12E4" w:rsidP="008831BB">
      <w:pPr>
        <w:pStyle w:val="BodyText2"/>
        <w:numPr>
          <w:ilvl w:val="0"/>
          <w:numId w:val="2"/>
        </w:numPr>
        <w:spacing w:after="0" w:line="240" w:lineRule="auto"/>
        <w:rPr>
          <w:rFonts w:ascii="Verdana" w:hAnsi="Verdana"/>
          <w:spacing w:val="-4"/>
        </w:rPr>
      </w:pPr>
      <w:bookmarkStart w:id="12" w:name="_Ref416206691"/>
      <w:r w:rsidRPr="00E66140">
        <w:rPr>
          <w:rFonts w:ascii="Verdana" w:hAnsi="Verdana"/>
          <w:spacing w:val="-4"/>
        </w:rPr>
        <w:t>A su vez, la Corte debe tomar en cuenta que, conforme al Preámbulo de la Convención Americana, la protección internacional de naturaleza convencional es “coadyuvante o complementaria de la que ofrece el derecho interno de los Estados americanos”. Por ello, de comprobarse que el Estado en cuestión ha desarrollado mecanismos o acciones de protección eficaces para los beneficiarios de las medidas provisionales, este Tribunal podría decidir levantar o reducir el número de beneficiarios de las medidas provisionales descargando la obligación de protección en su responsable primario, esto es, el Estado</w:t>
      </w:r>
      <w:r w:rsidRPr="00E66140">
        <w:rPr>
          <w:rStyle w:val="FootnoteReference"/>
          <w:spacing w:val="-4"/>
          <w:sz w:val="20"/>
        </w:rPr>
        <w:footnoteReference w:id="16"/>
      </w:r>
      <w:r w:rsidRPr="00E66140">
        <w:rPr>
          <w:rFonts w:ascii="Verdana" w:hAnsi="Verdana"/>
          <w:spacing w:val="-4"/>
        </w:rPr>
        <w:t>.</w:t>
      </w:r>
      <w:bookmarkEnd w:id="12"/>
      <w:r w:rsidRPr="00E66140">
        <w:rPr>
          <w:rFonts w:ascii="Verdana" w:hAnsi="Verdana"/>
          <w:spacing w:val="-4"/>
        </w:rPr>
        <w:t xml:space="preserve"> </w:t>
      </w:r>
    </w:p>
    <w:p w:rsidR="00DD3794" w:rsidRPr="00E66140" w:rsidRDefault="00DD3794" w:rsidP="008831BB">
      <w:pPr>
        <w:spacing w:line="240" w:lineRule="auto"/>
        <w:rPr>
          <w:spacing w:val="-4"/>
          <w:lang w:val="es-CR"/>
        </w:rPr>
      </w:pPr>
    </w:p>
    <w:p w:rsidR="00225DF2" w:rsidRPr="00E66140" w:rsidRDefault="00C73E41" w:rsidP="00C73E41">
      <w:pPr>
        <w:pStyle w:val="ListParagraph"/>
        <w:numPr>
          <w:ilvl w:val="0"/>
          <w:numId w:val="2"/>
        </w:numPr>
        <w:spacing w:line="240" w:lineRule="auto"/>
        <w:rPr>
          <w:spacing w:val="-4"/>
          <w:lang w:val="es-CR"/>
        </w:rPr>
      </w:pPr>
      <w:r w:rsidRPr="00E66140">
        <w:rPr>
          <w:spacing w:val="-4"/>
          <w:lang w:val="es-CR"/>
        </w:rPr>
        <w:t xml:space="preserve">En respuesta a la solicitud de información de este Tribunal, </w:t>
      </w:r>
      <w:r w:rsidR="00D24F4F" w:rsidRPr="00E66140">
        <w:rPr>
          <w:spacing w:val="-4"/>
          <w:lang w:val="es-CR"/>
        </w:rPr>
        <w:t xml:space="preserve">los representantes alegan cuatro razones principales por las cuales deben mantenerse estas medidas: </w:t>
      </w:r>
      <w:r w:rsidR="00D24F4F" w:rsidRPr="00E66140">
        <w:rPr>
          <w:spacing w:val="-4"/>
          <w:szCs w:val="20"/>
          <w:lang w:val="es-ES"/>
        </w:rPr>
        <w:t xml:space="preserve">(i) la situación contextual de violencia contra defensoras de </w:t>
      </w:r>
      <w:r w:rsidRPr="00E66140">
        <w:rPr>
          <w:spacing w:val="-4"/>
          <w:szCs w:val="20"/>
          <w:lang w:val="es-ES"/>
        </w:rPr>
        <w:t xml:space="preserve">los </w:t>
      </w:r>
      <w:r w:rsidR="00D24F4F" w:rsidRPr="00E66140">
        <w:rPr>
          <w:spacing w:val="-4"/>
          <w:szCs w:val="20"/>
          <w:lang w:val="es-ES"/>
        </w:rPr>
        <w:t xml:space="preserve">derechos de la mujeres en Guerrero </w:t>
      </w:r>
      <w:r w:rsidRPr="00E66140">
        <w:rPr>
          <w:spacing w:val="-4"/>
          <w:szCs w:val="20"/>
          <w:lang w:val="es-ES"/>
        </w:rPr>
        <w:t>aunado al</w:t>
      </w:r>
      <w:r w:rsidR="00D24F4F" w:rsidRPr="00E66140">
        <w:rPr>
          <w:spacing w:val="-4"/>
          <w:szCs w:val="20"/>
          <w:lang w:val="es-ES"/>
        </w:rPr>
        <w:t xml:space="preserve"> rol activo que ha asumido la señora Rosendo Cantú en la búsqueda de justicia </w:t>
      </w:r>
      <w:r w:rsidR="00E36199">
        <w:rPr>
          <w:spacing w:val="-4"/>
          <w:szCs w:val="20"/>
          <w:lang w:val="es-ES"/>
        </w:rPr>
        <w:t>para</w:t>
      </w:r>
      <w:r w:rsidR="00E36199" w:rsidRPr="00E66140">
        <w:rPr>
          <w:spacing w:val="-4"/>
          <w:szCs w:val="20"/>
          <w:lang w:val="es-ES"/>
        </w:rPr>
        <w:t xml:space="preserve"> </w:t>
      </w:r>
      <w:r w:rsidR="00D24F4F" w:rsidRPr="00E66140">
        <w:rPr>
          <w:spacing w:val="-4"/>
          <w:szCs w:val="20"/>
          <w:lang w:val="es-ES"/>
        </w:rPr>
        <w:t xml:space="preserve">su caso; (ii) la falta de investigación de los hechos que dieron origen a las medidas; (iii) un hecho ocurrido en junio de 2015, y (iv) la alegada necesidad de mantener las medidas </w:t>
      </w:r>
      <w:r w:rsidR="000545E6" w:rsidRPr="00E66140">
        <w:rPr>
          <w:spacing w:val="-4"/>
          <w:szCs w:val="20"/>
          <w:lang w:val="es-ES"/>
        </w:rPr>
        <w:t xml:space="preserve">provisionales </w:t>
      </w:r>
      <w:r w:rsidR="000545E6" w:rsidRPr="00281A1A">
        <w:rPr>
          <w:spacing w:val="-4"/>
          <w:szCs w:val="20"/>
          <w:lang w:val="es-ES"/>
        </w:rPr>
        <w:t>hasta tanto se cumpla con la medida de reparación de la Sentencia relativa a la investigación de los hechos del caso.</w:t>
      </w:r>
      <w:r w:rsidR="000545E6" w:rsidRPr="00E66140">
        <w:rPr>
          <w:spacing w:val="-4"/>
          <w:szCs w:val="20"/>
          <w:lang w:val="es-ES"/>
        </w:rPr>
        <w:t xml:space="preserve"> </w:t>
      </w:r>
      <w:r w:rsidR="00D24F4F" w:rsidRPr="00E66140">
        <w:rPr>
          <w:spacing w:val="-4"/>
          <w:szCs w:val="20"/>
          <w:lang w:val="es-ES"/>
        </w:rPr>
        <w:t xml:space="preserve"> </w:t>
      </w:r>
    </w:p>
    <w:p w:rsidR="00225DF2" w:rsidRPr="00E66140" w:rsidRDefault="00225DF2" w:rsidP="008831BB">
      <w:pPr>
        <w:pStyle w:val="Default"/>
        <w:jc w:val="both"/>
        <w:rPr>
          <w:spacing w:val="-4"/>
          <w:sz w:val="20"/>
          <w:lang w:val="es-CR"/>
        </w:rPr>
      </w:pPr>
    </w:p>
    <w:p w:rsidR="00703A00" w:rsidRPr="0043521E" w:rsidRDefault="000545E6" w:rsidP="008831BB">
      <w:pPr>
        <w:pStyle w:val="Default"/>
        <w:numPr>
          <w:ilvl w:val="0"/>
          <w:numId w:val="2"/>
        </w:numPr>
        <w:jc w:val="both"/>
        <w:rPr>
          <w:rStyle w:val="eacep"/>
          <w:spacing w:val="-4"/>
          <w:sz w:val="20"/>
          <w:szCs w:val="20"/>
          <w:lang w:val="es-CR"/>
        </w:rPr>
      </w:pPr>
      <w:r w:rsidRPr="00E36199">
        <w:rPr>
          <w:i/>
          <w:spacing w:val="-4"/>
          <w:sz w:val="20"/>
          <w:szCs w:val="20"/>
          <w:lang w:val="es-CR"/>
        </w:rPr>
        <w:t>Respecto a la situación contextual de violencia</w:t>
      </w:r>
      <w:r w:rsidRPr="00E36199">
        <w:rPr>
          <w:spacing w:val="-4"/>
          <w:sz w:val="20"/>
          <w:szCs w:val="20"/>
          <w:lang w:val="es-CR"/>
        </w:rPr>
        <w:t xml:space="preserve">, </w:t>
      </w:r>
      <w:r w:rsidR="00396BB5" w:rsidRPr="00E36199">
        <w:rPr>
          <w:spacing w:val="-4"/>
          <w:sz w:val="20"/>
          <w:szCs w:val="20"/>
          <w:lang w:val="es-CR"/>
        </w:rPr>
        <w:t>esta Corte ha advertido que</w:t>
      </w:r>
      <w:r w:rsidR="000462E4" w:rsidRPr="00E36199">
        <w:rPr>
          <w:spacing w:val="-4"/>
          <w:sz w:val="20"/>
          <w:szCs w:val="20"/>
          <w:lang w:val="es-CR"/>
        </w:rPr>
        <w:t>,</w:t>
      </w:r>
      <w:r w:rsidR="00B00F9E" w:rsidRPr="00E36199">
        <w:rPr>
          <w:spacing w:val="-4"/>
          <w:sz w:val="20"/>
          <w:szCs w:val="20"/>
          <w:lang w:val="es-CR"/>
        </w:rPr>
        <w:t xml:space="preserve"> </w:t>
      </w:r>
      <w:r w:rsidR="00F04F5A" w:rsidRPr="00E36199">
        <w:rPr>
          <w:spacing w:val="-4"/>
          <w:sz w:val="20"/>
          <w:szCs w:val="20"/>
          <w:lang w:val="es-CR"/>
        </w:rPr>
        <w:t>aun cuando</w:t>
      </w:r>
      <w:r w:rsidR="00B00F9E" w:rsidRPr="00E36199">
        <w:rPr>
          <w:spacing w:val="-4"/>
          <w:sz w:val="20"/>
          <w:szCs w:val="20"/>
          <w:lang w:val="es-CR"/>
        </w:rPr>
        <w:t xml:space="preserve"> para determinar si existe una situación de extrema gravedad y urgencia de evitar daños irreparables, </w:t>
      </w:r>
      <w:r w:rsidR="00225DF2" w:rsidRPr="00E36199">
        <w:rPr>
          <w:spacing w:val="-4"/>
          <w:sz w:val="20"/>
          <w:szCs w:val="20"/>
          <w:lang w:val="es-CR"/>
        </w:rPr>
        <w:t xml:space="preserve">puede valorar el </w:t>
      </w:r>
      <w:r w:rsidR="00225DF2" w:rsidRPr="00E36199">
        <w:rPr>
          <w:rStyle w:val="eacep"/>
          <w:spacing w:val="-4"/>
          <w:sz w:val="20"/>
          <w:szCs w:val="20"/>
          <w:lang w:val="es-CR"/>
        </w:rPr>
        <w:t>conjunto de factores o circunstancias</w:t>
      </w:r>
      <w:r w:rsidR="00225DF2" w:rsidRPr="00E36199">
        <w:rPr>
          <w:spacing w:val="-4"/>
          <w:sz w:val="20"/>
          <w:szCs w:val="20"/>
          <w:lang w:val="es-CR"/>
        </w:rPr>
        <w:t xml:space="preserve"> </w:t>
      </w:r>
      <w:r w:rsidR="00225DF2" w:rsidRPr="00E36199">
        <w:rPr>
          <w:rStyle w:val="eacep"/>
          <w:spacing w:val="-4"/>
          <w:sz w:val="20"/>
          <w:szCs w:val="20"/>
          <w:lang w:val="es-CR"/>
        </w:rPr>
        <w:t xml:space="preserve">políticas, históricas, culturales o de cualquier otra índole que afectan </w:t>
      </w:r>
      <w:r w:rsidR="00703A00" w:rsidRPr="00E36199">
        <w:rPr>
          <w:rStyle w:val="eacep"/>
          <w:spacing w:val="-4"/>
          <w:sz w:val="20"/>
          <w:szCs w:val="20"/>
          <w:lang w:val="es-CR"/>
        </w:rPr>
        <w:t xml:space="preserve">a un </w:t>
      </w:r>
      <w:r w:rsidR="00225DF2" w:rsidRPr="00E36199">
        <w:rPr>
          <w:rStyle w:val="eacep"/>
          <w:spacing w:val="-4"/>
          <w:sz w:val="20"/>
          <w:szCs w:val="20"/>
          <w:lang w:val="es-CR"/>
        </w:rPr>
        <w:t>beneficiario o lo colocan en una situación de vulnerabilidad en un determinado momento</w:t>
      </w:r>
      <w:r w:rsidR="00B00F9E" w:rsidRPr="00E36199">
        <w:rPr>
          <w:rStyle w:val="eacep"/>
          <w:spacing w:val="-4"/>
          <w:sz w:val="20"/>
          <w:szCs w:val="20"/>
          <w:lang w:val="es-CR"/>
        </w:rPr>
        <w:t>,</w:t>
      </w:r>
      <w:r w:rsidR="00225DF2" w:rsidRPr="00E36199">
        <w:rPr>
          <w:rStyle w:val="eacep"/>
          <w:spacing w:val="-4"/>
          <w:sz w:val="20"/>
          <w:szCs w:val="20"/>
          <w:lang w:val="es-CR"/>
        </w:rPr>
        <w:t xml:space="preserve"> únicamente </w:t>
      </w:r>
      <w:r w:rsidR="00703A00" w:rsidRPr="00E36199">
        <w:rPr>
          <w:rStyle w:val="eacep"/>
          <w:spacing w:val="-4"/>
          <w:sz w:val="20"/>
          <w:szCs w:val="20"/>
          <w:lang w:val="es-CR"/>
        </w:rPr>
        <w:t xml:space="preserve">ciertas </w:t>
      </w:r>
      <w:r w:rsidR="00225DF2" w:rsidRPr="00E36199">
        <w:rPr>
          <w:rStyle w:val="eacep"/>
          <w:spacing w:val="-4"/>
          <w:sz w:val="20"/>
          <w:szCs w:val="20"/>
          <w:lang w:val="es-CR"/>
        </w:rPr>
        <w:t>situaciones extremas y urgentes pueden ser cubiertas mediante medidas provisionales</w:t>
      </w:r>
      <w:r w:rsidR="00703A00" w:rsidRPr="00E36199">
        <w:rPr>
          <w:rStyle w:val="eacep"/>
          <w:spacing w:val="-4"/>
          <w:sz w:val="20"/>
          <w:szCs w:val="20"/>
          <w:lang w:val="es-CR"/>
        </w:rPr>
        <w:t xml:space="preserve"> con base meramente en una situación contextual</w:t>
      </w:r>
      <w:r w:rsidR="00703A00" w:rsidRPr="00E36199">
        <w:rPr>
          <w:rStyle w:val="FootnoteReference"/>
          <w:spacing w:val="-4"/>
          <w:sz w:val="20"/>
          <w:szCs w:val="20"/>
          <w:lang w:val="es-CR"/>
        </w:rPr>
        <w:footnoteReference w:id="17"/>
      </w:r>
      <w:r w:rsidR="00225DF2" w:rsidRPr="00E36199">
        <w:rPr>
          <w:rStyle w:val="eacep"/>
          <w:spacing w:val="-4"/>
          <w:sz w:val="20"/>
          <w:szCs w:val="20"/>
          <w:lang w:val="es-CR"/>
        </w:rPr>
        <w:t xml:space="preserve">. </w:t>
      </w:r>
      <w:r w:rsidR="00E36199" w:rsidRPr="00E36199">
        <w:rPr>
          <w:rStyle w:val="eacep"/>
          <w:spacing w:val="-4"/>
          <w:sz w:val="20"/>
          <w:szCs w:val="20"/>
          <w:lang w:val="es-CR"/>
        </w:rPr>
        <w:t>S</w:t>
      </w:r>
      <w:r w:rsidR="00E36199">
        <w:rPr>
          <w:rStyle w:val="eacep"/>
          <w:spacing w:val="-4"/>
          <w:sz w:val="20"/>
          <w:szCs w:val="20"/>
          <w:lang w:val="es-CR"/>
        </w:rPr>
        <w:t>o</w:t>
      </w:r>
      <w:r w:rsidR="00E36199" w:rsidRPr="00E36199">
        <w:rPr>
          <w:rStyle w:val="eacep"/>
          <w:spacing w:val="-4"/>
          <w:sz w:val="20"/>
          <w:szCs w:val="20"/>
          <w:lang w:val="es-CR"/>
        </w:rPr>
        <w:t xml:space="preserve">lo </w:t>
      </w:r>
      <w:r w:rsidR="00B00F9E" w:rsidRPr="00E36199">
        <w:rPr>
          <w:rStyle w:val="eacep"/>
          <w:spacing w:val="-4"/>
          <w:sz w:val="20"/>
          <w:szCs w:val="20"/>
          <w:lang w:val="es-CR"/>
        </w:rPr>
        <w:t xml:space="preserve">en situaciones </w:t>
      </w:r>
      <w:r w:rsidR="00225DF2" w:rsidRPr="00E36199">
        <w:rPr>
          <w:rStyle w:val="eacep"/>
          <w:spacing w:val="-4"/>
          <w:sz w:val="20"/>
          <w:szCs w:val="20"/>
          <w:lang w:val="es-CR"/>
        </w:rPr>
        <w:t>extrema</w:t>
      </w:r>
      <w:r w:rsidR="00B00F9E" w:rsidRPr="00E36199">
        <w:rPr>
          <w:rStyle w:val="eacep"/>
          <w:spacing w:val="-4"/>
          <w:sz w:val="20"/>
          <w:szCs w:val="20"/>
          <w:lang w:val="es-CR"/>
        </w:rPr>
        <w:t xml:space="preserve">s, tales como una serie de graves ataques contra el </w:t>
      </w:r>
      <w:r w:rsidR="00B00F9E" w:rsidRPr="00E36199">
        <w:rPr>
          <w:rStyle w:val="eacep"/>
          <w:spacing w:val="-4"/>
          <w:sz w:val="20"/>
          <w:szCs w:val="20"/>
          <w:lang w:val="es-CR"/>
        </w:rPr>
        <w:lastRenderedPageBreak/>
        <w:t xml:space="preserve">grupo al que pertenece </w:t>
      </w:r>
      <w:r w:rsidR="00396BB5" w:rsidRPr="00E36199">
        <w:rPr>
          <w:rStyle w:val="eacep"/>
          <w:spacing w:val="-4"/>
          <w:sz w:val="20"/>
          <w:szCs w:val="20"/>
          <w:lang w:val="es-CR"/>
        </w:rPr>
        <w:t>una</w:t>
      </w:r>
      <w:r w:rsidR="00B00F9E" w:rsidRPr="00E36199">
        <w:rPr>
          <w:rStyle w:val="eacep"/>
          <w:spacing w:val="-4"/>
          <w:sz w:val="20"/>
          <w:szCs w:val="20"/>
          <w:lang w:val="es-CR"/>
        </w:rPr>
        <w:t xml:space="preserve"> beneficiaria,</w:t>
      </w:r>
      <w:r w:rsidR="00225DF2" w:rsidRPr="00E36199">
        <w:rPr>
          <w:rStyle w:val="eacep"/>
          <w:spacing w:val="-4"/>
          <w:sz w:val="20"/>
          <w:szCs w:val="20"/>
          <w:lang w:val="es-CR"/>
        </w:rPr>
        <w:t xml:space="preserve"> se puede justificar la concesión </w:t>
      </w:r>
      <w:r w:rsidR="00B00F9E" w:rsidRPr="00E36199">
        <w:rPr>
          <w:rStyle w:val="eacep"/>
          <w:spacing w:val="-4"/>
          <w:sz w:val="20"/>
          <w:szCs w:val="20"/>
          <w:lang w:val="es-CR"/>
        </w:rPr>
        <w:t xml:space="preserve">o mantenimiento </w:t>
      </w:r>
      <w:r w:rsidR="00225DF2" w:rsidRPr="00E36199">
        <w:rPr>
          <w:rStyle w:val="eacep"/>
          <w:spacing w:val="-4"/>
          <w:sz w:val="20"/>
          <w:szCs w:val="20"/>
          <w:lang w:val="es-CR"/>
        </w:rPr>
        <w:t>de medidas provisionales sin amenaza</w:t>
      </w:r>
      <w:r w:rsidR="00B00F9E" w:rsidRPr="00E36199">
        <w:rPr>
          <w:rStyle w:val="eacep"/>
          <w:spacing w:val="-4"/>
          <w:sz w:val="20"/>
          <w:szCs w:val="20"/>
          <w:lang w:val="es-CR"/>
        </w:rPr>
        <w:t>s</w:t>
      </w:r>
      <w:r w:rsidR="00225DF2" w:rsidRPr="00E36199">
        <w:rPr>
          <w:rStyle w:val="eacep"/>
          <w:spacing w:val="-4"/>
          <w:sz w:val="20"/>
          <w:szCs w:val="20"/>
          <w:lang w:val="es-CR"/>
        </w:rPr>
        <w:t xml:space="preserve"> directa</w:t>
      </w:r>
      <w:r w:rsidR="00B00F9E" w:rsidRPr="00E36199">
        <w:rPr>
          <w:rStyle w:val="eacep"/>
          <w:spacing w:val="-4"/>
          <w:sz w:val="20"/>
          <w:szCs w:val="20"/>
          <w:lang w:val="es-CR"/>
        </w:rPr>
        <w:t>s</w:t>
      </w:r>
      <w:r w:rsidR="00225DF2" w:rsidRPr="00E36199">
        <w:rPr>
          <w:rStyle w:val="eacep"/>
          <w:spacing w:val="-4"/>
          <w:sz w:val="20"/>
          <w:szCs w:val="20"/>
          <w:lang w:val="es-CR"/>
        </w:rPr>
        <w:t xml:space="preserve"> </w:t>
      </w:r>
      <w:r w:rsidR="00B00F9E" w:rsidRPr="00E36199">
        <w:rPr>
          <w:rStyle w:val="eacep"/>
          <w:spacing w:val="-4"/>
          <w:sz w:val="20"/>
          <w:szCs w:val="20"/>
          <w:lang w:val="es-CR"/>
        </w:rPr>
        <w:t xml:space="preserve">a la </w:t>
      </w:r>
      <w:r w:rsidR="00225DF2" w:rsidRPr="00E36199">
        <w:rPr>
          <w:rStyle w:val="eacep"/>
          <w:spacing w:val="-4"/>
          <w:sz w:val="20"/>
          <w:szCs w:val="20"/>
          <w:lang w:val="es-CR"/>
        </w:rPr>
        <w:t>beneficiari</w:t>
      </w:r>
      <w:r w:rsidR="00B00F9E" w:rsidRPr="00E36199">
        <w:rPr>
          <w:rStyle w:val="eacep"/>
          <w:spacing w:val="-4"/>
          <w:sz w:val="20"/>
          <w:szCs w:val="20"/>
          <w:lang w:val="es-CR"/>
        </w:rPr>
        <w:t>a</w:t>
      </w:r>
      <w:r w:rsidR="00225DF2" w:rsidRPr="00E36199">
        <w:rPr>
          <w:rStyle w:val="eacep"/>
          <w:spacing w:val="-4"/>
          <w:sz w:val="20"/>
          <w:szCs w:val="20"/>
          <w:lang w:val="es-CR"/>
        </w:rPr>
        <w:t xml:space="preserve">, </w:t>
      </w:r>
      <w:r w:rsidR="00B00F9E" w:rsidRPr="00E36199">
        <w:rPr>
          <w:rStyle w:val="eacep"/>
          <w:spacing w:val="-4"/>
          <w:sz w:val="20"/>
          <w:szCs w:val="20"/>
          <w:lang w:val="es-CR"/>
        </w:rPr>
        <w:t>en tanto se pueda inferir razonablemente que esta</w:t>
      </w:r>
      <w:r w:rsidR="00225DF2" w:rsidRPr="00E36199">
        <w:rPr>
          <w:rStyle w:val="eacep"/>
          <w:spacing w:val="-4"/>
          <w:sz w:val="20"/>
          <w:szCs w:val="20"/>
          <w:lang w:val="es-CR"/>
        </w:rPr>
        <w:t xml:space="preserve"> también será atacad</w:t>
      </w:r>
      <w:r w:rsidR="00F675A1">
        <w:rPr>
          <w:rStyle w:val="eacep"/>
          <w:spacing w:val="-4"/>
          <w:sz w:val="20"/>
          <w:szCs w:val="20"/>
          <w:lang w:val="es-CR"/>
        </w:rPr>
        <w:t>a</w:t>
      </w:r>
      <w:r w:rsidR="00C062DD" w:rsidRPr="00E36199">
        <w:rPr>
          <w:rStyle w:val="FootnoteReference"/>
          <w:spacing w:val="-4"/>
          <w:sz w:val="20"/>
          <w:szCs w:val="20"/>
          <w:lang w:val="es-CR"/>
        </w:rPr>
        <w:footnoteReference w:id="18"/>
      </w:r>
      <w:r w:rsidR="00225DF2" w:rsidRPr="00E36199">
        <w:rPr>
          <w:rStyle w:val="eacep"/>
          <w:spacing w:val="-4"/>
          <w:sz w:val="20"/>
          <w:szCs w:val="20"/>
          <w:lang w:val="es-CR"/>
        </w:rPr>
        <w:t>. No obstante, la Corte ha señalado que</w:t>
      </w:r>
      <w:r w:rsidR="00225DF2" w:rsidRPr="00E36199">
        <w:rPr>
          <w:rStyle w:val="eacep"/>
          <w:b/>
          <w:spacing w:val="-4"/>
          <w:sz w:val="20"/>
          <w:szCs w:val="20"/>
          <w:lang w:val="es-CR"/>
        </w:rPr>
        <w:t xml:space="preserve"> </w:t>
      </w:r>
      <w:r w:rsidR="00B00F9E" w:rsidRPr="00E36199">
        <w:rPr>
          <w:rStyle w:val="eacep"/>
          <w:spacing w:val="-4"/>
          <w:sz w:val="20"/>
          <w:szCs w:val="20"/>
          <w:lang w:val="es-CR"/>
        </w:rPr>
        <w:t>no</w:t>
      </w:r>
      <w:r w:rsidR="00B00F9E" w:rsidRPr="00E36199">
        <w:rPr>
          <w:rStyle w:val="eacep"/>
          <w:b/>
          <w:spacing w:val="-4"/>
          <w:sz w:val="20"/>
          <w:szCs w:val="20"/>
          <w:lang w:val="es-CR"/>
        </w:rPr>
        <w:t xml:space="preserve"> </w:t>
      </w:r>
      <w:r w:rsidR="00B00F9E" w:rsidRPr="00E36199">
        <w:rPr>
          <w:rStyle w:val="eacep"/>
          <w:spacing w:val="-4"/>
          <w:sz w:val="20"/>
          <w:szCs w:val="20"/>
          <w:lang w:val="es-CR"/>
        </w:rPr>
        <w:t>todas las situaciones contextuales son</w:t>
      </w:r>
      <w:r w:rsidR="00B00F9E" w:rsidRPr="00E36199">
        <w:rPr>
          <w:rStyle w:val="eacep"/>
          <w:b/>
          <w:spacing w:val="-4"/>
          <w:sz w:val="20"/>
          <w:szCs w:val="20"/>
          <w:lang w:val="es-CR"/>
        </w:rPr>
        <w:t xml:space="preserve"> </w:t>
      </w:r>
      <w:r w:rsidR="00225DF2" w:rsidRPr="00E36199">
        <w:rPr>
          <w:rStyle w:val="eacep"/>
          <w:spacing w:val="-4"/>
          <w:sz w:val="20"/>
          <w:szCs w:val="20"/>
          <w:lang w:val="es-CR"/>
        </w:rPr>
        <w:t>de tal carácter</w:t>
      </w:r>
      <w:r w:rsidR="00B00F9E" w:rsidRPr="00E36199">
        <w:rPr>
          <w:rStyle w:val="eacep"/>
          <w:spacing w:val="-4"/>
          <w:sz w:val="20"/>
          <w:szCs w:val="20"/>
          <w:lang w:val="es-CR"/>
        </w:rPr>
        <w:t>.</w:t>
      </w:r>
      <w:r w:rsidR="00225DF2" w:rsidRPr="00E36199">
        <w:rPr>
          <w:rStyle w:val="eacep"/>
          <w:spacing w:val="-4"/>
          <w:sz w:val="20"/>
          <w:szCs w:val="20"/>
          <w:lang w:val="es-CR"/>
        </w:rPr>
        <w:t xml:space="preserve"> En </w:t>
      </w:r>
      <w:r w:rsidR="00396BB5" w:rsidRPr="00E36199">
        <w:rPr>
          <w:rStyle w:val="eacep"/>
          <w:spacing w:val="-4"/>
          <w:sz w:val="20"/>
          <w:szCs w:val="20"/>
          <w:lang w:val="es-CR"/>
        </w:rPr>
        <w:t xml:space="preserve">la mayoría de los </w:t>
      </w:r>
      <w:r w:rsidR="00225DF2" w:rsidRPr="00E36199">
        <w:rPr>
          <w:rStyle w:val="eacep"/>
          <w:spacing w:val="-4"/>
          <w:sz w:val="20"/>
          <w:szCs w:val="20"/>
          <w:lang w:val="es-CR"/>
        </w:rPr>
        <w:t>caso</w:t>
      </w:r>
      <w:r w:rsidR="00396BB5" w:rsidRPr="00E36199">
        <w:rPr>
          <w:rStyle w:val="eacep"/>
          <w:spacing w:val="-4"/>
          <w:sz w:val="20"/>
          <w:szCs w:val="20"/>
          <w:lang w:val="es-CR"/>
        </w:rPr>
        <w:t>s</w:t>
      </w:r>
      <w:r w:rsidR="00225DF2" w:rsidRPr="00E36199">
        <w:rPr>
          <w:rStyle w:val="eacep"/>
          <w:spacing w:val="-4"/>
          <w:sz w:val="20"/>
          <w:szCs w:val="20"/>
          <w:lang w:val="es-CR"/>
        </w:rPr>
        <w:t xml:space="preserve">, el contexto </w:t>
      </w:r>
      <w:r w:rsidR="00225DF2" w:rsidRPr="0043521E">
        <w:rPr>
          <w:rStyle w:val="eacep"/>
          <w:spacing w:val="-4"/>
          <w:sz w:val="20"/>
          <w:szCs w:val="20"/>
          <w:lang w:val="es-CR"/>
        </w:rPr>
        <w:t xml:space="preserve">únicamente servirá para apreciar la amenaza concreta que se haya presentado contra </w:t>
      </w:r>
      <w:r w:rsidR="00F04F5A" w:rsidRPr="0043521E">
        <w:rPr>
          <w:rStyle w:val="eacep"/>
          <w:spacing w:val="-4"/>
          <w:sz w:val="20"/>
          <w:szCs w:val="20"/>
          <w:lang w:val="es-CR"/>
        </w:rPr>
        <w:t>un</w:t>
      </w:r>
      <w:r w:rsidR="00396BB5" w:rsidRPr="0043521E">
        <w:rPr>
          <w:rStyle w:val="eacep"/>
          <w:spacing w:val="-4"/>
          <w:sz w:val="20"/>
          <w:szCs w:val="20"/>
          <w:lang w:val="es-CR"/>
        </w:rPr>
        <w:t xml:space="preserve"> </w:t>
      </w:r>
      <w:r w:rsidR="00225DF2" w:rsidRPr="0043521E">
        <w:rPr>
          <w:rStyle w:val="eacep"/>
          <w:spacing w:val="-4"/>
          <w:sz w:val="20"/>
          <w:szCs w:val="20"/>
          <w:lang w:val="es-CR"/>
        </w:rPr>
        <w:t>beneficiario</w:t>
      </w:r>
      <w:r w:rsidR="00703A00" w:rsidRPr="0043521E">
        <w:rPr>
          <w:rStyle w:val="eacep"/>
          <w:spacing w:val="-4"/>
          <w:sz w:val="20"/>
          <w:szCs w:val="20"/>
          <w:lang w:val="es-CR"/>
        </w:rPr>
        <w:t>, pero</w:t>
      </w:r>
      <w:r w:rsidR="00225DF2" w:rsidRPr="0043521E">
        <w:rPr>
          <w:rStyle w:val="eacep"/>
          <w:spacing w:val="-4"/>
          <w:sz w:val="20"/>
          <w:szCs w:val="20"/>
          <w:lang w:val="es-CR"/>
        </w:rPr>
        <w:t xml:space="preserve"> no </w:t>
      </w:r>
      <w:r w:rsidR="00396BB5" w:rsidRPr="0043521E">
        <w:rPr>
          <w:rStyle w:val="eacep"/>
          <w:spacing w:val="-4"/>
          <w:sz w:val="20"/>
          <w:szCs w:val="20"/>
          <w:lang w:val="es-CR"/>
        </w:rPr>
        <w:t xml:space="preserve">podrá </w:t>
      </w:r>
      <w:r w:rsidR="00225DF2" w:rsidRPr="0043521E">
        <w:rPr>
          <w:rStyle w:val="eacep"/>
          <w:spacing w:val="-4"/>
          <w:sz w:val="20"/>
          <w:szCs w:val="20"/>
          <w:lang w:val="es-CR"/>
        </w:rPr>
        <w:t>justificar en sí mism</w:t>
      </w:r>
      <w:r w:rsidR="00396BB5" w:rsidRPr="0043521E">
        <w:rPr>
          <w:rStyle w:val="eacep"/>
          <w:spacing w:val="-4"/>
          <w:sz w:val="20"/>
          <w:szCs w:val="20"/>
          <w:lang w:val="es-CR"/>
        </w:rPr>
        <w:t>o</w:t>
      </w:r>
      <w:r w:rsidR="00225DF2" w:rsidRPr="0043521E">
        <w:rPr>
          <w:rStyle w:val="eacep"/>
          <w:spacing w:val="-4"/>
          <w:sz w:val="20"/>
          <w:szCs w:val="20"/>
          <w:lang w:val="es-CR"/>
        </w:rPr>
        <w:t xml:space="preserve"> la concesión o el mantenimiento de las medidas provisionales</w:t>
      </w:r>
      <w:r w:rsidR="00225DF2" w:rsidRPr="0043521E">
        <w:rPr>
          <w:rStyle w:val="FootnoteReference"/>
          <w:rFonts w:eastAsia="Times"/>
          <w:spacing w:val="-4"/>
          <w:sz w:val="20"/>
          <w:szCs w:val="20"/>
        </w:rPr>
        <w:footnoteReference w:id="19"/>
      </w:r>
      <w:r w:rsidR="00225DF2" w:rsidRPr="0043521E">
        <w:rPr>
          <w:rStyle w:val="eacep"/>
          <w:spacing w:val="-4"/>
          <w:sz w:val="20"/>
          <w:szCs w:val="20"/>
          <w:lang w:val="es-CR"/>
        </w:rPr>
        <w:t>.</w:t>
      </w:r>
      <w:r w:rsidR="00281A1A" w:rsidRPr="0043521E">
        <w:rPr>
          <w:rStyle w:val="eacep"/>
          <w:spacing w:val="-4"/>
          <w:sz w:val="20"/>
          <w:szCs w:val="20"/>
          <w:lang w:val="es-CR"/>
        </w:rPr>
        <w:t xml:space="preserve"> </w:t>
      </w:r>
    </w:p>
    <w:p w:rsidR="00703A00" w:rsidRPr="0043521E" w:rsidRDefault="00703A00" w:rsidP="008831BB">
      <w:pPr>
        <w:pStyle w:val="Default"/>
        <w:jc w:val="both"/>
        <w:rPr>
          <w:rStyle w:val="eacep"/>
          <w:spacing w:val="-4"/>
          <w:sz w:val="20"/>
          <w:szCs w:val="20"/>
          <w:lang w:val="es-CR"/>
        </w:rPr>
      </w:pPr>
    </w:p>
    <w:p w:rsidR="00396BB5" w:rsidRPr="0043521E" w:rsidRDefault="00396BB5" w:rsidP="008831BB">
      <w:pPr>
        <w:pStyle w:val="Default"/>
        <w:numPr>
          <w:ilvl w:val="0"/>
          <w:numId w:val="2"/>
        </w:numPr>
        <w:jc w:val="both"/>
        <w:rPr>
          <w:rStyle w:val="eacep"/>
          <w:spacing w:val="-4"/>
          <w:sz w:val="20"/>
          <w:szCs w:val="20"/>
          <w:lang w:val="es-CR"/>
        </w:rPr>
      </w:pPr>
      <w:r w:rsidRPr="0043521E">
        <w:rPr>
          <w:spacing w:val="-4"/>
          <w:sz w:val="20"/>
          <w:szCs w:val="20"/>
          <w:lang w:val="es-CR"/>
        </w:rPr>
        <w:t xml:space="preserve">En el presente caso no </w:t>
      </w:r>
      <w:r w:rsidR="000462E4" w:rsidRPr="0043521E">
        <w:rPr>
          <w:spacing w:val="-4"/>
          <w:sz w:val="20"/>
          <w:szCs w:val="20"/>
          <w:lang w:val="es-CR"/>
        </w:rPr>
        <w:t>se han</w:t>
      </w:r>
      <w:r w:rsidRPr="0043521E">
        <w:rPr>
          <w:spacing w:val="-4"/>
          <w:sz w:val="20"/>
          <w:szCs w:val="20"/>
          <w:lang w:val="es-CR"/>
        </w:rPr>
        <w:t xml:space="preserve"> alegado hechos específicos y recientes que permitan conclusiones consistentes sobre los aludidos efectos del contexto alegado por los representantes en el caso concreto de las beneficiarias. Además, </w:t>
      </w:r>
      <w:r w:rsidRPr="0043521E">
        <w:rPr>
          <w:rStyle w:val="eacep"/>
          <w:spacing w:val="-4"/>
          <w:sz w:val="20"/>
          <w:szCs w:val="20"/>
          <w:lang w:val="es-CR"/>
        </w:rPr>
        <w:t>como se ha determinado en anteriores oportunidades</w:t>
      </w:r>
      <w:r w:rsidRPr="0043521E">
        <w:rPr>
          <w:rStyle w:val="FootnoteReference"/>
          <w:spacing w:val="-4"/>
          <w:sz w:val="20"/>
          <w:szCs w:val="20"/>
          <w:lang w:val="es-CR"/>
        </w:rPr>
        <w:footnoteReference w:id="20"/>
      </w:r>
      <w:r w:rsidRPr="0043521E">
        <w:rPr>
          <w:rStyle w:val="eacep"/>
          <w:spacing w:val="-4"/>
          <w:sz w:val="20"/>
          <w:szCs w:val="20"/>
          <w:lang w:val="es-CR"/>
        </w:rPr>
        <w:t xml:space="preserve">, de la información aportada no se puede concluir que el alegado contexto de violencia contra defensoras de derechos de las mujeres constituya </w:t>
      </w:r>
      <w:r w:rsidRPr="0043521E">
        <w:rPr>
          <w:rStyle w:val="eacep"/>
          <w:i/>
          <w:spacing w:val="-4"/>
          <w:sz w:val="20"/>
          <w:szCs w:val="20"/>
          <w:lang w:val="es-CR"/>
        </w:rPr>
        <w:t>per se</w:t>
      </w:r>
      <w:r w:rsidRPr="0043521E">
        <w:rPr>
          <w:rStyle w:val="eacep"/>
          <w:spacing w:val="-4"/>
          <w:sz w:val="20"/>
          <w:szCs w:val="20"/>
          <w:lang w:val="es-CR"/>
        </w:rPr>
        <w:t xml:space="preserve"> un fundamento suficiente para el mantenimiento de medidas provisionales a su favor.</w:t>
      </w:r>
    </w:p>
    <w:p w:rsidR="00396BB5" w:rsidRPr="0043521E" w:rsidRDefault="00396BB5" w:rsidP="008831BB">
      <w:pPr>
        <w:pStyle w:val="Default"/>
        <w:jc w:val="both"/>
        <w:rPr>
          <w:spacing w:val="-4"/>
          <w:sz w:val="20"/>
          <w:szCs w:val="20"/>
          <w:lang w:val="es-CR"/>
        </w:rPr>
      </w:pPr>
      <w:r w:rsidRPr="0043521E">
        <w:rPr>
          <w:rStyle w:val="eacep"/>
          <w:spacing w:val="-4"/>
          <w:sz w:val="20"/>
          <w:szCs w:val="20"/>
          <w:lang w:val="es-CR"/>
        </w:rPr>
        <w:t xml:space="preserve"> </w:t>
      </w:r>
    </w:p>
    <w:p w:rsidR="00150F01" w:rsidRPr="0043521E" w:rsidRDefault="000545E6" w:rsidP="008831BB">
      <w:pPr>
        <w:pStyle w:val="Default"/>
        <w:numPr>
          <w:ilvl w:val="0"/>
          <w:numId w:val="2"/>
        </w:numPr>
        <w:jc w:val="both"/>
        <w:rPr>
          <w:spacing w:val="-4"/>
          <w:sz w:val="20"/>
          <w:szCs w:val="20"/>
          <w:lang w:val="es-CR"/>
        </w:rPr>
      </w:pPr>
      <w:r w:rsidRPr="0043521E">
        <w:rPr>
          <w:i/>
          <w:spacing w:val="-4"/>
          <w:sz w:val="20"/>
          <w:szCs w:val="20"/>
          <w:lang w:val="es-CR"/>
        </w:rPr>
        <w:t>Respecto a la investigación de los hechos que dieron origen a estas medidas</w:t>
      </w:r>
      <w:r w:rsidR="00404D4C" w:rsidRPr="0043521E">
        <w:rPr>
          <w:spacing w:val="-4"/>
          <w:sz w:val="20"/>
          <w:szCs w:val="20"/>
          <w:lang w:val="es-CR"/>
        </w:rPr>
        <w:t>,</w:t>
      </w:r>
      <w:r w:rsidRPr="0043521E">
        <w:rPr>
          <w:spacing w:val="-4"/>
          <w:sz w:val="20"/>
          <w:szCs w:val="20"/>
          <w:lang w:val="es-CR"/>
        </w:rPr>
        <w:t xml:space="preserve"> </w:t>
      </w:r>
      <w:r w:rsidR="00404D4C" w:rsidRPr="0043521E">
        <w:rPr>
          <w:spacing w:val="-4"/>
          <w:sz w:val="20"/>
          <w:szCs w:val="20"/>
          <w:lang w:val="es-ES"/>
        </w:rPr>
        <w:t>la Corte reitera que, conforme a su jurisprudencia</w:t>
      </w:r>
      <w:r w:rsidR="00861557" w:rsidRPr="0043521E">
        <w:rPr>
          <w:spacing w:val="-4"/>
          <w:sz w:val="20"/>
          <w:szCs w:val="20"/>
          <w:lang w:val="es-ES"/>
        </w:rPr>
        <w:t>,</w:t>
      </w:r>
      <w:r w:rsidR="00404D4C" w:rsidRPr="0043521E">
        <w:rPr>
          <w:spacing w:val="-4"/>
          <w:sz w:val="20"/>
          <w:szCs w:val="20"/>
          <w:lang w:val="es-ES"/>
        </w:rPr>
        <w:t xml:space="preserve"> el análisis de la efectividad del cumplimiento del deber de investigar los hechos que motivan las medidas provisionales corresponde </w:t>
      </w:r>
      <w:r w:rsidR="00C062DD" w:rsidRPr="0043521E">
        <w:rPr>
          <w:spacing w:val="-4"/>
          <w:sz w:val="20"/>
          <w:szCs w:val="20"/>
          <w:lang w:val="es-ES"/>
        </w:rPr>
        <w:t xml:space="preserve">a un </w:t>
      </w:r>
      <w:r w:rsidR="00404D4C" w:rsidRPr="0043521E">
        <w:rPr>
          <w:spacing w:val="-4"/>
          <w:sz w:val="20"/>
          <w:szCs w:val="20"/>
          <w:lang w:val="es-ES"/>
        </w:rPr>
        <w:t xml:space="preserve">examen </w:t>
      </w:r>
      <w:r w:rsidR="00C062DD" w:rsidRPr="0043521E">
        <w:rPr>
          <w:spacing w:val="-4"/>
          <w:sz w:val="20"/>
          <w:szCs w:val="20"/>
          <w:lang w:val="es-ES"/>
        </w:rPr>
        <w:t xml:space="preserve">de </w:t>
      </w:r>
      <w:r w:rsidR="00404D4C" w:rsidRPr="0043521E">
        <w:rPr>
          <w:spacing w:val="-4"/>
          <w:sz w:val="20"/>
          <w:szCs w:val="20"/>
          <w:lang w:val="es-ES"/>
        </w:rPr>
        <w:t>fondo</w:t>
      </w:r>
      <w:r w:rsidR="00404D4C" w:rsidRPr="0043521E">
        <w:rPr>
          <w:spacing w:val="-4"/>
          <w:sz w:val="20"/>
          <w:szCs w:val="20"/>
          <w:vertAlign w:val="superscript"/>
          <w:lang w:val="es-ES"/>
        </w:rPr>
        <w:footnoteReference w:id="21"/>
      </w:r>
      <w:r w:rsidR="00404D4C" w:rsidRPr="0043521E">
        <w:rPr>
          <w:spacing w:val="-4"/>
          <w:sz w:val="20"/>
          <w:szCs w:val="20"/>
          <w:lang w:val="es-ES"/>
        </w:rPr>
        <w:t xml:space="preserve">. </w:t>
      </w:r>
      <w:r w:rsidR="00404D4C" w:rsidRPr="0043521E">
        <w:rPr>
          <w:rFonts w:cs="MSReferenceSansSerif"/>
          <w:spacing w:val="-4"/>
          <w:sz w:val="20"/>
          <w:szCs w:val="20"/>
          <w:lang w:val="es-CR"/>
        </w:rPr>
        <w:t xml:space="preserve">Este </w:t>
      </w:r>
      <w:r w:rsidR="00404D4C" w:rsidRPr="0043521E">
        <w:rPr>
          <w:spacing w:val="-4"/>
          <w:sz w:val="20"/>
          <w:szCs w:val="20"/>
          <w:lang w:val="es-CR"/>
        </w:rPr>
        <w:t xml:space="preserve">Tribunal considera oportuno </w:t>
      </w:r>
      <w:r w:rsidR="00F04F5A" w:rsidRPr="0043521E">
        <w:rPr>
          <w:spacing w:val="-4"/>
          <w:sz w:val="20"/>
          <w:szCs w:val="20"/>
          <w:lang w:val="es-CR"/>
        </w:rPr>
        <w:t xml:space="preserve">subrayar </w:t>
      </w:r>
      <w:r w:rsidR="00404D4C" w:rsidRPr="0043521E">
        <w:rPr>
          <w:spacing w:val="-4"/>
          <w:sz w:val="20"/>
          <w:szCs w:val="20"/>
          <w:lang w:val="es-CR"/>
        </w:rPr>
        <w:t>que una supuesta falta de investigación por parte de un Estado no necesariamente constituye, en sí misma, una circunstancia de extrema gravedad y urgencia que amerite el mantenimiento de las medidas provisionales</w:t>
      </w:r>
      <w:r w:rsidR="00404D4C" w:rsidRPr="0043521E">
        <w:rPr>
          <w:rStyle w:val="FootnoteReference"/>
          <w:spacing w:val="-4"/>
          <w:sz w:val="20"/>
          <w:szCs w:val="20"/>
        </w:rPr>
        <w:footnoteReference w:id="22"/>
      </w:r>
      <w:r w:rsidR="00404D4C" w:rsidRPr="0043521E">
        <w:rPr>
          <w:spacing w:val="-4"/>
          <w:sz w:val="20"/>
          <w:szCs w:val="20"/>
          <w:lang w:val="es-CR"/>
        </w:rPr>
        <w:t xml:space="preserve">. </w:t>
      </w:r>
      <w:r w:rsidR="00404D4C" w:rsidRPr="0043521E">
        <w:rPr>
          <w:rFonts w:cs="MSReferenceSansSerif"/>
          <w:bCs/>
          <w:spacing w:val="-4"/>
          <w:sz w:val="20"/>
          <w:szCs w:val="20"/>
          <w:lang w:val="es-ES"/>
        </w:rPr>
        <w:t>El deber de investigar en ciertas ocasiones puede prolongarse por un período considerable, tiempo durante el cual la amenaza o riesgo no necesariamente se mantiene extrema y urgente</w:t>
      </w:r>
      <w:r w:rsidR="00404D4C" w:rsidRPr="0043521E">
        <w:rPr>
          <w:rStyle w:val="FootnoteReference"/>
          <w:rFonts w:cs="MSReferenceSansSerif"/>
          <w:bCs/>
          <w:spacing w:val="-4"/>
          <w:sz w:val="20"/>
          <w:szCs w:val="20"/>
          <w:lang w:val="es-ES"/>
        </w:rPr>
        <w:footnoteReference w:id="23"/>
      </w:r>
      <w:r w:rsidR="00404D4C" w:rsidRPr="0043521E">
        <w:rPr>
          <w:rFonts w:cs="MSReferenceSansSerif"/>
          <w:bCs/>
          <w:spacing w:val="-4"/>
          <w:sz w:val="20"/>
          <w:szCs w:val="20"/>
          <w:lang w:val="es-ES"/>
        </w:rPr>
        <w:t>.</w:t>
      </w:r>
      <w:r w:rsidR="00F04F5A" w:rsidRPr="0043521E">
        <w:rPr>
          <w:rFonts w:cs="MSReferenceSansSerif"/>
          <w:bCs/>
          <w:spacing w:val="-4"/>
          <w:sz w:val="20"/>
          <w:szCs w:val="20"/>
          <w:lang w:val="es-ES"/>
        </w:rPr>
        <w:t xml:space="preserve"> </w:t>
      </w:r>
      <w:r w:rsidR="000E3BF4" w:rsidRPr="0043521E">
        <w:rPr>
          <w:rFonts w:cs="MSReferenceSansSerif"/>
          <w:bCs/>
          <w:spacing w:val="-4"/>
          <w:sz w:val="20"/>
          <w:szCs w:val="20"/>
          <w:lang w:val="es-ES_tradnl"/>
        </w:rPr>
        <w:t xml:space="preserve">Ante la ausencia de nuevos hechos de riesgo por un razonable </w:t>
      </w:r>
      <w:r w:rsidR="00C062DD" w:rsidRPr="0043521E">
        <w:rPr>
          <w:rFonts w:cs="MSReferenceSansSerif"/>
          <w:bCs/>
          <w:spacing w:val="-4"/>
          <w:sz w:val="20"/>
          <w:szCs w:val="20"/>
          <w:lang w:val="es-ES_tradnl"/>
        </w:rPr>
        <w:t>lapso</w:t>
      </w:r>
      <w:r w:rsidR="000E3BF4" w:rsidRPr="0043521E">
        <w:rPr>
          <w:rFonts w:cs="MSReferenceSansSerif"/>
          <w:bCs/>
          <w:spacing w:val="-4"/>
          <w:sz w:val="20"/>
          <w:szCs w:val="20"/>
          <w:lang w:val="es-ES_tradnl"/>
        </w:rPr>
        <w:t xml:space="preserve">, el hecho de que una investigación no haya brindado resultados concretos o las posibles </w:t>
      </w:r>
      <w:r w:rsidR="000E3BF4" w:rsidRPr="0043521E">
        <w:rPr>
          <w:rFonts w:cs="MSReferenceSansSerif"/>
          <w:bCs/>
          <w:spacing w:val="-4"/>
          <w:sz w:val="20"/>
          <w:szCs w:val="20"/>
          <w:lang w:val="es-ES"/>
        </w:rPr>
        <w:t xml:space="preserve">deficiencias y demoras en el </w:t>
      </w:r>
      <w:r w:rsidR="000E3BF4" w:rsidRPr="0043521E">
        <w:rPr>
          <w:spacing w:val="-4"/>
          <w:sz w:val="20"/>
          <w:szCs w:val="20"/>
          <w:lang w:val="es-CR"/>
        </w:rPr>
        <w:t>cumplimiento del deber de investigar</w:t>
      </w:r>
      <w:r w:rsidR="000E3BF4" w:rsidRPr="0043521E">
        <w:rPr>
          <w:rFonts w:cs="MSReferenceSansSerif"/>
          <w:bCs/>
          <w:spacing w:val="-4"/>
          <w:sz w:val="20"/>
          <w:szCs w:val="20"/>
          <w:lang w:val="es-ES_tradnl"/>
        </w:rPr>
        <w:t xml:space="preserve"> resultan motivos insuficientes por sí mismos </w:t>
      </w:r>
      <w:r w:rsidR="00150F01" w:rsidRPr="0043521E">
        <w:rPr>
          <w:spacing w:val="-4"/>
          <w:sz w:val="20"/>
          <w:szCs w:val="20"/>
          <w:lang w:val="es-CR"/>
        </w:rPr>
        <w:t>para mantener las medidas provisionales</w:t>
      </w:r>
      <w:r w:rsidR="00F04F5A" w:rsidRPr="0043521E">
        <w:rPr>
          <w:rStyle w:val="FootnoteReference"/>
          <w:spacing w:val="-4"/>
          <w:sz w:val="20"/>
          <w:szCs w:val="20"/>
          <w:lang w:val="es-CR"/>
        </w:rPr>
        <w:footnoteReference w:id="24"/>
      </w:r>
      <w:r w:rsidR="00150F01" w:rsidRPr="0043521E">
        <w:rPr>
          <w:spacing w:val="-4"/>
          <w:sz w:val="20"/>
          <w:szCs w:val="20"/>
          <w:lang w:val="es-CR"/>
        </w:rPr>
        <w:t>. Corresponder</w:t>
      </w:r>
      <w:r w:rsidR="00F04F5A" w:rsidRPr="0043521E">
        <w:rPr>
          <w:spacing w:val="-4"/>
          <w:sz w:val="20"/>
          <w:szCs w:val="20"/>
          <w:lang w:val="es-CR"/>
        </w:rPr>
        <w:t>ía</w:t>
      </w:r>
      <w:r w:rsidR="00150F01" w:rsidRPr="0043521E">
        <w:rPr>
          <w:spacing w:val="-4"/>
          <w:sz w:val="20"/>
          <w:szCs w:val="20"/>
          <w:lang w:val="es-CR"/>
        </w:rPr>
        <w:t xml:space="preserve"> que </w:t>
      </w:r>
      <w:r w:rsidR="00F04F5A" w:rsidRPr="0043521E">
        <w:rPr>
          <w:spacing w:val="-4"/>
          <w:sz w:val="20"/>
          <w:szCs w:val="20"/>
          <w:lang w:val="es-CR"/>
        </w:rPr>
        <w:t xml:space="preserve">las </w:t>
      </w:r>
      <w:r w:rsidR="00150F01" w:rsidRPr="0043521E">
        <w:rPr>
          <w:spacing w:val="-4"/>
          <w:sz w:val="20"/>
          <w:szCs w:val="20"/>
          <w:lang w:val="es-CR"/>
        </w:rPr>
        <w:t>beneficiari</w:t>
      </w:r>
      <w:r w:rsidR="00F04F5A" w:rsidRPr="0043521E">
        <w:rPr>
          <w:spacing w:val="-4"/>
          <w:sz w:val="20"/>
          <w:szCs w:val="20"/>
          <w:lang w:val="es-CR"/>
        </w:rPr>
        <w:t>a</w:t>
      </w:r>
      <w:r w:rsidR="00150F01" w:rsidRPr="0043521E">
        <w:rPr>
          <w:spacing w:val="-4"/>
          <w:sz w:val="20"/>
          <w:szCs w:val="20"/>
          <w:lang w:val="es-CR"/>
        </w:rPr>
        <w:t>s</w:t>
      </w:r>
      <w:r w:rsidR="00F04F5A" w:rsidRPr="0043521E">
        <w:rPr>
          <w:spacing w:val="-4"/>
          <w:sz w:val="20"/>
          <w:szCs w:val="20"/>
          <w:lang w:val="es-CR"/>
        </w:rPr>
        <w:t xml:space="preserve">, sus representantes o la </w:t>
      </w:r>
      <w:r w:rsidR="00150F01" w:rsidRPr="0043521E">
        <w:rPr>
          <w:spacing w:val="-4"/>
          <w:sz w:val="20"/>
          <w:szCs w:val="20"/>
          <w:lang w:val="es-CR"/>
        </w:rPr>
        <w:t xml:space="preserve">Comisión argumenten y demuestren que tal falta de investigación contribuye o es la causante de </w:t>
      </w:r>
      <w:r w:rsidR="000E3BF4" w:rsidRPr="0043521E">
        <w:rPr>
          <w:spacing w:val="-4"/>
          <w:sz w:val="20"/>
          <w:szCs w:val="20"/>
          <w:lang w:val="es-CR"/>
        </w:rPr>
        <w:t>una</w:t>
      </w:r>
      <w:r w:rsidR="00150F01" w:rsidRPr="0043521E">
        <w:rPr>
          <w:spacing w:val="-4"/>
          <w:sz w:val="20"/>
          <w:szCs w:val="20"/>
          <w:lang w:val="es-CR"/>
        </w:rPr>
        <w:t xml:space="preserve"> situación </w:t>
      </w:r>
      <w:r w:rsidR="000E3BF4" w:rsidRPr="0043521E">
        <w:rPr>
          <w:spacing w:val="-4"/>
          <w:sz w:val="20"/>
          <w:szCs w:val="20"/>
          <w:lang w:val="es-CR"/>
        </w:rPr>
        <w:t xml:space="preserve">concreta </w:t>
      </w:r>
      <w:r w:rsidR="00150F01" w:rsidRPr="0043521E">
        <w:rPr>
          <w:spacing w:val="-4"/>
          <w:sz w:val="20"/>
          <w:szCs w:val="20"/>
          <w:lang w:val="es-CR"/>
        </w:rPr>
        <w:t>de extrema gravedad y urgencia de evitar daños irreparables</w:t>
      </w:r>
      <w:r w:rsidR="00F04F5A" w:rsidRPr="0043521E">
        <w:rPr>
          <w:spacing w:val="-4"/>
          <w:sz w:val="20"/>
          <w:szCs w:val="20"/>
          <w:lang w:val="es-CR"/>
        </w:rPr>
        <w:t>, lo cual no ha sucedido en el presente caso</w:t>
      </w:r>
      <w:r w:rsidR="00150F01" w:rsidRPr="0043521E">
        <w:rPr>
          <w:spacing w:val="-4"/>
          <w:sz w:val="20"/>
          <w:szCs w:val="20"/>
          <w:lang w:val="es-CR"/>
        </w:rPr>
        <w:t>.</w:t>
      </w:r>
    </w:p>
    <w:p w:rsidR="000E3BF4" w:rsidRPr="0043521E" w:rsidRDefault="000E3BF4" w:rsidP="008831BB">
      <w:pPr>
        <w:pStyle w:val="Default"/>
        <w:jc w:val="both"/>
        <w:rPr>
          <w:spacing w:val="-4"/>
          <w:sz w:val="20"/>
          <w:szCs w:val="20"/>
          <w:lang w:val="es-CR"/>
        </w:rPr>
      </w:pPr>
    </w:p>
    <w:p w:rsidR="00EF5F73" w:rsidRPr="00754BA3" w:rsidRDefault="007F3058" w:rsidP="008831BB">
      <w:pPr>
        <w:pStyle w:val="Default"/>
        <w:numPr>
          <w:ilvl w:val="0"/>
          <w:numId w:val="2"/>
        </w:numPr>
        <w:jc w:val="both"/>
        <w:rPr>
          <w:spacing w:val="-4"/>
          <w:sz w:val="20"/>
          <w:szCs w:val="20"/>
          <w:lang w:val="es-CR"/>
        </w:rPr>
      </w:pPr>
      <w:r w:rsidRPr="0043521E">
        <w:rPr>
          <w:i/>
          <w:spacing w:val="-4"/>
          <w:sz w:val="20"/>
          <w:szCs w:val="20"/>
          <w:lang w:val="es-CR"/>
        </w:rPr>
        <w:t xml:space="preserve">Respecto al </w:t>
      </w:r>
      <w:r w:rsidR="006F1E0B" w:rsidRPr="0043521E">
        <w:rPr>
          <w:i/>
          <w:spacing w:val="-4"/>
          <w:sz w:val="20"/>
          <w:szCs w:val="20"/>
          <w:lang w:val="es-CR"/>
        </w:rPr>
        <w:t xml:space="preserve">presunto </w:t>
      </w:r>
      <w:r w:rsidR="000C0F85" w:rsidRPr="0043521E">
        <w:rPr>
          <w:i/>
          <w:spacing w:val="-4"/>
          <w:sz w:val="20"/>
          <w:szCs w:val="20"/>
          <w:lang w:val="es-CR"/>
        </w:rPr>
        <w:t>nuevo hecho de riesgo</w:t>
      </w:r>
      <w:r w:rsidRPr="0043521E">
        <w:rPr>
          <w:spacing w:val="-4"/>
          <w:sz w:val="20"/>
          <w:szCs w:val="20"/>
          <w:lang w:val="es-CR"/>
        </w:rPr>
        <w:t>, este Tribunal nota que luego de su última Resolución los representantes informaron que</w:t>
      </w:r>
      <w:r w:rsidR="000C0F85" w:rsidRPr="0043521E">
        <w:rPr>
          <w:spacing w:val="-4"/>
          <w:sz w:val="20"/>
          <w:szCs w:val="20"/>
          <w:lang w:val="es-CR"/>
        </w:rPr>
        <w:t xml:space="preserve"> el 10 de mayo de 2015</w:t>
      </w:r>
      <w:r w:rsidRPr="0043521E">
        <w:rPr>
          <w:spacing w:val="-4"/>
          <w:sz w:val="20"/>
          <w:szCs w:val="20"/>
          <w:lang w:val="es-CR"/>
        </w:rPr>
        <w:t xml:space="preserve"> la señora Rosendo Cantú </w:t>
      </w:r>
      <w:r w:rsidRPr="0043521E">
        <w:rPr>
          <w:spacing w:val="-4"/>
          <w:sz w:val="20"/>
          <w:szCs w:val="20"/>
          <w:lang w:val="es-CR"/>
        </w:rPr>
        <w:lastRenderedPageBreak/>
        <w:t>habría sido perseguida en un carro hasta causar</w:t>
      </w:r>
      <w:r w:rsidR="00C862F1">
        <w:rPr>
          <w:spacing w:val="-4"/>
          <w:sz w:val="20"/>
          <w:szCs w:val="20"/>
          <w:lang w:val="es-CR"/>
        </w:rPr>
        <w:t>le</w:t>
      </w:r>
      <w:r w:rsidRPr="0043521E">
        <w:rPr>
          <w:spacing w:val="-4"/>
          <w:sz w:val="20"/>
          <w:szCs w:val="20"/>
          <w:lang w:val="es-CR"/>
        </w:rPr>
        <w:t xml:space="preserve"> un accidente</w:t>
      </w:r>
      <w:r w:rsidR="002264E4" w:rsidRPr="0043521E">
        <w:rPr>
          <w:spacing w:val="-4"/>
          <w:sz w:val="20"/>
          <w:szCs w:val="20"/>
          <w:lang w:val="es-CR"/>
        </w:rPr>
        <w:t xml:space="preserve"> (</w:t>
      </w:r>
      <w:r w:rsidR="002264E4" w:rsidRPr="0043521E">
        <w:rPr>
          <w:i/>
          <w:spacing w:val="-4"/>
          <w:sz w:val="20"/>
          <w:szCs w:val="20"/>
          <w:lang w:val="es-CR"/>
        </w:rPr>
        <w:t xml:space="preserve">supra </w:t>
      </w:r>
      <w:r w:rsidR="003075EE" w:rsidRPr="0043521E">
        <w:rPr>
          <w:spacing w:val="-4"/>
          <w:sz w:val="20"/>
          <w:szCs w:val="20"/>
          <w:lang w:val="es-CR"/>
        </w:rPr>
        <w:t xml:space="preserve">Considerando </w:t>
      </w:r>
      <w:r w:rsidR="000E3BF4" w:rsidRPr="0043521E">
        <w:rPr>
          <w:spacing w:val="-4"/>
          <w:sz w:val="20"/>
          <w:szCs w:val="20"/>
          <w:lang w:val="es-CR"/>
        </w:rPr>
        <w:fldChar w:fldCharType="begin"/>
      </w:r>
      <w:r w:rsidR="000E3BF4" w:rsidRPr="0043521E">
        <w:rPr>
          <w:spacing w:val="-4"/>
          <w:sz w:val="20"/>
          <w:szCs w:val="20"/>
          <w:lang w:val="es-CR"/>
        </w:rPr>
        <w:instrText xml:space="preserve"> REF _Ref442715648 \r \h </w:instrText>
      </w:r>
      <w:r w:rsidR="00E66140" w:rsidRPr="0043521E">
        <w:rPr>
          <w:spacing w:val="-4"/>
          <w:sz w:val="20"/>
          <w:szCs w:val="20"/>
          <w:lang w:val="es-CR"/>
        </w:rPr>
        <w:instrText xml:space="preserve"> \* MERGEFORMAT </w:instrText>
      </w:r>
      <w:r w:rsidR="000E3BF4" w:rsidRPr="0043521E">
        <w:rPr>
          <w:spacing w:val="-4"/>
          <w:sz w:val="20"/>
          <w:szCs w:val="20"/>
          <w:lang w:val="es-CR"/>
        </w:rPr>
      </w:r>
      <w:r w:rsidR="000E3BF4" w:rsidRPr="0043521E">
        <w:rPr>
          <w:spacing w:val="-4"/>
          <w:sz w:val="20"/>
          <w:szCs w:val="20"/>
          <w:lang w:val="es-CR"/>
        </w:rPr>
        <w:fldChar w:fldCharType="separate"/>
      </w:r>
      <w:r w:rsidR="00C16EE7">
        <w:rPr>
          <w:spacing w:val="-4"/>
          <w:sz w:val="20"/>
          <w:szCs w:val="20"/>
          <w:lang w:val="es-CR"/>
        </w:rPr>
        <w:t>13</w:t>
      </w:r>
      <w:r w:rsidR="000E3BF4" w:rsidRPr="0043521E">
        <w:rPr>
          <w:spacing w:val="-4"/>
          <w:sz w:val="20"/>
          <w:szCs w:val="20"/>
          <w:lang w:val="es-CR"/>
        </w:rPr>
        <w:fldChar w:fldCharType="end"/>
      </w:r>
      <w:r w:rsidR="002264E4" w:rsidRPr="0043521E">
        <w:rPr>
          <w:spacing w:val="-4"/>
          <w:sz w:val="20"/>
          <w:szCs w:val="20"/>
          <w:lang w:val="es-CR"/>
        </w:rPr>
        <w:t xml:space="preserve">). </w:t>
      </w:r>
      <w:r w:rsidR="000545E6" w:rsidRPr="0043521E">
        <w:rPr>
          <w:spacing w:val="-4"/>
          <w:sz w:val="20"/>
          <w:szCs w:val="20"/>
          <w:lang w:val="es-CR"/>
        </w:rPr>
        <w:t xml:space="preserve">En primer lugar, </w:t>
      </w:r>
      <w:r w:rsidR="007A6486" w:rsidRPr="0043521E">
        <w:rPr>
          <w:spacing w:val="-4"/>
          <w:sz w:val="20"/>
          <w:szCs w:val="20"/>
          <w:lang w:val="es-CR"/>
        </w:rPr>
        <w:t xml:space="preserve">la Corte </w:t>
      </w:r>
      <w:r w:rsidR="000545E6" w:rsidRPr="0043521E">
        <w:rPr>
          <w:spacing w:val="-4"/>
          <w:sz w:val="20"/>
          <w:szCs w:val="20"/>
          <w:lang w:val="es-CR"/>
        </w:rPr>
        <w:t xml:space="preserve">nota que </w:t>
      </w:r>
      <w:r w:rsidR="008A5A72" w:rsidRPr="0043521E">
        <w:rPr>
          <w:spacing w:val="-4"/>
          <w:sz w:val="20"/>
          <w:szCs w:val="20"/>
          <w:lang w:val="es-CR"/>
        </w:rPr>
        <w:t xml:space="preserve">este </w:t>
      </w:r>
      <w:r w:rsidR="006F1E0B" w:rsidRPr="0043521E">
        <w:rPr>
          <w:spacing w:val="-4"/>
          <w:sz w:val="20"/>
          <w:szCs w:val="20"/>
          <w:lang w:val="es-CR"/>
        </w:rPr>
        <w:t xml:space="preserve">hecho </w:t>
      </w:r>
      <w:r w:rsidR="008A5A72" w:rsidRPr="0043521E">
        <w:rPr>
          <w:spacing w:val="-4"/>
          <w:sz w:val="20"/>
          <w:szCs w:val="20"/>
          <w:lang w:val="es-CR"/>
        </w:rPr>
        <w:t xml:space="preserve">fue </w:t>
      </w:r>
      <w:r w:rsidR="000C0F85" w:rsidRPr="0043521E">
        <w:rPr>
          <w:spacing w:val="-4"/>
          <w:sz w:val="20"/>
          <w:szCs w:val="20"/>
          <w:lang w:val="es-CR"/>
        </w:rPr>
        <w:t xml:space="preserve">informado </w:t>
      </w:r>
      <w:r w:rsidR="002264E4" w:rsidRPr="0043521E">
        <w:rPr>
          <w:spacing w:val="-4"/>
          <w:sz w:val="20"/>
          <w:szCs w:val="20"/>
          <w:lang w:val="es-CR"/>
        </w:rPr>
        <w:t xml:space="preserve">al Tribunal </w:t>
      </w:r>
      <w:r w:rsidR="006F1E0B" w:rsidRPr="0043521E">
        <w:rPr>
          <w:spacing w:val="-4"/>
          <w:sz w:val="20"/>
          <w:szCs w:val="20"/>
          <w:lang w:val="es-CR"/>
        </w:rPr>
        <w:t>ocho</w:t>
      </w:r>
      <w:r w:rsidR="00DF1F44" w:rsidRPr="0043521E">
        <w:rPr>
          <w:spacing w:val="-4"/>
          <w:sz w:val="20"/>
          <w:szCs w:val="20"/>
          <w:lang w:val="es-CR"/>
        </w:rPr>
        <w:t xml:space="preserve"> meses después</w:t>
      </w:r>
      <w:r w:rsidR="007A6486" w:rsidRPr="0043521E">
        <w:rPr>
          <w:spacing w:val="-4"/>
          <w:sz w:val="20"/>
          <w:szCs w:val="20"/>
          <w:lang w:val="es-CR"/>
        </w:rPr>
        <w:t xml:space="preserve"> de </w:t>
      </w:r>
      <w:r w:rsidR="00AD041C" w:rsidRPr="0043521E">
        <w:rPr>
          <w:spacing w:val="-4"/>
          <w:sz w:val="20"/>
          <w:szCs w:val="20"/>
          <w:lang w:val="es-CR"/>
        </w:rPr>
        <w:t>su ocurrencia</w:t>
      </w:r>
      <w:r w:rsidRPr="0043521E">
        <w:rPr>
          <w:spacing w:val="-4"/>
          <w:sz w:val="20"/>
          <w:szCs w:val="20"/>
          <w:lang w:val="es-CR"/>
        </w:rPr>
        <w:t xml:space="preserve">. </w:t>
      </w:r>
      <w:r w:rsidR="00877E0F" w:rsidRPr="0043521E">
        <w:rPr>
          <w:spacing w:val="-4"/>
          <w:sz w:val="20"/>
          <w:szCs w:val="20"/>
          <w:lang w:val="es-CR"/>
        </w:rPr>
        <w:t xml:space="preserve">Esta circunstancia </w:t>
      </w:r>
      <w:r w:rsidR="00877E0F" w:rsidRPr="0043521E">
        <w:rPr>
          <w:spacing w:val="-4"/>
          <w:sz w:val="20"/>
          <w:szCs w:val="20"/>
          <w:lang w:val="es-ES_tradnl"/>
        </w:rPr>
        <w:t xml:space="preserve">pone en duda la urgencia que </w:t>
      </w:r>
      <w:r w:rsidR="000E3BF4" w:rsidRPr="0043521E">
        <w:rPr>
          <w:spacing w:val="-4"/>
          <w:sz w:val="20"/>
          <w:szCs w:val="20"/>
          <w:lang w:val="es-ES_tradnl"/>
        </w:rPr>
        <w:t>podría derivarse de dicho hecho</w:t>
      </w:r>
      <w:r w:rsidR="00877E0F" w:rsidRPr="0043521E">
        <w:rPr>
          <w:spacing w:val="-4"/>
          <w:sz w:val="20"/>
          <w:szCs w:val="20"/>
          <w:lang w:val="es-ES_tradnl"/>
        </w:rPr>
        <w:t xml:space="preserve"> como sustento para el mantenimiento de las medidas</w:t>
      </w:r>
      <w:r w:rsidR="00877E0F" w:rsidRPr="0043521E">
        <w:rPr>
          <w:spacing w:val="-4"/>
          <w:sz w:val="20"/>
          <w:szCs w:val="20"/>
          <w:lang w:val="es-CR"/>
        </w:rPr>
        <w:t xml:space="preserve"> provisionales</w:t>
      </w:r>
      <w:r w:rsidR="00877E0F" w:rsidRPr="0043521E">
        <w:rPr>
          <w:rStyle w:val="FootnoteReference"/>
          <w:spacing w:val="-4"/>
          <w:sz w:val="20"/>
          <w:szCs w:val="20"/>
          <w:lang w:val="es-CR"/>
        </w:rPr>
        <w:footnoteReference w:id="25"/>
      </w:r>
      <w:r w:rsidR="00877E0F" w:rsidRPr="0043521E">
        <w:rPr>
          <w:spacing w:val="-4"/>
          <w:sz w:val="20"/>
          <w:szCs w:val="20"/>
          <w:lang w:val="es-CR"/>
        </w:rPr>
        <w:t xml:space="preserve">. </w:t>
      </w:r>
      <w:r w:rsidR="000E3BF4" w:rsidRPr="0043521E">
        <w:rPr>
          <w:spacing w:val="-4"/>
          <w:sz w:val="20"/>
          <w:szCs w:val="20"/>
          <w:lang w:val="es-CR"/>
        </w:rPr>
        <w:t xml:space="preserve">La Corte recuerda que la urgencia </w:t>
      </w:r>
      <w:r w:rsidR="000E3BF4" w:rsidRPr="00754BA3">
        <w:rPr>
          <w:spacing w:val="-4"/>
          <w:sz w:val="20"/>
          <w:szCs w:val="20"/>
          <w:lang w:val="es-CR"/>
        </w:rPr>
        <w:t>requerida para la adopción de medidas provisionales alude a situaciones especiales y excepcionales que requieren y ameritan acciones y respuestas inmediatas orientadas a conjurar la amenaza</w:t>
      </w:r>
      <w:r w:rsidR="00533089" w:rsidRPr="00754BA3">
        <w:rPr>
          <w:rStyle w:val="FootnoteReference"/>
          <w:rFonts w:eastAsia="Times"/>
          <w:spacing w:val="-4"/>
          <w:sz w:val="20"/>
          <w:szCs w:val="20"/>
          <w:lang w:val="es-CR"/>
        </w:rPr>
        <w:footnoteReference w:id="26"/>
      </w:r>
      <w:r w:rsidR="000E3BF4" w:rsidRPr="00754BA3">
        <w:rPr>
          <w:spacing w:val="-4"/>
          <w:sz w:val="20"/>
          <w:szCs w:val="20"/>
          <w:lang w:val="es-CR"/>
        </w:rPr>
        <w:t xml:space="preserve">. </w:t>
      </w:r>
      <w:r w:rsidRPr="00754BA3">
        <w:rPr>
          <w:spacing w:val="-4"/>
          <w:sz w:val="20"/>
          <w:szCs w:val="20"/>
          <w:lang w:val="es-CR"/>
        </w:rPr>
        <w:t>En segundo lugar, se advierte que los representantes no han presentado prueba alguna de este hecho, el cual</w:t>
      </w:r>
      <w:r w:rsidR="000545E6" w:rsidRPr="00754BA3">
        <w:rPr>
          <w:spacing w:val="-4"/>
          <w:sz w:val="20"/>
          <w:szCs w:val="20"/>
          <w:lang w:val="es-CR"/>
        </w:rPr>
        <w:t xml:space="preserve"> no parece haber sido informado o denunciado a las autoridades nacionales competentes ni </w:t>
      </w:r>
      <w:r w:rsidRPr="00754BA3">
        <w:rPr>
          <w:spacing w:val="-4"/>
          <w:sz w:val="20"/>
          <w:szCs w:val="20"/>
          <w:lang w:val="es-CR"/>
        </w:rPr>
        <w:t xml:space="preserve">se deriva de la nota de prensa que fue indicada como prueba del mismo. En tercer lugar, </w:t>
      </w:r>
      <w:r w:rsidR="000552AD" w:rsidRPr="00754BA3">
        <w:rPr>
          <w:spacing w:val="-4"/>
          <w:sz w:val="20"/>
          <w:szCs w:val="20"/>
          <w:lang w:val="es-ES"/>
        </w:rPr>
        <w:t>no ha sido aportado información de la cual se desprenda</w:t>
      </w:r>
      <w:r w:rsidR="0023703B" w:rsidRPr="00754BA3">
        <w:rPr>
          <w:spacing w:val="-4"/>
          <w:sz w:val="20"/>
          <w:szCs w:val="20"/>
          <w:lang w:val="es-ES"/>
        </w:rPr>
        <w:t xml:space="preserve"> </w:t>
      </w:r>
      <w:r w:rsidR="0023703B" w:rsidRPr="00754BA3">
        <w:rPr>
          <w:color w:val="auto"/>
          <w:spacing w:val="-4"/>
          <w:sz w:val="20"/>
          <w:szCs w:val="20"/>
          <w:lang w:val="es-ES"/>
        </w:rPr>
        <w:t xml:space="preserve">que </w:t>
      </w:r>
      <w:r w:rsidR="008F176E" w:rsidRPr="00754BA3">
        <w:rPr>
          <w:color w:val="auto"/>
          <w:spacing w:val="-4"/>
          <w:sz w:val="20"/>
          <w:szCs w:val="20"/>
          <w:lang w:val="es-ES"/>
        </w:rPr>
        <w:t>el alegado</w:t>
      </w:r>
      <w:r w:rsidR="0023703B" w:rsidRPr="00754BA3">
        <w:rPr>
          <w:color w:val="FF0000"/>
          <w:spacing w:val="-4"/>
          <w:sz w:val="20"/>
          <w:szCs w:val="20"/>
          <w:lang w:val="es-ES"/>
        </w:rPr>
        <w:t xml:space="preserve"> </w:t>
      </w:r>
      <w:r w:rsidR="002264E4" w:rsidRPr="00754BA3">
        <w:rPr>
          <w:color w:val="auto"/>
          <w:spacing w:val="-4"/>
          <w:sz w:val="20"/>
          <w:szCs w:val="20"/>
          <w:lang w:val="es-ES"/>
        </w:rPr>
        <w:t>hecho de riesgo</w:t>
      </w:r>
      <w:r w:rsidR="008F176E" w:rsidRPr="00754BA3">
        <w:rPr>
          <w:color w:val="auto"/>
          <w:spacing w:val="-4"/>
          <w:sz w:val="20"/>
          <w:szCs w:val="20"/>
          <w:lang w:val="es-ES"/>
        </w:rPr>
        <w:t xml:space="preserve"> </w:t>
      </w:r>
      <w:r w:rsidR="002D0B6D" w:rsidRPr="00754BA3">
        <w:rPr>
          <w:color w:val="auto"/>
          <w:spacing w:val="-4"/>
          <w:sz w:val="20"/>
          <w:szCs w:val="20"/>
          <w:lang w:val="es-ES"/>
        </w:rPr>
        <w:t>tenga</w:t>
      </w:r>
      <w:r w:rsidR="000552AD" w:rsidRPr="00754BA3">
        <w:rPr>
          <w:color w:val="auto"/>
          <w:spacing w:val="-4"/>
          <w:sz w:val="20"/>
          <w:szCs w:val="20"/>
          <w:lang w:val="es-ES"/>
        </w:rPr>
        <w:t xml:space="preserve"> </w:t>
      </w:r>
      <w:r w:rsidR="0023703B" w:rsidRPr="00754BA3">
        <w:rPr>
          <w:spacing w:val="-4"/>
          <w:sz w:val="20"/>
          <w:szCs w:val="20"/>
          <w:lang w:val="es-ES"/>
        </w:rPr>
        <w:t xml:space="preserve">vinculación con el caso </w:t>
      </w:r>
      <w:r w:rsidR="0023703B" w:rsidRPr="00754BA3">
        <w:rPr>
          <w:i/>
          <w:spacing w:val="-4"/>
          <w:sz w:val="20"/>
          <w:szCs w:val="20"/>
          <w:lang w:val="es-ES"/>
        </w:rPr>
        <w:t>Rosendo Cantú y otra</w:t>
      </w:r>
      <w:r w:rsidR="0023703B" w:rsidRPr="00754BA3">
        <w:rPr>
          <w:spacing w:val="-4"/>
          <w:sz w:val="20"/>
          <w:szCs w:val="20"/>
          <w:lang w:val="es-ES"/>
        </w:rPr>
        <w:t>, ni con los eventos que justificaron, oportunamente, la adopción de las medidas provisionales.</w:t>
      </w:r>
      <w:r w:rsidR="000552AD" w:rsidRPr="00754BA3">
        <w:rPr>
          <w:spacing w:val="-4"/>
          <w:sz w:val="20"/>
          <w:szCs w:val="20"/>
          <w:lang w:val="es-ES"/>
        </w:rPr>
        <w:t xml:space="preserve"> </w:t>
      </w:r>
    </w:p>
    <w:p w:rsidR="00533089" w:rsidRPr="00754BA3" w:rsidRDefault="00533089" w:rsidP="00533089">
      <w:pPr>
        <w:pStyle w:val="ListParagraph"/>
        <w:spacing w:line="240" w:lineRule="auto"/>
        <w:ind w:left="0"/>
        <w:rPr>
          <w:spacing w:val="-4"/>
          <w:szCs w:val="20"/>
          <w:lang w:val="es-CR"/>
        </w:rPr>
      </w:pPr>
    </w:p>
    <w:p w:rsidR="00E8504D" w:rsidRPr="00532A83" w:rsidRDefault="005531FA" w:rsidP="00532A83">
      <w:pPr>
        <w:pStyle w:val="ListParagraph"/>
        <w:numPr>
          <w:ilvl w:val="0"/>
          <w:numId w:val="2"/>
        </w:numPr>
        <w:spacing w:line="240" w:lineRule="auto"/>
        <w:rPr>
          <w:spacing w:val="-4"/>
          <w:szCs w:val="20"/>
          <w:lang w:val="es-MX"/>
        </w:rPr>
      </w:pPr>
      <w:r w:rsidRPr="00754BA3">
        <w:rPr>
          <w:spacing w:val="-4"/>
          <w:szCs w:val="20"/>
          <w:lang w:val="es-CR"/>
        </w:rPr>
        <w:t xml:space="preserve">Por último, </w:t>
      </w:r>
      <w:r w:rsidRPr="00754BA3">
        <w:rPr>
          <w:i/>
          <w:spacing w:val="-4"/>
          <w:szCs w:val="20"/>
          <w:lang w:val="es-CR"/>
        </w:rPr>
        <w:t xml:space="preserve">respecto a la alegada necesidad de mantener las presentes medidas hasta tanto </w:t>
      </w:r>
      <w:r w:rsidR="00533089" w:rsidRPr="00754BA3">
        <w:rPr>
          <w:i/>
          <w:spacing w:val="-4"/>
          <w:szCs w:val="20"/>
          <w:lang w:val="es-CR"/>
        </w:rPr>
        <w:t xml:space="preserve">se </w:t>
      </w:r>
      <w:r w:rsidRPr="00754BA3">
        <w:rPr>
          <w:i/>
          <w:spacing w:val="-4"/>
          <w:szCs w:val="20"/>
          <w:lang w:val="es-CR"/>
        </w:rPr>
        <w:t>finalice la investigación de los hechos del caso</w:t>
      </w:r>
      <w:r w:rsidRPr="00754BA3">
        <w:rPr>
          <w:spacing w:val="-4"/>
          <w:szCs w:val="20"/>
          <w:lang w:val="es-CR"/>
        </w:rPr>
        <w:t xml:space="preserve">, la Corte </w:t>
      </w:r>
      <w:r w:rsidRPr="00754BA3">
        <w:rPr>
          <w:spacing w:val="-4"/>
          <w:szCs w:val="20"/>
          <w:lang w:val="es-PR"/>
        </w:rPr>
        <w:t>resalta que la información atinente a la investigación</w:t>
      </w:r>
      <w:r w:rsidR="00532A83">
        <w:rPr>
          <w:spacing w:val="-4"/>
          <w:szCs w:val="20"/>
          <w:lang w:val="es-PR"/>
        </w:rPr>
        <w:t xml:space="preserve"> </w:t>
      </w:r>
      <w:r w:rsidRPr="00532A83">
        <w:rPr>
          <w:spacing w:val="-4"/>
          <w:szCs w:val="20"/>
          <w:lang w:val="es-PR"/>
        </w:rPr>
        <w:t>es analizada en el marco de la supervisión de la Sentencia dictada por este Tribunal</w:t>
      </w:r>
      <w:r w:rsidRPr="00754BA3">
        <w:rPr>
          <w:spacing w:val="-4"/>
          <w:szCs w:val="20"/>
          <w:vertAlign w:val="superscript"/>
          <w:lang w:val="es-PR"/>
        </w:rPr>
        <w:footnoteReference w:id="27"/>
      </w:r>
      <w:r w:rsidR="00533089" w:rsidRPr="00532A83">
        <w:rPr>
          <w:spacing w:val="-4"/>
          <w:szCs w:val="20"/>
          <w:lang w:val="es-PR"/>
        </w:rPr>
        <w:t xml:space="preserve"> y no es materia del proceso de medidas provisionales.</w:t>
      </w:r>
      <w:r w:rsidR="006055C7" w:rsidRPr="00532A83">
        <w:rPr>
          <w:spacing w:val="-4"/>
          <w:szCs w:val="20"/>
          <w:lang w:val="es-PR"/>
        </w:rPr>
        <w:t xml:space="preserve"> </w:t>
      </w:r>
      <w:r w:rsidR="006055C7" w:rsidRPr="00532A83">
        <w:rPr>
          <w:spacing w:val="-4"/>
          <w:szCs w:val="20"/>
        </w:rPr>
        <w:t>E</w:t>
      </w:r>
      <w:r w:rsidR="00F469E6" w:rsidRPr="00532A83">
        <w:rPr>
          <w:spacing w:val="-4"/>
          <w:szCs w:val="20"/>
        </w:rPr>
        <w:t xml:space="preserve">l mecanismo de medidas provisionales requiere que se demuestren los requisitos convencionales de </w:t>
      </w:r>
      <w:r w:rsidR="006145F6" w:rsidRPr="00532A83">
        <w:rPr>
          <w:spacing w:val="-4"/>
          <w:szCs w:val="20"/>
        </w:rPr>
        <w:t xml:space="preserve">extrema </w:t>
      </w:r>
      <w:r w:rsidR="00F469E6" w:rsidRPr="00532A83">
        <w:rPr>
          <w:spacing w:val="-4"/>
          <w:szCs w:val="20"/>
        </w:rPr>
        <w:t>gravedad, urgencia e irreparabilidad del daño que están establecidos en el artículo 63.2 de la Convención (</w:t>
      </w:r>
      <w:r w:rsidR="00F469E6" w:rsidRPr="00532A83">
        <w:rPr>
          <w:i/>
          <w:spacing w:val="-4"/>
          <w:szCs w:val="20"/>
        </w:rPr>
        <w:t xml:space="preserve">supra </w:t>
      </w:r>
      <w:r w:rsidR="00F469E6" w:rsidRPr="00532A83">
        <w:rPr>
          <w:spacing w:val="-4"/>
          <w:szCs w:val="20"/>
        </w:rPr>
        <w:t>Considerandos</w:t>
      </w:r>
      <w:r w:rsidR="00C96B18" w:rsidRPr="00532A83">
        <w:rPr>
          <w:spacing w:val="-4"/>
          <w:szCs w:val="20"/>
        </w:rPr>
        <w:t xml:space="preserve"> </w:t>
      </w:r>
      <w:r w:rsidR="00C96B18" w:rsidRPr="00532A83">
        <w:rPr>
          <w:spacing w:val="-4"/>
          <w:szCs w:val="20"/>
        </w:rPr>
        <w:fldChar w:fldCharType="begin"/>
      </w:r>
      <w:r w:rsidR="00C96B18" w:rsidRPr="00532A83">
        <w:rPr>
          <w:spacing w:val="-4"/>
          <w:szCs w:val="20"/>
        </w:rPr>
        <w:instrText xml:space="preserve"> REF _Ref444073303 \r \h </w:instrText>
      </w:r>
      <w:r w:rsidR="00754BA3" w:rsidRPr="00532A83">
        <w:rPr>
          <w:spacing w:val="-4"/>
          <w:szCs w:val="20"/>
        </w:rPr>
        <w:instrText xml:space="preserve"> \* MERGEFORMAT </w:instrText>
      </w:r>
      <w:r w:rsidR="00C96B18" w:rsidRPr="00532A83">
        <w:rPr>
          <w:spacing w:val="-4"/>
          <w:szCs w:val="20"/>
        </w:rPr>
      </w:r>
      <w:r w:rsidR="00C96B18" w:rsidRPr="00532A83">
        <w:rPr>
          <w:spacing w:val="-4"/>
          <w:szCs w:val="20"/>
        </w:rPr>
        <w:fldChar w:fldCharType="separate"/>
      </w:r>
      <w:r w:rsidR="00C16EE7">
        <w:rPr>
          <w:spacing w:val="-4"/>
          <w:szCs w:val="20"/>
        </w:rPr>
        <w:t>2</w:t>
      </w:r>
      <w:r w:rsidR="00C96B18" w:rsidRPr="00532A83">
        <w:rPr>
          <w:spacing w:val="-4"/>
          <w:szCs w:val="20"/>
        </w:rPr>
        <w:fldChar w:fldCharType="end"/>
      </w:r>
      <w:r w:rsidR="00F469E6" w:rsidRPr="00532A83">
        <w:rPr>
          <w:spacing w:val="-4"/>
          <w:szCs w:val="20"/>
        </w:rPr>
        <w:t xml:space="preserve"> </w:t>
      </w:r>
      <w:r w:rsidR="00C96B18" w:rsidRPr="00532A83">
        <w:rPr>
          <w:spacing w:val="-4"/>
          <w:szCs w:val="20"/>
        </w:rPr>
        <w:t xml:space="preserve">a </w:t>
      </w:r>
      <w:r w:rsidR="00C96B18" w:rsidRPr="00532A83">
        <w:rPr>
          <w:spacing w:val="-4"/>
          <w:szCs w:val="20"/>
        </w:rPr>
        <w:fldChar w:fldCharType="begin"/>
      </w:r>
      <w:r w:rsidR="00C96B18" w:rsidRPr="00532A83">
        <w:rPr>
          <w:spacing w:val="-4"/>
          <w:szCs w:val="20"/>
        </w:rPr>
        <w:instrText xml:space="preserve"> REF _Ref444073325 \r \h </w:instrText>
      </w:r>
      <w:r w:rsidR="00754BA3" w:rsidRPr="00532A83">
        <w:rPr>
          <w:spacing w:val="-4"/>
          <w:szCs w:val="20"/>
        </w:rPr>
        <w:instrText xml:space="preserve"> \* MERGEFORMAT </w:instrText>
      </w:r>
      <w:r w:rsidR="00C96B18" w:rsidRPr="00532A83">
        <w:rPr>
          <w:spacing w:val="-4"/>
          <w:szCs w:val="20"/>
        </w:rPr>
      </w:r>
      <w:r w:rsidR="00C96B18" w:rsidRPr="00532A83">
        <w:rPr>
          <w:spacing w:val="-4"/>
          <w:szCs w:val="20"/>
        </w:rPr>
        <w:fldChar w:fldCharType="separate"/>
      </w:r>
      <w:r w:rsidR="00C16EE7">
        <w:rPr>
          <w:spacing w:val="-4"/>
          <w:szCs w:val="20"/>
        </w:rPr>
        <w:t>4</w:t>
      </w:r>
      <w:r w:rsidR="00C96B18" w:rsidRPr="00532A83">
        <w:rPr>
          <w:spacing w:val="-4"/>
          <w:szCs w:val="20"/>
        </w:rPr>
        <w:fldChar w:fldCharType="end"/>
      </w:r>
      <w:r w:rsidR="00C96B18" w:rsidRPr="00532A83">
        <w:rPr>
          <w:spacing w:val="-4"/>
          <w:szCs w:val="20"/>
        </w:rPr>
        <w:t xml:space="preserve"> y </w:t>
      </w:r>
      <w:r w:rsidR="00C96B18" w:rsidRPr="00532A83">
        <w:rPr>
          <w:spacing w:val="-4"/>
          <w:szCs w:val="20"/>
        </w:rPr>
        <w:fldChar w:fldCharType="begin"/>
      </w:r>
      <w:r w:rsidR="00C96B18" w:rsidRPr="00532A83">
        <w:rPr>
          <w:spacing w:val="-4"/>
          <w:szCs w:val="20"/>
        </w:rPr>
        <w:instrText xml:space="preserve"> REF _Ref442720394 \r \h </w:instrText>
      </w:r>
      <w:r w:rsidR="00754BA3" w:rsidRPr="00532A83">
        <w:rPr>
          <w:spacing w:val="-4"/>
          <w:szCs w:val="20"/>
        </w:rPr>
        <w:instrText xml:space="preserve"> \* MERGEFORMAT </w:instrText>
      </w:r>
      <w:r w:rsidR="00C96B18" w:rsidRPr="00532A83">
        <w:rPr>
          <w:spacing w:val="-4"/>
          <w:szCs w:val="20"/>
        </w:rPr>
      </w:r>
      <w:r w:rsidR="00C96B18" w:rsidRPr="00532A83">
        <w:rPr>
          <w:spacing w:val="-4"/>
          <w:szCs w:val="20"/>
        </w:rPr>
        <w:fldChar w:fldCharType="separate"/>
      </w:r>
      <w:r w:rsidR="00C16EE7">
        <w:rPr>
          <w:spacing w:val="-4"/>
          <w:szCs w:val="20"/>
        </w:rPr>
        <w:t>16</w:t>
      </w:r>
      <w:r w:rsidR="00C96B18" w:rsidRPr="00532A83">
        <w:rPr>
          <w:spacing w:val="-4"/>
          <w:szCs w:val="20"/>
        </w:rPr>
        <w:fldChar w:fldCharType="end"/>
      </w:r>
      <w:r w:rsidR="00F469E6" w:rsidRPr="00532A83">
        <w:rPr>
          <w:spacing w:val="-4"/>
          <w:szCs w:val="20"/>
        </w:rPr>
        <w:t>) respecto de las personas a favor de quienes se pretenden las medidas</w:t>
      </w:r>
      <w:r w:rsidR="006055C7" w:rsidRPr="00532A83">
        <w:rPr>
          <w:spacing w:val="-4"/>
          <w:szCs w:val="20"/>
        </w:rPr>
        <w:t xml:space="preserve">. </w:t>
      </w:r>
      <w:r w:rsidR="00533089" w:rsidRPr="00532A83">
        <w:rPr>
          <w:spacing w:val="-4"/>
          <w:szCs w:val="20"/>
        </w:rPr>
        <w:t xml:space="preserve">Los procedimientos de medidas provisionales y supervisión de cumplimiento de las sentencias de esta Corte son dos procesos separados en la Convención y en el Reglamento y sus objetos no deben confundirse. </w:t>
      </w:r>
      <w:r w:rsidR="00E8504D" w:rsidRPr="00532A83">
        <w:rPr>
          <w:spacing w:val="-4"/>
          <w:szCs w:val="20"/>
        </w:rPr>
        <w:t>Como ha indicado en otros casos</w:t>
      </w:r>
      <w:r w:rsidR="00E8504D" w:rsidRPr="00754BA3">
        <w:rPr>
          <w:rStyle w:val="FootnoteReference"/>
          <w:spacing w:val="-4"/>
          <w:sz w:val="20"/>
          <w:szCs w:val="20"/>
        </w:rPr>
        <w:footnoteReference w:id="28"/>
      </w:r>
      <w:r w:rsidR="00E8504D" w:rsidRPr="00532A83">
        <w:rPr>
          <w:spacing w:val="-4"/>
          <w:szCs w:val="20"/>
        </w:rPr>
        <w:t xml:space="preserve">, la Corte debe velar porque no se desnaturalice </w:t>
      </w:r>
      <w:r w:rsidR="006055C7" w:rsidRPr="00532A83">
        <w:rPr>
          <w:spacing w:val="-4"/>
          <w:szCs w:val="20"/>
        </w:rPr>
        <w:t>el propósito de las medidas provisionales y su carácter excepcional bajo la Convención Americana</w:t>
      </w:r>
      <w:r w:rsidR="00E8504D" w:rsidRPr="00532A83">
        <w:rPr>
          <w:spacing w:val="-4"/>
          <w:szCs w:val="20"/>
        </w:rPr>
        <w:t>.</w:t>
      </w:r>
      <w:r w:rsidR="006055C7" w:rsidRPr="00532A83">
        <w:rPr>
          <w:spacing w:val="-4"/>
          <w:szCs w:val="20"/>
        </w:rPr>
        <w:t xml:space="preserve"> </w:t>
      </w:r>
      <w:r w:rsidR="00E8504D" w:rsidRPr="00532A83">
        <w:rPr>
          <w:spacing w:val="-4"/>
          <w:szCs w:val="20"/>
        </w:rPr>
        <w:t xml:space="preserve">De aceptarse el argumento de los representantes, </w:t>
      </w:r>
      <w:r w:rsidR="006055C7" w:rsidRPr="00532A83">
        <w:rPr>
          <w:spacing w:val="-4"/>
          <w:szCs w:val="20"/>
        </w:rPr>
        <w:t>se estaría presumiendo</w:t>
      </w:r>
      <w:r w:rsidR="00E8504D" w:rsidRPr="00532A83">
        <w:rPr>
          <w:spacing w:val="-4"/>
          <w:szCs w:val="20"/>
        </w:rPr>
        <w:t xml:space="preserve"> un riesgo</w:t>
      </w:r>
      <w:r w:rsidR="006055C7" w:rsidRPr="00532A83">
        <w:rPr>
          <w:spacing w:val="-4"/>
          <w:szCs w:val="20"/>
        </w:rPr>
        <w:t xml:space="preserve"> </w:t>
      </w:r>
      <w:r w:rsidR="00E8504D" w:rsidRPr="00532A83">
        <w:rPr>
          <w:spacing w:val="-4"/>
          <w:szCs w:val="20"/>
          <w:lang w:val="es-ES"/>
        </w:rPr>
        <w:t>meramente hipotético o conjetural</w:t>
      </w:r>
      <w:r w:rsidR="00E8504D" w:rsidRPr="00532A83">
        <w:rPr>
          <w:spacing w:val="-4"/>
          <w:szCs w:val="20"/>
        </w:rPr>
        <w:t xml:space="preserve"> </w:t>
      </w:r>
      <w:r w:rsidR="006055C7" w:rsidRPr="00532A83">
        <w:rPr>
          <w:spacing w:val="-4"/>
          <w:szCs w:val="20"/>
        </w:rPr>
        <w:t xml:space="preserve">y </w:t>
      </w:r>
      <w:r w:rsidR="00E8504D" w:rsidRPr="00532A83">
        <w:rPr>
          <w:spacing w:val="-4"/>
          <w:szCs w:val="20"/>
        </w:rPr>
        <w:t xml:space="preserve">las medidas provisionales se estarían utilizando como un mecanismo de presión o apoyo para </w:t>
      </w:r>
      <w:r w:rsidR="006055C7" w:rsidRPr="00532A83">
        <w:rPr>
          <w:spacing w:val="-4"/>
          <w:szCs w:val="20"/>
        </w:rPr>
        <w:t>lograr con ellas lo que c</w:t>
      </w:r>
      <w:r w:rsidR="00E8504D" w:rsidRPr="00532A83">
        <w:rPr>
          <w:spacing w:val="-4"/>
          <w:szCs w:val="20"/>
        </w:rPr>
        <w:t>orresponde alcanzar a través del cumplimiento de la Sentencia</w:t>
      </w:r>
      <w:r w:rsidR="006055C7" w:rsidRPr="00754BA3">
        <w:rPr>
          <w:rStyle w:val="FootnoteReference"/>
          <w:spacing w:val="-4"/>
          <w:sz w:val="20"/>
          <w:szCs w:val="20"/>
        </w:rPr>
        <w:footnoteReference w:id="29"/>
      </w:r>
      <w:r w:rsidR="006055C7" w:rsidRPr="00532A83">
        <w:rPr>
          <w:spacing w:val="-4"/>
          <w:szCs w:val="20"/>
        </w:rPr>
        <w:t xml:space="preserve">.  </w:t>
      </w:r>
    </w:p>
    <w:p w:rsidR="00E8504D" w:rsidRPr="00754BA3" w:rsidRDefault="00E8504D" w:rsidP="00E8504D">
      <w:pPr>
        <w:pStyle w:val="ListParagraph"/>
        <w:spacing w:line="240" w:lineRule="auto"/>
        <w:ind w:left="0"/>
        <w:rPr>
          <w:spacing w:val="-4"/>
          <w:szCs w:val="20"/>
          <w:highlight w:val="yellow"/>
          <w:lang w:val="es-MX"/>
        </w:rPr>
      </w:pPr>
    </w:p>
    <w:p w:rsidR="00533089" w:rsidRPr="00754BA3" w:rsidRDefault="00237A78" w:rsidP="00533089">
      <w:pPr>
        <w:pStyle w:val="ListParagraph"/>
        <w:numPr>
          <w:ilvl w:val="0"/>
          <w:numId w:val="2"/>
        </w:numPr>
        <w:spacing w:line="240" w:lineRule="auto"/>
        <w:rPr>
          <w:spacing w:val="-4"/>
          <w:szCs w:val="20"/>
          <w:lang w:val="es-MX"/>
        </w:rPr>
      </w:pPr>
      <w:r w:rsidRPr="00754BA3">
        <w:rPr>
          <w:spacing w:val="-4"/>
          <w:szCs w:val="20"/>
        </w:rPr>
        <w:t xml:space="preserve">En caso de presentarse problemas en el futuro en el marco del cumplimiento de las medidas de reparación en la Sentencia, las beneficiarias o sus representantes pueden informar a la Corte de los mismos en el marco de la supervisión de cumplimiento de la Sentencia. Asimismo, de presentarse una </w:t>
      </w:r>
      <w:r w:rsidR="00E8504D" w:rsidRPr="00754BA3">
        <w:rPr>
          <w:spacing w:val="-4"/>
          <w:szCs w:val="20"/>
        </w:rPr>
        <w:t xml:space="preserve">nueva </w:t>
      </w:r>
      <w:r w:rsidRPr="00754BA3">
        <w:rPr>
          <w:spacing w:val="-4"/>
          <w:szCs w:val="20"/>
        </w:rPr>
        <w:t xml:space="preserve">situación </w:t>
      </w:r>
      <w:r w:rsidR="00E8504D" w:rsidRPr="00754BA3">
        <w:rPr>
          <w:spacing w:val="-4"/>
          <w:szCs w:val="20"/>
        </w:rPr>
        <w:t xml:space="preserve">de riesgo </w:t>
      </w:r>
      <w:r w:rsidRPr="00754BA3">
        <w:rPr>
          <w:spacing w:val="-4"/>
          <w:szCs w:val="20"/>
        </w:rPr>
        <w:t xml:space="preserve">que cumpla con los tres requisitos </w:t>
      </w:r>
      <w:r w:rsidR="00E8504D" w:rsidRPr="00754BA3">
        <w:rPr>
          <w:spacing w:val="-4"/>
          <w:szCs w:val="20"/>
        </w:rPr>
        <w:t xml:space="preserve">establecidos en el </w:t>
      </w:r>
      <w:r w:rsidRPr="00754BA3">
        <w:rPr>
          <w:spacing w:val="-4"/>
          <w:szCs w:val="20"/>
        </w:rPr>
        <w:t xml:space="preserve">artículo 63.2 de la Convención, </w:t>
      </w:r>
      <w:r w:rsidR="00E8504D" w:rsidRPr="00754BA3">
        <w:rPr>
          <w:spacing w:val="-4"/>
          <w:szCs w:val="20"/>
        </w:rPr>
        <w:t xml:space="preserve">las beneficiarias o sus representantes </w:t>
      </w:r>
      <w:r w:rsidR="00662690" w:rsidRPr="00754BA3">
        <w:rPr>
          <w:spacing w:val="-4"/>
          <w:szCs w:val="20"/>
        </w:rPr>
        <w:t xml:space="preserve">tienen la posibilidad de hacer una nueva solicitud de medidas a la Corte. </w:t>
      </w:r>
    </w:p>
    <w:p w:rsidR="002D3478" w:rsidRPr="00754BA3" w:rsidRDefault="002D3478" w:rsidP="00E32E4D">
      <w:pPr>
        <w:pStyle w:val="ListParagraph"/>
        <w:spacing w:line="240" w:lineRule="auto"/>
        <w:ind w:left="0"/>
        <w:rPr>
          <w:spacing w:val="-4"/>
          <w:szCs w:val="20"/>
          <w:highlight w:val="yellow"/>
          <w:lang w:val="es-CR"/>
        </w:rPr>
      </w:pPr>
    </w:p>
    <w:p w:rsidR="005531FA" w:rsidRPr="00754BA3" w:rsidRDefault="00E32E4D" w:rsidP="00E32E4D">
      <w:pPr>
        <w:pStyle w:val="ListParagraph"/>
        <w:numPr>
          <w:ilvl w:val="0"/>
          <w:numId w:val="2"/>
        </w:numPr>
        <w:spacing w:line="240" w:lineRule="auto"/>
        <w:rPr>
          <w:spacing w:val="-4"/>
          <w:szCs w:val="20"/>
          <w:lang w:val="es-PR"/>
        </w:rPr>
      </w:pPr>
      <w:r w:rsidRPr="00754BA3">
        <w:rPr>
          <w:spacing w:val="-4"/>
          <w:szCs w:val="20"/>
          <w:lang w:val="es-PR"/>
        </w:rPr>
        <w:t>En virtud de todas las consideraciones anteriores</w:t>
      </w:r>
      <w:r w:rsidRPr="00754BA3">
        <w:rPr>
          <w:spacing w:val="-4"/>
          <w:szCs w:val="20"/>
        </w:rPr>
        <w:t xml:space="preserve">, </w:t>
      </w:r>
      <w:r w:rsidR="005531FA" w:rsidRPr="00754BA3">
        <w:rPr>
          <w:spacing w:val="-4"/>
          <w:szCs w:val="20"/>
        </w:rPr>
        <w:t xml:space="preserve">la Corte considera que la situación de las beneficiarias ya no se enmarca dentro de los presupuestos señalados en el artículo 63.2 de la Convención. En consecuencia, este Tribunal estima pertinente levantar las medidas provisionales dictadas a favor de </w:t>
      </w:r>
      <w:r w:rsidR="005531FA" w:rsidRPr="00754BA3">
        <w:rPr>
          <w:rFonts w:cs="Times"/>
          <w:spacing w:val="-4"/>
          <w:szCs w:val="20"/>
        </w:rPr>
        <w:t>Valentina Rosendo Cantú y de Yenis Bernardino Rosendo.</w:t>
      </w:r>
    </w:p>
    <w:p w:rsidR="005531FA" w:rsidRPr="00A87EDC" w:rsidRDefault="005531FA" w:rsidP="008831BB">
      <w:pPr>
        <w:spacing w:line="240" w:lineRule="auto"/>
        <w:rPr>
          <w:spacing w:val="-4"/>
          <w:szCs w:val="20"/>
        </w:rPr>
      </w:pPr>
    </w:p>
    <w:p w:rsidR="00404D4C" w:rsidRPr="00A87EDC" w:rsidRDefault="006F1E0B" w:rsidP="00584445">
      <w:pPr>
        <w:pStyle w:val="Default"/>
        <w:numPr>
          <w:ilvl w:val="0"/>
          <w:numId w:val="2"/>
        </w:numPr>
        <w:spacing w:before="120" w:after="120"/>
        <w:jc w:val="both"/>
        <w:rPr>
          <w:rFonts w:cs="MSReferenceSansSerif"/>
          <w:spacing w:val="-4"/>
          <w:sz w:val="20"/>
          <w:szCs w:val="20"/>
          <w:lang w:val="es-ES"/>
        </w:rPr>
      </w:pPr>
      <w:bookmarkStart w:id="13" w:name="_Ref442880134"/>
      <w:r w:rsidRPr="00A87EDC">
        <w:rPr>
          <w:spacing w:val="-4"/>
          <w:sz w:val="20"/>
          <w:szCs w:val="20"/>
          <w:lang w:val="es-CR"/>
        </w:rPr>
        <w:lastRenderedPageBreak/>
        <w:t xml:space="preserve">Sin perjuicio de lo anterior, </w:t>
      </w:r>
      <w:r w:rsidR="0045579D" w:rsidRPr="00A87EDC">
        <w:rPr>
          <w:spacing w:val="-4"/>
          <w:sz w:val="20"/>
          <w:szCs w:val="20"/>
          <w:lang w:val="es-CR"/>
        </w:rPr>
        <w:t xml:space="preserve">la Corte recuerda que </w:t>
      </w:r>
      <w:r w:rsidR="00DF1F44" w:rsidRPr="00A87EDC">
        <w:rPr>
          <w:rFonts w:cs="MSReferenceSansSerif"/>
          <w:spacing w:val="-4"/>
          <w:sz w:val="20"/>
          <w:szCs w:val="20"/>
          <w:lang w:val="es-ES"/>
        </w:rPr>
        <w:t>el artículo 1.1 de la Convención establece las obligaciones generales que tienen los Estados Parte de respetar los derechos y libertades en ella consagrados y de garantizar su libre y pleno ejercicio a toda persona que esté sujeta a su jurisdicción</w:t>
      </w:r>
      <w:r w:rsidR="00CB6D8D">
        <w:rPr>
          <w:rFonts w:cs="MSReferenceSansSerif"/>
          <w:spacing w:val="-4"/>
          <w:sz w:val="20"/>
          <w:szCs w:val="20"/>
          <w:lang w:val="es-ES"/>
        </w:rPr>
        <w:t xml:space="preserve">, </w:t>
      </w:r>
      <w:r w:rsidR="0045579D" w:rsidRPr="00A87EDC">
        <w:rPr>
          <w:spacing w:val="-4"/>
          <w:sz w:val="20"/>
          <w:szCs w:val="20"/>
          <w:lang w:val="es-CR"/>
        </w:rPr>
        <w:t>las cuales se imponen no sólo en relación con el poder del Estado sino también en relación con actuaciones de terceros particulares</w:t>
      </w:r>
      <w:r w:rsidR="0045579D" w:rsidRPr="00A87EDC">
        <w:rPr>
          <w:rStyle w:val="FootnoteReference"/>
          <w:spacing w:val="-4"/>
          <w:sz w:val="20"/>
          <w:szCs w:val="20"/>
          <w:lang w:val="es-CR"/>
        </w:rPr>
        <w:footnoteReference w:id="30"/>
      </w:r>
      <w:r w:rsidR="00DF1F44" w:rsidRPr="00A87EDC">
        <w:rPr>
          <w:rFonts w:cs="MSReferenceSansSerif"/>
          <w:spacing w:val="-4"/>
          <w:sz w:val="20"/>
          <w:szCs w:val="20"/>
          <w:lang w:val="es-ES"/>
        </w:rPr>
        <w:t xml:space="preserve">. </w:t>
      </w:r>
      <w:r w:rsidR="000A2FA7" w:rsidRPr="00A87EDC">
        <w:rPr>
          <w:spacing w:val="-4"/>
          <w:sz w:val="20"/>
          <w:szCs w:val="20"/>
          <w:lang w:val="es-CR"/>
        </w:rPr>
        <w:t>En ese sentido, el Tribunal reitera al Estado que, en atención al principio de complementariedad y subsidiariedad, son los mismos Estados los que se encuentran primeramente obligados a garantizar la vida, seguridad e integridad de las personas a través de sus órganos y jurisdicción interna</w:t>
      </w:r>
      <w:r w:rsidR="000A2FA7" w:rsidRPr="00A87EDC">
        <w:rPr>
          <w:rStyle w:val="FootnoteReference"/>
          <w:spacing w:val="-4"/>
          <w:sz w:val="20"/>
          <w:szCs w:val="20"/>
          <w:lang w:val="es-CR"/>
        </w:rPr>
        <w:footnoteReference w:id="31"/>
      </w:r>
      <w:r w:rsidR="000A2FA7" w:rsidRPr="00A87EDC">
        <w:rPr>
          <w:spacing w:val="-4"/>
          <w:sz w:val="20"/>
          <w:szCs w:val="20"/>
          <w:lang w:val="es-CR"/>
        </w:rPr>
        <w:t xml:space="preserve">. </w:t>
      </w:r>
      <w:r w:rsidR="00117902" w:rsidRPr="00A87EDC">
        <w:rPr>
          <w:spacing w:val="-4"/>
          <w:sz w:val="20"/>
          <w:szCs w:val="20"/>
          <w:lang w:val="es-ES_tradnl"/>
        </w:rPr>
        <w:t xml:space="preserve">Los supuestos de levantamiento de medidas provisionales no implican que el Estado quede relevado de sus obligaciones convencionales de protección. </w:t>
      </w:r>
      <w:r w:rsidR="00DF1F44" w:rsidRPr="00A87EDC">
        <w:rPr>
          <w:rFonts w:cs="MSReferenceSansSerif"/>
          <w:spacing w:val="-4"/>
          <w:sz w:val="20"/>
          <w:szCs w:val="20"/>
          <w:lang w:val="es-ES"/>
        </w:rPr>
        <w:t>En consecuencia, independientemente de la existencia de medidas provisionales específicas, el Estado se encuentra especialmente obligado a garantizar los derechos de las personas en situación de riesgo</w:t>
      </w:r>
      <w:r w:rsidR="00007A1B" w:rsidRPr="00A87EDC">
        <w:rPr>
          <w:rFonts w:cs="MSReferenceSansSerif"/>
          <w:spacing w:val="-4"/>
          <w:sz w:val="20"/>
          <w:szCs w:val="20"/>
          <w:lang w:val="es-ES"/>
        </w:rPr>
        <w:t xml:space="preserve">, </w:t>
      </w:r>
      <w:r w:rsidR="00007A1B" w:rsidRPr="00A87EDC">
        <w:rPr>
          <w:rFonts w:cs="MSReferenceSansSerif"/>
          <w:spacing w:val="-4"/>
          <w:sz w:val="20"/>
          <w:szCs w:val="20"/>
          <w:lang w:val="es-ES_tradnl"/>
        </w:rPr>
        <w:t>a través de los mecanismos internos existentes para ello</w:t>
      </w:r>
      <w:r w:rsidR="00007A1B" w:rsidRPr="00A87EDC">
        <w:rPr>
          <w:rFonts w:cs="MSReferenceSansSerif"/>
          <w:spacing w:val="-4"/>
          <w:sz w:val="20"/>
          <w:szCs w:val="20"/>
          <w:vertAlign w:val="superscript"/>
          <w:lang w:val="es-CR"/>
        </w:rPr>
        <w:footnoteReference w:id="32"/>
      </w:r>
      <w:r w:rsidR="00007A1B" w:rsidRPr="00A87EDC">
        <w:rPr>
          <w:rFonts w:cs="MSReferenceSansSerif"/>
          <w:spacing w:val="-4"/>
          <w:sz w:val="20"/>
          <w:szCs w:val="20"/>
          <w:lang w:val="es-ES_tradnl"/>
        </w:rPr>
        <w:t xml:space="preserve">, </w:t>
      </w:r>
      <w:r w:rsidR="00DF1F44" w:rsidRPr="00A87EDC">
        <w:rPr>
          <w:rFonts w:cs="MSReferenceSansSerif"/>
          <w:spacing w:val="-4"/>
          <w:sz w:val="20"/>
          <w:szCs w:val="20"/>
          <w:lang w:val="es-ES"/>
        </w:rPr>
        <w:t>y debe impulsar las investigaciones necesarias para esclarecer los hechos, seguidas de las consecuencias que la legislación pertinente establezca.</w:t>
      </w:r>
      <w:bookmarkEnd w:id="13"/>
      <w:r w:rsidR="00DF1F44" w:rsidRPr="00A87EDC">
        <w:rPr>
          <w:rFonts w:cs="MSReferenceSansSerif"/>
          <w:spacing w:val="-4"/>
          <w:sz w:val="20"/>
          <w:szCs w:val="20"/>
          <w:lang w:val="es-ES"/>
        </w:rPr>
        <w:t xml:space="preserve"> </w:t>
      </w:r>
    </w:p>
    <w:p w:rsidR="00EF2BB6" w:rsidRPr="00E66140" w:rsidRDefault="00EF2BB6" w:rsidP="00584445">
      <w:pPr>
        <w:spacing w:before="120" w:after="120" w:line="240" w:lineRule="auto"/>
        <w:rPr>
          <w:b/>
          <w:spacing w:val="-4"/>
          <w:lang w:val="es-ES"/>
        </w:rPr>
      </w:pPr>
    </w:p>
    <w:p w:rsidR="0084409A" w:rsidRPr="00E66140" w:rsidRDefault="0084409A" w:rsidP="00584445">
      <w:pPr>
        <w:spacing w:before="120" w:after="120" w:line="240" w:lineRule="auto"/>
        <w:rPr>
          <w:b/>
          <w:spacing w:val="-4"/>
          <w:lang w:val="es-ES"/>
        </w:rPr>
      </w:pPr>
      <w:r w:rsidRPr="00E66140">
        <w:rPr>
          <w:b/>
          <w:spacing w:val="-4"/>
          <w:lang w:val="es-ES"/>
        </w:rPr>
        <w:t>POR TANTO:</w:t>
      </w:r>
    </w:p>
    <w:p w:rsidR="0084409A" w:rsidRPr="00E66140" w:rsidRDefault="0084409A" w:rsidP="00584445">
      <w:pPr>
        <w:spacing w:before="120" w:after="120" w:line="240" w:lineRule="auto"/>
        <w:rPr>
          <w:b/>
          <w:spacing w:val="-4"/>
          <w:lang w:val="es-ES"/>
        </w:rPr>
      </w:pPr>
    </w:p>
    <w:p w:rsidR="0084409A" w:rsidRPr="00E66140" w:rsidRDefault="0084409A" w:rsidP="00584445">
      <w:pPr>
        <w:spacing w:before="120" w:after="120" w:line="240" w:lineRule="auto"/>
        <w:rPr>
          <w:b/>
          <w:spacing w:val="-4"/>
          <w:lang w:val="es-ES"/>
        </w:rPr>
      </w:pPr>
      <w:r w:rsidRPr="00E66140">
        <w:rPr>
          <w:b/>
          <w:spacing w:val="-4"/>
          <w:lang w:val="es-ES"/>
        </w:rPr>
        <w:t>LA CORTE INTERAMERICANA DE DERECHOS HUMANOS,</w:t>
      </w:r>
    </w:p>
    <w:p w:rsidR="0084409A" w:rsidRPr="00E66140" w:rsidRDefault="0084409A" w:rsidP="00584445">
      <w:pPr>
        <w:spacing w:before="120" w:after="120" w:line="240" w:lineRule="auto"/>
        <w:rPr>
          <w:spacing w:val="-4"/>
          <w:lang w:val="es-ES"/>
        </w:rPr>
      </w:pPr>
    </w:p>
    <w:p w:rsidR="0084409A" w:rsidRPr="00E66140" w:rsidRDefault="0084409A" w:rsidP="00584445">
      <w:pPr>
        <w:spacing w:before="120" w:after="120" w:line="240" w:lineRule="auto"/>
        <w:rPr>
          <w:spacing w:val="-4"/>
          <w:lang w:val="es-ES"/>
        </w:rPr>
      </w:pPr>
      <w:r w:rsidRPr="00E66140">
        <w:rPr>
          <w:spacing w:val="-4"/>
          <w:lang w:val="es-ES"/>
        </w:rPr>
        <w:t>en uso de sus atribuciones conferidas por el artículo 63.2 de la Convención Americana sobre Derechos Humanos y los artículos 27 y 31 del Reglamento de la Corte,</w:t>
      </w:r>
    </w:p>
    <w:p w:rsidR="0084409A" w:rsidRPr="00E66140" w:rsidRDefault="0084409A" w:rsidP="00584445">
      <w:pPr>
        <w:spacing w:before="120" w:after="120" w:line="240" w:lineRule="auto"/>
        <w:rPr>
          <w:spacing w:val="-4"/>
          <w:lang w:val="es-ES"/>
        </w:rPr>
      </w:pPr>
    </w:p>
    <w:p w:rsidR="0084409A" w:rsidRPr="00E66140" w:rsidRDefault="0084409A" w:rsidP="00584445">
      <w:pPr>
        <w:spacing w:before="120" w:after="120" w:line="240" w:lineRule="auto"/>
        <w:rPr>
          <w:b/>
          <w:spacing w:val="-4"/>
        </w:rPr>
      </w:pPr>
      <w:r w:rsidRPr="00E66140">
        <w:rPr>
          <w:b/>
          <w:spacing w:val="-4"/>
        </w:rPr>
        <w:t xml:space="preserve">RESUELVE: </w:t>
      </w:r>
    </w:p>
    <w:p w:rsidR="0085513F" w:rsidRPr="00E66140" w:rsidRDefault="0085513F" w:rsidP="00584445">
      <w:pPr>
        <w:tabs>
          <w:tab w:val="left" w:pos="567"/>
        </w:tabs>
        <w:spacing w:before="120" w:after="120" w:line="240" w:lineRule="auto"/>
        <w:rPr>
          <w:spacing w:val="-4"/>
        </w:rPr>
      </w:pPr>
    </w:p>
    <w:p w:rsidR="00271719" w:rsidRPr="00E66140" w:rsidRDefault="0045579D" w:rsidP="00584445">
      <w:pPr>
        <w:pStyle w:val="ListParagraph"/>
        <w:numPr>
          <w:ilvl w:val="1"/>
          <w:numId w:val="4"/>
        </w:numPr>
        <w:tabs>
          <w:tab w:val="left" w:pos="567"/>
        </w:tabs>
        <w:spacing w:before="120" w:after="120" w:line="240" w:lineRule="auto"/>
        <w:ind w:left="0" w:firstLine="0"/>
        <w:rPr>
          <w:spacing w:val="-4"/>
        </w:rPr>
      </w:pPr>
      <w:r w:rsidRPr="00E66140">
        <w:rPr>
          <w:spacing w:val="-4"/>
        </w:rPr>
        <w:t xml:space="preserve">Levantar y dar por concluidas las medidas provisionales ordenadas por el Tribunal </w:t>
      </w:r>
      <w:r w:rsidR="00F15AD1" w:rsidRPr="00E66140">
        <w:rPr>
          <w:spacing w:val="-4"/>
        </w:rPr>
        <w:t xml:space="preserve">desde </w:t>
      </w:r>
      <w:r w:rsidRPr="00E66140">
        <w:rPr>
          <w:spacing w:val="-4"/>
        </w:rPr>
        <w:t>su Resolución de 2 de febrero de 2010 a favor de Valentina Rosendo Cantú y de Yenis Bernardino Rosendo.</w:t>
      </w:r>
    </w:p>
    <w:p w:rsidR="00271719" w:rsidRPr="00E66140" w:rsidRDefault="00271719" w:rsidP="00584445">
      <w:pPr>
        <w:tabs>
          <w:tab w:val="left" w:pos="567"/>
        </w:tabs>
        <w:spacing w:before="120" w:after="120" w:line="240" w:lineRule="auto"/>
        <w:rPr>
          <w:spacing w:val="-4"/>
        </w:rPr>
      </w:pPr>
    </w:p>
    <w:p w:rsidR="0085513F" w:rsidRPr="00E66140" w:rsidRDefault="0085513F" w:rsidP="00584445">
      <w:pPr>
        <w:pStyle w:val="ListParagraph"/>
        <w:numPr>
          <w:ilvl w:val="1"/>
          <w:numId w:val="4"/>
        </w:numPr>
        <w:tabs>
          <w:tab w:val="left" w:pos="567"/>
        </w:tabs>
        <w:spacing w:before="120" w:after="120" w:line="240" w:lineRule="auto"/>
        <w:ind w:left="0" w:firstLine="0"/>
        <w:rPr>
          <w:spacing w:val="-4"/>
        </w:rPr>
      </w:pPr>
      <w:r w:rsidRPr="00E66140">
        <w:rPr>
          <w:spacing w:val="-4"/>
        </w:rPr>
        <w:t xml:space="preserve">En los términos del artículo 1.1 de la Convención Americana, el levantamiento de las medidas provisionales en este caso no implica que el Estado quede relevado de sus obligaciones convencionales de protección, de conformidad con el Considerando </w:t>
      </w:r>
      <w:r w:rsidR="00DE256F">
        <w:rPr>
          <w:b/>
          <w:spacing w:val="-4"/>
        </w:rPr>
        <w:fldChar w:fldCharType="begin"/>
      </w:r>
      <w:r w:rsidR="00DE256F">
        <w:rPr>
          <w:spacing w:val="-4"/>
        </w:rPr>
        <w:instrText xml:space="preserve"> REF _Ref442880134 \r \h </w:instrText>
      </w:r>
      <w:r w:rsidR="00DE256F">
        <w:rPr>
          <w:b/>
          <w:spacing w:val="-4"/>
        </w:rPr>
      </w:r>
      <w:r w:rsidR="00DE256F">
        <w:rPr>
          <w:b/>
          <w:spacing w:val="-4"/>
        </w:rPr>
        <w:fldChar w:fldCharType="separate"/>
      </w:r>
      <w:r w:rsidR="00C16EE7">
        <w:rPr>
          <w:spacing w:val="-4"/>
        </w:rPr>
        <w:t>26</w:t>
      </w:r>
      <w:r w:rsidR="00DE256F">
        <w:rPr>
          <w:b/>
          <w:spacing w:val="-4"/>
        </w:rPr>
        <w:fldChar w:fldCharType="end"/>
      </w:r>
      <w:r w:rsidRPr="00E66140">
        <w:rPr>
          <w:spacing w:val="-4"/>
        </w:rPr>
        <w:t xml:space="preserve"> de la presente Resolución.</w:t>
      </w:r>
    </w:p>
    <w:p w:rsidR="00271719" w:rsidRPr="00E66140" w:rsidRDefault="00271719" w:rsidP="00584445">
      <w:pPr>
        <w:tabs>
          <w:tab w:val="left" w:pos="567"/>
        </w:tabs>
        <w:spacing w:before="120" w:after="120" w:line="240" w:lineRule="auto"/>
        <w:rPr>
          <w:spacing w:val="-4"/>
        </w:rPr>
      </w:pPr>
    </w:p>
    <w:p w:rsidR="0045579D" w:rsidRPr="00E66140" w:rsidRDefault="0045579D" w:rsidP="00584445">
      <w:pPr>
        <w:pStyle w:val="ListParagraph"/>
        <w:numPr>
          <w:ilvl w:val="1"/>
          <w:numId w:val="4"/>
        </w:numPr>
        <w:tabs>
          <w:tab w:val="left" w:pos="567"/>
        </w:tabs>
        <w:spacing w:before="120" w:after="120" w:line="240" w:lineRule="auto"/>
        <w:ind w:left="0" w:firstLine="0"/>
        <w:rPr>
          <w:spacing w:val="-4"/>
        </w:rPr>
      </w:pPr>
      <w:r w:rsidRPr="00E66140">
        <w:rPr>
          <w:spacing w:val="-4"/>
        </w:rPr>
        <w:t>Solicitar a la Secretaría de la Corte que notifique la presente Resolución al Estado</w:t>
      </w:r>
      <w:r w:rsidR="004B7047">
        <w:rPr>
          <w:spacing w:val="-4"/>
        </w:rPr>
        <w:t xml:space="preserve"> de México</w:t>
      </w:r>
      <w:r w:rsidRPr="00E66140">
        <w:rPr>
          <w:spacing w:val="-4"/>
        </w:rPr>
        <w:t xml:space="preserve">, a la Comisión Interamericana de Derechos Humanos y a </w:t>
      </w:r>
      <w:r w:rsidR="004B7047">
        <w:rPr>
          <w:spacing w:val="-4"/>
        </w:rPr>
        <w:t xml:space="preserve">los </w:t>
      </w:r>
      <w:r w:rsidR="004B7047" w:rsidRPr="00E66140">
        <w:rPr>
          <w:spacing w:val="-4"/>
        </w:rPr>
        <w:t xml:space="preserve">representantes </w:t>
      </w:r>
      <w:r w:rsidR="004B7047">
        <w:rPr>
          <w:spacing w:val="-4"/>
        </w:rPr>
        <w:t xml:space="preserve">de </w:t>
      </w:r>
      <w:r w:rsidRPr="00E66140">
        <w:rPr>
          <w:spacing w:val="-4"/>
        </w:rPr>
        <w:t xml:space="preserve">las beneficiarias. </w:t>
      </w:r>
    </w:p>
    <w:p w:rsidR="00271719" w:rsidRPr="00E66140" w:rsidRDefault="00271719" w:rsidP="00584445">
      <w:pPr>
        <w:tabs>
          <w:tab w:val="left" w:pos="567"/>
        </w:tabs>
        <w:spacing w:before="120" w:after="120" w:line="240" w:lineRule="auto"/>
        <w:rPr>
          <w:spacing w:val="-4"/>
        </w:rPr>
      </w:pPr>
    </w:p>
    <w:p w:rsidR="00C16EE7" w:rsidRDefault="0045579D" w:rsidP="00584445">
      <w:pPr>
        <w:pStyle w:val="ListParagraph"/>
        <w:numPr>
          <w:ilvl w:val="1"/>
          <w:numId w:val="4"/>
        </w:numPr>
        <w:tabs>
          <w:tab w:val="left" w:pos="567"/>
        </w:tabs>
        <w:spacing w:before="120" w:after="120" w:line="240" w:lineRule="auto"/>
        <w:ind w:left="0" w:firstLine="0"/>
        <w:rPr>
          <w:spacing w:val="-4"/>
        </w:rPr>
      </w:pPr>
      <w:r w:rsidRPr="00E66140">
        <w:rPr>
          <w:spacing w:val="-4"/>
        </w:rPr>
        <w:t>Archivar este expediente</w:t>
      </w:r>
      <w:r w:rsidR="004F296B">
        <w:rPr>
          <w:spacing w:val="-4"/>
        </w:rPr>
        <w:t>.</w:t>
      </w:r>
    </w:p>
    <w:p w:rsidR="00C16EE7" w:rsidRPr="008C6E98" w:rsidRDefault="00C16EE7" w:rsidP="00C16EE7">
      <w:pPr>
        <w:keepNext/>
        <w:outlineLvl w:val="0"/>
        <w:rPr>
          <w:lang w:val="es-CR"/>
        </w:rPr>
      </w:pPr>
      <w:r>
        <w:rPr>
          <w:spacing w:val="-4"/>
        </w:rPr>
        <w:br w:type="page"/>
      </w:r>
      <w:r>
        <w:rPr>
          <w:lang w:val="es-ES"/>
        </w:rPr>
        <w:lastRenderedPageBreak/>
        <w:t>Resolución</w:t>
      </w:r>
      <w:r w:rsidRPr="008C6E98">
        <w:rPr>
          <w:lang w:val="es-ES"/>
        </w:rPr>
        <w:t xml:space="preserve"> de la Corte Interamericana de Derechos Humanos. </w:t>
      </w:r>
      <w:r>
        <w:rPr>
          <w:lang w:val="es-CR"/>
        </w:rPr>
        <w:t xml:space="preserve">Caso Rosendo Cantú y otra. </w:t>
      </w:r>
      <w:r>
        <w:rPr>
          <w:snapToGrid w:val="0"/>
          <w:lang w:val="es-CR"/>
        </w:rPr>
        <w:t>Medidas Provisionales respecto de México.</w:t>
      </w:r>
    </w:p>
    <w:p w:rsidR="00C16EE7" w:rsidRDefault="00C16EE7" w:rsidP="00C16EE7">
      <w:pPr>
        <w:jc w:val="center"/>
        <w:rPr>
          <w:lang w:val="es-ES"/>
        </w:rPr>
      </w:pPr>
    </w:p>
    <w:p w:rsidR="00C16EE7" w:rsidRDefault="00C16EE7" w:rsidP="00C16EE7">
      <w:pPr>
        <w:jc w:val="center"/>
        <w:rPr>
          <w:lang w:val="es-ES"/>
        </w:rPr>
      </w:pPr>
    </w:p>
    <w:p w:rsidR="00C16EE7" w:rsidRDefault="00C16EE7" w:rsidP="00C16EE7">
      <w:pPr>
        <w:jc w:val="center"/>
        <w:rPr>
          <w:lang w:val="es-ES"/>
        </w:rPr>
      </w:pPr>
    </w:p>
    <w:p w:rsidR="00C16EE7" w:rsidRDefault="00C16EE7" w:rsidP="00C16EE7">
      <w:pPr>
        <w:jc w:val="center"/>
        <w:rPr>
          <w:lang w:val="es-ES"/>
        </w:rPr>
      </w:pPr>
    </w:p>
    <w:p w:rsidR="00C16EE7" w:rsidRDefault="00C16EE7" w:rsidP="00C16EE7">
      <w:pPr>
        <w:jc w:val="center"/>
        <w:rPr>
          <w:lang w:val="es-ES"/>
        </w:rPr>
      </w:pPr>
    </w:p>
    <w:p w:rsidR="00C16EE7" w:rsidRPr="004B7A1D" w:rsidRDefault="00C16EE7" w:rsidP="00C16EE7">
      <w:pPr>
        <w:jc w:val="center"/>
        <w:rPr>
          <w:lang w:val="es-ES"/>
        </w:rPr>
      </w:pPr>
      <w:r>
        <w:rPr>
          <w:lang w:val="es-ES"/>
        </w:rPr>
        <w:t>Roberto F. Caldas</w:t>
      </w:r>
    </w:p>
    <w:p w:rsidR="00C16EE7" w:rsidRPr="004B7A1D" w:rsidRDefault="00C16EE7" w:rsidP="00C16EE7">
      <w:pPr>
        <w:jc w:val="center"/>
        <w:rPr>
          <w:lang w:val="es-ES"/>
        </w:rPr>
      </w:pPr>
      <w:r w:rsidRPr="004B7A1D">
        <w:rPr>
          <w:lang w:val="es-ES"/>
        </w:rPr>
        <w:t xml:space="preserve">Presidente </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r>
        <w:rPr>
          <w:lang w:val="es-ES"/>
        </w:rPr>
        <w:t>Eduardo Vio Grossi</w:t>
      </w:r>
      <w:r w:rsidRPr="004B7A1D">
        <w:rPr>
          <w:lang w:val="es-ES"/>
        </w:rPr>
        <w:tab/>
      </w:r>
      <w:r w:rsidRPr="004B7A1D">
        <w:rPr>
          <w:lang w:val="es-ES"/>
        </w:rPr>
        <w:tab/>
      </w:r>
      <w:r w:rsidRPr="004B7A1D">
        <w:rPr>
          <w:lang w:val="es-ES"/>
        </w:rPr>
        <w:tab/>
      </w:r>
      <w:r w:rsidRPr="004B7A1D">
        <w:rPr>
          <w:lang w:val="es-ES"/>
        </w:rPr>
        <w:tab/>
      </w:r>
      <w:r w:rsidRPr="004B7A1D">
        <w:rPr>
          <w:lang w:val="es-ES"/>
        </w:rPr>
        <w:tab/>
      </w:r>
      <w:r>
        <w:rPr>
          <w:lang w:val="es-ES"/>
        </w:rPr>
        <w:t xml:space="preserve">     Humberto Antonio Sierra Porto  </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r>
        <w:rPr>
          <w:lang w:val="es-ES"/>
        </w:rPr>
        <w:t>Elizabeth Odio Benito</w:t>
      </w:r>
      <w:r w:rsidRPr="004B7A1D">
        <w:rPr>
          <w:lang w:val="es-ES"/>
        </w:rPr>
        <w:t xml:space="preserve"> </w:t>
      </w:r>
      <w:r>
        <w:rPr>
          <w:lang w:val="es-ES"/>
        </w:rPr>
        <w:t xml:space="preserve">     </w:t>
      </w:r>
      <w:r>
        <w:rPr>
          <w:lang w:val="es-ES"/>
        </w:rPr>
        <w:tab/>
      </w:r>
      <w:r>
        <w:rPr>
          <w:lang w:val="es-ES"/>
        </w:rPr>
        <w:tab/>
      </w:r>
      <w:r>
        <w:rPr>
          <w:lang w:val="es-ES"/>
        </w:rPr>
        <w:tab/>
      </w:r>
      <w:r>
        <w:rPr>
          <w:lang w:val="es-ES"/>
        </w:rPr>
        <w:tab/>
      </w:r>
      <w:r>
        <w:rPr>
          <w:lang w:val="es-ES"/>
        </w:rPr>
        <w:tab/>
      </w:r>
      <w:r>
        <w:rPr>
          <w:lang w:val="es-ES"/>
        </w:rPr>
        <w:tab/>
        <w:t xml:space="preserve">  Eugenio Raúl Zaffaroni</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jc w:val="center"/>
        <w:rPr>
          <w:lang w:val="es-ES"/>
        </w:rPr>
      </w:pPr>
      <w:r>
        <w:rPr>
          <w:lang w:val="es-ES"/>
        </w:rPr>
        <w:t>L. Patricio Pazmiño Freire</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CR"/>
        </w:rPr>
      </w:pPr>
    </w:p>
    <w:p w:rsidR="00C16EE7" w:rsidRPr="004B7A1D" w:rsidRDefault="00C16EE7" w:rsidP="00C16EE7">
      <w:pPr>
        <w:rPr>
          <w:lang w:val="es-ES"/>
        </w:rPr>
      </w:pPr>
    </w:p>
    <w:p w:rsidR="00C16EE7" w:rsidRPr="004B7A1D" w:rsidRDefault="00C16EE7" w:rsidP="00C16EE7">
      <w:pPr>
        <w:jc w:val="center"/>
        <w:rPr>
          <w:lang w:val="es-ES"/>
        </w:rPr>
      </w:pPr>
      <w:r w:rsidRPr="004B7A1D">
        <w:rPr>
          <w:lang w:val="es-ES"/>
        </w:rPr>
        <w:t>Pablo Saavedra Alessandri</w:t>
      </w:r>
    </w:p>
    <w:p w:rsidR="00C16EE7" w:rsidRPr="004B7A1D" w:rsidRDefault="00C16EE7" w:rsidP="00C16EE7">
      <w:pPr>
        <w:jc w:val="center"/>
        <w:rPr>
          <w:lang w:val="es-ES"/>
        </w:rPr>
      </w:pPr>
      <w:r w:rsidRPr="004B7A1D">
        <w:rPr>
          <w:lang w:val="es-ES"/>
        </w:rPr>
        <w:t>Secretario</w:t>
      </w:r>
    </w:p>
    <w:p w:rsidR="00C16EE7" w:rsidRPr="004B7A1D" w:rsidRDefault="00C16EE7" w:rsidP="00C16EE7">
      <w:pPr>
        <w:rPr>
          <w:lang w:val="es-ES"/>
        </w:rPr>
      </w:pPr>
    </w:p>
    <w:p w:rsidR="00C16EE7" w:rsidRPr="004B7A1D" w:rsidRDefault="00C16EE7" w:rsidP="00C16EE7">
      <w:pPr>
        <w:pStyle w:val="FootnoteText"/>
        <w:rPr>
          <w:lang w:val="es-ES"/>
        </w:rPr>
      </w:pPr>
    </w:p>
    <w:p w:rsidR="00C16EE7" w:rsidRPr="004B7A1D" w:rsidRDefault="00C16EE7" w:rsidP="00C16EE7">
      <w:pPr>
        <w:pStyle w:val="FootnoteText"/>
        <w:rPr>
          <w:lang w:val="es-ES"/>
        </w:rPr>
      </w:pPr>
    </w:p>
    <w:p w:rsidR="00C16EE7" w:rsidRPr="004B7A1D" w:rsidRDefault="00C16EE7" w:rsidP="00C16EE7">
      <w:pPr>
        <w:pStyle w:val="FootnoteText"/>
        <w:rPr>
          <w:lang w:val="es-ES"/>
        </w:rPr>
      </w:pPr>
    </w:p>
    <w:p w:rsidR="00C16EE7" w:rsidRPr="004B7A1D" w:rsidRDefault="00C16EE7" w:rsidP="00C16EE7">
      <w:pPr>
        <w:pStyle w:val="FootnoteText"/>
        <w:rPr>
          <w:lang w:val="es-ES"/>
        </w:rPr>
      </w:pPr>
    </w:p>
    <w:p w:rsidR="00C16EE7" w:rsidRPr="004B7A1D" w:rsidRDefault="00C16EE7" w:rsidP="00C16EE7">
      <w:pPr>
        <w:rPr>
          <w:lang w:val="es-ES"/>
        </w:rPr>
      </w:pPr>
      <w:r w:rsidRPr="004B7A1D">
        <w:rPr>
          <w:lang w:val="es-ES"/>
        </w:rPr>
        <w:t>Comuníquese y ejecútese,</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CR"/>
        </w:rPr>
      </w:pPr>
    </w:p>
    <w:p w:rsidR="00C16EE7" w:rsidRPr="004B7A1D" w:rsidRDefault="00C16EE7" w:rsidP="00C16EE7">
      <w:pPr>
        <w:ind w:left="5664"/>
        <w:jc w:val="center"/>
        <w:rPr>
          <w:lang w:val="es-ES"/>
        </w:rPr>
      </w:pPr>
      <w:r>
        <w:rPr>
          <w:lang w:val="es-ES"/>
        </w:rPr>
        <w:t>Roberto F. Caldas</w:t>
      </w:r>
    </w:p>
    <w:p w:rsidR="00C16EE7" w:rsidRPr="004B7A1D" w:rsidRDefault="00C16EE7" w:rsidP="00C16EE7">
      <w:pPr>
        <w:ind w:left="5664"/>
        <w:jc w:val="center"/>
        <w:rPr>
          <w:lang w:val="es-ES"/>
        </w:rPr>
      </w:pPr>
      <w:r w:rsidRPr="004B7A1D">
        <w:rPr>
          <w:lang w:val="es-ES"/>
        </w:rPr>
        <w:t>Presidente</w:t>
      </w: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p>
    <w:p w:rsidR="00C16EE7" w:rsidRPr="004B7A1D" w:rsidRDefault="00C16EE7" w:rsidP="00C16EE7">
      <w:pPr>
        <w:rPr>
          <w:lang w:val="es-ES"/>
        </w:rPr>
      </w:pPr>
      <w:r w:rsidRPr="004B7A1D">
        <w:rPr>
          <w:lang w:val="es-ES"/>
        </w:rPr>
        <w:t>Pablo Saavedra Alessandri</w:t>
      </w:r>
    </w:p>
    <w:p w:rsidR="00C73E41" w:rsidRPr="00C16EE7" w:rsidRDefault="00C16EE7" w:rsidP="00C16EE7">
      <w:pPr>
        <w:rPr>
          <w:lang w:val="es-CR"/>
        </w:rPr>
      </w:pPr>
      <w:r w:rsidRPr="004B7A1D">
        <w:rPr>
          <w:lang w:val="es-ES"/>
        </w:rPr>
        <w:tab/>
      </w:r>
      <w:r w:rsidRPr="004B7A1D">
        <w:rPr>
          <w:lang w:val="es-CR"/>
        </w:rPr>
        <w:t>Secretario</w:t>
      </w:r>
    </w:p>
    <w:sectPr w:rsidR="00C73E41" w:rsidRPr="00C16EE7" w:rsidSect="00C14648">
      <w:headerReference w:type="default" r:id="rId9"/>
      <w:footnotePr>
        <w:numRestart w:val="eachSect"/>
      </w:footnotePr>
      <w:pgSz w:w="12240" w:h="15840" w:code="1"/>
      <w:pgMar w:top="1418" w:right="1304"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E6" w:rsidRDefault="00F469E6" w:rsidP="00D37959">
      <w:r>
        <w:separator/>
      </w:r>
    </w:p>
  </w:endnote>
  <w:endnote w:type="continuationSeparator" w:id="0">
    <w:p w:rsidR="00F469E6" w:rsidRDefault="00F469E6" w:rsidP="00D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ReferenceSansSerif">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E6" w:rsidRDefault="00F469E6" w:rsidP="00D37959">
      <w:r>
        <w:separator/>
      </w:r>
    </w:p>
  </w:footnote>
  <w:footnote w:type="continuationSeparator" w:id="0">
    <w:p w:rsidR="00F469E6" w:rsidRDefault="00F469E6" w:rsidP="00D37959">
      <w:r>
        <w:continuationSeparator/>
      </w:r>
    </w:p>
  </w:footnote>
  <w:footnote w:id="1">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sym w:font="Symbol" w:char="F02A"/>
      </w:r>
      <w:r w:rsidRPr="00E66140">
        <w:rPr>
          <w:spacing w:val="-4"/>
          <w:sz w:val="16"/>
          <w:szCs w:val="16"/>
        </w:rPr>
        <w:t xml:space="preserve"> </w:t>
      </w:r>
      <w:r w:rsidRPr="00E66140">
        <w:rPr>
          <w:spacing w:val="-4"/>
          <w:sz w:val="16"/>
          <w:szCs w:val="16"/>
        </w:rPr>
        <w:tab/>
        <w:t>El Juez Eduardo Ferrer Mac-Gregor Poisot, de nacionalidad mexicana, no participó en el conocimiento y deliberación de la presente resolución, de conformidad con lo dispuesto en el artículo 19.1 del Reglamento de la Corte.</w:t>
      </w:r>
    </w:p>
  </w:footnote>
  <w:footnote w:id="2">
    <w:p w:rsidR="00F469E6" w:rsidRPr="00E66140" w:rsidRDefault="00F469E6" w:rsidP="00D44FB8">
      <w:pPr>
        <w:pStyle w:val="FootnoteText"/>
        <w:tabs>
          <w:tab w:val="left" w:pos="567"/>
        </w:tabs>
        <w:spacing w:after="60" w:line="240" w:lineRule="auto"/>
        <w:rPr>
          <w:spacing w:val="-4"/>
          <w:sz w:val="16"/>
          <w:szCs w:val="16"/>
          <w:lang w:val="es-CR"/>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t xml:space="preserve">Por medio de una nota de la Secretaría de la Corte de 20 de enero de 2016 se solicitó al Estado, siguiendo instrucciones del Presidente de la Corte, </w:t>
      </w:r>
      <w:r w:rsidRPr="00E66140">
        <w:rPr>
          <w:spacing w:val="-4"/>
          <w:sz w:val="16"/>
          <w:szCs w:val="16"/>
          <w:lang w:val="es-CR"/>
        </w:rPr>
        <w:t xml:space="preserve">que presentara las observaciones u información que estimara pertinente sobre un presunto nuevo hecho de riesgo, ocurrido en mayo de 2015 e informado por los representantes en enero de 2016, en contra de la beneficiaria Rosendo Cantú. En su respuesta a dicha solicitud el Estado, además de las observaciones solicitadas sobre el presunto hecho de riesgo, presentó observaciones al resto del escrito de los representantes, respondiendo a los alegatos de los representantes para el mantenimiento de las medidas. En </w:t>
      </w:r>
      <w:r w:rsidR="00931BCF">
        <w:rPr>
          <w:spacing w:val="-4"/>
          <w:sz w:val="16"/>
          <w:szCs w:val="16"/>
          <w:lang w:val="es-CR"/>
        </w:rPr>
        <w:t xml:space="preserve">la medida en </w:t>
      </w:r>
      <w:r w:rsidRPr="00E66140">
        <w:rPr>
          <w:spacing w:val="-4"/>
          <w:sz w:val="16"/>
          <w:szCs w:val="16"/>
          <w:lang w:val="es-CR"/>
        </w:rPr>
        <w:t xml:space="preserve">que dichas observaciones no fueron solicitadas y </w:t>
      </w:r>
      <w:r w:rsidR="00931BCF">
        <w:rPr>
          <w:spacing w:val="-4"/>
          <w:sz w:val="16"/>
          <w:szCs w:val="16"/>
          <w:lang w:val="es-CR"/>
        </w:rPr>
        <w:t xml:space="preserve">de conformidad con el </w:t>
      </w:r>
      <w:r w:rsidRPr="00E66140">
        <w:rPr>
          <w:spacing w:val="-4"/>
          <w:sz w:val="16"/>
          <w:szCs w:val="16"/>
          <w:lang w:val="es-CR"/>
        </w:rPr>
        <w:t xml:space="preserve">principio de equidad procesal, dichas observaciones adicionales son inadmisibles y no serán consideradas por este Tribunal en esta Resolución. </w:t>
      </w:r>
    </w:p>
  </w:footnote>
  <w:footnote w:id="3">
    <w:p w:rsidR="00F469E6" w:rsidRPr="00E66140" w:rsidRDefault="00F469E6" w:rsidP="00D44FB8">
      <w:pPr>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Pr="007C22EE">
        <w:rPr>
          <w:i/>
          <w:spacing w:val="-4"/>
          <w:sz w:val="16"/>
          <w:szCs w:val="16"/>
          <w:lang w:val="es-CR"/>
        </w:rPr>
        <w:t>Cfr. Caso del Periódico “La Nación”. Medidas Provisionales respecto de Costa Rica.</w:t>
      </w:r>
      <w:r w:rsidRPr="00E66140">
        <w:rPr>
          <w:spacing w:val="-4"/>
          <w:sz w:val="16"/>
          <w:szCs w:val="16"/>
          <w:lang w:val="es-CR"/>
        </w:rPr>
        <w:t xml:space="preserve"> Resolución de la Corte de 7 de septiembre de 2001, Considerando 4, y </w:t>
      </w:r>
      <w:r w:rsidRPr="007C22EE">
        <w:rPr>
          <w:i/>
          <w:spacing w:val="-4"/>
          <w:sz w:val="16"/>
          <w:szCs w:val="16"/>
          <w:lang w:val="es-CR"/>
        </w:rPr>
        <w:t>Asunto Castro Rodríguez. Medidas Provisionales respecto de México</w:t>
      </w:r>
      <w:r w:rsidRPr="00E66140">
        <w:rPr>
          <w:spacing w:val="-4"/>
          <w:sz w:val="16"/>
          <w:szCs w:val="16"/>
          <w:lang w:val="es-CR"/>
        </w:rPr>
        <w:t xml:space="preserve">. Resolución de la Corte de 13 de febrero de 2013, Considerando 5. </w:t>
      </w:r>
    </w:p>
  </w:footnote>
  <w:footnote w:id="4">
    <w:p w:rsidR="00F469E6" w:rsidRPr="00E66140" w:rsidRDefault="00F469E6" w:rsidP="00D44FB8">
      <w:pPr>
        <w:pStyle w:val="FootnoteText"/>
        <w:tabs>
          <w:tab w:val="left" w:pos="567"/>
        </w:tabs>
        <w:spacing w:after="60" w:line="240" w:lineRule="auto"/>
        <w:rPr>
          <w:spacing w:val="-4"/>
          <w:sz w:val="16"/>
          <w:szCs w:val="16"/>
          <w:lang w:val="es-CR"/>
        </w:rPr>
      </w:pPr>
      <w:r w:rsidRPr="00E66140">
        <w:rPr>
          <w:rStyle w:val="FootnoteReference"/>
          <w:spacing w:val="-4"/>
          <w:szCs w:val="16"/>
        </w:rPr>
        <w:footnoteRef/>
      </w:r>
      <w:r w:rsidRPr="00E66140">
        <w:rPr>
          <w:spacing w:val="-4"/>
          <w:sz w:val="16"/>
          <w:szCs w:val="16"/>
          <w:lang w:val="es-CR"/>
        </w:rPr>
        <w:t xml:space="preserve"> </w:t>
      </w:r>
      <w:r w:rsidRPr="00E66140">
        <w:rPr>
          <w:spacing w:val="-4"/>
          <w:sz w:val="16"/>
          <w:szCs w:val="16"/>
          <w:lang w:val="es-CR"/>
        </w:rPr>
        <w:tab/>
      </w:r>
      <w:r w:rsidRPr="00D3040E">
        <w:rPr>
          <w:i/>
          <w:spacing w:val="-4"/>
          <w:sz w:val="16"/>
          <w:szCs w:val="16"/>
          <w:lang w:val="es-CR"/>
        </w:rPr>
        <w:t xml:space="preserve">Cfr. Caso Integrantes del Equipo de Estudios Comunitarios y Acción Psicosocial (ECAP). Medidas Provisionales respecto de Guatemala. </w:t>
      </w:r>
      <w:r w:rsidRPr="00E66140">
        <w:rPr>
          <w:spacing w:val="-4"/>
          <w:sz w:val="16"/>
          <w:szCs w:val="16"/>
          <w:lang w:val="es-CR"/>
        </w:rPr>
        <w:t xml:space="preserve">Resolución de la Corte de 8 de julio de 2009, Considerando 5, y </w:t>
      </w:r>
      <w:r w:rsidRPr="00D3040E">
        <w:rPr>
          <w:bCs/>
          <w:i/>
          <w:spacing w:val="-4"/>
          <w:sz w:val="16"/>
          <w:szCs w:val="16"/>
        </w:rPr>
        <w:t xml:space="preserve">Asunto Juan Almonte Herrera y otros. Medidas provisionales respecto de República Dominicana. </w:t>
      </w:r>
      <w:r w:rsidRPr="00E66140">
        <w:rPr>
          <w:bCs/>
          <w:spacing w:val="-4"/>
          <w:sz w:val="16"/>
          <w:szCs w:val="16"/>
        </w:rPr>
        <w:t xml:space="preserve">Resolución de la Corte de 13 de </w:t>
      </w:r>
      <w:r w:rsidR="00D3040E">
        <w:rPr>
          <w:bCs/>
          <w:spacing w:val="-4"/>
          <w:sz w:val="16"/>
          <w:szCs w:val="16"/>
        </w:rPr>
        <w:t>noviembre de 2015, Considerando 7.</w:t>
      </w:r>
    </w:p>
  </w:footnote>
  <w:footnote w:id="5">
    <w:p w:rsidR="00F469E6" w:rsidRPr="00E66140" w:rsidRDefault="00F469E6" w:rsidP="00D44FB8">
      <w:pPr>
        <w:pStyle w:val="FootnoteText"/>
        <w:tabs>
          <w:tab w:val="left" w:pos="567"/>
        </w:tabs>
        <w:spacing w:after="60" w:line="240" w:lineRule="auto"/>
        <w:rPr>
          <w:spacing w:val="-4"/>
          <w:sz w:val="16"/>
          <w:szCs w:val="16"/>
          <w:lang w:val="es-CR"/>
        </w:rPr>
      </w:pPr>
      <w:r w:rsidRPr="00E66140">
        <w:rPr>
          <w:rStyle w:val="FootnoteReference"/>
          <w:spacing w:val="-4"/>
          <w:szCs w:val="16"/>
        </w:rPr>
        <w:footnoteRef/>
      </w:r>
      <w:r w:rsidRPr="00E66140">
        <w:rPr>
          <w:spacing w:val="-4"/>
          <w:sz w:val="16"/>
          <w:szCs w:val="16"/>
          <w:lang w:val="es-CR"/>
        </w:rPr>
        <w:t xml:space="preserve"> </w:t>
      </w:r>
      <w:r w:rsidRPr="00E66140">
        <w:rPr>
          <w:spacing w:val="-4"/>
          <w:sz w:val="16"/>
          <w:szCs w:val="16"/>
          <w:lang w:val="es-CR"/>
        </w:rPr>
        <w:tab/>
      </w:r>
      <w:r w:rsidRPr="00D3040E">
        <w:rPr>
          <w:i/>
          <w:spacing w:val="-4"/>
          <w:sz w:val="16"/>
          <w:szCs w:val="16"/>
          <w:lang w:val="es-CR"/>
        </w:rPr>
        <w:t>Cfr. Asunto Millacura Llaipén y otros. Medidas Provisionales respecto de Argentina</w:t>
      </w:r>
      <w:r w:rsidRPr="00E66140">
        <w:rPr>
          <w:spacing w:val="-4"/>
          <w:sz w:val="16"/>
          <w:szCs w:val="16"/>
          <w:lang w:val="es-CR"/>
        </w:rPr>
        <w:t xml:space="preserve">. Resolución de la Corte de 6 de febrero de 2008, punto resolutivo cuarto, y </w:t>
      </w:r>
      <w:r w:rsidRPr="00D3040E">
        <w:rPr>
          <w:bCs/>
          <w:i/>
          <w:spacing w:val="-4"/>
          <w:sz w:val="16"/>
          <w:szCs w:val="16"/>
        </w:rPr>
        <w:t>Asunto Juan Almonte Herrera y otros. Medidas Provisionales respecto de República Dominicana</w:t>
      </w:r>
      <w:r w:rsidRPr="00E66140">
        <w:rPr>
          <w:bCs/>
          <w:spacing w:val="-4"/>
          <w:sz w:val="16"/>
          <w:szCs w:val="16"/>
        </w:rPr>
        <w:t xml:space="preserve">. Resolución de la Corte de 13 de noviembre de 2015, Considerando </w:t>
      </w:r>
      <w:r w:rsidR="00D3040E">
        <w:rPr>
          <w:bCs/>
          <w:spacing w:val="-4"/>
          <w:sz w:val="16"/>
          <w:szCs w:val="16"/>
        </w:rPr>
        <w:t>7.</w:t>
      </w:r>
    </w:p>
  </w:footnote>
  <w:footnote w:id="6">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Pr="00D3040E">
        <w:rPr>
          <w:i/>
          <w:spacing w:val="-4"/>
          <w:sz w:val="16"/>
          <w:szCs w:val="16"/>
        </w:rPr>
        <w:t>Cfr. Asunto James y otros. Medidas Provisionales respecto de Trinidad y Tobago.</w:t>
      </w:r>
      <w:r w:rsidRPr="00E66140">
        <w:rPr>
          <w:spacing w:val="-4"/>
          <w:sz w:val="16"/>
          <w:szCs w:val="16"/>
        </w:rPr>
        <w:t xml:space="preserve"> Resolución de la Corte de 29 de agosto de 1998, Considerando 6, y </w:t>
      </w:r>
      <w:r w:rsidRPr="00D3040E">
        <w:rPr>
          <w:i/>
          <w:spacing w:val="-4"/>
          <w:sz w:val="16"/>
          <w:szCs w:val="16"/>
        </w:rPr>
        <w:t>Asunto Meléndez Quijano y otros. Medidas provisionales respecto de El Salvador</w:t>
      </w:r>
      <w:r w:rsidRPr="00E66140">
        <w:rPr>
          <w:spacing w:val="-4"/>
          <w:sz w:val="16"/>
          <w:szCs w:val="16"/>
        </w:rPr>
        <w:t xml:space="preserve">. Resolución de la Corte de 17 de abril de 2015, Considerando 2.                                                                               </w:t>
      </w:r>
    </w:p>
  </w:footnote>
  <w:footnote w:id="7">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00D44FB8">
        <w:rPr>
          <w:spacing w:val="-4"/>
          <w:sz w:val="16"/>
          <w:szCs w:val="16"/>
        </w:rPr>
        <w:t xml:space="preserve"> </w:t>
      </w:r>
      <w:r w:rsidR="00D44FB8">
        <w:rPr>
          <w:spacing w:val="-4"/>
          <w:sz w:val="16"/>
          <w:szCs w:val="16"/>
        </w:rPr>
        <w:tab/>
      </w:r>
      <w:r w:rsidRPr="00D3040E">
        <w:rPr>
          <w:i/>
          <w:spacing w:val="-4"/>
          <w:sz w:val="16"/>
          <w:szCs w:val="16"/>
          <w:lang w:val="es-MX"/>
        </w:rPr>
        <w:t>Cfr.  Asunto James y otros. Medidas Provisionales respecto de Trinidad y Tobago</w:t>
      </w:r>
      <w:r w:rsidRPr="00E66140">
        <w:rPr>
          <w:spacing w:val="-4"/>
          <w:sz w:val="16"/>
          <w:szCs w:val="16"/>
          <w:lang w:val="es-MX"/>
        </w:rPr>
        <w:t xml:space="preserve">. Resolución de la Corte de 29 de agosto de 1998, Considerando 6, y </w:t>
      </w:r>
      <w:r w:rsidRPr="00D3040E">
        <w:rPr>
          <w:i/>
          <w:spacing w:val="-4"/>
          <w:sz w:val="16"/>
          <w:szCs w:val="16"/>
        </w:rPr>
        <w:t>Caso García Prieto y otros. Medidas provisionales respecto de El Salvador.</w:t>
      </w:r>
      <w:r w:rsidRPr="00E66140">
        <w:rPr>
          <w:spacing w:val="-4"/>
          <w:sz w:val="16"/>
          <w:szCs w:val="16"/>
        </w:rPr>
        <w:t xml:space="preserve"> Resolución de la Corte de 26 de enero de 2015, Considerando </w:t>
      </w:r>
      <w:r w:rsidR="00D3040E">
        <w:rPr>
          <w:spacing w:val="-4"/>
          <w:sz w:val="16"/>
          <w:szCs w:val="16"/>
        </w:rPr>
        <w:t>4</w:t>
      </w:r>
      <w:r w:rsidRPr="00E66140">
        <w:rPr>
          <w:spacing w:val="-4"/>
          <w:sz w:val="16"/>
          <w:szCs w:val="16"/>
        </w:rPr>
        <w:t>.</w:t>
      </w:r>
    </w:p>
  </w:footnote>
  <w:footnote w:id="8">
    <w:p w:rsidR="00E650C3" w:rsidRPr="00E66140" w:rsidRDefault="00E650C3" w:rsidP="00D44FB8">
      <w:pPr>
        <w:pStyle w:val="FootnoteText"/>
        <w:tabs>
          <w:tab w:val="left" w:pos="567"/>
        </w:tabs>
        <w:spacing w:after="60" w:line="240" w:lineRule="auto"/>
        <w:rPr>
          <w:b/>
          <w:spacing w:val="-4"/>
          <w:sz w:val="16"/>
          <w:szCs w:val="16"/>
        </w:rPr>
      </w:pPr>
      <w:r w:rsidRPr="00E66140">
        <w:rPr>
          <w:rStyle w:val="FootnoteReference"/>
          <w:spacing w:val="-4"/>
          <w:szCs w:val="16"/>
        </w:rPr>
        <w:footnoteRef/>
      </w:r>
      <w:r w:rsidR="00D44FB8">
        <w:rPr>
          <w:spacing w:val="-4"/>
          <w:sz w:val="16"/>
          <w:szCs w:val="16"/>
        </w:rPr>
        <w:t xml:space="preserve"> </w:t>
      </w:r>
      <w:r w:rsidR="00D44FB8">
        <w:rPr>
          <w:spacing w:val="-4"/>
          <w:sz w:val="16"/>
          <w:szCs w:val="16"/>
        </w:rPr>
        <w:tab/>
      </w:r>
      <w:r w:rsidRPr="005C7483">
        <w:rPr>
          <w:i/>
          <w:spacing w:val="-4"/>
          <w:sz w:val="16"/>
          <w:szCs w:val="16"/>
        </w:rPr>
        <w:t>Cfr. Caso Rosendo Cantú y otra. Medidas Provisionales respecto México</w:t>
      </w:r>
      <w:r w:rsidRPr="00E66140">
        <w:rPr>
          <w:spacing w:val="-4"/>
          <w:sz w:val="16"/>
          <w:szCs w:val="16"/>
        </w:rPr>
        <w:t xml:space="preserve">. Resolución de la Corte de 2 de febrero de 2010, Considerandos 8 y 12, y </w:t>
      </w:r>
      <w:r w:rsidRPr="00E66140">
        <w:rPr>
          <w:rStyle w:val="Strong"/>
          <w:b w:val="0"/>
          <w:i/>
          <w:spacing w:val="-4"/>
          <w:sz w:val="16"/>
          <w:szCs w:val="16"/>
          <w:shd w:val="clear" w:color="auto" w:fill="FFFFFF"/>
        </w:rPr>
        <w:t>Caso Rosendo Cantú y otra. Medidas Provisionales respecto de México</w:t>
      </w:r>
      <w:r w:rsidRPr="00E66140">
        <w:rPr>
          <w:rStyle w:val="Strong"/>
          <w:b w:val="0"/>
          <w:spacing w:val="-4"/>
          <w:sz w:val="16"/>
          <w:szCs w:val="16"/>
          <w:shd w:val="clear" w:color="auto" w:fill="FFFFFF"/>
        </w:rPr>
        <w:t>. Resolución de la Corte de 1 de julio  de 2011, Considerando 12.</w:t>
      </w:r>
    </w:p>
  </w:footnote>
  <w:footnote w:id="9">
    <w:p w:rsidR="00F469E6" w:rsidRPr="00E66140" w:rsidRDefault="00F469E6" w:rsidP="00D44FB8">
      <w:pPr>
        <w:pStyle w:val="FootnoteText"/>
        <w:tabs>
          <w:tab w:val="left" w:pos="567"/>
        </w:tabs>
        <w:spacing w:after="60" w:line="240" w:lineRule="auto"/>
        <w:rPr>
          <w:b/>
          <w:spacing w:val="-4"/>
          <w:sz w:val="16"/>
          <w:szCs w:val="16"/>
        </w:rPr>
      </w:pPr>
      <w:r w:rsidRPr="00E66140">
        <w:rPr>
          <w:rStyle w:val="FootnoteReference"/>
          <w:spacing w:val="-4"/>
          <w:szCs w:val="16"/>
        </w:rPr>
        <w:footnoteRef/>
      </w:r>
      <w:r w:rsidR="00D44FB8">
        <w:rPr>
          <w:spacing w:val="-4"/>
          <w:sz w:val="16"/>
          <w:szCs w:val="16"/>
        </w:rPr>
        <w:t xml:space="preserve"> </w:t>
      </w:r>
      <w:r w:rsidR="00D44FB8">
        <w:rPr>
          <w:spacing w:val="-4"/>
          <w:sz w:val="16"/>
          <w:szCs w:val="16"/>
        </w:rPr>
        <w:tab/>
      </w:r>
      <w:r w:rsidRPr="005C7483">
        <w:rPr>
          <w:i/>
          <w:spacing w:val="-4"/>
          <w:sz w:val="16"/>
          <w:szCs w:val="16"/>
        </w:rPr>
        <w:t xml:space="preserve">Cfr. </w:t>
      </w:r>
      <w:r w:rsidRPr="00E66140">
        <w:rPr>
          <w:rStyle w:val="Strong"/>
          <w:b w:val="0"/>
          <w:i/>
          <w:spacing w:val="-4"/>
          <w:sz w:val="16"/>
          <w:szCs w:val="16"/>
          <w:shd w:val="clear" w:color="auto" w:fill="FFFFFF"/>
        </w:rPr>
        <w:t>Caso Rosendo Cantú y otra. Medidas Provisionales respecto de México</w:t>
      </w:r>
      <w:r w:rsidRPr="00E66140">
        <w:rPr>
          <w:rStyle w:val="Strong"/>
          <w:b w:val="0"/>
          <w:spacing w:val="-4"/>
          <w:sz w:val="16"/>
          <w:szCs w:val="16"/>
          <w:shd w:val="clear" w:color="auto" w:fill="FFFFFF"/>
        </w:rPr>
        <w:t>. Resolución de la Corte de 23 de junio de 2015, Considerandos 30 y 35.</w:t>
      </w:r>
    </w:p>
  </w:footnote>
  <w:footnote w:id="10">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t xml:space="preserve">Cfr. </w:t>
      </w:r>
      <w:r w:rsidRPr="00E66140">
        <w:rPr>
          <w:rStyle w:val="Strong"/>
          <w:b w:val="0"/>
          <w:i/>
          <w:spacing w:val="-4"/>
          <w:sz w:val="16"/>
          <w:szCs w:val="16"/>
          <w:shd w:val="clear" w:color="auto" w:fill="FFFFFF"/>
        </w:rPr>
        <w:t>Caso Rosendo Cantú y otra. Medidas Provisionales respecto de México</w:t>
      </w:r>
      <w:r w:rsidRPr="00E66140">
        <w:rPr>
          <w:rStyle w:val="Strong"/>
          <w:b w:val="0"/>
          <w:spacing w:val="-4"/>
          <w:sz w:val="16"/>
          <w:szCs w:val="16"/>
          <w:shd w:val="clear" w:color="auto" w:fill="FFFFFF"/>
        </w:rPr>
        <w:t>. Resolución de la Corte de 23 de junio de 2015, Considerando 36.</w:t>
      </w:r>
    </w:p>
  </w:footnote>
  <w:footnote w:id="11">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00C73E41" w:rsidRPr="00E66140">
        <w:rPr>
          <w:spacing w:val="-4"/>
          <w:sz w:val="16"/>
          <w:szCs w:val="16"/>
        </w:rPr>
        <w:t xml:space="preserve"> </w:t>
      </w:r>
      <w:r w:rsidR="00C73E41" w:rsidRPr="00E66140">
        <w:rPr>
          <w:spacing w:val="-4"/>
          <w:sz w:val="16"/>
          <w:szCs w:val="16"/>
        </w:rPr>
        <w:tab/>
      </w:r>
      <w:r w:rsidRPr="00E66140">
        <w:rPr>
          <w:i/>
          <w:spacing w:val="-4"/>
          <w:sz w:val="16"/>
          <w:szCs w:val="16"/>
        </w:rPr>
        <w:t>Cfr. Asunto Adrián Meléndez Quijano y otros. Medidas provisionales respecto de El Salvador.</w:t>
      </w:r>
      <w:r w:rsidRPr="00E66140">
        <w:rPr>
          <w:spacing w:val="-4"/>
          <w:sz w:val="16"/>
          <w:szCs w:val="16"/>
        </w:rPr>
        <w:t xml:space="preserve"> Resolución de la Corte de 21 de agosto de 2013, Considerando 22, y </w:t>
      </w:r>
      <w:r w:rsidRPr="00E66140">
        <w:rPr>
          <w:i/>
          <w:spacing w:val="-4"/>
          <w:sz w:val="16"/>
          <w:szCs w:val="16"/>
        </w:rPr>
        <w:t>Asunto Giraldo Cardona y otros. Medidas provisionales respecto de Colombia.</w:t>
      </w:r>
      <w:r w:rsidRPr="00E66140">
        <w:rPr>
          <w:spacing w:val="-4"/>
          <w:sz w:val="16"/>
          <w:szCs w:val="16"/>
        </w:rPr>
        <w:t xml:space="preserve"> Resolución de la Corte de 28 de enero de 2015, Considerando 32.</w:t>
      </w:r>
    </w:p>
  </w:footnote>
  <w:footnote w:id="12">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00C73E41" w:rsidRPr="00E66140">
        <w:rPr>
          <w:spacing w:val="-4"/>
          <w:sz w:val="16"/>
          <w:szCs w:val="16"/>
        </w:rPr>
        <w:t xml:space="preserve"> </w:t>
      </w:r>
      <w:r w:rsidR="00C73E41" w:rsidRPr="00E66140">
        <w:rPr>
          <w:spacing w:val="-4"/>
          <w:sz w:val="16"/>
          <w:szCs w:val="16"/>
        </w:rPr>
        <w:tab/>
      </w:r>
      <w:r w:rsidRPr="00E66140">
        <w:rPr>
          <w:i/>
          <w:spacing w:val="-4"/>
          <w:sz w:val="16"/>
          <w:szCs w:val="16"/>
        </w:rPr>
        <w:t>Cfr. Asunto James y otros. Medidas Provisionales respecto de Trinidad y Tobago.</w:t>
      </w:r>
      <w:r w:rsidRPr="00E66140">
        <w:rPr>
          <w:spacing w:val="-4"/>
          <w:sz w:val="16"/>
          <w:szCs w:val="16"/>
        </w:rPr>
        <w:t xml:space="preserve"> Resolución de la Corte de 29 de agosto de 1998, Considerando 6, y </w:t>
      </w:r>
      <w:r w:rsidRPr="00E66140">
        <w:rPr>
          <w:i/>
          <w:spacing w:val="-4"/>
          <w:sz w:val="16"/>
          <w:szCs w:val="16"/>
        </w:rPr>
        <w:t>Asunto Giraldo Cardona y otros. Medidas provisionales respecto de Colombia.</w:t>
      </w:r>
      <w:r w:rsidRPr="00E66140">
        <w:rPr>
          <w:spacing w:val="-4"/>
          <w:sz w:val="16"/>
          <w:szCs w:val="16"/>
        </w:rPr>
        <w:t xml:space="preserve"> Resolución de la Corte de 28 de enero de 2015, Considerando 33.</w:t>
      </w:r>
    </w:p>
  </w:footnote>
  <w:footnote w:id="13">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00C73E41" w:rsidRPr="00E66140">
        <w:rPr>
          <w:spacing w:val="-4"/>
          <w:sz w:val="16"/>
          <w:szCs w:val="16"/>
        </w:rPr>
        <w:t xml:space="preserve"> </w:t>
      </w:r>
      <w:r w:rsidR="00C73E41" w:rsidRPr="00E66140">
        <w:rPr>
          <w:spacing w:val="-4"/>
          <w:sz w:val="16"/>
          <w:szCs w:val="16"/>
        </w:rPr>
        <w:tab/>
      </w:r>
      <w:r w:rsidRPr="00E66140">
        <w:rPr>
          <w:i/>
          <w:spacing w:val="-4"/>
          <w:sz w:val="16"/>
          <w:szCs w:val="16"/>
        </w:rPr>
        <w:t>Caso Raxcacó Reyes y otros. Medidas Provisionales respecto de Guatemala.</w:t>
      </w:r>
      <w:r w:rsidRPr="00E66140">
        <w:rPr>
          <w:spacing w:val="-4"/>
          <w:sz w:val="16"/>
          <w:szCs w:val="16"/>
        </w:rPr>
        <w:t xml:space="preserve"> Resolución de la Corte de 30 de agosto de 2004, Considerando 10, y </w:t>
      </w:r>
      <w:r w:rsidRPr="00E66140">
        <w:rPr>
          <w:i/>
          <w:spacing w:val="-4"/>
          <w:sz w:val="16"/>
          <w:szCs w:val="16"/>
        </w:rPr>
        <w:t>Asunto Giraldo Cardona y otros. Medidas provisionales respecto de Colombia.</w:t>
      </w:r>
      <w:r w:rsidRPr="00E66140">
        <w:rPr>
          <w:spacing w:val="-4"/>
          <w:sz w:val="16"/>
          <w:szCs w:val="16"/>
        </w:rPr>
        <w:t xml:space="preserve"> Resolución de la Corte de 28 de enero de 2015, Considerando 33.</w:t>
      </w:r>
    </w:p>
  </w:footnote>
  <w:footnote w:id="14">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00C73E41" w:rsidRPr="00E66140">
        <w:rPr>
          <w:spacing w:val="-4"/>
          <w:sz w:val="16"/>
          <w:szCs w:val="16"/>
        </w:rPr>
        <w:t xml:space="preserve"> </w:t>
      </w:r>
      <w:r w:rsidR="00C73E41" w:rsidRPr="00E66140">
        <w:rPr>
          <w:spacing w:val="-4"/>
          <w:sz w:val="16"/>
          <w:szCs w:val="16"/>
        </w:rPr>
        <w:tab/>
      </w:r>
      <w:r w:rsidR="004E6786">
        <w:rPr>
          <w:i/>
          <w:spacing w:val="-4"/>
          <w:sz w:val="16"/>
          <w:szCs w:val="16"/>
        </w:rPr>
        <w:t xml:space="preserve">Cfr. </w:t>
      </w:r>
      <w:r w:rsidRPr="00E66140">
        <w:rPr>
          <w:i/>
          <w:spacing w:val="-4"/>
          <w:sz w:val="16"/>
          <w:szCs w:val="16"/>
        </w:rPr>
        <w:t>Asunto del Pueblo Indígena Kankuamo. Medidas Provisionales respecto de Colombia.</w:t>
      </w:r>
      <w:r w:rsidRPr="00E66140">
        <w:rPr>
          <w:spacing w:val="-4"/>
          <w:sz w:val="16"/>
          <w:szCs w:val="16"/>
        </w:rPr>
        <w:t xml:space="preserve"> Resolución de la Corte de 3 de abril de 2009, Considerando 7, y </w:t>
      </w:r>
      <w:r w:rsidRPr="00E66140">
        <w:rPr>
          <w:i/>
          <w:spacing w:val="-4"/>
          <w:sz w:val="16"/>
          <w:szCs w:val="16"/>
        </w:rPr>
        <w:t>Asunto Giraldo Cardona y otros. Medidas provisionales respecto de Colombia.</w:t>
      </w:r>
      <w:r w:rsidRPr="00E66140">
        <w:rPr>
          <w:spacing w:val="-4"/>
          <w:sz w:val="16"/>
          <w:szCs w:val="16"/>
        </w:rPr>
        <w:t xml:space="preserve"> Resolución de la Corte de 28 de enero de 2015, Considerando 33.</w:t>
      </w:r>
    </w:p>
  </w:footnote>
  <w:footnote w:id="15">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Pr="00E66140">
        <w:rPr>
          <w:i/>
          <w:spacing w:val="-4"/>
          <w:sz w:val="16"/>
          <w:szCs w:val="16"/>
        </w:rPr>
        <w:t>Cfr. Asunto Gallardo Rodríguez. Medidas Provisionales respecto de México.</w:t>
      </w:r>
      <w:r w:rsidRPr="00E66140">
        <w:rPr>
          <w:spacing w:val="-4"/>
          <w:sz w:val="16"/>
          <w:szCs w:val="16"/>
        </w:rPr>
        <w:t xml:space="preserve"> Resolución de la Corte de 11 de julio de 2007, Considerando 11, y </w:t>
      </w:r>
      <w:r w:rsidRPr="00E66140">
        <w:rPr>
          <w:i/>
          <w:spacing w:val="-4"/>
          <w:sz w:val="16"/>
          <w:szCs w:val="16"/>
        </w:rPr>
        <w:t>Asunto Adrián Meléndez Quijano y otros. Medidas provisionales respecto de El Salvador.</w:t>
      </w:r>
      <w:r w:rsidRPr="00E66140">
        <w:rPr>
          <w:spacing w:val="-4"/>
          <w:sz w:val="16"/>
          <w:szCs w:val="16"/>
        </w:rPr>
        <w:t xml:space="preserve"> Resolución de la Corte de 17 de abril de 2015, Considerando 19.</w:t>
      </w:r>
    </w:p>
  </w:footnote>
  <w:footnote w:id="16">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00C73E41" w:rsidRPr="00E66140">
        <w:rPr>
          <w:spacing w:val="-4"/>
          <w:sz w:val="16"/>
          <w:szCs w:val="16"/>
        </w:rPr>
        <w:t xml:space="preserve"> </w:t>
      </w:r>
      <w:r w:rsidR="00C73E41" w:rsidRPr="00E66140">
        <w:rPr>
          <w:spacing w:val="-4"/>
          <w:sz w:val="16"/>
          <w:szCs w:val="16"/>
        </w:rPr>
        <w:tab/>
      </w:r>
      <w:r w:rsidRPr="00E66140">
        <w:rPr>
          <w:i/>
          <w:spacing w:val="-4"/>
          <w:sz w:val="16"/>
          <w:szCs w:val="16"/>
        </w:rPr>
        <w:t>Cfr. Asunto Luis Uzcátegui. Medidas Provisionales respecto de Venezuela.</w:t>
      </w:r>
      <w:r w:rsidRPr="00E66140">
        <w:rPr>
          <w:spacing w:val="-4"/>
          <w:sz w:val="16"/>
          <w:szCs w:val="16"/>
        </w:rPr>
        <w:t xml:space="preserve"> Resolución de la Corte de 20 de febrero de 2003, Considerando 13, y </w:t>
      </w:r>
      <w:r w:rsidRPr="00E66140">
        <w:rPr>
          <w:i/>
          <w:spacing w:val="-4"/>
          <w:sz w:val="16"/>
          <w:szCs w:val="16"/>
        </w:rPr>
        <w:t>Asunto Giraldo Cardona y otros. Medidas provisionales respecto de Colombia.</w:t>
      </w:r>
      <w:r w:rsidRPr="00E66140">
        <w:rPr>
          <w:spacing w:val="-4"/>
          <w:sz w:val="16"/>
          <w:szCs w:val="16"/>
        </w:rPr>
        <w:t xml:space="preserve"> Resolución de la Corte de 28 de enero de 2015, Considerando 37.</w:t>
      </w:r>
    </w:p>
  </w:footnote>
  <w:footnote w:id="17">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Pr="00E66140">
        <w:rPr>
          <w:i/>
          <w:spacing w:val="-4"/>
          <w:sz w:val="16"/>
          <w:szCs w:val="16"/>
        </w:rPr>
        <w:t>Cfr.</w:t>
      </w:r>
      <w:r w:rsidRPr="00E66140">
        <w:rPr>
          <w:spacing w:val="-4"/>
          <w:sz w:val="16"/>
          <w:szCs w:val="16"/>
        </w:rPr>
        <w:t xml:space="preserve"> </w:t>
      </w:r>
      <w:r w:rsidRPr="00E66140">
        <w:rPr>
          <w:i/>
          <w:spacing w:val="-4"/>
          <w:sz w:val="16"/>
          <w:szCs w:val="16"/>
          <w:lang w:val="es-CR"/>
        </w:rPr>
        <w:t xml:space="preserve">Asunto </w:t>
      </w:r>
      <w:smartTag w:uri="urn:schemas-microsoft-com:office:smarttags" w:element="PersonName">
        <w:smartTagPr>
          <w:attr w:name="ProductID" w:val="Liliana Ortega"/>
        </w:smartTagPr>
        <w:r w:rsidRPr="00E66140">
          <w:rPr>
            <w:i/>
            <w:spacing w:val="-4"/>
            <w:sz w:val="16"/>
            <w:szCs w:val="16"/>
            <w:lang w:val="es-CR"/>
          </w:rPr>
          <w:t>Liliana Ortega</w:t>
        </w:r>
      </w:smartTag>
      <w:r w:rsidRPr="00E66140">
        <w:rPr>
          <w:i/>
          <w:spacing w:val="-4"/>
          <w:sz w:val="16"/>
          <w:szCs w:val="16"/>
          <w:lang w:val="es-CR"/>
        </w:rPr>
        <w:t xml:space="preserve"> y otras.</w:t>
      </w:r>
      <w:r w:rsidRPr="00E66140">
        <w:rPr>
          <w:spacing w:val="-4"/>
          <w:sz w:val="16"/>
          <w:szCs w:val="16"/>
          <w:lang w:val="es-CR"/>
        </w:rPr>
        <w:t xml:space="preserve"> Medidas Provisionales respecto de Venezuela. Resolución de la Corte de 9 de julio de 2</w:t>
      </w:r>
      <w:r w:rsidR="00E36199">
        <w:rPr>
          <w:spacing w:val="-4"/>
          <w:sz w:val="16"/>
          <w:szCs w:val="16"/>
          <w:lang w:val="es-CR"/>
        </w:rPr>
        <w:t>009, Considerando</w:t>
      </w:r>
      <w:r w:rsidRPr="00E66140">
        <w:rPr>
          <w:spacing w:val="-4"/>
          <w:sz w:val="16"/>
          <w:szCs w:val="16"/>
          <w:lang w:val="es-CR"/>
        </w:rPr>
        <w:t xml:space="preserve"> 22 </w:t>
      </w:r>
      <w:r w:rsidR="00E36199">
        <w:rPr>
          <w:spacing w:val="-4"/>
          <w:sz w:val="16"/>
          <w:szCs w:val="16"/>
          <w:lang w:val="es-CR"/>
        </w:rPr>
        <w:t xml:space="preserve">, y </w:t>
      </w:r>
      <w:r w:rsidRPr="00E66140">
        <w:rPr>
          <w:spacing w:val="-4"/>
          <w:sz w:val="16"/>
          <w:szCs w:val="16"/>
          <w:lang w:val="es-CR"/>
        </w:rPr>
        <w:t xml:space="preserve"> </w:t>
      </w:r>
      <w:r w:rsidRPr="00E66140">
        <w:rPr>
          <w:i/>
          <w:spacing w:val="-4"/>
          <w:sz w:val="16"/>
          <w:szCs w:val="16"/>
        </w:rPr>
        <w:t>Asunto Alvarado Reyes y otros. Medidas provisionales respecto de México.</w:t>
      </w:r>
      <w:r w:rsidRPr="00E66140">
        <w:rPr>
          <w:spacing w:val="-4"/>
          <w:sz w:val="16"/>
          <w:szCs w:val="16"/>
        </w:rPr>
        <w:t xml:space="preserve"> Resolución de la Corte de 15 de mayo de 2011, Considerando 20. </w:t>
      </w:r>
    </w:p>
  </w:footnote>
  <w:footnote w:id="18">
    <w:p w:rsidR="00C062DD" w:rsidRPr="00C062DD" w:rsidRDefault="00C062DD" w:rsidP="00D44FB8">
      <w:pPr>
        <w:tabs>
          <w:tab w:val="left" w:pos="567"/>
        </w:tabs>
        <w:spacing w:after="60" w:line="240" w:lineRule="auto"/>
        <w:rPr>
          <w:bCs/>
          <w:spacing w:val="-4"/>
          <w:sz w:val="16"/>
          <w:szCs w:val="16"/>
          <w:lang w:val="es-CR"/>
        </w:rPr>
      </w:pPr>
      <w:r>
        <w:rPr>
          <w:rStyle w:val="FootnoteReference"/>
        </w:rPr>
        <w:footnoteRef/>
      </w:r>
      <w:r>
        <w:t xml:space="preserve"> </w:t>
      </w:r>
      <w:r>
        <w:tab/>
      </w:r>
      <w:r w:rsidR="00E36199" w:rsidRPr="00E36199">
        <w:rPr>
          <w:i/>
          <w:sz w:val="16"/>
          <w:szCs w:val="16"/>
        </w:rPr>
        <w:t xml:space="preserve">Cfr. </w:t>
      </w:r>
      <w:r w:rsidRPr="00E66140">
        <w:rPr>
          <w:bCs/>
          <w:i/>
          <w:spacing w:val="-4"/>
          <w:sz w:val="16"/>
          <w:szCs w:val="16"/>
          <w:lang w:val="es-CR"/>
        </w:rPr>
        <w:t>Asunto Liliana Ortega y otras.</w:t>
      </w:r>
      <w:r w:rsidRPr="00E66140">
        <w:rPr>
          <w:bCs/>
          <w:spacing w:val="-4"/>
          <w:sz w:val="16"/>
          <w:szCs w:val="16"/>
          <w:lang w:val="es-CR"/>
        </w:rPr>
        <w:t xml:space="preserve"> Medidas Provisionales respecto de Venezuela. Resolución de la Corte de 9 de julio de 2009, Considerando 2</w:t>
      </w:r>
      <w:r>
        <w:rPr>
          <w:bCs/>
          <w:spacing w:val="-4"/>
          <w:sz w:val="16"/>
          <w:szCs w:val="16"/>
          <w:lang w:val="es-CR"/>
        </w:rPr>
        <w:t xml:space="preserve">3, </w:t>
      </w:r>
      <w:r w:rsidR="00E36199" w:rsidRPr="00AE132C">
        <w:rPr>
          <w:bCs/>
          <w:spacing w:val="-4"/>
          <w:sz w:val="16"/>
          <w:szCs w:val="16"/>
          <w:lang w:val="es-CR"/>
        </w:rPr>
        <w:t xml:space="preserve">y </w:t>
      </w:r>
      <w:r w:rsidR="00E36199" w:rsidRPr="00AE132C">
        <w:rPr>
          <w:bCs/>
          <w:i/>
          <w:spacing w:val="-4"/>
          <w:sz w:val="16"/>
          <w:szCs w:val="16"/>
          <w:lang w:val="es-CR"/>
        </w:rPr>
        <w:t>Asunto Alvarado Reyes y otros</w:t>
      </w:r>
      <w:r w:rsidR="00E36199" w:rsidRPr="008D78BC">
        <w:rPr>
          <w:bCs/>
          <w:i/>
          <w:spacing w:val="-4"/>
          <w:sz w:val="16"/>
          <w:szCs w:val="16"/>
          <w:lang w:val="es-CR"/>
        </w:rPr>
        <w:t xml:space="preserve">. Medidas provisionales respecto de México. </w:t>
      </w:r>
      <w:r w:rsidR="00E36199" w:rsidRPr="00E36199">
        <w:rPr>
          <w:bCs/>
          <w:spacing w:val="-4"/>
          <w:sz w:val="16"/>
          <w:szCs w:val="16"/>
          <w:lang w:val="es-CR"/>
        </w:rPr>
        <w:t>Resolución de la Corte de 15 de mayo de 2011, Considerando 20.</w:t>
      </w:r>
    </w:p>
  </w:footnote>
  <w:footnote w:id="19">
    <w:p w:rsidR="00F469E6" w:rsidRPr="00E66140" w:rsidRDefault="00F469E6" w:rsidP="00D44FB8">
      <w:pPr>
        <w:tabs>
          <w:tab w:val="left" w:pos="567"/>
        </w:tabs>
        <w:spacing w:after="60" w:line="240" w:lineRule="auto"/>
        <w:rPr>
          <w:bCs/>
          <w:spacing w:val="-4"/>
          <w:sz w:val="16"/>
          <w:szCs w:val="16"/>
          <w:lang w:val="es-CR"/>
        </w:rPr>
      </w:pPr>
      <w:r w:rsidRPr="00E66140">
        <w:rPr>
          <w:rStyle w:val="FootnoteReference"/>
          <w:rFonts w:eastAsia="Times"/>
          <w:spacing w:val="-4"/>
          <w:szCs w:val="16"/>
        </w:rPr>
        <w:footnoteRef/>
      </w:r>
      <w:r w:rsidRPr="00E66140">
        <w:rPr>
          <w:spacing w:val="-4"/>
          <w:sz w:val="16"/>
          <w:szCs w:val="16"/>
          <w:lang w:val="es-CR"/>
        </w:rPr>
        <w:t xml:space="preserve"> </w:t>
      </w:r>
      <w:r w:rsidRPr="00E66140">
        <w:rPr>
          <w:spacing w:val="-4"/>
          <w:sz w:val="16"/>
          <w:szCs w:val="16"/>
          <w:lang w:val="es-CR"/>
        </w:rPr>
        <w:tab/>
      </w:r>
      <w:r w:rsidRPr="00E66140">
        <w:rPr>
          <w:i/>
          <w:spacing w:val="-4"/>
          <w:sz w:val="16"/>
          <w:szCs w:val="16"/>
          <w:lang w:val="es-CR"/>
        </w:rPr>
        <w:t>Cfr. Asunto Carlos Nieto y otros</w:t>
      </w:r>
      <w:r w:rsidRPr="00E66140">
        <w:rPr>
          <w:spacing w:val="-4"/>
          <w:sz w:val="16"/>
          <w:szCs w:val="16"/>
          <w:lang w:val="es-CR"/>
        </w:rPr>
        <w:t>. Medidas Provisionales respecto de Venezuela. Resolución de la Corte de 26 de</w:t>
      </w:r>
      <w:r w:rsidR="0043521E">
        <w:rPr>
          <w:spacing w:val="-4"/>
          <w:sz w:val="16"/>
          <w:szCs w:val="16"/>
          <w:lang w:val="es-CR"/>
        </w:rPr>
        <w:t xml:space="preserve"> enero de 2009, Considerando 19</w:t>
      </w:r>
      <w:r w:rsidRPr="00E66140">
        <w:rPr>
          <w:bCs/>
          <w:spacing w:val="-4"/>
          <w:sz w:val="16"/>
          <w:szCs w:val="16"/>
          <w:lang w:val="es-CR"/>
        </w:rPr>
        <w:t xml:space="preserve">, y </w:t>
      </w:r>
      <w:r w:rsidR="0043521E" w:rsidRPr="00AE132C">
        <w:rPr>
          <w:bCs/>
          <w:i/>
          <w:spacing w:val="-4"/>
          <w:sz w:val="16"/>
          <w:szCs w:val="16"/>
          <w:lang w:val="es-CR"/>
        </w:rPr>
        <w:t>Asunto Alvarado Reyes y otros</w:t>
      </w:r>
      <w:r w:rsidR="0043521E" w:rsidRPr="008D78BC">
        <w:rPr>
          <w:bCs/>
          <w:i/>
          <w:spacing w:val="-4"/>
          <w:sz w:val="16"/>
          <w:szCs w:val="16"/>
          <w:lang w:val="es-CR"/>
        </w:rPr>
        <w:t xml:space="preserve">. Medidas provisionales respecto de México. </w:t>
      </w:r>
      <w:r w:rsidR="0043521E" w:rsidRPr="0043521E">
        <w:rPr>
          <w:bCs/>
          <w:spacing w:val="-4"/>
          <w:sz w:val="16"/>
          <w:szCs w:val="16"/>
          <w:lang w:val="es-CR"/>
        </w:rPr>
        <w:t>Resolución de la Corte de 15 de mayo de 2011, Considerando 20</w:t>
      </w:r>
      <w:r w:rsidR="0043521E">
        <w:rPr>
          <w:bCs/>
          <w:spacing w:val="-4"/>
          <w:sz w:val="16"/>
          <w:szCs w:val="16"/>
          <w:lang w:val="es-CR"/>
        </w:rPr>
        <w:t>.</w:t>
      </w:r>
    </w:p>
  </w:footnote>
  <w:footnote w:id="20">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Pr="00E66140">
        <w:rPr>
          <w:i/>
          <w:spacing w:val="-4"/>
          <w:sz w:val="16"/>
          <w:szCs w:val="16"/>
        </w:rPr>
        <w:t>Cfr.</w:t>
      </w:r>
      <w:r w:rsidRPr="00E66140">
        <w:rPr>
          <w:spacing w:val="-4"/>
          <w:sz w:val="16"/>
          <w:szCs w:val="16"/>
        </w:rPr>
        <w:t xml:space="preserve"> </w:t>
      </w:r>
      <w:r w:rsidRPr="00E66140">
        <w:rPr>
          <w:i/>
          <w:spacing w:val="-4"/>
          <w:sz w:val="16"/>
          <w:szCs w:val="16"/>
          <w:lang w:val="es-CR"/>
        </w:rPr>
        <w:t xml:space="preserve">Asunto </w:t>
      </w:r>
      <w:smartTag w:uri="urn:schemas-microsoft-com:office:smarttags" w:element="PersonName">
        <w:smartTagPr>
          <w:attr w:name="ProductID" w:val="Liliana Ortega"/>
        </w:smartTagPr>
        <w:r w:rsidRPr="00E66140">
          <w:rPr>
            <w:i/>
            <w:spacing w:val="-4"/>
            <w:sz w:val="16"/>
            <w:szCs w:val="16"/>
            <w:lang w:val="es-CR"/>
          </w:rPr>
          <w:t>Liliana Ortega</w:t>
        </w:r>
      </w:smartTag>
      <w:r w:rsidRPr="00E66140">
        <w:rPr>
          <w:i/>
          <w:spacing w:val="-4"/>
          <w:sz w:val="16"/>
          <w:szCs w:val="16"/>
          <w:lang w:val="es-CR"/>
        </w:rPr>
        <w:t xml:space="preserve"> y otras.</w:t>
      </w:r>
      <w:r w:rsidRPr="00E66140">
        <w:rPr>
          <w:spacing w:val="-4"/>
          <w:sz w:val="16"/>
          <w:szCs w:val="16"/>
          <w:lang w:val="es-CR"/>
        </w:rPr>
        <w:t xml:space="preserve"> Medidas Provisionales respecto de Venezuela. Resolución de la Corte de 9</w:t>
      </w:r>
      <w:r w:rsidR="0043521E">
        <w:rPr>
          <w:spacing w:val="-4"/>
          <w:sz w:val="16"/>
          <w:szCs w:val="16"/>
          <w:lang w:val="es-CR"/>
        </w:rPr>
        <w:t xml:space="preserve"> de julio de 2009, Considerando 25, y</w:t>
      </w:r>
      <w:r w:rsidRPr="00E66140">
        <w:rPr>
          <w:spacing w:val="-4"/>
          <w:sz w:val="16"/>
          <w:szCs w:val="16"/>
          <w:lang w:val="es-CR"/>
        </w:rPr>
        <w:t xml:space="preserve"> </w:t>
      </w:r>
      <w:r w:rsidRPr="00E66140">
        <w:rPr>
          <w:i/>
          <w:spacing w:val="-4"/>
          <w:sz w:val="16"/>
          <w:szCs w:val="16"/>
        </w:rPr>
        <w:t>Asunto Alvarado Reyes y otros. Medidas provisionales respecto de México.</w:t>
      </w:r>
      <w:r w:rsidRPr="00E66140">
        <w:rPr>
          <w:spacing w:val="-4"/>
          <w:sz w:val="16"/>
          <w:szCs w:val="16"/>
        </w:rPr>
        <w:t xml:space="preserve"> Resolución de la Corte de 15 de mayo de 2011, Considerando 2</w:t>
      </w:r>
      <w:r w:rsidR="0043521E">
        <w:rPr>
          <w:spacing w:val="-4"/>
          <w:sz w:val="16"/>
          <w:szCs w:val="16"/>
        </w:rPr>
        <w:t>2</w:t>
      </w:r>
      <w:r w:rsidRPr="00E66140">
        <w:rPr>
          <w:spacing w:val="-4"/>
          <w:sz w:val="16"/>
          <w:szCs w:val="16"/>
        </w:rPr>
        <w:t>.</w:t>
      </w:r>
    </w:p>
  </w:footnote>
  <w:footnote w:id="21">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rFonts w:cs="Arial"/>
          <w:spacing w:val="-4"/>
          <w:szCs w:val="16"/>
        </w:rPr>
        <w:footnoteRef/>
      </w:r>
      <w:r w:rsidRPr="00E66140">
        <w:rPr>
          <w:rFonts w:cs="Arial"/>
          <w:spacing w:val="-4"/>
          <w:sz w:val="16"/>
          <w:szCs w:val="16"/>
          <w:lang w:val="es-CR"/>
        </w:rPr>
        <w:t xml:space="preserve"> </w:t>
      </w:r>
      <w:r w:rsidRPr="00E66140">
        <w:rPr>
          <w:rFonts w:cs="Arial"/>
          <w:spacing w:val="-4"/>
          <w:sz w:val="16"/>
          <w:szCs w:val="16"/>
        </w:rPr>
        <w:tab/>
      </w:r>
      <w:r w:rsidRPr="00E66140">
        <w:rPr>
          <w:rFonts w:cs="Arial"/>
          <w:i/>
          <w:spacing w:val="-4"/>
          <w:sz w:val="16"/>
          <w:szCs w:val="16"/>
          <w:lang w:val="es-ES"/>
        </w:rPr>
        <w:t xml:space="preserve">Cfr. </w:t>
      </w:r>
      <w:r w:rsidRPr="00E66140">
        <w:rPr>
          <w:i/>
          <w:spacing w:val="-4"/>
          <w:sz w:val="16"/>
          <w:szCs w:val="16"/>
          <w:lang w:val="es-DO"/>
        </w:rPr>
        <w:t>Asunto del Internado Judicial de Monagas (“La Pica”)</w:t>
      </w:r>
      <w:r w:rsidRPr="00E66140">
        <w:rPr>
          <w:spacing w:val="-4"/>
          <w:sz w:val="16"/>
          <w:szCs w:val="16"/>
          <w:lang w:val="es-DO"/>
        </w:rPr>
        <w:t xml:space="preserve">. Medidas Provisionales respecto de Venezuela. Resolución de 3 de julio de 2007, </w:t>
      </w:r>
      <w:r w:rsidR="0043521E">
        <w:rPr>
          <w:spacing w:val="-4"/>
          <w:sz w:val="16"/>
          <w:szCs w:val="16"/>
          <w:lang w:val="es-DO"/>
        </w:rPr>
        <w:t>C</w:t>
      </w:r>
      <w:r w:rsidRPr="00E66140">
        <w:rPr>
          <w:spacing w:val="-4"/>
          <w:sz w:val="16"/>
          <w:szCs w:val="16"/>
          <w:lang w:val="es-DO"/>
        </w:rPr>
        <w:t xml:space="preserve">onsiderando </w:t>
      </w:r>
      <w:r w:rsidR="0043521E">
        <w:rPr>
          <w:spacing w:val="-4"/>
          <w:sz w:val="16"/>
          <w:szCs w:val="16"/>
          <w:lang w:val="es-DO"/>
        </w:rPr>
        <w:t>23, y</w:t>
      </w:r>
      <w:r w:rsidRPr="00E66140">
        <w:rPr>
          <w:rFonts w:cs="Arial"/>
          <w:spacing w:val="-4"/>
          <w:sz w:val="16"/>
          <w:szCs w:val="16"/>
          <w:lang w:val="es-ES"/>
        </w:rPr>
        <w:t xml:space="preserve"> </w:t>
      </w:r>
      <w:r w:rsidR="0043521E" w:rsidRPr="0043521E">
        <w:rPr>
          <w:rFonts w:cs="Arial"/>
          <w:bCs/>
          <w:i/>
          <w:spacing w:val="-4"/>
          <w:sz w:val="16"/>
          <w:szCs w:val="16"/>
        </w:rPr>
        <w:t xml:space="preserve">Asunto Meléndez Quijano y otros respecto de El Salvador. </w:t>
      </w:r>
      <w:r w:rsidR="0043521E" w:rsidRPr="0043521E">
        <w:rPr>
          <w:rFonts w:cs="Arial"/>
          <w:bCs/>
          <w:spacing w:val="-4"/>
          <w:sz w:val="16"/>
          <w:szCs w:val="16"/>
        </w:rPr>
        <w:t>Resolución de la Corte de 17 de abril de 2015</w:t>
      </w:r>
      <w:r w:rsidR="0043521E">
        <w:rPr>
          <w:rFonts w:cs="Arial"/>
          <w:bCs/>
          <w:spacing w:val="-4"/>
          <w:sz w:val="16"/>
          <w:szCs w:val="16"/>
        </w:rPr>
        <w:t>, Considerando 24.</w:t>
      </w:r>
    </w:p>
  </w:footnote>
  <w:footnote w:id="22">
    <w:p w:rsidR="00F469E6" w:rsidRPr="0043521E"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lang w:val="es-ES"/>
        </w:rPr>
        <w:tab/>
      </w:r>
      <w:r w:rsidRPr="00E66140">
        <w:rPr>
          <w:i/>
          <w:spacing w:val="-4"/>
          <w:sz w:val="16"/>
          <w:szCs w:val="16"/>
          <w:lang w:val="es-ES"/>
        </w:rPr>
        <w:t xml:space="preserve">Cfr. Caso Tribunal Constitucional. Medidas Provisionales respecto del Perú. </w:t>
      </w:r>
      <w:r w:rsidRPr="00E66140">
        <w:rPr>
          <w:spacing w:val="-4"/>
          <w:sz w:val="16"/>
          <w:szCs w:val="16"/>
          <w:lang w:val="es-ES"/>
        </w:rPr>
        <w:t>Resolución de la Corte de 14 de marzo de 2001, Considerando 4</w:t>
      </w:r>
      <w:r w:rsidR="0043521E">
        <w:rPr>
          <w:spacing w:val="-4"/>
          <w:sz w:val="16"/>
          <w:szCs w:val="16"/>
          <w:lang w:val="es-ES"/>
        </w:rPr>
        <w:t>,</w:t>
      </w:r>
      <w:r w:rsidR="0043521E" w:rsidRPr="0043521E">
        <w:rPr>
          <w:spacing w:val="-4"/>
          <w:sz w:val="16"/>
          <w:szCs w:val="16"/>
          <w:lang w:val="es-DO"/>
        </w:rPr>
        <w:t xml:space="preserve"> </w:t>
      </w:r>
      <w:r w:rsidR="0043521E">
        <w:rPr>
          <w:spacing w:val="-4"/>
          <w:sz w:val="16"/>
          <w:szCs w:val="16"/>
          <w:lang w:val="es-DO"/>
        </w:rPr>
        <w:t>y</w:t>
      </w:r>
      <w:r w:rsidR="0043521E" w:rsidRPr="00E66140">
        <w:rPr>
          <w:rFonts w:cs="Arial"/>
          <w:spacing w:val="-4"/>
          <w:sz w:val="16"/>
          <w:szCs w:val="16"/>
          <w:lang w:val="es-ES"/>
        </w:rPr>
        <w:t xml:space="preserve"> </w:t>
      </w:r>
      <w:r w:rsidR="009206BA">
        <w:rPr>
          <w:rFonts w:cs="Arial"/>
          <w:bCs/>
          <w:i/>
          <w:spacing w:val="-4"/>
          <w:sz w:val="16"/>
          <w:szCs w:val="16"/>
        </w:rPr>
        <w:t>Asunto Meléndez Quijano y otros</w:t>
      </w:r>
      <w:r w:rsidR="009206BA" w:rsidRPr="00E66140">
        <w:rPr>
          <w:rStyle w:val="Strong"/>
          <w:b w:val="0"/>
          <w:i/>
          <w:spacing w:val="-4"/>
          <w:sz w:val="16"/>
          <w:szCs w:val="16"/>
          <w:shd w:val="clear" w:color="auto" w:fill="FFFFFF"/>
        </w:rPr>
        <w:t xml:space="preserve">. Medidas provisionales respecto </w:t>
      </w:r>
      <w:r w:rsidR="0043521E" w:rsidRPr="0043521E">
        <w:rPr>
          <w:rFonts w:cs="Arial"/>
          <w:bCs/>
          <w:i/>
          <w:spacing w:val="-4"/>
          <w:sz w:val="16"/>
          <w:szCs w:val="16"/>
        </w:rPr>
        <w:t xml:space="preserve">de El Salvador. </w:t>
      </w:r>
      <w:r w:rsidR="0043521E" w:rsidRPr="0043521E">
        <w:rPr>
          <w:rFonts w:cs="Arial"/>
          <w:bCs/>
          <w:spacing w:val="-4"/>
          <w:sz w:val="16"/>
          <w:szCs w:val="16"/>
        </w:rPr>
        <w:t>Resolución de la Corte de 17 de abril de 2015</w:t>
      </w:r>
      <w:r w:rsidR="0043521E">
        <w:rPr>
          <w:rFonts w:cs="Arial"/>
          <w:bCs/>
          <w:spacing w:val="-4"/>
          <w:sz w:val="16"/>
          <w:szCs w:val="16"/>
        </w:rPr>
        <w:t>, Considerando 24.</w:t>
      </w:r>
    </w:p>
  </w:footnote>
  <w:footnote w:id="23">
    <w:p w:rsidR="00F469E6" w:rsidRPr="0043521E"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0043521E" w:rsidRPr="00E66140">
        <w:rPr>
          <w:i/>
          <w:spacing w:val="-4"/>
          <w:sz w:val="16"/>
          <w:szCs w:val="16"/>
          <w:lang w:val="es-ES"/>
        </w:rPr>
        <w:t xml:space="preserve">Cfr. </w:t>
      </w:r>
      <w:r w:rsidRPr="00E66140">
        <w:rPr>
          <w:rStyle w:val="Strong"/>
          <w:b w:val="0"/>
          <w:i/>
          <w:spacing w:val="-4"/>
          <w:sz w:val="16"/>
          <w:szCs w:val="16"/>
          <w:shd w:val="clear" w:color="auto" w:fill="FFFFFF"/>
        </w:rPr>
        <w:t>Asunto Fernández Ortega y otros. Medidas provisionales respecto México.</w:t>
      </w:r>
      <w:r w:rsidRPr="00E66140">
        <w:rPr>
          <w:rStyle w:val="Strong"/>
          <w:b w:val="0"/>
          <w:spacing w:val="-4"/>
          <w:sz w:val="16"/>
          <w:szCs w:val="16"/>
          <w:shd w:val="clear" w:color="auto" w:fill="FFFFFF"/>
        </w:rPr>
        <w:t xml:space="preserve"> Resolución de la Presidenta de la Corte de 23 de diciembre de 2009, Considerando 18</w:t>
      </w:r>
      <w:r w:rsidR="0081758F">
        <w:rPr>
          <w:rStyle w:val="Strong"/>
          <w:b w:val="0"/>
          <w:spacing w:val="-4"/>
          <w:sz w:val="16"/>
          <w:szCs w:val="16"/>
          <w:shd w:val="clear" w:color="auto" w:fill="FFFFFF"/>
        </w:rPr>
        <w:t>,</w:t>
      </w:r>
      <w:r w:rsidR="0043521E" w:rsidRPr="0043521E">
        <w:rPr>
          <w:spacing w:val="-4"/>
          <w:sz w:val="16"/>
          <w:szCs w:val="16"/>
          <w:lang w:val="es-DO"/>
        </w:rPr>
        <w:t xml:space="preserve"> </w:t>
      </w:r>
      <w:r w:rsidR="0043521E">
        <w:rPr>
          <w:spacing w:val="-4"/>
          <w:sz w:val="16"/>
          <w:szCs w:val="16"/>
          <w:lang w:val="es-DO"/>
        </w:rPr>
        <w:t>y</w:t>
      </w:r>
      <w:r w:rsidR="0043521E" w:rsidRPr="00E66140">
        <w:rPr>
          <w:rFonts w:cs="Arial"/>
          <w:spacing w:val="-4"/>
          <w:sz w:val="16"/>
          <w:szCs w:val="16"/>
          <w:lang w:val="es-ES"/>
        </w:rPr>
        <w:t xml:space="preserve"> </w:t>
      </w:r>
      <w:r w:rsidR="0043521E" w:rsidRPr="0043521E">
        <w:rPr>
          <w:rFonts w:cs="Arial"/>
          <w:bCs/>
          <w:i/>
          <w:spacing w:val="-4"/>
          <w:sz w:val="16"/>
          <w:szCs w:val="16"/>
        </w:rPr>
        <w:t>Asunto Meléndez Quijano y otros</w:t>
      </w:r>
      <w:r w:rsidR="009206BA" w:rsidRPr="00E66140">
        <w:rPr>
          <w:rStyle w:val="Strong"/>
          <w:b w:val="0"/>
          <w:i/>
          <w:spacing w:val="-4"/>
          <w:sz w:val="16"/>
          <w:szCs w:val="16"/>
          <w:shd w:val="clear" w:color="auto" w:fill="FFFFFF"/>
        </w:rPr>
        <w:t>. Medidas provisionales respecto</w:t>
      </w:r>
      <w:r w:rsidR="0043521E" w:rsidRPr="0043521E">
        <w:rPr>
          <w:rFonts w:cs="Arial"/>
          <w:bCs/>
          <w:i/>
          <w:spacing w:val="-4"/>
          <w:sz w:val="16"/>
          <w:szCs w:val="16"/>
        </w:rPr>
        <w:t xml:space="preserve"> de El Salvador. </w:t>
      </w:r>
      <w:r w:rsidR="0043521E" w:rsidRPr="0043521E">
        <w:rPr>
          <w:rFonts w:cs="Arial"/>
          <w:bCs/>
          <w:spacing w:val="-4"/>
          <w:sz w:val="16"/>
          <w:szCs w:val="16"/>
        </w:rPr>
        <w:t>Resolución de la Corte de 17 de abril de 2015</w:t>
      </w:r>
      <w:r w:rsidR="0043521E">
        <w:rPr>
          <w:rFonts w:cs="Arial"/>
          <w:bCs/>
          <w:spacing w:val="-4"/>
          <w:sz w:val="16"/>
          <w:szCs w:val="16"/>
        </w:rPr>
        <w:t>, Considerando 24.</w:t>
      </w:r>
    </w:p>
  </w:footnote>
  <w:footnote w:id="24">
    <w:p w:rsidR="00F04F5A" w:rsidRPr="00E66140" w:rsidRDefault="00F04F5A" w:rsidP="00D44FB8">
      <w:pPr>
        <w:pStyle w:val="FootnoteText"/>
        <w:tabs>
          <w:tab w:val="left" w:pos="567"/>
        </w:tabs>
        <w:spacing w:after="60"/>
        <w:rPr>
          <w:spacing w:val="-4"/>
        </w:rPr>
      </w:pPr>
      <w:r w:rsidRPr="00E66140">
        <w:rPr>
          <w:rStyle w:val="FootnoteReference"/>
          <w:spacing w:val="-4"/>
        </w:rPr>
        <w:footnoteRef/>
      </w:r>
      <w:r w:rsidRPr="00E66140">
        <w:rPr>
          <w:spacing w:val="-4"/>
        </w:rPr>
        <w:t xml:space="preserve"> </w:t>
      </w:r>
      <w:r w:rsidRPr="00E66140">
        <w:rPr>
          <w:spacing w:val="-4"/>
        </w:rPr>
        <w:tab/>
      </w:r>
      <w:r w:rsidRPr="00E66140">
        <w:rPr>
          <w:i/>
          <w:spacing w:val="-4"/>
          <w:sz w:val="16"/>
          <w:szCs w:val="16"/>
        </w:rPr>
        <w:t>Cfr.</w:t>
      </w:r>
      <w:r w:rsidRPr="00E66140">
        <w:rPr>
          <w:spacing w:val="-4"/>
          <w:sz w:val="16"/>
          <w:szCs w:val="16"/>
        </w:rPr>
        <w:t xml:space="preserve"> </w:t>
      </w:r>
      <w:r w:rsidRPr="00E66140">
        <w:rPr>
          <w:i/>
          <w:spacing w:val="-4"/>
          <w:sz w:val="16"/>
          <w:szCs w:val="16"/>
          <w:lang w:val="es-CR"/>
        </w:rPr>
        <w:t xml:space="preserve">Asunto </w:t>
      </w:r>
      <w:smartTag w:uri="urn:schemas-microsoft-com:office:smarttags" w:element="PersonName">
        <w:smartTagPr>
          <w:attr w:name="ProductID" w:val="Liliana Ortega"/>
        </w:smartTagPr>
        <w:r w:rsidRPr="00E66140">
          <w:rPr>
            <w:i/>
            <w:spacing w:val="-4"/>
            <w:sz w:val="16"/>
            <w:szCs w:val="16"/>
            <w:lang w:val="es-CR"/>
          </w:rPr>
          <w:t>Liliana Ortega</w:t>
        </w:r>
      </w:smartTag>
      <w:r w:rsidRPr="00E66140">
        <w:rPr>
          <w:i/>
          <w:spacing w:val="-4"/>
          <w:sz w:val="16"/>
          <w:szCs w:val="16"/>
          <w:lang w:val="es-CR"/>
        </w:rPr>
        <w:t xml:space="preserve"> y otras.</w:t>
      </w:r>
      <w:r w:rsidRPr="00E66140">
        <w:rPr>
          <w:spacing w:val="-4"/>
          <w:sz w:val="16"/>
          <w:szCs w:val="16"/>
          <w:lang w:val="es-CR"/>
        </w:rPr>
        <w:t xml:space="preserve"> Medidas Provisionales respecto de Venezuela. Resolución de la Corte de 9 de julio de 2009, Considerandos 17</w:t>
      </w:r>
      <w:r w:rsidR="0081758F">
        <w:rPr>
          <w:rStyle w:val="Strong"/>
          <w:b w:val="0"/>
          <w:spacing w:val="-4"/>
          <w:sz w:val="16"/>
          <w:szCs w:val="16"/>
          <w:shd w:val="clear" w:color="auto" w:fill="FFFFFF"/>
        </w:rPr>
        <w:t>,</w:t>
      </w:r>
      <w:r w:rsidR="0081758F" w:rsidRPr="0043521E">
        <w:rPr>
          <w:spacing w:val="-4"/>
          <w:sz w:val="16"/>
          <w:szCs w:val="16"/>
          <w:lang w:val="es-DO"/>
        </w:rPr>
        <w:t xml:space="preserve"> </w:t>
      </w:r>
      <w:r w:rsidR="0081758F">
        <w:rPr>
          <w:spacing w:val="-4"/>
          <w:sz w:val="16"/>
          <w:szCs w:val="16"/>
          <w:lang w:val="es-DO"/>
        </w:rPr>
        <w:t>y</w:t>
      </w:r>
      <w:r w:rsidR="0081758F" w:rsidRPr="00E66140">
        <w:rPr>
          <w:rFonts w:cs="Arial"/>
          <w:spacing w:val="-4"/>
          <w:sz w:val="16"/>
          <w:szCs w:val="16"/>
          <w:lang w:val="es-ES"/>
        </w:rPr>
        <w:t xml:space="preserve"> </w:t>
      </w:r>
      <w:r w:rsidR="0081758F" w:rsidRPr="0043521E">
        <w:rPr>
          <w:rFonts w:cs="Arial"/>
          <w:bCs/>
          <w:i/>
          <w:spacing w:val="-4"/>
          <w:sz w:val="16"/>
          <w:szCs w:val="16"/>
        </w:rPr>
        <w:t>Asunto Meléndez Quijano y otros</w:t>
      </w:r>
      <w:r w:rsidR="009206BA">
        <w:rPr>
          <w:rFonts w:cs="Arial"/>
          <w:bCs/>
          <w:i/>
          <w:spacing w:val="-4"/>
          <w:sz w:val="16"/>
          <w:szCs w:val="16"/>
        </w:rPr>
        <w:t xml:space="preserve">. </w:t>
      </w:r>
      <w:r w:rsidR="009206BA" w:rsidRPr="00E66140">
        <w:rPr>
          <w:rStyle w:val="Strong"/>
          <w:b w:val="0"/>
          <w:i/>
          <w:spacing w:val="-4"/>
          <w:sz w:val="16"/>
          <w:szCs w:val="16"/>
          <w:shd w:val="clear" w:color="auto" w:fill="FFFFFF"/>
        </w:rPr>
        <w:t xml:space="preserve">. Medidas provisionales respecto </w:t>
      </w:r>
      <w:r w:rsidR="0081758F" w:rsidRPr="0043521E">
        <w:rPr>
          <w:rFonts w:cs="Arial"/>
          <w:bCs/>
          <w:i/>
          <w:spacing w:val="-4"/>
          <w:sz w:val="16"/>
          <w:szCs w:val="16"/>
        </w:rPr>
        <w:t xml:space="preserve">de El Salvador. </w:t>
      </w:r>
      <w:r w:rsidR="0081758F" w:rsidRPr="0043521E">
        <w:rPr>
          <w:rFonts w:cs="Arial"/>
          <w:bCs/>
          <w:spacing w:val="-4"/>
          <w:sz w:val="16"/>
          <w:szCs w:val="16"/>
        </w:rPr>
        <w:t>Resolución de la Corte de 17 de abril de 2015</w:t>
      </w:r>
      <w:r w:rsidR="0081758F">
        <w:rPr>
          <w:rFonts w:cs="Arial"/>
          <w:bCs/>
          <w:spacing w:val="-4"/>
          <w:sz w:val="16"/>
          <w:szCs w:val="16"/>
        </w:rPr>
        <w:t>, Considerando 24.</w:t>
      </w:r>
    </w:p>
  </w:footnote>
  <w:footnote w:id="25">
    <w:p w:rsidR="00F469E6" w:rsidRPr="00E66140" w:rsidRDefault="00F469E6" w:rsidP="00D44FB8">
      <w:pPr>
        <w:pStyle w:val="FootnoteText"/>
        <w:tabs>
          <w:tab w:val="left" w:pos="567"/>
        </w:tabs>
        <w:spacing w:after="60" w:line="240" w:lineRule="auto"/>
        <w:rPr>
          <w:spacing w:val="-4"/>
          <w:sz w:val="16"/>
          <w:szCs w:val="16"/>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00C862F1" w:rsidRPr="00E66140">
        <w:rPr>
          <w:i/>
          <w:spacing w:val="-4"/>
          <w:sz w:val="16"/>
          <w:szCs w:val="16"/>
        </w:rPr>
        <w:t>Cfr</w:t>
      </w:r>
      <w:r w:rsidR="009206BA">
        <w:rPr>
          <w:i/>
          <w:spacing w:val="-4"/>
          <w:sz w:val="16"/>
          <w:szCs w:val="16"/>
        </w:rPr>
        <w:t xml:space="preserve">. </w:t>
      </w:r>
      <w:r w:rsidRPr="00E66140">
        <w:rPr>
          <w:i/>
          <w:spacing w:val="-4"/>
          <w:sz w:val="16"/>
          <w:szCs w:val="16"/>
        </w:rPr>
        <w:t>Asunto de los Niños y Adolescentes Privados de Libertad en el "Complexo do Tatuapé” da FEBEM</w:t>
      </w:r>
      <w:r w:rsidR="00D36A8C" w:rsidRPr="00E66140">
        <w:rPr>
          <w:spacing w:val="-4"/>
          <w:sz w:val="16"/>
          <w:szCs w:val="16"/>
        </w:rPr>
        <w:t xml:space="preserve">. </w:t>
      </w:r>
      <w:r w:rsidR="00D36A8C" w:rsidRPr="00E66140">
        <w:rPr>
          <w:i/>
          <w:spacing w:val="-4"/>
          <w:sz w:val="16"/>
          <w:szCs w:val="16"/>
        </w:rPr>
        <w:t>Medidas Provisionales</w:t>
      </w:r>
      <w:r w:rsidRPr="00E66140">
        <w:rPr>
          <w:i/>
          <w:spacing w:val="-4"/>
          <w:sz w:val="16"/>
          <w:szCs w:val="16"/>
        </w:rPr>
        <w:t xml:space="preserve"> respecto Brasil.</w:t>
      </w:r>
      <w:r w:rsidRPr="00E66140">
        <w:rPr>
          <w:spacing w:val="-4"/>
          <w:sz w:val="16"/>
          <w:szCs w:val="16"/>
        </w:rPr>
        <w:t xml:space="preserve"> Resolución de la Corte </w:t>
      </w:r>
      <w:r w:rsidR="00D36A8C" w:rsidRPr="00E66140">
        <w:rPr>
          <w:spacing w:val="-4"/>
          <w:sz w:val="16"/>
          <w:szCs w:val="16"/>
        </w:rPr>
        <w:t xml:space="preserve">de </w:t>
      </w:r>
      <w:r w:rsidRPr="00E66140">
        <w:rPr>
          <w:spacing w:val="-4"/>
          <w:sz w:val="16"/>
          <w:szCs w:val="16"/>
        </w:rPr>
        <w:t xml:space="preserve">4 de julio de 2006, </w:t>
      </w:r>
      <w:r w:rsidR="00D36A8C" w:rsidRPr="00E66140">
        <w:rPr>
          <w:spacing w:val="-4"/>
          <w:sz w:val="16"/>
          <w:szCs w:val="16"/>
        </w:rPr>
        <w:t>C</w:t>
      </w:r>
      <w:r w:rsidRPr="00E66140">
        <w:rPr>
          <w:spacing w:val="-4"/>
          <w:sz w:val="16"/>
          <w:szCs w:val="16"/>
        </w:rPr>
        <w:t xml:space="preserve">onsiderando </w:t>
      </w:r>
      <w:r w:rsidR="00D36A8C" w:rsidRPr="00E66140">
        <w:rPr>
          <w:spacing w:val="-4"/>
          <w:sz w:val="16"/>
          <w:szCs w:val="16"/>
        </w:rPr>
        <w:t>21</w:t>
      </w:r>
      <w:r w:rsidRPr="00E66140">
        <w:rPr>
          <w:spacing w:val="-4"/>
          <w:sz w:val="16"/>
          <w:szCs w:val="16"/>
        </w:rPr>
        <w:t>.</w:t>
      </w:r>
    </w:p>
  </w:footnote>
  <w:footnote w:id="26">
    <w:p w:rsidR="00533089" w:rsidRPr="00E66140" w:rsidRDefault="00533089" w:rsidP="00D44FB8">
      <w:pPr>
        <w:pStyle w:val="FootnoteText"/>
        <w:tabs>
          <w:tab w:val="left" w:pos="567"/>
        </w:tabs>
        <w:spacing w:after="60" w:line="240" w:lineRule="auto"/>
        <w:rPr>
          <w:bCs/>
          <w:spacing w:val="-4"/>
          <w:sz w:val="16"/>
          <w:szCs w:val="16"/>
          <w:lang w:val="es-CR"/>
        </w:rPr>
      </w:pPr>
      <w:r w:rsidRPr="00E66140">
        <w:rPr>
          <w:rStyle w:val="FootnoteReference"/>
          <w:spacing w:val="-4"/>
          <w:szCs w:val="16"/>
        </w:rPr>
        <w:footnoteRef/>
      </w:r>
      <w:r w:rsidRPr="00E66140">
        <w:rPr>
          <w:spacing w:val="-4"/>
          <w:sz w:val="16"/>
          <w:szCs w:val="16"/>
          <w:lang w:val="es-CR"/>
        </w:rPr>
        <w:t xml:space="preserve"> </w:t>
      </w:r>
      <w:r w:rsidRPr="00E66140">
        <w:rPr>
          <w:spacing w:val="-4"/>
          <w:sz w:val="16"/>
          <w:szCs w:val="16"/>
          <w:lang w:val="es-CR"/>
        </w:rPr>
        <w:tab/>
      </w:r>
      <w:r w:rsidR="00754BA3" w:rsidRPr="00754BA3">
        <w:rPr>
          <w:i/>
          <w:spacing w:val="-4"/>
          <w:sz w:val="16"/>
          <w:szCs w:val="16"/>
          <w:lang w:val="es-CR"/>
        </w:rPr>
        <w:t xml:space="preserve">Cfr. </w:t>
      </w:r>
      <w:r w:rsidR="00754BA3" w:rsidRPr="00754BA3">
        <w:rPr>
          <w:i/>
          <w:iCs/>
          <w:spacing w:val="-4"/>
          <w:sz w:val="16"/>
          <w:szCs w:val="16"/>
          <w:lang w:val="es-CR"/>
        </w:rPr>
        <w:t>Asunto del Internado Judicial Capital El Rodeo I y El Rodeo II</w:t>
      </w:r>
      <w:r w:rsidR="00754BA3" w:rsidRPr="00754BA3">
        <w:rPr>
          <w:spacing w:val="-4"/>
          <w:sz w:val="16"/>
          <w:szCs w:val="16"/>
          <w:lang w:val="es-CR"/>
        </w:rPr>
        <w:t xml:space="preserve">. </w:t>
      </w:r>
      <w:r w:rsidR="00754BA3" w:rsidRPr="00754BA3">
        <w:rPr>
          <w:i/>
          <w:spacing w:val="-4"/>
          <w:sz w:val="16"/>
          <w:szCs w:val="16"/>
          <w:lang w:val="es-CR"/>
        </w:rPr>
        <w:t>Medidas Provisionales respecto de Venezuela.</w:t>
      </w:r>
      <w:r w:rsidR="00754BA3" w:rsidRPr="00754BA3">
        <w:rPr>
          <w:spacing w:val="-4"/>
          <w:sz w:val="16"/>
          <w:szCs w:val="16"/>
          <w:lang w:val="es-CR"/>
        </w:rPr>
        <w:t xml:space="preserve"> Resolución de la Corte de 8 de febrero de 2008, Considerando 18</w:t>
      </w:r>
      <w:r w:rsidR="00754BA3">
        <w:rPr>
          <w:spacing w:val="-4"/>
          <w:sz w:val="16"/>
          <w:szCs w:val="16"/>
          <w:lang w:val="es-CR"/>
        </w:rPr>
        <w:t>, y</w:t>
      </w:r>
      <w:r w:rsidR="00754BA3" w:rsidRPr="00754BA3">
        <w:rPr>
          <w:spacing w:val="-4"/>
          <w:sz w:val="16"/>
          <w:szCs w:val="16"/>
          <w:lang w:val="es-CR"/>
        </w:rPr>
        <w:t xml:space="preserve"> </w:t>
      </w:r>
      <w:r w:rsidR="00754BA3" w:rsidRPr="00754BA3">
        <w:rPr>
          <w:i/>
          <w:spacing w:val="-4"/>
          <w:sz w:val="16"/>
          <w:szCs w:val="16"/>
          <w:lang w:val="es-CR"/>
        </w:rPr>
        <w:t xml:space="preserve">Asunto Alvarado Reyes y otros. Medidas Provisionales respecto de México. Resolución de la Corte de 23 de junio de 2015, </w:t>
      </w:r>
      <w:r w:rsidR="00754BA3" w:rsidRPr="00754BA3">
        <w:rPr>
          <w:spacing w:val="-4"/>
          <w:sz w:val="16"/>
          <w:szCs w:val="16"/>
          <w:lang w:val="es-CR"/>
        </w:rPr>
        <w:t>Considerando 32</w:t>
      </w:r>
      <w:r w:rsidR="00754BA3">
        <w:rPr>
          <w:spacing w:val="-4"/>
          <w:sz w:val="16"/>
          <w:szCs w:val="16"/>
          <w:lang w:val="es-CR"/>
        </w:rPr>
        <w:t>.</w:t>
      </w:r>
    </w:p>
  </w:footnote>
  <w:footnote w:id="27">
    <w:p w:rsidR="00F469E6" w:rsidRPr="00E66140" w:rsidRDefault="00F469E6" w:rsidP="00D44FB8">
      <w:pPr>
        <w:pStyle w:val="FootnoteText"/>
        <w:tabs>
          <w:tab w:val="left" w:pos="567"/>
        </w:tabs>
        <w:spacing w:after="60" w:line="240" w:lineRule="auto"/>
        <w:rPr>
          <w:b/>
          <w:spacing w:val="-4"/>
          <w:sz w:val="16"/>
          <w:szCs w:val="16"/>
        </w:rPr>
      </w:pPr>
      <w:r w:rsidRPr="00E66140">
        <w:rPr>
          <w:rStyle w:val="FootnoteReference"/>
          <w:spacing w:val="-4"/>
          <w:szCs w:val="16"/>
        </w:rPr>
        <w:footnoteRef/>
      </w:r>
      <w:r w:rsidRPr="00E66140">
        <w:rPr>
          <w:b/>
          <w:spacing w:val="-4"/>
          <w:sz w:val="16"/>
          <w:szCs w:val="16"/>
        </w:rPr>
        <w:t xml:space="preserve"> </w:t>
      </w:r>
      <w:r w:rsidRPr="00E66140">
        <w:rPr>
          <w:b/>
          <w:spacing w:val="-4"/>
          <w:sz w:val="16"/>
          <w:szCs w:val="16"/>
        </w:rPr>
        <w:tab/>
      </w:r>
      <w:r w:rsidR="009F2183" w:rsidRPr="009F2183">
        <w:rPr>
          <w:i/>
          <w:spacing w:val="-4"/>
          <w:sz w:val="16"/>
          <w:szCs w:val="16"/>
        </w:rPr>
        <w:t>Cfr.</w:t>
      </w:r>
      <w:r w:rsidR="009F2183">
        <w:rPr>
          <w:b/>
          <w:spacing w:val="-4"/>
          <w:sz w:val="16"/>
          <w:szCs w:val="16"/>
        </w:rPr>
        <w:t xml:space="preserve"> </w:t>
      </w:r>
      <w:r w:rsidR="006055C7" w:rsidRPr="00E66140">
        <w:rPr>
          <w:bCs/>
          <w:i/>
          <w:spacing w:val="-4"/>
          <w:sz w:val="16"/>
          <w:szCs w:val="16"/>
        </w:rPr>
        <w:t>Caso Rosendo Cantú y otra Vs. México. Excepción Preliminar, Fondo, Reparaciones y Costas.</w:t>
      </w:r>
      <w:r w:rsidR="006055C7" w:rsidRPr="00E66140">
        <w:rPr>
          <w:bCs/>
          <w:spacing w:val="-4"/>
          <w:sz w:val="16"/>
          <w:szCs w:val="16"/>
        </w:rPr>
        <w:t xml:space="preserve"> Sentencia de 31 de agosto de 2010 Serie C No. 216</w:t>
      </w:r>
      <w:r w:rsidR="006055C7" w:rsidRPr="00E66140">
        <w:rPr>
          <w:rStyle w:val="Strong"/>
          <w:b w:val="0"/>
          <w:spacing w:val="-4"/>
          <w:sz w:val="16"/>
          <w:szCs w:val="16"/>
          <w:shd w:val="clear" w:color="auto" w:fill="FFFFFF"/>
        </w:rPr>
        <w:t>, punto resolutivo 10.</w:t>
      </w:r>
    </w:p>
  </w:footnote>
  <w:footnote w:id="28">
    <w:p w:rsidR="00E8504D" w:rsidRPr="00E66140" w:rsidRDefault="00E8504D" w:rsidP="00D44FB8">
      <w:pPr>
        <w:pStyle w:val="FootnoteText"/>
        <w:tabs>
          <w:tab w:val="left" w:pos="567"/>
        </w:tabs>
        <w:spacing w:after="60"/>
        <w:rPr>
          <w:spacing w:val="-4"/>
        </w:rPr>
      </w:pPr>
      <w:r w:rsidRPr="00E66140">
        <w:rPr>
          <w:rStyle w:val="FootnoteReference"/>
          <w:spacing w:val="-4"/>
        </w:rPr>
        <w:footnoteRef/>
      </w:r>
      <w:r w:rsidRPr="00E66140">
        <w:rPr>
          <w:spacing w:val="-4"/>
        </w:rPr>
        <w:t xml:space="preserve"> </w:t>
      </w:r>
      <w:r w:rsidRPr="00E66140">
        <w:rPr>
          <w:spacing w:val="-4"/>
        </w:rPr>
        <w:tab/>
      </w:r>
      <w:r w:rsidRPr="00E66140">
        <w:rPr>
          <w:i/>
          <w:spacing w:val="-4"/>
          <w:sz w:val="16"/>
          <w:szCs w:val="16"/>
        </w:rPr>
        <w:t>Cfr.</w:t>
      </w:r>
      <w:r w:rsidRPr="00E66140">
        <w:rPr>
          <w:spacing w:val="-4"/>
          <w:sz w:val="16"/>
          <w:szCs w:val="16"/>
        </w:rPr>
        <w:t xml:space="preserve"> </w:t>
      </w:r>
      <w:r w:rsidRPr="00E66140">
        <w:rPr>
          <w:bCs/>
          <w:i/>
          <w:spacing w:val="-4"/>
          <w:sz w:val="16"/>
          <w:szCs w:val="16"/>
          <w:lang w:val="es-CR"/>
        </w:rPr>
        <w:t xml:space="preserve">Asunto </w:t>
      </w:r>
      <w:smartTag w:uri="urn:schemas-microsoft-com:office:smarttags" w:element="PersonName">
        <w:smartTagPr>
          <w:attr w:name="ProductID" w:val="Liliana Ortega"/>
        </w:smartTagPr>
        <w:r w:rsidRPr="00E66140">
          <w:rPr>
            <w:bCs/>
            <w:i/>
            <w:spacing w:val="-4"/>
            <w:sz w:val="16"/>
            <w:szCs w:val="16"/>
            <w:lang w:val="es-CR"/>
          </w:rPr>
          <w:t>Liliana Ortega</w:t>
        </w:r>
      </w:smartTag>
      <w:r w:rsidRPr="00E66140">
        <w:rPr>
          <w:bCs/>
          <w:i/>
          <w:spacing w:val="-4"/>
          <w:sz w:val="16"/>
          <w:szCs w:val="16"/>
          <w:lang w:val="es-CR"/>
        </w:rPr>
        <w:t xml:space="preserve"> y otras.</w:t>
      </w:r>
      <w:r w:rsidRPr="00E66140">
        <w:rPr>
          <w:bCs/>
          <w:spacing w:val="-4"/>
          <w:sz w:val="16"/>
          <w:szCs w:val="16"/>
          <w:lang w:val="es-CR"/>
        </w:rPr>
        <w:t xml:space="preserve"> </w:t>
      </w:r>
      <w:r w:rsidRPr="00E66140">
        <w:rPr>
          <w:bCs/>
          <w:i/>
          <w:spacing w:val="-4"/>
          <w:sz w:val="16"/>
          <w:szCs w:val="16"/>
          <w:lang w:val="es-CR"/>
        </w:rPr>
        <w:t>Medidas Provisionales respecto de Venezuela.</w:t>
      </w:r>
      <w:r w:rsidRPr="00E66140">
        <w:rPr>
          <w:bCs/>
          <w:spacing w:val="-4"/>
          <w:sz w:val="16"/>
          <w:szCs w:val="16"/>
          <w:lang w:val="es-CR"/>
        </w:rPr>
        <w:t xml:space="preserve"> Resolución de la Corte de 9 de julio de 2009, Considerando 4.</w:t>
      </w:r>
    </w:p>
  </w:footnote>
  <w:footnote w:id="29">
    <w:p w:rsidR="006055C7" w:rsidRPr="00E66140" w:rsidRDefault="006055C7" w:rsidP="00D44FB8">
      <w:pPr>
        <w:pStyle w:val="FootnoteText"/>
        <w:tabs>
          <w:tab w:val="left" w:pos="567"/>
        </w:tabs>
        <w:spacing w:after="60"/>
        <w:rPr>
          <w:spacing w:val="-4"/>
        </w:rPr>
      </w:pPr>
      <w:r w:rsidRPr="00E66140">
        <w:rPr>
          <w:rStyle w:val="FootnoteReference"/>
          <w:spacing w:val="-4"/>
        </w:rPr>
        <w:footnoteRef/>
      </w:r>
      <w:r w:rsidRPr="00E66140">
        <w:rPr>
          <w:spacing w:val="-4"/>
        </w:rPr>
        <w:t xml:space="preserve"> </w:t>
      </w:r>
      <w:r w:rsidRPr="00E66140">
        <w:rPr>
          <w:spacing w:val="-4"/>
        </w:rPr>
        <w:tab/>
      </w:r>
      <w:r w:rsidRPr="00E66140">
        <w:rPr>
          <w:i/>
          <w:spacing w:val="-4"/>
          <w:sz w:val="16"/>
          <w:szCs w:val="16"/>
        </w:rPr>
        <w:t>Cfr.</w:t>
      </w:r>
      <w:r w:rsidRPr="00E66140">
        <w:rPr>
          <w:spacing w:val="-4"/>
          <w:sz w:val="16"/>
          <w:szCs w:val="16"/>
        </w:rPr>
        <w:t xml:space="preserve"> </w:t>
      </w:r>
      <w:r w:rsidRPr="00E66140">
        <w:rPr>
          <w:bCs/>
          <w:i/>
          <w:spacing w:val="-4"/>
          <w:sz w:val="16"/>
          <w:szCs w:val="16"/>
          <w:lang w:val="es-CR"/>
        </w:rPr>
        <w:t xml:space="preserve">Asunto </w:t>
      </w:r>
      <w:smartTag w:uri="urn:schemas-microsoft-com:office:smarttags" w:element="PersonName">
        <w:smartTagPr>
          <w:attr w:name="ProductID" w:val="Liliana Ortega"/>
        </w:smartTagPr>
        <w:r w:rsidRPr="00E66140">
          <w:rPr>
            <w:bCs/>
            <w:i/>
            <w:spacing w:val="-4"/>
            <w:sz w:val="16"/>
            <w:szCs w:val="16"/>
            <w:lang w:val="es-CR"/>
          </w:rPr>
          <w:t>Liliana Ortega</w:t>
        </w:r>
      </w:smartTag>
      <w:r w:rsidRPr="00E66140">
        <w:rPr>
          <w:bCs/>
          <w:i/>
          <w:spacing w:val="-4"/>
          <w:sz w:val="16"/>
          <w:szCs w:val="16"/>
          <w:lang w:val="es-CR"/>
        </w:rPr>
        <w:t xml:space="preserve"> y otras.</w:t>
      </w:r>
      <w:r w:rsidRPr="00E66140">
        <w:rPr>
          <w:bCs/>
          <w:spacing w:val="-4"/>
          <w:sz w:val="16"/>
          <w:szCs w:val="16"/>
          <w:lang w:val="es-CR"/>
        </w:rPr>
        <w:t xml:space="preserve"> </w:t>
      </w:r>
      <w:r w:rsidRPr="00E66140">
        <w:rPr>
          <w:bCs/>
          <w:i/>
          <w:spacing w:val="-4"/>
          <w:sz w:val="16"/>
          <w:szCs w:val="16"/>
          <w:lang w:val="es-CR"/>
        </w:rPr>
        <w:t>Medidas Provisionales respecto de Venezuela.</w:t>
      </w:r>
      <w:r w:rsidRPr="00E66140">
        <w:rPr>
          <w:bCs/>
          <w:spacing w:val="-4"/>
          <w:sz w:val="16"/>
          <w:szCs w:val="16"/>
          <w:lang w:val="es-CR"/>
        </w:rPr>
        <w:t xml:space="preserve"> Resolución de la Corte de 9 de julio de 2009, Considerando 4.</w:t>
      </w:r>
    </w:p>
  </w:footnote>
  <w:footnote w:id="30">
    <w:p w:rsidR="00F469E6" w:rsidRPr="00E66140" w:rsidRDefault="00F469E6" w:rsidP="00D44FB8">
      <w:pPr>
        <w:pStyle w:val="FootnoteText"/>
        <w:tabs>
          <w:tab w:val="left" w:pos="567"/>
        </w:tabs>
        <w:spacing w:after="60" w:line="240" w:lineRule="auto"/>
        <w:rPr>
          <w:spacing w:val="-4"/>
          <w:sz w:val="16"/>
          <w:szCs w:val="16"/>
          <w:lang w:val="es-ES"/>
        </w:rPr>
      </w:pPr>
      <w:r w:rsidRPr="00E66140">
        <w:rPr>
          <w:rStyle w:val="FootnoteReference"/>
          <w:spacing w:val="-4"/>
          <w:szCs w:val="16"/>
        </w:rPr>
        <w:footnoteRef/>
      </w:r>
      <w:r w:rsidRPr="00E66140">
        <w:rPr>
          <w:spacing w:val="-4"/>
          <w:sz w:val="16"/>
          <w:szCs w:val="16"/>
          <w:lang w:val="es-ES"/>
        </w:rPr>
        <w:t xml:space="preserve"> </w:t>
      </w:r>
      <w:r w:rsidRPr="00E66140">
        <w:rPr>
          <w:spacing w:val="-4"/>
          <w:sz w:val="16"/>
          <w:szCs w:val="16"/>
          <w:lang w:val="es-ES"/>
        </w:rPr>
        <w:tab/>
      </w:r>
      <w:r w:rsidRPr="00A87EDC">
        <w:rPr>
          <w:i/>
          <w:spacing w:val="-4"/>
          <w:sz w:val="16"/>
          <w:szCs w:val="16"/>
          <w:lang w:val="es-ES"/>
        </w:rPr>
        <w:t>Cfr. Asunto de la Comunidad de Paz de San José de Apartadó. Medidas Provisionales respecto de Colombia</w:t>
      </w:r>
      <w:r w:rsidRPr="00E66140">
        <w:rPr>
          <w:spacing w:val="-4"/>
          <w:sz w:val="16"/>
          <w:szCs w:val="16"/>
          <w:lang w:val="es-ES"/>
        </w:rPr>
        <w:t xml:space="preserve">. Resolución de la Corte de 18 de junio de 2002, Considerando 11, y </w:t>
      </w:r>
      <w:r w:rsidR="00A87EDC" w:rsidRPr="00A87EDC">
        <w:rPr>
          <w:rStyle w:val="Strong"/>
          <w:b w:val="0"/>
          <w:i/>
          <w:sz w:val="16"/>
          <w:szCs w:val="16"/>
          <w:shd w:val="clear" w:color="auto" w:fill="FFFFFF"/>
        </w:rPr>
        <w:t xml:space="preserve">Caso Torres Millacura y otros. Medidas provisionales respecto de Argentina. </w:t>
      </w:r>
      <w:r w:rsidR="00A87EDC" w:rsidRPr="00A87EDC">
        <w:rPr>
          <w:rStyle w:val="Strong"/>
          <w:b w:val="0"/>
          <w:sz w:val="16"/>
          <w:szCs w:val="16"/>
          <w:shd w:val="clear" w:color="auto" w:fill="FFFFFF"/>
        </w:rPr>
        <w:t>Solicitud de Medidas Provisionales. Resolución de la Corte de 23 de junio de 2015</w:t>
      </w:r>
    </w:p>
  </w:footnote>
  <w:footnote w:id="31">
    <w:p w:rsidR="00F469E6" w:rsidRPr="00E66140" w:rsidRDefault="00F469E6" w:rsidP="00D44FB8">
      <w:pPr>
        <w:pStyle w:val="FootnoteText"/>
        <w:tabs>
          <w:tab w:val="left" w:pos="567"/>
        </w:tabs>
        <w:spacing w:after="60" w:line="240" w:lineRule="auto"/>
        <w:rPr>
          <w:spacing w:val="-4"/>
          <w:sz w:val="16"/>
          <w:szCs w:val="16"/>
          <w:lang w:val="es-ES"/>
        </w:rPr>
      </w:pPr>
      <w:r w:rsidRPr="00E66140">
        <w:rPr>
          <w:rStyle w:val="FootnoteReference"/>
          <w:spacing w:val="-4"/>
          <w:szCs w:val="16"/>
        </w:rPr>
        <w:footnoteRef/>
      </w:r>
      <w:r w:rsidRPr="00E66140">
        <w:rPr>
          <w:spacing w:val="-4"/>
          <w:sz w:val="16"/>
          <w:szCs w:val="16"/>
        </w:rPr>
        <w:t xml:space="preserve"> </w:t>
      </w:r>
      <w:r w:rsidRPr="00E66140">
        <w:rPr>
          <w:spacing w:val="-4"/>
          <w:sz w:val="16"/>
          <w:szCs w:val="16"/>
        </w:rPr>
        <w:tab/>
      </w:r>
      <w:r w:rsidR="00A87EDC" w:rsidRPr="00A87EDC">
        <w:rPr>
          <w:i/>
          <w:spacing w:val="-4"/>
          <w:sz w:val="16"/>
          <w:szCs w:val="16"/>
          <w:lang w:val="es-ES"/>
        </w:rPr>
        <w:t xml:space="preserve">Cfr. </w:t>
      </w:r>
      <w:r w:rsidRPr="00A87EDC">
        <w:rPr>
          <w:i/>
          <w:spacing w:val="-4"/>
          <w:sz w:val="16"/>
          <w:szCs w:val="16"/>
        </w:rPr>
        <w:t>Caso Ávila Moreno y otros (Caso Operación Génesis). Medidas provisionales respecto de Colombia</w:t>
      </w:r>
      <w:r w:rsidRPr="00E66140">
        <w:rPr>
          <w:spacing w:val="-4"/>
          <w:sz w:val="16"/>
          <w:szCs w:val="16"/>
        </w:rPr>
        <w:t xml:space="preserve">. Resolución de la Corte de 30 de mayo de 2013, </w:t>
      </w:r>
      <w:r w:rsidRPr="00E66140">
        <w:rPr>
          <w:spacing w:val="-4"/>
          <w:sz w:val="16"/>
          <w:szCs w:val="16"/>
          <w:lang w:val="es-ES"/>
        </w:rPr>
        <w:t xml:space="preserve">considerando </w:t>
      </w:r>
      <w:r w:rsidR="00A87EDC">
        <w:rPr>
          <w:spacing w:val="-4"/>
          <w:sz w:val="16"/>
          <w:szCs w:val="16"/>
          <w:lang w:val="es-ES"/>
        </w:rPr>
        <w:t>23.</w:t>
      </w:r>
      <w:r w:rsidR="006B4181">
        <w:rPr>
          <w:spacing w:val="-4"/>
          <w:sz w:val="16"/>
          <w:szCs w:val="16"/>
          <w:lang w:val="es-ES"/>
        </w:rPr>
        <w:t xml:space="preserve"> </w:t>
      </w:r>
    </w:p>
  </w:footnote>
  <w:footnote w:id="32">
    <w:p w:rsidR="00F469E6" w:rsidRPr="00E66140" w:rsidRDefault="00F469E6" w:rsidP="00D44FB8">
      <w:pPr>
        <w:pStyle w:val="FootnoteText"/>
        <w:tabs>
          <w:tab w:val="left" w:pos="567"/>
        </w:tabs>
        <w:spacing w:after="60" w:line="240" w:lineRule="auto"/>
        <w:rPr>
          <w:spacing w:val="-4"/>
          <w:sz w:val="16"/>
          <w:szCs w:val="16"/>
          <w:lang w:val="es-MX"/>
        </w:rPr>
      </w:pPr>
      <w:r w:rsidRPr="00E66140">
        <w:rPr>
          <w:rStyle w:val="FootnoteReference"/>
          <w:spacing w:val="-4"/>
          <w:szCs w:val="16"/>
        </w:rPr>
        <w:footnoteRef/>
      </w:r>
      <w:r w:rsidRPr="00E66140">
        <w:rPr>
          <w:spacing w:val="-4"/>
          <w:sz w:val="16"/>
          <w:szCs w:val="16"/>
          <w:lang w:val="es-MX"/>
        </w:rPr>
        <w:t xml:space="preserve"> </w:t>
      </w:r>
      <w:r w:rsidRPr="00E66140">
        <w:rPr>
          <w:spacing w:val="-4"/>
          <w:sz w:val="16"/>
          <w:szCs w:val="16"/>
          <w:lang w:val="es-MX"/>
        </w:rPr>
        <w:tab/>
      </w:r>
      <w:r w:rsidR="006B4181">
        <w:rPr>
          <w:i/>
          <w:spacing w:val="-4"/>
          <w:sz w:val="16"/>
          <w:szCs w:val="16"/>
          <w:lang w:val="es-MX"/>
        </w:rPr>
        <w:t xml:space="preserve">Cfr. </w:t>
      </w:r>
      <w:r w:rsidR="006B4181" w:rsidRPr="006B4181">
        <w:rPr>
          <w:i/>
          <w:spacing w:val="-4"/>
          <w:sz w:val="16"/>
          <w:szCs w:val="16"/>
          <w:lang w:val="es-MX"/>
        </w:rPr>
        <w:t xml:space="preserve">Caso Gutiérrez Soler. </w:t>
      </w:r>
      <w:r w:rsidRPr="006B4181">
        <w:rPr>
          <w:i/>
          <w:spacing w:val="-4"/>
          <w:sz w:val="16"/>
          <w:szCs w:val="16"/>
          <w:lang w:val="es-ES"/>
        </w:rPr>
        <w:t>Medidas Provisionales</w:t>
      </w:r>
      <w:r w:rsidR="006B4181" w:rsidRPr="006B4181">
        <w:rPr>
          <w:i/>
          <w:spacing w:val="-4"/>
          <w:sz w:val="16"/>
          <w:szCs w:val="16"/>
          <w:lang w:val="es-ES"/>
        </w:rPr>
        <w:t xml:space="preserve"> respecto de </w:t>
      </w:r>
      <w:r w:rsidR="006B4181" w:rsidRPr="006B4181">
        <w:rPr>
          <w:i/>
          <w:spacing w:val="-4"/>
          <w:sz w:val="16"/>
          <w:szCs w:val="16"/>
          <w:lang w:val="es-MX"/>
        </w:rPr>
        <w:t>Colombia</w:t>
      </w:r>
      <w:r w:rsidRPr="006B4181">
        <w:rPr>
          <w:i/>
          <w:spacing w:val="-4"/>
          <w:sz w:val="16"/>
          <w:szCs w:val="16"/>
          <w:lang w:val="es-ES"/>
        </w:rPr>
        <w:t>.</w:t>
      </w:r>
      <w:r w:rsidRPr="00E66140">
        <w:rPr>
          <w:spacing w:val="-4"/>
          <w:sz w:val="16"/>
          <w:szCs w:val="16"/>
          <w:lang w:val="es-ES"/>
        </w:rPr>
        <w:t xml:space="preserve"> </w:t>
      </w:r>
      <w:r w:rsidRPr="00E66140">
        <w:rPr>
          <w:spacing w:val="-4"/>
          <w:sz w:val="16"/>
          <w:szCs w:val="16"/>
          <w:lang w:val="es-MX"/>
        </w:rPr>
        <w:t xml:space="preserve">Resolución de la Corte de 23 de octubre de 2012, Considerando 21, y </w:t>
      </w:r>
      <w:r w:rsidRPr="00E66140">
        <w:rPr>
          <w:rStyle w:val="Strong"/>
          <w:b w:val="0"/>
          <w:i/>
          <w:spacing w:val="-4"/>
          <w:sz w:val="16"/>
          <w:szCs w:val="16"/>
          <w:shd w:val="clear" w:color="auto" w:fill="FFFFFF"/>
        </w:rPr>
        <w:t>Caso García Prieto y otros. Medidas provisionales respecto de El Salvador.</w:t>
      </w:r>
      <w:r w:rsidRPr="00E66140">
        <w:rPr>
          <w:rStyle w:val="Strong"/>
          <w:b w:val="0"/>
          <w:spacing w:val="-4"/>
          <w:sz w:val="16"/>
          <w:szCs w:val="16"/>
          <w:shd w:val="clear" w:color="auto" w:fill="FFFFFF"/>
        </w:rPr>
        <w:t xml:space="preserve"> Resolución de la Corte de 26 de enero de 2015, </w:t>
      </w:r>
      <w:r w:rsidRPr="00E66140">
        <w:rPr>
          <w:spacing w:val="-4"/>
          <w:sz w:val="16"/>
          <w:szCs w:val="16"/>
        </w:rPr>
        <w:t>Considerando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E6" w:rsidRPr="00CD76AC" w:rsidRDefault="00F469E6" w:rsidP="00D37959">
    <w:pPr>
      <w:pStyle w:val="Header"/>
      <w:jc w:val="center"/>
    </w:pPr>
    <w:r w:rsidRPr="00CD76AC">
      <w:t xml:space="preserve">- </w:t>
    </w:r>
    <w:r w:rsidRPr="00CD76AC">
      <w:fldChar w:fldCharType="begin"/>
    </w:r>
    <w:r w:rsidRPr="00CD76AC">
      <w:instrText xml:space="preserve"> PAGE   \* MERGEFORMAT </w:instrText>
    </w:r>
    <w:r w:rsidRPr="00CD76AC">
      <w:fldChar w:fldCharType="separate"/>
    </w:r>
    <w:r w:rsidR="00C16EE7">
      <w:rPr>
        <w:noProof/>
      </w:rPr>
      <w:t>11</w:t>
    </w:r>
    <w:r w:rsidRPr="00CD76AC">
      <w:rPr>
        <w:noProof/>
      </w:rPr>
      <w:fldChar w:fldCharType="end"/>
    </w:r>
    <w:r w:rsidRPr="00CD76AC">
      <w:rPr>
        <w:noProof/>
      </w:rPr>
      <w:t xml:space="preserve"> -</w:t>
    </w:r>
  </w:p>
  <w:p w:rsidR="00F469E6" w:rsidRDefault="00F469E6" w:rsidP="00D37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532"/>
    <w:multiLevelType w:val="hybridMultilevel"/>
    <w:tmpl w:val="F7E6BBE4"/>
    <w:name w:val="WW8Num23"/>
    <w:lvl w:ilvl="0" w:tplc="965A7ADE">
      <w:start w:val="1"/>
      <w:numFmt w:val="decimal"/>
      <w:lvlText w:val="%1."/>
      <w:lvlJc w:val="left"/>
      <w:pPr>
        <w:tabs>
          <w:tab w:val="num" w:pos="567"/>
        </w:tabs>
        <w:ind w:left="0" w:firstLine="0"/>
      </w:pPr>
      <w:rPr>
        <w:rFonts w:ascii="Verdana" w:hAnsi="Verdana"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1D70A0"/>
    <w:multiLevelType w:val="hybridMultilevel"/>
    <w:tmpl w:val="6AA00E72"/>
    <w:lvl w:ilvl="0" w:tplc="6A90905A">
      <w:start w:val="1"/>
      <w:numFmt w:val="decimal"/>
      <w:lvlText w:val="%1."/>
      <w:lvlJc w:val="left"/>
      <w:pPr>
        <w:tabs>
          <w:tab w:val="num" w:pos="720"/>
        </w:tabs>
        <w:ind w:left="0" w:firstLine="0"/>
      </w:pPr>
      <w:rPr>
        <w:rFonts w:ascii="Verdana" w:hAnsi="Verdana" w:hint="default"/>
        <w:b w:val="0"/>
        <w:strike w:val="0"/>
        <w:sz w:val="20"/>
        <w:lang w:val="es-ES_tradnl"/>
      </w:rPr>
    </w:lvl>
    <w:lvl w:ilvl="1" w:tplc="00170409">
      <w:start w:val="1"/>
      <w:numFmt w:val="lowerLetter"/>
      <w:lvlText w:val="%2)"/>
      <w:lvlJc w:val="left"/>
      <w:pPr>
        <w:tabs>
          <w:tab w:val="num" w:pos="360"/>
        </w:tabs>
        <w:ind w:left="360" w:hanging="360"/>
      </w:pPr>
      <w:rPr>
        <w:rFonts w:hint="default"/>
        <w:b w:val="0"/>
        <w:sz w:val="20"/>
      </w:rPr>
    </w:lvl>
    <w:lvl w:ilvl="2" w:tplc="001B0409">
      <w:start w:val="1"/>
      <w:numFmt w:val="lowerRoman"/>
      <w:lvlText w:val="%3."/>
      <w:lvlJc w:val="right"/>
      <w:pPr>
        <w:tabs>
          <w:tab w:val="num" w:pos="2160"/>
        </w:tabs>
        <w:ind w:left="2160" w:hanging="180"/>
      </w:pPr>
    </w:lvl>
    <w:lvl w:ilvl="3" w:tplc="9236B570">
      <w:start w:val="1"/>
      <w:numFmt w:val="decimal"/>
      <w:lvlText w:val="%4)"/>
      <w:lvlJc w:val="left"/>
      <w:pPr>
        <w:tabs>
          <w:tab w:val="num" w:pos="2880"/>
        </w:tabs>
        <w:ind w:left="2880" w:hanging="360"/>
      </w:pPr>
      <w:rPr>
        <w:rFonts w:hint="default"/>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BD5D70"/>
    <w:multiLevelType w:val="hybridMultilevel"/>
    <w:tmpl w:val="794236E0"/>
    <w:lvl w:ilvl="0" w:tplc="9402AE14">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5935A35"/>
    <w:multiLevelType w:val="hybridMultilevel"/>
    <w:tmpl w:val="038A48BA"/>
    <w:lvl w:ilvl="0" w:tplc="D9D098F2">
      <w:start w:val="1"/>
      <w:numFmt w:val="upperLetter"/>
      <w:lvlText w:val="%1."/>
      <w:lvlJc w:val="left"/>
      <w:pPr>
        <w:ind w:left="1080" w:hanging="360"/>
      </w:pPr>
      <w:rPr>
        <w:rFonts w:hint="default"/>
        <w:i/>
        <w:sz w:val="20"/>
      </w:rPr>
    </w:lvl>
    <w:lvl w:ilvl="1" w:tplc="9A52A24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CF656A"/>
    <w:multiLevelType w:val="hybridMultilevel"/>
    <w:tmpl w:val="39A61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3747762"/>
    <w:multiLevelType w:val="hybridMultilevel"/>
    <w:tmpl w:val="B7502C70"/>
    <w:lvl w:ilvl="0" w:tplc="28441B1C">
      <w:start w:val="1"/>
      <w:numFmt w:val="decimal"/>
      <w:lvlText w:val="%1."/>
      <w:lvlJc w:val="left"/>
      <w:pPr>
        <w:tabs>
          <w:tab w:val="num" w:pos="567"/>
        </w:tabs>
        <w:ind w:left="0" w:firstLine="0"/>
      </w:pPr>
      <w:rPr>
        <w:rFonts w:ascii="Verdana" w:hAnsi="Verdana" w:hint="default"/>
        <w:b w:val="0"/>
        <w:i w:val="0"/>
        <w:strike w:val="0"/>
        <w:color w:val="auto"/>
        <w:sz w:val="20"/>
        <w:szCs w:val="20"/>
        <w:lang w:val="es-PR"/>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CCD20D3"/>
    <w:multiLevelType w:val="hybridMultilevel"/>
    <w:tmpl w:val="91DE96CA"/>
    <w:lvl w:ilvl="0" w:tplc="D9D098F2">
      <w:start w:val="1"/>
      <w:numFmt w:val="upperLetter"/>
      <w:lvlText w:val="%1."/>
      <w:lvlJc w:val="left"/>
      <w:pPr>
        <w:ind w:left="1080" w:hanging="360"/>
      </w:pPr>
      <w:rPr>
        <w:rFonts w:hint="default"/>
        <w:i/>
        <w:sz w:val="20"/>
      </w:rPr>
    </w:lvl>
    <w:lvl w:ilvl="1" w:tplc="9A52A24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402C7C"/>
    <w:multiLevelType w:val="hybridMultilevel"/>
    <w:tmpl w:val="B1A0BC30"/>
    <w:name w:val="WW8Num2"/>
    <w:lvl w:ilvl="0" w:tplc="37C6F740">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15D6ECD"/>
    <w:multiLevelType w:val="hybridMultilevel"/>
    <w:tmpl w:val="AF2A6418"/>
    <w:lvl w:ilvl="0" w:tplc="FE7EEBC4">
      <w:start w:val="1"/>
      <w:numFmt w:val="lowerLetter"/>
      <w:lvlText w:val="%1)"/>
      <w:lvlJc w:val="left"/>
      <w:pPr>
        <w:ind w:left="1080" w:hanging="360"/>
      </w:pPr>
      <w:rPr>
        <w:rFonts w:ascii="Verdana" w:hAnsi="Verdana" w:hint="default"/>
        <w:sz w:val="20"/>
        <w:szCs w:val="20"/>
      </w:rPr>
    </w:lvl>
    <w:lvl w:ilvl="1" w:tplc="4D006AFE">
      <w:start w:val="1"/>
      <w:numFmt w:val="decimal"/>
      <w:lvlText w:val="%2."/>
      <w:lvlJc w:val="left"/>
      <w:pPr>
        <w:tabs>
          <w:tab w:val="num" w:pos="0"/>
        </w:tabs>
        <w:ind w:left="0" w:firstLine="0"/>
      </w:pPr>
      <w:rPr>
        <w:rFonts w:hint="default"/>
        <w:b w:val="0"/>
        <w:sz w:val="20"/>
        <w:szCs w:val="20"/>
      </w:rPr>
    </w:lvl>
    <w:lvl w:ilvl="2" w:tplc="FE7EEBC4">
      <w:start w:val="1"/>
      <w:numFmt w:val="lowerLetter"/>
      <w:lvlText w:val="%3)"/>
      <w:lvlJc w:val="left"/>
      <w:pPr>
        <w:ind w:left="2700" w:hanging="360"/>
      </w:pPr>
      <w:rPr>
        <w:rFonts w:ascii="Verdana" w:hAnsi="Verdana" w:hint="default"/>
        <w:sz w:val="20"/>
        <w:szCs w:val="20"/>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2"/>
  </w:num>
  <w:num w:numId="6">
    <w:abstractNumId w:val="8"/>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80"/>
    <w:rsid w:val="00002D55"/>
    <w:rsid w:val="00004165"/>
    <w:rsid w:val="00007A1B"/>
    <w:rsid w:val="00010950"/>
    <w:rsid w:val="00011B7D"/>
    <w:rsid w:val="00014D7F"/>
    <w:rsid w:val="0001695A"/>
    <w:rsid w:val="00017BDB"/>
    <w:rsid w:val="00017DA1"/>
    <w:rsid w:val="00023A38"/>
    <w:rsid w:val="00024B8B"/>
    <w:rsid w:val="00025FE0"/>
    <w:rsid w:val="0002629D"/>
    <w:rsid w:val="000267ED"/>
    <w:rsid w:val="00027712"/>
    <w:rsid w:val="000319B4"/>
    <w:rsid w:val="00032755"/>
    <w:rsid w:val="00033D1B"/>
    <w:rsid w:val="000346FC"/>
    <w:rsid w:val="00034E0E"/>
    <w:rsid w:val="00041259"/>
    <w:rsid w:val="00043BBE"/>
    <w:rsid w:val="000462E4"/>
    <w:rsid w:val="00051652"/>
    <w:rsid w:val="000538EA"/>
    <w:rsid w:val="000545E6"/>
    <w:rsid w:val="000552AD"/>
    <w:rsid w:val="00061A99"/>
    <w:rsid w:val="0006241C"/>
    <w:rsid w:val="00063B80"/>
    <w:rsid w:val="00065105"/>
    <w:rsid w:val="000651EA"/>
    <w:rsid w:val="0006624A"/>
    <w:rsid w:val="00066584"/>
    <w:rsid w:val="00067A05"/>
    <w:rsid w:val="00071BF2"/>
    <w:rsid w:val="00071E47"/>
    <w:rsid w:val="00072294"/>
    <w:rsid w:val="00074AAA"/>
    <w:rsid w:val="00074C8D"/>
    <w:rsid w:val="00075FA0"/>
    <w:rsid w:val="00076064"/>
    <w:rsid w:val="0007659E"/>
    <w:rsid w:val="00076F13"/>
    <w:rsid w:val="000770E8"/>
    <w:rsid w:val="00082735"/>
    <w:rsid w:val="00082FA7"/>
    <w:rsid w:val="00085768"/>
    <w:rsid w:val="000858E1"/>
    <w:rsid w:val="000859E7"/>
    <w:rsid w:val="00087E61"/>
    <w:rsid w:val="00092897"/>
    <w:rsid w:val="000949FE"/>
    <w:rsid w:val="00094DCC"/>
    <w:rsid w:val="00097B24"/>
    <w:rsid w:val="000A1F1A"/>
    <w:rsid w:val="000A28AD"/>
    <w:rsid w:val="000A2FA7"/>
    <w:rsid w:val="000A5A01"/>
    <w:rsid w:val="000A6419"/>
    <w:rsid w:val="000A64C0"/>
    <w:rsid w:val="000A6AAC"/>
    <w:rsid w:val="000A773E"/>
    <w:rsid w:val="000B1F27"/>
    <w:rsid w:val="000C0F85"/>
    <w:rsid w:val="000C69CE"/>
    <w:rsid w:val="000D2DE9"/>
    <w:rsid w:val="000D3F25"/>
    <w:rsid w:val="000D4099"/>
    <w:rsid w:val="000D7A7F"/>
    <w:rsid w:val="000E2710"/>
    <w:rsid w:val="000E2A92"/>
    <w:rsid w:val="000E34E1"/>
    <w:rsid w:val="000E3BF4"/>
    <w:rsid w:val="000E417D"/>
    <w:rsid w:val="000E514F"/>
    <w:rsid w:val="000E5BC6"/>
    <w:rsid w:val="000E67AF"/>
    <w:rsid w:val="000F49A4"/>
    <w:rsid w:val="000F5A70"/>
    <w:rsid w:val="000F64D5"/>
    <w:rsid w:val="000F6D03"/>
    <w:rsid w:val="00105FB4"/>
    <w:rsid w:val="00107D59"/>
    <w:rsid w:val="0011065D"/>
    <w:rsid w:val="00110796"/>
    <w:rsid w:val="00110E25"/>
    <w:rsid w:val="001115B4"/>
    <w:rsid w:val="00111E9E"/>
    <w:rsid w:val="001120C7"/>
    <w:rsid w:val="001131AD"/>
    <w:rsid w:val="001149AA"/>
    <w:rsid w:val="00116A8F"/>
    <w:rsid w:val="00117902"/>
    <w:rsid w:val="00120425"/>
    <w:rsid w:val="0012153C"/>
    <w:rsid w:val="00123F4A"/>
    <w:rsid w:val="001255CD"/>
    <w:rsid w:val="00126C6F"/>
    <w:rsid w:val="00136346"/>
    <w:rsid w:val="001365B6"/>
    <w:rsid w:val="00136688"/>
    <w:rsid w:val="00140CE5"/>
    <w:rsid w:val="00140F9D"/>
    <w:rsid w:val="001418CA"/>
    <w:rsid w:val="001434E5"/>
    <w:rsid w:val="00145F4C"/>
    <w:rsid w:val="001465E4"/>
    <w:rsid w:val="00150F01"/>
    <w:rsid w:val="00154A9B"/>
    <w:rsid w:val="00157570"/>
    <w:rsid w:val="0016222B"/>
    <w:rsid w:val="0016222C"/>
    <w:rsid w:val="00162291"/>
    <w:rsid w:val="001630B7"/>
    <w:rsid w:val="001636A2"/>
    <w:rsid w:val="00165A5D"/>
    <w:rsid w:val="00167B84"/>
    <w:rsid w:val="00167BFA"/>
    <w:rsid w:val="00171BB2"/>
    <w:rsid w:val="00172817"/>
    <w:rsid w:val="001732BD"/>
    <w:rsid w:val="00176F20"/>
    <w:rsid w:val="001778AE"/>
    <w:rsid w:val="00180539"/>
    <w:rsid w:val="00181CF6"/>
    <w:rsid w:val="00184D74"/>
    <w:rsid w:val="00192083"/>
    <w:rsid w:val="001A0534"/>
    <w:rsid w:val="001A28C9"/>
    <w:rsid w:val="001A399F"/>
    <w:rsid w:val="001A4071"/>
    <w:rsid w:val="001A4F4B"/>
    <w:rsid w:val="001A5B78"/>
    <w:rsid w:val="001A5EA0"/>
    <w:rsid w:val="001A795C"/>
    <w:rsid w:val="001A7C4C"/>
    <w:rsid w:val="001B3AC6"/>
    <w:rsid w:val="001B4CC9"/>
    <w:rsid w:val="001B5E5E"/>
    <w:rsid w:val="001B6825"/>
    <w:rsid w:val="001B6D08"/>
    <w:rsid w:val="001B712C"/>
    <w:rsid w:val="001B7403"/>
    <w:rsid w:val="001B7DCD"/>
    <w:rsid w:val="001C0799"/>
    <w:rsid w:val="001C1944"/>
    <w:rsid w:val="001C2262"/>
    <w:rsid w:val="001C2DC1"/>
    <w:rsid w:val="001C585F"/>
    <w:rsid w:val="001D0C09"/>
    <w:rsid w:val="001D6EA4"/>
    <w:rsid w:val="001D7ED5"/>
    <w:rsid w:val="001E01ED"/>
    <w:rsid w:val="001E1EFD"/>
    <w:rsid w:val="001E213A"/>
    <w:rsid w:val="001E353F"/>
    <w:rsid w:val="001E3D3A"/>
    <w:rsid w:val="001E58D8"/>
    <w:rsid w:val="001E6F98"/>
    <w:rsid w:val="001F261C"/>
    <w:rsid w:val="001F4079"/>
    <w:rsid w:val="001F43F9"/>
    <w:rsid w:val="001F537A"/>
    <w:rsid w:val="001F5B00"/>
    <w:rsid w:val="001F649E"/>
    <w:rsid w:val="001F64B4"/>
    <w:rsid w:val="001F6666"/>
    <w:rsid w:val="00201362"/>
    <w:rsid w:val="002026DB"/>
    <w:rsid w:val="00204F96"/>
    <w:rsid w:val="00206732"/>
    <w:rsid w:val="00207323"/>
    <w:rsid w:val="00210DB5"/>
    <w:rsid w:val="0021164F"/>
    <w:rsid w:val="00211784"/>
    <w:rsid w:val="00213A54"/>
    <w:rsid w:val="00217160"/>
    <w:rsid w:val="002204C8"/>
    <w:rsid w:val="002205F0"/>
    <w:rsid w:val="00221902"/>
    <w:rsid w:val="00222C7C"/>
    <w:rsid w:val="00223599"/>
    <w:rsid w:val="00225DF2"/>
    <w:rsid w:val="002264E4"/>
    <w:rsid w:val="0023703B"/>
    <w:rsid w:val="00237A78"/>
    <w:rsid w:val="0024054E"/>
    <w:rsid w:val="0024180B"/>
    <w:rsid w:val="00247667"/>
    <w:rsid w:val="00247DBF"/>
    <w:rsid w:val="00250217"/>
    <w:rsid w:val="00251B37"/>
    <w:rsid w:val="00251C73"/>
    <w:rsid w:val="00252102"/>
    <w:rsid w:val="00254075"/>
    <w:rsid w:val="00256093"/>
    <w:rsid w:val="00257B34"/>
    <w:rsid w:val="0026104C"/>
    <w:rsid w:val="00263CA1"/>
    <w:rsid w:val="00264359"/>
    <w:rsid w:val="00264AFC"/>
    <w:rsid w:val="00270B65"/>
    <w:rsid w:val="00271719"/>
    <w:rsid w:val="00274DE6"/>
    <w:rsid w:val="00281A1A"/>
    <w:rsid w:val="0028240A"/>
    <w:rsid w:val="0028607D"/>
    <w:rsid w:val="00287405"/>
    <w:rsid w:val="0028765D"/>
    <w:rsid w:val="00287C1E"/>
    <w:rsid w:val="00291C4B"/>
    <w:rsid w:val="0029225C"/>
    <w:rsid w:val="00293670"/>
    <w:rsid w:val="00294AC7"/>
    <w:rsid w:val="00295BD5"/>
    <w:rsid w:val="00295CFE"/>
    <w:rsid w:val="0029790F"/>
    <w:rsid w:val="002A115A"/>
    <w:rsid w:val="002A242D"/>
    <w:rsid w:val="002A26E2"/>
    <w:rsid w:val="002A28DD"/>
    <w:rsid w:val="002A4563"/>
    <w:rsid w:val="002A704E"/>
    <w:rsid w:val="002A790F"/>
    <w:rsid w:val="002B0907"/>
    <w:rsid w:val="002B3EF2"/>
    <w:rsid w:val="002B491F"/>
    <w:rsid w:val="002B49CC"/>
    <w:rsid w:val="002B596B"/>
    <w:rsid w:val="002B6518"/>
    <w:rsid w:val="002B692B"/>
    <w:rsid w:val="002C1096"/>
    <w:rsid w:val="002C11CA"/>
    <w:rsid w:val="002C1590"/>
    <w:rsid w:val="002C2081"/>
    <w:rsid w:val="002C404F"/>
    <w:rsid w:val="002C4493"/>
    <w:rsid w:val="002C4DD9"/>
    <w:rsid w:val="002C4E4A"/>
    <w:rsid w:val="002C5E65"/>
    <w:rsid w:val="002C6BED"/>
    <w:rsid w:val="002D0482"/>
    <w:rsid w:val="002D0B6D"/>
    <w:rsid w:val="002D16D3"/>
    <w:rsid w:val="002D1767"/>
    <w:rsid w:val="002D3478"/>
    <w:rsid w:val="002D5032"/>
    <w:rsid w:val="002D523C"/>
    <w:rsid w:val="002D5DDD"/>
    <w:rsid w:val="002E0BF6"/>
    <w:rsid w:val="002E4501"/>
    <w:rsid w:val="002E491A"/>
    <w:rsid w:val="002E7119"/>
    <w:rsid w:val="002E7884"/>
    <w:rsid w:val="002F0D12"/>
    <w:rsid w:val="002F2C60"/>
    <w:rsid w:val="002F2E37"/>
    <w:rsid w:val="002F49BE"/>
    <w:rsid w:val="002F4AC6"/>
    <w:rsid w:val="002F4D59"/>
    <w:rsid w:val="00304B41"/>
    <w:rsid w:val="003075EE"/>
    <w:rsid w:val="00307D5E"/>
    <w:rsid w:val="00312D91"/>
    <w:rsid w:val="00313695"/>
    <w:rsid w:val="00314520"/>
    <w:rsid w:val="00315176"/>
    <w:rsid w:val="00315ABC"/>
    <w:rsid w:val="00322341"/>
    <w:rsid w:val="00323425"/>
    <w:rsid w:val="00323B2B"/>
    <w:rsid w:val="00331F08"/>
    <w:rsid w:val="003321CA"/>
    <w:rsid w:val="00333C49"/>
    <w:rsid w:val="0034249D"/>
    <w:rsid w:val="00343A38"/>
    <w:rsid w:val="00343A74"/>
    <w:rsid w:val="00343AEA"/>
    <w:rsid w:val="00350391"/>
    <w:rsid w:val="00355214"/>
    <w:rsid w:val="00357D39"/>
    <w:rsid w:val="0036351C"/>
    <w:rsid w:val="00364319"/>
    <w:rsid w:val="00366879"/>
    <w:rsid w:val="00367481"/>
    <w:rsid w:val="003715B4"/>
    <w:rsid w:val="00371C01"/>
    <w:rsid w:val="003737E3"/>
    <w:rsid w:val="00373C53"/>
    <w:rsid w:val="00382EFC"/>
    <w:rsid w:val="00383E5D"/>
    <w:rsid w:val="00384C32"/>
    <w:rsid w:val="00392D3A"/>
    <w:rsid w:val="0039622E"/>
    <w:rsid w:val="00396BB5"/>
    <w:rsid w:val="003A1D41"/>
    <w:rsid w:val="003A31B7"/>
    <w:rsid w:val="003A3375"/>
    <w:rsid w:val="003A3F57"/>
    <w:rsid w:val="003A5B28"/>
    <w:rsid w:val="003A780A"/>
    <w:rsid w:val="003B37C6"/>
    <w:rsid w:val="003B59E0"/>
    <w:rsid w:val="003C19DD"/>
    <w:rsid w:val="003C759C"/>
    <w:rsid w:val="003C7A6F"/>
    <w:rsid w:val="003C7F6D"/>
    <w:rsid w:val="003D09F5"/>
    <w:rsid w:val="003D0B7D"/>
    <w:rsid w:val="003D0E63"/>
    <w:rsid w:val="003D2DB6"/>
    <w:rsid w:val="003D4FEB"/>
    <w:rsid w:val="003D5AC4"/>
    <w:rsid w:val="003D796F"/>
    <w:rsid w:val="003E59E9"/>
    <w:rsid w:val="003F0975"/>
    <w:rsid w:val="003F2044"/>
    <w:rsid w:val="003F2070"/>
    <w:rsid w:val="003F262D"/>
    <w:rsid w:val="003F3C7F"/>
    <w:rsid w:val="003F3D06"/>
    <w:rsid w:val="003F41EA"/>
    <w:rsid w:val="003F62F6"/>
    <w:rsid w:val="003F7B22"/>
    <w:rsid w:val="00401262"/>
    <w:rsid w:val="004015A2"/>
    <w:rsid w:val="00401E5F"/>
    <w:rsid w:val="00402E7A"/>
    <w:rsid w:val="00402E96"/>
    <w:rsid w:val="00403155"/>
    <w:rsid w:val="00404D4C"/>
    <w:rsid w:val="004054BA"/>
    <w:rsid w:val="00405D49"/>
    <w:rsid w:val="00407C22"/>
    <w:rsid w:val="00410C69"/>
    <w:rsid w:val="00411A3A"/>
    <w:rsid w:val="00412C6F"/>
    <w:rsid w:val="004131E6"/>
    <w:rsid w:val="004152B3"/>
    <w:rsid w:val="0042114F"/>
    <w:rsid w:val="00423B00"/>
    <w:rsid w:val="00424C68"/>
    <w:rsid w:val="00424FB9"/>
    <w:rsid w:val="0043103A"/>
    <w:rsid w:val="0043143D"/>
    <w:rsid w:val="0043493E"/>
    <w:rsid w:val="0043521E"/>
    <w:rsid w:val="00436CFD"/>
    <w:rsid w:val="00437115"/>
    <w:rsid w:val="004374C2"/>
    <w:rsid w:val="00442CDF"/>
    <w:rsid w:val="00443886"/>
    <w:rsid w:val="00444847"/>
    <w:rsid w:val="00444F1E"/>
    <w:rsid w:val="00446552"/>
    <w:rsid w:val="00446892"/>
    <w:rsid w:val="00452294"/>
    <w:rsid w:val="00452B37"/>
    <w:rsid w:val="00452E24"/>
    <w:rsid w:val="00453D44"/>
    <w:rsid w:val="00454D89"/>
    <w:rsid w:val="0045579D"/>
    <w:rsid w:val="0045647A"/>
    <w:rsid w:val="0046025A"/>
    <w:rsid w:val="00462C96"/>
    <w:rsid w:val="00474255"/>
    <w:rsid w:val="004769C0"/>
    <w:rsid w:val="004815ED"/>
    <w:rsid w:val="004819F8"/>
    <w:rsid w:val="00481A3F"/>
    <w:rsid w:val="00484C3F"/>
    <w:rsid w:val="00490E77"/>
    <w:rsid w:val="00491F74"/>
    <w:rsid w:val="00494054"/>
    <w:rsid w:val="0049516D"/>
    <w:rsid w:val="0049535D"/>
    <w:rsid w:val="00495AAA"/>
    <w:rsid w:val="00496CF2"/>
    <w:rsid w:val="004A2D59"/>
    <w:rsid w:val="004B05E1"/>
    <w:rsid w:val="004B0780"/>
    <w:rsid w:val="004B2211"/>
    <w:rsid w:val="004B23FF"/>
    <w:rsid w:val="004B2F85"/>
    <w:rsid w:val="004B6416"/>
    <w:rsid w:val="004B7047"/>
    <w:rsid w:val="004B73BA"/>
    <w:rsid w:val="004C0446"/>
    <w:rsid w:val="004C1F3E"/>
    <w:rsid w:val="004C3F67"/>
    <w:rsid w:val="004C64B4"/>
    <w:rsid w:val="004D00BD"/>
    <w:rsid w:val="004D1600"/>
    <w:rsid w:val="004D21D0"/>
    <w:rsid w:val="004D38FD"/>
    <w:rsid w:val="004D67C7"/>
    <w:rsid w:val="004E0346"/>
    <w:rsid w:val="004E0F57"/>
    <w:rsid w:val="004E1014"/>
    <w:rsid w:val="004E2041"/>
    <w:rsid w:val="004E2D09"/>
    <w:rsid w:val="004E58BA"/>
    <w:rsid w:val="004E6786"/>
    <w:rsid w:val="004E6DCC"/>
    <w:rsid w:val="004E6F62"/>
    <w:rsid w:val="004E709F"/>
    <w:rsid w:val="004F0A56"/>
    <w:rsid w:val="004F296B"/>
    <w:rsid w:val="004F7621"/>
    <w:rsid w:val="004F7C47"/>
    <w:rsid w:val="00502F64"/>
    <w:rsid w:val="005030DE"/>
    <w:rsid w:val="0050437E"/>
    <w:rsid w:val="005043ED"/>
    <w:rsid w:val="0050454F"/>
    <w:rsid w:val="0050463A"/>
    <w:rsid w:val="0050500A"/>
    <w:rsid w:val="005061E1"/>
    <w:rsid w:val="00506D13"/>
    <w:rsid w:val="00506F39"/>
    <w:rsid w:val="00507BC8"/>
    <w:rsid w:val="005157C5"/>
    <w:rsid w:val="005217A0"/>
    <w:rsid w:val="005255D3"/>
    <w:rsid w:val="005274C2"/>
    <w:rsid w:val="00531455"/>
    <w:rsid w:val="00531606"/>
    <w:rsid w:val="00532265"/>
    <w:rsid w:val="00532A83"/>
    <w:rsid w:val="00533089"/>
    <w:rsid w:val="00533476"/>
    <w:rsid w:val="00534D95"/>
    <w:rsid w:val="0053682A"/>
    <w:rsid w:val="00537DC3"/>
    <w:rsid w:val="00540BF6"/>
    <w:rsid w:val="00543E4C"/>
    <w:rsid w:val="00544373"/>
    <w:rsid w:val="00546CC0"/>
    <w:rsid w:val="0054793D"/>
    <w:rsid w:val="00550369"/>
    <w:rsid w:val="00550AAD"/>
    <w:rsid w:val="00552A3B"/>
    <w:rsid w:val="005531FA"/>
    <w:rsid w:val="00555711"/>
    <w:rsid w:val="0055640E"/>
    <w:rsid w:val="005564E6"/>
    <w:rsid w:val="00556728"/>
    <w:rsid w:val="00557597"/>
    <w:rsid w:val="00560F2F"/>
    <w:rsid w:val="00561876"/>
    <w:rsid w:val="00561B8D"/>
    <w:rsid w:val="00566266"/>
    <w:rsid w:val="00570F84"/>
    <w:rsid w:val="005713C8"/>
    <w:rsid w:val="00572244"/>
    <w:rsid w:val="00574F48"/>
    <w:rsid w:val="00575A4D"/>
    <w:rsid w:val="0057604F"/>
    <w:rsid w:val="00576C38"/>
    <w:rsid w:val="00577FFB"/>
    <w:rsid w:val="005800ED"/>
    <w:rsid w:val="0058060C"/>
    <w:rsid w:val="005811A8"/>
    <w:rsid w:val="00584445"/>
    <w:rsid w:val="0058525D"/>
    <w:rsid w:val="005913F9"/>
    <w:rsid w:val="0059260C"/>
    <w:rsid w:val="005932AF"/>
    <w:rsid w:val="005A133C"/>
    <w:rsid w:val="005A4C2B"/>
    <w:rsid w:val="005B1CF9"/>
    <w:rsid w:val="005B200A"/>
    <w:rsid w:val="005B5439"/>
    <w:rsid w:val="005B64F0"/>
    <w:rsid w:val="005B76D8"/>
    <w:rsid w:val="005B7832"/>
    <w:rsid w:val="005C4162"/>
    <w:rsid w:val="005C5D27"/>
    <w:rsid w:val="005C7483"/>
    <w:rsid w:val="005D134C"/>
    <w:rsid w:val="005D23F2"/>
    <w:rsid w:val="005D3364"/>
    <w:rsid w:val="005D4F97"/>
    <w:rsid w:val="005D7623"/>
    <w:rsid w:val="005E3DC5"/>
    <w:rsid w:val="005E5E09"/>
    <w:rsid w:val="005E775E"/>
    <w:rsid w:val="005F08EE"/>
    <w:rsid w:val="005F18C2"/>
    <w:rsid w:val="005F4D60"/>
    <w:rsid w:val="005F5A26"/>
    <w:rsid w:val="005F6EB5"/>
    <w:rsid w:val="00600CCC"/>
    <w:rsid w:val="00601E4F"/>
    <w:rsid w:val="00603630"/>
    <w:rsid w:val="00603B60"/>
    <w:rsid w:val="006051E9"/>
    <w:rsid w:val="006055C7"/>
    <w:rsid w:val="006069B8"/>
    <w:rsid w:val="00606D48"/>
    <w:rsid w:val="00607ABC"/>
    <w:rsid w:val="00610A53"/>
    <w:rsid w:val="00612182"/>
    <w:rsid w:val="00613C68"/>
    <w:rsid w:val="006145F6"/>
    <w:rsid w:val="006150D8"/>
    <w:rsid w:val="006151D0"/>
    <w:rsid w:val="006204B8"/>
    <w:rsid w:val="00622B1E"/>
    <w:rsid w:val="00625F8C"/>
    <w:rsid w:val="006303FA"/>
    <w:rsid w:val="00630681"/>
    <w:rsid w:val="00633577"/>
    <w:rsid w:val="00635BA9"/>
    <w:rsid w:val="0064541C"/>
    <w:rsid w:val="00645911"/>
    <w:rsid w:val="0065005B"/>
    <w:rsid w:val="006515CE"/>
    <w:rsid w:val="006537A3"/>
    <w:rsid w:val="00653CCC"/>
    <w:rsid w:val="00655D85"/>
    <w:rsid w:val="00660D15"/>
    <w:rsid w:val="0066262D"/>
    <w:rsid w:val="00662690"/>
    <w:rsid w:val="00663366"/>
    <w:rsid w:val="00663D6F"/>
    <w:rsid w:val="00670ACE"/>
    <w:rsid w:val="00671822"/>
    <w:rsid w:val="006720A3"/>
    <w:rsid w:val="00672791"/>
    <w:rsid w:val="0067290B"/>
    <w:rsid w:val="00672A25"/>
    <w:rsid w:val="00674783"/>
    <w:rsid w:val="00676751"/>
    <w:rsid w:val="0068421C"/>
    <w:rsid w:val="00685F12"/>
    <w:rsid w:val="00686AAB"/>
    <w:rsid w:val="006919E3"/>
    <w:rsid w:val="00696A26"/>
    <w:rsid w:val="006A0728"/>
    <w:rsid w:val="006A38B2"/>
    <w:rsid w:val="006A5673"/>
    <w:rsid w:val="006A6235"/>
    <w:rsid w:val="006A673A"/>
    <w:rsid w:val="006B0DD1"/>
    <w:rsid w:val="006B1438"/>
    <w:rsid w:val="006B2053"/>
    <w:rsid w:val="006B4181"/>
    <w:rsid w:val="006B5486"/>
    <w:rsid w:val="006C07F6"/>
    <w:rsid w:val="006C56F0"/>
    <w:rsid w:val="006C786B"/>
    <w:rsid w:val="006D135C"/>
    <w:rsid w:val="006D5A6F"/>
    <w:rsid w:val="006E1EF5"/>
    <w:rsid w:val="006E442E"/>
    <w:rsid w:val="006E70CB"/>
    <w:rsid w:val="006E7D60"/>
    <w:rsid w:val="006F1418"/>
    <w:rsid w:val="006F1E0B"/>
    <w:rsid w:val="006F5F06"/>
    <w:rsid w:val="006F62FF"/>
    <w:rsid w:val="0070101A"/>
    <w:rsid w:val="00703A00"/>
    <w:rsid w:val="00711CC7"/>
    <w:rsid w:val="00711FEC"/>
    <w:rsid w:val="007149AD"/>
    <w:rsid w:val="0071511C"/>
    <w:rsid w:val="007171A8"/>
    <w:rsid w:val="0072003A"/>
    <w:rsid w:val="007207F9"/>
    <w:rsid w:val="007218C1"/>
    <w:rsid w:val="0072417D"/>
    <w:rsid w:val="0072517B"/>
    <w:rsid w:val="0072713C"/>
    <w:rsid w:val="007303AF"/>
    <w:rsid w:val="00734F71"/>
    <w:rsid w:val="00736F80"/>
    <w:rsid w:val="007370B2"/>
    <w:rsid w:val="00744145"/>
    <w:rsid w:val="007457E8"/>
    <w:rsid w:val="00750AC3"/>
    <w:rsid w:val="00753821"/>
    <w:rsid w:val="007542A3"/>
    <w:rsid w:val="00754BA3"/>
    <w:rsid w:val="00757829"/>
    <w:rsid w:val="00762648"/>
    <w:rsid w:val="00770A1C"/>
    <w:rsid w:val="00771320"/>
    <w:rsid w:val="00772A9A"/>
    <w:rsid w:val="00773CE9"/>
    <w:rsid w:val="007762F2"/>
    <w:rsid w:val="00780A9B"/>
    <w:rsid w:val="00784465"/>
    <w:rsid w:val="00786F87"/>
    <w:rsid w:val="007904EF"/>
    <w:rsid w:val="0079409D"/>
    <w:rsid w:val="00794F2D"/>
    <w:rsid w:val="00795D37"/>
    <w:rsid w:val="007961C5"/>
    <w:rsid w:val="007A079C"/>
    <w:rsid w:val="007A09A7"/>
    <w:rsid w:val="007A15E1"/>
    <w:rsid w:val="007A39AE"/>
    <w:rsid w:val="007A4A3A"/>
    <w:rsid w:val="007A4E85"/>
    <w:rsid w:val="007A53D4"/>
    <w:rsid w:val="007A6486"/>
    <w:rsid w:val="007A6E3B"/>
    <w:rsid w:val="007B1E99"/>
    <w:rsid w:val="007B26D4"/>
    <w:rsid w:val="007B2D47"/>
    <w:rsid w:val="007B433E"/>
    <w:rsid w:val="007B46AD"/>
    <w:rsid w:val="007B50C0"/>
    <w:rsid w:val="007B6AAF"/>
    <w:rsid w:val="007C1D2F"/>
    <w:rsid w:val="007C22EE"/>
    <w:rsid w:val="007C24FE"/>
    <w:rsid w:val="007C36E0"/>
    <w:rsid w:val="007C41AB"/>
    <w:rsid w:val="007C771C"/>
    <w:rsid w:val="007D1217"/>
    <w:rsid w:val="007D1323"/>
    <w:rsid w:val="007D14EA"/>
    <w:rsid w:val="007D1B2A"/>
    <w:rsid w:val="007D33E8"/>
    <w:rsid w:val="007D6754"/>
    <w:rsid w:val="007D75D1"/>
    <w:rsid w:val="007D7F9E"/>
    <w:rsid w:val="007E1A30"/>
    <w:rsid w:val="007E2D01"/>
    <w:rsid w:val="007E4206"/>
    <w:rsid w:val="007E49AF"/>
    <w:rsid w:val="007F06DA"/>
    <w:rsid w:val="007F1F84"/>
    <w:rsid w:val="007F1F87"/>
    <w:rsid w:val="007F20AF"/>
    <w:rsid w:val="007F2825"/>
    <w:rsid w:val="007F2844"/>
    <w:rsid w:val="007F2F01"/>
    <w:rsid w:val="007F3058"/>
    <w:rsid w:val="007F4F52"/>
    <w:rsid w:val="007F7ED7"/>
    <w:rsid w:val="008012A9"/>
    <w:rsid w:val="008034F3"/>
    <w:rsid w:val="00804A3B"/>
    <w:rsid w:val="00804EC1"/>
    <w:rsid w:val="00805AC1"/>
    <w:rsid w:val="00810F87"/>
    <w:rsid w:val="00812B00"/>
    <w:rsid w:val="00814290"/>
    <w:rsid w:val="008145E2"/>
    <w:rsid w:val="0081758F"/>
    <w:rsid w:val="00820994"/>
    <w:rsid w:val="008225FB"/>
    <w:rsid w:val="00823B00"/>
    <w:rsid w:val="00825123"/>
    <w:rsid w:val="00831B66"/>
    <w:rsid w:val="00832A5D"/>
    <w:rsid w:val="00832DBF"/>
    <w:rsid w:val="00834A74"/>
    <w:rsid w:val="008353A7"/>
    <w:rsid w:val="00835E30"/>
    <w:rsid w:val="00835E5B"/>
    <w:rsid w:val="008421FA"/>
    <w:rsid w:val="0084409A"/>
    <w:rsid w:val="0085254A"/>
    <w:rsid w:val="0085513F"/>
    <w:rsid w:val="008561BF"/>
    <w:rsid w:val="00856912"/>
    <w:rsid w:val="00857306"/>
    <w:rsid w:val="00860CAD"/>
    <w:rsid w:val="00860F4A"/>
    <w:rsid w:val="00861557"/>
    <w:rsid w:val="008616E7"/>
    <w:rsid w:val="00863BBA"/>
    <w:rsid w:val="00864D6D"/>
    <w:rsid w:val="008651FE"/>
    <w:rsid w:val="00870E30"/>
    <w:rsid w:val="00875952"/>
    <w:rsid w:val="00875DA8"/>
    <w:rsid w:val="00876DD1"/>
    <w:rsid w:val="00877559"/>
    <w:rsid w:val="00877E0F"/>
    <w:rsid w:val="008826D0"/>
    <w:rsid w:val="008831BB"/>
    <w:rsid w:val="00883301"/>
    <w:rsid w:val="00883ADA"/>
    <w:rsid w:val="00885B76"/>
    <w:rsid w:val="00895728"/>
    <w:rsid w:val="008A22A6"/>
    <w:rsid w:val="008A5A72"/>
    <w:rsid w:val="008A65F4"/>
    <w:rsid w:val="008A6608"/>
    <w:rsid w:val="008B1F11"/>
    <w:rsid w:val="008B3E32"/>
    <w:rsid w:val="008B433E"/>
    <w:rsid w:val="008B45E0"/>
    <w:rsid w:val="008B7082"/>
    <w:rsid w:val="008C001C"/>
    <w:rsid w:val="008C2A7E"/>
    <w:rsid w:val="008C2C4B"/>
    <w:rsid w:val="008C6D87"/>
    <w:rsid w:val="008C7177"/>
    <w:rsid w:val="008D0BDD"/>
    <w:rsid w:val="008D1080"/>
    <w:rsid w:val="008D29DD"/>
    <w:rsid w:val="008D3A9C"/>
    <w:rsid w:val="008D3B17"/>
    <w:rsid w:val="008D5765"/>
    <w:rsid w:val="008D67B8"/>
    <w:rsid w:val="008E21F8"/>
    <w:rsid w:val="008E290D"/>
    <w:rsid w:val="008E2E4F"/>
    <w:rsid w:val="008E3C09"/>
    <w:rsid w:val="008E4D38"/>
    <w:rsid w:val="008F176E"/>
    <w:rsid w:val="008F7DE4"/>
    <w:rsid w:val="00900EDD"/>
    <w:rsid w:val="00901B05"/>
    <w:rsid w:val="00903600"/>
    <w:rsid w:val="00904FCC"/>
    <w:rsid w:val="00905A83"/>
    <w:rsid w:val="00906596"/>
    <w:rsid w:val="00907DEF"/>
    <w:rsid w:val="009172C0"/>
    <w:rsid w:val="009206BA"/>
    <w:rsid w:val="0092087C"/>
    <w:rsid w:val="0092114D"/>
    <w:rsid w:val="00923F47"/>
    <w:rsid w:val="0092438F"/>
    <w:rsid w:val="00924FE5"/>
    <w:rsid w:val="009258CE"/>
    <w:rsid w:val="00925DD5"/>
    <w:rsid w:val="00926489"/>
    <w:rsid w:val="00931393"/>
    <w:rsid w:val="00931BCF"/>
    <w:rsid w:val="009321CF"/>
    <w:rsid w:val="00932F19"/>
    <w:rsid w:val="00934B8F"/>
    <w:rsid w:val="00934E6B"/>
    <w:rsid w:val="00936A4F"/>
    <w:rsid w:val="0094262B"/>
    <w:rsid w:val="00944CFD"/>
    <w:rsid w:val="00946143"/>
    <w:rsid w:val="0094696F"/>
    <w:rsid w:val="009518DD"/>
    <w:rsid w:val="009519C4"/>
    <w:rsid w:val="00951B72"/>
    <w:rsid w:val="00951BCA"/>
    <w:rsid w:val="009530DB"/>
    <w:rsid w:val="009542CD"/>
    <w:rsid w:val="00955D4D"/>
    <w:rsid w:val="0096071E"/>
    <w:rsid w:val="00962DBC"/>
    <w:rsid w:val="009635DE"/>
    <w:rsid w:val="0097201D"/>
    <w:rsid w:val="00972C48"/>
    <w:rsid w:val="009749AB"/>
    <w:rsid w:val="00974EFE"/>
    <w:rsid w:val="00975A97"/>
    <w:rsid w:val="0097797A"/>
    <w:rsid w:val="009779FC"/>
    <w:rsid w:val="00982137"/>
    <w:rsid w:val="00982998"/>
    <w:rsid w:val="009838A0"/>
    <w:rsid w:val="00986422"/>
    <w:rsid w:val="009901E7"/>
    <w:rsid w:val="00990439"/>
    <w:rsid w:val="00993D32"/>
    <w:rsid w:val="00994876"/>
    <w:rsid w:val="00994EB1"/>
    <w:rsid w:val="00995064"/>
    <w:rsid w:val="00997227"/>
    <w:rsid w:val="00997608"/>
    <w:rsid w:val="009A0CEF"/>
    <w:rsid w:val="009A0E43"/>
    <w:rsid w:val="009A26E6"/>
    <w:rsid w:val="009A68F8"/>
    <w:rsid w:val="009B04AF"/>
    <w:rsid w:val="009B1570"/>
    <w:rsid w:val="009B63E2"/>
    <w:rsid w:val="009B6F32"/>
    <w:rsid w:val="009C08B3"/>
    <w:rsid w:val="009C299E"/>
    <w:rsid w:val="009C34C0"/>
    <w:rsid w:val="009C7FD4"/>
    <w:rsid w:val="009D13B2"/>
    <w:rsid w:val="009D3844"/>
    <w:rsid w:val="009D4449"/>
    <w:rsid w:val="009D526E"/>
    <w:rsid w:val="009D60B9"/>
    <w:rsid w:val="009E11F8"/>
    <w:rsid w:val="009E15A7"/>
    <w:rsid w:val="009E28F1"/>
    <w:rsid w:val="009E4E08"/>
    <w:rsid w:val="009E56DC"/>
    <w:rsid w:val="009E59E1"/>
    <w:rsid w:val="009E5C84"/>
    <w:rsid w:val="009E63EB"/>
    <w:rsid w:val="009F19E2"/>
    <w:rsid w:val="009F1EC2"/>
    <w:rsid w:val="009F2183"/>
    <w:rsid w:val="009F288B"/>
    <w:rsid w:val="009F315A"/>
    <w:rsid w:val="009F6D32"/>
    <w:rsid w:val="00A00F34"/>
    <w:rsid w:val="00A02056"/>
    <w:rsid w:val="00A04428"/>
    <w:rsid w:val="00A051EB"/>
    <w:rsid w:val="00A0525A"/>
    <w:rsid w:val="00A1053A"/>
    <w:rsid w:val="00A10F03"/>
    <w:rsid w:val="00A1167F"/>
    <w:rsid w:val="00A11BEE"/>
    <w:rsid w:val="00A13181"/>
    <w:rsid w:val="00A1523E"/>
    <w:rsid w:val="00A15D03"/>
    <w:rsid w:val="00A161FB"/>
    <w:rsid w:val="00A204C1"/>
    <w:rsid w:val="00A22A74"/>
    <w:rsid w:val="00A23926"/>
    <w:rsid w:val="00A24196"/>
    <w:rsid w:val="00A245E9"/>
    <w:rsid w:val="00A252F8"/>
    <w:rsid w:val="00A25874"/>
    <w:rsid w:val="00A27535"/>
    <w:rsid w:val="00A344A7"/>
    <w:rsid w:val="00A35711"/>
    <w:rsid w:val="00A3572A"/>
    <w:rsid w:val="00A3610F"/>
    <w:rsid w:val="00A36640"/>
    <w:rsid w:val="00A36B87"/>
    <w:rsid w:val="00A36F4A"/>
    <w:rsid w:val="00A36FAA"/>
    <w:rsid w:val="00A3782E"/>
    <w:rsid w:val="00A408A8"/>
    <w:rsid w:val="00A41100"/>
    <w:rsid w:val="00A4134D"/>
    <w:rsid w:val="00A423E2"/>
    <w:rsid w:val="00A43A11"/>
    <w:rsid w:val="00A44FB1"/>
    <w:rsid w:val="00A47FD4"/>
    <w:rsid w:val="00A51EE6"/>
    <w:rsid w:val="00A543BE"/>
    <w:rsid w:val="00A57043"/>
    <w:rsid w:val="00A57881"/>
    <w:rsid w:val="00A57B39"/>
    <w:rsid w:val="00A6349B"/>
    <w:rsid w:val="00A6415A"/>
    <w:rsid w:val="00A71676"/>
    <w:rsid w:val="00A7557B"/>
    <w:rsid w:val="00A759CE"/>
    <w:rsid w:val="00A80750"/>
    <w:rsid w:val="00A8218B"/>
    <w:rsid w:val="00A84E8F"/>
    <w:rsid w:val="00A87EDC"/>
    <w:rsid w:val="00A94D9F"/>
    <w:rsid w:val="00A9654F"/>
    <w:rsid w:val="00AA12E4"/>
    <w:rsid w:val="00AA1658"/>
    <w:rsid w:val="00AA2489"/>
    <w:rsid w:val="00AA265C"/>
    <w:rsid w:val="00AA2A10"/>
    <w:rsid w:val="00AA3132"/>
    <w:rsid w:val="00AA361F"/>
    <w:rsid w:val="00AA3EDF"/>
    <w:rsid w:val="00AA7C52"/>
    <w:rsid w:val="00AB7FEB"/>
    <w:rsid w:val="00AC21C3"/>
    <w:rsid w:val="00AC23F9"/>
    <w:rsid w:val="00AC2C19"/>
    <w:rsid w:val="00AC4965"/>
    <w:rsid w:val="00AD041C"/>
    <w:rsid w:val="00AD2697"/>
    <w:rsid w:val="00AD4069"/>
    <w:rsid w:val="00AD4FEA"/>
    <w:rsid w:val="00AD54E1"/>
    <w:rsid w:val="00AE0EF5"/>
    <w:rsid w:val="00AE1346"/>
    <w:rsid w:val="00AE18B6"/>
    <w:rsid w:val="00AF02F2"/>
    <w:rsid w:val="00AF3835"/>
    <w:rsid w:val="00AF3C00"/>
    <w:rsid w:val="00AF3F7B"/>
    <w:rsid w:val="00AF6461"/>
    <w:rsid w:val="00B00F9E"/>
    <w:rsid w:val="00B01663"/>
    <w:rsid w:val="00B05056"/>
    <w:rsid w:val="00B05989"/>
    <w:rsid w:val="00B06E6D"/>
    <w:rsid w:val="00B12B4D"/>
    <w:rsid w:val="00B1538C"/>
    <w:rsid w:val="00B24065"/>
    <w:rsid w:val="00B25DA2"/>
    <w:rsid w:val="00B26023"/>
    <w:rsid w:val="00B26DFD"/>
    <w:rsid w:val="00B27BC9"/>
    <w:rsid w:val="00B30EC2"/>
    <w:rsid w:val="00B35436"/>
    <w:rsid w:val="00B36855"/>
    <w:rsid w:val="00B406FC"/>
    <w:rsid w:val="00B4139F"/>
    <w:rsid w:val="00B41C80"/>
    <w:rsid w:val="00B42775"/>
    <w:rsid w:val="00B430BC"/>
    <w:rsid w:val="00B45BA9"/>
    <w:rsid w:val="00B46187"/>
    <w:rsid w:val="00B46410"/>
    <w:rsid w:val="00B509C2"/>
    <w:rsid w:val="00B54137"/>
    <w:rsid w:val="00B5473F"/>
    <w:rsid w:val="00B56828"/>
    <w:rsid w:val="00B60C6B"/>
    <w:rsid w:val="00B639DF"/>
    <w:rsid w:val="00B63EE3"/>
    <w:rsid w:val="00B64CA0"/>
    <w:rsid w:val="00B6630E"/>
    <w:rsid w:val="00B7286A"/>
    <w:rsid w:val="00B76F78"/>
    <w:rsid w:val="00B8499B"/>
    <w:rsid w:val="00B85D02"/>
    <w:rsid w:val="00B90BF0"/>
    <w:rsid w:val="00B910D1"/>
    <w:rsid w:val="00B92540"/>
    <w:rsid w:val="00B93712"/>
    <w:rsid w:val="00B966A3"/>
    <w:rsid w:val="00BA05DC"/>
    <w:rsid w:val="00BA1736"/>
    <w:rsid w:val="00BA2379"/>
    <w:rsid w:val="00BA2760"/>
    <w:rsid w:val="00BA3393"/>
    <w:rsid w:val="00BA47FC"/>
    <w:rsid w:val="00BA51B7"/>
    <w:rsid w:val="00BA5917"/>
    <w:rsid w:val="00BA6DEA"/>
    <w:rsid w:val="00BB0355"/>
    <w:rsid w:val="00BB056A"/>
    <w:rsid w:val="00BB0C21"/>
    <w:rsid w:val="00BB1080"/>
    <w:rsid w:val="00BB1CA4"/>
    <w:rsid w:val="00BB33B3"/>
    <w:rsid w:val="00BB415D"/>
    <w:rsid w:val="00BB4B50"/>
    <w:rsid w:val="00BB51D5"/>
    <w:rsid w:val="00BB656C"/>
    <w:rsid w:val="00BB6A64"/>
    <w:rsid w:val="00BC19BA"/>
    <w:rsid w:val="00BC387E"/>
    <w:rsid w:val="00BC584C"/>
    <w:rsid w:val="00BC5A3D"/>
    <w:rsid w:val="00BD0073"/>
    <w:rsid w:val="00BD381F"/>
    <w:rsid w:val="00BE112B"/>
    <w:rsid w:val="00BE590D"/>
    <w:rsid w:val="00BE5E30"/>
    <w:rsid w:val="00BF1CE2"/>
    <w:rsid w:val="00BF31A1"/>
    <w:rsid w:val="00BF69AF"/>
    <w:rsid w:val="00BF7DE2"/>
    <w:rsid w:val="00C062DD"/>
    <w:rsid w:val="00C0671A"/>
    <w:rsid w:val="00C0795B"/>
    <w:rsid w:val="00C07991"/>
    <w:rsid w:val="00C07D9A"/>
    <w:rsid w:val="00C1129C"/>
    <w:rsid w:val="00C1352E"/>
    <w:rsid w:val="00C14648"/>
    <w:rsid w:val="00C15924"/>
    <w:rsid w:val="00C160FD"/>
    <w:rsid w:val="00C16EE7"/>
    <w:rsid w:val="00C219AA"/>
    <w:rsid w:val="00C23CA8"/>
    <w:rsid w:val="00C24C92"/>
    <w:rsid w:val="00C32926"/>
    <w:rsid w:val="00C344F9"/>
    <w:rsid w:val="00C355CC"/>
    <w:rsid w:val="00C40674"/>
    <w:rsid w:val="00C41126"/>
    <w:rsid w:val="00C4331E"/>
    <w:rsid w:val="00C4430A"/>
    <w:rsid w:val="00C50475"/>
    <w:rsid w:val="00C56821"/>
    <w:rsid w:val="00C570F1"/>
    <w:rsid w:val="00C571C9"/>
    <w:rsid w:val="00C579EF"/>
    <w:rsid w:val="00C60A05"/>
    <w:rsid w:val="00C62E52"/>
    <w:rsid w:val="00C66110"/>
    <w:rsid w:val="00C6782C"/>
    <w:rsid w:val="00C71009"/>
    <w:rsid w:val="00C71708"/>
    <w:rsid w:val="00C73E41"/>
    <w:rsid w:val="00C74756"/>
    <w:rsid w:val="00C75DCC"/>
    <w:rsid w:val="00C763BB"/>
    <w:rsid w:val="00C77D95"/>
    <w:rsid w:val="00C80E45"/>
    <w:rsid w:val="00C862F1"/>
    <w:rsid w:val="00C87786"/>
    <w:rsid w:val="00C91BB9"/>
    <w:rsid w:val="00C96B18"/>
    <w:rsid w:val="00C96F08"/>
    <w:rsid w:val="00C97385"/>
    <w:rsid w:val="00CA087D"/>
    <w:rsid w:val="00CA20F7"/>
    <w:rsid w:val="00CA2431"/>
    <w:rsid w:val="00CA72B4"/>
    <w:rsid w:val="00CB49BA"/>
    <w:rsid w:val="00CB6D8D"/>
    <w:rsid w:val="00CC24A6"/>
    <w:rsid w:val="00CC2D9E"/>
    <w:rsid w:val="00CC612D"/>
    <w:rsid w:val="00CD00EA"/>
    <w:rsid w:val="00CD014E"/>
    <w:rsid w:val="00CD5F69"/>
    <w:rsid w:val="00CD76AC"/>
    <w:rsid w:val="00CE1CA4"/>
    <w:rsid w:val="00CE2F49"/>
    <w:rsid w:val="00CE306E"/>
    <w:rsid w:val="00CE7651"/>
    <w:rsid w:val="00CE76DF"/>
    <w:rsid w:val="00CE7F8C"/>
    <w:rsid w:val="00CF3B9E"/>
    <w:rsid w:val="00CF3DF4"/>
    <w:rsid w:val="00CF4353"/>
    <w:rsid w:val="00CF4766"/>
    <w:rsid w:val="00CF49ED"/>
    <w:rsid w:val="00CF657E"/>
    <w:rsid w:val="00CF68C4"/>
    <w:rsid w:val="00D01A4B"/>
    <w:rsid w:val="00D06702"/>
    <w:rsid w:val="00D06F34"/>
    <w:rsid w:val="00D11D51"/>
    <w:rsid w:val="00D13060"/>
    <w:rsid w:val="00D14AF5"/>
    <w:rsid w:val="00D15772"/>
    <w:rsid w:val="00D15C3B"/>
    <w:rsid w:val="00D1732C"/>
    <w:rsid w:val="00D208A3"/>
    <w:rsid w:val="00D21ACB"/>
    <w:rsid w:val="00D239E8"/>
    <w:rsid w:val="00D23CBC"/>
    <w:rsid w:val="00D2488C"/>
    <w:rsid w:val="00D24F4F"/>
    <w:rsid w:val="00D2596A"/>
    <w:rsid w:val="00D25D25"/>
    <w:rsid w:val="00D26C80"/>
    <w:rsid w:val="00D3040E"/>
    <w:rsid w:val="00D31D8D"/>
    <w:rsid w:val="00D35D80"/>
    <w:rsid w:val="00D36A8C"/>
    <w:rsid w:val="00D37959"/>
    <w:rsid w:val="00D37BEE"/>
    <w:rsid w:val="00D4267F"/>
    <w:rsid w:val="00D44FB8"/>
    <w:rsid w:val="00D45F58"/>
    <w:rsid w:val="00D4621D"/>
    <w:rsid w:val="00D517F5"/>
    <w:rsid w:val="00D54535"/>
    <w:rsid w:val="00D54A0D"/>
    <w:rsid w:val="00D54B6C"/>
    <w:rsid w:val="00D57061"/>
    <w:rsid w:val="00D631D6"/>
    <w:rsid w:val="00D65B42"/>
    <w:rsid w:val="00D676D5"/>
    <w:rsid w:val="00D67B2F"/>
    <w:rsid w:val="00D703C7"/>
    <w:rsid w:val="00D70F60"/>
    <w:rsid w:val="00D71171"/>
    <w:rsid w:val="00D71A71"/>
    <w:rsid w:val="00D72180"/>
    <w:rsid w:val="00D7276D"/>
    <w:rsid w:val="00D744F6"/>
    <w:rsid w:val="00D81E20"/>
    <w:rsid w:val="00D82719"/>
    <w:rsid w:val="00D83CF4"/>
    <w:rsid w:val="00D8446D"/>
    <w:rsid w:val="00D849F4"/>
    <w:rsid w:val="00D8642E"/>
    <w:rsid w:val="00D87DF0"/>
    <w:rsid w:val="00D926DF"/>
    <w:rsid w:val="00D937B0"/>
    <w:rsid w:val="00D94CB3"/>
    <w:rsid w:val="00DA05BA"/>
    <w:rsid w:val="00DA16A0"/>
    <w:rsid w:val="00DA233F"/>
    <w:rsid w:val="00DA63BA"/>
    <w:rsid w:val="00DA75CC"/>
    <w:rsid w:val="00DB07C8"/>
    <w:rsid w:val="00DB2371"/>
    <w:rsid w:val="00DB5056"/>
    <w:rsid w:val="00DB64B6"/>
    <w:rsid w:val="00DB6F1A"/>
    <w:rsid w:val="00DB7141"/>
    <w:rsid w:val="00DC011B"/>
    <w:rsid w:val="00DC2290"/>
    <w:rsid w:val="00DC3577"/>
    <w:rsid w:val="00DC7A7D"/>
    <w:rsid w:val="00DD034B"/>
    <w:rsid w:val="00DD2325"/>
    <w:rsid w:val="00DD3794"/>
    <w:rsid w:val="00DD37E9"/>
    <w:rsid w:val="00DE0947"/>
    <w:rsid w:val="00DE256F"/>
    <w:rsid w:val="00DE25C3"/>
    <w:rsid w:val="00DE4866"/>
    <w:rsid w:val="00DF0889"/>
    <w:rsid w:val="00DF154A"/>
    <w:rsid w:val="00DF15C5"/>
    <w:rsid w:val="00DF1F44"/>
    <w:rsid w:val="00DF309B"/>
    <w:rsid w:val="00DF33EC"/>
    <w:rsid w:val="00DF41E5"/>
    <w:rsid w:val="00DF6C2B"/>
    <w:rsid w:val="00DF7016"/>
    <w:rsid w:val="00E00256"/>
    <w:rsid w:val="00E03A63"/>
    <w:rsid w:val="00E05128"/>
    <w:rsid w:val="00E122F3"/>
    <w:rsid w:val="00E150C5"/>
    <w:rsid w:val="00E24DB9"/>
    <w:rsid w:val="00E25DCE"/>
    <w:rsid w:val="00E30351"/>
    <w:rsid w:val="00E30AF1"/>
    <w:rsid w:val="00E31310"/>
    <w:rsid w:val="00E32E4D"/>
    <w:rsid w:val="00E341FB"/>
    <w:rsid w:val="00E353A6"/>
    <w:rsid w:val="00E36199"/>
    <w:rsid w:val="00E36847"/>
    <w:rsid w:val="00E36987"/>
    <w:rsid w:val="00E376D1"/>
    <w:rsid w:val="00E42444"/>
    <w:rsid w:val="00E4339D"/>
    <w:rsid w:val="00E4680F"/>
    <w:rsid w:val="00E50903"/>
    <w:rsid w:val="00E511F5"/>
    <w:rsid w:val="00E53350"/>
    <w:rsid w:val="00E55A5B"/>
    <w:rsid w:val="00E55EF8"/>
    <w:rsid w:val="00E56B65"/>
    <w:rsid w:val="00E572BD"/>
    <w:rsid w:val="00E579F9"/>
    <w:rsid w:val="00E57F03"/>
    <w:rsid w:val="00E611FA"/>
    <w:rsid w:val="00E650C3"/>
    <w:rsid w:val="00E66140"/>
    <w:rsid w:val="00E73B5E"/>
    <w:rsid w:val="00E823EE"/>
    <w:rsid w:val="00E8504D"/>
    <w:rsid w:val="00E86EC5"/>
    <w:rsid w:val="00E90504"/>
    <w:rsid w:val="00E907B1"/>
    <w:rsid w:val="00E90CD4"/>
    <w:rsid w:val="00E91901"/>
    <w:rsid w:val="00E92304"/>
    <w:rsid w:val="00EA42E4"/>
    <w:rsid w:val="00EA64F5"/>
    <w:rsid w:val="00EB1076"/>
    <w:rsid w:val="00EB503A"/>
    <w:rsid w:val="00EC07A8"/>
    <w:rsid w:val="00EC5919"/>
    <w:rsid w:val="00ED05DC"/>
    <w:rsid w:val="00ED1F41"/>
    <w:rsid w:val="00ED2FA6"/>
    <w:rsid w:val="00ED37CC"/>
    <w:rsid w:val="00ED5ACC"/>
    <w:rsid w:val="00ED5DD8"/>
    <w:rsid w:val="00ED79E6"/>
    <w:rsid w:val="00EE1288"/>
    <w:rsid w:val="00EE1608"/>
    <w:rsid w:val="00EE2326"/>
    <w:rsid w:val="00EE38CF"/>
    <w:rsid w:val="00EE3C01"/>
    <w:rsid w:val="00EE3CA6"/>
    <w:rsid w:val="00EE61EF"/>
    <w:rsid w:val="00EE73B6"/>
    <w:rsid w:val="00EF2BB6"/>
    <w:rsid w:val="00EF5DDB"/>
    <w:rsid w:val="00EF5F73"/>
    <w:rsid w:val="00F007E0"/>
    <w:rsid w:val="00F0285C"/>
    <w:rsid w:val="00F04F5A"/>
    <w:rsid w:val="00F148C3"/>
    <w:rsid w:val="00F15AD1"/>
    <w:rsid w:val="00F16FB5"/>
    <w:rsid w:val="00F20471"/>
    <w:rsid w:val="00F221CC"/>
    <w:rsid w:val="00F22ADD"/>
    <w:rsid w:val="00F2317A"/>
    <w:rsid w:val="00F24A72"/>
    <w:rsid w:val="00F24D57"/>
    <w:rsid w:val="00F255C3"/>
    <w:rsid w:val="00F2751C"/>
    <w:rsid w:val="00F3026D"/>
    <w:rsid w:val="00F30661"/>
    <w:rsid w:val="00F347F8"/>
    <w:rsid w:val="00F34A2C"/>
    <w:rsid w:val="00F35BA7"/>
    <w:rsid w:val="00F374A2"/>
    <w:rsid w:val="00F37C06"/>
    <w:rsid w:val="00F37F6B"/>
    <w:rsid w:val="00F43C3C"/>
    <w:rsid w:val="00F44F0D"/>
    <w:rsid w:val="00F469E6"/>
    <w:rsid w:val="00F513A8"/>
    <w:rsid w:val="00F548A0"/>
    <w:rsid w:val="00F57250"/>
    <w:rsid w:val="00F6041C"/>
    <w:rsid w:val="00F61982"/>
    <w:rsid w:val="00F633B8"/>
    <w:rsid w:val="00F64E54"/>
    <w:rsid w:val="00F6552C"/>
    <w:rsid w:val="00F66F74"/>
    <w:rsid w:val="00F675A1"/>
    <w:rsid w:val="00F701B5"/>
    <w:rsid w:val="00F71C42"/>
    <w:rsid w:val="00F75FEC"/>
    <w:rsid w:val="00F770F6"/>
    <w:rsid w:val="00F7761E"/>
    <w:rsid w:val="00F77CA7"/>
    <w:rsid w:val="00F821B3"/>
    <w:rsid w:val="00F8244B"/>
    <w:rsid w:val="00F83694"/>
    <w:rsid w:val="00F84A16"/>
    <w:rsid w:val="00F9071B"/>
    <w:rsid w:val="00F920E9"/>
    <w:rsid w:val="00F93A86"/>
    <w:rsid w:val="00F961F3"/>
    <w:rsid w:val="00F9723B"/>
    <w:rsid w:val="00FA18C4"/>
    <w:rsid w:val="00FA488F"/>
    <w:rsid w:val="00FA61AE"/>
    <w:rsid w:val="00FA79C5"/>
    <w:rsid w:val="00FB1F0F"/>
    <w:rsid w:val="00FB2248"/>
    <w:rsid w:val="00FB3806"/>
    <w:rsid w:val="00FB3F95"/>
    <w:rsid w:val="00FB66DD"/>
    <w:rsid w:val="00FB6AEC"/>
    <w:rsid w:val="00FC11B2"/>
    <w:rsid w:val="00FC128B"/>
    <w:rsid w:val="00FC139B"/>
    <w:rsid w:val="00FC1951"/>
    <w:rsid w:val="00FC292B"/>
    <w:rsid w:val="00FC41FF"/>
    <w:rsid w:val="00FC4289"/>
    <w:rsid w:val="00FC4668"/>
    <w:rsid w:val="00FC60CD"/>
    <w:rsid w:val="00FD3F4D"/>
    <w:rsid w:val="00FD555A"/>
    <w:rsid w:val="00FE1F11"/>
    <w:rsid w:val="00FE3180"/>
    <w:rsid w:val="00FE41F4"/>
    <w:rsid w:val="00FE62B2"/>
    <w:rsid w:val="00FF0205"/>
    <w:rsid w:val="00FF2632"/>
    <w:rsid w:val="00FF2C6B"/>
    <w:rsid w:val="00FF332C"/>
    <w:rsid w:val="00FF3A4D"/>
    <w:rsid w:val="00FF3E80"/>
    <w:rsid w:val="00FF56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59"/>
    <w:pPr>
      <w:autoSpaceDE w:val="0"/>
      <w:autoSpaceDN w:val="0"/>
      <w:adjustRightInd w:val="0"/>
      <w:spacing w:line="220" w:lineRule="atLeast"/>
      <w:jc w:val="both"/>
    </w:pPr>
    <w:rPr>
      <w:rFonts w:ascii="Verdana" w:hAnsi="Verdana" w:cs="Verdana"/>
      <w:color w:val="000000"/>
      <w:szCs w:val="24"/>
      <w:lang w:val="es-ES_tradnl"/>
    </w:rPr>
  </w:style>
  <w:style w:type="paragraph" w:styleId="Heading1">
    <w:name w:val="heading 1"/>
    <w:basedOn w:val="Normal"/>
    <w:next w:val="Normal"/>
    <w:link w:val="Heading1Char"/>
    <w:qFormat/>
    <w:rsid w:val="008C001C"/>
    <w:pPr>
      <w:keepNext/>
      <w:jc w:val="center"/>
      <w:outlineLvl w:val="0"/>
    </w:pPr>
    <w:rPr>
      <w:rFonts w:eastAsia="Times"/>
      <w:b/>
      <w:caps/>
      <w:sz w:val="28"/>
      <w:szCs w:val="20"/>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szCs w:val="20"/>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MediumGrid1-Accent21">
    <w:name w:val="Medium Grid 1 - Accent 2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szCs w:val="20"/>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pPr>
    <w:rPr>
      <w:rFonts w:ascii="Univers" w:hAnsi="Univers"/>
      <w:spacing w:val="-2"/>
      <w:sz w:val="18"/>
      <w:szCs w:val="20"/>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szCs w:val="20"/>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uiPriority w:val="99"/>
    <w:rsid w:val="00975A97"/>
    <w:pPr>
      <w:tabs>
        <w:tab w:val="center" w:pos="4320"/>
        <w:tab w:val="right" w:pos="8640"/>
      </w:tabs>
    </w:pPr>
    <w:rPr>
      <w:rFonts w:ascii="Times" w:eastAsia="Times" w:hAnsi="Times"/>
      <w:szCs w:val="20"/>
      <w:lang w:eastAsia="x-none"/>
    </w:rPr>
  </w:style>
  <w:style w:type="character" w:customStyle="1" w:styleId="FooterChar">
    <w:name w:val="Footer Char"/>
    <w:link w:val="Footer"/>
    <w:uiPriority w:val="99"/>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MediumList2-Accent21">
    <w:name w:val="Medium List 2 - Accent 2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pPr>
    <w:rPr>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szCs w:val="20"/>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customStyle="1" w:styleId="ColorfulShading-Accent11">
    <w:name w:val="Colorful Shading - Accent 11"/>
    <w:hidden/>
    <w:uiPriority w:val="99"/>
    <w:semiHidden/>
    <w:rsid w:val="00F221CC"/>
    <w:rPr>
      <w:rFonts w:ascii="Times New Roman" w:eastAsia="Times New Roman" w:hAnsi="Times New Roman"/>
      <w:sz w:val="24"/>
      <w:szCs w:val="24"/>
      <w:lang w:val="es-ES_tradnl" w:eastAsia="en-US"/>
    </w:rPr>
  </w:style>
  <w:style w:type="paragraph" w:customStyle="1" w:styleId="ColorfulList-Accent11">
    <w:name w:val="Colorful List - Accent 11"/>
    <w:basedOn w:val="Normal"/>
    <w:uiPriority w:val="34"/>
    <w:qFormat/>
    <w:rsid w:val="00F43C3C"/>
    <w:pPr>
      <w:ind w:left="708"/>
    </w:pPr>
  </w:style>
  <w:style w:type="paragraph" w:styleId="ListParagraph">
    <w:name w:val="List Paragraph"/>
    <w:aliases w:val="Párrafo de lista1"/>
    <w:basedOn w:val="Normal"/>
    <w:link w:val="ListParagraphChar"/>
    <w:qFormat/>
    <w:rsid w:val="00481A3F"/>
    <w:pPr>
      <w:ind w:left="720"/>
    </w:pPr>
  </w:style>
  <w:style w:type="paragraph" w:styleId="Revision">
    <w:name w:val="Revision"/>
    <w:hidden/>
    <w:uiPriority w:val="99"/>
    <w:semiHidden/>
    <w:rsid w:val="009B04AF"/>
    <w:rPr>
      <w:rFonts w:ascii="Times New Roman" w:eastAsia="Times New Roman" w:hAnsi="Times New Roman"/>
      <w:sz w:val="24"/>
      <w:szCs w:val="24"/>
      <w:lang w:val="es-ES_tradnl" w:eastAsia="en-US"/>
    </w:rPr>
  </w:style>
  <w:style w:type="character" w:styleId="Hyperlink">
    <w:name w:val="Hyperlink"/>
    <w:uiPriority w:val="99"/>
    <w:unhideWhenUsed/>
    <w:rsid w:val="009838A0"/>
    <w:rPr>
      <w:color w:val="0000FF"/>
      <w:u w:val="single"/>
    </w:rPr>
  </w:style>
  <w:style w:type="paragraph" w:customStyle="1" w:styleId="Default">
    <w:name w:val="Default"/>
    <w:rsid w:val="008D3A9C"/>
    <w:pPr>
      <w:autoSpaceDE w:val="0"/>
      <w:autoSpaceDN w:val="0"/>
      <w:adjustRightInd w:val="0"/>
    </w:pPr>
    <w:rPr>
      <w:rFonts w:ascii="Verdana" w:hAnsi="Verdana" w:cs="Verdana"/>
      <w:color w:val="000000"/>
      <w:sz w:val="24"/>
      <w:szCs w:val="24"/>
      <w:lang w:val="en-US"/>
    </w:rPr>
  </w:style>
  <w:style w:type="character" w:customStyle="1" w:styleId="apple-converted-space">
    <w:name w:val="apple-converted-space"/>
    <w:rsid w:val="000F6D03"/>
  </w:style>
  <w:style w:type="character" w:customStyle="1" w:styleId="eacep">
    <w:name w:val="eacep"/>
    <w:basedOn w:val="DefaultParagraphFont"/>
    <w:rsid w:val="00225DF2"/>
  </w:style>
  <w:style w:type="character" w:customStyle="1" w:styleId="ListParagraphChar">
    <w:name w:val="List Paragraph Char"/>
    <w:aliases w:val="Párrafo de lista1 Char"/>
    <w:link w:val="ListParagraph"/>
    <w:uiPriority w:val="34"/>
    <w:locked/>
    <w:rsid w:val="00EF5F73"/>
    <w:rPr>
      <w:rFonts w:ascii="Times New Roman" w:eastAsia="Times New Roman" w:hAnsi="Times New Roman"/>
      <w:sz w:val="24"/>
      <w:szCs w:val="24"/>
      <w:lang w:val="es-ES_tradnl" w:eastAsia="en-US"/>
    </w:rPr>
  </w:style>
  <w:style w:type="character" w:styleId="LineNumber">
    <w:name w:val="line number"/>
    <w:basedOn w:val="DefaultParagraphFont"/>
    <w:uiPriority w:val="99"/>
    <w:semiHidden/>
    <w:unhideWhenUsed/>
    <w:rsid w:val="00D37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59"/>
    <w:pPr>
      <w:autoSpaceDE w:val="0"/>
      <w:autoSpaceDN w:val="0"/>
      <w:adjustRightInd w:val="0"/>
      <w:spacing w:line="220" w:lineRule="atLeast"/>
      <w:jc w:val="both"/>
    </w:pPr>
    <w:rPr>
      <w:rFonts w:ascii="Verdana" w:hAnsi="Verdana" w:cs="Verdana"/>
      <w:color w:val="000000"/>
      <w:szCs w:val="24"/>
      <w:lang w:val="es-ES_tradnl"/>
    </w:rPr>
  </w:style>
  <w:style w:type="paragraph" w:styleId="Heading1">
    <w:name w:val="heading 1"/>
    <w:basedOn w:val="Normal"/>
    <w:next w:val="Normal"/>
    <w:link w:val="Heading1Char"/>
    <w:qFormat/>
    <w:rsid w:val="008C001C"/>
    <w:pPr>
      <w:keepNext/>
      <w:jc w:val="center"/>
      <w:outlineLvl w:val="0"/>
    </w:pPr>
    <w:rPr>
      <w:rFonts w:eastAsia="Times"/>
      <w:b/>
      <w:caps/>
      <w:sz w:val="28"/>
      <w:szCs w:val="20"/>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szCs w:val="20"/>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MediumGrid1-Accent21">
    <w:name w:val="Medium Grid 1 - Accent 2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szCs w:val="20"/>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pPr>
    <w:rPr>
      <w:rFonts w:ascii="Univers" w:hAnsi="Univers"/>
      <w:spacing w:val="-2"/>
      <w:sz w:val="18"/>
      <w:szCs w:val="20"/>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szCs w:val="20"/>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uiPriority w:val="99"/>
    <w:rsid w:val="00975A97"/>
    <w:pPr>
      <w:tabs>
        <w:tab w:val="center" w:pos="4320"/>
        <w:tab w:val="right" w:pos="8640"/>
      </w:tabs>
    </w:pPr>
    <w:rPr>
      <w:rFonts w:ascii="Times" w:eastAsia="Times" w:hAnsi="Times"/>
      <w:szCs w:val="20"/>
      <w:lang w:eastAsia="x-none"/>
    </w:rPr>
  </w:style>
  <w:style w:type="character" w:customStyle="1" w:styleId="FooterChar">
    <w:name w:val="Footer Char"/>
    <w:link w:val="Footer"/>
    <w:uiPriority w:val="99"/>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MediumList2-Accent21">
    <w:name w:val="Medium List 2 - Accent 2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pPr>
    <w:rPr>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szCs w:val="20"/>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customStyle="1" w:styleId="ColorfulShading-Accent11">
    <w:name w:val="Colorful Shading - Accent 11"/>
    <w:hidden/>
    <w:uiPriority w:val="99"/>
    <w:semiHidden/>
    <w:rsid w:val="00F221CC"/>
    <w:rPr>
      <w:rFonts w:ascii="Times New Roman" w:eastAsia="Times New Roman" w:hAnsi="Times New Roman"/>
      <w:sz w:val="24"/>
      <w:szCs w:val="24"/>
      <w:lang w:val="es-ES_tradnl" w:eastAsia="en-US"/>
    </w:rPr>
  </w:style>
  <w:style w:type="paragraph" w:customStyle="1" w:styleId="ColorfulList-Accent11">
    <w:name w:val="Colorful List - Accent 11"/>
    <w:basedOn w:val="Normal"/>
    <w:uiPriority w:val="34"/>
    <w:qFormat/>
    <w:rsid w:val="00F43C3C"/>
    <w:pPr>
      <w:ind w:left="708"/>
    </w:pPr>
  </w:style>
  <w:style w:type="paragraph" w:styleId="ListParagraph">
    <w:name w:val="List Paragraph"/>
    <w:aliases w:val="Párrafo de lista1"/>
    <w:basedOn w:val="Normal"/>
    <w:link w:val="ListParagraphChar"/>
    <w:qFormat/>
    <w:rsid w:val="00481A3F"/>
    <w:pPr>
      <w:ind w:left="720"/>
    </w:pPr>
  </w:style>
  <w:style w:type="paragraph" w:styleId="Revision">
    <w:name w:val="Revision"/>
    <w:hidden/>
    <w:uiPriority w:val="99"/>
    <w:semiHidden/>
    <w:rsid w:val="009B04AF"/>
    <w:rPr>
      <w:rFonts w:ascii="Times New Roman" w:eastAsia="Times New Roman" w:hAnsi="Times New Roman"/>
      <w:sz w:val="24"/>
      <w:szCs w:val="24"/>
      <w:lang w:val="es-ES_tradnl" w:eastAsia="en-US"/>
    </w:rPr>
  </w:style>
  <w:style w:type="character" w:styleId="Hyperlink">
    <w:name w:val="Hyperlink"/>
    <w:uiPriority w:val="99"/>
    <w:unhideWhenUsed/>
    <w:rsid w:val="009838A0"/>
    <w:rPr>
      <w:color w:val="0000FF"/>
      <w:u w:val="single"/>
    </w:rPr>
  </w:style>
  <w:style w:type="paragraph" w:customStyle="1" w:styleId="Default">
    <w:name w:val="Default"/>
    <w:rsid w:val="008D3A9C"/>
    <w:pPr>
      <w:autoSpaceDE w:val="0"/>
      <w:autoSpaceDN w:val="0"/>
      <w:adjustRightInd w:val="0"/>
    </w:pPr>
    <w:rPr>
      <w:rFonts w:ascii="Verdana" w:hAnsi="Verdana" w:cs="Verdana"/>
      <w:color w:val="000000"/>
      <w:sz w:val="24"/>
      <w:szCs w:val="24"/>
      <w:lang w:val="en-US"/>
    </w:rPr>
  </w:style>
  <w:style w:type="character" w:customStyle="1" w:styleId="apple-converted-space">
    <w:name w:val="apple-converted-space"/>
    <w:rsid w:val="000F6D03"/>
  </w:style>
  <w:style w:type="character" w:customStyle="1" w:styleId="eacep">
    <w:name w:val="eacep"/>
    <w:basedOn w:val="DefaultParagraphFont"/>
    <w:rsid w:val="00225DF2"/>
  </w:style>
  <w:style w:type="character" w:customStyle="1" w:styleId="ListParagraphChar">
    <w:name w:val="List Paragraph Char"/>
    <w:aliases w:val="Párrafo de lista1 Char"/>
    <w:link w:val="ListParagraph"/>
    <w:uiPriority w:val="34"/>
    <w:locked/>
    <w:rsid w:val="00EF5F73"/>
    <w:rPr>
      <w:rFonts w:ascii="Times New Roman" w:eastAsia="Times New Roman" w:hAnsi="Times New Roman"/>
      <w:sz w:val="24"/>
      <w:szCs w:val="24"/>
      <w:lang w:val="es-ES_tradnl" w:eastAsia="en-US"/>
    </w:rPr>
  </w:style>
  <w:style w:type="character" w:styleId="LineNumber">
    <w:name w:val="line number"/>
    <w:basedOn w:val="DefaultParagraphFont"/>
    <w:uiPriority w:val="99"/>
    <w:semiHidden/>
    <w:unhideWhenUsed/>
    <w:rsid w:val="00D3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8877">
      <w:bodyDiv w:val="1"/>
      <w:marLeft w:val="0"/>
      <w:marRight w:val="0"/>
      <w:marTop w:val="0"/>
      <w:marBottom w:val="0"/>
      <w:divBdr>
        <w:top w:val="none" w:sz="0" w:space="0" w:color="auto"/>
        <w:left w:val="none" w:sz="0" w:space="0" w:color="auto"/>
        <w:bottom w:val="none" w:sz="0" w:space="0" w:color="auto"/>
        <w:right w:val="none" w:sz="0" w:space="0" w:color="auto"/>
      </w:divBdr>
    </w:div>
    <w:div w:id="12644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83F4-8795-4733-A5BE-876C7B5B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5004</Words>
  <Characters>27522</Characters>
  <Application>Microsoft Office Word</Application>
  <DocSecurity>4</DocSecurity>
  <Lines>229</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 IDH</Company>
  <LinksUpToDate>false</LinksUpToDate>
  <CharactersWithSpaces>32462</CharactersWithSpaces>
  <SharedDoc>false</SharedDoc>
  <HLinks>
    <vt:vector size="6" baseType="variant">
      <vt:variant>
        <vt:i4>7536755</vt:i4>
      </vt:variant>
      <vt:variant>
        <vt:i4>0</vt:i4>
      </vt:variant>
      <vt:variant>
        <vt:i4>0</vt:i4>
      </vt:variant>
      <vt:variant>
        <vt:i4>5</vt:i4>
      </vt:variant>
      <vt:variant>
        <vt:lpwstr>http://hchr.org.mx/images/doc_pub/Informe_DesapForz_2aEd_web.pdf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2016-03-18T23:00:00Z</cp:lastPrinted>
  <dcterms:created xsi:type="dcterms:W3CDTF">2016-03-18T23:09:00Z</dcterms:created>
  <dcterms:modified xsi:type="dcterms:W3CDTF">2016-03-18T23:09:00Z</dcterms:modified>
</cp:coreProperties>
</file>