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0D2" w:rsidRDefault="00C970D2" w:rsidP="000A27C7">
      <w:pPr>
        <w:spacing w:after="0"/>
        <w:jc w:val="center"/>
        <w:rPr>
          <w:b/>
          <w:bCs/>
          <w:lang w:val="es-ES"/>
        </w:rPr>
      </w:pPr>
      <w:bookmarkStart w:id="0" w:name="_GoBack"/>
      <w:bookmarkEnd w:id="0"/>
    </w:p>
    <w:p w:rsidR="00C970D2" w:rsidRDefault="00C970D2" w:rsidP="000A27C7">
      <w:pPr>
        <w:spacing w:after="0"/>
        <w:jc w:val="center"/>
        <w:rPr>
          <w:b/>
          <w:bCs/>
          <w:lang w:val="es-ES"/>
        </w:rPr>
      </w:pPr>
    </w:p>
    <w:p w:rsidR="00C970D2" w:rsidRDefault="00C970D2" w:rsidP="000A27C7">
      <w:pPr>
        <w:spacing w:after="0"/>
        <w:jc w:val="center"/>
        <w:rPr>
          <w:b/>
          <w:bCs/>
          <w:lang w:val="es-ES"/>
        </w:rPr>
      </w:pPr>
    </w:p>
    <w:p w:rsidR="00C970D2" w:rsidRDefault="00C970D2" w:rsidP="000A27C7">
      <w:pPr>
        <w:spacing w:after="0"/>
        <w:jc w:val="center"/>
        <w:rPr>
          <w:b/>
          <w:bCs/>
          <w:lang w:val="es-ES"/>
        </w:rPr>
      </w:pPr>
    </w:p>
    <w:p w:rsidR="00C970D2" w:rsidRDefault="00C970D2" w:rsidP="000A27C7">
      <w:pPr>
        <w:spacing w:after="0"/>
        <w:jc w:val="center"/>
        <w:rPr>
          <w:b/>
          <w:bCs/>
          <w:lang w:val="es-ES"/>
        </w:rPr>
      </w:pPr>
    </w:p>
    <w:p w:rsidR="00C970D2" w:rsidRDefault="00C970D2" w:rsidP="000A27C7">
      <w:pPr>
        <w:spacing w:after="0"/>
        <w:jc w:val="center"/>
        <w:rPr>
          <w:b/>
          <w:bCs/>
          <w:lang w:val="es-ES"/>
        </w:rPr>
      </w:pPr>
    </w:p>
    <w:p w:rsidR="000A27C7" w:rsidRDefault="000A27C7" w:rsidP="000A27C7">
      <w:pPr>
        <w:spacing w:after="0"/>
        <w:jc w:val="center"/>
        <w:rPr>
          <w:b/>
          <w:bCs/>
          <w:lang w:val="es-ES"/>
        </w:rPr>
      </w:pPr>
      <w:r>
        <w:rPr>
          <w:b/>
          <w:bCs/>
          <w:lang w:val="es-ES"/>
        </w:rPr>
        <w:t>VOTO CONCURRENTE DEL JUEZ EDUARDO VIO GROSSI,</w:t>
      </w:r>
    </w:p>
    <w:p w:rsidR="000A27C7" w:rsidRPr="000A27C7" w:rsidRDefault="000A27C7" w:rsidP="000A27C7">
      <w:pPr>
        <w:spacing w:after="0"/>
        <w:jc w:val="center"/>
        <w:rPr>
          <w:b/>
          <w:bCs/>
          <w:lang w:val="es-ES"/>
        </w:rPr>
      </w:pPr>
      <w:r w:rsidRPr="000A27C7">
        <w:rPr>
          <w:b/>
          <w:bCs/>
          <w:lang w:val="es-ES"/>
        </w:rPr>
        <w:t>RESOLUCIÓN DE LA</w:t>
      </w:r>
      <w:r>
        <w:rPr>
          <w:b/>
          <w:bCs/>
          <w:lang w:val="es-ES"/>
        </w:rPr>
        <w:t xml:space="preserve"> </w:t>
      </w:r>
      <w:r w:rsidRPr="000A27C7">
        <w:rPr>
          <w:b/>
          <w:bCs/>
          <w:lang w:val="es-ES"/>
        </w:rPr>
        <w:t>CORTE INTERAMERICANA DE DERECHOS HUMANOS</w:t>
      </w:r>
    </w:p>
    <w:p w:rsidR="000A27C7" w:rsidRDefault="000A27C7" w:rsidP="000A27C7">
      <w:pPr>
        <w:spacing w:after="0"/>
        <w:jc w:val="center"/>
        <w:rPr>
          <w:b/>
          <w:bCs/>
          <w:lang w:val="es-ES"/>
        </w:rPr>
      </w:pPr>
      <w:r w:rsidRPr="000A27C7">
        <w:rPr>
          <w:b/>
          <w:bCs/>
          <w:lang w:val="es-ES"/>
        </w:rPr>
        <w:t>DE 31 DE AGOSTO DE 2016</w:t>
      </w:r>
      <w:r>
        <w:rPr>
          <w:b/>
          <w:bCs/>
          <w:lang w:val="es-ES"/>
        </w:rPr>
        <w:t xml:space="preserve">, </w:t>
      </w:r>
      <w:r w:rsidRPr="000A27C7">
        <w:rPr>
          <w:b/>
          <w:bCs/>
          <w:lang w:val="es-ES"/>
        </w:rPr>
        <w:t xml:space="preserve">BÁMACA VELÁSQUEZ </w:t>
      </w:r>
      <w:r w:rsidRPr="000A27C7">
        <w:rPr>
          <w:b/>
          <w:bCs/>
          <w:iCs/>
          <w:lang w:val="es-ES"/>
        </w:rPr>
        <w:t>VS</w:t>
      </w:r>
      <w:r w:rsidRPr="000A27C7">
        <w:rPr>
          <w:b/>
          <w:bCs/>
          <w:i/>
          <w:iCs/>
          <w:lang w:val="es-ES"/>
        </w:rPr>
        <w:t xml:space="preserve">. </w:t>
      </w:r>
      <w:r w:rsidRPr="000A27C7">
        <w:rPr>
          <w:b/>
          <w:bCs/>
          <w:lang w:val="es-ES"/>
        </w:rPr>
        <w:t>GUATEMALA</w:t>
      </w:r>
      <w:r>
        <w:rPr>
          <w:b/>
          <w:bCs/>
          <w:lang w:val="es-ES"/>
        </w:rPr>
        <w:t>,</w:t>
      </w:r>
    </w:p>
    <w:p w:rsidR="000A27C7" w:rsidRPr="000A27C7" w:rsidRDefault="000A27C7" w:rsidP="000A27C7">
      <w:pPr>
        <w:spacing w:after="0"/>
        <w:jc w:val="center"/>
        <w:rPr>
          <w:b/>
          <w:bCs/>
          <w:lang w:val="es-ES"/>
        </w:rPr>
      </w:pPr>
      <w:r w:rsidRPr="000A27C7">
        <w:rPr>
          <w:b/>
          <w:bCs/>
          <w:lang w:val="es-ES"/>
        </w:rPr>
        <w:t>MEDIDAS PROVISIONALES</w:t>
      </w:r>
    </w:p>
    <w:p w:rsidR="007739C7" w:rsidRDefault="007739C7">
      <w:pPr>
        <w:rPr>
          <w:lang w:val="es-ES"/>
        </w:rPr>
      </w:pPr>
    </w:p>
    <w:p w:rsidR="00A8586E" w:rsidRDefault="00A8586E" w:rsidP="00A8586E">
      <w:pPr>
        <w:jc w:val="both"/>
        <w:rPr>
          <w:lang w:val="es-ES"/>
        </w:rPr>
      </w:pPr>
      <w:r>
        <w:rPr>
          <w:lang w:val="es-ES"/>
        </w:rPr>
        <w:t>El suscrito concurre con su</w:t>
      </w:r>
      <w:r w:rsidR="000A27C7">
        <w:rPr>
          <w:lang w:val="es-ES"/>
        </w:rPr>
        <w:t xml:space="preserve"> voto a la aprobación de la Resolución del epígrafe no obstante de que</w:t>
      </w:r>
      <w:r w:rsidR="00D960EA">
        <w:rPr>
          <w:lang w:val="es-ES"/>
        </w:rPr>
        <w:t>,</w:t>
      </w:r>
      <w:r w:rsidR="000A27C7">
        <w:rPr>
          <w:lang w:val="es-ES"/>
        </w:rPr>
        <w:t xml:space="preserve"> en su Punto Resolutivo Nº 3 </w:t>
      </w:r>
      <w:r>
        <w:rPr>
          <w:lang w:val="es-ES"/>
        </w:rPr>
        <w:t>y tratándose</w:t>
      </w:r>
      <w:r w:rsidR="000A27C7">
        <w:rPr>
          <w:lang w:val="es-ES"/>
        </w:rPr>
        <w:t xml:space="preserve"> de un caso respecto del que </w:t>
      </w:r>
      <w:r w:rsidR="00C17990">
        <w:rPr>
          <w:lang w:val="es-ES"/>
        </w:rPr>
        <w:t>en el año 2002 se dictó Sentencia</w:t>
      </w:r>
      <w:r>
        <w:rPr>
          <w:rStyle w:val="FootnoteReference"/>
          <w:lang w:val="es-ES"/>
        </w:rPr>
        <w:footnoteReference w:id="1"/>
      </w:r>
      <w:r>
        <w:rPr>
          <w:lang w:val="es-ES"/>
        </w:rPr>
        <w:t xml:space="preserve">, </w:t>
      </w:r>
      <w:r w:rsidR="000A27C7">
        <w:rPr>
          <w:lang w:val="es-ES"/>
        </w:rPr>
        <w:t>se mantienen</w:t>
      </w:r>
      <w:r w:rsidR="000A27C7" w:rsidRPr="000A27C7">
        <w:rPr>
          <w:lang w:val="es-ES"/>
        </w:rPr>
        <w:t xml:space="preserve"> las medidas provisionales a favor del señor Santiago Cabrera López y sus familiares y del señor Aron Álvarez y sus familiares, de conformidad con los Cons</w:t>
      </w:r>
      <w:r w:rsidR="000A27C7">
        <w:rPr>
          <w:lang w:val="es-ES"/>
        </w:rPr>
        <w:t>iderandos 13 y 52 de dicha</w:t>
      </w:r>
      <w:r>
        <w:rPr>
          <w:lang w:val="es-ES"/>
        </w:rPr>
        <w:t xml:space="preserve"> Resolución, lo que se sería contrario a lo que ha sostenido reiteradamente en otros votos</w:t>
      </w:r>
      <w:r w:rsidR="00986FEE">
        <w:rPr>
          <w:lang w:val="es-ES"/>
        </w:rPr>
        <w:t>.</w:t>
      </w:r>
      <w:r>
        <w:rPr>
          <w:rStyle w:val="FootnoteReference"/>
          <w:lang w:val="es-ES"/>
        </w:rPr>
        <w:footnoteReference w:id="2"/>
      </w:r>
    </w:p>
    <w:p w:rsidR="0008042B" w:rsidRPr="0008042B" w:rsidRDefault="0008042B" w:rsidP="0008042B">
      <w:pPr>
        <w:jc w:val="both"/>
        <w:rPr>
          <w:lang w:val="es-ES"/>
        </w:rPr>
      </w:pPr>
      <w:r w:rsidRPr="0008042B">
        <w:rPr>
          <w:lang w:val="es-ES"/>
        </w:rPr>
        <w:t xml:space="preserve">Quién suscribe </w:t>
      </w:r>
      <w:r w:rsidR="00C17990">
        <w:rPr>
          <w:lang w:val="es-ES"/>
        </w:rPr>
        <w:t xml:space="preserve">ha dejado </w:t>
      </w:r>
      <w:r w:rsidRPr="0008042B">
        <w:rPr>
          <w:lang w:val="es-ES"/>
        </w:rPr>
        <w:t xml:space="preserve">constancia </w:t>
      </w:r>
      <w:r w:rsidR="00C17990">
        <w:rPr>
          <w:lang w:val="es-ES"/>
        </w:rPr>
        <w:t xml:space="preserve">en </w:t>
      </w:r>
      <w:r w:rsidR="00A376C7">
        <w:rPr>
          <w:lang w:val="es-ES"/>
        </w:rPr>
        <w:t xml:space="preserve">esos </w:t>
      </w:r>
      <w:r w:rsidR="00C17990">
        <w:rPr>
          <w:lang w:val="es-ES"/>
        </w:rPr>
        <w:t xml:space="preserve">otros votos, </w:t>
      </w:r>
      <w:r w:rsidRPr="0008042B">
        <w:rPr>
          <w:lang w:val="es-ES"/>
        </w:rPr>
        <w:t>de que, en atención a que,</w:t>
      </w:r>
      <w:r w:rsidR="00C17990">
        <w:rPr>
          <w:lang w:val="es-ES"/>
        </w:rPr>
        <w:t xml:space="preserve"> habiéndose dictado </w:t>
      </w:r>
      <w:r w:rsidRPr="0008042B">
        <w:rPr>
          <w:lang w:val="es-ES"/>
        </w:rPr>
        <w:t>“fallo definitivo e inapelable”</w:t>
      </w:r>
      <w:r w:rsidR="00A376C7">
        <w:rPr>
          <w:rStyle w:val="FootnoteReference"/>
          <w:lang w:val="es-ES"/>
        </w:rPr>
        <w:footnoteReference w:id="3"/>
      </w:r>
      <w:r w:rsidRPr="0008042B">
        <w:rPr>
          <w:lang w:val="es-ES"/>
        </w:rPr>
        <w:t xml:space="preserve"> que ha puesto efectivo térm</w:t>
      </w:r>
      <w:r w:rsidR="00A376C7">
        <w:rPr>
          <w:lang w:val="es-ES"/>
        </w:rPr>
        <w:t xml:space="preserve">ino al caso en el que </w:t>
      </w:r>
      <w:r w:rsidRPr="0008042B">
        <w:rPr>
          <w:lang w:val="es-ES"/>
        </w:rPr>
        <w:t>la Corte Interamericana de Derechos Humanos</w:t>
      </w:r>
      <w:r w:rsidR="00470117">
        <w:rPr>
          <w:rStyle w:val="FootnoteReference"/>
          <w:lang w:val="es-ES"/>
        </w:rPr>
        <w:footnoteReference w:id="4"/>
      </w:r>
      <w:r w:rsidR="00470117">
        <w:rPr>
          <w:lang w:val="es-ES"/>
        </w:rPr>
        <w:t xml:space="preserve"> dictó medidas provisionales </w:t>
      </w:r>
      <w:r w:rsidR="00A376C7">
        <w:rPr>
          <w:lang w:val="es-ES"/>
        </w:rPr>
        <w:t xml:space="preserve">mientras </w:t>
      </w:r>
      <w:r w:rsidRPr="0008042B">
        <w:rPr>
          <w:lang w:val="es-ES"/>
        </w:rPr>
        <w:t>lo estuvo “conociendo”</w:t>
      </w:r>
      <w:r w:rsidR="00A376C7">
        <w:rPr>
          <w:rStyle w:val="FootnoteReference"/>
          <w:lang w:val="es-ES"/>
        </w:rPr>
        <w:footnoteReference w:id="5"/>
      </w:r>
      <w:r w:rsidR="00C17990">
        <w:rPr>
          <w:lang w:val="es-ES"/>
        </w:rPr>
        <w:t xml:space="preserve">, su </w:t>
      </w:r>
      <w:r w:rsidRPr="0008042B">
        <w:rPr>
          <w:lang w:val="es-ES"/>
        </w:rPr>
        <w:t>compet</w:t>
      </w:r>
      <w:r w:rsidR="00C17990">
        <w:rPr>
          <w:lang w:val="es-ES"/>
        </w:rPr>
        <w:t>enci</w:t>
      </w:r>
      <w:r w:rsidR="00A376C7">
        <w:rPr>
          <w:lang w:val="es-ES"/>
        </w:rPr>
        <w:t xml:space="preserve">a para disponer otras o prorrogar las antes decretadas, </w:t>
      </w:r>
      <w:r w:rsidRPr="0008042B">
        <w:rPr>
          <w:lang w:val="es-ES"/>
        </w:rPr>
        <w:t>ha pre</w:t>
      </w:r>
      <w:r w:rsidR="00C17990">
        <w:rPr>
          <w:lang w:val="es-ES"/>
        </w:rPr>
        <w:t>cluido</w:t>
      </w:r>
      <w:r w:rsidR="00A376C7">
        <w:rPr>
          <w:lang w:val="es-ES"/>
        </w:rPr>
        <w:t xml:space="preserve">, </w:t>
      </w:r>
      <w:r w:rsidRPr="0008042B">
        <w:rPr>
          <w:lang w:val="es-ES"/>
        </w:rPr>
        <w:lastRenderedPageBreak/>
        <w:t>puesto que</w:t>
      </w:r>
      <w:r w:rsidR="00E62513">
        <w:rPr>
          <w:lang w:val="es-ES"/>
        </w:rPr>
        <w:t>, se reitera,</w:t>
      </w:r>
      <w:r w:rsidRPr="0008042B">
        <w:rPr>
          <w:lang w:val="es-ES"/>
        </w:rPr>
        <w:t xml:space="preserve"> ya no está “conociendo” de dicho caso contencioso, es decir, ya lo ha “juzgado”. </w:t>
      </w:r>
    </w:p>
    <w:p w:rsidR="00C17990" w:rsidRDefault="0008042B" w:rsidP="0008042B">
      <w:pPr>
        <w:jc w:val="both"/>
        <w:rPr>
          <w:lang w:val="es-ES"/>
        </w:rPr>
      </w:pPr>
      <w:r w:rsidRPr="0008042B">
        <w:rPr>
          <w:lang w:val="es-ES"/>
        </w:rPr>
        <w:t>A mayor ab</w:t>
      </w:r>
      <w:r w:rsidR="00C17990">
        <w:rPr>
          <w:lang w:val="es-ES"/>
        </w:rPr>
        <w:t xml:space="preserve">undamiento, recordó </w:t>
      </w:r>
      <w:r w:rsidRPr="0008042B">
        <w:rPr>
          <w:lang w:val="es-ES"/>
        </w:rPr>
        <w:t>que, una vez dictada una sentencia, a la Corte únicamente le corresponde dictar</w:t>
      </w:r>
      <w:r w:rsidR="00FC08B9">
        <w:rPr>
          <w:lang w:val="es-ES"/>
        </w:rPr>
        <w:t>, siempre que no lo haya ya hecho,</w:t>
      </w:r>
      <w:r w:rsidRPr="0008042B">
        <w:rPr>
          <w:lang w:val="es-ES"/>
        </w:rPr>
        <w:t xml:space="preserve"> la sentencia de reparación y costa</w:t>
      </w:r>
      <w:r w:rsidR="00A376C7">
        <w:rPr>
          <w:lang w:val="es-ES"/>
        </w:rPr>
        <w:t>s</w:t>
      </w:r>
      <w:r w:rsidR="00A376C7">
        <w:rPr>
          <w:rStyle w:val="FootnoteReference"/>
          <w:lang w:val="es-ES"/>
        </w:rPr>
        <w:footnoteReference w:id="6"/>
      </w:r>
      <w:r w:rsidRPr="0008042B">
        <w:rPr>
          <w:lang w:val="es-ES"/>
        </w:rPr>
        <w:t xml:space="preserve">, interpretar </w:t>
      </w:r>
      <w:r w:rsidR="00470117">
        <w:rPr>
          <w:lang w:val="es-ES"/>
        </w:rPr>
        <w:t>ambos fallos</w:t>
      </w:r>
      <w:r w:rsidR="00470117">
        <w:rPr>
          <w:rStyle w:val="FootnoteReference"/>
          <w:lang w:val="es-ES"/>
        </w:rPr>
        <w:footnoteReference w:id="7"/>
      </w:r>
      <w:r w:rsidRPr="0008042B">
        <w:rPr>
          <w:lang w:val="es-ES"/>
        </w:rPr>
        <w:t>, enmendar los errores de edición o de</w:t>
      </w:r>
      <w:r w:rsidR="00FC08B9">
        <w:rPr>
          <w:lang w:val="es-ES"/>
        </w:rPr>
        <w:t xml:space="preserve"> cálculo en que hayan incurrido</w:t>
      </w:r>
      <w:r w:rsidR="00FC08B9">
        <w:rPr>
          <w:rStyle w:val="FootnoteReference"/>
          <w:lang w:val="es-ES"/>
        </w:rPr>
        <w:footnoteReference w:id="8"/>
      </w:r>
      <w:r w:rsidRPr="0008042B">
        <w:rPr>
          <w:lang w:val="es-ES"/>
        </w:rPr>
        <w:t xml:space="preserve">, </w:t>
      </w:r>
      <w:r w:rsidRPr="0008042B">
        <w:rPr>
          <w:lang w:val="es-ES"/>
        </w:rPr>
        <w:lastRenderedPageBreak/>
        <w:t>supervisar su cumplimiento</w:t>
      </w:r>
      <w:r w:rsidR="00FC08B9">
        <w:rPr>
          <w:rStyle w:val="FootnoteReference"/>
          <w:lang w:val="es-ES"/>
        </w:rPr>
        <w:footnoteReference w:id="9"/>
      </w:r>
      <w:r w:rsidRPr="0008042B">
        <w:rPr>
          <w:lang w:val="es-ES"/>
        </w:rPr>
        <w:t xml:space="preserve">  e informar a la Asamblea General</w:t>
      </w:r>
      <w:r w:rsidR="00FC08B9">
        <w:rPr>
          <w:lang w:val="es-ES"/>
        </w:rPr>
        <w:t xml:space="preserve"> de la OEA de su </w:t>
      </w:r>
      <w:r w:rsidR="00E62513">
        <w:rPr>
          <w:lang w:val="es-ES"/>
        </w:rPr>
        <w:t xml:space="preserve">eventual </w:t>
      </w:r>
      <w:r w:rsidR="00FC08B9">
        <w:rPr>
          <w:lang w:val="es-ES"/>
        </w:rPr>
        <w:t>incumplimiento</w:t>
      </w:r>
      <w:r w:rsidR="000344FD">
        <w:rPr>
          <w:rStyle w:val="FootnoteReference"/>
          <w:lang w:val="es-ES"/>
        </w:rPr>
        <w:footnoteReference w:id="10"/>
      </w:r>
      <w:r w:rsidRPr="0008042B">
        <w:rPr>
          <w:lang w:val="es-ES"/>
        </w:rPr>
        <w:t>. A la Corte no se le ha conferido</w:t>
      </w:r>
      <w:r w:rsidR="00F80FE7">
        <w:rPr>
          <w:lang w:val="es-ES"/>
        </w:rPr>
        <w:t xml:space="preserve"> ni se ha concedido</w:t>
      </w:r>
      <w:r w:rsidRPr="0008042B">
        <w:rPr>
          <w:lang w:val="es-ES"/>
        </w:rPr>
        <w:t>, pues, la facultad de disponer de nuevas medidas provisiona</w:t>
      </w:r>
      <w:r w:rsidR="00C17990">
        <w:rPr>
          <w:lang w:val="es-ES"/>
        </w:rPr>
        <w:t>les</w:t>
      </w:r>
      <w:r w:rsidRPr="0008042B">
        <w:rPr>
          <w:lang w:val="es-ES"/>
        </w:rPr>
        <w:t xml:space="preserve">. </w:t>
      </w:r>
    </w:p>
    <w:p w:rsidR="0008042B" w:rsidRPr="0008042B" w:rsidRDefault="0008042B" w:rsidP="0008042B">
      <w:pPr>
        <w:jc w:val="both"/>
        <w:rPr>
          <w:lang w:val="es-ES"/>
        </w:rPr>
      </w:pPr>
      <w:r w:rsidRPr="0008042B">
        <w:rPr>
          <w:lang w:val="es-ES"/>
        </w:rPr>
        <w:t>En mérito d</w:t>
      </w:r>
      <w:r w:rsidR="00F80FE7">
        <w:rPr>
          <w:lang w:val="es-ES"/>
        </w:rPr>
        <w:t xml:space="preserve">e lo expuesto, </w:t>
      </w:r>
      <w:r w:rsidR="00D960EA">
        <w:rPr>
          <w:lang w:val="es-ES"/>
        </w:rPr>
        <w:t xml:space="preserve">el infrascrito considera que </w:t>
      </w:r>
      <w:r w:rsidR="00F80FE7">
        <w:rPr>
          <w:lang w:val="es-ES"/>
        </w:rPr>
        <w:t>lógicamente las</w:t>
      </w:r>
      <w:r w:rsidRPr="0008042B">
        <w:rPr>
          <w:lang w:val="es-ES"/>
        </w:rPr>
        <w:t xml:space="preserve"> medidas</w:t>
      </w:r>
      <w:r w:rsidR="00F80FE7">
        <w:rPr>
          <w:lang w:val="es-ES"/>
        </w:rPr>
        <w:t xml:space="preserve"> provisionales dictadas en autos deberían haberlo sido </w:t>
      </w:r>
      <w:r w:rsidRPr="0008042B">
        <w:rPr>
          <w:lang w:val="es-ES"/>
        </w:rPr>
        <w:t>como parte del “fallo definitivo e inapelable” que resolvió, con valor de cosa juzgada, el caso conte</w:t>
      </w:r>
      <w:r w:rsidR="00D960EA">
        <w:rPr>
          <w:lang w:val="es-ES"/>
        </w:rPr>
        <w:t>ncioso y que, por ende, deberían haber integrado</w:t>
      </w:r>
      <w:r w:rsidRPr="0008042B">
        <w:rPr>
          <w:lang w:val="es-ES"/>
        </w:rPr>
        <w:t xml:space="preserve"> las obligaciones del Estado concernido y no de la Corte, derivadas de la dictación del mismo, de garantizar “al lesionado en el goce de su d</w:t>
      </w:r>
      <w:r w:rsidR="00D960EA">
        <w:rPr>
          <w:lang w:val="es-ES"/>
        </w:rPr>
        <w:t xml:space="preserve">erecho o libertad conculcados” </w:t>
      </w:r>
      <w:r w:rsidRPr="0008042B">
        <w:rPr>
          <w:lang w:val="es-ES"/>
        </w:rPr>
        <w:t>y de adoptar las medidas pertinentes a fin de “evitar daño</w:t>
      </w:r>
      <w:r w:rsidR="00E62513">
        <w:rPr>
          <w:lang w:val="es-ES"/>
        </w:rPr>
        <w:t xml:space="preserve">s irreparables a las personas” </w:t>
      </w:r>
      <w:r w:rsidRPr="0008042B">
        <w:rPr>
          <w:lang w:val="es-ES"/>
        </w:rPr>
        <w:t>a que el mismo se re</w:t>
      </w:r>
      <w:r w:rsidR="00E62513">
        <w:rPr>
          <w:lang w:val="es-ES"/>
        </w:rPr>
        <w:t xml:space="preserve">fiere. </w:t>
      </w:r>
      <w:r w:rsidRPr="0008042B">
        <w:rPr>
          <w:lang w:val="es-ES"/>
        </w:rPr>
        <w:t>Por lo tanto, el cumplimiento de esas m</w:t>
      </w:r>
      <w:r w:rsidR="00F80FE7">
        <w:rPr>
          <w:lang w:val="es-ES"/>
        </w:rPr>
        <w:t>edidas debe</w:t>
      </w:r>
      <w:r w:rsidR="00D960EA">
        <w:rPr>
          <w:lang w:val="es-ES"/>
        </w:rPr>
        <w:t>rían haber sido supervisadas</w:t>
      </w:r>
      <w:r w:rsidR="00F80FE7">
        <w:rPr>
          <w:lang w:val="es-ES"/>
        </w:rPr>
        <w:t xml:space="preserve"> como parte</w:t>
      </w:r>
      <w:r w:rsidRPr="0008042B">
        <w:rPr>
          <w:lang w:val="es-ES"/>
        </w:rPr>
        <w:t xml:space="preserve"> de la sentencia en comento y no como si se tratare de un proceso diferente y aún autónomo en el que, además, se podrían disponer de nuevas medidas provisionales, prologando así, en la práctica, el proceso.</w:t>
      </w:r>
    </w:p>
    <w:p w:rsidR="0008042B" w:rsidRDefault="0008042B" w:rsidP="0008042B">
      <w:pPr>
        <w:jc w:val="both"/>
        <w:rPr>
          <w:lang w:val="es-ES"/>
        </w:rPr>
      </w:pPr>
      <w:r w:rsidRPr="0008042B">
        <w:rPr>
          <w:lang w:val="es-ES"/>
        </w:rPr>
        <w:t xml:space="preserve">En definitiva, el suscrito es del parecer que la Resolución a la que concurre con el presente voto, debería </w:t>
      </w:r>
      <w:r w:rsidR="00E62513">
        <w:rPr>
          <w:lang w:val="es-ES"/>
        </w:rPr>
        <w:t xml:space="preserve">haberse entendido </w:t>
      </w:r>
      <w:r w:rsidRPr="0008042B">
        <w:rPr>
          <w:lang w:val="es-ES"/>
        </w:rPr>
        <w:t xml:space="preserve">como parte de la supervisión del cumplimiento de la antes indicada </w:t>
      </w:r>
      <w:r w:rsidRPr="0008042B">
        <w:rPr>
          <w:lang w:val="es-ES"/>
        </w:rPr>
        <w:lastRenderedPageBreak/>
        <w:t xml:space="preserve">Sentencia, la que, a su turno, debería haber incluido expresamente la obligación del Estado de cumplir las medidas provisionales decretadas en autos, las que se entenderían levantadas y, por tanto, ejecutado, en ese aspecto, el fallo, una vez que hayan desaparecido la “extrema gravedad y urgencia” y el riesgo de “daños irreparables a las personas” que justificaron, en su momento, su adopción. De esa forma, no habría quedado margen alguno a la duda o </w:t>
      </w:r>
      <w:r w:rsidR="00F80FE7">
        <w:rPr>
          <w:lang w:val="es-ES"/>
        </w:rPr>
        <w:t>incertidumbre al respecto.</w:t>
      </w:r>
    </w:p>
    <w:p w:rsidR="00F80FE7" w:rsidRDefault="00F80FE7" w:rsidP="0008042B">
      <w:pPr>
        <w:jc w:val="both"/>
        <w:rPr>
          <w:lang w:val="es-ES"/>
        </w:rPr>
      </w:pPr>
      <w:r>
        <w:rPr>
          <w:lang w:val="es-ES"/>
        </w:rPr>
        <w:t xml:space="preserve">Ahora bien, </w:t>
      </w:r>
      <w:r w:rsidRPr="00F928E1">
        <w:rPr>
          <w:lang w:val="es-ES"/>
        </w:rPr>
        <w:t>en mérito de que todas las medidas provisionales dictadas en autos</w:t>
      </w:r>
      <w:r w:rsidR="00D960EA" w:rsidRPr="00F928E1">
        <w:rPr>
          <w:lang w:val="es-ES"/>
        </w:rPr>
        <w:t xml:space="preserve"> lo fueron</w:t>
      </w:r>
      <w:r w:rsidR="00F928E1" w:rsidRPr="00DD381C">
        <w:rPr>
          <w:lang w:val="es-ES"/>
        </w:rPr>
        <w:t xml:space="preserve">, o fueron </w:t>
      </w:r>
      <w:r w:rsidR="00FC7B58">
        <w:rPr>
          <w:lang w:val="es-ES"/>
        </w:rPr>
        <w:t>mantenidas o ampliadas</w:t>
      </w:r>
      <w:r w:rsidR="00F928E1" w:rsidRPr="00DD381C">
        <w:rPr>
          <w:lang w:val="es-ES"/>
        </w:rPr>
        <w:t>,</w:t>
      </w:r>
      <w:r w:rsidR="00D960EA" w:rsidRPr="00F928E1">
        <w:rPr>
          <w:lang w:val="es-ES"/>
        </w:rPr>
        <w:t xml:space="preserve"> cuando la Corte conocía del caso ya fallado</w:t>
      </w:r>
      <w:r w:rsidR="00D960EA">
        <w:rPr>
          <w:lang w:val="es-ES"/>
        </w:rPr>
        <w:t xml:space="preserve"> y habida cuenta, además, que todas ellas</w:t>
      </w:r>
      <w:r w:rsidR="00E62513">
        <w:rPr>
          <w:lang w:val="es-ES"/>
        </w:rPr>
        <w:t>,</w:t>
      </w:r>
      <w:r w:rsidR="00E62513" w:rsidRPr="00E62513">
        <w:rPr>
          <w:lang w:val="es-ES"/>
        </w:rPr>
        <w:t xml:space="preserve"> salvo las indicadas en el aludido Punto</w:t>
      </w:r>
      <w:r w:rsidR="009116DE">
        <w:rPr>
          <w:lang w:val="es-ES"/>
        </w:rPr>
        <w:t xml:space="preserve"> Resolutivo Nº 3 de la </w:t>
      </w:r>
      <w:r w:rsidR="009116DE" w:rsidRPr="00DD381C">
        <w:rPr>
          <w:lang w:val="es-ES"/>
        </w:rPr>
        <w:t>Resolución</w:t>
      </w:r>
      <w:r w:rsidR="00D960EA" w:rsidRPr="007B0D55">
        <w:rPr>
          <w:lang w:val="es-ES"/>
        </w:rPr>
        <w:t>,</w:t>
      </w:r>
      <w:r w:rsidR="00D960EA">
        <w:rPr>
          <w:lang w:val="es-ES"/>
        </w:rPr>
        <w:t xml:space="preserve"> han sido levant</w:t>
      </w:r>
      <w:r w:rsidR="00E62513">
        <w:rPr>
          <w:lang w:val="es-ES"/>
        </w:rPr>
        <w:t xml:space="preserve">adas o dejadas sin efecto, a quién suscribe le parece aconsejable y práctico, en mérito del principio de economía procesal, concurrir a aprobar la Resolución en cuestión, dejando, empero, constancia, una vez más, de su parecer, como lo hace en este escrito. </w:t>
      </w:r>
    </w:p>
    <w:p w:rsidR="00E62513" w:rsidRDefault="00E62513" w:rsidP="0008042B">
      <w:pPr>
        <w:jc w:val="both"/>
        <w:rPr>
          <w:lang w:val="es-ES"/>
        </w:rPr>
      </w:pPr>
    </w:p>
    <w:p w:rsidR="00E62513" w:rsidRDefault="00E62513" w:rsidP="00C970D2">
      <w:pPr>
        <w:spacing w:after="0"/>
        <w:jc w:val="both"/>
        <w:rPr>
          <w:lang w:val="es-ES"/>
        </w:rPr>
      </w:pPr>
    </w:p>
    <w:p w:rsidR="00C970D2" w:rsidRPr="00BE5379" w:rsidRDefault="00C970D2" w:rsidP="00C970D2">
      <w:pPr>
        <w:spacing w:after="0"/>
        <w:jc w:val="both"/>
        <w:rPr>
          <w:lang w:val="es-ES"/>
        </w:rPr>
      </w:pPr>
    </w:p>
    <w:p w:rsidR="00C970D2" w:rsidRDefault="00C970D2" w:rsidP="00C970D2">
      <w:pPr>
        <w:spacing w:after="0"/>
        <w:jc w:val="both"/>
        <w:rPr>
          <w:lang w:val="es-ES"/>
        </w:rPr>
      </w:pPr>
    </w:p>
    <w:p w:rsidR="00C970D2" w:rsidRDefault="00C970D2" w:rsidP="00C970D2">
      <w:pPr>
        <w:spacing w:after="0"/>
        <w:jc w:val="both"/>
        <w:rPr>
          <w:lang w:val="es-ES"/>
        </w:rPr>
      </w:pPr>
    </w:p>
    <w:p w:rsidR="00E62513" w:rsidRDefault="00E62513" w:rsidP="00C970D2">
      <w:pPr>
        <w:spacing w:after="0"/>
        <w:ind w:left="5040" w:firstLine="720"/>
        <w:jc w:val="center"/>
        <w:rPr>
          <w:lang w:val="es-ES"/>
        </w:rPr>
      </w:pPr>
      <w:r>
        <w:rPr>
          <w:lang w:val="es-ES"/>
        </w:rPr>
        <w:t>Eduardo Vio Grossi</w:t>
      </w:r>
    </w:p>
    <w:p w:rsidR="00E62513" w:rsidRDefault="00E62513" w:rsidP="00C970D2">
      <w:pPr>
        <w:spacing w:after="0"/>
        <w:ind w:left="5040" w:firstLine="720"/>
        <w:jc w:val="center"/>
        <w:rPr>
          <w:lang w:val="es-ES"/>
        </w:rPr>
      </w:pPr>
      <w:r>
        <w:rPr>
          <w:lang w:val="es-ES"/>
        </w:rPr>
        <w:t>Juez</w:t>
      </w:r>
    </w:p>
    <w:p w:rsidR="00C970D2" w:rsidRDefault="00C970D2" w:rsidP="00C970D2">
      <w:pPr>
        <w:spacing w:after="0"/>
        <w:ind w:left="5040" w:firstLine="720"/>
        <w:jc w:val="center"/>
        <w:rPr>
          <w:lang w:val="es-ES"/>
        </w:rPr>
      </w:pPr>
    </w:p>
    <w:p w:rsidR="00C970D2" w:rsidRDefault="00C970D2" w:rsidP="00C970D2">
      <w:pPr>
        <w:spacing w:after="0"/>
        <w:ind w:left="5040" w:firstLine="720"/>
        <w:jc w:val="center"/>
        <w:rPr>
          <w:lang w:val="es-ES"/>
        </w:rPr>
      </w:pPr>
    </w:p>
    <w:p w:rsidR="00C970D2" w:rsidRDefault="00C970D2" w:rsidP="00C970D2">
      <w:pPr>
        <w:spacing w:after="0"/>
        <w:ind w:left="5040" w:firstLine="720"/>
        <w:jc w:val="center"/>
        <w:rPr>
          <w:lang w:val="es-ES"/>
        </w:rPr>
      </w:pPr>
    </w:p>
    <w:p w:rsidR="00C970D2" w:rsidRDefault="00C970D2" w:rsidP="00C970D2">
      <w:pPr>
        <w:spacing w:after="0"/>
        <w:ind w:left="5040" w:firstLine="720"/>
        <w:jc w:val="center"/>
        <w:rPr>
          <w:lang w:val="es-ES"/>
        </w:rPr>
      </w:pPr>
    </w:p>
    <w:p w:rsidR="00C970D2" w:rsidRPr="000A27C7" w:rsidRDefault="00C970D2" w:rsidP="00C970D2">
      <w:pPr>
        <w:spacing w:after="0"/>
        <w:ind w:left="5040" w:firstLine="720"/>
        <w:jc w:val="center"/>
        <w:rPr>
          <w:lang w:val="es-ES"/>
        </w:rPr>
      </w:pPr>
    </w:p>
    <w:p w:rsidR="000A27C7" w:rsidRDefault="00C970D2" w:rsidP="00C970D2">
      <w:pPr>
        <w:spacing w:after="0"/>
        <w:jc w:val="both"/>
        <w:rPr>
          <w:lang w:val="es-ES"/>
        </w:rPr>
      </w:pPr>
      <w:r>
        <w:rPr>
          <w:lang w:val="es-ES"/>
        </w:rPr>
        <w:t>Pablo Saavedra Alessandri</w:t>
      </w:r>
    </w:p>
    <w:p w:rsidR="00C970D2" w:rsidRPr="000A27C7" w:rsidRDefault="00C970D2" w:rsidP="00C970D2">
      <w:pPr>
        <w:spacing w:after="0"/>
        <w:jc w:val="both"/>
        <w:rPr>
          <w:lang w:val="es-ES"/>
        </w:rPr>
      </w:pPr>
      <w:r>
        <w:rPr>
          <w:lang w:val="es-ES"/>
        </w:rPr>
        <w:t xml:space="preserve">           Secretario </w:t>
      </w:r>
    </w:p>
    <w:sectPr w:rsidR="00C970D2" w:rsidRPr="000A27C7" w:rsidSect="00BE5379">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F8" w:rsidRDefault="00C446F8" w:rsidP="00A8586E">
      <w:pPr>
        <w:spacing w:after="0" w:line="240" w:lineRule="auto"/>
      </w:pPr>
      <w:r>
        <w:separator/>
      </w:r>
    </w:p>
  </w:endnote>
  <w:endnote w:type="continuationSeparator" w:id="0">
    <w:p w:rsidR="00C446F8" w:rsidRDefault="00C446F8" w:rsidP="00A8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F8" w:rsidRDefault="00C446F8" w:rsidP="00A8586E">
      <w:pPr>
        <w:spacing w:after="0" w:line="240" w:lineRule="auto"/>
      </w:pPr>
      <w:r>
        <w:separator/>
      </w:r>
    </w:p>
  </w:footnote>
  <w:footnote w:type="continuationSeparator" w:id="0">
    <w:p w:rsidR="00C446F8" w:rsidRDefault="00C446F8" w:rsidP="00A8586E">
      <w:pPr>
        <w:spacing w:after="0" w:line="240" w:lineRule="auto"/>
      </w:pPr>
      <w:r>
        <w:continuationSeparator/>
      </w:r>
    </w:p>
  </w:footnote>
  <w:footnote w:id="1">
    <w:p w:rsidR="00A8586E" w:rsidRPr="00A8586E" w:rsidRDefault="00A8586E" w:rsidP="000344FD">
      <w:pPr>
        <w:pStyle w:val="FootnoteText"/>
        <w:jc w:val="both"/>
        <w:rPr>
          <w:lang w:val="es-ES"/>
        </w:rPr>
      </w:pPr>
      <w:r>
        <w:rPr>
          <w:rStyle w:val="FootnoteReference"/>
        </w:rPr>
        <w:footnoteRef/>
      </w:r>
      <w:r w:rsidRPr="00A8586E">
        <w:rPr>
          <w:lang w:val="es-ES"/>
        </w:rPr>
        <w:t xml:space="preserve"> Caso Bámaca Velásquez Vs. Guatemala. Reparaciones y Costas. Sentencia de 22 de febrero de 2002. </w:t>
      </w:r>
      <w:r w:rsidRPr="00C17990">
        <w:rPr>
          <w:lang w:val="es-ES"/>
        </w:rPr>
        <w:t>Serie C No. 91</w:t>
      </w:r>
    </w:p>
  </w:footnote>
  <w:footnote w:id="2">
    <w:p w:rsidR="00A8586E" w:rsidRPr="00A8586E" w:rsidRDefault="00A8586E" w:rsidP="000344FD">
      <w:pPr>
        <w:pStyle w:val="FootnoteText"/>
        <w:jc w:val="both"/>
        <w:rPr>
          <w:lang w:val="es-ES"/>
        </w:rPr>
      </w:pPr>
      <w:r>
        <w:rPr>
          <w:rStyle w:val="FootnoteReference"/>
        </w:rPr>
        <w:footnoteRef/>
      </w:r>
      <w:r w:rsidRPr="00A8586E">
        <w:rPr>
          <w:lang w:val="es-ES"/>
        </w:rPr>
        <w:t xml:space="preserve"> Especi</w:t>
      </w:r>
      <w:r>
        <w:rPr>
          <w:lang w:val="es-ES"/>
        </w:rPr>
        <w:t xml:space="preserve">almente en los Votos </w:t>
      </w:r>
      <w:r w:rsidRPr="00A8586E">
        <w:rPr>
          <w:lang w:val="es-ES"/>
        </w:rPr>
        <w:t xml:space="preserve">relativos a  “Medidas Provisionales respecto de la República de Colombia, Caso Gutiérrez Soler Vs. Colombia”, de 30 de junio de 2011; “Medidas Provisionales respecto de los Estados Unidos Mexicanos, Caso Rosendo Cantú y otra Vs. México”, de 1 de julio de 2011, “Medidas Provisionales respecto de la República de Honduras, Caso Kawas Fernández Vs. Honduras”, de 5 de julio de 2011, </w:t>
      </w:r>
      <w:r>
        <w:rPr>
          <w:lang w:val="es-ES"/>
        </w:rPr>
        <w:t>“</w:t>
      </w:r>
      <w:r w:rsidRPr="00A8586E">
        <w:rPr>
          <w:lang w:val="es-ES"/>
        </w:rPr>
        <w:t>Caso Pacheco Teruel y otros respecto de Honduras</w:t>
      </w:r>
      <w:r w:rsidR="00986FEE">
        <w:rPr>
          <w:lang w:val="es-ES"/>
        </w:rPr>
        <w:t>”</w:t>
      </w:r>
      <w:r w:rsidR="00CF2793">
        <w:rPr>
          <w:lang w:val="es-ES"/>
        </w:rPr>
        <w:t>,</w:t>
      </w:r>
      <w:r w:rsidR="00986FEE">
        <w:rPr>
          <w:lang w:val="es-ES"/>
        </w:rPr>
        <w:t xml:space="preserve"> de 13 de febrero de 2013; “</w:t>
      </w:r>
      <w:r w:rsidRPr="00A8586E">
        <w:rPr>
          <w:lang w:val="es-ES"/>
        </w:rPr>
        <w:t>Caso Familia Barrios respecto de Venezuela</w:t>
      </w:r>
      <w:r w:rsidR="00986FEE">
        <w:rPr>
          <w:lang w:val="es-ES"/>
        </w:rPr>
        <w:t>”, de 13 de febrero de 2013; “</w:t>
      </w:r>
      <w:r w:rsidRPr="00A8586E">
        <w:rPr>
          <w:lang w:val="es-ES"/>
        </w:rPr>
        <w:t>Asunto Millacura Llaipén y otros respecto de Argentina</w:t>
      </w:r>
      <w:r w:rsidR="00986FEE">
        <w:rPr>
          <w:lang w:val="es-ES"/>
        </w:rPr>
        <w:t>”, de 13 de febrero de 2013; “</w:t>
      </w:r>
      <w:r w:rsidRPr="00A8586E">
        <w:rPr>
          <w:lang w:val="es-ES"/>
        </w:rPr>
        <w:t>Caso Familia Barrios respecto de Venezuela</w:t>
      </w:r>
      <w:r w:rsidR="00986FEE">
        <w:rPr>
          <w:lang w:val="es-ES"/>
        </w:rPr>
        <w:t>”, de 30 de mayo de 2013; “</w:t>
      </w:r>
      <w:r w:rsidRPr="00A8586E">
        <w:rPr>
          <w:lang w:val="es-ES"/>
        </w:rPr>
        <w:t>Caso Artavia Murillo y otros ("Fecundación in vitro") Vs. Costa Rica</w:t>
      </w:r>
      <w:r w:rsidR="00986FEE">
        <w:rPr>
          <w:lang w:val="es-ES"/>
        </w:rPr>
        <w:t>”, de 31 de marzo de 2014</w:t>
      </w:r>
      <w:r w:rsidRPr="00A8586E">
        <w:rPr>
          <w:lang w:val="es-ES"/>
        </w:rPr>
        <w:t xml:space="preserve">, </w:t>
      </w:r>
      <w:r w:rsidR="00986FEE">
        <w:rPr>
          <w:lang w:val="es-ES"/>
        </w:rPr>
        <w:t>“</w:t>
      </w:r>
      <w:r w:rsidRPr="00A8586E">
        <w:rPr>
          <w:lang w:val="es-ES"/>
        </w:rPr>
        <w:t>Medidas Provisionales respecto de El Salvador, Caso García Prieto y otros</w:t>
      </w:r>
      <w:r w:rsidR="00986FEE">
        <w:rPr>
          <w:lang w:val="es-ES"/>
        </w:rPr>
        <w:t xml:space="preserve">”, de 26 enero de 2015 y </w:t>
      </w:r>
      <w:r w:rsidRPr="00FC7B58">
        <w:rPr>
          <w:lang w:val="es-ES"/>
        </w:rPr>
        <w:t xml:space="preserve">en el escrito de </w:t>
      </w:r>
      <w:r w:rsidR="00986FEE" w:rsidRPr="00FC7B58">
        <w:rPr>
          <w:lang w:val="es-ES"/>
        </w:rPr>
        <w:t>“</w:t>
      </w:r>
      <w:r w:rsidRPr="00FC7B58">
        <w:rPr>
          <w:lang w:val="es-ES"/>
        </w:rPr>
        <w:t>Constancia de Queja</w:t>
      </w:r>
      <w:r w:rsidR="00986FEE" w:rsidRPr="00FC7B58">
        <w:rPr>
          <w:lang w:val="es-ES"/>
        </w:rPr>
        <w:t>”</w:t>
      </w:r>
      <w:r w:rsidRPr="00FC7B58">
        <w:rPr>
          <w:lang w:val="es-ES"/>
        </w:rPr>
        <w:t xml:space="preserve"> que, relacionado con las primeras Resoluciones mencionadas, presentó ante la Corte el 17 de agosto de 2011.</w:t>
      </w:r>
    </w:p>
  </w:footnote>
  <w:footnote w:id="3">
    <w:p w:rsidR="00A376C7" w:rsidRPr="00A376C7" w:rsidRDefault="00A376C7" w:rsidP="000344FD">
      <w:pPr>
        <w:pStyle w:val="FootnoteText"/>
        <w:jc w:val="both"/>
        <w:rPr>
          <w:lang w:val="es-ES"/>
        </w:rPr>
      </w:pPr>
      <w:r>
        <w:rPr>
          <w:rStyle w:val="FootnoteReference"/>
        </w:rPr>
        <w:footnoteRef/>
      </w:r>
      <w:r w:rsidRPr="00A376C7">
        <w:rPr>
          <w:lang w:val="es-ES"/>
        </w:rPr>
        <w:t xml:space="preserve"> </w:t>
      </w:r>
      <w:r>
        <w:rPr>
          <w:lang w:val="es-ES"/>
        </w:rPr>
        <w:t>Art.67</w:t>
      </w:r>
      <w:r w:rsidR="00CF2793">
        <w:rPr>
          <w:lang w:val="es-ES"/>
        </w:rPr>
        <w:t xml:space="preserve"> </w:t>
      </w:r>
      <w:r w:rsidRPr="00A376C7">
        <w:rPr>
          <w:lang w:val="es-ES"/>
        </w:rPr>
        <w:t>de la Convención Americana sobre Derechos Humanos</w:t>
      </w:r>
      <w:r>
        <w:rPr>
          <w:lang w:val="es-ES"/>
        </w:rPr>
        <w:t>, en adelante, la Convención: “</w:t>
      </w:r>
      <w:r w:rsidRPr="00A376C7">
        <w:rPr>
          <w:lang w:val="es-ES"/>
        </w:rPr>
        <w:t>El fallo de la Corte será definitivo e inapelable. En caso de desacuerdo sobre el sentido o alcance del fallo, la Corte lo interpretará a solicitud de cualquiera de las partes, siempre que dicha solicitud se presente dentro de los noventa días a partir de la fecha de la notificación del fallo.</w:t>
      </w:r>
      <w:r>
        <w:rPr>
          <w:lang w:val="es-ES"/>
        </w:rPr>
        <w:t>”</w:t>
      </w:r>
    </w:p>
  </w:footnote>
  <w:footnote w:id="4">
    <w:p w:rsidR="00470117" w:rsidRPr="00470117" w:rsidRDefault="00470117" w:rsidP="000344FD">
      <w:pPr>
        <w:pStyle w:val="FootnoteText"/>
        <w:jc w:val="both"/>
        <w:rPr>
          <w:lang w:val="es-ES"/>
        </w:rPr>
      </w:pPr>
      <w:r>
        <w:rPr>
          <w:rStyle w:val="FootnoteReference"/>
        </w:rPr>
        <w:footnoteRef/>
      </w:r>
      <w:r w:rsidRPr="00470117">
        <w:rPr>
          <w:lang w:val="es-ES"/>
        </w:rPr>
        <w:t xml:space="preserve"> </w:t>
      </w:r>
      <w:r>
        <w:rPr>
          <w:lang w:val="es-ES"/>
        </w:rPr>
        <w:t>En adelante la Corte.</w:t>
      </w:r>
    </w:p>
  </w:footnote>
  <w:footnote w:id="5">
    <w:p w:rsidR="00A376C7" w:rsidRDefault="00A376C7" w:rsidP="000344FD">
      <w:pPr>
        <w:pStyle w:val="FootnoteText"/>
        <w:jc w:val="both"/>
        <w:rPr>
          <w:lang w:val="es-ES"/>
        </w:rPr>
      </w:pPr>
      <w:r>
        <w:rPr>
          <w:rStyle w:val="FootnoteReference"/>
        </w:rPr>
        <w:footnoteRef/>
      </w:r>
      <w:r w:rsidRPr="00A376C7">
        <w:rPr>
          <w:lang w:val="es-ES"/>
        </w:rPr>
        <w:t xml:space="preserve"> </w:t>
      </w:r>
      <w:r>
        <w:rPr>
          <w:lang w:val="es-ES"/>
        </w:rPr>
        <w:t>Art.63.2 de la Convención: “</w:t>
      </w:r>
      <w:r w:rsidRPr="00A376C7">
        <w:rPr>
          <w:lang w:val="es-ES"/>
        </w:rPr>
        <w:t>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w:t>
      </w:r>
      <w:r>
        <w:rPr>
          <w:lang w:val="es-ES"/>
        </w:rPr>
        <w:t>”</w:t>
      </w:r>
    </w:p>
    <w:p w:rsidR="000344FD" w:rsidRPr="000344FD" w:rsidRDefault="000344FD" w:rsidP="000344FD">
      <w:pPr>
        <w:pStyle w:val="FootnoteText"/>
        <w:jc w:val="both"/>
        <w:rPr>
          <w:lang w:val="es-ES"/>
        </w:rPr>
      </w:pPr>
      <w:r>
        <w:rPr>
          <w:lang w:val="es-ES"/>
        </w:rPr>
        <w:t>Art.27 del Reglamento de la Corte, en adelante “el Reglamento”: “</w:t>
      </w:r>
      <w:r w:rsidRPr="000344FD">
        <w:rPr>
          <w:lang w:val="es-ES"/>
        </w:rPr>
        <w:t>1. En cualquier estado del procedimiento, s</w:t>
      </w:r>
      <w:r>
        <w:rPr>
          <w:lang w:val="es-ES"/>
        </w:rPr>
        <w:t xml:space="preserve">iempre que se trate de casos de </w:t>
      </w:r>
      <w:r w:rsidRPr="000344FD">
        <w:rPr>
          <w:lang w:val="es-ES"/>
        </w:rPr>
        <w:t>extrema gravedad y urgencia y cuando sea necesario</w:t>
      </w:r>
      <w:r>
        <w:rPr>
          <w:lang w:val="es-ES"/>
        </w:rPr>
        <w:t xml:space="preserve"> para evitar daños irreparables </w:t>
      </w:r>
      <w:r w:rsidRPr="000344FD">
        <w:rPr>
          <w:lang w:val="es-ES"/>
        </w:rPr>
        <w:t>a las personas, la Corte, de oficio, podrá ordena</w:t>
      </w:r>
      <w:r>
        <w:rPr>
          <w:lang w:val="es-ES"/>
        </w:rPr>
        <w:t xml:space="preserve">r las medidas provisionales que </w:t>
      </w:r>
      <w:r w:rsidRPr="000344FD">
        <w:rPr>
          <w:lang w:val="es-ES"/>
        </w:rPr>
        <w:t>considere pertinentes, en los términos del artículo 63.2 de la Convención.</w:t>
      </w:r>
    </w:p>
    <w:p w:rsidR="000344FD" w:rsidRPr="000344FD" w:rsidRDefault="000344FD" w:rsidP="000344FD">
      <w:pPr>
        <w:pStyle w:val="FootnoteText"/>
        <w:jc w:val="both"/>
        <w:rPr>
          <w:lang w:val="es-ES"/>
        </w:rPr>
      </w:pPr>
      <w:r w:rsidRPr="000344FD">
        <w:rPr>
          <w:lang w:val="es-ES"/>
        </w:rPr>
        <w:t>2. Si se tratare de asuntos aún no sometidos a su conoci</w:t>
      </w:r>
      <w:r>
        <w:rPr>
          <w:lang w:val="es-ES"/>
        </w:rPr>
        <w:t xml:space="preserve">miento, la Corte podrá </w:t>
      </w:r>
      <w:r w:rsidRPr="000344FD">
        <w:rPr>
          <w:lang w:val="es-ES"/>
        </w:rPr>
        <w:t>actuar a solicitud de la Comisión.</w:t>
      </w:r>
    </w:p>
    <w:p w:rsidR="000344FD" w:rsidRPr="000344FD" w:rsidRDefault="000344FD" w:rsidP="000344FD">
      <w:pPr>
        <w:pStyle w:val="FootnoteText"/>
        <w:jc w:val="both"/>
        <w:rPr>
          <w:lang w:val="es-ES"/>
        </w:rPr>
      </w:pPr>
      <w:r w:rsidRPr="000344FD">
        <w:rPr>
          <w:lang w:val="es-ES"/>
        </w:rPr>
        <w:t>3. En los casos contenciosos que se encuentren e</w:t>
      </w:r>
      <w:r>
        <w:rPr>
          <w:lang w:val="es-ES"/>
        </w:rPr>
        <w:t xml:space="preserve">n conocimiento de la Corte, las </w:t>
      </w:r>
      <w:r w:rsidRPr="000344FD">
        <w:rPr>
          <w:lang w:val="es-ES"/>
        </w:rPr>
        <w:t>víctimas o las presuntas víctimas, o sus r</w:t>
      </w:r>
      <w:r>
        <w:rPr>
          <w:lang w:val="es-ES"/>
        </w:rPr>
        <w:t xml:space="preserve">epresentantes, podrán presentar </w:t>
      </w:r>
      <w:r w:rsidRPr="000344FD">
        <w:rPr>
          <w:lang w:val="es-ES"/>
        </w:rPr>
        <w:t>directamente a ésta una solicitud de medidas provi</w:t>
      </w:r>
      <w:r>
        <w:rPr>
          <w:lang w:val="es-ES"/>
        </w:rPr>
        <w:t xml:space="preserve">sionales, las que deberán tener </w:t>
      </w:r>
      <w:r w:rsidRPr="000344FD">
        <w:rPr>
          <w:lang w:val="es-ES"/>
        </w:rPr>
        <w:t>relación con el objeto del caso.</w:t>
      </w:r>
    </w:p>
    <w:p w:rsidR="000344FD" w:rsidRPr="000344FD" w:rsidRDefault="000344FD" w:rsidP="000344FD">
      <w:pPr>
        <w:pStyle w:val="FootnoteText"/>
        <w:jc w:val="both"/>
        <w:rPr>
          <w:lang w:val="es-ES"/>
        </w:rPr>
      </w:pPr>
      <w:r w:rsidRPr="000344FD">
        <w:rPr>
          <w:lang w:val="es-ES"/>
        </w:rPr>
        <w:t>4. La solicitud puede ser presentada a la Presiden</w:t>
      </w:r>
      <w:r>
        <w:rPr>
          <w:lang w:val="es-ES"/>
        </w:rPr>
        <w:t xml:space="preserve">cia, a cualquiera de los Jueces </w:t>
      </w:r>
      <w:r w:rsidRPr="000344FD">
        <w:rPr>
          <w:lang w:val="es-ES"/>
        </w:rPr>
        <w:t>o a la Secretaría, por cualquier medio de comunicación</w:t>
      </w:r>
      <w:r>
        <w:rPr>
          <w:lang w:val="es-ES"/>
        </w:rPr>
        <w:t xml:space="preserve">. En todo caso, quien reciba la </w:t>
      </w:r>
      <w:r w:rsidRPr="000344FD">
        <w:rPr>
          <w:lang w:val="es-ES"/>
        </w:rPr>
        <w:t>solicitud la pondrá de inmediato en conocimiento de la Presidencia.</w:t>
      </w:r>
    </w:p>
    <w:p w:rsidR="000344FD" w:rsidRPr="000344FD" w:rsidRDefault="000344FD" w:rsidP="000344FD">
      <w:pPr>
        <w:pStyle w:val="FootnoteText"/>
        <w:jc w:val="both"/>
        <w:rPr>
          <w:lang w:val="es-ES"/>
        </w:rPr>
      </w:pPr>
      <w:r w:rsidRPr="000344FD">
        <w:rPr>
          <w:lang w:val="es-ES"/>
        </w:rPr>
        <w:t>5. La Corte o, si ésta no estuviere reunida, la</w:t>
      </w:r>
      <w:r>
        <w:rPr>
          <w:lang w:val="es-ES"/>
        </w:rPr>
        <w:t xml:space="preserve"> Presidencia, podrá requerir al </w:t>
      </w:r>
      <w:r w:rsidRPr="000344FD">
        <w:rPr>
          <w:lang w:val="es-ES"/>
        </w:rPr>
        <w:t>Estado, a la Comisión o a los representantes de los ben</w:t>
      </w:r>
      <w:r>
        <w:rPr>
          <w:lang w:val="es-ES"/>
        </w:rPr>
        <w:t xml:space="preserve">eficiarios, cuando lo considere </w:t>
      </w:r>
      <w:r w:rsidRPr="000344FD">
        <w:rPr>
          <w:lang w:val="es-ES"/>
        </w:rPr>
        <w:t>posible e indispensable, la presentación de inf</w:t>
      </w:r>
      <w:r>
        <w:rPr>
          <w:lang w:val="es-ES"/>
        </w:rPr>
        <w:t xml:space="preserve">ormación sobre una solicitud de </w:t>
      </w:r>
      <w:r w:rsidRPr="000344FD">
        <w:rPr>
          <w:lang w:val="es-ES"/>
        </w:rPr>
        <w:t>medidas provisionales, antes de resolver sobre la medida solicitada.</w:t>
      </w:r>
    </w:p>
    <w:p w:rsidR="000344FD" w:rsidRPr="000344FD" w:rsidRDefault="000344FD" w:rsidP="000344FD">
      <w:pPr>
        <w:pStyle w:val="FootnoteText"/>
        <w:jc w:val="both"/>
        <w:rPr>
          <w:lang w:val="es-ES"/>
        </w:rPr>
      </w:pPr>
      <w:r w:rsidRPr="000344FD">
        <w:rPr>
          <w:lang w:val="es-ES"/>
        </w:rPr>
        <w:t>6. Si la Corte no estuviere reunida, la Presidenc</w:t>
      </w:r>
      <w:r>
        <w:rPr>
          <w:lang w:val="es-ES"/>
        </w:rPr>
        <w:t xml:space="preserve">ia, en consulta con la Comisión </w:t>
      </w:r>
      <w:r w:rsidRPr="000344FD">
        <w:rPr>
          <w:lang w:val="es-ES"/>
        </w:rPr>
        <w:t xml:space="preserve">Permanente y, de ser posible, con los demás Jueces, </w:t>
      </w:r>
      <w:r>
        <w:rPr>
          <w:lang w:val="es-ES"/>
        </w:rPr>
        <w:t xml:space="preserve">requerirá del Estado respectivo </w:t>
      </w:r>
      <w:r w:rsidRPr="000344FD">
        <w:rPr>
          <w:lang w:val="es-ES"/>
        </w:rPr>
        <w:t>que dicte las providencias urgentes necesarias a fin</w:t>
      </w:r>
      <w:r>
        <w:rPr>
          <w:lang w:val="es-ES"/>
        </w:rPr>
        <w:t xml:space="preserve"> de asegurar la eficacia de las </w:t>
      </w:r>
      <w:r w:rsidRPr="000344FD">
        <w:rPr>
          <w:lang w:val="es-ES"/>
        </w:rPr>
        <w:t>medidas provisionales que después pueda tomar la</w:t>
      </w:r>
      <w:r>
        <w:rPr>
          <w:lang w:val="es-ES"/>
        </w:rPr>
        <w:t xml:space="preserve"> Corte en su próximo período de</w:t>
      </w:r>
      <w:r w:rsidR="00F045C0">
        <w:rPr>
          <w:lang w:val="es-ES"/>
        </w:rPr>
        <w:t xml:space="preserve"> </w:t>
      </w:r>
      <w:r w:rsidRPr="000344FD">
        <w:rPr>
          <w:lang w:val="es-ES"/>
        </w:rPr>
        <w:t>sesiones.</w:t>
      </w:r>
    </w:p>
    <w:p w:rsidR="000344FD" w:rsidRPr="000344FD" w:rsidRDefault="000344FD" w:rsidP="000344FD">
      <w:pPr>
        <w:pStyle w:val="FootnoteText"/>
        <w:jc w:val="both"/>
        <w:rPr>
          <w:lang w:val="es-ES"/>
        </w:rPr>
      </w:pPr>
      <w:r w:rsidRPr="000344FD">
        <w:rPr>
          <w:lang w:val="es-ES"/>
        </w:rPr>
        <w:t>7. La supervisión de las medidas urgentes o provi</w:t>
      </w:r>
      <w:r>
        <w:rPr>
          <w:lang w:val="es-ES"/>
        </w:rPr>
        <w:t xml:space="preserve">sionales ordenadas se realizará </w:t>
      </w:r>
      <w:r w:rsidRPr="000344FD">
        <w:rPr>
          <w:lang w:val="es-ES"/>
        </w:rPr>
        <w:t>mediante la presentación de informes esta</w:t>
      </w:r>
      <w:r>
        <w:rPr>
          <w:lang w:val="es-ES"/>
        </w:rPr>
        <w:t xml:space="preserve">tales y de las correspondientes </w:t>
      </w:r>
      <w:r w:rsidRPr="000344FD">
        <w:rPr>
          <w:lang w:val="es-ES"/>
        </w:rPr>
        <w:t>observaciones a dichos informes por parte de los be</w:t>
      </w:r>
      <w:r>
        <w:rPr>
          <w:lang w:val="es-ES"/>
        </w:rPr>
        <w:t xml:space="preserve">neficiarios de dichas medidas o </w:t>
      </w:r>
      <w:r w:rsidRPr="000344FD">
        <w:rPr>
          <w:lang w:val="es-ES"/>
        </w:rPr>
        <w:t>sus representantes. La Comisión deberá present</w:t>
      </w:r>
      <w:r>
        <w:rPr>
          <w:lang w:val="es-ES"/>
        </w:rPr>
        <w:t xml:space="preserve">ar observaciones al informe del </w:t>
      </w:r>
      <w:r w:rsidRPr="000344FD">
        <w:rPr>
          <w:lang w:val="es-ES"/>
        </w:rPr>
        <w:t>Estado y a las observaciones de los beneficiarios de las medidas o sus</w:t>
      </w:r>
    </w:p>
    <w:p w:rsidR="000344FD" w:rsidRPr="000344FD" w:rsidRDefault="000344FD" w:rsidP="000344FD">
      <w:pPr>
        <w:pStyle w:val="FootnoteText"/>
        <w:jc w:val="both"/>
        <w:rPr>
          <w:lang w:val="es-ES"/>
        </w:rPr>
      </w:pPr>
      <w:r w:rsidRPr="000344FD">
        <w:rPr>
          <w:lang w:val="es-ES"/>
        </w:rPr>
        <w:t>representantes.</w:t>
      </w:r>
    </w:p>
    <w:p w:rsidR="000344FD" w:rsidRPr="000344FD" w:rsidRDefault="000344FD" w:rsidP="000344FD">
      <w:pPr>
        <w:pStyle w:val="FootnoteText"/>
        <w:jc w:val="both"/>
        <w:rPr>
          <w:lang w:val="es-ES"/>
        </w:rPr>
      </w:pPr>
      <w:r w:rsidRPr="000344FD">
        <w:rPr>
          <w:lang w:val="es-ES"/>
        </w:rPr>
        <w:t>8. En las circunstancias que estime pertinente, l</w:t>
      </w:r>
      <w:r>
        <w:rPr>
          <w:lang w:val="es-ES"/>
        </w:rPr>
        <w:t xml:space="preserve">a Corte podrá requerir de otras </w:t>
      </w:r>
      <w:r w:rsidRPr="000344FD">
        <w:rPr>
          <w:lang w:val="es-ES"/>
        </w:rPr>
        <w:t>fuentes de información datos relevantes sobre el as</w:t>
      </w:r>
      <w:r>
        <w:rPr>
          <w:lang w:val="es-ES"/>
        </w:rPr>
        <w:t xml:space="preserve">unto, que permitan apreciar la </w:t>
      </w:r>
      <w:r w:rsidRPr="000344FD">
        <w:rPr>
          <w:lang w:val="es-ES"/>
        </w:rPr>
        <w:t xml:space="preserve">gravedad y urgencia de la situación y la eficacia </w:t>
      </w:r>
      <w:r>
        <w:rPr>
          <w:lang w:val="es-ES"/>
        </w:rPr>
        <w:t xml:space="preserve">de las medidas. Para los mismos </w:t>
      </w:r>
      <w:r w:rsidRPr="000344FD">
        <w:rPr>
          <w:lang w:val="es-ES"/>
        </w:rPr>
        <w:t>efectos, podrá también requerir los peritajes e informes que considere oportunos.</w:t>
      </w:r>
    </w:p>
    <w:p w:rsidR="000344FD" w:rsidRPr="000344FD" w:rsidRDefault="000344FD" w:rsidP="000344FD">
      <w:pPr>
        <w:pStyle w:val="FootnoteText"/>
        <w:jc w:val="both"/>
        <w:rPr>
          <w:lang w:val="es-ES"/>
        </w:rPr>
      </w:pPr>
      <w:r w:rsidRPr="000344FD">
        <w:rPr>
          <w:lang w:val="es-ES"/>
        </w:rPr>
        <w:t>9. La Corte, o su Presidencia si ésta no estuviere reunida, p</w:t>
      </w:r>
      <w:r>
        <w:rPr>
          <w:lang w:val="es-ES"/>
        </w:rPr>
        <w:t xml:space="preserve">odrá convocar a la </w:t>
      </w:r>
      <w:r w:rsidRPr="000344FD">
        <w:rPr>
          <w:lang w:val="es-ES"/>
        </w:rPr>
        <w:t>Comisión, a los beneficiarios de las medidas, o sus re</w:t>
      </w:r>
      <w:r>
        <w:rPr>
          <w:lang w:val="es-ES"/>
        </w:rPr>
        <w:t xml:space="preserve">presentantes, y al Estado a una </w:t>
      </w:r>
      <w:r w:rsidRPr="000344FD">
        <w:rPr>
          <w:lang w:val="es-ES"/>
        </w:rPr>
        <w:t>audiencia pública o privada sobre las medidas provisionales.</w:t>
      </w:r>
    </w:p>
    <w:p w:rsidR="000344FD" w:rsidRPr="00A376C7" w:rsidRDefault="000344FD" w:rsidP="000344FD">
      <w:pPr>
        <w:pStyle w:val="FootnoteText"/>
        <w:jc w:val="both"/>
        <w:rPr>
          <w:lang w:val="es-ES"/>
        </w:rPr>
      </w:pPr>
      <w:r w:rsidRPr="000344FD">
        <w:rPr>
          <w:lang w:val="es-ES"/>
        </w:rPr>
        <w:t>10. La Corte incluirá en su informe anual a la A</w:t>
      </w:r>
      <w:r>
        <w:rPr>
          <w:lang w:val="es-ES"/>
        </w:rPr>
        <w:t xml:space="preserve">samblea General una relación de </w:t>
      </w:r>
      <w:r w:rsidRPr="000344FD">
        <w:rPr>
          <w:lang w:val="es-ES"/>
        </w:rPr>
        <w:t>las medidas provisionales que haya ordenado en e</w:t>
      </w:r>
      <w:r>
        <w:rPr>
          <w:lang w:val="es-ES"/>
        </w:rPr>
        <w:t xml:space="preserve">l período del informe y, cuando </w:t>
      </w:r>
      <w:r w:rsidRPr="000344FD">
        <w:rPr>
          <w:lang w:val="es-ES"/>
        </w:rPr>
        <w:t>dichas medidas no hayan sido debida</w:t>
      </w:r>
      <w:r>
        <w:rPr>
          <w:lang w:val="es-ES"/>
        </w:rPr>
        <w:t xml:space="preserve">mente ejecutadas, formulará las </w:t>
      </w:r>
      <w:r w:rsidRPr="000344FD">
        <w:rPr>
          <w:lang w:val="es-ES"/>
        </w:rPr>
        <w:t>recomendaciones que estime pertinentes.</w:t>
      </w:r>
      <w:r>
        <w:rPr>
          <w:lang w:val="es-ES"/>
        </w:rPr>
        <w:t>”</w:t>
      </w:r>
    </w:p>
  </w:footnote>
  <w:footnote w:id="6">
    <w:p w:rsidR="00A376C7" w:rsidRPr="00470117" w:rsidRDefault="00A376C7" w:rsidP="000344FD">
      <w:pPr>
        <w:pStyle w:val="FootnoteText"/>
        <w:jc w:val="both"/>
        <w:rPr>
          <w:lang w:val="es-ES"/>
        </w:rPr>
      </w:pPr>
      <w:r>
        <w:rPr>
          <w:rStyle w:val="FootnoteReference"/>
        </w:rPr>
        <w:footnoteRef/>
      </w:r>
      <w:r w:rsidRPr="00470117">
        <w:rPr>
          <w:lang w:val="es-ES"/>
        </w:rPr>
        <w:t xml:space="preserve"> </w:t>
      </w:r>
      <w:r w:rsidR="00470117" w:rsidRPr="00470117">
        <w:rPr>
          <w:lang w:val="es-ES"/>
        </w:rPr>
        <w:t xml:space="preserve">Art. </w:t>
      </w:r>
      <w:r w:rsidR="00470117">
        <w:rPr>
          <w:lang w:val="es-ES"/>
        </w:rPr>
        <w:t>6</w:t>
      </w:r>
      <w:r w:rsidR="00470117" w:rsidRPr="00470117">
        <w:rPr>
          <w:lang w:val="es-ES"/>
        </w:rPr>
        <w:t>6</w:t>
      </w:r>
      <w:r w:rsidR="00470117">
        <w:rPr>
          <w:lang w:val="es-ES"/>
        </w:rPr>
        <w:t>.1</w:t>
      </w:r>
      <w:r w:rsidR="00470117" w:rsidRPr="00470117">
        <w:rPr>
          <w:lang w:val="es-ES"/>
        </w:rPr>
        <w:t xml:space="preserve"> del Reglamento de la Corte: “Cuando en la sentencia de fondo no se h</w:t>
      </w:r>
      <w:r w:rsidR="00470117">
        <w:rPr>
          <w:lang w:val="es-ES"/>
        </w:rPr>
        <w:t xml:space="preserve">ubiere decidido específicamente </w:t>
      </w:r>
      <w:r w:rsidR="00470117" w:rsidRPr="00470117">
        <w:rPr>
          <w:lang w:val="es-ES"/>
        </w:rPr>
        <w:t>sobre reparaciones y costas, la Corte fijará la oportunidad para su posterior decisión</w:t>
      </w:r>
      <w:r w:rsidR="00470117">
        <w:rPr>
          <w:lang w:val="es-ES"/>
        </w:rPr>
        <w:t xml:space="preserve"> y determinará el procedimiento.”</w:t>
      </w:r>
    </w:p>
  </w:footnote>
  <w:footnote w:id="7">
    <w:p w:rsidR="00470117" w:rsidRDefault="00470117" w:rsidP="000344FD">
      <w:pPr>
        <w:pStyle w:val="FootnoteText"/>
        <w:jc w:val="both"/>
        <w:rPr>
          <w:lang w:val="es-ES"/>
        </w:rPr>
      </w:pPr>
      <w:r>
        <w:rPr>
          <w:rStyle w:val="FootnoteReference"/>
        </w:rPr>
        <w:footnoteRef/>
      </w:r>
      <w:r w:rsidRPr="00FC08B9">
        <w:rPr>
          <w:lang w:val="es-ES"/>
        </w:rPr>
        <w:t xml:space="preserve"> </w:t>
      </w:r>
      <w:r>
        <w:rPr>
          <w:lang w:val="es-ES"/>
        </w:rPr>
        <w:t>Art.</w:t>
      </w:r>
      <w:r w:rsidR="00FC08B9">
        <w:rPr>
          <w:lang w:val="es-ES"/>
        </w:rPr>
        <w:t>67, segunda frase, de la Convención</w:t>
      </w:r>
      <w:r w:rsidR="00177E18">
        <w:rPr>
          <w:lang w:val="es-ES"/>
        </w:rPr>
        <w:t xml:space="preserve"> (</w:t>
      </w:r>
      <w:r w:rsidR="00177E18">
        <w:rPr>
          <w:i/>
          <w:lang w:val="es-ES"/>
        </w:rPr>
        <w:t>supra</w:t>
      </w:r>
      <w:r w:rsidR="00177E18">
        <w:rPr>
          <w:lang w:val="es-ES"/>
        </w:rPr>
        <w:t xml:space="preserve"> nota a pie de página 3)</w:t>
      </w:r>
    </w:p>
    <w:p w:rsidR="00FC08B9" w:rsidRPr="00FC08B9" w:rsidRDefault="00FC08B9" w:rsidP="000344FD">
      <w:pPr>
        <w:pStyle w:val="FootnoteText"/>
        <w:jc w:val="both"/>
        <w:rPr>
          <w:lang w:val="es-ES"/>
        </w:rPr>
      </w:pPr>
      <w:r>
        <w:rPr>
          <w:lang w:val="es-ES"/>
        </w:rPr>
        <w:t>Art.68 del Reglamento de la Corte</w:t>
      </w:r>
      <w:r w:rsidR="000344FD">
        <w:rPr>
          <w:lang w:val="es-ES"/>
        </w:rPr>
        <w:t>, en adelante el Reglamento</w:t>
      </w:r>
      <w:r>
        <w:rPr>
          <w:lang w:val="es-ES"/>
        </w:rPr>
        <w:t>: “</w:t>
      </w:r>
      <w:r w:rsidRPr="00FC08B9">
        <w:rPr>
          <w:lang w:val="es-ES"/>
        </w:rPr>
        <w:t xml:space="preserve">1. La solicitud de interpretación a que se refiere el artículo </w:t>
      </w:r>
      <w:r>
        <w:rPr>
          <w:lang w:val="es-ES"/>
        </w:rPr>
        <w:t xml:space="preserve">67 de la Convención </w:t>
      </w:r>
      <w:r w:rsidRPr="00FC08B9">
        <w:rPr>
          <w:lang w:val="es-ES"/>
        </w:rPr>
        <w:t xml:space="preserve">podrá promoverse en relación con las sentencias de </w:t>
      </w:r>
      <w:r>
        <w:rPr>
          <w:lang w:val="es-ES"/>
        </w:rPr>
        <w:t xml:space="preserve">excepciones preliminares, fondo </w:t>
      </w:r>
      <w:r w:rsidRPr="00FC08B9">
        <w:rPr>
          <w:lang w:val="es-ES"/>
        </w:rPr>
        <w:t>o reparaciones y costas y se presentará en la Secret</w:t>
      </w:r>
      <w:r>
        <w:rPr>
          <w:lang w:val="es-ES"/>
        </w:rPr>
        <w:t xml:space="preserve">aría de la Corte indicándose en </w:t>
      </w:r>
      <w:r w:rsidRPr="00FC08B9">
        <w:rPr>
          <w:lang w:val="es-ES"/>
        </w:rPr>
        <w:t>ella, con precisión, las cuestiones relativas al sentido o alcance de</w:t>
      </w:r>
      <w:r>
        <w:rPr>
          <w:lang w:val="es-ES"/>
        </w:rPr>
        <w:t xml:space="preserve"> la sentencia cuya </w:t>
      </w:r>
      <w:r w:rsidRPr="00FC08B9">
        <w:rPr>
          <w:lang w:val="es-ES"/>
        </w:rPr>
        <w:t>interpretación se pida.</w:t>
      </w:r>
    </w:p>
    <w:p w:rsidR="00FC08B9" w:rsidRPr="00FC08B9" w:rsidRDefault="00FC08B9" w:rsidP="000344FD">
      <w:pPr>
        <w:pStyle w:val="FootnoteText"/>
        <w:jc w:val="both"/>
        <w:rPr>
          <w:lang w:val="es-ES"/>
        </w:rPr>
      </w:pPr>
      <w:r w:rsidRPr="00FC08B9">
        <w:rPr>
          <w:lang w:val="es-ES"/>
        </w:rPr>
        <w:t>2. El Secretario comunicará la solicitu</w:t>
      </w:r>
      <w:r>
        <w:rPr>
          <w:lang w:val="es-ES"/>
        </w:rPr>
        <w:t xml:space="preserve">d de interpretación a los demás </w:t>
      </w:r>
      <w:r w:rsidRPr="00FC08B9">
        <w:rPr>
          <w:lang w:val="es-ES"/>
        </w:rPr>
        <w:t>intervinientes en el caso, y les invitará a present</w:t>
      </w:r>
      <w:r>
        <w:rPr>
          <w:lang w:val="es-ES"/>
        </w:rPr>
        <w:t xml:space="preserve">ar las alegaciones escritas que </w:t>
      </w:r>
      <w:r w:rsidRPr="00FC08B9">
        <w:rPr>
          <w:lang w:val="es-ES"/>
        </w:rPr>
        <w:t>estimen pertinentes dentro del plazo fijado por la Presidencia.</w:t>
      </w:r>
    </w:p>
    <w:p w:rsidR="00FC08B9" w:rsidRPr="00FC08B9" w:rsidRDefault="00FC08B9" w:rsidP="000344FD">
      <w:pPr>
        <w:pStyle w:val="FootnoteText"/>
        <w:jc w:val="both"/>
        <w:rPr>
          <w:lang w:val="es-ES"/>
        </w:rPr>
      </w:pPr>
      <w:r w:rsidRPr="00FC08B9">
        <w:rPr>
          <w:lang w:val="es-ES"/>
        </w:rPr>
        <w:t>3. Para el examen de la solicitud de interpreta</w:t>
      </w:r>
      <w:r>
        <w:rPr>
          <w:lang w:val="es-ES"/>
        </w:rPr>
        <w:t xml:space="preserve">ción la Corte se reunirá, si es </w:t>
      </w:r>
      <w:r w:rsidRPr="00FC08B9">
        <w:rPr>
          <w:lang w:val="es-ES"/>
        </w:rPr>
        <w:t>posible, con la composición que tenía al dictar la sen</w:t>
      </w:r>
      <w:r>
        <w:rPr>
          <w:lang w:val="es-ES"/>
        </w:rPr>
        <w:t xml:space="preserve">tencia respectiva. Sin embargo, </w:t>
      </w:r>
      <w:r w:rsidRPr="00FC08B9">
        <w:rPr>
          <w:lang w:val="es-ES"/>
        </w:rPr>
        <w:t>en caso de fallecimiento, renuncia, impedimen</w:t>
      </w:r>
      <w:r>
        <w:rPr>
          <w:lang w:val="es-ES"/>
        </w:rPr>
        <w:t xml:space="preserve">to, excusa o inhabilitación, se </w:t>
      </w:r>
      <w:r w:rsidRPr="00FC08B9">
        <w:rPr>
          <w:lang w:val="es-ES"/>
        </w:rPr>
        <w:t>sustituirá al Juez de que se trate según el artículo 17 de este Reglamento.</w:t>
      </w:r>
    </w:p>
    <w:p w:rsidR="00FC08B9" w:rsidRPr="00FC08B9" w:rsidRDefault="00FC08B9" w:rsidP="000344FD">
      <w:pPr>
        <w:pStyle w:val="FootnoteText"/>
        <w:jc w:val="both"/>
        <w:rPr>
          <w:lang w:val="es-ES"/>
        </w:rPr>
      </w:pPr>
      <w:r w:rsidRPr="00FC08B9">
        <w:rPr>
          <w:lang w:val="es-ES"/>
        </w:rPr>
        <w:t>4. La solicitud de interpretación no suspenderá la ejecución de la sentencia.</w:t>
      </w:r>
    </w:p>
    <w:p w:rsidR="00FC08B9" w:rsidRPr="00470117" w:rsidRDefault="00FC08B9" w:rsidP="000344FD">
      <w:pPr>
        <w:pStyle w:val="FootnoteText"/>
        <w:jc w:val="both"/>
        <w:rPr>
          <w:lang w:val="es-ES"/>
        </w:rPr>
      </w:pPr>
      <w:r w:rsidRPr="00FC08B9">
        <w:rPr>
          <w:lang w:val="es-ES"/>
        </w:rPr>
        <w:t xml:space="preserve">5. La Corte determinará el procedimiento que </w:t>
      </w:r>
      <w:r>
        <w:rPr>
          <w:lang w:val="es-ES"/>
        </w:rPr>
        <w:t xml:space="preserve">se seguirá y resolverá mediante </w:t>
      </w:r>
      <w:r w:rsidRPr="00FC08B9">
        <w:rPr>
          <w:lang w:val="es-ES"/>
        </w:rPr>
        <w:t>una sentencia.</w:t>
      </w:r>
      <w:r>
        <w:rPr>
          <w:lang w:val="es-ES"/>
        </w:rPr>
        <w:t>”</w:t>
      </w:r>
    </w:p>
  </w:footnote>
  <w:footnote w:id="8">
    <w:p w:rsidR="00FC08B9" w:rsidRPr="00FC08B9" w:rsidRDefault="00FC08B9" w:rsidP="000344FD">
      <w:pPr>
        <w:pStyle w:val="FootnoteText"/>
        <w:jc w:val="both"/>
        <w:rPr>
          <w:lang w:val="es-ES"/>
        </w:rPr>
      </w:pPr>
      <w:r>
        <w:rPr>
          <w:rStyle w:val="FootnoteReference"/>
        </w:rPr>
        <w:footnoteRef/>
      </w:r>
      <w:r w:rsidRPr="00FC08B9">
        <w:rPr>
          <w:lang w:val="es-ES"/>
        </w:rPr>
        <w:t xml:space="preserve"> </w:t>
      </w:r>
      <w:r>
        <w:rPr>
          <w:lang w:val="es-ES"/>
        </w:rPr>
        <w:t>Art. 76 del Reglamento de la Corte: “</w:t>
      </w:r>
      <w:r w:rsidRPr="00FC08B9">
        <w:rPr>
          <w:lang w:val="es-ES"/>
        </w:rPr>
        <w:t>La Corte podrá, a iniciativa propia o a solicitud de p</w:t>
      </w:r>
      <w:r>
        <w:rPr>
          <w:lang w:val="es-ES"/>
        </w:rPr>
        <w:t xml:space="preserve">arte, presentada dentro del mes </w:t>
      </w:r>
      <w:r w:rsidRPr="00FC08B9">
        <w:rPr>
          <w:lang w:val="es-ES"/>
        </w:rPr>
        <w:t xml:space="preserve">siguiente a la notificación de la sentencia o resolución </w:t>
      </w:r>
      <w:r>
        <w:rPr>
          <w:lang w:val="es-ES"/>
        </w:rPr>
        <w:t xml:space="preserve">de que se trate, rectificar errores </w:t>
      </w:r>
      <w:r w:rsidRPr="00FC08B9">
        <w:rPr>
          <w:lang w:val="es-ES"/>
        </w:rPr>
        <w:t>notorios, de edición o de cálculo. De efectuars</w:t>
      </w:r>
      <w:r>
        <w:rPr>
          <w:lang w:val="es-ES"/>
        </w:rPr>
        <w:t xml:space="preserve">e alguna rectificación la Corte </w:t>
      </w:r>
      <w:r w:rsidRPr="00FC08B9">
        <w:rPr>
          <w:lang w:val="es-ES"/>
        </w:rPr>
        <w:t>la notificará a la Comisión, a las víctimas o sus repr</w:t>
      </w:r>
      <w:r>
        <w:rPr>
          <w:lang w:val="es-ES"/>
        </w:rPr>
        <w:t xml:space="preserve">esentantes, al Estado demandado </w:t>
      </w:r>
      <w:r w:rsidRPr="00FC08B9">
        <w:rPr>
          <w:lang w:val="es-ES"/>
        </w:rPr>
        <w:t>y, en su caso, al Estado demandante.</w:t>
      </w:r>
      <w:r>
        <w:rPr>
          <w:lang w:val="es-ES"/>
        </w:rPr>
        <w:t>”</w:t>
      </w:r>
    </w:p>
  </w:footnote>
  <w:footnote w:id="9">
    <w:p w:rsidR="00FC08B9" w:rsidRPr="00FC08B9" w:rsidRDefault="00FC08B9" w:rsidP="000344FD">
      <w:pPr>
        <w:pStyle w:val="FootnoteText"/>
        <w:jc w:val="both"/>
        <w:rPr>
          <w:lang w:val="es-ES"/>
        </w:rPr>
      </w:pPr>
      <w:r>
        <w:rPr>
          <w:rStyle w:val="FootnoteReference"/>
        </w:rPr>
        <w:footnoteRef/>
      </w:r>
      <w:r w:rsidRPr="00FC08B9">
        <w:rPr>
          <w:lang w:val="es-ES"/>
        </w:rPr>
        <w:t xml:space="preserve"> </w:t>
      </w:r>
      <w:r>
        <w:rPr>
          <w:lang w:val="es-ES"/>
        </w:rPr>
        <w:t>Art.</w:t>
      </w:r>
      <w:r w:rsidR="000344FD">
        <w:rPr>
          <w:lang w:val="es-ES"/>
        </w:rPr>
        <w:t>69 del Reglamento</w:t>
      </w:r>
      <w:r>
        <w:rPr>
          <w:lang w:val="es-ES"/>
        </w:rPr>
        <w:t xml:space="preserve">:  </w:t>
      </w:r>
      <w:r w:rsidR="000344FD">
        <w:rPr>
          <w:lang w:val="es-ES"/>
        </w:rPr>
        <w:t>“</w:t>
      </w:r>
      <w:r w:rsidRPr="00FC08B9">
        <w:rPr>
          <w:lang w:val="es-ES"/>
        </w:rPr>
        <w:t>1. La supervisión de las sentencias y demás decisiones de la Corte se realizará</w:t>
      </w:r>
    </w:p>
    <w:p w:rsidR="00FC08B9" w:rsidRPr="00FC08B9" w:rsidRDefault="00FC08B9" w:rsidP="000344FD">
      <w:pPr>
        <w:pStyle w:val="FootnoteText"/>
        <w:jc w:val="both"/>
        <w:rPr>
          <w:lang w:val="es-ES"/>
        </w:rPr>
      </w:pPr>
      <w:r w:rsidRPr="00FC08B9">
        <w:rPr>
          <w:lang w:val="es-ES"/>
        </w:rPr>
        <w:t>mediante la presentación de informes esta</w:t>
      </w:r>
      <w:r w:rsidR="000344FD">
        <w:rPr>
          <w:lang w:val="es-ES"/>
        </w:rPr>
        <w:t xml:space="preserve">tales y de las correspondientes </w:t>
      </w:r>
      <w:r w:rsidRPr="00FC08B9">
        <w:rPr>
          <w:lang w:val="es-ES"/>
        </w:rPr>
        <w:t>observaciones a dichos informes por parte de las ví</w:t>
      </w:r>
      <w:r w:rsidR="000344FD">
        <w:rPr>
          <w:lang w:val="es-ES"/>
        </w:rPr>
        <w:t xml:space="preserve">ctimas o sus representantes. La </w:t>
      </w:r>
      <w:r w:rsidRPr="00FC08B9">
        <w:rPr>
          <w:lang w:val="es-ES"/>
        </w:rPr>
        <w:t>Comisión deberá presentar observaciones al informe d</w:t>
      </w:r>
      <w:r w:rsidR="000344FD">
        <w:rPr>
          <w:lang w:val="es-ES"/>
        </w:rPr>
        <w:t xml:space="preserve">el Estado y a las observaciones </w:t>
      </w:r>
      <w:r w:rsidRPr="00FC08B9">
        <w:rPr>
          <w:lang w:val="es-ES"/>
        </w:rPr>
        <w:t>de las víctimas o sus representantes.</w:t>
      </w:r>
    </w:p>
    <w:p w:rsidR="00FC08B9" w:rsidRPr="00FC08B9" w:rsidRDefault="00FC08B9" w:rsidP="000344FD">
      <w:pPr>
        <w:pStyle w:val="FootnoteText"/>
        <w:jc w:val="both"/>
        <w:rPr>
          <w:lang w:val="es-ES"/>
        </w:rPr>
      </w:pPr>
      <w:r w:rsidRPr="00FC08B9">
        <w:rPr>
          <w:lang w:val="es-ES"/>
        </w:rPr>
        <w:t>2. La Corte podrá requerir a otras fuentes de inf</w:t>
      </w:r>
      <w:r w:rsidR="000344FD">
        <w:rPr>
          <w:lang w:val="es-ES"/>
        </w:rPr>
        <w:t xml:space="preserve">ormación datos relevantes sobre </w:t>
      </w:r>
      <w:r w:rsidRPr="00FC08B9">
        <w:rPr>
          <w:lang w:val="es-ES"/>
        </w:rPr>
        <w:t xml:space="preserve">el caso, que permitan apreciar el cumplimiento. Para </w:t>
      </w:r>
      <w:r w:rsidR="000344FD">
        <w:rPr>
          <w:lang w:val="es-ES"/>
        </w:rPr>
        <w:t xml:space="preserve">los mismos efectos podrá </w:t>
      </w:r>
      <w:r w:rsidRPr="00FC08B9">
        <w:rPr>
          <w:lang w:val="es-ES"/>
        </w:rPr>
        <w:t>también requerir los peritajes e informes que considere oportunos.</w:t>
      </w:r>
    </w:p>
    <w:p w:rsidR="00FC08B9" w:rsidRPr="00FC08B9" w:rsidRDefault="00FC08B9" w:rsidP="000344FD">
      <w:pPr>
        <w:pStyle w:val="FootnoteText"/>
        <w:jc w:val="both"/>
        <w:rPr>
          <w:lang w:val="es-ES"/>
        </w:rPr>
      </w:pPr>
      <w:r w:rsidRPr="00FC08B9">
        <w:rPr>
          <w:lang w:val="es-ES"/>
        </w:rPr>
        <w:t>3. Cuando lo considere pertinente, el Tribunal p</w:t>
      </w:r>
      <w:r w:rsidR="000344FD">
        <w:rPr>
          <w:lang w:val="es-ES"/>
        </w:rPr>
        <w:t xml:space="preserve">odrá convocar al Estado y a los </w:t>
      </w:r>
      <w:r w:rsidRPr="00FC08B9">
        <w:rPr>
          <w:lang w:val="es-ES"/>
        </w:rPr>
        <w:t>representantes de las víctimas a una audiencia par</w:t>
      </w:r>
      <w:r w:rsidR="000344FD">
        <w:rPr>
          <w:lang w:val="es-ES"/>
        </w:rPr>
        <w:t xml:space="preserve">a supervisar el cumplimiento de </w:t>
      </w:r>
      <w:r w:rsidRPr="00FC08B9">
        <w:rPr>
          <w:lang w:val="es-ES"/>
        </w:rPr>
        <w:t>sus decisiones, y en ésta escuchará el parecer de la Comisión.</w:t>
      </w:r>
    </w:p>
    <w:p w:rsidR="00FC08B9" w:rsidRPr="00FC08B9" w:rsidRDefault="00FC08B9" w:rsidP="000344FD">
      <w:pPr>
        <w:pStyle w:val="FootnoteText"/>
        <w:jc w:val="both"/>
        <w:rPr>
          <w:lang w:val="es-ES"/>
        </w:rPr>
      </w:pPr>
      <w:r w:rsidRPr="00FC08B9">
        <w:rPr>
          <w:lang w:val="es-ES"/>
        </w:rPr>
        <w:t>4. Una vez que el Tribunal cuente con la informa</w:t>
      </w:r>
      <w:r w:rsidR="000344FD">
        <w:rPr>
          <w:lang w:val="es-ES"/>
        </w:rPr>
        <w:t xml:space="preserve">ción pertinente, determinará el </w:t>
      </w:r>
      <w:r w:rsidRPr="00FC08B9">
        <w:rPr>
          <w:lang w:val="es-ES"/>
        </w:rPr>
        <w:t>estado del cumplimiento de lo resuelto y emit</w:t>
      </w:r>
      <w:r w:rsidR="000344FD">
        <w:rPr>
          <w:lang w:val="es-ES"/>
        </w:rPr>
        <w:t xml:space="preserve">irá las resoluciones que estime </w:t>
      </w:r>
      <w:r w:rsidRPr="00FC08B9">
        <w:rPr>
          <w:lang w:val="es-ES"/>
        </w:rPr>
        <w:t>pertinentes.</w:t>
      </w:r>
    </w:p>
    <w:p w:rsidR="00FC08B9" w:rsidRPr="00FC08B9" w:rsidRDefault="00FC08B9" w:rsidP="000344FD">
      <w:pPr>
        <w:pStyle w:val="FootnoteText"/>
        <w:jc w:val="both"/>
        <w:rPr>
          <w:lang w:val="es-ES"/>
        </w:rPr>
      </w:pPr>
      <w:r w:rsidRPr="00FC08B9">
        <w:rPr>
          <w:lang w:val="es-ES"/>
        </w:rPr>
        <w:t>5. Estas disposiciones se aplican también</w:t>
      </w:r>
      <w:r w:rsidR="000344FD">
        <w:rPr>
          <w:lang w:val="es-ES"/>
        </w:rPr>
        <w:t xml:space="preserve"> para casos no sometidos por la </w:t>
      </w:r>
      <w:r w:rsidRPr="00FC08B9">
        <w:rPr>
          <w:lang w:val="es-ES"/>
        </w:rPr>
        <w:t>Comisión.</w:t>
      </w:r>
      <w:r w:rsidR="000344FD">
        <w:rPr>
          <w:lang w:val="es-ES"/>
        </w:rPr>
        <w:t>”</w:t>
      </w:r>
    </w:p>
  </w:footnote>
  <w:footnote w:id="10">
    <w:p w:rsidR="000344FD" w:rsidRDefault="000344FD" w:rsidP="000344FD">
      <w:pPr>
        <w:pStyle w:val="FootnoteText"/>
        <w:jc w:val="both"/>
        <w:rPr>
          <w:lang w:val="es-ES"/>
        </w:rPr>
      </w:pPr>
      <w:r>
        <w:rPr>
          <w:rStyle w:val="FootnoteReference"/>
        </w:rPr>
        <w:footnoteRef/>
      </w:r>
      <w:r w:rsidRPr="000344FD">
        <w:rPr>
          <w:lang w:val="es-ES"/>
        </w:rPr>
        <w:t xml:space="preserve"> Art.65 de la Convención: “La Corte someterá a la consideración de la Asamblea General de la Organización en cada período ordinario de sesiones un informe sobre su labor en el año anterior. De manera especial y con las recomendaciones pertinentes, señalará los casos en que un Estado no haya dado cumplimiento a sus fallos.</w:t>
      </w:r>
      <w:r>
        <w:rPr>
          <w:lang w:val="es-ES"/>
        </w:rPr>
        <w:t>”</w:t>
      </w:r>
    </w:p>
    <w:p w:rsidR="000344FD" w:rsidRPr="000344FD" w:rsidRDefault="000344FD" w:rsidP="000344FD">
      <w:pPr>
        <w:pStyle w:val="FootnoteText"/>
        <w:jc w:val="both"/>
        <w:rPr>
          <w:lang w:val="es-ES"/>
        </w:rPr>
      </w:pPr>
      <w:r>
        <w:rPr>
          <w:lang w:val="es-ES"/>
        </w:rPr>
        <w:t>Art.</w:t>
      </w:r>
      <w:r w:rsidR="00F045C0">
        <w:rPr>
          <w:lang w:val="es-ES"/>
        </w:rPr>
        <w:t>30 del Estatuto de la Corte: “</w:t>
      </w:r>
      <w:r w:rsidR="00F045C0" w:rsidRPr="00F045C0">
        <w:rPr>
          <w:lang w:val="es-ES"/>
        </w:rPr>
        <w:t>La Corte someterá a la Asamblea General de la OEA, en cada período ordinario de sesiones, un informe de su labor en el año anterior. Señalará los casos en que un Estado no haya dado cumplimiento a sus fallos. Podrá también someter a la Asamblea General de la OEA proposiciones o recomendaciones para el mejoramiento del sistema interamericano de derechos humanos, en lo relacionado con el trabajo de la Corte.</w:t>
      </w:r>
      <w:r w:rsidR="00F045C0">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355519"/>
      <w:docPartObj>
        <w:docPartGallery w:val="Page Numbers (Top of Page)"/>
        <w:docPartUnique/>
      </w:docPartObj>
    </w:sdtPr>
    <w:sdtEndPr>
      <w:rPr>
        <w:noProof/>
      </w:rPr>
    </w:sdtEndPr>
    <w:sdtContent>
      <w:p w:rsidR="00BE5379" w:rsidRDefault="00BE5379">
        <w:pPr>
          <w:pStyle w:val="Header"/>
          <w:jc w:val="center"/>
        </w:pPr>
        <w:r>
          <w:fldChar w:fldCharType="begin"/>
        </w:r>
        <w:r>
          <w:instrText xml:space="preserve"> PAGE   \* MERGEFORMAT </w:instrText>
        </w:r>
        <w:r>
          <w:fldChar w:fldCharType="separate"/>
        </w:r>
        <w:r w:rsidR="00042E3B">
          <w:rPr>
            <w:noProof/>
          </w:rPr>
          <w:t>4</w:t>
        </w:r>
        <w:r>
          <w:rPr>
            <w:noProof/>
          </w:rPr>
          <w:fldChar w:fldCharType="end"/>
        </w:r>
      </w:p>
    </w:sdtContent>
  </w:sdt>
  <w:p w:rsidR="00BE5379" w:rsidRDefault="00BE53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C7"/>
    <w:rsid w:val="000344FD"/>
    <w:rsid w:val="00042E3B"/>
    <w:rsid w:val="0008042B"/>
    <w:rsid w:val="000A27C7"/>
    <w:rsid w:val="00106EB1"/>
    <w:rsid w:val="0012222D"/>
    <w:rsid w:val="00177E18"/>
    <w:rsid w:val="001B249C"/>
    <w:rsid w:val="002D00EE"/>
    <w:rsid w:val="00451D5C"/>
    <w:rsid w:val="00470117"/>
    <w:rsid w:val="004F6FA4"/>
    <w:rsid w:val="006903ED"/>
    <w:rsid w:val="007374E5"/>
    <w:rsid w:val="007739C7"/>
    <w:rsid w:val="007B0D55"/>
    <w:rsid w:val="00885C84"/>
    <w:rsid w:val="008D599C"/>
    <w:rsid w:val="009116DE"/>
    <w:rsid w:val="00986FEE"/>
    <w:rsid w:val="00A376C7"/>
    <w:rsid w:val="00A8586E"/>
    <w:rsid w:val="00AE1356"/>
    <w:rsid w:val="00B03474"/>
    <w:rsid w:val="00B72A49"/>
    <w:rsid w:val="00BE5379"/>
    <w:rsid w:val="00C17990"/>
    <w:rsid w:val="00C446F8"/>
    <w:rsid w:val="00C970D2"/>
    <w:rsid w:val="00CF2793"/>
    <w:rsid w:val="00D960EA"/>
    <w:rsid w:val="00DD381C"/>
    <w:rsid w:val="00E62513"/>
    <w:rsid w:val="00F045C0"/>
    <w:rsid w:val="00F2093F"/>
    <w:rsid w:val="00F80FE7"/>
    <w:rsid w:val="00F928E1"/>
    <w:rsid w:val="00FC08B9"/>
    <w:rsid w:val="00FC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586E"/>
    <w:pPr>
      <w:spacing w:after="0" w:line="240" w:lineRule="auto"/>
    </w:pPr>
    <w:rPr>
      <w:sz w:val="20"/>
      <w:szCs w:val="20"/>
    </w:rPr>
  </w:style>
  <w:style w:type="character" w:customStyle="1" w:styleId="FootnoteTextChar">
    <w:name w:val="Footnote Text Char"/>
    <w:basedOn w:val="DefaultParagraphFont"/>
    <w:link w:val="FootnoteText"/>
    <w:uiPriority w:val="99"/>
    <w:rsid w:val="00A8586E"/>
    <w:rPr>
      <w:sz w:val="20"/>
      <w:szCs w:val="20"/>
    </w:rPr>
  </w:style>
  <w:style w:type="character" w:styleId="FootnoteReference">
    <w:name w:val="footnote reference"/>
    <w:basedOn w:val="DefaultParagraphFont"/>
    <w:uiPriority w:val="99"/>
    <w:semiHidden/>
    <w:unhideWhenUsed/>
    <w:rsid w:val="00A8586E"/>
    <w:rPr>
      <w:vertAlign w:val="superscript"/>
    </w:rPr>
  </w:style>
  <w:style w:type="paragraph" w:styleId="BalloonText">
    <w:name w:val="Balloon Text"/>
    <w:basedOn w:val="Normal"/>
    <w:link w:val="BalloonTextChar"/>
    <w:uiPriority w:val="99"/>
    <w:semiHidden/>
    <w:unhideWhenUsed/>
    <w:rsid w:val="00CF2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93"/>
    <w:rPr>
      <w:rFonts w:ascii="Tahoma" w:hAnsi="Tahoma" w:cs="Tahoma"/>
      <w:sz w:val="16"/>
      <w:szCs w:val="16"/>
    </w:rPr>
  </w:style>
  <w:style w:type="paragraph" w:styleId="Header">
    <w:name w:val="header"/>
    <w:basedOn w:val="Normal"/>
    <w:link w:val="HeaderChar"/>
    <w:uiPriority w:val="99"/>
    <w:unhideWhenUsed/>
    <w:rsid w:val="00BE5379"/>
    <w:pPr>
      <w:tabs>
        <w:tab w:val="center" w:pos="4419"/>
        <w:tab w:val="right" w:pos="8838"/>
      </w:tabs>
      <w:spacing w:after="0" w:line="240" w:lineRule="auto"/>
    </w:pPr>
  </w:style>
  <w:style w:type="character" w:customStyle="1" w:styleId="HeaderChar">
    <w:name w:val="Header Char"/>
    <w:basedOn w:val="DefaultParagraphFont"/>
    <w:link w:val="Header"/>
    <w:uiPriority w:val="99"/>
    <w:rsid w:val="00BE5379"/>
  </w:style>
  <w:style w:type="paragraph" w:styleId="Footer">
    <w:name w:val="footer"/>
    <w:basedOn w:val="Normal"/>
    <w:link w:val="FooterChar"/>
    <w:uiPriority w:val="99"/>
    <w:unhideWhenUsed/>
    <w:rsid w:val="00BE5379"/>
    <w:pPr>
      <w:tabs>
        <w:tab w:val="center" w:pos="4419"/>
        <w:tab w:val="right" w:pos="8838"/>
      </w:tabs>
      <w:spacing w:after="0" w:line="240" w:lineRule="auto"/>
    </w:pPr>
  </w:style>
  <w:style w:type="character" w:customStyle="1" w:styleId="FooterChar">
    <w:name w:val="Footer Char"/>
    <w:basedOn w:val="DefaultParagraphFont"/>
    <w:link w:val="Footer"/>
    <w:uiPriority w:val="99"/>
    <w:rsid w:val="00BE53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8586E"/>
    <w:pPr>
      <w:spacing w:after="0" w:line="240" w:lineRule="auto"/>
    </w:pPr>
    <w:rPr>
      <w:sz w:val="20"/>
      <w:szCs w:val="20"/>
    </w:rPr>
  </w:style>
  <w:style w:type="character" w:customStyle="1" w:styleId="FootnoteTextChar">
    <w:name w:val="Footnote Text Char"/>
    <w:basedOn w:val="DefaultParagraphFont"/>
    <w:link w:val="FootnoteText"/>
    <w:uiPriority w:val="99"/>
    <w:rsid w:val="00A8586E"/>
    <w:rPr>
      <w:sz w:val="20"/>
      <w:szCs w:val="20"/>
    </w:rPr>
  </w:style>
  <w:style w:type="character" w:styleId="FootnoteReference">
    <w:name w:val="footnote reference"/>
    <w:basedOn w:val="DefaultParagraphFont"/>
    <w:uiPriority w:val="99"/>
    <w:semiHidden/>
    <w:unhideWhenUsed/>
    <w:rsid w:val="00A8586E"/>
    <w:rPr>
      <w:vertAlign w:val="superscript"/>
    </w:rPr>
  </w:style>
  <w:style w:type="paragraph" w:styleId="BalloonText">
    <w:name w:val="Balloon Text"/>
    <w:basedOn w:val="Normal"/>
    <w:link w:val="BalloonTextChar"/>
    <w:uiPriority w:val="99"/>
    <w:semiHidden/>
    <w:unhideWhenUsed/>
    <w:rsid w:val="00CF2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93"/>
    <w:rPr>
      <w:rFonts w:ascii="Tahoma" w:hAnsi="Tahoma" w:cs="Tahoma"/>
      <w:sz w:val="16"/>
      <w:szCs w:val="16"/>
    </w:rPr>
  </w:style>
  <w:style w:type="paragraph" w:styleId="Header">
    <w:name w:val="header"/>
    <w:basedOn w:val="Normal"/>
    <w:link w:val="HeaderChar"/>
    <w:uiPriority w:val="99"/>
    <w:unhideWhenUsed/>
    <w:rsid w:val="00BE5379"/>
    <w:pPr>
      <w:tabs>
        <w:tab w:val="center" w:pos="4419"/>
        <w:tab w:val="right" w:pos="8838"/>
      </w:tabs>
      <w:spacing w:after="0" w:line="240" w:lineRule="auto"/>
    </w:pPr>
  </w:style>
  <w:style w:type="character" w:customStyle="1" w:styleId="HeaderChar">
    <w:name w:val="Header Char"/>
    <w:basedOn w:val="DefaultParagraphFont"/>
    <w:link w:val="Header"/>
    <w:uiPriority w:val="99"/>
    <w:rsid w:val="00BE5379"/>
  </w:style>
  <w:style w:type="paragraph" w:styleId="Footer">
    <w:name w:val="footer"/>
    <w:basedOn w:val="Normal"/>
    <w:link w:val="FooterChar"/>
    <w:uiPriority w:val="99"/>
    <w:unhideWhenUsed/>
    <w:rsid w:val="00BE5379"/>
    <w:pPr>
      <w:tabs>
        <w:tab w:val="center" w:pos="4419"/>
        <w:tab w:val="right" w:pos="8838"/>
      </w:tabs>
      <w:spacing w:after="0" w:line="240" w:lineRule="auto"/>
    </w:pPr>
  </w:style>
  <w:style w:type="character" w:customStyle="1" w:styleId="FooterChar">
    <w:name w:val="Footer Char"/>
    <w:basedOn w:val="DefaultParagraphFont"/>
    <w:link w:val="Footer"/>
    <w:uiPriority w:val="99"/>
    <w:rsid w:val="00BE5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F674F-0FF5-46C0-86E1-CABD433B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Julliana Saborio</cp:lastModifiedBy>
  <cp:revision>2</cp:revision>
  <cp:lastPrinted>2016-10-31T21:22:00Z</cp:lastPrinted>
  <dcterms:created xsi:type="dcterms:W3CDTF">2016-10-31T22:40:00Z</dcterms:created>
  <dcterms:modified xsi:type="dcterms:W3CDTF">2016-10-31T22:40:00Z</dcterms:modified>
</cp:coreProperties>
</file>