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4F48C" w14:textId="4A3E6C4D" w:rsidR="006B013B" w:rsidRDefault="006B013B" w:rsidP="009849CC">
      <w:pPr>
        <w:autoSpaceDE w:val="0"/>
        <w:autoSpaceDN w:val="0"/>
        <w:adjustRightInd w:val="0"/>
        <w:jc w:val="center"/>
        <w:rPr>
          <w:rFonts w:ascii="Verdana" w:hAnsi="Verdana" w:cs="Arial"/>
          <w:b/>
          <w:bCs/>
          <w:color w:val="000000"/>
          <w:spacing w:val="-4"/>
          <w:sz w:val="20"/>
          <w:szCs w:val="20"/>
          <w:lang w:val="es-CR"/>
        </w:rPr>
      </w:pPr>
    </w:p>
    <w:p w14:paraId="57CD9C10" w14:textId="05E906B4" w:rsidR="00EA0C41" w:rsidRDefault="00EA0C41" w:rsidP="009849CC">
      <w:pPr>
        <w:autoSpaceDE w:val="0"/>
        <w:autoSpaceDN w:val="0"/>
        <w:adjustRightInd w:val="0"/>
        <w:jc w:val="center"/>
        <w:rPr>
          <w:rFonts w:ascii="Verdana" w:hAnsi="Verdana" w:cs="Arial"/>
          <w:b/>
          <w:bCs/>
          <w:color w:val="000000"/>
          <w:spacing w:val="-4"/>
          <w:sz w:val="20"/>
          <w:szCs w:val="20"/>
          <w:lang w:val="es-CR"/>
        </w:rPr>
      </w:pPr>
    </w:p>
    <w:p w14:paraId="57B2E8A7" w14:textId="77777777" w:rsidR="00EA0C41" w:rsidRPr="00B509F1" w:rsidRDefault="00EA0C41" w:rsidP="009849CC">
      <w:pPr>
        <w:autoSpaceDE w:val="0"/>
        <w:autoSpaceDN w:val="0"/>
        <w:adjustRightInd w:val="0"/>
        <w:jc w:val="center"/>
        <w:rPr>
          <w:rFonts w:ascii="Verdana" w:hAnsi="Verdana" w:cs="Arial"/>
          <w:b/>
          <w:bCs/>
          <w:color w:val="000000"/>
          <w:spacing w:val="-4"/>
          <w:sz w:val="20"/>
          <w:szCs w:val="20"/>
          <w:lang w:val="es-CR"/>
        </w:rPr>
      </w:pPr>
    </w:p>
    <w:p w14:paraId="75462135" w14:textId="0FE4E3BA" w:rsidR="0088606F" w:rsidRPr="00B509F1" w:rsidRDefault="00D86DFD" w:rsidP="0088606F">
      <w:pPr>
        <w:autoSpaceDE w:val="0"/>
        <w:autoSpaceDN w:val="0"/>
        <w:adjustRightInd w:val="0"/>
        <w:jc w:val="center"/>
        <w:rPr>
          <w:rFonts w:ascii="Verdana" w:hAnsi="Verdana" w:cs="Arial"/>
          <w:b/>
          <w:bCs/>
          <w:color w:val="000000"/>
          <w:spacing w:val="-4"/>
          <w:sz w:val="20"/>
          <w:szCs w:val="20"/>
          <w:lang w:val="es-CR"/>
        </w:rPr>
      </w:pPr>
      <w:r w:rsidRPr="00B509F1">
        <w:rPr>
          <w:rFonts w:ascii="Verdana" w:hAnsi="Verdana" w:cs="Arial"/>
          <w:b/>
          <w:bCs/>
          <w:color w:val="000000"/>
          <w:spacing w:val="-4"/>
          <w:sz w:val="20"/>
          <w:szCs w:val="20"/>
          <w:lang w:val="es-CR"/>
        </w:rPr>
        <w:t>VOTO</w:t>
      </w:r>
      <w:r w:rsidR="0088606F" w:rsidRPr="00B509F1">
        <w:rPr>
          <w:rFonts w:ascii="Verdana" w:hAnsi="Verdana" w:cs="Arial"/>
          <w:b/>
          <w:bCs/>
          <w:color w:val="000000"/>
          <w:spacing w:val="-4"/>
          <w:sz w:val="20"/>
          <w:szCs w:val="20"/>
          <w:lang w:val="es-CR"/>
        </w:rPr>
        <w:t xml:space="preserve"> DISIDENTE</w:t>
      </w:r>
      <w:r w:rsidR="001A185B" w:rsidRPr="00B509F1">
        <w:rPr>
          <w:rFonts w:ascii="Verdana" w:hAnsi="Verdana" w:cs="Arial"/>
          <w:b/>
          <w:bCs/>
          <w:color w:val="000000"/>
          <w:spacing w:val="-4"/>
          <w:sz w:val="20"/>
          <w:szCs w:val="20"/>
          <w:lang w:val="es-CR"/>
        </w:rPr>
        <w:t xml:space="preserve"> DEL</w:t>
      </w:r>
    </w:p>
    <w:p w14:paraId="1F2817C8" w14:textId="4C7CA6AC" w:rsidR="00640948" w:rsidRPr="00B509F1" w:rsidRDefault="00D86DFD" w:rsidP="0088606F">
      <w:pPr>
        <w:autoSpaceDE w:val="0"/>
        <w:autoSpaceDN w:val="0"/>
        <w:adjustRightInd w:val="0"/>
        <w:jc w:val="center"/>
        <w:rPr>
          <w:rFonts w:ascii="Verdana" w:hAnsi="Verdana" w:cs="Arial"/>
          <w:bCs/>
          <w:color w:val="000000"/>
          <w:spacing w:val="-4"/>
          <w:sz w:val="20"/>
          <w:szCs w:val="20"/>
          <w:lang w:val="es-CR"/>
        </w:rPr>
      </w:pPr>
      <w:r w:rsidRPr="00B509F1">
        <w:rPr>
          <w:rFonts w:ascii="Verdana" w:hAnsi="Verdana" w:cs="Arial"/>
          <w:b/>
          <w:bCs/>
          <w:color w:val="000000"/>
          <w:spacing w:val="-4"/>
          <w:sz w:val="20"/>
          <w:szCs w:val="20"/>
          <w:lang w:val="es-CR"/>
        </w:rPr>
        <w:t xml:space="preserve">JUEZ </w:t>
      </w:r>
      <w:r w:rsidR="001A185B" w:rsidRPr="00B509F1">
        <w:rPr>
          <w:rFonts w:ascii="Verdana" w:hAnsi="Verdana" w:cs="Arial"/>
          <w:b/>
          <w:bCs/>
          <w:color w:val="000000"/>
          <w:spacing w:val="-4"/>
          <w:sz w:val="20"/>
          <w:szCs w:val="20"/>
          <w:lang w:val="es-CR"/>
        </w:rPr>
        <w:t>L. PATRICIO PAZMIÑO FREIRE</w:t>
      </w:r>
    </w:p>
    <w:p w14:paraId="36AE1679" w14:textId="77777777" w:rsidR="0069388F" w:rsidRPr="00B509F1" w:rsidRDefault="0069388F" w:rsidP="00D86DFD">
      <w:pPr>
        <w:autoSpaceDE w:val="0"/>
        <w:autoSpaceDN w:val="0"/>
        <w:adjustRightInd w:val="0"/>
        <w:rPr>
          <w:rFonts w:ascii="Verdana" w:hAnsi="Verdana" w:cs="Arial"/>
          <w:bCs/>
          <w:color w:val="000000"/>
          <w:spacing w:val="-4"/>
          <w:sz w:val="20"/>
          <w:szCs w:val="20"/>
          <w:lang w:val="es-CR"/>
        </w:rPr>
      </w:pPr>
    </w:p>
    <w:p w14:paraId="60252600" w14:textId="46053F11" w:rsidR="00640948" w:rsidRPr="00B509F1" w:rsidRDefault="008E6001" w:rsidP="00640948">
      <w:pPr>
        <w:autoSpaceDE w:val="0"/>
        <w:autoSpaceDN w:val="0"/>
        <w:adjustRightInd w:val="0"/>
        <w:jc w:val="center"/>
        <w:rPr>
          <w:rFonts w:ascii="Verdana" w:hAnsi="Verdana" w:cs="Arial"/>
          <w:b/>
          <w:bCs/>
          <w:i/>
          <w:color w:val="000000"/>
          <w:spacing w:val="-4"/>
          <w:sz w:val="20"/>
          <w:szCs w:val="20"/>
          <w:lang w:val="es-CR"/>
        </w:rPr>
      </w:pPr>
      <w:r>
        <w:rPr>
          <w:rFonts w:ascii="Verdana" w:hAnsi="Verdana" w:cs="Arial"/>
          <w:b/>
          <w:bCs/>
          <w:i/>
          <w:color w:val="000000"/>
          <w:spacing w:val="-4"/>
          <w:sz w:val="20"/>
          <w:szCs w:val="20"/>
          <w:lang w:val="es-CR"/>
        </w:rPr>
        <w:t>A LA RESOLUCIÓN EMI</w:t>
      </w:r>
      <w:r w:rsidR="00B509F1" w:rsidRPr="00B509F1">
        <w:rPr>
          <w:rFonts w:ascii="Verdana" w:hAnsi="Verdana" w:cs="Arial"/>
          <w:b/>
          <w:bCs/>
          <w:i/>
          <w:color w:val="000000"/>
          <w:spacing w:val="-4"/>
          <w:sz w:val="20"/>
          <w:szCs w:val="20"/>
          <w:lang w:val="es-CR"/>
        </w:rPr>
        <w:t>T</w:t>
      </w:r>
      <w:r>
        <w:rPr>
          <w:rFonts w:ascii="Verdana" w:hAnsi="Verdana" w:cs="Arial"/>
          <w:b/>
          <w:bCs/>
          <w:i/>
          <w:color w:val="000000"/>
          <w:spacing w:val="-4"/>
          <w:sz w:val="20"/>
          <w:szCs w:val="20"/>
          <w:lang w:val="es-CR"/>
        </w:rPr>
        <w:t>I</w:t>
      </w:r>
      <w:r w:rsidR="00B509F1" w:rsidRPr="00B509F1">
        <w:rPr>
          <w:rFonts w:ascii="Verdana" w:hAnsi="Verdana" w:cs="Arial"/>
          <w:b/>
          <w:bCs/>
          <w:i/>
          <w:color w:val="000000"/>
          <w:spacing w:val="-4"/>
          <w:sz w:val="20"/>
          <w:szCs w:val="20"/>
          <w:lang w:val="es-CR"/>
        </w:rPr>
        <w:t xml:space="preserve">DA EL 29 DE JULIO DE 2020 EN EL </w:t>
      </w:r>
      <w:r w:rsidR="00640948" w:rsidRPr="00B509F1">
        <w:rPr>
          <w:rFonts w:ascii="Verdana" w:hAnsi="Verdana" w:cs="Arial"/>
          <w:b/>
          <w:bCs/>
          <w:i/>
          <w:color w:val="000000"/>
          <w:spacing w:val="-4"/>
          <w:sz w:val="20"/>
          <w:szCs w:val="20"/>
          <w:lang w:val="es-CR"/>
        </w:rPr>
        <w:t xml:space="preserve">CASO DEL PENAL MIGUEL CASTRO </w:t>
      </w:r>
      <w:proofErr w:type="spellStart"/>
      <w:r w:rsidR="00640948" w:rsidRPr="00B509F1">
        <w:rPr>
          <w:rFonts w:ascii="Verdana" w:hAnsi="Verdana" w:cs="Arial"/>
          <w:b/>
          <w:bCs/>
          <w:i/>
          <w:color w:val="000000"/>
          <w:spacing w:val="-4"/>
          <w:sz w:val="20"/>
          <w:szCs w:val="20"/>
          <w:lang w:val="es-CR"/>
        </w:rPr>
        <w:t>CASTRO</w:t>
      </w:r>
      <w:proofErr w:type="spellEnd"/>
      <w:r w:rsidR="00640948" w:rsidRPr="00B509F1">
        <w:rPr>
          <w:rFonts w:ascii="Verdana" w:hAnsi="Verdana" w:cs="Arial"/>
          <w:b/>
          <w:bCs/>
          <w:i/>
          <w:color w:val="000000"/>
          <w:spacing w:val="-4"/>
          <w:sz w:val="20"/>
          <w:szCs w:val="20"/>
          <w:lang w:val="es-CR"/>
        </w:rPr>
        <w:t xml:space="preserve"> VS. PERÚ</w:t>
      </w:r>
    </w:p>
    <w:p w14:paraId="24EB2413" w14:textId="77777777" w:rsidR="00B509F1" w:rsidRPr="00B509F1" w:rsidRDefault="00B509F1" w:rsidP="00640948">
      <w:pPr>
        <w:autoSpaceDE w:val="0"/>
        <w:autoSpaceDN w:val="0"/>
        <w:adjustRightInd w:val="0"/>
        <w:jc w:val="center"/>
        <w:rPr>
          <w:rFonts w:ascii="Verdana" w:hAnsi="Verdana" w:cs="Arial"/>
          <w:b/>
          <w:bCs/>
          <w:i/>
          <w:color w:val="000000"/>
          <w:spacing w:val="-4"/>
          <w:sz w:val="20"/>
          <w:szCs w:val="20"/>
          <w:lang w:val="es-CR"/>
        </w:rPr>
      </w:pPr>
    </w:p>
    <w:p w14:paraId="27E9673D" w14:textId="77777777" w:rsidR="00B509F1" w:rsidRPr="00B509F1" w:rsidRDefault="00B509F1" w:rsidP="00B509F1">
      <w:pPr>
        <w:shd w:val="clear" w:color="auto" w:fill="FFFFFF"/>
        <w:jc w:val="both"/>
        <w:rPr>
          <w:rFonts w:ascii="Verdana" w:eastAsia="Times New Roman" w:hAnsi="Verdana" w:cs="Segoe UI"/>
          <w:color w:val="000000"/>
          <w:sz w:val="20"/>
          <w:szCs w:val="20"/>
          <w:lang w:val="es-ES" w:eastAsia="es-ES"/>
        </w:rPr>
      </w:pPr>
    </w:p>
    <w:p w14:paraId="06BF0FFA" w14:textId="6181B90B" w:rsidR="00B509F1" w:rsidRPr="00B509F1" w:rsidRDefault="00B509F1" w:rsidP="00B509F1">
      <w:pPr>
        <w:shd w:val="clear" w:color="auto" w:fill="FFFFFF"/>
        <w:jc w:val="both"/>
        <w:rPr>
          <w:rFonts w:ascii="Verdana" w:eastAsia="Times New Roman" w:hAnsi="Verdana" w:cs="Segoe UI"/>
          <w:color w:val="212121"/>
          <w:sz w:val="20"/>
          <w:szCs w:val="20"/>
          <w:lang w:val="es-ES" w:eastAsia="es-ES"/>
        </w:rPr>
      </w:pPr>
      <w:r w:rsidRPr="00B509F1">
        <w:rPr>
          <w:rFonts w:ascii="Verdana" w:eastAsia="Times New Roman" w:hAnsi="Verdana" w:cs="Segoe UI"/>
          <w:color w:val="000000"/>
          <w:sz w:val="20"/>
          <w:szCs w:val="20"/>
          <w:lang w:val="es-ES" w:eastAsia="es-ES"/>
        </w:rPr>
        <w:t>En la Resoluc</w:t>
      </w:r>
      <w:r w:rsidRPr="00CC1882">
        <w:rPr>
          <w:rFonts w:ascii="Verdana" w:eastAsia="Times New Roman" w:hAnsi="Verdana" w:cs="Segoe UI"/>
          <w:color w:val="000000"/>
          <w:sz w:val="20"/>
          <w:szCs w:val="20"/>
          <w:lang w:val="es-ES" w:eastAsia="es-ES"/>
        </w:rPr>
        <w:t>i</w:t>
      </w:r>
      <w:r w:rsidRPr="00714891">
        <w:rPr>
          <w:rFonts w:ascii="Verdana" w:eastAsia="Times New Roman" w:hAnsi="Verdana" w:cs="Segoe UI"/>
          <w:color w:val="000000"/>
          <w:sz w:val="20"/>
          <w:szCs w:val="20"/>
          <w:lang w:val="es-ES" w:eastAsia="es-ES"/>
        </w:rPr>
        <w:t>ón</w:t>
      </w:r>
      <w:r w:rsidRPr="006C6484">
        <w:rPr>
          <w:rFonts w:ascii="Verdana" w:eastAsia="Times New Roman" w:hAnsi="Verdana" w:cs="Segoe UI"/>
          <w:color w:val="000000"/>
          <w:sz w:val="20"/>
          <w:szCs w:val="20"/>
          <w:lang w:val="es-ES" w:eastAsia="es-ES"/>
        </w:rPr>
        <w:t xml:space="preserve"> </w:t>
      </w:r>
      <w:r w:rsidRPr="002465BF">
        <w:rPr>
          <w:rFonts w:ascii="Verdana" w:eastAsia="Times New Roman" w:hAnsi="Verdana" w:cs="Segoe UI"/>
          <w:color w:val="000000"/>
          <w:sz w:val="20"/>
          <w:szCs w:val="20"/>
          <w:lang w:val="es-ES" w:eastAsia="es-ES"/>
        </w:rPr>
        <w:t>e</w:t>
      </w:r>
      <w:r w:rsidRPr="00B509F1">
        <w:rPr>
          <w:rFonts w:ascii="Verdana" w:eastAsia="Times New Roman" w:hAnsi="Verdana" w:cs="Segoe UI"/>
          <w:color w:val="000000"/>
          <w:sz w:val="20"/>
          <w:szCs w:val="20"/>
          <w:lang w:val="es-ES" w:eastAsia="es-ES"/>
        </w:rPr>
        <w:t>n cuestión, mi decisión se aparta del criterio de mayoría que ha resuelto “realizar [en el marco de la supervisión de cumplimiento de la Sentencia] una</w:t>
      </w:r>
      <w:r w:rsidR="005A2553">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 xml:space="preserve">supervisión reforzada respecto de la medida de tratamiento médico y psicológico ordenada en el presente caso respecto de las </w:t>
      </w:r>
      <w:r w:rsidR="005A2553">
        <w:rPr>
          <w:rFonts w:ascii="Verdana" w:eastAsia="Times New Roman" w:hAnsi="Verdana" w:cs="Segoe UI"/>
          <w:color w:val="000000"/>
          <w:sz w:val="20"/>
          <w:szCs w:val="20"/>
          <w:lang w:val="es-ES" w:eastAsia="es-ES"/>
        </w:rPr>
        <w:t>cinco</w:t>
      </w:r>
      <w:r w:rsidR="005A2553" w:rsidRPr="00B509F1">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víctimas sobre las cuales versa la presente solicitud de medidas provisionales</w:t>
      </w:r>
      <w:r w:rsidR="00C2549C">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w:t>
      </w:r>
    </w:p>
    <w:p w14:paraId="645045A4" w14:textId="77777777" w:rsidR="00B509F1" w:rsidRPr="00B509F1" w:rsidRDefault="00B509F1" w:rsidP="00B509F1">
      <w:pPr>
        <w:shd w:val="clear" w:color="auto" w:fill="FFFFFF"/>
        <w:jc w:val="both"/>
        <w:rPr>
          <w:rFonts w:ascii="Verdana" w:eastAsia="Times New Roman" w:hAnsi="Verdana" w:cs="Segoe UI"/>
          <w:color w:val="212121"/>
          <w:sz w:val="20"/>
          <w:szCs w:val="20"/>
          <w:lang w:val="es-ES" w:eastAsia="es-ES"/>
        </w:rPr>
      </w:pPr>
    </w:p>
    <w:p w14:paraId="77F6F18C" w14:textId="2518CEBC" w:rsidR="00B509F1" w:rsidRPr="00B509F1" w:rsidRDefault="00B509F1" w:rsidP="00B509F1">
      <w:pPr>
        <w:shd w:val="clear" w:color="auto" w:fill="FFFFFF"/>
        <w:jc w:val="both"/>
        <w:rPr>
          <w:rFonts w:ascii="Verdana" w:eastAsia="Times New Roman" w:hAnsi="Verdana" w:cs="Segoe UI"/>
          <w:color w:val="212121"/>
          <w:sz w:val="20"/>
          <w:szCs w:val="20"/>
          <w:lang w:val="es-ES" w:eastAsia="es-ES"/>
        </w:rPr>
      </w:pPr>
      <w:r w:rsidRPr="00B509F1">
        <w:rPr>
          <w:rFonts w:ascii="Verdana" w:eastAsia="Times New Roman" w:hAnsi="Verdana" w:cs="Segoe UI"/>
          <w:color w:val="212121"/>
          <w:sz w:val="20"/>
          <w:szCs w:val="20"/>
          <w:lang w:val="es-ES" w:eastAsia="es-ES"/>
        </w:rPr>
        <w:t>Ello se deb</w:t>
      </w:r>
      <w:r w:rsidR="006C6484">
        <w:rPr>
          <w:rFonts w:ascii="Verdana" w:eastAsia="Times New Roman" w:hAnsi="Verdana" w:cs="Segoe UI"/>
          <w:color w:val="212121"/>
          <w:sz w:val="20"/>
          <w:szCs w:val="20"/>
          <w:lang w:val="es-ES" w:eastAsia="es-ES"/>
        </w:rPr>
        <w:t>e</w:t>
      </w:r>
      <w:r w:rsidRPr="00B509F1">
        <w:rPr>
          <w:rFonts w:ascii="Verdana" w:eastAsia="Times New Roman" w:hAnsi="Verdana" w:cs="Segoe UI"/>
          <w:color w:val="212121"/>
          <w:sz w:val="20"/>
          <w:szCs w:val="20"/>
          <w:lang w:val="es-ES" w:eastAsia="es-ES"/>
        </w:rPr>
        <w:t>, en mi opinión,</w:t>
      </w:r>
      <w:r w:rsidR="00994325">
        <w:rPr>
          <w:rFonts w:ascii="Verdana" w:eastAsia="Times New Roman" w:hAnsi="Verdana" w:cs="Segoe UI"/>
          <w:color w:val="212121"/>
          <w:sz w:val="20"/>
          <w:szCs w:val="20"/>
          <w:lang w:val="es-ES" w:eastAsia="es-ES"/>
        </w:rPr>
        <w:t xml:space="preserve"> no solo </w:t>
      </w:r>
      <w:r w:rsidR="005A2553">
        <w:rPr>
          <w:rFonts w:ascii="Verdana" w:eastAsia="Times New Roman" w:hAnsi="Verdana" w:cs="Segoe UI"/>
          <w:color w:val="212121"/>
          <w:sz w:val="20"/>
          <w:szCs w:val="20"/>
          <w:lang w:val="es-ES" w:eastAsia="es-ES"/>
        </w:rPr>
        <w:t xml:space="preserve">a </w:t>
      </w:r>
      <w:r w:rsidR="00994325">
        <w:rPr>
          <w:rFonts w:ascii="Verdana" w:eastAsia="Times New Roman" w:hAnsi="Verdana" w:cs="Segoe UI"/>
          <w:color w:val="212121"/>
          <w:sz w:val="20"/>
          <w:szCs w:val="20"/>
          <w:lang w:val="es-ES" w:eastAsia="es-ES"/>
        </w:rPr>
        <w:t>que</w:t>
      </w:r>
      <w:r w:rsidRPr="00B509F1">
        <w:rPr>
          <w:rFonts w:ascii="Verdana" w:eastAsia="Times New Roman" w:hAnsi="Verdana" w:cs="Segoe UI"/>
          <w:color w:val="212121"/>
          <w:sz w:val="20"/>
          <w:szCs w:val="20"/>
          <w:lang w:val="es-ES" w:eastAsia="es-ES"/>
        </w:rPr>
        <w:t xml:space="preserve"> </w:t>
      </w:r>
      <w:r w:rsidRPr="00B509F1">
        <w:rPr>
          <w:rFonts w:ascii="Verdana" w:eastAsia="Times New Roman" w:hAnsi="Verdana" w:cs="Segoe UI"/>
          <w:color w:val="000000"/>
          <w:sz w:val="20"/>
          <w:szCs w:val="20"/>
          <w:lang w:val="es-ES" w:eastAsia="es-ES"/>
        </w:rPr>
        <w:t>existen suficientes elementos para afirmar que se configuran los requisitos de extrema gravedad, urgencia y riesgo de daño irreparable necesarios, según el artículo</w:t>
      </w:r>
      <w:r w:rsidR="005A2553">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63.2 de la Convención Americana sobre Derechos Humanos,</w:t>
      </w:r>
      <w:r w:rsidR="005A2553">
        <w:rPr>
          <w:rFonts w:ascii="Verdana" w:eastAsia="Times New Roman" w:hAnsi="Verdana" w:cs="Segoe UI"/>
          <w:color w:val="000000"/>
          <w:sz w:val="20"/>
          <w:szCs w:val="20"/>
          <w:lang w:val="es-ES" w:eastAsia="es-ES"/>
        </w:rPr>
        <w:t xml:space="preserve"> </w:t>
      </w:r>
      <w:r w:rsidRPr="00B509F1">
        <w:rPr>
          <w:rFonts w:ascii="Verdana" w:eastAsia="Times New Roman" w:hAnsi="Verdana" w:cs="Segoe UI"/>
          <w:color w:val="000000"/>
          <w:sz w:val="20"/>
          <w:szCs w:val="20"/>
          <w:lang w:val="es-ES" w:eastAsia="es-ES"/>
        </w:rPr>
        <w:t>para el otorgamiento de una medida provisional que permita proteger los derechos a la vida, la integridad personal y la salud de las cinco víctimas</w:t>
      </w:r>
      <w:r w:rsidR="00994325">
        <w:rPr>
          <w:rFonts w:ascii="Verdana" w:eastAsia="Times New Roman" w:hAnsi="Verdana" w:cs="Segoe UI"/>
          <w:color w:val="000000"/>
          <w:sz w:val="20"/>
          <w:szCs w:val="20"/>
          <w:lang w:val="es-ES" w:eastAsia="es-ES"/>
        </w:rPr>
        <w:t>; sino que</w:t>
      </w:r>
      <w:r w:rsidR="003240EB">
        <w:rPr>
          <w:rFonts w:ascii="Verdana" w:eastAsia="Times New Roman" w:hAnsi="Verdana" w:cs="Segoe UI"/>
          <w:color w:val="000000"/>
          <w:sz w:val="20"/>
          <w:szCs w:val="20"/>
          <w:lang w:val="es-ES" w:eastAsia="es-ES"/>
        </w:rPr>
        <w:t xml:space="preserve">, </w:t>
      </w:r>
      <w:r w:rsidR="000B37F2">
        <w:rPr>
          <w:rFonts w:ascii="Verdana" w:eastAsia="Times New Roman" w:hAnsi="Verdana" w:cs="Segoe UI"/>
          <w:color w:val="000000"/>
          <w:sz w:val="20"/>
          <w:szCs w:val="20"/>
          <w:lang w:val="es-ES" w:eastAsia="es-ES"/>
        </w:rPr>
        <w:t xml:space="preserve">adicionalmente, así se debe </w:t>
      </w:r>
      <w:r w:rsidR="00994325">
        <w:rPr>
          <w:rFonts w:ascii="Verdana" w:eastAsia="Times New Roman" w:hAnsi="Verdana" w:cs="Segoe UI"/>
          <w:color w:val="000000"/>
          <w:sz w:val="20"/>
          <w:szCs w:val="20"/>
          <w:lang w:val="es-ES" w:eastAsia="es-ES"/>
        </w:rPr>
        <w:t>resolver</w:t>
      </w:r>
      <w:r w:rsidR="000B37F2">
        <w:rPr>
          <w:rFonts w:ascii="Verdana" w:eastAsia="Times New Roman" w:hAnsi="Verdana" w:cs="Segoe UI"/>
          <w:color w:val="000000"/>
          <w:sz w:val="20"/>
          <w:szCs w:val="20"/>
          <w:lang w:val="es-ES" w:eastAsia="es-ES"/>
        </w:rPr>
        <w:t xml:space="preserve">, para mantener coherencia y concordancia con los elementos de análisis y fundamentación ya aprobados por la mayoría del </w:t>
      </w:r>
      <w:r w:rsidR="005A2553">
        <w:rPr>
          <w:rFonts w:ascii="Verdana" w:eastAsia="Times New Roman" w:hAnsi="Verdana" w:cs="Segoe UI"/>
          <w:color w:val="000000"/>
          <w:sz w:val="20"/>
          <w:szCs w:val="20"/>
          <w:lang w:val="es-ES" w:eastAsia="es-ES"/>
        </w:rPr>
        <w:t>T</w:t>
      </w:r>
      <w:r w:rsidR="000B37F2">
        <w:rPr>
          <w:rFonts w:ascii="Verdana" w:eastAsia="Times New Roman" w:hAnsi="Verdana" w:cs="Segoe UI"/>
          <w:color w:val="000000"/>
          <w:sz w:val="20"/>
          <w:szCs w:val="20"/>
          <w:lang w:val="es-ES" w:eastAsia="es-ES"/>
        </w:rPr>
        <w:t xml:space="preserve">ribunal y un voto concordante, en la Resolución de Ratificación de las Medidas </w:t>
      </w:r>
      <w:r w:rsidR="00994325">
        <w:rPr>
          <w:rFonts w:ascii="Verdana" w:eastAsia="Times New Roman" w:hAnsi="Verdana" w:cs="Segoe UI"/>
          <w:color w:val="000000"/>
          <w:sz w:val="20"/>
          <w:szCs w:val="20"/>
          <w:lang w:val="es-ES" w:eastAsia="es-ES"/>
        </w:rPr>
        <w:t>P</w:t>
      </w:r>
      <w:r w:rsidR="000B37F2">
        <w:rPr>
          <w:rFonts w:ascii="Verdana" w:eastAsia="Times New Roman" w:hAnsi="Verdana" w:cs="Segoe UI"/>
          <w:color w:val="000000"/>
          <w:sz w:val="20"/>
          <w:szCs w:val="20"/>
          <w:lang w:val="es-ES" w:eastAsia="es-ES"/>
        </w:rPr>
        <w:t>rovisionales</w:t>
      </w:r>
      <w:r w:rsidR="00994325">
        <w:rPr>
          <w:rFonts w:ascii="Verdana" w:eastAsia="Times New Roman" w:hAnsi="Verdana" w:cs="Segoe UI"/>
          <w:color w:val="000000"/>
          <w:sz w:val="20"/>
          <w:szCs w:val="20"/>
          <w:lang w:val="es-ES" w:eastAsia="es-ES"/>
        </w:rPr>
        <w:t xml:space="preserve"> en el caso Vélez Loor y Panamá</w:t>
      </w:r>
      <w:r w:rsidR="00E73FC4">
        <w:rPr>
          <w:rFonts w:ascii="Verdana" w:eastAsia="Times New Roman" w:hAnsi="Verdana" w:cs="Segoe UI"/>
          <w:color w:val="000000"/>
          <w:sz w:val="20"/>
          <w:szCs w:val="20"/>
          <w:lang w:val="es-ES" w:eastAsia="es-ES"/>
        </w:rPr>
        <w:t xml:space="preserve"> de 29 de Julio de 2020</w:t>
      </w:r>
      <w:r w:rsidRPr="00B509F1">
        <w:rPr>
          <w:rFonts w:ascii="Verdana" w:eastAsia="Times New Roman" w:hAnsi="Verdana" w:cs="Segoe UI"/>
          <w:color w:val="000000"/>
          <w:sz w:val="20"/>
          <w:szCs w:val="20"/>
          <w:lang w:val="es-ES" w:eastAsia="es-ES"/>
        </w:rPr>
        <w:t xml:space="preserve"> </w:t>
      </w:r>
    </w:p>
    <w:p w14:paraId="579D87E9" w14:textId="74285DCB" w:rsidR="00B509F1" w:rsidRPr="00B509F1" w:rsidRDefault="00B509F1" w:rsidP="00B509F1">
      <w:pPr>
        <w:shd w:val="clear" w:color="auto" w:fill="FFFFFF"/>
        <w:jc w:val="both"/>
        <w:rPr>
          <w:rFonts w:ascii="Verdana" w:eastAsia="Times New Roman" w:hAnsi="Verdana" w:cs="Segoe UI"/>
          <w:color w:val="212121"/>
          <w:sz w:val="20"/>
          <w:szCs w:val="20"/>
          <w:lang w:val="es-ES" w:eastAsia="es-ES"/>
        </w:rPr>
      </w:pPr>
    </w:p>
    <w:p w14:paraId="5173DFD1" w14:textId="3971443A" w:rsidR="00B509F1" w:rsidRPr="00B509F1" w:rsidRDefault="00B509F1" w:rsidP="00B509F1">
      <w:pPr>
        <w:shd w:val="clear" w:color="auto" w:fill="FFFFFF"/>
        <w:jc w:val="both"/>
        <w:rPr>
          <w:rFonts w:ascii="Verdana" w:eastAsia="Times New Roman" w:hAnsi="Verdana" w:cs="Segoe UI"/>
          <w:color w:val="212121"/>
          <w:sz w:val="20"/>
          <w:szCs w:val="20"/>
          <w:lang w:val="es-ES" w:eastAsia="es-ES"/>
        </w:rPr>
      </w:pPr>
      <w:r w:rsidRPr="00B509F1">
        <w:rPr>
          <w:rFonts w:ascii="Verdana" w:eastAsia="Times New Roman" w:hAnsi="Verdana" w:cs="Segoe UI"/>
          <w:color w:val="000000"/>
          <w:sz w:val="20"/>
          <w:szCs w:val="20"/>
          <w:lang w:val="es-ES" w:eastAsia="es-ES"/>
        </w:rPr>
        <w:t>En ese sentido, considero que el texto del acápite de la Resolución emitida el 29 de julio de 2020 que expone las consideraciones del Tribunal y su parte resolutiva</w:t>
      </w:r>
      <w:r w:rsidR="005A2553">
        <w:rPr>
          <w:rFonts w:ascii="Verdana" w:eastAsia="Times New Roman" w:hAnsi="Verdana" w:cs="Segoe UI"/>
          <w:color w:val="000000"/>
          <w:sz w:val="20"/>
          <w:szCs w:val="20"/>
          <w:lang w:val="es-ES" w:eastAsia="es-ES"/>
        </w:rPr>
        <w:t xml:space="preserve"> en el presente caso</w:t>
      </w:r>
      <w:r w:rsidRPr="00B509F1">
        <w:rPr>
          <w:rFonts w:ascii="Verdana" w:eastAsia="Times New Roman" w:hAnsi="Verdana" w:cs="Segoe UI"/>
          <w:color w:val="000000"/>
          <w:sz w:val="20"/>
          <w:szCs w:val="20"/>
          <w:lang w:val="es-ES" w:eastAsia="es-ES"/>
        </w:rPr>
        <w:t>, debieron haberse leído de la siguiente forma:</w:t>
      </w:r>
    </w:p>
    <w:p w14:paraId="6F72AD4C" w14:textId="77777777" w:rsidR="009271D6" w:rsidRPr="00B509F1" w:rsidRDefault="009271D6" w:rsidP="00640948">
      <w:pPr>
        <w:autoSpaceDE w:val="0"/>
        <w:autoSpaceDN w:val="0"/>
        <w:adjustRightInd w:val="0"/>
        <w:jc w:val="both"/>
        <w:rPr>
          <w:rFonts w:ascii="Verdana" w:hAnsi="Verdana" w:cs="Arial"/>
          <w:b/>
          <w:bCs/>
          <w:color w:val="000000"/>
          <w:spacing w:val="-4"/>
          <w:sz w:val="20"/>
          <w:szCs w:val="20"/>
          <w:lang w:val="es-CR"/>
        </w:rPr>
      </w:pPr>
    </w:p>
    <w:p w14:paraId="2015469A" w14:textId="69DE1CB3" w:rsidR="00E53316" w:rsidRPr="00395069" w:rsidRDefault="00E53316" w:rsidP="00B509F1">
      <w:pPr>
        <w:pStyle w:val="Prrafodelista"/>
        <w:numPr>
          <w:ilvl w:val="0"/>
          <w:numId w:val="2"/>
        </w:numPr>
        <w:jc w:val="both"/>
        <w:rPr>
          <w:rFonts w:ascii="Verdana" w:hAnsi="Verdana"/>
          <w:b/>
          <w:i/>
          <w:spacing w:val="-4"/>
          <w:sz w:val="20"/>
          <w:szCs w:val="20"/>
          <w:lang w:val="es-CR"/>
        </w:rPr>
      </w:pPr>
      <w:r w:rsidRPr="00395069">
        <w:rPr>
          <w:rFonts w:ascii="Verdana" w:hAnsi="Verdana"/>
          <w:b/>
          <w:i/>
          <w:spacing w:val="-4"/>
          <w:sz w:val="20"/>
          <w:szCs w:val="20"/>
          <w:lang w:val="es-CR"/>
        </w:rPr>
        <w:t xml:space="preserve">Consideraciones de la </w:t>
      </w:r>
      <w:r w:rsidR="0030110F" w:rsidRPr="00395069">
        <w:rPr>
          <w:rFonts w:ascii="Verdana" w:hAnsi="Verdana"/>
          <w:b/>
          <w:i/>
          <w:spacing w:val="-4"/>
          <w:sz w:val="20"/>
          <w:szCs w:val="20"/>
          <w:lang w:val="es-CR"/>
        </w:rPr>
        <w:t>Corte</w:t>
      </w:r>
      <w:r w:rsidR="00531A15" w:rsidRPr="00395069">
        <w:rPr>
          <w:rFonts w:ascii="Verdana" w:hAnsi="Verdana"/>
          <w:b/>
          <w:i/>
          <w:spacing w:val="-4"/>
          <w:sz w:val="20"/>
          <w:szCs w:val="20"/>
          <w:lang w:val="es-CR"/>
        </w:rPr>
        <w:t xml:space="preserve"> respecto de la solicitud de medidas provisionales</w:t>
      </w:r>
    </w:p>
    <w:p w14:paraId="3AB834B1" w14:textId="77777777" w:rsidR="00803FA4" w:rsidRPr="00C2549C" w:rsidRDefault="00803FA4" w:rsidP="00A318AB">
      <w:pPr>
        <w:pStyle w:val="Prrafodelista"/>
        <w:autoSpaceDE w:val="0"/>
        <w:autoSpaceDN w:val="0"/>
        <w:adjustRightInd w:val="0"/>
        <w:spacing w:after="0" w:line="240" w:lineRule="auto"/>
        <w:ind w:left="0"/>
        <w:jc w:val="both"/>
        <w:rPr>
          <w:rFonts w:ascii="Verdana" w:hAnsi="Verdana"/>
          <w:spacing w:val="-4"/>
          <w:sz w:val="20"/>
          <w:szCs w:val="20"/>
          <w:lang w:val="es-ES"/>
        </w:rPr>
      </w:pPr>
    </w:p>
    <w:p w14:paraId="1EA307DB" w14:textId="58E57401" w:rsidR="00C2549C" w:rsidRDefault="00E53316" w:rsidP="00C2549C">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bookmarkStart w:id="0" w:name="_Ref46157368"/>
      <w:r w:rsidRPr="00C2549C">
        <w:rPr>
          <w:rFonts w:ascii="Verdana" w:hAnsi="Verdana"/>
          <w:spacing w:val="-4"/>
          <w:sz w:val="20"/>
          <w:szCs w:val="20"/>
          <w:lang w:val="es-ES"/>
        </w:rPr>
        <w:t xml:space="preserve">La </w:t>
      </w:r>
      <w:r w:rsidRPr="00C2549C">
        <w:rPr>
          <w:rFonts w:ascii="Verdana" w:hAnsi="Verdana" w:cs="Verdana"/>
          <w:color w:val="000000"/>
          <w:spacing w:val="-4"/>
          <w:sz w:val="20"/>
          <w:szCs w:val="20"/>
          <w:lang w:val="es-ES"/>
        </w:rPr>
        <w:t>solicitud</w:t>
      </w:r>
      <w:r w:rsidRPr="00C2549C">
        <w:rPr>
          <w:rFonts w:ascii="Verdana" w:hAnsi="Verdana"/>
          <w:spacing w:val="-4"/>
          <w:sz w:val="20"/>
          <w:szCs w:val="20"/>
          <w:lang w:val="es-ES"/>
        </w:rPr>
        <w:t xml:space="preserve"> presentada busca proteger los </w:t>
      </w:r>
      <w:r w:rsidR="00F5474D" w:rsidRPr="00C2549C">
        <w:rPr>
          <w:rFonts w:ascii="Verdana" w:hAnsi="Verdana"/>
          <w:spacing w:val="-4"/>
          <w:sz w:val="20"/>
          <w:szCs w:val="20"/>
          <w:lang w:val="es-ES"/>
        </w:rPr>
        <w:t xml:space="preserve">derechos a la salud, a la integridad </w:t>
      </w:r>
      <w:r w:rsidR="00C2549C">
        <w:rPr>
          <w:rFonts w:ascii="Verdana" w:hAnsi="Verdana"/>
          <w:spacing w:val="-4"/>
          <w:sz w:val="20"/>
          <w:szCs w:val="20"/>
          <w:lang w:val="es-ES"/>
        </w:rPr>
        <w:t>personal</w:t>
      </w:r>
      <w:r w:rsidR="00F5474D" w:rsidRPr="00C2549C">
        <w:rPr>
          <w:rFonts w:ascii="Verdana" w:hAnsi="Verdana"/>
          <w:spacing w:val="-4"/>
          <w:sz w:val="20"/>
          <w:szCs w:val="20"/>
          <w:lang w:val="es-ES"/>
        </w:rPr>
        <w:t xml:space="preserve">, y a la vida de “cuatro víctimas y un familiar” </w:t>
      </w:r>
      <w:r w:rsidR="00367D75" w:rsidRPr="00C2549C">
        <w:rPr>
          <w:rFonts w:ascii="Verdana" w:hAnsi="Verdana"/>
          <w:spacing w:val="-4"/>
          <w:sz w:val="20"/>
          <w:szCs w:val="20"/>
          <w:lang w:val="es-ES"/>
        </w:rPr>
        <w:t xml:space="preserve">del </w:t>
      </w:r>
      <w:r w:rsidR="00367D75" w:rsidRPr="00C2549C">
        <w:rPr>
          <w:rFonts w:ascii="Verdana" w:hAnsi="Verdana"/>
          <w:i/>
          <w:spacing w:val="-4"/>
          <w:sz w:val="20"/>
          <w:szCs w:val="20"/>
          <w:lang w:val="es-ES"/>
        </w:rPr>
        <w:t xml:space="preserve">caso Penal Miguel Castro </w:t>
      </w:r>
      <w:proofErr w:type="spellStart"/>
      <w:r w:rsidR="00367D75" w:rsidRPr="00C2549C">
        <w:rPr>
          <w:rFonts w:ascii="Verdana" w:hAnsi="Verdana"/>
          <w:i/>
          <w:spacing w:val="-4"/>
          <w:sz w:val="20"/>
          <w:szCs w:val="20"/>
          <w:lang w:val="es-ES"/>
        </w:rPr>
        <w:t>Castro</w:t>
      </w:r>
      <w:proofErr w:type="spellEnd"/>
      <w:r w:rsidR="00367D75" w:rsidRPr="00C2549C">
        <w:rPr>
          <w:rFonts w:ascii="Verdana" w:hAnsi="Verdana"/>
          <w:i/>
          <w:spacing w:val="-4"/>
          <w:sz w:val="20"/>
          <w:szCs w:val="20"/>
          <w:lang w:val="es-ES"/>
        </w:rPr>
        <w:t xml:space="preserve"> </w:t>
      </w:r>
      <w:r w:rsidR="00F5474D" w:rsidRPr="00C2549C">
        <w:rPr>
          <w:rFonts w:ascii="Verdana" w:hAnsi="Verdana"/>
          <w:spacing w:val="-4"/>
          <w:sz w:val="20"/>
          <w:szCs w:val="20"/>
          <w:lang w:val="es-ES"/>
        </w:rPr>
        <w:t xml:space="preserve">que se encuentran en tres establecimientos penales del Perú, a raíz de supuesta falta de adopción de medidas adecuadas por parte del Estado en el marco de la pandemia de Covid-19. </w:t>
      </w:r>
      <w:r w:rsidR="00367D75" w:rsidRPr="00C2549C">
        <w:rPr>
          <w:rFonts w:ascii="Verdana" w:hAnsi="Verdana"/>
          <w:spacing w:val="-4"/>
          <w:sz w:val="20"/>
          <w:szCs w:val="20"/>
          <w:lang w:val="es-ES"/>
        </w:rPr>
        <w:t xml:space="preserve">Dado que el caso se encuentra actualmente en etapa de supervisión de cumplimiento de </w:t>
      </w:r>
      <w:r w:rsidR="00C2549C">
        <w:rPr>
          <w:rFonts w:ascii="Verdana" w:hAnsi="Verdana"/>
          <w:spacing w:val="-4"/>
          <w:sz w:val="20"/>
          <w:szCs w:val="20"/>
          <w:lang w:val="es-ES"/>
        </w:rPr>
        <w:t>S</w:t>
      </w:r>
      <w:r w:rsidR="00367D75" w:rsidRPr="00C2549C">
        <w:rPr>
          <w:rFonts w:ascii="Verdana" w:hAnsi="Verdana"/>
          <w:spacing w:val="-4"/>
          <w:sz w:val="20"/>
          <w:szCs w:val="20"/>
          <w:lang w:val="es-ES"/>
        </w:rPr>
        <w:t xml:space="preserve">entencia, fundamentan lo requerido en el artículo 27.3 del Reglamento del Tribunal en la relación de </w:t>
      </w:r>
      <w:r w:rsidR="00E73FC4" w:rsidRPr="00C2549C">
        <w:rPr>
          <w:rFonts w:ascii="Verdana" w:hAnsi="Verdana"/>
          <w:spacing w:val="-4"/>
          <w:sz w:val="20"/>
          <w:szCs w:val="20"/>
          <w:lang w:val="es-ES"/>
        </w:rPr>
        <w:t>estos</w:t>
      </w:r>
      <w:r w:rsidR="00367D75" w:rsidRPr="00C2549C">
        <w:rPr>
          <w:rFonts w:ascii="Verdana" w:hAnsi="Verdana"/>
          <w:spacing w:val="-4"/>
          <w:sz w:val="20"/>
          <w:szCs w:val="20"/>
          <w:lang w:val="es-ES"/>
        </w:rPr>
        <w:t xml:space="preserve"> hechos con la medida </w:t>
      </w:r>
      <w:r w:rsidR="0032428B" w:rsidRPr="00C2549C">
        <w:rPr>
          <w:rFonts w:ascii="Verdana" w:hAnsi="Verdana"/>
          <w:spacing w:val="-4"/>
          <w:sz w:val="20"/>
          <w:szCs w:val="20"/>
          <w:lang w:val="es-ES"/>
        </w:rPr>
        <w:t xml:space="preserve">de tratamiento médico y psicológico </w:t>
      </w:r>
      <w:r w:rsidR="00367D75" w:rsidRPr="00C2549C">
        <w:rPr>
          <w:rFonts w:ascii="Verdana" w:hAnsi="Verdana"/>
          <w:spacing w:val="-4"/>
          <w:sz w:val="20"/>
          <w:szCs w:val="20"/>
          <w:lang w:val="es-ES"/>
        </w:rPr>
        <w:t xml:space="preserve">ordenada </w:t>
      </w:r>
      <w:r w:rsidR="0032428B" w:rsidRPr="00C2549C">
        <w:rPr>
          <w:rFonts w:ascii="Verdana" w:hAnsi="Verdana"/>
          <w:spacing w:val="-4"/>
          <w:sz w:val="20"/>
          <w:szCs w:val="20"/>
          <w:lang w:val="es-ES"/>
        </w:rPr>
        <w:t xml:space="preserve">en </w:t>
      </w:r>
      <w:r w:rsidR="00367D75" w:rsidRPr="00C2549C">
        <w:rPr>
          <w:rFonts w:ascii="Verdana" w:hAnsi="Verdana"/>
          <w:spacing w:val="-4"/>
          <w:sz w:val="20"/>
          <w:szCs w:val="20"/>
          <w:lang w:val="es-ES"/>
        </w:rPr>
        <w:t>la Sentencia</w:t>
      </w:r>
      <w:r w:rsidR="00803FA4" w:rsidRPr="00C2549C">
        <w:rPr>
          <w:rFonts w:ascii="Verdana" w:hAnsi="Verdana"/>
          <w:spacing w:val="-4"/>
          <w:sz w:val="20"/>
          <w:szCs w:val="20"/>
          <w:lang w:val="es-ES"/>
        </w:rPr>
        <w:t xml:space="preserve"> (</w:t>
      </w:r>
      <w:r w:rsidR="00803FA4" w:rsidRPr="00C2549C">
        <w:rPr>
          <w:rFonts w:ascii="Verdana" w:hAnsi="Verdana"/>
          <w:i/>
          <w:spacing w:val="-4"/>
          <w:sz w:val="20"/>
          <w:szCs w:val="20"/>
          <w:lang w:val="es-ES"/>
        </w:rPr>
        <w:t xml:space="preserve">supra </w:t>
      </w:r>
      <w:r w:rsidR="00803FA4" w:rsidRPr="00C2549C">
        <w:rPr>
          <w:rFonts w:ascii="Verdana" w:hAnsi="Verdana"/>
          <w:spacing w:val="-4"/>
          <w:sz w:val="20"/>
          <w:szCs w:val="20"/>
          <w:lang w:val="es-ES"/>
        </w:rPr>
        <w:t>Considerando</w:t>
      </w:r>
      <w:r w:rsidR="00954E8E">
        <w:rPr>
          <w:rFonts w:ascii="Verdana" w:hAnsi="Verdana"/>
          <w:spacing w:val="-4"/>
          <w:sz w:val="20"/>
          <w:szCs w:val="20"/>
          <w:lang w:val="es-ES"/>
        </w:rPr>
        <w:t xml:space="preserve"> 2</w:t>
      </w:r>
      <w:r w:rsidR="00803FA4" w:rsidRPr="00C2549C">
        <w:rPr>
          <w:rFonts w:ascii="Verdana" w:hAnsi="Verdana"/>
          <w:spacing w:val="-4"/>
          <w:sz w:val="20"/>
          <w:szCs w:val="20"/>
          <w:lang w:val="es-ES"/>
        </w:rPr>
        <w:t>)</w:t>
      </w:r>
      <w:bookmarkEnd w:id="0"/>
      <w:r w:rsidR="00803FA4" w:rsidRPr="00C2549C">
        <w:rPr>
          <w:rFonts w:ascii="Verdana" w:hAnsi="Verdana"/>
          <w:spacing w:val="-4"/>
          <w:sz w:val="20"/>
          <w:szCs w:val="20"/>
          <w:lang w:val="es-ES"/>
        </w:rPr>
        <w:t>.</w:t>
      </w:r>
    </w:p>
    <w:p w14:paraId="5F449DA8" w14:textId="77777777" w:rsidR="00C2549C" w:rsidRDefault="00C2549C" w:rsidP="00C2549C">
      <w:pPr>
        <w:pStyle w:val="Prrafodelista"/>
        <w:autoSpaceDE w:val="0"/>
        <w:autoSpaceDN w:val="0"/>
        <w:adjustRightInd w:val="0"/>
        <w:spacing w:after="0" w:line="240" w:lineRule="auto"/>
        <w:ind w:left="0"/>
        <w:jc w:val="both"/>
        <w:rPr>
          <w:rFonts w:ascii="Verdana" w:hAnsi="Verdana"/>
          <w:spacing w:val="-4"/>
          <w:sz w:val="20"/>
          <w:szCs w:val="20"/>
          <w:lang w:val="es-ES"/>
        </w:rPr>
      </w:pPr>
    </w:p>
    <w:p w14:paraId="4FDC703C" w14:textId="77777777" w:rsidR="00C2549C" w:rsidRDefault="00C2549C" w:rsidP="00C2549C">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r w:rsidRPr="00C2549C">
        <w:rPr>
          <w:rFonts w:ascii="Verdana" w:eastAsia="Verdana" w:hAnsi="Verdana" w:cs="Verdana"/>
          <w:spacing w:val="-4"/>
          <w:sz w:val="20"/>
          <w:szCs w:val="20"/>
          <w:lang w:val="es-CR"/>
        </w:rPr>
        <w:t xml:space="preserve">Este </w:t>
      </w:r>
      <w:r w:rsidRPr="00C2549C">
        <w:rPr>
          <w:rFonts w:ascii="Verdana" w:hAnsi="Verdana"/>
          <w:spacing w:val="-4"/>
          <w:sz w:val="20"/>
          <w:szCs w:val="20"/>
          <w:lang w:val="es-ES"/>
        </w:rPr>
        <w:t>Tribunal</w:t>
      </w:r>
      <w:r w:rsidRPr="00C2549C">
        <w:rPr>
          <w:rFonts w:ascii="Verdana" w:eastAsia="Verdana" w:hAnsi="Verdana" w:cs="Verdana"/>
          <w:spacing w:val="-4"/>
          <w:sz w:val="20"/>
          <w:szCs w:val="20"/>
          <w:lang w:val="es-CR"/>
        </w:rPr>
        <w:t xml:space="preserve"> considera que se configura el requisito previsto </w:t>
      </w:r>
      <w:r w:rsidRPr="00C2549C">
        <w:rPr>
          <w:rFonts w:ascii="Verdana" w:eastAsia="Calibri" w:hAnsi="Verdana" w:cs="Verdana"/>
          <w:color w:val="000000"/>
          <w:spacing w:val="-4"/>
          <w:sz w:val="20"/>
          <w:szCs w:val="20"/>
          <w:lang w:val="es-CR"/>
        </w:rPr>
        <w:t xml:space="preserve">en el artículo 27.3 del Reglamento de la Corte </w:t>
      </w:r>
      <w:r w:rsidRPr="00C2549C">
        <w:rPr>
          <w:rFonts w:ascii="Verdana" w:eastAsia="Verdana" w:hAnsi="Verdana" w:cs="Verdana"/>
          <w:spacing w:val="-4"/>
          <w:sz w:val="20"/>
          <w:szCs w:val="20"/>
          <w:lang w:val="es-CR"/>
        </w:rPr>
        <w:t>relativo a que la solicitud de las medidas provisionales tenga “relación con el objeto del caso”, en tanto se refiere a la ejecución de la medida de reparación ordenada en el punto resolutivo décimo tercero de la Sentencia respecto de cinco víctimas</w:t>
      </w:r>
      <w:r w:rsidRPr="00981C15">
        <w:rPr>
          <w:rStyle w:val="Refdenotaalpie"/>
          <w:rFonts w:eastAsia="Verdana" w:cs="Verdana"/>
          <w:spacing w:val="-4"/>
          <w:szCs w:val="20"/>
          <w:lang w:val="es-CR"/>
        </w:rPr>
        <w:footnoteReference w:id="1"/>
      </w:r>
      <w:r w:rsidRPr="00C2549C">
        <w:rPr>
          <w:rFonts w:ascii="Verdana" w:eastAsia="Verdana" w:hAnsi="Verdana" w:cs="Verdana"/>
          <w:spacing w:val="-4"/>
          <w:sz w:val="20"/>
          <w:szCs w:val="20"/>
          <w:lang w:val="es-CR"/>
        </w:rPr>
        <w:t xml:space="preserve">. </w:t>
      </w:r>
      <w:bookmarkStart w:id="1" w:name="_Ref46241511"/>
    </w:p>
    <w:p w14:paraId="56CA9353" w14:textId="77777777" w:rsidR="00C2549C" w:rsidRPr="00C2549C" w:rsidRDefault="00C2549C" w:rsidP="00C2549C">
      <w:pPr>
        <w:pStyle w:val="Prrafodelista"/>
        <w:rPr>
          <w:rFonts w:ascii="Verdana" w:hAnsi="Verdana"/>
          <w:spacing w:val="-4"/>
          <w:sz w:val="20"/>
          <w:szCs w:val="20"/>
          <w:lang w:val="es-AR"/>
        </w:rPr>
      </w:pPr>
    </w:p>
    <w:p w14:paraId="3614DF64" w14:textId="13AF870B" w:rsidR="00C2549C" w:rsidRPr="00C2549C" w:rsidRDefault="00C2549C" w:rsidP="00C2549C">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r w:rsidRPr="00C2549C">
        <w:rPr>
          <w:rFonts w:ascii="Verdana" w:hAnsi="Verdana"/>
          <w:spacing w:val="-4"/>
          <w:sz w:val="20"/>
          <w:szCs w:val="20"/>
          <w:lang w:val="es-AR"/>
        </w:rPr>
        <w:lastRenderedPageBreak/>
        <w:t>Con respecto al argumento del Estado relativo a la existencia de una “duplicidad” de procedimientos ante el Sistema Interamericano (</w:t>
      </w:r>
      <w:r w:rsidRPr="00C2549C">
        <w:rPr>
          <w:rFonts w:ascii="Verdana" w:hAnsi="Verdana"/>
          <w:i/>
          <w:spacing w:val="-4"/>
          <w:sz w:val="20"/>
          <w:szCs w:val="20"/>
          <w:lang w:val="es-AR"/>
        </w:rPr>
        <w:t xml:space="preserve">supra </w:t>
      </w:r>
      <w:r w:rsidRPr="00C2549C">
        <w:rPr>
          <w:rFonts w:ascii="Verdana" w:hAnsi="Verdana"/>
          <w:spacing w:val="-4"/>
          <w:sz w:val="20"/>
          <w:szCs w:val="20"/>
          <w:lang w:val="es-AR"/>
        </w:rPr>
        <w:t xml:space="preserve">Considerando 16), esta Corte nota que </w:t>
      </w:r>
      <w:r w:rsidRPr="00C2549C">
        <w:rPr>
          <w:rFonts w:ascii="Verdana" w:hAnsi="Verdana"/>
          <w:spacing w:val="-4"/>
          <w:sz w:val="20"/>
          <w:szCs w:val="20"/>
          <w:lang w:val="es-CR"/>
        </w:rPr>
        <w:t>la Comisión no ha indicado cuándo prevé resolver las solicitudes interpuestas (</w:t>
      </w:r>
      <w:r w:rsidRPr="00C2549C">
        <w:rPr>
          <w:rFonts w:ascii="Verdana" w:hAnsi="Verdana"/>
          <w:i/>
          <w:iCs/>
          <w:spacing w:val="-4"/>
          <w:sz w:val="20"/>
          <w:szCs w:val="20"/>
          <w:lang w:val="es-CR"/>
        </w:rPr>
        <w:t xml:space="preserve">supra </w:t>
      </w:r>
      <w:r w:rsidRPr="00C2549C">
        <w:rPr>
          <w:rFonts w:ascii="Verdana" w:hAnsi="Verdana"/>
          <w:spacing w:val="-4"/>
          <w:sz w:val="20"/>
          <w:szCs w:val="20"/>
          <w:lang w:val="es-CR"/>
        </w:rPr>
        <w:t>Considerando 18). En consecuencia, por la alegada urgencia de la situación, y tomando en cuenta que la presente solicitud de medidas provisionales versa sobre personas que son víctimas de un caso ante la Corte, este Tribunal considera pertinente pronunciarse.</w:t>
      </w:r>
      <w:bookmarkEnd w:id="1"/>
    </w:p>
    <w:p w14:paraId="215F4F6A" w14:textId="77777777" w:rsidR="0000254C" w:rsidRPr="00C2549C" w:rsidRDefault="0000254C" w:rsidP="0030110F">
      <w:pPr>
        <w:jc w:val="both"/>
        <w:rPr>
          <w:rFonts w:ascii="Verdana" w:eastAsia="Verdana" w:hAnsi="Verdana" w:cs="Verdana"/>
          <w:spacing w:val="-4"/>
          <w:sz w:val="20"/>
          <w:szCs w:val="20"/>
          <w:lang w:val="es-CR"/>
        </w:rPr>
      </w:pPr>
    </w:p>
    <w:p w14:paraId="24190870" w14:textId="527307F0" w:rsidR="006F4C21" w:rsidRPr="006F4C21" w:rsidRDefault="00937ACF" w:rsidP="00480C1E">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3F0B58">
        <w:rPr>
          <w:rFonts w:ascii="Verdana" w:eastAsia="Verdana" w:hAnsi="Verdana" w:cs="Verdana"/>
          <w:spacing w:val="-4"/>
          <w:sz w:val="20"/>
          <w:szCs w:val="20"/>
          <w:lang w:val="es-CR"/>
        </w:rPr>
        <w:t xml:space="preserve">La Corte ha considerado, como regla general, que </w:t>
      </w:r>
      <w:r w:rsidRPr="003F0B58">
        <w:rPr>
          <w:rFonts w:ascii="Verdana" w:hAnsi="Verdana"/>
          <w:spacing w:val="-4"/>
          <w:sz w:val="20"/>
          <w:szCs w:val="20"/>
          <w:lang w:val="es-AR"/>
        </w:rPr>
        <w:t xml:space="preserve">la valoración de información relacionada con el cumplimiento de medidas de reparación ordenadas en la </w:t>
      </w:r>
      <w:r w:rsidRPr="003F0B58">
        <w:rPr>
          <w:rFonts w:ascii="Verdana" w:eastAsia="Verdana" w:hAnsi="Verdana" w:cs="Verdana"/>
          <w:spacing w:val="-4"/>
          <w:sz w:val="20"/>
          <w:szCs w:val="20"/>
          <w:lang w:val="es-CR"/>
        </w:rPr>
        <w:t>Sentencia</w:t>
      </w:r>
      <w:r w:rsidRPr="003F0B58">
        <w:rPr>
          <w:rFonts w:ascii="Verdana" w:hAnsi="Verdana"/>
          <w:spacing w:val="-4"/>
          <w:sz w:val="20"/>
          <w:szCs w:val="20"/>
          <w:lang w:val="es-AR"/>
        </w:rPr>
        <w:t xml:space="preserve"> debe ser evaluada en el marco de la supervisión de cumplimiento de Sentencia. Así lo ha entendido en múltiples casos</w:t>
      </w:r>
      <w:r w:rsidRPr="003F0B58">
        <w:rPr>
          <w:rStyle w:val="Refdenotaalpie"/>
          <w:spacing w:val="-4"/>
          <w:sz w:val="20"/>
          <w:szCs w:val="20"/>
        </w:rPr>
        <w:footnoteReference w:id="2"/>
      </w:r>
      <w:r w:rsidRPr="003F0B58">
        <w:rPr>
          <w:rFonts w:ascii="Verdana" w:hAnsi="Verdana"/>
          <w:spacing w:val="-4"/>
          <w:sz w:val="20"/>
          <w:szCs w:val="20"/>
          <w:lang w:val="es-AR"/>
        </w:rPr>
        <w:t>. Sin embargo, de forma excepcional ha adoptado medidas provisionales ante condiciones de particular gravedad</w:t>
      </w:r>
      <w:r w:rsidRPr="003F0B58">
        <w:rPr>
          <w:rStyle w:val="Refdenotaalpie"/>
          <w:spacing w:val="-4"/>
        </w:rPr>
        <w:footnoteReference w:id="3"/>
      </w:r>
      <w:r w:rsidR="00C73713" w:rsidRPr="00C2549C">
        <w:rPr>
          <w:rFonts w:ascii="Verdana" w:hAnsi="Verdana"/>
          <w:spacing w:val="-4"/>
          <w:sz w:val="20"/>
          <w:szCs w:val="20"/>
          <w:lang w:val="es-AR"/>
        </w:rPr>
        <w:t xml:space="preserve">, </w:t>
      </w:r>
      <w:r w:rsidR="009D1A66" w:rsidRPr="003316A1">
        <w:rPr>
          <w:rFonts w:ascii="Verdana" w:hAnsi="Verdana"/>
          <w:spacing w:val="-4"/>
          <w:sz w:val="20"/>
          <w:szCs w:val="20"/>
          <w:lang w:val="es-AR"/>
        </w:rPr>
        <w:t xml:space="preserve">como </w:t>
      </w:r>
      <w:r w:rsidR="00E73FC4" w:rsidRPr="003316A1">
        <w:rPr>
          <w:rFonts w:ascii="Verdana" w:hAnsi="Verdana"/>
          <w:spacing w:val="-4"/>
          <w:sz w:val="20"/>
          <w:szCs w:val="20"/>
          <w:lang w:val="es-AR"/>
        </w:rPr>
        <w:t xml:space="preserve">lo hizo con </w:t>
      </w:r>
      <w:r w:rsidR="009D1A66" w:rsidRPr="003316A1">
        <w:rPr>
          <w:rFonts w:ascii="Verdana" w:hAnsi="Verdana"/>
          <w:spacing w:val="-4"/>
          <w:sz w:val="20"/>
          <w:szCs w:val="20"/>
          <w:lang w:val="es-AR"/>
        </w:rPr>
        <w:t xml:space="preserve">la más reciente </w:t>
      </w:r>
      <w:r w:rsidR="00C73713" w:rsidRPr="003316A1">
        <w:rPr>
          <w:rFonts w:ascii="Verdana" w:hAnsi="Verdana"/>
          <w:spacing w:val="-4"/>
          <w:sz w:val="20"/>
          <w:szCs w:val="20"/>
          <w:lang w:val="es-AR"/>
        </w:rPr>
        <w:t>decisión mayoritaria y un Voto Concurrente,</w:t>
      </w:r>
      <w:r w:rsidR="007D2193" w:rsidRPr="003316A1">
        <w:rPr>
          <w:rFonts w:ascii="Verdana" w:hAnsi="Verdana"/>
          <w:spacing w:val="-4"/>
          <w:sz w:val="20"/>
          <w:szCs w:val="20"/>
          <w:lang w:val="es-AR"/>
        </w:rPr>
        <w:t xml:space="preserve"> </w:t>
      </w:r>
      <w:r w:rsidR="00E73FC4" w:rsidRPr="003316A1">
        <w:rPr>
          <w:rFonts w:ascii="Verdana" w:hAnsi="Verdana"/>
          <w:spacing w:val="-4"/>
          <w:sz w:val="20"/>
          <w:szCs w:val="20"/>
          <w:lang w:val="es-AR"/>
        </w:rPr>
        <w:t xml:space="preserve">en la </w:t>
      </w:r>
      <w:r w:rsidR="003240EB" w:rsidRPr="003316A1">
        <w:rPr>
          <w:rFonts w:ascii="Verdana" w:hAnsi="Verdana" w:cs="Arial"/>
          <w:sz w:val="20"/>
          <w:szCs w:val="20"/>
          <w:lang w:val="es-ES"/>
        </w:rPr>
        <w:t>Ratificación</w:t>
      </w:r>
      <w:r w:rsidR="007D2193" w:rsidRPr="003316A1">
        <w:rPr>
          <w:rFonts w:ascii="Verdana" w:hAnsi="Verdana" w:cs="Arial"/>
          <w:sz w:val="20"/>
          <w:szCs w:val="20"/>
          <w:lang w:val="es-ES"/>
        </w:rPr>
        <w:t xml:space="preserve"> de las Medidas Provisionales de 29 de julio de 2020, en el caso Vélez Loor </w:t>
      </w:r>
      <w:r w:rsidRPr="003316A1">
        <w:rPr>
          <w:rFonts w:ascii="Verdana" w:hAnsi="Verdana" w:cs="Arial"/>
          <w:sz w:val="20"/>
          <w:szCs w:val="20"/>
          <w:lang w:val="es-ES"/>
        </w:rPr>
        <w:t>Vs.</w:t>
      </w:r>
      <w:r w:rsidR="007D2193" w:rsidRPr="003316A1">
        <w:rPr>
          <w:rFonts w:ascii="Verdana" w:hAnsi="Verdana" w:cs="Arial"/>
          <w:sz w:val="20"/>
          <w:szCs w:val="20"/>
          <w:lang w:val="es-ES"/>
        </w:rPr>
        <w:t xml:space="preserve"> Panamá</w:t>
      </w:r>
      <w:r w:rsidR="00554AD5" w:rsidRPr="003316A1">
        <w:rPr>
          <w:rFonts w:ascii="Verdana" w:hAnsi="Verdana" w:cs="Arial"/>
          <w:sz w:val="20"/>
          <w:szCs w:val="20"/>
          <w:lang w:val="es-ES"/>
        </w:rPr>
        <w:t>. E</w:t>
      </w:r>
      <w:r w:rsidR="0008361E" w:rsidRPr="003316A1">
        <w:rPr>
          <w:rFonts w:ascii="Verdana" w:hAnsi="Verdana" w:cs="Arial"/>
          <w:sz w:val="20"/>
          <w:szCs w:val="20"/>
          <w:lang w:val="es-ES"/>
        </w:rPr>
        <w:t>l Tribunal se</w:t>
      </w:r>
      <w:r w:rsidR="007D2193" w:rsidRPr="003316A1">
        <w:rPr>
          <w:rFonts w:ascii="Verdana" w:hAnsi="Verdana" w:cs="Arial"/>
          <w:sz w:val="20"/>
          <w:szCs w:val="20"/>
          <w:lang w:val="es-ES"/>
        </w:rPr>
        <w:t xml:space="preserve"> pronunció a favor de l</w:t>
      </w:r>
      <w:r w:rsidR="007D2193" w:rsidRPr="003316A1">
        <w:rPr>
          <w:rFonts w:ascii="Verdana" w:hAnsi="Verdana"/>
          <w:sz w:val="20"/>
          <w:szCs w:val="20"/>
          <w:lang w:val="es-ES"/>
        </w:rPr>
        <w:t>as personas que se encuentran en las Estaciones de Recepción Migratoria La Peñita y Laja Blanca en la Provincia de Darién, Panamá, con el objeto de proteger efectivamente sus derechos a la salud, integridad personal, y vida</w:t>
      </w:r>
      <w:r w:rsidR="007D2193" w:rsidRPr="003316A1">
        <w:rPr>
          <w:rStyle w:val="Refdenotaalpie"/>
          <w:sz w:val="20"/>
          <w:szCs w:val="20"/>
        </w:rPr>
        <w:footnoteReference w:id="4"/>
      </w:r>
      <w:r w:rsidR="009D12E3" w:rsidRPr="003316A1">
        <w:rPr>
          <w:rFonts w:ascii="Verdana" w:hAnsi="Verdana"/>
          <w:sz w:val="20"/>
          <w:szCs w:val="20"/>
          <w:lang w:val="es-ES"/>
        </w:rPr>
        <w:t>,</w:t>
      </w:r>
      <w:r w:rsidR="005E76AF" w:rsidRPr="003316A1">
        <w:rPr>
          <w:rFonts w:ascii="Verdana" w:hAnsi="Verdana"/>
          <w:sz w:val="20"/>
          <w:szCs w:val="20"/>
          <w:lang w:val="es-ES"/>
        </w:rPr>
        <w:t xml:space="preserve"> </w:t>
      </w:r>
      <w:r w:rsidR="0008361E" w:rsidRPr="003316A1">
        <w:rPr>
          <w:rFonts w:ascii="Verdana" w:hAnsi="Verdana"/>
          <w:sz w:val="20"/>
          <w:szCs w:val="20"/>
          <w:lang w:val="es-ES"/>
        </w:rPr>
        <w:t xml:space="preserve">donde el Tribunal </w:t>
      </w:r>
      <w:r w:rsidR="00554AD5" w:rsidRPr="003316A1">
        <w:rPr>
          <w:rFonts w:ascii="Verdana" w:hAnsi="Verdana"/>
          <w:sz w:val="20"/>
          <w:szCs w:val="20"/>
          <w:lang w:val="es-ES"/>
        </w:rPr>
        <w:t>desarrolla</w:t>
      </w:r>
      <w:r w:rsidR="005A6B57" w:rsidRPr="003316A1">
        <w:rPr>
          <w:rFonts w:ascii="Verdana" w:hAnsi="Verdana"/>
          <w:sz w:val="20"/>
          <w:szCs w:val="20"/>
          <w:lang w:val="es-ES"/>
        </w:rPr>
        <w:t xml:space="preserve"> su capacidad de tutela </w:t>
      </w:r>
      <w:r w:rsidR="00833F19" w:rsidRPr="003316A1">
        <w:rPr>
          <w:rFonts w:ascii="Verdana" w:hAnsi="Verdana"/>
          <w:sz w:val="20"/>
          <w:szCs w:val="20"/>
          <w:lang w:val="es-ES"/>
        </w:rPr>
        <w:t>de todos</w:t>
      </w:r>
      <w:r w:rsidR="005A6B57" w:rsidRPr="003316A1">
        <w:rPr>
          <w:rFonts w:ascii="Verdana" w:hAnsi="Verdana"/>
          <w:sz w:val="20"/>
          <w:szCs w:val="20"/>
          <w:lang w:val="es-ES"/>
        </w:rPr>
        <w:t xml:space="preserve"> los derechos humanos, vía adopción de Medidas Provisionales.</w:t>
      </w:r>
    </w:p>
    <w:p w14:paraId="6F657D1D" w14:textId="77777777" w:rsidR="006F4C21" w:rsidRPr="006F4C21" w:rsidRDefault="006F4C21" w:rsidP="006F4C21">
      <w:pPr>
        <w:pStyle w:val="Prrafodelista"/>
        <w:rPr>
          <w:rFonts w:ascii="Verdana" w:hAnsi="Verdana"/>
          <w:spacing w:val="-4"/>
          <w:sz w:val="20"/>
          <w:szCs w:val="20"/>
          <w:lang w:val="es-AR"/>
        </w:rPr>
      </w:pPr>
    </w:p>
    <w:p w14:paraId="221A81D4" w14:textId="77777777" w:rsidR="00D77D5E" w:rsidRPr="00D77D5E" w:rsidRDefault="006F4C21" w:rsidP="00D77D5E">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6F4C21">
        <w:rPr>
          <w:rFonts w:ascii="Verdana" w:hAnsi="Verdana"/>
          <w:spacing w:val="-4"/>
          <w:sz w:val="20"/>
          <w:szCs w:val="20"/>
          <w:lang w:val="es-AR"/>
        </w:rPr>
        <w:t>En este caso, el Tribunal estima que se configuran condiciones excepcionales que ameritan proceder a examinar si se cumplen los requisitos para la adopción de medidas provisionales al constatar que se trata de alegados hechos relativos a la falta de atención médica adecuada de las referidas cinco víctimas, quienes se encuentran privadas de su libertad en centros penitenciarios, lo cual, en el contexto generado por la pandemia de la enfermedad denominada COVID-19, pondría en mayor riesgo su salud, integridad personal y vida. La situación descrita en la solicitud podría ameritar la adopción de medidas a favor de personas en situación de vulnerabilidad, como lo son las personas privadas de la libertad y las personas mayores, la cual se ve incrementada por la pandemia y que, consecuentemente, amerita particular protección por el Estado.</w:t>
      </w:r>
    </w:p>
    <w:p w14:paraId="6DF35B2F" w14:textId="77777777" w:rsidR="00D77D5E" w:rsidRPr="00D77D5E" w:rsidRDefault="00D77D5E" w:rsidP="00D77D5E">
      <w:pPr>
        <w:pStyle w:val="Prrafodelista"/>
        <w:rPr>
          <w:rFonts w:ascii="Verdana" w:hAnsi="Verdana"/>
          <w:spacing w:val="-4"/>
          <w:sz w:val="20"/>
          <w:szCs w:val="20"/>
          <w:lang w:val="es-AR"/>
        </w:rPr>
      </w:pPr>
    </w:p>
    <w:p w14:paraId="3D45BB43" w14:textId="77777777" w:rsidR="000D739B" w:rsidRDefault="00D77D5E" w:rsidP="000D739B">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D77D5E">
        <w:rPr>
          <w:rFonts w:ascii="Verdana" w:hAnsi="Verdana"/>
          <w:spacing w:val="-4"/>
          <w:sz w:val="20"/>
          <w:szCs w:val="20"/>
          <w:lang w:val="es-AR"/>
        </w:rPr>
        <w:t>Seguidamente</w:t>
      </w:r>
      <w:r w:rsidRPr="00D77D5E">
        <w:rPr>
          <w:rFonts w:ascii="Verdana" w:hAnsi="Verdana"/>
          <w:spacing w:val="-4"/>
          <w:sz w:val="20"/>
          <w:szCs w:val="20"/>
          <w:lang w:val="es-CR"/>
        </w:rPr>
        <w:t xml:space="preserve">, la Corte pasará a examinar los demás requisitos convencionales y reglamentarios para la adopción de medidas urgentes. La Corte ha señalado que las tres condiciones exigidas por el artículo 63.2 de la Convención para que pueda disponer de medidas provisionales deben concurrir en toda situación en la que se </w:t>
      </w:r>
      <w:r w:rsidRPr="00D77D5E">
        <w:rPr>
          <w:rFonts w:ascii="Verdana" w:hAnsi="Verdana"/>
          <w:spacing w:val="-4"/>
          <w:sz w:val="20"/>
          <w:szCs w:val="20"/>
          <w:lang w:val="es-CR"/>
        </w:rPr>
        <w:lastRenderedPageBreak/>
        <w:t>soliciten</w:t>
      </w:r>
      <w:r w:rsidRPr="0051766F">
        <w:rPr>
          <w:rStyle w:val="Refdenotaalpie"/>
          <w:spacing w:val="-4"/>
          <w:sz w:val="20"/>
          <w:szCs w:val="20"/>
          <w:lang w:val="es-CR"/>
        </w:rPr>
        <w:footnoteReference w:id="5"/>
      </w:r>
      <w:r w:rsidRPr="00D77D5E">
        <w:rPr>
          <w:rFonts w:ascii="Verdana" w:hAnsi="Verdana"/>
          <w:spacing w:val="-4"/>
          <w:sz w:val="20"/>
          <w:szCs w:val="20"/>
          <w:lang w:val="es-CR"/>
        </w:rPr>
        <w:t xml:space="preserve">. Conforme a la Convención y al Reglamento, la carga procesal de demostrar </w:t>
      </w:r>
      <w:r w:rsidRPr="00D77D5E">
        <w:rPr>
          <w:rFonts w:ascii="Verdana" w:hAnsi="Verdana"/>
          <w:i/>
          <w:spacing w:val="-4"/>
          <w:sz w:val="20"/>
          <w:szCs w:val="20"/>
          <w:lang w:val="es-CR"/>
        </w:rPr>
        <w:t>prima facie</w:t>
      </w:r>
      <w:r w:rsidRPr="00D77D5E">
        <w:rPr>
          <w:rFonts w:ascii="Verdana" w:hAnsi="Verdana"/>
          <w:spacing w:val="-4"/>
          <w:sz w:val="20"/>
          <w:szCs w:val="20"/>
          <w:lang w:val="es-CR"/>
        </w:rPr>
        <w:t xml:space="preserve"> dichos requisitos recae en el solicitante</w:t>
      </w:r>
      <w:r w:rsidRPr="0051766F">
        <w:rPr>
          <w:rFonts w:ascii="Verdana" w:hAnsi="Verdana"/>
          <w:spacing w:val="-4"/>
          <w:sz w:val="20"/>
          <w:szCs w:val="20"/>
          <w:vertAlign w:val="superscript"/>
        </w:rPr>
        <w:footnoteReference w:id="6"/>
      </w:r>
      <w:r w:rsidRPr="00D77D5E">
        <w:rPr>
          <w:rFonts w:ascii="Verdana" w:hAnsi="Verdana"/>
          <w:spacing w:val="-4"/>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51766F">
        <w:rPr>
          <w:rFonts w:ascii="Verdana" w:hAnsi="Verdana"/>
          <w:spacing w:val="-4"/>
          <w:sz w:val="20"/>
          <w:szCs w:val="20"/>
          <w:vertAlign w:val="superscript"/>
        </w:rPr>
        <w:footnoteReference w:id="7"/>
      </w:r>
      <w:r w:rsidRPr="00D77D5E">
        <w:rPr>
          <w:rFonts w:ascii="Verdana" w:hAnsi="Verdana"/>
          <w:spacing w:val="-4"/>
          <w:sz w:val="20"/>
          <w:szCs w:val="20"/>
          <w:lang w:val="es-CR"/>
        </w:rPr>
        <w:t xml:space="preserve">. </w:t>
      </w:r>
    </w:p>
    <w:p w14:paraId="372DD1FB" w14:textId="77777777" w:rsidR="000D739B" w:rsidRPr="000D739B" w:rsidRDefault="000D739B" w:rsidP="000D739B">
      <w:pPr>
        <w:pStyle w:val="Prrafodelista"/>
        <w:rPr>
          <w:rFonts w:ascii="Verdana" w:hAnsi="Verdana"/>
          <w:spacing w:val="-4"/>
          <w:sz w:val="20"/>
          <w:szCs w:val="20"/>
          <w:lang w:val="es-AR"/>
        </w:rPr>
      </w:pPr>
    </w:p>
    <w:p w14:paraId="50A07A63" w14:textId="45327F2D" w:rsidR="000D739B" w:rsidRPr="000D739B" w:rsidRDefault="000D739B" w:rsidP="000D739B">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0D739B">
        <w:rPr>
          <w:rFonts w:ascii="Verdana" w:hAnsi="Verdana"/>
          <w:spacing w:val="-4"/>
          <w:sz w:val="20"/>
          <w:szCs w:val="20"/>
          <w:lang w:val="es-AR"/>
        </w:rPr>
        <w:t xml:space="preserve">Esta Corte reconoce no solo los problemas y desafíos extraordinarios que ocasiona la presente pandemia en todo contexto, sino también y específicamente </w:t>
      </w:r>
      <w:r w:rsidRPr="000D739B">
        <w:rPr>
          <w:rFonts w:ascii="Verdana" w:hAnsi="Verdana"/>
          <w:spacing w:val="-4"/>
          <w:sz w:val="20"/>
          <w:szCs w:val="20"/>
          <w:lang w:val="es-ES"/>
        </w:rPr>
        <w:t>las dificultades adicionales que la prevención del contagio de COVID-19 representa en entornos carcelarios. En nuestra región, las personas privadas de libertad se encuentran en una situación de mayor vulnerabilidad frente a la propagación del COVID-19 pues, por lo general, se encuentran en condiciones de sobrepoblación y hacinamiento que no permiten un adecuado distanciamiento social para prevenir el contagio del virus, con inadecuadas y deficientes medidas de higiene, y con limitaciones para acceder de manera eficaz y oportuna a una serie de derechos como la salud y la información</w:t>
      </w:r>
      <w:r w:rsidRPr="00395069">
        <w:rPr>
          <w:rFonts w:ascii="Verdana" w:hAnsi="Verdana"/>
          <w:spacing w:val="-4"/>
          <w:sz w:val="20"/>
          <w:szCs w:val="20"/>
          <w:vertAlign w:val="superscript"/>
          <w:lang w:val="es-ES"/>
        </w:rPr>
        <w:footnoteReference w:id="8"/>
      </w:r>
      <w:r w:rsidRPr="000D739B">
        <w:rPr>
          <w:rFonts w:ascii="Verdana" w:hAnsi="Verdana"/>
          <w:spacing w:val="-4"/>
          <w:sz w:val="20"/>
          <w:szCs w:val="20"/>
          <w:lang w:val="es-ES"/>
        </w:rPr>
        <w:t xml:space="preserve">. En efecto, el Comité Internacional de la Cruz Roja ha reconocido que estas particularidades generan que el ámbito carcelario </w:t>
      </w:r>
      <w:r w:rsidRPr="000D739B">
        <w:rPr>
          <w:rFonts w:ascii="Verdana" w:hAnsi="Verdana"/>
          <w:spacing w:val="-4"/>
          <w:sz w:val="20"/>
          <w:szCs w:val="20"/>
          <w:lang w:val="es-CR"/>
        </w:rPr>
        <w:t>favorezca</w:t>
      </w:r>
      <w:r w:rsidRPr="000D739B">
        <w:rPr>
          <w:rFonts w:ascii="Verdana" w:hAnsi="Verdana"/>
          <w:spacing w:val="-4"/>
          <w:sz w:val="20"/>
          <w:szCs w:val="20"/>
          <w:lang w:val="es-ES"/>
        </w:rPr>
        <w:t xml:space="preserve"> la propagación exponencial de enfermedades infecciosas, particularmente de aquellas que, como el COVID-19, se transmiten por gotas a través del aire</w:t>
      </w:r>
      <w:r w:rsidRPr="00597DDE">
        <w:rPr>
          <w:rStyle w:val="Refdenotaalpie"/>
          <w:spacing w:val="-4"/>
          <w:szCs w:val="20"/>
          <w:lang w:val="es-ES"/>
        </w:rPr>
        <w:footnoteReference w:id="9"/>
      </w:r>
      <w:r w:rsidRPr="000D739B">
        <w:rPr>
          <w:rFonts w:ascii="Verdana" w:hAnsi="Verdana"/>
          <w:spacing w:val="-4"/>
          <w:sz w:val="20"/>
          <w:szCs w:val="20"/>
          <w:lang w:val="es-ES"/>
        </w:rPr>
        <w:t>.</w:t>
      </w:r>
    </w:p>
    <w:p w14:paraId="176860F2" w14:textId="77777777" w:rsidR="00D65E30" w:rsidRPr="00C2549C" w:rsidRDefault="00D65E30" w:rsidP="00D65E30">
      <w:pPr>
        <w:pStyle w:val="Prrafodelista"/>
        <w:autoSpaceDE w:val="0"/>
        <w:autoSpaceDN w:val="0"/>
        <w:adjustRightInd w:val="0"/>
        <w:spacing w:after="0" w:line="240" w:lineRule="auto"/>
        <w:ind w:left="0"/>
        <w:jc w:val="both"/>
        <w:rPr>
          <w:rFonts w:ascii="Verdana" w:hAnsi="Verdana"/>
          <w:spacing w:val="-4"/>
          <w:sz w:val="20"/>
          <w:szCs w:val="20"/>
          <w:lang w:val="es-ES"/>
        </w:rPr>
      </w:pPr>
    </w:p>
    <w:p w14:paraId="40F007E0" w14:textId="77777777" w:rsidR="0084338E" w:rsidRPr="002C7DCB" w:rsidRDefault="0084338E" w:rsidP="0084338E">
      <w:pPr>
        <w:pStyle w:val="Prrafodelista"/>
        <w:rPr>
          <w:rFonts w:ascii="Verdana" w:hAnsi="Verdana"/>
          <w:spacing w:val="-4"/>
          <w:sz w:val="20"/>
          <w:szCs w:val="20"/>
          <w:lang w:val="es-ES"/>
        </w:rPr>
      </w:pPr>
    </w:p>
    <w:p w14:paraId="4A277BDE" w14:textId="002467AF" w:rsidR="008F3E9A" w:rsidRPr="008F3E9A" w:rsidRDefault="0084338E" w:rsidP="0084338E">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r w:rsidRPr="002C7DCB">
        <w:rPr>
          <w:rFonts w:ascii="Verdana" w:hAnsi="Verdana"/>
          <w:spacing w:val="-4"/>
          <w:sz w:val="20"/>
          <w:szCs w:val="20"/>
          <w:lang w:val="es-ES"/>
        </w:rPr>
        <w:t xml:space="preserve">Los derechos económicos, sociales, culturales y ambientales deben ser garantizados sin discriminación a toda persona bajo la jurisdicción del Estado y, en especial, a aquellos grupos que son afectados de forma desproporcionada porque se encuentran en situación de mayor vulnerabilidad, entre ellos, las personas privadas de libertad, lo cual fue hecho notar por el Tribunal en su </w:t>
      </w:r>
      <w:r w:rsidRPr="002C7DCB">
        <w:rPr>
          <w:rFonts w:ascii="Verdana" w:hAnsi="Verdana"/>
          <w:spacing w:val="-4"/>
          <w:sz w:val="20"/>
          <w:szCs w:val="20"/>
          <w:lang w:val="es-MX"/>
        </w:rPr>
        <w:t>Declaración de 9 de abril de 2020</w:t>
      </w:r>
      <w:r>
        <w:rPr>
          <w:rFonts w:ascii="Verdana" w:hAnsi="Verdana"/>
          <w:spacing w:val="-4"/>
          <w:sz w:val="20"/>
          <w:szCs w:val="20"/>
          <w:lang w:val="es-MX"/>
        </w:rPr>
        <w:t>.</w:t>
      </w:r>
      <w:r w:rsidRPr="002C7DCB">
        <w:rPr>
          <w:rFonts w:ascii="Verdana" w:hAnsi="Verdana"/>
          <w:spacing w:val="-4"/>
          <w:sz w:val="20"/>
          <w:szCs w:val="20"/>
          <w:lang w:val="es-MX"/>
        </w:rPr>
        <w:t xml:space="preserve"> </w:t>
      </w:r>
      <w:r w:rsidR="000D739B" w:rsidRPr="00597DDE">
        <w:rPr>
          <w:rFonts w:ascii="Verdana" w:hAnsi="Verdana"/>
          <w:spacing w:val="-4"/>
          <w:sz w:val="20"/>
          <w:szCs w:val="20"/>
          <w:lang w:val="es-ES"/>
        </w:rPr>
        <w:t xml:space="preserve">Al respecto, es necesario recordar que se debe abordar esta situación </w:t>
      </w:r>
      <w:r w:rsidR="000D739B" w:rsidRPr="00597DDE">
        <w:rPr>
          <w:rFonts w:ascii="Verdana" w:hAnsi="Verdana" w:cs="Calibri"/>
          <w:spacing w:val="-4"/>
          <w:sz w:val="20"/>
          <w:szCs w:val="20"/>
          <w:lang w:val="es-CR"/>
        </w:rPr>
        <w:t xml:space="preserve">“en el marco del Estado de Derecho, con el pleno respeto a los instrumentos interamericanos de protección de los derechos humanos y los estándares desarrollados en la jurisprudencia de este Tribunal”, en particular, el derecho a la salud, a la vida y a la integridad personal. Además, la Corte ha dicho que, </w:t>
      </w:r>
      <w:r w:rsidR="000D739B" w:rsidRPr="00597DDE">
        <w:rPr>
          <w:rFonts w:ascii="Verdana" w:hAnsi="Verdana"/>
          <w:spacing w:val="-4"/>
          <w:sz w:val="20"/>
          <w:szCs w:val="20"/>
          <w:lang w:val="es-ES"/>
        </w:rPr>
        <w:t xml:space="preserve">en virtud del </w:t>
      </w:r>
      <w:r w:rsidR="000D739B" w:rsidRPr="00597DDE">
        <w:rPr>
          <w:rFonts w:ascii="Verdana" w:hAnsi="Verdana" w:cs="Calibri"/>
          <w:spacing w:val="-4"/>
          <w:sz w:val="20"/>
          <w:szCs w:val="20"/>
          <w:lang w:val="es-AR"/>
        </w:rPr>
        <w:t xml:space="preserve">“alto impacto que el COVID-19 pueda tener respecto a las personas privadas de libertad en las prisiones y </w:t>
      </w:r>
      <w:r w:rsidR="000D739B" w:rsidRPr="00597DDE">
        <w:rPr>
          <w:rFonts w:ascii="Verdana" w:hAnsi="Verdana" w:cs="Calibri"/>
          <w:spacing w:val="-4"/>
          <w:sz w:val="20"/>
          <w:szCs w:val="20"/>
          <w:lang w:val="es-AR"/>
        </w:rPr>
        <w:lastRenderedPageBreak/>
        <w:t>otros centros de detención”, y en atención a la posición especial de garante del Estado, se torna necesario, entre otras medidas, “reducir los niveles de sobrepoblación y hacinamiento, y disponer en forma racional y ordenada medidas alternativas a la privación de la libertad”</w:t>
      </w:r>
      <w:r w:rsidR="000D739B" w:rsidRPr="00597DDE">
        <w:rPr>
          <w:rStyle w:val="Refdenotaalpie"/>
          <w:rFonts w:cs="Calibri"/>
          <w:spacing w:val="-4"/>
          <w:sz w:val="20"/>
          <w:szCs w:val="20"/>
          <w:lang w:val="es-CR"/>
        </w:rPr>
        <w:footnoteReference w:id="10"/>
      </w:r>
      <w:r w:rsidR="000D739B" w:rsidRPr="00597DDE">
        <w:rPr>
          <w:rFonts w:ascii="Verdana" w:hAnsi="Verdana" w:cs="Calibri"/>
          <w:spacing w:val="-4"/>
          <w:sz w:val="20"/>
          <w:szCs w:val="20"/>
          <w:lang w:val="es-AR"/>
        </w:rPr>
        <w:t>.</w:t>
      </w:r>
      <w:bookmarkStart w:id="2" w:name="_Ref46240417"/>
    </w:p>
    <w:p w14:paraId="7A5C00F6" w14:textId="77777777" w:rsidR="008F3E9A" w:rsidRDefault="008F3E9A" w:rsidP="008F3E9A">
      <w:pPr>
        <w:pStyle w:val="Prrafodelista"/>
        <w:autoSpaceDE w:val="0"/>
        <w:autoSpaceDN w:val="0"/>
        <w:adjustRightInd w:val="0"/>
        <w:spacing w:after="0" w:line="240" w:lineRule="auto"/>
        <w:ind w:left="0"/>
        <w:jc w:val="both"/>
        <w:rPr>
          <w:rFonts w:ascii="Verdana" w:hAnsi="Verdana"/>
          <w:spacing w:val="-4"/>
          <w:sz w:val="20"/>
          <w:szCs w:val="20"/>
          <w:lang w:val="es-ES"/>
        </w:rPr>
      </w:pPr>
    </w:p>
    <w:p w14:paraId="75472BF3" w14:textId="466E0DE6" w:rsidR="00B83D13" w:rsidRPr="00B83D13" w:rsidRDefault="008F3E9A" w:rsidP="00B83D13">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r w:rsidRPr="008F3E9A">
        <w:rPr>
          <w:rFonts w:ascii="Verdana" w:hAnsi="Verdana"/>
          <w:spacing w:val="-4"/>
          <w:sz w:val="20"/>
          <w:szCs w:val="20"/>
          <w:lang w:val="es-CR"/>
        </w:rPr>
        <w:t xml:space="preserve">Este Tribunal </w:t>
      </w:r>
      <w:r w:rsidRPr="008F3E9A">
        <w:rPr>
          <w:rFonts w:ascii="Verdana" w:hAnsi="Verdana"/>
          <w:spacing w:val="-4"/>
          <w:sz w:val="20"/>
          <w:szCs w:val="20"/>
          <w:lang w:val="es-AR"/>
        </w:rPr>
        <w:t xml:space="preserve">ha indicado en su jurisprudencia que </w:t>
      </w:r>
      <w:r w:rsidRPr="008F3E9A">
        <w:rPr>
          <w:rFonts w:ascii="Verdana" w:hAnsi="Verdana" w:cs="Times New Roman"/>
          <w:spacing w:val="-4"/>
          <w:sz w:val="20"/>
          <w:szCs w:val="20"/>
          <w:lang w:val="es-AR"/>
        </w:rPr>
        <w:t xml:space="preserve">“el Estado se encuentra en una posición especial de garante” respecto de las personas privadas de libertad, por lo que tiene el deber de adoptar medidas para resguardar sus derechos a la vida, a la integridad </w:t>
      </w:r>
      <w:r w:rsidRPr="008F3E9A">
        <w:rPr>
          <w:rFonts w:ascii="Verdana" w:hAnsi="Verdana"/>
          <w:spacing w:val="-4"/>
          <w:sz w:val="20"/>
          <w:szCs w:val="20"/>
          <w:lang w:val="es-CR"/>
        </w:rPr>
        <w:t>personal</w:t>
      </w:r>
      <w:r w:rsidRPr="008F3E9A">
        <w:rPr>
          <w:rFonts w:ascii="Verdana" w:hAnsi="Verdana" w:cs="Times New Roman"/>
          <w:spacing w:val="-4"/>
          <w:sz w:val="20"/>
          <w:szCs w:val="20"/>
          <w:lang w:val="es-AR"/>
        </w:rPr>
        <w:t xml:space="preserve"> y a la salud</w:t>
      </w:r>
      <w:r w:rsidRPr="000C5155">
        <w:rPr>
          <w:rStyle w:val="Refdenotaalpie"/>
          <w:rFonts w:cs="Times New Roman"/>
          <w:spacing w:val="-4"/>
          <w:sz w:val="20"/>
          <w:szCs w:val="20"/>
        </w:rPr>
        <w:footnoteReference w:id="11"/>
      </w:r>
      <w:r w:rsidRPr="008F3E9A">
        <w:rPr>
          <w:rFonts w:ascii="Verdana" w:hAnsi="Verdana" w:cs="Times New Roman"/>
          <w:spacing w:val="-4"/>
          <w:sz w:val="20"/>
          <w:szCs w:val="20"/>
          <w:lang w:val="es-AR"/>
        </w:rPr>
        <w:t>; y abstenerse bajo cualquier circunstancia de actuar de manera tal que se vulneren estos derechos</w:t>
      </w:r>
      <w:r w:rsidRPr="00517372">
        <w:rPr>
          <w:rStyle w:val="Refdenotaalpie"/>
          <w:rFonts w:cs="Times New Roman"/>
          <w:spacing w:val="-4"/>
          <w:sz w:val="20"/>
          <w:szCs w:val="20"/>
        </w:rPr>
        <w:footnoteReference w:id="12"/>
      </w:r>
      <w:r w:rsidRPr="008F3E9A">
        <w:rPr>
          <w:rFonts w:ascii="Verdana" w:hAnsi="Verdana" w:cs="Times New Roman"/>
          <w:spacing w:val="-4"/>
          <w:sz w:val="20"/>
          <w:szCs w:val="20"/>
          <w:lang w:val="es-AR"/>
        </w:rPr>
        <w:t>. Además, la Corte ha sido clara en establecer que t</w:t>
      </w:r>
      <w:r w:rsidRPr="008F3E9A">
        <w:rPr>
          <w:rFonts w:ascii="Verdana" w:hAnsi="Verdana"/>
          <w:spacing w:val="-4"/>
          <w:sz w:val="20"/>
          <w:szCs w:val="20"/>
          <w:lang w:val="es-AR"/>
        </w:rPr>
        <w:t>ales derechos deben ser protegidos a “toda persona privada de libertad”, sin discriminación</w:t>
      </w:r>
      <w:r w:rsidRPr="009C672D">
        <w:rPr>
          <w:rStyle w:val="Refdenotaalpie"/>
          <w:rFonts w:cs="Arial"/>
          <w:spacing w:val="-4"/>
          <w:sz w:val="20"/>
          <w:szCs w:val="20"/>
        </w:rPr>
        <w:footnoteReference w:id="13"/>
      </w:r>
      <w:r w:rsidRPr="008F3E9A">
        <w:rPr>
          <w:rFonts w:ascii="Verdana" w:hAnsi="Verdana" w:cs="Arial"/>
          <w:spacing w:val="-4"/>
          <w:sz w:val="20"/>
          <w:szCs w:val="20"/>
          <w:lang w:val="es-AR"/>
        </w:rPr>
        <w:t>. En este sentido, se ha incorporado en la jurisprudencia los principales estándares sobre las condiciones carcelarias y deber de prevención que debe garantizar el Estado en favor de las personas privadas de libertad</w:t>
      </w:r>
      <w:r w:rsidRPr="009C672D">
        <w:rPr>
          <w:rStyle w:val="Refdenotaalpie"/>
          <w:rFonts w:cs="Arial"/>
          <w:spacing w:val="-4"/>
          <w:sz w:val="20"/>
          <w:szCs w:val="20"/>
        </w:rPr>
        <w:footnoteReference w:id="14"/>
      </w:r>
      <w:r w:rsidRPr="008F3E9A">
        <w:rPr>
          <w:rFonts w:ascii="Verdana" w:hAnsi="Verdana" w:cs="Arial"/>
          <w:spacing w:val="-4"/>
          <w:sz w:val="20"/>
          <w:szCs w:val="20"/>
          <w:lang w:val="es-AR"/>
        </w:rPr>
        <w:t>. Entre ellas, la Corte se ha referido a la adopción de medidas que procuren condiciones de detención mínimas compatibles con la dignidad personal</w:t>
      </w:r>
      <w:r w:rsidRPr="009C672D">
        <w:rPr>
          <w:rStyle w:val="Refdenotaalpie"/>
          <w:rFonts w:cs="Arial"/>
          <w:spacing w:val="-4"/>
          <w:sz w:val="20"/>
          <w:szCs w:val="20"/>
        </w:rPr>
        <w:footnoteReference w:id="15"/>
      </w:r>
      <w:r w:rsidRPr="008F3E9A">
        <w:rPr>
          <w:rFonts w:ascii="Verdana" w:hAnsi="Verdana" w:cs="Arial"/>
          <w:spacing w:val="-4"/>
          <w:sz w:val="20"/>
          <w:szCs w:val="20"/>
          <w:lang w:val="es-AR"/>
        </w:rPr>
        <w:t>; a la reducción del hacinamiento</w:t>
      </w:r>
      <w:r w:rsidRPr="009C672D">
        <w:rPr>
          <w:rStyle w:val="Refdenotaalpie"/>
          <w:rFonts w:cs="Arial"/>
          <w:spacing w:val="-4"/>
          <w:sz w:val="20"/>
          <w:szCs w:val="20"/>
        </w:rPr>
        <w:footnoteReference w:id="16"/>
      </w:r>
      <w:r w:rsidRPr="008F3E9A">
        <w:rPr>
          <w:rFonts w:ascii="Verdana" w:hAnsi="Verdana" w:cs="Arial"/>
          <w:spacing w:val="-4"/>
          <w:sz w:val="20"/>
          <w:szCs w:val="20"/>
          <w:lang w:val="es-AR"/>
        </w:rPr>
        <w:t>; al acceso al agua potable para consumo de estas personas y a agua para aseo personal</w:t>
      </w:r>
      <w:r w:rsidRPr="009C672D">
        <w:rPr>
          <w:rStyle w:val="Refdenotaalpie"/>
          <w:rFonts w:cs="Arial"/>
          <w:spacing w:val="-4"/>
          <w:sz w:val="20"/>
          <w:szCs w:val="20"/>
        </w:rPr>
        <w:footnoteReference w:id="17"/>
      </w:r>
      <w:r w:rsidRPr="008F3E9A">
        <w:rPr>
          <w:rFonts w:ascii="Verdana" w:hAnsi="Verdana" w:cs="Arial"/>
          <w:spacing w:val="-4"/>
          <w:sz w:val="20"/>
          <w:szCs w:val="20"/>
          <w:lang w:val="es-AR"/>
        </w:rPr>
        <w:t>; a alimentación de buena calidad y con valor nutritivo suficiente</w:t>
      </w:r>
      <w:r w:rsidRPr="009C672D">
        <w:rPr>
          <w:rStyle w:val="Refdenotaalpie"/>
          <w:rFonts w:cs="Arial"/>
          <w:spacing w:val="-4"/>
          <w:sz w:val="20"/>
          <w:szCs w:val="20"/>
        </w:rPr>
        <w:footnoteReference w:id="18"/>
      </w:r>
      <w:r w:rsidRPr="008F3E9A">
        <w:rPr>
          <w:rFonts w:ascii="Verdana" w:hAnsi="Verdana"/>
          <w:spacing w:val="-4"/>
          <w:sz w:val="20"/>
          <w:szCs w:val="20"/>
          <w:lang w:val="es-AR"/>
        </w:rPr>
        <w:t>, y a la atención médica regular y el tratamiento adecuado cuando sea necesario, en condiciones comparables con aquellas disfrutadas por pacientes en la comunidad exterior</w:t>
      </w:r>
      <w:r w:rsidRPr="009C672D">
        <w:rPr>
          <w:rStyle w:val="Refdenotaalpie"/>
          <w:spacing w:val="-4"/>
          <w:sz w:val="20"/>
          <w:szCs w:val="20"/>
        </w:rPr>
        <w:footnoteReference w:id="19"/>
      </w:r>
      <w:r w:rsidRPr="008F3E9A">
        <w:rPr>
          <w:rFonts w:ascii="Verdana" w:hAnsi="Verdana"/>
          <w:spacing w:val="-4"/>
          <w:sz w:val="20"/>
          <w:szCs w:val="20"/>
          <w:lang w:val="es-AR"/>
        </w:rPr>
        <w:t>.</w:t>
      </w:r>
      <w:bookmarkEnd w:id="2"/>
    </w:p>
    <w:p w14:paraId="07181DE1" w14:textId="77777777" w:rsidR="00B83D13" w:rsidRDefault="00B83D13" w:rsidP="00B83D13">
      <w:pPr>
        <w:pStyle w:val="Prrafodelista"/>
        <w:autoSpaceDE w:val="0"/>
        <w:autoSpaceDN w:val="0"/>
        <w:adjustRightInd w:val="0"/>
        <w:spacing w:after="0" w:line="240" w:lineRule="auto"/>
        <w:ind w:left="0"/>
        <w:jc w:val="both"/>
        <w:rPr>
          <w:rFonts w:ascii="Verdana" w:hAnsi="Verdana"/>
          <w:spacing w:val="-4"/>
          <w:sz w:val="20"/>
          <w:szCs w:val="20"/>
          <w:lang w:val="es-ES"/>
        </w:rPr>
      </w:pPr>
    </w:p>
    <w:p w14:paraId="4E906F86" w14:textId="77777777" w:rsidR="00874A30" w:rsidRPr="00874A30" w:rsidRDefault="00B83D13" w:rsidP="00874A30">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r w:rsidRPr="00B83D13">
        <w:rPr>
          <w:rFonts w:ascii="Verdana" w:hAnsi="Verdana"/>
          <w:spacing w:val="-4"/>
          <w:sz w:val="20"/>
          <w:szCs w:val="20"/>
          <w:lang w:val="es-AR"/>
        </w:rPr>
        <w:t xml:space="preserve">En particular, respecto de la atención médica adecuada para personas privadas de libertad, la Corte estableció diversos estándares en la sentencia del caso </w:t>
      </w:r>
      <w:r w:rsidRPr="00B83D13">
        <w:rPr>
          <w:rFonts w:ascii="Verdana" w:hAnsi="Verdana"/>
          <w:i/>
          <w:spacing w:val="-4"/>
          <w:sz w:val="20"/>
          <w:szCs w:val="20"/>
          <w:lang w:val="es-AR"/>
        </w:rPr>
        <w:t>Chinchilla Sandoval y otros Vs. Guatemala</w:t>
      </w:r>
      <w:r w:rsidRPr="00B83D13">
        <w:rPr>
          <w:rFonts w:ascii="Verdana" w:hAnsi="Verdana"/>
          <w:spacing w:val="-4"/>
          <w:sz w:val="20"/>
          <w:szCs w:val="20"/>
          <w:lang w:val="es-AR"/>
        </w:rPr>
        <w:t xml:space="preserve">, entre los cuales se indica que los Estados deben asegurar que a </w:t>
      </w:r>
      <w:r w:rsidRPr="00B83D13">
        <w:rPr>
          <w:rFonts w:ascii="Verdana" w:hAnsi="Verdana" w:cs="Arial"/>
          <w:color w:val="000000"/>
          <w:spacing w:val="-4"/>
          <w:sz w:val="20"/>
          <w:szCs w:val="20"/>
          <w:lang w:val="es-AR"/>
        </w:rPr>
        <w:t xml:space="preserve">las personas privadas de libertad que padezcan enfermedades graves, </w:t>
      </w:r>
      <w:r w:rsidRPr="00B83D13">
        <w:rPr>
          <w:rFonts w:ascii="Verdana" w:hAnsi="Verdana" w:cs="Arial"/>
          <w:color w:val="000000"/>
          <w:spacing w:val="-4"/>
          <w:sz w:val="20"/>
          <w:szCs w:val="20"/>
          <w:lang w:val="es-AR"/>
        </w:rPr>
        <w:lastRenderedPageBreak/>
        <w:t>crónicas o terminales se les brinde atención médica adecuada, especializada y continua</w:t>
      </w:r>
      <w:r w:rsidRPr="00B83D13">
        <w:rPr>
          <w:rFonts w:ascii="Verdana" w:hAnsi="Verdana"/>
          <w:spacing w:val="-4"/>
          <w:sz w:val="20"/>
          <w:szCs w:val="20"/>
          <w:lang w:val="es-AR"/>
        </w:rPr>
        <w:t>, ya sea dentro o fuera del centro penitenciario</w:t>
      </w:r>
      <w:r w:rsidRPr="00395069">
        <w:rPr>
          <w:rStyle w:val="Refdenotaalpie"/>
          <w:spacing w:val="-4"/>
          <w:sz w:val="20"/>
          <w:szCs w:val="20"/>
        </w:rPr>
        <w:footnoteReference w:id="20"/>
      </w:r>
      <w:r w:rsidRPr="00B83D13">
        <w:rPr>
          <w:rFonts w:ascii="Verdana" w:hAnsi="Verdana" w:cs="Arial"/>
          <w:color w:val="000000"/>
          <w:spacing w:val="-4"/>
          <w:sz w:val="20"/>
          <w:szCs w:val="20"/>
          <w:lang w:val="es-AR"/>
        </w:rPr>
        <w:t xml:space="preserve">. </w:t>
      </w:r>
      <w:r w:rsidRPr="00B83D13">
        <w:rPr>
          <w:rFonts w:ascii="Verdana" w:hAnsi="Verdana"/>
          <w:spacing w:val="-4"/>
          <w:sz w:val="20"/>
          <w:szCs w:val="20"/>
          <w:lang w:val="es-AR"/>
        </w:rPr>
        <w:t xml:space="preserve">En caso de que ello no sea posible, las mencionadas personas privadas de libertad </w:t>
      </w:r>
      <w:r w:rsidRPr="00B83D13">
        <w:rPr>
          <w:rFonts w:ascii="Verdana" w:hAnsi="Verdana" w:cs="Arial"/>
          <w:color w:val="000000"/>
          <w:spacing w:val="-4"/>
          <w:sz w:val="20"/>
          <w:szCs w:val="20"/>
          <w:lang w:val="es-AR"/>
        </w:rPr>
        <w:t xml:space="preserve">no deben permanecer en establecimientos carcelarios. </w:t>
      </w:r>
      <w:r w:rsidRPr="00B83D13">
        <w:rPr>
          <w:rFonts w:ascii="Verdana" w:hAnsi="Verdana"/>
          <w:spacing w:val="-4"/>
          <w:sz w:val="20"/>
          <w:szCs w:val="20"/>
          <w:lang w:val="es-AR"/>
        </w:rPr>
        <w:t xml:space="preserve">Si el Estado no puede garantizar dicha atención en el centro penitenciario, está “obligado a establecer un mecanismo o protocolo de atención ágil y efectivo para asegurar que la supervisión médica </w:t>
      </w:r>
      <w:r w:rsidRPr="00B83D13">
        <w:rPr>
          <w:rFonts w:ascii="Verdana" w:hAnsi="Verdana" w:cs="Verdana"/>
          <w:spacing w:val="-4"/>
          <w:sz w:val="20"/>
          <w:szCs w:val="20"/>
          <w:lang w:val="es-AR"/>
        </w:rPr>
        <w:t>[sea]</w:t>
      </w:r>
      <w:r w:rsidRPr="00B83D13">
        <w:rPr>
          <w:rFonts w:ascii="Verdana" w:hAnsi="Verdana"/>
          <w:spacing w:val="-4"/>
          <w:sz w:val="20"/>
          <w:szCs w:val="20"/>
          <w:lang w:val="es-AR"/>
        </w:rPr>
        <w:t xml:space="preserve"> oportuna y sistemática, particularmente ante alguna situación de emergencia”. Los procedimientos establecidos para la consulta externa en hospitales deben tener “la agilidad necesaria para permitir, de manera efectiva, un tratamiento médico oportuno”</w:t>
      </w:r>
      <w:r w:rsidRPr="00395069">
        <w:rPr>
          <w:rStyle w:val="Refdenotaalpie"/>
          <w:rFonts w:cs="Arial"/>
          <w:spacing w:val="-4"/>
          <w:sz w:val="20"/>
          <w:szCs w:val="20"/>
        </w:rPr>
        <w:footnoteReference w:id="21"/>
      </w:r>
      <w:r w:rsidRPr="00B83D13">
        <w:rPr>
          <w:rFonts w:ascii="Verdana" w:hAnsi="Verdana"/>
          <w:spacing w:val="-4"/>
          <w:sz w:val="20"/>
          <w:szCs w:val="20"/>
          <w:lang w:val="es-AR"/>
        </w:rPr>
        <w:t xml:space="preserve">. </w:t>
      </w:r>
      <w:bookmarkStart w:id="3" w:name="_Ref46245883"/>
    </w:p>
    <w:p w14:paraId="1613415F" w14:textId="77777777" w:rsidR="00874A30" w:rsidRPr="00874A30" w:rsidRDefault="00874A30" w:rsidP="00874A30">
      <w:pPr>
        <w:pStyle w:val="Prrafodelista"/>
        <w:rPr>
          <w:rFonts w:ascii="Verdana" w:hAnsi="Verdana"/>
          <w:spacing w:val="-4"/>
          <w:sz w:val="20"/>
          <w:szCs w:val="20"/>
          <w:lang w:val="es-AR"/>
        </w:rPr>
      </w:pPr>
    </w:p>
    <w:p w14:paraId="3F99F30F" w14:textId="637D075D" w:rsidR="00874A30" w:rsidRPr="00874A30" w:rsidRDefault="00874A30" w:rsidP="00874A30">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ES"/>
        </w:rPr>
      </w:pPr>
      <w:r w:rsidRPr="00874A30">
        <w:rPr>
          <w:rFonts w:ascii="Verdana" w:hAnsi="Verdana"/>
          <w:spacing w:val="-4"/>
          <w:sz w:val="20"/>
          <w:szCs w:val="20"/>
          <w:lang w:val="es-AR"/>
        </w:rPr>
        <w:t xml:space="preserve">En ese sentido, en el marco de la supervisión de cumplimiento de las Sentencias de los </w:t>
      </w:r>
      <w:r w:rsidRPr="00874A30">
        <w:rPr>
          <w:rFonts w:ascii="Verdana" w:hAnsi="Verdana"/>
          <w:i/>
          <w:spacing w:val="-4"/>
          <w:sz w:val="20"/>
          <w:szCs w:val="20"/>
          <w:lang w:val="es-AR"/>
        </w:rPr>
        <w:t>casos Barrios Altos y La Cantuta Vs. Perú</w:t>
      </w:r>
      <w:r w:rsidRPr="00874A30">
        <w:rPr>
          <w:rFonts w:ascii="Verdana" w:hAnsi="Verdana"/>
          <w:spacing w:val="-4"/>
          <w:sz w:val="20"/>
          <w:szCs w:val="20"/>
          <w:lang w:val="es-AR"/>
        </w:rPr>
        <w:t>, esta Corte agregó que “dependiendo de factores como situación de salud, riesgo a la vida, condiciones de detención y facilidades para ser atendido adecuadamente (ya sea en el centro penal o mediante traslado a un centro médico), corresponde al Estado valorar proporcionalmente cuál es la medida de carácter administrativo o figura jurídica que permita proteger la vida y la integridad del condenado, siempre que la misma se otorgue debidamente y siguiendo un fin legítimo que no signifique únicamente dejar de asegurar la ejecución de la pena”</w:t>
      </w:r>
      <w:r>
        <w:rPr>
          <w:rStyle w:val="Refdenotaalpie"/>
          <w:spacing w:val="-4"/>
          <w:szCs w:val="20"/>
          <w:lang w:val="es-AR"/>
        </w:rPr>
        <w:footnoteReference w:id="22"/>
      </w:r>
      <w:r w:rsidRPr="00874A30">
        <w:rPr>
          <w:rFonts w:ascii="Verdana" w:hAnsi="Verdana"/>
          <w:spacing w:val="-4"/>
          <w:sz w:val="20"/>
          <w:szCs w:val="20"/>
          <w:lang w:val="es-AR"/>
        </w:rPr>
        <w:t>. Tratándose de casos de “graves violaciones de derechos humanos”, el Tribunal resaltó lo siguiente:</w:t>
      </w:r>
      <w:bookmarkEnd w:id="3"/>
      <w:r w:rsidRPr="00874A30">
        <w:rPr>
          <w:rFonts w:ascii="Verdana" w:hAnsi="Verdana"/>
          <w:spacing w:val="-4"/>
          <w:sz w:val="20"/>
          <w:szCs w:val="20"/>
          <w:lang w:val="es-AR"/>
        </w:rPr>
        <w:t xml:space="preserve"> </w:t>
      </w:r>
    </w:p>
    <w:p w14:paraId="598815AA" w14:textId="77777777" w:rsidR="00874A30" w:rsidRDefault="00874A30" w:rsidP="00874A30">
      <w:pPr>
        <w:autoSpaceDE w:val="0"/>
        <w:autoSpaceDN w:val="0"/>
        <w:adjustRightInd w:val="0"/>
        <w:spacing w:before="120" w:after="120"/>
        <w:ind w:left="426" w:right="566"/>
        <w:jc w:val="both"/>
        <w:rPr>
          <w:rFonts w:ascii="Verdana" w:eastAsiaTheme="minorHAnsi" w:hAnsi="Verdana" w:cs="Verdana"/>
          <w:color w:val="000000"/>
          <w:sz w:val="16"/>
          <w:szCs w:val="16"/>
          <w:lang w:val="es-CR"/>
        </w:rPr>
      </w:pPr>
      <w:r w:rsidRPr="00CF21D6">
        <w:rPr>
          <w:rFonts w:ascii="Verdana" w:eastAsiaTheme="minorHAnsi" w:hAnsi="Verdana" w:cs="Verdana"/>
          <w:color w:val="000000"/>
          <w:sz w:val="16"/>
          <w:szCs w:val="16"/>
          <w:lang w:val="es-CR"/>
        </w:rPr>
        <w:t xml:space="preserve">dicha medida o figura jurídica debe ser la que menos restrinja el derecho de acceso a la justicia de las víctimas </w:t>
      </w:r>
      <w:r w:rsidRPr="00CF21D6">
        <w:rPr>
          <w:rFonts w:ascii="Verdana" w:eastAsiaTheme="minorHAnsi" w:hAnsi="Verdana" w:cs="Verdana"/>
          <w:iCs/>
          <w:color w:val="000000"/>
          <w:sz w:val="16"/>
          <w:szCs w:val="16"/>
          <w:lang w:val="es-CR"/>
        </w:rPr>
        <w:t>[…]</w:t>
      </w:r>
      <w:r>
        <w:rPr>
          <w:rFonts w:ascii="Verdana" w:eastAsiaTheme="minorHAnsi" w:hAnsi="Verdana" w:cs="Verdana"/>
          <w:i/>
          <w:iCs/>
          <w:color w:val="000000"/>
          <w:sz w:val="16"/>
          <w:szCs w:val="16"/>
          <w:lang w:val="es-CR"/>
        </w:rPr>
        <w:t xml:space="preserve"> </w:t>
      </w:r>
      <w:r w:rsidRPr="00CF21D6">
        <w:rPr>
          <w:rFonts w:ascii="Verdana" w:eastAsiaTheme="minorHAnsi" w:hAnsi="Verdana" w:cs="Verdana"/>
          <w:color w:val="000000"/>
          <w:sz w:val="16"/>
          <w:szCs w:val="16"/>
          <w:lang w:val="es-CR"/>
        </w:rPr>
        <w:t xml:space="preserve">y debe ser aplicada en casos muy extremos y por una necesidad imperante. Esto no significa que la figura jurídica o medida que tenga que adoptar el Estado sea necesariamente una que ponga en libertad al condenado y, mucho menos, que implique la extinción de la pena. Corresponde determinar primeramente, de acuerdo con otros factores, si habría una medida que permita una atención médica efectiva (por ejemplo, asegurar que el condenado, de forma efectiva y pronta, pueda acudir a las citas o procedimientos médicos correspondientes y medidas y protocolos que permitan una atención médica de urgencia) </w:t>
      </w:r>
      <w:r>
        <w:rPr>
          <w:rFonts w:ascii="Verdana" w:eastAsiaTheme="minorHAnsi" w:hAnsi="Verdana" w:cs="Verdana"/>
          <w:color w:val="000000"/>
          <w:sz w:val="16"/>
          <w:szCs w:val="16"/>
          <w:lang w:val="es-CR"/>
        </w:rPr>
        <w:t xml:space="preserve">[…] </w:t>
      </w:r>
      <w:r w:rsidRPr="00CF21D6">
        <w:rPr>
          <w:rFonts w:ascii="Verdana" w:eastAsiaTheme="minorHAnsi" w:hAnsi="Verdana" w:cs="Verdana"/>
          <w:color w:val="000000"/>
          <w:sz w:val="16"/>
          <w:szCs w:val="16"/>
          <w:lang w:val="es-CR"/>
        </w:rPr>
        <w:t>o si resulta necesario aplicar una institución jurídica apropiada que modifique la pena o permita una libertad anticipada</w:t>
      </w:r>
      <w:r w:rsidRPr="00A46C0C">
        <w:rPr>
          <w:rFonts w:ascii="Verdana" w:eastAsiaTheme="minorHAnsi" w:hAnsi="Verdana" w:cs="Verdana"/>
          <w:color w:val="000000"/>
          <w:sz w:val="16"/>
          <w:szCs w:val="16"/>
          <w:vertAlign w:val="superscript"/>
        </w:rPr>
        <w:footnoteReference w:id="23"/>
      </w:r>
      <w:r w:rsidRPr="00CF21D6">
        <w:rPr>
          <w:rFonts w:ascii="Verdana" w:eastAsiaTheme="minorHAnsi" w:hAnsi="Verdana" w:cs="Verdana"/>
          <w:color w:val="000000"/>
          <w:sz w:val="16"/>
          <w:szCs w:val="16"/>
          <w:lang w:val="es-CR"/>
        </w:rPr>
        <w:t xml:space="preserve">. </w:t>
      </w:r>
    </w:p>
    <w:p w14:paraId="55E23E1C" w14:textId="77777777" w:rsidR="00731408" w:rsidRPr="00874A30" w:rsidRDefault="00731408" w:rsidP="00731408">
      <w:pPr>
        <w:suppressAutoHyphens/>
        <w:autoSpaceDN w:val="0"/>
        <w:spacing w:after="160" w:line="256" w:lineRule="auto"/>
        <w:textAlignment w:val="baseline"/>
        <w:rPr>
          <w:rFonts w:ascii="Verdana" w:hAnsi="Verdana"/>
          <w:spacing w:val="-4"/>
          <w:sz w:val="20"/>
          <w:szCs w:val="20"/>
          <w:lang w:val="es-CR"/>
        </w:rPr>
      </w:pPr>
    </w:p>
    <w:p w14:paraId="6361EECB" w14:textId="3F12BD62" w:rsidR="004E36EF" w:rsidRDefault="004E36EF" w:rsidP="004E36EF">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bookmarkStart w:id="4" w:name="_Ref46128064"/>
      <w:r w:rsidRPr="002C0FC0">
        <w:rPr>
          <w:rFonts w:ascii="Verdana" w:hAnsi="Verdana"/>
          <w:spacing w:val="-4"/>
          <w:sz w:val="20"/>
          <w:szCs w:val="20"/>
          <w:lang w:val="es-CR"/>
        </w:rPr>
        <w:t xml:space="preserve">De la </w:t>
      </w:r>
      <w:r w:rsidRPr="002C0FC0">
        <w:rPr>
          <w:rFonts w:ascii="Verdana" w:hAnsi="Verdana" w:cs="Calibri"/>
          <w:spacing w:val="-4"/>
          <w:sz w:val="20"/>
          <w:szCs w:val="20"/>
          <w:lang w:val="es-CR"/>
        </w:rPr>
        <w:t>información</w:t>
      </w:r>
      <w:r w:rsidRPr="002C0FC0">
        <w:rPr>
          <w:rFonts w:ascii="Verdana" w:hAnsi="Verdana"/>
          <w:spacing w:val="-4"/>
          <w:sz w:val="20"/>
          <w:szCs w:val="20"/>
          <w:lang w:val="es-CR"/>
        </w:rPr>
        <w:t xml:space="preserve"> aportada por las partes, este Tribunal nota, en primer lugar, que cuatro de los propuestos beneficiarios sufren de enfermedades o condiciones preexistentes de salud</w:t>
      </w:r>
      <w:r w:rsidRPr="002C0FC0">
        <w:rPr>
          <w:rStyle w:val="Refdenotaalpie"/>
          <w:spacing w:val="-4"/>
          <w:sz w:val="20"/>
          <w:szCs w:val="20"/>
          <w:lang w:val="es-CR"/>
        </w:rPr>
        <w:footnoteReference w:id="24"/>
      </w:r>
      <w:r w:rsidRPr="002C0FC0">
        <w:rPr>
          <w:rFonts w:ascii="Verdana" w:hAnsi="Verdana"/>
          <w:spacing w:val="-4"/>
          <w:sz w:val="20"/>
          <w:szCs w:val="20"/>
          <w:lang w:val="es-CR"/>
        </w:rPr>
        <w:t>. Dos de ellos también son personas mayores y otros tres tienen más de 50 años. Tales circunstancias los posicionan como personas con factores de riesgo frente al COVID-19. Además, según refirieron los intervinientes comunes, todos ellos tienen “</w:t>
      </w:r>
      <w:r w:rsidRPr="002C0FC0">
        <w:rPr>
          <w:rFonts w:ascii="Verdana" w:hAnsi="Verdana"/>
          <w:spacing w:val="-4"/>
          <w:sz w:val="20"/>
          <w:szCs w:val="20"/>
          <w:lang w:val="es-AR"/>
        </w:rPr>
        <w:t>27 años de prisión en promedio”, lo cual habría contribuido a debilitar su salud</w:t>
      </w:r>
      <w:r w:rsidRPr="002C0FC0">
        <w:rPr>
          <w:rFonts w:ascii="Verdana" w:hAnsi="Verdana"/>
          <w:spacing w:val="-4"/>
          <w:sz w:val="20"/>
          <w:szCs w:val="20"/>
          <w:lang w:val="es-CR"/>
        </w:rPr>
        <w:t>. La Organización Mundial de la Salud ha detallado que las personas mayores</w:t>
      </w:r>
      <w:r w:rsidRPr="002C0FC0">
        <w:rPr>
          <w:rStyle w:val="Refdenotaalpie"/>
          <w:spacing w:val="-4"/>
          <w:sz w:val="20"/>
          <w:szCs w:val="20"/>
          <w:lang w:val="es-AR"/>
        </w:rPr>
        <w:footnoteReference w:id="25"/>
      </w:r>
      <w:r w:rsidRPr="002C0FC0">
        <w:rPr>
          <w:rFonts w:ascii="Verdana" w:hAnsi="Verdana"/>
          <w:spacing w:val="-4"/>
          <w:sz w:val="20"/>
          <w:szCs w:val="20"/>
          <w:lang w:val="es-CR"/>
        </w:rPr>
        <w:t xml:space="preserve"> y aquellas que padecen afecciones médicas subyacentes se encuentran en una situación de mayor vulnerabilidad frente al virus, así como un mayor riesgo de sufrir complicaciones en caso de contagio</w:t>
      </w:r>
      <w:r w:rsidRPr="002C0FC0">
        <w:rPr>
          <w:rStyle w:val="Refdenotaalpie"/>
          <w:spacing w:val="-4"/>
          <w:sz w:val="20"/>
          <w:szCs w:val="20"/>
          <w:lang w:val="es-CR"/>
        </w:rPr>
        <w:footnoteReference w:id="26"/>
      </w:r>
      <w:r w:rsidRPr="002C0FC0">
        <w:rPr>
          <w:rFonts w:ascii="Verdana" w:hAnsi="Verdana"/>
          <w:spacing w:val="-4"/>
          <w:sz w:val="20"/>
          <w:szCs w:val="20"/>
          <w:lang w:val="es-CR"/>
        </w:rPr>
        <w:t xml:space="preserve">. En este sentido, teniendo en cuenta la información científica divulgada hasta el momento por diversas entidades, los cinco propuestos beneficiarios son personas que, por su edad, condiciones subyacentes de </w:t>
      </w:r>
      <w:r w:rsidRPr="002C0FC0">
        <w:rPr>
          <w:rFonts w:ascii="Verdana" w:hAnsi="Verdana"/>
          <w:spacing w:val="-4"/>
          <w:sz w:val="20"/>
          <w:szCs w:val="20"/>
          <w:lang w:val="es-CR"/>
        </w:rPr>
        <w:lastRenderedPageBreak/>
        <w:t>salud y condición de privación de libertad, presentan mayor riesgo de sufrir complicaciones frente al contagio del COVID-19.</w:t>
      </w:r>
      <w:bookmarkEnd w:id="4"/>
      <w:r w:rsidRPr="002C0FC0">
        <w:rPr>
          <w:rFonts w:ascii="Verdana" w:hAnsi="Verdana"/>
          <w:spacing w:val="-4"/>
          <w:sz w:val="20"/>
          <w:szCs w:val="20"/>
          <w:lang w:val="es-CR"/>
        </w:rPr>
        <w:t xml:space="preserve"> </w:t>
      </w:r>
      <w:bookmarkStart w:id="5" w:name="_Ref46157692"/>
    </w:p>
    <w:p w14:paraId="4CF8380F" w14:textId="77777777" w:rsidR="004E36EF" w:rsidRDefault="004E36EF" w:rsidP="004E36EF">
      <w:pPr>
        <w:pStyle w:val="Prrafodelista"/>
        <w:autoSpaceDE w:val="0"/>
        <w:autoSpaceDN w:val="0"/>
        <w:adjustRightInd w:val="0"/>
        <w:spacing w:after="0" w:line="240" w:lineRule="auto"/>
        <w:ind w:left="0"/>
        <w:jc w:val="both"/>
        <w:rPr>
          <w:rFonts w:ascii="Verdana" w:hAnsi="Verdana"/>
          <w:spacing w:val="-4"/>
          <w:sz w:val="20"/>
          <w:szCs w:val="20"/>
          <w:lang w:val="es-CR"/>
        </w:rPr>
      </w:pPr>
    </w:p>
    <w:p w14:paraId="42DCCF6B" w14:textId="77C1DDAB" w:rsidR="004E36EF" w:rsidRPr="004E36EF" w:rsidRDefault="004E36EF" w:rsidP="004E36EF">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4E36EF">
        <w:rPr>
          <w:rFonts w:ascii="Verdana" w:hAnsi="Verdana"/>
          <w:spacing w:val="-4"/>
          <w:sz w:val="20"/>
          <w:szCs w:val="20"/>
          <w:lang w:val="es-CR"/>
        </w:rPr>
        <w:t xml:space="preserve">Este Tribunal nota, asimismo, que los intervinientes comunes interpusieron la solicitud de medidas provisionales, inicialmente, con el objeto de evitar que los cinco propuestos beneficiarios se contagiaran del virus, o que los cuatro que creían estar contagiados (con base en los síntomas que tenían, aun cuando no se les había realizado pruebas de diagnóstico) pudieran recibir atención médica y medicamentos, así como que los cinco fueran sujetos a detención domiciliaria. Al momento de interponer la solicitud a mediados de mayo de 2020, a ninguno de ellos se les había realizado dicha prueba, pero ya se había constatado más de 1500 de personas contagiadas con COVID-19 en establecimientos penitenciarios del Perú y más de 100 fallecidos a causa del virus (entre personas privadas de libertad y trabajadores del Instituto Nacional Penitenciario). </w:t>
      </w:r>
      <w:bookmarkEnd w:id="5"/>
      <w:r w:rsidRPr="004E36EF">
        <w:rPr>
          <w:rFonts w:ascii="Verdana" w:hAnsi="Verdana"/>
          <w:spacing w:val="-4"/>
          <w:sz w:val="20"/>
          <w:szCs w:val="20"/>
          <w:lang w:val="es-CR"/>
        </w:rPr>
        <w:t>Con posterioridad a la presentación de la referida solicitud, y luego de que se le solicitara información al respecto, el Perú procedió a la realización de pruebas de descarte de COVID-19. De la información presentada por el Estado (</w:t>
      </w:r>
      <w:r w:rsidRPr="004E36EF">
        <w:rPr>
          <w:rFonts w:ascii="Verdana" w:hAnsi="Verdana"/>
          <w:i/>
          <w:spacing w:val="-4"/>
          <w:sz w:val="20"/>
          <w:szCs w:val="20"/>
          <w:lang w:val="es-CR"/>
        </w:rPr>
        <w:t xml:space="preserve">supra </w:t>
      </w:r>
      <w:r w:rsidRPr="004E36EF">
        <w:rPr>
          <w:rFonts w:ascii="Verdana" w:hAnsi="Verdana"/>
          <w:spacing w:val="-4"/>
          <w:sz w:val="20"/>
          <w:szCs w:val="20"/>
          <w:lang w:val="es-CR"/>
        </w:rPr>
        <w:t xml:space="preserve">Considerando </w:t>
      </w:r>
      <w:r w:rsidRPr="004E36EF">
        <w:rPr>
          <w:rFonts w:ascii="Verdana" w:hAnsi="Verdana"/>
          <w:spacing w:val="-4"/>
          <w:sz w:val="20"/>
          <w:szCs w:val="20"/>
          <w:lang w:val="es-CR"/>
        </w:rPr>
        <w:fldChar w:fldCharType="begin"/>
      </w:r>
      <w:r w:rsidRPr="004E36EF">
        <w:rPr>
          <w:rFonts w:ascii="Verdana" w:hAnsi="Verdana"/>
          <w:spacing w:val="-4"/>
          <w:sz w:val="20"/>
          <w:szCs w:val="20"/>
          <w:lang w:val="es-CR"/>
        </w:rPr>
        <w:instrText xml:space="preserve"> REF _Ref46180975 \r \h  \* MERGEFORMAT </w:instrText>
      </w:r>
      <w:r w:rsidRPr="004E36EF">
        <w:rPr>
          <w:rFonts w:ascii="Verdana" w:hAnsi="Verdana"/>
          <w:spacing w:val="-4"/>
          <w:sz w:val="20"/>
          <w:szCs w:val="20"/>
          <w:lang w:val="es-CR"/>
        </w:rPr>
      </w:r>
      <w:r w:rsidRPr="004E36EF">
        <w:rPr>
          <w:rFonts w:ascii="Verdana" w:hAnsi="Verdana"/>
          <w:spacing w:val="-4"/>
          <w:sz w:val="20"/>
          <w:szCs w:val="20"/>
          <w:lang w:val="es-CR"/>
        </w:rPr>
        <w:fldChar w:fldCharType="separate"/>
      </w:r>
      <w:r w:rsidRPr="004E36EF">
        <w:rPr>
          <w:rFonts w:ascii="Verdana" w:hAnsi="Verdana"/>
          <w:spacing w:val="-4"/>
          <w:sz w:val="20"/>
          <w:szCs w:val="20"/>
          <w:lang w:val="es-CR"/>
        </w:rPr>
        <w:t>11</w:t>
      </w:r>
      <w:r w:rsidRPr="004E36EF">
        <w:rPr>
          <w:rFonts w:ascii="Verdana" w:hAnsi="Verdana"/>
          <w:spacing w:val="-4"/>
          <w:sz w:val="20"/>
          <w:szCs w:val="20"/>
          <w:lang w:val="es-CR"/>
        </w:rPr>
        <w:fldChar w:fldCharType="end"/>
      </w:r>
      <w:r w:rsidRPr="004E36EF">
        <w:rPr>
          <w:rFonts w:ascii="Verdana" w:hAnsi="Verdana"/>
          <w:spacing w:val="-4"/>
          <w:sz w:val="20"/>
          <w:szCs w:val="20"/>
          <w:lang w:val="es-CR"/>
        </w:rPr>
        <w:t xml:space="preserve"> de la Resolución) surge que, entre el 2 y el 5 de junio, a cuatro de los cinco propuestos beneficiarios se les practicaron las referidas pruebas, de los cuales dos arrojaron resultado positivo (uno de ellos fue diagnosticado como un caso “leve”) y dos resultado “no reactivo”. En cuanto a la quinta persona, en su último informe, de 9 de junio, el Estado refirió que a la señora Liendo Gil no se le practicó la prueba ya que no presentaba sintomatología compatible con el COVID-19, y que había procedido a aislarla en un ambiente individual con baño propio y darle seguimiento médico diario. De ello se desprende que, como mínimo, para el 9 de junio, fecha del último informe estatal, dos de los cinco propuestos beneficiarios habían sido diagnosticados como contagiados. </w:t>
      </w:r>
    </w:p>
    <w:p w14:paraId="2C0E163C" w14:textId="77777777" w:rsidR="004E36EF" w:rsidRDefault="004E36EF" w:rsidP="004E36EF">
      <w:pPr>
        <w:pStyle w:val="Prrafodelista"/>
        <w:autoSpaceDE w:val="0"/>
        <w:autoSpaceDN w:val="0"/>
        <w:adjustRightInd w:val="0"/>
        <w:spacing w:after="0" w:line="240" w:lineRule="auto"/>
        <w:ind w:left="0"/>
        <w:jc w:val="both"/>
        <w:rPr>
          <w:rFonts w:ascii="Verdana" w:hAnsi="Verdana"/>
          <w:spacing w:val="-4"/>
          <w:sz w:val="20"/>
          <w:szCs w:val="20"/>
          <w:lang w:val="es-CR"/>
        </w:rPr>
      </w:pPr>
    </w:p>
    <w:p w14:paraId="60FCABBE" w14:textId="6B6C7519" w:rsidR="004C76AE" w:rsidRPr="00C2549C" w:rsidRDefault="002156E1" w:rsidP="00C2549C">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bookmarkStart w:id="6" w:name="_Ref46158425"/>
      <w:r w:rsidRPr="00C2549C">
        <w:rPr>
          <w:rFonts w:ascii="Verdana" w:hAnsi="Verdana"/>
          <w:spacing w:val="-4"/>
          <w:sz w:val="20"/>
          <w:szCs w:val="20"/>
          <w:lang w:val="es-CR"/>
        </w:rPr>
        <w:t xml:space="preserve">No obstante, en su escrito de 16 de junio, los intervinientes comunes sostuvieron que los </w:t>
      </w:r>
      <w:r w:rsidR="00B03C6B" w:rsidRPr="00C2549C">
        <w:rPr>
          <w:rFonts w:ascii="Verdana" w:hAnsi="Verdana"/>
          <w:spacing w:val="-4"/>
          <w:sz w:val="20"/>
          <w:szCs w:val="20"/>
          <w:lang w:val="es-CR"/>
        </w:rPr>
        <w:t>cinco</w:t>
      </w:r>
      <w:r w:rsidRPr="00C2549C">
        <w:rPr>
          <w:rFonts w:ascii="Verdana" w:hAnsi="Verdana"/>
          <w:spacing w:val="-4"/>
          <w:sz w:val="20"/>
          <w:szCs w:val="20"/>
          <w:lang w:val="es-CR"/>
        </w:rPr>
        <w:t xml:space="preserve"> propuestos beneficiarios estaban contagiados. </w:t>
      </w:r>
      <w:bookmarkEnd w:id="6"/>
      <w:r w:rsidR="004E36EF" w:rsidRPr="00AF418E">
        <w:rPr>
          <w:rFonts w:ascii="Verdana" w:hAnsi="Verdana"/>
          <w:spacing w:val="-4"/>
          <w:sz w:val="20"/>
          <w:szCs w:val="20"/>
          <w:lang w:val="es-CR"/>
        </w:rPr>
        <w:t>En este sentido, destacaron que el tipo de pruebas realizadas por el Estado (comúnmente denominadas “pruebas rápidas”) posee un margen de error del 10%, por lo que las dos pruebas que arrojaron resultado “no reactivo” podrían tratarse de “falsos negativos”. Con respecto a la señora Liendo Gil, indicaron haber tomado conocimiento de que, con posterioridad al referido informe estatal de 9 de junio (</w:t>
      </w:r>
      <w:r w:rsidR="004E36EF" w:rsidRPr="00AF418E">
        <w:rPr>
          <w:rFonts w:ascii="Verdana" w:hAnsi="Verdana"/>
          <w:i/>
          <w:spacing w:val="-4"/>
          <w:sz w:val="20"/>
          <w:szCs w:val="20"/>
          <w:lang w:val="es-CR"/>
        </w:rPr>
        <w:t xml:space="preserve">supra </w:t>
      </w:r>
      <w:r w:rsidR="004E36EF" w:rsidRPr="00AF418E">
        <w:rPr>
          <w:rFonts w:ascii="Verdana" w:hAnsi="Verdana"/>
          <w:spacing w:val="-4"/>
          <w:sz w:val="20"/>
          <w:szCs w:val="20"/>
          <w:lang w:val="es-CR"/>
        </w:rPr>
        <w:t xml:space="preserve">Considerando </w:t>
      </w:r>
      <w:r w:rsidR="004E36EF">
        <w:rPr>
          <w:rFonts w:ascii="Verdana" w:hAnsi="Verdana"/>
          <w:spacing w:val="-4"/>
          <w:sz w:val="20"/>
          <w:szCs w:val="20"/>
          <w:lang w:val="es-CR"/>
        </w:rPr>
        <w:t>32</w:t>
      </w:r>
      <w:r w:rsidR="004E36EF" w:rsidRPr="00AF418E">
        <w:rPr>
          <w:rFonts w:ascii="Verdana" w:hAnsi="Verdana"/>
          <w:spacing w:val="-4"/>
          <w:sz w:val="20"/>
          <w:szCs w:val="20"/>
          <w:lang w:val="es-CR"/>
        </w:rPr>
        <w:t>), se le realizó la prueba de descarte, la cual habría arrojado resultado positivo</w:t>
      </w:r>
      <w:r w:rsidR="004E36EF" w:rsidRPr="00642D9C">
        <w:rPr>
          <w:rStyle w:val="Refdenotaalpie"/>
          <w:spacing w:val="-4"/>
          <w:sz w:val="20"/>
          <w:szCs w:val="20"/>
          <w:lang w:val="es-CR"/>
        </w:rPr>
        <w:footnoteReference w:id="27"/>
      </w:r>
      <w:r w:rsidR="004E36EF" w:rsidRPr="00AF418E">
        <w:rPr>
          <w:rFonts w:ascii="Verdana" w:hAnsi="Verdana"/>
          <w:spacing w:val="-4"/>
          <w:sz w:val="20"/>
          <w:szCs w:val="20"/>
          <w:lang w:val="es-CR"/>
        </w:rPr>
        <w:t>.</w:t>
      </w:r>
    </w:p>
    <w:p w14:paraId="58557B01" w14:textId="77777777" w:rsidR="004C76AE" w:rsidRPr="00C2549C" w:rsidRDefault="004C76AE" w:rsidP="004C76AE">
      <w:pPr>
        <w:autoSpaceDE w:val="0"/>
        <w:autoSpaceDN w:val="0"/>
        <w:adjustRightInd w:val="0"/>
        <w:jc w:val="both"/>
        <w:rPr>
          <w:rFonts w:ascii="Verdana" w:hAnsi="Verdana"/>
          <w:spacing w:val="-4"/>
          <w:sz w:val="20"/>
          <w:szCs w:val="20"/>
          <w:lang w:val="es-CR"/>
        </w:rPr>
      </w:pPr>
    </w:p>
    <w:p w14:paraId="4C94D34C" w14:textId="77777777" w:rsidR="0099049A" w:rsidRDefault="002156E1" w:rsidP="0099049A">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bookmarkStart w:id="7" w:name="_Ref46158432"/>
      <w:r w:rsidRPr="00C2549C">
        <w:rPr>
          <w:rFonts w:ascii="Verdana" w:hAnsi="Verdana"/>
          <w:spacing w:val="-4"/>
          <w:sz w:val="20"/>
          <w:szCs w:val="20"/>
          <w:lang w:val="es-CR"/>
        </w:rPr>
        <w:t xml:space="preserve">Asimismo, el Tribunal observa que los propuestos beneficiarios presentaron diversas demandas de hábeas corpus ante los tribunales peruanos, las cuales fueron resueltas de forma tal que, independientemente de </w:t>
      </w:r>
      <w:r w:rsidR="00592805" w:rsidRPr="00C2549C">
        <w:rPr>
          <w:rFonts w:ascii="Verdana" w:hAnsi="Verdana"/>
          <w:spacing w:val="-4"/>
          <w:sz w:val="20"/>
          <w:szCs w:val="20"/>
          <w:lang w:val="es-CR"/>
        </w:rPr>
        <w:t xml:space="preserve">que inicialmente fueran rechazadas </w:t>
      </w:r>
      <w:r w:rsidR="00592805" w:rsidRPr="00C2549C">
        <w:rPr>
          <w:rFonts w:ascii="Verdana" w:hAnsi="Verdana"/>
          <w:i/>
          <w:spacing w:val="-4"/>
          <w:sz w:val="20"/>
          <w:szCs w:val="20"/>
          <w:lang w:val="es-CR"/>
        </w:rPr>
        <w:t>in limine</w:t>
      </w:r>
      <w:r w:rsidR="00981601">
        <w:rPr>
          <w:rFonts w:ascii="Verdana" w:hAnsi="Verdana"/>
          <w:i/>
          <w:spacing w:val="-4"/>
          <w:sz w:val="20"/>
          <w:szCs w:val="20"/>
          <w:lang w:val="es-CR"/>
        </w:rPr>
        <w:t xml:space="preserve"> </w:t>
      </w:r>
      <w:r w:rsidR="00981601" w:rsidRPr="00642D9C">
        <w:rPr>
          <w:rFonts w:ascii="Verdana" w:hAnsi="Verdana"/>
          <w:iCs/>
          <w:spacing w:val="-4"/>
          <w:sz w:val="20"/>
          <w:szCs w:val="20"/>
          <w:lang w:val="es-CR"/>
        </w:rPr>
        <w:t>en cuanto a las peticiones principales (</w:t>
      </w:r>
      <w:r w:rsidR="00981601" w:rsidRPr="00642D9C">
        <w:rPr>
          <w:rFonts w:ascii="Verdana" w:hAnsi="Verdana"/>
          <w:i/>
          <w:spacing w:val="-4"/>
          <w:sz w:val="20"/>
          <w:szCs w:val="20"/>
          <w:lang w:val="es-CR"/>
        </w:rPr>
        <w:t>supra</w:t>
      </w:r>
      <w:r w:rsidR="00981601" w:rsidRPr="00642D9C">
        <w:rPr>
          <w:rFonts w:ascii="Verdana" w:hAnsi="Verdana"/>
          <w:iCs/>
          <w:spacing w:val="-4"/>
          <w:sz w:val="20"/>
          <w:szCs w:val="20"/>
          <w:lang w:val="es-CR"/>
        </w:rPr>
        <w:t xml:space="preserve"> Considerando 7)</w:t>
      </w:r>
      <w:r w:rsidR="00592805" w:rsidRPr="00C2549C">
        <w:rPr>
          <w:rFonts w:ascii="Verdana" w:hAnsi="Verdana"/>
          <w:spacing w:val="-4"/>
          <w:sz w:val="20"/>
          <w:szCs w:val="20"/>
          <w:lang w:val="es-CR"/>
        </w:rPr>
        <w:t xml:space="preserve">, </w:t>
      </w:r>
      <w:r w:rsidRPr="00C2549C">
        <w:rPr>
          <w:rFonts w:ascii="Verdana" w:hAnsi="Verdana"/>
          <w:spacing w:val="-4"/>
          <w:sz w:val="20"/>
          <w:szCs w:val="20"/>
          <w:lang w:val="es-CR"/>
        </w:rPr>
        <w:t xml:space="preserve">respecto de tres de los </w:t>
      </w:r>
      <w:r w:rsidR="006C736D" w:rsidRPr="00C2549C">
        <w:rPr>
          <w:rFonts w:ascii="Verdana" w:hAnsi="Verdana"/>
          <w:spacing w:val="-4"/>
          <w:sz w:val="20"/>
          <w:szCs w:val="20"/>
          <w:lang w:val="es-CR"/>
        </w:rPr>
        <w:t>cinco</w:t>
      </w:r>
      <w:r w:rsidRPr="00C2549C">
        <w:rPr>
          <w:rFonts w:ascii="Verdana" w:hAnsi="Verdana"/>
          <w:spacing w:val="-4"/>
          <w:sz w:val="20"/>
          <w:szCs w:val="20"/>
          <w:lang w:val="es-CR"/>
        </w:rPr>
        <w:t xml:space="preserve"> propuestos beneficiarios, los tribunales exhortaron al Instituto Nacional Penitenciario y a las autoridades del establecimiento penal en que se encuentran recluidos a brindar información sobre el estado de salud, condiciones de detención y/o atención médica recibida.</w:t>
      </w:r>
      <w:bookmarkEnd w:id="7"/>
    </w:p>
    <w:p w14:paraId="047AFA2E" w14:textId="77777777" w:rsidR="0099049A" w:rsidRPr="0099049A" w:rsidRDefault="0099049A" w:rsidP="0099049A">
      <w:pPr>
        <w:pStyle w:val="Prrafodelista"/>
        <w:rPr>
          <w:rFonts w:ascii="Verdana" w:hAnsi="Verdana"/>
          <w:spacing w:val="-4"/>
          <w:sz w:val="20"/>
          <w:szCs w:val="20"/>
          <w:lang w:val="es-CR"/>
        </w:rPr>
      </w:pPr>
    </w:p>
    <w:p w14:paraId="79794DA6" w14:textId="2D16753C" w:rsidR="00650B3C" w:rsidRDefault="0099049A" w:rsidP="00650B3C">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99049A">
        <w:rPr>
          <w:rFonts w:ascii="Verdana" w:hAnsi="Verdana"/>
          <w:spacing w:val="-4"/>
          <w:sz w:val="20"/>
          <w:szCs w:val="20"/>
          <w:lang w:val="es-CR"/>
        </w:rPr>
        <w:t>En cuanto a la atención médica, luego de que los intervinientes comunes presentaran la solicitud de medidas provisionales, así como diversos recursos de hábeas corpus, (</w:t>
      </w:r>
      <w:r w:rsidRPr="0099049A">
        <w:rPr>
          <w:rFonts w:ascii="Verdana" w:hAnsi="Verdana"/>
          <w:i/>
          <w:spacing w:val="-4"/>
          <w:sz w:val="20"/>
          <w:szCs w:val="20"/>
          <w:lang w:val="es-CR"/>
        </w:rPr>
        <w:t xml:space="preserve">supra </w:t>
      </w:r>
      <w:r w:rsidRPr="0099049A">
        <w:rPr>
          <w:rFonts w:ascii="Verdana" w:hAnsi="Verdana"/>
          <w:spacing w:val="-4"/>
          <w:sz w:val="20"/>
          <w:szCs w:val="20"/>
          <w:lang w:val="es-CR"/>
        </w:rPr>
        <w:t xml:space="preserve">Considerandos 6 y </w:t>
      </w:r>
      <w:r w:rsidRPr="0099049A">
        <w:rPr>
          <w:rFonts w:ascii="Verdana" w:hAnsi="Verdana"/>
          <w:spacing w:val="-4"/>
          <w:sz w:val="20"/>
          <w:szCs w:val="20"/>
          <w:lang w:val="es-CR"/>
        </w:rPr>
        <w:fldChar w:fldCharType="begin"/>
      </w:r>
      <w:r w:rsidRPr="0099049A">
        <w:rPr>
          <w:rFonts w:ascii="Verdana" w:hAnsi="Verdana"/>
          <w:spacing w:val="-4"/>
          <w:sz w:val="20"/>
          <w:szCs w:val="20"/>
          <w:lang w:val="es-CR"/>
        </w:rPr>
        <w:instrText xml:space="preserve"> REF _Ref46241727 \r \h  \* MERGEFORMAT </w:instrText>
      </w:r>
      <w:r w:rsidRPr="0099049A">
        <w:rPr>
          <w:rFonts w:ascii="Verdana" w:hAnsi="Verdana"/>
          <w:spacing w:val="-4"/>
          <w:sz w:val="20"/>
          <w:szCs w:val="20"/>
          <w:lang w:val="es-CR"/>
        </w:rPr>
      </w:r>
      <w:r w:rsidRPr="0099049A">
        <w:rPr>
          <w:rFonts w:ascii="Verdana" w:hAnsi="Verdana"/>
          <w:spacing w:val="-4"/>
          <w:sz w:val="20"/>
          <w:szCs w:val="20"/>
          <w:lang w:val="es-CR"/>
        </w:rPr>
        <w:fldChar w:fldCharType="separate"/>
      </w:r>
      <w:r w:rsidRPr="0099049A">
        <w:rPr>
          <w:rFonts w:ascii="Verdana" w:hAnsi="Verdana"/>
          <w:spacing w:val="-4"/>
          <w:sz w:val="20"/>
          <w:szCs w:val="20"/>
          <w:lang w:val="es-CR"/>
        </w:rPr>
        <w:t>7</w:t>
      </w:r>
      <w:r w:rsidRPr="0099049A">
        <w:rPr>
          <w:rFonts w:ascii="Verdana" w:hAnsi="Verdana"/>
          <w:spacing w:val="-4"/>
          <w:sz w:val="20"/>
          <w:szCs w:val="20"/>
          <w:lang w:val="es-CR"/>
        </w:rPr>
        <w:fldChar w:fldCharType="end"/>
      </w:r>
      <w:r w:rsidRPr="0099049A">
        <w:rPr>
          <w:rFonts w:ascii="Verdana" w:hAnsi="Verdana"/>
          <w:spacing w:val="-4"/>
          <w:sz w:val="20"/>
          <w:szCs w:val="20"/>
          <w:lang w:val="es-CR"/>
        </w:rPr>
        <w:t xml:space="preserve">), el Perú procedió a realizarles diversos exámenes médicos, cuyos hallazgos están recogidos en los informes y constancias médicas que presentó ante este Tribunal </w:t>
      </w:r>
      <w:r w:rsidR="004C76AE" w:rsidRPr="0099049A">
        <w:rPr>
          <w:rFonts w:ascii="Verdana" w:hAnsi="Verdana"/>
          <w:spacing w:val="-4"/>
          <w:sz w:val="20"/>
          <w:szCs w:val="20"/>
          <w:lang w:val="es-CR"/>
        </w:rPr>
        <w:t>(</w:t>
      </w:r>
      <w:r w:rsidR="004C76AE" w:rsidRPr="0099049A">
        <w:rPr>
          <w:rFonts w:ascii="Verdana" w:hAnsi="Verdana"/>
          <w:i/>
          <w:spacing w:val="-4"/>
          <w:sz w:val="20"/>
          <w:szCs w:val="20"/>
          <w:lang w:val="es-CR"/>
        </w:rPr>
        <w:t xml:space="preserve">supra </w:t>
      </w:r>
      <w:r w:rsidR="004C76AE" w:rsidRPr="0099049A">
        <w:rPr>
          <w:rFonts w:ascii="Verdana" w:hAnsi="Verdana"/>
          <w:spacing w:val="-4"/>
          <w:sz w:val="20"/>
          <w:szCs w:val="20"/>
          <w:lang w:val="es-CR"/>
        </w:rPr>
        <w:t xml:space="preserve">Considerando </w:t>
      </w:r>
      <w:r w:rsidR="001A7A68" w:rsidRPr="0099049A">
        <w:rPr>
          <w:rFonts w:ascii="Verdana" w:hAnsi="Verdana"/>
          <w:spacing w:val="-4"/>
          <w:sz w:val="20"/>
          <w:szCs w:val="20"/>
          <w:lang w:val="es-CR"/>
        </w:rPr>
        <w:fldChar w:fldCharType="begin"/>
      </w:r>
      <w:r w:rsidR="001A7A68" w:rsidRPr="0099049A">
        <w:rPr>
          <w:rFonts w:ascii="Verdana" w:hAnsi="Verdana"/>
          <w:spacing w:val="-4"/>
          <w:sz w:val="20"/>
          <w:szCs w:val="20"/>
          <w:lang w:val="es-CR"/>
        </w:rPr>
        <w:instrText xml:space="preserve"> REF _Ref46180975 \r \h </w:instrText>
      </w:r>
      <w:r w:rsidR="00C2549C" w:rsidRPr="0099049A">
        <w:rPr>
          <w:rFonts w:ascii="Verdana" w:hAnsi="Verdana"/>
          <w:spacing w:val="-4"/>
          <w:sz w:val="20"/>
          <w:szCs w:val="20"/>
          <w:lang w:val="es-CR"/>
        </w:rPr>
        <w:instrText xml:space="preserve"> \* MERGEFORMAT </w:instrText>
      </w:r>
      <w:r w:rsidR="001A7A68" w:rsidRPr="0099049A">
        <w:rPr>
          <w:rFonts w:ascii="Verdana" w:hAnsi="Verdana"/>
          <w:spacing w:val="-4"/>
          <w:sz w:val="20"/>
          <w:szCs w:val="20"/>
          <w:lang w:val="es-CR"/>
        </w:rPr>
      </w:r>
      <w:r w:rsidR="001A7A68" w:rsidRPr="0099049A">
        <w:rPr>
          <w:rFonts w:ascii="Verdana" w:hAnsi="Verdana"/>
          <w:spacing w:val="-4"/>
          <w:sz w:val="20"/>
          <w:szCs w:val="20"/>
          <w:lang w:val="es-CR"/>
        </w:rPr>
        <w:fldChar w:fldCharType="separate"/>
      </w:r>
      <w:r w:rsidR="00337FEC" w:rsidRPr="0099049A">
        <w:rPr>
          <w:rFonts w:ascii="Verdana" w:hAnsi="Verdana"/>
          <w:spacing w:val="-4"/>
          <w:sz w:val="20"/>
          <w:szCs w:val="20"/>
          <w:lang w:val="es-CR"/>
        </w:rPr>
        <w:t>11</w:t>
      </w:r>
      <w:r w:rsidR="001A7A68" w:rsidRPr="0099049A">
        <w:rPr>
          <w:rFonts w:ascii="Verdana" w:hAnsi="Verdana"/>
          <w:spacing w:val="-4"/>
          <w:sz w:val="20"/>
          <w:szCs w:val="20"/>
          <w:lang w:val="es-CR"/>
        </w:rPr>
        <w:fldChar w:fldCharType="end"/>
      </w:r>
      <w:r w:rsidR="004C76AE" w:rsidRPr="0099049A">
        <w:rPr>
          <w:rFonts w:ascii="Verdana" w:hAnsi="Verdana"/>
          <w:spacing w:val="-4"/>
          <w:sz w:val="20"/>
          <w:szCs w:val="20"/>
          <w:lang w:val="es-CR"/>
        </w:rPr>
        <w:t xml:space="preserve">). </w:t>
      </w:r>
      <w:r w:rsidRPr="0099049A">
        <w:rPr>
          <w:rFonts w:ascii="Verdana" w:hAnsi="Verdana"/>
          <w:spacing w:val="-4"/>
          <w:sz w:val="20"/>
          <w:szCs w:val="20"/>
          <w:lang w:val="es-CR"/>
        </w:rPr>
        <w:t>Con base en dichos informes, el Estado precisó que los cinco propuestos beneficiarios estaban estables</w:t>
      </w:r>
      <w:r w:rsidRPr="002C0FC0">
        <w:rPr>
          <w:rStyle w:val="Refdenotaalpie"/>
          <w:spacing w:val="-4"/>
          <w:sz w:val="20"/>
          <w:szCs w:val="20"/>
          <w:lang w:val="es-CR"/>
        </w:rPr>
        <w:footnoteReference w:id="28"/>
      </w:r>
      <w:r w:rsidRPr="0099049A">
        <w:rPr>
          <w:rFonts w:ascii="Verdana" w:hAnsi="Verdana"/>
          <w:spacing w:val="-4"/>
          <w:sz w:val="20"/>
          <w:szCs w:val="20"/>
          <w:lang w:val="es-CR"/>
        </w:rPr>
        <w:t xml:space="preserve"> y </w:t>
      </w:r>
      <w:r w:rsidRPr="0099049A">
        <w:rPr>
          <w:rFonts w:ascii="Verdana" w:hAnsi="Verdana"/>
          <w:spacing w:val="-4"/>
          <w:sz w:val="20"/>
          <w:szCs w:val="20"/>
          <w:lang w:val="es-CR"/>
        </w:rPr>
        <w:lastRenderedPageBreak/>
        <w:t xml:space="preserve">recibiendo el tratamiento necesario de acuerdo con sus afecciones particulares, tanto con relación a la presencia de COVID-19, respecto de aquellos casos cuyas pruebas de descarte arrojaron resultado positivo, como por otro tipo de afecciones, tratamiento que se encuentra detallado en los referidos informes y constancias médicas. Sin embargo, los intervinientes comunes objetaron que no estaban recibiendo el tratamiento adecuado, y señalaron que, en dos casos, los familiares de los propuestos beneficiarios habían tenido que suministrarles la medicación o los alimentos necesarios, según sus afecciones de salud, lo cual se dificultaba a raíz de las restricciones impuestas en este sentido por parte de los diferentes establecimientos penitenciarios y del Instituto Nacional Penitenciario, como parte de las medidas adoptadas para evitar el contagio del COVID-19 en dichos establecimientos. </w:t>
      </w:r>
    </w:p>
    <w:p w14:paraId="519C5B08" w14:textId="77777777" w:rsidR="00650B3C" w:rsidRDefault="00650B3C" w:rsidP="00650B3C">
      <w:pPr>
        <w:pStyle w:val="Prrafodelista"/>
        <w:autoSpaceDE w:val="0"/>
        <w:autoSpaceDN w:val="0"/>
        <w:adjustRightInd w:val="0"/>
        <w:spacing w:after="0" w:line="240" w:lineRule="auto"/>
        <w:ind w:left="0"/>
        <w:jc w:val="both"/>
        <w:rPr>
          <w:rFonts w:ascii="Verdana" w:hAnsi="Verdana"/>
          <w:spacing w:val="-4"/>
          <w:sz w:val="20"/>
          <w:szCs w:val="20"/>
          <w:lang w:val="es-CR"/>
        </w:rPr>
      </w:pPr>
    </w:p>
    <w:p w14:paraId="178E8D7B" w14:textId="77777777" w:rsidR="005C2A9F" w:rsidRDefault="00650B3C" w:rsidP="005C2A9F">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650B3C">
        <w:rPr>
          <w:rFonts w:ascii="Verdana" w:hAnsi="Verdana"/>
          <w:spacing w:val="-4"/>
          <w:sz w:val="20"/>
          <w:szCs w:val="20"/>
          <w:lang w:val="es-CR"/>
        </w:rPr>
        <w:t xml:space="preserve">Si bien este Tribunal reconoce y valora positivamente que, a partir de la presentación de la solicitud de medidas provisionales, el Perú efectuó pruebas de diagnóstico del COVID-19 a los propuestos beneficiarios y les ha brindado tratamiento y ha realizado exámenes médicos, no es posible ignorar la extrema gravedad que representa el hecho de que dos de esas cinco personas con condiciones de riesgo de mayores complicaciones frente al COVID-19 se encuentren contagiadas; una tercera también lo estaría, según lo refieren los intervinientes comunes, y las dos restantes podrían estarlo, si se toma en cuenta que refieren presentar sintomatología compatible con el virus, así como el posible margen de error de la única prueba que se les realizó. Por ello, teniendo en cuenta la complejidad sin precedentes que la pandemia del COVID-19 presenta y las graves afectaciones que a corto, mediano y largo plazo que éste puede producir a la salud, así como la pertenencia de los propuestos beneficiarios a grupos de riesgo, la Corte concluye que se verifica el requisito de extrema gravedad. </w:t>
      </w:r>
    </w:p>
    <w:p w14:paraId="52D66BCB" w14:textId="77777777" w:rsidR="005C2A9F" w:rsidRPr="005C2A9F" w:rsidRDefault="005C2A9F" w:rsidP="005C2A9F">
      <w:pPr>
        <w:pStyle w:val="Prrafodelista"/>
        <w:rPr>
          <w:rFonts w:ascii="Verdana" w:hAnsi="Verdana"/>
          <w:spacing w:val="-4"/>
          <w:sz w:val="20"/>
          <w:szCs w:val="20"/>
          <w:lang w:val="es-CR"/>
        </w:rPr>
      </w:pPr>
    </w:p>
    <w:p w14:paraId="30756403" w14:textId="228A8967" w:rsidR="00946A06" w:rsidRPr="00946A06" w:rsidRDefault="005C2A9F" w:rsidP="00946A06">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5C2A9F">
        <w:rPr>
          <w:rFonts w:ascii="Verdana" w:hAnsi="Verdana"/>
          <w:spacing w:val="-4"/>
          <w:sz w:val="20"/>
          <w:szCs w:val="20"/>
          <w:lang w:val="es-CR"/>
        </w:rPr>
        <w:t>En cuanto a la urgencia, es necesario hacer referencia al contexto en todos los establecimientos penitenciarios del Perú, así como específicamente en los tres centros en los cuales se encuentran los propuestos beneficiarios. En efecto, la Corte observa que la Defensoría del Pueblo ha remarcado que, pese a los esfuerzos y acciones emprendidas por el Estado a través de diversos organismos</w:t>
      </w:r>
      <w:r w:rsidRPr="005C2A9F">
        <w:rPr>
          <w:rStyle w:val="Refdenotaalpie"/>
          <w:spacing w:val="-4"/>
          <w:sz w:val="20"/>
          <w:szCs w:val="20"/>
          <w:lang w:val="es-CR"/>
        </w:rPr>
        <w:footnoteReference w:id="29"/>
      </w:r>
      <w:r w:rsidRPr="005C2A9F">
        <w:rPr>
          <w:rFonts w:ascii="Verdana" w:hAnsi="Verdana"/>
          <w:spacing w:val="-4"/>
          <w:sz w:val="20"/>
          <w:szCs w:val="20"/>
          <w:lang w:val="es-CR"/>
        </w:rPr>
        <w:t>,</w:t>
      </w:r>
      <w:r w:rsidRPr="005C2A9F">
        <w:rPr>
          <w:rFonts w:ascii="Verdana" w:hAnsi="Verdana"/>
          <w:b/>
          <w:bCs/>
          <w:spacing w:val="-4"/>
          <w:sz w:val="20"/>
          <w:szCs w:val="20"/>
          <w:lang w:val="es-CR"/>
        </w:rPr>
        <w:t xml:space="preserve"> </w:t>
      </w:r>
      <w:r w:rsidRPr="005C2A9F">
        <w:rPr>
          <w:rFonts w:ascii="Verdana" w:hAnsi="Verdana"/>
          <w:spacing w:val="-4"/>
          <w:sz w:val="20"/>
          <w:szCs w:val="20"/>
          <w:lang w:val="es-CR"/>
        </w:rPr>
        <w:t>existe un “brote masivo del COVID-19 en las cárceles a nivel nacional”, que ha tenido como consecuencia el “cobro de vidas de internos y agentes penitenciarios”</w:t>
      </w:r>
      <w:r w:rsidRPr="005C2A9F">
        <w:rPr>
          <w:rStyle w:val="Refdenotaalpie"/>
          <w:spacing w:val="-4"/>
          <w:sz w:val="20"/>
          <w:szCs w:val="20"/>
          <w:lang w:val="es-CR"/>
        </w:rPr>
        <w:footnoteReference w:id="30"/>
      </w:r>
      <w:r w:rsidRPr="005C2A9F">
        <w:rPr>
          <w:rFonts w:ascii="Verdana" w:hAnsi="Verdana"/>
          <w:spacing w:val="-4"/>
          <w:sz w:val="20"/>
          <w:szCs w:val="20"/>
          <w:lang w:val="es-CR"/>
        </w:rPr>
        <w:t>. En este sentido, la información científica disponible demuestra que, una vez que el virus ingresa a los establecimientos penitenciarios, el índice de propagación es varias veces mayor que fuera de los mismos (</w:t>
      </w:r>
      <w:r w:rsidRPr="005C2A9F">
        <w:rPr>
          <w:rFonts w:ascii="Verdana" w:hAnsi="Verdana"/>
          <w:i/>
          <w:spacing w:val="-4"/>
          <w:sz w:val="20"/>
          <w:szCs w:val="20"/>
          <w:lang w:val="es-CR"/>
        </w:rPr>
        <w:t xml:space="preserve">supra </w:t>
      </w:r>
      <w:r w:rsidRPr="005C2A9F">
        <w:rPr>
          <w:rFonts w:ascii="Verdana" w:hAnsi="Verdana"/>
          <w:spacing w:val="-4"/>
          <w:sz w:val="20"/>
          <w:szCs w:val="20"/>
          <w:lang w:val="es-CR"/>
        </w:rPr>
        <w:t xml:space="preserve">Considerando 25). Esto podría generar que los servicios de salud disponibles dentro de los establecimientos escaseen, en virtud de la demanda sin precedentes que se presenta. El requisito de urgencia se configura, por lo tanto, en la necesidad de asegurar que los propuestos beneficiarios, todos ellos personas de riesgo, de los cuales al menos dos ya han sido contagiados, una tercera también lo estaría, según refieren los intervinientes comunes, y otros dos podrían estarlo, reciban o continúen recibiendo la atención médica y seguimiento necesario para combatir los efectos a corto, mediano y largo plazo de dicha enfermedad. Asimismo, esta Corte considera que la urgencia del caso se ve exacerbada por el hecho de que, a </w:t>
      </w:r>
      <w:r w:rsidRPr="005C2A9F">
        <w:rPr>
          <w:rFonts w:ascii="Verdana" w:hAnsi="Verdana"/>
          <w:spacing w:val="-4"/>
          <w:sz w:val="20"/>
          <w:szCs w:val="20"/>
          <w:lang w:val="es-AR"/>
        </w:rPr>
        <w:t xml:space="preserve">casi 14 años desde la emisión de la Sentencia del presente caso, Perú no ha presentado información </w:t>
      </w:r>
      <w:r w:rsidRPr="005C2A9F">
        <w:rPr>
          <w:rFonts w:ascii="Verdana" w:hAnsi="Verdana"/>
          <w:spacing w:val="-4"/>
          <w:sz w:val="20"/>
          <w:szCs w:val="20"/>
          <w:lang w:val="es-CR"/>
        </w:rPr>
        <w:t xml:space="preserve">en el marco del proceso de supervisión de cumplimiento </w:t>
      </w:r>
      <w:r w:rsidRPr="005C2A9F">
        <w:rPr>
          <w:rFonts w:ascii="Verdana" w:hAnsi="Verdana"/>
          <w:spacing w:val="-4"/>
          <w:sz w:val="20"/>
          <w:szCs w:val="20"/>
          <w:lang w:val="es-AR"/>
        </w:rPr>
        <w:t xml:space="preserve">que permita valorar algún avance significativo en la implementación de la presente medida de reparación, ni tampoco ha brindado la información requerida en la Resolución de 2014, es decir, hace 6 años. En el contexto actual en que todos los países del mundo están atravesando dificultades sin precedentes en materia sanitaria a raíz de la pandemia del COVID-19, resulta </w:t>
      </w:r>
      <w:r w:rsidRPr="005C2A9F">
        <w:rPr>
          <w:rFonts w:ascii="Verdana" w:hAnsi="Verdana"/>
          <w:spacing w:val="-4"/>
          <w:sz w:val="20"/>
          <w:szCs w:val="20"/>
          <w:lang w:val="es-AR"/>
        </w:rPr>
        <w:lastRenderedPageBreak/>
        <w:t xml:space="preserve">imperativo que el Estado presente información actualizada y detallada sobre el cumplimiento de esta medida. </w:t>
      </w:r>
    </w:p>
    <w:p w14:paraId="37C604BE" w14:textId="63F20A1D" w:rsidR="00946A06" w:rsidRDefault="00946A06" w:rsidP="00946A06">
      <w:pPr>
        <w:pStyle w:val="Prrafodelista"/>
        <w:autoSpaceDE w:val="0"/>
        <w:autoSpaceDN w:val="0"/>
        <w:adjustRightInd w:val="0"/>
        <w:spacing w:after="0" w:line="240" w:lineRule="auto"/>
        <w:ind w:left="0"/>
        <w:jc w:val="both"/>
        <w:rPr>
          <w:rFonts w:ascii="Verdana" w:hAnsi="Verdana"/>
          <w:spacing w:val="-4"/>
          <w:sz w:val="20"/>
          <w:szCs w:val="20"/>
          <w:lang w:val="es-CR"/>
        </w:rPr>
      </w:pPr>
    </w:p>
    <w:p w14:paraId="577AF591" w14:textId="77777777" w:rsidR="0088492D" w:rsidRPr="00946A06" w:rsidRDefault="0088492D" w:rsidP="00946A06">
      <w:pPr>
        <w:pStyle w:val="Prrafodelista"/>
        <w:autoSpaceDE w:val="0"/>
        <w:autoSpaceDN w:val="0"/>
        <w:adjustRightInd w:val="0"/>
        <w:spacing w:after="0" w:line="240" w:lineRule="auto"/>
        <w:ind w:left="0"/>
        <w:jc w:val="both"/>
        <w:rPr>
          <w:rFonts w:ascii="Verdana" w:hAnsi="Verdana"/>
          <w:spacing w:val="-4"/>
          <w:sz w:val="20"/>
          <w:szCs w:val="20"/>
          <w:lang w:val="es-CR"/>
        </w:rPr>
      </w:pPr>
    </w:p>
    <w:p w14:paraId="038751F1" w14:textId="486A48BD" w:rsidR="00946A06" w:rsidRPr="00946A06" w:rsidRDefault="00946A06" w:rsidP="00946A06">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r w:rsidRPr="00946A06">
        <w:rPr>
          <w:rFonts w:ascii="Verdana" w:hAnsi="Verdana"/>
          <w:spacing w:val="-4"/>
          <w:sz w:val="20"/>
          <w:szCs w:val="20"/>
          <w:lang w:val="es-CR"/>
        </w:rPr>
        <w:t xml:space="preserve">Finalmente, el requisito de </w:t>
      </w:r>
      <w:proofErr w:type="spellStart"/>
      <w:r w:rsidRPr="00946A06">
        <w:rPr>
          <w:rFonts w:ascii="Verdana" w:hAnsi="Verdana"/>
          <w:spacing w:val="-4"/>
          <w:sz w:val="20"/>
          <w:szCs w:val="20"/>
          <w:lang w:val="es-CR"/>
        </w:rPr>
        <w:t>irreparabilidad</w:t>
      </w:r>
      <w:proofErr w:type="spellEnd"/>
      <w:r w:rsidRPr="00946A06">
        <w:rPr>
          <w:rFonts w:ascii="Verdana" w:hAnsi="Verdana"/>
          <w:spacing w:val="-4"/>
          <w:sz w:val="20"/>
          <w:szCs w:val="20"/>
          <w:lang w:val="es-CR"/>
        </w:rPr>
        <w:t xml:space="preserve"> del daño se cumple debido a la complejidad del virus COVID-19, del cual están contagiados al menos dos de los propuestos beneficiarios a lo que se suma que una tercera también lo estaría, mientras que otros dos podrían estarlo, así como por la grave afectación que dicha enfermedad puede producir a la vida, la salud y la integridad de los propuestos beneficiarios, máxime cuando se trata de personas en especial situación de riesgo de sufrir complicaciones en caso de contagio. </w:t>
      </w:r>
    </w:p>
    <w:p w14:paraId="3D88650C" w14:textId="77777777" w:rsidR="00005DB1" w:rsidRPr="00C2549C" w:rsidRDefault="00005DB1" w:rsidP="00D0671D">
      <w:pPr>
        <w:autoSpaceDE w:val="0"/>
        <w:autoSpaceDN w:val="0"/>
        <w:adjustRightInd w:val="0"/>
        <w:jc w:val="both"/>
        <w:rPr>
          <w:rFonts w:ascii="Verdana" w:hAnsi="Verdana"/>
          <w:spacing w:val="-4"/>
          <w:sz w:val="20"/>
          <w:szCs w:val="20"/>
          <w:lang w:val="es-CR"/>
        </w:rPr>
      </w:pPr>
    </w:p>
    <w:p w14:paraId="35A3E5FA" w14:textId="6D7EADF6" w:rsidR="0000254C" w:rsidRPr="00C2549C" w:rsidRDefault="00176C0A" w:rsidP="00C2549C">
      <w:pPr>
        <w:pStyle w:val="Prrafodelista"/>
        <w:numPr>
          <w:ilvl w:val="0"/>
          <w:numId w:val="24"/>
        </w:numPr>
        <w:autoSpaceDE w:val="0"/>
        <w:autoSpaceDN w:val="0"/>
        <w:adjustRightInd w:val="0"/>
        <w:spacing w:after="0" w:line="240" w:lineRule="auto"/>
        <w:ind w:left="0" w:firstLine="0"/>
        <w:jc w:val="both"/>
        <w:rPr>
          <w:rFonts w:ascii="Verdana" w:hAnsi="Verdana"/>
          <w:spacing w:val="-4"/>
          <w:sz w:val="20"/>
          <w:szCs w:val="20"/>
          <w:lang w:val="es-CR"/>
        </w:rPr>
      </w:pPr>
      <w:bookmarkStart w:id="8" w:name="_Ref46241248"/>
      <w:r w:rsidRPr="00C2549C">
        <w:rPr>
          <w:rFonts w:ascii="Verdana" w:hAnsi="Verdana"/>
          <w:spacing w:val="-4"/>
          <w:sz w:val="20"/>
          <w:szCs w:val="20"/>
          <w:lang w:val="es-AR"/>
        </w:rPr>
        <w:t>Este Tribunal observa</w:t>
      </w:r>
      <w:r w:rsidR="00CC62E8" w:rsidRPr="00C2549C">
        <w:rPr>
          <w:rFonts w:ascii="Verdana" w:hAnsi="Verdana"/>
          <w:spacing w:val="-4"/>
          <w:sz w:val="20"/>
          <w:szCs w:val="20"/>
          <w:lang w:val="es-AR"/>
        </w:rPr>
        <w:t xml:space="preserve">: (i) </w:t>
      </w:r>
      <w:r w:rsidRPr="00C2549C">
        <w:rPr>
          <w:rFonts w:ascii="Verdana" w:hAnsi="Verdana"/>
          <w:spacing w:val="-4"/>
          <w:sz w:val="20"/>
          <w:szCs w:val="20"/>
          <w:lang w:val="es-AR"/>
        </w:rPr>
        <w:t xml:space="preserve">que </w:t>
      </w:r>
      <w:r w:rsidR="00CC62E8" w:rsidRPr="00C2549C">
        <w:rPr>
          <w:rFonts w:ascii="Verdana" w:hAnsi="Verdana"/>
          <w:spacing w:val="-4"/>
          <w:sz w:val="20"/>
          <w:szCs w:val="20"/>
          <w:lang w:val="es-AR"/>
        </w:rPr>
        <w:t xml:space="preserve">Perú tiene una especial posición de garante de los derechos de los propuestos beneficiarios, quienes se encuentran bajo su custodia en </w:t>
      </w:r>
      <w:r w:rsidR="00C743AE" w:rsidRPr="00C2549C">
        <w:rPr>
          <w:rFonts w:ascii="Verdana" w:hAnsi="Verdana"/>
          <w:spacing w:val="-4"/>
          <w:sz w:val="20"/>
          <w:szCs w:val="20"/>
          <w:lang w:val="es-AR"/>
        </w:rPr>
        <w:t xml:space="preserve">tres </w:t>
      </w:r>
      <w:r w:rsidR="00CC62E8" w:rsidRPr="00C2549C">
        <w:rPr>
          <w:rFonts w:ascii="Verdana" w:hAnsi="Verdana"/>
          <w:spacing w:val="-4"/>
          <w:sz w:val="20"/>
          <w:szCs w:val="20"/>
          <w:lang w:val="es-AR"/>
        </w:rPr>
        <w:t xml:space="preserve">distintos establecimientos </w:t>
      </w:r>
      <w:r w:rsidR="00C743AE" w:rsidRPr="00C2549C">
        <w:rPr>
          <w:rFonts w:ascii="Verdana" w:hAnsi="Verdana"/>
          <w:spacing w:val="-4"/>
          <w:sz w:val="20"/>
          <w:szCs w:val="20"/>
          <w:lang w:val="es-AR"/>
        </w:rPr>
        <w:t xml:space="preserve">penitenciarios </w:t>
      </w:r>
      <w:r w:rsidR="00CC62E8" w:rsidRPr="00C2549C">
        <w:rPr>
          <w:rFonts w:ascii="Verdana" w:hAnsi="Verdana"/>
          <w:spacing w:val="-4"/>
          <w:sz w:val="20"/>
          <w:szCs w:val="20"/>
          <w:lang w:val="es-AR"/>
        </w:rPr>
        <w:t>del país; (ii)</w:t>
      </w:r>
      <w:r w:rsidRPr="00C2549C">
        <w:rPr>
          <w:rFonts w:ascii="Verdana" w:hAnsi="Verdana"/>
          <w:spacing w:val="-4"/>
          <w:sz w:val="20"/>
          <w:szCs w:val="20"/>
          <w:lang w:val="es-AR"/>
        </w:rPr>
        <w:t xml:space="preserve"> </w:t>
      </w:r>
      <w:r w:rsidR="00CC62E8" w:rsidRPr="00C2549C">
        <w:rPr>
          <w:rFonts w:ascii="Verdana" w:hAnsi="Verdana"/>
          <w:spacing w:val="-4"/>
          <w:sz w:val="20"/>
          <w:szCs w:val="20"/>
          <w:lang w:val="es-AR"/>
        </w:rPr>
        <w:t xml:space="preserve">las afectaciones a corto, mediano y largo plazo que la enfermedad de COVID-19 puede generar a la salud de las personas, así como el riesgo de mortalidad en aquellos casos en que se presentan complicaciones; (iii) </w:t>
      </w:r>
      <w:r w:rsidRPr="00C2549C">
        <w:rPr>
          <w:rFonts w:ascii="Verdana" w:hAnsi="Verdana"/>
          <w:spacing w:val="-4"/>
          <w:sz w:val="20"/>
          <w:szCs w:val="20"/>
          <w:lang w:val="es-AR"/>
        </w:rPr>
        <w:t xml:space="preserve">que </w:t>
      </w:r>
      <w:r w:rsidR="00CC62E8" w:rsidRPr="00C2549C">
        <w:rPr>
          <w:rFonts w:ascii="Verdana" w:hAnsi="Verdana"/>
          <w:spacing w:val="-4"/>
          <w:sz w:val="20"/>
          <w:szCs w:val="20"/>
          <w:lang w:val="es-AR"/>
        </w:rPr>
        <w:t xml:space="preserve">los propuestos beneficiarios se enmarcan dentro de los grupos en con mayor riesgo de sufrir complicaciones en caso de contagio de COVID-19, dada </w:t>
      </w:r>
      <w:r w:rsidR="00CC62E8" w:rsidRPr="00C2549C">
        <w:rPr>
          <w:rFonts w:ascii="Verdana" w:hAnsi="Verdana"/>
          <w:spacing w:val="-4"/>
          <w:sz w:val="20"/>
          <w:szCs w:val="20"/>
          <w:lang w:val="es-CR"/>
        </w:rPr>
        <w:t>su edad, condiciones subyacentes de salud y condición de privación de libertad</w:t>
      </w:r>
      <w:r w:rsidRPr="00C2549C">
        <w:rPr>
          <w:rFonts w:ascii="Verdana" w:hAnsi="Verdana"/>
          <w:spacing w:val="-4"/>
          <w:sz w:val="20"/>
          <w:szCs w:val="20"/>
          <w:lang w:val="es-CR"/>
        </w:rPr>
        <w:t xml:space="preserve">, (iv) que </w:t>
      </w:r>
      <w:r w:rsidR="00CC62E8" w:rsidRPr="00C2549C">
        <w:rPr>
          <w:rFonts w:ascii="Verdana" w:hAnsi="Verdana"/>
          <w:spacing w:val="-4"/>
          <w:sz w:val="20"/>
          <w:szCs w:val="20"/>
          <w:lang w:val="es-CR"/>
        </w:rPr>
        <w:t xml:space="preserve">a partir de la presentación de la presente solicitud de medidas provisionales, Perú ha realizado pruebas de descarte a los propuestos beneficiarios y </w:t>
      </w:r>
      <w:r w:rsidR="00A30DC1" w:rsidRPr="00C2549C">
        <w:rPr>
          <w:rFonts w:ascii="Verdana" w:hAnsi="Verdana"/>
          <w:spacing w:val="-4"/>
          <w:sz w:val="20"/>
          <w:szCs w:val="20"/>
          <w:lang w:val="es-CR"/>
        </w:rPr>
        <w:t xml:space="preserve">(v) que se encuentra controvertida la adecuación del tratamiento médico suministrado, siendo esencial garantizar esta adecuación y su continuidad </w:t>
      </w:r>
      <w:r w:rsidR="00CC62E8" w:rsidRPr="00C2549C">
        <w:rPr>
          <w:rFonts w:ascii="Verdana" w:hAnsi="Verdana"/>
          <w:spacing w:val="-4"/>
          <w:sz w:val="20"/>
          <w:szCs w:val="20"/>
          <w:lang w:val="es-CR"/>
        </w:rPr>
        <w:t>para preservar la salud, integridad física y vida de los propuestos beneficiarios</w:t>
      </w:r>
      <w:r w:rsidRPr="00C2549C">
        <w:rPr>
          <w:rFonts w:ascii="Verdana" w:hAnsi="Verdana"/>
          <w:spacing w:val="-4"/>
          <w:sz w:val="20"/>
          <w:szCs w:val="20"/>
          <w:lang w:val="es-CR"/>
        </w:rPr>
        <w:t xml:space="preserve">. Por lo tanto, </w:t>
      </w:r>
      <w:r w:rsidR="00C420CB" w:rsidRPr="00C2549C">
        <w:rPr>
          <w:rFonts w:ascii="Verdana" w:hAnsi="Verdana"/>
          <w:spacing w:val="-4"/>
          <w:sz w:val="20"/>
          <w:szCs w:val="20"/>
          <w:lang w:val="es-CR"/>
        </w:rPr>
        <w:t>de co</w:t>
      </w:r>
      <w:r w:rsidR="00C974C2" w:rsidRPr="00C2549C">
        <w:rPr>
          <w:rFonts w:ascii="Verdana" w:hAnsi="Verdana"/>
          <w:spacing w:val="-4"/>
          <w:sz w:val="20"/>
          <w:szCs w:val="20"/>
          <w:lang w:val="es-CR"/>
        </w:rPr>
        <w:t>nformidad a lo señalado</w:t>
      </w:r>
      <w:r w:rsidR="00486FF1" w:rsidRPr="00C2549C">
        <w:rPr>
          <w:rFonts w:ascii="Verdana" w:hAnsi="Verdana"/>
          <w:spacing w:val="-4"/>
          <w:sz w:val="20"/>
          <w:szCs w:val="20"/>
          <w:lang w:val="es-CR"/>
        </w:rPr>
        <w:t xml:space="preserve">, </w:t>
      </w:r>
      <w:r w:rsidRPr="00C2549C">
        <w:rPr>
          <w:rFonts w:ascii="Verdana" w:hAnsi="Verdana"/>
          <w:spacing w:val="-4"/>
          <w:sz w:val="20"/>
          <w:szCs w:val="20"/>
          <w:lang w:val="es-CR"/>
        </w:rPr>
        <w:t>la Corte ordena al Estado</w:t>
      </w:r>
      <w:r w:rsidR="008E4045" w:rsidRPr="00C2549C">
        <w:rPr>
          <w:rFonts w:ascii="Verdana" w:hAnsi="Verdana"/>
          <w:spacing w:val="-4"/>
          <w:sz w:val="20"/>
          <w:szCs w:val="20"/>
          <w:lang w:val="es-CR"/>
        </w:rPr>
        <w:t>,</w:t>
      </w:r>
      <w:r w:rsidRPr="00C2549C">
        <w:rPr>
          <w:rFonts w:ascii="Verdana" w:hAnsi="Verdana"/>
          <w:spacing w:val="-4"/>
          <w:sz w:val="20"/>
          <w:szCs w:val="20"/>
          <w:lang w:val="es-CR"/>
        </w:rPr>
        <w:t xml:space="preserve"> adoptar las medidas necesarias</w:t>
      </w:r>
      <w:r w:rsidR="00486FF1" w:rsidRPr="00C2549C">
        <w:rPr>
          <w:rFonts w:ascii="Verdana" w:hAnsi="Verdana"/>
          <w:spacing w:val="-4"/>
          <w:sz w:val="20"/>
          <w:szCs w:val="20"/>
          <w:lang w:val="es-CR"/>
        </w:rPr>
        <w:t xml:space="preserve"> para que</w:t>
      </w:r>
      <w:r w:rsidRPr="00C2549C">
        <w:rPr>
          <w:rFonts w:ascii="Verdana" w:hAnsi="Verdana"/>
          <w:spacing w:val="-4"/>
          <w:sz w:val="20"/>
          <w:szCs w:val="20"/>
          <w:lang w:val="es-CR"/>
        </w:rPr>
        <w:t xml:space="preserve">, </w:t>
      </w:r>
      <w:r w:rsidR="008E4045" w:rsidRPr="0088492D">
        <w:rPr>
          <w:rFonts w:ascii="Verdana" w:hAnsi="Verdana"/>
          <w:spacing w:val="-4"/>
          <w:sz w:val="20"/>
          <w:szCs w:val="20"/>
          <w:lang w:val="es-CR"/>
        </w:rPr>
        <w:t xml:space="preserve">de manera temporal </w:t>
      </w:r>
      <w:r w:rsidR="00486FF1" w:rsidRPr="0088492D">
        <w:rPr>
          <w:rFonts w:ascii="Verdana" w:hAnsi="Verdana"/>
          <w:spacing w:val="-4"/>
          <w:sz w:val="20"/>
          <w:szCs w:val="20"/>
          <w:lang w:val="es-CR"/>
        </w:rPr>
        <w:t>se disponga el arresto o detención domiciliaria de los cinco beneficiarios,</w:t>
      </w:r>
      <w:r w:rsidR="00A85AEB" w:rsidRPr="0088492D">
        <w:rPr>
          <w:rFonts w:ascii="Verdana" w:hAnsi="Verdana"/>
          <w:spacing w:val="-4"/>
          <w:sz w:val="20"/>
          <w:szCs w:val="20"/>
          <w:lang w:val="es-CR"/>
        </w:rPr>
        <w:t xml:space="preserve"> </w:t>
      </w:r>
      <w:r w:rsidR="008E4045" w:rsidRPr="0088492D">
        <w:rPr>
          <w:rFonts w:ascii="Verdana" w:hAnsi="Verdana"/>
          <w:spacing w:val="-4"/>
          <w:sz w:val="20"/>
          <w:szCs w:val="20"/>
          <w:lang w:val="es-CR"/>
        </w:rPr>
        <w:t xml:space="preserve">sin que esto implique o se considere una sustitución o modificación de la pena o de su </w:t>
      </w:r>
      <w:r w:rsidR="00486FF1" w:rsidRPr="0088492D">
        <w:rPr>
          <w:rFonts w:ascii="Verdana" w:hAnsi="Verdana"/>
          <w:spacing w:val="-4"/>
          <w:sz w:val="20"/>
          <w:szCs w:val="20"/>
          <w:lang w:val="es-CR"/>
        </w:rPr>
        <w:t>forma de ejecución</w:t>
      </w:r>
      <w:r w:rsidR="008E4045" w:rsidRPr="0088492D">
        <w:rPr>
          <w:rFonts w:ascii="Verdana" w:hAnsi="Verdana"/>
          <w:spacing w:val="-4"/>
          <w:sz w:val="20"/>
          <w:szCs w:val="20"/>
          <w:lang w:val="es-CR"/>
        </w:rPr>
        <w:t xml:space="preserve">, </w:t>
      </w:r>
      <w:r w:rsidR="00FB1571" w:rsidRPr="0088492D">
        <w:rPr>
          <w:rFonts w:ascii="Verdana" w:hAnsi="Verdana"/>
          <w:spacing w:val="-4"/>
          <w:sz w:val="20"/>
          <w:szCs w:val="20"/>
          <w:lang w:val="es-CR"/>
        </w:rPr>
        <w:t xml:space="preserve">traslado que estará limitado y condicionado </w:t>
      </w:r>
      <w:r w:rsidR="00143016" w:rsidRPr="0088492D">
        <w:rPr>
          <w:rFonts w:ascii="Verdana" w:hAnsi="Verdana"/>
          <w:spacing w:val="-4"/>
          <w:sz w:val="20"/>
          <w:szCs w:val="20"/>
          <w:lang w:val="es-CR"/>
        </w:rPr>
        <w:t xml:space="preserve">en su duración, </w:t>
      </w:r>
      <w:r w:rsidR="00486FF1" w:rsidRPr="0088492D">
        <w:rPr>
          <w:rFonts w:ascii="Verdana" w:hAnsi="Verdana"/>
          <w:spacing w:val="-4"/>
          <w:sz w:val="20"/>
          <w:szCs w:val="20"/>
          <w:lang w:val="es-CR"/>
        </w:rPr>
        <w:t>al tiempo en que</w:t>
      </w:r>
      <w:r w:rsidR="00FB1571" w:rsidRPr="0088492D">
        <w:rPr>
          <w:rFonts w:ascii="Verdana" w:hAnsi="Verdana"/>
          <w:spacing w:val="-4"/>
          <w:sz w:val="20"/>
          <w:szCs w:val="20"/>
          <w:lang w:val="es-CR"/>
        </w:rPr>
        <w:t xml:space="preserve">, bajos estrictos y reforzados controles médicos de evaluación y seguimiento, por parte de las instancias de salud pública pertinentes,  </w:t>
      </w:r>
      <w:r w:rsidR="00143016" w:rsidRPr="0088492D">
        <w:rPr>
          <w:rFonts w:ascii="Verdana" w:hAnsi="Verdana"/>
          <w:spacing w:val="-4"/>
          <w:sz w:val="20"/>
          <w:szCs w:val="20"/>
          <w:lang w:val="es-CR"/>
        </w:rPr>
        <w:t>certifiquen conforme los protocolos sanitarios de rigor,</w:t>
      </w:r>
      <w:r w:rsidR="00FB1571" w:rsidRPr="0088492D">
        <w:rPr>
          <w:rFonts w:ascii="Verdana" w:hAnsi="Verdana"/>
          <w:spacing w:val="-4"/>
          <w:sz w:val="20"/>
          <w:szCs w:val="20"/>
          <w:lang w:val="es-CR"/>
        </w:rPr>
        <w:t xml:space="preserve"> que persiste</w:t>
      </w:r>
      <w:r w:rsidR="00143016" w:rsidRPr="0088492D">
        <w:rPr>
          <w:rFonts w:ascii="Verdana" w:hAnsi="Verdana"/>
          <w:spacing w:val="-4"/>
          <w:sz w:val="20"/>
          <w:szCs w:val="20"/>
          <w:lang w:val="es-CR"/>
        </w:rPr>
        <w:t xml:space="preserve"> o ha cesado</w:t>
      </w:r>
      <w:r w:rsidR="00FB1571" w:rsidRPr="0088492D">
        <w:rPr>
          <w:rFonts w:ascii="Verdana" w:hAnsi="Verdana"/>
          <w:spacing w:val="-4"/>
          <w:sz w:val="20"/>
          <w:szCs w:val="20"/>
          <w:lang w:val="es-CR"/>
        </w:rPr>
        <w:t xml:space="preserve"> </w:t>
      </w:r>
      <w:r w:rsidR="00486FF1" w:rsidRPr="0088492D">
        <w:rPr>
          <w:rFonts w:ascii="Verdana" w:hAnsi="Verdana"/>
          <w:spacing w:val="-4"/>
          <w:sz w:val="20"/>
          <w:szCs w:val="20"/>
          <w:lang w:val="es-CR"/>
        </w:rPr>
        <w:t>el riesgo para la salud</w:t>
      </w:r>
      <w:r w:rsidR="000A1CAF" w:rsidRPr="0088492D">
        <w:rPr>
          <w:rFonts w:ascii="Verdana" w:hAnsi="Verdana"/>
          <w:spacing w:val="-4"/>
          <w:sz w:val="20"/>
          <w:szCs w:val="20"/>
          <w:lang w:val="es-CR"/>
        </w:rPr>
        <w:t>, la v</w:t>
      </w:r>
      <w:r w:rsidR="00486FF1" w:rsidRPr="0088492D">
        <w:rPr>
          <w:rFonts w:ascii="Verdana" w:hAnsi="Verdana"/>
          <w:spacing w:val="-4"/>
          <w:sz w:val="20"/>
          <w:szCs w:val="20"/>
          <w:lang w:val="es-CR"/>
        </w:rPr>
        <w:t xml:space="preserve">ida </w:t>
      </w:r>
      <w:r w:rsidR="000A1CAF" w:rsidRPr="0088492D">
        <w:rPr>
          <w:rFonts w:ascii="Verdana" w:hAnsi="Verdana"/>
          <w:spacing w:val="-4"/>
          <w:sz w:val="20"/>
          <w:szCs w:val="20"/>
          <w:lang w:val="es-CR"/>
        </w:rPr>
        <w:t xml:space="preserve">e integridad </w:t>
      </w:r>
      <w:r w:rsidR="00486FF1" w:rsidRPr="0088492D">
        <w:rPr>
          <w:rFonts w:ascii="Verdana" w:hAnsi="Verdana"/>
          <w:spacing w:val="-4"/>
          <w:sz w:val="20"/>
          <w:szCs w:val="20"/>
          <w:lang w:val="es-CR"/>
        </w:rPr>
        <w:t>de estas personas</w:t>
      </w:r>
      <w:r w:rsidR="00FB1571" w:rsidRPr="0088492D">
        <w:rPr>
          <w:rFonts w:ascii="Verdana" w:hAnsi="Verdana"/>
          <w:spacing w:val="-4"/>
          <w:sz w:val="20"/>
          <w:szCs w:val="20"/>
          <w:lang w:val="es-CR"/>
        </w:rPr>
        <w:t>, y, dadas las características y particularidades de</w:t>
      </w:r>
      <w:r w:rsidR="00E46629" w:rsidRPr="0088492D">
        <w:rPr>
          <w:rFonts w:ascii="Verdana" w:hAnsi="Verdana"/>
          <w:spacing w:val="-4"/>
          <w:sz w:val="20"/>
          <w:szCs w:val="20"/>
          <w:lang w:val="es-CR"/>
        </w:rPr>
        <w:t xml:space="preserve">l caso, </w:t>
      </w:r>
      <w:r w:rsidR="00FB1571" w:rsidRPr="0088492D">
        <w:rPr>
          <w:rFonts w:ascii="Verdana" w:hAnsi="Verdana"/>
          <w:spacing w:val="-4"/>
          <w:sz w:val="20"/>
          <w:szCs w:val="20"/>
          <w:lang w:val="es-CR"/>
        </w:rPr>
        <w:t xml:space="preserve">esta decisión deberá ser acompañada por reforzadas y sistemáticas </w:t>
      </w:r>
      <w:r w:rsidR="00486FF1" w:rsidRPr="0088492D">
        <w:rPr>
          <w:rFonts w:ascii="Verdana" w:hAnsi="Verdana"/>
          <w:spacing w:val="-4"/>
          <w:sz w:val="20"/>
          <w:szCs w:val="20"/>
          <w:lang w:val="es-CR"/>
        </w:rPr>
        <w:t>medidas de seguridad y control que el Estado disponga</w:t>
      </w:r>
      <w:r w:rsidR="00A85AEB" w:rsidRPr="0088492D">
        <w:rPr>
          <w:rFonts w:ascii="Verdana" w:hAnsi="Verdana"/>
          <w:spacing w:val="-4"/>
          <w:sz w:val="20"/>
          <w:szCs w:val="20"/>
          <w:lang w:val="es-CR"/>
        </w:rPr>
        <w:t>,</w:t>
      </w:r>
      <w:r w:rsidR="000A1CAF" w:rsidRPr="0088492D">
        <w:rPr>
          <w:rFonts w:ascii="Verdana" w:hAnsi="Verdana"/>
          <w:spacing w:val="-4"/>
          <w:sz w:val="20"/>
          <w:szCs w:val="20"/>
          <w:lang w:val="es-CR"/>
        </w:rPr>
        <w:t xml:space="preserve"> respecto de los beneficiarios de estas medidas,</w:t>
      </w:r>
      <w:r w:rsidR="00A85AEB" w:rsidRPr="0088492D">
        <w:rPr>
          <w:rFonts w:ascii="Verdana" w:hAnsi="Verdana"/>
          <w:spacing w:val="-4"/>
          <w:sz w:val="20"/>
          <w:szCs w:val="20"/>
          <w:lang w:val="es-CR"/>
        </w:rPr>
        <w:t xml:space="preserve"> para evitar que se desnaturalicen</w:t>
      </w:r>
      <w:r w:rsidR="00143016" w:rsidRPr="0088492D">
        <w:rPr>
          <w:rFonts w:ascii="Verdana" w:hAnsi="Verdana"/>
          <w:spacing w:val="-4"/>
          <w:sz w:val="20"/>
          <w:szCs w:val="20"/>
          <w:lang w:val="es-CR"/>
        </w:rPr>
        <w:t xml:space="preserve">, </w:t>
      </w:r>
      <w:r w:rsidR="00A85AEB" w:rsidRPr="0088492D">
        <w:rPr>
          <w:rFonts w:ascii="Verdana" w:hAnsi="Verdana"/>
          <w:spacing w:val="-4"/>
          <w:sz w:val="20"/>
          <w:szCs w:val="20"/>
          <w:lang w:val="es-CR"/>
        </w:rPr>
        <w:t>afecten o desvirtúen las decisiones y sentencia</w:t>
      </w:r>
      <w:r w:rsidR="007D2193" w:rsidRPr="0088492D">
        <w:rPr>
          <w:rFonts w:ascii="Verdana" w:hAnsi="Verdana"/>
          <w:spacing w:val="-4"/>
          <w:sz w:val="20"/>
          <w:szCs w:val="20"/>
          <w:lang w:val="es-CR"/>
        </w:rPr>
        <w:t>s</w:t>
      </w:r>
      <w:r w:rsidR="00A85AEB" w:rsidRPr="0088492D">
        <w:rPr>
          <w:rFonts w:ascii="Verdana" w:hAnsi="Verdana"/>
          <w:spacing w:val="-4"/>
          <w:sz w:val="20"/>
          <w:szCs w:val="20"/>
          <w:lang w:val="es-CR"/>
        </w:rPr>
        <w:t xml:space="preserve"> que ha dispuesto la justicia del Estado del Perú</w:t>
      </w:r>
      <w:r w:rsidR="00486FF1" w:rsidRPr="0088492D">
        <w:rPr>
          <w:rFonts w:ascii="Verdana" w:hAnsi="Verdana"/>
          <w:spacing w:val="-4"/>
          <w:sz w:val="20"/>
          <w:szCs w:val="20"/>
          <w:lang w:val="es-CR"/>
        </w:rPr>
        <w:t>.</w:t>
      </w:r>
      <w:r w:rsidR="00731408" w:rsidRPr="00C2549C">
        <w:rPr>
          <w:rFonts w:ascii="Verdana" w:hAnsi="Verdana"/>
          <w:spacing w:val="-4"/>
          <w:sz w:val="20"/>
          <w:szCs w:val="20"/>
          <w:lang w:val="es-CR"/>
        </w:rPr>
        <w:t xml:space="preserve"> </w:t>
      </w:r>
      <w:bookmarkEnd w:id="8"/>
    </w:p>
    <w:p w14:paraId="30046E95" w14:textId="77777777" w:rsidR="009638B4" w:rsidRPr="00C2549C" w:rsidRDefault="009638B4" w:rsidP="009638B4">
      <w:pPr>
        <w:autoSpaceDE w:val="0"/>
        <w:autoSpaceDN w:val="0"/>
        <w:adjustRightInd w:val="0"/>
        <w:jc w:val="both"/>
        <w:rPr>
          <w:rFonts w:ascii="Verdana" w:hAnsi="Verdana"/>
          <w:spacing w:val="-4"/>
          <w:sz w:val="20"/>
          <w:szCs w:val="20"/>
          <w:lang w:val="es-CR"/>
        </w:rPr>
      </w:pPr>
    </w:p>
    <w:p w14:paraId="2E15B35A" w14:textId="77777777" w:rsidR="00531A15" w:rsidRPr="00C2549C" w:rsidRDefault="00531A15" w:rsidP="00531A15">
      <w:pPr>
        <w:autoSpaceDE w:val="0"/>
        <w:autoSpaceDN w:val="0"/>
        <w:adjustRightInd w:val="0"/>
        <w:jc w:val="both"/>
        <w:rPr>
          <w:rFonts w:ascii="Verdana" w:hAnsi="Verdana"/>
          <w:spacing w:val="-4"/>
          <w:sz w:val="20"/>
          <w:szCs w:val="20"/>
        </w:rPr>
      </w:pPr>
      <w:bookmarkStart w:id="9" w:name="_Ref442880105"/>
    </w:p>
    <w:bookmarkEnd w:id="9"/>
    <w:p w14:paraId="39DDB871" w14:textId="35BB2994" w:rsidR="00E53316" w:rsidRPr="00C2549C" w:rsidRDefault="00E53316" w:rsidP="0030110F">
      <w:pPr>
        <w:spacing w:line="259" w:lineRule="auto"/>
        <w:jc w:val="both"/>
        <w:rPr>
          <w:rFonts w:ascii="Verdana" w:eastAsia="Verdana" w:hAnsi="Verdana" w:cs="Verdana"/>
          <w:spacing w:val="-4"/>
          <w:sz w:val="20"/>
          <w:szCs w:val="20"/>
          <w:lang w:val="es-CR"/>
        </w:rPr>
      </w:pPr>
      <w:r w:rsidRPr="00C2549C">
        <w:rPr>
          <w:rFonts w:ascii="Verdana" w:eastAsia="Verdana" w:hAnsi="Verdana" w:cs="Verdana"/>
          <w:b/>
          <w:bCs/>
          <w:spacing w:val="-4"/>
          <w:sz w:val="20"/>
          <w:szCs w:val="20"/>
          <w:lang w:val="es-CR"/>
        </w:rPr>
        <w:t>POR TANTO:</w:t>
      </w:r>
    </w:p>
    <w:p w14:paraId="09F9ABE8" w14:textId="77777777" w:rsidR="00E53316" w:rsidRPr="00C2549C" w:rsidRDefault="00E53316" w:rsidP="0030110F">
      <w:pPr>
        <w:jc w:val="both"/>
        <w:rPr>
          <w:rFonts w:ascii="Verdana" w:hAnsi="Verdana"/>
          <w:spacing w:val="-4"/>
          <w:sz w:val="20"/>
          <w:szCs w:val="20"/>
          <w:lang w:val="es-CR"/>
        </w:rPr>
      </w:pPr>
    </w:p>
    <w:p w14:paraId="4A44A97D" w14:textId="6B4B8F47" w:rsidR="00E53316" w:rsidRPr="00C2549C" w:rsidRDefault="00E53316" w:rsidP="0030110F">
      <w:pPr>
        <w:jc w:val="both"/>
        <w:rPr>
          <w:rFonts w:ascii="Verdana" w:eastAsia="Verdana" w:hAnsi="Verdana" w:cs="Verdana"/>
          <w:spacing w:val="-4"/>
          <w:sz w:val="20"/>
          <w:szCs w:val="20"/>
          <w:lang w:val="es-CR"/>
        </w:rPr>
      </w:pPr>
      <w:r w:rsidRPr="00C2549C">
        <w:rPr>
          <w:rFonts w:ascii="Verdana" w:eastAsia="Verdana" w:hAnsi="Verdana" w:cs="Verdana"/>
          <w:b/>
          <w:bCs/>
          <w:spacing w:val="-4"/>
          <w:sz w:val="20"/>
          <w:szCs w:val="20"/>
          <w:lang w:val="es-CR"/>
        </w:rPr>
        <w:t>LA CORTE INTERAMERICANA DE DERECHOS HUMANOS,</w:t>
      </w:r>
    </w:p>
    <w:p w14:paraId="4C08245A" w14:textId="77777777" w:rsidR="00141350" w:rsidRPr="00C2549C" w:rsidRDefault="00141350" w:rsidP="0030110F">
      <w:pPr>
        <w:jc w:val="both"/>
        <w:rPr>
          <w:rFonts w:ascii="Verdana" w:hAnsi="Verdana"/>
          <w:spacing w:val="-4"/>
          <w:sz w:val="20"/>
          <w:szCs w:val="20"/>
          <w:lang w:val="es-CR"/>
        </w:rPr>
      </w:pPr>
    </w:p>
    <w:p w14:paraId="3E7D8DDC" w14:textId="562D103F" w:rsidR="00E53316" w:rsidRPr="00C2549C" w:rsidRDefault="00E53316" w:rsidP="0030110F">
      <w:pPr>
        <w:jc w:val="both"/>
        <w:rPr>
          <w:rFonts w:ascii="Verdana" w:eastAsia="Verdana" w:hAnsi="Verdana" w:cs="Verdana"/>
          <w:spacing w:val="-4"/>
          <w:sz w:val="20"/>
          <w:szCs w:val="20"/>
          <w:highlight w:val="yellow"/>
          <w:lang w:val="es-CR"/>
        </w:rPr>
      </w:pPr>
      <w:r w:rsidRPr="00C2549C">
        <w:rPr>
          <w:rFonts w:ascii="Verdana" w:hAnsi="Verdana"/>
          <w:spacing w:val="-4"/>
          <w:sz w:val="20"/>
          <w:szCs w:val="20"/>
          <w:lang w:val="es-MX"/>
        </w:rPr>
        <w:t xml:space="preserve">en uso de las atribuciones que le confieren </w:t>
      </w:r>
      <w:r w:rsidRPr="00C2549C">
        <w:rPr>
          <w:rFonts w:ascii="Verdana" w:hAnsi="Verdana"/>
          <w:spacing w:val="-4"/>
          <w:sz w:val="20"/>
          <w:szCs w:val="20"/>
        </w:rPr>
        <w:t xml:space="preserve">los artículos 63.2 de la Convención Americana, y los artículos </w:t>
      </w:r>
      <w:r w:rsidR="00EA5F54" w:rsidRPr="00C2549C">
        <w:rPr>
          <w:rFonts w:ascii="Verdana" w:hAnsi="Verdana"/>
          <w:spacing w:val="-4"/>
          <w:sz w:val="20"/>
          <w:szCs w:val="20"/>
        </w:rPr>
        <w:t>27, y 31</w:t>
      </w:r>
      <w:r w:rsidRPr="00C2549C">
        <w:rPr>
          <w:rFonts w:ascii="Verdana" w:hAnsi="Verdana"/>
          <w:spacing w:val="-4"/>
          <w:sz w:val="20"/>
          <w:szCs w:val="20"/>
        </w:rPr>
        <w:t xml:space="preserve"> del Reglamento del Tribunal</w:t>
      </w:r>
      <w:r w:rsidRPr="00C2549C">
        <w:rPr>
          <w:rFonts w:ascii="Verdana" w:hAnsi="Verdana"/>
          <w:spacing w:val="-4"/>
          <w:sz w:val="20"/>
          <w:szCs w:val="20"/>
          <w:lang w:val="es-MX"/>
        </w:rPr>
        <w:t>,</w:t>
      </w:r>
    </w:p>
    <w:p w14:paraId="71B81014" w14:textId="77777777" w:rsidR="00E53316" w:rsidRPr="00C2549C" w:rsidRDefault="00E53316" w:rsidP="0030110F">
      <w:pPr>
        <w:jc w:val="both"/>
        <w:rPr>
          <w:rFonts w:ascii="Verdana" w:eastAsia="Verdana" w:hAnsi="Verdana" w:cs="Verdana"/>
          <w:b/>
          <w:bCs/>
          <w:spacing w:val="-4"/>
          <w:sz w:val="20"/>
          <w:szCs w:val="20"/>
          <w:lang w:val="es-CR"/>
        </w:rPr>
      </w:pPr>
    </w:p>
    <w:p w14:paraId="5EEF1760" w14:textId="77777777" w:rsidR="009271D6" w:rsidRPr="00C2549C" w:rsidRDefault="009271D6" w:rsidP="0030110F">
      <w:pPr>
        <w:jc w:val="both"/>
        <w:rPr>
          <w:rFonts w:ascii="Verdana" w:eastAsia="Verdana" w:hAnsi="Verdana" w:cs="Verdana"/>
          <w:b/>
          <w:bCs/>
          <w:spacing w:val="-4"/>
          <w:sz w:val="20"/>
          <w:szCs w:val="20"/>
          <w:lang w:val="es-CR"/>
        </w:rPr>
      </w:pPr>
    </w:p>
    <w:p w14:paraId="6B4B554A" w14:textId="0CE7B9FD" w:rsidR="00E53316" w:rsidRPr="00C2549C" w:rsidRDefault="00E53316" w:rsidP="0030110F">
      <w:pPr>
        <w:jc w:val="both"/>
        <w:rPr>
          <w:rFonts w:ascii="Verdana" w:eastAsia="Verdana" w:hAnsi="Verdana" w:cs="Verdana"/>
          <w:spacing w:val="-4"/>
          <w:sz w:val="20"/>
          <w:szCs w:val="20"/>
          <w:lang w:val="es-CR"/>
        </w:rPr>
      </w:pPr>
      <w:r w:rsidRPr="00C2549C">
        <w:rPr>
          <w:rFonts w:ascii="Verdana" w:eastAsia="Verdana" w:hAnsi="Verdana" w:cs="Verdana"/>
          <w:b/>
          <w:bCs/>
          <w:spacing w:val="-4"/>
          <w:sz w:val="20"/>
          <w:szCs w:val="20"/>
          <w:lang w:val="es-CR"/>
        </w:rPr>
        <w:t>RESUELVE:</w:t>
      </w:r>
      <w:r w:rsidR="00401687" w:rsidRPr="00C2549C">
        <w:rPr>
          <w:rFonts w:ascii="Verdana" w:eastAsia="Verdana" w:hAnsi="Verdana" w:cs="Verdana"/>
          <w:b/>
          <w:bCs/>
          <w:spacing w:val="-4"/>
          <w:sz w:val="20"/>
          <w:szCs w:val="20"/>
          <w:lang w:val="es-CR"/>
        </w:rPr>
        <w:t xml:space="preserve"> </w:t>
      </w:r>
    </w:p>
    <w:p w14:paraId="4413E7AD" w14:textId="77777777" w:rsidR="00E53316" w:rsidRPr="00C2549C" w:rsidRDefault="00E53316" w:rsidP="0030110F">
      <w:pPr>
        <w:jc w:val="both"/>
        <w:rPr>
          <w:rFonts w:ascii="Verdana" w:eastAsia="Calibri" w:hAnsi="Verdana" w:cs="Verdana"/>
          <w:color w:val="000000"/>
          <w:spacing w:val="-4"/>
          <w:sz w:val="20"/>
          <w:szCs w:val="20"/>
          <w:lang w:val="es-CR"/>
        </w:rPr>
      </w:pPr>
    </w:p>
    <w:p w14:paraId="6EEE0164" w14:textId="3C2E3CD3" w:rsidR="00EA5F54" w:rsidRPr="0088492D" w:rsidRDefault="00C524DF" w:rsidP="0088606F">
      <w:pPr>
        <w:pStyle w:val="Prrafodelista"/>
        <w:spacing w:after="0" w:line="240" w:lineRule="auto"/>
        <w:ind w:left="0"/>
        <w:jc w:val="both"/>
        <w:rPr>
          <w:rFonts w:ascii="Verdana" w:hAnsi="Verdana"/>
          <w:spacing w:val="-4"/>
          <w:sz w:val="20"/>
          <w:szCs w:val="20"/>
          <w:lang w:val="es-CR"/>
        </w:rPr>
      </w:pPr>
      <w:r w:rsidRPr="00C2549C">
        <w:rPr>
          <w:rFonts w:ascii="Verdana" w:hAnsi="Verdana"/>
          <w:spacing w:val="-4"/>
          <w:sz w:val="20"/>
          <w:szCs w:val="20"/>
          <w:lang w:val="es-CR"/>
        </w:rPr>
        <w:t>1.</w:t>
      </w:r>
      <w:r w:rsidRPr="00C2549C">
        <w:rPr>
          <w:rFonts w:ascii="Verdana" w:hAnsi="Verdana"/>
          <w:spacing w:val="-4"/>
          <w:sz w:val="20"/>
          <w:szCs w:val="20"/>
          <w:lang w:val="es-CR"/>
        </w:rPr>
        <w:tab/>
      </w:r>
      <w:r w:rsidR="00E53316" w:rsidRPr="00C2549C">
        <w:rPr>
          <w:rFonts w:ascii="Verdana" w:hAnsi="Verdana"/>
          <w:spacing w:val="-4"/>
          <w:sz w:val="20"/>
          <w:szCs w:val="20"/>
          <w:lang w:val="es-CR"/>
        </w:rPr>
        <w:t xml:space="preserve">Requerir al </w:t>
      </w:r>
      <w:r w:rsidR="00486FF1" w:rsidRPr="00C2549C">
        <w:rPr>
          <w:rFonts w:ascii="Verdana" w:hAnsi="Verdana"/>
          <w:spacing w:val="-4"/>
          <w:sz w:val="20"/>
          <w:szCs w:val="20"/>
          <w:lang w:val="es-CR"/>
        </w:rPr>
        <w:t xml:space="preserve">Estado que disponga </w:t>
      </w:r>
      <w:r w:rsidR="00D86DFD" w:rsidRPr="00C2549C">
        <w:rPr>
          <w:rFonts w:ascii="Verdana" w:hAnsi="Verdana"/>
          <w:spacing w:val="-4"/>
          <w:sz w:val="20"/>
          <w:szCs w:val="20"/>
          <w:lang w:val="es-CR"/>
        </w:rPr>
        <w:t xml:space="preserve">la continuación de la ejecución de su pena bajo la forma de </w:t>
      </w:r>
      <w:r w:rsidR="00486FF1" w:rsidRPr="00C2549C">
        <w:rPr>
          <w:rFonts w:ascii="Verdana" w:hAnsi="Verdana"/>
          <w:spacing w:val="-4"/>
          <w:sz w:val="20"/>
          <w:szCs w:val="20"/>
          <w:lang w:val="es-CR"/>
        </w:rPr>
        <w:t xml:space="preserve">arresto o detención domiciliaria </w:t>
      </w:r>
      <w:r w:rsidR="00D86DFD" w:rsidRPr="00C2549C">
        <w:rPr>
          <w:rFonts w:ascii="Verdana" w:hAnsi="Verdana"/>
          <w:spacing w:val="-4"/>
          <w:sz w:val="20"/>
          <w:szCs w:val="20"/>
          <w:lang w:val="es-CR"/>
        </w:rPr>
        <w:t xml:space="preserve">de </w:t>
      </w:r>
      <w:r w:rsidR="002E7CBA" w:rsidRPr="00C2549C">
        <w:rPr>
          <w:rFonts w:ascii="Verdana" w:hAnsi="Verdana"/>
          <w:spacing w:val="-4"/>
          <w:sz w:val="20"/>
          <w:szCs w:val="20"/>
          <w:lang w:val="es-AR"/>
        </w:rPr>
        <w:t xml:space="preserve">Margot Lourdes Liendo Gil, Osman Roberto Morote Barrionuevo, Arturo Chumpitaz Aguirre, Atilio Richard Cahuana </w:t>
      </w:r>
      <w:proofErr w:type="spellStart"/>
      <w:r w:rsidR="002E7CBA" w:rsidRPr="00C2549C">
        <w:rPr>
          <w:rFonts w:ascii="Verdana" w:hAnsi="Verdana"/>
          <w:spacing w:val="-4"/>
          <w:sz w:val="20"/>
          <w:szCs w:val="20"/>
          <w:lang w:val="es-AR"/>
        </w:rPr>
        <w:t>Yuyali</w:t>
      </w:r>
      <w:proofErr w:type="spellEnd"/>
      <w:r w:rsidR="002E7CBA" w:rsidRPr="00C2549C">
        <w:rPr>
          <w:rFonts w:ascii="Verdana" w:hAnsi="Verdana"/>
          <w:spacing w:val="-4"/>
          <w:sz w:val="20"/>
          <w:szCs w:val="20"/>
          <w:lang w:val="es-AR"/>
        </w:rPr>
        <w:t xml:space="preserve"> y Juan Alonso Aranda Company</w:t>
      </w:r>
      <w:r w:rsidR="00EA5F54" w:rsidRPr="00C2549C">
        <w:rPr>
          <w:rFonts w:ascii="Verdana" w:hAnsi="Verdana"/>
          <w:spacing w:val="-4"/>
          <w:sz w:val="20"/>
          <w:szCs w:val="20"/>
          <w:lang w:val="es-AR"/>
        </w:rPr>
        <w:t xml:space="preserve">, </w:t>
      </w:r>
      <w:r w:rsidR="00D86DFD" w:rsidRPr="00C2549C">
        <w:rPr>
          <w:rFonts w:ascii="Verdana" w:hAnsi="Verdana"/>
          <w:spacing w:val="-4"/>
          <w:sz w:val="20"/>
          <w:szCs w:val="20"/>
          <w:lang w:val="es-AR"/>
        </w:rPr>
        <w:t>por el tiempo en que permanezca el riesgo para sus vidas</w:t>
      </w:r>
      <w:r w:rsidR="00EA0C41">
        <w:rPr>
          <w:rFonts w:ascii="Verdana" w:hAnsi="Verdana"/>
          <w:spacing w:val="-4"/>
          <w:sz w:val="20"/>
          <w:szCs w:val="20"/>
          <w:lang w:val="es-AR"/>
        </w:rPr>
        <w:t>,</w:t>
      </w:r>
      <w:r w:rsidR="00D86DFD" w:rsidRPr="00C2549C">
        <w:rPr>
          <w:rFonts w:ascii="Verdana" w:hAnsi="Verdana"/>
          <w:spacing w:val="-4"/>
          <w:sz w:val="20"/>
          <w:szCs w:val="20"/>
          <w:lang w:val="es-AR"/>
        </w:rPr>
        <w:t xml:space="preserve"> en razón de la actual pandemia, </w:t>
      </w:r>
      <w:r w:rsidR="00D86DFD" w:rsidRPr="0088492D">
        <w:rPr>
          <w:rFonts w:ascii="Verdana" w:hAnsi="Verdana"/>
          <w:spacing w:val="-4"/>
          <w:sz w:val="20"/>
          <w:szCs w:val="20"/>
          <w:lang w:val="es-AR"/>
        </w:rPr>
        <w:t>con</w:t>
      </w:r>
      <w:r w:rsidR="00E46629" w:rsidRPr="0088492D">
        <w:rPr>
          <w:rFonts w:ascii="Verdana" w:hAnsi="Verdana"/>
          <w:spacing w:val="-4"/>
          <w:sz w:val="20"/>
          <w:szCs w:val="20"/>
          <w:lang w:val="es-AR"/>
        </w:rPr>
        <w:t xml:space="preserve"> los controles médicos,</w:t>
      </w:r>
      <w:r w:rsidR="00D86DFD" w:rsidRPr="0088492D">
        <w:rPr>
          <w:rFonts w:ascii="Verdana" w:hAnsi="Verdana"/>
          <w:spacing w:val="-4"/>
          <w:sz w:val="20"/>
          <w:szCs w:val="20"/>
          <w:lang w:val="es-AR"/>
        </w:rPr>
        <w:t xml:space="preserve"> seguridades y </w:t>
      </w:r>
      <w:r w:rsidR="00ED172A" w:rsidRPr="0088492D">
        <w:rPr>
          <w:rFonts w:ascii="Verdana" w:hAnsi="Verdana"/>
          <w:spacing w:val="-4"/>
          <w:sz w:val="20"/>
          <w:szCs w:val="20"/>
          <w:lang w:val="es-AR"/>
        </w:rPr>
        <w:t>protocolos</w:t>
      </w:r>
      <w:r w:rsidR="00D86DFD" w:rsidRPr="0088492D">
        <w:rPr>
          <w:rFonts w:ascii="Verdana" w:hAnsi="Verdana"/>
          <w:spacing w:val="-4"/>
          <w:sz w:val="20"/>
          <w:szCs w:val="20"/>
          <w:lang w:val="es-AR"/>
        </w:rPr>
        <w:t xml:space="preserve"> </w:t>
      </w:r>
      <w:r w:rsidR="00E46629" w:rsidRPr="0088492D">
        <w:rPr>
          <w:rFonts w:ascii="Verdana" w:hAnsi="Verdana"/>
          <w:spacing w:val="-4"/>
          <w:sz w:val="20"/>
          <w:szCs w:val="20"/>
          <w:lang w:val="es-AR"/>
        </w:rPr>
        <w:t xml:space="preserve">detallados en </w:t>
      </w:r>
      <w:r w:rsidR="008C606B" w:rsidRPr="0088492D">
        <w:rPr>
          <w:rFonts w:ascii="Verdana" w:hAnsi="Verdana"/>
          <w:spacing w:val="-4"/>
          <w:sz w:val="20"/>
          <w:szCs w:val="20"/>
          <w:lang w:val="es-AR"/>
        </w:rPr>
        <w:t xml:space="preserve">el </w:t>
      </w:r>
      <w:r w:rsidR="00E46629" w:rsidRPr="0088492D">
        <w:rPr>
          <w:rFonts w:ascii="Verdana" w:hAnsi="Verdana"/>
          <w:spacing w:val="-4"/>
          <w:sz w:val="20"/>
          <w:szCs w:val="20"/>
          <w:lang w:val="es-AR"/>
        </w:rPr>
        <w:t>párrafo 3</w:t>
      </w:r>
      <w:r w:rsidR="00101FE1">
        <w:rPr>
          <w:rFonts w:ascii="Verdana" w:hAnsi="Verdana"/>
          <w:spacing w:val="-4"/>
          <w:sz w:val="20"/>
          <w:szCs w:val="20"/>
          <w:lang w:val="es-AR"/>
        </w:rPr>
        <w:t>8</w:t>
      </w:r>
      <w:r w:rsidR="00D86DFD" w:rsidRPr="0088492D">
        <w:rPr>
          <w:rFonts w:ascii="Verdana" w:hAnsi="Verdana"/>
          <w:spacing w:val="-4"/>
          <w:sz w:val="20"/>
          <w:szCs w:val="20"/>
          <w:lang w:val="es-AR"/>
        </w:rPr>
        <w:t xml:space="preserve">. </w:t>
      </w:r>
    </w:p>
    <w:p w14:paraId="3B73C984" w14:textId="77777777" w:rsidR="00E53316" w:rsidRPr="00C2549C" w:rsidRDefault="00E53316" w:rsidP="0030110F">
      <w:pPr>
        <w:jc w:val="both"/>
        <w:rPr>
          <w:rFonts w:ascii="Verdana" w:eastAsia="Verdana" w:hAnsi="Verdana" w:cs="Verdana"/>
          <w:spacing w:val="-4"/>
          <w:sz w:val="20"/>
          <w:szCs w:val="20"/>
          <w:highlight w:val="yellow"/>
          <w:lang w:val="es-CR"/>
        </w:rPr>
      </w:pPr>
    </w:p>
    <w:p w14:paraId="0B5AEA5D" w14:textId="43B9A691" w:rsidR="00E53316" w:rsidRDefault="0088606F" w:rsidP="0088606F">
      <w:pPr>
        <w:pStyle w:val="Prrafodelista"/>
        <w:spacing w:after="0" w:line="240" w:lineRule="auto"/>
        <w:ind w:left="0"/>
        <w:jc w:val="both"/>
        <w:rPr>
          <w:rFonts w:ascii="Verdana" w:eastAsia="Verdana" w:hAnsi="Verdana" w:cs="Verdana"/>
          <w:spacing w:val="-4"/>
          <w:sz w:val="20"/>
          <w:szCs w:val="20"/>
          <w:lang w:val="es-CR"/>
        </w:rPr>
      </w:pPr>
      <w:r w:rsidRPr="00C2549C">
        <w:rPr>
          <w:rFonts w:ascii="Verdana" w:eastAsia="Verdana" w:hAnsi="Verdana" w:cs="Verdana"/>
          <w:spacing w:val="-4"/>
          <w:sz w:val="20"/>
          <w:szCs w:val="20"/>
          <w:lang w:val="es-CR"/>
        </w:rPr>
        <w:lastRenderedPageBreak/>
        <w:t>2</w:t>
      </w:r>
      <w:r w:rsidR="00C524DF" w:rsidRPr="00C2549C">
        <w:rPr>
          <w:rFonts w:ascii="Verdana" w:eastAsia="Verdana" w:hAnsi="Verdana" w:cs="Verdana"/>
          <w:spacing w:val="-4"/>
          <w:sz w:val="20"/>
          <w:szCs w:val="20"/>
          <w:lang w:val="es-CR"/>
        </w:rPr>
        <w:t>.</w:t>
      </w:r>
      <w:r w:rsidR="00C524DF" w:rsidRPr="00C2549C">
        <w:rPr>
          <w:rFonts w:ascii="Verdana" w:eastAsia="Verdana" w:hAnsi="Verdana" w:cs="Verdana"/>
          <w:spacing w:val="-4"/>
          <w:sz w:val="20"/>
          <w:szCs w:val="20"/>
          <w:lang w:val="es-CR"/>
        </w:rPr>
        <w:tab/>
      </w:r>
      <w:r w:rsidR="00E53316" w:rsidRPr="00C2549C">
        <w:rPr>
          <w:rFonts w:ascii="Verdana" w:eastAsia="Verdana" w:hAnsi="Verdana" w:cs="Verdana"/>
          <w:spacing w:val="-4"/>
          <w:sz w:val="20"/>
          <w:szCs w:val="20"/>
          <w:lang w:val="es-CR"/>
        </w:rPr>
        <w:t xml:space="preserve">Disponer que la Secretaría de la Corte notifique la presente Resolución al Estado, </w:t>
      </w:r>
      <w:bookmarkStart w:id="10" w:name="_Hlk47359310"/>
      <w:r w:rsidR="00946A06" w:rsidRPr="00E43614">
        <w:rPr>
          <w:rFonts w:ascii="Verdana" w:eastAsia="Verdana" w:hAnsi="Verdana" w:cs="Verdana"/>
          <w:spacing w:val="-4"/>
          <w:sz w:val="20"/>
          <w:szCs w:val="20"/>
          <w:lang w:val="es-CR"/>
        </w:rPr>
        <w:t>al interviniente común que presentó la solicitud</w:t>
      </w:r>
      <w:bookmarkEnd w:id="10"/>
      <w:r w:rsidR="00946A06" w:rsidRPr="00395069">
        <w:rPr>
          <w:rFonts w:ascii="Verdana" w:eastAsia="Verdana" w:hAnsi="Verdana" w:cs="Verdana"/>
          <w:spacing w:val="-4"/>
          <w:sz w:val="20"/>
          <w:szCs w:val="20"/>
          <w:lang w:val="es-CR"/>
        </w:rPr>
        <w:t xml:space="preserve"> </w:t>
      </w:r>
      <w:r w:rsidR="00E53316" w:rsidRPr="00395069">
        <w:rPr>
          <w:rFonts w:ascii="Verdana" w:eastAsia="Verdana" w:hAnsi="Verdana" w:cs="Verdana"/>
          <w:spacing w:val="-4"/>
          <w:sz w:val="20"/>
          <w:szCs w:val="20"/>
          <w:lang w:val="es-CR"/>
        </w:rPr>
        <w:t>y a la Comisión Interamericana.</w:t>
      </w:r>
    </w:p>
    <w:p w14:paraId="31535A82" w14:textId="5A53904D"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65C3FA7A" w14:textId="77777777"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24E5877B" w14:textId="77777777"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148B2DB0" w14:textId="77777777"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3A646EA9" w14:textId="77777777"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39F62C4D" w14:textId="77777777"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340E56D2" w14:textId="1FB678EA" w:rsidR="00142660" w:rsidRDefault="00142660" w:rsidP="0088606F">
      <w:pPr>
        <w:pStyle w:val="Prrafodelista"/>
        <w:spacing w:after="0" w:line="240" w:lineRule="auto"/>
        <w:ind w:left="0"/>
        <w:jc w:val="both"/>
        <w:rPr>
          <w:rFonts w:ascii="Verdana" w:eastAsia="Verdana" w:hAnsi="Verdana" w:cs="Verdana"/>
          <w:spacing w:val="-4"/>
          <w:sz w:val="20"/>
          <w:szCs w:val="20"/>
          <w:lang w:val="es-CR"/>
        </w:rPr>
      </w:pPr>
    </w:p>
    <w:p w14:paraId="2A6CFE93" w14:textId="53EF4ED4" w:rsidR="00142660" w:rsidRDefault="00142660" w:rsidP="00142660">
      <w:pPr>
        <w:pStyle w:val="Prrafodelista"/>
        <w:spacing w:after="0" w:line="240" w:lineRule="auto"/>
        <w:ind w:left="5664"/>
        <w:jc w:val="center"/>
        <w:rPr>
          <w:rFonts w:ascii="Verdana" w:hAnsi="Verdana"/>
          <w:sz w:val="20"/>
          <w:szCs w:val="20"/>
          <w:lang w:val="pt-BR"/>
        </w:rPr>
      </w:pPr>
      <w:r>
        <w:rPr>
          <w:rFonts w:ascii="Verdana" w:hAnsi="Verdana"/>
          <w:sz w:val="20"/>
          <w:szCs w:val="20"/>
          <w:lang w:val="pt-BR"/>
        </w:rPr>
        <w:t>L. Patricio Pazmiño Freire</w:t>
      </w:r>
    </w:p>
    <w:p w14:paraId="1EAFEF9D" w14:textId="5E881048" w:rsidR="00142660" w:rsidRPr="0088606F" w:rsidRDefault="00142660" w:rsidP="00142660">
      <w:pPr>
        <w:pStyle w:val="Prrafodelista"/>
        <w:spacing w:after="0" w:line="240" w:lineRule="auto"/>
        <w:ind w:left="5664"/>
        <w:jc w:val="center"/>
        <w:rPr>
          <w:rFonts w:ascii="Verdana" w:eastAsia="Verdana" w:hAnsi="Verdana" w:cs="Verdana"/>
          <w:spacing w:val="-4"/>
          <w:sz w:val="20"/>
          <w:szCs w:val="20"/>
          <w:lang w:val="es-CR"/>
        </w:rPr>
      </w:pPr>
      <w:proofErr w:type="spellStart"/>
      <w:r>
        <w:rPr>
          <w:rFonts w:ascii="Verdana" w:hAnsi="Verdana"/>
          <w:sz w:val="20"/>
          <w:szCs w:val="20"/>
          <w:lang w:val="pt-BR"/>
        </w:rPr>
        <w:t>Juez</w:t>
      </w:r>
      <w:proofErr w:type="spellEnd"/>
    </w:p>
    <w:sectPr w:rsidR="00142660" w:rsidRPr="0088606F" w:rsidSect="00C2549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9699E" w14:textId="77777777" w:rsidR="00A71FF1" w:rsidRDefault="00A71FF1" w:rsidP="00CD785B">
      <w:r>
        <w:separator/>
      </w:r>
    </w:p>
  </w:endnote>
  <w:endnote w:type="continuationSeparator" w:id="0">
    <w:p w14:paraId="5F80E909" w14:textId="77777777" w:rsidR="00A71FF1" w:rsidRDefault="00A71FF1" w:rsidP="00C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877293"/>
      <w:docPartObj>
        <w:docPartGallery w:val="Page Numbers (Bottom of Page)"/>
        <w:docPartUnique/>
      </w:docPartObj>
    </w:sdtPr>
    <w:sdtEndPr>
      <w:rPr>
        <w:rFonts w:ascii="Verdana" w:hAnsi="Verdana"/>
        <w:sz w:val="20"/>
        <w:szCs w:val="20"/>
      </w:rPr>
    </w:sdtEndPr>
    <w:sdtContent>
      <w:p w14:paraId="3B60E77E" w14:textId="0833668B" w:rsidR="00B509F1" w:rsidRPr="009731CA" w:rsidRDefault="00B509F1">
        <w:pPr>
          <w:pStyle w:val="Piedepgina"/>
          <w:jc w:val="center"/>
          <w:rPr>
            <w:rFonts w:ascii="Verdana" w:hAnsi="Verdana"/>
            <w:sz w:val="20"/>
            <w:szCs w:val="20"/>
          </w:rPr>
        </w:pPr>
        <w:r w:rsidRPr="009731CA">
          <w:rPr>
            <w:rFonts w:ascii="Verdana" w:hAnsi="Verdana"/>
            <w:sz w:val="20"/>
            <w:szCs w:val="20"/>
          </w:rPr>
          <w:fldChar w:fldCharType="begin"/>
        </w:r>
        <w:r w:rsidRPr="009731CA">
          <w:rPr>
            <w:rFonts w:ascii="Verdana" w:hAnsi="Verdana"/>
            <w:sz w:val="20"/>
            <w:szCs w:val="20"/>
          </w:rPr>
          <w:instrText>PAGE   \* MERGEFORMAT</w:instrText>
        </w:r>
        <w:r w:rsidRPr="009731CA">
          <w:rPr>
            <w:rFonts w:ascii="Verdana" w:hAnsi="Verdana"/>
            <w:sz w:val="20"/>
            <w:szCs w:val="20"/>
          </w:rPr>
          <w:fldChar w:fldCharType="separate"/>
        </w:r>
        <w:r w:rsidR="008E6001" w:rsidRPr="008E6001">
          <w:rPr>
            <w:rFonts w:ascii="Verdana" w:hAnsi="Verdana"/>
            <w:noProof/>
            <w:sz w:val="20"/>
            <w:szCs w:val="20"/>
            <w:lang w:val="es-ES"/>
          </w:rPr>
          <w:t>2</w:t>
        </w:r>
        <w:r w:rsidRPr="009731CA">
          <w:rPr>
            <w:rFonts w:ascii="Verdana" w:hAnsi="Verdana"/>
            <w:sz w:val="20"/>
            <w:szCs w:val="20"/>
          </w:rPr>
          <w:fldChar w:fldCharType="end"/>
        </w:r>
      </w:p>
    </w:sdtContent>
  </w:sdt>
  <w:p w14:paraId="6644B1F7" w14:textId="77777777" w:rsidR="00B509F1" w:rsidRDefault="00B509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FA59A" w14:textId="77777777" w:rsidR="00A71FF1" w:rsidRDefault="00A71FF1" w:rsidP="00CD785B">
      <w:r>
        <w:separator/>
      </w:r>
    </w:p>
  </w:footnote>
  <w:footnote w:type="continuationSeparator" w:id="0">
    <w:p w14:paraId="19EFB7CD" w14:textId="77777777" w:rsidR="00A71FF1" w:rsidRDefault="00A71FF1" w:rsidP="00CD785B">
      <w:r>
        <w:continuationSeparator/>
      </w:r>
    </w:p>
  </w:footnote>
  <w:footnote w:id="1">
    <w:p w14:paraId="57D0D119" w14:textId="77777777" w:rsidR="00C2549C" w:rsidRPr="00221D27" w:rsidRDefault="00C2549C" w:rsidP="00C2549C">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D04496">
        <w:rPr>
          <w:rFonts w:ascii="Verdana" w:hAnsi="Verdana"/>
          <w:sz w:val="16"/>
          <w:szCs w:val="16"/>
        </w:rPr>
        <w:t xml:space="preserve">De acuerdo a la información aportada en la etapa de supervisión de cumplimiento de sentencia, y no controvertida por el Estado, el señor Juan Alonso Aranda Company es hermano de la víctima José Antonio Aranda Company, identificada en el Anexo 1 de la Sentencia bajo el numeral 37. </w:t>
      </w:r>
      <w:r w:rsidRPr="00D04496">
        <w:rPr>
          <w:rFonts w:ascii="Verdana" w:hAnsi="Verdana"/>
          <w:i/>
          <w:sz w:val="16"/>
          <w:szCs w:val="16"/>
        </w:rPr>
        <w:t xml:space="preserve">Cfr. Caso del Penal Miguel Castro </w:t>
      </w:r>
      <w:proofErr w:type="spellStart"/>
      <w:r w:rsidRPr="00D04496">
        <w:rPr>
          <w:rFonts w:ascii="Verdana" w:hAnsi="Verdana"/>
          <w:i/>
          <w:sz w:val="16"/>
          <w:szCs w:val="16"/>
        </w:rPr>
        <w:t>Castro</w:t>
      </w:r>
      <w:proofErr w:type="spellEnd"/>
      <w:r w:rsidRPr="00D04496">
        <w:rPr>
          <w:rFonts w:ascii="Verdana" w:hAnsi="Verdana"/>
          <w:i/>
          <w:sz w:val="16"/>
          <w:szCs w:val="16"/>
        </w:rPr>
        <w:t xml:space="preserve"> Vs. Perú. Fondo, Reparaciones y Costas</w:t>
      </w:r>
      <w:r w:rsidRPr="00D04496">
        <w:rPr>
          <w:rFonts w:ascii="Verdana" w:hAnsi="Verdana"/>
          <w:sz w:val="16"/>
          <w:szCs w:val="16"/>
        </w:rPr>
        <w:t xml:space="preserve">, </w:t>
      </w:r>
      <w:r w:rsidRPr="00D04496">
        <w:rPr>
          <w:rFonts w:ascii="Verdana" w:hAnsi="Verdana"/>
          <w:i/>
          <w:iCs/>
          <w:sz w:val="16"/>
          <w:szCs w:val="16"/>
        </w:rPr>
        <w:t xml:space="preserve">supra </w:t>
      </w:r>
      <w:r w:rsidRPr="00D04496">
        <w:rPr>
          <w:rFonts w:ascii="Verdana" w:hAnsi="Verdana"/>
          <w:sz w:val="16"/>
          <w:szCs w:val="16"/>
        </w:rPr>
        <w:t xml:space="preserve">nota 1, </w:t>
      </w:r>
      <w:proofErr w:type="spellStart"/>
      <w:r w:rsidRPr="00D04496">
        <w:rPr>
          <w:rFonts w:ascii="Verdana" w:hAnsi="Verdana"/>
          <w:sz w:val="16"/>
          <w:szCs w:val="16"/>
        </w:rPr>
        <w:t>párrs</w:t>
      </w:r>
      <w:proofErr w:type="spellEnd"/>
      <w:r w:rsidRPr="00D04496">
        <w:rPr>
          <w:rFonts w:ascii="Verdana" w:hAnsi="Verdana"/>
          <w:sz w:val="16"/>
          <w:szCs w:val="16"/>
        </w:rPr>
        <w:t xml:space="preserve">. 418 a 420; </w:t>
      </w:r>
      <w:r w:rsidRPr="00D04496">
        <w:rPr>
          <w:rFonts w:ascii="Verdana" w:hAnsi="Verdana"/>
          <w:i/>
          <w:sz w:val="16"/>
          <w:szCs w:val="16"/>
        </w:rPr>
        <w:t>Caso</w:t>
      </w:r>
      <w:r w:rsidRPr="00BF5749">
        <w:rPr>
          <w:rFonts w:ascii="Verdana" w:hAnsi="Verdana"/>
          <w:i/>
          <w:sz w:val="16"/>
          <w:szCs w:val="16"/>
        </w:rPr>
        <w:t xml:space="preserve"> del Penal Miguel Castro </w:t>
      </w:r>
      <w:proofErr w:type="spellStart"/>
      <w:r w:rsidRPr="00BF5749">
        <w:rPr>
          <w:rFonts w:ascii="Verdana" w:hAnsi="Verdana"/>
          <w:i/>
          <w:sz w:val="16"/>
          <w:szCs w:val="16"/>
        </w:rPr>
        <w:t>Castro</w:t>
      </w:r>
      <w:proofErr w:type="spellEnd"/>
      <w:r w:rsidRPr="00BF5749">
        <w:rPr>
          <w:rFonts w:ascii="Verdana" w:hAnsi="Verdana"/>
          <w:sz w:val="16"/>
          <w:szCs w:val="16"/>
        </w:rPr>
        <w:t xml:space="preserve">. </w:t>
      </w:r>
      <w:r w:rsidRPr="00BF5749">
        <w:rPr>
          <w:rFonts w:ascii="Verdana" w:hAnsi="Verdana"/>
          <w:i/>
          <w:sz w:val="16"/>
          <w:szCs w:val="16"/>
        </w:rPr>
        <w:t>Interpretación de la Sentencia de Fondo, Reparaciones y Costas</w:t>
      </w:r>
      <w:r w:rsidRPr="00BF5749">
        <w:rPr>
          <w:rFonts w:ascii="Verdana" w:hAnsi="Verdana"/>
          <w:sz w:val="16"/>
          <w:szCs w:val="16"/>
        </w:rPr>
        <w:t xml:space="preserve">, </w:t>
      </w:r>
      <w:r w:rsidRPr="00BF5749">
        <w:rPr>
          <w:rFonts w:ascii="Verdana" w:hAnsi="Verdana"/>
          <w:i/>
          <w:iCs/>
          <w:sz w:val="16"/>
          <w:szCs w:val="16"/>
        </w:rPr>
        <w:t>supra</w:t>
      </w:r>
      <w:r w:rsidRPr="00BF5749">
        <w:rPr>
          <w:rFonts w:ascii="Verdana" w:hAnsi="Verdana"/>
          <w:sz w:val="16"/>
          <w:szCs w:val="16"/>
        </w:rPr>
        <w:t xml:space="preserve"> nota 2, párr. 68 y escritos de la interviniente común Mónica Feria Tinta de 30 de julio de 2008, 11 de abril de 2010, 4 de febrero de 2011, 13 de marzo de 2013 y 28 de julio de 2014.</w:t>
      </w:r>
      <w:r>
        <w:rPr>
          <w:rFonts w:ascii="Verdana" w:hAnsi="Verdana"/>
          <w:sz w:val="16"/>
          <w:szCs w:val="16"/>
        </w:rPr>
        <w:t xml:space="preserve"> </w:t>
      </w:r>
    </w:p>
  </w:footnote>
  <w:footnote w:id="2">
    <w:p w14:paraId="23744389" w14:textId="77777777" w:rsidR="00937ACF" w:rsidRPr="00FA76F5" w:rsidRDefault="00937ACF" w:rsidP="00937ACF">
      <w:pPr>
        <w:pStyle w:val="Textonotapie"/>
        <w:jc w:val="both"/>
        <w:rPr>
          <w:rFonts w:ascii="Verdana" w:hAnsi="Verdana"/>
          <w:b/>
          <w:bCs/>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005EC">
        <w:rPr>
          <w:rFonts w:ascii="Verdana" w:hAnsi="Verdana"/>
          <w:i/>
          <w:sz w:val="16"/>
          <w:szCs w:val="16"/>
        </w:rPr>
        <w:t xml:space="preserve">Cfr. </w:t>
      </w:r>
      <w:r w:rsidRPr="002005EC">
        <w:rPr>
          <w:rStyle w:val="Textoennegrita"/>
          <w:rFonts w:ascii="Verdana" w:hAnsi="Verdana"/>
          <w:b w:val="0"/>
          <w:bCs w:val="0"/>
          <w:i/>
          <w:color w:val="000000"/>
          <w:sz w:val="16"/>
          <w:szCs w:val="16"/>
          <w:shd w:val="clear" w:color="auto" w:fill="FFFFFF"/>
        </w:rPr>
        <w:t>Caso Juan Humberto Sánchez Vs. Honduras.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7 de febrero de 2006, Considerando 8;</w:t>
      </w:r>
      <w:r w:rsidRPr="002005EC">
        <w:rPr>
          <w:rStyle w:val="Textoennegrita"/>
          <w:rFonts w:ascii="Verdana" w:hAnsi="Verdana"/>
          <w:b w:val="0"/>
          <w:bCs w:val="0"/>
          <w:i/>
          <w:color w:val="000000"/>
          <w:sz w:val="16"/>
          <w:szCs w:val="16"/>
          <w:shd w:val="clear" w:color="auto" w:fill="FFFFFF"/>
        </w:rPr>
        <w:t xml:space="preserve"> Caso de la Comunidad </w:t>
      </w:r>
      <w:proofErr w:type="spellStart"/>
      <w:r w:rsidRPr="002005EC">
        <w:rPr>
          <w:rStyle w:val="Textoennegrita"/>
          <w:rFonts w:ascii="Verdana" w:hAnsi="Verdana"/>
          <w:b w:val="0"/>
          <w:bCs w:val="0"/>
          <w:i/>
          <w:color w:val="000000"/>
          <w:sz w:val="16"/>
          <w:szCs w:val="16"/>
          <w:shd w:val="clear" w:color="auto" w:fill="FFFFFF"/>
        </w:rPr>
        <w:t>Mayagna</w:t>
      </w:r>
      <w:proofErr w:type="spellEnd"/>
      <w:r w:rsidRPr="002005EC">
        <w:rPr>
          <w:rStyle w:val="Textoennegrita"/>
          <w:rFonts w:ascii="Verdana" w:hAnsi="Verdana"/>
          <w:b w:val="0"/>
          <w:bCs w:val="0"/>
          <w:i/>
          <w:color w:val="000000"/>
          <w:sz w:val="16"/>
          <w:szCs w:val="16"/>
          <w:shd w:val="clear" w:color="auto" w:fill="FFFFFF"/>
        </w:rPr>
        <w:t xml:space="preserve"> (Sumo) </w:t>
      </w:r>
      <w:proofErr w:type="spellStart"/>
      <w:r w:rsidRPr="002005EC">
        <w:rPr>
          <w:rStyle w:val="Textoennegrita"/>
          <w:rFonts w:ascii="Verdana" w:hAnsi="Verdana"/>
          <w:b w:val="0"/>
          <w:bCs w:val="0"/>
          <w:i/>
          <w:color w:val="000000"/>
          <w:sz w:val="16"/>
          <w:szCs w:val="16"/>
          <w:shd w:val="clear" w:color="auto" w:fill="FFFFFF"/>
        </w:rPr>
        <w:t>Awas</w:t>
      </w:r>
      <w:proofErr w:type="spellEnd"/>
      <w:r w:rsidRPr="002005EC">
        <w:rPr>
          <w:rStyle w:val="Textoennegrita"/>
          <w:rFonts w:ascii="Verdana" w:hAnsi="Verdana"/>
          <w:b w:val="0"/>
          <w:bCs w:val="0"/>
          <w:i/>
          <w:color w:val="000000"/>
          <w:sz w:val="16"/>
          <w:szCs w:val="16"/>
          <w:shd w:val="clear" w:color="auto" w:fill="FFFFFF"/>
        </w:rPr>
        <w:t xml:space="preserve"> </w:t>
      </w:r>
      <w:proofErr w:type="spellStart"/>
      <w:r w:rsidRPr="002005EC">
        <w:rPr>
          <w:rStyle w:val="Textoennegrita"/>
          <w:rFonts w:ascii="Verdana" w:hAnsi="Verdana"/>
          <w:b w:val="0"/>
          <w:bCs w:val="0"/>
          <w:i/>
          <w:color w:val="000000"/>
          <w:sz w:val="16"/>
          <w:szCs w:val="16"/>
          <w:shd w:val="clear" w:color="auto" w:fill="FFFFFF"/>
        </w:rPr>
        <w:t>Tingni</w:t>
      </w:r>
      <w:proofErr w:type="spellEnd"/>
      <w:r w:rsidRPr="002005EC">
        <w:rPr>
          <w:rStyle w:val="Textoennegrita"/>
          <w:rFonts w:ascii="Verdana" w:hAnsi="Verdana"/>
          <w:b w:val="0"/>
          <w:bCs w:val="0"/>
          <w:i/>
          <w:color w:val="000000"/>
          <w:sz w:val="16"/>
          <w:szCs w:val="16"/>
          <w:shd w:val="clear" w:color="auto" w:fill="FFFFFF"/>
        </w:rPr>
        <w:t xml:space="preserve"> Vs. Nicaragua. Solicitud de Medidas Provisionales.</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26 de noviembre de 2007, Considerandos 10 y 11; </w:t>
      </w:r>
      <w:r w:rsidRPr="002005EC">
        <w:rPr>
          <w:rStyle w:val="Textoennegrita"/>
          <w:rFonts w:ascii="Verdana" w:hAnsi="Verdana"/>
          <w:b w:val="0"/>
          <w:bCs w:val="0"/>
          <w:i/>
          <w:color w:val="000000"/>
          <w:sz w:val="16"/>
          <w:szCs w:val="16"/>
          <w:shd w:val="clear" w:color="auto" w:fill="FFFFFF"/>
        </w:rPr>
        <w:t xml:space="preserve">Caso del Pueblo de </w:t>
      </w:r>
      <w:proofErr w:type="spellStart"/>
      <w:r w:rsidRPr="002005EC">
        <w:rPr>
          <w:rStyle w:val="Textoennegrita"/>
          <w:rFonts w:ascii="Verdana" w:hAnsi="Verdana"/>
          <w:b w:val="0"/>
          <w:bCs w:val="0"/>
          <w:i/>
          <w:color w:val="000000"/>
          <w:sz w:val="16"/>
          <w:szCs w:val="16"/>
          <w:shd w:val="clear" w:color="auto" w:fill="FFFFFF"/>
        </w:rPr>
        <w:t>Saramaka</w:t>
      </w:r>
      <w:proofErr w:type="spellEnd"/>
      <w:r w:rsidRPr="002005EC">
        <w:rPr>
          <w:rStyle w:val="Textoennegrita"/>
          <w:rFonts w:ascii="Verdana" w:hAnsi="Verdana"/>
          <w:b w:val="0"/>
          <w:bCs w:val="0"/>
          <w:i/>
          <w:color w:val="000000"/>
          <w:sz w:val="16"/>
          <w:szCs w:val="16"/>
          <w:shd w:val="clear" w:color="auto" w:fill="FFFFFF"/>
        </w:rPr>
        <w:t xml:space="preserve"> Vs. Surinam. Solicitud de Medidas Provisionales y supervisión de cumplimiento de sentencia</w:t>
      </w:r>
      <w:r w:rsidRPr="002005EC">
        <w:rPr>
          <w:rStyle w:val="Textoennegrita"/>
          <w:rFonts w:ascii="Verdana" w:hAnsi="Verdana"/>
          <w:b w:val="0"/>
          <w:bCs w:val="0"/>
          <w:color w:val="000000"/>
          <w:sz w:val="16"/>
          <w:szCs w:val="16"/>
          <w:shd w:val="clear" w:color="auto" w:fill="FFFFFF"/>
        </w:rPr>
        <w:t xml:space="preserve">. Resolución de la Corte Interamericana de Derechos Humanos de 4 de septiembre de 2013, Considerando 23; </w:t>
      </w:r>
      <w:r w:rsidRPr="002005EC">
        <w:rPr>
          <w:rStyle w:val="Textoennegrita"/>
          <w:rFonts w:ascii="Verdana" w:hAnsi="Verdana"/>
          <w:b w:val="0"/>
          <w:bCs w:val="0"/>
          <w:i/>
          <w:color w:val="000000"/>
          <w:sz w:val="16"/>
          <w:szCs w:val="16"/>
          <w:shd w:val="clear" w:color="auto" w:fill="FFFFFF"/>
        </w:rPr>
        <w:t>Caso Artavia Murillo y otros (“Fecundación in Vitro”) Vs. Costa Rica. Solicitud de Medidas Provisionales</w:t>
      </w:r>
      <w:r w:rsidRPr="002005EC">
        <w:rPr>
          <w:rStyle w:val="Textoennegrita"/>
          <w:rFonts w:ascii="Verdana" w:hAnsi="Verdana"/>
          <w:b w:val="0"/>
          <w:bCs w:val="0"/>
          <w:color w:val="000000"/>
          <w:sz w:val="16"/>
          <w:szCs w:val="16"/>
          <w:shd w:val="clear" w:color="auto" w:fill="FFFFFF"/>
        </w:rPr>
        <w:t>. Resolución de la Corte Interamericana de Derechos Humanos de 31 de marzo de 2014, Considerandos 9 y 10;</w:t>
      </w:r>
      <w:r w:rsidRPr="00221D27">
        <w:rPr>
          <w:rStyle w:val="Textoennegrita"/>
          <w:rFonts w:ascii="Verdana" w:hAnsi="Verdana"/>
          <w:b w:val="0"/>
          <w:bCs w:val="0"/>
          <w:color w:val="000000"/>
          <w:sz w:val="16"/>
          <w:szCs w:val="16"/>
          <w:shd w:val="clear" w:color="auto" w:fill="FFFFFF"/>
        </w:rPr>
        <w:t xml:space="preserve"> </w:t>
      </w:r>
      <w:r w:rsidRPr="00221D27">
        <w:rPr>
          <w:rStyle w:val="Textoennegrita"/>
          <w:rFonts w:ascii="Verdana" w:hAnsi="Verdana"/>
          <w:b w:val="0"/>
          <w:bCs w:val="0"/>
          <w:i/>
          <w:color w:val="000000"/>
          <w:sz w:val="16"/>
          <w:szCs w:val="16"/>
          <w:shd w:val="clear" w:color="auto" w:fill="FFFFFF"/>
        </w:rPr>
        <w:t>Caso Acevedo Jaramillo y otros Vs. Perú. Solicitud de Medidas Provisionales.</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28 de agosto de 2015, Considerandos 7 y 8; </w:t>
      </w:r>
      <w:r>
        <w:rPr>
          <w:rStyle w:val="Textoennegrita"/>
          <w:rFonts w:ascii="Verdana" w:hAnsi="Verdana"/>
          <w:b w:val="0"/>
          <w:bCs w:val="0"/>
          <w:i/>
          <w:color w:val="000000"/>
          <w:sz w:val="16"/>
          <w:szCs w:val="16"/>
          <w:shd w:val="clear" w:color="auto" w:fill="FFFFFF"/>
        </w:rPr>
        <w:t xml:space="preserve">Caso Gonzáles </w:t>
      </w:r>
      <w:proofErr w:type="spellStart"/>
      <w:r>
        <w:rPr>
          <w:rStyle w:val="Textoennegrita"/>
          <w:rFonts w:ascii="Verdana" w:hAnsi="Verdana"/>
          <w:b w:val="0"/>
          <w:bCs w:val="0"/>
          <w:i/>
          <w:color w:val="000000"/>
          <w:sz w:val="16"/>
          <w:szCs w:val="16"/>
          <w:shd w:val="clear" w:color="auto" w:fill="FFFFFF"/>
        </w:rPr>
        <w:t>Lluy</w:t>
      </w:r>
      <w:proofErr w:type="spellEnd"/>
      <w:r>
        <w:rPr>
          <w:rStyle w:val="Textoennegrita"/>
          <w:rFonts w:ascii="Verdana" w:hAnsi="Verdana"/>
          <w:b w:val="0"/>
          <w:bCs w:val="0"/>
          <w:i/>
          <w:color w:val="000000"/>
          <w:sz w:val="16"/>
          <w:szCs w:val="16"/>
          <w:shd w:val="clear" w:color="auto" w:fill="FFFFFF"/>
        </w:rPr>
        <w:t xml:space="preserve"> y otros Vs. Ecuador. Medidas Provisionales. </w:t>
      </w:r>
      <w:r>
        <w:rPr>
          <w:rStyle w:val="Textoennegrita"/>
          <w:rFonts w:ascii="Verdana" w:hAnsi="Verdana"/>
          <w:b w:val="0"/>
          <w:bCs w:val="0"/>
          <w:color w:val="000000"/>
          <w:sz w:val="16"/>
          <w:szCs w:val="16"/>
          <w:shd w:val="clear" w:color="auto" w:fill="FFFFFF"/>
        </w:rPr>
        <w:t>Resolución de la Corte Interamericana de Derechos Humanos de 2 de setiembre de 2015, Considerandos 25 y 26;</w:t>
      </w:r>
      <w:r>
        <w:rPr>
          <w:rStyle w:val="Textoennegrita"/>
          <w:rFonts w:ascii="Verdana" w:hAnsi="Verdana"/>
          <w:b w:val="0"/>
          <w:bCs w:val="0"/>
          <w:i/>
          <w:color w:val="000000"/>
          <w:sz w:val="16"/>
          <w:szCs w:val="16"/>
          <w:shd w:val="clear" w:color="auto" w:fill="FFFFFF"/>
        </w:rPr>
        <w:t xml:space="preserve"> </w:t>
      </w:r>
      <w:r w:rsidRPr="00191FE3">
        <w:rPr>
          <w:rStyle w:val="Textoennegrita"/>
          <w:rFonts w:ascii="Verdana" w:hAnsi="Verdana"/>
          <w:b w:val="0"/>
          <w:bCs w:val="0"/>
          <w:i/>
          <w:color w:val="000000"/>
          <w:sz w:val="16"/>
          <w:szCs w:val="16"/>
          <w:shd w:val="clear" w:color="auto" w:fill="FFFFFF"/>
        </w:rPr>
        <w:t>Caso I.V</w:t>
      </w:r>
      <w:r>
        <w:rPr>
          <w:rStyle w:val="Textoennegrita"/>
          <w:rFonts w:ascii="Verdana" w:hAnsi="Verdana"/>
          <w:b w:val="0"/>
          <w:bCs w:val="0"/>
          <w:i/>
          <w:color w:val="000000"/>
          <w:sz w:val="16"/>
          <w:szCs w:val="16"/>
          <w:shd w:val="clear" w:color="auto" w:fill="FFFFFF"/>
        </w:rPr>
        <w:t>.</w:t>
      </w:r>
      <w:r w:rsidRPr="00191FE3">
        <w:rPr>
          <w:rStyle w:val="Textoennegrita"/>
          <w:rFonts w:ascii="Verdana" w:hAnsi="Verdana"/>
          <w:b w:val="0"/>
          <w:bCs w:val="0"/>
          <w:i/>
          <w:color w:val="000000"/>
          <w:sz w:val="16"/>
          <w:szCs w:val="16"/>
          <w:shd w:val="clear" w:color="auto" w:fill="FFFFFF"/>
        </w:rPr>
        <w:t xml:space="preserve"> Vs. Bolivia. Solicitud de Medidas Provisionales</w:t>
      </w:r>
      <w:r>
        <w:rPr>
          <w:rStyle w:val="Textoennegrita"/>
          <w:rFonts w:ascii="Verdana" w:hAnsi="Verdana"/>
          <w:b w:val="0"/>
          <w:bCs w:val="0"/>
          <w:color w:val="000000"/>
          <w:sz w:val="16"/>
          <w:szCs w:val="16"/>
          <w:shd w:val="clear" w:color="auto" w:fill="FFFFFF"/>
        </w:rPr>
        <w:t xml:space="preserve">. Resolución de la Corte Interamericana de Derechos Humanos de 25 de mayo de 2017, Considerandos 11 y 12; </w:t>
      </w:r>
      <w:r w:rsidRPr="00221D27">
        <w:rPr>
          <w:rStyle w:val="Textoennegrita"/>
          <w:rFonts w:ascii="Verdana" w:hAnsi="Verdana"/>
          <w:b w:val="0"/>
          <w:bCs w:val="0"/>
          <w:i/>
          <w:color w:val="000000"/>
          <w:sz w:val="16"/>
          <w:szCs w:val="16"/>
          <w:shd w:val="clear" w:color="auto" w:fill="FFFFFF"/>
        </w:rPr>
        <w:t xml:space="preserve">Caso </w:t>
      </w:r>
      <w:proofErr w:type="spellStart"/>
      <w:r w:rsidRPr="00221D27">
        <w:rPr>
          <w:rStyle w:val="Textoennegrita"/>
          <w:rFonts w:ascii="Verdana" w:hAnsi="Verdana"/>
          <w:b w:val="0"/>
          <w:bCs w:val="0"/>
          <w:i/>
          <w:color w:val="000000"/>
          <w:sz w:val="16"/>
          <w:szCs w:val="16"/>
          <w:shd w:val="clear" w:color="auto" w:fill="FFFFFF"/>
        </w:rPr>
        <w:t>Cesti</w:t>
      </w:r>
      <w:proofErr w:type="spellEnd"/>
      <w:r w:rsidRPr="00221D27">
        <w:rPr>
          <w:rStyle w:val="Textoennegrita"/>
          <w:rFonts w:ascii="Verdana" w:hAnsi="Verdana"/>
          <w:b w:val="0"/>
          <w:bCs w:val="0"/>
          <w:i/>
          <w:color w:val="000000"/>
          <w:sz w:val="16"/>
          <w:szCs w:val="16"/>
          <w:shd w:val="clear" w:color="auto" w:fill="FFFFFF"/>
        </w:rPr>
        <w:t xml:space="preserve"> Hurtado Vs. Perú. Solicitud de Medidas Provisionales y supervisión de cumplimiento de sentencia.</w:t>
      </w:r>
      <w:r w:rsidRPr="00221D27">
        <w:rPr>
          <w:rStyle w:val="Textoennegrita"/>
          <w:rFonts w:ascii="Verdana" w:hAnsi="Verdana"/>
          <w:b w:val="0"/>
          <w:bCs w:val="0"/>
          <w:color w:val="000000"/>
          <w:sz w:val="16"/>
          <w:szCs w:val="16"/>
          <w:shd w:val="clear" w:color="auto" w:fill="FFFFFF"/>
        </w:rPr>
        <w:t xml:space="preserve"> Resolución de la Corte Interamericana de Derechos Humanos de 14 de octubre de 2019, Considerandos 24 a 26.</w:t>
      </w:r>
    </w:p>
  </w:footnote>
  <w:footnote w:id="3">
    <w:p w14:paraId="3E4FB4A3" w14:textId="77777777" w:rsidR="00937ACF" w:rsidRPr="00E16E09" w:rsidRDefault="00937ACF" w:rsidP="00937AC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i/>
          <w:sz w:val="16"/>
          <w:szCs w:val="16"/>
        </w:rPr>
        <w:t xml:space="preserve">Cfr. </w:t>
      </w:r>
      <w:r w:rsidRPr="00221D27">
        <w:rPr>
          <w:rFonts w:ascii="Verdana" w:hAnsi="Verdana"/>
          <w:i/>
          <w:sz w:val="16"/>
          <w:szCs w:val="16"/>
        </w:rPr>
        <w:t>Caso Durand y Ugarte Vs. Perú. Medidas Provisionales.</w:t>
      </w:r>
      <w:r w:rsidRPr="00221D27">
        <w:rPr>
          <w:rFonts w:ascii="Verdana" w:hAnsi="Verdana"/>
          <w:sz w:val="16"/>
          <w:szCs w:val="16"/>
        </w:rPr>
        <w:t xml:space="preserve"> Resolución </w:t>
      </w:r>
      <w:r>
        <w:rPr>
          <w:rFonts w:ascii="Verdana" w:hAnsi="Verdana"/>
          <w:sz w:val="16"/>
          <w:szCs w:val="16"/>
        </w:rPr>
        <w:t xml:space="preserve">de la Corte Interamericana de Derechos Humanos </w:t>
      </w:r>
      <w:r w:rsidRPr="00221D27">
        <w:rPr>
          <w:rFonts w:ascii="Verdana" w:hAnsi="Verdana"/>
          <w:sz w:val="16"/>
          <w:szCs w:val="16"/>
        </w:rPr>
        <w:t>de 8 de febrero de 2018</w:t>
      </w:r>
      <w:r>
        <w:rPr>
          <w:rFonts w:ascii="Verdana" w:hAnsi="Verdana"/>
          <w:sz w:val="16"/>
          <w:szCs w:val="16"/>
        </w:rPr>
        <w:t>,</w:t>
      </w:r>
      <w:r w:rsidRPr="00221D27">
        <w:rPr>
          <w:rFonts w:ascii="Verdana" w:hAnsi="Verdana"/>
          <w:sz w:val="16"/>
          <w:szCs w:val="16"/>
        </w:rPr>
        <w:t xml:space="preserve"> </w:t>
      </w:r>
      <w:r>
        <w:rPr>
          <w:rFonts w:ascii="Verdana" w:hAnsi="Verdana"/>
          <w:sz w:val="16"/>
          <w:szCs w:val="16"/>
        </w:rPr>
        <w:t xml:space="preserve">y </w:t>
      </w:r>
      <w:r w:rsidRPr="00221D27">
        <w:rPr>
          <w:rFonts w:ascii="Verdana" w:hAnsi="Verdana"/>
          <w:bCs/>
          <w:i/>
          <w:sz w:val="16"/>
          <w:szCs w:val="16"/>
        </w:rPr>
        <w:t xml:space="preserve">Caso Miembros de la Aldea </w:t>
      </w:r>
      <w:proofErr w:type="spellStart"/>
      <w:r w:rsidRPr="00221D27">
        <w:rPr>
          <w:rFonts w:ascii="Verdana" w:hAnsi="Verdana"/>
          <w:bCs/>
          <w:i/>
          <w:sz w:val="16"/>
          <w:szCs w:val="16"/>
        </w:rPr>
        <w:t>Chichupac</w:t>
      </w:r>
      <w:proofErr w:type="spellEnd"/>
      <w:r w:rsidRPr="00221D27">
        <w:rPr>
          <w:rFonts w:ascii="Verdana" w:hAnsi="Verdana"/>
          <w:bCs/>
          <w:i/>
          <w:sz w:val="16"/>
          <w:szCs w:val="16"/>
        </w:rPr>
        <w:t xml:space="preserve"> y comunidades vecinas del Municipio de Rabinal, Caso Molina </w:t>
      </w:r>
      <w:proofErr w:type="spellStart"/>
      <w:r w:rsidRPr="00221D27">
        <w:rPr>
          <w:rFonts w:ascii="Verdana" w:hAnsi="Verdana"/>
          <w:bCs/>
          <w:i/>
          <w:sz w:val="16"/>
          <w:szCs w:val="16"/>
        </w:rPr>
        <w:t>Theissen</w:t>
      </w:r>
      <w:proofErr w:type="spellEnd"/>
      <w:r w:rsidRPr="00221D27">
        <w:rPr>
          <w:rFonts w:ascii="Verdana" w:hAnsi="Verdana"/>
          <w:bCs/>
          <w:i/>
          <w:sz w:val="16"/>
          <w:szCs w:val="16"/>
        </w:rPr>
        <w:t xml:space="preserve"> y otros 12 Casos Guatemaltecos Vs. Guatemala. Medidas Provisionales y Supervisión de Cumplimiento de Sentencia.</w:t>
      </w:r>
      <w:r w:rsidRPr="00221D27">
        <w:rPr>
          <w:rFonts w:ascii="Verdana" w:hAnsi="Verdana"/>
          <w:bCs/>
          <w:sz w:val="16"/>
          <w:szCs w:val="16"/>
        </w:rPr>
        <w:t xml:space="preserve"> Resolución </w:t>
      </w:r>
      <w:r>
        <w:rPr>
          <w:rFonts w:ascii="Verdana" w:hAnsi="Verdana"/>
          <w:bCs/>
          <w:sz w:val="16"/>
          <w:szCs w:val="16"/>
        </w:rPr>
        <w:t xml:space="preserve">de la Corte Interamericana de Derechos Humanos </w:t>
      </w:r>
      <w:r w:rsidRPr="00221D27">
        <w:rPr>
          <w:rFonts w:ascii="Verdana" w:hAnsi="Verdana"/>
          <w:bCs/>
          <w:sz w:val="16"/>
          <w:szCs w:val="16"/>
        </w:rPr>
        <w:t>de 12 de marzo de 2019</w:t>
      </w:r>
      <w:r w:rsidRPr="003F0B58">
        <w:rPr>
          <w:rFonts w:ascii="Verdana" w:hAnsi="Verdana"/>
          <w:sz w:val="16"/>
          <w:szCs w:val="16"/>
        </w:rPr>
        <w:t>.</w:t>
      </w:r>
    </w:p>
  </w:footnote>
  <w:footnote w:id="4">
    <w:p w14:paraId="19FD87CD" w14:textId="44564B16" w:rsidR="007D2193" w:rsidRPr="00937ACF" w:rsidRDefault="007D2193" w:rsidP="007D2193">
      <w:pPr>
        <w:pStyle w:val="Textonotapie"/>
        <w:jc w:val="both"/>
        <w:rPr>
          <w:rFonts w:ascii="Verdana" w:hAnsi="Verdana"/>
          <w:sz w:val="16"/>
          <w:szCs w:val="16"/>
          <w:lang w:val="es-MX"/>
        </w:rPr>
      </w:pPr>
      <w:r w:rsidRPr="00937ACF">
        <w:rPr>
          <w:rStyle w:val="Refdenotaalpie"/>
          <w:szCs w:val="16"/>
        </w:rPr>
        <w:footnoteRef/>
      </w:r>
      <w:r w:rsidRPr="00937ACF">
        <w:rPr>
          <w:rFonts w:ascii="Verdana" w:hAnsi="Verdana"/>
          <w:sz w:val="16"/>
          <w:szCs w:val="16"/>
        </w:rPr>
        <w:t xml:space="preserve"> </w:t>
      </w:r>
      <w:r w:rsidRPr="00937ACF">
        <w:rPr>
          <w:rFonts w:ascii="Verdana" w:hAnsi="Verdana"/>
          <w:sz w:val="16"/>
          <w:szCs w:val="16"/>
        </w:rPr>
        <w:tab/>
      </w:r>
      <w:r w:rsidRPr="00937ACF">
        <w:rPr>
          <w:rFonts w:ascii="Verdana" w:hAnsi="Verdana"/>
          <w:i/>
          <w:sz w:val="16"/>
          <w:szCs w:val="16"/>
          <w:lang w:val="es-MX"/>
        </w:rPr>
        <w:t xml:space="preserve">Cfr. </w:t>
      </w:r>
      <w:r w:rsidR="00937ACF" w:rsidRPr="00937ACF">
        <w:rPr>
          <w:rFonts w:ascii="Verdana" w:hAnsi="Verdana" w:cs="Arial"/>
          <w:i/>
          <w:iCs/>
          <w:sz w:val="16"/>
          <w:szCs w:val="16"/>
          <w:shd w:val="clear" w:color="auto" w:fill="FFFFFF"/>
        </w:rPr>
        <w:t>Caso Vélez Loor Vs. Panamá. Medidas Provisionales. Adopción de Medidas Provisionales.</w:t>
      </w:r>
      <w:r w:rsidR="00937ACF" w:rsidRPr="00937ACF">
        <w:rPr>
          <w:rFonts w:ascii="Verdana" w:hAnsi="Verdana" w:cs="Arial"/>
          <w:sz w:val="16"/>
          <w:szCs w:val="16"/>
          <w:shd w:val="clear" w:color="auto" w:fill="FFFFFF"/>
        </w:rPr>
        <w:t xml:space="preserve"> Resolución de la Corte Interamericana de Derechos Humanos de 29 de julio de 2020.</w:t>
      </w:r>
    </w:p>
  </w:footnote>
  <w:footnote w:id="5">
    <w:p w14:paraId="03F5C493" w14:textId="77777777" w:rsidR="00D77D5E" w:rsidRPr="00221D27" w:rsidRDefault="00D77D5E" w:rsidP="00D77D5E">
      <w:pPr>
        <w:pStyle w:val="Textonotapie"/>
        <w:tabs>
          <w:tab w:val="left" w:pos="567"/>
        </w:tabs>
        <w:jc w:val="both"/>
        <w:rPr>
          <w:rFonts w:ascii="Verdana" w:hAnsi="Verdana"/>
          <w:sz w:val="16"/>
          <w:szCs w:val="16"/>
          <w:lang w:val="es-CR"/>
        </w:rPr>
      </w:pPr>
      <w:r w:rsidRPr="00221D27">
        <w:rPr>
          <w:rStyle w:val="Refdenotaalpie"/>
          <w:szCs w:val="16"/>
        </w:rPr>
        <w:footnoteRef/>
      </w:r>
      <w:r w:rsidRPr="00221D27">
        <w:rPr>
          <w:rFonts w:ascii="Verdana" w:hAnsi="Verdana"/>
          <w:sz w:val="16"/>
          <w:szCs w:val="16"/>
          <w:lang w:val="es-CR"/>
        </w:rPr>
        <w:t xml:space="preserve"> </w:t>
      </w:r>
      <w:r w:rsidRPr="00221D27">
        <w:rPr>
          <w:rFonts w:ascii="Verdana" w:hAnsi="Verdana"/>
          <w:sz w:val="16"/>
          <w:szCs w:val="16"/>
          <w:lang w:val="es-CR"/>
        </w:rPr>
        <w:tab/>
      </w:r>
      <w:r w:rsidRPr="00C1731C">
        <w:rPr>
          <w:rFonts w:ascii="Verdana" w:hAnsi="Verdana"/>
          <w:i/>
          <w:sz w:val="16"/>
          <w:szCs w:val="16"/>
          <w:lang w:val="es-CR"/>
        </w:rPr>
        <w:t xml:space="preserve">Cfr. Caso Carpio </w:t>
      </w:r>
      <w:proofErr w:type="spellStart"/>
      <w:r w:rsidRPr="00C1731C">
        <w:rPr>
          <w:rFonts w:ascii="Verdana" w:hAnsi="Verdana"/>
          <w:i/>
          <w:sz w:val="16"/>
          <w:szCs w:val="16"/>
          <w:lang w:val="es-CR"/>
        </w:rPr>
        <w:t>Nicolle</w:t>
      </w:r>
      <w:proofErr w:type="spellEnd"/>
      <w:r w:rsidRPr="00C1731C">
        <w:rPr>
          <w:rFonts w:ascii="Verdana" w:hAnsi="Verdana"/>
          <w:i/>
          <w:sz w:val="16"/>
          <w:szCs w:val="16"/>
          <w:lang w:val="es-CR"/>
        </w:rPr>
        <w:t xml:space="preserve"> y otros </w:t>
      </w:r>
      <w:r>
        <w:rPr>
          <w:rFonts w:ascii="Verdana" w:hAnsi="Verdana"/>
          <w:i/>
          <w:sz w:val="16"/>
          <w:szCs w:val="16"/>
          <w:lang w:val="es-CR"/>
        </w:rPr>
        <w:t>Vs.</w:t>
      </w:r>
      <w:r w:rsidRPr="00C1731C">
        <w:rPr>
          <w:rFonts w:ascii="Verdana" w:hAnsi="Verdana"/>
          <w:i/>
          <w:sz w:val="16"/>
          <w:szCs w:val="16"/>
          <w:lang w:val="es-CR"/>
        </w:rPr>
        <w:t xml:space="preserve"> Guatemala. Medidas Provisionales.</w:t>
      </w:r>
      <w:r w:rsidRPr="00C1731C">
        <w:rPr>
          <w:rFonts w:ascii="Verdana" w:hAnsi="Verdana"/>
          <w:sz w:val="16"/>
          <w:szCs w:val="16"/>
          <w:lang w:val="es-CR"/>
        </w:rPr>
        <w:t xml:space="preserve"> Resolución de la Corte Interamericana de Derechos Humanos de 6 de julio de 2009, Considerando 14, y </w:t>
      </w:r>
      <w:r w:rsidRPr="00C1731C">
        <w:rPr>
          <w:rFonts w:ascii="Verdana" w:hAnsi="Verdana"/>
          <w:i/>
          <w:sz w:val="16"/>
          <w:szCs w:val="16"/>
          <w:lang w:val="es-CR"/>
        </w:rPr>
        <w:t>Asuntos de Determinados Centros Penitenciarios de Venezuela. Humberto Prado. Marianela Sánchez Ortiz y familia. Medidas Provisionales respecto de Venezuela.</w:t>
      </w:r>
      <w:r w:rsidRPr="00C1731C">
        <w:rPr>
          <w:rFonts w:ascii="Verdana" w:hAnsi="Verdana"/>
          <w:sz w:val="16"/>
          <w:szCs w:val="16"/>
          <w:lang w:val="es-CR"/>
        </w:rPr>
        <w:t xml:space="preserve"> Resolución de la Corte Interamericana de Derechos Humanos de 8 de julio de 2020, Considerando 2.</w:t>
      </w:r>
      <w:r>
        <w:rPr>
          <w:rFonts w:ascii="Verdana" w:hAnsi="Verdana"/>
          <w:sz w:val="16"/>
          <w:szCs w:val="16"/>
          <w:lang w:val="es-CR"/>
        </w:rPr>
        <w:t xml:space="preserve"> </w:t>
      </w:r>
    </w:p>
  </w:footnote>
  <w:footnote w:id="6">
    <w:p w14:paraId="0682EF42" w14:textId="77777777" w:rsidR="00D77D5E" w:rsidRPr="002907CD" w:rsidRDefault="00D77D5E" w:rsidP="00D77D5E">
      <w:pPr>
        <w:tabs>
          <w:tab w:val="left" w:pos="567"/>
        </w:tabs>
        <w:jc w:val="both"/>
        <w:rPr>
          <w:rFonts w:ascii="Verdana" w:hAnsi="Verdana"/>
          <w:i/>
          <w:iCs/>
          <w:sz w:val="16"/>
          <w:szCs w:val="16"/>
          <w:lang w:val="es-ES"/>
        </w:rPr>
      </w:pPr>
      <w:r w:rsidRPr="00221D27">
        <w:rPr>
          <w:rStyle w:val="Refdenotaalpie"/>
          <w:szCs w:val="16"/>
        </w:rPr>
        <w:footnoteRef/>
      </w:r>
      <w:r w:rsidRPr="00221D27">
        <w:rPr>
          <w:rFonts w:ascii="Verdana" w:hAnsi="Verdana"/>
          <w:sz w:val="16"/>
          <w:szCs w:val="16"/>
        </w:rPr>
        <w:tab/>
      </w:r>
      <w:r w:rsidRPr="002907CD">
        <w:rPr>
          <w:rFonts w:ascii="Verdana" w:hAnsi="Verdana"/>
          <w:i/>
          <w:iCs/>
          <w:sz w:val="16"/>
          <w:szCs w:val="16"/>
          <w:lang w:val="es-ES"/>
        </w:rPr>
        <w:t xml:space="preserve">Cfr. </w:t>
      </w:r>
      <w:r w:rsidRPr="002907CD">
        <w:rPr>
          <w:rFonts w:ascii="Verdana" w:hAnsi="Verdana"/>
          <w:i/>
          <w:sz w:val="16"/>
          <w:szCs w:val="16"/>
          <w:lang w:val="es-CR"/>
        </w:rPr>
        <w:t xml:space="preserve">Caso Bámaca Velásquez Vs. Guatemala. Medidas Provisionales. </w:t>
      </w:r>
      <w:r w:rsidRPr="002907CD">
        <w:rPr>
          <w:rFonts w:ascii="Verdana" w:hAnsi="Verdana"/>
          <w:sz w:val="16"/>
          <w:szCs w:val="16"/>
          <w:lang w:val="es-CR"/>
        </w:rPr>
        <w:t>Resolución de la Corte Interamericana de Derechos Humanos de 20 de noviembre de 2003, Considerando 10</w:t>
      </w:r>
      <w:r w:rsidRPr="002907CD">
        <w:rPr>
          <w:rFonts w:ascii="Verdana" w:hAnsi="Verdana"/>
          <w:iCs/>
          <w:sz w:val="16"/>
          <w:szCs w:val="16"/>
          <w:lang w:val="es-ES"/>
        </w:rPr>
        <w:t>,</w:t>
      </w:r>
      <w:r w:rsidRPr="002907CD">
        <w:rPr>
          <w:rFonts w:ascii="Verdana" w:hAnsi="Verdana"/>
          <w:sz w:val="16"/>
          <w:szCs w:val="16"/>
        </w:rPr>
        <w:t xml:space="preserve"> y </w:t>
      </w:r>
      <w:r w:rsidRPr="002907CD">
        <w:rPr>
          <w:rFonts w:ascii="Verdana" w:hAnsi="Verdana"/>
          <w:i/>
          <w:sz w:val="16"/>
          <w:szCs w:val="16"/>
        </w:rPr>
        <w:t xml:space="preserve">Caso Urrutia </w:t>
      </w:r>
      <w:proofErr w:type="spellStart"/>
      <w:r w:rsidRPr="002907CD">
        <w:rPr>
          <w:rFonts w:ascii="Verdana" w:hAnsi="Verdana"/>
          <w:i/>
          <w:sz w:val="16"/>
          <w:szCs w:val="16"/>
        </w:rPr>
        <w:t>Laubreaux</w:t>
      </w:r>
      <w:proofErr w:type="spellEnd"/>
      <w:r w:rsidRPr="002907CD">
        <w:rPr>
          <w:rFonts w:ascii="Verdana" w:hAnsi="Verdana"/>
          <w:i/>
          <w:sz w:val="16"/>
          <w:szCs w:val="16"/>
        </w:rPr>
        <w:t xml:space="preserve"> Vs. Chile. Solicitud de Medidas Provisionales</w:t>
      </w:r>
      <w:r w:rsidRPr="002907CD">
        <w:rPr>
          <w:rFonts w:ascii="Verdana" w:hAnsi="Verdana"/>
          <w:sz w:val="16"/>
          <w:szCs w:val="16"/>
        </w:rPr>
        <w:t>. Resolución de la Corte Interamericana de Derechos Humanos de 12 de marzo de 2020, Considerando 3.</w:t>
      </w:r>
    </w:p>
  </w:footnote>
  <w:footnote w:id="7">
    <w:p w14:paraId="68215EC3" w14:textId="77777777" w:rsidR="00D77D5E" w:rsidRPr="0051766F" w:rsidRDefault="00D77D5E" w:rsidP="00D77D5E">
      <w:pPr>
        <w:tabs>
          <w:tab w:val="left" w:pos="567"/>
        </w:tabs>
        <w:jc w:val="both"/>
        <w:rPr>
          <w:rFonts w:ascii="Verdana" w:hAnsi="Verdana"/>
          <w:i/>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51766F">
        <w:rPr>
          <w:rFonts w:ascii="Verdana" w:hAnsi="Verdana"/>
          <w:i/>
          <w:sz w:val="16"/>
          <w:szCs w:val="16"/>
        </w:rPr>
        <w:t xml:space="preserve">Cfr. Asuntos Internado Judicial de Monagas (“La Pica”); Centro Penitenciario Región Capital Yare I y Yare II (Cárcel de Yare); Centro Penitenciario de la Región Centro Occidental (Cárcel de </w:t>
      </w:r>
      <w:proofErr w:type="spellStart"/>
      <w:r w:rsidRPr="0051766F">
        <w:rPr>
          <w:rFonts w:ascii="Verdana" w:hAnsi="Verdana"/>
          <w:i/>
          <w:sz w:val="16"/>
          <w:szCs w:val="16"/>
        </w:rPr>
        <w:t>Uribana</w:t>
      </w:r>
      <w:proofErr w:type="spellEnd"/>
      <w:r w:rsidRPr="0051766F">
        <w:rPr>
          <w:rFonts w:ascii="Verdana" w:hAnsi="Verdana"/>
          <w:i/>
          <w:sz w:val="16"/>
          <w:szCs w:val="16"/>
        </w:rPr>
        <w:t>), e Internado Judicial Capital El Rodeo I y el Rodeo II. Medidas Provisionales respecto de la República Bolivariana de Venezuela</w:t>
      </w:r>
      <w:r w:rsidRPr="0051766F">
        <w:rPr>
          <w:rFonts w:ascii="Verdana" w:hAnsi="Verdana"/>
          <w:sz w:val="16"/>
          <w:szCs w:val="16"/>
        </w:rPr>
        <w:t xml:space="preserve">. Resolución de la Corte Interamericana de Derechos Humanos de 24 de noviembre de 2009, Considerando 3, y </w:t>
      </w:r>
      <w:r w:rsidRPr="0051766F">
        <w:rPr>
          <w:rFonts w:ascii="Verdana" w:hAnsi="Verdana"/>
          <w:i/>
          <w:sz w:val="16"/>
          <w:szCs w:val="16"/>
        </w:rPr>
        <w:t xml:space="preserve">Caso Cuya </w:t>
      </w:r>
      <w:proofErr w:type="spellStart"/>
      <w:r w:rsidRPr="0051766F">
        <w:rPr>
          <w:rFonts w:ascii="Verdana" w:hAnsi="Verdana"/>
          <w:i/>
          <w:sz w:val="16"/>
          <w:szCs w:val="16"/>
        </w:rPr>
        <w:t>Lavy</w:t>
      </w:r>
      <w:proofErr w:type="spellEnd"/>
      <w:r w:rsidRPr="0051766F">
        <w:rPr>
          <w:rFonts w:ascii="Verdana" w:hAnsi="Verdana"/>
          <w:i/>
          <w:sz w:val="16"/>
          <w:szCs w:val="16"/>
        </w:rPr>
        <w:t xml:space="preserve"> y otros Vs. Perú. Solicitud de Medidas Provisionales</w:t>
      </w:r>
      <w:r w:rsidRPr="0051766F">
        <w:rPr>
          <w:rFonts w:ascii="Verdana" w:hAnsi="Verdana"/>
          <w:sz w:val="16"/>
          <w:szCs w:val="16"/>
        </w:rPr>
        <w:t>. Resolución de la Corte Interamericana de Derechos Humanos de 12 de marzo de 2020, Considerando 5.</w:t>
      </w:r>
    </w:p>
  </w:footnote>
  <w:footnote w:id="8">
    <w:p w14:paraId="37840939" w14:textId="77777777" w:rsidR="000D739B" w:rsidRPr="00221D27" w:rsidRDefault="000D739B" w:rsidP="000D739B">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iCs/>
          <w:sz w:val="16"/>
          <w:szCs w:val="16"/>
        </w:rPr>
        <w:t>Cfr.</w:t>
      </w:r>
      <w:r w:rsidRPr="00221D27">
        <w:rPr>
          <w:rFonts w:ascii="Verdana" w:hAnsi="Verdana"/>
          <w:sz w:val="16"/>
          <w:szCs w:val="16"/>
        </w:rPr>
        <w:t xml:space="preserve"> Instituto Latinoamericano de las Naciones Unidas para la Prevención del Delito y el Tratamiento del Delincuente (ILANUD), “El Sistema Penitenciario ante la encrucijada producto de la crisis provocada por el COVID-19”, abril 2020</w:t>
      </w:r>
      <w:r>
        <w:rPr>
          <w:rFonts w:ascii="Verdana" w:hAnsi="Verdana"/>
          <w:sz w:val="16"/>
          <w:szCs w:val="16"/>
        </w:rPr>
        <w:t>.</w:t>
      </w:r>
      <w:r w:rsidRPr="00221D27">
        <w:rPr>
          <w:rFonts w:ascii="Verdana" w:hAnsi="Verdana"/>
          <w:sz w:val="16"/>
          <w:szCs w:val="16"/>
        </w:rPr>
        <w:t xml:space="preserve"> </w:t>
      </w:r>
      <w:r>
        <w:rPr>
          <w:rFonts w:ascii="Verdana" w:hAnsi="Verdana"/>
          <w:sz w:val="16"/>
          <w:szCs w:val="16"/>
        </w:rPr>
        <w:t>D</w:t>
      </w:r>
      <w:r w:rsidRPr="00221D27">
        <w:rPr>
          <w:rFonts w:ascii="Verdana" w:hAnsi="Verdana"/>
          <w:sz w:val="16"/>
          <w:szCs w:val="16"/>
        </w:rPr>
        <w:t xml:space="preserve">isponible en: </w:t>
      </w:r>
      <w:hyperlink r:id="rId1" w:history="1">
        <w:r w:rsidRPr="00221D27">
          <w:rPr>
            <w:rStyle w:val="Hipervnculo"/>
            <w:rFonts w:ascii="Verdana" w:hAnsi="Verdana"/>
            <w:sz w:val="16"/>
            <w:szCs w:val="16"/>
          </w:rPr>
          <w:t>https://www.ilanud.or.cr/wp-content/uploads/2020/04/ILANUD-COVID-19.pdf</w:t>
        </w:r>
      </w:hyperlink>
      <w:r w:rsidRPr="00221D27">
        <w:rPr>
          <w:rFonts w:ascii="Verdana" w:hAnsi="Verdana"/>
          <w:sz w:val="16"/>
          <w:szCs w:val="16"/>
        </w:rPr>
        <w:t>.</w:t>
      </w:r>
    </w:p>
  </w:footnote>
  <w:footnote w:id="9">
    <w:p w14:paraId="5F62A0B4" w14:textId="77777777" w:rsidR="000D739B" w:rsidRPr="00221D27" w:rsidRDefault="000D739B" w:rsidP="000D739B">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El CICR precisó que “[d]</w:t>
      </w:r>
      <w:proofErr w:type="spellStart"/>
      <w:r w:rsidRPr="00221D27">
        <w:rPr>
          <w:rFonts w:ascii="Verdana" w:hAnsi="Verdana"/>
          <w:sz w:val="16"/>
          <w:szCs w:val="16"/>
        </w:rPr>
        <w:t>atos</w:t>
      </w:r>
      <w:proofErr w:type="spellEnd"/>
      <w:r w:rsidRPr="00221D27">
        <w:rPr>
          <w:rFonts w:ascii="Verdana" w:hAnsi="Verdana"/>
          <w:sz w:val="16"/>
          <w:szCs w:val="16"/>
        </w:rPr>
        <w:t xml:space="preserve"> sobre población no encarcelada muestran que el número de básico de reproducción (RO= número de casos secundarios infectados del caso primario) para COVID-19 está entre 2 y 2.5”, mientras que, en lugares de detención, “el RO se presume que será significativamente mayor”. </w:t>
      </w:r>
      <w:r w:rsidRPr="00221D27">
        <w:rPr>
          <w:rFonts w:ascii="Verdana" w:hAnsi="Verdana"/>
          <w:i/>
          <w:sz w:val="16"/>
          <w:szCs w:val="16"/>
        </w:rPr>
        <w:t xml:space="preserve">Cfr. </w:t>
      </w:r>
      <w:r w:rsidRPr="00221D27">
        <w:rPr>
          <w:rFonts w:ascii="Verdana" w:hAnsi="Verdana"/>
          <w:sz w:val="16"/>
          <w:szCs w:val="16"/>
        </w:rPr>
        <w:t>Comité Internacional de la Cruz Roja</w:t>
      </w:r>
      <w:r>
        <w:rPr>
          <w:rFonts w:ascii="Verdana" w:hAnsi="Verdana"/>
          <w:sz w:val="16"/>
          <w:szCs w:val="16"/>
        </w:rPr>
        <w:t xml:space="preserve"> (CICR)</w:t>
      </w:r>
      <w:r w:rsidRPr="00221D27">
        <w:rPr>
          <w:rFonts w:ascii="Verdana" w:hAnsi="Verdana"/>
          <w:sz w:val="16"/>
          <w:szCs w:val="16"/>
        </w:rPr>
        <w:t xml:space="preserve">, “Respuestas de salud en detención al COVID-19”, 17 de marzo de 2020. Disponible en: </w:t>
      </w:r>
      <w:hyperlink r:id="rId2" w:history="1">
        <w:r w:rsidRPr="00221D27">
          <w:rPr>
            <w:rStyle w:val="Hipervnculo"/>
            <w:rFonts w:ascii="Verdana" w:hAnsi="Verdana"/>
            <w:sz w:val="16"/>
            <w:szCs w:val="16"/>
          </w:rPr>
          <w:t>https://www.icrc.org/es/download/file/114942/respuesta_de_salud_covid19.pdf</w:t>
        </w:r>
      </w:hyperlink>
      <w:r w:rsidRPr="00221D27">
        <w:rPr>
          <w:rFonts w:ascii="Verdana" w:hAnsi="Verdana"/>
          <w:sz w:val="16"/>
          <w:szCs w:val="16"/>
        </w:rPr>
        <w:t xml:space="preserve"> </w:t>
      </w:r>
    </w:p>
  </w:footnote>
  <w:footnote w:id="10">
    <w:p w14:paraId="24FA4D65" w14:textId="77777777" w:rsidR="000D739B" w:rsidRPr="00221D27" w:rsidRDefault="000D739B" w:rsidP="000D739B">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i/>
          <w:iCs/>
          <w:sz w:val="16"/>
          <w:szCs w:val="16"/>
          <w:lang w:val="es-AR"/>
        </w:rPr>
        <w:t xml:space="preserve"> </w:t>
      </w:r>
      <w:r w:rsidRPr="00221D27">
        <w:rPr>
          <w:rFonts w:ascii="Verdana" w:hAnsi="Verdana"/>
          <w:i/>
          <w:iCs/>
          <w:sz w:val="16"/>
          <w:szCs w:val="16"/>
          <w:lang w:val="es-AR"/>
        </w:rPr>
        <w:tab/>
        <w:t>Cfr.</w:t>
      </w:r>
      <w:r w:rsidRPr="00221D27">
        <w:rPr>
          <w:rFonts w:ascii="Verdana" w:hAnsi="Verdana"/>
          <w:sz w:val="16"/>
          <w:szCs w:val="16"/>
          <w:lang w:val="es-AR"/>
        </w:rPr>
        <w:t xml:space="preserve"> Declaración No. 1/20, “COVID-19 y Derechos Humanos: los problemas y desafíos deben ser abordados con perspectiva de derechos humanos y respetando las obligaciones internacionales”, </w:t>
      </w:r>
      <w:r w:rsidRPr="00221D27">
        <w:rPr>
          <w:rFonts w:ascii="Verdana" w:hAnsi="Verdana"/>
          <w:i/>
          <w:iCs/>
          <w:sz w:val="16"/>
          <w:szCs w:val="16"/>
          <w:lang w:val="es-AR"/>
        </w:rPr>
        <w:t>supra</w:t>
      </w:r>
      <w:r>
        <w:rPr>
          <w:rFonts w:ascii="Verdana" w:hAnsi="Verdana"/>
          <w:sz w:val="16"/>
          <w:szCs w:val="16"/>
          <w:lang w:val="es-AR"/>
        </w:rPr>
        <w:t xml:space="preserve"> nota.</w:t>
      </w:r>
      <w:r w:rsidRPr="00221D27">
        <w:rPr>
          <w:rFonts w:ascii="Verdana" w:hAnsi="Verdana"/>
          <w:sz w:val="16"/>
          <w:szCs w:val="16"/>
          <w:lang w:val="es-AR"/>
        </w:rPr>
        <w:t xml:space="preserve"> </w:t>
      </w:r>
    </w:p>
  </w:footnote>
  <w:footnote w:id="11">
    <w:p w14:paraId="7C0EE397" w14:textId="77777777" w:rsidR="008F3E9A" w:rsidRPr="0011499C" w:rsidRDefault="008F3E9A" w:rsidP="008F3E9A">
      <w:pPr>
        <w:pStyle w:val="Textonotapie"/>
        <w:jc w:val="both"/>
        <w:rPr>
          <w:rFonts w:ascii="Verdana" w:hAnsi="Verdana"/>
          <w:sz w:val="16"/>
          <w:szCs w:val="16"/>
          <w:highlight w:val="red"/>
        </w:rPr>
      </w:pPr>
      <w:r w:rsidRPr="000C5155">
        <w:rPr>
          <w:rStyle w:val="Refdenotaalpie"/>
          <w:szCs w:val="16"/>
        </w:rPr>
        <w:footnoteRef/>
      </w:r>
      <w:r w:rsidRPr="000C5155">
        <w:rPr>
          <w:rFonts w:ascii="Verdana" w:hAnsi="Verdana"/>
          <w:sz w:val="16"/>
          <w:szCs w:val="16"/>
        </w:rPr>
        <w:t xml:space="preserve"> </w:t>
      </w:r>
      <w:r w:rsidRPr="000C5155">
        <w:rPr>
          <w:rFonts w:ascii="Verdana" w:hAnsi="Verdana"/>
          <w:sz w:val="16"/>
          <w:szCs w:val="16"/>
        </w:rPr>
        <w:tab/>
      </w:r>
      <w:r w:rsidRPr="000C5155">
        <w:rPr>
          <w:rFonts w:ascii="Verdana" w:hAnsi="Verdana"/>
          <w:i/>
          <w:iCs/>
          <w:sz w:val="16"/>
          <w:szCs w:val="16"/>
        </w:rPr>
        <w:t>Cfr. Caso Neira Alegría y otros Vs. Perú. Fondo.</w:t>
      </w:r>
      <w:r w:rsidRPr="000C5155">
        <w:rPr>
          <w:rFonts w:ascii="Verdana" w:hAnsi="Verdana"/>
          <w:sz w:val="16"/>
          <w:szCs w:val="16"/>
        </w:rPr>
        <w:t xml:space="preserve"> Sentencia de 19 de enero de 1995. Serie C No. 20, párr. 60, y </w:t>
      </w:r>
      <w:r w:rsidRPr="000C5155">
        <w:rPr>
          <w:rFonts w:ascii="Verdana" w:hAnsi="Verdana"/>
          <w:i/>
          <w:sz w:val="16"/>
          <w:szCs w:val="16"/>
        </w:rPr>
        <w:t>Caso López y otros Vs. Argentina. Excepciones Preliminares, Fondo, Reparaciones y Costas</w:t>
      </w:r>
      <w:r w:rsidRPr="000C5155">
        <w:rPr>
          <w:rFonts w:ascii="Verdana" w:hAnsi="Verdana"/>
          <w:sz w:val="16"/>
          <w:szCs w:val="16"/>
        </w:rPr>
        <w:t>. Sentencia de 25 de noviembre de 2019. Serie C No. 396, párr. 90.</w:t>
      </w:r>
    </w:p>
  </w:footnote>
  <w:footnote w:id="12">
    <w:p w14:paraId="623E0912" w14:textId="77777777" w:rsidR="008F3E9A" w:rsidRPr="00DD2B51" w:rsidRDefault="008F3E9A" w:rsidP="008F3E9A">
      <w:pPr>
        <w:pStyle w:val="Textonotapie"/>
        <w:jc w:val="both"/>
        <w:rPr>
          <w:rFonts w:ascii="Verdana" w:hAnsi="Verdana"/>
          <w:sz w:val="16"/>
          <w:szCs w:val="16"/>
        </w:rPr>
      </w:pPr>
      <w:r w:rsidRPr="00DD2B51">
        <w:rPr>
          <w:rStyle w:val="Refdenotaalpie"/>
          <w:szCs w:val="16"/>
        </w:rPr>
        <w:footnoteRef/>
      </w:r>
      <w:r w:rsidRPr="00DD2B51">
        <w:rPr>
          <w:rFonts w:ascii="Verdana" w:hAnsi="Verdana"/>
          <w:sz w:val="16"/>
          <w:szCs w:val="16"/>
        </w:rPr>
        <w:t xml:space="preserve"> </w:t>
      </w:r>
      <w:r w:rsidRPr="00DD2B51">
        <w:rPr>
          <w:rFonts w:ascii="Verdana" w:hAnsi="Verdana"/>
          <w:sz w:val="16"/>
          <w:szCs w:val="16"/>
        </w:rPr>
        <w:tab/>
      </w:r>
      <w:r w:rsidRPr="00DD2B51">
        <w:rPr>
          <w:rFonts w:ascii="Verdana" w:hAnsi="Verdana"/>
          <w:i/>
          <w:iCs/>
          <w:sz w:val="16"/>
          <w:szCs w:val="16"/>
        </w:rPr>
        <w:t>Cfr</w:t>
      </w:r>
      <w:r w:rsidRPr="00DD2B51">
        <w:rPr>
          <w:rFonts w:ascii="Verdana" w:hAnsi="Verdana"/>
          <w:sz w:val="16"/>
          <w:szCs w:val="16"/>
        </w:rPr>
        <w:t xml:space="preserve">. </w:t>
      </w:r>
      <w:r w:rsidRPr="00DD2B51">
        <w:rPr>
          <w:rFonts w:ascii="Verdana" w:hAnsi="Verdana"/>
          <w:i/>
          <w:sz w:val="16"/>
          <w:szCs w:val="16"/>
        </w:rPr>
        <w:t xml:space="preserve">Asunto de Determinados Centros Penitenciarios de Venezuela. Centro Penitenciario de la Región Centro Occidental (Cárcel de </w:t>
      </w:r>
      <w:proofErr w:type="spellStart"/>
      <w:r w:rsidRPr="00DD2B51">
        <w:rPr>
          <w:rFonts w:ascii="Verdana" w:hAnsi="Verdana"/>
          <w:i/>
          <w:sz w:val="16"/>
          <w:szCs w:val="16"/>
        </w:rPr>
        <w:t>Uribana</w:t>
      </w:r>
      <w:proofErr w:type="spellEnd"/>
      <w:r w:rsidRPr="00DD2B51">
        <w:rPr>
          <w:rFonts w:ascii="Verdana" w:hAnsi="Verdana"/>
          <w:i/>
          <w:sz w:val="16"/>
          <w:szCs w:val="16"/>
        </w:rPr>
        <w:t>). Medidas Provisionales</w:t>
      </w:r>
      <w:r w:rsidRPr="00DD2B51">
        <w:rPr>
          <w:rFonts w:ascii="Verdana" w:hAnsi="Verdana"/>
          <w:sz w:val="16"/>
          <w:szCs w:val="16"/>
        </w:rPr>
        <w:t xml:space="preserve">. Resolución de la Corte Interamericana de Derechos Humanos del 13 de febrero de 2013, Considerando 7; y </w:t>
      </w:r>
      <w:r w:rsidRPr="00DD2B51">
        <w:rPr>
          <w:rFonts w:ascii="Verdana" w:hAnsi="Verdana"/>
          <w:i/>
          <w:sz w:val="16"/>
          <w:szCs w:val="16"/>
        </w:rPr>
        <w:t xml:space="preserve">Asunto del Complejo Penitenciario de Curado respecto de Brasil. Medidas Provisionales. </w:t>
      </w:r>
      <w:r w:rsidRPr="00DD2B51">
        <w:rPr>
          <w:rFonts w:ascii="Verdana" w:hAnsi="Verdana"/>
          <w:sz w:val="16"/>
          <w:szCs w:val="16"/>
        </w:rPr>
        <w:t>Resolución de la Corte Interamericana de Derechos Humanos de 28 de noviembre de 2018, Considerando 53.</w:t>
      </w:r>
    </w:p>
  </w:footnote>
  <w:footnote w:id="13">
    <w:p w14:paraId="00EEE311" w14:textId="77777777" w:rsidR="008F3E9A" w:rsidRPr="00221D27" w:rsidRDefault="008F3E9A" w:rsidP="008F3E9A">
      <w:pPr>
        <w:pStyle w:val="Textonotapie"/>
        <w:jc w:val="both"/>
        <w:rPr>
          <w:rFonts w:ascii="Verdana" w:hAnsi="Verdana"/>
          <w:sz w:val="16"/>
          <w:szCs w:val="16"/>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lang w:val="es"/>
        </w:rPr>
        <w:tab/>
      </w:r>
      <w:r w:rsidRPr="00415030">
        <w:rPr>
          <w:rFonts w:ascii="Verdana" w:hAnsi="Verdana"/>
          <w:i/>
          <w:sz w:val="16"/>
          <w:szCs w:val="16"/>
        </w:rPr>
        <w:t xml:space="preserve">Cfr. Caso Chinchilla Sandoval y otros Vs. Guatemala. Excepción Preliminar, Fondo, Reparaciones y Costas. </w:t>
      </w:r>
      <w:r w:rsidRPr="00415030">
        <w:rPr>
          <w:rFonts w:ascii="Verdana" w:hAnsi="Verdana"/>
          <w:sz w:val="16"/>
          <w:szCs w:val="16"/>
        </w:rPr>
        <w:t xml:space="preserve">Sentencia de 29 de febrero de 2016. Serie C No. 312, </w:t>
      </w:r>
      <w:proofErr w:type="spellStart"/>
      <w:r w:rsidRPr="00415030">
        <w:rPr>
          <w:rFonts w:ascii="Verdana" w:hAnsi="Verdana"/>
          <w:sz w:val="16"/>
          <w:szCs w:val="16"/>
        </w:rPr>
        <w:t>párrs</w:t>
      </w:r>
      <w:proofErr w:type="spellEnd"/>
      <w:r w:rsidRPr="00415030">
        <w:rPr>
          <w:rFonts w:ascii="Verdana" w:hAnsi="Verdana"/>
          <w:sz w:val="16"/>
          <w:szCs w:val="16"/>
        </w:rPr>
        <w:t>. 171 y 188.</w:t>
      </w:r>
    </w:p>
  </w:footnote>
  <w:footnote w:id="14">
    <w:p w14:paraId="6789A963" w14:textId="77777777" w:rsidR="008F3E9A" w:rsidRPr="00221D27" w:rsidRDefault="008F3E9A" w:rsidP="008F3E9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415030">
        <w:rPr>
          <w:rFonts w:ascii="Verdana" w:hAnsi="Verdana"/>
          <w:sz w:val="16"/>
          <w:szCs w:val="16"/>
        </w:rPr>
        <w:t xml:space="preserve">Contenidos, entre otros en: ONU, Reglas mínimas para el tratamiento de los reclusos. Adoptadas por el Primer Congreso de las Naciones Unidas sobre Prevención del Delito y Tratamiento del Delincuente, celebrado en Ginebra en 1955, y aprobadas por el Consejo Económico y Social en sus resoluciones 663C (XXIV) de 31 de julio de 1957 y 2076 (LXII) de 13 de mayo de 1977, y ONU, Conjunto de Principios para la protección de todas las personas sometidas a cualquier forma de detención o prisión. Adoptado por la Asamblea General de la ONU en su resolución 43/173, de 9 de diciembre de 1988. </w:t>
      </w:r>
      <w:r w:rsidRPr="00415030">
        <w:rPr>
          <w:rFonts w:ascii="Verdana" w:hAnsi="Verdana"/>
          <w:i/>
          <w:iCs/>
          <w:sz w:val="16"/>
          <w:szCs w:val="16"/>
        </w:rPr>
        <w:t>Cfr. Caso Pacheco Teruel y otros Vs. Honduras. Fondo, Reparaciones y Costas.</w:t>
      </w:r>
      <w:r w:rsidRPr="00415030">
        <w:rPr>
          <w:rFonts w:ascii="Verdana" w:hAnsi="Verdana"/>
          <w:sz w:val="16"/>
          <w:szCs w:val="16"/>
        </w:rPr>
        <w:t xml:space="preserve"> Sentencia de 27 de abril de 2012. Serie C No. 241, párr. 67.</w:t>
      </w:r>
    </w:p>
  </w:footnote>
  <w:footnote w:id="15">
    <w:p w14:paraId="27342D3C" w14:textId="77777777" w:rsidR="008F3E9A" w:rsidRPr="0011499C" w:rsidRDefault="008F3E9A" w:rsidP="008F3E9A">
      <w:pPr>
        <w:pStyle w:val="Textonotapie"/>
        <w:jc w:val="both"/>
        <w:rPr>
          <w:rFonts w:ascii="Verdana" w:hAnsi="Verdana"/>
          <w:sz w:val="16"/>
          <w:szCs w:val="16"/>
          <w:highlight w:val="red"/>
        </w:rPr>
      </w:pPr>
      <w:r w:rsidRPr="00415030">
        <w:rPr>
          <w:rStyle w:val="Refdenotaalpie"/>
          <w:szCs w:val="16"/>
        </w:rPr>
        <w:footnoteRef/>
      </w:r>
      <w:r w:rsidRPr="00415030">
        <w:rPr>
          <w:rFonts w:ascii="Verdana" w:hAnsi="Verdana"/>
          <w:sz w:val="16"/>
          <w:szCs w:val="16"/>
        </w:rPr>
        <w:t xml:space="preserve"> </w:t>
      </w:r>
      <w:r w:rsidRPr="00415030">
        <w:rPr>
          <w:rFonts w:ascii="Verdana" w:hAnsi="Verdana"/>
          <w:sz w:val="16"/>
          <w:szCs w:val="16"/>
        </w:rPr>
        <w:tab/>
        <w:t xml:space="preserve">Entre otros aspectos, la Corte ha detallado que todas las celdas deben contar con suficiente luz natural o artificial, ventilación y adecuadas condiciones de higiene y que los servicios sanitarios deben contar con condiciones de higiene y privacidad. </w:t>
      </w:r>
      <w:r w:rsidRPr="00415030">
        <w:rPr>
          <w:rFonts w:ascii="Verdana" w:hAnsi="Verdana"/>
          <w:i/>
          <w:iCs/>
          <w:sz w:val="16"/>
          <w:szCs w:val="16"/>
        </w:rPr>
        <w:t xml:space="preserve">Cfr. Caso Montero Aranguren y otros (Retén de Catia) Vs. Venezuela. Excepción Preliminar, Fondo, Reparaciones y Costas. </w:t>
      </w:r>
      <w:r w:rsidRPr="00415030">
        <w:rPr>
          <w:rFonts w:ascii="Verdana" w:hAnsi="Verdana"/>
          <w:iCs/>
          <w:sz w:val="16"/>
          <w:szCs w:val="16"/>
        </w:rPr>
        <w:t xml:space="preserve">Sentencia de 5 de julio de 2006. </w:t>
      </w:r>
      <w:r w:rsidRPr="00415030">
        <w:rPr>
          <w:rFonts w:ascii="Verdana" w:hAnsi="Verdana"/>
          <w:sz w:val="16"/>
          <w:szCs w:val="16"/>
        </w:rPr>
        <w:t>Serie C No.150,</w:t>
      </w:r>
      <w:r w:rsidRPr="00415030">
        <w:rPr>
          <w:rFonts w:ascii="Verdana" w:hAnsi="Verdana"/>
          <w:i/>
          <w:iCs/>
          <w:sz w:val="16"/>
          <w:szCs w:val="16"/>
        </w:rPr>
        <w:t xml:space="preserve"> </w:t>
      </w:r>
      <w:r w:rsidRPr="00415030">
        <w:rPr>
          <w:rFonts w:ascii="Verdana" w:hAnsi="Verdana"/>
          <w:sz w:val="16"/>
          <w:szCs w:val="16"/>
        </w:rPr>
        <w:t>párr. 146</w:t>
      </w:r>
      <w:r>
        <w:rPr>
          <w:rFonts w:ascii="Verdana" w:hAnsi="Verdana"/>
          <w:sz w:val="16"/>
          <w:szCs w:val="16"/>
        </w:rPr>
        <w:t>;</w:t>
      </w:r>
      <w:r w:rsidRPr="00415030">
        <w:rPr>
          <w:rFonts w:ascii="Verdana" w:hAnsi="Verdana"/>
          <w:sz w:val="16"/>
          <w:szCs w:val="16"/>
        </w:rPr>
        <w:t xml:space="preserve"> </w:t>
      </w:r>
      <w:r w:rsidRPr="00415030">
        <w:rPr>
          <w:rFonts w:ascii="Verdana" w:hAnsi="Verdana"/>
          <w:i/>
          <w:iCs/>
          <w:sz w:val="16"/>
          <w:szCs w:val="16"/>
        </w:rPr>
        <w:t xml:space="preserve">Caso del Penal Miguel Castro </w:t>
      </w:r>
      <w:proofErr w:type="spellStart"/>
      <w:r w:rsidRPr="00415030">
        <w:rPr>
          <w:rFonts w:ascii="Verdana" w:hAnsi="Verdana"/>
          <w:i/>
          <w:iCs/>
          <w:sz w:val="16"/>
          <w:szCs w:val="16"/>
        </w:rPr>
        <w:t>Castro</w:t>
      </w:r>
      <w:proofErr w:type="spellEnd"/>
      <w:r w:rsidRPr="00415030">
        <w:rPr>
          <w:rFonts w:ascii="Verdana" w:hAnsi="Verdana"/>
          <w:sz w:val="16"/>
          <w:szCs w:val="16"/>
        </w:rPr>
        <w:t xml:space="preserve">, </w:t>
      </w:r>
      <w:r w:rsidRPr="00415030">
        <w:rPr>
          <w:rFonts w:ascii="Verdana" w:hAnsi="Verdana"/>
          <w:i/>
          <w:iCs/>
          <w:sz w:val="16"/>
          <w:szCs w:val="16"/>
        </w:rPr>
        <w:t>supra</w:t>
      </w:r>
      <w:r w:rsidRPr="00415030">
        <w:rPr>
          <w:rFonts w:ascii="Verdana" w:hAnsi="Verdana"/>
          <w:sz w:val="16"/>
          <w:szCs w:val="16"/>
        </w:rPr>
        <w:t xml:space="preserve"> nota 1,</w:t>
      </w:r>
      <w:r w:rsidRPr="00415030">
        <w:rPr>
          <w:rFonts w:ascii="Verdana" w:hAnsi="Verdana"/>
          <w:i/>
          <w:iCs/>
          <w:sz w:val="16"/>
          <w:szCs w:val="16"/>
        </w:rPr>
        <w:t xml:space="preserve"> </w:t>
      </w:r>
      <w:r w:rsidRPr="00415030">
        <w:rPr>
          <w:rFonts w:ascii="Verdana" w:hAnsi="Verdana"/>
          <w:sz w:val="16"/>
          <w:szCs w:val="16"/>
        </w:rPr>
        <w:t xml:space="preserve">párr. 315, y </w:t>
      </w:r>
      <w:r w:rsidRPr="00415030">
        <w:rPr>
          <w:rFonts w:ascii="Verdana" w:hAnsi="Verdana"/>
          <w:i/>
          <w:iCs/>
          <w:sz w:val="16"/>
          <w:szCs w:val="16"/>
        </w:rPr>
        <w:t>Caso Pacheco Teruel y otros Vs. Honduras, supra</w:t>
      </w:r>
      <w:r w:rsidRPr="00415030">
        <w:rPr>
          <w:rFonts w:ascii="Verdana" w:hAnsi="Verdana"/>
          <w:sz w:val="16"/>
          <w:szCs w:val="16"/>
        </w:rPr>
        <w:t xml:space="preserve"> nota, párr. 67.</w:t>
      </w:r>
    </w:p>
  </w:footnote>
  <w:footnote w:id="16">
    <w:p w14:paraId="17B815D0" w14:textId="77777777" w:rsidR="008F3E9A" w:rsidRPr="0011499C" w:rsidRDefault="008F3E9A" w:rsidP="008F3E9A">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Cantoral Benavides Vs. Perú. Fondo</w:t>
      </w:r>
      <w:r w:rsidRPr="002E2BC9">
        <w:rPr>
          <w:rFonts w:ascii="Verdana" w:hAnsi="Verdana"/>
          <w:sz w:val="16"/>
          <w:szCs w:val="16"/>
        </w:rPr>
        <w:t xml:space="preserve">. Sentencia de 18 de agosto de 2000. Serie C No. 69, </w:t>
      </w:r>
      <w:proofErr w:type="spellStart"/>
      <w:r w:rsidRPr="002E2BC9">
        <w:rPr>
          <w:rFonts w:ascii="Verdana" w:hAnsi="Verdana"/>
          <w:sz w:val="16"/>
          <w:szCs w:val="16"/>
        </w:rPr>
        <w:t>párrs</w:t>
      </w:r>
      <w:proofErr w:type="spellEnd"/>
      <w:r w:rsidRPr="002E2BC9">
        <w:rPr>
          <w:rFonts w:ascii="Verdana" w:hAnsi="Verdana"/>
          <w:sz w:val="16"/>
          <w:szCs w:val="16"/>
        </w:rPr>
        <w:t xml:space="preserve">. 85 y 86.,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17">
    <w:p w14:paraId="0C299D30" w14:textId="77777777" w:rsidR="008F3E9A" w:rsidRPr="0011499C" w:rsidRDefault="008F3E9A" w:rsidP="008F3E9A">
      <w:pPr>
        <w:pStyle w:val="Textonotapie"/>
        <w:jc w:val="both"/>
        <w:rPr>
          <w:rFonts w:ascii="Verdana" w:hAnsi="Verdana"/>
          <w:sz w:val="16"/>
          <w:szCs w:val="16"/>
          <w:highlight w:val="red"/>
        </w:rPr>
      </w:pPr>
      <w:r w:rsidRPr="002E2BC9">
        <w:rPr>
          <w:rStyle w:val="Refdenotaalpie"/>
          <w:szCs w:val="16"/>
        </w:rPr>
        <w:footnoteRef/>
      </w:r>
      <w:r w:rsidRPr="002E2BC9">
        <w:rPr>
          <w:rFonts w:ascii="Verdana" w:hAnsi="Verdana"/>
          <w:sz w:val="16"/>
          <w:szCs w:val="16"/>
        </w:rPr>
        <w:t xml:space="preserve"> </w:t>
      </w:r>
      <w:r w:rsidRPr="002E2BC9">
        <w:rPr>
          <w:rFonts w:ascii="Verdana" w:hAnsi="Verdana"/>
          <w:sz w:val="16"/>
          <w:szCs w:val="16"/>
        </w:rPr>
        <w:tab/>
      </w:r>
      <w:r w:rsidRPr="002E2BC9">
        <w:rPr>
          <w:rFonts w:ascii="Verdana" w:hAnsi="Verdana"/>
          <w:i/>
          <w:iCs/>
          <w:sz w:val="16"/>
          <w:szCs w:val="16"/>
        </w:rPr>
        <w:t>Cfr</w:t>
      </w:r>
      <w:r w:rsidRPr="002E2BC9">
        <w:rPr>
          <w:rFonts w:ascii="Verdana" w:hAnsi="Verdana"/>
          <w:sz w:val="16"/>
          <w:szCs w:val="16"/>
        </w:rPr>
        <w:t xml:space="preserve">. </w:t>
      </w:r>
      <w:r w:rsidRPr="002E2BC9">
        <w:rPr>
          <w:rFonts w:ascii="Verdana" w:hAnsi="Verdana"/>
          <w:i/>
          <w:sz w:val="16"/>
          <w:szCs w:val="16"/>
        </w:rPr>
        <w:t>Caso Vélez Loor Vs. Panamá. Excepciones Preliminares, Fondo, Reparaciones y Costas</w:t>
      </w:r>
      <w:r w:rsidRPr="002E2BC9">
        <w:rPr>
          <w:rFonts w:ascii="Verdana" w:hAnsi="Verdana"/>
          <w:sz w:val="16"/>
          <w:szCs w:val="16"/>
        </w:rPr>
        <w:t xml:space="preserve">. Sentencia de 23 de noviembre de 2010. Serie C No. 218, </w:t>
      </w:r>
      <w:proofErr w:type="spellStart"/>
      <w:r w:rsidRPr="002E2BC9">
        <w:rPr>
          <w:rFonts w:ascii="Verdana" w:hAnsi="Verdana"/>
          <w:sz w:val="16"/>
          <w:szCs w:val="16"/>
        </w:rPr>
        <w:t>párrs</w:t>
      </w:r>
      <w:proofErr w:type="spellEnd"/>
      <w:r w:rsidRPr="002E2BC9">
        <w:rPr>
          <w:rFonts w:ascii="Verdana" w:hAnsi="Verdana"/>
          <w:sz w:val="16"/>
          <w:szCs w:val="16"/>
        </w:rPr>
        <w:t xml:space="preserve">. 215 y 216, y </w:t>
      </w:r>
      <w:r w:rsidRPr="002E2BC9">
        <w:rPr>
          <w:rFonts w:ascii="Verdana" w:hAnsi="Verdana"/>
          <w:i/>
          <w:iCs/>
          <w:sz w:val="16"/>
          <w:szCs w:val="16"/>
        </w:rPr>
        <w:t>Caso Pacheco Teruel y otros Vs. Honduras, supra</w:t>
      </w:r>
      <w:r w:rsidRPr="002E2BC9">
        <w:rPr>
          <w:rFonts w:ascii="Verdana" w:hAnsi="Verdana"/>
          <w:sz w:val="16"/>
          <w:szCs w:val="16"/>
        </w:rPr>
        <w:t xml:space="preserve"> nota, párr. 67.</w:t>
      </w:r>
    </w:p>
  </w:footnote>
  <w:footnote w:id="18">
    <w:p w14:paraId="337FFEFF" w14:textId="77777777" w:rsidR="008F3E9A" w:rsidRPr="009C672D" w:rsidRDefault="008F3E9A" w:rsidP="008F3E9A">
      <w:pPr>
        <w:pStyle w:val="Textonotapie"/>
        <w:jc w:val="both"/>
        <w:rPr>
          <w:rFonts w:ascii="Verdana" w:hAnsi="Verdana"/>
          <w:sz w:val="16"/>
          <w:szCs w:val="16"/>
        </w:rPr>
      </w:pPr>
      <w:r w:rsidRPr="00F33782">
        <w:rPr>
          <w:rStyle w:val="Refdenotaalpie"/>
          <w:szCs w:val="16"/>
        </w:rPr>
        <w:footnoteRef/>
      </w:r>
      <w:r w:rsidRPr="00F33782">
        <w:rPr>
          <w:rFonts w:ascii="Verdana" w:hAnsi="Verdana"/>
          <w:sz w:val="16"/>
          <w:szCs w:val="16"/>
        </w:rPr>
        <w:t xml:space="preserve"> </w:t>
      </w:r>
      <w:r w:rsidRPr="00F33782">
        <w:rPr>
          <w:rFonts w:ascii="Verdana" w:hAnsi="Verdana"/>
          <w:sz w:val="16"/>
          <w:szCs w:val="16"/>
        </w:rPr>
        <w:tab/>
      </w:r>
      <w:r w:rsidRPr="00F33782">
        <w:rPr>
          <w:rFonts w:ascii="Verdana" w:hAnsi="Verdana"/>
          <w:i/>
          <w:iCs/>
          <w:sz w:val="16"/>
          <w:szCs w:val="16"/>
        </w:rPr>
        <w:t>Cfr. Caso López Álvarez Vs. Honduras. Fondo, Reparaciones y Costas.</w:t>
      </w:r>
      <w:r w:rsidRPr="00F33782">
        <w:rPr>
          <w:rFonts w:ascii="Verdana" w:hAnsi="Verdana"/>
          <w:sz w:val="16"/>
          <w:szCs w:val="16"/>
        </w:rPr>
        <w:t xml:space="preserve"> Sentencia de 1 de febrero </w:t>
      </w:r>
      <w:r w:rsidRPr="009C672D">
        <w:rPr>
          <w:rFonts w:ascii="Verdana" w:hAnsi="Verdana"/>
          <w:sz w:val="16"/>
          <w:szCs w:val="16"/>
        </w:rPr>
        <w:t xml:space="preserve">de 2006. Serie C No. 141, párr. 209, y </w:t>
      </w:r>
      <w:r w:rsidRPr="009C672D">
        <w:rPr>
          <w:rFonts w:ascii="Verdana" w:hAnsi="Verdana"/>
          <w:i/>
          <w:iCs/>
          <w:sz w:val="16"/>
          <w:szCs w:val="16"/>
        </w:rPr>
        <w:t>Caso Pacheco Teruel y otros Vs. Honduras, supra</w:t>
      </w:r>
      <w:r w:rsidRPr="009C672D">
        <w:rPr>
          <w:rFonts w:ascii="Verdana" w:hAnsi="Verdana"/>
          <w:sz w:val="16"/>
          <w:szCs w:val="16"/>
        </w:rPr>
        <w:t xml:space="preserve"> nota, párr. 67.</w:t>
      </w:r>
    </w:p>
  </w:footnote>
  <w:footnote w:id="19">
    <w:p w14:paraId="50665E31" w14:textId="77777777" w:rsidR="008F3E9A" w:rsidRPr="009C672D" w:rsidRDefault="008F3E9A" w:rsidP="008F3E9A">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sz w:val="16"/>
          <w:szCs w:val="16"/>
        </w:rPr>
        <w:t>Cfr</w:t>
      </w:r>
      <w:r w:rsidRPr="009C672D">
        <w:rPr>
          <w:rFonts w:ascii="Verdana" w:hAnsi="Verdana"/>
          <w:iCs/>
          <w:sz w:val="16"/>
          <w:szCs w:val="16"/>
        </w:rPr>
        <w:t xml:space="preserve">. </w:t>
      </w:r>
      <w:r w:rsidRPr="009C672D">
        <w:rPr>
          <w:rFonts w:ascii="Verdana" w:hAnsi="Verdana"/>
          <w:i/>
          <w:iCs/>
          <w:sz w:val="16"/>
          <w:szCs w:val="16"/>
        </w:rPr>
        <w:t>Caso Tibi Vs. Ecuador. Excepciones Preliminares, Fondo, Reparaciones y Costas</w:t>
      </w:r>
      <w:r w:rsidRPr="009C672D">
        <w:rPr>
          <w:rFonts w:ascii="Verdana" w:hAnsi="Verdana"/>
          <w:iCs/>
          <w:sz w:val="16"/>
          <w:szCs w:val="16"/>
        </w:rPr>
        <w:t xml:space="preserve">. Sentencia de 7 de septiembre de 2004. Serie C No. 114, párr. 156; </w:t>
      </w:r>
      <w:r w:rsidRPr="009C672D">
        <w:rPr>
          <w:rFonts w:ascii="Verdana" w:hAnsi="Verdana"/>
          <w:i/>
          <w:sz w:val="16"/>
          <w:szCs w:val="16"/>
        </w:rPr>
        <w:t xml:space="preserve">Caso del Penal Miguel Castro </w:t>
      </w:r>
      <w:proofErr w:type="spellStart"/>
      <w:r w:rsidRPr="009C672D">
        <w:rPr>
          <w:rFonts w:ascii="Verdana" w:hAnsi="Verdana"/>
          <w:i/>
          <w:sz w:val="16"/>
          <w:szCs w:val="16"/>
        </w:rPr>
        <w:t>Castro</w:t>
      </w:r>
      <w:proofErr w:type="spellEnd"/>
      <w:r w:rsidRPr="009C672D">
        <w:rPr>
          <w:rFonts w:ascii="Verdana" w:hAnsi="Verdana"/>
          <w:i/>
          <w:sz w:val="16"/>
          <w:szCs w:val="16"/>
        </w:rPr>
        <w:t xml:space="preserve"> Vs. Perú</w:t>
      </w:r>
      <w:r w:rsidRPr="009C672D">
        <w:rPr>
          <w:rFonts w:ascii="Verdana" w:hAnsi="Verdana"/>
          <w:iCs/>
          <w:sz w:val="16"/>
          <w:szCs w:val="16"/>
        </w:rPr>
        <w:t xml:space="preserve">, supra </w:t>
      </w:r>
      <w:r w:rsidRPr="009C672D">
        <w:rPr>
          <w:rFonts w:ascii="Verdana" w:hAnsi="Verdana"/>
          <w:sz w:val="16"/>
          <w:szCs w:val="16"/>
        </w:rPr>
        <w:t xml:space="preserve">nota 1, párr. 301; </w:t>
      </w:r>
      <w:r w:rsidRPr="009C672D">
        <w:rPr>
          <w:rFonts w:ascii="Verdana" w:hAnsi="Verdana"/>
          <w:i/>
          <w:sz w:val="16"/>
          <w:szCs w:val="16"/>
        </w:rPr>
        <w:t>Caso Pacheco Teruel y otros Vs. Honduras, supra</w:t>
      </w:r>
      <w:r w:rsidRPr="009C672D">
        <w:rPr>
          <w:rFonts w:ascii="Verdana" w:hAnsi="Verdana"/>
          <w:sz w:val="16"/>
          <w:szCs w:val="16"/>
        </w:rPr>
        <w:t xml:space="preserve"> nota, párr. 67, y </w:t>
      </w:r>
      <w:r w:rsidRPr="009C672D">
        <w:rPr>
          <w:rFonts w:ascii="Verdana" w:hAnsi="Verdana"/>
          <w:i/>
          <w:iCs/>
          <w:sz w:val="16"/>
          <w:szCs w:val="16"/>
        </w:rPr>
        <w:t>Caso Chinchilla Sandoval y otros Vs. Guatemala, supra</w:t>
      </w:r>
      <w:r w:rsidRPr="009C672D">
        <w:rPr>
          <w:rFonts w:ascii="Verdana" w:hAnsi="Verdana"/>
          <w:sz w:val="16"/>
          <w:szCs w:val="16"/>
        </w:rPr>
        <w:t xml:space="preserve"> nota, párr. 189.</w:t>
      </w:r>
    </w:p>
  </w:footnote>
  <w:footnote w:id="20">
    <w:p w14:paraId="2C67FF12" w14:textId="77777777" w:rsidR="00B83D13" w:rsidRPr="009C672D" w:rsidRDefault="00B83D13" w:rsidP="00B83D13">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lang w:val="es"/>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w:t>
      </w:r>
      <w:proofErr w:type="spellStart"/>
      <w:r w:rsidRPr="009C672D">
        <w:rPr>
          <w:rFonts w:ascii="Verdana" w:hAnsi="Verdana"/>
          <w:sz w:val="16"/>
          <w:szCs w:val="16"/>
        </w:rPr>
        <w:t>párrs</w:t>
      </w:r>
      <w:proofErr w:type="spellEnd"/>
      <w:r w:rsidRPr="009C672D">
        <w:rPr>
          <w:rFonts w:ascii="Verdana" w:hAnsi="Verdana"/>
          <w:sz w:val="16"/>
          <w:szCs w:val="16"/>
        </w:rPr>
        <w:t>. 184 y 185.</w:t>
      </w:r>
    </w:p>
  </w:footnote>
  <w:footnote w:id="21">
    <w:p w14:paraId="2CB118FA" w14:textId="77777777" w:rsidR="00B83D13" w:rsidRPr="00221D27" w:rsidRDefault="00B83D13" w:rsidP="00B83D13">
      <w:pPr>
        <w:pStyle w:val="Textonotapie"/>
        <w:jc w:val="both"/>
        <w:rPr>
          <w:rFonts w:ascii="Verdana" w:hAnsi="Verdana"/>
          <w:sz w:val="16"/>
          <w:szCs w:val="16"/>
        </w:rPr>
      </w:pPr>
      <w:r w:rsidRPr="009C672D">
        <w:rPr>
          <w:rStyle w:val="Refdenotaalpie"/>
          <w:szCs w:val="16"/>
        </w:rPr>
        <w:footnoteRef/>
      </w:r>
      <w:r w:rsidRPr="009C672D">
        <w:rPr>
          <w:rFonts w:ascii="Verdana" w:hAnsi="Verdana"/>
          <w:sz w:val="16"/>
          <w:szCs w:val="16"/>
        </w:rPr>
        <w:t xml:space="preserve"> </w:t>
      </w:r>
      <w:r w:rsidRPr="009C672D">
        <w:rPr>
          <w:rFonts w:ascii="Verdana" w:hAnsi="Verdana"/>
          <w:sz w:val="16"/>
          <w:szCs w:val="16"/>
        </w:rPr>
        <w:tab/>
      </w:r>
      <w:r w:rsidRPr="009C672D">
        <w:rPr>
          <w:rFonts w:ascii="Verdana" w:hAnsi="Verdana"/>
          <w:i/>
          <w:iCs/>
          <w:sz w:val="16"/>
          <w:szCs w:val="16"/>
        </w:rPr>
        <w:t>Cfr. Caso Chinchilla Sandoval y otros Vs. Guatemala, supra</w:t>
      </w:r>
      <w:r w:rsidRPr="009C672D">
        <w:rPr>
          <w:rFonts w:ascii="Verdana" w:hAnsi="Verdana"/>
          <w:sz w:val="16"/>
          <w:szCs w:val="16"/>
        </w:rPr>
        <w:t xml:space="preserve"> nota, párr. </w:t>
      </w:r>
      <w:r w:rsidRPr="009C672D">
        <w:rPr>
          <w:rFonts w:ascii="Verdana" w:hAnsi="Verdana"/>
          <w:sz w:val="16"/>
          <w:szCs w:val="16"/>
          <w:lang w:val="es-ES"/>
        </w:rPr>
        <w:t>199.</w:t>
      </w:r>
      <w:r w:rsidRPr="00221D27">
        <w:rPr>
          <w:rFonts w:ascii="Verdana" w:hAnsi="Verdana"/>
          <w:sz w:val="16"/>
          <w:szCs w:val="16"/>
          <w:lang w:val="es-ES"/>
        </w:rPr>
        <w:t xml:space="preserve"> </w:t>
      </w:r>
    </w:p>
  </w:footnote>
  <w:footnote w:id="22">
    <w:p w14:paraId="100E6B4E" w14:textId="77777777" w:rsidR="00874A30" w:rsidRPr="006349BA" w:rsidRDefault="00874A30" w:rsidP="00874A30">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Cfr. C</w:t>
      </w:r>
      <w:r w:rsidRPr="006349BA">
        <w:rPr>
          <w:rFonts w:ascii="Verdana" w:hAnsi="Verdana" w:cs="Arial"/>
          <w:i/>
          <w:iCs/>
          <w:sz w:val="16"/>
          <w:szCs w:val="16"/>
          <w:shd w:val="clear" w:color="auto" w:fill="FFFFFF"/>
        </w:rPr>
        <w:t>aso Barrios Altos y Caso La Cantuta Vs. Perú. Supervisión de Cumplimiento de Sentencia.</w:t>
      </w:r>
      <w:r w:rsidRPr="006349BA">
        <w:rPr>
          <w:rFonts w:ascii="Verdana" w:hAnsi="Verdana" w:cs="Arial"/>
          <w:sz w:val="16"/>
          <w:szCs w:val="16"/>
          <w:shd w:val="clear" w:color="auto" w:fill="FFFFFF"/>
        </w:rPr>
        <w:t xml:space="preserve"> Resolución de la Corte Interamericana de Derechos Humanos de 30 de mayo de 2018, Considerando 52.</w:t>
      </w:r>
    </w:p>
  </w:footnote>
  <w:footnote w:id="23">
    <w:p w14:paraId="54B3FE1D" w14:textId="77777777" w:rsidR="00874A30" w:rsidRPr="00221D27" w:rsidRDefault="00874A30" w:rsidP="00874A30">
      <w:pPr>
        <w:pStyle w:val="Textonotapie"/>
        <w:jc w:val="both"/>
        <w:rPr>
          <w:rFonts w:ascii="Verdana" w:hAnsi="Verdana"/>
          <w:sz w:val="16"/>
          <w:szCs w:val="16"/>
        </w:rPr>
      </w:pPr>
      <w:r w:rsidRPr="006349BA">
        <w:rPr>
          <w:rStyle w:val="Refdenotaalpie"/>
          <w:szCs w:val="16"/>
        </w:rPr>
        <w:footnoteRef/>
      </w:r>
      <w:r w:rsidRPr="006349BA">
        <w:rPr>
          <w:rFonts w:ascii="Verdana" w:hAnsi="Verdana"/>
          <w:sz w:val="16"/>
          <w:szCs w:val="16"/>
        </w:rPr>
        <w:t xml:space="preserve"> </w:t>
      </w:r>
      <w:r w:rsidRPr="006349BA">
        <w:rPr>
          <w:rFonts w:ascii="Verdana" w:hAnsi="Verdana"/>
          <w:sz w:val="16"/>
          <w:szCs w:val="16"/>
        </w:rPr>
        <w:tab/>
      </w:r>
      <w:r w:rsidRPr="006349BA">
        <w:rPr>
          <w:rFonts w:ascii="Verdana" w:hAnsi="Verdana"/>
          <w:i/>
          <w:iCs/>
          <w:sz w:val="16"/>
          <w:szCs w:val="16"/>
        </w:rPr>
        <w:t xml:space="preserve">Cfr. </w:t>
      </w:r>
      <w:r w:rsidRPr="006349BA">
        <w:rPr>
          <w:rFonts w:ascii="Verdana" w:hAnsi="Verdana"/>
          <w:i/>
          <w:iCs/>
          <w:sz w:val="16"/>
          <w:szCs w:val="16"/>
          <w:shd w:val="clear" w:color="auto" w:fill="FFFFFF"/>
        </w:rPr>
        <w:t>Caso Barrios Altos y Caso La Cantuta Vs. Perú, supra nota</w:t>
      </w:r>
      <w:r w:rsidRPr="006349BA">
        <w:rPr>
          <w:rFonts w:ascii="Verdana" w:hAnsi="Verdana"/>
          <w:sz w:val="16"/>
          <w:szCs w:val="16"/>
          <w:shd w:val="clear" w:color="auto" w:fill="FFFFFF"/>
        </w:rPr>
        <w:t>, Considerandos 53.</w:t>
      </w:r>
    </w:p>
  </w:footnote>
  <w:footnote w:id="24">
    <w:p w14:paraId="7ECD5908" w14:textId="77777777" w:rsidR="004E36EF" w:rsidRPr="00221D27" w:rsidRDefault="004E36EF" w:rsidP="004E36E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precisaron si el señor Arturo Chumpitaz Aguirre presenta afecciones de este tipo. </w:t>
      </w:r>
    </w:p>
  </w:footnote>
  <w:footnote w:id="25">
    <w:p w14:paraId="26DD93E0" w14:textId="77777777" w:rsidR="004E36EF" w:rsidRPr="00221D27" w:rsidRDefault="004E36EF" w:rsidP="004E36EF">
      <w:pPr>
        <w:pStyle w:val="Textonotapie"/>
        <w:jc w:val="both"/>
        <w:rPr>
          <w:rFonts w:ascii="Verdana" w:hAnsi="Verdana"/>
          <w:sz w:val="16"/>
          <w:szCs w:val="16"/>
          <w:lang w:val="es-AR"/>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Pr>
          <w:rFonts w:ascii="Verdana" w:hAnsi="Verdana"/>
          <w:sz w:val="16"/>
          <w:szCs w:val="16"/>
        </w:rPr>
        <w:t>La información científica disponible indica que</w:t>
      </w:r>
      <w:r w:rsidRPr="00221D27">
        <w:rPr>
          <w:rFonts w:ascii="Verdana" w:hAnsi="Verdana"/>
          <w:sz w:val="16"/>
          <w:szCs w:val="16"/>
        </w:rPr>
        <w:t xml:space="preserve"> “el riesgo de enfermarse gravemente a causa del COVID-19 aumenta con la edad”. Así, “las personas en sus 50 tienen mayor riesgo de enfermarse gravemente que las personas en sus 40” y “las personas en sus 60 o 70, en general, tienen mayor riesgo de enfermarse gravemente que las personas en sus 50”.</w:t>
      </w:r>
      <w:r>
        <w:rPr>
          <w:rFonts w:ascii="Verdana" w:hAnsi="Verdana"/>
          <w:sz w:val="16"/>
          <w:szCs w:val="16"/>
        </w:rPr>
        <w:t xml:space="preserve"> </w:t>
      </w:r>
      <w:r w:rsidRPr="00221D27">
        <w:rPr>
          <w:rFonts w:ascii="Verdana" w:hAnsi="Verdana"/>
          <w:i/>
          <w:sz w:val="16"/>
          <w:szCs w:val="16"/>
        </w:rPr>
        <w:t xml:space="preserve">Cfr. </w:t>
      </w:r>
      <w:r w:rsidRPr="00221D27">
        <w:rPr>
          <w:rFonts w:ascii="Verdana" w:hAnsi="Verdana"/>
          <w:sz w:val="16"/>
          <w:szCs w:val="16"/>
          <w:lang w:val="es-AR"/>
        </w:rPr>
        <w:t xml:space="preserve">Centro para el Control y la Prevención de Enfermedades (CDC), “Enfermedad del coronavirus 2019 (COVID-19). Adultos mayores”, 25 de junio de 2020. Disponible en: </w:t>
      </w:r>
      <w:hyperlink r:id="rId3" w:history="1">
        <w:r w:rsidRPr="00221D27">
          <w:rPr>
            <w:rStyle w:val="Hipervnculo"/>
            <w:rFonts w:ascii="Verdana" w:hAnsi="Verdana"/>
            <w:sz w:val="16"/>
            <w:szCs w:val="16"/>
          </w:rPr>
          <w:t>https://espanol.cdc.gov/coronavirus/2019-ncov/need-extra-precautions/older-adults.html</w:t>
        </w:r>
      </w:hyperlink>
      <w:r>
        <w:rPr>
          <w:rFonts w:ascii="Verdana" w:hAnsi="Verdana"/>
          <w:sz w:val="16"/>
          <w:szCs w:val="16"/>
          <w:lang w:val="es-AR"/>
        </w:rPr>
        <w:t>.</w:t>
      </w:r>
    </w:p>
  </w:footnote>
  <w:footnote w:id="26">
    <w:p w14:paraId="1D7EB78B" w14:textId="77777777" w:rsidR="004E36EF" w:rsidRPr="00221D27" w:rsidRDefault="004E36EF" w:rsidP="004E36E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Organización Mundial de la Salud, “COVID-19: v</w:t>
      </w:r>
      <w:r>
        <w:rPr>
          <w:rFonts w:ascii="Verdana" w:hAnsi="Verdana"/>
          <w:sz w:val="16"/>
          <w:szCs w:val="16"/>
        </w:rPr>
        <w:t xml:space="preserve">ulnerable and </w:t>
      </w:r>
      <w:proofErr w:type="spellStart"/>
      <w:r>
        <w:rPr>
          <w:rFonts w:ascii="Verdana" w:hAnsi="Verdana"/>
          <w:sz w:val="16"/>
          <w:szCs w:val="16"/>
        </w:rPr>
        <w:t>high</w:t>
      </w:r>
      <w:proofErr w:type="spellEnd"/>
      <w:r>
        <w:rPr>
          <w:rFonts w:ascii="Verdana" w:hAnsi="Verdana"/>
          <w:sz w:val="16"/>
          <w:szCs w:val="16"/>
        </w:rPr>
        <w:t xml:space="preserve"> </w:t>
      </w:r>
      <w:proofErr w:type="spellStart"/>
      <w:r>
        <w:rPr>
          <w:rFonts w:ascii="Verdana" w:hAnsi="Verdana"/>
          <w:sz w:val="16"/>
          <w:szCs w:val="16"/>
        </w:rPr>
        <w:t>risk</w:t>
      </w:r>
      <w:proofErr w:type="spellEnd"/>
      <w:r>
        <w:rPr>
          <w:rFonts w:ascii="Verdana" w:hAnsi="Verdana"/>
          <w:sz w:val="16"/>
          <w:szCs w:val="16"/>
        </w:rPr>
        <w:t xml:space="preserve"> </w:t>
      </w:r>
      <w:proofErr w:type="spellStart"/>
      <w:r>
        <w:rPr>
          <w:rFonts w:ascii="Verdana" w:hAnsi="Verdana"/>
          <w:sz w:val="16"/>
          <w:szCs w:val="16"/>
        </w:rPr>
        <w:t>groups</w:t>
      </w:r>
      <w:proofErr w:type="spellEnd"/>
      <w:r>
        <w:rPr>
          <w:rFonts w:ascii="Verdana" w:hAnsi="Verdana"/>
          <w:sz w:val="16"/>
          <w:szCs w:val="16"/>
        </w:rPr>
        <w:t>”. D</w:t>
      </w:r>
      <w:r w:rsidRPr="00221D27">
        <w:rPr>
          <w:rFonts w:ascii="Verdana" w:hAnsi="Verdana"/>
          <w:sz w:val="16"/>
          <w:szCs w:val="16"/>
        </w:rPr>
        <w:t xml:space="preserve">isponible en: </w:t>
      </w:r>
      <w:hyperlink r:id="rId4" w:history="1">
        <w:r w:rsidRPr="00221D27">
          <w:rPr>
            <w:rStyle w:val="Hipervnculo"/>
            <w:rFonts w:ascii="Verdana" w:hAnsi="Verdana"/>
            <w:sz w:val="16"/>
            <w:szCs w:val="16"/>
          </w:rPr>
          <w:t>https://www.who.int/westernpacific/emergencies/covid-19/information/high-risk-groups</w:t>
        </w:r>
      </w:hyperlink>
      <w:r>
        <w:rPr>
          <w:rFonts w:ascii="Verdana" w:hAnsi="Verdana"/>
          <w:sz w:val="16"/>
          <w:szCs w:val="16"/>
        </w:rPr>
        <w:t>.</w:t>
      </w:r>
    </w:p>
  </w:footnote>
  <w:footnote w:id="27">
    <w:p w14:paraId="59464F4A" w14:textId="77777777" w:rsidR="004E36EF" w:rsidRPr="00221D27" w:rsidRDefault="004E36EF" w:rsidP="004E36E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t xml:space="preserve">Los intervinientes comunes no adjuntaron constancia o informe médico que dé cuenta de dicha afirmación. </w:t>
      </w:r>
    </w:p>
  </w:footnote>
  <w:footnote w:id="28">
    <w:p w14:paraId="28B8F9A2" w14:textId="77777777" w:rsidR="0099049A" w:rsidRPr="00221D27" w:rsidRDefault="0099049A" w:rsidP="0099049A">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sz w:val="16"/>
          <w:szCs w:val="16"/>
          <w:lang w:val="es-CR"/>
        </w:rPr>
        <w:t xml:space="preserve">De los escritos más recientes presentados por el Estado y los intervinientes comunes, de 9 y 16 de junio, respectivamente, surge que </w:t>
      </w:r>
      <w:r>
        <w:rPr>
          <w:rFonts w:ascii="Verdana" w:hAnsi="Verdana"/>
          <w:sz w:val="16"/>
          <w:szCs w:val="16"/>
          <w:lang w:val="es-CR"/>
        </w:rPr>
        <w:t>dos</w:t>
      </w:r>
      <w:r w:rsidRPr="00221D27">
        <w:rPr>
          <w:rFonts w:ascii="Verdana" w:hAnsi="Verdana"/>
          <w:sz w:val="16"/>
          <w:szCs w:val="16"/>
          <w:lang w:val="es-CR"/>
        </w:rPr>
        <w:t xml:space="preserve"> de los propuestos beneficiarios se encontraban “estables”</w:t>
      </w:r>
      <w:r>
        <w:rPr>
          <w:rFonts w:ascii="Verdana" w:hAnsi="Verdana"/>
          <w:sz w:val="16"/>
          <w:szCs w:val="16"/>
          <w:lang w:val="es-CR"/>
        </w:rPr>
        <w:t>;</w:t>
      </w:r>
      <w:r w:rsidRPr="00221D27">
        <w:rPr>
          <w:rFonts w:ascii="Verdana" w:hAnsi="Verdana"/>
          <w:sz w:val="16"/>
          <w:szCs w:val="16"/>
          <w:lang w:val="es-CR"/>
        </w:rPr>
        <w:t xml:space="preserve"> </w:t>
      </w:r>
      <w:r>
        <w:rPr>
          <w:rFonts w:ascii="Verdana" w:hAnsi="Verdana"/>
          <w:sz w:val="16"/>
          <w:szCs w:val="16"/>
          <w:lang w:val="es-CR"/>
        </w:rPr>
        <w:t>un tercero refería</w:t>
      </w:r>
      <w:r w:rsidRPr="00221D27">
        <w:rPr>
          <w:rFonts w:ascii="Verdana" w:hAnsi="Verdana"/>
          <w:sz w:val="16"/>
          <w:szCs w:val="16"/>
          <w:lang w:val="es-CR"/>
        </w:rPr>
        <w:t xml:space="preserve"> encontrarse bien, e incluso los intervinientes afirmaron que </w:t>
      </w:r>
      <w:r>
        <w:rPr>
          <w:rFonts w:ascii="Verdana" w:hAnsi="Verdana"/>
          <w:sz w:val="16"/>
          <w:szCs w:val="16"/>
          <w:lang w:val="es-CR"/>
        </w:rPr>
        <w:t xml:space="preserve">los restantes </w:t>
      </w:r>
      <w:r w:rsidRPr="00221D27">
        <w:rPr>
          <w:rFonts w:ascii="Verdana" w:hAnsi="Verdana"/>
          <w:sz w:val="16"/>
          <w:szCs w:val="16"/>
          <w:lang w:val="es-CR"/>
        </w:rPr>
        <w:t xml:space="preserve">dos se encontraban “relativamente recuperados”. </w:t>
      </w:r>
    </w:p>
  </w:footnote>
  <w:footnote w:id="29">
    <w:p w14:paraId="7951152E" w14:textId="77777777" w:rsidR="005C2A9F" w:rsidRPr="00221D27" w:rsidRDefault="005C2A9F" w:rsidP="005C2A9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C0FC0">
        <w:rPr>
          <w:rFonts w:ascii="Verdana" w:hAnsi="Verdana"/>
          <w:sz w:val="16"/>
          <w:szCs w:val="16"/>
        </w:rPr>
        <w:t>El Estado se refirió a las medidas adoptadas por las direcciones de los tres centros penitenciarios en que se encuentran los propuestos beneficiarios, así como a aquellas adoptadas por el Instituto Nacional Penitenciario, el Ministerio de Justicia y Derechos Humanos, el Poder Judicial, el Ministerio Público y la Defensa Pública, entre otras (</w:t>
      </w:r>
      <w:r w:rsidRPr="002C0FC0">
        <w:rPr>
          <w:rFonts w:ascii="Verdana" w:hAnsi="Verdana"/>
          <w:i/>
          <w:sz w:val="16"/>
          <w:szCs w:val="16"/>
        </w:rPr>
        <w:t xml:space="preserve">supra </w:t>
      </w:r>
      <w:r w:rsidRPr="002C0FC0">
        <w:rPr>
          <w:rFonts w:ascii="Verdana" w:hAnsi="Verdana"/>
          <w:sz w:val="16"/>
          <w:szCs w:val="16"/>
        </w:rPr>
        <w:t>Considerando 10 de la Resolución).</w:t>
      </w:r>
    </w:p>
  </w:footnote>
  <w:footnote w:id="30">
    <w:p w14:paraId="36A68311" w14:textId="77777777" w:rsidR="005C2A9F" w:rsidRPr="00221D27" w:rsidRDefault="005C2A9F" w:rsidP="005C2A9F">
      <w:pPr>
        <w:pStyle w:val="Textonotapie"/>
        <w:jc w:val="both"/>
        <w:rPr>
          <w:rFonts w:ascii="Verdana" w:hAnsi="Verdana"/>
          <w:sz w:val="16"/>
          <w:szCs w:val="16"/>
        </w:rPr>
      </w:pPr>
      <w:r w:rsidRPr="00221D27">
        <w:rPr>
          <w:rStyle w:val="Refdenotaalpie"/>
          <w:szCs w:val="16"/>
        </w:rPr>
        <w:footnoteRef/>
      </w:r>
      <w:r w:rsidRPr="00221D27">
        <w:rPr>
          <w:rFonts w:ascii="Verdana" w:hAnsi="Verdana"/>
          <w:sz w:val="16"/>
          <w:szCs w:val="16"/>
        </w:rPr>
        <w:t xml:space="preserve"> </w:t>
      </w:r>
      <w:r w:rsidRPr="00221D27">
        <w:rPr>
          <w:rFonts w:ascii="Verdana" w:hAnsi="Verdana"/>
          <w:sz w:val="16"/>
          <w:szCs w:val="16"/>
        </w:rPr>
        <w:tab/>
      </w:r>
      <w:r w:rsidRPr="00221D27">
        <w:rPr>
          <w:rFonts w:ascii="Verdana" w:hAnsi="Verdana"/>
          <w:i/>
          <w:sz w:val="16"/>
          <w:szCs w:val="16"/>
        </w:rPr>
        <w:t xml:space="preserve">Cfr. </w:t>
      </w:r>
      <w:r w:rsidRPr="00221D27">
        <w:rPr>
          <w:rFonts w:ascii="Verdana" w:hAnsi="Verdana"/>
          <w:sz w:val="16"/>
          <w:szCs w:val="16"/>
        </w:rPr>
        <w:t>Defensoría del Pueblo</w:t>
      </w:r>
      <w:r>
        <w:rPr>
          <w:rFonts w:ascii="Verdana" w:hAnsi="Verdana"/>
          <w:sz w:val="16"/>
          <w:szCs w:val="16"/>
        </w:rPr>
        <w:t xml:space="preserve"> del Perú</w:t>
      </w:r>
      <w:r w:rsidRPr="00221D27">
        <w:rPr>
          <w:rFonts w:ascii="Verdana" w:hAnsi="Verdana"/>
          <w:sz w:val="16"/>
          <w:szCs w:val="16"/>
        </w:rPr>
        <w:t xml:space="preserve">, “Defensoría del Pueblo: urgen acciones inmediatas para preservar la vida, seguridad y orden en centros penitenciarios”, comunicado de 27 de abril de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AB10D" w14:textId="77777777" w:rsidR="00B509F1" w:rsidRDefault="00B509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519"/>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413F"/>
    <w:multiLevelType w:val="hybridMultilevel"/>
    <w:tmpl w:val="9C528478"/>
    <w:lvl w:ilvl="0" w:tplc="04090017">
      <w:start w:val="1"/>
      <w:numFmt w:val="lowerLetter"/>
      <w:lvlText w:val="%1)"/>
      <w:lvlJc w:val="left"/>
      <w:pPr>
        <w:ind w:left="720" w:hanging="360"/>
      </w:pPr>
      <w:rPr>
        <w:rFonts w:hint="default"/>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D039A9"/>
    <w:multiLevelType w:val="hybridMultilevel"/>
    <w:tmpl w:val="9678EF96"/>
    <w:lvl w:ilvl="0" w:tplc="B37C1A4A">
      <w:start w:val="19"/>
      <w:numFmt w:val="decimal"/>
      <w:lvlText w:val="%1."/>
      <w:lvlJc w:val="left"/>
      <w:pPr>
        <w:ind w:left="720" w:hanging="360"/>
      </w:pPr>
      <w:rPr>
        <w:rFonts w:ascii="Verdana" w:hAnsi="Verdana"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D91F86"/>
    <w:multiLevelType w:val="hybridMultilevel"/>
    <w:tmpl w:val="C0CCF132"/>
    <w:lvl w:ilvl="0" w:tplc="91667A14">
      <w:start w:val="234"/>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52E13"/>
    <w:multiLevelType w:val="hybridMultilevel"/>
    <w:tmpl w:val="F64696B0"/>
    <w:lvl w:ilvl="0" w:tplc="4FF4D20C">
      <w:start w:val="1"/>
      <w:numFmt w:val="lowerLetter"/>
      <w:lvlText w:val="%1."/>
      <w:lvlJc w:val="left"/>
      <w:pPr>
        <w:ind w:left="720" w:hanging="360"/>
      </w:pPr>
      <w:rPr>
        <w:rFonts w:hint="default"/>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20E51FD"/>
    <w:multiLevelType w:val="hybridMultilevel"/>
    <w:tmpl w:val="0B9A6770"/>
    <w:lvl w:ilvl="0" w:tplc="0409001B">
      <w:start w:val="1"/>
      <w:numFmt w:val="lowerRoman"/>
      <w:lvlText w:val="%1."/>
      <w:lvlJc w:val="righ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C2E4071"/>
    <w:multiLevelType w:val="hybridMultilevel"/>
    <w:tmpl w:val="F8CAE47A"/>
    <w:lvl w:ilvl="0" w:tplc="140A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61C93"/>
    <w:multiLevelType w:val="hybridMultilevel"/>
    <w:tmpl w:val="9EAE1B70"/>
    <w:lvl w:ilvl="0" w:tplc="F04AFE5C">
      <w:start w:val="1"/>
      <w:numFmt w:val="decimal"/>
      <w:lvlText w:val="%1."/>
      <w:lvlJc w:val="left"/>
      <w:pPr>
        <w:ind w:left="720" w:hanging="360"/>
      </w:pPr>
      <w:rPr>
        <w:rFonts w:ascii="Verdana" w:hAnsi="Verdana"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E84"/>
    <w:multiLevelType w:val="hybridMultilevel"/>
    <w:tmpl w:val="152C9538"/>
    <w:lvl w:ilvl="0" w:tplc="506CC27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F175E"/>
    <w:multiLevelType w:val="hybridMultilevel"/>
    <w:tmpl w:val="2890A9E0"/>
    <w:lvl w:ilvl="0" w:tplc="0409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88C2136"/>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C1A03"/>
    <w:multiLevelType w:val="hybridMultilevel"/>
    <w:tmpl w:val="EA3EF3F4"/>
    <w:lvl w:ilvl="0" w:tplc="EC2ABBBE">
      <w:start w:val="1"/>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3" w15:restartNumberingAfterBreak="0">
    <w:nsid w:val="45EF281E"/>
    <w:multiLevelType w:val="hybridMultilevel"/>
    <w:tmpl w:val="66EE4F34"/>
    <w:lvl w:ilvl="0" w:tplc="D04EFF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B7719"/>
    <w:multiLevelType w:val="hybridMultilevel"/>
    <w:tmpl w:val="38B03504"/>
    <w:lvl w:ilvl="0" w:tplc="3F9CA10A">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A9739E2"/>
    <w:multiLevelType w:val="hybridMultilevel"/>
    <w:tmpl w:val="281AC0A2"/>
    <w:lvl w:ilvl="0" w:tplc="C7C08594">
      <w:start w:val="4"/>
      <w:numFmt w:val="upperLetter"/>
      <w:lvlText w:val="%1)"/>
      <w:lvlJc w:val="left"/>
      <w:pPr>
        <w:ind w:left="873" w:hanging="360"/>
      </w:pPr>
      <w:rPr>
        <w:rFonts w:hint="default"/>
      </w:rPr>
    </w:lvl>
    <w:lvl w:ilvl="1" w:tplc="140A0019">
      <w:start w:val="1"/>
      <w:numFmt w:val="lowerLetter"/>
      <w:lvlText w:val="%2."/>
      <w:lvlJc w:val="left"/>
      <w:pPr>
        <w:ind w:left="1593" w:hanging="360"/>
      </w:pPr>
    </w:lvl>
    <w:lvl w:ilvl="2" w:tplc="140A001B" w:tentative="1">
      <w:start w:val="1"/>
      <w:numFmt w:val="lowerRoman"/>
      <w:lvlText w:val="%3."/>
      <w:lvlJc w:val="right"/>
      <w:pPr>
        <w:ind w:left="2313" w:hanging="180"/>
      </w:pPr>
    </w:lvl>
    <w:lvl w:ilvl="3" w:tplc="140A000F" w:tentative="1">
      <w:start w:val="1"/>
      <w:numFmt w:val="decimal"/>
      <w:lvlText w:val="%4."/>
      <w:lvlJc w:val="left"/>
      <w:pPr>
        <w:ind w:left="3033" w:hanging="360"/>
      </w:pPr>
    </w:lvl>
    <w:lvl w:ilvl="4" w:tplc="140A0019" w:tentative="1">
      <w:start w:val="1"/>
      <w:numFmt w:val="lowerLetter"/>
      <w:lvlText w:val="%5."/>
      <w:lvlJc w:val="left"/>
      <w:pPr>
        <w:ind w:left="3753" w:hanging="360"/>
      </w:pPr>
    </w:lvl>
    <w:lvl w:ilvl="5" w:tplc="140A001B" w:tentative="1">
      <w:start w:val="1"/>
      <w:numFmt w:val="lowerRoman"/>
      <w:lvlText w:val="%6."/>
      <w:lvlJc w:val="right"/>
      <w:pPr>
        <w:ind w:left="4473" w:hanging="180"/>
      </w:pPr>
    </w:lvl>
    <w:lvl w:ilvl="6" w:tplc="140A000F" w:tentative="1">
      <w:start w:val="1"/>
      <w:numFmt w:val="decimal"/>
      <w:lvlText w:val="%7."/>
      <w:lvlJc w:val="left"/>
      <w:pPr>
        <w:ind w:left="5193" w:hanging="360"/>
      </w:pPr>
    </w:lvl>
    <w:lvl w:ilvl="7" w:tplc="140A0019" w:tentative="1">
      <w:start w:val="1"/>
      <w:numFmt w:val="lowerLetter"/>
      <w:lvlText w:val="%8."/>
      <w:lvlJc w:val="left"/>
      <w:pPr>
        <w:ind w:left="5913" w:hanging="360"/>
      </w:pPr>
    </w:lvl>
    <w:lvl w:ilvl="8" w:tplc="140A001B" w:tentative="1">
      <w:start w:val="1"/>
      <w:numFmt w:val="lowerRoman"/>
      <w:lvlText w:val="%9."/>
      <w:lvlJc w:val="right"/>
      <w:pPr>
        <w:ind w:left="6633" w:hanging="180"/>
      </w:pPr>
    </w:lvl>
  </w:abstractNum>
  <w:abstractNum w:abstractNumId="16" w15:restartNumberingAfterBreak="0">
    <w:nsid w:val="53C3288C"/>
    <w:multiLevelType w:val="hybridMultilevel"/>
    <w:tmpl w:val="355C6C3C"/>
    <w:lvl w:ilvl="0" w:tplc="6EFEA1B2">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1F3D60"/>
    <w:multiLevelType w:val="hybridMultilevel"/>
    <w:tmpl w:val="865E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33DA6"/>
    <w:multiLevelType w:val="multilevel"/>
    <w:tmpl w:val="EFBA677A"/>
    <w:lvl w:ilvl="0">
      <w:start w:val="1"/>
      <w:numFmt w:val="decimal"/>
      <w:lvlText w:val="%1."/>
      <w:lvlJc w:val="left"/>
      <w:pPr>
        <w:tabs>
          <w:tab w:val="num" w:pos="1800"/>
        </w:tabs>
        <w:ind w:left="1800" w:hanging="360"/>
      </w:pPr>
      <w:rPr>
        <w:rFonts w:ascii="Verdana" w:hAnsi="Verdana" w:hint="default"/>
        <w:b w:val="0"/>
        <w:i w:val="0"/>
        <w:color w:val="auto"/>
        <w:sz w:val="20"/>
      </w:rPr>
    </w:lvl>
    <w:lvl w:ilvl="1">
      <w:start w:val="1"/>
      <w:numFmt w:val="lowerLetter"/>
      <w:lvlText w:val="%2."/>
      <w:lvlJc w:val="left"/>
      <w:pPr>
        <w:tabs>
          <w:tab w:val="num" w:pos="1134"/>
        </w:tabs>
        <w:ind w:left="567" w:firstLine="0"/>
      </w:pPr>
      <w:rPr>
        <w:rFonts w:ascii="Verdana" w:eastAsia="Times New Roman" w:hAnsi="Verdana" w:cs="Times New Roman" w:hint="default"/>
        <w:color w:val="auto"/>
      </w:rPr>
    </w:lvl>
    <w:lvl w:ilvl="2">
      <w:start w:val="1"/>
      <w:numFmt w:val="lowerRoman"/>
      <w:lvlText w:val="%3."/>
      <w:lvlJc w:val="right"/>
      <w:pPr>
        <w:tabs>
          <w:tab w:val="num" w:pos="1985"/>
        </w:tabs>
        <w:ind w:left="851" w:firstLine="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D2A64E7"/>
    <w:multiLevelType w:val="hybridMultilevel"/>
    <w:tmpl w:val="93AA7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41C07"/>
    <w:multiLevelType w:val="hybridMultilevel"/>
    <w:tmpl w:val="2890A9E0"/>
    <w:lvl w:ilvl="0" w:tplc="0409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2F90590"/>
    <w:multiLevelType w:val="hybridMultilevel"/>
    <w:tmpl w:val="6C14C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03A6F"/>
    <w:multiLevelType w:val="hybridMultilevel"/>
    <w:tmpl w:val="55924042"/>
    <w:lvl w:ilvl="0" w:tplc="011AABA2">
      <w:start w:val="1"/>
      <w:numFmt w:val="decimal"/>
      <w:lvlText w:val="%1."/>
      <w:lvlJc w:val="left"/>
      <w:pPr>
        <w:ind w:left="791" w:hanging="360"/>
      </w:pPr>
      <w:rPr>
        <w:color w:val="auto"/>
      </w:rPr>
    </w:lvl>
    <w:lvl w:ilvl="1" w:tplc="140A0019">
      <w:start w:val="1"/>
      <w:numFmt w:val="lowerLetter"/>
      <w:lvlText w:val="%2."/>
      <w:lvlJc w:val="left"/>
      <w:pPr>
        <w:ind w:left="720" w:hanging="360"/>
      </w:pPr>
      <w:rPr>
        <w:rFonts w:hint="default"/>
      </w:r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3" w15:restartNumberingAfterBreak="0">
    <w:nsid w:val="7ADF01EA"/>
    <w:multiLevelType w:val="hybridMultilevel"/>
    <w:tmpl w:val="60DC4310"/>
    <w:lvl w:ilvl="0" w:tplc="04090019">
      <w:start w:val="1"/>
      <w:numFmt w:val="lowerLetter"/>
      <w:lvlText w:val="%1."/>
      <w:lvlJc w:val="left"/>
      <w:pPr>
        <w:ind w:left="720" w:hanging="360"/>
      </w:pPr>
      <w:rPr>
        <w:rFonts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BE97B02"/>
    <w:multiLevelType w:val="hybridMultilevel"/>
    <w:tmpl w:val="F40E6822"/>
    <w:lvl w:ilvl="0" w:tplc="48541686">
      <w:start w:val="1"/>
      <w:numFmt w:val="decimal"/>
      <w:lvlText w:val="%1."/>
      <w:lvlJc w:val="left"/>
      <w:pPr>
        <w:ind w:left="72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FB52358"/>
    <w:multiLevelType w:val="hybridMultilevel"/>
    <w:tmpl w:val="4198C36A"/>
    <w:lvl w:ilvl="0" w:tplc="71FA1320">
      <w:start w:val="19"/>
      <w:numFmt w:val="decimal"/>
      <w:lvlText w:val="%1."/>
      <w:lvlJc w:val="left"/>
      <w:pPr>
        <w:ind w:left="873" w:hanging="360"/>
      </w:pPr>
      <w:rPr>
        <w:rFonts w:ascii="Verdana" w:hAnsi="Verdana" w:hint="default"/>
        <w:b w:val="0"/>
        <w:i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6"/>
  </w:num>
  <w:num w:numId="5">
    <w:abstractNumId w:val="10"/>
  </w:num>
  <w:num w:numId="6">
    <w:abstractNumId w:val="5"/>
  </w:num>
  <w:num w:numId="7">
    <w:abstractNumId w:val="19"/>
  </w:num>
  <w:num w:numId="8">
    <w:abstractNumId w:val="4"/>
  </w:num>
  <w:num w:numId="9">
    <w:abstractNumId w:val="1"/>
  </w:num>
  <w:num w:numId="10">
    <w:abstractNumId w:val="20"/>
  </w:num>
  <w:num w:numId="11">
    <w:abstractNumId w:val="8"/>
  </w:num>
  <w:num w:numId="12">
    <w:abstractNumId w:val="17"/>
  </w:num>
  <w:num w:numId="13">
    <w:abstractNumId w:val="14"/>
  </w:num>
  <w:num w:numId="14">
    <w:abstractNumId w:val="23"/>
  </w:num>
  <w:num w:numId="15">
    <w:abstractNumId w:val="22"/>
  </w:num>
  <w:num w:numId="16">
    <w:abstractNumId w:val="0"/>
  </w:num>
  <w:num w:numId="17">
    <w:abstractNumId w:val="11"/>
  </w:num>
  <w:num w:numId="18">
    <w:abstractNumId w:val="13"/>
  </w:num>
  <w:num w:numId="19">
    <w:abstractNumId w:val="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7"/>
  </w:num>
  <w:num w:numId="24">
    <w:abstractNumId w:val="25"/>
  </w:num>
  <w:num w:numId="25">
    <w:abstractNumId w:val="2"/>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F"/>
    <w:rsid w:val="000004F5"/>
    <w:rsid w:val="00002392"/>
    <w:rsid w:val="0000254C"/>
    <w:rsid w:val="00005DB1"/>
    <w:rsid w:val="000066F3"/>
    <w:rsid w:val="00006C8A"/>
    <w:rsid w:val="0000718B"/>
    <w:rsid w:val="00015CF9"/>
    <w:rsid w:val="00017BD6"/>
    <w:rsid w:val="00022FDF"/>
    <w:rsid w:val="00024F95"/>
    <w:rsid w:val="0003258A"/>
    <w:rsid w:val="00033537"/>
    <w:rsid w:val="00033ABF"/>
    <w:rsid w:val="00041738"/>
    <w:rsid w:val="00054EBF"/>
    <w:rsid w:val="0005695D"/>
    <w:rsid w:val="000623C4"/>
    <w:rsid w:val="000654E4"/>
    <w:rsid w:val="00066EE2"/>
    <w:rsid w:val="00073EAF"/>
    <w:rsid w:val="00077C9F"/>
    <w:rsid w:val="0008361E"/>
    <w:rsid w:val="00084BDD"/>
    <w:rsid w:val="00094B67"/>
    <w:rsid w:val="000A0728"/>
    <w:rsid w:val="000A1CAF"/>
    <w:rsid w:val="000A2FC6"/>
    <w:rsid w:val="000A627F"/>
    <w:rsid w:val="000B37F2"/>
    <w:rsid w:val="000B4429"/>
    <w:rsid w:val="000B6C9C"/>
    <w:rsid w:val="000C651B"/>
    <w:rsid w:val="000C6739"/>
    <w:rsid w:val="000D03F5"/>
    <w:rsid w:val="000D09E3"/>
    <w:rsid w:val="000D1DB8"/>
    <w:rsid w:val="000D3258"/>
    <w:rsid w:val="000D5627"/>
    <w:rsid w:val="000D6FF8"/>
    <w:rsid w:val="000D739B"/>
    <w:rsid w:val="000F190D"/>
    <w:rsid w:val="000F3C99"/>
    <w:rsid w:val="000F754E"/>
    <w:rsid w:val="00100107"/>
    <w:rsid w:val="00100FF0"/>
    <w:rsid w:val="00101FE1"/>
    <w:rsid w:val="001021A7"/>
    <w:rsid w:val="00103585"/>
    <w:rsid w:val="001077FD"/>
    <w:rsid w:val="00115D7E"/>
    <w:rsid w:val="001173FD"/>
    <w:rsid w:val="00117959"/>
    <w:rsid w:val="00125B03"/>
    <w:rsid w:val="00127E14"/>
    <w:rsid w:val="001322A3"/>
    <w:rsid w:val="00133B50"/>
    <w:rsid w:val="00140A54"/>
    <w:rsid w:val="0014103B"/>
    <w:rsid w:val="00141350"/>
    <w:rsid w:val="00142660"/>
    <w:rsid w:val="00143016"/>
    <w:rsid w:val="001449C8"/>
    <w:rsid w:val="00145AA0"/>
    <w:rsid w:val="00147907"/>
    <w:rsid w:val="0015129A"/>
    <w:rsid w:val="00152BC9"/>
    <w:rsid w:val="00154901"/>
    <w:rsid w:val="00154A7C"/>
    <w:rsid w:val="00165FCD"/>
    <w:rsid w:val="00176C0A"/>
    <w:rsid w:val="001818C6"/>
    <w:rsid w:val="00183E95"/>
    <w:rsid w:val="00184638"/>
    <w:rsid w:val="001910D8"/>
    <w:rsid w:val="00194070"/>
    <w:rsid w:val="00194BEF"/>
    <w:rsid w:val="001950C9"/>
    <w:rsid w:val="00195BB0"/>
    <w:rsid w:val="001A0E56"/>
    <w:rsid w:val="001A185B"/>
    <w:rsid w:val="001A7A68"/>
    <w:rsid w:val="001B6660"/>
    <w:rsid w:val="001B6EE2"/>
    <w:rsid w:val="001C1D34"/>
    <w:rsid w:val="001C67A9"/>
    <w:rsid w:val="001D1320"/>
    <w:rsid w:val="001D2620"/>
    <w:rsid w:val="001D2C0E"/>
    <w:rsid w:val="001E1CB5"/>
    <w:rsid w:val="001E794C"/>
    <w:rsid w:val="001F3C17"/>
    <w:rsid w:val="001F75D9"/>
    <w:rsid w:val="00200C7A"/>
    <w:rsid w:val="00203C7F"/>
    <w:rsid w:val="00205ED7"/>
    <w:rsid w:val="002070E7"/>
    <w:rsid w:val="00211775"/>
    <w:rsid w:val="002156E1"/>
    <w:rsid w:val="00221D27"/>
    <w:rsid w:val="002237C4"/>
    <w:rsid w:val="002273EA"/>
    <w:rsid w:val="00234D64"/>
    <w:rsid w:val="002407F7"/>
    <w:rsid w:val="002409E3"/>
    <w:rsid w:val="002465BF"/>
    <w:rsid w:val="00250696"/>
    <w:rsid w:val="00250A1A"/>
    <w:rsid w:val="00251059"/>
    <w:rsid w:val="0028140E"/>
    <w:rsid w:val="002855E7"/>
    <w:rsid w:val="00287CD8"/>
    <w:rsid w:val="00293643"/>
    <w:rsid w:val="00293E84"/>
    <w:rsid w:val="002A56AD"/>
    <w:rsid w:val="002A70D6"/>
    <w:rsid w:val="002B2363"/>
    <w:rsid w:val="002B4EFF"/>
    <w:rsid w:val="002C0CD5"/>
    <w:rsid w:val="002C371D"/>
    <w:rsid w:val="002C4C73"/>
    <w:rsid w:val="002C6C91"/>
    <w:rsid w:val="002E0D74"/>
    <w:rsid w:val="002E5209"/>
    <w:rsid w:val="002E7CBA"/>
    <w:rsid w:val="002F701E"/>
    <w:rsid w:val="0030110F"/>
    <w:rsid w:val="00312FE3"/>
    <w:rsid w:val="0031331F"/>
    <w:rsid w:val="003145C7"/>
    <w:rsid w:val="003168DE"/>
    <w:rsid w:val="00320573"/>
    <w:rsid w:val="003240EB"/>
    <w:rsid w:val="0032428B"/>
    <w:rsid w:val="0032798D"/>
    <w:rsid w:val="003316A1"/>
    <w:rsid w:val="0033263F"/>
    <w:rsid w:val="003334D9"/>
    <w:rsid w:val="00336AD6"/>
    <w:rsid w:val="00337FEC"/>
    <w:rsid w:val="0034129A"/>
    <w:rsid w:val="0034331E"/>
    <w:rsid w:val="00357359"/>
    <w:rsid w:val="003668BB"/>
    <w:rsid w:val="00367D75"/>
    <w:rsid w:val="00371322"/>
    <w:rsid w:val="00372A7B"/>
    <w:rsid w:val="003757C5"/>
    <w:rsid w:val="00377BAD"/>
    <w:rsid w:val="003816AB"/>
    <w:rsid w:val="00384189"/>
    <w:rsid w:val="003918FB"/>
    <w:rsid w:val="00395069"/>
    <w:rsid w:val="003B03DE"/>
    <w:rsid w:val="003B323B"/>
    <w:rsid w:val="003B6997"/>
    <w:rsid w:val="003C496A"/>
    <w:rsid w:val="003D0699"/>
    <w:rsid w:val="003D13A2"/>
    <w:rsid w:val="003D2AC2"/>
    <w:rsid w:val="003D3824"/>
    <w:rsid w:val="003D403E"/>
    <w:rsid w:val="003D469B"/>
    <w:rsid w:val="003D5E54"/>
    <w:rsid w:val="003D6412"/>
    <w:rsid w:val="003D66FD"/>
    <w:rsid w:val="003E5A68"/>
    <w:rsid w:val="003F3880"/>
    <w:rsid w:val="003F52E0"/>
    <w:rsid w:val="003F60EA"/>
    <w:rsid w:val="003F7641"/>
    <w:rsid w:val="00400231"/>
    <w:rsid w:val="00401687"/>
    <w:rsid w:val="00405CA0"/>
    <w:rsid w:val="0041018F"/>
    <w:rsid w:val="00411DA9"/>
    <w:rsid w:val="004122BB"/>
    <w:rsid w:val="0041294A"/>
    <w:rsid w:val="00414B7D"/>
    <w:rsid w:val="00414CB1"/>
    <w:rsid w:val="004167AB"/>
    <w:rsid w:val="004175FA"/>
    <w:rsid w:val="00421239"/>
    <w:rsid w:val="004232DB"/>
    <w:rsid w:val="004236C5"/>
    <w:rsid w:val="00423A47"/>
    <w:rsid w:val="0043767C"/>
    <w:rsid w:val="00453A40"/>
    <w:rsid w:val="004550E6"/>
    <w:rsid w:val="0045649F"/>
    <w:rsid w:val="0046086E"/>
    <w:rsid w:val="00460B75"/>
    <w:rsid w:val="00467BB7"/>
    <w:rsid w:val="004712BC"/>
    <w:rsid w:val="0047407F"/>
    <w:rsid w:val="00476CE6"/>
    <w:rsid w:val="00480C1E"/>
    <w:rsid w:val="004832C5"/>
    <w:rsid w:val="0048419C"/>
    <w:rsid w:val="00486A06"/>
    <w:rsid w:val="00486FF1"/>
    <w:rsid w:val="00487F0B"/>
    <w:rsid w:val="0049016B"/>
    <w:rsid w:val="004921D8"/>
    <w:rsid w:val="00493981"/>
    <w:rsid w:val="00494633"/>
    <w:rsid w:val="00494E98"/>
    <w:rsid w:val="0049773B"/>
    <w:rsid w:val="004A2769"/>
    <w:rsid w:val="004B4D59"/>
    <w:rsid w:val="004B4E58"/>
    <w:rsid w:val="004C2F87"/>
    <w:rsid w:val="004C3CC0"/>
    <w:rsid w:val="004C76AE"/>
    <w:rsid w:val="004D3377"/>
    <w:rsid w:val="004D73AB"/>
    <w:rsid w:val="004E111C"/>
    <w:rsid w:val="004E2753"/>
    <w:rsid w:val="004E36EF"/>
    <w:rsid w:val="004E5984"/>
    <w:rsid w:val="004E5ACF"/>
    <w:rsid w:val="004F30F1"/>
    <w:rsid w:val="00505444"/>
    <w:rsid w:val="0050629B"/>
    <w:rsid w:val="00507B5C"/>
    <w:rsid w:val="00514F53"/>
    <w:rsid w:val="0052533B"/>
    <w:rsid w:val="005255DC"/>
    <w:rsid w:val="00525A0B"/>
    <w:rsid w:val="00531A15"/>
    <w:rsid w:val="00532AB1"/>
    <w:rsid w:val="005347B0"/>
    <w:rsid w:val="00540619"/>
    <w:rsid w:val="005416E9"/>
    <w:rsid w:val="00544102"/>
    <w:rsid w:val="005458EF"/>
    <w:rsid w:val="0054702E"/>
    <w:rsid w:val="0055076D"/>
    <w:rsid w:val="00551BFF"/>
    <w:rsid w:val="00553683"/>
    <w:rsid w:val="00554AD5"/>
    <w:rsid w:val="00557680"/>
    <w:rsid w:val="005633F2"/>
    <w:rsid w:val="00563427"/>
    <w:rsid w:val="00567B27"/>
    <w:rsid w:val="00567D48"/>
    <w:rsid w:val="00571549"/>
    <w:rsid w:val="0057696F"/>
    <w:rsid w:val="00577444"/>
    <w:rsid w:val="005823C6"/>
    <w:rsid w:val="00592805"/>
    <w:rsid w:val="00595AED"/>
    <w:rsid w:val="005A2553"/>
    <w:rsid w:val="005A2D4A"/>
    <w:rsid w:val="005A6B57"/>
    <w:rsid w:val="005B35EC"/>
    <w:rsid w:val="005C076E"/>
    <w:rsid w:val="005C2A9F"/>
    <w:rsid w:val="005C39B0"/>
    <w:rsid w:val="005C55AF"/>
    <w:rsid w:val="005C6ED1"/>
    <w:rsid w:val="005D0EAE"/>
    <w:rsid w:val="005D3D41"/>
    <w:rsid w:val="005D46D9"/>
    <w:rsid w:val="005D78D0"/>
    <w:rsid w:val="005E043F"/>
    <w:rsid w:val="005E05B0"/>
    <w:rsid w:val="005E76AF"/>
    <w:rsid w:val="005F0033"/>
    <w:rsid w:val="005F2466"/>
    <w:rsid w:val="005F5399"/>
    <w:rsid w:val="005F6A8E"/>
    <w:rsid w:val="005F7734"/>
    <w:rsid w:val="005F77C7"/>
    <w:rsid w:val="006001FD"/>
    <w:rsid w:val="00600B01"/>
    <w:rsid w:val="00614134"/>
    <w:rsid w:val="006146A8"/>
    <w:rsid w:val="00625B29"/>
    <w:rsid w:val="00625F11"/>
    <w:rsid w:val="00627F25"/>
    <w:rsid w:val="006306E4"/>
    <w:rsid w:val="0063317A"/>
    <w:rsid w:val="00633FF5"/>
    <w:rsid w:val="00637227"/>
    <w:rsid w:val="0063730B"/>
    <w:rsid w:val="0064084B"/>
    <w:rsid w:val="00640948"/>
    <w:rsid w:val="00641D5D"/>
    <w:rsid w:val="00641FDA"/>
    <w:rsid w:val="006445B6"/>
    <w:rsid w:val="00645700"/>
    <w:rsid w:val="00650B3C"/>
    <w:rsid w:val="00650FF1"/>
    <w:rsid w:val="00651917"/>
    <w:rsid w:val="00655205"/>
    <w:rsid w:val="00655B1C"/>
    <w:rsid w:val="00663706"/>
    <w:rsid w:val="00666898"/>
    <w:rsid w:val="00666A69"/>
    <w:rsid w:val="00667AC6"/>
    <w:rsid w:val="00667DA5"/>
    <w:rsid w:val="00676751"/>
    <w:rsid w:val="006769D9"/>
    <w:rsid w:val="0067754A"/>
    <w:rsid w:val="00680F42"/>
    <w:rsid w:val="00682B01"/>
    <w:rsid w:val="0068438C"/>
    <w:rsid w:val="0069110A"/>
    <w:rsid w:val="0069388F"/>
    <w:rsid w:val="006A155A"/>
    <w:rsid w:val="006A47B5"/>
    <w:rsid w:val="006A5091"/>
    <w:rsid w:val="006B013B"/>
    <w:rsid w:val="006B037D"/>
    <w:rsid w:val="006B183C"/>
    <w:rsid w:val="006C0B8C"/>
    <w:rsid w:val="006C2793"/>
    <w:rsid w:val="006C2817"/>
    <w:rsid w:val="006C6484"/>
    <w:rsid w:val="006C736D"/>
    <w:rsid w:val="006D3736"/>
    <w:rsid w:val="006D50A3"/>
    <w:rsid w:val="006D627E"/>
    <w:rsid w:val="006D7430"/>
    <w:rsid w:val="006D7C72"/>
    <w:rsid w:val="006E24C5"/>
    <w:rsid w:val="006E25C0"/>
    <w:rsid w:val="006E27F2"/>
    <w:rsid w:val="006E339D"/>
    <w:rsid w:val="006E3FA3"/>
    <w:rsid w:val="006E4B12"/>
    <w:rsid w:val="006E5E43"/>
    <w:rsid w:val="006E7F60"/>
    <w:rsid w:val="006F30F3"/>
    <w:rsid w:val="006F4C21"/>
    <w:rsid w:val="007000EB"/>
    <w:rsid w:val="007018E1"/>
    <w:rsid w:val="0070245E"/>
    <w:rsid w:val="007056C3"/>
    <w:rsid w:val="00710C99"/>
    <w:rsid w:val="00711165"/>
    <w:rsid w:val="00714891"/>
    <w:rsid w:val="00716611"/>
    <w:rsid w:val="007232A6"/>
    <w:rsid w:val="00723F79"/>
    <w:rsid w:val="00725280"/>
    <w:rsid w:val="00731408"/>
    <w:rsid w:val="00740295"/>
    <w:rsid w:val="00740422"/>
    <w:rsid w:val="00742EA6"/>
    <w:rsid w:val="00743E0B"/>
    <w:rsid w:val="00745E8E"/>
    <w:rsid w:val="0074736D"/>
    <w:rsid w:val="00751AD5"/>
    <w:rsid w:val="007548C9"/>
    <w:rsid w:val="00756AAA"/>
    <w:rsid w:val="0075793F"/>
    <w:rsid w:val="00763E8F"/>
    <w:rsid w:val="00771D0F"/>
    <w:rsid w:val="00772D14"/>
    <w:rsid w:val="00786342"/>
    <w:rsid w:val="007B6FBC"/>
    <w:rsid w:val="007C5299"/>
    <w:rsid w:val="007D1499"/>
    <w:rsid w:val="007D2193"/>
    <w:rsid w:val="007D3BF3"/>
    <w:rsid w:val="007D56DC"/>
    <w:rsid w:val="007E1BCC"/>
    <w:rsid w:val="00803FA4"/>
    <w:rsid w:val="008042A9"/>
    <w:rsid w:val="00805F4B"/>
    <w:rsid w:val="00814982"/>
    <w:rsid w:val="0082712A"/>
    <w:rsid w:val="00833F19"/>
    <w:rsid w:val="00835BA0"/>
    <w:rsid w:val="00837F66"/>
    <w:rsid w:val="0084338E"/>
    <w:rsid w:val="00843592"/>
    <w:rsid w:val="008464F6"/>
    <w:rsid w:val="00846A32"/>
    <w:rsid w:val="0084709F"/>
    <w:rsid w:val="00852CEA"/>
    <w:rsid w:val="00854FC2"/>
    <w:rsid w:val="0085562E"/>
    <w:rsid w:val="008568AE"/>
    <w:rsid w:val="00865DB8"/>
    <w:rsid w:val="00866236"/>
    <w:rsid w:val="00866A1F"/>
    <w:rsid w:val="00874A30"/>
    <w:rsid w:val="00880C61"/>
    <w:rsid w:val="0088492D"/>
    <w:rsid w:val="00885049"/>
    <w:rsid w:val="0088606F"/>
    <w:rsid w:val="00894130"/>
    <w:rsid w:val="00897D30"/>
    <w:rsid w:val="008A321C"/>
    <w:rsid w:val="008A4589"/>
    <w:rsid w:val="008A4618"/>
    <w:rsid w:val="008A4B05"/>
    <w:rsid w:val="008C606B"/>
    <w:rsid w:val="008D0635"/>
    <w:rsid w:val="008D793C"/>
    <w:rsid w:val="008E4045"/>
    <w:rsid w:val="008E6001"/>
    <w:rsid w:val="008F1549"/>
    <w:rsid w:val="008F3E9A"/>
    <w:rsid w:val="008F451C"/>
    <w:rsid w:val="00901C91"/>
    <w:rsid w:val="0090253A"/>
    <w:rsid w:val="009030C6"/>
    <w:rsid w:val="009068FE"/>
    <w:rsid w:val="009125EE"/>
    <w:rsid w:val="00913A8E"/>
    <w:rsid w:val="0092626D"/>
    <w:rsid w:val="009271D6"/>
    <w:rsid w:val="00930CAF"/>
    <w:rsid w:val="00932A21"/>
    <w:rsid w:val="00933FF2"/>
    <w:rsid w:val="0093627E"/>
    <w:rsid w:val="00937ACF"/>
    <w:rsid w:val="00937B20"/>
    <w:rsid w:val="0094195B"/>
    <w:rsid w:val="00944F10"/>
    <w:rsid w:val="00946A06"/>
    <w:rsid w:val="009471EC"/>
    <w:rsid w:val="00953BCF"/>
    <w:rsid w:val="00954AA2"/>
    <w:rsid w:val="00954E8E"/>
    <w:rsid w:val="00955C60"/>
    <w:rsid w:val="009638B4"/>
    <w:rsid w:val="0096434C"/>
    <w:rsid w:val="009644AB"/>
    <w:rsid w:val="00964F75"/>
    <w:rsid w:val="00970E68"/>
    <w:rsid w:val="009731CA"/>
    <w:rsid w:val="009773CA"/>
    <w:rsid w:val="00981601"/>
    <w:rsid w:val="009834B3"/>
    <w:rsid w:val="00983F3F"/>
    <w:rsid w:val="009849CC"/>
    <w:rsid w:val="0098601F"/>
    <w:rsid w:val="009900BA"/>
    <w:rsid w:val="0099049A"/>
    <w:rsid w:val="00991868"/>
    <w:rsid w:val="00991AB0"/>
    <w:rsid w:val="00991DCA"/>
    <w:rsid w:val="00993532"/>
    <w:rsid w:val="00994325"/>
    <w:rsid w:val="00995000"/>
    <w:rsid w:val="009A14F0"/>
    <w:rsid w:val="009A22E1"/>
    <w:rsid w:val="009A2F2F"/>
    <w:rsid w:val="009A46AF"/>
    <w:rsid w:val="009A6904"/>
    <w:rsid w:val="009B4991"/>
    <w:rsid w:val="009B7656"/>
    <w:rsid w:val="009C048D"/>
    <w:rsid w:val="009C0D40"/>
    <w:rsid w:val="009C0E4D"/>
    <w:rsid w:val="009D12E3"/>
    <w:rsid w:val="009D1A66"/>
    <w:rsid w:val="009D1E5E"/>
    <w:rsid w:val="009E01B9"/>
    <w:rsid w:val="009E025B"/>
    <w:rsid w:val="009E0AB7"/>
    <w:rsid w:val="009E155E"/>
    <w:rsid w:val="009E5DCF"/>
    <w:rsid w:val="009F0B20"/>
    <w:rsid w:val="009F406F"/>
    <w:rsid w:val="00A00910"/>
    <w:rsid w:val="00A144B1"/>
    <w:rsid w:val="00A163D9"/>
    <w:rsid w:val="00A16542"/>
    <w:rsid w:val="00A25020"/>
    <w:rsid w:val="00A30B91"/>
    <w:rsid w:val="00A30DC1"/>
    <w:rsid w:val="00A318AB"/>
    <w:rsid w:val="00A31A98"/>
    <w:rsid w:val="00A331B4"/>
    <w:rsid w:val="00A35EA7"/>
    <w:rsid w:val="00A366C6"/>
    <w:rsid w:val="00A37471"/>
    <w:rsid w:val="00A40076"/>
    <w:rsid w:val="00A40999"/>
    <w:rsid w:val="00A44A37"/>
    <w:rsid w:val="00A45B0F"/>
    <w:rsid w:val="00A46E26"/>
    <w:rsid w:val="00A46EB6"/>
    <w:rsid w:val="00A54342"/>
    <w:rsid w:val="00A5472B"/>
    <w:rsid w:val="00A551CF"/>
    <w:rsid w:val="00A57799"/>
    <w:rsid w:val="00A60B52"/>
    <w:rsid w:val="00A63075"/>
    <w:rsid w:val="00A63A9A"/>
    <w:rsid w:val="00A64B3B"/>
    <w:rsid w:val="00A65DC7"/>
    <w:rsid w:val="00A71FF1"/>
    <w:rsid w:val="00A73BA5"/>
    <w:rsid w:val="00A828FD"/>
    <w:rsid w:val="00A84AC2"/>
    <w:rsid w:val="00A85AEB"/>
    <w:rsid w:val="00A86A33"/>
    <w:rsid w:val="00A92FAB"/>
    <w:rsid w:val="00A962A0"/>
    <w:rsid w:val="00A968DA"/>
    <w:rsid w:val="00AA0722"/>
    <w:rsid w:val="00AB7255"/>
    <w:rsid w:val="00AB7A20"/>
    <w:rsid w:val="00AC13C7"/>
    <w:rsid w:val="00AC2E97"/>
    <w:rsid w:val="00AC6AE5"/>
    <w:rsid w:val="00AD02F0"/>
    <w:rsid w:val="00AD51AA"/>
    <w:rsid w:val="00AE4164"/>
    <w:rsid w:val="00AE70F5"/>
    <w:rsid w:val="00AF5465"/>
    <w:rsid w:val="00B0021E"/>
    <w:rsid w:val="00B03C6B"/>
    <w:rsid w:val="00B066F7"/>
    <w:rsid w:val="00B0726E"/>
    <w:rsid w:val="00B15DC6"/>
    <w:rsid w:val="00B22DD9"/>
    <w:rsid w:val="00B23CE7"/>
    <w:rsid w:val="00B23FA9"/>
    <w:rsid w:val="00B25BF1"/>
    <w:rsid w:val="00B365C1"/>
    <w:rsid w:val="00B4197E"/>
    <w:rsid w:val="00B45F91"/>
    <w:rsid w:val="00B4659B"/>
    <w:rsid w:val="00B509F1"/>
    <w:rsid w:val="00B526B8"/>
    <w:rsid w:val="00B52A99"/>
    <w:rsid w:val="00B676F6"/>
    <w:rsid w:val="00B720B0"/>
    <w:rsid w:val="00B77256"/>
    <w:rsid w:val="00B77DA9"/>
    <w:rsid w:val="00B816B1"/>
    <w:rsid w:val="00B83D13"/>
    <w:rsid w:val="00B849E3"/>
    <w:rsid w:val="00B97A0E"/>
    <w:rsid w:val="00BA44B6"/>
    <w:rsid w:val="00BA492D"/>
    <w:rsid w:val="00BA4F27"/>
    <w:rsid w:val="00BA639F"/>
    <w:rsid w:val="00BB63EF"/>
    <w:rsid w:val="00BC3657"/>
    <w:rsid w:val="00BC4CFC"/>
    <w:rsid w:val="00BC5A6F"/>
    <w:rsid w:val="00BD406A"/>
    <w:rsid w:val="00BD55D1"/>
    <w:rsid w:val="00BD561A"/>
    <w:rsid w:val="00BE2654"/>
    <w:rsid w:val="00BF1205"/>
    <w:rsid w:val="00BF1A29"/>
    <w:rsid w:val="00C016A0"/>
    <w:rsid w:val="00C03A29"/>
    <w:rsid w:val="00C042CA"/>
    <w:rsid w:val="00C07AA7"/>
    <w:rsid w:val="00C11AC8"/>
    <w:rsid w:val="00C11BE9"/>
    <w:rsid w:val="00C11FF5"/>
    <w:rsid w:val="00C1214A"/>
    <w:rsid w:val="00C13445"/>
    <w:rsid w:val="00C13878"/>
    <w:rsid w:val="00C16260"/>
    <w:rsid w:val="00C1673D"/>
    <w:rsid w:val="00C17E82"/>
    <w:rsid w:val="00C237AA"/>
    <w:rsid w:val="00C24009"/>
    <w:rsid w:val="00C2549C"/>
    <w:rsid w:val="00C30A75"/>
    <w:rsid w:val="00C31100"/>
    <w:rsid w:val="00C33A7C"/>
    <w:rsid w:val="00C355AB"/>
    <w:rsid w:val="00C36177"/>
    <w:rsid w:val="00C40F1C"/>
    <w:rsid w:val="00C41FBD"/>
    <w:rsid w:val="00C420CB"/>
    <w:rsid w:val="00C50298"/>
    <w:rsid w:val="00C502A6"/>
    <w:rsid w:val="00C512E7"/>
    <w:rsid w:val="00C5212C"/>
    <w:rsid w:val="00C524DF"/>
    <w:rsid w:val="00C537B6"/>
    <w:rsid w:val="00C56AD6"/>
    <w:rsid w:val="00C6074D"/>
    <w:rsid w:val="00C626B1"/>
    <w:rsid w:val="00C6357F"/>
    <w:rsid w:val="00C664C3"/>
    <w:rsid w:val="00C669AA"/>
    <w:rsid w:val="00C72052"/>
    <w:rsid w:val="00C73713"/>
    <w:rsid w:val="00C743AE"/>
    <w:rsid w:val="00C74DF5"/>
    <w:rsid w:val="00C75E07"/>
    <w:rsid w:val="00C8724D"/>
    <w:rsid w:val="00C94694"/>
    <w:rsid w:val="00C974C2"/>
    <w:rsid w:val="00CA7D68"/>
    <w:rsid w:val="00CB0576"/>
    <w:rsid w:val="00CB1077"/>
    <w:rsid w:val="00CB4F18"/>
    <w:rsid w:val="00CC1882"/>
    <w:rsid w:val="00CC349D"/>
    <w:rsid w:val="00CC35C3"/>
    <w:rsid w:val="00CC36E4"/>
    <w:rsid w:val="00CC62E8"/>
    <w:rsid w:val="00CC7CC7"/>
    <w:rsid w:val="00CC7D14"/>
    <w:rsid w:val="00CD12E2"/>
    <w:rsid w:val="00CD1496"/>
    <w:rsid w:val="00CD60B7"/>
    <w:rsid w:val="00CD785B"/>
    <w:rsid w:val="00CF21D6"/>
    <w:rsid w:val="00D010D7"/>
    <w:rsid w:val="00D0671D"/>
    <w:rsid w:val="00D06A5F"/>
    <w:rsid w:val="00D10531"/>
    <w:rsid w:val="00D11108"/>
    <w:rsid w:val="00D1782C"/>
    <w:rsid w:val="00D21216"/>
    <w:rsid w:val="00D30348"/>
    <w:rsid w:val="00D35C52"/>
    <w:rsid w:val="00D376EB"/>
    <w:rsid w:val="00D37E71"/>
    <w:rsid w:val="00D40A27"/>
    <w:rsid w:val="00D40F15"/>
    <w:rsid w:val="00D423DE"/>
    <w:rsid w:val="00D426D1"/>
    <w:rsid w:val="00D60E94"/>
    <w:rsid w:val="00D61ACD"/>
    <w:rsid w:val="00D63A00"/>
    <w:rsid w:val="00D64261"/>
    <w:rsid w:val="00D65E30"/>
    <w:rsid w:val="00D746FF"/>
    <w:rsid w:val="00D74C38"/>
    <w:rsid w:val="00D752C0"/>
    <w:rsid w:val="00D767E1"/>
    <w:rsid w:val="00D77D5E"/>
    <w:rsid w:val="00D77F5C"/>
    <w:rsid w:val="00D809B9"/>
    <w:rsid w:val="00D81E2E"/>
    <w:rsid w:val="00D82686"/>
    <w:rsid w:val="00D83064"/>
    <w:rsid w:val="00D848CE"/>
    <w:rsid w:val="00D86977"/>
    <w:rsid w:val="00D86DFD"/>
    <w:rsid w:val="00D937BB"/>
    <w:rsid w:val="00D95857"/>
    <w:rsid w:val="00DA3FDB"/>
    <w:rsid w:val="00DA698C"/>
    <w:rsid w:val="00DB0A92"/>
    <w:rsid w:val="00DB0B42"/>
    <w:rsid w:val="00DC0DE2"/>
    <w:rsid w:val="00DC49BF"/>
    <w:rsid w:val="00DC7256"/>
    <w:rsid w:val="00DE647A"/>
    <w:rsid w:val="00DF1103"/>
    <w:rsid w:val="00DF59DF"/>
    <w:rsid w:val="00E01F70"/>
    <w:rsid w:val="00E026FA"/>
    <w:rsid w:val="00E112B2"/>
    <w:rsid w:val="00E20FBB"/>
    <w:rsid w:val="00E20FE5"/>
    <w:rsid w:val="00E23414"/>
    <w:rsid w:val="00E24D20"/>
    <w:rsid w:val="00E33DE4"/>
    <w:rsid w:val="00E423AA"/>
    <w:rsid w:val="00E46629"/>
    <w:rsid w:val="00E53316"/>
    <w:rsid w:val="00E537D7"/>
    <w:rsid w:val="00E5497D"/>
    <w:rsid w:val="00E55813"/>
    <w:rsid w:val="00E56161"/>
    <w:rsid w:val="00E6185C"/>
    <w:rsid w:val="00E61875"/>
    <w:rsid w:val="00E64B24"/>
    <w:rsid w:val="00E73FC4"/>
    <w:rsid w:val="00E74177"/>
    <w:rsid w:val="00E81DC0"/>
    <w:rsid w:val="00E82DB0"/>
    <w:rsid w:val="00E84672"/>
    <w:rsid w:val="00E90C9D"/>
    <w:rsid w:val="00E91C99"/>
    <w:rsid w:val="00E93986"/>
    <w:rsid w:val="00E9559B"/>
    <w:rsid w:val="00E97988"/>
    <w:rsid w:val="00EA0C41"/>
    <w:rsid w:val="00EA2CD9"/>
    <w:rsid w:val="00EA39CF"/>
    <w:rsid w:val="00EA3DCE"/>
    <w:rsid w:val="00EA5F54"/>
    <w:rsid w:val="00EA6794"/>
    <w:rsid w:val="00EB0953"/>
    <w:rsid w:val="00EB6556"/>
    <w:rsid w:val="00EC20BE"/>
    <w:rsid w:val="00ED172A"/>
    <w:rsid w:val="00ED1A8D"/>
    <w:rsid w:val="00ED1B2F"/>
    <w:rsid w:val="00ED2386"/>
    <w:rsid w:val="00ED28CA"/>
    <w:rsid w:val="00ED4D03"/>
    <w:rsid w:val="00ED575D"/>
    <w:rsid w:val="00ED6069"/>
    <w:rsid w:val="00EE0812"/>
    <w:rsid w:val="00EE311A"/>
    <w:rsid w:val="00EE3A32"/>
    <w:rsid w:val="00EE68A9"/>
    <w:rsid w:val="00EF0DCC"/>
    <w:rsid w:val="00EF3D0F"/>
    <w:rsid w:val="00EF4423"/>
    <w:rsid w:val="00F02682"/>
    <w:rsid w:val="00F04E06"/>
    <w:rsid w:val="00F111CB"/>
    <w:rsid w:val="00F11A9E"/>
    <w:rsid w:val="00F12DFC"/>
    <w:rsid w:val="00F12EDF"/>
    <w:rsid w:val="00F13F46"/>
    <w:rsid w:val="00F20AC3"/>
    <w:rsid w:val="00F21735"/>
    <w:rsid w:val="00F32B7D"/>
    <w:rsid w:val="00F36A4C"/>
    <w:rsid w:val="00F36D3A"/>
    <w:rsid w:val="00F40065"/>
    <w:rsid w:val="00F404F4"/>
    <w:rsid w:val="00F5474D"/>
    <w:rsid w:val="00F551F1"/>
    <w:rsid w:val="00F60C8D"/>
    <w:rsid w:val="00F663E6"/>
    <w:rsid w:val="00F7383B"/>
    <w:rsid w:val="00F7397C"/>
    <w:rsid w:val="00F778D5"/>
    <w:rsid w:val="00F82496"/>
    <w:rsid w:val="00F9326C"/>
    <w:rsid w:val="00FA1796"/>
    <w:rsid w:val="00FA607C"/>
    <w:rsid w:val="00FA7E75"/>
    <w:rsid w:val="00FB1571"/>
    <w:rsid w:val="00FB4D11"/>
    <w:rsid w:val="00FC02E5"/>
    <w:rsid w:val="00FC2DC9"/>
    <w:rsid w:val="00FC5EBE"/>
    <w:rsid w:val="00FD08A1"/>
    <w:rsid w:val="00FD1236"/>
    <w:rsid w:val="00FD35C2"/>
    <w:rsid w:val="00FD3ABB"/>
    <w:rsid w:val="00FE0EA2"/>
    <w:rsid w:val="00FE2CB1"/>
    <w:rsid w:val="00FF3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4A98"/>
  <w15:docId w15:val="{B1D92AB1-0730-423E-ADFB-8527A946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5B"/>
    <w:pPr>
      <w:spacing w:after="0" w:line="240" w:lineRule="auto"/>
    </w:pPr>
    <w:rPr>
      <w:rFonts w:ascii="Times New Roman" w:eastAsia="MS Mincho" w:hAnsi="Times New Roman" w:cs="Times New Roman"/>
      <w:sz w:val="24"/>
      <w:szCs w:val="24"/>
      <w:lang w:val="es-ES_tradnl"/>
    </w:rPr>
  </w:style>
  <w:style w:type="paragraph" w:styleId="Ttulo2">
    <w:name w:val="heading 2"/>
    <w:basedOn w:val="Normal"/>
    <w:next w:val="Normal"/>
    <w:link w:val="Ttulo2Car"/>
    <w:rsid w:val="009638B4"/>
    <w:pPr>
      <w:keepNext/>
      <w:keepLines/>
      <w:suppressAutoHyphens/>
      <w:autoSpaceDN w:val="0"/>
      <w:spacing w:before="40" w:line="251" w:lineRule="auto"/>
      <w:textAlignment w:val="baseline"/>
      <w:outlineLvl w:val="1"/>
    </w:pPr>
    <w:rPr>
      <w:rFonts w:ascii="Calibri Light" w:eastAsia="Times New Roman" w:hAnsi="Calibri Light"/>
      <w:color w:val="2F5496"/>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85B"/>
    <w:pPr>
      <w:tabs>
        <w:tab w:val="center" w:pos="4252"/>
        <w:tab w:val="right" w:pos="8504"/>
      </w:tabs>
    </w:pPr>
  </w:style>
  <w:style w:type="character" w:customStyle="1" w:styleId="EncabezadoCar">
    <w:name w:val="Encabezado Car"/>
    <w:basedOn w:val="Fuentedeprrafopredeter"/>
    <w:link w:val="Encabezado"/>
    <w:uiPriority w:val="99"/>
    <w:rsid w:val="00CD785B"/>
  </w:style>
  <w:style w:type="paragraph" w:styleId="Piedepgina">
    <w:name w:val="footer"/>
    <w:basedOn w:val="Normal"/>
    <w:link w:val="PiedepginaCar"/>
    <w:uiPriority w:val="99"/>
    <w:unhideWhenUsed/>
    <w:rsid w:val="00CD785B"/>
    <w:pPr>
      <w:tabs>
        <w:tab w:val="center" w:pos="4252"/>
        <w:tab w:val="right" w:pos="8504"/>
      </w:tabs>
    </w:pPr>
  </w:style>
  <w:style w:type="character" w:customStyle="1" w:styleId="PiedepginaCar">
    <w:name w:val="Pie de página Car"/>
    <w:basedOn w:val="Fuentedeprrafopredeter"/>
    <w:link w:val="Piedepgina"/>
    <w:uiPriority w:val="99"/>
    <w:rsid w:val="00CD785B"/>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qFormat/>
    <w:rsid w:val="00CD785B"/>
    <w:rPr>
      <w:rFonts w:ascii="Verdana" w:hAnsi="Verdana"/>
      <w:sz w:val="16"/>
      <w:vertAlign w:val="superscript"/>
    </w:rPr>
  </w:style>
  <w:style w:type="paragraph" w:styleId="Textonotapie">
    <w:name w:val="footnote text"/>
    <w:aliases w:val="Footnote Text Char Char Char Char Char,Footnote Text Char Char Char Char,Footnote reference,FA Fu,Footnote Text Char Char Char,FA Fu Car,FA Fu Car Car,Footnote Text Cha,FA Fußnotentext,FA Fuﬂnotentext,Ca,footnote text,C,ft,FA Fu?notentext"/>
    <w:basedOn w:val="Normal"/>
    <w:link w:val="TextonotapieCar"/>
    <w:qFormat/>
    <w:rsid w:val="00CD785B"/>
    <w:pPr>
      <w:widowControl w:val="0"/>
    </w:pPr>
    <w:rPr>
      <w:sz w:val="20"/>
      <w:szCs w:val="20"/>
    </w:rPr>
  </w:style>
  <w:style w:type="character" w:customStyle="1" w:styleId="TextonotapieCar">
    <w:name w:val="Texto nota pie Car"/>
    <w:aliases w:val="Footnote Text Char Char Char Char Char Car,Footnote Text Char Char Char Char Car,Footnote reference Car,FA Fu Car1,Footnote Text Char Char Char Car,FA Fu Car Car1,FA Fu Car Car Car,Footnote Text Cha Car,FA Fußnotentext Car,Ca Car"/>
    <w:basedOn w:val="Fuentedeprrafopredeter"/>
    <w:link w:val="Textonotapie"/>
    <w:qFormat/>
    <w:rsid w:val="00CD785B"/>
    <w:rPr>
      <w:rFonts w:ascii="Times New Roman" w:eastAsia="MS Mincho" w:hAnsi="Times New Roman" w:cs="Times New Roman"/>
      <w:sz w:val="20"/>
      <w:szCs w:val="20"/>
      <w:lang w:val="es-ES_tradnl"/>
    </w:rPr>
  </w:style>
  <w:style w:type="character" w:styleId="Hipervnculo">
    <w:name w:val="Hyperlink"/>
    <w:uiPriority w:val="99"/>
    <w:unhideWhenUsed/>
    <w:rsid w:val="00CD785B"/>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785B"/>
    <w:pPr>
      <w:jc w:val="both"/>
    </w:pPr>
    <w:rPr>
      <w:rFonts w:ascii="Verdana" w:eastAsiaTheme="minorHAnsi" w:hAnsi="Verdana" w:cstheme="minorBidi"/>
      <w:sz w:val="16"/>
      <w:szCs w:val="22"/>
      <w:vertAlign w:val="superscript"/>
      <w:lang w:val="es-ES"/>
    </w:rPr>
  </w:style>
  <w:style w:type="paragraph" w:styleId="Prrafodelista">
    <w:name w:val="List Paragraph"/>
    <w:aliases w:val="Footnote,List Paragraph1,Colorful List - Accent 11,Párrafo de lista1"/>
    <w:basedOn w:val="Normal"/>
    <w:link w:val="PrrafodelistaCar"/>
    <w:uiPriority w:val="34"/>
    <w:qFormat/>
    <w:rsid w:val="00CD785B"/>
    <w:pPr>
      <w:spacing w:after="200" w:line="276" w:lineRule="auto"/>
      <w:ind w:left="720"/>
      <w:contextualSpacing/>
    </w:pPr>
    <w:rPr>
      <w:rFonts w:asciiTheme="minorHAnsi" w:eastAsiaTheme="minorHAnsi" w:hAnsiTheme="minorHAnsi" w:cstheme="minorBidi"/>
      <w:sz w:val="22"/>
      <w:szCs w:val="22"/>
      <w:lang w:val="en-US"/>
    </w:rPr>
  </w:style>
  <w:style w:type="character" w:styleId="Textoennegrita">
    <w:name w:val="Strong"/>
    <w:basedOn w:val="Fuentedeprrafopredeter"/>
    <w:uiPriority w:val="22"/>
    <w:qFormat/>
    <w:rsid w:val="00CD785B"/>
    <w:rPr>
      <w:b/>
      <w:bCs/>
    </w:rPr>
  </w:style>
  <w:style w:type="character" w:customStyle="1" w:styleId="PrrafodelistaCar">
    <w:name w:val="Párrafo de lista Car"/>
    <w:aliases w:val="Footnote Car,List Paragraph1 Car,Colorful List - Accent 11 Car,Párrafo de lista1 Car"/>
    <w:link w:val="Prrafodelista"/>
    <w:uiPriority w:val="34"/>
    <w:locked/>
    <w:rsid w:val="00CD785B"/>
    <w:rPr>
      <w:lang w:val="en-US"/>
    </w:rPr>
  </w:style>
  <w:style w:type="paragraph" w:styleId="Textodeglobo">
    <w:name w:val="Balloon Text"/>
    <w:basedOn w:val="Normal"/>
    <w:link w:val="TextodegloboCar"/>
    <w:uiPriority w:val="99"/>
    <w:semiHidden/>
    <w:unhideWhenUsed/>
    <w:rsid w:val="00CD78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85B"/>
    <w:rPr>
      <w:rFonts w:ascii="Segoe UI" w:eastAsia="MS Mincho" w:hAnsi="Segoe UI" w:cs="Segoe UI"/>
      <w:sz w:val="18"/>
      <w:szCs w:val="18"/>
      <w:lang w:val="es-ES_tradnl"/>
    </w:rPr>
  </w:style>
  <w:style w:type="character" w:styleId="Refdecomentario">
    <w:name w:val="annotation reference"/>
    <w:basedOn w:val="Fuentedeprrafopredeter"/>
    <w:uiPriority w:val="99"/>
    <w:semiHidden/>
    <w:unhideWhenUsed/>
    <w:rsid w:val="00CD785B"/>
    <w:rPr>
      <w:sz w:val="16"/>
      <w:szCs w:val="16"/>
    </w:rPr>
  </w:style>
  <w:style w:type="paragraph" w:styleId="Textocomentario">
    <w:name w:val="annotation text"/>
    <w:basedOn w:val="Normal"/>
    <w:link w:val="TextocomentarioCar"/>
    <w:uiPriority w:val="99"/>
    <w:unhideWhenUsed/>
    <w:rsid w:val="00CD785B"/>
    <w:rPr>
      <w:sz w:val="20"/>
      <w:szCs w:val="20"/>
    </w:rPr>
  </w:style>
  <w:style w:type="character" w:customStyle="1" w:styleId="TextocomentarioCar">
    <w:name w:val="Texto comentario Car"/>
    <w:basedOn w:val="Fuentedeprrafopredeter"/>
    <w:link w:val="Textocomentario"/>
    <w:uiPriority w:val="99"/>
    <w:rsid w:val="00CD785B"/>
    <w:rPr>
      <w:rFonts w:ascii="Times New Roman" w:eastAsia="MS Mincho"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D785B"/>
    <w:rPr>
      <w:b/>
      <w:bCs/>
    </w:rPr>
  </w:style>
  <w:style w:type="character" w:customStyle="1" w:styleId="AsuntodelcomentarioCar">
    <w:name w:val="Asunto del comentario Car"/>
    <w:basedOn w:val="TextocomentarioCar"/>
    <w:link w:val="Asuntodelcomentario"/>
    <w:uiPriority w:val="99"/>
    <w:semiHidden/>
    <w:rsid w:val="00CD785B"/>
    <w:rPr>
      <w:rFonts w:ascii="Times New Roman" w:eastAsia="MS Mincho" w:hAnsi="Times New Roman" w:cs="Times New Roman"/>
      <w:b/>
      <w:bCs/>
      <w:sz w:val="20"/>
      <w:szCs w:val="20"/>
      <w:lang w:val="es-ES_tradnl"/>
    </w:rPr>
  </w:style>
  <w:style w:type="paragraph" w:styleId="Textoindependiente">
    <w:name w:val="Body Text"/>
    <w:basedOn w:val="Normal"/>
    <w:link w:val="TextoindependienteCar"/>
    <w:rsid w:val="007056C3"/>
    <w:pPr>
      <w:spacing w:after="120"/>
    </w:pPr>
    <w:rPr>
      <w:rFonts w:ascii="Times" w:eastAsia="Times" w:hAnsi="Times"/>
      <w:szCs w:val="20"/>
    </w:rPr>
  </w:style>
  <w:style w:type="character" w:customStyle="1" w:styleId="TextoindependienteCar">
    <w:name w:val="Texto independiente Car"/>
    <w:basedOn w:val="Fuentedeprrafopredeter"/>
    <w:link w:val="Textoindependiente"/>
    <w:rsid w:val="007056C3"/>
    <w:rPr>
      <w:rFonts w:ascii="Times" w:eastAsia="Times" w:hAnsi="Times" w:cs="Times New Roman"/>
      <w:sz w:val="24"/>
      <w:szCs w:val="20"/>
      <w:lang w:val="es-ES_tradnl"/>
    </w:rPr>
  </w:style>
  <w:style w:type="paragraph" w:customStyle="1" w:styleId="Default">
    <w:name w:val="Default"/>
    <w:rsid w:val="00AD51AA"/>
    <w:pPr>
      <w:autoSpaceDE w:val="0"/>
      <w:autoSpaceDN w:val="0"/>
      <w:adjustRightInd w:val="0"/>
      <w:spacing w:after="0" w:line="240" w:lineRule="auto"/>
    </w:pPr>
    <w:rPr>
      <w:rFonts w:ascii="Arial" w:hAnsi="Arial" w:cs="Arial"/>
      <w:color w:val="000000"/>
      <w:sz w:val="24"/>
      <w:szCs w:val="24"/>
      <w:lang w:val="es-CR"/>
    </w:rPr>
  </w:style>
  <w:style w:type="character" w:customStyle="1" w:styleId="Fuentedeprrafopredeter1">
    <w:name w:val="Fuente de párrafo predeter.1"/>
    <w:rsid w:val="000A0728"/>
  </w:style>
  <w:style w:type="paragraph" w:customStyle="1" w:styleId="Textocomentario1">
    <w:name w:val="Texto comentario1"/>
    <w:basedOn w:val="Normal"/>
    <w:rsid w:val="000A0728"/>
    <w:pPr>
      <w:suppressAutoHyphens/>
      <w:autoSpaceDN w:val="0"/>
      <w:textAlignment w:val="baseline"/>
    </w:pPr>
    <w:rPr>
      <w:sz w:val="20"/>
      <w:szCs w:val="20"/>
    </w:rPr>
  </w:style>
  <w:style w:type="character" w:customStyle="1" w:styleId="Refdecomentario1">
    <w:name w:val="Ref. de comentario1"/>
    <w:basedOn w:val="Fuentedeprrafopredeter1"/>
    <w:rsid w:val="000A0728"/>
    <w:rPr>
      <w:sz w:val="16"/>
      <w:szCs w:val="16"/>
    </w:rPr>
  </w:style>
  <w:style w:type="paragraph" w:customStyle="1" w:styleId="Textonotapie1">
    <w:name w:val="Texto nota pie1"/>
    <w:basedOn w:val="Normal"/>
    <w:rsid w:val="000A0728"/>
    <w:pPr>
      <w:widowControl w:val="0"/>
      <w:suppressAutoHyphens/>
      <w:autoSpaceDN w:val="0"/>
      <w:textAlignment w:val="baseline"/>
    </w:pPr>
    <w:rPr>
      <w:sz w:val="20"/>
      <w:szCs w:val="20"/>
    </w:rPr>
  </w:style>
  <w:style w:type="character" w:customStyle="1" w:styleId="Refdenotaalpie1">
    <w:name w:val="Ref. de nota al pie1"/>
    <w:rsid w:val="000A0728"/>
    <w:rPr>
      <w:rFonts w:ascii="Verdana" w:hAnsi="Verdana"/>
      <w:position w:val="0"/>
      <w:sz w:val="16"/>
      <w:vertAlign w:val="superscript"/>
    </w:rPr>
  </w:style>
  <w:style w:type="character" w:styleId="Nmerodelnea">
    <w:name w:val="line number"/>
    <w:basedOn w:val="Fuentedeprrafopredeter"/>
    <w:uiPriority w:val="99"/>
    <w:semiHidden/>
    <w:unhideWhenUsed/>
    <w:rsid w:val="00F12EDF"/>
  </w:style>
  <w:style w:type="character" w:customStyle="1" w:styleId="CharAttribute1">
    <w:name w:val="CharAttribute1"/>
    <w:rsid w:val="009849CC"/>
    <w:rPr>
      <w:rFonts w:ascii="Verdana" w:eastAsia="Verdana" w:hAnsi="Verdana"/>
      <w:b/>
    </w:rPr>
  </w:style>
  <w:style w:type="paragraph" w:styleId="Textosinformato">
    <w:name w:val="Plain Text"/>
    <w:basedOn w:val="Normal"/>
    <w:link w:val="TextosinformatoCar"/>
    <w:uiPriority w:val="99"/>
    <w:semiHidden/>
    <w:unhideWhenUsed/>
    <w:rsid w:val="009849CC"/>
    <w:rPr>
      <w:rFonts w:ascii="Consolas" w:eastAsia="Calibri" w:hAnsi="Consolas"/>
      <w:sz w:val="21"/>
      <w:szCs w:val="21"/>
      <w:lang w:val="x-none" w:eastAsia="x-none"/>
    </w:rPr>
  </w:style>
  <w:style w:type="character" w:customStyle="1" w:styleId="TextosinformatoCar">
    <w:name w:val="Texto sin formato Car"/>
    <w:basedOn w:val="Fuentedeprrafopredeter"/>
    <w:link w:val="Textosinformato"/>
    <w:uiPriority w:val="99"/>
    <w:semiHidden/>
    <w:rsid w:val="009849CC"/>
    <w:rPr>
      <w:rFonts w:ascii="Consolas" w:eastAsia="Calibri" w:hAnsi="Consolas" w:cs="Times New Roman"/>
      <w:sz w:val="21"/>
      <w:szCs w:val="21"/>
      <w:lang w:val="x-none" w:eastAsia="x-none"/>
    </w:rPr>
  </w:style>
  <w:style w:type="character" w:customStyle="1" w:styleId="Ttulo2Car">
    <w:name w:val="Título 2 Car"/>
    <w:basedOn w:val="Fuentedeprrafopredeter"/>
    <w:link w:val="Ttulo2"/>
    <w:rsid w:val="009638B4"/>
    <w:rPr>
      <w:rFonts w:ascii="Calibri Light" w:eastAsia="Times New Roman"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679">
      <w:bodyDiv w:val="1"/>
      <w:marLeft w:val="0"/>
      <w:marRight w:val="0"/>
      <w:marTop w:val="0"/>
      <w:marBottom w:val="0"/>
      <w:divBdr>
        <w:top w:val="none" w:sz="0" w:space="0" w:color="auto"/>
        <w:left w:val="none" w:sz="0" w:space="0" w:color="auto"/>
        <w:bottom w:val="none" w:sz="0" w:space="0" w:color="auto"/>
        <w:right w:val="none" w:sz="0" w:space="0" w:color="auto"/>
      </w:divBdr>
    </w:div>
    <w:div w:id="136773871">
      <w:bodyDiv w:val="1"/>
      <w:marLeft w:val="0"/>
      <w:marRight w:val="0"/>
      <w:marTop w:val="0"/>
      <w:marBottom w:val="0"/>
      <w:divBdr>
        <w:top w:val="none" w:sz="0" w:space="0" w:color="auto"/>
        <w:left w:val="none" w:sz="0" w:space="0" w:color="auto"/>
        <w:bottom w:val="none" w:sz="0" w:space="0" w:color="auto"/>
        <w:right w:val="none" w:sz="0" w:space="0" w:color="auto"/>
      </w:divBdr>
    </w:div>
    <w:div w:id="203104029">
      <w:bodyDiv w:val="1"/>
      <w:marLeft w:val="0"/>
      <w:marRight w:val="0"/>
      <w:marTop w:val="0"/>
      <w:marBottom w:val="0"/>
      <w:divBdr>
        <w:top w:val="none" w:sz="0" w:space="0" w:color="auto"/>
        <w:left w:val="none" w:sz="0" w:space="0" w:color="auto"/>
        <w:bottom w:val="none" w:sz="0" w:space="0" w:color="auto"/>
        <w:right w:val="none" w:sz="0" w:space="0" w:color="auto"/>
      </w:divBdr>
      <w:divsChild>
        <w:div w:id="1992367173">
          <w:marLeft w:val="0"/>
          <w:marRight w:val="0"/>
          <w:marTop w:val="0"/>
          <w:marBottom w:val="0"/>
          <w:divBdr>
            <w:top w:val="none" w:sz="0" w:space="0" w:color="auto"/>
            <w:left w:val="none" w:sz="0" w:space="0" w:color="auto"/>
            <w:bottom w:val="none" w:sz="0" w:space="0" w:color="auto"/>
            <w:right w:val="none" w:sz="0" w:space="0" w:color="auto"/>
          </w:divBdr>
        </w:div>
        <w:div w:id="461463574">
          <w:marLeft w:val="0"/>
          <w:marRight w:val="0"/>
          <w:marTop w:val="0"/>
          <w:marBottom w:val="0"/>
          <w:divBdr>
            <w:top w:val="none" w:sz="0" w:space="0" w:color="auto"/>
            <w:left w:val="none" w:sz="0" w:space="0" w:color="auto"/>
            <w:bottom w:val="none" w:sz="0" w:space="0" w:color="auto"/>
            <w:right w:val="none" w:sz="0" w:space="0" w:color="auto"/>
          </w:divBdr>
        </w:div>
        <w:div w:id="1231309711">
          <w:marLeft w:val="0"/>
          <w:marRight w:val="0"/>
          <w:marTop w:val="0"/>
          <w:marBottom w:val="0"/>
          <w:divBdr>
            <w:top w:val="none" w:sz="0" w:space="0" w:color="auto"/>
            <w:left w:val="none" w:sz="0" w:space="0" w:color="auto"/>
            <w:bottom w:val="none" w:sz="0" w:space="0" w:color="auto"/>
            <w:right w:val="none" w:sz="0" w:space="0" w:color="auto"/>
          </w:divBdr>
        </w:div>
        <w:div w:id="1315378519">
          <w:marLeft w:val="0"/>
          <w:marRight w:val="0"/>
          <w:marTop w:val="0"/>
          <w:marBottom w:val="0"/>
          <w:divBdr>
            <w:top w:val="none" w:sz="0" w:space="0" w:color="auto"/>
            <w:left w:val="none" w:sz="0" w:space="0" w:color="auto"/>
            <w:bottom w:val="none" w:sz="0" w:space="0" w:color="auto"/>
            <w:right w:val="none" w:sz="0" w:space="0" w:color="auto"/>
          </w:divBdr>
        </w:div>
        <w:div w:id="1218669075">
          <w:marLeft w:val="0"/>
          <w:marRight w:val="0"/>
          <w:marTop w:val="0"/>
          <w:marBottom w:val="0"/>
          <w:divBdr>
            <w:top w:val="none" w:sz="0" w:space="0" w:color="auto"/>
            <w:left w:val="none" w:sz="0" w:space="0" w:color="auto"/>
            <w:bottom w:val="none" w:sz="0" w:space="0" w:color="auto"/>
            <w:right w:val="none" w:sz="0" w:space="0" w:color="auto"/>
          </w:divBdr>
        </w:div>
      </w:divsChild>
    </w:div>
    <w:div w:id="426120774">
      <w:bodyDiv w:val="1"/>
      <w:marLeft w:val="0"/>
      <w:marRight w:val="0"/>
      <w:marTop w:val="0"/>
      <w:marBottom w:val="0"/>
      <w:divBdr>
        <w:top w:val="none" w:sz="0" w:space="0" w:color="auto"/>
        <w:left w:val="none" w:sz="0" w:space="0" w:color="auto"/>
        <w:bottom w:val="none" w:sz="0" w:space="0" w:color="auto"/>
        <w:right w:val="none" w:sz="0" w:space="0" w:color="auto"/>
      </w:divBdr>
    </w:div>
    <w:div w:id="538323403">
      <w:bodyDiv w:val="1"/>
      <w:marLeft w:val="0"/>
      <w:marRight w:val="0"/>
      <w:marTop w:val="0"/>
      <w:marBottom w:val="0"/>
      <w:divBdr>
        <w:top w:val="none" w:sz="0" w:space="0" w:color="auto"/>
        <w:left w:val="none" w:sz="0" w:space="0" w:color="auto"/>
        <w:bottom w:val="none" w:sz="0" w:space="0" w:color="auto"/>
        <w:right w:val="none" w:sz="0" w:space="0" w:color="auto"/>
      </w:divBdr>
    </w:div>
    <w:div w:id="596792071">
      <w:bodyDiv w:val="1"/>
      <w:marLeft w:val="0"/>
      <w:marRight w:val="0"/>
      <w:marTop w:val="0"/>
      <w:marBottom w:val="0"/>
      <w:divBdr>
        <w:top w:val="none" w:sz="0" w:space="0" w:color="auto"/>
        <w:left w:val="none" w:sz="0" w:space="0" w:color="auto"/>
        <w:bottom w:val="none" w:sz="0" w:space="0" w:color="auto"/>
        <w:right w:val="none" w:sz="0" w:space="0" w:color="auto"/>
      </w:divBdr>
    </w:div>
    <w:div w:id="678001472">
      <w:bodyDiv w:val="1"/>
      <w:marLeft w:val="0"/>
      <w:marRight w:val="0"/>
      <w:marTop w:val="0"/>
      <w:marBottom w:val="0"/>
      <w:divBdr>
        <w:top w:val="none" w:sz="0" w:space="0" w:color="auto"/>
        <w:left w:val="none" w:sz="0" w:space="0" w:color="auto"/>
        <w:bottom w:val="none" w:sz="0" w:space="0" w:color="auto"/>
        <w:right w:val="none" w:sz="0" w:space="0" w:color="auto"/>
      </w:divBdr>
    </w:div>
    <w:div w:id="942228823">
      <w:bodyDiv w:val="1"/>
      <w:marLeft w:val="0"/>
      <w:marRight w:val="0"/>
      <w:marTop w:val="0"/>
      <w:marBottom w:val="0"/>
      <w:divBdr>
        <w:top w:val="none" w:sz="0" w:space="0" w:color="auto"/>
        <w:left w:val="none" w:sz="0" w:space="0" w:color="auto"/>
        <w:bottom w:val="none" w:sz="0" w:space="0" w:color="auto"/>
        <w:right w:val="none" w:sz="0" w:space="0" w:color="auto"/>
      </w:divBdr>
    </w:div>
    <w:div w:id="947274965">
      <w:bodyDiv w:val="1"/>
      <w:marLeft w:val="0"/>
      <w:marRight w:val="0"/>
      <w:marTop w:val="0"/>
      <w:marBottom w:val="0"/>
      <w:divBdr>
        <w:top w:val="none" w:sz="0" w:space="0" w:color="auto"/>
        <w:left w:val="none" w:sz="0" w:space="0" w:color="auto"/>
        <w:bottom w:val="none" w:sz="0" w:space="0" w:color="auto"/>
        <w:right w:val="none" w:sz="0" w:space="0" w:color="auto"/>
      </w:divBdr>
    </w:div>
    <w:div w:id="951521006">
      <w:bodyDiv w:val="1"/>
      <w:marLeft w:val="0"/>
      <w:marRight w:val="0"/>
      <w:marTop w:val="0"/>
      <w:marBottom w:val="0"/>
      <w:divBdr>
        <w:top w:val="none" w:sz="0" w:space="0" w:color="auto"/>
        <w:left w:val="none" w:sz="0" w:space="0" w:color="auto"/>
        <w:bottom w:val="none" w:sz="0" w:space="0" w:color="auto"/>
        <w:right w:val="none" w:sz="0" w:space="0" w:color="auto"/>
      </w:divBdr>
    </w:div>
    <w:div w:id="957224702">
      <w:bodyDiv w:val="1"/>
      <w:marLeft w:val="0"/>
      <w:marRight w:val="0"/>
      <w:marTop w:val="0"/>
      <w:marBottom w:val="0"/>
      <w:divBdr>
        <w:top w:val="none" w:sz="0" w:space="0" w:color="auto"/>
        <w:left w:val="none" w:sz="0" w:space="0" w:color="auto"/>
        <w:bottom w:val="none" w:sz="0" w:space="0" w:color="auto"/>
        <w:right w:val="none" w:sz="0" w:space="0" w:color="auto"/>
      </w:divBdr>
    </w:div>
    <w:div w:id="1543397521">
      <w:bodyDiv w:val="1"/>
      <w:marLeft w:val="0"/>
      <w:marRight w:val="0"/>
      <w:marTop w:val="0"/>
      <w:marBottom w:val="0"/>
      <w:divBdr>
        <w:top w:val="none" w:sz="0" w:space="0" w:color="auto"/>
        <w:left w:val="none" w:sz="0" w:space="0" w:color="auto"/>
        <w:bottom w:val="none" w:sz="0" w:space="0" w:color="auto"/>
        <w:right w:val="none" w:sz="0" w:space="0" w:color="auto"/>
      </w:divBdr>
    </w:div>
    <w:div w:id="1884557210">
      <w:bodyDiv w:val="1"/>
      <w:marLeft w:val="0"/>
      <w:marRight w:val="0"/>
      <w:marTop w:val="0"/>
      <w:marBottom w:val="0"/>
      <w:divBdr>
        <w:top w:val="none" w:sz="0" w:space="0" w:color="auto"/>
        <w:left w:val="none" w:sz="0" w:space="0" w:color="auto"/>
        <w:bottom w:val="none" w:sz="0" w:space="0" w:color="auto"/>
        <w:right w:val="none" w:sz="0" w:space="0" w:color="auto"/>
      </w:divBdr>
    </w:div>
    <w:div w:id="19046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spanol.cdc.gov/coronavirus/2019-ncov/need-extra-precautions/older-adults.html" TargetMode="External"/><Relationship Id="rId2" Type="http://schemas.openxmlformats.org/officeDocument/2006/relationships/hyperlink" Target="https://www.icrc.org/es/download/file/114942/respuesta_de_salud_covid19.pdf" TargetMode="External"/><Relationship Id="rId1" Type="http://schemas.openxmlformats.org/officeDocument/2006/relationships/hyperlink" Target="https://www.ilanud.or.cr/wp-content/uploads/2020/04/ILANUD-COVID-19.pdf" TargetMode="External"/><Relationship Id="rId4" Type="http://schemas.openxmlformats.org/officeDocument/2006/relationships/hyperlink" Target="https://www.who.int/westernpacific/emergencies/covid-19/information/high-risk-group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AFDA-22F3-4844-9A27-F4C595FF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3778</Words>
  <Characters>20779</Characters>
  <Application>Microsoft Office Word</Application>
  <DocSecurity>0</DocSecurity>
  <Lines>173</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Ana Rita Ramirez</cp:lastModifiedBy>
  <cp:revision>2</cp:revision>
  <dcterms:created xsi:type="dcterms:W3CDTF">2020-08-05T00:16:00Z</dcterms:created>
  <dcterms:modified xsi:type="dcterms:W3CDTF">2020-08-05T00:16:00Z</dcterms:modified>
</cp:coreProperties>
</file>