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BD1D7" w14:textId="77777777" w:rsidR="004D2517" w:rsidRPr="00C03BA9" w:rsidRDefault="004D2517"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C03BA9">
        <w:rPr>
          <w:rFonts w:ascii="Verdana" w:eastAsia="MS Mincho" w:hAnsi="Verdana" w:cs="Arial"/>
          <w:b/>
          <w:bCs/>
          <w:color w:val="000000"/>
          <w:spacing w:val="-4"/>
          <w:sz w:val="20"/>
          <w:szCs w:val="20"/>
          <w:lang w:val="es-CR"/>
        </w:rPr>
        <w:t>VOTO CONCURRENTE DEL JUEZ EDUARDO VIO GROSSI,</w:t>
      </w:r>
    </w:p>
    <w:p w14:paraId="0476EA42" w14:textId="77777777"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941190">
        <w:rPr>
          <w:rFonts w:ascii="Verdana" w:eastAsia="MS Mincho" w:hAnsi="Verdana" w:cs="Arial"/>
          <w:b/>
          <w:bCs/>
          <w:color w:val="000000"/>
          <w:spacing w:val="-4"/>
          <w:sz w:val="20"/>
          <w:szCs w:val="20"/>
          <w:lang w:val="es-CR"/>
        </w:rPr>
        <w:t xml:space="preserve">RESOLUCIÓN DE LA </w:t>
      </w:r>
    </w:p>
    <w:p w14:paraId="61059A80" w14:textId="388578E2"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941190">
        <w:rPr>
          <w:rFonts w:ascii="Verdana" w:eastAsia="MS Mincho" w:hAnsi="Verdana" w:cs="Arial"/>
          <w:b/>
          <w:bCs/>
          <w:color w:val="000000"/>
          <w:spacing w:val="-4"/>
          <w:sz w:val="20"/>
          <w:szCs w:val="20"/>
          <w:lang w:val="es-CR"/>
        </w:rPr>
        <w:t>CORTE INTERAMERICANA DE DERECHOS HUMANOS</w:t>
      </w:r>
    </w:p>
    <w:p w14:paraId="6EEA776B" w14:textId="61EB5873"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941190">
        <w:rPr>
          <w:rFonts w:ascii="Verdana" w:eastAsia="MS Mincho" w:hAnsi="Verdana" w:cs="Arial"/>
          <w:b/>
          <w:bCs/>
          <w:color w:val="000000"/>
          <w:spacing w:val="-4"/>
          <w:sz w:val="20"/>
          <w:szCs w:val="20"/>
          <w:lang w:val="es-CR"/>
        </w:rPr>
        <w:t>DE 29 DE JULIO DE 2020</w:t>
      </w:r>
    </w:p>
    <w:p w14:paraId="33F43DB5" w14:textId="77777777"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941190">
        <w:rPr>
          <w:rFonts w:ascii="Verdana" w:eastAsia="MS Mincho" w:hAnsi="Verdana" w:cs="Arial"/>
          <w:b/>
          <w:bCs/>
          <w:color w:val="000000"/>
          <w:spacing w:val="-4"/>
          <w:sz w:val="20"/>
          <w:szCs w:val="20"/>
          <w:lang w:val="es-CR"/>
        </w:rPr>
        <w:t xml:space="preserve">SOLICITUD DE MEDIDAS PROVISIONALES Y </w:t>
      </w:r>
    </w:p>
    <w:p w14:paraId="02B19DD5" w14:textId="7A7A2451"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color w:val="000000"/>
          <w:spacing w:val="-4"/>
          <w:sz w:val="20"/>
          <w:szCs w:val="20"/>
          <w:lang w:val="es-CR"/>
        </w:rPr>
      </w:pPr>
      <w:r w:rsidRPr="00941190">
        <w:rPr>
          <w:rFonts w:ascii="Verdana" w:eastAsia="MS Mincho" w:hAnsi="Verdana" w:cs="Arial"/>
          <w:b/>
          <w:bCs/>
          <w:color w:val="000000"/>
          <w:spacing w:val="-4"/>
          <w:sz w:val="20"/>
          <w:szCs w:val="20"/>
          <w:lang w:val="es-CR"/>
        </w:rPr>
        <w:t>SUPERVISIÓN DE CUMPLIMIENTO DE SENTENCIA</w:t>
      </w:r>
    </w:p>
    <w:p w14:paraId="73009A84" w14:textId="33E8866F" w:rsidR="00941190" w:rsidRPr="00941190" w:rsidRDefault="00941190" w:rsidP="00941190">
      <w:pPr>
        <w:autoSpaceDE w:val="0"/>
        <w:autoSpaceDN w:val="0"/>
        <w:adjustRightInd w:val="0"/>
        <w:spacing w:line="240" w:lineRule="auto"/>
        <w:ind w:left="0" w:right="0"/>
        <w:jc w:val="center"/>
        <w:rPr>
          <w:rFonts w:ascii="Verdana" w:eastAsia="MS Mincho" w:hAnsi="Verdana" w:cs="Arial"/>
          <w:b/>
          <w:bCs/>
          <w:i/>
          <w:color w:val="000000"/>
          <w:spacing w:val="-4"/>
          <w:sz w:val="20"/>
          <w:szCs w:val="20"/>
          <w:lang w:val="es-CR"/>
        </w:rPr>
      </w:pPr>
      <w:r w:rsidRPr="00941190">
        <w:rPr>
          <w:rFonts w:ascii="Verdana" w:eastAsia="MS Mincho" w:hAnsi="Verdana" w:cs="Arial"/>
          <w:b/>
          <w:bCs/>
          <w:i/>
          <w:color w:val="000000"/>
          <w:spacing w:val="-4"/>
          <w:sz w:val="20"/>
          <w:szCs w:val="20"/>
          <w:lang w:val="es-CR"/>
        </w:rPr>
        <w:t>CASO DEL PENAL MIGU</w:t>
      </w:r>
      <w:r w:rsidRPr="00C03BA9">
        <w:rPr>
          <w:rFonts w:ascii="Verdana" w:eastAsia="MS Mincho" w:hAnsi="Verdana" w:cs="Arial"/>
          <w:b/>
          <w:bCs/>
          <w:i/>
          <w:color w:val="000000"/>
          <w:spacing w:val="-4"/>
          <w:sz w:val="20"/>
          <w:szCs w:val="20"/>
          <w:lang w:val="es-CR"/>
        </w:rPr>
        <w:t>E</w:t>
      </w:r>
      <w:r w:rsidRPr="00941190">
        <w:rPr>
          <w:rFonts w:ascii="Verdana" w:eastAsia="MS Mincho" w:hAnsi="Verdana" w:cs="Arial"/>
          <w:b/>
          <w:bCs/>
          <w:i/>
          <w:color w:val="000000"/>
          <w:spacing w:val="-4"/>
          <w:sz w:val="20"/>
          <w:szCs w:val="20"/>
          <w:lang w:val="es-CR"/>
        </w:rPr>
        <w:t xml:space="preserve">L CASTRO </w:t>
      </w:r>
      <w:proofErr w:type="spellStart"/>
      <w:r w:rsidRPr="00941190">
        <w:rPr>
          <w:rFonts w:ascii="Verdana" w:eastAsia="MS Mincho" w:hAnsi="Verdana" w:cs="Arial"/>
          <w:b/>
          <w:bCs/>
          <w:i/>
          <w:color w:val="000000"/>
          <w:spacing w:val="-4"/>
          <w:sz w:val="20"/>
          <w:szCs w:val="20"/>
          <w:lang w:val="es-CR"/>
        </w:rPr>
        <w:t>CASTRO</w:t>
      </w:r>
      <w:proofErr w:type="spellEnd"/>
      <w:r w:rsidRPr="00941190">
        <w:rPr>
          <w:rFonts w:ascii="Verdana" w:eastAsia="MS Mincho" w:hAnsi="Verdana" w:cs="Arial"/>
          <w:b/>
          <w:bCs/>
          <w:i/>
          <w:color w:val="000000"/>
          <w:spacing w:val="-4"/>
          <w:sz w:val="20"/>
          <w:szCs w:val="20"/>
          <w:lang w:val="es-CR"/>
        </w:rPr>
        <w:t xml:space="preserve"> VS. PERÚ</w:t>
      </w:r>
    </w:p>
    <w:p w14:paraId="7BFFF678" w14:textId="77777777" w:rsidR="00941190" w:rsidRPr="00C03BA9" w:rsidRDefault="00941190" w:rsidP="004D2517">
      <w:pPr>
        <w:autoSpaceDE w:val="0"/>
        <w:autoSpaceDN w:val="0"/>
        <w:adjustRightInd w:val="0"/>
        <w:spacing w:line="276" w:lineRule="auto"/>
        <w:ind w:left="0" w:right="0"/>
        <w:jc w:val="center"/>
        <w:rPr>
          <w:rFonts w:ascii="Verdana" w:eastAsia="MS Mincho" w:hAnsi="Verdana" w:cs="Arial"/>
          <w:b/>
          <w:bCs/>
          <w:color w:val="000000"/>
          <w:spacing w:val="-4"/>
          <w:sz w:val="20"/>
          <w:szCs w:val="20"/>
          <w:lang w:val="es-CR"/>
        </w:rPr>
      </w:pPr>
    </w:p>
    <w:p w14:paraId="36F916F7" w14:textId="77777777" w:rsidR="006E76E0" w:rsidRPr="00C03BA9" w:rsidRDefault="006E76E0" w:rsidP="00941190">
      <w:pPr>
        <w:ind w:left="0"/>
        <w:rPr>
          <w:rFonts w:ascii="Verdana" w:hAnsi="Verdana"/>
          <w:sz w:val="20"/>
          <w:szCs w:val="20"/>
        </w:rPr>
      </w:pPr>
    </w:p>
    <w:p w14:paraId="4ABA3B14" w14:textId="28BB3691" w:rsidR="009F664B" w:rsidRDefault="004D2517" w:rsidP="009F664B">
      <w:pPr>
        <w:pStyle w:val="Prrafodelista"/>
        <w:numPr>
          <w:ilvl w:val="0"/>
          <w:numId w:val="1"/>
        </w:numPr>
        <w:ind w:left="-207"/>
        <w:rPr>
          <w:rFonts w:ascii="Verdana" w:hAnsi="Verdana"/>
          <w:bCs/>
          <w:spacing w:val="-4"/>
          <w:sz w:val="20"/>
          <w:szCs w:val="20"/>
        </w:rPr>
      </w:pPr>
      <w:r w:rsidRPr="00C03BA9">
        <w:rPr>
          <w:rFonts w:ascii="Verdana" w:hAnsi="Verdana"/>
          <w:sz w:val="20"/>
          <w:szCs w:val="20"/>
        </w:rPr>
        <w:t>Se concurre a aprobar la Resolución del título</w:t>
      </w:r>
      <w:r w:rsidR="00E4329A" w:rsidRPr="00C03BA9">
        <w:rPr>
          <w:rStyle w:val="Refdenotaalpie"/>
          <w:sz w:val="20"/>
          <w:szCs w:val="20"/>
        </w:rPr>
        <w:footnoteReference w:id="1"/>
      </w:r>
      <w:r w:rsidRPr="00C03BA9">
        <w:rPr>
          <w:rFonts w:ascii="Verdana" w:hAnsi="Verdana"/>
          <w:sz w:val="20"/>
          <w:szCs w:val="20"/>
        </w:rPr>
        <w:t xml:space="preserve"> en mérito de que ella, en definitiva, dispuso</w:t>
      </w:r>
      <w:r w:rsidR="00941190" w:rsidRPr="00C03BA9">
        <w:rPr>
          <w:rFonts w:ascii="Verdana" w:hAnsi="Verdana"/>
          <w:sz w:val="20"/>
          <w:szCs w:val="20"/>
        </w:rPr>
        <w:t xml:space="preserve">, </w:t>
      </w:r>
      <w:r w:rsidRPr="00C03BA9">
        <w:rPr>
          <w:rFonts w:ascii="Verdana" w:hAnsi="Verdana"/>
          <w:sz w:val="20"/>
          <w:szCs w:val="20"/>
        </w:rPr>
        <w:t>“(</w:t>
      </w:r>
      <w:r w:rsidRPr="00C03BA9">
        <w:rPr>
          <w:rFonts w:ascii="Verdana" w:hAnsi="Verdana" w:cs="Verdana"/>
          <w:bCs/>
          <w:i/>
          <w:iCs/>
          <w:spacing w:val="-4"/>
          <w:sz w:val="20"/>
          <w:szCs w:val="20"/>
        </w:rPr>
        <w:t>r)</w:t>
      </w:r>
      <w:proofErr w:type="spellStart"/>
      <w:r w:rsidRPr="00C03BA9">
        <w:rPr>
          <w:rFonts w:ascii="Verdana" w:hAnsi="Verdana" w:cs="Verdana"/>
          <w:bCs/>
          <w:i/>
          <w:iCs/>
          <w:spacing w:val="-4"/>
          <w:sz w:val="20"/>
          <w:szCs w:val="20"/>
        </w:rPr>
        <w:t>ealizar</w:t>
      </w:r>
      <w:proofErr w:type="spellEnd"/>
      <w:r w:rsidRPr="00C03BA9">
        <w:rPr>
          <w:rFonts w:ascii="Verdana" w:hAnsi="Verdana" w:cs="Verdana"/>
          <w:bCs/>
          <w:i/>
          <w:iCs/>
          <w:spacing w:val="-4"/>
          <w:sz w:val="20"/>
          <w:szCs w:val="20"/>
        </w:rPr>
        <w:t xml:space="preserve"> una supervisión reforzada</w:t>
      </w:r>
      <w:r w:rsidRPr="00C03BA9">
        <w:rPr>
          <w:rFonts w:ascii="Verdana" w:hAnsi="Verdana"/>
          <w:bCs/>
          <w:i/>
          <w:iCs/>
          <w:spacing w:val="-4"/>
          <w:sz w:val="20"/>
          <w:szCs w:val="20"/>
        </w:rPr>
        <w:t xml:space="preserve"> respecto de la medida de tratamiento médico y psicológico ordenada en el presente caso respecto de las </w:t>
      </w:r>
      <w:r w:rsidR="00701468">
        <w:rPr>
          <w:rFonts w:ascii="Verdana" w:hAnsi="Verdana"/>
          <w:bCs/>
          <w:i/>
          <w:iCs/>
          <w:spacing w:val="-4"/>
          <w:sz w:val="20"/>
          <w:szCs w:val="20"/>
        </w:rPr>
        <w:t>cinco</w:t>
      </w:r>
      <w:r w:rsidR="00701468" w:rsidRPr="00C03BA9">
        <w:rPr>
          <w:rFonts w:ascii="Verdana" w:hAnsi="Verdana"/>
          <w:bCs/>
          <w:i/>
          <w:iCs/>
          <w:spacing w:val="-4"/>
          <w:sz w:val="20"/>
          <w:szCs w:val="20"/>
        </w:rPr>
        <w:t xml:space="preserve"> </w:t>
      </w:r>
      <w:r w:rsidRPr="00C03BA9">
        <w:rPr>
          <w:rFonts w:ascii="Verdana" w:hAnsi="Verdana"/>
          <w:bCs/>
          <w:i/>
          <w:iCs/>
          <w:spacing w:val="-4"/>
          <w:sz w:val="20"/>
          <w:szCs w:val="20"/>
        </w:rPr>
        <w:t xml:space="preserve">víctimas sobre las cuales versa la presente solicitud de medidas provisionales, en los términos de </w:t>
      </w:r>
      <w:r w:rsidRPr="005551C8">
        <w:rPr>
          <w:rFonts w:ascii="Verdana" w:hAnsi="Verdana"/>
          <w:bCs/>
          <w:i/>
          <w:iCs/>
          <w:spacing w:val="-4"/>
          <w:sz w:val="20"/>
          <w:szCs w:val="20"/>
        </w:rPr>
        <w:t xml:space="preserve">los Considerandos </w:t>
      </w:r>
      <w:r w:rsidR="00701468">
        <w:rPr>
          <w:rFonts w:ascii="Verdana" w:hAnsi="Verdana"/>
          <w:bCs/>
          <w:i/>
          <w:iCs/>
          <w:spacing w:val="-4"/>
          <w:sz w:val="20"/>
          <w:szCs w:val="20"/>
        </w:rPr>
        <w:t>42</w:t>
      </w:r>
      <w:r w:rsidR="005551C8" w:rsidRPr="005551C8">
        <w:rPr>
          <w:rFonts w:ascii="Verdana" w:hAnsi="Verdana"/>
          <w:bCs/>
          <w:i/>
          <w:iCs/>
          <w:spacing w:val="-4"/>
          <w:sz w:val="20"/>
          <w:szCs w:val="20"/>
        </w:rPr>
        <w:t xml:space="preserve"> </w:t>
      </w:r>
      <w:r w:rsidRPr="005551C8">
        <w:rPr>
          <w:rFonts w:ascii="Verdana" w:hAnsi="Verdana"/>
          <w:bCs/>
          <w:i/>
          <w:iCs/>
          <w:spacing w:val="-4"/>
          <w:sz w:val="20"/>
          <w:szCs w:val="20"/>
        </w:rPr>
        <w:t xml:space="preserve">a </w:t>
      </w:r>
      <w:r w:rsidR="005551C8" w:rsidRPr="005551C8">
        <w:rPr>
          <w:rFonts w:ascii="Verdana" w:hAnsi="Verdana"/>
          <w:bCs/>
          <w:i/>
          <w:iCs/>
          <w:spacing w:val="-4"/>
          <w:sz w:val="20"/>
          <w:szCs w:val="20"/>
        </w:rPr>
        <w:t>4</w:t>
      </w:r>
      <w:r w:rsidR="00701468">
        <w:rPr>
          <w:rFonts w:ascii="Verdana" w:hAnsi="Verdana"/>
          <w:bCs/>
          <w:i/>
          <w:iCs/>
          <w:spacing w:val="-4"/>
          <w:sz w:val="20"/>
          <w:szCs w:val="20"/>
        </w:rPr>
        <w:t>5</w:t>
      </w:r>
      <w:r w:rsidRPr="005551C8">
        <w:rPr>
          <w:rFonts w:ascii="Verdana" w:hAnsi="Verdana"/>
          <w:bCs/>
          <w:i/>
          <w:iCs/>
          <w:spacing w:val="-4"/>
          <w:sz w:val="20"/>
          <w:szCs w:val="20"/>
        </w:rPr>
        <w:t>”</w:t>
      </w:r>
      <w:r w:rsidR="00941190" w:rsidRPr="00C03BA9">
        <w:rPr>
          <w:rStyle w:val="Refdenotaalpie"/>
          <w:bCs/>
          <w:i/>
          <w:iCs/>
          <w:spacing w:val="-4"/>
          <w:sz w:val="20"/>
          <w:szCs w:val="20"/>
        </w:rPr>
        <w:footnoteReference w:id="2"/>
      </w:r>
      <w:r w:rsidRPr="00C03BA9">
        <w:rPr>
          <w:rFonts w:ascii="Verdana" w:hAnsi="Verdana"/>
          <w:bCs/>
          <w:i/>
          <w:iCs/>
          <w:spacing w:val="-4"/>
          <w:sz w:val="20"/>
          <w:szCs w:val="20"/>
        </w:rPr>
        <w:t xml:space="preserve">, </w:t>
      </w:r>
      <w:r w:rsidRPr="00C03BA9">
        <w:rPr>
          <w:rFonts w:ascii="Verdana" w:hAnsi="Verdana"/>
          <w:bCs/>
          <w:spacing w:val="-4"/>
          <w:sz w:val="20"/>
          <w:szCs w:val="20"/>
        </w:rPr>
        <w:t xml:space="preserve">es decir, </w:t>
      </w:r>
      <w:r w:rsidR="00CF4719" w:rsidRPr="00C03BA9">
        <w:rPr>
          <w:rFonts w:ascii="Verdana" w:hAnsi="Verdana"/>
          <w:bCs/>
          <w:spacing w:val="-4"/>
          <w:sz w:val="20"/>
          <w:szCs w:val="20"/>
        </w:rPr>
        <w:t>se apoya</w:t>
      </w:r>
      <w:r w:rsidRPr="00C03BA9">
        <w:rPr>
          <w:rFonts w:ascii="Verdana" w:hAnsi="Verdana"/>
          <w:bCs/>
          <w:spacing w:val="-4"/>
          <w:sz w:val="20"/>
          <w:szCs w:val="20"/>
        </w:rPr>
        <w:t xml:space="preserve"> tal </w:t>
      </w:r>
      <w:r w:rsidR="000024F8" w:rsidRPr="00C03BA9">
        <w:rPr>
          <w:rFonts w:ascii="Verdana" w:hAnsi="Verdana"/>
          <w:bCs/>
          <w:spacing w:val="-4"/>
          <w:sz w:val="20"/>
          <w:szCs w:val="20"/>
        </w:rPr>
        <w:t>decisión</w:t>
      </w:r>
      <w:r w:rsidRPr="00C03BA9">
        <w:rPr>
          <w:rFonts w:ascii="Verdana" w:hAnsi="Verdana"/>
          <w:bCs/>
          <w:spacing w:val="-4"/>
          <w:sz w:val="20"/>
          <w:szCs w:val="20"/>
        </w:rPr>
        <w:t xml:space="preserve"> </w:t>
      </w:r>
      <w:r w:rsidR="00CF4719" w:rsidRPr="00C03BA9">
        <w:rPr>
          <w:rFonts w:ascii="Verdana" w:hAnsi="Verdana"/>
          <w:bCs/>
          <w:spacing w:val="-4"/>
          <w:sz w:val="20"/>
          <w:szCs w:val="20"/>
        </w:rPr>
        <w:t xml:space="preserve">en razón de que se adoptó </w:t>
      </w:r>
      <w:r w:rsidRPr="00C03BA9">
        <w:rPr>
          <w:rFonts w:ascii="Verdana" w:hAnsi="Verdana"/>
          <w:bCs/>
          <w:spacing w:val="-4"/>
          <w:sz w:val="20"/>
          <w:szCs w:val="20"/>
        </w:rPr>
        <w:t>en el marco de la institución de la supervisión del cumplimiento de sentencia</w:t>
      </w:r>
      <w:r w:rsidRPr="00C03BA9">
        <w:rPr>
          <w:rStyle w:val="Refdenotaalpie"/>
          <w:bCs/>
          <w:spacing w:val="-4"/>
          <w:sz w:val="20"/>
          <w:szCs w:val="20"/>
        </w:rPr>
        <w:footnoteReference w:id="3"/>
      </w:r>
      <w:r w:rsidR="00CF4719" w:rsidRPr="00C03BA9">
        <w:rPr>
          <w:rFonts w:ascii="Verdana" w:hAnsi="Verdana"/>
          <w:bCs/>
          <w:spacing w:val="-4"/>
          <w:sz w:val="20"/>
          <w:szCs w:val="20"/>
        </w:rPr>
        <w:t xml:space="preserve">, </w:t>
      </w:r>
      <w:r w:rsidR="00941190" w:rsidRPr="00C03BA9">
        <w:rPr>
          <w:rFonts w:ascii="Verdana" w:hAnsi="Verdana"/>
          <w:bCs/>
          <w:spacing w:val="-4"/>
          <w:sz w:val="20"/>
          <w:szCs w:val="20"/>
        </w:rPr>
        <w:t>con lo que coincid</w:t>
      </w:r>
      <w:r w:rsidR="00CF4719" w:rsidRPr="00C03BA9">
        <w:rPr>
          <w:rFonts w:ascii="Verdana" w:hAnsi="Verdana"/>
          <w:bCs/>
          <w:spacing w:val="-4"/>
          <w:sz w:val="20"/>
          <w:szCs w:val="20"/>
        </w:rPr>
        <w:t>e</w:t>
      </w:r>
      <w:r w:rsidR="00941190" w:rsidRPr="00C03BA9">
        <w:rPr>
          <w:rFonts w:ascii="Verdana" w:hAnsi="Verdana"/>
          <w:bCs/>
          <w:spacing w:val="-4"/>
          <w:sz w:val="20"/>
          <w:szCs w:val="20"/>
        </w:rPr>
        <w:t xml:space="preserve"> </w:t>
      </w:r>
      <w:r w:rsidR="00CF4719" w:rsidRPr="00C03BA9">
        <w:rPr>
          <w:rFonts w:ascii="Verdana" w:hAnsi="Verdana"/>
          <w:bCs/>
          <w:spacing w:val="-4"/>
          <w:sz w:val="20"/>
          <w:szCs w:val="20"/>
        </w:rPr>
        <w:t>la posición reiterada del suscrito</w:t>
      </w:r>
      <w:r w:rsidR="00CF4719" w:rsidRPr="00C03BA9">
        <w:rPr>
          <w:rStyle w:val="Refdenotaalpie"/>
          <w:bCs/>
          <w:spacing w:val="-4"/>
          <w:sz w:val="20"/>
          <w:szCs w:val="20"/>
        </w:rPr>
        <w:footnoteReference w:id="4"/>
      </w:r>
      <w:r w:rsidR="00CF4719" w:rsidRPr="00C03BA9">
        <w:rPr>
          <w:rFonts w:ascii="Verdana" w:hAnsi="Verdana"/>
          <w:bCs/>
          <w:spacing w:val="-4"/>
          <w:sz w:val="20"/>
          <w:szCs w:val="20"/>
        </w:rPr>
        <w:t>.</w:t>
      </w:r>
    </w:p>
    <w:p w14:paraId="766EA0E5" w14:textId="77777777" w:rsidR="009F664B" w:rsidRDefault="009F664B" w:rsidP="009F664B">
      <w:pPr>
        <w:pStyle w:val="Prrafodelista"/>
        <w:ind w:left="-207"/>
        <w:rPr>
          <w:rFonts w:ascii="Verdana" w:hAnsi="Verdana"/>
          <w:bCs/>
          <w:spacing w:val="-4"/>
          <w:sz w:val="20"/>
          <w:szCs w:val="20"/>
        </w:rPr>
      </w:pPr>
    </w:p>
    <w:p w14:paraId="79B6FEA8" w14:textId="51ED3950" w:rsidR="009F664B" w:rsidRPr="009F664B" w:rsidRDefault="00CF4719" w:rsidP="009F664B">
      <w:pPr>
        <w:pStyle w:val="Prrafodelista"/>
        <w:numPr>
          <w:ilvl w:val="0"/>
          <w:numId w:val="1"/>
        </w:numPr>
        <w:ind w:left="-207"/>
        <w:rPr>
          <w:rFonts w:ascii="Verdana" w:hAnsi="Verdana"/>
          <w:bCs/>
          <w:spacing w:val="-4"/>
          <w:sz w:val="20"/>
          <w:szCs w:val="20"/>
        </w:rPr>
      </w:pPr>
      <w:r w:rsidRPr="009F664B">
        <w:rPr>
          <w:rFonts w:ascii="Verdana" w:hAnsi="Verdana"/>
          <w:bCs/>
          <w:spacing w:val="-4"/>
          <w:sz w:val="20"/>
          <w:szCs w:val="20"/>
        </w:rPr>
        <w:t>Empero, es menester</w:t>
      </w:r>
      <w:r w:rsidR="00E4329A" w:rsidRPr="009F664B">
        <w:rPr>
          <w:rFonts w:ascii="Verdana" w:hAnsi="Verdana"/>
          <w:bCs/>
          <w:spacing w:val="-4"/>
          <w:sz w:val="20"/>
          <w:szCs w:val="20"/>
        </w:rPr>
        <w:t>,</w:t>
      </w:r>
      <w:r w:rsidRPr="009F664B">
        <w:rPr>
          <w:rFonts w:ascii="Verdana" w:hAnsi="Verdana"/>
          <w:bCs/>
          <w:spacing w:val="-4"/>
          <w:sz w:val="20"/>
          <w:szCs w:val="20"/>
        </w:rPr>
        <w:t xml:space="preserve"> asimismo</w:t>
      </w:r>
      <w:r w:rsidR="00E4329A" w:rsidRPr="009F664B">
        <w:rPr>
          <w:rFonts w:ascii="Verdana" w:hAnsi="Verdana"/>
          <w:bCs/>
          <w:spacing w:val="-4"/>
          <w:sz w:val="20"/>
          <w:szCs w:val="20"/>
        </w:rPr>
        <w:t>,</w:t>
      </w:r>
      <w:r w:rsidRPr="009F664B">
        <w:rPr>
          <w:rFonts w:ascii="Verdana" w:hAnsi="Verdana"/>
          <w:bCs/>
          <w:spacing w:val="-4"/>
          <w:sz w:val="20"/>
          <w:szCs w:val="20"/>
        </w:rPr>
        <w:t xml:space="preserve"> dejar constancia de que</w:t>
      </w:r>
      <w:r w:rsidR="00E4329A" w:rsidRPr="009F664B">
        <w:rPr>
          <w:rFonts w:ascii="Verdana" w:hAnsi="Verdana"/>
          <w:bCs/>
          <w:spacing w:val="-4"/>
          <w:sz w:val="20"/>
          <w:szCs w:val="20"/>
        </w:rPr>
        <w:t>,</w:t>
      </w:r>
      <w:r w:rsidR="001D6680" w:rsidRPr="009F664B">
        <w:rPr>
          <w:rFonts w:ascii="Verdana" w:hAnsi="Verdana"/>
          <w:bCs/>
          <w:spacing w:val="-4"/>
          <w:sz w:val="20"/>
          <w:szCs w:val="20"/>
        </w:rPr>
        <w:t xml:space="preserve"> aunque</w:t>
      </w:r>
      <w:r w:rsidRPr="009F664B">
        <w:rPr>
          <w:rFonts w:ascii="Verdana" w:hAnsi="Verdana"/>
          <w:bCs/>
          <w:spacing w:val="-4"/>
          <w:sz w:val="20"/>
          <w:szCs w:val="20"/>
        </w:rPr>
        <w:t xml:space="preserve"> el infrascrito valora </w:t>
      </w:r>
      <w:r w:rsidR="001D6680" w:rsidRPr="009F664B">
        <w:rPr>
          <w:rFonts w:ascii="Verdana" w:hAnsi="Verdana"/>
          <w:bCs/>
          <w:spacing w:val="-4"/>
          <w:sz w:val="20"/>
          <w:szCs w:val="20"/>
        </w:rPr>
        <w:t xml:space="preserve">muy positivamente </w:t>
      </w:r>
      <w:r w:rsidRPr="009F664B">
        <w:rPr>
          <w:rFonts w:ascii="Verdana" w:hAnsi="Verdana"/>
          <w:bCs/>
          <w:spacing w:val="-4"/>
          <w:sz w:val="20"/>
          <w:szCs w:val="20"/>
        </w:rPr>
        <w:t>la referencia que en la</w:t>
      </w:r>
      <w:r w:rsidR="001D6680" w:rsidRPr="009F664B">
        <w:rPr>
          <w:rFonts w:ascii="Verdana" w:hAnsi="Verdana"/>
          <w:bCs/>
          <w:spacing w:val="-4"/>
          <w:sz w:val="20"/>
          <w:szCs w:val="20"/>
        </w:rPr>
        <w:t xml:space="preserve"> Resolución se hace</w:t>
      </w:r>
      <w:r w:rsidR="000024F8" w:rsidRPr="009F664B">
        <w:rPr>
          <w:rFonts w:ascii="Verdana" w:hAnsi="Verdana"/>
          <w:bCs/>
          <w:spacing w:val="-4"/>
          <w:sz w:val="20"/>
          <w:szCs w:val="20"/>
        </w:rPr>
        <w:t xml:space="preserve">, en tanto su justificación, </w:t>
      </w:r>
      <w:r w:rsidR="001D6680" w:rsidRPr="009F664B">
        <w:rPr>
          <w:rFonts w:ascii="Verdana" w:hAnsi="Verdana"/>
          <w:bCs/>
          <w:spacing w:val="-4"/>
          <w:sz w:val="20"/>
          <w:szCs w:val="20"/>
        </w:rPr>
        <w:t xml:space="preserve">a la naturaleza </w:t>
      </w:r>
      <w:r w:rsidR="001D6680" w:rsidRPr="009F664B">
        <w:rPr>
          <w:rFonts w:ascii="Verdana" w:hAnsi="Verdana" w:cs="Tahoma"/>
          <w:color w:val="000000"/>
          <w:sz w:val="20"/>
          <w:szCs w:val="20"/>
        </w:rPr>
        <w:t>coadyuvante o complementaria de la protección internacional ante la que ofrece el derecho interno de los Estados americanos</w:t>
      </w:r>
      <w:r w:rsidR="00E4329A" w:rsidRPr="00C03BA9">
        <w:rPr>
          <w:rStyle w:val="Refdenotaalpie"/>
          <w:rFonts w:cs="Tahoma"/>
          <w:color w:val="000000"/>
          <w:sz w:val="20"/>
          <w:szCs w:val="20"/>
        </w:rPr>
        <w:footnoteReference w:id="5"/>
      </w:r>
      <w:r w:rsidR="00E4329A" w:rsidRPr="009F664B">
        <w:rPr>
          <w:rFonts w:ascii="Verdana" w:hAnsi="Verdana" w:cs="Tahoma"/>
          <w:color w:val="000000"/>
          <w:sz w:val="20"/>
          <w:szCs w:val="20"/>
        </w:rPr>
        <w:t>, en su criterio ese fundamento debería ser el desarrollado en sus votos individuales sobre el tema</w:t>
      </w:r>
      <w:r w:rsidR="00E4329A" w:rsidRPr="00C03BA9">
        <w:rPr>
          <w:rStyle w:val="Refdenotaalpie"/>
          <w:rFonts w:cs="Tahoma"/>
          <w:color w:val="000000"/>
          <w:sz w:val="20"/>
          <w:szCs w:val="20"/>
        </w:rPr>
        <w:footnoteReference w:id="6"/>
      </w:r>
      <w:r w:rsidR="00E4329A" w:rsidRPr="009F664B">
        <w:rPr>
          <w:rFonts w:ascii="Verdana" w:hAnsi="Verdana" w:cs="Tahoma"/>
          <w:color w:val="000000"/>
          <w:sz w:val="20"/>
          <w:szCs w:val="20"/>
        </w:rPr>
        <w:t>, es decir, que una vez dictada la Sentencia definitiva e inapelable en el caso de que se trate, como es en el de autos, la facultad de la Corte para ordenar medidas provisionales, ha precluido.</w:t>
      </w:r>
    </w:p>
    <w:p w14:paraId="194A3F54" w14:textId="1572AECC" w:rsidR="0020538E" w:rsidRPr="009F664B" w:rsidRDefault="0020538E" w:rsidP="009F664B">
      <w:pPr>
        <w:pStyle w:val="Prrafodelista"/>
        <w:numPr>
          <w:ilvl w:val="0"/>
          <w:numId w:val="1"/>
        </w:numPr>
        <w:ind w:left="-567" w:firstLine="0"/>
        <w:rPr>
          <w:rFonts w:ascii="Verdana" w:hAnsi="Verdana"/>
          <w:bCs/>
          <w:spacing w:val="-4"/>
          <w:sz w:val="20"/>
          <w:szCs w:val="20"/>
        </w:rPr>
      </w:pPr>
      <w:r w:rsidRPr="009F664B">
        <w:rPr>
          <w:rFonts w:ascii="Verdana" w:hAnsi="Verdana"/>
          <w:sz w:val="20"/>
          <w:szCs w:val="20"/>
          <w:lang w:val="es-CR"/>
        </w:rPr>
        <w:lastRenderedPageBreak/>
        <w:t>Finalmente, es necesario dejar constancia de que las menciones que la Resolución hace a la “</w:t>
      </w:r>
      <w:r w:rsidRPr="009F664B">
        <w:rPr>
          <w:rFonts w:ascii="Verdana" w:hAnsi="Verdana" w:cs="Calibri"/>
          <w:i/>
          <w:iCs/>
          <w:sz w:val="20"/>
          <w:szCs w:val="20"/>
          <w:lang w:val="es-MX"/>
        </w:rPr>
        <w:t xml:space="preserve">Declaración No. 1/20 titulada </w:t>
      </w:r>
      <w:r w:rsidRPr="009F664B">
        <w:rPr>
          <w:rFonts w:ascii="Verdana" w:hAnsi="Verdana" w:cs="Calibri"/>
          <w:i/>
          <w:iCs/>
          <w:sz w:val="20"/>
          <w:szCs w:val="20"/>
          <w:lang w:val="es-CR"/>
        </w:rPr>
        <w:t>COVID-19 y Derechos Humanos: los problemas y desafíos deben</w:t>
      </w:r>
      <w:r w:rsidR="00C03BA9" w:rsidRPr="009F664B">
        <w:rPr>
          <w:rFonts w:ascii="Verdana" w:hAnsi="Verdana" w:cs="Calibri"/>
          <w:i/>
          <w:iCs/>
          <w:sz w:val="20"/>
          <w:szCs w:val="20"/>
          <w:lang w:val="es-CR"/>
        </w:rPr>
        <w:t xml:space="preserve"> </w:t>
      </w:r>
      <w:r w:rsidRPr="009F664B">
        <w:rPr>
          <w:rFonts w:ascii="Verdana" w:hAnsi="Verdana" w:cs="Calibri"/>
          <w:i/>
          <w:iCs/>
          <w:sz w:val="20"/>
          <w:szCs w:val="20"/>
          <w:lang w:val="es-CR"/>
        </w:rPr>
        <w:t>ser abordados con perspectiva de derechos humanos y respetando las obligaciones internacionales</w:t>
      </w:r>
      <w:r w:rsidRPr="009F664B">
        <w:rPr>
          <w:rFonts w:ascii="Verdana" w:hAnsi="Verdana" w:cs="Calibri"/>
          <w:sz w:val="20"/>
          <w:szCs w:val="20"/>
          <w:lang w:val="es-CR"/>
        </w:rPr>
        <w:t>”</w:t>
      </w:r>
      <w:r w:rsidRPr="009F664B">
        <w:rPr>
          <w:rFonts w:ascii="Verdana" w:hAnsi="Verdana"/>
          <w:sz w:val="20"/>
          <w:szCs w:val="20"/>
          <w:vertAlign w:val="superscript"/>
          <w:lang w:val="es-CR"/>
        </w:rPr>
        <w:footnoteReference w:id="7"/>
      </w:r>
      <w:r w:rsidRPr="009F664B">
        <w:rPr>
          <w:rFonts w:ascii="Verdana" w:hAnsi="Verdana" w:cs="Calibri"/>
          <w:sz w:val="20"/>
          <w:szCs w:val="20"/>
          <w:lang w:val="es-CR"/>
        </w:rPr>
        <w:t>, en modo alguno debe</w:t>
      </w:r>
      <w:r w:rsidR="000024F8" w:rsidRPr="009F664B">
        <w:rPr>
          <w:rFonts w:ascii="Verdana" w:hAnsi="Verdana" w:cs="Calibri"/>
          <w:sz w:val="20"/>
          <w:szCs w:val="20"/>
          <w:lang w:val="es-CR"/>
        </w:rPr>
        <w:t>n</w:t>
      </w:r>
      <w:r w:rsidRPr="009F664B">
        <w:rPr>
          <w:rFonts w:ascii="Verdana" w:hAnsi="Verdana" w:cs="Calibri"/>
          <w:sz w:val="20"/>
          <w:szCs w:val="20"/>
          <w:lang w:val="es-CR"/>
        </w:rPr>
        <w:t xml:space="preserve"> entenderse </w:t>
      </w:r>
      <w:r w:rsidR="00437F64" w:rsidRPr="009F664B">
        <w:rPr>
          <w:rFonts w:ascii="Verdana" w:hAnsi="Verdana" w:cs="Calibri"/>
          <w:sz w:val="20"/>
          <w:szCs w:val="20"/>
          <w:lang w:val="es-CR"/>
        </w:rPr>
        <w:t xml:space="preserve">que se considera a ésta como fundamento de lo resuelto ni </w:t>
      </w:r>
      <w:r w:rsidRPr="009F664B">
        <w:rPr>
          <w:rFonts w:ascii="Verdana" w:hAnsi="Verdana" w:cs="Calibri"/>
          <w:sz w:val="20"/>
          <w:szCs w:val="20"/>
          <w:lang w:val="es-CR"/>
        </w:rPr>
        <w:t>como</w:t>
      </w:r>
      <w:r w:rsidR="00437F64" w:rsidRPr="009F664B">
        <w:rPr>
          <w:rFonts w:ascii="Verdana" w:hAnsi="Verdana" w:cs="Calibri"/>
          <w:sz w:val="20"/>
          <w:szCs w:val="20"/>
          <w:lang w:val="es-CR"/>
        </w:rPr>
        <w:t>, consecuentemente,</w:t>
      </w:r>
      <w:r w:rsidRPr="009F664B">
        <w:rPr>
          <w:rFonts w:ascii="Verdana" w:hAnsi="Verdana" w:cs="Calibri"/>
          <w:sz w:val="20"/>
          <w:szCs w:val="20"/>
          <w:lang w:val="es-CR"/>
        </w:rPr>
        <w:t xml:space="preserve"> fuente auxiliar de Derecho Internacional “</w:t>
      </w:r>
      <w:r w:rsidRPr="009F664B">
        <w:rPr>
          <w:rFonts w:ascii="Verdana" w:hAnsi="Verdana" w:cs="Calibri"/>
          <w:i/>
          <w:iCs/>
          <w:sz w:val="20"/>
          <w:szCs w:val="20"/>
          <w:lang w:val="es-CR"/>
        </w:rPr>
        <w:t>para</w:t>
      </w:r>
      <w:r w:rsidRPr="009F664B">
        <w:rPr>
          <w:rFonts w:ascii="Verdana" w:hAnsi="Verdana"/>
          <w:i/>
          <w:iCs/>
          <w:sz w:val="20"/>
          <w:szCs w:val="20"/>
        </w:rPr>
        <w:t xml:space="preserve"> la determinación de las reglas de derecho</w:t>
      </w:r>
      <w:r w:rsidRPr="009F664B">
        <w:rPr>
          <w:rFonts w:ascii="Verdana" w:hAnsi="Verdana" w:cs="Calibri"/>
          <w:sz w:val="20"/>
          <w:szCs w:val="20"/>
          <w:lang w:val="es-CR"/>
        </w:rPr>
        <w:t>”</w:t>
      </w:r>
      <w:r w:rsidRPr="009F664B">
        <w:rPr>
          <w:rFonts w:ascii="Verdana" w:hAnsi="Verdana"/>
          <w:sz w:val="20"/>
          <w:szCs w:val="20"/>
          <w:vertAlign w:val="superscript"/>
          <w:lang w:val="es-CR"/>
        </w:rPr>
        <w:footnoteReference w:id="8"/>
      </w:r>
      <w:r w:rsidR="00437F64" w:rsidRPr="009F664B">
        <w:rPr>
          <w:rFonts w:ascii="Verdana" w:hAnsi="Verdana" w:cs="Calibri"/>
          <w:sz w:val="20"/>
          <w:szCs w:val="20"/>
          <w:lang w:val="es-CR"/>
        </w:rPr>
        <w:t xml:space="preserve"> aplicables</w:t>
      </w:r>
      <w:r w:rsidRPr="009F664B">
        <w:rPr>
          <w:rFonts w:ascii="Verdana" w:hAnsi="Verdana" w:cs="Calibri"/>
          <w:sz w:val="20"/>
          <w:szCs w:val="20"/>
          <w:lang w:val="es-CR"/>
        </w:rPr>
        <w:t>, puesto que</w:t>
      </w:r>
      <w:r w:rsidR="00437F64" w:rsidRPr="009F664B">
        <w:rPr>
          <w:rFonts w:ascii="Verdana" w:hAnsi="Verdana" w:cs="Calibri"/>
          <w:sz w:val="20"/>
          <w:szCs w:val="20"/>
          <w:lang w:val="es-CR"/>
        </w:rPr>
        <w:t xml:space="preserve"> dicha declaración</w:t>
      </w:r>
      <w:r w:rsidRPr="009F664B">
        <w:rPr>
          <w:rFonts w:ascii="Verdana" w:hAnsi="Verdana" w:cs="Calibri"/>
          <w:sz w:val="20"/>
          <w:szCs w:val="20"/>
          <w:lang w:val="es-CR"/>
        </w:rPr>
        <w:t xml:space="preserve"> no forma parte de la jurisprudencia sino que</w:t>
      </w:r>
      <w:r w:rsidR="00844B13" w:rsidRPr="009F664B">
        <w:rPr>
          <w:rFonts w:ascii="Verdana" w:hAnsi="Verdana" w:cs="Calibri"/>
          <w:sz w:val="20"/>
          <w:szCs w:val="20"/>
          <w:lang w:val="es-CR"/>
        </w:rPr>
        <w:t xml:space="preserve"> </w:t>
      </w:r>
      <w:r w:rsidRPr="009F664B">
        <w:rPr>
          <w:rFonts w:ascii="Verdana" w:hAnsi="Verdana" w:cs="Calibri"/>
          <w:sz w:val="20"/>
          <w:szCs w:val="20"/>
          <w:lang w:val="es-CR"/>
        </w:rPr>
        <w:t>se sustenta en e</w:t>
      </w:r>
      <w:r w:rsidR="00437F64" w:rsidRPr="009F664B">
        <w:rPr>
          <w:rFonts w:ascii="Verdana" w:hAnsi="Verdana" w:cs="Calibri"/>
          <w:sz w:val="20"/>
          <w:szCs w:val="20"/>
          <w:lang w:val="es-CR"/>
        </w:rPr>
        <w:t>lla</w:t>
      </w:r>
      <w:r w:rsidR="000024F8" w:rsidRPr="009F664B">
        <w:rPr>
          <w:rFonts w:ascii="Verdana" w:hAnsi="Verdana" w:cs="Calibri"/>
          <w:sz w:val="20"/>
          <w:szCs w:val="20"/>
          <w:lang w:val="es-CR"/>
        </w:rPr>
        <w:t>.</w:t>
      </w:r>
    </w:p>
    <w:p w14:paraId="71D51C80" w14:textId="77777777" w:rsidR="006477E1" w:rsidRPr="00C03BA9" w:rsidRDefault="006477E1" w:rsidP="001D6680">
      <w:pPr>
        <w:rPr>
          <w:rFonts w:ascii="Verdana" w:hAnsi="Verdana" w:cs="Tahoma"/>
          <w:color w:val="000000"/>
          <w:sz w:val="20"/>
          <w:szCs w:val="20"/>
        </w:rPr>
      </w:pPr>
    </w:p>
    <w:p w14:paraId="79B00148" w14:textId="77777777" w:rsidR="006E76E0" w:rsidRDefault="006E76E0" w:rsidP="006477E1">
      <w:pPr>
        <w:jc w:val="right"/>
        <w:rPr>
          <w:rFonts w:ascii="Verdana" w:hAnsi="Verdana" w:cs="Tahoma"/>
          <w:color w:val="000000"/>
          <w:sz w:val="20"/>
          <w:szCs w:val="20"/>
        </w:rPr>
      </w:pPr>
    </w:p>
    <w:p w14:paraId="479F1BE4" w14:textId="77777777" w:rsidR="00AB19FE" w:rsidRDefault="00AB19FE" w:rsidP="006477E1">
      <w:pPr>
        <w:jc w:val="right"/>
        <w:rPr>
          <w:rFonts w:ascii="Verdana" w:hAnsi="Verdana" w:cs="Tahoma"/>
          <w:color w:val="000000"/>
          <w:sz w:val="20"/>
          <w:szCs w:val="20"/>
        </w:rPr>
      </w:pPr>
    </w:p>
    <w:p w14:paraId="3DFDD338" w14:textId="77ECE288" w:rsidR="00AB19FE" w:rsidRDefault="00AB19FE" w:rsidP="006477E1">
      <w:pPr>
        <w:jc w:val="right"/>
        <w:rPr>
          <w:rFonts w:ascii="Verdana" w:hAnsi="Verdana" w:cs="Tahoma"/>
          <w:color w:val="000000"/>
          <w:sz w:val="20"/>
          <w:szCs w:val="20"/>
        </w:rPr>
      </w:pPr>
    </w:p>
    <w:p w14:paraId="4D9CD992" w14:textId="77777777" w:rsidR="00AB19FE" w:rsidRDefault="00AB19FE" w:rsidP="006477E1">
      <w:pPr>
        <w:jc w:val="right"/>
        <w:rPr>
          <w:rFonts w:ascii="Verdana" w:hAnsi="Verdana" w:cs="Tahoma"/>
          <w:color w:val="000000"/>
          <w:sz w:val="20"/>
          <w:szCs w:val="20"/>
        </w:rPr>
      </w:pPr>
    </w:p>
    <w:p w14:paraId="155381CB" w14:textId="77777777" w:rsidR="00AB19FE" w:rsidRPr="00C03BA9" w:rsidRDefault="00AB19FE" w:rsidP="006477E1">
      <w:pPr>
        <w:jc w:val="right"/>
        <w:rPr>
          <w:rFonts w:ascii="Verdana" w:hAnsi="Verdana" w:cs="Tahoma"/>
          <w:color w:val="000000"/>
          <w:sz w:val="20"/>
          <w:szCs w:val="20"/>
        </w:rPr>
      </w:pPr>
    </w:p>
    <w:p w14:paraId="655C9736" w14:textId="176ADD14" w:rsidR="006477E1" w:rsidRPr="00C03BA9" w:rsidRDefault="006477E1" w:rsidP="006477E1">
      <w:pPr>
        <w:jc w:val="right"/>
        <w:rPr>
          <w:rFonts w:ascii="Verdana" w:hAnsi="Verdana" w:cs="Tahoma"/>
          <w:color w:val="000000"/>
          <w:sz w:val="20"/>
          <w:szCs w:val="20"/>
        </w:rPr>
      </w:pPr>
      <w:r w:rsidRPr="00C03BA9">
        <w:rPr>
          <w:rFonts w:ascii="Verdana" w:hAnsi="Verdana" w:cs="Tahoma"/>
          <w:color w:val="000000"/>
          <w:sz w:val="20"/>
          <w:szCs w:val="20"/>
        </w:rPr>
        <w:t>Eduardo Vio Grossi</w:t>
      </w:r>
    </w:p>
    <w:p w14:paraId="3A460560" w14:textId="38843B0C" w:rsidR="001D6680" w:rsidRPr="00C03BA9" w:rsidRDefault="006477E1" w:rsidP="006477E1">
      <w:pPr>
        <w:jc w:val="right"/>
        <w:rPr>
          <w:rFonts w:ascii="Verdana" w:hAnsi="Verdana"/>
          <w:bCs/>
          <w:spacing w:val="-4"/>
          <w:sz w:val="20"/>
          <w:szCs w:val="20"/>
        </w:rPr>
      </w:pPr>
      <w:r w:rsidRPr="00C03BA9">
        <w:rPr>
          <w:rFonts w:ascii="Verdana" w:hAnsi="Verdana" w:cs="Tahoma"/>
          <w:color w:val="000000"/>
          <w:sz w:val="20"/>
          <w:szCs w:val="20"/>
        </w:rPr>
        <w:t>Juez</w:t>
      </w:r>
      <w:r w:rsidR="00E4329A" w:rsidRPr="00C03BA9">
        <w:rPr>
          <w:rFonts w:ascii="Verdana" w:hAnsi="Verdana" w:cs="Tahoma"/>
          <w:color w:val="000000"/>
          <w:sz w:val="20"/>
          <w:szCs w:val="20"/>
        </w:rPr>
        <w:t xml:space="preserve"> </w:t>
      </w:r>
    </w:p>
    <w:p w14:paraId="703A4CF6" w14:textId="3796D9C8" w:rsidR="00CF4719" w:rsidRPr="00C03BA9" w:rsidRDefault="00CF4719">
      <w:pPr>
        <w:rPr>
          <w:rFonts w:ascii="Verdana" w:hAnsi="Verdana"/>
          <w:sz w:val="20"/>
          <w:szCs w:val="20"/>
        </w:rPr>
      </w:pPr>
    </w:p>
    <w:sectPr w:rsidR="00CF4719" w:rsidRPr="00C03BA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92E4" w14:textId="77777777" w:rsidR="008355A3" w:rsidRDefault="008355A3" w:rsidP="004D2517">
      <w:pPr>
        <w:spacing w:line="240" w:lineRule="auto"/>
      </w:pPr>
      <w:r>
        <w:separator/>
      </w:r>
    </w:p>
  </w:endnote>
  <w:endnote w:type="continuationSeparator" w:id="0">
    <w:p w14:paraId="532ECF3D" w14:textId="77777777" w:rsidR="008355A3" w:rsidRDefault="008355A3" w:rsidP="004D2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E34B" w14:textId="664C2AE0" w:rsidR="000A6979" w:rsidRDefault="008355A3">
    <w:pPr>
      <w:pStyle w:val="Piedepgina"/>
      <w:jc w:val="center"/>
    </w:pPr>
    <w:sdt>
      <w:sdtPr>
        <w:id w:val="-1963949727"/>
        <w:docPartObj>
          <w:docPartGallery w:val="Page Numbers (Bottom of Page)"/>
          <w:docPartUnique/>
        </w:docPartObj>
      </w:sdtPr>
      <w:sdtEndPr/>
      <w:sdtContent>
        <w:r w:rsidR="000A6979">
          <w:t>-</w:t>
        </w:r>
        <w:r w:rsidR="000A6979">
          <w:fldChar w:fldCharType="begin"/>
        </w:r>
        <w:r w:rsidR="000A6979">
          <w:instrText>PAGE   \* MERGEFORMAT</w:instrText>
        </w:r>
        <w:r w:rsidR="000A6979">
          <w:fldChar w:fldCharType="separate"/>
        </w:r>
        <w:r w:rsidR="00DB4FE9" w:rsidRPr="00DB4FE9">
          <w:rPr>
            <w:noProof/>
            <w:lang w:val="es-ES"/>
          </w:rPr>
          <w:t>2</w:t>
        </w:r>
        <w:r w:rsidR="000A6979">
          <w:fldChar w:fldCharType="end"/>
        </w:r>
      </w:sdtContent>
    </w:sdt>
    <w:r w:rsidR="000A6979">
      <w:t>-</w:t>
    </w:r>
  </w:p>
  <w:p w14:paraId="3F06842C" w14:textId="77777777" w:rsidR="000A6979" w:rsidRDefault="000A69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C75A" w14:textId="77777777" w:rsidR="008355A3" w:rsidRDefault="008355A3" w:rsidP="004D2517">
      <w:pPr>
        <w:spacing w:line="240" w:lineRule="auto"/>
      </w:pPr>
      <w:r>
        <w:separator/>
      </w:r>
    </w:p>
  </w:footnote>
  <w:footnote w:type="continuationSeparator" w:id="0">
    <w:p w14:paraId="7F39A49B" w14:textId="77777777" w:rsidR="008355A3" w:rsidRDefault="008355A3" w:rsidP="004D2517">
      <w:pPr>
        <w:spacing w:line="240" w:lineRule="auto"/>
      </w:pPr>
      <w:r>
        <w:continuationSeparator/>
      </w:r>
    </w:p>
  </w:footnote>
  <w:footnote w:id="1">
    <w:p w14:paraId="67794E96" w14:textId="6FC6C719" w:rsidR="00E4329A" w:rsidRPr="005551C8" w:rsidRDefault="00E4329A" w:rsidP="00844B13">
      <w:pPr>
        <w:pStyle w:val="Textonotapie"/>
        <w:ind w:left="-567"/>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r w:rsidRPr="005551C8">
        <w:rPr>
          <w:rFonts w:ascii="Verdana" w:hAnsi="Verdana"/>
          <w:sz w:val="16"/>
          <w:szCs w:val="16"/>
          <w:lang w:val="es-419"/>
        </w:rPr>
        <w:t>En adelante, la Resolución.</w:t>
      </w:r>
    </w:p>
    <w:p w14:paraId="37D0F229" w14:textId="77777777" w:rsidR="00E4329A" w:rsidRPr="005551C8" w:rsidRDefault="00E4329A" w:rsidP="00844B13">
      <w:pPr>
        <w:pStyle w:val="Textonotapie"/>
        <w:ind w:left="-567"/>
        <w:rPr>
          <w:rFonts w:ascii="Verdana" w:hAnsi="Verdana"/>
          <w:sz w:val="16"/>
          <w:szCs w:val="16"/>
          <w:lang w:val="es-419"/>
        </w:rPr>
      </w:pPr>
    </w:p>
  </w:footnote>
  <w:footnote w:id="2">
    <w:p w14:paraId="050371E9" w14:textId="02E17B45" w:rsidR="00941190" w:rsidRPr="005551C8" w:rsidRDefault="00941190" w:rsidP="00941190">
      <w:pPr>
        <w:pStyle w:val="Textonotapie"/>
        <w:ind w:left="-567"/>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r w:rsidRPr="005551C8">
        <w:rPr>
          <w:rFonts w:ascii="Verdana" w:hAnsi="Verdana"/>
          <w:sz w:val="16"/>
          <w:szCs w:val="16"/>
          <w:lang w:val="es-419"/>
        </w:rPr>
        <w:t xml:space="preserve">Resolutivo </w:t>
      </w:r>
      <w:proofErr w:type="spellStart"/>
      <w:r w:rsidRPr="005551C8">
        <w:rPr>
          <w:rFonts w:ascii="Verdana" w:hAnsi="Verdana"/>
          <w:sz w:val="16"/>
          <w:szCs w:val="16"/>
          <w:lang w:val="es-419"/>
        </w:rPr>
        <w:t>N°</w:t>
      </w:r>
      <w:proofErr w:type="spellEnd"/>
      <w:r w:rsidRPr="005551C8">
        <w:rPr>
          <w:rFonts w:ascii="Verdana" w:hAnsi="Verdana"/>
          <w:sz w:val="16"/>
          <w:szCs w:val="16"/>
          <w:lang w:val="es-419"/>
        </w:rPr>
        <w:t xml:space="preserve"> 1 de la Resolución.</w:t>
      </w:r>
    </w:p>
    <w:p w14:paraId="1F42B8A5" w14:textId="77777777" w:rsidR="00941190" w:rsidRPr="005551C8" w:rsidRDefault="00941190" w:rsidP="00941190">
      <w:pPr>
        <w:pStyle w:val="Textonotapie"/>
        <w:ind w:left="-567"/>
        <w:rPr>
          <w:rFonts w:ascii="Verdana" w:hAnsi="Verdana"/>
          <w:sz w:val="16"/>
          <w:szCs w:val="16"/>
          <w:lang w:val="es-419"/>
        </w:rPr>
      </w:pPr>
    </w:p>
  </w:footnote>
  <w:footnote w:id="3">
    <w:p w14:paraId="7C7CC64A" w14:textId="5F346F65" w:rsidR="00CF4719" w:rsidRPr="00C03BA9" w:rsidRDefault="004D2517" w:rsidP="00844B13">
      <w:pPr>
        <w:pStyle w:val="Textonotapie"/>
        <w:ind w:left="-567"/>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419"/>
        </w:rPr>
        <w:t>Párr</w:t>
      </w:r>
      <w:r w:rsidR="00E4329A" w:rsidRPr="005551C8">
        <w:rPr>
          <w:rFonts w:ascii="Verdana" w:hAnsi="Verdana"/>
          <w:sz w:val="16"/>
          <w:szCs w:val="16"/>
          <w:lang w:val="es-419"/>
        </w:rPr>
        <w:t>s</w:t>
      </w:r>
      <w:proofErr w:type="spellEnd"/>
      <w:r w:rsidRPr="005551C8">
        <w:rPr>
          <w:rFonts w:ascii="Verdana" w:hAnsi="Verdana"/>
          <w:sz w:val="16"/>
          <w:szCs w:val="16"/>
          <w:lang w:val="es-419"/>
        </w:rPr>
        <w:t>.</w:t>
      </w:r>
      <w:r w:rsidR="00895834" w:rsidRPr="005551C8">
        <w:rPr>
          <w:rFonts w:ascii="Verdana" w:hAnsi="Verdana"/>
          <w:sz w:val="16"/>
          <w:szCs w:val="16"/>
          <w:lang w:val="es-419"/>
        </w:rPr>
        <w:t xml:space="preserve"> </w:t>
      </w:r>
      <w:r w:rsidR="00CF4719" w:rsidRPr="005551C8">
        <w:rPr>
          <w:rFonts w:ascii="Verdana" w:hAnsi="Verdana"/>
          <w:sz w:val="16"/>
          <w:szCs w:val="16"/>
          <w:lang w:val="es-419"/>
        </w:rPr>
        <w:t>4</w:t>
      </w:r>
      <w:r w:rsidR="00C03BA9" w:rsidRPr="005551C8">
        <w:rPr>
          <w:rFonts w:ascii="Verdana" w:hAnsi="Verdana"/>
          <w:sz w:val="16"/>
          <w:szCs w:val="16"/>
          <w:lang w:val="es-419"/>
        </w:rPr>
        <w:t xml:space="preserve"> a 44 </w:t>
      </w:r>
      <w:r w:rsidR="00CF4719" w:rsidRPr="005551C8">
        <w:rPr>
          <w:rFonts w:ascii="Verdana" w:hAnsi="Verdana"/>
          <w:sz w:val="16"/>
          <w:szCs w:val="16"/>
          <w:lang w:val="es-419"/>
        </w:rPr>
        <w:t>de la Resolución.</w:t>
      </w:r>
    </w:p>
    <w:p w14:paraId="7F0BFBB1" w14:textId="77777777" w:rsidR="00CF4719" w:rsidRPr="00C03BA9" w:rsidRDefault="00CF4719" w:rsidP="00844B13">
      <w:pPr>
        <w:pStyle w:val="Textonotapie"/>
        <w:ind w:left="-567"/>
        <w:rPr>
          <w:rFonts w:ascii="Verdana" w:hAnsi="Verdana"/>
          <w:sz w:val="16"/>
          <w:szCs w:val="16"/>
          <w:lang w:val="es-419"/>
        </w:rPr>
      </w:pPr>
    </w:p>
  </w:footnote>
  <w:footnote w:id="4">
    <w:p w14:paraId="596F347C" w14:textId="3C9597CC" w:rsidR="00CF4719" w:rsidRPr="00D0321C" w:rsidRDefault="00CF4719" w:rsidP="00844B13">
      <w:pPr>
        <w:pStyle w:val="Textonotapie"/>
        <w:ind w:left="-567"/>
        <w:rPr>
          <w:rFonts w:ascii="Verdana" w:eastAsiaTheme="minorEastAsia" w:hAnsi="Verdana"/>
          <w:sz w:val="16"/>
          <w:szCs w:val="16"/>
          <w:lang w:val="es-MX"/>
        </w:rPr>
      </w:pPr>
      <w:r w:rsidRPr="00C03BA9">
        <w:rPr>
          <w:rStyle w:val="Refdenotaalpie"/>
          <w:szCs w:val="16"/>
        </w:rPr>
        <w:footnoteRef/>
      </w:r>
      <w:r w:rsidRPr="00C03BA9">
        <w:rPr>
          <w:rFonts w:ascii="Verdana" w:hAnsi="Verdana"/>
          <w:sz w:val="16"/>
          <w:szCs w:val="16"/>
        </w:rPr>
        <w:t xml:space="preserve"> </w:t>
      </w:r>
      <w:r w:rsidRPr="00D0321C">
        <w:rPr>
          <w:rFonts w:ascii="Verdana" w:hAnsi="Verdana"/>
          <w:sz w:val="16"/>
          <w:szCs w:val="16"/>
          <w:lang w:val="es-CR"/>
        </w:rPr>
        <w:t xml:space="preserve">Votos individuales del Juez Eduardo Vio Grossi respecto de Resoluciones sobre medidas provisionales: </w:t>
      </w:r>
      <w:r w:rsidR="00895834">
        <w:rPr>
          <w:rFonts w:ascii="Verdana" w:hAnsi="Verdana"/>
          <w:sz w:val="16"/>
          <w:szCs w:val="16"/>
          <w:lang w:val="es-CR"/>
        </w:rPr>
        <w:t xml:space="preserve">Disidente, </w:t>
      </w:r>
      <w:r w:rsidR="00895834" w:rsidRPr="00895834">
        <w:rPr>
          <w:rFonts w:ascii="Verdana" w:hAnsi="Verdana"/>
          <w:iCs/>
          <w:sz w:val="16"/>
          <w:szCs w:val="16"/>
          <w:lang w:val="es-CR"/>
        </w:rPr>
        <w:t>Caso Mack Chang y otros Vs. Guatemala,</w:t>
      </w:r>
      <w:r w:rsidR="00895834">
        <w:rPr>
          <w:rFonts w:ascii="Verdana" w:hAnsi="Verdana"/>
          <w:sz w:val="16"/>
          <w:szCs w:val="16"/>
          <w:lang w:val="es-CR"/>
        </w:rPr>
        <w:t xml:space="preserve"> 24 de junio de 2020; </w:t>
      </w:r>
      <w:r w:rsidR="00895834">
        <w:rPr>
          <w:rFonts w:ascii="Verdana" w:hAnsi="Verdana"/>
          <w:sz w:val="16"/>
          <w:szCs w:val="16"/>
        </w:rPr>
        <w:t xml:space="preserve">Concurrente, </w:t>
      </w:r>
      <w:r w:rsidR="00895834" w:rsidRPr="00895834">
        <w:rPr>
          <w:rFonts w:ascii="Verdana" w:hAnsi="Verdana"/>
          <w:iCs/>
          <w:sz w:val="16"/>
          <w:szCs w:val="16"/>
        </w:rPr>
        <w:t xml:space="preserve">Caso Fernández Ortega y otros Vs. México, de 10 de junio de 2020; Disidente, Caso 19 Comerciantes Vs. Colombia, de 1 de junio de 2020; </w:t>
      </w:r>
      <w:r w:rsidRPr="00895834">
        <w:rPr>
          <w:rFonts w:ascii="Verdana" w:hAnsi="Verdana"/>
          <w:iCs/>
          <w:sz w:val="16"/>
          <w:szCs w:val="16"/>
          <w:lang w:val="es-CR"/>
        </w:rPr>
        <w:t>Disidente, Caso Masacres de</w:t>
      </w:r>
      <w:r w:rsidRPr="00D0321C">
        <w:rPr>
          <w:rFonts w:ascii="Verdana" w:hAnsi="Verdana"/>
          <w:sz w:val="16"/>
          <w:szCs w:val="16"/>
          <w:lang w:val="es-CR"/>
        </w:rPr>
        <w:t xml:space="preserve"> El Mozote y Lugares Aledaños Vs. El Salvador, 3 de septiembre de 2019; Disidente, Caso Mack Chang y Otros Vs. Guatemala, 5 de marzo de 2019;</w:t>
      </w:r>
      <w:r w:rsidRPr="00D0321C">
        <w:rPr>
          <w:rFonts w:ascii="Verdana" w:hAnsi="Verdana"/>
          <w:sz w:val="16"/>
          <w:szCs w:val="16"/>
          <w:lang w:val="es-ES"/>
        </w:rPr>
        <w:t xml:space="preserve"> </w:t>
      </w:r>
      <w:r w:rsidRPr="00D0321C">
        <w:rPr>
          <w:rFonts w:ascii="Verdana" w:hAnsi="Verdana"/>
          <w:sz w:val="16"/>
          <w:szCs w:val="16"/>
          <w:lang w:val="es-CR"/>
        </w:rPr>
        <w:t xml:space="preserve">Parcialmente Disidente, Caso de los Miembros de la Aldea </w:t>
      </w:r>
      <w:proofErr w:type="spellStart"/>
      <w:r w:rsidRPr="00D0321C">
        <w:rPr>
          <w:rFonts w:ascii="Verdana" w:hAnsi="Verdana"/>
          <w:sz w:val="16"/>
          <w:szCs w:val="16"/>
          <w:lang w:val="es-CR"/>
        </w:rPr>
        <w:t>Chichupac</w:t>
      </w:r>
      <w:proofErr w:type="spellEnd"/>
      <w:r w:rsidRPr="00D0321C">
        <w:rPr>
          <w:rFonts w:ascii="Verdana" w:hAnsi="Verdana"/>
          <w:sz w:val="16"/>
          <w:szCs w:val="16"/>
          <w:lang w:val="es-CR"/>
        </w:rPr>
        <w:t xml:space="preserve"> y Comunidades del Municipio de Rabinal, Caso Molina </w:t>
      </w:r>
      <w:proofErr w:type="spellStart"/>
      <w:r w:rsidRPr="00D0321C">
        <w:rPr>
          <w:rFonts w:ascii="Verdana" w:hAnsi="Verdana"/>
          <w:sz w:val="16"/>
          <w:szCs w:val="16"/>
          <w:lang w:val="es-CR"/>
        </w:rPr>
        <w:t>Thiesen</w:t>
      </w:r>
      <w:proofErr w:type="spellEnd"/>
      <w:r w:rsidRPr="00D0321C">
        <w:rPr>
          <w:rFonts w:ascii="Verdana" w:hAnsi="Verdana"/>
          <w:sz w:val="16"/>
          <w:szCs w:val="16"/>
          <w:lang w:val="es-CR"/>
        </w:rPr>
        <w:t xml:space="preserve"> y Otros 12 Casos contra Guatemala, 12 de marzo, de 2019; Concurrente, Caso </w:t>
      </w:r>
      <w:proofErr w:type="spellStart"/>
      <w:r w:rsidRPr="00D0321C">
        <w:rPr>
          <w:rFonts w:ascii="Verdana" w:hAnsi="Verdana"/>
          <w:sz w:val="16"/>
          <w:szCs w:val="16"/>
          <w:lang w:val="es-CR"/>
        </w:rPr>
        <w:t>Bácama</w:t>
      </w:r>
      <w:proofErr w:type="spellEnd"/>
      <w:r w:rsidRPr="00D0321C">
        <w:rPr>
          <w:rFonts w:ascii="Verdana" w:hAnsi="Verdana"/>
          <w:sz w:val="16"/>
          <w:szCs w:val="16"/>
          <w:lang w:val="es-CR"/>
        </w:rPr>
        <w:t xml:space="preserve"> Velásquez Vs. Guatemala, 22 de noviembre de 2018; Disidente, Caso Durand y Ugarte Vs. Perú, 8 de febrero de 2018; Disidente, Caso Torres Millacura y Otros Vs. Argentina, 14 de noviembre de 2017; Concurrente, Asunto Mery Naranjo y Otros respecto de Colombia, 22 de agosto de 2017; Concurrente, Caso Fernández Ortega y Otros</w:t>
      </w:r>
      <w:r w:rsidR="003440BF" w:rsidRPr="00D0321C">
        <w:rPr>
          <w:rFonts w:ascii="Verdana" w:hAnsi="Verdana"/>
          <w:sz w:val="16"/>
          <w:szCs w:val="16"/>
          <w:lang w:val="es-CR"/>
        </w:rPr>
        <w:t xml:space="preserve"> Vs. México</w:t>
      </w:r>
      <w:r w:rsidRPr="00D0321C">
        <w:rPr>
          <w:rFonts w:ascii="Verdana" w:hAnsi="Verdana"/>
          <w:sz w:val="16"/>
          <w:szCs w:val="16"/>
          <w:lang w:val="es-CR"/>
        </w:rPr>
        <w:t xml:space="preserve">, 7 de febrero de 2017; Concurrente, Caso </w:t>
      </w:r>
      <w:proofErr w:type="spellStart"/>
      <w:r w:rsidRPr="00D0321C">
        <w:rPr>
          <w:rFonts w:ascii="Verdana" w:hAnsi="Verdana"/>
          <w:sz w:val="16"/>
          <w:szCs w:val="16"/>
          <w:lang w:val="es-CR"/>
        </w:rPr>
        <w:t>Bácama</w:t>
      </w:r>
      <w:proofErr w:type="spellEnd"/>
      <w:r w:rsidRPr="00D0321C">
        <w:rPr>
          <w:rFonts w:ascii="Verdana" w:hAnsi="Verdana"/>
          <w:sz w:val="16"/>
          <w:szCs w:val="16"/>
          <w:lang w:val="es-CR"/>
        </w:rPr>
        <w:t xml:space="preserve"> Velázquez Vs .Guatemala, 31 de agosto de 2016; Concurrente, Caso García Prieto y Otros Vs. El Salvador, 20 de noviembre de 2015; Disidente, Caso Torres Millacura y Otros Vs. Argentina, 23 de junio de 2015; Disidente, Caso </w:t>
      </w:r>
      <w:proofErr w:type="spellStart"/>
      <w:r w:rsidRPr="00D0321C">
        <w:rPr>
          <w:rFonts w:ascii="Verdana" w:hAnsi="Verdana"/>
          <w:sz w:val="16"/>
          <w:szCs w:val="16"/>
          <w:lang w:val="es-CR"/>
        </w:rPr>
        <w:t>Kawas</w:t>
      </w:r>
      <w:proofErr w:type="spellEnd"/>
      <w:r w:rsidRPr="00D0321C">
        <w:rPr>
          <w:rFonts w:ascii="Verdana" w:hAnsi="Verdana"/>
          <w:sz w:val="16"/>
          <w:szCs w:val="16"/>
          <w:lang w:val="es-CR"/>
        </w:rPr>
        <w:t xml:space="preserve"> Fernández Vs. Honduras; Disidente, Caso Rosendo Cantú y Otra Vs. México, 23 de junio de 2015; Disidente, Caso García Prieto y Otros Vs. El Salvador, 26 de enero de 2015; Disidente, Caso Mack Chang y Otros Vs. Guatemala, 26 de enero de 2015; Concurrente, Caso Artavia Murillo y Otros (”Fecundación in Vitro”) Vs. Costa Rica, 31 de marzo de 2014; Concurrente, Caso Familia Barrios Vs. Venezuela, 30 de mayo de 2013; Concurrente, Asunto Millacura </w:t>
      </w:r>
      <w:proofErr w:type="spellStart"/>
      <w:r w:rsidRPr="00D0321C">
        <w:rPr>
          <w:rFonts w:ascii="Verdana" w:hAnsi="Verdana"/>
          <w:sz w:val="16"/>
          <w:szCs w:val="16"/>
          <w:lang w:val="es-CR"/>
        </w:rPr>
        <w:t>Llaipén</w:t>
      </w:r>
      <w:proofErr w:type="spellEnd"/>
      <w:r w:rsidRPr="00D0321C">
        <w:rPr>
          <w:rFonts w:ascii="Verdana" w:hAnsi="Verdana"/>
          <w:sz w:val="16"/>
          <w:szCs w:val="16"/>
          <w:lang w:val="es-CR"/>
        </w:rPr>
        <w:t xml:space="preserve"> y Otros respecto de Argentina, 13 de febrero de 2013; </w:t>
      </w:r>
      <w:r w:rsidRPr="00D0321C">
        <w:rPr>
          <w:rFonts w:ascii="Verdana" w:hAnsi="Verdana"/>
          <w:sz w:val="16"/>
          <w:szCs w:val="16"/>
          <w:lang w:val="es-ES"/>
        </w:rPr>
        <w:t>Concurrente, Caso Familia Barrios Vs. Venezuela, 13 de febrero de 2013;</w:t>
      </w:r>
      <w:r w:rsidR="00177C28" w:rsidRPr="00D0321C">
        <w:rPr>
          <w:rFonts w:ascii="Verdana" w:hAnsi="Verdana"/>
          <w:sz w:val="16"/>
          <w:szCs w:val="16"/>
          <w:lang w:val="es-ES"/>
        </w:rPr>
        <w:t xml:space="preserve"> </w:t>
      </w:r>
      <w:r w:rsidRPr="00D0321C">
        <w:rPr>
          <w:rFonts w:ascii="Verdana" w:hAnsi="Verdana"/>
          <w:sz w:val="16"/>
          <w:szCs w:val="16"/>
          <w:lang w:val="es-ES"/>
        </w:rPr>
        <w:t>Concurrente, Caso Pacheco Teruel y Otro Vs</w:t>
      </w:r>
      <w:r w:rsidR="00177C28" w:rsidRPr="00D0321C">
        <w:rPr>
          <w:rFonts w:ascii="Verdana" w:hAnsi="Verdana"/>
          <w:sz w:val="16"/>
          <w:szCs w:val="16"/>
          <w:lang w:val="es-ES"/>
        </w:rPr>
        <w:t>.</w:t>
      </w:r>
      <w:r w:rsidRPr="00D0321C">
        <w:rPr>
          <w:rFonts w:ascii="Verdana" w:hAnsi="Verdana"/>
          <w:sz w:val="16"/>
          <w:szCs w:val="16"/>
          <w:lang w:val="es-ES"/>
        </w:rPr>
        <w:t xml:space="preserve"> Honduras, 13 de febrero de 2013; Concurrente, Caso 19 Comerciantes Vs. Colombia, 26 de junio de 2012; Concurrente, Caso Fernández Ortega y Otros Vs. México, 20 de febrero de 2012; Disidente, Asunto Millacura </w:t>
      </w:r>
      <w:proofErr w:type="spellStart"/>
      <w:r w:rsidRPr="00D0321C">
        <w:rPr>
          <w:rFonts w:ascii="Verdana" w:hAnsi="Verdana"/>
          <w:sz w:val="16"/>
          <w:szCs w:val="16"/>
          <w:lang w:val="es-ES"/>
        </w:rPr>
        <w:t>Llaipén</w:t>
      </w:r>
      <w:proofErr w:type="spellEnd"/>
      <w:r w:rsidRPr="00D0321C">
        <w:rPr>
          <w:rFonts w:ascii="Verdana" w:hAnsi="Verdana"/>
          <w:sz w:val="16"/>
          <w:szCs w:val="16"/>
          <w:lang w:val="es-ES"/>
        </w:rPr>
        <w:t xml:space="preserve"> respecto de Argentina, 25 de noviembre de 2011; Disidente, Caso </w:t>
      </w:r>
      <w:proofErr w:type="spellStart"/>
      <w:r w:rsidRPr="00D0321C">
        <w:rPr>
          <w:rFonts w:ascii="Verdana" w:hAnsi="Verdana"/>
          <w:sz w:val="16"/>
          <w:szCs w:val="16"/>
          <w:lang w:val="es-ES"/>
        </w:rPr>
        <w:t>Kawas</w:t>
      </w:r>
      <w:proofErr w:type="spellEnd"/>
      <w:r w:rsidRPr="00D0321C">
        <w:rPr>
          <w:rFonts w:ascii="Verdana" w:hAnsi="Verdana"/>
          <w:sz w:val="16"/>
          <w:szCs w:val="16"/>
          <w:lang w:val="es-ES"/>
        </w:rPr>
        <w:t xml:space="preserve"> Fernández Vs. Honduras, 5 de julio de 2011; Disidente, Caso Rosendo Cantú y Otra Vs. México, 1 de julio de 2011; Disidente, Caso Gutiérrez Soler Vs. Colombia, 30 de junio de 2011; Concurrente, Asunto Wong Ho </w:t>
      </w:r>
      <w:proofErr w:type="spellStart"/>
      <w:r w:rsidRPr="00D0321C">
        <w:rPr>
          <w:rFonts w:ascii="Verdana" w:hAnsi="Verdana"/>
          <w:sz w:val="16"/>
          <w:szCs w:val="16"/>
          <w:lang w:val="es-ES"/>
        </w:rPr>
        <w:t>Wing</w:t>
      </w:r>
      <w:proofErr w:type="spellEnd"/>
      <w:r w:rsidRPr="00D0321C">
        <w:rPr>
          <w:rFonts w:ascii="Verdana" w:hAnsi="Verdana"/>
          <w:sz w:val="16"/>
          <w:szCs w:val="16"/>
          <w:lang w:val="es-ES"/>
        </w:rPr>
        <w:t xml:space="preserve"> respecto de Perú, 28 de mayo de 2010</w:t>
      </w:r>
      <w:r w:rsidR="00701468">
        <w:rPr>
          <w:rFonts w:ascii="Verdana" w:hAnsi="Verdana"/>
          <w:sz w:val="16"/>
          <w:szCs w:val="16"/>
          <w:lang w:val="es-ES"/>
        </w:rPr>
        <w:t>, y</w:t>
      </w:r>
      <w:r w:rsidRPr="00D0321C">
        <w:rPr>
          <w:rFonts w:ascii="Verdana" w:eastAsiaTheme="minorEastAsia" w:hAnsi="Verdana"/>
          <w:sz w:val="16"/>
          <w:szCs w:val="16"/>
          <w:lang w:val="es-MX"/>
        </w:rPr>
        <w:t xml:space="preserve"> Constancia de Queja presentada ante la Corte el 17 de agosto de 2011.</w:t>
      </w:r>
    </w:p>
    <w:p w14:paraId="714CF07A" w14:textId="77777777" w:rsidR="00E4329A" w:rsidRPr="00C03BA9" w:rsidRDefault="00E4329A" w:rsidP="00844B13">
      <w:pPr>
        <w:pStyle w:val="Textonotapie"/>
        <w:ind w:left="-567"/>
        <w:rPr>
          <w:rFonts w:ascii="Verdana" w:hAnsi="Verdana"/>
          <w:sz w:val="16"/>
          <w:szCs w:val="16"/>
          <w:lang w:val="es-419"/>
        </w:rPr>
      </w:pPr>
    </w:p>
  </w:footnote>
  <w:footnote w:id="5">
    <w:p w14:paraId="446AA840" w14:textId="46E8B6BE" w:rsidR="00E4329A" w:rsidRPr="00C03BA9" w:rsidRDefault="00E4329A" w:rsidP="00844B13">
      <w:pPr>
        <w:pStyle w:val="Textonotapie"/>
        <w:ind w:left="-567"/>
        <w:rPr>
          <w:rFonts w:ascii="Verdana" w:hAnsi="Verdana"/>
          <w:sz w:val="16"/>
          <w:szCs w:val="16"/>
          <w:lang w:val="es-419"/>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419"/>
        </w:rPr>
        <w:t>Párrs</w:t>
      </w:r>
      <w:proofErr w:type="spellEnd"/>
      <w:r w:rsidRPr="005551C8">
        <w:rPr>
          <w:rFonts w:ascii="Verdana" w:hAnsi="Verdana"/>
          <w:sz w:val="16"/>
          <w:szCs w:val="16"/>
          <w:lang w:val="es-419"/>
        </w:rPr>
        <w:t>.</w:t>
      </w:r>
      <w:r w:rsidR="00895834" w:rsidRPr="005551C8">
        <w:rPr>
          <w:rFonts w:ascii="Verdana" w:hAnsi="Verdana"/>
          <w:sz w:val="16"/>
          <w:szCs w:val="16"/>
          <w:lang w:val="es-419"/>
        </w:rPr>
        <w:t xml:space="preserve"> </w:t>
      </w:r>
      <w:r w:rsidR="00C03BA9" w:rsidRPr="005551C8">
        <w:rPr>
          <w:rFonts w:ascii="Verdana" w:hAnsi="Verdana"/>
          <w:sz w:val="16"/>
          <w:szCs w:val="16"/>
          <w:lang w:val="es-419"/>
        </w:rPr>
        <w:t xml:space="preserve">34 a 37 </w:t>
      </w:r>
      <w:r w:rsidRPr="005551C8">
        <w:rPr>
          <w:rFonts w:ascii="Verdana" w:hAnsi="Verdana"/>
          <w:sz w:val="16"/>
          <w:szCs w:val="16"/>
          <w:lang w:val="es-419"/>
        </w:rPr>
        <w:t>de la Resolución.</w:t>
      </w:r>
    </w:p>
    <w:p w14:paraId="6CCDB686" w14:textId="77777777" w:rsidR="00E4329A" w:rsidRPr="00C03BA9" w:rsidRDefault="00E4329A" w:rsidP="00844B13">
      <w:pPr>
        <w:pStyle w:val="Textonotapie"/>
        <w:ind w:left="-567"/>
        <w:rPr>
          <w:rFonts w:ascii="Verdana" w:hAnsi="Verdana"/>
          <w:sz w:val="16"/>
          <w:szCs w:val="16"/>
          <w:lang w:val="es-419"/>
        </w:rPr>
      </w:pPr>
    </w:p>
  </w:footnote>
  <w:footnote w:id="6">
    <w:p w14:paraId="5232D1B3" w14:textId="7FB7F0A7" w:rsidR="00E4329A" w:rsidRPr="00C03BA9" w:rsidRDefault="00E4329A" w:rsidP="00844B13">
      <w:pPr>
        <w:pStyle w:val="Textonotapie"/>
        <w:ind w:left="-567"/>
        <w:rPr>
          <w:rFonts w:ascii="Verdana" w:hAnsi="Verdana"/>
          <w:sz w:val="16"/>
          <w:szCs w:val="16"/>
          <w:lang w:val="es-419"/>
        </w:rPr>
      </w:pPr>
      <w:r w:rsidRPr="00C03BA9">
        <w:rPr>
          <w:rStyle w:val="Refdenotaalpie"/>
          <w:szCs w:val="16"/>
        </w:rPr>
        <w:footnoteRef/>
      </w:r>
      <w:r w:rsidRPr="00C03BA9">
        <w:rPr>
          <w:rFonts w:ascii="Verdana" w:hAnsi="Verdana"/>
          <w:sz w:val="16"/>
          <w:szCs w:val="16"/>
        </w:rPr>
        <w:t xml:space="preserve"> </w:t>
      </w:r>
      <w:r w:rsidR="00C03BA9" w:rsidRPr="00C03BA9">
        <w:rPr>
          <w:rFonts w:ascii="Verdana" w:hAnsi="Verdana"/>
          <w:i/>
          <w:iCs/>
          <w:sz w:val="16"/>
          <w:szCs w:val="16"/>
        </w:rPr>
        <w:t>Supra</w:t>
      </w:r>
      <w:r w:rsidR="00C03BA9" w:rsidRPr="00C03BA9">
        <w:rPr>
          <w:rFonts w:ascii="Verdana" w:hAnsi="Verdana"/>
          <w:sz w:val="16"/>
          <w:szCs w:val="16"/>
        </w:rPr>
        <w:t xml:space="preserve">, </w:t>
      </w:r>
      <w:r w:rsidRPr="00C03BA9">
        <w:rPr>
          <w:rFonts w:ascii="Verdana" w:hAnsi="Verdana"/>
          <w:sz w:val="16"/>
          <w:szCs w:val="16"/>
          <w:lang w:val="es-419"/>
        </w:rPr>
        <w:t xml:space="preserve">Nota </w:t>
      </w:r>
      <w:proofErr w:type="spellStart"/>
      <w:r w:rsidRPr="00C03BA9">
        <w:rPr>
          <w:rFonts w:ascii="Verdana" w:hAnsi="Verdana"/>
          <w:sz w:val="16"/>
          <w:szCs w:val="16"/>
          <w:lang w:val="es-419"/>
        </w:rPr>
        <w:t>N°</w:t>
      </w:r>
      <w:proofErr w:type="spellEnd"/>
      <w:r w:rsidRPr="00C03BA9">
        <w:rPr>
          <w:rFonts w:ascii="Verdana" w:hAnsi="Verdana"/>
          <w:sz w:val="16"/>
          <w:szCs w:val="16"/>
          <w:lang w:val="es-419"/>
        </w:rPr>
        <w:t xml:space="preserve"> </w:t>
      </w:r>
      <w:r w:rsidR="00C03BA9" w:rsidRPr="00C03BA9">
        <w:rPr>
          <w:rFonts w:ascii="Verdana" w:hAnsi="Verdana"/>
          <w:sz w:val="16"/>
          <w:szCs w:val="16"/>
          <w:lang w:val="es-419"/>
        </w:rPr>
        <w:t>4</w:t>
      </w:r>
      <w:r w:rsidRPr="00C03BA9">
        <w:rPr>
          <w:rFonts w:ascii="Verdana" w:hAnsi="Verdana"/>
          <w:sz w:val="16"/>
          <w:szCs w:val="16"/>
          <w:lang w:val="es-419"/>
        </w:rPr>
        <w:t>.</w:t>
      </w:r>
    </w:p>
  </w:footnote>
  <w:footnote w:id="7">
    <w:p w14:paraId="60859AC4" w14:textId="296FDD17" w:rsidR="0020538E" w:rsidRPr="00C03BA9" w:rsidRDefault="0020538E" w:rsidP="00844B13">
      <w:pPr>
        <w:pStyle w:val="Textonotapie"/>
        <w:ind w:left="-567"/>
        <w:rPr>
          <w:rFonts w:ascii="Verdana" w:hAnsi="Verdana"/>
          <w:sz w:val="16"/>
          <w:szCs w:val="16"/>
          <w:lang w:val="es-MX"/>
        </w:rPr>
      </w:pPr>
      <w:r w:rsidRPr="005551C8">
        <w:rPr>
          <w:rStyle w:val="Refdenotaalpie"/>
          <w:szCs w:val="16"/>
        </w:rPr>
        <w:footnoteRef/>
      </w:r>
      <w:r w:rsidRPr="005551C8">
        <w:rPr>
          <w:rFonts w:ascii="Verdana" w:hAnsi="Verdana"/>
          <w:sz w:val="16"/>
          <w:szCs w:val="16"/>
        </w:rPr>
        <w:t xml:space="preserve"> </w:t>
      </w:r>
      <w:proofErr w:type="spellStart"/>
      <w:r w:rsidRPr="005551C8">
        <w:rPr>
          <w:rFonts w:ascii="Verdana" w:hAnsi="Verdana"/>
          <w:sz w:val="16"/>
          <w:szCs w:val="16"/>
          <w:lang w:val="es-MX"/>
        </w:rPr>
        <w:t>Párr</w:t>
      </w:r>
      <w:r w:rsidR="005551C8" w:rsidRPr="005551C8">
        <w:rPr>
          <w:rFonts w:ascii="Verdana" w:hAnsi="Verdana"/>
          <w:sz w:val="16"/>
          <w:szCs w:val="16"/>
          <w:lang w:val="es-MX"/>
        </w:rPr>
        <w:t>s</w:t>
      </w:r>
      <w:proofErr w:type="spellEnd"/>
      <w:r w:rsidR="009F664B" w:rsidRPr="005551C8">
        <w:rPr>
          <w:rFonts w:ascii="Verdana" w:hAnsi="Verdana"/>
          <w:sz w:val="16"/>
          <w:szCs w:val="16"/>
          <w:lang w:val="es-MX"/>
        </w:rPr>
        <w:t xml:space="preserve">. </w:t>
      </w:r>
      <w:r w:rsidR="005551C8" w:rsidRPr="005551C8">
        <w:rPr>
          <w:rFonts w:ascii="Verdana" w:hAnsi="Verdana"/>
          <w:sz w:val="16"/>
          <w:szCs w:val="16"/>
          <w:lang w:val="es-MX"/>
        </w:rPr>
        <w:t>21</w:t>
      </w:r>
      <w:r w:rsidR="00701468">
        <w:rPr>
          <w:rFonts w:ascii="Verdana" w:hAnsi="Verdana"/>
          <w:sz w:val="16"/>
          <w:szCs w:val="16"/>
          <w:lang w:val="es-MX"/>
        </w:rPr>
        <w:t>, 25</w:t>
      </w:r>
      <w:r w:rsidR="005551C8" w:rsidRPr="005551C8">
        <w:rPr>
          <w:rFonts w:ascii="Verdana" w:hAnsi="Verdana"/>
          <w:sz w:val="16"/>
          <w:szCs w:val="16"/>
          <w:lang w:val="es-MX"/>
        </w:rPr>
        <w:t xml:space="preserve"> y </w:t>
      </w:r>
      <w:r w:rsidR="00941190" w:rsidRPr="005551C8">
        <w:rPr>
          <w:rFonts w:ascii="Verdana" w:hAnsi="Verdana"/>
          <w:sz w:val="16"/>
          <w:szCs w:val="16"/>
          <w:lang w:val="es-MX"/>
        </w:rPr>
        <w:t>39</w:t>
      </w:r>
      <w:r w:rsidR="00844B13" w:rsidRPr="005551C8">
        <w:rPr>
          <w:rFonts w:ascii="Verdana" w:hAnsi="Verdana"/>
          <w:sz w:val="16"/>
          <w:szCs w:val="16"/>
          <w:lang w:val="es-MX"/>
        </w:rPr>
        <w:t xml:space="preserve"> </w:t>
      </w:r>
      <w:r w:rsidR="009F664B" w:rsidRPr="005551C8">
        <w:rPr>
          <w:rFonts w:ascii="Verdana" w:hAnsi="Verdana"/>
          <w:sz w:val="16"/>
          <w:szCs w:val="16"/>
          <w:lang w:val="es-MX"/>
        </w:rPr>
        <w:t>y Nota</w:t>
      </w:r>
      <w:r w:rsidR="005551C8" w:rsidRPr="005551C8">
        <w:rPr>
          <w:rFonts w:ascii="Verdana" w:hAnsi="Verdana"/>
          <w:sz w:val="16"/>
          <w:szCs w:val="16"/>
          <w:lang w:val="es-MX"/>
        </w:rPr>
        <w:t>s</w:t>
      </w:r>
      <w:r w:rsidR="009F664B" w:rsidRPr="005551C8">
        <w:rPr>
          <w:rFonts w:ascii="Verdana" w:hAnsi="Verdana"/>
          <w:sz w:val="16"/>
          <w:szCs w:val="16"/>
          <w:lang w:val="es-MX"/>
        </w:rPr>
        <w:t xml:space="preserve"> </w:t>
      </w:r>
      <w:proofErr w:type="spellStart"/>
      <w:r w:rsidR="009F664B" w:rsidRPr="005551C8">
        <w:rPr>
          <w:rFonts w:ascii="Verdana" w:hAnsi="Verdana"/>
          <w:sz w:val="16"/>
          <w:szCs w:val="16"/>
          <w:lang w:val="es-MX"/>
        </w:rPr>
        <w:t>N°</w:t>
      </w:r>
      <w:proofErr w:type="spellEnd"/>
      <w:r w:rsidR="009F664B" w:rsidRPr="005551C8">
        <w:rPr>
          <w:rFonts w:ascii="Verdana" w:hAnsi="Verdana"/>
          <w:sz w:val="16"/>
          <w:szCs w:val="16"/>
          <w:lang w:val="es-MX"/>
        </w:rPr>
        <w:t xml:space="preserve"> </w:t>
      </w:r>
      <w:r w:rsidR="00A94DDD">
        <w:rPr>
          <w:rFonts w:ascii="Verdana" w:hAnsi="Verdana"/>
          <w:sz w:val="16"/>
          <w:szCs w:val="16"/>
          <w:lang w:val="es-MX"/>
        </w:rPr>
        <w:t>39, 45</w:t>
      </w:r>
      <w:r w:rsidR="00701468">
        <w:rPr>
          <w:rFonts w:ascii="Verdana" w:hAnsi="Verdana"/>
          <w:sz w:val="16"/>
          <w:szCs w:val="16"/>
          <w:lang w:val="es-MX"/>
        </w:rPr>
        <w:t xml:space="preserve"> y</w:t>
      </w:r>
      <w:r w:rsidR="005551C8" w:rsidRPr="005551C8">
        <w:rPr>
          <w:rFonts w:ascii="Verdana" w:hAnsi="Verdana"/>
          <w:sz w:val="16"/>
          <w:szCs w:val="16"/>
          <w:lang w:val="es-MX"/>
        </w:rPr>
        <w:t xml:space="preserve"> </w:t>
      </w:r>
      <w:r w:rsidR="00A94DDD">
        <w:rPr>
          <w:rFonts w:ascii="Verdana" w:hAnsi="Verdana"/>
          <w:sz w:val="16"/>
          <w:szCs w:val="16"/>
          <w:lang w:val="es-MX"/>
        </w:rPr>
        <w:t xml:space="preserve">68 </w:t>
      </w:r>
      <w:r w:rsidR="00844B13" w:rsidRPr="005551C8">
        <w:rPr>
          <w:rFonts w:ascii="Verdana" w:hAnsi="Verdana"/>
          <w:sz w:val="16"/>
          <w:szCs w:val="16"/>
          <w:lang w:val="es-MX"/>
        </w:rPr>
        <w:t>de la Resolución.</w:t>
      </w:r>
    </w:p>
    <w:p w14:paraId="008F4186" w14:textId="77777777" w:rsidR="0020538E" w:rsidRPr="00C03BA9" w:rsidRDefault="0020538E" w:rsidP="0020538E">
      <w:pPr>
        <w:pStyle w:val="Textonotapie"/>
        <w:ind w:left="-567"/>
        <w:rPr>
          <w:rFonts w:ascii="Verdana" w:hAnsi="Verdana"/>
          <w:sz w:val="16"/>
          <w:szCs w:val="16"/>
          <w:lang w:val="es-MX"/>
        </w:rPr>
      </w:pPr>
    </w:p>
  </w:footnote>
  <w:footnote w:id="8">
    <w:p w14:paraId="12D16FE0" w14:textId="0E8E0099" w:rsidR="0020538E" w:rsidRPr="00C03BA9" w:rsidRDefault="0020538E" w:rsidP="0020538E">
      <w:pPr>
        <w:pStyle w:val="Textonotapie"/>
        <w:ind w:left="-567"/>
        <w:rPr>
          <w:rFonts w:ascii="Verdana" w:hAnsi="Verdana"/>
          <w:i/>
          <w:iCs/>
          <w:sz w:val="16"/>
          <w:szCs w:val="16"/>
        </w:rPr>
      </w:pPr>
      <w:r w:rsidRPr="00C03BA9">
        <w:rPr>
          <w:rStyle w:val="Refdenotaalpie"/>
          <w:szCs w:val="16"/>
        </w:rPr>
        <w:footnoteRef/>
      </w:r>
      <w:r w:rsidRPr="00C03BA9">
        <w:rPr>
          <w:rFonts w:ascii="Verdana" w:hAnsi="Verdana"/>
          <w:sz w:val="16"/>
          <w:szCs w:val="16"/>
        </w:rPr>
        <w:t xml:space="preserve"> Artículo</w:t>
      </w:r>
      <w:r w:rsidR="00D0321C">
        <w:rPr>
          <w:rFonts w:ascii="Verdana" w:hAnsi="Verdana"/>
          <w:sz w:val="16"/>
          <w:szCs w:val="16"/>
        </w:rPr>
        <w:t xml:space="preserve"> </w:t>
      </w:r>
      <w:r w:rsidRPr="00C03BA9">
        <w:rPr>
          <w:rFonts w:ascii="Verdana" w:hAnsi="Verdana"/>
          <w:sz w:val="16"/>
          <w:szCs w:val="16"/>
        </w:rPr>
        <w:t>38 del Estatuto de la Corte Internacional de Justicia: ”</w:t>
      </w:r>
      <w:r w:rsidRPr="00C03BA9">
        <w:rPr>
          <w:rFonts w:ascii="Verdana" w:hAnsi="Verdana"/>
          <w:i/>
          <w:iCs/>
          <w:sz w:val="16"/>
          <w:szCs w:val="16"/>
        </w:rPr>
        <w:t xml:space="preserve">1. La Corte, cuya función es decidir conforme al derecho internacional las controversias que le sean sometidas, deberá aplicar: a. las convenciones internacionales, sean generales o particulares, que establecen reglas expresamente reconocidas por los Estados litigantes; </w:t>
      </w:r>
      <w:r w:rsidR="00D0321C">
        <w:rPr>
          <w:rFonts w:ascii="Verdana" w:hAnsi="Verdana"/>
          <w:i/>
          <w:iCs/>
          <w:sz w:val="16"/>
          <w:szCs w:val="16"/>
        </w:rPr>
        <w:t>b</w:t>
      </w:r>
      <w:r w:rsidRPr="00C03BA9">
        <w:rPr>
          <w:rFonts w:ascii="Verdana" w:hAnsi="Verdana"/>
          <w:i/>
          <w:iCs/>
          <w:sz w:val="16"/>
          <w:szCs w:val="16"/>
        </w:rPr>
        <w:t>. la costumbre internacional como prueba de una práctica general</w:t>
      </w:r>
      <w:r w:rsidR="00844B13" w:rsidRPr="00C03BA9">
        <w:rPr>
          <w:rFonts w:ascii="Verdana" w:hAnsi="Verdana"/>
          <w:i/>
          <w:iCs/>
          <w:sz w:val="16"/>
          <w:szCs w:val="16"/>
        </w:rPr>
        <w:t>mente</w:t>
      </w:r>
      <w:r w:rsidRPr="00C03BA9">
        <w:rPr>
          <w:rFonts w:ascii="Verdana" w:hAnsi="Verdana"/>
          <w:i/>
          <w:iCs/>
          <w:sz w:val="16"/>
          <w:szCs w:val="16"/>
        </w:rPr>
        <w:t xml:space="preserve"> aceptada como derecho; c. los principios generales de derecho reconocidos por las naciones civilizadas; d. las decisiones judiciales y las doctrinas de los publicistas de mayor competencia de las distintas naciones, como medio auxiliar para </w:t>
      </w:r>
      <w:bookmarkStart w:id="0" w:name="_Hlk46943677"/>
      <w:r w:rsidRPr="00C03BA9">
        <w:rPr>
          <w:rFonts w:ascii="Verdana" w:hAnsi="Verdana"/>
          <w:i/>
          <w:iCs/>
          <w:sz w:val="16"/>
          <w:szCs w:val="16"/>
        </w:rPr>
        <w:t>la determinación de las reglas de derecho</w:t>
      </w:r>
      <w:bookmarkEnd w:id="0"/>
      <w:r w:rsidRPr="00C03BA9">
        <w:rPr>
          <w:rFonts w:ascii="Verdana" w:hAnsi="Verdana"/>
          <w:i/>
          <w:iCs/>
          <w:sz w:val="16"/>
          <w:szCs w:val="16"/>
        </w:rPr>
        <w:t xml:space="preserve">, sin perjuicio de lo dispuesto en el Artículo 59. </w:t>
      </w:r>
    </w:p>
    <w:p w14:paraId="0E18B326" w14:textId="14BC8FE0" w:rsidR="0020538E" w:rsidRPr="00701468" w:rsidRDefault="0020538E" w:rsidP="00701468">
      <w:pPr>
        <w:pStyle w:val="Textonotapie"/>
        <w:ind w:left="-567"/>
        <w:rPr>
          <w:rFonts w:ascii="Verdana" w:hAnsi="Verdana"/>
          <w:i/>
          <w:iCs/>
          <w:sz w:val="16"/>
          <w:szCs w:val="16"/>
        </w:rPr>
      </w:pPr>
      <w:r w:rsidRPr="00C03BA9">
        <w:rPr>
          <w:rFonts w:ascii="Verdana" w:hAnsi="Verdana"/>
          <w:i/>
          <w:iCs/>
          <w:sz w:val="16"/>
          <w:szCs w:val="16"/>
        </w:rPr>
        <w:t>2. La presente disposición no restringe la facultad de la Corte para decidir un litigio ex aequo et bono, si las partes así lo convinieren</w:t>
      </w:r>
      <w:r w:rsidR="00D0321C">
        <w:rPr>
          <w:rFonts w:ascii="Verdana" w:hAnsi="Verdana"/>
          <w:i/>
          <w:iCs/>
          <w:sz w:val="16"/>
          <w:szCs w:val="16"/>
        </w:rPr>
        <w:t>”</w:t>
      </w:r>
      <w:r w:rsidRPr="00C03BA9">
        <w:rPr>
          <w:rFonts w:ascii="Verdana" w:hAnsi="Verdana"/>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B154A"/>
    <w:multiLevelType w:val="hybridMultilevel"/>
    <w:tmpl w:val="C65EBC00"/>
    <w:lvl w:ilvl="0" w:tplc="140A000F">
      <w:start w:val="1"/>
      <w:numFmt w:val="decimal"/>
      <w:lvlText w:val="%1."/>
      <w:lvlJc w:val="left"/>
      <w:pPr>
        <w:ind w:left="-204" w:hanging="360"/>
      </w:pPr>
    </w:lvl>
    <w:lvl w:ilvl="1" w:tplc="340A0019" w:tentative="1">
      <w:start w:val="1"/>
      <w:numFmt w:val="lowerLetter"/>
      <w:lvlText w:val="%2."/>
      <w:lvlJc w:val="left"/>
      <w:pPr>
        <w:ind w:left="516" w:hanging="360"/>
      </w:pPr>
    </w:lvl>
    <w:lvl w:ilvl="2" w:tplc="340A001B" w:tentative="1">
      <w:start w:val="1"/>
      <w:numFmt w:val="lowerRoman"/>
      <w:lvlText w:val="%3."/>
      <w:lvlJc w:val="right"/>
      <w:pPr>
        <w:ind w:left="1236" w:hanging="180"/>
      </w:pPr>
    </w:lvl>
    <w:lvl w:ilvl="3" w:tplc="340A000F" w:tentative="1">
      <w:start w:val="1"/>
      <w:numFmt w:val="decimal"/>
      <w:lvlText w:val="%4."/>
      <w:lvlJc w:val="left"/>
      <w:pPr>
        <w:ind w:left="1956" w:hanging="360"/>
      </w:pPr>
    </w:lvl>
    <w:lvl w:ilvl="4" w:tplc="340A0019" w:tentative="1">
      <w:start w:val="1"/>
      <w:numFmt w:val="lowerLetter"/>
      <w:lvlText w:val="%5."/>
      <w:lvlJc w:val="left"/>
      <w:pPr>
        <w:ind w:left="2676" w:hanging="360"/>
      </w:pPr>
    </w:lvl>
    <w:lvl w:ilvl="5" w:tplc="340A001B" w:tentative="1">
      <w:start w:val="1"/>
      <w:numFmt w:val="lowerRoman"/>
      <w:lvlText w:val="%6."/>
      <w:lvlJc w:val="right"/>
      <w:pPr>
        <w:ind w:left="3396" w:hanging="180"/>
      </w:pPr>
    </w:lvl>
    <w:lvl w:ilvl="6" w:tplc="340A000F" w:tentative="1">
      <w:start w:val="1"/>
      <w:numFmt w:val="decimal"/>
      <w:lvlText w:val="%7."/>
      <w:lvlJc w:val="left"/>
      <w:pPr>
        <w:ind w:left="4116" w:hanging="360"/>
      </w:pPr>
    </w:lvl>
    <w:lvl w:ilvl="7" w:tplc="340A0019" w:tentative="1">
      <w:start w:val="1"/>
      <w:numFmt w:val="lowerLetter"/>
      <w:lvlText w:val="%8."/>
      <w:lvlJc w:val="left"/>
      <w:pPr>
        <w:ind w:left="4836" w:hanging="360"/>
      </w:pPr>
    </w:lvl>
    <w:lvl w:ilvl="8" w:tplc="340A001B" w:tentative="1">
      <w:start w:val="1"/>
      <w:numFmt w:val="lowerRoman"/>
      <w:lvlText w:val="%9."/>
      <w:lvlJc w:val="right"/>
      <w:pPr>
        <w:ind w:left="5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17"/>
    <w:rsid w:val="000024F8"/>
    <w:rsid w:val="000A6979"/>
    <w:rsid w:val="00175A5D"/>
    <w:rsid w:val="00177C28"/>
    <w:rsid w:val="00185AA0"/>
    <w:rsid w:val="001D6680"/>
    <w:rsid w:val="0020538E"/>
    <w:rsid w:val="002168A8"/>
    <w:rsid w:val="00323499"/>
    <w:rsid w:val="003440BF"/>
    <w:rsid w:val="003E5309"/>
    <w:rsid w:val="00437F64"/>
    <w:rsid w:val="004D2517"/>
    <w:rsid w:val="004D7193"/>
    <w:rsid w:val="005551C8"/>
    <w:rsid w:val="005B5A7F"/>
    <w:rsid w:val="006477E1"/>
    <w:rsid w:val="006E76E0"/>
    <w:rsid w:val="00701468"/>
    <w:rsid w:val="00704B2C"/>
    <w:rsid w:val="008151F9"/>
    <w:rsid w:val="008355A3"/>
    <w:rsid w:val="00844B13"/>
    <w:rsid w:val="0089306F"/>
    <w:rsid w:val="00895834"/>
    <w:rsid w:val="00941190"/>
    <w:rsid w:val="009F664B"/>
    <w:rsid w:val="00A94DDD"/>
    <w:rsid w:val="00AA315D"/>
    <w:rsid w:val="00AB19FE"/>
    <w:rsid w:val="00C03B7A"/>
    <w:rsid w:val="00C03BA9"/>
    <w:rsid w:val="00CA37EF"/>
    <w:rsid w:val="00CF4719"/>
    <w:rsid w:val="00D0321C"/>
    <w:rsid w:val="00DB4FE9"/>
    <w:rsid w:val="00DD60A4"/>
    <w:rsid w:val="00E432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1B12"/>
  <w15:docId w15:val="{B1D92AB1-0730-423E-ADFB-8527A94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70" w:lineRule="atLeast"/>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92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D2517"/>
    <w:pPr>
      <w:spacing w:line="240" w:lineRule="auto"/>
    </w:pPr>
    <w:rPr>
      <w:sz w:val="20"/>
      <w:szCs w:val="20"/>
    </w:rPr>
  </w:style>
  <w:style w:type="character" w:customStyle="1" w:styleId="TextonotapieCar">
    <w:name w:val="Texto nota pie Car"/>
    <w:basedOn w:val="Fuentedeprrafopredeter"/>
    <w:link w:val="Textonotapie"/>
    <w:uiPriority w:val="99"/>
    <w:semiHidden/>
    <w:rsid w:val="004D2517"/>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4D2517"/>
    <w:rPr>
      <w:rFonts w:ascii="Verdana" w:hAnsi="Verdana"/>
      <w:sz w:val="16"/>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2517"/>
    <w:pPr>
      <w:spacing w:line="240" w:lineRule="auto"/>
      <w:ind w:left="0" w:right="0"/>
    </w:pPr>
    <w:rPr>
      <w:rFonts w:ascii="Verdana" w:hAnsi="Verdana"/>
      <w:sz w:val="16"/>
      <w:vertAlign w:val="superscript"/>
    </w:rPr>
  </w:style>
  <w:style w:type="paragraph" w:styleId="NormalWeb">
    <w:name w:val="Normal (Web)"/>
    <w:basedOn w:val="Normal"/>
    <w:uiPriority w:val="99"/>
    <w:semiHidden/>
    <w:unhideWhenUsed/>
    <w:rsid w:val="001D6680"/>
    <w:pPr>
      <w:spacing w:before="100" w:beforeAutospacing="1" w:after="100" w:afterAutospacing="1" w:line="240" w:lineRule="auto"/>
      <w:ind w:left="0" w:right="0"/>
      <w:jc w:val="left"/>
    </w:pPr>
    <w:rPr>
      <w:rFonts w:ascii="Times New Roman" w:eastAsia="Times New Roman" w:hAnsi="Times New Roman" w:cs="Times New Roman"/>
      <w:sz w:val="24"/>
      <w:szCs w:val="24"/>
      <w:lang w:val="es-CR" w:eastAsia="es-CR"/>
    </w:rPr>
  </w:style>
  <w:style w:type="paragraph" w:styleId="Prrafodelista">
    <w:name w:val="List Paragraph"/>
    <w:basedOn w:val="Normal"/>
    <w:uiPriority w:val="34"/>
    <w:qFormat/>
    <w:rsid w:val="0020538E"/>
    <w:pPr>
      <w:ind w:left="720"/>
      <w:contextualSpacing/>
    </w:pPr>
  </w:style>
  <w:style w:type="paragraph" w:styleId="Textodeglobo">
    <w:name w:val="Balloon Text"/>
    <w:basedOn w:val="Normal"/>
    <w:link w:val="TextodegloboCar"/>
    <w:uiPriority w:val="99"/>
    <w:semiHidden/>
    <w:unhideWhenUsed/>
    <w:rsid w:val="003440B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0BF"/>
    <w:rPr>
      <w:rFonts w:ascii="Segoe UI" w:hAnsi="Segoe UI" w:cs="Segoe UI"/>
      <w:sz w:val="18"/>
      <w:szCs w:val="18"/>
    </w:rPr>
  </w:style>
  <w:style w:type="character" w:styleId="Refdecomentario">
    <w:name w:val="annotation reference"/>
    <w:basedOn w:val="Fuentedeprrafopredeter"/>
    <w:uiPriority w:val="99"/>
    <w:semiHidden/>
    <w:unhideWhenUsed/>
    <w:rsid w:val="0089306F"/>
    <w:rPr>
      <w:sz w:val="16"/>
      <w:szCs w:val="16"/>
    </w:rPr>
  </w:style>
  <w:style w:type="paragraph" w:styleId="Textocomentario">
    <w:name w:val="annotation text"/>
    <w:basedOn w:val="Normal"/>
    <w:link w:val="TextocomentarioCar"/>
    <w:uiPriority w:val="99"/>
    <w:semiHidden/>
    <w:unhideWhenUsed/>
    <w:rsid w:val="008930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306F"/>
    <w:rPr>
      <w:sz w:val="20"/>
      <w:szCs w:val="20"/>
    </w:rPr>
  </w:style>
  <w:style w:type="paragraph" w:styleId="Asuntodelcomentario">
    <w:name w:val="annotation subject"/>
    <w:basedOn w:val="Textocomentario"/>
    <w:next w:val="Textocomentario"/>
    <w:link w:val="AsuntodelcomentarioCar"/>
    <w:uiPriority w:val="99"/>
    <w:semiHidden/>
    <w:unhideWhenUsed/>
    <w:rsid w:val="0089306F"/>
    <w:rPr>
      <w:b/>
      <w:bCs/>
    </w:rPr>
  </w:style>
  <w:style w:type="character" w:customStyle="1" w:styleId="AsuntodelcomentarioCar">
    <w:name w:val="Asunto del comentario Car"/>
    <w:basedOn w:val="TextocomentarioCar"/>
    <w:link w:val="Asuntodelcomentario"/>
    <w:uiPriority w:val="99"/>
    <w:semiHidden/>
    <w:rsid w:val="0089306F"/>
    <w:rPr>
      <w:b/>
      <w:bCs/>
      <w:sz w:val="20"/>
      <w:szCs w:val="20"/>
    </w:rPr>
  </w:style>
  <w:style w:type="paragraph" w:styleId="Encabezado">
    <w:name w:val="header"/>
    <w:basedOn w:val="Normal"/>
    <w:link w:val="EncabezadoCar"/>
    <w:uiPriority w:val="99"/>
    <w:unhideWhenUsed/>
    <w:rsid w:val="000A697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A6979"/>
  </w:style>
  <w:style w:type="paragraph" w:styleId="Piedepgina">
    <w:name w:val="footer"/>
    <w:basedOn w:val="Normal"/>
    <w:link w:val="PiedepginaCar"/>
    <w:uiPriority w:val="99"/>
    <w:unhideWhenUsed/>
    <w:rsid w:val="000A697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A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0EC5-B472-4E03-BED9-E9DDEFEF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dcterms:created xsi:type="dcterms:W3CDTF">2020-08-05T00:17:00Z</dcterms:created>
  <dcterms:modified xsi:type="dcterms:W3CDTF">2020-08-05T00:17:00Z</dcterms:modified>
</cp:coreProperties>
</file>