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4F48C" w14:textId="77777777" w:rsidR="006B013B" w:rsidRPr="00395069" w:rsidRDefault="006B013B" w:rsidP="009849CC">
      <w:pPr>
        <w:autoSpaceDE w:val="0"/>
        <w:autoSpaceDN w:val="0"/>
        <w:adjustRightInd w:val="0"/>
        <w:jc w:val="center"/>
        <w:rPr>
          <w:rFonts w:ascii="Verdana" w:hAnsi="Verdana" w:cs="Arial"/>
          <w:b/>
          <w:bCs/>
          <w:color w:val="000000"/>
          <w:spacing w:val="-4"/>
          <w:sz w:val="20"/>
          <w:szCs w:val="20"/>
          <w:lang w:val="es-CR"/>
        </w:rPr>
      </w:pPr>
    </w:p>
    <w:p w14:paraId="1F2817C8" w14:textId="26C22FC9" w:rsidR="00640948" w:rsidRPr="00072A39" w:rsidRDefault="00D86DFD" w:rsidP="00037189">
      <w:pPr>
        <w:autoSpaceDE w:val="0"/>
        <w:autoSpaceDN w:val="0"/>
        <w:adjustRightInd w:val="0"/>
        <w:jc w:val="center"/>
        <w:rPr>
          <w:rFonts w:ascii="Verdana" w:hAnsi="Verdana" w:cs="Arial"/>
          <w:b/>
          <w:bCs/>
          <w:color w:val="000000"/>
          <w:spacing w:val="-4"/>
          <w:sz w:val="20"/>
          <w:szCs w:val="20"/>
          <w:lang w:val="es-CR"/>
        </w:rPr>
      </w:pPr>
      <w:r w:rsidRPr="00072A39">
        <w:rPr>
          <w:rFonts w:ascii="Verdana" w:hAnsi="Verdana" w:cs="Arial"/>
          <w:b/>
          <w:bCs/>
          <w:color w:val="000000"/>
          <w:spacing w:val="-4"/>
          <w:sz w:val="20"/>
          <w:szCs w:val="20"/>
          <w:lang w:val="es-CR"/>
        </w:rPr>
        <w:t>VOTO</w:t>
      </w:r>
      <w:r w:rsidR="0088606F" w:rsidRPr="00072A39">
        <w:rPr>
          <w:rFonts w:ascii="Verdana" w:hAnsi="Verdana" w:cs="Arial"/>
          <w:b/>
          <w:bCs/>
          <w:color w:val="000000"/>
          <w:spacing w:val="-4"/>
          <w:sz w:val="20"/>
          <w:szCs w:val="20"/>
          <w:lang w:val="es-CR"/>
        </w:rPr>
        <w:t xml:space="preserve"> DISIDENTE</w:t>
      </w:r>
      <w:r w:rsidR="00037189" w:rsidRPr="00072A39">
        <w:rPr>
          <w:rFonts w:ascii="Verdana" w:hAnsi="Verdana" w:cs="Arial"/>
          <w:b/>
          <w:bCs/>
          <w:color w:val="000000"/>
          <w:spacing w:val="-4"/>
          <w:sz w:val="20"/>
          <w:szCs w:val="20"/>
          <w:lang w:val="es-CR"/>
        </w:rPr>
        <w:t xml:space="preserve"> DEL </w:t>
      </w:r>
      <w:r w:rsidRPr="00072A39">
        <w:rPr>
          <w:rFonts w:ascii="Verdana" w:hAnsi="Verdana" w:cs="Arial"/>
          <w:b/>
          <w:bCs/>
          <w:color w:val="000000"/>
          <w:spacing w:val="-4"/>
          <w:sz w:val="20"/>
          <w:szCs w:val="20"/>
          <w:lang w:val="es-CR"/>
        </w:rPr>
        <w:t xml:space="preserve">JUEZ </w:t>
      </w:r>
      <w:r w:rsidR="0088606F" w:rsidRPr="00072A39">
        <w:rPr>
          <w:rFonts w:ascii="Verdana" w:hAnsi="Verdana" w:cs="Arial"/>
          <w:b/>
          <w:bCs/>
          <w:color w:val="000000"/>
          <w:spacing w:val="-4"/>
          <w:sz w:val="20"/>
          <w:szCs w:val="20"/>
          <w:lang w:val="es-CR"/>
        </w:rPr>
        <w:t xml:space="preserve">EUGENIO RAÚL </w:t>
      </w:r>
      <w:r w:rsidRPr="00072A39">
        <w:rPr>
          <w:rFonts w:ascii="Verdana" w:hAnsi="Verdana" w:cs="Arial"/>
          <w:b/>
          <w:bCs/>
          <w:color w:val="000000"/>
          <w:spacing w:val="-4"/>
          <w:sz w:val="20"/>
          <w:szCs w:val="20"/>
          <w:lang w:val="es-CR"/>
        </w:rPr>
        <w:t>ZAFFARONI</w:t>
      </w:r>
    </w:p>
    <w:p w14:paraId="36AE1679" w14:textId="77777777" w:rsidR="0069388F" w:rsidRPr="00072A39" w:rsidRDefault="0069388F" w:rsidP="00D86DFD">
      <w:pPr>
        <w:autoSpaceDE w:val="0"/>
        <w:autoSpaceDN w:val="0"/>
        <w:adjustRightInd w:val="0"/>
        <w:rPr>
          <w:rFonts w:ascii="Verdana" w:hAnsi="Verdana" w:cs="Arial"/>
          <w:bCs/>
          <w:color w:val="000000"/>
          <w:spacing w:val="-4"/>
          <w:sz w:val="20"/>
          <w:szCs w:val="20"/>
          <w:lang w:val="es-CR"/>
        </w:rPr>
      </w:pPr>
    </w:p>
    <w:p w14:paraId="60252600" w14:textId="0A94F710" w:rsidR="00640948" w:rsidRPr="00072A39" w:rsidRDefault="00037189" w:rsidP="00640948">
      <w:pPr>
        <w:autoSpaceDE w:val="0"/>
        <w:autoSpaceDN w:val="0"/>
        <w:adjustRightInd w:val="0"/>
        <w:jc w:val="center"/>
        <w:rPr>
          <w:rFonts w:ascii="Verdana" w:hAnsi="Verdana" w:cs="Arial"/>
          <w:b/>
          <w:bCs/>
          <w:i/>
          <w:color w:val="000000"/>
          <w:spacing w:val="-4"/>
          <w:sz w:val="20"/>
          <w:szCs w:val="20"/>
          <w:lang w:val="es-CR"/>
        </w:rPr>
      </w:pPr>
      <w:r w:rsidRPr="00072A39">
        <w:rPr>
          <w:rFonts w:ascii="Verdana" w:hAnsi="Verdana" w:cs="Arial"/>
          <w:b/>
          <w:bCs/>
          <w:color w:val="000000"/>
          <w:spacing w:val="-4"/>
          <w:sz w:val="20"/>
          <w:szCs w:val="20"/>
          <w:lang w:val="es-CR"/>
        </w:rPr>
        <w:t xml:space="preserve">RESPECTO DE LA SOLICITUD DE MEDIDAS PROVISIONALES PRESENTADA EN EL </w:t>
      </w:r>
      <w:r w:rsidR="00640948" w:rsidRPr="00072A39">
        <w:rPr>
          <w:rFonts w:ascii="Verdana" w:hAnsi="Verdana" w:cs="Arial"/>
          <w:b/>
          <w:bCs/>
          <w:i/>
          <w:color w:val="000000"/>
          <w:spacing w:val="-4"/>
          <w:sz w:val="20"/>
          <w:szCs w:val="20"/>
          <w:lang w:val="es-CR"/>
        </w:rPr>
        <w:t xml:space="preserve">CASO DEL PENAL MIGUEL CASTRO </w:t>
      </w:r>
      <w:proofErr w:type="spellStart"/>
      <w:r w:rsidR="00640948" w:rsidRPr="00072A39">
        <w:rPr>
          <w:rFonts w:ascii="Verdana" w:hAnsi="Verdana" w:cs="Arial"/>
          <w:b/>
          <w:bCs/>
          <w:i/>
          <w:color w:val="000000"/>
          <w:spacing w:val="-4"/>
          <w:sz w:val="20"/>
          <w:szCs w:val="20"/>
          <w:lang w:val="es-CR"/>
        </w:rPr>
        <w:t>CASTRO</w:t>
      </w:r>
      <w:proofErr w:type="spellEnd"/>
      <w:r w:rsidR="00640948" w:rsidRPr="00072A39">
        <w:rPr>
          <w:rFonts w:ascii="Verdana" w:hAnsi="Verdana" w:cs="Arial"/>
          <w:b/>
          <w:bCs/>
          <w:i/>
          <w:color w:val="000000"/>
          <w:spacing w:val="-4"/>
          <w:sz w:val="20"/>
          <w:szCs w:val="20"/>
          <w:lang w:val="es-CR"/>
        </w:rPr>
        <w:t xml:space="preserve"> VS. PERÚ</w:t>
      </w:r>
    </w:p>
    <w:p w14:paraId="0FD6CD53" w14:textId="77777777" w:rsidR="00037189" w:rsidRPr="00072A39" w:rsidRDefault="00037189" w:rsidP="00640948">
      <w:pPr>
        <w:autoSpaceDE w:val="0"/>
        <w:autoSpaceDN w:val="0"/>
        <w:adjustRightInd w:val="0"/>
        <w:jc w:val="center"/>
        <w:rPr>
          <w:rFonts w:ascii="Verdana" w:hAnsi="Verdana" w:cs="Arial"/>
          <w:b/>
          <w:bCs/>
          <w:i/>
          <w:color w:val="000000"/>
          <w:spacing w:val="-4"/>
          <w:sz w:val="20"/>
          <w:szCs w:val="20"/>
          <w:lang w:val="es-CR"/>
        </w:rPr>
      </w:pPr>
    </w:p>
    <w:p w14:paraId="0C2FBFBF" w14:textId="77777777" w:rsidR="00640948" w:rsidRPr="00072A39" w:rsidRDefault="00640948" w:rsidP="00640948">
      <w:pPr>
        <w:autoSpaceDE w:val="0"/>
        <w:autoSpaceDN w:val="0"/>
        <w:adjustRightInd w:val="0"/>
        <w:jc w:val="both"/>
        <w:rPr>
          <w:rFonts w:ascii="Verdana" w:hAnsi="Verdana" w:cs="Arial"/>
          <w:b/>
          <w:bCs/>
          <w:color w:val="000000"/>
          <w:spacing w:val="-4"/>
          <w:sz w:val="20"/>
          <w:szCs w:val="20"/>
          <w:lang w:val="es-CR"/>
        </w:rPr>
      </w:pPr>
    </w:p>
    <w:p w14:paraId="224252F1" w14:textId="5465FB10" w:rsidR="00640948" w:rsidRPr="00072A39" w:rsidRDefault="00037189" w:rsidP="00C93FDF">
      <w:pPr>
        <w:autoSpaceDE w:val="0"/>
        <w:autoSpaceDN w:val="0"/>
        <w:adjustRightInd w:val="0"/>
        <w:jc w:val="both"/>
        <w:rPr>
          <w:rFonts w:ascii="Verdana" w:hAnsi="Verdana"/>
          <w:color w:val="000000"/>
          <w:sz w:val="20"/>
          <w:szCs w:val="20"/>
          <w:shd w:val="clear" w:color="auto" w:fill="FFFFFF"/>
        </w:rPr>
      </w:pPr>
      <w:r w:rsidRPr="00072A39">
        <w:rPr>
          <w:rFonts w:ascii="Verdana" w:hAnsi="Verdana"/>
          <w:color w:val="000000"/>
          <w:sz w:val="20"/>
          <w:szCs w:val="20"/>
          <w:shd w:val="clear" w:color="auto" w:fill="FFFFFF"/>
        </w:rPr>
        <w:t>Disiento con el criterio de mayoría, debido a que considero que la Corte debió ordenar medidas provisionales, en los términos de los artículos 63.2 de la Convención Americana y 27 de su Reglamento, a favor de las cinco víctimas para las cuales se planteó la solicitud.</w:t>
      </w:r>
      <w:r w:rsidR="001E277C" w:rsidRPr="00072A39">
        <w:rPr>
          <w:rFonts w:ascii="Verdana" w:hAnsi="Verdana"/>
          <w:color w:val="000000"/>
          <w:sz w:val="20"/>
          <w:szCs w:val="20"/>
          <w:shd w:val="clear" w:color="auto" w:fill="FFFFFF"/>
        </w:rPr>
        <w:t xml:space="preserve"> Toda vez que estas cinco personas se encuentran ante una situación de urgencia, gravedad y eventual </w:t>
      </w:r>
      <w:proofErr w:type="spellStart"/>
      <w:r w:rsidR="001E277C" w:rsidRPr="00072A39">
        <w:rPr>
          <w:rFonts w:ascii="Verdana" w:hAnsi="Verdana"/>
          <w:color w:val="000000"/>
          <w:sz w:val="20"/>
          <w:szCs w:val="20"/>
          <w:shd w:val="clear" w:color="auto" w:fill="FFFFFF"/>
        </w:rPr>
        <w:t>irreparabilidad</w:t>
      </w:r>
      <w:proofErr w:type="spellEnd"/>
      <w:r w:rsidR="001E277C" w:rsidRPr="00072A39">
        <w:rPr>
          <w:rFonts w:ascii="Verdana" w:hAnsi="Verdana"/>
          <w:color w:val="000000"/>
          <w:sz w:val="20"/>
          <w:szCs w:val="20"/>
          <w:shd w:val="clear" w:color="auto" w:fill="FFFFFF"/>
        </w:rPr>
        <w:t>, si</w:t>
      </w:r>
      <w:r w:rsidR="00C93FDF" w:rsidRPr="00072A39">
        <w:rPr>
          <w:rFonts w:ascii="Verdana" w:hAnsi="Verdana"/>
          <w:color w:val="000000"/>
          <w:sz w:val="20"/>
          <w:szCs w:val="20"/>
          <w:shd w:val="clear" w:color="auto" w:fill="FFFFFF"/>
        </w:rPr>
        <w:t xml:space="preserve"> </w:t>
      </w:r>
      <w:r w:rsidR="001E277C" w:rsidRPr="00072A39">
        <w:rPr>
          <w:rFonts w:ascii="Verdana" w:hAnsi="Verdana"/>
          <w:color w:val="000000"/>
          <w:sz w:val="20"/>
          <w:szCs w:val="20"/>
          <w:shd w:val="clear" w:color="auto" w:fill="FFFFFF"/>
        </w:rPr>
        <w:t>no se toman medidas concretas. A mi modo de ver, l</w:t>
      </w:r>
      <w:r w:rsidRPr="00072A39">
        <w:rPr>
          <w:rFonts w:ascii="Verdana" w:hAnsi="Verdana"/>
          <w:color w:val="000000"/>
          <w:sz w:val="20"/>
          <w:szCs w:val="20"/>
          <w:shd w:val="clear" w:color="auto" w:fill="FFFFFF"/>
        </w:rPr>
        <w:t>as partes considerativas y resolutivas de la Resolución debieron indicar lo siguiente:</w:t>
      </w:r>
    </w:p>
    <w:p w14:paraId="2C0FF484" w14:textId="77777777" w:rsidR="00633FF5" w:rsidRPr="00E73E9E" w:rsidRDefault="00633FF5" w:rsidP="00640948">
      <w:pPr>
        <w:autoSpaceDE w:val="0"/>
        <w:autoSpaceDN w:val="0"/>
        <w:adjustRightInd w:val="0"/>
        <w:jc w:val="both"/>
        <w:rPr>
          <w:rFonts w:ascii="Verdana" w:eastAsiaTheme="minorHAnsi" w:hAnsi="Verdana" w:cs="Verdana"/>
          <w:color w:val="000000"/>
          <w:spacing w:val="-4"/>
          <w:sz w:val="20"/>
          <w:szCs w:val="20"/>
          <w:lang w:val="es-ES"/>
        </w:rPr>
      </w:pPr>
    </w:p>
    <w:p w14:paraId="2015469A" w14:textId="69DE1CB3" w:rsidR="00E53316" w:rsidRPr="00072A39" w:rsidRDefault="00E53316" w:rsidP="00C93FDF">
      <w:pPr>
        <w:pStyle w:val="Prrafodelista"/>
        <w:numPr>
          <w:ilvl w:val="0"/>
          <w:numId w:val="24"/>
        </w:numPr>
        <w:jc w:val="both"/>
        <w:rPr>
          <w:rFonts w:ascii="Verdana" w:hAnsi="Verdana"/>
          <w:b/>
          <w:i/>
          <w:spacing w:val="-4"/>
          <w:sz w:val="20"/>
          <w:szCs w:val="20"/>
          <w:lang w:val="es-CR"/>
        </w:rPr>
      </w:pPr>
      <w:r w:rsidRPr="00072A39">
        <w:rPr>
          <w:rFonts w:ascii="Verdana" w:hAnsi="Verdana"/>
          <w:b/>
          <w:i/>
          <w:spacing w:val="-4"/>
          <w:sz w:val="20"/>
          <w:szCs w:val="20"/>
          <w:lang w:val="es-CR"/>
        </w:rPr>
        <w:t xml:space="preserve">Consideraciones de la </w:t>
      </w:r>
      <w:r w:rsidR="0030110F" w:rsidRPr="00072A39">
        <w:rPr>
          <w:rFonts w:ascii="Verdana" w:hAnsi="Verdana"/>
          <w:b/>
          <w:i/>
          <w:spacing w:val="-4"/>
          <w:sz w:val="20"/>
          <w:szCs w:val="20"/>
          <w:lang w:val="es-CR"/>
        </w:rPr>
        <w:t>Corte</w:t>
      </w:r>
      <w:r w:rsidR="00531A15" w:rsidRPr="00072A39">
        <w:rPr>
          <w:rFonts w:ascii="Verdana" w:hAnsi="Verdana"/>
          <w:b/>
          <w:i/>
          <w:spacing w:val="-4"/>
          <w:sz w:val="20"/>
          <w:szCs w:val="20"/>
          <w:lang w:val="es-CR"/>
        </w:rPr>
        <w:t xml:space="preserve"> respecto de la solicitud de medidas provisionales</w:t>
      </w:r>
    </w:p>
    <w:p w14:paraId="3AB834B1" w14:textId="77777777" w:rsidR="00803FA4" w:rsidRPr="00072A39" w:rsidRDefault="00803FA4" w:rsidP="00A318AB">
      <w:pPr>
        <w:pStyle w:val="Prrafodelista"/>
        <w:autoSpaceDE w:val="0"/>
        <w:autoSpaceDN w:val="0"/>
        <w:adjustRightInd w:val="0"/>
        <w:spacing w:after="0" w:line="240" w:lineRule="auto"/>
        <w:ind w:left="0"/>
        <w:jc w:val="both"/>
        <w:rPr>
          <w:rFonts w:ascii="Verdana" w:hAnsi="Verdana"/>
          <w:color w:val="00B050"/>
          <w:spacing w:val="-4"/>
          <w:sz w:val="8"/>
          <w:szCs w:val="20"/>
          <w:lang w:val="es-ES"/>
        </w:rPr>
      </w:pPr>
    </w:p>
    <w:p w14:paraId="363DE718" w14:textId="7010E4B2" w:rsidR="004C396F" w:rsidRPr="00B70AD3" w:rsidRDefault="00DD4A00" w:rsidP="004C396F">
      <w:pPr>
        <w:pStyle w:val="Prrafodelista"/>
        <w:numPr>
          <w:ilvl w:val="0"/>
          <w:numId w:val="25"/>
        </w:numPr>
        <w:autoSpaceDE w:val="0"/>
        <w:autoSpaceDN w:val="0"/>
        <w:adjustRightInd w:val="0"/>
        <w:spacing w:after="0" w:line="240" w:lineRule="auto"/>
        <w:ind w:left="0" w:firstLine="0"/>
        <w:jc w:val="both"/>
        <w:rPr>
          <w:rFonts w:ascii="Verdana" w:hAnsi="Verdana"/>
          <w:spacing w:val="-4"/>
          <w:sz w:val="20"/>
          <w:szCs w:val="20"/>
          <w:lang w:val="es-ES"/>
        </w:rPr>
      </w:pPr>
      <w:bookmarkStart w:id="0" w:name="_Ref46157368"/>
      <w:r w:rsidRPr="004C396F">
        <w:rPr>
          <w:rFonts w:ascii="Verdana" w:hAnsi="Verdana"/>
          <w:spacing w:val="-4"/>
          <w:sz w:val="20"/>
          <w:szCs w:val="20"/>
          <w:lang w:val="es-ES"/>
        </w:rPr>
        <w:t xml:space="preserve">La </w:t>
      </w:r>
      <w:r w:rsidRPr="004C396F">
        <w:rPr>
          <w:rFonts w:ascii="Verdana" w:hAnsi="Verdana" w:cs="Verdana"/>
          <w:color w:val="000000"/>
          <w:spacing w:val="-4"/>
          <w:sz w:val="20"/>
          <w:szCs w:val="20"/>
          <w:lang w:val="es-ES"/>
        </w:rPr>
        <w:t>solicitud</w:t>
      </w:r>
      <w:r w:rsidRPr="004C396F">
        <w:rPr>
          <w:rFonts w:ascii="Verdana" w:hAnsi="Verdana"/>
          <w:spacing w:val="-4"/>
          <w:sz w:val="20"/>
          <w:szCs w:val="20"/>
          <w:lang w:val="es-ES"/>
        </w:rPr>
        <w:t xml:space="preserve"> presentada busca proteger los derechos a la salud, a la integridad personal, y a la vida de “cuatro víctimas y un familiar” del </w:t>
      </w:r>
      <w:r w:rsidRPr="004C396F">
        <w:rPr>
          <w:rFonts w:ascii="Verdana" w:hAnsi="Verdana"/>
          <w:i/>
          <w:spacing w:val="-4"/>
          <w:sz w:val="20"/>
          <w:szCs w:val="20"/>
          <w:lang w:val="es-ES"/>
        </w:rPr>
        <w:t xml:space="preserve">caso Penal Miguel Castro </w:t>
      </w:r>
      <w:proofErr w:type="spellStart"/>
      <w:r w:rsidRPr="004C396F">
        <w:rPr>
          <w:rFonts w:ascii="Verdana" w:hAnsi="Verdana"/>
          <w:i/>
          <w:spacing w:val="-4"/>
          <w:sz w:val="20"/>
          <w:szCs w:val="20"/>
          <w:lang w:val="es-ES"/>
        </w:rPr>
        <w:t>Castro</w:t>
      </w:r>
      <w:proofErr w:type="spellEnd"/>
      <w:r w:rsidRPr="004C396F">
        <w:rPr>
          <w:rFonts w:ascii="Verdana" w:hAnsi="Verdana"/>
          <w:i/>
          <w:spacing w:val="-4"/>
          <w:sz w:val="20"/>
          <w:szCs w:val="20"/>
          <w:lang w:val="es-ES"/>
        </w:rPr>
        <w:t xml:space="preserve"> </w:t>
      </w:r>
      <w:r w:rsidRPr="004C396F">
        <w:rPr>
          <w:rFonts w:ascii="Verdana" w:hAnsi="Verdana"/>
          <w:spacing w:val="-4"/>
          <w:sz w:val="20"/>
          <w:szCs w:val="20"/>
          <w:lang w:val="es-ES"/>
        </w:rPr>
        <w:t xml:space="preserve">que se encuentran en tres establecimientos penales del Perú, a raíz de la supuesta falta de adopción de medidas adecuadas por parte del Estado en el marco de la pandemia de </w:t>
      </w:r>
      <w:r w:rsidRPr="00B70AD3">
        <w:rPr>
          <w:rFonts w:ascii="Verdana" w:hAnsi="Verdana"/>
          <w:spacing w:val="-4"/>
          <w:sz w:val="20"/>
          <w:szCs w:val="20"/>
          <w:lang w:val="es-ES"/>
        </w:rPr>
        <w:t>COVID-19. Dado que el caso se encuentra actualmente en etapa de supervisión de cumplimiento de Sentencia, fundamentan lo requerido en el artículo 27.3 del Reglamento del Tribunal en la relación de estos hechos con la medida de tratamiento médico y psicológico ordenada en la Sentencia</w:t>
      </w:r>
      <w:r w:rsidR="00803FA4" w:rsidRPr="00B70AD3">
        <w:rPr>
          <w:rFonts w:ascii="Verdana" w:hAnsi="Verdana"/>
          <w:spacing w:val="-4"/>
          <w:sz w:val="20"/>
          <w:szCs w:val="20"/>
          <w:lang w:val="es-ES"/>
        </w:rPr>
        <w:t xml:space="preserve"> (</w:t>
      </w:r>
      <w:r w:rsidR="00803FA4" w:rsidRPr="00B70AD3">
        <w:rPr>
          <w:rFonts w:ascii="Verdana" w:hAnsi="Verdana"/>
          <w:i/>
          <w:spacing w:val="-4"/>
          <w:sz w:val="20"/>
          <w:szCs w:val="20"/>
          <w:lang w:val="es-ES"/>
        </w:rPr>
        <w:t xml:space="preserve">supra </w:t>
      </w:r>
      <w:r w:rsidR="00803FA4" w:rsidRPr="00B70AD3">
        <w:rPr>
          <w:rFonts w:ascii="Verdana" w:hAnsi="Verdana"/>
          <w:spacing w:val="-4"/>
          <w:sz w:val="20"/>
          <w:szCs w:val="20"/>
          <w:lang w:val="es-ES"/>
        </w:rPr>
        <w:t xml:space="preserve">Considerando </w:t>
      </w:r>
      <w:r w:rsidR="001D767C">
        <w:rPr>
          <w:rFonts w:ascii="Verdana" w:hAnsi="Verdana"/>
          <w:spacing w:val="-4"/>
          <w:sz w:val="20"/>
          <w:szCs w:val="20"/>
          <w:lang w:val="es-ES"/>
        </w:rPr>
        <w:t>2</w:t>
      </w:r>
      <w:r w:rsidR="00080D85" w:rsidRPr="00B70AD3">
        <w:rPr>
          <w:rFonts w:ascii="Verdana" w:hAnsi="Verdana"/>
          <w:spacing w:val="-4"/>
          <w:sz w:val="20"/>
          <w:szCs w:val="20"/>
          <w:lang w:val="es-ES"/>
        </w:rPr>
        <w:t xml:space="preserve"> de la Resolución</w:t>
      </w:r>
      <w:r w:rsidR="00803FA4" w:rsidRPr="00B70AD3">
        <w:rPr>
          <w:rFonts w:ascii="Verdana" w:hAnsi="Verdana"/>
          <w:spacing w:val="-4"/>
          <w:sz w:val="20"/>
          <w:szCs w:val="20"/>
          <w:lang w:val="es-ES"/>
        </w:rPr>
        <w:t>)</w:t>
      </w:r>
      <w:bookmarkEnd w:id="0"/>
      <w:r w:rsidR="00803FA4" w:rsidRPr="00B70AD3">
        <w:rPr>
          <w:rFonts w:ascii="Verdana" w:hAnsi="Verdana"/>
          <w:spacing w:val="-4"/>
          <w:sz w:val="20"/>
          <w:szCs w:val="20"/>
          <w:lang w:val="es-ES"/>
        </w:rPr>
        <w:t>.</w:t>
      </w:r>
    </w:p>
    <w:p w14:paraId="315ADB91" w14:textId="77777777" w:rsidR="004C396F" w:rsidRPr="00B70AD3" w:rsidRDefault="004C396F" w:rsidP="004C396F">
      <w:pPr>
        <w:pStyle w:val="Prrafodelista"/>
        <w:autoSpaceDE w:val="0"/>
        <w:autoSpaceDN w:val="0"/>
        <w:adjustRightInd w:val="0"/>
        <w:spacing w:after="0" w:line="240" w:lineRule="auto"/>
        <w:ind w:left="0"/>
        <w:jc w:val="both"/>
        <w:rPr>
          <w:rFonts w:ascii="Verdana" w:hAnsi="Verdana"/>
          <w:spacing w:val="-4"/>
          <w:sz w:val="20"/>
          <w:szCs w:val="20"/>
          <w:lang w:val="es-ES"/>
        </w:rPr>
      </w:pPr>
    </w:p>
    <w:p w14:paraId="05E4FA2D" w14:textId="77777777" w:rsidR="0006137A" w:rsidRPr="00B70AD3" w:rsidRDefault="004C396F" w:rsidP="0006137A">
      <w:pPr>
        <w:pStyle w:val="Prrafodelista"/>
        <w:numPr>
          <w:ilvl w:val="0"/>
          <w:numId w:val="25"/>
        </w:numPr>
        <w:autoSpaceDE w:val="0"/>
        <w:autoSpaceDN w:val="0"/>
        <w:adjustRightInd w:val="0"/>
        <w:spacing w:after="0" w:line="240" w:lineRule="auto"/>
        <w:ind w:left="0" w:firstLine="0"/>
        <w:jc w:val="both"/>
        <w:rPr>
          <w:rFonts w:ascii="Verdana" w:hAnsi="Verdana"/>
          <w:spacing w:val="-4"/>
          <w:sz w:val="20"/>
          <w:szCs w:val="20"/>
          <w:lang w:val="es-ES"/>
        </w:rPr>
      </w:pPr>
      <w:r w:rsidRPr="00B70AD3">
        <w:rPr>
          <w:rFonts w:ascii="Verdana" w:eastAsia="Verdana" w:hAnsi="Verdana" w:cs="Verdana"/>
          <w:spacing w:val="-4"/>
          <w:sz w:val="20"/>
          <w:szCs w:val="20"/>
          <w:lang w:val="es-CR"/>
        </w:rPr>
        <w:t xml:space="preserve">Este </w:t>
      </w:r>
      <w:r w:rsidRPr="00B70AD3">
        <w:rPr>
          <w:rFonts w:ascii="Verdana" w:hAnsi="Verdana"/>
          <w:spacing w:val="-4"/>
          <w:sz w:val="20"/>
          <w:szCs w:val="20"/>
          <w:lang w:val="es-ES"/>
        </w:rPr>
        <w:t>Tribunal</w:t>
      </w:r>
      <w:r w:rsidRPr="00B70AD3">
        <w:rPr>
          <w:rFonts w:ascii="Verdana" w:eastAsia="Verdana" w:hAnsi="Verdana" w:cs="Verdana"/>
          <w:spacing w:val="-4"/>
          <w:sz w:val="20"/>
          <w:szCs w:val="20"/>
          <w:lang w:val="es-CR"/>
        </w:rPr>
        <w:t xml:space="preserve"> considera que se configura el requisito previsto </w:t>
      </w:r>
      <w:r w:rsidRPr="00B70AD3">
        <w:rPr>
          <w:rFonts w:ascii="Verdana" w:eastAsia="Calibri" w:hAnsi="Verdana" w:cs="Verdana"/>
          <w:color w:val="000000"/>
          <w:spacing w:val="-4"/>
          <w:sz w:val="20"/>
          <w:szCs w:val="20"/>
          <w:lang w:val="es-CR"/>
        </w:rPr>
        <w:t xml:space="preserve">en el artículo 27.3 del Reglamento de la Corte </w:t>
      </w:r>
      <w:r w:rsidRPr="00B70AD3">
        <w:rPr>
          <w:rFonts w:ascii="Verdana" w:eastAsia="Verdana" w:hAnsi="Verdana" w:cs="Verdana"/>
          <w:spacing w:val="-4"/>
          <w:sz w:val="20"/>
          <w:szCs w:val="20"/>
          <w:lang w:val="es-CR"/>
        </w:rPr>
        <w:t>relativo a que la solicitud de las medidas provisionales tenga “relación con el objeto del caso”, en tanto se refiere a la ejecución de la medida de reparación ordenada en el punto resolutivo décimo tercero de la Sentencia respecto de cinco víctimas</w:t>
      </w:r>
      <w:r w:rsidRPr="00B70AD3">
        <w:rPr>
          <w:rStyle w:val="Refdenotaalpie"/>
          <w:rFonts w:eastAsia="Verdana" w:cs="Verdana"/>
          <w:spacing w:val="-4"/>
          <w:szCs w:val="20"/>
          <w:lang w:val="es-CR"/>
        </w:rPr>
        <w:footnoteReference w:id="1"/>
      </w:r>
      <w:r w:rsidRPr="00B70AD3">
        <w:rPr>
          <w:rFonts w:ascii="Verdana" w:eastAsia="Verdana" w:hAnsi="Verdana" w:cs="Verdana"/>
          <w:spacing w:val="-4"/>
          <w:sz w:val="20"/>
          <w:szCs w:val="20"/>
          <w:lang w:val="es-CR"/>
        </w:rPr>
        <w:t xml:space="preserve">. </w:t>
      </w:r>
    </w:p>
    <w:p w14:paraId="487B2FA9" w14:textId="77777777" w:rsidR="0006137A" w:rsidRPr="0006137A" w:rsidRDefault="0006137A" w:rsidP="0006137A">
      <w:pPr>
        <w:pStyle w:val="Prrafodelista"/>
        <w:rPr>
          <w:rFonts w:ascii="Verdana" w:eastAsia="Verdana" w:hAnsi="Verdana" w:cs="Verdana"/>
          <w:spacing w:val="-4"/>
          <w:sz w:val="20"/>
          <w:szCs w:val="20"/>
          <w:lang w:val="es-CR"/>
        </w:rPr>
      </w:pPr>
    </w:p>
    <w:p w14:paraId="04F5FA9B" w14:textId="7C4D19DB" w:rsidR="00E73E9E" w:rsidRPr="009C7E1C" w:rsidRDefault="0006137A" w:rsidP="00E73E9E">
      <w:pPr>
        <w:pStyle w:val="Prrafodelista"/>
        <w:numPr>
          <w:ilvl w:val="0"/>
          <w:numId w:val="25"/>
        </w:numPr>
        <w:autoSpaceDE w:val="0"/>
        <w:autoSpaceDN w:val="0"/>
        <w:adjustRightInd w:val="0"/>
        <w:spacing w:after="0" w:line="240" w:lineRule="auto"/>
        <w:ind w:left="0" w:firstLine="0"/>
        <w:jc w:val="both"/>
        <w:rPr>
          <w:rFonts w:ascii="Verdana" w:hAnsi="Verdana"/>
          <w:spacing w:val="-4"/>
          <w:sz w:val="20"/>
          <w:szCs w:val="20"/>
          <w:lang w:val="es-ES"/>
        </w:rPr>
      </w:pPr>
      <w:r w:rsidRPr="0006137A">
        <w:rPr>
          <w:rFonts w:ascii="Verdana" w:eastAsia="Verdana" w:hAnsi="Verdana" w:cs="Verdana"/>
          <w:spacing w:val="-4"/>
          <w:sz w:val="20"/>
          <w:szCs w:val="20"/>
          <w:lang w:val="es-CR"/>
        </w:rPr>
        <w:t xml:space="preserve">La Corte ha considerado, como regla general, que </w:t>
      </w:r>
      <w:r w:rsidRPr="0006137A">
        <w:rPr>
          <w:rFonts w:ascii="Verdana" w:hAnsi="Verdana"/>
          <w:spacing w:val="-4"/>
          <w:sz w:val="20"/>
          <w:szCs w:val="20"/>
          <w:lang w:val="es-AR"/>
        </w:rPr>
        <w:t xml:space="preserve">la valoración de información relacionada con el cumplimiento de medidas de reparación ordenadas en la </w:t>
      </w:r>
      <w:r w:rsidRPr="0006137A">
        <w:rPr>
          <w:rFonts w:ascii="Verdana" w:eastAsia="Verdana" w:hAnsi="Verdana" w:cs="Verdana"/>
          <w:spacing w:val="-4"/>
          <w:sz w:val="20"/>
          <w:szCs w:val="20"/>
          <w:lang w:val="es-CR"/>
        </w:rPr>
        <w:t>Sentencia</w:t>
      </w:r>
      <w:r w:rsidRPr="0006137A">
        <w:rPr>
          <w:rFonts w:ascii="Verdana" w:hAnsi="Verdana"/>
          <w:spacing w:val="-4"/>
          <w:sz w:val="20"/>
          <w:szCs w:val="20"/>
          <w:lang w:val="es-AR"/>
        </w:rPr>
        <w:t xml:space="preserve"> debe ser evaluada en el marco de la supervisión de cumplimiento de Sentencia. Así lo ha entendido en múltiples casos</w:t>
      </w:r>
      <w:r w:rsidRPr="003F0B58">
        <w:rPr>
          <w:rStyle w:val="Refdenotaalpie"/>
          <w:spacing w:val="-4"/>
          <w:sz w:val="20"/>
          <w:szCs w:val="20"/>
        </w:rPr>
        <w:footnoteReference w:id="2"/>
      </w:r>
      <w:r w:rsidRPr="0006137A">
        <w:rPr>
          <w:rFonts w:ascii="Verdana" w:hAnsi="Verdana"/>
          <w:spacing w:val="-4"/>
          <w:sz w:val="20"/>
          <w:szCs w:val="20"/>
          <w:lang w:val="es-AR"/>
        </w:rPr>
        <w:t xml:space="preserve">. Sin embargo, de forma excepcional ha adoptado </w:t>
      </w:r>
      <w:r w:rsidRPr="0006137A">
        <w:rPr>
          <w:rFonts w:ascii="Verdana" w:hAnsi="Verdana"/>
          <w:spacing w:val="-4"/>
          <w:sz w:val="20"/>
          <w:szCs w:val="20"/>
          <w:lang w:val="es-AR"/>
        </w:rPr>
        <w:lastRenderedPageBreak/>
        <w:t>medidas provisionales ante condiciones de particular gravedad</w:t>
      </w:r>
      <w:r w:rsidRPr="003F0B58">
        <w:rPr>
          <w:rStyle w:val="Refdenotaalpie"/>
          <w:spacing w:val="-4"/>
        </w:rPr>
        <w:footnoteReference w:id="3"/>
      </w:r>
      <w:r w:rsidRPr="0006137A">
        <w:rPr>
          <w:rFonts w:ascii="Verdana" w:hAnsi="Verdana"/>
          <w:spacing w:val="-4"/>
          <w:sz w:val="20"/>
          <w:szCs w:val="20"/>
          <w:lang w:val="es-AR"/>
        </w:rPr>
        <w:t xml:space="preserve">. En este caso, el Tribunal estima que se configuran condiciones excepcionales que ameritan proceder a examinar si se cumplen los requisitos para la adopción de medidas provisionales al constatar que se trata de alegados hechos relativos a la falta de atención médica adecuada de las referidas cinco víctimas, quienes se encuentran privadas de su libertad en centros penitenciarios, lo cual, en el contexto generado por la pandemia de la enfermedad denominada COVID-19, pondría en mayor riesgo su salud, integridad personal y vida. La situación descrita en la solicitud podría ameritar la adopción de medidas a favor de personas en situación de vulnerabilidad, como lo son las personas privadas de la libertad y las personas mayores, la cual se ve incrementada por la pandemia y que, consecuentemente, amerita particular protección por el Estado. Así lo hizo notar la Corte en su </w:t>
      </w:r>
      <w:r w:rsidRPr="0006137A">
        <w:rPr>
          <w:rFonts w:ascii="Verdana" w:hAnsi="Verdana" w:cs="Calibri"/>
          <w:spacing w:val="-4"/>
          <w:sz w:val="20"/>
          <w:szCs w:val="20"/>
          <w:lang w:val="es-MX"/>
        </w:rPr>
        <w:t xml:space="preserve">Declaración No. 1/20 titulada </w:t>
      </w:r>
      <w:r w:rsidRPr="0006137A">
        <w:rPr>
          <w:rFonts w:ascii="Verdana" w:hAnsi="Verdana" w:cs="Calibri"/>
          <w:i/>
          <w:iCs/>
          <w:spacing w:val="-4"/>
          <w:sz w:val="20"/>
          <w:szCs w:val="20"/>
          <w:lang w:val="es-MX"/>
        </w:rPr>
        <w:t>“</w:t>
      </w:r>
      <w:r w:rsidRPr="0006137A">
        <w:rPr>
          <w:rFonts w:ascii="Verdana" w:hAnsi="Verdana" w:cs="Calibri"/>
          <w:i/>
          <w:iCs/>
          <w:spacing w:val="-4"/>
          <w:sz w:val="20"/>
          <w:szCs w:val="20"/>
          <w:lang w:val="es-CR"/>
        </w:rPr>
        <w:t>COVID-19 y Derechos Humanos: los problemas y desafíos deben ser abordados con perspectiva de derechos humanos y respetando las obligaciones internacionales”</w:t>
      </w:r>
      <w:bookmarkStart w:id="1" w:name="_Ref47033641"/>
      <w:r w:rsidRPr="003F0B58">
        <w:rPr>
          <w:rStyle w:val="Refdenotaalpie"/>
          <w:rFonts w:cs="Calibri"/>
          <w:spacing w:val="-4"/>
          <w:szCs w:val="20"/>
          <w:lang w:val="es-CR"/>
        </w:rPr>
        <w:footnoteReference w:id="4"/>
      </w:r>
      <w:bookmarkEnd w:id="1"/>
      <w:r w:rsidRPr="0006137A">
        <w:rPr>
          <w:rFonts w:ascii="Verdana" w:hAnsi="Verdana"/>
          <w:spacing w:val="-4"/>
          <w:sz w:val="20"/>
          <w:szCs w:val="20"/>
          <w:lang w:val="es-AR"/>
        </w:rPr>
        <w:t xml:space="preserve">. </w:t>
      </w:r>
      <w:r w:rsidRPr="0006137A">
        <w:rPr>
          <w:rFonts w:ascii="Verdana" w:hAnsi="Verdana"/>
          <w:spacing w:val="-4"/>
          <w:sz w:val="20"/>
          <w:szCs w:val="20"/>
          <w:lang w:val="es-CR"/>
        </w:rPr>
        <w:t>Esta situación de salud pública mundial, como es la pandemia del COVID-19, ha producido que los Estados adopten una serie de medidas para hacer frente a esta crisis, lo cual ha ocasionado la afectación de una serie de derechos en cuanto a su ejercicio y goce.</w:t>
      </w:r>
      <w:bookmarkStart w:id="2" w:name="_Ref46241511"/>
    </w:p>
    <w:p w14:paraId="34E5D5AE" w14:textId="77777777" w:rsidR="009C7E1C" w:rsidRPr="00E73E9E" w:rsidRDefault="009C7E1C" w:rsidP="009C7E1C">
      <w:pPr>
        <w:pStyle w:val="Prrafodelista"/>
        <w:autoSpaceDE w:val="0"/>
        <w:autoSpaceDN w:val="0"/>
        <w:adjustRightInd w:val="0"/>
        <w:spacing w:after="0" w:line="240" w:lineRule="auto"/>
        <w:ind w:left="0"/>
        <w:jc w:val="both"/>
        <w:rPr>
          <w:rFonts w:ascii="Verdana" w:hAnsi="Verdana"/>
          <w:spacing w:val="-4"/>
          <w:sz w:val="20"/>
          <w:szCs w:val="20"/>
          <w:lang w:val="es-ES"/>
        </w:rPr>
      </w:pPr>
    </w:p>
    <w:p w14:paraId="1FB87296" w14:textId="4F6A66B5" w:rsidR="00075FDE" w:rsidRPr="00075FDE" w:rsidRDefault="00E73E9E" w:rsidP="00075FDE">
      <w:pPr>
        <w:pStyle w:val="Prrafodelista"/>
        <w:numPr>
          <w:ilvl w:val="0"/>
          <w:numId w:val="25"/>
        </w:numPr>
        <w:autoSpaceDE w:val="0"/>
        <w:autoSpaceDN w:val="0"/>
        <w:adjustRightInd w:val="0"/>
        <w:spacing w:after="0" w:line="240" w:lineRule="auto"/>
        <w:ind w:left="0" w:firstLine="0"/>
        <w:jc w:val="both"/>
        <w:rPr>
          <w:rFonts w:ascii="Verdana" w:hAnsi="Verdana"/>
          <w:spacing w:val="-4"/>
          <w:sz w:val="20"/>
          <w:szCs w:val="20"/>
          <w:lang w:val="es-ES"/>
        </w:rPr>
      </w:pPr>
      <w:r w:rsidRPr="00E73E9E">
        <w:rPr>
          <w:rFonts w:ascii="Verdana" w:hAnsi="Verdana"/>
          <w:spacing w:val="-4"/>
          <w:sz w:val="20"/>
          <w:szCs w:val="20"/>
          <w:lang w:val="es-AR"/>
        </w:rPr>
        <w:t>Con respecto al argumento del Estado relativo a la existencia de una “duplicidad” de procedimientos ante el Sistema Interamericano (</w:t>
      </w:r>
      <w:r w:rsidRPr="00E73E9E">
        <w:rPr>
          <w:rFonts w:ascii="Verdana" w:hAnsi="Verdana"/>
          <w:i/>
          <w:spacing w:val="-4"/>
          <w:sz w:val="20"/>
          <w:szCs w:val="20"/>
          <w:lang w:val="es-AR"/>
        </w:rPr>
        <w:t xml:space="preserve">supra </w:t>
      </w:r>
      <w:r w:rsidRPr="00E73E9E">
        <w:rPr>
          <w:rFonts w:ascii="Verdana" w:hAnsi="Verdana"/>
          <w:spacing w:val="-4"/>
          <w:sz w:val="20"/>
          <w:szCs w:val="20"/>
          <w:lang w:val="es-AR"/>
        </w:rPr>
        <w:t>Considerando 16</w:t>
      </w:r>
      <w:r>
        <w:rPr>
          <w:rFonts w:ascii="Verdana" w:hAnsi="Verdana"/>
          <w:spacing w:val="-4"/>
          <w:sz w:val="20"/>
          <w:szCs w:val="20"/>
          <w:lang w:val="es-AR"/>
        </w:rPr>
        <w:t xml:space="preserve"> de la Resolución</w:t>
      </w:r>
      <w:r w:rsidRPr="00E73E9E">
        <w:rPr>
          <w:rFonts w:ascii="Verdana" w:hAnsi="Verdana"/>
          <w:spacing w:val="-4"/>
          <w:sz w:val="20"/>
          <w:szCs w:val="20"/>
          <w:lang w:val="es-AR"/>
        </w:rPr>
        <w:t xml:space="preserve">), esta Corte nota que </w:t>
      </w:r>
      <w:r w:rsidRPr="00E73E9E">
        <w:rPr>
          <w:rFonts w:ascii="Verdana" w:hAnsi="Verdana"/>
          <w:spacing w:val="-4"/>
          <w:sz w:val="20"/>
          <w:szCs w:val="20"/>
          <w:lang w:val="es-CR"/>
        </w:rPr>
        <w:t xml:space="preserve">la Comisión no ha indicado cuándo prevé resolver las solicitudes interpuestas </w:t>
      </w:r>
      <w:r w:rsidRPr="000846A4">
        <w:rPr>
          <w:rFonts w:ascii="Verdana" w:hAnsi="Verdana"/>
          <w:spacing w:val="-4"/>
          <w:sz w:val="20"/>
          <w:szCs w:val="20"/>
          <w:lang w:val="es-CR"/>
        </w:rPr>
        <w:t>(</w:t>
      </w:r>
      <w:r w:rsidRPr="000846A4">
        <w:rPr>
          <w:rFonts w:ascii="Verdana" w:hAnsi="Verdana"/>
          <w:i/>
          <w:iCs/>
          <w:spacing w:val="-4"/>
          <w:sz w:val="20"/>
          <w:szCs w:val="20"/>
          <w:lang w:val="es-CR"/>
        </w:rPr>
        <w:t xml:space="preserve">supra </w:t>
      </w:r>
      <w:r w:rsidRPr="000846A4">
        <w:rPr>
          <w:rFonts w:ascii="Verdana" w:hAnsi="Verdana"/>
          <w:spacing w:val="-4"/>
          <w:sz w:val="20"/>
          <w:szCs w:val="20"/>
          <w:lang w:val="es-CR"/>
        </w:rPr>
        <w:t>Considerando 18 de la Resolución).</w:t>
      </w:r>
      <w:r w:rsidRPr="00E73E9E">
        <w:rPr>
          <w:rFonts w:ascii="Verdana" w:hAnsi="Verdana"/>
          <w:spacing w:val="-4"/>
          <w:sz w:val="20"/>
          <w:szCs w:val="20"/>
          <w:lang w:val="es-CR"/>
        </w:rPr>
        <w:t xml:space="preserve"> En consecuencia, por la alegada urgencia de la situación, y tomando en cuenta que la presente solicitud de medidas provisionales versa sobre personas que son víctimas de un caso ante la Corte, este Tribunal considera pertinente pronunciarse.</w:t>
      </w:r>
      <w:bookmarkEnd w:id="2"/>
    </w:p>
    <w:p w14:paraId="3FF3044C" w14:textId="77777777" w:rsidR="00075FDE" w:rsidRDefault="00075FDE" w:rsidP="00075FDE">
      <w:pPr>
        <w:pStyle w:val="Prrafodelista"/>
        <w:autoSpaceDE w:val="0"/>
        <w:autoSpaceDN w:val="0"/>
        <w:adjustRightInd w:val="0"/>
        <w:spacing w:after="0" w:line="240" w:lineRule="auto"/>
        <w:ind w:left="0"/>
        <w:jc w:val="both"/>
        <w:rPr>
          <w:rFonts w:ascii="Verdana" w:hAnsi="Verdana"/>
          <w:spacing w:val="-4"/>
          <w:sz w:val="20"/>
          <w:szCs w:val="20"/>
          <w:lang w:val="es-ES"/>
        </w:rPr>
      </w:pPr>
    </w:p>
    <w:p w14:paraId="1343274C" w14:textId="77777777" w:rsidR="002C7DCB" w:rsidRDefault="00075FDE" w:rsidP="002C7DCB">
      <w:pPr>
        <w:pStyle w:val="Prrafodelista"/>
        <w:numPr>
          <w:ilvl w:val="0"/>
          <w:numId w:val="25"/>
        </w:numPr>
        <w:autoSpaceDE w:val="0"/>
        <w:autoSpaceDN w:val="0"/>
        <w:adjustRightInd w:val="0"/>
        <w:spacing w:after="0" w:line="240" w:lineRule="auto"/>
        <w:ind w:left="0" w:firstLine="0"/>
        <w:jc w:val="both"/>
        <w:rPr>
          <w:rFonts w:ascii="Verdana" w:hAnsi="Verdana"/>
          <w:spacing w:val="-4"/>
          <w:sz w:val="20"/>
          <w:szCs w:val="20"/>
          <w:lang w:val="es-ES"/>
        </w:rPr>
      </w:pPr>
      <w:r w:rsidRPr="00075FDE">
        <w:rPr>
          <w:rFonts w:ascii="Verdana" w:hAnsi="Verdana"/>
          <w:spacing w:val="-4"/>
          <w:sz w:val="20"/>
          <w:szCs w:val="20"/>
          <w:lang w:val="es-AR"/>
        </w:rPr>
        <w:t>Seguidamente</w:t>
      </w:r>
      <w:r w:rsidRPr="00075FDE">
        <w:rPr>
          <w:rFonts w:ascii="Verdana" w:hAnsi="Verdana"/>
          <w:spacing w:val="-4"/>
          <w:sz w:val="20"/>
          <w:szCs w:val="20"/>
          <w:lang w:val="es-CR"/>
        </w:rPr>
        <w:t>, la Corte pasará a examinar los demás requisitos convencionales y reglamentarios para la adopción de medidas urgentes. La Corte ha señalado que las tres condiciones exigidas por el artículo 63.2 de la Convención para que pueda disponer de medidas provisionales deben concurrir en toda situación en la que se soliciten</w:t>
      </w:r>
      <w:r w:rsidRPr="0051766F">
        <w:rPr>
          <w:rStyle w:val="Refdenotaalpie"/>
          <w:spacing w:val="-4"/>
          <w:sz w:val="20"/>
          <w:szCs w:val="20"/>
          <w:lang w:val="es-CR"/>
        </w:rPr>
        <w:footnoteReference w:id="5"/>
      </w:r>
      <w:r w:rsidRPr="00075FDE">
        <w:rPr>
          <w:rFonts w:ascii="Verdana" w:hAnsi="Verdana"/>
          <w:spacing w:val="-4"/>
          <w:sz w:val="20"/>
          <w:szCs w:val="20"/>
          <w:lang w:val="es-CR"/>
        </w:rPr>
        <w:t xml:space="preserve">. Conforme a la Convención y al Reglamento, la carga procesal de demostrar </w:t>
      </w:r>
      <w:r w:rsidRPr="00075FDE">
        <w:rPr>
          <w:rFonts w:ascii="Verdana" w:hAnsi="Verdana"/>
          <w:i/>
          <w:spacing w:val="-4"/>
          <w:sz w:val="20"/>
          <w:szCs w:val="20"/>
          <w:lang w:val="es-CR"/>
        </w:rPr>
        <w:t>prima facie</w:t>
      </w:r>
      <w:r w:rsidRPr="00075FDE">
        <w:rPr>
          <w:rFonts w:ascii="Verdana" w:hAnsi="Verdana"/>
          <w:spacing w:val="-4"/>
          <w:sz w:val="20"/>
          <w:szCs w:val="20"/>
          <w:lang w:val="es-CR"/>
        </w:rPr>
        <w:t xml:space="preserve"> dichos requisitos recae en el solicitante</w:t>
      </w:r>
      <w:r w:rsidRPr="0051766F">
        <w:rPr>
          <w:rFonts w:ascii="Verdana" w:hAnsi="Verdana"/>
          <w:spacing w:val="-4"/>
          <w:sz w:val="20"/>
          <w:szCs w:val="20"/>
          <w:vertAlign w:val="superscript"/>
        </w:rPr>
        <w:footnoteReference w:id="6"/>
      </w:r>
      <w:r w:rsidRPr="00075FDE">
        <w:rPr>
          <w:rFonts w:ascii="Verdana" w:hAnsi="Verdana"/>
          <w:spacing w:val="-4"/>
          <w:sz w:val="20"/>
          <w:szCs w:val="20"/>
          <w:lang w:val="es-CR"/>
        </w:rPr>
        <w:t>. En cuanto a la gravedad, para efectos de la adopción de medidas provisionales, la Convención requiere que aquélla sea “extrema”, es decir, que se encuentre en su grado más intenso o elevado. El carácter urgente implica que el riesgo o amenaza involucrados sean inminentes, lo cual requiere que la respuesta para remediarlos sea inmediata. Finalmente, en cuanto al daño, debe existir una probabilidad razonable de que se materialice y no debe recaer en bienes o intereses jurídicos que puedan ser reparables</w:t>
      </w:r>
      <w:r w:rsidRPr="0051766F">
        <w:rPr>
          <w:rFonts w:ascii="Verdana" w:hAnsi="Verdana"/>
          <w:spacing w:val="-4"/>
          <w:sz w:val="20"/>
          <w:szCs w:val="20"/>
          <w:vertAlign w:val="superscript"/>
        </w:rPr>
        <w:footnoteReference w:id="7"/>
      </w:r>
      <w:r w:rsidRPr="00075FDE">
        <w:rPr>
          <w:rFonts w:ascii="Verdana" w:hAnsi="Verdana"/>
          <w:spacing w:val="-4"/>
          <w:sz w:val="20"/>
          <w:szCs w:val="20"/>
          <w:lang w:val="es-CR"/>
        </w:rPr>
        <w:t xml:space="preserve">. </w:t>
      </w:r>
    </w:p>
    <w:p w14:paraId="5F7C430F" w14:textId="77777777" w:rsidR="002C7DCB" w:rsidRPr="002C7DCB" w:rsidRDefault="002C7DCB" w:rsidP="002C7DCB">
      <w:pPr>
        <w:pStyle w:val="Prrafodelista"/>
        <w:rPr>
          <w:rFonts w:ascii="Verdana" w:hAnsi="Verdana"/>
          <w:spacing w:val="-4"/>
          <w:sz w:val="20"/>
          <w:szCs w:val="20"/>
          <w:lang w:val="es-AR"/>
        </w:rPr>
      </w:pPr>
    </w:p>
    <w:p w14:paraId="5E980B65" w14:textId="77777777" w:rsidR="002C7DCB" w:rsidRDefault="002C7DCB" w:rsidP="002C7DCB">
      <w:pPr>
        <w:pStyle w:val="Prrafodelista"/>
        <w:numPr>
          <w:ilvl w:val="0"/>
          <w:numId w:val="25"/>
        </w:numPr>
        <w:autoSpaceDE w:val="0"/>
        <w:autoSpaceDN w:val="0"/>
        <w:adjustRightInd w:val="0"/>
        <w:spacing w:after="0" w:line="240" w:lineRule="auto"/>
        <w:ind w:left="0" w:firstLine="0"/>
        <w:jc w:val="both"/>
        <w:rPr>
          <w:rFonts w:ascii="Verdana" w:hAnsi="Verdana"/>
          <w:spacing w:val="-4"/>
          <w:sz w:val="20"/>
          <w:szCs w:val="20"/>
          <w:lang w:val="es-ES"/>
        </w:rPr>
      </w:pPr>
      <w:r w:rsidRPr="002C7DCB">
        <w:rPr>
          <w:rFonts w:ascii="Verdana" w:hAnsi="Verdana"/>
          <w:spacing w:val="-4"/>
          <w:sz w:val="20"/>
          <w:szCs w:val="20"/>
          <w:lang w:val="es-AR"/>
        </w:rPr>
        <w:t xml:space="preserve">Esta Corte reconoce no solo los problemas y desafíos extraordinarios que ocasiona la presente pandemia en todo contexto, sino también y específicamente </w:t>
      </w:r>
      <w:r w:rsidRPr="002C7DCB">
        <w:rPr>
          <w:rFonts w:ascii="Verdana" w:hAnsi="Verdana"/>
          <w:spacing w:val="-4"/>
          <w:sz w:val="20"/>
          <w:szCs w:val="20"/>
          <w:lang w:val="es-ES"/>
        </w:rPr>
        <w:t>las dificultades adicionales que la prevención del contagio de COVID-19 representa en entornos carcelarios. En nuestra región, las personas privadas de libertad se encuentran en una situación de mayor vulnerabilidad frente a la propagación del COVID-19 pues, por lo general, se encuentran en condiciones de sobrepoblación y hacinamiento que no permiten un adecuado distanciamiento social para prevenir el contagio del virus, con inadecuadas y deficientes medidas de higiene, y con limitaciones para acceder de manera eficaz y oportuna a una serie de derechos como la salud y la información</w:t>
      </w:r>
      <w:r w:rsidRPr="00395069">
        <w:rPr>
          <w:rFonts w:ascii="Verdana" w:hAnsi="Verdana"/>
          <w:spacing w:val="-4"/>
          <w:sz w:val="20"/>
          <w:szCs w:val="20"/>
          <w:vertAlign w:val="superscript"/>
          <w:lang w:val="es-ES"/>
        </w:rPr>
        <w:footnoteReference w:id="8"/>
      </w:r>
      <w:r w:rsidRPr="002C7DCB">
        <w:rPr>
          <w:rFonts w:ascii="Verdana" w:hAnsi="Verdana"/>
          <w:spacing w:val="-4"/>
          <w:sz w:val="20"/>
          <w:szCs w:val="20"/>
          <w:lang w:val="es-ES"/>
        </w:rPr>
        <w:t xml:space="preserve">. En efecto, el Comité Internacional de la Cruz Roja ha reconocido que estas particularidades generan que el ámbito carcelario </w:t>
      </w:r>
      <w:r w:rsidRPr="002C7DCB">
        <w:rPr>
          <w:rFonts w:ascii="Verdana" w:hAnsi="Verdana"/>
          <w:spacing w:val="-4"/>
          <w:sz w:val="20"/>
          <w:szCs w:val="20"/>
          <w:lang w:val="es-CR"/>
        </w:rPr>
        <w:t>favorezca</w:t>
      </w:r>
      <w:r w:rsidRPr="002C7DCB">
        <w:rPr>
          <w:rFonts w:ascii="Verdana" w:hAnsi="Verdana"/>
          <w:spacing w:val="-4"/>
          <w:sz w:val="20"/>
          <w:szCs w:val="20"/>
          <w:lang w:val="es-ES"/>
        </w:rPr>
        <w:t xml:space="preserve"> la propagación exponencial de enfermedades infecciosas, particularmente de aquellas que, como el COVID-19, se transmiten por gotas a través del aire</w:t>
      </w:r>
      <w:r w:rsidRPr="00597DDE">
        <w:rPr>
          <w:rStyle w:val="Refdenotaalpie"/>
          <w:spacing w:val="-4"/>
          <w:szCs w:val="20"/>
          <w:lang w:val="es-ES"/>
        </w:rPr>
        <w:footnoteReference w:id="9"/>
      </w:r>
      <w:r w:rsidRPr="002C7DCB">
        <w:rPr>
          <w:rFonts w:ascii="Verdana" w:hAnsi="Verdana"/>
          <w:spacing w:val="-4"/>
          <w:sz w:val="20"/>
          <w:szCs w:val="20"/>
          <w:lang w:val="es-ES"/>
        </w:rPr>
        <w:t>.</w:t>
      </w:r>
      <w:bookmarkStart w:id="3" w:name="_Ref46241195"/>
    </w:p>
    <w:p w14:paraId="4151AA4C" w14:textId="77777777" w:rsidR="002C7DCB" w:rsidRPr="002C7DCB" w:rsidRDefault="002C7DCB" w:rsidP="002C7DCB">
      <w:pPr>
        <w:pStyle w:val="Prrafodelista"/>
        <w:rPr>
          <w:rFonts w:ascii="Verdana" w:hAnsi="Verdana"/>
          <w:spacing w:val="-4"/>
          <w:sz w:val="20"/>
          <w:szCs w:val="20"/>
          <w:lang w:val="es-ES"/>
        </w:rPr>
      </w:pPr>
    </w:p>
    <w:p w14:paraId="28D36A1E" w14:textId="26F99C5A" w:rsidR="009B39E4" w:rsidRPr="009B39E4" w:rsidRDefault="002C7DCB" w:rsidP="009B39E4">
      <w:pPr>
        <w:pStyle w:val="Prrafodelista"/>
        <w:numPr>
          <w:ilvl w:val="0"/>
          <w:numId w:val="25"/>
        </w:numPr>
        <w:autoSpaceDE w:val="0"/>
        <w:autoSpaceDN w:val="0"/>
        <w:adjustRightInd w:val="0"/>
        <w:spacing w:after="0" w:line="240" w:lineRule="auto"/>
        <w:ind w:left="0" w:firstLine="0"/>
        <w:jc w:val="both"/>
        <w:rPr>
          <w:rFonts w:ascii="Verdana" w:hAnsi="Verdana"/>
          <w:spacing w:val="-4"/>
          <w:sz w:val="20"/>
          <w:szCs w:val="20"/>
          <w:lang w:val="es-ES"/>
        </w:rPr>
      </w:pPr>
      <w:r w:rsidRPr="002C7DCB">
        <w:rPr>
          <w:rFonts w:ascii="Verdana" w:hAnsi="Verdana"/>
          <w:spacing w:val="-4"/>
          <w:sz w:val="20"/>
          <w:szCs w:val="20"/>
          <w:lang w:val="es-ES"/>
        </w:rPr>
        <w:t xml:space="preserve">Los derechos económicos, sociales, culturales y ambientales deben ser garantizados sin discriminación a toda persona bajo la jurisdicción del Estado y, en especial, a aquellos grupos que son afectados de forma desproporcionada porque se encuentran en situación de mayor vulnerabilidad, entre ellos, las personas privadas de libertad, lo cual fue hecho notar por el Tribunal en su </w:t>
      </w:r>
      <w:r w:rsidRPr="002C7DCB">
        <w:rPr>
          <w:rFonts w:ascii="Verdana" w:hAnsi="Verdana"/>
          <w:spacing w:val="-4"/>
          <w:sz w:val="20"/>
          <w:szCs w:val="20"/>
          <w:lang w:val="es-MX"/>
        </w:rPr>
        <w:t xml:space="preserve">Declaración de 9 de abril de 2020 </w:t>
      </w:r>
      <w:r w:rsidR="00B87EBF" w:rsidRPr="002C7DCB">
        <w:rPr>
          <w:rFonts w:ascii="Verdana" w:hAnsi="Verdana"/>
          <w:spacing w:val="-4"/>
          <w:sz w:val="20"/>
          <w:szCs w:val="20"/>
          <w:lang w:val="es-MX"/>
        </w:rPr>
        <w:t>(</w:t>
      </w:r>
      <w:r w:rsidR="00B87EBF" w:rsidRPr="002C7DCB">
        <w:rPr>
          <w:rFonts w:ascii="Verdana" w:hAnsi="Verdana"/>
          <w:i/>
          <w:spacing w:val="-4"/>
          <w:sz w:val="20"/>
          <w:szCs w:val="20"/>
          <w:lang w:val="es-MX"/>
        </w:rPr>
        <w:t xml:space="preserve">supra </w:t>
      </w:r>
      <w:r w:rsidR="00B87EBF" w:rsidRPr="002C7DCB">
        <w:rPr>
          <w:rFonts w:ascii="Verdana" w:hAnsi="Verdana"/>
          <w:spacing w:val="-4"/>
          <w:sz w:val="20"/>
          <w:szCs w:val="20"/>
          <w:lang w:val="es-MX"/>
        </w:rPr>
        <w:t>Considerando 21)</w:t>
      </w:r>
      <w:r w:rsidR="00B87EBF" w:rsidRPr="002C7DCB">
        <w:rPr>
          <w:rFonts w:ascii="Verdana" w:hAnsi="Verdana"/>
          <w:i/>
          <w:iCs/>
          <w:spacing w:val="-4"/>
          <w:sz w:val="20"/>
          <w:szCs w:val="20"/>
          <w:lang w:val="es-CR"/>
        </w:rPr>
        <w:t>.</w:t>
      </w:r>
      <w:r w:rsidR="00B87EBF" w:rsidRPr="002C7DCB">
        <w:rPr>
          <w:rFonts w:ascii="Verdana" w:hAnsi="Verdana"/>
          <w:spacing w:val="-4"/>
          <w:sz w:val="20"/>
          <w:szCs w:val="20"/>
          <w:lang w:val="es-ES"/>
        </w:rPr>
        <w:t xml:space="preserve"> </w:t>
      </w:r>
      <w:bookmarkEnd w:id="3"/>
      <w:r w:rsidRPr="002C7DCB">
        <w:rPr>
          <w:rFonts w:ascii="Verdana" w:hAnsi="Verdana"/>
          <w:spacing w:val="-4"/>
          <w:sz w:val="20"/>
          <w:szCs w:val="20"/>
          <w:lang w:val="es-ES"/>
        </w:rPr>
        <w:t xml:space="preserve">Al respecto, es necesario recordar que se debe abordar esta situación </w:t>
      </w:r>
      <w:r w:rsidRPr="002C7DCB">
        <w:rPr>
          <w:rFonts w:ascii="Verdana" w:hAnsi="Verdana" w:cs="Calibri"/>
          <w:spacing w:val="-4"/>
          <w:sz w:val="20"/>
          <w:szCs w:val="20"/>
          <w:lang w:val="es-CR"/>
        </w:rPr>
        <w:t xml:space="preserve">“en el marco del Estado de Derecho, con el pleno respeto a los instrumentos interamericanos de protección de los derechos humanos y los estándares desarrollados en la jurisprudencia de este Tribunal”, en particular, el derecho a la salud, a la vida y a la integridad personal. Además, la Corte ha dicho que, </w:t>
      </w:r>
      <w:r w:rsidRPr="002C7DCB">
        <w:rPr>
          <w:rFonts w:ascii="Verdana" w:hAnsi="Verdana"/>
          <w:spacing w:val="-4"/>
          <w:sz w:val="20"/>
          <w:szCs w:val="20"/>
          <w:lang w:val="es-ES"/>
        </w:rPr>
        <w:t xml:space="preserve">en virtud del </w:t>
      </w:r>
      <w:r w:rsidRPr="002C7DCB">
        <w:rPr>
          <w:rFonts w:ascii="Verdana" w:hAnsi="Verdana" w:cs="Calibri"/>
          <w:spacing w:val="-4"/>
          <w:sz w:val="20"/>
          <w:szCs w:val="20"/>
          <w:lang w:val="es-AR"/>
        </w:rPr>
        <w:t>“alto impacto que el COVID-19 pueda tener respecto a las personas privadas de libertad en las prisiones y otros centros de detención”, y en atención a la posición especial de garante del Estado, se torna necesario, entre otras medidas, “reducir los niveles de sobrepoblación y hacinamiento, y disponer en forma racional y ordenada medidas alternativas a la privación de la libertad”</w:t>
      </w:r>
      <w:r w:rsidRPr="002C7DCB">
        <w:rPr>
          <w:rStyle w:val="Refdenotaalpie"/>
          <w:rFonts w:cs="Calibri"/>
          <w:spacing w:val="-4"/>
          <w:sz w:val="20"/>
          <w:szCs w:val="20"/>
          <w:lang w:val="es-CR"/>
        </w:rPr>
        <w:footnoteReference w:id="10"/>
      </w:r>
      <w:r w:rsidRPr="002C7DCB">
        <w:rPr>
          <w:rFonts w:ascii="Verdana" w:hAnsi="Verdana" w:cs="Calibri"/>
          <w:spacing w:val="-4"/>
          <w:sz w:val="20"/>
          <w:szCs w:val="20"/>
          <w:lang w:val="es-AR"/>
        </w:rPr>
        <w:t xml:space="preserve">. </w:t>
      </w:r>
      <w:bookmarkStart w:id="4" w:name="_Ref46240417"/>
    </w:p>
    <w:p w14:paraId="50EFF1AD" w14:textId="77777777" w:rsidR="009B39E4" w:rsidRPr="009B39E4" w:rsidRDefault="009B39E4" w:rsidP="009B39E4">
      <w:pPr>
        <w:pStyle w:val="Prrafodelista"/>
        <w:autoSpaceDE w:val="0"/>
        <w:autoSpaceDN w:val="0"/>
        <w:adjustRightInd w:val="0"/>
        <w:spacing w:after="0" w:line="240" w:lineRule="auto"/>
        <w:ind w:left="0"/>
        <w:jc w:val="both"/>
        <w:rPr>
          <w:rFonts w:ascii="Verdana" w:hAnsi="Verdana"/>
          <w:spacing w:val="-4"/>
          <w:sz w:val="20"/>
          <w:szCs w:val="20"/>
          <w:lang w:val="es-ES"/>
        </w:rPr>
      </w:pPr>
    </w:p>
    <w:p w14:paraId="6EC84DB7" w14:textId="79BC6139" w:rsidR="009B39E4" w:rsidRPr="009B39E4" w:rsidRDefault="009B39E4" w:rsidP="009B39E4">
      <w:pPr>
        <w:pStyle w:val="Prrafodelista"/>
        <w:numPr>
          <w:ilvl w:val="0"/>
          <w:numId w:val="25"/>
        </w:numPr>
        <w:autoSpaceDE w:val="0"/>
        <w:autoSpaceDN w:val="0"/>
        <w:adjustRightInd w:val="0"/>
        <w:spacing w:after="0" w:line="240" w:lineRule="auto"/>
        <w:ind w:left="0" w:firstLine="0"/>
        <w:jc w:val="both"/>
        <w:rPr>
          <w:rFonts w:ascii="Verdana" w:hAnsi="Verdana"/>
          <w:spacing w:val="-4"/>
          <w:sz w:val="20"/>
          <w:szCs w:val="20"/>
          <w:lang w:val="es-ES"/>
        </w:rPr>
      </w:pPr>
      <w:r w:rsidRPr="009B39E4">
        <w:rPr>
          <w:rFonts w:ascii="Verdana" w:hAnsi="Verdana"/>
          <w:spacing w:val="-4"/>
          <w:sz w:val="20"/>
          <w:szCs w:val="20"/>
          <w:lang w:val="es-CR"/>
        </w:rPr>
        <w:t xml:space="preserve">Este Tribunal </w:t>
      </w:r>
      <w:r w:rsidRPr="009B39E4">
        <w:rPr>
          <w:rFonts w:ascii="Verdana" w:hAnsi="Verdana"/>
          <w:spacing w:val="-4"/>
          <w:sz w:val="20"/>
          <w:szCs w:val="20"/>
          <w:lang w:val="es-AR"/>
        </w:rPr>
        <w:t xml:space="preserve">ha indicado en su jurisprudencia que </w:t>
      </w:r>
      <w:r w:rsidRPr="009B39E4">
        <w:rPr>
          <w:rFonts w:ascii="Verdana" w:hAnsi="Verdana" w:cs="Times New Roman"/>
          <w:spacing w:val="-4"/>
          <w:sz w:val="20"/>
          <w:szCs w:val="20"/>
          <w:lang w:val="es-AR"/>
        </w:rPr>
        <w:t xml:space="preserve">“el Estado se encuentra en una posición especial de garante” respecto de las personas privadas de libertad, por lo que tiene el deber de adoptar medidas para resguardar sus derechos a la vida, a la integridad </w:t>
      </w:r>
      <w:r w:rsidRPr="009B39E4">
        <w:rPr>
          <w:rFonts w:ascii="Verdana" w:hAnsi="Verdana"/>
          <w:spacing w:val="-4"/>
          <w:sz w:val="20"/>
          <w:szCs w:val="20"/>
          <w:lang w:val="es-CR"/>
        </w:rPr>
        <w:t>personal</w:t>
      </w:r>
      <w:r w:rsidRPr="009B39E4">
        <w:rPr>
          <w:rFonts w:ascii="Verdana" w:hAnsi="Verdana" w:cs="Times New Roman"/>
          <w:spacing w:val="-4"/>
          <w:sz w:val="20"/>
          <w:szCs w:val="20"/>
          <w:lang w:val="es-AR"/>
        </w:rPr>
        <w:t xml:space="preserve"> y a la salud</w:t>
      </w:r>
      <w:r w:rsidRPr="000C5155">
        <w:rPr>
          <w:rStyle w:val="Refdenotaalpie"/>
          <w:rFonts w:cs="Times New Roman"/>
          <w:spacing w:val="-4"/>
          <w:sz w:val="20"/>
          <w:szCs w:val="20"/>
        </w:rPr>
        <w:footnoteReference w:id="11"/>
      </w:r>
      <w:r w:rsidRPr="009B39E4">
        <w:rPr>
          <w:rFonts w:ascii="Verdana" w:hAnsi="Verdana" w:cs="Times New Roman"/>
          <w:spacing w:val="-4"/>
          <w:sz w:val="20"/>
          <w:szCs w:val="20"/>
          <w:lang w:val="es-AR"/>
        </w:rPr>
        <w:t>; y abstenerse bajo cualquier circunstancia de actuar de manera tal que se vulneren estos derechos</w:t>
      </w:r>
      <w:r w:rsidRPr="00517372">
        <w:rPr>
          <w:rStyle w:val="Refdenotaalpie"/>
          <w:rFonts w:cs="Times New Roman"/>
          <w:spacing w:val="-4"/>
          <w:sz w:val="20"/>
          <w:szCs w:val="20"/>
        </w:rPr>
        <w:footnoteReference w:id="12"/>
      </w:r>
      <w:r w:rsidRPr="009B39E4">
        <w:rPr>
          <w:rFonts w:ascii="Verdana" w:hAnsi="Verdana" w:cs="Times New Roman"/>
          <w:spacing w:val="-4"/>
          <w:sz w:val="20"/>
          <w:szCs w:val="20"/>
          <w:lang w:val="es-AR"/>
        </w:rPr>
        <w:t>. Además, la Corte ha sido clara en establecer que t</w:t>
      </w:r>
      <w:r w:rsidRPr="009B39E4">
        <w:rPr>
          <w:rFonts w:ascii="Verdana" w:hAnsi="Verdana"/>
          <w:spacing w:val="-4"/>
          <w:sz w:val="20"/>
          <w:szCs w:val="20"/>
          <w:lang w:val="es-AR"/>
        </w:rPr>
        <w:t xml:space="preserve">ales derechos deben ser protegidos a “toda persona privada de libertad”, </w:t>
      </w:r>
      <w:r w:rsidRPr="009B39E4">
        <w:rPr>
          <w:rFonts w:ascii="Verdana" w:hAnsi="Verdana"/>
          <w:spacing w:val="-4"/>
          <w:sz w:val="20"/>
          <w:szCs w:val="20"/>
          <w:lang w:val="es-AR"/>
        </w:rPr>
        <w:lastRenderedPageBreak/>
        <w:t>sin discriminación</w:t>
      </w:r>
      <w:r w:rsidRPr="009C672D">
        <w:rPr>
          <w:rStyle w:val="Refdenotaalpie"/>
          <w:rFonts w:cs="Arial"/>
          <w:spacing w:val="-4"/>
          <w:sz w:val="20"/>
          <w:szCs w:val="20"/>
        </w:rPr>
        <w:footnoteReference w:id="13"/>
      </w:r>
      <w:r w:rsidRPr="009B39E4">
        <w:rPr>
          <w:rFonts w:ascii="Verdana" w:hAnsi="Verdana" w:cs="Arial"/>
          <w:spacing w:val="-4"/>
          <w:sz w:val="20"/>
          <w:szCs w:val="20"/>
          <w:lang w:val="es-AR"/>
        </w:rPr>
        <w:t>. En este sentido, se ha incorporado en la jurisprudencia los principales estándares sobre las condiciones carcelarias y deber de prevención que debe garantizar el Estado en favor de las personas privadas de libertad</w:t>
      </w:r>
      <w:r w:rsidRPr="009C672D">
        <w:rPr>
          <w:rStyle w:val="Refdenotaalpie"/>
          <w:rFonts w:cs="Arial"/>
          <w:spacing w:val="-4"/>
          <w:sz w:val="20"/>
          <w:szCs w:val="20"/>
        </w:rPr>
        <w:footnoteReference w:id="14"/>
      </w:r>
      <w:r w:rsidRPr="009B39E4">
        <w:rPr>
          <w:rFonts w:ascii="Verdana" w:hAnsi="Verdana" w:cs="Arial"/>
          <w:spacing w:val="-4"/>
          <w:sz w:val="20"/>
          <w:szCs w:val="20"/>
          <w:lang w:val="es-AR"/>
        </w:rPr>
        <w:t>. Entre ellas, la Corte se ha referido a la adopción de medidas que procuren condiciones de detención mínimas compatibles con la dignidad personal</w:t>
      </w:r>
      <w:r w:rsidRPr="009C672D">
        <w:rPr>
          <w:rStyle w:val="Refdenotaalpie"/>
          <w:rFonts w:cs="Arial"/>
          <w:spacing w:val="-4"/>
          <w:sz w:val="20"/>
          <w:szCs w:val="20"/>
        </w:rPr>
        <w:footnoteReference w:id="15"/>
      </w:r>
      <w:r w:rsidRPr="009B39E4">
        <w:rPr>
          <w:rFonts w:ascii="Verdana" w:hAnsi="Verdana" w:cs="Arial"/>
          <w:spacing w:val="-4"/>
          <w:sz w:val="20"/>
          <w:szCs w:val="20"/>
          <w:lang w:val="es-AR"/>
        </w:rPr>
        <w:t>; a la reducción del hacinamiento</w:t>
      </w:r>
      <w:r w:rsidRPr="009C672D">
        <w:rPr>
          <w:rStyle w:val="Refdenotaalpie"/>
          <w:rFonts w:cs="Arial"/>
          <w:spacing w:val="-4"/>
          <w:sz w:val="20"/>
          <w:szCs w:val="20"/>
        </w:rPr>
        <w:footnoteReference w:id="16"/>
      </w:r>
      <w:r w:rsidRPr="009B39E4">
        <w:rPr>
          <w:rFonts w:ascii="Verdana" w:hAnsi="Verdana" w:cs="Arial"/>
          <w:spacing w:val="-4"/>
          <w:sz w:val="20"/>
          <w:szCs w:val="20"/>
          <w:lang w:val="es-AR"/>
        </w:rPr>
        <w:t>; al acceso al agua potable para consumo de estas personas y a agua para aseo personal</w:t>
      </w:r>
      <w:r w:rsidRPr="009C672D">
        <w:rPr>
          <w:rStyle w:val="Refdenotaalpie"/>
          <w:rFonts w:cs="Arial"/>
          <w:spacing w:val="-4"/>
          <w:sz w:val="20"/>
          <w:szCs w:val="20"/>
        </w:rPr>
        <w:footnoteReference w:id="17"/>
      </w:r>
      <w:r w:rsidRPr="009B39E4">
        <w:rPr>
          <w:rFonts w:ascii="Verdana" w:hAnsi="Verdana" w:cs="Arial"/>
          <w:spacing w:val="-4"/>
          <w:sz w:val="20"/>
          <w:szCs w:val="20"/>
          <w:lang w:val="es-AR"/>
        </w:rPr>
        <w:t>; a alimentación de buena calidad y con valor nutritivo suficiente</w:t>
      </w:r>
      <w:r w:rsidRPr="009C672D">
        <w:rPr>
          <w:rStyle w:val="Refdenotaalpie"/>
          <w:rFonts w:cs="Arial"/>
          <w:spacing w:val="-4"/>
          <w:sz w:val="20"/>
          <w:szCs w:val="20"/>
        </w:rPr>
        <w:footnoteReference w:id="18"/>
      </w:r>
      <w:r w:rsidRPr="009B39E4">
        <w:rPr>
          <w:rFonts w:ascii="Verdana" w:hAnsi="Verdana"/>
          <w:spacing w:val="-4"/>
          <w:sz w:val="20"/>
          <w:szCs w:val="20"/>
          <w:lang w:val="es-AR"/>
        </w:rPr>
        <w:t>, y a la atención médica regular y el tratamiento adecuado cuando sea necesario, en condiciones comparables con aquellas disfrutadas por pacientes en la comunidad exterior</w:t>
      </w:r>
      <w:r w:rsidRPr="009C672D">
        <w:rPr>
          <w:rStyle w:val="Refdenotaalpie"/>
          <w:spacing w:val="-4"/>
          <w:sz w:val="20"/>
          <w:szCs w:val="20"/>
        </w:rPr>
        <w:footnoteReference w:id="19"/>
      </w:r>
      <w:r w:rsidRPr="009B39E4">
        <w:rPr>
          <w:rFonts w:ascii="Verdana" w:hAnsi="Verdana"/>
          <w:spacing w:val="-4"/>
          <w:sz w:val="20"/>
          <w:szCs w:val="20"/>
          <w:lang w:val="es-AR"/>
        </w:rPr>
        <w:t>.</w:t>
      </w:r>
      <w:bookmarkEnd w:id="4"/>
    </w:p>
    <w:p w14:paraId="4AEAB2EE" w14:textId="77777777" w:rsidR="009B39E4" w:rsidRDefault="009B39E4" w:rsidP="009B39E4">
      <w:pPr>
        <w:pStyle w:val="Prrafodelista"/>
        <w:autoSpaceDE w:val="0"/>
        <w:autoSpaceDN w:val="0"/>
        <w:adjustRightInd w:val="0"/>
        <w:spacing w:after="0" w:line="240" w:lineRule="auto"/>
        <w:ind w:left="0"/>
        <w:jc w:val="both"/>
        <w:rPr>
          <w:rFonts w:ascii="Verdana" w:hAnsi="Verdana"/>
          <w:spacing w:val="-4"/>
          <w:sz w:val="20"/>
          <w:szCs w:val="20"/>
          <w:lang w:val="es-ES"/>
        </w:rPr>
      </w:pPr>
    </w:p>
    <w:p w14:paraId="71F0E0C1" w14:textId="77777777" w:rsidR="009B39E4" w:rsidRPr="009B39E4" w:rsidRDefault="009B39E4" w:rsidP="009B39E4">
      <w:pPr>
        <w:pStyle w:val="Prrafodelista"/>
        <w:numPr>
          <w:ilvl w:val="0"/>
          <w:numId w:val="25"/>
        </w:numPr>
        <w:autoSpaceDE w:val="0"/>
        <w:autoSpaceDN w:val="0"/>
        <w:adjustRightInd w:val="0"/>
        <w:spacing w:after="0" w:line="240" w:lineRule="auto"/>
        <w:ind w:left="0" w:firstLine="0"/>
        <w:jc w:val="both"/>
        <w:rPr>
          <w:rFonts w:ascii="Verdana" w:hAnsi="Verdana"/>
          <w:spacing w:val="-4"/>
          <w:sz w:val="20"/>
          <w:szCs w:val="20"/>
          <w:lang w:val="es-ES"/>
        </w:rPr>
      </w:pPr>
      <w:r w:rsidRPr="009B39E4">
        <w:rPr>
          <w:rFonts w:ascii="Verdana" w:hAnsi="Verdana"/>
          <w:spacing w:val="-4"/>
          <w:sz w:val="20"/>
          <w:szCs w:val="20"/>
          <w:lang w:val="es-AR"/>
        </w:rPr>
        <w:t xml:space="preserve">En particular, respecto de la atención médica adecuada para personas privadas de libertad, la Corte estableció diversos estándares en la sentencia del caso </w:t>
      </w:r>
      <w:r w:rsidRPr="009B39E4">
        <w:rPr>
          <w:rFonts w:ascii="Verdana" w:hAnsi="Verdana"/>
          <w:i/>
          <w:spacing w:val="-4"/>
          <w:sz w:val="20"/>
          <w:szCs w:val="20"/>
          <w:lang w:val="es-AR"/>
        </w:rPr>
        <w:t>Chinchilla Sandoval y otros Vs. Guatemala</w:t>
      </w:r>
      <w:r w:rsidRPr="009B39E4">
        <w:rPr>
          <w:rFonts w:ascii="Verdana" w:hAnsi="Verdana"/>
          <w:spacing w:val="-4"/>
          <w:sz w:val="20"/>
          <w:szCs w:val="20"/>
          <w:lang w:val="es-AR"/>
        </w:rPr>
        <w:t xml:space="preserve">, entre los cuales se indica que los Estados deben asegurar que a </w:t>
      </w:r>
      <w:r w:rsidRPr="009B39E4">
        <w:rPr>
          <w:rFonts w:ascii="Verdana" w:hAnsi="Verdana" w:cs="Arial"/>
          <w:color w:val="000000"/>
          <w:spacing w:val="-4"/>
          <w:sz w:val="20"/>
          <w:szCs w:val="20"/>
          <w:lang w:val="es-AR"/>
        </w:rPr>
        <w:t>las personas privadas de libertad que padezcan enfermedades graves, crónicas o terminales se les brinde atención médica adecuada, especializada y continua</w:t>
      </w:r>
      <w:r w:rsidRPr="009B39E4">
        <w:rPr>
          <w:rFonts w:ascii="Verdana" w:hAnsi="Verdana"/>
          <w:spacing w:val="-4"/>
          <w:sz w:val="20"/>
          <w:szCs w:val="20"/>
          <w:lang w:val="es-AR"/>
        </w:rPr>
        <w:t>, ya sea dentro o fuera del centro penitenciario</w:t>
      </w:r>
      <w:r w:rsidRPr="00395069">
        <w:rPr>
          <w:rStyle w:val="Refdenotaalpie"/>
          <w:spacing w:val="-4"/>
          <w:sz w:val="20"/>
          <w:szCs w:val="20"/>
        </w:rPr>
        <w:footnoteReference w:id="20"/>
      </w:r>
      <w:r w:rsidRPr="009B39E4">
        <w:rPr>
          <w:rFonts w:ascii="Verdana" w:hAnsi="Verdana" w:cs="Arial"/>
          <w:color w:val="000000"/>
          <w:spacing w:val="-4"/>
          <w:sz w:val="20"/>
          <w:szCs w:val="20"/>
          <w:lang w:val="es-AR"/>
        </w:rPr>
        <w:t xml:space="preserve">. </w:t>
      </w:r>
      <w:r w:rsidRPr="009B39E4">
        <w:rPr>
          <w:rFonts w:ascii="Verdana" w:hAnsi="Verdana"/>
          <w:spacing w:val="-4"/>
          <w:sz w:val="20"/>
          <w:szCs w:val="20"/>
          <w:lang w:val="es-AR"/>
        </w:rPr>
        <w:t xml:space="preserve">En caso de que ello no sea posible, las mencionadas personas privadas de libertad </w:t>
      </w:r>
      <w:r w:rsidRPr="009B39E4">
        <w:rPr>
          <w:rFonts w:ascii="Verdana" w:hAnsi="Verdana" w:cs="Arial"/>
          <w:color w:val="000000"/>
          <w:spacing w:val="-4"/>
          <w:sz w:val="20"/>
          <w:szCs w:val="20"/>
          <w:lang w:val="es-AR"/>
        </w:rPr>
        <w:t xml:space="preserve">no deben permanecer en establecimientos carcelarios. </w:t>
      </w:r>
      <w:r w:rsidRPr="009B39E4">
        <w:rPr>
          <w:rFonts w:ascii="Verdana" w:hAnsi="Verdana"/>
          <w:spacing w:val="-4"/>
          <w:sz w:val="20"/>
          <w:szCs w:val="20"/>
          <w:lang w:val="es-AR"/>
        </w:rPr>
        <w:t xml:space="preserve">Si el Estado no puede garantizar dicha atención en el centro penitenciario, está “obligado a establecer un mecanismo o protocolo de atención ágil y efectivo para asegurar que la supervisión médica </w:t>
      </w:r>
      <w:r w:rsidRPr="009B39E4">
        <w:rPr>
          <w:rFonts w:ascii="Verdana" w:hAnsi="Verdana" w:cs="Verdana"/>
          <w:spacing w:val="-4"/>
          <w:sz w:val="20"/>
          <w:szCs w:val="20"/>
          <w:lang w:val="es-AR"/>
        </w:rPr>
        <w:t>[sea]</w:t>
      </w:r>
      <w:r w:rsidRPr="009B39E4">
        <w:rPr>
          <w:rFonts w:ascii="Verdana" w:hAnsi="Verdana"/>
          <w:spacing w:val="-4"/>
          <w:sz w:val="20"/>
          <w:szCs w:val="20"/>
          <w:lang w:val="es-AR"/>
        </w:rPr>
        <w:t xml:space="preserve"> oportuna y sistemática, particularmente ante alguna situación de emergencia”. Los procedimientos establecidos para la consulta externa en hospitales deben tener “la agilidad necesaria para permitir, de manera efectiva, un tratamiento médico oportuno”</w:t>
      </w:r>
      <w:r w:rsidRPr="00395069">
        <w:rPr>
          <w:rStyle w:val="Refdenotaalpie"/>
          <w:rFonts w:cs="Arial"/>
          <w:spacing w:val="-4"/>
          <w:sz w:val="20"/>
          <w:szCs w:val="20"/>
        </w:rPr>
        <w:footnoteReference w:id="21"/>
      </w:r>
      <w:r w:rsidRPr="009B39E4">
        <w:rPr>
          <w:rFonts w:ascii="Verdana" w:hAnsi="Verdana"/>
          <w:spacing w:val="-4"/>
          <w:sz w:val="20"/>
          <w:szCs w:val="20"/>
          <w:lang w:val="es-AR"/>
        </w:rPr>
        <w:t xml:space="preserve">. </w:t>
      </w:r>
      <w:bookmarkStart w:id="5" w:name="_Ref46245883"/>
    </w:p>
    <w:p w14:paraId="51025227" w14:textId="77777777" w:rsidR="009B39E4" w:rsidRPr="009B39E4" w:rsidRDefault="009B39E4" w:rsidP="009B39E4">
      <w:pPr>
        <w:pStyle w:val="Prrafodelista"/>
        <w:rPr>
          <w:rFonts w:ascii="Verdana" w:hAnsi="Verdana"/>
          <w:spacing w:val="-4"/>
          <w:sz w:val="20"/>
          <w:szCs w:val="20"/>
          <w:lang w:val="es-AR"/>
        </w:rPr>
      </w:pPr>
    </w:p>
    <w:p w14:paraId="01A504C7" w14:textId="77D643B8" w:rsidR="009B39E4" w:rsidRPr="009B39E4" w:rsidRDefault="009B39E4" w:rsidP="009B39E4">
      <w:pPr>
        <w:pStyle w:val="Prrafodelista"/>
        <w:numPr>
          <w:ilvl w:val="0"/>
          <w:numId w:val="25"/>
        </w:numPr>
        <w:autoSpaceDE w:val="0"/>
        <w:autoSpaceDN w:val="0"/>
        <w:adjustRightInd w:val="0"/>
        <w:spacing w:after="0" w:line="240" w:lineRule="auto"/>
        <w:ind w:left="0" w:firstLine="0"/>
        <w:jc w:val="both"/>
        <w:rPr>
          <w:rFonts w:ascii="Verdana" w:hAnsi="Verdana"/>
          <w:spacing w:val="-4"/>
          <w:sz w:val="20"/>
          <w:szCs w:val="20"/>
          <w:lang w:val="es-ES"/>
        </w:rPr>
      </w:pPr>
      <w:r w:rsidRPr="009B39E4">
        <w:rPr>
          <w:rFonts w:ascii="Verdana" w:hAnsi="Verdana"/>
          <w:spacing w:val="-4"/>
          <w:sz w:val="20"/>
          <w:szCs w:val="20"/>
          <w:lang w:val="es-AR"/>
        </w:rPr>
        <w:t xml:space="preserve">En ese sentido, en el marco de la supervisión de cumplimiento de las Sentencias de los </w:t>
      </w:r>
      <w:r w:rsidRPr="009B39E4">
        <w:rPr>
          <w:rFonts w:ascii="Verdana" w:hAnsi="Verdana"/>
          <w:i/>
          <w:spacing w:val="-4"/>
          <w:sz w:val="20"/>
          <w:szCs w:val="20"/>
          <w:lang w:val="es-AR"/>
        </w:rPr>
        <w:t>casos Barrios Altos y La Cantuta Vs. Perú</w:t>
      </w:r>
      <w:r w:rsidRPr="009B39E4">
        <w:rPr>
          <w:rFonts w:ascii="Verdana" w:hAnsi="Verdana"/>
          <w:spacing w:val="-4"/>
          <w:sz w:val="20"/>
          <w:szCs w:val="20"/>
          <w:lang w:val="es-AR"/>
        </w:rPr>
        <w:t>, esta Corte agregó que “dependiendo de factores como situación de salud, riesgo a la vida, condiciones de detención y facilidades para ser atendido adecuadamente (ya sea en el centro penal o mediante traslado a un centro médico), corresponde al Estado valorar proporcionalmente cuál es la medida de carácter administrativo o figura jurídica que permita proteger la vida y la integridad del condenado, siempre que la misma se otorgue debidamente y siguiendo un fin legítimo que no signifique únicamente dejar de asegurar la ejecución de la pena”</w:t>
      </w:r>
      <w:r>
        <w:rPr>
          <w:rStyle w:val="Refdenotaalpie"/>
          <w:spacing w:val="-4"/>
          <w:szCs w:val="20"/>
          <w:lang w:val="es-AR"/>
        </w:rPr>
        <w:footnoteReference w:id="22"/>
      </w:r>
      <w:r w:rsidRPr="009B39E4">
        <w:rPr>
          <w:rFonts w:ascii="Verdana" w:hAnsi="Verdana"/>
          <w:spacing w:val="-4"/>
          <w:sz w:val="20"/>
          <w:szCs w:val="20"/>
          <w:lang w:val="es-AR"/>
        </w:rPr>
        <w:t xml:space="preserve">. </w:t>
      </w:r>
      <w:r w:rsidRPr="009B39E4">
        <w:rPr>
          <w:rFonts w:ascii="Verdana" w:hAnsi="Verdana"/>
          <w:spacing w:val="-4"/>
          <w:sz w:val="20"/>
          <w:szCs w:val="20"/>
          <w:lang w:val="es-AR"/>
        </w:rPr>
        <w:lastRenderedPageBreak/>
        <w:t>Tratándose de casos de “graves violaciones de derechos humanos”, el Tribunal resaltó lo siguiente:</w:t>
      </w:r>
      <w:bookmarkEnd w:id="5"/>
      <w:r w:rsidRPr="009B39E4">
        <w:rPr>
          <w:rFonts w:ascii="Verdana" w:hAnsi="Verdana"/>
          <w:spacing w:val="-4"/>
          <w:sz w:val="20"/>
          <w:szCs w:val="20"/>
          <w:lang w:val="es-AR"/>
        </w:rPr>
        <w:t xml:space="preserve"> </w:t>
      </w:r>
    </w:p>
    <w:p w14:paraId="043FC53D" w14:textId="55EE53D9" w:rsidR="0061158A" w:rsidRDefault="0061158A" w:rsidP="0061158A">
      <w:pPr>
        <w:autoSpaceDE w:val="0"/>
        <w:autoSpaceDN w:val="0"/>
        <w:adjustRightInd w:val="0"/>
        <w:spacing w:before="120" w:after="120"/>
        <w:ind w:left="426" w:right="566"/>
        <w:jc w:val="both"/>
        <w:rPr>
          <w:rFonts w:ascii="Verdana" w:eastAsiaTheme="minorHAnsi" w:hAnsi="Verdana" w:cs="Verdana"/>
          <w:color w:val="000000"/>
          <w:sz w:val="16"/>
          <w:szCs w:val="16"/>
          <w:lang w:val="es-CR"/>
        </w:rPr>
      </w:pPr>
      <w:r w:rsidRPr="00CF21D6">
        <w:rPr>
          <w:rFonts w:ascii="Verdana" w:eastAsiaTheme="minorHAnsi" w:hAnsi="Verdana" w:cs="Verdana"/>
          <w:color w:val="000000"/>
          <w:sz w:val="16"/>
          <w:szCs w:val="16"/>
          <w:lang w:val="es-CR"/>
        </w:rPr>
        <w:t xml:space="preserve">dicha medida o figura jurídica debe ser la que menos restrinja el derecho de acceso a la justicia de las víctimas </w:t>
      </w:r>
      <w:r w:rsidRPr="00CF21D6">
        <w:rPr>
          <w:rFonts w:ascii="Verdana" w:eastAsiaTheme="minorHAnsi" w:hAnsi="Verdana" w:cs="Verdana"/>
          <w:iCs/>
          <w:color w:val="000000"/>
          <w:sz w:val="16"/>
          <w:szCs w:val="16"/>
          <w:lang w:val="es-CR"/>
        </w:rPr>
        <w:t>[…]</w:t>
      </w:r>
      <w:r>
        <w:rPr>
          <w:rFonts w:ascii="Verdana" w:eastAsiaTheme="minorHAnsi" w:hAnsi="Verdana" w:cs="Verdana"/>
          <w:i/>
          <w:iCs/>
          <w:color w:val="000000"/>
          <w:sz w:val="16"/>
          <w:szCs w:val="16"/>
          <w:lang w:val="es-CR"/>
        </w:rPr>
        <w:t xml:space="preserve"> </w:t>
      </w:r>
      <w:r w:rsidRPr="00CF21D6">
        <w:rPr>
          <w:rFonts w:ascii="Verdana" w:eastAsiaTheme="minorHAnsi" w:hAnsi="Verdana" w:cs="Verdana"/>
          <w:color w:val="000000"/>
          <w:sz w:val="16"/>
          <w:szCs w:val="16"/>
          <w:lang w:val="es-CR"/>
        </w:rPr>
        <w:t xml:space="preserve">y debe ser aplicada en casos muy extremos y por una necesidad imperante. Esto no significa que la figura jurídica o medida que tenga que adoptar el Estado sea necesariamente una que ponga en libertad al condenado y, mucho menos, que implique la extinción de la pena. Corresponde </w:t>
      </w:r>
      <w:proofErr w:type="gramStart"/>
      <w:r w:rsidRPr="00CF21D6">
        <w:rPr>
          <w:rFonts w:ascii="Verdana" w:eastAsiaTheme="minorHAnsi" w:hAnsi="Verdana" w:cs="Verdana"/>
          <w:color w:val="000000"/>
          <w:sz w:val="16"/>
          <w:szCs w:val="16"/>
          <w:lang w:val="es-CR"/>
        </w:rPr>
        <w:t>determinar</w:t>
      </w:r>
      <w:proofErr w:type="gramEnd"/>
      <w:r w:rsidRPr="00CF21D6">
        <w:rPr>
          <w:rFonts w:ascii="Verdana" w:eastAsiaTheme="minorHAnsi" w:hAnsi="Verdana" w:cs="Verdana"/>
          <w:color w:val="000000"/>
          <w:sz w:val="16"/>
          <w:szCs w:val="16"/>
          <w:lang w:val="es-CR"/>
        </w:rPr>
        <w:t xml:space="preserve"> primeramente, de acuerdo con otros factores, si habría una medida que permita una atención médica efectiva (por ejemplo, asegurar que el condenado, de forma efectiva y pronta, pueda acudir a las citas o procedimientos médicos correspondientes y medidas y protocolos que permitan una atención médica de urgencia) </w:t>
      </w:r>
      <w:r>
        <w:rPr>
          <w:rFonts w:ascii="Verdana" w:eastAsiaTheme="minorHAnsi" w:hAnsi="Verdana" w:cs="Verdana"/>
          <w:color w:val="000000"/>
          <w:sz w:val="16"/>
          <w:szCs w:val="16"/>
          <w:lang w:val="es-CR"/>
        </w:rPr>
        <w:t xml:space="preserve">[…] </w:t>
      </w:r>
      <w:r w:rsidRPr="00CF21D6">
        <w:rPr>
          <w:rFonts w:ascii="Verdana" w:eastAsiaTheme="minorHAnsi" w:hAnsi="Verdana" w:cs="Verdana"/>
          <w:color w:val="000000"/>
          <w:sz w:val="16"/>
          <w:szCs w:val="16"/>
          <w:lang w:val="es-CR"/>
        </w:rPr>
        <w:t>o si resulta necesario aplicar una institución jurídica apropiada que modifique la pena o permita una libertad anticipada</w:t>
      </w:r>
      <w:r w:rsidRPr="00A46C0C">
        <w:rPr>
          <w:rFonts w:ascii="Verdana" w:eastAsiaTheme="minorHAnsi" w:hAnsi="Verdana" w:cs="Verdana"/>
          <w:color w:val="000000"/>
          <w:sz w:val="16"/>
          <w:szCs w:val="16"/>
          <w:vertAlign w:val="superscript"/>
        </w:rPr>
        <w:footnoteReference w:id="23"/>
      </w:r>
      <w:r w:rsidRPr="00CF21D6">
        <w:rPr>
          <w:rFonts w:ascii="Verdana" w:eastAsiaTheme="minorHAnsi" w:hAnsi="Verdana" w:cs="Verdana"/>
          <w:color w:val="000000"/>
          <w:sz w:val="16"/>
          <w:szCs w:val="16"/>
          <w:lang w:val="es-CR"/>
        </w:rPr>
        <w:t xml:space="preserve">. </w:t>
      </w:r>
    </w:p>
    <w:p w14:paraId="33137F87" w14:textId="77777777" w:rsidR="002C0FC0" w:rsidRPr="003F4F81" w:rsidRDefault="002C0FC0" w:rsidP="0061158A">
      <w:pPr>
        <w:autoSpaceDE w:val="0"/>
        <w:autoSpaceDN w:val="0"/>
        <w:adjustRightInd w:val="0"/>
        <w:spacing w:before="120" w:after="120"/>
        <w:ind w:left="426" w:right="566"/>
        <w:jc w:val="both"/>
        <w:rPr>
          <w:rFonts w:ascii="Verdana" w:eastAsiaTheme="minorHAnsi" w:hAnsi="Verdana" w:cs="Verdana"/>
          <w:color w:val="000000"/>
          <w:sz w:val="16"/>
          <w:szCs w:val="16"/>
          <w:lang w:val="es-CR"/>
        </w:rPr>
      </w:pPr>
    </w:p>
    <w:p w14:paraId="1297B4B8" w14:textId="64F103EC" w:rsidR="004C76AE" w:rsidRPr="002C0FC0" w:rsidRDefault="004C76AE" w:rsidP="006A5B8D">
      <w:pPr>
        <w:pStyle w:val="Prrafodelista"/>
        <w:numPr>
          <w:ilvl w:val="0"/>
          <w:numId w:val="25"/>
        </w:numPr>
        <w:autoSpaceDE w:val="0"/>
        <w:autoSpaceDN w:val="0"/>
        <w:adjustRightInd w:val="0"/>
        <w:spacing w:after="0" w:line="240" w:lineRule="auto"/>
        <w:ind w:left="0" w:firstLine="0"/>
        <w:jc w:val="both"/>
        <w:rPr>
          <w:rFonts w:ascii="Verdana" w:hAnsi="Verdana"/>
          <w:spacing w:val="-4"/>
          <w:sz w:val="20"/>
          <w:szCs w:val="20"/>
          <w:lang w:val="es-CR"/>
        </w:rPr>
      </w:pPr>
      <w:bookmarkStart w:id="6" w:name="_Ref46128064"/>
      <w:r w:rsidRPr="002C0FC0">
        <w:rPr>
          <w:rFonts w:ascii="Verdana" w:hAnsi="Verdana"/>
          <w:spacing w:val="-4"/>
          <w:sz w:val="20"/>
          <w:szCs w:val="20"/>
          <w:lang w:val="es-CR"/>
        </w:rPr>
        <w:t xml:space="preserve">De la </w:t>
      </w:r>
      <w:r w:rsidRPr="002C0FC0">
        <w:rPr>
          <w:rFonts w:ascii="Verdana" w:hAnsi="Verdana" w:cs="Calibri"/>
          <w:spacing w:val="-4"/>
          <w:sz w:val="20"/>
          <w:szCs w:val="20"/>
          <w:lang w:val="es-CR"/>
        </w:rPr>
        <w:t>información</w:t>
      </w:r>
      <w:r w:rsidRPr="002C0FC0">
        <w:rPr>
          <w:rFonts w:ascii="Verdana" w:hAnsi="Verdana"/>
          <w:spacing w:val="-4"/>
          <w:sz w:val="20"/>
          <w:szCs w:val="20"/>
          <w:lang w:val="es-CR"/>
        </w:rPr>
        <w:t xml:space="preserve"> aportada por las partes, este Tribunal nota, en primer lugar, que </w:t>
      </w:r>
      <w:r w:rsidR="00ED575D" w:rsidRPr="002C0FC0">
        <w:rPr>
          <w:rFonts w:ascii="Verdana" w:hAnsi="Verdana"/>
          <w:spacing w:val="-4"/>
          <w:sz w:val="20"/>
          <w:szCs w:val="20"/>
          <w:lang w:val="es-CR"/>
        </w:rPr>
        <w:t>cuatro</w:t>
      </w:r>
      <w:r w:rsidRPr="002C0FC0">
        <w:rPr>
          <w:rFonts w:ascii="Verdana" w:hAnsi="Verdana"/>
          <w:spacing w:val="-4"/>
          <w:sz w:val="20"/>
          <w:szCs w:val="20"/>
          <w:lang w:val="es-CR"/>
        </w:rPr>
        <w:t xml:space="preserve"> de los </w:t>
      </w:r>
      <w:r w:rsidR="00D90211" w:rsidRPr="002C0FC0">
        <w:rPr>
          <w:rFonts w:ascii="Verdana" w:hAnsi="Verdana"/>
          <w:spacing w:val="-4"/>
          <w:sz w:val="20"/>
          <w:szCs w:val="20"/>
          <w:lang w:val="es-CR"/>
        </w:rPr>
        <w:t>p</w:t>
      </w:r>
      <w:r w:rsidRPr="002C0FC0">
        <w:rPr>
          <w:rFonts w:ascii="Verdana" w:hAnsi="Verdana"/>
          <w:spacing w:val="-4"/>
          <w:sz w:val="20"/>
          <w:szCs w:val="20"/>
          <w:lang w:val="es-CR"/>
        </w:rPr>
        <w:t>ropuestos beneficiarios sufren de enfermedades o condiciones preexistentes de salud</w:t>
      </w:r>
      <w:r w:rsidR="00D90211" w:rsidRPr="002C0FC0">
        <w:rPr>
          <w:rStyle w:val="Refdenotaalpie"/>
          <w:spacing w:val="-4"/>
          <w:sz w:val="20"/>
          <w:szCs w:val="20"/>
          <w:lang w:val="es-CR"/>
        </w:rPr>
        <w:footnoteReference w:id="24"/>
      </w:r>
      <w:r w:rsidRPr="002C0FC0">
        <w:rPr>
          <w:rFonts w:ascii="Verdana" w:hAnsi="Verdana"/>
          <w:spacing w:val="-4"/>
          <w:sz w:val="20"/>
          <w:szCs w:val="20"/>
          <w:lang w:val="es-CR"/>
        </w:rPr>
        <w:t>. Dos de ellos ta</w:t>
      </w:r>
      <w:r w:rsidR="00DA5204" w:rsidRPr="002C0FC0">
        <w:rPr>
          <w:rFonts w:ascii="Verdana" w:hAnsi="Verdana"/>
          <w:spacing w:val="-4"/>
          <w:sz w:val="20"/>
          <w:szCs w:val="20"/>
          <w:lang w:val="es-CR"/>
        </w:rPr>
        <w:t>mbién son personas mayores y</w:t>
      </w:r>
      <w:r w:rsidR="00D10531" w:rsidRPr="002C0FC0">
        <w:rPr>
          <w:rFonts w:ascii="Verdana" w:hAnsi="Verdana"/>
          <w:spacing w:val="-4"/>
          <w:sz w:val="20"/>
          <w:szCs w:val="20"/>
          <w:lang w:val="es-CR"/>
        </w:rPr>
        <w:t xml:space="preserve"> </w:t>
      </w:r>
      <w:r w:rsidRPr="002C0FC0">
        <w:rPr>
          <w:rFonts w:ascii="Verdana" w:hAnsi="Verdana"/>
          <w:spacing w:val="-4"/>
          <w:sz w:val="20"/>
          <w:szCs w:val="20"/>
          <w:lang w:val="es-CR"/>
        </w:rPr>
        <w:t xml:space="preserve">otros </w:t>
      </w:r>
      <w:r w:rsidR="00ED575D" w:rsidRPr="002C0FC0">
        <w:rPr>
          <w:rFonts w:ascii="Verdana" w:hAnsi="Verdana"/>
          <w:spacing w:val="-4"/>
          <w:sz w:val="20"/>
          <w:szCs w:val="20"/>
          <w:lang w:val="es-CR"/>
        </w:rPr>
        <w:t>tres</w:t>
      </w:r>
      <w:r w:rsidRPr="002C0FC0">
        <w:rPr>
          <w:rFonts w:ascii="Verdana" w:hAnsi="Verdana"/>
          <w:spacing w:val="-4"/>
          <w:sz w:val="20"/>
          <w:szCs w:val="20"/>
          <w:lang w:val="es-CR"/>
        </w:rPr>
        <w:t xml:space="preserve"> tienen más de 50 años. Tales circunstancias los posicionan como personas con factores de riesgo frente al COVID-19. Además, según refirieron los intervinientes comunes, todos ellos tienen “</w:t>
      </w:r>
      <w:r w:rsidRPr="002C0FC0">
        <w:rPr>
          <w:rFonts w:ascii="Verdana" w:hAnsi="Verdana"/>
          <w:spacing w:val="-4"/>
          <w:sz w:val="20"/>
          <w:szCs w:val="20"/>
          <w:lang w:val="es-AR"/>
        </w:rPr>
        <w:t>27 años de prisión en promedio”, lo cual habría contribuido a debilitar su salud</w:t>
      </w:r>
      <w:r w:rsidRPr="002C0FC0">
        <w:rPr>
          <w:rFonts w:ascii="Verdana" w:hAnsi="Verdana"/>
          <w:spacing w:val="-4"/>
          <w:sz w:val="20"/>
          <w:szCs w:val="20"/>
          <w:lang w:val="es-CR"/>
        </w:rPr>
        <w:t>. La Organización Mundial de la Salud ha detallado que las personas mayores</w:t>
      </w:r>
      <w:r w:rsidRPr="002C0FC0">
        <w:rPr>
          <w:rStyle w:val="Refdenotaalpie"/>
          <w:spacing w:val="-4"/>
          <w:sz w:val="20"/>
          <w:szCs w:val="20"/>
          <w:lang w:val="es-AR"/>
        </w:rPr>
        <w:footnoteReference w:id="25"/>
      </w:r>
      <w:r w:rsidRPr="002C0FC0">
        <w:rPr>
          <w:rFonts w:ascii="Verdana" w:hAnsi="Verdana"/>
          <w:spacing w:val="-4"/>
          <w:sz w:val="20"/>
          <w:szCs w:val="20"/>
          <w:lang w:val="es-CR"/>
        </w:rPr>
        <w:t xml:space="preserve"> y aquellas que padecen afecciones médicas subyacentes se encuentran en una situación de mayor vulnerabilidad frente al virus, así como un mayor riesgo de sufrir complicaciones en caso de contagio</w:t>
      </w:r>
      <w:r w:rsidRPr="002C0FC0">
        <w:rPr>
          <w:rStyle w:val="Refdenotaalpie"/>
          <w:spacing w:val="-4"/>
          <w:sz w:val="20"/>
          <w:szCs w:val="20"/>
          <w:lang w:val="es-CR"/>
        </w:rPr>
        <w:footnoteReference w:id="26"/>
      </w:r>
      <w:r w:rsidRPr="002C0FC0">
        <w:rPr>
          <w:rFonts w:ascii="Verdana" w:hAnsi="Verdana"/>
          <w:spacing w:val="-4"/>
          <w:sz w:val="20"/>
          <w:szCs w:val="20"/>
          <w:lang w:val="es-CR"/>
        </w:rPr>
        <w:t xml:space="preserve">. En este sentido, teniendo en cuenta la información científica divulgada hasta el momento por diversas entidades, los </w:t>
      </w:r>
      <w:r w:rsidR="0069676E" w:rsidRPr="002C0FC0">
        <w:rPr>
          <w:rFonts w:ascii="Verdana" w:hAnsi="Verdana"/>
          <w:spacing w:val="-4"/>
          <w:sz w:val="20"/>
          <w:szCs w:val="20"/>
          <w:lang w:val="es-CR"/>
        </w:rPr>
        <w:t xml:space="preserve">cinco </w:t>
      </w:r>
      <w:r w:rsidRPr="002C0FC0">
        <w:rPr>
          <w:rFonts w:ascii="Verdana" w:hAnsi="Verdana"/>
          <w:spacing w:val="-4"/>
          <w:sz w:val="20"/>
          <w:szCs w:val="20"/>
          <w:lang w:val="es-CR"/>
        </w:rPr>
        <w:t>propuestos beneficiarios son personas que</w:t>
      </w:r>
      <w:r w:rsidR="002273EA" w:rsidRPr="002C0FC0">
        <w:rPr>
          <w:rFonts w:ascii="Verdana" w:hAnsi="Verdana"/>
          <w:spacing w:val="-4"/>
          <w:sz w:val="20"/>
          <w:szCs w:val="20"/>
          <w:lang w:val="es-CR"/>
        </w:rPr>
        <w:t>,</w:t>
      </w:r>
      <w:r w:rsidRPr="002C0FC0">
        <w:rPr>
          <w:rFonts w:ascii="Verdana" w:hAnsi="Verdana"/>
          <w:spacing w:val="-4"/>
          <w:sz w:val="20"/>
          <w:szCs w:val="20"/>
          <w:lang w:val="es-CR"/>
        </w:rPr>
        <w:t xml:space="preserve"> por su edad, condiciones subyacentes de salud y condición de privación de libertad, presentan mayor riesgo de sufrir complicaciones frente al contagio del COVID-19.</w:t>
      </w:r>
      <w:bookmarkEnd w:id="6"/>
      <w:r w:rsidRPr="002C0FC0">
        <w:rPr>
          <w:rFonts w:ascii="Verdana" w:hAnsi="Verdana"/>
          <w:spacing w:val="-4"/>
          <w:sz w:val="20"/>
          <w:szCs w:val="20"/>
          <w:lang w:val="es-CR"/>
        </w:rPr>
        <w:t xml:space="preserve"> </w:t>
      </w:r>
    </w:p>
    <w:p w14:paraId="4D9BAA5B" w14:textId="77777777" w:rsidR="00595AED" w:rsidRPr="002C0FC0" w:rsidRDefault="00595AED" w:rsidP="004C76AE">
      <w:pPr>
        <w:pStyle w:val="Prrafodelista"/>
        <w:autoSpaceDE w:val="0"/>
        <w:autoSpaceDN w:val="0"/>
        <w:adjustRightInd w:val="0"/>
        <w:spacing w:after="0" w:line="240" w:lineRule="auto"/>
        <w:ind w:left="0"/>
        <w:jc w:val="both"/>
        <w:rPr>
          <w:rFonts w:ascii="Verdana" w:hAnsi="Verdana"/>
          <w:spacing w:val="-4"/>
          <w:sz w:val="20"/>
          <w:szCs w:val="20"/>
          <w:lang w:val="es-CR"/>
        </w:rPr>
      </w:pPr>
    </w:p>
    <w:p w14:paraId="47020C5E" w14:textId="34A14A0A" w:rsidR="00AF418E" w:rsidRDefault="004121DD" w:rsidP="00AF418E">
      <w:pPr>
        <w:pStyle w:val="Prrafodelista"/>
        <w:numPr>
          <w:ilvl w:val="0"/>
          <w:numId w:val="25"/>
        </w:numPr>
        <w:autoSpaceDE w:val="0"/>
        <w:autoSpaceDN w:val="0"/>
        <w:adjustRightInd w:val="0"/>
        <w:spacing w:after="0" w:line="240" w:lineRule="auto"/>
        <w:ind w:left="0" w:firstLine="0"/>
        <w:jc w:val="both"/>
        <w:rPr>
          <w:rFonts w:ascii="Verdana" w:hAnsi="Verdana"/>
          <w:spacing w:val="-4"/>
          <w:sz w:val="20"/>
          <w:szCs w:val="20"/>
          <w:lang w:val="es-CR"/>
        </w:rPr>
      </w:pPr>
      <w:bookmarkStart w:id="7" w:name="_Ref46157692"/>
      <w:r w:rsidRPr="002C0FC0">
        <w:rPr>
          <w:rFonts w:ascii="Verdana" w:hAnsi="Verdana"/>
          <w:spacing w:val="-4"/>
          <w:sz w:val="20"/>
          <w:szCs w:val="20"/>
          <w:lang w:val="es-CR"/>
        </w:rPr>
        <w:t>Este Tribunal nota, asimismo, que los intervinientes comunes interpusieron la solicitud de medidas provisionales, inicialmente, con el objeto de evitar que los cinco propuestos beneficiarios se contagiaran del virus, o que los cuatro que creían estar contagiados (con base en los síntomas que tenían, aun cuando no se les había realizado pruebas de diagnóstico) pudieran recibir atención médica y medicamentos, así como que los cinco fueran sujetos a detención domiciliaria. Al momento de interponer la solicitud a mediados de mayo de 2020, a ninguno de ellos se les había realizado dicha prueba, pero ya se había constatado más de 1500 de personas contagiadas con COVID-19 en establecimientos penitenciarios del Perú y más de 100 fallecidos a causa del virus (entre personas privadas de libertad y trabajadores del Instituto Nacional Penitenciario).</w:t>
      </w:r>
      <w:r w:rsidR="004C76AE" w:rsidRPr="002C0FC0">
        <w:rPr>
          <w:rFonts w:ascii="Verdana" w:hAnsi="Verdana"/>
          <w:spacing w:val="-4"/>
          <w:sz w:val="20"/>
          <w:szCs w:val="20"/>
          <w:lang w:val="es-CR"/>
        </w:rPr>
        <w:t xml:space="preserve"> </w:t>
      </w:r>
      <w:r w:rsidRPr="002C0FC0">
        <w:rPr>
          <w:rFonts w:ascii="Verdana" w:hAnsi="Verdana"/>
          <w:spacing w:val="-4"/>
          <w:sz w:val="20"/>
          <w:szCs w:val="20"/>
          <w:lang w:val="es-CR"/>
        </w:rPr>
        <w:t xml:space="preserve">Con posterioridad a la presentación de la referida solicitud, y luego de que se le solicitara información al respecto, el Perú procedió a la realización de pruebas de descarte de COVID-19. </w:t>
      </w:r>
      <w:r w:rsidR="004C76AE" w:rsidRPr="002C0FC0">
        <w:rPr>
          <w:rFonts w:ascii="Verdana" w:hAnsi="Verdana"/>
          <w:spacing w:val="-4"/>
          <w:sz w:val="20"/>
          <w:szCs w:val="20"/>
          <w:lang w:val="es-CR"/>
        </w:rPr>
        <w:t xml:space="preserve">De la información presentada por el Estado </w:t>
      </w:r>
      <w:r w:rsidRPr="002C0FC0">
        <w:rPr>
          <w:rFonts w:ascii="Verdana" w:hAnsi="Verdana"/>
          <w:spacing w:val="-4"/>
          <w:sz w:val="20"/>
          <w:szCs w:val="20"/>
          <w:lang w:val="es-CR"/>
        </w:rPr>
        <w:t>(</w:t>
      </w:r>
      <w:r w:rsidRPr="002C0FC0">
        <w:rPr>
          <w:rFonts w:ascii="Verdana" w:hAnsi="Verdana"/>
          <w:i/>
          <w:spacing w:val="-4"/>
          <w:sz w:val="20"/>
          <w:szCs w:val="20"/>
          <w:lang w:val="es-CR"/>
        </w:rPr>
        <w:t xml:space="preserve">supra </w:t>
      </w:r>
      <w:r w:rsidRPr="002C0FC0">
        <w:rPr>
          <w:rFonts w:ascii="Verdana" w:hAnsi="Verdana"/>
          <w:spacing w:val="-4"/>
          <w:sz w:val="20"/>
          <w:szCs w:val="20"/>
          <w:lang w:val="es-CR"/>
        </w:rPr>
        <w:t xml:space="preserve">Considerando </w:t>
      </w:r>
      <w:r w:rsidRPr="002C0FC0">
        <w:rPr>
          <w:rFonts w:ascii="Verdana" w:hAnsi="Verdana"/>
          <w:spacing w:val="-4"/>
          <w:sz w:val="20"/>
          <w:szCs w:val="20"/>
          <w:lang w:val="es-CR"/>
        </w:rPr>
        <w:fldChar w:fldCharType="begin"/>
      </w:r>
      <w:r w:rsidRPr="002C0FC0">
        <w:rPr>
          <w:rFonts w:ascii="Verdana" w:hAnsi="Verdana"/>
          <w:spacing w:val="-4"/>
          <w:sz w:val="20"/>
          <w:szCs w:val="20"/>
          <w:lang w:val="es-CR"/>
        </w:rPr>
        <w:instrText xml:space="preserve"> REF _Ref46180975 \r \h  \* MERGEFORMAT </w:instrText>
      </w:r>
      <w:r w:rsidRPr="002C0FC0">
        <w:rPr>
          <w:rFonts w:ascii="Verdana" w:hAnsi="Verdana"/>
          <w:spacing w:val="-4"/>
          <w:sz w:val="20"/>
          <w:szCs w:val="20"/>
          <w:lang w:val="es-CR"/>
        </w:rPr>
      </w:r>
      <w:r w:rsidRPr="002C0FC0">
        <w:rPr>
          <w:rFonts w:ascii="Verdana" w:hAnsi="Verdana"/>
          <w:spacing w:val="-4"/>
          <w:sz w:val="20"/>
          <w:szCs w:val="20"/>
          <w:lang w:val="es-CR"/>
        </w:rPr>
        <w:fldChar w:fldCharType="separate"/>
      </w:r>
      <w:r w:rsidRPr="002C0FC0">
        <w:rPr>
          <w:rFonts w:ascii="Verdana" w:hAnsi="Verdana"/>
          <w:spacing w:val="-4"/>
          <w:sz w:val="20"/>
          <w:szCs w:val="20"/>
          <w:lang w:val="es-CR"/>
        </w:rPr>
        <w:t>11</w:t>
      </w:r>
      <w:r w:rsidRPr="002C0FC0">
        <w:rPr>
          <w:rFonts w:ascii="Verdana" w:hAnsi="Verdana"/>
          <w:spacing w:val="-4"/>
          <w:sz w:val="20"/>
          <w:szCs w:val="20"/>
          <w:lang w:val="es-CR"/>
        </w:rPr>
        <w:fldChar w:fldCharType="end"/>
      </w:r>
      <w:r w:rsidRPr="002C0FC0">
        <w:rPr>
          <w:rFonts w:ascii="Verdana" w:hAnsi="Verdana"/>
          <w:spacing w:val="-4"/>
          <w:sz w:val="20"/>
          <w:szCs w:val="20"/>
          <w:lang w:val="es-CR"/>
        </w:rPr>
        <w:t xml:space="preserve"> de la Resolución) </w:t>
      </w:r>
      <w:r w:rsidR="004C76AE" w:rsidRPr="002C0FC0">
        <w:rPr>
          <w:rFonts w:ascii="Verdana" w:hAnsi="Verdana"/>
          <w:spacing w:val="-4"/>
          <w:sz w:val="20"/>
          <w:szCs w:val="20"/>
          <w:lang w:val="es-CR"/>
        </w:rPr>
        <w:t xml:space="preserve">surge </w:t>
      </w:r>
      <w:r w:rsidR="002273EA" w:rsidRPr="002C0FC0">
        <w:rPr>
          <w:rFonts w:ascii="Verdana" w:hAnsi="Verdana"/>
          <w:spacing w:val="-4"/>
          <w:sz w:val="20"/>
          <w:szCs w:val="20"/>
          <w:lang w:val="es-CR"/>
        </w:rPr>
        <w:t xml:space="preserve">que, entre el 2 y el 5 de junio, </w:t>
      </w:r>
      <w:r w:rsidR="004C76AE" w:rsidRPr="002C0FC0">
        <w:rPr>
          <w:rFonts w:ascii="Verdana" w:hAnsi="Verdana"/>
          <w:spacing w:val="-4"/>
          <w:sz w:val="20"/>
          <w:szCs w:val="20"/>
          <w:lang w:val="es-CR"/>
        </w:rPr>
        <w:t xml:space="preserve">a </w:t>
      </w:r>
      <w:r w:rsidR="009E0FCF" w:rsidRPr="002C0FC0">
        <w:rPr>
          <w:rFonts w:ascii="Verdana" w:hAnsi="Verdana"/>
          <w:spacing w:val="-4"/>
          <w:sz w:val="20"/>
          <w:szCs w:val="20"/>
          <w:lang w:val="es-CR"/>
        </w:rPr>
        <w:t>cuatro</w:t>
      </w:r>
      <w:r w:rsidR="004C76AE" w:rsidRPr="002C0FC0">
        <w:rPr>
          <w:rFonts w:ascii="Verdana" w:hAnsi="Verdana"/>
          <w:spacing w:val="-4"/>
          <w:sz w:val="20"/>
          <w:szCs w:val="20"/>
          <w:lang w:val="es-CR"/>
        </w:rPr>
        <w:t xml:space="preserve"> de los </w:t>
      </w:r>
      <w:r w:rsidR="009E0FCF" w:rsidRPr="002C0FC0">
        <w:rPr>
          <w:rFonts w:ascii="Verdana" w:hAnsi="Verdana"/>
          <w:spacing w:val="-4"/>
          <w:sz w:val="20"/>
          <w:szCs w:val="20"/>
          <w:lang w:val="es-CR"/>
        </w:rPr>
        <w:t xml:space="preserve">cinco </w:t>
      </w:r>
      <w:r w:rsidR="004C76AE" w:rsidRPr="002C0FC0">
        <w:rPr>
          <w:rFonts w:ascii="Verdana" w:hAnsi="Verdana"/>
          <w:spacing w:val="-4"/>
          <w:sz w:val="20"/>
          <w:szCs w:val="20"/>
          <w:lang w:val="es-CR"/>
        </w:rPr>
        <w:t>propuestos beneficiarios se le</w:t>
      </w:r>
      <w:r w:rsidR="00A63075" w:rsidRPr="002C0FC0">
        <w:rPr>
          <w:rFonts w:ascii="Verdana" w:hAnsi="Verdana"/>
          <w:spacing w:val="-4"/>
          <w:sz w:val="20"/>
          <w:szCs w:val="20"/>
          <w:lang w:val="es-CR"/>
        </w:rPr>
        <w:t>s</w:t>
      </w:r>
      <w:r w:rsidR="004C76AE" w:rsidRPr="002C0FC0">
        <w:rPr>
          <w:rFonts w:ascii="Verdana" w:hAnsi="Verdana"/>
          <w:spacing w:val="-4"/>
          <w:sz w:val="20"/>
          <w:szCs w:val="20"/>
          <w:lang w:val="es-CR"/>
        </w:rPr>
        <w:t xml:space="preserve"> practicaron las referidas pruebas, de los cuales dos arrojaron resultado positivo </w:t>
      </w:r>
      <w:r w:rsidR="006C2793" w:rsidRPr="002C0FC0">
        <w:rPr>
          <w:rFonts w:ascii="Verdana" w:hAnsi="Verdana"/>
          <w:spacing w:val="-4"/>
          <w:sz w:val="20"/>
          <w:szCs w:val="20"/>
          <w:lang w:val="es-CR"/>
        </w:rPr>
        <w:t xml:space="preserve">(uno de ellos fue diagnosticado como un caso “leve”) </w:t>
      </w:r>
      <w:r w:rsidR="004C76AE" w:rsidRPr="002C0FC0">
        <w:rPr>
          <w:rFonts w:ascii="Verdana" w:hAnsi="Verdana"/>
          <w:spacing w:val="-4"/>
          <w:sz w:val="20"/>
          <w:szCs w:val="20"/>
          <w:lang w:val="es-CR"/>
        </w:rPr>
        <w:t xml:space="preserve">y </w:t>
      </w:r>
      <w:r w:rsidR="006C2793" w:rsidRPr="002C0FC0">
        <w:rPr>
          <w:rFonts w:ascii="Verdana" w:hAnsi="Verdana"/>
          <w:spacing w:val="-4"/>
          <w:sz w:val="20"/>
          <w:szCs w:val="20"/>
          <w:lang w:val="es-CR"/>
        </w:rPr>
        <w:t>dos</w:t>
      </w:r>
      <w:r w:rsidR="00C537B6" w:rsidRPr="002C0FC0">
        <w:rPr>
          <w:rFonts w:ascii="Verdana" w:hAnsi="Verdana"/>
          <w:spacing w:val="-4"/>
          <w:sz w:val="20"/>
          <w:szCs w:val="20"/>
          <w:lang w:val="es-CR"/>
        </w:rPr>
        <w:t xml:space="preserve"> resultado</w:t>
      </w:r>
      <w:r w:rsidR="004C76AE" w:rsidRPr="002C0FC0">
        <w:rPr>
          <w:rFonts w:ascii="Verdana" w:hAnsi="Verdana"/>
          <w:spacing w:val="-4"/>
          <w:sz w:val="20"/>
          <w:szCs w:val="20"/>
          <w:lang w:val="es-CR"/>
        </w:rPr>
        <w:t xml:space="preserve"> </w:t>
      </w:r>
      <w:r w:rsidRPr="002C0FC0">
        <w:rPr>
          <w:rFonts w:ascii="Verdana" w:hAnsi="Verdana"/>
          <w:spacing w:val="-4"/>
          <w:sz w:val="20"/>
          <w:szCs w:val="20"/>
          <w:lang w:val="es-CR"/>
        </w:rPr>
        <w:t>“no reactivo”</w:t>
      </w:r>
      <w:r w:rsidR="004C76AE" w:rsidRPr="002C0FC0">
        <w:rPr>
          <w:rFonts w:ascii="Verdana" w:hAnsi="Verdana"/>
          <w:spacing w:val="-4"/>
          <w:sz w:val="20"/>
          <w:szCs w:val="20"/>
          <w:lang w:val="es-CR"/>
        </w:rPr>
        <w:t xml:space="preserve">. </w:t>
      </w:r>
      <w:r w:rsidR="00B03C6B" w:rsidRPr="002C0FC0">
        <w:rPr>
          <w:rFonts w:ascii="Verdana" w:hAnsi="Verdana"/>
          <w:spacing w:val="-4"/>
          <w:sz w:val="20"/>
          <w:szCs w:val="20"/>
          <w:lang w:val="es-CR"/>
        </w:rPr>
        <w:t xml:space="preserve">En cuanto a la quinta persona, en su último informe, de 9 de junio, el Estado refirió que a la señora Liendo Gil no se le practicó la prueba ya que no presentaba </w:t>
      </w:r>
      <w:r w:rsidR="00B03C6B" w:rsidRPr="002C0FC0">
        <w:rPr>
          <w:rFonts w:ascii="Verdana" w:hAnsi="Verdana"/>
          <w:spacing w:val="-4"/>
          <w:sz w:val="20"/>
          <w:szCs w:val="20"/>
          <w:lang w:val="es-CR"/>
        </w:rPr>
        <w:lastRenderedPageBreak/>
        <w:t>sintomatología compatible con el COVID-19, y que había procedido a aislarla en un ambiente individual con baño propio y darle seguimiento médico diario. De ello se desprende</w:t>
      </w:r>
      <w:r w:rsidR="002156E1" w:rsidRPr="002C0FC0">
        <w:rPr>
          <w:rFonts w:ascii="Verdana" w:hAnsi="Verdana"/>
          <w:spacing w:val="-4"/>
          <w:sz w:val="20"/>
          <w:szCs w:val="20"/>
          <w:lang w:val="es-CR"/>
        </w:rPr>
        <w:t xml:space="preserve"> que, como mínimo, para el 9 de junio, fecha del último informe estatal, dos de los c</w:t>
      </w:r>
      <w:r w:rsidR="00C90AB8" w:rsidRPr="002C0FC0">
        <w:rPr>
          <w:rFonts w:ascii="Verdana" w:hAnsi="Verdana"/>
          <w:spacing w:val="-4"/>
          <w:sz w:val="20"/>
          <w:szCs w:val="20"/>
          <w:lang w:val="es-CR"/>
        </w:rPr>
        <w:t>inco</w:t>
      </w:r>
      <w:r w:rsidR="002156E1" w:rsidRPr="002C0FC0">
        <w:rPr>
          <w:rFonts w:ascii="Verdana" w:hAnsi="Verdana"/>
          <w:spacing w:val="-4"/>
          <w:sz w:val="20"/>
          <w:szCs w:val="20"/>
          <w:lang w:val="es-CR"/>
        </w:rPr>
        <w:t xml:space="preserve"> propuestos beneficiarios </w:t>
      </w:r>
      <w:r w:rsidR="00F7397C" w:rsidRPr="002C0FC0">
        <w:rPr>
          <w:rFonts w:ascii="Verdana" w:hAnsi="Verdana"/>
          <w:spacing w:val="-4"/>
          <w:sz w:val="20"/>
          <w:szCs w:val="20"/>
          <w:lang w:val="es-CR"/>
        </w:rPr>
        <w:t xml:space="preserve">habían sido diagnosticados como </w:t>
      </w:r>
      <w:r w:rsidR="002156E1" w:rsidRPr="002C0FC0">
        <w:rPr>
          <w:rFonts w:ascii="Verdana" w:hAnsi="Verdana"/>
          <w:spacing w:val="-4"/>
          <w:sz w:val="20"/>
          <w:szCs w:val="20"/>
          <w:lang w:val="es-CR"/>
        </w:rPr>
        <w:t>contagiados.</w:t>
      </w:r>
      <w:bookmarkEnd w:id="7"/>
      <w:r w:rsidR="002156E1" w:rsidRPr="002C0FC0">
        <w:rPr>
          <w:rFonts w:ascii="Verdana" w:hAnsi="Verdana"/>
          <w:spacing w:val="-4"/>
          <w:sz w:val="20"/>
          <w:szCs w:val="20"/>
          <w:lang w:val="es-CR"/>
        </w:rPr>
        <w:t xml:space="preserve"> </w:t>
      </w:r>
      <w:bookmarkStart w:id="8" w:name="_Ref46158425"/>
    </w:p>
    <w:p w14:paraId="2AA23DF2" w14:textId="77777777" w:rsidR="00AF418E" w:rsidRDefault="00AF418E" w:rsidP="00AF418E">
      <w:pPr>
        <w:pStyle w:val="Prrafodelista"/>
        <w:autoSpaceDE w:val="0"/>
        <w:autoSpaceDN w:val="0"/>
        <w:adjustRightInd w:val="0"/>
        <w:spacing w:after="0" w:line="240" w:lineRule="auto"/>
        <w:ind w:left="0"/>
        <w:jc w:val="both"/>
        <w:rPr>
          <w:rFonts w:ascii="Verdana" w:hAnsi="Verdana"/>
          <w:spacing w:val="-4"/>
          <w:sz w:val="20"/>
          <w:szCs w:val="20"/>
          <w:lang w:val="es-CR"/>
        </w:rPr>
      </w:pPr>
    </w:p>
    <w:p w14:paraId="60FCABBE" w14:textId="528803AE" w:rsidR="004C76AE" w:rsidRPr="00AF418E" w:rsidRDefault="002156E1" w:rsidP="00AF418E">
      <w:pPr>
        <w:pStyle w:val="Prrafodelista"/>
        <w:numPr>
          <w:ilvl w:val="0"/>
          <w:numId w:val="25"/>
        </w:numPr>
        <w:autoSpaceDE w:val="0"/>
        <w:autoSpaceDN w:val="0"/>
        <w:adjustRightInd w:val="0"/>
        <w:spacing w:after="0" w:line="240" w:lineRule="auto"/>
        <w:ind w:left="0" w:firstLine="0"/>
        <w:jc w:val="both"/>
        <w:rPr>
          <w:rFonts w:ascii="Verdana" w:hAnsi="Verdana"/>
          <w:spacing w:val="-4"/>
          <w:sz w:val="20"/>
          <w:szCs w:val="20"/>
          <w:lang w:val="es-CR"/>
        </w:rPr>
      </w:pPr>
      <w:r w:rsidRPr="00AF418E">
        <w:rPr>
          <w:rFonts w:ascii="Verdana" w:hAnsi="Verdana"/>
          <w:spacing w:val="-4"/>
          <w:sz w:val="20"/>
          <w:szCs w:val="20"/>
          <w:lang w:val="es-CR"/>
        </w:rPr>
        <w:t xml:space="preserve">No obstante, en su escrito de 16 de junio, los intervinientes comunes sostuvieron que los </w:t>
      </w:r>
      <w:r w:rsidR="00B03C6B" w:rsidRPr="00AF418E">
        <w:rPr>
          <w:rFonts w:ascii="Verdana" w:hAnsi="Verdana"/>
          <w:spacing w:val="-4"/>
          <w:sz w:val="20"/>
          <w:szCs w:val="20"/>
          <w:lang w:val="es-CR"/>
        </w:rPr>
        <w:t>cinco</w:t>
      </w:r>
      <w:r w:rsidRPr="00AF418E">
        <w:rPr>
          <w:rFonts w:ascii="Verdana" w:hAnsi="Verdana"/>
          <w:spacing w:val="-4"/>
          <w:sz w:val="20"/>
          <w:szCs w:val="20"/>
          <w:lang w:val="es-CR"/>
        </w:rPr>
        <w:t xml:space="preserve"> propuestos beneficiarios estaban contagiados. En este sentido, destacaron que el tipo de pruebas realizadas por el Estado (comúnmente denominadas “pruebas rápidas”) posee un margen de error del 10%, por lo que la</w:t>
      </w:r>
      <w:r w:rsidR="00B03C6B" w:rsidRPr="00AF418E">
        <w:rPr>
          <w:rFonts w:ascii="Verdana" w:hAnsi="Verdana"/>
          <w:spacing w:val="-4"/>
          <w:sz w:val="20"/>
          <w:szCs w:val="20"/>
          <w:lang w:val="es-CR"/>
        </w:rPr>
        <w:t>s dos</w:t>
      </w:r>
      <w:r w:rsidRPr="00AF418E">
        <w:rPr>
          <w:rFonts w:ascii="Verdana" w:hAnsi="Verdana"/>
          <w:spacing w:val="-4"/>
          <w:sz w:val="20"/>
          <w:szCs w:val="20"/>
          <w:lang w:val="es-CR"/>
        </w:rPr>
        <w:t xml:space="preserve"> prueba</w:t>
      </w:r>
      <w:r w:rsidR="00B03C6B" w:rsidRPr="00AF418E">
        <w:rPr>
          <w:rFonts w:ascii="Verdana" w:hAnsi="Verdana"/>
          <w:spacing w:val="-4"/>
          <w:sz w:val="20"/>
          <w:szCs w:val="20"/>
          <w:lang w:val="es-CR"/>
        </w:rPr>
        <w:t>s</w:t>
      </w:r>
      <w:r w:rsidRPr="00AF418E">
        <w:rPr>
          <w:rFonts w:ascii="Verdana" w:hAnsi="Verdana"/>
          <w:spacing w:val="-4"/>
          <w:sz w:val="20"/>
          <w:szCs w:val="20"/>
          <w:lang w:val="es-CR"/>
        </w:rPr>
        <w:t xml:space="preserve"> que arroj</w:t>
      </w:r>
      <w:r w:rsidR="00B03C6B" w:rsidRPr="00AF418E">
        <w:rPr>
          <w:rFonts w:ascii="Verdana" w:hAnsi="Verdana"/>
          <w:spacing w:val="-4"/>
          <w:sz w:val="20"/>
          <w:szCs w:val="20"/>
          <w:lang w:val="es-CR"/>
        </w:rPr>
        <w:t>aron</w:t>
      </w:r>
      <w:r w:rsidRPr="00AF418E">
        <w:rPr>
          <w:rFonts w:ascii="Verdana" w:hAnsi="Verdana"/>
          <w:spacing w:val="-4"/>
          <w:sz w:val="20"/>
          <w:szCs w:val="20"/>
          <w:lang w:val="es-CR"/>
        </w:rPr>
        <w:t xml:space="preserve"> resultado </w:t>
      </w:r>
      <w:r w:rsidR="00342689" w:rsidRPr="00AF418E">
        <w:rPr>
          <w:rFonts w:ascii="Verdana" w:hAnsi="Verdana"/>
          <w:spacing w:val="-4"/>
          <w:sz w:val="20"/>
          <w:szCs w:val="20"/>
          <w:lang w:val="es-CR"/>
        </w:rPr>
        <w:t>“no reactivo”</w:t>
      </w:r>
      <w:r w:rsidRPr="00AF418E">
        <w:rPr>
          <w:rFonts w:ascii="Verdana" w:hAnsi="Verdana"/>
          <w:spacing w:val="-4"/>
          <w:sz w:val="20"/>
          <w:szCs w:val="20"/>
          <w:lang w:val="es-CR"/>
        </w:rPr>
        <w:t xml:space="preserve"> podría</w:t>
      </w:r>
      <w:r w:rsidR="00B03C6B" w:rsidRPr="00AF418E">
        <w:rPr>
          <w:rFonts w:ascii="Verdana" w:hAnsi="Verdana"/>
          <w:spacing w:val="-4"/>
          <w:sz w:val="20"/>
          <w:szCs w:val="20"/>
          <w:lang w:val="es-CR"/>
        </w:rPr>
        <w:t>n</w:t>
      </w:r>
      <w:r w:rsidRPr="00AF418E">
        <w:rPr>
          <w:rFonts w:ascii="Verdana" w:hAnsi="Verdana"/>
          <w:spacing w:val="-4"/>
          <w:sz w:val="20"/>
          <w:szCs w:val="20"/>
          <w:lang w:val="es-CR"/>
        </w:rPr>
        <w:t xml:space="preserve"> tratarse de “falso</w:t>
      </w:r>
      <w:r w:rsidR="00B03C6B" w:rsidRPr="00AF418E">
        <w:rPr>
          <w:rFonts w:ascii="Verdana" w:hAnsi="Verdana"/>
          <w:spacing w:val="-4"/>
          <w:sz w:val="20"/>
          <w:szCs w:val="20"/>
          <w:lang w:val="es-CR"/>
        </w:rPr>
        <w:t>s</w:t>
      </w:r>
      <w:r w:rsidRPr="00AF418E">
        <w:rPr>
          <w:rFonts w:ascii="Verdana" w:hAnsi="Verdana"/>
          <w:spacing w:val="-4"/>
          <w:sz w:val="20"/>
          <w:szCs w:val="20"/>
          <w:lang w:val="es-CR"/>
        </w:rPr>
        <w:t xml:space="preserve"> negativo</w:t>
      </w:r>
      <w:r w:rsidR="00B03C6B" w:rsidRPr="00AF418E">
        <w:rPr>
          <w:rFonts w:ascii="Verdana" w:hAnsi="Verdana"/>
          <w:spacing w:val="-4"/>
          <w:sz w:val="20"/>
          <w:szCs w:val="20"/>
          <w:lang w:val="es-CR"/>
        </w:rPr>
        <w:t>s</w:t>
      </w:r>
      <w:r w:rsidRPr="00AF418E">
        <w:rPr>
          <w:rFonts w:ascii="Verdana" w:hAnsi="Verdana"/>
          <w:spacing w:val="-4"/>
          <w:sz w:val="20"/>
          <w:szCs w:val="20"/>
          <w:lang w:val="es-CR"/>
        </w:rPr>
        <w:t>”.</w:t>
      </w:r>
      <w:r w:rsidR="00B03C6B" w:rsidRPr="00AF418E">
        <w:rPr>
          <w:rFonts w:ascii="Verdana" w:hAnsi="Verdana"/>
          <w:spacing w:val="-4"/>
          <w:sz w:val="20"/>
          <w:szCs w:val="20"/>
          <w:lang w:val="es-CR"/>
        </w:rPr>
        <w:t xml:space="preserve"> </w:t>
      </w:r>
      <w:r w:rsidR="001077FD" w:rsidRPr="00AF418E">
        <w:rPr>
          <w:rFonts w:ascii="Verdana" w:hAnsi="Verdana"/>
          <w:spacing w:val="-4"/>
          <w:sz w:val="20"/>
          <w:szCs w:val="20"/>
          <w:lang w:val="es-CR"/>
        </w:rPr>
        <w:t>C</w:t>
      </w:r>
      <w:r w:rsidR="00B03C6B" w:rsidRPr="00AF418E">
        <w:rPr>
          <w:rFonts w:ascii="Verdana" w:hAnsi="Verdana"/>
          <w:spacing w:val="-4"/>
          <w:sz w:val="20"/>
          <w:szCs w:val="20"/>
          <w:lang w:val="es-CR"/>
        </w:rPr>
        <w:t xml:space="preserve">on respecto a la señora Liendo Gil, </w:t>
      </w:r>
      <w:r w:rsidRPr="00AF418E">
        <w:rPr>
          <w:rFonts w:ascii="Verdana" w:hAnsi="Verdana"/>
          <w:spacing w:val="-4"/>
          <w:sz w:val="20"/>
          <w:szCs w:val="20"/>
          <w:lang w:val="es-CR"/>
        </w:rPr>
        <w:t>indicaron haber tomado conocimiento de que, con posterior</w:t>
      </w:r>
      <w:r w:rsidR="00B03C6B" w:rsidRPr="00AF418E">
        <w:rPr>
          <w:rFonts w:ascii="Verdana" w:hAnsi="Verdana"/>
          <w:spacing w:val="-4"/>
          <w:sz w:val="20"/>
          <w:szCs w:val="20"/>
          <w:lang w:val="es-CR"/>
        </w:rPr>
        <w:t>idad</w:t>
      </w:r>
      <w:r w:rsidRPr="00AF418E">
        <w:rPr>
          <w:rFonts w:ascii="Verdana" w:hAnsi="Verdana"/>
          <w:spacing w:val="-4"/>
          <w:sz w:val="20"/>
          <w:szCs w:val="20"/>
          <w:lang w:val="es-CR"/>
        </w:rPr>
        <w:t xml:space="preserve"> al referido informe estatal</w:t>
      </w:r>
      <w:r w:rsidR="00B03C6B" w:rsidRPr="00AF418E">
        <w:rPr>
          <w:rFonts w:ascii="Verdana" w:hAnsi="Verdana"/>
          <w:spacing w:val="-4"/>
          <w:sz w:val="20"/>
          <w:szCs w:val="20"/>
          <w:lang w:val="es-CR"/>
        </w:rPr>
        <w:t xml:space="preserve"> de 9 de junio (</w:t>
      </w:r>
      <w:r w:rsidR="00B03C6B" w:rsidRPr="00AF418E">
        <w:rPr>
          <w:rFonts w:ascii="Verdana" w:hAnsi="Verdana"/>
          <w:i/>
          <w:spacing w:val="-4"/>
          <w:sz w:val="20"/>
          <w:szCs w:val="20"/>
          <w:lang w:val="es-CR"/>
        </w:rPr>
        <w:t xml:space="preserve">supra </w:t>
      </w:r>
      <w:r w:rsidR="00B03C6B" w:rsidRPr="00AF418E">
        <w:rPr>
          <w:rFonts w:ascii="Verdana" w:hAnsi="Verdana"/>
          <w:spacing w:val="-4"/>
          <w:sz w:val="20"/>
          <w:szCs w:val="20"/>
          <w:lang w:val="es-CR"/>
        </w:rPr>
        <w:t xml:space="preserve">Considerando </w:t>
      </w:r>
      <w:r w:rsidR="001A7A68" w:rsidRPr="00AF418E">
        <w:rPr>
          <w:rFonts w:ascii="Verdana" w:hAnsi="Verdana"/>
          <w:spacing w:val="-4"/>
          <w:sz w:val="20"/>
          <w:szCs w:val="20"/>
          <w:lang w:val="es-CR"/>
        </w:rPr>
        <w:fldChar w:fldCharType="begin"/>
      </w:r>
      <w:r w:rsidR="001A7A68" w:rsidRPr="00AF418E">
        <w:rPr>
          <w:rFonts w:ascii="Verdana" w:hAnsi="Verdana"/>
          <w:spacing w:val="-4"/>
          <w:sz w:val="20"/>
          <w:szCs w:val="20"/>
          <w:lang w:val="es-CR"/>
        </w:rPr>
        <w:instrText xml:space="preserve"> REF _Ref46157692 \r \h </w:instrText>
      </w:r>
      <w:r w:rsidR="004D3870" w:rsidRPr="00AF418E">
        <w:rPr>
          <w:rFonts w:ascii="Verdana" w:hAnsi="Verdana"/>
          <w:spacing w:val="-4"/>
          <w:sz w:val="20"/>
          <w:szCs w:val="20"/>
          <w:lang w:val="es-CR"/>
        </w:rPr>
        <w:instrText xml:space="preserve"> \* MERGEFORMAT </w:instrText>
      </w:r>
      <w:r w:rsidR="001A7A68" w:rsidRPr="00AF418E">
        <w:rPr>
          <w:rFonts w:ascii="Verdana" w:hAnsi="Verdana"/>
          <w:spacing w:val="-4"/>
          <w:sz w:val="20"/>
          <w:szCs w:val="20"/>
          <w:lang w:val="es-CR"/>
        </w:rPr>
      </w:r>
      <w:r w:rsidR="001A7A68" w:rsidRPr="00AF418E">
        <w:rPr>
          <w:rFonts w:ascii="Verdana" w:hAnsi="Verdana"/>
          <w:spacing w:val="-4"/>
          <w:sz w:val="20"/>
          <w:szCs w:val="20"/>
          <w:lang w:val="es-CR"/>
        </w:rPr>
        <w:fldChar w:fldCharType="separate"/>
      </w:r>
      <w:r w:rsidR="00337FEC" w:rsidRPr="00AF418E">
        <w:rPr>
          <w:rFonts w:ascii="Verdana" w:hAnsi="Verdana"/>
          <w:spacing w:val="-4"/>
          <w:sz w:val="20"/>
          <w:szCs w:val="20"/>
          <w:lang w:val="es-CR"/>
        </w:rPr>
        <w:t>31</w:t>
      </w:r>
      <w:r w:rsidR="001A7A68" w:rsidRPr="00AF418E">
        <w:rPr>
          <w:rFonts w:ascii="Verdana" w:hAnsi="Verdana"/>
          <w:spacing w:val="-4"/>
          <w:sz w:val="20"/>
          <w:szCs w:val="20"/>
          <w:lang w:val="es-CR"/>
        </w:rPr>
        <w:fldChar w:fldCharType="end"/>
      </w:r>
      <w:r w:rsidR="00B03C6B" w:rsidRPr="00AF418E">
        <w:rPr>
          <w:rFonts w:ascii="Verdana" w:hAnsi="Verdana"/>
          <w:spacing w:val="-4"/>
          <w:sz w:val="20"/>
          <w:szCs w:val="20"/>
          <w:lang w:val="es-CR"/>
        </w:rPr>
        <w:t>)</w:t>
      </w:r>
      <w:r w:rsidRPr="00AF418E">
        <w:rPr>
          <w:rFonts w:ascii="Verdana" w:hAnsi="Verdana"/>
          <w:spacing w:val="-4"/>
          <w:sz w:val="20"/>
          <w:szCs w:val="20"/>
          <w:lang w:val="es-CR"/>
        </w:rPr>
        <w:t>, se le realizó la prueba</w:t>
      </w:r>
      <w:r w:rsidR="00B03C6B" w:rsidRPr="00AF418E">
        <w:rPr>
          <w:rFonts w:ascii="Verdana" w:hAnsi="Verdana"/>
          <w:spacing w:val="-4"/>
          <w:sz w:val="20"/>
          <w:szCs w:val="20"/>
          <w:lang w:val="es-CR"/>
        </w:rPr>
        <w:t xml:space="preserve"> de descarte</w:t>
      </w:r>
      <w:r w:rsidRPr="00AF418E">
        <w:rPr>
          <w:rFonts w:ascii="Verdana" w:hAnsi="Verdana"/>
          <w:spacing w:val="-4"/>
          <w:sz w:val="20"/>
          <w:szCs w:val="20"/>
          <w:lang w:val="es-CR"/>
        </w:rPr>
        <w:t>, la cual habría arrojado resultado positivo</w:t>
      </w:r>
      <w:r w:rsidRPr="00642D9C">
        <w:rPr>
          <w:rStyle w:val="Refdenotaalpie"/>
          <w:spacing w:val="-4"/>
          <w:sz w:val="20"/>
          <w:szCs w:val="20"/>
          <w:lang w:val="es-CR"/>
        </w:rPr>
        <w:footnoteReference w:id="27"/>
      </w:r>
      <w:r w:rsidRPr="00AF418E">
        <w:rPr>
          <w:rFonts w:ascii="Verdana" w:hAnsi="Verdana"/>
          <w:spacing w:val="-4"/>
          <w:sz w:val="20"/>
          <w:szCs w:val="20"/>
          <w:lang w:val="es-CR"/>
        </w:rPr>
        <w:t>.</w:t>
      </w:r>
      <w:bookmarkEnd w:id="8"/>
      <w:r w:rsidR="004C76AE" w:rsidRPr="00AF418E">
        <w:rPr>
          <w:rFonts w:ascii="Verdana" w:hAnsi="Verdana"/>
          <w:spacing w:val="-4"/>
          <w:sz w:val="20"/>
          <w:szCs w:val="20"/>
          <w:lang w:val="es-CR"/>
        </w:rPr>
        <w:t xml:space="preserve"> </w:t>
      </w:r>
    </w:p>
    <w:p w14:paraId="58557B01" w14:textId="77777777" w:rsidR="004C76AE" w:rsidRPr="00642D9C" w:rsidRDefault="004C76AE" w:rsidP="004C76AE">
      <w:pPr>
        <w:autoSpaceDE w:val="0"/>
        <w:autoSpaceDN w:val="0"/>
        <w:adjustRightInd w:val="0"/>
        <w:jc w:val="both"/>
        <w:rPr>
          <w:rFonts w:ascii="Verdana" w:hAnsi="Verdana"/>
          <w:spacing w:val="-4"/>
          <w:sz w:val="20"/>
          <w:szCs w:val="20"/>
          <w:lang w:val="es-CR"/>
        </w:rPr>
      </w:pPr>
    </w:p>
    <w:p w14:paraId="15CAEB9F" w14:textId="5B437203" w:rsidR="002156E1" w:rsidRPr="00642D9C" w:rsidRDefault="002156E1" w:rsidP="006A5B8D">
      <w:pPr>
        <w:pStyle w:val="Prrafodelista"/>
        <w:numPr>
          <w:ilvl w:val="0"/>
          <w:numId w:val="25"/>
        </w:numPr>
        <w:autoSpaceDE w:val="0"/>
        <w:autoSpaceDN w:val="0"/>
        <w:adjustRightInd w:val="0"/>
        <w:spacing w:after="0" w:line="240" w:lineRule="auto"/>
        <w:ind w:left="0" w:firstLine="0"/>
        <w:jc w:val="both"/>
        <w:rPr>
          <w:rFonts w:ascii="Verdana" w:hAnsi="Verdana"/>
          <w:spacing w:val="-4"/>
          <w:sz w:val="20"/>
          <w:szCs w:val="20"/>
          <w:lang w:val="es-CR"/>
        </w:rPr>
      </w:pPr>
      <w:bookmarkStart w:id="9" w:name="_Ref46158432"/>
      <w:r w:rsidRPr="00642D9C">
        <w:rPr>
          <w:rFonts w:ascii="Verdana" w:hAnsi="Verdana"/>
          <w:spacing w:val="-4"/>
          <w:sz w:val="20"/>
          <w:szCs w:val="20"/>
          <w:lang w:val="es-CR"/>
        </w:rPr>
        <w:t xml:space="preserve">Asimismo, el Tribunal observa que los propuestos beneficiarios presentaron diversas demandas de hábeas corpus ante los tribunales peruanos, las cuales fueron resueltas de forma tal que, independientemente de </w:t>
      </w:r>
      <w:r w:rsidR="00592805" w:rsidRPr="00642D9C">
        <w:rPr>
          <w:rFonts w:ascii="Verdana" w:hAnsi="Verdana"/>
          <w:spacing w:val="-4"/>
          <w:sz w:val="20"/>
          <w:szCs w:val="20"/>
          <w:lang w:val="es-CR"/>
        </w:rPr>
        <w:t xml:space="preserve">que inicialmente fueran rechazadas </w:t>
      </w:r>
      <w:r w:rsidR="00592805" w:rsidRPr="00642D9C">
        <w:rPr>
          <w:rFonts w:ascii="Verdana" w:hAnsi="Verdana"/>
          <w:i/>
          <w:spacing w:val="-4"/>
          <w:sz w:val="20"/>
          <w:szCs w:val="20"/>
          <w:lang w:val="es-CR"/>
        </w:rPr>
        <w:t>in limine</w:t>
      </w:r>
      <w:r w:rsidR="00642D9C" w:rsidRPr="00642D9C">
        <w:rPr>
          <w:rFonts w:ascii="Verdana" w:hAnsi="Verdana"/>
          <w:iCs/>
          <w:spacing w:val="-4"/>
          <w:sz w:val="20"/>
          <w:szCs w:val="20"/>
          <w:lang w:val="es-CR"/>
        </w:rPr>
        <w:t xml:space="preserve"> en cuanto a las peticiones principales (</w:t>
      </w:r>
      <w:r w:rsidR="00642D9C" w:rsidRPr="00642D9C">
        <w:rPr>
          <w:rFonts w:ascii="Verdana" w:hAnsi="Verdana"/>
          <w:i/>
          <w:spacing w:val="-4"/>
          <w:sz w:val="20"/>
          <w:szCs w:val="20"/>
          <w:lang w:val="es-CR"/>
        </w:rPr>
        <w:t>supra</w:t>
      </w:r>
      <w:r w:rsidR="00642D9C" w:rsidRPr="00642D9C">
        <w:rPr>
          <w:rFonts w:ascii="Verdana" w:hAnsi="Verdana"/>
          <w:iCs/>
          <w:spacing w:val="-4"/>
          <w:sz w:val="20"/>
          <w:szCs w:val="20"/>
          <w:lang w:val="es-CR"/>
        </w:rPr>
        <w:t xml:space="preserve"> Considerando 7)</w:t>
      </w:r>
      <w:r w:rsidR="00592805" w:rsidRPr="00642D9C">
        <w:rPr>
          <w:rFonts w:ascii="Verdana" w:hAnsi="Verdana"/>
          <w:spacing w:val="-4"/>
          <w:sz w:val="20"/>
          <w:szCs w:val="20"/>
          <w:lang w:val="es-CR"/>
        </w:rPr>
        <w:t xml:space="preserve">, </w:t>
      </w:r>
      <w:r w:rsidRPr="00642D9C">
        <w:rPr>
          <w:rFonts w:ascii="Verdana" w:hAnsi="Verdana"/>
          <w:spacing w:val="-4"/>
          <w:sz w:val="20"/>
          <w:szCs w:val="20"/>
          <w:lang w:val="es-CR"/>
        </w:rPr>
        <w:t xml:space="preserve">respecto de tres de los </w:t>
      </w:r>
      <w:r w:rsidR="006C736D" w:rsidRPr="00642D9C">
        <w:rPr>
          <w:rFonts w:ascii="Verdana" w:hAnsi="Verdana"/>
          <w:spacing w:val="-4"/>
          <w:sz w:val="20"/>
          <w:szCs w:val="20"/>
          <w:lang w:val="es-CR"/>
        </w:rPr>
        <w:t>cinco</w:t>
      </w:r>
      <w:r w:rsidRPr="00642D9C">
        <w:rPr>
          <w:rFonts w:ascii="Verdana" w:hAnsi="Verdana"/>
          <w:spacing w:val="-4"/>
          <w:sz w:val="20"/>
          <w:szCs w:val="20"/>
          <w:lang w:val="es-CR"/>
        </w:rPr>
        <w:t xml:space="preserve"> propuestos beneficiarios, los tribunales exhortaron al Instituto Nacional Penitenciario y a las autoridades del establecimiento penal en que se encuentran recluidos a brindar información sobre el estado de salud, condiciones de detención y/o atención médica recibida.</w:t>
      </w:r>
      <w:bookmarkEnd w:id="9"/>
    </w:p>
    <w:p w14:paraId="15428435" w14:textId="77777777" w:rsidR="002156E1" w:rsidRPr="002C0FC0" w:rsidRDefault="002156E1" w:rsidP="004C76AE">
      <w:pPr>
        <w:autoSpaceDE w:val="0"/>
        <w:autoSpaceDN w:val="0"/>
        <w:adjustRightInd w:val="0"/>
        <w:jc w:val="both"/>
        <w:rPr>
          <w:rFonts w:ascii="Verdana" w:hAnsi="Verdana"/>
          <w:spacing w:val="-4"/>
          <w:sz w:val="20"/>
          <w:szCs w:val="20"/>
          <w:lang w:val="es-CR"/>
        </w:rPr>
      </w:pPr>
    </w:p>
    <w:p w14:paraId="186C930F" w14:textId="0E5B0298" w:rsidR="004C76AE" w:rsidRPr="002C0FC0" w:rsidRDefault="004C76AE" w:rsidP="006A5B8D">
      <w:pPr>
        <w:pStyle w:val="Prrafodelista"/>
        <w:numPr>
          <w:ilvl w:val="0"/>
          <w:numId w:val="25"/>
        </w:numPr>
        <w:autoSpaceDE w:val="0"/>
        <w:autoSpaceDN w:val="0"/>
        <w:adjustRightInd w:val="0"/>
        <w:spacing w:after="0" w:line="240" w:lineRule="auto"/>
        <w:ind w:left="0" w:firstLine="0"/>
        <w:jc w:val="both"/>
        <w:rPr>
          <w:rFonts w:ascii="Verdana" w:hAnsi="Verdana"/>
          <w:color w:val="4472C4" w:themeColor="accent1"/>
          <w:spacing w:val="-4"/>
          <w:sz w:val="20"/>
          <w:szCs w:val="20"/>
          <w:lang w:val="es-CR"/>
        </w:rPr>
      </w:pPr>
      <w:r w:rsidRPr="002C0FC0">
        <w:rPr>
          <w:rFonts w:ascii="Verdana" w:hAnsi="Verdana"/>
          <w:spacing w:val="-4"/>
          <w:sz w:val="20"/>
          <w:szCs w:val="20"/>
          <w:lang w:val="es-CR"/>
        </w:rPr>
        <w:t xml:space="preserve">En cuanto a la atención médica, luego de que los intervinientes comunes presentaran la solicitud de medidas provisionales, así como </w:t>
      </w:r>
      <w:r w:rsidR="00342689" w:rsidRPr="002C0FC0">
        <w:rPr>
          <w:rFonts w:ascii="Verdana" w:hAnsi="Verdana"/>
          <w:spacing w:val="-4"/>
          <w:sz w:val="20"/>
          <w:szCs w:val="20"/>
          <w:lang w:val="es-CR"/>
        </w:rPr>
        <w:t xml:space="preserve">diversos </w:t>
      </w:r>
      <w:r w:rsidRPr="002C0FC0">
        <w:rPr>
          <w:rFonts w:ascii="Verdana" w:hAnsi="Verdana"/>
          <w:spacing w:val="-4"/>
          <w:sz w:val="20"/>
          <w:szCs w:val="20"/>
          <w:lang w:val="es-CR"/>
        </w:rPr>
        <w:t>recursos de hábeas corpus, (</w:t>
      </w:r>
      <w:r w:rsidRPr="002C0FC0">
        <w:rPr>
          <w:rFonts w:ascii="Verdana" w:hAnsi="Verdana"/>
          <w:i/>
          <w:spacing w:val="-4"/>
          <w:sz w:val="20"/>
          <w:szCs w:val="20"/>
          <w:lang w:val="es-CR"/>
        </w:rPr>
        <w:t xml:space="preserve">supra </w:t>
      </w:r>
      <w:r w:rsidRPr="002C0FC0">
        <w:rPr>
          <w:rFonts w:ascii="Verdana" w:hAnsi="Verdana"/>
          <w:spacing w:val="-4"/>
          <w:sz w:val="20"/>
          <w:szCs w:val="20"/>
          <w:lang w:val="es-CR"/>
        </w:rPr>
        <w:t xml:space="preserve">Considerandos </w:t>
      </w:r>
      <w:r w:rsidR="00342689" w:rsidRPr="002C0FC0">
        <w:rPr>
          <w:rFonts w:ascii="Verdana" w:hAnsi="Verdana"/>
          <w:spacing w:val="-4"/>
          <w:sz w:val="20"/>
          <w:szCs w:val="20"/>
          <w:lang w:val="es-CR"/>
        </w:rPr>
        <w:t xml:space="preserve">6 y </w:t>
      </w:r>
      <w:r w:rsidR="001A7A68" w:rsidRPr="002C0FC0">
        <w:rPr>
          <w:rFonts w:ascii="Verdana" w:hAnsi="Verdana"/>
          <w:spacing w:val="-4"/>
          <w:sz w:val="20"/>
          <w:szCs w:val="20"/>
          <w:lang w:val="es-CR"/>
        </w:rPr>
        <w:fldChar w:fldCharType="begin"/>
      </w:r>
      <w:r w:rsidR="001A7A68" w:rsidRPr="002C0FC0">
        <w:rPr>
          <w:rFonts w:ascii="Verdana" w:hAnsi="Verdana"/>
          <w:spacing w:val="-4"/>
          <w:sz w:val="20"/>
          <w:szCs w:val="20"/>
          <w:lang w:val="es-CR"/>
        </w:rPr>
        <w:instrText xml:space="preserve"> REF _Ref46241727 \r \h </w:instrText>
      </w:r>
      <w:r w:rsidR="0064278B" w:rsidRPr="002C0FC0">
        <w:rPr>
          <w:rFonts w:ascii="Verdana" w:hAnsi="Verdana"/>
          <w:spacing w:val="-4"/>
          <w:sz w:val="20"/>
          <w:szCs w:val="20"/>
          <w:lang w:val="es-CR"/>
        </w:rPr>
        <w:instrText xml:space="preserve"> \* MERGEFORMAT </w:instrText>
      </w:r>
      <w:r w:rsidR="001A7A68" w:rsidRPr="002C0FC0">
        <w:rPr>
          <w:rFonts w:ascii="Verdana" w:hAnsi="Verdana"/>
          <w:spacing w:val="-4"/>
          <w:sz w:val="20"/>
          <w:szCs w:val="20"/>
          <w:lang w:val="es-CR"/>
        </w:rPr>
      </w:r>
      <w:r w:rsidR="001A7A68" w:rsidRPr="002C0FC0">
        <w:rPr>
          <w:rFonts w:ascii="Verdana" w:hAnsi="Verdana"/>
          <w:spacing w:val="-4"/>
          <w:sz w:val="20"/>
          <w:szCs w:val="20"/>
          <w:lang w:val="es-CR"/>
        </w:rPr>
        <w:fldChar w:fldCharType="separate"/>
      </w:r>
      <w:r w:rsidR="00337FEC" w:rsidRPr="002C0FC0">
        <w:rPr>
          <w:rFonts w:ascii="Verdana" w:hAnsi="Verdana"/>
          <w:spacing w:val="-4"/>
          <w:sz w:val="20"/>
          <w:szCs w:val="20"/>
          <w:lang w:val="es-CR"/>
        </w:rPr>
        <w:t>7</w:t>
      </w:r>
      <w:r w:rsidR="001A7A68" w:rsidRPr="002C0FC0">
        <w:rPr>
          <w:rFonts w:ascii="Verdana" w:hAnsi="Verdana"/>
          <w:spacing w:val="-4"/>
          <w:sz w:val="20"/>
          <w:szCs w:val="20"/>
          <w:lang w:val="es-CR"/>
        </w:rPr>
        <w:fldChar w:fldCharType="end"/>
      </w:r>
      <w:r w:rsidR="001A7A68" w:rsidRPr="002C0FC0">
        <w:rPr>
          <w:rFonts w:ascii="Verdana" w:hAnsi="Verdana"/>
          <w:spacing w:val="-4"/>
          <w:sz w:val="20"/>
          <w:szCs w:val="20"/>
          <w:lang w:val="es-CR"/>
        </w:rPr>
        <w:t xml:space="preserve"> </w:t>
      </w:r>
      <w:r w:rsidR="004D3870" w:rsidRPr="002C0FC0">
        <w:rPr>
          <w:rFonts w:ascii="Verdana" w:hAnsi="Verdana"/>
          <w:spacing w:val="-4"/>
          <w:sz w:val="20"/>
          <w:szCs w:val="20"/>
          <w:lang w:val="es-CR"/>
        </w:rPr>
        <w:t>de la Resolución</w:t>
      </w:r>
      <w:r w:rsidRPr="002C0FC0">
        <w:rPr>
          <w:rFonts w:ascii="Verdana" w:hAnsi="Verdana"/>
          <w:spacing w:val="-4"/>
          <w:sz w:val="20"/>
          <w:szCs w:val="20"/>
          <w:lang w:val="es-CR"/>
        </w:rPr>
        <w:t xml:space="preserve">), </w:t>
      </w:r>
      <w:r w:rsidR="00A63075" w:rsidRPr="002C0FC0">
        <w:rPr>
          <w:rFonts w:ascii="Verdana" w:hAnsi="Verdana"/>
          <w:spacing w:val="-4"/>
          <w:sz w:val="20"/>
          <w:szCs w:val="20"/>
          <w:lang w:val="es-CR"/>
        </w:rPr>
        <w:t xml:space="preserve">el </w:t>
      </w:r>
      <w:r w:rsidRPr="002C0FC0">
        <w:rPr>
          <w:rFonts w:ascii="Verdana" w:hAnsi="Verdana"/>
          <w:spacing w:val="-4"/>
          <w:sz w:val="20"/>
          <w:szCs w:val="20"/>
          <w:lang w:val="es-CR"/>
        </w:rPr>
        <w:t>Perú procedió a realizarles diversos exámenes médicos, cuyos hallazgos están recogidos en los informes y constancias médicas que presentó ante este Tribunal (</w:t>
      </w:r>
      <w:r w:rsidRPr="002C0FC0">
        <w:rPr>
          <w:rFonts w:ascii="Verdana" w:hAnsi="Verdana"/>
          <w:i/>
          <w:spacing w:val="-4"/>
          <w:sz w:val="20"/>
          <w:szCs w:val="20"/>
          <w:lang w:val="es-CR"/>
        </w:rPr>
        <w:t xml:space="preserve">supra </w:t>
      </w:r>
      <w:r w:rsidRPr="002C0FC0">
        <w:rPr>
          <w:rFonts w:ascii="Verdana" w:hAnsi="Verdana"/>
          <w:spacing w:val="-4"/>
          <w:sz w:val="20"/>
          <w:szCs w:val="20"/>
          <w:lang w:val="es-CR"/>
        </w:rPr>
        <w:t xml:space="preserve">Considerando </w:t>
      </w:r>
      <w:r w:rsidR="001A7A68" w:rsidRPr="002C0FC0">
        <w:rPr>
          <w:rFonts w:ascii="Verdana" w:hAnsi="Verdana"/>
          <w:spacing w:val="-4"/>
          <w:sz w:val="20"/>
          <w:szCs w:val="20"/>
          <w:lang w:val="es-CR"/>
        </w:rPr>
        <w:fldChar w:fldCharType="begin"/>
      </w:r>
      <w:r w:rsidR="001A7A68" w:rsidRPr="002C0FC0">
        <w:rPr>
          <w:rFonts w:ascii="Verdana" w:hAnsi="Verdana"/>
          <w:spacing w:val="-4"/>
          <w:sz w:val="20"/>
          <w:szCs w:val="20"/>
          <w:lang w:val="es-CR"/>
        </w:rPr>
        <w:instrText xml:space="preserve"> REF _Ref46180975 \r \h </w:instrText>
      </w:r>
      <w:r w:rsidR="0064278B" w:rsidRPr="002C0FC0">
        <w:rPr>
          <w:rFonts w:ascii="Verdana" w:hAnsi="Verdana"/>
          <w:spacing w:val="-4"/>
          <w:sz w:val="20"/>
          <w:szCs w:val="20"/>
          <w:lang w:val="es-CR"/>
        </w:rPr>
        <w:instrText xml:space="preserve"> \* MERGEFORMAT </w:instrText>
      </w:r>
      <w:r w:rsidR="001A7A68" w:rsidRPr="002C0FC0">
        <w:rPr>
          <w:rFonts w:ascii="Verdana" w:hAnsi="Verdana"/>
          <w:spacing w:val="-4"/>
          <w:sz w:val="20"/>
          <w:szCs w:val="20"/>
          <w:lang w:val="es-CR"/>
        </w:rPr>
      </w:r>
      <w:r w:rsidR="001A7A68" w:rsidRPr="002C0FC0">
        <w:rPr>
          <w:rFonts w:ascii="Verdana" w:hAnsi="Verdana"/>
          <w:spacing w:val="-4"/>
          <w:sz w:val="20"/>
          <w:szCs w:val="20"/>
          <w:lang w:val="es-CR"/>
        </w:rPr>
        <w:fldChar w:fldCharType="separate"/>
      </w:r>
      <w:r w:rsidR="00337FEC" w:rsidRPr="002C0FC0">
        <w:rPr>
          <w:rFonts w:ascii="Verdana" w:hAnsi="Verdana"/>
          <w:spacing w:val="-4"/>
          <w:sz w:val="20"/>
          <w:szCs w:val="20"/>
          <w:lang w:val="es-CR"/>
        </w:rPr>
        <w:t>11</w:t>
      </w:r>
      <w:r w:rsidR="001A7A68" w:rsidRPr="002C0FC0">
        <w:rPr>
          <w:rFonts w:ascii="Verdana" w:hAnsi="Verdana"/>
          <w:spacing w:val="-4"/>
          <w:sz w:val="20"/>
          <w:szCs w:val="20"/>
          <w:lang w:val="es-CR"/>
        </w:rPr>
        <w:fldChar w:fldCharType="end"/>
      </w:r>
      <w:r w:rsidR="004D3870" w:rsidRPr="002C0FC0">
        <w:rPr>
          <w:rFonts w:ascii="Verdana" w:hAnsi="Verdana"/>
          <w:spacing w:val="-4"/>
          <w:sz w:val="20"/>
          <w:szCs w:val="20"/>
          <w:lang w:val="es-CR"/>
        </w:rPr>
        <w:t xml:space="preserve"> de la Resolución</w:t>
      </w:r>
      <w:r w:rsidRPr="002C0FC0">
        <w:rPr>
          <w:rFonts w:ascii="Verdana" w:hAnsi="Verdana"/>
          <w:spacing w:val="-4"/>
          <w:sz w:val="20"/>
          <w:szCs w:val="20"/>
          <w:lang w:val="es-CR"/>
        </w:rPr>
        <w:t xml:space="preserve">). </w:t>
      </w:r>
      <w:r w:rsidR="00342689" w:rsidRPr="002C0FC0">
        <w:rPr>
          <w:rFonts w:ascii="Verdana" w:hAnsi="Verdana"/>
          <w:spacing w:val="-4"/>
          <w:sz w:val="20"/>
          <w:szCs w:val="20"/>
          <w:lang w:val="es-CR"/>
        </w:rPr>
        <w:t>Con base en dichos informes, el Estado precisó que los cinco propuestos beneficiarios estaban estables</w:t>
      </w:r>
      <w:r w:rsidR="00342689" w:rsidRPr="002C0FC0">
        <w:rPr>
          <w:rStyle w:val="Refdenotaalpie"/>
          <w:spacing w:val="-4"/>
          <w:sz w:val="20"/>
          <w:szCs w:val="20"/>
          <w:lang w:val="es-CR"/>
        </w:rPr>
        <w:footnoteReference w:id="28"/>
      </w:r>
      <w:r w:rsidR="00342689" w:rsidRPr="002C0FC0">
        <w:rPr>
          <w:rFonts w:ascii="Verdana" w:hAnsi="Verdana"/>
          <w:spacing w:val="-4"/>
          <w:sz w:val="20"/>
          <w:szCs w:val="20"/>
          <w:lang w:val="es-CR"/>
        </w:rPr>
        <w:t xml:space="preserve"> </w:t>
      </w:r>
      <w:r w:rsidR="00592805" w:rsidRPr="002C0FC0">
        <w:rPr>
          <w:rFonts w:ascii="Verdana" w:hAnsi="Verdana"/>
          <w:spacing w:val="-4"/>
          <w:sz w:val="20"/>
          <w:szCs w:val="20"/>
          <w:lang w:val="es-CR"/>
        </w:rPr>
        <w:t xml:space="preserve">y </w:t>
      </w:r>
      <w:r w:rsidRPr="002C0FC0">
        <w:rPr>
          <w:rFonts w:ascii="Verdana" w:hAnsi="Verdana"/>
          <w:spacing w:val="-4"/>
          <w:sz w:val="20"/>
          <w:szCs w:val="20"/>
          <w:lang w:val="es-CR"/>
        </w:rPr>
        <w:t xml:space="preserve">recibiendo el tratamiento necesario de acuerdo con sus afecciones particulares, tanto con relación a la presencia de COVID-19, respecto de aquellos casos cuyas pruebas de descarte arrojaron resultado positivo, como por otro tipo de afecciones, </w:t>
      </w:r>
      <w:r w:rsidR="00592805" w:rsidRPr="002C0FC0">
        <w:rPr>
          <w:rFonts w:ascii="Verdana" w:hAnsi="Verdana"/>
          <w:spacing w:val="-4"/>
          <w:sz w:val="20"/>
          <w:szCs w:val="20"/>
          <w:lang w:val="es-CR"/>
        </w:rPr>
        <w:t xml:space="preserve">tratamiento que se encuentra detallado en los referidos informes y constancias médicas. </w:t>
      </w:r>
      <w:r w:rsidRPr="002C0FC0">
        <w:rPr>
          <w:rFonts w:ascii="Verdana" w:hAnsi="Verdana"/>
          <w:spacing w:val="-4"/>
          <w:sz w:val="20"/>
          <w:szCs w:val="20"/>
          <w:lang w:val="es-CR"/>
        </w:rPr>
        <w:t xml:space="preserve">Sin embargo, los intervinientes comunes objetaron que no estaban recibiendo el tratamiento adecuado, y señalaron que, en dos casos, los familiares de los propuestos beneficiarios habían tenido que suministrarles la medicación o los alimentos necesarios, según sus afecciones de salud, lo cual se dificultaba a raíz de las restricciones impuestas en este sentido por parte de los diferentes establecimientos penitenciarios y del Instituto Nacional Penitenciario, como parte de las medidas adoptadas para evitar el contagio del COVID-19 en dichos establecimientos. </w:t>
      </w:r>
    </w:p>
    <w:p w14:paraId="69738705" w14:textId="77777777" w:rsidR="00571549" w:rsidRPr="002C0FC0" w:rsidRDefault="00571549" w:rsidP="00571549">
      <w:pPr>
        <w:pStyle w:val="Prrafodelista"/>
        <w:autoSpaceDE w:val="0"/>
        <w:autoSpaceDN w:val="0"/>
        <w:adjustRightInd w:val="0"/>
        <w:spacing w:after="0" w:line="240" w:lineRule="auto"/>
        <w:ind w:left="0"/>
        <w:jc w:val="both"/>
        <w:rPr>
          <w:rFonts w:ascii="Verdana" w:hAnsi="Verdana"/>
          <w:color w:val="4472C4" w:themeColor="accent1"/>
          <w:spacing w:val="-4"/>
          <w:sz w:val="20"/>
          <w:szCs w:val="20"/>
          <w:lang w:val="es-CR"/>
        </w:rPr>
      </w:pPr>
    </w:p>
    <w:p w14:paraId="34CE087D" w14:textId="2D97CC90" w:rsidR="00885049" w:rsidRPr="002C0FC0" w:rsidRDefault="004C76AE" w:rsidP="006A5B8D">
      <w:pPr>
        <w:pStyle w:val="Prrafodelista"/>
        <w:numPr>
          <w:ilvl w:val="0"/>
          <w:numId w:val="25"/>
        </w:numPr>
        <w:autoSpaceDE w:val="0"/>
        <w:autoSpaceDN w:val="0"/>
        <w:adjustRightInd w:val="0"/>
        <w:spacing w:after="0" w:line="240" w:lineRule="auto"/>
        <w:ind w:left="0" w:firstLine="0"/>
        <w:jc w:val="both"/>
        <w:rPr>
          <w:rFonts w:ascii="Verdana" w:hAnsi="Verdana"/>
          <w:spacing w:val="-4"/>
          <w:sz w:val="20"/>
          <w:szCs w:val="20"/>
          <w:lang w:val="es-CR"/>
        </w:rPr>
      </w:pPr>
      <w:r w:rsidRPr="002C0FC0">
        <w:rPr>
          <w:rFonts w:ascii="Verdana" w:hAnsi="Verdana"/>
          <w:spacing w:val="-4"/>
          <w:sz w:val="20"/>
          <w:szCs w:val="20"/>
          <w:lang w:val="es-CR"/>
        </w:rPr>
        <w:t xml:space="preserve">Si bien este Tribunal reconoce y valora positivamente que, a partir de la presentación de la solicitud de medidas provisionales, </w:t>
      </w:r>
      <w:r w:rsidR="00A63075" w:rsidRPr="002C0FC0">
        <w:rPr>
          <w:rFonts w:ascii="Verdana" w:hAnsi="Verdana"/>
          <w:spacing w:val="-4"/>
          <w:sz w:val="20"/>
          <w:szCs w:val="20"/>
          <w:lang w:val="es-CR"/>
        </w:rPr>
        <w:t xml:space="preserve">el </w:t>
      </w:r>
      <w:r w:rsidRPr="002C0FC0">
        <w:rPr>
          <w:rFonts w:ascii="Verdana" w:hAnsi="Verdana"/>
          <w:spacing w:val="-4"/>
          <w:sz w:val="20"/>
          <w:szCs w:val="20"/>
          <w:lang w:val="es-CR"/>
        </w:rPr>
        <w:t xml:space="preserve">Perú </w:t>
      </w:r>
      <w:r w:rsidR="00A63075" w:rsidRPr="002C0FC0">
        <w:rPr>
          <w:rFonts w:ascii="Verdana" w:hAnsi="Verdana"/>
          <w:spacing w:val="-4"/>
          <w:sz w:val="20"/>
          <w:szCs w:val="20"/>
          <w:lang w:val="es-CR"/>
        </w:rPr>
        <w:t xml:space="preserve">efectuó pruebas de diagnóstico del COVID-19 a los propuestos beneficiarios y les ha </w:t>
      </w:r>
      <w:r w:rsidR="0084343C" w:rsidRPr="002C0FC0">
        <w:rPr>
          <w:rFonts w:ascii="Verdana" w:hAnsi="Verdana"/>
          <w:spacing w:val="-4"/>
          <w:sz w:val="20"/>
          <w:szCs w:val="20"/>
          <w:lang w:val="es-CR"/>
        </w:rPr>
        <w:t>brindado tratamiento y ha realiza</w:t>
      </w:r>
      <w:r w:rsidRPr="002C0FC0">
        <w:rPr>
          <w:rFonts w:ascii="Verdana" w:hAnsi="Verdana"/>
          <w:spacing w:val="-4"/>
          <w:sz w:val="20"/>
          <w:szCs w:val="20"/>
          <w:lang w:val="es-CR"/>
        </w:rPr>
        <w:t>do exámenes médicos, no es posible ignorar la extrema gravedad</w:t>
      </w:r>
      <w:r w:rsidR="0064278B" w:rsidRPr="002C0FC0">
        <w:rPr>
          <w:rFonts w:ascii="Verdana" w:hAnsi="Verdana"/>
          <w:spacing w:val="-4"/>
          <w:sz w:val="20"/>
          <w:szCs w:val="20"/>
          <w:lang w:val="es-CR"/>
        </w:rPr>
        <w:t xml:space="preserve"> que representa el hecho de que</w:t>
      </w:r>
      <w:r w:rsidRPr="002C0FC0">
        <w:rPr>
          <w:rFonts w:ascii="Verdana" w:hAnsi="Verdana"/>
          <w:spacing w:val="-4"/>
          <w:sz w:val="20"/>
          <w:szCs w:val="20"/>
          <w:lang w:val="es-CR"/>
        </w:rPr>
        <w:t xml:space="preserve"> </w:t>
      </w:r>
      <w:r w:rsidR="00EF3D0F" w:rsidRPr="002C0FC0">
        <w:rPr>
          <w:rFonts w:ascii="Verdana" w:hAnsi="Verdana"/>
          <w:spacing w:val="-4"/>
          <w:sz w:val="20"/>
          <w:szCs w:val="20"/>
          <w:lang w:val="es-CR"/>
        </w:rPr>
        <w:t xml:space="preserve">dos de esas cinco </w:t>
      </w:r>
      <w:r w:rsidRPr="002C0FC0">
        <w:rPr>
          <w:rFonts w:ascii="Verdana" w:hAnsi="Verdana"/>
          <w:spacing w:val="-4"/>
          <w:sz w:val="20"/>
          <w:szCs w:val="20"/>
          <w:lang w:val="es-CR"/>
        </w:rPr>
        <w:t>personas con condiciones de riesgo de mayores com</w:t>
      </w:r>
      <w:r w:rsidR="0088606F" w:rsidRPr="002C0FC0">
        <w:rPr>
          <w:rFonts w:ascii="Verdana" w:hAnsi="Verdana"/>
          <w:spacing w:val="-4"/>
          <w:sz w:val="20"/>
          <w:szCs w:val="20"/>
          <w:lang w:val="es-CR"/>
        </w:rPr>
        <w:t xml:space="preserve">plicaciones frente al COVID-19 </w:t>
      </w:r>
      <w:r w:rsidR="00EF3D0F" w:rsidRPr="002C0FC0">
        <w:rPr>
          <w:rFonts w:ascii="Verdana" w:hAnsi="Verdana"/>
          <w:spacing w:val="-4"/>
          <w:sz w:val="20"/>
          <w:szCs w:val="20"/>
          <w:lang w:val="es-CR"/>
        </w:rPr>
        <w:t>se encuentren contagiadas; una tercera también lo estaría, según lo refie</w:t>
      </w:r>
      <w:r w:rsidR="0088606F" w:rsidRPr="002C0FC0">
        <w:rPr>
          <w:rFonts w:ascii="Verdana" w:hAnsi="Verdana"/>
          <w:spacing w:val="-4"/>
          <w:sz w:val="20"/>
          <w:szCs w:val="20"/>
          <w:lang w:val="es-CR"/>
        </w:rPr>
        <w:t>ren los intervinientes comunes</w:t>
      </w:r>
      <w:r w:rsidR="00EF3D0F" w:rsidRPr="002C0FC0">
        <w:rPr>
          <w:rFonts w:ascii="Verdana" w:hAnsi="Verdana"/>
          <w:spacing w:val="-4"/>
          <w:sz w:val="20"/>
          <w:szCs w:val="20"/>
          <w:lang w:val="es-CR"/>
        </w:rPr>
        <w:t>,</w:t>
      </w:r>
      <w:r w:rsidRPr="002C0FC0">
        <w:rPr>
          <w:rFonts w:ascii="Verdana" w:hAnsi="Verdana"/>
          <w:spacing w:val="-4"/>
          <w:sz w:val="20"/>
          <w:szCs w:val="20"/>
          <w:lang w:val="es-CR"/>
        </w:rPr>
        <w:t xml:space="preserve"> </w:t>
      </w:r>
      <w:r w:rsidR="00A63075" w:rsidRPr="002C0FC0">
        <w:rPr>
          <w:rFonts w:ascii="Verdana" w:hAnsi="Verdana"/>
          <w:spacing w:val="-4"/>
          <w:sz w:val="20"/>
          <w:szCs w:val="20"/>
          <w:lang w:val="es-CR"/>
        </w:rPr>
        <w:t>y l</w:t>
      </w:r>
      <w:r w:rsidR="00EF3D0F" w:rsidRPr="002C0FC0">
        <w:rPr>
          <w:rFonts w:ascii="Verdana" w:hAnsi="Verdana"/>
          <w:spacing w:val="-4"/>
          <w:sz w:val="20"/>
          <w:szCs w:val="20"/>
          <w:lang w:val="es-CR"/>
        </w:rPr>
        <w:t>as dos</w:t>
      </w:r>
      <w:r w:rsidR="00A63075" w:rsidRPr="002C0FC0">
        <w:rPr>
          <w:rFonts w:ascii="Verdana" w:hAnsi="Verdana"/>
          <w:spacing w:val="-4"/>
          <w:sz w:val="20"/>
          <w:szCs w:val="20"/>
          <w:lang w:val="es-CR"/>
        </w:rPr>
        <w:t xml:space="preserve"> restante</w:t>
      </w:r>
      <w:r w:rsidR="00EF3D0F" w:rsidRPr="002C0FC0">
        <w:rPr>
          <w:rFonts w:ascii="Verdana" w:hAnsi="Verdana"/>
          <w:spacing w:val="-4"/>
          <w:sz w:val="20"/>
          <w:szCs w:val="20"/>
          <w:lang w:val="es-CR"/>
        </w:rPr>
        <w:t>s</w:t>
      </w:r>
      <w:r w:rsidR="00A63075" w:rsidRPr="002C0FC0">
        <w:rPr>
          <w:rFonts w:ascii="Verdana" w:hAnsi="Verdana"/>
          <w:spacing w:val="-4"/>
          <w:sz w:val="20"/>
          <w:szCs w:val="20"/>
          <w:lang w:val="es-CR"/>
        </w:rPr>
        <w:t xml:space="preserve"> podría</w:t>
      </w:r>
      <w:r w:rsidR="00EF3D0F" w:rsidRPr="002C0FC0">
        <w:rPr>
          <w:rFonts w:ascii="Verdana" w:hAnsi="Verdana"/>
          <w:spacing w:val="-4"/>
          <w:sz w:val="20"/>
          <w:szCs w:val="20"/>
          <w:lang w:val="es-CR"/>
        </w:rPr>
        <w:t>n</w:t>
      </w:r>
      <w:r w:rsidR="00A63075" w:rsidRPr="002C0FC0">
        <w:rPr>
          <w:rFonts w:ascii="Verdana" w:hAnsi="Verdana"/>
          <w:spacing w:val="-4"/>
          <w:sz w:val="20"/>
          <w:szCs w:val="20"/>
          <w:lang w:val="es-CR"/>
        </w:rPr>
        <w:t xml:space="preserve"> estarlo</w:t>
      </w:r>
      <w:r w:rsidR="0084343C" w:rsidRPr="002C0FC0">
        <w:rPr>
          <w:rFonts w:ascii="Verdana" w:hAnsi="Verdana"/>
          <w:spacing w:val="-4"/>
          <w:sz w:val="20"/>
          <w:szCs w:val="20"/>
          <w:lang w:val="es-CR"/>
        </w:rPr>
        <w:t>,</w:t>
      </w:r>
      <w:r w:rsidR="00A63075" w:rsidRPr="002C0FC0">
        <w:rPr>
          <w:rFonts w:ascii="Verdana" w:hAnsi="Verdana"/>
          <w:spacing w:val="-4"/>
          <w:sz w:val="20"/>
          <w:szCs w:val="20"/>
          <w:lang w:val="es-CR"/>
        </w:rPr>
        <w:t xml:space="preserve"> si se toma en cuenta que </w:t>
      </w:r>
      <w:r w:rsidRPr="002C0FC0">
        <w:rPr>
          <w:rFonts w:ascii="Verdana" w:hAnsi="Verdana"/>
          <w:spacing w:val="-4"/>
          <w:sz w:val="20"/>
          <w:szCs w:val="20"/>
          <w:lang w:val="es-CR"/>
        </w:rPr>
        <w:t>refier</w:t>
      </w:r>
      <w:r w:rsidR="00A63075" w:rsidRPr="002C0FC0">
        <w:rPr>
          <w:rFonts w:ascii="Verdana" w:hAnsi="Verdana"/>
          <w:spacing w:val="-4"/>
          <w:sz w:val="20"/>
          <w:szCs w:val="20"/>
          <w:lang w:val="es-CR"/>
        </w:rPr>
        <w:t>e</w:t>
      </w:r>
      <w:r w:rsidR="00EF3D0F" w:rsidRPr="002C0FC0">
        <w:rPr>
          <w:rFonts w:ascii="Verdana" w:hAnsi="Verdana"/>
          <w:spacing w:val="-4"/>
          <w:sz w:val="20"/>
          <w:szCs w:val="20"/>
          <w:lang w:val="es-CR"/>
        </w:rPr>
        <w:t>n</w:t>
      </w:r>
      <w:r w:rsidRPr="002C0FC0">
        <w:rPr>
          <w:rFonts w:ascii="Verdana" w:hAnsi="Verdana"/>
          <w:spacing w:val="-4"/>
          <w:sz w:val="20"/>
          <w:szCs w:val="20"/>
          <w:lang w:val="es-CR"/>
        </w:rPr>
        <w:t xml:space="preserve"> presentar sintomatología compatible con el virus</w:t>
      </w:r>
      <w:r w:rsidR="00EF3D0F" w:rsidRPr="002C0FC0">
        <w:rPr>
          <w:rFonts w:ascii="Verdana" w:hAnsi="Verdana"/>
          <w:spacing w:val="-4"/>
          <w:sz w:val="20"/>
          <w:szCs w:val="20"/>
          <w:lang w:val="es-CR"/>
        </w:rPr>
        <w:t>, así como</w:t>
      </w:r>
      <w:r w:rsidR="00A63075" w:rsidRPr="002C0FC0">
        <w:rPr>
          <w:rFonts w:ascii="Verdana" w:hAnsi="Verdana"/>
          <w:spacing w:val="-4"/>
          <w:sz w:val="20"/>
          <w:szCs w:val="20"/>
          <w:lang w:val="es-CR"/>
        </w:rPr>
        <w:t xml:space="preserve"> el posible margen de error de la única prueba que se le</w:t>
      </w:r>
      <w:r w:rsidR="00EF3D0F" w:rsidRPr="002C0FC0">
        <w:rPr>
          <w:rFonts w:ascii="Verdana" w:hAnsi="Verdana"/>
          <w:spacing w:val="-4"/>
          <w:sz w:val="20"/>
          <w:szCs w:val="20"/>
          <w:lang w:val="es-CR"/>
        </w:rPr>
        <w:t>s</w:t>
      </w:r>
      <w:r w:rsidR="00A63075" w:rsidRPr="002C0FC0">
        <w:rPr>
          <w:rFonts w:ascii="Verdana" w:hAnsi="Verdana"/>
          <w:spacing w:val="-4"/>
          <w:sz w:val="20"/>
          <w:szCs w:val="20"/>
          <w:lang w:val="es-CR"/>
        </w:rPr>
        <w:t xml:space="preserve"> realizó</w:t>
      </w:r>
      <w:r w:rsidRPr="002C0FC0">
        <w:rPr>
          <w:rFonts w:ascii="Verdana" w:hAnsi="Verdana"/>
          <w:spacing w:val="-4"/>
          <w:sz w:val="20"/>
          <w:szCs w:val="20"/>
          <w:lang w:val="es-CR"/>
        </w:rPr>
        <w:t>. Por ello, teniendo en cuenta la complejidad sin precedentes que la pandemia del COVID-</w:t>
      </w:r>
      <w:r w:rsidRPr="002C0FC0">
        <w:rPr>
          <w:rFonts w:ascii="Verdana" w:hAnsi="Verdana"/>
          <w:spacing w:val="-4"/>
          <w:sz w:val="20"/>
          <w:szCs w:val="20"/>
          <w:lang w:val="es-CR"/>
        </w:rPr>
        <w:lastRenderedPageBreak/>
        <w:t xml:space="preserve">19 presenta y las graves afectaciones que a corto, mediano y largo plazo </w:t>
      </w:r>
      <w:r w:rsidR="0084343C" w:rsidRPr="002C0FC0">
        <w:rPr>
          <w:rFonts w:ascii="Verdana" w:hAnsi="Verdana"/>
          <w:spacing w:val="-4"/>
          <w:sz w:val="20"/>
          <w:szCs w:val="20"/>
          <w:lang w:val="es-CR"/>
        </w:rPr>
        <w:t xml:space="preserve">que </w:t>
      </w:r>
      <w:r w:rsidRPr="002C0FC0">
        <w:rPr>
          <w:rFonts w:ascii="Verdana" w:hAnsi="Verdana"/>
          <w:spacing w:val="-4"/>
          <w:sz w:val="20"/>
          <w:szCs w:val="20"/>
          <w:lang w:val="es-CR"/>
        </w:rPr>
        <w:t xml:space="preserve">éste puede producir a la salud, así como la pertenencia de los propuestos beneficiarios a grupos de riesgo, la Corte concluye que se verifica el requisito de extrema gravedad. </w:t>
      </w:r>
    </w:p>
    <w:p w14:paraId="124B55E5" w14:textId="77777777" w:rsidR="004C76AE" w:rsidRPr="002C0FC0" w:rsidRDefault="004C76AE" w:rsidP="00D423DE">
      <w:pPr>
        <w:autoSpaceDE w:val="0"/>
        <w:autoSpaceDN w:val="0"/>
        <w:adjustRightInd w:val="0"/>
        <w:jc w:val="both"/>
        <w:rPr>
          <w:rFonts w:ascii="Verdana" w:hAnsi="Verdana"/>
          <w:b/>
          <w:bCs/>
          <w:color w:val="4472C4" w:themeColor="accent1"/>
          <w:spacing w:val="-4"/>
          <w:sz w:val="20"/>
          <w:szCs w:val="20"/>
          <w:lang w:val="es-CR"/>
        </w:rPr>
      </w:pPr>
    </w:p>
    <w:p w14:paraId="7BEB4D80" w14:textId="509391E6" w:rsidR="00A73BA5" w:rsidRPr="002C0FC0" w:rsidRDefault="00DC0DE2" w:rsidP="006A5B8D">
      <w:pPr>
        <w:pStyle w:val="Prrafodelista"/>
        <w:numPr>
          <w:ilvl w:val="0"/>
          <w:numId w:val="25"/>
        </w:numPr>
        <w:autoSpaceDE w:val="0"/>
        <w:autoSpaceDN w:val="0"/>
        <w:adjustRightInd w:val="0"/>
        <w:spacing w:after="0" w:line="240" w:lineRule="auto"/>
        <w:ind w:left="0" w:firstLine="0"/>
        <w:jc w:val="both"/>
        <w:rPr>
          <w:rFonts w:ascii="Verdana" w:hAnsi="Verdana"/>
          <w:spacing w:val="-4"/>
          <w:sz w:val="20"/>
          <w:szCs w:val="20"/>
          <w:lang w:val="es-CR"/>
        </w:rPr>
      </w:pPr>
      <w:r w:rsidRPr="002C0FC0">
        <w:rPr>
          <w:rFonts w:ascii="Verdana" w:hAnsi="Verdana"/>
          <w:spacing w:val="-4"/>
          <w:sz w:val="20"/>
          <w:szCs w:val="20"/>
          <w:lang w:val="es-CR"/>
        </w:rPr>
        <w:t>En cuanto a la urgencia,</w:t>
      </w:r>
      <w:r w:rsidR="00D0671D" w:rsidRPr="002C0FC0">
        <w:rPr>
          <w:rFonts w:ascii="Verdana" w:hAnsi="Verdana"/>
          <w:spacing w:val="-4"/>
          <w:sz w:val="20"/>
          <w:szCs w:val="20"/>
          <w:lang w:val="es-CR"/>
        </w:rPr>
        <w:t xml:space="preserve"> </w:t>
      </w:r>
      <w:r w:rsidR="00AE4164" w:rsidRPr="002C0FC0">
        <w:rPr>
          <w:rFonts w:ascii="Verdana" w:hAnsi="Verdana"/>
          <w:spacing w:val="-4"/>
          <w:sz w:val="20"/>
          <w:szCs w:val="20"/>
          <w:lang w:val="es-CR"/>
        </w:rPr>
        <w:t xml:space="preserve">es necesario hacer referencia al contexto </w:t>
      </w:r>
      <w:r w:rsidR="00D0671D" w:rsidRPr="002C0FC0">
        <w:rPr>
          <w:rFonts w:ascii="Verdana" w:hAnsi="Verdana"/>
          <w:spacing w:val="-4"/>
          <w:sz w:val="20"/>
          <w:szCs w:val="20"/>
          <w:lang w:val="es-CR"/>
        </w:rPr>
        <w:t>en todos los establecimientos penitenciarios del Perú, así como específicamente en los tres centros en los cuales se encuentran los propuestos beneficiarios. En efecto, la Corte observa que la Defensoría del Pueblo ha remarcado que, pese a los esfuerzos y acciones emprendidas por el Estado a través de diversos organismos</w:t>
      </w:r>
      <w:r w:rsidR="00D0671D" w:rsidRPr="002C0FC0">
        <w:rPr>
          <w:rStyle w:val="Refdenotaalpie"/>
          <w:spacing w:val="-4"/>
          <w:sz w:val="20"/>
          <w:szCs w:val="20"/>
          <w:lang w:val="es-CR"/>
        </w:rPr>
        <w:footnoteReference w:id="29"/>
      </w:r>
      <w:r w:rsidR="00D0671D" w:rsidRPr="002C0FC0">
        <w:rPr>
          <w:rFonts w:ascii="Verdana" w:hAnsi="Verdana"/>
          <w:spacing w:val="-4"/>
          <w:sz w:val="20"/>
          <w:szCs w:val="20"/>
          <w:lang w:val="es-CR"/>
        </w:rPr>
        <w:t>,</w:t>
      </w:r>
      <w:r w:rsidR="00D0671D" w:rsidRPr="002C0FC0">
        <w:rPr>
          <w:rFonts w:ascii="Verdana" w:hAnsi="Verdana"/>
          <w:b/>
          <w:bCs/>
          <w:spacing w:val="-4"/>
          <w:sz w:val="20"/>
          <w:szCs w:val="20"/>
          <w:lang w:val="es-CR"/>
        </w:rPr>
        <w:t xml:space="preserve"> </w:t>
      </w:r>
      <w:r w:rsidR="00D0671D" w:rsidRPr="002C0FC0">
        <w:rPr>
          <w:rFonts w:ascii="Verdana" w:hAnsi="Verdana"/>
          <w:spacing w:val="-4"/>
          <w:sz w:val="20"/>
          <w:szCs w:val="20"/>
          <w:lang w:val="es-CR"/>
        </w:rPr>
        <w:t>existe un “brote masivo del COVID-19 en las cárceles a nivel nacional”, que ha tenido como consecuencia el “cobro de vidas de internos y agentes penitenciarios”</w:t>
      </w:r>
      <w:r w:rsidR="00D0671D" w:rsidRPr="002C0FC0">
        <w:rPr>
          <w:rStyle w:val="Refdenotaalpie"/>
          <w:spacing w:val="-4"/>
          <w:sz w:val="20"/>
          <w:szCs w:val="20"/>
          <w:lang w:val="es-CR"/>
        </w:rPr>
        <w:footnoteReference w:id="30"/>
      </w:r>
      <w:r w:rsidR="00D0671D" w:rsidRPr="002C0FC0">
        <w:rPr>
          <w:rFonts w:ascii="Verdana" w:hAnsi="Verdana"/>
          <w:spacing w:val="-4"/>
          <w:sz w:val="20"/>
          <w:szCs w:val="20"/>
          <w:lang w:val="es-CR"/>
        </w:rPr>
        <w:t>. En este sentido, la información científica disponible demuestra que, una vez que el virus ingresa a los establecimientos penitenciarios, el índice de propagación es varias veces mayor que fuera</w:t>
      </w:r>
      <w:r w:rsidR="00194BEF" w:rsidRPr="002C0FC0">
        <w:rPr>
          <w:rFonts w:ascii="Verdana" w:hAnsi="Verdana"/>
          <w:spacing w:val="-4"/>
          <w:sz w:val="20"/>
          <w:szCs w:val="20"/>
          <w:lang w:val="es-CR"/>
        </w:rPr>
        <w:t xml:space="preserve"> de los mismos</w:t>
      </w:r>
      <w:r w:rsidR="000F67FC" w:rsidRPr="002C0FC0">
        <w:rPr>
          <w:rFonts w:ascii="Verdana" w:hAnsi="Verdana"/>
          <w:spacing w:val="-4"/>
          <w:sz w:val="20"/>
          <w:szCs w:val="20"/>
          <w:lang w:val="es-CR"/>
        </w:rPr>
        <w:t xml:space="preserve"> (</w:t>
      </w:r>
      <w:r w:rsidR="000F67FC" w:rsidRPr="002C0FC0">
        <w:rPr>
          <w:rFonts w:ascii="Verdana" w:hAnsi="Verdana"/>
          <w:i/>
          <w:spacing w:val="-4"/>
          <w:sz w:val="20"/>
          <w:szCs w:val="20"/>
          <w:lang w:val="es-CR"/>
        </w:rPr>
        <w:t xml:space="preserve">supra </w:t>
      </w:r>
      <w:r w:rsidR="000F67FC" w:rsidRPr="002C0FC0">
        <w:rPr>
          <w:rFonts w:ascii="Verdana" w:hAnsi="Verdana"/>
          <w:spacing w:val="-4"/>
          <w:sz w:val="20"/>
          <w:szCs w:val="20"/>
          <w:lang w:val="es-CR"/>
        </w:rPr>
        <w:t>Considerando 24)</w:t>
      </w:r>
      <w:r w:rsidR="00D0671D" w:rsidRPr="002C0FC0">
        <w:rPr>
          <w:rFonts w:ascii="Verdana" w:hAnsi="Verdana"/>
          <w:spacing w:val="-4"/>
          <w:sz w:val="20"/>
          <w:szCs w:val="20"/>
          <w:lang w:val="es-CR"/>
        </w:rPr>
        <w:t xml:space="preserve">. Esto </w:t>
      </w:r>
      <w:r w:rsidR="00194BEF" w:rsidRPr="002C0FC0">
        <w:rPr>
          <w:rFonts w:ascii="Verdana" w:hAnsi="Verdana"/>
          <w:spacing w:val="-4"/>
          <w:sz w:val="20"/>
          <w:szCs w:val="20"/>
          <w:lang w:val="es-CR"/>
        </w:rPr>
        <w:t xml:space="preserve">podría generar </w:t>
      </w:r>
      <w:r w:rsidR="00D0671D" w:rsidRPr="002C0FC0">
        <w:rPr>
          <w:rFonts w:ascii="Verdana" w:hAnsi="Verdana"/>
          <w:spacing w:val="-4"/>
          <w:sz w:val="20"/>
          <w:szCs w:val="20"/>
          <w:lang w:val="es-CR"/>
        </w:rPr>
        <w:t xml:space="preserve">que los servicios de salud </w:t>
      </w:r>
      <w:r w:rsidR="00A73BA5" w:rsidRPr="002C0FC0">
        <w:rPr>
          <w:rFonts w:ascii="Verdana" w:hAnsi="Verdana"/>
          <w:spacing w:val="-4"/>
          <w:sz w:val="20"/>
          <w:szCs w:val="20"/>
          <w:lang w:val="es-CR"/>
        </w:rPr>
        <w:t xml:space="preserve">disponibles dentro de los establecimientos </w:t>
      </w:r>
      <w:r w:rsidR="00D0671D" w:rsidRPr="002C0FC0">
        <w:rPr>
          <w:rFonts w:ascii="Verdana" w:hAnsi="Verdana"/>
          <w:spacing w:val="-4"/>
          <w:sz w:val="20"/>
          <w:szCs w:val="20"/>
          <w:lang w:val="es-CR"/>
        </w:rPr>
        <w:t>escaseen</w:t>
      </w:r>
      <w:r w:rsidR="00A73BA5" w:rsidRPr="002C0FC0">
        <w:rPr>
          <w:rFonts w:ascii="Verdana" w:hAnsi="Verdana"/>
          <w:spacing w:val="-4"/>
          <w:sz w:val="20"/>
          <w:szCs w:val="20"/>
          <w:lang w:val="es-CR"/>
        </w:rPr>
        <w:t>,</w:t>
      </w:r>
      <w:r w:rsidR="00D0671D" w:rsidRPr="002C0FC0">
        <w:rPr>
          <w:rFonts w:ascii="Verdana" w:hAnsi="Verdana"/>
          <w:spacing w:val="-4"/>
          <w:sz w:val="20"/>
          <w:szCs w:val="20"/>
          <w:lang w:val="es-CR"/>
        </w:rPr>
        <w:t xml:space="preserve"> en virtud de la de</w:t>
      </w:r>
      <w:r w:rsidR="00A73BA5" w:rsidRPr="002C0FC0">
        <w:rPr>
          <w:rFonts w:ascii="Verdana" w:hAnsi="Verdana"/>
          <w:spacing w:val="-4"/>
          <w:sz w:val="20"/>
          <w:szCs w:val="20"/>
          <w:lang w:val="es-CR"/>
        </w:rPr>
        <w:t xml:space="preserve">manda sin precedentes que se presenta. El requisito de urgencia se configura, por lo tanto, en la necesidad de asegurar que los propuestos beneficiarios, todos ellos personas de riesgo, de los cuales al menos </w:t>
      </w:r>
      <w:r w:rsidR="000F67FC" w:rsidRPr="002C0FC0">
        <w:rPr>
          <w:rFonts w:ascii="Verdana" w:hAnsi="Verdana"/>
          <w:spacing w:val="-4"/>
          <w:sz w:val="20"/>
          <w:szCs w:val="20"/>
          <w:lang w:val="es-CR"/>
        </w:rPr>
        <w:t>dos</w:t>
      </w:r>
      <w:r w:rsidR="00A73BA5" w:rsidRPr="002C0FC0">
        <w:rPr>
          <w:rFonts w:ascii="Verdana" w:hAnsi="Verdana"/>
          <w:spacing w:val="-4"/>
          <w:sz w:val="20"/>
          <w:szCs w:val="20"/>
          <w:lang w:val="es-CR"/>
        </w:rPr>
        <w:t xml:space="preserve"> ya han sido contagiados,</w:t>
      </w:r>
      <w:r w:rsidR="000F67FC" w:rsidRPr="002C0FC0">
        <w:rPr>
          <w:rFonts w:ascii="Verdana" w:hAnsi="Verdana"/>
          <w:spacing w:val="-4"/>
          <w:sz w:val="20"/>
          <w:szCs w:val="20"/>
          <w:lang w:val="es-CR"/>
        </w:rPr>
        <w:t xml:space="preserve"> una tercera también lo estaría, según refieren los intervinientes comunes, y otros dos podrían estarlo,</w:t>
      </w:r>
      <w:r w:rsidR="00A73BA5" w:rsidRPr="002C0FC0">
        <w:rPr>
          <w:rFonts w:ascii="Verdana" w:hAnsi="Verdana"/>
          <w:spacing w:val="-4"/>
          <w:sz w:val="20"/>
          <w:szCs w:val="20"/>
          <w:lang w:val="es-CR"/>
        </w:rPr>
        <w:t xml:space="preserve"> </w:t>
      </w:r>
      <w:r w:rsidR="0032798D" w:rsidRPr="002C0FC0">
        <w:rPr>
          <w:rFonts w:ascii="Verdana" w:hAnsi="Verdana"/>
          <w:spacing w:val="-4"/>
          <w:sz w:val="20"/>
          <w:szCs w:val="20"/>
          <w:lang w:val="es-CR"/>
        </w:rPr>
        <w:t xml:space="preserve">reciban o </w:t>
      </w:r>
      <w:r w:rsidR="00A73BA5" w:rsidRPr="002C0FC0">
        <w:rPr>
          <w:rFonts w:ascii="Verdana" w:hAnsi="Verdana"/>
          <w:spacing w:val="-4"/>
          <w:sz w:val="20"/>
          <w:szCs w:val="20"/>
          <w:lang w:val="es-CR"/>
        </w:rPr>
        <w:t>continúen recibiendo la atención médica y seguimiento necesario para combatir los efectos a corto, mediano y largo plazo de dicha enfermedad. Asimismo, esta Corte considera que la urgencia del caso se ve exacerbada por el hecho de que</w:t>
      </w:r>
      <w:r w:rsidR="00F32B7D" w:rsidRPr="002C0FC0">
        <w:rPr>
          <w:rFonts w:ascii="Verdana" w:hAnsi="Verdana"/>
          <w:spacing w:val="-4"/>
          <w:sz w:val="20"/>
          <w:szCs w:val="20"/>
          <w:lang w:val="es-CR"/>
        </w:rPr>
        <w:t xml:space="preserve">, a </w:t>
      </w:r>
      <w:r w:rsidR="00F32B7D" w:rsidRPr="002C0FC0">
        <w:rPr>
          <w:rFonts w:ascii="Verdana" w:hAnsi="Verdana"/>
          <w:spacing w:val="-4"/>
          <w:sz w:val="20"/>
          <w:szCs w:val="20"/>
          <w:lang w:val="es-AR"/>
        </w:rPr>
        <w:t xml:space="preserve">casi 14 años desde </w:t>
      </w:r>
      <w:r w:rsidR="00194BEF" w:rsidRPr="002C0FC0">
        <w:rPr>
          <w:rFonts w:ascii="Verdana" w:hAnsi="Verdana"/>
          <w:spacing w:val="-4"/>
          <w:sz w:val="20"/>
          <w:szCs w:val="20"/>
          <w:lang w:val="es-AR"/>
        </w:rPr>
        <w:t>la</w:t>
      </w:r>
      <w:r w:rsidR="00F32B7D" w:rsidRPr="002C0FC0">
        <w:rPr>
          <w:rFonts w:ascii="Verdana" w:hAnsi="Verdana"/>
          <w:spacing w:val="-4"/>
          <w:sz w:val="20"/>
          <w:szCs w:val="20"/>
          <w:lang w:val="es-AR"/>
        </w:rPr>
        <w:t xml:space="preserve"> emisión</w:t>
      </w:r>
      <w:r w:rsidR="00194BEF" w:rsidRPr="002C0FC0">
        <w:rPr>
          <w:rFonts w:ascii="Verdana" w:hAnsi="Verdana"/>
          <w:spacing w:val="-4"/>
          <w:sz w:val="20"/>
          <w:szCs w:val="20"/>
          <w:lang w:val="es-AR"/>
        </w:rPr>
        <w:t xml:space="preserve"> de la Sentencia del presente caso</w:t>
      </w:r>
      <w:r w:rsidR="00F32B7D" w:rsidRPr="002C0FC0">
        <w:rPr>
          <w:rFonts w:ascii="Verdana" w:hAnsi="Verdana"/>
          <w:spacing w:val="-4"/>
          <w:sz w:val="20"/>
          <w:szCs w:val="20"/>
          <w:lang w:val="es-AR"/>
        </w:rPr>
        <w:t xml:space="preserve">, Perú no ha presentado </w:t>
      </w:r>
      <w:r w:rsidR="00194BEF" w:rsidRPr="002C0FC0">
        <w:rPr>
          <w:rFonts w:ascii="Verdana" w:hAnsi="Verdana"/>
          <w:spacing w:val="-4"/>
          <w:sz w:val="20"/>
          <w:szCs w:val="20"/>
          <w:lang w:val="es-AR"/>
        </w:rPr>
        <w:t xml:space="preserve">información </w:t>
      </w:r>
      <w:r w:rsidR="00625F11" w:rsidRPr="002C0FC0">
        <w:rPr>
          <w:rFonts w:ascii="Verdana" w:hAnsi="Verdana"/>
          <w:spacing w:val="-4"/>
          <w:sz w:val="20"/>
          <w:szCs w:val="20"/>
          <w:lang w:val="es-CR"/>
        </w:rPr>
        <w:t xml:space="preserve">en el marco del proceso de supervisión de cumplimiento </w:t>
      </w:r>
      <w:r w:rsidR="00F32B7D" w:rsidRPr="002C0FC0">
        <w:rPr>
          <w:rFonts w:ascii="Verdana" w:hAnsi="Verdana"/>
          <w:spacing w:val="-4"/>
          <w:sz w:val="20"/>
          <w:szCs w:val="20"/>
          <w:lang w:val="es-AR"/>
        </w:rPr>
        <w:t xml:space="preserve">que permita valorar algún avance significativo en la implementación de la presente medida de reparación, </w:t>
      </w:r>
      <w:r w:rsidR="00625F11" w:rsidRPr="002C0FC0">
        <w:rPr>
          <w:rFonts w:ascii="Verdana" w:hAnsi="Verdana"/>
          <w:spacing w:val="-4"/>
          <w:sz w:val="20"/>
          <w:szCs w:val="20"/>
          <w:lang w:val="es-AR"/>
        </w:rPr>
        <w:t>ni</w:t>
      </w:r>
      <w:r w:rsidR="00F32B7D" w:rsidRPr="002C0FC0">
        <w:rPr>
          <w:rFonts w:ascii="Verdana" w:hAnsi="Verdana"/>
          <w:spacing w:val="-4"/>
          <w:sz w:val="20"/>
          <w:szCs w:val="20"/>
          <w:lang w:val="es-AR"/>
        </w:rPr>
        <w:t xml:space="preserve"> tampoco ha brindado la información requ</w:t>
      </w:r>
      <w:r w:rsidR="0088606F" w:rsidRPr="002C0FC0">
        <w:rPr>
          <w:rFonts w:ascii="Verdana" w:hAnsi="Verdana"/>
          <w:spacing w:val="-4"/>
          <w:sz w:val="20"/>
          <w:szCs w:val="20"/>
          <w:lang w:val="es-AR"/>
        </w:rPr>
        <w:t>erida en la Resolución de 2014</w:t>
      </w:r>
      <w:r w:rsidR="00F32B7D" w:rsidRPr="002C0FC0">
        <w:rPr>
          <w:rFonts w:ascii="Verdana" w:hAnsi="Verdana"/>
          <w:spacing w:val="-4"/>
          <w:sz w:val="20"/>
          <w:szCs w:val="20"/>
          <w:lang w:val="es-AR"/>
        </w:rPr>
        <w:t xml:space="preserve">, es decir, hace 6 años. En el contexto actual en que todos los países del mundo están atravesando dificultades sin precedentes en materia sanitaria a raíz de la pandemia del COVID-19, resulta imperativo que el Estado presente información actualizada y detallada sobre el cumplimiento de esta medida. </w:t>
      </w:r>
    </w:p>
    <w:p w14:paraId="7F89BCBF" w14:textId="77777777" w:rsidR="00F32B7D" w:rsidRPr="002C0FC0" w:rsidRDefault="00F32B7D" w:rsidP="00F32B7D">
      <w:pPr>
        <w:pStyle w:val="Prrafodelista"/>
        <w:autoSpaceDE w:val="0"/>
        <w:autoSpaceDN w:val="0"/>
        <w:adjustRightInd w:val="0"/>
        <w:spacing w:after="0" w:line="240" w:lineRule="auto"/>
        <w:ind w:left="0"/>
        <w:jc w:val="both"/>
        <w:rPr>
          <w:rFonts w:ascii="Verdana" w:hAnsi="Verdana"/>
          <w:b/>
          <w:bCs/>
          <w:spacing w:val="-4"/>
          <w:sz w:val="20"/>
          <w:szCs w:val="20"/>
          <w:lang w:val="es-CR"/>
        </w:rPr>
      </w:pPr>
    </w:p>
    <w:p w14:paraId="7AC13A22" w14:textId="0D7C6A0C" w:rsidR="00A73BA5" w:rsidRPr="002C0FC0" w:rsidRDefault="00D376EB" w:rsidP="006A5B8D">
      <w:pPr>
        <w:pStyle w:val="Prrafodelista"/>
        <w:numPr>
          <w:ilvl w:val="0"/>
          <w:numId w:val="25"/>
        </w:numPr>
        <w:autoSpaceDE w:val="0"/>
        <w:autoSpaceDN w:val="0"/>
        <w:adjustRightInd w:val="0"/>
        <w:spacing w:after="0" w:line="240" w:lineRule="auto"/>
        <w:ind w:left="0" w:firstLine="0"/>
        <w:jc w:val="both"/>
        <w:rPr>
          <w:rFonts w:ascii="Verdana" w:hAnsi="Verdana"/>
          <w:spacing w:val="-4"/>
          <w:sz w:val="20"/>
          <w:szCs w:val="20"/>
          <w:lang w:val="es-CR"/>
        </w:rPr>
      </w:pPr>
      <w:r w:rsidRPr="002C0FC0">
        <w:rPr>
          <w:rFonts w:ascii="Verdana" w:hAnsi="Verdana"/>
          <w:spacing w:val="-4"/>
          <w:sz w:val="20"/>
          <w:szCs w:val="20"/>
          <w:lang w:val="es-CR"/>
        </w:rPr>
        <w:t xml:space="preserve">Finalmente, </w:t>
      </w:r>
      <w:r w:rsidR="00005DB1" w:rsidRPr="002C0FC0">
        <w:rPr>
          <w:rFonts w:ascii="Verdana" w:hAnsi="Verdana"/>
          <w:spacing w:val="-4"/>
          <w:sz w:val="20"/>
          <w:szCs w:val="20"/>
          <w:lang w:val="es-CR"/>
        </w:rPr>
        <w:t xml:space="preserve">el requisito de </w:t>
      </w:r>
      <w:proofErr w:type="spellStart"/>
      <w:r w:rsidR="00005DB1" w:rsidRPr="002C0FC0">
        <w:rPr>
          <w:rFonts w:ascii="Verdana" w:hAnsi="Verdana"/>
          <w:spacing w:val="-4"/>
          <w:sz w:val="20"/>
          <w:szCs w:val="20"/>
          <w:lang w:val="es-CR"/>
        </w:rPr>
        <w:t>irreparabilidad</w:t>
      </w:r>
      <w:proofErr w:type="spellEnd"/>
      <w:r w:rsidR="00005DB1" w:rsidRPr="002C0FC0">
        <w:rPr>
          <w:rFonts w:ascii="Verdana" w:hAnsi="Verdana"/>
          <w:spacing w:val="-4"/>
          <w:sz w:val="20"/>
          <w:szCs w:val="20"/>
          <w:lang w:val="es-CR"/>
        </w:rPr>
        <w:t xml:space="preserve"> del daño se cumple debido a la complejidad del virus COVID-19, del cual están contagiados al menos </w:t>
      </w:r>
      <w:r w:rsidR="000F67FC" w:rsidRPr="002C0FC0">
        <w:rPr>
          <w:rFonts w:ascii="Verdana" w:hAnsi="Verdana"/>
          <w:spacing w:val="-4"/>
          <w:sz w:val="20"/>
          <w:szCs w:val="20"/>
          <w:lang w:val="es-CR"/>
        </w:rPr>
        <w:t>dos</w:t>
      </w:r>
      <w:r w:rsidR="00005DB1" w:rsidRPr="002C0FC0">
        <w:rPr>
          <w:rFonts w:ascii="Verdana" w:hAnsi="Verdana"/>
          <w:spacing w:val="-4"/>
          <w:sz w:val="20"/>
          <w:szCs w:val="20"/>
          <w:lang w:val="es-CR"/>
        </w:rPr>
        <w:t xml:space="preserve"> </w:t>
      </w:r>
      <w:r w:rsidR="000F67FC" w:rsidRPr="002C0FC0">
        <w:rPr>
          <w:rFonts w:ascii="Verdana" w:hAnsi="Verdana"/>
          <w:spacing w:val="-4"/>
          <w:sz w:val="20"/>
          <w:szCs w:val="20"/>
          <w:lang w:val="es-CR"/>
        </w:rPr>
        <w:t>de los propuestos beneficiarios a lo que se suma que una tercera también lo estaría,</w:t>
      </w:r>
      <w:r w:rsidR="00005DB1" w:rsidRPr="002C0FC0">
        <w:rPr>
          <w:rFonts w:ascii="Verdana" w:hAnsi="Verdana"/>
          <w:spacing w:val="-4"/>
          <w:sz w:val="20"/>
          <w:szCs w:val="20"/>
          <w:lang w:val="es-CR"/>
        </w:rPr>
        <w:t xml:space="preserve"> </w:t>
      </w:r>
      <w:r w:rsidR="003334D9" w:rsidRPr="002C0FC0">
        <w:rPr>
          <w:rFonts w:ascii="Verdana" w:hAnsi="Verdana"/>
          <w:spacing w:val="-4"/>
          <w:sz w:val="20"/>
          <w:szCs w:val="20"/>
          <w:lang w:val="es-CR"/>
        </w:rPr>
        <w:t>mientras que otros dos</w:t>
      </w:r>
      <w:r w:rsidR="00194BEF" w:rsidRPr="002C0FC0">
        <w:rPr>
          <w:rFonts w:ascii="Verdana" w:hAnsi="Verdana"/>
          <w:spacing w:val="-4"/>
          <w:sz w:val="20"/>
          <w:szCs w:val="20"/>
          <w:lang w:val="es-CR"/>
        </w:rPr>
        <w:t xml:space="preserve"> podría</w:t>
      </w:r>
      <w:r w:rsidR="003334D9" w:rsidRPr="002C0FC0">
        <w:rPr>
          <w:rFonts w:ascii="Verdana" w:hAnsi="Verdana"/>
          <w:spacing w:val="-4"/>
          <w:sz w:val="20"/>
          <w:szCs w:val="20"/>
          <w:lang w:val="es-CR"/>
        </w:rPr>
        <w:t>n estarlo</w:t>
      </w:r>
      <w:r w:rsidR="00005DB1" w:rsidRPr="002C0FC0">
        <w:rPr>
          <w:rFonts w:ascii="Verdana" w:hAnsi="Verdana"/>
          <w:spacing w:val="-4"/>
          <w:sz w:val="20"/>
          <w:szCs w:val="20"/>
          <w:lang w:val="es-CR"/>
        </w:rPr>
        <w:t xml:space="preserve">, </w:t>
      </w:r>
      <w:r w:rsidR="003334D9" w:rsidRPr="002C0FC0">
        <w:rPr>
          <w:rFonts w:ascii="Verdana" w:hAnsi="Verdana"/>
          <w:spacing w:val="-4"/>
          <w:sz w:val="20"/>
          <w:szCs w:val="20"/>
          <w:lang w:val="es-CR"/>
        </w:rPr>
        <w:t xml:space="preserve">así como </w:t>
      </w:r>
      <w:r w:rsidR="00005DB1" w:rsidRPr="002C0FC0">
        <w:rPr>
          <w:rFonts w:ascii="Verdana" w:hAnsi="Verdana"/>
          <w:spacing w:val="-4"/>
          <w:sz w:val="20"/>
          <w:szCs w:val="20"/>
          <w:lang w:val="es-CR"/>
        </w:rPr>
        <w:t xml:space="preserve">por la grave afectación que dicha enfermedad puede producir a la vida, la salud y la integridad de los propuestos beneficiarios, máxime cuando se trata de personas en especial situación de riesgo de sufrir complicaciones en caso de contagio. </w:t>
      </w:r>
    </w:p>
    <w:p w14:paraId="3D88650C" w14:textId="77777777" w:rsidR="00005DB1" w:rsidRPr="00D73B37" w:rsidRDefault="00005DB1" w:rsidP="00D0671D">
      <w:pPr>
        <w:autoSpaceDE w:val="0"/>
        <w:autoSpaceDN w:val="0"/>
        <w:adjustRightInd w:val="0"/>
        <w:jc w:val="both"/>
        <w:rPr>
          <w:rFonts w:ascii="Verdana" w:hAnsi="Verdana"/>
          <w:spacing w:val="-4"/>
          <w:sz w:val="8"/>
          <w:szCs w:val="20"/>
          <w:lang w:val="es-CR"/>
        </w:rPr>
      </w:pPr>
    </w:p>
    <w:p w14:paraId="35A3E5FA" w14:textId="23A07055" w:rsidR="0000254C" w:rsidRPr="00D73B37" w:rsidRDefault="00176C0A" w:rsidP="006A5B8D">
      <w:pPr>
        <w:pStyle w:val="Prrafodelista"/>
        <w:numPr>
          <w:ilvl w:val="0"/>
          <w:numId w:val="25"/>
        </w:numPr>
        <w:autoSpaceDE w:val="0"/>
        <w:autoSpaceDN w:val="0"/>
        <w:adjustRightInd w:val="0"/>
        <w:spacing w:after="0" w:line="240" w:lineRule="auto"/>
        <w:ind w:left="0" w:firstLine="0"/>
        <w:jc w:val="both"/>
        <w:rPr>
          <w:rFonts w:ascii="Verdana" w:hAnsi="Verdana"/>
          <w:spacing w:val="-4"/>
          <w:sz w:val="20"/>
          <w:szCs w:val="20"/>
          <w:lang w:val="es-CR"/>
        </w:rPr>
      </w:pPr>
      <w:bookmarkStart w:id="10" w:name="_Ref46241248"/>
      <w:r w:rsidRPr="00D73B37">
        <w:rPr>
          <w:rFonts w:ascii="Verdana" w:hAnsi="Verdana"/>
          <w:spacing w:val="-4"/>
          <w:sz w:val="20"/>
          <w:szCs w:val="20"/>
          <w:lang w:val="es-AR"/>
        </w:rPr>
        <w:t>Este Tribunal observa</w:t>
      </w:r>
      <w:r w:rsidR="00CC62E8" w:rsidRPr="00D73B37">
        <w:rPr>
          <w:rFonts w:ascii="Verdana" w:hAnsi="Verdana"/>
          <w:spacing w:val="-4"/>
          <w:sz w:val="20"/>
          <w:szCs w:val="20"/>
          <w:lang w:val="es-AR"/>
        </w:rPr>
        <w:t xml:space="preserve">: (i) </w:t>
      </w:r>
      <w:r w:rsidRPr="00D73B37">
        <w:rPr>
          <w:rFonts w:ascii="Verdana" w:hAnsi="Verdana"/>
          <w:spacing w:val="-4"/>
          <w:sz w:val="20"/>
          <w:szCs w:val="20"/>
          <w:lang w:val="es-AR"/>
        </w:rPr>
        <w:t xml:space="preserve">que </w:t>
      </w:r>
      <w:r w:rsidR="00CC62E8" w:rsidRPr="00D73B37">
        <w:rPr>
          <w:rFonts w:ascii="Verdana" w:hAnsi="Verdana"/>
          <w:spacing w:val="-4"/>
          <w:sz w:val="20"/>
          <w:szCs w:val="20"/>
          <w:lang w:val="es-AR"/>
        </w:rPr>
        <w:t xml:space="preserve">Perú tiene una especial posición de garante de los derechos de los propuestos beneficiarios, quienes se encuentran bajo su custodia en </w:t>
      </w:r>
      <w:r w:rsidR="00C743AE" w:rsidRPr="00D73B37">
        <w:rPr>
          <w:rFonts w:ascii="Verdana" w:hAnsi="Verdana"/>
          <w:spacing w:val="-4"/>
          <w:sz w:val="20"/>
          <w:szCs w:val="20"/>
          <w:lang w:val="es-AR"/>
        </w:rPr>
        <w:t xml:space="preserve">tres </w:t>
      </w:r>
      <w:r w:rsidR="00CC62E8" w:rsidRPr="00D73B37">
        <w:rPr>
          <w:rFonts w:ascii="Verdana" w:hAnsi="Verdana"/>
          <w:spacing w:val="-4"/>
          <w:sz w:val="20"/>
          <w:szCs w:val="20"/>
          <w:lang w:val="es-AR"/>
        </w:rPr>
        <w:t xml:space="preserve">distintos establecimientos </w:t>
      </w:r>
      <w:r w:rsidR="00C743AE" w:rsidRPr="00D73B37">
        <w:rPr>
          <w:rFonts w:ascii="Verdana" w:hAnsi="Verdana"/>
          <w:spacing w:val="-4"/>
          <w:sz w:val="20"/>
          <w:szCs w:val="20"/>
          <w:lang w:val="es-AR"/>
        </w:rPr>
        <w:t xml:space="preserve">penitenciarios </w:t>
      </w:r>
      <w:r w:rsidR="00CC62E8" w:rsidRPr="00D73B37">
        <w:rPr>
          <w:rFonts w:ascii="Verdana" w:hAnsi="Verdana"/>
          <w:spacing w:val="-4"/>
          <w:sz w:val="20"/>
          <w:szCs w:val="20"/>
          <w:lang w:val="es-AR"/>
        </w:rPr>
        <w:t>del país; (</w:t>
      </w:r>
      <w:proofErr w:type="spellStart"/>
      <w:r w:rsidR="00CC62E8" w:rsidRPr="00D73B37">
        <w:rPr>
          <w:rFonts w:ascii="Verdana" w:hAnsi="Verdana"/>
          <w:spacing w:val="-4"/>
          <w:sz w:val="20"/>
          <w:szCs w:val="20"/>
          <w:lang w:val="es-AR"/>
        </w:rPr>
        <w:t>ii</w:t>
      </w:r>
      <w:proofErr w:type="spellEnd"/>
      <w:r w:rsidR="00CC62E8" w:rsidRPr="00D73B37">
        <w:rPr>
          <w:rFonts w:ascii="Verdana" w:hAnsi="Verdana"/>
          <w:spacing w:val="-4"/>
          <w:sz w:val="20"/>
          <w:szCs w:val="20"/>
          <w:lang w:val="es-AR"/>
        </w:rPr>
        <w:t>)</w:t>
      </w:r>
      <w:r w:rsidRPr="00D73B37">
        <w:rPr>
          <w:rFonts w:ascii="Verdana" w:hAnsi="Verdana"/>
          <w:spacing w:val="-4"/>
          <w:sz w:val="20"/>
          <w:szCs w:val="20"/>
          <w:lang w:val="es-AR"/>
        </w:rPr>
        <w:t xml:space="preserve"> </w:t>
      </w:r>
      <w:r w:rsidR="00CC62E8" w:rsidRPr="00D73B37">
        <w:rPr>
          <w:rFonts w:ascii="Verdana" w:hAnsi="Verdana"/>
          <w:spacing w:val="-4"/>
          <w:sz w:val="20"/>
          <w:szCs w:val="20"/>
          <w:lang w:val="es-AR"/>
        </w:rPr>
        <w:t>las afectaciones a corto, mediano y largo plazo que la enfermedad de COVID-19 puede generar a la salud de las personas, así como el riesgo de mortalidad en aquellos casos en que se presentan complicaciones; (</w:t>
      </w:r>
      <w:proofErr w:type="spellStart"/>
      <w:r w:rsidR="00CC62E8" w:rsidRPr="00D73B37">
        <w:rPr>
          <w:rFonts w:ascii="Verdana" w:hAnsi="Verdana"/>
          <w:spacing w:val="-4"/>
          <w:sz w:val="20"/>
          <w:szCs w:val="20"/>
          <w:lang w:val="es-AR"/>
        </w:rPr>
        <w:t>iii</w:t>
      </w:r>
      <w:proofErr w:type="spellEnd"/>
      <w:r w:rsidR="00CC62E8" w:rsidRPr="00D73B37">
        <w:rPr>
          <w:rFonts w:ascii="Verdana" w:hAnsi="Verdana"/>
          <w:spacing w:val="-4"/>
          <w:sz w:val="20"/>
          <w:szCs w:val="20"/>
          <w:lang w:val="es-AR"/>
        </w:rPr>
        <w:t xml:space="preserve">) </w:t>
      </w:r>
      <w:r w:rsidRPr="00D73B37">
        <w:rPr>
          <w:rFonts w:ascii="Verdana" w:hAnsi="Verdana"/>
          <w:spacing w:val="-4"/>
          <w:sz w:val="20"/>
          <w:szCs w:val="20"/>
          <w:lang w:val="es-AR"/>
        </w:rPr>
        <w:t xml:space="preserve">que </w:t>
      </w:r>
      <w:r w:rsidR="00CC62E8" w:rsidRPr="00D73B37">
        <w:rPr>
          <w:rFonts w:ascii="Verdana" w:hAnsi="Verdana"/>
          <w:spacing w:val="-4"/>
          <w:sz w:val="20"/>
          <w:szCs w:val="20"/>
          <w:lang w:val="es-AR"/>
        </w:rPr>
        <w:t xml:space="preserve">los propuestos beneficiarios se enmarcan dentro de los grupos en con mayor riesgo de sufrir complicaciones en caso de contagio de COVID-19, dada </w:t>
      </w:r>
      <w:r w:rsidR="00CC62E8" w:rsidRPr="00D73B37">
        <w:rPr>
          <w:rFonts w:ascii="Verdana" w:hAnsi="Verdana"/>
          <w:spacing w:val="-4"/>
          <w:sz w:val="20"/>
          <w:szCs w:val="20"/>
          <w:lang w:val="es-CR"/>
        </w:rPr>
        <w:t>su edad, condiciones subyacentes de salud y condición de privación de libertad</w:t>
      </w:r>
      <w:r w:rsidRPr="00D73B37">
        <w:rPr>
          <w:rFonts w:ascii="Verdana" w:hAnsi="Verdana"/>
          <w:spacing w:val="-4"/>
          <w:sz w:val="20"/>
          <w:szCs w:val="20"/>
          <w:lang w:val="es-CR"/>
        </w:rPr>
        <w:t>, (</w:t>
      </w:r>
      <w:proofErr w:type="spellStart"/>
      <w:r w:rsidRPr="00D73B37">
        <w:rPr>
          <w:rFonts w:ascii="Verdana" w:hAnsi="Verdana"/>
          <w:spacing w:val="-4"/>
          <w:sz w:val="20"/>
          <w:szCs w:val="20"/>
          <w:lang w:val="es-CR"/>
        </w:rPr>
        <w:t>iv</w:t>
      </w:r>
      <w:proofErr w:type="spellEnd"/>
      <w:r w:rsidRPr="00D73B37">
        <w:rPr>
          <w:rFonts w:ascii="Verdana" w:hAnsi="Verdana"/>
          <w:spacing w:val="-4"/>
          <w:sz w:val="20"/>
          <w:szCs w:val="20"/>
          <w:lang w:val="es-CR"/>
        </w:rPr>
        <w:t xml:space="preserve">) que </w:t>
      </w:r>
      <w:r w:rsidR="00CC62E8" w:rsidRPr="00D73B37">
        <w:rPr>
          <w:rFonts w:ascii="Verdana" w:hAnsi="Verdana"/>
          <w:spacing w:val="-4"/>
          <w:sz w:val="20"/>
          <w:szCs w:val="20"/>
          <w:lang w:val="es-CR"/>
        </w:rPr>
        <w:t>a partir de la presentación de la presente solicitud de medidas provisionales, Perú ha realizado pruebas de descarte a los propuestos beneficiarios</w:t>
      </w:r>
      <w:r w:rsidR="000F67FC" w:rsidRPr="00D73B37">
        <w:rPr>
          <w:rFonts w:ascii="Verdana" w:hAnsi="Verdana"/>
          <w:spacing w:val="-4"/>
          <w:sz w:val="20"/>
          <w:szCs w:val="20"/>
          <w:lang w:val="es-CR"/>
        </w:rPr>
        <w:t>,</w:t>
      </w:r>
      <w:r w:rsidR="00CC62E8" w:rsidRPr="00D73B37">
        <w:rPr>
          <w:rFonts w:ascii="Verdana" w:hAnsi="Verdana"/>
          <w:spacing w:val="-4"/>
          <w:sz w:val="20"/>
          <w:szCs w:val="20"/>
          <w:lang w:val="es-CR"/>
        </w:rPr>
        <w:t xml:space="preserve"> y </w:t>
      </w:r>
      <w:r w:rsidR="00A30DC1" w:rsidRPr="00D73B37">
        <w:rPr>
          <w:rFonts w:ascii="Verdana" w:hAnsi="Verdana"/>
          <w:spacing w:val="-4"/>
          <w:sz w:val="20"/>
          <w:szCs w:val="20"/>
          <w:lang w:val="es-CR"/>
        </w:rPr>
        <w:t xml:space="preserve">(v) que se encuentra controvertida la adecuación del tratamiento médico suministrado, siendo esencial garantizar esta adecuación y su continuidad </w:t>
      </w:r>
      <w:r w:rsidR="00CC62E8" w:rsidRPr="00D73B37">
        <w:rPr>
          <w:rFonts w:ascii="Verdana" w:hAnsi="Verdana"/>
          <w:spacing w:val="-4"/>
          <w:sz w:val="20"/>
          <w:szCs w:val="20"/>
          <w:lang w:val="es-CR"/>
        </w:rPr>
        <w:t>para preservar la salud, integridad física y vida de los propuestos beneficiarios</w:t>
      </w:r>
      <w:r w:rsidRPr="00D73B37">
        <w:rPr>
          <w:rFonts w:ascii="Verdana" w:hAnsi="Verdana"/>
          <w:spacing w:val="-4"/>
          <w:sz w:val="20"/>
          <w:szCs w:val="20"/>
          <w:lang w:val="es-CR"/>
        </w:rPr>
        <w:t xml:space="preserve">. Por lo tanto, </w:t>
      </w:r>
      <w:r w:rsidR="00C420CB" w:rsidRPr="00D73B37">
        <w:rPr>
          <w:rFonts w:ascii="Verdana" w:hAnsi="Verdana"/>
          <w:spacing w:val="-4"/>
          <w:sz w:val="20"/>
          <w:szCs w:val="20"/>
          <w:lang w:val="es-CR"/>
        </w:rPr>
        <w:t>de co</w:t>
      </w:r>
      <w:r w:rsidR="00C974C2" w:rsidRPr="00D73B37">
        <w:rPr>
          <w:rFonts w:ascii="Verdana" w:hAnsi="Verdana"/>
          <w:spacing w:val="-4"/>
          <w:sz w:val="20"/>
          <w:szCs w:val="20"/>
          <w:lang w:val="es-CR"/>
        </w:rPr>
        <w:t>nformidad a lo señalado</w:t>
      </w:r>
      <w:r w:rsidR="00486FF1" w:rsidRPr="00D73B37">
        <w:rPr>
          <w:rFonts w:ascii="Verdana" w:hAnsi="Verdana"/>
          <w:spacing w:val="-4"/>
          <w:sz w:val="20"/>
          <w:szCs w:val="20"/>
          <w:lang w:val="es-CR"/>
        </w:rPr>
        <w:t xml:space="preserve">, </w:t>
      </w:r>
      <w:r w:rsidRPr="00D73B37">
        <w:rPr>
          <w:rFonts w:ascii="Verdana" w:hAnsi="Verdana"/>
          <w:spacing w:val="-4"/>
          <w:sz w:val="20"/>
          <w:szCs w:val="20"/>
          <w:lang w:val="es-CR"/>
        </w:rPr>
        <w:t xml:space="preserve">la Corte ordena al </w:t>
      </w:r>
      <w:r w:rsidRPr="00D73B37">
        <w:rPr>
          <w:rFonts w:ascii="Verdana" w:hAnsi="Verdana"/>
          <w:spacing w:val="-4"/>
          <w:sz w:val="20"/>
          <w:szCs w:val="20"/>
          <w:lang w:val="es-CR"/>
        </w:rPr>
        <w:lastRenderedPageBreak/>
        <w:t>Estado adoptar las medidas necesarias</w:t>
      </w:r>
      <w:r w:rsidR="00486FF1" w:rsidRPr="00D73B37">
        <w:rPr>
          <w:rFonts w:ascii="Verdana" w:hAnsi="Verdana"/>
          <w:spacing w:val="-4"/>
          <w:sz w:val="20"/>
          <w:szCs w:val="20"/>
          <w:lang w:val="es-CR"/>
        </w:rPr>
        <w:t xml:space="preserve"> para que</w:t>
      </w:r>
      <w:r w:rsidRPr="00D73B37">
        <w:rPr>
          <w:rFonts w:ascii="Verdana" w:hAnsi="Verdana"/>
          <w:spacing w:val="-4"/>
          <w:sz w:val="20"/>
          <w:szCs w:val="20"/>
          <w:lang w:val="es-CR"/>
        </w:rPr>
        <w:t xml:space="preserve">, </w:t>
      </w:r>
      <w:r w:rsidR="00486FF1" w:rsidRPr="00D73B37">
        <w:rPr>
          <w:rFonts w:ascii="Verdana" w:hAnsi="Verdana"/>
          <w:spacing w:val="-4"/>
          <w:sz w:val="20"/>
          <w:szCs w:val="20"/>
          <w:lang w:val="es-CR"/>
        </w:rPr>
        <w:t>se disponga el arresto o detención domiciliaria de los cinco beneficiarios, como forma de ejecución de su pena limitada al tiempo en que permanezca el riesgo para la salud y la vida de estas personas y con las medidas de seguridad y control que el Estado disponga.</w:t>
      </w:r>
      <w:r w:rsidR="00731408" w:rsidRPr="00D73B37">
        <w:rPr>
          <w:rFonts w:ascii="Verdana" w:hAnsi="Verdana"/>
          <w:spacing w:val="-4"/>
          <w:sz w:val="20"/>
          <w:szCs w:val="20"/>
          <w:lang w:val="es-CR"/>
        </w:rPr>
        <w:t xml:space="preserve"> </w:t>
      </w:r>
      <w:bookmarkEnd w:id="10"/>
    </w:p>
    <w:p w14:paraId="30046E95" w14:textId="77777777" w:rsidR="009638B4" w:rsidRPr="002C0FC0" w:rsidRDefault="009638B4" w:rsidP="009638B4">
      <w:pPr>
        <w:autoSpaceDE w:val="0"/>
        <w:autoSpaceDN w:val="0"/>
        <w:adjustRightInd w:val="0"/>
        <w:jc w:val="both"/>
        <w:rPr>
          <w:rFonts w:ascii="Verdana" w:hAnsi="Verdana"/>
          <w:spacing w:val="-4"/>
          <w:sz w:val="20"/>
          <w:szCs w:val="20"/>
          <w:lang w:val="es-CR"/>
        </w:rPr>
      </w:pPr>
    </w:p>
    <w:p w14:paraId="39DDB871" w14:textId="6B2B0AA9" w:rsidR="00E53316" w:rsidRPr="002C0FC0" w:rsidRDefault="00E53316" w:rsidP="0030110F">
      <w:pPr>
        <w:spacing w:line="259" w:lineRule="auto"/>
        <w:jc w:val="both"/>
        <w:rPr>
          <w:rFonts w:ascii="Verdana" w:eastAsia="Verdana" w:hAnsi="Verdana" w:cs="Verdana"/>
          <w:spacing w:val="-4"/>
          <w:sz w:val="20"/>
          <w:szCs w:val="20"/>
          <w:lang w:val="es-CR"/>
        </w:rPr>
      </w:pPr>
      <w:r w:rsidRPr="002C0FC0">
        <w:rPr>
          <w:rFonts w:ascii="Verdana" w:eastAsia="Verdana" w:hAnsi="Verdana" w:cs="Verdana"/>
          <w:b/>
          <w:bCs/>
          <w:spacing w:val="-4"/>
          <w:sz w:val="20"/>
          <w:szCs w:val="20"/>
          <w:lang w:val="es-CR"/>
        </w:rPr>
        <w:t>POR TANTO:</w:t>
      </w:r>
    </w:p>
    <w:p w14:paraId="09F9ABE8" w14:textId="77777777" w:rsidR="00E53316" w:rsidRPr="002C0FC0" w:rsidRDefault="00E53316" w:rsidP="0030110F">
      <w:pPr>
        <w:jc w:val="both"/>
        <w:rPr>
          <w:rFonts w:ascii="Verdana" w:hAnsi="Verdana"/>
          <w:spacing w:val="-4"/>
          <w:sz w:val="20"/>
          <w:szCs w:val="20"/>
          <w:lang w:val="es-CR"/>
        </w:rPr>
      </w:pPr>
    </w:p>
    <w:p w14:paraId="4A44A97D" w14:textId="6B4B8F47" w:rsidR="00E53316" w:rsidRPr="002C0FC0" w:rsidRDefault="00E53316" w:rsidP="0030110F">
      <w:pPr>
        <w:jc w:val="both"/>
        <w:rPr>
          <w:rFonts w:ascii="Verdana" w:eastAsia="Verdana" w:hAnsi="Verdana" w:cs="Verdana"/>
          <w:spacing w:val="-4"/>
          <w:sz w:val="20"/>
          <w:szCs w:val="20"/>
          <w:lang w:val="es-CR"/>
        </w:rPr>
      </w:pPr>
      <w:r w:rsidRPr="002C0FC0">
        <w:rPr>
          <w:rFonts w:ascii="Verdana" w:eastAsia="Verdana" w:hAnsi="Verdana" w:cs="Verdana"/>
          <w:b/>
          <w:bCs/>
          <w:spacing w:val="-4"/>
          <w:sz w:val="20"/>
          <w:szCs w:val="20"/>
          <w:lang w:val="es-CR"/>
        </w:rPr>
        <w:t>LA CORTE INTERAMERICANA DE DERECHOS HUMANOS,</w:t>
      </w:r>
    </w:p>
    <w:p w14:paraId="4C08245A" w14:textId="77777777" w:rsidR="00141350" w:rsidRPr="002C0FC0" w:rsidRDefault="00141350" w:rsidP="0030110F">
      <w:pPr>
        <w:jc w:val="both"/>
        <w:rPr>
          <w:rFonts w:ascii="Verdana" w:hAnsi="Verdana"/>
          <w:spacing w:val="-4"/>
          <w:sz w:val="20"/>
          <w:szCs w:val="20"/>
          <w:lang w:val="es-CR"/>
        </w:rPr>
      </w:pPr>
    </w:p>
    <w:p w14:paraId="3E7D8DDC" w14:textId="562D103F" w:rsidR="00E53316" w:rsidRPr="002C0FC0" w:rsidRDefault="00E53316" w:rsidP="0030110F">
      <w:pPr>
        <w:jc w:val="both"/>
        <w:rPr>
          <w:rFonts w:ascii="Verdana" w:eastAsia="Verdana" w:hAnsi="Verdana" w:cs="Verdana"/>
          <w:spacing w:val="-4"/>
          <w:sz w:val="20"/>
          <w:szCs w:val="20"/>
          <w:lang w:val="es-CR"/>
        </w:rPr>
      </w:pPr>
      <w:r w:rsidRPr="002C0FC0">
        <w:rPr>
          <w:rFonts w:ascii="Verdana" w:hAnsi="Verdana"/>
          <w:spacing w:val="-4"/>
          <w:sz w:val="20"/>
          <w:szCs w:val="20"/>
          <w:lang w:val="es-MX"/>
        </w:rPr>
        <w:t xml:space="preserve">en uso de las atribuciones que le confieren </w:t>
      </w:r>
      <w:r w:rsidRPr="002C0FC0">
        <w:rPr>
          <w:rFonts w:ascii="Verdana" w:hAnsi="Verdana"/>
          <w:spacing w:val="-4"/>
          <w:sz w:val="20"/>
          <w:szCs w:val="20"/>
        </w:rPr>
        <w:t xml:space="preserve">los artículos 63.2 de la Convención Americana, y los artículos </w:t>
      </w:r>
      <w:r w:rsidR="00EA5F54" w:rsidRPr="002C0FC0">
        <w:rPr>
          <w:rFonts w:ascii="Verdana" w:hAnsi="Verdana"/>
          <w:spacing w:val="-4"/>
          <w:sz w:val="20"/>
          <w:szCs w:val="20"/>
        </w:rPr>
        <w:t>27, y 31</w:t>
      </w:r>
      <w:r w:rsidRPr="002C0FC0">
        <w:rPr>
          <w:rFonts w:ascii="Verdana" w:hAnsi="Verdana"/>
          <w:spacing w:val="-4"/>
          <w:sz w:val="20"/>
          <w:szCs w:val="20"/>
        </w:rPr>
        <w:t xml:space="preserve"> del Reglamento del Tribunal</w:t>
      </w:r>
      <w:r w:rsidRPr="002C0FC0">
        <w:rPr>
          <w:rFonts w:ascii="Verdana" w:hAnsi="Verdana"/>
          <w:spacing w:val="-4"/>
          <w:sz w:val="20"/>
          <w:szCs w:val="20"/>
          <w:lang w:val="es-MX"/>
        </w:rPr>
        <w:t>,</w:t>
      </w:r>
    </w:p>
    <w:p w14:paraId="5EEF1760" w14:textId="77777777" w:rsidR="009271D6" w:rsidRPr="002C0FC0" w:rsidRDefault="009271D6" w:rsidP="0030110F">
      <w:pPr>
        <w:jc w:val="both"/>
        <w:rPr>
          <w:rFonts w:ascii="Verdana" w:eastAsia="Verdana" w:hAnsi="Verdana" w:cs="Verdana"/>
          <w:b/>
          <w:bCs/>
          <w:spacing w:val="-4"/>
          <w:sz w:val="20"/>
          <w:szCs w:val="20"/>
          <w:lang w:val="es-CR"/>
        </w:rPr>
      </w:pPr>
    </w:p>
    <w:p w14:paraId="6B4B554A" w14:textId="0CE7B9FD" w:rsidR="00E53316" w:rsidRPr="002C0FC0" w:rsidRDefault="00E53316" w:rsidP="0030110F">
      <w:pPr>
        <w:jc w:val="both"/>
        <w:rPr>
          <w:rFonts w:ascii="Verdana" w:eastAsia="Verdana" w:hAnsi="Verdana" w:cs="Verdana"/>
          <w:spacing w:val="-4"/>
          <w:sz w:val="20"/>
          <w:szCs w:val="20"/>
          <w:lang w:val="es-CR"/>
        </w:rPr>
      </w:pPr>
      <w:r w:rsidRPr="002C0FC0">
        <w:rPr>
          <w:rFonts w:ascii="Verdana" w:eastAsia="Verdana" w:hAnsi="Verdana" w:cs="Verdana"/>
          <w:b/>
          <w:bCs/>
          <w:spacing w:val="-4"/>
          <w:sz w:val="20"/>
          <w:szCs w:val="20"/>
          <w:lang w:val="es-CR"/>
        </w:rPr>
        <w:t>RESUELVE:</w:t>
      </w:r>
      <w:r w:rsidR="00401687" w:rsidRPr="002C0FC0">
        <w:rPr>
          <w:rFonts w:ascii="Verdana" w:eastAsia="Verdana" w:hAnsi="Verdana" w:cs="Verdana"/>
          <w:b/>
          <w:bCs/>
          <w:spacing w:val="-4"/>
          <w:sz w:val="20"/>
          <w:szCs w:val="20"/>
          <w:lang w:val="es-CR"/>
        </w:rPr>
        <w:t xml:space="preserve"> </w:t>
      </w:r>
    </w:p>
    <w:p w14:paraId="4413E7AD" w14:textId="77777777" w:rsidR="00E53316" w:rsidRPr="002C0FC0" w:rsidRDefault="00E53316" w:rsidP="0030110F">
      <w:pPr>
        <w:jc w:val="both"/>
        <w:rPr>
          <w:rFonts w:ascii="Verdana" w:eastAsia="Calibri" w:hAnsi="Verdana" w:cs="Verdana"/>
          <w:color w:val="000000"/>
          <w:spacing w:val="-4"/>
          <w:sz w:val="20"/>
          <w:szCs w:val="20"/>
          <w:lang w:val="es-CR"/>
        </w:rPr>
      </w:pPr>
    </w:p>
    <w:p w14:paraId="6EEE0164" w14:textId="13B1EA56" w:rsidR="00EA5F54" w:rsidRDefault="00C524DF" w:rsidP="0088606F">
      <w:pPr>
        <w:pStyle w:val="Prrafodelista"/>
        <w:spacing w:after="0" w:line="240" w:lineRule="auto"/>
        <w:ind w:left="0"/>
        <w:jc w:val="both"/>
        <w:rPr>
          <w:rFonts w:ascii="Verdana" w:hAnsi="Verdana"/>
          <w:spacing w:val="-4"/>
          <w:sz w:val="20"/>
          <w:szCs w:val="20"/>
          <w:lang w:val="es-AR"/>
        </w:rPr>
      </w:pPr>
      <w:r w:rsidRPr="002C0FC0">
        <w:rPr>
          <w:rFonts w:ascii="Verdana" w:hAnsi="Verdana"/>
          <w:spacing w:val="-4"/>
          <w:sz w:val="20"/>
          <w:szCs w:val="20"/>
          <w:lang w:val="es-CR"/>
        </w:rPr>
        <w:t>1.</w:t>
      </w:r>
      <w:r w:rsidRPr="002C0FC0">
        <w:rPr>
          <w:rFonts w:ascii="Verdana" w:hAnsi="Verdana"/>
          <w:spacing w:val="-4"/>
          <w:sz w:val="20"/>
          <w:szCs w:val="20"/>
          <w:lang w:val="es-CR"/>
        </w:rPr>
        <w:tab/>
      </w:r>
      <w:r w:rsidR="00E53316" w:rsidRPr="002C0FC0">
        <w:rPr>
          <w:rFonts w:ascii="Verdana" w:hAnsi="Verdana"/>
          <w:spacing w:val="-4"/>
          <w:sz w:val="20"/>
          <w:szCs w:val="20"/>
          <w:lang w:val="es-CR"/>
        </w:rPr>
        <w:t xml:space="preserve">Requerir al </w:t>
      </w:r>
      <w:r w:rsidR="00486FF1" w:rsidRPr="002C0FC0">
        <w:rPr>
          <w:rFonts w:ascii="Verdana" w:hAnsi="Verdana"/>
          <w:spacing w:val="-4"/>
          <w:sz w:val="20"/>
          <w:szCs w:val="20"/>
          <w:lang w:val="es-CR"/>
        </w:rPr>
        <w:t xml:space="preserve">Estado que disponga </w:t>
      </w:r>
      <w:r w:rsidR="00D86DFD" w:rsidRPr="002C0FC0">
        <w:rPr>
          <w:rFonts w:ascii="Verdana" w:hAnsi="Verdana"/>
          <w:spacing w:val="-4"/>
          <w:sz w:val="20"/>
          <w:szCs w:val="20"/>
          <w:lang w:val="es-CR"/>
        </w:rPr>
        <w:t>la continuación d</w:t>
      </w:r>
      <w:r w:rsidR="00D86DFD" w:rsidRPr="00D73B37">
        <w:rPr>
          <w:rFonts w:ascii="Verdana" w:hAnsi="Verdana"/>
          <w:spacing w:val="-4"/>
          <w:sz w:val="20"/>
          <w:szCs w:val="20"/>
          <w:lang w:val="es-CR"/>
        </w:rPr>
        <w:t xml:space="preserve">e la ejecución de su pena bajo la forma de </w:t>
      </w:r>
      <w:r w:rsidR="00486FF1" w:rsidRPr="00D73B37">
        <w:rPr>
          <w:rFonts w:ascii="Verdana" w:hAnsi="Verdana"/>
          <w:spacing w:val="-4"/>
          <w:sz w:val="20"/>
          <w:szCs w:val="20"/>
          <w:lang w:val="es-CR"/>
        </w:rPr>
        <w:t xml:space="preserve">arresto o detención domiciliaria </w:t>
      </w:r>
      <w:r w:rsidR="00D86DFD" w:rsidRPr="00D73B37">
        <w:rPr>
          <w:rFonts w:ascii="Verdana" w:hAnsi="Verdana"/>
          <w:spacing w:val="-4"/>
          <w:sz w:val="20"/>
          <w:szCs w:val="20"/>
          <w:lang w:val="es-CR"/>
        </w:rPr>
        <w:t xml:space="preserve">de </w:t>
      </w:r>
      <w:r w:rsidR="002E7CBA" w:rsidRPr="00D73B37">
        <w:rPr>
          <w:rFonts w:ascii="Verdana" w:hAnsi="Verdana"/>
          <w:spacing w:val="-4"/>
          <w:sz w:val="20"/>
          <w:szCs w:val="20"/>
          <w:lang w:val="es-AR"/>
        </w:rPr>
        <w:t xml:space="preserve">Margot Lourdes Liendo Gil, Osman Roberto Morote Barrionuevo, Arturo Chumpitaz Aguirre, Atilio Richard Cahuana </w:t>
      </w:r>
      <w:proofErr w:type="spellStart"/>
      <w:r w:rsidR="002E7CBA" w:rsidRPr="00D73B37">
        <w:rPr>
          <w:rFonts w:ascii="Verdana" w:hAnsi="Verdana"/>
          <w:spacing w:val="-4"/>
          <w:sz w:val="20"/>
          <w:szCs w:val="20"/>
          <w:lang w:val="es-AR"/>
        </w:rPr>
        <w:t>Yuyali</w:t>
      </w:r>
      <w:proofErr w:type="spellEnd"/>
      <w:r w:rsidR="002E7CBA" w:rsidRPr="00D73B37">
        <w:rPr>
          <w:rFonts w:ascii="Verdana" w:hAnsi="Verdana"/>
          <w:spacing w:val="-4"/>
          <w:sz w:val="20"/>
          <w:szCs w:val="20"/>
          <w:lang w:val="es-AR"/>
        </w:rPr>
        <w:t xml:space="preserve"> y Juan Alonso Aranda Company</w:t>
      </w:r>
      <w:r w:rsidR="00EA5F54" w:rsidRPr="00D73B37">
        <w:rPr>
          <w:rFonts w:ascii="Verdana" w:hAnsi="Verdana"/>
          <w:spacing w:val="-4"/>
          <w:sz w:val="20"/>
          <w:szCs w:val="20"/>
          <w:lang w:val="es-AR"/>
        </w:rPr>
        <w:t xml:space="preserve">, </w:t>
      </w:r>
      <w:r w:rsidR="00D86DFD" w:rsidRPr="00D73B37">
        <w:rPr>
          <w:rFonts w:ascii="Verdana" w:hAnsi="Verdana"/>
          <w:spacing w:val="-4"/>
          <w:sz w:val="20"/>
          <w:szCs w:val="20"/>
          <w:lang w:val="es-AR"/>
        </w:rPr>
        <w:t>por el tiempo en que permanezca el riesgo para sus vidas</w:t>
      </w:r>
      <w:r w:rsidR="003312F9">
        <w:rPr>
          <w:rFonts w:ascii="Verdana" w:hAnsi="Verdana"/>
          <w:spacing w:val="-4"/>
          <w:sz w:val="20"/>
          <w:szCs w:val="20"/>
          <w:lang w:val="es-AR"/>
        </w:rPr>
        <w:t>,</w:t>
      </w:r>
      <w:r w:rsidR="00D86DFD" w:rsidRPr="00D73B37">
        <w:rPr>
          <w:rFonts w:ascii="Verdana" w:hAnsi="Verdana"/>
          <w:spacing w:val="-4"/>
          <w:sz w:val="20"/>
          <w:szCs w:val="20"/>
          <w:lang w:val="es-AR"/>
        </w:rPr>
        <w:t xml:space="preserve"> en razón de la actual pandemia, con las seguridades y controles que el Estado disponga. </w:t>
      </w:r>
    </w:p>
    <w:p w14:paraId="2B77A7C8" w14:textId="77777777" w:rsidR="008741D2" w:rsidRPr="008741D2" w:rsidRDefault="008741D2" w:rsidP="0088606F">
      <w:pPr>
        <w:pStyle w:val="Prrafodelista"/>
        <w:spacing w:after="0" w:line="240" w:lineRule="auto"/>
        <w:ind w:left="0"/>
        <w:jc w:val="both"/>
        <w:rPr>
          <w:rFonts w:ascii="Verdana" w:hAnsi="Verdana"/>
          <w:spacing w:val="-4"/>
          <w:sz w:val="20"/>
          <w:szCs w:val="20"/>
          <w:lang w:val="es-AR"/>
        </w:rPr>
      </w:pPr>
    </w:p>
    <w:p w14:paraId="3B73C984" w14:textId="77777777" w:rsidR="00E53316" w:rsidRPr="00D73B37" w:rsidRDefault="00E53316" w:rsidP="0030110F">
      <w:pPr>
        <w:jc w:val="both"/>
        <w:rPr>
          <w:rFonts w:ascii="Verdana" w:eastAsia="Verdana" w:hAnsi="Verdana" w:cs="Verdana"/>
          <w:spacing w:val="-4"/>
          <w:sz w:val="8"/>
          <w:szCs w:val="20"/>
          <w:lang w:val="es-CR"/>
        </w:rPr>
      </w:pPr>
    </w:p>
    <w:p w14:paraId="0B5AEA5D" w14:textId="62BD4FF9" w:rsidR="00E53316" w:rsidRDefault="0088606F" w:rsidP="0088606F">
      <w:pPr>
        <w:pStyle w:val="Prrafodelista"/>
        <w:spacing w:after="0" w:line="240" w:lineRule="auto"/>
        <w:ind w:left="0"/>
        <w:jc w:val="both"/>
        <w:rPr>
          <w:rFonts w:ascii="Verdana" w:eastAsia="Verdana" w:hAnsi="Verdana" w:cs="Verdana"/>
          <w:spacing w:val="-4"/>
          <w:sz w:val="20"/>
          <w:szCs w:val="20"/>
          <w:lang w:val="es-CR"/>
        </w:rPr>
      </w:pPr>
      <w:r w:rsidRPr="00D73B37">
        <w:rPr>
          <w:rFonts w:ascii="Verdana" w:eastAsia="Verdana" w:hAnsi="Verdana" w:cs="Verdana"/>
          <w:spacing w:val="-4"/>
          <w:sz w:val="20"/>
          <w:szCs w:val="20"/>
          <w:lang w:val="es-CR"/>
        </w:rPr>
        <w:t>2</w:t>
      </w:r>
      <w:r w:rsidR="00C524DF" w:rsidRPr="00D73B37">
        <w:rPr>
          <w:rFonts w:ascii="Verdana" w:eastAsia="Verdana" w:hAnsi="Verdana" w:cs="Verdana"/>
          <w:spacing w:val="-4"/>
          <w:sz w:val="20"/>
          <w:szCs w:val="20"/>
          <w:lang w:val="es-CR"/>
        </w:rPr>
        <w:t>.</w:t>
      </w:r>
      <w:r w:rsidR="00C524DF" w:rsidRPr="00D73B37">
        <w:rPr>
          <w:rFonts w:ascii="Verdana" w:eastAsia="Verdana" w:hAnsi="Verdana" w:cs="Verdana"/>
          <w:spacing w:val="-4"/>
          <w:sz w:val="20"/>
          <w:szCs w:val="20"/>
          <w:lang w:val="es-CR"/>
        </w:rPr>
        <w:tab/>
      </w:r>
      <w:r w:rsidR="00E53316" w:rsidRPr="008741D2">
        <w:rPr>
          <w:rFonts w:ascii="Verdana" w:eastAsia="Verdana" w:hAnsi="Verdana" w:cs="Verdana"/>
          <w:spacing w:val="-4"/>
          <w:sz w:val="20"/>
          <w:szCs w:val="20"/>
          <w:lang w:val="es-CR"/>
        </w:rPr>
        <w:t xml:space="preserve">Disponer que la Secretaría de la Corte notifique la presente Resolución al Estado, </w:t>
      </w:r>
      <w:r w:rsidR="00A642C6" w:rsidRPr="008741D2">
        <w:rPr>
          <w:rFonts w:ascii="Verdana" w:eastAsia="Verdana" w:hAnsi="Verdana" w:cs="Verdana"/>
          <w:spacing w:val="-4"/>
          <w:sz w:val="20"/>
          <w:szCs w:val="20"/>
          <w:lang w:val="es-CR"/>
        </w:rPr>
        <w:t>al interviniente común que presentó la solicitud</w:t>
      </w:r>
      <w:r w:rsidR="00A642C6" w:rsidRPr="008741D2" w:rsidDel="00A642C6">
        <w:rPr>
          <w:rFonts w:ascii="Verdana" w:eastAsia="Verdana" w:hAnsi="Verdana" w:cs="Verdana"/>
          <w:spacing w:val="-4"/>
          <w:sz w:val="20"/>
          <w:szCs w:val="20"/>
          <w:lang w:val="es-CR"/>
        </w:rPr>
        <w:t xml:space="preserve"> </w:t>
      </w:r>
      <w:r w:rsidR="00E53316" w:rsidRPr="008741D2">
        <w:rPr>
          <w:rFonts w:ascii="Verdana" w:eastAsia="Verdana" w:hAnsi="Verdana" w:cs="Verdana"/>
          <w:spacing w:val="-4"/>
          <w:sz w:val="20"/>
          <w:szCs w:val="20"/>
          <w:lang w:val="es-CR"/>
        </w:rPr>
        <w:t>y a la Comisión Interamericana.</w:t>
      </w:r>
    </w:p>
    <w:p w14:paraId="5D9ACE92" w14:textId="77777777" w:rsidR="005716A9" w:rsidRDefault="005716A9" w:rsidP="0088606F">
      <w:pPr>
        <w:pStyle w:val="Prrafodelista"/>
        <w:spacing w:after="0" w:line="240" w:lineRule="auto"/>
        <w:ind w:left="0"/>
        <w:jc w:val="both"/>
        <w:rPr>
          <w:rFonts w:ascii="Verdana" w:eastAsia="Verdana" w:hAnsi="Verdana" w:cs="Verdana"/>
          <w:spacing w:val="-4"/>
          <w:sz w:val="20"/>
          <w:szCs w:val="20"/>
          <w:lang w:val="es-CR"/>
        </w:rPr>
      </w:pPr>
    </w:p>
    <w:p w14:paraId="16F3A064" w14:textId="34BE1AD3" w:rsidR="005716A9" w:rsidRDefault="005716A9" w:rsidP="0088606F">
      <w:pPr>
        <w:pStyle w:val="Prrafodelista"/>
        <w:spacing w:after="0" w:line="240" w:lineRule="auto"/>
        <w:ind w:left="0"/>
        <w:jc w:val="both"/>
        <w:rPr>
          <w:rFonts w:ascii="Verdana" w:eastAsia="Verdana" w:hAnsi="Verdana" w:cs="Verdana"/>
          <w:spacing w:val="-4"/>
          <w:sz w:val="20"/>
          <w:szCs w:val="20"/>
          <w:lang w:val="es-CR"/>
        </w:rPr>
      </w:pPr>
    </w:p>
    <w:p w14:paraId="1B5CDEA4" w14:textId="77777777" w:rsidR="005716A9" w:rsidRDefault="005716A9" w:rsidP="0088606F">
      <w:pPr>
        <w:pStyle w:val="Prrafodelista"/>
        <w:spacing w:after="0" w:line="240" w:lineRule="auto"/>
        <w:ind w:left="0"/>
        <w:jc w:val="both"/>
        <w:rPr>
          <w:rFonts w:ascii="Verdana" w:eastAsia="Verdana" w:hAnsi="Verdana" w:cs="Verdana"/>
          <w:spacing w:val="-4"/>
          <w:sz w:val="20"/>
          <w:szCs w:val="20"/>
          <w:lang w:val="es-CR"/>
        </w:rPr>
      </w:pPr>
    </w:p>
    <w:p w14:paraId="2FCD8A14" w14:textId="77777777" w:rsidR="005716A9" w:rsidRDefault="005716A9" w:rsidP="0088606F">
      <w:pPr>
        <w:pStyle w:val="Prrafodelista"/>
        <w:spacing w:after="0" w:line="240" w:lineRule="auto"/>
        <w:ind w:left="0"/>
        <w:jc w:val="both"/>
        <w:rPr>
          <w:rFonts w:ascii="Verdana" w:eastAsia="Verdana" w:hAnsi="Verdana" w:cs="Verdana"/>
          <w:spacing w:val="-4"/>
          <w:sz w:val="20"/>
          <w:szCs w:val="20"/>
          <w:lang w:val="es-CR"/>
        </w:rPr>
      </w:pPr>
    </w:p>
    <w:p w14:paraId="7B3700F2" w14:textId="77777777" w:rsidR="005716A9" w:rsidRDefault="005716A9" w:rsidP="0088606F">
      <w:pPr>
        <w:pStyle w:val="Prrafodelista"/>
        <w:spacing w:after="0" w:line="240" w:lineRule="auto"/>
        <w:ind w:left="0"/>
        <w:jc w:val="both"/>
        <w:rPr>
          <w:rFonts w:ascii="Verdana" w:eastAsia="Verdana" w:hAnsi="Verdana" w:cs="Verdana"/>
          <w:spacing w:val="-4"/>
          <w:sz w:val="20"/>
          <w:szCs w:val="20"/>
          <w:lang w:val="es-CR"/>
        </w:rPr>
      </w:pPr>
    </w:p>
    <w:p w14:paraId="082C4266" w14:textId="1DD6607E" w:rsidR="005716A9" w:rsidRDefault="005716A9" w:rsidP="0088606F">
      <w:pPr>
        <w:pStyle w:val="Prrafodelista"/>
        <w:spacing w:after="0" w:line="240" w:lineRule="auto"/>
        <w:ind w:left="0"/>
        <w:jc w:val="both"/>
        <w:rPr>
          <w:rFonts w:ascii="Verdana" w:eastAsia="Verdana" w:hAnsi="Verdana" w:cs="Verdana"/>
          <w:spacing w:val="-4"/>
          <w:sz w:val="20"/>
          <w:szCs w:val="20"/>
          <w:lang w:val="es-CR"/>
        </w:rPr>
      </w:pPr>
    </w:p>
    <w:p w14:paraId="54D609E6" w14:textId="77777777" w:rsidR="005716A9" w:rsidRDefault="005716A9" w:rsidP="0088606F">
      <w:pPr>
        <w:pStyle w:val="Prrafodelista"/>
        <w:spacing w:after="0" w:line="240" w:lineRule="auto"/>
        <w:ind w:left="0"/>
        <w:jc w:val="both"/>
        <w:rPr>
          <w:rFonts w:ascii="Verdana" w:eastAsia="Verdana" w:hAnsi="Verdana" w:cs="Verdana"/>
          <w:spacing w:val="-4"/>
          <w:sz w:val="20"/>
          <w:szCs w:val="20"/>
          <w:lang w:val="es-CR"/>
        </w:rPr>
      </w:pPr>
    </w:p>
    <w:p w14:paraId="3246B1F8" w14:textId="1FDC6AF1" w:rsidR="005716A9" w:rsidRDefault="005716A9" w:rsidP="005716A9">
      <w:pPr>
        <w:pStyle w:val="Prrafodelista"/>
        <w:spacing w:after="0" w:line="240" w:lineRule="auto"/>
        <w:ind w:left="5664"/>
        <w:jc w:val="center"/>
        <w:rPr>
          <w:rFonts w:ascii="Verdana" w:hAnsi="Verdana"/>
          <w:sz w:val="20"/>
          <w:szCs w:val="20"/>
          <w:lang w:val="pt-BR"/>
        </w:rPr>
      </w:pPr>
      <w:r>
        <w:rPr>
          <w:rFonts w:ascii="Verdana" w:hAnsi="Verdana"/>
          <w:sz w:val="20"/>
          <w:szCs w:val="20"/>
          <w:lang w:val="pt-BR"/>
        </w:rPr>
        <w:t xml:space="preserve">Eugenio </w:t>
      </w:r>
      <w:proofErr w:type="spellStart"/>
      <w:r>
        <w:rPr>
          <w:rFonts w:ascii="Verdana" w:hAnsi="Verdana"/>
          <w:sz w:val="20"/>
          <w:szCs w:val="20"/>
          <w:lang w:val="pt-BR"/>
        </w:rPr>
        <w:t>Raúl</w:t>
      </w:r>
      <w:proofErr w:type="spellEnd"/>
      <w:r>
        <w:rPr>
          <w:rFonts w:ascii="Verdana" w:hAnsi="Verdana"/>
          <w:sz w:val="20"/>
          <w:szCs w:val="20"/>
          <w:lang w:val="pt-BR"/>
        </w:rPr>
        <w:t xml:space="preserve"> </w:t>
      </w:r>
      <w:proofErr w:type="spellStart"/>
      <w:r>
        <w:rPr>
          <w:rFonts w:ascii="Verdana" w:hAnsi="Verdana"/>
          <w:sz w:val="20"/>
          <w:szCs w:val="20"/>
          <w:lang w:val="pt-BR"/>
        </w:rPr>
        <w:t>Zaffaroni</w:t>
      </w:r>
      <w:proofErr w:type="spellEnd"/>
    </w:p>
    <w:p w14:paraId="65FF5E30" w14:textId="10CD51F3" w:rsidR="005716A9" w:rsidRPr="0088606F" w:rsidRDefault="005716A9" w:rsidP="005716A9">
      <w:pPr>
        <w:pStyle w:val="Prrafodelista"/>
        <w:spacing w:after="0" w:line="240" w:lineRule="auto"/>
        <w:ind w:left="5664"/>
        <w:jc w:val="center"/>
        <w:rPr>
          <w:rFonts w:ascii="Verdana" w:eastAsia="Verdana" w:hAnsi="Verdana" w:cs="Verdana"/>
          <w:spacing w:val="-4"/>
          <w:sz w:val="20"/>
          <w:szCs w:val="20"/>
          <w:lang w:val="es-CR"/>
        </w:rPr>
      </w:pPr>
      <w:proofErr w:type="spellStart"/>
      <w:r>
        <w:rPr>
          <w:rFonts w:ascii="Verdana" w:hAnsi="Verdana"/>
          <w:sz w:val="20"/>
          <w:szCs w:val="20"/>
          <w:lang w:val="pt-BR"/>
        </w:rPr>
        <w:t>Juez</w:t>
      </w:r>
      <w:proofErr w:type="spellEnd"/>
    </w:p>
    <w:sectPr w:rsidR="005716A9" w:rsidRPr="0088606F" w:rsidSect="00AC58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5F404" w14:textId="77777777" w:rsidR="00793894" w:rsidRDefault="00793894" w:rsidP="00CD785B">
      <w:r>
        <w:separator/>
      </w:r>
    </w:p>
  </w:endnote>
  <w:endnote w:type="continuationSeparator" w:id="0">
    <w:p w14:paraId="4C0AFA20" w14:textId="77777777" w:rsidR="00793894" w:rsidRDefault="00793894" w:rsidP="00CD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0877293"/>
      <w:docPartObj>
        <w:docPartGallery w:val="Page Numbers (Bottom of Page)"/>
        <w:docPartUnique/>
      </w:docPartObj>
    </w:sdtPr>
    <w:sdtEndPr>
      <w:rPr>
        <w:rFonts w:ascii="Verdana" w:hAnsi="Verdana"/>
        <w:sz w:val="20"/>
        <w:szCs w:val="20"/>
      </w:rPr>
    </w:sdtEndPr>
    <w:sdtContent>
      <w:p w14:paraId="3B60E77E" w14:textId="1D2B6DB2" w:rsidR="006A5B8D" w:rsidRPr="009731CA" w:rsidRDefault="006A5B8D">
        <w:pPr>
          <w:pStyle w:val="Piedepgina"/>
          <w:jc w:val="center"/>
          <w:rPr>
            <w:rFonts w:ascii="Verdana" w:hAnsi="Verdana"/>
            <w:sz w:val="20"/>
            <w:szCs w:val="20"/>
          </w:rPr>
        </w:pPr>
        <w:r w:rsidRPr="009731CA">
          <w:rPr>
            <w:rFonts w:ascii="Verdana" w:hAnsi="Verdana"/>
            <w:sz w:val="20"/>
            <w:szCs w:val="20"/>
          </w:rPr>
          <w:fldChar w:fldCharType="begin"/>
        </w:r>
        <w:r w:rsidRPr="009731CA">
          <w:rPr>
            <w:rFonts w:ascii="Verdana" w:hAnsi="Verdana"/>
            <w:sz w:val="20"/>
            <w:szCs w:val="20"/>
          </w:rPr>
          <w:instrText>PAGE   \* MERGEFORMAT</w:instrText>
        </w:r>
        <w:r w:rsidRPr="009731CA">
          <w:rPr>
            <w:rFonts w:ascii="Verdana" w:hAnsi="Verdana"/>
            <w:sz w:val="20"/>
            <w:szCs w:val="20"/>
          </w:rPr>
          <w:fldChar w:fldCharType="separate"/>
        </w:r>
        <w:r w:rsidR="005716A9" w:rsidRPr="005716A9">
          <w:rPr>
            <w:rFonts w:ascii="Verdana" w:hAnsi="Verdana"/>
            <w:noProof/>
            <w:sz w:val="20"/>
            <w:szCs w:val="20"/>
            <w:lang w:val="es-ES"/>
          </w:rPr>
          <w:t>3</w:t>
        </w:r>
        <w:r w:rsidRPr="009731CA">
          <w:rPr>
            <w:rFonts w:ascii="Verdana" w:hAnsi="Verdana"/>
            <w:sz w:val="20"/>
            <w:szCs w:val="20"/>
          </w:rPr>
          <w:fldChar w:fldCharType="end"/>
        </w:r>
      </w:p>
    </w:sdtContent>
  </w:sdt>
  <w:p w14:paraId="6644B1F7" w14:textId="77777777" w:rsidR="006A5B8D" w:rsidRDefault="006A5B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877AF" w14:textId="77777777" w:rsidR="00793894" w:rsidRDefault="00793894" w:rsidP="00CD785B">
      <w:r>
        <w:separator/>
      </w:r>
    </w:p>
  </w:footnote>
  <w:footnote w:type="continuationSeparator" w:id="0">
    <w:p w14:paraId="5B8D8892" w14:textId="77777777" w:rsidR="00793894" w:rsidRDefault="00793894" w:rsidP="00CD785B">
      <w:r>
        <w:continuationSeparator/>
      </w:r>
    </w:p>
  </w:footnote>
  <w:footnote w:id="1">
    <w:p w14:paraId="2AAAFA8B" w14:textId="77777777" w:rsidR="004C396F" w:rsidRPr="00221D27" w:rsidRDefault="004C396F" w:rsidP="004C396F">
      <w:pPr>
        <w:pStyle w:val="Textonotapie"/>
        <w:jc w:val="both"/>
        <w:rPr>
          <w:rFonts w:ascii="Verdana" w:hAnsi="Verdana"/>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r>
      <w:r w:rsidRPr="00D04496">
        <w:rPr>
          <w:rFonts w:ascii="Verdana" w:hAnsi="Verdana"/>
          <w:sz w:val="16"/>
          <w:szCs w:val="16"/>
        </w:rPr>
        <w:t xml:space="preserve">De acuerdo a la información aportada en la etapa de supervisión de cumplimiento de sentencia, y no controvertida por el Estado, el señor Juan Alonso Aranda Company es hermano de la víctima José Antonio Aranda Company, identificada en el Anexo 1 de la Sentencia bajo el numeral 37. </w:t>
      </w:r>
      <w:r w:rsidRPr="00D04496">
        <w:rPr>
          <w:rFonts w:ascii="Verdana" w:hAnsi="Verdana"/>
          <w:i/>
          <w:sz w:val="16"/>
          <w:szCs w:val="16"/>
        </w:rPr>
        <w:t xml:space="preserve">Cfr. Caso del Penal Miguel Castro </w:t>
      </w:r>
      <w:proofErr w:type="spellStart"/>
      <w:r w:rsidRPr="00D04496">
        <w:rPr>
          <w:rFonts w:ascii="Verdana" w:hAnsi="Verdana"/>
          <w:i/>
          <w:sz w:val="16"/>
          <w:szCs w:val="16"/>
        </w:rPr>
        <w:t>Castro</w:t>
      </w:r>
      <w:proofErr w:type="spellEnd"/>
      <w:r w:rsidRPr="00D04496">
        <w:rPr>
          <w:rFonts w:ascii="Verdana" w:hAnsi="Verdana"/>
          <w:i/>
          <w:sz w:val="16"/>
          <w:szCs w:val="16"/>
        </w:rPr>
        <w:t xml:space="preserve"> Vs. Perú. Fondo, Reparaciones y Costas</w:t>
      </w:r>
      <w:r w:rsidRPr="00D04496">
        <w:rPr>
          <w:rFonts w:ascii="Verdana" w:hAnsi="Verdana"/>
          <w:sz w:val="16"/>
          <w:szCs w:val="16"/>
        </w:rPr>
        <w:t xml:space="preserve">, </w:t>
      </w:r>
      <w:r w:rsidRPr="00D04496">
        <w:rPr>
          <w:rFonts w:ascii="Verdana" w:hAnsi="Verdana"/>
          <w:i/>
          <w:iCs/>
          <w:sz w:val="16"/>
          <w:szCs w:val="16"/>
        </w:rPr>
        <w:t xml:space="preserve">supra </w:t>
      </w:r>
      <w:r w:rsidRPr="00D04496">
        <w:rPr>
          <w:rFonts w:ascii="Verdana" w:hAnsi="Verdana"/>
          <w:sz w:val="16"/>
          <w:szCs w:val="16"/>
        </w:rPr>
        <w:t xml:space="preserve">nota 1, </w:t>
      </w:r>
      <w:proofErr w:type="spellStart"/>
      <w:r w:rsidRPr="00D04496">
        <w:rPr>
          <w:rFonts w:ascii="Verdana" w:hAnsi="Verdana"/>
          <w:sz w:val="16"/>
          <w:szCs w:val="16"/>
        </w:rPr>
        <w:t>párrs</w:t>
      </w:r>
      <w:proofErr w:type="spellEnd"/>
      <w:r w:rsidRPr="00D04496">
        <w:rPr>
          <w:rFonts w:ascii="Verdana" w:hAnsi="Verdana"/>
          <w:sz w:val="16"/>
          <w:szCs w:val="16"/>
        </w:rPr>
        <w:t xml:space="preserve">. 418 a 420; </w:t>
      </w:r>
      <w:r w:rsidRPr="00D04496">
        <w:rPr>
          <w:rFonts w:ascii="Verdana" w:hAnsi="Verdana"/>
          <w:i/>
          <w:sz w:val="16"/>
          <w:szCs w:val="16"/>
        </w:rPr>
        <w:t>Caso</w:t>
      </w:r>
      <w:r w:rsidRPr="00BF5749">
        <w:rPr>
          <w:rFonts w:ascii="Verdana" w:hAnsi="Verdana"/>
          <w:i/>
          <w:sz w:val="16"/>
          <w:szCs w:val="16"/>
        </w:rPr>
        <w:t xml:space="preserve"> del Penal Miguel Castro </w:t>
      </w:r>
      <w:proofErr w:type="spellStart"/>
      <w:r w:rsidRPr="00BF5749">
        <w:rPr>
          <w:rFonts w:ascii="Verdana" w:hAnsi="Verdana"/>
          <w:i/>
          <w:sz w:val="16"/>
          <w:szCs w:val="16"/>
        </w:rPr>
        <w:t>Castro</w:t>
      </w:r>
      <w:proofErr w:type="spellEnd"/>
      <w:r w:rsidRPr="00BF5749">
        <w:rPr>
          <w:rFonts w:ascii="Verdana" w:hAnsi="Verdana"/>
          <w:sz w:val="16"/>
          <w:szCs w:val="16"/>
        </w:rPr>
        <w:t xml:space="preserve">. </w:t>
      </w:r>
      <w:r w:rsidRPr="00BF5749">
        <w:rPr>
          <w:rFonts w:ascii="Verdana" w:hAnsi="Verdana"/>
          <w:i/>
          <w:sz w:val="16"/>
          <w:szCs w:val="16"/>
        </w:rPr>
        <w:t>Interpretación de la Sentencia de Fondo, Reparaciones y Costas</w:t>
      </w:r>
      <w:r w:rsidRPr="00BF5749">
        <w:rPr>
          <w:rFonts w:ascii="Verdana" w:hAnsi="Verdana"/>
          <w:sz w:val="16"/>
          <w:szCs w:val="16"/>
        </w:rPr>
        <w:t xml:space="preserve">, </w:t>
      </w:r>
      <w:r w:rsidRPr="00BF5749">
        <w:rPr>
          <w:rFonts w:ascii="Verdana" w:hAnsi="Verdana"/>
          <w:i/>
          <w:iCs/>
          <w:sz w:val="16"/>
          <w:szCs w:val="16"/>
        </w:rPr>
        <w:t>supra</w:t>
      </w:r>
      <w:r w:rsidRPr="00BF5749">
        <w:rPr>
          <w:rFonts w:ascii="Verdana" w:hAnsi="Verdana"/>
          <w:sz w:val="16"/>
          <w:szCs w:val="16"/>
        </w:rPr>
        <w:t xml:space="preserve"> nota 2, párr. 68 y escritos de la interviniente común Mónica Feria Tinta de 30 de julio de 2008, 11 de abril de 2010, 4 de febrero de 2011, 13 de marzo de 2013 y 28 de julio de 2014.</w:t>
      </w:r>
      <w:r>
        <w:rPr>
          <w:rFonts w:ascii="Verdana" w:hAnsi="Verdana"/>
          <w:sz w:val="16"/>
          <w:szCs w:val="16"/>
        </w:rPr>
        <w:t xml:space="preserve"> </w:t>
      </w:r>
    </w:p>
  </w:footnote>
  <w:footnote w:id="2">
    <w:p w14:paraId="2FE11688" w14:textId="77777777" w:rsidR="0006137A" w:rsidRPr="00FA76F5" w:rsidRDefault="0006137A" w:rsidP="0006137A">
      <w:pPr>
        <w:pStyle w:val="Textonotapie"/>
        <w:jc w:val="both"/>
        <w:rPr>
          <w:rFonts w:ascii="Verdana" w:hAnsi="Verdana"/>
          <w:b/>
          <w:bCs/>
          <w:i/>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r>
      <w:r w:rsidRPr="002005EC">
        <w:rPr>
          <w:rFonts w:ascii="Verdana" w:hAnsi="Verdana"/>
          <w:i/>
          <w:sz w:val="16"/>
          <w:szCs w:val="16"/>
        </w:rPr>
        <w:t xml:space="preserve">Cfr. </w:t>
      </w:r>
      <w:r w:rsidRPr="002005EC">
        <w:rPr>
          <w:rStyle w:val="Textoennegrita"/>
          <w:rFonts w:ascii="Verdana" w:hAnsi="Verdana"/>
          <w:b w:val="0"/>
          <w:bCs w:val="0"/>
          <w:i/>
          <w:color w:val="000000"/>
          <w:sz w:val="16"/>
          <w:szCs w:val="16"/>
          <w:shd w:val="clear" w:color="auto" w:fill="FFFFFF"/>
        </w:rPr>
        <w:t>Caso Juan Humberto Sánchez Vs. Honduras. Solicitud de Medidas Provisionales.</w:t>
      </w:r>
      <w:r w:rsidRPr="002005EC">
        <w:rPr>
          <w:rStyle w:val="Textoennegrita"/>
          <w:rFonts w:ascii="Verdana" w:hAnsi="Verdana"/>
          <w:b w:val="0"/>
          <w:bCs w:val="0"/>
          <w:color w:val="000000"/>
          <w:sz w:val="16"/>
          <w:szCs w:val="16"/>
          <w:shd w:val="clear" w:color="auto" w:fill="FFFFFF"/>
        </w:rPr>
        <w:t xml:space="preserve"> Resolución de la Corte Interamericana de Derechos Humanos de 7 de febrero de 2006, Considerando 8;</w:t>
      </w:r>
      <w:r w:rsidRPr="002005EC">
        <w:rPr>
          <w:rStyle w:val="Textoennegrita"/>
          <w:rFonts w:ascii="Verdana" w:hAnsi="Verdana"/>
          <w:b w:val="0"/>
          <w:bCs w:val="0"/>
          <w:i/>
          <w:color w:val="000000"/>
          <w:sz w:val="16"/>
          <w:szCs w:val="16"/>
          <w:shd w:val="clear" w:color="auto" w:fill="FFFFFF"/>
        </w:rPr>
        <w:t xml:space="preserve"> Caso de la Comunidad </w:t>
      </w:r>
      <w:proofErr w:type="spellStart"/>
      <w:r w:rsidRPr="002005EC">
        <w:rPr>
          <w:rStyle w:val="Textoennegrita"/>
          <w:rFonts w:ascii="Verdana" w:hAnsi="Verdana"/>
          <w:b w:val="0"/>
          <w:bCs w:val="0"/>
          <w:i/>
          <w:color w:val="000000"/>
          <w:sz w:val="16"/>
          <w:szCs w:val="16"/>
          <w:shd w:val="clear" w:color="auto" w:fill="FFFFFF"/>
        </w:rPr>
        <w:t>Mayagna</w:t>
      </w:r>
      <w:proofErr w:type="spellEnd"/>
      <w:r w:rsidRPr="002005EC">
        <w:rPr>
          <w:rStyle w:val="Textoennegrita"/>
          <w:rFonts w:ascii="Verdana" w:hAnsi="Verdana"/>
          <w:b w:val="0"/>
          <w:bCs w:val="0"/>
          <w:i/>
          <w:color w:val="000000"/>
          <w:sz w:val="16"/>
          <w:szCs w:val="16"/>
          <w:shd w:val="clear" w:color="auto" w:fill="FFFFFF"/>
        </w:rPr>
        <w:t xml:space="preserve"> (Sumo) </w:t>
      </w:r>
      <w:proofErr w:type="spellStart"/>
      <w:r w:rsidRPr="002005EC">
        <w:rPr>
          <w:rStyle w:val="Textoennegrita"/>
          <w:rFonts w:ascii="Verdana" w:hAnsi="Verdana"/>
          <w:b w:val="0"/>
          <w:bCs w:val="0"/>
          <w:i/>
          <w:color w:val="000000"/>
          <w:sz w:val="16"/>
          <w:szCs w:val="16"/>
          <w:shd w:val="clear" w:color="auto" w:fill="FFFFFF"/>
        </w:rPr>
        <w:t>Awas</w:t>
      </w:r>
      <w:proofErr w:type="spellEnd"/>
      <w:r w:rsidRPr="002005EC">
        <w:rPr>
          <w:rStyle w:val="Textoennegrita"/>
          <w:rFonts w:ascii="Verdana" w:hAnsi="Verdana"/>
          <w:b w:val="0"/>
          <w:bCs w:val="0"/>
          <w:i/>
          <w:color w:val="000000"/>
          <w:sz w:val="16"/>
          <w:szCs w:val="16"/>
          <w:shd w:val="clear" w:color="auto" w:fill="FFFFFF"/>
        </w:rPr>
        <w:t xml:space="preserve"> </w:t>
      </w:r>
      <w:proofErr w:type="spellStart"/>
      <w:r w:rsidRPr="002005EC">
        <w:rPr>
          <w:rStyle w:val="Textoennegrita"/>
          <w:rFonts w:ascii="Verdana" w:hAnsi="Verdana"/>
          <w:b w:val="0"/>
          <w:bCs w:val="0"/>
          <w:i/>
          <w:color w:val="000000"/>
          <w:sz w:val="16"/>
          <w:szCs w:val="16"/>
          <w:shd w:val="clear" w:color="auto" w:fill="FFFFFF"/>
        </w:rPr>
        <w:t>Tingni</w:t>
      </w:r>
      <w:proofErr w:type="spellEnd"/>
      <w:r w:rsidRPr="002005EC">
        <w:rPr>
          <w:rStyle w:val="Textoennegrita"/>
          <w:rFonts w:ascii="Verdana" w:hAnsi="Verdana"/>
          <w:b w:val="0"/>
          <w:bCs w:val="0"/>
          <w:i/>
          <w:color w:val="000000"/>
          <w:sz w:val="16"/>
          <w:szCs w:val="16"/>
          <w:shd w:val="clear" w:color="auto" w:fill="FFFFFF"/>
        </w:rPr>
        <w:t xml:space="preserve"> Vs. Nicaragua. Solicitud de Medidas Provisionales.</w:t>
      </w:r>
      <w:r w:rsidRPr="002005EC">
        <w:rPr>
          <w:rStyle w:val="Textoennegrita"/>
          <w:rFonts w:ascii="Verdana" w:hAnsi="Verdana"/>
          <w:b w:val="0"/>
          <w:bCs w:val="0"/>
          <w:color w:val="000000"/>
          <w:sz w:val="16"/>
          <w:szCs w:val="16"/>
          <w:shd w:val="clear" w:color="auto" w:fill="FFFFFF"/>
        </w:rPr>
        <w:t xml:space="preserve"> Resolución de la Corte Interamericana de Derechos Humanos de 26 de noviembre de 2007, Considerandos 10 y 11; </w:t>
      </w:r>
      <w:r w:rsidRPr="002005EC">
        <w:rPr>
          <w:rStyle w:val="Textoennegrita"/>
          <w:rFonts w:ascii="Verdana" w:hAnsi="Verdana"/>
          <w:b w:val="0"/>
          <w:bCs w:val="0"/>
          <w:i/>
          <w:color w:val="000000"/>
          <w:sz w:val="16"/>
          <w:szCs w:val="16"/>
          <w:shd w:val="clear" w:color="auto" w:fill="FFFFFF"/>
        </w:rPr>
        <w:t xml:space="preserve">Caso del Pueblo de </w:t>
      </w:r>
      <w:proofErr w:type="spellStart"/>
      <w:r w:rsidRPr="002005EC">
        <w:rPr>
          <w:rStyle w:val="Textoennegrita"/>
          <w:rFonts w:ascii="Verdana" w:hAnsi="Verdana"/>
          <w:b w:val="0"/>
          <w:bCs w:val="0"/>
          <w:i/>
          <w:color w:val="000000"/>
          <w:sz w:val="16"/>
          <w:szCs w:val="16"/>
          <w:shd w:val="clear" w:color="auto" w:fill="FFFFFF"/>
        </w:rPr>
        <w:t>Saramaka</w:t>
      </w:r>
      <w:proofErr w:type="spellEnd"/>
      <w:r w:rsidRPr="002005EC">
        <w:rPr>
          <w:rStyle w:val="Textoennegrita"/>
          <w:rFonts w:ascii="Verdana" w:hAnsi="Verdana"/>
          <w:b w:val="0"/>
          <w:bCs w:val="0"/>
          <w:i/>
          <w:color w:val="000000"/>
          <w:sz w:val="16"/>
          <w:szCs w:val="16"/>
          <w:shd w:val="clear" w:color="auto" w:fill="FFFFFF"/>
        </w:rPr>
        <w:t xml:space="preserve"> Vs. Surinam. Solicitud de Medidas Provisionales y supervisión de cumplimiento de sentencia</w:t>
      </w:r>
      <w:r w:rsidRPr="002005EC">
        <w:rPr>
          <w:rStyle w:val="Textoennegrita"/>
          <w:rFonts w:ascii="Verdana" w:hAnsi="Verdana"/>
          <w:b w:val="0"/>
          <w:bCs w:val="0"/>
          <w:color w:val="000000"/>
          <w:sz w:val="16"/>
          <w:szCs w:val="16"/>
          <w:shd w:val="clear" w:color="auto" w:fill="FFFFFF"/>
        </w:rPr>
        <w:t xml:space="preserve">. Resolución de la Corte Interamericana de Derechos Humanos de 4 de septiembre de 2013, Considerando 23; </w:t>
      </w:r>
      <w:r w:rsidRPr="002005EC">
        <w:rPr>
          <w:rStyle w:val="Textoennegrita"/>
          <w:rFonts w:ascii="Verdana" w:hAnsi="Verdana"/>
          <w:b w:val="0"/>
          <w:bCs w:val="0"/>
          <w:i/>
          <w:color w:val="000000"/>
          <w:sz w:val="16"/>
          <w:szCs w:val="16"/>
          <w:shd w:val="clear" w:color="auto" w:fill="FFFFFF"/>
        </w:rPr>
        <w:t>Caso Artavia Murillo y otros (“Fecundación in Vitro”) Vs. Costa Rica. Solicitud de Medidas Provisionales</w:t>
      </w:r>
      <w:r w:rsidRPr="002005EC">
        <w:rPr>
          <w:rStyle w:val="Textoennegrita"/>
          <w:rFonts w:ascii="Verdana" w:hAnsi="Verdana"/>
          <w:b w:val="0"/>
          <w:bCs w:val="0"/>
          <w:color w:val="000000"/>
          <w:sz w:val="16"/>
          <w:szCs w:val="16"/>
          <w:shd w:val="clear" w:color="auto" w:fill="FFFFFF"/>
        </w:rPr>
        <w:t>. Resolución de la Corte Interamericana de Derechos Humanos de 31 de marzo de 2014, Considerandos 9 y 10;</w:t>
      </w:r>
      <w:r w:rsidRPr="00221D27">
        <w:rPr>
          <w:rStyle w:val="Textoennegrita"/>
          <w:rFonts w:ascii="Verdana" w:hAnsi="Verdana"/>
          <w:b w:val="0"/>
          <w:bCs w:val="0"/>
          <w:color w:val="000000"/>
          <w:sz w:val="16"/>
          <w:szCs w:val="16"/>
          <w:shd w:val="clear" w:color="auto" w:fill="FFFFFF"/>
        </w:rPr>
        <w:t xml:space="preserve"> </w:t>
      </w:r>
      <w:r w:rsidRPr="00221D27">
        <w:rPr>
          <w:rStyle w:val="Textoennegrita"/>
          <w:rFonts w:ascii="Verdana" w:hAnsi="Verdana"/>
          <w:b w:val="0"/>
          <w:bCs w:val="0"/>
          <w:i/>
          <w:color w:val="000000"/>
          <w:sz w:val="16"/>
          <w:szCs w:val="16"/>
          <w:shd w:val="clear" w:color="auto" w:fill="FFFFFF"/>
        </w:rPr>
        <w:t>Caso Acevedo Jaramillo y otros Vs. Perú. Solicitud de Medidas Provisionales.</w:t>
      </w:r>
      <w:r w:rsidRPr="00221D27">
        <w:rPr>
          <w:rStyle w:val="Textoennegrita"/>
          <w:rFonts w:ascii="Verdana" w:hAnsi="Verdana"/>
          <w:b w:val="0"/>
          <w:bCs w:val="0"/>
          <w:color w:val="000000"/>
          <w:sz w:val="16"/>
          <w:szCs w:val="16"/>
          <w:shd w:val="clear" w:color="auto" w:fill="FFFFFF"/>
        </w:rPr>
        <w:t xml:space="preserve"> Resolución de la Corte Interamericana de Derechos Humanos de 28 de agosto de 2015, Considerandos 7 y 8; </w:t>
      </w:r>
      <w:r>
        <w:rPr>
          <w:rStyle w:val="Textoennegrita"/>
          <w:rFonts w:ascii="Verdana" w:hAnsi="Verdana"/>
          <w:b w:val="0"/>
          <w:bCs w:val="0"/>
          <w:i/>
          <w:color w:val="000000"/>
          <w:sz w:val="16"/>
          <w:szCs w:val="16"/>
          <w:shd w:val="clear" w:color="auto" w:fill="FFFFFF"/>
        </w:rPr>
        <w:t xml:space="preserve">Caso Gonzáles </w:t>
      </w:r>
      <w:proofErr w:type="spellStart"/>
      <w:r>
        <w:rPr>
          <w:rStyle w:val="Textoennegrita"/>
          <w:rFonts w:ascii="Verdana" w:hAnsi="Verdana"/>
          <w:b w:val="0"/>
          <w:bCs w:val="0"/>
          <w:i/>
          <w:color w:val="000000"/>
          <w:sz w:val="16"/>
          <w:szCs w:val="16"/>
          <w:shd w:val="clear" w:color="auto" w:fill="FFFFFF"/>
        </w:rPr>
        <w:t>Lluy</w:t>
      </w:r>
      <w:proofErr w:type="spellEnd"/>
      <w:r>
        <w:rPr>
          <w:rStyle w:val="Textoennegrita"/>
          <w:rFonts w:ascii="Verdana" w:hAnsi="Verdana"/>
          <w:b w:val="0"/>
          <w:bCs w:val="0"/>
          <w:i/>
          <w:color w:val="000000"/>
          <w:sz w:val="16"/>
          <w:szCs w:val="16"/>
          <w:shd w:val="clear" w:color="auto" w:fill="FFFFFF"/>
        </w:rPr>
        <w:t xml:space="preserve"> y otros Vs. Ecuador. Medidas Provisionales. </w:t>
      </w:r>
      <w:r>
        <w:rPr>
          <w:rStyle w:val="Textoennegrita"/>
          <w:rFonts w:ascii="Verdana" w:hAnsi="Verdana"/>
          <w:b w:val="0"/>
          <w:bCs w:val="0"/>
          <w:color w:val="000000"/>
          <w:sz w:val="16"/>
          <w:szCs w:val="16"/>
          <w:shd w:val="clear" w:color="auto" w:fill="FFFFFF"/>
        </w:rPr>
        <w:t>Resolución de la Corte Interamericana de Derechos Humanos de 2 de setiembre de 2015, Considerandos 25 y 26;</w:t>
      </w:r>
      <w:r>
        <w:rPr>
          <w:rStyle w:val="Textoennegrita"/>
          <w:rFonts w:ascii="Verdana" w:hAnsi="Verdana"/>
          <w:b w:val="0"/>
          <w:bCs w:val="0"/>
          <w:i/>
          <w:color w:val="000000"/>
          <w:sz w:val="16"/>
          <w:szCs w:val="16"/>
          <w:shd w:val="clear" w:color="auto" w:fill="FFFFFF"/>
        </w:rPr>
        <w:t xml:space="preserve"> </w:t>
      </w:r>
      <w:r w:rsidRPr="00191FE3">
        <w:rPr>
          <w:rStyle w:val="Textoennegrita"/>
          <w:rFonts w:ascii="Verdana" w:hAnsi="Verdana"/>
          <w:b w:val="0"/>
          <w:bCs w:val="0"/>
          <w:i/>
          <w:color w:val="000000"/>
          <w:sz w:val="16"/>
          <w:szCs w:val="16"/>
          <w:shd w:val="clear" w:color="auto" w:fill="FFFFFF"/>
        </w:rPr>
        <w:t>Caso I.V</w:t>
      </w:r>
      <w:r>
        <w:rPr>
          <w:rStyle w:val="Textoennegrita"/>
          <w:rFonts w:ascii="Verdana" w:hAnsi="Verdana"/>
          <w:b w:val="0"/>
          <w:bCs w:val="0"/>
          <w:i/>
          <w:color w:val="000000"/>
          <w:sz w:val="16"/>
          <w:szCs w:val="16"/>
          <w:shd w:val="clear" w:color="auto" w:fill="FFFFFF"/>
        </w:rPr>
        <w:t>.</w:t>
      </w:r>
      <w:r w:rsidRPr="00191FE3">
        <w:rPr>
          <w:rStyle w:val="Textoennegrita"/>
          <w:rFonts w:ascii="Verdana" w:hAnsi="Verdana"/>
          <w:b w:val="0"/>
          <w:bCs w:val="0"/>
          <w:i/>
          <w:color w:val="000000"/>
          <w:sz w:val="16"/>
          <w:szCs w:val="16"/>
          <w:shd w:val="clear" w:color="auto" w:fill="FFFFFF"/>
        </w:rPr>
        <w:t xml:space="preserve"> Vs. Bolivia. Solicitud de Medidas Provisionales</w:t>
      </w:r>
      <w:r>
        <w:rPr>
          <w:rStyle w:val="Textoennegrita"/>
          <w:rFonts w:ascii="Verdana" w:hAnsi="Verdana"/>
          <w:b w:val="0"/>
          <w:bCs w:val="0"/>
          <w:color w:val="000000"/>
          <w:sz w:val="16"/>
          <w:szCs w:val="16"/>
          <w:shd w:val="clear" w:color="auto" w:fill="FFFFFF"/>
        </w:rPr>
        <w:t xml:space="preserve">. Resolución de la Corte Interamericana de Derechos Humanos de 25 de mayo de 2017, Considerandos 11 y 12; </w:t>
      </w:r>
      <w:r w:rsidRPr="00221D27">
        <w:rPr>
          <w:rStyle w:val="Textoennegrita"/>
          <w:rFonts w:ascii="Verdana" w:hAnsi="Verdana"/>
          <w:b w:val="0"/>
          <w:bCs w:val="0"/>
          <w:i/>
          <w:color w:val="000000"/>
          <w:sz w:val="16"/>
          <w:szCs w:val="16"/>
          <w:shd w:val="clear" w:color="auto" w:fill="FFFFFF"/>
        </w:rPr>
        <w:t xml:space="preserve">Caso </w:t>
      </w:r>
      <w:proofErr w:type="spellStart"/>
      <w:r w:rsidRPr="00221D27">
        <w:rPr>
          <w:rStyle w:val="Textoennegrita"/>
          <w:rFonts w:ascii="Verdana" w:hAnsi="Verdana"/>
          <w:b w:val="0"/>
          <w:bCs w:val="0"/>
          <w:i/>
          <w:color w:val="000000"/>
          <w:sz w:val="16"/>
          <w:szCs w:val="16"/>
          <w:shd w:val="clear" w:color="auto" w:fill="FFFFFF"/>
        </w:rPr>
        <w:t>Cesti</w:t>
      </w:r>
      <w:proofErr w:type="spellEnd"/>
      <w:r w:rsidRPr="00221D27">
        <w:rPr>
          <w:rStyle w:val="Textoennegrita"/>
          <w:rFonts w:ascii="Verdana" w:hAnsi="Verdana"/>
          <w:b w:val="0"/>
          <w:bCs w:val="0"/>
          <w:i/>
          <w:color w:val="000000"/>
          <w:sz w:val="16"/>
          <w:szCs w:val="16"/>
          <w:shd w:val="clear" w:color="auto" w:fill="FFFFFF"/>
        </w:rPr>
        <w:t xml:space="preserve"> Hurtado Vs. Perú. Solicitud de Medidas Provisionales y supervisión de cumplimiento de sentencia.</w:t>
      </w:r>
      <w:r w:rsidRPr="00221D27">
        <w:rPr>
          <w:rStyle w:val="Textoennegrita"/>
          <w:rFonts w:ascii="Verdana" w:hAnsi="Verdana"/>
          <w:b w:val="0"/>
          <w:bCs w:val="0"/>
          <w:color w:val="000000"/>
          <w:sz w:val="16"/>
          <w:szCs w:val="16"/>
          <w:shd w:val="clear" w:color="auto" w:fill="FFFFFF"/>
        </w:rPr>
        <w:t xml:space="preserve"> Resolución de la Corte Interamericana de Derechos Humanos de 14 de octubre de 2019, Considerandos 24 a 26.</w:t>
      </w:r>
    </w:p>
  </w:footnote>
  <w:footnote w:id="3">
    <w:p w14:paraId="692A3892" w14:textId="77777777" w:rsidR="0006137A" w:rsidRPr="00E16E09" w:rsidRDefault="0006137A" w:rsidP="0006137A">
      <w:pPr>
        <w:pStyle w:val="Textonotapie"/>
        <w:jc w:val="both"/>
        <w:rPr>
          <w:rFonts w:ascii="Verdana" w:hAnsi="Verdana"/>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r>
      <w:r>
        <w:rPr>
          <w:rFonts w:ascii="Verdana" w:hAnsi="Verdana"/>
          <w:i/>
          <w:sz w:val="16"/>
          <w:szCs w:val="16"/>
        </w:rPr>
        <w:t xml:space="preserve">Cfr. </w:t>
      </w:r>
      <w:r w:rsidRPr="00221D27">
        <w:rPr>
          <w:rFonts w:ascii="Verdana" w:hAnsi="Verdana"/>
          <w:i/>
          <w:sz w:val="16"/>
          <w:szCs w:val="16"/>
        </w:rPr>
        <w:t>Caso Durand y Ugarte Vs. Perú. Medidas Provisionales.</w:t>
      </w:r>
      <w:r w:rsidRPr="00221D27">
        <w:rPr>
          <w:rFonts w:ascii="Verdana" w:hAnsi="Verdana"/>
          <w:sz w:val="16"/>
          <w:szCs w:val="16"/>
        </w:rPr>
        <w:t xml:space="preserve"> Resolución </w:t>
      </w:r>
      <w:r>
        <w:rPr>
          <w:rFonts w:ascii="Verdana" w:hAnsi="Verdana"/>
          <w:sz w:val="16"/>
          <w:szCs w:val="16"/>
        </w:rPr>
        <w:t xml:space="preserve">de la Corte Interamericana de Derechos Humanos </w:t>
      </w:r>
      <w:r w:rsidRPr="00221D27">
        <w:rPr>
          <w:rFonts w:ascii="Verdana" w:hAnsi="Verdana"/>
          <w:sz w:val="16"/>
          <w:szCs w:val="16"/>
        </w:rPr>
        <w:t>de 8 de febrero de 2018</w:t>
      </w:r>
      <w:r>
        <w:rPr>
          <w:rFonts w:ascii="Verdana" w:hAnsi="Verdana"/>
          <w:sz w:val="16"/>
          <w:szCs w:val="16"/>
        </w:rPr>
        <w:t>,</w:t>
      </w:r>
      <w:r w:rsidRPr="00221D27">
        <w:rPr>
          <w:rFonts w:ascii="Verdana" w:hAnsi="Verdana"/>
          <w:sz w:val="16"/>
          <w:szCs w:val="16"/>
        </w:rPr>
        <w:t xml:space="preserve"> </w:t>
      </w:r>
      <w:r>
        <w:rPr>
          <w:rFonts w:ascii="Verdana" w:hAnsi="Verdana"/>
          <w:sz w:val="16"/>
          <w:szCs w:val="16"/>
        </w:rPr>
        <w:t xml:space="preserve">y </w:t>
      </w:r>
      <w:r w:rsidRPr="00221D27">
        <w:rPr>
          <w:rFonts w:ascii="Verdana" w:hAnsi="Verdana"/>
          <w:bCs/>
          <w:i/>
          <w:sz w:val="16"/>
          <w:szCs w:val="16"/>
        </w:rPr>
        <w:t xml:space="preserve">Caso Miembros de la Aldea </w:t>
      </w:r>
      <w:proofErr w:type="spellStart"/>
      <w:r w:rsidRPr="00221D27">
        <w:rPr>
          <w:rFonts w:ascii="Verdana" w:hAnsi="Verdana"/>
          <w:bCs/>
          <w:i/>
          <w:sz w:val="16"/>
          <w:szCs w:val="16"/>
        </w:rPr>
        <w:t>Chichupac</w:t>
      </w:r>
      <w:proofErr w:type="spellEnd"/>
      <w:r w:rsidRPr="00221D27">
        <w:rPr>
          <w:rFonts w:ascii="Verdana" w:hAnsi="Verdana"/>
          <w:bCs/>
          <w:i/>
          <w:sz w:val="16"/>
          <w:szCs w:val="16"/>
        </w:rPr>
        <w:t xml:space="preserve"> y comunidades vecinas del Municipio de Rabinal, Caso Molina </w:t>
      </w:r>
      <w:proofErr w:type="spellStart"/>
      <w:r w:rsidRPr="00221D27">
        <w:rPr>
          <w:rFonts w:ascii="Verdana" w:hAnsi="Verdana"/>
          <w:bCs/>
          <w:i/>
          <w:sz w:val="16"/>
          <w:szCs w:val="16"/>
        </w:rPr>
        <w:t>Theissen</w:t>
      </w:r>
      <w:proofErr w:type="spellEnd"/>
      <w:r w:rsidRPr="00221D27">
        <w:rPr>
          <w:rFonts w:ascii="Verdana" w:hAnsi="Verdana"/>
          <w:bCs/>
          <w:i/>
          <w:sz w:val="16"/>
          <w:szCs w:val="16"/>
        </w:rPr>
        <w:t xml:space="preserve"> y otros 12 Casos Guatemaltecos Vs. Guatemala. Medidas Provisionales y Supervisión de Cumplimiento de Sentencia.</w:t>
      </w:r>
      <w:r w:rsidRPr="00221D27">
        <w:rPr>
          <w:rFonts w:ascii="Verdana" w:hAnsi="Verdana"/>
          <w:bCs/>
          <w:sz w:val="16"/>
          <w:szCs w:val="16"/>
        </w:rPr>
        <w:t xml:space="preserve"> Resolución </w:t>
      </w:r>
      <w:r>
        <w:rPr>
          <w:rFonts w:ascii="Verdana" w:hAnsi="Verdana"/>
          <w:bCs/>
          <w:sz w:val="16"/>
          <w:szCs w:val="16"/>
        </w:rPr>
        <w:t xml:space="preserve">de la Corte Interamericana de Derechos Humanos </w:t>
      </w:r>
      <w:r w:rsidRPr="00221D27">
        <w:rPr>
          <w:rFonts w:ascii="Verdana" w:hAnsi="Verdana"/>
          <w:bCs/>
          <w:sz w:val="16"/>
          <w:szCs w:val="16"/>
        </w:rPr>
        <w:t>de 12 de marzo de 2019</w:t>
      </w:r>
      <w:r w:rsidRPr="003F0B58">
        <w:rPr>
          <w:rFonts w:ascii="Verdana" w:hAnsi="Verdana"/>
          <w:sz w:val="16"/>
          <w:szCs w:val="16"/>
        </w:rPr>
        <w:t>.</w:t>
      </w:r>
    </w:p>
  </w:footnote>
  <w:footnote w:id="4">
    <w:p w14:paraId="13C918BA" w14:textId="77777777" w:rsidR="0006137A" w:rsidRPr="004843EA" w:rsidRDefault="0006137A" w:rsidP="0006137A">
      <w:pPr>
        <w:pStyle w:val="Textonotapie"/>
        <w:jc w:val="both"/>
        <w:rPr>
          <w:rFonts w:ascii="Verdana" w:hAnsi="Verdana"/>
          <w:sz w:val="16"/>
          <w:szCs w:val="16"/>
          <w:lang w:val="es-MX"/>
        </w:rPr>
      </w:pPr>
      <w:r w:rsidRPr="00E16E09">
        <w:rPr>
          <w:rStyle w:val="Refdenotaalpie"/>
          <w:szCs w:val="16"/>
        </w:rPr>
        <w:footnoteRef/>
      </w:r>
      <w:r w:rsidRPr="00E16E09">
        <w:rPr>
          <w:rFonts w:ascii="Verdana" w:hAnsi="Verdana"/>
          <w:sz w:val="16"/>
          <w:szCs w:val="16"/>
        </w:rPr>
        <w:t xml:space="preserve"> </w:t>
      </w:r>
      <w:r w:rsidRPr="00E16E09">
        <w:rPr>
          <w:rFonts w:ascii="Verdana" w:hAnsi="Verdana"/>
          <w:sz w:val="16"/>
          <w:szCs w:val="16"/>
        </w:rPr>
        <w:tab/>
      </w:r>
      <w:r w:rsidRPr="00674B35">
        <w:rPr>
          <w:rFonts w:ascii="Verdana" w:hAnsi="Verdana"/>
          <w:i/>
          <w:iCs/>
          <w:sz w:val="16"/>
          <w:szCs w:val="16"/>
          <w:lang w:val="es-MX"/>
        </w:rPr>
        <w:t xml:space="preserve">Cfr. </w:t>
      </w:r>
      <w:r w:rsidRPr="00DD4C86">
        <w:rPr>
          <w:rFonts w:ascii="Verdana" w:hAnsi="Verdana"/>
          <w:sz w:val="16"/>
          <w:szCs w:val="16"/>
        </w:rPr>
        <w:t>Declaración de la Corte Interamericana de Derechos Humanos No. 1/20, 9 de abril de 2020, “COVID-19 y Dere</w:t>
      </w:r>
      <w:r w:rsidRPr="004843EA">
        <w:rPr>
          <w:rFonts w:ascii="Verdana" w:hAnsi="Verdana"/>
          <w:sz w:val="16"/>
          <w:szCs w:val="16"/>
        </w:rPr>
        <w:t>chos Humanos: los problemas y desafíos deben ser abordados con perspectiva de derechos humanos y respetando las obligaciones internacionales”. Disponible en: http://www.corteidh.or.cr/docs/comunicados/cp_27_2020.pdf.</w:t>
      </w:r>
    </w:p>
  </w:footnote>
  <w:footnote w:id="5">
    <w:p w14:paraId="5D45149D" w14:textId="77777777" w:rsidR="00075FDE" w:rsidRPr="00221D27" w:rsidRDefault="00075FDE" w:rsidP="00075FDE">
      <w:pPr>
        <w:pStyle w:val="Textonotapie"/>
        <w:tabs>
          <w:tab w:val="left" w:pos="567"/>
        </w:tabs>
        <w:jc w:val="both"/>
        <w:rPr>
          <w:rFonts w:ascii="Verdana" w:hAnsi="Verdana"/>
          <w:sz w:val="16"/>
          <w:szCs w:val="16"/>
          <w:lang w:val="es-CR"/>
        </w:rPr>
      </w:pPr>
      <w:r w:rsidRPr="00221D27">
        <w:rPr>
          <w:rStyle w:val="Refdenotaalpie"/>
          <w:szCs w:val="16"/>
        </w:rPr>
        <w:footnoteRef/>
      </w:r>
      <w:r w:rsidRPr="00221D27">
        <w:rPr>
          <w:rFonts w:ascii="Verdana" w:hAnsi="Verdana"/>
          <w:sz w:val="16"/>
          <w:szCs w:val="16"/>
          <w:lang w:val="es-CR"/>
        </w:rPr>
        <w:t xml:space="preserve"> </w:t>
      </w:r>
      <w:r w:rsidRPr="00221D27">
        <w:rPr>
          <w:rFonts w:ascii="Verdana" w:hAnsi="Verdana"/>
          <w:sz w:val="16"/>
          <w:szCs w:val="16"/>
          <w:lang w:val="es-CR"/>
        </w:rPr>
        <w:tab/>
      </w:r>
      <w:r w:rsidRPr="00C1731C">
        <w:rPr>
          <w:rFonts w:ascii="Verdana" w:hAnsi="Verdana"/>
          <w:i/>
          <w:sz w:val="16"/>
          <w:szCs w:val="16"/>
          <w:lang w:val="es-CR"/>
        </w:rPr>
        <w:t xml:space="preserve">Cfr. Caso Carpio </w:t>
      </w:r>
      <w:proofErr w:type="spellStart"/>
      <w:r w:rsidRPr="00C1731C">
        <w:rPr>
          <w:rFonts w:ascii="Verdana" w:hAnsi="Verdana"/>
          <w:i/>
          <w:sz w:val="16"/>
          <w:szCs w:val="16"/>
          <w:lang w:val="es-CR"/>
        </w:rPr>
        <w:t>Nicolle</w:t>
      </w:r>
      <w:proofErr w:type="spellEnd"/>
      <w:r w:rsidRPr="00C1731C">
        <w:rPr>
          <w:rFonts w:ascii="Verdana" w:hAnsi="Verdana"/>
          <w:i/>
          <w:sz w:val="16"/>
          <w:szCs w:val="16"/>
          <w:lang w:val="es-CR"/>
        </w:rPr>
        <w:t xml:space="preserve"> y otros </w:t>
      </w:r>
      <w:r>
        <w:rPr>
          <w:rFonts w:ascii="Verdana" w:hAnsi="Verdana"/>
          <w:i/>
          <w:sz w:val="16"/>
          <w:szCs w:val="16"/>
          <w:lang w:val="es-CR"/>
        </w:rPr>
        <w:t>Vs.</w:t>
      </w:r>
      <w:r w:rsidRPr="00C1731C">
        <w:rPr>
          <w:rFonts w:ascii="Verdana" w:hAnsi="Verdana"/>
          <w:i/>
          <w:sz w:val="16"/>
          <w:szCs w:val="16"/>
          <w:lang w:val="es-CR"/>
        </w:rPr>
        <w:t xml:space="preserve"> Guatemala. Medidas Provisionales.</w:t>
      </w:r>
      <w:r w:rsidRPr="00C1731C">
        <w:rPr>
          <w:rFonts w:ascii="Verdana" w:hAnsi="Verdana"/>
          <w:sz w:val="16"/>
          <w:szCs w:val="16"/>
          <w:lang w:val="es-CR"/>
        </w:rPr>
        <w:t xml:space="preserve"> Resolución de la Corte Interamericana de Derechos Humanos de 6 de julio de 2009, Considerando 14, y </w:t>
      </w:r>
      <w:r w:rsidRPr="00C1731C">
        <w:rPr>
          <w:rFonts w:ascii="Verdana" w:hAnsi="Verdana"/>
          <w:i/>
          <w:sz w:val="16"/>
          <w:szCs w:val="16"/>
          <w:lang w:val="es-CR"/>
        </w:rPr>
        <w:t>Asuntos de Determinados Centros Penitenciarios de Venezuela. Humberto Prado. Marianela Sánchez Ortiz y familia. Medidas Provisionales respecto de Venezuela.</w:t>
      </w:r>
      <w:r w:rsidRPr="00C1731C">
        <w:rPr>
          <w:rFonts w:ascii="Verdana" w:hAnsi="Verdana"/>
          <w:sz w:val="16"/>
          <w:szCs w:val="16"/>
          <w:lang w:val="es-CR"/>
        </w:rPr>
        <w:t xml:space="preserve"> Resolución de la Corte Interamericana de Derechos Humanos de 8 de julio de 2020, Considerando 2.</w:t>
      </w:r>
      <w:r>
        <w:rPr>
          <w:rFonts w:ascii="Verdana" w:hAnsi="Verdana"/>
          <w:sz w:val="16"/>
          <w:szCs w:val="16"/>
          <w:lang w:val="es-CR"/>
        </w:rPr>
        <w:t xml:space="preserve"> </w:t>
      </w:r>
    </w:p>
  </w:footnote>
  <w:footnote w:id="6">
    <w:p w14:paraId="3E34C2C5" w14:textId="77777777" w:rsidR="00075FDE" w:rsidRPr="002907CD" w:rsidRDefault="00075FDE" w:rsidP="00075FDE">
      <w:pPr>
        <w:tabs>
          <w:tab w:val="left" w:pos="567"/>
        </w:tabs>
        <w:jc w:val="both"/>
        <w:rPr>
          <w:rFonts w:ascii="Verdana" w:hAnsi="Verdana"/>
          <w:i/>
          <w:iCs/>
          <w:sz w:val="16"/>
          <w:szCs w:val="16"/>
          <w:lang w:val="es-ES"/>
        </w:rPr>
      </w:pPr>
      <w:r w:rsidRPr="00221D27">
        <w:rPr>
          <w:rStyle w:val="Refdenotaalpie"/>
          <w:szCs w:val="16"/>
        </w:rPr>
        <w:footnoteRef/>
      </w:r>
      <w:r w:rsidRPr="00221D27">
        <w:rPr>
          <w:rFonts w:ascii="Verdana" w:hAnsi="Verdana"/>
          <w:sz w:val="16"/>
          <w:szCs w:val="16"/>
        </w:rPr>
        <w:tab/>
      </w:r>
      <w:r w:rsidRPr="002907CD">
        <w:rPr>
          <w:rFonts w:ascii="Verdana" w:hAnsi="Verdana"/>
          <w:i/>
          <w:iCs/>
          <w:sz w:val="16"/>
          <w:szCs w:val="16"/>
          <w:lang w:val="es-ES"/>
        </w:rPr>
        <w:t xml:space="preserve">Cfr. </w:t>
      </w:r>
      <w:r w:rsidRPr="002907CD">
        <w:rPr>
          <w:rFonts w:ascii="Verdana" w:hAnsi="Verdana"/>
          <w:i/>
          <w:sz w:val="16"/>
          <w:szCs w:val="16"/>
          <w:lang w:val="es-CR"/>
        </w:rPr>
        <w:t xml:space="preserve">Caso Bámaca Velásquez Vs. Guatemala. Medidas Provisionales. </w:t>
      </w:r>
      <w:r w:rsidRPr="002907CD">
        <w:rPr>
          <w:rFonts w:ascii="Verdana" w:hAnsi="Verdana"/>
          <w:sz w:val="16"/>
          <w:szCs w:val="16"/>
          <w:lang w:val="es-CR"/>
        </w:rPr>
        <w:t>Resolución de la Corte Interamericana de Derechos Humanos de 20 de noviembre de 2003, Considerando 10</w:t>
      </w:r>
      <w:r w:rsidRPr="002907CD">
        <w:rPr>
          <w:rFonts w:ascii="Verdana" w:hAnsi="Verdana"/>
          <w:iCs/>
          <w:sz w:val="16"/>
          <w:szCs w:val="16"/>
          <w:lang w:val="es-ES"/>
        </w:rPr>
        <w:t>,</w:t>
      </w:r>
      <w:r w:rsidRPr="002907CD">
        <w:rPr>
          <w:rFonts w:ascii="Verdana" w:hAnsi="Verdana"/>
          <w:sz w:val="16"/>
          <w:szCs w:val="16"/>
        </w:rPr>
        <w:t xml:space="preserve"> y </w:t>
      </w:r>
      <w:r w:rsidRPr="002907CD">
        <w:rPr>
          <w:rFonts w:ascii="Verdana" w:hAnsi="Verdana"/>
          <w:i/>
          <w:sz w:val="16"/>
          <w:szCs w:val="16"/>
        </w:rPr>
        <w:t xml:space="preserve">Caso Urrutia </w:t>
      </w:r>
      <w:proofErr w:type="spellStart"/>
      <w:r w:rsidRPr="002907CD">
        <w:rPr>
          <w:rFonts w:ascii="Verdana" w:hAnsi="Verdana"/>
          <w:i/>
          <w:sz w:val="16"/>
          <w:szCs w:val="16"/>
        </w:rPr>
        <w:t>Laubreaux</w:t>
      </w:r>
      <w:proofErr w:type="spellEnd"/>
      <w:r w:rsidRPr="002907CD">
        <w:rPr>
          <w:rFonts w:ascii="Verdana" w:hAnsi="Verdana"/>
          <w:i/>
          <w:sz w:val="16"/>
          <w:szCs w:val="16"/>
        </w:rPr>
        <w:t xml:space="preserve"> Vs. Chile. Solicitud de Medidas Provisionales</w:t>
      </w:r>
      <w:r w:rsidRPr="002907CD">
        <w:rPr>
          <w:rFonts w:ascii="Verdana" w:hAnsi="Verdana"/>
          <w:sz w:val="16"/>
          <w:szCs w:val="16"/>
        </w:rPr>
        <w:t>. Resolución de la Corte Interamericana de Derechos Humanos de 12 de marzo de 2020, Considerando 3.</w:t>
      </w:r>
    </w:p>
  </w:footnote>
  <w:footnote w:id="7">
    <w:p w14:paraId="0920E373" w14:textId="77777777" w:rsidR="00075FDE" w:rsidRPr="0051766F" w:rsidRDefault="00075FDE" w:rsidP="00075FDE">
      <w:pPr>
        <w:tabs>
          <w:tab w:val="left" w:pos="567"/>
        </w:tabs>
        <w:jc w:val="both"/>
        <w:rPr>
          <w:rFonts w:ascii="Verdana" w:hAnsi="Verdana"/>
          <w:i/>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r>
      <w:r w:rsidRPr="0051766F">
        <w:rPr>
          <w:rFonts w:ascii="Verdana" w:hAnsi="Verdana"/>
          <w:i/>
          <w:sz w:val="16"/>
          <w:szCs w:val="16"/>
        </w:rPr>
        <w:t xml:space="preserve">Cfr. Asuntos Internado Judicial de Monagas (“La Pica”); Centro Penitenciario Región Capital Yare I y Yare II (Cárcel de Yare); Centro Penitenciario de la Región Centro Occidental (Cárcel de </w:t>
      </w:r>
      <w:proofErr w:type="spellStart"/>
      <w:r w:rsidRPr="0051766F">
        <w:rPr>
          <w:rFonts w:ascii="Verdana" w:hAnsi="Verdana"/>
          <w:i/>
          <w:sz w:val="16"/>
          <w:szCs w:val="16"/>
        </w:rPr>
        <w:t>Uribana</w:t>
      </w:r>
      <w:proofErr w:type="spellEnd"/>
      <w:r w:rsidRPr="0051766F">
        <w:rPr>
          <w:rFonts w:ascii="Verdana" w:hAnsi="Verdana"/>
          <w:i/>
          <w:sz w:val="16"/>
          <w:szCs w:val="16"/>
        </w:rPr>
        <w:t>), e Internado Judicial Capital El Rodeo I y el Rodeo II. Medidas Provisionales respecto de la República Bolivariana de Venezuela</w:t>
      </w:r>
      <w:r w:rsidRPr="0051766F">
        <w:rPr>
          <w:rFonts w:ascii="Verdana" w:hAnsi="Verdana"/>
          <w:sz w:val="16"/>
          <w:szCs w:val="16"/>
        </w:rPr>
        <w:t xml:space="preserve">. Resolución de la Corte Interamericana de Derechos Humanos de 24 de noviembre de 2009, Considerando 3, y </w:t>
      </w:r>
      <w:r w:rsidRPr="0051766F">
        <w:rPr>
          <w:rFonts w:ascii="Verdana" w:hAnsi="Verdana"/>
          <w:i/>
          <w:sz w:val="16"/>
          <w:szCs w:val="16"/>
        </w:rPr>
        <w:t xml:space="preserve">Caso Cuya </w:t>
      </w:r>
      <w:proofErr w:type="spellStart"/>
      <w:r w:rsidRPr="0051766F">
        <w:rPr>
          <w:rFonts w:ascii="Verdana" w:hAnsi="Verdana"/>
          <w:i/>
          <w:sz w:val="16"/>
          <w:szCs w:val="16"/>
        </w:rPr>
        <w:t>Lavy</w:t>
      </w:r>
      <w:proofErr w:type="spellEnd"/>
      <w:r w:rsidRPr="0051766F">
        <w:rPr>
          <w:rFonts w:ascii="Verdana" w:hAnsi="Verdana"/>
          <w:i/>
          <w:sz w:val="16"/>
          <w:szCs w:val="16"/>
        </w:rPr>
        <w:t xml:space="preserve"> y otros Vs. Perú. Solicitud de Medidas Provisionales</w:t>
      </w:r>
      <w:r w:rsidRPr="0051766F">
        <w:rPr>
          <w:rFonts w:ascii="Verdana" w:hAnsi="Verdana"/>
          <w:sz w:val="16"/>
          <w:szCs w:val="16"/>
        </w:rPr>
        <w:t>. Resolución de la Corte Interamericana de Derechos Humanos de 12 de marzo de 2020, Considerando 5.</w:t>
      </w:r>
    </w:p>
  </w:footnote>
  <w:footnote w:id="8">
    <w:p w14:paraId="25F42426" w14:textId="77777777" w:rsidR="002C7DCB" w:rsidRPr="00221D27" w:rsidRDefault="002C7DCB" w:rsidP="002C7DCB">
      <w:pPr>
        <w:pStyle w:val="Textonotapie"/>
        <w:jc w:val="both"/>
        <w:rPr>
          <w:rFonts w:ascii="Verdana" w:hAnsi="Verdana"/>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r>
      <w:r w:rsidRPr="00221D27">
        <w:rPr>
          <w:rFonts w:ascii="Verdana" w:hAnsi="Verdana"/>
          <w:i/>
          <w:iCs/>
          <w:sz w:val="16"/>
          <w:szCs w:val="16"/>
        </w:rPr>
        <w:t>Cfr.</w:t>
      </w:r>
      <w:r w:rsidRPr="00221D27">
        <w:rPr>
          <w:rFonts w:ascii="Verdana" w:hAnsi="Verdana"/>
          <w:sz w:val="16"/>
          <w:szCs w:val="16"/>
        </w:rPr>
        <w:t xml:space="preserve"> Instituto Latinoamericano de las Naciones Unidas para la Prevención del Delito y el Tratamiento del Delincuente (ILANUD), “El Sistema Penitenciario ante la encrucijada producto de la crisis provocada por el COVID-19”, abril 2020</w:t>
      </w:r>
      <w:r>
        <w:rPr>
          <w:rFonts w:ascii="Verdana" w:hAnsi="Verdana"/>
          <w:sz w:val="16"/>
          <w:szCs w:val="16"/>
        </w:rPr>
        <w:t>.</w:t>
      </w:r>
      <w:r w:rsidRPr="00221D27">
        <w:rPr>
          <w:rFonts w:ascii="Verdana" w:hAnsi="Verdana"/>
          <w:sz w:val="16"/>
          <w:szCs w:val="16"/>
        </w:rPr>
        <w:t xml:space="preserve"> </w:t>
      </w:r>
      <w:r>
        <w:rPr>
          <w:rFonts w:ascii="Verdana" w:hAnsi="Verdana"/>
          <w:sz w:val="16"/>
          <w:szCs w:val="16"/>
        </w:rPr>
        <w:t>D</w:t>
      </w:r>
      <w:r w:rsidRPr="00221D27">
        <w:rPr>
          <w:rFonts w:ascii="Verdana" w:hAnsi="Verdana"/>
          <w:sz w:val="16"/>
          <w:szCs w:val="16"/>
        </w:rPr>
        <w:t xml:space="preserve">isponible en: </w:t>
      </w:r>
      <w:hyperlink r:id="rId1" w:history="1">
        <w:r w:rsidRPr="00221D27">
          <w:rPr>
            <w:rStyle w:val="Hipervnculo"/>
            <w:rFonts w:ascii="Verdana" w:hAnsi="Verdana"/>
            <w:sz w:val="16"/>
            <w:szCs w:val="16"/>
          </w:rPr>
          <w:t>https://www.ilanud.or.cr/wp-content/uploads/2020/04/ILANUD-COVID-19.pdf</w:t>
        </w:r>
      </w:hyperlink>
      <w:r w:rsidRPr="00221D27">
        <w:rPr>
          <w:rFonts w:ascii="Verdana" w:hAnsi="Verdana"/>
          <w:sz w:val="16"/>
          <w:szCs w:val="16"/>
        </w:rPr>
        <w:t>.</w:t>
      </w:r>
    </w:p>
  </w:footnote>
  <w:footnote w:id="9">
    <w:p w14:paraId="221B9F0C" w14:textId="77777777" w:rsidR="002C7DCB" w:rsidRPr="00221D27" w:rsidRDefault="002C7DCB" w:rsidP="002C7DCB">
      <w:pPr>
        <w:pStyle w:val="Textonotapie"/>
        <w:jc w:val="both"/>
        <w:rPr>
          <w:rFonts w:ascii="Verdana" w:hAnsi="Verdana"/>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t>El CICR precisó que “[d]</w:t>
      </w:r>
      <w:proofErr w:type="spellStart"/>
      <w:r w:rsidRPr="00221D27">
        <w:rPr>
          <w:rFonts w:ascii="Verdana" w:hAnsi="Verdana"/>
          <w:sz w:val="16"/>
          <w:szCs w:val="16"/>
        </w:rPr>
        <w:t>atos</w:t>
      </w:r>
      <w:proofErr w:type="spellEnd"/>
      <w:r w:rsidRPr="00221D27">
        <w:rPr>
          <w:rFonts w:ascii="Verdana" w:hAnsi="Verdana"/>
          <w:sz w:val="16"/>
          <w:szCs w:val="16"/>
        </w:rPr>
        <w:t xml:space="preserve"> sobre población no encarcelada muestran que el número de básico de reproducción (RO= número de casos secundarios infectados del caso primario) para COVID-19 está entre 2 y 2.5”, mientras que, en lugares de detención, “el RO se presume que será significativamente mayor”. </w:t>
      </w:r>
      <w:r w:rsidRPr="00221D27">
        <w:rPr>
          <w:rFonts w:ascii="Verdana" w:hAnsi="Verdana"/>
          <w:i/>
          <w:sz w:val="16"/>
          <w:szCs w:val="16"/>
        </w:rPr>
        <w:t xml:space="preserve">Cfr. </w:t>
      </w:r>
      <w:r w:rsidRPr="00221D27">
        <w:rPr>
          <w:rFonts w:ascii="Verdana" w:hAnsi="Verdana"/>
          <w:sz w:val="16"/>
          <w:szCs w:val="16"/>
        </w:rPr>
        <w:t>Comité Internacional de la Cruz Roja</w:t>
      </w:r>
      <w:r>
        <w:rPr>
          <w:rFonts w:ascii="Verdana" w:hAnsi="Verdana"/>
          <w:sz w:val="16"/>
          <w:szCs w:val="16"/>
        </w:rPr>
        <w:t xml:space="preserve"> (CICR)</w:t>
      </w:r>
      <w:r w:rsidRPr="00221D27">
        <w:rPr>
          <w:rFonts w:ascii="Verdana" w:hAnsi="Verdana"/>
          <w:sz w:val="16"/>
          <w:szCs w:val="16"/>
        </w:rPr>
        <w:t xml:space="preserve">, “Respuestas de salud en detención al COVID-19”, 17 de marzo de 2020. Disponible en: </w:t>
      </w:r>
      <w:hyperlink r:id="rId2" w:history="1">
        <w:r w:rsidRPr="00221D27">
          <w:rPr>
            <w:rStyle w:val="Hipervnculo"/>
            <w:rFonts w:ascii="Verdana" w:hAnsi="Verdana"/>
            <w:sz w:val="16"/>
            <w:szCs w:val="16"/>
          </w:rPr>
          <w:t>https://www.icrc.org/es/download/file/114942/respuesta_de_salud_covid19.pdf</w:t>
        </w:r>
      </w:hyperlink>
      <w:r w:rsidRPr="00221D27">
        <w:rPr>
          <w:rFonts w:ascii="Verdana" w:hAnsi="Verdana"/>
          <w:sz w:val="16"/>
          <w:szCs w:val="16"/>
        </w:rPr>
        <w:t xml:space="preserve"> </w:t>
      </w:r>
    </w:p>
  </w:footnote>
  <w:footnote w:id="10">
    <w:p w14:paraId="0D179D75" w14:textId="77777777" w:rsidR="002C7DCB" w:rsidRPr="00221D27" w:rsidRDefault="002C7DCB" w:rsidP="002C7DCB">
      <w:pPr>
        <w:pStyle w:val="Textonotapie"/>
        <w:jc w:val="both"/>
        <w:rPr>
          <w:rFonts w:ascii="Verdana" w:hAnsi="Verdana"/>
          <w:sz w:val="16"/>
          <w:szCs w:val="16"/>
          <w:lang w:val="es-AR"/>
        </w:rPr>
      </w:pPr>
      <w:r w:rsidRPr="00221D27">
        <w:rPr>
          <w:rStyle w:val="Refdenotaalpie"/>
          <w:szCs w:val="16"/>
        </w:rPr>
        <w:footnoteRef/>
      </w:r>
      <w:r w:rsidRPr="00221D27">
        <w:rPr>
          <w:rFonts w:ascii="Verdana" w:hAnsi="Verdana"/>
          <w:i/>
          <w:iCs/>
          <w:sz w:val="16"/>
          <w:szCs w:val="16"/>
          <w:lang w:val="es-AR"/>
        </w:rPr>
        <w:t xml:space="preserve"> </w:t>
      </w:r>
      <w:r w:rsidRPr="00221D27">
        <w:rPr>
          <w:rFonts w:ascii="Verdana" w:hAnsi="Verdana"/>
          <w:i/>
          <w:iCs/>
          <w:sz w:val="16"/>
          <w:szCs w:val="16"/>
          <w:lang w:val="es-AR"/>
        </w:rPr>
        <w:tab/>
        <w:t>Cfr.</w:t>
      </w:r>
      <w:r w:rsidRPr="00221D27">
        <w:rPr>
          <w:rFonts w:ascii="Verdana" w:hAnsi="Verdana"/>
          <w:sz w:val="16"/>
          <w:szCs w:val="16"/>
          <w:lang w:val="es-AR"/>
        </w:rPr>
        <w:t xml:space="preserve"> Declaración No. 1/20, “COVID-19 y Derechos Humanos: los problemas y desafíos deben ser abordados con perspectiva de derechos humanos y respetando las obligaciones internacionales”, </w:t>
      </w:r>
      <w:r w:rsidRPr="00221D27">
        <w:rPr>
          <w:rFonts w:ascii="Verdana" w:hAnsi="Verdana"/>
          <w:i/>
          <w:iCs/>
          <w:sz w:val="16"/>
          <w:szCs w:val="16"/>
          <w:lang w:val="es-AR"/>
        </w:rPr>
        <w:t>supra</w:t>
      </w:r>
      <w:r>
        <w:rPr>
          <w:rFonts w:ascii="Verdana" w:hAnsi="Verdana"/>
          <w:sz w:val="16"/>
          <w:szCs w:val="16"/>
          <w:lang w:val="es-AR"/>
        </w:rPr>
        <w:t xml:space="preserve"> nota.</w:t>
      </w:r>
      <w:r w:rsidRPr="00221D27">
        <w:rPr>
          <w:rFonts w:ascii="Verdana" w:hAnsi="Verdana"/>
          <w:sz w:val="16"/>
          <w:szCs w:val="16"/>
          <w:lang w:val="es-AR"/>
        </w:rPr>
        <w:t xml:space="preserve"> </w:t>
      </w:r>
    </w:p>
  </w:footnote>
  <w:footnote w:id="11">
    <w:p w14:paraId="44C885DA" w14:textId="77777777" w:rsidR="009B39E4" w:rsidRPr="0011499C" w:rsidRDefault="009B39E4" w:rsidP="009B39E4">
      <w:pPr>
        <w:pStyle w:val="Textonotapie"/>
        <w:jc w:val="both"/>
        <w:rPr>
          <w:rFonts w:ascii="Verdana" w:hAnsi="Verdana"/>
          <w:sz w:val="16"/>
          <w:szCs w:val="16"/>
          <w:highlight w:val="red"/>
        </w:rPr>
      </w:pPr>
      <w:r w:rsidRPr="000C5155">
        <w:rPr>
          <w:rStyle w:val="Refdenotaalpie"/>
          <w:szCs w:val="16"/>
        </w:rPr>
        <w:footnoteRef/>
      </w:r>
      <w:r w:rsidRPr="000C5155">
        <w:rPr>
          <w:rFonts w:ascii="Verdana" w:hAnsi="Verdana"/>
          <w:sz w:val="16"/>
          <w:szCs w:val="16"/>
        </w:rPr>
        <w:t xml:space="preserve"> </w:t>
      </w:r>
      <w:r w:rsidRPr="000C5155">
        <w:rPr>
          <w:rFonts w:ascii="Verdana" w:hAnsi="Verdana"/>
          <w:sz w:val="16"/>
          <w:szCs w:val="16"/>
        </w:rPr>
        <w:tab/>
      </w:r>
      <w:r w:rsidRPr="000C5155">
        <w:rPr>
          <w:rFonts w:ascii="Verdana" w:hAnsi="Verdana"/>
          <w:i/>
          <w:iCs/>
          <w:sz w:val="16"/>
          <w:szCs w:val="16"/>
        </w:rPr>
        <w:t>Cfr. Caso Neira Alegría y otros Vs. Perú. Fondo.</w:t>
      </w:r>
      <w:r w:rsidRPr="000C5155">
        <w:rPr>
          <w:rFonts w:ascii="Verdana" w:hAnsi="Verdana"/>
          <w:sz w:val="16"/>
          <w:szCs w:val="16"/>
        </w:rPr>
        <w:t xml:space="preserve"> Sentencia de 19 de enero de 1995. Serie C No. 20, párr. 60, y </w:t>
      </w:r>
      <w:r w:rsidRPr="000C5155">
        <w:rPr>
          <w:rFonts w:ascii="Verdana" w:hAnsi="Verdana"/>
          <w:i/>
          <w:sz w:val="16"/>
          <w:szCs w:val="16"/>
        </w:rPr>
        <w:t>Caso López y otros Vs. Argentina. Excepciones Preliminares, Fondo, Reparaciones y Costas</w:t>
      </w:r>
      <w:r w:rsidRPr="000C5155">
        <w:rPr>
          <w:rFonts w:ascii="Verdana" w:hAnsi="Verdana"/>
          <w:sz w:val="16"/>
          <w:szCs w:val="16"/>
        </w:rPr>
        <w:t>. Sentencia de 25 de noviembre de 2019. Serie C No. 396, párr. 90.</w:t>
      </w:r>
    </w:p>
  </w:footnote>
  <w:footnote w:id="12">
    <w:p w14:paraId="5BC3D1C3" w14:textId="77777777" w:rsidR="009B39E4" w:rsidRPr="00DD2B51" w:rsidRDefault="009B39E4" w:rsidP="009B39E4">
      <w:pPr>
        <w:pStyle w:val="Textonotapie"/>
        <w:jc w:val="both"/>
        <w:rPr>
          <w:rFonts w:ascii="Verdana" w:hAnsi="Verdana"/>
          <w:sz w:val="16"/>
          <w:szCs w:val="16"/>
        </w:rPr>
      </w:pPr>
      <w:r w:rsidRPr="00DD2B51">
        <w:rPr>
          <w:rStyle w:val="Refdenotaalpie"/>
          <w:szCs w:val="16"/>
        </w:rPr>
        <w:footnoteRef/>
      </w:r>
      <w:r w:rsidRPr="00DD2B51">
        <w:rPr>
          <w:rFonts w:ascii="Verdana" w:hAnsi="Verdana"/>
          <w:sz w:val="16"/>
          <w:szCs w:val="16"/>
        </w:rPr>
        <w:t xml:space="preserve"> </w:t>
      </w:r>
      <w:r w:rsidRPr="00DD2B51">
        <w:rPr>
          <w:rFonts w:ascii="Verdana" w:hAnsi="Verdana"/>
          <w:sz w:val="16"/>
          <w:szCs w:val="16"/>
        </w:rPr>
        <w:tab/>
      </w:r>
      <w:r w:rsidRPr="00DD2B51">
        <w:rPr>
          <w:rFonts w:ascii="Verdana" w:hAnsi="Verdana"/>
          <w:i/>
          <w:iCs/>
          <w:sz w:val="16"/>
          <w:szCs w:val="16"/>
        </w:rPr>
        <w:t>Cfr</w:t>
      </w:r>
      <w:r w:rsidRPr="00DD2B51">
        <w:rPr>
          <w:rFonts w:ascii="Verdana" w:hAnsi="Verdana"/>
          <w:sz w:val="16"/>
          <w:szCs w:val="16"/>
        </w:rPr>
        <w:t xml:space="preserve">. </w:t>
      </w:r>
      <w:r w:rsidRPr="00DD2B51">
        <w:rPr>
          <w:rFonts w:ascii="Verdana" w:hAnsi="Verdana"/>
          <w:i/>
          <w:sz w:val="16"/>
          <w:szCs w:val="16"/>
        </w:rPr>
        <w:t xml:space="preserve">Asunto de Determinados Centros Penitenciarios de Venezuela. Centro Penitenciario de la Región Centro Occidental (Cárcel de </w:t>
      </w:r>
      <w:proofErr w:type="spellStart"/>
      <w:r w:rsidRPr="00DD2B51">
        <w:rPr>
          <w:rFonts w:ascii="Verdana" w:hAnsi="Verdana"/>
          <w:i/>
          <w:sz w:val="16"/>
          <w:szCs w:val="16"/>
        </w:rPr>
        <w:t>Uribana</w:t>
      </w:r>
      <w:proofErr w:type="spellEnd"/>
      <w:r w:rsidRPr="00DD2B51">
        <w:rPr>
          <w:rFonts w:ascii="Verdana" w:hAnsi="Verdana"/>
          <w:i/>
          <w:sz w:val="16"/>
          <w:szCs w:val="16"/>
        </w:rPr>
        <w:t>). Medidas Provisionales</w:t>
      </w:r>
      <w:r w:rsidRPr="00DD2B51">
        <w:rPr>
          <w:rFonts w:ascii="Verdana" w:hAnsi="Verdana"/>
          <w:sz w:val="16"/>
          <w:szCs w:val="16"/>
        </w:rPr>
        <w:t xml:space="preserve">. Resolución de la Corte Interamericana de Derechos Humanos del 13 de febrero de 2013, Considerando 7; y </w:t>
      </w:r>
      <w:r w:rsidRPr="00DD2B51">
        <w:rPr>
          <w:rFonts w:ascii="Verdana" w:hAnsi="Verdana"/>
          <w:i/>
          <w:sz w:val="16"/>
          <w:szCs w:val="16"/>
        </w:rPr>
        <w:t xml:space="preserve">Asunto del Complejo Penitenciario de Curado respecto de Brasil. Medidas Provisionales. </w:t>
      </w:r>
      <w:r w:rsidRPr="00DD2B51">
        <w:rPr>
          <w:rFonts w:ascii="Verdana" w:hAnsi="Verdana"/>
          <w:sz w:val="16"/>
          <w:szCs w:val="16"/>
        </w:rPr>
        <w:t>Resolución de la Corte Interamericana de Derechos Humanos de 28 de noviembre de 2018, Considerando 53.</w:t>
      </w:r>
    </w:p>
  </w:footnote>
  <w:footnote w:id="13">
    <w:p w14:paraId="02531051" w14:textId="77777777" w:rsidR="009B39E4" w:rsidRPr="00221D27" w:rsidRDefault="009B39E4" w:rsidP="009B39E4">
      <w:pPr>
        <w:pStyle w:val="Textonotapie"/>
        <w:jc w:val="both"/>
        <w:rPr>
          <w:rFonts w:ascii="Verdana" w:hAnsi="Verdana"/>
          <w:sz w:val="16"/>
          <w:szCs w:val="16"/>
        </w:rPr>
      </w:pPr>
      <w:r w:rsidRPr="00415030">
        <w:rPr>
          <w:rStyle w:val="Refdenotaalpie"/>
          <w:szCs w:val="16"/>
        </w:rPr>
        <w:footnoteRef/>
      </w:r>
      <w:r w:rsidRPr="00415030">
        <w:rPr>
          <w:rFonts w:ascii="Verdana" w:hAnsi="Verdana"/>
          <w:sz w:val="16"/>
          <w:szCs w:val="16"/>
        </w:rPr>
        <w:t xml:space="preserve"> </w:t>
      </w:r>
      <w:r w:rsidRPr="00415030">
        <w:rPr>
          <w:rFonts w:ascii="Verdana" w:hAnsi="Verdana"/>
          <w:sz w:val="16"/>
          <w:szCs w:val="16"/>
          <w:lang w:val="es"/>
        </w:rPr>
        <w:tab/>
      </w:r>
      <w:r w:rsidRPr="00415030">
        <w:rPr>
          <w:rFonts w:ascii="Verdana" w:hAnsi="Verdana"/>
          <w:i/>
          <w:sz w:val="16"/>
          <w:szCs w:val="16"/>
        </w:rPr>
        <w:t xml:space="preserve">Cfr. Caso Chinchilla Sandoval y otros Vs. Guatemala. Excepción Preliminar, Fondo, Reparaciones y Costas. </w:t>
      </w:r>
      <w:r w:rsidRPr="00415030">
        <w:rPr>
          <w:rFonts w:ascii="Verdana" w:hAnsi="Verdana"/>
          <w:sz w:val="16"/>
          <w:szCs w:val="16"/>
        </w:rPr>
        <w:t xml:space="preserve">Sentencia de 29 de febrero de 2016. Serie C No. 312, </w:t>
      </w:r>
      <w:proofErr w:type="spellStart"/>
      <w:r w:rsidRPr="00415030">
        <w:rPr>
          <w:rFonts w:ascii="Verdana" w:hAnsi="Verdana"/>
          <w:sz w:val="16"/>
          <w:szCs w:val="16"/>
        </w:rPr>
        <w:t>párrs</w:t>
      </w:r>
      <w:proofErr w:type="spellEnd"/>
      <w:r w:rsidRPr="00415030">
        <w:rPr>
          <w:rFonts w:ascii="Verdana" w:hAnsi="Verdana"/>
          <w:sz w:val="16"/>
          <w:szCs w:val="16"/>
        </w:rPr>
        <w:t>. 171 y 188.</w:t>
      </w:r>
    </w:p>
  </w:footnote>
  <w:footnote w:id="14">
    <w:p w14:paraId="47A5AB2C" w14:textId="77777777" w:rsidR="009B39E4" w:rsidRPr="00221D27" w:rsidRDefault="009B39E4" w:rsidP="009B39E4">
      <w:pPr>
        <w:pStyle w:val="Textonotapie"/>
        <w:jc w:val="both"/>
        <w:rPr>
          <w:rFonts w:ascii="Verdana" w:hAnsi="Verdana"/>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r>
      <w:r w:rsidRPr="00415030">
        <w:rPr>
          <w:rFonts w:ascii="Verdana" w:hAnsi="Verdana"/>
          <w:sz w:val="16"/>
          <w:szCs w:val="16"/>
        </w:rPr>
        <w:t xml:space="preserve">Contenidos, entre otros en: ONU, Reglas mínimas para el tratamiento de los reclusos. Adoptadas por el Primer Congreso de las Naciones Unidas sobre Prevención del Delito y Tratamiento del Delincuente, celebrado en Ginebra en 1955, y aprobadas por el Consejo Económico y Social en sus resoluciones 663C (XXIV) de 31 de julio de 1957 y 2076 (LXII) de 13 de mayo de 1977, y ONU, Conjunto de Principios para la protección de todas las personas sometidas a cualquier forma de detención o prisión. Adoptado por la Asamblea General de la ONU en su resolución 43/173, de 9 de diciembre de 1988. </w:t>
      </w:r>
      <w:r w:rsidRPr="00415030">
        <w:rPr>
          <w:rFonts w:ascii="Verdana" w:hAnsi="Verdana"/>
          <w:i/>
          <w:iCs/>
          <w:sz w:val="16"/>
          <w:szCs w:val="16"/>
        </w:rPr>
        <w:t>Cfr. Caso Pacheco Teruel y otros Vs. Honduras. Fondo, Reparaciones y Costas.</w:t>
      </w:r>
      <w:r w:rsidRPr="00415030">
        <w:rPr>
          <w:rFonts w:ascii="Verdana" w:hAnsi="Verdana"/>
          <w:sz w:val="16"/>
          <w:szCs w:val="16"/>
        </w:rPr>
        <w:t xml:space="preserve"> Sentencia de 27 de abril de 2012. Serie C No. 241, párr. 67.</w:t>
      </w:r>
    </w:p>
  </w:footnote>
  <w:footnote w:id="15">
    <w:p w14:paraId="39A49639" w14:textId="77777777" w:rsidR="009B39E4" w:rsidRPr="0011499C" w:rsidRDefault="009B39E4" w:rsidP="009B39E4">
      <w:pPr>
        <w:pStyle w:val="Textonotapie"/>
        <w:jc w:val="both"/>
        <w:rPr>
          <w:rFonts w:ascii="Verdana" w:hAnsi="Verdana"/>
          <w:sz w:val="16"/>
          <w:szCs w:val="16"/>
          <w:highlight w:val="red"/>
        </w:rPr>
      </w:pPr>
      <w:r w:rsidRPr="00415030">
        <w:rPr>
          <w:rStyle w:val="Refdenotaalpie"/>
          <w:szCs w:val="16"/>
        </w:rPr>
        <w:footnoteRef/>
      </w:r>
      <w:r w:rsidRPr="00415030">
        <w:rPr>
          <w:rFonts w:ascii="Verdana" w:hAnsi="Verdana"/>
          <w:sz w:val="16"/>
          <w:szCs w:val="16"/>
        </w:rPr>
        <w:t xml:space="preserve"> </w:t>
      </w:r>
      <w:r w:rsidRPr="00415030">
        <w:rPr>
          <w:rFonts w:ascii="Verdana" w:hAnsi="Verdana"/>
          <w:sz w:val="16"/>
          <w:szCs w:val="16"/>
        </w:rPr>
        <w:tab/>
        <w:t xml:space="preserve">Entre otros aspectos, la Corte ha detallado que todas las celdas deben contar con suficiente luz natural o artificial, ventilación y adecuadas condiciones de higiene y que los servicios sanitarios deben contar con condiciones de higiene y privacidad. </w:t>
      </w:r>
      <w:r w:rsidRPr="00415030">
        <w:rPr>
          <w:rFonts w:ascii="Verdana" w:hAnsi="Verdana"/>
          <w:i/>
          <w:iCs/>
          <w:sz w:val="16"/>
          <w:szCs w:val="16"/>
        </w:rPr>
        <w:t xml:space="preserve">Cfr. Caso Montero Aranguren y otros (Retén de Catia) Vs. Venezuela. Excepción Preliminar, Fondo, Reparaciones y Costas. </w:t>
      </w:r>
      <w:r w:rsidRPr="00415030">
        <w:rPr>
          <w:rFonts w:ascii="Verdana" w:hAnsi="Verdana"/>
          <w:iCs/>
          <w:sz w:val="16"/>
          <w:szCs w:val="16"/>
        </w:rPr>
        <w:t xml:space="preserve">Sentencia de 5 de julio de 2006. </w:t>
      </w:r>
      <w:r w:rsidRPr="00415030">
        <w:rPr>
          <w:rFonts w:ascii="Verdana" w:hAnsi="Verdana"/>
          <w:sz w:val="16"/>
          <w:szCs w:val="16"/>
        </w:rPr>
        <w:t>Serie C No.150,</w:t>
      </w:r>
      <w:r w:rsidRPr="00415030">
        <w:rPr>
          <w:rFonts w:ascii="Verdana" w:hAnsi="Verdana"/>
          <w:i/>
          <w:iCs/>
          <w:sz w:val="16"/>
          <w:szCs w:val="16"/>
        </w:rPr>
        <w:t xml:space="preserve"> </w:t>
      </w:r>
      <w:r w:rsidRPr="00415030">
        <w:rPr>
          <w:rFonts w:ascii="Verdana" w:hAnsi="Verdana"/>
          <w:sz w:val="16"/>
          <w:szCs w:val="16"/>
        </w:rPr>
        <w:t>párr. 146</w:t>
      </w:r>
      <w:r>
        <w:rPr>
          <w:rFonts w:ascii="Verdana" w:hAnsi="Verdana"/>
          <w:sz w:val="16"/>
          <w:szCs w:val="16"/>
        </w:rPr>
        <w:t>;</w:t>
      </w:r>
      <w:r w:rsidRPr="00415030">
        <w:rPr>
          <w:rFonts w:ascii="Verdana" w:hAnsi="Verdana"/>
          <w:sz w:val="16"/>
          <w:szCs w:val="16"/>
        </w:rPr>
        <w:t xml:space="preserve"> </w:t>
      </w:r>
      <w:r w:rsidRPr="00415030">
        <w:rPr>
          <w:rFonts w:ascii="Verdana" w:hAnsi="Verdana"/>
          <w:i/>
          <w:iCs/>
          <w:sz w:val="16"/>
          <w:szCs w:val="16"/>
        </w:rPr>
        <w:t xml:space="preserve">Caso del Penal Miguel Castro </w:t>
      </w:r>
      <w:proofErr w:type="spellStart"/>
      <w:r w:rsidRPr="00415030">
        <w:rPr>
          <w:rFonts w:ascii="Verdana" w:hAnsi="Verdana"/>
          <w:i/>
          <w:iCs/>
          <w:sz w:val="16"/>
          <w:szCs w:val="16"/>
        </w:rPr>
        <w:t>Castro</w:t>
      </w:r>
      <w:proofErr w:type="spellEnd"/>
      <w:r w:rsidRPr="00415030">
        <w:rPr>
          <w:rFonts w:ascii="Verdana" w:hAnsi="Verdana"/>
          <w:sz w:val="16"/>
          <w:szCs w:val="16"/>
        </w:rPr>
        <w:t xml:space="preserve">, </w:t>
      </w:r>
      <w:r w:rsidRPr="00415030">
        <w:rPr>
          <w:rFonts w:ascii="Verdana" w:hAnsi="Verdana"/>
          <w:i/>
          <w:iCs/>
          <w:sz w:val="16"/>
          <w:szCs w:val="16"/>
        </w:rPr>
        <w:t>supra</w:t>
      </w:r>
      <w:r w:rsidRPr="00415030">
        <w:rPr>
          <w:rFonts w:ascii="Verdana" w:hAnsi="Verdana"/>
          <w:sz w:val="16"/>
          <w:szCs w:val="16"/>
        </w:rPr>
        <w:t xml:space="preserve"> nota 1,</w:t>
      </w:r>
      <w:r w:rsidRPr="00415030">
        <w:rPr>
          <w:rFonts w:ascii="Verdana" w:hAnsi="Verdana"/>
          <w:i/>
          <w:iCs/>
          <w:sz w:val="16"/>
          <w:szCs w:val="16"/>
        </w:rPr>
        <w:t xml:space="preserve"> </w:t>
      </w:r>
      <w:r w:rsidRPr="00415030">
        <w:rPr>
          <w:rFonts w:ascii="Verdana" w:hAnsi="Verdana"/>
          <w:sz w:val="16"/>
          <w:szCs w:val="16"/>
        </w:rPr>
        <w:t xml:space="preserve">párr. 315, y </w:t>
      </w:r>
      <w:r w:rsidRPr="00415030">
        <w:rPr>
          <w:rFonts w:ascii="Verdana" w:hAnsi="Verdana"/>
          <w:i/>
          <w:iCs/>
          <w:sz w:val="16"/>
          <w:szCs w:val="16"/>
        </w:rPr>
        <w:t>Caso Pacheco Teruel y otros Vs. Honduras, supra</w:t>
      </w:r>
      <w:r w:rsidRPr="00415030">
        <w:rPr>
          <w:rFonts w:ascii="Verdana" w:hAnsi="Verdana"/>
          <w:sz w:val="16"/>
          <w:szCs w:val="16"/>
        </w:rPr>
        <w:t xml:space="preserve"> nota, párr. 67.</w:t>
      </w:r>
    </w:p>
  </w:footnote>
  <w:footnote w:id="16">
    <w:p w14:paraId="7A23CE03" w14:textId="77777777" w:rsidR="009B39E4" w:rsidRPr="0011499C" w:rsidRDefault="009B39E4" w:rsidP="009B39E4">
      <w:pPr>
        <w:pStyle w:val="Textonotapie"/>
        <w:jc w:val="both"/>
        <w:rPr>
          <w:rFonts w:ascii="Verdana" w:hAnsi="Verdana"/>
          <w:sz w:val="16"/>
          <w:szCs w:val="16"/>
          <w:highlight w:val="red"/>
        </w:rPr>
      </w:pPr>
      <w:r w:rsidRPr="002E2BC9">
        <w:rPr>
          <w:rStyle w:val="Refdenotaalpie"/>
          <w:szCs w:val="16"/>
        </w:rPr>
        <w:footnoteRef/>
      </w:r>
      <w:r w:rsidRPr="002E2BC9">
        <w:rPr>
          <w:rFonts w:ascii="Verdana" w:hAnsi="Verdana"/>
          <w:sz w:val="16"/>
          <w:szCs w:val="16"/>
        </w:rPr>
        <w:t xml:space="preserve"> </w:t>
      </w:r>
      <w:r w:rsidRPr="002E2BC9">
        <w:rPr>
          <w:rFonts w:ascii="Verdana" w:hAnsi="Verdana"/>
          <w:sz w:val="16"/>
          <w:szCs w:val="16"/>
        </w:rPr>
        <w:tab/>
      </w:r>
      <w:r w:rsidRPr="002E2BC9">
        <w:rPr>
          <w:rFonts w:ascii="Verdana" w:hAnsi="Verdana"/>
          <w:i/>
          <w:iCs/>
          <w:sz w:val="16"/>
          <w:szCs w:val="16"/>
        </w:rPr>
        <w:t>Cfr</w:t>
      </w:r>
      <w:r w:rsidRPr="002E2BC9">
        <w:rPr>
          <w:rFonts w:ascii="Verdana" w:hAnsi="Verdana"/>
          <w:sz w:val="16"/>
          <w:szCs w:val="16"/>
        </w:rPr>
        <w:t xml:space="preserve">. </w:t>
      </w:r>
      <w:r w:rsidRPr="002E2BC9">
        <w:rPr>
          <w:rFonts w:ascii="Verdana" w:hAnsi="Verdana"/>
          <w:i/>
          <w:sz w:val="16"/>
          <w:szCs w:val="16"/>
        </w:rPr>
        <w:t>Caso Cantoral Benavides Vs. Perú. Fondo</w:t>
      </w:r>
      <w:r w:rsidRPr="002E2BC9">
        <w:rPr>
          <w:rFonts w:ascii="Verdana" w:hAnsi="Verdana"/>
          <w:sz w:val="16"/>
          <w:szCs w:val="16"/>
        </w:rPr>
        <w:t xml:space="preserve">. Sentencia de 18 de agosto de 2000. Serie C No. 69, </w:t>
      </w:r>
      <w:proofErr w:type="spellStart"/>
      <w:r w:rsidRPr="002E2BC9">
        <w:rPr>
          <w:rFonts w:ascii="Verdana" w:hAnsi="Verdana"/>
          <w:sz w:val="16"/>
          <w:szCs w:val="16"/>
        </w:rPr>
        <w:t>párrs</w:t>
      </w:r>
      <w:proofErr w:type="spellEnd"/>
      <w:r w:rsidRPr="002E2BC9">
        <w:rPr>
          <w:rFonts w:ascii="Verdana" w:hAnsi="Verdana"/>
          <w:sz w:val="16"/>
          <w:szCs w:val="16"/>
        </w:rPr>
        <w:t xml:space="preserve">. 85 y 86., y </w:t>
      </w:r>
      <w:r w:rsidRPr="002E2BC9">
        <w:rPr>
          <w:rFonts w:ascii="Verdana" w:hAnsi="Verdana"/>
          <w:i/>
          <w:iCs/>
          <w:sz w:val="16"/>
          <w:szCs w:val="16"/>
        </w:rPr>
        <w:t>Caso Pacheco Teruel y otros Vs. Honduras, supra</w:t>
      </w:r>
      <w:r w:rsidRPr="002E2BC9">
        <w:rPr>
          <w:rFonts w:ascii="Verdana" w:hAnsi="Verdana"/>
          <w:sz w:val="16"/>
          <w:szCs w:val="16"/>
        </w:rPr>
        <w:t xml:space="preserve"> nota, párr. 67.</w:t>
      </w:r>
    </w:p>
  </w:footnote>
  <w:footnote w:id="17">
    <w:p w14:paraId="4AA349F7" w14:textId="77777777" w:rsidR="009B39E4" w:rsidRPr="0011499C" w:rsidRDefault="009B39E4" w:rsidP="009B39E4">
      <w:pPr>
        <w:pStyle w:val="Textonotapie"/>
        <w:jc w:val="both"/>
        <w:rPr>
          <w:rFonts w:ascii="Verdana" w:hAnsi="Verdana"/>
          <w:sz w:val="16"/>
          <w:szCs w:val="16"/>
          <w:highlight w:val="red"/>
        </w:rPr>
      </w:pPr>
      <w:r w:rsidRPr="002E2BC9">
        <w:rPr>
          <w:rStyle w:val="Refdenotaalpie"/>
          <w:szCs w:val="16"/>
        </w:rPr>
        <w:footnoteRef/>
      </w:r>
      <w:r w:rsidRPr="002E2BC9">
        <w:rPr>
          <w:rFonts w:ascii="Verdana" w:hAnsi="Verdana"/>
          <w:sz w:val="16"/>
          <w:szCs w:val="16"/>
        </w:rPr>
        <w:t xml:space="preserve"> </w:t>
      </w:r>
      <w:r w:rsidRPr="002E2BC9">
        <w:rPr>
          <w:rFonts w:ascii="Verdana" w:hAnsi="Verdana"/>
          <w:sz w:val="16"/>
          <w:szCs w:val="16"/>
        </w:rPr>
        <w:tab/>
      </w:r>
      <w:r w:rsidRPr="002E2BC9">
        <w:rPr>
          <w:rFonts w:ascii="Verdana" w:hAnsi="Verdana"/>
          <w:i/>
          <w:iCs/>
          <w:sz w:val="16"/>
          <w:szCs w:val="16"/>
        </w:rPr>
        <w:t>Cfr</w:t>
      </w:r>
      <w:r w:rsidRPr="002E2BC9">
        <w:rPr>
          <w:rFonts w:ascii="Verdana" w:hAnsi="Verdana"/>
          <w:sz w:val="16"/>
          <w:szCs w:val="16"/>
        </w:rPr>
        <w:t xml:space="preserve">. </w:t>
      </w:r>
      <w:r w:rsidRPr="002E2BC9">
        <w:rPr>
          <w:rFonts w:ascii="Verdana" w:hAnsi="Verdana"/>
          <w:i/>
          <w:sz w:val="16"/>
          <w:szCs w:val="16"/>
        </w:rPr>
        <w:t>Caso Vélez Loor Vs. Panamá. Excepciones Preliminares, Fondo, Reparaciones y Costas</w:t>
      </w:r>
      <w:r w:rsidRPr="002E2BC9">
        <w:rPr>
          <w:rFonts w:ascii="Verdana" w:hAnsi="Verdana"/>
          <w:sz w:val="16"/>
          <w:szCs w:val="16"/>
        </w:rPr>
        <w:t xml:space="preserve">. Sentencia de 23 de noviembre de 2010. Serie C No. 218, </w:t>
      </w:r>
      <w:proofErr w:type="spellStart"/>
      <w:r w:rsidRPr="002E2BC9">
        <w:rPr>
          <w:rFonts w:ascii="Verdana" w:hAnsi="Verdana"/>
          <w:sz w:val="16"/>
          <w:szCs w:val="16"/>
        </w:rPr>
        <w:t>párrs</w:t>
      </w:r>
      <w:proofErr w:type="spellEnd"/>
      <w:r w:rsidRPr="002E2BC9">
        <w:rPr>
          <w:rFonts w:ascii="Verdana" w:hAnsi="Verdana"/>
          <w:sz w:val="16"/>
          <w:szCs w:val="16"/>
        </w:rPr>
        <w:t xml:space="preserve">. 215 y 216, y </w:t>
      </w:r>
      <w:r w:rsidRPr="002E2BC9">
        <w:rPr>
          <w:rFonts w:ascii="Verdana" w:hAnsi="Verdana"/>
          <w:i/>
          <w:iCs/>
          <w:sz w:val="16"/>
          <w:szCs w:val="16"/>
        </w:rPr>
        <w:t>Caso Pacheco Teruel y otros Vs. Honduras, supra</w:t>
      </w:r>
      <w:r w:rsidRPr="002E2BC9">
        <w:rPr>
          <w:rFonts w:ascii="Verdana" w:hAnsi="Verdana"/>
          <w:sz w:val="16"/>
          <w:szCs w:val="16"/>
        </w:rPr>
        <w:t xml:space="preserve"> nota, párr. 67.</w:t>
      </w:r>
    </w:p>
  </w:footnote>
  <w:footnote w:id="18">
    <w:p w14:paraId="755972C0" w14:textId="77777777" w:rsidR="009B39E4" w:rsidRPr="009C672D" w:rsidRDefault="009B39E4" w:rsidP="009B39E4">
      <w:pPr>
        <w:pStyle w:val="Textonotapie"/>
        <w:jc w:val="both"/>
        <w:rPr>
          <w:rFonts w:ascii="Verdana" w:hAnsi="Verdana"/>
          <w:sz w:val="16"/>
          <w:szCs w:val="16"/>
        </w:rPr>
      </w:pPr>
      <w:r w:rsidRPr="00F33782">
        <w:rPr>
          <w:rStyle w:val="Refdenotaalpie"/>
          <w:szCs w:val="16"/>
        </w:rPr>
        <w:footnoteRef/>
      </w:r>
      <w:r w:rsidRPr="00F33782">
        <w:rPr>
          <w:rFonts w:ascii="Verdana" w:hAnsi="Verdana"/>
          <w:sz w:val="16"/>
          <w:szCs w:val="16"/>
        </w:rPr>
        <w:t xml:space="preserve"> </w:t>
      </w:r>
      <w:r w:rsidRPr="00F33782">
        <w:rPr>
          <w:rFonts w:ascii="Verdana" w:hAnsi="Verdana"/>
          <w:sz w:val="16"/>
          <w:szCs w:val="16"/>
        </w:rPr>
        <w:tab/>
      </w:r>
      <w:r w:rsidRPr="00F33782">
        <w:rPr>
          <w:rFonts w:ascii="Verdana" w:hAnsi="Verdana"/>
          <w:i/>
          <w:iCs/>
          <w:sz w:val="16"/>
          <w:szCs w:val="16"/>
        </w:rPr>
        <w:t>Cfr. Caso López Álvarez Vs. Honduras. Fondo, Reparaciones y Costas.</w:t>
      </w:r>
      <w:r w:rsidRPr="00F33782">
        <w:rPr>
          <w:rFonts w:ascii="Verdana" w:hAnsi="Verdana"/>
          <w:sz w:val="16"/>
          <w:szCs w:val="16"/>
        </w:rPr>
        <w:t xml:space="preserve"> Sentencia de 1 de febrero </w:t>
      </w:r>
      <w:r w:rsidRPr="009C672D">
        <w:rPr>
          <w:rFonts w:ascii="Verdana" w:hAnsi="Verdana"/>
          <w:sz w:val="16"/>
          <w:szCs w:val="16"/>
        </w:rPr>
        <w:t xml:space="preserve">de 2006. Serie C No. 141, párr. 209, y </w:t>
      </w:r>
      <w:r w:rsidRPr="009C672D">
        <w:rPr>
          <w:rFonts w:ascii="Verdana" w:hAnsi="Verdana"/>
          <w:i/>
          <w:iCs/>
          <w:sz w:val="16"/>
          <w:szCs w:val="16"/>
        </w:rPr>
        <w:t>Caso Pacheco Teruel y otros Vs. Honduras, supra</w:t>
      </w:r>
      <w:r w:rsidRPr="009C672D">
        <w:rPr>
          <w:rFonts w:ascii="Verdana" w:hAnsi="Verdana"/>
          <w:sz w:val="16"/>
          <w:szCs w:val="16"/>
        </w:rPr>
        <w:t xml:space="preserve"> nota, párr. 67.</w:t>
      </w:r>
    </w:p>
  </w:footnote>
  <w:footnote w:id="19">
    <w:p w14:paraId="039430C8" w14:textId="77777777" w:rsidR="009B39E4" w:rsidRPr="009C672D" w:rsidRDefault="009B39E4" w:rsidP="009B39E4">
      <w:pPr>
        <w:pStyle w:val="Textonotapie"/>
        <w:jc w:val="both"/>
        <w:rPr>
          <w:rFonts w:ascii="Verdana" w:hAnsi="Verdana"/>
          <w:sz w:val="16"/>
          <w:szCs w:val="16"/>
        </w:rPr>
      </w:pPr>
      <w:r w:rsidRPr="009C672D">
        <w:rPr>
          <w:rStyle w:val="Refdenotaalpie"/>
          <w:szCs w:val="16"/>
        </w:rPr>
        <w:footnoteRef/>
      </w:r>
      <w:r w:rsidRPr="009C672D">
        <w:rPr>
          <w:rFonts w:ascii="Verdana" w:hAnsi="Verdana"/>
          <w:sz w:val="16"/>
          <w:szCs w:val="16"/>
        </w:rPr>
        <w:t xml:space="preserve"> </w:t>
      </w:r>
      <w:r w:rsidRPr="009C672D">
        <w:rPr>
          <w:rFonts w:ascii="Verdana" w:hAnsi="Verdana"/>
          <w:sz w:val="16"/>
          <w:szCs w:val="16"/>
        </w:rPr>
        <w:tab/>
      </w:r>
      <w:r w:rsidRPr="009C672D">
        <w:rPr>
          <w:rFonts w:ascii="Verdana" w:hAnsi="Verdana"/>
          <w:i/>
          <w:sz w:val="16"/>
          <w:szCs w:val="16"/>
        </w:rPr>
        <w:t>Cfr</w:t>
      </w:r>
      <w:r w:rsidRPr="009C672D">
        <w:rPr>
          <w:rFonts w:ascii="Verdana" w:hAnsi="Verdana"/>
          <w:iCs/>
          <w:sz w:val="16"/>
          <w:szCs w:val="16"/>
        </w:rPr>
        <w:t xml:space="preserve">. </w:t>
      </w:r>
      <w:r w:rsidRPr="009C672D">
        <w:rPr>
          <w:rFonts w:ascii="Verdana" w:hAnsi="Verdana"/>
          <w:i/>
          <w:iCs/>
          <w:sz w:val="16"/>
          <w:szCs w:val="16"/>
        </w:rPr>
        <w:t>Caso Tibi Vs. Ecuador. Excepciones Preliminares, Fondo, Reparaciones y Costas</w:t>
      </w:r>
      <w:r w:rsidRPr="009C672D">
        <w:rPr>
          <w:rFonts w:ascii="Verdana" w:hAnsi="Verdana"/>
          <w:iCs/>
          <w:sz w:val="16"/>
          <w:szCs w:val="16"/>
        </w:rPr>
        <w:t xml:space="preserve">. Sentencia de 7 de septiembre de 2004. Serie C No. 114, párr. 156; </w:t>
      </w:r>
      <w:r w:rsidRPr="009C672D">
        <w:rPr>
          <w:rFonts w:ascii="Verdana" w:hAnsi="Verdana"/>
          <w:i/>
          <w:sz w:val="16"/>
          <w:szCs w:val="16"/>
        </w:rPr>
        <w:t xml:space="preserve">Caso del Penal Miguel Castro </w:t>
      </w:r>
      <w:proofErr w:type="spellStart"/>
      <w:r w:rsidRPr="009C672D">
        <w:rPr>
          <w:rFonts w:ascii="Verdana" w:hAnsi="Verdana"/>
          <w:i/>
          <w:sz w:val="16"/>
          <w:szCs w:val="16"/>
        </w:rPr>
        <w:t>Castro</w:t>
      </w:r>
      <w:proofErr w:type="spellEnd"/>
      <w:r w:rsidRPr="009C672D">
        <w:rPr>
          <w:rFonts w:ascii="Verdana" w:hAnsi="Verdana"/>
          <w:i/>
          <w:sz w:val="16"/>
          <w:szCs w:val="16"/>
        </w:rPr>
        <w:t xml:space="preserve"> Vs. Perú</w:t>
      </w:r>
      <w:r w:rsidRPr="009C672D">
        <w:rPr>
          <w:rFonts w:ascii="Verdana" w:hAnsi="Verdana"/>
          <w:iCs/>
          <w:sz w:val="16"/>
          <w:szCs w:val="16"/>
        </w:rPr>
        <w:t xml:space="preserve">, supra </w:t>
      </w:r>
      <w:r w:rsidRPr="009C672D">
        <w:rPr>
          <w:rFonts w:ascii="Verdana" w:hAnsi="Verdana"/>
          <w:sz w:val="16"/>
          <w:szCs w:val="16"/>
        </w:rPr>
        <w:t xml:space="preserve">nota 1, párr. 301; </w:t>
      </w:r>
      <w:r w:rsidRPr="009C672D">
        <w:rPr>
          <w:rFonts w:ascii="Verdana" w:hAnsi="Verdana"/>
          <w:i/>
          <w:sz w:val="16"/>
          <w:szCs w:val="16"/>
        </w:rPr>
        <w:t>Caso Pacheco Teruel y otros Vs. Honduras, supra</w:t>
      </w:r>
      <w:r w:rsidRPr="009C672D">
        <w:rPr>
          <w:rFonts w:ascii="Verdana" w:hAnsi="Verdana"/>
          <w:sz w:val="16"/>
          <w:szCs w:val="16"/>
        </w:rPr>
        <w:t xml:space="preserve"> nota, párr. 67, y </w:t>
      </w:r>
      <w:r w:rsidRPr="009C672D">
        <w:rPr>
          <w:rFonts w:ascii="Verdana" w:hAnsi="Verdana"/>
          <w:i/>
          <w:iCs/>
          <w:sz w:val="16"/>
          <w:szCs w:val="16"/>
        </w:rPr>
        <w:t>Caso Chinchilla Sandoval y otros Vs. Guatemala, supra</w:t>
      </w:r>
      <w:r w:rsidRPr="009C672D">
        <w:rPr>
          <w:rFonts w:ascii="Verdana" w:hAnsi="Verdana"/>
          <w:sz w:val="16"/>
          <w:szCs w:val="16"/>
        </w:rPr>
        <w:t xml:space="preserve"> nota, párr. 189.</w:t>
      </w:r>
    </w:p>
  </w:footnote>
  <w:footnote w:id="20">
    <w:p w14:paraId="655EAD32" w14:textId="77777777" w:rsidR="009B39E4" w:rsidRPr="009C672D" w:rsidRDefault="009B39E4" w:rsidP="009B39E4">
      <w:pPr>
        <w:pStyle w:val="Textonotapie"/>
        <w:jc w:val="both"/>
        <w:rPr>
          <w:rFonts w:ascii="Verdana" w:hAnsi="Verdana"/>
          <w:sz w:val="16"/>
          <w:szCs w:val="16"/>
        </w:rPr>
      </w:pPr>
      <w:r w:rsidRPr="009C672D">
        <w:rPr>
          <w:rStyle w:val="Refdenotaalpie"/>
          <w:szCs w:val="16"/>
        </w:rPr>
        <w:footnoteRef/>
      </w:r>
      <w:r w:rsidRPr="009C672D">
        <w:rPr>
          <w:rFonts w:ascii="Verdana" w:hAnsi="Verdana"/>
          <w:sz w:val="16"/>
          <w:szCs w:val="16"/>
        </w:rPr>
        <w:t xml:space="preserve"> </w:t>
      </w:r>
      <w:r w:rsidRPr="009C672D">
        <w:rPr>
          <w:rFonts w:ascii="Verdana" w:hAnsi="Verdana"/>
          <w:sz w:val="16"/>
          <w:szCs w:val="16"/>
          <w:lang w:val="es"/>
        </w:rPr>
        <w:tab/>
      </w:r>
      <w:r w:rsidRPr="009C672D">
        <w:rPr>
          <w:rFonts w:ascii="Verdana" w:hAnsi="Verdana"/>
          <w:i/>
          <w:iCs/>
          <w:sz w:val="16"/>
          <w:szCs w:val="16"/>
        </w:rPr>
        <w:t>Cfr. Caso Chinchilla Sandoval y otros Vs. Guatemala, supra</w:t>
      </w:r>
      <w:r w:rsidRPr="009C672D">
        <w:rPr>
          <w:rFonts w:ascii="Verdana" w:hAnsi="Verdana"/>
          <w:sz w:val="16"/>
          <w:szCs w:val="16"/>
        </w:rPr>
        <w:t xml:space="preserve"> nota, </w:t>
      </w:r>
      <w:proofErr w:type="spellStart"/>
      <w:r w:rsidRPr="009C672D">
        <w:rPr>
          <w:rFonts w:ascii="Verdana" w:hAnsi="Verdana"/>
          <w:sz w:val="16"/>
          <w:szCs w:val="16"/>
        </w:rPr>
        <w:t>párrs</w:t>
      </w:r>
      <w:proofErr w:type="spellEnd"/>
      <w:r w:rsidRPr="009C672D">
        <w:rPr>
          <w:rFonts w:ascii="Verdana" w:hAnsi="Verdana"/>
          <w:sz w:val="16"/>
          <w:szCs w:val="16"/>
        </w:rPr>
        <w:t>. 184 y 185.</w:t>
      </w:r>
    </w:p>
  </w:footnote>
  <w:footnote w:id="21">
    <w:p w14:paraId="7C275650" w14:textId="77777777" w:rsidR="009B39E4" w:rsidRPr="00221D27" w:rsidRDefault="009B39E4" w:rsidP="009B39E4">
      <w:pPr>
        <w:pStyle w:val="Textonotapie"/>
        <w:jc w:val="both"/>
        <w:rPr>
          <w:rFonts w:ascii="Verdana" w:hAnsi="Verdana"/>
          <w:sz w:val="16"/>
          <w:szCs w:val="16"/>
        </w:rPr>
      </w:pPr>
      <w:r w:rsidRPr="009C672D">
        <w:rPr>
          <w:rStyle w:val="Refdenotaalpie"/>
          <w:szCs w:val="16"/>
        </w:rPr>
        <w:footnoteRef/>
      </w:r>
      <w:r w:rsidRPr="009C672D">
        <w:rPr>
          <w:rFonts w:ascii="Verdana" w:hAnsi="Verdana"/>
          <w:sz w:val="16"/>
          <w:szCs w:val="16"/>
        </w:rPr>
        <w:t xml:space="preserve"> </w:t>
      </w:r>
      <w:r w:rsidRPr="009C672D">
        <w:rPr>
          <w:rFonts w:ascii="Verdana" w:hAnsi="Verdana"/>
          <w:sz w:val="16"/>
          <w:szCs w:val="16"/>
        </w:rPr>
        <w:tab/>
      </w:r>
      <w:r w:rsidRPr="009C672D">
        <w:rPr>
          <w:rFonts w:ascii="Verdana" w:hAnsi="Verdana"/>
          <w:i/>
          <w:iCs/>
          <w:sz w:val="16"/>
          <w:szCs w:val="16"/>
        </w:rPr>
        <w:t>Cfr. Caso Chinchilla Sandoval y otros Vs. Guatemala, supra</w:t>
      </w:r>
      <w:r w:rsidRPr="009C672D">
        <w:rPr>
          <w:rFonts w:ascii="Verdana" w:hAnsi="Verdana"/>
          <w:sz w:val="16"/>
          <w:szCs w:val="16"/>
        </w:rPr>
        <w:t xml:space="preserve"> nota, párr. </w:t>
      </w:r>
      <w:r w:rsidRPr="009C672D">
        <w:rPr>
          <w:rFonts w:ascii="Verdana" w:hAnsi="Verdana"/>
          <w:sz w:val="16"/>
          <w:szCs w:val="16"/>
          <w:lang w:val="es-ES"/>
        </w:rPr>
        <w:t>199.</w:t>
      </w:r>
      <w:r w:rsidRPr="00221D27">
        <w:rPr>
          <w:rFonts w:ascii="Verdana" w:hAnsi="Verdana"/>
          <w:sz w:val="16"/>
          <w:szCs w:val="16"/>
          <w:lang w:val="es-ES"/>
        </w:rPr>
        <w:t xml:space="preserve"> </w:t>
      </w:r>
    </w:p>
  </w:footnote>
  <w:footnote w:id="22">
    <w:p w14:paraId="32B4FFC4" w14:textId="77777777" w:rsidR="009B39E4" w:rsidRPr="006349BA" w:rsidRDefault="009B39E4" w:rsidP="009B39E4">
      <w:pPr>
        <w:pStyle w:val="Textonotapie"/>
        <w:jc w:val="both"/>
        <w:rPr>
          <w:rFonts w:ascii="Verdana" w:hAnsi="Verdana"/>
          <w:sz w:val="16"/>
          <w:szCs w:val="16"/>
        </w:rPr>
      </w:pPr>
      <w:r w:rsidRPr="006349BA">
        <w:rPr>
          <w:rStyle w:val="Refdenotaalpie"/>
          <w:szCs w:val="16"/>
        </w:rPr>
        <w:footnoteRef/>
      </w:r>
      <w:r w:rsidRPr="006349BA">
        <w:rPr>
          <w:rFonts w:ascii="Verdana" w:hAnsi="Verdana"/>
          <w:sz w:val="16"/>
          <w:szCs w:val="16"/>
        </w:rPr>
        <w:t xml:space="preserve"> </w:t>
      </w:r>
      <w:r w:rsidRPr="006349BA">
        <w:rPr>
          <w:rFonts w:ascii="Verdana" w:hAnsi="Verdana"/>
          <w:sz w:val="16"/>
          <w:szCs w:val="16"/>
        </w:rPr>
        <w:tab/>
      </w:r>
      <w:r w:rsidRPr="006349BA">
        <w:rPr>
          <w:rFonts w:ascii="Verdana" w:hAnsi="Verdana"/>
          <w:i/>
          <w:iCs/>
          <w:sz w:val="16"/>
          <w:szCs w:val="16"/>
        </w:rPr>
        <w:t>Cfr. C</w:t>
      </w:r>
      <w:r w:rsidRPr="006349BA">
        <w:rPr>
          <w:rFonts w:ascii="Verdana" w:hAnsi="Verdana" w:cs="Arial"/>
          <w:i/>
          <w:iCs/>
          <w:sz w:val="16"/>
          <w:szCs w:val="16"/>
          <w:shd w:val="clear" w:color="auto" w:fill="FFFFFF"/>
        </w:rPr>
        <w:t>aso Barrios Altos y Caso La Cantuta Vs. Perú. Supervisión de Cumplimiento de Sentencia.</w:t>
      </w:r>
      <w:r w:rsidRPr="006349BA">
        <w:rPr>
          <w:rFonts w:ascii="Verdana" w:hAnsi="Verdana" w:cs="Arial"/>
          <w:sz w:val="16"/>
          <w:szCs w:val="16"/>
          <w:shd w:val="clear" w:color="auto" w:fill="FFFFFF"/>
        </w:rPr>
        <w:t xml:space="preserve"> Resolución de la Corte Interamericana de Derechos Humanos de 30 de mayo de 2018, Considerando 52.</w:t>
      </w:r>
    </w:p>
  </w:footnote>
  <w:footnote w:id="23">
    <w:p w14:paraId="1D7E5FDF" w14:textId="77777777" w:rsidR="0061158A" w:rsidRPr="00221D27" w:rsidRDefault="0061158A" w:rsidP="0061158A">
      <w:pPr>
        <w:pStyle w:val="Textonotapie"/>
        <w:jc w:val="both"/>
        <w:rPr>
          <w:rFonts w:ascii="Verdana" w:hAnsi="Verdana"/>
          <w:sz w:val="16"/>
          <w:szCs w:val="16"/>
        </w:rPr>
      </w:pPr>
      <w:r w:rsidRPr="006349BA">
        <w:rPr>
          <w:rStyle w:val="Refdenotaalpie"/>
          <w:szCs w:val="16"/>
        </w:rPr>
        <w:footnoteRef/>
      </w:r>
      <w:r w:rsidRPr="006349BA">
        <w:rPr>
          <w:rFonts w:ascii="Verdana" w:hAnsi="Verdana"/>
          <w:sz w:val="16"/>
          <w:szCs w:val="16"/>
        </w:rPr>
        <w:t xml:space="preserve"> </w:t>
      </w:r>
      <w:r w:rsidRPr="006349BA">
        <w:rPr>
          <w:rFonts w:ascii="Verdana" w:hAnsi="Verdana"/>
          <w:sz w:val="16"/>
          <w:szCs w:val="16"/>
        </w:rPr>
        <w:tab/>
      </w:r>
      <w:r w:rsidRPr="006349BA">
        <w:rPr>
          <w:rFonts w:ascii="Verdana" w:hAnsi="Verdana"/>
          <w:i/>
          <w:iCs/>
          <w:sz w:val="16"/>
          <w:szCs w:val="16"/>
        </w:rPr>
        <w:t xml:space="preserve">Cfr. </w:t>
      </w:r>
      <w:r w:rsidRPr="006349BA">
        <w:rPr>
          <w:rFonts w:ascii="Verdana" w:hAnsi="Verdana"/>
          <w:i/>
          <w:iCs/>
          <w:sz w:val="16"/>
          <w:szCs w:val="16"/>
          <w:shd w:val="clear" w:color="auto" w:fill="FFFFFF"/>
        </w:rPr>
        <w:t>Caso Barrios Altos y Caso La Cantuta Vs. Perú, supra nota</w:t>
      </w:r>
      <w:r w:rsidRPr="006349BA">
        <w:rPr>
          <w:rFonts w:ascii="Verdana" w:hAnsi="Verdana"/>
          <w:sz w:val="16"/>
          <w:szCs w:val="16"/>
          <w:shd w:val="clear" w:color="auto" w:fill="FFFFFF"/>
        </w:rPr>
        <w:t>, Considerandos 53.</w:t>
      </w:r>
    </w:p>
  </w:footnote>
  <w:footnote w:id="24">
    <w:p w14:paraId="519890A1" w14:textId="77777777" w:rsidR="00D90211" w:rsidRPr="00221D27" w:rsidRDefault="00D90211" w:rsidP="00D90211">
      <w:pPr>
        <w:pStyle w:val="Textonotapie"/>
        <w:jc w:val="both"/>
        <w:rPr>
          <w:rFonts w:ascii="Verdana" w:hAnsi="Verdana"/>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t xml:space="preserve">Los intervinientes comunes no precisaron si el señor Arturo Chumpitaz Aguirre presenta afecciones de este tipo. </w:t>
      </w:r>
    </w:p>
  </w:footnote>
  <w:footnote w:id="25">
    <w:p w14:paraId="08F45BC0" w14:textId="2FFC2BFD" w:rsidR="006A5B8D" w:rsidRPr="00221D27" w:rsidRDefault="006A5B8D" w:rsidP="00357359">
      <w:pPr>
        <w:pStyle w:val="Textonotapie"/>
        <w:jc w:val="both"/>
        <w:rPr>
          <w:rFonts w:ascii="Verdana" w:hAnsi="Verdana"/>
          <w:sz w:val="16"/>
          <w:szCs w:val="16"/>
          <w:lang w:val="es-AR"/>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r>
      <w:r w:rsidR="00802B51">
        <w:rPr>
          <w:rFonts w:ascii="Verdana" w:hAnsi="Verdana"/>
          <w:sz w:val="16"/>
          <w:szCs w:val="16"/>
        </w:rPr>
        <w:t>La información científica disponible indica que</w:t>
      </w:r>
      <w:r w:rsidRPr="00221D27">
        <w:rPr>
          <w:rFonts w:ascii="Verdana" w:hAnsi="Verdana"/>
          <w:sz w:val="16"/>
          <w:szCs w:val="16"/>
        </w:rPr>
        <w:t xml:space="preserve"> “el riesgo de enfermarse gravemente a causa del COVID-19 aumenta con la edad”. Así, “las personas en sus 50 tienen mayor riesgo de enfermarse gravemente que las personas en sus 40” y “las personas en sus 60 o 70, en general, tienen mayor riesgo de enfermarse gravemente que las personas en sus 50”.</w:t>
      </w:r>
      <w:r w:rsidR="00802B51">
        <w:rPr>
          <w:rFonts w:ascii="Verdana" w:hAnsi="Verdana"/>
          <w:sz w:val="16"/>
          <w:szCs w:val="16"/>
        </w:rPr>
        <w:t xml:space="preserve"> </w:t>
      </w:r>
      <w:r w:rsidRPr="00221D27">
        <w:rPr>
          <w:rFonts w:ascii="Verdana" w:hAnsi="Verdana"/>
          <w:i/>
          <w:sz w:val="16"/>
          <w:szCs w:val="16"/>
        </w:rPr>
        <w:t xml:space="preserve">Cfr. </w:t>
      </w:r>
      <w:r w:rsidRPr="00221D27">
        <w:rPr>
          <w:rFonts w:ascii="Verdana" w:hAnsi="Verdana"/>
          <w:sz w:val="16"/>
          <w:szCs w:val="16"/>
          <w:lang w:val="es-AR"/>
        </w:rPr>
        <w:t xml:space="preserve">Centro para el Control y la Prevención de Enfermedades (CDC), “Enfermedad del coronavirus 2019 (COVID-19). Adultos mayores”, 25 de junio de 2020. Disponible en: </w:t>
      </w:r>
      <w:hyperlink r:id="rId3" w:history="1">
        <w:r w:rsidRPr="00221D27">
          <w:rPr>
            <w:rStyle w:val="Hipervnculo"/>
            <w:rFonts w:ascii="Verdana" w:hAnsi="Verdana"/>
            <w:sz w:val="16"/>
            <w:szCs w:val="16"/>
          </w:rPr>
          <w:t>https://espanol.cdc.gov/coronavirus/2019-ncov/need-extra-precautions/older-adults.html</w:t>
        </w:r>
      </w:hyperlink>
      <w:r w:rsidR="00802B51">
        <w:rPr>
          <w:rFonts w:ascii="Verdana" w:hAnsi="Verdana"/>
          <w:sz w:val="16"/>
          <w:szCs w:val="16"/>
          <w:lang w:val="es-AR"/>
        </w:rPr>
        <w:t>.</w:t>
      </w:r>
    </w:p>
  </w:footnote>
  <w:footnote w:id="26">
    <w:p w14:paraId="21709797" w14:textId="695F1335" w:rsidR="006A5B8D" w:rsidRPr="00221D27" w:rsidRDefault="006A5B8D" w:rsidP="00357359">
      <w:pPr>
        <w:pStyle w:val="Textonotapie"/>
        <w:jc w:val="both"/>
        <w:rPr>
          <w:rFonts w:ascii="Verdana" w:hAnsi="Verdana"/>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r>
      <w:r w:rsidRPr="00221D27">
        <w:rPr>
          <w:rFonts w:ascii="Verdana" w:hAnsi="Verdana"/>
          <w:i/>
          <w:sz w:val="16"/>
          <w:szCs w:val="16"/>
        </w:rPr>
        <w:t xml:space="preserve">Cfr. </w:t>
      </w:r>
      <w:r w:rsidRPr="00221D27">
        <w:rPr>
          <w:rFonts w:ascii="Verdana" w:hAnsi="Verdana"/>
          <w:sz w:val="16"/>
          <w:szCs w:val="16"/>
        </w:rPr>
        <w:t>Organización Mundial de la Salud, “COVID-19: v</w:t>
      </w:r>
      <w:r w:rsidR="00802B51">
        <w:rPr>
          <w:rFonts w:ascii="Verdana" w:hAnsi="Verdana"/>
          <w:sz w:val="16"/>
          <w:szCs w:val="16"/>
        </w:rPr>
        <w:t xml:space="preserve">ulnerable and </w:t>
      </w:r>
      <w:proofErr w:type="spellStart"/>
      <w:r w:rsidR="00802B51">
        <w:rPr>
          <w:rFonts w:ascii="Verdana" w:hAnsi="Verdana"/>
          <w:sz w:val="16"/>
          <w:szCs w:val="16"/>
        </w:rPr>
        <w:t>high</w:t>
      </w:r>
      <w:proofErr w:type="spellEnd"/>
      <w:r w:rsidR="00802B51">
        <w:rPr>
          <w:rFonts w:ascii="Verdana" w:hAnsi="Verdana"/>
          <w:sz w:val="16"/>
          <w:szCs w:val="16"/>
        </w:rPr>
        <w:t xml:space="preserve"> </w:t>
      </w:r>
      <w:proofErr w:type="spellStart"/>
      <w:r w:rsidR="00802B51">
        <w:rPr>
          <w:rFonts w:ascii="Verdana" w:hAnsi="Verdana"/>
          <w:sz w:val="16"/>
          <w:szCs w:val="16"/>
        </w:rPr>
        <w:t>risk</w:t>
      </w:r>
      <w:proofErr w:type="spellEnd"/>
      <w:r w:rsidR="00802B51">
        <w:rPr>
          <w:rFonts w:ascii="Verdana" w:hAnsi="Verdana"/>
          <w:sz w:val="16"/>
          <w:szCs w:val="16"/>
        </w:rPr>
        <w:t xml:space="preserve"> </w:t>
      </w:r>
      <w:proofErr w:type="spellStart"/>
      <w:r w:rsidR="00802B51">
        <w:rPr>
          <w:rFonts w:ascii="Verdana" w:hAnsi="Verdana"/>
          <w:sz w:val="16"/>
          <w:szCs w:val="16"/>
        </w:rPr>
        <w:t>groups</w:t>
      </w:r>
      <w:proofErr w:type="spellEnd"/>
      <w:r w:rsidR="00802B51">
        <w:rPr>
          <w:rFonts w:ascii="Verdana" w:hAnsi="Verdana"/>
          <w:sz w:val="16"/>
          <w:szCs w:val="16"/>
        </w:rPr>
        <w:t>”. D</w:t>
      </w:r>
      <w:r w:rsidRPr="00221D27">
        <w:rPr>
          <w:rFonts w:ascii="Verdana" w:hAnsi="Verdana"/>
          <w:sz w:val="16"/>
          <w:szCs w:val="16"/>
        </w:rPr>
        <w:t xml:space="preserve">isponible en: </w:t>
      </w:r>
      <w:hyperlink r:id="rId4" w:history="1">
        <w:r w:rsidRPr="00221D27">
          <w:rPr>
            <w:rStyle w:val="Hipervnculo"/>
            <w:rFonts w:ascii="Verdana" w:hAnsi="Verdana"/>
            <w:sz w:val="16"/>
            <w:szCs w:val="16"/>
          </w:rPr>
          <w:t>https://www.who.int/westernpacific/emergencies/covid-19/information/high-risk-groups</w:t>
        </w:r>
      </w:hyperlink>
      <w:r w:rsidR="00802B51">
        <w:rPr>
          <w:rFonts w:ascii="Verdana" w:hAnsi="Verdana"/>
          <w:sz w:val="16"/>
          <w:szCs w:val="16"/>
        </w:rPr>
        <w:t>.</w:t>
      </w:r>
    </w:p>
  </w:footnote>
  <w:footnote w:id="27">
    <w:p w14:paraId="70FFB419" w14:textId="77777777" w:rsidR="006A5B8D" w:rsidRPr="00221D27" w:rsidRDefault="006A5B8D" w:rsidP="00357359">
      <w:pPr>
        <w:pStyle w:val="Textonotapie"/>
        <w:jc w:val="both"/>
        <w:rPr>
          <w:rFonts w:ascii="Verdana" w:hAnsi="Verdana"/>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t xml:space="preserve">Los intervinientes comunes no adjuntaron constancia o informe médico que dé cuenta de dicha afirmación. </w:t>
      </w:r>
    </w:p>
  </w:footnote>
  <w:footnote w:id="28">
    <w:p w14:paraId="547F2E2D" w14:textId="77777777" w:rsidR="00342689" w:rsidRPr="00221D27" w:rsidRDefault="00342689" w:rsidP="00342689">
      <w:pPr>
        <w:pStyle w:val="Textonotapie"/>
        <w:jc w:val="both"/>
        <w:rPr>
          <w:rFonts w:ascii="Verdana" w:hAnsi="Verdana"/>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r>
      <w:r w:rsidRPr="00221D27">
        <w:rPr>
          <w:rFonts w:ascii="Verdana" w:hAnsi="Verdana"/>
          <w:sz w:val="16"/>
          <w:szCs w:val="16"/>
          <w:lang w:val="es-CR"/>
        </w:rPr>
        <w:t xml:space="preserve">De los escritos más recientes presentados por el Estado y los intervinientes comunes, de 9 y 16 de junio, respectivamente, surge que </w:t>
      </w:r>
      <w:r>
        <w:rPr>
          <w:rFonts w:ascii="Verdana" w:hAnsi="Verdana"/>
          <w:sz w:val="16"/>
          <w:szCs w:val="16"/>
          <w:lang w:val="es-CR"/>
        </w:rPr>
        <w:t>dos</w:t>
      </w:r>
      <w:r w:rsidRPr="00221D27">
        <w:rPr>
          <w:rFonts w:ascii="Verdana" w:hAnsi="Verdana"/>
          <w:sz w:val="16"/>
          <w:szCs w:val="16"/>
          <w:lang w:val="es-CR"/>
        </w:rPr>
        <w:t xml:space="preserve"> de los propuestos beneficiarios se encontraban “estables”</w:t>
      </w:r>
      <w:r>
        <w:rPr>
          <w:rFonts w:ascii="Verdana" w:hAnsi="Verdana"/>
          <w:sz w:val="16"/>
          <w:szCs w:val="16"/>
          <w:lang w:val="es-CR"/>
        </w:rPr>
        <w:t>;</w:t>
      </w:r>
      <w:r w:rsidRPr="00221D27">
        <w:rPr>
          <w:rFonts w:ascii="Verdana" w:hAnsi="Verdana"/>
          <w:sz w:val="16"/>
          <w:szCs w:val="16"/>
          <w:lang w:val="es-CR"/>
        </w:rPr>
        <w:t xml:space="preserve"> </w:t>
      </w:r>
      <w:r>
        <w:rPr>
          <w:rFonts w:ascii="Verdana" w:hAnsi="Verdana"/>
          <w:sz w:val="16"/>
          <w:szCs w:val="16"/>
          <w:lang w:val="es-CR"/>
        </w:rPr>
        <w:t>un tercero refería</w:t>
      </w:r>
      <w:r w:rsidRPr="00221D27">
        <w:rPr>
          <w:rFonts w:ascii="Verdana" w:hAnsi="Verdana"/>
          <w:sz w:val="16"/>
          <w:szCs w:val="16"/>
          <w:lang w:val="es-CR"/>
        </w:rPr>
        <w:t xml:space="preserve"> encontrarse bien, e incluso los intervinientes afirmaron que </w:t>
      </w:r>
      <w:r>
        <w:rPr>
          <w:rFonts w:ascii="Verdana" w:hAnsi="Verdana"/>
          <w:sz w:val="16"/>
          <w:szCs w:val="16"/>
          <w:lang w:val="es-CR"/>
        </w:rPr>
        <w:t xml:space="preserve">los restantes </w:t>
      </w:r>
      <w:r w:rsidRPr="00221D27">
        <w:rPr>
          <w:rFonts w:ascii="Verdana" w:hAnsi="Verdana"/>
          <w:sz w:val="16"/>
          <w:szCs w:val="16"/>
          <w:lang w:val="es-CR"/>
        </w:rPr>
        <w:t xml:space="preserve">dos se encontraban “relativamente recuperados”. </w:t>
      </w:r>
    </w:p>
  </w:footnote>
  <w:footnote w:id="29">
    <w:p w14:paraId="539ECA61" w14:textId="604ECE0E" w:rsidR="006A5B8D" w:rsidRPr="00221D27" w:rsidRDefault="006A5B8D" w:rsidP="00357359">
      <w:pPr>
        <w:pStyle w:val="Textonotapie"/>
        <w:jc w:val="both"/>
        <w:rPr>
          <w:rFonts w:ascii="Verdana" w:hAnsi="Verdana"/>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r>
      <w:r w:rsidRPr="002C0FC0">
        <w:rPr>
          <w:rFonts w:ascii="Verdana" w:hAnsi="Verdana"/>
          <w:sz w:val="16"/>
          <w:szCs w:val="16"/>
        </w:rPr>
        <w:t>El Estado se refirió a las medidas adoptadas por las direcciones de los tres centros penitenciarios en que se encuentran los propuestos beneficiarios, así como a aquellas adoptadas por el Instituto Nacional Penitenciario, el Ministerio de Justicia y Derechos Humanos, el Poder Judicial, el Ministerio Público y la Defensa Pública, entre otras (</w:t>
      </w:r>
      <w:r w:rsidRPr="002C0FC0">
        <w:rPr>
          <w:rFonts w:ascii="Verdana" w:hAnsi="Verdana"/>
          <w:i/>
          <w:sz w:val="16"/>
          <w:szCs w:val="16"/>
        </w:rPr>
        <w:t xml:space="preserve">supra </w:t>
      </w:r>
      <w:r w:rsidRPr="002C0FC0">
        <w:rPr>
          <w:rFonts w:ascii="Verdana" w:hAnsi="Verdana"/>
          <w:sz w:val="16"/>
          <w:szCs w:val="16"/>
        </w:rPr>
        <w:t>Considerando</w:t>
      </w:r>
      <w:r w:rsidR="002C0FC0" w:rsidRPr="002C0FC0">
        <w:rPr>
          <w:rFonts w:ascii="Verdana" w:hAnsi="Verdana"/>
          <w:sz w:val="16"/>
          <w:szCs w:val="16"/>
        </w:rPr>
        <w:t xml:space="preserve"> 10 </w:t>
      </w:r>
      <w:r w:rsidR="001A6FC3" w:rsidRPr="002C0FC0">
        <w:rPr>
          <w:rFonts w:ascii="Verdana" w:hAnsi="Verdana"/>
          <w:sz w:val="16"/>
          <w:szCs w:val="16"/>
        </w:rPr>
        <w:t>de la Resolución</w:t>
      </w:r>
      <w:r w:rsidRPr="002C0FC0">
        <w:rPr>
          <w:rFonts w:ascii="Verdana" w:hAnsi="Verdana"/>
          <w:sz w:val="16"/>
          <w:szCs w:val="16"/>
        </w:rPr>
        <w:t>).</w:t>
      </w:r>
    </w:p>
  </w:footnote>
  <w:footnote w:id="30">
    <w:p w14:paraId="1CC44E04" w14:textId="35D771FC" w:rsidR="006A5B8D" w:rsidRPr="00221D27" w:rsidRDefault="006A5B8D" w:rsidP="00357359">
      <w:pPr>
        <w:pStyle w:val="Textonotapie"/>
        <w:jc w:val="both"/>
        <w:rPr>
          <w:rFonts w:ascii="Verdana" w:hAnsi="Verdana"/>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r>
      <w:r w:rsidRPr="00221D27">
        <w:rPr>
          <w:rFonts w:ascii="Verdana" w:hAnsi="Verdana"/>
          <w:i/>
          <w:sz w:val="16"/>
          <w:szCs w:val="16"/>
        </w:rPr>
        <w:t xml:space="preserve">Cfr. </w:t>
      </w:r>
      <w:r w:rsidRPr="00221D27">
        <w:rPr>
          <w:rFonts w:ascii="Verdana" w:hAnsi="Verdana"/>
          <w:sz w:val="16"/>
          <w:szCs w:val="16"/>
        </w:rPr>
        <w:t>Defensoría del Pueblo</w:t>
      </w:r>
      <w:r w:rsidR="002C0FC0">
        <w:rPr>
          <w:rFonts w:ascii="Verdana" w:hAnsi="Verdana"/>
          <w:sz w:val="16"/>
          <w:szCs w:val="16"/>
        </w:rPr>
        <w:t xml:space="preserve"> del Perú</w:t>
      </w:r>
      <w:r w:rsidRPr="00221D27">
        <w:rPr>
          <w:rFonts w:ascii="Verdana" w:hAnsi="Verdana"/>
          <w:sz w:val="16"/>
          <w:szCs w:val="16"/>
        </w:rPr>
        <w:t xml:space="preserve">, “Defensoría del Pueblo: urgen acciones inmediatas para preservar la vida, seguridad y orden en centros penitenciarios”, comunicado de 27 de abril de 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519"/>
    <w:multiLevelType w:val="hybridMultilevel"/>
    <w:tmpl w:val="66EE4F34"/>
    <w:lvl w:ilvl="0" w:tplc="D04EFFA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3413F"/>
    <w:multiLevelType w:val="hybridMultilevel"/>
    <w:tmpl w:val="9C528478"/>
    <w:lvl w:ilvl="0" w:tplc="04090017">
      <w:start w:val="1"/>
      <w:numFmt w:val="lowerLetter"/>
      <w:lvlText w:val="%1)"/>
      <w:lvlJc w:val="left"/>
      <w:pPr>
        <w:ind w:left="720" w:hanging="360"/>
      </w:pPr>
      <w:rPr>
        <w:rFonts w:hint="default"/>
        <w:i w:val="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8D039A9"/>
    <w:multiLevelType w:val="hybridMultilevel"/>
    <w:tmpl w:val="9678EF96"/>
    <w:lvl w:ilvl="0" w:tplc="B37C1A4A">
      <w:start w:val="19"/>
      <w:numFmt w:val="decimal"/>
      <w:lvlText w:val="%1."/>
      <w:lvlJc w:val="left"/>
      <w:pPr>
        <w:ind w:left="720" w:hanging="360"/>
      </w:pPr>
      <w:rPr>
        <w:rFonts w:ascii="Verdana" w:hAnsi="Verdana" w:hint="default"/>
        <w:b w:val="0"/>
        <w:i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D91F86"/>
    <w:multiLevelType w:val="hybridMultilevel"/>
    <w:tmpl w:val="C0CCF132"/>
    <w:lvl w:ilvl="0" w:tplc="91667A14">
      <w:start w:val="234"/>
      <w:numFmt w:val="bullet"/>
      <w:lvlText w:val=""/>
      <w:lvlJc w:val="left"/>
      <w:pPr>
        <w:ind w:left="720" w:hanging="360"/>
      </w:pPr>
      <w:rPr>
        <w:rFonts w:ascii="Symbol" w:eastAsia="MS Mincho"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52E13"/>
    <w:multiLevelType w:val="hybridMultilevel"/>
    <w:tmpl w:val="F64696B0"/>
    <w:lvl w:ilvl="0" w:tplc="4FF4D20C">
      <w:start w:val="1"/>
      <w:numFmt w:val="lowerLetter"/>
      <w:lvlText w:val="%1."/>
      <w:lvlJc w:val="left"/>
      <w:pPr>
        <w:ind w:left="720" w:hanging="360"/>
      </w:pPr>
      <w:rPr>
        <w:rFonts w:hint="default"/>
        <w:i w:val="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20E51FD"/>
    <w:multiLevelType w:val="hybridMultilevel"/>
    <w:tmpl w:val="0B9A6770"/>
    <w:lvl w:ilvl="0" w:tplc="0409001B">
      <w:start w:val="1"/>
      <w:numFmt w:val="lowerRoman"/>
      <w:lvlText w:val="%1."/>
      <w:lvlJc w:val="right"/>
      <w:pPr>
        <w:ind w:left="720" w:hanging="360"/>
      </w:pPr>
      <w:rPr>
        <w:rFonts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A334249"/>
    <w:multiLevelType w:val="hybridMultilevel"/>
    <w:tmpl w:val="D8EA1E52"/>
    <w:lvl w:ilvl="0" w:tplc="140A000F">
      <w:start w:val="1"/>
      <w:numFmt w:val="decimal"/>
      <w:lvlText w:val="%1."/>
      <w:lvlJc w:val="left"/>
      <w:pPr>
        <w:ind w:left="720" w:hanging="360"/>
      </w:pPr>
      <w:rPr>
        <w:rFonts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C2E4071"/>
    <w:multiLevelType w:val="hybridMultilevel"/>
    <w:tmpl w:val="F8CAE47A"/>
    <w:lvl w:ilvl="0" w:tplc="140A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61C93"/>
    <w:multiLevelType w:val="hybridMultilevel"/>
    <w:tmpl w:val="9EAE1B70"/>
    <w:lvl w:ilvl="0" w:tplc="F04AFE5C">
      <w:start w:val="1"/>
      <w:numFmt w:val="decimal"/>
      <w:lvlText w:val="%1."/>
      <w:lvlJc w:val="left"/>
      <w:pPr>
        <w:ind w:left="720" w:hanging="360"/>
      </w:pPr>
      <w:rPr>
        <w:rFonts w:ascii="Verdana" w:hAnsi="Verdana"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F4E84"/>
    <w:multiLevelType w:val="hybridMultilevel"/>
    <w:tmpl w:val="152C9538"/>
    <w:lvl w:ilvl="0" w:tplc="506CC27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DF175E"/>
    <w:multiLevelType w:val="hybridMultilevel"/>
    <w:tmpl w:val="2890A9E0"/>
    <w:lvl w:ilvl="0" w:tplc="0409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88C2136"/>
    <w:multiLevelType w:val="hybridMultilevel"/>
    <w:tmpl w:val="66EE4F34"/>
    <w:lvl w:ilvl="0" w:tplc="D04EFFA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3C1A03"/>
    <w:multiLevelType w:val="hybridMultilevel"/>
    <w:tmpl w:val="EA3EF3F4"/>
    <w:lvl w:ilvl="0" w:tplc="EC2ABBBE">
      <w:start w:val="1"/>
      <w:numFmt w:val="upperLetter"/>
      <w:lvlText w:val="%1)"/>
      <w:lvlJc w:val="left"/>
      <w:pPr>
        <w:ind w:left="873" w:hanging="360"/>
      </w:pPr>
      <w:rPr>
        <w:rFonts w:hint="default"/>
      </w:rPr>
    </w:lvl>
    <w:lvl w:ilvl="1" w:tplc="140A0019">
      <w:start w:val="1"/>
      <w:numFmt w:val="lowerLetter"/>
      <w:lvlText w:val="%2."/>
      <w:lvlJc w:val="left"/>
      <w:pPr>
        <w:ind w:left="1593" w:hanging="360"/>
      </w:pPr>
    </w:lvl>
    <w:lvl w:ilvl="2" w:tplc="140A001B" w:tentative="1">
      <w:start w:val="1"/>
      <w:numFmt w:val="lowerRoman"/>
      <w:lvlText w:val="%3."/>
      <w:lvlJc w:val="right"/>
      <w:pPr>
        <w:ind w:left="2313" w:hanging="180"/>
      </w:pPr>
    </w:lvl>
    <w:lvl w:ilvl="3" w:tplc="140A000F" w:tentative="1">
      <w:start w:val="1"/>
      <w:numFmt w:val="decimal"/>
      <w:lvlText w:val="%4."/>
      <w:lvlJc w:val="left"/>
      <w:pPr>
        <w:ind w:left="3033" w:hanging="360"/>
      </w:pPr>
    </w:lvl>
    <w:lvl w:ilvl="4" w:tplc="140A0019" w:tentative="1">
      <w:start w:val="1"/>
      <w:numFmt w:val="lowerLetter"/>
      <w:lvlText w:val="%5."/>
      <w:lvlJc w:val="left"/>
      <w:pPr>
        <w:ind w:left="3753" w:hanging="360"/>
      </w:pPr>
    </w:lvl>
    <w:lvl w:ilvl="5" w:tplc="140A001B" w:tentative="1">
      <w:start w:val="1"/>
      <w:numFmt w:val="lowerRoman"/>
      <w:lvlText w:val="%6."/>
      <w:lvlJc w:val="right"/>
      <w:pPr>
        <w:ind w:left="4473" w:hanging="180"/>
      </w:pPr>
    </w:lvl>
    <w:lvl w:ilvl="6" w:tplc="140A000F" w:tentative="1">
      <w:start w:val="1"/>
      <w:numFmt w:val="decimal"/>
      <w:lvlText w:val="%7."/>
      <w:lvlJc w:val="left"/>
      <w:pPr>
        <w:ind w:left="5193" w:hanging="360"/>
      </w:pPr>
    </w:lvl>
    <w:lvl w:ilvl="7" w:tplc="140A0019" w:tentative="1">
      <w:start w:val="1"/>
      <w:numFmt w:val="lowerLetter"/>
      <w:lvlText w:val="%8."/>
      <w:lvlJc w:val="left"/>
      <w:pPr>
        <w:ind w:left="5913" w:hanging="360"/>
      </w:pPr>
    </w:lvl>
    <w:lvl w:ilvl="8" w:tplc="140A001B" w:tentative="1">
      <w:start w:val="1"/>
      <w:numFmt w:val="lowerRoman"/>
      <w:lvlText w:val="%9."/>
      <w:lvlJc w:val="right"/>
      <w:pPr>
        <w:ind w:left="6633" w:hanging="180"/>
      </w:pPr>
    </w:lvl>
  </w:abstractNum>
  <w:abstractNum w:abstractNumId="13" w15:restartNumberingAfterBreak="0">
    <w:nsid w:val="45EF281E"/>
    <w:multiLevelType w:val="hybridMultilevel"/>
    <w:tmpl w:val="66EE4F34"/>
    <w:lvl w:ilvl="0" w:tplc="D04EFFA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FB7719"/>
    <w:multiLevelType w:val="hybridMultilevel"/>
    <w:tmpl w:val="38B03504"/>
    <w:lvl w:ilvl="0" w:tplc="3F9CA10A">
      <w:start w:val="1"/>
      <w:numFmt w:val="lowerLetter"/>
      <w:lvlText w:val="%1."/>
      <w:lvlJc w:val="left"/>
      <w:pPr>
        <w:ind w:left="720" w:hanging="360"/>
      </w:pPr>
      <w:rPr>
        <w:rFonts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4A9739E2"/>
    <w:multiLevelType w:val="hybridMultilevel"/>
    <w:tmpl w:val="51C446C4"/>
    <w:lvl w:ilvl="0" w:tplc="EC2ABBBE">
      <w:start w:val="1"/>
      <w:numFmt w:val="upperLetter"/>
      <w:lvlText w:val="%1)"/>
      <w:lvlJc w:val="left"/>
      <w:pPr>
        <w:ind w:left="873" w:hanging="360"/>
      </w:pPr>
      <w:rPr>
        <w:rFonts w:hint="default"/>
      </w:rPr>
    </w:lvl>
    <w:lvl w:ilvl="1" w:tplc="140A0019">
      <w:start w:val="1"/>
      <w:numFmt w:val="lowerLetter"/>
      <w:lvlText w:val="%2."/>
      <w:lvlJc w:val="left"/>
      <w:pPr>
        <w:ind w:left="1593" w:hanging="360"/>
      </w:pPr>
    </w:lvl>
    <w:lvl w:ilvl="2" w:tplc="140A001B" w:tentative="1">
      <w:start w:val="1"/>
      <w:numFmt w:val="lowerRoman"/>
      <w:lvlText w:val="%3."/>
      <w:lvlJc w:val="right"/>
      <w:pPr>
        <w:ind w:left="2313" w:hanging="180"/>
      </w:pPr>
    </w:lvl>
    <w:lvl w:ilvl="3" w:tplc="140A000F" w:tentative="1">
      <w:start w:val="1"/>
      <w:numFmt w:val="decimal"/>
      <w:lvlText w:val="%4."/>
      <w:lvlJc w:val="left"/>
      <w:pPr>
        <w:ind w:left="3033" w:hanging="360"/>
      </w:pPr>
    </w:lvl>
    <w:lvl w:ilvl="4" w:tplc="140A0019" w:tentative="1">
      <w:start w:val="1"/>
      <w:numFmt w:val="lowerLetter"/>
      <w:lvlText w:val="%5."/>
      <w:lvlJc w:val="left"/>
      <w:pPr>
        <w:ind w:left="3753" w:hanging="360"/>
      </w:pPr>
    </w:lvl>
    <w:lvl w:ilvl="5" w:tplc="140A001B" w:tentative="1">
      <w:start w:val="1"/>
      <w:numFmt w:val="lowerRoman"/>
      <w:lvlText w:val="%6."/>
      <w:lvlJc w:val="right"/>
      <w:pPr>
        <w:ind w:left="4473" w:hanging="180"/>
      </w:pPr>
    </w:lvl>
    <w:lvl w:ilvl="6" w:tplc="140A000F" w:tentative="1">
      <w:start w:val="1"/>
      <w:numFmt w:val="decimal"/>
      <w:lvlText w:val="%7."/>
      <w:lvlJc w:val="left"/>
      <w:pPr>
        <w:ind w:left="5193" w:hanging="360"/>
      </w:pPr>
    </w:lvl>
    <w:lvl w:ilvl="7" w:tplc="140A0019" w:tentative="1">
      <w:start w:val="1"/>
      <w:numFmt w:val="lowerLetter"/>
      <w:lvlText w:val="%8."/>
      <w:lvlJc w:val="left"/>
      <w:pPr>
        <w:ind w:left="5913" w:hanging="360"/>
      </w:pPr>
    </w:lvl>
    <w:lvl w:ilvl="8" w:tplc="140A001B" w:tentative="1">
      <w:start w:val="1"/>
      <w:numFmt w:val="lowerRoman"/>
      <w:lvlText w:val="%9."/>
      <w:lvlJc w:val="right"/>
      <w:pPr>
        <w:ind w:left="6633" w:hanging="180"/>
      </w:pPr>
    </w:lvl>
  </w:abstractNum>
  <w:abstractNum w:abstractNumId="16" w15:restartNumberingAfterBreak="0">
    <w:nsid w:val="53C3288C"/>
    <w:multiLevelType w:val="hybridMultilevel"/>
    <w:tmpl w:val="355C6C3C"/>
    <w:lvl w:ilvl="0" w:tplc="6EFEA1B2">
      <w:start w:val="4"/>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91F3D60"/>
    <w:multiLevelType w:val="hybridMultilevel"/>
    <w:tmpl w:val="865E6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C33DA6"/>
    <w:multiLevelType w:val="multilevel"/>
    <w:tmpl w:val="EFBA677A"/>
    <w:lvl w:ilvl="0">
      <w:start w:val="1"/>
      <w:numFmt w:val="decimal"/>
      <w:lvlText w:val="%1."/>
      <w:lvlJc w:val="left"/>
      <w:pPr>
        <w:tabs>
          <w:tab w:val="num" w:pos="1800"/>
        </w:tabs>
        <w:ind w:left="1800" w:hanging="360"/>
      </w:pPr>
      <w:rPr>
        <w:rFonts w:ascii="Verdana" w:hAnsi="Verdana" w:hint="default"/>
        <w:b w:val="0"/>
        <w:i w:val="0"/>
        <w:color w:val="auto"/>
        <w:sz w:val="20"/>
      </w:rPr>
    </w:lvl>
    <w:lvl w:ilvl="1">
      <w:start w:val="1"/>
      <w:numFmt w:val="lowerLetter"/>
      <w:lvlText w:val="%2."/>
      <w:lvlJc w:val="left"/>
      <w:pPr>
        <w:tabs>
          <w:tab w:val="num" w:pos="1134"/>
        </w:tabs>
        <w:ind w:left="567" w:firstLine="0"/>
      </w:pPr>
      <w:rPr>
        <w:rFonts w:ascii="Verdana" w:eastAsia="Times New Roman" w:hAnsi="Verdana" w:cs="Times New Roman" w:hint="default"/>
        <w:color w:val="auto"/>
      </w:rPr>
    </w:lvl>
    <w:lvl w:ilvl="2">
      <w:start w:val="1"/>
      <w:numFmt w:val="lowerRoman"/>
      <w:lvlText w:val="%3."/>
      <w:lvlJc w:val="right"/>
      <w:pPr>
        <w:tabs>
          <w:tab w:val="num" w:pos="1985"/>
        </w:tabs>
        <w:ind w:left="851" w:firstLine="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D2A64E7"/>
    <w:multiLevelType w:val="hybridMultilevel"/>
    <w:tmpl w:val="93AA7D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641C07"/>
    <w:multiLevelType w:val="hybridMultilevel"/>
    <w:tmpl w:val="2890A9E0"/>
    <w:lvl w:ilvl="0" w:tplc="0409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72F90590"/>
    <w:multiLevelType w:val="hybridMultilevel"/>
    <w:tmpl w:val="6C14C8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103A6F"/>
    <w:multiLevelType w:val="hybridMultilevel"/>
    <w:tmpl w:val="55924042"/>
    <w:lvl w:ilvl="0" w:tplc="011AABA2">
      <w:start w:val="1"/>
      <w:numFmt w:val="decimal"/>
      <w:lvlText w:val="%1."/>
      <w:lvlJc w:val="left"/>
      <w:pPr>
        <w:ind w:left="791" w:hanging="360"/>
      </w:pPr>
      <w:rPr>
        <w:color w:val="auto"/>
      </w:rPr>
    </w:lvl>
    <w:lvl w:ilvl="1" w:tplc="140A0019">
      <w:start w:val="1"/>
      <w:numFmt w:val="lowerLetter"/>
      <w:lvlText w:val="%2."/>
      <w:lvlJc w:val="left"/>
      <w:pPr>
        <w:ind w:left="720" w:hanging="360"/>
      </w:pPr>
      <w:rPr>
        <w:rFonts w:hint="default"/>
      </w:r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3" w15:restartNumberingAfterBreak="0">
    <w:nsid w:val="7ADF01EA"/>
    <w:multiLevelType w:val="hybridMultilevel"/>
    <w:tmpl w:val="60DC4310"/>
    <w:lvl w:ilvl="0" w:tplc="04090019">
      <w:start w:val="1"/>
      <w:numFmt w:val="lowerLetter"/>
      <w:lvlText w:val="%1."/>
      <w:lvlJc w:val="left"/>
      <w:pPr>
        <w:ind w:left="720" w:hanging="360"/>
      </w:pPr>
      <w:rPr>
        <w:rFonts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7BE97B02"/>
    <w:multiLevelType w:val="hybridMultilevel"/>
    <w:tmpl w:val="F40E6822"/>
    <w:lvl w:ilvl="0" w:tplc="48541686">
      <w:start w:val="1"/>
      <w:numFmt w:val="decimal"/>
      <w:lvlText w:val="%1."/>
      <w:lvlJc w:val="left"/>
      <w:pPr>
        <w:ind w:left="72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4"/>
  </w:num>
  <w:num w:numId="2">
    <w:abstractNumId w:val="15"/>
  </w:num>
  <w:num w:numId="3">
    <w:abstractNumId w:val="21"/>
  </w:num>
  <w:num w:numId="4">
    <w:abstractNumId w:val="6"/>
  </w:num>
  <w:num w:numId="5">
    <w:abstractNumId w:val="10"/>
  </w:num>
  <w:num w:numId="6">
    <w:abstractNumId w:val="5"/>
  </w:num>
  <w:num w:numId="7">
    <w:abstractNumId w:val="19"/>
  </w:num>
  <w:num w:numId="8">
    <w:abstractNumId w:val="4"/>
  </w:num>
  <w:num w:numId="9">
    <w:abstractNumId w:val="1"/>
  </w:num>
  <w:num w:numId="10">
    <w:abstractNumId w:val="20"/>
  </w:num>
  <w:num w:numId="11">
    <w:abstractNumId w:val="8"/>
  </w:num>
  <w:num w:numId="12">
    <w:abstractNumId w:val="17"/>
  </w:num>
  <w:num w:numId="13">
    <w:abstractNumId w:val="14"/>
  </w:num>
  <w:num w:numId="14">
    <w:abstractNumId w:val="23"/>
  </w:num>
  <w:num w:numId="15">
    <w:abstractNumId w:val="22"/>
  </w:num>
  <w:num w:numId="16">
    <w:abstractNumId w:val="0"/>
  </w:num>
  <w:num w:numId="17">
    <w:abstractNumId w:val="11"/>
  </w:num>
  <w:num w:numId="18">
    <w:abstractNumId w:val="13"/>
  </w:num>
  <w:num w:numId="19">
    <w:abstractNumId w:val="3"/>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9"/>
  </w:num>
  <w:num w:numId="23">
    <w:abstractNumId w:val="7"/>
  </w:num>
  <w:num w:numId="24">
    <w:abstractNumId w:val="16"/>
  </w:num>
  <w:num w:numId="25">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CF"/>
    <w:rsid w:val="000004F5"/>
    <w:rsid w:val="00002392"/>
    <w:rsid w:val="0000254C"/>
    <w:rsid w:val="00005DB1"/>
    <w:rsid w:val="000066F3"/>
    <w:rsid w:val="00006C8A"/>
    <w:rsid w:val="0000718B"/>
    <w:rsid w:val="00015CF9"/>
    <w:rsid w:val="00017BD6"/>
    <w:rsid w:val="00022FDF"/>
    <w:rsid w:val="00024F95"/>
    <w:rsid w:val="0003258A"/>
    <w:rsid w:val="00033537"/>
    <w:rsid w:val="00033ABF"/>
    <w:rsid w:val="00037189"/>
    <w:rsid w:val="00037FF3"/>
    <w:rsid w:val="00041738"/>
    <w:rsid w:val="00054EBF"/>
    <w:rsid w:val="0005695D"/>
    <w:rsid w:val="000577D8"/>
    <w:rsid w:val="0006137A"/>
    <w:rsid w:val="000623C4"/>
    <w:rsid w:val="000654E4"/>
    <w:rsid w:val="00066EE2"/>
    <w:rsid w:val="00072A39"/>
    <w:rsid w:val="00073EAF"/>
    <w:rsid w:val="00075FDE"/>
    <w:rsid w:val="00080D85"/>
    <w:rsid w:val="000846A4"/>
    <w:rsid w:val="00084BDD"/>
    <w:rsid w:val="00094B67"/>
    <w:rsid w:val="000A0728"/>
    <w:rsid w:val="000A2FC6"/>
    <w:rsid w:val="000A627F"/>
    <w:rsid w:val="000A6ED7"/>
    <w:rsid w:val="000B4429"/>
    <w:rsid w:val="000B6C9C"/>
    <w:rsid w:val="000C6739"/>
    <w:rsid w:val="000D03F5"/>
    <w:rsid w:val="000D09E3"/>
    <w:rsid w:val="000D1DB8"/>
    <w:rsid w:val="000D3258"/>
    <w:rsid w:val="000D5627"/>
    <w:rsid w:val="000D6FF8"/>
    <w:rsid w:val="000F190D"/>
    <w:rsid w:val="000F3C99"/>
    <w:rsid w:val="000F67FC"/>
    <w:rsid w:val="000F754E"/>
    <w:rsid w:val="00100107"/>
    <w:rsid w:val="00100FF0"/>
    <w:rsid w:val="001021A7"/>
    <w:rsid w:val="00103585"/>
    <w:rsid w:val="001077FD"/>
    <w:rsid w:val="00115EF3"/>
    <w:rsid w:val="001173FD"/>
    <w:rsid w:val="00117959"/>
    <w:rsid w:val="00125B03"/>
    <w:rsid w:val="00127E14"/>
    <w:rsid w:val="001322A3"/>
    <w:rsid w:val="00133B50"/>
    <w:rsid w:val="00140A54"/>
    <w:rsid w:val="0014103B"/>
    <w:rsid w:val="00141350"/>
    <w:rsid w:val="001449C8"/>
    <w:rsid w:val="00145AA0"/>
    <w:rsid w:val="00147907"/>
    <w:rsid w:val="0015129A"/>
    <w:rsid w:val="00152BC9"/>
    <w:rsid w:val="00153C3F"/>
    <w:rsid w:val="00154901"/>
    <w:rsid w:val="00154A7C"/>
    <w:rsid w:val="001652BF"/>
    <w:rsid w:val="00165FCD"/>
    <w:rsid w:val="00176C0A"/>
    <w:rsid w:val="001818C6"/>
    <w:rsid w:val="00183E95"/>
    <w:rsid w:val="00184638"/>
    <w:rsid w:val="001910D8"/>
    <w:rsid w:val="00194070"/>
    <w:rsid w:val="00194BEF"/>
    <w:rsid w:val="001950C9"/>
    <w:rsid w:val="00195BB0"/>
    <w:rsid w:val="001A0E56"/>
    <w:rsid w:val="001A6FC3"/>
    <w:rsid w:val="001A7A68"/>
    <w:rsid w:val="001B6660"/>
    <w:rsid w:val="001B6EE2"/>
    <w:rsid w:val="001C1D34"/>
    <w:rsid w:val="001C67A9"/>
    <w:rsid w:val="001D1320"/>
    <w:rsid w:val="001D2620"/>
    <w:rsid w:val="001D2C0E"/>
    <w:rsid w:val="001D767C"/>
    <w:rsid w:val="001E277C"/>
    <w:rsid w:val="001E794C"/>
    <w:rsid w:val="001F3C17"/>
    <w:rsid w:val="001F75D9"/>
    <w:rsid w:val="00200C7A"/>
    <w:rsid w:val="00203C7F"/>
    <w:rsid w:val="00205ED7"/>
    <w:rsid w:val="002070E7"/>
    <w:rsid w:val="00211775"/>
    <w:rsid w:val="002156E1"/>
    <w:rsid w:val="00221D27"/>
    <w:rsid w:val="002237C4"/>
    <w:rsid w:val="002273EA"/>
    <w:rsid w:val="00234D64"/>
    <w:rsid w:val="002407F7"/>
    <w:rsid w:val="002409E3"/>
    <w:rsid w:val="00250696"/>
    <w:rsid w:val="00250A1A"/>
    <w:rsid w:val="00251059"/>
    <w:rsid w:val="0028140E"/>
    <w:rsid w:val="002855E7"/>
    <w:rsid w:val="00287CD8"/>
    <w:rsid w:val="00293643"/>
    <w:rsid w:val="00293E84"/>
    <w:rsid w:val="002A56AD"/>
    <w:rsid w:val="002A70D6"/>
    <w:rsid w:val="002B2363"/>
    <w:rsid w:val="002B4EFF"/>
    <w:rsid w:val="002C0CD5"/>
    <w:rsid w:val="002C0FC0"/>
    <w:rsid w:val="002C371D"/>
    <w:rsid w:val="002C4C73"/>
    <w:rsid w:val="002C7DCB"/>
    <w:rsid w:val="002E0D74"/>
    <w:rsid w:val="002E5209"/>
    <w:rsid w:val="002E7CBA"/>
    <w:rsid w:val="002F701E"/>
    <w:rsid w:val="0030110F"/>
    <w:rsid w:val="00312FE3"/>
    <w:rsid w:val="0031331F"/>
    <w:rsid w:val="003145C7"/>
    <w:rsid w:val="003168DE"/>
    <w:rsid w:val="00320573"/>
    <w:rsid w:val="0032428B"/>
    <w:rsid w:val="003249F2"/>
    <w:rsid w:val="0032798D"/>
    <w:rsid w:val="003312F9"/>
    <w:rsid w:val="003334D9"/>
    <w:rsid w:val="00336AD6"/>
    <w:rsid w:val="00337FEC"/>
    <w:rsid w:val="0034129A"/>
    <w:rsid w:val="00342689"/>
    <w:rsid w:val="0034331E"/>
    <w:rsid w:val="00357359"/>
    <w:rsid w:val="003668BB"/>
    <w:rsid w:val="00367D75"/>
    <w:rsid w:val="00371322"/>
    <w:rsid w:val="00372A7B"/>
    <w:rsid w:val="003757C5"/>
    <w:rsid w:val="00377BAD"/>
    <w:rsid w:val="003816AB"/>
    <w:rsid w:val="00384189"/>
    <w:rsid w:val="003918FB"/>
    <w:rsid w:val="00395069"/>
    <w:rsid w:val="003B03DE"/>
    <w:rsid w:val="003B323B"/>
    <w:rsid w:val="003B6997"/>
    <w:rsid w:val="003C496A"/>
    <w:rsid w:val="003D0699"/>
    <w:rsid w:val="003D13A2"/>
    <w:rsid w:val="003D2AC2"/>
    <w:rsid w:val="003D3824"/>
    <w:rsid w:val="003D403E"/>
    <w:rsid w:val="003D469B"/>
    <w:rsid w:val="003D5E54"/>
    <w:rsid w:val="003D6412"/>
    <w:rsid w:val="003D66FD"/>
    <w:rsid w:val="003E5A68"/>
    <w:rsid w:val="003E657A"/>
    <w:rsid w:val="003F3880"/>
    <w:rsid w:val="003F52E0"/>
    <w:rsid w:val="003F60EA"/>
    <w:rsid w:val="003F7641"/>
    <w:rsid w:val="00400231"/>
    <w:rsid w:val="00401687"/>
    <w:rsid w:val="00405CA0"/>
    <w:rsid w:val="0041018F"/>
    <w:rsid w:val="00411DA9"/>
    <w:rsid w:val="004121DD"/>
    <w:rsid w:val="004122BB"/>
    <w:rsid w:val="0041294A"/>
    <w:rsid w:val="00414CB1"/>
    <w:rsid w:val="004167AB"/>
    <w:rsid w:val="004175FA"/>
    <w:rsid w:val="00421239"/>
    <w:rsid w:val="004232DB"/>
    <w:rsid w:val="004236C5"/>
    <w:rsid w:val="00423A47"/>
    <w:rsid w:val="0043767C"/>
    <w:rsid w:val="00453A40"/>
    <w:rsid w:val="004550E6"/>
    <w:rsid w:val="0045649F"/>
    <w:rsid w:val="0046086E"/>
    <w:rsid w:val="00460B75"/>
    <w:rsid w:val="00467BB7"/>
    <w:rsid w:val="004712BC"/>
    <w:rsid w:val="0047407F"/>
    <w:rsid w:val="00476CE6"/>
    <w:rsid w:val="004832C5"/>
    <w:rsid w:val="0048419C"/>
    <w:rsid w:val="00486A06"/>
    <w:rsid w:val="00486FF1"/>
    <w:rsid w:val="0049016B"/>
    <w:rsid w:val="004921D8"/>
    <w:rsid w:val="00493981"/>
    <w:rsid w:val="00494633"/>
    <w:rsid w:val="00494E98"/>
    <w:rsid w:val="0049773B"/>
    <w:rsid w:val="004A2769"/>
    <w:rsid w:val="004B194D"/>
    <w:rsid w:val="004B4D59"/>
    <w:rsid w:val="004B4E58"/>
    <w:rsid w:val="004C2F87"/>
    <w:rsid w:val="004C396F"/>
    <w:rsid w:val="004C3CC0"/>
    <w:rsid w:val="004C76AE"/>
    <w:rsid w:val="004D3377"/>
    <w:rsid w:val="004D3870"/>
    <w:rsid w:val="004D73AB"/>
    <w:rsid w:val="004E2753"/>
    <w:rsid w:val="004E5984"/>
    <w:rsid w:val="004E5ACF"/>
    <w:rsid w:val="004F30F1"/>
    <w:rsid w:val="00505444"/>
    <w:rsid w:val="0050629B"/>
    <w:rsid w:val="00507B5C"/>
    <w:rsid w:val="00514F53"/>
    <w:rsid w:val="0052533B"/>
    <w:rsid w:val="005255DC"/>
    <w:rsid w:val="00531A15"/>
    <w:rsid w:val="00532AB1"/>
    <w:rsid w:val="005347B0"/>
    <w:rsid w:val="00540619"/>
    <w:rsid w:val="00544102"/>
    <w:rsid w:val="005458EF"/>
    <w:rsid w:val="0054702E"/>
    <w:rsid w:val="0055076D"/>
    <w:rsid w:val="00551BFF"/>
    <w:rsid w:val="00553683"/>
    <w:rsid w:val="00557680"/>
    <w:rsid w:val="005633F2"/>
    <w:rsid w:val="00563427"/>
    <w:rsid w:val="00567B27"/>
    <w:rsid w:val="00567D48"/>
    <w:rsid w:val="00571549"/>
    <w:rsid w:val="005716A9"/>
    <w:rsid w:val="0057696F"/>
    <w:rsid w:val="00577444"/>
    <w:rsid w:val="005823C6"/>
    <w:rsid w:val="00592805"/>
    <w:rsid w:val="00595AED"/>
    <w:rsid w:val="005A2D4A"/>
    <w:rsid w:val="005B35EC"/>
    <w:rsid w:val="005C076E"/>
    <w:rsid w:val="005C39B0"/>
    <w:rsid w:val="005C55AF"/>
    <w:rsid w:val="005C6ED1"/>
    <w:rsid w:val="005D0EAE"/>
    <w:rsid w:val="005D3D41"/>
    <w:rsid w:val="005D401B"/>
    <w:rsid w:val="005D78D0"/>
    <w:rsid w:val="005E043F"/>
    <w:rsid w:val="005E05B0"/>
    <w:rsid w:val="005F0033"/>
    <w:rsid w:val="005F2466"/>
    <w:rsid w:val="005F5399"/>
    <w:rsid w:val="005F6A8E"/>
    <w:rsid w:val="005F7734"/>
    <w:rsid w:val="005F77C7"/>
    <w:rsid w:val="006001FD"/>
    <w:rsid w:val="00600B01"/>
    <w:rsid w:val="0061158A"/>
    <w:rsid w:val="00614134"/>
    <w:rsid w:val="006146A8"/>
    <w:rsid w:val="00625B29"/>
    <w:rsid w:val="00625F11"/>
    <w:rsid w:val="00627F25"/>
    <w:rsid w:val="006306E4"/>
    <w:rsid w:val="0063317A"/>
    <w:rsid w:val="00633FF5"/>
    <w:rsid w:val="0063730B"/>
    <w:rsid w:val="0064084B"/>
    <w:rsid w:val="00640948"/>
    <w:rsid w:val="00641D5D"/>
    <w:rsid w:val="0064278B"/>
    <w:rsid w:val="00642D9C"/>
    <w:rsid w:val="006445B6"/>
    <w:rsid w:val="00645700"/>
    <w:rsid w:val="00650FF1"/>
    <w:rsid w:val="00651917"/>
    <w:rsid w:val="00655205"/>
    <w:rsid w:val="00655B1C"/>
    <w:rsid w:val="00663706"/>
    <w:rsid w:val="00666898"/>
    <w:rsid w:val="00666A69"/>
    <w:rsid w:val="00667AC6"/>
    <w:rsid w:val="00667DA5"/>
    <w:rsid w:val="00667F03"/>
    <w:rsid w:val="006700AD"/>
    <w:rsid w:val="00676751"/>
    <w:rsid w:val="006769D9"/>
    <w:rsid w:val="0067754A"/>
    <w:rsid w:val="00680F42"/>
    <w:rsid w:val="00682B01"/>
    <w:rsid w:val="0068438C"/>
    <w:rsid w:val="0069110A"/>
    <w:rsid w:val="0069388F"/>
    <w:rsid w:val="0069676E"/>
    <w:rsid w:val="006A155A"/>
    <w:rsid w:val="006A47B5"/>
    <w:rsid w:val="006A5091"/>
    <w:rsid w:val="006A5B8D"/>
    <w:rsid w:val="006B013B"/>
    <w:rsid w:val="006B037D"/>
    <w:rsid w:val="006B183C"/>
    <w:rsid w:val="006C2793"/>
    <w:rsid w:val="006C2817"/>
    <w:rsid w:val="006C736D"/>
    <w:rsid w:val="006D3736"/>
    <w:rsid w:val="006D50A3"/>
    <w:rsid w:val="006D627E"/>
    <w:rsid w:val="006D7430"/>
    <w:rsid w:val="006D7C72"/>
    <w:rsid w:val="006E24C5"/>
    <w:rsid w:val="006E25C0"/>
    <w:rsid w:val="006E27F2"/>
    <w:rsid w:val="006E339D"/>
    <w:rsid w:val="006E3FA3"/>
    <w:rsid w:val="006E4B12"/>
    <w:rsid w:val="006E5E43"/>
    <w:rsid w:val="006E7F60"/>
    <w:rsid w:val="006F30F3"/>
    <w:rsid w:val="007000EB"/>
    <w:rsid w:val="007018E1"/>
    <w:rsid w:val="0070245E"/>
    <w:rsid w:val="007056C3"/>
    <w:rsid w:val="00710C99"/>
    <w:rsid w:val="00711165"/>
    <w:rsid w:val="00716611"/>
    <w:rsid w:val="007232A6"/>
    <w:rsid w:val="00723F79"/>
    <w:rsid w:val="00725280"/>
    <w:rsid w:val="00731408"/>
    <w:rsid w:val="0073673E"/>
    <w:rsid w:val="00740295"/>
    <w:rsid w:val="00740422"/>
    <w:rsid w:val="00742EA6"/>
    <w:rsid w:val="00743E0B"/>
    <w:rsid w:val="00745E8E"/>
    <w:rsid w:val="0074736D"/>
    <w:rsid w:val="00751AD5"/>
    <w:rsid w:val="007548C9"/>
    <w:rsid w:val="00756AAA"/>
    <w:rsid w:val="0075793F"/>
    <w:rsid w:val="00763E8F"/>
    <w:rsid w:val="00771D0F"/>
    <w:rsid w:val="00772D14"/>
    <w:rsid w:val="00786342"/>
    <w:rsid w:val="00793894"/>
    <w:rsid w:val="007B6FBC"/>
    <w:rsid w:val="007C03D2"/>
    <w:rsid w:val="007C5299"/>
    <w:rsid w:val="007C7251"/>
    <w:rsid w:val="007D1499"/>
    <w:rsid w:val="007D3BF3"/>
    <w:rsid w:val="007D56DC"/>
    <w:rsid w:val="007E1BCC"/>
    <w:rsid w:val="00802B51"/>
    <w:rsid w:val="00803FA4"/>
    <w:rsid w:val="008042A9"/>
    <w:rsid w:val="00805F4B"/>
    <w:rsid w:val="00817143"/>
    <w:rsid w:val="0082712A"/>
    <w:rsid w:val="00835BA0"/>
    <w:rsid w:val="00837F66"/>
    <w:rsid w:val="0084343C"/>
    <w:rsid w:val="00843592"/>
    <w:rsid w:val="008464F6"/>
    <w:rsid w:val="00846A32"/>
    <w:rsid w:val="0084709F"/>
    <w:rsid w:val="00852CEA"/>
    <w:rsid w:val="00854FC2"/>
    <w:rsid w:val="0085562E"/>
    <w:rsid w:val="008568AE"/>
    <w:rsid w:val="00865DB8"/>
    <w:rsid w:val="00866236"/>
    <w:rsid w:val="00866A1F"/>
    <w:rsid w:val="008741D2"/>
    <w:rsid w:val="00880C61"/>
    <w:rsid w:val="00885049"/>
    <w:rsid w:val="0088606F"/>
    <w:rsid w:val="00894130"/>
    <w:rsid w:val="00897D30"/>
    <w:rsid w:val="008A321C"/>
    <w:rsid w:val="008A4589"/>
    <w:rsid w:val="008A4618"/>
    <w:rsid w:val="008A4B05"/>
    <w:rsid w:val="008B6CEB"/>
    <w:rsid w:val="008D0635"/>
    <w:rsid w:val="008D793C"/>
    <w:rsid w:val="008F1549"/>
    <w:rsid w:val="008F451C"/>
    <w:rsid w:val="00901C91"/>
    <w:rsid w:val="0090253A"/>
    <w:rsid w:val="009030C6"/>
    <w:rsid w:val="0090410F"/>
    <w:rsid w:val="009068FE"/>
    <w:rsid w:val="009125EE"/>
    <w:rsid w:val="00913A8E"/>
    <w:rsid w:val="00925C83"/>
    <w:rsid w:val="0092626D"/>
    <w:rsid w:val="009271D6"/>
    <w:rsid w:val="00930CAF"/>
    <w:rsid w:val="00932A21"/>
    <w:rsid w:val="00933FF2"/>
    <w:rsid w:val="0093627E"/>
    <w:rsid w:val="00937B20"/>
    <w:rsid w:val="0094195B"/>
    <w:rsid w:val="00944F10"/>
    <w:rsid w:val="009471EC"/>
    <w:rsid w:val="00953BCF"/>
    <w:rsid w:val="00954AA2"/>
    <w:rsid w:val="00955C60"/>
    <w:rsid w:val="009638B4"/>
    <w:rsid w:val="0096434C"/>
    <w:rsid w:val="009644AB"/>
    <w:rsid w:val="00964F75"/>
    <w:rsid w:val="00970E68"/>
    <w:rsid w:val="009731CA"/>
    <w:rsid w:val="009773CA"/>
    <w:rsid w:val="009834B3"/>
    <w:rsid w:val="009849CC"/>
    <w:rsid w:val="0098601F"/>
    <w:rsid w:val="009900BA"/>
    <w:rsid w:val="00991868"/>
    <w:rsid w:val="00991AB0"/>
    <w:rsid w:val="00991DCA"/>
    <w:rsid w:val="00993532"/>
    <w:rsid w:val="00995000"/>
    <w:rsid w:val="00997D41"/>
    <w:rsid w:val="009A14F0"/>
    <w:rsid w:val="009A22E1"/>
    <w:rsid w:val="009A2F2F"/>
    <w:rsid w:val="009A46AF"/>
    <w:rsid w:val="009A6904"/>
    <w:rsid w:val="009B39E4"/>
    <w:rsid w:val="009B4991"/>
    <w:rsid w:val="009B7656"/>
    <w:rsid w:val="009C048D"/>
    <w:rsid w:val="009C0D40"/>
    <w:rsid w:val="009C0E4D"/>
    <w:rsid w:val="009C7E1C"/>
    <w:rsid w:val="009D1E5E"/>
    <w:rsid w:val="009D3040"/>
    <w:rsid w:val="009E01B9"/>
    <w:rsid w:val="009E025B"/>
    <w:rsid w:val="009E0AB7"/>
    <w:rsid w:val="009E0FCF"/>
    <w:rsid w:val="009E5DCF"/>
    <w:rsid w:val="009F0B20"/>
    <w:rsid w:val="009F406F"/>
    <w:rsid w:val="00A144B1"/>
    <w:rsid w:val="00A163D9"/>
    <w:rsid w:val="00A16542"/>
    <w:rsid w:val="00A25020"/>
    <w:rsid w:val="00A30B91"/>
    <w:rsid w:val="00A30DC1"/>
    <w:rsid w:val="00A318AB"/>
    <w:rsid w:val="00A31A98"/>
    <w:rsid w:val="00A331B4"/>
    <w:rsid w:val="00A35EA7"/>
    <w:rsid w:val="00A366C6"/>
    <w:rsid w:val="00A37471"/>
    <w:rsid w:val="00A40076"/>
    <w:rsid w:val="00A40999"/>
    <w:rsid w:val="00A44A37"/>
    <w:rsid w:val="00A45B0F"/>
    <w:rsid w:val="00A46E26"/>
    <w:rsid w:val="00A46EB6"/>
    <w:rsid w:val="00A54342"/>
    <w:rsid w:val="00A5472B"/>
    <w:rsid w:val="00A551CF"/>
    <w:rsid w:val="00A57799"/>
    <w:rsid w:val="00A60B52"/>
    <w:rsid w:val="00A63075"/>
    <w:rsid w:val="00A63A9A"/>
    <w:rsid w:val="00A642C6"/>
    <w:rsid w:val="00A64B3B"/>
    <w:rsid w:val="00A65DC7"/>
    <w:rsid w:val="00A73BA5"/>
    <w:rsid w:val="00A828FD"/>
    <w:rsid w:val="00A84AC2"/>
    <w:rsid w:val="00A86A33"/>
    <w:rsid w:val="00A92FAB"/>
    <w:rsid w:val="00A931EC"/>
    <w:rsid w:val="00A962A0"/>
    <w:rsid w:val="00A968DA"/>
    <w:rsid w:val="00AA0722"/>
    <w:rsid w:val="00AA1734"/>
    <w:rsid w:val="00AB7255"/>
    <w:rsid w:val="00AB7A20"/>
    <w:rsid w:val="00AB7C67"/>
    <w:rsid w:val="00AC13C7"/>
    <w:rsid w:val="00AC2E97"/>
    <w:rsid w:val="00AC58D7"/>
    <w:rsid w:val="00AC6AE5"/>
    <w:rsid w:val="00AD02F0"/>
    <w:rsid w:val="00AD51AA"/>
    <w:rsid w:val="00AE4164"/>
    <w:rsid w:val="00AE45CC"/>
    <w:rsid w:val="00AE70F5"/>
    <w:rsid w:val="00AF418E"/>
    <w:rsid w:val="00AF5465"/>
    <w:rsid w:val="00B0021E"/>
    <w:rsid w:val="00B03C6B"/>
    <w:rsid w:val="00B066F7"/>
    <w:rsid w:val="00B0726E"/>
    <w:rsid w:val="00B13BFF"/>
    <w:rsid w:val="00B15DC6"/>
    <w:rsid w:val="00B22DD9"/>
    <w:rsid w:val="00B23CE7"/>
    <w:rsid w:val="00B23FA9"/>
    <w:rsid w:val="00B25BF1"/>
    <w:rsid w:val="00B365C1"/>
    <w:rsid w:val="00B4197E"/>
    <w:rsid w:val="00B45F91"/>
    <w:rsid w:val="00B526B8"/>
    <w:rsid w:val="00B52A99"/>
    <w:rsid w:val="00B676F6"/>
    <w:rsid w:val="00B6795F"/>
    <w:rsid w:val="00B70AD3"/>
    <w:rsid w:val="00B720B0"/>
    <w:rsid w:val="00B77256"/>
    <w:rsid w:val="00B77420"/>
    <w:rsid w:val="00B77DA9"/>
    <w:rsid w:val="00B816B1"/>
    <w:rsid w:val="00B849E3"/>
    <w:rsid w:val="00B87EBF"/>
    <w:rsid w:val="00B97A0E"/>
    <w:rsid w:val="00BA44B6"/>
    <w:rsid w:val="00BA492D"/>
    <w:rsid w:val="00BA4F27"/>
    <w:rsid w:val="00BA639F"/>
    <w:rsid w:val="00BB63EF"/>
    <w:rsid w:val="00BC04D0"/>
    <w:rsid w:val="00BC3657"/>
    <w:rsid w:val="00BC4CFC"/>
    <w:rsid w:val="00BC5A6F"/>
    <w:rsid w:val="00BC7709"/>
    <w:rsid w:val="00BD186B"/>
    <w:rsid w:val="00BD406A"/>
    <w:rsid w:val="00BD55D1"/>
    <w:rsid w:val="00BD561A"/>
    <w:rsid w:val="00BE2654"/>
    <w:rsid w:val="00BF1A29"/>
    <w:rsid w:val="00C016A0"/>
    <w:rsid w:val="00C03A29"/>
    <w:rsid w:val="00C042CA"/>
    <w:rsid w:val="00C11AC8"/>
    <w:rsid w:val="00C11BE9"/>
    <w:rsid w:val="00C11FF5"/>
    <w:rsid w:val="00C1214A"/>
    <w:rsid w:val="00C13445"/>
    <w:rsid w:val="00C13878"/>
    <w:rsid w:val="00C16260"/>
    <w:rsid w:val="00C17E82"/>
    <w:rsid w:val="00C237AA"/>
    <w:rsid w:val="00C24009"/>
    <w:rsid w:val="00C30A75"/>
    <w:rsid w:val="00C31100"/>
    <w:rsid w:val="00C33A7C"/>
    <w:rsid w:val="00C355AB"/>
    <w:rsid w:val="00C36177"/>
    <w:rsid w:val="00C40F1C"/>
    <w:rsid w:val="00C41FBD"/>
    <w:rsid w:val="00C420CB"/>
    <w:rsid w:val="00C50298"/>
    <w:rsid w:val="00C502A6"/>
    <w:rsid w:val="00C512E7"/>
    <w:rsid w:val="00C5212C"/>
    <w:rsid w:val="00C524DF"/>
    <w:rsid w:val="00C537B6"/>
    <w:rsid w:val="00C56AD6"/>
    <w:rsid w:val="00C6074D"/>
    <w:rsid w:val="00C626B1"/>
    <w:rsid w:val="00C6357F"/>
    <w:rsid w:val="00C664C3"/>
    <w:rsid w:val="00C669AA"/>
    <w:rsid w:val="00C72052"/>
    <w:rsid w:val="00C743AE"/>
    <w:rsid w:val="00C74DF5"/>
    <w:rsid w:val="00C75E07"/>
    <w:rsid w:val="00C8724D"/>
    <w:rsid w:val="00C903CE"/>
    <w:rsid w:val="00C90AB8"/>
    <w:rsid w:val="00C93FDF"/>
    <w:rsid w:val="00C94694"/>
    <w:rsid w:val="00C974C2"/>
    <w:rsid w:val="00CA2211"/>
    <w:rsid w:val="00CA7D68"/>
    <w:rsid w:val="00CB0576"/>
    <w:rsid w:val="00CB1077"/>
    <w:rsid w:val="00CB4F18"/>
    <w:rsid w:val="00CC349D"/>
    <w:rsid w:val="00CC35C3"/>
    <w:rsid w:val="00CC36E4"/>
    <w:rsid w:val="00CC62E8"/>
    <w:rsid w:val="00CC7CC7"/>
    <w:rsid w:val="00CD12E2"/>
    <w:rsid w:val="00CD1496"/>
    <w:rsid w:val="00CD60B7"/>
    <w:rsid w:val="00CD785B"/>
    <w:rsid w:val="00CF21D6"/>
    <w:rsid w:val="00D010D7"/>
    <w:rsid w:val="00D0671D"/>
    <w:rsid w:val="00D06A5F"/>
    <w:rsid w:val="00D10531"/>
    <w:rsid w:val="00D10801"/>
    <w:rsid w:val="00D11108"/>
    <w:rsid w:val="00D1782C"/>
    <w:rsid w:val="00D21216"/>
    <w:rsid w:val="00D30348"/>
    <w:rsid w:val="00D34937"/>
    <w:rsid w:val="00D35C52"/>
    <w:rsid w:val="00D376EB"/>
    <w:rsid w:val="00D37E71"/>
    <w:rsid w:val="00D423DE"/>
    <w:rsid w:val="00D426D1"/>
    <w:rsid w:val="00D45CFD"/>
    <w:rsid w:val="00D60E94"/>
    <w:rsid w:val="00D61ACD"/>
    <w:rsid w:val="00D63A00"/>
    <w:rsid w:val="00D64261"/>
    <w:rsid w:val="00D65E30"/>
    <w:rsid w:val="00D73B37"/>
    <w:rsid w:val="00D746FF"/>
    <w:rsid w:val="00D74C38"/>
    <w:rsid w:val="00D752C0"/>
    <w:rsid w:val="00D76188"/>
    <w:rsid w:val="00D767E1"/>
    <w:rsid w:val="00D77F5C"/>
    <w:rsid w:val="00D809B9"/>
    <w:rsid w:val="00D81E2E"/>
    <w:rsid w:val="00D82686"/>
    <w:rsid w:val="00D848CE"/>
    <w:rsid w:val="00D86977"/>
    <w:rsid w:val="00D86DFD"/>
    <w:rsid w:val="00D90211"/>
    <w:rsid w:val="00D937BB"/>
    <w:rsid w:val="00D95857"/>
    <w:rsid w:val="00DA3FDB"/>
    <w:rsid w:val="00DA5204"/>
    <w:rsid w:val="00DA698C"/>
    <w:rsid w:val="00DB0A92"/>
    <w:rsid w:val="00DB0B42"/>
    <w:rsid w:val="00DC0DE2"/>
    <w:rsid w:val="00DC49BF"/>
    <w:rsid w:val="00DC7256"/>
    <w:rsid w:val="00DD4A00"/>
    <w:rsid w:val="00DE647A"/>
    <w:rsid w:val="00DF1103"/>
    <w:rsid w:val="00DF59DF"/>
    <w:rsid w:val="00E026FA"/>
    <w:rsid w:val="00E112B2"/>
    <w:rsid w:val="00E20FBB"/>
    <w:rsid w:val="00E20FE5"/>
    <w:rsid w:val="00E23414"/>
    <w:rsid w:val="00E24B9F"/>
    <w:rsid w:val="00E24D20"/>
    <w:rsid w:val="00E33DE4"/>
    <w:rsid w:val="00E423AA"/>
    <w:rsid w:val="00E450A3"/>
    <w:rsid w:val="00E53316"/>
    <w:rsid w:val="00E537D7"/>
    <w:rsid w:val="00E5497D"/>
    <w:rsid w:val="00E55813"/>
    <w:rsid w:val="00E6185C"/>
    <w:rsid w:val="00E61875"/>
    <w:rsid w:val="00E64B24"/>
    <w:rsid w:val="00E73E9E"/>
    <w:rsid w:val="00E77E68"/>
    <w:rsid w:val="00E81DC0"/>
    <w:rsid w:val="00E82DB0"/>
    <w:rsid w:val="00E84672"/>
    <w:rsid w:val="00E90C9D"/>
    <w:rsid w:val="00E91C99"/>
    <w:rsid w:val="00E93986"/>
    <w:rsid w:val="00E9559B"/>
    <w:rsid w:val="00E97988"/>
    <w:rsid w:val="00EA2CD9"/>
    <w:rsid w:val="00EA39CF"/>
    <w:rsid w:val="00EA3DCE"/>
    <w:rsid w:val="00EA5F54"/>
    <w:rsid w:val="00EA6794"/>
    <w:rsid w:val="00EB0953"/>
    <w:rsid w:val="00EB6556"/>
    <w:rsid w:val="00EC20BE"/>
    <w:rsid w:val="00ED1A8D"/>
    <w:rsid w:val="00ED1B2F"/>
    <w:rsid w:val="00ED2386"/>
    <w:rsid w:val="00ED28CA"/>
    <w:rsid w:val="00ED4D03"/>
    <w:rsid w:val="00ED575D"/>
    <w:rsid w:val="00ED6069"/>
    <w:rsid w:val="00EE0812"/>
    <w:rsid w:val="00EE311A"/>
    <w:rsid w:val="00EE3A32"/>
    <w:rsid w:val="00EE68A9"/>
    <w:rsid w:val="00EF0DCC"/>
    <w:rsid w:val="00EF3D0F"/>
    <w:rsid w:val="00EF4423"/>
    <w:rsid w:val="00F04E06"/>
    <w:rsid w:val="00F111CB"/>
    <w:rsid w:val="00F11A9E"/>
    <w:rsid w:val="00F12DFC"/>
    <w:rsid w:val="00F12EDF"/>
    <w:rsid w:val="00F13F46"/>
    <w:rsid w:val="00F20AC3"/>
    <w:rsid w:val="00F21735"/>
    <w:rsid w:val="00F250D4"/>
    <w:rsid w:val="00F32B7D"/>
    <w:rsid w:val="00F36A4C"/>
    <w:rsid w:val="00F36D3A"/>
    <w:rsid w:val="00F40065"/>
    <w:rsid w:val="00F404F4"/>
    <w:rsid w:val="00F50238"/>
    <w:rsid w:val="00F5474D"/>
    <w:rsid w:val="00F551F1"/>
    <w:rsid w:val="00F60C8D"/>
    <w:rsid w:val="00F663E6"/>
    <w:rsid w:val="00F7383B"/>
    <w:rsid w:val="00F7397C"/>
    <w:rsid w:val="00F778D5"/>
    <w:rsid w:val="00F82496"/>
    <w:rsid w:val="00F9326C"/>
    <w:rsid w:val="00FA1796"/>
    <w:rsid w:val="00FA607C"/>
    <w:rsid w:val="00FA7E75"/>
    <w:rsid w:val="00FB4D11"/>
    <w:rsid w:val="00FC02E5"/>
    <w:rsid w:val="00FC2DC9"/>
    <w:rsid w:val="00FC5EBE"/>
    <w:rsid w:val="00FD08A1"/>
    <w:rsid w:val="00FD1236"/>
    <w:rsid w:val="00FD35C2"/>
    <w:rsid w:val="00FD3ABB"/>
    <w:rsid w:val="00FE0EA2"/>
    <w:rsid w:val="00FE2CB1"/>
    <w:rsid w:val="00FF36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4A98"/>
  <w15:docId w15:val="{EF92A3F0-8783-4F82-AA2C-8AEA59DE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85B"/>
    <w:pPr>
      <w:spacing w:after="0" w:line="240" w:lineRule="auto"/>
    </w:pPr>
    <w:rPr>
      <w:rFonts w:ascii="Times New Roman" w:eastAsia="MS Mincho" w:hAnsi="Times New Roman" w:cs="Times New Roman"/>
      <w:sz w:val="24"/>
      <w:szCs w:val="24"/>
      <w:lang w:val="es-ES_tradnl"/>
    </w:rPr>
  </w:style>
  <w:style w:type="paragraph" w:styleId="Ttulo2">
    <w:name w:val="heading 2"/>
    <w:basedOn w:val="Normal"/>
    <w:next w:val="Normal"/>
    <w:link w:val="Ttulo2Car"/>
    <w:rsid w:val="009638B4"/>
    <w:pPr>
      <w:keepNext/>
      <w:keepLines/>
      <w:suppressAutoHyphens/>
      <w:autoSpaceDN w:val="0"/>
      <w:spacing w:before="40" w:line="251" w:lineRule="auto"/>
      <w:textAlignment w:val="baseline"/>
      <w:outlineLvl w:val="1"/>
    </w:pPr>
    <w:rPr>
      <w:rFonts w:ascii="Calibri Light" w:eastAsia="Times New Roman" w:hAnsi="Calibri Light"/>
      <w:color w:val="2F5496"/>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785B"/>
    <w:pPr>
      <w:tabs>
        <w:tab w:val="center" w:pos="4252"/>
        <w:tab w:val="right" w:pos="8504"/>
      </w:tabs>
    </w:pPr>
  </w:style>
  <w:style w:type="character" w:customStyle="1" w:styleId="EncabezadoCar">
    <w:name w:val="Encabezado Car"/>
    <w:basedOn w:val="Fuentedeprrafopredeter"/>
    <w:link w:val="Encabezado"/>
    <w:uiPriority w:val="99"/>
    <w:rsid w:val="00CD785B"/>
  </w:style>
  <w:style w:type="paragraph" w:styleId="Piedepgina">
    <w:name w:val="footer"/>
    <w:basedOn w:val="Normal"/>
    <w:link w:val="PiedepginaCar"/>
    <w:uiPriority w:val="99"/>
    <w:unhideWhenUsed/>
    <w:rsid w:val="00CD785B"/>
    <w:pPr>
      <w:tabs>
        <w:tab w:val="center" w:pos="4252"/>
        <w:tab w:val="right" w:pos="8504"/>
      </w:tabs>
    </w:pPr>
  </w:style>
  <w:style w:type="character" w:customStyle="1" w:styleId="PiedepginaCar">
    <w:name w:val="Pie de página Car"/>
    <w:basedOn w:val="Fuentedeprrafopredeter"/>
    <w:link w:val="Piedepgina"/>
    <w:uiPriority w:val="99"/>
    <w:rsid w:val="00CD785B"/>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qFormat/>
    <w:rsid w:val="00CD785B"/>
    <w:rPr>
      <w:rFonts w:ascii="Verdana" w:hAnsi="Verdana"/>
      <w:sz w:val="16"/>
      <w:vertAlign w:val="superscript"/>
    </w:rPr>
  </w:style>
  <w:style w:type="paragraph" w:styleId="Textonotapie">
    <w:name w:val="footnote text"/>
    <w:aliases w:val="Footnote Text Char Char Char Char Char,Footnote Text Char Char Char Char,Footnote reference,FA Fu,Footnote Text Char Char Char,FA Fu Car,FA Fu Car Car,Footnote Text Cha,FA Fußnotentext,FA Fuﬂnotentext,Ca,footnote text,C,ft,FA Fu?notentext"/>
    <w:basedOn w:val="Normal"/>
    <w:link w:val="TextonotapieCar"/>
    <w:qFormat/>
    <w:rsid w:val="00CD785B"/>
    <w:pPr>
      <w:widowControl w:val="0"/>
    </w:pPr>
    <w:rPr>
      <w:sz w:val="20"/>
      <w:szCs w:val="20"/>
    </w:rPr>
  </w:style>
  <w:style w:type="character" w:customStyle="1" w:styleId="TextonotapieCar">
    <w:name w:val="Texto nota pie Car"/>
    <w:aliases w:val="Footnote Text Char Char Char Char Char Car,Footnote Text Char Char Char Char Car,Footnote reference Car,FA Fu Car1,Footnote Text Char Char Char Car,FA Fu Car Car1,FA Fu Car Car Car,Footnote Text Cha Car,FA Fußnotentext Car,Ca Car"/>
    <w:basedOn w:val="Fuentedeprrafopredeter"/>
    <w:link w:val="Textonotapie"/>
    <w:qFormat/>
    <w:rsid w:val="00CD785B"/>
    <w:rPr>
      <w:rFonts w:ascii="Times New Roman" w:eastAsia="MS Mincho" w:hAnsi="Times New Roman" w:cs="Times New Roman"/>
      <w:sz w:val="20"/>
      <w:szCs w:val="20"/>
      <w:lang w:val="es-ES_tradnl"/>
    </w:rPr>
  </w:style>
  <w:style w:type="character" w:styleId="Hipervnculo">
    <w:name w:val="Hyperlink"/>
    <w:uiPriority w:val="99"/>
    <w:unhideWhenUsed/>
    <w:rsid w:val="00CD785B"/>
    <w:rPr>
      <w:color w:val="0000FF"/>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D785B"/>
    <w:pPr>
      <w:jc w:val="both"/>
    </w:pPr>
    <w:rPr>
      <w:rFonts w:ascii="Verdana" w:eastAsiaTheme="minorHAnsi" w:hAnsi="Verdana" w:cstheme="minorBidi"/>
      <w:sz w:val="16"/>
      <w:szCs w:val="22"/>
      <w:vertAlign w:val="superscript"/>
      <w:lang w:val="es-ES"/>
    </w:rPr>
  </w:style>
  <w:style w:type="paragraph" w:styleId="Prrafodelista">
    <w:name w:val="List Paragraph"/>
    <w:aliases w:val="Footnote,List Paragraph1,Colorful List - Accent 11,Párrafo de lista1"/>
    <w:basedOn w:val="Normal"/>
    <w:link w:val="PrrafodelistaCar"/>
    <w:uiPriority w:val="34"/>
    <w:qFormat/>
    <w:rsid w:val="00CD785B"/>
    <w:pPr>
      <w:spacing w:after="200" w:line="276" w:lineRule="auto"/>
      <w:ind w:left="720"/>
      <w:contextualSpacing/>
    </w:pPr>
    <w:rPr>
      <w:rFonts w:asciiTheme="minorHAnsi" w:eastAsiaTheme="minorHAnsi" w:hAnsiTheme="minorHAnsi" w:cstheme="minorBidi"/>
      <w:sz w:val="22"/>
      <w:szCs w:val="22"/>
      <w:lang w:val="en-US"/>
    </w:rPr>
  </w:style>
  <w:style w:type="character" w:styleId="Textoennegrita">
    <w:name w:val="Strong"/>
    <w:basedOn w:val="Fuentedeprrafopredeter"/>
    <w:uiPriority w:val="22"/>
    <w:qFormat/>
    <w:rsid w:val="00CD785B"/>
    <w:rPr>
      <w:b/>
      <w:bCs/>
    </w:rPr>
  </w:style>
  <w:style w:type="character" w:customStyle="1" w:styleId="PrrafodelistaCar">
    <w:name w:val="Párrafo de lista Car"/>
    <w:aliases w:val="Footnote Car,List Paragraph1 Car,Colorful List - Accent 11 Car,Párrafo de lista1 Car"/>
    <w:link w:val="Prrafodelista"/>
    <w:uiPriority w:val="34"/>
    <w:locked/>
    <w:rsid w:val="00CD785B"/>
    <w:rPr>
      <w:lang w:val="en-US"/>
    </w:rPr>
  </w:style>
  <w:style w:type="paragraph" w:styleId="Textodeglobo">
    <w:name w:val="Balloon Text"/>
    <w:basedOn w:val="Normal"/>
    <w:link w:val="TextodegloboCar"/>
    <w:uiPriority w:val="99"/>
    <w:semiHidden/>
    <w:unhideWhenUsed/>
    <w:rsid w:val="00CD78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785B"/>
    <w:rPr>
      <w:rFonts w:ascii="Segoe UI" w:eastAsia="MS Mincho" w:hAnsi="Segoe UI" w:cs="Segoe UI"/>
      <w:sz w:val="18"/>
      <w:szCs w:val="18"/>
      <w:lang w:val="es-ES_tradnl"/>
    </w:rPr>
  </w:style>
  <w:style w:type="character" w:styleId="Refdecomentario">
    <w:name w:val="annotation reference"/>
    <w:basedOn w:val="Fuentedeprrafopredeter"/>
    <w:uiPriority w:val="99"/>
    <w:semiHidden/>
    <w:unhideWhenUsed/>
    <w:rsid w:val="00CD785B"/>
    <w:rPr>
      <w:sz w:val="16"/>
      <w:szCs w:val="16"/>
    </w:rPr>
  </w:style>
  <w:style w:type="paragraph" w:styleId="Textocomentario">
    <w:name w:val="annotation text"/>
    <w:basedOn w:val="Normal"/>
    <w:link w:val="TextocomentarioCar"/>
    <w:uiPriority w:val="99"/>
    <w:unhideWhenUsed/>
    <w:rsid w:val="00CD785B"/>
    <w:rPr>
      <w:sz w:val="20"/>
      <w:szCs w:val="20"/>
    </w:rPr>
  </w:style>
  <w:style w:type="character" w:customStyle="1" w:styleId="TextocomentarioCar">
    <w:name w:val="Texto comentario Car"/>
    <w:basedOn w:val="Fuentedeprrafopredeter"/>
    <w:link w:val="Textocomentario"/>
    <w:uiPriority w:val="99"/>
    <w:rsid w:val="00CD785B"/>
    <w:rPr>
      <w:rFonts w:ascii="Times New Roman" w:eastAsia="MS Mincho"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CD785B"/>
    <w:rPr>
      <w:b/>
      <w:bCs/>
    </w:rPr>
  </w:style>
  <w:style w:type="character" w:customStyle="1" w:styleId="AsuntodelcomentarioCar">
    <w:name w:val="Asunto del comentario Car"/>
    <w:basedOn w:val="TextocomentarioCar"/>
    <w:link w:val="Asuntodelcomentario"/>
    <w:uiPriority w:val="99"/>
    <w:semiHidden/>
    <w:rsid w:val="00CD785B"/>
    <w:rPr>
      <w:rFonts w:ascii="Times New Roman" w:eastAsia="MS Mincho" w:hAnsi="Times New Roman" w:cs="Times New Roman"/>
      <w:b/>
      <w:bCs/>
      <w:sz w:val="20"/>
      <w:szCs w:val="20"/>
      <w:lang w:val="es-ES_tradnl"/>
    </w:rPr>
  </w:style>
  <w:style w:type="paragraph" w:styleId="Textoindependiente">
    <w:name w:val="Body Text"/>
    <w:basedOn w:val="Normal"/>
    <w:link w:val="TextoindependienteCar"/>
    <w:rsid w:val="007056C3"/>
    <w:pPr>
      <w:spacing w:after="120"/>
    </w:pPr>
    <w:rPr>
      <w:rFonts w:ascii="Times" w:eastAsia="Times" w:hAnsi="Times"/>
      <w:szCs w:val="20"/>
    </w:rPr>
  </w:style>
  <w:style w:type="character" w:customStyle="1" w:styleId="TextoindependienteCar">
    <w:name w:val="Texto independiente Car"/>
    <w:basedOn w:val="Fuentedeprrafopredeter"/>
    <w:link w:val="Textoindependiente"/>
    <w:rsid w:val="007056C3"/>
    <w:rPr>
      <w:rFonts w:ascii="Times" w:eastAsia="Times" w:hAnsi="Times" w:cs="Times New Roman"/>
      <w:sz w:val="24"/>
      <w:szCs w:val="20"/>
      <w:lang w:val="es-ES_tradnl"/>
    </w:rPr>
  </w:style>
  <w:style w:type="paragraph" w:customStyle="1" w:styleId="Default">
    <w:name w:val="Default"/>
    <w:rsid w:val="00AD51AA"/>
    <w:pPr>
      <w:autoSpaceDE w:val="0"/>
      <w:autoSpaceDN w:val="0"/>
      <w:adjustRightInd w:val="0"/>
      <w:spacing w:after="0" w:line="240" w:lineRule="auto"/>
    </w:pPr>
    <w:rPr>
      <w:rFonts w:ascii="Arial" w:hAnsi="Arial" w:cs="Arial"/>
      <w:color w:val="000000"/>
      <w:sz w:val="24"/>
      <w:szCs w:val="24"/>
      <w:lang w:val="es-CR"/>
    </w:rPr>
  </w:style>
  <w:style w:type="character" w:customStyle="1" w:styleId="Fuentedeprrafopredeter1">
    <w:name w:val="Fuente de párrafo predeter.1"/>
    <w:rsid w:val="000A0728"/>
  </w:style>
  <w:style w:type="paragraph" w:customStyle="1" w:styleId="Textocomentario1">
    <w:name w:val="Texto comentario1"/>
    <w:basedOn w:val="Normal"/>
    <w:rsid w:val="000A0728"/>
    <w:pPr>
      <w:suppressAutoHyphens/>
      <w:autoSpaceDN w:val="0"/>
      <w:textAlignment w:val="baseline"/>
    </w:pPr>
    <w:rPr>
      <w:sz w:val="20"/>
      <w:szCs w:val="20"/>
    </w:rPr>
  </w:style>
  <w:style w:type="character" w:customStyle="1" w:styleId="Refdecomentario1">
    <w:name w:val="Ref. de comentario1"/>
    <w:basedOn w:val="Fuentedeprrafopredeter1"/>
    <w:rsid w:val="000A0728"/>
    <w:rPr>
      <w:sz w:val="16"/>
      <w:szCs w:val="16"/>
    </w:rPr>
  </w:style>
  <w:style w:type="paragraph" w:customStyle="1" w:styleId="Textonotapie1">
    <w:name w:val="Texto nota pie1"/>
    <w:basedOn w:val="Normal"/>
    <w:rsid w:val="000A0728"/>
    <w:pPr>
      <w:widowControl w:val="0"/>
      <w:suppressAutoHyphens/>
      <w:autoSpaceDN w:val="0"/>
      <w:textAlignment w:val="baseline"/>
    </w:pPr>
    <w:rPr>
      <w:sz w:val="20"/>
      <w:szCs w:val="20"/>
    </w:rPr>
  </w:style>
  <w:style w:type="character" w:customStyle="1" w:styleId="Refdenotaalpie1">
    <w:name w:val="Ref. de nota al pie1"/>
    <w:rsid w:val="000A0728"/>
    <w:rPr>
      <w:rFonts w:ascii="Verdana" w:hAnsi="Verdana"/>
      <w:position w:val="0"/>
      <w:sz w:val="16"/>
      <w:vertAlign w:val="superscript"/>
    </w:rPr>
  </w:style>
  <w:style w:type="character" w:styleId="Nmerodelnea">
    <w:name w:val="line number"/>
    <w:basedOn w:val="Fuentedeprrafopredeter"/>
    <w:uiPriority w:val="99"/>
    <w:semiHidden/>
    <w:unhideWhenUsed/>
    <w:rsid w:val="00F12EDF"/>
  </w:style>
  <w:style w:type="character" w:customStyle="1" w:styleId="CharAttribute1">
    <w:name w:val="CharAttribute1"/>
    <w:rsid w:val="009849CC"/>
    <w:rPr>
      <w:rFonts w:ascii="Verdana" w:eastAsia="Verdana" w:hAnsi="Verdana"/>
      <w:b/>
    </w:rPr>
  </w:style>
  <w:style w:type="paragraph" w:styleId="Textosinformato">
    <w:name w:val="Plain Text"/>
    <w:basedOn w:val="Normal"/>
    <w:link w:val="TextosinformatoCar"/>
    <w:uiPriority w:val="99"/>
    <w:semiHidden/>
    <w:unhideWhenUsed/>
    <w:rsid w:val="009849CC"/>
    <w:rPr>
      <w:rFonts w:ascii="Consolas" w:eastAsia="Calibri" w:hAnsi="Consolas"/>
      <w:sz w:val="21"/>
      <w:szCs w:val="21"/>
      <w:lang w:val="x-none" w:eastAsia="x-none"/>
    </w:rPr>
  </w:style>
  <w:style w:type="character" w:customStyle="1" w:styleId="TextosinformatoCar">
    <w:name w:val="Texto sin formato Car"/>
    <w:basedOn w:val="Fuentedeprrafopredeter"/>
    <w:link w:val="Textosinformato"/>
    <w:uiPriority w:val="99"/>
    <w:semiHidden/>
    <w:rsid w:val="009849CC"/>
    <w:rPr>
      <w:rFonts w:ascii="Consolas" w:eastAsia="Calibri" w:hAnsi="Consolas" w:cs="Times New Roman"/>
      <w:sz w:val="21"/>
      <w:szCs w:val="21"/>
      <w:lang w:val="x-none" w:eastAsia="x-none"/>
    </w:rPr>
  </w:style>
  <w:style w:type="character" w:customStyle="1" w:styleId="Ttulo2Car">
    <w:name w:val="Título 2 Car"/>
    <w:basedOn w:val="Fuentedeprrafopredeter"/>
    <w:link w:val="Ttulo2"/>
    <w:rsid w:val="009638B4"/>
    <w:rPr>
      <w:rFonts w:ascii="Calibri Light" w:eastAsia="Times New Roman" w:hAnsi="Calibri Light" w:cs="Times New Roman"/>
      <w:color w:val="2F549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3679">
      <w:bodyDiv w:val="1"/>
      <w:marLeft w:val="0"/>
      <w:marRight w:val="0"/>
      <w:marTop w:val="0"/>
      <w:marBottom w:val="0"/>
      <w:divBdr>
        <w:top w:val="none" w:sz="0" w:space="0" w:color="auto"/>
        <w:left w:val="none" w:sz="0" w:space="0" w:color="auto"/>
        <w:bottom w:val="none" w:sz="0" w:space="0" w:color="auto"/>
        <w:right w:val="none" w:sz="0" w:space="0" w:color="auto"/>
      </w:divBdr>
    </w:div>
    <w:div w:id="136773871">
      <w:bodyDiv w:val="1"/>
      <w:marLeft w:val="0"/>
      <w:marRight w:val="0"/>
      <w:marTop w:val="0"/>
      <w:marBottom w:val="0"/>
      <w:divBdr>
        <w:top w:val="none" w:sz="0" w:space="0" w:color="auto"/>
        <w:left w:val="none" w:sz="0" w:space="0" w:color="auto"/>
        <w:bottom w:val="none" w:sz="0" w:space="0" w:color="auto"/>
        <w:right w:val="none" w:sz="0" w:space="0" w:color="auto"/>
      </w:divBdr>
    </w:div>
    <w:div w:id="426120774">
      <w:bodyDiv w:val="1"/>
      <w:marLeft w:val="0"/>
      <w:marRight w:val="0"/>
      <w:marTop w:val="0"/>
      <w:marBottom w:val="0"/>
      <w:divBdr>
        <w:top w:val="none" w:sz="0" w:space="0" w:color="auto"/>
        <w:left w:val="none" w:sz="0" w:space="0" w:color="auto"/>
        <w:bottom w:val="none" w:sz="0" w:space="0" w:color="auto"/>
        <w:right w:val="none" w:sz="0" w:space="0" w:color="auto"/>
      </w:divBdr>
    </w:div>
    <w:div w:id="538323403">
      <w:bodyDiv w:val="1"/>
      <w:marLeft w:val="0"/>
      <w:marRight w:val="0"/>
      <w:marTop w:val="0"/>
      <w:marBottom w:val="0"/>
      <w:divBdr>
        <w:top w:val="none" w:sz="0" w:space="0" w:color="auto"/>
        <w:left w:val="none" w:sz="0" w:space="0" w:color="auto"/>
        <w:bottom w:val="none" w:sz="0" w:space="0" w:color="auto"/>
        <w:right w:val="none" w:sz="0" w:space="0" w:color="auto"/>
      </w:divBdr>
    </w:div>
    <w:div w:id="596792071">
      <w:bodyDiv w:val="1"/>
      <w:marLeft w:val="0"/>
      <w:marRight w:val="0"/>
      <w:marTop w:val="0"/>
      <w:marBottom w:val="0"/>
      <w:divBdr>
        <w:top w:val="none" w:sz="0" w:space="0" w:color="auto"/>
        <w:left w:val="none" w:sz="0" w:space="0" w:color="auto"/>
        <w:bottom w:val="none" w:sz="0" w:space="0" w:color="auto"/>
        <w:right w:val="none" w:sz="0" w:space="0" w:color="auto"/>
      </w:divBdr>
    </w:div>
    <w:div w:id="678001472">
      <w:bodyDiv w:val="1"/>
      <w:marLeft w:val="0"/>
      <w:marRight w:val="0"/>
      <w:marTop w:val="0"/>
      <w:marBottom w:val="0"/>
      <w:divBdr>
        <w:top w:val="none" w:sz="0" w:space="0" w:color="auto"/>
        <w:left w:val="none" w:sz="0" w:space="0" w:color="auto"/>
        <w:bottom w:val="none" w:sz="0" w:space="0" w:color="auto"/>
        <w:right w:val="none" w:sz="0" w:space="0" w:color="auto"/>
      </w:divBdr>
    </w:div>
    <w:div w:id="942228823">
      <w:bodyDiv w:val="1"/>
      <w:marLeft w:val="0"/>
      <w:marRight w:val="0"/>
      <w:marTop w:val="0"/>
      <w:marBottom w:val="0"/>
      <w:divBdr>
        <w:top w:val="none" w:sz="0" w:space="0" w:color="auto"/>
        <w:left w:val="none" w:sz="0" w:space="0" w:color="auto"/>
        <w:bottom w:val="none" w:sz="0" w:space="0" w:color="auto"/>
        <w:right w:val="none" w:sz="0" w:space="0" w:color="auto"/>
      </w:divBdr>
    </w:div>
    <w:div w:id="947274965">
      <w:bodyDiv w:val="1"/>
      <w:marLeft w:val="0"/>
      <w:marRight w:val="0"/>
      <w:marTop w:val="0"/>
      <w:marBottom w:val="0"/>
      <w:divBdr>
        <w:top w:val="none" w:sz="0" w:space="0" w:color="auto"/>
        <w:left w:val="none" w:sz="0" w:space="0" w:color="auto"/>
        <w:bottom w:val="none" w:sz="0" w:space="0" w:color="auto"/>
        <w:right w:val="none" w:sz="0" w:space="0" w:color="auto"/>
      </w:divBdr>
    </w:div>
    <w:div w:id="957224702">
      <w:bodyDiv w:val="1"/>
      <w:marLeft w:val="0"/>
      <w:marRight w:val="0"/>
      <w:marTop w:val="0"/>
      <w:marBottom w:val="0"/>
      <w:divBdr>
        <w:top w:val="none" w:sz="0" w:space="0" w:color="auto"/>
        <w:left w:val="none" w:sz="0" w:space="0" w:color="auto"/>
        <w:bottom w:val="none" w:sz="0" w:space="0" w:color="auto"/>
        <w:right w:val="none" w:sz="0" w:space="0" w:color="auto"/>
      </w:divBdr>
    </w:div>
    <w:div w:id="1543397521">
      <w:bodyDiv w:val="1"/>
      <w:marLeft w:val="0"/>
      <w:marRight w:val="0"/>
      <w:marTop w:val="0"/>
      <w:marBottom w:val="0"/>
      <w:divBdr>
        <w:top w:val="none" w:sz="0" w:space="0" w:color="auto"/>
        <w:left w:val="none" w:sz="0" w:space="0" w:color="auto"/>
        <w:bottom w:val="none" w:sz="0" w:space="0" w:color="auto"/>
        <w:right w:val="none" w:sz="0" w:space="0" w:color="auto"/>
      </w:divBdr>
    </w:div>
    <w:div w:id="1884557210">
      <w:bodyDiv w:val="1"/>
      <w:marLeft w:val="0"/>
      <w:marRight w:val="0"/>
      <w:marTop w:val="0"/>
      <w:marBottom w:val="0"/>
      <w:divBdr>
        <w:top w:val="none" w:sz="0" w:space="0" w:color="auto"/>
        <w:left w:val="none" w:sz="0" w:space="0" w:color="auto"/>
        <w:bottom w:val="none" w:sz="0" w:space="0" w:color="auto"/>
        <w:right w:val="none" w:sz="0" w:space="0" w:color="auto"/>
      </w:divBdr>
    </w:div>
    <w:div w:id="190468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spanol.cdc.gov/coronavirus/2019-ncov/need-extra-precautions/older-adults.html" TargetMode="External"/><Relationship Id="rId2" Type="http://schemas.openxmlformats.org/officeDocument/2006/relationships/hyperlink" Target="https://www.icrc.org/es/download/file/114942/respuesta_de_salud_covid19.pdf" TargetMode="External"/><Relationship Id="rId1" Type="http://schemas.openxmlformats.org/officeDocument/2006/relationships/hyperlink" Target="https://www.ilanud.or.cr/wp-content/uploads/2020/04/ILANUD-COVID-19.pdf" TargetMode="External"/><Relationship Id="rId4" Type="http://schemas.openxmlformats.org/officeDocument/2006/relationships/hyperlink" Target="https://www.who.int/westernpacific/emergencies/covid-19/information/high-risk-group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2790B-A798-42AC-8994-61554E689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3557</Words>
  <Characters>19567</Characters>
  <Application>Microsoft Office Word</Application>
  <DocSecurity>0</DocSecurity>
  <Lines>163</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Ana Rita Ramirez</cp:lastModifiedBy>
  <cp:revision>3</cp:revision>
  <dcterms:created xsi:type="dcterms:W3CDTF">2020-08-05T00:17:00Z</dcterms:created>
  <dcterms:modified xsi:type="dcterms:W3CDTF">2020-08-05T15:48:00Z</dcterms:modified>
</cp:coreProperties>
</file>